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483E" w14:textId="0DADB39A" w:rsidR="009E1D71" w:rsidRPr="00D457C9" w:rsidRDefault="009E1D71" w:rsidP="009E1D71">
      <w:pPr>
        <w:pStyle w:val="Style1"/>
        <w:rPr>
          <w:rFonts w:cs="Times New Roman"/>
          <w:b/>
          <w:color w:val="auto"/>
          <w:sz w:val="28"/>
          <w:szCs w:val="28"/>
        </w:rPr>
      </w:pPr>
      <w:r w:rsidRPr="00D457C9">
        <w:rPr>
          <w:rFonts w:cs="Times New Roman"/>
          <w:b/>
          <w:color w:val="auto"/>
          <w:sz w:val="28"/>
          <w:szCs w:val="28"/>
        </w:rPr>
        <w:t>Feminism, women judges, judicial diversity and the High Court of Australia</w:t>
      </w:r>
    </w:p>
    <w:p w14:paraId="5DB54DC9" w14:textId="77777777" w:rsidR="009E1D71" w:rsidRPr="00D457C9" w:rsidRDefault="009E1D71" w:rsidP="009E1D71">
      <w:pPr>
        <w:pStyle w:val="Style1"/>
        <w:rPr>
          <w:rFonts w:cs="Times New Roman"/>
          <w:b/>
          <w:color w:val="auto"/>
        </w:rPr>
      </w:pPr>
    </w:p>
    <w:p w14:paraId="0F75FB01" w14:textId="493777F9" w:rsidR="009E1D71" w:rsidRPr="00D457C9" w:rsidRDefault="009E1D71" w:rsidP="009E1D71">
      <w:pPr>
        <w:pStyle w:val="Style1"/>
        <w:rPr>
          <w:rFonts w:cs="Times New Roman"/>
          <w:b/>
          <w:color w:val="auto"/>
        </w:rPr>
      </w:pPr>
      <w:r w:rsidRPr="00D457C9">
        <w:rPr>
          <w:rFonts w:cs="Times New Roman"/>
          <w:b/>
          <w:color w:val="auto"/>
        </w:rPr>
        <w:t>Kcasey McLoughlin</w:t>
      </w:r>
      <w:r w:rsidR="00D20E12">
        <w:rPr>
          <w:rStyle w:val="FootnoteReference"/>
          <w:rFonts w:cs="Times New Roman"/>
          <w:b/>
          <w:color w:val="auto"/>
        </w:rPr>
        <w:footnoteReference w:customMarkFollows="1" w:id="1"/>
        <w:t>*</w:t>
      </w:r>
    </w:p>
    <w:p w14:paraId="59B15545" w14:textId="77777777" w:rsidR="009E1D71" w:rsidRPr="0075771C" w:rsidRDefault="009E1D71" w:rsidP="0075771C">
      <w:pPr>
        <w:pStyle w:val="Style1"/>
        <w:rPr>
          <w:rFonts w:cs="Times New Roman"/>
          <w:b/>
          <w:color w:val="auto"/>
        </w:rPr>
      </w:pPr>
    </w:p>
    <w:p w14:paraId="3A715B98" w14:textId="20C86225" w:rsidR="00982FD9" w:rsidRPr="002E67ED" w:rsidRDefault="009E1D71" w:rsidP="00BB7B8C">
      <w:pPr>
        <w:spacing w:line="360" w:lineRule="auto"/>
        <w:jc w:val="both"/>
        <w:rPr>
          <w:rFonts w:ascii="Times New Roman" w:hAnsi="Times New Roman" w:cs="Times New Roman"/>
        </w:rPr>
      </w:pPr>
      <w:r w:rsidRPr="00F94448">
        <w:rPr>
          <w:rFonts w:ascii="Times New Roman" w:hAnsi="Times New Roman" w:cs="Times New Roman"/>
        </w:rPr>
        <w:t>In this paper I am interested in what the arrival of women judges (particularly women judges who have eschewed feminist identities) to the High Court of Australia reveals about judicial diversity</w:t>
      </w:r>
      <w:r w:rsidRPr="00E73449">
        <w:rPr>
          <w:rFonts w:ascii="Times New Roman" w:hAnsi="Times New Roman" w:cs="Times New Roman"/>
        </w:rPr>
        <w:t>.</w:t>
      </w:r>
      <w:r w:rsidR="00E73449" w:rsidRPr="00E73449">
        <w:rPr>
          <w:rStyle w:val="FootnoteReference"/>
          <w:rFonts w:ascii="Times New Roman" w:hAnsi="Times New Roman" w:cs="Times New Roman"/>
        </w:rPr>
        <w:footnoteReference w:id="2"/>
      </w:r>
      <w:r w:rsidRPr="00E73449">
        <w:rPr>
          <w:rFonts w:ascii="Times New Roman" w:hAnsi="Times New Roman" w:cs="Times New Roman"/>
        </w:rPr>
        <w:t xml:space="preserve"> </w:t>
      </w:r>
      <w:r w:rsidRPr="00F94448">
        <w:rPr>
          <w:rFonts w:ascii="Times New Roman" w:hAnsi="Times New Roman" w:cs="Times New Roman"/>
        </w:rPr>
        <w:t>In particular, I seek to reflect on how we understand diversity</w:t>
      </w:r>
      <w:r w:rsidRPr="0075771C">
        <w:rPr>
          <w:rStyle w:val="FootnoteReference"/>
          <w:rFonts w:ascii="Times New Roman" w:hAnsi="Times New Roman" w:cs="Times New Roman"/>
        </w:rPr>
        <w:footnoteReference w:id="3"/>
      </w:r>
      <w:r w:rsidRPr="0075771C">
        <w:rPr>
          <w:rFonts w:ascii="Times New Roman" w:hAnsi="Times New Roman" w:cs="Times New Roman"/>
        </w:rPr>
        <w:t xml:space="preserve"> and the ongoing case for diversity in light of shifts in thinking that (in my view, rightly) propose that </w:t>
      </w:r>
      <w:r w:rsidRPr="0075771C">
        <w:rPr>
          <w:rFonts w:ascii="Times New Roman" w:hAnsi="Times New Roman" w:cs="Times New Roman"/>
          <w:i/>
        </w:rPr>
        <w:t xml:space="preserve">feminist </w:t>
      </w:r>
      <w:r w:rsidRPr="00D20E12">
        <w:rPr>
          <w:rFonts w:ascii="Times New Roman" w:hAnsi="Times New Roman" w:cs="Times New Roman"/>
        </w:rPr>
        <w:t>judges</w:t>
      </w:r>
      <w:r w:rsidRPr="00D20E12">
        <w:rPr>
          <w:rStyle w:val="FootnoteReference"/>
          <w:rFonts w:ascii="Times New Roman" w:hAnsi="Times New Roman" w:cs="Times New Roman"/>
        </w:rPr>
        <w:footnoteReference w:id="4"/>
      </w:r>
      <w:r w:rsidRPr="0075771C">
        <w:rPr>
          <w:rFonts w:ascii="Times New Roman" w:hAnsi="Times New Roman" w:cs="Times New Roman"/>
        </w:rPr>
        <w:t xml:space="preserve"> rather than </w:t>
      </w:r>
      <w:r w:rsidRPr="0075771C">
        <w:rPr>
          <w:rFonts w:ascii="Times New Roman" w:hAnsi="Times New Roman" w:cs="Times New Roman"/>
          <w:i/>
        </w:rPr>
        <w:t>women</w:t>
      </w:r>
      <w:r w:rsidRPr="0075771C">
        <w:rPr>
          <w:rFonts w:ascii="Times New Roman" w:hAnsi="Times New Roman" w:cs="Times New Roman"/>
        </w:rPr>
        <w:t xml:space="preserve"> judges might disrupt the law and masculinist approaches to legal reasoning.</w:t>
      </w:r>
      <w:r w:rsidR="00D4687F" w:rsidRPr="0075771C">
        <w:rPr>
          <w:rFonts w:ascii="Times New Roman" w:hAnsi="Times New Roman" w:cs="Times New Roman"/>
        </w:rPr>
        <w:t xml:space="preserve"> </w:t>
      </w:r>
      <w:r w:rsidR="00D20DE3" w:rsidRPr="0075771C">
        <w:rPr>
          <w:rFonts w:ascii="Times New Roman" w:hAnsi="Times New Roman" w:cs="Times New Roman"/>
        </w:rPr>
        <w:t xml:space="preserve">The appointment of women judges to Australia’s highest court implies that decision-makers have taken heed of repeated calls for greater diversity in judicial appointments. </w:t>
      </w:r>
      <w:r w:rsidR="005A02C5" w:rsidRPr="0075771C">
        <w:rPr>
          <w:rFonts w:ascii="Times New Roman" w:hAnsi="Times New Roman" w:cs="Times New Roman"/>
        </w:rPr>
        <w:t>But t</w:t>
      </w:r>
      <w:r w:rsidR="00D47390" w:rsidRPr="0075771C">
        <w:rPr>
          <w:rFonts w:ascii="Times New Roman" w:hAnsi="Times New Roman" w:cs="Times New Roman"/>
        </w:rPr>
        <w:t>he fact that the women appointed have for the most part eschewed feminist identities n</w:t>
      </w:r>
      <w:r w:rsidR="0060356D" w:rsidRPr="0075771C">
        <w:rPr>
          <w:rFonts w:ascii="Times New Roman" w:hAnsi="Times New Roman" w:cs="Times New Roman"/>
        </w:rPr>
        <w:t>o</w:t>
      </w:r>
      <w:r w:rsidR="00793214">
        <w:rPr>
          <w:rFonts w:ascii="Times New Roman" w:hAnsi="Times New Roman" w:cs="Times New Roman"/>
        </w:rPr>
        <w:t xml:space="preserve">t only serves as a </w:t>
      </w:r>
      <w:r w:rsidR="00D47390" w:rsidRPr="0075771C">
        <w:rPr>
          <w:rFonts w:ascii="Times New Roman" w:hAnsi="Times New Roman" w:cs="Times New Roman"/>
        </w:rPr>
        <w:t xml:space="preserve">reminder to avoid conflating woman and feminist, it also raises questions about </w:t>
      </w:r>
      <w:r w:rsidR="004B15E8" w:rsidRPr="0075771C">
        <w:rPr>
          <w:rFonts w:ascii="Times New Roman" w:hAnsi="Times New Roman" w:cs="Times New Roman"/>
        </w:rPr>
        <w:t xml:space="preserve">the </w:t>
      </w:r>
      <w:r w:rsidR="00D47390" w:rsidRPr="0075771C">
        <w:rPr>
          <w:rFonts w:ascii="Times New Roman" w:hAnsi="Times New Roman" w:cs="Times New Roman"/>
        </w:rPr>
        <w:t xml:space="preserve">plausibility of </w:t>
      </w:r>
      <w:r w:rsidR="0060356D" w:rsidRPr="0075771C">
        <w:rPr>
          <w:rFonts w:ascii="Times New Roman" w:hAnsi="Times New Roman" w:cs="Times New Roman"/>
        </w:rPr>
        <w:t xml:space="preserve">seeing feminist </w:t>
      </w:r>
      <w:r w:rsidR="00D47390" w:rsidRPr="0075771C">
        <w:rPr>
          <w:rFonts w:ascii="Times New Roman" w:hAnsi="Times New Roman" w:cs="Times New Roman"/>
        </w:rPr>
        <w:t>judges</w:t>
      </w:r>
      <w:r w:rsidR="0060356D" w:rsidRPr="0075771C">
        <w:rPr>
          <w:rFonts w:ascii="Times New Roman" w:hAnsi="Times New Roman" w:cs="Times New Roman"/>
        </w:rPr>
        <w:t xml:space="preserve"> appointed</w:t>
      </w:r>
      <w:r w:rsidR="004B15E8" w:rsidRPr="0075771C">
        <w:rPr>
          <w:rFonts w:ascii="Times New Roman" w:hAnsi="Times New Roman" w:cs="Times New Roman"/>
        </w:rPr>
        <w:t>. These questions are especially pointed given the poli</w:t>
      </w:r>
      <w:r w:rsidR="00296DD5">
        <w:rPr>
          <w:rFonts w:ascii="Times New Roman" w:hAnsi="Times New Roman" w:cs="Times New Roman"/>
        </w:rPr>
        <w:t>tics of judicial of appointment</w:t>
      </w:r>
      <w:r w:rsidR="004B15E8" w:rsidRPr="0075771C">
        <w:rPr>
          <w:rFonts w:ascii="Times New Roman" w:hAnsi="Times New Roman" w:cs="Times New Roman"/>
        </w:rPr>
        <w:t xml:space="preserve"> that have seen diversity framed in ambivalent if not negative terms</w:t>
      </w:r>
      <w:r w:rsidR="00B55D37">
        <w:rPr>
          <w:rFonts w:ascii="Times New Roman" w:hAnsi="Times New Roman" w:cs="Times New Roman"/>
        </w:rPr>
        <w:t xml:space="preserve">. </w:t>
      </w:r>
      <w:r w:rsidR="0075771C" w:rsidRPr="0075771C">
        <w:rPr>
          <w:rFonts w:ascii="Times New Roman" w:hAnsi="Times New Roman" w:cs="Times New Roman"/>
        </w:rPr>
        <w:t xml:space="preserve">How diversity is understood and agitated for matters because it has a bearing on the extent to which changing the face of the judiciary might actually transform the law. </w:t>
      </w:r>
      <w:r w:rsidR="00982FD9" w:rsidRPr="0075771C">
        <w:rPr>
          <w:rFonts w:ascii="Times New Roman" w:hAnsi="Times New Roman" w:cs="Times New Roman"/>
        </w:rPr>
        <w:t xml:space="preserve">I argue </w:t>
      </w:r>
      <w:r w:rsidR="00982FD9">
        <w:rPr>
          <w:rFonts w:ascii="Times New Roman" w:hAnsi="Times New Roman" w:cs="Times New Roman"/>
        </w:rPr>
        <w:t>t</w:t>
      </w:r>
      <w:r w:rsidR="00982FD9" w:rsidRPr="0075771C">
        <w:rPr>
          <w:rFonts w:ascii="Times New Roman" w:hAnsi="Times New Roman" w:cs="Times New Roman"/>
        </w:rPr>
        <w:t xml:space="preserve">hat valuing judicial diversity as a public </w:t>
      </w:r>
      <w:r w:rsidR="00982FD9" w:rsidRPr="002E67ED">
        <w:rPr>
          <w:rFonts w:ascii="Times New Roman" w:hAnsi="Times New Roman" w:cs="Times New Roman"/>
        </w:rPr>
        <w:t xml:space="preserve">good is an important step in securing feminist judges as it serves </w:t>
      </w:r>
      <w:r w:rsidR="00793214">
        <w:rPr>
          <w:rFonts w:ascii="Times New Roman" w:hAnsi="Times New Roman" w:cs="Times New Roman"/>
        </w:rPr>
        <w:t xml:space="preserve">as </w:t>
      </w:r>
      <w:r w:rsidR="00982FD9" w:rsidRPr="002E67ED">
        <w:rPr>
          <w:rFonts w:ascii="Times New Roman" w:hAnsi="Times New Roman" w:cs="Times New Roman"/>
        </w:rPr>
        <w:t>a reminder</w:t>
      </w:r>
      <w:r w:rsidR="00982FD9" w:rsidRPr="00D11D50">
        <w:rPr>
          <w:rFonts w:ascii="Times New Roman" w:hAnsi="Times New Roman" w:cs="Times New Roman"/>
        </w:rPr>
        <w:t xml:space="preserve"> that </w:t>
      </w:r>
      <w:r w:rsidR="00982FD9" w:rsidRPr="00D11D50">
        <w:rPr>
          <w:rFonts w:ascii="Times New Roman" w:hAnsi="Times New Roman" w:cs="Times New Roman"/>
          <w:bCs/>
          <w:lang w:bidi="en-US"/>
        </w:rPr>
        <w:lastRenderedPageBreak/>
        <w:t xml:space="preserve">law is the result of human processes of reasoning informed by experience, values and knowledge. While such an acknowledgment certainly does not guarantee the appointment of feminist judges, </w:t>
      </w:r>
      <w:r w:rsidR="00982FD9" w:rsidRPr="002E67ED">
        <w:rPr>
          <w:rFonts w:ascii="Times New Roman" w:hAnsi="Times New Roman" w:cs="Times New Roman"/>
        </w:rPr>
        <w:t>appointments that undermine the homogeneity of the Court are steps in the right direction in disrupting the notion that judging is the preserve of men.</w:t>
      </w:r>
    </w:p>
    <w:p w14:paraId="289704BA" w14:textId="77777777" w:rsidR="0075771C" w:rsidRDefault="0075771C" w:rsidP="00BB7B8C">
      <w:pPr>
        <w:spacing w:line="360" w:lineRule="auto"/>
        <w:jc w:val="both"/>
      </w:pPr>
    </w:p>
    <w:p w14:paraId="0B6E5045" w14:textId="56CB8714" w:rsidR="002F2635" w:rsidRPr="00D457C9" w:rsidRDefault="002F2635" w:rsidP="001F2169">
      <w:pPr>
        <w:pStyle w:val="Style1"/>
        <w:rPr>
          <w:rFonts w:cs="Times New Roman"/>
          <w:color w:val="auto"/>
        </w:rPr>
      </w:pPr>
      <w:r w:rsidRPr="00D457C9">
        <w:rPr>
          <w:rFonts w:cs="Times New Roman"/>
        </w:rPr>
        <w:t>For most of its existence the High Court of Australia has</w:t>
      </w:r>
      <w:r w:rsidR="00982FD9">
        <w:rPr>
          <w:rFonts w:cs="Times New Roman"/>
        </w:rPr>
        <w:t xml:space="preserve"> certainly</w:t>
      </w:r>
      <w:r w:rsidRPr="00D457C9">
        <w:rPr>
          <w:rFonts w:cs="Times New Roman"/>
        </w:rPr>
        <w:t xml:space="preserve"> been the preserve of men judges. In 1987 the first woman judge, Justice Mary Gaudron, took her place on the Court. Gaudron’s replacement with a man saw the Court returned to its traditional composition of seven men</w:t>
      </w:r>
      <w:r w:rsidR="0096007C">
        <w:rPr>
          <w:rFonts w:cs="Times New Roman"/>
        </w:rPr>
        <w:t>,</w:t>
      </w:r>
      <w:r w:rsidRPr="00D457C9">
        <w:rPr>
          <w:rFonts w:cs="Times New Roman"/>
        </w:rPr>
        <w:t xml:space="preserve"> thus prompting questions about when a woman would again sit at the apex of the Australian judiciary. The subsequent appointment of three women to the High Court in relatively quick succession (Justice Susan Crennan in 2005, Justice Susan Kiefel in 2007 and Justice Virginia Bell in 2009) might readily be construed as a triumph for the politics of diversity and gender inclus</w:t>
      </w:r>
      <w:r w:rsidR="00D20E12">
        <w:rPr>
          <w:rFonts w:cs="Times New Roman"/>
        </w:rPr>
        <w:t>ion. For a brief period in 2015</w:t>
      </w:r>
      <w:r w:rsidRPr="00D457C9">
        <w:rPr>
          <w:rFonts w:cs="Times New Roman"/>
        </w:rPr>
        <w:t xml:space="preserve"> following Justice Crennan’s retirement there were only two wom</w:t>
      </w:r>
      <w:r w:rsidR="0096007C">
        <w:rPr>
          <w:rFonts w:cs="Times New Roman"/>
        </w:rPr>
        <w:t xml:space="preserve">en serving, but since then </w:t>
      </w:r>
      <w:r w:rsidRPr="00D457C9">
        <w:rPr>
          <w:rFonts w:cs="Times New Roman"/>
        </w:rPr>
        <w:t xml:space="preserve">the appointment of Justice Michelle Gordon and the elevation of Susan Kiefel to Chief Justice means the condition of a near-equal gender balance has returned. </w:t>
      </w:r>
      <w:r w:rsidRPr="00D457C9">
        <w:rPr>
          <w:rFonts w:eastAsia="Times New Roman" w:cs="Times New Roman"/>
          <w:color w:val="auto"/>
          <w:lang w:eastAsia="en-AU"/>
        </w:rPr>
        <w:t xml:space="preserve">Of </w:t>
      </w:r>
      <w:r w:rsidRPr="00D457C9">
        <w:rPr>
          <w:rFonts w:cs="Times New Roman"/>
          <w:color w:val="auto"/>
        </w:rPr>
        <w:t xml:space="preserve">the five women </w:t>
      </w:r>
      <w:r w:rsidR="0096007C">
        <w:rPr>
          <w:rFonts w:cs="Times New Roman"/>
          <w:color w:val="auto"/>
        </w:rPr>
        <w:t xml:space="preserve">ever </w:t>
      </w:r>
      <w:r w:rsidRPr="00D457C9">
        <w:rPr>
          <w:rFonts w:cs="Times New Roman"/>
          <w:color w:val="auto"/>
        </w:rPr>
        <w:t>appointed the High Court, only the first, Justice Mary Gaudron, could be said to have evidenced a willingness to reflect on the possible relationship between gender and judging.</w:t>
      </w:r>
    </w:p>
    <w:p w14:paraId="220A1094" w14:textId="77777777" w:rsidR="002F2635" w:rsidRPr="00D457C9" w:rsidRDefault="002F2635" w:rsidP="001F2169">
      <w:pPr>
        <w:pStyle w:val="Style1"/>
        <w:rPr>
          <w:rFonts w:cs="Times New Roman"/>
          <w:color w:val="auto"/>
        </w:rPr>
      </w:pPr>
    </w:p>
    <w:p w14:paraId="772AC95D" w14:textId="257E8659" w:rsidR="009E1D71" w:rsidRPr="00D457C9" w:rsidRDefault="001F2169" w:rsidP="002F2635">
      <w:pPr>
        <w:pStyle w:val="Style1"/>
        <w:rPr>
          <w:rFonts w:eastAsia="Times New Roman" w:cs="Times New Roman"/>
          <w:color w:val="auto"/>
          <w:lang w:eastAsia="en-AU"/>
        </w:rPr>
      </w:pPr>
      <w:r w:rsidRPr="00D457C9" w:rsidDel="00FC4D8C">
        <w:rPr>
          <w:rFonts w:cs="Times New Roman"/>
          <w:color w:val="auto"/>
        </w:rPr>
        <w:t xml:space="preserve">The </w:t>
      </w:r>
      <w:r w:rsidRPr="00D457C9">
        <w:rPr>
          <w:rFonts w:eastAsia="Times New Roman" w:cs="Times New Roman"/>
          <w:color w:val="auto"/>
          <w:lang w:eastAsia="en-AU"/>
        </w:rPr>
        <w:t>appointment</w:t>
      </w:r>
      <w:r w:rsidRPr="00D457C9" w:rsidDel="00FC4D8C">
        <w:rPr>
          <w:rFonts w:eastAsia="Times New Roman" w:cs="Times New Roman"/>
          <w:color w:val="auto"/>
          <w:lang w:eastAsia="en-AU"/>
        </w:rPr>
        <w:t xml:space="preserve"> of women judges </w:t>
      </w:r>
      <w:r w:rsidRPr="00D457C9">
        <w:rPr>
          <w:rFonts w:eastAsia="Times New Roman" w:cs="Times New Roman"/>
          <w:color w:val="auto"/>
          <w:lang w:eastAsia="en-AU"/>
        </w:rPr>
        <w:t xml:space="preserve">to the High Court of Australia </w:t>
      </w:r>
      <w:r w:rsidRPr="00D457C9" w:rsidDel="00FC4D8C">
        <w:rPr>
          <w:rFonts w:eastAsia="Times New Roman" w:cs="Times New Roman"/>
          <w:color w:val="auto"/>
          <w:lang w:eastAsia="en-AU"/>
        </w:rPr>
        <w:t xml:space="preserve">has </w:t>
      </w:r>
      <w:r w:rsidR="000116A3" w:rsidRPr="00D457C9">
        <w:rPr>
          <w:rFonts w:eastAsia="Times New Roman" w:cs="Times New Roman"/>
          <w:color w:val="auto"/>
          <w:lang w:eastAsia="en-AU"/>
        </w:rPr>
        <w:t xml:space="preserve">typically </w:t>
      </w:r>
      <w:r w:rsidRPr="00D457C9" w:rsidDel="00FC4D8C">
        <w:rPr>
          <w:rFonts w:eastAsia="Times New Roman" w:cs="Times New Roman"/>
          <w:color w:val="auto"/>
          <w:lang w:eastAsia="en-AU"/>
        </w:rPr>
        <w:t>produced a predictably contradictory gendered rhetoric.  On one hand the appointment of women judges has been seen as a victory for feminists (often in ways that denigrate such appointments as tokenistic or lacking in merit)</w:t>
      </w:r>
      <w:r w:rsidRPr="00D457C9">
        <w:rPr>
          <w:rFonts w:eastAsia="Times New Roman" w:cs="Times New Roman"/>
          <w:color w:val="auto"/>
          <w:lang w:eastAsia="en-AU"/>
        </w:rPr>
        <w:t xml:space="preserve">, and on the other, it has been suggested that </w:t>
      </w:r>
      <w:r w:rsidRPr="00D457C9" w:rsidDel="00FC4D8C">
        <w:rPr>
          <w:rFonts w:eastAsia="Times New Roman" w:cs="Times New Roman"/>
          <w:color w:val="auto"/>
          <w:lang w:eastAsia="en-AU"/>
        </w:rPr>
        <w:t xml:space="preserve">the women appointed to the High Court </w:t>
      </w:r>
      <w:r w:rsidRPr="00D457C9">
        <w:rPr>
          <w:rFonts w:eastAsia="Times New Roman" w:cs="Times New Roman"/>
          <w:color w:val="auto"/>
          <w:lang w:eastAsia="en-AU"/>
        </w:rPr>
        <w:t xml:space="preserve">are a </w:t>
      </w:r>
      <w:r w:rsidRPr="00D457C9" w:rsidDel="00FC4D8C">
        <w:rPr>
          <w:rFonts w:eastAsia="Times New Roman" w:cs="Times New Roman"/>
          <w:color w:val="auto"/>
          <w:lang w:eastAsia="en-AU"/>
        </w:rPr>
        <w:t>disappointment to the feminists who agitated for their appointment</w:t>
      </w:r>
      <w:r w:rsidRPr="00D457C9">
        <w:rPr>
          <w:rFonts w:eastAsia="Times New Roman" w:cs="Times New Roman"/>
          <w:color w:val="auto"/>
          <w:lang w:eastAsia="en-AU"/>
        </w:rPr>
        <w:t>.</w:t>
      </w:r>
      <w:r w:rsidRPr="00D457C9">
        <w:rPr>
          <w:rStyle w:val="FootnoteReference"/>
          <w:rFonts w:eastAsia="Times New Roman" w:cs="Times New Roman"/>
          <w:color w:val="auto"/>
          <w:lang w:eastAsia="en-AU"/>
        </w:rPr>
        <w:footnoteReference w:id="5"/>
      </w:r>
      <w:r w:rsidRPr="00D457C9">
        <w:rPr>
          <w:rFonts w:eastAsia="Times New Roman" w:cs="Times New Roman"/>
          <w:color w:val="auto"/>
          <w:lang w:eastAsia="en-AU"/>
        </w:rPr>
        <w:t xml:space="preserve"> The latter issue is a potentially thorny one for feminists insofar as it raises significant questions about why diversity matters, what it looks like</w:t>
      </w:r>
      <w:r w:rsidR="00A81DAB">
        <w:rPr>
          <w:rFonts w:eastAsia="Times New Roman" w:cs="Times New Roman"/>
          <w:color w:val="auto"/>
          <w:lang w:eastAsia="en-AU"/>
        </w:rPr>
        <w:t>,</w:t>
      </w:r>
      <w:r w:rsidRPr="00D457C9">
        <w:rPr>
          <w:rFonts w:eastAsia="Times New Roman" w:cs="Times New Roman"/>
          <w:color w:val="auto"/>
          <w:lang w:eastAsia="en-AU"/>
        </w:rPr>
        <w:t xml:space="preserve"> and what it might achieve. </w:t>
      </w:r>
    </w:p>
    <w:p w14:paraId="3F7BFF8D" w14:textId="77777777" w:rsidR="002F2635" w:rsidRPr="00D457C9" w:rsidRDefault="002F2635" w:rsidP="002F2635">
      <w:pPr>
        <w:pStyle w:val="Style1"/>
        <w:rPr>
          <w:rFonts w:cs="Times New Roman"/>
          <w:color w:val="auto"/>
        </w:rPr>
      </w:pPr>
    </w:p>
    <w:p w14:paraId="25A0BA54" w14:textId="57C1A7FA" w:rsidR="008511E9" w:rsidRDefault="002339F4" w:rsidP="002F2635">
      <w:pPr>
        <w:pStyle w:val="Style1"/>
        <w:rPr>
          <w:rFonts w:cs="Times New Roman"/>
          <w:color w:val="auto"/>
        </w:rPr>
      </w:pPr>
      <w:r w:rsidRPr="00D457C9">
        <w:rPr>
          <w:rFonts w:cs="Times New Roman"/>
          <w:color w:val="auto"/>
        </w:rPr>
        <w:lastRenderedPageBreak/>
        <w:t>Much has been written about th</w:t>
      </w:r>
      <w:r w:rsidR="00D457C9">
        <w:rPr>
          <w:rFonts w:cs="Times New Roman"/>
          <w:color w:val="auto"/>
        </w:rPr>
        <w:t>e elusive nature of difference</w:t>
      </w:r>
      <w:r w:rsidR="00E453A6">
        <w:rPr>
          <w:rFonts w:cs="Times New Roman"/>
          <w:color w:val="auto"/>
        </w:rPr>
        <w:t>.</w:t>
      </w:r>
      <w:r w:rsidR="004B54B2" w:rsidRPr="00D457C9">
        <w:rPr>
          <w:rStyle w:val="FootnoteReference"/>
          <w:rFonts w:cs="Times New Roman"/>
          <w:color w:val="auto"/>
        </w:rPr>
        <w:footnoteReference w:id="6"/>
      </w:r>
      <w:r w:rsidR="004B54B2" w:rsidRPr="00D457C9">
        <w:rPr>
          <w:rFonts w:eastAsia="Times New Roman" w:cs="Times New Roman"/>
          <w:color w:val="auto"/>
          <w:lang w:eastAsia="en-AU"/>
        </w:rPr>
        <w:t xml:space="preserve"> </w:t>
      </w:r>
      <w:r w:rsidR="00167F80">
        <w:rPr>
          <w:rFonts w:eastAsia="Times New Roman" w:cs="Times New Roman"/>
          <w:color w:val="auto"/>
          <w:lang w:eastAsia="en-AU"/>
        </w:rPr>
        <w:t xml:space="preserve">It is no revelation to note that women judges </w:t>
      </w:r>
      <w:r w:rsidR="00167F80">
        <w:rPr>
          <w:rFonts w:cs="Times New Roman"/>
          <w:color w:val="auto"/>
        </w:rPr>
        <w:t xml:space="preserve">have </w:t>
      </w:r>
      <w:r w:rsidR="00D457C9" w:rsidRPr="00D457C9">
        <w:rPr>
          <w:rFonts w:cs="Times New Roman"/>
          <w:color w:val="auto"/>
        </w:rPr>
        <w:t xml:space="preserve">not necessarily </w:t>
      </w:r>
      <w:r w:rsidR="00167F80">
        <w:rPr>
          <w:rFonts w:cs="Times New Roman"/>
          <w:color w:val="auto"/>
        </w:rPr>
        <w:t>di</w:t>
      </w:r>
      <w:r w:rsidR="00677E69">
        <w:rPr>
          <w:rFonts w:cs="Times New Roman"/>
          <w:color w:val="auto"/>
        </w:rPr>
        <w:t>srupted</w:t>
      </w:r>
      <w:r w:rsidRPr="00D457C9">
        <w:rPr>
          <w:rFonts w:cs="Times New Roman"/>
          <w:color w:val="auto"/>
        </w:rPr>
        <w:t xml:space="preserve"> law and legal reasoning in the ways that were </w:t>
      </w:r>
      <w:r w:rsidR="002F2635" w:rsidRPr="00D457C9">
        <w:rPr>
          <w:rFonts w:eastAsia="Times New Roman" w:cs="Times New Roman"/>
          <w:color w:val="auto"/>
          <w:lang w:eastAsia="en-AU"/>
        </w:rPr>
        <w:t>originally hypothesised</w:t>
      </w:r>
      <w:r w:rsidR="00E453A6" w:rsidRPr="00D457C9">
        <w:rPr>
          <w:rStyle w:val="FootnoteReference"/>
          <w:rFonts w:eastAsia="Times New Roman" w:cs="Times New Roman"/>
          <w:color w:val="auto"/>
          <w:lang w:eastAsia="en-AU"/>
        </w:rPr>
        <w:footnoteReference w:id="7"/>
      </w:r>
      <w:r w:rsidR="00E453A6" w:rsidRPr="00D457C9">
        <w:rPr>
          <w:rFonts w:eastAsia="Times New Roman" w:cs="Times New Roman"/>
          <w:color w:val="auto"/>
          <w:lang w:eastAsia="en-AU"/>
        </w:rPr>
        <w:t xml:space="preserve"> </w:t>
      </w:r>
      <w:r w:rsidR="002F2635" w:rsidRPr="00D457C9">
        <w:rPr>
          <w:rFonts w:eastAsia="Times New Roman" w:cs="Times New Roman"/>
          <w:color w:val="auto"/>
          <w:lang w:eastAsia="en-AU"/>
        </w:rPr>
        <w:t xml:space="preserve">by </w:t>
      </w:r>
      <w:r w:rsidR="00D457C9" w:rsidRPr="00D457C9">
        <w:rPr>
          <w:rFonts w:eastAsia="Times New Roman" w:cs="Times New Roman"/>
          <w:color w:val="auto"/>
          <w:lang w:eastAsia="en-AU"/>
        </w:rPr>
        <w:t>(</w:t>
      </w:r>
      <w:r w:rsidR="002F2635" w:rsidRPr="00D457C9">
        <w:rPr>
          <w:rFonts w:eastAsia="Times New Roman" w:cs="Times New Roman"/>
          <w:color w:val="auto"/>
          <w:lang w:eastAsia="en-AU"/>
        </w:rPr>
        <w:t>some</w:t>
      </w:r>
      <w:r w:rsidR="00D457C9" w:rsidRPr="00D457C9">
        <w:rPr>
          <w:rFonts w:eastAsia="Times New Roman" w:cs="Times New Roman"/>
          <w:color w:val="auto"/>
          <w:lang w:eastAsia="en-AU"/>
        </w:rPr>
        <w:t>)</w:t>
      </w:r>
      <w:r w:rsidR="002F2635" w:rsidRPr="00D457C9">
        <w:rPr>
          <w:rFonts w:eastAsia="Times New Roman" w:cs="Times New Roman"/>
          <w:color w:val="auto"/>
          <w:lang w:eastAsia="en-AU"/>
        </w:rPr>
        <w:t xml:space="preserve"> feminist legal theorists</w:t>
      </w:r>
      <w:r w:rsidRPr="00D457C9">
        <w:rPr>
          <w:rFonts w:eastAsia="Times New Roman" w:cs="Times New Roman"/>
          <w:color w:val="auto"/>
          <w:lang w:eastAsia="en-AU"/>
        </w:rPr>
        <w:t xml:space="preserve">. </w:t>
      </w:r>
      <w:r w:rsidR="00A530FF">
        <w:rPr>
          <w:rFonts w:eastAsia="Times New Roman" w:cs="Times New Roman"/>
          <w:color w:val="auto"/>
          <w:lang w:eastAsia="en-AU"/>
        </w:rPr>
        <w:t xml:space="preserve"> This </w:t>
      </w:r>
      <w:r w:rsidR="004B54B2">
        <w:rPr>
          <w:rFonts w:eastAsia="Times New Roman" w:cs="Times New Roman"/>
          <w:color w:val="auto"/>
          <w:lang w:eastAsia="en-AU"/>
        </w:rPr>
        <w:t xml:space="preserve">explains why expectations </w:t>
      </w:r>
      <w:r w:rsidR="00A530FF">
        <w:rPr>
          <w:rFonts w:eastAsia="Times New Roman" w:cs="Times New Roman"/>
          <w:color w:val="auto"/>
          <w:lang w:eastAsia="en-AU"/>
        </w:rPr>
        <w:t xml:space="preserve">about the kind of difference </w:t>
      </w:r>
      <w:r w:rsidR="00D457C9">
        <w:rPr>
          <w:rFonts w:eastAsia="Times New Roman" w:cs="Times New Roman"/>
          <w:color w:val="auto"/>
          <w:lang w:eastAsia="en-AU"/>
        </w:rPr>
        <w:t>women jud</w:t>
      </w:r>
      <w:r w:rsidR="004B54B2">
        <w:rPr>
          <w:rFonts w:eastAsia="Times New Roman" w:cs="Times New Roman"/>
          <w:color w:val="auto"/>
          <w:lang w:eastAsia="en-AU"/>
        </w:rPr>
        <w:t>ges</w:t>
      </w:r>
      <w:r w:rsidR="00D457C9" w:rsidRPr="00D457C9">
        <w:rPr>
          <w:rFonts w:eastAsia="Times New Roman" w:cs="Times New Roman"/>
          <w:color w:val="auto"/>
          <w:lang w:eastAsia="en-AU"/>
        </w:rPr>
        <w:t xml:space="preserve"> </w:t>
      </w:r>
      <w:r w:rsidR="004B54B2">
        <w:rPr>
          <w:rFonts w:eastAsia="Times New Roman" w:cs="Times New Roman"/>
          <w:color w:val="auto"/>
          <w:lang w:eastAsia="en-AU"/>
        </w:rPr>
        <w:t>might make have been reconfigured</w:t>
      </w:r>
      <w:r w:rsidR="00A530FF">
        <w:rPr>
          <w:rFonts w:eastAsia="Times New Roman" w:cs="Times New Roman"/>
          <w:color w:val="auto"/>
          <w:lang w:eastAsia="en-AU"/>
        </w:rPr>
        <w:t xml:space="preserve"> to propose that </w:t>
      </w:r>
      <w:r w:rsidR="00A530FF" w:rsidRPr="00A530FF">
        <w:rPr>
          <w:rFonts w:eastAsia="Times New Roman" w:cs="Times New Roman"/>
          <w:i/>
          <w:color w:val="auto"/>
          <w:lang w:eastAsia="en-AU"/>
        </w:rPr>
        <w:t>feminist</w:t>
      </w:r>
      <w:r w:rsidR="00A530FF">
        <w:rPr>
          <w:rFonts w:eastAsia="Times New Roman" w:cs="Times New Roman"/>
          <w:color w:val="auto"/>
          <w:lang w:eastAsia="en-AU"/>
        </w:rPr>
        <w:t xml:space="preserve"> rather than women judges might have the capacity to</w:t>
      </w:r>
      <w:r w:rsidR="00AD7BCE">
        <w:rPr>
          <w:rFonts w:eastAsia="Times New Roman" w:cs="Times New Roman"/>
          <w:color w:val="auto"/>
          <w:lang w:eastAsia="en-AU"/>
        </w:rPr>
        <w:t xml:space="preserve"> </w:t>
      </w:r>
      <w:r w:rsidR="00AD7BCE" w:rsidRPr="003D72EF">
        <w:rPr>
          <w:rFonts w:cs="Times New Roman"/>
          <w:color w:val="auto"/>
        </w:rPr>
        <w:t>challeng</w:t>
      </w:r>
      <w:r w:rsidR="00AD7BCE">
        <w:rPr>
          <w:rFonts w:cs="Times New Roman"/>
          <w:color w:val="auto"/>
        </w:rPr>
        <w:t>e g</w:t>
      </w:r>
      <w:r w:rsidR="00AD7BCE" w:rsidRPr="003D72EF">
        <w:rPr>
          <w:rFonts w:cs="Times New Roman"/>
          <w:color w:val="auto"/>
        </w:rPr>
        <w:t>endered legal concepts, understandings and narratives</w:t>
      </w:r>
      <w:r w:rsidR="00AD7BCE">
        <w:rPr>
          <w:rFonts w:cs="Times New Roman"/>
          <w:color w:val="auto"/>
        </w:rPr>
        <w:t>.</w:t>
      </w:r>
      <w:r w:rsidR="00A530FF">
        <w:rPr>
          <w:rFonts w:eastAsia="Times New Roman" w:cs="Times New Roman"/>
          <w:color w:val="auto"/>
          <w:lang w:eastAsia="en-AU"/>
        </w:rPr>
        <w:t xml:space="preserve"> </w:t>
      </w:r>
      <w:r w:rsidR="004B54B2">
        <w:rPr>
          <w:rFonts w:eastAsia="Times New Roman" w:cs="Times New Roman"/>
          <w:color w:val="auto"/>
          <w:lang w:eastAsia="en-AU"/>
        </w:rPr>
        <w:t xml:space="preserve"> </w:t>
      </w:r>
      <w:r w:rsidR="00167F80">
        <w:rPr>
          <w:rFonts w:cs="Times New Roman"/>
          <w:color w:val="auto"/>
        </w:rPr>
        <w:t>B</w:t>
      </w:r>
      <w:r w:rsidR="00B97227">
        <w:rPr>
          <w:rFonts w:cs="Times New Roman"/>
          <w:color w:val="auto"/>
        </w:rPr>
        <w:t>ut the appointm</w:t>
      </w:r>
      <w:r w:rsidR="00241495">
        <w:rPr>
          <w:rFonts w:cs="Times New Roman"/>
          <w:color w:val="auto"/>
        </w:rPr>
        <w:t xml:space="preserve">ent of feminist judges presents its own challenges. </w:t>
      </w:r>
      <w:r w:rsidR="008511E9" w:rsidRPr="00D457C9">
        <w:rPr>
          <w:rFonts w:cs="Times New Roman"/>
        </w:rPr>
        <w:t>Given what we know about the masculinist nature of legal</w:t>
      </w:r>
      <w:r w:rsidR="00B21B50">
        <w:rPr>
          <w:rFonts w:cs="Times New Roman"/>
        </w:rPr>
        <w:t xml:space="preserve"> and political</w:t>
      </w:r>
      <w:r w:rsidR="008511E9" w:rsidRPr="00D457C9">
        <w:rPr>
          <w:rFonts w:cs="Times New Roman"/>
        </w:rPr>
        <w:t xml:space="preserve"> institutions, </w:t>
      </w:r>
      <w:r w:rsidR="008511E9">
        <w:rPr>
          <w:rFonts w:cs="Times New Roman"/>
        </w:rPr>
        <w:t xml:space="preserve">it is not surprising that those making judicial appointments </w:t>
      </w:r>
      <w:r w:rsidR="0029776E">
        <w:rPr>
          <w:rFonts w:cs="Times New Roman"/>
        </w:rPr>
        <w:t xml:space="preserve">might be </w:t>
      </w:r>
      <w:r w:rsidR="00355289">
        <w:rPr>
          <w:rFonts w:cs="Times New Roman"/>
        </w:rPr>
        <w:t xml:space="preserve">especially </w:t>
      </w:r>
      <w:r w:rsidR="0029776E">
        <w:rPr>
          <w:rFonts w:cs="Times New Roman"/>
        </w:rPr>
        <w:t>reticent to appoint</w:t>
      </w:r>
      <w:r w:rsidR="008511E9">
        <w:rPr>
          <w:rFonts w:cs="Times New Roman"/>
        </w:rPr>
        <w:t xml:space="preserve"> feminist judges. Nor is it surprising that appointees might want to actively </w:t>
      </w:r>
      <w:r w:rsidR="00241495">
        <w:rPr>
          <w:rFonts w:cs="Times New Roman"/>
        </w:rPr>
        <w:t>eschew a feminist i</w:t>
      </w:r>
      <w:r w:rsidR="00B21B50">
        <w:rPr>
          <w:rFonts w:cs="Times New Roman"/>
        </w:rPr>
        <w:t>dentity</w:t>
      </w:r>
      <w:r w:rsidR="008511E9">
        <w:rPr>
          <w:rFonts w:cs="Times New Roman"/>
        </w:rPr>
        <w:t xml:space="preserve"> </w:t>
      </w:r>
      <w:r w:rsidR="008511E9" w:rsidRPr="00D457C9">
        <w:rPr>
          <w:rFonts w:cs="Times New Roman"/>
        </w:rPr>
        <w:t>since the desire is to fit in, to be worthy of the honour of appointment. Hence, like all appointees, women to varying degrees seek the safety of what Rackley terms ‘the guise of the default judge</w:t>
      </w:r>
      <w:r w:rsidR="00D20E12">
        <w:rPr>
          <w:rFonts w:cs="Times New Roman"/>
        </w:rPr>
        <w:t>’</w:t>
      </w:r>
      <w:r w:rsidR="008511E9" w:rsidRPr="00D457C9">
        <w:rPr>
          <w:rFonts w:cs="Times New Roman"/>
        </w:rPr>
        <w:t xml:space="preserve">, which means that they invariably try to present ‘themselves as </w:t>
      </w:r>
      <w:r w:rsidR="008511E9" w:rsidRPr="00D457C9">
        <w:rPr>
          <w:rFonts w:cs="Times New Roman"/>
          <w:i/>
        </w:rPr>
        <w:t>exactly the same</w:t>
      </w:r>
      <w:r w:rsidR="008511E9" w:rsidRPr="00D457C9">
        <w:rPr>
          <w:rFonts w:cs="Times New Roman"/>
        </w:rPr>
        <w:t xml:space="preserve"> as their male counterparts: a lawyer first </w:t>
      </w:r>
      <w:r w:rsidR="008511E9" w:rsidRPr="00D457C9">
        <w:rPr>
          <w:rFonts w:cs="Times New Roman"/>
          <w:i/>
        </w:rPr>
        <w:t xml:space="preserve">and </w:t>
      </w:r>
      <w:r w:rsidR="008511E9" w:rsidRPr="00D457C9">
        <w:rPr>
          <w:rFonts w:cs="Times New Roman"/>
        </w:rPr>
        <w:t>second, neither man nor woman</w:t>
      </w:r>
      <w:r w:rsidR="00D20E12">
        <w:rPr>
          <w:rFonts w:cs="Times New Roman"/>
        </w:rPr>
        <w:t>’</w:t>
      </w:r>
      <w:r w:rsidR="008511E9" w:rsidRPr="00D457C9">
        <w:rPr>
          <w:rFonts w:cs="Times New Roman"/>
        </w:rPr>
        <w:t>.</w:t>
      </w:r>
      <w:r w:rsidR="00241495">
        <w:rPr>
          <w:rStyle w:val="FootnoteReference"/>
          <w:rFonts w:cs="Times New Roman"/>
        </w:rPr>
        <w:footnoteReference w:id="8"/>
      </w:r>
      <w:r w:rsidR="00B21B50" w:rsidRPr="00B21B50">
        <w:rPr>
          <w:rFonts w:cs="Times New Roman"/>
          <w:color w:val="auto"/>
        </w:rPr>
        <w:t xml:space="preserve"> </w:t>
      </w:r>
      <w:r w:rsidR="00D971A4">
        <w:rPr>
          <w:rFonts w:cs="Times New Roman"/>
          <w:color w:val="auto"/>
        </w:rPr>
        <w:t>This is not to suggest that women judges are necessarily concealing a hidden feminist identity—rather, it is to observe how entrenched the</w:t>
      </w:r>
      <w:r w:rsidR="00AD7BCE">
        <w:rPr>
          <w:rFonts w:cs="Times New Roman"/>
          <w:color w:val="auto"/>
        </w:rPr>
        <w:t xml:space="preserve"> notion of the default judge is</w:t>
      </w:r>
      <w:r w:rsidR="00B21B50" w:rsidRPr="003D72EF">
        <w:rPr>
          <w:rFonts w:cs="Times New Roman"/>
          <w:color w:val="auto"/>
        </w:rPr>
        <w:t>. Law propagates a fiction of the genderless judge</w:t>
      </w:r>
      <w:r w:rsidR="0096007C">
        <w:rPr>
          <w:rFonts w:cs="Times New Roman"/>
          <w:color w:val="auto"/>
        </w:rPr>
        <w:t>,</w:t>
      </w:r>
      <w:r w:rsidR="00B21B50" w:rsidRPr="003D72EF">
        <w:rPr>
          <w:rFonts w:cs="Times New Roman"/>
          <w:color w:val="auto"/>
        </w:rPr>
        <w:t xml:space="preserve"> so much so that to speak </w:t>
      </w:r>
      <w:r w:rsidR="00B21B50" w:rsidRPr="003D72EF">
        <w:rPr>
          <w:rFonts w:cs="Times New Roman"/>
          <w:i/>
          <w:color w:val="auto"/>
        </w:rPr>
        <w:t>as a man</w:t>
      </w:r>
      <w:r w:rsidR="00B21B50" w:rsidRPr="003D72EF">
        <w:rPr>
          <w:rFonts w:cs="Times New Roman"/>
          <w:color w:val="auto"/>
        </w:rPr>
        <w:t xml:space="preserve"> judge is not to speak </w:t>
      </w:r>
      <w:r w:rsidR="00B21B50" w:rsidRPr="003D72EF">
        <w:rPr>
          <w:rFonts w:cs="Times New Roman"/>
          <w:i/>
          <w:color w:val="auto"/>
        </w:rPr>
        <w:t>as a</w:t>
      </w:r>
      <w:r w:rsidR="00B21B50" w:rsidRPr="003D72EF">
        <w:rPr>
          <w:rFonts w:cs="Times New Roman"/>
          <w:color w:val="auto"/>
        </w:rPr>
        <w:t xml:space="preserve"> man at all; it is simply to speak as the judge.</w:t>
      </w:r>
      <w:r w:rsidR="00765FDF">
        <w:rPr>
          <w:rFonts w:cs="Times New Roman"/>
          <w:color w:val="auto"/>
        </w:rPr>
        <w:t xml:space="preserve"> </w:t>
      </w:r>
    </w:p>
    <w:p w14:paraId="2892031B" w14:textId="77777777" w:rsidR="009E1D71" w:rsidRPr="00D457C9" w:rsidRDefault="009E1D71" w:rsidP="009E1D71">
      <w:pPr>
        <w:pStyle w:val="Style1"/>
        <w:rPr>
          <w:rFonts w:cs="Times New Roman"/>
          <w:color w:val="auto"/>
          <w:lang w:bidi="ar-SA"/>
        </w:rPr>
      </w:pPr>
    </w:p>
    <w:p w14:paraId="2ACE6C3F" w14:textId="2B10A179" w:rsidR="00765FDF" w:rsidRDefault="009E1D71" w:rsidP="00D63AE6">
      <w:pPr>
        <w:pStyle w:val="Style1"/>
      </w:pPr>
      <w:r w:rsidRPr="00D457C9">
        <w:rPr>
          <w:rFonts w:cs="Times New Roman"/>
          <w:color w:val="auto"/>
          <w:lang w:bidi="ar-SA"/>
        </w:rPr>
        <w:t>How we, as feminist theorists</w:t>
      </w:r>
      <w:r w:rsidR="0096007C">
        <w:rPr>
          <w:rFonts w:cs="Times New Roman"/>
          <w:color w:val="auto"/>
          <w:lang w:bidi="ar-SA"/>
        </w:rPr>
        <w:t>,</w:t>
      </w:r>
      <w:r w:rsidRPr="00D457C9">
        <w:rPr>
          <w:rFonts w:cs="Times New Roman"/>
          <w:color w:val="auto"/>
          <w:lang w:bidi="ar-SA"/>
        </w:rPr>
        <w:t xml:space="preserve"> conceptualise and value diversity is therefore significant. </w:t>
      </w:r>
      <w:r w:rsidR="0096007C">
        <w:rPr>
          <w:rFonts w:cs="Times New Roman"/>
          <w:color w:val="auto"/>
        </w:rPr>
        <w:t>V</w:t>
      </w:r>
      <w:r w:rsidRPr="00D457C9">
        <w:rPr>
          <w:rFonts w:cs="Times New Roman"/>
          <w:color w:val="auto"/>
        </w:rPr>
        <w:t>an Marle’s concern with ‘how diversity is often treated in law or legal reform projects is one of adding, with the view of bringing more diversity’</w:t>
      </w:r>
      <w:r w:rsidRPr="00D457C9">
        <w:rPr>
          <w:rStyle w:val="FootnoteReference"/>
          <w:rFonts w:cs="Times New Roman"/>
          <w:color w:val="auto"/>
        </w:rPr>
        <w:footnoteReference w:id="9"/>
      </w:r>
      <w:r w:rsidRPr="00D457C9">
        <w:rPr>
          <w:rFonts w:cs="Times New Roman"/>
          <w:color w:val="auto"/>
        </w:rPr>
        <w:t xml:space="preserve"> is apposite here. She argues that ‘a mere adding of categories or even opening up to </w:t>
      </w:r>
      <w:r w:rsidRPr="00D457C9">
        <w:rPr>
          <w:rFonts w:cs="Times New Roman"/>
          <w:color w:val="auto"/>
        </w:rPr>
        <w:lastRenderedPageBreak/>
        <w:t>diverse ways will not sufficiently destabilise current systems and the culture and privilege attached to them’.</w:t>
      </w:r>
      <w:r w:rsidR="00434A79">
        <w:rPr>
          <w:rStyle w:val="FootnoteReference"/>
          <w:rFonts w:cs="Times New Roman"/>
          <w:color w:val="auto"/>
        </w:rPr>
        <w:footnoteReference w:id="10"/>
      </w:r>
      <w:r w:rsidRPr="00D457C9">
        <w:rPr>
          <w:rFonts w:cs="Times New Roman"/>
          <w:color w:val="auto"/>
        </w:rPr>
        <w:t xml:space="preserve">  This is another wa</w:t>
      </w:r>
      <w:r w:rsidR="00D971A4">
        <w:rPr>
          <w:rFonts w:cs="Times New Roman"/>
          <w:color w:val="auto"/>
        </w:rPr>
        <w:t>y of articulating the distinction</w:t>
      </w:r>
      <w:r w:rsidRPr="00D457C9">
        <w:rPr>
          <w:rFonts w:cs="Times New Roman"/>
          <w:color w:val="auto"/>
        </w:rPr>
        <w:t xml:space="preserve"> between understanding divers</w:t>
      </w:r>
      <w:r w:rsidR="0096007C">
        <w:rPr>
          <w:rFonts w:cs="Times New Roman"/>
          <w:color w:val="auto"/>
        </w:rPr>
        <w:t>ity as simply adding women (who</w:t>
      </w:r>
      <w:r w:rsidRPr="00D457C9">
        <w:rPr>
          <w:rFonts w:cs="Times New Roman"/>
          <w:color w:val="auto"/>
        </w:rPr>
        <w:t xml:space="preserve"> are expected to uphold existing power structures) and adding feminist judges who might have the capacity to disrupt those structures. Of course it might be argued that masculinism is so deeply embedded within existing </w:t>
      </w:r>
      <w:r w:rsidR="00D971A4">
        <w:rPr>
          <w:rFonts w:cs="Times New Roman"/>
          <w:color w:val="auto"/>
        </w:rPr>
        <w:t xml:space="preserve">legal </w:t>
      </w:r>
      <w:r w:rsidRPr="00D457C9">
        <w:rPr>
          <w:rFonts w:cs="Times New Roman"/>
          <w:color w:val="auto"/>
        </w:rPr>
        <w:t xml:space="preserve">frameworks that the culture and privilege attached to them might be immovable. If such a destabilisation is possible, it will take the appointment of </w:t>
      </w:r>
      <w:r w:rsidR="00677E69">
        <w:rPr>
          <w:rFonts w:cs="Times New Roman"/>
          <w:color w:val="auto"/>
        </w:rPr>
        <w:t xml:space="preserve">feminist </w:t>
      </w:r>
      <w:r w:rsidRPr="00D457C9">
        <w:rPr>
          <w:rFonts w:cs="Times New Roman"/>
          <w:color w:val="auto"/>
        </w:rPr>
        <w:t xml:space="preserve">judges who are not only aware of the importance of equality and the gendered nature of law, but also, willing and able to articulate that awareness. </w:t>
      </w:r>
      <w:r w:rsidRPr="00D457C9" w:rsidDel="00014F37">
        <w:rPr>
          <w:rFonts w:cs="Times New Roman"/>
          <w:color w:val="auto"/>
        </w:rPr>
        <w:t xml:space="preserve">In this paper I begin by outlining the gendered politics of Chief Justice Kiefel’s appointment (and judicial diversity more broadly) before turning to a discussion about the continuing feminist case for judicial diversity. Specifically, I want to reflect on the case for judicial diversity in light of shifts in our understanding and expectations about </w:t>
      </w:r>
      <w:r w:rsidRPr="00D457C9" w:rsidDel="00014F37">
        <w:rPr>
          <w:rFonts w:cs="Times New Roman"/>
          <w:i/>
          <w:color w:val="auto"/>
        </w:rPr>
        <w:t>who</w:t>
      </w:r>
      <w:r w:rsidRPr="00D457C9" w:rsidDel="00014F37">
        <w:rPr>
          <w:rFonts w:cs="Times New Roman"/>
          <w:color w:val="auto"/>
        </w:rPr>
        <w:t xml:space="preserve"> and </w:t>
      </w:r>
      <w:r w:rsidRPr="00D457C9" w:rsidDel="00014F37">
        <w:rPr>
          <w:rFonts w:cs="Times New Roman"/>
          <w:i/>
          <w:color w:val="auto"/>
        </w:rPr>
        <w:t>how</w:t>
      </w:r>
      <w:r w:rsidRPr="00D457C9" w:rsidDel="00014F37">
        <w:rPr>
          <w:rFonts w:cs="Times New Roman"/>
          <w:color w:val="auto"/>
        </w:rPr>
        <w:t xml:space="preserve"> the destabilising transformation once promised by gender diversity might be achieved.  </w:t>
      </w:r>
    </w:p>
    <w:p w14:paraId="4C1B6CCD" w14:textId="77777777" w:rsidR="00765FDF" w:rsidRDefault="00765FDF" w:rsidP="005035C7">
      <w:pPr>
        <w:spacing w:line="360" w:lineRule="auto"/>
        <w:jc w:val="both"/>
        <w:rPr>
          <w:rFonts w:ascii="Times New Roman" w:hAnsi="Times New Roman" w:cs="Times New Roman"/>
          <w:b/>
          <w:i/>
        </w:rPr>
      </w:pPr>
    </w:p>
    <w:p w14:paraId="4C506909" w14:textId="77777777" w:rsidR="009E1D71" w:rsidRPr="00434A79" w:rsidRDefault="009E1D71" w:rsidP="005035C7">
      <w:pPr>
        <w:spacing w:line="360" w:lineRule="auto"/>
        <w:jc w:val="both"/>
        <w:rPr>
          <w:rFonts w:ascii="Times New Roman" w:hAnsi="Times New Roman" w:cs="Times New Roman"/>
          <w:b/>
        </w:rPr>
      </w:pPr>
      <w:r w:rsidRPr="00434A79">
        <w:rPr>
          <w:rFonts w:ascii="Times New Roman" w:hAnsi="Times New Roman" w:cs="Times New Roman"/>
          <w:b/>
        </w:rPr>
        <w:t>The politics of judicial appointment and gender diversity</w:t>
      </w:r>
    </w:p>
    <w:p w14:paraId="2AD79752" w14:textId="36B9605F" w:rsidR="009E1D71" w:rsidRPr="000B7285" w:rsidRDefault="009E1D71" w:rsidP="009E1D71">
      <w:pPr>
        <w:spacing w:line="360" w:lineRule="auto"/>
        <w:jc w:val="both"/>
        <w:rPr>
          <w:rFonts w:cs="Times New Roman"/>
        </w:rPr>
      </w:pPr>
      <w:r w:rsidRPr="00D457C9">
        <w:rPr>
          <w:rFonts w:ascii="Times New Roman" w:hAnsi="Times New Roman" w:cs="Times New Roman"/>
        </w:rPr>
        <w:t>Nothing in the Australian constitutional</w:t>
      </w:r>
      <w:r w:rsidRPr="00D457C9">
        <w:rPr>
          <w:rStyle w:val="FootnoteReference"/>
          <w:rFonts w:ascii="Times New Roman" w:hAnsi="Times New Roman" w:cs="Times New Roman"/>
        </w:rPr>
        <w:footnoteReference w:id="11"/>
      </w:r>
      <w:r w:rsidRPr="00D457C9">
        <w:rPr>
          <w:rFonts w:ascii="Times New Roman" w:hAnsi="Times New Roman" w:cs="Times New Roman"/>
        </w:rPr>
        <w:t xml:space="preserve"> framework calls for diversity in judicial appointments, but it is clear that political expediency has meant that there is some political currency in adopting more inclusive appointment practices. </w:t>
      </w:r>
      <w:r w:rsidR="00C70D1F">
        <w:rPr>
          <w:rFonts w:ascii="Times New Roman" w:hAnsi="Times New Roman" w:cs="Times New Roman"/>
        </w:rPr>
        <w:t>Yet, t</w:t>
      </w:r>
      <w:r w:rsidRPr="00D457C9">
        <w:rPr>
          <w:rFonts w:ascii="Times New Roman" w:hAnsi="Times New Roman" w:cs="Times New Roman"/>
        </w:rPr>
        <w:t xml:space="preserve">he appointment of women judges </w:t>
      </w:r>
      <w:r w:rsidR="00213241">
        <w:rPr>
          <w:rFonts w:ascii="Times New Roman" w:hAnsi="Times New Roman" w:cs="Times New Roman"/>
        </w:rPr>
        <w:t xml:space="preserve">to the High Court </w:t>
      </w:r>
      <w:r w:rsidRPr="00D457C9">
        <w:rPr>
          <w:rFonts w:ascii="Times New Roman" w:hAnsi="Times New Roman" w:cs="Times New Roman"/>
        </w:rPr>
        <w:t>over al</w:t>
      </w:r>
      <w:r w:rsidR="00213241">
        <w:rPr>
          <w:rFonts w:ascii="Times New Roman" w:hAnsi="Times New Roman" w:cs="Times New Roman"/>
        </w:rPr>
        <w:t>most three decades has</w:t>
      </w:r>
      <w:r w:rsidRPr="00D457C9">
        <w:rPr>
          <w:rFonts w:ascii="Times New Roman" w:hAnsi="Times New Roman" w:cs="Times New Roman"/>
        </w:rPr>
        <w:t xml:space="preserve"> never </w:t>
      </w:r>
      <w:r w:rsidRPr="002D4724">
        <w:rPr>
          <w:rFonts w:ascii="Times New Roman" w:hAnsi="Times New Roman" w:cs="Times New Roman"/>
        </w:rPr>
        <w:t xml:space="preserve">involved any explicit statement from those making the appointment about the </w:t>
      </w:r>
      <w:r w:rsidR="00C70D1F" w:rsidRPr="002D4724">
        <w:rPr>
          <w:rFonts w:ascii="Times New Roman" w:hAnsi="Times New Roman" w:cs="Times New Roman"/>
        </w:rPr>
        <w:t>importance or value</w:t>
      </w:r>
      <w:r w:rsidRPr="002D4724">
        <w:rPr>
          <w:rFonts w:ascii="Times New Roman" w:hAnsi="Times New Roman" w:cs="Times New Roman"/>
        </w:rPr>
        <w:t xml:space="preserve"> of gender diversity (or indeed diversity more broadly) in judicial appointments. </w:t>
      </w:r>
      <w:r w:rsidR="00905F2A" w:rsidRPr="002D4724">
        <w:rPr>
          <w:rFonts w:ascii="Times New Roman" w:hAnsi="Times New Roman" w:cs="Times New Roman"/>
        </w:rPr>
        <w:t>Instead, announcements of the appointments of women judges</w:t>
      </w:r>
      <w:r w:rsidR="00905F2A" w:rsidRPr="002D4724">
        <w:rPr>
          <w:rStyle w:val="FootnoteReference"/>
          <w:rFonts w:ascii="Times New Roman" w:hAnsi="Times New Roman" w:cs="Times New Roman"/>
        </w:rPr>
        <w:footnoteReference w:id="12"/>
      </w:r>
      <w:r w:rsidR="00905F2A" w:rsidRPr="002D4724">
        <w:rPr>
          <w:rFonts w:ascii="Times New Roman" w:hAnsi="Times New Roman" w:cs="Times New Roman"/>
        </w:rPr>
        <w:t xml:space="preserve"> to the High Court have generated a </w:t>
      </w:r>
      <w:r w:rsidR="00C70D1F" w:rsidRPr="002D4724">
        <w:rPr>
          <w:rFonts w:ascii="Times New Roman" w:hAnsi="Times New Roman" w:cs="Times New Roman"/>
        </w:rPr>
        <w:t xml:space="preserve">discourse that centres on merit. Where women appointees are concerned, at least from the perspective of those making the announcement, merit discourse steers carefully away from linking their gender to the </w:t>
      </w:r>
      <w:r w:rsidR="00C70D1F" w:rsidRPr="002D4724">
        <w:rPr>
          <w:rFonts w:ascii="Times New Roman" w:hAnsi="Times New Roman" w:cs="Times New Roman"/>
        </w:rPr>
        <w:lastRenderedPageBreak/>
        <w:t>job.  This is in cont</w:t>
      </w:r>
      <w:r w:rsidR="000B7285" w:rsidRPr="002D4724">
        <w:rPr>
          <w:rFonts w:ascii="Times New Roman" w:hAnsi="Times New Roman" w:cs="Times New Roman"/>
        </w:rPr>
        <w:t>rast to the appointment of men (</w:t>
      </w:r>
      <w:r w:rsidR="00C70D1F" w:rsidRPr="002D4724">
        <w:rPr>
          <w:rFonts w:ascii="Times New Roman" w:hAnsi="Times New Roman" w:cs="Times New Roman"/>
        </w:rPr>
        <w:t xml:space="preserve">whose </w:t>
      </w:r>
      <w:r w:rsidR="008B3392" w:rsidRPr="002D4724">
        <w:rPr>
          <w:rFonts w:ascii="Times New Roman" w:hAnsi="Times New Roman" w:cs="Times New Roman"/>
        </w:rPr>
        <w:t xml:space="preserve">gender is the taken for granted </w:t>
      </w:r>
      <w:r w:rsidR="000B7285" w:rsidRPr="002D4724">
        <w:rPr>
          <w:rFonts w:ascii="Times New Roman" w:hAnsi="Times New Roman" w:cs="Times New Roman"/>
        </w:rPr>
        <w:t>norm) where their</w:t>
      </w:r>
      <w:r w:rsidR="008B3392" w:rsidRPr="002D4724">
        <w:rPr>
          <w:rFonts w:ascii="Times New Roman" w:hAnsi="Times New Roman" w:cs="Times New Roman"/>
        </w:rPr>
        <w:t xml:space="preserve"> </w:t>
      </w:r>
      <w:r w:rsidR="00C70D1F" w:rsidRPr="002D4724">
        <w:rPr>
          <w:rFonts w:ascii="Times New Roman" w:hAnsi="Times New Roman" w:cs="Times New Roman"/>
        </w:rPr>
        <w:t>suitability is similarly acknowledged, but usually without the need to provide an</w:t>
      </w:r>
      <w:r w:rsidR="008B3392" w:rsidRPr="002D4724">
        <w:rPr>
          <w:rFonts w:ascii="Times New Roman" w:hAnsi="Times New Roman" w:cs="Times New Roman"/>
        </w:rPr>
        <w:t>y</w:t>
      </w:r>
      <w:r w:rsidR="00C70D1F" w:rsidRPr="002D4724">
        <w:rPr>
          <w:rFonts w:ascii="Times New Roman" w:hAnsi="Times New Roman" w:cs="Times New Roman"/>
        </w:rPr>
        <w:t xml:space="preserve"> reassurances that the appointment was based on merit. </w:t>
      </w:r>
      <w:r w:rsidR="00905F2A" w:rsidRPr="002D4724">
        <w:rPr>
          <w:rFonts w:ascii="Times New Roman" w:hAnsi="Times New Roman" w:cs="Times New Roman"/>
        </w:rPr>
        <w:t>The value of diversity in judicial appointments has been acknowledged in various contexts but has been almost entirely absent from the political rhetoric that has attended the appointment of women judges</w:t>
      </w:r>
      <w:r w:rsidR="008B3392" w:rsidRPr="002D4724">
        <w:rPr>
          <w:rFonts w:ascii="Times New Roman" w:hAnsi="Times New Roman" w:cs="Times New Roman"/>
        </w:rPr>
        <w:t xml:space="preserve">. </w:t>
      </w:r>
      <w:r w:rsidR="00371C65">
        <w:rPr>
          <w:rFonts w:ascii="Times New Roman" w:hAnsi="Times New Roman" w:cs="Times New Roman"/>
        </w:rPr>
        <w:t>This in turn shapes how diversity is understood and e</w:t>
      </w:r>
      <w:r w:rsidRPr="002D4724">
        <w:rPr>
          <w:rFonts w:ascii="Times New Roman" w:hAnsi="Times New Roman" w:cs="Times New Roman"/>
        </w:rPr>
        <w:t>v</w:t>
      </w:r>
      <w:r w:rsidR="00371C65">
        <w:rPr>
          <w:rFonts w:ascii="Times New Roman" w:hAnsi="Times New Roman" w:cs="Times New Roman"/>
        </w:rPr>
        <w:t xml:space="preserve">en implicitly, it </w:t>
      </w:r>
      <w:r w:rsidRPr="002D4724">
        <w:rPr>
          <w:rFonts w:ascii="Times New Roman" w:hAnsi="Times New Roman" w:cs="Times New Roman"/>
        </w:rPr>
        <w:t>suggests that gender considerations are somehow illegitimate</w:t>
      </w:r>
      <w:r w:rsidR="00A86F17">
        <w:rPr>
          <w:rFonts w:ascii="Times New Roman" w:hAnsi="Times New Roman" w:cs="Times New Roman"/>
        </w:rPr>
        <w:t>.</w:t>
      </w:r>
    </w:p>
    <w:p w14:paraId="2BD4E108" w14:textId="77777777" w:rsidR="009E1D71" w:rsidRPr="00D457C9" w:rsidRDefault="009E1D71" w:rsidP="009E1D71">
      <w:pPr>
        <w:spacing w:line="276" w:lineRule="auto"/>
        <w:jc w:val="both"/>
        <w:rPr>
          <w:rFonts w:ascii="Times New Roman" w:hAnsi="Times New Roman" w:cs="Times New Roman"/>
        </w:rPr>
      </w:pPr>
    </w:p>
    <w:p w14:paraId="6C373CA6" w14:textId="5A809E07" w:rsidR="009E1D71" w:rsidRDefault="009E1D71" w:rsidP="009E1D71">
      <w:pPr>
        <w:pStyle w:val="Style1"/>
        <w:rPr>
          <w:rFonts w:cs="Times New Roman"/>
          <w:color w:val="auto"/>
          <w:spacing w:val="2"/>
          <w:kern w:val="1"/>
        </w:rPr>
      </w:pPr>
      <w:r w:rsidRPr="00D457C9">
        <w:rPr>
          <w:rFonts w:cs="Times New Roman"/>
          <w:color w:val="auto"/>
          <w:spacing w:val="2"/>
          <w:kern w:val="1"/>
        </w:rPr>
        <w:t>Attorney-General George Brandis’ announcement that Justice Kiefel would be elevated to Chief Justice</w:t>
      </w:r>
      <w:r w:rsidR="00905F2A">
        <w:rPr>
          <w:rFonts w:cs="Times New Roman"/>
          <w:color w:val="auto"/>
          <w:spacing w:val="2"/>
          <w:kern w:val="1"/>
        </w:rPr>
        <w:t xml:space="preserve"> therefore</w:t>
      </w:r>
      <w:r w:rsidRPr="00D457C9">
        <w:rPr>
          <w:rFonts w:cs="Times New Roman"/>
          <w:color w:val="auto"/>
          <w:spacing w:val="2"/>
          <w:kern w:val="1"/>
        </w:rPr>
        <w:t xml:space="preserve"> followed a familiar p</w:t>
      </w:r>
      <w:r w:rsidR="00A530FF">
        <w:rPr>
          <w:rFonts w:cs="Times New Roman"/>
          <w:color w:val="auto"/>
          <w:spacing w:val="2"/>
          <w:kern w:val="1"/>
        </w:rPr>
        <w:t xml:space="preserve">attern in emphasising that the appointment </w:t>
      </w:r>
      <w:r w:rsidR="00905F2A">
        <w:rPr>
          <w:rFonts w:cs="Times New Roman"/>
          <w:color w:val="auto"/>
          <w:spacing w:val="2"/>
          <w:kern w:val="1"/>
        </w:rPr>
        <w:t xml:space="preserve">was a merit </w:t>
      </w:r>
      <w:r w:rsidRPr="00D457C9">
        <w:rPr>
          <w:rFonts w:cs="Times New Roman"/>
          <w:color w:val="auto"/>
          <w:spacing w:val="2"/>
          <w:kern w:val="1"/>
        </w:rPr>
        <w:t xml:space="preserve">based appointment and therefore to assuage any concerns that hers was a ‘gender based appointment’. The Attorney-General was keen to point out that every step that had been taken </w:t>
      </w:r>
      <w:r w:rsidR="00E73449">
        <w:rPr>
          <w:rFonts w:cs="Times New Roman"/>
          <w:color w:val="auto"/>
          <w:spacing w:val="2"/>
          <w:kern w:val="1"/>
        </w:rPr>
        <w:t>in Justice Kiefel’s career was ‘a step that she took on merit’</w:t>
      </w:r>
      <w:r w:rsidRPr="00D457C9">
        <w:rPr>
          <w:rFonts w:cs="Times New Roman"/>
          <w:color w:val="auto"/>
          <w:spacing w:val="2"/>
          <w:kern w:val="1"/>
        </w:rPr>
        <w:t>.</w:t>
      </w:r>
      <w:r w:rsidRPr="00D457C9">
        <w:rPr>
          <w:rStyle w:val="FootnoteReference"/>
          <w:rFonts w:cs="Times New Roman"/>
          <w:color w:val="auto"/>
          <w:spacing w:val="2"/>
          <w:kern w:val="1"/>
        </w:rPr>
        <w:t xml:space="preserve"> </w:t>
      </w:r>
      <w:r w:rsidRPr="00D457C9">
        <w:rPr>
          <w:rStyle w:val="FootnoteReference"/>
          <w:rFonts w:cs="Times New Roman"/>
          <w:color w:val="auto"/>
          <w:spacing w:val="2"/>
          <w:kern w:val="1"/>
        </w:rPr>
        <w:footnoteReference w:id="13"/>
      </w:r>
      <w:r w:rsidRPr="00D457C9">
        <w:rPr>
          <w:rFonts w:cs="Times New Roman"/>
          <w:color w:val="auto"/>
          <w:spacing w:val="2"/>
          <w:kern w:val="1"/>
        </w:rPr>
        <w:t xml:space="preserve">  Curiously, in announcing </w:t>
      </w:r>
      <w:r w:rsidR="00434A79">
        <w:rPr>
          <w:rFonts w:cs="Times New Roman"/>
          <w:color w:val="auto"/>
          <w:spacing w:val="2"/>
          <w:kern w:val="1"/>
        </w:rPr>
        <w:t>the</w:t>
      </w:r>
      <w:r w:rsidRPr="00D457C9">
        <w:rPr>
          <w:rFonts w:cs="Times New Roman"/>
          <w:color w:val="auto"/>
          <w:spacing w:val="2"/>
          <w:kern w:val="1"/>
        </w:rPr>
        <w:t xml:space="preserve"> replacement</w:t>
      </w:r>
      <w:r w:rsidR="00434A79">
        <w:rPr>
          <w:rFonts w:cs="Times New Roman"/>
          <w:color w:val="auto"/>
          <w:spacing w:val="2"/>
          <w:kern w:val="1"/>
        </w:rPr>
        <w:t xml:space="preserve"> for retiring Chief Justice French</w:t>
      </w:r>
      <w:r w:rsidRPr="00D457C9">
        <w:rPr>
          <w:rFonts w:cs="Times New Roman"/>
          <w:color w:val="auto"/>
          <w:spacing w:val="2"/>
          <w:kern w:val="1"/>
        </w:rPr>
        <w:t>, Justice James Edelman, there was no retreat to the specific terminology of merit. Of course, his Honour’s achievements were canvassed</w:t>
      </w:r>
      <w:r w:rsidR="0096007C">
        <w:rPr>
          <w:rFonts w:cs="Times New Roman"/>
          <w:color w:val="auto"/>
          <w:spacing w:val="2"/>
          <w:kern w:val="1"/>
        </w:rPr>
        <w:t>—</w:t>
      </w:r>
      <w:r w:rsidRPr="00D457C9">
        <w:rPr>
          <w:rFonts w:cs="Times New Roman"/>
          <w:color w:val="auto"/>
          <w:spacing w:val="2"/>
          <w:kern w:val="1"/>
        </w:rPr>
        <w:t>with some emphasis on the particularly precocious nature of his achievements given his Hon</w:t>
      </w:r>
      <w:r w:rsidR="00E73449">
        <w:rPr>
          <w:rFonts w:cs="Times New Roman"/>
          <w:color w:val="auto"/>
          <w:spacing w:val="2"/>
          <w:kern w:val="1"/>
        </w:rPr>
        <w:t>our is</w:t>
      </w:r>
      <w:r w:rsidRPr="00D457C9">
        <w:rPr>
          <w:rFonts w:cs="Times New Roman"/>
          <w:color w:val="auto"/>
          <w:spacing w:val="2"/>
          <w:kern w:val="1"/>
        </w:rPr>
        <w:t xml:space="preserve"> age</w:t>
      </w:r>
      <w:r w:rsidR="00E73449">
        <w:rPr>
          <w:rFonts w:cs="Times New Roman"/>
          <w:color w:val="auto"/>
          <w:spacing w:val="2"/>
          <w:kern w:val="1"/>
        </w:rPr>
        <w:t>d only 42</w:t>
      </w:r>
      <w:r w:rsidRPr="00D457C9">
        <w:rPr>
          <w:rFonts w:cs="Times New Roman"/>
          <w:color w:val="auto"/>
          <w:spacing w:val="2"/>
          <w:kern w:val="1"/>
        </w:rPr>
        <w:t xml:space="preserve">. </w:t>
      </w:r>
    </w:p>
    <w:p w14:paraId="4A84928C" w14:textId="77777777" w:rsidR="00A81DAB" w:rsidRDefault="00A81DAB" w:rsidP="00B97227">
      <w:pPr>
        <w:pStyle w:val="Style1"/>
        <w:rPr>
          <w:rFonts w:cs="Times New Roman"/>
          <w:color w:val="auto"/>
        </w:rPr>
      </w:pPr>
    </w:p>
    <w:p w14:paraId="5148ADEF" w14:textId="764226BA" w:rsidR="00FD09BF" w:rsidRDefault="00FD09BF" w:rsidP="00B97227">
      <w:pPr>
        <w:pStyle w:val="Style1"/>
        <w:rPr>
          <w:rFonts w:cs="Times New Roman"/>
          <w:color w:val="auto"/>
        </w:rPr>
      </w:pPr>
      <w:r w:rsidRPr="003D72EF">
        <w:rPr>
          <w:rFonts w:cs="Times New Roman"/>
          <w:color w:val="auto"/>
          <w:lang w:eastAsia="en-AU"/>
        </w:rPr>
        <w:t>There was an unspoken and gendered dim</w:t>
      </w:r>
      <w:r w:rsidR="00371C65">
        <w:rPr>
          <w:rFonts w:cs="Times New Roman"/>
          <w:color w:val="auto"/>
          <w:lang w:eastAsia="en-AU"/>
        </w:rPr>
        <w:t xml:space="preserve">ension to the narrative presented about </w:t>
      </w:r>
      <w:r>
        <w:rPr>
          <w:rFonts w:cs="Times New Roman"/>
          <w:color w:val="auto"/>
          <w:lang w:eastAsia="en-AU"/>
        </w:rPr>
        <w:t>Kiefel’</w:t>
      </w:r>
      <w:r w:rsidRPr="003D72EF">
        <w:rPr>
          <w:rFonts w:cs="Times New Roman"/>
          <w:color w:val="auto"/>
          <w:lang w:eastAsia="en-AU"/>
        </w:rPr>
        <w:t>s elevation within the profession</w:t>
      </w:r>
      <w:r>
        <w:rPr>
          <w:rFonts w:cs="Times New Roman"/>
          <w:color w:val="auto"/>
          <w:lang w:eastAsia="en-AU"/>
        </w:rPr>
        <w:t xml:space="preserve"> as her </w:t>
      </w:r>
      <w:r w:rsidRPr="00241495">
        <w:rPr>
          <w:rFonts w:cs="Times New Roman"/>
          <w:color w:val="auto"/>
        </w:rPr>
        <w:t>trajectory ‘from legal secretary to Chief Justice’</w:t>
      </w:r>
      <w:r w:rsidR="00371C65">
        <w:rPr>
          <w:rFonts w:cs="Times New Roman"/>
          <w:color w:val="auto"/>
        </w:rPr>
        <w:t xml:space="preserve"> featured in the commentary about her appointment. </w:t>
      </w:r>
      <w:r w:rsidRPr="003D72EF">
        <w:rPr>
          <w:rFonts w:cs="Times New Roman"/>
          <w:color w:val="auto"/>
          <w:lang w:eastAsia="en-AU"/>
        </w:rPr>
        <w:t>It is no accident that we would struggle to find examples of men judges’ elevation from the typist pool to the powerful echelons of the profession, although the gendered nature of administrative work is now a</w:t>
      </w:r>
      <w:r w:rsidR="00434A79">
        <w:rPr>
          <w:rFonts w:cs="Times New Roman"/>
          <w:color w:val="auto"/>
          <w:lang w:eastAsia="en-AU"/>
        </w:rPr>
        <w:t xml:space="preserve">rguably less pronounced than </w:t>
      </w:r>
      <w:r w:rsidRPr="003D72EF">
        <w:rPr>
          <w:rFonts w:cs="Times New Roman"/>
          <w:color w:val="auto"/>
          <w:lang w:eastAsia="en-AU"/>
        </w:rPr>
        <w:t>it was in the 1970s.</w:t>
      </w:r>
      <w:r>
        <w:rPr>
          <w:rFonts w:cs="Times New Roman"/>
          <w:color w:val="auto"/>
          <w:lang w:eastAsia="en-AU"/>
        </w:rPr>
        <w:t xml:space="preserve"> </w:t>
      </w:r>
      <w:r w:rsidR="00A86F17">
        <w:rPr>
          <w:rFonts w:cs="Times New Roman"/>
          <w:color w:val="auto"/>
          <w:lang w:eastAsia="en-AU"/>
        </w:rPr>
        <w:t xml:space="preserve"> </w:t>
      </w:r>
      <w:r w:rsidR="00AA0555" w:rsidRPr="00241495">
        <w:rPr>
          <w:rFonts w:cs="Times New Roman"/>
          <w:color w:val="auto"/>
        </w:rPr>
        <w:t>Justice Kiefel has never embraced an identity as a woman judge</w:t>
      </w:r>
      <w:r w:rsidR="00AA0555" w:rsidRPr="00D457C9">
        <w:rPr>
          <w:rFonts w:cs="Times New Roman"/>
          <w:color w:val="auto"/>
        </w:rPr>
        <w:t xml:space="preserve"> or aligned herself with feminist</w:t>
      </w:r>
      <w:r w:rsidR="00AA0555" w:rsidRPr="00D457C9">
        <w:rPr>
          <w:rStyle w:val="FootnoteReference"/>
          <w:rFonts w:cs="Times New Roman"/>
          <w:color w:val="auto"/>
        </w:rPr>
        <w:footnoteReference w:id="14"/>
      </w:r>
      <w:r w:rsidR="00AA0555" w:rsidRPr="00D457C9">
        <w:rPr>
          <w:rFonts w:cs="Times New Roman"/>
          <w:color w:val="auto"/>
        </w:rPr>
        <w:t xml:space="preserve"> causes or concerns</w:t>
      </w:r>
      <w:r>
        <w:rPr>
          <w:rFonts w:cs="Times New Roman"/>
          <w:color w:val="auto"/>
        </w:rPr>
        <w:t>.</w:t>
      </w:r>
      <w:r w:rsidR="00AA0555">
        <w:rPr>
          <w:rFonts w:cs="Times New Roman"/>
          <w:color w:val="auto"/>
        </w:rPr>
        <w:t xml:space="preserve"> </w:t>
      </w:r>
      <w:r w:rsidR="00905F2A">
        <w:rPr>
          <w:rFonts w:cs="Times New Roman"/>
          <w:color w:val="auto"/>
        </w:rPr>
        <w:t xml:space="preserve">Her </w:t>
      </w:r>
      <w:r w:rsidR="003E6BE5" w:rsidRPr="00241495">
        <w:rPr>
          <w:rFonts w:cs="Times New Roman"/>
          <w:color w:val="auto"/>
        </w:rPr>
        <w:t>elevation was presented as an important milestone for Australian women</w:t>
      </w:r>
      <w:r w:rsidR="00AA0555">
        <w:rPr>
          <w:rFonts w:cs="Times New Roman"/>
          <w:color w:val="auto"/>
        </w:rPr>
        <w:t xml:space="preserve"> but in a way that</w:t>
      </w:r>
      <w:r>
        <w:rPr>
          <w:rFonts w:cs="Times New Roman"/>
          <w:color w:val="auto"/>
        </w:rPr>
        <w:t xml:space="preserve"> did not disrupt the notion of the default, genderless judge</w:t>
      </w:r>
      <w:r w:rsidR="003E6BE5">
        <w:rPr>
          <w:rFonts w:cs="Times New Roman"/>
          <w:color w:val="auto"/>
        </w:rPr>
        <w:t>.</w:t>
      </w:r>
      <w:r w:rsidR="003E6BE5" w:rsidRPr="00241495">
        <w:rPr>
          <w:rFonts w:cs="Times New Roman"/>
          <w:color w:val="auto"/>
        </w:rPr>
        <w:t xml:space="preserve"> </w:t>
      </w:r>
      <w:r>
        <w:rPr>
          <w:rFonts w:cs="Times New Roman"/>
          <w:color w:val="auto"/>
        </w:rPr>
        <w:t>For example</w:t>
      </w:r>
      <w:r w:rsidR="00A81DAB">
        <w:rPr>
          <w:rFonts w:cs="Times New Roman"/>
          <w:color w:val="auto"/>
        </w:rPr>
        <w:t>, t</w:t>
      </w:r>
      <w:r w:rsidR="00E453A6" w:rsidRPr="00D457C9">
        <w:rPr>
          <w:rFonts w:cs="Times New Roman"/>
          <w:color w:val="auto"/>
        </w:rPr>
        <w:t>he observation that, according to one female barr</w:t>
      </w:r>
      <w:r w:rsidR="00E73449">
        <w:rPr>
          <w:rFonts w:cs="Times New Roman"/>
          <w:color w:val="auto"/>
        </w:rPr>
        <w:t xml:space="preserve">ister, </w:t>
      </w:r>
      <w:r w:rsidR="00E73449">
        <w:rPr>
          <w:rFonts w:cs="Times New Roman"/>
          <w:color w:val="auto"/>
        </w:rPr>
        <w:lastRenderedPageBreak/>
        <w:t>Her Honour did not like ‘lipstick feminists’</w:t>
      </w:r>
      <w:r w:rsidR="00E453A6" w:rsidRPr="00D457C9">
        <w:rPr>
          <w:rStyle w:val="FootnoteReference"/>
          <w:rFonts w:cs="Times New Roman"/>
          <w:color w:val="auto"/>
        </w:rPr>
        <w:footnoteReference w:id="15"/>
      </w:r>
      <w:r w:rsidR="008511E9">
        <w:rPr>
          <w:rFonts w:cs="Times New Roman"/>
          <w:color w:val="auto"/>
        </w:rPr>
        <w:t xml:space="preserve"> featured in the discourse </w:t>
      </w:r>
      <w:r w:rsidR="00A81DAB">
        <w:rPr>
          <w:rFonts w:cs="Times New Roman"/>
          <w:color w:val="auto"/>
        </w:rPr>
        <w:t>around</w:t>
      </w:r>
      <w:r w:rsidR="008511E9">
        <w:rPr>
          <w:rFonts w:cs="Times New Roman"/>
          <w:color w:val="auto"/>
        </w:rPr>
        <w:t xml:space="preserve"> her appointment. </w:t>
      </w:r>
      <w:r w:rsidR="00E453A6" w:rsidRPr="00D457C9">
        <w:rPr>
          <w:rFonts w:cs="Times New Roman"/>
          <w:color w:val="auto"/>
        </w:rPr>
        <w:t>The accuracy of this statement notwithstanding, such comments not only serve to distin</w:t>
      </w:r>
      <w:r w:rsidR="00B97227">
        <w:rPr>
          <w:rFonts w:cs="Times New Roman"/>
          <w:color w:val="auto"/>
        </w:rPr>
        <w:t>guish Her Honour from feminists—</w:t>
      </w:r>
      <w:r w:rsidR="00C70D1F">
        <w:rPr>
          <w:rFonts w:cs="Times New Roman"/>
          <w:color w:val="auto"/>
        </w:rPr>
        <w:t>but by extension, no doubt surely serve as reassurance</w:t>
      </w:r>
      <w:r w:rsidR="00E453A6" w:rsidRPr="00D457C9">
        <w:rPr>
          <w:rFonts w:cs="Times New Roman"/>
          <w:color w:val="auto"/>
        </w:rPr>
        <w:t xml:space="preserve"> about her suitability for the role.</w:t>
      </w:r>
      <w:r w:rsidR="00B97227">
        <w:rPr>
          <w:rFonts w:cs="Times New Roman"/>
          <w:color w:val="auto"/>
        </w:rPr>
        <w:t xml:space="preserve"> </w:t>
      </w:r>
    </w:p>
    <w:p w14:paraId="44BE8110" w14:textId="77777777" w:rsidR="00FD09BF" w:rsidRDefault="00FD09BF" w:rsidP="00B97227">
      <w:pPr>
        <w:pStyle w:val="Style1"/>
        <w:rPr>
          <w:rFonts w:cs="Times New Roman"/>
          <w:color w:val="auto"/>
        </w:rPr>
      </w:pPr>
    </w:p>
    <w:p w14:paraId="46790C9C" w14:textId="6C4596FE" w:rsidR="00B97227" w:rsidRPr="00FD09BF" w:rsidRDefault="00B97227" w:rsidP="00B97227">
      <w:pPr>
        <w:pStyle w:val="Style1"/>
        <w:rPr>
          <w:rFonts w:cs="Times New Roman"/>
          <w:b/>
          <w:color w:val="auto"/>
        </w:rPr>
      </w:pPr>
      <w:r w:rsidRPr="00D457C9">
        <w:rPr>
          <w:rFonts w:cs="Times New Roman"/>
          <w:color w:val="auto"/>
        </w:rPr>
        <w:t>This might be evidence of what Thornton termed the ‘exceptional women syndrome’.</w:t>
      </w:r>
      <w:r w:rsidRPr="00D457C9">
        <w:rPr>
          <w:rStyle w:val="FootnoteReference"/>
          <w:rFonts w:cs="Times New Roman"/>
          <w:color w:val="auto"/>
        </w:rPr>
        <w:footnoteReference w:id="16"/>
      </w:r>
      <w:r w:rsidRPr="00D457C9">
        <w:rPr>
          <w:rFonts w:cs="Times New Roman"/>
          <w:color w:val="auto"/>
        </w:rPr>
        <w:t xml:space="preserve"> This syndrome allows women judges (and women in other positions of power) ‘to be distinguished from other women, so that the masculinist character of the office is not diminished’. In extra-curial remarks, Mary Gaudron spoke to the existence of such a syndrome, positing that women did not dare to be different:</w:t>
      </w:r>
    </w:p>
    <w:p w14:paraId="2CE58D72" w14:textId="77777777" w:rsidR="00B97227" w:rsidRPr="00D457C9" w:rsidRDefault="00B97227" w:rsidP="00B97227">
      <w:pPr>
        <w:pStyle w:val="Style2"/>
      </w:pPr>
      <w:r w:rsidRPr="00D457C9">
        <w:t>To be different, to challenge the codes of conduct derived, as often as not, from rules developed on the playing fields of Eton for the male members of the British aristocracy, would have been to invite ostracism, perhaps, even, the attention of the Ethics committee; to assert that women were different with different needs would have been construed as an acknowledgment of incompetence; to question the bias of the law would have been to invite judgment as to one’s fitness to be a member of the profession. And, thus, very many of us became honorary men. We thought that was equality and, on that account, we rightly deserved the comment of the graffitist who wrote “Women who want equality lack ambition”.</w:t>
      </w:r>
      <w:r w:rsidRPr="00D457C9">
        <w:rPr>
          <w:rStyle w:val="FootnoteReference"/>
        </w:rPr>
        <w:footnoteReference w:id="17"/>
      </w:r>
      <w:r w:rsidRPr="00D457C9">
        <w:t xml:space="preserve"> </w:t>
      </w:r>
    </w:p>
    <w:p w14:paraId="7D7020E8" w14:textId="77777777" w:rsidR="00B97227" w:rsidRPr="00D457C9" w:rsidRDefault="00B97227" w:rsidP="00B97227">
      <w:pPr>
        <w:pStyle w:val="Style2"/>
      </w:pPr>
      <w:r w:rsidRPr="00D457C9">
        <w:t xml:space="preserve"> </w:t>
      </w:r>
    </w:p>
    <w:p w14:paraId="51AB63F5" w14:textId="77777777" w:rsidR="00B97227" w:rsidRPr="00D457C9" w:rsidRDefault="00B97227" w:rsidP="00B97227">
      <w:pPr>
        <w:pStyle w:val="Style1"/>
        <w:rPr>
          <w:rFonts w:cs="Times New Roman"/>
          <w:color w:val="auto"/>
        </w:rPr>
      </w:pPr>
      <w:r w:rsidRPr="00D457C9">
        <w:rPr>
          <w:rFonts w:eastAsia="Times New Roman" w:cs="Times New Roman"/>
          <w:color w:val="auto"/>
          <w:lang w:eastAsia="en-AU"/>
        </w:rPr>
        <w:t xml:space="preserve">Is the appointment of women who might be described as ‘honorary men’ something of a pyrrhic victory for feminists? Not necessarily, but </w:t>
      </w:r>
      <w:r w:rsidRPr="00D457C9">
        <w:rPr>
          <w:rFonts w:cs="Times New Roman"/>
          <w:color w:val="auto"/>
        </w:rPr>
        <w:t xml:space="preserve">when diversity is understood as simply ‘adding women’, this will limit the transformative potential of judicial diversity. The fact that High Court appointment practices have thus far favoured a particular kind of appointee is certainly not to critique any of the appointees or appointments. However, it does reveal some of the complexities that arise around the </w:t>
      </w:r>
      <w:r w:rsidRPr="00D457C9">
        <w:rPr>
          <w:rFonts w:cs="Times New Roman"/>
          <w:color w:val="auto"/>
        </w:rPr>
        <w:lastRenderedPageBreak/>
        <w:t>gendered politics of judicial appointment and, perhaps more pointedly, prompts questions about the plausibility of seeing feminist judges appointed to the peak of Australia’s judiciary.</w:t>
      </w:r>
    </w:p>
    <w:p w14:paraId="1D6C82B9" w14:textId="77777777" w:rsidR="009E1D71" w:rsidRPr="00D457C9" w:rsidRDefault="009E1D71" w:rsidP="009E1D71">
      <w:pPr>
        <w:pStyle w:val="Style1"/>
        <w:spacing w:line="276" w:lineRule="auto"/>
        <w:rPr>
          <w:rFonts w:cs="Times New Roman"/>
          <w:color w:val="auto"/>
          <w:spacing w:val="2"/>
          <w:kern w:val="1"/>
        </w:rPr>
      </w:pPr>
    </w:p>
    <w:p w14:paraId="2D66551C" w14:textId="496B40DD" w:rsidR="009E1D71" w:rsidRPr="00D457C9" w:rsidRDefault="009E1D71" w:rsidP="009E1D71">
      <w:pPr>
        <w:pStyle w:val="Style1"/>
        <w:rPr>
          <w:rFonts w:cs="Times New Roman"/>
          <w:color w:val="auto"/>
          <w:spacing w:val="2"/>
          <w:kern w:val="1"/>
        </w:rPr>
      </w:pPr>
      <w:r w:rsidRPr="00D457C9">
        <w:rPr>
          <w:rFonts w:cs="Times New Roman"/>
          <w:color w:val="auto"/>
          <w:spacing w:val="2"/>
          <w:kern w:val="1"/>
        </w:rPr>
        <w:t xml:space="preserve">The appointment was no doubt a politically astute one for the Government. Justice Kiefel’s status as the second most senior puisne judge and her contributions to the Court to date mean her elevation to Chief Justice was not a radical appointment. In addition to having already appointed more women justices to the High Court than the Labor Party, the Liberal-National Coalition now boasts having appointed the first woman Chief Justice of the High Court.  </w:t>
      </w:r>
      <w:r w:rsidRPr="00D457C9">
        <w:rPr>
          <w:rFonts w:cs="Times New Roman"/>
          <w:color w:val="auto"/>
        </w:rPr>
        <w:t>It is perhaps important here to acknowledge, and give context to, the broad ideological differences between the Liberal-National Coalition and the Labor Party regarding the appropriateness of measures to advance women’s political participation. Although the gender politics (in terms of their policies concerning women and the prospects for women parliamentarians) of both major parties have oftentimes been problematic, it is noteworthy that the Labor Party formally supports affirmative action</w:t>
      </w:r>
      <w:r w:rsidR="00562968">
        <w:rPr>
          <w:rFonts w:cs="Times New Roman"/>
          <w:color w:val="auto"/>
        </w:rPr>
        <w:t xml:space="preserve"> for women in </w:t>
      </w:r>
      <w:r w:rsidR="00434A80">
        <w:rPr>
          <w:rFonts w:cs="Times New Roman"/>
          <w:color w:val="auto"/>
        </w:rPr>
        <w:t>pr</w:t>
      </w:r>
      <w:r w:rsidR="00562968">
        <w:rPr>
          <w:rFonts w:cs="Times New Roman"/>
          <w:color w:val="auto"/>
        </w:rPr>
        <w:t>e-selection,</w:t>
      </w:r>
      <w:r w:rsidRPr="00D457C9">
        <w:rPr>
          <w:rStyle w:val="FootnoteReference"/>
          <w:rFonts w:cs="Times New Roman"/>
          <w:color w:val="auto"/>
        </w:rPr>
        <w:footnoteReference w:id="18"/>
      </w:r>
      <w:r w:rsidR="00A11407" w:rsidRPr="00D457C9">
        <w:rPr>
          <w:rFonts w:cs="Times New Roman"/>
          <w:color w:val="auto"/>
        </w:rPr>
        <w:t xml:space="preserve"> </w:t>
      </w:r>
      <w:r w:rsidRPr="00D457C9">
        <w:rPr>
          <w:rFonts w:cs="Times New Roman"/>
          <w:color w:val="auto"/>
        </w:rPr>
        <w:t>whereas the Liberal Party</w:t>
      </w:r>
      <w:r w:rsidR="00562968">
        <w:rPr>
          <w:rFonts w:cs="Times New Roman"/>
          <w:color w:val="auto"/>
        </w:rPr>
        <w:t xml:space="preserve"> does not.</w:t>
      </w:r>
      <w:r w:rsidRPr="00D457C9">
        <w:rPr>
          <w:rStyle w:val="FootnoteReference"/>
          <w:rFonts w:cs="Times New Roman"/>
          <w:color w:val="auto"/>
        </w:rPr>
        <w:footnoteReference w:id="19"/>
      </w:r>
      <w:r w:rsidRPr="00D457C9">
        <w:rPr>
          <w:rFonts w:cs="Times New Roman"/>
          <w:color w:val="auto"/>
        </w:rPr>
        <w:t xml:space="preserve"> Of course, there are important differences between political and judicial power and I do not suggest that any appointments to the High Court have been the result of such a policy. But the politics around the legitimacy of such measures in the legislative branch is significant in that it illuminates the precarious and contested </w:t>
      </w:r>
      <w:r w:rsidRPr="00D457C9">
        <w:rPr>
          <w:rFonts w:cs="Times New Roman"/>
          <w:i/>
          <w:color w:val="auto"/>
        </w:rPr>
        <w:t xml:space="preserve">value </w:t>
      </w:r>
      <w:r w:rsidRPr="00D457C9">
        <w:rPr>
          <w:rFonts w:cs="Times New Roman"/>
          <w:color w:val="auto"/>
        </w:rPr>
        <w:t>of gender diversity.</w:t>
      </w:r>
    </w:p>
    <w:p w14:paraId="49DBDBC7" w14:textId="77777777" w:rsidR="009E1D71" w:rsidRPr="00D457C9" w:rsidRDefault="009E1D71" w:rsidP="009E1D71">
      <w:pPr>
        <w:pStyle w:val="Style1"/>
        <w:rPr>
          <w:rFonts w:cs="Times New Roman"/>
          <w:color w:val="auto"/>
        </w:rPr>
      </w:pPr>
    </w:p>
    <w:p w14:paraId="128B3B82" w14:textId="72B2F478" w:rsidR="009E1D71" w:rsidRPr="00D457C9" w:rsidRDefault="009E1D71" w:rsidP="005035C7">
      <w:pPr>
        <w:spacing w:line="360" w:lineRule="auto"/>
        <w:jc w:val="both"/>
        <w:rPr>
          <w:rFonts w:ascii="Times New Roman" w:hAnsi="Times New Roman" w:cs="Times New Roman"/>
          <w:bCs/>
          <w:lang w:bidi="en-US"/>
        </w:rPr>
      </w:pPr>
      <w:r w:rsidRPr="00D457C9">
        <w:rPr>
          <w:rFonts w:ascii="Times New Roman" w:hAnsi="Times New Roman" w:cs="Times New Roman"/>
          <w:bCs/>
          <w:lang w:bidi="en-US"/>
        </w:rPr>
        <w:t xml:space="preserve">In a democratic setting, the tenets of democracy will always impose certain limitations on political actors seeking to make judicial appointments. In fact, in democratic nations the world over we have seen pressure placed on decision-makers </w:t>
      </w:r>
      <w:r w:rsidRPr="00D457C9">
        <w:rPr>
          <w:rFonts w:ascii="Times New Roman" w:hAnsi="Times New Roman" w:cs="Times New Roman"/>
          <w:bCs/>
          <w:lang w:bidi="en-US"/>
        </w:rPr>
        <w:lastRenderedPageBreak/>
        <w:t xml:space="preserve">by the intersection between judicial selection processes and the idea, as Resnik explains, which stems from democratic theory </w:t>
      </w:r>
      <w:r w:rsidRPr="00D457C9">
        <w:rPr>
          <w:rFonts w:ascii="Times New Roman" w:hAnsi="Times New Roman" w:cs="Times New Roman"/>
        </w:rPr>
        <w:t>‘that all kinds of people are entitled to participate as political equals and that access to judgeships ought to be more fairly distributed across groups of aspirants’</w:t>
      </w:r>
      <w:r w:rsidR="00371C65">
        <w:rPr>
          <w:rFonts w:ascii="Times New Roman" w:hAnsi="Times New Roman" w:cs="Times New Roman"/>
        </w:rPr>
        <w:t>.</w:t>
      </w:r>
      <w:r w:rsidRPr="00D457C9">
        <w:rPr>
          <w:rStyle w:val="FootnoteReference"/>
          <w:rFonts w:ascii="Times New Roman" w:hAnsi="Times New Roman" w:cs="Times New Roman"/>
        </w:rPr>
        <w:footnoteReference w:id="20"/>
      </w:r>
      <w:r w:rsidR="00FC4A5A">
        <w:rPr>
          <w:rFonts w:ascii="Times New Roman" w:hAnsi="Times New Roman" w:cs="Times New Roman"/>
        </w:rPr>
        <w:t xml:space="preserve"> </w:t>
      </w:r>
      <w:r w:rsidRPr="00D457C9">
        <w:rPr>
          <w:rFonts w:ascii="Times New Roman" w:hAnsi="Times New Roman" w:cs="Times New Roman"/>
        </w:rPr>
        <w:t xml:space="preserve">In the current political space, notwithstanding the different views about the appropriateness of explicit measures to secure women’s advancement in the legislative branch, when it comes to judicial appointments at the peak of Australia’s judiciary, there seems to be little </w:t>
      </w:r>
      <w:r w:rsidR="00BB7B8C">
        <w:rPr>
          <w:rFonts w:ascii="Times New Roman" w:hAnsi="Times New Roman" w:cs="Times New Roman"/>
        </w:rPr>
        <w:t>room</w:t>
      </w:r>
      <w:r w:rsidRPr="00D457C9">
        <w:rPr>
          <w:rFonts w:ascii="Times New Roman" w:hAnsi="Times New Roman" w:cs="Times New Roman"/>
        </w:rPr>
        <w:t xml:space="preserve"> for a discussion about the importance or desirability of diversity in judicial appointments. While we are frequently reminded that merit must be the guiding principle in making all</w:t>
      </w:r>
      <w:r w:rsidRPr="00D457C9">
        <w:rPr>
          <w:rFonts w:ascii="Times New Roman" w:hAnsi="Times New Roman" w:cs="Times New Roman"/>
          <w:i/>
        </w:rPr>
        <w:t xml:space="preserve"> </w:t>
      </w:r>
      <w:r w:rsidRPr="00D457C9">
        <w:rPr>
          <w:rFonts w:ascii="Times New Roman" w:hAnsi="Times New Roman" w:cs="Times New Roman"/>
        </w:rPr>
        <w:t xml:space="preserve">judicial appointments, discussions (and sometimes, doubts) about an appointee’s merit are more likely to come to the fore when that appointee is a woman. This is arguably reflective of what appears to be </w:t>
      </w:r>
      <w:r w:rsidR="00562968">
        <w:rPr>
          <w:rFonts w:ascii="Times New Roman" w:hAnsi="Times New Roman" w:cs="Times New Roman"/>
        </w:rPr>
        <w:t xml:space="preserve">a </w:t>
      </w:r>
      <w:r w:rsidRPr="00D457C9">
        <w:rPr>
          <w:rFonts w:ascii="Times New Roman" w:hAnsi="Times New Roman" w:cs="Times New Roman"/>
        </w:rPr>
        <w:t xml:space="preserve">national aversion to ‘tokenism’ or affirmative action even when no such policy has been invoked. Those </w:t>
      </w:r>
      <w:r w:rsidR="00BB7B8C">
        <w:rPr>
          <w:rFonts w:ascii="Times New Roman" w:hAnsi="Times New Roman" w:cs="Times New Roman"/>
        </w:rPr>
        <w:t>who</w:t>
      </w:r>
      <w:r w:rsidRPr="00D457C9">
        <w:rPr>
          <w:rFonts w:ascii="Times New Roman" w:hAnsi="Times New Roman" w:cs="Times New Roman"/>
        </w:rPr>
        <w:t xml:space="preserve"> demand that appointments must be made on merit without any other consideration discount the subjective nature of merit itself. As Thornton has argued, </w:t>
      </w:r>
      <w:r w:rsidRPr="00D457C9">
        <w:rPr>
          <w:rStyle w:val="SC1719"/>
          <w:rFonts w:ascii="Times New Roman" w:hAnsi="Times New Roman" w:cs="Times New Roman"/>
          <w:color w:val="auto"/>
          <w:sz w:val="24"/>
          <w:szCs w:val="24"/>
        </w:rPr>
        <w:t>what counts as meritorious is determined by those already in positions of power and privilege and ‘[i]ts claim to produce an objective “best person” is a rhetorical claim designed to maintain the judiciary as a gendered regime’.</w:t>
      </w:r>
      <w:r w:rsidRPr="00D457C9">
        <w:rPr>
          <w:rStyle w:val="FootnoteReference"/>
          <w:rFonts w:ascii="Times New Roman" w:hAnsi="Times New Roman" w:cs="Times New Roman"/>
        </w:rPr>
        <w:footnoteReference w:id="21"/>
      </w:r>
    </w:p>
    <w:p w14:paraId="0276B861" w14:textId="77777777" w:rsidR="009E1D71" w:rsidRPr="00D457C9" w:rsidRDefault="009E1D71" w:rsidP="005035C7">
      <w:pPr>
        <w:pStyle w:val="Style1"/>
        <w:rPr>
          <w:rFonts w:cs="Times New Roman"/>
          <w:color w:val="auto"/>
        </w:rPr>
      </w:pPr>
    </w:p>
    <w:p w14:paraId="1F8C2606" w14:textId="22F01AAA" w:rsidR="009E1D71" w:rsidRPr="00D457C9" w:rsidRDefault="009E1D71" w:rsidP="005035C7">
      <w:pPr>
        <w:pStyle w:val="Style1"/>
        <w:rPr>
          <w:rFonts w:cs="Times New Roman"/>
          <w:color w:val="auto"/>
          <w:highlight w:val="yellow"/>
        </w:rPr>
      </w:pPr>
      <w:r w:rsidRPr="00D457C9">
        <w:rPr>
          <w:rFonts w:cs="Times New Roman"/>
          <w:color w:val="auto"/>
        </w:rPr>
        <w:t>Granted, criticism about current High Court appointment practices (and the disinclination of successive Governments to consider reforms to appointment processes) should be tempered with the reality of what have been clear gains for women. Space quite literally had to be made for women on the highest judicial benches simply because getting women into positions of judicial authority was a departure from the overtly gendered regimes of the past. It might be countered that if this strategy is working (e.g. the current composition of the Court certainly points to marked progress), then there is no need to formalise any measures to secure a more diverse judiciary. But hard won gains in improving the representativene</w:t>
      </w:r>
      <w:r w:rsidR="00E453A6">
        <w:rPr>
          <w:rFonts w:cs="Times New Roman"/>
          <w:color w:val="auto"/>
        </w:rPr>
        <w:t>ss of our public institutions are</w:t>
      </w:r>
      <w:r w:rsidRPr="00D457C9">
        <w:rPr>
          <w:rFonts w:cs="Times New Roman"/>
          <w:color w:val="auto"/>
        </w:rPr>
        <w:t xml:space="preserve"> by no means guaranteed—it might stagnate or even go backwards. </w:t>
      </w:r>
      <w:r w:rsidR="00FC4A5A">
        <w:rPr>
          <w:rFonts w:cs="Times New Roman"/>
          <w:color w:val="auto"/>
        </w:rPr>
        <w:t>Moreover, because diversity</w:t>
      </w:r>
      <w:r w:rsidR="00371C65">
        <w:rPr>
          <w:rFonts w:cs="Times New Roman"/>
          <w:color w:val="auto"/>
        </w:rPr>
        <w:t xml:space="preserve"> has been framed</w:t>
      </w:r>
      <w:r w:rsidR="00FC4A5A">
        <w:rPr>
          <w:rFonts w:cs="Times New Roman"/>
          <w:color w:val="auto"/>
        </w:rPr>
        <w:t xml:space="preserve"> in such a way </w:t>
      </w:r>
      <w:r w:rsidRPr="00D457C9">
        <w:rPr>
          <w:rFonts w:cs="Times New Roman"/>
          <w:color w:val="auto"/>
        </w:rPr>
        <w:t xml:space="preserve">(no formal </w:t>
      </w:r>
      <w:r w:rsidRPr="00D457C9">
        <w:rPr>
          <w:rFonts w:cs="Times New Roman"/>
          <w:color w:val="auto"/>
        </w:rPr>
        <w:lastRenderedPageBreak/>
        <w:t xml:space="preserve">commitment to judicial diversity, piecemeal progress that is at best about adding to existing categories rather than transforming them) it has not opened up the space for debates about what a truly diverse judiciary might look like—or why it matters. </w:t>
      </w:r>
    </w:p>
    <w:p w14:paraId="5E9B8447" w14:textId="77777777" w:rsidR="009E1D71" w:rsidRPr="00D457C9" w:rsidRDefault="009E1D71" w:rsidP="009E1D71">
      <w:pPr>
        <w:pStyle w:val="Style1"/>
        <w:spacing w:line="276" w:lineRule="auto"/>
        <w:rPr>
          <w:rFonts w:cs="Times New Roman"/>
          <w:color w:val="auto"/>
        </w:rPr>
      </w:pPr>
    </w:p>
    <w:p w14:paraId="0F2E8F4F" w14:textId="77777777" w:rsidR="009E1D71" w:rsidRPr="00316662" w:rsidRDefault="009E1D71" w:rsidP="009E1D71">
      <w:pPr>
        <w:pStyle w:val="Style1"/>
        <w:rPr>
          <w:rFonts w:cs="Times New Roman"/>
          <w:b/>
          <w:color w:val="auto"/>
        </w:rPr>
      </w:pPr>
      <w:r w:rsidRPr="00316662">
        <w:rPr>
          <w:rFonts w:cs="Times New Roman"/>
          <w:b/>
          <w:color w:val="auto"/>
        </w:rPr>
        <w:t xml:space="preserve">Why does diversity (still) matter? </w:t>
      </w:r>
    </w:p>
    <w:p w14:paraId="083C7250" w14:textId="462B5238" w:rsidR="009E1D71" w:rsidRPr="00D457C9" w:rsidRDefault="009E1D71" w:rsidP="009E1D71">
      <w:pPr>
        <w:pStyle w:val="Style1"/>
        <w:rPr>
          <w:rFonts w:cs="Times New Roman"/>
          <w:color w:val="auto"/>
        </w:rPr>
      </w:pPr>
      <w:r w:rsidRPr="00D457C9">
        <w:rPr>
          <w:rFonts w:cs="Times New Roman"/>
          <w:color w:val="auto"/>
        </w:rPr>
        <w:t>Two broad streams of argument have been used to justify the appointment of women to judicial roles—difference and equality. Although these arguments are now well worn, they warrant revisiting, at least in ter</w:t>
      </w:r>
      <w:r w:rsidR="00CF51FB" w:rsidRPr="00D457C9">
        <w:rPr>
          <w:rFonts w:cs="Times New Roman"/>
          <w:color w:val="auto"/>
        </w:rPr>
        <w:t>ms of thinking about how agitating for</w:t>
      </w:r>
      <w:r w:rsidRPr="00D457C9">
        <w:rPr>
          <w:rFonts w:cs="Times New Roman"/>
          <w:color w:val="auto"/>
        </w:rPr>
        <w:t xml:space="preserve"> the appointment of feminist judges might fit within, or challenge existing arguments for judicial diversity. Arguments on the basis of ‘difference’ contend that the quality of justice available will be improved because women offer something different, perhaps by ‘speaking in a different voice’ or by bringing an ‘ethi</w:t>
      </w:r>
      <w:r w:rsidR="00D87A68">
        <w:rPr>
          <w:rFonts w:cs="Times New Roman"/>
          <w:color w:val="auto"/>
        </w:rPr>
        <w:t>c of care’ to the judicial role,</w:t>
      </w:r>
      <w:r w:rsidRPr="00D457C9">
        <w:rPr>
          <w:rStyle w:val="FootnoteReference"/>
          <w:rFonts w:cs="Times New Roman"/>
          <w:color w:val="auto"/>
        </w:rPr>
        <w:footnoteReference w:id="22"/>
      </w:r>
      <w:r w:rsidRPr="00D457C9">
        <w:rPr>
          <w:rFonts w:cs="Times New Roman"/>
          <w:color w:val="auto"/>
        </w:rPr>
        <w:t xml:space="preserve"> </w:t>
      </w:r>
      <w:r w:rsidR="00D87A68">
        <w:rPr>
          <w:rFonts w:cs="Times New Roman"/>
          <w:color w:val="auto"/>
        </w:rPr>
        <w:t>w</w:t>
      </w:r>
      <w:r w:rsidRPr="00D457C9">
        <w:rPr>
          <w:rFonts w:cs="Times New Roman"/>
          <w:color w:val="auto"/>
        </w:rPr>
        <w:t>hereas</w:t>
      </w:r>
      <w:r w:rsidR="00D87A68">
        <w:rPr>
          <w:rFonts w:cs="Times New Roman"/>
          <w:color w:val="auto"/>
        </w:rPr>
        <w:t xml:space="preserve"> arguments premised on equality</w:t>
      </w:r>
      <w:r w:rsidRPr="00D457C9">
        <w:rPr>
          <w:rFonts w:cs="Times New Roman"/>
          <w:color w:val="auto"/>
        </w:rPr>
        <w:t xml:space="preserve"> contend that the ‘principle of equity requires that women have an equal opportunity to participate in public decision-making institutions and that their absence undermines the democratic legitimacy of those bodies’.</w:t>
      </w:r>
      <w:r w:rsidRPr="00D457C9">
        <w:rPr>
          <w:rStyle w:val="FootnoteReference"/>
          <w:rFonts w:cs="Times New Roman"/>
          <w:color w:val="auto"/>
        </w:rPr>
        <w:footnoteReference w:id="23"/>
      </w:r>
      <w:r w:rsidRPr="00D457C9">
        <w:rPr>
          <w:rFonts w:cs="Times New Roman"/>
          <w:color w:val="auto"/>
        </w:rPr>
        <w:t xml:space="preserve"> </w:t>
      </w:r>
    </w:p>
    <w:p w14:paraId="11FA2BC6" w14:textId="77777777" w:rsidR="009E1D71" w:rsidRPr="00D457C9" w:rsidRDefault="009E1D71" w:rsidP="009E1D71">
      <w:pPr>
        <w:pStyle w:val="Style1"/>
        <w:rPr>
          <w:rFonts w:cs="Times New Roman"/>
          <w:color w:val="auto"/>
        </w:rPr>
      </w:pPr>
    </w:p>
    <w:p w14:paraId="6A92ABBD" w14:textId="27A559F2" w:rsidR="005035C7" w:rsidRPr="00D457C9" w:rsidRDefault="005035C7" w:rsidP="005035C7">
      <w:pPr>
        <w:pStyle w:val="Style1"/>
        <w:rPr>
          <w:rFonts w:cs="Times New Roman"/>
          <w:color w:val="auto"/>
        </w:rPr>
      </w:pPr>
      <w:r w:rsidRPr="00D457C9">
        <w:rPr>
          <w:rFonts w:cs="Times New Roman"/>
          <w:color w:val="auto"/>
        </w:rPr>
        <w:t>Malleson exp</w:t>
      </w:r>
      <w:r>
        <w:rPr>
          <w:rFonts w:cs="Times New Roman"/>
          <w:color w:val="auto"/>
        </w:rPr>
        <w:t xml:space="preserve">lains the superficial appeal of </w:t>
      </w:r>
      <w:r w:rsidRPr="00D457C9">
        <w:rPr>
          <w:rFonts w:cs="Times New Roman"/>
          <w:color w:val="auto"/>
        </w:rPr>
        <w:t>arguments</w:t>
      </w:r>
      <w:r>
        <w:rPr>
          <w:rFonts w:cs="Times New Roman"/>
          <w:color w:val="auto"/>
        </w:rPr>
        <w:t xml:space="preserve"> based on difference</w:t>
      </w:r>
      <w:r w:rsidRPr="00D457C9">
        <w:rPr>
          <w:rFonts w:cs="Times New Roman"/>
          <w:color w:val="auto"/>
        </w:rPr>
        <w:t xml:space="preserve">: </w:t>
      </w:r>
    </w:p>
    <w:p w14:paraId="17D363DB" w14:textId="77777777" w:rsidR="005035C7" w:rsidRPr="00D457C9" w:rsidRDefault="005035C7" w:rsidP="005035C7">
      <w:pPr>
        <w:ind w:left="567" w:right="567"/>
        <w:jc w:val="both"/>
        <w:rPr>
          <w:rFonts w:ascii="Times New Roman" w:hAnsi="Times New Roman" w:cs="Times New Roman"/>
        </w:rPr>
      </w:pPr>
      <w:r w:rsidRPr="00D457C9">
        <w:rPr>
          <w:rFonts w:ascii="Times New Roman" w:hAnsi="Times New Roman" w:cs="Times New Roman"/>
        </w:rPr>
        <w:t xml:space="preserve">The argument that the quality of justice in the courts will be improved by the differences which women bring to the bench are superficially very persuasive. The popularity of difference theories in their various guises is understandable since, if correct, they provide an almost unanswerable claim for the participation of women in the judiciary. In addition, they counter the traditional dominance of perceived masculine attributes and validate some of the traits which are designated as feminine and which have been marginalised or denigrated in public life. </w:t>
      </w:r>
      <w:r w:rsidRPr="00D457C9">
        <w:rPr>
          <w:rStyle w:val="FootnoteReference"/>
          <w:rFonts w:ascii="Times New Roman" w:hAnsi="Times New Roman" w:cs="Times New Roman"/>
        </w:rPr>
        <w:footnoteReference w:id="24"/>
      </w:r>
    </w:p>
    <w:p w14:paraId="22456B46" w14:textId="77777777" w:rsidR="00B81C67" w:rsidRDefault="00B81C67" w:rsidP="005035C7">
      <w:pPr>
        <w:pStyle w:val="Style1"/>
        <w:rPr>
          <w:rFonts w:cs="Times New Roman"/>
          <w:color w:val="auto"/>
        </w:rPr>
      </w:pPr>
    </w:p>
    <w:p w14:paraId="456E140F" w14:textId="6E24F34A" w:rsidR="009E1D71" w:rsidRPr="00D457C9" w:rsidRDefault="009E1D71" w:rsidP="005035C7">
      <w:pPr>
        <w:pStyle w:val="Style1"/>
        <w:rPr>
          <w:rFonts w:cs="Times New Roman"/>
          <w:color w:val="auto"/>
        </w:rPr>
      </w:pPr>
      <w:r w:rsidRPr="00D457C9">
        <w:rPr>
          <w:rFonts w:cs="Times New Roman"/>
          <w:color w:val="auto"/>
        </w:rPr>
        <w:t>There has always been a certain danger for feminists in the arguments from difference</w:t>
      </w:r>
      <w:r w:rsidR="007E2E25">
        <w:rPr>
          <w:rFonts w:cs="Times New Roman"/>
          <w:color w:val="auto"/>
        </w:rPr>
        <w:t>, however,</w:t>
      </w:r>
      <w:r w:rsidRPr="00D457C9">
        <w:rPr>
          <w:rFonts w:cs="Times New Roman"/>
          <w:color w:val="auto"/>
        </w:rPr>
        <w:t xml:space="preserve"> and this danger is alluded to in the responses of some women judges in their eschewal of difference. Difference can be a double-edged sword, capable of being used in ways that support and subvert feminist goals—contested as those goals might be. As we know, historically, women’s difference has been used as </w:t>
      </w:r>
      <w:r w:rsidRPr="00D457C9">
        <w:rPr>
          <w:rFonts w:cs="Times New Roman"/>
          <w:color w:val="auto"/>
        </w:rPr>
        <w:lastRenderedPageBreak/>
        <w:t>a justification for excluding them from many of the benefits of civil and public life. The tension embedded in the very notion of difference is made out in Eisenstein’s distinctions between the different views of  ‘difference’. The first view regards ‘differences as diversity’ and is therefore able to ‘acknowledge the differences among and between women</w:t>
      </w:r>
      <w:r w:rsidR="00424D9B">
        <w:rPr>
          <w:rFonts w:cs="Times New Roman"/>
          <w:color w:val="auto"/>
        </w:rPr>
        <w:t>’</w:t>
      </w:r>
      <w:r w:rsidRPr="00D457C9">
        <w:rPr>
          <w:rFonts w:cs="Times New Roman"/>
          <w:color w:val="auto"/>
        </w:rPr>
        <w:t>.</w:t>
      </w:r>
      <w:r w:rsidRPr="00D457C9">
        <w:rPr>
          <w:rStyle w:val="FootnoteReference"/>
          <w:rFonts w:cs="Times New Roman"/>
          <w:color w:val="auto"/>
        </w:rPr>
        <w:footnoteReference w:id="25"/>
      </w:r>
      <w:r w:rsidRPr="00D457C9">
        <w:rPr>
          <w:rFonts w:cs="Times New Roman"/>
          <w:color w:val="auto"/>
        </w:rPr>
        <w:t xml:space="preserve"> The second is more problematic because it ‘focuses on “difference” as homogeneity, meaning women are different, all in the same way, from men’. In emphasising the way that discussions about difference and women can lead to ‘an unconcern about specificity and differences’ Eisenstein drew on the work of French feminist, Luce Irigaray.</w:t>
      </w:r>
      <w:r w:rsidRPr="00D457C9">
        <w:rPr>
          <w:rStyle w:val="FootnoteReference"/>
          <w:rFonts w:cs="Times New Roman"/>
          <w:color w:val="auto"/>
        </w:rPr>
        <w:footnoteReference w:id="26"/>
      </w:r>
      <w:r w:rsidRPr="00D457C9">
        <w:rPr>
          <w:rFonts w:cs="Times New Roman"/>
          <w:color w:val="auto"/>
        </w:rPr>
        <w:t xml:space="preserve"> The result of this unconcern was that ‘[w]omen are treated as like men—or not like men—but not specifically as women</w:t>
      </w:r>
      <w:r w:rsidR="00424D9B">
        <w:rPr>
          <w:rFonts w:cs="Times New Roman"/>
          <w:color w:val="auto"/>
        </w:rPr>
        <w:t>’</w:t>
      </w:r>
      <w:r w:rsidRPr="00D457C9">
        <w:rPr>
          <w:rFonts w:cs="Times New Roman"/>
          <w:color w:val="auto"/>
        </w:rPr>
        <w:t>. In turn, ‘[w]omen are generalized in terms of their “difference” and therefore lose their specificity’ while ‘men are privileged by presenting themselves as non-different’.</w:t>
      </w:r>
      <w:r w:rsidRPr="00D457C9">
        <w:rPr>
          <w:rStyle w:val="FootnoteReference"/>
          <w:rFonts w:cs="Times New Roman"/>
          <w:color w:val="auto"/>
        </w:rPr>
        <w:footnoteReference w:id="27"/>
      </w:r>
      <w:r w:rsidRPr="00D457C9">
        <w:rPr>
          <w:rFonts w:cs="Times New Roman"/>
          <w:color w:val="auto"/>
        </w:rPr>
        <w:t xml:space="preserve"> Although Eisenstein asserted that ‘[m]en and women are much more similar than they are different’ she did not advocate abandoning difference as either a concept or a method. Instead, she contended that the significance of sex and gender differences must remain ‘open-textured’ while we do our best to ‘sort through a meaningful notion of equality that does not preclude differences and is not simply based in sameness’.</w:t>
      </w:r>
      <w:r w:rsidRPr="00D457C9">
        <w:rPr>
          <w:rStyle w:val="FootnoteReference"/>
          <w:rFonts w:cs="Times New Roman"/>
          <w:color w:val="auto"/>
        </w:rPr>
        <w:footnoteReference w:id="28"/>
      </w:r>
      <w:r w:rsidRPr="00D457C9">
        <w:rPr>
          <w:rFonts w:cs="Times New Roman"/>
          <w:color w:val="auto"/>
        </w:rPr>
        <w:t xml:space="preserve"> </w:t>
      </w:r>
    </w:p>
    <w:p w14:paraId="2B046814" w14:textId="77777777" w:rsidR="009E1D71" w:rsidRPr="00D457C9" w:rsidRDefault="009E1D71" w:rsidP="005035C7">
      <w:pPr>
        <w:spacing w:line="360" w:lineRule="auto"/>
        <w:jc w:val="both"/>
        <w:rPr>
          <w:rFonts w:ascii="Times New Roman" w:hAnsi="Times New Roman" w:cs="Times New Roman"/>
        </w:rPr>
      </w:pPr>
    </w:p>
    <w:p w14:paraId="4D0FFB3E" w14:textId="736EB7E0" w:rsidR="009E1D71" w:rsidRPr="00D457C9" w:rsidRDefault="009E1D71" w:rsidP="009E1D71">
      <w:pPr>
        <w:pStyle w:val="Style1"/>
        <w:rPr>
          <w:rFonts w:cs="Times New Roman"/>
          <w:color w:val="auto"/>
        </w:rPr>
      </w:pPr>
      <w:r w:rsidRPr="00D457C9">
        <w:rPr>
          <w:rFonts w:cs="Times New Roman"/>
          <w:color w:val="auto"/>
        </w:rPr>
        <w:t xml:space="preserve">It is clear that the ‘difference dilemma’ remains unresolved and therefore some of the debates around the rationale for appointing women judges remain in a state of flux. Perhaps we are not quite sure why we want women judges if actually getting them is going to be more ‘business as usual’ rather than the manifestation of difference some </w:t>
      </w:r>
      <w:r w:rsidR="00CF51FB" w:rsidRPr="00D457C9">
        <w:rPr>
          <w:rFonts w:cs="Times New Roman"/>
          <w:color w:val="auto"/>
        </w:rPr>
        <w:t xml:space="preserve">feminist theorists </w:t>
      </w:r>
      <w:r w:rsidRPr="00D457C9">
        <w:rPr>
          <w:rFonts w:cs="Times New Roman"/>
          <w:color w:val="auto"/>
        </w:rPr>
        <w:t xml:space="preserve">hoped for. For this reason, in agitating for more women on the bench, feminists are on safer ground premising their arguments on a need for diversity so that the judiciary is comprised of individuals who are more representative of society as a whole. Justifications for women judges are therefore now far more commonly couched in terms of equity or representation rather than difference because </w:t>
      </w:r>
      <w:r w:rsidRPr="00D457C9">
        <w:rPr>
          <w:rFonts w:cs="Times New Roman"/>
          <w:color w:val="auto"/>
        </w:rPr>
        <w:lastRenderedPageBreak/>
        <w:t>‘their persuasiveness or validity is not determined by what woman do on the bench’.</w:t>
      </w:r>
      <w:r w:rsidRPr="00D457C9">
        <w:rPr>
          <w:rStyle w:val="FootnoteReference"/>
          <w:rFonts w:cs="Times New Roman"/>
          <w:color w:val="auto"/>
        </w:rPr>
        <w:footnoteReference w:id="29"/>
      </w:r>
      <w:r w:rsidRPr="00D457C9">
        <w:rPr>
          <w:rFonts w:cs="Times New Roman"/>
          <w:color w:val="auto"/>
        </w:rPr>
        <w:t xml:space="preserve"> </w:t>
      </w:r>
    </w:p>
    <w:p w14:paraId="7926633E" w14:textId="77777777" w:rsidR="009E1D71" w:rsidRPr="00D457C9" w:rsidRDefault="009E1D71" w:rsidP="009E1D71">
      <w:pPr>
        <w:pStyle w:val="Style1"/>
        <w:rPr>
          <w:rFonts w:cs="Times New Roman"/>
          <w:color w:val="auto"/>
        </w:rPr>
      </w:pPr>
    </w:p>
    <w:p w14:paraId="2007F6A2" w14:textId="73078B26" w:rsidR="00E26673" w:rsidRPr="00D457C9" w:rsidRDefault="009E1D71" w:rsidP="00D63AE6">
      <w:pPr>
        <w:pStyle w:val="Style1"/>
        <w:rPr>
          <w:rFonts w:cs="Times New Roman"/>
        </w:rPr>
      </w:pPr>
      <w:r w:rsidRPr="00D457C9">
        <w:rPr>
          <w:rFonts w:cs="Times New Roman"/>
          <w:color w:val="auto"/>
        </w:rPr>
        <w:t>Yet, as Kenney has pointed out, ‘strangely, findings of no difference never seem to challenge the fundamental assumption of differen</w:t>
      </w:r>
      <w:r w:rsidR="000A2D15">
        <w:rPr>
          <w:rFonts w:cs="Times New Roman"/>
          <w:color w:val="auto"/>
        </w:rPr>
        <w:t>ce, nor deter the search for it</w:t>
      </w:r>
      <w:r w:rsidR="00A50510">
        <w:rPr>
          <w:rFonts w:cs="Times New Roman"/>
          <w:color w:val="auto"/>
        </w:rPr>
        <w:t>’</w:t>
      </w:r>
      <w:r w:rsidRPr="00D457C9">
        <w:rPr>
          <w:rFonts w:cs="Times New Roman"/>
          <w:color w:val="auto"/>
        </w:rPr>
        <w:t>.</w:t>
      </w:r>
      <w:r w:rsidRPr="00D457C9">
        <w:rPr>
          <w:rStyle w:val="FootnoteReference"/>
          <w:rFonts w:cs="Times New Roman"/>
          <w:color w:val="auto"/>
        </w:rPr>
        <w:footnoteReference w:id="30"/>
      </w:r>
      <w:r w:rsidRPr="00D457C9">
        <w:rPr>
          <w:rFonts w:cs="Times New Roman"/>
          <w:color w:val="auto"/>
        </w:rPr>
        <w:t xml:space="preserve"> With empirical studies producing varied results, and a divergence of opinion not j</w:t>
      </w:r>
      <w:r w:rsidR="009B400A">
        <w:rPr>
          <w:rFonts w:cs="Times New Roman"/>
          <w:color w:val="auto"/>
        </w:rPr>
        <w:t>ust amongst feminist</w:t>
      </w:r>
      <w:r w:rsidR="000A2D15">
        <w:rPr>
          <w:rFonts w:cs="Times New Roman"/>
          <w:color w:val="auto"/>
        </w:rPr>
        <w:t xml:space="preserve"> theorists</w:t>
      </w:r>
      <w:r w:rsidRPr="00D457C9">
        <w:rPr>
          <w:rFonts w:cs="Times New Roman"/>
          <w:color w:val="auto"/>
        </w:rPr>
        <w:t xml:space="preserve"> but also amongst women appointed as judges</w:t>
      </w:r>
      <w:r w:rsidR="000A2D15">
        <w:rPr>
          <w:rFonts w:cs="Times New Roman"/>
          <w:color w:val="auto"/>
        </w:rPr>
        <w:t>,</w:t>
      </w:r>
      <w:r w:rsidRPr="00D457C9">
        <w:rPr>
          <w:rFonts w:cs="Times New Roman"/>
          <w:color w:val="auto"/>
        </w:rPr>
        <w:t xml:space="preserve"> the study of gender and judging remains </w:t>
      </w:r>
      <w:r w:rsidR="002F038B">
        <w:rPr>
          <w:rFonts w:cs="Times New Roman"/>
          <w:color w:val="auto"/>
        </w:rPr>
        <w:t>fraught</w:t>
      </w:r>
      <w:r w:rsidRPr="00D457C9">
        <w:rPr>
          <w:rFonts w:cs="Times New Roman"/>
          <w:color w:val="auto"/>
        </w:rPr>
        <w:t>. Because ‘gender is not a proxy for feminist’</w:t>
      </w:r>
      <w:r w:rsidRPr="00D457C9">
        <w:rPr>
          <w:rStyle w:val="FootnoteReference"/>
          <w:rFonts w:cs="Times New Roman"/>
          <w:color w:val="auto"/>
        </w:rPr>
        <w:footnoteReference w:id="31"/>
      </w:r>
      <w:r w:rsidRPr="00D457C9">
        <w:rPr>
          <w:rFonts w:cs="Times New Roman"/>
          <w:color w:val="auto"/>
        </w:rPr>
        <w:t xml:space="preserve"> some feminist theorists have posited that it is more plausible to expect </w:t>
      </w:r>
      <w:r w:rsidRPr="00D457C9">
        <w:rPr>
          <w:rFonts w:cs="Times New Roman"/>
          <w:i/>
          <w:color w:val="auto"/>
        </w:rPr>
        <w:t>feminist</w:t>
      </w:r>
      <w:r w:rsidRPr="00D457C9">
        <w:rPr>
          <w:rFonts w:cs="Times New Roman"/>
          <w:color w:val="auto"/>
        </w:rPr>
        <w:t xml:space="preserve"> rather than </w:t>
      </w:r>
      <w:r w:rsidRPr="00D457C9">
        <w:rPr>
          <w:rFonts w:cs="Times New Roman"/>
          <w:i/>
          <w:color w:val="auto"/>
        </w:rPr>
        <w:t>women</w:t>
      </w:r>
      <w:r w:rsidRPr="00D457C9">
        <w:rPr>
          <w:rFonts w:cs="Times New Roman"/>
          <w:color w:val="auto"/>
        </w:rPr>
        <w:t xml:space="preserve"> judges to make a difference insofar as their approach to legal reasoning is concerned. As </w:t>
      </w:r>
      <w:r w:rsidR="00A50510">
        <w:rPr>
          <w:rFonts w:cs="Times New Roman"/>
          <w:color w:val="auto"/>
        </w:rPr>
        <w:t xml:space="preserve">a consequence, there have been </w:t>
      </w:r>
      <w:r w:rsidRPr="00D457C9">
        <w:rPr>
          <w:rFonts w:cs="Times New Roman"/>
          <w:color w:val="auto"/>
        </w:rPr>
        <w:t>calls for a change in strategy on the part of feminists to focus more directly on the demonstrated jurisprudential commitments</w:t>
      </w:r>
      <w:r w:rsidR="000A2D15">
        <w:rPr>
          <w:rFonts w:cs="Times New Roman"/>
          <w:color w:val="auto"/>
        </w:rPr>
        <w:t>,</w:t>
      </w:r>
      <w:r w:rsidRPr="00D457C9">
        <w:rPr>
          <w:rStyle w:val="FootnoteReference"/>
          <w:rFonts w:cs="Times New Roman"/>
          <w:color w:val="auto"/>
        </w:rPr>
        <w:footnoteReference w:id="32"/>
      </w:r>
      <w:r w:rsidRPr="00D457C9">
        <w:rPr>
          <w:rFonts w:cs="Times New Roman"/>
          <w:color w:val="auto"/>
        </w:rPr>
        <w:t xml:space="preserve"> rather than on the gender, of future judicial nominees when it comes to agitating for judicial appointments. It is important to note that feminist judging, understood in either a theoretical sense or on real life benches, is not about deciding</w:t>
      </w:r>
      <w:r w:rsidRPr="00D457C9">
        <w:rPr>
          <w:rFonts w:cs="Times New Roman"/>
          <w:i/>
          <w:color w:val="auto"/>
        </w:rPr>
        <w:t xml:space="preserve"> for</w:t>
      </w:r>
      <w:r w:rsidRPr="00D457C9">
        <w:rPr>
          <w:rFonts w:cs="Times New Roman"/>
          <w:color w:val="auto"/>
        </w:rPr>
        <w:t xml:space="preserve"> women but rather an approach to judging which is simultaneously consistent with the judicial oath and feminist principles (broadly construed). To this end, there has been focused examination of the jurisprudential contribut</w:t>
      </w:r>
      <w:r w:rsidR="009B400A">
        <w:rPr>
          <w:rFonts w:cs="Times New Roman"/>
          <w:color w:val="auto"/>
        </w:rPr>
        <w:t xml:space="preserve">ions of self-described feminist </w:t>
      </w:r>
      <w:r w:rsidRPr="00D457C9">
        <w:rPr>
          <w:rFonts w:cs="Times New Roman"/>
          <w:color w:val="auto"/>
        </w:rPr>
        <w:t>judges, or judges whose approach might nonetheless align with feminist sensibilities.</w:t>
      </w:r>
      <w:r w:rsidRPr="00D457C9">
        <w:rPr>
          <w:rStyle w:val="FootnoteReference"/>
          <w:rFonts w:cs="Times New Roman"/>
          <w:color w:val="auto"/>
        </w:rPr>
        <w:footnoteReference w:id="33"/>
      </w:r>
      <w:r w:rsidRPr="00D457C9">
        <w:rPr>
          <w:rFonts w:cs="Times New Roman"/>
          <w:color w:val="auto"/>
        </w:rPr>
        <w:t xml:space="preserve"> For example, the jurisprudential contributions of Baroness Hale,</w:t>
      </w:r>
      <w:r w:rsidRPr="00D457C9">
        <w:rPr>
          <w:rStyle w:val="FootnoteReference"/>
          <w:rFonts w:cs="Times New Roman"/>
          <w:color w:val="auto"/>
        </w:rPr>
        <w:footnoteReference w:id="34"/>
      </w:r>
      <w:r w:rsidRPr="00D457C9">
        <w:rPr>
          <w:rFonts w:cs="Times New Roman"/>
          <w:color w:val="auto"/>
        </w:rPr>
        <w:t xml:space="preserve"> Justice Gaudron</w:t>
      </w:r>
      <w:r w:rsidRPr="00D457C9">
        <w:rPr>
          <w:rStyle w:val="FootnoteReference"/>
          <w:rFonts w:eastAsiaTheme="minorHAnsi" w:cs="Times New Roman"/>
          <w:color w:val="auto"/>
        </w:rPr>
        <w:footnoteReference w:id="35"/>
      </w:r>
      <w:r w:rsidRPr="00D457C9">
        <w:rPr>
          <w:rFonts w:cs="Times New Roman"/>
          <w:color w:val="auto"/>
        </w:rPr>
        <w:t xml:space="preserve"> and Justice Neave</w:t>
      </w:r>
      <w:r w:rsidRPr="00D457C9">
        <w:rPr>
          <w:rStyle w:val="FootnoteReference"/>
          <w:rFonts w:cs="Times New Roman"/>
          <w:color w:val="auto"/>
        </w:rPr>
        <w:footnoteReference w:id="36"/>
      </w:r>
      <w:r w:rsidRPr="00D457C9">
        <w:rPr>
          <w:rFonts w:cs="Times New Roman"/>
          <w:color w:val="auto"/>
        </w:rPr>
        <w:t xml:space="preserve"> have been examined with a view to assessing </w:t>
      </w:r>
      <w:r w:rsidRPr="00D457C9">
        <w:rPr>
          <w:rFonts w:cs="Times New Roman"/>
          <w:color w:val="auto"/>
        </w:rPr>
        <w:lastRenderedPageBreak/>
        <w:t xml:space="preserve">whether a feminist difference could be discerned in their judicial voices. </w:t>
      </w:r>
      <w:r w:rsidR="00814BEA">
        <w:rPr>
          <w:rFonts w:cs="Times New Roman"/>
          <w:color w:val="auto"/>
        </w:rPr>
        <w:t>That being said, the nature of legal reasoning</w:t>
      </w:r>
      <w:r w:rsidR="00D63AE6">
        <w:rPr>
          <w:rFonts w:cs="Times New Roman"/>
          <w:color w:val="auto"/>
        </w:rPr>
        <w:t xml:space="preserve"> means that</w:t>
      </w:r>
      <w:r w:rsidR="00814BEA">
        <w:rPr>
          <w:rFonts w:cs="Times New Roman"/>
          <w:color w:val="auto"/>
        </w:rPr>
        <w:t xml:space="preserve"> </w:t>
      </w:r>
      <w:r w:rsidRPr="000A2D15">
        <w:rPr>
          <w:rFonts w:cs="Times New Roman"/>
          <w:color w:val="auto"/>
        </w:rPr>
        <w:t>‘even for judges who are willing to be feminist activists, opportunities to do so might be few and far between</w:t>
      </w:r>
      <w:r w:rsidR="00A50510">
        <w:rPr>
          <w:rFonts w:cs="Times New Roman"/>
          <w:color w:val="auto"/>
        </w:rPr>
        <w:t>’</w:t>
      </w:r>
      <w:r w:rsidRPr="000A2D15">
        <w:rPr>
          <w:rFonts w:cs="Times New Roman"/>
          <w:color w:val="auto"/>
        </w:rPr>
        <w:t>.</w:t>
      </w:r>
      <w:r w:rsidRPr="000A2D15">
        <w:rPr>
          <w:rStyle w:val="FootnoteReference"/>
          <w:rFonts w:cs="Times New Roman"/>
          <w:color w:val="auto"/>
        </w:rPr>
        <w:footnoteReference w:id="37"/>
      </w:r>
      <w:r w:rsidRPr="00D457C9">
        <w:rPr>
          <w:rFonts w:cs="Times New Roman"/>
          <w:color w:val="auto"/>
        </w:rPr>
        <w:t xml:space="preserve"> </w:t>
      </w:r>
    </w:p>
    <w:p w14:paraId="6C8D76BF" w14:textId="77777777" w:rsidR="009E1D71" w:rsidRDefault="009E1D71" w:rsidP="009E1D71">
      <w:pPr>
        <w:spacing w:line="360" w:lineRule="auto"/>
        <w:jc w:val="both"/>
        <w:rPr>
          <w:rFonts w:ascii="Times New Roman" w:hAnsi="Times New Roman" w:cs="Times New Roman"/>
        </w:rPr>
      </w:pPr>
    </w:p>
    <w:p w14:paraId="5D256198" w14:textId="1E613A9B" w:rsidR="002C2A22" w:rsidRPr="00A50510" w:rsidRDefault="002C2A22" w:rsidP="009B400A">
      <w:pPr>
        <w:spacing w:line="360" w:lineRule="auto"/>
        <w:jc w:val="both"/>
        <w:rPr>
          <w:rFonts w:ascii="Times New Roman" w:hAnsi="Times New Roman" w:cs="Times New Roman"/>
          <w:b/>
        </w:rPr>
      </w:pPr>
      <w:r w:rsidRPr="00A50510">
        <w:rPr>
          <w:rFonts w:ascii="Times New Roman" w:hAnsi="Times New Roman" w:cs="Times New Roman"/>
          <w:b/>
        </w:rPr>
        <w:t xml:space="preserve">The gender dynamics of the High Court: how plausible are feminist </w:t>
      </w:r>
      <w:r w:rsidR="009B400A" w:rsidRPr="00A50510">
        <w:rPr>
          <w:rFonts w:ascii="Times New Roman" w:hAnsi="Times New Roman" w:cs="Times New Roman"/>
          <w:b/>
        </w:rPr>
        <w:t>appointments</w:t>
      </w:r>
      <w:r w:rsidRPr="00A50510">
        <w:rPr>
          <w:rFonts w:ascii="Times New Roman" w:hAnsi="Times New Roman" w:cs="Times New Roman"/>
          <w:b/>
        </w:rPr>
        <w:t>?</w:t>
      </w:r>
    </w:p>
    <w:p w14:paraId="0A116BAF" w14:textId="6FB74B3A" w:rsidR="009E1D71" w:rsidRPr="00D457C9" w:rsidRDefault="009E1D71" w:rsidP="009B400A">
      <w:pPr>
        <w:pStyle w:val="Style1"/>
        <w:rPr>
          <w:rFonts w:eastAsia="Times New Roman" w:cs="Times New Roman"/>
          <w:color w:val="auto"/>
        </w:rPr>
      </w:pPr>
      <w:r w:rsidRPr="00D457C9">
        <w:rPr>
          <w:rFonts w:cs="Times New Roman"/>
          <w:color w:val="auto"/>
        </w:rPr>
        <w:t xml:space="preserve">It is obvious that explicitly feminist </w:t>
      </w:r>
      <w:r w:rsidR="00814BEA">
        <w:rPr>
          <w:rFonts w:cs="Times New Roman"/>
          <w:color w:val="auto"/>
        </w:rPr>
        <w:t>j</w:t>
      </w:r>
      <w:r w:rsidRPr="00D457C9">
        <w:rPr>
          <w:rFonts w:cs="Times New Roman"/>
          <w:color w:val="auto"/>
        </w:rPr>
        <w:t>udges</w:t>
      </w:r>
      <w:r w:rsidR="00814BEA">
        <w:rPr>
          <w:rFonts w:cs="Times New Roman"/>
          <w:color w:val="auto"/>
        </w:rPr>
        <w:t xml:space="preserve"> (rather than women judges)</w:t>
      </w:r>
      <w:r w:rsidR="00D966FF">
        <w:rPr>
          <w:rFonts w:cs="Times New Roman"/>
          <w:color w:val="auto"/>
        </w:rPr>
        <w:t xml:space="preserve"> migh</w:t>
      </w:r>
      <w:r w:rsidR="00814BEA">
        <w:rPr>
          <w:rFonts w:cs="Times New Roman"/>
          <w:color w:val="auto"/>
        </w:rPr>
        <w:t>t</w:t>
      </w:r>
      <w:r w:rsidR="00D966FF">
        <w:rPr>
          <w:rFonts w:cs="Times New Roman"/>
          <w:color w:val="auto"/>
        </w:rPr>
        <w:t xml:space="preserve"> </w:t>
      </w:r>
      <w:r w:rsidRPr="00D457C9">
        <w:rPr>
          <w:rFonts w:cs="Times New Roman"/>
          <w:color w:val="auto"/>
        </w:rPr>
        <w:t xml:space="preserve">offer more in the way of a deliberate and conscious challenge to gendered legal concepts, understandings and narratives. </w:t>
      </w:r>
      <w:r w:rsidRPr="00D457C9">
        <w:rPr>
          <w:rFonts w:eastAsia="Times New Roman" w:cs="Times New Roman"/>
          <w:color w:val="auto"/>
        </w:rPr>
        <w:t xml:space="preserve">Therefore we need to think about the strategies involved in securing their appointment. Given the public discourse around feminism and the whiff of controversy which arises when notions of affirmative action are raised (even if no such policy or anything like it is invoked), this might prove difficult. What was once conceived as the antithetical relationship between gender and judging has been disrupted in important ways but hesitancy still exists. As Justice McMurdo acknowledged at the launch of </w:t>
      </w:r>
      <w:r w:rsidRPr="00D457C9">
        <w:rPr>
          <w:rFonts w:eastAsia="Times New Roman" w:cs="Times New Roman"/>
          <w:i/>
          <w:color w:val="auto"/>
        </w:rPr>
        <w:t>Australian Feminist Judgments</w:t>
      </w:r>
      <w:r w:rsidR="000A2D15">
        <w:rPr>
          <w:rFonts w:eastAsia="Times New Roman" w:cs="Times New Roman"/>
          <w:color w:val="auto"/>
        </w:rPr>
        <w:t>,</w:t>
      </w:r>
      <w:r w:rsidR="00FC4A5A" w:rsidRPr="000A2D15">
        <w:rPr>
          <w:rStyle w:val="FootnoteReference"/>
          <w:rFonts w:eastAsia="Times New Roman" w:cs="Times New Roman"/>
          <w:color w:val="auto"/>
        </w:rPr>
        <w:footnoteReference w:id="38"/>
      </w:r>
      <w:r w:rsidRPr="00D457C9">
        <w:rPr>
          <w:rFonts w:eastAsia="Times New Roman" w:cs="Times New Roman"/>
          <w:color w:val="auto"/>
        </w:rPr>
        <w:t xml:space="preserve"> the reticence of lawyers and judges to call themselves feminists arises at least in part from ‘</w:t>
      </w:r>
      <w:r w:rsidR="000A2D15">
        <w:rPr>
          <w:rFonts w:cs="Times New Roman"/>
          <w:color w:val="auto"/>
        </w:rPr>
        <w:t>feminism’</w:t>
      </w:r>
      <w:r w:rsidRPr="00D457C9">
        <w:rPr>
          <w:rFonts w:cs="Times New Roman"/>
          <w:color w:val="auto"/>
        </w:rPr>
        <w:t>s PR problems</w:t>
      </w:r>
      <w:r w:rsidR="00A50510">
        <w:rPr>
          <w:rFonts w:cs="Times New Roman"/>
          <w:color w:val="auto"/>
        </w:rPr>
        <w:t>’</w:t>
      </w:r>
      <w:r w:rsidR="000A2D15">
        <w:rPr>
          <w:rFonts w:cs="Times New Roman"/>
          <w:color w:val="auto"/>
        </w:rPr>
        <w:t>.</w:t>
      </w:r>
      <w:r w:rsidRPr="00D457C9">
        <w:rPr>
          <w:rStyle w:val="FootnoteReference"/>
          <w:rFonts w:cs="Times New Roman"/>
          <w:color w:val="auto"/>
        </w:rPr>
        <w:footnoteReference w:id="39"/>
      </w:r>
      <w:r w:rsidRPr="00D457C9">
        <w:rPr>
          <w:rFonts w:cs="Times New Roman"/>
          <w:color w:val="auto"/>
        </w:rPr>
        <w:t xml:space="preserve"> But it is not just </w:t>
      </w:r>
      <w:r w:rsidR="00A50510">
        <w:rPr>
          <w:rFonts w:cs="Times New Roman"/>
          <w:color w:val="auto"/>
        </w:rPr>
        <w:t>about identifying as a feminist</w:t>
      </w:r>
      <w:r w:rsidRPr="00D457C9">
        <w:rPr>
          <w:rFonts w:cs="Times New Roman"/>
          <w:color w:val="auto"/>
        </w:rPr>
        <w:t xml:space="preserve"> (altho</w:t>
      </w:r>
      <w:r w:rsidR="00A50510">
        <w:rPr>
          <w:rFonts w:cs="Times New Roman"/>
          <w:color w:val="auto"/>
        </w:rPr>
        <w:t>ugh that</w:t>
      </w:r>
      <w:r w:rsidR="000A2D15">
        <w:rPr>
          <w:rFonts w:cs="Times New Roman"/>
          <w:color w:val="auto"/>
        </w:rPr>
        <w:t xml:space="preserve"> is a separate issue </w:t>
      </w:r>
      <w:r w:rsidR="009B400A">
        <w:rPr>
          <w:rFonts w:cs="Times New Roman"/>
          <w:color w:val="auto"/>
        </w:rPr>
        <w:t>which I do not seek to pursue here</w:t>
      </w:r>
      <w:r w:rsidRPr="00D457C9">
        <w:rPr>
          <w:rFonts w:cs="Times New Roman"/>
          <w:color w:val="auto"/>
        </w:rPr>
        <w:t>), it is about the way legal reasoning is understood. Justice McMurdo echoed the sentiments of the editors of the book she was launching when she emphasised the synergy between feminism and the judicial oath:</w:t>
      </w:r>
    </w:p>
    <w:p w14:paraId="595CDA6F" w14:textId="583D35D2" w:rsidR="009E1D71" w:rsidRPr="00D457C9" w:rsidRDefault="009E1D71" w:rsidP="009B400A">
      <w:pPr>
        <w:ind w:left="567" w:right="567"/>
        <w:jc w:val="both"/>
        <w:rPr>
          <w:rFonts w:ascii="Times New Roman" w:hAnsi="Times New Roman" w:cs="Times New Roman"/>
        </w:rPr>
      </w:pPr>
      <w:r w:rsidRPr="00D457C9">
        <w:rPr>
          <w:rFonts w:ascii="Times New Roman" w:hAnsi="Times New Roman" w:cs="Times New Roman"/>
        </w:rPr>
        <w:t xml:space="preserve">the judicial oath or affirmation is in largely identical terms throughout the common law world: to sincerely promise and swear or affirm to at all times and in all things do equal justice to the poor and rich and to discharge the duties of office according </w:t>
      </w:r>
      <w:r w:rsidR="00B81C67">
        <w:rPr>
          <w:rFonts w:ascii="Times New Roman" w:hAnsi="Times New Roman" w:cs="Times New Roman"/>
        </w:rPr>
        <w:t>to law to the best of the judge’</w:t>
      </w:r>
      <w:r w:rsidRPr="00D457C9">
        <w:rPr>
          <w:rFonts w:ascii="Times New Roman" w:hAnsi="Times New Roman" w:cs="Times New Roman"/>
        </w:rPr>
        <w:t>s knowledge and ability, without fear, favour or affection.</w:t>
      </w:r>
      <w:r w:rsidRPr="00D457C9">
        <w:rPr>
          <w:rFonts w:ascii="Times New Roman" w:hAnsi="Times New Roman" w:cs="Times New Roman"/>
          <w:position w:val="-244"/>
          <w:sz w:val="16"/>
          <w:szCs w:val="16"/>
        </w:rPr>
        <w:t xml:space="preserve"> </w:t>
      </w:r>
      <w:r w:rsidRPr="00D457C9">
        <w:rPr>
          <w:rFonts w:ascii="Times New Roman" w:hAnsi="Times New Roman" w:cs="Times New Roman"/>
        </w:rPr>
        <w:t xml:space="preserve">How could the contextually </w:t>
      </w:r>
      <w:r w:rsidR="00B81C67">
        <w:rPr>
          <w:rFonts w:ascii="Times New Roman" w:hAnsi="Times New Roman" w:cs="Times New Roman"/>
        </w:rPr>
        <w:t>appropriate advocating of women’</w:t>
      </w:r>
      <w:r w:rsidRPr="00D457C9">
        <w:rPr>
          <w:rFonts w:ascii="Times New Roman" w:hAnsi="Times New Roman" w:cs="Times New Roman"/>
        </w:rPr>
        <w:t>s rights on the ground of equality of the sexes result in a reasonable apprehension of bias? There is complete synergy between feminism and the judicial oath.</w:t>
      </w:r>
      <w:r w:rsidRPr="00D457C9">
        <w:rPr>
          <w:rStyle w:val="FootnoteReference"/>
          <w:rFonts w:ascii="Times New Roman" w:hAnsi="Times New Roman" w:cs="Times New Roman"/>
        </w:rPr>
        <w:footnoteReference w:id="40"/>
      </w:r>
    </w:p>
    <w:p w14:paraId="36C369C9" w14:textId="0EC270CC" w:rsidR="009E1D71" w:rsidRDefault="009E1D71" w:rsidP="00B21B50">
      <w:pPr>
        <w:spacing w:before="100" w:beforeAutospacing="1" w:after="100" w:afterAutospacing="1" w:line="360" w:lineRule="auto"/>
        <w:jc w:val="both"/>
        <w:rPr>
          <w:rFonts w:ascii="Times New Roman" w:hAnsi="Times New Roman" w:cs="Times New Roman"/>
        </w:rPr>
      </w:pPr>
      <w:r w:rsidRPr="00D457C9">
        <w:rPr>
          <w:rFonts w:ascii="Times New Roman" w:hAnsi="Times New Roman" w:cs="Times New Roman"/>
        </w:rPr>
        <w:lastRenderedPageBreak/>
        <w:t xml:space="preserve">McMurdo’s point is more far-reaching than identifying with feminism or even identifying as a feminist judge. Feminist reasoning, by its very nature seems so disruptive because masculinist legal reasoning was simply legal reasoning. The possibility and plausibility of real life feminist judicial reasoning is undermined by a system of law which entrenches masculinist approaches in a polity </w:t>
      </w:r>
      <w:r w:rsidR="002B71E0">
        <w:rPr>
          <w:rFonts w:ascii="Times New Roman" w:hAnsi="Times New Roman" w:cs="Times New Roman"/>
        </w:rPr>
        <w:t>in which</w:t>
      </w:r>
      <w:r w:rsidRPr="00D457C9">
        <w:rPr>
          <w:rFonts w:ascii="Times New Roman" w:hAnsi="Times New Roman" w:cs="Times New Roman"/>
        </w:rPr>
        <w:t xml:space="preserve"> the public authority of women is contested and compromised. Feminist interventions in the law are rendered less </w:t>
      </w:r>
      <w:r w:rsidR="00B81C67">
        <w:rPr>
          <w:rFonts w:ascii="Times New Roman" w:hAnsi="Times New Roman" w:cs="Times New Roman"/>
        </w:rPr>
        <w:t>likely (but not impossible) where a</w:t>
      </w:r>
      <w:r w:rsidRPr="00D457C9">
        <w:rPr>
          <w:rFonts w:ascii="Times New Roman" w:hAnsi="Times New Roman" w:cs="Times New Roman"/>
        </w:rPr>
        <w:t xml:space="preserve"> </w:t>
      </w:r>
      <w:r w:rsidR="00802759">
        <w:rPr>
          <w:rFonts w:ascii="Times New Roman" w:hAnsi="Times New Roman" w:cs="Times New Roman"/>
        </w:rPr>
        <w:t>powerfully masculinist public sphere</w:t>
      </w:r>
      <w:r w:rsidR="00B81C67">
        <w:rPr>
          <w:rFonts w:ascii="Times New Roman" w:hAnsi="Times New Roman" w:cs="Times New Roman"/>
        </w:rPr>
        <w:t xml:space="preserve"> </w:t>
      </w:r>
      <w:r w:rsidRPr="00D457C9">
        <w:rPr>
          <w:rFonts w:ascii="Times New Roman" w:hAnsi="Times New Roman" w:cs="Times New Roman"/>
        </w:rPr>
        <w:t>dictate</w:t>
      </w:r>
      <w:r w:rsidR="00B81C67">
        <w:rPr>
          <w:rFonts w:ascii="Times New Roman" w:hAnsi="Times New Roman" w:cs="Times New Roman"/>
        </w:rPr>
        <w:t>s</w:t>
      </w:r>
      <w:r w:rsidRPr="00D457C9">
        <w:rPr>
          <w:rFonts w:ascii="Times New Roman" w:hAnsi="Times New Roman" w:cs="Times New Roman"/>
        </w:rPr>
        <w:t xml:space="preserve"> the circumstances in which feminist judges might don judicial robes by directing judicial appointments. </w:t>
      </w:r>
    </w:p>
    <w:p w14:paraId="357F7526" w14:textId="00D7D3C1" w:rsidR="00A11407" w:rsidRPr="008511E9" w:rsidRDefault="009E1D71" w:rsidP="00637E77">
      <w:pPr>
        <w:spacing w:line="360" w:lineRule="auto"/>
        <w:jc w:val="both"/>
        <w:rPr>
          <w:rFonts w:ascii="Times New Roman" w:hAnsi="Times New Roman" w:cs="Times New Roman"/>
        </w:rPr>
      </w:pPr>
      <w:r w:rsidRPr="00D457C9">
        <w:rPr>
          <w:rFonts w:ascii="Times New Roman" w:hAnsi="Times New Roman" w:cs="Times New Roman"/>
        </w:rPr>
        <w:t xml:space="preserve">It remains to be seen what kind of contribution Chief Justice Kiefel will make to the High Court. Her </w:t>
      </w:r>
      <w:r w:rsidR="00A11407" w:rsidRPr="00D457C9">
        <w:rPr>
          <w:rFonts w:ascii="Times New Roman" w:hAnsi="Times New Roman" w:cs="Times New Roman"/>
        </w:rPr>
        <w:t xml:space="preserve">jurisprudential contributions and </w:t>
      </w:r>
      <w:r w:rsidRPr="00D457C9">
        <w:rPr>
          <w:rFonts w:ascii="Times New Roman" w:hAnsi="Times New Roman" w:cs="Times New Roman"/>
        </w:rPr>
        <w:t>extra curial comments indicate that the Kiefel Court, like the French Court before it, might be a Court marked by consensus.</w:t>
      </w:r>
      <w:r w:rsidRPr="00D457C9">
        <w:rPr>
          <w:rStyle w:val="FootnoteReference"/>
          <w:rFonts w:ascii="Times New Roman" w:hAnsi="Times New Roman" w:cs="Times New Roman"/>
        </w:rPr>
        <w:footnoteReference w:id="41"/>
      </w:r>
      <w:r w:rsidRPr="00D457C9">
        <w:rPr>
          <w:rFonts w:ascii="Times New Roman" w:hAnsi="Times New Roman" w:cs="Times New Roman"/>
        </w:rPr>
        <w:t xml:space="preserve"> Whether she evidences (like the now retired Justice Crennan</w:t>
      </w:r>
      <w:r w:rsidRPr="00D457C9">
        <w:rPr>
          <w:rStyle w:val="FootnoteReference"/>
          <w:rFonts w:ascii="Times New Roman" w:hAnsi="Times New Roman" w:cs="Times New Roman"/>
        </w:rPr>
        <w:footnoteReference w:id="42"/>
      </w:r>
      <w:r w:rsidRPr="00D457C9">
        <w:rPr>
          <w:rFonts w:ascii="Times New Roman" w:hAnsi="Times New Roman" w:cs="Times New Roman"/>
        </w:rPr>
        <w:t xml:space="preserve"> before her) a growing willingness to reflect on the changing role of women </w:t>
      </w:r>
      <w:r w:rsidR="00637E77">
        <w:rPr>
          <w:rFonts w:ascii="Times New Roman" w:hAnsi="Times New Roman" w:cs="Times New Roman"/>
        </w:rPr>
        <w:t>in</w:t>
      </w:r>
      <w:r w:rsidRPr="00D457C9">
        <w:rPr>
          <w:rFonts w:ascii="Times New Roman" w:hAnsi="Times New Roman" w:cs="Times New Roman"/>
        </w:rPr>
        <w:t xml:space="preserve"> the law, and the frustrations associated with the gendered ways in which her legacy might be received, will also remain to be seen.</w:t>
      </w:r>
      <w:r w:rsidR="00CF51FB" w:rsidRPr="00D457C9">
        <w:rPr>
          <w:rFonts w:ascii="Times New Roman" w:hAnsi="Times New Roman" w:cs="Times New Roman"/>
        </w:rPr>
        <w:t xml:space="preserve"> </w:t>
      </w:r>
      <w:r w:rsidR="00A11407" w:rsidRPr="008511E9">
        <w:rPr>
          <w:rFonts w:ascii="Times New Roman" w:hAnsi="Times New Roman" w:cs="Times New Roman"/>
          <w:iCs/>
        </w:rPr>
        <w:t>The gender dynamics on the High Court have thus far been carefully crafted. No woman has ever replaced another woman—lest anyone get the idea that there are seats reserved for women. Nevertheless, at least for now, the presence of women as members of the Court seems secure. Assuming Chief Justice Kiefel stays on the b</w:t>
      </w:r>
      <w:r w:rsidR="002B71E0">
        <w:rPr>
          <w:rFonts w:ascii="Times New Roman" w:hAnsi="Times New Roman" w:cs="Times New Roman"/>
          <w:iCs/>
        </w:rPr>
        <w:t xml:space="preserve">ench until she is 70 years old, </w:t>
      </w:r>
      <w:r w:rsidR="00A11407" w:rsidRPr="008511E9">
        <w:rPr>
          <w:rFonts w:ascii="Times New Roman" w:hAnsi="Times New Roman" w:cs="Times New Roman"/>
          <w:iCs/>
        </w:rPr>
        <w:t xml:space="preserve">a woman will serve as Chief Justice until 2024. If Justice Michelle </w:t>
      </w:r>
      <w:r w:rsidR="00A11407" w:rsidRPr="008511E9">
        <w:rPr>
          <w:rFonts w:ascii="Times New Roman" w:hAnsi="Times New Roman" w:cs="Times New Roman"/>
        </w:rPr>
        <w:t>Gordon stays on the Bench until her mandatory constitutionally required retirement, we are guaranteed at least one woman until 2034. United States Supreme Court Justice Ruth Bader Ginsburg’s response to queries about when there will be ‘enough’ women judges is salutary:</w:t>
      </w:r>
    </w:p>
    <w:p w14:paraId="75BE030D" w14:textId="7C6F77A1" w:rsidR="00A11407" w:rsidRPr="008511E9" w:rsidRDefault="00A11407" w:rsidP="00637E77">
      <w:pPr>
        <w:ind w:left="567" w:right="567"/>
        <w:jc w:val="both"/>
        <w:rPr>
          <w:rFonts w:ascii="Times New Roman" w:hAnsi="Times New Roman" w:cs="Times New Roman"/>
        </w:rPr>
      </w:pPr>
      <w:r w:rsidRPr="008511E9">
        <w:rPr>
          <w:rFonts w:ascii="Times New Roman" w:hAnsi="Times New Roman" w:cs="Times New Roman"/>
          <w:iCs/>
        </w:rPr>
        <w:t>So now the perception is, yes, women are here to stay. And when I'm sometimes asked when will</w:t>
      </w:r>
      <w:r w:rsidR="00637E77">
        <w:rPr>
          <w:rFonts w:ascii="Times New Roman" w:hAnsi="Times New Roman" w:cs="Times New Roman"/>
          <w:iCs/>
        </w:rPr>
        <w:t xml:space="preserve"> there be enough [women on the Supreme </w:t>
      </w:r>
      <w:r w:rsidR="00637E77">
        <w:rPr>
          <w:rFonts w:ascii="Times New Roman" w:hAnsi="Times New Roman" w:cs="Times New Roman"/>
          <w:iCs/>
        </w:rPr>
        <w:lastRenderedPageBreak/>
        <w:t>C</w:t>
      </w:r>
      <w:r w:rsidRPr="008511E9">
        <w:rPr>
          <w:rFonts w:ascii="Times New Roman" w:hAnsi="Times New Roman" w:cs="Times New Roman"/>
          <w:iCs/>
        </w:rPr>
        <w:t>ourt]? And I say when there are nine, people are shocked. But there’d been nine men, and nobody’s ever raised a question about that.</w:t>
      </w:r>
      <w:r w:rsidRPr="008511E9">
        <w:rPr>
          <w:rStyle w:val="FootnoteReference"/>
          <w:rFonts w:ascii="Times New Roman" w:hAnsi="Times New Roman" w:cs="Times New Roman"/>
          <w:iCs/>
        </w:rPr>
        <w:footnoteReference w:id="43"/>
      </w:r>
    </w:p>
    <w:p w14:paraId="42E77148" w14:textId="77777777" w:rsidR="00637E77" w:rsidRDefault="00637E77" w:rsidP="00A11407">
      <w:pPr>
        <w:pStyle w:val="Style1"/>
        <w:rPr>
          <w:rFonts w:cs="Times New Roman"/>
          <w:iCs/>
          <w:color w:val="auto"/>
        </w:rPr>
      </w:pPr>
    </w:p>
    <w:p w14:paraId="462919B9" w14:textId="40285977" w:rsidR="00526907" w:rsidRPr="00D457C9" w:rsidRDefault="00A11407" w:rsidP="00637E77">
      <w:pPr>
        <w:pStyle w:val="Style1"/>
        <w:rPr>
          <w:rFonts w:cs="Times New Roman"/>
          <w:color w:val="auto"/>
        </w:rPr>
      </w:pPr>
      <w:r w:rsidRPr="00D457C9">
        <w:rPr>
          <w:rFonts w:cs="Times New Roman"/>
          <w:iCs/>
          <w:color w:val="auto"/>
        </w:rPr>
        <w:t>The point is a powerful one because it reveals how normalised an all-man bench is, especially when juxtaposed against the seemingly fa</w:t>
      </w:r>
      <w:r w:rsidR="00637E77">
        <w:rPr>
          <w:rFonts w:cs="Times New Roman"/>
          <w:iCs/>
          <w:color w:val="auto"/>
        </w:rPr>
        <w:t>ntastical idea of an all-</w:t>
      </w:r>
      <w:r w:rsidRPr="00D457C9">
        <w:rPr>
          <w:rFonts w:cs="Times New Roman"/>
          <w:iCs/>
          <w:color w:val="auto"/>
        </w:rPr>
        <w:t xml:space="preserve">woman bench. </w:t>
      </w:r>
      <w:r w:rsidRPr="00D457C9">
        <w:rPr>
          <w:rFonts w:cs="Times New Roman"/>
          <w:color w:val="auto"/>
        </w:rPr>
        <w:t xml:space="preserve">The visibility of women on the bench, literally and figuratively, cast by the almost equal gender balance and our new Chief Justice, makes an important symbolic statement about women’s admission to legal authority in Australia. But this appointment does not negate the need for continuing conversations around the importance of diversity or for amendments that would properly enshrine the value of diversity into the formal appointment process. </w:t>
      </w:r>
    </w:p>
    <w:p w14:paraId="1C485992" w14:textId="77777777" w:rsidR="002F2635" w:rsidRDefault="002F2635" w:rsidP="002F2635">
      <w:pPr>
        <w:spacing w:line="276" w:lineRule="auto"/>
        <w:jc w:val="both"/>
        <w:rPr>
          <w:rFonts w:ascii="Times New Roman" w:hAnsi="Times New Roman" w:cs="Times New Roman"/>
        </w:rPr>
      </w:pPr>
    </w:p>
    <w:p w14:paraId="1EA1089D" w14:textId="79B09142" w:rsidR="009E1D71" w:rsidRPr="00204B91" w:rsidRDefault="00204B91" w:rsidP="00204B91">
      <w:pPr>
        <w:pStyle w:val="Style1"/>
        <w:rPr>
          <w:rFonts w:cs="Times New Roman"/>
          <w:color w:val="auto"/>
        </w:rPr>
      </w:pPr>
      <w:r w:rsidRPr="000133AC">
        <w:rPr>
          <w:rFonts w:cs="Times New Roman"/>
          <w:color w:val="auto"/>
        </w:rPr>
        <w:t>The case for diversity is multifaceted</w:t>
      </w:r>
      <w:r w:rsidR="006E1C02" w:rsidRPr="000133AC">
        <w:rPr>
          <w:rFonts w:cs="Times New Roman"/>
          <w:color w:val="auto"/>
        </w:rPr>
        <w:t xml:space="preserve"> and by extension, what a diverse judiciary might look like is neither fixed nor certain.</w:t>
      </w:r>
      <w:r w:rsidR="00AB3193" w:rsidRPr="000133AC">
        <w:rPr>
          <w:rFonts w:cs="Times New Roman"/>
          <w:color w:val="auto"/>
        </w:rPr>
        <w:t xml:space="preserve"> </w:t>
      </w:r>
      <w:r w:rsidR="000133AC" w:rsidRPr="000133AC">
        <w:rPr>
          <w:rFonts w:cs="Times New Roman"/>
        </w:rPr>
        <w:t xml:space="preserve">Advocating for a more diverse judiciary on the basis that it might transform existing approaches is obviously more radical than asserting that the judiciary should be representative of the society from which it is drawn. But these arguments need not be mutually exclusive. </w:t>
      </w:r>
      <w:r w:rsidR="000133AC">
        <w:rPr>
          <w:rFonts w:cs="Times New Roman"/>
        </w:rPr>
        <w:t>A</w:t>
      </w:r>
      <w:r w:rsidR="009E1D71" w:rsidRPr="000133AC">
        <w:rPr>
          <w:rFonts w:cs="Times New Roman"/>
        </w:rPr>
        <w:t>ppointments that undermine the homogeneity of the Court are steps in the right direction in disrupting the notion that</w:t>
      </w:r>
      <w:r w:rsidR="00526907" w:rsidRPr="000133AC">
        <w:rPr>
          <w:rFonts w:cs="Times New Roman"/>
        </w:rPr>
        <w:t xml:space="preserve"> judging is the preserve of men</w:t>
      </w:r>
      <w:r w:rsidR="009E1D71" w:rsidRPr="000133AC">
        <w:rPr>
          <w:rFonts w:cs="Times New Roman"/>
        </w:rPr>
        <w:t>.</w:t>
      </w:r>
      <w:r w:rsidR="00526907" w:rsidRPr="000133AC">
        <w:rPr>
          <w:rFonts w:cs="Times New Roman"/>
        </w:rPr>
        <w:t xml:space="preserve"> </w:t>
      </w:r>
      <w:r w:rsidR="009E1D71" w:rsidRPr="000133AC">
        <w:rPr>
          <w:rFonts w:cs="Times New Roman"/>
        </w:rPr>
        <w:t>Once we</w:t>
      </w:r>
      <w:r w:rsidR="00AB3193" w:rsidRPr="000133AC">
        <w:rPr>
          <w:rFonts w:cs="Times New Roman"/>
        </w:rPr>
        <w:t xml:space="preserve"> acknowledge the value of judicial diversity </w:t>
      </w:r>
      <w:r w:rsidR="009E1D71" w:rsidRPr="000133AC">
        <w:rPr>
          <w:rFonts w:cs="Times New Roman"/>
        </w:rPr>
        <w:t xml:space="preserve">we are able to have important conversations about the scope and content of reforms which might then secure a truly diverse judiciary. And then, for feminists, there might even be </w:t>
      </w:r>
      <w:r w:rsidR="00AB3193" w:rsidRPr="000133AC">
        <w:rPr>
          <w:rFonts w:cs="Times New Roman"/>
        </w:rPr>
        <w:t xml:space="preserve">more </w:t>
      </w:r>
      <w:r w:rsidR="009E1D71" w:rsidRPr="000133AC">
        <w:rPr>
          <w:rFonts w:cs="Times New Roman"/>
        </w:rPr>
        <w:t>space to think about strategies for securing the appointment of judges who are not only aware of the importance of equality and the gendered nature of law, but also, willing and able to articulate that awareness.</w:t>
      </w:r>
      <w:r w:rsidR="009E1D71" w:rsidRPr="00D457C9">
        <w:rPr>
          <w:rFonts w:cs="Times New Roman"/>
        </w:rPr>
        <w:t xml:space="preserve"> </w:t>
      </w:r>
    </w:p>
    <w:p w14:paraId="22D428F5" w14:textId="77777777" w:rsidR="000242A3" w:rsidRDefault="000242A3" w:rsidP="009E1D71">
      <w:pPr>
        <w:spacing w:line="360" w:lineRule="auto"/>
        <w:ind w:right="567"/>
        <w:jc w:val="both"/>
        <w:rPr>
          <w:rFonts w:ascii="Times New Roman" w:hAnsi="Times New Roman" w:cs="Times New Roman"/>
        </w:rPr>
      </w:pPr>
    </w:p>
    <w:sectPr w:rsidR="000242A3" w:rsidSect="00D3535D">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4445" w14:textId="77777777" w:rsidR="005E0703" w:rsidRDefault="005E0703" w:rsidP="009E1D71">
      <w:r>
        <w:separator/>
      </w:r>
    </w:p>
  </w:endnote>
  <w:endnote w:type="continuationSeparator" w:id="0">
    <w:p w14:paraId="4FE8CD63" w14:textId="77777777" w:rsidR="005E0703" w:rsidRDefault="005E0703" w:rsidP="009E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0726" w14:textId="51E0853A" w:rsidR="00D3535D" w:rsidRDefault="00D3535D">
    <w:pPr>
      <w:pStyle w:val="Footer"/>
      <w:jc w:val="center"/>
      <w:rPr>
        <w:sz w:val="22"/>
        <w:szCs w:val="22"/>
      </w:rPr>
    </w:pPr>
    <w:r w:rsidRPr="00D3535D">
      <w:rPr>
        <w:sz w:val="22"/>
        <w:szCs w:val="22"/>
      </w:rPr>
      <w:t>__________</w:t>
    </w:r>
    <w:r>
      <w:rPr>
        <w:sz w:val="22"/>
        <w:szCs w:val="22"/>
      </w:rPr>
      <w:t>___________________________________________________________________________________________</w:t>
    </w:r>
  </w:p>
  <w:p w14:paraId="309EA9B0" w14:textId="77777777" w:rsidR="00D3535D" w:rsidRPr="00D3535D" w:rsidRDefault="00D3535D">
    <w:pPr>
      <w:pStyle w:val="Footer"/>
      <w:jc w:val="center"/>
      <w:rPr>
        <w:sz w:val="22"/>
        <w:szCs w:val="22"/>
      </w:rPr>
    </w:pPr>
  </w:p>
  <w:p w14:paraId="2923698F" w14:textId="529B7429" w:rsidR="00D3535D" w:rsidRPr="00D3535D" w:rsidRDefault="00F20494">
    <w:pPr>
      <w:pStyle w:val="Footer"/>
      <w:jc w:val="center"/>
      <w:rPr>
        <w:sz w:val="22"/>
        <w:szCs w:val="22"/>
      </w:rPr>
    </w:pPr>
    <w:sdt>
      <w:sdtPr>
        <w:rPr>
          <w:sz w:val="22"/>
          <w:szCs w:val="22"/>
        </w:rPr>
        <w:id w:val="1636361351"/>
        <w:docPartObj>
          <w:docPartGallery w:val="Page Numbers (Bottom of Page)"/>
          <w:docPartUnique/>
        </w:docPartObj>
      </w:sdtPr>
      <w:sdtEndPr>
        <w:rPr>
          <w:noProof/>
        </w:rPr>
      </w:sdtEndPr>
      <w:sdtContent>
        <w:r w:rsidR="00D3535D" w:rsidRPr="00D3535D">
          <w:rPr>
            <w:sz w:val="22"/>
            <w:szCs w:val="22"/>
          </w:rPr>
          <w:fldChar w:fldCharType="begin"/>
        </w:r>
        <w:r w:rsidR="00D3535D" w:rsidRPr="00D3535D">
          <w:rPr>
            <w:sz w:val="22"/>
            <w:szCs w:val="22"/>
          </w:rPr>
          <w:instrText xml:space="preserve"> PAGE   \* MERGEFORMAT </w:instrText>
        </w:r>
        <w:r w:rsidR="00D3535D" w:rsidRPr="00D3535D">
          <w:rPr>
            <w:sz w:val="22"/>
            <w:szCs w:val="22"/>
          </w:rPr>
          <w:fldChar w:fldCharType="separate"/>
        </w:r>
        <w:r>
          <w:rPr>
            <w:noProof/>
            <w:sz w:val="22"/>
            <w:szCs w:val="22"/>
          </w:rPr>
          <w:t>2</w:t>
        </w:r>
        <w:r w:rsidR="00D3535D" w:rsidRPr="00D3535D">
          <w:rPr>
            <w:noProof/>
            <w:sz w:val="22"/>
            <w:szCs w:val="22"/>
          </w:rPr>
          <w:fldChar w:fldCharType="end"/>
        </w:r>
      </w:sdtContent>
    </w:sdt>
  </w:p>
  <w:p w14:paraId="6B9FFD99" w14:textId="77777777" w:rsidR="00D3535D" w:rsidRDefault="00D3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B48D" w14:textId="45275B1F" w:rsidR="00D3535D" w:rsidRDefault="00D3535D">
    <w:pPr>
      <w:pStyle w:val="Footer"/>
      <w:jc w:val="center"/>
      <w:rPr>
        <w:sz w:val="22"/>
        <w:szCs w:val="22"/>
      </w:rPr>
    </w:pPr>
    <w:r w:rsidRPr="00D3535D">
      <w:rPr>
        <w:sz w:val="22"/>
        <w:szCs w:val="22"/>
      </w:rPr>
      <w:t>_______________________</w:t>
    </w:r>
    <w:r>
      <w:rPr>
        <w:sz w:val="22"/>
        <w:szCs w:val="22"/>
      </w:rPr>
      <w:t>______________________________________________________________________________</w:t>
    </w:r>
  </w:p>
  <w:p w14:paraId="11DF7DD8" w14:textId="77777777" w:rsidR="00D3535D" w:rsidRPr="00D3535D" w:rsidRDefault="00D3535D">
    <w:pPr>
      <w:pStyle w:val="Footer"/>
      <w:jc w:val="center"/>
      <w:rPr>
        <w:sz w:val="22"/>
        <w:szCs w:val="22"/>
      </w:rPr>
    </w:pPr>
  </w:p>
  <w:p w14:paraId="6681FC59" w14:textId="529FFE4E" w:rsidR="00D3535D" w:rsidRDefault="00F20494">
    <w:pPr>
      <w:pStyle w:val="Footer"/>
      <w:jc w:val="center"/>
    </w:pPr>
    <w:sdt>
      <w:sdtPr>
        <w:rPr>
          <w:sz w:val="22"/>
          <w:szCs w:val="22"/>
        </w:rPr>
        <w:id w:val="-1110036642"/>
        <w:docPartObj>
          <w:docPartGallery w:val="Page Numbers (Bottom of Page)"/>
          <w:docPartUnique/>
        </w:docPartObj>
      </w:sdtPr>
      <w:sdtEndPr>
        <w:rPr>
          <w:noProof/>
        </w:rPr>
      </w:sdtEndPr>
      <w:sdtContent>
        <w:r w:rsidR="00D3535D" w:rsidRPr="00D3535D">
          <w:rPr>
            <w:sz w:val="22"/>
            <w:szCs w:val="22"/>
          </w:rPr>
          <w:fldChar w:fldCharType="begin"/>
        </w:r>
        <w:r w:rsidR="00D3535D" w:rsidRPr="00D3535D">
          <w:rPr>
            <w:sz w:val="22"/>
            <w:szCs w:val="22"/>
          </w:rPr>
          <w:instrText xml:space="preserve"> PAGE   \* MERGEFORMAT </w:instrText>
        </w:r>
        <w:r w:rsidR="00D3535D" w:rsidRPr="00D3535D">
          <w:rPr>
            <w:sz w:val="22"/>
            <w:szCs w:val="22"/>
          </w:rPr>
          <w:fldChar w:fldCharType="separate"/>
        </w:r>
        <w:r>
          <w:rPr>
            <w:noProof/>
            <w:sz w:val="22"/>
            <w:szCs w:val="22"/>
          </w:rPr>
          <w:t>1</w:t>
        </w:r>
        <w:r w:rsidR="00D3535D" w:rsidRPr="00D3535D">
          <w:rPr>
            <w:noProof/>
            <w:sz w:val="22"/>
            <w:szCs w:val="22"/>
          </w:rPr>
          <w:fldChar w:fldCharType="end"/>
        </w:r>
      </w:sdtContent>
    </w:sdt>
  </w:p>
  <w:p w14:paraId="2BF543FA" w14:textId="77777777" w:rsidR="00D3535D" w:rsidRDefault="00D35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EF54" w14:textId="77777777" w:rsidR="005E0703" w:rsidRDefault="005E0703" w:rsidP="009E1D71">
      <w:r>
        <w:separator/>
      </w:r>
    </w:p>
  </w:footnote>
  <w:footnote w:type="continuationSeparator" w:id="0">
    <w:p w14:paraId="7D4F8A61" w14:textId="77777777" w:rsidR="005E0703" w:rsidRDefault="005E0703" w:rsidP="009E1D71">
      <w:r>
        <w:continuationSeparator/>
      </w:r>
    </w:p>
  </w:footnote>
  <w:footnote w:id="1">
    <w:p w14:paraId="70025DBA" w14:textId="21FCBC68" w:rsidR="00D20E12" w:rsidRPr="00D20E12" w:rsidRDefault="00D20E12">
      <w:pPr>
        <w:pStyle w:val="FootnoteText"/>
        <w:rPr>
          <w:sz w:val="20"/>
          <w:szCs w:val="20"/>
          <w:lang w:val="en-GB"/>
        </w:rPr>
      </w:pPr>
      <w:r w:rsidRPr="00D20E12">
        <w:rPr>
          <w:rStyle w:val="FootnoteReference"/>
          <w:sz w:val="20"/>
          <w:szCs w:val="20"/>
        </w:rPr>
        <w:t>*</w:t>
      </w:r>
      <w:r w:rsidRPr="00D20E12">
        <w:rPr>
          <w:sz w:val="20"/>
          <w:szCs w:val="20"/>
        </w:rPr>
        <w:t xml:space="preserve"> </w:t>
      </w:r>
      <w:r w:rsidRPr="00D20E12">
        <w:rPr>
          <w:sz w:val="20"/>
          <w:szCs w:val="20"/>
          <w:lang w:val="en-GB"/>
        </w:rPr>
        <w:t xml:space="preserve">Lecturer, School of Law, University of Newcastle, Australia. Email: </w:t>
      </w:r>
      <w:hyperlink r:id="rId1" w:history="1">
        <w:r w:rsidRPr="00D20E12">
          <w:rPr>
            <w:rStyle w:val="Hyperlink"/>
            <w:sz w:val="20"/>
            <w:szCs w:val="20"/>
            <w:lang w:val="en-GB"/>
          </w:rPr>
          <w:t>kcasey.mcloughlin@newcastle.edu.au</w:t>
        </w:r>
      </w:hyperlink>
      <w:r w:rsidRPr="00D20E12">
        <w:rPr>
          <w:sz w:val="20"/>
          <w:szCs w:val="20"/>
          <w:lang w:val="en-GB"/>
        </w:rPr>
        <w:t xml:space="preserve">. </w:t>
      </w:r>
    </w:p>
  </w:footnote>
  <w:footnote w:id="2">
    <w:p w14:paraId="50C1194A" w14:textId="2B26DBD6" w:rsidR="00E73449" w:rsidRPr="00363539" w:rsidRDefault="00E73449" w:rsidP="00E73449">
      <w:pPr>
        <w:keepNext/>
        <w:keepLines/>
        <w:autoSpaceDE w:val="0"/>
        <w:autoSpaceDN w:val="0"/>
        <w:adjustRightInd w:val="0"/>
        <w:ind w:left="-11"/>
        <w:jc w:val="both"/>
        <w:rPr>
          <w:rFonts w:ascii="Times New Roman" w:hAnsi="Times New Roman" w:cs="Times New Roman"/>
          <w:sz w:val="20"/>
          <w:szCs w:val="20"/>
        </w:rPr>
      </w:pPr>
      <w:r w:rsidRPr="00363539">
        <w:rPr>
          <w:rStyle w:val="FootnoteReference"/>
          <w:rFonts w:ascii="Times New Roman" w:hAnsi="Times New Roman" w:cs="Times New Roman"/>
          <w:sz w:val="20"/>
          <w:szCs w:val="20"/>
        </w:rPr>
        <w:footnoteRef/>
      </w:r>
      <w:r w:rsidRPr="00363539">
        <w:rPr>
          <w:rFonts w:ascii="Times New Roman" w:hAnsi="Times New Roman" w:cs="Times New Roman"/>
          <w:sz w:val="20"/>
          <w:szCs w:val="20"/>
        </w:rPr>
        <w:t xml:space="preserve"> Shortly after the Diversity and Legal Reasoning workshop</w:t>
      </w:r>
      <w:r>
        <w:rPr>
          <w:rFonts w:ascii="Times New Roman" w:hAnsi="Times New Roman" w:cs="Times New Roman"/>
          <w:sz w:val="20"/>
          <w:szCs w:val="20"/>
        </w:rPr>
        <w:t xml:space="preserve"> at which </w:t>
      </w:r>
      <w:r w:rsidR="00D20E12">
        <w:rPr>
          <w:rFonts w:ascii="Times New Roman" w:hAnsi="Times New Roman" w:cs="Times New Roman"/>
          <w:sz w:val="20"/>
          <w:szCs w:val="20"/>
        </w:rPr>
        <w:t xml:space="preserve">this paper was </w:t>
      </w:r>
      <w:r w:rsidR="00F20494">
        <w:rPr>
          <w:rFonts w:ascii="Times New Roman" w:hAnsi="Times New Roman" w:cs="Times New Roman"/>
          <w:sz w:val="20"/>
          <w:szCs w:val="20"/>
        </w:rPr>
        <w:t>presented</w:t>
      </w:r>
      <w:bookmarkStart w:id="0" w:name="_GoBack"/>
      <w:bookmarkEnd w:id="0"/>
      <w:r>
        <w:rPr>
          <w:rFonts w:ascii="Times New Roman" w:hAnsi="Times New Roman" w:cs="Times New Roman"/>
          <w:sz w:val="20"/>
          <w:szCs w:val="20"/>
        </w:rPr>
        <w:t xml:space="preserve"> in November 2016</w:t>
      </w:r>
      <w:r w:rsidRPr="00363539">
        <w:rPr>
          <w:rFonts w:ascii="Times New Roman" w:hAnsi="Times New Roman" w:cs="Times New Roman"/>
          <w:sz w:val="20"/>
          <w:szCs w:val="20"/>
        </w:rPr>
        <w:t>, it was announced that Susan Kiefel would replace Robert French as Chief Justice of the High Court of Australia. Chief Justice Kiefel was sworn</w:t>
      </w:r>
      <w:r>
        <w:rPr>
          <w:rFonts w:ascii="Times New Roman" w:hAnsi="Times New Roman" w:cs="Times New Roman"/>
          <w:sz w:val="20"/>
          <w:szCs w:val="20"/>
        </w:rPr>
        <w:t xml:space="preserve"> </w:t>
      </w:r>
      <w:r w:rsidRPr="00363539">
        <w:rPr>
          <w:rFonts w:ascii="Times New Roman" w:hAnsi="Times New Roman" w:cs="Times New Roman"/>
          <w:sz w:val="20"/>
          <w:szCs w:val="20"/>
        </w:rPr>
        <w:t xml:space="preserve">in on 30 January 2017. Parts of this paper are extracted from a piece I wrote in response to her Honour’s appointment. See </w:t>
      </w:r>
      <w:r w:rsidRPr="00363539">
        <w:rPr>
          <w:rFonts w:ascii="Times New Roman" w:hAnsi="Times New Roman" w:cs="Times New Roman"/>
          <w:bCs/>
          <w:color w:val="343434"/>
          <w:sz w:val="20"/>
          <w:szCs w:val="20"/>
        </w:rPr>
        <w:t>McLoughlin, K. 2016.</w:t>
      </w:r>
      <w:r>
        <w:rPr>
          <w:rFonts w:ascii="Times New Roman" w:hAnsi="Times New Roman" w:cs="Times New Roman"/>
          <w:bCs/>
          <w:color w:val="343434"/>
          <w:sz w:val="20"/>
          <w:szCs w:val="20"/>
        </w:rPr>
        <w:t xml:space="preserve"> </w:t>
      </w:r>
      <w:r w:rsidRPr="00363539">
        <w:rPr>
          <w:rFonts w:ascii="Times New Roman" w:hAnsi="Times New Roman" w:cs="Times New Roman"/>
          <w:bCs/>
          <w:color w:val="343434"/>
          <w:sz w:val="20"/>
          <w:szCs w:val="20"/>
        </w:rPr>
        <w:t>Chief Justice Susan Kiefel and the politics of judicial diversity</w:t>
      </w:r>
      <w:r>
        <w:rPr>
          <w:rFonts w:ascii="Times New Roman" w:hAnsi="Times New Roman" w:cs="Times New Roman"/>
          <w:bCs/>
          <w:color w:val="343434"/>
          <w:sz w:val="20"/>
          <w:szCs w:val="20"/>
        </w:rPr>
        <w:t>,</w:t>
      </w:r>
      <w:r w:rsidRPr="00363539">
        <w:rPr>
          <w:rFonts w:ascii="Times New Roman" w:hAnsi="Times New Roman" w:cs="Times New Roman"/>
          <w:bCs/>
          <w:color w:val="343434"/>
          <w:sz w:val="20"/>
          <w:szCs w:val="20"/>
        </w:rPr>
        <w:t xml:space="preserve"> on AUSPUBLAW (29 November 2016) </w:t>
      </w:r>
      <w:hyperlink r:id="rId2" w:history="1">
        <w:r w:rsidRPr="00363539">
          <w:rPr>
            <w:rStyle w:val="Hyperlink"/>
            <w:rFonts w:ascii="Times New Roman" w:hAnsi="Times New Roman" w:cs="Times New Roman"/>
            <w:bCs/>
            <w:sz w:val="20"/>
            <w:szCs w:val="20"/>
          </w:rPr>
          <w:t>https://auspublaw.org/2016/11/chief-justice-susan-kiefel-and-the-politics-of-judicial-diversity</w:t>
        </w:r>
      </w:hyperlink>
      <w:r w:rsidRPr="00363539">
        <w:rPr>
          <w:rFonts w:ascii="Times New Roman" w:hAnsi="Times New Roman" w:cs="Times New Roman"/>
          <w:bCs/>
          <w:color w:val="343434"/>
          <w:sz w:val="20"/>
          <w:szCs w:val="20"/>
        </w:rPr>
        <w:t xml:space="preserve">. In addition, some of the arguments about the politics of judicial diversity were published in </w:t>
      </w:r>
      <w:r w:rsidRPr="00363539">
        <w:rPr>
          <w:rFonts w:ascii="Times New Roman" w:hAnsi="Times New Roman" w:cs="Times New Roman"/>
          <w:sz w:val="20"/>
          <w:szCs w:val="20"/>
        </w:rPr>
        <w:t xml:space="preserve">McLoughlin, K. 2015. The Politics of Gender Diversity on the High Court of Australia. </w:t>
      </w:r>
      <w:r w:rsidRPr="00363539">
        <w:rPr>
          <w:rFonts w:ascii="Times New Roman" w:hAnsi="Times New Roman" w:cs="Times New Roman"/>
          <w:i/>
          <w:sz w:val="20"/>
          <w:szCs w:val="20"/>
        </w:rPr>
        <w:t>Alternative Law Journal</w:t>
      </w:r>
      <w:r w:rsidRPr="00363539">
        <w:rPr>
          <w:rFonts w:ascii="Times New Roman" w:hAnsi="Times New Roman" w:cs="Times New Roman"/>
          <w:sz w:val="20"/>
          <w:szCs w:val="20"/>
        </w:rPr>
        <w:t xml:space="preserve"> 40(3): 166-170.</w:t>
      </w:r>
    </w:p>
  </w:footnote>
  <w:footnote w:id="3">
    <w:p w14:paraId="5DC8A36B" w14:textId="578C988C" w:rsidR="005E0703" w:rsidRPr="0085183B" w:rsidRDefault="005E0703" w:rsidP="00A530FF">
      <w:pPr>
        <w:pStyle w:val="FootnoteText"/>
        <w:keepNext/>
        <w:keepLines/>
        <w:jc w:val="both"/>
        <w:rPr>
          <w:lang w:val="en-US"/>
        </w:rPr>
      </w:pPr>
      <w:r w:rsidRPr="00363539">
        <w:rPr>
          <w:rStyle w:val="FootnoteReference"/>
          <w:sz w:val="20"/>
          <w:szCs w:val="20"/>
        </w:rPr>
        <w:footnoteRef/>
      </w:r>
      <w:r w:rsidRPr="00363539">
        <w:rPr>
          <w:sz w:val="20"/>
          <w:szCs w:val="20"/>
        </w:rPr>
        <w:t xml:space="preserve"> My discussion here is limited to an examination of gender and the judiciary prompted by the appointment of women to the High Court with increasing regularity since 2009, but this is not to discount the importance of claims based on race, ethnicity or sexuality, nor the fact that such claims are not mutually exclusive. As Hunter acknowledges many of the arguments for gender diversity in the judiciary also apply to claims based on race, ethnicity or sexuality. See Hunter, R. 2015. More than Just </w:t>
      </w:r>
      <w:r w:rsidRPr="008313E7">
        <w:rPr>
          <w:sz w:val="20"/>
          <w:szCs w:val="20"/>
        </w:rPr>
        <w:t>a Different Face? J</w:t>
      </w:r>
      <w:r w:rsidR="00D20E12">
        <w:rPr>
          <w:sz w:val="20"/>
          <w:szCs w:val="20"/>
        </w:rPr>
        <w:t>udicial Diversity and Decision-M</w:t>
      </w:r>
      <w:r w:rsidRPr="008313E7">
        <w:rPr>
          <w:sz w:val="20"/>
          <w:szCs w:val="20"/>
        </w:rPr>
        <w:t xml:space="preserve">aking. </w:t>
      </w:r>
      <w:r w:rsidRPr="008313E7">
        <w:rPr>
          <w:i/>
          <w:sz w:val="20"/>
          <w:szCs w:val="20"/>
        </w:rPr>
        <w:t>Current Legal Problems</w:t>
      </w:r>
      <w:r w:rsidR="009C54EF">
        <w:rPr>
          <w:sz w:val="20"/>
          <w:szCs w:val="20"/>
        </w:rPr>
        <w:t xml:space="preserve"> 68</w:t>
      </w:r>
      <w:r w:rsidRPr="00445633">
        <w:rPr>
          <w:sz w:val="20"/>
          <w:szCs w:val="20"/>
        </w:rPr>
        <w:t>: 1</w:t>
      </w:r>
      <w:r w:rsidR="009C54EF">
        <w:rPr>
          <w:sz w:val="20"/>
          <w:szCs w:val="20"/>
        </w:rPr>
        <w:t>19</w:t>
      </w:r>
      <w:r w:rsidRPr="00445633">
        <w:rPr>
          <w:sz w:val="20"/>
          <w:szCs w:val="20"/>
        </w:rPr>
        <w:t>-</w:t>
      </w:r>
      <w:r w:rsidR="009C54EF">
        <w:rPr>
          <w:sz w:val="20"/>
          <w:szCs w:val="20"/>
        </w:rPr>
        <w:t>141</w:t>
      </w:r>
      <w:r w:rsidRPr="00445633">
        <w:rPr>
          <w:sz w:val="20"/>
          <w:szCs w:val="20"/>
        </w:rPr>
        <w:t>.</w:t>
      </w:r>
    </w:p>
  </w:footnote>
  <w:footnote w:id="4">
    <w:p w14:paraId="75323894" w14:textId="7064DF97" w:rsidR="005E0703" w:rsidRPr="00B304C6" w:rsidRDefault="005E0703" w:rsidP="00A530FF">
      <w:pPr>
        <w:pStyle w:val="FootnoteText"/>
        <w:keepNext/>
        <w:keepLines/>
        <w:jc w:val="both"/>
        <w:rPr>
          <w:sz w:val="20"/>
          <w:szCs w:val="20"/>
          <w:lang w:val="en-US"/>
        </w:rPr>
      </w:pPr>
      <w:r w:rsidRPr="00B304C6">
        <w:rPr>
          <w:rStyle w:val="FootnoteReference"/>
          <w:sz w:val="20"/>
          <w:szCs w:val="20"/>
        </w:rPr>
        <w:footnoteRef/>
      </w:r>
      <w:r w:rsidR="00D20E12">
        <w:rPr>
          <w:sz w:val="20"/>
          <w:szCs w:val="20"/>
        </w:rPr>
        <w:t xml:space="preserve"> See </w:t>
      </w:r>
      <w:r w:rsidRPr="00B304C6">
        <w:rPr>
          <w:sz w:val="20"/>
          <w:szCs w:val="20"/>
        </w:rPr>
        <w:t xml:space="preserve">e.g. Hunter, R. 2008. Can </w:t>
      </w:r>
      <w:r w:rsidR="009C54EF">
        <w:rPr>
          <w:i/>
          <w:sz w:val="20"/>
          <w:szCs w:val="20"/>
        </w:rPr>
        <w:t>F</w:t>
      </w:r>
      <w:r w:rsidRPr="009C54EF">
        <w:rPr>
          <w:i/>
          <w:sz w:val="20"/>
          <w:szCs w:val="20"/>
        </w:rPr>
        <w:t>eminist</w:t>
      </w:r>
      <w:r w:rsidR="009C54EF">
        <w:rPr>
          <w:sz w:val="20"/>
          <w:szCs w:val="20"/>
        </w:rPr>
        <w:t xml:space="preserve"> J</w:t>
      </w:r>
      <w:r w:rsidRPr="00B304C6">
        <w:rPr>
          <w:sz w:val="20"/>
          <w:szCs w:val="20"/>
        </w:rPr>
        <w:t xml:space="preserve">udges </w:t>
      </w:r>
      <w:r w:rsidR="009C54EF">
        <w:rPr>
          <w:sz w:val="20"/>
          <w:szCs w:val="20"/>
        </w:rPr>
        <w:t>M</w:t>
      </w:r>
      <w:r w:rsidRPr="00B304C6">
        <w:rPr>
          <w:sz w:val="20"/>
          <w:szCs w:val="20"/>
        </w:rPr>
        <w:t xml:space="preserve">ake a </w:t>
      </w:r>
      <w:r w:rsidR="009C54EF">
        <w:rPr>
          <w:sz w:val="20"/>
          <w:szCs w:val="20"/>
        </w:rPr>
        <w:t>D</w:t>
      </w:r>
      <w:r w:rsidRPr="00B304C6">
        <w:rPr>
          <w:sz w:val="20"/>
          <w:szCs w:val="20"/>
        </w:rPr>
        <w:t xml:space="preserve">ifference? </w:t>
      </w:r>
      <w:r w:rsidRPr="00B304C6">
        <w:rPr>
          <w:i/>
          <w:sz w:val="20"/>
          <w:szCs w:val="20"/>
        </w:rPr>
        <w:t>International Journal of the Legal Profession</w:t>
      </w:r>
      <w:r w:rsidRPr="00B304C6">
        <w:rPr>
          <w:sz w:val="20"/>
          <w:szCs w:val="20"/>
        </w:rPr>
        <w:t xml:space="preserve"> 15(1-2): 7-36.</w:t>
      </w:r>
    </w:p>
  </w:footnote>
  <w:footnote w:id="5">
    <w:p w14:paraId="22B17782" w14:textId="18E2A917" w:rsidR="005E0703" w:rsidRPr="009D19A9" w:rsidRDefault="005E0703" w:rsidP="00A530FF">
      <w:pPr>
        <w:pStyle w:val="FootnoteText"/>
        <w:keepNext/>
        <w:rPr>
          <w:sz w:val="20"/>
          <w:szCs w:val="20"/>
          <w:lang w:val="en-US"/>
        </w:rPr>
      </w:pPr>
      <w:r w:rsidRPr="009D19A9">
        <w:rPr>
          <w:rStyle w:val="FootnoteReference"/>
          <w:sz w:val="20"/>
          <w:szCs w:val="20"/>
        </w:rPr>
        <w:footnoteRef/>
      </w:r>
      <w:r w:rsidRPr="009D19A9">
        <w:rPr>
          <w:sz w:val="20"/>
          <w:szCs w:val="20"/>
        </w:rPr>
        <w:t xml:space="preserve"> </w:t>
      </w:r>
      <w:r w:rsidRPr="009D19A9">
        <w:rPr>
          <w:sz w:val="20"/>
          <w:szCs w:val="20"/>
          <w:lang w:val="en-US"/>
        </w:rPr>
        <w:t xml:space="preserve">See </w:t>
      </w:r>
      <w:r w:rsidR="009C54EF">
        <w:rPr>
          <w:sz w:val="20"/>
          <w:szCs w:val="20"/>
        </w:rPr>
        <w:t>McLoughlin. K. 2015. A Particular D</w:t>
      </w:r>
      <w:r w:rsidRPr="009D19A9">
        <w:rPr>
          <w:sz w:val="20"/>
          <w:szCs w:val="20"/>
        </w:rPr>
        <w:t xml:space="preserve">isappointment? Judging Women </w:t>
      </w:r>
      <w:r w:rsidR="009C54EF">
        <w:rPr>
          <w:sz w:val="20"/>
          <w:szCs w:val="20"/>
        </w:rPr>
        <w:t>and the High Court of Australia</w:t>
      </w:r>
      <w:r w:rsidRPr="009D19A9">
        <w:rPr>
          <w:sz w:val="20"/>
          <w:szCs w:val="20"/>
        </w:rPr>
        <w:t xml:space="preserve">. </w:t>
      </w:r>
      <w:r w:rsidRPr="009D19A9">
        <w:rPr>
          <w:i/>
          <w:sz w:val="20"/>
          <w:szCs w:val="20"/>
        </w:rPr>
        <w:t>Feminist Legal Studies</w:t>
      </w:r>
      <w:r>
        <w:rPr>
          <w:sz w:val="20"/>
          <w:szCs w:val="20"/>
        </w:rPr>
        <w:t xml:space="preserve"> 23(3): 273-294 for a discussion of the contradictory gendered rhetoric that arose around the appointment of women judges.</w:t>
      </w:r>
    </w:p>
  </w:footnote>
  <w:footnote w:id="6">
    <w:p w14:paraId="27A63BA6" w14:textId="27730A01" w:rsidR="005E0703" w:rsidRPr="00363539" w:rsidRDefault="005E0703" w:rsidP="00A530FF">
      <w:pPr>
        <w:keepNext/>
        <w:keepLines/>
        <w:jc w:val="both"/>
        <w:rPr>
          <w:rFonts w:ascii="Times New Roman" w:hAnsi="Times New Roman" w:cs="Times New Roman"/>
          <w:sz w:val="20"/>
          <w:szCs w:val="20"/>
        </w:rPr>
      </w:pPr>
      <w:r w:rsidRPr="00363539">
        <w:rPr>
          <w:rStyle w:val="FootnoteReference"/>
          <w:rFonts w:ascii="Times New Roman" w:hAnsi="Times New Roman" w:cs="Times New Roman"/>
          <w:sz w:val="20"/>
          <w:szCs w:val="20"/>
        </w:rPr>
        <w:footnoteRef/>
      </w:r>
      <w:r w:rsidR="009C54EF">
        <w:rPr>
          <w:rFonts w:ascii="Times New Roman" w:hAnsi="Times New Roman" w:cs="Times New Roman"/>
          <w:sz w:val="20"/>
          <w:szCs w:val="20"/>
        </w:rPr>
        <w:t xml:space="preserve"> See e.g. Hunter, R. 2008. Can </w:t>
      </w:r>
      <w:r w:rsidR="009C54EF" w:rsidRPr="009C54EF">
        <w:rPr>
          <w:rFonts w:ascii="Times New Roman" w:hAnsi="Times New Roman" w:cs="Times New Roman"/>
          <w:i/>
          <w:sz w:val="20"/>
          <w:szCs w:val="20"/>
        </w:rPr>
        <w:t>Feminist</w:t>
      </w:r>
      <w:r w:rsidR="009C54EF">
        <w:rPr>
          <w:rFonts w:ascii="Times New Roman" w:hAnsi="Times New Roman" w:cs="Times New Roman"/>
          <w:sz w:val="20"/>
          <w:szCs w:val="20"/>
        </w:rPr>
        <w:t xml:space="preserve"> Judges Make a D</w:t>
      </w:r>
      <w:r w:rsidRPr="00363539">
        <w:rPr>
          <w:rFonts w:ascii="Times New Roman" w:hAnsi="Times New Roman" w:cs="Times New Roman"/>
          <w:sz w:val="20"/>
          <w:szCs w:val="20"/>
        </w:rPr>
        <w:t xml:space="preserve">ifference? </w:t>
      </w:r>
      <w:r w:rsidRPr="00363539">
        <w:rPr>
          <w:rFonts w:ascii="Times New Roman" w:hAnsi="Times New Roman" w:cs="Times New Roman"/>
          <w:i/>
          <w:sz w:val="20"/>
          <w:szCs w:val="20"/>
        </w:rPr>
        <w:t>International Journal of the Legal Profession</w:t>
      </w:r>
      <w:r w:rsidRPr="00363539">
        <w:rPr>
          <w:rFonts w:ascii="Times New Roman" w:hAnsi="Times New Roman" w:cs="Times New Roman"/>
          <w:sz w:val="20"/>
          <w:szCs w:val="20"/>
        </w:rPr>
        <w:t xml:space="preserve"> 15(1-2): 7-36; Douglas, H., Bartlett, F.,</w:t>
      </w:r>
      <w:r>
        <w:rPr>
          <w:rFonts w:ascii="Times New Roman" w:hAnsi="Times New Roman" w:cs="Times New Roman"/>
          <w:sz w:val="20"/>
          <w:szCs w:val="20"/>
        </w:rPr>
        <w:t xml:space="preserve"> Luker, T. and Hunter, R. 2014.</w:t>
      </w:r>
      <w:r w:rsidRPr="00363539">
        <w:rPr>
          <w:rFonts w:ascii="Times New Roman" w:hAnsi="Times New Roman" w:cs="Times New Roman"/>
          <w:sz w:val="20"/>
          <w:szCs w:val="20"/>
        </w:rPr>
        <w:t xml:space="preserve"> Reflections on Rewriting the Law. In H. Douglas, F. Bartlett, T. Luker, and R. Hunter, eds. </w:t>
      </w:r>
      <w:r w:rsidRPr="00363539">
        <w:rPr>
          <w:rFonts w:ascii="Times New Roman" w:hAnsi="Times New Roman" w:cs="Times New Roman"/>
          <w:i/>
          <w:sz w:val="20"/>
          <w:szCs w:val="20"/>
        </w:rPr>
        <w:t>Australian Feminist Judgments: Righting and Rewriting Law.</w:t>
      </w:r>
      <w:r w:rsidRPr="00363539">
        <w:rPr>
          <w:rFonts w:ascii="Times New Roman" w:hAnsi="Times New Roman" w:cs="Times New Roman"/>
          <w:sz w:val="20"/>
          <w:szCs w:val="20"/>
        </w:rPr>
        <w:t xml:space="preserve"> Oxford: Hart Publishing;</w:t>
      </w:r>
      <w:r w:rsidRPr="00363539">
        <w:rPr>
          <w:rFonts w:ascii="Times New Roman" w:hAnsi="Times New Roman" w:cs="Times New Roman"/>
          <w:sz w:val="20"/>
          <w:szCs w:val="20"/>
          <w:lang w:eastAsia="en-AU"/>
        </w:rPr>
        <w:t xml:space="preserve"> </w:t>
      </w:r>
      <w:r w:rsidR="009C54EF">
        <w:rPr>
          <w:rFonts w:ascii="Times New Roman" w:hAnsi="Times New Roman" w:cs="Times New Roman"/>
          <w:sz w:val="20"/>
          <w:szCs w:val="20"/>
          <w:lang w:bidi="en-US"/>
        </w:rPr>
        <w:t>Kenney, S.J. 2008. Thinking About Gender and J</w:t>
      </w:r>
      <w:r w:rsidRPr="00363539">
        <w:rPr>
          <w:rFonts w:ascii="Times New Roman" w:hAnsi="Times New Roman" w:cs="Times New Roman"/>
          <w:sz w:val="20"/>
          <w:szCs w:val="20"/>
          <w:lang w:bidi="en-US"/>
        </w:rPr>
        <w:t xml:space="preserve">udging. </w:t>
      </w:r>
      <w:r w:rsidRPr="00363539">
        <w:rPr>
          <w:rFonts w:ascii="Times New Roman" w:hAnsi="Times New Roman" w:cs="Times New Roman"/>
          <w:i/>
          <w:sz w:val="20"/>
          <w:szCs w:val="20"/>
          <w:lang w:bidi="en-US"/>
        </w:rPr>
        <w:t>International Journal of the Legal Profession</w:t>
      </w:r>
      <w:r w:rsidRPr="00363539">
        <w:rPr>
          <w:rFonts w:ascii="Times New Roman" w:hAnsi="Times New Roman" w:cs="Times New Roman"/>
          <w:sz w:val="20"/>
          <w:szCs w:val="20"/>
          <w:lang w:bidi="en-US"/>
        </w:rPr>
        <w:t xml:space="preserve"> 15(1): 87-110; </w:t>
      </w:r>
      <w:r w:rsidRPr="00363539">
        <w:rPr>
          <w:rFonts w:ascii="Times New Roman" w:hAnsi="Times New Roman" w:cs="Times New Roman"/>
          <w:sz w:val="20"/>
          <w:szCs w:val="20"/>
        </w:rPr>
        <w:t xml:space="preserve">Kenney, S.J. 2013. </w:t>
      </w:r>
      <w:r w:rsidRPr="00363539">
        <w:rPr>
          <w:rFonts w:ascii="Times New Roman" w:hAnsi="Times New Roman" w:cs="Times New Roman"/>
          <w:i/>
          <w:sz w:val="20"/>
          <w:szCs w:val="20"/>
        </w:rPr>
        <w:t>Gender and Justice: Why Women in the Judiciary Really Matter</w:t>
      </w:r>
      <w:r w:rsidR="009C54EF">
        <w:rPr>
          <w:rFonts w:ascii="Times New Roman" w:hAnsi="Times New Roman" w:cs="Times New Roman"/>
          <w:sz w:val="20"/>
          <w:szCs w:val="20"/>
        </w:rPr>
        <w:t>. New York: Routledge; Dixon,</w:t>
      </w:r>
      <w:r w:rsidRPr="00363539">
        <w:rPr>
          <w:rFonts w:ascii="Times New Roman" w:hAnsi="Times New Roman" w:cs="Times New Roman"/>
          <w:sz w:val="20"/>
          <w:szCs w:val="20"/>
        </w:rPr>
        <w:t xml:space="preserve"> R. 2010. Female Justices, Feminism, and the Politics of Judicial Appointment: A Re-examination. </w:t>
      </w:r>
      <w:r w:rsidRPr="00363539">
        <w:rPr>
          <w:rFonts w:ascii="Times New Roman" w:hAnsi="Times New Roman" w:cs="Times New Roman"/>
          <w:i/>
          <w:sz w:val="20"/>
          <w:szCs w:val="20"/>
        </w:rPr>
        <w:t>Yale Journal of Law and Feminism</w:t>
      </w:r>
      <w:r w:rsidRPr="00363539">
        <w:rPr>
          <w:rFonts w:ascii="Times New Roman" w:hAnsi="Times New Roman" w:cs="Times New Roman"/>
          <w:sz w:val="20"/>
          <w:szCs w:val="20"/>
        </w:rPr>
        <w:t xml:space="preserve"> 21(2): 297-338.</w:t>
      </w:r>
    </w:p>
  </w:footnote>
  <w:footnote w:id="7">
    <w:p w14:paraId="0D4285E1" w14:textId="05CC8EF2" w:rsidR="005E0703" w:rsidRPr="00363539" w:rsidRDefault="005E0703" w:rsidP="00A530FF">
      <w:pPr>
        <w:pStyle w:val="FootnoteText"/>
        <w:keepNext/>
        <w:keepLines/>
        <w:jc w:val="both"/>
        <w:rPr>
          <w:sz w:val="20"/>
          <w:szCs w:val="20"/>
          <w:lang w:val="en-US"/>
        </w:rPr>
      </w:pPr>
      <w:r w:rsidRPr="00363539">
        <w:rPr>
          <w:rStyle w:val="FootnoteReference"/>
          <w:sz w:val="20"/>
          <w:szCs w:val="20"/>
        </w:rPr>
        <w:footnoteRef/>
      </w:r>
      <w:r w:rsidRPr="00363539">
        <w:rPr>
          <w:sz w:val="20"/>
          <w:szCs w:val="20"/>
        </w:rPr>
        <w:t xml:space="preserve"> The literature is vast but see for e.g. Menke</w:t>
      </w:r>
      <w:r w:rsidR="009C54EF">
        <w:rPr>
          <w:sz w:val="20"/>
          <w:szCs w:val="20"/>
        </w:rPr>
        <w:t>l-Meadow, C. 1985. Portia in a Different V</w:t>
      </w:r>
      <w:r w:rsidRPr="00363539">
        <w:rPr>
          <w:sz w:val="20"/>
          <w:szCs w:val="20"/>
        </w:rPr>
        <w:t>o</w:t>
      </w:r>
      <w:r w:rsidR="009C54EF">
        <w:rPr>
          <w:sz w:val="20"/>
          <w:szCs w:val="20"/>
        </w:rPr>
        <w:t>ice: Speculations on a Women’s Lawyering P</w:t>
      </w:r>
      <w:r w:rsidRPr="00363539">
        <w:rPr>
          <w:sz w:val="20"/>
          <w:szCs w:val="20"/>
        </w:rPr>
        <w:t xml:space="preserve">rocess. </w:t>
      </w:r>
      <w:r w:rsidRPr="00363539">
        <w:rPr>
          <w:i/>
          <w:sz w:val="20"/>
          <w:szCs w:val="20"/>
        </w:rPr>
        <w:t>Berkeley Women’s Law Journal</w:t>
      </w:r>
      <w:r w:rsidRPr="00363539">
        <w:rPr>
          <w:sz w:val="20"/>
          <w:szCs w:val="20"/>
        </w:rPr>
        <w:t xml:space="preserve"> 1: 39-63; Sherry, S. 1986. The Gender of Judges</w:t>
      </w:r>
      <w:r w:rsidR="00E73449">
        <w:rPr>
          <w:sz w:val="20"/>
          <w:szCs w:val="20"/>
        </w:rPr>
        <w:t>.</w:t>
      </w:r>
      <w:r w:rsidRPr="00363539">
        <w:rPr>
          <w:i/>
          <w:sz w:val="20"/>
          <w:szCs w:val="20"/>
        </w:rPr>
        <w:t xml:space="preserve"> Law and Inequality</w:t>
      </w:r>
      <w:r w:rsidRPr="00363539">
        <w:rPr>
          <w:sz w:val="20"/>
          <w:szCs w:val="20"/>
        </w:rPr>
        <w:t xml:space="preserve"> 4: 159-169.</w:t>
      </w:r>
    </w:p>
  </w:footnote>
  <w:footnote w:id="8">
    <w:p w14:paraId="7BBAE537" w14:textId="1394C71C" w:rsidR="005E0703" w:rsidRPr="00AA0555" w:rsidRDefault="005E0703" w:rsidP="00AA0555">
      <w:pPr>
        <w:jc w:val="both"/>
        <w:rPr>
          <w:rFonts w:ascii="Times New Roman" w:hAnsi="Times New Roman" w:cs="Times New Roman"/>
          <w:sz w:val="20"/>
          <w:szCs w:val="20"/>
        </w:rPr>
      </w:pPr>
      <w:r w:rsidRPr="00AA0555">
        <w:rPr>
          <w:rStyle w:val="FootnoteReference"/>
          <w:rFonts w:ascii="Times New Roman" w:hAnsi="Times New Roman" w:cs="Times New Roman"/>
          <w:sz w:val="20"/>
          <w:szCs w:val="20"/>
        </w:rPr>
        <w:footnoteRef/>
      </w:r>
      <w:r w:rsidRPr="00AA0555">
        <w:rPr>
          <w:rFonts w:ascii="Times New Roman" w:hAnsi="Times New Roman" w:cs="Times New Roman"/>
          <w:sz w:val="20"/>
          <w:szCs w:val="20"/>
        </w:rPr>
        <w:t xml:space="preserve"> Rackley, E. 2013. </w:t>
      </w:r>
      <w:r w:rsidRPr="00AA0555">
        <w:rPr>
          <w:rFonts w:ascii="Times New Roman" w:hAnsi="Times New Roman" w:cs="Times New Roman"/>
          <w:i/>
          <w:sz w:val="20"/>
          <w:szCs w:val="20"/>
        </w:rPr>
        <w:t>Women, Judging and the</w:t>
      </w:r>
      <w:r w:rsidR="00E73449">
        <w:rPr>
          <w:rFonts w:ascii="Times New Roman" w:hAnsi="Times New Roman" w:cs="Times New Roman"/>
          <w:i/>
          <w:sz w:val="20"/>
          <w:szCs w:val="20"/>
        </w:rPr>
        <w:t xml:space="preserve"> Judiciary: From D</w:t>
      </w:r>
      <w:r w:rsidRPr="00AA0555">
        <w:rPr>
          <w:rFonts w:ascii="Times New Roman" w:hAnsi="Times New Roman" w:cs="Times New Roman"/>
          <w:i/>
          <w:sz w:val="20"/>
          <w:szCs w:val="20"/>
        </w:rPr>
        <w:t xml:space="preserve">ifference to </w:t>
      </w:r>
      <w:r w:rsidR="00E73449">
        <w:rPr>
          <w:rFonts w:ascii="Times New Roman" w:hAnsi="Times New Roman" w:cs="Times New Roman"/>
          <w:i/>
          <w:sz w:val="20"/>
          <w:szCs w:val="20"/>
        </w:rPr>
        <w:t>D</w:t>
      </w:r>
      <w:r w:rsidRPr="00AA0555">
        <w:rPr>
          <w:rFonts w:ascii="Times New Roman" w:hAnsi="Times New Roman" w:cs="Times New Roman"/>
          <w:i/>
          <w:sz w:val="20"/>
          <w:szCs w:val="20"/>
        </w:rPr>
        <w:t>iversity</w:t>
      </w:r>
      <w:r w:rsidRPr="00AA0555">
        <w:rPr>
          <w:rFonts w:ascii="Times New Roman" w:hAnsi="Times New Roman" w:cs="Times New Roman"/>
          <w:sz w:val="20"/>
          <w:szCs w:val="20"/>
        </w:rPr>
        <w:t>. Oxford: Routledge, 137.</w:t>
      </w:r>
    </w:p>
  </w:footnote>
  <w:footnote w:id="9">
    <w:p w14:paraId="0E2FD4E7" w14:textId="502B9663" w:rsidR="005E0703" w:rsidRPr="00EE6817" w:rsidRDefault="005E0703" w:rsidP="002B5F23">
      <w:pPr>
        <w:pStyle w:val="FootnoteText"/>
        <w:jc w:val="both"/>
        <w:rPr>
          <w:lang w:val="en-US"/>
        </w:rPr>
      </w:pPr>
      <w:r w:rsidRPr="002B5F23">
        <w:rPr>
          <w:rStyle w:val="FootnoteReference"/>
          <w:sz w:val="20"/>
          <w:szCs w:val="20"/>
        </w:rPr>
        <w:footnoteRef/>
      </w:r>
      <w:r w:rsidRPr="002B5F23">
        <w:rPr>
          <w:sz w:val="20"/>
          <w:szCs w:val="20"/>
        </w:rPr>
        <w:t xml:space="preserve"> </w:t>
      </w:r>
      <w:r w:rsidR="00E73449">
        <w:rPr>
          <w:sz w:val="20"/>
          <w:szCs w:val="20"/>
          <w:lang w:val="en-US"/>
        </w:rPr>
        <w:t>V</w:t>
      </w:r>
      <w:r w:rsidRPr="002B5F23">
        <w:rPr>
          <w:sz w:val="20"/>
          <w:szCs w:val="20"/>
          <w:lang w:val="en-US"/>
        </w:rPr>
        <w:t xml:space="preserve">an Marle, K. This </w:t>
      </w:r>
      <w:r w:rsidR="00E73449">
        <w:rPr>
          <w:sz w:val="20"/>
          <w:szCs w:val="20"/>
          <w:lang w:val="en-US"/>
        </w:rPr>
        <w:t>issue</w:t>
      </w:r>
      <w:r w:rsidR="00D20E12">
        <w:rPr>
          <w:sz w:val="20"/>
          <w:szCs w:val="20"/>
          <w:lang w:val="en-US"/>
        </w:rPr>
        <w:t>, 2</w:t>
      </w:r>
      <w:r w:rsidRPr="002B5F23">
        <w:rPr>
          <w:sz w:val="20"/>
          <w:szCs w:val="20"/>
          <w:lang w:val="en-US"/>
        </w:rPr>
        <w:t>.</w:t>
      </w:r>
    </w:p>
  </w:footnote>
  <w:footnote w:id="10">
    <w:p w14:paraId="380F574E" w14:textId="1C7DC6B0" w:rsidR="00434A79" w:rsidRPr="00434A79" w:rsidRDefault="00434A79" w:rsidP="00A50510">
      <w:pPr>
        <w:pStyle w:val="FootnoteText"/>
        <w:jc w:val="both"/>
        <w:rPr>
          <w:sz w:val="20"/>
          <w:szCs w:val="20"/>
          <w:lang w:val="en-GB"/>
        </w:rPr>
      </w:pPr>
      <w:r w:rsidRPr="00434A79">
        <w:rPr>
          <w:rStyle w:val="FootnoteReference"/>
          <w:sz w:val="20"/>
          <w:szCs w:val="20"/>
        </w:rPr>
        <w:footnoteRef/>
      </w:r>
      <w:r w:rsidRPr="00434A79">
        <w:rPr>
          <w:sz w:val="20"/>
          <w:szCs w:val="20"/>
        </w:rPr>
        <w:t xml:space="preserve"> </w:t>
      </w:r>
      <w:r w:rsidRPr="00434A79">
        <w:rPr>
          <w:sz w:val="20"/>
          <w:szCs w:val="20"/>
          <w:lang w:val="en-GB"/>
        </w:rPr>
        <w:t>Ibid.</w:t>
      </w:r>
    </w:p>
  </w:footnote>
  <w:footnote w:id="11">
    <w:p w14:paraId="5C076042" w14:textId="3140B4C9" w:rsidR="005E0703" w:rsidRPr="006F6B88" w:rsidRDefault="005E0703" w:rsidP="009E1D71">
      <w:pPr>
        <w:pStyle w:val="FootnoteText"/>
        <w:jc w:val="both"/>
        <w:rPr>
          <w:lang w:val="en-US"/>
        </w:rPr>
      </w:pPr>
      <w:r w:rsidRPr="00BA38DA">
        <w:rPr>
          <w:rStyle w:val="FootnoteReference"/>
          <w:sz w:val="20"/>
          <w:szCs w:val="20"/>
        </w:rPr>
        <w:footnoteRef/>
      </w:r>
      <w:r w:rsidRPr="00BA38DA">
        <w:rPr>
          <w:sz w:val="20"/>
          <w:szCs w:val="20"/>
        </w:rPr>
        <w:t xml:space="preserve"> The Australian Constitution provides little direction regarding appointment processes.</w:t>
      </w:r>
      <w:r w:rsidRPr="00BA38DA">
        <w:rPr>
          <w:i/>
          <w:sz w:val="20"/>
          <w:szCs w:val="20"/>
        </w:rPr>
        <w:t xml:space="preserve"> </w:t>
      </w:r>
      <w:r w:rsidRPr="00E73449">
        <w:rPr>
          <w:sz w:val="20"/>
          <w:szCs w:val="20"/>
        </w:rPr>
        <w:t xml:space="preserve">See </w:t>
      </w:r>
      <w:r w:rsidRPr="00BA38DA">
        <w:rPr>
          <w:i/>
          <w:sz w:val="20"/>
          <w:szCs w:val="20"/>
        </w:rPr>
        <w:t xml:space="preserve">Commonwealth Constitution </w:t>
      </w:r>
      <w:r w:rsidRPr="00BA38DA">
        <w:rPr>
          <w:sz w:val="20"/>
          <w:szCs w:val="20"/>
        </w:rPr>
        <w:t xml:space="preserve">s 72 which specifies </w:t>
      </w:r>
      <w:r w:rsidRPr="00BA38DA">
        <w:rPr>
          <w:bCs/>
          <w:sz w:val="20"/>
          <w:szCs w:val="20"/>
          <w:lang w:bidi="en-US"/>
        </w:rPr>
        <w:t>that Justices of the</w:t>
      </w:r>
      <w:r w:rsidR="00E73449">
        <w:rPr>
          <w:bCs/>
          <w:sz w:val="20"/>
          <w:szCs w:val="20"/>
          <w:lang w:bidi="en-US"/>
        </w:rPr>
        <w:t xml:space="preserve"> High Court ‘</w:t>
      </w:r>
      <w:r w:rsidRPr="00BA38DA">
        <w:rPr>
          <w:bCs/>
          <w:sz w:val="20"/>
          <w:szCs w:val="20"/>
          <w:lang w:bidi="en-US"/>
        </w:rPr>
        <w:t>shall be appointed by the Governor General in Council’. In practice the appointment is generally made by the government of the day with the Attorney-General directing the process and in most cases presenting a nominee to Cabinet. The person is then formally recommended for appointment to the Governor-General.</w:t>
      </w:r>
    </w:p>
  </w:footnote>
  <w:footnote w:id="12">
    <w:p w14:paraId="7918B4C5" w14:textId="77777777" w:rsidR="005E0703" w:rsidRPr="002052D5" w:rsidRDefault="005E0703" w:rsidP="00905F2A">
      <w:pPr>
        <w:pStyle w:val="FootnoteText"/>
        <w:jc w:val="both"/>
        <w:rPr>
          <w:sz w:val="20"/>
          <w:szCs w:val="20"/>
          <w:lang w:val="en-US"/>
        </w:rPr>
      </w:pPr>
      <w:r w:rsidRPr="002052D5">
        <w:rPr>
          <w:rStyle w:val="FootnoteReference"/>
          <w:sz w:val="20"/>
          <w:szCs w:val="20"/>
        </w:rPr>
        <w:footnoteRef/>
      </w:r>
      <w:r w:rsidRPr="002052D5">
        <w:rPr>
          <w:sz w:val="20"/>
          <w:szCs w:val="20"/>
        </w:rPr>
        <w:t xml:space="preserve"> See </w:t>
      </w:r>
      <w:r w:rsidRPr="0020635D">
        <w:rPr>
          <w:sz w:val="20"/>
          <w:szCs w:val="20"/>
        </w:rPr>
        <w:t xml:space="preserve">McLoughlin, K. 2015. The Politics of Gender Diversity on the High Court of Australia. </w:t>
      </w:r>
      <w:r w:rsidRPr="0020635D">
        <w:rPr>
          <w:i/>
          <w:sz w:val="20"/>
          <w:szCs w:val="20"/>
        </w:rPr>
        <w:t>Alternative Law Journal</w:t>
      </w:r>
      <w:r w:rsidRPr="0020635D">
        <w:rPr>
          <w:sz w:val="20"/>
          <w:szCs w:val="20"/>
        </w:rPr>
        <w:t xml:space="preserve"> 40(3): 166-170. Here I examine the political discourse</w:t>
      </w:r>
      <w:r w:rsidRPr="00870789">
        <w:rPr>
          <w:sz w:val="20"/>
          <w:szCs w:val="20"/>
        </w:rPr>
        <w:t xml:space="preserve"> around the appointment of each of the women judges to the Hi</w:t>
      </w:r>
      <w:r>
        <w:rPr>
          <w:sz w:val="20"/>
          <w:szCs w:val="20"/>
        </w:rPr>
        <w:t>gh Court of Australia in more detail.</w:t>
      </w:r>
    </w:p>
  </w:footnote>
  <w:footnote w:id="13">
    <w:p w14:paraId="26DF2453" w14:textId="5C942514" w:rsidR="005E0703" w:rsidRPr="00BA38DA" w:rsidRDefault="005E0703" w:rsidP="009E1D71">
      <w:pPr>
        <w:pStyle w:val="FootnoteText"/>
        <w:jc w:val="both"/>
        <w:rPr>
          <w:sz w:val="20"/>
          <w:szCs w:val="20"/>
          <w:lang w:val="en-US"/>
        </w:rPr>
      </w:pPr>
      <w:r w:rsidRPr="00BA38DA">
        <w:rPr>
          <w:rStyle w:val="FootnoteReference"/>
          <w:sz w:val="20"/>
          <w:szCs w:val="20"/>
        </w:rPr>
        <w:footnoteRef/>
      </w:r>
      <w:r w:rsidRPr="00BA38DA">
        <w:rPr>
          <w:sz w:val="20"/>
          <w:szCs w:val="20"/>
        </w:rPr>
        <w:t xml:space="preserve"> Brandis. G. 2016. Appointment of the Hon Susan Kiefel to </w:t>
      </w:r>
      <w:r w:rsidR="00E73449">
        <w:rPr>
          <w:sz w:val="20"/>
          <w:szCs w:val="20"/>
        </w:rPr>
        <w:t>Chief Justice of the High Court.</w:t>
      </w:r>
      <w:r w:rsidRPr="00BA38DA">
        <w:rPr>
          <w:sz w:val="20"/>
          <w:szCs w:val="20"/>
        </w:rPr>
        <w:t xml:space="preserve"> </w:t>
      </w:r>
      <w:hyperlink r:id="rId3" w:history="1">
        <w:r w:rsidR="00434A80" w:rsidRPr="00534983">
          <w:rPr>
            <w:rStyle w:val="Hyperlink"/>
            <w:sz w:val="20"/>
            <w:szCs w:val="20"/>
          </w:rPr>
          <w:t>https://www.pm.gov.au/media/2016-11-29/joint-press-conference-attorney-general-senator-hon-george-brandis-qc</w:t>
        </w:r>
      </w:hyperlink>
      <w:r w:rsidR="00434A79">
        <w:rPr>
          <w:sz w:val="20"/>
          <w:szCs w:val="20"/>
        </w:rPr>
        <w:t>.</w:t>
      </w:r>
    </w:p>
  </w:footnote>
  <w:footnote w:id="14">
    <w:p w14:paraId="0ACB0B01" w14:textId="412905E1" w:rsidR="005E0703" w:rsidRPr="00B304C6" w:rsidRDefault="005E0703" w:rsidP="00AA0555">
      <w:pPr>
        <w:keepNext/>
        <w:keepLines/>
        <w:ind w:left="-11"/>
        <w:jc w:val="both"/>
        <w:rPr>
          <w:rFonts w:ascii="Times New Roman" w:hAnsi="Times New Roman" w:cs="Times New Roman"/>
          <w:sz w:val="20"/>
          <w:szCs w:val="20"/>
        </w:rPr>
      </w:pPr>
      <w:r w:rsidRPr="00B304C6">
        <w:rPr>
          <w:rStyle w:val="FootnoteReference"/>
          <w:rFonts w:ascii="Times New Roman" w:hAnsi="Times New Roman" w:cs="Times New Roman"/>
          <w:sz w:val="20"/>
          <w:szCs w:val="20"/>
        </w:rPr>
        <w:footnoteRef/>
      </w:r>
      <w:r w:rsidRPr="00B304C6">
        <w:rPr>
          <w:rFonts w:ascii="Times New Roman" w:hAnsi="Times New Roman" w:cs="Times New Roman"/>
          <w:sz w:val="20"/>
          <w:szCs w:val="20"/>
        </w:rPr>
        <w:t xml:space="preserve"> For a discussion of the manner in which Kiefel has presented herself as a genderless judge, see Roberts, H. 2012. </w:t>
      </w:r>
      <w:r w:rsidR="00434A80">
        <w:rPr>
          <w:rFonts w:ascii="Times New Roman" w:eastAsiaTheme="minorHAnsi" w:hAnsi="Times New Roman" w:cs="Times New Roman"/>
          <w:sz w:val="20"/>
          <w:szCs w:val="20"/>
        </w:rPr>
        <w:t>Women Judges ‘Maiden Speeches’</w:t>
      </w:r>
      <w:r w:rsidRPr="00B304C6">
        <w:rPr>
          <w:rFonts w:ascii="Times New Roman" w:eastAsiaTheme="minorHAnsi" w:hAnsi="Times New Roman" w:cs="Times New Roman"/>
          <w:sz w:val="20"/>
          <w:szCs w:val="20"/>
        </w:rPr>
        <w:t xml:space="preserve"> and the High Court of Australia. In B. Baines, D. Barak-Erez and T. Kahana, eds. </w:t>
      </w:r>
      <w:r w:rsidRPr="00B304C6">
        <w:rPr>
          <w:rFonts w:ascii="Times New Roman" w:eastAsiaTheme="minorHAnsi" w:hAnsi="Times New Roman" w:cs="Times New Roman"/>
          <w:i/>
          <w:sz w:val="20"/>
          <w:szCs w:val="20"/>
        </w:rPr>
        <w:t>Feminist Constitutionalism</w:t>
      </w:r>
      <w:r w:rsidRPr="00B304C6">
        <w:rPr>
          <w:rFonts w:ascii="Times New Roman" w:eastAsiaTheme="minorHAnsi" w:hAnsi="Times New Roman" w:cs="Times New Roman"/>
          <w:sz w:val="20"/>
          <w:szCs w:val="20"/>
        </w:rPr>
        <w:t>. New York: Cambridge University Press.</w:t>
      </w:r>
    </w:p>
  </w:footnote>
  <w:footnote w:id="15">
    <w:p w14:paraId="4DE6A5A9" w14:textId="7C4119B9" w:rsidR="005E0703" w:rsidRDefault="005E0703" w:rsidP="00E453A6">
      <w:pPr>
        <w:pStyle w:val="FootnoteText"/>
        <w:jc w:val="both"/>
      </w:pPr>
      <w:r w:rsidRPr="00B304C6">
        <w:rPr>
          <w:rStyle w:val="FootnoteReference"/>
          <w:sz w:val="20"/>
          <w:szCs w:val="20"/>
        </w:rPr>
        <w:footnoteRef/>
      </w:r>
      <w:r w:rsidRPr="00B304C6">
        <w:rPr>
          <w:sz w:val="20"/>
          <w:szCs w:val="20"/>
        </w:rPr>
        <w:t xml:space="preserve"> In the Sydney Morning Herald Editorial, the quote was not embedded in article text, but rather, appeared underneath a photograph of the judge. See Editorial. 2016. Susan Kiefel is a worthy and inspirational Chief Justice. </w:t>
      </w:r>
      <w:r w:rsidRPr="00B304C6">
        <w:rPr>
          <w:i/>
          <w:sz w:val="20"/>
          <w:szCs w:val="20"/>
        </w:rPr>
        <w:t>Sydney Morning Herald</w:t>
      </w:r>
      <w:r w:rsidRPr="00B304C6">
        <w:rPr>
          <w:sz w:val="20"/>
          <w:szCs w:val="20"/>
        </w:rPr>
        <w:t xml:space="preserve">, 30 November 2016. </w:t>
      </w:r>
      <w:hyperlink r:id="rId4" w:history="1">
        <w:r w:rsidRPr="00B304C6">
          <w:rPr>
            <w:rStyle w:val="Hyperlink"/>
            <w:sz w:val="20"/>
            <w:szCs w:val="20"/>
          </w:rPr>
          <w:t>http://www.smh.com.au/comment/smh-editorial/susan-kiefel-worthy-and-inspirational-chief-justice-20161128-gszn78.html</w:t>
        </w:r>
      </w:hyperlink>
      <w:r w:rsidR="00434A80">
        <w:rPr>
          <w:sz w:val="20"/>
          <w:szCs w:val="20"/>
        </w:rPr>
        <w:t>. T</w:t>
      </w:r>
      <w:r w:rsidRPr="00B304C6">
        <w:rPr>
          <w:sz w:val="20"/>
          <w:szCs w:val="20"/>
        </w:rPr>
        <w:t xml:space="preserve">he quote from the unnamed woman barrister appeared in text in a piece published in the </w:t>
      </w:r>
      <w:r w:rsidRPr="00B304C6">
        <w:rPr>
          <w:i/>
          <w:sz w:val="20"/>
          <w:szCs w:val="20"/>
        </w:rPr>
        <w:t xml:space="preserve">Australian Financial Review </w:t>
      </w:r>
      <w:r w:rsidRPr="00B304C6">
        <w:rPr>
          <w:sz w:val="20"/>
          <w:szCs w:val="20"/>
        </w:rPr>
        <w:t xml:space="preserve">alongside </w:t>
      </w:r>
      <w:r w:rsidR="00434A80">
        <w:rPr>
          <w:sz w:val="20"/>
          <w:szCs w:val="20"/>
        </w:rPr>
        <w:t>the observation that ‘</w:t>
      </w:r>
      <w:r w:rsidR="00434A79">
        <w:rPr>
          <w:sz w:val="20"/>
          <w:szCs w:val="20"/>
        </w:rPr>
        <w:t>lawyers familiar with her</w:t>
      </w:r>
      <w:r w:rsidRPr="00B304C6">
        <w:rPr>
          <w:sz w:val="20"/>
          <w:szCs w:val="20"/>
        </w:rPr>
        <w:t xml:space="preserve"> work reg</w:t>
      </w:r>
      <w:r w:rsidR="00434A80">
        <w:rPr>
          <w:sz w:val="20"/>
          <w:szCs w:val="20"/>
        </w:rPr>
        <w:t>ard her as broadly conservative’</w:t>
      </w:r>
      <w:r w:rsidRPr="00B304C6">
        <w:rPr>
          <w:sz w:val="20"/>
          <w:szCs w:val="20"/>
        </w:rPr>
        <w:t xml:space="preserve">. See Patrick, A. 2017. Conservatives look for free speech ally in new High Court chief Justice Susan Kiefel. </w:t>
      </w:r>
      <w:r w:rsidRPr="00B304C6">
        <w:rPr>
          <w:i/>
          <w:sz w:val="20"/>
          <w:szCs w:val="20"/>
        </w:rPr>
        <w:t>Australian Financial Review</w:t>
      </w:r>
      <w:r w:rsidRPr="00B304C6">
        <w:rPr>
          <w:sz w:val="20"/>
          <w:szCs w:val="20"/>
        </w:rPr>
        <w:t xml:space="preserve">, </w:t>
      </w:r>
      <w:r w:rsidR="00434A80">
        <w:rPr>
          <w:sz w:val="20"/>
          <w:szCs w:val="20"/>
        </w:rPr>
        <w:t xml:space="preserve">10 January </w:t>
      </w:r>
      <w:r w:rsidRPr="00B304C6">
        <w:rPr>
          <w:sz w:val="20"/>
          <w:szCs w:val="20"/>
        </w:rPr>
        <w:t xml:space="preserve">2017. </w:t>
      </w:r>
      <w:hyperlink r:id="rId5" w:history="1">
        <w:r w:rsidR="00434A80" w:rsidRPr="00534983">
          <w:rPr>
            <w:rStyle w:val="Hyperlink"/>
            <w:sz w:val="20"/>
            <w:szCs w:val="20"/>
          </w:rPr>
          <w:t>http://www.afr.com/business/legal/conservatives-look-for-free-speech-ally-in-new-high-court-chief-justice-susan-kiefel-20161213-gtafa9</w:t>
        </w:r>
      </w:hyperlink>
      <w:r w:rsidR="00434A79">
        <w:rPr>
          <w:sz w:val="20"/>
          <w:szCs w:val="20"/>
        </w:rPr>
        <w:t>.</w:t>
      </w:r>
    </w:p>
  </w:footnote>
  <w:footnote w:id="16">
    <w:p w14:paraId="37269BA0" w14:textId="77777777" w:rsidR="005E0703" w:rsidRPr="0049269F" w:rsidRDefault="005E0703" w:rsidP="00B97227">
      <w:pPr>
        <w:jc w:val="both"/>
        <w:rPr>
          <w:rFonts w:ascii="Times New Roman" w:hAnsi="Times New Roman" w:cs="Times New Roman"/>
          <w:sz w:val="20"/>
          <w:szCs w:val="20"/>
        </w:rPr>
      </w:pPr>
      <w:r w:rsidRPr="00D11D50">
        <w:rPr>
          <w:rStyle w:val="FootnoteReference"/>
          <w:rFonts w:ascii="Times New Roman" w:hAnsi="Times New Roman" w:cs="Times New Roman"/>
          <w:sz w:val="20"/>
          <w:szCs w:val="20"/>
        </w:rPr>
        <w:footnoteRef/>
      </w:r>
      <w:r w:rsidRPr="00D11D50">
        <w:rPr>
          <w:rFonts w:ascii="Times New Roman" w:hAnsi="Times New Roman" w:cs="Times New Roman"/>
          <w:sz w:val="20"/>
          <w:szCs w:val="20"/>
        </w:rPr>
        <w:t xml:space="preserve"> </w:t>
      </w:r>
      <w:r w:rsidRPr="002E11C7">
        <w:rPr>
          <w:rFonts w:ascii="Times New Roman" w:hAnsi="Times New Roman" w:cs="Times New Roman"/>
          <w:sz w:val="20"/>
          <w:szCs w:val="20"/>
        </w:rPr>
        <w:t xml:space="preserve">Thornton, M. 1996. </w:t>
      </w:r>
      <w:r w:rsidRPr="002E11C7">
        <w:rPr>
          <w:rFonts w:ascii="Times New Roman" w:hAnsi="Times New Roman" w:cs="Times New Roman"/>
          <w:i/>
          <w:sz w:val="20"/>
          <w:szCs w:val="20"/>
        </w:rPr>
        <w:t>Dissonance and Distrust: Women in the Legal Profession</w:t>
      </w:r>
      <w:r w:rsidRPr="0049269F">
        <w:rPr>
          <w:rFonts w:ascii="Times New Roman" w:hAnsi="Times New Roman" w:cs="Times New Roman"/>
          <w:sz w:val="20"/>
          <w:szCs w:val="20"/>
        </w:rPr>
        <w:t>. Melbourne: Oxford University Press, 203.</w:t>
      </w:r>
    </w:p>
  </w:footnote>
  <w:footnote w:id="17">
    <w:p w14:paraId="5F2D18FF" w14:textId="6884B8C1" w:rsidR="005E0703" w:rsidRPr="00D11D50" w:rsidRDefault="005E0703" w:rsidP="00B97227">
      <w:pPr>
        <w:pStyle w:val="FootnoteText"/>
        <w:rPr>
          <w:sz w:val="20"/>
          <w:szCs w:val="20"/>
          <w:lang w:val="en-US"/>
        </w:rPr>
      </w:pPr>
      <w:r w:rsidRPr="002E11C7">
        <w:rPr>
          <w:rStyle w:val="FootnoteReference"/>
          <w:sz w:val="20"/>
          <w:szCs w:val="20"/>
        </w:rPr>
        <w:footnoteRef/>
      </w:r>
      <w:r w:rsidRPr="002E11C7">
        <w:rPr>
          <w:sz w:val="20"/>
          <w:szCs w:val="20"/>
        </w:rPr>
        <w:t xml:space="preserve"> Gaudron, M. 1997. Australian Women Lawyers.</w:t>
      </w:r>
      <w:r w:rsidRPr="002E11C7">
        <w:rPr>
          <w:i/>
          <w:sz w:val="20"/>
          <w:szCs w:val="20"/>
        </w:rPr>
        <w:t xml:space="preserve"> </w:t>
      </w:r>
      <w:r w:rsidRPr="0049269F">
        <w:rPr>
          <w:sz w:val="20"/>
          <w:szCs w:val="20"/>
        </w:rPr>
        <w:t>Speech, 19 September</w:t>
      </w:r>
      <w:r w:rsidR="00434A80">
        <w:rPr>
          <w:sz w:val="20"/>
          <w:szCs w:val="20"/>
        </w:rPr>
        <w:t xml:space="preserve"> 2017</w:t>
      </w:r>
      <w:r w:rsidRPr="0049269F">
        <w:rPr>
          <w:sz w:val="20"/>
          <w:szCs w:val="20"/>
        </w:rPr>
        <w:t>. Melbourne:</w:t>
      </w:r>
      <w:r w:rsidR="00434A80">
        <w:rPr>
          <w:sz w:val="20"/>
          <w:szCs w:val="20"/>
        </w:rPr>
        <w:t xml:space="preserve"> High Court of Australia. </w:t>
      </w:r>
      <w:hyperlink r:id="rId6" w:history="1">
        <w:r w:rsidR="00434A80" w:rsidRPr="00534983">
          <w:rPr>
            <w:rStyle w:val="Hyperlink"/>
            <w:sz w:val="20"/>
            <w:szCs w:val="20"/>
          </w:rPr>
          <w:t>http://www.hcourt.gov.au/assets/publications/speeches/former-justices/gaudronj/gaudronj_wlasp.htm</w:t>
        </w:r>
      </w:hyperlink>
      <w:r w:rsidRPr="00434A80">
        <w:rPr>
          <w:rStyle w:val="Hyperlink"/>
          <w:color w:val="auto"/>
          <w:sz w:val="20"/>
          <w:szCs w:val="20"/>
          <w:u w:val="none"/>
        </w:rPr>
        <w:t xml:space="preserve">. </w:t>
      </w:r>
    </w:p>
  </w:footnote>
  <w:footnote w:id="18">
    <w:p w14:paraId="246E14F2" w14:textId="6450D061" w:rsidR="005E0703" w:rsidRPr="00BA38DA" w:rsidRDefault="005E0703" w:rsidP="009E1D71">
      <w:pPr>
        <w:pStyle w:val="FootnoteText"/>
        <w:jc w:val="both"/>
        <w:rPr>
          <w:sz w:val="20"/>
          <w:szCs w:val="20"/>
          <w:lang w:val="en-US"/>
        </w:rPr>
      </w:pPr>
      <w:r w:rsidRPr="00BA38DA">
        <w:rPr>
          <w:rStyle w:val="FootnoteReference"/>
          <w:sz w:val="20"/>
          <w:szCs w:val="20"/>
        </w:rPr>
        <w:footnoteRef/>
      </w:r>
      <w:r w:rsidRPr="00BA38DA">
        <w:rPr>
          <w:sz w:val="20"/>
          <w:szCs w:val="20"/>
        </w:rPr>
        <w:t xml:space="preserve"> The Australian Labor Party has adopted quotas since 1981, the most recent of which is a 40:40:20 quota system. </w:t>
      </w:r>
      <w:r w:rsidR="00434A80">
        <w:rPr>
          <w:sz w:val="20"/>
          <w:szCs w:val="20"/>
        </w:rPr>
        <w:t xml:space="preserve">A </w:t>
      </w:r>
      <w:r w:rsidRPr="00BA38DA">
        <w:rPr>
          <w:sz w:val="20"/>
          <w:szCs w:val="20"/>
        </w:rPr>
        <w:t>Parliamentary Research Paper on quotas for women in Australia noted that ‘</w:t>
      </w:r>
      <w:r w:rsidRPr="00BA38DA">
        <w:rPr>
          <w:rFonts w:eastAsiaTheme="minorEastAsia"/>
          <w:sz w:val="20"/>
          <w:szCs w:val="20"/>
        </w:rPr>
        <w:t xml:space="preserve">[t]his means that 40 per cent of seats held by Labor will be filled by women, and not less than 40 per cent by men. The remaining 20 per cent may be filled by candidates of either gender’. The views about quotas within the party ranged ‘from concern about tokenism and preserving the concept of merit, to those who point to the results in the number of Labor women </w:t>
      </w:r>
      <w:r w:rsidR="00BB7B8C">
        <w:rPr>
          <w:rFonts w:eastAsiaTheme="minorEastAsia"/>
          <w:sz w:val="20"/>
          <w:szCs w:val="20"/>
        </w:rPr>
        <w:t>in parliament’</w:t>
      </w:r>
      <w:r w:rsidRPr="00BA38DA">
        <w:rPr>
          <w:rFonts w:eastAsiaTheme="minorEastAsia"/>
          <w:sz w:val="20"/>
          <w:szCs w:val="20"/>
        </w:rPr>
        <w:t xml:space="preserve">. </w:t>
      </w:r>
      <w:r w:rsidR="00BB7B8C" w:rsidRPr="00BA38DA">
        <w:rPr>
          <w:sz w:val="20"/>
          <w:szCs w:val="20"/>
        </w:rPr>
        <w:t>McCann, J. 2013. Electoral quotas for women: an international overview. Research Paper. Canberra: Parliamentary Library</w:t>
      </w:r>
      <w:r w:rsidR="00BB7B8C">
        <w:rPr>
          <w:sz w:val="20"/>
          <w:szCs w:val="20"/>
        </w:rPr>
        <w:t xml:space="preserve">, 13. </w:t>
      </w:r>
      <w:hyperlink r:id="rId7" w:history="1">
        <w:r w:rsidR="00BB7B8C" w:rsidRPr="00534983">
          <w:rPr>
            <w:rStyle w:val="Hyperlink"/>
            <w:sz w:val="20"/>
            <w:szCs w:val="20"/>
          </w:rPr>
          <w:t>http://parlinfo.aph.gov.au/parlInfo/download/library/prspub/2840598/upl</w:t>
        </w:r>
      </w:hyperlink>
    </w:p>
  </w:footnote>
  <w:footnote w:id="19">
    <w:p w14:paraId="2E264582" w14:textId="373A7DC1" w:rsidR="005E0703" w:rsidRPr="006F6B88" w:rsidRDefault="005E0703" w:rsidP="009E1D71">
      <w:pPr>
        <w:pStyle w:val="FootnoteText"/>
        <w:jc w:val="both"/>
        <w:rPr>
          <w:lang w:val="en-US"/>
        </w:rPr>
      </w:pPr>
      <w:r w:rsidRPr="00BA38DA">
        <w:rPr>
          <w:rStyle w:val="FootnoteReference"/>
          <w:sz w:val="20"/>
          <w:szCs w:val="20"/>
        </w:rPr>
        <w:footnoteRef/>
      </w:r>
      <w:r w:rsidRPr="00BA38DA">
        <w:rPr>
          <w:sz w:val="20"/>
          <w:szCs w:val="20"/>
        </w:rPr>
        <w:t xml:space="preserve"> Although ‘the merit principle’ is commonly invoked as an argument against measures to enhance women’s representation within the Liberal Party, that is not to say that there is consensus regarding this issue. Liberal Senator, the Hon Judith Troeth argued ‘</w:t>
      </w:r>
      <w:r w:rsidRPr="00BA38DA">
        <w:rPr>
          <w:rFonts w:eastAsiaTheme="minorEastAsia"/>
          <w:sz w:val="20"/>
          <w:szCs w:val="20"/>
        </w:rPr>
        <w:t>[i]f it’s demeaning for women to have quotas, it’s equally demeaning to sit in a Parliamentary party room for 20 years without seeing a progressive increase in the number of women members. As if those handful of women members who are there were the only “women of merit” who put themselves forward for preselection!</w:t>
      </w:r>
      <w:r>
        <w:rPr>
          <w:rFonts w:eastAsiaTheme="minorEastAsia"/>
          <w:sz w:val="20"/>
          <w:szCs w:val="20"/>
        </w:rPr>
        <w:t>’</w:t>
      </w:r>
      <w:r w:rsidR="00BB7B8C">
        <w:rPr>
          <w:rFonts w:eastAsiaTheme="minorEastAsia"/>
          <w:sz w:val="20"/>
          <w:szCs w:val="20"/>
        </w:rPr>
        <w:t xml:space="preserve"> </w:t>
      </w:r>
      <w:r w:rsidR="00BB7B8C">
        <w:rPr>
          <w:sz w:val="20"/>
          <w:szCs w:val="20"/>
        </w:rPr>
        <w:t>C</w:t>
      </w:r>
      <w:r w:rsidR="00BB7B8C" w:rsidRPr="00BA38DA">
        <w:rPr>
          <w:sz w:val="20"/>
          <w:szCs w:val="20"/>
        </w:rPr>
        <w:t xml:space="preserve">ited in McCann, J. </w:t>
      </w:r>
      <w:r w:rsidR="007E2E25">
        <w:rPr>
          <w:sz w:val="20"/>
          <w:szCs w:val="20"/>
        </w:rPr>
        <w:t>Ibid.</w:t>
      </w:r>
    </w:p>
  </w:footnote>
  <w:footnote w:id="20">
    <w:p w14:paraId="0D454B8B" w14:textId="77777777" w:rsidR="005E0703" w:rsidRPr="00CF5469" w:rsidRDefault="005E0703" w:rsidP="009E1D71">
      <w:pPr>
        <w:ind w:left="-11"/>
        <w:jc w:val="both"/>
        <w:rPr>
          <w:rFonts w:ascii="Times New Roman" w:hAnsi="Times New Roman" w:cs="Times New Roman"/>
          <w:sz w:val="20"/>
          <w:szCs w:val="20"/>
        </w:rPr>
      </w:pPr>
      <w:r w:rsidRPr="00CF5469">
        <w:rPr>
          <w:rStyle w:val="FootnoteReference"/>
          <w:rFonts w:ascii="Times New Roman" w:hAnsi="Times New Roman" w:cs="Times New Roman"/>
          <w:sz w:val="20"/>
          <w:szCs w:val="20"/>
        </w:rPr>
        <w:footnoteRef/>
      </w:r>
      <w:r w:rsidRPr="00CF5469">
        <w:rPr>
          <w:rFonts w:ascii="Times New Roman" w:hAnsi="Times New Roman" w:cs="Times New Roman"/>
          <w:sz w:val="20"/>
          <w:szCs w:val="20"/>
        </w:rPr>
        <w:t xml:space="preserve"> Resnik, J. 2005. Judicial Selection and Democratic Theory: Demand, Supply and Life Tenure. </w:t>
      </w:r>
      <w:r w:rsidRPr="00CF5469">
        <w:rPr>
          <w:rFonts w:ascii="Times New Roman" w:hAnsi="Times New Roman" w:cs="Times New Roman"/>
          <w:i/>
          <w:sz w:val="20"/>
          <w:szCs w:val="20"/>
        </w:rPr>
        <w:t>Cardozo Law Review</w:t>
      </w:r>
      <w:r w:rsidRPr="00CF5469">
        <w:rPr>
          <w:rFonts w:ascii="Times New Roman" w:hAnsi="Times New Roman" w:cs="Times New Roman"/>
          <w:sz w:val="20"/>
          <w:szCs w:val="20"/>
        </w:rPr>
        <w:t xml:space="preserve"> 26(2): </w:t>
      </w:r>
      <w:r w:rsidRPr="00CF5469">
        <w:rPr>
          <w:rFonts w:ascii="Times New Roman" w:hAnsi="Times New Roman" w:cs="Times New Roman"/>
          <w:smallCaps/>
          <w:sz w:val="20"/>
          <w:szCs w:val="20"/>
        </w:rPr>
        <w:t>584-658, 584.</w:t>
      </w:r>
    </w:p>
  </w:footnote>
  <w:footnote w:id="21">
    <w:p w14:paraId="366FD9A1" w14:textId="43E2311D" w:rsidR="005E0703" w:rsidRPr="00B304C6" w:rsidRDefault="005E0703" w:rsidP="009E1D71">
      <w:pPr>
        <w:ind w:left="-11"/>
        <w:jc w:val="both"/>
        <w:rPr>
          <w:rFonts w:ascii="Times New Roman" w:hAnsi="Times New Roman" w:cs="Times New Roman"/>
          <w:sz w:val="20"/>
          <w:szCs w:val="20"/>
        </w:rPr>
      </w:pPr>
      <w:r w:rsidRPr="00B304C6">
        <w:rPr>
          <w:rStyle w:val="FootnoteReference"/>
          <w:rFonts w:ascii="Times New Roman" w:hAnsi="Times New Roman" w:cs="Times New Roman"/>
          <w:sz w:val="20"/>
          <w:szCs w:val="20"/>
        </w:rPr>
        <w:footnoteRef/>
      </w:r>
      <w:r w:rsidRPr="00B304C6">
        <w:rPr>
          <w:rFonts w:ascii="Times New Roman" w:hAnsi="Times New Roman" w:cs="Times New Roman"/>
          <w:sz w:val="20"/>
          <w:szCs w:val="20"/>
        </w:rPr>
        <w:t xml:space="preserve"> Thornton, M. 2007. Otherness on the Bench: How </w:t>
      </w:r>
      <w:r w:rsidR="00BB7B8C">
        <w:rPr>
          <w:rFonts w:ascii="Times New Roman" w:hAnsi="Times New Roman" w:cs="Times New Roman"/>
          <w:sz w:val="20"/>
          <w:szCs w:val="20"/>
        </w:rPr>
        <w:t>Merit is G</w:t>
      </w:r>
      <w:r w:rsidRPr="00B304C6">
        <w:rPr>
          <w:rFonts w:ascii="Times New Roman" w:hAnsi="Times New Roman" w:cs="Times New Roman"/>
          <w:sz w:val="20"/>
          <w:szCs w:val="20"/>
        </w:rPr>
        <w:t xml:space="preserve">endered. </w:t>
      </w:r>
      <w:r w:rsidRPr="00B304C6">
        <w:rPr>
          <w:rFonts w:ascii="Times New Roman" w:hAnsi="Times New Roman" w:cs="Times New Roman"/>
          <w:i/>
          <w:sz w:val="20"/>
          <w:szCs w:val="20"/>
        </w:rPr>
        <w:t>Sydney Law Review</w:t>
      </w:r>
      <w:r w:rsidRPr="00B304C6">
        <w:rPr>
          <w:rFonts w:ascii="Times New Roman" w:hAnsi="Times New Roman" w:cs="Times New Roman"/>
          <w:sz w:val="20"/>
          <w:szCs w:val="20"/>
        </w:rPr>
        <w:t xml:space="preserve"> 29(3): 391-413, 397.</w:t>
      </w:r>
    </w:p>
  </w:footnote>
  <w:footnote w:id="22">
    <w:p w14:paraId="7BFCCFEC" w14:textId="58772C16" w:rsidR="005E0703" w:rsidRPr="00EC5705" w:rsidRDefault="005E0703" w:rsidP="009E1D71">
      <w:pPr>
        <w:ind w:left="-11"/>
        <w:jc w:val="both"/>
        <w:rPr>
          <w:rFonts w:ascii="Times New Roman" w:hAnsi="Times New Roman"/>
          <w:iCs/>
          <w:sz w:val="20"/>
          <w:szCs w:val="20"/>
        </w:rPr>
      </w:pPr>
      <w:r w:rsidRPr="00B304C6">
        <w:rPr>
          <w:rStyle w:val="FootnoteReference"/>
          <w:rFonts w:ascii="Times New Roman" w:hAnsi="Times New Roman" w:cs="Times New Roman"/>
          <w:sz w:val="20"/>
          <w:szCs w:val="20"/>
        </w:rPr>
        <w:footnoteRef/>
      </w:r>
      <w:r w:rsidRPr="00B304C6">
        <w:rPr>
          <w:rFonts w:ascii="Times New Roman" w:hAnsi="Times New Roman" w:cs="Times New Roman"/>
          <w:sz w:val="20"/>
          <w:szCs w:val="20"/>
        </w:rPr>
        <w:t xml:space="preserve"> See </w:t>
      </w:r>
      <w:r w:rsidR="00424D9B">
        <w:rPr>
          <w:rFonts w:ascii="Times New Roman" w:hAnsi="Times New Roman" w:cs="Times New Roman"/>
          <w:sz w:val="20"/>
          <w:szCs w:val="20"/>
        </w:rPr>
        <w:t>e.g.</w:t>
      </w:r>
      <w:r w:rsidRPr="00B304C6">
        <w:rPr>
          <w:rFonts w:ascii="Times New Roman" w:hAnsi="Times New Roman" w:cs="Times New Roman"/>
          <w:sz w:val="20"/>
          <w:szCs w:val="20"/>
        </w:rPr>
        <w:t xml:space="preserve"> Gilligan, C. 1982. </w:t>
      </w:r>
      <w:r w:rsidRPr="00B304C6">
        <w:rPr>
          <w:rFonts w:ascii="Times New Roman" w:hAnsi="Times New Roman" w:cs="Times New Roman"/>
          <w:i/>
          <w:iCs/>
          <w:sz w:val="20"/>
          <w:szCs w:val="20"/>
        </w:rPr>
        <w:t xml:space="preserve">In a Different Voice: Psychological Theory and Women's Development. </w:t>
      </w:r>
      <w:r w:rsidR="00424D9B">
        <w:rPr>
          <w:rFonts w:ascii="Times New Roman" w:hAnsi="Times New Roman" w:cs="Times New Roman"/>
          <w:iCs/>
          <w:sz w:val="20"/>
          <w:szCs w:val="20"/>
        </w:rPr>
        <w:t>Cambridge (Mass.</w:t>
      </w:r>
      <w:r w:rsidRPr="00B304C6">
        <w:rPr>
          <w:rFonts w:ascii="Times New Roman" w:hAnsi="Times New Roman" w:cs="Times New Roman"/>
          <w:iCs/>
          <w:sz w:val="20"/>
          <w:szCs w:val="20"/>
        </w:rPr>
        <w:t>): Harvard University Press.</w:t>
      </w:r>
    </w:p>
  </w:footnote>
  <w:footnote w:id="23">
    <w:p w14:paraId="2CC19A28" w14:textId="77777777" w:rsidR="005E0703" w:rsidRPr="00192374" w:rsidRDefault="005E0703" w:rsidP="009E1D71">
      <w:pPr>
        <w:pStyle w:val="FootnoteText"/>
        <w:jc w:val="both"/>
        <w:rPr>
          <w:sz w:val="20"/>
          <w:szCs w:val="20"/>
          <w:lang w:val="en-US"/>
        </w:rPr>
      </w:pPr>
      <w:r w:rsidRPr="00EC5705">
        <w:rPr>
          <w:rStyle w:val="FootnoteReference"/>
          <w:sz w:val="20"/>
          <w:szCs w:val="20"/>
        </w:rPr>
        <w:footnoteRef/>
      </w:r>
      <w:r w:rsidRPr="00EC5705">
        <w:rPr>
          <w:sz w:val="20"/>
          <w:szCs w:val="20"/>
        </w:rPr>
        <w:t xml:space="preserve"> Malleson, K. 2003. Justifying Gender Equality on the Bench: Why Difference Won't Do. </w:t>
      </w:r>
      <w:r w:rsidRPr="00EC5705">
        <w:rPr>
          <w:i/>
          <w:sz w:val="20"/>
          <w:szCs w:val="20"/>
        </w:rPr>
        <w:t>Feminist</w:t>
      </w:r>
      <w:r w:rsidRPr="00EC5705">
        <w:rPr>
          <w:i/>
          <w:iCs/>
          <w:sz w:val="20"/>
          <w:szCs w:val="20"/>
        </w:rPr>
        <w:t xml:space="preserve"> Legal Studies </w:t>
      </w:r>
      <w:r w:rsidRPr="00EC5705">
        <w:rPr>
          <w:iCs/>
          <w:sz w:val="20"/>
          <w:szCs w:val="20"/>
        </w:rPr>
        <w:t>11</w:t>
      </w:r>
      <w:r w:rsidRPr="00EC5705">
        <w:rPr>
          <w:sz w:val="20"/>
          <w:szCs w:val="20"/>
        </w:rPr>
        <w:t>: 1-24, 14.</w:t>
      </w:r>
    </w:p>
  </w:footnote>
  <w:footnote w:id="24">
    <w:p w14:paraId="5D5CC2D6" w14:textId="6EE33888" w:rsidR="005035C7" w:rsidRPr="00EE205D" w:rsidRDefault="005035C7" w:rsidP="005035C7">
      <w:pPr>
        <w:autoSpaceDE w:val="0"/>
        <w:autoSpaceDN w:val="0"/>
        <w:adjustRightInd w:val="0"/>
        <w:jc w:val="both"/>
        <w:rPr>
          <w:rFonts w:ascii="Times New Roman" w:hAnsi="Times New Roman"/>
          <w:sz w:val="20"/>
          <w:szCs w:val="20"/>
        </w:rPr>
      </w:pPr>
      <w:r w:rsidRPr="00EE205D">
        <w:rPr>
          <w:rStyle w:val="FootnoteReference"/>
          <w:sz w:val="20"/>
          <w:szCs w:val="20"/>
        </w:rPr>
        <w:footnoteRef/>
      </w:r>
      <w:r w:rsidRPr="00EE205D">
        <w:rPr>
          <w:sz w:val="20"/>
          <w:szCs w:val="20"/>
        </w:rPr>
        <w:t xml:space="preserve"> </w:t>
      </w:r>
      <w:r w:rsidR="007E2E25">
        <w:rPr>
          <w:rFonts w:ascii="Times New Roman" w:hAnsi="Times New Roman"/>
          <w:sz w:val="20"/>
          <w:szCs w:val="20"/>
        </w:rPr>
        <w:t>Ibid</w:t>
      </w:r>
      <w:r w:rsidRPr="00EE205D">
        <w:rPr>
          <w:rFonts w:ascii="Times New Roman" w:hAnsi="Times New Roman"/>
          <w:sz w:val="20"/>
          <w:szCs w:val="20"/>
        </w:rPr>
        <w:t>, 4.</w:t>
      </w:r>
    </w:p>
  </w:footnote>
  <w:footnote w:id="25">
    <w:p w14:paraId="1A43A91B" w14:textId="77777777" w:rsidR="005E0703" w:rsidRPr="002E11C7" w:rsidRDefault="005E0703" w:rsidP="009E1D71">
      <w:pPr>
        <w:autoSpaceDE w:val="0"/>
        <w:autoSpaceDN w:val="0"/>
        <w:adjustRightInd w:val="0"/>
        <w:jc w:val="both"/>
        <w:rPr>
          <w:rFonts w:ascii="Times New Roman" w:hAnsi="Times New Roman" w:cs="Times New Roman"/>
          <w:sz w:val="20"/>
          <w:szCs w:val="20"/>
        </w:rPr>
      </w:pPr>
      <w:r w:rsidRPr="00D11D50">
        <w:rPr>
          <w:rStyle w:val="FootnoteReference"/>
          <w:rFonts w:ascii="Times New Roman" w:hAnsi="Times New Roman" w:cs="Times New Roman"/>
          <w:sz w:val="20"/>
          <w:szCs w:val="20"/>
        </w:rPr>
        <w:footnoteRef/>
      </w:r>
      <w:r w:rsidRPr="00D11D50">
        <w:rPr>
          <w:rFonts w:ascii="Times New Roman" w:hAnsi="Times New Roman" w:cs="Times New Roman"/>
          <w:sz w:val="20"/>
          <w:szCs w:val="20"/>
        </w:rPr>
        <w:t xml:space="preserve"> </w:t>
      </w:r>
      <w:r w:rsidRPr="002052D5">
        <w:rPr>
          <w:rFonts w:ascii="Times New Roman" w:hAnsi="Times New Roman" w:cs="Times New Roman"/>
          <w:sz w:val="20"/>
          <w:szCs w:val="20"/>
        </w:rPr>
        <w:t xml:space="preserve">Eisenstein, Z. 1988. </w:t>
      </w:r>
      <w:r w:rsidRPr="002052D5">
        <w:rPr>
          <w:rFonts w:ascii="Times New Roman" w:hAnsi="Times New Roman" w:cs="Times New Roman"/>
          <w:i/>
          <w:sz w:val="20"/>
          <w:szCs w:val="20"/>
        </w:rPr>
        <w:t>The Female Body and the Law.</w:t>
      </w:r>
      <w:r w:rsidRPr="002E11C7">
        <w:rPr>
          <w:rFonts w:ascii="Times New Roman" w:hAnsi="Times New Roman" w:cs="Times New Roman"/>
          <w:sz w:val="20"/>
          <w:szCs w:val="20"/>
        </w:rPr>
        <w:t xml:space="preserve"> Berkeley: University of California Press, 32-33.</w:t>
      </w:r>
    </w:p>
  </w:footnote>
  <w:footnote w:id="26">
    <w:p w14:paraId="30BB299B" w14:textId="1455148D" w:rsidR="005E0703" w:rsidRPr="002E11C7" w:rsidRDefault="005E0703" w:rsidP="009E1D71">
      <w:pPr>
        <w:autoSpaceDE w:val="0"/>
        <w:autoSpaceDN w:val="0"/>
        <w:adjustRightInd w:val="0"/>
        <w:jc w:val="both"/>
        <w:rPr>
          <w:rFonts w:ascii="Times New Roman" w:hAnsi="Times New Roman" w:cs="Times New Roman"/>
          <w:sz w:val="20"/>
          <w:szCs w:val="20"/>
        </w:rPr>
      </w:pPr>
      <w:r w:rsidRPr="00D11D50">
        <w:rPr>
          <w:rStyle w:val="FootnoteReference"/>
          <w:rFonts w:ascii="Times New Roman" w:hAnsi="Times New Roman" w:cs="Times New Roman"/>
          <w:sz w:val="20"/>
          <w:szCs w:val="20"/>
        </w:rPr>
        <w:footnoteRef/>
      </w:r>
      <w:r w:rsidRPr="00D11D50">
        <w:rPr>
          <w:rFonts w:ascii="Times New Roman" w:hAnsi="Times New Roman" w:cs="Times New Roman"/>
          <w:sz w:val="20"/>
          <w:szCs w:val="20"/>
        </w:rPr>
        <w:t xml:space="preserve"> </w:t>
      </w:r>
      <w:r w:rsidRPr="002052D5">
        <w:rPr>
          <w:rFonts w:ascii="Times New Roman" w:hAnsi="Times New Roman" w:cs="Times New Roman"/>
          <w:sz w:val="20"/>
          <w:szCs w:val="20"/>
        </w:rPr>
        <w:t xml:space="preserve">Irigaray, I. </w:t>
      </w:r>
      <w:r w:rsidR="005035C7">
        <w:rPr>
          <w:rFonts w:ascii="Times New Roman" w:hAnsi="Times New Roman" w:cs="Times New Roman"/>
          <w:sz w:val="20"/>
          <w:szCs w:val="20"/>
        </w:rPr>
        <w:t xml:space="preserve">1985. </w:t>
      </w:r>
      <w:r w:rsidRPr="002052D5">
        <w:rPr>
          <w:rFonts w:ascii="Times New Roman" w:hAnsi="Times New Roman" w:cs="Times New Roman"/>
          <w:i/>
          <w:sz w:val="20"/>
          <w:szCs w:val="20"/>
        </w:rPr>
        <w:t>The Sex Which is Not the One</w:t>
      </w:r>
      <w:r w:rsidR="005035C7">
        <w:rPr>
          <w:rFonts w:ascii="Times New Roman" w:hAnsi="Times New Roman" w:cs="Times New Roman"/>
          <w:sz w:val="20"/>
          <w:szCs w:val="20"/>
        </w:rPr>
        <w:t xml:space="preserve"> (trans.</w:t>
      </w:r>
      <w:r w:rsidRPr="002E11C7">
        <w:rPr>
          <w:rFonts w:ascii="Times New Roman" w:hAnsi="Times New Roman" w:cs="Times New Roman"/>
          <w:sz w:val="20"/>
          <w:szCs w:val="20"/>
        </w:rPr>
        <w:t xml:space="preserve"> Catherine Porter, with Carolyn Burke</w:t>
      </w:r>
      <w:r w:rsidR="005035C7">
        <w:rPr>
          <w:rFonts w:ascii="Times New Roman" w:hAnsi="Times New Roman" w:cs="Times New Roman"/>
          <w:sz w:val="20"/>
          <w:szCs w:val="20"/>
        </w:rPr>
        <w:t>). Ithaca (New York): Cornell University Press</w:t>
      </w:r>
      <w:r w:rsidRPr="002E11C7">
        <w:rPr>
          <w:rFonts w:ascii="Times New Roman" w:hAnsi="Times New Roman" w:cs="Times New Roman"/>
          <w:sz w:val="20"/>
          <w:szCs w:val="20"/>
        </w:rPr>
        <w:t xml:space="preserve"> (first published 1977), 78.</w:t>
      </w:r>
    </w:p>
  </w:footnote>
  <w:footnote w:id="27">
    <w:p w14:paraId="1737ED03" w14:textId="2B28F5D5" w:rsidR="005E0703" w:rsidRPr="002E11C7" w:rsidRDefault="005E0703" w:rsidP="009E1D71">
      <w:pPr>
        <w:pStyle w:val="FootnoteText"/>
        <w:rPr>
          <w:sz w:val="20"/>
          <w:szCs w:val="20"/>
          <w:lang w:val="en-US"/>
        </w:rPr>
      </w:pPr>
      <w:r w:rsidRPr="002052D5">
        <w:rPr>
          <w:rStyle w:val="FootnoteReference"/>
          <w:sz w:val="20"/>
          <w:szCs w:val="20"/>
        </w:rPr>
        <w:footnoteRef/>
      </w:r>
      <w:r w:rsidRPr="002052D5">
        <w:rPr>
          <w:sz w:val="20"/>
          <w:szCs w:val="20"/>
        </w:rPr>
        <w:t xml:space="preserve"> Eisenstein</w:t>
      </w:r>
      <w:r w:rsidR="007E2E25">
        <w:rPr>
          <w:sz w:val="20"/>
          <w:szCs w:val="20"/>
        </w:rPr>
        <w:t xml:space="preserve">, </w:t>
      </w:r>
      <w:r w:rsidR="007E2E25" w:rsidRPr="002052D5">
        <w:rPr>
          <w:sz w:val="20"/>
          <w:szCs w:val="20"/>
        </w:rPr>
        <w:t xml:space="preserve">Z. 1988. </w:t>
      </w:r>
      <w:r w:rsidR="007E2E25" w:rsidRPr="002052D5">
        <w:rPr>
          <w:i/>
          <w:sz w:val="20"/>
          <w:szCs w:val="20"/>
        </w:rPr>
        <w:t>The Female Body and the Law.</w:t>
      </w:r>
      <w:r w:rsidR="007E2E25" w:rsidRPr="002E11C7">
        <w:rPr>
          <w:sz w:val="20"/>
          <w:szCs w:val="20"/>
        </w:rPr>
        <w:t xml:space="preserve"> Berkeley: University of California Press,</w:t>
      </w:r>
      <w:r w:rsidRPr="002E11C7">
        <w:rPr>
          <w:sz w:val="20"/>
          <w:szCs w:val="20"/>
        </w:rPr>
        <w:t xml:space="preserve"> 32-33.</w:t>
      </w:r>
    </w:p>
  </w:footnote>
  <w:footnote w:id="28">
    <w:p w14:paraId="578C4D6D" w14:textId="52DAC560" w:rsidR="005E0703" w:rsidRPr="002052D5" w:rsidRDefault="005E0703" w:rsidP="009E1D71">
      <w:pPr>
        <w:pStyle w:val="FootnoteText"/>
        <w:rPr>
          <w:sz w:val="20"/>
          <w:szCs w:val="20"/>
          <w:lang w:val="en-US"/>
        </w:rPr>
      </w:pPr>
      <w:r w:rsidRPr="002052D5">
        <w:rPr>
          <w:rStyle w:val="FootnoteReference"/>
          <w:sz w:val="20"/>
          <w:szCs w:val="20"/>
        </w:rPr>
        <w:footnoteRef/>
      </w:r>
      <w:r w:rsidRPr="002052D5">
        <w:rPr>
          <w:sz w:val="20"/>
          <w:szCs w:val="20"/>
        </w:rPr>
        <w:t xml:space="preserve"> </w:t>
      </w:r>
      <w:r w:rsidRPr="002052D5">
        <w:rPr>
          <w:sz w:val="20"/>
          <w:szCs w:val="20"/>
          <w:lang w:val="en-US"/>
        </w:rPr>
        <w:t>Ibid</w:t>
      </w:r>
      <w:r w:rsidR="007E2E25">
        <w:rPr>
          <w:sz w:val="20"/>
          <w:szCs w:val="20"/>
          <w:lang w:val="en-US"/>
        </w:rPr>
        <w:t>,</w:t>
      </w:r>
      <w:r w:rsidRPr="002052D5">
        <w:rPr>
          <w:sz w:val="20"/>
          <w:szCs w:val="20"/>
          <w:lang w:val="en-US"/>
        </w:rPr>
        <w:t xml:space="preserve"> 32</w:t>
      </w:r>
      <w:r w:rsidR="00A50510">
        <w:rPr>
          <w:sz w:val="20"/>
          <w:szCs w:val="20"/>
          <w:lang w:val="en-US"/>
        </w:rPr>
        <w:t>.</w:t>
      </w:r>
    </w:p>
  </w:footnote>
  <w:footnote w:id="29">
    <w:p w14:paraId="24432E58" w14:textId="06AC518B" w:rsidR="005E0703" w:rsidRPr="00EE205D" w:rsidRDefault="005E0703" w:rsidP="009E1D71">
      <w:pPr>
        <w:pStyle w:val="FootnoteText"/>
        <w:rPr>
          <w:sz w:val="20"/>
          <w:szCs w:val="20"/>
          <w:lang w:val="en-US"/>
        </w:rPr>
      </w:pPr>
      <w:r w:rsidRPr="00EE205D">
        <w:rPr>
          <w:rStyle w:val="FootnoteReference"/>
          <w:sz w:val="20"/>
          <w:szCs w:val="20"/>
        </w:rPr>
        <w:footnoteRef/>
      </w:r>
      <w:r w:rsidRPr="00EE205D">
        <w:rPr>
          <w:sz w:val="20"/>
          <w:szCs w:val="20"/>
        </w:rPr>
        <w:t xml:space="preserve"> </w:t>
      </w:r>
      <w:r w:rsidRPr="00EE205D">
        <w:rPr>
          <w:sz w:val="20"/>
          <w:szCs w:val="20"/>
          <w:lang w:val="en-US"/>
        </w:rPr>
        <w:t>Ibid</w:t>
      </w:r>
      <w:r w:rsidR="007E2E25">
        <w:rPr>
          <w:sz w:val="20"/>
          <w:szCs w:val="20"/>
          <w:lang w:val="en-US"/>
        </w:rPr>
        <w:t>,</w:t>
      </w:r>
      <w:r w:rsidRPr="00EE205D">
        <w:rPr>
          <w:sz w:val="20"/>
          <w:szCs w:val="20"/>
          <w:lang w:val="en-US"/>
        </w:rPr>
        <w:t xml:space="preserve"> 17.</w:t>
      </w:r>
    </w:p>
  </w:footnote>
  <w:footnote w:id="30">
    <w:p w14:paraId="4055A3EF" w14:textId="2464F312" w:rsidR="005E0703" w:rsidRPr="00EE205D" w:rsidRDefault="005E0703" w:rsidP="009E1D71">
      <w:pPr>
        <w:autoSpaceDE w:val="0"/>
        <w:autoSpaceDN w:val="0"/>
        <w:adjustRightInd w:val="0"/>
        <w:jc w:val="both"/>
      </w:pPr>
      <w:r w:rsidRPr="00EE205D">
        <w:rPr>
          <w:rStyle w:val="FootnoteReference"/>
          <w:sz w:val="20"/>
          <w:szCs w:val="20"/>
        </w:rPr>
        <w:footnoteRef/>
      </w:r>
      <w:r w:rsidRPr="00EE205D">
        <w:rPr>
          <w:sz w:val="20"/>
          <w:szCs w:val="20"/>
        </w:rPr>
        <w:t xml:space="preserve"> </w:t>
      </w:r>
      <w:r w:rsidR="007E2E25">
        <w:rPr>
          <w:rFonts w:ascii="Times New Roman" w:hAnsi="Times New Roman"/>
          <w:sz w:val="20"/>
          <w:szCs w:val="20"/>
          <w:lang w:bidi="en-US"/>
        </w:rPr>
        <w:t>Kenney, S.J. 2008. Thinking About Gender and J</w:t>
      </w:r>
      <w:r w:rsidRPr="00EE205D">
        <w:rPr>
          <w:rFonts w:ascii="Times New Roman" w:hAnsi="Times New Roman"/>
          <w:sz w:val="20"/>
          <w:szCs w:val="20"/>
          <w:lang w:bidi="en-US"/>
        </w:rPr>
        <w:t xml:space="preserve">udging. </w:t>
      </w:r>
      <w:r w:rsidRPr="00EE205D">
        <w:rPr>
          <w:rFonts w:ascii="Times New Roman" w:hAnsi="Times New Roman"/>
          <w:i/>
          <w:sz w:val="20"/>
          <w:szCs w:val="20"/>
          <w:lang w:bidi="en-US"/>
        </w:rPr>
        <w:t>International Journal of the Legal Profession</w:t>
      </w:r>
      <w:r w:rsidRPr="00EE205D">
        <w:rPr>
          <w:rFonts w:ascii="Times New Roman" w:hAnsi="Times New Roman"/>
          <w:sz w:val="20"/>
          <w:szCs w:val="20"/>
          <w:lang w:bidi="en-US"/>
        </w:rPr>
        <w:t xml:space="preserve"> 15(1): 87-110, 105.</w:t>
      </w:r>
    </w:p>
  </w:footnote>
  <w:footnote w:id="31">
    <w:p w14:paraId="307EE9FB" w14:textId="77777777" w:rsidR="005E0703" w:rsidRPr="00EE205D" w:rsidRDefault="005E0703" w:rsidP="009E1D71">
      <w:pPr>
        <w:autoSpaceDE w:val="0"/>
        <w:autoSpaceDN w:val="0"/>
        <w:adjustRightInd w:val="0"/>
        <w:jc w:val="both"/>
        <w:rPr>
          <w:rFonts w:ascii="Times New Roman" w:hAnsi="Times New Roman" w:cs="Times New Roman"/>
          <w:iCs/>
          <w:sz w:val="20"/>
          <w:szCs w:val="20"/>
        </w:rPr>
      </w:pPr>
      <w:r w:rsidRPr="00EE205D">
        <w:rPr>
          <w:rStyle w:val="FootnoteReference"/>
          <w:rFonts w:ascii="Times New Roman" w:hAnsi="Times New Roman" w:cs="Times New Roman"/>
          <w:sz w:val="20"/>
          <w:szCs w:val="20"/>
        </w:rPr>
        <w:footnoteRef/>
      </w:r>
      <w:r w:rsidRPr="00EE205D">
        <w:rPr>
          <w:rFonts w:ascii="Times New Roman" w:hAnsi="Times New Roman" w:cs="Times New Roman"/>
          <w:sz w:val="20"/>
          <w:szCs w:val="20"/>
        </w:rPr>
        <w:t xml:space="preserve"> Kenney, S.J. 2013. </w:t>
      </w:r>
      <w:r w:rsidRPr="00EE205D">
        <w:rPr>
          <w:rFonts w:ascii="Times New Roman" w:hAnsi="Times New Roman" w:cs="Times New Roman"/>
          <w:i/>
          <w:sz w:val="20"/>
          <w:szCs w:val="20"/>
        </w:rPr>
        <w:t>Gender and Justice: Why Women in the Judiciary Really Matter</w:t>
      </w:r>
      <w:r w:rsidRPr="00EE205D">
        <w:rPr>
          <w:rFonts w:ascii="Times New Roman" w:hAnsi="Times New Roman" w:cs="Times New Roman"/>
          <w:sz w:val="20"/>
          <w:szCs w:val="20"/>
        </w:rPr>
        <w:t>. New York: Routledge, 181.</w:t>
      </w:r>
    </w:p>
  </w:footnote>
  <w:footnote w:id="32">
    <w:p w14:paraId="0FE31A14" w14:textId="6C56D329" w:rsidR="005E0703" w:rsidRPr="00EE205D" w:rsidRDefault="005E0703" w:rsidP="009E1D71">
      <w:pPr>
        <w:jc w:val="both"/>
        <w:rPr>
          <w:rFonts w:ascii="Times New Roman" w:hAnsi="Times New Roman" w:cs="Times New Roman"/>
          <w:sz w:val="20"/>
          <w:szCs w:val="20"/>
        </w:rPr>
      </w:pPr>
      <w:r w:rsidRPr="00EE205D">
        <w:rPr>
          <w:rStyle w:val="FootnoteReference"/>
          <w:rFonts w:ascii="Times New Roman" w:hAnsi="Times New Roman" w:cs="Times New Roman"/>
          <w:sz w:val="20"/>
          <w:szCs w:val="20"/>
        </w:rPr>
        <w:footnoteRef/>
      </w:r>
      <w:r w:rsidRPr="00EE205D">
        <w:rPr>
          <w:rFonts w:ascii="Times New Roman" w:hAnsi="Times New Roman" w:cs="Times New Roman"/>
          <w:sz w:val="20"/>
          <w:szCs w:val="20"/>
        </w:rPr>
        <w:t xml:space="preserve"> See Dixon. R. 2010. Female Justices, Feminism, and the Politics of Judicial Appointment: A Re-examination. </w:t>
      </w:r>
      <w:r w:rsidRPr="00EE205D">
        <w:rPr>
          <w:rFonts w:ascii="Times New Roman" w:hAnsi="Times New Roman" w:cs="Times New Roman"/>
          <w:i/>
          <w:sz w:val="20"/>
          <w:szCs w:val="20"/>
        </w:rPr>
        <w:t>Yale Journal of Law and Feminism</w:t>
      </w:r>
      <w:r w:rsidRPr="00EE205D">
        <w:rPr>
          <w:rFonts w:ascii="Times New Roman" w:hAnsi="Times New Roman" w:cs="Times New Roman"/>
          <w:sz w:val="20"/>
          <w:szCs w:val="20"/>
        </w:rPr>
        <w:t xml:space="preserve"> 21(2): 297-338. Dixon claimed (at 297) to challenge the ‘feminist orthodoxy’ about the connection between a judge’s gender and ‘pro-feminist’ jurisprudential contributions</w:t>
      </w:r>
      <w:r w:rsidR="009B400A">
        <w:rPr>
          <w:rFonts w:ascii="Times New Roman" w:hAnsi="Times New Roman" w:cs="Times New Roman"/>
          <w:sz w:val="20"/>
          <w:szCs w:val="20"/>
        </w:rPr>
        <w:t xml:space="preserve">, </w:t>
      </w:r>
      <w:r w:rsidRPr="00EE205D">
        <w:rPr>
          <w:rFonts w:ascii="Times New Roman" w:hAnsi="Times New Roman" w:cs="Times New Roman"/>
          <w:sz w:val="20"/>
          <w:szCs w:val="20"/>
        </w:rPr>
        <w:t>by analysing the experiences and contributions made by women judges on the Canadian and United States Supreme Courts. Dixon’s argument aligns with Hunter (2008) and Kenney (2013) regarding the need to avoid conflating ‘woman judge’ and ‘feminist judge</w:t>
      </w:r>
      <w:r w:rsidR="009B400A">
        <w:rPr>
          <w:rFonts w:ascii="Times New Roman" w:hAnsi="Times New Roman" w:cs="Times New Roman"/>
          <w:sz w:val="20"/>
          <w:szCs w:val="20"/>
        </w:rPr>
        <w:t>’</w:t>
      </w:r>
      <w:r w:rsidRPr="00EE205D">
        <w:rPr>
          <w:rFonts w:ascii="Times New Roman" w:hAnsi="Times New Roman" w:cs="Times New Roman"/>
          <w:sz w:val="20"/>
          <w:szCs w:val="20"/>
        </w:rPr>
        <w:t>. In making her argument that feminists should support nominees on the basis of their feminist credentials rather than gender she also advocate</w:t>
      </w:r>
      <w:r w:rsidR="009B400A">
        <w:rPr>
          <w:rFonts w:ascii="Times New Roman" w:hAnsi="Times New Roman" w:cs="Times New Roman"/>
          <w:sz w:val="20"/>
          <w:szCs w:val="20"/>
        </w:rPr>
        <w:t>d</w:t>
      </w:r>
      <w:r w:rsidRPr="00EE205D">
        <w:rPr>
          <w:rFonts w:ascii="Times New Roman" w:hAnsi="Times New Roman" w:cs="Times New Roman"/>
          <w:sz w:val="20"/>
          <w:szCs w:val="20"/>
        </w:rPr>
        <w:t xml:space="preserve"> that feminists should support men judges who support feminist goals.</w:t>
      </w:r>
    </w:p>
  </w:footnote>
  <w:footnote w:id="33">
    <w:p w14:paraId="166C2738" w14:textId="77777777" w:rsidR="005E0703" w:rsidRPr="00EE205D" w:rsidRDefault="005E0703" w:rsidP="009E1D71">
      <w:pPr>
        <w:autoSpaceDE w:val="0"/>
        <w:autoSpaceDN w:val="0"/>
        <w:adjustRightInd w:val="0"/>
        <w:jc w:val="both"/>
        <w:rPr>
          <w:rFonts w:ascii="Times New Roman" w:eastAsia="Times New Roman" w:hAnsi="Times New Roman" w:cs="Times New Roman"/>
          <w:sz w:val="20"/>
          <w:szCs w:val="20"/>
        </w:rPr>
      </w:pPr>
      <w:r w:rsidRPr="00EE205D">
        <w:rPr>
          <w:rStyle w:val="FootnoteReference"/>
          <w:rFonts w:ascii="Times New Roman" w:hAnsi="Times New Roman" w:cs="Times New Roman"/>
          <w:sz w:val="20"/>
          <w:szCs w:val="20"/>
        </w:rPr>
        <w:footnoteRef/>
      </w:r>
      <w:r w:rsidRPr="00EE205D">
        <w:rPr>
          <w:rFonts w:ascii="Times New Roman" w:hAnsi="Times New Roman" w:cs="Times New Roman"/>
          <w:sz w:val="20"/>
          <w:szCs w:val="20"/>
        </w:rPr>
        <w:t xml:space="preserve"> See e.g. Baines, B. 2013. Must Feminist Judges Self-Identify as Feminists? </w:t>
      </w:r>
      <w:r w:rsidRPr="00EE205D">
        <w:rPr>
          <w:rFonts w:ascii="Times New Roman" w:eastAsia="Times New Roman" w:hAnsi="Times New Roman" w:cs="Times New Roman"/>
          <w:sz w:val="20"/>
          <w:szCs w:val="20"/>
        </w:rPr>
        <w:t xml:space="preserve">In U. Schultz and G. Shaw, eds. </w:t>
      </w:r>
      <w:r w:rsidRPr="00EE205D">
        <w:rPr>
          <w:rStyle w:val="italic"/>
          <w:rFonts w:ascii="Times New Roman" w:hAnsi="Times New Roman" w:cs="Times New Roman"/>
          <w:i/>
          <w:sz w:val="20"/>
          <w:szCs w:val="20"/>
        </w:rPr>
        <w:t>Gender and Judging</w:t>
      </w:r>
      <w:r w:rsidRPr="00EE205D">
        <w:rPr>
          <w:rFonts w:ascii="Times New Roman" w:eastAsia="Times New Roman" w:hAnsi="Times New Roman" w:cs="Times New Roman"/>
          <w:sz w:val="20"/>
          <w:szCs w:val="20"/>
        </w:rPr>
        <w:t>. Oxford: Hart Publishing.</w:t>
      </w:r>
    </w:p>
  </w:footnote>
  <w:footnote w:id="34">
    <w:p w14:paraId="4E293A6D" w14:textId="77777777" w:rsidR="005E0703" w:rsidRPr="00EE205D" w:rsidRDefault="005E0703" w:rsidP="009E1D71">
      <w:pPr>
        <w:autoSpaceDE w:val="0"/>
        <w:autoSpaceDN w:val="0"/>
        <w:adjustRightInd w:val="0"/>
        <w:jc w:val="both"/>
        <w:rPr>
          <w:rFonts w:ascii="Times New Roman" w:hAnsi="Times New Roman" w:cs="Times New Roman"/>
          <w:sz w:val="20"/>
          <w:szCs w:val="20"/>
        </w:rPr>
      </w:pPr>
      <w:r w:rsidRPr="00EE205D">
        <w:rPr>
          <w:rStyle w:val="FootnoteReference"/>
          <w:rFonts w:ascii="Times New Roman" w:hAnsi="Times New Roman" w:cs="Times New Roman"/>
          <w:sz w:val="20"/>
          <w:szCs w:val="20"/>
        </w:rPr>
        <w:footnoteRef/>
      </w:r>
      <w:r w:rsidRPr="00EE205D">
        <w:rPr>
          <w:rFonts w:ascii="Times New Roman" w:hAnsi="Times New Roman" w:cs="Times New Roman"/>
          <w:sz w:val="20"/>
          <w:szCs w:val="20"/>
        </w:rPr>
        <w:t xml:space="preserve"> Rackley, E. 2006. Difference in the House of Lords. </w:t>
      </w:r>
      <w:r w:rsidRPr="00EE205D">
        <w:rPr>
          <w:rFonts w:ascii="Times New Roman" w:hAnsi="Times New Roman" w:cs="Times New Roman"/>
          <w:i/>
          <w:sz w:val="20"/>
          <w:szCs w:val="20"/>
        </w:rPr>
        <w:t>Social and Legal Studies</w:t>
      </w:r>
      <w:r w:rsidRPr="00EE205D">
        <w:rPr>
          <w:rFonts w:ascii="Times New Roman" w:hAnsi="Times New Roman" w:cs="Times New Roman"/>
          <w:sz w:val="20"/>
          <w:szCs w:val="20"/>
        </w:rPr>
        <w:t xml:space="preserve"> 15(2): 163-185.</w:t>
      </w:r>
    </w:p>
  </w:footnote>
  <w:footnote w:id="35">
    <w:p w14:paraId="1EB35273" w14:textId="49075E24" w:rsidR="005E0703" w:rsidRPr="00EE205D" w:rsidRDefault="005E0703" w:rsidP="009E1D71">
      <w:pPr>
        <w:jc w:val="both"/>
        <w:rPr>
          <w:rFonts w:ascii="Times New Roman" w:hAnsi="Times New Roman"/>
          <w:sz w:val="20"/>
          <w:szCs w:val="20"/>
        </w:rPr>
      </w:pPr>
      <w:r w:rsidRPr="00EE205D">
        <w:rPr>
          <w:rStyle w:val="FootnoteReference"/>
          <w:rFonts w:ascii="Times New Roman" w:hAnsi="Times New Roman" w:cs="Times New Roman"/>
          <w:sz w:val="20"/>
          <w:szCs w:val="20"/>
        </w:rPr>
        <w:footnoteRef/>
      </w:r>
      <w:r w:rsidRPr="00EE205D">
        <w:rPr>
          <w:rFonts w:ascii="Times New Roman" w:hAnsi="Times New Roman" w:cs="Times New Roman"/>
          <w:sz w:val="20"/>
          <w:szCs w:val="20"/>
        </w:rPr>
        <w:t xml:space="preserve"> There has been considerable interest in Justice Gaudron’s jurisprudential legacy, and no doubt much of this interest arises from her status as the first woman appointed to the High Court of Australia. Recognising the ‘distinctive contribution of the first and only woman High Court Justice of Australia’ was referenced in Rubenstein’s introduction to the </w:t>
      </w:r>
      <w:r w:rsidRPr="00EE205D">
        <w:rPr>
          <w:rFonts w:ascii="Times New Roman" w:hAnsi="Times New Roman" w:cs="Times New Roman"/>
          <w:i/>
          <w:sz w:val="20"/>
          <w:szCs w:val="20"/>
        </w:rPr>
        <w:t>Public Law Review</w:t>
      </w:r>
      <w:r w:rsidR="009B400A">
        <w:rPr>
          <w:rFonts w:ascii="Times New Roman" w:hAnsi="Times New Roman" w:cs="Times New Roman"/>
          <w:sz w:val="20"/>
          <w:szCs w:val="20"/>
        </w:rPr>
        <w:t xml:space="preserve"> c</w:t>
      </w:r>
      <w:r w:rsidRPr="00EE205D">
        <w:rPr>
          <w:rFonts w:ascii="Times New Roman" w:hAnsi="Times New Roman" w:cs="Times New Roman"/>
          <w:sz w:val="20"/>
          <w:szCs w:val="20"/>
        </w:rPr>
        <w:t>ollection</w:t>
      </w:r>
      <w:r w:rsidR="009B400A">
        <w:rPr>
          <w:rFonts w:ascii="Times New Roman" w:hAnsi="Times New Roman" w:cs="Times New Roman"/>
          <w:sz w:val="20"/>
          <w:szCs w:val="20"/>
        </w:rPr>
        <w:t xml:space="preserve"> honouring Justice Mary Gaudron</w:t>
      </w:r>
      <w:r w:rsidRPr="00EE205D">
        <w:rPr>
          <w:rFonts w:ascii="Times New Roman" w:hAnsi="Times New Roman" w:cs="Times New Roman"/>
          <w:sz w:val="20"/>
          <w:szCs w:val="20"/>
        </w:rPr>
        <w:t>. See Rubenstein, K. 2004. Introdu</w:t>
      </w:r>
      <w:r w:rsidR="009B400A">
        <w:rPr>
          <w:rFonts w:ascii="Times New Roman" w:hAnsi="Times New Roman" w:cs="Times New Roman"/>
          <w:sz w:val="20"/>
          <w:szCs w:val="20"/>
        </w:rPr>
        <w:t>ction to the Public Law Review Collection H</w:t>
      </w:r>
      <w:r w:rsidRPr="00EE205D">
        <w:rPr>
          <w:rFonts w:ascii="Times New Roman" w:hAnsi="Times New Roman" w:cs="Times New Roman"/>
          <w:sz w:val="20"/>
          <w:szCs w:val="20"/>
        </w:rPr>
        <w:t xml:space="preserve">onouring Justice Mary Gaudron. </w:t>
      </w:r>
      <w:r w:rsidRPr="00EE205D">
        <w:rPr>
          <w:rFonts w:ascii="Times New Roman" w:hAnsi="Times New Roman" w:cs="Times New Roman"/>
          <w:i/>
          <w:sz w:val="20"/>
          <w:szCs w:val="20"/>
        </w:rPr>
        <w:t>Public Law Review</w:t>
      </w:r>
      <w:r w:rsidRPr="00EE205D">
        <w:rPr>
          <w:rFonts w:ascii="Times New Roman" w:hAnsi="Times New Roman" w:cs="Times New Roman"/>
          <w:sz w:val="20"/>
          <w:szCs w:val="20"/>
        </w:rPr>
        <w:t xml:space="preserve"> 15: 281-282.</w:t>
      </w:r>
    </w:p>
  </w:footnote>
  <w:footnote w:id="36">
    <w:p w14:paraId="606EBA00" w14:textId="77777777" w:rsidR="005E0703" w:rsidRPr="009E1D71" w:rsidRDefault="005E0703" w:rsidP="009E1D71">
      <w:pPr>
        <w:autoSpaceDE w:val="0"/>
        <w:autoSpaceDN w:val="0"/>
        <w:adjustRightInd w:val="0"/>
        <w:jc w:val="both"/>
        <w:rPr>
          <w:rFonts w:ascii="Times New Roman" w:hAnsi="Times New Roman" w:cs="Times New Roman"/>
          <w:iCs/>
          <w:sz w:val="20"/>
          <w:szCs w:val="20"/>
        </w:rPr>
      </w:pPr>
      <w:r w:rsidRPr="009E1D71">
        <w:rPr>
          <w:rStyle w:val="FootnoteReference"/>
          <w:rFonts w:ascii="Times New Roman" w:hAnsi="Times New Roman" w:cs="Times New Roman"/>
          <w:sz w:val="20"/>
          <w:szCs w:val="20"/>
        </w:rPr>
        <w:footnoteRef/>
      </w:r>
      <w:r w:rsidRPr="009E1D71">
        <w:rPr>
          <w:rFonts w:ascii="Times New Roman" w:hAnsi="Times New Roman" w:cs="Times New Roman"/>
          <w:sz w:val="20"/>
          <w:szCs w:val="20"/>
        </w:rPr>
        <w:t xml:space="preserve"> </w:t>
      </w:r>
      <w:r w:rsidRPr="009E1D71">
        <w:rPr>
          <w:rFonts w:ascii="Times New Roman" w:eastAsia="Times New Roman" w:hAnsi="Times New Roman" w:cs="Times New Roman"/>
          <w:sz w:val="20"/>
          <w:szCs w:val="20"/>
        </w:rPr>
        <w:t xml:space="preserve">Hunter, R. 2013. Justice Marcia Neave: Case Study of a Feminist Judge. In U. Schultz and G. Shaw eds. </w:t>
      </w:r>
      <w:r w:rsidRPr="009E1D71">
        <w:rPr>
          <w:rStyle w:val="italic"/>
          <w:rFonts w:ascii="Times New Roman" w:hAnsi="Times New Roman" w:cs="Times New Roman"/>
          <w:i/>
          <w:sz w:val="20"/>
          <w:szCs w:val="20"/>
        </w:rPr>
        <w:t>Gender and Judging</w:t>
      </w:r>
      <w:r w:rsidRPr="009E1D71">
        <w:rPr>
          <w:rFonts w:ascii="Times New Roman" w:eastAsia="Times New Roman" w:hAnsi="Times New Roman" w:cs="Times New Roman"/>
          <w:sz w:val="20"/>
          <w:szCs w:val="20"/>
        </w:rPr>
        <w:t>. Oxford: Hart Publishing.</w:t>
      </w:r>
    </w:p>
  </w:footnote>
  <w:footnote w:id="37">
    <w:p w14:paraId="12E282FF" w14:textId="4AF387DC" w:rsidR="005E0703" w:rsidRPr="009E1D71" w:rsidRDefault="005E0703">
      <w:pPr>
        <w:pStyle w:val="FootnoteText"/>
        <w:rPr>
          <w:sz w:val="20"/>
          <w:szCs w:val="20"/>
          <w:lang w:val="en-US"/>
        </w:rPr>
      </w:pPr>
      <w:r w:rsidRPr="009E1D71">
        <w:rPr>
          <w:rStyle w:val="FootnoteReference"/>
          <w:sz w:val="20"/>
          <w:szCs w:val="20"/>
        </w:rPr>
        <w:footnoteRef/>
      </w:r>
      <w:r w:rsidRPr="009E1D71">
        <w:rPr>
          <w:sz w:val="20"/>
          <w:szCs w:val="20"/>
        </w:rPr>
        <w:t xml:space="preserve"> Hunter, R. 2015. More than Just a Different Face? J</w:t>
      </w:r>
      <w:r w:rsidR="00A50510">
        <w:rPr>
          <w:sz w:val="20"/>
          <w:szCs w:val="20"/>
        </w:rPr>
        <w:t>udicial Diversity and Decision-M</w:t>
      </w:r>
      <w:r w:rsidRPr="009E1D71">
        <w:rPr>
          <w:sz w:val="20"/>
          <w:szCs w:val="20"/>
        </w:rPr>
        <w:t xml:space="preserve">aking. </w:t>
      </w:r>
      <w:r w:rsidRPr="009E1D71">
        <w:rPr>
          <w:i/>
          <w:sz w:val="20"/>
          <w:szCs w:val="20"/>
        </w:rPr>
        <w:t>Current Legal Problems</w:t>
      </w:r>
      <w:r w:rsidR="009B400A">
        <w:rPr>
          <w:sz w:val="20"/>
          <w:szCs w:val="20"/>
        </w:rPr>
        <w:t xml:space="preserve"> 68</w:t>
      </w:r>
      <w:r w:rsidRPr="009E1D71">
        <w:rPr>
          <w:sz w:val="20"/>
          <w:szCs w:val="20"/>
        </w:rPr>
        <w:t>: 1</w:t>
      </w:r>
      <w:r w:rsidR="009B400A">
        <w:rPr>
          <w:sz w:val="20"/>
          <w:szCs w:val="20"/>
        </w:rPr>
        <w:t>19-141, 133</w:t>
      </w:r>
      <w:r w:rsidRPr="009E1D71">
        <w:rPr>
          <w:sz w:val="20"/>
          <w:szCs w:val="20"/>
        </w:rPr>
        <w:t>.</w:t>
      </w:r>
    </w:p>
  </w:footnote>
  <w:footnote w:id="38">
    <w:p w14:paraId="4E2B27C3" w14:textId="593573A5" w:rsidR="005E0703" w:rsidRPr="00FC4A5A" w:rsidRDefault="005E0703" w:rsidP="00167F80">
      <w:pPr>
        <w:pStyle w:val="FootnoteText"/>
        <w:jc w:val="both"/>
        <w:rPr>
          <w:lang w:val="en-US"/>
        </w:rPr>
      </w:pPr>
      <w:r w:rsidRPr="00167F80">
        <w:rPr>
          <w:rStyle w:val="FootnoteReference"/>
          <w:sz w:val="20"/>
          <w:szCs w:val="20"/>
        </w:rPr>
        <w:footnoteRef/>
      </w:r>
      <w:r w:rsidRPr="00167F80">
        <w:rPr>
          <w:sz w:val="20"/>
          <w:szCs w:val="20"/>
        </w:rPr>
        <w:t xml:space="preserve"> H. Douglas, F. Bartlett, T. Luker and R. Hunter eds. </w:t>
      </w:r>
      <w:r>
        <w:rPr>
          <w:sz w:val="20"/>
          <w:szCs w:val="20"/>
        </w:rPr>
        <w:t xml:space="preserve">2014. </w:t>
      </w:r>
      <w:r w:rsidRPr="00167F80">
        <w:rPr>
          <w:i/>
          <w:sz w:val="20"/>
          <w:szCs w:val="20"/>
        </w:rPr>
        <w:t xml:space="preserve">Australian Feminist Judgments: Righting and Rewriting Law. </w:t>
      </w:r>
      <w:r w:rsidRPr="00167F80">
        <w:rPr>
          <w:sz w:val="20"/>
          <w:szCs w:val="20"/>
        </w:rPr>
        <w:t>Oxford: Hart Publishing.</w:t>
      </w:r>
    </w:p>
  </w:footnote>
  <w:footnote w:id="39">
    <w:p w14:paraId="169FC3E6" w14:textId="2699156C" w:rsidR="005E0703" w:rsidRPr="00B81C67" w:rsidRDefault="005E0703" w:rsidP="002F2635">
      <w:pPr>
        <w:autoSpaceDE w:val="0"/>
        <w:autoSpaceDN w:val="0"/>
        <w:adjustRightInd w:val="0"/>
        <w:ind w:left="-11"/>
        <w:jc w:val="both"/>
        <w:rPr>
          <w:rFonts w:ascii="Times New Roman" w:hAnsi="Times New Roman" w:cs="Times New Roman"/>
          <w:sz w:val="20"/>
          <w:szCs w:val="20"/>
        </w:rPr>
      </w:pPr>
      <w:r w:rsidRPr="002F2635">
        <w:rPr>
          <w:rStyle w:val="FootnoteReference"/>
          <w:rFonts w:ascii="Times New Roman" w:hAnsi="Times New Roman" w:cs="Times New Roman"/>
          <w:sz w:val="20"/>
          <w:szCs w:val="20"/>
        </w:rPr>
        <w:footnoteRef/>
      </w:r>
      <w:r w:rsidRPr="002F2635">
        <w:rPr>
          <w:rFonts w:ascii="Times New Roman" w:hAnsi="Times New Roman" w:cs="Times New Roman"/>
          <w:sz w:val="20"/>
          <w:szCs w:val="20"/>
        </w:rPr>
        <w:t xml:space="preserve"> McMurdo, M. 2014. Address at the Launch of the Book ‘Australian Feminist Judgments: Writing and Re-writing Law’. Speech. 2 December</w:t>
      </w:r>
      <w:r w:rsidR="00B81C67">
        <w:rPr>
          <w:rFonts w:ascii="Times New Roman" w:hAnsi="Times New Roman" w:cs="Times New Roman"/>
          <w:sz w:val="20"/>
          <w:szCs w:val="20"/>
        </w:rPr>
        <w:t xml:space="preserve"> 2014</w:t>
      </w:r>
      <w:r w:rsidRPr="002F2635">
        <w:rPr>
          <w:rFonts w:ascii="Times New Roman" w:hAnsi="Times New Roman" w:cs="Times New Roman"/>
          <w:sz w:val="20"/>
          <w:szCs w:val="20"/>
        </w:rPr>
        <w:t xml:space="preserve">. Banco Court, Brisbane, 1. </w:t>
      </w:r>
      <w:hyperlink r:id="rId8" w:history="1">
        <w:r w:rsidR="00B81C67" w:rsidRPr="00534983">
          <w:rPr>
            <w:rStyle w:val="Hyperlink"/>
            <w:rFonts w:ascii="Times New Roman" w:hAnsi="Times New Roman" w:cs="Times New Roman"/>
            <w:sz w:val="20"/>
            <w:szCs w:val="20"/>
          </w:rPr>
          <w:t>http://www.law.uq.edu.au/documents/afjp/Justice-McMurdo-Launch-speech-021214.pdf</w:t>
        </w:r>
      </w:hyperlink>
      <w:r w:rsidR="00B81C67">
        <w:rPr>
          <w:rStyle w:val="Hyperlink"/>
          <w:rFonts w:ascii="Times New Roman" w:hAnsi="Times New Roman" w:cs="Times New Roman"/>
          <w:color w:val="auto"/>
          <w:sz w:val="20"/>
          <w:szCs w:val="20"/>
          <w:u w:val="none"/>
        </w:rPr>
        <w:t>.</w:t>
      </w:r>
    </w:p>
  </w:footnote>
  <w:footnote w:id="40">
    <w:p w14:paraId="0A2B1D75" w14:textId="77777777" w:rsidR="005E0703" w:rsidRPr="009E1D71" w:rsidRDefault="005E0703">
      <w:pPr>
        <w:pStyle w:val="FootnoteText"/>
        <w:rPr>
          <w:lang w:val="en-US"/>
        </w:rPr>
      </w:pPr>
      <w:r w:rsidRPr="002F2635">
        <w:rPr>
          <w:rStyle w:val="FootnoteReference"/>
          <w:sz w:val="20"/>
          <w:szCs w:val="20"/>
        </w:rPr>
        <w:footnoteRef/>
      </w:r>
      <w:r w:rsidRPr="002F2635">
        <w:rPr>
          <w:sz w:val="20"/>
          <w:szCs w:val="20"/>
        </w:rPr>
        <w:t xml:space="preserve"> </w:t>
      </w:r>
      <w:r w:rsidRPr="002F2635">
        <w:rPr>
          <w:sz w:val="20"/>
          <w:szCs w:val="20"/>
          <w:lang w:val="en-US"/>
        </w:rPr>
        <w:t>Ibid, 2.</w:t>
      </w:r>
    </w:p>
  </w:footnote>
  <w:footnote w:id="41">
    <w:p w14:paraId="3A361848" w14:textId="5566F1B1" w:rsidR="005E0703" w:rsidRPr="009E1D71" w:rsidRDefault="005E0703" w:rsidP="009E1D71">
      <w:pPr>
        <w:autoSpaceDE w:val="0"/>
        <w:autoSpaceDN w:val="0"/>
        <w:adjustRightInd w:val="0"/>
        <w:ind w:left="-11"/>
        <w:jc w:val="both"/>
        <w:rPr>
          <w:rFonts w:ascii="Times New Roman" w:hAnsi="Times New Roman" w:cs="Times New Roman"/>
          <w:sz w:val="20"/>
          <w:szCs w:val="20"/>
        </w:rPr>
      </w:pPr>
      <w:r w:rsidRPr="009E1D71">
        <w:rPr>
          <w:rStyle w:val="FootnoteReference"/>
          <w:rFonts w:ascii="Times New Roman" w:hAnsi="Times New Roman" w:cs="Times New Roman"/>
          <w:sz w:val="20"/>
          <w:szCs w:val="20"/>
        </w:rPr>
        <w:footnoteRef/>
      </w:r>
      <w:r w:rsidRPr="009E1D71">
        <w:rPr>
          <w:rFonts w:ascii="Times New Roman" w:hAnsi="Times New Roman" w:cs="Times New Roman"/>
          <w:sz w:val="20"/>
          <w:szCs w:val="20"/>
        </w:rPr>
        <w:t xml:space="preserve"> For a discussion </w:t>
      </w:r>
      <w:r w:rsidR="00637E77">
        <w:rPr>
          <w:rFonts w:ascii="Times New Roman" w:hAnsi="Times New Roman" w:cs="Times New Roman"/>
          <w:sz w:val="20"/>
          <w:szCs w:val="20"/>
        </w:rPr>
        <w:t>of</w:t>
      </w:r>
      <w:r w:rsidRPr="009E1D71">
        <w:rPr>
          <w:rFonts w:ascii="Times New Roman" w:hAnsi="Times New Roman" w:cs="Times New Roman"/>
          <w:sz w:val="20"/>
          <w:szCs w:val="20"/>
        </w:rPr>
        <w:t xml:space="preserve"> Her Honour’s views about consensus and judgment writing, see Kiefel, S. 2014. The Individual Judge. Speech delivered at the 2014 Sir Richard Blackburn Lecture, 13 May</w:t>
      </w:r>
      <w:r w:rsidR="00637E77">
        <w:rPr>
          <w:rFonts w:ascii="Times New Roman" w:hAnsi="Times New Roman" w:cs="Times New Roman"/>
          <w:sz w:val="20"/>
          <w:szCs w:val="20"/>
        </w:rPr>
        <w:t xml:space="preserve"> 2014</w:t>
      </w:r>
      <w:r w:rsidRPr="009E1D71">
        <w:rPr>
          <w:rFonts w:ascii="Times New Roman" w:hAnsi="Times New Roman" w:cs="Times New Roman"/>
          <w:sz w:val="20"/>
          <w:szCs w:val="20"/>
        </w:rPr>
        <w:t>. C</w:t>
      </w:r>
      <w:r w:rsidR="00637E77">
        <w:rPr>
          <w:rFonts w:ascii="Times New Roman" w:hAnsi="Times New Roman" w:cs="Times New Roman"/>
          <w:sz w:val="20"/>
          <w:szCs w:val="20"/>
        </w:rPr>
        <w:t xml:space="preserve">anberra: ACT Law Society. </w:t>
      </w:r>
      <w:hyperlink r:id="rId9" w:history="1">
        <w:r w:rsidR="00637E77" w:rsidRPr="00534983">
          <w:rPr>
            <w:rStyle w:val="Hyperlink"/>
            <w:rFonts w:ascii="Times New Roman" w:hAnsi="Times New Roman" w:cs="Times New Roman"/>
            <w:sz w:val="20"/>
            <w:szCs w:val="20"/>
          </w:rPr>
          <w:t>https://www.actlawsociety.asn.au/documents/item/944</w:t>
        </w:r>
      </w:hyperlink>
      <w:r w:rsidR="00637E77">
        <w:rPr>
          <w:rFonts w:ascii="Times New Roman" w:hAnsi="Times New Roman" w:cs="Times New Roman"/>
          <w:sz w:val="20"/>
          <w:szCs w:val="20"/>
        </w:rPr>
        <w:t xml:space="preserve">. </w:t>
      </w:r>
    </w:p>
  </w:footnote>
  <w:footnote w:id="42">
    <w:p w14:paraId="484E5E2B" w14:textId="7BDABC2F" w:rsidR="005E0703" w:rsidRPr="009E1D71" w:rsidRDefault="005E0703" w:rsidP="00637E77">
      <w:pPr>
        <w:pStyle w:val="FootnoteText"/>
        <w:jc w:val="both"/>
        <w:rPr>
          <w:lang w:val="en-US"/>
        </w:rPr>
      </w:pPr>
      <w:r w:rsidRPr="009E1D71">
        <w:rPr>
          <w:rStyle w:val="FootnoteReference"/>
          <w:sz w:val="20"/>
          <w:szCs w:val="20"/>
        </w:rPr>
        <w:footnoteRef/>
      </w:r>
      <w:r w:rsidR="00637E77">
        <w:rPr>
          <w:sz w:val="20"/>
          <w:szCs w:val="20"/>
        </w:rPr>
        <w:t xml:space="preserve"> See </w:t>
      </w:r>
      <w:r w:rsidRPr="009E1D71">
        <w:rPr>
          <w:sz w:val="20"/>
          <w:szCs w:val="20"/>
        </w:rPr>
        <w:t>McLoughlin</w:t>
      </w:r>
      <w:r w:rsidR="00637E77">
        <w:rPr>
          <w:sz w:val="20"/>
          <w:szCs w:val="20"/>
        </w:rPr>
        <w:t>, K. 2016. “C</w:t>
      </w:r>
      <w:r w:rsidRPr="009E1D71">
        <w:rPr>
          <w:sz w:val="20"/>
          <w:szCs w:val="20"/>
        </w:rPr>
        <w:t xml:space="preserve">ollegiality is not Compromise”: Farewell Justice Crennan, the Consensus Woman. </w:t>
      </w:r>
      <w:r w:rsidRPr="009E1D71">
        <w:rPr>
          <w:i/>
          <w:sz w:val="20"/>
          <w:szCs w:val="20"/>
        </w:rPr>
        <w:t>Australian Feminist Law Journal</w:t>
      </w:r>
      <w:r w:rsidR="00637E77">
        <w:rPr>
          <w:i/>
          <w:sz w:val="20"/>
          <w:szCs w:val="20"/>
        </w:rPr>
        <w:t xml:space="preserve"> </w:t>
      </w:r>
      <w:r w:rsidR="00637E77">
        <w:rPr>
          <w:sz w:val="20"/>
          <w:szCs w:val="20"/>
        </w:rPr>
        <w:t>42(2): 241-271</w:t>
      </w:r>
      <w:r w:rsidRPr="009E1D71">
        <w:rPr>
          <w:sz w:val="20"/>
          <w:szCs w:val="20"/>
        </w:rPr>
        <w:t xml:space="preserve">. </w:t>
      </w:r>
      <w:r w:rsidRPr="009E1D71">
        <w:rPr>
          <w:sz w:val="20"/>
          <w:szCs w:val="20"/>
          <w:lang w:val="en-US"/>
        </w:rPr>
        <w:t xml:space="preserve">I examine the </w:t>
      </w:r>
      <w:r w:rsidRPr="009E1D71">
        <w:rPr>
          <w:sz w:val="20"/>
          <w:szCs w:val="20"/>
        </w:rPr>
        <w:t xml:space="preserve">legacy Justice Crennan and others sought to craft upon her retirement from the Court and I argue that </w:t>
      </w:r>
      <w:r w:rsidR="00637E77">
        <w:rPr>
          <w:sz w:val="20"/>
          <w:szCs w:val="20"/>
        </w:rPr>
        <w:t>her</w:t>
      </w:r>
      <w:r w:rsidRPr="009E1D71">
        <w:rPr>
          <w:sz w:val="20"/>
          <w:szCs w:val="20"/>
        </w:rPr>
        <w:t xml:space="preserve"> remarks in the year of her retirement represent a marked shift in her </w:t>
      </w:r>
      <w:r w:rsidRPr="009E1D71">
        <w:rPr>
          <w:rFonts w:eastAsia="BatangChe"/>
          <w:sz w:val="20"/>
          <w:szCs w:val="20"/>
        </w:rPr>
        <w:t xml:space="preserve">impression of (or even willingness to speak publically about) the </w:t>
      </w:r>
      <w:r w:rsidRPr="009E1D71">
        <w:rPr>
          <w:sz w:val="20"/>
          <w:szCs w:val="20"/>
        </w:rPr>
        <w:t>interaction between gender and judicial identity.</w:t>
      </w:r>
    </w:p>
  </w:footnote>
  <w:footnote w:id="43">
    <w:p w14:paraId="017F7390" w14:textId="6953050A" w:rsidR="005E0703" w:rsidRPr="009E1D71" w:rsidRDefault="005E0703" w:rsidP="00A11407">
      <w:pPr>
        <w:pStyle w:val="FootnoteText"/>
        <w:rPr>
          <w:sz w:val="20"/>
          <w:szCs w:val="20"/>
          <w:lang w:val="en-US"/>
        </w:rPr>
      </w:pPr>
      <w:r w:rsidRPr="009E1D71">
        <w:rPr>
          <w:rStyle w:val="FootnoteReference"/>
          <w:sz w:val="20"/>
          <w:szCs w:val="20"/>
        </w:rPr>
        <w:footnoteRef/>
      </w:r>
      <w:r w:rsidRPr="009E1D71">
        <w:rPr>
          <w:sz w:val="20"/>
          <w:szCs w:val="20"/>
        </w:rPr>
        <w:t xml:space="preserve"> </w:t>
      </w:r>
      <w:hyperlink r:id="rId10" w:history="1">
        <w:r w:rsidRPr="009E1D71">
          <w:rPr>
            <w:sz w:val="20"/>
            <w:szCs w:val="20"/>
          </w:rPr>
          <w:t>Filipovic</w:t>
        </w:r>
      </w:hyperlink>
      <w:r w:rsidRPr="009E1D71">
        <w:rPr>
          <w:sz w:val="20"/>
          <w:szCs w:val="20"/>
        </w:rPr>
        <w:t xml:space="preserve">, J. 2012.  Justice Ginsburg's distant dream of an all-female supreme court.  </w:t>
      </w:r>
      <w:r w:rsidRPr="009E1D71">
        <w:rPr>
          <w:i/>
          <w:sz w:val="20"/>
          <w:szCs w:val="20"/>
        </w:rPr>
        <w:t>The Guardian</w:t>
      </w:r>
      <w:r w:rsidR="00637E77">
        <w:rPr>
          <w:sz w:val="20"/>
          <w:szCs w:val="20"/>
        </w:rPr>
        <w:t xml:space="preserve">, 1 December 2012. </w:t>
      </w:r>
      <w:hyperlink r:id="rId11" w:history="1">
        <w:r w:rsidRPr="009E1D71">
          <w:rPr>
            <w:rStyle w:val="Hyperlink"/>
            <w:sz w:val="20"/>
            <w:szCs w:val="20"/>
          </w:rPr>
          <w:t>http://www.theguardian.com/commentisfree/2012/nov/30/justice-ginsburg-all-female-supreme-court</w:t>
        </w:r>
      </w:hyperlink>
      <w:r w:rsidRPr="00637E77">
        <w:rPr>
          <w:rStyle w:val="Hyperlink"/>
          <w:color w:val="auto"/>
          <w:sz w:val="20"/>
          <w:szCs w:val="20"/>
          <w:u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30BA" w14:textId="6C16816A" w:rsidR="00D3535D" w:rsidRDefault="00D3535D" w:rsidP="00D3535D">
    <w:pPr>
      <w:pStyle w:val="Header"/>
      <w:tabs>
        <w:tab w:val="clear" w:pos="4513"/>
        <w:tab w:val="clear" w:pos="9026"/>
        <w:tab w:val="right" w:pos="8222"/>
      </w:tabs>
      <w:rPr>
        <w:sz w:val="22"/>
        <w:szCs w:val="22"/>
      </w:rPr>
    </w:pPr>
    <w:r>
      <w:rPr>
        <w:sz w:val="22"/>
        <w:szCs w:val="22"/>
      </w:rPr>
      <w:t>Kcasey McLoughlin</w:t>
    </w:r>
    <w:r>
      <w:rPr>
        <w:sz w:val="22"/>
        <w:szCs w:val="22"/>
      </w:rPr>
      <w:tab/>
      <w:t>Women judges and the High Court of Australia</w:t>
    </w:r>
  </w:p>
  <w:p w14:paraId="366FB825" w14:textId="76F827FF" w:rsidR="00D3535D" w:rsidRPr="00D3535D" w:rsidRDefault="00D3535D" w:rsidP="00D3535D">
    <w:pPr>
      <w:pStyle w:val="Header"/>
      <w:tabs>
        <w:tab w:val="clear" w:pos="4513"/>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ABD5" w14:textId="3917F1BB" w:rsidR="00D3535D" w:rsidRDefault="00D3535D" w:rsidP="00D3535D">
    <w:pPr>
      <w:pStyle w:val="Header"/>
      <w:tabs>
        <w:tab w:val="clear" w:pos="9026"/>
        <w:tab w:val="right" w:pos="8222"/>
      </w:tabs>
      <w:rPr>
        <w:sz w:val="22"/>
        <w:szCs w:val="22"/>
      </w:rPr>
    </w:pPr>
    <w:r>
      <w:rPr>
        <w:i/>
        <w:sz w:val="22"/>
        <w:szCs w:val="22"/>
      </w:rPr>
      <w:t>feminists@law</w:t>
    </w:r>
    <w:r>
      <w:rPr>
        <w:sz w:val="22"/>
        <w:szCs w:val="22"/>
      </w:rPr>
      <w:tab/>
    </w:r>
    <w:r>
      <w:rPr>
        <w:sz w:val="22"/>
        <w:szCs w:val="22"/>
      </w:rPr>
      <w:tab/>
      <w:t>Vol 7, No 2 (2017)</w:t>
    </w:r>
  </w:p>
  <w:p w14:paraId="277E733F" w14:textId="66A17576" w:rsidR="00D3535D" w:rsidRPr="00D3535D" w:rsidRDefault="00D3535D" w:rsidP="00D3535D">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1"/>
    <w:rsid w:val="000116A3"/>
    <w:rsid w:val="000133AC"/>
    <w:rsid w:val="00014F37"/>
    <w:rsid w:val="000242A3"/>
    <w:rsid w:val="0002594C"/>
    <w:rsid w:val="0006314F"/>
    <w:rsid w:val="000673ED"/>
    <w:rsid w:val="000A2D15"/>
    <w:rsid w:val="000A4E8A"/>
    <w:rsid w:val="000B7285"/>
    <w:rsid w:val="000F5306"/>
    <w:rsid w:val="00167F80"/>
    <w:rsid w:val="001F2169"/>
    <w:rsid w:val="00204B91"/>
    <w:rsid w:val="00213241"/>
    <w:rsid w:val="002339F4"/>
    <w:rsid w:val="00241495"/>
    <w:rsid w:val="00266A0A"/>
    <w:rsid w:val="00296DD5"/>
    <w:rsid w:val="0029776E"/>
    <w:rsid w:val="002B5F23"/>
    <w:rsid w:val="002B71E0"/>
    <w:rsid w:val="002C2A22"/>
    <w:rsid w:val="002D4724"/>
    <w:rsid w:val="002E266F"/>
    <w:rsid w:val="002E669E"/>
    <w:rsid w:val="002F038B"/>
    <w:rsid w:val="002F2635"/>
    <w:rsid w:val="00306976"/>
    <w:rsid w:val="00316662"/>
    <w:rsid w:val="00335FF3"/>
    <w:rsid w:val="00343311"/>
    <w:rsid w:val="00355289"/>
    <w:rsid w:val="00360768"/>
    <w:rsid w:val="00371C65"/>
    <w:rsid w:val="003D0420"/>
    <w:rsid w:val="003E6BE5"/>
    <w:rsid w:val="00424D9B"/>
    <w:rsid w:val="00434A79"/>
    <w:rsid w:val="00434A80"/>
    <w:rsid w:val="004A6599"/>
    <w:rsid w:val="004B15E8"/>
    <w:rsid w:val="004B54B2"/>
    <w:rsid w:val="005035C7"/>
    <w:rsid w:val="00507EA1"/>
    <w:rsid w:val="00526907"/>
    <w:rsid w:val="005352AE"/>
    <w:rsid w:val="00562968"/>
    <w:rsid w:val="005A02C5"/>
    <w:rsid w:val="005E0703"/>
    <w:rsid w:val="0060356D"/>
    <w:rsid w:val="00637E77"/>
    <w:rsid w:val="00664502"/>
    <w:rsid w:val="00677E69"/>
    <w:rsid w:val="006E1C02"/>
    <w:rsid w:val="00706D31"/>
    <w:rsid w:val="00716744"/>
    <w:rsid w:val="0075771C"/>
    <w:rsid w:val="00765FDF"/>
    <w:rsid w:val="00793214"/>
    <w:rsid w:val="007E2E25"/>
    <w:rsid w:val="00800286"/>
    <w:rsid w:val="00800B99"/>
    <w:rsid w:val="00802759"/>
    <w:rsid w:val="00814BEA"/>
    <w:rsid w:val="00850D88"/>
    <w:rsid w:val="008511E9"/>
    <w:rsid w:val="008B3392"/>
    <w:rsid w:val="008D04D9"/>
    <w:rsid w:val="008D600C"/>
    <w:rsid w:val="00905F2A"/>
    <w:rsid w:val="0096007C"/>
    <w:rsid w:val="00982FD9"/>
    <w:rsid w:val="009B400A"/>
    <w:rsid w:val="009C54EF"/>
    <w:rsid w:val="009E1D71"/>
    <w:rsid w:val="009E7A28"/>
    <w:rsid w:val="00A11407"/>
    <w:rsid w:val="00A50510"/>
    <w:rsid w:val="00A530FF"/>
    <w:rsid w:val="00A81DAB"/>
    <w:rsid w:val="00A86F17"/>
    <w:rsid w:val="00A92519"/>
    <w:rsid w:val="00AA0555"/>
    <w:rsid w:val="00AB3193"/>
    <w:rsid w:val="00AD7BCE"/>
    <w:rsid w:val="00B21B50"/>
    <w:rsid w:val="00B33BB1"/>
    <w:rsid w:val="00B55D37"/>
    <w:rsid w:val="00B56636"/>
    <w:rsid w:val="00B81C67"/>
    <w:rsid w:val="00B97227"/>
    <w:rsid w:val="00BB7B8C"/>
    <w:rsid w:val="00BC133A"/>
    <w:rsid w:val="00BE0A40"/>
    <w:rsid w:val="00C16D04"/>
    <w:rsid w:val="00C37AB3"/>
    <w:rsid w:val="00C70D1F"/>
    <w:rsid w:val="00CF1E1E"/>
    <w:rsid w:val="00CF51FB"/>
    <w:rsid w:val="00D07EBB"/>
    <w:rsid w:val="00D20DE3"/>
    <w:rsid w:val="00D20E12"/>
    <w:rsid w:val="00D3535D"/>
    <w:rsid w:val="00D457C9"/>
    <w:rsid w:val="00D4687F"/>
    <w:rsid w:val="00D47390"/>
    <w:rsid w:val="00D63AE6"/>
    <w:rsid w:val="00D87A68"/>
    <w:rsid w:val="00D966FF"/>
    <w:rsid w:val="00D971A4"/>
    <w:rsid w:val="00DA236D"/>
    <w:rsid w:val="00E26673"/>
    <w:rsid w:val="00E453A6"/>
    <w:rsid w:val="00E73449"/>
    <w:rsid w:val="00EC2CD7"/>
    <w:rsid w:val="00F20494"/>
    <w:rsid w:val="00F92321"/>
    <w:rsid w:val="00F94448"/>
    <w:rsid w:val="00FC4A5A"/>
    <w:rsid w:val="00FD09BF"/>
    <w:rsid w:val="00FD1371"/>
    <w:rsid w:val="00FE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E97415"/>
  <w15:docId w15:val="{9DF25E15-60CE-42AB-97CD-91E03C13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71"/>
  </w:style>
  <w:style w:type="paragraph" w:styleId="Heading2">
    <w:name w:val="heading 2"/>
    <w:basedOn w:val="Normal"/>
    <w:next w:val="Normal"/>
    <w:link w:val="Heading2Char"/>
    <w:qFormat/>
    <w:rsid w:val="002B5F23"/>
    <w:pPr>
      <w:keepNext/>
      <w:spacing w:before="360" w:after="360"/>
      <w:outlineLvl w:val="1"/>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71"/>
    <w:rPr>
      <w:color w:val="0000FF"/>
      <w:u w:val="single"/>
    </w:rPr>
  </w:style>
  <w:style w:type="paragraph" w:styleId="FootnoteText">
    <w:name w:val="footnote text"/>
    <w:basedOn w:val="Normal"/>
    <w:link w:val="FootnoteTextChar"/>
    <w:uiPriority w:val="99"/>
    <w:rsid w:val="009E1D71"/>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9E1D71"/>
    <w:rPr>
      <w:rFonts w:ascii="Times New Roman" w:eastAsia="Times New Roman" w:hAnsi="Times New Roman" w:cs="Times New Roman"/>
      <w:lang w:val="en-AU"/>
    </w:rPr>
  </w:style>
  <w:style w:type="character" w:styleId="FootnoteReference">
    <w:name w:val="footnote reference"/>
    <w:uiPriority w:val="99"/>
    <w:rsid w:val="009E1D71"/>
    <w:rPr>
      <w:vertAlign w:val="superscript"/>
    </w:rPr>
  </w:style>
  <w:style w:type="paragraph" w:customStyle="1" w:styleId="Style1">
    <w:name w:val="Style1"/>
    <w:basedOn w:val="Normal"/>
    <w:qFormat/>
    <w:rsid w:val="009E1D71"/>
    <w:pPr>
      <w:widowControl w:val="0"/>
      <w:autoSpaceDE w:val="0"/>
      <w:autoSpaceDN w:val="0"/>
      <w:adjustRightInd w:val="0"/>
      <w:spacing w:line="360" w:lineRule="auto"/>
      <w:jc w:val="both"/>
    </w:pPr>
    <w:rPr>
      <w:rFonts w:ascii="Times New Roman" w:hAnsi="Times New Roman" w:cs="Roman"/>
      <w:color w:val="262626"/>
      <w:lang w:bidi="en-US"/>
    </w:rPr>
  </w:style>
  <w:style w:type="paragraph" w:customStyle="1" w:styleId="Style2">
    <w:name w:val="Style2"/>
    <w:basedOn w:val="Normal"/>
    <w:qFormat/>
    <w:rsid w:val="009E1D71"/>
    <w:pPr>
      <w:widowControl w:val="0"/>
      <w:autoSpaceDE w:val="0"/>
      <w:autoSpaceDN w:val="0"/>
      <w:adjustRightInd w:val="0"/>
      <w:ind w:left="567" w:right="567"/>
      <w:jc w:val="both"/>
    </w:pPr>
    <w:rPr>
      <w:rFonts w:ascii="Times New Roman" w:hAnsi="Times New Roman" w:cs="Times New Roman"/>
      <w:szCs w:val="20"/>
    </w:rPr>
  </w:style>
  <w:style w:type="character" w:customStyle="1" w:styleId="SC1719">
    <w:name w:val="SC1719"/>
    <w:rsid w:val="009E1D71"/>
    <w:rPr>
      <w:color w:val="000000"/>
      <w:sz w:val="20"/>
      <w:szCs w:val="20"/>
    </w:rPr>
  </w:style>
  <w:style w:type="character" w:customStyle="1" w:styleId="italic">
    <w:name w:val="italic"/>
    <w:basedOn w:val="DefaultParagraphFont"/>
    <w:rsid w:val="009E1D71"/>
  </w:style>
  <w:style w:type="character" w:styleId="CommentReference">
    <w:name w:val="annotation reference"/>
    <w:uiPriority w:val="99"/>
    <w:unhideWhenUsed/>
    <w:rsid w:val="00CF51FB"/>
    <w:rPr>
      <w:sz w:val="16"/>
    </w:rPr>
  </w:style>
  <w:style w:type="paragraph" w:styleId="CommentText">
    <w:name w:val="annotation text"/>
    <w:basedOn w:val="Normal"/>
    <w:link w:val="CommentTextChar"/>
    <w:uiPriority w:val="99"/>
    <w:semiHidden/>
    <w:unhideWhenUsed/>
    <w:rsid w:val="00CF51FB"/>
  </w:style>
  <w:style w:type="character" w:customStyle="1" w:styleId="CommentTextChar">
    <w:name w:val="Comment Text Char"/>
    <w:basedOn w:val="DefaultParagraphFont"/>
    <w:link w:val="CommentText"/>
    <w:uiPriority w:val="99"/>
    <w:semiHidden/>
    <w:rsid w:val="00CF51FB"/>
  </w:style>
  <w:style w:type="paragraph" w:styleId="BalloonText">
    <w:name w:val="Balloon Text"/>
    <w:basedOn w:val="Normal"/>
    <w:link w:val="BalloonTextChar"/>
    <w:uiPriority w:val="99"/>
    <w:semiHidden/>
    <w:unhideWhenUsed/>
    <w:rsid w:val="00CF5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1F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60768"/>
    <w:rPr>
      <w:b/>
      <w:bCs/>
      <w:sz w:val="20"/>
      <w:szCs w:val="20"/>
    </w:rPr>
  </w:style>
  <w:style w:type="character" w:customStyle="1" w:styleId="CommentSubjectChar">
    <w:name w:val="Comment Subject Char"/>
    <w:basedOn w:val="CommentTextChar"/>
    <w:link w:val="CommentSubject"/>
    <w:uiPriority w:val="99"/>
    <w:semiHidden/>
    <w:rsid w:val="00360768"/>
    <w:rPr>
      <w:b/>
      <w:bCs/>
      <w:sz w:val="20"/>
      <w:szCs w:val="20"/>
    </w:rPr>
  </w:style>
  <w:style w:type="character" w:customStyle="1" w:styleId="Heading2Char">
    <w:name w:val="Heading 2 Char"/>
    <w:basedOn w:val="DefaultParagraphFont"/>
    <w:link w:val="Heading2"/>
    <w:rsid w:val="002B5F23"/>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D3535D"/>
    <w:pPr>
      <w:tabs>
        <w:tab w:val="center" w:pos="4513"/>
        <w:tab w:val="right" w:pos="9026"/>
      </w:tabs>
    </w:pPr>
  </w:style>
  <w:style w:type="character" w:customStyle="1" w:styleId="HeaderChar">
    <w:name w:val="Header Char"/>
    <w:basedOn w:val="DefaultParagraphFont"/>
    <w:link w:val="Header"/>
    <w:uiPriority w:val="99"/>
    <w:rsid w:val="00D3535D"/>
  </w:style>
  <w:style w:type="paragraph" w:styleId="Footer">
    <w:name w:val="footer"/>
    <w:basedOn w:val="Normal"/>
    <w:link w:val="FooterChar"/>
    <w:uiPriority w:val="99"/>
    <w:unhideWhenUsed/>
    <w:rsid w:val="00D3535D"/>
    <w:pPr>
      <w:tabs>
        <w:tab w:val="center" w:pos="4513"/>
        <w:tab w:val="right" w:pos="9026"/>
      </w:tabs>
    </w:pPr>
  </w:style>
  <w:style w:type="character" w:customStyle="1" w:styleId="FooterChar">
    <w:name w:val="Footer Char"/>
    <w:basedOn w:val="DefaultParagraphFont"/>
    <w:link w:val="Footer"/>
    <w:uiPriority w:val="99"/>
    <w:rsid w:val="00D3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aw.uq.edu.au/documents/afjp/Justice-McMurdo-Launch-speech-021214.pdf" TargetMode="External"/><Relationship Id="rId3" Type="http://schemas.openxmlformats.org/officeDocument/2006/relationships/hyperlink" Target="https://www.pm.gov.au/media/2016-11-29/joint-press-conference-attorney-general-senator-hon-george-brandis-qc" TargetMode="External"/><Relationship Id="rId7" Type="http://schemas.openxmlformats.org/officeDocument/2006/relationships/hyperlink" Target="http://parlinfo.aph.gov.au/parlInfo/download/library/prspub/2840598/upl" TargetMode="External"/><Relationship Id="rId2" Type="http://schemas.openxmlformats.org/officeDocument/2006/relationships/hyperlink" Target="https://auspublaw.org/2016/11/chief-justice-susan-kiefel-and-the-politics-of-judicial-diversity" TargetMode="External"/><Relationship Id="rId1" Type="http://schemas.openxmlformats.org/officeDocument/2006/relationships/hyperlink" Target="mailto:kcasey.mcloughlin@newcastle.edu.au" TargetMode="External"/><Relationship Id="rId6" Type="http://schemas.openxmlformats.org/officeDocument/2006/relationships/hyperlink" Target="http://www.hcourt.gov.au/assets/publications/speeches/former-justices/gaudronj/gaudronj_wlasp.htm" TargetMode="External"/><Relationship Id="rId11" Type="http://schemas.openxmlformats.org/officeDocument/2006/relationships/hyperlink" Target="http://www.theguardian.com/commentisfree/2012/nov/30/justice-ginsburg-all-female-supreme-court" TargetMode="External"/><Relationship Id="rId5" Type="http://schemas.openxmlformats.org/officeDocument/2006/relationships/hyperlink" Target="http://www.afr.com/business/legal/conservatives-look-for-free-speech-ally-in-new-high-court-chief-justice-susan-kiefel-20161213-gtafa9" TargetMode="External"/><Relationship Id="rId10" Type="http://schemas.openxmlformats.org/officeDocument/2006/relationships/hyperlink" Target="http://www.theguardian.com/profile/jill-filipovic" TargetMode="External"/><Relationship Id="rId4" Type="http://schemas.openxmlformats.org/officeDocument/2006/relationships/hyperlink" Target="http://www.smh.com.au/comment/smh-editorial/susan-kiefel-worthy-and-inspirational-chief-justice-20161128-gszn78.html" TargetMode="External"/><Relationship Id="rId9" Type="http://schemas.openxmlformats.org/officeDocument/2006/relationships/hyperlink" Target="https://www.actlawsociety.asn.au/documents/item/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6646-EF65-4D9F-99EC-7EC24A1F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4345</Words>
  <Characters>23249</Characters>
  <Application>Microsoft Office Word</Application>
  <DocSecurity>0</DocSecurity>
  <Lines>374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Kcasey McLoughlin</dc:creator>
  <cp:keywords/>
  <dc:description/>
  <cp:lastModifiedBy>Rosemary Hunter</cp:lastModifiedBy>
  <cp:revision>5</cp:revision>
  <dcterms:created xsi:type="dcterms:W3CDTF">2017-09-23T15:52:00Z</dcterms:created>
  <dcterms:modified xsi:type="dcterms:W3CDTF">2017-09-23T16:26:00Z</dcterms:modified>
</cp:coreProperties>
</file>