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787BD" w14:textId="476DE1D5" w:rsidR="007B16EE" w:rsidRPr="00B31277" w:rsidRDefault="00B31277" w:rsidP="007B16EE">
      <w:pPr>
        <w:jc w:val="center"/>
      </w:pPr>
      <w:r w:rsidRPr="00B31277">
        <w:t>SPECIAL ISSUE EDITORIAL</w:t>
      </w:r>
    </w:p>
    <w:p w14:paraId="043F3AA6" w14:textId="579B8B4B" w:rsidR="007F3BB5" w:rsidRPr="00B31277" w:rsidRDefault="00B31277" w:rsidP="007B16EE">
      <w:pPr>
        <w:jc w:val="center"/>
      </w:pPr>
      <w:r w:rsidRPr="00B31277">
        <w:t>GENDER, CONFLICT AND POLITICAL SETTLEMENTS: WHAT DO WE KNOW?</w:t>
      </w:r>
    </w:p>
    <w:p w14:paraId="1C4FE71B" w14:textId="5F893365" w:rsidR="00AE1477" w:rsidRDefault="007B16EE" w:rsidP="00B31277">
      <w:pPr>
        <w:jc w:val="center"/>
      </w:pPr>
      <w:r w:rsidRPr="007B16EE">
        <w:rPr>
          <w:i/>
        </w:rPr>
        <w:t>Catherine O’Rourke</w:t>
      </w:r>
      <w:r w:rsidR="00643A55">
        <w:rPr>
          <w:rStyle w:val="FootnoteReference"/>
          <w:i/>
        </w:rPr>
        <w:footnoteReference w:customMarkFollows="1" w:id="1"/>
        <w:t>*</w:t>
      </w:r>
    </w:p>
    <w:p w14:paraId="32C9BC37" w14:textId="00464ADF" w:rsidR="00E219F6" w:rsidRDefault="00E219F6" w:rsidP="00E219F6">
      <w:pPr>
        <w:pStyle w:val="Heading1"/>
      </w:pPr>
      <w:bookmarkStart w:id="0" w:name="_Toc404500992"/>
      <w:r>
        <w:t>Introduction</w:t>
      </w:r>
      <w:bookmarkEnd w:id="0"/>
    </w:p>
    <w:p w14:paraId="6A6F010E" w14:textId="56CDE735" w:rsidR="0061007D" w:rsidRDefault="006170FB" w:rsidP="001C1CCD">
      <w:r>
        <w:t>This</w:t>
      </w:r>
      <w:r w:rsidR="0061007D">
        <w:t xml:space="preserve"> Special Issue draws together</w:t>
      </w:r>
      <w:r w:rsidR="00516C9B">
        <w:t xml:space="preserve"> findings and analysis from</w:t>
      </w:r>
      <w:r w:rsidR="00F373C4">
        <w:t xml:space="preserve"> the</w:t>
      </w:r>
      <w:r w:rsidR="00516C9B">
        <w:t xml:space="preserve"> </w:t>
      </w:r>
      <w:r w:rsidR="0062518C">
        <w:t xml:space="preserve">gender theme of </w:t>
      </w:r>
      <w:r w:rsidR="00516C9B">
        <w:t>the Political Settlements Research Programme</w:t>
      </w:r>
      <w:r w:rsidR="0062518C">
        <w:t xml:space="preserve"> (PSRP)</w:t>
      </w:r>
      <w:r w:rsidR="00516C9B">
        <w:t>.</w:t>
      </w:r>
      <w:r w:rsidR="0062518C">
        <w:t xml:space="preserve"> PSRP </w:t>
      </w:r>
      <w:r w:rsidR="0094758A">
        <w:t xml:space="preserve">has </w:t>
      </w:r>
      <w:r>
        <w:t>been</w:t>
      </w:r>
      <w:r w:rsidR="0094758A">
        <w:t xml:space="preserve"> a </w:t>
      </w:r>
      <w:r w:rsidR="0062518C">
        <w:t>four-year research p</w:t>
      </w:r>
      <w:r w:rsidR="00F7517F">
        <w:t>rogramme made up of an academic/</w:t>
      </w:r>
      <w:r w:rsidR="0062518C">
        <w:t>practitioner</w:t>
      </w:r>
      <w:r>
        <w:t>,</w:t>
      </w:r>
      <w:r w:rsidR="00F7517F">
        <w:t xml:space="preserve"> north/</w:t>
      </w:r>
      <w:r w:rsidR="0062518C">
        <w:t>south consortium, led by the Global Justice Academy at the University of Edinburgh.</w:t>
      </w:r>
      <w:r w:rsidR="0094758A">
        <w:rPr>
          <w:rStyle w:val="FootnoteReference"/>
        </w:rPr>
        <w:footnoteReference w:id="2"/>
      </w:r>
      <w:r w:rsidR="0062518C">
        <w:t xml:space="preserve"> The programme set out to investigate</w:t>
      </w:r>
      <w:r w:rsidR="00E219F6">
        <w:t xml:space="preserve"> </w:t>
      </w:r>
      <w:r w:rsidR="001C1CCD" w:rsidRPr="001C1CCD">
        <w:rPr>
          <w:lang w:val="en-US"/>
        </w:rPr>
        <w:t xml:space="preserve">how peace processes attempt to revise political settlements to make them more inclusive, so as to end violent conflict. In particular we </w:t>
      </w:r>
      <w:r w:rsidR="001C1CCD">
        <w:rPr>
          <w:lang w:val="en-US"/>
        </w:rPr>
        <w:t>were</w:t>
      </w:r>
      <w:r w:rsidR="001C1CCD" w:rsidRPr="001C1CCD">
        <w:rPr>
          <w:lang w:val="en-US"/>
        </w:rPr>
        <w:t xml:space="preserve"> interested in forms of ‘horizontal’ inclusion between political and military leaders who have been former opponents, and</w:t>
      </w:r>
      <w:r w:rsidR="001C1CCD">
        <w:rPr>
          <w:lang w:val="en-US"/>
        </w:rPr>
        <w:t xml:space="preserve"> </w:t>
      </w:r>
      <w:r w:rsidR="001C1CCD" w:rsidRPr="001C1CCD">
        <w:rPr>
          <w:lang w:val="en-US"/>
        </w:rPr>
        <w:t xml:space="preserve">forms of </w:t>
      </w:r>
      <w:r w:rsidR="0094758A">
        <w:rPr>
          <w:lang w:val="en-US"/>
        </w:rPr>
        <w:t>‘</w:t>
      </w:r>
      <w:r w:rsidR="001C1CCD" w:rsidRPr="001C1CCD">
        <w:rPr>
          <w:lang w:val="en-US"/>
        </w:rPr>
        <w:t>vertical</w:t>
      </w:r>
      <w:r w:rsidR="0094758A">
        <w:rPr>
          <w:lang w:val="en-US"/>
        </w:rPr>
        <w:t>’</w:t>
      </w:r>
      <w:r w:rsidR="001C1CCD" w:rsidRPr="001C1CCD">
        <w:rPr>
          <w:lang w:val="en-US"/>
        </w:rPr>
        <w:t xml:space="preserve"> inclusion between rulers (often in the form o</w:t>
      </w:r>
      <w:r w:rsidR="0071338A">
        <w:rPr>
          <w:lang w:val="en-US"/>
        </w:rPr>
        <w:t>f new power-sharing coalitions)</w:t>
      </w:r>
      <w:r w:rsidR="001C1CCD" w:rsidRPr="001C1CCD">
        <w:rPr>
          <w:lang w:val="en-US"/>
        </w:rPr>
        <w:t xml:space="preserve"> and the ruled (wider social groups and individuals)</w:t>
      </w:r>
      <w:r w:rsidR="001C1CCD">
        <w:rPr>
          <w:lang w:val="en-US"/>
        </w:rPr>
        <w:t xml:space="preserve">. </w:t>
      </w:r>
      <w:r w:rsidR="00E219F6">
        <w:t xml:space="preserve">The </w:t>
      </w:r>
      <w:r w:rsidR="001C1CCD">
        <w:t xml:space="preserve">PSRP </w:t>
      </w:r>
      <w:r w:rsidR="00E219F6">
        <w:t>gender theme focused on uncovering the</w:t>
      </w:r>
      <w:r w:rsidR="0062518C">
        <w:t xml:space="preserve"> gender dynamics of political settlements through a series of discrete </w:t>
      </w:r>
      <w:r w:rsidR="00F373C4">
        <w:t xml:space="preserve">research </w:t>
      </w:r>
      <w:r w:rsidR="0062518C">
        <w:t>projects, as well as</w:t>
      </w:r>
      <w:r w:rsidR="00516C9B">
        <w:t xml:space="preserve"> </w:t>
      </w:r>
      <w:r w:rsidR="00F373C4">
        <w:t xml:space="preserve">through maintaining gender as a cross-cutting research </w:t>
      </w:r>
      <w:r w:rsidR="00E219F6">
        <w:t>interest</w:t>
      </w:r>
      <w:r w:rsidR="00F373C4">
        <w:t xml:space="preserve">. </w:t>
      </w:r>
      <w:r w:rsidR="00DE3AFD">
        <w:t>As the</w:t>
      </w:r>
      <w:r>
        <w:t xml:space="preserve"> programme draws to a close, this</w:t>
      </w:r>
      <w:r w:rsidR="00DE3AFD">
        <w:t xml:space="preserve"> Special Issue aims to distil and convey</w:t>
      </w:r>
      <w:r w:rsidR="00CE5168">
        <w:t xml:space="preserve"> the</w:t>
      </w:r>
      <w:r w:rsidR="00DE3AFD">
        <w:t xml:space="preserve"> key general propositions on gender and inclusion </w:t>
      </w:r>
      <w:r w:rsidR="00CE5168">
        <w:t xml:space="preserve">discovered through PSRP research. </w:t>
      </w:r>
      <w:r w:rsidR="00DE3AFD">
        <w:t xml:space="preserve"> </w:t>
      </w:r>
    </w:p>
    <w:p w14:paraId="2AD12AD3" w14:textId="06CC6046" w:rsidR="007A5441" w:rsidRPr="00044D91" w:rsidRDefault="007A5441" w:rsidP="007A5441">
      <w:pPr>
        <w:rPr>
          <w:lang w:val="en-US"/>
        </w:rPr>
      </w:pPr>
      <w:r w:rsidRPr="00044D91">
        <w:rPr>
          <w:lang w:val="en-US"/>
        </w:rPr>
        <w:t xml:space="preserve">The political settlement </w:t>
      </w:r>
      <w:r>
        <w:rPr>
          <w:lang w:val="en-US"/>
        </w:rPr>
        <w:t xml:space="preserve">framework </w:t>
      </w:r>
      <w:r w:rsidRPr="00044D91">
        <w:rPr>
          <w:lang w:val="en-US"/>
        </w:rPr>
        <w:t>is a</w:t>
      </w:r>
      <w:r>
        <w:rPr>
          <w:lang w:val="en-US"/>
        </w:rPr>
        <w:t xml:space="preserve"> </w:t>
      </w:r>
      <w:r w:rsidRPr="00044D91">
        <w:rPr>
          <w:lang w:val="en-US"/>
        </w:rPr>
        <w:t>political economy explanation for the configuration of formal and informal institutions</w:t>
      </w:r>
      <w:r>
        <w:rPr>
          <w:lang w:val="en-US"/>
        </w:rPr>
        <w:t xml:space="preserve"> </w:t>
      </w:r>
      <w:r w:rsidRPr="00044D91">
        <w:rPr>
          <w:lang w:val="en-US"/>
        </w:rPr>
        <w:t>in a country</w:t>
      </w:r>
      <w:r>
        <w:rPr>
          <w:lang w:val="en-US"/>
        </w:rPr>
        <w:t xml:space="preserve">. </w:t>
      </w:r>
      <w:r w:rsidR="006170FB">
        <w:rPr>
          <w:lang w:val="en-US"/>
        </w:rPr>
        <w:t>Political settlements are</w:t>
      </w:r>
      <w:r w:rsidRPr="00044D91">
        <w:rPr>
          <w:lang w:val="en-US"/>
        </w:rPr>
        <w:t xml:space="preserve"> defined by DFID as:</w:t>
      </w:r>
    </w:p>
    <w:p w14:paraId="3564AC8E" w14:textId="0AA81765" w:rsidR="007A5441" w:rsidRDefault="0071338A" w:rsidP="007A5441">
      <w:pPr>
        <w:pStyle w:val="Quote"/>
      </w:pPr>
      <w:r>
        <w:t>[T]</w:t>
      </w:r>
      <w:r w:rsidR="007A5441" w:rsidRPr="00044D91">
        <w:t xml:space="preserve">he expression of a common understanding, usually forged between elites, about how power is organised and exercised. They include formal institutions for managing political and economic relations, such as electoral processes, </w:t>
      </w:r>
      <w:r w:rsidR="007A5441" w:rsidRPr="00044D91">
        <w:lastRenderedPageBreak/>
        <w:t>peace agreements, parliaments, constitutions and market regulations. But they also include informal, often unarticulated agreements that underpin a political system, such as deals between elites on the division of spoils.</w:t>
      </w:r>
      <w:r w:rsidR="007A5441">
        <w:rPr>
          <w:rStyle w:val="FootnoteReference"/>
        </w:rPr>
        <w:footnoteReference w:id="3"/>
      </w:r>
    </w:p>
    <w:p w14:paraId="7E2DA09A" w14:textId="493FF88A" w:rsidR="00004409" w:rsidRDefault="001C1CCD" w:rsidP="00A92391">
      <w:r w:rsidRPr="001C1CCD">
        <w:rPr>
          <w:lang w:val="en-US"/>
        </w:rPr>
        <w:t>The framework purports to support</w:t>
      </w:r>
      <w:r>
        <w:rPr>
          <w:lang w:val="en-US"/>
        </w:rPr>
        <w:t xml:space="preserve"> development interventions that </w:t>
      </w:r>
      <w:r w:rsidR="00D80F9D">
        <w:rPr>
          <w:lang w:val="en-US"/>
        </w:rPr>
        <w:t>are more sensitive and responsive to the political dynamics that underpin and often determine formal institutional configurations in aid-receiving contexts.</w:t>
      </w:r>
      <w:r w:rsidRPr="001C1CCD">
        <w:rPr>
          <w:lang w:val="en-US"/>
        </w:rPr>
        <w:t xml:space="preserve"> </w:t>
      </w:r>
      <w:r w:rsidR="00044D91" w:rsidRPr="00044D91">
        <w:rPr>
          <w:lang w:val="en-US"/>
        </w:rPr>
        <w:t xml:space="preserve">The political settlements framework </w:t>
      </w:r>
      <w:r w:rsidR="007A5441">
        <w:rPr>
          <w:lang w:val="en-US"/>
        </w:rPr>
        <w:t>has garnered</w:t>
      </w:r>
      <w:r w:rsidR="00044D91" w:rsidRPr="00044D91">
        <w:rPr>
          <w:lang w:val="en-US"/>
        </w:rPr>
        <w:t xml:space="preserve"> growing</w:t>
      </w:r>
      <w:r w:rsidR="00044D91">
        <w:rPr>
          <w:lang w:val="en-US"/>
        </w:rPr>
        <w:t xml:space="preserve"> </w:t>
      </w:r>
      <w:r w:rsidR="00044D91" w:rsidRPr="00044D91">
        <w:rPr>
          <w:lang w:val="en-US"/>
        </w:rPr>
        <w:t>policy traction with donor governments and international financial institutions</w:t>
      </w:r>
      <w:r w:rsidR="00044D91">
        <w:rPr>
          <w:lang w:val="en-US"/>
        </w:rPr>
        <w:t xml:space="preserve"> </w:t>
      </w:r>
      <w:r w:rsidR="00044D91" w:rsidRPr="00044D91">
        <w:rPr>
          <w:lang w:val="en-US"/>
        </w:rPr>
        <w:t>devising interventions towards economic development and the</w:t>
      </w:r>
      <w:r w:rsidR="00044D91">
        <w:rPr>
          <w:lang w:val="en-US"/>
        </w:rPr>
        <w:t xml:space="preserve"> </w:t>
      </w:r>
      <w:r w:rsidR="00044D91" w:rsidRPr="00044D91">
        <w:rPr>
          <w:lang w:val="en-US"/>
        </w:rPr>
        <w:t xml:space="preserve">rule of law in conflict-affected and post-conflict states. </w:t>
      </w:r>
      <w:r w:rsidR="00F14CC4">
        <w:rPr>
          <w:lang w:val="en-US"/>
        </w:rPr>
        <w:t>The influence of the framework is evidenced by the existence of large</w:t>
      </w:r>
      <w:r w:rsidR="006170FB">
        <w:rPr>
          <w:lang w:val="en-US"/>
        </w:rPr>
        <w:t>,</w:t>
      </w:r>
      <w:r w:rsidR="00F14CC4">
        <w:rPr>
          <w:lang w:val="en-US"/>
        </w:rPr>
        <w:t xml:space="preserve"> donor-funded research </w:t>
      </w:r>
      <w:proofErr w:type="spellStart"/>
      <w:r w:rsidR="00F14CC4">
        <w:rPr>
          <w:lang w:val="en-US"/>
        </w:rPr>
        <w:t>programmes</w:t>
      </w:r>
      <w:proofErr w:type="spellEnd"/>
      <w:r w:rsidR="00F14CC4">
        <w:rPr>
          <w:lang w:val="en-US"/>
        </w:rPr>
        <w:t xml:space="preserve">, such as </w:t>
      </w:r>
      <w:r w:rsidR="00DE3AFD">
        <w:rPr>
          <w:lang w:val="en-US"/>
        </w:rPr>
        <w:t xml:space="preserve">the </w:t>
      </w:r>
      <w:r w:rsidR="00F14CC4">
        <w:rPr>
          <w:lang w:val="en-US"/>
        </w:rPr>
        <w:t>PSRP</w:t>
      </w:r>
      <w:r w:rsidR="00C7436C">
        <w:rPr>
          <w:lang w:val="en-US"/>
        </w:rPr>
        <w:t xml:space="preserve"> </w:t>
      </w:r>
      <w:r w:rsidR="00DE3AFD">
        <w:rPr>
          <w:lang w:val="en-US"/>
        </w:rPr>
        <w:t>and others</w:t>
      </w:r>
      <w:r w:rsidR="00F14CC4">
        <w:rPr>
          <w:lang w:val="en-US"/>
        </w:rPr>
        <w:t>.</w:t>
      </w:r>
      <w:r w:rsidR="00C7436C">
        <w:rPr>
          <w:rStyle w:val="FootnoteReference"/>
          <w:lang w:val="en-US"/>
        </w:rPr>
        <w:footnoteReference w:id="4"/>
      </w:r>
      <w:r w:rsidR="00DE3AFD">
        <w:rPr>
          <w:lang w:val="en-US"/>
        </w:rPr>
        <w:t xml:space="preserve"> </w:t>
      </w:r>
    </w:p>
    <w:p w14:paraId="438A7CFB" w14:textId="28B9BFA4" w:rsidR="000D2756" w:rsidRPr="000D2756" w:rsidRDefault="00F373C4" w:rsidP="00044D91">
      <w:r>
        <w:t xml:space="preserve">The PSRP </w:t>
      </w:r>
      <w:r w:rsidR="00CE5168">
        <w:t>commenced in 2015</w:t>
      </w:r>
      <w:r>
        <w:t xml:space="preserve"> </w:t>
      </w:r>
      <w:r w:rsidR="0094758A">
        <w:t>with three initial research questions</w:t>
      </w:r>
      <w:r>
        <w:t>:</w:t>
      </w:r>
      <w:r w:rsidR="00B31277">
        <w:rPr>
          <w:rStyle w:val="FootnoteReference"/>
        </w:rPr>
        <w:footnoteReference w:id="5"/>
      </w:r>
      <w:r>
        <w:t xml:space="preserve"> </w:t>
      </w:r>
    </w:p>
    <w:p w14:paraId="32E97889" w14:textId="77777777" w:rsidR="000D2756" w:rsidRPr="000D2756" w:rsidRDefault="000D2756" w:rsidP="004F7AA6">
      <w:pPr>
        <w:pStyle w:val="Quote"/>
      </w:pPr>
      <w:r w:rsidRPr="000D2756">
        <w:t>How do different types of political settlement emerge, and what are the actors, institutions, resources, and practices that shape them?</w:t>
      </w:r>
    </w:p>
    <w:p w14:paraId="41C1F7F6" w14:textId="77777777" w:rsidR="000D2756" w:rsidRPr="000D2756" w:rsidRDefault="000D2756" w:rsidP="004F7AA6">
      <w:pPr>
        <w:pStyle w:val="Quote"/>
      </w:pPr>
      <w:r w:rsidRPr="000D2756">
        <w:t>How can political settlements be improved by internally-driven initiatives, including the impact of gender-inclusive processes and rule of law institutions?</w:t>
      </w:r>
    </w:p>
    <w:p w14:paraId="47726E6B" w14:textId="49526A30" w:rsidR="000D2756" w:rsidRPr="000D2756" w:rsidRDefault="000D2756" w:rsidP="004F7AA6">
      <w:pPr>
        <w:pStyle w:val="Quote"/>
      </w:pPr>
      <w:r w:rsidRPr="000D2756">
        <w:t>How, and with what interventions, can external actors change political settlements?</w:t>
      </w:r>
    </w:p>
    <w:p w14:paraId="14612BF0" w14:textId="29B3A03B" w:rsidR="00F14CC4" w:rsidRDefault="006170FB" w:rsidP="00D9643B">
      <w:r>
        <w:t>This</w:t>
      </w:r>
      <w:r w:rsidR="00D9643B">
        <w:t xml:space="preserve"> </w:t>
      </w:r>
      <w:r w:rsidR="00BE21B9">
        <w:t>Editorial</w:t>
      </w:r>
      <w:r w:rsidR="00D9643B">
        <w:t xml:space="preserve"> addresses</w:t>
      </w:r>
      <w:r w:rsidR="00552097">
        <w:t xml:space="preserve">, first, </w:t>
      </w:r>
      <w:r w:rsidR="00D9643B">
        <w:t xml:space="preserve">how as a gender theme </w:t>
      </w:r>
      <w:r w:rsidR="00C7436C">
        <w:t xml:space="preserve">and Special Issue </w:t>
      </w:r>
      <w:r w:rsidR="00D9643B">
        <w:t xml:space="preserve">we approached and </w:t>
      </w:r>
      <w:r w:rsidR="00CE5168">
        <w:t>interpreted</w:t>
      </w:r>
      <w:r w:rsidR="00D9643B">
        <w:t xml:space="preserve"> these research questions</w:t>
      </w:r>
      <w:r w:rsidR="00552097">
        <w:t>;</w:t>
      </w:r>
      <w:r w:rsidR="00D9643B">
        <w:t xml:space="preserve"> </w:t>
      </w:r>
      <w:r w:rsidR="00552097">
        <w:t xml:space="preserve">second, </w:t>
      </w:r>
      <w:r w:rsidR="00D9643B">
        <w:t>the methodological underpinnings and eclecticism that defined the</w:t>
      </w:r>
      <w:r w:rsidR="00BE21B9">
        <w:t xml:space="preserve"> PSRP gender</w:t>
      </w:r>
      <w:r w:rsidR="00D9643B">
        <w:t xml:space="preserve"> research</w:t>
      </w:r>
      <w:r w:rsidR="00C7436C">
        <w:t xml:space="preserve"> included in the Special Issue</w:t>
      </w:r>
      <w:r w:rsidR="00552097">
        <w:t xml:space="preserve">; </w:t>
      </w:r>
      <w:r w:rsidR="001D654D">
        <w:t xml:space="preserve">and </w:t>
      </w:r>
      <w:r w:rsidR="00552097">
        <w:t>third,</w:t>
      </w:r>
      <w:r w:rsidR="00D9643B">
        <w:t xml:space="preserve"> </w:t>
      </w:r>
      <w:r w:rsidR="00EA3EBB">
        <w:t>the</w:t>
      </w:r>
      <w:r w:rsidR="00D9643B">
        <w:t xml:space="preserve"> general propositions</w:t>
      </w:r>
      <w:r w:rsidR="00EA3EBB">
        <w:t xml:space="preserve"> </w:t>
      </w:r>
      <w:r w:rsidR="00D80F9D">
        <w:t xml:space="preserve">on inclusion </w:t>
      </w:r>
      <w:r w:rsidR="00EA3EBB">
        <w:t>to be distilled from the gender work, addressing in turn peace processes, international norms and gender-based violence</w:t>
      </w:r>
      <w:r w:rsidR="00D9643B">
        <w:t xml:space="preserve">. </w:t>
      </w:r>
      <w:r w:rsidR="00BE21B9">
        <w:t>The final section</w:t>
      </w:r>
      <w:r w:rsidR="00E348DE">
        <w:t xml:space="preserve"> of the Editorial</w:t>
      </w:r>
      <w:r w:rsidR="00BE21B9">
        <w:t xml:space="preserve"> </w:t>
      </w:r>
      <w:r w:rsidR="00EA3EBB">
        <w:t>a</w:t>
      </w:r>
      <w:r w:rsidR="00BE21B9">
        <w:t xml:space="preserve">ddresses the scholarly and policy significance of the overall body of work. </w:t>
      </w:r>
    </w:p>
    <w:p w14:paraId="3DE2ED4F" w14:textId="77777777" w:rsidR="00D9643B" w:rsidRPr="00D9643B" w:rsidRDefault="00D9643B" w:rsidP="00D9643B"/>
    <w:p w14:paraId="577DFFC8" w14:textId="40CF62A6" w:rsidR="007B16EE" w:rsidRDefault="00643A55" w:rsidP="0017209C">
      <w:pPr>
        <w:pStyle w:val="Heading1"/>
      </w:pPr>
      <w:bookmarkStart w:id="1" w:name="_Toc404500993"/>
      <w:r>
        <w:lastRenderedPageBreak/>
        <w:t>What W</w:t>
      </w:r>
      <w:r w:rsidR="00B26AA8">
        <w:t>as the Question?</w:t>
      </w:r>
      <w:bookmarkEnd w:id="1"/>
      <w:r w:rsidR="00B26AA8">
        <w:t xml:space="preserve"> </w:t>
      </w:r>
    </w:p>
    <w:p w14:paraId="5F67D7B5" w14:textId="1903D753" w:rsidR="001D654D" w:rsidRDefault="0070625F" w:rsidP="0070625F">
      <w:r>
        <w:t xml:space="preserve">The political settlements framework has arisen and </w:t>
      </w:r>
      <w:r w:rsidR="00655186">
        <w:t xml:space="preserve">been </w:t>
      </w:r>
      <w:r>
        <w:t xml:space="preserve">developed primarily within political economy and development studies. As such, it was (and arguably continues to be) relatively marginal in peace and conflict studies and gender analysis of conflict.  </w:t>
      </w:r>
      <w:r w:rsidR="00CE1362">
        <w:t>The</w:t>
      </w:r>
      <w:r w:rsidR="007A6A29">
        <w:t xml:space="preserve"> PSRP </w:t>
      </w:r>
      <w:r w:rsidR="001D654D">
        <w:t xml:space="preserve">therefore </w:t>
      </w:r>
      <w:r w:rsidR="007A6A29">
        <w:t>brought a novel dimension to the study of political settlements, through a focus on conflict, its resolution</w:t>
      </w:r>
      <w:r w:rsidR="00655186">
        <w:t>,</w:t>
      </w:r>
      <w:r w:rsidR="007A6A29">
        <w:t xml:space="preserve"> and </w:t>
      </w:r>
      <w:r w:rsidR="00775A76">
        <w:t>efforts to transition</w:t>
      </w:r>
      <w:r w:rsidR="007A6A29">
        <w:t xml:space="preserve"> out of conflict</w:t>
      </w:r>
      <w:r w:rsidR="00775A76">
        <w:t xml:space="preserve"> paradigmatically through peace agreements</w:t>
      </w:r>
      <w:r w:rsidR="007A6A29">
        <w:t>.</w:t>
      </w:r>
      <w:r w:rsidR="00080D9B">
        <w:t xml:space="preserve"> Thus the PA-X Database, which includes and analyses over 1</w:t>
      </w:r>
      <w:r w:rsidR="00655186">
        <w:t>,</w:t>
      </w:r>
      <w:r w:rsidR="00080D9B">
        <w:t xml:space="preserve">500 peace agreements signed since 1990, is a key programme output </w:t>
      </w:r>
      <w:r w:rsidR="00FC07F0">
        <w:t xml:space="preserve">(Bell </w:t>
      </w:r>
      <w:r w:rsidR="00FC6B74">
        <w:t>and</w:t>
      </w:r>
      <w:r w:rsidR="00FC07F0">
        <w:t xml:space="preserve"> </w:t>
      </w:r>
      <w:proofErr w:type="spellStart"/>
      <w:r w:rsidR="00FC07F0">
        <w:t>McNicholl</w:t>
      </w:r>
      <w:proofErr w:type="spellEnd"/>
      <w:r w:rsidR="00FC07F0">
        <w:t xml:space="preserve">, this volume) and also informs </w:t>
      </w:r>
      <w:r w:rsidR="00080D9B">
        <w:t>several other programme findings</w:t>
      </w:r>
      <w:r w:rsidR="00FC07F0">
        <w:t xml:space="preserve"> on inclusion</w:t>
      </w:r>
      <w:r w:rsidR="00080D9B">
        <w:t>.</w:t>
      </w:r>
      <w:r w:rsidR="007A6A29">
        <w:t xml:space="preserve"> </w:t>
      </w:r>
    </w:p>
    <w:p w14:paraId="17C4E4D9" w14:textId="20D7CFDD" w:rsidR="00CE1362" w:rsidRDefault="00080D9B" w:rsidP="00344BA8">
      <w:r>
        <w:t>An early innovation of the PSRP was to revisit the central concept of the political settlement</w:t>
      </w:r>
      <w:r w:rsidR="00B570A6">
        <w:t xml:space="preserve"> and to propose instead the</w:t>
      </w:r>
      <w:r w:rsidR="00516154" w:rsidRPr="00516154">
        <w:rPr>
          <w:lang w:val="en-US"/>
        </w:rPr>
        <w:t xml:space="preserve"> ‘formalised political</w:t>
      </w:r>
      <w:r w:rsidR="00516154">
        <w:rPr>
          <w:lang w:val="en-US"/>
        </w:rPr>
        <w:t xml:space="preserve"> </w:t>
      </w:r>
      <w:r w:rsidR="00A92391">
        <w:rPr>
          <w:lang w:val="en-US"/>
        </w:rPr>
        <w:t>unsettlement’</w:t>
      </w:r>
      <w:r w:rsidR="00516154" w:rsidRPr="00516154">
        <w:rPr>
          <w:lang w:val="en-US"/>
        </w:rPr>
        <w:t>.</w:t>
      </w:r>
      <w:r w:rsidR="00A92391">
        <w:rPr>
          <w:rStyle w:val="FootnoteReference"/>
          <w:lang w:val="en-US"/>
        </w:rPr>
        <w:footnoteReference w:id="6"/>
      </w:r>
      <w:r w:rsidR="00516154">
        <w:t xml:space="preserve"> </w:t>
      </w:r>
      <w:r w:rsidR="007035B0">
        <w:rPr>
          <w:lang w:val="en-US"/>
        </w:rPr>
        <w:t xml:space="preserve">The PSRP’s </w:t>
      </w:r>
      <w:r w:rsidR="00A92391">
        <w:rPr>
          <w:lang w:val="en-US"/>
        </w:rPr>
        <w:t>focus is on fragile and confl</w:t>
      </w:r>
      <w:r w:rsidR="00A92391" w:rsidRPr="00A92391">
        <w:rPr>
          <w:lang w:val="en-US"/>
        </w:rPr>
        <w:t>ict-affected states, which have</w:t>
      </w:r>
      <w:r w:rsidR="00A92391">
        <w:rPr>
          <w:lang w:val="en-US"/>
        </w:rPr>
        <w:t xml:space="preserve"> </w:t>
      </w:r>
      <w:r w:rsidR="00A92391" w:rsidRPr="00A92391">
        <w:rPr>
          <w:lang w:val="en-US"/>
        </w:rPr>
        <w:t xml:space="preserve">undergone forms of peace process or, </w:t>
      </w:r>
      <w:r w:rsidR="00CF3410">
        <w:rPr>
          <w:lang w:val="en-US"/>
        </w:rPr>
        <w:t>‘</w:t>
      </w:r>
      <w:r w:rsidR="00A92391" w:rsidRPr="00A92391">
        <w:rPr>
          <w:lang w:val="en-US"/>
        </w:rPr>
        <w:t xml:space="preserve">put another way, </w:t>
      </w:r>
      <w:proofErr w:type="spellStart"/>
      <w:r w:rsidR="00A92391" w:rsidRPr="00A92391">
        <w:rPr>
          <w:lang w:val="en-US"/>
        </w:rPr>
        <w:t>formalised</w:t>
      </w:r>
      <w:proofErr w:type="spellEnd"/>
      <w:r w:rsidR="00A92391" w:rsidRPr="00A92391">
        <w:rPr>
          <w:lang w:val="en-US"/>
        </w:rPr>
        <w:t xml:space="preserve"> processes of</w:t>
      </w:r>
      <w:r w:rsidR="00A92391">
        <w:rPr>
          <w:lang w:val="en-US"/>
        </w:rPr>
        <w:t xml:space="preserve"> </w:t>
      </w:r>
      <w:r w:rsidR="00A92391" w:rsidRPr="00A92391">
        <w:rPr>
          <w:lang w:val="en-US"/>
        </w:rPr>
        <w:t>reconfiguring the political settlement to be more inclusive of the main contenders of power</w:t>
      </w:r>
      <w:r w:rsidR="00A92391">
        <w:rPr>
          <w:lang w:val="en-US"/>
        </w:rPr>
        <w:t xml:space="preserve"> </w:t>
      </w:r>
      <w:r w:rsidR="00A92391" w:rsidRPr="00A92391">
        <w:rPr>
          <w:lang w:val="en-US"/>
        </w:rPr>
        <w:t>and, therefore, more stable</w:t>
      </w:r>
      <w:r w:rsidR="00CF3410">
        <w:rPr>
          <w:lang w:val="en-US"/>
        </w:rPr>
        <w:t>’</w:t>
      </w:r>
      <w:r w:rsidR="00A92391" w:rsidRPr="00A92391">
        <w:rPr>
          <w:lang w:val="en-US"/>
        </w:rPr>
        <w:t>.</w:t>
      </w:r>
      <w:r w:rsidR="00CF3410">
        <w:rPr>
          <w:rStyle w:val="FootnoteReference"/>
          <w:lang w:val="en-US"/>
        </w:rPr>
        <w:footnoteReference w:id="7"/>
      </w:r>
      <w:r w:rsidR="00A92391" w:rsidRPr="00A92391">
        <w:rPr>
          <w:lang w:val="en-US"/>
        </w:rPr>
        <w:t xml:space="preserve"> </w:t>
      </w:r>
      <w:r w:rsidR="00CF3410">
        <w:rPr>
          <w:lang w:val="en-US"/>
        </w:rPr>
        <w:t>The concept of the</w:t>
      </w:r>
      <w:r w:rsidR="00C418FB">
        <w:rPr>
          <w:lang w:val="en-US"/>
        </w:rPr>
        <w:t xml:space="preserve"> </w:t>
      </w:r>
      <w:r w:rsidR="00CF3410">
        <w:rPr>
          <w:lang w:val="en-US"/>
        </w:rPr>
        <w:t>‘</w:t>
      </w:r>
      <w:proofErr w:type="spellStart"/>
      <w:r w:rsidR="00C418FB" w:rsidRPr="00C418FB">
        <w:rPr>
          <w:lang w:val="en-US"/>
        </w:rPr>
        <w:t>formalised</w:t>
      </w:r>
      <w:proofErr w:type="spellEnd"/>
      <w:r w:rsidR="00C418FB" w:rsidRPr="00C418FB">
        <w:rPr>
          <w:lang w:val="en-US"/>
        </w:rPr>
        <w:t xml:space="preserve"> political unsettlement</w:t>
      </w:r>
      <w:r w:rsidR="006170FB">
        <w:rPr>
          <w:lang w:val="en-US"/>
        </w:rPr>
        <w:t xml:space="preserve">’ better </w:t>
      </w:r>
      <w:r w:rsidR="00CF3410">
        <w:rPr>
          <w:lang w:val="en-US"/>
        </w:rPr>
        <w:t>captures these efforts to</w:t>
      </w:r>
      <w:r w:rsidR="00C418FB" w:rsidRPr="00C418FB">
        <w:rPr>
          <w:lang w:val="en-US"/>
        </w:rPr>
        <w:t xml:space="preserve"> manage</w:t>
      </w:r>
      <w:r w:rsidR="00CF3410">
        <w:rPr>
          <w:lang w:val="en-US"/>
        </w:rPr>
        <w:t xml:space="preserve"> and contain – rather than resolve</w:t>
      </w:r>
      <w:r w:rsidR="00C418FB" w:rsidRPr="00C418FB">
        <w:rPr>
          <w:lang w:val="en-US"/>
        </w:rPr>
        <w:t xml:space="preserve"> </w:t>
      </w:r>
      <w:r w:rsidR="00CF3410">
        <w:rPr>
          <w:lang w:val="en-US"/>
        </w:rPr>
        <w:t xml:space="preserve">– </w:t>
      </w:r>
      <w:r w:rsidR="00C418FB" w:rsidRPr="00C418FB">
        <w:rPr>
          <w:lang w:val="en-US"/>
        </w:rPr>
        <w:t>the</w:t>
      </w:r>
      <w:r w:rsidR="00C418FB">
        <w:rPr>
          <w:lang w:val="en-US"/>
        </w:rPr>
        <w:t xml:space="preserve"> </w:t>
      </w:r>
      <w:r w:rsidR="00C418FB" w:rsidRPr="00C418FB">
        <w:rPr>
          <w:lang w:val="en-US"/>
        </w:rPr>
        <w:t>confl</w:t>
      </w:r>
      <w:r w:rsidR="00CF3410">
        <w:rPr>
          <w:lang w:val="en-US"/>
        </w:rPr>
        <w:t>ict, translating the conflict</w:t>
      </w:r>
      <w:r w:rsidR="00C418FB" w:rsidRPr="00C418FB">
        <w:rPr>
          <w:lang w:val="en-US"/>
        </w:rPr>
        <w:t xml:space="preserve"> into new political and legal institutions</w:t>
      </w:r>
      <w:r w:rsidR="00CF3410" w:rsidRPr="00CF3410">
        <w:rPr>
          <w:lang w:val="en-US"/>
        </w:rPr>
        <w:t xml:space="preserve"> </w:t>
      </w:r>
      <w:r w:rsidR="00CF3410" w:rsidRPr="00344BA8">
        <w:rPr>
          <w:lang w:val="en-US"/>
        </w:rPr>
        <w:t>for continuing negotiation</w:t>
      </w:r>
      <w:r w:rsidR="00E600E2">
        <w:rPr>
          <w:lang w:val="en-US"/>
        </w:rPr>
        <w:t>. Accepting that the</w:t>
      </w:r>
      <w:r w:rsidR="00344BA8" w:rsidRPr="00344BA8">
        <w:rPr>
          <w:lang w:val="en-US"/>
        </w:rPr>
        <w:t xml:space="preserve"> </w:t>
      </w:r>
      <w:proofErr w:type="spellStart"/>
      <w:r w:rsidR="00344BA8" w:rsidRPr="00344BA8">
        <w:rPr>
          <w:lang w:val="en-US"/>
        </w:rPr>
        <w:t>formalised</w:t>
      </w:r>
      <w:proofErr w:type="spellEnd"/>
      <w:r w:rsidR="00344BA8" w:rsidRPr="00344BA8">
        <w:rPr>
          <w:lang w:val="en-US"/>
        </w:rPr>
        <w:t xml:space="preserve"> political unsettlement may be here to stay,</w:t>
      </w:r>
      <w:r w:rsidR="00E600E2">
        <w:rPr>
          <w:lang w:val="en-US"/>
        </w:rPr>
        <w:t xml:space="preserve"> given the scale of the practice,</w:t>
      </w:r>
      <w:r w:rsidR="00344BA8" w:rsidRPr="00344BA8">
        <w:rPr>
          <w:lang w:val="en-US"/>
        </w:rPr>
        <w:t xml:space="preserve"> </w:t>
      </w:r>
      <w:r w:rsidR="009A4583">
        <w:rPr>
          <w:lang w:val="en-US"/>
        </w:rPr>
        <w:t xml:space="preserve">the PSRP </w:t>
      </w:r>
      <w:proofErr w:type="spellStart"/>
      <w:r w:rsidR="009A4583">
        <w:rPr>
          <w:lang w:val="en-US"/>
        </w:rPr>
        <w:t>prioritis</w:t>
      </w:r>
      <w:r w:rsidR="00E600E2">
        <w:rPr>
          <w:lang w:val="en-US"/>
        </w:rPr>
        <w:t>ed</w:t>
      </w:r>
      <w:proofErr w:type="spellEnd"/>
      <w:r w:rsidR="00E600E2">
        <w:rPr>
          <w:lang w:val="en-US"/>
        </w:rPr>
        <w:t xml:space="preserve"> the search for</w:t>
      </w:r>
      <w:r w:rsidR="00344BA8">
        <w:rPr>
          <w:lang w:val="en-US"/>
        </w:rPr>
        <w:t xml:space="preserve"> </w:t>
      </w:r>
      <w:r w:rsidR="00344BA8" w:rsidRPr="00344BA8">
        <w:rPr>
          <w:lang w:val="en-US"/>
        </w:rPr>
        <w:t>opportunities for navigating between elite inclusion and broader societal inclusion.</w:t>
      </w:r>
    </w:p>
    <w:p w14:paraId="1FE86268" w14:textId="159082D0" w:rsidR="00A06F88" w:rsidRDefault="00102D97" w:rsidP="00CE1362">
      <w:r>
        <w:t>The formalised political unsettlement is defined by four characteristics and each, in turn, offer ambi</w:t>
      </w:r>
      <w:r w:rsidR="004A7455">
        <w:t>guous</w:t>
      </w:r>
      <w:r>
        <w:t xml:space="preserve"> opportunities for broader</w:t>
      </w:r>
      <w:r w:rsidR="00CE1362" w:rsidRPr="00DB1EB5">
        <w:t xml:space="preserve"> inclusion</w:t>
      </w:r>
      <w:r>
        <w:t xml:space="preserve"> projects, namely</w:t>
      </w:r>
      <w:r w:rsidR="00CE1362" w:rsidRPr="00DB1EB5">
        <w:t xml:space="preserve"> (1) group accommodation potentially opening up other types of identity-based representation,</w:t>
      </w:r>
      <w:r w:rsidR="009A4583">
        <w:t xml:space="preserve"> including potentially women;</w:t>
      </w:r>
      <w:r w:rsidR="00CE1362" w:rsidRPr="00DB1EB5">
        <w:t xml:space="preserve"> (2) perpetual reform means that there are ongoing opportunities for </w:t>
      </w:r>
      <w:r w:rsidR="00344BA8">
        <w:t xml:space="preserve">inclusive </w:t>
      </w:r>
      <w:r w:rsidR="009A4583">
        <w:t>change;</w:t>
      </w:r>
      <w:r w:rsidR="00CE1362" w:rsidRPr="00DB1EB5">
        <w:t xml:space="preserve"> (3) </w:t>
      </w:r>
      <w:r w:rsidR="00344BA8">
        <w:t xml:space="preserve">the </w:t>
      </w:r>
      <w:r w:rsidR="00CE1362" w:rsidRPr="00DB1EB5">
        <w:t xml:space="preserve">heightened role for international norms </w:t>
      </w:r>
      <w:r w:rsidR="00344BA8">
        <w:t>opens</w:t>
      </w:r>
      <w:r w:rsidR="00CE1362" w:rsidRPr="00DB1EB5">
        <w:t xml:space="preserve"> up universal</w:t>
      </w:r>
      <w:r w:rsidR="009A4583">
        <w:t>,</w:t>
      </w:r>
      <w:r w:rsidR="00CE1362" w:rsidRPr="00DB1EB5">
        <w:t xml:space="preserve"> value-driven norms as </w:t>
      </w:r>
      <w:r w:rsidR="009A4583">
        <w:t xml:space="preserve">a </w:t>
      </w:r>
      <w:r w:rsidR="00CE1362" w:rsidRPr="00DB1EB5">
        <w:t>medium of discussion between</w:t>
      </w:r>
      <w:r w:rsidR="009A4583">
        <w:t xml:space="preserve"> local and international actors;</w:t>
      </w:r>
      <w:r w:rsidR="00CE1362" w:rsidRPr="00DB1EB5">
        <w:t xml:space="preserve"> (4) domestic institutions </w:t>
      </w:r>
      <w:r w:rsidR="00344BA8">
        <w:t>include</w:t>
      </w:r>
      <w:r w:rsidR="00CE1362" w:rsidRPr="00DB1EB5">
        <w:t xml:space="preserve"> fluid transnational dimensions.</w:t>
      </w:r>
      <w:r w:rsidR="00E600E2">
        <w:t xml:space="preserve"> </w:t>
      </w:r>
      <w:r w:rsidR="00A06F88">
        <w:t xml:space="preserve">The gender theme addressed, both directly and indirectly, the potential for inclusion </w:t>
      </w:r>
      <w:r w:rsidR="00A06F88">
        <w:lastRenderedPageBreak/>
        <w:t xml:space="preserve">through a series of bespoke and cross-cutting research projects, which in turn inform the Special Issue. </w:t>
      </w:r>
    </w:p>
    <w:p w14:paraId="53A26ED8" w14:textId="77777777" w:rsidR="00AE1477" w:rsidRDefault="00AE1477" w:rsidP="00DB1EB5">
      <w:pPr>
        <w:jc w:val="left"/>
        <w:rPr>
          <w:lang w:val="en-US"/>
        </w:rPr>
      </w:pPr>
    </w:p>
    <w:p w14:paraId="198326F8" w14:textId="6BC91775" w:rsidR="00AE1477" w:rsidRPr="00AE1477" w:rsidRDefault="00AE1477" w:rsidP="0017209C">
      <w:pPr>
        <w:pStyle w:val="Heading1"/>
        <w:rPr>
          <w:lang w:val="en-US"/>
        </w:rPr>
      </w:pPr>
      <w:bookmarkStart w:id="2" w:name="_Toc404500994"/>
      <w:r>
        <w:rPr>
          <w:lang w:val="en-US"/>
        </w:rPr>
        <w:t>How Do We Know What We Know?</w:t>
      </w:r>
      <w:bookmarkEnd w:id="2"/>
      <w:r>
        <w:rPr>
          <w:lang w:val="en-US"/>
        </w:rPr>
        <w:t xml:space="preserve"> </w:t>
      </w:r>
    </w:p>
    <w:p w14:paraId="4EF753EC" w14:textId="6800FEB8" w:rsidR="00243AE7" w:rsidRDefault="00243AE7" w:rsidP="00243AE7">
      <w:r>
        <w:t xml:space="preserve">The Special Issue </w:t>
      </w:r>
      <w:r w:rsidR="002075BB">
        <w:t>reflects the</w:t>
      </w:r>
      <w:r>
        <w:t xml:space="preserve"> diverse disciplinary perspectives</w:t>
      </w:r>
      <w:r w:rsidR="002075BB">
        <w:t xml:space="preserve"> that make up the PSRP</w:t>
      </w:r>
      <w:r w:rsidR="009A4583">
        <w:t xml:space="preserve"> c</w:t>
      </w:r>
      <w:r>
        <w:t>onsortium</w:t>
      </w:r>
      <w:r w:rsidR="002075BB">
        <w:t>. These disciplinary perspectives include</w:t>
      </w:r>
      <w:r>
        <w:t xml:space="preserve"> intern</w:t>
      </w:r>
      <w:r w:rsidR="002075BB">
        <w:t>ational law, political science</w:t>
      </w:r>
      <w:r>
        <w:t>, peace and c</w:t>
      </w:r>
      <w:r w:rsidR="002075BB">
        <w:t>onflict studies, gender studies and</w:t>
      </w:r>
      <w:r>
        <w:t xml:space="preserve"> area studies</w:t>
      </w:r>
      <w:r w:rsidR="002075BB">
        <w:t>.</w:t>
      </w:r>
      <w:r w:rsidR="004A7455">
        <w:t xml:space="preserve"> </w:t>
      </w:r>
      <w:r w:rsidR="002075BB">
        <w:t>Further,</w:t>
      </w:r>
      <w:r w:rsidR="004A7455">
        <w:t xml:space="preserve"> importantly</w:t>
      </w:r>
      <w:r w:rsidR="002075BB">
        <w:t xml:space="preserve">, the programme and Special Issue </w:t>
      </w:r>
      <w:r w:rsidR="003405FF">
        <w:t>work</w:t>
      </w:r>
      <w:r w:rsidR="002075BB">
        <w:t>ed</w:t>
      </w:r>
      <w:r w:rsidR="003405FF">
        <w:t xml:space="preserve"> hard to productively manage</w:t>
      </w:r>
      <w:r w:rsidR="000849EF">
        <w:t>, and challenge,</w:t>
      </w:r>
      <w:r w:rsidR="003405FF">
        <w:t xml:space="preserve"> </w:t>
      </w:r>
      <w:r w:rsidR="004A7455">
        <w:t xml:space="preserve">traditional boundaries between </w:t>
      </w:r>
      <w:r w:rsidR="003405FF">
        <w:t>scholars and practitioners</w:t>
      </w:r>
      <w:r>
        <w:t>. The different disciplinary</w:t>
      </w:r>
      <w:r w:rsidR="000849EF">
        <w:t xml:space="preserve"> and practical</w:t>
      </w:r>
      <w:r>
        <w:t xml:space="preserve"> perspectives have, in turn, an impact on the range of both theoretical frameworks and methodological approaches that inform the Special Issue. </w:t>
      </w:r>
      <w:r w:rsidR="000849EF">
        <w:t xml:space="preserve">Thus the articles draw variously on </w:t>
      </w:r>
      <w:r w:rsidR="005B2936">
        <w:t>participatory action research</w:t>
      </w:r>
      <w:r w:rsidR="00B5611D">
        <w:t xml:space="preserve"> (</w:t>
      </w:r>
      <w:proofErr w:type="spellStart"/>
      <w:r w:rsidR="00B5611D">
        <w:t>Yousuf</w:t>
      </w:r>
      <w:proofErr w:type="spellEnd"/>
      <w:r w:rsidR="00FC6B74">
        <w:t xml:space="preserve"> and Close</w:t>
      </w:r>
      <w:r w:rsidR="00B5611D">
        <w:t>)</w:t>
      </w:r>
      <w:r w:rsidR="000849EF">
        <w:t>,</w:t>
      </w:r>
      <w:r w:rsidR="005B2936">
        <w:t xml:space="preserve"> social network analysis</w:t>
      </w:r>
      <w:r w:rsidR="00B5611D">
        <w:t xml:space="preserve"> (Marks)</w:t>
      </w:r>
      <w:r w:rsidR="000849EF">
        <w:t>,</w:t>
      </w:r>
      <w:r w:rsidR="005B2936">
        <w:t xml:space="preserve"> large-N quantitative analysis</w:t>
      </w:r>
      <w:r w:rsidR="00B5611D">
        <w:t xml:space="preserve"> (Bell and </w:t>
      </w:r>
      <w:proofErr w:type="spellStart"/>
      <w:r w:rsidR="00B5611D">
        <w:t>McNicholl</w:t>
      </w:r>
      <w:proofErr w:type="spellEnd"/>
      <w:r w:rsidR="00B5611D">
        <w:t>)</w:t>
      </w:r>
      <w:r w:rsidR="000849EF">
        <w:t>,</w:t>
      </w:r>
      <w:r w:rsidR="005B2936">
        <w:t xml:space="preserve"> doctrinal legal analysis</w:t>
      </w:r>
      <w:r w:rsidR="00B5611D">
        <w:t xml:space="preserve"> (O’Rourke)</w:t>
      </w:r>
      <w:r w:rsidR="000849EF">
        <w:t>, longitudinal analysis</w:t>
      </w:r>
      <w:r w:rsidR="00B5611D">
        <w:t xml:space="preserve"> (Doyle and McWilliams)</w:t>
      </w:r>
      <w:r w:rsidR="000849EF">
        <w:t xml:space="preserve"> and</w:t>
      </w:r>
      <w:r w:rsidR="005B2936">
        <w:t xml:space="preserve"> comparative analysis</w:t>
      </w:r>
      <w:r w:rsidR="00B5611D">
        <w:t xml:space="preserve"> (Swaine, Mackay and </w:t>
      </w:r>
      <w:proofErr w:type="spellStart"/>
      <w:r w:rsidR="00B5611D">
        <w:t>Murtagh</w:t>
      </w:r>
      <w:proofErr w:type="spellEnd"/>
      <w:r w:rsidR="00B5611D">
        <w:t>)</w:t>
      </w:r>
      <w:r w:rsidR="005B2936">
        <w:t xml:space="preserve">. </w:t>
      </w:r>
      <w:r w:rsidR="000849EF">
        <w:t>Despite its diversity, there are s</w:t>
      </w:r>
      <w:r w:rsidR="005B2936">
        <w:t>ome unifying aspects</w:t>
      </w:r>
      <w:r w:rsidR="000849EF">
        <w:t xml:space="preserve"> to the methodological approach that</w:t>
      </w:r>
      <w:r w:rsidR="005B2936">
        <w:t xml:space="preserve"> can be identified. </w:t>
      </w:r>
      <w:r w:rsidR="002C7DDE">
        <w:t xml:space="preserve">This section discusses </w:t>
      </w:r>
      <w:r w:rsidR="000849EF">
        <w:t>six</w:t>
      </w:r>
      <w:r w:rsidR="002C7DDE">
        <w:t xml:space="preserve"> such aspects. </w:t>
      </w:r>
    </w:p>
    <w:p w14:paraId="685386CF" w14:textId="78F9B417" w:rsidR="00EC527C" w:rsidRDefault="00AE1477" w:rsidP="00B64272">
      <w:pPr>
        <w:rPr>
          <w:lang w:val="en-US"/>
        </w:rPr>
      </w:pPr>
      <w:r>
        <w:rPr>
          <w:lang w:val="en-US"/>
        </w:rPr>
        <w:t xml:space="preserve">First, </w:t>
      </w:r>
      <w:r w:rsidR="00597A30">
        <w:rPr>
          <w:lang w:val="en-US"/>
        </w:rPr>
        <w:t>the Special Issue is united by a commitment to</w:t>
      </w:r>
      <w:r w:rsidR="00E2565C">
        <w:rPr>
          <w:lang w:val="en-US"/>
        </w:rPr>
        <w:t xml:space="preserve"> gender analysis </w:t>
      </w:r>
      <w:r w:rsidR="00597A30">
        <w:rPr>
          <w:lang w:val="en-US"/>
        </w:rPr>
        <w:t xml:space="preserve">as </w:t>
      </w:r>
      <w:r w:rsidR="004A78B7" w:rsidRPr="00597A30">
        <w:rPr>
          <w:lang w:val="en-US"/>
        </w:rPr>
        <w:t>a methodological tool</w:t>
      </w:r>
      <w:r w:rsidR="00597A30">
        <w:rPr>
          <w:lang w:val="en-US"/>
        </w:rPr>
        <w:t>.</w:t>
      </w:r>
      <w:r w:rsidR="004A78B7" w:rsidRPr="00597A30">
        <w:rPr>
          <w:lang w:val="en-US"/>
        </w:rPr>
        <w:t xml:space="preserve"> </w:t>
      </w:r>
      <w:proofErr w:type="spellStart"/>
      <w:r w:rsidR="00605D17">
        <w:rPr>
          <w:lang w:val="en-US"/>
        </w:rPr>
        <w:t>Charlesworth</w:t>
      </w:r>
      <w:proofErr w:type="spellEnd"/>
      <w:r w:rsidR="00605D17">
        <w:rPr>
          <w:lang w:val="en-US"/>
        </w:rPr>
        <w:t xml:space="preserve"> has likened </w:t>
      </w:r>
      <w:r w:rsidR="00597A30">
        <w:rPr>
          <w:lang w:val="en-US"/>
        </w:rPr>
        <w:t xml:space="preserve">gender analysis </w:t>
      </w:r>
      <w:r w:rsidR="00605D17">
        <w:rPr>
          <w:lang w:val="en-US"/>
        </w:rPr>
        <w:t>to an ‘archaeological dig’</w:t>
      </w:r>
      <w:r w:rsidR="00597A30">
        <w:rPr>
          <w:lang w:val="en-US"/>
        </w:rPr>
        <w:t>,</w:t>
      </w:r>
      <w:r w:rsidR="00597A30">
        <w:rPr>
          <w:rStyle w:val="FootnoteReference"/>
          <w:lang w:val="en-US"/>
        </w:rPr>
        <w:footnoteReference w:id="8"/>
      </w:r>
      <w:r w:rsidR="00605D17">
        <w:rPr>
          <w:lang w:val="en-US"/>
        </w:rPr>
        <w:t xml:space="preserve"> </w:t>
      </w:r>
      <w:r w:rsidR="00597A30">
        <w:rPr>
          <w:lang w:val="en-US"/>
        </w:rPr>
        <w:t>t</w:t>
      </w:r>
      <w:r w:rsidR="00605D17">
        <w:rPr>
          <w:lang w:val="en-US"/>
        </w:rPr>
        <w:t xml:space="preserve">he </w:t>
      </w:r>
      <w:r w:rsidR="00C03DED">
        <w:rPr>
          <w:lang w:val="en-US"/>
        </w:rPr>
        <w:t>top</w:t>
      </w:r>
      <w:r w:rsidR="00605D17">
        <w:rPr>
          <w:lang w:val="en-US"/>
        </w:rPr>
        <w:t xml:space="preserve"> layer of which involves revealing the presence and absence of women </w:t>
      </w:r>
      <w:r w:rsidR="007A17AF">
        <w:rPr>
          <w:lang w:val="en-US"/>
        </w:rPr>
        <w:t>in particular spheres and institutions</w:t>
      </w:r>
      <w:r w:rsidR="00597A30">
        <w:rPr>
          <w:lang w:val="en-US"/>
        </w:rPr>
        <w:t>.</w:t>
      </w:r>
      <w:r w:rsidR="007A17AF">
        <w:rPr>
          <w:lang w:val="en-US"/>
        </w:rPr>
        <w:t xml:space="preserve"> </w:t>
      </w:r>
      <w:r w:rsidR="00597A30">
        <w:rPr>
          <w:lang w:val="en-US"/>
        </w:rPr>
        <w:t>T</w:t>
      </w:r>
      <w:r w:rsidR="007A17AF">
        <w:rPr>
          <w:lang w:val="en-US"/>
        </w:rPr>
        <w:t xml:space="preserve">he </w:t>
      </w:r>
      <w:r w:rsidR="00C03DED">
        <w:rPr>
          <w:lang w:val="en-US"/>
        </w:rPr>
        <w:t>next</w:t>
      </w:r>
      <w:r w:rsidR="007A17AF">
        <w:rPr>
          <w:lang w:val="en-US"/>
        </w:rPr>
        <w:t xml:space="preserve"> layer is to reveal the hidden gender of the traditional canon, revealing how apparently neutral principles and concepts can be seen to be operating differently with respect to women and men</w:t>
      </w:r>
      <w:r w:rsidR="00597A30">
        <w:rPr>
          <w:lang w:val="en-US"/>
        </w:rPr>
        <w:t>.</w:t>
      </w:r>
      <w:r w:rsidR="00237BB4">
        <w:rPr>
          <w:lang w:val="en-US"/>
        </w:rPr>
        <w:t xml:space="preserve"> </w:t>
      </w:r>
      <w:r w:rsidR="00597A30">
        <w:rPr>
          <w:lang w:val="en-US"/>
        </w:rPr>
        <w:t>T</w:t>
      </w:r>
      <w:r w:rsidR="00C03DED">
        <w:rPr>
          <w:lang w:val="en-US"/>
        </w:rPr>
        <w:t>he final and deepest</w:t>
      </w:r>
      <w:r w:rsidR="00237BB4">
        <w:rPr>
          <w:lang w:val="en-US"/>
        </w:rPr>
        <w:t xml:space="preserve"> layer </w:t>
      </w:r>
      <w:r w:rsidR="00237BB4" w:rsidRPr="00237BB4">
        <w:rPr>
          <w:lang w:val="en-US"/>
        </w:rPr>
        <w:t xml:space="preserve">of the excavation </w:t>
      </w:r>
      <w:r w:rsidR="00D4651F">
        <w:rPr>
          <w:lang w:val="en-US"/>
        </w:rPr>
        <w:t xml:space="preserve">is to </w:t>
      </w:r>
      <w:r w:rsidR="00237BB4" w:rsidRPr="00237BB4">
        <w:rPr>
          <w:lang w:val="en-US"/>
        </w:rPr>
        <w:t>reveal the gendered and sexed nature of the basic concepts</w:t>
      </w:r>
      <w:r w:rsidR="00237BB4">
        <w:rPr>
          <w:lang w:val="en-US"/>
        </w:rPr>
        <w:t>.</w:t>
      </w:r>
      <w:r w:rsidR="00E2565C">
        <w:rPr>
          <w:lang w:val="en-US"/>
        </w:rPr>
        <w:t xml:space="preserve"> </w:t>
      </w:r>
      <w:r w:rsidR="00D4651F">
        <w:rPr>
          <w:lang w:val="en-US"/>
        </w:rPr>
        <w:t xml:space="preserve">This framework </w:t>
      </w:r>
      <w:r w:rsidR="0094758A">
        <w:rPr>
          <w:lang w:val="en-US"/>
        </w:rPr>
        <w:t xml:space="preserve">is useful </w:t>
      </w:r>
      <w:r w:rsidR="00D4651F">
        <w:rPr>
          <w:lang w:val="en-US"/>
        </w:rPr>
        <w:t>for reflecting on the gender analysis that underpins the Special Issue.</w:t>
      </w:r>
    </w:p>
    <w:p w14:paraId="1589951B" w14:textId="3DDB3E1D" w:rsidR="00B64272" w:rsidRPr="00DB1EB5" w:rsidRDefault="00D4651F" w:rsidP="00AB0510">
      <w:pPr>
        <w:rPr>
          <w:lang w:val="en-US"/>
        </w:rPr>
      </w:pPr>
      <w:r>
        <w:rPr>
          <w:lang w:val="en-US"/>
        </w:rPr>
        <w:t>Because</w:t>
      </w:r>
      <w:r w:rsidRPr="00DB1EB5">
        <w:rPr>
          <w:lang w:val="en-US"/>
        </w:rPr>
        <w:t xml:space="preserve"> </w:t>
      </w:r>
      <w:r>
        <w:rPr>
          <w:lang w:val="en-US"/>
        </w:rPr>
        <w:t>there is very</w:t>
      </w:r>
      <w:r w:rsidRPr="00DB1EB5">
        <w:rPr>
          <w:lang w:val="en-US"/>
        </w:rPr>
        <w:t xml:space="preserve"> limited conceptual work</w:t>
      </w:r>
      <w:r>
        <w:rPr>
          <w:lang w:val="en-US"/>
        </w:rPr>
        <w:t xml:space="preserve"> considering political settlements as gendered and carrying significant gender implications, gender analysis was</w:t>
      </w:r>
      <w:r w:rsidR="00707728">
        <w:rPr>
          <w:lang w:val="en-US"/>
        </w:rPr>
        <w:t xml:space="preserve"> a</w:t>
      </w:r>
      <w:r>
        <w:rPr>
          <w:lang w:val="en-US"/>
        </w:rPr>
        <w:t xml:space="preserve"> critical methodological tool.</w:t>
      </w:r>
      <w:r w:rsidRPr="00DB1EB5">
        <w:rPr>
          <w:lang w:val="en-US"/>
        </w:rPr>
        <w:t xml:space="preserve"> </w:t>
      </w:r>
      <w:r w:rsidR="002075E4">
        <w:rPr>
          <w:lang w:val="en-US"/>
        </w:rPr>
        <w:t>There wa</w:t>
      </w:r>
      <w:r w:rsidR="00AB0510">
        <w:rPr>
          <w:lang w:val="en-US"/>
        </w:rPr>
        <w:t>s</w:t>
      </w:r>
      <w:r w:rsidR="00707728">
        <w:rPr>
          <w:lang w:val="en-US"/>
        </w:rPr>
        <w:t xml:space="preserve"> a</w:t>
      </w:r>
      <w:r>
        <w:rPr>
          <w:lang w:val="en-US"/>
        </w:rPr>
        <w:t xml:space="preserve"> </w:t>
      </w:r>
      <w:r w:rsidRPr="00DB1EB5">
        <w:rPr>
          <w:lang w:val="en-US"/>
        </w:rPr>
        <w:t xml:space="preserve">body of ‘gender’ case studies </w:t>
      </w:r>
      <w:r w:rsidR="00707728">
        <w:rPr>
          <w:lang w:val="en-US"/>
        </w:rPr>
        <w:t xml:space="preserve">in political settlements </w:t>
      </w:r>
      <w:r w:rsidR="00707728">
        <w:rPr>
          <w:lang w:val="en-US"/>
        </w:rPr>
        <w:lastRenderedPageBreak/>
        <w:t>work</w:t>
      </w:r>
      <w:r w:rsidR="002075E4">
        <w:rPr>
          <w:lang w:val="en-US"/>
        </w:rPr>
        <w:t xml:space="preserve"> that preceded PSRP</w:t>
      </w:r>
      <w:r w:rsidR="00707728">
        <w:rPr>
          <w:lang w:val="en-US"/>
        </w:rPr>
        <w:t>, in which the established political settlements framework was used</w:t>
      </w:r>
      <w:r w:rsidR="002075E4">
        <w:rPr>
          <w:lang w:val="en-US"/>
        </w:rPr>
        <w:t>,</w:t>
      </w:r>
      <w:r w:rsidR="00707728">
        <w:rPr>
          <w:lang w:val="en-US"/>
        </w:rPr>
        <w:t xml:space="preserve"> </w:t>
      </w:r>
      <w:r w:rsidR="002075E4">
        <w:rPr>
          <w:lang w:val="en-US"/>
        </w:rPr>
        <w:t xml:space="preserve">for example, </w:t>
      </w:r>
      <w:r w:rsidR="00707728">
        <w:rPr>
          <w:lang w:val="en-US"/>
        </w:rPr>
        <w:t xml:space="preserve">to explain </w:t>
      </w:r>
      <w:r w:rsidR="009A4583">
        <w:rPr>
          <w:lang w:val="en-US"/>
        </w:rPr>
        <w:t xml:space="preserve">in </w:t>
      </w:r>
      <w:r w:rsidR="00707728">
        <w:rPr>
          <w:lang w:val="en-US"/>
        </w:rPr>
        <w:t>particular the adoption of domestic violence laws in particular contexts.</w:t>
      </w:r>
      <w:r w:rsidR="002075E4">
        <w:rPr>
          <w:rStyle w:val="FootnoteReference"/>
          <w:lang w:val="en-US"/>
        </w:rPr>
        <w:footnoteReference w:id="9"/>
      </w:r>
      <w:r w:rsidR="00707728">
        <w:rPr>
          <w:lang w:val="en-US"/>
        </w:rPr>
        <w:t xml:space="preserve"> </w:t>
      </w:r>
      <w:r w:rsidR="00A7355E">
        <w:rPr>
          <w:lang w:val="en-US"/>
        </w:rPr>
        <w:t>What was not available, however,</w:t>
      </w:r>
      <w:r>
        <w:rPr>
          <w:lang w:val="en-US"/>
        </w:rPr>
        <w:t xml:space="preserve"> </w:t>
      </w:r>
      <w:r w:rsidR="00A7355E">
        <w:rPr>
          <w:lang w:val="en-US"/>
        </w:rPr>
        <w:t>was work that</w:t>
      </w:r>
      <w:r w:rsidRPr="00DB1EB5">
        <w:rPr>
          <w:lang w:val="en-US"/>
        </w:rPr>
        <w:t xml:space="preserve"> reconsider</w:t>
      </w:r>
      <w:r w:rsidR="00A7355E">
        <w:rPr>
          <w:lang w:val="en-US"/>
        </w:rPr>
        <w:t>ed</w:t>
      </w:r>
      <w:r w:rsidRPr="00DB1EB5">
        <w:rPr>
          <w:lang w:val="en-US"/>
        </w:rPr>
        <w:t xml:space="preserve"> some of the core assumptions of the </w:t>
      </w:r>
      <w:r w:rsidR="00A7355E">
        <w:rPr>
          <w:lang w:val="en-US"/>
        </w:rPr>
        <w:t>political settlements framework</w:t>
      </w:r>
      <w:r w:rsidRPr="00DB1EB5">
        <w:rPr>
          <w:lang w:val="en-US"/>
        </w:rPr>
        <w:t xml:space="preserve"> </w:t>
      </w:r>
      <w:r w:rsidR="00A7355E">
        <w:rPr>
          <w:lang w:val="en-US"/>
        </w:rPr>
        <w:t xml:space="preserve">as themselves gendered and gendering. Most productive of these excavations </w:t>
      </w:r>
      <w:r w:rsidR="00AB0510">
        <w:rPr>
          <w:lang w:val="en-US"/>
        </w:rPr>
        <w:t xml:space="preserve">for PSRP </w:t>
      </w:r>
      <w:r w:rsidR="00A7355E">
        <w:rPr>
          <w:lang w:val="en-US"/>
        </w:rPr>
        <w:t>concerned the terms ‘elites’</w:t>
      </w:r>
      <w:r w:rsidR="00F6183D">
        <w:rPr>
          <w:lang w:val="en-US"/>
        </w:rPr>
        <w:t xml:space="preserve"> (in particular, maleness as a marker of elite status)</w:t>
      </w:r>
      <w:r w:rsidR="00A7355E">
        <w:rPr>
          <w:lang w:val="en-US"/>
        </w:rPr>
        <w:t>, ‘violence’</w:t>
      </w:r>
      <w:r w:rsidR="00F6183D">
        <w:rPr>
          <w:lang w:val="en-US"/>
        </w:rPr>
        <w:t xml:space="preserve"> (as </w:t>
      </w:r>
      <w:r w:rsidR="002075E4">
        <w:rPr>
          <w:lang w:val="en-US"/>
        </w:rPr>
        <w:t xml:space="preserve">understood to be </w:t>
      </w:r>
      <w:r w:rsidR="00F6183D">
        <w:rPr>
          <w:lang w:val="en-US"/>
        </w:rPr>
        <w:t>something between armed factions)</w:t>
      </w:r>
      <w:r w:rsidR="00A7355E">
        <w:rPr>
          <w:lang w:val="en-US"/>
        </w:rPr>
        <w:t xml:space="preserve"> and the im</w:t>
      </w:r>
      <w:r w:rsidR="00F6183D">
        <w:rPr>
          <w:lang w:val="en-US"/>
        </w:rPr>
        <w:t xml:space="preserve">plicit conception of the political settlement as a public sphere phenomenon, insulated from private </w:t>
      </w:r>
      <w:r w:rsidR="002075E4">
        <w:rPr>
          <w:lang w:val="en-US"/>
        </w:rPr>
        <w:t xml:space="preserve">sphere </w:t>
      </w:r>
      <w:r w:rsidR="00F6183D">
        <w:rPr>
          <w:lang w:val="en-US"/>
        </w:rPr>
        <w:t>gender relations.</w:t>
      </w:r>
      <w:bookmarkStart w:id="3" w:name="_Ref404797037"/>
      <w:r w:rsidR="00F6183D">
        <w:rPr>
          <w:rStyle w:val="FootnoteReference"/>
          <w:lang w:val="en-US"/>
        </w:rPr>
        <w:footnoteReference w:id="10"/>
      </w:r>
      <w:bookmarkEnd w:id="3"/>
      <w:r w:rsidR="00F6183D">
        <w:rPr>
          <w:lang w:val="en-US"/>
        </w:rPr>
        <w:t xml:space="preserve"> </w:t>
      </w:r>
      <w:r w:rsidR="00AB0510">
        <w:rPr>
          <w:lang w:val="en-US"/>
        </w:rPr>
        <w:t xml:space="preserve">PSRP gender work therefore </w:t>
      </w:r>
      <w:r w:rsidR="00DB1EB5" w:rsidRPr="00DB1EB5">
        <w:rPr>
          <w:lang w:val="en-US"/>
        </w:rPr>
        <w:t>named a number of implicit gender assumptions</w:t>
      </w:r>
      <w:r w:rsidR="00C03DED">
        <w:rPr>
          <w:lang w:val="en-US"/>
        </w:rPr>
        <w:t xml:space="preserve"> in </w:t>
      </w:r>
      <w:r w:rsidR="00AB0510">
        <w:rPr>
          <w:lang w:val="en-US"/>
        </w:rPr>
        <w:t xml:space="preserve">the </w:t>
      </w:r>
      <w:r w:rsidR="00C03DED">
        <w:rPr>
          <w:lang w:val="en-US"/>
        </w:rPr>
        <w:t xml:space="preserve">political settlements </w:t>
      </w:r>
      <w:r w:rsidR="00AB0510">
        <w:rPr>
          <w:lang w:val="en-US"/>
        </w:rPr>
        <w:t>framework</w:t>
      </w:r>
      <w:r w:rsidR="00C03DED">
        <w:rPr>
          <w:lang w:val="en-US"/>
        </w:rPr>
        <w:t>.</w:t>
      </w:r>
      <w:bookmarkStart w:id="4" w:name="_Ref404797524"/>
      <w:r w:rsidR="006F55D1">
        <w:rPr>
          <w:rStyle w:val="FootnoteReference"/>
          <w:lang w:val="en-US"/>
        </w:rPr>
        <w:footnoteReference w:id="11"/>
      </w:r>
      <w:bookmarkEnd w:id="4"/>
      <w:r w:rsidR="00C03DED">
        <w:rPr>
          <w:lang w:val="en-US"/>
        </w:rPr>
        <w:t xml:space="preserve"> </w:t>
      </w:r>
    </w:p>
    <w:p w14:paraId="63B7F0E8" w14:textId="5CD8F403" w:rsidR="00AE1477" w:rsidRPr="00AE1477" w:rsidRDefault="009350E5" w:rsidP="00BD5079">
      <w:pPr>
        <w:rPr>
          <w:lang w:val="en-US"/>
        </w:rPr>
      </w:pPr>
      <w:r>
        <w:rPr>
          <w:lang w:val="en-US"/>
        </w:rPr>
        <w:t>T</w:t>
      </w:r>
      <w:r w:rsidR="00502AB3">
        <w:rPr>
          <w:lang w:val="en-US"/>
        </w:rPr>
        <w:t>he conceptual work of uncovering</w:t>
      </w:r>
      <w:r w:rsidR="00DB1EB5" w:rsidRPr="00DB1EB5">
        <w:rPr>
          <w:lang w:val="en-US"/>
        </w:rPr>
        <w:t xml:space="preserve"> implicit gender assumptions</w:t>
      </w:r>
      <w:r w:rsidR="00502AB3">
        <w:rPr>
          <w:lang w:val="en-US"/>
        </w:rPr>
        <w:t xml:space="preserve"> was conducted</w:t>
      </w:r>
      <w:r w:rsidR="00DB1EB5" w:rsidRPr="00DB1EB5">
        <w:rPr>
          <w:lang w:val="en-US"/>
        </w:rPr>
        <w:t xml:space="preserve">, not to discard the </w:t>
      </w:r>
      <w:r w:rsidR="002075E4">
        <w:rPr>
          <w:lang w:val="en-US"/>
        </w:rPr>
        <w:t xml:space="preserve">political settlements </w:t>
      </w:r>
      <w:r w:rsidR="00DB1EB5" w:rsidRPr="00DB1EB5">
        <w:rPr>
          <w:lang w:val="en-US"/>
        </w:rPr>
        <w:t>framework, but in order to enhance it</w:t>
      </w:r>
      <w:r w:rsidR="00502AB3">
        <w:rPr>
          <w:lang w:val="en-US"/>
        </w:rPr>
        <w:t xml:space="preserve">. </w:t>
      </w:r>
      <w:r>
        <w:rPr>
          <w:lang w:val="en-US"/>
        </w:rPr>
        <w:t>There was a</w:t>
      </w:r>
      <w:r w:rsidR="00502AB3">
        <w:rPr>
          <w:lang w:val="en-US"/>
        </w:rPr>
        <w:t xml:space="preserve"> desire both to </w:t>
      </w:r>
      <w:r w:rsidR="00DB1EB5" w:rsidRPr="00DB1EB5">
        <w:rPr>
          <w:lang w:val="en-US"/>
        </w:rPr>
        <w:t>speak</w:t>
      </w:r>
      <w:r w:rsidR="00502AB3">
        <w:rPr>
          <w:lang w:val="en-US"/>
        </w:rPr>
        <w:t xml:space="preserve"> back to what had</w:t>
      </w:r>
      <w:r w:rsidR="00DB1EB5" w:rsidRPr="00DB1EB5">
        <w:rPr>
          <w:lang w:val="en-US"/>
        </w:rPr>
        <w:t xml:space="preserve"> been done</w:t>
      </w:r>
      <w:r w:rsidR="00502AB3">
        <w:rPr>
          <w:lang w:val="en-US"/>
        </w:rPr>
        <w:t xml:space="preserve"> before, while also</w:t>
      </w:r>
      <w:r w:rsidR="00DB1EB5" w:rsidRPr="00DB1EB5">
        <w:rPr>
          <w:lang w:val="en-US"/>
        </w:rPr>
        <w:t xml:space="preserve"> speaking outwards to a broader constituency of scholars and practitioners who are interested in the nexus between </w:t>
      </w:r>
      <w:r w:rsidR="00502AB3">
        <w:rPr>
          <w:lang w:val="en-US"/>
        </w:rPr>
        <w:t xml:space="preserve">conflict, </w:t>
      </w:r>
      <w:r w:rsidR="00DB1EB5" w:rsidRPr="00DB1EB5">
        <w:rPr>
          <w:lang w:val="en-US"/>
        </w:rPr>
        <w:t>development</w:t>
      </w:r>
      <w:r w:rsidR="00502AB3">
        <w:rPr>
          <w:lang w:val="en-US"/>
        </w:rPr>
        <w:t>,</w:t>
      </w:r>
      <w:r w:rsidR="00DB1EB5" w:rsidRPr="00DB1EB5">
        <w:rPr>
          <w:lang w:val="en-US"/>
        </w:rPr>
        <w:t xml:space="preserve"> gender violence and </w:t>
      </w:r>
      <w:r w:rsidR="00502AB3">
        <w:rPr>
          <w:lang w:val="en-US"/>
        </w:rPr>
        <w:t>inclusion</w:t>
      </w:r>
      <w:r w:rsidR="00DB1EB5" w:rsidRPr="00DB1EB5">
        <w:rPr>
          <w:lang w:val="en-US"/>
        </w:rPr>
        <w:t xml:space="preserve">. </w:t>
      </w:r>
      <w:r w:rsidR="002D6416">
        <w:rPr>
          <w:lang w:val="en-US"/>
        </w:rPr>
        <w:t>Thus</w:t>
      </w:r>
      <w:r w:rsidR="00EC527C">
        <w:t>,</w:t>
      </w:r>
      <w:r w:rsidR="0061007D">
        <w:t xml:space="preserve"> a</w:t>
      </w:r>
      <w:r w:rsidR="00DB1EB5">
        <w:t xml:space="preserve">rguably, much of this endeavour has been about bringing established feminist and gender theoretical insights and methodologies to a </w:t>
      </w:r>
      <w:r w:rsidR="002D6416">
        <w:t>framework</w:t>
      </w:r>
      <w:r w:rsidR="00DB1EB5">
        <w:t xml:space="preserve"> that has, to date, been largely immune </w:t>
      </w:r>
      <w:r w:rsidR="002D6416">
        <w:t>to</w:t>
      </w:r>
      <w:r w:rsidR="00DB1EB5">
        <w:t xml:space="preserve"> them</w:t>
      </w:r>
      <w:r w:rsidR="002D6416">
        <w:t>.</w:t>
      </w:r>
      <w:r w:rsidR="00DB1EB5">
        <w:t xml:space="preserve"> </w:t>
      </w:r>
      <w:r w:rsidR="00AE1477">
        <w:rPr>
          <w:lang w:val="en-US"/>
        </w:rPr>
        <w:t>For example, c</w:t>
      </w:r>
      <w:r w:rsidR="00AE1477" w:rsidRPr="00DB1EB5">
        <w:rPr>
          <w:lang w:val="en-US"/>
        </w:rPr>
        <w:t xml:space="preserve">omplicating ‘violence’ and </w:t>
      </w:r>
      <w:r w:rsidR="00B722A7">
        <w:rPr>
          <w:lang w:val="en-US"/>
        </w:rPr>
        <w:t xml:space="preserve">revealing </w:t>
      </w:r>
      <w:r w:rsidR="00AE1477" w:rsidRPr="00DB1EB5">
        <w:rPr>
          <w:lang w:val="en-US"/>
        </w:rPr>
        <w:t>continuities between violence directly due to contestation over the political settlement and more private forms of violence</w:t>
      </w:r>
      <w:r w:rsidR="00B722A7">
        <w:rPr>
          <w:lang w:val="en-US"/>
        </w:rPr>
        <w:t xml:space="preserve"> </w:t>
      </w:r>
      <w:r w:rsidR="002D6416">
        <w:rPr>
          <w:lang w:val="en-US"/>
        </w:rPr>
        <w:t xml:space="preserve">is not </w:t>
      </w:r>
      <w:r w:rsidR="00B722A7">
        <w:rPr>
          <w:lang w:val="en-US"/>
        </w:rPr>
        <w:t xml:space="preserve">necessarily </w:t>
      </w:r>
      <w:r w:rsidR="002D6416">
        <w:rPr>
          <w:lang w:val="en-US"/>
        </w:rPr>
        <w:t>a ‘new’ insight as such</w:t>
      </w:r>
      <w:r w:rsidR="00AB0510">
        <w:rPr>
          <w:lang w:val="en-US"/>
        </w:rPr>
        <w:t>.</w:t>
      </w:r>
      <w:r w:rsidR="00AB0510">
        <w:rPr>
          <w:rStyle w:val="FootnoteReference"/>
          <w:lang w:val="en-US"/>
        </w:rPr>
        <w:footnoteReference w:id="12"/>
      </w:r>
      <w:r w:rsidR="002D6416">
        <w:rPr>
          <w:lang w:val="en-US"/>
        </w:rPr>
        <w:t xml:space="preserve"> </w:t>
      </w:r>
      <w:r w:rsidR="00AB0510">
        <w:rPr>
          <w:lang w:val="en-US"/>
        </w:rPr>
        <w:t>O</w:t>
      </w:r>
      <w:r w:rsidR="002D6416">
        <w:rPr>
          <w:lang w:val="en-US"/>
        </w:rPr>
        <w:t xml:space="preserve">ur research </w:t>
      </w:r>
      <w:r w:rsidR="00AB0510">
        <w:rPr>
          <w:lang w:val="en-US"/>
        </w:rPr>
        <w:t xml:space="preserve">very </w:t>
      </w:r>
      <w:r w:rsidR="002D6416">
        <w:rPr>
          <w:lang w:val="en-US"/>
        </w:rPr>
        <w:t xml:space="preserve">significantly deepens our understanding of </w:t>
      </w:r>
      <w:r w:rsidR="00AB0510">
        <w:rPr>
          <w:lang w:val="en-US"/>
        </w:rPr>
        <w:t>these continuities</w:t>
      </w:r>
      <w:r w:rsidR="002D6416">
        <w:rPr>
          <w:lang w:val="en-US"/>
        </w:rPr>
        <w:t xml:space="preserve"> and, importantly, </w:t>
      </w:r>
      <w:r w:rsidR="00B722A7">
        <w:rPr>
          <w:lang w:val="en-US"/>
        </w:rPr>
        <w:t xml:space="preserve">explains its relationship to questions of </w:t>
      </w:r>
      <w:r w:rsidR="008B0336">
        <w:rPr>
          <w:lang w:val="en-US"/>
        </w:rPr>
        <w:t xml:space="preserve">political settlements </w:t>
      </w:r>
      <w:r w:rsidR="00B722A7">
        <w:rPr>
          <w:lang w:val="en-US"/>
        </w:rPr>
        <w:t>inclusion.</w:t>
      </w:r>
    </w:p>
    <w:p w14:paraId="514EDBF3" w14:textId="3CB40793" w:rsidR="0007476E" w:rsidRPr="0007476E" w:rsidRDefault="002C7DDE" w:rsidP="00BD5079">
      <w:r>
        <w:lastRenderedPageBreak/>
        <w:t>A final comment on the gender analysis</w:t>
      </w:r>
      <w:r w:rsidR="00A20A7A">
        <w:t xml:space="preserve"> underpinning the Special Issue</w:t>
      </w:r>
      <w:r w:rsidR="00FC7F58">
        <w:t xml:space="preserve"> merits mention</w:t>
      </w:r>
      <w:r w:rsidR="00A20A7A">
        <w:t xml:space="preserve">. Early gender analysis in PSRP identified the need to investigate more closely men </w:t>
      </w:r>
      <w:r w:rsidR="00A20A7A" w:rsidRPr="00A20A7A">
        <w:rPr>
          <w:i/>
        </w:rPr>
        <w:t>as men</w:t>
      </w:r>
      <w:r w:rsidR="00AE1477">
        <w:t xml:space="preserve"> </w:t>
      </w:r>
      <w:r w:rsidR="00A20A7A">
        <w:t>in political settlements research.</w:t>
      </w:r>
      <w:r w:rsidR="00A20A7A">
        <w:rPr>
          <w:rStyle w:val="FootnoteReference"/>
        </w:rPr>
        <w:footnoteReference w:id="13"/>
      </w:r>
      <w:r w:rsidR="00A20A7A">
        <w:t xml:space="preserve"> Ultimately, however, </w:t>
      </w:r>
      <w:r w:rsidR="00BD23C7">
        <w:t>the</w:t>
      </w:r>
      <w:r w:rsidR="00A20A7A">
        <w:t xml:space="preserve"> PSRP</w:t>
      </w:r>
      <w:r w:rsidR="00BD23C7">
        <w:t xml:space="preserve"> </w:t>
      </w:r>
      <w:r w:rsidR="00224893">
        <w:t>‘</w:t>
      </w:r>
      <w:r w:rsidR="0061007D">
        <w:t>g</w:t>
      </w:r>
      <w:r w:rsidR="00224893">
        <w:t xml:space="preserve">ender’ </w:t>
      </w:r>
      <w:r w:rsidR="00FB549B">
        <w:t xml:space="preserve">theme </w:t>
      </w:r>
      <w:r w:rsidR="00224893">
        <w:t xml:space="preserve">primarily </w:t>
      </w:r>
      <w:r w:rsidR="00BD23C7">
        <w:t>investigates questions of</w:t>
      </w:r>
      <w:r w:rsidR="00224893">
        <w:t xml:space="preserve"> women’s inclusion</w:t>
      </w:r>
      <w:r w:rsidR="00FB549B">
        <w:t>. It is</w:t>
      </w:r>
      <w:r w:rsidR="00224893">
        <w:t xml:space="preserve"> </w:t>
      </w:r>
      <w:r w:rsidR="00FB549B">
        <w:t xml:space="preserve">predominantly </w:t>
      </w:r>
      <w:r w:rsidR="00FB549B">
        <w:rPr>
          <w:i/>
        </w:rPr>
        <w:t>feminist</w:t>
      </w:r>
      <w:r w:rsidR="00FB549B">
        <w:t xml:space="preserve"> gender work, interested in understanding sources of gender difference and inequality with a view to ameliorating and ending women’s inequality. </w:t>
      </w:r>
      <w:r w:rsidR="00A20A7A">
        <w:t>Nevertheless</w:t>
      </w:r>
      <w:r w:rsidR="00FB549B">
        <w:t>, understanding gender to be relational between women and men, the research proceeds</w:t>
      </w:r>
      <w:r w:rsidR="00BD23C7">
        <w:t xml:space="preserve"> in ways that </w:t>
      </w:r>
      <w:r w:rsidR="00FB549B">
        <w:t xml:space="preserve">also </w:t>
      </w:r>
      <w:r w:rsidR="00BD23C7">
        <w:t>reveal</w:t>
      </w:r>
      <w:r w:rsidR="00224893">
        <w:t xml:space="preserve"> deeper underpinning gender dynamics of power in political settlements</w:t>
      </w:r>
      <w:r w:rsidR="00BD23C7">
        <w:t xml:space="preserve">. For example, the contributions from Marks and from Doyle and McWilliams, whilst focused on women’s experiences of violence and inclusion/exclusion, </w:t>
      </w:r>
      <w:r w:rsidR="00FB549B">
        <w:t>reveal important insights about the terms of inclusion in the post</w:t>
      </w:r>
      <w:r w:rsidR="009A4583">
        <w:t>-</w:t>
      </w:r>
      <w:r w:rsidR="00FB549B">
        <w:t xml:space="preserve">conflict political settlement for former male combatants. In addition, </w:t>
      </w:r>
      <w:r w:rsidR="00A20A7A">
        <w:t xml:space="preserve">questions about </w:t>
      </w:r>
      <w:r w:rsidR="00FB549B">
        <w:t>the inclusi</w:t>
      </w:r>
      <w:r w:rsidR="008B0336">
        <w:t>on of sexual minorities featured</w:t>
      </w:r>
      <w:r w:rsidR="00FB549B">
        <w:t xml:space="preserve"> explicitly in elements of the gender research, most notably the Gender </w:t>
      </w:r>
      <w:r w:rsidR="00FB1060">
        <w:t>Workshops</w:t>
      </w:r>
      <w:r w:rsidR="00FB549B">
        <w:t xml:space="preserve"> in Nepal (</w:t>
      </w:r>
      <w:proofErr w:type="spellStart"/>
      <w:r w:rsidR="00FC6B74">
        <w:t>Yousuf</w:t>
      </w:r>
      <w:proofErr w:type="spellEnd"/>
      <w:r w:rsidR="00FC6B74">
        <w:t xml:space="preserve"> and Close</w:t>
      </w:r>
      <w:r w:rsidR="00FB549B">
        <w:t xml:space="preserve">). </w:t>
      </w:r>
      <w:r w:rsidR="00FC7F58">
        <w:t>There is</w:t>
      </w:r>
      <w:r w:rsidR="00FB549B">
        <w:t xml:space="preserve"> nevertheless </w:t>
      </w:r>
      <w:r w:rsidR="00FC7F58">
        <w:t>a</w:t>
      </w:r>
      <w:r w:rsidR="00FB549B">
        <w:t xml:space="preserve"> </w:t>
      </w:r>
      <w:r w:rsidR="00A20A7A">
        <w:t xml:space="preserve">need </w:t>
      </w:r>
      <w:r w:rsidR="00224893">
        <w:t xml:space="preserve">to look more closely at men and, in particular, </w:t>
      </w:r>
      <w:r w:rsidR="00A20A7A">
        <w:t xml:space="preserve">how </w:t>
      </w:r>
      <w:proofErr w:type="spellStart"/>
      <w:r w:rsidR="00224893">
        <w:t>homosocial</w:t>
      </w:r>
      <w:proofErr w:type="spellEnd"/>
      <w:r w:rsidR="00224893">
        <w:t xml:space="preserve"> relations between male elites</w:t>
      </w:r>
      <w:r w:rsidR="00A20A7A">
        <w:t xml:space="preserve"> inform, consolidate</w:t>
      </w:r>
      <w:r w:rsidR="00EE6861">
        <w:t xml:space="preserve"> – </w:t>
      </w:r>
      <w:r w:rsidR="00A20A7A">
        <w:t>and may potentially challenge</w:t>
      </w:r>
      <w:r w:rsidR="00EE6861">
        <w:t xml:space="preserve"> – </w:t>
      </w:r>
      <w:r w:rsidR="00A20A7A">
        <w:t>the gendered political settlement.</w:t>
      </w:r>
      <w:r w:rsidR="0007476E">
        <w:t xml:space="preserve"> </w:t>
      </w:r>
    </w:p>
    <w:p w14:paraId="0FDEDCA5" w14:textId="6F2AA5CB" w:rsidR="0061007D" w:rsidRDefault="005B2936" w:rsidP="008B7F7D">
      <w:r w:rsidRPr="00053B72">
        <w:t>Second, the Special Issue (and PSRP gender work more broadly) reflect</w:t>
      </w:r>
      <w:r w:rsidR="003910FC" w:rsidRPr="00053B72">
        <w:t>s</w:t>
      </w:r>
      <w:r w:rsidRPr="00053B72">
        <w:t xml:space="preserve"> the </w:t>
      </w:r>
      <w:r w:rsidR="008B7F7D">
        <w:t>‘</w:t>
      </w:r>
      <w:r w:rsidR="0061007D" w:rsidRPr="00053B72">
        <w:t xml:space="preserve">methodological </w:t>
      </w:r>
      <w:r w:rsidRPr="00053B72">
        <w:t>eclecticism</w:t>
      </w:r>
      <w:r w:rsidR="008B7F7D">
        <w:t>’</w:t>
      </w:r>
      <w:r w:rsidRPr="00053B72">
        <w:t xml:space="preserve"> that is often associated with feminist and gender research</w:t>
      </w:r>
      <w:r w:rsidR="00850CF0" w:rsidRPr="00053B72">
        <w:t>.</w:t>
      </w:r>
      <w:r w:rsidR="005D056D" w:rsidRPr="00053B72">
        <w:rPr>
          <w:rStyle w:val="FootnoteReference"/>
        </w:rPr>
        <w:footnoteReference w:id="14"/>
      </w:r>
      <w:r w:rsidR="008B7F7D">
        <w:t xml:space="preserve"> </w:t>
      </w:r>
      <w:r w:rsidR="008B7F7D">
        <w:rPr>
          <w:lang w:val="en-US"/>
        </w:rPr>
        <w:t xml:space="preserve">In line with </w:t>
      </w:r>
      <w:r w:rsidR="0094758A">
        <w:rPr>
          <w:lang w:val="en-US"/>
        </w:rPr>
        <w:t xml:space="preserve">the </w:t>
      </w:r>
      <w:proofErr w:type="spellStart"/>
      <w:r w:rsidR="009A4583">
        <w:rPr>
          <w:lang w:val="en-US"/>
        </w:rPr>
        <w:t>characteris</w:t>
      </w:r>
      <w:r w:rsidR="008B7F7D">
        <w:rPr>
          <w:lang w:val="en-US"/>
        </w:rPr>
        <w:t>ation</w:t>
      </w:r>
      <w:proofErr w:type="spellEnd"/>
      <w:r w:rsidR="008B7F7D">
        <w:rPr>
          <w:lang w:val="en-US"/>
        </w:rPr>
        <w:t xml:space="preserve"> of </w:t>
      </w:r>
      <w:r w:rsidR="008B7F7D" w:rsidRPr="008B7F7D">
        <w:rPr>
          <w:lang w:val="en-US"/>
        </w:rPr>
        <w:t>feminist research</w:t>
      </w:r>
      <w:r w:rsidR="0094758A">
        <w:rPr>
          <w:lang w:val="en-US"/>
        </w:rPr>
        <w:t xml:space="preserve"> by </w:t>
      </w:r>
      <w:proofErr w:type="spellStart"/>
      <w:r w:rsidR="0094758A">
        <w:rPr>
          <w:lang w:val="en-US"/>
        </w:rPr>
        <w:t>Krook</w:t>
      </w:r>
      <w:proofErr w:type="spellEnd"/>
      <w:r w:rsidR="0094758A">
        <w:rPr>
          <w:lang w:val="en-US"/>
        </w:rPr>
        <w:t xml:space="preserve"> and Squires</w:t>
      </w:r>
      <w:r w:rsidR="000C3D12">
        <w:rPr>
          <w:lang w:val="en-US"/>
        </w:rPr>
        <w:t>, the Special Issue</w:t>
      </w:r>
      <w:r w:rsidR="008B7F7D" w:rsidRPr="008B7F7D">
        <w:rPr>
          <w:lang w:val="en-US"/>
        </w:rPr>
        <w:t xml:space="preserve"> is driven by substantive political problems and is thus</w:t>
      </w:r>
      <w:r w:rsidR="008B7F7D">
        <w:rPr>
          <w:lang w:val="en-US"/>
        </w:rPr>
        <w:t xml:space="preserve"> </w:t>
      </w:r>
      <w:r w:rsidR="008B7F7D" w:rsidRPr="008B7F7D">
        <w:rPr>
          <w:lang w:val="en-US"/>
        </w:rPr>
        <w:t>open to the deployment of a broad range of methodological frames.</w:t>
      </w:r>
      <w:r w:rsidR="000C06E4">
        <w:rPr>
          <w:rStyle w:val="FootnoteReference"/>
          <w:lang w:val="en-US"/>
        </w:rPr>
        <w:footnoteReference w:id="15"/>
      </w:r>
      <w:r w:rsidR="000C3D12">
        <w:rPr>
          <w:lang w:val="en-US"/>
        </w:rPr>
        <w:t xml:space="preserve"> In addition to methodological eclecticism, the Special Issue is also distinguished by significant methodological innovation.</w:t>
      </w:r>
      <w:r w:rsidR="00850CF0" w:rsidRPr="00053B72">
        <w:t xml:space="preserve"> </w:t>
      </w:r>
      <w:r w:rsidR="00FC6B74">
        <w:t xml:space="preserve">Yousuf and Close </w:t>
      </w:r>
      <w:r w:rsidR="00850CF0">
        <w:t xml:space="preserve">reflect </w:t>
      </w:r>
      <w:r w:rsidR="000C06E4">
        <w:t>thoughtfully and self-</w:t>
      </w:r>
      <w:r w:rsidR="00850CF0">
        <w:t>critically on the participatory actio</w:t>
      </w:r>
      <w:r w:rsidR="009A4583">
        <w:t>n research model that was ado</w:t>
      </w:r>
      <w:r w:rsidR="000C06E4">
        <w:t xml:space="preserve">pted for the </w:t>
      </w:r>
      <w:r w:rsidR="00FB1060">
        <w:t>gender practice workshops</w:t>
      </w:r>
      <w:r w:rsidR="00850CF0">
        <w:t xml:space="preserve"> conducted </w:t>
      </w:r>
      <w:r w:rsidR="00D1258E">
        <w:t xml:space="preserve">with women’s movements </w:t>
      </w:r>
      <w:r w:rsidR="00850CF0">
        <w:t xml:space="preserve">in Bougainville, </w:t>
      </w:r>
      <w:r w:rsidR="000C06E4">
        <w:t>Colombia</w:t>
      </w:r>
      <w:r w:rsidR="00850CF0">
        <w:t xml:space="preserve"> and Nepal</w:t>
      </w:r>
      <w:r w:rsidR="00FB1060">
        <w:t>.</w:t>
      </w:r>
      <w:r w:rsidR="00F025EF">
        <w:t xml:space="preserve"> Marks presents findings on gendered experiences of </w:t>
      </w:r>
      <w:r w:rsidR="00FB1060">
        <w:t>r</w:t>
      </w:r>
      <w:r w:rsidR="009A4583">
        <w:t>eintegration with an underutilis</w:t>
      </w:r>
      <w:r w:rsidR="00FB1060">
        <w:t>ed analytic approach looking at individual social support through ‘ego-centric networks’</w:t>
      </w:r>
      <w:r w:rsidR="00F025EF">
        <w:t xml:space="preserve">. </w:t>
      </w:r>
      <w:r w:rsidR="00CB03C4">
        <w:lastRenderedPageBreak/>
        <w:t xml:space="preserve">Bell and </w:t>
      </w:r>
      <w:proofErr w:type="spellStart"/>
      <w:r w:rsidR="00CB03C4">
        <w:t>McNicholl</w:t>
      </w:r>
      <w:proofErr w:type="spellEnd"/>
      <w:r w:rsidR="00CB03C4">
        <w:t xml:space="preserve"> showcase </w:t>
      </w:r>
      <w:r w:rsidR="00D1258E">
        <w:t xml:space="preserve">both </w:t>
      </w:r>
      <w:r w:rsidR="00F36A27">
        <w:t>quantitative</w:t>
      </w:r>
      <w:r w:rsidR="00CB03C4">
        <w:t xml:space="preserve"> and qualitative findings from the PA-X, a peace agreement database o</w:t>
      </w:r>
      <w:r w:rsidR="00F36A27">
        <w:t>f unprecedented scope and depth</w:t>
      </w:r>
      <w:r w:rsidR="00D1258E">
        <w:t>.</w:t>
      </w:r>
      <w:r w:rsidR="00F36A27">
        <w:t xml:space="preserve"> </w:t>
      </w:r>
      <w:r w:rsidR="00E0727A">
        <w:t>Some contributions</w:t>
      </w:r>
      <w:r w:rsidR="00CB03C4">
        <w:t xml:space="preserve"> draw richly </w:t>
      </w:r>
      <w:r w:rsidR="0059109D">
        <w:t>on</w:t>
      </w:r>
      <w:r w:rsidR="00CB03C4">
        <w:t xml:space="preserve"> </w:t>
      </w:r>
      <w:r w:rsidR="00451E8B">
        <w:t xml:space="preserve">small-N </w:t>
      </w:r>
      <w:r w:rsidR="00CB03C4">
        <w:t xml:space="preserve">comparative </w:t>
      </w:r>
      <w:r w:rsidR="00D1258E">
        <w:t>case stud</w:t>
      </w:r>
      <w:r w:rsidR="0059109D">
        <w:t>ies</w:t>
      </w:r>
      <w:r w:rsidR="00E0727A">
        <w:t xml:space="preserve"> design to render comparative</w:t>
      </w:r>
      <w:r w:rsidR="00D1258E">
        <w:t xml:space="preserve"> </w:t>
      </w:r>
      <w:r w:rsidR="00F36A27">
        <w:t>findings</w:t>
      </w:r>
      <w:r w:rsidR="00D1258E">
        <w:t xml:space="preserve"> on conflict-related violence against women (Swaine)</w:t>
      </w:r>
      <w:r w:rsidR="00E0727A">
        <w:t>, women’s participation in peace processes (</w:t>
      </w:r>
      <w:proofErr w:type="spellStart"/>
      <w:r w:rsidR="00FC6B74">
        <w:t>Yousuf</w:t>
      </w:r>
      <w:proofErr w:type="spellEnd"/>
      <w:r w:rsidR="00FC6B74">
        <w:t xml:space="preserve"> and Close</w:t>
      </w:r>
      <w:r w:rsidR="00E0727A">
        <w:t>) and</w:t>
      </w:r>
      <w:r w:rsidR="00D1258E">
        <w:t xml:space="preserve"> </w:t>
      </w:r>
      <w:r w:rsidR="00451E8B">
        <w:t xml:space="preserve">gendered outcomes of power-sharing (Mackay and </w:t>
      </w:r>
      <w:proofErr w:type="spellStart"/>
      <w:r w:rsidR="00451E8B">
        <w:t>Murtagh</w:t>
      </w:r>
      <w:proofErr w:type="spellEnd"/>
      <w:r w:rsidR="00451E8B">
        <w:t>).</w:t>
      </w:r>
      <w:r w:rsidR="00CB03C4">
        <w:t xml:space="preserve"> </w:t>
      </w:r>
      <w:r w:rsidR="00451E8B">
        <w:t xml:space="preserve">Doyle and McWilliams present their findings from the first-ever longitudinal </w:t>
      </w:r>
      <w:r w:rsidR="00CB76EE">
        <w:t xml:space="preserve">study tracking the evolution of patterns of </w:t>
      </w:r>
      <w:r w:rsidR="00451E8B">
        <w:t>domestic violence</w:t>
      </w:r>
      <w:r w:rsidR="00FC2BBE">
        <w:t>,</w:t>
      </w:r>
      <w:r w:rsidR="00451E8B">
        <w:t xml:space="preserve"> </w:t>
      </w:r>
      <w:r w:rsidR="0059109D">
        <w:t xml:space="preserve">and policy responses </w:t>
      </w:r>
      <w:r w:rsidR="00CB76EE">
        <w:t>to it</w:t>
      </w:r>
      <w:r w:rsidR="00FC2BBE">
        <w:t>,</w:t>
      </w:r>
      <w:r w:rsidR="00CB76EE">
        <w:t xml:space="preserve"> </w:t>
      </w:r>
      <w:r w:rsidR="00451E8B">
        <w:t>during and after conflict, while</w:t>
      </w:r>
      <w:r>
        <w:t xml:space="preserve"> O’Rourke draws on legal doctrinal research in international law. </w:t>
      </w:r>
      <w:r w:rsidR="00451E8B">
        <w:t xml:space="preserve">The apparent methodological eclecticism is nevertheless unified by </w:t>
      </w:r>
      <w:r w:rsidR="004E4E24">
        <w:t xml:space="preserve">the motivation to understand and advance gender-inclusive political settlements. </w:t>
      </w:r>
      <w:r w:rsidR="00CB03C4">
        <w:t xml:space="preserve"> </w:t>
      </w:r>
    </w:p>
    <w:p w14:paraId="7C15414B" w14:textId="5227621E" w:rsidR="00565D61" w:rsidRDefault="00565D61" w:rsidP="00565D61">
      <w:r>
        <w:t>Third, there is considerable geographic diversity underpinn</w:t>
      </w:r>
      <w:r w:rsidR="00543E91">
        <w:t>ing the Special Issue articles and findings.</w:t>
      </w:r>
      <w:r>
        <w:t xml:space="preserve"> </w:t>
      </w:r>
      <w:r w:rsidR="00543E91">
        <w:t>T</w:t>
      </w:r>
      <w:r>
        <w:t>he country cases informing the Special Issue range from Northern Ireland</w:t>
      </w:r>
      <w:r w:rsidR="00543E91">
        <w:t xml:space="preserve"> (Swaine, Doyle and McWilliams</w:t>
      </w:r>
      <w:r w:rsidR="001B16FA">
        <w:t xml:space="preserve">, Mackay and </w:t>
      </w:r>
      <w:proofErr w:type="spellStart"/>
      <w:r w:rsidR="001B16FA">
        <w:t>Murtagh</w:t>
      </w:r>
      <w:proofErr w:type="spellEnd"/>
      <w:r w:rsidR="00543E91">
        <w:t>)</w:t>
      </w:r>
      <w:r>
        <w:t xml:space="preserve"> to Bougainville</w:t>
      </w:r>
      <w:r w:rsidR="001B16FA">
        <w:t>,</w:t>
      </w:r>
      <w:r w:rsidR="00543E91">
        <w:t xml:space="preserve"> </w:t>
      </w:r>
      <w:r w:rsidR="001B16FA">
        <w:t>Colombia and</w:t>
      </w:r>
      <w:r w:rsidR="00543E91">
        <w:t xml:space="preserve"> Nepal (</w:t>
      </w:r>
      <w:proofErr w:type="spellStart"/>
      <w:r w:rsidR="00FC6B74">
        <w:t>Yousuf</w:t>
      </w:r>
      <w:proofErr w:type="spellEnd"/>
      <w:r w:rsidR="00FC6B74">
        <w:t xml:space="preserve"> and Close</w:t>
      </w:r>
      <w:r w:rsidR="00543E91">
        <w:t>)</w:t>
      </w:r>
      <w:r>
        <w:t>, DRC</w:t>
      </w:r>
      <w:r w:rsidR="00543E91">
        <w:t xml:space="preserve"> (</w:t>
      </w:r>
      <w:r w:rsidR="001B16FA">
        <w:t>Marks</w:t>
      </w:r>
      <w:r>
        <w:t>,</w:t>
      </w:r>
      <w:r w:rsidR="001B16FA">
        <w:t xml:space="preserve"> O’Rourke), Liberia and</w:t>
      </w:r>
      <w:r>
        <w:t xml:space="preserve"> Timor </w:t>
      </w:r>
      <w:proofErr w:type="spellStart"/>
      <w:r>
        <w:t>Leste</w:t>
      </w:r>
      <w:proofErr w:type="spellEnd"/>
      <w:r w:rsidR="001B16FA">
        <w:t xml:space="preserve"> (Swaine)</w:t>
      </w:r>
      <w:r>
        <w:t>, Bosnia and Burundi</w:t>
      </w:r>
      <w:r w:rsidR="001B16FA">
        <w:t xml:space="preserve"> (Mackay and </w:t>
      </w:r>
      <w:proofErr w:type="spellStart"/>
      <w:r w:rsidR="001B16FA">
        <w:t>Murtagh</w:t>
      </w:r>
      <w:proofErr w:type="spellEnd"/>
      <w:r w:rsidR="001B16FA">
        <w:t>)</w:t>
      </w:r>
      <w:r>
        <w:t xml:space="preserve">. </w:t>
      </w:r>
      <w:r w:rsidR="001B16FA">
        <w:t xml:space="preserve">Bell and </w:t>
      </w:r>
      <w:proofErr w:type="spellStart"/>
      <w:r w:rsidR="001B16FA">
        <w:t>McNicholl</w:t>
      </w:r>
      <w:proofErr w:type="spellEnd"/>
      <w:r w:rsidR="001B16FA">
        <w:t xml:space="preserve"> conduct a global study of peace agreement practice in all countries since 1990. </w:t>
      </w:r>
      <w:r w:rsidR="00E0727A">
        <w:t>The geographic diversity thus informs single-case study,</w:t>
      </w:r>
      <w:r w:rsidR="00FC2BBE">
        <w:t xml:space="preserve"> as well as</w:t>
      </w:r>
      <w:r w:rsidR="00E0727A">
        <w:t xml:space="preserve"> small-N and large-N comparative case study research design</w:t>
      </w:r>
      <w:r w:rsidR="00CB76EE">
        <w:t>s</w:t>
      </w:r>
      <w:r w:rsidR="00E0727A">
        <w:t>.</w:t>
      </w:r>
    </w:p>
    <w:p w14:paraId="28E9F36E" w14:textId="5C936608" w:rsidR="00CB03C4" w:rsidRDefault="00565D61" w:rsidP="00C820CB">
      <w:r>
        <w:t>Fourth</w:t>
      </w:r>
      <w:r w:rsidR="00BB013B">
        <w:t xml:space="preserve">, the research </w:t>
      </w:r>
      <w:r w:rsidR="004E4E24">
        <w:t>wa</w:t>
      </w:r>
      <w:r w:rsidR="00BB013B">
        <w:t>s conducted with explicit attention to questions of r</w:t>
      </w:r>
      <w:r w:rsidR="00CB03C4">
        <w:t>esearch ethics</w:t>
      </w:r>
      <w:r w:rsidR="00BB013B">
        <w:t xml:space="preserve"> and researcher</w:t>
      </w:r>
      <w:r w:rsidR="00CB03C4">
        <w:t xml:space="preserve"> reflexivity</w:t>
      </w:r>
      <w:r w:rsidR="004E4E24">
        <w:t>.</w:t>
      </w:r>
      <w:r w:rsidR="00CB03C4">
        <w:t xml:space="preserve"> </w:t>
      </w:r>
      <w:r w:rsidR="004E4E24">
        <w:t>Much of the research pertained to</w:t>
      </w:r>
      <w:r w:rsidR="00CB03C4">
        <w:t xml:space="preserve"> sensitive topics</w:t>
      </w:r>
      <w:r w:rsidR="0086485E">
        <w:t>, and some of the research involved</w:t>
      </w:r>
      <w:r w:rsidR="00CB03C4">
        <w:t xml:space="preserve"> vulnerable populations</w:t>
      </w:r>
      <w:r w:rsidR="0086485E">
        <w:t>.</w:t>
      </w:r>
      <w:r w:rsidR="00CB03C4">
        <w:t xml:space="preserve"> </w:t>
      </w:r>
      <w:r w:rsidR="0086485E">
        <w:t xml:space="preserve">The challenges presented were manifold </w:t>
      </w:r>
      <w:r w:rsidR="000B073E">
        <w:t>and</w:t>
      </w:r>
      <w:r w:rsidR="0086485E">
        <w:t xml:space="preserve"> three merit mention here. </w:t>
      </w:r>
      <w:r w:rsidR="009F7A35">
        <w:t xml:space="preserve">One was the </w:t>
      </w:r>
      <w:r w:rsidR="000B073E">
        <w:t>imperative to avoid</w:t>
      </w:r>
      <w:r w:rsidR="009F7A35">
        <w:t xml:space="preserve"> </w:t>
      </w:r>
      <w:r w:rsidR="000B073E">
        <w:t>‘</w:t>
      </w:r>
      <w:r w:rsidR="0086485E" w:rsidRPr="000B073E">
        <w:t>extracti</w:t>
      </w:r>
      <w:r w:rsidR="000B073E">
        <w:t>ve’ research, which draws on research subjects for data</w:t>
      </w:r>
      <w:r w:rsidR="006A3216">
        <w:t>,</w:t>
      </w:r>
      <w:r w:rsidR="000B073E">
        <w:t xml:space="preserve"> but offers no reciprocal value to participants. </w:t>
      </w:r>
      <w:r w:rsidR="0081119D">
        <w:t>The</w:t>
      </w:r>
      <w:r w:rsidR="000B073E">
        <w:t xml:space="preserve"> paper </w:t>
      </w:r>
      <w:r w:rsidR="0081119D">
        <w:t xml:space="preserve">by </w:t>
      </w:r>
      <w:proofErr w:type="spellStart"/>
      <w:r w:rsidR="00CB76EE">
        <w:t>You</w:t>
      </w:r>
      <w:r w:rsidR="0081119D">
        <w:t>suf</w:t>
      </w:r>
      <w:proofErr w:type="spellEnd"/>
      <w:r w:rsidR="0081119D">
        <w:t xml:space="preserve"> </w:t>
      </w:r>
      <w:r w:rsidR="00CB76EE">
        <w:t xml:space="preserve">and Close </w:t>
      </w:r>
      <w:r w:rsidR="000B073E">
        <w:t>involves the most detailed reflection on this challenge and their strategies for avoiding</w:t>
      </w:r>
      <w:r w:rsidR="00180492">
        <w:t xml:space="preserve"> it, </w:t>
      </w:r>
      <w:r w:rsidR="009F7A35">
        <w:t>through sustained</w:t>
      </w:r>
      <w:r w:rsidR="00CB76EE">
        <w:t>,</w:t>
      </w:r>
      <w:r w:rsidR="009F7A35">
        <w:t xml:space="preserve"> established relationships</w:t>
      </w:r>
      <w:r w:rsidR="00180492">
        <w:t xml:space="preserve"> with research partners involved in co-designing research to meet also their own needs.</w:t>
      </w:r>
      <w:r w:rsidR="009F7A35">
        <w:t xml:space="preserve"> Likewise, the </w:t>
      </w:r>
      <w:r w:rsidR="00180492">
        <w:t>domestic violence</w:t>
      </w:r>
      <w:r w:rsidR="009F7A35">
        <w:t xml:space="preserve"> research from </w:t>
      </w:r>
      <w:r w:rsidR="00180492">
        <w:t>Northern Ireland</w:t>
      </w:r>
      <w:r w:rsidR="009F7A35">
        <w:t xml:space="preserve"> </w:t>
      </w:r>
      <w:r w:rsidR="00180492">
        <w:t>was</w:t>
      </w:r>
      <w:r w:rsidR="009F7A35">
        <w:t xml:space="preserve"> a model of co-produce</w:t>
      </w:r>
      <w:r w:rsidR="00CB76EE">
        <w:t>d research, designed to respond</w:t>
      </w:r>
      <w:r w:rsidR="009F7A35">
        <w:t xml:space="preserve"> to the needs and add value to </w:t>
      </w:r>
      <w:r w:rsidR="00CB76EE">
        <w:t xml:space="preserve">the </w:t>
      </w:r>
      <w:r w:rsidR="009F7A35">
        <w:t>advocacy of the partner organisation, in this case Women’s Aid</w:t>
      </w:r>
      <w:r w:rsidR="00180492">
        <w:t xml:space="preserve"> (Doyle and McWilliams)</w:t>
      </w:r>
      <w:r w:rsidR="009F7A35">
        <w:t xml:space="preserve">. </w:t>
      </w:r>
      <w:r w:rsidR="00B465DA">
        <w:t xml:space="preserve">A further ethical issue was the question of researcher reflexivity in research design. The reflexive researcher is aware that designating certain groups to be </w:t>
      </w:r>
      <w:r w:rsidR="00B465DA">
        <w:lastRenderedPageBreak/>
        <w:t>‘elites’ and others ‘non-elites’ is not a value-neutral exercise.</w:t>
      </w:r>
      <w:r w:rsidR="00B465DA">
        <w:rPr>
          <w:rStyle w:val="FootnoteReference"/>
        </w:rPr>
        <w:footnoteReference w:id="16"/>
      </w:r>
      <w:r w:rsidR="00B465DA">
        <w:t xml:space="preserve"> </w:t>
      </w:r>
      <w:r w:rsidR="00C820CB">
        <w:t xml:space="preserve">Rather, the researcher of political settlements has a role in constituting ‘elites’ and ‘non-elites’ through naming them as such. </w:t>
      </w:r>
      <w:r w:rsidR="00B465DA">
        <w:t xml:space="preserve">Thus, the selection of research subjects and partners can also play a role in </w:t>
      </w:r>
      <w:r w:rsidR="009F7A35">
        <w:t>validat</w:t>
      </w:r>
      <w:r w:rsidR="00B465DA">
        <w:t xml:space="preserve">ing </w:t>
      </w:r>
      <w:r w:rsidR="00C820CB">
        <w:t xml:space="preserve">diverse and marginalised </w:t>
      </w:r>
      <w:r w:rsidR="009F7A35">
        <w:t xml:space="preserve">perspectives by </w:t>
      </w:r>
      <w:r w:rsidR="00B465DA">
        <w:t xml:space="preserve">actively </w:t>
      </w:r>
      <w:r w:rsidR="009F7A35">
        <w:t xml:space="preserve">seeking them, </w:t>
      </w:r>
      <w:r w:rsidR="00C820CB">
        <w:t>and by avoiding the</w:t>
      </w:r>
      <w:r w:rsidR="009F7A35">
        <w:t xml:space="preserve"> uncritical designati</w:t>
      </w:r>
      <w:r w:rsidR="00C820CB">
        <w:t>on of</w:t>
      </w:r>
      <w:r w:rsidR="009F7A35">
        <w:t xml:space="preserve"> ‘elites’ (thus worthy of inclusion) and ‘non-elites’.</w:t>
      </w:r>
      <w:r w:rsidR="00754441">
        <w:t xml:space="preserve"> </w:t>
      </w:r>
      <w:r w:rsidR="00C820CB">
        <w:t>Again</w:t>
      </w:r>
      <w:r w:rsidR="00CB03C4">
        <w:t xml:space="preserve"> </w:t>
      </w:r>
      <w:proofErr w:type="spellStart"/>
      <w:r w:rsidR="0081119D">
        <w:t>Yousuf</w:t>
      </w:r>
      <w:proofErr w:type="spellEnd"/>
      <w:r w:rsidR="0081119D">
        <w:t xml:space="preserve"> and Close </w:t>
      </w:r>
      <w:r w:rsidR="00C820CB">
        <w:t xml:space="preserve">attend most </w:t>
      </w:r>
      <w:r w:rsidR="00B95DBE">
        <w:t>directly</w:t>
      </w:r>
      <w:r w:rsidR="00C820CB">
        <w:t xml:space="preserve"> to this question in their contribution, with their explicit objective</w:t>
      </w:r>
      <w:r w:rsidR="00C34BE0">
        <w:t xml:space="preserve"> ‘to understand power from the perspective of those who are impacted by it, and not only by those who wield it’.</w:t>
      </w:r>
      <w:r w:rsidR="00D64621">
        <w:t xml:space="preserve"> </w:t>
      </w:r>
      <w:r w:rsidR="00C820CB">
        <w:t xml:space="preserve">Likewise Swaine designs her </w:t>
      </w:r>
      <w:r w:rsidR="00D02420">
        <w:t xml:space="preserve">contribution </w:t>
      </w:r>
      <w:r w:rsidR="00D64621">
        <w:t xml:space="preserve">to </w:t>
      </w:r>
      <w:r w:rsidR="00D02420">
        <w:t xml:space="preserve">discuss </w:t>
      </w:r>
      <w:r w:rsidR="00D64621">
        <w:t>violence from th</w:t>
      </w:r>
      <w:r w:rsidR="00C820CB">
        <w:t xml:space="preserve">e </w:t>
      </w:r>
      <w:r w:rsidR="00D02420">
        <w:t xml:space="preserve">perspective of those </w:t>
      </w:r>
      <w:r w:rsidR="00D64621">
        <w:t>who experience it rather than those who wield it.</w:t>
      </w:r>
      <w:r w:rsidR="00C34BE0">
        <w:t xml:space="preserve"> </w:t>
      </w:r>
      <w:r w:rsidR="009F7A35">
        <w:t xml:space="preserve">A further </w:t>
      </w:r>
      <w:r w:rsidR="00D02420">
        <w:t xml:space="preserve">ethical </w:t>
      </w:r>
      <w:r w:rsidR="009F7A35">
        <w:t>challenge particularly concerned the violence against women research</w:t>
      </w:r>
      <w:r w:rsidR="00D02420">
        <w:t xml:space="preserve"> (Swaine, Doyle and McWilliams)</w:t>
      </w:r>
      <w:r w:rsidR="009F7A35">
        <w:t xml:space="preserve">, namely avoiding harm to research participants. Ultimately, the researchers in question adopted different responses to this challenge. Swaine opted to conduct semi-structured interviews with service providers </w:t>
      </w:r>
      <w:r w:rsidR="00D02420">
        <w:t xml:space="preserve">in order to avoid potential harm to survivors of </w:t>
      </w:r>
      <w:r w:rsidR="00E83D6C">
        <w:t xml:space="preserve">gender-based </w:t>
      </w:r>
      <w:r w:rsidR="00D02420">
        <w:t>violence, while</w:t>
      </w:r>
      <w:r w:rsidR="009F7A35">
        <w:t xml:space="preserve"> Doyle and McWilliams w</w:t>
      </w:r>
      <w:r w:rsidR="00D02420">
        <w:t>orked through Women’s Aid to co-design the research, research protocols, participant selection</w:t>
      </w:r>
      <w:r w:rsidR="0094758A">
        <w:t>,</w:t>
      </w:r>
      <w:r w:rsidR="00D02420">
        <w:t xml:space="preserve"> and to ensure ongoing support to participants after the research was concluded.</w:t>
      </w:r>
      <w:r w:rsidR="00B76D0A">
        <w:t xml:space="preserve"> </w:t>
      </w:r>
      <w:r>
        <w:t xml:space="preserve">While the gender-based violence research had the most ethical sensitivities of the gender projects, the commitment to ethical research was shared across the projects. </w:t>
      </w:r>
    </w:p>
    <w:p w14:paraId="767F59C2" w14:textId="561BF917" w:rsidR="00691DA0" w:rsidRDefault="00FC7F58" w:rsidP="00691DA0">
      <w:r>
        <w:t>Fifth</w:t>
      </w:r>
      <w:r w:rsidR="00691DA0">
        <w:t xml:space="preserve">, </w:t>
      </w:r>
      <w:r w:rsidR="0001290C">
        <w:t>as part of an aid donor-</w:t>
      </w:r>
      <w:r w:rsidR="00D1406C">
        <w:t xml:space="preserve">funded research programme, the gender research </w:t>
      </w:r>
      <w:r w:rsidR="00F756EA">
        <w:t>had</w:t>
      </w:r>
      <w:r w:rsidR="00D1406C">
        <w:t xml:space="preserve"> a </w:t>
      </w:r>
      <w:r w:rsidR="00691DA0">
        <w:t xml:space="preserve">relationship </w:t>
      </w:r>
      <w:r w:rsidR="00D1406C">
        <w:t xml:space="preserve">both </w:t>
      </w:r>
      <w:r w:rsidR="00691DA0">
        <w:t>to practice</w:t>
      </w:r>
      <w:r w:rsidR="00B95373">
        <w:t xml:space="preserve"> and to funder</w:t>
      </w:r>
      <w:r w:rsidR="0001290C">
        <w:t>,</w:t>
      </w:r>
      <w:r w:rsidR="00D1406C">
        <w:t xml:space="preserve"> </w:t>
      </w:r>
      <w:r w:rsidR="00F756EA">
        <w:t xml:space="preserve">unlike much conventional academic research. As noted, DFID is a major funder of political settlements research. </w:t>
      </w:r>
      <w:r w:rsidR="00CF5092">
        <w:t>As such, the objective of the funding was not (only) scientific excellen</w:t>
      </w:r>
      <w:r w:rsidR="00DA6B4A">
        <w:t>ce</w:t>
      </w:r>
      <w:r w:rsidR="00CF5092">
        <w:t xml:space="preserve">, but real world application to </w:t>
      </w:r>
      <w:r w:rsidR="005D5BB0">
        <w:t>development donors, to civil society actors in societies affected by conflict, and to policy-makers and practitioners more broadly</w:t>
      </w:r>
      <w:r w:rsidR="00691DA0">
        <w:t>.</w:t>
      </w:r>
      <w:r w:rsidR="00DA6B4A">
        <w:t xml:space="preserve"> This unique (for many of us) feature of the research presented both opportunities and challenges. One challenge</w:t>
      </w:r>
      <w:r w:rsidR="004A17E0">
        <w:t>/opportunity</w:t>
      </w:r>
      <w:r w:rsidR="00DA6B4A">
        <w:t xml:space="preserve"> was to communicate findings in a manner useful to a funder’s (dynamic) needs.</w:t>
      </w:r>
      <w:r w:rsidR="00691DA0">
        <w:t xml:space="preserve"> </w:t>
      </w:r>
      <w:r w:rsidR="0085701D">
        <w:t>Academic writing tends to</w:t>
      </w:r>
      <w:r w:rsidR="008B0336">
        <w:t xml:space="preserve"> privilege</w:t>
      </w:r>
      <w:r w:rsidR="00691DA0">
        <w:t xml:space="preserve"> complexity</w:t>
      </w:r>
      <w:r w:rsidR="004A17E0">
        <w:t>,</w:t>
      </w:r>
      <w:r w:rsidR="00691DA0">
        <w:t xml:space="preserve"> nuance</w:t>
      </w:r>
      <w:r w:rsidR="004A17E0">
        <w:t xml:space="preserve"> and fine-grained detail</w:t>
      </w:r>
      <w:r w:rsidR="00691DA0">
        <w:t xml:space="preserve">, while </w:t>
      </w:r>
      <w:r w:rsidR="0085701D">
        <w:t>policy interventions</w:t>
      </w:r>
      <w:r w:rsidR="00691DA0">
        <w:t xml:space="preserve"> place a premium on clarity and </w:t>
      </w:r>
      <w:r w:rsidR="004A17E0">
        <w:t>‘big picture’ findings</w:t>
      </w:r>
      <w:r w:rsidR="00691DA0">
        <w:t>.</w:t>
      </w:r>
      <w:r w:rsidR="004A17E0">
        <w:t xml:space="preserve"> A further issue to be managed </w:t>
      </w:r>
      <w:r w:rsidR="00721FD7">
        <w:t>in</w:t>
      </w:r>
      <w:r w:rsidR="004A17E0">
        <w:t xml:space="preserve"> the research co-produced with research users </w:t>
      </w:r>
      <w:r w:rsidR="004A17E0">
        <w:lastRenderedPageBreak/>
        <w:t>was that the objectives and priori</w:t>
      </w:r>
      <w:r w:rsidR="0001290C">
        <w:t>ties of the research partner were</w:t>
      </w:r>
      <w:r w:rsidR="004A17E0">
        <w:t xml:space="preserve"> </w:t>
      </w:r>
      <w:r w:rsidR="00691DA0">
        <w:t xml:space="preserve">not necessarily </w:t>
      </w:r>
      <w:r w:rsidR="004A17E0">
        <w:t xml:space="preserve">always identical to those of the </w:t>
      </w:r>
      <w:r w:rsidR="00691DA0">
        <w:t xml:space="preserve">funder. </w:t>
      </w:r>
      <w:r w:rsidR="00B95DBE">
        <w:t xml:space="preserve">This tension is reflected on expressly by </w:t>
      </w:r>
      <w:proofErr w:type="spellStart"/>
      <w:r w:rsidR="0081119D">
        <w:t>Yousuf</w:t>
      </w:r>
      <w:proofErr w:type="spellEnd"/>
      <w:r w:rsidR="0081119D">
        <w:t xml:space="preserve"> and Close</w:t>
      </w:r>
      <w:r w:rsidR="00C17590">
        <w:t xml:space="preserve">. </w:t>
      </w:r>
      <w:r w:rsidR="001741B3">
        <w:t>In many respects, mediating these different</w:t>
      </w:r>
      <w:r w:rsidR="0001290C">
        <w:t xml:space="preserve"> relationships and priorities between</w:t>
      </w:r>
      <w:r w:rsidR="001741B3">
        <w:t xml:space="preserve"> practice and funder </w:t>
      </w:r>
      <w:r w:rsidR="00D70695">
        <w:t>alig</w:t>
      </w:r>
      <w:r w:rsidR="00AF25F2">
        <w:t xml:space="preserve">n in </w:t>
      </w:r>
      <w:r w:rsidR="001741B3">
        <w:t>familiar</w:t>
      </w:r>
      <w:r w:rsidR="00AF25F2">
        <w:t xml:space="preserve"> ways with the research impact agenda</w:t>
      </w:r>
      <w:r w:rsidR="00D70695">
        <w:t xml:space="preserve"> of contemporary UK Higher Education</w:t>
      </w:r>
      <w:r w:rsidR="001741B3">
        <w:t>.</w:t>
      </w:r>
      <w:r w:rsidR="00D70695">
        <w:t xml:space="preserve"> </w:t>
      </w:r>
      <w:r w:rsidR="001741B3">
        <w:t>Nevertheless, t</w:t>
      </w:r>
      <w:r w:rsidR="00D70695">
        <w:t xml:space="preserve">he </w:t>
      </w:r>
      <w:r w:rsidR="001741B3">
        <w:t xml:space="preserve">particular </w:t>
      </w:r>
      <w:r w:rsidR="00D70695">
        <w:t xml:space="preserve">challenge – and opportunity – of offering </w:t>
      </w:r>
      <w:r w:rsidR="00AF25F2">
        <w:t xml:space="preserve">‘in-time’ advice to inform aid interventions presented a measure of </w:t>
      </w:r>
      <w:r w:rsidR="001741B3">
        <w:rPr>
          <w:i/>
        </w:rPr>
        <w:t xml:space="preserve">immediate </w:t>
      </w:r>
      <w:r w:rsidR="00AF25F2" w:rsidRPr="00CF5092">
        <w:rPr>
          <w:i/>
        </w:rPr>
        <w:t xml:space="preserve">practical </w:t>
      </w:r>
      <w:r w:rsidR="00CF5092">
        <w:rPr>
          <w:i/>
        </w:rPr>
        <w:t>consequence</w:t>
      </w:r>
      <w:r w:rsidR="00AF25F2">
        <w:t xml:space="preserve"> to </w:t>
      </w:r>
      <w:r w:rsidR="00CF5092">
        <w:t xml:space="preserve">one’s </w:t>
      </w:r>
      <w:r w:rsidR="00AF25F2">
        <w:t xml:space="preserve">research that was </w:t>
      </w:r>
      <w:r w:rsidR="00465FEE">
        <w:t>largely unfamiliar</w:t>
      </w:r>
      <w:r w:rsidR="00AF25F2">
        <w:t xml:space="preserve">. </w:t>
      </w:r>
      <w:r w:rsidR="0026609B">
        <w:t xml:space="preserve">Further, it meant imbricating one’s academic research in international development funding models that one might otherwise or elsewhere have critiqued. </w:t>
      </w:r>
      <w:r w:rsidR="00721FD7">
        <w:t xml:space="preserve">Such dissonance was not uniformly felt across the gender researchers. </w:t>
      </w:r>
    </w:p>
    <w:p w14:paraId="2A8915AE" w14:textId="0810CFEF" w:rsidR="0061007D" w:rsidRDefault="00691DA0" w:rsidP="00BD5079">
      <w:r>
        <w:t>Sixth</w:t>
      </w:r>
      <w:r w:rsidR="00BB013B">
        <w:t xml:space="preserve">, </w:t>
      </w:r>
      <w:r w:rsidR="00465FEE">
        <w:t>‘the personal is political’ is a powerful feminist mantra, but it is also a defining tenet of feminist research design</w:t>
      </w:r>
      <w:r w:rsidR="00292375">
        <w:t xml:space="preserve"> and is manifest in the Special Issue. The articles </w:t>
      </w:r>
      <w:r w:rsidR="009A5B57">
        <w:t>explore</w:t>
      </w:r>
      <w:r w:rsidR="00465FEE">
        <w:t xml:space="preserve"> </w:t>
      </w:r>
      <w:r w:rsidR="0061007D">
        <w:t>gender, power and inclusion at multiple levels</w:t>
      </w:r>
      <w:r w:rsidR="00BB013B">
        <w:t xml:space="preserve"> of analysis</w:t>
      </w:r>
      <w:r w:rsidR="0061007D">
        <w:t>,</w:t>
      </w:r>
      <w:r w:rsidR="00BB013B">
        <w:t xml:space="preserve"> from</w:t>
      </w:r>
      <w:r w:rsidR="0061007D">
        <w:t xml:space="preserve"> the individual within the family (Doyle and </w:t>
      </w:r>
      <w:r w:rsidR="00292375">
        <w:t xml:space="preserve">McWilliams, Swaine), within </w:t>
      </w:r>
      <w:r w:rsidR="0061007D">
        <w:t>immediate social networks (Marks), within women’s movement</w:t>
      </w:r>
      <w:r w:rsidR="00292375">
        <w:t>s and civil society</w:t>
      </w:r>
      <w:r w:rsidR="0061007D">
        <w:t xml:space="preserve"> (</w:t>
      </w:r>
      <w:proofErr w:type="spellStart"/>
      <w:r w:rsidR="0081119D">
        <w:t>Yousuf</w:t>
      </w:r>
      <w:proofErr w:type="spellEnd"/>
      <w:r w:rsidR="0081119D">
        <w:t xml:space="preserve"> and Close</w:t>
      </w:r>
      <w:r w:rsidR="0061007D">
        <w:t xml:space="preserve">), within peace negotiations </w:t>
      </w:r>
      <w:r w:rsidR="00292375">
        <w:t>and</w:t>
      </w:r>
      <w:r w:rsidR="0061007D">
        <w:t xml:space="preserve"> peace agreements, </w:t>
      </w:r>
      <w:r w:rsidR="00292375">
        <w:t xml:space="preserve">within </w:t>
      </w:r>
      <w:r w:rsidR="0061007D">
        <w:t xml:space="preserve">post-agreement domestic political institutions (Mackay and </w:t>
      </w:r>
      <w:proofErr w:type="spellStart"/>
      <w:r w:rsidR="0061007D">
        <w:t>Murtagh</w:t>
      </w:r>
      <w:proofErr w:type="spellEnd"/>
      <w:r w:rsidR="0061007D">
        <w:t>) and in international institutions (O’Rourke).</w:t>
      </w:r>
      <w:r w:rsidR="009A5B57">
        <w:t xml:space="preserve"> Critically, the Special Issue articles draw connections across these levels of analysis that connect, for example, the experience of intimate partner violence to the ‘big-P’</w:t>
      </w:r>
      <w:r w:rsidR="009A5B57">
        <w:rPr>
          <w:rStyle w:val="FootnoteReference"/>
        </w:rPr>
        <w:footnoteReference w:id="17"/>
      </w:r>
      <w:r w:rsidR="009A5B57">
        <w:t xml:space="preserve"> political settlement that traditionally animates </w:t>
      </w:r>
      <w:r w:rsidR="001122ED">
        <w:t xml:space="preserve">the study of </w:t>
      </w:r>
      <w:r w:rsidR="009A5B57">
        <w:t>political settlement</w:t>
      </w:r>
      <w:r w:rsidR="001122ED">
        <w:t>s</w:t>
      </w:r>
      <w:r w:rsidR="009A5B57">
        <w:t xml:space="preserve">. </w:t>
      </w:r>
    </w:p>
    <w:p w14:paraId="3020144A" w14:textId="77777777" w:rsidR="0061007D" w:rsidRPr="0061007D" w:rsidRDefault="0061007D" w:rsidP="0061007D"/>
    <w:p w14:paraId="5958D49D" w14:textId="1C95C8CF" w:rsidR="00224893" w:rsidRDefault="00224893" w:rsidP="0017209C">
      <w:pPr>
        <w:pStyle w:val="Heading1"/>
      </w:pPr>
      <w:bookmarkStart w:id="5" w:name="_Toc404500995"/>
      <w:r>
        <w:t>What Do We Know?</w:t>
      </w:r>
      <w:bookmarkEnd w:id="5"/>
      <w:r>
        <w:t xml:space="preserve"> </w:t>
      </w:r>
    </w:p>
    <w:p w14:paraId="6EE4FDC9" w14:textId="0BC11C49" w:rsidR="00554F68" w:rsidRDefault="00554F68" w:rsidP="00554F68">
      <w:pPr>
        <w:pStyle w:val="Heading2"/>
      </w:pPr>
      <w:bookmarkStart w:id="6" w:name="_Toc404500996"/>
      <w:r>
        <w:t>The Gendered Political Settlement</w:t>
      </w:r>
      <w:bookmarkEnd w:id="6"/>
    </w:p>
    <w:p w14:paraId="0F66B94E" w14:textId="386D2586" w:rsidR="00554F68" w:rsidRDefault="00554F68" w:rsidP="00224893">
      <w:r>
        <w:t xml:space="preserve">As the gender theme, we engaged also with the idea and practice of the ‘formalised political </w:t>
      </w:r>
      <w:r w:rsidR="006625B0">
        <w:t>unsettlement</w:t>
      </w:r>
      <w:r>
        <w:t xml:space="preserve">’, </w:t>
      </w:r>
      <w:r w:rsidR="002C1DFA">
        <w:t>principally with a view to investigating opportunities and strategies for inclusion. Nevertheless,</w:t>
      </w:r>
      <w:r w:rsidRPr="00554F68">
        <w:rPr>
          <w:lang w:val="en-US"/>
        </w:rPr>
        <w:t xml:space="preserve"> </w:t>
      </w:r>
      <w:r w:rsidR="002C1DFA">
        <w:rPr>
          <w:lang w:val="en-US"/>
        </w:rPr>
        <w:t>p</w:t>
      </w:r>
      <w:r w:rsidRPr="00554F68">
        <w:rPr>
          <w:lang w:val="en-US"/>
        </w:rPr>
        <w:t>laying with the '</w:t>
      </w:r>
      <w:proofErr w:type="spellStart"/>
      <w:r w:rsidRPr="00554F68">
        <w:rPr>
          <w:lang w:val="en-US"/>
        </w:rPr>
        <w:t>formalised</w:t>
      </w:r>
      <w:proofErr w:type="spellEnd"/>
      <w:r w:rsidRPr="00554F68">
        <w:rPr>
          <w:lang w:val="en-US"/>
        </w:rPr>
        <w:t xml:space="preserve"> political unsettlement' idea, we saw evidence across the case studies of the </w:t>
      </w:r>
      <w:r w:rsidR="006625B0" w:rsidRPr="00554F68">
        <w:rPr>
          <w:lang w:val="en-US"/>
        </w:rPr>
        <w:t>maintenance</w:t>
      </w:r>
      <w:r w:rsidRPr="00554F68">
        <w:rPr>
          <w:lang w:val="en-US"/>
        </w:rPr>
        <w:t xml:space="preserve"> of many gender norms through otherwise significant political upheaval. </w:t>
      </w:r>
      <w:r w:rsidR="004604BE">
        <w:rPr>
          <w:lang w:val="en-US"/>
        </w:rPr>
        <w:t>Thus we identified a ‘gendered political settleme</w:t>
      </w:r>
      <w:r w:rsidR="0001290C">
        <w:rPr>
          <w:lang w:val="en-US"/>
        </w:rPr>
        <w:t xml:space="preserve">nt’ that undergirded the </w:t>
      </w:r>
      <w:proofErr w:type="spellStart"/>
      <w:r w:rsidR="0001290C">
        <w:rPr>
          <w:lang w:val="en-US"/>
        </w:rPr>
        <w:t>formalis</w:t>
      </w:r>
      <w:r w:rsidR="004604BE">
        <w:rPr>
          <w:lang w:val="en-US"/>
        </w:rPr>
        <w:t>ed</w:t>
      </w:r>
      <w:proofErr w:type="spellEnd"/>
      <w:r w:rsidR="004604BE">
        <w:rPr>
          <w:lang w:val="en-US"/>
        </w:rPr>
        <w:t xml:space="preserve"> political unsettlement. </w:t>
      </w:r>
      <w:r w:rsidR="004604BE">
        <w:rPr>
          <w:lang w:val="en-US"/>
        </w:rPr>
        <w:lastRenderedPageBreak/>
        <w:t xml:space="preserve">The gendered political settlement manifested in a number of diverse though discernible ways. </w:t>
      </w:r>
    </w:p>
    <w:p w14:paraId="2B68C693" w14:textId="2A460A4C" w:rsidR="000239AC" w:rsidRPr="000239AC" w:rsidRDefault="004604BE" w:rsidP="00BF191D">
      <w:r>
        <w:t xml:space="preserve">Most compellingly, striking continuities in women’s experiences of gender-based violence </w:t>
      </w:r>
      <w:r w:rsidR="00BF191D">
        <w:t>before, during and post conflict emerged from PSRP research, as well as cont</w:t>
      </w:r>
      <w:r w:rsidR="00941675">
        <w:t>inu</w:t>
      </w:r>
      <w:r w:rsidR="00BF191D">
        <w:t>ities in the conservative gender norms that enabled such violence (Swaine, Doyle and McWilliams).</w:t>
      </w:r>
      <w:r>
        <w:t xml:space="preserve"> </w:t>
      </w:r>
      <w:r w:rsidR="00BF191D">
        <w:t>Further,</w:t>
      </w:r>
      <w:r>
        <w:t xml:space="preserve"> F</w:t>
      </w:r>
      <w:r w:rsidR="00EE0DBE">
        <w:t xml:space="preserve">eminist </w:t>
      </w:r>
      <w:r w:rsidR="004448D4">
        <w:t>I</w:t>
      </w:r>
      <w:r w:rsidR="00EE0DBE">
        <w:t>nstitutionalism</w:t>
      </w:r>
      <w:r w:rsidR="004448D4">
        <w:t xml:space="preserve"> </w:t>
      </w:r>
      <w:r>
        <w:t xml:space="preserve">(FI) </w:t>
      </w:r>
      <w:r w:rsidR="00EE0DBE">
        <w:t>tells us about the</w:t>
      </w:r>
      <w:r w:rsidR="004448D4">
        <w:t xml:space="preserve"> ‘stickiness’ of gender </w:t>
      </w:r>
      <w:r w:rsidR="00EE0DBE">
        <w:t xml:space="preserve">social </w:t>
      </w:r>
      <w:r w:rsidR="004448D4">
        <w:t xml:space="preserve">norms in determining how </w:t>
      </w:r>
      <w:r w:rsidR="00EE0DBE">
        <w:t xml:space="preserve">even ostensibly </w:t>
      </w:r>
      <w:r w:rsidR="004448D4">
        <w:t>‘new’ institutions operate</w:t>
      </w:r>
      <w:r w:rsidR="00EE0DBE">
        <w:t xml:space="preserve">. </w:t>
      </w:r>
      <w:r w:rsidR="00941675">
        <w:t>N</w:t>
      </w:r>
      <w:r w:rsidR="00BF191D">
        <w:t xml:space="preserve">ew power-sharing arrangements </w:t>
      </w:r>
      <w:r w:rsidR="00941675">
        <w:t xml:space="preserve">tend to </w:t>
      </w:r>
      <w:r w:rsidR="00BF191D">
        <w:t>operate along the same informal gender rules that shaped their predecessor institutions</w:t>
      </w:r>
      <w:r w:rsidR="00914AD6">
        <w:t xml:space="preserve"> (Mackay and </w:t>
      </w:r>
      <w:proofErr w:type="spellStart"/>
      <w:r w:rsidR="00914AD6">
        <w:t>Murtagh</w:t>
      </w:r>
      <w:proofErr w:type="spellEnd"/>
      <w:r w:rsidR="00914AD6">
        <w:t>)</w:t>
      </w:r>
      <w:r w:rsidR="00BF191D">
        <w:t xml:space="preserve">. </w:t>
      </w:r>
      <w:r w:rsidR="00914AD6">
        <w:t>Continuities in both gender social norms and in gendered distribution of power</w:t>
      </w:r>
      <w:r w:rsidR="00EE0DBE">
        <w:t xml:space="preserve"> emerged strongly also from</w:t>
      </w:r>
      <w:r w:rsidR="000239AC" w:rsidRPr="000239AC">
        <w:t xml:space="preserve"> </w:t>
      </w:r>
      <w:r w:rsidR="00EE0DBE">
        <w:t>the</w:t>
      </w:r>
      <w:r w:rsidR="000239AC" w:rsidRPr="000239AC">
        <w:t xml:space="preserve"> </w:t>
      </w:r>
      <w:r>
        <w:t>gender</w:t>
      </w:r>
      <w:r w:rsidR="000239AC" w:rsidRPr="000239AC">
        <w:t xml:space="preserve"> labs</w:t>
      </w:r>
      <w:r w:rsidR="00EE0DBE">
        <w:t xml:space="preserve"> (</w:t>
      </w:r>
      <w:proofErr w:type="spellStart"/>
      <w:r w:rsidR="0001290C">
        <w:t>Yousuf</w:t>
      </w:r>
      <w:proofErr w:type="spellEnd"/>
      <w:r w:rsidR="0001290C">
        <w:t xml:space="preserve"> and Close</w:t>
      </w:r>
      <w:r w:rsidR="00EE0DBE">
        <w:t>).</w:t>
      </w:r>
      <w:r>
        <w:rPr>
          <w:rStyle w:val="FootnoteReference"/>
        </w:rPr>
        <w:footnoteReference w:id="18"/>
      </w:r>
      <w:r w:rsidR="000239AC" w:rsidRPr="000239AC">
        <w:t xml:space="preserve"> </w:t>
      </w:r>
      <w:r w:rsidR="00440007">
        <w:t>In addition</w:t>
      </w:r>
      <w:r w:rsidR="000239AC" w:rsidRPr="000239AC">
        <w:t>, frameworks for conflict resolution can limit the sorts of identities that can emerge</w:t>
      </w:r>
      <w:r w:rsidR="00914AD6">
        <w:t>, and the potential for new identities</w:t>
      </w:r>
      <w:r w:rsidR="000239AC" w:rsidRPr="000239AC">
        <w:t xml:space="preserve"> and thus different gender social norms</w:t>
      </w:r>
      <w:r w:rsidR="00914AD6">
        <w:t>, a finding that emerged strongly from gender and</w:t>
      </w:r>
      <w:r w:rsidR="00EE0DBE">
        <w:t xml:space="preserve"> </w:t>
      </w:r>
      <w:proofErr w:type="spellStart"/>
      <w:r w:rsidR="00EE0DBE">
        <w:t>consociationalism</w:t>
      </w:r>
      <w:proofErr w:type="spellEnd"/>
      <w:r w:rsidR="00EE0DBE">
        <w:t xml:space="preserve"> </w:t>
      </w:r>
      <w:r w:rsidR="00914AD6">
        <w:t xml:space="preserve">research (Mackay and </w:t>
      </w:r>
      <w:proofErr w:type="spellStart"/>
      <w:r w:rsidR="00914AD6">
        <w:t>Murtagh</w:t>
      </w:r>
      <w:proofErr w:type="spellEnd"/>
      <w:r w:rsidR="00914AD6">
        <w:t>)</w:t>
      </w:r>
      <w:r w:rsidR="00EE0DBE">
        <w:t xml:space="preserve">. </w:t>
      </w:r>
    </w:p>
    <w:p w14:paraId="0F6160A7" w14:textId="034013AE" w:rsidR="00717378" w:rsidRDefault="00440007" w:rsidP="00224893">
      <w:r>
        <w:t xml:space="preserve">Further, implicit in the definition of ‘gender perspective’ offered by </w:t>
      </w:r>
      <w:r w:rsidR="00717378">
        <w:t xml:space="preserve">Bell and </w:t>
      </w:r>
      <w:proofErr w:type="spellStart"/>
      <w:r w:rsidR="00717378">
        <w:t>McNicholl</w:t>
      </w:r>
      <w:proofErr w:type="spellEnd"/>
      <w:r w:rsidR="00717378">
        <w:t xml:space="preserve"> </w:t>
      </w:r>
      <w:r>
        <w:t>and their PA-X findings is a recognition that moments of ostensible transformation are not necessarily transformative for women’s inclusion</w:t>
      </w:r>
      <w:r w:rsidR="00E643C4">
        <w:t xml:space="preserve">: </w:t>
      </w:r>
    </w:p>
    <w:p w14:paraId="3E54AEFD" w14:textId="3FA9BBCF" w:rsidR="00E643C4" w:rsidRDefault="00E643C4" w:rsidP="004F7AA6">
      <w:pPr>
        <w:spacing w:line="240" w:lineRule="auto"/>
        <w:ind w:left="720"/>
      </w:pPr>
      <w:r w:rsidRPr="004F7AA6">
        <w:rPr>
          <w:rStyle w:val="QuoteChar"/>
        </w:rPr>
        <w:t>Adopting a gender perspective involves considering how peace negotiations and peace agreements might affect the power relations between men and women. Conversely it would also involve considering how any attempt to renegotiate gender power relations in the course of negotiations, might affect the type of political settlement which the peace agreement aims to inaugurate. In this most holistic sense, a gender perspective involves an attempt to understand the ways in which any new political settlement will affect the implicit ‘sexual contract’ at the heart of the state. It involves asking whether the new dispensation is likely to be transformative or regressive for women and identify possible ways of ensuring that its potential for transformation is maximised</w:t>
      </w:r>
      <w:r w:rsidRPr="00C96143">
        <w:rPr>
          <w:rFonts w:cs="Times New Roman"/>
        </w:rPr>
        <w:t>.</w:t>
      </w:r>
      <w:r w:rsidR="0001290C">
        <w:rPr>
          <w:rFonts w:cs="Times New Roman"/>
        </w:rPr>
        <w:t xml:space="preserve"> (Bell and </w:t>
      </w:r>
      <w:proofErr w:type="spellStart"/>
      <w:r w:rsidR="0001290C">
        <w:rPr>
          <w:rFonts w:cs="Times New Roman"/>
        </w:rPr>
        <w:t>McNicholl</w:t>
      </w:r>
      <w:proofErr w:type="spellEnd"/>
      <w:r w:rsidR="0001290C">
        <w:rPr>
          <w:rFonts w:cs="Times New Roman"/>
        </w:rPr>
        <w:t>, this volume)</w:t>
      </w:r>
    </w:p>
    <w:p w14:paraId="33D79ECE" w14:textId="0F7A26B5" w:rsidR="006625B0" w:rsidRDefault="006625B0" w:rsidP="006625B0">
      <w:pPr>
        <w:rPr>
          <w:lang w:val="en-US"/>
        </w:rPr>
      </w:pPr>
      <w:r w:rsidRPr="00554F68">
        <w:rPr>
          <w:lang w:val="en-US"/>
        </w:rPr>
        <w:t xml:space="preserve">Thus </w:t>
      </w:r>
      <w:r w:rsidR="00851A2C">
        <w:rPr>
          <w:lang w:val="en-US"/>
        </w:rPr>
        <w:t>the ‘</w:t>
      </w:r>
      <w:proofErr w:type="spellStart"/>
      <w:r w:rsidR="00851A2C">
        <w:rPr>
          <w:lang w:val="en-US"/>
        </w:rPr>
        <w:t>formalised</w:t>
      </w:r>
      <w:proofErr w:type="spellEnd"/>
      <w:r w:rsidR="00851A2C">
        <w:rPr>
          <w:lang w:val="en-US"/>
        </w:rPr>
        <w:t xml:space="preserve"> political </w:t>
      </w:r>
      <w:r w:rsidR="0001290C">
        <w:rPr>
          <w:lang w:val="en-US"/>
        </w:rPr>
        <w:t>un</w:t>
      </w:r>
      <w:r w:rsidR="00851A2C">
        <w:rPr>
          <w:lang w:val="en-US"/>
        </w:rPr>
        <w:t>settlement’ may in fact manifest as remarkably settled for women and the terms of their</w:t>
      </w:r>
      <w:r w:rsidR="00941675">
        <w:rPr>
          <w:lang w:val="en-US"/>
        </w:rPr>
        <w:t xml:space="preserve"> experience </w:t>
      </w:r>
      <w:r w:rsidR="0081119D">
        <w:rPr>
          <w:lang w:val="en-US"/>
        </w:rPr>
        <w:t>of inclusion</w:t>
      </w:r>
      <w:r w:rsidR="00941675">
        <w:rPr>
          <w:lang w:val="en-US"/>
        </w:rPr>
        <w:t xml:space="preserve"> and </w:t>
      </w:r>
      <w:r w:rsidR="00851A2C">
        <w:rPr>
          <w:lang w:val="en-US"/>
        </w:rPr>
        <w:t>exclusion.</w:t>
      </w:r>
      <w:r w:rsidRPr="00554F68">
        <w:rPr>
          <w:lang w:val="en-US"/>
        </w:rPr>
        <w:t> </w:t>
      </w:r>
    </w:p>
    <w:p w14:paraId="3F6926D3" w14:textId="77777777" w:rsidR="00566677" w:rsidRDefault="00566677" w:rsidP="006625B0">
      <w:pPr>
        <w:rPr>
          <w:lang w:val="en-US"/>
        </w:rPr>
      </w:pPr>
    </w:p>
    <w:p w14:paraId="7BBFE7E0" w14:textId="77777777" w:rsidR="00950AAB" w:rsidRDefault="00950AAB">
      <w:pPr>
        <w:spacing w:before="0" w:after="0" w:line="240" w:lineRule="auto"/>
        <w:jc w:val="left"/>
        <w:rPr>
          <w:i/>
        </w:rPr>
      </w:pPr>
      <w:bookmarkStart w:id="7" w:name="_Toc404500997"/>
      <w:r>
        <w:br w:type="page"/>
      </w:r>
    </w:p>
    <w:p w14:paraId="7FB8CE3F" w14:textId="50EBA904" w:rsidR="00447EB7" w:rsidRPr="00447EB7" w:rsidRDefault="00447EB7" w:rsidP="0017209C">
      <w:pPr>
        <w:pStyle w:val="Heading2"/>
      </w:pPr>
      <w:r>
        <w:lastRenderedPageBreak/>
        <w:t>Gender, Peace Processes and Inclusion</w:t>
      </w:r>
      <w:bookmarkEnd w:id="7"/>
    </w:p>
    <w:p w14:paraId="6FCD33D4" w14:textId="46EAE4F7" w:rsidR="00447EB7" w:rsidRPr="00023D9E" w:rsidRDefault="002751AD" w:rsidP="00447EB7">
      <w:r>
        <w:t xml:space="preserve">One clear contribution of the </w:t>
      </w:r>
      <w:r w:rsidR="002A469A">
        <w:t>Special Issue (and PSRP more broadly)</w:t>
      </w:r>
      <w:r>
        <w:t xml:space="preserve"> has been to broaden and d</w:t>
      </w:r>
      <w:r w:rsidR="00447EB7" w:rsidRPr="00023D9E">
        <w:t xml:space="preserve">eepen understanding of </w:t>
      </w:r>
      <w:r>
        <w:t xml:space="preserve">the </w:t>
      </w:r>
      <w:r w:rsidR="00447EB7" w:rsidRPr="00023D9E">
        <w:t xml:space="preserve">different spaces in which </w:t>
      </w:r>
      <w:r>
        <w:t xml:space="preserve">women’s inclusion may manifest and may matter. </w:t>
      </w:r>
      <w:r w:rsidR="00851A2C">
        <w:t>As noted, t</w:t>
      </w:r>
      <w:r>
        <w:t xml:space="preserve">he Special Issue </w:t>
      </w:r>
      <w:r w:rsidR="009C166A">
        <w:t xml:space="preserve">documents </w:t>
      </w:r>
      <w:r w:rsidR="00C22184">
        <w:t xml:space="preserve">the terms of </w:t>
      </w:r>
      <w:r w:rsidR="009C166A">
        <w:t xml:space="preserve">women’s inclusion in families (Doyle and McWilliams, Swaine), </w:t>
      </w:r>
      <w:r w:rsidR="00C22184">
        <w:t xml:space="preserve">in </w:t>
      </w:r>
      <w:r w:rsidR="009C166A">
        <w:t xml:space="preserve">social networks (Marks), </w:t>
      </w:r>
      <w:r w:rsidR="00C22184">
        <w:t xml:space="preserve">in </w:t>
      </w:r>
      <w:r w:rsidR="009C166A">
        <w:t>women’s movements (</w:t>
      </w:r>
      <w:proofErr w:type="spellStart"/>
      <w:r w:rsidR="0081119D">
        <w:t>Yousuf</w:t>
      </w:r>
      <w:proofErr w:type="spellEnd"/>
      <w:r w:rsidR="0081119D">
        <w:t xml:space="preserve"> and Close</w:t>
      </w:r>
      <w:r w:rsidR="009C166A">
        <w:t>), in armed groups/forces and reintegration programmes</w:t>
      </w:r>
      <w:r w:rsidR="00EB4AA7">
        <w:t xml:space="preserve"> (Marks)</w:t>
      </w:r>
      <w:r w:rsidR="009C166A">
        <w:t>, in peace negotiations, peace agreements</w:t>
      </w:r>
      <w:r w:rsidR="00EB4AA7">
        <w:t xml:space="preserve"> (Bell and </w:t>
      </w:r>
      <w:proofErr w:type="spellStart"/>
      <w:r w:rsidR="00EB4AA7">
        <w:t>McNicholl</w:t>
      </w:r>
      <w:proofErr w:type="spellEnd"/>
      <w:r w:rsidR="00EB4AA7">
        <w:t>)</w:t>
      </w:r>
      <w:r w:rsidR="009C166A">
        <w:t>, transitional justice processes</w:t>
      </w:r>
      <w:r w:rsidR="00EB4AA7">
        <w:t xml:space="preserve"> (Bell and </w:t>
      </w:r>
      <w:proofErr w:type="spellStart"/>
      <w:r w:rsidR="00EB4AA7">
        <w:t>McNicholl</w:t>
      </w:r>
      <w:proofErr w:type="spellEnd"/>
      <w:r w:rsidR="00EB4AA7">
        <w:t>), post-conflict governance</w:t>
      </w:r>
      <w:r w:rsidR="009C166A">
        <w:t xml:space="preserve"> institutions</w:t>
      </w:r>
      <w:r w:rsidR="00EB4AA7">
        <w:t xml:space="preserve"> (Mackay and </w:t>
      </w:r>
      <w:proofErr w:type="spellStart"/>
      <w:r w:rsidR="00EB4AA7">
        <w:t>Murtagh</w:t>
      </w:r>
      <w:proofErr w:type="spellEnd"/>
      <w:r w:rsidR="00EB4AA7">
        <w:t>)</w:t>
      </w:r>
      <w:r w:rsidR="009C166A">
        <w:t xml:space="preserve"> and in interactions with international institutions</w:t>
      </w:r>
      <w:r w:rsidR="00EB4AA7">
        <w:t xml:space="preserve"> (O’Rourke)</w:t>
      </w:r>
      <w:r w:rsidR="009C166A">
        <w:t xml:space="preserve">. </w:t>
      </w:r>
      <w:r w:rsidR="00851A2C">
        <w:t>Recognising these diverse spaces in which women’s inclusion may manifest and matter</w:t>
      </w:r>
      <w:r w:rsidR="009C166A">
        <w:t xml:space="preserve"> reveals</w:t>
      </w:r>
      <w:r w:rsidR="00851A2C">
        <w:t>, in turn,</w:t>
      </w:r>
      <w:r w:rsidR="009C166A">
        <w:t xml:space="preserve"> how political settlements shape</w:t>
      </w:r>
      <w:r w:rsidR="00EB4AA7">
        <w:t>,</w:t>
      </w:r>
      <w:r w:rsidR="009C166A">
        <w:t xml:space="preserve"> and are shaped by</w:t>
      </w:r>
      <w:r w:rsidR="00EB4AA7">
        <w:t>,</w:t>
      </w:r>
      <w:r w:rsidR="009C166A">
        <w:t xml:space="preserve"> gender </w:t>
      </w:r>
      <w:r w:rsidR="00851A2C">
        <w:t xml:space="preserve">power </w:t>
      </w:r>
      <w:r w:rsidR="009C166A">
        <w:t xml:space="preserve">relations at all levels. </w:t>
      </w:r>
    </w:p>
    <w:p w14:paraId="73FBCAD8" w14:textId="13F43421" w:rsidR="00447EB7" w:rsidRPr="00023D9E" w:rsidRDefault="00575B65" w:rsidP="00447EB7">
      <w:r>
        <w:t xml:space="preserve">Second, </w:t>
      </w:r>
      <w:r w:rsidR="00566677">
        <w:t>gender theme research</w:t>
      </w:r>
      <w:r w:rsidR="00EB4AA7">
        <w:t xml:space="preserve"> reveal</w:t>
      </w:r>
      <w:r w:rsidR="00566677">
        <w:t>ed</w:t>
      </w:r>
      <w:r w:rsidR="00EB4AA7">
        <w:t xml:space="preserve"> c</w:t>
      </w:r>
      <w:r w:rsidR="00447EB7" w:rsidRPr="00023D9E">
        <w:t xml:space="preserve">omplicated </w:t>
      </w:r>
      <w:r w:rsidR="00EB4AA7">
        <w:t xml:space="preserve">and non-linear </w:t>
      </w:r>
      <w:r w:rsidR="00447EB7" w:rsidRPr="00023D9E">
        <w:t>associations between women’s presence, influen</w:t>
      </w:r>
      <w:r w:rsidR="002A469A">
        <w:t xml:space="preserve">ce and positive gender outcomes. One illustrative case study in PSRP gender work is </w:t>
      </w:r>
      <w:r w:rsidR="00447EB7" w:rsidRPr="00023D9E">
        <w:t xml:space="preserve">Nepal, </w:t>
      </w:r>
      <w:r w:rsidR="002A469A">
        <w:t xml:space="preserve">in which a </w:t>
      </w:r>
      <w:r w:rsidR="00447EB7" w:rsidRPr="00023D9E">
        <w:t xml:space="preserve">high female presence in </w:t>
      </w:r>
      <w:r w:rsidR="0001290C">
        <w:t xml:space="preserve">the </w:t>
      </w:r>
      <w:r w:rsidR="00447EB7" w:rsidRPr="00023D9E">
        <w:t>Maoist insurgency</w:t>
      </w:r>
      <w:r w:rsidR="002A469A">
        <w:t xml:space="preserve"> translated into</w:t>
      </w:r>
      <w:r w:rsidR="00447EB7" w:rsidRPr="00023D9E">
        <w:t xml:space="preserve"> very poo</w:t>
      </w:r>
      <w:r w:rsidR="002A469A">
        <w:t>r representation in peace talks.</w:t>
      </w:r>
      <w:r w:rsidR="00447EB7" w:rsidRPr="00023D9E">
        <w:t xml:space="preserve"> </w:t>
      </w:r>
      <w:r w:rsidR="002A469A">
        <w:t>N</w:t>
      </w:r>
      <w:r w:rsidR="00447EB7" w:rsidRPr="00023D9E">
        <w:t>evertheless</w:t>
      </w:r>
      <w:r w:rsidR="002A469A">
        <w:t>, the peace agreement</w:t>
      </w:r>
      <w:r w:rsidR="00447EB7" w:rsidRPr="00023D9E">
        <w:t xml:space="preserve"> </w:t>
      </w:r>
      <w:r w:rsidR="002A469A">
        <w:t xml:space="preserve">was </w:t>
      </w:r>
      <w:r w:rsidR="00447EB7" w:rsidRPr="00023D9E">
        <w:t xml:space="preserve">(relatively) progressive </w:t>
      </w:r>
      <w:r w:rsidR="002A469A">
        <w:t>in</w:t>
      </w:r>
      <w:r w:rsidR="00447EB7" w:rsidRPr="00023D9E">
        <w:t xml:space="preserve"> gender terms and</w:t>
      </w:r>
      <w:r w:rsidR="00AD06A2">
        <w:t>, in the longer-term, contributed to</w:t>
      </w:r>
      <w:r w:rsidR="00447EB7" w:rsidRPr="00023D9E">
        <w:t xml:space="preserve"> increased political activity</w:t>
      </w:r>
      <w:r w:rsidR="00010495">
        <w:t xml:space="preserve"> and presence</w:t>
      </w:r>
      <w:r w:rsidR="00447EB7" w:rsidRPr="00023D9E">
        <w:t xml:space="preserve"> </w:t>
      </w:r>
      <w:r w:rsidR="002A469A">
        <w:t xml:space="preserve">of women </w:t>
      </w:r>
      <w:r w:rsidR="00447EB7" w:rsidRPr="00023D9E">
        <w:t>in formal politics</w:t>
      </w:r>
      <w:r w:rsidR="00AD06A2">
        <w:t>, with more mixed outcomes in terms of gender policy</w:t>
      </w:r>
      <w:r w:rsidR="00447EB7" w:rsidRPr="00023D9E">
        <w:t>.</w:t>
      </w:r>
      <w:bookmarkStart w:id="8" w:name="_Ref404798084"/>
      <w:r w:rsidR="00AD06A2">
        <w:rPr>
          <w:rStyle w:val="FootnoteReference"/>
        </w:rPr>
        <w:footnoteReference w:id="19"/>
      </w:r>
      <w:bookmarkEnd w:id="8"/>
      <w:r w:rsidR="00AD06A2">
        <w:t xml:space="preserve"> Findings from Nepal suggest that, </w:t>
      </w:r>
      <w:r w:rsidR="009569B7">
        <w:t xml:space="preserve">even </w:t>
      </w:r>
      <w:r w:rsidR="00447EB7">
        <w:t>i</w:t>
      </w:r>
      <w:r w:rsidR="00447EB7" w:rsidRPr="00023D9E">
        <w:t xml:space="preserve">n the absence of a strong women’s movement or women’s presence in </w:t>
      </w:r>
      <w:r w:rsidR="00AD06A2">
        <w:t xml:space="preserve">peace </w:t>
      </w:r>
      <w:r w:rsidR="00447EB7" w:rsidRPr="00023D9E">
        <w:t>talks, actors with rhetorical commitment</w:t>
      </w:r>
      <w:r w:rsidR="0001290C">
        <w:t>s</w:t>
      </w:r>
      <w:r w:rsidR="00447EB7" w:rsidRPr="00023D9E">
        <w:t xml:space="preserve"> to gender equality may be able to deliver gains</w:t>
      </w:r>
      <w:r w:rsidR="00010495">
        <w:t>, though not uniformly</w:t>
      </w:r>
      <w:r w:rsidR="00447EB7" w:rsidRPr="00023D9E">
        <w:t>.</w:t>
      </w:r>
      <w:r w:rsidR="009569B7">
        <w:rPr>
          <w:rStyle w:val="FootnoteReference"/>
        </w:rPr>
        <w:footnoteReference w:id="20"/>
      </w:r>
      <w:r w:rsidR="00447EB7" w:rsidRPr="00023D9E">
        <w:t xml:space="preserve"> </w:t>
      </w:r>
      <w:r w:rsidR="00010495">
        <w:t>For any peace process, there is a n</w:t>
      </w:r>
      <w:r w:rsidR="00010495" w:rsidRPr="00023D9E">
        <w:t>eed to ask</w:t>
      </w:r>
      <w:r w:rsidR="00010495">
        <w:t>:</w:t>
      </w:r>
      <w:r w:rsidR="00010495" w:rsidRPr="00023D9E">
        <w:t xml:space="preserve"> who are the actors seeking</w:t>
      </w:r>
      <w:r w:rsidR="0001290C">
        <w:t xml:space="preserve"> and practis</w:t>
      </w:r>
      <w:r w:rsidR="00010495">
        <w:t>ing</w:t>
      </w:r>
      <w:r w:rsidR="00010495" w:rsidRPr="00023D9E">
        <w:t xml:space="preserve"> (1) women’s inclusion, and (2) women’s equality.</w:t>
      </w:r>
    </w:p>
    <w:p w14:paraId="1DA1C698" w14:textId="2EAC54E1" w:rsidR="00447EB7" w:rsidRPr="00023D9E" w:rsidRDefault="00575B65" w:rsidP="00447EB7">
      <w:r>
        <w:t xml:space="preserve">Third, </w:t>
      </w:r>
      <w:r w:rsidR="00E91085">
        <w:t>the gender theme</w:t>
      </w:r>
      <w:r w:rsidR="00010495">
        <w:t xml:space="preserve"> identified</w:t>
      </w:r>
      <w:r>
        <w:t xml:space="preserve"> </w:t>
      </w:r>
      <w:r w:rsidR="00E91085">
        <w:t>a degree of</w:t>
      </w:r>
      <w:r w:rsidR="00447EB7" w:rsidRPr="00023D9E">
        <w:t xml:space="preserve"> </w:t>
      </w:r>
      <w:r>
        <w:t>a</w:t>
      </w:r>
      <w:r w:rsidR="00447EB7" w:rsidRPr="00023D9E">
        <w:t xml:space="preserve">ttrition of </w:t>
      </w:r>
      <w:r w:rsidR="00E91085">
        <w:t xml:space="preserve">progressive </w:t>
      </w:r>
      <w:r w:rsidR="00447EB7" w:rsidRPr="00023D9E">
        <w:t>gender provisions</w:t>
      </w:r>
      <w:r w:rsidR="00E91085">
        <w:t xml:space="preserve"> in peace agreements</w:t>
      </w:r>
      <w:r w:rsidR="00C9029E">
        <w:t xml:space="preserve"> in implementation, but also some chances to achieve equality gains that had not been achievable in the talks process</w:t>
      </w:r>
      <w:r w:rsidR="005A5B14">
        <w:t>. Thus,</w:t>
      </w:r>
      <w:r w:rsidR="00C9029E">
        <w:t xml:space="preserve"> </w:t>
      </w:r>
      <w:r w:rsidR="005A5B14" w:rsidRPr="00023D9E">
        <w:t>what was gained can be lost</w:t>
      </w:r>
      <w:r w:rsidR="005A5B14">
        <w:t xml:space="preserve"> </w:t>
      </w:r>
      <w:r w:rsidR="00E91085">
        <w:t>and</w:t>
      </w:r>
      <w:r w:rsidR="005A5B14" w:rsidRPr="005A5B14">
        <w:t xml:space="preserve"> </w:t>
      </w:r>
      <w:r w:rsidR="005A5B14">
        <w:t>what was lost can be gained</w:t>
      </w:r>
      <w:r w:rsidR="00E91085">
        <w:t>.</w:t>
      </w:r>
      <w:r w:rsidR="00E91085">
        <w:rPr>
          <w:rStyle w:val="FootnoteReference"/>
        </w:rPr>
        <w:footnoteReference w:id="21"/>
      </w:r>
      <w:r w:rsidR="00447EB7" w:rsidRPr="00023D9E">
        <w:t xml:space="preserve"> </w:t>
      </w:r>
      <w:r w:rsidR="00E91085">
        <w:t>For example, the</w:t>
      </w:r>
      <w:r w:rsidR="00447EB7" w:rsidRPr="00023D9E">
        <w:t xml:space="preserve"> Nepal</w:t>
      </w:r>
      <w:r w:rsidR="00E91085">
        <w:t>ese</w:t>
      </w:r>
      <w:r w:rsidR="00447EB7" w:rsidRPr="00023D9E">
        <w:t xml:space="preserve"> 2006 Interim Constitution </w:t>
      </w:r>
      <w:r w:rsidR="00E91085">
        <w:lastRenderedPageBreak/>
        <w:t xml:space="preserve">guaranteed women full citizenship rights on a basis of equality with men, while the </w:t>
      </w:r>
      <w:r w:rsidR="00447EB7" w:rsidRPr="00023D9E">
        <w:t>2015 Constitution</w:t>
      </w:r>
      <w:r w:rsidR="00E91085">
        <w:t xml:space="preserve"> reversed this provision.</w:t>
      </w:r>
      <w:r w:rsidR="00E91085">
        <w:rPr>
          <w:rStyle w:val="FootnoteReference"/>
        </w:rPr>
        <w:footnoteReference w:id="22"/>
      </w:r>
      <w:r w:rsidR="00447EB7" w:rsidRPr="00023D9E">
        <w:t xml:space="preserve"> </w:t>
      </w:r>
      <w:r w:rsidR="00E91085">
        <w:t xml:space="preserve">The reasons for retrenchment reflected an intersectional issue concerning </w:t>
      </w:r>
      <w:proofErr w:type="spellStart"/>
      <w:r w:rsidR="008C2167">
        <w:t>Madhesi</w:t>
      </w:r>
      <w:proofErr w:type="spellEnd"/>
      <w:r w:rsidR="008C2167">
        <w:t xml:space="preserve"> women passing on citizenship to the children of their marriages to Indian men.</w:t>
      </w:r>
      <w:r w:rsidR="00447EB7" w:rsidRPr="00023D9E">
        <w:t xml:space="preserve"> </w:t>
      </w:r>
      <w:r w:rsidR="00C177CC">
        <w:t>The experience in Nepal also illustrated the r</w:t>
      </w:r>
      <w:r w:rsidR="00447EB7" w:rsidRPr="00023D9E">
        <w:t>eassertion of conservative gender norms, as a stabilising force</w:t>
      </w:r>
      <w:r w:rsidR="00C177CC">
        <w:t xml:space="preserve"> in an otherwise very volatile political environment. It is a salutary reminder that there is</w:t>
      </w:r>
      <w:r w:rsidR="00447EB7" w:rsidRPr="00023D9E">
        <w:t xml:space="preserve"> no necessary incompatibility between gender inequality and stability</w:t>
      </w:r>
      <w:r w:rsidR="00C177CC">
        <w:t>.</w:t>
      </w:r>
      <w:r w:rsidR="00447EB7" w:rsidRPr="00023D9E">
        <w:t xml:space="preserve"> </w:t>
      </w:r>
      <w:r w:rsidR="00C177CC">
        <w:t>Ultimately, apparent tensions between inclusive change and stability</w:t>
      </w:r>
      <w:r w:rsidR="00447EB7" w:rsidRPr="00023D9E">
        <w:t xml:space="preserve"> may require outside actors to take </w:t>
      </w:r>
      <w:r w:rsidR="00C177CC">
        <w:t xml:space="preserve">a </w:t>
      </w:r>
      <w:r w:rsidR="00447EB7" w:rsidRPr="00023D9E">
        <w:t>normative over pragmatic stance</w:t>
      </w:r>
      <w:r w:rsidR="00C40401">
        <w:t xml:space="preserve"> if inclusion is to be prioritised in practice</w:t>
      </w:r>
      <w:r w:rsidR="00447EB7" w:rsidRPr="00023D9E">
        <w:t xml:space="preserve">. </w:t>
      </w:r>
    </w:p>
    <w:p w14:paraId="16ECCEF2" w14:textId="69FC42D0" w:rsidR="00575B65" w:rsidRPr="00023D9E" w:rsidRDefault="00C177CC" w:rsidP="00447EB7">
      <w:r>
        <w:t xml:space="preserve">The potential for attrition </w:t>
      </w:r>
      <w:r w:rsidR="00447EB7" w:rsidRPr="00023D9E">
        <w:t xml:space="preserve">points to </w:t>
      </w:r>
      <w:r>
        <w:t xml:space="preserve">the </w:t>
      </w:r>
      <w:r w:rsidR="00447EB7" w:rsidRPr="00023D9E">
        <w:t xml:space="preserve">practical need for concerted efforts to ‘lock-in’ progressive gender provisions in </w:t>
      </w:r>
      <w:r>
        <w:t xml:space="preserve">the </w:t>
      </w:r>
      <w:r w:rsidR="00447EB7" w:rsidRPr="00023D9E">
        <w:t>text of agreement</w:t>
      </w:r>
      <w:r w:rsidR="00BF5787">
        <w:t>s</w:t>
      </w:r>
      <w:r>
        <w:t xml:space="preserve">. </w:t>
      </w:r>
      <w:r w:rsidR="00575B65">
        <w:t>Importantly, the PA-X findings are instructive here: typically, gender provisions are not associated with peace agreement implementation and monitoring</w:t>
      </w:r>
      <w:r w:rsidR="00C9029E">
        <w:t xml:space="preserve"> mechanisms which are also weak on ‘inclusion’</w:t>
      </w:r>
      <w:r w:rsidR="00575B65">
        <w:t>; conversely, where peace agreements include a commitment to constitutional change, there is a high likelihood that it will happen</w:t>
      </w:r>
      <w:r>
        <w:t xml:space="preserve"> (Bell and </w:t>
      </w:r>
      <w:proofErr w:type="spellStart"/>
      <w:r>
        <w:t>McNicholl</w:t>
      </w:r>
      <w:proofErr w:type="spellEnd"/>
      <w:r>
        <w:t>)</w:t>
      </w:r>
      <w:r w:rsidR="00575B65">
        <w:t>. These findings, both about the gendered process of attrition</w:t>
      </w:r>
      <w:r w:rsidR="00405E68">
        <w:t xml:space="preserve"> and patchy attention to implementation therefore point to a number of practical policy interventions to peace agreements, </w:t>
      </w:r>
      <w:r w:rsidR="00BF5787">
        <w:t xml:space="preserve">namely </w:t>
      </w:r>
      <w:r w:rsidR="00405E68">
        <w:t>to tie gender provisions to implementation and moni</w:t>
      </w:r>
      <w:r w:rsidR="00BF5787">
        <w:t>toring mechanisms and to make provision for</w:t>
      </w:r>
      <w:r w:rsidR="00405E68">
        <w:t xml:space="preserve"> </w:t>
      </w:r>
      <w:r w:rsidR="00BF5787">
        <w:t>inclusive</w:t>
      </w:r>
      <w:r w:rsidR="00405E68">
        <w:t xml:space="preserve"> constitutional reform. </w:t>
      </w:r>
    </w:p>
    <w:p w14:paraId="03A2E5AE" w14:textId="34DBE969" w:rsidR="00447EB7" w:rsidRDefault="00405E68" w:rsidP="00447EB7">
      <w:r>
        <w:t xml:space="preserve">Fourth, in many ways, the </w:t>
      </w:r>
      <w:r w:rsidR="0031350F">
        <w:t xml:space="preserve">Special Issue </w:t>
      </w:r>
      <w:r>
        <w:t>findings reaffirm the importance of peace agreement negotiations and text, as a</w:t>
      </w:r>
      <w:r w:rsidR="00447EB7" w:rsidRPr="00023D9E">
        <w:t xml:space="preserve">venues for </w:t>
      </w:r>
      <w:r>
        <w:t>challenging gender retrenchment</w:t>
      </w:r>
      <w:r w:rsidR="005A5B14">
        <w:t>.</w:t>
      </w:r>
      <w:r>
        <w:t xml:space="preserve"> </w:t>
      </w:r>
      <w:r w:rsidR="003F2CD8">
        <w:t>Such avenues</w:t>
      </w:r>
      <w:r w:rsidR="00C9029E">
        <w:t xml:space="preserve"> </w:t>
      </w:r>
      <w:r>
        <w:t>can otherwise be</w:t>
      </w:r>
      <w:r w:rsidR="00447EB7" w:rsidRPr="00023D9E">
        <w:t xml:space="preserve"> limited</w:t>
      </w:r>
      <w:r>
        <w:t xml:space="preserve"> (Mackay and </w:t>
      </w:r>
      <w:proofErr w:type="spellStart"/>
      <w:r>
        <w:t>Murtagh</w:t>
      </w:r>
      <w:proofErr w:type="spellEnd"/>
      <w:r>
        <w:t xml:space="preserve">). </w:t>
      </w:r>
      <w:r w:rsidR="008E4CDD">
        <w:t xml:space="preserve">As a policy intervention, </w:t>
      </w:r>
      <w:r w:rsidR="00BF5787">
        <w:t>PSRP research points to the</w:t>
      </w:r>
      <w:r w:rsidR="008E4CDD">
        <w:t xml:space="preserve"> </w:t>
      </w:r>
      <w:r w:rsidR="00447EB7">
        <w:t>i</w:t>
      </w:r>
      <w:r w:rsidR="00447EB7" w:rsidRPr="00023D9E">
        <w:t xml:space="preserve">mportance of </w:t>
      </w:r>
      <w:r w:rsidR="008E4CDD">
        <w:t>building</w:t>
      </w:r>
      <w:r w:rsidR="00EB7F85">
        <w:t xml:space="preserve"> </w:t>
      </w:r>
      <w:r w:rsidR="008E4CDD">
        <w:t xml:space="preserve">in </w:t>
      </w:r>
      <w:r w:rsidR="00447EB7" w:rsidRPr="00023D9E">
        <w:t xml:space="preserve">multiple pathways and entry-points to </w:t>
      </w:r>
      <w:r w:rsidR="0031350F">
        <w:t xml:space="preserve">ongoing </w:t>
      </w:r>
      <w:r w:rsidR="00447EB7" w:rsidRPr="00023D9E">
        <w:t>peace process</w:t>
      </w:r>
      <w:r w:rsidR="0031350F">
        <w:t>es</w:t>
      </w:r>
      <w:r w:rsidR="00447EB7" w:rsidRPr="00023D9E">
        <w:t xml:space="preserve"> </w:t>
      </w:r>
      <w:r w:rsidR="0031350F">
        <w:t xml:space="preserve">as essential for gender inclusion, </w:t>
      </w:r>
      <w:r w:rsidR="00D36F9E">
        <w:t>offering</w:t>
      </w:r>
      <w:r w:rsidR="0031350F">
        <w:t xml:space="preserve"> </w:t>
      </w:r>
      <w:r w:rsidR="0031350F" w:rsidRPr="00023D9E">
        <w:t>different pathways at different times</w:t>
      </w:r>
      <w:r w:rsidR="0031350F">
        <w:t>.</w:t>
      </w:r>
      <w:r w:rsidR="0031350F">
        <w:rPr>
          <w:rStyle w:val="FootnoteReference"/>
        </w:rPr>
        <w:footnoteReference w:id="23"/>
      </w:r>
      <w:r w:rsidR="0031350F">
        <w:t xml:space="preserve"> </w:t>
      </w:r>
    </w:p>
    <w:p w14:paraId="3B0AE964" w14:textId="199D5FA7" w:rsidR="00947102" w:rsidRDefault="00300791" w:rsidP="005E4E55">
      <w:r>
        <w:t>Fifth, given the contemporary prevalence of</w:t>
      </w:r>
      <w:r w:rsidR="000239AC">
        <w:t xml:space="preserve"> </w:t>
      </w:r>
      <w:r>
        <w:t xml:space="preserve">power-sharing arrangements as the preferred </w:t>
      </w:r>
      <w:r w:rsidR="00BF5787">
        <w:t>negotiated r</w:t>
      </w:r>
      <w:r>
        <w:t>esponse to political violence</w:t>
      </w:r>
      <w:r w:rsidR="009D2A44">
        <w:t xml:space="preserve"> (Bell and </w:t>
      </w:r>
      <w:proofErr w:type="spellStart"/>
      <w:r w:rsidR="009D2A44">
        <w:t>McNicholl</w:t>
      </w:r>
      <w:proofErr w:type="spellEnd"/>
      <w:r w:rsidR="009D2A44">
        <w:t>)</w:t>
      </w:r>
      <w:r>
        <w:t xml:space="preserve">, deeper reflection on this aspect of the </w:t>
      </w:r>
      <w:r w:rsidR="00D36F9E">
        <w:t xml:space="preserve">PSRP </w:t>
      </w:r>
      <w:r>
        <w:t xml:space="preserve">research and findings is appropriate. Bell and </w:t>
      </w:r>
      <w:proofErr w:type="spellStart"/>
      <w:r>
        <w:t>McNicholl</w:t>
      </w:r>
      <w:proofErr w:type="spellEnd"/>
      <w:r>
        <w:t xml:space="preserve"> usefully present </w:t>
      </w:r>
      <w:r w:rsidR="00D36F9E">
        <w:t>four</w:t>
      </w:r>
      <w:r w:rsidR="000239AC" w:rsidRPr="000239AC">
        <w:t xml:space="preserve"> different types of power-sharing agreements, i.e. </w:t>
      </w:r>
      <w:proofErr w:type="spellStart"/>
      <w:r w:rsidR="000239AC" w:rsidRPr="000239AC">
        <w:lastRenderedPageBreak/>
        <w:t>consociational</w:t>
      </w:r>
      <w:proofErr w:type="spellEnd"/>
      <w:r w:rsidR="000239AC" w:rsidRPr="000239AC">
        <w:t>, ter</w:t>
      </w:r>
      <w:r w:rsidR="00D36F9E">
        <w:t>ritorial, economic and military. Further, they assign</w:t>
      </w:r>
      <w:r w:rsidR="00244765">
        <w:t>ed</w:t>
      </w:r>
      <w:r w:rsidR="00D36F9E">
        <w:t xml:space="preserve"> all of the agreements a ‘gender score’ and </w:t>
      </w:r>
      <w:r w:rsidR="00244765">
        <w:t xml:space="preserve">examined the correlation between agreements establishing power-sharing </w:t>
      </w:r>
      <w:r w:rsidR="000239AC" w:rsidRPr="000239AC">
        <w:t xml:space="preserve">and </w:t>
      </w:r>
      <w:r w:rsidR="00244765">
        <w:t>the ‘</w:t>
      </w:r>
      <w:r w:rsidR="000239AC" w:rsidRPr="000239AC">
        <w:t>gender score</w:t>
      </w:r>
      <w:r w:rsidR="00244765">
        <w:t>’</w:t>
      </w:r>
      <w:r>
        <w:t xml:space="preserve">. </w:t>
      </w:r>
      <w:r w:rsidR="00D74914">
        <w:t xml:space="preserve">They find that agreements that include </w:t>
      </w:r>
      <w:proofErr w:type="spellStart"/>
      <w:r w:rsidR="00D74914">
        <w:t>c</w:t>
      </w:r>
      <w:r w:rsidR="00D74914" w:rsidRPr="000239AC">
        <w:t>onsociational</w:t>
      </w:r>
      <w:proofErr w:type="spellEnd"/>
      <w:r w:rsidR="00D74914" w:rsidRPr="000239AC">
        <w:t xml:space="preserve"> </w:t>
      </w:r>
      <w:r w:rsidR="00D74914">
        <w:t>arrangements</w:t>
      </w:r>
      <w:r w:rsidR="00D74914" w:rsidRPr="000239AC">
        <w:t xml:space="preserve"> positively </w:t>
      </w:r>
      <w:r w:rsidR="00D74914">
        <w:t>correlate</w:t>
      </w:r>
      <w:r w:rsidR="00D74914" w:rsidRPr="000239AC">
        <w:t xml:space="preserve"> </w:t>
      </w:r>
      <w:r w:rsidR="00D74914">
        <w:t>with a high ‘</w:t>
      </w:r>
      <w:r w:rsidR="00D74914" w:rsidRPr="000239AC">
        <w:t>gender score</w:t>
      </w:r>
      <w:r w:rsidR="00D74914">
        <w:t xml:space="preserve">’. This finding is perhaps surprising, when read in conjunction with Mackay and </w:t>
      </w:r>
      <w:proofErr w:type="spellStart"/>
      <w:r w:rsidR="00D74914">
        <w:t>Murtagh’s</w:t>
      </w:r>
      <w:proofErr w:type="spellEnd"/>
      <w:r w:rsidR="00D74914">
        <w:t xml:space="preserve"> feminist institutionalist analysis of </w:t>
      </w:r>
      <w:proofErr w:type="spellStart"/>
      <w:r w:rsidR="00D74914">
        <w:t>consociationalism</w:t>
      </w:r>
      <w:proofErr w:type="spellEnd"/>
      <w:r w:rsidR="00D74914">
        <w:t xml:space="preserve"> in North</w:t>
      </w:r>
      <w:r w:rsidR="00FB1060">
        <w:t>ern Ireland, Bosnia and Burundi.</w:t>
      </w:r>
      <w:r w:rsidR="00D74914">
        <w:t xml:space="preserve"> </w:t>
      </w:r>
      <w:r w:rsidR="00FB1060">
        <w:t xml:space="preserve">Their research, </w:t>
      </w:r>
      <w:r w:rsidR="00FB1060" w:rsidRPr="00FB1060">
        <w:rPr>
          <w:lang w:val="en-US"/>
        </w:rPr>
        <w:t xml:space="preserve">while engaging with </w:t>
      </w:r>
      <w:proofErr w:type="spellStart"/>
      <w:r w:rsidR="00FB1060" w:rsidRPr="00FB1060">
        <w:rPr>
          <w:lang w:val="en-US"/>
        </w:rPr>
        <w:t>consociationalism</w:t>
      </w:r>
      <w:proofErr w:type="spellEnd"/>
      <w:r w:rsidR="00FB1060" w:rsidRPr="00FB1060">
        <w:rPr>
          <w:lang w:val="en-US"/>
        </w:rPr>
        <w:t>, highlights a number of its negative effects</w:t>
      </w:r>
      <w:r w:rsidR="00D74914">
        <w:t xml:space="preserve">. </w:t>
      </w:r>
      <w:r w:rsidR="00947102">
        <w:t>The findings of both Special Issue articles might therefore appear to be in tension.</w:t>
      </w:r>
    </w:p>
    <w:p w14:paraId="216511BF" w14:textId="56B5D343" w:rsidR="005E4E55" w:rsidRPr="00300791" w:rsidRDefault="00947102" w:rsidP="001272BF">
      <w:r>
        <w:t xml:space="preserve">In fact, however, this apparent tension reveals the real value of </w:t>
      </w:r>
      <w:r w:rsidR="001272BF">
        <w:t xml:space="preserve">the </w:t>
      </w:r>
      <w:r>
        <w:t xml:space="preserve">multi-methods approach adopted in the PSRP gender theme. In their contribution to the Special Issue, Mackay and </w:t>
      </w:r>
      <w:proofErr w:type="spellStart"/>
      <w:r>
        <w:t>Murtagh</w:t>
      </w:r>
      <w:proofErr w:type="spellEnd"/>
      <w:r>
        <w:t xml:space="preserve"> examine cases of </w:t>
      </w:r>
      <w:r w:rsidR="00C9029E">
        <w:t>‘</w:t>
      </w:r>
      <w:r>
        <w:t xml:space="preserve">indefinite </w:t>
      </w:r>
      <w:proofErr w:type="spellStart"/>
      <w:r>
        <w:t>consociationalism</w:t>
      </w:r>
      <w:proofErr w:type="spellEnd"/>
      <w:r w:rsidR="00C9029E">
        <w:t>’</w:t>
      </w:r>
      <w:r>
        <w:t xml:space="preserve">. In all three contexts, </w:t>
      </w:r>
      <w:proofErr w:type="spellStart"/>
      <w:r>
        <w:t>consociationalism</w:t>
      </w:r>
      <w:proofErr w:type="spellEnd"/>
      <w:r>
        <w:t xml:space="preserve"> has prevailed for several years, in some cases, decades. These contexts of indefinite </w:t>
      </w:r>
      <w:proofErr w:type="spellStart"/>
      <w:r>
        <w:t>consociationalism</w:t>
      </w:r>
      <w:proofErr w:type="spellEnd"/>
      <w:r>
        <w:t xml:space="preserve"> have indeed</w:t>
      </w:r>
      <w:r w:rsidR="00EB7F85">
        <w:t xml:space="preserve"> given rise to negative gender</w:t>
      </w:r>
      <w:r>
        <w:t xml:space="preserve"> assessments, as to their patterns of exclusion of both women and gender interests.</w:t>
      </w:r>
      <w:r>
        <w:rPr>
          <w:rStyle w:val="FootnoteReference"/>
        </w:rPr>
        <w:footnoteReference w:id="24"/>
      </w:r>
      <w:r>
        <w:t xml:space="preserve"> </w:t>
      </w:r>
      <w:r w:rsidR="001826D5">
        <w:t xml:space="preserve">By contrast, Bell and </w:t>
      </w:r>
      <w:proofErr w:type="spellStart"/>
      <w:r w:rsidR="001826D5">
        <w:t>McNicholl’s</w:t>
      </w:r>
      <w:proofErr w:type="spellEnd"/>
      <w:r w:rsidR="001826D5">
        <w:t xml:space="preserve"> study reveals that the </w:t>
      </w:r>
      <w:r w:rsidR="005E4E55" w:rsidRPr="005E4E55">
        <w:t xml:space="preserve">use of power-sharing </w:t>
      </w:r>
      <w:r w:rsidR="001826D5">
        <w:t xml:space="preserve">in peace agreements is in fact most common </w:t>
      </w:r>
      <w:r w:rsidR="005E4E55" w:rsidRPr="005E4E55">
        <w:t>in interim transitions</w:t>
      </w:r>
      <w:r w:rsidR="001272BF">
        <w:t xml:space="preserve">, </w:t>
      </w:r>
      <w:r w:rsidR="005E4E55" w:rsidRPr="005E4E55">
        <w:t xml:space="preserve">in conflicts with </w:t>
      </w:r>
      <w:r w:rsidR="001826D5">
        <w:t xml:space="preserve">a </w:t>
      </w:r>
      <w:r w:rsidR="00EB7F85">
        <w:t>democratis</w:t>
      </w:r>
      <w:r w:rsidR="005E4E55" w:rsidRPr="005E4E55">
        <w:t>ation element</w:t>
      </w:r>
      <w:r w:rsidR="001826D5">
        <w:t>. The principle is to</w:t>
      </w:r>
      <w:r w:rsidR="005E4E55" w:rsidRPr="005E4E55">
        <w:t xml:space="preserve"> </w:t>
      </w:r>
      <w:r w:rsidR="001826D5">
        <w:t>‘</w:t>
      </w:r>
      <w:r w:rsidR="005E4E55" w:rsidRPr="005E4E55">
        <w:t>cobble together</w:t>
      </w:r>
      <w:r w:rsidR="001826D5">
        <w:t>’</w:t>
      </w:r>
      <w:r w:rsidR="005E4E55" w:rsidRPr="005E4E55">
        <w:t xml:space="preserve"> an interim agreement for </w:t>
      </w:r>
      <w:r w:rsidR="001826D5">
        <w:t xml:space="preserve">a </w:t>
      </w:r>
      <w:r w:rsidR="005E4E55" w:rsidRPr="005E4E55">
        <w:t>power-sharing government of national unity (</w:t>
      </w:r>
      <w:r w:rsidR="001826D5">
        <w:t xml:space="preserve">which </w:t>
      </w:r>
      <w:r w:rsidR="005E4E55" w:rsidRPr="005E4E55">
        <w:t xml:space="preserve">typically </w:t>
      </w:r>
      <w:r w:rsidR="001272BF">
        <w:t xml:space="preserve">includes </w:t>
      </w:r>
      <w:r w:rsidR="005E4E55" w:rsidRPr="005E4E55">
        <w:t>all armed groups) and then</w:t>
      </w:r>
      <w:r w:rsidR="001826D5">
        <w:t>, in turn, to</w:t>
      </w:r>
      <w:r w:rsidR="005E4E55" w:rsidRPr="005E4E55">
        <w:t xml:space="preserve"> create broader civic processe</w:t>
      </w:r>
      <w:r w:rsidR="004A1937">
        <w:t>s</w:t>
      </w:r>
      <w:r w:rsidR="005E4E55" w:rsidRPr="005E4E55">
        <w:t xml:space="preserve"> </w:t>
      </w:r>
      <w:r w:rsidR="001826D5">
        <w:t>that undertake</w:t>
      </w:r>
      <w:r w:rsidR="005E4E55" w:rsidRPr="005E4E55">
        <w:t xml:space="preserve"> (1) significant electoral reform; (2) significant constitutional reform; </w:t>
      </w:r>
      <w:r w:rsidR="00EB7F85">
        <w:t xml:space="preserve">and </w:t>
      </w:r>
      <w:r w:rsidR="005E4E55" w:rsidRPr="005E4E55">
        <w:t xml:space="preserve">(3) transitional justice. </w:t>
      </w:r>
      <w:r w:rsidR="001826D5">
        <w:t>While women may not feature prominently within the power-sharing governments of national unity, provisions within the same agreements for the</w:t>
      </w:r>
      <w:r w:rsidR="00C9029E">
        <w:t xml:space="preserve"> associated </w:t>
      </w:r>
      <w:r w:rsidR="001826D5">
        <w:t xml:space="preserve">wider civic processes </w:t>
      </w:r>
      <w:r w:rsidR="00C9029E">
        <w:t xml:space="preserve">interim transitions plan, </w:t>
      </w:r>
      <w:r w:rsidR="001826D5">
        <w:t>will very o</w:t>
      </w:r>
      <w:r w:rsidR="001272BF">
        <w:t>ft</w:t>
      </w:r>
      <w:r w:rsidR="001826D5">
        <w:t xml:space="preserve">en expressly provide for women’s inclusion. These interim power-sharing arrangements, as popular though still relatively new phenomena, have not </w:t>
      </w:r>
      <w:r w:rsidR="001272BF">
        <w:t>yet given rise to the same case study analysis that is reflected in scholarship. Bell has elsewhere argued that we therefore need</w:t>
      </w:r>
      <w:r w:rsidR="005E4E55" w:rsidRPr="005E4E55">
        <w:t xml:space="preserve"> </w:t>
      </w:r>
      <w:r w:rsidR="005E4E55" w:rsidRPr="00300791">
        <w:rPr>
          <w:i/>
        </w:rPr>
        <w:t>‘</w:t>
      </w:r>
      <w:r w:rsidR="005E4E55" w:rsidRPr="001272BF">
        <w:t>a new functional account of power-sharing’</w:t>
      </w:r>
      <w:r w:rsidR="00300791" w:rsidRPr="001272BF">
        <w:t>.</w:t>
      </w:r>
      <w:r w:rsidR="001272BF">
        <w:rPr>
          <w:rStyle w:val="FootnoteReference"/>
        </w:rPr>
        <w:footnoteReference w:id="25"/>
      </w:r>
      <w:r w:rsidR="001272BF">
        <w:t xml:space="preserve"> The findings on gender inclusion from studies </w:t>
      </w:r>
      <w:r w:rsidR="00CD2C95">
        <w:t xml:space="preserve">of indefinite </w:t>
      </w:r>
      <w:proofErr w:type="spellStart"/>
      <w:r w:rsidR="00CD2C95">
        <w:t>consociationalism</w:t>
      </w:r>
      <w:proofErr w:type="spellEnd"/>
      <w:r w:rsidR="00CD2C95">
        <w:t xml:space="preserve"> provide a valuable </w:t>
      </w:r>
      <w:proofErr w:type="spellStart"/>
      <w:r w:rsidR="00CD2C95">
        <w:t>watchlist</w:t>
      </w:r>
      <w:proofErr w:type="spellEnd"/>
      <w:r w:rsidR="00CD2C95">
        <w:t xml:space="preserve"> of areas in </w:t>
      </w:r>
      <w:r w:rsidR="00CD2C95">
        <w:lastRenderedPageBreak/>
        <w:t xml:space="preserve">which to be vigilant for those pursuing inclusive transitional power-sharing arrangements. </w:t>
      </w:r>
    </w:p>
    <w:p w14:paraId="6A94841D" w14:textId="77777777" w:rsidR="000239AC" w:rsidRDefault="000239AC" w:rsidP="00224893"/>
    <w:p w14:paraId="06716DD1" w14:textId="77777777" w:rsidR="00CD3025" w:rsidRDefault="00CD3025" w:rsidP="0017209C">
      <w:pPr>
        <w:pStyle w:val="Heading2"/>
      </w:pPr>
      <w:bookmarkStart w:id="9" w:name="_Toc404500998"/>
      <w:r>
        <w:t>International Gender Equality Norms and Inclusion</w:t>
      </w:r>
      <w:bookmarkEnd w:id="9"/>
    </w:p>
    <w:p w14:paraId="0F169A52" w14:textId="15404CFE" w:rsidR="00A078EA" w:rsidRDefault="00D84EB0" w:rsidP="00CD3025">
      <w:pPr>
        <w:rPr>
          <w:lang w:val="en-US"/>
        </w:rPr>
      </w:pPr>
      <w:r>
        <w:rPr>
          <w:lang w:val="en-US"/>
        </w:rPr>
        <w:t xml:space="preserve">Internal critique of the political settlements literature has noted a ‘nationalist </w:t>
      </w:r>
      <w:proofErr w:type="spellStart"/>
      <w:r>
        <w:rPr>
          <w:lang w:val="en-US"/>
        </w:rPr>
        <w:t>bias’</w:t>
      </w:r>
      <w:proofErr w:type="spellEnd"/>
      <w:r>
        <w:rPr>
          <w:lang w:val="en-US"/>
        </w:rPr>
        <w:t xml:space="preserve"> in its methodological approach. Specifically, looking only to domestic political dynamics to explain political outcomes may eschew other actors and factors of relevance. It is </w:t>
      </w:r>
      <w:r w:rsidR="00A078EA">
        <w:rPr>
          <w:lang w:val="en-US"/>
        </w:rPr>
        <w:t>significant, therefore,</w:t>
      </w:r>
      <w:r>
        <w:rPr>
          <w:lang w:val="en-US"/>
        </w:rPr>
        <w:t xml:space="preserve"> that gender and conflict</w:t>
      </w:r>
      <w:r w:rsidR="00A078EA">
        <w:rPr>
          <w:lang w:val="en-US"/>
        </w:rPr>
        <w:t xml:space="preserve"> scholarship</w:t>
      </w:r>
      <w:r>
        <w:rPr>
          <w:lang w:val="en-US"/>
        </w:rPr>
        <w:t xml:space="preserve"> gives </w:t>
      </w:r>
      <w:r w:rsidR="00A078EA">
        <w:rPr>
          <w:lang w:val="en-US"/>
        </w:rPr>
        <w:t xml:space="preserve">considerable </w:t>
      </w:r>
      <w:r>
        <w:rPr>
          <w:lang w:val="en-US"/>
        </w:rPr>
        <w:t xml:space="preserve">attention to international norms when investigating local gender dynamics and outcomes. The Special Issue reflects this pattern of taking international norms seriously, for example, in the PA-X work investigating the relationship of peace agreement practice to </w:t>
      </w:r>
      <w:r w:rsidR="008F3962">
        <w:rPr>
          <w:lang w:val="en-US"/>
        </w:rPr>
        <w:t xml:space="preserve">developments in the Security Council’s Women, Peace and Security </w:t>
      </w:r>
      <w:r w:rsidR="00A35C7F">
        <w:rPr>
          <w:lang w:val="en-US"/>
        </w:rPr>
        <w:t xml:space="preserve">(WPS) </w:t>
      </w:r>
      <w:r w:rsidR="008F3962">
        <w:rPr>
          <w:lang w:val="en-US"/>
        </w:rPr>
        <w:t>agenda</w:t>
      </w:r>
      <w:r w:rsidR="00C351B1">
        <w:rPr>
          <w:lang w:val="en-US"/>
        </w:rPr>
        <w:t xml:space="preserve"> (Bell and </w:t>
      </w:r>
      <w:proofErr w:type="spellStart"/>
      <w:r w:rsidR="00C351B1">
        <w:rPr>
          <w:lang w:val="en-US"/>
        </w:rPr>
        <w:t>McNicholl</w:t>
      </w:r>
      <w:proofErr w:type="spellEnd"/>
      <w:r w:rsidR="00C351B1">
        <w:rPr>
          <w:lang w:val="en-US"/>
        </w:rPr>
        <w:t>)</w:t>
      </w:r>
      <w:r w:rsidR="008F3962">
        <w:rPr>
          <w:lang w:val="en-US"/>
        </w:rPr>
        <w:t xml:space="preserve">; or attending to the WPS agenda as </w:t>
      </w:r>
      <w:r w:rsidR="00C351B1">
        <w:rPr>
          <w:lang w:val="en-US"/>
        </w:rPr>
        <w:t xml:space="preserve">a potential factor in gendered manifestations of </w:t>
      </w:r>
      <w:r w:rsidR="006F5D14">
        <w:rPr>
          <w:lang w:val="en-US"/>
        </w:rPr>
        <w:t>disarmament and</w:t>
      </w:r>
      <w:r w:rsidR="00A35C7F">
        <w:rPr>
          <w:lang w:val="en-US"/>
        </w:rPr>
        <w:t xml:space="preserve"> reintegration</w:t>
      </w:r>
      <w:r w:rsidR="006F5D14">
        <w:rPr>
          <w:lang w:val="en-US"/>
        </w:rPr>
        <w:t xml:space="preserve"> (Marks)</w:t>
      </w:r>
      <w:r w:rsidR="00A35C7F">
        <w:rPr>
          <w:lang w:val="en-US"/>
        </w:rPr>
        <w:t xml:space="preserve"> and </w:t>
      </w:r>
      <w:proofErr w:type="spellStart"/>
      <w:r w:rsidR="00A35C7F">
        <w:rPr>
          <w:lang w:val="en-US"/>
        </w:rPr>
        <w:t>consociational</w:t>
      </w:r>
      <w:proofErr w:type="spellEnd"/>
      <w:r w:rsidR="00A35C7F">
        <w:rPr>
          <w:lang w:val="en-US"/>
        </w:rPr>
        <w:t xml:space="preserve"> governance arrangements</w:t>
      </w:r>
      <w:r w:rsidR="006F5D14">
        <w:rPr>
          <w:lang w:val="en-US"/>
        </w:rPr>
        <w:t xml:space="preserve"> (Mackay and </w:t>
      </w:r>
      <w:proofErr w:type="spellStart"/>
      <w:r w:rsidR="006F5D14">
        <w:rPr>
          <w:lang w:val="en-US"/>
        </w:rPr>
        <w:t>Murtagh</w:t>
      </w:r>
      <w:proofErr w:type="spellEnd"/>
      <w:r w:rsidR="006F5D14">
        <w:rPr>
          <w:lang w:val="en-US"/>
        </w:rPr>
        <w:t>)</w:t>
      </w:r>
      <w:r w:rsidR="008F3962">
        <w:rPr>
          <w:lang w:val="en-US"/>
        </w:rPr>
        <w:t xml:space="preserve">; or </w:t>
      </w:r>
      <w:r w:rsidR="00DA1D96">
        <w:rPr>
          <w:lang w:val="en-US"/>
        </w:rPr>
        <w:t>addressing</w:t>
      </w:r>
      <w:r w:rsidR="008F3962">
        <w:rPr>
          <w:lang w:val="en-US"/>
        </w:rPr>
        <w:t xml:space="preserve"> </w:t>
      </w:r>
      <w:r w:rsidR="00DA1D96">
        <w:rPr>
          <w:lang w:val="en-US"/>
        </w:rPr>
        <w:t>the</w:t>
      </w:r>
      <w:r w:rsidR="008F3962">
        <w:rPr>
          <w:lang w:val="en-US"/>
        </w:rPr>
        <w:t xml:space="preserve"> global dynamics </w:t>
      </w:r>
      <w:r w:rsidR="00DA1D96">
        <w:rPr>
          <w:lang w:val="en-US"/>
        </w:rPr>
        <w:t>of</w:t>
      </w:r>
      <w:r w:rsidR="008F3962">
        <w:rPr>
          <w:lang w:val="en-US"/>
        </w:rPr>
        <w:t xml:space="preserve"> the norm against violence against women when considering local </w:t>
      </w:r>
      <w:r w:rsidR="00A35C7F">
        <w:rPr>
          <w:lang w:val="en-US"/>
        </w:rPr>
        <w:t>responses to gender-based violence</w:t>
      </w:r>
      <w:r w:rsidR="00252F89">
        <w:rPr>
          <w:lang w:val="en-US"/>
        </w:rPr>
        <w:t xml:space="preserve"> (Swaine,</w:t>
      </w:r>
      <w:r w:rsidR="00DA1D96">
        <w:rPr>
          <w:lang w:val="en-US"/>
        </w:rPr>
        <w:t xml:space="preserve"> Doyle and McWilliams)</w:t>
      </w:r>
      <w:r w:rsidR="008F3962">
        <w:rPr>
          <w:lang w:val="en-US"/>
        </w:rPr>
        <w:t xml:space="preserve">, or </w:t>
      </w:r>
      <w:r w:rsidR="00DA1D96">
        <w:rPr>
          <w:lang w:val="en-US"/>
        </w:rPr>
        <w:t xml:space="preserve">an </w:t>
      </w:r>
      <w:r w:rsidR="00A35C7F">
        <w:rPr>
          <w:lang w:val="en-US"/>
        </w:rPr>
        <w:t>investigation</w:t>
      </w:r>
      <w:r w:rsidR="008F3962">
        <w:rPr>
          <w:lang w:val="en-US"/>
        </w:rPr>
        <w:t xml:space="preserve"> </w:t>
      </w:r>
      <w:r w:rsidR="00A35C7F">
        <w:rPr>
          <w:lang w:val="en-US"/>
        </w:rPr>
        <w:t>of how</w:t>
      </w:r>
      <w:r w:rsidR="008F3962">
        <w:rPr>
          <w:lang w:val="en-US"/>
        </w:rPr>
        <w:t xml:space="preserve"> international gender equality norms</w:t>
      </w:r>
      <w:r w:rsidR="00A35C7F">
        <w:rPr>
          <w:lang w:val="en-US"/>
        </w:rPr>
        <w:t xml:space="preserve"> are operationalized through international institutions active on the ground in conflict-affected settings</w:t>
      </w:r>
      <w:r w:rsidR="00DA1D96">
        <w:rPr>
          <w:lang w:val="en-US"/>
        </w:rPr>
        <w:t xml:space="preserve"> (O’Rourke)</w:t>
      </w:r>
      <w:r w:rsidR="008F3962">
        <w:rPr>
          <w:lang w:val="en-US"/>
        </w:rPr>
        <w:t xml:space="preserve">. </w:t>
      </w:r>
    </w:p>
    <w:p w14:paraId="3167443F" w14:textId="59BFC363" w:rsidR="006B7CFE" w:rsidRPr="00CD3025" w:rsidRDefault="006B7CFE" w:rsidP="006B7CFE">
      <w:r>
        <w:t>Together, this research points to the existence of an</w:t>
      </w:r>
      <w:r w:rsidRPr="00CD3025">
        <w:t xml:space="preserve"> </w:t>
      </w:r>
      <w:r>
        <w:t>‘</w:t>
      </w:r>
      <w:r w:rsidRPr="00FA783E">
        <w:rPr>
          <w:i/>
        </w:rPr>
        <w:t>inclusion norm</w:t>
      </w:r>
      <w:r w:rsidRPr="00CD3025">
        <w:t>’</w:t>
      </w:r>
      <w:r>
        <w:t>, captured paradigmatically in Security Council Resolution 1325</w:t>
      </w:r>
      <w:r w:rsidR="00DA1D96">
        <w:t xml:space="preserve"> (2000)</w:t>
      </w:r>
      <w:r>
        <w:t xml:space="preserve">, but with a clear treaty basis in CEDAW articles 7 and 8, and more oblique references under both international humanitarian law and international criminal law. The inclusion norm </w:t>
      </w:r>
      <w:r w:rsidRPr="00CD3025">
        <w:t xml:space="preserve">remains </w:t>
      </w:r>
      <w:r>
        <w:t>relatively</w:t>
      </w:r>
      <w:r w:rsidRPr="00CD3025">
        <w:t xml:space="preserve"> weak</w:t>
      </w:r>
      <w:r>
        <w:t>, however,</w:t>
      </w:r>
      <w:r w:rsidRPr="00CD3025">
        <w:t xml:space="preserve"> </w:t>
      </w:r>
      <w:r>
        <w:t xml:space="preserve">in formal doctrinal terms. Further, the norm is </w:t>
      </w:r>
      <w:r w:rsidRPr="00CD3025">
        <w:t>narrow</w:t>
      </w:r>
      <w:r>
        <w:t xml:space="preserve"> in whom and what it captures.</w:t>
      </w:r>
      <w:r w:rsidRPr="00CD3025">
        <w:t xml:space="preserve"> </w:t>
      </w:r>
      <w:r>
        <w:t xml:space="preserve">Principally, it </w:t>
      </w:r>
      <w:r w:rsidRPr="00CD3025">
        <w:t>pertains to women qua women</w:t>
      </w:r>
      <w:r>
        <w:t xml:space="preserve"> and is thus weak in underpinning intersectional claims for inclusion.</w:t>
      </w:r>
      <w:r>
        <w:rPr>
          <w:rStyle w:val="FootnoteReference"/>
        </w:rPr>
        <w:footnoteReference w:id="26"/>
      </w:r>
      <w:r w:rsidRPr="00CD3025">
        <w:t xml:space="preserve"> </w:t>
      </w:r>
      <w:r>
        <w:rPr>
          <w:lang w:val="en-US"/>
        </w:rPr>
        <w:t>In practical terms, international norms mean e</w:t>
      </w:r>
      <w:r w:rsidRPr="00CD3025">
        <w:rPr>
          <w:lang w:val="en-US"/>
        </w:rPr>
        <w:t xml:space="preserve">ngaging with international monitoring </w:t>
      </w:r>
      <w:r>
        <w:rPr>
          <w:lang w:val="en-US"/>
        </w:rPr>
        <w:t xml:space="preserve">institutions and </w:t>
      </w:r>
      <w:r w:rsidRPr="00CD3025">
        <w:rPr>
          <w:lang w:val="en-US"/>
        </w:rPr>
        <w:t>mechanisms</w:t>
      </w:r>
      <w:r w:rsidR="00EB7F85">
        <w:rPr>
          <w:lang w:val="en-US"/>
        </w:rPr>
        <w:t xml:space="preserve"> (O’Rourke</w:t>
      </w:r>
      <w:r>
        <w:rPr>
          <w:lang w:val="en-US"/>
        </w:rPr>
        <w:t xml:space="preserve">). </w:t>
      </w:r>
      <w:r w:rsidRPr="00CD3025">
        <w:t xml:space="preserve">If we </w:t>
      </w:r>
      <w:r>
        <w:t>assess an</w:t>
      </w:r>
      <w:r w:rsidRPr="00CD3025">
        <w:t xml:space="preserve"> international norm by </w:t>
      </w:r>
      <w:r w:rsidR="006D2B93">
        <w:t xml:space="preserve">the </w:t>
      </w:r>
      <w:r>
        <w:t xml:space="preserve">nature and robustness of the attendant </w:t>
      </w:r>
      <w:r w:rsidRPr="00CD3025">
        <w:t xml:space="preserve">monitoring </w:t>
      </w:r>
      <w:r>
        <w:t>institution and mechanism</w:t>
      </w:r>
      <w:r w:rsidRPr="00CD3025">
        <w:t xml:space="preserve">, </w:t>
      </w:r>
      <w:r>
        <w:t xml:space="preserve">it is quickly clear that the </w:t>
      </w:r>
      <w:r w:rsidRPr="00CD3025">
        <w:t>S</w:t>
      </w:r>
      <w:r>
        <w:t xml:space="preserve">ecurity </w:t>
      </w:r>
      <w:r w:rsidRPr="00CD3025">
        <w:t>C</w:t>
      </w:r>
      <w:r>
        <w:t>ouncil</w:t>
      </w:r>
      <w:r w:rsidRPr="00CD3025">
        <w:t xml:space="preserve"> has </w:t>
      </w:r>
      <w:r>
        <w:t xml:space="preserve">struggled to align its normative commitment to women’s inclusion with its </w:t>
      </w:r>
      <w:r w:rsidRPr="006B7CFE">
        <w:rPr>
          <w:i/>
        </w:rPr>
        <w:lastRenderedPageBreak/>
        <w:t xml:space="preserve">raison </w:t>
      </w:r>
      <w:proofErr w:type="spellStart"/>
      <w:r w:rsidRPr="006B7CFE">
        <w:rPr>
          <w:i/>
        </w:rPr>
        <w:t>d’etre</w:t>
      </w:r>
      <w:proofErr w:type="spellEnd"/>
      <w:r>
        <w:t xml:space="preserve"> of responding to threats to international peace and</w:t>
      </w:r>
      <w:r w:rsidR="00252F89">
        <w:t xml:space="preserve"> security (O’Rourke</w:t>
      </w:r>
      <w:r>
        <w:t>).</w:t>
      </w:r>
      <w:r>
        <w:rPr>
          <w:rStyle w:val="FootnoteReference"/>
        </w:rPr>
        <w:footnoteReference w:id="27"/>
      </w:r>
      <w:r w:rsidRPr="00CD3025">
        <w:t xml:space="preserve"> </w:t>
      </w:r>
      <w:r>
        <w:t xml:space="preserve">By contrast, </w:t>
      </w:r>
      <w:r w:rsidRPr="00CD3025">
        <w:t xml:space="preserve">the CEDAW Committee </w:t>
      </w:r>
      <w:r>
        <w:t xml:space="preserve">is continually posing the question of </w:t>
      </w:r>
      <w:r w:rsidR="00BD2475">
        <w:t xml:space="preserve">where </w:t>
      </w:r>
      <w:r w:rsidRPr="00CD3025">
        <w:t xml:space="preserve">women </w:t>
      </w:r>
      <w:r w:rsidR="00BD2475">
        <w:t xml:space="preserve">are </w:t>
      </w:r>
      <w:r w:rsidRPr="00CD3025">
        <w:t xml:space="preserve">in ongoing </w:t>
      </w:r>
      <w:r>
        <w:t xml:space="preserve">peace processes, </w:t>
      </w:r>
      <w:r w:rsidR="00BD2475">
        <w:t>as well as</w:t>
      </w:r>
      <w:r w:rsidRPr="00CD3025">
        <w:t xml:space="preserve"> requiring </w:t>
      </w:r>
      <w:r>
        <w:t>women’s</w:t>
      </w:r>
      <w:r w:rsidR="00252F89">
        <w:t xml:space="preserve"> inclusion.</w:t>
      </w:r>
      <w:r>
        <w:rPr>
          <w:rStyle w:val="FootnoteReference"/>
        </w:rPr>
        <w:footnoteReference w:id="28"/>
      </w:r>
      <w:r w:rsidRPr="00CD3025">
        <w:t xml:space="preserve"> </w:t>
      </w:r>
      <w:r>
        <w:t xml:space="preserve">The Committee’s powers are limited, however, to move beyond recommendation and exhortation. </w:t>
      </w:r>
    </w:p>
    <w:p w14:paraId="76A2A646" w14:textId="04E6AEE4" w:rsidR="00D84EB0" w:rsidRDefault="00A078EA" w:rsidP="00CD3025">
      <w:pPr>
        <w:rPr>
          <w:lang w:val="en-US"/>
        </w:rPr>
      </w:pPr>
      <w:r>
        <w:rPr>
          <w:lang w:val="en-US"/>
        </w:rPr>
        <w:t>An important question for PSRP gender work has been determining</w:t>
      </w:r>
      <w:r w:rsidRPr="00CD3025">
        <w:rPr>
          <w:lang w:val="en-US"/>
        </w:rPr>
        <w:t xml:space="preserve"> </w:t>
      </w:r>
      <w:r w:rsidR="00C76315">
        <w:rPr>
          <w:lang w:val="en-US"/>
        </w:rPr>
        <w:t xml:space="preserve">whether, and </w:t>
      </w:r>
      <w:r w:rsidRPr="00CD3025">
        <w:rPr>
          <w:lang w:val="en-US"/>
        </w:rPr>
        <w:t>to what extent</w:t>
      </w:r>
      <w:r w:rsidR="00C76315">
        <w:rPr>
          <w:lang w:val="en-US"/>
        </w:rPr>
        <w:t>,</w:t>
      </w:r>
      <w:r w:rsidRPr="00CD3025">
        <w:rPr>
          <w:lang w:val="en-US"/>
        </w:rPr>
        <w:t xml:space="preserve"> international law norms around gender equality and inclusion provide leverage for excluded (female) actors seeking inclusion?</w:t>
      </w:r>
      <w:r w:rsidR="00C76315">
        <w:rPr>
          <w:lang w:val="en-US"/>
        </w:rPr>
        <w:t xml:space="preserve"> I</w:t>
      </w:r>
      <w:r w:rsidRPr="00CD3025">
        <w:rPr>
          <w:lang w:val="en-US"/>
        </w:rPr>
        <w:t xml:space="preserve">f so, on what basis and for what issues? </w:t>
      </w:r>
      <w:r w:rsidR="008F3962">
        <w:rPr>
          <w:lang w:val="en-US"/>
        </w:rPr>
        <w:t>The challenge for the gender and conflict literature has been in understanding why, how,</w:t>
      </w:r>
      <w:r w:rsidR="005D056D">
        <w:rPr>
          <w:lang w:val="en-US"/>
        </w:rPr>
        <w:t xml:space="preserve"> and under what circumstances</w:t>
      </w:r>
      <w:r w:rsidR="008F3962">
        <w:rPr>
          <w:lang w:val="en-US"/>
        </w:rPr>
        <w:t xml:space="preserve"> international norms matter to local gender outcomes. The Special Issue </w:t>
      </w:r>
      <w:r w:rsidR="00C76315">
        <w:rPr>
          <w:lang w:val="en-US"/>
        </w:rPr>
        <w:t xml:space="preserve">evidences </w:t>
      </w:r>
      <w:r w:rsidR="008F3962">
        <w:rPr>
          <w:lang w:val="en-US"/>
        </w:rPr>
        <w:t>a broad f</w:t>
      </w:r>
      <w:r w:rsidR="00CC2B0C">
        <w:rPr>
          <w:lang w:val="en-US"/>
        </w:rPr>
        <w:t>ive</w:t>
      </w:r>
      <w:r w:rsidR="008F3962">
        <w:rPr>
          <w:lang w:val="en-US"/>
        </w:rPr>
        <w:t>-way typology of possible impacts</w:t>
      </w:r>
      <w:r w:rsidR="00252F89">
        <w:rPr>
          <w:lang w:val="en-US"/>
        </w:rPr>
        <w:t>. International norms can have a role in</w:t>
      </w:r>
      <w:r w:rsidR="008F3962">
        <w:rPr>
          <w:lang w:val="en-US"/>
        </w:rPr>
        <w:t xml:space="preserve">: </w:t>
      </w:r>
    </w:p>
    <w:p w14:paraId="3D215DEA" w14:textId="1FC3EA53" w:rsidR="008F3962" w:rsidRDefault="00252F89" w:rsidP="005D056D">
      <w:pPr>
        <w:ind w:left="720"/>
        <w:rPr>
          <w:lang w:val="en-US"/>
        </w:rPr>
      </w:pPr>
      <w:r>
        <w:rPr>
          <w:lang w:val="en-US"/>
        </w:rPr>
        <w:t>(1)</w:t>
      </w:r>
      <w:r w:rsidR="008F3962">
        <w:rPr>
          <w:lang w:val="en-US"/>
        </w:rPr>
        <w:t xml:space="preserve"> setting </w:t>
      </w:r>
      <w:r w:rsidR="00126FA5">
        <w:rPr>
          <w:lang w:val="en-US"/>
        </w:rPr>
        <w:t xml:space="preserve">domestic </w:t>
      </w:r>
      <w:r w:rsidR="008F3962">
        <w:rPr>
          <w:lang w:val="en-US"/>
        </w:rPr>
        <w:t>agendas around conflict</w:t>
      </w:r>
      <w:r w:rsidR="002F1B44">
        <w:rPr>
          <w:lang w:val="en-US"/>
        </w:rPr>
        <w:t>-resolution (Marks</w:t>
      </w:r>
      <w:r>
        <w:rPr>
          <w:lang w:val="en-US"/>
        </w:rPr>
        <w:t>,</w:t>
      </w:r>
      <w:r w:rsidR="00CC2B0C">
        <w:rPr>
          <w:lang w:val="en-US"/>
        </w:rPr>
        <w:t xml:space="preserve"> Mackay and </w:t>
      </w:r>
      <w:proofErr w:type="spellStart"/>
      <w:r w:rsidR="00CC2B0C">
        <w:rPr>
          <w:lang w:val="en-US"/>
        </w:rPr>
        <w:t>Murtagh</w:t>
      </w:r>
      <w:proofErr w:type="spellEnd"/>
      <w:r w:rsidR="00CC2B0C">
        <w:rPr>
          <w:lang w:val="en-US"/>
        </w:rPr>
        <w:t>);</w:t>
      </w:r>
      <w:r w:rsidR="008F3962">
        <w:rPr>
          <w:lang w:val="en-US"/>
        </w:rPr>
        <w:t xml:space="preserve"> </w:t>
      </w:r>
    </w:p>
    <w:p w14:paraId="067083D2" w14:textId="46ADE87E" w:rsidR="00CC2B0C" w:rsidRDefault="00252F89" w:rsidP="005D056D">
      <w:pPr>
        <w:ind w:left="720"/>
        <w:rPr>
          <w:lang w:val="en-US"/>
        </w:rPr>
      </w:pPr>
      <w:r>
        <w:rPr>
          <w:lang w:val="en-US"/>
        </w:rPr>
        <w:t xml:space="preserve">(2) </w:t>
      </w:r>
      <w:r w:rsidR="008F3962">
        <w:rPr>
          <w:lang w:val="en-US"/>
        </w:rPr>
        <w:t>under</w:t>
      </w:r>
      <w:r>
        <w:rPr>
          <w:lang w:val="en-US"/>
        </w:rPr>
        <w:t xml:space="preserve">pinning women’s movement </w:t>
      </w:r>
      <w:proofErr w:type="spellStart"/>
      <w:r>
        <w:rPr>
          <w:lang w:val="en-US"/>
        </w:rPr>
        <w:t>mobilis</w:t>
      </w:r>
      <w:r w:rsidR="008F3962">
        <w:rPr>
          <w:lang w:val="en-US"/>
        </w:rPr>
        <w:t>ation</w:t>
      </w:r>
      <w:proofErr w:type="spellEnd"/>
      <w:r w:rsidR="008F3962">
        <w:rPr>
          <w:lang w:val="en-US"/>
        </w:rPr>
        <w:t xml:space="preserve"> to challenge the prevailing political settlement</w:t>
      </w:r>
      <w:r w:rsidR="00C76315">
        <w:rPr>
          <w:lang w:val="en-US"/>
        </w:rPr>
        <w:t xml:space="preserve"> and to find allies in other social movements</w:t>
      </w:r>
      <w:r w:rsidR="00CC2B0C">
        <w:rPr>
          <w:lang w:val="en-US"/>
        </w:rPr>
        <w:t xml:space="preserve"> (</w:t>
      </w:r>
      <w:proofErr w:type="spellStart"/>
      <w:r w:rsidR="00CC2B0C">
        <w:rPr>
          <w:lang w:val="en-US"/>
        </w:rPr>
        <w:t>Yousuf</w:t>
      </w:r>
      <w:proofErr w:type="spellEnd"/>
      <w:r>
        <w:rPr>
          <w:lang w:val="en-US"/>
        </w:rPr>
        <w:t xml:space="preserve"> and Close</w:t>
      </w:r>
      <w:r w:rsidR="00CC2B0C">
        <w:rPr>
          <w:lang w:val="en-US"/>
        </w:rPr>
        <w:t>)</w:t>
      </w:r>
      <w:r w:rsidR="002F1B44">
        <w:rPr>
          <w:lang w:val="en-US"/>
        </w:rPr>
        <w:t>;</w:t>
      </w:r>
      <w:r w:rsidR="002F1B44">
        <w:rPr>
          <w:rStyle w:val="FootnoteReference"/>
          <w:lang w:val="en-US"/>
        </w:rPr>
        <w:footnoteReference w:id="29"/>
      </w:r>
      <w:r w:rsidR="008F3962">
        <w:rPr>
          <w:lang w:val="en-US"/>
        </w:rPr>
        <w:t xml:space="preserve"> </w:t>
      </w:r>
    </w:p>
    <w:p w14:paraId="59719052" w14:textId="7EBB8116" w:rsidR="008F3962" w:rsidRDefault="00252F89" w:rsidP="005D056D">
      <w:pPr>
        <w:ind w:left="720"/>
        <w:rPr>
          <w:lang w:val="en-US"/>
        </w:rPr>
      </w:pPr>
      <w:r>
        <w:rPr>
          <w:lang w:val="en-US"/>
        </w:rPr>
        <w:t>(3)</w:t>
      </w:r>
      <w:r w:rsidR="005D056D">
        <w:rPr>
          <w:lang w:val="en-US"/>
        </w:rPr>
        <w:t xml:space="preserve"> underpinning activities by international institutions in conflict-affected settings (O’Rourke)</w:t>
      </w:r>
      <w:r w:rsidR="00231E4A">
        <w:rPr>
          <w:lang w:val="en-US"/>
        </w:rPr>
        <w:t>;</w:t>
      </w:r>
      <w:r w:rsidR="00CC2B0C">
        <w:rPr>
          <w:lang w:val="en-US"/>
        </w:rPr>
        <w:t xml:space="preserve"> </w:t>
      </w:r>
    </w:p>
    <w:p w14:paraId="37786FCA" w14:textId="28878575" w:rsidR="00CC2B0C" w:rsidRDefault="00252F89" w:rsidP="005D056D">
      <w:pPr>
        <w:ind w:left="720"/>
        <w:rPr>
          <w:lang w:val="en-US"/>
        </w:rPr>
      </w:pPr>
      <w:r>
        <w:rPr>
          <w:lang w:val="en-US"/>
        </w:rPr>
        <w:t>(4)</w:t>
      </w:r>
      <w:r w:rsidR="00CC2B0C">
        <w:rPr>
          <w:lang w:val="en-US"/>
        </w:rPr>
        <w:t xml:space="preserve"> informing the text of peace agreements (Bell </w:t>
      </w:r>
      <w:r w:rsidR="002F1B44">
        <w:rPr>
          <w:lang w:val="en-US"/>
        </w:rPr>
        <w:t>and</w:t>
      </w:r>
      <w:r w:rsidR="00CC2B0C">
        <w:rPr>
          <w:lang w:val="en-US"/>
        </w:rPr>
        <w:t xml:space="preserve"> </w:t>
      </w:r>
      <w:proofErr w:type="spellStart"/>
      <w:r w:rsidR="00CC2B0C">
        <w:rPr>
          <w:lang w:val="en-US"/>
        </w:rPr>
        <w:t>McNicholl</w:t>
      </w:r>
      <w:proofErr w:type="spellEnd"/>
      <w:r w:rsidR="00CC2B0C">
        <w:rPr>
          <w:lang w:val="en-US"/>
        </w:rPr>
        <w:t>);</w:t>
      </w:r>
      <w:r>
        <w:rPr>
          <w:lang w:val="en-US"/>
        </w:rPr>
        <w:t xml:space="preserve"> and</w:t>
      </w:r>
    </w:p>
    <w:p w14:paraId="5E1B53CF" w14:textId="1DE86146" w:rsidR="00CD3025" w:rsidRPr="00CD3025" w:rsidRDefault="00252F89" w:rsidP="005D056D">
      <w:pPr>
        <w:ind w:left="720"/>
        <w:rPr>
          <w:lang w:val="en-US"/>
        </w:rPr>
      </w:pPr>
      <w:r>
        <w:rPr>
          <w:lang w:val="en-US"/>
        </w:rPr>
        <w:t>(5)</w:t>
      </w:r>
      <w:r w:rsidR="005D056D">
        <w:rPr>
          <w:lang w:val="en-US"/>
        </w:rPr>
        <w:t xml:space="preserve"> leveraging external interveners (M</w:t>
      </w:r>
      <w:r w:rsidR="002F1B44">
        <w:rPr>
          <w:lang w:val="en-US"/>
        </w:rPr>
        <w:t xml:space="preserve">ackay and </w:t>
      </w:r>
      <w:proofErr w:type="spellStart"/>
      <w:r w:rsidR="002F1B44">
        <w:rPr>
          <w:lang w:val="en-US"/>
        </w:rPr>
        <w:t>Murtagh</w:t>
      </w:r>
      <w:proofErr w:type="spellEnd"/>
      <w:r w:rsidR="002F1B44">
        <w:rPr>
          <w:lang w:val="en-US"/>
        </w:rPr>
        <w:t>).</w:t>
      </w:r>
    </w:p>
    <w:p w14:paraId="797232A5" w14:textId="77777777" w:rsidR="00CD3025" w:rsidRDefault="00CD3025" w:rsidP="00CD3025"/>
    <w:p w14:paraId="04F4010F" w14:textId="77777777" w:rsidR="00950AAB" w:rsidRDefault="00950AAB">
      <w:pPr>
        <w:spacing w:before="0" w:after="0" w:line="240" w:lineRule="auto"/>
        <w:jc w:val="left"/>
        <w:rPr>
          <w:i/>
        </w:rPr>
      </w:pPr>
      <w:bookmarkStart w:id="10" w:name="_Toc404500999"/>
      <w:r>
        <w:br w:type="page"/>
      </w:r>
    </w:p>
    <w:p w14:paraId="2D0DDFB9" w14:textId="26C23EE8" w:rsidR="00447EB7" w:rsidRDefault="00447EB7" w:rsidP="0017209C">
      <w:pPr>
        <w:pStyle w:val="Heading2"/>
      </w:pPr>
      <w:bookmarkStart w:id="11" w:name="_GoBack"/>
      <w:bookmarkEnd w:id="11"/>
      <w:r>
        <w:lastRenderedPageBreak/>
        <w:t>Gender</w:t>
      </w:r>
      <w:r w:rsidR="00CD3025">
        <w:t xml:space="preserve">, </w:t>
      </w:r>
      <w:r w:rsidR="00CD3025" w:rsidRPr="0017209C">
        <w:t>Violence</w:t>
      </w:r>
      <w:r w:rsidR="00CD3025">
        <w:t xml:space="preserve"> and </w:t>
      </w:r>
      <w:r w:rsidR="00CD3025" w:rsidRPr="0096053F">
        <w:t>Inclusion</w:t>
      </w:r>
      <w:bookmarkEnd w:id="10"/>
    </w:p>
    <w:p w14:paraId="41EEB149" w14:textId="1BBD65D5" w:rsidR="001A137E" w:rsidRDefault="004516B9" w:rsidP="00DB2900">
      <w:pPr>
        <w:rPr>
          <w:lang w:val="en-US"/>
        </w:rPr>
      </w:pPr>
      <w:r w:rsidRPr="004516B9">
        <w:t>Global evidence highlights the relationship of gender-based violence against women (VAW), including intimate partner violence (IPV) in conflict settings, to the limited participation of women in social, economic and political life.</w:t>
      </w:r>
      <w:r w:rsidR="00231E4A">
        <w:rPr>
          <w:rStyle w:val="FootnoteReference"/>
        </w:rPr>
        <w:footnoteReference w:id="30"/>
      </w:r>
      <w:r w:rsidR="00DB2900">
        <w:t xml:space="preserve"> </w:t>
      </w:r>
      <w:r w:rsidR="00F67201">
        <w:t xml:space="preserve">PSRP started from a premise that violence in the so-called private sphere is intimately connected </w:t>
      </w:r>
      <w:r>
        <w:t xml:space="preserve">to </w:t>
      </w:r>
      <w:r w:rsidR="00F67201">
        <w:t>public sphere political settlement dynamics</w:t>
      </w:r>
      <w:r>
        <w:t xml:space="preserve"> of peace processes and peace agreements</w:t>
      </w:r>
      <w:r w:rsidR="00F67201">
        <w:t xml:space="preserve">, and thus to women’s inclusion. The </w:t>
      </w:r>
      <w:r w:rsidR="009246C5">
        <w:t>Special Issue investigates</w:t>
      </w:r>
      <w:r w:rsidR="00F67201">
        <w:t xml:space="preserve"> this relationship along a number of strands</w:t>
      </w:r>
      <w:r w:rsidR="009D45B3">
        <w:t>.</w:t>
      </w:r>
      <w:r w:rsidR="00F67201">
        <w:t xml:space="preserve"> </w:t>
      </w:r>
      <w:r w:rsidR="009D45B3">
        <w:t>F</w:t>
      </w:r>
      <w:r w:rsidR="00252F89">
        <w:t>irst, it identifies</w:t>
      </w:r>
      <w:r w:rsidR="00F67201">
        <w:t xml:space="preserve"> continuities between </w:t>
      </w:r>
      <w:r w:rsidR="009D45B3">
        <w:t>pre-conflict violence against women and its manifestation during conflict.</w:t>
      </w:r>
      <w:r w:rsidR="00F22420">
        <w:t xml:space="preserve"> </w:t>
      </w:r>
      <w:r w:rsidR="00F22420" w:rsidRPr="00DB2900">
        <w:rPr>
          <w:lang w:val="en-US"/>
        </w:rPr>
        <w:t xml:space="preserve">For example, </w:t>
      </w:r>
      <w:r w:rsidR="001A137E">
        <w:t xml:space="preserve">Swaine’s research reveals how </w:t>
      </w:r>
      <w:r w:rsidR="00F22420" w:rsidRPr="00DB2900">
        <w:rPr>
          <w:lang w:val="en-US"/>
        </w:rPr>
        <w:t xml:space="preserve">many of the patterns of pre-conflict violence, such as </w:t>
      </w:r>
      <w:proofErr w:type="spellStart"/>
      <w:r w:rsidR="00F22420" w:rsidRPr="00DB2900">
        <w:rPr>
          <w:lang w:val="en-US"/>
        </w:rPr>
        <w:t>sexualised</w:t>
      </w:r>
      <w:proofErr w:type="spellEnd"/>
      <w:r w:rsidR="00F22420" w:rsidRPr="00DB2900">
        <w:rPr>
          <w:lang w:val="en-US"/>
        </w:rPr>
        <w:t xml:space="preserve"> assault by men known to women, or domestic</w:t>
      </w:r>
      <w:r w:rsidR="00252F89">
        <w:rPr>
          <w:lang w:val="en-US"/>
        </w:rPr>
        <w:t xml:space="preserve"> violence, are sustained by </w:t>
      </w:r>
      <w:r w:rsidR="001A137E">
        <w:rPr>
          <w:lang w:val="en-US"/>
        </w:rPr>
        <w:t>many of the same</w:t>
      </w:r>
      <w:r w:rsidR="00F22420" w:rsidRPr="00DB2900">
        <w:rPr>
          <w:lang w:val="en-US"/>
        </w:rPr>
        <w:t xml:space="preserve"> actors. </w:t>
      </w:r>
      <w:r w:rsidR="001A137E">
        <w:rPr>
          <w:lang w:val="en-US"/>
        </w:rPr>
        <w:t>Further, t</w:t>
      </w:r>
      <w:r w:rsidR="00F22420" w:rsidRPr="00DB2900">
        <w:rPr>
          <w:lang w:val="en-US"/>
        </w:rPr>
        <w:t xml:space="preserve">hough there are distinctions in how violence against women is perpetrated during the conflict, the violence is nevertheless grounded in pre-conflict societal norms that </w:t>
      </w:r>
      <w:proofErr w:type="spellStart"/>
      <w:r w:rsidR="00F22420" w:rsidRPr="00DB2900">
        <w:rPr>
          <w:lang w:val="en-US"/>
        </w:rPr>
        <w:t>normalise</w:t>
      </w:r>
      <w:proofErr w:type="spellEnd"/>
      <w:r w:rsidR="00F22420" w:rsidRPr="00DB2900">
        <w:rPr>
          <w:lang w:val="en-US"/>
        </w:rPr>
        <w:t xml:space="preserve"> VAW.</w:t>
      </w:r>
      <w:r w:rsidR="00252F89">
        <w:t xml:space="preserve"> Second, it explores</w:t>
      </w:r>
      <w:r w:rsidR="009D45B3">
        <w:t xml:space="preserve"> the relationship between conflict-related violence and ostensibly ‘non-c</w:t>
      </w:r>
      <w:r w:rsidR="000D12E0">
        <w:t>onflict’ violence against women</w:t>
      </w:r>
      <w:r w:rsidR="005A4B83" w:rsidRPr="00DB2900">
        <w:rPr>
          <w:lang w:val="en-US"/>
        </w:rPr>
        <w:t>. For example, conflict presents increased opportunities for state and non</w:t>
      </w:r>
      <w:r w:rsidR="001A137E">
        <w:rPr>
          <w:lang w:val="en-US"/>
        </w:rPr>
        <w:t>-state actors to enact violence due to collapse in the rule of law, as well as</w:t>
      </w:r>
      <w:r w:rsidR="00252F89">
        <w:rPr>
          <w:lang w:val="en-US"/>
        </w:rPr>
        <w:t xml:space="preserve"> implicit impunity for</w:t>
      </w:r>
      <w:r w:rsidR="005A4B83" w:rsidRPr="00DB2900">
        <w:rPr>
          <w:lang w:val="en-US"/>
        </w:rPr>
        <w:t xml:space="preserve"> perpetrators</w:t>
      </w:r>
      <w:r w:rsidR="001A137E">
        <w:rPr>
          <w:lang w:val="en-US"/>
        </w:rPr>
        <w:t xml:space="preserve"> (Swaine). </w:t>
      </w:r>
    </w:p>
    <w:p w14:paraId="084C98BF" w14:textId="42CD1D71" w:rsidR="00CD3025" w:rsidRPr="005A4B83" w:rsidRDefault="00252F89" w:rsidP="00DB2900">
      <w:pPr>
        <w:rPr>
          <w:lang w:val="en-US"/>
        </w:rPr>
      </w:pPr>
      <w:r>
        <w:t>Third, it utilises</w:t>
      </w:r>
      <w:r w:rsidR="003A78EC">
        <w:t xml:space="preserve"> longitudinal analysis to</w:t>
      </w:r>
      <w:r w:rsidR="009D45B3">
        <w:t xml:space="preserve"> </w:t>
      </w:r>
      <w:r w:rsidR="003A78EC">
        <w:t>examine</w:t>
      </w:r>
      <w:r w:rsidR="009D45B3">
        <w:t xml:space="preserve"> continuities and </w:t>
      </w:r>
      <w:proofErr w:type="spellStart"/>
      <w:r w:rsidR="009D45B3">
        <w:t>disjunctures</w:t>
      </w:r>
      <w:proofErr w:type="spellEnd"/>
      <w:r w:rsidR="009D45B3">
        <w:t xml:space="preserve"> </w:t>
      </w:r>
      <w:r w:rsidR="00F56A58">
        <w:t>between violence against women during and after conflict.</w:t>
      </w:r>
      <w:r w:rsidR="004F75A7">
        <w:t xml:space="preserve"> For example, </w:t>
      </w:r>
      <w:r w:rsidR="004F75A7">
        <w:rPr>
          <w:lang w:val="en-US"/>
        </w:rPr>
        <w:t>i</w:t>
      </w:r>
      <w:r w:rsidR="004F75A7" w:rsidRPr="00DB2900">
        <w:rPr>
          <w:lang w:val="en-US"/>
        </w:rPr>
        <w:t>n Northern Ireland</w:t>
      </w:r>
      <w:r w:rsidR="004F75A7">
        <w:rPr>
          <w:lang w:val="en-US"/>
        </w:rPr>
        <w:t>, Doyle and McWilliams f</w:t>
      </w:r>
      <w:r w:rsidR="001A137E">
        <w:rPr>
          <w:lang w:val="en-US"/>
        </w:rPr>
        <w:t>in</w:t>
      </w:r>
      <w:r w:rsidR="004F75A7">
        <w:rPr>
          <w:lang w:val="en-US"/>
        </w:rPr>
        <w:t>d that</w:t>
      </w:r>
      <w:r w:rsidR="004F75A7" w:rsidRPr="00DB2900">
        <w:rPr>
          <w:lang w:val="en-US"/>
        </w:rPr>
        <w:t> </w:t>
      </w:r>
      <w:r w:rsidR="004F75A7">
        <w:rPr>
          <w:lang w:val="en-US"/>
        </w:rPr>
        <w:t>t</w:t>
      </w:r>
      <w:r w:rsidR="004F75A7" w:rsidRPr="00DB2900">
        <w:rPr>
          <w:lang w:val="en-US"/>
        </w:rPr>
        <w:t xml:space="preserve">he use of firearms in </w:t>
      </w:r>
      <w:r>
        <w:rPr>
          <w:lang w:val="en-US"/>
        </w:rPr>
        <w:t>IPV</w:t>
      </w:r>
      <w:r w:rsidR="004F75A7" w:rsidRPr="00DB2900">
        <w:rPr>
          <w:lang w:val="en-US"/>
        </w:rPr>
        <w:t xml:space="preserve"> situations decreased as a result of the decommissioning of illegally held firearms and the regulation of legally held firearms</w:t>
      </w:r>
      <w:r w:rsidR="004F75A7">
        <w:rPr>
          <w:lang w:val="en-US"/>
        </w:rPr>
        <w:t xml:space="preserve"> that accompanied the peace process</w:t>
      </w:r>
      <w:r w:rsidR="004F75A7" w:rsidRPr="00DB2900">
        <w:rPr>
          <w:lang w:val="en-US"/>
        </w:rPr>
        <w:t xml:space="preserve">. </w:t>
      </w:r>
      <w:r>
        <w:t>Fourth, it looks</w:t>
      </w:r>
      <w:r w:rsidR="00F56A58">
        <w:t xml:space="preserve"> comparatively at violence against women as it manifests and mutates in different conflict-settings</w:t>
      </w:r>
      <w:r w:rsidR="00A93FAB">
        <w:t xml:space="preserve">, revealing important variations </w:t>
      </w:r>
      <w:r>
        <w:t>and patterns i</w:t>
      </w:r>
      <w:r w:rsidR="000D12E0">
        <w:t>n how violence is perpetrated, b</w:t>
      </w:r>
      <w:r w:rsidR="002F1B44">
        <w:t>y whom and in what form (Swaine</w:t>
      </w:r>
      <w:r w:rsidR="000D12E0">
        <w:t>)</w:t>
      </w:r>
      <w:r w:rsidR="00F56A58">
        <w:t>.</w:t>
      </w:r>
      <w:r>
        <w:t xml:space="preserve"> Fifth, it thinks</w:t>
      </w:r>
      <w:r w:rsidR="000E3080">
        <w:t xml:space="preserve"> about </w:t>
      </w:r>
      <w:r>
        <w:t xml:space="preserve">how </w:t>
      </w:r>
      <w:r w:rsidR="000E3080">
        <w:t>gender-based violence</w:t>
      </w:r>
      <w:r w:rsidR="000D12E0">
        <w:t xml:space="preserve"> against women</w:t>
      </w:r>
      <w:r w:rsidR="000E3080">
        <w:t xml:space="preserve"> in conflict may vary depending on the status of the victim. </w:t>
      </w:r>
      <w:r w:rsidR="000D12E0">
        <w:t xml:space="preserve">In this regard, </w:t>
      </w:r>
      <w:r w:rsidR="00DB0C16">
        <w:t>Marks</w:t>
      </w:r>
      <w:r w:rsidR="002F1B44">
        <w:t>’</w:t>
      </w:r>
      <w:r w:rsidR="00DB0C16">
        <w:t xml:space="preserve"> work on the reintegration experiences of women former combatants </w:t>
      </w:r>
      <w:r w:rsidR="000D12E0">
        <w:t>brings valuable insights</w:t>
      </w:r>
      <w:r w:rsidR="00A02D85">
        <w:t xml:space="preserve"> to the relationship of gender violence and inclusion. </w:t>
      </w:r>
    </w:p>
    <w:p w14:paraId="732342AF" w14:textId="16AA9989" w:rsidR="0053305C" w:rsidRDefault="0053305C" w:rsidP="00DB2900">
      <w:r>
        <w:t xml:space="preserve">The Special Issue </w:t>
      </w:r>
      <w:r w:rsidR="00D74914">
        <w:t>adduces</w:t>
      </w:r>
      <w:r>
        <w:t xml:space="preserve"> a number of explicit and implicit findings on the relationship of gender, violence and inclusion. </w:t>
      </w:r>
      <w:r w:rsidR="009E1A2E">
        <w:t>Four</w:t>
      </w:r>
      <w:r w:rsidR="002A3993">
        <w:t xml:space="preserve"> such findings are highlighted here:</w:t>
      </w:r>
    </w:p>
    <w:p w14:paraId="75D3608F" w14:textId="3A0BD4A3" w:rsidR="00062FEC" w:rsidRPr="00252F89" w:rsidRDefault="00062FEC" w:rsidP="00252F89">
      <w:pPr>
        <w:pStyle w:val="ListParagraph"/>
        <w:numPr>
          <w:ilvl w:val="0"/>
          <w:numId w:val="7"/>
        </w:numPr>
        <w:ind w:left="709" w:firstLine="0"/>
        <w:rPr>
          <w:lang w:val="en-US"/>
        </w:rPr>
      </w:pPr>
      <w:r w:rsidRPr="00252F89">
        <w:rPr>
          <w:lang w:val="en-US"/>
        </w:rPr>
        <w:lastRenderedPageBreak/>
        <w:t>Gender-based violence, including intimate partner violence in conflict settings, is a practical and enduring obstacle to women’s participation in public political life, including peace processes and post-conflict political institutions</w:t>
      </w:r>
      <w:r w:rsidR="00A93FAB" w:rsidRPr="00252F89">
        <w:rPr>
          <w:lang w:val="en-US"/>
        </w:rPr>
        <w:t>;</w:t>
      </w:r>
      <w:r w:rsidRPr="00252F89">
        <w:rPr>
          <w:lang w:val="en-US"/>
        </w:rPr>
        <w:t xml:space="preserve"> </w:t>
      </w:r>
    </w:p>
    <w:p w14:paraId="47E15E94" w14:textId="063BE235" w:rsidR="00E94B5F" w:rsidRPr="009E1A2E" w:rsidRDefault="00E94B5F" w:rsidP="009E1A2E">
      <w:pPr>
        <w:pStyle w:val="ListParagraph"/>
        <w:numPr>
          <w:ilvl w:val="0"/>
          <w:numId w:val="7"/>
        </w:numPr>
        <w:ind w:left="709" w:firstLine="0"/>
        <w:rPr>
          <w:lang w:val="en-US"/>
        </w:rPr>
      </w:pPr>
      <w:r w:rsidRPr="009E1A2E">
        <w:rPr>
          <w:lang w:val="en-US"/>
        </w:rPr>
        <w:t>The gender norms that permit and perpetuate gender-based violence are intimately connected to gender norms that exclude and devalue women’s participation in public life and formal peace processes</w:t>
      </w:r>
      <w:r w:rsidR="009246C5" w:rsidRPr="009E1A2E">
        <w:rPr>
          <w:lang w:val="en-US"/>
        </w:rPr>
        <w:t xml:space="preserve"> (Doyle and McWilliams)</w:t>
      </w:r>
      <w:r w:rsidRPr="009E1A2E">
        <w:rPr>
          <w:lang w:val="en-US"/>
        </w:rPr>
        <w:t xml:space="preserve">. For example, conservative views in a society that </w:t>
      </w:r>
      <w:proofErr w:type="spellStart"/>
      <w:r w:rsidRPr="009E1A2E">
        <w:rPr>
          <w:lang w:val="en-US"/>
        </w:rPr>
        <w:t>stigmatise</w:t>
      </w:r>
      <w:proofErr w:type="spellEnd"/>
      <w:r w:rsidRPr="009E1A2E">
        <w:rPr>
          <w:lang w:val="en-US"/>
        </w:rPr>
        <w:t xml:space="preserve"> </w:t>
      </w:r>
      <w:r w:rsidR="002A3993" w:rsidRPr="009E1A2E">
        <w:rPr>
          <w:lang w:val="en-US"/>
        </w:rPr>
        <w:t>female victims of intimate partner or sexual violence</w:t>
      </w:r>
      <w:r w:rsidRPr="009E1A2E">
        <w:rPr>
          <w:lang w:val="en-US"/>
        </w:rPr>
        <w:t xml:space="preserve">, present a significant barrier to </w:t>
      </w:r>
      <w:r w:rsidR="00872F56" w:rsidRPr="009E1A2E">
        <w:rPr>
          <w:lang w:val="en-US"/>
        </w:rPr>
        <w:t>accessing support and</w:t>
      </w:r>
      <w:r w:rsidR="009E4CA9" w:rsidRPr="009E1A2E">
        <w:rPr>
          <w:lang w:val="en-US"/>
        </w:rPr>
        <w:t xml:space="preserve"> ultimately achieving</w:t>
      </w:r>
      <w:r w:rsidR="009246C5" w:rsidRPr="009E1A2E">
        <w:rPr>
          <w:lang w:val="en-US"/>
        </w:rPr>
        <w:t xml:space="preserve"> gender</w:t>
      </w:r>
      <w:r w:rsidR="009E4CA9" w:rsidRPr="009E1A2E">
        <w:rPr>
          <w:lang w:val="en-US"/>
        </w:rPr>
        <w:t xml:space="preserve"> inclusion</w:t>
      </w:r>
      <w:r w:rsidR="009246C5" w:rsidRPr="009E1A2E">
        <w:rPr>
          <w:lang w:val="en-US"/>
        </w:rPr>
        <w:t xml:space="preserve"> at all levels</w:t>
      </w:r>
      <w:r w:rsidRPr="009E1A2E">
        <w:rPr>
          <w:lang w:val="en-US"/>
        </w:rPr>
        <w:t>;</w:t>
      </w:r>
    </w:p>
    <w:p w14:paraId="208BAF0D" w14:textId="35937652" w:rsidR="005A4B83" w:rsidRPr="009E1A2E" w:rsidRDefault="005A4B83" w:rsidP="009E1A2E">
      <w:pPr>
        <w:pStyle w:val="ListParagraph"/>
        <w:numPr>
          <w:ilvl w:val="0"/>
          <w:numId w:val="7"/>
        </w:numPr>
        <w:ind w:left="709" w:firstLine="0"/>
        <w:rPr>
          <w:lang w:val="en-US"/>
        </w:rPr>
      </w:pPr>
      <w:r w:rsidRPr="009E1A2E">
        <w:rPr>
          <w:lang w:val="en-US"/>
        </w:rPr>
        <w:t xml:space="preserve">For women, a history of direct involvement in conflict violence may underpin their </w:t>
      </w:r>
      <w:proofErr w:type="spellStart"/>
      <w:r w:rsidRPr="009E1A2E">
        <w:rPr>
          <w:lang w:val="en-US"/>
        </w:rPr>
        <w:t>marginali</w:t>
      </w:r>
      <w:r w:rsidR="009E1A2E">
        <w:rPr>
          <w:lang w:val="en-US"/>
        </w:rPr>
        <w:t>s</w:t>
      </w:r>
      <w:r w:rsidRPr="009E1A2E">
        <w:rPr>
          <w:lang w:val="en-US"/>
        </w:rPr>
        <w:t>ation</w:t>
      </w:r>
      <w:proofErr w:type="spellEnd"/>
      <w:r w:rsidRPr="009E1A2E">
        <w:rPr>
          <w:lang w:val="en-US"/>
        </w:rPr>
        <w:t xml:space="preserve"> and exclusion from post-conflict political life and institutions. These dynamics tends to be different for me</w:t>
      </w:r>
      <w:r w:rsidR="00062FEC" w:rsidRPr="009E1A2E">
        <w:rPr>
          <w:lang w:val="en-US"/>
        </w:rPr>
        <w:t>n</w:t>
      </w:r>
      <w:r w:rsidRPr="009E1A2E">
        <w:rPr>
          <w:lang w:val="en-US"/>
        </w:rPr>
        <w:t>, who can more successfully transition from combatan</w:t>
      </w:r>
      <w:r w:rsidR="00062FEC" w:rsidRPr="009E1A2E">
        <w:rPr>
          <w:lang w:val="en-US"/>
        </w:rPr>
        <w:t>t roles</w:t>
      </w:r>
      <w:r w:rsidRPr="009E1A2E">
        <w:rPr>
          <w:lang w:val="en-US"/>
        </w:rPr>
        <w:t xml:space="preserve"> to political and community leadership</w:t>
      </w:r>
      <w:r w:rsidR="002F1B44" w:rsidRPr="009E1A2E">
        <w:rPr>
          <w:lang w:val="en-US"/>
        </w:rPr>
        <w:t xml:space="preserve"> (Marks</w:t>
      </w:r>
      <w:r w:rsidR="00486915" w:rsidRPr="009E1A2E">
        <w:rPr>
          <w:lang w:val="en-US"/>
        </w:rPr>
        <w:t>)</w:t>
      </w:r>
      <w:r w:rsidRPr="009E1A2E">
        <w:rPr>
          <w:lang w:val="en-US"/>
        </w:rPr>
        <w:t xml:space="preserve">;  </w:t>
      </w:r>
    </w:p>
    <w:p w14:paraId="2E41F665" w14:textId="7E4F1B96" w:rsidR="00E94B5F" w:rsidRPr="009E1A2E" w:rsidRDefault="00E94B5F" w:rsidP="009E1A2E">
      <w:pPr>
        <w:pStyle w:val="ListParagraph"/>
        <w:numPr>
          <w:ilvl w:val="0"/>
          <w:numId w:val="7"/>
        </w:numPr>
        <w:ind w:left="709" w:firstLine="0"/>
        <w:rPr>
          <w:lang w:val="en-US"/>
        </w:rPr>
      </w:pPr>
      <w:r w:rsidRPr="009E1A2E">
        <w:rPr>
          <w:lang w:val="en-US"/>
        </w:rPr>
        <w:t xml:space="preserve">‘Inclusion’ should be </w:t>
      </w:r>
      <w:r w:rsidR="00071B35" w:rsidRPr="009E1A2E">
        <w:rPr>
          <w:lang w:val="en-US"/>
        </w:rPr>
        <w:t xml:space="preserve">defined </w:t>
      </w:r>
      <w:r w:rsidRPr="009E1A2E">
        <w:rPr>
          <w:lang w:val="en-US"/>
        </w:rPr>
        <w:t>broadly</w:t>
      </w:r>
      <w:r w:rsidR="009E4CA9" w:rsidRPr="009E1A2E">
        <w:rPr>
          <w:lang w:val="en-US"/>
        </w:rPr>
        <w:t xml:space="preserve"> </w:t>
      </w:r>
      <w:r w:rsidR="00071B35" w:rsidRPr="009E1A2E">
        <w:rPr>
          <w:lang w:val="en-US"/>
        </w:rPr>
        <w:t>in relation to</w:t>
      </w:r>
      <w:r w:rsidR="009E4CA9" w:rsidRPr="009E1A2E">
        <w:rPr>
          <w:lang w:val="en-US"/>
        </w:rPr>
        <w:t xml:space="preserve"> gender-based violence</w:t>
      </w:r>
      <w:r w:rsidR="00071B35" w:rsidRPr="009E1A2E">
        <w:rPr>
          <w:lang w:val="en-US"/>
        </w:rPr>
        <w:t>, to include the responses of transitional and post</w:t>
      </w:r>
      <w:r w:rsidR="009E1A2E">
        <w:rPr>
          <w:lang w:val="en-US"/>
        </w:rPr>
        <w:t>-</w:t>
      </w:r>
      <w:r w:rsidR="00071B35" w:rsidRPr="009E1A2E">
        <w:rPr>
          <w:lang w:val="en-US"/>
        </w:rPr>
        <w:t>conflict institutions</w:t>
      </w:r>
      <w:r w:rsidR="009E4CA9" w:rsidRPr="009E1A2E">
        <w:rPr>
          <w:lang w:val="en-US"/>
        </w:rPr>
        <w:t>.</w:t>
      </w:r>
      <w:r w:rsidRPr="009E1A2E">
        <w:rPr>
          <w:lang w:val="en-US"/>
        </w:rPr>
        <w:t xml:space="preserve"> For example, findings from Liberia and Timor </w:t>
      </w:r>
      <w:proofErr w:type="spellStart"/>
      <w:r w:rsidRPr="009E1A2E">
        <w:rPr>
          <w:lang w:val="en-US"/>
        </w:rPr>
        <w:t>Leste</w:t>
      </w:r>
      <w:proofErr w:type="spellEnd"/>
      <w:r w:rsidRPr="009E1A2E">
        <w:rPr>
          <w:lang w:val="en-US"/>
        </w:rPr>
        <w:t xml:space="preserve"> indicate that transitional justice processes fail</w:t>
      </w:r>
      <w:r w:rsidR="00071B35" w:rsidRPr="009E1A2E">
        <w:rPr>
          <w:lang w:val="en-US"/>
        </w:rPr>
        <w:t>ed</w:t>
      </w:r>
      <w:r w:rsidRPr="009E1A2E">
        <w:rPr>
          <w:lang w:val="en-US"/>
        </w:rPr>
        <w:t xml:space="preserve"> to ensure women’s inclusion</w:t>
      </w:r>
      <w:r w:rsidR="009E4CA9" w:rsidRPr="009E1A2E">
        <w:rPr>
          <w:lang w:val="en-US"/>
        </w:rPr>
        <w:t xml:space="preserve"> in their design and operation</w:t>
      </w:r>
      <w:r w:rsidRPr="009E1A2E">
        <w:rPr>
          <w:lang w:val="en-US"/>
        </w:rPr>
        <w:t>, even though th</w:t>
      </w:r>
      <w:r w:rsidR="00071B35" w:rsidRPr="009E1A2E">
        <w:rPr>
          <w:lang w:val="en-US"/>
        </w:rPr>
        <w:t>eir participation and hearing</w:t>
      </w:r>
      <w:r w:rsidRPr="009E1A2E">
        <w:rPr>
          <w:lang w:val="en-US"/>
        </w:rPr>
        <w:t xml:space="preserve"> their experiences is linked to efforts to </w:t>
      </w:r>
      <w:r w:rsidR="009E4CA9" w:rsidRPr="009E1A2E">
        <w:rPr>
          <w:lang w:val="en-US"/>
        </w:rPr>
        <w:t>acknowledge and redress conflict-related violence against women (Swaine)</w:t>
      </w:r>
      <w:r w:rsidRPr="009E1A2E">
        <w:rPr>
          <w:lang w:val="en-US"/>
        </w:rPr>
        <w:t xml:space="preserve">. </w:t>
      </w:r>
      <w:r w:rsidR="009E4CA9" w:rsidRPr="009E1A2E">
        <w:rPr>
          <w:lang w:val="en-US"/>
        </w:rPr>
        <w:t>By contrast</w:t>
      </w:r>
      <w:r w:rsidRPr="009E1A2E">
        <w:rPr>
          <w:lang w:val="en-US"/>
        </w:rPr>
        <w:t>, findings from Northern Ireland evidenced a positive trajectory in the capacity of the post conflict police force to respond to domestic violence against women</w:t>
      </w:r>
      <w:r w:rsidR="009246C5" w:rsidRPr="009E1A2E">
        <w:rPr>
          <w:lang w:val="en-US"/>
        </w:rPr>
        <w:t>, including the greater presence of women within justice institutions</w:t>
      </w:r>
      <w:r w:rsidR="009E4CA9" w:rsidRPr="009E1A2E">
        <w:rPr>
          <w:lang w:val="en-US"/>
        </w:rPr>
        <w:t xml:space="preserve"> (Doyle and McWilliams)</w:t>
      </w:r>
      <w:r w:rsidR="004F75A7" w:rsidRPr="009E1A2E">
        <w:rPr>
          <w:lang w:val="en-US"/>
        </w:rPr>
        <w:t xml:space="preserve">. </w:t>
      </w:r>
    </w:p>
    <w:p w14:paraId="1F8E0704" w14:textId="77777777" w:rsidR="00DB2900" w:rsidRPr="00023D9E" w:rsidRDefault="00DB2900" w:rsidP="00CD3025">
      <w:pPr>
        <w:spacing w:before="0" w:after="160" w:line="259" w:lineRule="auto"/>
        <w:contextualSpacing/>
        <w:jc w:val="left"/>
        <w:rPr>
          <w:rFonts w:eastAsia="Calibri" w:cs="Times New Roman"/>
        </w:rPr>
      </w:pPr>
    </w:p>
    <w:p w14:paraId="65971705" w14:textId="394576DB" w:rsidR="00224893" w:rsidRDefault="004448D4" w:rsidP="0017209C">
      <w:pPr>
        <w:pStyle w:val="Heading1"/>
      </w:pPr>
      <w:bookmarkStart w:id="12" w:name="_Toc404501000"/>
      <w:r>
        <w:t>Why Does It Matter?</w:t>
      </w:r>
      <w:bookmarkEnd w:id="12"/>
      <w:r>
        <w:t xml:space="preserve"> </w:t>
      </w:r>
    </w:p>
    <w:p w14:paraId="5065B360" w14:textId="0CD8A469" w:rsidR="002F1B44" w:rsidRPr="002F1B44" w:rsidRDefault="005E68AE" w:rsidP="002F1B44">
      <w:r>
        <w:t>W</w:t>
      </w:r>
      <w:r w:rsidR="00C153F6">
        <w:t xml:space="preserve">e view the collective insights gleaned from the </w:t>
      </w:r>
      <w:r>
        <w:t xml:space="preserve">PSRP </w:t>
      </w:r>
      <w:r w:rsidR="00C153F6">
        <w:t xml:space="preserve">gender </w:t>
      </w:r>
      <w:r w:rsidR="00432C21">
        <w:t>theme</w:t>
      </w:r>
      <w:r w:rsidR="00C153F6">
        <w:t xml:space="preserve"> </w:t>
      </w:r>
      <w:r>
        <w:t>research</w:t>
      </w:r>
      <w:r w:rsidR="00432C21">
        <w:t xml:space="preserve"> – and reflected in this Special Issue –</w:t>
      </w:r>
      <w:r w:rsidR="00C153F6">
        <w:t xml:space="preserve"> as making important contributions both to </w:t>
      </w:r>
      <w:r w:rsidR="00432C21">
        <w:t xml:space="preserve">the </w:t>
      </w:r>
      <w:r w:rsidR="009E1A2E">
        <w:t>established body of work o</w:t>
      </w:r>
      <w:r w:rsidR="00C153F6">
        <w:t>n political settlements</w:t>
      </w:r>
      <w:r w:rsidR="00432C21">
        <w:t xml:space="preserve"> and to gendered analysis of conflict</w:t>
      </w:r>
      <w:r>
        <w:t xml:space="preserve"> and peacebuilding. For political settlements, PSRP gender work is most significant</w:t>
      </w:r>
      <w:r w:rsidR="00C153F6">
        <w:t xml:space="preserve"> in drawing attention to the importance of (a) </w:t>
      </w:r>
      <w:r w:rsidR="00432C21">
        <w:t>those perceived to be ‘non-elites’ (b) the private, and (c</w:t>
      </w:r>
      <w:r w:rsidR="00C153F6">
        <w:t>) the international, in</w:t>
      </w:r>
      <w:r w:rsidR="00FC61A0">
        <w:t xml:space="preserve"> shaping political settlements</w:t>
      </w:r>
      <w:r>
        <w:t>.</w:t>
      </w:r>
      <w:r w:rsidR="00FC61A0">
        <w:t xml:space="preserve"> </w:t>
      </w:r>
      <w:r>
        <w:t>F</w:t>
      </w:r>
      <w:r w:rsidR="00FC61A0">
        <w:t>undamentally</w:t>
      </w:r>
      <w:r>
        <w:t xml:space="preserve">, the </w:t>
      </w:r>
      <w:r>
        <w:lastRenderedPageBreak/>
        <w:t>research</w:t>
      </w:r>
      <w:r w:rsidR="00FC61A0">
        <w:t xml:space="preserve"> </w:t>
      </w:r>
      <w:r>
        <w:t xml:space="preserve">exposes the </w:t>
      </w:r>
      <w:r w:rsidR="00FC61A0">
        <w:t xml:space="preserve">gendered and gendering </w:t>
      </w:r>
      <w:r>
        <w:t>nature of political settlements</w:t>
      </w:r>
      <w:r w:rsidR="00FC61A0">
        <w:t xml:space="preserve">. Further, we see the political settlements framework as a potentially useful tool to scholars of gender and conflict seeking to connect the </w:t>
      </w:r>
      <w:r>
        <w:t>‘</w:t>
      </w:r>
      <w:r w:rsidR="00FC61A0">
        <w:t>big-P</w:t>
      </w:r>
      <w:r>
        <w:t>’</w:t>
      </w:r>
      <w:r w:rsidR="00FC61A0">
        <w:t xml:space="preserve"> political </w:t>
      </w:r>
      <w:r>
        <w:t xml:space="preserve">dynamics of peace processes and agreements </w:t>
      </w:r>
      <w:r w:rsidR="00FC61A0">
        <w:t xml:space="preserve">to the micro gendered experiences of conflict and its resolution. </w:t>
      </w:r>
      <w:r>
        <w:t>The p</w:t>
      </w:r>
      <w:r w:rsidR="00FC61A0">
        <w:t>olitical settlements</w:t>
      </w:r>
      <w:r>
        <w:t xml:space="preserve"> framework</w:t>
      </w:r>
      <w:r w:rsidR="00FC61A0">
        <w:t xml:space="preserve">, when used well, offers value in thinking across these different levels of analysis. </w:t>
      </w:r>
      <w:r w:rsidR="009655FE">
        <w:t>At a policy level, b</w:t>
      </w:r>
      <w:r w:rsidR="002F1B44">
        <w:t>oth the</w:t>
      </w:r>
      <w:r w:rsidR="002F1B44" w:rsidRPr="002F1B44">
        <w:t xml:space="preserve"> UN and World </w:t>
      </w:r>
      <w:r w:rsidR="009655FE">
        <w:t>B</w:t>
      </w:r>
      <w:r w:rsidR="002F1B44" w:rsidRPr="002F1B44">
        <w:t xml:space="preserve">ank are now focusing on ‘inclusion’ as central to conflict prevention </w:t>
      </w:r>
      <w:r w:rsidR="009655FE">
        <w:t>and as a means to supporting</w:t>
      </w:r>
      <w:r w:rsidR="002F1B44" w:rsidRPr="002F1B44">
        <w:t xml:space="preserve"> </w:t>
      </w:r>
      <w:r w:rsidR="009655FE">
        <w:t>successful</w:t>
      </w:r>
      <w:r w:rsidR="002F1B44" w:rsidRPr="002F1B44">
        <w:t xml:space="preserve"> peace processes.</w:t>
      </w:r>
      <w:r w:rsidR="009655FE">
        <w:rPr>
          <w:rStyle w:val="FootnoteReference"/>
        </w:rPr>
        <w:footnoteReference w:id="31"/>
      </w:r>
      <w:r w:rsidR="002F1B44" w:rsidRPr="002F1B44">
        <w:t xml:space="preserve"> </w:t>
      </w:r>
      <w:r w:rsidR="009655FE">
        <w:t>O</w:t>
      </w:r>
      <w:r w:rsidR="002F1B44" w:rsidRPr="002F1B44">
        <w:t>ften</w:t>
      </w:r>
      <w:r w:rsidR="009655FE">
        <w:t>, however,</w:t>
      </w:r>
      <w:r w:rsidR="002F1B44" w:rsidRPr="002F1B44">
        <w:t xml:space="preserve"> the </w:t>
      </w:r>
      <w:r w:rsidR="00692D10">
        <w:t xml:space="preserve">nature and </w:t>
      </w:r>
      <w:r w:rsidR="002F1B44" w:rsidRPr="002F1B44">
        <w:t>terms of inclusion are not specified</w:t>
      </w:r>
      <w:r w:rsidR="009655FE">
        <w:t xml:space="preserve"> in such policy commitments.</w:t>
      </w:r>
      <w:r w:rsidR="002F1B44" w:rsidRPr="002F1B44">
        <w:t xml:space="preserve"> </w:t>
      </w:r>
      <w:r w:rsidR="009655FE">
        <w:t>Our work contributes</w:t>
      </w:r>
      <w:r w:rsidR="00692D10">
        <w:t xml:space="preserve"> to these policy developments by bringing</w:t>
      </w:r>
      <w:r w:rsidR="009655FE">
        <w:t xml:space="preserve"> greater clarity, definition and depth</w:t>
      </w:r>
      <w:r w:rsidR="00692D10">
        <w:t xml:space="preserve"> to ‘inclusion’ as a policy goal, and its gendered implications. </w:t>
      </w:r>
    </w:p>
    <w:p w14:paraId="705AFA6C" w14:textId="5FAA1937" w:rsidR="003B3085" w:rsidRDefault="003B3085" w:rsidP="00FF0637"/>
    <w:p w14:paraId="1B79BAB9" w14:textId="77777777" w:rsidR="00442D00" w:rsidRPr="00C47DAE" w:rsidRDefault="00442D00" w:rsidP="00FF0637"/>
    <w:sectPr w:rsidR="00442D00" w:rsidRPr="00C47DAE" w:rsidSect="00950AAB">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5C800" w14:textId="77777777" w:rsidR="00E87807" w:rsidRDefault="00E87807" w:rsidP="00CD3025">
      <w:pPr>
        <w:spacing w:before="0" w:after="0" w:line="240" w:lineRule="auto"/>
      </w:pPr>
      <w:r>
        <w:separator/>
      </w:r>
    </w:p>
  </w:endnote>
  <w:endnote w:type="continuationSeparator" w:id="0">
    <w:p w14:paraId="34CB5BDC" w14:textId="77777777" w:rsidR="00E87807" w:rsidRDefault="00E87807" w:rsidP="00CD30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44D91" w14:textId="7001A264" w:rsidR="00950AAB" w:rsidRDefault="00950AAB">
    <w:pPr>
      <w:pStyle w:val="Footer"/>
      <w:jc w:val="center"/>
      <w:rPr>
        <w:sz w:val="22"/>
        <w:szCs w:val="22"/>
      </w:rPr>
    </w:pPr>
    <w:r w:rsidRPr="00950AAB">
      <w:rPr>
        <w:sz w:val="22"/>
        <w:szCs w:val="22"/>
      </w:rPr>
      <w:t>___</w:t>
    </w:r>
    <w:r>
      <w:rPr>
        <w:sz w:val="22"/>
        <w:szCs w:val="22"/>
      </w:rPr>
      <w:t>________________________________________________________________________</w:t>
    </w:r>
  </w:p>
  <w:p w14:paraId="09BFCCF1" w14:textId="77777777" w:rsidR="00950AAB" w:rsidRPr="00950AAB" w:rsidRDefault="00950AAB">
    <w:pPr>
      <w:pStyle w:val="Footer"/>
      <w:jc w:val="center"/>
      <w:rPr>
        <w:sz w:val="22"/>
        <w:szCs w:val="22"/>
      </w:rPr>
    </w:pPr>
  </w:p>
  <w:p w14:paraId="39109A05" w14:textId="30CC77BF" w:rsidR="00950AAB" w:rsidRDefault="00950AAB">
    <w:pPr>
      <w:pStyle w:val="Footer"/>
      <w:jc w:val="center"/>
    </w:pPr>
    <w:sdt>
      <w:sdtPr>
        <w:rPr>
          <w:sz w:val="22"/>
          <w:szCs w:val="22"/>
        </w:rPr>
        <w:id w:val="-117453312"/>
        <w:docPartObj>
          <w:docPartGallery w:val="Page Numbers (Bottom of Page)"/>
          <w:docPartUnique/>
        </w:docPartObj>
      </w:sdtPr>
      <w:sdtEndPr>
        <w:rPr>
          <w:noProof/>
        </w:rPr>
      </w:sdtEndPr>
      <w:sdtContent>
        <w:r w:rsidRPr="00950AAB">
          <w:rPr>
            <w:sz w:val="22"/>
            <w:szCs w:val="22"/>
          </w:rPr>
          <w:fldChar w:fldCharType="begin"/>
        </w:r>
        <w:r w:rsidRPr="00950AAB">
          <w:rPr>
            <w:sz w:val="22"/>
            <w:szCs w:val="22"/>
          </w:rPr>
          <w:instrText xml:space="preserve"> PAGE   \* MERGEFORMAT </w:instrText>
        </w:r>
        <w:r w:rsidRPr="00950AAB">
          <w:rPr>
            <w:sz w:val="22"/>
            <w:szCs w:val="22"/>
          </w:rPr>
          <w:fldChar w:fldCharType="separate"/>
        </w:r>
        <w:r>
          <w:rPr>
            <w:noProof/>
            <w:sz w:val="22"/>
            <w:szCs w:val="22"/>
          </w:rPr>
          <w:t>18</w:t>
        </w:r>
        <w:r w:rsidRPr="00950AAB">
          <w:rPr>
            <w:noProof/>
            <w:sz w:val="22"/>
            <w:szCs w:val="22"/>
          </w:rPr>
          <w:fldChar w:fldCharType="end"/>
        </w:r>
      </w:sdtContent>
    </w:sdt>
  </w:p>
  <w:p w14:paraId="7326A537" w14:textId="77777777" w:rsidR="006A3216" w:rsidRDefault="006A3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149135127"/>
      <w:docPartObj>
        <w:docPartGallery w:val="Page Numbers (Bottom of Page)"/>
        <w:docPartUnique/>
      </w:docPartObj>
    </w:sdtPr>
    <w:sdtEndPr>
      <w:rPr>
        <w:noProof/>
        <w:sz w:val="24"/>
        <w:szCs w:val="24"/>
      </w:rPr>
    </w:sdtEndPr>
    <w:sdtContent>
      <w:p w14:paraId="7A6D87C4" w14:textId="20EB36E8" w:rsidR="00950AAB" w:rsidRDefault="00950AAB">
        <w:pPr>
          <w:pStyle w:val="Footer"/>
          <w:jc w:val="center"/>
          <w:rPr>
            <w:sz w:val="22"/>
            <w:szCs w:val="22"/>
          </w:rPr>
        </w:pPr>
        <w:r w:rsidRPr="00950AAB">
          <w:rPr>
            <w:sz w:val="22"/>
            <w:szCs w:val="22"/>
          </w:rPr>
          <w:t>_____________________________________________________________________</w:t>
        </w:r>
        <w:r>
          <w:rPr>
            <w:sz w:val="22"/>
            <w:szCs w:val="22"/>
          </w:rPr>
          <w:t>______</w:t>
        </w:r>
      </w:p>
      <w:p w14:paraId="7AA62005" w14:textId="38912136" w:rsidR="00950AAB" w:rsidRPr="00950AAB" w:rsidRDefault="00950AAB">
        <w:pPr>
          <w:pStyle w:val="Footer"/>
          <w:jc w:val="center"/>
          <w:rPr>
            <w:sz w:val="22"/>
            <w:szCs w:val="22"/>
          </w:rPr>
        </w:pPr>
      </w:p>
      <w:p w14:paraId="05B8AF1B" w14:textId="539501BD" w:rsidR="00950AAB" w:rsidRDefault="00950AAB">
        <w:pPr>
          <w:pStyle w:val="Footer"/>
          <w:jc w:val="center"/>
        </w:pPr>
        <w:r w:rsidRPr="00950AAB">
          <w:rPr>
            <w:sz w:val="22"/>
            <w:szCs w:val="22"/>
          </w:rPr>
          <w:fldChar w:fldCharType="begin"/>
        </w:r>
        <w:r w:rsidRPr="00950AAB">
          <w:rPr>
            <w:sz w:val="22"/>
            <w:szCs w:val="22"/>
          </w:rPr>
          <w:instrText xml:space="preserve"> PAGE   \* MERGEFORMAT </w:instrText>
        </w:r>
        <w:r w:rsidRPr="00950AAB">
          <w:rPr>
            <w:sz w:val="22"/>
            <w:szCs w:val="22"/>
          </w:rPr>
          <w:fldChar w:fldCharType="separate"/>
        </w:r>
        <w:r>
          <w:rPr>
            <w:noProof/>
            <w:sz w:val="22"/>
            <w:szCs w:val="22"/>
          </w:rPr>
          <w:t>17</w:t>
        </w:r>
        <w:r w:rsidRPr="00950AAB">
          <w:rPr>
            <w:noProof/>
            <w:sz w:val="22"/>
            <w:szCs w:val="22"/>
          </w:rPr>
          <w:fldChar w:fldCharType="end"/>
        </w:r>
      </w:p>
    </w:sdtContent>
  </w:sdt>
  <w:p w14:paraId="0E97867C" w14:textId="77777777" w:rsidR="006A3216" w:rsidRDefault="006A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C84A" w14:textId="77777777" w:rsidR="00E87807" w:rsidRDefault="00E87807" w:rsidP="00CD3025">
      <w:pPr>
        <w:spacing w:before="0" w:after="0" w:line="240" w:lineRule="auto"/>
      </w:pPr>
      <w:r>
        <w:separator/>
      </w:r>
    </w:p>
  </w:footnote>
  <w:footnote w:type="continuationSeparator" w:id="0">
    <w:p w14:paraId="624A066D" w14:textId="77777777" w:rsidR="00E87807" w:rsidRDefault="00E87807" w:rsidP="00CD3025">
      <w:pPr>
        <w:spacing w:before="0" w:after="0" w:line="240" w:lineRule="auto"/>
      </w:pPr>
      <w:r>
        <w:continuationSeparator/>
      </w:r>
    </w:p>
  </w:footnote>
  <w:footnote w:id="1">
    <w:p w14:paraId="26313D73" w14:textId="15EF2FEF" w:rsidR="00643A55" w:rsidRPr="00643A55" w:rsidRDefault="00643A55" w:rsidP="00643A55">
      <w:pPr>
        <w:pStyle w:val="FootnoteText"/>
        <w:spacing w:line="240" w:lineRule="auto"/>
        <w:rPr>
          <w:sz w:val="20"/>
          <w:szCs w:val="20"/>
          <w:vertAlign w:val="baseline"/>
        </w:rPr>
      </w:pPr>
      <w:r w:rsidRPr="00643A55">
        <w:rPr>
          <w:rStyle w:val="FootnoteReference"/>
          <w:sz w:val="20"/>
          <w:szCs w:val="20"/>
          <w:vertAlign w:val="baseline"/>
        </w:rPr>
        <w:t>*</w:t>
      </w:r>
      <w:r w:rsidRPr="00643A55">
        <w:rPr>
          <w:sz w:val="20"/>
          <w:szCs w:val="20"/>
          <w:vertAlign w:val="baseline"/>
        </w:rPr>
        <w:t xml:space="preserve"> </w:t>
      </w:r>
      <w:r w:rsidRPr="00643A55">
        <w:rPr>
          <w:sz w:val="20"/>
          <w:szCs w:val="20"/>
          <w:vertAlign w:val="baseline"/>
        </w:rPr>
        <w:t>Dr Catherine O’Rourke coordinates the P</w:t>
      </w:r>
      <w:r>
        <w:rPr>
          <w:sz w:val="20"/>
          <w:szCs w:val="20"/>
          <w:vertAlign w:val="baseline"/>
        </w:rPr>
        <w:t xml:space="preserve">olitical </w:t>
      </w:r>
      <w:r w:rsidRPr="00643A55">
        <w:rPr>
          <w:sz w:val="20"/>
          <w:szCs w:val="20"/>
          <w:vertAlign w:val="baseline"/>
        </w:rPr>
        <w:t>S</w:t>
      </w:r>
      <w:r>
        <w:rPr>
          <w:sz w:val="20"/>
          <w:szCs w:val="20"/>
          <w:vertAlign w:val="baseline"/>
        </w:rPr>
        <w:t xml:space="preserve">ettlements </w:t>
      </w:r>
      <w:r w:rsidRPr="00643A55">
        <w:rPr>
          <w:sz w:val="20"/>
          <w:szCs w:val="20"/>
          <w:vertAlign w:val="baseline"/>
        </w:rPr>
        <w:t>R</w:t>
      </w:r>
      <w:r>
        <w:rPr>
          <w:sz w:val="20"/>
          <w:szCs w:val="20"/>
          <w:vertAlign w:val="baseline"/>
        </w:rPr>
        <w:t xml:space="preserve">esearch </w:t>
      </w:r>
      <w:r w:rsidRPr="00643A55">
        <w:rPr>
          <w:sz w:val="20"/>
          <w:szCs w:val="20"/>
          <w:vertAlign w:val="baseline"/>
        </w:rPr>
        <w:t>P</w:t>
      </w:r>
      <w:r>
        <w:rPr>
          <w:sz w:val="20"/>
          <w:szCs w:val="20"/>
          <w:vertAlign w:val="baseline"/>
        </w:rPr>
        <w:t>rogramme</w:t>
      </w:r>
      <w:r w:rsidRPr="00643A55">
        <w:rPr>
          <w:sz w:val="20"/>
          <w:szCs w:val="20"/>
          <w:vertAlign w:val="baseline"/>
        </w:rPr>
        <w:t xml:space="preserve"> Gender Theme. She is </w:t>
      </w:r>
      <w:r w:rsidRPr="00643A55">
        <w:rPr>
          <w:sz w:val="20"/>
          <w:szCs w:val="20"/>
          <w:vertAlign w:val="baseline"/>
          <w:lang w:val="en-US"/>
        </w:rPr>
        <w:t>Senior Lecturer in Human Rights and International Law at the Transitional Justice Institute and School of Law, Ulster University, Northern Ireland.</w:t>
      </w:r>
      <w:r>
        <w:rPr>
          <w:sz w:val="20"/>
          <w:szCs w:val="20"/>
          <w:vertAlign w:val="baseline"/>
          <w:lang w:val="en-US"/>
        </w:rPr>
        <w:t xml:space="preserve"> Email: </w:t>
      </w:r>
      <w:hyperlink r:id="rId1" w:history="1">
        <w:r w:rsidRPr="00421D4B">
          <w:rPr>
            <w:rStyle w:val="Hyperlink"/>
            <w:sz w:val="20"/>
            <w:szCs w:val="20"/>
            <w:vertAlign w:val="baseline"/>
            <w:lang w:val="en-US"/>
          </w:rPr>
          <w:t>cf.orourke@ulster.ac.uk</w:t>
        </w:r>
      </w:hyperlink>
      <w:r>
        <w:rPr>
          <w:sz w:val="20"/>
          <w:szCs w:val="20"/>
          <w:vertAlign w:val="baseline"/>
          <w:lang w:val="en-US"/>
        </w:rPr>
        <w:t xml:space="preserve"> </w:t>
      </w:r>
    </w:p>
  </w:footnote>
  <w:footnote w:id="2">
    <w:p w14:paraId="0048869A" w14:textId="1A64A089" w:rsidR="006A3216" w:rsidRPr="00E92849" w:rsidRDefault="006A3216" w:rsidP="00E92849">
      <w:pPr>
        <w:pStyle w:val="Footnotes"/>
      </w:pPr>
      <w:r w:rsidRPr="006170FB">
        <w:rPr>
          <w:rStyle w:val="FootnoteReference"/>
        </w:rPr>
        <w:footnoteRef/>
      </w:r>
      <w:r>
        <w:t xml:space="preserve"> The Special Issue and Editorial are outputs of the </w:t>
      </w:r>
      <w:r w:rsidRPr="00E92849">
        <w:t xml:space="preserve">Political Settlements Research Programme (PSRP), funded by UK Aid from the UK Department for International Development (DFID) for the benefit of developing countries. The information and views set out in this publication are those of the author. Nothing herein constitutes the view of the Department, or has been subject to input by the Department. </w:t>
      </w:r>
    </w:p>
    <w:p w14:paraId="752E0D6A" w14:textId="542F5D02" w:rsidR="006A3216" w:rsidRDefault="006A3216" w:rsidP="00961E29">
      <w:pPr>
        <w:pStyle w:val="Footnotes"/>
      </w:pPr>
    </w:p>
  </w:footnote>
  <w:footnote w:id="3">
    <w:p w14:paraId="723C9D7F" w14:textId="77777777" w:rsidR="006A3216" w:rsidRPr="006742A6" w:rsidRDefault="006A3216" w:rsidP="00961E29">
      <w:pPr>
        <w:pStyle w:val="Footnotes"/>
      </w:pPr>
      <w:r w:rsidRPr="006170FB">
        <w:rPr>
          <w:rStyle w:val="FootnoteReference"/>
        </w:rPr>
        <w:footnoteRef/>
      </w:r>
      <w:r w:rsidRPr="006742A6">
        <w:t xml:space="preserve"> Department for International Development. (2010). </w:t>
      </w:r>
      <w:r w:rsidRPr="00961E29">
        <w:rPr>
          <w:i/>
        </w:rPr>
        <w:t>Building Peaceful States and Societies</w:t>
      </w:r>
      <w:r w:rsidRPr="006742A6">
        <w:t>. London: DFID, 22.</w:t>
      </w:r>
    </w:p>
  </w:footnote>
  <w:footnote w:id="4">
    <w:p w14:paraId="0753B00C" w14:textId="59EC2FFF" w:rsidR="006A3216" w:rsidRPr="006742A6" w:rsidRDefault="006A3216" w:rsidP="00961E29">
      <w:pPr>
        <w:pStyle w:val="Footnotes"/>
      </w:pPr>
      <w:r w:rsidRPr="006170FB">
        <w:rPr>
          <w:rStyle w:val="FootnoteReference"/>
        </w:rPr>
        <w:footnoteRef/>
      </w:r>
      <w:r w:rsidRPr="006742A6">
        <w:t xml:space="preserve"> </w:t>
      </w:r>
      <w:r>
        <w:t>Other examples include</w:t>
      </w:r>
      <w:r w:rsidRPr="006742A6">
        <w:t xml:space="preserve"> </w:t>
      </w:r>
      <w:r>
        <w:t>Effective States and Inclusive Development (</w:t>
      </w:r>
      <w:r w:rsidRPr="006742A6">
        <w:t>ESID</w:t>
      </w:r>
      <w:r>
        <w:t>) Research Centre at the University of Manchester, also funded by DFID, and</w:t>
      </w:r>
      <w:r w:rsidRPr="006742A6">
        <w:t xml:space="preserve"> </w:t>
      </w:r>
      <w:r>
        <w:t xml:space="preserve">the </w:t>
      </w:r>
      <w:r w:rsidRPr="006742A6">
        <w:t>D</w:t>
      </w:r>
      <w:r>
        <w:t>evelopment Leadership Programme (DLP) at the University of Birmingham, which is primarily funded by</w:t>
      </w:r>
      <w:r w:rsidRPr="006742A6">
        <w:t xml:space="preserve"> </w:t>
      </w:r>
      <w:r>
        <w:t>Australian Aid.</w:t>
      </w:r>
    </w:p>
  </w:footnote>
  <w:footnote w:id="5">
    <w:p w14:paraId="44C2344C" w14:textId="7029007C" w:rsidR="006A3216" w:rsidRPr="00B31277" w:rsidRDefault="006A3216" w:rsidP="00961E29">
      <w:pPr>
        <w:pStyle w:val="Footnotes"/>
        <w:rPr>
          <w:lang w:val="en-US"/>
        </w:rPr>
      </w:pPr>
      <w:r w:rsidRPr="006170FB">
        <w:rPr>
          <w:rStyle w:val="FootnoteReference"/>
        </w:rPr>
        <w:footnoteRef/>
      </w:r>
      <w:r>
        <w:t xml:space="preserve"> </w:t>
      </w:r>
      <w:r>
        <w:rPr>
          <w:lang w:val="en-US"/>
        </w:rPr>
        <w:t xml:space="preserve">These were the research questions posed by DFID in their research tender. </w:t>
      </w:r>
    </w:p>
  </w:footnote>
  <w:footnote w:id="6">
    <w:p w14:paraId="4C7F9EC8" w14:textId="55DDDBE1" w:rsidR="006A3216" w:rsidRPr="006742A6" w:rsidRDefault="006A3216" w:rsidP="00961E29">
      <w:pPr>
        <w:pStyle w:val="Footnotes"/>
      </w:pPr>
      <w:r w:rsidRPr="00192C58">
        <w:rPr>
          <w:rStyle w:val="FootnoteReference"/>
        </w:rPr>
        <w:footnoteRef/>
      </w:r>
      <w:r w:rsidRPr="006742A6">
        <w:t xml:space="preserve"> </w:t>
      </w:r>
      <w:r>
        <w:rPr>
          <w:lang w:val="en-US"/>
        </w:rPr>
        <w:t>Bell, C., and</w:t>
      </w:r>
      <w:r w:rsidRPr="00961E29">
        <w:rPr>
          <w:lang w:val="en-US"/>
        </w:rPr>
        <w:t xml:space="preserve"> </w:t>
      </w:r>
      <w:proofErr w:type="spellStart"/>
      <w:r w:rsidRPr="00961E29">
        <w:rPr>
          <w:lang w:val="en-US"/>
        </w:rPr>
        <w:t>Pospisil</w:t>
      </w:r>
      <w:proofErr w:type="spellEnd"/>
      <w:r w:rsidRPr="00961E29">
        <w:rPr>
          <w:lang w:val="en-US"/>
        </w:rPr>
        <w:t xml:space="preserve">, J. (2017). Navigating Inclusion in Transitions from Conflict: The </w:t>
      </w:r>
      <w:proofErr w:type="spellStart"/>
      <w:r w:rsidRPr="00961E29">
        <w:rPr>
          <w:lang w:val="en-US"/>
        </w:rPr>
        <w:t>Formalised</w:t>
      </w:r>
      <w:proofErr w:type="spellEnd"/>
      <w:r w:rsidRPr="00961E29">
        <w:rPr>
          <w:lang w:val="en-US"/>
        </w:rPr>
        <w:t xml:space="preserve"> Political </w:t>
      </w:r>
      <w:r w:rsidRPr="00961E29">
        <w:rPr>
          <w:i/>
          <w:iCs/>
          <w:lang w:val="en-US"/>
        </w:rPr>
        <w:t>Un</w:t>
      </w:r>
      <w:r w:rsidRPr="00961E29">
        <w:rPr>
          <w:lang w:val="en-US"/>
        </w:rPr>
        <w:t xml:space="preserve">settlement. </w:t>
      </w:r>
      <w:r w:rsidRPr="00961E29">
        <w:rPr>
          <w:i/>
          <w:iCs/>
          <w:lang w:val="en-US"/>
        </w:rPr>
        <w:t>Journal of International Development, 29</w:t>
      </w:r>
      <w:r w:rsidRPr="00961E29">
        <w:rPr>
          <w:lang w:val="en-US"/>
        </w:rPr>
        <w:t xml:space="preserve">(8), 576-593. </w:t>
      </w:r>
    </w:p>
  </w:footnote>
  <w:footnote w:id="7">
    <w:p w14:paraId="0B2684C6" w14:textId="452A315A" w:rsidR="006A3216" w:rsidRPr="006742A6" w:rsidRDefault="006A3216" w:rsidP="00961E29">
      <w:pPr>
        <w:pStyle w:val="Footnotes"/>
      </w:pPr>
      <w:r w:rsidRPr="00192C58">
        <w:rPr>
          <w:rStyle w:val="FootnoteReference"/>
        </w:rPr>
        <w:footnoteRef/>
      </w:r>
      <w:r w:rsidRPr="006742A6">
        <w:t xml:space="preserve"> </w:t>
      </w:r>
      <w:r>
        <w:t xml:space="preserve">Ibid. </w:t>
      </w:r>
    </w:p>
  </w:footnote>
  <w:footnote w:id="8">
    <w:p w14:paraId="4D4183FF" w14:textId="144CA69C" w:rsidR="006A3216" w:rsidRPr="006742A6" w:rsidRDefault="006A3216" w:rsidP="00961E29">
      <w:pPr>
        <w:pStyle w:val="Footnotes"/>
      </w:pPr>
      <w:r w:rsidRPr="00192C58">
        <w:rPr>
          <w:rStyle w:val="FootnoteReference"/>
        </w:rPr>
        <w:footnoteRef/>
      </w:r>
      <w:r w:rsidRPr="006742A6">
        <w:t xml:space="preserve"> </w:t>
      </w:r>
      <w:r w:rsidRPr="00961E29">
        <w:rPr>
          <w:lang w:val="en-US"/>
        </w:rPr>
        <w:t xml:space="preserve">Charlesworth, H. (1999). Feminist Methods in International Law. </w:t>
      </w:r>
      <w:r w:rsidRPr="00961E29">
        <w:rPr>
          <w:i/>
          <w:iCs/>
          <w:lang w:val="en-US"/>
        </w:rPr>
        <w:t>American Journal of International Law, 93</w:t>
      </w:r>
      <w:r w:rsidRPr="00961E29">
        <w:rPr>
          <w:lang w:val="en-US"/>
        </w:rPr>
        <w:t>, 379-394.</w:t>
      </w:r>
    </w:p>
  </w:footnote>
  <w:footnote w:id="9">
    <w:p w14:paraId="63B4A74A" w14:textId="640FFB21" w:rsidR="006A3216" w:rsidRPr="002075E4" w:rsidRDefault="006A3216" w:rsidP="00961E29">
      <w:pPr>
        <w:pStyle w:val="Footnotes"/>
        <w:rPr>
          <w:lang w:val="en-US"/>
        </w:rPr>
      </w:pPr>
      <w:r>
        <w:rPr>
          <w:rStyle w:val="FootnoteReference"/>
        </w:rPr>
        <w:footnoteRef/>
      </w:r>
      <w:r>
        <w:t xml:space="preserve"> </w:t>
      </w:r>
      <w:r>
        <w:rPr>
          <w:lang w:val="en-US"/>
        </w:rPr>
        <w:t xml:space="preserve">For example, </w:t>
      </w:r>
      <w:proofErr w:type="spellStart"/>
      <w:r w:rsidRPr="00EA601A">
        <w:rPr>
          <w:lang w:val="en-US"/>
        </w:rPr>
        <w:t>Nazneen</w:t>
      </w:r>
      <w:proofErr w:type="spellEnd"/>
      <w:r w:rsidRPr="00EA601A">
        <w:rPr>
          <w:lang w:val="en-US"/>
        </w:rPr>
        <w:t>, S.</w:t>
      </w:r>
      <w:r>
        <w:rPr>
          <w:lang w:val="en-US"/>
        </w:rPr>
        <w:t xml:space="preserve">, and </w:t>
      </w:r>
      <w:r w:rsidRPr="00EA601A">
        <w:rPr>
          <w:lang w:val="en-US"/>
        </w:rPr>
        <w:t>Mahmud</w:t>
      </w:r>
      <w:r>
        <w:rPr>
          <w:lang w:val="en-US"/>
        </w:rPr>
        <w:t>, S.</w:t>
      </w:r>
      <w:r w:rsidRPr="00EA601A">
        <w:rPr>
          <w:lang w:val="en-US"/>
        </w:rPr>
        <w:t xml:space="preserve"> (2012). Gendered Politics of Securing Inclusive Development. </w:t>
      </w:r>
      <w:r w:rsidRPr="00192C58">
        <w:rPr>
          <w:lang w:val="en-US"/>
        </w:rPr>
        <w:t>ESID Working Paper No. 13</w:t>
      </w:r>
      <w:r>
        <w:rPr>
          <w:lang w:val="en-US"/>
        </w:rPr>
        <w:t xml:space="preserve">, University of Manchester; Domingo, P., </w:t>
      </w:r>
      <w:proofErr w:type="spellStart"/>
      <w:r w:rsidRPr="00EA601A">
        <w:rPr>
          <w:lang w:val="en-US"/>
        </w:rPr>
        <w:t>Menocal</w:t>
      </w:r>
      <w:proofErr w:type="spellEnd"/>
      <w:r>
        <w:rPr>
          <w:lang w:val="en-US"/>
        </w:rPr>
        <w:t xml:space="preserve">, A.R., and </w:t>
      </w:r>
      <w:proofErr w:type="spellStart"/>
      <w:r w:rsidRPr="00EA601A">
        <w:rPr>
          <w:lang w:val="en-US"/>
        </w:rPr>
        <w:t>Hinestroza</w:t>
      </w:r>
      <w:proofErr w:type="spellEnd"/>
      <w:r>
        <w:rPr>
          <w:lang w:val="en-US"/>
        </w:rPr>
        <w:t>, V.</w:t>
      </w:r>
      <w:r w:rsidRPr="00EA601A">
        <w:rPr>
          <w:lang w:val="en-US"/>
        </w:rPr>
        <w:t xml:space="preserve"> (2015). </w:t>
      </w:r>
      <w:r w:rsidRPr="00EA601A">
        <w:rPr>
          <w:i/>
          <w:lang w:val="en-US"/>
        </w:rPr>
        <w:t>Progress Despite Adversity: Women’s Empowerment and Conflict in Colombia</w:t>
      </w:r>
      <w:r>
        <w:rPr>
          <w:lang w:val="en-US"/>
        </w:rPr>
        <w:t>. London:</w:t>
      </w:r>
      <w:r w:rsidRPr="00EA601A">
        <w:rPr>
          <w:lang w:val="en-US"/>
        </w:rPr>
        <w:t xml:space="preserve"> Overseas Development Institute.</w:t>
      </w:r>
    </w:p>
  </w:footnote>
  <w:footnote w:id="10">
    <w:p w14:paraId="5514BC30" w14:textId="1BC2DD95" w:rsidR="006A3216" w:rsidRPr="006742A6" w:rsidRDefault="006A3216" w:rsidP="00961E29">
      <w:pPr>
        <w:pStyle w:val="Footnotes"/>
      </w:pPr>
      <w:r w:rsidRPr="004350CE">
        <w:rPr>
          <w:rStyle w:val="FootnoteReference"/>
        </w:rPr>
        <w:footnoteRef/>
      </w:r>
      <w:r w:rsidRPr="006742A6">
        <w:t xml:space="preserve"> </w:t>
      </w:r>
      <w:r w:rsidRPr="004D6C51">
        <w:rPr>
          <w:lang w:val="en-US"/>
        </w:rPr>
        <w:t xml:space="preserve">O'Rourke, C. (2017). Engendering Political Settlements: Challenges and Opportunities. </w:t>
      </w:r>
      <w:r w:rsidRPr="004D6C51">
        <w:rPr>
          <w:i/>
          <w:iCs/>
          <w:lang w:val="en-US"/>
        </w:rPr>
        <w:t>Journal of International Development, 29</w:t>
      </w:r>
      <w:r w:rsidRPr="004D6C51">
        <w:rPr>
          <w:lang w:val="en-US"/>
        </w:rPr>
        <w:t>, 594–612.</w:t>
      </w:r>
    </w:p>
  </w:footnote>
  <w:footnote w:id="11">
    <w:p w14:paraId="0799DEB2" w14:textId="17627686" w:rsidR="006A3216" w:rsidRPr="006742A6" w:rsidRDefault="006A3216" w:rsidP="00961E29">
      <w:pPr>
        <w:pStyle w:val="Footnotes"/>
      </w:pPr>
      <w:r w:rsidRPr="004350CE">
        <w:rPr>
          <w:rStyle w:val="FootnoteReference"/>
        </w:rPr>
        <w:footnoteRef/>
      </w:r>
      <w:r w:rsidRPr="006742A6">
        <w:t xml:space="preserve"> </w:t>
      </w:r>
      <w:r>
        <w:t>Ibid</w:t>
      </w:r>
      <w:r w:rsidRPr="006742A6">
        <w:t xml:space="preserve">; </w:t>
      </w:r>
      <w:r w:rsidRPr="00ED65AD">
        <w:rPr>
          <w:lang w:val="en-US"/>
        </w:rPr>
        <w:t xml:space="preserve">Close, S. (2018). </w:t>
      </w:r>
      <w:r w:rsidRPr="00960276">
        <w:rPr>
          <w:i/>
          <w:lang w:val="en-US"/>
        </w:rPr>
        <w:t>Gendered Political Settlements: Examining Peace Transitions in Bougainville, Nepal and Colombia</w:t>
      </w:r>
      <w:r w:rsidRPr="00ED65AD">
        <w:rPr>
          <w:lang w:val="en-US"/>
        </w:rPr>
        <w:t xml:space="preserve">. </w:t>
      </w:r>
      <w:r>
        <w:rPr>
          <w:lang w:val="en-US"/>
        </w:rPr>
        <w:t>London:</w:t>
      </w:r>
      <w:r w:rsidRPr="00ED65AD">
        <w:rPr>
          <w:lang w:val="en-US"/>
        </w:rPr>
        <w:t xml:space="preserve"> Conciliation Resources.</w:t>
      </w:r>
    </w:p>
  </w:footnote>
  <w:footnote w:id="12">
    <w:p w14:paraId="2C15B7C8" w14:textId="2A038FBD" w:rsidR="006A3216" w:rsidRPr="006742A6" w:rsidRDefault="006A3216" w:rsidP="00961E29">
      <w:pPr>
        <w:pStyle w:val="Footnotes"/>
      </w:pPr>
      <w:r w:rsidRPr="004350CE">
        <w:rPr>
          <w:rStyle w:val="FootnoteReference"/>
        </w:rPr>
        <w:footnoteRef/>
      </w:r>
      <w:r w:rsidRPr="006742A6">
        <w:t xml:space="preserve"> See, for example, </w:t>
      </w:r>
      <w:r w:rsidRPr="005D5BB0">
        <w:rPr>
          <w:lang w:val="en-US"/>
        </w:rPr>
        <w:t xml:space="preserve">United Nations Special Rapporteur on Violence Against Women </w:t>
      </w:r>
      <w:proofErr w:type="spellStart"/>
      <w:r w:rsidRPr="005D5BB0">
        <w:rPr>
          <w:lang w:val="en-US"/>
        </w:rPr>
        <w:t>Rashida</w:t>
      </w:r>
      <w:proofErr w:type="spellEnd"/>
      <w:r w:rsidRPr="005D5BB0">
        <w:rPr>
          <w:lang w:val="en-US"/>
        </w:rPr>
        <w:t xml:space="preserve"> </w:t>
      </w:r>
      <w:proofErr w:type="spellStart"/>
      <w:r w:rsidRPr="005D5BB0">
        <w:rPr>
          <w:lang w:val="en-US"/>
        </w:rPr>
        <w:t>Manjoo</w:t>
      </w:r>
      <w:proofErr w:type="spellEnd"/>
      <w:r w:rsidRPr="005D5BB0">
        <w:rPr>
          <w:lang w:val="en-US"/>
        </w:rPr>
        <w:t xml:space="preserve">. (2011). </w:t>
      </w:r>
      <w:r w:rsidRPr="005D5BB0">
        <w:rPr>
          <w:i/>
          <w:iCs/>
          <w:lang w:val="en-US"/>
        </w:rPr>
        <w:t>Report of the Special Rapporteur on Violence against Women, its Causes and Consequences, 1 August 2011</w:t>
      </w:r>
      <w:r>
        <w:rPr>
          <w:i/>
          <w:iCs/>
          <w:lang w:val="en-US"/>
        </w:rPr>
        <w:t>: Continuum of Violence against Women from the H</w:t>
      </w:r>
      <w:r w:rsidRPr="005D5BB0">
        <w:rPr>
          <w:i/>
          <w:iCs/>
          <w:lang w:val="en-US"/>
        </w:rPr>
        <w:t xml:space="preserve">ome to the </w:t>
      </w:r>
      <w:r>
        <w:rPr>
          <w:i/>
          <w:iCs/>
          <w:lang w:val="en-US"/>
        </w:rPr>
        <w:t>Transnational Sphere: The Challenges of Effective R</w:t>
      </w:r>
      <w:r w:rsidRPr="005D5BB0">
        <w:rPr>
          <w:i/>
          <w:iCs/>
          <w:lang w:val="en-US"/>
        </w:rPr>
        <w:t>edress</w:t>
      </w:r>
      <w:r w:rsidRPr="005D5BB0">
        <w:rPr>
          <w:lang w:val="en-US"/>
        </w:rPr>
        <w:t>.</w:t>
      </w:r>
      <w:r>
        <w:rPr>
          <w:lang w:val="en-US"/>
        </w:rPr>
        <w:t xml:space="preserve"> UN Doc. A/66/215. </w:t>
      </w:r>
    </w:p>
  </w:footnote>
  <w:footnote w:id="13">
    <w:p w14:paraId="4D30078B" w14:textId="2C197F22" w:rsidR="006A3216" w:rsidRPr="006742A6" w:rsidRDefault="006A3216" w:rsidP="00961E29">
      <w:pPr>
        <w:pStyle w:val="Footnotes"/>
      </w:pPr>
      <w:r w:rsidRPr="004350CE">
        <w:rPr>
          <w:rStyle w:val="FootnoteReference"/>
        </w:rPr>
        <w:footnoteRef/>
      </w:r>
      <w:r w:rsidRPr="006742A6">
        <w:t xml:space="preserve"> O’Rourke</w:t>
      </w:r>
      <w:r>
        <w:t xml:space="preserve"> (n </w:t>
      </w:r>
      <w:r>
        <w:fldChar w:fldCharType="begin"/>
      </w:r>
      <w:r>
        <w:instrText xml:space="preserve"> NOTEREF _Ref404797037 \h </w:instrText>
      </w:r>
      <w:r>
        <w:fldChar w:fldCharType="separate"/>
      </w:r>
      <w:r>
        <w:t>9</w:t>
      </w:r>
      <w:r>
        <w:fldChar w:fldCharType="end"/>
      </w:r>
      <w:r>
        <w:t>).</w:t>
      </w:r>
      <w:r w:rsidRPr="006742A6">
        <w:t xml:space="preserve"> </w:t>
      </w:r>
    </w:p>
  </w:footnote>
  <w:footnote w:id="14">
    <w:p w14:paraId="5426EC40" w14:textId="32CDDFC4" w:rsidR="006A3216" w:rsidRPr="006742A6" w:rsidRDefault="006A3216" w:rsidP="00961E29">
      <w:pPr>
        <w:pStyle w:val="Footnotes"/>
      </w:pPr>
      <w:r w:rsidRPr="004350CE">
        <w:rPr>
          <w:rStyle w:val="FootnoteReference"/>
        </w:rPr>
        <w:footnoteRef/>
      </w:r>
      <w:r>
        <w:t xml:space="preserve"> </w:t>
      </w:r>
      <w:proofErr w:type="spellStart"/>
      <w:r>
        <w:t>Krook</w:t>
      </w:r>
      <w:proofErr w:type="spellEnd"/>
      <w:r>
        <w:t>, M. L., and</w:t>
      </w:r>
      <w:r w:rsidRPr="006742A6">
        <w:t xml:space="preserve"> Squires, J. (2006). Gender Quotas in British Politics: Multiple Approaches and Methods in Feminist Research. </w:t>
      </w:r>
      <w:r w:rsidRPr="005D5BB0">
        <w:rPr>
          <w:i/>
        </w:rPr>
        <w:t>British Politics,</w:t>
      </w:r>
      <w:r w:rsidRPr="006742A6">
        <w:t xml:space="preserve"> </w:t>
      </w:r>
      <w:r w:rsidRPr="004350CE">
        <w:rPr>
          <w:i/>
        </w:rPr>
        <w:t>1</w:t>
      </w:r>
      <w:r w:rsidRPr="006742A6">
        <w:t>, 44-66.</w:t>
      </w:r>
    </w:p>
  </w:footnote>
  <w:footnote w:id="15">
    <w:p w14:paraId="524D0DA5" w14:textId="45EBCFE4" w:rsidR="006A3216" w:rsidRPr="006742A6" w:rsidRDefault="006A3216" w:rsidP="00961E29">
      <w:pPr>
        <w:pStyle w:val="Footnotes"/>
      </w:pPr>
      <w:r w:rsidRPr="004350CE">
        <w:rPr>
          <w:rStyle w:val="FootnoteReference"/>
        </w:rPr>
        <w:footnoteRef/>
      </w:r>
      <w:r w:rsidRPr="006742A6">
        <w:t xml:space="preserve"> Ibid. </w:t>
      </w:r>
    </w:p>
  </w:footnote>
  <w:footnote w:id="16">
    <w:p w14:paraId="6F18D868" w14:textId="77777777" w:rsidR="006A3216" w:rsidRPr="006742A6" w:rsidRDefault="006A3216" w:rsidP="00961E29">
      <w:pPr>
        <w:pStyle w:val="Footnotes"/>
      </w:pPr>
      <w:r w:rsidRPr="004350CE">
        <w:rPr>
          <w:rStyle w:val="FootnoteReference"/>
        </w:rPr>
        <w:footnoteRef/>
      </w:r>
      <w:r w:rsidRPr="006742A6">
        <w:t xml:space="preserve"> Finlay, L. (2002). 'Outing the Researcher': The Provenance, Process and Practice of Reflexivity. </w:t>
      </w:r>
      <w:r w:rsidRPr="005D5BB0">
        <w:rPr>
          <w:i/>
        </w:rPr>
        <w:t>Qualitative Health Research</w:t>
      </w:r>
      <w:r w:rsidRPr="006742A6">
        <w:t xml:space="preserve">, </w:t>
      </w:r>
      <w:r w:rsidRPr="004350CE">
        <w:rPr>
          <w:i/>
        </w:rPr>
        <w:t>12</w:t>
      </w:r>
      <w:r w:rsidRPr="006742A6">
        <w:t>(4), 531-545.</w:t>
      </w:r>
    </w:p>
  </w:footnote>
  <w:footnote w:id="17">
    <w:p w14:paraId="7D0949CC" w14:textId="1C823ABC" w:rsidR="006A3216" w:rsidRPr="006742A6" w:rsidRDefault="006A3216" w:rsidP="00961E29">
      <w:pPr>
        <w:pStyle w:val="Footnotes"/>
      </w:pPr>
      <w:r w:rsidRPr="004350CE">
        <w:rPr>
          <w:rStyle w:val="FootnoteReference"/>
        </w:rPr>
        <w:footnoteRef/>
      </w:r>
      <w:r w:rsidRPr="006742A6">
        <w:t xml:space="preserve"> </w:t>
      </w:r>
      <w:r w:rsidRPr="009569B7">
        <w:rPr>
          <w:lang w:val="en-US"/>
        </w:rPr>
        <w:t xml:space="preserve">Cockburn, C. (1998). </w:t>
      </w:r>
      <w:r>
        <w:rPr>
          <w:i/>
          <w:iCs/>
          <w:lang w:val="en-US"/>
        </w:rPr>
        <w:t>The Space Between Us: Negotiating Gender and National Identities in C</w:t>
      </w:r>
      <w:r w:rsidRPr="009569B7">
        <w:rPr>
          <w:i/>
          <w:iCs/>
          <w:lang w:val="en-US"/>
        </w:rPr>
        <w:t>onflict</w:t>
      </w:r>
      <w:r>
        <w:rPr>
          <w:lang w:val="en-US"/>
        </w:rPr>
        <w:t xml:space="preserve">. London: Zed Books, 3. </w:t>
      </w:r>
    </w:p>
  </w:footnote>
  <w:footnote w:id="18">
    <w:p w14:paraId="1A08E052" w14:textId="0720C64E" w:rsidR="006A3216" w:rsidRPr="006742A6" w:rsidRDefault="006A3216" w:rsidP="00961E29">
      <w:pPr>
        <w:pStyle w:val="Footnotes"/>
      </w:pPr>
      <w:r w:rsidRPr="004350CE">
        <w:rPr>
          <w:rStyle w:val="FootnoteReference"/>
        </w:rPr>
        <w:footnoteRef/>
      </w:r>
      <w:r w:rsidRPr="006742A6">
        <w:t xml:space="preserve"> </w:t>
      </w:r>
      <w:r>
        <w:t xml:space="preserve">Close (n </w:t>
      </w:r>
      <w:r>
        <w:fldChar w:fldCharType="begin"/>
      </w:r>
      <w:r>
        <w:instrText xml:space="preserve"> NOTEREF _Ref404797524 \h </w:instrText>
      </w:r>
      <w:r>
        <w:fldChar w:fldCharType="separate"/>
      </w:r>
      <w:r>
        <w:t>10</w:t>
      </w:r>
      <w:r>
        <w:fldChar w:fldCharType="end"/>
      </w:r>
      <w:r>
        <w:t xml:space="preserve">). </w:t>
      </w:r>
    </w:p>
  </w:footnote>
  <w:footnote w:id="19">
    <w:p w14:paraId="1985C74A" w14:textId="3A94CAD3" w:rsidR="006A3216" w:rsidRPr="006742A6" w:rsidRDefault="006A3216" w:rsidP="005A5B14">
      <w:pPr>
        <w:pStyle w:val="Footnotes"/>
      </w:pPr>
      <w:r w:rsidRPr="004350CE">
        <w:rPr>
          <w:rStyle w:val="FootnoteReference"/>
        </w:rPr>
        <w:footnoteRef/>
      </w:r>
      <w:r w:rsidRPr="006742A6">
        <w:t xml:space="preserve"> </w:t>
      </w:r>
      <w:r w:rsidRPr="00B93C67">
        <w:rPr>
          <w:lang w:val="en-US"/>
        </w:rPr>
        <w:t>Baniya,</w:t>
      </w:r>
      <w:r>
        <w:rPr>
          <w:lang w:val="en-US"/>
        </w:rPr>
        <w:t xml:space="preserve"> J., </w:t>
      </w:r>
      <w:proofErr w:type="spellStart"/>
      <w:r w:rsidRPr="00B93C67">
        <w:rPr>
          <w:lang w:val="en-US"/>
        </w:rPr>
        <w:t>Kharel</w:t>
      </w:r>
      <w:proofErr w:type="spellEnd"/>
      <w:r w:rsidRPr="00B93C67">
        <w:rPr>
          <w:lang w:val="en-US"/>
        </w:rPr>
        <w:t>,</w:t>
      </w:r>
      <w:r>
        <w:rPr>
          <w:lang w:val="en-US"/>
        </w:rPr>
        <w:t xml:space="preserve"> S.,</w:t>
      </w:r>
      <w:r w:rsidRPr="00B93C67">
        <w:rPr>
          <w:lang w:val="en-US"/>
        </w:rPr>
        <w:t xml:space="preserve"> </w:t>
      </w:r>
      <w:proofErr w:type="spellStart"/>
      <w:r w:rsidRPr="00B93C67">
        <w:rPr>
          <w:lang w:val="en-US"/>
        </w:rPr>
        <w:t>Thapa</w:t>
      </w:r>
      <w:proofErr w:type="spellEnd"/>
      <w:r>
        <w:rPr>
          <w:lang w:val="en-US"/>
        </w:rPr>
        <w:t>, D.,</w:t>
      </w:r>
      <w:r w:rsidRPr="00B93C67">
        <w:rPr>
          <w:lang w:val="en-US"/>
        </w:rPr>
        <w:t xml:space="preserve"> </w:t>
      </w:r>
      <w:r>
        <w:rPr>
          <w:lang w:val="en-US"/>
        </w:rPr>
        <w:t>and</w:t>
      </w:r>
      <w:r w:rsidRPr="00B93C67">
        <w:rPr>
          <w:lang w:val="en-US"/>
        </w:rPr>
        <w:t xml:space="preserve"> </w:t>
      </w:r>
      <w:proofErr w:type="spellStart"/>
      <w:r w:rsidRPr="00B93C67">
        <w:rPr>
          <w:lang w:val="en-US"/>
        </w:rPr>
        <w:t>Ramsbotham</w:t>
      </w:r>
      <w:proofErr w:type="spellEnd"/>
      <w:r>
        <w:rPr>
          <w:lang w:val="en-US"/>
        </w:rPr>
        <w:t>, A.</w:t>
      </w:r>
      <w:r w:rsidRPr="00B93C67">
        <w:rPr>
          <w:lang w:val="en-US"/>
        </w:rPr>
        <w:t xml:space="preserve"> (2017). </w:t>
      </w:r>
      <w:r w:rsidRPr="00B93C67">
        <w:rPr>
          <w:i/>
          <w:lang w:val="en-US"/>
        </w:rPr>
        <w:t>Gender and Nepal's Transition from War.</w:t>
      </w:r>
      <w:r>
        <w:rPr>
          <w:lang w:val="en-US"/>
        </w:rPr>
        <w:t xml:space="preserve"> London:</w:t>
      </w:r>
      <w:r w:rsidRPr="00B93C67">
        <w:rPr>
          <w:lang w:val="en-US"/>
        </w:rPr>
        <w:t xml:space="preserve"> Conciliation Resources.</w:t>
      </w:r>
    </w:p>
  </w:footnote>
  <w:footnote w:id="20">
    <w:p w14:paraId="79E30161" w14:textId="3BE4B7A0" w:rsidR="006A3216" w:rsidRPr="009569B7" w:rsidRDefault="006A3216" w:rsidP="005A5B14">
      <w:pPr>
        <w:pStyle w:val="Footnotes"/>
        <w:rPr>
          <w:lang w:val="en-US"/>
        </w:rPr>
      </w:pPr>
      <w:r>
        <w:rPr>
          <w:rStyle w:val="FootnoteReference"/>
        </w:rPr>
        <w:footnoteRef/>
      </w:r>
      <w:r>
        <w:t xml:space="preserve"> </w:t>
      </w:r>
      <w:r>
        <w:rPr>
          <w:lang w:val="en-US"/>
        </w:rPr>
        <w:t xml:space="preserve">See further </w:t>
      </w:r>
      <w:r w:rsidRPr="004350CE">
        <w:rPr>
          <w:lang w:val="en-US"/>
        </w:rPr>
        <w:t>ibid</w:t>
      </w:r>
      <w:r>
        <w:rPr>
          <w:lang w:val="en-US"/>
        </w:rPr>
        <w:t>.</w:t>
      </w:r>
    </w:p>
  </w:footnote>
  <w:footnote w:id="21">
    <w:p w14:paraId="52117D03" w14:textId="1C54B85A" w:rsidR="006A3216" w:rsidRPr="006742A6" w:rsidRDefault="006A3216" w:rsidP="005A5B14">
      <w:pPr>
        <w:pStyle w:val="Footnotes"/>
      </w:pPr>
      <w:r w:rsidRPr="004350CE">
        <w:rPr>
          <w:rStyle w:val="FootnoteReference"/>
        </w:rPr>
        <w:footnoteRef/>
      </w:r>
      <w:r w:rsidRPr="006742A6">
        <w:t xml:space="preserve"> </w:t>
      </w:r>
      <w:r w:rsidRPr="005A5B14">
        <w:rPr>
          <w:lang w:val="en-US"/>
        </w:rPr>
        <w:t xml:space="preserve">Bell, C. (2005). Women and the Problems of Peace Agreements: Strategies for Change. In R. </w:t>
      </w:r>
      <w:proofErr w:type="spellStart"/>
      <w:r w:rsidRPr="005A5B14">
        <w:rPr>
          <w:lang w:val="en-US"/>
        </w:rPr>
        <w:t>Coomaraswamy</w:t>
      </w:r>
      <w:proofErr w:type="spellEnd"/>
      <w:r w:rsidRPr="005A5B14">
        <w:rPr>
          <w:lang w:val="en-US"/>
        </w:rPr>
        <w:t xml:space="preserve"> &amp; D. </w:t>
      </w:r>
      <w:proofErr w:type="spellStart"/>
      <w:r w:rsidRPr="005A5B14">
        <w:rPr>
          <w:lang w:val="en-US"/>
        </w:rPr>
        <w:t>Fonseka</w:t>
      </w:r>
      <w:proofErr w:type="spellEnd"/>
      <w:r w:rsidRPr="005A5B14">
        <w:rPr>
          <w:lang w:val="en-US"/>
        </w:rPr>
        <w:t xml:space="preserve"> (Eds.), </w:t>
      </w:r>
      <w:r w:rsidRPr="005A5B14">
        <w:rPr>
          <w:i/>
          <w:iCs/>
          <w:lang w:val="en-US"/>
        </w:rPr>
        <w:t>Peace Work: Women, Armed Conflict and Negotiation</w:t>
      </w:r>
      <w:r w:rsidRPr="005A5B14">
        <w:rPr>
          <w:lang w:val="en-US"/>
        </w:rPr>
        <w:t>. New Delhi: Women Unlimited.</w:t>
      </w:r>
    </w:p>
  </w:footnote>
  <w:footnote w:id="22">
    <w:p w14:paraId="469F9060" w14:textId="5AC82405" w:rsidR="006A3216" w:rsidRPr="006742A6" w:rsidRDefault="006A3216" w:rsidP="00961E29">
      <w:pPr>
        <w:pStyle w:val="Footnotes"/>
      </w:pPr>
      <w:r w:rsidRPr="004350CE">
        <w:rPr>
          <w:rStyle w:val="FootnoteReference"/>
        </w:rPr>
        <w:footnoteRef/>
      </w:r>
      <w:r w:rsidRPr="006742A6">
        <w:t xml:space="preserve"> </w:t>
      </w:r>
      <w:r>
        <w:t xml:space="preserve">Baniya et al. (n </w:t>
      </w:r>
      <w:r>
        <w:fldChar w:fldCharType="begin"/>
      </w:r>
      <w:r>
        <w:instrText xml:space="preserve"> NOTEREF _Ref404798084 \h </w:instrText>
      </w:r>
      <w:r>
        <w:fldChar w:fldCharType="separate"/>
      </w:r>
      <w:r>
        <w:t>18</w:t>
      </w:r>
      <w:r>
        <w:fldChar w:fldCharType="end"/>
      </w:r>
      <w:r>
        <w:t xml:space="preserve">). </w:t>
      </w:r>
      <w:r w:rsidRPr="006742A6">
        <w:t xml:space="preserve"> </w:t>
      </w:r>
    </w:p>
  </w:footnote>
  <w:footnote w:id="23">
    <w:p w14:paraId="5DA8581F" w14:textId="2CE63067" w:rsidR="006A3216" w:rsidRPr="006742A6" w:rsidRDefault="006A3216" w:rsidP="00961E29">
      <w:pPr>
        <w:pStyle w:val="Footnotes"/>
      </w:pPr>
      <w:r w:rsidRPr="004350CE">
        <w:rPr>
          <w:rStyle w:val="FootnoteReference"/>
        </w:rPr>
        <w:footnoteRef/>
      </w:r>
      <w:r w:rsidRPr="006742A6">
        <w:t xml:space="preserve"> </w:t>
      </w:r>
      <w:r>
        <w:t xml:space="preserve">Close (n </w:t>
      </w:r>
      <w:r>
        <w:fldChar w:fldCharType="begin"/>
      </w:r>
      <w:r>
        <w:instrText xml:space="preserve"> NOTEREF _Ref404797524 \h </w:instrText>
      </w:r>
      <w:r>
        <w:fldChar w:fldCharType="separate"/>
      </w:r>
      <w:r>
        <w:t>10</w:t>
      </w:r>
      <w:r>
        <w:fldChar w:fldCharType="end"/>
      </w:r>
      <w:r>
        <w:t>).</w:t>
      </w:r>
      <w:r w:rsidRPr="006742A6">
        <w:t xml:space="preserve"> </w:t>
      </w:r>
    </w:p>
  </w:footnote>
  <w:footnote w:id="24">
    <w:p w14:paraId="663939C1" w14:textId="17903A54" w:rsidR="006A3216" w:rsidRPr="006742A6" w:rsidRDefault="006A3216" w:rsidP="00961E29">
      <w:pPr>
        <w:pStyle w:val="Footnotes"/>
      </w:pPr>
      <w:r w:rsidRPr="004350CE">
        <w:rPr>
          <w:rStyle w:val="FootnoteReference"/>
        </w:rPr>
        <w:footnoteRef/>
      </w:r>
      <w:r w:rsidRPr="006742A6">
        <w:t xml:space="preserve"> </w:t>
      </w:r>
      <w:r w:rsidRPr="003F2CD8">
        <w:t>Byrne, S.</w:t>
      </w:r>
      <w:r>
        <w:t>,</w:t>
      </w:r>
      <w:r w:rsidRPr="003F2CD8">
        <w:t xml:space="preserve"> and McCulloch, A. (2012)</w:t>
      </w:r>
      <w:r>
        <w:t xml:space="preserve">. </w:t>
      </w:r>
      <w:r w:rsidRPr="003F2CD8">
        <w:t>Gender, Representation and Power-Sharing</w:t>
      </w:r>
      <w:r>
        <w:t xml:space="preserve"> in Post-Conflict Institutions.</w:t>
      </w:r>
      <w:r w:rsidRPr="003F2CD8">
        <w:t xml:space="preserve"> </w:t>
      </w:r>
      <w:r w:rsidRPr="003F2CD8">
        <w:rPr>
          <w:i/>
        </w:rPr>
        <w:t>International Peacekeeping</w:t>
      </w:r>
      <w:r w:rsidRPr="003F2CD8">
        <w:t xml:space="preserve">, </w:t>
      </w:r>
      <w:r w:rsidRPr="004350CE">
        <w:rPr>
          <w:i/>
        </w:rPr>
        <w:t>19</w:t>
      </w:r>
      <w:r w:rsidRPr="003F2CD8">
        <w:t>(5): 565-580.</w:t>
      </w:r>
    </w:p>
  </w:footnote>
  <w:footnote w:id="25">
    <w:p w14:paraId="474070A1" w14:textId="51244AA1" w:rsidR="006A3216" w:rsidRPr="006742A6" w:rsidRDefault="006A3216" w:rsidP="00961E29">
      <w:pPr>
        <w:pStyle w:val="Footnotes"/>
      </w:pPr>
      <w:r w:rsidRPr="004350CE">
        <w:rPr>
          <w:rStyle w:val="FootnoteReference"/>
        </w:rPr>
        <w:footnoteRef/>
      </w:r>
      <w:r w:rsidRPr="006742A6">
        <w:t xml:space="preserve"> </w:t>
      </w:r>
      <w:r w:rsidRPr="006F5D14">
        <w:rPr>
          <w:lang w:val="en-US"/>
        </w:rPr>
        <w:t xml:space="preserve">Bell, C. (2018). Power-Sharing, Conflict Resolution, and Women: A Global Appraisal. </w:t>
      </w:r>
      <w:r w:rsidRPr="006F5D14">
        <w:rPr>
          <w:i/>
          <w:iCs/>
          <w:lang w:val="en-US"/>
        </w:rPr>
        <w:t>Nationalism and Ethnic Politics, 24</w:t>
      </w:r>
      <w:r w:rsidRPr="006F5D14">
        <w:rPr>
          <w:lang w:val="en-US"/>
        </w:rPr>
        <w:t>, 13-32</w:t>
      </w:r>
      <w:r>
        <w:rPr>
          <w:lang w:val="en-US"/>
        </w:rPr>
        <w:t>.</w:t>
      </w:r>
    </w:p>
  </w:footnote>
  <w:footnote w:id="26">
    <w:p w14:paraId="18E86A99" w14:textId="2EE0101E" w:rsidR="006A3216" w:rsidRPr="00DA1D96" w:rsidRDefault="006A3216" w:rsidP="00961E29">
      <w:pPr>
        <w:pStyle w:val="Footnotes"/>
      </w:pPr>
      <w:r w:rsidRPr="004350CE">
        <w:rPr>
          <w:rStyle w:val="FootnoteReference"/>
        </w:rPr>
        <w:footnoteRef/>
      </w:r>
      <w:r w:rsidRPr="006742A6">
        <w:t xml:space="preserve"> </w:t>
      </w:r>
      <w:r>
        <w:t xml:space="preserve">Baniya </w:t>
      </w:r>
      <w:r w:rsidRPr="004350CE">
        <w:t>et al</w:t>
      </w:r>
      <w:r>
        <w:t xml:space="preserve">. (n </w:t>
      </w:r>
      <w:r>
        <w:fldChar w:fldCharType="begin"/>
      </w:r>
      <w:r>
        <w:instrText xml:space="preserve"> NOTEREF _Ref404798084 \h </w:instrText>
      </w:r>
      <w:r>
        <w:fldChar w:fldCharType="separate"/>
      </w:r>
      <w:r>
        <w:t>18</w:t>
      </w:r>
      <w:r>
        <w:fldChar w:fldCharType="end"/>
      </w:r>
      <w:r>
        <w:t xml:space="preserve">). </w:t>
      </w:r>
    </w:p>
  </w:footnote>
  <w:footnote w:id="27">
    <w:p w14:paraId="274E20BD" w14:textId="4F3531F3" w:rsidR="006A3216" w:rsidRPr="00DA1D96" w:rsidRDefault="006A3216" w:rsidP="00961E29">
      <w:pPr>
        <w:pStyle w:val="Footnotes"/>
      </w:pPr>
      <w:r w:rsidRPr="004350CE">
        <w:rPr>
          <w:rStyle w:val="FootnoteReference"/>
        </w:rPr>
        <w:footnoteRef/>
      </w:r>
      <w:r w:rsidRPr="006742A6">
        <w:t xml:space="preserve"> </w:t>
      </w:r>
      <w:r>
        <w:t xml:space="preserve">O’Rourke, C. (2019). </w:t>
      </w:r>
      <w:r>
        <w:rPr>
          <w:i/>
        </w:rPr>
        <w:t>Women’s Rights in Armed Conflict under International Law</w:t>
      </w:r>
      <w:r>
        <w:t xml:space="preserve">. Cambridge: Cambridge University Press. </w:t>
      </w:r>
    </w:p>
  </w:footnote>
  <w:footnote w:id="28">
    <w:p w14:paraId="7B4AC321" w14:textId="319C0F7F" w:rsidR="006A3216" w:rsidRPr="006742A6" w:rsidRDefault="006A3216" w:rsidP="00961E29">
      <w:pPr>
        <w:pStyle w:val="Footnotes"/>
      </w:pPr>
      <w:r w:rsidRPr="0025255F">
        <w:rPr>
          <w:rStyle w:val="FootnoteReference"/>
        </w:rPr>
        <w:footnoteRef/>
      </w:r>
      <w:r w:rsidRPr="006742A6">
        <w:t xml:space="preserve"> </w:t>
      </w:r>
      <w:r>
        <w:rPr>
          <w:lang w:val="en-US"/>
        </w:rPr>
        <w:t>O'Rourke, C., and</w:t>
      </w:r>
      <w:r w:rsidRPr="00DA1D96">
        <w:rPr>
          <w:lang w:val="en-US"/>
        </w:rPr>
        <w:t xml:space="preserve"> Swaine, A. (2018). CEDAW and the UN Security Council Women, Peace and Security Resolutions: Advancing Accountability for Women's Rights in Conflict. </w:t>
      </w:r>
      <w:r w:rsidRPr="00DA1D96">
        <w:rPr>
          <w:i/>
          <w:iCs/>
          <w:lang w:val="en-US"/>
        </w:rPr>
        <w:t>International and Comparative Law Quarterly</w:t>
      </w:r>
      <w:r>
        <w:rPr>
          <w:i/>
          <w:iCs/>
          <w:lang w:val="en-US"/>
        </w:rPr>
        <w:t>,</w:t>
      </w:r>
      <w:r w:rsidRPr="00406C7D">
        <w:rPr>
          <w:rFonts w:ascii="Helvetica" w:eastAsiaTheme="minorEastAsia" w:hAnsi="Helvetica" w:cs="Helvetica"/>
          <w:i/>
          <w:iCs/>
          <w:color w:val="auto"/>
          <w:kern w:val="0"/>
          <w:sz w:val="24"/>
          <w:szCs w:val="24"/>
          <w:lang w:val="en-US"/>
        </w:rPr>
        <w:t xml:space="preserve"> </w:t>
      </w:r>
      <w:r w:rsidRPr="00406C7D">
        <w:rPr>
          <w:i/>
          <w:iCs/>
          <w:lang w:val="en-US"/>
        </w:rPr>
        <w:t>67</w:t>
      </w:r>
      <w:r w:rsidRPr="00406C7D">
        <w:rPr>
          <w:iCs/>
          <w:lang w:val="en-US"/>
        </w:rPr>
        <w:t>(1), 167–199</w:t>
      </w:r>
      <w:r w:rsidRPr="00406C7D">
        <w:rPr>
          <w:i/>
          <w:iCs/>
          <w:lang w:val="en-US"/>
        </w:rPr>
        <w:t>.</w:t>
      </w:r>
    </w:p>
  </w:footnote>
  <w:footnote w:id="29">
    <w:p w14:paraId="0A680A1F" w14:textId="778DDEB3" w:rsidR="006A3216" w:rsidRPr="002F1B44" w:rsidRDefault="006A3216" w:rsidP="002F1B44">
      <w:pPr>
        <w:pStyle w:val="Footnotes"/>
        <w:rPr>
          <w:lang w:val="en-US"/>
        </w:rPr>
      </w:pPr>
      <w:r>
        <w:rPr>
          <w:rStyle w:val="FootnoteReference"/>
        </w:rPr>
        <w:footnoteRef/>
      </w:r>
      <w:r>
        <w:t xml:space="preserve"> </w:t>
      </w:r>
      <w:r>
        <w:rPr>
          <w:lang w:val="en-US"/>
        </w:rPr>
        <w:t xml:space="preserve">See also </w:t>
      </w:r>
      <w:r w:rsidRPr="002F1B44">
        <w:rPr>
          <w:lang w:val="en-US"/>
        </w:rPr>
        <w:t xml:space="preserve">O'Rourke, C. (2017). Feminist Strategy in International Law: Understanding its Legal, Normative and Political Dimensions. </w:t>
      </w:r>
      <w:r w:rsidRPr="002F1B44">
        <w:rPr>
          <w:i/>
          <w:iCs/>
          <w:lang w:val="en-US"/>
        </w:rPr>
        <w:t>European Journal of International Law, 28</w:t>
      </w:r>
      <w:r w:rsidRPr="002F1B44">
        <w:rPr>
          <w:lang w:val="en-US"/>
        </w:rPr>
        <w:t>(4), 1019–1045.</w:t>
      </w:r>
    </w:p>
  </w:footnote>
  <w:footnote w:id="30">
    <w:p w14:paraId="0E516A4D" w14:textId="40CF25CE" w:rsidR="006A3216" w:rsidRPr="00231E4A" w:rsidRDefault="006A3216" w:rsidP="00231E4A">
      <w:pPr>
        <w:pStyle w:val="Footnotes"/>
        <w:rPr>
          <w:lang w:val="en-US"/>
        </w:rPr>
      </w:pPr>
      <w:r>
        <w:rPr>
          <w:rStyle w:val="FootnoteReference"/>
        </w:rPr>
        <w:footnoteRef/>
      </w:r>
      <w:r>
        <w:t xml:space="preserve"> </w:t>
      </w:r>
      <w:proofErr w:type="spellStart"/>
      <w:r w:rsidRPr="00231E4A">
        <w:rPr>
          <w:lang w:val="en-US"/>
        </w:rPr>
        <w:t>Manjoo</w:t>
      </w:r>
      <w:proofErr w:type="spellEnd"/>
      <w:r>
        <w:rPr>
          <w:lang w:val="en-US"/>
        </w:rPr>
        <w:t xml:space="preserve"> (n 11)</w:t>
      </w:r>
      <w:r w:rsidRPr="00231E4A">
        <w:rPr>
          <w:lang w:val="en-US"/>
        </w:rPr>
        <w:t xml:space="preserve">. </w:t>
      </w:r>
    </w:p>
  </w:footnote>
  <w:footnote w:id="31">
    <w:p w14:paraId="6B98263D" w14:textId="129CAB1D" w:rsidR="006A3216" w:rsidRPr="009655FE" w:rsidRDefault="006A3216" w:rsidP="007B3CD2">
      <w:pPr>
        <w:pStyle w:val="Footnotes"/>
        <w:rPr>
          <w:lang w:val="en-US"/>
        </w:rPr>
      </w:pPr>
      <w:r>
        <w:rPr>
          <w:rStyle w:val="FootnoteReference"/>
        </w:rPr>
        <w:footnoteRef/>
      </w:r>
      <w:r>
        <w:t xml:space="preserve"> United Nations and World </w:t>
      </w:r>
      <w:r>
        <w:rPr>
          <w:lang w:val="en-US"/>
        </w:rPr>
        <w:t xml:space="preserve">Bank. </w:t>
      </w:r>
      <w:r>
        <w:t>(</w:t>
      </w:r>
      <w:r w:rsidRPr="007B3CD2">
        <w:t>2018</w:t>
      </w:r>
      <w:r>
        <w:t>)</w:t>
      </w:r>
      <w:r>
        <w:rPr>
          <w:lang w:val="en-US"/>
        </w:rPr>
        <w:t xml:space="preserve">. </w:t>
      </w:r>
      <w:r w:rsidRPr="00BE3CB3">
        <w:rPr>
          <w:i/>
          <w:lang w:val="en-US"/>
        </w:rPr>
        <w:t>World Development Report,</w:t>
      </w:r>
      <w:r>
        <w:rPr>
          <w:lang w:val="en-US"/>
        </w:rPr>
        <w:t xml:space="preserve"> </w:t>
      </w:r>
      <w:r w:rsidRPr="007B3CD2">
        <w:rPr>
          <w:i/>
        </w:rPr>
        <w:t>Pathways for Peace: Inclusive Approaches to Preventing Violent Conflict</w:t>
      </w:r>
      <w:r>
        <w:t xml:space="preserve">. Washington DC: World Bank.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D749" w14:textId="6AFB751F" w:rsidR="00950AAB" w:rsidRDefault="00950AAB">
    <w:pPr>
      <w:pStyle w:val="Header"/>
      <w:rPr>
        <w:sz w:val="22"/>
        <w:szCs w:val="22"/>
      </w:rPr>
    </w:pPr>
    <w:r>
      <w:rPr>
        <w:sz w:val="22"/>
        <w:szCs w:val="22"/>
      </w:rPr>
      <w:t>O’Rourke</w:t>
    </w:r>
    <w:r>
      <w:rPr>
        <w:sz w:val="22"/>
        <w:szCs w:val="22"/>
      </w:rPr>
      <w:tab/>
    </w:r>
    <w:r>
      <w:rPr>
        <w:sz w:val="22"/>
        <w:szCs w:val="22"/>
      </w:rPr>
      <w:tab/>
      <w:t>Special Issue Editorial</w:t>
    </w:r>
  </w:p>
  <w:p w14:paraId="4BC90B44" w14:textId="253617D3" w:rsidR="00950AAB" w:rsidRPr="00950AAB" w:rsidRDefault="00950AAB">
    <w:pPr>
      <w:pStyle w:val="Header"/>
      <w:rPr>
        <w:sz w:val="22"/>
        <w:szCs w:val="22"/>
      </w:rPr>
    </w:pPr>
    <w:r>
      <w:rPr>
        <w:sz w:val="22"/>
        <w:szCs w:val="22"/>
      </w:rP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455E" w14:textId="3CF141A0" w:rsidR="00950AAB" w:rsidRDefault="00950AAB">
    <w:pPr>
      <w:pStyle w:val="Header"/>
      <w:rPr>
        <w:sz w:val="22"/>
        <w:szCs w:val="22"/>
      </w:rPr>
    </w:pPr>
    <w:proofErr w:type="spellStart"/>
    <w:r>
      <w:rPr>
        <w:i/>
        <w:sz w:val="22"/>
        <w:szCs w:val="22"/>
      </w:rPr>
      <w:t>feminists@law</w:t>
    </w:r>
    <w:proofErr w:type="spellEnd"/>
    <w:r>
      <w:rPr>
        <w:sz w:val="22"/>
        <w:szCs w:val="22"/>
      </w:rPr>
      <w:tab/>
    </w:r>
    <w:r>
      <w:rPr>
        <w:sz w:val="22"/>
        <w:szCs w:val="22"/>
      </w:rPr>
      <w:tab/>
      <w:t>Vol 9, No 1 (2019)</w:t>
    </w:r>
  </w:p>
  <w:p w14:paraId="0E6F79E2" w14:textId="475AFC1B" w:rsidR="00950AAB" w:rsidRPr="00950AAB" w:rsidRDefault="00950AAB">
    <w:pPr>
      <w:pStyle w:val="Header"/>
      <w:rPr>
        <w:sz w:val="22"/>
        <w:szCs w:val="22"/>
      </w:rPr>
    </w:pPr>
    <w:r>
      <w:rPr>
        <w:sz w:val="22"/>
        <w:szCs w:val="22"/>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B704D3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9542CC"/>
    <w:multiLevelType w:val="hybridMultilevel"/>
    <w:tmpl w:val="F05EC956"/>
    <w:lvl w:ilvl="0" w:tplc="E12AC6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C0DC0"/>
    <w:multiLevelType w:val="hybridMultilevel"/>
    <w:tmpl w:val="01268534"/>
    <w:lvl w:ilvl="0" w:tplc="D1D8CD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FB56E2"/>
    <w:multiLevelType w:val="hybridMultilevel"/>
    <w:tmpl w:val="E5BE35E0"/>
    <w:lvl w:ilvl="0" w:tplc="DE5637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E87B0F"/>
    <w:multiLevelType w:val="hybridMultilevel"/>
    <w:tmpl w:val="D75A2A2E"/>
    <w:lvl w:ilvl="0" w:tplc="7BDE63D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7E9F7208"/>
    <w:multiLevelType w:val="multilevel"/>
    <w:tmpl w:val="F4C279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FBE66A6"/>
    <w:multiLevelType w:val="hybridMultilevel"/>
    <w:tmpl w:val="737E3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EE"/>
    <w:rsid w:val="00004409"/>
    <w:rsid w:val="00010495"/>
    <w:rsid w:val="0001290C"/>
    <w:rsid w:val="000239AC"/>
    <w:rsid w:val="000370A3"/>
    <w:rsid w:val="00044D91"/>
    <w:rsid w:val="00053B72"/>
    <w:rsid w:val="00062FEC"/>
    <w:rsid w:val="00071B35"/>
    <w:rsid w:val="0007476E"/>
    <w:rsid w:val="00077B52"/>
    <w:rsid w:val="00080D9B"/>
    <w:rsid w:val="000849EF"/>
    <w:rsid w:val="000B073E"/>
    <w:rsid w:val="000C06E4"/>
    <w:rsid w:val="000C3D12"/>
    <w:rsid w:val="000D12E0"/>
    <w:rsid w:val="000D2756"/>
    <w:rsid w:val="000D3636"/>
    <w:rsid w:val="000D584F"/>
    <w:rsid w:val="000E3080"/>
    <w:rsid w:val="00102D97"/>
    <w:rsid w:val="001122ED"/>
    <w:rsid w:val="00126FA5"/>
    <w:rsid w:val="001272BF"/>
    <w:rsid w:val="00142422"/>
    <w:rsid w:val="0017209C"/>
    <w:rsid w:val="001741B3"/>
    <w:rsid w:val="00180492"/>
    <w:rsid w:val="001826D5"/>
    <w:rsid w:val="001873F1"/>
    <w:rsid w:val="00192C58"/>
    <w:rsid w:val="001A137E"/>
    <w:rsid w:val="001B16FA"/>
    <w:rsid w:val="001B6198"/>
    <w:rsid w:val="001C1CCD"/>
    <w:rsid w:val="001D654D"/>
    <w:rsid w:val="001E542A"/>
    <w:rsid w:val="002041BC"/>
    <w:rsid w:val="00207422"/>
    <w:rsid w:val="002075BB"/>
    <w:rsid w:val="002075E4"/>
    <w:rsid w:val="00224893"/>
    <w:rsid w:val="00231E4A"/>
    <w:rsid w:val="00237BB4"/>
    <w:rsid w:val="00243AE7"/>
    <w:rsid w:val="00244765"/>
    <w:rsid w:val="0025255F"/>
    <w:rsid w:val="00252F89"/>
    <w:rsid w:val="0026609B"/>
    <w:rsid w:val="002751AD"/>
    <w:rsid w:val="002808CF"/>
    <w:rsid w:val="002810AA"/>
    <w:rsid w:val="002867DD"/>
    <w:rsid w:val="00292375"/>
    <w:rsid w:val="002A26B3"/>
    <w:rsid w:val="002A3993"/>
    <w:rsid w:val="002A469A"/>
    <w:rsid w:val="002B2054"/>
    <w:rsid w:val="002C1DFA"/>
    <w:rsid w:val="002C7406"/>
    <w:rsid w:val="002C7DDE"/>
    <w:rsid w:val="002D0128"/>
    <w:rsid w:val="002D3F8F"/>
    <w:rsid w:val="002D6416"/>
    <w:rsid w:val="002F1B44"/>
    <w:rsid w:val="00300791"/>
    <w:rsid w:val="0031350F"/>
    <w:rsid w:val="00321E36"/>
    <w:rsid w:val="003405FF"/>
    <w:rsid w:val="00344BA8"/>
    <w:rsid w:val="003910FC"/>
    <w:rsid w:val="003A78EC"/>
    <w:rsid w:val="003B3085"/>
    <w:rsid w:val="003F2CD8"/>
    <w:rsid w:val="00405E68"/>
    <w:rsid w:val="00406C7D"/>
    <w:rsid w:val="00416A77"/>
    <w:rsid w:val="004175C9"/>
    <w:rsid w:val="00417DA3"/>
    <w:rsid w:val="00427417"/>
    <w:rsid w:val="00432C21"/>
    <w:rsid w:val="004350CE"/>
    <w:rsid w:val="00440007"/>
    <w:rsid w:val="00442D00"/>
    <w:rsid w:val="004448D4"/>
    <w:rsid w:val="00447EB7"/>
    <w:rsid w:val="004516B9"/>
    <w:rsid w:val="00451E8B"/>
    <w:rsid w:val="004604BE"/>
    <w:rsid w:val="0046349C"/>
    <w:rsid w:val="00465FEE"/>
    <w:rsid w:val="00480F3C"/>
    <w:rsid w:val="00482E09"/>
    <w:rsid w:val="00486915"/>
    <w:rsid w:val="004A17E0"/>
    <w:rsid w:val="004A1937"/>
    <w:rsid w:val="004A6A64"/>
    <w:rsid w:val="004A7455"/>
    <w:rsid w:val="004A78B7"/>
    <w:rsid w:val="004D6C51"/>
    <w:rsid w:val="004E1ECF"/>
    <w:rsid w:val="004E4E24"/>
    <w:rsid w:val="004E4E53"/>
    <w:rsid w:val="004F36EC"/>
    <w:rsid w:val="004F75A7"/>
    <w:rsid w:val="004F7848"/>
    <w:rsid w:val="004F7AA6"/>
    <w:rsid w:val="00502AB3"/>
    <w:rsid w:val="005052C5"/>
    <w:rsid w:val="00516154"/>
    <w:rsid w:val="00516C9B"/>
    <w:rsid w:val="0053305C"/>
    <w:rsid w:val="00543681"/>
    <w:rsid w:val="00543E91"/>
    <w:rsid w:val="00552097"/>
    <w:rsid w:val="00554F68"/>
    <w:rsid w:val="005624CE"/>
    <w:rsid w:val="005625FF"/>
    <w:rsid w:val="00565D61"/>
    <w:rsid w:val="00566677"/>
    <w:rsid w:val="00575B65"/>
    <w:rsid w:val="0059109D"/>
    <w:rsid w:val="00596825"/>
    <w:rsid w:val="00597A30"/>
    <w:rsid w:val="005A4B83"/>
    <w:rsid w:val="005A5B14"/>
    <w:rsid w:val="005B2936"/>
    <w:rsid w:val="005C416D"/>
    <w:rsid w:val="005D056D"/>
    <w:rsid w:val="005D5BB0"/>
    <w:rsid w:val="005E0AED"/>
    <w:rsid w:val="005E1805"/>
    <w:rsid w:val="005E4E55"/>
    <w:rsid w:val="005E68AE"/>
    <w:rsid w:val="005F0482"/>
    <w:rsid w:val="00605D17"/>
    <w:rsid w:val="00606463"/>
    <w:rsid w:val="0061007D"/>
    <w:rsid w:val="006170FB"/>
    <w:rsid w:val="0062518C"/>
    <w:rsid w:val="006414B9"/>
    <w:rsid w:val="00643A55"/>
    <w:rsid w:val="006441A4"/>
    <w:rsid w:val="00646F1D"/>
    <w:rsid w:val="006526AA"/>
    <w:rsid w:val="00655186"/>
    <w:rsid w:val="006625B0"/>
    <w:rsid w:val="006742A6"/>
    <w:rsid w:val="006763A3"/>
    <w:rsid w:val="00691DA0"/>
    <w:rsid w:val="00692D10"/>
    <w:rsid w:val="00693671"/>
    <w:rsid w:val="006A3216"/>
    <w:rsid w:val="006B7CFE"/>
    <w:rsid w:val="006D2B93"/>
    <w:rsid w:val="006F34FA"/>
    <w:rsid w:val="006F55D1"/>
    <w:rsid w:val="006F5D14"/>
    <w:rsid w:val="007035B0"/>
    <w:rsid w:val="0070625F"/>
    <w:rsid w:val="00707728"/>
    <w:rsid w:val="0071338A"/>
    <w:rsid w:val="00717378"/>
    <w:rsid w:val="00721FD7"/>
    <w:rsid w:val="007317AB"/>
    <w:rsid w:val="00754441"/>
    <w:rsid w:val="00767370"/>
    <w:rsid w:val="00775A76"/>
    <w:rsid w:val="007A17AF"/>
    <w:rsid w:val="007A5441"/>
    <w:rsid w:val="007A6A29"/>
    <w:rsid w:val="007B16EE"/>
    <w:rsid w:val="007B3CD2"/>
    <w:rsid w:val="007F3BB5"/>
    <w:rsid w:val="008060A3"/>
    <w:rsid w:val="0081119D"/>
    <w:rsid w:val="00820269"/>
    <w:rsid w:val="00850CF0"/>
    <w:rsid w:val="00851A2C"/>
    <w:rsid w:val="0085701D"/>
    <w:rsid w:val="0086485E"/>
    <w:rsid w:val="00872F56"/>
    <w:rsid w:val="008B0336"/>
    <w:rsid w:val="008B7F7D"/>
    <w:rsid w:val="008C2167"/>
    <w:rsid w:val="008E4CDD"/>
    <w:rsid w:val="008F3962"/>
    <w:rsid w:val="009101BB"/>
    <w:rsid w:val="00914AD6"/>
    <w:rsid w:val="00916113"/>
    <w:rsid w:val="009246C5"/>
    <w:rsid w:val="00926E24"/>
    <w:rsid w:val="009350E5"/>
    <w:rsid w:val="00941675"/>
    <w:rsid w:val="00947102"/>
    <w:rsid w:val="0094758A"/>
    <w:rsid w:val="00950AAB"/>
    <w:rsid w:val="009569B7"/>
    <w:rsid w:val="00956C24"/>
    <w:rsid w:val="00960276"/>
    <w:rsid w:val="0096053F"/>
    <w:rsid w:val="00961E29"/>
    <w:rsid w:val="009655FE"/>
    <w:rsid w:val="00990FC2"/>
    <w:rsid w:val="009A4583"/>
    <w:rsid w:val="009A5B57"/>
    <w:rsid w:val="009C166A"/>
    <w:rsid w:val="009C32F9"/>
    <w:rsid w:val="009D2A44"/>
    <w:rsid w:val="009D45B3"/>
    <w:rsid w:val="009E1A2E"/>
    <w:rsid w:val="009E4CA9"/>
    <w:rsid w:val="009F7A35"/>
    <w:rsid w:val="009F7A56"/>
    <w:rsid w:val="00A02D85"/>
    <w:rsid w:val="00A043D9"/>
    <w:rsid w:val="00A06F88"/>
    <w:rsid w:val="00A078EA"/>
    <w:rsid w:val="00A20A7A"/>
    <w:rsid w:val="00A31A14"/>
    <w:rsid w:val="00A35C7F"/>
    <w:rsid w:val="00A46037"/>
    <w:rsid w:val="00A7355E"/>
    <w:rsid w:val="00A8663C"/>
    <w:rsid w:val="00A92391"/>
    <w:rsid w:val="00A93FAB"/>
    <w:rsid w:val="00AB0510"/>
    <w:rsid w:val="00AB6580"/>
    <w:rsid w:val="00AC483B"/>
    <w:rsid w:val="00AC744F"/>
    <w:rsid w:val="00AD06A2"/>
    <w:rsid w:val="00AE1477"/>
    <w:rsid w:val="00AF25F2"/>
    <w:rsid w:val="00B00639"/>
    <w:rsid w:val="00B04530"/>
    <w:rsid w:val="00B11915"/>
    <w:rsid w:val="00B210A6"/>
    <w:rsid w:val="00B26AA8"/>
    <w:rsid w:val="00B31277"/>
    <w:rsid w:val="00B465DA"/>
    <w:rsid w:val="00B47C41"/>
    <w:rsid w:val="00B5611D"/>
    <w:rsid w:val="00B570A6"/>
    <w:rsid w:val="00B64272"/>
    <w:rsid w:val="00B722A7"/>
    <w:rsid w:val="00B75AB0"/>
    <w:rsid w:val="00B76D0A"/>
    <w:rsid w:val="00B93C67"/>
    <w:rsid w:val="00B95373"/>
    <w:rsid w:val="00B95DBE"/>
    <w:rsid w:val="00B969AB"/>
    <w:rsid w:val="00BA1EC3"/>
    <w:rsid w:val="00BB013B"/>
    <w:rsid w:val="00BB507C"/>
    <w:rsid w:val="00BD23C7"/>
    <w:rsid w:val="00BD2475"/>
    <w:rsid w:val="00BD2C51"/>
    <w:rsid w:val="00BD5079"/>
    <w:rsid w:val="00BE21B9"/>
    <w:rsid w:val="00BE3CB3"/>
    <w:rsid w:val="00BF191D"/>
    <w:rsid w:val="00BF5787"/>
    <w:rsid w:val="00C03DED"/>
    <w:rsid w:val="00C153F6"/>
    <w:rsid w:val="00C17590"/>
    <w:rsid w:val="00C177CC"/>
    <w:rsid w:val="00C22184"/>
    <w:rsid w:val="00C34BE0"/>
    <w:rsid w:val="00C351B1"/>
    <w:rsid w:val="00C40401"/>
    <w:rsid w:val="00C418FB"/>
    <w:rsid w:val="00C47DAE"/>
    <w:rsid w:val="00C61581"/>
    <w:rsid w:val="00C7436C"/>
    <w:rsid w:val="00C76315"/>
    <w:rsid w:val="00C767C6"/>
    <w:rsid w:val="00C820CB"/>
    <w:rsid w:val="00C846B8"/>
    <w:rsid w:val="00C9029E"/>
    <w:rsid w:val="00CB03C4"/>
    <w:rsid w:val="00CB76EE"/>
    <w:rsid w:val="00CC2B0C"/>
    <w:rsid w:val="00CC2E60"/>
    <w:rsid w:val="00CD2C95"/>
    <w:rsid w:val="00CD3025"/>
    <w:rsid w:val="00CE1362"/>
    <w:rsid w:val="00CE5168"/>
    <w:rsid w:val="00CF3410"/>
    <w:rsid w:val="00CF5092"/>
    <w:rsid w:val="00D01D02"/>
    <w:rsid w:val="00D02420"/>
    <w:rsid w:val="00D1258E"/>
    <w:rsid w:val="00D1406C"/>
    <w:rsid w:val="00D20C00"/>
    <w:rsid w:val="00D2113E"/>
    <w:rsid w:val="00D26BA8"/>
    <w:rsid w:val="00D36F9E"/>
    <w:rsid w:val="00D4651F"/>
    <w:rsid w:val="00D64621"/>
    <w:rsid w:val="00D70695"/>
    <w:rsid w:val="00D74914"/>
    <w:rsid w:val="00D80F9D"/>
    <w:rsid w:val="00D84943"/>
    <w:rsid w:val="00D84EB0"/>
    <w:rsid w:val="00D9643B"/>
    <w:rsid w:val="00DA1D96"/>
    <w:rsid w:val="00DA6B4A"/>
    <w:rsid w:val="00DB01E3"/>
    <w:rsid w:val="00DB0C16"/>
    <w:rsid w:val="00DB1EB5"/>
    <w:rsid w:val="00DB2900"/>
    <w:rsid w:val="00DC6287"/>
    <w:rsid w:val="00DE3AFD"/>
    <w:rsid w:val="00DE6154"/>
    <w:rsid w:val="00DF605A"/>
    <w:rsid w:val="00E0727A"/>
    <w:rsid w:val="00E17311"/>
    <w:rsid w:val="00E219F6"/>
    <w:rsid w:val="00E2565C"/>
    <w:rsid w:val="00E348DE"/>
    <w:rsid w:val="00E600E2"/>
    <w:rsid w:val="00E643C4"/>
    <w:rsid w:val="00E71C43"/>
    <w:rsid w:val="00E83D6C"/>
    <w:rsid w:val="00E87807"/>
    <w:rsid w:val="00E91085"/>
    <w:rsid w:val="00E92849"/>
    <w:rsid w:val="00E94B5F"/>
    <w:rsid w:val="00EA04BD"/>
    <w:rsid w:val="00EA3EBB"/>
    <w:rsid w:val="00EA601A"/>
    <w:rsid w:val="00EB4AA7"/>
    <w:rsid w:val="00EB5E8E"/>
    <w:rsid w:val="00EB7F85"/>
    <w:rsid w:val="00EC28B6"/>
    <w:rsid w:val="00EC527C"/>
    <w:rsid w:val="00ED65AD"/>
    <w:rsid w:val="00EE0DBE"/>
    <w:rsid w:val="00EE293E"/>
    <w:rsid w:val="00EE6861"/>
    <w:rsid w:val="00F025EF"/>
    <w:rsid w:val="00F14CC4"/>
    <w:rsid w:val="00F22420"/>
    <w:rsid w:val="00F309AB"/>
    <w:rsid w:val="00F36A27"/>
    <w:rsid w:val="00F373C4"/>
    <w:rsid w:val="00F56A58"/>
    <w:rsid w:val="00F57361"/>
    <w:rsid w:val="00F6183D"/>
    <w:rsid w:val="00F67201"/>
    <w:rsid w:val="00F71FD1"/>
    <w:rsid w:val="00F7517F"/>
    <w:rsid w:val="00F756EA"/>
    <w:rsid w:val="00FA5A3D"/>
    <w:rsid w:val="00FA783E"/>
    <w:rsid w:val="00FB1060"/>
    <w:rsid w:val="00FB549B"/>
    <w:rsid w:val="00FC07F0"/>
    <w:rsid w:val="00FC2BBE"/>
    <w:rsid w:val="00FC61A0"/>
    <w:rsid w:val="00FC6B74"/>
    <w:rsid w:val="00FC7F58"/>
    <w:rsid w:val="00FD6130"/>
    <w:rsid w:val="00FF0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86B2F"/>
  <w14:defaultImageDpi w14:val="300"/>
  <w15:docId w15:val="{0A3AE75A-CD67-4B28-97CD-EAD22B34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BD"/>
    <w:pPr>
      <w:spacing w:before="120" w:after="120" w:line="360" w:lineRule="auto"/>
      <w:jc w:val="both"/>
    </w:pPr>
    <w:rPr>
      <w:rFonts w:ascii="Times New Roman" w:hAnsi="Times New Roman"/>
    </w:rPr>
  </w:style>
  <w:style w:type="paragraph" w:styleId="Heading1">
    <w:name w:val="heading 1"/>
    <w:basedOn w:val="Heading3"/>
    <w:next w:val="Normal"/>
    <w:link w:val="Heading1Char"/>
    <w:autoRedefine/>
    <w:uiPriority w:val="9"/>
    <w:qFormat/>
    <w:rsid w:val="0017209C"/>
    <w:pPr>
      <w:outlineLvl w:val="0"/>
    </w:pPr>
  </w:style>
  <w:style w:type="paragraph" w:styleId="Heading2">
    <w:name w:val="heading 2"/>
    <w:basedOn w:val="Normal"/>
    <w:next w:val="Normal"/>
    <w:link w:val="Heading2Char"/>
    <w:autoRedefine/>
    <w:uiPriority w:val="9"/>
    <w:unhideWhenUsed/>
    <w:qFormat/>
    <w:rsid w:val="0017209C"/>
    <w:pPr>
      <w:outlineLvl w:val="1"/>
    </w:pPr>
    <w:rPr>
      <w:i/>
    </w:rPr>
  </w:style>
  <w:style w:type="paragraph" w:styleId="Heading3">
    <w:name w:val="heading 3"/>
    <w:basedOn w:val="Normal"/>
    <w:next w:val="Normal"/>
    <w:link w:val="Heading3Char"/>
    <w:autoRedefine/>
    <w:uiPriority w:val="9"/>
    <w:unhideWhenUsed/>
    <w:qFormat/>
    <w:rsid w:val="002810AA"/>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9"/>
    <w:unhideWhenUsed/>
    <w:qFormat/>
    <w:rsid w:val="00596825"/>
    <w:pPr>
      <w:keepNext/>
      <w:keepLines/>
      <w:spacing w:before="200"/>
      <w:outlineLvl w:val="3"/>
    </w:pPr>
    <w:rPr>
      <w:rFonts w:asciiTheme="majorHAnsi" w:eastAsiaTheme="majorEastAsia" w:hAnsiTheme="majorHAnsi" w:cstheme="majorBidi"/>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317AB"/>
    <w:tblPr/>
  </w:style>
  <w:style w:type="character" w:customStyle="1" w:styleId="Heading1Char">
    <w:name w:val="Heading 1 Char"/>
    <w:basedOn w:val="DefaultParagraphFont"/>
    <w:link w:val="Heading1"/>
    <w:uiPriority w:val="9"/>
    <w:rsid w:val="0017209C"/>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17209C"/>
    <w:rPr>
      <w:rFonts w:ascii="Times New Roman" w:hAnsi="Times New Roman"/>
      <w:i/>
    </w:rPr>
  </w:style>
  <w:style w:type="character" w:customStyle="1" w:styleId="Heading3Char">
    <w:name w:val="Heading 3 Char"/>
    <w:basedOn w:val="DefaultParagraphFont"/>
    <w:link w:val="Heading3"/>
    <w:uiPriority w:val="9"/>
    <w:rsid w:val="002810AA"/>
    <w:rPr>
      <w:rFonts w:ascii="Times New Roman" w:eastAsia="Times New Roman" w:hAnsi="Times New Roman" w:cs="Times New Roman"/>
      <w:b/>
      <w:bCs/>
      <w:lang w:val="en-GB"/>
    </w:rPr>
  </w:style>
  <w:style w:type="character" w:customStyle="1" w:styleId="Heading4Char">
    <w:name w:val="Heading 4 Char"/>
    <w:basedOn w:val="DefaultParagraphFont"/>
    <w:link w:val="Heading4"/>
    <w:uiPriority w:val="9"/>
    <w:rsid w:val="00596825"/>
    <w:rPr>
      <w:rFonts w:asciiTheme="majorHAnsi" w:eastAsiaTheme="majorEastAsia" w:hAnsiTheme="majorHAnsi" w:cstheme="majorBidi"/>
      <w:b/>
      <w:bCs/>
      <w:i/>
      <w:iCs/>
      <w:sz w:val="22"/>
    </w:rPr>
  </w:style>
  <w:style w:type="paragraph" w:customStyle="1" w:styleId="Footnotes">
    <w:name w:val="Footnotes"/>
    <w:basedOn w:val="FootnoteText"/>
    <w:autoRedefine/>
    <w:qFormat/>
    <w:rsid w:val="006742A6"/>
    <w:pPr>
      <w:spacing w:line="240" w:lineRule="auto"/>
    </w:pPr>
    <w:rPr>
      <w:sz w:val="20"/>
      <w:szCs w:val="20"/>
      <w:vertAlign w:val="baseline"/>
    </w:rPr>
  </w:style>
  <w:style w:type="paragraph" w:styleId="FootnoteText">
    <w:name w:val="footnote text"/>
    <w:aliases w:val="Footnote Text Char1,Footnote Text Char Char,Footnote Text Char1 Char Char,Footnote Text Char Char Char Char,Footnote Text Char Char1,fn"/>
    <w:basedOn w:val="Normal"/>
    <w:link w:val="FootnoteTextChar"/>
    <w:uiPriority w:val="99"/>
    <w:rsid w:val="00EE293E"/>
    <w:pPr>
      <w:suppressAutoHyphens/>
      <w:autoSpaceDN w:val="0"/>
      <w:textAlignment w:val="baseline"/>
    </w:pPr>
    <w:rPr>
      <w:rFonts w:eastAsia="DejaVu Sans" w:cs="Bookman Old Style"/>
      <w:color w:val="000000"/>
      <w:kern w:val="3"/>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 Char1 Char,fn Char"/>
    <w:basedOn w:val="DefaultParagraphFont"/>
    <w:link w:val="FootnoteText"/>
    <w:uiPriority w:val="99"/>
    <w:rsid w:val="00EE293E"/>
    <w:rPr>
      <w:rFonts w:ascii="Times New Roman" w:eastAsia="DejaVu Sans" w:hAnsi="Times New Roman" w:cs="Bookman Old Style"/>
      <w:color w:val="000000"/>
      <w:kern w:val="3"/>
      <w:vertAlign w:val="superscript"/>
    </w:rPr>
  </w:style>
  <w:style w:type="character" w:styleId="FootnoteReference">
    <w:name w:val="footnote reference"/>
    <w:aliases w:val="Footnotes refss"/>
    <w:basedOn w:val="DefaultParagraphFont"/>
    <w:uiPriority w:val="99"/>
    <w:rsid w:val="00EE293E"/>
    <w:rPr>
      <w:rFonts w:ascii="Times New Roman" w:hAnsi="Times New Roman"/>
      <w:caps w:val="0"/>
      <w:smallCaps w:val="0"/>
      <w:strike w:val="0"/>
      <w:dstrike w:val="0"/>
      <w:vanish w:val="0"/>
      <w:vertAlign w:val="superscript"/>
    </w:rPr>
  </w:style>
  <w:style w:type="paragraph" w:styleId="Footer">
    <w:name w:val="footer"/>
    <w:basedOn w:val="Normal"/>
    <w:link w:val="FooterChar"/>
    <w:uiPriority w:val="99"/>
    <w:unhideWhenUsed/>
    <w:rsid w:val="00CD3025"/>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CD3025"/>
    <w:rPr>
      <w:rFonts w:ascii="Times New Roman" w:hAnsi="Times New Roman"/>
    </w:rPr>
  </w:style>
  <w:style w:type="character" w:styleId="PageNumber">
    <w:name w:val="page number"/>
    <w:basedOn w:val="DefaultParagraphFont"/>
    <w:uiPriority w:val="99"/>
    <w:semiHidden/>
    <w:unhideWhenUsed/>
    <w:rsid w:val="00CD3025"/>
  </w:style>
  <w:style w:type="paragraph" w:styleId="TOC2">
    <w:name w:val="toc 2"/>
    <w:basedOn w:val="Normal"/>
    <w:next w:val="Normal"/>
    <w:autoRedefine/>
    <w:uiPriority w:val="39"/>
    <w:unhideWhenUsed/>
    <w:rsid w:val="004F36EC"/>
    <w:pPr>
      <w:ind w:left="240"/>
    </w:pPr>
  </w:style>
  <w:style w:type="paragraph" w:styleId="TOC1">
    <w:name w:val="toc 1"/>
    <w:basedOn w:val="Normal"/>
    <w:next w:val="Normal"/>
    <w:autoRedefine/>
    <w:uiPriority w:val="39"/>
    <w:unhideWhenUsed/>
    <w:rsid w:val="004F36EC"/>
    <w:pPr>
      <w:spacing w:after="100"/>
    </w:pPr>
  </w:style>
  <w:style w:type="paragraph" w:styleId="TOC3">
    <w:name w:val="toc 3"/>
    <w:basedOn w:val="Normal"/>
    <w:next w:val="Normal"/>
    <w:autoRedefine/>
    <w:uiPriority w:val="39"/>
    <w:unhideWhenUsed/>
    <w:rsid w:val="004F36EC"/>
    <w:pPr>
      <w:ind w:left="480"/>
    </w:pPr>
  </w:style>
  <w:style w:type="paragraph" w:styleId="TOC4">
    <w:name w:val="toc 4"/>
    <w:basedOn w:val="Normal"/>
    <w:next w:val="Normal"/>
    <w:autoRedefine/>
    <w:uiPriority w:val="39"/>
    <w:unhideWhenUsed/>
    <w:rsid w:val="004F36EC"/>
    <w:pPr>
      <w:ind w:left="720"/>
    </w:pPr>
  </w:style>
  <w:style w:type="paragraph" w:styleId="TOC5">
    <w:name w:val="toc 5"/>
    <w:basedOn w:val="Normal"/>
    <w:next w:val="Normal"/>
    <w:autoRedefine/>
    <w:uiPriority w:val="39"/>
    <w:unhideWhenUsed/>
    <w:rsid w:val="004F36EC"/>
    <w:pPr>
      <w:ind w:left="960"/>
    </w:pPr>
  </w:style>
  <w:style w:type="paragraph" w:styleId="TOC6">
    <w:name w:val="toc 6"/>
    <w:basedOn w:val="Normal"/>
    <w:next w:val="Normal"/>
    <w:autoRedefine/>
    <w:uiPriority w:val="39"/>
    <w:unhideWhenUsed/>
    <w:rsid w:val="004F36EC"/>
    <w:pPr>
      <w:ind w:left="1200"/>
    </w:pPr>
  </w:style>
  <w:style w:type="paragraph" w:styleId="TOC7">
    <w:name w:val="toc 7"/>
    <w:basedOn w:val="Normal"/>
    <w:next w:val="Normal"/>
    <w:autoRedefine/>
    <w:uiPriority w:val="39"/>
    <w:unhideWhenUsed/>
    <w:rsid w:val="004F36EC"/>
    <w:pPr>
      <w:ind w:left="1440"/>
    </w:pPr>
  </w:style>
  <w:style w:type="paragraph" w:styleId="TOC8">
    <w:name w:val="toc 8"/>
    <w:basedOn w:val="Normal"/>
    <w:next w:val="Normal"/>
    <w:autoRedefine/>
    <w:uiPriority w:val="39"/>
    <w:unhideWhenUsed/>
    <w:rsid w:val="004F36EC"/>
    <w:pPr>
      <w:ind w:left="1680"/>
    </w:pPr>
  </w:style>
  <w:style w:type="paragraph" w:styleId="TOC9">
    <w:name w:val="toc 9"/>
    <w:basedOn w:val="Normal"/>
    <w:next w:val="Normal"/>
    <w:autoRedefine/>
    <w:uiPriority w:val="39"/>
    <w:unhideWhenUsed/>
    <w:rsid w:val="004F36EC"/>
    <w:pPr>
      <w:ind w:left="1920"/>
    </w:pPr>
  </w:style>
  <w:style w:type="paragraph" w:styleId="ListParagraph">
    <w:name w:val="List Paragraph"/>
    <w:basedOn w:val="Normal"/>
    <w:uiPriority w:val="34"/>
    <w:qFormat/>
    <w:rsid w:val="000D2756"/>
    <w:pPr>
      <w:ind w:left="720"/>
      <w:contextualSpacing/>
    </w:pPr>
  </w:style>
  <w:style w:type="paragraph" w:styleId="Quote">
    <w:name w:val="Quote"/>
    <w:basedOn w:val="Normal"/>
    <w:next w:val="Normal"/>
    <w:link w:val="QuoteChar"/>
    <w:uiPriority w:val="29"/>
    <w:qFormat/>
    <w:rsid w:val="004F7AA6"/>
    <w:pPr>
      <w:spacing w:line="240" w:lineRule="auto"/>
      <w:ind w:left="720"/>
    </w:pPr>
  </w:style>
  <w:style w:type="character" w:customStyle="1" w:styleId="QuoteChar">
    <w:name w:val="Quote Char"/>
    <w:basedOn w:val="DefaultParagraphFont"/>
    <w:link w:val="Quote"/>
    <w:uiPriority w:val="29"/>
    <w:rsid w:val="004F7AA6"/>
    <w:rPr>
      <w:rFonts w:ascii="Times New Roman" w:hAnsi="Times New Roman"/>
    </w:rPr>
  </w:style>
  <w:style w:type="character" w:styleId="CommentReference">
    <w:name w:val="annotation reference"/>
    <w:basedOn w:val="DefaultParagraphFont"/>
    <w:uiPriority w:val="99"/>
    <w:semiHidden/>
    <w:unhideWhenUsed/>
    <w:rsid w:val="0094758A"/>
    <w:rPr>
      <w:sz w:val="16"/>
      <w:szCs w:val="16"/>
    </w:rPr>
  </w:style>
  <w:style w:type="paragraph" w:styleId="CommentText">
    <w:name w:val="annotation text"/>
    <w:basedOn w:val="Normal"/>
    <w:link w:val="CommentTextChar"/>
    <w:uiPriority w:val="99"/>
    <w:semiHidden/>
    <w:unhideWhenUsed/>
    <w:rsid w:val="0094758A"/>
    <w:pPr>
      <w:spacing w:line="240" w:lineRule="auto"/>
    </w:pPr>
    <w:rPr>
      <w:sz w:val="20"/>
      <w:szCs w:val="20"/>
    </w:rPr>
  </w:style>
  <w:style w:type="character" w:customStyle="1" w:styleId="CommentTextChar">
    <w:name w:val="Comment Text Char"/>
    <w:basedOn w:val="DefaultParagraphFont"/>
    <w:link w:val="CommentText"/>
    <w:uiPriority w:val="99"/>
    <w:semiHidden/>
    <w:rsid w:val="0094758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758A"/>
    <w:rPr>
      <w:b/>
      <w:bCs/>
    </w:rPr>
  </w:style>
  <w:style w:type="character" w:customStyle="1" w:styleId="CommentSubjectChar">
    <w:name w:val="Comment Subject Char"/>
    <w:basedOn w:val="CommentTextChar"/>
    <w:link w:val="CommentSubject"/>
    <w:uiPriority w:val="99"/>
    <w:semiHidden/>
    <w:rsid w:val="0094758A"/>
    <w:rPr>
      <w:rFonts w:ascii="Times New Roman" w:hAnsi="Times New Roman"/>
      <w:b/>
      <w:bCs/>
      <w:sz w:val="20"/>
      <w:szCs w:val="20"/>
    </w:rPr>
  </w:style>
  <w:style w:type="paragraph" w:styleId="BalloonText">
    <w:name w:val="Balloon Text"/>
    <w:basedOn w:val="Normal"/>
    <w:link w:val="BalloonTextChar"/>
    <w:uiPriority w:val="99"/>
    <w:semiHidden/>
    <w:unhideWhenUsed/>
    <w:rsid w:val="0094758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58A"/>
    <w:rPr>
      <w:rFonts w:ascii="Segoe UI" w:hAnsi="Segoe UI" w:cs="Segoe UI"/>
      <w:sz w:val="18"/>
      <w:szCs w:val="18"/>
    </w:rPr>
  </w:style>
  <w:style w:type="character" w:styleId="Hyperlink">
    <w:name w:val="Hyperlink"/>
    <w:basedOn w:val="DefaultParagraphFont"/>
    <w:uiPriority w:val="99"/>
    <w:unhideWhenUsed/>
    <w:rsid w:val="00643A55"/>
    <w:rPr>
      <w:color w:val="0000FF" w:themeColor="hyperlink"/>
      <w:u w:val="single"/>
    </w:rPr>
  </w:style>
  <w:style w:type="paragraph" w:styleId="Header">
    <w:name w:val="header"/>
    <w:basedOn w:val="Normal"/>
    <w:link w:val="HeaderChar"/>
    <w:uiPriority w:val="99"/>
    <w:unhideWhenUsed/>
    <w:rsid w:val="00950AA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AA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cf.orourke@ul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6442-30A5-407F-B1DF-F4FC25A1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5633</Words>
  <Characters>32111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ulster</Company>
  <LinksUpToDate>false</LinksUpToDate>
  <CharactersWithSpaces>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O'Rourke</dc:creator>
  <cp:keywords/>
  <dc:description/>
  <cp:lastModifiedBy>Rosemary Hunter</cp:lastModifiedBy>
  <cp:revision>3</cp:revision>
  <cp:lastPrinted>2018-11-22T10:46:00Z</cp:lastPrinted>
  <dcterms:created xsi:type="dcterms:W3CDTF">2019-02-05T08:41:00Z</dcterms:created>
  <dcterms:modified xsi:type="dcterms:W3CDTF">2019-02-08T15:57:00Z</dcterms:modified>
</cp:coreProperties>
</file>