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D46B6" w14:textId="77777777" w:rsidR="00FB30E8" w:rsidRPr="00A50891" w:rsidRDefault="00FB30E8" w:rsidP="0087337B">
      <w:pPr>
        <w:spacing w:line="360" w:lineRule="auto"/>
        <w:rPr>
          <w:sz w:val="24"/>
          <w:szCs w:val="24"/>
          <w:lang w:val="en-GB"/>
        </w:rPr>
      </w:pPr>
    </w:p>
    <w:p w14:paraId="1E053FAF" w14:textId="77777777" w:rsidR="00AA0920" w:rsidRPr="00AA0920" w:rsidRDefault="00AA0920" w:rsidP="00AA0920">
      <w:pPr>
        <w:spacing w:line="360" w:lineRule="auto"/>
        <w:rPr>
          <w:rFonts w:cstheme="minorHAnsi"/>
          <w:b/>
          <w:bCs/>
          <w:sz w:val="28"/>
          <w:szCs w:val="28"/>
          <w:lang w:val="en-CA"/>
        </w:rPr>
      </w:pPr>
      <w:r w:rsidRPr="00AA0920">
        <w:rPr>
          <w:rFonts w:cstheme="minorHAnsi"/>
          <w:b/>
          <w:bCs/>
          <w:sz w:val="28"/>
          <w:szCs w:val="28"/>
          <w:lang w:val="en-CA"/>
        </w:rPr>
        <w:t>Right to Life Means No Right to Death with Dignity</w:t>
      </w:r>
    </w:p>
    <w:p w14:paraId="588975DE" w14:textId="0795BFD9" w:rsidR="00FB30E8" w:rsidRPr="00A50891" w:rsidRDefault="00FB30E8" w:rsidP="0087337B">
      <w:pPr>
        <w:spacing w:line="360" w:lineRule="auto"/>
        <w:rPr>
          <w:sz w:val="24"/>
          <w:szCs w:val="24"/>
          <w:lang w:val="en-GB"/>
        </w:rPr>
      </w:pPr>
      <w:r w:rsidRPr="00A50891">
        <w:rPr>
          <w:sz w:val="24"/>
          <w:szCs w:val="24"/>
          <w:lang w:val="en-GB"/>
        </w:rPr>
        <w:t xml:space="preserve">  </w:t>
      </w:r>
      <w:r w:rsidRPr="00A50891">
        <w:rPr>
          <w:sz w:val="24"/>
          <w:szCs w:val="24"/>
          <w:lang w:val="en-GB"/>
        </w:rPr>
        <w:tab/>
      </w:r>
      <w:r w:rsidRPr="00A50891">
        <w:rPr>
          <w:sz w:val="24"/>
          <w:szCs w:val="24"/>
          <w:lang w:val="en-GB"/>
        </w:rPr>
        <w:tab/>
      </w:r>
      <w:r w:rsidRPr="00A50891">
        <w:rPr>
          <w:sz w:val="24"/>
          <w:szCs w:val="24"/>
          <w:lang w:val="en-GB"/>
        </w:rPr>
        <w:tab/>
      </w:r>
      <w:r w:rsidRPr="00A50891">
        <w:rPr>
          <w:sz w:val="24"/>
          <w:szCs w:val="24"/>
          <w:lang w:val="en-GB"/>
        </w:rPr>
        <w:tab/>
      </w:r>
      <w:r w:rsidRPr="00A50891">
        <w:rPr>
          <w:sz w:val="24"/>
          <w:szCs w:val="24"/>
          <w:lang w:val="en-GB"/>
        </w:rPr>
        <w:tab/>
      </w:r>
      <w:r w:rsidRPr="00A50891">
        <w:rPr>
          <w:sz w:val="24"/>
          <w:szCs w:val="24"/>
          <w:lang w:val="en-GB"/>
        </w:rPr>
        <w:tab/>
      </w:r>
    </w:p>
    <w:p w14:paraId="7DDC1FB1" w14:textId="77777777" w:rsidR="00AA0920" w:rsidRPr="00AA0920" w:rsidRDefault="00AA0920" w:rsidP="00AA0920">
      <w:pPr>
        <w:spacing w:line="360" w:lineRule="auto"/>
        <w:rPr>
          <w:rFonts w:cstheme="minorHAnsi"/>
          <w:b/>
          <w:bCs/>
          <w:sz w:val="24"/>
          <w:szCs w:val="24"/>
          <w:lang w:val="en-CA"/>
        </w:rPr>
      </w:pPr>
      <w:r w:rsidRPr="00AA0920">
        <w:rPr>
          <w:rFonts w:cstheme="minorHAnsi"/>
          <w:b/>
          <w:bCs/>
          <w:sz w:val="24"/>
          <w:szCs w:val="24"/>
          <w:lang w:val="en-CA"/>
        </w:rPr>
        <w:t>Pamela M. White</w:t>
      </w:r>
      <w:r w:rsidRPr="00AA0920">
        <w:rPr>
          <w:rFonts w:cstheme="minorHAnsi"/>
          <w:b/>
          <w:bCs/>
          <w:sz w:val="24"/>
          <w:szCs w:val="24"/>
          <w:vertAlign w:val="superscript"/>
          <w:lang w:val="en-CA"/>
        </w:rPr>
        <w:footnoteReference w:id="1"/>
      </w:r>
    </w:p>
    <w:p w14:paraId="035C74B2" w14:textId="286A2A97" w:rsidR="000E2C47" w:rsidRDefault="000E2C47" w:rsidP="0087337B">
      <w:pPr>
        <w:spacing w:line="360" w:lineRule="auto"/>
        <w:rPr>
          <w:b/>
          <w:bCs/>
          <w:sz w:val="24"/>
          <w:szCs w:val="24"/>
          <w:lang w:val="en-GB"/>
        </w:rPr>
      </w:pPr>
    </w:p>
    <w:p w14:paraId="72DC96AC" w14:textId="77777777" w:rsidR="00AA0920" w:rsidRPr="00AA0920" w:rsidRDefault="00AA0920" w:rsidP="00AA0920">
      <w:pPr>
        <w:spacing w:line="360" w:lineRule="auto"/>
        <w:rPr>
          <w:rFonts w:cstheme="minorHAnsi"/>
          <w:sz w:val="24"/>
          <w:szCs w:val="24"/>
          <w:lang w:val="en-CA"/>
        </w:rPr>
      </w:pPr>
      <w:r w:rsidRPr="00AA0920">
        <w:rPr>
          <w:rFonts w:cstheme="minorHAnsi"/>
          <w:sz w:val="24"/>
          <w:szCs w:val="24"/>
          <w:lang w:val="en-CA"/>
        </w:rPr>
        <w:t xml:space="preserve">The seeds of the anti-abortion success realised by </w:t>
      </w:r>
      <w:r w:rsidRPr="00AA0920">
        <w:rPr>
          <w:rFonts w:cstheme="minorHAnsi"/>
          <w:i/>
          <w:iCs/>
          <w:sz w:val="24"/>
          <w:szCs w:val="24"/>
          <w:lang w:val="en-CA"/>
        </w:rPr>
        <w:t>Dobbs v Jackson Women’s Health Organization</w:t>
      </w:r>
      <w:r w:rsidRPr="00AA0920">
        <w:rPr>
          <w:rFonts w:cstheme="minorHAnsi"/>
          <w:sz w:val="24"/>
          <w:szCs w:val="24"/>
          <w:vertAlign w:val="superscript"/>
          <w:lang w:val="en-CA"/>
        </w:rPr>
        <w:footnoteReference w:id="2"/>
      </w:r>
      <w:r w:rsidRPr="00AA0920">
        <w:rPr>
          <w:rFonts w:cstheme="minorHAnsi"/>
          <w:i/>
          <w:iCs/>
          <w:sz w:val="24"/>
          <w:szCs w:val="24"/>
          <w:lang w:val="en-CA"/>
        </w:rPr>
        <w:t xml:space="preserve"> </w:t>
      </w:r>
      <w:r w:rsidRPr="00AA0920">
        <w:rPr>
          <w:rFonts w:cstheme="minorHAnsi"/>
          <w:sz w:val="24"/>
          <w:szCs w:val="24"/>
          <w:lang w:val="en-CA"/>
        </w:rPr>
        <w:t>were planted decades ago by earlier judgments designed to limit access to legal terminations</w:t>
      </w:r>
      <w:r w:rsidRPr="00AA0920">
        <w:rPr>
          <w:rFonts w:cstheme="minorHAnsi"/>
          <w:sz w:val="24"/>
          <w:szCs w:val="24"/>
          <w:vertAlign w:val="superscript"/>
          <w:lang w:val="en-CA"/>
        </w:rPr>
        <w:footnoteReference w:id="3"/>
      </w:r>
      <w:r w:rsidRPr="00AA0920">
        <w:rPr>
          <w:rFonts w:cstheme="minorHAnsi"/>
          <w:sz w:val="24"/>
          <w:szCs w:val="24"/>
          <w:lang w:val="en-CA"/>
        </w:rPr>
        <w:t xml:space="preserve"> and by state legislatures inserting foetal personhood rights into laws and regulations not directly related to abortion. Adoption by 36 US states of ‘pregnancy exclusion clauses’ in advance directives is one such example where a pregnant person’s agency and advance decision-making can be overruled to ensure the development of a gestating foetus.</w:t>
      </w:r>
      <w:r w:rsidRPr="00AA0920">
        <w:rPr>
          <w:rFonts w:cstheme="minorHAnsi"/>
          <w:sz w:val="24"/>
          <w:szCs w:val="24"/>
          <w:vertAlign w:val="superscript"/>
          <w:lang w:val="en-CA"/>
        </w:rPr>
        <w:footnoteReference w:id="4"/>
      </w:r>
      <w:r w:rsidRPr="00AA0920">
        <w:rPr>
          <w:rFonts w:cstheme="minorHAnsi"/>
          <w:sz w:val="24"/>
          <w:szCs w:val="24"/>
          <w:lang w:val="en-CA"/>
        </w:rPr>
        <w:t xml:space="preserve"> </w:t>
      </w:r>
    </w:p>
    <w:p w14:paraId="138D3927" w14:textId="77777777" w:rsidR="00AA0920" w:rsidRPr="00AA0920" w:rsidRDefault="00AA0920" w:rsidP="00AA0920">
      <w:pPr>
        <w:spacing w:line="360" w:lineRule="auto"/>
        <w:rPr>
          <w:rFonts w:cstheme="minorHAnsi"/>
          <w:sz w:val="24"/>
          <w:szCs w:val="24"/>
          <w:lang w:val="en-CA"/>
        </w:rPr>
      </w:pPr>
    </w:p>
    <w:p w14:paraId="2BD6399A" w14:textId="77777777" w:rsidR="00AA0920" w:rsidRPr="00AA0920" w:rsidRDefault="00AA0920" w:rsidP="00AA0920">
      <w:pPr>
        <w:spacing w:line="360" w:lineRule="auto"/>
        <w:rPr>
          <w:rFonts w:cstheme="minorHAnsi"/>
          <w:sz w:val="24"/>
          <w:szCs w:val="24"/>
          <w:lang w:val="en-CA"/>
        </w:rPr>
      </w:pPr>
      <w:r w:rsidRPr="00AA0920">
        <w:rPr>
          <w:rFonts w:cstheme="minorHAnsi"/>
          <w:sz w:val="24"/>
          <w:szCs w:val="24"/>
          <w:lang w:val="en-CA"/>
        </w:rPr>
        <w:t xml:space="preserve">The 1981 </w:t>
      </w:r>
      <w:r w:rsidRPr="00AA0920">
        <w:rPr>
          <w:rFonts w:cstheme="minorHAnsi"/>
          <w:i/>
          <w:iCs/>
          <w:sz w:val="24"/>
          <w:szCs w:val="24"/>
          <w:lang w:val="en-CA"/>
        </w:rPr>
        <w:t xml:space="preserve">Uniform Determination of Death Act (UDDA) </w:t>
      </w:r>
      <w:r w:rsidRPr="00AA0920">
        <w:rPr>
          <w:rFonts w:cstheme="minorHAnsi"/>
          <w:sz w:val="24"/>
          <w:szCs w:val="24"/>
          <w:lang w:val="en-CA"/>
        </w:rPr>
        <w:t>and adoption of state Advance Directive legislation</w:t>
      </w:r>
      <w:r w:rsidRPr="00AA0920">
        <w:rPr>
          <w:rFonts w:cstheme="minorHAnsi"/>
          <w:sz w:val="24"/>
          <w:szCs w:val="24"/>
          <w:vertAlign w:val="superscript"/>
          <w:lang w:val="en-CA"/>
        </w:rPr>
        <w:footnoteReference w:id="5"/>
      </w:r>
      <w:r w:rsidRPr="00AA0920">
        <w:rPr>
          <w:rFonts w:cstheme="minorHAnsi"/>
          <w:sz w:val="24"/>
          <w:szCs w:val="24"/>
          <w:lang w:val="en-CA"/>
        </w:rPr>
        <w:t xml:space="preserve"> during in the mid-1980s, triggered a two-pronged campaign by the Pro-Life lobby to challenge legislation that might obstruct life-support treatments for braindead individuals, especially pregnant women.</w:t>
      </w:r>
      <w:r w:rsidRPr="00AA0920">
        <w:rPr>
          <w:rFonts w:cstheme="minorHAnsi"/>
          <w:sz w:val="24"/>
          <w:szCs w:val="24"/>
          <w:vertAlign w:val="superscript"/>
          <w:lang w:val="en-CA"/>
        </w:rPr>
        <w:footnoteReference w:id="6"/>
      </w:r>
      <w:r w:rsidRPr="00AA0920">
        <w:rPr>
          <w:rFonts w:cstheme="minorHAnsi"/>
          <w:sz w:val="24"/>
          <w:szCs w:val="24"/>
          <w:lang w:val="en-CA"/>
        </w:rPr>
        <w:t xml:space="preserve"> One prong argues for a religious-based definition of death: cessation of pulmonary-cardiac function.</w:t>
      </w:r>
      <w:r w:rsidRPr="00AA0920">
        <w:rPr>
          <w:rFonts w:cstheme="minorHAnsi"/>
          <w:sz w:val="24"/>
          <w:szCs w:val="24"/>
          <w:vertAlign w:val="superscript"/>
          <w:lang w:val="en-CA"/>
        </w:rPr>
        <w:footnoteReference w:id="7"/>
      </w:r>
      <w:r w:rsidRPr="00AA0920">
        <w:rPr>
          <w:rFonts w:cstheme="minorHAnsi"/>
          <w:sz w:val="24"/>
          <w:szCs w:val="24"/>
          <w:lang w:val="en-CA"/>
        </w:rPr>
        <w:t xml:space="preserve"> It challenges the legal neurological definition of death including administration of the apnoea test, considered by clinicians as the definitive assessment of brain-death.</w:t>
      </w:r>
      <w:r w:rsidRPr="00AA0920">
        <w:rPr>
          <w:rFonts w:cstheme="minorHAnsi"/>
          <w:sz w:val="24"/>
          <w:szCs w:val="24"/>
          <w:vertAlign w:val="superscript"/>
          <w:lang w:val="en-CA"/>
        </w:rPr>
        <w:footnoteReference w:id="8"/>
      </w:r>
      <w:r w:rsidRPr="00AA0920">
        <w:rPr>
          <w:rFonts w:cstheme="minorHAnsi"/>
          <w:sz w:val="24"/>
          <w:szCs w:val="24"/>
          <w:lang w:val="en-CA"/>
        </w:rPr>
        <w:t xml:space="preserve"> The apnoea test has come under increased scrutiny in </w:t>
      </w:r>
      <w:r w:rsidRPr="00AA0920">
        <w:rPr>
          <w:rFonts w:cstheme="minorHAnsi"/>
          <w:sz w:val="24"/>
          <w:szCs w:val="24"/>
          <w:lang w:val="en-CA"/>
        </w:rPr>
        <w:lastRenderedPageBreak/>
        <w:t>US,</w:t>
      </w:r>
      <w:r w:rsidRPr="00AA0920">
        <w:rPr>
          <w:rFonts w:cstheme="minorHAnsi"/>
          <w:sz w:val="24"/>
          <w:szCs w:val="24"/>
          <w:vertAlign w:val="superscript"/>
          <w:lang w:val="en-CA"/>
        </w:rPr>
        <w:footnoteReference w:id="9"/>
      </w:r>
      <w:r w:rsidRPr="00AA0920">
        <w:rPr>
          <w:rFonts w:cstheme="minorHAnsi"/>
          <w:sz w:val="24"/>
          <w:szCs w:val="24"/>
          <w:lang w:val="en-CA"/>
        </w:rPr>
        <w:t xml:space="preserve"> Canadian,</w:t>
      </w:r>
      <w:r w:rsidRPr="00AA0920">
        <w:rPr>
          <w:rFonts w:cstheme="minorHAnsi"/>
          <w:sz w:val="24"/>
          <w:szCs w:val="24"/>
          <w:vertAlign w:val="superscript"/>
          <w:lang w:val="en-CA"/>
        </w:rPr>
        <w:footnoteReference w:id="10"/>
      </w:r>
      <w:r w:rsidRPr="00AA0920">
        <w:rPr>
          <w:rFonts w:cstheme="minorHAnsi"/>
          <w:sz w:val="24"/>
          <w:szCs w:val="24"/>
          <w:lang w:val="en-CA"/>
        </w:rPr>
        <w:t xml:space="preserve"> and UK</w:t>
      </w:r>
      <w:r w:rsidRPr="00AA0920">
        <w:rPr>
          <w:rFonts w:cstheme="minorHAnsi"/>
          <w:sz w:val="24"/>
          <w:szCs w:val="24"/>
          <w:vertAlign w:val="superscript"/>
          <w:lang w:val="en-CA"/>
        </w:rPr>
        <w:footnoteReference w:id="11"/>
      </w:r>
      <w:r w:rsidRPr="00AA0920">
        <w:rPr>
          <w:rFonts w:cstheme="minorHAnsi"/>
          <w:sz w:val="24"/>
          <w:szCs w:val="24"/>
          <w:lang w:val="en-CA"/>
        </w:rPr>
        <w:t xml:space="preserve"> courts. Opposition to the neurological determination of death not only frustrates organ donation, but also enables ongoing life-support until organ death occurs. Without a definitive brain-death determination, administration of life-support cannot be defined as futile treatment and will therefore carry on until organ death occurs.</w:t>
      </w:r>
      <w:r w:rsidRPr="00AA0920">
        <w:rPr>
          <w:rFonts w:cstheme="minorHAnsi"/>
          <w:sz w:val="24"/>
          <w:szCs w:val="24"/>
          <w:vertAlign w:val="superscript"/>
          <w:lang w:val="en-CA"/>
        </w:rPr>
        <w:footnoteReference w:id="12"/>
      </w:r>
      <w:r w:rsidRPr="00AA0920">
        <w:rPr>
          <w:rFonts w:cstheme="minorHAnsi"/>
          <w:sz w:val="24"/>
          <w:szCs w:val="24"/>
          <w:lang w:val="en-CA"/>
        </w:rPr>
        <w:t xml:space="preserve"> </w:t>
      </w:r>
    </w:p>
    <w:p w14:paraId="546C97C5" w14:textId="77777777" w:rsidR="00AA0920" w:rsidRPr="00AA0920" w:rsidRDefault="00AA0920" w:rsidP="00AA0920">
      <w:pPr>
        <w:spacing w:line="360" w:lineRule="auto"/>
        <w:rPr>
          <w:rFonts w:cstheme="minorHAnsi"/>
          <w:sz w:val="24"/>
          <w:szCs w:val="24"/>
          <w:lang w:val="en-CA"/>
        </w:rPr>
      </w:pPr>
    </w:p>
    <w:p w14:paraId="65073DB3" w14:textId="77777777" w:rsidR="00AA0920" w:rsidRPr="00AA0920" w:rsidRDefault="00AA0920" w:rsidP="00AA0920">
      <w:pPr>
        <w:spacing w:line="360" w:lineRule="auto"/>
        <w:rPr>
          <w:rFonts w:cstheme="minorHAnsi"/>
          <w:sz w:val="24"/>
          <w:szCs w:val="24"/>
        </w:rPr>
      </w:pPr>
      <w:r w:rsidRPr="00AA0920">
        <w:rPr>
          <w:rFonts w:cstheme="minorHAnsi"/>
          <w:sz w:val="24"/>
          <w:szCs w:val="24"/>
          <w:lang w:val="en-CA"/>
        </w:rPr>
        <w:t xml:space="preserve">The second prong of the campaign encouraged state legislatures to include pregnancy exclusion clauses in advance directive legislation, thereby circumventing </w:t>
      </w:r>
      <w:r w:rsidRPr="00AA0920">
        <w:rPr>
          <w:rFonts w:cstheme="minorHAnsi"/>
          <w:i/>
          <w:iCs/>
          <w:sz w:val="24"/>
          <w:szCs w:val="24"/>
          <w:lang w:val="en-CA"/>
        </w:rPr>
        <w:t>Roe v Wade</w:t>
      </w:r>
      <w:r w:rsidRPr="00AA0920">
        <w:rPr>
          <w:rFonts w:cstheme="minorHAnsi"/>
          <w:sz w:val="24"/>
          <w:szCs w:val="24"/>
          <w:lang w:val="en-CA"/>
        </w:rPr>
        <w:t>.</w:t>
      </w:r>
      <w:r w:rsidRPr="00AA0920">
        <w:rPr>
          <w:rFonts w:cstheme="minorHAnsi"/>
          <w:sz w:val="24"/>
          <w:szCs w:val="24"/>
          <w:vertAlign w:val="superscript"/>
          <w:lang w:val="en-CA"/>
        </w:rPr>
        <w:footnoteReference w:id="13"/>
      </w:r>
      <w:r w:rsidRPr="00AA0920">
        <w:rPr>
          <w:rFonts w:cstheme="minorHAnsi"/>
          <w:sz w:val="24"/>
          <w:szCs w:val="24"/>
          <w:lang w:val="en-CA"/>
        </w:rPr>
        <w:t xml:space="preserve"> By 2020, just 14 states permitted physicians to honour a pregnant woman’s advance medical directive. Foetal ‘viability’ legally (not medically) set at 14 weeks gestational age</w:t>
      </w:r>
      <w:r w:rsidRPr="00AA0920">
        <w:rPr>
          <w:rFonts w:cstheme="minorHAnsi"/>
          <w:sz w:val="24"/>
          <w:szCs w:val="24"/>
          <w:vertAlign w:val="superscript"/>
          <w:lang w:val="en-CA"/>
        </w:rPr>
        <w:footnoteReference w:id="14"/>
      </w:r>
      <w:r w:rsidRPr="00AA0920">
        <w:rPr>
          <w:rFonts w:cstheme="minorHAnsi"/>
          <w:sz w:val="24"/>
          <w:szCs w:val="24"/>
          <w:lang w:val="en-CA"/>
        </w:rPr>
        <w:t xml:space="preserve"> overrides an advance directive in 12 states, with another </w:t>
      </w:r>
      <w:r w:rsidRPr="00AA0920">
        <w:rPr>
          <w:rFonts w:cstheme="minorHAnsi"/>
          <w:sz w:val="24"/>
          <w:szCs w:val="24"/>
        </w:rPr>
        <w:t xml:space="preserve">5 states making life-support dependent on treatment benefits accruing to the </w:t>
      </w:r>
      <w:proofErr w:type="spellStart"/>
      <w:r w:rsidRPr="00AA0920">
        <w:rPr>
          <w:rFonts w:cstheme="minorHAnsi"/>
          <w:sz w:val="24"/>
          <w:szCs w:val="24"/>
        </w:rPr>
        <w:t>foetus</w:t>
      </w:r>
      <w:proofErr w:type="spellEnd"/>
      <w:r w:rsidRPr="00AA0920">
        <w:rPr>
          <w:rFonts w:cstheme="minorHAnsi"/>
          <w:sz w:val="24"/>
          <w:szCs w:val="24"/>
        </w:rPr>
        <w:t xml:space="preserve">. In the remaining 19 states, maternal </w:t>
      </w:r>
      <w:r w:rsidRPr="00AA0920">
        <w:rPr>
          <w:rFonts w:cstheme="minorHAnsi"/>
          <w:sz w:val="24"/>
          <w:szCs w:val="24"/>
          <w:lang w:val="en-CA"/>
        </w:rPr>
        <w:t>life-sustaining therapies must be provided regardless of foetal viability</w:t>
      </w:r>
      <w:r w:rsidRPr="00AA0920">
        <w:rPr>
          <w:rFonts w:cstheme="minorHAnsi"/>
          <w:sz w:val="24"/>
          <w:szCs w:val="24"/>
        </w:rPr>
        <w:t xml:space="preserve"> or existence of an advance directive.  Prior to </w:t>
      </w:r>
      <w:proofErr w:type="spellStart"/>
      <w:r w:rsidRPr="00AA0920">
        <w:rPr>
          <w:rFonts w:cstheme="minorHAnsi"/>
          <w:i/>
          <w:iCs/>
          <w:sz w:val="24"/>
          <w:szCs w:val="24"/>
        </w:rPr>
        <w:t>Dodds</w:t>
      </w:r>
      <w:proofErr w:type="spellEnd"/>
      <w:r w:rsidRPr="00AA0920">
        <w:rPr>
          <w:rFonts w:cstheme="minorHAnsi"/>
          <w:i/>
          <w:iCs/>
          <w:sz w:val="24"/>
          <w:szCs w:val="24"/>
        </w:rPr>
        <w:t>,</w:t>
      </w:r>
      <w:r w:rsidRPr="00AA0920">
        <w:rPr>
          <w:rFonts w:cstheme="minorHAnsi"/>
          <w:sz w:val="24"/>
          <w:szCs w:val="24"/>
        </w:rPr>
        <w:t xml:space="preserve"> over 70% of US states had legislated ‘right-to-life’ for the gestating </w:t>
      </w:r>
      <w:proofErr w:type="spellStart"/>
      <w:r w:rsidRPr="00AA0920">
        <w:rPr>
          <w:rFonts w:cstheme="minorHAnsi"/>
          <w:sz w:val="24"/>
          <w:szCs w:val="24"/>
        </w:rPr>
        <w:t>foetus</w:t>
      </w:r>
      <w:proofErr w:type="spellEnd"/>
      <w:r w:rsidRPr="00AA0920">
        <w:rPr>
          <w:rFonts w:cstheme="minorHAnsi"/>
          <w:sz w:val="24"/>
          <w:szCs w:val="24"/>
        </w:rPr>
        <w:t xml:space="preserve"> and mandated ongoing life-support for pregnant women in PVS, braindead, or persistent coma conditions until the baby can be safely delivered usually by caesarian section or dies </w:t>
      </w:r>
      <w:r w:rsidRPr="00AA0920">
        <w:rPr>
          <w:rFonts w:cstheme="minorHAnsi"/>
          <w:i/>
          <w:iCs/>
          <w:sz w:val="24"/>
          <w:szCs w:val="24"/>
        </w:rPr>
        <w:t>in utero</w:t>
      </w:r>
      <w:r w:rsidRPr="00AA0920">
        <w:rPr>
          <w:rFonts w:cstheme="minorHAnsi"/>
          <w:sz w:val="24"/>
          <w:szCs w:val="24"/>
        </w:rPr>
        <w:t>.</w:t>
      </w:r>
      <w:r w:rsidRPr="00AA0920">
        <w:rPr>
          <w:rFonts w:cstheme="minorHAnsi"/>
          <w:sz w:val="24"/>
          <w:szCs w:val="24"/>
          <w:vertAlign w:val="superscript"/>
        </w:rPr>
        <w:footnoteReference w:id="15"/>
      </w:r>
      <w:r w:rsidRPr="00AA0920">
        <w:rPr>
          <w:rFonts w:cstheme="minorHAnsi"/>
          <w:sz w:val="24"/>
          <w:szCs w:val="24"/>
        </w:rPr>
        <w:t xml:space="preserve">  </w:t>
      </w:r>
    </w:p>
    <w:p w14:paraId="61D6F3C3" w14:textId="77777777" w:rsidR="00AA0920" w:rsidRPr="00AA0920" w:rsidRDefault="00AA0920" w:rsidP="00AA0920">
      <w:pPr>
        <w:spacing w:line="360" w:lineRule="auto"/>
        <w:rPr>
          <w:rFonts w:cstheme="minorHAnsi"/>
          <w:sz w:val="24"/>
          <w:szCs w:val="24"/>
        </w:rPr>
      </w:pPr>
    </w:p>
    <w:p w14:paraId="0E5263B9" w14:textId="77777777" w:rsidR="00AA0920" w:rsidRPr="00AA0920" w:rsidRDefault="00AA0920" w:rsidP="00AA0920">
      <w:pPr>
        <w:spacing w:line="360" w:lineRule="auto"/>
        <w:rPr>
          <w:rFonts w:cstheme="minorHAnsi"/>
          <w:sz w:val="24"/>
          <w:szCs w:val="24"/>
        </w:rPr>
      </w:pPr>
      <w:r w:rsidRPr="00AA0920">
        <w:rPr>
          <w:rFonts w:cstheme="minorHAnsi"/>
          <w:sz w:val="24"/>
          <w:szCs w:val="24"/>
          <w:lang w:val="en-CA"/>
        </w:rPr>
        <w:lastRenderedPageBreak/>
        <w:t xml:space="preserve">Legislative </w:t>
      </w:r>
      <w:r w:rsidRPr="00AA0920">
        <w:rPr>
          <w:rFonts w:cstheme="minorHAnsi"/>
          <w:sz w:val="24"/>
          <w:szCs w:val="24"/>
        </w:rPr>
        <w:t xml:space="preserve">removal of a pregnant patient’s medical decision-making autonomy has not gone unchallenged. </w:t>
      </w:r>
      <w:r w:rsidRPr="00AA0920">
        <w:rPr>
          <w:rFonts w:cstheme="minorHAnsi"/>
          <w:sz w:val="24"/>
          <w:szCs w:val="24"/>
          <w:lang w:val="en-CA"/>
        </w:rPr>
        <w:t>The 2013 Muñoz case exposed a disturbing situation of a neurologically braindead pregnant Texas resident being kept artificially ‘alive’ for two months against the wishes of her husband.</w:t>
      </w:r>
      <w:r w:rsidRPr="00AA0920">
        <w:rPr>
          <w:rFonts w:cstheme="minorHAnsi"/>
          <w:sz w:val="24"/>
          <w:szCs w:val="24"/>
          <w:vertAlign w:val="superscript"/>
          <w:lang w:val="en-CA"/>
        </w:rPr>
        <w:footnoteReference w:id="16"/>
      </w:r>
      <w:r w:rsidRPr="00AA0920">
        <w:rPr>
          <w:rFonts w:cstheme="minorHAnsi"/>
          <w:sz w:val="24"/>
          <w:szCs w:val="24"/>
          <w:lang w:val="en-CA"/>
        </w:rPr>
        <w:t xml:space="preserve">  Yet, the US in not alone in overruling family wishes of a peaceful passing for their pregnant braindead family member. Natasha Petrie, a pregnant Irish resident was pronounced neurologically dead in December 2014.</w:t>
      </w:r>
      <w:r w:rsidRPr="00AA0920">
        <w:rPr>
          <w:rFonts w:cstheme="minorHAnsi"/>
          <w:sz w:val="24"/>
          <w:szCs w:val="24"/>
          <w:vertAlign w:val="superscript"/>
          <w:lang w:val="en-CA"/>
        </w:rPr>
        <w:footnoteReference w:id="17"/>
      </w:r>
      <w:r w:rsidRPr="00AA0920">
        <w:rPr>
          <w:rFonts w:cstheme="minorHAnsi"/>
          <w:sz w:val="24"/>
          <w:szCs w:val="24"/>
          <w:lang w:val="en-CA"/>
        </w:rPr>
        <w:t xml:space="preserve">  Concerns about the legal implications of Ireland’s Eighth Amendment establishing equal rights for the ‘unborn child’ and the pregnant woman contributed to the decision to sustain Natashia’s body on life-support for a month against her family’s wishes.</w:t>
      </w:r>
      <w:r w:rsidRPr="00AA0920">
        <w:rPr>
          <w:rFonts w:cstheme="minorHAnsi"/>
          <w:sz w:val="24"/>
          <w:szCs w:val="24"/>
          <w:vertAlign w:val="superscript"/>
          <w:lang w:val="en-CA"/>
        </w:rPr>
        <w:footnoteReference w:id="18"/>
      </w:r>
    </w:p>
    <w:p w14:paraId="09C8688F" w14:textId="77777777" w:rsidR="00AA0920" w:rsidRPr="00AA0920" w:rsidRDefault="00AA0920" w:rsidP="00AA0920">
      <w:pPr>
        <w:spacing w:line="360" w:lineRule="auto"/>
        <w:rPr>
          <w:rFonts w:cstheme="minorHAnsi"/>
          <w:sz w:val="24"/>
          <w:szCs w:val="24"/>
          <w:lang w:val="en-CA"/>
        </w:rPr>
      </w:pPr>
    </w:p>
    <w:p w14:paraId="685FD9D6" w14:textId="77777777" w:rsidR="00AA0920" w:rsidRPr="00AA0920" w:rsidRDefault="00AA0920" w:rsidP="00AA0920">
      <w:pPr>
        <w:spacing w:line="360" w:lineRule="auto"/>
        <w:rPr>
          <w:rFonts w:cstheme="minorHAnsi"/>
          <w:sz w:val="24"/>
          <w:szCs w:val="24"/>
          <w:lang w:val="en-CA"/>
        </w:rPr>
      </w:pPr>
      <w:proofErr w:type="spellStart"/>
      <w:r w:rsidRPr="00AA0920">
        <w:rPr>
          <w:rFonts w:cstheme="minorHAnsi"/>
          <w:sz w:val="24"/>
          <w:szCs w:val="24"/>
          <w:lang w:val="en-CA"/>
        </w:rPr>
        <w:t>Truog</w:t>
      </w:r>
      <w:proofErr w:type="spellEnd"/>
      <w:r w:rsidRPr="00AA0920">
        <w:rPr>
          <w:rFonts w:cstheme="minorHAnsi"/>
          <w:sz w:val="24"/>
          <w:szCs w:val="24"/>
          <w:lang w:val="en-CA"/>
        </w:rPr>
        <w:t xml:space="preserve"> observes it is women who are being kept biologically alive contrary to their own or family members’ directives or even standard medical practice so to enable the delivery of a viable child.</w:t>
      </w:r>
      <w:r w:rsidRPr="00AA0920">
        <w:rPr>
          <w:rFonts w:cstheme="minorHAnsi"/>
          <w:sz w:val="24"/>
          <w:szCs w:val="24"/>
          <w:vertAlign w:val="superscript"/>
          <w:lang w:val="en-CA"/>
        </w:rPr>
        <w:footnoteReference w:id="19"/>
      </w:r>
      <w:r w:rsidRPr="00AA0920">
        <w:rPr>
          <w:rFonts w:cstheme="minorHAnsi"/>
          <w:sz w:val="24"/>
          <w:szCs w:val="24"/>
          <w:lang w:val="en-CA"/>
        </w:rPr>
        <w:t xml:space="preserve"> A 2021 study of 35 cases worldwide reveals that most cadaveric pregnancies are sustained for about 7 weeks though 120 days is not unknown.</w:t>
      </w:r>
      <w:r w:rsidRPr="00AA0920">
        <w:rPr>
          <w:rFonts w:cstheme="minorHAnsi"/>
          <w:sz w:val="24"/>
          <w:szCs w:val="24"/>
          <w:vertAlign w:val="superscript"/>
          <w:lang w:val="en-CA"/>
        </w:rPr>
        <w:footnoteReference w:id="20"/>
      </w:r>
      <w:r w:rsidRPr="00AA0920">
        <w:rPr>
          <w:rFonts w:cstheme="minorHAnsi"/>
          <w:sz w:val="24"/>
          <w:szCs w:val="24"/>
          <w:lang w:val="en-CA"/>
        </w:rPr>
        <w:t xml:space="preserve">  Yet, survival is low for foetuses under 14 weeks and barely reaches 55% for those between 14 and 19 gestational weeks. Higher survival rates have been reported for foetuses at 20-23 weeks of gestation (92%) with most born alive when maternal life-support is initiated at 24 gestational weeks and over. To date, little research has been undertaken to assess longer term health of these children.</w:t>
      </w:r>
      <w:r w:rsidRPr="00AA0920">
        <w:rPr>
          <w:rFonts w:cstheme="minorHAnsi"/>
          <w:sz w:val="24"/>
          <w:szCs w:val="24"/>
          <w:vertAlign w:val="superscript"/>
          <w:lang w:val="en-CA"/>
        </w:rPr>
        <w:footnoteReference w:id="21"/>
      </w:r>
      <w:r w:rsidRPr="00AA0920">
        <w:rPr>
          <w:rFonts w:cstheme="minorHAnsi"/>
          <w:sz w:val="24"/>
          <w:szCs w:val="24"/>
          <w:lang w:val="en-CA"/>
        </w:rPr>
        <w:t xml:space="preserve"> </w:t>
      </w:r>
    </w:p>
    <w:p w14:paraId="4034E72B" w14:textId="77777777" w:rsidR="00AA0920" w:rsidRPr="00AA0920" w:rsidRDefault="00AA0920" w:rsidP="00AA0920">
      <w:pPr>
        <w:spacing w:line="360" w:lineRule="auto"/>
        <w:rPr>
          <w:rFonts w:cstheme="minorHAnsi"/>
          <w:sz w:val="24"/>
          <w:szCs w:val="24"/>
          <w:lang w:val="en-CA"/>
        </w:rPr>
      </w:pPr>
    </w:p>
    <w:p w14:paraId="48954333" w14:textId="77777777" w:rsidR="00AA0920" w:rsidRPr="00AA0920" w:rsidRDefault="00AA0920" w:rsidP="00AA0920">
      <w:pPr>
        <w:spacing w:line="360" w:lineRule="auto"/>
        <w:rPr>
          <w:rFonts w:cstheme="minorHAnsi"/>
          <w:sz w:val="24"/>
          <w:szCs w:val="24"/>
          <w:lang w:val="en-CA"/>
        </w:rPr>
      </w:pPr>
      <w:r w:rsidRPr="00AA0920">
        <w:rPr>
          <w:rFonts w:cstheme="minorHAnsi"/>
          <w:sz w:val="24"/>
          <w:szCs w:val="24"/>
          <w:lang w:val="en-CA"/>
        </w:rPr>
        <w:t>While some may conclude that cadaveric pregnancies are becoming technologically possible, healthy live births tend to be over-reported.</w:t>
      </w:r>
      <w:r w:rsidRPr="00AA0920">
        <w:rPr>
          <w:rFonts w:cstheme="minorHAnsi"/>
          <w:sz w:val="24"/>
          <w:szCs w:val="24"/>
          <w:vertAlign w:val="superscript"/>
          <w:lang w:val="en-CA"/>
        </w:rPr>
        <w:footnoteReference w:id="22"/>
      </w:r>
      <w:r w:rsidRPr="00AA0920">
        <w:rPr>
          <w:rFonts w:cstheme="minorHAnsi"/>
          <w:sz w:val="24"/>
          <w:szCs w:val="24"/>
          <w:lang w:val="en-CA"/>
        </w:rPr>
        <w:t xml:space="preserve"> Moreover, life-support cases involve considerable maternal medical intervention and constant foetal monitoring. The 2021 study revealed extensive serious multiple maternal complications including pneumonia, sepsis and urinary tract infections, circulatory instability, hypothalamic dysfunctions, thermal variability, and pituitary hormonal imbalances.</w:t>
      </w:r>
      <w:r w:rsidRPr="00AA0920">
        <w:rPr>
          <w:rFonts w:cstheme="minorHAnsi"/>
          <w:sz w:val="24"/>
          <w:szCs w:val="24"/>
          <w:vertAlign w:val="superscript"/>
          <w:lang w:val="en-CA"/>
        </w:rPr>
        <w:footnoteReference w:id="23"/>
      </w:r>
      <w:r w:rsidRPr="00AA0920">
        <w:rPr>
          <w:rFonts w:cstheme="minorHAnsi"/>
          <w:sz w:val="24"/>
          <w:szCs w:val="24"/>
          <w:lang w:val="en-CA"/>
        </w:rPr>
        <w:t xml:space="preserve"> Families, care staff, and clinicians find the </w:t>
      </w:r>
      <w:r w:rsidRPr="00AA0920">
        <w:rPr>
          <w:rFonts w:cstheme="minorHAnsi"/>
          <w:sz w:val="24"/>
          <w:szCs w:val="24"/>
          <w:lang w:val="en-CA"/>
        </w:rPr>
        <w:lastRenderedPageBreak/>
        <w:t>significant deterioration of the maternal body disturbing, with reports of nurses experiencing not insignificant levels of emotional distress.</w:t>
      </w:r>
      <w:r w:rsidRPr="00AA0920">
        <w:rPr>
          <w:rFonts w:cstheme="minorHAnsi"/>
          <w:sz w:val="24"/>
          <w:szCs w:val="24"/>
          <w:vertAlign w:val="superscript"/>
          <w:lang w:val="en-CA"/>
        </w:rPr>
        <w:footnoteReference w:id="24"/>
      </w:r>
      <w:r w:rsidRPr="00AA0920">
        <w:rPr>
          <w:rFonts w:cstheme="minorHAnsi"/>
          <w:sz w:val="24"/>
          <w:szCs w:val="24"/>
          <w:lang w:val="en-CA"/>
        </w:rPr>
        <w:t xml:space="preserve"> </w:t>
      </w:r>
    </w:p>
    <w:p w14:paraId="213FC88E" w14:textId="77777777" w:rsidR="00AA0920" w:rsidRPr="00AA0920" w:rsidRDefault="00AA0920" w:rsidP="00AA0920">
      <w:pPr>
        <w:spacing w:line="360" w:lineRule="auto"/>
        <w:rPr>
          <w:rFonts w:cstheme="minorHAnsi"/>
          <w:sz w:val="24"/>
          <w:szCs w:val="24"/>
          <w:lang w:val="en-CA"/>
        </w:rPr>
      </w:pPr>
    </w:p>
    <w:p w14:paraId="26FDBEF0" w14:textId="77777777" w:rsidR="00AA0920" w:rsidRPr="00AA0920" w:rsidRDefault="00AA0920" w:rsidP="00AA0920">
      <w:pPr>
        <w:spacing w:line="360" w:lineRule="auto"/>
        <w:rPr>
          <w:rFonts w:cstheme="minorHAnsi"/>
          <w:sz w:val="24"/>
          <w:szCs w:val="24"/>
          <w:lang w:val="en-CA"/>
        </w:rPr>
      </w:pPr>
      <w:r w:rsidRPr="00AA0920">
        <w:rPr>
          <w:rFonts w:cstheme="minorHAnsi"/>
          <w:sz w:val="24"/>
          <w:szCs w:val="24"/>
          <w:lang w:val="en-CA"/>
        </w:rPr>
        <w:t xml:space="preserve">When families contest state-ordered maternal life-support, success has been patchy. In 2019, the Petrie family received an apology and a financial settlement from Ireland for the lack of consent for their daughter’s medical treatment. The victory in Muñoz was achieved on the court’s acceptance of </w:t>
      </w:r>
      <w:proofErr w:type="spellStart"/>
      <w:r w:rsidRPr="00AA0920">
        <w:rPr>
          <w:rFonts w:cstheme="minorHAnsi"/>
          <w:sz w:val="24"/>
          <w:szCs w:val="24"/>
          <w:lang w:val="en-CA"/>
        </w:rPr>
        <w:t>Mrs</w:t>
      </w:r>
      <w:proofErr w:type="spellEnd"/>
      <w:r w:rsidRPr="00AA0920">
        <w:rPr>
          <w:rFonts w:cstheme="minorHAnsi"/>
          <w:sz w:val="24"/>
          <w:szCs w:val="24"/>
          <w:lang w:val="en-CA"/>
        </w:rPr>
        <w:t xml:space="preserve"> Muñoz being declared legally dead and that foetal death had occurred </w:t>
      </w:r>
      <w:r w:rsidRPr="00AA0920">
        <w:rPr>
          <w:rFonts w:cstheme="minorHAnsi"/>
          <w:i/>
          <w:iCs/>
          <w:sz w:val="24"/>
          <w:szCs w:val="24"/>
          <w:lang w:val="en-CA"/>
        </w:rPr>
        <w:t>in utero</w:t>
      </w:r>
      <w:r w:rsidRPr="00AA0920">
        <w:rPr>
          <w:rFonts w:cstheme="minorHAnsi"/>
          <w:sz w:val="24"/>
          <w:szCs w:val="24"/>
          <w:lang w:val="en-CA"/>
        </w:rPr>
        <w:t>. In April 2021, four pregnant women</w:t>
      </w:r>
      <w:r w:rsidRPr="00AA0920">
        <w:rPr>
          <w:rFonts w:cstheme="minorHAnsi"/>
          <w:sz w:val="24"/>
          <w:szCs w:val="24"/>
          <w:vertAlign w:val="superscript"/>
          <w:lang w:val="en-CA"/>
        </w:rPr>
        <w:footnoteReference w:id="25"/>
      </w:r>
      <w:r w:rsidRPr="00AA0920">
        <w:rPr>
          <w:rFonts w:cstheme="minorHAnsi"/>
          <w:sz w:val="24"/>
          <w:szCs w:val="24"/>
          <w:lang w:val="en-CA"/>
        </w:rPr>
        <w:t xml:space="preserve"> successfully contested Idaho’s override of their advance directives (</w:t>
      </w:r>
      <w:proofErr w:type="spellStart"/>
      <w:r w:rsidRPr="00AA0920">
        <w:rPr>
          <w:rFonts w:cstheme="minorHAnsi"/>
          <w:i/>
          <w:iCs/>
          <w:sz w:val="24"/>
          <w:szCs w:val="24"/>
          <w:lang w:val="en-CA"/>
        </w:rPr>
        <w:t>Almerico</w:t>
      </w:r>
      <w:proofErr w:type="spellEnd"/>
      <w:r w:rsidRPr="00AA0920">
        <w:rPr>
          <w:rFonts w:cstheme="minorHAnsi"/>
          <w:i/>
          <w:iCs/>
          <w:sz w:val="24"/>
          <w:szCs w:val="24"/>
          <w:lang w:val="en-CA"/>
        </w:rPr>
        <w:t xml:space="preserve"> et al. v. State of Idaho et al)</w:t>
      </w:r>
      <w:r w:rsidRPr="00AA0920">
        <w:rPr>
          <w:rFonts w:cstheme="minorHAnsi"/>
          <w:sz w:val="24"/>
          <w:szCs w:val="24"/>
          <w:vertAlign w:val="superscript"/>
          <w:lang w:val="en-CA"/>
        </w:rPr>
        <w:footnoteReference w:id="26"/>
      </w:r>
      <w:r w:rsidRPr="00AA0920">
        <w:rPr>
          <w:rFonts w:cstheme="minorHAnsi"/>
          <w:i/>
          <w:iCs/>
          <w:sz w:val="24"/>
          <w:szCs w:val="24"/>
          <w:lang w:val="en-CA"/>
        </w:rPr>
        <w:t xml:space="preserve"> </w:t>
      </w:r>
      <w:r w:rsidRPr="00AA0920">
        <w:rPr>
          <w:rFonts w:cstheme="minorHAnsi"/>
          <w:sz w:val="24"/>
          <w:szCs w:val="24"/>
          <w:lang w:val="en-CA"/>
        </w:rPr>
        <w:t>though it rests on constitutional rights found in the First, Fourteen and Fifteen Amendments and case law</w:t>
      </w:r>
      <w:r w:rsidRPr="00AA0920">
        <w:rPr>
          <w:rFonts w:cstheme="minorHAnsi"/>
          <w:sz w:val="24"/>
          <w:szCs w:val="24"/>
          <w:vertAlign w:val="superscript"/>
          <w:lang w:val="en-CA"/>
        </w:rPr>
        <w:footnoteReference w:id="27"/>
      </w:r>
      <w:r w:rsidRPr="00AA0920">
        <w:rPr>
          <w:rFonts w:cstheme="minorHAnsi"/>
          <w:sz w:val="24"/>
          <w:szCs w:val="24"/>
          <w:lang w:val="en-CA"/>
        </w:rPr>
        <w:t xml:space="preserve"> subsequently challenged and struck down by </w:t>
      </w:r>
      <w:proofErr w:type="spellStart"/>
      <w:r w:rsidRPr="00AA0920">
        <w:rPr>
          <w:rFonts w:cstheme="minorHAnsi"/>
          <w:i/>
          <w:iCs/>
          <w:sz w:val="24"/>
          <w:szCs w:val="24"/>
          <w:lang w:val="en-CA"/>
        </w:rPr>
        <w:t>Dodds</w:t>
      </w:r>
      <w:proofErr w:type="spellEnd"/>
      <w:r w:rsidRPr="00AA0920">
        <w:rPr>
          <w:rFonts w:cstheme="minorHAnsi"/>
          <w:sz w:val="24"/>
          <w:szCs w:val="24"/>
          <w:lang w:val="en-CA"/>
        </w:rPr>
        <w:t>.</w:t>
      </w:r>
    </w:p>
    <w:p w14:paraId="6F92BE5F" w14:textId="77777777" w:rsidR="00AA0920" w:rsidRPr="00AA0920" w:rsidRDefault="00AA0920" w:rsidP="00AA0920">
      <w:pPr>
        <w:spacing w:line="360" w:lineRule="auto"/>
        <w:rPr>
          <w:rFonts w:cstheme="minorHAnsi"/>
          <w:sz w:val="24"/>
          <w:szCs w:val="24"/>
          <w:lang w:val="en-CA"/>
        </w:rPr>
      </w:pPr>
    </w:p>
    <w:p w14:paraId="6B9E43C3" w14:textId="77777777" w:rsidR="00AA0920" w:rsidRPr="00AA0920" w:rsidRDefault="00AA0920" w:rsidP="00AA0920">
      <w:pPr>
        <w:spacing w:line="360" w:lineRule="auto"/>
        <w:rPr>
          <w:rFonts w:cstheme="minorHAnsi"/>
          <w:sz w:val="24"/>
          <w:szCs w:val="24"/>
          <w:lang w:val="en-CA"/>
        </w:rPr>
      </w:pPr>
      <w:r w:rsidRPr="00AA0920">
        <w:rPr>
          <w:rFonts w:cstheme="minorHAnsi"/>
          <w:sz w:val="24"/>
          <w:szCs w:val="24"/>
          <w:lang w:val="en-CA"/>
        </w:rPr>
        <w:t xml:space="preserve">With the reversal of </w:t>
      </w:r>
      <w:r w:rsidRPr="00AA0920">
        <w:rPr>
          <w:rFonts w:cstheme="minorHAnsi"/>
          <w:i/>
          <w:iCs/>
          <w:sz w:val="24"/>
          <w:szCs w:val="24"/>
          <w:lang w:val="en-CA"/>
        </w:rPr>
        <w:t>Roe v Wade,</w:t>
      </w:r>
      <w:r w:rsidRPr="00AA0920">
        <w:rPr>
          <w:rFonts w:cstheme="minorHAnsi"/>
          <w:i/>
          <w:iCs/>
          <w:sz w:val="24"/>
          <w:szCs w:val="24"/>
          <w:vertAlign w:val="superscript"/>
          <w:lang w:val="en-CA"/>
        </w:rPr>
        <w:footnoteReference w:id="28"/>
      </w:r>
      <w:r w:rsidRPr="00AA0920">
        <w:rPr>
          <w:rFonts w:cstheme="minorHAnsi"/>
          <w:sz w:val="24"/>
          <w:szCs w:val="24"/>
          <w:lang w:val="en-CA"/>
        </w:rPr>
        <w:t xml:space="preserve"> the constitutionality of </w:t>
      </w:r>
      <w:proofErr w:type="spellStart"/>
      <w:r w:rsidRPr="00AA0920">
        <w:rPr>
          <w:rFonts w:cstheme="minorHAnsi"/>
          <w:i/>
          <w:iCs/>
          <w:sz w:val="24"/>
          <w:szCs w:val="24"/>
          <w:lang w:val="en-CA"/>
        </w:rPr>
        <w:t>Almerico</w:t>
      </w:r>
      <w:proofErr w:type="spellEnd"/>
      <w:r w:rsidRPr="00AA0920">
        <w:rPr>
          <w:rFonts w:cstheme="minorHAnsi"/>
          <w:i/>
          <w:iCs/>
          <w:sz w:val="24"/>
          <w:szCs w:val="24"/>
          <w:lang w:val="en-CA"/>
        </w:rPr>
        <w:t xml:space="preserve"> et al. v. State of Idaho et al.</w:t>
      </w:r>
      <w:r w:rsidRPr="00AA0920">
        <w:rPr>
          <w:rFonts w:cstheme="minorHAnsi"/>
          <w:sz w:val="24"/>
          <w:szCs w:val="24"/>
          <w:lang w:val="en-CA"/>
        </w:rPr>
        <w:t xml:space="preserve"> enabling pregnant women to make healthcare decisions stands in jeopardy.  Moreover, the ability of US states to dictate medical treatment now extends to all persons with a uterus, regardless of their pregnancy status. </w:t>
      </w:r>
      <w:proofErr w:type="spellStart"/>
      <w:r w:rsidRPr="00AA0920">
        <w:rPr>
          <w:rFonts w:cstheme="minorHAnsi"/>
          <w:i/>
          <w:iCs/>
          <w:sz w:val="24"/>
          <w:szCs w:val="24"/>
          <w:lang w:val="en-CA"/>
        </w:rPr>
        <w:t>Dodds</w:t>
      </w:r>
      <w:proofErr w:type="spellEnd"/>
      <w:r w:rsidRPr="00AA0920">
        <w:rPr>
          <w:rFonts w:cstheme="minorHAnsi"/>
          <w:sz w:val="24"/>
          <w:szCs w:val="24"/>
          <w:lang w:val="en-CA"/>
        </w:rPr>
        <w:t xml:space="preserve"> is broadly drafted such that in many US states, women with autoimmune diseases or cancer risk being refused medications and treatments designed to address their illnesses as the prescribed drugs and chemotherapy might damage a developing foetus or result in a miscarriage.</w:t>
      </w:r>
      <w:r w:rsidRPr="00AA0920">
        <w:rPr>
          <w:rFonts w:cstheme="minorHAnsi"/>
          <w:sz w:val="24"/>
          <w:szCs w:val="24"/>
          <w:vertAlign w:val="superscript"/>
          <w:lang w:val="en-CA"/>
        </w:rPr>
        <w:footnoteReference w:id="29"/>
      </w:r>
      <w:r w:rsidRPr="00AA0920">
        <w:rPr>
          <w:rFonts w:cstheme="minorHAnsi"/>
          <w:sz w:val="24"/>
          <w:szCs w:val="24"/>
          <w:lang w:val="en-CA"/>
        </w:rPr>
        <w:t xml:space="preserve"> </w:t>
      </w:r>
    </w:p>
    <w:p w14:paraId="319A766B" w14:textId="77777777" w:rsidR="00AA0920" w:rsidRPr="00AA0920" w:rsidRDefault="00AA0920" w:rsidP="00AA0920">
      <w:pPr>
        <w:spacing w:line="360" w:lineRule="auto"/>
        <w:rPr>
          <w:rFonts w:cstheme="minorHAnsi"/>
          <w:sz w:val="24"/>
          <w:szCs w:val="24"/>
          <w:lang w:val="en-CA"/>
        </w:rPr>
      </w:pPr>
    </w:p>
    <w:p w14:paraId="0DBDB3FA" w14:textId="77777777" w:rsidR="00AA0920" w:rsidRPr="00AA0920" w:rsidRDefault="00AA0920" w:rsidP="00AA0920">
      <w:pPr>
        <w:spacing w:line="360" w:lineRule="auto"/>
        <w:rPr>
          <w:rFonts w:cstheme="minorHAnsi"/>
          <w:sz w:val="24"/>
          <w:szCs w:val="24"/>
          <w:lang w:val="en-CA"/>
        </w:rPr>
      </w:pPr>
      <w:r w:rsidRPr="00AA0920">
        <w:rPr>
          <w:rFonts w:cstheme="minorHAnsi"/>
          <w:sz w:val="24"/>
          <w:szCs w:val="24"/>
          <w:lang w:val="en-CA"/>
        </w:rPr>
        <w:t xml:space="preserve">Not only does </w:t>
      </w:r>
      <w:proofErr w:type="spellStart"/>
      <w:r w:rsidRPr="00AA0920">
        <w:rPr>
          <w:rFonts w:cstheme="minorHAnsi"/>
          <w:i/>
          <w:iCs/>
          <w:sz w:val="24"/>
          <w:szCs w:val="24"/>
          <w:lang w:val="en-CA"/>
        </w:rPr>
        <w:t>Dodds</w:t>
      </w:r>
      <w:proofErr w:type="spellEnd"/>
      <w:r w:rsidRPr="00AA0920">
        <w:rPr>
          <w:rFonts w:cstheme="minorHAnsi"/>
          <w:i/>
          <w:iCs/>
          <w:sz w:val="24"/>
          <w:szCs w:val="24"/>
          <w:lang w:val="en-CA"/>
        </w:rPr>
        <w:t xml:space="preserve"> </w:t>
      </w:r>
      <w:r w:rsidRPr="00AA0920">
        <w:rPr>
          <w:rFonts w:cstheme="minorHAnsi"/>
          <w:sz w:val="24"/>
          <w:szCs w:val="24"/>
          <w:lang w:val="en-CA"/>
        </w:rPr>
        <w:t xml:space="preserve">remove autonomous medical decision-making from over half of the US population, </w:t>
      </w:r>
      <w:proofErr w:type="gramStart"/>
      <w:r w:rsidRPr="00AA0920">
        <w:rPr>
          <w:rFonts w:cstheme="minorHAnsi"/>
          <w:sz w:val="24"/>
          <w:szCs w:val="24"/>
          <w:lang w:val="en-CA"/>
        </w:rPr>
        <w:t>uterus</w:t>
      </w:r>
      <w:proofErr w:type="gramEnd"/>
      <w:r w:rsidRPr="00AA0920">
        <w:rPr>
          <w:rFonts w:cstheme="minorHAnsi"/>
          <w:sz w:val="24"/>
          <w:szCs w:val="24"/>
          <w:lang w:val="en-CA"/>
        </w:rPr>
        <w:t xml:space="preserve">-containing bodies are simultaneously transformed into non-autonomous pregnant and potentially pregnant beings. For pregnant US women, the prospect of cadaveric gestation has become a reality regardless of potential for foetal viability and irrespective of advance directives, family wishes, or surrogacy contracts that may have been completed.  </w:t>
      </w:r>
    </w:p>
    <w:p w14:paraId="41AE2DC6" w14:textId="77777777" w:rsidR="00AA0920" w:rsidRPr="00AA0920" w:rsidRDefault="00AA0920" w:rsidP="00AA0920">
      <w:pPr>
        <w:spacing w:line="360" w:lineRule="auto"/>
        <w:rPr>
          <w:rFonts w:cstheme="minorHAnsi"/>
          <w:sz w:val="24"/>
          <w:szCs w:val="24"/>
          <w:lang w:val="en-CA"/>
        </w:rPr>
      </w:pPr>
    </w:p>
    <w:p w14:paraId="521EE85C" w14:textId="77777777" w:rsidR="00AA0920" w:rsidRPr="00AA0920" w:rsidRDefault="00AA0920" w:rsidP="00AA0920">
      <w:pPr>
        <w:spacing w:line="360" w:lineRule="auto"/>
        <w:rPr>
          <w:rFonts w:cstheme="minorHAnsi"/>
          <w:sz w:val="24"/>
          <w:szCs w:val="24"/>
          <w:lang w:val="en-CA"/>
        </w:rPr>
      </w:pPr>
      <w:r w:rsidRPr="00AA0920">
        <w:rPr>
          <w:rFonts w:cstheme="minorHAnsi"/>
          <w:sz w:val="24"/>
          <w:szCs w:val="24"/>
          <w:lang w:val="en-CA"/>
        </w:rPr>
        <w:t xml:space="preserve">The implications of past legislative initiatives now affirmed by </w:t>
      </w:r>
      <w:proofErr w:type="spellStart"/>
      <w:r w:rsidRPr="00AA0920">
        <w:rPr>
          <w:rFonts w:cstheme="minorHAnsi"/>
          <w:i/>
          <w:iCs/>
          <w:sz w:val="24"/>
          <w:szCs w:val="24"/>
          <w:lang w:val="en-CA"/>
        </w:rPr>
        <w:t>Dodds</w:t>
      </w:r>
      <w:proofErr w:type="spellEnd"/>
      <w:r w:rsidRPr="00AA0920">
        <w:rPr>
          <w:rFonts w:cstheme="minorHAnsi"/>
          <w:sz w:val="24"/>
          <w:szCs w:val="24"/>
          <w:lang w:val="en-CA"/>
        </w:rPr>
        <w:t xml:space="preserve"> will lead to significant challenges to the definition of death for women, girls, and persons with uteruses. Foetuses have a ‘right-to-life’, but their gestating mother who has no corresponding ‘right-to-death’ or </w:t>
      </w:r>
      <w:r w:rsidRPr="00AA0920">
        <w:rPr>
          <w:rFonts w:cstheme="minorHAnsi"/>
          <w:sz w:val="24"/>
          <w:szCs w:val="24"/>
        </w:rPr>
        <w:t>‘end-of-life care with dignity’ is called upon to make the ultimate sacrifice. U</w:t>
      </w:r>
      <w:r w:rsidRPr="00AA0920">
        <w:rPr>
          <w:rFonts w:cstheme="minorHAnsi"/>
          <w:sz w:val="24"/>
          <w:szCs w:val="24"/>
          <w:lang w:val="en-CA"/>
        </w:rPr>
        <w:t xml:space="preserve">n-wanted cadaveric pregnancies will be a reality, not an exception. </w:t>
      </w:r>
    </w:p>
    <w:p w14:paraId="06C4ECB0" w14:textId="77777777" w:rsidR="00AA0920" w:rsidRPr="00AA0920" w:rsidRDefault="00AA0920" w:rsidP="00AA0920">
      <w:pPr>
        <w:spacing w:line="360" w:lineRule="auto"/>
        <w:rPr>
          <w:rFonts w:cstheme="minorHAnsi"/>
          <w:sz w:val="24"/>
          <w:szCs w:val="24"/>
          <w:lang w:val="en-CA"/>
        </w:rPr>
      </w:pPr>
    </w:p>
    <w:p w14:paraId="4BB8D88E" w14:textId="77777777" w:rsidR="00AA0920" w:rsidRPr="00AA0920" w:rsidRDefault="00AA0920" w:rsidP="00AA0920">
      <w:pPr>
        <w:spacing w:line="360" w:lineRule="auto"/>
        <w:rPr>
          <w:rFonts w:cstheme="minorHAnsi"/>
          <w:sz w:val="24"/>
          <w:szCs w:val="24"/>
          <w:lang w:val="en-CA"/>
        </w:rPr>
      </w:pPr>
      <w:r w:rsidRPr="00AA0920">
        <w:rPr>
          <w:rFonts w:cstheme="minorHAnsi"/>
          <w:sz w:val="24"/>
          <w:szCs w:val="24"/>
          <w:lang w:val="en-CA"/>
        </w:rPr>
        <w:t xml:space="preserve">Nations not recognising foetal legal personhood need to be mindful of attempts taken to weaken autonomous decision-making and of utilitarian arguments advocating for foetal preservation based on a limited number of successful maternal life-support studies.  The fact that a braindead, PVS or comatose pregnant woman has no conscious awareness does not give clinicians, or anyone else, licence to perform unwanted medical procedures irrespective of supposed treatment benefits accruing to a foetus. To do so undermines the very foundation of ethical health care.  </w:t>
      </w:r>
    </w:p>
    <w:p w14:paraId="0D589768" w14:textId="77777777" w:rsidR="00AA0920" w:rsidRPr="00AA0920" w:rsidRDefault="00AA0920" w:rsidP="00AA0920">
      <w:pPr>
        <w:spacing w:line="360" w:lineRule="auto"/>
        <w:rPr>
          <w:rFonts w:cstheme="minorHAnsi"/>
          <w:sz w:val="24"/>
          <w:szCs w:val="24"/>
          <w:lang w:val="en-CA"/>
        </w:rPr>
      </w:pPr>
    </w:p>
    <w:p w14:paraId="2126E514" w14:textId="5ACBBF18" w:rsidR="00420415" w:rsidRPr="00AA0920" w:rsidRDefault="00420415" w:rsidP="00AA0920">
      <w:pPr>
        <w:spacing w:line="360" w:lineRule="auto"/>
        <w:rPr>
          <w:sz w:val="24"/>
          <w:szCs w:val="24"/>
          <w:lang w:val="en-CA"/>
        </w:rPr>
      </w:pPr>
    </w:p>
    <w:sectPr w:rsidR="00420415" w:rsidRPr="00AA0920" w:rsidSect="00C55995">
      <w:headerReference w:type="even" r:id="rId11"/>
      <w:headerReference w:type="default" r:id="rId12"/>
      <w:footerReference w:type="even" r:id="rId13"/>
      <w:footerReference w:type="default" r:id="rId14"/>
      <w:type w:val="continuous"/>
      <w:pgSz w:w="11906" w:h="16838" w:code="9"/>
      <w:pgMar w:top="1440" w:right="1440" w:bottom="1440" w:left="1440" w:header="709" w:footer="7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6EB60" w14:textId="77777777" w:rsidR="00E8783E" w:rsidRDefault="00E8783E">
      <w:r>
        <w:separator/>
      </w:r>
    </w:p>
  </w:endnote>
  <w:endnote w:type="continuationSeparator" w:id="0">
    <w:p w14:paraId="0B90FE29" w14:textId="77777777" w:rsidR="00E8783E" w:rsidRDefault="00E8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610123"/>
      <w:docPartObj>
        <w:docPartGallery w:val="Page Numbers (Bottom of Page)"/>
        <w:docPartUnique/>
      </w:docPartObj>
    </w:sdtPr>
    <w:sdtEndPr>
      <w:rPr>
        <w:noProof/>
        <w:sz w:val="22"/>
        <w:szCs w:val="22"/>
      </w:rPr>
    </w:sdtEndPr>
    <w:sdtContent>
      <w:p w14:paraId="6A829DD9" w14:textId="77777777" w:rsidR="00B9660A" w:rsidRDefault="00B9660A">
        <w:pPr>
          <w:pStyle w:val="Footer"/>
          <w:jc w:val="center"/>
        </w:pPr>
      </w:p>
      <w:p w14:paraId="6FD443B0" w14:textId="31964EFE" w:rsidR="00B9660A" w:rsidRDefault="00B9660A">
        <w:pPr>
          <w:pStyle w:val="Footer"/>
          <w:jc w:val="center"/>
          <w:rPr>
            <w:sz w:val="22"/>
            <w:szCs w:val="22"/>
          </w:rPr>
        </w:pPr>
        <w:r>
          <w:rPr>
            <w:sz w:val="22"/>
            <w:szCs w:val="22"/>
          </w:rPr>
          <w:t>__________________________________________________________________________________</w:t>
        </w:r>
      </w:p>
      <w:p w14:paraId="6E612237" w14:textId="0E0E3953" w:rsidR="00B9660A" w:rsidRDefault="00B9660A">
        <w:pPr>
          <w:pStyle w:val="Footer"/>
          <w:jc w:val="center"/>
          <w:rPr>
            <w:sz w:val="22"/>
            <w:szCs w:val="22"/>
          </w:rPr>
        </w:pPr>
      </w:p>
      <w:p w14:paraId="26F33518" w14:textId="0F647069" w:rsidR="00B9660A" w:rsidRPr="00B9660A" w:rsidRDefault="00B9660A">
        <w:pPr>
          <w:pStyle w:val="Footer"/>
          <w:jc w:val="center"/>
          <w:rPr>
            <w:sz w:val="22"/>
            <w:szCs w:val="22"/>
          </w:rPr>
        </w:pPr>
        <w:r w:rsidRPr="00B9660A">
          <w:rPr>
            <w:sz w:val="22"/>
            <w:szCs w:val="22"/>
          </w:rPr>
          <w:fldChar w:fldCharType="begin"/>
        </w:r>
        <w:r w:rsidRPr="00B9660A">
          <w:rPr>
            <w:sz w:val="22"/>
            <w:szCs w:val="22"/>
          </w:rPr>
          <w:instrText xml:space="preserve"> PAGE   \* MERGEFORMAT </w:instrText>
        </w:r>
        <w:r w:rsidRPr="00B9660A">
          <w:rPr>
            <w:sz w:val="22"/>
            <w:szCs w:val="22"/>
          </w:rPr>
          <w:fldChar w:fldCharType="separate"/>
        </w:r>
        <w:r w:rsidR="008842C7">
          <w:rPr>
            <w:noProof/>
            <w:sz w:val="22"/>
            <w:szCs w:val="22"/>
          </w:rPr>
          <w:t>10</w:t>
        </w:r>
        <w:r w:rsidRPr="00B9660A">
          <w:rPr>
            <w:noProof/>
            <w:sz w:val="22"/>
            <w:szCs w:val="22"/>
          </w:rPr>
          <w:fldChar w:fldCharType="end"/>
        </w:r>
      </w:p>
    </w:sdtContent>
  </w:sdt>
  <w:p w14:paraId="09A01368" w14:textId="77777777" w:rsidR="0064571A" w:rsidRDefault="00645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39643"/>
      <w:docPartObj>
        <w:docPartGallery w:val="Page Numbers (Bottom of Page)"/>
        <w:docPartUnique/>
      </w:docPartObj>
    </w:sdtPr>
    <w:sdtEndPr>
      <w:rPr>
        <w:noProof/>
      </w:rPr>
    </w:sdtEndPr>
    <w:sdtContent>
      <w:p w14:paraId="71B972F3" w14:textId="77777777" w:rsidR="00B9660A" w:rsidRDefault="00B9660A">
        <w:pPr>
          <w:pStyle w:val="Footer"/>
          <w:jc w:val="center"/>
        </w:pPr>
      </w:p>
      <w:p w14:paraId="7A5A9129" w14:textId="7B208FA5" w:rsidR="00B9660A" w:rsidRDefault="00B9660A">
        <w:pPr>
          <w:pStyle w:val="Footer"/>
          <w:jc w:val="center"/>
          <w:rPr>
            <w:sz w:val="22"/>
            <w:szCs w:val="22"/>
          </w:rPr>
        </w:pPr>
        <w:r>
          <w:rPr>
            <w:sz w:val="22"/>
            <w:szCs w:val="22"/>
          </w:rPr>
          <w:t>__________________________________________________________________________________</w:t>
        </w:r>
      </w:p>
      <w:p w14:paraId="2B339CA9" w14:textId="1B6B8DEE" w:rsidR="00B9660A" w:rsidRDefault="00B9660A">
        <w:pPr>
          <w:pStyle w:val="Footer"/>
          <w:jc w:val="center"/>
          <w:rPr>
            <w:sz w:val="22"/>
            <w:szCs w:val="22"/>
          </w:rPr>
        </w:pPr>
      </w:p>
      <w:p w14:paraId="2E2B8269" w14:textId="267B207B" w:rsidR="0064571A" w:rsidRDefault="0064571A">
        <w:pPr>
          <w:pStyle w:val="Footer"/>
          <w:jc w:val="center"/>
        </w:pPr>
        <w:r w:rsidRPr="0064571A">
          <w:rPr>
            <w:sz w:val="22"/>
            <w:szCs w:val="22"/>
          </w:rPr>
          <w:fldChar w:fldCharType="begin"/>
        </w:r>
        <w:r w:rsidRPr="0064571A">
          <w:rPr>
            <w:sz w:val="22"/>
            <w:szCs w:val="22"/>
          </w:rPr>
          <w:instrText xml:space="preserve"> PAGE   \* MERGEFORMAT </w:instrText>
        </w:r>
        <w:r w:rsidRPr="0064571A">
          <w:rPr>
            <w:sz w:val="22"/>
            <w:szCs w:val="22"/>
          </w:rPr>
          <w:fldChar w:fldCharType="separate"/>
        </w:r>
        <w:r w:rsidR="008842C7">
          <w:rPr>
            <w:noProof/>
            <w:sz w:val="22"/>
            <w:szCs w:val="22"/>
          </w:rPr>
          <w:t>11</w:t>
        </w:r>
        <w:r w:rsidRPr="0064571A">
          <w:rPr>
            <w:noProof/>
            <w:sz w:val="22"/>
            <w:szCs w:val="22"/>
          </w:rPr>
          <w:fldChar w:fldCharType="end"/>
        </w:r>
      </w:p>
    </w:sdtContent>
  </w:sdt>
  <w:p w14:paraId="38CB094F" w14:textId="77777777" w:rsidR="0064571A" w:rsidRDefault="00645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48BF6" w14:textId="77777777" w:rsidR="00E8783E" w:rsidRDefault="00E8783E">
      <w:r>
        <w:separator/>
      </w:r>
    </w:p>
  </w:footnote>
  <w:footnote w:type="continuationSeparator" w:id="0">
    <w:p w14:paraId="045D1127" w14:textId="77777777" w:rsidR="00E8783E" w:rsidRDefault="00E8783E">
      <w:r>
        <w:continuationSeparator/>
      </w:r>
    </w:p>
  </w:footnote>
  <w:footnote w:id="1">
    <w:p w14:paraId="00B8BC3F" w14:textId="77777777" w:rsidR="00AA0920" w:rsidRPr="00392040" w:rsidRDefault="00AA0920" w:rsidP="00AA0920">
      <w:pPr>
        <w:pStyle w:val="FootnoteText"/>
        <w:rPr>
          <w:lang w:val="en-GB"/>
        </w:rPr>
      </w:pPr>
      <w:r>
        <w:rPr>
          <w:rStyle w:val="FootnoteReference"/>
          <w:rFonts w:eastAsiaTheme="majorEastAsia"/>
        </w:rPr>
        <w:footnoteRef/>
      </w:r>
      <w:r>
        <w:t xml:space="preserve"> Pamela M. White, LLM, PhD, Senior Lecturer in Medical Law, Kent Law School, University of Kent. Email: </w:t>
      </w:r>
      <w:hyperlink r:id="rId1" w:history="1">
        <w:r w:rsidRPr="00392040">
          <w:rPr>
            <w:rStyle w:val="Hyperlink"/>
          </w:rPr>
          <w:t>p.white-229@kent.ac.uk</w:t>
        </w:r>
      </w:hyperlink>
      <w:r>
        <w:t>.</w:t>
      </w:r>
    </w:p>
  </w:footnote>
  <w:footnote w:id="2">
    <w:p w14:paraId="1AB51FC4" w14:textId="77777777" w:rsidR="00AA0920" w:rsidRPr="006D1A8F" w:rsidRDefault="00AA0920" w:rsidP="00AA0920">
      <w:pPr>
        <w:rPr>
          <w:rFonts w:asciiTheme="minorHAnsi" w:hAnsiTheme="minorHAnsi" w:cstheme="minorHAnsi"/>
        </w:rPr>
      </w:pPr>
      <w:r w:rsidRPr="006D1A8F">
        <w:rPr>
          <w:rStyle w:val="FootnoteReference"/>
          <w:rFonts w:asciiTheme="minorHAnsi" w:eastAsiaTheme="majorEastAsia" w:hAnsiTheme="minorHAnsi" w:cstheme="minorHAnsi"/>
        </w:rPr>
        <w:footnoteRef/>
      </w:r>
      <w:r w:rsidRPr="006D1A8F">
        <w:rPr>
          <w:rFonts w:asciiTheme="minorHAnsi" w:hAnsiTheme="minorHAnsi" w:cstheme="minorHAnsi"/>
        </w:rPr>
        <w:t xml:space="preserve"> </w:t>
      </w:r>
      <w:r w:rsidRPr="006D1A8F">
        <w:rPr>
          <w:rFonts w:asciiTheme="minorHAnsi" w:hAnsiTheme="minorHAnsi" w:cstheme="minorHAnsi"/>
          <w:i/>
          <w:iCs/>
          <w:color w:val="202124"/>
          <w:shd w:val="clear" w:color="auto" w:fill="FFFFFF"/>
        </w:rPr>
        <w:t>Dobbs v. Jackson Women's Health Organization</w:t>
      </w:r>
      <w:r w:rsidRPr="006D1A8F">
        <w:rPr>
          <w:rFonts w:asciiTheme="minorHAnsi" w:hAnsiTheme="minorHAnsi" w:cstheme="minorHAnsi"/>
          <w:color w:val="202124"/>
          <w:shd w:val="clear" w:color="auto" w:fill="FFFFFF"/>
        </w:rPr>
        <w:t>, No. 19-1392, 597 U.S. ___ (2022)</w:t>
      </w:r>
    </w:p>
  </w:footnote>
  <w:footnote w:id="3">
    <w:p w14:paraId="31905169" w14:textId="77777777" w:rsidR="00AA0920" w:rsidRPr="006D1A8F" w:rsidRDefault="00AA0920" w:rsidP="00AA0920">
      <w:pPr>
        <w:pStyle w:val="FootnoteText"/>
        <w:rPr>
          <w:rFonts w:cstheme="minorHAnsi"/>
        </w:rPr>
      </w:pPr>
      <w:r w:rsidRPr="006D1A8F">
        <w:rPr>
          <w:rStyle w:val="FootnoteReference"/>
          <w:rFonts w:eastAsiaTheme="majorEastAsia" w:cstheme="minorHAnsi"/>
        </w:rPr>
        <w:footnoteRef/>
      </w:r>
      <w:r w:rsidRPr="006D1A8F">
        <w:rPr>
          <w:rFonts w:cstheme="minorHAnsi"/>
        </w:rPr>
        <w:t xml:space="preserve"> Use of state trigger laws. See Guttmacher.org State legislation tracker. </w:t>
      </w:r>
      <w:hyperlink r:id="rId2" w:history="1">
        <w:r w:rsidRPr="006D1A8F">
          <w:rPr>
            <w:rStyle w:val="Hyperlink"/>
            <w:rFonts w:cstheme="minorHAnsi"/>
          </w:rPr>
          <w:t>https://www.guttmacher.org/state-policy</w:t>
        </w:r>
      </w:hyperlink>
      <w:r w:rsidRPr="006D1A8F">
        <w:rPr>
          <w:rFonts w:cstheme="minorHAnsi"/>
        </w:rPr>
        <w:t xml:space="preserve"> </w:t>
      </w:r>
    </w:p>
  </w:footnote>
  <w:footnote w:id="4">
    <w:p w14:paraId="088FED42" w14:textId="0018DD61" w:rsidR="00AA0920" w:rsidRPr="006D1A8F" w:rsidRDefault="00AA0920" w:rsidP="00AA0920">
      <w:pPr>
        <w:pStyle w:val="FootnoteText"/>
        <w:rPr>
          <w:rFonts w:cstheme="minorHAnsi"/>
        </w:rPr>
      </w:pPr>
      <w:r w:rsidRPr="006D1A8F">
        <w:rPr>
          <w:rStyle w:val="FootnoteReference"/>
          <w:rFonts w:eastAsiaTheme="majorEastAsia" w:cstheme="minorHAnsi"/>
        </w:rPr>
        <w:footnoteRef/>
      </w:r>
      <w:r w:rsidRPr="006D1A8F">
        <w:rPr>
          <w:rFonts w:cstheme="minorHAnsi"/>
        </w:rPr>
        <w:t xml:space="preserve"> ES </w:t>
      </w:r>
      <w:proofErr w:type="spellStart"/>
      <w:r w:rsidRPr="006D1A8F">
        <w:rPr>
          <w:rFonts w:cstheme="minorHAnsi"/>
        </w:rPr>
        <w:t>DeMartino</w:t>
      </w:r>
      <w:proofErr w:type="spellEnd"/>
      <w:r w:rsidRPr="006D1A8F">
        <w:rPr>
          <w:rFonts w:cstheme="minorHAnsi"/>
        </w:rPr>
        <w:t xml:space="preserve">, BP Sperry &amp; CK Doyle “US State Regulations of Decisions for Pregnant Women Without Decisional Capacity’ </w:t>
      </w:r>
      <w:r w:rsidRPr="006D1A8F">
        <w:rPr>
          <w:rFonts w:cstheme="minorHAnsi"/>
          <w:i/>
        </w:rPr>
        <w:t xml:space="preserve">JAMA 2019 </w:t>
      </w:r>
      <w:r w:rsidRPr="006D1A8F">
        <w:rPr>
          <w:rFonts w:cstheme="minorHAnsi"/>
        </w:rPr>
        <w:t>321(16) 1629-1631 at 1630. See Flanagan at n</w:t>
      </w:r>
      <w:r>
        <w:rPr>
          <w:rFonts w:cstheme="minorHAnsi"/>
        </w:rPr>
        <w:t>6</w:t>
      </w:r>
      <w:r w:rsidRPr="006D1A8F">
        <w:rPr>
          <w:rFonts w:cstheme="minorHAnsi"/>
        </w:rPr>
        <w:t xml:space="preserve"> for an update on figures.</w:t>
      </w:r>
    </w:p>
  </w:footnote>
  <w:footnote w:id="5">
    <w:p w14:paraId="148DB4BA" w14:textId="77777777" w:rsidR="00AA0920" w:rsidRPr="006D1A8F" w:rsidRDefault="00AA0920" w:rsidP="00AA0920">
      <w:pPr>
        <w:pStyle w:val="FootnoteText"/>
        <w:rPr>
          <w:rFonts w:cstheme="minorHAnsi"/>
          <w:i/>
          <w:iCs/>
        </w:rPr>
      </w:pPr>
      <w:r w:rsidRPr="006D1A8F">
        <w:rPr>
          <w:rStyle w:val="FootnoteReference"/>
          <w:rFonts w:eastAsiaTheme="majorEastAsia" w:cstheme="minorHAnsi"/>
        </w:rPr>
        <w:footnoteRef/>
      </w:r>
      <w:r w:rsidRPr="006D1A8F">
        <w:rPr>
          <w:rFonts w:cstheme="minorHAnsi"/>
        </w:rPr>
        <w:t xml:space="preserve"> 1985 </w:t>
      </w:r>
      <w:r w:rsidRPr="006D1A8F">
        <w:rPr>
          <w:rFonts w:cstheme="minorHAnsi"/>
          <w:i/>
          <w:iCs/>
        </w:rPr>
        <w:t>Uniform Rights of the Terminally Ill Act (URTIA).</w:t>
      </w:r>
    </w:p>
  </w:footnote>
  <w:footnote w:id="6">
    <w:p w14:paraId="1B5AFC72" w14:textId="77777777" w:rsidR="00AA0920" w:rsidRPr="006D1A8F" w:rsidRDefault="00AA0920" w:rsidP="00AA0920">
      <w:pPr>
        <w:pStyle w:val="FootnoteText"/>
        <w:rPr>
          <w:rFonts w:cstheme="minorHAnsi"/>
        </w:rPr>
      </w:pPr>
      <w:r w:rsidRPr="006D1A8F">
        <w:rPr>
          <w:rStyle w:val="FootnoteReference"/>
          <w:rFonts w:eastAsiaTheme="majorEastAsia" w:cstheme="minorHAnsi"/>
        </w:rPr>
        <w:footnoteRef/>
      </w:r>
      <w:r w:rsidRPr="006D1A8F">
        <w:rPr>
          <w:rFonts w:cstheme="minorHAnsi"/>
        </w:rPr>
        <w:t xml:space="preserve"> Shea Flanagan, ‘Decisions in the Dark: Why Pregnancy Exclusion Statutes are unconstitutional and unethical’ </w:t>
      </w:r>
      <w:r w:rsidRPr="006D1A8F">
        <w:rPr>
          <w:rFonts w:cstheme="minorHAnsi"/>
          <w:i/>
          <w:iCs/>
        </w:rPr>
        <w:t>Northwestern University Law Review</w:t>
      </w:r>
      <w:r w:rsidRPr="006D1A8F">
        <w:rPr>
          <w:rFonts w:cstheme="minorHAnsi"/>
        </w:rPr>
        <w:t>. 2020 114:969</w:t>
      </w:r>
    </w:p>
  </w:footnote>
  <w:footnote w:id="7">
    <w:p w14:paraId="0C934FB9" w14:textId="77777777" w:rsidR="00AA0920" w:rsidRPr="006D1A8F" w:rsidRDefault="00AA0920" w:rsidP="00AA0920">
      <w:pPr>
        <w:pStyle w:val="FootnoteText"/>
        <w:rPr>
          <w:rFonts w:cstheme="minorHAnsi"/>
        </w:rPr>
      </w:pPr>
      <w:r w:rsidRPr="006D1A8F">
        <w:rPr>
          <w:rStyle w:val="FootnoteReference"/>
          <w:rFonts w:eastAsiaTheme="majorEastAsia" w:cstheme="minorHAnsi"/>
        </w:rPr>
        <w:footnoteRef/>
      </w:r>
      <w:r w:rsidRPr="006D1A8F">
        <w:rPr>
          <w:rFonts w:cstheme="minorHAnsi"/>
        </w:rPr>
        <w:t xml:space="preserve"> New Jersey has </w:t>
      </w:r>
      <w:proofErr w:type="spellStart"/>
      <w:r w:rsidRPr="006D1A8F">
        <w:rPr>
          <w:rFonts w:cstheme="minorHAnsi"/>
        </w:rPr>
        <w:t>legalised</w:t>
      </w:r>
      <w:proofErr w:type="spellEnd"/>
      <w:r w:rsidRPr="006D1A8F">
        <w:rPr>
          <w:rFonts w:cstheme="minorHAnsi"/>
        </w:rPr>
        <w:t xml:space="preserve"> religious definitions of death.  </w:t>
      </w:r>
    </w:p>
  </w:footnote>
  <w:footnote w:id="8">
    <w:p w14:paraId="0A66296D" w14:textId="77777777" w:rsidR="00AA0920" w:rsidRPr="006D1A8F" w:rsidRDefault="00AA0920" w:rsidP="00AA0920">
      <w:pPr>
        <w:pStyle w:val="FootnoteText"/>
        <w:rPr>
          <w:rFonts w:cstheme="minorHAnsi"/>
        </w:rPr>
      </w:pPr>
      <w:r w:rsidRPr="006D1A8F">
        <w:rPr>
          <w:rStyle w:val="FootnoteReference"/>
          <w:rFonts w:eastAsiaTheme="majorEastAsia" w:cstheme="minorHAnsi"/>
        </w:rPr>
        <w:footnoteRef/>
      </w:r>
      <w:r w:rsidRPr="006D1A8F">
        <w:rPr>
          <w:rFonts w:cstheme="minorHAnsi"/>
        </w:rPr>
        <w:t xml:space="preserve"> Ariane Lewis, David Greer. ‘Medicolegal Complications of </w:t>
      </w:r>
      <w:proofErr w:type="spellStart"/>
      <w:r w:rsidRPr="006D1A8F">
        <w:rPr>
          <w:rFonts w:cstheme="minorHAnsi"/>
        </w:rPr>
        <w:t>Apnoea</w:t>
      </w:r>
      <w:proofErr w:type="spellEnd"/>
      <w:r w:rsidRPr="006D1A8F">
        <w:rPr>
          <w:rFonts w:cstheme="minorHAnsi"/>
        </w:rPr>
        <w:t xml:space="preserve"> Testing for the Determination of Brain Death. </w:t>
      </w:r>
      <w:r w:rsidRPr="006D1A8F">
        <w:rPr>
          <w:rFonts w:cstheme="minorHAnsi"/>
          <w:i/>
        </w:rPr>
        <w:t>Bioethical Inquiry</w:t>
      </w:r>
      <w:r w:rsidRPr="006D1A8F">
        <w:rPr>
          <w:rFonts w:cstheme="minorHAnsi"/>
        </w:rPr>
        <w:t xml:space="preserve">. 2018. 15. 417-428. </w:t>
      </w:r>
    </w:p>
  </w:footnote>
  <w:footnote w:id="9">
    <w:p w14:paraId="0C4FFD70" w14:textId="77777777" w:rsidR="00AA0920" w:rsidRPr="006D1A8F" w:rsidRDefault="00AA0920" w:rsidP="00AA0920">
      <w:pPr>
        <w:pStyle w:val="FootnoteText"/>
        <w:rPr>
          <w:rFonts w:cstheme="minorHAnsi"/>
        </w:rPr>
      </w:pPr>
      <w:r w:rsidRPr="006D1A8F">
        <w:rPr>
          <w:rStyle w:val="FootnoteReference"/>
          <w:rFonts w:eastAsiaTheme="majorEastAsia" w:cstheme="minorHAnsi"/>
        </w:rPr>
        <w:footnoteRef/>
      </w:r>
      <w:r w:rsidRPr="006D1A8F">
        <w:rPr>
          <w:rFonts w:cstheme="minorHAnsi"/>
        </w:rPr>
        <w:t xml:space="preserve"> </w:t>
      </w:r>
      <w:r w:rsidRPr="006D1A8F">
        <w:rPr>
          <w:rFonts w:cstheme="minorHAnsi"/>
          <w:color w:val="131413"/>
        </w:rPr>
        <w:t xml:space="preserve">See: </w:t>
      </w:r>
      <w:r w:rsidRPr="006D1A8F">
        <w:rPr>
          <w:rFonts w:cstheme="minorHAnsi"/>
          <w:color w:val="111111"/>
        </w:rPr>
        <w:t xml:space="preserve">(Israel Stinson v Children’s Hospital Los Angeles [2016] BS164387; Re Guardianship of Hailu [2015] 361 P.3d 5; McMath v California [2015] No. 3:15-06042 N.D. Cal.; Re Allen Callaway [2016]; Re </w:t>
      </w:r>
      <w:proofErr w:type="spellStart"/>
      <w:r w:rsidRPr="006D1A8F">
        <w:rPr>
          <w:rFonts w:cstheme="minorHAnsi"/>
          <w:color w:val="111111"/>
        </w:rPr>
        <w:t>Mirranda</w:t>
      </w:r>
      <w:proofErr w:type="spellEnd"/>
      <w:r w:rsidRPr="006D1A8F">
        <w:rPr>
          <w:rFonts w:cstheme="minorHAnsi"/>
          <w:color w:val="111111"/>
        </w:rPr>
        <w:t xml:space="preserve"> Grace Lawson [2016]; Brett and Yvonne Shively v Wesley Medical Center and </w:t>
      </w:r>
      <w:proofErr w:type="spellStart"/>
      <w:r w:rsidRPr="006D1A8F">
        <w:rPr>
          <w:rFonts w:cstheme="minorHAnsi"/>
          <w:color w:val="111111"/>
        </w:rPr>
        <w:t>Lindall</w:t>
      </w:r>
      <w:proofErr w:type="spellEnd"/>
      <w:r w:rsidRPr="006D1A8F">
        <w:rPr>
          <w:rFonts w:cstheme="minorHAnsi"/>
          <w:color w:val="111111"/>
        </w:rPr>
        <w:t xml:space="preserve"> Smith [2006]; Alex Pierce v Loma Linda University Medical Center [2016]); Brett and Yvonne Shively v Wesley Medical Center [2006], Court of Appeals of the State of Kansas); Re Allen Callaway [2016] DG-16-08); Re </w:t>
      </w:r>
      <w:proofErr w:type="spellStart"/>
      <w:r w:rsidRPr="006D1A8F">
        <w:rPr>
          <w:rFonts w:cstheme="minorHAnsi"/>
          <w:color w:val="111111"/>
        </w:rPr>
        <w:t>Mirranda</w:t>
      </w:r>
      <w:proofErr w:type="spellEnd"/>
      <w:r w:rsidRPr="006D1A8F">
        <w:rPr>
          <w:rFonts w:cstheme="minorHAnsi"/>
          <w:color w:val="111111"/>
        </w:rPr>
        <w:t xml:space="preserve"> Grace Lawson [2016] CL16-2358;  Alex Pierce, thirteen-years-old (In Alex Pierce v. Loma Linda University Medical Center [2016];</w:t>
      </w:r>
      <w:r w:rsidRPr="006D1A8F">
        <w:rPr>
          <w:rFonts w:cstheme="minorHAnsi"/>
          <w:color w:val="000000"/>
        </w:rPr>
        <w:t xml:space="preserve">Durbin K. Monroe Co parents proposing “Bobby’s Law” in honor of son taken off life support. The Blade. Published 2019. Accessed December 9,2019. </w:t>
      </w:r>
      <w:r w:rsidRPr="006D1A8F">
        <w:rPr>
          <w:rFonts w:cstheme="minorHAnsi"/>
          <w:color w:val="1F3BFF"/>
        </w:rPr>
        <w:t>https://www.toledoblade.com/local/suburbs/2019/12/02/bobbys-law-bobby-reyes-monroecounty-taken-off-life-support-university-ofmichigan/stories/20191202150</w:t>
      </w:r>
    </w:p>
  </w:footnote>
  <w:footnote w:id="10">
    <w:p w14:paraId="73BA660F" w14:textId="77777777" w:rsidR="00AA0920" w:rsidRPr="006D1A8F" w:rsidRDefault="00AA0920" w:rsidP="00AA0920">
      <w:pPr>
        <w:pStyle w:val="FootnoteText"/>
        <w:rPr>
          <w:rFonts w:cstheme="minorHAnsi"/>
          <w:lang w:val="nl-NL"/>
        </w:rPr>
      </w:pPr>
      <w:r w:rsidRPr="006D1A8F">
        <w:rPr>
          <w:rStyle w:val="FootnoteReference"/>
          <w:rFonts w:eastAsiaTheme="majorEastAsia" w:cstheme="minorHAnsi"/>
        </w:rPr>
        <w:footnoteRef/>
      </w:r>
      <w:r w:rsidRPr="006D1A8F">
        <w:rPr>
          <w:rFonts w:cstheme="minorHAnsi"/>
          <w:lang w:val="nl-NL"/>
        </w:rPr>
        <w:t xml:space="preserve"> </w:t>
      </w:r>
      <w:proofErr w:type="spellStart"/>
      <w:r w:rsidRPr="006D1A8F">
        <w:rPr>
          <w:rFonts w:cstheme="minorHAnsi"/>
          <w:i/>
          <w:lang w:val="nl-NL"/>
        </w:rPr>
        <w:t>Morlani</w:t>
      </w:r>
      <w:proofErr w:type="spellEnd"/>
      <w:r w:rsidRPr="006D1A8F">
        <w:rPr>
          <w:rFonts w:cstheme="minorHAnsi"/>
          <w:i/>
          <w:lang w:val="nl-NL"/>
        </w:rPr>
        <w:t xml:space="preserve"> et al v </w:t>
      </w:r>
      <w:proofErr w:type="spellStart"/>
      <w:r w:rsidRPr="006D1A8F">
        <w:rPr>
          <w:rFonts w:cstheme="minorHAnsi"/>
          <w:i/>
          <w:lang w:val="nl-NL"/>
        </w:rPr>
        <w:t>Haddari</w:t>
      </w:r>
      <w:proofErr w:type="spellEnd"/>
      <w:r w:rsidRPr="006D1A8F">
        <w:rPr>
          <w:rFonts w:cstheme="minorHAnsi"/>
          <w:lang w:val="nl-NL"/>
        </w:rPr>
        <w:t xml:space="preserve"> 2021 ONSC 7288.</w:t>
      </w:r>
    </w:p>
  </w:footnote>
  <w:footnote w:id="11">
    <w:p w14:paraId="50EA4C61" w14:textId="77777777" w:rsidR="00AA0920" w:rsidRPr="006D1A8F" w:rsidRDefault="00AA0920" w:rsidP="00AA0920">
      <w:pPr>
        <w:pStyle w:val="Heading1"/>
        <w:spacing w:before="0"/>
        <w:rPr>
          <w:rFonts w:asciiTheme="minorHAnsi" w:hAnsiTheme="minorHAnsi" w:cstheme="minorHAnsi"/>
          <w:b w:val="0"/>
          <w:bCs/>
          <w:color w:val="441670"/>
          <w:sz w:val="20"/>
          <w:szCs w:val="20"/>
        </w:rPr>
      </w:pPr>
      <w:r w:rsidRPr="006D1A8F">
        <w:rPr>
          <w:rStyle w:val="FootnoteReference"/>
          <w:rFonts w:asciiTheme="minorHAnsi" w:eastAsiaTheme="majorEastAsia" w:hAnsiTheme="minorHAnsi" w:cstheme="minorHAnsi"/>
          <w:sz w:val="20"/>
          <w:szCs w:val="20"/>
        </w:rPr>
        <w:footnoteRef/>
      </w:r>
      <w:r w:rsidRPr="006D1A8F">
        <w:rPr>
          <w:rFonts w:asciiTheme="minorHAnsi" w:hAnsiTheme="minorHAnsi" w:cstheme="minorHAnsi"/>
          <w:sz w:val="20"/>
          <w:szCs w:val="20"/>
        </w:rPr>
        <w:t xml:space="preserve"> </w:t>
      </w:r>
      <w:r w:rsidRPr="006D1A8F">
        <w:rPr>
          <w:rFonts w:asciiTheme="minorHAnsi" w:hAnsiTheme="minorHAnsi" w:cstheme="minorHAnsi"/>
          <w:b w:val="0"/>
          <w:sz w:val="20"/>
          <w:szCs w:val="20"/>
        </w:rPr>
        <w:t xml:space="preserve">Re M (Declaration of Death of Child) (CA) [2020] 4 WLR 52; </w:t>
      </w:r>
      <w:r w:rsidRPr="006D1A8F">
        <w:rPr>
          <w:rFonts w:asciiTheme="minorHAnsi" w:hAnsiTheme="minorHAnsi" w:cstheme="minorHAnsi"/>
          <w:b w:val="0"/>
          <w:i/>
          <w:iCs/>
          <w:color w:val="441670"/>
          <w:sz w:val="20"/>
          <w:szCs w:val="20"/>
        </w:rPr>
        <w:t xml:space="preserve">Barts Health NHS Trust v Dance &amp; </w:t>
      </w:r>
      <w:proofErr w:type="spellStart"/>
      <w:r w:rsidRPr="006D1A8F">
        <w:rPr>
          <w:rFonts w:asciiTheme="minorHAnsi" w:hAnsiTheme="minorHAnsi" w:cstheme="minorHAnsi"/>
          <w:b w:val="0"/>
          <w:i/>
          <w:iCs/>
          <w:color w:val="441670"/>
          <w:sz w:val="20"/>
          <w:szCs w:val="20"/>
        </w:rPr>
        <w:t>Ors</w:t>
      </w:r>
      <w:proofErr w:type="spellEnd"/>
      <w:r w:rsidRPr="006D1A8F">
        <w:rPr>
          <w:rFonts w:asciiTheme="minorHAnsi" w:hAnsiTheme="minorHAnsi" w:cstheme="minorHAnsi"/>
          <w:b w:val="0"/>
          <w:color w:val="441670"/>
          <w:sz w:val="20"/>
          <w:szCs w:val="20"/>
        </w:rPr>
        <w:t xml:space="preserve"> [2022] EWHC 1435 (Fam) at 75-76 and 99; </w:t>
      </w:r>
      <w:r w:rsidRPr="006D1A8F">
        <w:rPr>
          <w:rFonts w:asciiTheme="minorHAnsi" w:hAnsiTheme="minorHAnsi" w:cstheme="minorHAnsi"/>
          <w:b w:val="0"/>
          <w:i/>
          <w:iCs/>
          <w:color w:val="441670"/>
          <w:sz w:val="20"/>
          <w:szCs w:val="20"/>
        </w:rPr>
        <w:t xml:space="preserve">Barts Health NHS Trust v Dance &amp; </w:t>
      </w:r>
      <w:proofErr w:type="spellStart"/>
      <w:r w:rsidRPr="006D1A8F">
        <w:rPr>
          <w:rFonts w:asciiTheme="minorHAnsi" w:hAnsiTheme="minorHAnsi" w:cstheme="minorHAnsi"/>
          <w:b w:val="0"/>
          <w:i/>
          <w:iCs/>
          <w:color w:val="441670"/>
          <w:sz w:val="20"/>
          <w:szCs w:val="20"/>
        </w:rPr>
        <w:t>Ors</w:t>
      </w:r>
      <w:proofErr w:type="spellEnd"/>
      <w:r w:rsidRPr="006D1A8F">
        <w:rPr>
          <w:rFonts w:asciiTheme="minorHAnsi" w:hAnsiTheme="minorHAnsi" w:cstheme="minorHAnsi"/>
          <w:b w:val="0"/>
          <w:color w:val="441670"/>
          <w:sz w:val="20"/>
          <w:szCs w:val="20"/>
        </w:rPr>
        <w:t xml:space="preserve"> [2022] </w:t>
      </w:r>
      <w:r w:rsidRPr="00AA0920">
        <w:rPr>
          <w:rFonts w:asciiTheme="minorHAnsi" w:eastAsiaTheme="minorHAnsi" w:hAnsiTheme="minorHAnsi" w:cstheme="minorHAnsi"/>
          <w:b w:val="0"/>
          <w:sz w:val="20"/>
          <w:szCs w:val="20"/>
        </w:rPr>
        <w:t xml:space="preserve">[2022] EWFC 80, 2022 WL 02792515 at 2 and 17. </w:t>
      </w:r>
    </w:p>
  </w:footnote>
  <w:footnote w:id="12">
    <w:p w14:paraId="4780F3B0" w14:textId="77777777" w:rsidR="00AA0920" w:rsidRPr="004E2AF7" w:rsidRDefault="00AA0920" w:rsidP="00AA0920">
      <w:pPr>
        <w:pStyle w:val="FootnoteText"/>
        <w:rPr>
          <w:rFonts w:cstheme="minorHAnsi"/>
        </w:rPr>
      </w:pPr>
      <w:r w:rsidRPr="004E2AF7">
        <w:rPr>
          <w:rStyle w:val="FootnoteReference"/>
          <w:rFonts w:eastAsiaTheme="majorEastAsia" w:cstheme="minorHAnsi"/>
        </w:rPr>
        <w:footnoteRef/>
      </w:r>
      <w:r w:rsidRPr="004E2AF7">
        <w:rPr>
          <w:rFonts w:cstheme="minorHAnsi"/>
        </w:rPr>
        <w:t xml:space="preserve"> G </w:t>
      </w:r>
      <w:proofErr w:type="spellStart"/>
      <w:r w:rsidRPr="004E2AF7">
        <w:rPr>
          <w:rFonts w:cstheme="minorHAnsi"/>
        </w:rPr>
        <w:t>Yanke</w:t>
      </w:r>
      <w:proofErr w:type="spellEnd"/>
      <w:r w:rsidRPr="004E2AF7">
        <w:rPr>
          <w:rFonts w:cstheme="minorHAnsi"/>
        </w:rPr>
        <w:t xml:space="preserve">, MY Rady, J </w:t>
      </w:r>
      <w:proofErr w:type="spellStart"/>
      <w:r w:rsidRPr="004E2AF7">
        <w:rPr>
          <w:rFonts w:cstheme="minorHAnsi"/>
        </w:rPr>
        <w:t>Verheijde</w:t>
      </w:r>
      <w:proofErr w:type="spellEnd"/>
      <w:r w:rsidRPr="004E2AF7">
        <w:rPr>
          <w:rFonts w:cstheme="minorHAnsi"/>
        </w:rPr>
        <w:t xml:space="preserve"> and J. McGregor. ‘</w:t>
      </w:r>
      <w:proofErr w:type="spellStart"/>
      <w:r>
        <w:rPr>
          <w:rFonts w:cstheme="minorHAnsi"/>
        </w:rPr>
        <w:t>Apnoea</w:t>
      </w:r>
      <w:proofErr w:type="spellEnd"/>
      <w:r w:rsidRPr="004E2AF7">
        <w:rPr>
          <w:rFonts w:cstheme="minorHAnsi"/>
        </w:rPr>
        <w:t xml:space="preserve"> testing Is Medical Treatment Requiring Informed Consent’ </w:t>
      </w:r>
      <w:r w:rsidRPr="004E2AF7">
        <w:rPr>
          <w:rFonts w:cstheme="minorHAnsi"/>
          <w:i/>
          <w:iCs/>
        </w:rPr>
        <w:t>The American Journal of Bioethics</w:t>
      </w:r>
      <w:r w:rsidRPr="004E2AF7">
        <w:rPr>
          <w:rFonts w:cstheme="minorHAnsi"/>
        </w:rPr>
        <w:t xml:space="preserve"> 2020 20(6) 22-24. AR Joffe, ‘the </w:t>
      </w:r>
      <w:proofErr w:type="spellStart"/>
      <w:r>
        <w:rPr>
          <w:rFonts w:cstheme="minorHAnsi"/>
        </w:rPr>
        <w:t>Apnoea</w:t>
      </w:r>
      <w:proofErr w:type="spellEnd"/>
      <w:r w:rsidRPr="004E2AF7">
        <w:rPr>
          <w:rFonts w:cstheme="minorHAnsi"/>
        </w:rPr>
        <w:t xml:space="preserve"> test: Requiring Consent for a Test that is a Self-Fulling Prophecy, Not fit for Purpose and Always Confound?’ </w:t>
      </w:r>
      <w:r w:rsidRPr="004E2AF7">
        <w:rPr>
          <w:rFonts w:cstheme="minorHAnsi"/>
          <w:i/>
          <w:iCs/>
        </w:rPr>
        <w:t>The American Journal of Bioethics</w:t>
      </w:r>
      <w:r w:rsidRPr="004E2AF7">
        <w:rPr>
          <w:rFonts w:cstheme="minorHAnsi"/>
        </w:rPr>
        <w:t xml:space="preserve"> 2022 2096) 42-44</w:t>
      </w:r>
      <w:r>
        <w:rPr>
          <w:rFonts w:cstheme="minorHAnsi"/>
        </w:rPr>
        <w:t>.</w:t>
      </w:r>
    </w:p>
  </w:footnote>
  <w:footnote w:id="13">
    <w:p w14:paraId="39118799" w14:textId="77777777" w:rsidR="00AA0920" w:rsidRDefault="00AA0920" w:rsidP="00AA0920">
      <w:pPr>
        <w:pStyle w:val="FootnoteText"/>
      </w:pPr>
      <w:r>
        <w:rPr>
          <w:rStyle w:val="FootnoteReference"/>
          <w:rFonts w:eastAsiaTheme="majorEastAsia"/>
        </w:rPr>
        <w:footnoteRef/>
      </w:r>
      <w:r>
        <w:t xml:space="preserve"> </w:t>
      </w:r>
      <w:r w:rsidRPr="00467342">
        <w:t>E</w:t>
      </w:r>
      <w:r>
        <w:t xml:space="preserve"> </w:t>
      </w:r>
      <w:r w:rsidRPr="00467342">
        <w:t xml:space="preserve">Villarreal, </w:t>
      </w:r>
      <w:r w:rsidRPr="00467342">
        <w:rPr>
          <w:i/>
          <w:iCs/>
        </w:rPr>
        <w:t>Pregnancy and Living Wills: A Behavioral Economic Analysis</w:t>
      </w:r>
      <w:r w:rsidRPr="00467342">
        <w:t xml:space="preserve">, </w:t>
      </w:r>
      <w:r>
        <w:t xml:space="preserve">2019 </w:t>
      </w:r>
      <w:r w:rsidRPr="00467342">
        <w:t>128 YALE L.J. F. 1052</w:t>
      </w:r>
      <w:r>
        <w:t>.</w:t>
      </w:r>
    </w:p>
  </w:footnote>
  <w:footnote w:id="14">
    <w:p w14:paraId="708BB832" w14:textId="77777777" w:rsidR="00AA0920" w:rsidRPr="00FC05F8" w:rsidRDefault="00AA0920" w:rsidP="00AA0920">
      <w:pPr>
        <w:pStyle w:val="FootnoteText"/>
        <w:rPr>
          <w:rFonts w:cstheme="minorHAnsi"/>
          <w:lang w:val="en-GB"/>
        </w:rPr>
      </w:pPr>
      <w:r>
        <w:rPr>
          <w:rStyle w:val="FootnoteReference"/>
          <w:rFonts w:eastAsiaTheme="majorEastAsia"/>
        </w:rPr>
        <w:footnoteRef/>
      </w:r>
      <w:r>
        <w:t xml:space="preserve"> </w:t>
      </w:r>
      <w:r w:rsidRPr="00026E80">
        <w:rPr>
          <w:rFonts w:cstheme="minorHAnsi"/>
        </w:rPr>
        <w:t xml:space="preserve">The notion of viability at 14 weeks gestation </w:t>
      </w:r>
      <w:r w:rsidRPr="00026E80">
        <w:rPr>
          <w:rFonts w:cstheme="minorHAnsi"/>
          <w:lang w:val="en-GB"/>
        </w:rPr>
        <w:t xml:space="preserve">does not align with medical understandings of foetal viability commonly thought to be 22-28 </w:t>
      </w:r>
      <w:proofErr w:type="spellStart"/>
      <w:r w:rsidRPr="00026E80">
        <w:rPr>
          <w:rFonts w:cstheme="minorHAnsi"/>
          <w:lang w:val="en-GB"/>
        </w:rPr>
        <w:t>weeks</w:t>
      </w:r>
      <w:proofErr w:type="spellEnd"/>
      <w:r w:rsidRPr="00026E80">
        <w:rPr>
          <w:rFonts w:cstheme="minorHAnsi"/>
          <w:lang w:val="en-GB"/>
        </w:rPr>
        <w:t xml:space="preserve"> gestation and defined as when the </w:t>
      </w:r>
      <w:r w:rsidRPr="00FC05F8">
        <w:rPr>
          <w:rFonts w:cstheme="minorHAnsi"/>
          <w:color w:val="202122"/>
          <w:shd w:val="clear" w:color="auto" w:fill="FFFFFF"/>
        </w:rPr>
        <w:t>The </w:t>
      </w:r>
      <w:r w:rsidRPr="00FC05F8">
        <w:rPr>
          <w:rFonts w:cstheme="minorHAnsi"/>
          <w:color w:val="202122"/>
        </w:rPr>
        <w:t>limit of viability</w:t>
      </w:r>
      <w:r w:rsidRPr="00FC05F8">
        <w:rPr>
          <w:rFonts w:cstheme="minorHAnsi"/>
          <w:color w:val="202122"/>
          <w:shd w:val="clear" w:color="auto" w:fill="FFFFFF"/>
        </w:rPr>
        <w:t> is the </w:t>
      </w:r>
      <w:hyperlink r:id="rId3" w:tooltip="Gestational age (obstetrics)" w:history="1">
        <w:r w:rsidRPr="00FC05F8">
          <w:rPr>
            <w:rStyle w:val="Hyperlink"/>
            <w:rFonts w:cstheme="minorHAnsi"/>
            <w:color w:val="0B0080"/>
          </w:rPr>
          <w:t>gestational age</w:t>
        </w:r>
      </w:hyperlink>
      <w:r w:rsidRPr="00FC05F8">
        <w:rPr>
          <w:rFonts w:cstheme="minorHAnsi"/>
          <w:color w:val="202122"/>
          <w:shd w:val="clear" w:color="auto" w:fill="FFFFFF"/>
        </w:rPr>
        <w:t> at which a </w:t>
      </w:r>
      <w:hyperlink r:id="rId4" w:tooltip="Preterm birth" w:history="1">
        <w:r w:rsidRPr="00FC05F8">
          <w:rPr>
            <w:rStyle w:val="Hyperlink"/>
            <w:rFonts w:cstheme="minorHAnsi"/>
            <w:color w:val="0B0080"/>
          </w:rPr>
          <w:t>prematurely born</w:t>
        </w:r>
      </w:hyperlink>
      <w:r w:rsidRPr="00FC05F8">
        <w:rPr>
          <w:rFonts w:cstheme="minorHAnsi"/>
          <w:color w:val="202122"/>
          <w:shd w:val="clear" w:color="auto" w:fill="FFFFFF"/>
        </w:rPr>
        <w:t> </w:t>
      </w:r>
      <w:hyperlink r:id="rId5" w:tooltip="Fetus" w:history="1">
        <w:r w:rsidRPr="00FC05F8">
          <w:rPr>
            <w:rStyle w:val="Hyperlink"/>
            <w:rFonts w:cstheme="minorHAnsi"/>
            <w:color w:val="0B0080"/>
          </w:rPr>
          <w:t>fetus</w:t>
        </w:r>
      </w:hyperlink>
      <w:r w:rsidRPr="00FC05F8">
        <w:rPr>
          <w:rFonts w:cstheme="minorHAnsi"/>
          <w:color w:val="202122"/>
          <w:shd w:val="clear" w:color="auto" w:fill="FFFFFF"/>
        </w:rPr>
        <w:t>/</w:t>
      </w:r>
      <w:hyperlink r:id="rId6" w:tooltip="Infant" w:history="1">
        <w:r w:rsidRPr="00FC05F8">
          <w:rPr>
            <w:rStyle w:val="Hyperlink"/>
            <w:rFonts w:cstheme="minorHAnsi"/>
            <w:color w:val="0B0080"/>
          </w:rPr>
          <w:t>infant</w:t>
        </w:r>
      </w:hyperlink>
      <w:r w:rsidRPr="00FC05F8">
        <w:rPr>
          <w:rFonts w:cstheme="minorHAnsi"/>
          <w:color w:val="202122"/>
          <w:shd w:val="clear" w:color="auto" w:fill="FFFFFF"/>
        </w:rPr>
        <w:t> has a 50% chance of long-term survival outside its mother's womb.</w:t>
      </w:r>
      <w:r w:rsidRPr="00026E80">
        <w:rPr>
          <w:rFonts w:cstheme="minorHAnsi"/>
          <w:lang w:val="en-GB"/>
        </w:rPr>
        <w:t xml:space="preserve"> See: </w:t>
      </w:r>
      <w:proofErr w:type="spellStart"/>
      <w:r w:rsidRPr="00FC05F8">
        <w:rPr>
          <w:rFonts w:cstheme="minorHAnsi"/>
          <w:color w:val="202122"/>
          <w:shd w:val="clear" w:color="auto" w:fill="FFFFFF"/>
        </w:rPr>
        <w:t>Breborowicz</w:t>
      </w:r>
      <w:proofErr w:type="spellEnd"/>
      <w:r w:rsidRPr="00FC05F8">
        <w:rPr>
          <w:rFonts w:cstheme="minorHAnsi"/>
          <w:color w:val="202122"/>
          <w:shd w:val="clear" w:color="auto" w:fill="FFFFFF"/>
        </w:rPr>
        <w:t xml:space="preserve"> GH (January 2001). "Limits of fetal viability and its enhancement". </w:t>
      </w:r>
      <w:r w:rsidRPr="00FC05F8">
        <w:rPr>
          <w:rFonts w:cstheme="minorHAnsi"/>
          <w:i/>
          <w:iCs/>
          <w:color w:val="202122"/>
        </w:rPr>
        <w:t>Early Pregnancy</w:t>
      </w:r>
      <w:r w:rsidRPr="00FC05F8">
        <w:rPr>
          <w:rFonts w:cstheme="minorHAnsi"/>
          <w:color w:val="202122"/>
          <w:shd w:val="clear" w:color="auto" w:fill="FFFFFF"/>
        </w:rPr>
        <w:t>. </w:t>
      </w:r>
      <w:r w:rsidRPr="00FC05F8">
        <w:rPr>
          <w:rFonts w:cstheme="minorHAnsi"/>
          <w:b/>
          <w:bCs/>
          <w:color w:val="202122"/>
        </w:rPr>
        <w:t>5</w:t>
      </w:r>
      <w:r w:rsidRPr="00FC05F8">
        <w:rPr>
          <w:rFonts w:cstheme="minorHAnsi"/>
          <w:color w:val="202122"/>
          <w:shd w:val="clear" w:color="auto" w:fill="FFFFFF"/>
        </w:rPr>
        <w:t> (1): 49–50.</w:t>
      </w:r>
    </w:p>
  </w:footnote>
  <w:footnote w:id="15">
    <w:p w14:paraId="3B26382C" w14:textId="77777777" w:rsidR="00AA0920" w:rsidRPr="007403E8" w:rsidRDefault="00AA0920" w:rsidP="00AA0920">
      <w:pPr>
        <w:pStyle w:val="FootnoteText"/>
      </w:pPr>
      <w:r w:rsidRPr="007403E8">
        <w:rPr>
          <w:rStyle w:val="FootnoteReference"/>
          <w:rFonts w:eastAsiaTheme="majorEastAsia"/>
        </w:rPr>
        <w:footnoteRef/>
      </w:r>
      <w:r w:rsidRPr="007403E8">
        <w:t xml:space="preserve"> ES </w:t>
      </w:r>
      <w:proofErr w:type="spellStart"/>
      <w:r w:rsidRPr="007403E8">
        <w:t>DeMartino</w:t>
      </w:r>
      <w:proofErr w:type="spellEnd"/>
      <w:r w:rsidRPr="007403E8">
        <w:t xml:space="preserve">, BP Sperry &amp; CK Doyle “US State Regulations of Decisions for Pregnant Women Without Decisional Capacity’ </w:t>
      </w:r>
      <w:r w:rsidRPr="007403E8">
        <w:rPr>
          <w:i/>
        </w:rPr>
        <w:t xml:space="preserve">JAMA </w:t>
      </w:r>
      <w:r w:rsidRPr="007403E8">
        <w:t>321(16) 1629-1631 at 1630.</w:t>
      </w:r>
    </w:p>
  </w:footnote>
  <w:footnote w:id="16">
    <w:p w14:paraId="4445B9F0" w14:textId="77777777" w:rsidR="00AA0920" w:rsidRPr="00697662" w:rsidRDefault="00AA0920" w:rsidP="00AA0920">
      <w:pPr>
        <w:autoSpaceDE w:val="0"/>
        <w:autoSpaceDN w:val="0"/>
        <w:adjustRightInd w:val="0"/>
        <w:rPr>
          <w:rFonts w:asciiTheme="minorHAnsi" w:hAnsiTheme="minorHAnsi" w:cstheme="minorHAnsi"/>
        </w:rPr>
      </w:pPr>
      <w:r w:rsidRPr="00697662">
        <w:rPr>
          <w:rStyle w:val="FootnoteReference"/>
          <w:rFonts w:asciiTheme="minorHAnsi" w:eastAsiaTheme="majorEastAsia" w:hAnsiTheme="minorHAnsi" w:cstheme="minorHAnsi"/>
        </w:rPr>
        <w:footnoteRef/>
      </w:r>
      <w:r w:rsidRPr="00697662">
        <w:rPr>
          <w:rFonts w:asciiTheme="minorHAnsi" w:hAnsiTheme="minorHAnsi" w:cstheme="minorHAnsi"/>
        </w:rPr>
        <w:t xml:space="preserve"> </w:t>
      </w:r>
      <w:r w:rsidRPr="008B3F99">
        <w:rPr>
          <w:rFonts w:asciiTheme="minorHAnsi" w:hAnsiTheme="minorHAnsi" w:cstheme="minorHAnsi"/>
          <w:i/>
          <w:iCs/>
        </w:rPr>
        <w:t>Muñoz v John Peter Smith Hospital</w:t>
      </w:r>
      <w:r w:rsidRPr="00697662">
        <w:rPr>
          <w:rFonts w:asciiTheme="minorHAnsi" w:hAnsiTheme="minorHAnsi" w:cstheme="minorHAnsi"/>
        </w:rPr>
        <w:t xml:space="preserve"> Cause No 096270080-14. [2014] Tarrant County District Court, 96th Judicial District, State of Texas</w:t>
      </w:r>
      <w:r>
        <w:rPr>
          <w:rFonts w:asciiTheme="minorHAnsi" w:hAnsiTheme="minorHAnsi" w:cstheme="minorHAnsi"/>
        </w:rPr>
        <w:t xml:space="preserve">. </w:t>
      </w:r>
    </w:p>
  </w:footnote>
  <w:footnote w:id="17">
    <w:p w14:paraId="41FB10BE" w14:textId="77777777" w:rsidR="00AA0920" w:rsidRPr="00697662" w:rsidRDefault="00AA0920" w:rsidP="00AA0920">
      <w:pPr>
        <w:pStyle w:val="FootnoteText"/>
        <w:rPr>
          <w:rFonts w:cstheme="minorHAnsi"/>
        </w:rPr>
      </w:pPr>
      <w:r w:rsidRPr="00697662">
        <w:rPr>
          <w:rStyle w:val="FootnoteReference"/>
          <w:rFonts w:eastAsiaTheme="majorEastAsia" w:cstheme="minorHAnsi"/>
        </w:rPr>
        <w:footnoteRef/>
      </w:r>
      <w:r w:rsidRPr="00697662">
        <w:rPr>
          <w:rFonts w:cstheme="minorHAnsi"/>
        </w:rPr>
        <w:t xml:space="preserve"> </w:t>
      </w:r>
      <w:r w:rsidRPr="008B02C3">
        <w:rPr>
          <w:rFonts w:cstheme="minorHAnsi"/>
          <w:i/>
          <w:iCs/>
        </w:rPr>
        <w:t>PP v Health Service Executive</w:t>
      </w:r>
      <w:r w:rsidRPr="00697662">
        <w:rPr>
          <w:rFonts w:cstheme="minorHAnsi"/>
        </w:rPr>
        <w:t xml:space="preserve"> [2014] IEHC 622.</w:t>
      </w:r>
    </w:p>
  </w:footnote>
  <w:footnote w:id="18">
    <w:p w14:paraId="57BE19B8" w14:textId="77777777" w:rsidR="00AA0920" w:rsidRPr="00697662" w:rsidRDefault="00AA0920" w:rsidP="00AA0920">
      <w:pPr>
        <w:pStyle w:val="FootnoteText"/>
        <w:rPr>
          <w:rFonts w:cstheme="minorHAnsi"/>
        </w:rPr>
      </w:pPr>
      <w:r w:rsidRPr="00697662">
        <w:rPr>
          <w:rStyle w:val="FootnoteReference"/>
          <w:rFonts w:eastAsiaTheme="majorEastAsia" w:cstheme="minorHAnsi"/>
        </w:rPr>
        <w:footnoteRef/>
      </w:r>
      <w:r w:rsidRPr="00697662">
        <w:rPr>
          <w:rFonts w:cstheme="minorHAnsi"/>
        </w:rPr>
        <w:t xml:space="preserve"> C</w:t>
      </w:r>
      <w:r>
        <w:rPr>
          <w:rFonts w:cstheme="minorHAnsi"/>
        </w:rPr>
        <w:t xml:space="preserve"> </w:t>
      </w:r>
      <w:r w:rsidRPr="00697662">
        <w:rPr>
          <w:rFonts w:cstheme="minorHAnsi"/>
        </w:rPr>
        <w:t>Hurley, 'PP v Health Service Executive' (2015) 18 Trinity CL Rev 205 at 209.</w:t>
      </w:r>
    </w:p>
  </w:footnote>
  <w:footnote w:id="19">
    <w:p w14:paraId="32ED99BC" w14:textId="77777777" w:rsidR="00AA0920" w:rsidRPr="00697662" w:rsidRDefault="00AA0920" w:rsidP="00AA0920">
      <w:pPr>
        <w:autoSpaceDE w:val="0"/>
        <w:autoSpaceDN w:val="0"/>
        <w:adjustRightInd w:val="0"/>
        <w:rPr>
          <w:rFonts w:asciiTheme="minorHAnsi" w:hAnsiTheme="minorHAnsi" w:cstheme="minorHAnsi"/>
          <w:color w:val="0081AC"/>
        </w:rPr>
      </w:pPr>
      <w:r w:rsidRPr="00697662">
        <w:rPr>
          <w:rStyle w:val="FootnoteReference"/>
          <w:rFonts w:asciiTheme="minorHAnsi" w:eastAsiaTheme="majorEastAsia" w:hAnsiTheme="minorHAnsi" w:cstheme="minorHAnsi"/>
        </w:rPr>
        <w:footnoteRef/>
      </w:r>
      <w:r w:rsidRPr="00697662">
        <w:rPr>
          <w:rFonts w:asciiTheme="minorHAnsi" w:hAnsiTheme="minorHAnsi" w:cstheme="minorHAnsi"/>
        </w:rPr>
        <w:t xml:space="preserve"> </w:t>
      </w:r>
      <w:r w:rsidRPr="00697662">
        <w:rPr>
          <w:rFonts w:asciiTheme="minorHAnsi" w:hAnsiTheme="minorHAnsi" w:cstheme="minorHAnsi"/>
          <w:color w:val="000000" w:themeColor="text1"/>
        </w:rPr>
        <w:t xml:space="preserve">RD </w:t>
      </w:r>
      <w:proofErr w:type="spellStart"/>
      <w:r w:rsidRPr="00697662">
        <w:rPr>
          <w:rFonts w:asciiTheme="minorHAnsi" w:hAnsiTheme="minorHAnsi" w:cstheme="minorHAnsi"/>
          <w:color w:val="000000" w:themeColor="text1"/>
        </w:rPr>
        <w:t>Truog</w:t>
      </w:r>
      <w:proofErr w:type="spellEnd"/>
      <w:r w:rsidRPr="00697662">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697662">
        <w:rPr>
          <w:rFonts w:asciiTheme="minorHAnsi" w:hAnsiTheme="minorHAnsi" w:cstheme="minorHAnsi"/>
          <w:color w:val="000000" w:themeColor="text1"/>
        </w:rPr>
        <w:t xml:space="preserve">Defining Death: Lessons from the Case of </w:t>
      </w:r>
      <w:proofErr w:type="spellStart"/>
      <w:r w:rsidRPr="00697662">
        <w:rPr>
          <w:rFonts w:asciiTheme="minorHAnsi" w:hAnsiTheme="minorHAnsi" w:cstheme="minorHAnsi"/>
          <w:color w:val="000000" w:themeColor="text1"/>
        </w:rPr>
        <w:t>Jahi</w:t>
      </w:r>
      <w:proofErr w:type="spellEnd"/>
      <w:r w:rsidRPr="00697662">
        <w:rPr>
          <w:rFonts w:asciiTheme="minorHAnsi" w:hAnsiTheme="minorHAnsi" w:cstheme="minorHAnsi"/>
          <w:color w:val="000000" w:themeColor="text1"/>
        </w:rPr>
        <w:t xml:space="preserve"> McMath</w:t>
      </w:r>
      <w:r>
        <w:rPr>
          <w:rFonts w:asciiTheme="minorHAnsi" w:hAnsiTheme="minorHAnsi" w:cstheme="minorHAnsi"/>
          <w:color w:val="000000" w:themeColor="text1"/>
        </w:rPr>
        <w:t>’</w:t>
      </w:r>
      <w:r w:rsidRPr="00697662">
        <w:rPr>
          <w:rFonts w:asciiTheme="minorHAnsi" w:hAnsiTheme="minorHAnsi" w:cstheme="minorHAnsi"/>
          <w:color w:val="000000" w:themeColor="text1"/>
        </w:rPr>
        <w:t>. P</w:t>
      </w:r>
      <w:r w:rsidRPr="00697662">
        <w:rPr>
          <w:rFonts w:asciiTheme="minorHAnsi" w:hAnsiTheme="minorHAnsi" w:cstheme="minorHAnsi"/>
          <w:i/>
          <w:iCs/>
          <w:color w:val="000000" w:themeColor="text1"/>
        </w:rPr>
        <w:t>ediatrics</w:t>
      </w:r>
      <w:r w:rsidRPr="00697662">
        <w:rPr>
          <w:rFonts w:asciiTheme="minorHAnsi" w:hAnsiTheme="minorHAnsi" w:cstheme="minorHAnsi"/>
          <w:color w:val="000000" w:themeColor="text1"/>
        </w:rPr>
        <w:t xml:space="preserve"> 2020; 146(s1): S75–S80 at S77.</w:t>
      </w:r>
    </w:p>
  </w:footnote>
  <w:footnote w:id="20">
    <w:p w14:paraId="602F9EBB" w14:textId="77777777" w:rsidR="00AA0920" w:rsidRPr="00697662" w:rsidRDefault="00AA0920" w:rsidP="00AA0920">
      <w:pPr>
        <w:pStyle w:val="FootnoteText"/>
        <w:rPr>
          <w:rFonts w:cstheme="minorHAnsi"/>
        </w:rPr>
      </w:pPr>
      <w:r w:rsidRPr="00697662">
        <w:rPr>
          <w:rStyle w:val="FootnoteReference"/>
          <w:rFonts w:eastAsiaTheme="majorEastAsia" w:cstheme="minorHAnsi"/>
        </w:rPr>
        <w:footnoteRef/>
      </w:r>
      <w:r w:rsidRPr="00697662">
        <w:rPr>
          <w:rFonts w:cstheme="minorHAnsi"/>
        </w:rPr>
        <w:t xml:space="preserve"> </w:t>
      </w:r>
      <w:r w:rsidRPr="004774E5">
        <w:rPr>
          <w:rFonts w:cstheme="minorHAnsi"/>
          <w:lang w:val="en-GB"/>
        </w:rPr>
        <w:t xml:space="preserve">MG </w:t>
      </w:r>
      <w:proofErr w:type="spellStart"/>
      <w:r w:rsidRPr="004774E5">
        <w:rPr>
          <w:rFonts w:cstheme="minorHAnsi"/>
          <w:lang w:val="en-GB"/>
        </w:rPr>
        <w:t>Dodaro</w:t>
      </w:r>
      <w:proofErr w:type="spellEnd"/>
      <w:r w:rsidRPr="004774E5">
        <w:rPr>
          <w:rFonts w:cstheme="minorHAnsi"/>
          <w:lang w:val="en-GB"/>
        </w:rPr>
        <w:t xml:space="preserve">, A. </w:t>
      </w:r>
      <w:proofErr w:type="spellStart"/>
      <w:r w:rsidRPr="004774E5">
        <w:rPr>
          <w:rFonts w:cstheme="minorHAnsi"/>
          <w:lang w:val="en-GB"/>
        </w:rPr>
        <w:t>Seiderari</w:t>
      </w:r>
      <w:proofErr w:type="spellEnd"/>
      <w:r w:rsidRPr="004774E5">
        <w:rPr>
          <w:rFonts w:cstheme="minorHAnsi"/>
          <w:lang w:val="en-GB"/>
        </w:rPr>
        <w:t xml:space="preserve">, IR Marina, V </w:t>
      </w:r>
      <w:proofErr w:type="spellStart"/>
      <w:r w:rsidRPr="004774E5">
        <w:rPr>
          <w:rFonts w:cstheme="minorHAnsi"/>
          <w:lang w:val="en-GB"/>
        </w:rPr>
        <w:t>Bergella</w:t>
      </w:r>
      <w:proofErr w:type="spellEnd"/>
      <w:r w:rsidRPr="004774E5">
        <w:rPr>
          <w:rFonts w:cstheme="minorHAnsi"/>
          <w:lang w:val="en-GB"/>
        </w:rPr>
        <w:t xml:space="preserve"> and F </w:t>
      </w:r>
      <w:proofErr w:type="spellStart"/>
      <w:r w:rsidRPr="004774E5">
        <w:rPr>
          <w:rFonts w:cstheme="minorHAnsi"/>
          <w:lang w:val="en-GB"/>
        </w:rPr>
        <w:t>Bellussi</w:t>
      </w:r>
      <w:proofErr w:type="spellEnd"/>
      <w:r w:rsidRPr="004774E5">
        <w:rPr>
          <w:rFonts w:cstheme="minorHAnsi"/>
          <w:lang w:val="en-GB"/>
        </w:rPr>
        <w:t xml:space="preserve">. </w:t>
      </w:r>
      <w:r w:rsidRPr="00697662">
        <w:rPr>
          <w:rFonts w:cstheme="minorHAnsi"/>
        </w:rPr>
        <w:t xml:space="preserve">‘Brain death in pregnancy: A systematic review focusing on perinatal </w:t>
      </w:r>
      <w:proofErr w:type="gramStart"/>
      <w:r w:rsidRPr="00697662">
        <w:rPr>
          <w:rFonts w:cstheme="minorHAnsi"/>
        </w:rPr>
        <w:t>outcomes’</w:t>
      </w:r>
      <w:proofErr w:type="gramEnd"/>
      <w:r w:rsidRPr="00697662">
        <w:rPr>
          <w:rFonts w:cstheme="minorHAnsi"/>
        </w:rPr>
        <w:t xml:space="preserve">. </w:t>
      </w:r>
      <w:r w:rsidRPr="00697662">
        <w:rPr>
          <w:rFonts w:cstheme="minorHAnsi"/>
          <w:i/>
        </w:rPr>
        <w:t>American Journal of Obstetrics and Gynecology</w:t>
      </w:r>
      <w:r w:rsidRPr="00697662">
        <w:rPr>
          <w:rFonts w:cstheme="minorHAnsi"/>
        </w:rPr>
        <w:t>. 2021 24</w:t>
      </w:r>
      <w:r>
        <w:rPr>
          <w:rFonts w:cstheme="minorHAnsi"/>
        </w:rPr>
        <w:t>5</w:t>
      </w:r>
      <w:r w:rsidRPr="00697662">
        <w:rPr>
          <w:rFonts w:cstheme="minorHAnsi"/>
        </w:rPr>
        <w:t>(2) 445-469.</w:t>
      </w:r>
    </w:p>
  </w:footnote>
  <w:footnote w:id="21">
    <w:p w14:paraId="1DE9592E" w14:textId="0BE65C37" w:rsidR="00AA0920" w:rsidRPr="00DD16CD" w:rsidRDefault="00AA0920" w:rsidP="00AA0920">
      <w:pPr>
        <w:pStyle w:val="FootnoteText"/>
        <w:rPr>
          <w:rFonts w:cstheme="minorHAnsi"/>
        </w:rPr>
      </w:pPr>
      <w:r w:rsidRPr="00DD16CD">
        <w:rPr>
          <w:rStyle w:val="FootnoteReference"/>
          <w:rFonts w:eastAsiaTheme="majorEastAsia" w:cstheme="minorHAnsi"/>
        </w:rPr>
        <w:footnoteRef/>
      </w:r>
      <w:r w:rsidRPr="00DD16CD">
        <w:rPr>
          <w:rFonts w:cstheme="minorHAnsi"/>
        </w:rPr>
        <w:t xml:space="preserve"> Ibid</w:t>
      </w:r>
      <w:r>
        <w:rPr>
          <w:rFonts w:cstheme="minorHAnsi"/>
        </w:rPr>
        <w:t xml:space="preserve"> n</w:t>
      </w:r>
      <w:r w:rsidR="00E15C0F">
        <w:rPr>
          <w:rFonts w:cstheme="minorHAnsi"/>
        </w:rPr>
        <w:t>18</w:t>
      </w:r>
      <w:r>
        <w:rPr>
          <w:rFonts w:cstheme="minorHAnsi"/>
        </w:rPr>
        <w:t xml:space="preserve">. Apgar scores for 24 </w:t>
      </w:r>
      <w:proofErr w:type="gramStart"/>
      <w:r>
        <w:rPr>
          <w:rFonts w:cstheme="minorHAnsi"/>
        </w:rPr>
        <w:t>week</w:t>
      </w:r>
      <w:proofErr w:type="gramEnd"/>
      <w:r>
        <w:rPr>
          <w:rFonts w:cstheme="minorHAnsi"/>
        </w:rPr>
        <w:t>+ babies was in the normal range.</w:t>
      </w:r>
    </w:p>
  </w:footnote>
  <w:footnote w:id="22">
    <w:p w14:paraId="1C0F0D1C" w14:textId="5A6AE39F" w:rsidR="00AA0920" w:rsidRPr="00DD16CD" w:rsidRDefault="00AA0920" w:rsidP="00AA0920">
      <w:pPr>
        <w:pStyle w:val="FootnoteText"/>
        <w:rPr>
          <w:rFonts w:cstheme="minorHAnsi"/>
        </w:rPr>
      </w:pPr>
      <w:r w:rsidRPr="00DD16CD">
        <w:rPr>
          <w:rStyle w:val="FootnoteReference"/>
          <w:rFonts w:eastAsiaTheme="majorEastAsia" w:cstheme="minorHAnsi"/>
        </w:rPr>
        <w:footnoteRef/>
      </w:r>
      <w:r w:rsidRPr="00DD16CD">
        <w:rPr>
          <w:rFonts w:cstheme="minorHAnsi"/>
        </w:rPr>
        <w:t xml:space="preserve"> Ibid</w:t>
      </w:r>
      <w:r>
        <w:rPr>
          <w:rFonts w:cstheme="minorHAnsi"/>
        </w:rPr>
        <w:t xml:space="preserve"> n</w:t>
      </w:r>
      <w:r w:rsidR="00E15C0F">
        <w:rPr>
          <w:rFonts w:cstheme="minorHAnsi"/>
        </w:rPr>
        <w:t>18</w:t>
      </w:r>
    </w:p>
  </w:footnote>
  <w:footnote w:id="23">
    <w:p w14:paraId="0876A505" w14:textId="66E7371E" w:rsidR="00AA0920" w:rsidRPr="00DD16CD" w:rsidRDefault="00AA0920" w:rsidP="00AA0920">
      <w:pPr>
        <w:pStyle w:val="FootnoteText"/>
        <w:rPr>
          <w:rFonts w:cstheme="minorHAnsi"/>
        </w:rPr>
      </w:pPr>
      <w:r w:rsidRPr="00DD16CD">
        <w:rPr>
          <w:rStyle w:val="FootnoteReference"/>
          <w:rFonts w:eastAsiaTheme="majorEastAsia" w:cstheme="minorHAnsi"/>
        </w:rPr>
        <w:footnoteRef/>
      </w:r>
      <w:r w:rsidRPr="00DD16CD">
        <w:rPr>
          <w:rFonts w:cstheme="minorHAnsi"/>
        </w:rPr>
        <w:t xml:space="preserve"> See Tables 2 and 3 </w:t>
      </w:r>
      <w:r>
        <w:rPr>
          <w:rFonts w:cstheme="minorHAnsi"/>
        </w:rPr>
        <w:t xml:space="preserve">at </w:t>
      </w:r>
      <w:r>
        <w:rPr>
          <w:rFonts w:cstheme="minorHAnsi"/>
        </w:rPr>
        <w:t>n</w:t>
      </w:r>
      <w:r w:rsidR="00E15C0F">
        <w:rPr>
          <w:rFonts w:cstheme="minorHAnsi"/>
        </w:rPr>
        <w:t>18</w:t>
      </w:r>
      <w:r w:rsidRPr="00DD16CD">
        <w:rPr>
          <w:rFonts w:cstheme="minorHAnsi"/>
        </w:rPr>
        <w:t>.</w:t>
      </w:r>
    </w:p>
  </w:footnote>
  <w:footnote w:id="24">
    <w:p w14:paraId="4AA56CFC" w14:textId="77777777" w:rsidR="00AA0920" w:rsidRPr="00DD16CD" w:rsidRDefault="00AA0920" w:rsidP="00AA0920">
      <w:pPr>
        <w:pStyle w:val="FootnoteText"/>
        <w:rPr>
          <w:rFonts w:cstheme="minorHAnsi"/>
        </w:rPr>
      </w:pPr>
      <w:r w:rsidRPr="00DD16CD">
        <w:rPr>
          <w:rStyle w:val="FootnoteReference"/>
          <w:rFonts w:eastAsiaTheme="majorEastAsia" w:cstheme="minorHAnsi"/>
        </w:rPr>
        <w:footnoteRef/>
      </w:r>
      <w:r w:rsidRPr="00DD16CD">
        <w:rPr>
          <w:rFonts w:cstheme="minorHAnsi"/>
        </w:rPr>
        <w:t xml:space="preserve"> L</w:t>
      </w:r>
      <w:r>
        <w:rPr>
          <w:rFonts w:cstheme="minorHAnsi"/>
        </w:rPr>
        <w:t xml:space="preserve"> </w:t>
      </w:r>
      <w:r w:rsidRPr="00DD16CD">
        <w:rPr>
          <w:rFonts w:cstheme="minorHAnsi"/>
        </w:rPr>
        <w:t>Staff, M</w:t>
      </w:r>
      <w:r>
        <w:rPr>
          <w:rFonts w:cstheme="minorHAnsi"/>
        </w:rPr>
        <w:t xml:space="preserve"> </w:t>
      </w:r>
      <w:r w:rsidRPr="00DD16CD">
        <w:rPr>
          <w:rFonts w:cstheme="minorHAnsi"/>
        </w:rPr>
        <w:t xml:space="preserve">Nash, ‘Brain death during pregnancy and prolonged corporeal support of the body: A critical discussion’ </w:t>
      </w:r>
      <w:r w:rsidRPr="00DD16CD">
        <w:rPr>
          <w:rFonts w:cstheme="minorHAnsi"/>
          <w:i/>
          <w:iCs/>
        </w:rPr>
        <w:t>Women and Birth</w:t>
      </w:r>
      <w:r w:rsidRPr="00DD16CD">
        <w:rPr>
          <w:rFonts w:cstheme="minorHAnsi"/>
        </w:rPr>
        <w:t>. 30 (2017) 354–360. L</w:t>
      </w:r>
      <w:r>
        <w:rPr>
          <w:rFonts w:cstheme="minorHAnsi"/>
        </w:rPr>
        <w:t xml:space="preserve"> </w:t>
      </w:r>
      <w:proofErr w:type="spellStart"/>
      <w:r w:rsidRPr="00DD16CD">
        <w:rPr>
          <w:rFonts w:cstheme="minorHAnsi"/>
        </w:rPr>
        <w:t>Winborg</w:t>
      </w:r>
      <w:proofErr w:type="spellEnd"/>
      <w:r w:rsidRPr="00DD16CD">
        <w:rPr>
          <w:rFonts w:cstheme="minorHAnsi"/>
        </w:rPr>
        <w:t xml:space="preserve">, ‘Sheila’s Death Created Many’ </w:t>
      </w:r>
      <w:r w:rsidRPr="00DD16CD">
        <w:rPr>
          <w:rFonts w:cstheme="minorHAnsi"/>
          <w:i/>
          <w:iCs/>
        </w:rPr>
        <w:t>Nursing</w:t>
      </w:r>
      <w:r w:rsidRPr="00DD16CD">
        <w:rPr>
          <w:rFonts w:cstheme="minorHAnsi"/>
        </w:rPr>
        <w:t>. 1993: 45-49.</w:t>
      </w:r>
    </w:p>
  </w:footnote>
  <w:footnote w:id="25">
    <w:p w14:paraId="4752D3EA" w14:textId="77777777" w:rsidR="00AA0920" w:rsidRPr="00DD16CD" w:rsidRDefault="00AA0920" w:rsidP="00AA0920">
      <w:pPr>
        <w:pStyle w:val="FootnoteText"/>
        <w:rPr>
          <w:rFonts w:cstheme="minorHAnsi"/>
        </w:rPr>
      </w:pPr>
      <w:r w:rsidRPr="00DD16CD">
        <w:rPr>
          <w:rStyle w:val="FootnoteReference"/>
          <w:rFonts w:eastAsiaTheme="majorEastAsia" w:cstheme="minorHAnsi"/>
        </w:rPr>
        <w:footnoteRef/>
      </w:r>
      <w:r w:rsidRPr="00DD16CD">
        <w:rPr>
          <w:rFonts w:cstheme="minorHAnsi"/>
        </w:rPr>
        <w:t xml:space="preserve"> </w:t>
      </w:r>
      <w:proofErr w:type="spellStart"/>
      <w:r w:rsidRPr="00DD16CD">
        <w:rPr>
          <w:rFonts w:cstheme="minorHAnsi"/>
          <w:i/>
          <w:iCs/>
          <w:color w:val="303030"/>
          <w:bdr w:val="none" w:sz="0" w:space="0" w:color="auto" w:frame="1"/>
        </w:rPr>
        <w:t>Almerico</w:t>
      </w:r>
      <w:proofErr w:type="spellEnd"/>
      <w:r w:rsidRPr="00DD16CD">
        <w:rPr>
          <w:rFonts w:cstheme="minorHAnsi"/>
          <w:i/>
          <w:iCs/>
          <w:color w:val="303030"/>
          <w:bdr w:val="none" w:sz="0" w:space="0" w:color="auto" w:frame="1"/>
        </w:rPr>
        <w:t xml:space="preserve"> et al. v. State of Idaho et al </w:t>
      </w:r>
      <w:r w:rsidRPr="00DD16CD">
        <w:rPr>
          <w:rFonts w:cstheme="minorHAnsi"/>
          <w:color w:val="303030"/>
          <w:bdr w:val="none" w:sz="0" w:space="0" w:color="auto" w:frame="1"/>
        </w:rPr>
        <w:t>Case No.1:18-cl-00239 BLW.</w:t>
      </w:r>
    </w:p>
  </w:footnote>
  <w:footnote w:id="26">
    <w:p w14:paraId="4F98A614" w14:textId="77777777" w:rsidR="00AA0920" w:rsidRDefault="00AA0920" w:rsidP="00AA0920">
      <w:pPr>
        <w:pStyle w:val="FootnoteText"/>
      </w:pPr>
      <w:r>
        <w:rPr>
          <w:rStyle w:val="FootnoteReference"/>
          <w:rFonts w:eastAsiaTheme="majorEastAsia"/>
        </w:rPr>
        <w:footnoteRef/>
      </w:r>
      <w:r>
        <w:t xml:space="preserve"> </w:t>
      </w:r>
      <w:r w:rsidRPr="00DD16CD">
        <w:rPr>
          <w:rFonts w:cstheme="minorHAnsi"/>
          <w:color w:val="303030"/>
          <w:bdr w:val="none" w:sz="0" w:space="0" w:color="auto" w:frame="1"/>
        </w:rPr>
        <w:t>Case No.1:18-cl-00239 BLW.</w:t>
      </w:r>
    </w:p>
  </w:footnote>
  <w:footnote w:id="27">
    <w:p w14:paraId="2E282096" w14:textId="77777777" w:rsidR="00AA0920" w:rsidRPr="00DD16CD" w:rsidRDefault="00AA0920" w:rsidP="00AA0920">
      <w:pPr>
        <w:rPr>
          <w:rFonts w:asciiTheme="minorHAnsi" w:hAnsiTheme="minorHAnsi" w:cstheme="minorHAnsi"/>
        </w:rPr>
      </w:pPr>
      <w:r w:rsidRPr="00DD16CD">
        <w:rPr>
          <w:rStyle w:val="FootnoteReference"/>
          <w:rFonts w:asciiTheme="minorHAnsi" w:eastAsiaTheme="majorEastAsia" w:hAnsiTheme="minorHAnsi" w:cstheme="minorHAnsi"/>
        </w:rPr>
        <w:footnoteRef/>
      </w:r>
      <w:r w:rsidRPr="00DD16CD">
        <w:rPr>
          <w:rFonts w:asciiTheme="minorHAnsi" w:hAnsiTheme="minorHAnsi" w:cstheme="minorHAnsi"/>
        </w:rPr>
        <w:t xml:space="preserve"> </w:t>
      </w:r>
      <w:r w:rsidRPr="00DD16CD">
        <w:rPr>
          <w:rFonts w:asciiTheme="minorHAnsi" w:hAnsiTheme="minorHAnsi" w:cstheme="minorHAnsi"/>
          <w:i/>
          <w:iCs/>
          <w:color w:val="333333"/>
          <w:shd w:val="clear" w:color="auto" w:fill="FFFFFF"/>
        </w:rPr>
        <w:t>Planned Parenthood of Southeastern Pa. v. Casey</w:t>
      </w:r>
      <w:r w:rsidRPr="00DD16CD">
        <w:rPr>
          <w:rFonts w:asciiTheme="minorHAnsi" w:hAnsiTheme="minorHAnsi" w:cstheme="minorHAnsi"/>
          <w:color w:val="333333"/>
          <w:shd w:val="clear" w:color="auto" w:fill="FFFFFF"/>
        </w:rPr>
        <w:t xml:space="preserve"> (91-744), 505 U.S. 833 (1992); </w:t>
      </w:r>
      <w:r w:rsidRPr="00DD16CD">
        <w:rPr>
          <w:rFonts w:asciiTheme="minorHAnsi" w:hAnsiTheme="minorHAnsi" w:cstheme="minorHAnsi"/>
          <w:i/>
          <w:iCs/>
          <w:color w:val="333333"/>
          <w:shd w:val="clear" w:color="auto" w:fill="FFFFFF"/>
        </w:rPr>
        <w:t>Cruzan v. Director, Missouri Department of Health,</w:t>
      </w:r>
      <w:r w:rsidRPr="00DD16CD">
        <w:rPr>
          <w:rFonts w:asciiTheme="minorHAnsi" w:hAnsiTheme="minorHAnsi" w:cstheme="minorHAnsi"/>
          <w:color w:val="333333"/>
          <w:shd w:val="clear" w:color="auto" w:fill="FFFFFF"/>
        </w:rPr>
        <w:t xml:space="preserve"> (88-1503), 497 U.S. 261 (1990)</w:t>
      </w:r>
    </w:p>
  </w:footnote>
  <w:footnote w:id="28">
    <w:p w14:paraId="5476F3BB" w14:textId="77777777" w:rsidR="00AA0920" w:rsidRPr="00FC05F8" w:rsidRDefault="00AA0920" w:rsidP="00AA0920">
      <w:pPr>
        <w:rPr>
          <w:rFonts w:asciiTheme="minorHAnsi" w:hAnsiTheme="minorHAnsi" w:cstheme="minorHAnsi"/>
        </w:rPr>
      </w:pPr>
      <w:r w:rsidRPr="00FC05F8">
        <w:rPr>
          <w:rStyle w:val="FootnoteReference"/>
          <w:rFonts w:asciiTheme="minorHAnsi" w:eastAsiaTheme="majorEastAsia" w:hAnsiTheme="minorHAnsi" w:cstheme="minorHAnsi"/>
        </w:rPr>
        <w:footnoteRef/>
      </w:r>
      <w:r w:rsidRPr="00FC05F8">
        <w:rPr>
          <w:rFonts w:asciiTheme="minorHAnsi" w:hAnsiTheme="minorHAnsi" w:cstheme="minorHAnsi"/>
        </w:rPr>
        <w:t>410 US 113 (1973)</w:t>
      </w:r>
    </w:p>
  </w:footnote>
  <w:footnote w:id="29">
    <w:p w14:paraId="72713395" w14:textId="77777777" w:rsidR="00AA0920" w:rsidRPr="00FC05F8" w:rsidRDefault="00AA0920" w:rsidP="00AA0920">
      <w:pPr>
        <w:pStyle w:val="Heading1"/>
        <w:shd w:val="clear" w:color="auto" w:fill="FFFFFF"/>
        <w:spacing w:before="0"/>
        <w:rPr>
          <w:rFonts w:asciiTheme="minorHAnsi" w:hAnsiTheme="minorHAnsi" w:cstheme="minorHAnsi"/>
          <w:color w:val="061B41"/>
          <w:spacing w:val="-15"/>
          <w:sz w:val="20"/>
          <w:szCs w:val="20"/>
        </w:rPr>
      </w:pPr>
      <w:r w:rsidRPr="00FC05F8">
        <w:rPr>
          <w:rStyle w:val="FootnoteReference"/>
          <w:rFonts w:asciiTheme="minorHAnsi" w:eastAsiaTheme="majorEastAsia" w:hAnsiTheme="minorHAnsi" w:cstheme="minorHAnsi"/>
          <w:sz w:val="20"/>
          <w:szCs w:val="20"/>
        </w:rPr>
        <w:footnoteRef/>
      </w:r>
      <w:r w:rsidRPr="00FC05F8">
        <w:rPr>
          <w:rFonts w:asciiTheme="minorHAnsi" w:hAnsiTheme="minorHAnsi" w:cstheme="minorHAnsi"/>
          <w:sz w:val="20"/>
          <w:szCs w:val="20"/>
        </w:rPr>
        <w:t xml:space="preserve"> </w:t>
      </w:r>
      <w:r w:rsidRPr="00FC05F8">
        <w:rPr>
          <w:rFonts w:asciiTheme="minorHAnsi" w:hAnsiTheme="minorHAnsi" w:cstheme="minorHAnsi"/>
          <w:b w:val="0"/>
          <w:color w:val="303030"/>
          <w:sz w:val="20"/>
          <w:szCs w:val="20"/>
          <w:bdr w:val="none" w:sz="0" w:space="0" w:color="auto" w:frame="1"/>
        </w:rPr>
        <w:t xml:space="preserve">M Whyte, </w:t>
      </w:r>
      <w:r w:rsidRPr="00FC05F8">
        <w:rPr>
          <w:rFonts w:asciiTheme="minorHAnsi" w:hAnsiTheme="minorHAnsi" w:cstheme="minorHAnsi"/>
          <w:b w:val="0"/>
          <w:color w:val="061B41"/>
          <w:spacing w:val="-15"/>
          <w:sz w:val="20"/>
          <w:szCs w:val="20"/>
        </w:rPr>
        <w:t xml:space="preserve">"Viably Fertile" Patients Are Denied Essential Medicine Because of Roe v. Wade’ </w:t>
      </w:r>
      <w:r w:rsidRPr="00FC05F8">
        <w:rPr>
          <w:rFonts w:asciiTheme="minorHAnsi" w:hAnsiTheme="minorHAnsi" w:cstheme="minorHAnsi"/>
          <w:b w:val="0"/>
          <w:i/>
          <w:iCs/>
          <w:color w:val="061B41"/>
          <w:spacing w:val="-15"/>
          <w:sz w:val="20"/>
          <w:szCs w:val="20"/>
        </w:rPr>
        <w:t>LA Times</w:t>
      </w:r>
      <w:r w:rsidRPr="00FC05F8">
        <w:rPr>
          <w:rFonts w:asciiTheme="minorHAnsi" w:hAnsiTheme="minorHAnsi" w:cstheme="minorHAnsi"/>
          <w:b w:val="0"/>
          <w:color w:val="061B41"/>
          <w:spacing w:val="-15"/>
          <w:sz w:val="20"/>
          <w:szCs w:val="20"/>
        </w:rPr>
        <w:t xml:space="preserve"> </w:t>
      </w:r>
      <w:proofErr w:type="gramStart"/>
      <w:r w:rsidRPr="00FC05F8">
        <w:rPr>
          <w:rFonts w:asciiTheme="minorHAnsi" w:hAnsiTheme="minorHAnsi" w:cstheme="minorHAnsi"/>
          <w:b w:val="0"/>
          <w:color w:val="061B41"/>
          <w:spacing w:val="-15"/>
          <w:sz w:val="20"/>
          <w:szCs w:val="20"/>
        </w:rPr>
        <w:t>18.07.2022;</w:t>
      </w:r>
      <w:proofErr w:type="gramEnd"/>
    </w:p>
    <w:p w14:paraId="7BD4D57C" w14:textId="77777777" w:rsidR="00AA0920" w:rsidRDefault="00000000" w:rsidP="00AA0920">
      <w:pPr>
        <w:pStyle w:val="FootnoteText"/>
      </w:pPr>
      <w:hyperlink r:id="rId7" w:history="1">
        <w:r w:rsidR="00AA0920" w:rsidRPr="00FC05F8">
          <w:rPr>
            <w:rStyle w:val="Hyperlink"/>
            <w:rFonts w:cstheme="minorHAnsi"/>
          </w:rPr>
          <w:t>https://www.msnbc.com/opinion/msnbc-opinion/post-roe-abortions-aren-t-only-healthcare-being-denied-women-n1296928</w:t>
        </w:r>
      </w:hyperlink>
    </w:p>
    <w:p w14:paraId="2F0EE7B7" w14:textId="77777777" w:rsidR="00AA0920" w:rsidRDefault="00AA0920" w:rsidP="00AA092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F7FF" w14:textId="3CB84226" w:rsidR="00895782" w:rsidRPr="0064571A" w:rsidRDefault="00AA0920" w:rsidP="00895782">
    <w:pPr>
      <w:pStyle w:val="Header"/>
      <w:tabs>
        <w:tab w:val="clear" w:pos="9026"/>
        <w:tab w:val="right" w:pos="9356"/>
      </w:tabs>
      <w:rPr>
        <w:sz w:val="22"/>
        <w:szCs w:val="22"/>
      </w:rPr>
    </w:pPr>
    <w:r w:rsidRPr="00AA0920">
      <w:rPr>
        <w:sz w:val="22"/>
        <w:szCs w:val="22"/>
      </w:rPr>
      <w:t>Pamela M. White</w:t>
    </w:r>
    <w:r w:rsidR="00895782" w:rsidRPr="0064571A">
      <w:rPr>
        <w:sz w:val="22"/>
        <w:szCs w:val="22"/>
      </w:rPr>
      <w:tab/>
    </w:r>
    <w:r w:rsidR="00895782" w:rsidRPr="0064571A">
      <w:rPr>
        <w:sz w:val="22"/>
        <w:szCs w:val="22"/>
      </w:rPr>
      <w:tab/>
    </w:r>
    <w:r w:rsidRPr="00AA0920">
      <w:rPr>
        <w:rFonts w:cstheme="minorHAnsi"/>
        <w:sz w:val="22"/>
        <w:szCs w:val="22"/>
      </w:rPr>
      <w:t>No Right to Death with Dignity</w:t>
    </w:r>
  </w:p>
  <w:p w14:paraId="3A52A83E" w14:textId="63BC5308" w:rsidR="00895782" w:rsidRDefault="00895782" w:rsidP="00895782">
    <w:pPr>
      <w:pStyle w:val="Header"/>
      <w:tabs>
        <w:tab w:val="clear" w:pos="9026"/>
        <w:tab w:val="right" w:pos="9356"/>
      </w:tabs>
    </w:pPr>
    <w:r>
      <w:t>_____________________________________________________________</w:t>
    </w:r>
    <w:r w:rsidR="004E4DE6">
      <w:t>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D18A" w14:textId="25B0F103" w:rsidR="00B9660A" w:rsidRDefault="00895782" w:rsidP="00B9660A">
    <w:pPr>
      <w:tabs>
        <w:tab w:val="right" w:pos="9356"/>
      </w:tabs>
      <w:rPr>
        <w:sz w:val="22"/>
        <w:szCs w:val="22"/>
      </w:rPr>
    </w:pPr>
    <w:proofErr w:type="spellStart"/>
    <w:r>
      <w:rPr>
        <w:i/>
        <w:sz w:val="22"/>
        <w:szCs w:val="22"/>
      </w:rPr>
      <w:t>feminists@law</w:t>
    </w:r>
    <w:proofErr w:type="spellEnd"/>
    <w:r w:rsidR="0064571A">
      <w:rPr>
        <w:sz w:val="22"/>
        <w:szCs w:val="22"/>
      </w:rPr>
      <w:tab/>
      <w:t xml:space="preserve">Vol 11, No </w:t>
    </w:r>
    <w:r w:rsidR="000E2C47">
      <w:rPr>
        <w:sz w:val="22"/>
        <w:szCs w:val="22"/>
      </w:rPr>
      <w:t>2</w:t>
    </w:r>
    <w:r w:rsidR="00B9660A">
      <w:rPr>
        <w:sz w:val="22"/>
        <w:szCs w:val="22"/>
      </w:rPr>
      <w:t xml:space="preserve"> (2022)</w:t>
    </w:r>
  </w:p>
  <w:p w14:paraId="57C8DC27" w14:textId="193972EA" w:rsidR="00B9660A" w:rsidRDefault="00B9660A" w:rsidP="00B9660A">
    <w:pPr>
      <w:tabs>
        <w:tab w:val="right" w:pos="9356"/>
      </w:tabs>
      <w:rPr>
        <w:sz w:val="22"/>
        <w:szCs w:val="22"/>
      </w:rPr>
    </w:pPr>
    <w:r>
      <w:rPr>
        <w:sz w:val="22"/>
        <w:szCs w:val="22"/>
      </w:rPr>
      <w:t>__________________________________________________________________________________</w:t>
    </w:r>
  </w:p>
  <w:p w14:paraId="79DE0420" w14:textId="77777777" w:rsidR="00B9660A" w:rsidRDefault="00B9660A" w:rsidP="00B9660A">
    <w:pPr>
      <w:tabs>
        <w:tab w:val="right" w:pos="935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548F7"/>
    <w:multiLevelType w:val="multilevel"/>
    <w:tmpl w:val="BB6CC1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05986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415"/>
    <w:rsid w:val="000132B6"/>
    <w:rsid w:val="000326EF"/>
    <w:rsid w:val="0008291A"/>
    <w:rsid w:val="000C17D1"/>
    <w:rsid w:val="000E2C47"/>
    <w:rsid w:val="00103F11"/>
    <w:rsid w:val="00164C11"/>
    <w:rsid w:val="002A4A76"/>
    <w:rsid w:val="00321604"/>
    <w:rsid w:val="003343F0"/>
    <w:rsid w:val="00420415"/>
    <w:rsid w:val="004A0F33"/>
    <w:rsid w:val="004C770D"/>
    <w:rsid w:val="004E4DE6"/>
    <w:rsid w:val="004E5840"/>
    <w:rsid w:val="00532B1F"/>
    <w:rsid w:val="00572E99"/>
    <w:rsid w:val="005A43C3"/>
    <w:rsid w:val="005B0A6E"/>
    <w:rsid w:val="0064571A"/>
    <w:rsid w:val="006C1661"/>
    <w:rsid w:val="006D14AE"/>
    <w:rsid w:val="006D442D"/>
    <w:rsid w:val="006F7CD8"/>
    <w:rsid w:val="00716419"/>
    <w:rsid w:val="00743F17"/>
    <w:rsid w:val="00780255"/>
    <w:rsid w:val="00787A76"/>
    <w:rsid w:val="007D773B"/>
    <w:rsid w:val="007F1136"/>
    <w:rsid w:val="008639C1"/>
    <w:rsid w:val="0087337B"/>
    <w:rsid w:val="008842C7"/>
    <w:rsid w:val="00895782"/>
    <w:rsid w:val="00906551"/>
    <w:rsid w:val="00926C91"/>
    <w:rsid w:val="0093758B"/>
    <w:rsid w:val="00947A23"/>
    <w:rsid w:val="0099154B"/>
    <w:rsid w:val="009E123C"/>
    <w:rsid w:val="00A01A19"/>
    <w:rsid w:val="00A431C1"/>
    <w:rsid w:val="00A50891"/>
    <w:rsid w:val="00AA0920"/>
    <w:rsid w:val="00B01FEC"/>
    <w:rsid w:val="00B145CA"/>
    <w:rsid w:val="00B9660A"/>
    <w:rsid w:val="00BD58A2"/>
    <w:rsid w:val="00C23C96"/>
    <w:rsid w:val="00C34BEC"/>
    <w:rsid w:val="00C5392D"/>
    <w:rsid w:val="00C55995"/>
    <w:rsid w:val="00CA13A0"/>
    <w:rsid w:val="00CE4A43"/>
    <w:rsid w:val="00D32A60"/>
    <w:rsid w:val="00D47806"/>
    <w:rsid w:val="00D87484"/>
    <w:rsid w:val="00D937D9"/>
    <w:rsid w:val="00DA59FE"/>
    <w:rsid w:val="00E00283"/>
    <w:rsid w:val="00E1081D"/>
    <w:rsid w:val="00E15C0F"/>
    <w:rsid w:val="00E8783E"/>
    <w:rsid w:val="00F22A0B"/>
    <w:rsid w:val="00F316BD"/>
    <w:rsid w:val="00F9022A"/>
    <w:rsid w:val="00FA1BBC"/>
    <w:rsid w:val="00FB30E8"/>
    <w:rsid w:val="00FB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7CC5"/>
  <w15:docId w15:val="{16BAB911-CA7C-F847-BA67-1D3B6016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8842C7"/>
    <w:pPr>
      <w:spacing w:before="24"/>
      <w:ind w:right="4"/>
      <w:outlineLvl w:val="0"/>
    </w:pPr>
    <w:rPr>
      <w:b/>
      <w:sz w:val="28"/>
      <w:szCs w:val="28"/>
    </w:rPr>
  </w:style>
  <w:style w:type="paragraph" w:styleId="Heading2">
    <w:name w:val="heading 2"/>
    <w:basedOn w:val="Normal"/>
    <w:next w:val="Normal"/>
    <w:link w:val="Heading2Char"/>
    <w:uiPriority w:val="9"/>
    <w:unhideWhenUsed/>
    <w:qFormat/>
    <w:rsid w:val="008842C7"/>
    <w:pPr>
      <w:outlineLvl w:val="1"/>
    </w:pPr>
    <w:rPr>
      <w:b/>
      <w:bCs/>
      <w:sz w:val="24"/>
      <w:szCs w:val="24"/>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2C7"/>
    <w:rPr>
      <w:b/>
      <w:sz w:val="28"/>
      <w:szCs w:val="28"/>
    </w:rPr>
  </w:style>
  <w:style w:type="character" w:customStyle="1" w:styleId="Heading2Char">
    <w:name w:val="Heading 2 Char"/>
    <w:basedOn w:val="DefaultParagraphFont"/>
    <w:link w:val="Heading2"/>
    <w:uiPriority w:val="9"/>
    <w:rsid w:val="008842C7"/>
    <w:rPr>
      <w:b/>
      <w:bCs/>
      <w:sz w:val="24"/>
      <w:szCs w:val="24"/>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90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22A"/>
    <w:rPr>
      <w:rFonts w:ascii="Segoe UI" w:hAnsi="Segoe UI" w:cs="Segoe UI"/>
      <w:sz w:val="18"/>
      <w:szCs w:val="18"/>
    </w:rPr>
  </w:style>
  <w:style w:type="paragraph" w:styleId="FootnoteText">
    <w:name w:val="footnote text"/>
    <w:basedOn w:val="Normal"/>
    <w:link w:val="FootnoteTextChar"/>
    <w:uiPriority w:val="99"/>
    <w:unhideWhenUsed/>
    <w:rsid w:val="00F9022A"/>
  </w:style>
  <w:style w:type="character" w:customStyle="1" w:styleId="FootnoteTextChar">
    <w:name w:val="Footnote Text Char"/>
    <w:basedOn w:val="DefaultParagraphFont"/>
    <w:link w:val="FootnoteText"/>
    <w:uiPriority w:val="99"/>
    <w:rsid w:val="00F9022A"/>
  </w:style>
  <w:style w:type="character" w:styleId="FootnoteReference">
    <w:name w:val="footnote reference"/>
    <w:basedOn w:val="DefaultParagraphFont"/>
    <w:uiPriority w:val="99"/>
    <w:semiHidden/>
    <w:unhideWhenUsed/>
    <w:rsid w:val="00F9022A"/>
    <w:rPr>
      <w:vertAlign w:val="superscript"/>
    </w:rPr>
  </w:style>
  <w:style w:type="character" w:styleId="CommentReference">
    <w:name w:val="annotation reference"/>
    <w:basedOn w:val="DefaultParagraphFont"/>
    <w:uiPriority w:val="99"/>
    <w:semiHidden/>
    <w:unhideWhenUsed/>
    <w:rsid w:val="00D937D9"/>
    <w:rPr>
      <w:sz w:val="16"/>
      <w:szCs w:val="16"/>
    </w:rPr>
  </w:style>
  <w:style w:type="paragraph" w:styleId="CommentText">
    <w:name w:val="annotation text"/>
    <w:basedOn w:val="Normal"/>
    <w:link w:val="CommentTextChar"/>
    <w:uiPriority w:val="99"/>
    <w:unhideWhenUsed/>
    <w:rsid w:val="00D937D9"/>
  </w:style>
  <w:style w:type="character" w:customStyle="1" w:styleId="CommentTextChar">
    <w:name w:val="Comment Text Char"/>
    <w:basedOn w:val="DefaultParagraphFont"/>
    <w:link w:val="CommentText"/>
    <w:uiPriority w:val="99"/>
    <w:rsid w:val="00D937D9"/>
  </w:style>
  <w:style w:type="paragraph" w:styleId="CommentSubject">
    <w:name w:val="annotation subject"/>
    <w:basedOn w:val="CommentText"/>
    <w:next w:val="CommentText"/>
    <w:link w:val="CommentSubjectChar"/>
    <w:uiPriority w:val="99"/>
    <w:semiHidden/>
    <w:unhideWhenUsed/>
    <w:rsid w:val="00D937D9"/>
    <w:rPr>
      <w:b/>
      <w:bCs/>
    </w:rPr>
  </w:style>
  <w:style w:type="character" w:customStyle="1" w:styleId="CommentSubjectChar">
    <w:name w:val="Comment Subject Char"/>
    <w:basedOn w:val="CommentTextChar"/>
    <w:link w:val="CommentSubject"/>
    <w:uiPriority w:val="99"/>
    <w:semiHidden/>
    <w:rsid w:val="00D937D9"/>
    <w:rPr>
      <w:b/>
      <w:bCs/>
    </w:rPr>
  </w:style>
  <w:style w:type="character" w:styleId="Hyperlink">
    <w:name w:val="Hyperlink"/>
    <w:basedOn w:val="DefaultParagraphFont"/>
    <w:uiPriority w:val="99"/>
    <w:unhideWhenUsed/>
    <w:rsid w:val="007D773B"/>
    <w:rPr>
      <w:color w:val="0000FF" w:themeColor="hyperlink"/>
      <w:u w:val="single"/>
    </w:rPr>
  </w:style>
  <w:style w:type="paragraph" w:styleId="Header">
    <w:name w:val="header"/>
    <w:basedOn w:val="Normal"/>
    <w:link w:val="HeaderChar"/>
    <w:uiPriority w:val="99"/>
    <w:unhideWhenUsed/>
    <w:rsid w:val="00895782"/>
    <w:pPr>
      <w:tabs>
        <w:tab w:val="center" w:pos="4513"/>
        <w:tab w:val="right" w:pos="9026"/>
      </w:tabs>
    </w:pPr>
  </w:style>
  <w:style w:type="character" w:customStyle="1" w:styleId="HeaderChar">
    <w:name w:val="Header Char"/>
    <w:basedOn w:val="DefaultParagraphFont"/>
    <w:link w:val="Header"/>
    <w:uiPriority w:val="99"/>
    <w:rsid w:val="00895782"/>
  </w:style>
  <w:style w:type="paragraph" w:styleId="Footer">
    <w:name w:val="footer"/>
    <w:basedOn w:val="Normal"/>
    <w:link w:val="FooterChar"/>
    <w:uiPriority w:val="99"/>
    <w:unhideWhenUsed/>
    <w:rsid w:val="00895782"/>
    <w:pPr>
      <w:tabs>
        <w:tab w:val="center" w:pos="4513"/>
        <w:tab w:val="right" w:pos="9026"/>
      </w:tabs>
    </w:pPr>
  </w:style>
  <w:style w:type="character" w:customStyle="1" w:styleId="FooterChar">
    <w:name w:val="Footer Char"/>
    <w:basedOn w:val="DefaultParagraphFont"/>
    <w:link w:val="Footer"/>
    <w:uiPriority w:val="99"/>
    <w:rsid w:val="00895782"/>
  </w:style>
  <w:style w:type="paragraph" w:customStyle="1" w:styleId="xxmsonormal">
    <w:name w:val="x_x_msonormal"/>
    <w:basedOn w:val="Normal"/>
    <w:rsid w:val="00FB30E8"/>
    <w:pPr>
      <w:spacing w:before="100" w:beforeAutospacing="1" w:after="100" w:afterAutospacing="1"/>
    </w:pPr>
    <w:rPr>
      <w:sz w:val="24"/>
      <w:szCs w:val="24"/>
    </w:rPr>
  </w:style>
  <w:style w:type="paragraph" w:styleId="Revision">
    <w:name w:val="Revision"/>
    <w:hidden/>
    <w:uiPriority w:val="99"/>
    <w:semiHidden/>
    <w:rsid w:val="00FB30E8"/>
  </w:style>
  <w:style w:type="character" w:styleId="FollowedHyperlink">
    <w:name w:val="FollowedHyperlink"/>
    <w:basedOn w:val="DefaultParagraphFont"/>
    <w:uiPriority w:val="99"/>
    <w:semiHidden/>
    <w:unhideWhenUsed/>
    <w:rsid w:val="0099154B"/>
    <w:rPr>
      <w:color w:val="800080" w:themeColor="followedHyperlink"/>
      <w:u w:val="single"/>
    </w:rPr>
  </w:style>
  <w:style w:type="character" w:styleId="UnresolvedMention">
    <w:name w:val="Unresolved Mention"/>
    <w:basedOn w:val="DefaultParagraphFont"/>
    <w:uiPriority w:val="99"/>
    <w:semiHidden/>
    <w:unhideWhenUsed/>
    <w:rsid w:val="00906551"/>
    <w:rPr>
      <w:color w:val="605E5C"/>
      <w:shd w:val="clear" w:color="auto" w:fill="E1DFDD"/>
    </w:rPr>
  </w:style>
  <w:style w:type="paragraph" w:styleId="NormalWeb">
    <w:name w:val="Normal (Web)"/>
    <w:basedOn w:val="Normal"/>
    <w:uiPriority w:val="99"/>
    <w:unhideWhenUsed/>
    <w:rsid w:val="00103F11"/>
    <w:pPr>
      <w:spacing w:before="100" w:beforeAutospacing="1" w:after="100" w:afterAutospacing="1"/>
    </w:pPr>
    <w:rPr>
      <w:sz w:val="24"/>
      <w:szCs w:val="24"/>
      <w:lang w:val="en-GB" w:eastAsia="en-GB"/>
    </w:rPr>
  </w:style>
  <w:style w:type="character" w:customStyle="1" w:styleId="normaltextrun">
    <w:name w:val="normaltextrun"/>
    <w:basedOn w:val="DefaultParagraphFont"/>
    <w:rsid w:val="00B14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Gestational_age_(obstetrics)" TargetMode="External"/><Relationship Id="rId7" Type="http://schemas.openxmlformats.org/officeDocument/2006/relationships/hyperlink" Target="https://www.msnbc.com/opinion/msnbc-opinion/post-roe-abortions-aren-t-only-healthcare-being-denied-women-n1296928" TargetMode="External"/><Relationship Id="rId2" Type="http://schemas.openxmlformats.org/officeDocument/2006/relationships/hyperlink" Target="https://www.guttmacher.org/state-policy" TargetMode="External"/><Relationship Id="rId1" Type="http://schemas.openxmlformats.org/officeDocument/2006/relationships/hyperlink" Target="mailto:p.white-229@kent.ac.uk" TargetMode="External"/><Relationship Id="rId6" Type="http://schemas.openxmlformats.org/officeDocument/2006/relationships/hyperlink" Target="https://en.wikipedia.org/wiki/Infant" TargetMode="External"/><Relationship Id="rId5" Type="http://schemas.openxmlformats.org/officeDocument/2006/relationships/hyperlink" Target="https://en.wikipedia.org/wiki/Fetus" TargetMode="External"/><Relationship Id="rId4" Type="http://schemas.openxmlformats.org/officeDocument/2006/relationships/hyperlink" Target="https://en.wikipedia.org/wiki/Preterm_bi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3A3E8414BF2647878A50716EADB791" ma:contentTypeVersion="14" ma:contentTypeDescription="Create a new document." ma:contentTypeScope="" ma:versionID="754ade3cacc927b516f1bb3dedf5d943">
  <xsd:schema xmlns:xsd="http://www.w3.org/2001/XMLSchema" xmlns:xs="http://www.w3.org/2001/XMLSchema" xmlns:p="http://schemas.microsoft.com/office/2006/metadata/properties" xmlns:ns3="c6234777-a953-4a24-b068-328e637f6d83" xmlns:ns4="675c330b-41c6-4d75-9930-11d8135af13b" targetNamespace="http://schemas.microsoft.com/office/2006/metadata/properties" ma:root="true" ma:fieldsID="4c9293295098a16452bd39d8d58b915b" ns3:_="" ns4:_="">
    <xsd:import namespace="c6234777-a953-4a24-b068-328e637f6d83"/>
    <xsd:import namespace="675c330b-41c6-4d75-9930-11d8135af1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4777-a953-4a24-b068-328e637f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c330b-41c6-4d75-9930-11d8135af1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6F674-74DF-47BE-BEED-6B5C10AF586F}">
  <ds:schemaRefs>
    <ds:schemaRef ds:uri="http://schemas.openxmlformats.org/officeDocument/2006/bibliography"/>
  </ds:schemaRefs>
</ds:datastoreItem>
</file>

<file path=customXml/itemProps2.xml><?xml version="1.0" encoding="utf-8"?>
<ds:datastoreItem xmlns:ds="http://schemas.openxmlformats.org/officeDocument/2006/customXml" ds:itemID="{2909473C-F1EB-4493-9C42-5E8E7E2D6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34777-a953-4a24-b068-328e637f6d83"/>
    <ds:schemaRef ds:uri="675c330b-41c6-4d75-9930-11d8135a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329FC-9C10-40C6-812C-828A5A26F7A3}">
  <ds:schemaRefs>
    <ds:schemaRef ds:uri="http://schemas.microsoft.com/sharepoint/v3/contenttype/forms"/>
  </ds:schemaRefs>
</ds:datastoreItem>
</file>

<file path=customXml/itemProps4.xml><?xml version="1.0" encoding="utf-8"?>
<ds:datastoreItem xmlns:ds="http://schemas.openxmlformats.org/officeDocument/2006/customXml" ds:itemID="{57B7B717-4527-4065-B8EF-83459C2CC5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1110</Words>
  <Characters>6353</Characters>
  <Application>Microsoft Office Word</Application>
  <DocSecurity>0</DocSecurity>
  <Lines>102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Hunter</dc:creator>
  <cp:lastModifiedBy>Flora Renz</cp:lastModifiedBy>
  <cp:revision>3</cp:revision>
  <cp:lastPrinted>2022-10-24T11:53:00Z</cp:lastPrinted>
  <dcterms:created xsi:type="dcterms:W3CDTF">2022-10-24T12:37:00Z</dcterms:created>
  <dcterms:modified xsi:type="dcterms:W3CDTF">2022-10-24T13:51:00Z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0x010100D33A3E8414BF2647878A50716EADB791</vt:lpwstr>
  </property>
</Properties>
</file>