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DCC2" w14:textId="77777777" w:rsidR="004F5099" w:rsidRDefault="004F5099"/>
    <w:p w14:paraId="211C02B5" w14:textId="51F4150E" w:rsidR="002C3C93" w:rsidRPr="008F4573" w:rsidRDefault="008F4573" w:rsidP="002C3C93">
      <w:pPr>
        <w:pStyle w:val="Heading1"/>
        <w:rPr>
          <w:rFonts w:asciiTheme="minorHAnsi" w:hAnsiTheme="minorHAnsi" w:cstheme="minorHAnsi"/>
          <w:b/>
          <w:bCs/>
          <w:color w:val="000000" w:themeColor="text1"/>
          <w:lang w:val="en-AU"/>
        </w:rPr>
      </w:pPr>
      <w:r w:rsidRPr="008F4573">
        <w:rPr>
          <w:rFonts w:asciiTheme="minorHAnsi" w:hAnsiTheme="minorHAnsi" w:cstheme="minorHAnsi"/>
          <w:b/>
          <w:bCs/>
          <w:color w:val="000000" w:themeColor="text1"/>
          <w:lang w:val="en-AU"/>
        </w:rPr>
        <w:t>Critical Disability Studies and the State</w:t>
      </w:r>
    </w:p>
    <w:p w14:paraId="27D3D851" w14:textId="781C255D" w:rsidR="00351423" w:rsidRPr="00AC2874" w:rsidRDefault="00351423">
      <w:pPr>
        <w:rPr>
          <w:b/>
          <w:sz w:val="28"/>
          <w:szCs w:val="28"/>
        </w:rPr>
      </w:pPr>
    </w:p>
    <w:p w14:paraId="051E6D1A" w14:textId="77777777" w:rsidR="00351423" w:rsidRDefault="00351423">
      <w:pPr>
        <w:rPr>
          <w:b/>
        </w:rPr>
      </w:pPr>
    </w:p>
    <w:p w14:paraId="7B4C3178" w14:textId="305DEE6E" w:rsidR="00351423" w:rsidRPr="00AC2874" w:rsidRDefault="008F4573">
      <w:pPr>
        <w:rPr>
          <w:sz w:val="24"/>
          <w:szCs w:val="24"/>
        </w:rPr>
      </w:pPr>
      <w:r w:rsidRPr="008F4573">
        <w:rPr>
          <w:b/>
          <w:sz w:val="24"/>
          <w:szCs w:val="24"/>
          <w:lang w:val="en-AU"/>
        </w:rPr>
        <w:t xml:space="preserve">Dinesh </w:t>
      </w:r>
      <w:proofErr w:type="spellStart"/>
      <w:r w:rsidRPr="008F4573">
        <w:rPr>
          <w:b/>
          <w:sz w:val="24"/>
          <w:szCs w:val="24"/>
          <w:lang w:val="en-AU"/>
        </w:rPr>
        <w:t>Wadiwel</w:t>
      </w:r>
      <w:proofErr w:type="spellEnd"/>
      <w:r w:rsidR="00351423" w:rsidRPr="00AC2874">
        <w:rPr>
          <w:rStyle w:val="FootnoteReference"/>
          <w:b/>
          <w:sz w:val="24"/>
          <w:szCs w:val="24"/>
        </w:rPr>
        <w:footnoteReference w:customMarkFollows="1" w:id="1"/>
        <w:t>*</w:t>
      </w:r>
      <w:r w:rsidR="00351423" w:rsidRPr="00AC2874">
        <w:rPr>
          <w:b/>
          <w:sz w:val="24"/>
          <w:szCs w:val="24"/>
        </w:rPr>
        <w:t xml:space="preserve"> </w:t>
      </w:r>
    </w:p>
    <w:p w14:paraId="3512BD2F" w14:textId="77777777" w:rsidR="00351423" w:rsidRDefault="00351423"/>
    <w:p w14:paraId="77514ABC" w14:textId="04ACF5B4" w:rsidR="00265DAF" w:rsidRPr="00265DAF" w:rsidRDefault="00265DAF" w:rsidP="00265DAF">
      <w:pPr>
        <w:pStyle w:val="Heading2"/>
        <w:rPr>
          <w:rFonts w:asciiTheme="minorHAnsi" w:hAnsiTheme="minorHAnsi" w:cstheme="minorHAnsi"/>
          <w:b/>
          <w:bCs/>
          <w:color w:val="000000" w:themeColor="text1"/>
          <w:sz w:val="24"/>
          <w:szCs w:val="24"/>
          <w:lang w:val="en-CA"/>
        </w:rPr>
      </w:pPr>
      <w:r w:rsidRPr="00265DAF">
        <w:rPr>
          <w:rFonts w:asciiTheme="minorHAnsi" w:hAnsiTheme="minorHAnsi" w:cstheme="minorHAnsi"/>
          <w:b/>
          <w:bCs/>
          <w:color w:val="000000" w:themeColor="text1"/>
          <w:sz w:val="24"/>
          <w:szCs w:val="24"/>
          <w:lang w:val="en-CA"/>
        </w:rPr>
        <w:t>Abstract</w:t>
      </w:r>
    </w:p>
    <w:p w14:paraId="06B5C834" w14:textId="35B3478B" w:rsidR="00265DAF" w:rsidRDefault="008F4573">
      <w:proofErr w:type="spellStart"/>
      <w:r w:rsidRPr="008F4573">
        <w:rPr>
          <w:sz w:val="24"/>
          <w:szCs w:val="24"/>
          <w:lang w:val="en-AU"/>
        </w:rPr>
        <w:t>Liat</w:t>
      </w:r>
      <w:proofErr w:type="spellEnd"/>
      <w:r w:rsidRPr="008F4573">
        <w:rPr>
          <w:sz w:val="24"/>
          <w:szCs w:val="24"/>
          <w:lang w:val="en-AU"/>
        </w:rPr>
        <w:t xml:space="preserve"> Ben-Moshe’s </w:t>
      </w:r>
      <w:proofErr w:type="spellStart"/>
      <w:r w:rsidRPr="008F4573">
        <w:rPr>
          <w:i/>
          <w:sz w:val="24"/>
          <w:szCs w:val="24"/>
          <w:lang w:val="en-AU"/>
        </w:rPr>
        <w:t>Decarcerating</w:t>
      </w:r>
      <w:proofErr w:type="spellEnd"/>
      <w:r w:rsidRPr="008F4573">
        <w:rPr>
          <w:i/>
          <w:sz w:val="24"/>
          <w:szCs w:val="24"/>
          <w:lang w:val="en-AU"/>
        </w:rPr>
        <w:t xml:space="preserve"> Disability: Deinstitutionalization and Prison Abolition</w:t>
      </w:r>
      <w:r w:rsidRPr="008F4573">
        <w:rPr>
          <w:sz w:val="24"/>
          <w:szCs w:val="24"/>
          <w:lang w:val="en-AU"/>
        </w:rPr>
        <w:t xml:space="preserve">, and Linda Steele’s </w:t>
      </w:r>
      <w:r w:rsidRPr="008F4573">
        <w:rPr>
          <w:i/>
          <w:sz w:val="24"/>
          <w:szCs w:val="24"/>
          <w:lang w:val="en-AU"/>
        </w:rPr>
        <w:t xml:space="preserve">Disability, Criminal </w:t>
      </w:r>
      <w:proofErr w:type="gramStart"/>
      <w:r w:rsidRPr="008F4573">
        <w:rPr>
          <w:i/>
          <w:sz w:val="24"/>
          <w:szCs w:val="24"/>
          <w:lang w:val="en-AU"/>
        </w:rPr>
        <w:t>Justice</w:t>
      </w:r>
      <w:proofErr w:type="gramEnd"/>
      <w:r w:rsidRPr="008F4573">
        <w:rPr>
          <w:i/>
          <w:sz w:val="24"/>
          <w:szCs w:val="24"/>
          <w:lang w:val="en-AU"/>
        </w:rPr>
        <w:t xml:space="preserve"> and Law:</w:t>
      </w:r>
      <w:r w:rsidRPr="008F4573">
        <w:rPr>
          <w:sz w:val="24"/>
          <w:szCs w:val="24"/>
          <w:lang w:val="en-AU"/>
        </w:rPr>
        <w:t xml:space="preserve"> </w:t>
      </w:r>
      <w:r w:rsidRPr="008F4573">
        <w:rPr>
          <w:i/>
          <w:sz w:val="24"/>
          <w:szCs w:val="24"/>
          <w:lang w:val="en-AU"/>
        </w:rPr>
        <w:t>Reconsidering Court Diversion</w:t>
      </w:r>
      <w:r w:rsidRPr="008F4573">
        <w:rPr>
          <w:sz w:val="24"/>
          <w:szCs w:val="24"/>
          <w:lang w:val="en-AU"/>
        </w:rPr>
        <w:t xml:space="preserve"> offer distinct critical perspectives on the law and by extension, the State. This essay offers some reflections on the implications for future research in Critical Disability Studies on the State and its relation to disability. Here it is argued that there is scope for a widened analysis of, firstly, what exactly the State is from the perspective of disability; secondly, the distinct role of the State in participating in the construction of disability as a form of social oppression; and finally, the tactical problem posed by the State, as both agent of violence against people with disability and a potential vehicle for structural change.</w:t>
      </w:r>
    </w:p>
    <w:p w14:paraId="0F1BD71B" w14:textId="77777777" w:rsidR="002C3C93" w:rsidRDefault="002C3C93"/>
    <w:p w14:paraId="7AAC46A8" w14:textId="77777777" w:rsidR="008F4573" w:rsidRPr="008F4573" w:rsidRDefault="008F4573" w:rsidP="008F4573">
      <w:pPr>
        <w:spacing w:before="240" w:after="240"/>
        <w:rPr>
          <w:rFonts w:eastAsia="Times New Roman" w:cstheme="minorHAnsi"/>
          <w:sz w:val="24"/>
          <w:szCs w:val="24"/>
        </w:rPr>
      </w:pPr>
      <w:r w:rsidRPr="008F4573">
        <w:rPr>
          <w:rFonts w:eastAsia="Times New Roman" w:cstheme="minorHAnsi"/>
          <w:sz w:val="24"/>
          <w:szCs w:val="24"/>
        </w:rPr>
        <w:t xml:space="preserve">Just over 30 years ago Catharine A. MacKinnon put forward the proposition that “feminism has no theory of the state” (1989: 157). In this context MacKinnon posed a problem at the level of praxis, relating to the strategic relationship between feminism and the law:  </w:t>
      </w:r>
    </w:p>
    <w:p w14:paraId="3E1F970A" w14:textId="77777777" w:rsidR="008F4573" w:rsidRPr="008F4573" w:rsidRDefault="008F4573" w:rsidP="008F4573">
      <w:pPr>
        <w:spacing w:before="240" w:after="240"/>
        <w:ind w:left="720"/>
        <w:rPr>
          <w:rFonts w:eastAsia="Times New Roman" w:cstheme="minorHAnsi"/>
          <w:sz w:val="24"/>
          <w:szCs w:val="24"/>
        </w:rPr>
      </w:pPr>
      <w:r w:rsidRPr="008F4573">
        <w:rPr>
          <w:rFonts w:eastAsia="Times New Roman" w:cstheme="minorHAnsi"/>
          <w:sz w:val="24"/>
          <w:szCs w:val="24"/>
        </w:rPr>
        <w:t xml:space="preserve">Feminism has not confronted, on its own terms, the relation between the state and society within a theory of social determination specific to sex. As a result, it lacks a jurisprudence, that is, a theory of the substance of law, its relation to society, and the relationship between the two. Such a theory would comprehend how law works as a form of state power in a social context in which power is gendered. It would answer the questions: What is state power? Where, socially, does it come from? How do women encounter it? What is the law for women? How does law work to </w:t>
      </w:r>
      <w:r w:rsidRPr="008F4573">
        <w:rPr>
          <w:rFonts w:eastAsia="Times New Roman" w:cstheme="minorHAnsi"/>
          <w:sz w:val="24"/>
          <w:szCs w:val="24"/>
        </w:rPr>
        <w:lastRenderedPageBreak/>
        <w:t>legitimate the state, male power, itself? Can law do anything for women? Can it do anything about women’s status? Does how the law is used matter? (MacKinnon 1989: 159)</w:t>
      </w:r>
    </w:p>
    <w:p w14:paraId="5CF225C9" w14:textId="77777777" w:rsidR="008F4573" w:rsidRPr="008F4573" w:rsidRDefault="008F4573" w:rsidP="008F4573">
      <w:pPr>
        <w:spacing w:before="240" w:after="240"/>
        <w:rPr>
          <w:rFonts w:eastAsia="Times New Roman" w:cstheme="minorHAnsi"/>
          <w:sz w:val="24"/>
          <w:szCs w:val="24"/>
        </w:rPr>
      </w:pPr>
      <w:r w:rsidRPr="008F4573">
        <w:rPr>
          <w:rFonts w:eastAsia="Times New Roman" w:cstheme="minorHAnsi"/>
          <w:sz w:val="24"/>
          <w:szCs w:val="24"/>
        </w:rPr>
        <w:t xml:space="preserve">There is of course much we could say about MacKinnon’s perspective in this classic text. We could certainly ask </w:t>
      </w:r>
      <w:r w:rsidRPr="008F4573">
        <w:rPr>
          <w:rFonts w:eastAsia="Times New Roman" w:cstheme="minorHAnsi"/>
          <w:i/>
          <w:sz w:val="24"/>
          <w:szCs w:val="24"/>
        </w:rPr>
        <w:t>which</w:t>
      </w:r>
      <w:r w:rsidRPr="008F4573">
        <w:rPr>
          <w:rFonts w:eastAsia="Times New Roman" w:cstheme="minorHAnsi"/>
          <w:sz w:val="24"/>
          <w:szCs w:val="24"/>
        </w:rPr>
        <w:t xml:space="preserve"> feminism Mackinnon seeks to represent, and whether all feminist traditions lacked a theory of the State. For example, work in the Black feminist tradition, such as Angela Davis’ 1981 text </w:t>
      </w:r>
      <w:r w:rsidRPr="008F4573">
        <w:rPr>
          <w:rFonts w:eastAsia="Times New Roman" w:cstheme="minorHAnsi"/>
          <w:i/>
          <w:sz w:val="24"/>
          <w:szCs w:val="24"/>
        </w:rPr>
        <w:t>Women, Race and Class,</w:t>
      </w:r>
      <w:r w:rsidRPr="008F4573">
        <w:rPr>
          <w:rFonts w:eastAsia="Times New Roman" w:cstheme="minorHAnsi"/>
          <w:sz w:val="24"/>
          <w:szCs w:val="24"/>
        </w:rPr>
        <w:t xml:space="preserve"> do indeed advance distinct perspectives on the State, highlighting the non-neutrality of the state, including the place of “racism in the judicial system” and “the government’s posture of studied neglect toward Black people and other people of </w:t>
      </w:r>
      <w:proofErr w:type="spellStart"/>
      <w:r w:rsidRPr="008F4573">
        <w:rPr>
          <w:rFonts w:eastAsia="Times New Roman" w:cstheme="minorHAnsi"/>
          <w:sz w:val="24"/>
          <w:szCs w:val="24"/>
        </w:rPr>
        <w:t>color</w:t>
      </w:r>
      <w:proofErr w:type="spellEnd"/>
      <w:r w:rsidRPr="008F4573">
        <w:rPr>
          <w:rFonts w:eastAsia="Times New Roman" w:cstheme="minorHAnsi"/>
          <w:sz w:val="24"/>
          <w:szCs w:val="24"/>
        </w:rPr>
        <w:t xml:space="preserve">” (Davis, 1981: 201). Nevertheless, despite this limitation, MacKinnon’s challenge remains broadly valuable for thinking about social movements and their relation to the State. The text points to the pressing need for movements to theorise the political terrain as part of their praxis; and in the case of the State, both analyse its complicity in violence and oppression, and simultaneously </w:t>
      </w:r>
      <w:proofErr w:type="spellStart"/>
      <w:r w:rsidRPr="008F4573">
        <w:rPr>
          <w:rFonts w:eastAsia="Times New Roman" w:cstheme="minorHAnsi"/>
          <w:sz w:val="24"/>
          <w:szCs w:val="24"/>
        </w:rPr>
        <w:t>strategise</w:t>
      </w:r>
      <w:proofErr w:type="spellEnd"/>
      <w:r w:rsidRPr="008F4573">
        <w:rPr>
          <w:rFonts w:eastAsia="Times New Roman" w:cstheme="minorHAnsi"/>
          <w:sz w:val="24"/>
          <w:szCs w:val="24"/>
        </w:rPr>
        <w:t xml:space="preserve"> in relation to the opportunities and limits presented by the State as an agent of change. </w:t>
      </w:r>
    </w:p>
    <w:p w14:paraId="50A070FA"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Reading both </w:t>
      </w:r>
      <w:proofErr w:type="spellStart"/>
      <w:r w:rsidRPr="008F4573">
        <w:rPr>
          <w:rFonts w:eastAsia="Times New Roman" w:cstheme="minorHAnsi"/>
          <w:sz w:val="24"/>
          <w:szCs w:val="24"/>
        </w:rPr>
        <w:t>Liat</w:t>
      </w:r>
      <w:proofErr w:type="spellEnd"/>
      <w:r w:rsidRPr="008F4573">
        <w:rPr>
          <w:rFonts w:eastAsia="Times New Roman" w:cstheme="minorHAnsi"/>
          <w:sz w:val="24"/>
          <w:szCs w:val="24"/>
        </w:rPr>
        <w:t xml:space="preserve"> Ben-Moshe’s </w:t>
      </w:r>
      <w:proofErr w:type="spellStart"/>
      <w:r w:rsidRPr="008F4573">
        <w:rPr>
          <w:rFonts w:eastAsia="Times New Roman" w:cstheme="minorHAnsi"/>
          <w:i/>
          <w:sz w:val="24"/>
          <w:szCs w:val="24"/>
        </w:rPr>
        <w:t>Decarcerating</w:t>
      </w:r>
      <w:proofErr w:type="spellEnd"/>
      <w:r w:rsidRPr="008F4573">
        <w:rPr>
          <w:rFonts w:eastAsia="Times New Roman" w:cstheme="minorHAnsi"/>
          <w:i/>
          <w:sz w:val="24"/>
          <w:szCs w:val="24"/>
        </w:rPr>
        <w:t xml:space="preserve"> Disability</w:t>
      </w:r>
      <w:r w:rsidRPr="008F4573">
        <w:rPr>
          <w:rFonts w:eastAsia="Times New Roman" w:cstheme="minorHAnsi"/>
          <w:sz w:val="24"/>
          <w:szCs w:val="24"/>
        </w:rPr>
        <w:t xml:space="preserve">, and Linda Steele’s </w:t>
      </w:r>
      <w:r w:rsidRPr="008F4573">
        <w:rPr>
          <w:rFonts w:eastAsia="Times New Roman" w:cstheme="minorHAnsi"/>
          <w:i/>
          <w:sz w:val="24"/>
          <w:szCs w:val="24"/>
        </w:rPr>
        <w:t xml:space="preserve">Disability, Criminal </w:t>
      </w:r>
      <w:proofErr w:type="gramStart"/>
      <w:r w:rsidRPr="008F4573">
        <w:rPr>
          <w:rFonts w:eastAsia="Times New Roman" w:cstheme="minorHAnsi"/>
          <w:i/>
          <w:sz w:val="24"/>
          <w:szCs w:val="24"/>
        </w:rPr>
        <w:t>Justice</w:t>
      </w:r>
      <w:proofErr w:type="gramEnd"/>
      <w:r w:rsidRPr="008F4573">
        <w:rPr>
          <w:rFonts w:eastAsia="Times New Roman" w:cstheme="minorHAnsi"/>
          <w:i/>
          <w:sz w:val="24"/>
          <w:szCs w:val="24"/>
        </w:rPr>
        <w:t xml:space="preserve"> and Law</w:t>
      </w:r>
      <w:r w:rsidRPr="008F4573">
        <w:rPr>
          <w:rFonts w:eastAsia="Times New Roman" w:cstheme="minorHAnsi"/>
          <w:sz w:val="24"/>
          <w:szCs w:val="24"/>
        </w:rPr>
        <w:t xml:space="preserve">, I found myself remembering the questions asked within MacKinnon’s text. To an extent, my own view would be that critical disability studies has </w:t>
      </w:r>
      <w:proofErr w:type="gramStart"/>
      <w:r w:rsidRPr="008F4573">
        <w:rPr>
          <w:rFonts w:eastAsia="Times New Roman" w:cstheme="minorHAnsi"/>
          <w:sz w:val="24"/>
          <w:szCs w:val="24"/>
        </w:rPr>
        <w:t>been in need of</w:t>
      </w:r>
      <w:proofErr w:type="gramEnd"/>
      <w:r w:rsidRPr="008F4573">
        <w:rPr>
          <w:rFonts w:eastAsia="Times New Roman" w:cstheme="minorHAnsi"/>
          <w:sz w:val="24"/>
          <w:szCs w:val="24"/>
        </w:rPr>
        <w:t xml:space="preserve"> more work that critically interrogates the relationship between the State and people with disability: to understand how the State shapes the political terrain of disability, and simultaneously determines in what way (if at all) the State has a role in addressing injustice experienced by people with disability</w:t>
      </w:r>
      <w:sdt>
        <w:sdtPr>
          <w:rPr>
            <w:rFonts w:cstheme="minorHAnsi"/>
            <w:sz w:val="24"/>
            <w:szCs w:val="24"/>
          </w:rPr>
          <w:tag w:val="goog_rdk_0"/>
          <w:id w:val="-90940381"/>
        </w:sdtPr>
        <w:sdtContent/>
      </w:sdt>
      <w:sdt>
        <w:sdtPr>
          <w:rPr>
            <w:rFonts w:cstheme="minorHAnsi"/>
            <w:sz w:val="24"/>
            <w:szCs w:val="24"/>
          </w:rPr>
          <w:tag w:val="goog_rdk_1"/>
          <w:id w:val="-70045392"/>
        </w:sdtPr>
        <w:sdtContent/>
      </w:sdt>
      <w:r w:rsidRPr="008F4573">
        <w:rPr>
          <w:rFonts w:eastAsia="Times New Roman" w:cstheme="minorHAnsi"/>
          <w:sz w:val="24"/>
          <w:szCs w:val="24"/>
        </w:rPr>
        <w:t xml:space="preserve">. Both Ben-Moshe and Steele’s impressive new texts help to address this need for more refined analysis. </w:t>
      </w:r>
    </w:p>
    <w:p w14:paraId="361B024F"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Ben-Moshe’s book takes </w:t>
      </w:r>
      <w:proofErr w:type="spellStart"/>
      <w:r w:rsidRPr="008F4573">
        <w:rPr>
          <w:rFonts w:eastAsia="Times New Roman" w:cstheme="minorHAnsi"/>
          <w:sz w:val="24"/>
          <w:szCs w:val="24"/>
        </w:rPr>
        <w:t>carcerality</w:t>
      </w:r>
      <w:proofErr w:type="spellEnd"/>
      <w:r w:rsidRPr="008F4573">
        <w:rPr>
          <w:rFonts w:eastAsia="Times New Roman" w:cstheme="minorHAnsi"/>
          <w:sz w:val="24"/>
          <w:szCs w:val="24"/>
        </w:rPr>
        <w:t xml:space="preserve"> as a focus, highlighting not only why the history of disability institutionalisation and de-institutionalisation should be of interest to prison abolition movements; but further arguing that radical demands made by people with disability to end institutionalisation are </w:t>
      </w:r>
      <w:r w:rsidRPr="008F4573">
        <w:rPr>
          <w:rFonts w:eastAsia="Times New Roman" w:cstheme="minorHAnsi"/>
          <w:i/>
          <w:sz w:val="24"/>
          <w:szCs w:val="24"/>
        </w:rPr>
        <w:t>also</w:t>
      </w:r>
      <w:r w:rsidRPr="008F4573">
        <w:rPr>
          <w:rFonts w:eastAsia="Times New Roman" w:cstheme="minorHAnsi"/>
          <w:sz w:val="24"/>
          <w:szCs w:val="24"/>
        </w:rPr>
        <w:t xml:space="preserve"> examples of </w:t>
      </w:r>
      <w:proofErr w:type="spellStart"/>
      <w:r w:rsidRPr="008F4573">
        <w:rPr>
          <w:rFonts w:eastAsia="Times New Roman" w:cstheme="minorHAnsi"/>
          <w:sz w:val="24"/>
          <w:szCs w:val="24"/>
        </w:rPr>
        <w:t>decarceration</w:t>
      </w:r>
      <w:proofErr w:type="spellEnd"/>
      <w:r w:rsidRPr="008F4573">
        <w:rPr>
          <w:rFonts w:eastAsia="Times New Roman" w:cstheme="minorHAnsi"/>
          <w:sz w:val="24"/>
          <w:szCs w:val="24"/>
        </w:rPr>
        <w:t xml:space="preserve"> movements. The involvement of the State in the violence of incarceration – in a range of spheres – creates tactical questions for disability movements. In this context, Ben-Moshe explores the </w:t>
      </w:r>
      <w:r w:rsidRPr="008F4573">
        <w:rPr>
          <w:rFonts w:eastAsia="Times New Roman" w:cstheme="minorHAnsi"/>
          <w:sz w:val="24"/>
          <w:szCs w:val="24"/>
        </w:rPr>
        <w:lastRenderedPageBreak/>
        <w:t xml:space="preserve">limitations of the legal avenues for disability movements, arguing that “litigation and rights discourse draw on the state in fixing social ills of its own creation” (Ben-Moshe, 2020: 7.41).  These concerns overtly shape Ben-Moshe’s suggested political approach, which downplays piecemeal reform in favour of </w:t>
      </w:r>
      <w:r w:rsidRPr="008F4573">
        <w:rPr>
          <w:rFonts w:eastAsia="Times New Roman" w:cstheme="minorHAnsi"/>
          <w:i/>
          <w:sz w:val="24"/>
          <w:szCs w:val="24"/>
        </w:rPr>
        <w:t>abolition</w:t>
      </w:r>
      <w:r w:rsidRPr="008F4573">
        <w:rPr>
          <w:rFonts w:eastAsia="Times New Roman" w:cstheme="minorHAnsi"/>
          <w:sz w:val="24"/>
          <w:szCs w:val="24"/>
        </w:rPr>
        <w:t xml:space="preserve"> as a political rationality and tactic (see Ben-Moshe, 2020: 3.1-24).</w:t>
      </w:r>
    </w:p>
    <w:p w14:paraId="45346239"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Steele explores court diversion as a modality of State violence used against people with disability. As Steele highlights, diversion is often understood as a legal pathway which ‘protects’ people with disability from forms of carceral violence in the criminal justice system. However, diversion opens people with disability to alternative forms of violence; in this sense, for Steele, diversion must be understood as a strategy of legal violence which redirects people with disability towards “coercive intervention through disability and mental health service” (Steele, 2020:1). Like Ben-Moshe’s text, Steele’s case study of court diversion reveals a number of different dimensions of State violence which are of importance to critical disability studies. Firstly, relevant to contexts such as Australia, Canada and the United States, Steele observes that the State is profoundly shaped by imperialism and settler colonialism, which frames both the violence that is experienced by people with disability and the tactics which are possible for disability movements (Steele, 2020: 16). Secondly, the State is intensely involved in forms of </w:t>
      </w:r>
      <w:proofErr w:type="spellStart"/>
      <w:r w:rsidRPr="008F4573">
        <w:rPr>
          <w:rFonts w:eastAsia="Times New Roman" w:cstheme="minorHAnsi"/>
          <w:sz w:val="24"/>
          <w:szCs w:val="24"/>
        </w:rPr>
        <w:t>carcerality</w:t>
      </w:r>
      <w:proofErr w:type="spellEnd"/>
      <w:r w:rsidRPr="008F4573">
        <w:rPr>
          <w:rFonts w:eastAsia="Times New Roman" w:cstheme="minorHAnsi"/>
          <w:sz w:val="24"/>
          <w:szCs w:val="24"/>
        </w:rPr>
        <w:t xml:space="preserve"> as a primary form of legal violence. In unison with Ben-Moshe, Steele’s analysis of the carceral moves beyond the sphere of the formal criminal justice system, to include, for example, institutional forms of disability support. Thirdly, the State seeks to legitimise its own authority. Steele’s case study of court diversion highlights that in discursively framing the capacity for the law to appear ‘compassionate’ in protecting people from its own violence in the criminal justice system, the State effectively legitimates its own force, and simultaneously denies its own role as an agent of violence (Steele 2020: 18; see also 109). </w:t>
      </w:r>
    </w:p>
    <w:p w14:paraId="05A8F02A"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Ben-Moshe and Steele’s texts are to an extent complementary in their analyses of law’s violence and its relationship to people with disability, offering case studies which, when placed together, provide the reader a wide and comprehensive picture. There is a strong united theme in both books: both texts highlight the non-neutrality of the State with respect to people with disability. As a result, both Ben-Moshe and Steele are suspicious of </w:t>
      </w:r>
      <w:r w:rsidRPr="008F4573">
        <w:rPr>
          <w:rFonts w:eastAsia="Times New Roman" w:cstheme="minorHAnsi"/>
          <w:sz w:val="24"/>
          <w:szCs w:val="24"/>
        </w:rPr>
        <w:lastRenderedPageBreak/>
        <w:t xml:space="preserve">the capacity of the law to achieve positive change, and both texts highlight the way in which even well intentioned “legal actors might be complicit in disability injustice” (Steele 2020, 14). Ben-Moshe, for example, draws critical attention to the way some feminist demands for policing and criminalisation in response to violence have led to “the </w:t>
      </w:r>
      <w:proofErr w:type="spellStart"/>
      <w:r w:rsidRPr="008F4573">
        <w:rPr>
          <w:rFonts w:eastAsia="Times New Roman" w:cstheme="minorHAnsi"/>
          <w:sz w:val="24"/>
          <w:szCs w:val="24"/>
        </w:rPr>
        <w:t>build up</w:t>
      </w:r>
      <w:proofErr w:type="spellEnd"/>
      <w:r w:rsidRPr="008F4573">
        <w:rPr>
          <w:rFonts w:eastAsia="Times New Roman" w:cstheme="minorHAnsi"/>
          <w:sz w:val="24"/>
          <w:szCs w:val="24"/>
        </w:rPr>
        <w:t xml:space="preserve"> of the prison nation” (Ben-Moshe 2020, 3.5; see also Richie 2012, 3). Thus, the abolition approach advocated by Ben-Moshe calls for a “lens rooted in black radical tradition that critiques the state as violent and not the arena to seek remediation to injustice” (Ben-Moshe 2020, 3.6). Steele similarly expresses repeated concerns about the capacity of domestic and international law to provide justice to people with disability; for example, with reference to the often lauded United Nations Convention on the Rights of Persons with Disabilities (CRPD), Steele suggests the need for a “careful and strategic” approach, warning that “an unreflective, instrumental and technical use of the CRPD risks further legitimating and embedding carceral control and debilitation of criminalised disabled people” (Steele 2020: 214). </w:t>
      </w:r>
    </w:p>
    <w:p w14:paraId="3D122B5D"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Both Ben-Moshe and Steele’s important new books have raised some further questions for me about the relationship between the State and people with disability. These are both questions of analysis and of praxis. Firstly, from the standpoint of disability, what is the State? Ben-Moshe and Steele lean strongly on a Foucauldian analysis of power, </w:t>
      </w:r>
      <w:proofErr w:type="spellStart"/>
      <w:r w:rsidRPr="008F4573">
        <w:rPr>
          <w:rFonts w:eastAsia="Times New Roman" w:cstheme="minorHAnsi"/>
          <w:sz w:val="24"/>
          <w:szCs w:val="24"/>
        </w:rPr>
        <w:t>carcerality</w:t>
      </w:r>
      <w:proofErr w:type="spellEnd"/>
      <w:r w:rsidRPr="008F4573">
        <w:rPr>
          <w:rFonts w:eastAsia="Times New Roman" w:cstheme="minorHAnsi"/>
          <w:sz w:val="24"/>
          <w:szCs w:val="24"/>
        </w:rPr>
        <w:t xml:space="preserve"> and the law. But perhaps there are limits to how far such an analysis might be able to interrogate State power. Foucault famously distanced himself from a theory of power that revolved around the politics of the State (Foucault 1980: 121) and sometimes treated it as a somewhat ‘episodic’ phenomena with the terrain of power: “the state is only an episode in government, and it is not government that is an instrument of the state” (Foucault 2007: 248; see also </w:t>
      </w:r>
      <w:proofErr w:type="spellStart"/>
      <w:r w:rsidRPr="008F4573">
        <w:rPr>
          <w:rFonts w:eastAsia="Times New Roman" w:cstheme="minorHAnsi"/>
          <w:sz w:val="24"/>
          <w:szCs w:val="24"/>
        </w:rPr>
        <w:t>Tremain</w:t>
      </w:r>
      <w:proofErr w:type="spellEnd"/>
      <w:r w:rsidRPr="008F4573">
        <w:rPr>
          <w:rFonts w:eastAsia="Times New Roman" w:cstheme="minorHAnsi"/>
          <w:sz w:val="24"/>
          <w:szCs w:val="24"/>
        </w:rPr>
        <w:t xml:space="preserve"> 2006: 3-4 and 10-11). In this respect, Foucault’s analysis of the State is somewhat – for me at least – under-developed. And this analysis misses that the State, from the standpoint of disability, has a potentially radically different meaning. What does critical disability studies have to say about the meaning of the State, the law and government? For example, how was the evolution of the Hobbesian state, and the monopoly of violence that is associated with it (see Hobbes 1994), interconnected with the right of the State to use systematic violence against people with disability to securitise, </w:t>
      </w:r>
      <w:r w:rsidRPr="008F4573">
        <w:rPr>
          <w:rFonts w:eastAsia="Times New Roman" w:cstheme="minorHAnsi"/>
          <w:sz w:val="24"/>
          <w:szCs w:val="24"/>
        </w:rPr>
        <w:lastRenderedPageBreak/>
        <w:t xml:space="preserve">normalise and ‘immunise’, including through institutional torture and ill-treatment (see </w:t>
      </w:r>
      <w:proofErr w:type="spellStart"/>
      <w:r w:rsidRPr="008F4573">
        <w:rPr>
          <w:rFonts w:eastAsia="Times New Roman" w:cstheme="minorHAnsi"/>
          <w:sz w:val="24"/>
          <w:szCs w:val="24"/>
        </w:rPr>
        <w:t>Wadiwel</w:t>
      </w:r>
      <w:proofErr w:type="spellEnd"/>
      <w:r w:rsidRPr="008F4573">
        <w:rPr>
          <w:rFonts w:eastAsia="Times New Roman" w:cstheme="minorHAnsi"/>
          <w:sz w:val="24"/>
          <w:szCs w:val="24"/>
        </w:rPr>
        <w:t xml:space="preserve"> 2017; Puar 2017)? Further, how was the evolution of the State also connected with contemporary conceptions of the ‘rule the law’, and rights to security and protection which are central to contemporary human rights claims made by disability movements? To what extent can we separate contemporary claims for equality and security from the understandings of State power which have evolved around its monopoly over violence? </w:t>
      </w:r>
    </w:p>
    <w:p w14:paraId="7D1659C9"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Secondly, and related to the above, how is the genealogy of the State intertwined with the emergence of ‘impairment’ and ‘disability’ as categories? There are different trajectories to explore here. For example, relevant to colonial history of contemporary state power, Nirmala </w:t>
      </w:r>
      <w:proofErr w:type="spellStart"/>
      <w:r w:rsidRPr="008F4573">
        <w:rPr>
          <w:rFonts w:eastAsia="Times New Roman" w:cstheme="minorHAnsi"/>
          <w:sz w:val="24"/>
          <w:szCs w:val="24"/>
        </w:rPr>
        <w:t>Erevelles</w:t>
      </w:r>
      <w:proofErr w:type="spellEnd"/>
      <w:r w:rsidRPr="008F4573">
        <w:rPr>
          <w:rFonts w:eastAsia="Times New Roman" w:cstheme="minorHAnsi"/>
          <w:sz w:val="24"/>
          <w:szCs w:val="24"/>
        </w:rPr>
        <w:t xml:space="preserve"> argues that racial slavery depended upon the production of ‘black disabled bodies’ as commodities for exchange (</w:t>
      </w:r>
      <w:proofErr w:type="spellStart"/>
      <w:r w:rsidRPr="008F4573">
        <w:rPr>
          <w:rFonts w:eastAsia="Times New Roman" w:cstheme="minorHAnsi"/>
          <w:sz w:val="24"/>
          <w:szCs w:val="24"/>
        </w:rPr>
        <w:t>Erevelles</w:t>
      </w:r>
      <w:proofErr w:type="spellEnd"/>
      <w:r w:rsidRPr="008F4573">
        <w:rPr>
          <w:rFonts w:eastAsia="Times New Roman" w:cstheme="minorHAnsi"/>
          <w:sz w:val="24"/>
          <w:szCs w:val="24"/>
        </w:rPr>
        <w:t xml:space="preserve"> 2014: 86). This ‘value production’ underpinned the development of global capitalism. Mitchell and Snyder track the internationalisation of eugenics, and the ways in which these logics infiltrated the governance of the State (Mitchell and Snyder 2003). Deborah Stone, in </w:t>
      </w:r>
      <w:r w:rsidRPr="008F4573">
        <w:rPr>
          <w:rFonts w:eastAsia="Times New Roman" w:cstheme="minorHAnsi"/>
          <w:i/>
          <w:sz w:val="24"/>
          <w:szCs w:val="24"/>
        </w:rPr>
        <w:t>The Disabled State</w:t>
      </w:r>
      <w:r w:rsidRPr="008F4573">
        <w:rPr>
          <w:rFonts w:eastAsia="Times New Roman" w:cstheme="minorHAnsi"/>
          <w:sz w:val="24"/>
          <w:szCs w:val="24"/>
        </w:rPr>
        <w:t xml:space="preserve">, explores the way the administration of welfare systems gave rise to categories of disability, which in turn produced a social and political conception of impairment and disability (Stone 1984). These different accounts offer histories on how the racial and bureaucratic state interacted with disability as a form of social oppression, and intersected with other forms of structural violence, such as race and sexuality. </w:t>
      </w:r>
    </w:p>
    <w:p w14:paraId="5D7F6D67"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Finally, there is the question of tactics. As above, both Ben-Moshe and Steele express caution about the law and its capacity to be utilised by disability movements as an agent of change. However, there remains, at least in my view, some tricky issues to navigate at the level of strategy. One problem relates to how disability movements might respond to the problem of violence where the State is both cause and cure. In many contexts, in relation to both institutional and interpersonal violence, the State has completely abandoned any responsibility for protecting most people with disability and is often directly complicit with the exercise of force. This means that forms of violence – often State violence – are routinised and ‘naturalised’ in the lives of many people with disability. What should the response of disability movements to this problem be? How is it possible to democratise a right to freedom from violence, while at the same time avoid the problems raised by Ben-</w:t>
      </w:r>
      <w:r w:rsidRPr="008F4573">
        <w:rPr>
          <w:rFonts w:eastAsia="Times New Roman" w:cstheme="minorHAnsi"/>
          <w:sz w:val="24"/>
          <w:szCs w:val="24"/>
        </w:rPr>
        <w:lastRenderedPageBreak/>
        <w:t>Moshe and Steele of playing into a politics which simply authorises and extends the Hobbesian State? Can we do without the Hobbesian state? What is its alternative?</w:t>
      </w:r>
    </w:p>
    <w:p w14:paraId="7C94EC25"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In a different register, I wonder broadly about the role of the State in protecting people with disability from the encroachment of capitalism into almost every aspect of social relations. Traditional social policy approaches have used the State, and its ability to levy taxes and engage in fiscal expenditure, as a way to ameliorate at least part of the violence of the capitalist economic system through forms of ‘decommodification’ (</w:t>
      </w:r>
      <w:proofErr w:type="spellStart"/>
      <w:r w:rsidRPr="008F4573">
        <w:rPr>
          <w:rFonts w:eastAsia="Times New Roman" w:cstheme="minorHAnsi"/>
          <w:sz w:val="24"/>
          <w:szCs w:val="24"/>
        </w:rPr>
        <w:t>Esping</w:t>
      </w:r>
      <w:proofErr w:type="spellEnd"/>
      <w:r w:rsidRPr="008F4573">
        <w:rPr>
          <w:rFonts w:eastAsia="Times New Roman" w:cstheme="minorHAnsi"/>
          <w:sz w:val="24"/>
          <w:szCs w:val="24"/>
        </w:rPr>
        <w:t xml:space="preserve">-Andersen 2012: 63-95). In many parts of the world, social policy interventions, such as income transfers and publicly funded social support, while certainly not beyond criticism, present as important opportunities to address the structural dimensions of ableism. To an extent, and unless radical disability movements are actively calling for full socialisation of the economy – an option I am not dismissing here – the tactical utilisation of State intervention in economies to create the conditions for social protection and support seems to remain an important strategy to address the structural dimensions of ableism. </w:t>
      </w:r>
    </w:p>
    <w:p w14:paraId="78343E93" w14:textId="77777777" w:rsidR="008F4573" w:rsidRPr="008F4573" w:rsidRDefault="008F4573" w:rsidP="008F4573">
      <w:pPr>
        <w:spacing w:before="240" w:after="240"/>
        <w:ind w:firstLine="720"/>
        <w:rPr>
          <w:rFonts w:eastAsia="Times New Roman" w:cstheme="minorHAnsi"/>
          <w:sz w:val="24"/>
          <w:szCs w:val="24"/>
        </w:rPr>
      </w:pPr>
      <w:r w:rsidRPr="008F4573">
        <w:rPr>
          <w:rFonts w:eastAsia="Times New Roman" w:cstheme="minorHAnsi"/>
          <w:sz w:val="24"/>
          <w:szCs w:val="24"/>
        </w:rPr>
        <w:t xml:space="preserve">In all of the above, there is an ongoing tension. On one hand, today’s colonial capitalist State, and all its violence, has imposed itself into almost all social, political, and economic relations; as a result, for many people on the planet, including people with disability, everyday life is experienced through the lens of State violence and deprivation which forms part of the fabric of ableism as a structural relation. On the other hand, the State often appears as a ‘rational and realistic’ solution when social movements consider how to seek justice: the State, as Ben-Moshe and Steele observe in their two books, often presents itself as the remedy, even if it is cause and source of injury. Part of the challenge here is the pervasiveness of the State; our social relations have, it would seem at least, been captured by it. Gayatri </w:t>
      </w:r>
      <w:proofErr w:type="spellStart"/>
      <w:r w:rsidRPr="008F4573">
        <w:rPr>
          <w:rFonts w:eastAsia="Times New Roman" w:cstheme="minorHAnsi"/>
          <w:sz w:val="24"/>
          <w:szCs w:val="24"/>
        </w:rPr>
        <w:t>Chakravorty</w:t>
      </w:r>
      <w:proofErr w:type="spellEnd"/>
      <w:r w:rsidRPr="008F4573">
        <w:rPr>
          <w:rFonts w:eastAsia="Times New Roman" w:cstheme="minorHAnsi"/>
          <w:sz w:val="24"/>
          <w:szCs w:val="24"/>
        </w:rPr>
        <w:t xml:space="preserve"> Spivak suggested a need for a “persistent critique of what one cannot not want” to describe the approach challenging institutional forms of power and discourse that we find ourselves surrounded by and which dominate our imaginations (Danius, Jonsson and Spivak, 1993: 20). Perhaps critical disability studies </w:t>
      </w:r>
      <w:proofErr w:type="gramStart"/>
      <w:r w:rsidRPr="008F4573">
        <w:rPr>
          <w:rFonts w:eastAsia="Times New Roman" w:cstheme="minorHAnsi"/>
          <w:sz w:val="24"/>
          <w:szCs w:val="24"/>
        </w:rPr>
        <w:t>faces</w:t>
      </w:r>
      <w:proofErr w:type="gramEnd"/>
      <w:r w:rsidRPr="008F4573">
        <w:rPr>
          <w:rFonts w:eastAsia="Times New Roman" w:cstheme="minorHAnsi"/>
          <w:sz w:val="24"/>
          <w:szCs w:val="24"/>
        </w:rPr>
        <w:t xml:space="preserve"> a similar dilemma in its theorisation of the State. How might it be possible to desire something other than what everyone says we cannot not want? </w:t>
      </w:r>
    </w:p>
    <w:p w14:paraId="0751866A" w14:textId="77777777" w:rsidR="008F4573" w:rsidRPr="008F4573" w:rsidRDefault="008F4573" w:rsidP="008F4573">
      <w:pPr>
        <w:spacing w:before="240" w:after="240"/>
        <w:rPr>
          <w:rFonts w:eastAsia="Times New Roman" w:cstheme="minorHAnsi"/>
          <w:sz w:val="24"/>
          <w:szCs w:val="24"/>
        </w:rPr>
      </w:pPr>
    </w:p>
    <w:p w14:paraId="5D9E5178" w14:textId="77777777" w:rsidR="008F4573" w:rsidRPr="008F4573" w:rsidRDefault="008F4573" w:rsidP="008F4573">
      <w:pPr>
        <w:spacing w:before="240" w:after="240"/>
        <w:ind w:left="720" w:hanging="720"/>
        <w:rPr>
          <w:rFonts w:eastAsia="Times New Roman" w:cstheme="minorHAnsi"/>
          <w:b/>
          <w:sz w:val="24"/>
          <w:szCs w:val="24"/>
        </w:rPr>
      </w:pPr>
      <w:r w:rsidRPr="008F4573">
        <w:rPr>
          <w:rFonts w:eastAsia="Times New Roman" w:cstheme="minorHAnsi"/>
          <w:b/>
          <w:sz w:val="24"/>
          <w:szCs w:val="24"/>
        </w:rPr>
        <w:t>References</w:t>
      </w:r>
    </w:p>
    <w:p w14:paraId="1DA854F1"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Ben-Moshe, </w:t>
      </w:r>
      <w:proofErr w:type="spellStart"/>
      <w:r w:rsidRPr="008F4573">
        <w:rPr>
          <w:rFonts w:eastAsia="Times New Roman" w:cstheme="minorHAnsi"/>
          <w:sz w:val="24"/>
          <w:szCs w:val="24"/>
        </w:rPr>
        <w:t>Liat</w:t>
      </w:r>
      <w:proofErr w:type="spellEnd"/>
      <w:r w:rsidRPr="008F4573">
        <w:rPr>
          <w:rFonts w:eastAsia="Times New Roman" w:cstheme="minorHAnsi"/>
          <w:sz w:val="24"/>
          <w:szCs w:val="24"/>
        </w:rPr>
        <w:t xml:space="preserve">. 2020. </w:t>
      </w:r>
      <w:proofErr w:type="spellStart"/>
      <w:r w:rsidRPr="008F4573">
        <w:rPr>
          <w:rFonts w:eastAsia="Times New Roman" w:cstheme="minorHAnsi"/>
          <w:i/>
          <w:sz w:val="24"/>
          <w:szCs w:val="24"/>
        </w:rPr>
        <w:t>Decarcerating</w:t>
      </w:r>
      <w:proofErr w:type="spellEnd"/>
      <w:r w:rsidRPr="008F4573">
        <w:rPr>
          <w:rFonts w:eastAsia="Times New Roman" w:cstheme="minorHAnsi"/>
          <w:i/>
          <w:sz w:val="24"/>
          <w:szCs w:val="24"/>
        </w:rPr>
        <w:t xml:space="preserve"> Disability: Deinstitutionalization and Prison Abolition</w:t>
      </w:r>
      <w:r w:rsidRPr="008F4573">
        <w:rPr>
          <w:rFonts w:eastAsia="Times New Roman" w:cstheme="minorHAnsi"/>
          <w:sz w:val="24"/>
          <w:szCs w:val="24"/>
        </w:rPr>
        <w:t>. Minneapolis: University of Minnesota Press.</w:t>
      </w:r>
    </w:p>
    <w:p w14:paraId="5DCF6E0D"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Danius, Sara, Stefan Jonsson and Gayatri </w:t>
      </w:r>
      <w:proofErr w:type="spellStart"/>
      <w:r w:rsidRPr="008F4573">
        <w:rPr>
          <w:rFonts w:eastAsia="Times New Roman" w:cstheme="minorHAnsi"/>
          <w:sz w:val="24"/>
          <w:szCs w:val="24"/>
        </w:rPr>
        <w:t>Chakravorty</w:t>
      </w:r>
      <w:proofErr w:type="spellEnd"/>
      <w:r w:rsidRPr="008F4573">
        <w:rPr>
          <w:rFonts w:eastAsia="Times New Roman" w:cstheme="minorHAnsi"/>
          <w:sz w:val="24"/>
          <w:szCs w:val="24"/>
        </w:rPr>
        <w:t xml:space="preserve"> Spivak. 1993. “An Interview with Gayatri </w:t>
      </w:r>
      <w:proofErr w:type="spellStart"/>
      <w:r w:rsidRPr="008F4573">
        <w:rPr>
          <w:rFonts w:eastAsia="Times New Roman" w:cstheme="minorHAnsi"/>
          <w:sz w:val="24"/>
          <w:szCs w:val="24"/>
        </w:rPr>
        <w:t>Chakravorty</w:t>
      </w:r>
      <w:proofErr w:type="spellEnd"/>
      <w:r w:rsidRPr="008F4573">
        <w:rPr>
          <w:rFonts w:eastAsia="Times New Roman" w:cstheme="minorHAnsi"/>
          <w:sz w:val="24"/>
          <w:szCs w:val="24"/>
        </w:rPr>
        <w:t xml:space="preserve"> Spivak.” </w:t>
      </w:r>
      <w:r w:rsidRPr="008F4573">
        <w:rPr>
          <w:rFonts w:eastAsia="Times New Roman" w:cstheme="minorHAnsi"/>
          <w:i/>
          <w:sz w:val="24"/>
          <w:szCs w:val="24"/>
        </w:rPr>
        <w:t>boundary 2</w:t>
      </w:r>
      <w:r w:rsidRPr="008F4573">
        <w:rPr>
          <w:rFonts w:eastAsia="Times New Roman" w:cstheme="minorHAnsi"/>
          <w:sz w:val="24"/>
          <w:szCs w:val="24"/>
        </w:rPr>
        <w:t>. 20(2): 24-50.</w:t>
      </w:r>
    </w:p>
    <w:p w14:paraId="79BDD404" w14:textId="77777777" w:rsidR="008F4573" w:rsidRPr="008F4573" w:rsidRDefault="008F4573" w:rsidP="008F4573">
      <w:pPr>
        <w:spacing w:before="240" w:after="240"/>
        <w:ind w:left="720" w:hanging="720"/>
        <w:rPr>
          <w:rFonts w:eastAsia="Times New Roman" w:cstheme="minorHAnsi"/>
          <w:sz w:val="24"/>
          <w:szCs w:val="24"/>
        </w:rPr>
      </w:pPr>
      <w:proofErr w:type="spellStart"/>
      <w:r w:rsidRPr="008F4573">
        <w:rPr>
          <w:rFonts w:eastAsia="Times New Roman" w:cstheme="minorHAnsi"/>
          <w:sz w:val="24"/>
          <w:szCs w:val="24"/>
        </w:rPr>
        <w:t>Erevelles</w:t>
      </w:r>
      <w:proofErr w:type="spellEnd"/>
      <w:r w:rsidRPr="008F4573">
        <w:rPr>
          <w:rFonts w:eastAsia="Times New Roman" w:cstheme="minorHAnsi"/>
          <w:sz w:val="24"/>
          <w:szCs w:val="24"/>
        </w:rPr>
        <w:t>, Nirmala. 2014. “</w:t>
      </w:r>
      <w:proofErr w:type="spellStart"/>
      <w:r w:rsidRPr="008F4573">
        <w:rPr>
          <w:rFonts w:eastAsia="Times New Roman" w:cstheme="minorHAnsi"/>
          <w:sz w:val="24"/>
          <w:szCs w:val="24"/>
        </w:rPr>
        <w:t>Crippin</w:t>
      </w:r>
      <w:proofErr w:type="spellEnd"/>
      <w:r w:rsidRPr="008F4573">
        <w:rPr>
          <w:rFonts w:eastAsia="Times New Roman" w:cstheme="minorHAnsi"/>
          <w:sz w:val="24"/>
          <w:szCs w:val="24"/>
        </w:rPr>
        <w:t xml:space="preserve">’ Jim Crow: Disability, Dis-Location, and the </w:t>
      </w:r>
      <w:proofErr w:type="gramStart"/>
      <w:r w:rsidRPr="008F4573">
        <w:rPr>
          <w:rFonts w:eastAsia="Times New Roman" w:cstheme="minorHAnsi"/>
          <w:sz w:val="24"/>
          <w:szCs w:val="24"/>
        </w:rPr>
        <w:t>School</w:t>
      </w:r>
      <w:proofErr w:type="gramEnd"/>
      <w:r w:rsidRPr="008F4573">
        <w:rPr>
          <w:rFonts w:eastAsia="Times New Roman" w:cstheme="minorHAnsi"/>
          <w:sz w:val="24"/>
          <w:szCs w:val="24"/>
        </w:rPr>
        <w:t xml:space="preserve">-to-Prison Pipeline.” In </w:t>
      </w:r>
      <w:r w:rsidRPr="008F4573">
        <w:rPr>
          <w:rFonts w:eastAsia="Times New Roman" w:cstheme="minorHAnsi"/>
          <w:i/>
          <w:sz w:val="24"/>
          <w:szCs w:val="24"/>
        </w:rPr>
        <w:t>Disability Incarcerated: Imprisonment and Disability in the United States and Canada</w:t>
      </w:r>
      <w:r w:rsidRPr="008F4573">
        <w:rPr>
          <w:rFonts w:eastAsia="Times New Roman" w:cstheme="minorHAnsi"/>
          <w:sz w:val="24"/>
          <w:szCs w:val="24"/>
        </w:rPr>
        <w:t xml:space="preserve">, edited by Chris Chapman, </w:t>
      </w:r>
      <w:proofErr w:type="spellStart"/>
      <w:r w:rsidRPr="008F4573">
        <w:rPr>
          <w:rFonts w:eastAsia="Times New Roman" w:cstheme="minorHAnsi"/>
          <w:sz w:val="24"/>
          <w:szCs w:val="24"/>
        </w:rPr>
        <w:t>Liat</w:t>
      </w:r>
      <w:proofErr w:type="spellEnd"/>
      <w:r w:rsidRPr="008F4573">
        <w:rPr>
          <w:rFonts w:eastAsia="Times New Roman" w:cstheme="minorHAnsi"/>
          <w:sz w:val="24"/>
          <w:szCs w:val="24"/>
        </w:rPr>
        <w:t xml:space="preserve"> Ben-</w:t>
      </w:r>
      <w:proofErr w:type="gramStart"/>
      <w:r w:rsidRPr="008F4573">
        <w:rPr>
          <w:rFonts w:eastAsia="Times New Roman" w:cstheme="minorHAnsi"/>
          <w:sz w:val="24"/>
          <w:szCs w:val="24"/>
        </w:rPr>
        <w:t>Moshe</w:t>
      </w:r>
      <w:proofErr w:type="gramEnd"/>
      <w:r w:rsidRPr="008F4573">
        <w:rPr>
          <w:rFonts w:eastAsia="Times New Roman" w:cstheme="minorHAnsi"/>
          <w:sz w:val="24"/>
          <w:szCs w:val="24"/>
        </w:rPr>
        <w:t xml:space="preserve"> and Allison C. Carey, 81-99. New York: Palgrave Macmillan.</w:t>
      </w:r>
    </w:p>
    <w:p w14:paraId="027BA1DB" w14:textId="77777777" w:rsidR="008F4573" w:rsidRPr="008F4573" w:rsidRDefault="008F4573" w:rsidP="008F4573">
      <w:pPr>
        <w:spacing w:before="240" w:after="240"/>
        <w:ind w:left="720" w:hanging="720"/>
        <w:rPr>
          <w:rFonts w:eastAsia="Times New Roman" w:cstheme="minorHAnsi"/>
          <w:sz w:val="24"/>
          <w:szCs w:val="24"/>
        </w:rPr>
      </w:pPr>
      <w:proofErr w:type="spellStart"/>
      <w:r w:rsidRPr="008F4573">
        <w:rPr>
          <w:rFonts w:eastAsia="Times New Roman" w:cstheme="minorHAnsi"/>
          <w:sz w:val="24"/>
          <w:szCs w:val="24"/>
        </w:rPr>
        <w:t>Esping</w:t>
      </w:r>
      <w:proofErr w:type="spellEnd"/>
      <w:r w:rsidRPr="008F4573">
        <w:rPr>
          <w:rFonts w:eastAsia="Times New Roman" w:cstheme="minorHAnsi"/>
          <w:sz w:val="24"/>
          <w:szCs w:val="24"/>
        </w:rPr>
        <w:t xml:space="preserve">-Andersen, </w:t>
      </w:r>
      <w:proofErr w:type="spellStart"/>
      <w:r w:rsidRPr="008F4573">
        <w:rPr>
          <w:rFonts w:eastAsia="Times New Roman" w:cstheme="minorHAnsi"/>
          <w:sz w:val="24"/>
          <w:szCs w:val="24"/>
        </w:rPr>
        <w:t>Gøsta</w:t>
      </w:r>
      <w:proofErr w:type="spellEnd"/>
      <w:r w:rsidRPr="008F4573">
        <w:rPr>
          <w:rFonts w:eastAsia="Times New Roman" w:cstheme="minorHAnsi"/>
          <w:sz w:val="24"/>
          <w:szCs w:val="24"/>
        </w:rPr>
        <w:t xml:space="preserve">. 2012. </w:t>
      </w:r>
      <w:r w:rsidRPr="008F4573">
        <w:rPr>
          <w:rFonts w:eastAsia="Times New Roman" w:cstheme="minorHAnsi"/>
          <w:i/>
          <w:sz w:val="24"/>
          <w:szCs w:val="24"/>
        </w:rPr>
        <w:t>The Three Worlds of Welfare Capitalism.</w:t>
      </w:r>
      <w:r w:rsidRPr="008F4573">
        <w:rPr>
          <w:rFonts w:eastAsia="Times New Roman" w:cstheme="minorHAnsi"/>
          <w:sz w:val="24"/>
          <w:szCs w:val="24"/>
        </w:rPr>
        <w:t xml:space="preserve"> Cambridge: Polity Press. </w:t>
      </w:r>
    </w:p>
    <w:p w14:paraId="5BFD0089" w14:textId="77777777" w:rsidR="008F4573" w:rsidRPr="008F4573" w:rsidRDefault="008F4573" w:rsidP="008F4573">
      <w:pPr>
        <w:spacing w:before="240" w:after="240"/>
        <w:ind w:left="720" w:hanging="720"/>
        <w:rPr>
          <w:rFonts w:eastAsia="Times New Roman" w:cstheme="minorHAnsi"/>
          <w:i/>
          <w:sz w:val="24"/>
          <w:szCs w:val="24"/>
        </w:rPr>
      </w:pPr>
      <w:r w:rsidRPr="008F4573">
        <w:rPr>
          <w:rFonts w:eastAsia="Times New Roman" w:cstheme="minorHAnsi"/>
          <w:sz w:val="24"/>
          <w:szCs w:val="24"/>
        </w:rPr>
        <w:t xml:space="preserve">Foucault, Michel. 1980. “Truth and Power.” In </w:t>
      </w:r>
      <w:r w:rsidRPr="008F4573">
        <w:rPr>
          <w:rFonts w:eastAsia="Times New Roman" w:cstheme="minorHAnsi"/>
          <w:i/>
          <w:sz w:val="24"/>
          <w:szCs w:val="24"/>
        </w:rPr>
        <w:t>Power / Knowledge: Selected Interviews and Other Writings 1972-1977</w:t>
      </w:r>
      <w:r w:rsidRPr="008F4573">
        <w:rPr>
          <w:rFonts w:eastAsia="Times New Roman" w:cstheme="minorHAnsi"/>
          <w:sz w:val="24"/>
          <w:szCs w:val="24"/>
        </w:rPr>
        <w:t>, edited by Colin Gordon, 109-133. Pantheon Books, New York.</w:t>
      </w:r>
    </w:p>
    <w:p w14:paraId="140A6789"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Foucault, Michel. 2007. </w:t>
      </w:r>
      <w:r w:rsidRPr="008F4573">
        <w:rPr>
          <w:rFonts w:eastAsia="Times New Roman" w:cstheme="minorHAnsi"/>
          <w:i/>
          <w:sz w:val="24"/>
          <w:szCs w:val="24"/>
        </w:rPr>
        <w:t>Security, Territory, Population: Lectures at the Collège de France, 1977‐78</w:t>
      </w:r>
      <w:r w:rsidRPr="008F4573">
        <w:rPr>
          <w:rFonts w:eastAsia="Times New Roman" w:cstheme="minorHAnsi"/>
          <w:sz w:val="24"/>
          <w:szCs w:val="24"/>
        </w:rPr>
        <w:t>. London: Palgrave Macmillan.</w:t>
      </w:r>
    </w:p>
    <w:p w14:paraId="6E329C21"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Hobbes, Thomas. 1994.  </w:t>
      </w:r>
      <w:r w:rsidRPr="008F4573">
        <w:rPr>
          <w:rFonts w:eastAsia="Times New Roman" w:cstheme="minorHAnsi"/>
          <w:i/>
          <w:sz w:val="24"/>
          <w:szCs w:val="24"/>
        </w:rPr>
        <w:t>Leviathan</w:t>
      </w:r>
      <w:r w:rsidRPr="008F4573">
        <w:rPr>
          <w:rFonts w:eastAsia="Times New Roman" w:cstheme="minorHAnsi"/>
          <w:sz w:val="24"/>
          <w:szCs w:val="24"/>
        </w:rPr>
        <w:t>. London: Everyman.</w:t>
      </w:r>
    </w:p>
    <w:p w14:paraId="269C8205"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MacKinnon, Catharine. 1989. </w:t>
      </w:r>
      <w:r w:rsidRPr="008F4573">
        <w:rPr>
          <w:rFonts w:eastAsia="Times New Roman" w:cstheme="minorHAnsi"/>
          <w:i/>
          <w:sz w:val="24"/>
          <w:szCs w:val="24"/>
        </w:rPr>
        <w:t xml:space="preserve">Toward a Feminist Theory of the State. </w:t>
      </w:r>
      <w:r w:rsidRPr="008F4573">
        <w:rPr>
          <w:rFonts w:eastAsia="Times New Roman" w:cstheme="minorHAnsi"/>
          <w:sz w:val="24"/>
          <w:szCs w:val="24"/>
        </w:rPr>
        <w:t>Cambridge, Massachusetts: Harvard University Press.</w:t>
      </w:r>
    </w:p>
    <w:p w14:paraId="5D34C02C"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Mitchell, David &amp; Sharon Snyder. 2003. “The Eugenic Atlantic: race, disability, and the making of an international Eugenic science, 1800–1945.” </w:t>
      </w:r>
      <w:r w:rsidRPr="008F4573">
        <w:rPr>
          <w:rFonts w:eastAsia="Times New Roman" w:cstheme="minorHAnsi"/>
          <w:i/>
          <w:sz w:val="24"/>
          <w:szCs w:val="24"/>
        </w:rPr>
        <w:t>Disability &amp; Society</w:t>
      </w:r>
      <w:r w:rsidRPr="008F4573">
        <w:rPr>
          <w:rFonts w:eastAsia="Times New Roman" w:cstheme="minorHAnsi"/>
          <w:sz w:val="24"/>
          <w:szCs w:val="24"/>
        </w:rPr>
        <w:t>, 18(7): 843-864.</w:t>
      </w:r>
    </w:p>
    <w:p w14:paraId="4BBD4754"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Puar, </w:t>
      </w:r>
      <w:proofErr w:type="spellStart"/>
      <w:r w:rsidRPr="008F4573">
        <w:rPr>
          <w:rFonts w:eastAsia="Times New Roman" w:cstheme="minorHAnsi"/>
          <w:sz w:val="24"/>
          <w:szCs w:val="24"/>
        </w:rPr>
        <w:t>Jasbir</w:t>
      </w:r>
      <w:proofErr w:type="spellEnd"/>
      <w:r w:rsidRPr="008F4573">
        <w:rPr>
          <w:rFonts w:eastAsia="Times New Roman" w:cstheme="minorHAnsi"/>
          <w:sz w:val="24"/>
          <w:szCs w:val="24"/>
        </w:rPr>
        <w:t>. 2017.</w:t>
      </w:r>
      <w:r w:rsidRPr="008F4573">
        <w:rPr>
          <w:rFonts w:eastAsia="Times New Roman" w:cstheme="minorHAnsi"/>
          <w:i/>
          <w:sz w:val="24"/>
          <w:szCs w:val="24"/>
        </w:rPr>
        <w:t xml:space="preserve"> The Right to Maim: Debility, Capacity, Disability</w:t>
      </w:r>
      <w:r w:rsidRPr="008F4573">
        <w:rPr>
          <w:rFonts w:eastAsia="Times New Roman" w:cstheme="minorHAnsi"/>
          <w:sz w:val="24"/>
          <w:szCs w:val="24"/>
        </w:rPr>
        <w:t xml:space="preserve">. Durham: Duke University Press. </w:t>
      </w:r>
    </w:p>
    <w:p w14:paraId="37663835"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lastRenderedPageBreak/>
        <w:t xml:space="preserve">Richie, Beth E. 2012. </w:t>
      </w:r>
      <w:r w:rsidRPr="008F4573">
        <w:rPr>
          <w:rFonts w:eastAsia="Times New Roman" w:cstheme="minorHAnsi"/>
          <w:i/>
          <w:sz w:val="24"/>
          <w:szCs w:val="24"/>
        </w:rPr>
        <w:t>Arrested Justice Black Women, Violence, and America’s Prison Nation</w:t>
      </w:r>
      <w:r w:rsidRPr="008F4573">
        <w:rPr>
          <w:rFonts w:eastAsia="Times New Roman" w:cstheme="minorHAnsi"/>
          <w:sz w:val="24"/>
          <w:szCs w:val="24"/>
        </w:rPr>
        <w:t>. New York and London: New York University Press.</w:t>
      </w:r>
    </w:p>
    <w:p w14:paraId="67872929"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Steele, Linda. 2020. </w:t>
      </w:r>
      <w:r w:rsidRPr="008F4573">
        <w:rPr>
          <w:rFonts w:eastAsia="Times New Roman" w:cstheme="minorHAnsi"/>
          <w:i/>
          <w:sz w:val="24"/>
          <w:szCs w:val="24"/>
        </w:rPr>
        <w:t xml:space="preserve">Disability, Criminal </w:t>
      </w:r>
      <w:proofErr w:type="gramStart"/>
      <w:r w:rsidRPr="008F4573">
        <w:rPr>
          <w:rFonts w:eastAsia="Times New Roman" w:cstheme="minorHAnsi"/>
          <w:i/>
          <w:sz w:val="24"/>
          <w:szCs w:val="24"/>
        </w:rPr>
        <w:t>Justice</w:t>
      </w:r>
      <w:proofErr w:type="gramEnd"/>
      <w:r w:rsidRPr="008F4573">
        <w:rPr>
          <w:rFonts w:eastAsia="Times New Roman" w:cstheme="minorHAnsi"/>
          <w:i/>
          <w:sz w:val="24"/>
          <w:szCs w:val="24"/>
        </w:rPr>
        <w:t xml:space="preserve"> and the Law: Reconsidering Court Diversion</w:t>
      </w:r>
      <w:r w:rsidRPr="008F4573">
        <w:rPr>
          <w:rFonts w:eastAsia="Times New Roman" w:cstheme="minorHAnsi"/>
          <w:sz w:val="24"/>
          <w:szCs w:val="24"/>
        </w:rPr>
        <w:t xml:space="preserve">. Abingdon: Routledge. </w:t>
      </w:r>
    </w:p>
    <w:p w14:paraId="4742F6EA" w14:textId="77777777" w:rsidR="008F4573" w:rsidRPr="008F4573" w:rsidRDefault="008F4573" w:rsidP="008F4573">
      <w:pPr>
        <w:spacing w:before="240" w:after="240"/>
        <w:ind w:left="720" w:hanging="720"/>
        <w:rPr>
          <w:rFonts w:eastAsia="Times New Roman" w:cstheme="minorHAnsi"/>
          <w:sz w:val="24"/>
          <w:szCs w:val="24"/>
        </w:rPr>
      </w:pPr>
      <w:r w:rsidRPr="008F4573">
        <w:rPr>
          <w:rFonts w:eastAsia="Times New Roman" w:cstheme="minorHAnsi"/>
          <w:sz w:val="24"/>
          <w:szCs w:val="24"/>
        </w:rPr>
        <w:t xml:space="preserve">Stone, Deborah. 1984. </w:t>
      </w:r>
      <w:r w:rsidRPr="008F4573">
        <w:rPr>
          <w:rFonts w:eastAsia="Times New Roman" w:cstheme="minorHAnsi"/>
          <w:i/>
          <w:sz w:val="24"/>
          <w:szCs w:val="24"/>
        </w:rPr>
        <w:t>The Disabled State.</w:t>
      </w:r>
      <w:r w:rsidRPr="008F4573">
        <w:rPr>
          <w:rFonts w:eastAsia="Times New Roman" w:cstheme="minorHAnsi"/>
          <w:sz w:val="24"/>
          <w:szCs w:val="24"/>
        </w:rPr>
        <w:t xml:space="preserve"> Philadelphia: Temple University Press.</w:t>
      </w:r>
    </w:p>
    <w:p w14:paraId="6F0753DC" w14:textId="77777777" w:rsidR="008F4573" w:rsidRPr="008F4573" w:rsidRDefault="008F4573" w:rsidP="008F4573">
      <w:pPr>
        <w:spacing w:before="240" w:after="240"/>
        <w:ind w:left="720" w:hanging="720"/>
        <w:rPr>
          <w:rFonts w:eastAsia="Times New Roman" w:cstheme="minorHAnsi"/>
          <w:sz w:val="24"/>
          <w:szCs w:val="24"/>
        </w:rPr>
      </w:pPr>
      <w:proofErr w:type="spellStart"/>
      <w:r w:rsidRPr="008F4573">
        <w:rPr>
          <w:rFonts w:eastAsia="Times New Roman" w:cstheme="minorHAnsi"/>
          <w:sz w:val="24"/>
          <w:szCs w:val="24"/>
        </w:rPr>
        <w:t>Tremain</w:t>
      </w:r>
      <w:proofErr w:type="spellEnd"/>
      <w:r w:rsidRPr="008F4573">
        <w:rPr>
          <w:rFonts w:eastAsia="Times New Roman" w:cstheme="minorHAnsi"/>
          <w:sz w:val="24"/>
          <w:szCs w:val="24"/>
        </w:rPr>
        <w:t xml:space="preserve">, Shelley. 2006. “Foucault, Governmentality and Critical Disability Theory: An Introduction.” In </w:t>
      </w:r>
      <w:r w:rsidRPr="008F4573">
        <w:rPr>
          <w:rFonts w:eastAsia="Times New Roman" w:cstheme="minorHAnsi"/>
          <w:i/>
          <w:sz w:val="24"/>
          <w:szCs w:val="24"/>
        </w:rPr>
        <w:t>Foucault and the Government of Disability</w:t>
      </w:r>
      <w:r w:rsidRPr="008F4573">
        <w:rPr>
          <w:rFonts w:eastAsia="Times New Roman" w:cstheme="minorHAnsi"/>
          <w:iCs/>
          <w:sz w:val="24"/>
          <w:szCs w:val="24"/>
        </w:rPr>
        <w:t xml:space="preserve">, edited by Shelley </w:t>
      </w:r>
      <w:proofErr w:type="spellStart"/>
      <w:r w:rsidRPr="008F4573">
        <w:rPr>
          <w:rFonts w:eastAsia="Times New Roman" w:cstheme="minorHAnsi"/>
          <w:iCs/>
          <w:sz w:val="24"/>
          <w:szCs w:val="24"/>
        </w:rPr>
        <w:t>Tremain</w:t>
      </w:r>
      <w:proofErr w:type="spellEnd"/>
      <w:r w:rsidRPr="008F4573">
        <w:rPr>
          <w:rFonts w:eastAsia="Times New Roman" w:cstheme="minorHAnsi"/>
          <w:iCs/>
          <w:sz w:val="24"/>
          <w:szCs w:val="24"/>
        </w:rPr>
        <w:t>, 1-24</w:t>
      </w:r>
      <w:r w:rsidRPr="008F4573">
        <w:rPr>
          <w:rFonts w:eastAsia="Times New Roman" w:cstheme="minorHAnsi"/>
          <w:sz w:val="24"/>
          <w:szCs w:val="24"/>
        </w:rPr>
        <w:t>. University of Michigan: University of Michigan Press.</w:t>
      </w:r>
    </w:p>
    <w:p w14:paraId="3AE4A189" w14:textId="4B7728B1" w:rsidR="00351423" w:rsidRPr="008F4573" w:rsidRDefault="008F4573" w:rsidP="008F4573">
      <w:pPr>
        <w:spacing w:before="240" w:after="240"/>
        <w:ind w:left="720" w:hanging="720"/>
        <w:rPr>
          <w:rFonts w:eastAsia="Times New Roman" w:cstheme="minorHAnsi"/>
          <w:sz w:val="24"/>
          <w:szCs w:val="24"/>
        </w:rPr>
      </w:pPr>
      <w:proofErr w:type="spellStart"/>
      <w:r w:rsidRPr="008F4573">
        <w:rPr>
          <w:rFonts w:eastAsia="Times New Roman" w:cstheme="minorHAnsi"/>
          <w:sz w:val="24"/>
          <w:szCs w:val="24"/>
        </w:rPr>
        <w:t>Wadiwel</w:t>
      </w:r>
      <w:proofErr w:type="spellEnd"/>
      <w:r w:rsidRPr="008F4573">
        <w:rPr>
          <w:rFonts w:eastAsia="Times New Roman" w:cstheme="minorHAnsi"/>
          <w:sz w:val="24"/>
          <w:szCs w:val="24"/>
        </w:rPr>
        <w:t xml:space="preserve">, Dinesh. 2017. “Disability and Torture: Exception, Epistemology and 'Black Sites'.” </w:t>
      </w:r>
      <w:r w:rsidRPr="008F4573">
        <w:rPr>
          <w:rFonts w:eastAsia="Times New Roman" w:cstheme="minorHAnsi"/>
          <w:i/>
          <w:sz w:val="24"/>
          <w:szCs w:val="24"/>
        </w:rPr>
        <w:t>Continuum: A Journal of Media and Cultural Studies</w:t>
      </w:r>
      <w:r w:rsidRPr="008F4573">
        <w:rPr>
          <w:rFonts w:eastAsia="Times New Roman" w:cstheme="minorHAnsi"/>
          <w:sz w:val="24"/>
          <w:szCs w:val="24"/>
        </w:rPr>
        <w:t>, 31(3): 388-399.</w:t>
      </w:r>
    </w:p>
    <w:sectPr w:rsidR="00351423" w:rsidRPr="008F4573" w:rsidSect="00351423">
      <w:headerReference w:type="even" r:id="rId7"/>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7EA5E" w14:textId="77777777" w:rsidR="00A03AC5" w:rsidRDefault="00A03AC5" w:rsidP="00351423">
      <w:pPr>
        <w:spacing w:line="240" w:lineRule="auto"/>
      </w:pPr>
      <w:r>
        <w:separator/>
      </w:r>
    </w:p>
  </w:endnote>
  <w:endnote w:type="continuationSeparator" w:id="0">
    <w:p w14:paraId="7C5DDADB" w14:textId="77777777" w:rsidR="00A03AC5" w:rsidRDefault="00A03AC5"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FE5F" w14:textId="77777777" w:rsidR="00A03AC5" w:rsidRDefault="00A03AC5" w:rsidP="00351423">
      <w:pPr>
        <w:spacing w:line="240" w:lineRule="auto"/>
      </w:pPr>
      <w:r>
        <w:separator/>
      </w:r>
    </w:p>
  </w:footnote>
  <w:footnote w:type="continuationSeparator" w:id="0">
    <w:p w14:paraId="2A7119B9" w14:textId="77777777" w:rsidR="00A03AC5" w:rsidRDefault="00A03AC5" w:rsidP="00351423">
      <w:pPr>
        <w:spacing w:line="240" w:lineRule="auto"/>
      </w:pPr>
      <w:r>
        <w:continuationSeparator/>
      </w:r>
    </w:p>
  </w:footnote>
  <w:footnote w:id="1">
    <w:p w14:paraId="33779718" w14:textId="78C5E184" w:rsidR="00351423" w:rsidRPr="008F4573" w:rsidRDefault="00351423" w:rsidP="008F4573">
      <w:pPr>
        <w:pStyle w:val="FootnoteText"/>
        <w:rPr>
          <w:lang w:val="en-AU"/>
        </w:rPr>
      </w:pPr>
      <w:r>
        <w:rPr>
          <w:rStyle w:val="FootnoteReference"/>
        </w:rPr>
        <w:t>*</w:t>
      </w:r>
      <w:r w:rsidR="008F4573" w:rsidRPr="008F4573">
        <w:rPr>
          <w:rFonts w:ascii="Times New Roman" w:eastAsia="Times New Roman" w:hAnsi="Times New Roman" w:cs="Times New Roman"/>
          <w:sz w:val="24"/>
          <w:szCs w:val="24"/>
          <w:lang w:val="en-AU" w:eastAsia="en-AU"/>
        </w:rPr>
        <w:t xml:space="preserve"> </w:t>
      </w:r>
      <w:r w:rsidR="008F4573" w:rsidRPr="008F4573">
        <w:rPr>
          <w:lang w:val="en-AU"/>
        </w:rPr>
        <w:t>The University of Sydney, Australia</w:t>
      </w:r>
      <w:r w:rsidR="008F4573">
        <w:rPr>
          <w:lang w:val="en-AU"/>
        </w:rPr>
        <w:t xml:space="preserve"> </w:t>
      </w:r>
      <w:hyperlink r:id="rId1" w:history="1">
        <w:r w:rsidR="008F4573" w:rsidRPr="008F4573">
          <w:rPr>
            <w:rStyle w:val="Hyperlink"/>
            <w:lang w:val="en-AU"/>
          </w:rPr>
          <w:t>dinesh.wadiwel@sydney.edu.au</w:t>
        </w:r>
      </w:hyperlink>
      <w:r w:rsidR="008F4573" w:rsidRPr="008F4573">
        <w:rPr>
          <w:color w:val="0070C0"/>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6B664A4D" w:rsidR="00351423" w:rsidRDefault="008F4573">
    <w:pPr>
      <w:pStyle w:val="Header"/>
    </w:pPr>
    <w:r w:rsidRPr="001B56FC">
      <w:rPr>
        <w:rFonts w:ascii="Times New Roman" w:eastAsia="Times New Roman" w:hAnsi="Times New Roman" w:cs="Times New Roman"/>
        <w:sz w:val="24"/>
        <w:szCs w:val="24"/>
      </w:rPr>
      <w:t xml:space="preserve">Dinesh </w:t>
    </w:r>
    <w:proofErr w:type="spellStart"/>
    <w:r w:rsidRPr="001B56FC">
      <w:rPr>
        <w:rFonts w:ascii="Times New Roman" w:eastAsia="Times New Roman" w:hAnsi="Times New Roman" w:cs="Times New Roman"/>
        <w:sz w:val="24"/>
        <w:szCs w:val="24"/>
      </w:rPr>
      <w:t>Wadiwel</w:t>
    </w:r>
    <w:proofErr w:type="spellEnd"/>
    <w:r w:rsidR="00AC2874">
      <w:tab/>
    </w:r>
    <w:r w:rsidR="002C3C93">
      <w:tab/>
    </w:r>
    <w:r>
      <w:rPr>
        <w:iCs/>
        <w:lang w:val="en-CA"/>
      </w:rPr>
      <w:t>Critical Disability Studies and the State</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3C61F917" w:rsidR="00351423" w:rsidRPr="00AC2874" w:rsidRDefault="00351423">
    <w:pPr>
      <w:pStyle w:val="Header"/>
    </w:pPr>
    <w:proofErr w:type="spellStart"/>
    <w:r w:rsidRPr="00AC2874">
      <w:rPr>
        <w:i/>
      </w:rPr>
      <w:t>feminists@law</w:t>
    </w:r>
    <w:proofErr w:type="spellEnd"/>
    <w:r w:rsidR="00AC2874">
      <w:tab/>
    </w:r>
    <w:r w:rsidR="00AC2874">
      <w:tab/>
      <w:t xml:space="preserve">Vol </w:t>
    </w:r>
    <w:r w:rsidR="00265DAF">
      <w:t>12</w:t>
    </w:r>
    <w:r w:rsidR="00AC2874">
      <w:t xml:space="preserve">, No </w:t>
    </w:r>
    <w:r w:rsidR="00265DAF">
      <w:t>1</w:t>
    </w:r>
    <w:r w:rsidR="00AC2874">
      <w:t xml:space="preserve"> (</w:t>
    </w:r>
    <w:r w:rsidR="00265DAF">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265DAF"/>
    <w:rsid w:val="002C3C93"/>
    <w:rsid w:val="00351423"/>
    <w:rsid w:val="004C2790"/>
    <w:rsid w:val="004F5099"/>
    <w:rsid w:val="005A7D93"/>
    <w:rsid w:val="00610326"/>
    <w:rsid w:val="0062122D"/>
    <w:rsid w:val="007A0074"/>
    <w:rsid w:val="00871AFE"/>
    <w:rsid w:val="008F4573"/>
    <w:rsid w:val="00965E93"/>
    <w:rsid w:val="0099188B"/>
    <w:rsid w:val="009F084A"/>
    <w:rsid w:val="00A03AC5"/>
    <w:rsid w:val="00A50AC3"/>
    <w:rsid w:val="00AA73F6"/>
    <w:rsid w:val="00AC2874"/>
    <w:rsid w:val="00F2636B"/>
    <w:rsid w:val="00FF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265D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65DA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semiHidden/>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semiHidden/>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styleId="UnresolvedMention">
    <w:name w:val="Unresolved Mention"/>
    <w:basedOn w:val="DefaultParagraphFont"/>
    <w:uiPriority w:val="99"/>
    <w:semiHidden/>
    <w:unhideWhenUsed/>
    <w:rsid w:val="00265DAF"/>
    <w:rPr>
      <w:color w:val="605E5C"/>
      <w:shd w:val="clear" w:color="auto" w:fill="E1DFDD"/>
    </w:rPr>
  </w:style>
  <w:style w:type="character" w:customStyle="1" w:styleId="Heading2Char">
    <w:name w:val="Heading 2 Char"/>
    <w:basedOn w:val="DefaultParagraphFont"/>
    <w:link w:val="Heading2"/>
    <w:uiPriority w:val="9"/>
    <w:rsid w:val="00265D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265DA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8F45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inesh.wadiwel@sydne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Flora Renz</cp:lastModifiedBy>
  <cp:revision>2</cp:revision>
  <dcterms:created xsi:type="dcterms:W3CDTF">2023-06-04T14:21:00Z</dcterms:created>
  <dcterms:modified xsi:type="dcterms:W3CDTF">2023-06-04T14:21:00Z</dcterms:modified>
</cp:coreProperties>
</file>