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DCC2" w14:textId="77777777" w:rsidR="004F5099" w:rsidRDefault="004F5099"/>
    <w:p w14:paraId="30577168" w14:textId="2371B84E" w:rsidR="002C07BB" w:rsidRPr="00C04C8A" w:rsidRDefault="00C04C8A" w:rsidP="002C07BB">
      <w:pPr>
        <w:pStyle w:val="Heading1"/>
        <w:rPr>
          <w:rFonts w:asciiTheme="minorHAnsi" w:hAnsiTheme="minorHAnsi" w:cstheme="minorHAnsi"/>
          <w:b/>
          <w:bCs/>
          <w:iCs/>
          <w:color w:val="000000" w:themeColor="text1"/>
        </w:rPr>
      </w:pPr>
      <w:r w:rsidRPr="00C04C8A">
        <w:rPr>
          <w:rFonts w:asciiTheme="minorHAnsi" w:eastAsia="Times New Roman" w:hAnsiTheme="minorHAnsi" w:cstheme="minorHAnsi"/>
          <w:b/>
          <w:color w:val="000000" w:themeColor="text1"/>
        </w:rPr>
        <w:t xml:space="preserve">Critical Pathways to Disability </w:t>
      </w:r>
      <w:proofErr w:type="spellStart"/>
      <w:r w:rsidRPr="00C04C8A">
        <w:rPr>
          <w:rFonts w:asciiTheme="minorHAnsi" w:eastAsia="Times New Roman" w:hAnsiTheme="minorHAnsi" w:cstheme="minorHAnsi"/>
          <w:b/>
          <w:color w:val="000000" w:themeColor="text1"/>
        </w:rPr>
        <w:t>Decarceration</w:t>
      </w:r>
      <w:proofErr w:type="spellEnd"/>
      <w:r w:rsidRPr="00C04C8A">
        <w:rPr>
          <w:rFonts w:asciiTheme="minorHAnsi" w:eastAsia="Times New Roman" w:hAnsiTheme="minorHAnsi" w:cstheme="minorHAnsi"/>
          <w:b/>
          <w:color w:val="000000" w:themeColor="text1"/>
        </w:rPr>
        <w:t xml:space="preserve">: Reading </w:t>
      </w:r>
      <w:proofErr w:type="spellStart"/>
      <w:r w:rsidRPr="00C04C8A">
        <w:rPr>
          <w:rFonts w:asciiTheme="minorHAnsi" w:eastAsia="Times New Roman" w:hAnsiTheme="minorHAnsi" w:cstheme="minorHAnsi"/>
          <w:b/>
          <w:color w:val="000000" w:themeColor="text1"/>
        </w:rPr>
        <w:t>Liat</w:t>
      </w:r>
      <w:proofErr w:type="spellEnd"/>
      <w:r w:rsidRPr="00C04C8A">
        <w:rPr>
          <w:rFonts w:asciiTheme="minorHAnsi" w:eastAsia="Times New Roman" w:hAnsiTheme="minorHAnsi" w:cstheme="minorHAnsi"/>
          <w:b/>
          <w:color w:val="000000" w:themeColor="text1"/>
        </w:rPr>
        <w:t xml:space="preserve"> Ben-Moshe and Linda Steele</w:t>
      </w:r>
    </w:p>
    <w:p w14:paraId="27D3D851" w14:textId="781C255D" w:rsidR="00351423" w:rsidRPr="00AC2874" w:rsidRDefault="00351423">
      <w:pPr>
        <w:rPr>
          <w:b/>
          <w:sz w:val="28"/>
          <w:szCs w:val="28"/>
        </w:rPr>
      </w:pPr>
    </w:p>
    <w:p w14:paraId="051E6D1A" w14:textId="77777777" w:rsidR="00351423" w:rsidRDefault="00351423">
      <w:pPr>
        <w:rPr>
          <w:b/>
        </w:rPr>
      </w:pPr>
    </w:p>
    <w:p w14:paraId="10AB4047" w14:textId="7EA4191B" w:rsidR="006E3405" w:rsidRPr="00C04C8A" w:rsidRDefault="00C04C8A" w:rsidP="006E3405">
      <w:pPr>
        <w:rPr>
          <w:b/>
          <w:bCs/>
          <w:sz w:val="24"/>
          <w:szCs w:val="24"/>
          <w:lang w:val="en-US"/>
        </w:rPr>
      </w:pPr>
      <w:r w:rsidRPr="00C04C8A">
        <w:rPr>
          <w:b/>
          <w:bCs/>
          <w:sz w:val="24"/>
          <w:szCs w:val="24"/>
          <w:lang w:val="en-US"/>
        </w:rPr>
        <w:t xml:space="preserve">Sheila </w:t>
      </w:r>
      <w:proofErr w:type="spellStart"/>
      <w:r w:rsidRPr="00C04C8A">
        <w:rPr>
          <w:b/>
          <w:bCs/>
          <w:sz w:val="24"/>
          <w:szCs w:val="24"/>
          <w:lang w:val="en-US"/>
        </w:rPr>
        <w:t>Wildeman</w:t>
      </w:r>
      <w:proofErr w:type="spellEnd"/>
      <w:r w:rsidR="006E3405" w:rsidRPr="006E3405">
        <w:rPr>
          <w:b/>
          <w:sz w:val="24"/>
          <w:szCs w:val="24"/>
          <w:vertAlign w:val="superscript"/>
          <w:lang w:val="en-AU"/>
        </w:rPr>
        <w:footnoteReference w:customMarkFollows="1" w:id="1"/>
        <w:t>*</w:t>
      </w:r>
    </w:p>
    <w:p w14:paraId="3512BD2F" w14:textId="77777777" w:rsidR="00351423" w:rsidRDefault="00351423"/>
    <w:p w14:paraId="77514ABC" w14:textId="04ACF5B4" w:rsidR="00265DAF" w:rsidRPr="00265DAF" w:rsidRDefault="00265DAF" w:rsidP="00265DAF">
      <w:pPr>
        <w:pStyle w:val="Heading2"/>
        <w:rPr>
          <w:rFonts w:asciiTheme="minorHAnsi" w:hAnsiTheme="minorHAnsi" w:cstheme="minorHAnsi"/>
          <w:b/>
          <w:bCs/>
          <w:color w:val="000000" w:themeColor="text1"/>
          <w:sz w:val="24"/>
          <w:szCs w:val="24"/>
          <w:lang w:val="en-CA"/>
        </w:rPr>
      </w:pPr>
      <w:r w:rsidRPr="00265DAF">
        <w:rPr>
          <w:rFonts w:asciiTheme="minorHAnsi" w:hAnsiTheme="minorHAnsi" w:cstheme="minorHAnsi"/>
          <w:b/>
          <w:bCs/>
          <w:color w:val="000000" w:themeColor="text1"/>
          <w:sz w:val="24"/>
          <w:szCs w:val="24"/>
          <w:lang w:val="en-CA"/>
        </w:rPr>
        <w:t>Abstract</w:t>
      </w:r>
    </w:p>
    <w:p w14:paraId="3C34C5D8" w14:textId="77777777" w:rsidR="00C04C8A" w:rsidRPr="00C04C8A" w:rsidRDefault="00C04C8A" w:rsidP="00C04C8A">
      <w:pPr>
        <w:rPr>
          <w:sz w:val="24"/>
          <w:szCs w:val="24"/>
          <w:lang w:val="en-US"/>
        </w:rPr>
      </w:pPr>
      <w:r w:rsidRPr="00C04C8A">
        <w:rPr>
          <w:sz w:val="24"/>
          <w:szCs w:val="24"/>
          <w:lang w:val="en-US"/>
        </w:rPr>
        <w:t xml:space="preserve">I consider how </w:t>
      </w:r>
      <w:proofErr w:type="spellStart"/>
      <w:r w:rsidRPr="00C04C8A">
        <w:rPr>
          <w:sz w:val="24"/>
          <w:szCs w:val="24"/>
          <w:lang w:val="en-US"/>
        </w:rPr>
        <w:t>Liat</w:t>
      </w:r>
      <w:proofErr w:type="spellEnd"/>
      <w:r w:rsidRPr="00C04C8A">
        <w:rPr>
          <w:sz w:val="24"/>
          <w:szCs w:val="24"/>
          <w:lang w:val="en-US"/>
        </w:rPr>
        <w:t xml:space="preserve"> Ben-Moshe’s </w:t>
      </w:r>
      <w:proofErr w:type="spellStart"/>
      <w:r w:rsidRPr="00C04C8A">
        <w:rPr>
          <w:i/>
          <w:sz w:val="24"/>
          <w:szCs w:val="24"/>
          <w:lang w:val="en-US"/>
        </w:rPr>
        <w:t>Decarcerating</w:t>
      </w:r>
      <w:proofErr w:type="spellEnd"/>
      <w:r w:rsidRPr="00C04C8A">
        <w:rPr>
          <w:i/>
          <w:sz w:val="24"/>
          <w:szCs w:val="24"/>
          <w:lang w:val="en-US"/>
        </w:rPr>
        <w:t xml:space="preserve"> Disability</w:t>
      </w:r>
      <w:r w:rsidRPr="00C04C8A">
        <w:rPr>
          <w:sz w:val="24"/>
          <w:szCs w:val="24"/>
          <w:lang w:val="en-US"/>
        </w:rPr>
        <w:t xml:space="preserve"> and Linda Steele’s </w:t>
      </w:r>
      <w:r w:rsidRPr="00C04C8A">
        <w:rPr>
          <w:i/>
          <w:sz w:val="24"/>
          <w:szCs w:val="24"/>
          <w:lang w:val="en-US"/>
        </w:rPr>
        <w:t xml:space="preserve">Disability, Criminal </w:t>
      </w:r>
      <w:proofErr w:type="gramStart"/>
      <w:r w:rsidRPr="00C04C8A">
        <w:rPr>
          <w:i/>
          <w:sz w:val="24"/>
          <w:szCs w:val="24"/>
          <w:lang w:val="en-US"/>
        </w:rPr>
        <w:t>Justice</w:t>
      </w:r>
      <w:proofErr w:type="gramEnd"/>
      <w:r w:rsidRPr="00C04C8A">
        <w:rPr>
          <w:i/>
          <w:sz w:val="24"/>
          <w:szCs w:val="24"/>
          <w:lang w:val="en-US"/>
        </w:rPr>
        <w:t xml:space="preserve"> and Law: Reconsidering Court Diversion</w:t>
      </w:r>
      <w:r w:rsidRPr="00C04C8A">
        <w:rPr>
          <w:sz w:val="24"/>
          <w:szCs w:val="24"/>
          <w:lang w:val="en-US"/>
        </w:rPr>
        <w:t xml:space="preserve"> contribute to emerging conversations between critical disability studies and anti-carceral studies, and between disability deinstitutionalization and prison abolitionism. I ask: what if any role might law, or specifically rights-based litigation, play in resisting carceral state strategies and redirecting material and conceptual resources toward supports for diverse forms of flourishing? I </w:t>
      </w:r>
      <w:proofErr w:type="spellStart"/>
      <w:r w:rsidRPr="00C04C8A">
        <w:rPr>
          <w:sz w:val="24"/>
          <w:szCs w:val="24"/>
          <w:lang w:val="en-US"/>
        </w:rPr>
        <w:t>centre</w:t>
      </w:r>
      <w:proofErr w:type="spellEnd"/>
      <w:r w:rsidRPr="00C04C8A">
        <w:rPr>
          <w:sz w:val="24"/>
          <w:szCs w:val="24"/>
          <w:lang w:val="en-US"/>
        </w:rPr>
        <w:t xml:space="preserve"> my remarks on the special relevance of Ben-Moshe’s and Steele’s books to social movement activism in Atlantic Canada and critical reappraisal of Canada’s solitary confinement litigation. </w:t>
      </w:r>
    </w:p>
    <w:p w14:paraId="6B41D305" w14:textId="77777777" w:rsidR="00256F9D" w:rsidRDefault="00256F9D">
      <w:pPr>
        <w:rPr>
          <w:sz w:val="24"/>
          <w:szCs w:val="24"/>
        </w:rPr>
      </w:pPr>
    </w:p>
    <w:p w14:paraId="340DD311" w14:textId="77777777" w:rsidR="00256F9D" w:rsidRDefault="00256F9D">
      <w:pPr>
        <w:rPr>
          <w:sz w:val="24"/>
          <w:szCs w:val="24"/>
          <w:lang w:val="en-US"/>
        </w:rPr>
      </w:pPr>
    </w:p>
    <w:p w14:paraId="3B59FD3F"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 xml:space="preserve">I am grateful for the chance to reflect with others on </w:t>
      </w:r>
      <w:proofErr w:type="spellStart"/>
      <w:r w:rsidRPr="00C04C8A">
        <w:rPr>
          <w:rFonts w:eastAsia="Times New Roman" w:cstheme="minorHAnsi"/>
          <w:sz w:val="24"/>
          <w:szCs w:val="24"/>
        </w:rPr>
        <w:t>Liat</w:t>
      </w:r>
      <w:proofErr w:type="spellEnd"/>
      <w:r w:rsidRPr="00C04C8A">
        <w:rPr>
          <w:rFonts w:eastAsia="Times New Roman" w:cstheme="minorHAnsi"/>
          <w:sz w:val="24"/>
          <w:szCs w:val="24"/>
        </w:rPr>
        <w:t xml:space="preserve"> Ben-Moshe’s </w:t>
      </w:r>
      <w:proofErr w:type="spellStart"/>
      <w:r w:rsidRPr="00C04C8A">
        <w:rPr>
          <w:rFonts w:eastAsia="Times New Roman" w:cstheme="minorHAnsi"/>
          <w:i/>
          <w:sz w:val="24"/>
          <w:szCs w:val="24"/>
        </w:rPr>
        <w:t>Decarcerating</w:t>
      </w:r>
      <w:proofErr w:type="spellEnd"/>
      <w:r w:rsidRPr="00C04C8A">
        <w:rPr>
          <w:rFonts w:eastAsia="Times New Roman" w:cstheme="minorHAnsi"/>
          <w:i/>
          <w:sz w:val="24"/>
          <w:szCs w:val="24"/>
        </w:rPr>
        <w:t xml:space="preserve"> Disability</w:t>
      </w:r>
      <w:r w:rsidRPr="00C04C8A">
        <w:rPr>
          <w:rFonts w:eastAsia="Times New Roman" w:cstheme="minorHAnsi"/>
          <w:sz w:val="24"/>
          <w:szCs w:val="24"/>
        </w:rPr>
        <w:t xml:space="preserve"> and Linda Steele’s </w:t>
      </w:r>
      <w:r w:rsidRPr="00C04C8A">
        <w:rPr>
          <w:rFonts w:eastAsia="Times New Roman" w:cstheme="minorHAnsi"/>
          <w:i/>
          <w:sz w:val="24"/>
          <w:szCs w:val="24"/>
        </w:rPr>
        <w:t xml:space="preserve">Disability, Criminal </w:t>
      </w:r>
      <w:proofErr w:type="gramStart"/>
      <w:r w:rsidRPr="00C04C8A">
        <w:rPr>
          <w:rFonts w:eastAsia="Times New Roman" w:cstheme="minorHAnsi"/>
          <w:i/>
          <w:sz w:val="24"/>
          <w:szCs w:val="24"/>
        </w:rPr>
        <w:t>Justice</w:t>
      </w:r>
      <w:proofErr w:type="gramEnd"/>
      <w:r w:rsidRPr="00C04C8A">
        <w:rPr>
          <w:rFonts w:eastAsia="Times New Roman" w:cstheme="minorHAnsi"/>
          <w:i/>
          <w:sz w:val="24"/>
          <w:szCs w:val="24"/>
        </w:rPr>
        <w:t xml:space="preserve"> and Law: Reconsidering Court Diversion</w:t>
      </w:r>
      <w:r w:rsidRPr="00C04C8A">
        <w:rPr>
          <w:rFonts w:eastAsia="Times New Roman" w:cstheme="minorHAnsi"/>
          <w:sz w:val="24"/>
          <w:szCs w:val="24"/>
        </w:rPr>
        <w:t>.</w:t>
      </w:r>
      <w:r w:rsidRPr="00C04C8A">
        <w:rPr>
          <w:rStyle w:val="FootnoteReference"/>
          <w:rFonts w:eastAsia="Times New Roman" w:cstheme="minorHAnsi"/>
          <w:sz w:val="24"/>
          <w:szCs w:val="24"/>
        </w:rPr>
        <w:footnoteReference w:id="2"/>
      </w:r>
      <w:r w:rsidRPr="00C04C8A">
        <w:rPr>
          <w:rFonts w:eastAsia="Times New Roman" w:cstheme="minorHAnsi"/>
          <w:sz w:val="24"/>
          <w:szCs w:val="24"/>
        </w:rPr>
        <w:t xml:space="preserve"> I am writing from </w:t>
      </w:r>
      <w:proofErr w:type="spellStart"/>
      <w:r w:rsidRPr="00C04C8A">
        <w:rPr>
          <w:rFonts w:eastAsia="Times New Roman" w:cstheme="minorHAnsi"/>
          <w:i/>
          <w:sz w:val="24"/>
          <w:szCs w:val="24"/>
        </w:rPr>
        <w:t>K'jipuktuk</w:t>
      </w:r>
      <w:proofErr w:type="spellEnd"/>
      <w:r w:rsidRPr="00C04C8A">
        <w:rPr>
          <w:rFonts w:eastAsia="Times New Roman" w:cstheme="minorHAnsi"/>
          <w:sz w:val="24"/>
          <w:szCs w:val="24"/>
        </w:rPr>
        <w:t xml:space="preserve"> – Halifax, Nova Scotia – in </w:t>
      </w:r>
      <w:proofErr w:type="spellStart"/>
      <w:r w:rsidRPr="00C04C8A">
        <w:rPr>
          <w:rFonts w:eastAsia="Times New Roman" w:cstheme="minorHAnsi"/>
          <w:i/>
          <w:sz w:val="24"/>
          <w:szCs w:val="24"/>
        </w:rPr>
        <w:t>Mi'kma'ki</w:t>
      </w:r>
      <w:proofErr w:type="spellEnd"/>
      <w:r w:rsidRPr="00C04C8A">
        <w:rPr>
          <w:rFonts w:eastAsia="Times New Roman" w:cstheme="minorHAnsi"/>
          <w:i/>
          <w:sz w:val="24"/>
          <w:szCs w:val="24"/>
        </w:rPr>
        <w:t>,</w:t>
      </w:r>
      <w:r w:rsidRPr="00C04C8A">
        <w:rPr>
          <w:rFonts w:eastAsia="Times New Roman" w:cstheme="minorHAnsi"/>
          <w:sz w:val="24"/>
          <w:szCs w:val="24"/>
        </w:rPr>
        <w:t xml:space="preserve"> the unceded territory of the </w:t>
      </w:r>
      <w:proofErr w:type="spellStart"/>
      <w:r w:rsidRPr="00C04C8A">
        <w:rPr>
          <w:rFonts w:eastAsia="Times New Roman" w:cstheme="minorHAnsi"/>
          <w:sz w:val="24"/>
          <w:szCs w:val="24"/>
        </w:rPr>
        <w:t>Mi’kmaw</w:t>
      </w:r>
      <w:proofErr w:type="spellEnd"/>
      <w:r w:rsidRPr="00C04C8A">
        <w:rPr>
          <w:rFonts w:eastAsia="Times New Roman" w:cstheme="minorHAnsi"/>
          <w:sz w:val="24"/>
          <w:szCs w:val="24"/>
        </w:rPr>
        <w:t>.</w:t>
      </w:r>
    </w:p>
    <w:p w14:paraId="0655268B"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 xml:space="preserve">These important books succeed, in mutually reinforcing ways, in placing disability deinstitutionalization and disability justice into productive conversation with prison </w:t>
      </w:r>
      <w:r w:rsidRPr="00C04C8A">
        <w:rPr>
          <w:rFonts w:eastAsia="Times New Roman" w:cstheme="minorHAnsi"/>
          <w:sz w:val="24"/>
          <w:szCs w:val="24"/>
        </w:rPr>
        <w:lastRenderedPageBreak/>
        <w:t>abolitionism and anti-carceral studies. They show how these distinct movements and theoretical traditions have been too narrowly confined and suggest how much can be achieved once we break down the silos dividing them, how much readier we will be to resist the interlocking oppressions constituting the carceral state.</w:t>
      </w:r>
    </w:p>
    <w:p w14:paraId="0BB44F02"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I am a law professor. My research has focused on psychiatric detention and forced medication,</w:t>
      </w:r>
      <w:r w:rsidRPr="00C04C8A">
        <w:rPr>
          <w:rStyle w:val="FootnoteReference"/>
          <w:rFonts w:eastAsia="Times New Roman" w:cstheme="minorHAnsi"/>
          <w:sz w:val="24"/>
          <w:szCs w:val="24"/>
        </w:rPr>
        <w:footnoteReference w:id="3"/>
      </w:r>
      <w:r w:rsidRPr="00C04C8A">
        <w:rPr>
          <w:rFonts w:eastAsia="Times New Roman" w:cstheme="minorHAnsi"/>
          <w:sz w:val="24"/>
          <w:szCs w:val="24"/>
        </w:rPr>
        <w:t xml:space="preserve"> and prison law.</w:t>
      </w:r>
      <w:r w:rsidRPr="00C04C8A">
        <w:rPr>
          <w:rStyle w:val="FootnoteReference"/>
          <w:rFonts w:eastAsia="Times New Roman" w:cstheme="minorHAnsi"/>
          <w:sz w:val="24"/>
          <w:szCs w:val="24"/>
        </w:rPr>
        <w:footnoteReference w:id="4"/>
      </w:r>
      <w:r w:rsidRPr="00C04C8A">
        <w:rPr>
          <w:rFonts w:eastAsia="Times New Roman" w:cstheme="minorHAnsi"/>
          <w:sz w:val="24"/>
          <w:szCs w:val="24"/>
        </w:rPr>
        <w:t xml:space="preserve"> I am also co-chair of East Coast Prison Justice Society,</w:t>
      </w:r>
      <w:r w:rsidRPr="00C04C8A">
        <w:rPr>
          <w:rStyle w:val="FootnoteReference"/>
          <w:rFonts w:eastAsia="Times New Roman" w:cstheme="minorHAnsi"/>
          <w:sz w:val="24"/>
          <w:szCs w:val="24"/>
        </w:rPr>
        <w:footnoteReference w:id="5"/>
      </w:r>
      <w:r w:rsidRPr="00C04C8A">
        <w:rPr>
          <w:rFonts w:eastAsia="Times New Roman" w:cstheme="minorHAnsi"/>
          <w:sz w:val="24"/>
          <w:szCs w:val="24"/>
        </w:rPr>
        <w:t xml:space="preserve"> which engages in jail monitoring</w:t>
      </w:r>
      <w:r w:rsidRPr="00C04C8A">
        <w:rPr>
          <w:rStyle w:val="FootnoteReference"/>
          <w:rFonts w:eastAsia="Times New Roman" w:cstheme="minorHAnsi"/>
          <w:sz w:val="24"/>
          <w:szCs w:val="24"/>
        </w:rPr>
        <w:footnoteReference w:id="6"/>
      </w:r>
      <w:r w:rsidRPr="00C04C8A">
        <w:rPr>
          <w:rFonts w:eastAsia="Times New Roman" w:cstheme="minorHAnsi"/>
          <w:sz w:val="24"/>
          <w:szCs w:val="24"/>
        </w:rPr>
        <w:t xml:space="preserve"> and advocacy around policing accountability / defunding and strengthening community supports.</w:t>
      </w:r>
      <w:r w:rsidRPr="00C04C8A">
        <w:rPr>
          <w:rStyle w:val="FootnoteReference"/>
          <w:rFonts w:eastAsia="Times New Roman" w:cstheme="minorHAnsi"/>
          <w:sz w:val="24"/>
          <w:szCs w:val="24"/>
        </w:rPr>
        <w:footnoteReference w:id="7"/>
      </w:r>
      <w:r w:rsidRPr="00C04C8A">
        <w:rPr>
          <w:rFonts w:eastAsia="Times New Roman" w:cstheme="minorHAnsi"/>
          <w:sz w:val="24"/>
          <w:szCs w:val="24"/>
        </w:rPr>
        <w:t xml:space="preserve"> When COVID-19 struck</w:t>
      </w:r>
      <w:r w:rsidRPr="00C04C8A">
        <w:rPr>
          <w:rFonts w:eastAsia="Times New Roman" w:cstheme="minorHAnsi"/>
          <w:color w:val="000000" w:themeColor="text1"/>
          <w:sz w:val="24"/>
          <w:szCs w:val="24"/>
        </w:rPr>
        <w:t xml:space="preserve">, </w:t>
      </w:r>
      <w:hyperlink r:id="rId8">
        <w:r w:rsidRPr="00C04C8A">
          <w:rPr>
            <w:rFonts w:eastAsia="Times New Roman" w:cstheme="minorHAnsi"/>
            <w:color w:val="000000" w:themeColor="text1"/>
            <w:sz w:val="24"/>
            <w:szCs w:val="24"/>
          </w:rPr>
          <w:t>we and other organizations collaborated to help bring about</w:t>
        </w:r>
      </w:hyperlink>
      <w:r w:rsidRPr="00C04C8A">
        <w:rPr>
          <w:rFonts w:eastAsia="Times New Roman" w:cstheme="minorHAnsi"/>
          <w:sz w:val="24"/>
          <w:szCs w:val="24"/>
        </w:rPr>
        <w:t xml:space="preserve"> the release of </w:t>
      </w:r>
      <w:r w:rsidRPr="00C04C8A">
        <w:rPr>
          <w:rFonts w:eastAsia="Times New Roman" w:cstheme="minorHAnsi"/>
          <w:color w:val="000000" w:themeColor="text1"/>
          <w:sz w:val="24"/>
          <w:szCs w:val="24"/>
        </w:rPr>
        <w:t xml:space="preserve">over 40% </w:t>
      </w:r>
      <w:r w:rsidRPr="00C04C8A">
        <w:rPr>
          <w:rFonts w:eastAsia="Times New Roman" w:cstheme="minorHAnsi"/>
          <w:sz w:val="24"/>
          <w:szCs w:val="24"/>
        </w:rPr>
        <w:t>of those in Nova Scotia’s jails.</w:t>
      </w:r>
      <w:r w:rsidRPr="00C04C8A">
        <w:rPr>
          <w:rStyle w:val="FootnoteReference"/>
          <w:rFonts w:eastAsia="Times New Roman" w:cstheme="minorHAnsi"/>
          <w:sz w:val="24"/>
          <w:szCs w:val="24"/>
        </w:rPr>
        <w:footnoteReference w:id="8"/>
      </w:r>
      <w:r w:rsidRPr="00C04C8A">
        <w:rPr>
          <w:rFonts w:eastAsia="Times New Roman" w:cstheme="minorHAnsi"/>
          <w:sz w:val="24"/>
          <w:szCs w:val="24"/>
        </w:rPr>
        <w:t xml:space="preserve"> Today the numbers are back to pre-pandemic levels and institution-wide lockdowns are more frequent and prolonged than before.</w:t>
      </w:r>
      <w:r w:rsidRPr="00C04C8A">
        <w:rPr>
          <w:rStyle w:val="FootnoteReference"/>
          <w:rFonts w:eastAsia="Times New Roman" w:cstheme="minorHAnsi"/>
          <w:sz w:val="24"/>
          <w:szCs w:val="24"/>
        </w:rPr>
        <w:footnoteReference w:id="9"/>
      </w:r>
      <w:r w:rsidRPr="00C04C8A">
        <w:rPr>
          <w:rFonts w:eastAsia="Times New Roman" w:cstheme="minorHAnsi"/>
          <w:sz w:val="24"/>
          <w:szCs w:val="24"/>
        </w:rPr>
        <w:t xml:space="preserve"> Conditions in disability institutions have likewise hit new lows.</w:t>
      </w:r>
      <w:r w:rsidRPr="00C04C8A">
        <w:rPr>
          <w:rStyle w:val="FootnoteReference"/>
          <w:rFonts w:eastAsia="Times New Roman" w:cstheme="minorHAnsi"/>
          <w:sz w:val="24"/>
          <w:szCs w:val="24"/>
        </w:rPr>
        <w:footnoteReference w:id="10"/>
      </w:r>
      <w:r w:rsidRPr="00C04C8A">
        <w:rPr>
          <w:rFonts w:eastAsia="Times New Roman" w:cstheme="minorHAnsi"/>
          <w:sz w:val="24"/>
          <w:szCs w:val="24"/>
        </w:rPr>
        <w:t xml:space="preserve"> Yet again and again the critiques and praxis proper to prison abolitionism and </w:t>
      </w:r>
      <w:r w:rsidRPr="00C04C8A">
        <w:rPr>
          <w:rFonts w:eastAsia="Times New Roman" w:cstheme="minorHAnsi"/>
          <w:sz w:val="24"/>
          <w:szCs w:val="24"/>
        </w:rPr>
        <w:lastRenderedPageBreak/>
        <w:t xml:space="preserve">disability deinstitutionalization pull apart. Ben-Moshe’s and Steele’s books urge us to deepen and coordinate our engagement with two axes: disability institutionalization and criminal law-based incarceration. </w:t>
      </w:r>
    </w:p>
    <w:p w14:paraId="1F47AF29" w14:textId="77777777" w:rsidR="00C04C8A" w:rsidRPr="00C04C8A" w:rsidRDefault="00C04C8A" w:rsidP="00C04C8A">
      <w:pPr>
        <w:spacing w:before="240" w:after="240"/>
        <w:rPr>
          <w:rFonts w:eastAsia="Times New Roman" w:cstheme="minorHAnsi"/>
          <w:color w:val="000000"/>
          <w:sz w:val="24"/>
          <w:szCs w:val="24"/>
        </w:rPr>
      </w:pPr>
      <w:r w:rsidRPr="00C04C8A">
        <w:rPr>
          <w:rFonts w:eastAsia="Times New Roman" w:cstheme="minorHAnsi"/>
          <w:sz w:val="24"/>
          <w:szCs w:val="24"/>
        </w:rPr>
        <w:t>Both books expose under-examined continuities among discourses and institutions of punishment (prisons, jails) and putative care (psychiatric hospitals, nursing homes, group homes). They show that anti-</w:t>
      </w:r>
      <w:proofErr w:type="spellStart"/>
      <w:r w:rsidRPr="00C04C8A">
        <w:rPr>
          <w:rFonts w:eastAsia="Times New Roman" w:cstheme="minorHAnsi"/>
          <w:sz w:val="24"/>
          <w:szCs w:val="24"/>
        </w:rPr>
        <w:t>carceralism</w:t>
      </w:r>
      <w:proofErr w:type="spellEnd"/>
      <w:r w:rsidRPr="00C04C8A">
        <w:rPr>
          <w:rFonts w:eastAsia="Times New Roman" w:cstheme="minorHAnsi"/>
          <w:sz w:val="24"/>
          <w:szCs w:val="24"/>
        </w:rPr>
        <w:t xml:space="preserve"> requires disability justice and that disability justice means reckoning with the forces of colonialism and racial capitalism, as well as ableism, at the foundations of the carceral state. Those who reside in </w:t>
      </w:r>
      <w:proofErr w:type="spellStart"/>
      <w:r w:rsidRPr="00C04C8A">
        <w:rPr>
          <w:rFonts w:eastAsia="Times New Roman" w:cstheme="minorHAnsi"/>
          <w:i/>
          <w:sz w:val="24"/>
          <w:szCs w:val="24"/>
        </w:rPr>
        <w:t>Mi'kma'ki</w:t>
      </w:r>
      <w:proofErr w:type="spellEnd"/>
      <w:r w:rsidRPr="00C04C8A">
        <w:rPr>
          <w:rFonts w:eastAsia="Times New Roman" w:cstheme="minorHAnsi"/>
          <w:i/>
          <w:sz w:val="24"/>
          <w:szCs w:val="24"/>
        </w:rPr>
        <w:t>,</w:t>
      </w:r>
      <w:r w:rsidRPr="00C04C8A">
        <w:rPr>
          <w:rFonts w:eastAsia="Times New Roman" w:cstheme="minorHAnsi"/>
          <w:sz w:val="24"/>
          <w:szCs w:val="24"/>
        </w:rPr>
        <w:t xml:space="preserve"> or the region known as Atlantic Canada, </w:t>
      </w:r>
      <w:sdt>
        <w:sdtPr>
          <w:rPr>
            <w:rFonts w:cstheme="minorHAnsi"/>
            <w:sz w:val="24"/>
            <w:szCs w:val="24"/>
          </w:rPr>
          <w:tag w:val="goog_rdk_0"/>
          <w:id w:val="1073083305"/>
        </w:sdtPr>
        <w:sdtContent/>
      </w:sdt>
      <w:sdt>
        <w:sdtPr>
          <w:rPr>
            <w:rFonts w:cstheme="minorHAnsi"/>
            <w:sz w:val="24"/>
            <w:szCs w:val="24"/>
          </w:rPr>
          <w:tag w:val="goog_rdk_1"/>
          <w:id w:val="25300675"/>
        </w:sdtPr>
        <w:sdtContent/>
      </w:sdt>
      <w:r w:rsidRPr="00C04C8A">
        <w:rPr>
          <w:rFonts w:eastAsia="Times New Roman" w:cstheme="minorHAnsi"/>
          <w:sz w:val="24"/>
          <w:szCs w:val="24"/>
        </w:rPr>
        <w:t xml:space="preserve">have been harshly reminded of just what is at stake in these conversations in recent years. In May 2020, </w:t>
      </w:r>
      <w:r w:rsidRPr="00C04C8A">
        <w:rPr>
          <w:rFonts w:eastAsia="Times New Roman" w:cstheme="minorHAnsi"/>
          <w:color w:val="000000" w:themeColor="text1"/>
          <w:sz w:val="24"/>
          <w:szCs w:val="24"/>
          <w:highlight w:val="white"/>
        </w:rPr>
        <w:t xml:space="preserve">Regis </w:t>
      </w:r>
      <w:proofErr w:type="spellStart"/>
      <w:r w:rsidRPr="00C04C8A">
        <w:rPr>
          <w:rFonts w:eastAsia="Times New Roman" w:cstheme="minorHAnsi"/>
          <w:color w:val="000000" w:themeColor="text1"/>
          <w:sz w:val="24"/>
          <w:szCs w:val="24"/>
          <w:highlight w:val="white"/>
        </w:rPr>
        <w:t>Korchinski</w:t>
      </w:r>
      <w:proofErr w:type="spellEnd"/>
      <w:r w:rsidRPr="00C04C8A">
        <w:rPr>
          <w:rFonts w:eastAsia="Times New Roman" w:cstheme="minorHAnsi"/>
          <w:color w:val="000000" w:themeColor="text1"/>
          <w:sz w:val="24"/>
          <w:szCs w:val="24"/>
          <w:highlight w:val="white"/>
        </w:rPr>
        <w:t xml:space="preserve">-Paquet, </w:t>
      </w:r>
      <w:r w:rsidRPr="00C04C8A">
        <w:rPr>
          <w:rFonts w:eastAsia="Times New Roman" w:cstheme="minorHAnsi"/>
          <w:sz w:val="24"/>
          <w:szCs w:val="24"/>
        </w:rPr>
        <w:t xml:space="preserve">an </w:t>
      </w:r>
      <w:r w:rsidRPr="00C04C8A">
        <w:rPr>
          <w:rFonts w:eastAsia="Times New Roman" w:cstheme="minorHAnsi"/>
          <w:color w:val="222222"/>
          <w:sz w:val="24"/>
          <w:szCs w:val="24"/>
          <w:highlight w:val="white"/>
        </w:rPr>
        <w:t>Indigenous-</w:t>
      </w:r>
      <w:proofErr w:type="spellStart"/>
      <w:r w:rsidRPr="00C04C8A">
        <w:rPr>
          <w:rFonts w:eastAsia="Times New Roman" w:cstheme="minorHAnsi"/>
          <w:color w:val="222222"/>
          <w:sz w:val="24"/>
          <w:szCs w:val="24"/>
          <w:highlight w:val="white"/>
        </w:rPr>
        <w:t>Ukranian</w:t>
      </w:r>
      <w:proofErr w:type="spellEnd"/>
      <w:r w:rsidRPr="00C04C8A">
        <w:rPr>
          <w:rFonts w:eastAsia="Times New Roman" w:cstheme="minorHAnsi"/>
          <w:color w:val="222222"/>
          <w:sz w:val="24"/>
          <w:szCs w:val="24"/>
          <w:highlight w:val="white"/>
        </w:rPr>
        <w:t xml:space="preserve">-Black woman with roots in African Nova Scotia, </w:t>
      </w:r>
      <w:r w:rsidRPr="00C04C8A">
        <w:rPr>
          <w:rFonts w:eastAsia="Times New Roman" w:cstheme="minorHAnsi"/>
          <w:sz w:val="24"/>
          <w:szCs w:val="24"/>
        </w:rPr>
        <w:t xml:space="preserve">fell from </w:t>
      </w:r>
      <w:r w:rsidRPr="00C04C8A">
        <w:rPr>
          <w:rFonts w:eastAsia="Times New Roman" w:cstheme="minorHAnsi"/>
          <w:color w:val="000000"/>
          <w:sz w:val="24"/>
          <w:szCs w:val="24"/>
        </w:rPr>
        <w:t>a Toronto balcony to her death during a police “wellness check”.</w:t>
      </w:r>
      <w:r w:rsidRPr="00C04C8A">
        <w:rPr>
          <w:rStyle w:val="FootnoteReference"/>
          <w:rFonts w:eastAsia="Times New Roman" w:cstheme="minorHAnsi"/>
          <w:color w:val="000000"/>
          <w:sz w:val="24"/>
          <w:szCs w:val="24"/>
        </w:rPr>
        <w:footnoteReference w:id="11"/>
      </w:r>
      <w:r w:rsidRPr="00C04C8A">
        <w:rPr>
          <w:rFonts w:eastAsia="Times New Roman" w:cstheme="minorHAnsi"/>
          <w:color w:val="000000"/>
          <w:sz w:val="24"/>
          <w:szCs w:val="24"/>
        </w:rPr>
        <w:t xml:space="preserve"> The following month, in New Brunswick, another “wellness check” ended in the police shooting death of </w:t>
      </w:r>
      <w:r w:rsidRPr="00C04C8A">
        <w:rPr>
          <w:rFonts w:eastAsia="Times New Roman" w:cstheme="minorHAnsi"/>
          <w:color w:val="000000" w:themeColor="text1"/>
          <w:sz w:val="24"/>
          <w:szCs w:val="24"/>
        </w:rPr>
        <w:t xml:space="preserve">Chantel Moore, </w:t>
      </w:r>
      <w:r w:rsidRPr="00C04C8A">
        <w:rPr>
          <w:rFonts w:eastAsia="Times New Roman" w:cstheme="minorHAnsi"/>
          <w:color w:val="000000"/>
          <w:sz w:val="24"/>
          <w:szCs w:val="24"/>
          <w:highlight w:val="white"/>
        </w:rPr>
        <w:t>an Indigenous woman.</w:t>
      </w:r>
      <w:r w:rsidRPr="00C04C8A">
        <w:rPr>
          <w:rStyle w:val="FootnoteReference"/>
          <w:rFonts w:eastAsia="Times New Roman" w:cstheme="minorHAnsi"/>
          <w:color w:val="000000"/>
          <w:sz w:val="24"/>
          <w:szCs w:val="24"/>
          <w:highlight w:val="white"/>
        </w:rPr>
        <w:footnoteReference w:id="12"/>
      </w:r>
      <w:r w:rsidRPr="00C04C8A">
        <w:rPr>
          <w:rFonts w:eastAsia="Times New Roman" w:cstheme="minorHAnsi"/>
          <w:color w:val="000000"/>
          <w:sz w:val="24"/>
          <w:szCs w:val="24"/>
          <w:highlight w:val="white"/>
        </w:rPr>
        <w:t xml:space="preserve"> A week later, again in New Brunswick, </w:t>
      </w:r>
      <w:r w:rsidRPr="00C04C8A">
        <w:rPr>
          <w:rFonts w:eastAsia="Times New Roman" w:cstheme="minorHAnsi"/>
          <w:color w:val="000000" w:themeColor="text1"/>
          <w:sz w:val="24"/>
          <w:szCs w:val="24"/>
          <w:highlight w:val="white"/>
        </w:rPr>
        <w:t xml:space="preserve">Rodney Levi, </w:t>
      </w:r>
      <w:r w:rsidRPr="00C04C8A">
        <w:rPr>
          <w:rFonts w:eastAsia="Times New Roman" w:cstheme="minorHAnsi"/>
          <w:color w:val="000000"/>
          <w:sz w:val="24"/>
          <w:szCs w:val="24"/>
          <w:highlight w:val="white"/>
        </w:rPr>
        <w:t xml:space="preserve">a member of the </w:t>
      </w:r>
      <w:proofErr w:type="spellStart"/>
      <w:r w:rsidRPr="00C04C8A">
        <w:rPr>
          <w:rFonts w:eastAsia="Times New Roman" w:cstheme="minorHAnsi"/>
          <w:color w:val="000000"/>
          <w:sz w:val="24"/>
          <w:szCs w:val="24"/>
          <w:highlight w:val="white"/>
        </w:rPr>
        <w:t>Metepenagiag</w:t>
      </w:r>
      <w:proofErr w:type="spellEnd"/>
      <w:r w:rsidRPr="00C04C8A">
        <w:rPr>
          <w:rFonts w:eastAsia="Times New Roman" w:cstheme="minorHAnsi"/>
          <w:color w:val="000000"/>
          <w:sz w:val="24"/>
          <w:szCs w:val="24"/>
          <w:highlight w:val="white"/>
        </w:rPr>
        <w:t xml:space="preserve"> Mi’kmaq Nation, was killed during a police “wellness check”.</w:t>
      </w:r>
      <w:r w:rsidRPr="00C04C8A">
        <w:rPr>
          <w:rStyle w:val="FootnoteReference"/>
          <w:rFonts w:eastAsia="Times New Roman" w:cstheme="minorHAnsi"/>
          <w:color w:val="000000"/>
          <w:sz w:val="24"/>
          <w:szCs w:val="24"/>
          <w:highlight w:val="white"/>
        </w:rPr>
        <w:footnoteReference w:id="13"/>
      </w:r>
      <w:r w:rsidRPr="00C04C8A">
        <w:rPr>
          <w:rFonts w:eastAsia="Times New Roman" w:cstheme="minorHAnsi"/>
          <w:color w:val="000000"/>
          <w:sz w:val="24"/>
          <w:szCs w:val="24"/>
          <w:highlight w:val="white"/>
        </w:rPr>
        <w:t xml:space="preserve"> </w:t>
      </w:r>
    </w:p>
    <w:p w14:paraId="1C176A8C"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color w:val="000000"/>
          <w:sz w:val="24"/>
          <w:szCs w:val="24"/>
        </w:rPr>
        <w:t>These deaths</w:t>
      </w:r>
      <w:r w:rsidRPr="00C04C8A">
        <w:rPr>
          <w:rFonts w:eastAsia="Times New Roman" w:cstheme="minorHAnsi"/>
          <w:sz w:val="24"/>
          <w:szCs w:val="24"/>
        </w:rPr>
        <w:t xml:space="preserve"> mark the urgency of bridging anti-colonialist, critical </w:t>
      </w:r>
      <w:proofErr w:type="gramStart"/>
      <w:r w:rsidRPr="00C04C8A">
        <w:rPr>
          <w:rFonts w:eastAsia="Times New Roman" w:cstheme="minorHAnsi"/>
          <w:sz w:val="24"/>
          <w:szCs w:val="24"/>
        </w:rPr>
        <w:t>race</w:t>
      </w:r>
      <w:proofErr w:type="gramEnd"/>
      <w:r w:rsidRPr="00C04C8A">
        <w:rPr>
          <w:rFonts w:eastAsia="Times New Roman" w:cstheme="minorHAnsi"/>
          <w:sz w:val="24"/>
          <w:szCs w:val="24"/>
        </w:rPr>
        <w:t xml:space="preserve"> and critical disability analyses – an urgency felt and expressed in the streets. Ben-Moshe’s and Steele’s books have arrived at a time of rising resistance and activism, a time when prison abolitionism and disability deinstitutionalization are respectively attaining unprecedented prominence. In Canada, the past fifteen years have been marked by increased public attention to and legal advocacy on prison conditions, particularly solitary confinement, and spontaneous and </w:t>
      </w:r>
      <w:r w:rsidRPr="00C04C8A">
        <w:rPr>
          <w:rFonts w:eastAsia="Times New Roman" w:cstheme="minorHAnsi"/>
          <w:sz w:val="24"/>
          <w:szCs w:val="24"/>
        </w:rPr>
        <w:lastRenderedPageBreak/>
        <w:t xml:space="preserve">organized resistance to the violence of policing, incarceration and solitary confinement falling disproportionately on Indigenous and Black persons and persons with psychosocial disabilities.  At the same time, here in Nova Scotia, a long </w:t>
      </w:r>
      <w:r w:rsidRPr="00C04C8A">
        <w:rPr>
          <w:rFonts w:eastAsia="Times New Roman" w:cstheme="minorHAnsi"/>
          <w:color w:val="000000" w:themeColor="text1"/>
          <w:sz w:val="24"/>
          <w:szCs w:val="24"/>
        </w:rPr>
        <w:t xml:space="preserve">history of struggle on deinstitutionalization has recently been re-energized through a human rights lawsuit </w:t>
      </w:r>
      <w:r w:rsidRPr="00C04C8A">
        <w:rPr>
          <w:rFonts w:eastAsia="Times New Roman" w:cstheme="minorHAnsi"/>
          <w:sz w:val="24"/>
          <w:szCs w:val="24"/>
        </w:rPr>
        <w:t xml:space="preserve">which has established that continued institutionalization of people </w:t>
      </w:r>
      <w:proofErr w:type="spellStart"/>
      <w:r w:rsidRPr="00C04C8A">
        <w:rPr>
          <w:rFonts w:eastAsia="Times New Roman" w:cstheme="minorHAnsi"/>
          <w:sz w:val="24"/>
          <w:szCs w:val="24"/>
        </w:rPr>
        <w:t>labeled</w:t>
      </w:r>
      <w:proofErr w:type="spellEnd"/>
      <w:r w:rsidRPr="00C04C8A">
        <w:rPr>
          <w:rFonts w:eastAsia="Times New Roman" w:cstheme="minorHAnsi"/>
          <w:sz w:val="24"/>
          <w:szCs w:val="24"/>
        </w:rPr>
        <w:t xml:space="preserve"> with intellectual and developmental disabilities constitutes systemic discrimination.</w:t>
      </w:r>
      <w:r w:rsidRPr="00C04C8A">
        <w:rPr>
          <w:rStyle w:val="FootnoteReference"/>
          <w:rFonts w:eastAsia="Times New Roman" w:cstheme="minorHAnsi"/>
          <w:sz w:val="24"/>
          <w:szCs w:val="24"/>
        </w:rPr>
        <w:footnoteReference w:id="14"/>
      </w:r>
      <w:r w:rsidRPr="00C04C8A">
        <w:rPr>
          <w:rFonts w:eastAsia="Times New Roman" w:cstheme="minorHAnsi"/>
          <w:sz w:val="24"/>
          <w:szCs w:val="24"/>
        </w:rPr>
        <w:t xml:space="preserve"> </w:t>
      </w:r>
    </w:p>
    <w:p w14:paraId="495F4E9B"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 xml:space="preserve">Synergies between deinstitutionalization and prison abolitionism are slowly entering public consciousness in the Atlantic region, for instance through the work of abolitionist poet and activist </w:t>
      </w:r>
      <w:proofErr w:type="spellStart"/>
      <w:r w:rsidRPr="00C04C8A">
        <w:rPr>
          <w:rFonts w:eastAsia="Times New Roman" w:cstheme="minorHAnsi"/>
          <w:sz w:val="24"/>
          <w:szCs w:val="24"/>
        </w:rPr>
        <w:t>Dr</w:t>
      </w:r>
      <w:r w:rsidRPr="00C04C8A">
        <w:rPr>
          <w:rFonts w:eastAsia="Times New Roman" w:cstheme="minorHAnsi"/>
          <w:color w:val="000000" w:themeColor="text1"/>
          <w:sz w:val="24"/>
          <w:szCs w:val="24"/>
        </w:rPr>
        <w:t>.</w:t>
      </w:r>
      <w:proofErr w:type="spellEnd"/>
      <w:r w:rsidRPr="00C04C8A">
        <w:rPr>
          <w:rFonts w:eastAsia="Times New Roman" w:cstheme="minorHAnsi"/>
          <w:color w:val="000000" w:themeColor="text1"/>
          <w:sz w:val="24"/>
          <w:szCs w:val="24"/>
        </w:rPr>
        <w:t xml:space="preserve"> El Jones.</w:t>
      </w:r>
      <w:r w:rsidRPr="00C04C8A">
        <w:rPr>
          <w:rStyle w:val="FootnoteReference"/>
          <w:rFonts w:eastAsia="Times New Roman" w:cstheme="minorHAnsi"/>
          <w:color w:val="000000" w:themeColor="text1"/>
          <w:sz w:val="24"/>
          <w:szCs w:val="24"/>
        </w:rPr>
        <w:footnoteReference w:id="15"/>
      </w:r>
      <w:r w:rsidRPr="00C04C8A">
        <w:rPr>
          <w:rFonts w:eastAsia="Times New Roman" w:cstheme="minorHAnsi"/>
          <w:color w:val="000000" w:themeColor="text1"/>
          <w:sz w:val="24"/>
          <w:szCs w:val="24"/>
        </w:rPr>
        <w:t xml:space="preserve"> </w:t>
      </w:r>
      <w:r w:rsidRPr="00C04C8A">
        <w:rPr>
          <w:rFonts w:eastAsia="Times New Roman" w:cstheme="minorHAnsi"/>
          <w:sz w:val="24"/>
          <w:szCs w:val="24"/>
        </w:rPr>
        <w:t xml:space="preserve">Jones, who is a member of East Coast Prison Justice Society and a </w:t>
      </w:r>
      <w:proofErr w:type="spellStart"/>
      <w:r w:rsidRPr="00C04C8A">
        <w:rPr>
          <w:rFonts w:eastAsia="Times New Roman" w:cstheme="minorHAnsi"/>
          <w:sz w:val="24"/>
          <w:szCs w:val="24"/>
        </w:rPr>
        <w:t>longtime</w:t>
      </w:r>
      <w:proofErr w:type="spellEnd"/>
      <w:r w:rsidRPr="00C04C8A">
        <w:rPr>
          <w:rFonts w:eastAsia="Times New Roman" w:cstheme="minorHAnsi"/>
          <w:sz w:val="24"/>
          <w:szCs w:val="24"/>
        </w:rPr>
        <w:t xml:space="preserve"> leader in abolitionist prison justice advocacy, recently convened public consultations and a report on </w:t>
      </w:r>
      <w:r w:rsidRPr="00C04C8A">
        <w:rPr>
          <w:rFonts w:eastAsia="Times New Roman" w:cstheme="minorHAnsi"/>
          <w:color w:val="000000" w:themeColor="text1"/>
          <w:sz w:val="24"/>
          <w:szCs w:val="24"/>
        </w:rPr>
        <w:t>defunding police,</w:t>
      </w:r>
      <w:r w:rsidRPr="00C04C8A">
        <w:rPr>
          <w:rStyle w:val="FootnoteReference"/>
          <w:rFonts w:eastAsia="Times New Roman" w:cstheme="minorHAnsi"/>
          <w:color w:val="000000" w:themeColor="text1"/>
          <w:sz w:val="24"/>
          <w:szCs w:val="24"/>
        </w:rPr>
        <w:footnoteReference w:id="16"/>
      </w:r>
      <w:r w:rsidRPr="00C04C8A">
        <w:rPr>
          <w:rFonts w:eastAsia="Times New Roman" w:cstheme="minorHAnsi"/>
          <w:color w:val="000000" w:themeColor="text1"/>
          <w:sz w:val="24"/>
          <w:szCs w:val="24"/>
        </w:rPr>
        <w:t xml:space="preserve"> </w:t>
      </w:r>
      <w:r w:rsidRPr="00C04C8A">
        <w:rPr>
          <w:rFonts w:eastAsia="Times New Roman" w:cstheme="minorHAnsi"/>
          <w:sz w:val="24"/>
          <w:szCs w:val="24"/>
        </w:rPr>
        <w:t xml:space="preserve">carrying forward a tradition of anti-racist, anti-colonialist and anti-capitalist Black feminist radicalism on the east coast. Key subcommittee members of the Defund report work included local deinstitutionalization leader </w:t>
      </w:r>
      <w:r w:rsidRPr="00C04C8A">
        <w:rPr>
          <w:rFonts w:eastAsia="Times New Roman" w:cstheme="minorHAnsi"/>
          <w:color w:val="000000" w:themeColor="text1"/>
          <w:sz w:val="24"/>
          <w:szCs w:val="24"/>
        </w:rPr>
        <w:t>Jen Powley.</w:t>
      </w:r>
      <w:r w:rsidRPr="00C04C8A">
        <w:rPr>
          <w:rStyle w:val="FootnoteReference"/>
          <w:rFonts w:eastAsia="Times New Roman" w:cstheme="minorHAnsi"/>
          <w:color w:val="000000" w:themeColor="text1"/>
          <w:sz w:val="24"/>
          <w:szCs w:val="24"/>
        </w:rPr>
        <w:footnoteReference w:id="17"/>
      </w:r>
      <w:r w:rsidRPr="00C04C8A">
        <w:rPr>
          <w:rFonts w:eastAsia="Times New Roman" w:cstheme="minorHAnsi"/>
          <w:color w:val="000000" w:themeColor="text1"/>
          <w:sz w:val="24"/>
          <w:szCs w:val="24"/>
        </w:rPr>
        <w:t xml:space="preserve">  Meanwhile, </w:t>
      </w:r>
      <w:hyperlink r:id="rId9">
        <w:r w:rsidRPr="00C04C8A">
          <w:rPr>
            <w:rFonts w:eastAsia="Times New Roman" w:cstheme="minorHAnsi"/>
            <w:color w:val="000000" w:themeColor="text1"/>
            <w:sz w:val="24"/>
            <w:szCs w:val="24"/>
          </w:rPr>
          <w:t xml:space="preserve">Vicky </w:t>
        </w:r>
        <w:proofErr w:type="spellStart"/>
        <w:r w:rsidRPr="00C04C8A">
          <w:rPr>
            <w:rFonts w:eastAsia="Times New Roman" w:cstheme="minorHAnsi"/>
            <w:color w:val="000000" w:themeColor="text1"/>
            <w:sz w:val="24"/>
            <w:szCs w:val="24"/>
          </w:rPr>
          <w:t>Levack</w:t>
        </w:r>
        <w:proofErr w:type="spellEnd"/>
      </w:hyperlink>
      <w:r w:rsidRPr="00C04C8A">
        <w:rPr>
          <w:rFonts w:eastAsia="Times New Roman" w:cstheme="minorHAnsi"/>
          <w:color w:val="000000" w:themeColor="text1"/>
          <w:sz w:val="24"/>
          <w:szCs w:val="24"/>
        </w:rPr>
        <w:t xml:space="preserve"> </w:t>
      </w:r>
      <w:r w:rsidRPr="00C04C8A">
        <w:rPr>
          <w:rFonts w:eastAsia="Times New Roman" w:cstheme="minorHAnsi"/>
          <w:sz w:val="24"/>
          <w:szCs w:val="24"/>
        </w:rPr>
        <w:t>has also been carefully linking her public resistance to 10 years of nursing home institutionalization</w:t>
      </w:r>
      <w:r w:rsidRPr="00C04C8A">
        <w:rPr>
          <w:rStyle w:val="FootnoteReference"/>
          <w:rFonts w:eastAsia="Times New Roman" w:cstheme="minorHAnsi"/>
          <w:sz w:val="24"/>
          <w:szCs w:val="24"/>
        </w:rPr>
        <w:footnoteReference w:id="18"/>
      </w:r>
      <w:r w:rsidRPr="00C04C8A">
        <w:rPr>
          <w:rFonts w:eastAsia="Times New Roman" w:cstheme="minorHAnsi"/>
          <w:sz w:val="24"/>
          <w:szCs w:val="24"/>
        </w:rPr>
        <w:t xml:space="preserve"> to other forms of incarceration and the criminalization of homelessness.</w:t>
      </w:r>
      <w:r w:rsidRPr="00C04C8A">
        <w:rPr>
          <w:rStyle w:val="FootnoteReference"/>
          <w:rFonts w:eastAsia="Times New Roman" w:cstheme="minorHAnsi"/>
          <w:sz w:val="24"/>
          <w:szCs w:val="24"/>
        </w:rPr>
        <w:footnoteReference w:id="19"/>
      </w:r>
      <w:r w:rsidRPr="00C04C8A">
        <w:rPr>
          <w:rFonts w:eastAsia="Times New Roman" w:cstheme="minorHAnsi"/>
          <w:sz w:val="24"/>
          <w:szCs w:val="24"/>
        </w:rPr>
        <w:t xml:space="preserve"> The question then is not whether anti-carceral deinstitutionalization and prison abolitionism can be brought into conversation, but rather how these emerging conversations can best be leveraged to a common set of ends.</w:t>
      </w:r>
    </w:p>
    <w:p w14:paraId="685770AA"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 xml:space="preserve">Which brings me back to these books.  Among the dynamics called out are tendencies of both prison abolitionism and </w:t>
      </w:r>
      <w:proofErr w:type="gramStart"/>
      <w:r w:rsidRPr="00C04C8A">
        <w:rPr>
          <w:rFonts w:eastAsia="Times New Roman" w:cstheme="minorHAnsi"/>
          <w:sz w:val="24"/>
          <w:szCs w:val="24"/>
        </w:rPr>
        <w:t>liberal-legalism</w:t>
      </w:r>
      <w:proofErr w:type="gramEnd"/>
      <w:r w:rsidRPr="00C04C8A">
        <w:rPr>
          <w:rFonts w:eastAsia="Times New Roman" w:cstheme="minorHAnsi"/>
          <w:sz w:val="24"/>
          <w:szCs w:val="24"/>
        </w:rPr>
        <w:t xml:space="preserve"> to uncritically accept a medical model of </w:t>
      </w:r>
      <w:r w:rsidRPr="00C04C8A">
        <w:rPr>
          <w:rFonts w:eastAsia="Times New Roman" w:cstheme="minorHAnsi"/>
          <w:sz w:val="24"/>
          <w:szCs w:val="24"/>
        </w:rPr>
        <w:lastRenderedPageBreak/>
        <w:t xml:space="preserve">disability, leading to a retrenchment of carceral “care”, and tendencies of disability rights advocacy to assert belonging and advance inclusion in ways reproductive of the dominant (carceral) order. </w:t>
      </w:r>
    </w:p>
    <w:p w14:paraId="7D8A1A39" w14:textId="77777777" w:rsidR="00C04C8A" w:rsidRPr="00C04C8A" w:rsidRDefault="00C04C8A" w:rsidP="00C04C8A">
      <w:pPr>
        <w:spacing w:before="240" w:after="240"/>
        <w:rPr>
          <w:rFonts w:eastAsia="Times New Roman" w:cstheme="minorHAnsi"/>
          <w:sz w:val="24"/>
          <w:szCs w:val="24"/>
        </w:rPr>
      </w:pPr>
      <w:proofErr w:type="spellStart"/>
      <w:r w:rsidRPr="00C04C8A">
        <w:rPr>
          <w:rFonts w:eastAsia="Times New Roman" w:cstheme="minorHAnsi"/>
          <w:i/>
          <w:sz w:val="24"/>
          <w:szCs w:val="24"/>
        </w:rPr>
        <w:t>Decarcerating</w:t>
      </w:r>
      <w:proofErr w:type="spellEnd"/>
      <w:r w:rsidRPr="00C04C8A">
        <w:rPr>
          <w:rFonts w:eastAsia="Times New Roman" w:cstheme="minorHAnsi"/>
          <w:i/>
          <w:sz w:val="24"/>
          <w:szCs w:val="24"/>
        </w:rPr>
        <w:t xml:space="preserve"> Disability</w:t>
      </w:r>
      <w:r w:rsidRPr="00C04C8A">
        <w:rPr>
          <w:rFonts w:eastAsia="Times New Roman" w:cstheme="minorHAnsi"/>
          <w:sz w:val="24"/>
          <w:szCs w:val="24"/>
        </w:rPr>
        <w:t xml:space="preserve"> [DD] builds on </w:t>
      </w:r>
      <w:hyperlink r:id="rId10">
        <w:r w:rsidRPr="00C04C8A">
          <w:rPr>
            <w:rFonts w:eastAsia="Times New Roman" w:cstheme="minorHAnsi"/>
            <w:color w:val="000000" w:themeColor="text1"/>
            <w:sz w:val="24"/>
            <w:szCs w:val="24"/>
          </w:rPr>
          <w:t>previous</w:t>
        </w:r>
      </w:hyperlink>
      <w:hyperlink r:id="rId11">
        <w:r w:rsidRPr="00C04C8A">
          <w:rPr>
            <w:rFonts w:eastAsia="Times New Roman" w:cstheme="minorHAnsi"/>
            <w:color w:val="000000" w:themeColor="text1"/>
            <w:sz w:val="24"/>
            <w:szCs w:val="24"/>
          </w:rPr>
          <w:t xml:space="preserve"> work</w:t>
        </w:r>
      </w:hyperlink>
      <w:r w:rsidRPr="00C04C8A">
        <w:rPr>
          <w:rFonts w:eastAsia="Times New Roman" w:cstheme="minorHAnsi"/>
          <w:sz w:val="24"/>
          <w:szCs w:val="24"/>
        </w:rPr>
        <w:t xml:space="preserve"> establishing Ben-Moshe as a unique voice in critical disability theory and anti-carceral studies.</w:t>
      </w:r>
      <w:r w:rsidRPr="00C04C8A">
        <w:rPr>
          <w:rStyle w:val="FootnoteReference"/>
          <w:rFonts w:eastAsia="Times New Roman" w:cstheme="minorHAnsi"/>
          <w:sz w:val="24"/>
          <w:szCs w:val="24"/>
        </w:rPr>
        <w:footnoteReference w:id="20"/>
      </w:r>
      <w:r w:rsidRPr="00C04C8A">
        <w:rPr>
          <w:rFonts w:eastAsia="Times New Roman" w:cstheme="minorHAnsi"/>
          <w:sz w:val="24"/>
          <w:szCs w:val="24"/>
        </w:rPr>
        <w:t xml:space="preserve"> The book explores strategies of deinstitutionalization and prison abolitionism in the US as interconnected expressions of a shared anti-carceral project. In particular, it deconstructs the logic of mass incarceration through a focus on “race-ability”: “the ways race and disability, and racism, </w:t>
      </w:r>
      <w:proofErr w:type="spellStart"/>
      <w:r w:rsidRPr="00C04C8A">
        <w:rPr>
          <w:rFonts w:eastAsia="Times New Roman" w:cstheme="minorHAnsi"/>
          <w:sz w:val="24"/>
          <w:szCs w:val="24"/>
        </w:rPr>
        <w:t>sanism</w:t>
      </w:r>
      <w:proofErr w:type="spellEnd"/>
      <w:r w:rsidRPr="00C04C8A">
        <w:rPr>
          <w:rFonts w:eastAsia="Times New Roman" w:cstheme="minorHAnsi"/>
          <w:sz w:val="24"/>
          <w:szCs w:val="24"/>
        </w:rPr>
        <w:t xml:space="preserve">, and ableism [constitute] intersecting oppressions.” (DD 5).  These complex intersections are exposed and challenged in Ben-Moshe’s book in part through careful assemblage of “a genealogy of the largest </w:t>
      </w:r>
      <w:proofErr w:type="spellStart"/>
      <w:r w:rsidRPr="00C04C8A">
        <w:rPr>
          <w:rFonts w:eastAsia="Times New Roman" w:cstheme="minorHAnsi"/>
          <w:sz w:val="24"/>
          <w:szCs w:val="24"/>
        </w:rPr>
        <w:t>decarceration</w:t>
      </w:r>
      <w:proofErr w:type="spellEnd"/>
      <w:r w:rsidRPr="00C04C8A">
        <w:rPr>
          <w:rFonts w:eastAsia="Times New Roman" w:cstheme="minorHAnsi"/>
          <w:sz w:val="24"/>
          <w:szCs w:val="24"/>
        </w:rPr>
        <w:t xml:space="preserve"> movement in U.S. history: deinstitutionalization” – i.e., the exodus of persons </w:t>
      </w:r>
      <w:proofErr w:type="spellStart"/>
      <w:r w:rsidRPr="00C04C8A">
        <w:rPr>
          <w:rFonts w:eastAsia="Times New Roman" w:cstheme="minorHAnsi"/>
          <w:sz w:val="24"/>
          <w:szCs w:val="24"/>
        </w:rPr>
        <w:t>labeled</w:t>
      </w:r>
      <w:proofErr w:type="spellEnd"/>
      <w:r w:rsidRPr="00C04C8A">
        <w:rPr>
          <w:rFonts w:eastAsia="Times New Roman" w:cstheme="minorHAnsi"/>
          <w:sz w:val="24"/>
          <w:szCs w:val="24"/>
        </w:rPr>
        <w:t xml:space="preserve"> with psychiatric disabilities and/or intellectual and developmental disabilities from large congregate facilities from the 1960s on (DD 2). Ben-Moshe</w:t>
      </w:r>
      <w:r w:rsidRPr="00C04C8A">
        <w:rPr>
          <w:rFonts w:eastAsia="Times New Roman" w:cstheme="minorHAnsi"/>
          <w:i/>
          <w:sz w:val="24"/>
          <w:szCs w:val="24"/>
        </w:rPr>
        <w:t xml:space="preserve"> </w:t>
      </w:r>
      <w:r w:rsidRPr="00C04C8A">
        <w:rPr>
          <w:rFonts w:eastAsia="Times New Roman" w:cstheme="minorHAnsi"/>
          <w:sz w:val="24"/>
          <w:szCs w:val="24"/>
        </w:rPr>
        <w:t xml:space="preserve">demonstrates how this mass release implicated diverse social, </w:t>
      </w:r>
      <w:proofErr w:type="gramStart"/>
      <w:r w:rsidRPr="00C04C8A">
        <w:rPr>
          <w:rFonts w:eastAsia="Times New Roman" w:cstheme="minorHAnsi"/>
          <w:sz w:val="24"/>
          <w:szCs w:val="24"/>
        </w:rPr>
        <w:t>legal</w:t>
      </w:r>
      <w:proofErr w:type="gramEnd"/>
      <w:r w:rsidRPr="00C04C8A">
        <w:rPr>
          <w:rFonts w:eastAsia="Times New Roman" w:cstheme="minorHAnsi"/>
          <w:sz w:val="24"/>
          <w:szCs w:val="24"/>
        </w:rPr>
        <w:t xml:space="preserve"> and economic determinants, including shifts in and clashes among multiple forms of knowledge/power. At the same time, her account centres the histories and subjugated knowledges of prison abolitionist as well as self-advocate and mad movements and the allied scholarship of anti-psychiatry. It also points out tensions among a more assimilationist variant of disability deinstitutionalization (coding disability as white, middle class and heteronormative) and a more radically intersectional variant wherein disability (and/or debility, as advanced by </w:t>
      </w:r>
      <w:proofErr w:type="spellStart"/>
      <w:r w:rsidRPr="00C04C8A">
        <w:rPr>
          <w:rFonts w:eastAsia="Times New Roman" w:cstheme="minorHAnsi"/>
          <w:color w:val="000000" w:themeColor="text1"/>
          <w:sz w:val="24"/>
          <w:szCs w:val="24"/>
        </w:rPr>
        <w:t>Jasbir</w:t>
      </w:r>
      <w:proofErr w:type="spellEnd"/>
      <w:r w:rsidRPr="00C04C8A">
        <w:rPr>
          <w:rFonts w:eastAsia="Times New Roman" w:cstheme="minorHAnsi"/>
          <w:color w:val="000000" w:themeColor="text1"/>
          <w:sz w:val="24"/>
          <w:szCs w:val="24"/>
        </w:rPr>
        <w:t xml:space="preserve"> Puar</w:t>
      </w:r>
      <w:r w:rsidRPr="00C04C8A">
        <w:rPr>
          <w:rFonts w:eastAsia="Times New Roman" w:cstheme="minorHAnsi"/>
          <w:sz w:val="24"/>
          <w:szCs w:val="24"/>
        </w:rPr>
        <w:t>)</w:t>
      </w:r>
      <w:r w:rsidRPr="00C04C8A">
        <w:rPr>
          <w:rStyle w:val="FootnoteReference"/>
          <w:rFonts w:eastAsia="Times New Roman" w:cstheme="minorHAnsi"/>
          <w:sz w:val="24"/>
          <w:szCs w:val="24"/>
        </w:rPr>
        <w:footnoteReference w:id="21"/>
      </w:r>
      <w:r w:rsidRPr="00C04C8A">
        <w:rPr>
          <w:rFonts w:eastAsia="Times New Roman" w:cstheme="minorHAnsi"/>
          <w:sz w:val="24"/>
          <w:szCs w:val="24"/>
        </w:rPr>
        <w:t xml:space="preserve"> is denied the legal legitimation of disability rights.      </w:t>
      </w:r>
    </w:p>
    <w:p w14:paraId="361CEF33"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A centrepiece of the book is chapter 4’s reprise of Ben-Moshe’s article, “</w:t>
      </w:r>
      <w:r w:rsidRPr="00C04C8A">
        <w:rPr>
          <w:rFonts w:eastAsia="Times New Roman" w:cstheme="minorHAnsi"/>
          <w:color w:val="000000" w:themeColor="text1"/>
          <w:sz w:val="24"/>
          <w:szCs w:val="24"/>
        </w:rPr>
        <w:t>Why Prisons are Not the New Asylums</w:t>
      </w:r>
      <w:r w:rsidRPr="00C04C8A">
        <w:rPr>
          <w:rFonts w:eastAsia="Times New Roman" w:cstheme="minorHAnsi"/>
          <w:color w:val="1155CC"/>
          <w:sz w:val="24"/>
          <w:szCs w:val="24"/>
        </w:rPr>
        <w:t>.</w:t>
      </w:r>
      <w:r w:rsidRPr="00C04C8A">
        <w:rPr>
          <w:rFonts w:eastAsia="Times New Roman" w:cstheme="minorHAnsi"/>
          <w:sz w:val="24"/>
          <w:szCs w:val="24"/>
        </w:rPr>
        <w:t>”</w:t>
      </w:r>
      <w:r w:rsidRPr="00C04C8A">
        <w:rPr>
          <w:rStyle w:val="FootnoteReference"/>
          <w:rFonts w:eastAsia="Times New Roman" w:cstheme="minorHAnsi"/>
          <w:sz w:val="24"/>
          <w:szCs w:val="24"/>
        </w:rPr>
        <w:footnoteReference w:id="22"/>
      </w:r>
      <w:r w:rsidRPr="00C04C8A">
        <w:rPr>
          <w:rFonts w:eastAsia="Times New Roman" w:cstheme="minorHAnsi"/>
          <w:sz w:val="24"/>
          <w:szCs w:val="24"/>
        </w:rPr>
        <w:t xml:space="preserve"> Here she contests the popular view that deinstitutionalization was a failure because it abandoned people to the streets where they became vulnerable to criminal law-based incarceration – a story that tends to be punctuated with renewed </w:t>
      </w:r>
      <w:r w:rsidRPr="00C04C8A">
        <w:rPr>
          <w:rFonts w:eastAsia="Times New Roman" w:cstheme="minorHAnsi"/>
          <w:sz w:val="24"/>
          <w:szCs w:val="24"/>
        </w:rPr>
        <w:lastRenderedPageBreak/>
        <w:t xml:space="preserve">support for coercive forms of institutionalized “care”. Ben-Moshe warns that representing deinstitutionalization as failure is not only inconsistent with evidence that former residents of institutions often thrived post-release, </w:t>
      </w:r>
      <w:proofErr w:type="gramStart"/>
      <w:r w:rsidRPr="00C04C8A">
        <w:rPr>
          <w:rFonts w:eastAsia="Times New Roman" w:cstheme="minorHAnsi"/>
          <w:sz w:val="24"/>
          <w:szCs w:val="24"/>
        </w:rPr>
        <w:t>it</w:t>
      </w:r>
      <w:proofErr w:type="gramEnd"/>
      <w:r w:rsidRPr="00C04C8A">
        <w:rPr>
          <w:rFonts w:eastAsia="Times New Roman" w:cstheme="minorHAnsi"/>
          <w:sz w:val="24"/>
          <w:szCs w:val="24"/>
        </w:rPr>
        <w:t xml:space="preserve"> also misses the key insight that it was not deinstitutionalization as such but rather the rise of neoliberal policies of privatization and social abandonment – together with punishing logics of race-ability – that failed.  Or, to put it another way, neoliberalism in fact succeeded in its objective, which was to hollow out social supports that would strengthen relationships of care while further entrenching the dominance of the for-profit “carceral-industrial complex,” not only prisons but “a growing private industry of nursing homes, boarding homes, for-profit psychiatric hospitals, and group homes” (DD 12).</w:t>
      </w:r>
    </w:p>
    <w:p w14:paraId="0F113FFC"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 xml:space="preserve">There is much more besides to </w:t>
      </w:r>
      <w:proofErr w:type="spellStart"/>
      <w:r w:rsidRPr="00C04C8A">
        <w:rPr>
          <w:rFonts w:eastAsia="Times New Roman" w:cstheme="minorHAnsi"/>
          <w:i/>
          <w:sz w:val="24"/>
          <w:szCs w:val="24"/>
        </w:rPr>
        <w:t>Decarcerating</w:t>
      </w:r>
      <w:proofErr w:type="spellEnd"/>
      <w:r w:rsidRPr="00C04C8A">
        <w:rPr>
          <w:rFonts w:eastAsia="Times New Roman" w:cstheme="minorHAnsi"/>
          <w:i/>
          <w:sz w:val="24"/>
          <w:szCs w:val="24"/>
        </w:rPr>
        <w:t xml:space="preserve"> Disability</w:t>
      </w:r>
      <w:r w:rsidRPr="00C04C8A">
        <w:rPr>
          <w:rFonts w:eastAsia="Times New Roman" w:cstheme="minorHAnsi"/>
          <w:sz w:val="24"/>
          <w:szCs w:val="24"/>
        </w:rPr>
        <w:t>. Of particular interest to lawyers and legal scholars is Chapter 7, “</w:t>
      </w:r>
      <w:proofErr w:type="spellStart"/>
      <w:r w:rsidRPr="00C04C8A">
        <w:rPr>
          <w:rFonts w:eastAsia="Times New Roman" w:cstheme="minorHAnsi"/>
          <w:sz w:val="24"/>
          <w:szCs w:val="24"/>
        </w:rPr>
        <w:t>Decarcerating</w:t>
      </w:r>
      <w:proofErr w:type="spellEnd"/>
      <w:r w:rsidRPr="00C04C8A">
        <w:rPr>
          <w:rFonts w:eastAsia="Times New Roman" w:cstheme="minorHAnsi"/>
          <w:sz w:val="24"/>
          <w:szCs w:val="24"/>
        </w:rPr>
        <w:t xml:space="preserve"> Through the Courts”. It offers a retrospective of U.S. deinstitutionalization and prison litigation, bringing together seldom-compared lines of case law to foster reflection on successes as well as cautionary tales. The cautionary tales turn in part on distinctions between litigating for reforms and litigating for abolition, and reminders of how legal wins have often been followed by new, slightly </w:t>
      </w:r>
      <w:proofErr w:type="spellStart"/>
      <w:r w:rsidRPr="00C04C8A">
        <w:rPr>
          <w:rFonts w:eastAsia="Times New Roman" w:cstheme="minorHAnsi"/>
          <w:sz w:val="24"/>
          <w:szCs w:val="24"/>
        </w:rPr>
        <w:t>remodeled</w:t>
      </w:r>
      <w:proofErr w:type="spellEnd"/>
      <w:r w:rsidRPr="00C04C8A">
        <w:rPr>
          <w:rFonts w:eastAsia="Times New Roman" w:cstheme="minorHAnsi"/>
          <w:sz w:val="24"/>
          <w:szCs w:val="24"/>
        </w:rPr>
        <w:t xml:space="preserve"> carceral forms. In these </w:t>
      </w:r>
      <w:proofErr w:type="spellStart"/>
      <w:r w:rsidRPr="00C04C8A">
        <w:rPr>
          <w:rFonts w:eastAsia="Times New Roman" w:cstheme="minorHAnsi"/>
          <w:sz w:val="24"/>
          <w:szCs w:val="24"/>
        </w:rPr>
        <w:t>tellings</w:t>
      </w:r>
      <w:proofErr w:type="spellEnd"/>
      <w:r w:rsidRPr="00C04C8A">
        <w:rPr>
          <w:rFonts w:eastAsia="Times New Roman" w:cstheme="minorHAnsi"/>
          <w:sz w:val="24"/>
          <w:szCs w:val="24"/>
        </w:rPr>
        <w:t xml:space="preserve">, Ben-Moshe emphasizes the perils of litigation which ignores the interaction of disability injustice with other interlocking injustices -- a topic I return to below.  </w:t>
      </w:r>
    </w:p>
    <w:p w14:paraId="23D072D3"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 xml:space="preserve">Steele’s </w:t>
      </w:r>
      <w:r w:rsidRPr="00C04C8A">
        <w:rPr>
          <w:rFonts w:eastAsia="Times New Roman" w:cstheme="minorHAnsi"/>
          <w:i/>
          <w:sz w:val="24"/>
          <w:szCs w:val="24"/>
        </w:rPr>
        <w:t xml:space="preserve">Disability, Criminal </w:t>
      </w:r>
      <w:proofErr w:type="gramStart"/>
      <w:r w:rsidRPr="00C04C8A">
        <w:rPr>
          <w:rFonts w:eastAsia="Times New Roman" w:cstheme="minorHAnsi"/>
          <w:i/>
          <w:sz w:val="24"/>
          <w:szCs w:val="24"/>
        </w:rPr>
        <w:t>Justice</w:t>
      </w:r>
      <w:proofErr w:type="gramEnd"/>
      <w:r w:rsidRPr="00C04C8A">
        <w:rPr>
          <w:rFonts w:eastAsia="Times New Roman" w:cstheme="minorHAnsi"/>
          <w:i/>
          <w:sz w:val="24"/>
          <w:szCs w:val="24"/>
        </w:rPr>
        <w:t xml:space="preserve"> and Law</w:t>
      </w:r>
      <w:r w:rsidRPr="00C04C8A">
        <w:rPr>
          <w:rFonts w:eastAsia="Times New Roman" w:cstheme="minorHAnsi"/>
          <w:sz w:val="24"/>
          <w:szCs w:val="24"/>
        </w:rPr>
        <w:t xml:space="preserve"> [DCJL] exposes further, previously under-explored and under-theorized connections between disability institutionalization and incarceration based in criminalization. It concentrates on court diversion – an ostensibly humane, supportive alternative to crime-based incarceration. Through a </w:t>
      </w:r>
      <w:proofErr w:type="gramStart"/>
      <w:r w:rsidRPr="00C04C8A">
        <w:rPr>
          <w:rFonts w:eastAsia="Times New Roman" w:cstheme="minorHAnsi"/>
          <w:sz w:val="24"/>
          <w:szCs w:val="24"/>
        </w:rPr>
        <w:t>meticulously-supported</w:t>
      </w:r>
      <w:proofErr w:type="gramEnd"/>
      <w:r w:rsidRPr="00C04C8A">
        <w:rPr>
          <w:rFonts w:eastAsia="Times New Roman" w:cstheme="minorHAnsi"/>
          <w:sz w:val="24"/>
          <w:szCs w:val="24"/>
        </w:rPr>
        <w:t xml:space="preserve"> reading against the grain, the book offers the most sustained and substantiated account in the socio-legal literature of how this reformist-rehabilitative institutional form reproduces carceral-oppressive harm. This is accomplished through engagement with social theory, with regimes of court diversion in multiple jurisdictions, and with fictionalized case studies drawn from the “People with Mental Health Disorders and Cognitive Disabilities in the Criminal Justice System in New South Wales” dataset as well as court diversion judicial </w:t>
      </w:r>
      <w:r w:rsidRPr="00C04C8A">
        <w:rPr>
          <w:rFonts w:eastAsia="Times New Roman" w:cstheme="minorHAnsi"/>
          <w:sz w:val="24"/>
          <w:szCs w:val="24"/>
        </w:rPr>
        <w:lastRenderedPageBreak/>
        <w:t>decisions from that state. The various sources arrayed are elucidated through a formidable yet uncommonly accessible critical-theoretical apparatus.</w:t>
      </w:r>
    </w:p>
    <w:p w14:paraId="0ED1DF0C"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 xml:space="preserve">Steele’s book employs this dense weave of material to deepen the “net-widening” critique – the thesis that court diversion expands the reach of state coercion. It does so specifically by establishing, in careful detail, how diversion imbricates ableism into state projects of colonial and racial domination. On Steele’s account, court diversion reifies and operationalizes a medicalized conception of disability, which in turn translates structural oppression and interlocking injustices into individualized risks and deficits. This process of neoliberal translation disproportionately harms the criminalized disabled – those structurally vulnerable to colonial, racist, heteropatriarchal power. The book further establishes diversion as but one aspect of a project foundational to the wider legal system: “legitimating the white, fit, settler subject and nation” (DCJL 75) while functioning “to </w:t>
      </w:r>
      <w:proofErr w:type="spellStart"/>
      <w:r w:rsidRPr="00C04C8A">
        <w:rPr>
          <w:rFonts w:eastAsia="Times New Roman" w:cstheme="minorHAnsi"/>
          <w:sz w:val="24"/>
          <w:szCs w:val="24"/>
        </w:rPr>
        <w:t>pathologise</w:t>
      </w:r>
      <w:proofErr w:type="spellEnd"/>
      <w:r w:rsidRPr="00C04C8A">
        <w:rPr>
          <w:rFonts w:eastAsia="Times New Roman" w:cstheme="minorHAnsi"/>
          <w:sz w:val="24"/>
          <w:szCs w:val="24"/>
        </w:rPr>
        <w:t xml:space="preserve"> and dehumanise Indigenous and First Nations people,” “legitimate genocide,” and obstruct “collective self-determination and nation-building” (DCJL 9).  Building on Puar’s exploration of debilitation, the book argues that diversion is not only about extending coercion into the lives of those diverted but also legitimating carceral confinement of those who do not qualify for diversion (DCJL 92-96).  </w:t>
      </w:r>
    </w:p>
    <w:p w14:paraId="24669365"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 xml:space="preserve">A striking aspect of </w:t>
      </w:r>
      <w:r w:rsidRPr="00C04C8A">
        <w:rPr>
          <w:rFonts w:eastAsia="Times New Roman" w:cstheme="minorHAnsi"/>
          <w:i/>
          <w:sz w:val="24"/>
          <w:szCs w:val="24"/>
        </w:rPr>
        <w:t>Disability, Criminal Justice and Law</w:t>
      </w:r>
      <w:r w:rsidRPr="00C04C8A">
        <w:rPr>
          <w:rFonts w:eastAsia="Times New Roman" w:cstheme="minorHAnsi"/>
          <w:sz w:val="24"/>
          <w:szCs w:val="24"/>
        </w:rPr>
        <w:t xml:space="preserve"> is its extension of its critique to international human rights and specifically disability rights law. Through close readings of case law and commentary, Steele argues that “the CRPD and its jurisprudence focus overly on discrimination purely along lines of disability,” stopping “short of broader engagement with interlocking dynamics and forces of oppression” or with prison abolitionism (DCJL 21). A question opened for further exploration is whether CRPD advocacy can possibly be reanimated to be more responsive to the interactive injustices of both criminal law-based incarceration and disability institutionalization.</w:t>
      </w:r>
    </w:p>
    <w:p w14:paraId="0E3160D6"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With this I come to my central question: What if any role might law, or specifically rights-based litigation, play in resisting carceral state strategies and redirecting material and conceptual resources toward supports for diverse forms of flourishing?</w:t>
      </w:r>
    </w:p>
    <w:p w14:paraId="175CAEBD"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lastRenderedPageBreak/>
        <w:t xml:space="preserve">We might consider this question in light of </w:t>
      </w:r>
      <w:r w:rsidRPr="00C04C8A">
        <w:rPr>
          <w:rFonts w:eastAsia="Times New Roman" w:cstheme="minorHAnsi"/>
          <w:color w:val="000000" w:themeColor="text1"/>
          <w:sz w:val="24"/>
          <w:szCs w:val="24"/>
        </w:rPr>
        <w:t>recent litigation challenging solitary confinement in Canada’s federal prisons</w:t>
      </w:r>
      <w:r w:rsidRPr="00C04C8A">
        <w:rPr>
          <w:rFonts w:eastAsia="Times New Roman" w:cstheme="minorHAnsi"/>
          <w:sz w:val="24"/>
          <w:szCs w:val="24"/>
        </w:rPr>
        <w:t>.</w:t>
      </w:r>
      <w:r w:rsidRPr="00C04C8A">
        <w:rPr>
          <w:rStyle w:val="FootnoteReference"/>
          <w:rFonts w:eastAsia="Times New Roman" w:cstheme="minorHAnsi"/>
          <w:sz w:val="24"/>
          <w:szCs w:val="24"/>
        </w:rPr>
        <w:footnoteReference w:id="23"/>
      </w:r>
      <w:r w:rsidRPr="00C04C8A">
        <w:rPr>
          <w:rFonts w:eastAsia="Times New Roman" w:cstheme="minorHAnsi"/>
          <w:sz w:val="24"/>
          <w:szCs w:val="24"/>
        </w:rPr>
        <w:t xml:space="preserve"> (</w:t>
      </w:r>
      <w:r w:rsidRPr="00C04C8A">
        <w:rPr>
          <w:rFonts w:eastAsia="Times New Roman" w:cstheme="minorHAnsi"/>
          <w:color w:val="000000" w:themeColor="text1"/>
          <w:sz w:val="24"/>
          <w:szCs w:val="24"/>
        </w:rPr>
        <w:t xml:space="preserve">Subsequent litigation </w:t>
      </w:r>
      <w:r w:rsidRPr="00C04C8A">
        <w:rPr>
          <w:rFonts w:eastAsia="Times New Roman" w:cstheme="minorHAnsi"/>
          <w:sz w:val="24"/>
          <w:szCs w:val="24"/>
        </w:rPr>
        <w:t>has targeted provincial jails</w:t>
      </w:r>
      <w:r w:rsidRPr="00C04C8A">
        <w:rPr>
          <w:rFonts w:eastAsia="Times New Roman" w:cstheme="minorHAnsi"/>
          <w:color w:val="000000" w:themeColor="text1"/>
          <w:sz w:val="24"/>
          <w:szCs w:val="24"/>
        </w:rPr>
        <w:t>.</w:t>
      </w:r>
      <w:r w:rsidRPr="00C04C8A">
        <w:rPr>
          <w:rStyle w:val="FootnoteReference"/>
          <w:rFonts w:eastAsia="Times New Roman" w:cstheme="minorHAnsi"/>
          <w:color w:val="000000" w:themeColor="text1"/>
          <w:sz w:val="24"/>
          <w:szCs w:val="24"/>
        </w:rPr>
        <w:footnoteReference w:id="24"/>
      </w:r>
      <w:r w:rsidRPr="00C04C8A">
        <w:rPr>
          <w:rFonts w:eastAsia="Times New Roman" w:cstheme="minorHAnsi"/>
          <w:color w:val="000000" w:themeColor="text1"/>
          <w:sz w:val="24"/>
          <w:szCs w:val="24"/>
        </w:rPr>
        <w:t xml:space="preserve">) Over 30% of federal prisoners – and nearly 50% </w:t>
      </w:r>
      <w:r w:rsidRPr="00C04C8A">
        <w:rPr>
          <w:rFonts w:eastAsia="Times New Roman" w:cstheme="minorHAnsi"/>
          <w:sz w:val="24"/>
          <w:szCs w:val="24"/>
        </w:rPr>
        <w:t>of those incarcerated in prisons designated for women – are Indigenous, despite Indigenous people composing about 5% of the wider population.</w:t>
      </w:r>
      <w:r w:rsidRPr="00C04C8A">
        <w:rPr>
          <w:rStyle w:val="FootnoteReference"/>
          <w:rFonts w:eastAsia="Times New Roman" w:cstheme="minorHAnsi"/>
          <w:sz w:val="24"/>
          <w:szCs w:val="24"/>
        </w:rPr>
        <w:footnoteReference w:id="25"/>
      </w:r>
      <w:r w:rsidRPr="00C04C8A">
        <w:rPr>
          <w:rFonts w:eastAsia="Times New Roman" w:cstheme="minorHAnsi"/>
          <w:sz w:val="24"/>
          <w:szCs w:val="24"/>
        </w:rPr>
        <w:t xml:space="preserve"> Canada’s prison populations are also reflective of other interlocking oppressions, including on grounds of race, disability, gender, sexual identity and poverty.  Following decades of struggle, litigation in Canada </w:t>
      </w:r>
      <w:r w:rsidRPr="00C04C8A">
        <w:rPr>
          <w:rFonts w:eastAsia="Times New Roman" w:cstheme="minorHAnsi"/>
          <w:color w:val="000000" w:themeColor="text1"/>
          <w:sz w:val="24"/>
          <w:szCs w:val="24"/>
        </w:rPr>
        <w:t xml:space="preserve">achieved a modicum of success </w:t>
      </w:r>
      <w:r w:rsidRPr="00C04C8A">
        <w:rPr>
          <w:rFonts w:eastAsia="Times New Roman" w:cstheme="minorHAnsi"/>
          <w:sz w:val="24"/>
          <w:szCs w:val="24"/>
        </w:rPr>
        <w:t xml:space="preserve">in establishing that solitary confinement </w:t>
      </w:r>
      <w:r w:rsidRPr="00C04C8A">
        <w:rPr>
          <w:rFonts w:eastAsia="Times New Roman" w:cstheme="minorHAnsi"/>
          <w:color w:val="000000" w:themeColor="text1"/>
          <w:sz w:val="24"/>
          <w:szCs w:val="24"/>
        </w:rPr>
        <w:t>for 15 days or more</w:t>
      </w:r>
      <w:r w:rsidRPr="00C04C8A">
        <w:rPr>
          <w:rFonts w:eastAsia="Times New Roman" w:cstheme="minorHAnsi"/>
          <w:sz w:val="24"/>
          <w:szCs w:val="24"/>
        </w:rPr>
        <w:t>,</w:t>
      </w:r>
      <w:r w:rsidRPr="00C04C8A">
        <w:rPr>
          <w:rStyle w:val="FootnoteReference"/>
          <w:rFonts w:eastAsia="Times New Roman" w:cstheme="minorHAnsi"/>
          <w:sz w:val="24"/>
          <w:szCs w:val="24"/>
        </w:rPr>
        <w:footnoteReference w:id="26"/>
      </w:r>
      <w:r w:rsidRPr="00C04C8A">
        <w:rPr>
          <w:rFonts w:eastAsia="Times New Roman" w:cstheme="minorHAnsi"/>
          <w:sz w:val="24"/>
          <w:szCs w:val="24"/>
        </w:rPr>
        <w:t xml:space="preserve"> or </w:t>
      </w:r>
      <w:r w:rsidRPr="00C04C8A">
        <w:rPr>
          <w:rFonts w:eastAsia="Times New Roman" w:cstheme="minorHAnsi"/>
          <w:color w:val="000000" w:themeColor="text1"/>
          <w:sz w:val="24"/>
          <w:szCs w:val="24"/>
        </w:rPr>
        <w:t>for any period where a person has a serious mental health condition</w:t>
      </w:r>
      <w:r w:rsidRPr="00C04C8A">
        <w:rPr>
          <w:rFonts w:eastAsia="Times New Roman" w:cstheme="minorHAnsi"/>
          <w:sz w:val="24"/>
          <w:szCs w:val="24"/>
        </w:rPr>
        <w:t>,</w:t>
      </w:r>
      <w:r w:rsidRPr="00C04C8A">
        <w:rPr>
          <w:rStyle w:val="FootnoteReference"/>
          <w:rFonts w:eastAsia="Times New Roman" w:cstheme="minorHAnsi"/>
          <w:sz w:val="24"/>
          <w:szCs w:val="24"/>
        </w:rPr>
        <w:footnoteReference w:id="27"/>
      </w:r>
      <w:r w:rsidRPr="00C04C8A">
        <w:rPr>
          <w:rFonts w:eastAsia="Times New Roman" w:cstheme="minorHAnsi"/>
          <w:sz w:val="24"/>
          <w:szCs w:val="24"/>
        </w:rPr>
        <w:t xml:space="preserve"> violates human rights including the right to be free of cruel and unusual treatment. Legal remedies have included a cap on the duration of solitary, rights to independent review, and </w:t>
      </w:r>
      <w:r w:rsidRPr="00C04C8A">
        <w:rPr>
          <w:rFonts w:eastAsia="Times New Roman" w:cstheme="minorHAnsi"/>
          <w:color w:val="000000" w:themeColor="text1"/>
          <w:sz w:val="24"/>
          <w:szCs w:val="24"/>
        </w:rPr>
        <w:t>monetary damages</w:t>
      </w:r>
      <w:r w:rsidRPr="00C04C8A">
        <w:rPr>
          <w:rFonts w:eastAsia="Times New Roman" w:cstheme="minorHAnsi"/>
          <w:sz w:val="24"/>
          <w:szCs w:val="24"/>
        </w:rPr>
        <w:t>.</w:t>
      </w:r>
      <w:r w:rsidRPr="00C04C8A">
        <w:rPr>
          <w:rStyle w:val="FootnoteReference"/>
          <w:rFonts w:eastAsia="Times New Roman" w:cstheme="minorHAnsi"/>
          <w:sz w:val="24"/>
          <w:szCs w:val="24"/>
        </w:rPr>
        <w:footnoteReference w:id="28"/>
      </w:r>
      <w:r w:rsidRPr="00C04C8A">
        <w:rPr>
          <w:rFonts w:eastAsia="Times New Roman" w:cstheme="minorHAnsi"/>
          <w:sz w:val="24"/>
          <w:szCs w:val="24"/>
        </w:rPr>
        <w:t xml:space="preserve"> In the federal prison context, the government’s response has been a complex bureaucratic system (“Structured Intervention Units”) marked by ample discretion, intensive </w:t>
      </w:r>
      <w:r w:rsidRPr="00C04C8A">
        <w:rPr>
          <w:rFonts w:eastAsia="Times New Roman" w:cstheme="minorHAnsi"/>
          <w:color w:val="000000" w:themeColor="text1"/>
          <w:sz w:val="24"/>
          <w:szCs w:val="24"/>
        </w:rPr>
        <w:t xml:space="preserve">mental health screening </w:t>
      </w:r>
      <w:r w:rsidRPr="00C04C8A">
        <w:rPr>
          <w:rFonts w:eastAsia="Times New Roman" w:cstheme="minorHAnsi"/>
          <w:sz w:val="24"/>
          <w:szCs w:val="24"/>
        </w:rPr>
        <w:t xml:space="preserve">and a vast correctional-medical apparatus of overseers – a regime where </w:t>
      </w:r>
      <w:r w:rsidRPr="00C04C8A">
        <w:rPr>
          <w:rFonts w:eastAsia="Times New Roman" w:cstheme="minorHAnsi"/>
          <w:color w:val="000000" w:themeColor="text1"/>
          <w:sz w:val="24"/>
          <w:szCs w:val="24"/>
        </w:rPr>
        <w:t>solitary confinement persists</w:t>
      </w:r>
      <w:r w:rsidRPr="00C04C8A">
        <w:rPr>
          <w:rFonts w:eastAsia="Times New Roman" w:cstheme="minorHAnsi"/>
          <w:sz w:val="24"/>
          <w:szCs w:val="24"/>
        </w:rPr>
        <w:t xml:space="preserve"> and </w:t>
      </w:r>
      <w:r w:rsidRPr="00C04C8A">
        <w:rPr>
          <w:rFonts w:eastAsia="Times New Roman" w:cstheme="minorHAnsi"/>
          <w:color w:val="000000" w:themeColor="text1"/>
          <w:sz w:val="24"/>
          <w:szCs w:val="24"/>
        </w:rPr>
        <w:t>is mainly used on Indigenous prisoners</w:t>
      </w:r>
      <w:r w:rsidRPr="00C04C8A">
        <w:rPr>
          <w:rFonts w:eastAsia="Times New Roman" w:cstheme="minorHAnsi"/>
          <w:sz w:val="24"/>
          <w:szCs w:val="24"/>
        </w:rPr>
        <w:t>.</w:t>
      </w:r>
      <w:r w:rsidRPr="00C04C8A">
        <w:rPr>
          <w:rStyle w:val="FootnoteReference"/>
          <w:rFonts w:eastAsia="Times New Roman" w:cstheme="minorHAnsi"/>
          <w:sz w:val="24"/>
          <w:szCs w:val="24"/>
        </w:rPr>
        <w:footnoteReference w:id="29"/>
      </w:r>
      <w:r w:rsidRPr="00C04C8A">
        <w:rPr>
          <w:rFonts w:eastAsia="Times New Roman" w:cstheme="minorHAnsi"/>
          <w:sz w:val="24"/>
          <w:szCs w:val="24"/>
        </w:rPr>
        <w:t xml:space="preserve">  </w:t>
      </w:r>
    </w:p>
    <w:p w14:paraId="59A83697" w14:textId="77777777" w:rsidR="00C04C8A" w:rsidRPr="00C04C8A" w:rsidRDefault="00C04C8A" w:rsidP="00C04C8A">
      <w:pPr>
        <w:spacing w:before="240" w:after="240"/>
        <w:rPr>
          <w:rFonts w:eastAsia="Times New Roman" w:cstheme="minorHAnsi"/>
          <w:color w:val="000000" w:themeColor="text1"/>
          <w:sz w:val="24"/>
          <w:szCs w:val="24"/>
        </w:rPr>
      </w:pPr>
      <w:r w:rsidRPr="00C04C8A">
        <w:rPr>
          <w:rFonts w:eastAsia="Times New Roman" w:cstheme="minorHAnsi"/>
          <w:color w:val="000000" w:themeColor="text1"/>
          <w:sz w:val="24"/>
          <w:szCs w:val="24"/>
        </w:rPr>
        <w:t>I argue elsewhere</w:t>
      </w:r>
      <w:r w:rsidRPr="00C04C8A">
        <w:rPr>
          <w:rStyle w:val="FootnoteReference"/>
          <w:rFonts w:eastAsia="Times New Roman" w:cstheme="minorHAnsi"/>
          <w:color w:val="000000" w:themeColor="text1"/>
          <w:sz w:val="24"/>
          <w:szCs w:val="24"/>
        </w:rPr>
        <w:footnoteReference w:id="30"/>
      </w:r>
      <w:r w:rsidRPr="00C04C8A">
        <w:rPr>
          <w:rFonts w:eastAsia="Times New Roman" w:cstheme="minorHAnsi"/>
          <w:color w:val="000000" w:themeColor="text1"/>
          <w:sz w:val="24"/>
          <w:szCs w:val="24"/>
        </w:rPr>
        <w:t xml:space="preserve"> </w:t>
      </w:r>
      <w:r w:rsidRPr="00C04C8A">
        <w:rPr>
          <w:rFonts w:eastAsia="Times New Roman" w:cstheme="minorHAnsi"/>
          <w:sz w:val="24"/>
          <w:szCs w:val="24"/>
        </w:rPr>
        <w:t xml:space="preserve">that this litigation fell prey to an error these two books unmask: adopting a medicalized model of disability in the effort to substantiate and disrupt carceral violence, while </w:t>
      </w:r>
      <w:proofErr w:type="spellStart"/>
      <w:r w:rsidRPr="00C04C8A">
        <w:rPr>
          <w:rFonts w:eastAsia="Times New Roman" w:cstheme="minorHAnsi"/>
          <w:sz w:val="24"/>
          <w:szCs w:val="24"/>
        </w:rPr>
        <w:t>invisibilizing</w:t>
      </w:r>
      <w:proofErr w:type="spellEnd"/>
      <w:r w:rsidRPr="00C04C8A">
        <w:rPr>
          <w:rFonts w:eastAsia="Times New Roman" w:cstheme="minorHAnsi"/>
          <w:sz w:val="24"/>
          <w:szCs w:val="24"/>
        </w:rPr>
        <w:t xml:space="preserve"> social-structural determinants (including </w:t>
      </w:r>
      <w:r w:rsidRPr="00C04C8A">
        <w:rPr>
          <w:rFonts w:eastAsia="Times New Roman" w:cstheme="minorHAnsi"/>
          <w:color w:val="000000" w:themeColor="text1"/>
          <w:sz w:val="24"/>
          <w:szCs w:val="24"/>
        </w:rPr>
        <w:t>gendered colonial capitalism</w:t>
      </w:r>
      <w:r w:rsidRPr="00C04C8A">
        <w:rPr>
          <w:rFonts w:eastAsia="Times New Roman" w:cstheme="minorHAnsi"/>
          <w:sz w:val="24"/>
          <w:szCs w:val="24"/>
        </w:rPr>
        <w:t xml:space="preserve">). As Ben-Moshe points out (DD 15-18), grounding critique of solitary confinement in an unsophisticated model of mental illness risks re-introducing carceral logics, reducing </w:t>
      </w:r>
      <w:r w:rsidRPr="00C04C8A">
        <w:rPr>
          <w:rFonts w:eastAsia="Times New Roman" w:cstheme="minorHAnsi"/>
          <w:sz w:val="24"/>
          <w:szCs w:val="24"/>
        </w:rPr>
        <w:lastRenderedPageBreak/>
        <w:t xml:space="preserve">intersectional oppression to clinically mediated problems and remedies. Litigation constructing the harms of solitary as harms to mental health has, I suggest, produced at least three unintentionally carceral consequences: 1) increased focus on mental health screening, reinforcing popular conceptions of criminalization as individual pathology while </w:t>
      </w:r>
      <w:r w:rsidRPr="00C04C8A">
        <w:rPr>
          <w:rFonts w:eastAsia="Times New Roman" w:cstheme="minorHAnsi"/>
          <w:color w:val="000000" w:themeColor="text1"/>
          <w:sz w:val="24"/>
          <w:szCs w:val="24"/>
        </w:rPr>
        <w:t xml:space="preserve">justifying more intense restrictions </w:t>
      </w:r>
      <w:r w:rsidRPr="00C04C8A">
        <w:rPr>
          <w:rFonts w:eastAsia="Times New Roman" w:cstheme="minorHAnsi"/>
          <w:sz w:val="24"/>
          <w:szCs w:val="24"/>
        </w:rPr>
        <w:t xml:space="preserve">on those </w:t>
      </w:r>
      <w:r w:rsidRPr="00C04C8A">
        <w:rPr>
          <w:rFonts w:eastAsia="Times New Roman" w:cstheme="minorHAnsi"/>
          <w:color w:val="000000" w:themeColor="text1"/>
          <w:sz w:val="24"/>
          <w:szCs w:val="24"/>
        </w:rPr>
        <w:t>identified as high risk/needs</w:t>
      </w:r>
      <w:r w:rsidRPr="00C04C8A">
        <w:rPr>
          <w:rFonts w:eastAsia="Times New Roman" w:cstheme="minorHAnsi"/>
          <w:sz w:val="24"/>
          <w:szCs w:val="24"/>
        </w:rPr>
        <w:t>;</w:t>
      </w:r>
      <w:r w:rsidRPr="00C04C8A">
        <w:rPr>
          <w:rStyle w:val="FootnoteReference"/>
          <w:rFonts w:eastAsia="Times New Roman" w:cstheme="minorHAnsi"/>
          <w:sz w:val="24"/>
          <w:szCs w:val="24"/>
        </w:rPr>
        <w:footnoteReference w:id="31"/>
      </w:r>
      <w:r w:rsidRPr="00C04C8A">
        <w:rPr>
          <w:rFonts w:eastAsia="Times New Roman" w:cstheme="minorHAnsi"/>
          <w:sz w:val="24"/>
          <w:szCs w:val="24"/>
        </w:rPr>
        <w:t xml:space="preserve"> 2) consequent legitimation of </w:t>
      </w:r>
      <w:r w:rsidRPr="00C04C8A">
        <w:rPr>
          <w:rFonts w:eastAsia="Times New Roman" w:cstheme="minorHAnsi"/>
          <w:color w:val="000000" w:themeColor="text1"/>
          <w:sz w:val="24"/>
          <w:szCs w:val="24"/>
        </w:rPr>
        <w:t xml:space="preserve">putatively therapeutic institutional spaces </w:t>
      </w:r>
      <w:r w:rsidRPr="00C04C8A">
        <w:rPr>
          <w:rFonts w:eastAsia="Times New Roman" w:cstheme="minorHAnsi"/>
          <w:sz w:val="24"/>
          <w:szCs w:val="24"/>
        </w:rPr>
        <w:t xml:space="preserve">marked by </w:t>
      </w:r>
      <w:r w:rsidRPr="00C04C8A">
        <w:rPr>
          <w:rFonts w:eastAsia="Times New Roman" w:cstheme="minorHAnsi"/>
          <w:color w:val="000000" w:themeColor="text1"/>
          <w:sz w:val="24"/>
          <w:szCs w:val="24"/>
        </w:rPr>
        <w:t>unparalleled deprivations and surveillance</w:t>
      </w:r>
      <w:r w:rsidRPr="00C04C8A">
        <w:rPr>
          <w:rFonts w:eastAsia="Times New Roman" w:cstheme="minorHAnsi"/>
          <w:sz w:val="24"/>
          <w:szCs w:val="24"/>
        </w:rPr>
        <w:t>;</w:t>
      </w:r>
      <w:r w:rsidRPr="00C04C8A">
        <w:rPr>
          <w:rStyle w:val="FootnoteReference"/>
          <w:rFonts w:eastAsia="Times New Roman" w:cstheme="minorHAnsi"/>
          <w:sz w:val="24"/>
          <w:szCs w:val="24"/>
        </w:rPr>
        <w:footnoteReference w:id="32"/>
      </w:r>
      <w:r w:rsidRPr="00C04C8A">
        <w:rPr>
          <w:rFonts w:eastAsia="Times New Roman" w:cstheme="minorHAnsi"/>
          <w:sz w:val="24"/>
          <w:szCs w:val="24"/>
        </w:rPr>
        <w:t xml:space="preserve"> and 3) what may be termed </w:t>
      </w:r>
      <w:r w:rsidRPr="00C04C8A">
        <w:rPr>
          <w:rFonts w:eastAsia="Times New Roman" w:cstheme="minorHAnsi"/>
          <w:color w:val="000000" w:themeColor="text1"/>
          <w:sz w:val="24"/>
          <w:szCs w:val="24"/>
        </w:rPr>
        <w:t>the problem of the remainder</w:t>
      </w:r>
      <w:r w:rsidRPr="00C04C8A">
        <w:rPr>
          <w:rFonts w:eastAsia="Times New Roman" w:cstheme="minorHAnsi"/>
          <w:sz w:val="24"/>
          <w:szCs w:val="24"/>
        </w:rPr>
        <w:t xml:space="preserve">, whereby (again following </w:t>
      </w:r>
      <w:r w:rsidRPr="00C04C8A">
        <w:rPr>
          <w:rFonts w:eastAsia="Times New Roman" w:cstheme="minorHAnsi"/>
          <w:color w:val="000000" w:themeColor="text1"/>
          <w:sz w:val="24"/>
          <w:szCs w:val="24"/>
        </w:rPr>
        <w:t>Puar on debilitation</w:t>
      </w:r>
      <w:r w:rsidRPr="00C04C8A">
        <w:rPr>
          <w:rFonts w:eastAsia="Times New Roman" w:cstheme="minorHAnsi"/>
          <w:sz w:val="24"/>
          <w:szCs w:val="24"/>
        </w:rPr>
        <w:t xml:space="preserve">) those not deemed too mad for solitary are by implication fit for it.  </w:t>
      </w:r>
    </w:p>
    <w:p w14:paraId="254325F5"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 xml:space="preserve">Is it possible to frame legal strategies to better support </w:t>
      </w:r>
      <w:r w:rsidRPr="00C04C8A">
        <w:rPr>
          <w:rFonts w:eastAsia="Times New Roman" w:cstheme="minorHAnsi"/>
          <w:color w:val="000000" w:themeColor="text1"/>
          <w:sz w:val="24"/>
          <w:szCs w:val="24"/>
        </w:rPr>
        <w:t>anti-carceral remedies</w:t>
      </w:r>
      <w:r w:rsidRPr="00C04C8A">
        <w:rPr>
          <w:rFonts w:eastAsia="Times New Roman" w:cstheme="minorHAnsi"/>
          <w:sz w:val="24"/>
          <w:szCs w:val="24"/>
        </w:rPr>
        <w:t>,</w:t>
      </w:r>
      <w:r w:rsidRPr="00C04C8A">
        <w:rPr>
          <w:rStyle w:val="FootnoteReference"/>
          <w:rFonts w:eastAsia="Times New Roman" w:cstheme="minorHAnsi"/>
          <w:sz w:val="24"/>
          <w:szCs w:val="24"/>
        </w:rPr>
        <w:footnoteReference w:id="33"/>
      </w:r>
      <w:r w:rsidRPr="00C04C8A">
        <w:rPr>
          <w:rFonts w:eastAsia="Times New Roman" w:cstheme="minorHAnsi"/>
          <w:sz w:val="24"/>
          <w:szCs w:val="24"/>
        </w:rPr>
        <w:t xml:space="preserve"> for instance by doing more to surface intersectional injustice?  Might attention to how disability discrimination interacts with racist and other dimensions of carceral violence produce novel, transformative remedies? These questions assume new relevance as Canada’s solitary confinement litigation </w:t>
      </w:r>
      <w:r w:rsidRPr="00C04C8A">
        <w:rPr>
          <w:rFonts w:eastAsia="Times New Roman" w:cstheme="minorHAnsi"/>
          <w:color w:val="000000" w:themeColor="text1"/>
          <w:sz w:val="24"/>
          <w:szCs w:val="24"/>
        </w:rPr>
        <w:t>moves</w:t>
      </w:r>
      <w:r w:rsidRPr="00C04C8A">
        <w:rPr>
          <w:rFonts w:eastAsia="Times New Roman" w:cstheme="minorHAnsi"/>
          <w:sz w:val="24"/>
          <w:szCs w:val="24"/>
        </w:rPr>
        <w:t xml:space="preserve"> </w:t>
      </w:r>
      <w:r w:rsidRPr="00C04C8A">
        <w:rPr>
          <w:rFonts w:eastAsia="Times New Roman" w:cstheme="minorHAnsi"/>
          <w:color w:val="000000" w:themeColor="text1"/>
          <w:sz w:val="24"/>
          <w:szCs w:val="24"/>
        </w:rPr>
        <w:t>from prisons to forensic and civil psychiatric settings</w:t>
      </w:r>
      <w:r w:rsidRPr="00C04C8A">
        <w:rPr>
          <w:rFonts w:eastAsia="Times New Roman" w:cstheme="minorHAnsi"/>
          <w:sz w:val="24"/>
          <w:szCs w:val="24"/>
        </w:rPr>
        <w:t>.</w:t>
      </w:r>
      <w:r w:rsidRPr="00C04C8A">
        <w:rPr>
          <w:rStyle w:val="FootnoteReference"/>
          <w:rFonts w:eastAsia="Times New Roman" w:cstheme="minorHAnsi"/>
          <w:sz w:val="24"/>
          <w:szCs w:val="24"/>
        </w:rPr>
        <w:footnoteReference w:id="34"/>
      </w:r>
      <w:r w:rsidRPr="00C04C8A">
        <w:rPr>
          <w:rFonts w:eastAsia="Times New Roman" w:cstheme="minorHAnsi"/>
          <w:sz w:val="24"/>
          <w:szCs w:val="24"/>
        </w:rPr>
        <w:t xml:space="preserve"> Is it possible to frame the harms of solitary in these and other settings in ways that avoid provoking formalist-procedural fixes or renewed investment in putatively therapeutic yet simultaneously more secure carceral sites – including sites intimately situated in one’s own body (as in the case of chemical incarceration</w:t>
      </w:r>
      <w:r w:rsidRPr="00C04C8A">
        <w:rPr>
          <w:rStyle w:val="FootnoteReference"/>
          <w:rFonts w:eastAsia="Times New Roman" w:cstheme="minorHAnsi"/>
          <w:sz w:val="24"/>
          <w:szCs w:val="24"/>
        </w:rPr>
        <w:footnoteReference w:id="35"/>
      </w:r>
      <w:r w:rsidRPr="00C04C8A">
        <w:rPr>
          <w:rFonts w:eastAsia="Times New Roman" w:cstheme="minorHAnsi"/>
          <w:sz w:val="24"/>
          <w:szCs w:val="24"/>
        </w:rPr>
        <w:t>)?</w:t>
      </w:r>
    </w:p>
    <w:p w14:paraId="1C13FF73"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 xml:space="preserve">In closing, I turn to the remedial pathways contemplated by the authors. Both books are written from a place of hope – the hope that the carceral logics shoring up capitalist, </w:t>
      </w:r>
      <w:r w:rsidRPr="00C04C8A">
        <w:rPr>
          <w:rFonts w:eastAsia="Times New Roman" w:cstheme="minorHAnsi"/>
          <w:sz w:val="24"/>
          <w:szCs w:val="24"/>
        </w:rPr>
        <w:lastRenderedPageBreak/>
        <w:t xml:space="preserve">colonialist and ableist power may be radically subverted, not just superficially reformed or diverted. Yet rather than giving readers (including lawyers) specific instructions, the authors offer general observations aimed at generating new ways of thinking, working and being together. </w:t>
      </w:r>
    </w:p>
    <w:p w14:paraId="463B9147" w14:textId="77777777" w:rsidR="00C04C8A" w:rsidRPr="00C04C8A" w:rsidRDefault="00C04C8A" w:rsidP="00C04C8A">
      <w:pPr>
        <w:spacing w:before="240" w:after="240"/>
        <w:rPr>
          <w:rFonts w:eastAsia="Times New Roman" w:cstheme="minorHAnsi"/>
          <w:sz w:val="24"/>
          <w:szCs w:val="24"/>
        </w:rPr>
      </w:pPr>
      <w:proofErr w:type="spellStart"/>
      <w:r w:rsidRPr="00C04C8A">
        <w:rPr>
          <w:rFonts w:eastAsia="Times New Roman" w:cstheme="minorHAnsi"/>
          <w:i/>
          <w:sz w:val="24"/>
          <w:szCs w:val="24"/>
        </w:rPr>
        <w:t>Decarcerating</w:t>
      </w:r>
      <w:proofErr w:type="spellEnd"/>
      <w:r w:rsidRPr="00C04C8A">
        <w:rPr>
          <w:rFonts w:eastAsia="Times New Roman" w:cstheme="minorHAnsi"/>
          <w:i/>
          <w:sz w:val="24"/>
          <w:szCs w:val="24"/>
        </w:rPr>
        <w:t xml:space="preserve"> Disability</w:t>
      </w:r>
      <w:r w:rsidRPr="00C04C8A">
        <w:rPr>
          <w:rFonts w:eastAsia="Times New Roman" w:cstheme="minorHAnsi"/>
          <w:sz w:val="24"/>
          <w:szCs w:val="24"/>
        </w:rPr>
        <w:t xml:space="preserve"> positions law as a site of contradiction and unpredictability – its meaning and effects contingent on ever-shifting factors defying the calculus of strategists. Acknowledging that no litigation win has been a straightforward success, Ben-Moshe asks: what counts as success? (DD 241). Her response is squarely in the anti-carceral tradition. First, closing institutions is insufficient. What is required is “an epistemic shift . . . breaking down the rationality and legitimacy of confinement as a practice” (DD 236). This is developed through her idea of </w:t>
      </w:r>
      <w:r w:rsidRPr="00C04C8A">
        <w:rPr>
          <w:rFonts w:eastAsia="Times New Roman" w:cstheme="minorHAnsi"/>
          <w:i/>
          <w:sz w:val="24"/>
          <w:szCs w:val="24"/>
        </w:rPr>
        <w:t>dis-epistemologies</w:t>
      </w:r>
      <w:r w:rsidRPr="00C04C8A">
        <w:rPr>
          <w:rFonts w:eastAsia="Times New Roman" w:cstheme="minorHAnsi"/>
          <w:sz w:val="24"/>
          <w:szCs w:val="24"/>
        </w:rPr>
        <w:t xml:space="preserve"> – the deconstruction and reassembly of ideas already in play (including legal precedents) in an environment never fully or hegemonically determined. Still, the work of transforming carceral logics is proposed to be reconcilable with pragmatic action. This includes using law and political advocacy to save lives and create conditions in which incarcerated and institutionalized people may build solidarity around common causes.</w:t>
      </w:r>
    </w:p>
    <w:p w14:paraId="76413AF7"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i/>
          <w:sz w:val="24"/>
          <w:szCs w:val="24"/>
        </w:rPr>
        <w:t xml:space="preserve">Disability, Criminal </w:t>
      </w:r>
      <w:proofErr w:type="gramStart"/>
      <w:r w:rsidRPr="00C04C8A">
        <w:rPr>
          <w:rFonts w:eastAsia="Times New Roman" w:cstheme="minorHAnsi"/>
          <w:i/>
          <w:sz w:val="24"/>
          <w:szCs w:val="24"/>
        </w:rPr>
        <w:t>Justice</w:t>
      </w:r>
      <w:proofErr w:type="gramEnd"/>
      <w:r w:rsidRPr="00C04C8A">
        <w:rPr>
          <w:rFonts w:eastAsia="Times New Roman" w:cstheme="minorHAnsi"/>
          <w:i/>
          <w:sz w:val="24"/>
          <w:szCs w:val="24"/>
        </w:rPr>
        <w:t xml:space="preserve"> and Law</w:t>
      </w:r>
      <w:r w:rsidRPr="00C04C8A">
        <w:rPr>
          <w:rFonts w:eastAsia="Times New Roman" w:cstheme="minorHAnsi"/>
          <w:sz w:val="24"/>
          <w:szCs w:val="24"/>
        </w:rPr>
        <w:t xml:space="preserve"> similarly affirms that critical lawyering and pedagogy may contribute to prison abolition and disability deinstitutionalization. Yet Steele’s book is dedicated to showing how criminal and human rights law is steeped in oppressive concepts functioning to legitimate injustice. This suggests the enormity of the challenge of using law to promote transformative change. It also speaks to the responsibility of lawyers to work in solidarity with people incarcerated across different institutional contexts to expose the contradictions between a liberal-legal ethos of rationalized deprivation of liberty and/or medico-legal ethos of institutionalized care and the real-world violence of these carceral logics.  </w:t>
      </w:r>
    </w:p>
    <w:p w14:paraId="3F7FFE55"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 xml:space="preserve">Steele’s book proposes a set of strategies through which lawyers and non-lawyers may “contest, rather than reify, interlocking dynamics and forces of oppression that shape the conditions in which criminalised disabled people are situated” (DCJL 22). This means using legal institutions to disrupt law’s complicity in settler colonialism and ableist and racist </w:t>
      </w:r>
      <w:proofErr w:type="gramStart"/>
      <w:r w:rsidRPr="00C04C8A">
        <w:rPr>
          <w:rFonts w:eastAsia="Times New Roman" w:cstheme="minorHAnsi"/>
          <w:sz w:val="24"/>
          <w:szCs w:val="24"/>
        </w:rPr>
        <w:lastRenderedPageBreak/>
        <w:t>injustice, and</w:t>
      </w:r>
      <w:proofErr w:type="gramEnd"/>
      <w:r w:rsidRPr="00C04C8A">
        <w:rPr>
          <w:rFonts w:eastAsia="Times New Roman" w:cstheme="minorHAnsi"/>
          <w:sz w:val="24"/>
          <w:szCs w:val="24"/>
        </w:rPr>
        <w:t xml:space="preserve"> bringing disability as a legal and social category into more direct relationship with projects of Indigenous self-determination and racial justice. Among the initiatives proposed are “community-led support, safety and accountability systems, remedying violence and harm, critical disability approaches to legal pedagogy, creative engagement with law reform, strategic engagement with human rights, and jurisprudences of disability tracing endurance and evolution in law of degeneracy and the institution” (DCJL 22). </w:t>
      </w:r>
    </w:p>
    <w:p w14:paraId="2C4CCC3C" w14:textId="77777777" w:rsidR="00C04C8A" w:rsidRPr="00C04C8A" w:rsidRDefault="00C04C8A" w:rsidP="00C04C8A">
      <w:pPr>
        <w:spacing w:before="240" w:after="240"/>
        <w:rPr>
          <w:rFonts w:eastAsia="Times New Roman" w:cstheme="minorHAnsi"/>
          <w:sz w:val="24"/>
          <w:szCs w:val="24"/>
        </w:rPr>
      </w:pPr>
      <w:r w:rsidRPr="00C04C8A">
        <w:rPr>
          <w:rFonts w:eastAsia="Times New Roman" w:cstheme="minorHAnsi"/>
          <w:sz w:val="24"/>
          <w:szCs w:val="24"/>
        </w:rPr>
        <w:t xml:space="preserve">The hope is that such initiatives may learn from past successes and failures in the ongoing movements for disability deinstitutionalization and prison abolitionism. The very least that lawyers and other advocates can do is avoid reproducing the uncritically medicalized model of disability afflicting some articulations of prison abolitionism, and the uncritically liberal-legal model of crime and punishment bolstering disability deservingness (or rather </w:t>
      </w:r>
      <w:proofErr w:type="spellStart"/>
      <w:r w:rsidRPr="00C04C8A">
        <w:rPr>
          <w:rFonts w:eastAsia="Times New Roman" w:cstheme="minorHAnsi"/>
          <w:sz w:val="24"/>
          <w:szCs w:val="24"/>
        </w:rPr>
        <w:t>undeservingness</w:t>
      </w:r>
      <w:proofErr w:type="spellEnd"/>
      <w:r w:rsidRPr="00C04C8A">
        <w:rPr>
          <w:rFonts w:eastAsia="Times New Roman" w:cstheme="minorHAnsi"/>
          <w:sz w:val="24"/>
          <w:szCs w:val="24"/>
        </w:rPr>
        <w:t xml:space="preserve"> of incarceration) in some deinstitutionalization campaigns. Perhaps then we may advance the strategies both authors call for, </w:t>
      </w:r>
      <w:proofErr w:type="spellStart"/>
      <w:r w:rsidRPr="00C04C8A">
        <w:rPr>
          <w:rFonts w:eastAsia="Times New Roman" w:cstheme="minorHAnsi"/>
          <w:sz w:val="24"/>
          <w:szCs w:val="24"/>
        </w:rPr>
        <w:t>decarcerating</w:t>
      </w:r>
      <w:proofErr w:type="spellEnd"/>
      <w:r w:rsidRPr="00C04C8A">
        <w:rPr>
          <w:rFonts w:eastAsia="Times New Roman" w:cstheme="minorHAnsi"/>
          <w:sz w:val="24"/>
          <w:szCs w:val="24"/>
        </w:rPr>
        <w:t xml:space="preserve"> diversion and re-centring substantive, transformative equality in order to advance the </w:t>
      </w:r>
      <w:proofErr w:type="gramStart"/>
      <w:r w:rsidRPr="00C04C8A">
        <w:rPr>
          <w:rFonts w:eastAsia="Times New Roman" w:cstheme="minorHAnsi"/>
          <w:sz w:val="24"/>
          <w:szCs w:val="24"/>
        </w:rPr>
        <w:t>mutually-implicated</w:t>
      </w:r>
      <w:proofErr w:type="gramEnd"/>
      <w:r w:rsidRPr="00C04C8A">
        <w:rPr>
          <w:rFonts w:eastAsia="Times New Roman" w:cstheme="minorHAnsi"/>
          <w:sz w:val="24"/>
          <w:szCs w:val="24"/>
        </w:rPr>
        <w:t xml:space="preserve"> emancipatory projects of prison abolition and deinstitutionalization.</w:t>
      </w:r>
    </w:p>
    <w:p w14:paraId="3AE4A189" w14:textId="0F8A737E" w:rsidR="00351423" w:rsidRPr="00256F9D" w:rsidRDefault="00351423" w:rsidP="00C04C8A">
      <w:pPr>
        <w:pStyle w:val="NormalWeb"/>
        <w:spacing w:before="240" w:beforeAutospacing="0" w:after="240" w:afterAutospacing="0" w:line="360" w:lineRule="auto"/>
        <w:rPr>
          <w:rFonts w:eastAsiaTheme="minorHAnsi"/>
          <w:sz w:val="22"/>
          <w:szCs w:val="22"/>
        </w:rPr>
      </w:pPr>
    </w:p>
    <w:sectPr w:rsidR="00351423" w:rsidRPr="00256F9D" w:rsidSect="00351423">
      <w:headerReference w:type="even" r:id="rId12"/>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E9588" w14:textId="77777777" w:rsidR="007A1679" w:rsidRDefault="007A1679" w:rsidP="00351423">
      <w:pPr>
        <w:spacing w:line="240" w:lineRule="auto"/>
      </w:pPr>
      <w:r>
        <w:separator/>
      </w:r>
    </w:p>
  </w:endnote>
  <w:endnote w:type="continuationSeparator" w:id="0">
    <w:p w14:paraId="5E1EB4B5" w14:textId="77777777" w:rsidR="007A1679" w:rsidRDefault="007A1679"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3D53" w14:textId="77777777" w:rsidR="007A1679" w:rsidRDefault="007A1679" w:rsidP="00351423">
      <w:pPr>
        <w:spacing w:line="240" w:lineRule="auto"/>
      </w:pPr>
      <w:r>
        <w:separator/>
      </w:r>
    </w:p>
  </w:footnote>
  <w:footnote w:type="continuationSeparator" w:id="0">
    <w:p w14:paraId="0D179AC0" w14:textId="77777777" w:rsidR="007A1679" w:rsidRDefault="007A1679" w:rsidP="00351423">
      <w:pPr>
        <w:spacing w:line="240" w:lineRule="auto"/>
      </w:pPr>
      <w:r>
        <w:continuationSeparator/>
      </w:r>
    </w:p>
  </w:footnote>
  <w:footnote w:id="1">
    <w:p w14:paraId="14CDA06A" w14:textId="14396DB2" w:rsidR="006E3405" w:rsidRPr="00C04C8A" w:rsidRDefault="006E3405" w:rsidP="00C04C8A">
      <w:pPr>
        <w:autoSpaceDE w:val="0"/>
        <w:autoSpaceDN w:val="0"/>
        <w:adjustRightInd w:val="0"/>
        <w:spacing w:line="240" w:lineRule="auto"/>
        <w:rPr>
          <w:rFonts w:cstheme="minorHAnsi"/>
          <w:color w:val="000000"/>
          <w:sz w:val="20"/>
          <w:szCs w:val="20"/>
        </w:rPr>
      </w:pPr>
      <w:r w:rsidRPr="00C04C8A">
        <w:rPr>
          <w:rStyle w:val="FootnoteReference"/>
          <w:rFonts w:cstheme="minorHAnsi"/>
          <w:sz w:val="20"/>
          <w:szCs w:val="20"/>
        </w:rPr>
        <w:t>*</w:t>
      </w:r>
      <w:r w:rsidR="00C04C8A" w:rsidRPr="00C04C8A">
        <w:rPr>
          <w:rFonts w:cstheme="minorHAnsi"/>
          <w:color w:val="000000"/>
          <w:sz w:val="20"/>
          <w:szCs w:val="20"/>
        </w:rPr>
        <w:t xml:space="preserve">Associate Professor, Schulich School of Law, Dalhousie University, Canada. </w:t>
      </w:r>
      <w:hyperlink r:id="rId1" w:history="1">
        <w:r w:rsidR="00C04C8A" w:rsidRPr="00C04C8A">
          <w:rPr>
            <w:rStyle w:val="Hyperlink"/>
            <w:rFonts w:cstheme="minorHAnsi"/>
            <w:sz w:val="20"/>
            <w:szCs w:val="20"/>
          </w:rPr>
          <w:t>sheila.wildman@dal.ca</w:t>
        </w:r>
      </w:hyperlink>
      <w:r w:rsidR="00C04C8A" w:rsidRPr="00C04C8A">
        <w:rPr>
          <w:rFonts w:cstheme="minorHAnsi"/>
          <w:color w:val="000000"/>
          <w:sz w:val="20"/>
          <w:szCs w:val="20"/>
        </w:rPr>
        <w:t xml:space="preserve"> </w:t>
      </w:r>
    </w:p>
  </w:footnote>
  <w:footnote w:id="2">
    <w:p w14:paraId="1943ECF8" w14:textId="77777777" w:rsidR="00C04C8A" w:rsidRPr="00C04C8A" w:rsidRDefault="00C04C8A" w:rsidP="00C04C8A">
      <w:pPr>
        <w:pStyle w:val="FootnoteText"/>
        <w:rPr>
          <w:rFonts w:cstheme="minorHAnsi"/>
          <w:i/>
          <w:iCs/>
          <w:lang w:val="en-CA"/>
        </w:rPr>
      </w:pPr>
      <w:r w:rsidRPr="00C04C8A">
        <w:rPr>
          <w:rStyle w:val="FootnoteReference"/>
          <w:rFonts w:cstheme="minorHAnsi"/>
        </w:rPr>
        <w:footnoteRef/>
      </w:r>
      <w:r w:rsidRPr="00C04C8A">
        <w:rPr>
          <w:rFonts w:cstheme="minorHAnsi"/>
        </w:rPr>
        <w:t xml:space="preserve"> </w:t>
      </w:r>
      <w:proofErr w:type="spellStart"/>
      <w:r w:rsidRPr="00C04C8A">
        <w:rPr>
          <w:rFonts w:cstheme="minorHAnsi"/>
        </w:rPr>
        <w:t>Liat</w:t>
      </w:r>
      <w:proofErr w:type="spellEnd"/>
      <w:r w:rsidRPr="00C04C8A">
        <w:rPr>
          <w:rFonts w:cstheme="minorHAnsi"/>
        </w:rPr>
        <w:t xml:space="preserve"> Ben-Moshe, </w:t>
      </w:r>
      <w:proofErr w:type="spellStart"/>
      <w:r w:rsidRPr="00C04C8A">
        <w:rPr>
          <w:rFonts w:cstheme="minorHAnsi"/>
          <w:i/>
          <w:iCs/>
        </w:rPr>
        <w:t>Decarcerating</w:t>
      </w:r>
      <w:proofErr w:type="spellEnd"/>
      <w:r w:rsidRPr="00C04C8A">
        <w:rPr>
          <w:rFonts w:cstheme="minorHAnsi"/>
          <w:i/>
          <w:iCs/>
        </w:rPr>
        <w:t xml:space="preserve"> Disability: Deinstitutionalization and Prison Abolition</w:t>
      </w:r>
      <w:r w:rsidRPr="00C04C8A">
        <w:rPr>
          <w:rFonts w:cstheme="minorHAnsi"/>
        </w:rPr>
        <w:t xml:space="preserve"> (Minneapolis: University of Minnesota Press, 2020); Linda Steele, </w:t>
      </w:r>
      <w:r w:rsidRPr="00C04C8A">
        <w:rPr>
          <w:rFonts w:cstheme="minorHAnsi"/>
          <w:i/>
        </w:rPr>
        <w:t xml:space="preserve">Disability, Criminal </w:t>
      </w:r>
      <w:proofErr w:type="gramStart"/>
      <w:r w:rsidRPr="00C04C8A">
        <w:rPr>
          <w:rFonts w:cstheme="minorHAnsi"/>
          <w:i/>
        </w:rPr>
        <w:t>Justice</w:t>
      </w:r>
      <w:proofErr w:type="gramEnd"/>
      <w:r w:rsidRPr="00C04C8A">
        <w:rPr>
          <w:rFonts w:cstheme="minorHAnsi"/>
          <w:i/>
        </w:rPr>
        <w:t xml:space="preserve"> and Law: Reconsidering Court Diversion </w:t>
      </w:r>
      <w:r w:rsidRPr="00C04C8A">
        <w:rPr>
          <w:rFonts w:cstheme="minorHAnsi"/>
          <w:iCs/>
        </w:rPr>
        <w:t xml:space="preserve">(London: </w:t>
      </w:r>
      <w:r w:rsidRPr="00C04C8A">
        <w:rPr>
          <w:rFonts w:cstheme="minorHAnsi"/>
          <w:iCs/>
          <w:lang w:val="en-CA"/>
        </w:rPr>
        <w:t>Routledge, 2020).</w:t>
      </w:r>
    </w:p>
  </w:footnote>
  <w:footnote w:id="3">
    <w:p w14:paraId="5DE6B165"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See </w:t>
      </w:r>
      <w:proofErr w:type="spellStart"/>
      <w:r w:rsidRPr="00C04C8A">
        <w:rPr>
          <w:rFonts w:cstheme="minorHAnsi"/>
        </w:rPr>
        <w:t>Rusi</w:t>
      </w:r>
      <w:proofErr w:type="spellEnd"/>
      <w:r w:rsidRPr="00C04C8A">
        <w:rPr>
          <w:rFonts w:cstheme="minorHAnsi"/>
        </w:rPr>
        <w:t xml:space="preserve"> </w:t>
      </w:r>
      <w:proofErr w:type="spellStart"/>
      <w:r w:rsidRPr="00C04C8A">
        <w:rPr>
          <w:rFonts w:cstheme="minorHAnsi"/>
        </w:rPr>
        <w:t>Stanev</w:t>
      </w:r>
      <w:proofErr w:type="spellEnd"/>
      <w:r w:rsidRPr="00C04C8A">
        <w:rPr>
          <w:rFonts w:cstheme="minorHAnsi"/>
        </w:rPr>
        <w:t xml:space="preserve"> &amp; Sheila </w:t>
      </w:r>
      <w:proofErr w:type="spellStart"/>
      <w:r w:rsidRPr="00C04C8A">
        <w:rPr>
          <w:rFonts w:cstheme="minorHAnsi"/>
        </w:rPr>
        <w:t>Wildeman</w:t>
      </w:r>
      <w:proofErr w:type="spellEnd"/>
      <w:r w:rsidRPr="00C04C8A">
        <w:rPr>
          <w:rFonts w:cstheme="minorHAnsi"/>
        </w:rPr>
        <w:t xml:space="preserve">, “Freedom: A Work in Progress” in </w:t>
      </w:r>
      <w:proofErr w:type="spellStart"/>
      <w:r w:rsidRPr="00C04C8A">
        <w:rPr>
          <w:rFonts w:cstheme="minorHAnsi"/>
        </w:rPr>
        <w:t>Eilionoir</w:t>
      </w:r>
      <w:proofErr w:type="spellEnd"/>
      <w:r w:rsidRPr="00C04C8A">
        <w:rPr>
          <w:rFonts w:cstheme="minorHAnsi"/>
        </w:rPr>
        <w:t xml:space="preserve"> Flynn et al, eds, </w:t>
      </w:r>
      <w:r w:rsidRPr="00C04C8A">
        <w:rPr>
          <w:rFonts w:cstheme="minorHAnsi"/>
          <w:i/>
          <w:iCs/>
        </w:rPr>
        <w:t>Global Perspectives on Legal Capacity Reform</w:t>
      </w:r>
      <w:r w:rsidRPr="00C04C8A">
        <w:rPr>
          <w:rFonts w:cstheme="minorHAnsi"/>
        </w:rPr>
        <w:t xml:space="preserve"> (Oxford: Routledge, 2019); Sheila </w:t>
      </w:r>
      <w:proofErr w:type="spellStart"/>
      <w:r w:rsidRPr="00C04C8A">
        <w:rPr>
          <w:rFonts w:cstheme="minorHAnsi"/>
        </w:rPr>
        <w:t>Wildeman</w:t>
      </w:r>
      <w:proofErr w:type="spellEnd"/>
      <w:r w:rsidRPr="00C04C8A">
        <w:rPr>
          <w:rFonts w:cstheme="minorHAnsi"/>
        </w:rPr>
        <w:t>, “Consent to Psychiatric Treatment: From Insight (into Illness) to Incite (a Riot)” in Colleen Flood &amp; Jennifer Chandler, eds, </w:t>
      </w:r>
      <w:r w:rsidRPr="00C04C8A">
        <w:rPr>
          <w:rFonts w:cstheme="minorHAnsi"/>
          <w:i/>
          <w:iCs/>
        </w:rPr>
        <w:t>Law and Mind: Mental Health Law and Policy in Canada</w:t>
      </w:r>
      <w:r w:rsidRPr="00C04C8A">
        <w:rPr>
          <w:rFonts w:cstheme="minorHAnsi"/>
        </w:rPr>
        <w:t xml:space="preserve"> (Toronto: LexisNexis, 2016); Sheila </w:t>
      </w:r>
      <w:proofErr w:type="spellStart"/>
      <w:r w:rsidRPr="00C04C8A">
        <w:rPr>
          <w:rFonts w:cstheme="minorHAnsi"/>
        </w:rPr>
        <w:t>Wildeman</w:t>
      </w:r>
      <w:proofErr w:type="spellEnd"/>
      <w:r w:rsidRPr="00C04C8A">
        <w:rPr>
          <w:rFonts w:cstheme="minorHAnsi"/>
        </w:rPr>
        <w:t xml:space="preserve">, “Protecting Rights and Building Capacities: Challenges to Global Mental Health Policy in Light of the Convention on the Rights of Persons with Disabilities” (2013) 41(1)  JLME 48; Sheila </w:t>
      </w:r>
      <w:proofErr w:type="spellStart"/>
      <w:r w:rsidRPr="00C04C8A">
        <w:rPr>
          <w:rFonts w:cstheme="minorHAnsi"/>
        </w:rPr>
        <w:t>Wildeman</w:t>
      </w:r>
      <w:proofErr w:type="spellEnd"/>
      <w:r w:rsidRPr="00C04C8A">
        <w:rPr>
          <w:rFonts w:cstheme="minorHAnsi"/>
        </w:rPr>
        <w:t xml:space="preserve">, “Agonizing Identity in Mental Health Law and Policy (Part II): A Political Taxonomy of Psychiatric Subjectification” (2016) 39(1) </w:t>
      </w:r>
      <w:r w:rsidRPr="00C04C8A">
        <w:rPr>
          <w:rFonts w:cstheme="minorHAnsi"/>
          <w:i/>
          <w:iCs/>
        </w:rPr>
        <w:t xml:space="preserve">Dalhousie Law Journal </w:t>
      </w:r>
      <w:r w:rsidRPr="00C04C8A">
        <w:rPr>
          <w:rFonts w:cstheme="minorHAnsi"/>
        </w:rPr>
        <w:t>147.</w:t>
      </w:r>
    </w:p>
  </w:footnote>
  <w:footnote w:id="4">
    <w:p w14:paraId="76305E95"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w:t>
      </w:r>
      <w:r w:rsidRPr="00C04C8A">
        <w:rPr>
          <w:rFonts w:cstheme="minorHAnsi"/>
          <w:i/>
          <w:iCs/>
        </w:rPr>
        <w:t>Habeas Corpus</w:t>
      </w:r>
      <w:r w:rsidRPr="00C04C8A">
        <w:rPr>
          <w:rFonts w:cstheme="minorHAnsi"/>
        </w:rPr>
        <w:t xml:space="preserve"> Unbound” in Colleen M Flood &amp; Paul Daly, eds, </w:t>
      </w:r>
      <w:r w:rsidRPr="00C04C8A">
        <w:rPr>
          <w:rFonts w:cstheme="minorHAnsi"/>
          <w:i/>
          <w:iCs/>
        </w:rPr>
        <w:t>Administrative Law in Context</w:t>
      </w:r>
      <w:r w:rsidRPr="00C04C8A">
        <w:rPr>
          <w:rFonts w:cstheme="minorHAnsi"/>
        </w:rPr>
        <w:t xml:space="preserve">, 4e (Toronto: Emond Publishing, 2021); Sheila </w:t>
      </w:r>
      <w:proofErr w:type="spellStart"/>
      <w:r w:rsidRPr="00C04C8A">
        <w:rPr>
          <w:rFonts w:cstheme="minorHAnsi"/>
        </w:rPr>
        <w:t>Wildeman</w:t>
      </w:r>
      <w:proofErr w:type="spellEnd"/>
      <w:r w:rsidRPr="00C04C8A">
        <w:rPr>
          <w:rFonts w:cstheme="minorHAnsi"/>
        </w:rPr>
        <w:t xml:space="preserve">, “Disabling Solitary: An Anti-Carceral Critique of Canada's Solitary Confinement Litigation” in Claire </w:t>
      </w:r>
      <w:proofErr w:type="spellStart"/>
      <w:r w:rsidRPr="00C04C8A">
        <w:rPr>
          <w:rFonts w:cstheme="minorHAnsi"/>
        </w:rPr>
        <w:t>Spivakovsky</w:t>
      </w:r>
      <w:proofErr w:type="spellEnd"/>
      <w:r w:rsidRPr="00C04C8A">
        <w:rPr>
          <w:rFonts w:cstheme="minorHAnsi"/>
        </w:rPr>
        <w:t xml:space="preserve">, Linda Steele &amp; Penelope Weller, eds, </w:t>
      </w:r>
      <w:r w:rsidRPr="00C04C8A">
        <w:rPr>
          <w:rFonts w:cstheme="minorHAnsi"/>
          <w:i/>
          <w:iCs/>
        </w:rPr>
        <w:t xml:space="preserve">The Legacies of </w:t>
      </w:r>
      <w:proofErr w:type="spellStart"/>
      <w:r w:rsidRPr="00C04C8A">
        <w:rPr>
          <w:rFonts w:cstheme="minorHAnsi"/>
          <w:i/>
          <w:iCs/>
        </w:rPr>
        <w:t>Institututionalisation</w:t>
      </w:r>
      <w:proofErr w:type="spellEnd"/>
      <w:r w:rsidRPr="00C04C8A">
        <w:rPr>
          <w:rFonts w:cstheme="minorHAnsi"/>
          <w:i/>
          <w:iCs/>
        </w:rPr>
        <w:t xml:space="preserve">: Disability, </w:t>
      </w:r>
      <w:proofErr w:type="gramStart"/>
      <w:r w:rsidRPr="00C04C8A">
        <w:rPr>
          <w:rFonts w:cstheme="minorHAnsi"/>
          <w:i/>
          <w:iCs/>
        </w:rPr>
        <w:t>Law</w:t>
      </w:r>
      <w:proofErr w:type="gramEnd"/>
      <w:r w:rsidRPr="00C04C8A">
        <w:rPr>
          <w:rFonts w:cstheme="minorHAnsi"/>
          <w:i/>
          <w:iCs/>
        </w:rPr>
        <w:t xml:space="preserve"> and Policy in the 'Deinstitutionalised' Community</w:t>
      </w:r>
      <w:r w:rsidRPr="00C04C8A">
        <w:rPr>
          <w:rFonts w:cstheme="minorHAnsi"/>
        </w:rPr>
        <w:t xml:space="preserve"> (Oxford: Hart Publishing, 2020).</w:t>
      </w:r>
    </w:p>
  </w:footnote>
  <w:footnote w:id="5">
    <w:p w14:paraId="38A973BD"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w:t>
      </w:r>
      <w:hyperlink r:id="rId2" w:history="1">
        <w:r w:rsidRPr="00C04C8A">
          <w:rPr>
            <w:rStyle w:val="Hyperlink"/>
            <w:rFonts w:cstheme="minorHAnsi"/>
          </w:rPr>
          <w:t>https://www.eastcoastprisonjustice.ca/</w:t>
        </w:r>
      </w:hyperlink>
      <w:r w:rsidRPr="00C04C8A">
        <w:rPr>
          <w:rFonts w:cstheme="minorHAnsi"/>
        </w:rPr>
        <w:t xml:space="preserve">. </w:t>
      </w:r>
    </w:p>
  </w:footnote>
  <w:footnote w:id="6">
    <w:p w14:paraId="57C9EC01"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See Hanna Garson with Sheila </w:t>
      </w:r>
      <w:proofErr w:type="spellStart"/>
      <w:r w:rsidRPr="00C04C8A">
        <w:rPr>
          <w:rFonts w:cstheme="minorHAnsi"/>
        </w:rPr>
        <w:t>Wildeman</w:t>
      </w:r>
      <w:proofErr w:type="spellEnd"/>
      <w:r w:rsidRPr="00C04C8A">
        <w:rPr>
          <w:rFonts w:cstheme="minorHAnsi"/>
        </w:rPr>
        <w:t xml:space="preserve"> &amp; Harry Critchley, </w:t>
      </w:r>
      <w:r w:rsidRPr="00C04C8A">
        <w:rPr>
          <w:rFonts w:cstheme="minorHAnsi"/>
          <w:i/>
          <w:iCs/>
        </w:rPr>
        <w:t xml:space="preserve">Conditions of Confinement in Men’s Provincial Jails in Nova Scotia: ECPJS Visiting Committee Annual Report 2021-22 </w:t>
      </w:r>
      <w:r w:rsidRPr="00C04C8A">
        <w:rPr>
          <w:rFonts w:cstheme="minorHAnsi"/>
        </w:rPr>
        <w:t xml:space="preserve">(Halifax: East Coast Prison Justice Society, 2021) at </w:t>
      </w:r>
      <w:hyperlink r:id="rId3" w:history="1">
        <w:r w:rsidRPr="00C04C8A">
          <w:rPr>
            <w:rStyle w:val="Hyperlink"/>
            <w:rFonts w:cstheme="minorHAnsi"/>
          </w:rPr>
          <w:t>https://www.eastcoastprisonjustice.ca/conditions-of-confinement-report.html</w:t>
        </w:r>
      </w:hyperlink>
      <w:r w:rsidRPr="00C04C8A">
        <w:rPr>
          <w:rFonts w:cstheme="minorHAnsi"/>
        </w:rPr>
        <w:t xml:space="preserve">; our 2021-22 Annual Report is soon to be released and will be accessible on the </w:t>
      </w:r>
      <w:proofErr w:type="spellStart"/>
      <w:r w:rsidRPr="00C04C8A">
        <w:rPr>
          <w:rFonts w:cstheme="minorHAnsi"/>
        </w:rPr>
        <w:t>ecpjs</w:t>
      </w:r>
      <w:proofErr w:type="spellEnd"/>
      <w:r w:rsidRPr="00C04C8A">
        <w:rPr>
          <w:rFonts w:cstheme="minorHAnsi"/>
        </w:rPr>
        <w:t xml:space="preserve"> website.  Conditions of detention in Nova Scotia jails designated for women are subject to comparable civil society monitoring led by the Elizabeth Fry Society (Mainland Nova Scotia) </w:t>
      </w:r>
      <w:hyperlink r:id="rId4" w:history="1">
        <w:r w:rsidRPr="00C04C8A">
          <w:rPr>
            <w:rStyle w:val="Hyperlink"/>
            <w:rFonts w:cstheme="minorHAnsi"/>
          </w:rPr>
          <w:t>https://www.efrymns.ca/</w:t>
        </w:r>
      </w:hyperlink>
      <w:r w:rsidRPr="00C04C8A">
        <w:rPr>
          <w:rFonts w:cstheme="minorHAnsi"/>
        </w:rPr>
        <w:t xml:space="preserve">.  </w:t>
      </w:r>
    </w:p>
  </w:footnote>
  <w:footnote w:id="7">
    <w:p w14:paraId="786FD41A"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Tari </w:t>
      </w:r>
      <w:proofErr w:type="spellStart"/>
      <w:r w:rsidRPr="00C04C8A">
        <w:rPr>
          <w:rFonts w:cstheme="minorHAnsi"/>
        </w:rPr>
        <w:t>Adjadi</w:t>
      </w:r>
      <w:proofErr w:type="spellEnd"/>
      <w:r w:rsidRPr="00C04C8A">
        <w:rPr>
          <w:rFonts w:cstheme="minorHAnsi"/>
        </w:rPr>
        <w:t xml:space="preserve">, Harry Critchley, El Jones &amp; Julia Rodgers, </w:t>
      </w:r>
      <w:r w:rsidRPr="00C04C8A">
        <w:rPr>
          <w:rFonts w:cstheme="minorHAnsi"/>
          <w:i/>
          <w:iCs/>
        </w:rPr>
        <w:t>Defunding the Police: Defining the Way Forward for HRM</w:t>
      </w:r>
      <w:r w:rsidRPr="00C04C8A">
        <w:rPr>
          <w:rFonts w:cstheme="minorHAnsi"/>
        </w:rPr>
        <w:t xml:space="preserve"> (Halifax: Board of Police Commissioners Subcommittee to Define Defunding Police, 2022).</w:t>
      </w:r>
    </w:p>
  </w:footnote>
  <w:footnote w:id="8">
    <w:p w14:paraId="7528DF4E" w14:textId="77777777" w:rsidR="00C04C8A" w:rsidRPr="00C04C8A" w:rsidRDefault="00C04C8A" w:rsidP="00C04C8A">
      <w:pPr>
        <w:pStyle w:val="FootnoteText"/>
        <w:rPr>
          <w:rFonts w:cstheme="minorHAnsi"/>
          <w:lang w:val="en"/>
        </w:rPr>
      </w:pPr>
      <w:r w:rsidRPr="00C04C8A">
        <w:rPr>
          <w:rStyle w:val="FootnoteReference"/>
          <w:rFonts w:cstheme="minorHAnsi"/>
        </w:rPr>
        <w:footnoteRef/>
      </w:r>
      <w:r w:rsidRPr="00C04C8A">
        <w:rPr>
          <w:rFonts w:cstheme="minorHAnsi"/>
        </w:rPr>
        <w:t xml:space="preserve"> El Jones, “</w:t>
      </w:r>
      <w:r w:rsidRPr="00C04C8A">
        <w:rPr>
          <w:rFonts w:cstheme="minorHAnsi"/>
          <w:lang w:val="en-CA"/>
        </w:rPr>
        <w:t xml:space="preserve">Clearing out the jails,” </w:t>
      </w:r>
      <w:r w:rsidRPr="00C04C8A">
        <w:rPr>
          <w:rFonts w:cstheme="minorHAnsi"/>
          <w:i/>
          <w:iCs/>
          <w:lang w:val="en-CA"/>
        </w:rPr>
        <w:t>Halifax Examiner</w:t>
      </w:r>
      <w:r w:rsidRPr="00C04C8A">
        <w:rPr>
          <w:rFonts w:cstheme="minorHAnsi"/>
          <w:lang w:val="en-CA"/>
        </w:rPr>
        <w:t xml:space="preserve"> (March 24, 2020) </w:t>
      </w:r>
      <w:hyperlink r:id="rId5" w:history="1">
        <w:r w:rsidRPr="00C04C8A">
          <w:rPr>
            <w:rStyle w:val="Hyperlink"/>
            <w:rFonts w:cstheme="minorHAnsi"/>
            <w:lang w:val="en-CA"/>
          </w:rPr>
          <w:t>https://www.halifaxexaminer.ca/uncategorized/clearing-out-the-jails/</w:t>
        </w:r>
      </w:hyperlink>
      <w:r w:rsidRPr="00C04C8A">
        <w:rPr>
          <w:rFonts w:cstheme="minorHAnsi"/>
          <w:lang w:val="en-CA"/>
        </w:rPr>
        <w:t>; Haley Ryan, “</w:t>
      </w:r>
      <w:r w:rsidRPr="00C04C8A">
        <w:rPr>
          <w:rFonts w:cstheme="minorHAnsi"/>
          <w:lang w:val="en"/>
        </w:rPr>
        <w:t xml:space="preserve">Nova Scotia jail population almost cut in half under COVID-19 measures” </w:t>
      </w:r>
      <w:r w:rsidRPr="00C04C8A">
        <w:rPr>
          <w:rFonts w:cstheme="minorHAnsi"/>
          <w:i/>
          <w:iCs/>
          <w:lang w:val="en"/>
        </w:rPr>
        <w:t>CBC News</w:t>
      </w:r>
      <w:r w:rsidRPr="00C04C8A">
        <w:rPr>
          <w:rFonts w:cstheme="minorHAnsi"/>
          <w:lang w:val="en"/>
        </w:rPr>
        <w:t xml:space="preserve"> (April 22, 2020) </w:t>
      </w:r>
      <w:hyperlink r:id="rId6" w:history="1">
        <w:r w:rsidRPr="00C04C8A">
          <w:rPr>
            <w:rStyle w:val="Hyperlink"/>
            <w:rFonts w:cstheme="minorHAnsi"/>
            <w:lang w:val="en"/>
          </w:rPr>
          <w:t>https://www.cbc.ca/news/canada/nova-scotia/jail-population-cut-in-half-new-covid-19-measures-1.5541732</w:t>
        </w:r>
      </w:hyperlink>
      <w:r w:rsidRPr="00C04C8A">
        <w:rPr>
          <w:rFonts w:cstheme="minorHAnsi"/>
          <w:lang w:val="en"/>
        </w:rPr>
        <w:t xml:space="preserve">. </w:t>
      </w:r>
    </w:p>
  </w:footnote>
  <w:footnote w:id="9">
    <w:p w14:paraId="3C0BA8E6" w14:textId="77777777" w:rsidR="00C04C8A" w:rsidRPr="00C04C8A" w:rsidRDefault="00C04C8A" w:rsidP="00C04C8A">
      <w:pPr>
        <w:pStyle w:val="FootnoteText"/>
        <w:rPr>
          <w:rFonts w:cstheme="minorHAnsi"/>
          <w:b/>
          <w:lang w:val="en-CA"/>
        </w:rPr>
      </w:pPr>
      <w:r w:rsidRPr="00C04C8A">
        <w:rPr>
          <w:rStyle w:val="FootnoteReference"/>
          <w:rFonts w:cstheme="minorHAnsi"/>
        </w:rPr>
        <w:footnoteRef/>
      </w:r>
      <w:r w:rsidRPr="00C04C8A">
        <w:rPr>
          <w:rFonts w:cstheme="minorHAnsi"/>
        </w:rPr>
        <w:t xml:space="preserve"> Sheila </w:t>
      </w:r>
      <w:proofErr w:type="spellStart"/>
      <w:r w:rsidRPr="00C04C8A">
        <w:rPr>
          <w:rFonts w:cstheme="minorHAnsi"/>
        </w:rPr>
        <w:t>Wildeman</w:t>
      </w:r>
      <w:proofErr w:type="spellEnd"/>
      <w:r w:rsidRPr="00C04C8A">
        <w:rPr>
          <w:rFonts w:cstheme="minorHAnsi"/>
        </w:rPr>
        <w:t xml:space="preserve"> &amp; Harry Critchley with Hanna Garson, Laura Beach and Margaret Anne McHugh,</w:t>
      </w:r>
      <w:r w:rsidRPr="00C04C8A">
        <w:rPr>
          <w:rFonts w:cstheme="minorHAnsi"/>
          <w:i/>
          <w:iCs/>
        </w:rPr>
        <w:t xml:space="preserve"> </w:t>
      </w:r>
      <w:r w:rsidRPr="00C04C8A">
        <w:rPr>
          <w:rFonts w:cstheme="minorHAnsi"/>
          <w:bCs/>
          <w:i/>
          <w:iCs/>
          <w:lang w:val="en-CA"/>
        </w:rPr>
        <w:t>Conditions of Confinement in Men’s Units of Provincial Jails in Nova Scotia</w:t>
      </w:r>
      <w:r w:rsidRPr="00C04C8A">
        <w:rPr>
          <w:rFonts w:cstheme="minorHAnsi"/>
          <w:bCs/>
          <w:lang w:val="en-CA"/>
        </w:rPr>
        <w:t xml:space="preserve"> (Halifax: East Coast Prison Justice Society, 2022).</w:t>
      </w:r>
      <w:r w:rsidRPr="00C04C8A">
        <w:rPr>
          <w:rFonts w:cstheme="minorHAnsi"/>
          <w:b/>
          <w:lang w:val="en-CA"/>
        </w:rPr>
        <w:t xml:space="preserve"> </w:t>
      </w:r>
      <w:r w:rsidRPr="00C04C8A">
        <w:rPr>
          <w:rFonts w:cstheme="minorHAnsi"/>
        </w:rPr>
        <w:t xml:space="preserve">  </w:t>
      </w:r>
    </w:p>
  </w:footnote>
  <w:footnote w:id="10">
    <w:p w14:paraId="265B593F" w14:textId="77777777" w:rsidR="00C04C8A" w:rsidRPr="00C04C8A" w:rsidRDefault="00C04C8A" w:rsidP="00C04C8A">
      <w:pPr>
        <w:pStyle w:val="FootnoteText"/>
        <w:rPr>
          <w:rFonts w:cstheme="minorHAnsi"/>
          <w:b/>
          <w:bCs/>
          <w:lang w:val="en-CA"/>
        </w:rPr>
      </w:pPr>
      <w:r w:rsidRPr="00C04C8A">
        <w:rPr>
          <w:rStyle w:val="FootnoteReference"/>
          <w:rFonts w:cstheme="minorHAnsi"/>
        </w:rPr>
        <w:footnoteRef/>
      </w:r>
      <w:r w:rsidRPr="00C04C8A">
        <w:rPr>
          <w:rFonts w:cstheme="minorHAnsi"/>
        </w:rPr>
        <w:t xml:space="preserve"> Ruby </w:t>
      </w:r>
      <w:proofErr w:type="spellStart"/>
      <w:r w:rsidRPr="00C04C8A">
        <w:rPr>
          <w:rFonts w:cstheme="minorHAnsi"/>
        </w:rPr>
        <w:t>Dhand</w:t>
      </w:r>
      <w:proofErr w:type="spellEnd"/>
      <w:r w:rsidRPr="00C04C8A">
        <w:rPr>
          <w:rFonts w:cstheme="minorHAnsi"/>
        </w:rPr>
        <w:t xml:space="preserve">, Anita Szigeti, Maya </w:t>
      </w:r>
      <w:proofErr w:type="spellStart"/>
      <w:r w:rsidRPr="00C04C8A">
        <w:rPr>
          <w:rFonts w:cstheme="minorHAnsi"/>
        </w:rPr>
        <w:t>Kotob</w:t>
      </w:r>
      <w:proofErr w:type="spellEnd"/>
      <w:r w:rsidRPr="00C04C8A">
        <w:rPr>
          <w:rFonts w:cstheme="minorHAnsi"/>
        </w:rPr>
        <w:t xml:space="preserve">, Michael Kennedy &amp; Rebecca Ye, “Litigating in the Time of Coronavirus: Mental Health Tribunals’ Response to COVID-19” (2020) 37(1) </w:t>
      </w:r>
      <w:r w:rsidRPr="00C04C8A">
        <w:rPr>
          <w:rFonts w:cstheme="minorHAnsi"/>
          <w:i/>
          <w:iCs/>
        </w:rPr>
        <w:t>Windsor Yearbook of Access to Justice</w:t>
      </w:r>
      <w:r w:rsidRPr="00C04C8A">
        <w:rPr>
          <w:rFonts w:cstheme="minorHAnsi"/>
        </w:rPr>
        <w:t xml:space="preserve"> 132. Available at SSRN: </w:t>
      </w:r>
      <w:hyperlink r:id="rId7" w:tgtFrame="_blank" w:history="1">
        <w:r w:rsidRPr="00C04C8A">
          <w:rPr>
            <w:rStyle w:val="Hyperlink"/>
            <w:rFonts w:cstheme="minorHAnsi"/>
          </w:rPr>
          <w:t>https://ssrn.com/abstract=3749772</w:t>
        </w:r>
      </w:hyperlink>
      <w:r w:rsidRPr="00C04C8A">
        <w:rPr>
          <w:rFonts w:cstheme="minorHAnsi"/>
        </w:rPr>
        <w:t xml:space="preserve">; Tess Sheldon, Karen Spector &amp; Sheila </w:t>
      </w:r>
      <w:proofErr w:type="spellStart"/>
      <w:r w:rsidRPr="00C04C8A">
        <w:rPr>
          <w:rFonts w:cstheme="minorHAnsi"/>
        </w:rPr>
        <w:t>Wildeman</w:t>
      </w:r>
      <w:proofErr w:type="spellEnd"/>
      <w:r w:rsidRPr="00C04C8A">
        <w:rPr>
          <w:rFonts w:cstheme="minorHAnsi"/>
        </w:rPr>
        <w:t>, “</w:t>
      </w:r>
      <w:r w:rsidRPr="00C04C8A">
        <w:rPr>
          <w:rFonts w:cstheme="minorHAnsi"/>
          <w:lang w:val="en-CA"/>
        </w:rPr>
        <w:t xml:space="preserve">Viruses feed on exclusion: Psychiatric detention and the need for preventative deinstitutionalization,” </w:t>
      </w:r>
      <w:r w:rsidRPr="00C04C8A">
        <w:rPr>
          <w:rFonts w:cstheme="minorHAnsi"/>
          <w:i/>
          <w:iCs/>
          <w:lang w:val="en-CA"/>
        </w:rPr>
        <w:t>Ricochet</w:t>
      </w:r>
      <w:r w:rsidRPr="00C04C8A">
        <w:rPr>
          <w:rFonts w:cstheme="minorHAnsi"/>
          <w:lang w:val="en-CA"/>
        </w:rPr>
        <w:t xml:space="preserve"> (April 12, 2020) </w:t>
      </w:r>
      <w:hyperlink r:id="rId8" w:history="1">
        <w:r w:rsidRPr="00C04C8A">
          <w:rPr>
            <w:rStyle w:val="Hyperlink"/>
            <w:rFonts w:cstheme="minorHAnsi"/>
            <w:lang w:val="en-CA"/>
          </w:rPr>
          <w:t>https://ricochet.media/en/3038/viruses-feed-on-exclusion-psychiatric-detention-and-the-need-for-preventative-deinstitutionalization</w:t>
        </w:r>
      </w:hyperlink>
      <w:r w:rsidRPr="00C04C8A">
        <w:rPr>
          <w:rFonts w:cstheme="minorHAnsi"/>
          <w:lang w:val="en-CA"/>
        </w:rPr>
        <w:t xml:space="preserve">; Sheila </w:t>
      </w:r>
      <w:proofErr w:type="spellStart"/>
      <w:r w:rsidRPr="00C04C8A">
        <w:rPr>
          <w:rFonts w:cstheme="minorHAnsi"/>
          <w:lang w:val="en-CA"/>
        </w:rPr>
        <w:t>Wildeman</w:t>
      </w:r>
      <w:proofErr w:type="spellEnd"/>
      <w:r w:rsidRPr="00C04C8A">
        <w:rPr>
          <w:rFonts w:cstheme="minorHAnsi"/>
          <w:lang w:val="en-CA"/>
        </w:rPr>
        <w:t xml:space="preserve">, “COVID-19 and disability institutions: Time to act is now” </w:t>
      </w:r>
      <w:r w:rsidRPr="00C04C8A">
        <w:rPr>
          <w:rFonts w:cstheme="minorHAnsi"/>
          <w:i/>
          <w:iCs/>
          <w:lang w:val="en-CA"/>
        </w:rPr>
        <w:t>Halifax Herald</w:t>
      </w:r>
      <w:r w:rsidRPr="00C04C8A">
        <w:rPr>
          <w:rFonts w:cstheme="minorHAnsi"/>
          <w:lang w:val="en-CA"/>
        </w:rPr>
        <w:t xml:space="preserve"> (April 14, 2020) </w:t>
      </w:r>
      <w:hyperlink r:id="rId9" w:history="1">
        <w:r w:rsidRPr="00C04C8A">
          <w:rPr>
            <w:rStyle w:val="Hyperlink"/>
            <w:rFonts w:cstheme="minorHAnsi"/>
            <w:lang w:val="en-CA"/>
          </w:rPr>
          <w:t>https://www.saltwire.com/nova-scotia/opinion/sheila-wildeman-covid-19-and-disability-institutions-time-to-act-is-now-437259/</w:t>
        </w:r>
      </w:hyperlink>
      <w:r w:rsidRPr="00C04C8A">
        <w:rPr>
          <w:rFonts w:cstheme="minorHAnsi"/>
          <w:lang w:val="en-CA"/>
        </w:rPr>
        <w:t xml:space="preserve">.  </w:t>
      </w:r>
    </w:p>
  </w:footnote>
  <w:footnote w:id="11">
    <w:p w14:paraId="197B89A0"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M. Maillard, “Regis </w:t>
      </w:r>
      <w:proofErr w:type="spellStart"/>
      <w:r w:rsidRPr="00C04C8A">
        <w:rPr>
          <w:rFonts w:cstheme="minorHAnsi"/>
        </w:rPr>
        <w:t>Korchinski</w:t>
      </w:r>
      <w:proofErr w:type="spellEnd"/>
      <w:r w:rsidRPr="00C04C8A">
        <w:rPr>
          <w:rFonts w:cstheme="minorHAnsi"/>
        </w:rPr>
        <w:t xml:space="preserve">-Paquet (1990-2020)” </w:t>
      </w:r>
      <w:r w:rsidRPr="00C04C8A">
        <w:rPr>
          <w:rFonts w:cstheme="minorHAnsi"/>
          <w:i/>
          <w:iCs/>
        </w:rPr>
        <w:t>BlackPast.org</w:t>
      </w:r>
      <w:r w:rsidRPr="00C04C8A">
        <w:rPr>
          <w:rFonts w:cstheme="minorHAnsi"/>
        </w:rPr>
        <w:t xml:space="preserve"> (March 28, 2021) </w:t>
      </w:r>
      <w:hyperlink r:id="rId10" w:history="1">
        <w:r w:rsidRPr="00C04C8A">
          <w:rPr>
            <w:rStyle w:val="Hyperlink"/>
            <w:rFonts w:cstheme="minorHAnsi"/>
          </w:rPr>
          <w:t>https://www.blackpast.org/global-african-history/people-global-african-history/regis-korchinski-paquet-1990-2020/</w:t>
        </w:r>
      </w:hyperlink>
      <w:r w:rsidRPr="00C04C8A">
        <w:rPr>
          <w:rFonts w:cstheme="minorHAnsi"/>
        </w:rPr>
        <w:t xml:space="preserve">. </w:t>
      </w:r>
    </w:p>
  </w:footnote>
  <w:footnote w:id="12">
    <w:p w14:paraId="335B7A65" w14:textId="77777777" w:rsidR="00C04C8A" w:rsidRPr="00C04C8A" w:rsidRDefault="00C04C8A" w:rsidP="00C04C8A">
      <w:pPr>
        <w:pStyle w:val="FootnoteText"/>
        <w:rPr>
          <w:rFonts w:cstheme="minorHAnsi"/>
          <w:lang w:val="en"/>
        </w:rPr>
      </w:pPr>
      <w:r w:rsidRPr="00C04C8A">
        <w:rPr>
          <w:rStyle w:val="FootnoteReference"/>
          <w:rFonts w:cstheme="minorHAnsi"/>
        </w:rPr>
        <w:footnoteRef/>
      </w:r>
      <w:r w:rsidRPr="00C04C8A">
        <w:rPr>
          <w:rFonts w:cstheme="minorHAnsi"/>
        </w:rPr>
        <w:t xml:space="preserve"> Bobbi-Jean MacKinnon, “</w:t>
      </w:r>
      <w:r w:rsidRPr="00C04C8A">
        <w:rPr>
          <w:rFonts w:cstheme="minorHAnsi"/>
          <w:lang w:val="en"/>
        </w:rPr>
        <w:t xml:space="preserve">Chantel Moore inquest shows 'urgent need' for inquiry into systemic racism, say chiefs” </w:t>
      </w:r>
      <w:r w:rsidRPr="00C04C8A">
        <w:rPr>
          <w:rFonts w:cstheme="minorHAnsi"/>
          <w:i/>
          <w:iCs/>
          <w:lang w:val="en"/>
        </w:rPr>
        <w:t>CBC News</w:t>
      </w:r>
      <w:r w:rsidRPr="00C04C8A">
        <w:rPr>
          <w:rFonts w:cstheme="minorHAnsi"/>
          <w:lang w:val="en"/>
        </w:rPr>
        <w:t xml:space="preserve"> (May 20, 2022) </w:t>
      </w:r>
      <w:hyperlink r:id="rId11" w:history="1">
        <w:r w:rsidRPr="00C04C8A">
          <w:rPr>
            <w:rStyle w:val="Hyperlink"/>
            <w:rFonts w:cstheme="minorHAnsi"/>
            <w:lang w:val="en"/>
          </w:rPr>
          <w:t>https://www.cbc.ca/news/canada/new-brunswick/chantel-moore-inquest-wolastoqey-chiefs-systemic-racism-inquiry-indigenous-1.6459930</w:t>
        </w:r>
      </w:hyperlink>
      <w:r w:rsidRPr="00C04C8A">
        <w:rPr>
          <w:rFonts w:cstheme="minorHAnsi"/>
          <w:lang w:val="en"/>
        </w:rPr>
        <w:t xml:space="preserve">. </w:t>
      </w:r>
    </w:p>
  </w:footnote>
  <w:footnote w:id="13">
    <w:p w14:paraId="5773422B" w14:textId="77777777" w:rsidR="00C04C8A" w:rsidRPr="00C04C8A" w:rsidRDefault="00C04C8A" w:rsidP="00C04C8A">
      <w:pPr>
        <w:pStyle w:val="FootnoteText"/>
        <w:rPr>
          <w:rFonts w:cstheme="minorHAnsi"/>
          <w:lang w:val="en"/>
        </w:rPr>
      </w:pPr>
      <w:r w:rsidRPr="00C04C8A">
        <w:rPr>
          <w:rStyle w:val="FootnoteReference"/>
          <w:rFonts w:cstheme="minorHAnsi"/>
        </w:rPr>
        <w:footnoteRef/>
      </w:r>
      <w:r w:rsidRPr="00C04C8A">
        <w:rPr>
          <w:rFonts w:cstheme="minorHAnsi"/>
        </w:rPr>
        <w:t xml:space="preserve"> Shane Magee, “</w:t>
      </w:r>
      <w:r w:rsidRPr="00C04C8A">
        <w:rPr>
          <w:rFonts w:cstheme="minorHAnsi"/>
          <w:lang w:val="en"/>
        </w:rPr>
        <w:t xml:space="preserve">Rodney Levi's death a homicide, jury decides” </w:t>
      </w:r>
      <w:r w:rsidRPr="00C04C8A">
        <w:rPr>
          <w:rFonts w:cstheme="minorHAnsi"/>
          <w:i/>
          <w:iCs/>
          <w:lang w:val="en"/>
        </w:rPr>
        <w:t>CBC News</w:t>
      </w:r>
      <w:r w:rsidRPr="00C04C8A">
        <w:rPr>
          <w:rFonts w:cstheme="minorHAnsi"/>
          <w:lang w:val="en"/>
        </w:rPr>
        <w:t xml:space="preserve"> (October 8, 2021) </w:t>
      </w:r>
      <w:hyperlink r:id="rId12" w:history="1">
        <w:r w:rsidRPr="00C04C8A">
          <w:rPr>
            <w:rStyle w:val="Hyperlink"/>
            <w:rFonts w:cstheme="minorHAnsi"/>
            <w:lang w:val="en"/>
          </w:rPr>
          <w:t>https://www.cbc.ca/news/canada/new-brunswick/rodney-levi-inquest-jury-ruling-1.6204506</w:t>
        </w:r>
      </w:hyperlink>
      <w:r w:rsidRPr="00C04C8A">
        <w:rPr>
          <w:rFonts w:cstheme="minorHAnsi"/>
          <w:lang w:val="en"/>
        </w:rPr>
        <w:t xml:space="preserve">. </w:t>
      </w:r>
    </w:p>
  </w:footnote>
  <w:footnote w:id="14">
    <w:p w14:paraId="7BBE3E6A" w14:textId="77777777" w:rsidR="00C04C8A" w:rsidRPr="00C04C8A" w:rsidRDefault="00C04C8A" w:rsidP="00C04C8A">
      <w:pPr>
        <w:pStyle w:val="FootnoteText"/>
        <w:rPr>
          <w:rFonts w:cstheme="minorHAnsi"/>
          <w:lang w:val="en"/>
        </w:rPr>
      </w:pPr>
      <w:r w:rsidRPr="00C04C8A">
        <w:rPr>
          <w:rStyle w:val="FootnoteReference"/>
          <w:rFonts w:cstheme="minorHAnsi"/>
        </w:rPr>
        <w:footnoteRef/>
      </w:r>
      <w:r w:rsidRPr="00C04C8A">
        <w:rPr>
          <w:rFonts w:cstheme="minorHAnsi"/>
        </w:rPr>
        <w:t xml:space="preserve"> </w:t>
      </w:r>
      <w:r w:rsidRPr="00C04C8A">
        <w:rPr>
          <w:rFonts w:cstheme="minorHAnsi"/>
          <w:i/>
          <w:iCs/>
        </w:rPr>
        <w:t>Disability Rights Coalition v. Nova Scotia (Attorney General)</w:t>
      </w:r>
      <w:r w:rsidRPr="00C04C8A">
        <w:rPr>
          <w:rFonts w:cstheme="minorHAnsi"/>
        </w:rPr>
        <w:t xml:space="preserve">, 2021 NSCA 70; Vernon </w:t>
      </w:r>
      <w:proofErr w:type="spellStart"/>
      <w:r w:rsidRPr="00C04C8A">
        <w:rPr>
          <w:rFonts w:cstheme="minorHAnsi"/>
        </w:rPr>
        <w:t>Ramesar</w:t>
      </w:r>
      <w:proofErr w:type="spellEnd"/>
      <w:r w:rsidRPr="00C04C8A">
        <w:rPr>
          <w:rFonts w:cstheme="minorHAnsi"/>
        </w:rPr>
        <w:t>, “</w:t>
      </w:r>
      <w:r w:rsidRPr="00C04C8A">
        <w:rPr>
          <w:rFonts w:cstheme="minorHAnsi"/>
          <w:lang w:val="en"/>
        </w:rPr>
        <w:t xml:space="preserve">Appeal Court rules N.S. discriminated against 3 adults with disabilities” </w:t>
      </w:r>
      <w:r w:rsidRPr="00C04C8A">
        <w:rPr>
          <w:rFonts w:cstheme="minorHAnsi"/>
          <w:i/>
          <w:iCs/>
          <w:lang w:val="en"/>
        </w:rPr>
        <w:t>CBC News</w:t>
      </w:r>
      <w:r w:rsidRPr="00C04C8A">
        <w:rPr>
          <w:rFonts w:cstheme="minorHAnsi"/>
          <w:lang w:val="en"/>
        </w:rPr>
        <w:t xml:space="preserve"> (October 6, 2021) </w:t>
      </w:r>
      <w:hyperlink r:id="rId13" w:history="1">
        <w:r w:rsidRPr="00C04C8A">
          <w:rPr>
            <w:rStyle w:val="Hyperlink"/>
            <w:rFonts w:cstheme="minorHAnsi"/>
            <w:lang w:val="en"/>
          </w:rPr>
          <w:t>https://www.cbc.ca/news/canada/nova-scotia/nova-sciotia-court-upholds-finding-systemic-discrimination-people-with-disabilities-1.6201752</w:t>
        </w:r>
      </w:hyperlink>
      <w:r w:rsidRPr="00C04C8A">
        <w:rPr>
          <w:rFonts w:cstheme="minorHAnsi"/>
          <w:lang w:val="en"/>
        </w:rPr>
        <w:t xml:space="preserve">. </w:t>
      </w:r>
      <w:r w:rsidRPr="00C04C8A">
        <w:rPr>
          <w:rFonts w:cstheme="minorHAnsi"/>
        </w:rPr>
        <w:t xml:space="preserve"> </w:t>
      </w:r>
    </w:p>
  </w:footnote>
  <w:footnote w:id="15">
    <w:p w14:paraId="4C6D5DB2"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See notes 6 &amp; 7, above, and El Jones, </w:t>
      </w:r>
      <w:r w:rsidRPr="00C04C8A">
        <w:rPr>
          <w:rFonts w:cstheme="minorHAnsi"/>
          <w:i/>
          <w:iCs/>
        </w:rPr>
        <w:t>Abolitionist Intimacies</w:t>
      </w:r>
      <w:r w:rsidRPr="00C04C8A">
        <w:rPr>
          <w:rFonts w:cstheme="minorHAnsi"/>
        </w:rPr>
        <w:t xml:space="preserve"> (Halifax: Fernwood Press, 2022).</w:t>
      </w:r>
    </w:p>
  </w:footnote>
  <w:footnote w:id="16">
    <w:p w14:paraId="1AB052CD"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See note 6, above.</w:t>
      </w:r>
    </w:p>
  </w:footnote>
  <w:footnote w:id="17">
    <w:p w14:paraId="796553D7" w14:textId="77777777" w:rsidR="00C04C8A" w:rsidRPr="00C04C8A" w:rsidRDefault="00C04C8A" w:rsidP="00C04C8A">
      <w:pPr>
        <w:pStyle w:val="FootnoteText"/>
        <w:rPr>
          <w:rFonts w:cstheme="minorHAnsi"/>
          <w:lang w:val="en"/>
        </w:rPr>
      </w:pPr>
      <w:r w:rsidRPr="00C04C8A">
        <w:rPr>
          <w:rStyle w:val="FootnoteReference"/>
          <w:rFonts w:cstheme="minorHAnsi"/>
        </w:rPr>
        <w:footnoteRef/>
      </w:r>
      <w:r w:rsidRPr="00C04C8A">
        <w:rPr>
          <w:rFonts w:cstheme="minorHAnsi"/>
        </w:rPr>
        <w:t xml:space="preserve"> Jen Powley, </w:t>
      </w:r>
      <w:r w:rsidRPr="00C04C8A">
        <w:rPr>
          <w:rFonts w:cstheme="minorHAnsi"/>
          <w:i/>
          <w:iCs/>
        </w:rPr>
        <w:t>Making a Home: Assisted Living in the Community for Young Disabled People</w:t>
      </w:r>
      <w:r w:rsidRPr="00C04C8A">
        <w:rPr>
          <w:rFonts w:cstheme="minorHAnsi"/>
        </w:rPr>
        <w:t xml:space="preserve"> (Halifax: Fernwood, forthcoming May 2023); Jen Powley, “</w:t>
      </w:r>
      <w:r w:rsidRPr="00C04C8A">
        <w:rPr>
          <w:rFonts w:cstheme="minorHAnsi"/>
          <w:lang w:val="en"/>
        </w:rPr>
        <w:t xml:space="preserve">We need more people with disabilities in politics – and represented in policy” </w:t>
      </w:r>
      <w:r w:rsidRPr="00C04C8A">
        <w:rPr>
          <w:rFonts w:cstheme="minorHAnsi"/>
          <w:i/>
          <w:iCs/>
          <w:lang w:val="en"/>
        </w:rPr>
        <w:t>CBC News</w:t>
      </w:r>
      <w:r w:rsidRPr="00C04C8A">
        <w:rPr>
          <w:rFonts w:cstheme="minorHAnsi"/>
          <w:lang w:val="en"/>
        </w:rPr>
        <w:t xml:space="preserve"> (Aug 14, 2021) </w:t>
      </w:r>
      <w:hyperlink r:id="rId14" w:history="1">
        <w:r w:rsidRPr="00C04C8A">
          <w:rPr>
            <w:rStyle w:val="Hyperlink"/>
            <w:rFonts w:cstheme="minorHAnsi"/>
            <w:lang w:val="en"/>
          </w:rPr>
          <w:t>https://www.cbc.ca/news/canada/nova-scotia/disability-in-politics-1.6139870</w:t>
        </w:r>
      </w:hyperlink>
      <w:r w:rsidRPr="00C04C8A">
        <w:rPr>
          <w:rFonts w:cstheme="minorHAnsi"/>
          <w:lang w:val="en"/>
        </w:rPr>
        <w:t xml:space="preserve">. </w:t>
      </w:r>
    </w:p>
  </w:footnote>
  <w:footnote w:id="18">
    <w:p w14:paraId="3F4E6959" w14:textId="77777777" w:rsidR="00C04C8A" w:rsidRPr="00C04C8A" w:rsidRDefault="00C04C8A" w:rsidP="00C04C8A">
      <w:pPr>
        <w:pStyle w:val="FootnoteText"/>
        <w:rPr>
          <w:rFonts w:cstheme="minorHAnsi"/>
          <w:lang w:val="en"/>
        </w:rPr>
      </w:pPr>
      <w:r w:rsidRPr="00C04C8A">
        <w:rPr>
          <w:rStyle w:val="FootnoteReference"/>
          <w:rFonts w:cstheme="minorHAnsi"/>
        </w:rPr>
        <w:footnoteRef/>
      </w:r>
      <w:r w:rsidRPr="00C04C8A">
        <w:rPr>
          <w:rFonts w:cstheme="minorHAnsi"/>
        </w:rPr>
        <w:t xml:space="preserve"> “</w:t>
      </w:r>
      <w:r w:rsidRPr="00C04C8A">
        <w:rPr>
          <w:rFonts w:cstheme="minorHAnsi"/>
          <w:lang w:val="en"/>
        </w:rPr>
        <w:t xml:space="preserve">N.S. gov't appeal in disabled rights case shows 'they don't view us as people,' advocate says” </w:t>
      </w:r>
      <w:r w:rsidRPr="00C04C8A">
        <w:rPr>
          <w:rFonts w:cstheme="minorHAnsi"/>
          <w:i/>
          <w:iCs/>
          <w:lang w:val="en"/>
        </w:rPr>
        <w:t>CBC Radio: The Current</w:t>
      </w:r>
      <w:r w:rsidRPr="00C04C8A">
        <w:rPr>
          <w:rFonts w:cstheme="minorHAnsi"/>
          <w:lang w:val="en"/>
        </w:rPr>
        <w:t xml:space="preserve"> (Dec 13, 2021) </w:t>
      </w:r>
      <w:hyperlink r:id="rId15" w:history="1">
        <w:r w:rsidRPr="00C04C8A">
          <w:rPr>
            <w:rStyle w:val="Hyperlink"/>
            <w:rFonts w:cstheme="minorHAnsi"/>
            <w:lang w:val="en"/>
          </w:rPr>
          <w:t>https://www.cbc.ca/radio/thecurrent/the-current-for-dec-13-2021-1.6280751/n-s-gov-t-appeal-in-disabled-rights-case-shows-they-don-t-view-us-as-people-advocate-says-1.6280752</w:t>
        </w:r>
      </w:hyperlink>
      <w:r w:rsidRPr="00C04C8A">
        <w:rPr>
          <w:rFonts w:cstheme="minorHAnsi"/>
          <w:lang w:val="en"/>
        </w:rPr>
        <w:t>.</w:t>
      </w:r>
    </w:p>
  </w:footnote>
  <w:footnote w:id="19">
    <w:p w14:paraId="3E2C5A1E"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w:t>
      </w:r>
      <w:r w:rsidRPr="00C04C8A">
        <w:rPr>
          <w:rFonts w:cstheme="minorHAnsi"/>
          <w:lang w:val="en"/>
        </w:rPr>
        <w:t>Jen Taplin, “</w:t>
      </w:r>
      <w:r w:rsidRPr="00C04C8A">
        <w:rPr>
          <w:rFonts w:cstheme="minorHAnsi"/>
          <w:lang w:val="en-CA"/>
        </w:rPr>
        <w:t xml:space="preserve">Halifax homeless advocates push back against encampment plan” </w:t>
      </w:r>
      <w:r w:rsidRPr="00C04C8A">
        <w:rPr>
          <w:rFonts w:cstheme="minorHAnsi"/>
          <w:i/>
          <w:iCs/>
          <w:lang w:val="en-CA"/>
        </w:rPr>
        <w:t>Halifax Herald</w:t>
      </w:r>
      <w:r w:rsidRPr="00C04C8A">
        <w:rPr>
          <w:rFonts w:cstheme="minorHAnsi"/>
          <w:lang w:val="en-CA"/>
        </w:rPr>
        <w:t xml:space="preserve"> (May 2, 2022) </w:t>
      </w:r>
      <w:hyperlink r:id="rId16" w:history="1">
        <w:r w:rsidRPr="00C04C8A">
          <w:rPr>
            <w:rStyle w:val="Hyperlink"/>
            <w:rFonts w:cstheme="minorHAnsi"/>
            <w:lang w:val="en-CA"/>
          </w:rPr>
          <w:t>https://www.saltwire.com/atlantic-canada/news/halifax-homeless-advocates-push-back-against-encampment-plan-100724634/</w:t>
        </w:r>
      </w:hyperlink>
      <w:r w:rsidRPr="00C04C8A">
        <w:rPr>
          <w:rFonts w:cstheme="minorHAnsi"/>
          <w:lang w:val="en-CA"/>
        </w:rPr>
        <w:t>.</w:t>
      </w:r>
    </w:p>
  </w:footnote>
  <w:footnote w:id="20">
    <w:p w14:paraId="468A021F"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A list of Ben-Moshe’s prior publications, beyond the </w:t>
      </w:r>
      <w:proofErr w:type="spellStart"/>
      <w:r w:rsidRPr="00C04C8A">
        <w:rPr>
          <w:rFonts w:cstheme="minorHAnsi"/>
        </w:rPr>
        <w:t>groundbreaking</w:t>
      </w:r>
      <w:proofErr w:type="spellEnd"/>
      <w:r w:rsidRPr="00C04C8A">
        <w:rPr>
          <w:rFonts w:cstheme="minorHAnsi"/>
        </w:rPr>
        <w:t xml:space="preserve"> collection, </w:t>
      </w:r>
      <w:proofErr w:type="spellStart"/>
      <w:r w:rsidRPr="00C04C8A">
        <w:rPr>
          <w:rFonts w:cstheme="minorHAnsi"/>
        </w:rPr>
        <w:t>Liat</w:t>
      </w:r>
      <w:proofErr w:type="spellEnd"/>
      <w:r w:rsidRPr="00C04C8A">
        <w:rPr>
          <w:rFonts w:cstheme="minorHAnsi"/>
        </w:rPr>
        <w:t xml:space="preserve"> Ben-Moshe, Chris Chapman &amp; Allison C. Carey, eds, </w:t>
      </w:r>
      <w:r w:rsidRPr="00C04C8A">
        <w:rPr>
          <w:rFonts w:cstheme="minorHAnsi"/>
          <w:i/>
          <w:iCs/>
        </w:rPr>
        <w:t>Disability Incarcerated: Imprisonment and Disability in the United States and Canada</w:t>
      </w:r>
      <w:r w:rsidRPr="00C04C8A">
        <w:rPr>
          <w:rFonts w:cstheme="minorHAnsi"/>
        </w:rPr>
        <w:t xml:space="preserve"> (New York: Palgrave MacMillan, 2014)), may be accessed at </w:t>
      </w:r>
      <w:hyperlink r:id="rId17" w:history="1">
        <w:r w:rsidRPr="00C04C8A">
          <w:rPr>
            <w:rStyle w:val="Hyperlink"/>
            <w:rFonts w:cstheme="minorHAnsi"/>
          </w:rPr>
          <w:t>https://www.liatbenmoshe.com/copy-of-publications</w:t>
        </w:r>
      </w:hyperlink>
      <w:r w:rsidRPr="00C04C8A">
        <w:rPr>
          <w:rFonts w:cstheme="minorHAnsi"/>
        </w:rPr>
        <w:t xml:space="preserve">. </w:t>
      </w:r>
    </w:p>
  </w:footnote>
  <w:footnote w:id="21">
    <w:p w14:paraId="37803535"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w:t>
      </w:r>
      <w:proofErr w:type="spellStart"/>
      <w:r w:rsidRPr="00C04C8A">
        <w:rPr>
          <w:rFonts w:cstheme="minorHAnsi"/>
        </w:rPr>
        <w:t>Jasbir</w:t>
      </w:r>
      <w:proofErr w:type="spellEnd"/>
      <w:r w:rsidRPr="00C04C8A">
        <w:rPr>
          <w:rFonts w:cstheme="minorHAnsi"/>
        </w:rPr>
        <w:t xml:space="preserve"> K. Puar, </w:t>
      </w:r>
      <w:r w:rsidRPr="00C04C8A">
        <w:rPr>
          <w:rFonts w:cstheme="minorHAnsi"/>
          <w:i/>
          <w:iCs/>
        </w:rPr>
        <w:t>The Right to Maim: Debility, Capacity, Disability</w:t>
      </w:r>
      <w:r w:rsidRPr="00C04C8A">
        <w:rPr>
          <w:rFonts w:cstheme="minorHAnsi"/>
        </w:rPr>
        <w:t xml:space="preserve"> (Durham and London: Duke UP, 2017).</w:t>
      </w:r>
    </w:p>
  </w:footnote>
  <w:footnote w:id="22">
    <w:p w14:paraId="4C85F2D7"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w:t>
      </w:r>
      <w:proofErr w:type="spellStart"/>
      <w:r w:rsidRPr="00C04C8A">
        <w:rPr>
          <w:rFonts w:cstheme="minorHAnsi"/>
        </w:rPr>
        <w:t>Liat</w:t>
      </w:r>
      <w:proofErr w:type="spellEnd"/>
      <w:r w:rsidRPr="00C04C8A">
        <w:rPr>
          <w:rFonts w:cstheme="minorHAnsi"/>
        </w:rPr>
        <w:t xml:space="preserve"> Ben-Moshe, “Why Prisons are not the New Asylums” (2017) 19(3) </w:t>
      </w:r>
      <w:r w:rsidRPr="00C04C8A">
        <w:rPr>
          <w:rFonts w:cstheme="minorHAnsi"/>
          <w:i/>
          <w:iCs/>
        </w:rPr>
        <w:t>Punishment and Society</w:t>
      </w:r>
      <w:r w:rsidRPr="00C04C8A">
        <w:rPr>
          <w:rFonts w:cstheme="minorHAnsi"/>
        </w:rPr>
        <w:t xml:space="preserve"> 272. </w:t>
      </w:r>
    </w:p>
  </w:footnote>
  <w:footnote w:id="23">
    <w:p w14:paraId="49C211F9" w14:textId="77777777" w:rsidR="00C04C8A" w:rsidRPr="00C04C8A" w:rsidRDefault="00C04C8A" w:rsidP="00C04C8A">
      <w:pPr>
        <w:pStyle w:val="FootnoteText"/>
        <w:rPr>
          <w:rFonts w:cstheme="minorHAnsi"/>
          <w:b/>
          <w:bCs/>
          <w:lang w:val="en-CA"/>
        </w:rPr>
      </w:pPr>
      <w:r w:rsidRPr="00C04C8A">
        <w:rPr>
          <w:rStyle w:val="FootnoteReference"/>
          <w:rFonts w:cstheme="minorHAnsi"/>
        </w:rPr>
        <w:footnoteRef/>
      </w:r>
      <w:r w:rsidRPr="00C04C8A">
        <w:rPr>
          <w:rFonts w:cstheme="minorHAnsi"/>
        </w:rPr>
        <w:t xml:space="preserve"> For a retrospective on these appeals and the decision of the federal government not to proceed beyond two provincial appellate courts, see Public Safety Canada, “</w:t>
      </w:r>
      <w:r w:rsidRPr="00C04C8A">
        <w:rPr>
          <w:rFonts w:cstheme="minorHAnsi"/>
          <w:lang w:val="en-CA"/>
        </w:rPr>
        <w:t xml:space="preserve">Appeals to the Supreme Court of Canada on Administrative Segregation” (April 27, 2020) </w:t>
      </w:r>
      <w:hyperlink r:id="rId18" w:history="1">
        <w:r w:rsidRPr="00C04C8A">
          <w:rPr>
            <w:rStyle w:val="Hyperlink"/>
            <w:rFonts w:cstheme="minorHAnsi"/>
            <w:lang w:val="en-CA"/>
          </w:rPr>
          <w:t>https://www.publicsafety.gc.ca/cnt/trnsprnc/brfng-mtrls/prlmntry-bndrs/20200730/019/index-en.aspx</w:t>
        </w:r>
      </w:hyperlink>
      <w:r w:rsidRPr="00C04C8A">
        <w:rPr>
          <w:rFonts w:cstheme="minorHAnsi"/>
          <w:lang w:val="en-CA"/>
        </w:rPr>
        <w:t xml:space="preserve">.  </w:t>
      </w:r>
    </w:p>
  </w:footnote>
  <w:footnote w:id="24">
    <w:p w14:paraId="35385E91" w14:textId="77777777" w:rsidR="00C04C8A" w:rsidRPr="00C04C8A" w:rsidRDefault="00C04C8A" w:rsidP="00C04C8A">
      <w:pPr>
        <w:pStyle w:val="FootnoteText"/>
        <w:rPr>
          <w:rFonts w:cstheme="minorHAnsi"/>
          <w:lang w:val="en"/>
        </w:rPr>
      </w:pPr>
      <w:r w:rsidRPr="00C04C8A">
        <w:rPr>
          <w:rStyle w:val="FootnoteReference"/>
          <w:rFonts w:cstheme="minorHAnsi"/>
        </w:rPr>
        <w:footnoteRef/>
      </w:r>
      <w:r w:rsidRPr="00C04C8A">
        <w:rPr>
          <w:rFonts w:cstheme="minorHAnsi"/>
        </w:rPr>
        <w:t xml:space="preserve"> See, e.g., Madeleine Cummings, “</w:t>
      </w:r>
      <w:r w:rsidRPr="00C04C8A">
        <w:rPr>
          <w:rFonts w:cstheme="minorHAnsi"/>
          <w:lang w:val="en"/>
        </w:rPr>
        <w:t xml:space="preserve">Alberta court certifies class action lawsuit on solitary confinement” </w:t>
      </w:r>
      <w:r w:rsidRPr="00C04C8A">
        <w:rPr>
          <w:rFonts w:cstheme="minorHAnsi"/>
          <w:i/>
          <w:iCs/>
          <w:lang w:val="en"/>
        </w:rPr>
        <w:t>CBC News</w:t>
      </w:r>
      <w:r w:rsidRPr="00C04C8A">
        <w:rPr>
          <w:rFonts w:cstheme="minorHAnsi"/>
          <w:lang w:val="en"/>
        </w:rPr>
        <w:t xml:space="preserve"> (July 20, 2022) </w:t>
      </w:r>
      <w:hyperlink r:id="rId19" w:history="1">
        <w:r w:rsidRPr="00C04C8A">
          <w:rPr>
            <w:rStyle w:val="Hyperlink"/>
            <w:rFonts w:cstheme="minorHAnsi"/>
            <w:lang w:val="en"/>
          </w:rPr>
          <w:t>https://www.cbc.ca/news/canada/edmonton/alberta-court-certifies-class-action-lawsuit-solitary-confinement-1.6526449</w:t>
        </w:r>
      </w:hyperlink>
      <w:r w:rsidRPr="00C04C8A">
        <w:rPr>
          <w:rFonts w:cstheme="minorHAnsi"/>
          <w:lang w:val="en"/>
        </w:rPr>
        <w:t xml:space="preserve">.  </w:t>
      </w:r>
    </w:p>
  </w:footnote>
  <w:footnote w:id="25">
    <w:p w14:paraId="4E90A3BC" w14:textId="77777777" w:rsidR="00C04C8A" w:rsidRPr="00C04C8A" w:rsidRDefault="00C04C8A" w:rsidP="00C04C8A">
      <w:pPr>
        <w:pStyle w:val="FootnoteText"/>
        <w:rPr>
          <w:rFonts w:cstheme="minorHAnsi"/>
        </w:rPr>
      </w:pPr>
      <w:r w:rsidRPr="00C04C8A">
        <w:rPr>
          <w:rStyle w:val="FootnoteReference"/>
          <w:rFonts w:cstheme="minorHAnsi"/>
          <w:color w:val="000000" w:themeColor="text1"/>
        </w:rPr>
        <w:footnoteRef/>
      </w:r>
      <w:r w:rsidRPr="00C04C8A">
        <w:rPr>
          <w:rFonts w:cstheme="minorHAnsi"/>
          <w:color w:val="000000" w:themeColor="text1"/>
        </w:rPr>
        <w:t xml:space="preserve"> Office of the Correctional Investigator, “Indigenous People in federal custody surpasses 30%” (January 2020); “Proportion of indigenous women in federal custody nears 50%” (December 2021).</w:t>
      </w:r>
    </w:p>
  </w:footnote>
  <w:footnote w:id="26">
    <w:p w14:paraId="1DE652F1"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w:t>
      </w:r>
      <w:r w:rsidRPr="00C04C8A">
        <w:rPr>
          <w:rFonts w:cstheme="minorHAnsi"/>
          <w:i/>
          <w:lang w:val="en-CA"/>
        </w:rPr>
        <w:t>Canadian Civil Liberties Association v Canada (Attorney General)</w:t>
      </w:r>
      <w:r w:rsidRPr="00C04C8A">
        <w:rPr>
          <w:rFonts w:cstheme="minorHAnsi"/>
          <w:lang w:val="en-CA"/>
        </w:rPr>
        <w:t>, 2019 ONCA 243.</w:t>
      </w:r>
    </w:p>
  </w:footnote>
  <w:footnote w:id="27">
    <w:p w14:paraId="2808B3C1"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w:t>
      </w:r>
      <w:r w:rsidRPr="00C04C8A">
        <w:rPr>
          <w:rFonts w:eastAsia="Times New Roman" w:cstheme="minorHAnsi"/>
          <w:i/>
        </w:rPr>
        <w:t>Francis v Ontario</w:t>
      </w:r>
      <w:r w:rsidRPr="00C04C8A">
        <w:rPr>
          <w:rFonts w:eastAsia="Times New Roman" w:cstheme="minorHAnsi"/>
        </w:rPr>
        <w:t>, 2021 ONCA 197.</w:t>
      </w:r>
    </w:p>
  </w:footnote>
  <w:footnote w:id="28">
    <w:p w14:paraId="70E4C289"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See, e.g., </w:t>
      </w:r>
      <w:r w:rsidRPr="00C04C8A">
        <w:rPr>
          <w:rFonts w:cstheme="minorHAnsi"/>
          <w:i/>
          <w:iCs/>
        </w:rPr>
        <w:t>Brazeau v. Canada (Attorney General),</w:t>
      </w:r>
      <w:r w:rsidRPr="00C04C8A">
        <w:rPr>
          <w:rFonts w:cstheme="minorHAnsi"/>
        </w:rPr>
        <w:t xml:space="preserve"> 2020 ONCA 184.</w:t>
      </w:r>
    </w:p>
  </w:footnote>
  <w:footnote w:id="29">
    <w:p w14:paraId="1307F04B" w14:textId="77777777" w:rsidR="00C04C8A" w:rsidRPr="00C04C8A" w:rsidRDefault="00C04C8A" w:rsidP="00C04C8A">
      <w:pPr>
        <w:pStyle w:val="FootnoteText"/>
        <w:rPr>
          <w:rFonts w:cstheme="minorHAnsi"/>
          <w:b/>
          <w:bCs/>
          <w:lang w:val="en-CA"/>
        </w:rPr>
      </w:pPr>
      <w:r w:rsidRPr="00C04C8A">
        <w:rPr>
          <w:rStyle w:val="FootnoteReference"/>
          <w:rFonts w:cstheme="minorHAnsi"/>
        </w:rPr>
        <w:footnoteRef/>
      </w:r>
      <w:r w:rsidRPr="00C04C8A">
        <w:rPr>
          <w:rFonts w:cstheme="minorHAnsi"/>
        </w:rPr>
        <w:t xml:space="preserve"> The </w:t>
      </w:r>
      <w:r w:rsidRPr="00C04C8A">
        <w:rPr>
          <w:rFonts w:cstheme="minorHAnsi"/>
          <w:lang w:val="en-CA"/>
        </w:rPr>
        <w:t>Structured Intervention Unit Implementation Advisory Panel,</w:t>
      </w:r>
      <w:r w:rsidRPr="00C04C8A">
        <w:rPr>
          <w:rFonts w:cstheme="minorHAnsi"/>
          <w:b/>
          <w:bCs/>
          <w:lang w:val="en-CA"/>
        </w:rPr>
        <w:t xml:space="preserve"> </w:t>
      </w:r>
      <w:r w:rsidRPr="00C04C8A">
        <w:rPr>
          <w:rFonts w:cstheme="minorHAnsi"/>
          <w:i/>
          <w:iCs/>
          <w:lang w:val="en-CA"/>
        </w:rPr>
        <w:t xml:space="preserve">Preliminary Observations of the Operation of Correctional Service of Canada’s Structured Intervention Units </w:t>
      </w:r>
      <w:r w:rsidRPr="00C04C8A">
        <w:rPr>
          <w:rFonts w:cstheme="minorHAnsi"/>
          <w:lang w:val="en-CA"/>
        </w:rPr>
        <w:t xml:space="preserve">(October 2021) </w:t>
      </w:r>
      <w:hyperlink r:id="rId20" w:history="1">
        <w:r w:rsidRPr="00C04C8A">
          <w:rPr>
            <w:rStyle w:val="Hyperlink"/>
            <w:rFonts w:cstheme="minorHAnsi"/>
            <w:lang w:val="en-CA"/>
          </w:rPr>
          <w:t>https://www.publicsafety.gc.ca/cnt/rsrcs/pblctns/2022-siu-iap/index-en.aspx</w:t>
        </w:r>
      </w:hyperlink>
      <w:r w:rsidRPr="00C04C8A">
        <w:rPr>
          <w:rFonts w:cstheme="minorHAnsi"/>
          <w:lang w:val="en-CA"/>
        </w:rPr>
        <w:t xml:space="preserve">. </w:t>
      </w:r>
    </w:p>
  </w:footnote>
  <w:footnote w:id="30">
    <w:p w14:paraId="329A1DBA"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"Disabling Solitary,” above, note 3.</w:t>
      </w:r>
    </w:p>
  </w:footnote>
  <w:footnote w:id="31">
    <w:p w14:paraId="5D73300D" w14:textId="77777777" w:rsidR="00C04C8A" w:rsidRPr="00C04C8A" w:rsidRDefault="00C04C8A" w:rsidP="00C04C8A">
      <w:pPr>
        <w:pStyle w:val="FootnoteText"/>
        <w:rPr>
          <w:rFonts w:cstheme="minorHAnsi"/>
          <w:b/>
          <w:bCs/>
          <w:lang w:val="en-CA"/>
        </w:rPr>
      </w:pPr>
      <w:r w:rsidRPr="00C04C8A">
        <w:rPr>
          <w:rStyle w:val="FootnoteReference"/>
          <w:rFonts w:cstheme="minorHAnsi"/>
        </w:rPr>
        <w:footnoteRef/>
      </w:r>
      <w:r w:rsidRPr="00C04C8A">
        <w:rPr>
          <w:rFonts w:cstheme="minorHAnsi"/>
        </w:rPr>
        <w:t xml:space="preserve"> See note 28, above, and Brigitte Pellerin, “</w:t>
      </w:r>
      <w:r w:rsidRPr="00C04C8A">
        <w:rPr>
          <w:rFonts w:cstheme="minorHAnsi"/>
          <w:lang w:val="en-CA"/>
        </w:rPr>
        <w:t xml:space="preserve">Assessing safety risk the right way” CBA National (Sept 27, 2022) </w:t>
      </w:r>
      <w:hyperlink r:id="rId21" w:history="1">
        <w:r w:rsidRPr="00C04C8A">
          <w:rPr>
            <w:rStyle w:val="Hyperlink"/>
            <w:rFonts w:cstheme="minorHAnsi"/>
            <w:lang w:val="en-CA"/>
          </w:rPr>
          <w:t>https://www.nationalmagazine.ca/en-ca/articles/cba-influence/submissions/2022/assessing-safety-risk-the-right-way</w:t>
        </w:r>
      </w:hyperlink>
      <w:r w:rsidRPr="00C04C8A">
        <w:rPr>
          <w:rFonts w:cstheme="minorHAnsi"/>
          <w:lang w:val="en-CA"/>
        </w:rPr>
        <w:t xml:space="preserve">. </w:t>
      </w:r>
    </w:p>
    <w:p w14:paraId="27074781" w14:textId="77777777" w:rsidR="00C04C8A" w:rsidRPr="00C04C8A" w:rsidRDefault="00C04C8A" w:rsidP="00C04C8A">
      <w:pPr>
        <w:pStyle w:val="FootnoteText"/>
        <w:rPr>
          <w:rFonts w:cstheme="minorHAnsi"/>
        </w:rPr>
      </w:pPr>
    </w:p>
  </w:footnote>
  <w:footnote w:id="32">
    <w:p w14:paraId="5D4EDF1A" w14:textId="77777777" w:rsidR="00C04C8A" w:rsidRPr="00C04C8A" w:rsidRDefault="00C04C8A" w:rsidP="00C04C8A">
      <w:pPr>
        <w:pStyle w:val="FootnoteText"/>
        <w:rPr>
          <w:rFonts w:cstheme="minorHAnsi"/>
          <w:b/>
          <w:bCs/>
          <w:lang w:val="en-CA"/>
        </w:rPr>
      </w:pPr>
      <w:r w:rsidRPr="00C04C8A">
        <w:rPr>
          <w:rStyle w:val="FootnoteReference"/>
          <w:rFonts w:cstheme="minorHAnsi"/>
        </w:rPr>
        <w:footnoteRef/>
      </w:r>
      <w:r w:rsidRPr="00C04C8A">
        <w:rPr>
          <w:rFonts w:cstheme="minorHAnsi"/>
        </w:rPr>
        <w:t xml:space="preserve"> Correctional Service of Canada, Commissioners’ Directive 843 “</w:t>
      </w:r>
      <w:r w:rsidRPr="00C04C8A">
        <w:rPr>
          <w:rFonts w:cstheme="minorHAnsi"/>
          <w:lang w:val="en-CA"/>
        </w:rPr>
        <w:t xml:space="preserve">Interventions to Preserve Life and Prevent Serious Bodily Harm” </w:t>
      </w:r>
      <w:hyperlink r:id="rId22" w:history="1">
        <w:r w:rsidRPr="00C04C8A">
          <w:rPr>
            <w:rStyle w:val="Hyperlink"/>
            <w:rFonts w:cstheme="minorHAnsi"/>
            <w:lang w:val="en-CA"/>
          </w:rPr>
          <w:t>https://www.csc-scc.gc.ca/acts-and-regulations/843-cd-eng.shtml</w:t>
        </w:r>
      </w:hyperlink>
      <w:r w:rsidRPr="00C04C8A">
        <w:rPr>
          <w:rFonts w:cstheme="minorHAnsi"/>
          <w:lang w:val="en-CA"/>
        </w:rPr>
        <w:t xml:space="preserve">  </w:t>
      </w:r>
    </w:p>
  </w:footnote>
  <w:footnote w:id="33">
    <w:p w14:paraId="35D1CDF9"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Debra Parkes, “Solitary Confinement, Prisoner Litigation, and the Possibility of a Prison Abolitionist Lawyering Ethic” (2017) 32(2) CJLS 165.</w:t>
      </w:r>
    </w:p>
  </w:footnote>
  <w:footnote w:id="34">
    <w:p w14:paraId="4CD7A804" w14:textId="77777777" w:rsidR="00C04C8A" w:rsidRPr="00C04C8A" w:rsidRDefault="00C04C8A" w:rsidP="00C04C8A">
      <w:pPr>
        <w:pStyle w:val="FootnoteText"/>
        <w:rPr>
          <w:rFonts w:cstheme="minorHAnsi"/>
        </w:rPr>
      </w:pPr>
      <w:r w:rsidRPr="00C04C8A">
        <w:rPr>
          <w:rStyle w:val="FootnoteReference"/>
          <w:rFonts w:cstheme="minorHAnsi"/>
        </w:rPr>
        <w:footnoteRef/>
      </w:r>
      <w:r w:rsidRPr="00C04C8A">
        <w:rPr>
          <w:rFonts w:cstheme="minorHAnsi"/>
        </w:rPr>
        <w:t xml:space="preserve"> See, e.g., Rochon Genova LLP, “Waypoint Solitary Confinement Class Action” at </w:t>
      </w:r>
      <w:hyperlink r:id="rId23" w:history="1">
        <w:r w:rsidRPr="00C04C8A">
          <w:rPr>
            <w:rStyle w:val="Hyperlink"/>
            <w:rFonts w:cstheme="minorHAnsi"/>
          </w:rPr>
          <w:t>https://www.rochongenova.com/current-class-action-cases/waypoint-solitary-confinement-class-action/</w:t>
        </w:r>
      </w:hyperlink>
      <w:r w:rsidRPr="00C04C8A">
        <w:rPr>
          <w:rFonts w:cstheme="minorHAnsi"/>
        </w:rPr>
        <w:t xml:space="preserve">; Sheila </w:t>
      </w:r>
      <w:proofErr w:type="spellStart"/>
      <w:r w:rsidRPr="00C04C8A">
        <w:rPr>
          <w:rFonts w:cstheme="minorHAnsi"/>
        </w:rPr>
        <w:t>Wildeman</w:t>
      </w:r>
      <w:proofErr w:type="spellEnd"/>
      <w:r w:rsidRPr="00C04C8A">
        <w:rPr>
          <w:rFonts w:cstheme="minorHAnsi"/>
        </w:rPr>
        <w:t xml:space="preserve">, “Opinion: The other solitary: psychiatric segregation needs to end, too” </w:t>
      </w:r>
      <w:r w:rsidRPr="00C04C8A">
        <w:rPr>
          <w:rFonts w:cstheme="minorHAnsi"/>
          <w:i/>
          <w:iCs/>
        </w:rPr>
        <w:t>Globe and Mail</w:t>
      </w:r>
      <w:r w:rsidRPr="00C04C8A">
        <w:rPr>
          <w:rFonts w:cstheme="minorHAnsi"/>
        </w:rPr>
        <w:t xml:space="preserve"> (Jan 31, 2018) </w:t>
      </w:r>
      <w:hyperlink r:id="rId24" w:history="1">
        <w:r w:rsidRPr="00C04C8A">
          <w:rPr>
            <w:rStyle w:val="Hyperlink"/>
            <w:rFonts w:cstheme="minorHAnsi"/>
          </w:rPr>
          <w:t>https://www.theglobeandmail.com/opinion/the-other-solitary-abusing-mental-health-based-confinement/article37806269/</w:t>
        </w:r>
      </w:hyperlink>
      <w:r w:rsidRPr="00C04C8A">
        <w:rPr>
          <w:rFonts w:cstheme="minorHAnsi"/>
        </w:rPr>
        <w:t xml:space="preserve">.  </w:t>
      </w:r>
    </w:p>
  </w:footnote>
  <w:footnote w:id="35">
    <w:p w14:paraId="08558423" w14:textId="77777777" w:rsidR="00C04C8A" w:rsidRPr="00C04C8A" w:rsidRDefault="00C04C8A" w:rsidP="00C04C8A">
      <w:pPr>
        <w:pStyle w:val="FootnoteText"/>
        <w:rPr>
          <w:rFonts w:cstheme="minorHAnsi"/>
          <w:lang w:val="en-CA"/>
        </w:rPr>
      </w:pPr>
      <w:r w:rsidRPr="00C04C8A">
        <w:rPr>
          <w:rStyle w:val="FootnoteReference"/>
          <w:rFonts w:cstheme="minorHAnsi"/>
        </w:rPr>
        <w:footnoteRef/>
      </w:r>
      <w:r w:rsidRPr="00C04C8A">
        <w:rPr>
          <w:rFonts w:cstheme="minorHAnsi"/>
        </w:rPr>
        <w:t xml:space="preserve"> Erick </w:t>
      </w:r>
      <w:proofErr w:type="spellStart"/>
      <w:r w:rsidRPr="00C04C8A">
        <w:rPr>
          <w:rFonts w:cstheme="minorHAnsi"/>
        </w:rPr>
        <w:t>Fabris</w:t>
      </w:r>
      <w:proofErr w:type="spellEnd"/>
      <w:r w:rsidRPr="00C04C8A">
        <w:rPr>
          <w:rFonts w:cstheme="minorHAnsi"/>
        </w:rPr>
        <w:t xml:space="preserve">, </w:t>
      </w:r>
      <w:r w:rsidRPr="00C04C8A">
        <w:rPr>
          <w:rFonts w:cstheme="minorHAnsi"/>
          <w:i/>
          <w:iCs/>
        </w:rPr>
        <w:t xml:space="preserve">Tranquil Prisons: </w:t>
      </w:r>
      <w:r w:rsidRPr="00C04C8A">
        <w:rPr>
          <w:rFonts w:cstheme="minorHAnsi"/>
          <w:i/>
          <w:iCs/>
          <w:lang w:val="en-CA"/>
        </w:rPr>
        <w:t xml:space="preserve">Chemical Incarceration Under Community Treatment Orders </w:t>
      </w:r>
      <w:r w:rsidRPr="00C04C8A">
        <w:rPr>
          <w:rFonts w:cstheme="minorHAnsi"/>
          <w:lang w:val="en-CA"/>
        </w:rPr>
        <w:t>(Toronto: UT Press, 2011).</w:t>
      </w:r>
    </w:p>
    <w:p w14:paraId="53BAEEA8" w14:textId="77777777" w:rsidR="00C04C8A" w:rsidRPr="00C04C8A" w:rsidRDefault="00C04C8A" w:rsidP="00C04C8A">
      <w:pPr>
        <w:pStyle w:val="FootnoteText"/>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08F66B24" w:rsidR="00351423" w:rsidRPr="008362FB" w:rsidRDefault="00C04C8A">
    <w:pPr>
      <w:pStyle w:val="Header"/>
    </w:pPr>
    <w:r w:rsidRPr="00C04C8A">
      <w:rPr>
        <w:rFonts w:eastAsia="Times New Roman" w:cstheme="minorHAnsi"/>
        <w:lang w:val="en-US"/>
      </w:rPr>
      <w:t xml:space="preserve">Sheila </w:t>
    </w:r>
    <w:proofErr w:type="spellStart"/>
    <w:r w:rsidRPr="00C04C8A">
      <w:rPr>
        <w:rFonts w:eastAsia="Times New Roman" w:cstheme="minorHAnsi"/>
        <w:lang w:val="en-US"/>
      </w:rPr>
      <w:t>Wildeman</w:t>
    </w:r>
    <w:proofErr w:type="spellEnd"/>
    <w:r w:rsidR="00AC2874" w:rsidRPr="008362FB">
      <w:tab/>
    </w:r>
    <w:r w:rsidR="002C3C93" w:rsidRPr="008362FB">
      <w:tab/>
    </w:r>
    <w:r w:rsidRPr="00C04C8A">
      <w:rPr>
        <w:iCs/>
        <w:lang w:val="en-US"/>
      </w:rPr>
      <w:t xml:space="preserve">Critical Pathways to Disability </w:t>
    </w:r>
    <w:proofErr w:type="spellStart"/>
    <w:r w:rsidRPr="00C04C8A">
      <w:rPr>
        <w:iCs/>
        <w:lang w:val="en-US"/>
      </w:rPr>
      <w:t>Decarceration</w:t>
    </w:r>
    <w:proofErr w:type="spellEnd"/>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3C61F917" w:rsidR="00351423" w:rsidRPr="00AC2874" w:rsidRDefault="00351423">
    <w:pPr>
      <w:pStyle w:val="Header"/>
    </w:pPr>
    <w:proofErr w:type="spellStart"/>
    <w:r w:rsidRPr="00AC2874">
      <w:rPr>
        <w:i/>
      </w:rPr>
      <w:t>feminists@law</w:t>
    </w:r>
    <w:proofErr w:type="spellEnd"/>
    <w:r w:rsidR="00AC2874">
      <w:tab/>
    </w:r>
    <w:r w:rsidR="00AC2874">
      <w:tab/>
      <w:t xml:space="preserve">Vol </w:t>
    </w:r>
    <w:r w:rsidR="00265DAF">
      <w:t>12</w:t>
    </w:r>
    <w:r w:rsidR="00AC2874">
      <w:t xml:space="preserve">, No </w:t>
    </w:r>
    <w:r w:rsidR="00265DAF">
      <w:t>1</w:t>
    </w:r>
    <w:r w:rsidR="00AC2874">
      <w:t xml:space="preserve"> (</w:t>
    </w:r>
    <w:r w:rsidR="00265DAF">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97A"/>
    <w:multiLevelType w:val="multilevel"/>
    <w:tmpl w:val="9EC6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B7662"/>
    <w:multiLevelType w:val="multilevel"/>
    <w:tmpl w:val="ADEC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C02474"/>
    <w:multiLevelType w:val="multilevel"/>
    <w:tmpl w:val="4A54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4587D"/>
    <w:multiLevelType w:val="multilevel"/>
    <w:tmpl w:val="EC00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AD5906"/>
    <w:multiLevelType w:val="hybridMultilevel"/>
    <w:tmpl w:val="021EB71C"/>
    <w:lvl w:ilvl="0" w:tplc="FA5AF0DA">
      <w:start w:val="1"/>
      <w:numFmt w:val="bullet"/>
      <w:pStyle w:val="UTSBodytextbulleted"/>
      <w:lvlText w:val="&gt;"/>
      <w:lvlJc w:val="left"/>
      <w:pPr>
        <w:tabs>
          <w:tab w:val="num" w:pos="862"/>
        </w:tabs>
        <w:ind w:left="862" w:hanging="360"/>
      </w:pPr>
      <w:rPr>
        <w:rFonts w:ascii="Helvetica" w:hAnsi="Helvetica" w:hint="default"/>
      </w:rPr>
    </w:lvl>
    <w:lvl w:ilvl="1" w:tplc="9B4633D6" w:tentative="1">
      <w:start w:val="1"/>
      <w:numFmt w:val="bullet"/>
      <w:lvlText w:val="o"/>
      <w:lvlJc w:val="left"/>
      <w:pPr>
        <w:tabs>
          <w:tab w:val="num" w:pos="1440"/>
        </w:tabs>
        <w:ind w:left="1440" w:hanging="360"/>
      </w:pPr>
      <w:rPr>
        <w:rFonts w:ascii="Courier New" w:hAnsi="Courier New" w:hint="default"/>
      </w:rPr>
    </w:lvl>
    <w:lvl w:ilvl="2" w:tplc="2AF444EA" w:tentative="1">
      <w:start w:val="1"/>
      <w:numFmt w:val="bullet"/>
      <w:lvlText w:val=""/>
      <w:lvlJc w:val="left"/>
      <w:pPr>
        <w:tabs>
          <w:tab w:val="num" w:pos="2160"/>
        </w:tabs>
        <w:ind w:left="2160" w:hanging="360"/>
      </w:pPr>
      <w:rPr>
        <w:rFonts w:ascii="Wingdings" w:hAnsi="Wingdings" w:hint="default"/>
      </w:rPr>
    </w:lvl>
    <w:lvl w:ilvl="3" w:tplc="19C061FC" w:tentative="1">
      <w:start w:val="1"/>
      <w:numFmt w:val="bullet"/>
      <w:lvlText w:val=""/>
      <w:lvlJc w:val="left"/>
      <w:pPr>
        <w:tabs>
          <w:tab w:val="num" w:pos="2880"/>
        </w:tabs>
        <w:ind w:left="2880" w:hanging="360"/>
      </w:pPr>
      <w:rPr>
        <w:rFonts w:ascii="Symbol" w:hAnsi="Symbol" w:hint="default"/>
      </w:rPr>
    </w:lvl>
    <w:lvl w:ilvl="4" w:tplc="74B60086" w:tentative="1">
      <w:start w:val="1"/>
      <w:numFmt w:val="bullet"/>
      <w:lvlText w:val="o"/>
      <w:lvlJc w:val="left"/>
      <w:pPr>
        <w:tabs>
          <w:tab w:val="num" w:pos="3600"/>
        </w:tabs>
        <w:ind w:left="3600" w:hanging="360"/>
      </w:pPr>
      <w:rPr>
        <w:rFonts w:ascii="Courier New" w:hAnsi="Courier New" w:hint="default"/>
      </w:rPr>
    </w:lvl>
    <w:lvl w:ilvl="5" w:tplc="5F1409D6" w:tentative="1">
      <w:start w:val="1"/>
      <w:numFmt w:val="bullet"/>
      <w:lvlText w:val=""/>
      <w:lvlJc w:val="left"/>
      <w:pPr>
        <w:tabs>
          <w:tab w:val="num" w:pos="4320"/>
        </w:tabs>
        <w:ind w:left="4320" w:hanging="360"/>
      </w:pPr>
      <w:rPr>
        <w:rFonts w:ascii="Wingdings" w:hAnsi="Wingdings" w:hint="default"/>
      </w:rPr>
    </w:lvl>
    <w:lvl w:ilvl="6" w:tplc="B4AE0138" w:tentative="1">
      <w:start w:val="1"/>
      <w:numFmt w:val="bullet"/>
      <w:lvlText w:val=""/>
      <w:lvlJc w:val="left"/>
      <w:pPr>
        <w:tabs>
          <w:tab w:val="num" w:pos="5040"/>
        </w:tabs>
        <w:ind w:left="5040" w:hanging="360"/>
      </w:pPr>
      <w:rPr>
        <w:rFonts w:ascii="Symbol" w:hAnsi="Symbol" w:hint="default"/>
      </w:rPr>
    </w:lvl>
    <w:lvl w:ilvl="7" w:tplc="1DD24F2A" w:tentative="1">
      <w:start w:val="1"/>
      <w:numFmt w:val="bullet"/>
      <w:lvlText w:val="o"/>
      <w:lvlJc w:val="left"/>
      <w:pPr>
        <w:tabs>
          <w:tab w:val="num" w:pos="5760"/>
        </w:tabs>
        <w:ind w:left="5760" w:hanging="360"/>
      </w:pPr>
      <w:rPr>
        <w:rFonts w:ascii="Courier New" w:hAnsi="Courier New" w:hint="default"/>
      </w:rPr>
    </w:lvl>
    <w:lvl w:ilvl="8" w:tplc="504A75F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5F395D"/>
    <w:multiLevelType w:val="hybridMultilevel"/>
    <w:tmpl w:val="745E98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41645B6"/>
    <w:multiLevelType w:val="hybridMultilevel"/>
    <w:tmpl w:val="735E3CCE"/>
    <w:lvl w:ilvl="0" w:tplc="FFFFFFFF">
      <w:start w:val="1"/>
      <w:numFmt w:val="bullet"/>
      <w:pStyle w:val="UTSBullet25pt"/>
      <w:lvlText w:val=""/>
      <w:lvlJc w:val="left"/>
      <w:pPr>
        <w:ind w:left="502" w:hanging="360"/>
      </w:pPr>
      <w:rPr>
        <w:rFonts w:ascii="Symbol" w:hAnsi="Symbol" w:hint="default"/>
        <w:color w:val="4F81BD" w:themeColor="accent1"/>
        <w:sz w:val="32"/>
        <w:szCs w:val="32"/>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1416047306">
    <w:abstractNumId w:val="4"/>
  </w:num>
  <w:num w:numId="2" w16cid:durableId="1045445517">
    <w:abstractNumId w:val="6"/>
  </w:num>
  <w:num w:numId="3" w16cid:durableId="1279331769">
    <w:abstractNumId w:val="5"/>
  </w:num>
  <w:num w:numId="4" w16cid:durableId="645204056">
    <w:abstractNumId w:val="3"/>
  </w:num>
  <w:num w:numId="5" w16cid:durableId="1301110524">
    <w:abstractNumId w:val="0"/>
  </w:num>
  <w:num w:numId="6" w16cid:durableId="737435487">
    <w:abstractNumId w:val="1"/>
  </w:num>
  <w:num w:numId="7" w16cid:durableId="195390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30215"/>
    <w:rsid w:val="001529BB"/>
    <w:rsid w:val="00256F9D"/>
    <w:rsid w:val="00265DAF"/>
    <w:rsid w:val="002C07BB"/>
    <w:rsid w:val="002C3C93"/>
    <w:rsid w:val="00351423"/>
    <w:rsid w:val="004C2790"/>
    <w:rsid w:val="004F5099"/>
    <w:rsid w:val="005A7D93"/>
    <w:rsid w:val="00610326"/>
    <w:rsid w:val="0062122D"/>
    <w:rsid w:val="006E3405"/>
    <w:rsid w:val="007231F9"/>
    <w:rsid w:val="007A0074"/>
    <w:rsid w:val="007A1679"/>
    <w:rsid w:val="008362FB"/>
    <w:rsid w:val="00871AFE"/>
    <w:rsid w:val="008F4573"/>
    <w:rsid w:val="00965E93"/>
    <w:rsid w:val="0099188B"/>
    <w:rsid w:val="009F084A"/>
    <w:rsid w:val="00A50AC3"/>
    <w:rsid w:val="00AA73F6"/>
    <w:rsid w:val="00AC2874"/>
    <w:rsid w:val="00C04C8A"/>
    <w:rsid w:val="00EE2067"/>
    <w:rsid w:val="00F2636B"/>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qFormat/>
    <w:rsid w:val="00265D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5D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362FB"/>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51423"/>
    <w:rPr>
      <w:rFonts w:ascii="Tahoma" w:hAnsi="Tahoma" w:cs="Tahoma"/>
      <w:sz w:val="16"/>
      <w:szCs w:val="16"/>
    </w:rPr>
  </w:style>
  <w:style w:type="paragraph" w:styleId="FootnoteText">
    <w:name w:val="footnote text"/>
    <w:aliases w:val="Footnote Text (Spacing added,tab removed),fn,footnote text,Footnotes,Footnote ak,ft,fn cafc,fn Char,footnote text Char,Footnotes Char,Footnote ak Char,Footnotes Char Char,Footnote Text Char Char,fn Char Char,footnote text Char Char Char Ch"/>
    <w:basedOn w:val="Normal"/>
    <w:link w:val="FootnoteTextChar"/>
    <w:uiPriority w:val="99"/>
    <w:unhideWhenUsed/>
    <w:qFormat/>
    <w:rsid w:val="00351423"/>
    <w:pPr>
      <w:spacing w:line="240" w:lineRule="auto"/>
    </w:pPr>
    <w:rPr>
      <w:sz w:val="20"/>
      <w:szCs w:val="20"/>
    </w:rPr>
  </w:style>
  <w:style w:type="character" w:customStyle="1" w:styleId="FootnoteTextChar">
    <w:name w:val="Footnote Text Char"/>
    <w:aliases w:val="Footnote Text (Spacing added Char,tab removed) Char,fn Char1,footnote text Char1,Footnotes Char1,Footnote ak Char1,ft Char,fn cafc Char,fn Char Char1,footnote text Char Char,Footnotes Char Char1,Footnote ak Char Char,fn Char Char Char"/>
    <w:basedOn w:val="DefaultParagraphFont"/>
    <w:link w:val="FootnoteText"/>
    <w:uiPriority w:val="99"/>
    <w:rsid w:val="00351423"/>
    <w:rPr>
      <w:sz w:val="20"/>
      <w:szCs w:val="20"/>
    </w:rPr>
  </w:style>
  <w:style w:type="character" w:styleId="FootnoteReference">
    <w:name w:val="footnote reference"/>
    <w:aliases w:val="Ref,de nota al pie"/>
    <w:basedOn w:val="DefaultParagraphFont"/>
    <w:uiPriority w:val="99"/>
    <w:unhideWhenUsed/>
    <w:qFormat/>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semiHidden/>
    <w:unhideWhenUsed/>
    <w:rsid w:val="00610326"/>
    <w:rPr>
      <w:sz w:val="16"/>
      <w:szCs w:val="16"/>
    </w:rPr>
  </w:style>
  <w:style w:type="paragraph" w:styleId="CommentText">
    <w:name w:val="annotation text"/>
    <w:basedOn w:val="Normal"/>
    <w:link w:val="CommentTextChar"/>
    <w:unhideWhenUsed/>
    <w:rsid w:val="00610326"/>
    <w:pPr>
      <w:spacing w:line="240" w:lineRule="auto"/>
    </w:pPr>
    <w:rPr>
      <w:sz w:val="20"/>
      <w:szCs w:val="20"/>
    </w:rPr>
  </w:style>
  <w:style w:type="character" w:customStyle="1" w:styleId="CommentTextChar">
    <w:name w:val="Comment Text Char"/>
    <w:basedOn w:val="DefaultParagraphFont"/>
    <w:link w:val="CommentText"/>
    <w:rsid w:val="00610326"/>
    <w:rPr>
      <w:sz w:val="20"/>
      <w:szCs w:val="20"/>
    </w:rPr>
  </w:style>
  <w:style w:type="paragraph" w:styleId="CommentSubject">
    <w:name w:val="annotation subject"/>
    <w:basedOn w:val="CommentText"/>
    <w:next w:val="CommentText"/>
    <w:link w:val="CommentSubjectChar"/>
    <w:semiHidden/>
    <w:unhideWhenUsed/>
    <w:rsid w:val="00610326"/>
    <w:rPr>
      <w:b/>
      <w:bCs/>
    </w:rPr>
  </w:style>
  <w:style w:type="character" w:customStyle="1" w:styleId="CommentSubjectChar">
    <w:name w:val="Comment Subject Char"/>
    <w:basedOn w:val="CommentTextChar"/>
    <w:link w:val="CommentSubject"/>
    <w:semiHidden/>
    <w:rsid w:val="00610326"/>
    <w:rPr>
      <w:b/>
      <w:bCs/>
      <w:sz w:val="20"/>
      <w:szCs w:val="20"/>
    </w:rPr>
  </w:style>
  <w:style w:type="character" w:styleId="UnresolvedMention">
    <w:name w:val="Unresolved Mention"/>
    <w:basedOn w:val="DefaultParagraphFont"/>
    <w:uiPriority w:val="99"/>
    <w:semiHidden/>
    <w:unhideWhenUsed/>
    <w:rsid w:val="00265DAF"/>
    <w:rPr>
      <w:color w:val="605E5C"/>
      <w:shd w:val="clear" w:color="auto" w:fill="E1DFDD"/>
    </w:rPr>
  </w:style>
  <w:style w:type="character" w:customStyle="1" w:styleId="Heading2Char">
    <w:name w:val="Heading 2 Char"/>
    <w:basedOn w:val="DefaultParagraphFont"/>
    <w:link w:val="Heading2"/>
    <w:uiPriority w:val="9"/>
    <w:rsid w:val="00265DA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265DA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semiHidden/>
    <w:unhideWhenUsed/>
    <w:rsid w:val="008F4573"/>
    <w:rPr>
      <w:color w:val="800080" w:themeColor="followedHyperlink"/>
      <w:u w:val="single"/>
    </w:rPr>
  </w:style>
  <w:style w:type="character" w:styleId="Emphasis">
    <w:name w:val="Emphasis"/>
    <w:basedOn w:val="DefaultParagraphFont"/>
    <w:uiPriority w:val="20"/>
    <w:qFormat/>
    <w:rsid w:val="002C07BB"/>
    <w:rPr>
      <w:i/>
      <w:iCs/>
    </w:rPr>
  </w:style>
  <w:style w:type="character" w:customStyle="1" w:styleId="Heading3Char">
    <w:name w:val="Heading 3 Char"/>
    <w:basedOn w:val="DefaultParagraphFont"/>
    <w:link w:val="Heading3"/>
    <w:uiPriority w:val="9"/>
    <w:rsid w:val="008362FB"/>
    <w:rPr>
      <w:rFonts w:ascii="Times New Roman" w:eastAsia="Times New Roman" w:hAnsi="Times New Roman" w:cs="Times New Roman"/>
      <w:b/>
      <w:bCs/>
      <w:sz w:val="27"/>
      <w:szCs w:val="27"/>
      <w:lang w:val="en-AU" w:eastAsia="en-AU"/>
    </w:rPr>
  </w:style>
  <w:style w:type="character" w:styleId="PageNumber">
    <w:name w:val="page number"/>
    <w:basedOn w:val="DefaultParagraphFont"/>
    <w:rsid w:val="008362FB"/>
  </w:style>
  <w:style w:type="paragraph" w:customStyle="1" w:styleId="UTSBodytext">
    <w:name w:val="UTS Body text"/>
    <w:basedOn w:val="Normal"/>
    <w:rsid w:val="008362FB"/>
    <w:pPr>
      <w:spacing w:after="120" w:line="240" w:lineRule="exact"/>
    </w:pPr>
    <w:rPr>
      <w:rFonts w:ascii="Arial" w:eastAsia="Times" w:hAnsi="Arial" w:cs="Times New Roman"/>
      <w:sz w:val="20"/>
      <w:szCs w:val="20"/>
      <w:lang w:val="en-AU" w:eastAsia="en-AU"/>
    </w:rPr>
  </w:style>
  <w:style w:type="paragraph" w:customStyle="1" w:styleId="UTSHeading2">
    <w:name w:val="UTS Heading 2"/>
    <w:rsid w:val="008362FB"/>
    <w:pPr>
      <w:spacing w:line="240" w:lineRule="auto"/>
    </w:pPr>
    <w:rPr>
      <w:rFonts w:ascii="Arial" w:eastAsia="Times" w:hAnsi="Arial" w:cs="Times New Roman"/>
      <w:b/>
      <w:caps/>
      <w:noProof/>
      <w:sz w:val="20"/>
      <w:szCs w:val="20"/>
      <w:lang w:val="en-AU" w:eastAsia="en-AU"/>
    </w:rPr>
  </w:style>
  <w:style w:type="paragraph" w:customStyle="1" w:styleId="UTSHeading3">
    <w:name w:val="UTS Heading 3"/>
    <w:rsid w:val="008362FB"/>
    <w:pPr>
      <w:spacing w:line="240" w:lineRule="auto"/>
    </w:pPr>
    <w:rPr>
      <w:rFonts w:ascii="Arial" w:eastAsia="Times" w:hAnsi="Arial" w:cs="Times New Roman"/>
      <w:b/>
      <w:noProof/>
      <w:sz w:val="20"/>
      <w:szCs w:val="20"/>
      <w:lang w:val="en-AU" w:eastAsia="en-AU"/>
    </w:rPr>
  </w:style>
  <w:style w:type="paragraph" w:customStyle="1" w:styleId="UTSHeading1">
    <w:name w:val="UTS Heading 1"/>
    <w:rsid w:val="008362FB"/>
    <w:pPr>
      <w:spacing w:after="60" w:line="240" w:lineRule="auto"/>
    </w:pPr>
    <w:rPr>
      <w:rFonts w:ascii="Arial" w:eastAsia="Times" w:hAnsi="Arial" w:cs="Times New Roman"/>
      <w:b/>
      <w:caps/>
      <w:noProof/>
      <w:sz w:val="32"/>
      <w:szCs w:val="20"/>
      <w:lang w:val="en-AU" w:eastAsia="en-AU"/>
    </w:rPr>
  </w:style>
  <w:style w:type="paragraph" w:customStyle="1" w:styleId="UTSFooter">
    <w:name w:val="UTS Footer"/>
    <w:rsid w:val="008362FB"/>
    <w:pPr>
      <w:spacing w:line="240" w:lineRule="auto"/>
    </w:pPr>
    <w:rPr>
      <w:rFonts w:ascii="Arial" w:eastAsia="Times" w:hAnsi="Arial" w:cs="Times New Roman"/>
      <w:noProof/>
      <w:sz w:val="16"/>
      <w:szCs w:val="20"/>
      <w:lang w:val="en-AU" w:eastAsia="en-AU"/>
    </w:rPr>
  </w:style>
  <w:style w:type="paragraph" w:customStyle="1" w:styleId="UTSIntrotable">
    <w:name w:val="UTS Intro table"/>
    <w:rsid w:val="008362FB"/>
    <w:pPr>
      <w:spacing w:before="80" w:after="80" w:line="240" w:lineRule="exact"/>
      <w:ind w:left="-108"/>
    </w:pPr>
    <w:rPr>
      <w:rFonts w:ascii="Arial" w:eastAsia="Times" w:hAnsi="Arial" w:cs="Times New Roman"/>
      <w:caps/>
      <w:noProof/>
      <w:sz w:val="20"/>
      <w:szCs w:val="20"/>
      <w:lang w:val="en-AU" w:eastAsia="en-AU"/>
    </w:rPr>
  </w:style>
  <w:style w:type="paragraph" w:customStyle="1" w:styleId="UTSIntropara">
    <w:name w:val="UTS Intro para"/>
    <w:rsid w:val="008362FB"/>
    <w:pPr>
      <w:spacing w:line="240" w:lineRule="exact"/>
    </w:pPr>
    <w:rPr>
      <w:rFonts w:ascii="Arial" w:eastAsia="Times" w:hAnsi="Arial" w:cs="Times New Roman"/>
      <w:b/>
      <w:noProof/>
      <w:sz w:val="20"/>
      <w:szCs w:val="20"/>
      <w:lang w:val="en-AU" w:eastAsia="en-AU"/>
    </w:rPr>
  </w:style>
  <w:style w:type="paragraph" w:customStyle="1" w:styleId="UTSHeadingdoublerule">
    <w:name w:val="UTS Heading double rule"/>
    <w:rsid w:val="008362FB"/>
    <w:pPr>
      <w:pBdr>
        <w:top w:val="single" w:sz="4" w:space="1" w:color="auto"/>
        <w:bottom w:val="single" w:sz="4" w:space="1" w:color="auto"/>
      </w:pBdr>
      <w:spacing w:line="240" w:lineRule="auto"/>
    </w:pPr>
    <w:rPr>
      <w:rFonts w:ascii="Arial" w:eastAsia="Times" w:hAnsi="Arial" w:cs="Times New Roman"/>
      <w:caps/>
      <w:noProof/>
      <w:sz w:val="28"/>
      <w:szCs w:val="20"/>
      <w:lang w:val="en-AU" w:eastAsia="en-AU"/>
    </w:rPr>
  </w:style>
  <w:style w:type="paragraph" w:customStyle="1" w:styleId="UTSBodytextbulleted">
    <w:name w:val="UTS Body text bulleted"/>
    <w:basedOn w:val="Header"/>
    <w:rsid w:val="008362FB"/>
    <w:pPr>
      <w:numPr>
        <w:numId w:val="1"/>
      </w:numPr>
      <w:tabs>
        <w:tab w:val="clear" w:pos="862"/>
        <w:tab w:val="clear" w:pos="4513"/>
        <w:tab w:val="clear" w:pos="9026"/>
        <w:tab w:val="num" w:pos="284"/>
      </w:tabs>
      <w:spacing w:after="120" w:line="240" w:lineRule="exact"/>
      <w:ind w:left="284" w:hanging="284"/>
    </w:pPr>
    <w:rPr>
      <w:rFonts w:ascii="Arial" w:eastAsia="Times" w:hAnsi="Arial" w:cs="Times New Roman"/>
      <w:sz w:val="20"/>
      <w:szCs w:val="20"/>
      <w:lang w:val="en-AU" w:eastAsia="en-AU"/>
    </w:rPr>
  </w:style>
  <w:style w:type="paragraph" w:styleId="ListParagraph">
    <w:name w:val="List Paragraph"/>
    <w:basedOn w:val="Normal"/>
    <w:uiPriority w:val="34"/>
    <w:qFormat/>
    <w:rsid w:val="008362FB"/>
    <w:pPr>
      <w:spacing w:after="200" w:line="276" w:lineRule="auto"/>
      <w:ind w:left="720"/>
      <w:contextualSpacing/>
    </w:pPr>
    <w:rPr>
      <w:rFonts w:eastAsiaTheme="minorEastAsia"/>
      <w:lang w:val="en-AU" w:eastAsia="zh-CN"/>
    </w:rPr>
  </w:style>
  <w:style w:type="table" w:styleId="TableGrid">
    <w:name w:val="Table Grid"/>
    <w:basedOn w:val="TableNormal"/>
    <w:uiPriority w:val="59"/>
    <w:rsid w:val="008362FB"/>
    <w:pPr>
      <w:spacing w:line="240" w:lineRule="auto"/>
    </w:pPr>
    <w:rPr>
      <w:rFonts w:eastAsiaTheme="minorEastAsia"/>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362FB"/>
    <w:pPr>
      <w:spacing w:line="240" w:lineRule="auto"/>
    </w:pPr>
    <w:rPr>
      <w:rFonts w:ascii="Calibri" w:eastAsia="SimSun" w:hAnsi="Calibri" w:cs="Arial"/>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8362FB"/>
    <w:pPr>
      <w:spacing w:line="240" w:lineRule="auto"/>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uiPriority w:val="99"/>
    <w:rsid w:val="008362FB"/>
    <w:rPr>
      <w:rFonts w:ascii="Times New Roman" w:eastAsia="Times New Roman" w:hAnsi="Times New Roman" w:cs="Times New Roman"/>
      <w:sz w:val="20"/>
      <w:szCs w:val="20"/>
      <w:lang w:val="en-AU"/>
    </w:rPr>
  </w:style>
  <w:style w:type="character" w:styleId="Strong">
    <w:name w:val="Strong"/>
    <w:basedOn w:val="DefaultParagraphFont"/>
    <w:uiPriority w:val="22"/>
    <w:qFormat/>
    <w:rsid w:val="008362FB"/>
    <w:rPr>
      <w:b/>
      <w:bCs/>
    </w:rPr>
  </w:style>
  <w:style w:type="paragraph" w:customStyle="1" w:styleId="paragraph">
    <w:name w:val="paragraph"/>
    <w:basedOn w:val="Normal"/>
    <w:rsid w:val="008362FB"/>
    <w:pPr>
      <w:spacing w:before="100" w:beforeAutospacing="1" w:after="100" w:afterAutospacing="1" w:line="240" w:lineRule="auto"/>
    </w:pPr>
    <w:rPr>
      <w:rFonts w:ascii="Times New Roman" w:eastAsia="Times" w:hAnsi="Times New Roman" w:cs="Times New Roman"/>
      <w:sz w:val="24"/>
      <w:szCs w:val="24"/>
      <w:lang w:eastAsia="zh-CN"/>
    </w:rPr>
  </w:style>
  <w:style w:type="character" w:customStyle="1" w:styleId="normaltextrun">
    <w:name w:val="normaltextrun"/>
    <w:basedOn w:val="DefaultParagraphFont"/>
    <w:rsid w:val="008362FB"/>
  </w:style>
  <w:style w:type="character" w:customStyle="1" w:styleId="eop">
    <w:name w:val="eop"/>
    <w:basedOn w:val="DefaultParagraphFont"/>
    <w:rsid w:val="008362FB"/>
  </w:style>
  <w:style w:type="character" w:customStyle="1" w:styleId="spellingerror">
    <w:name w:val="spellingerror"/>
    <w:basedOn w:val="DefaultParagraphFont"/>
    <w:rsid w:val="008362FB"/>
  </w:style>
  <w:style w:type="character" w:customStyle="1" w:styleId="contextualspellingandgrammarerror">
    <w:name w:val="contextualspellingandgrammarerror"/>
    <w:basedOn w:val="DefaultParagraphFont"/>
    <w:rsid w:val="008362FB"/>
  </w:style>
  <w:style w:type="character" w:customStyle="1" w:styleId="scxw222254643">
    <w:name w:val="scxw222254643"/>
    <w:basedOn w:val="DefaultParagraphFont"/>
    <w:rsid w:val="008362FB"/>
  </w:style>
  <w:style w:type="paragraph" w:customStyle="1" w:styleId="UTSBullet25pt">
    <w:name w:val="UTS Bullet 25pt"/>
    <w:basedOn w:val="Normal"/>
    <w:qFormat/>
    <w:rsid w:val="008362FB"/>
    <w:pPr>
      <w:numPr>
        <w:numId w:val="2"/>
      </w:numPr>
      <w:spacing w:before="600" w:line="600" w:lineRule="exact"/>
    </w:pPr>
    <w:rPr>
      <w:rFonts w:ascii="Arial" w:hAnsi="Arial" w:cs="Arial"/>
      <w:color w:val="000000" w:themeColor="text1"/>
      <w:sz w:val="50"/>
      <w:szCs w:val="50"/>
      <w:lang w:val="en-US"/>
    </w:rPr>
  </w:style>
  <w:style w:type="paragraph" w:styleId="NormalWeb">
    <w:name w:val="Normal (Web)"/>
    <w:basedOn w:val="Normal"/>
    <w:uiPriority w:val="99"/>
    <w:unhideWhenUsed/>
    <w:rsid w:val="008362FB"/>
    <w:pPr>
      <w:spacing w:before="100" w:beforeAutospacing="1" w:after="100" w:afterAutospacing="1" w:line="240" w:lineRule="auto"/>
    </w:pPr>
    <w:rPr>
      <w:rFonts w:ascii="Times New Roman" w:eastAsia="Times" w:hAnsi="Times New Roman" w:cs="Times New Roman"/>
      <w:sz w:val="24"/>
      <w:szCs w:val="24"/>
      <w:lang w:eastAsia="zh-CN"/>
    </w:rPr>
  </w:style>
  <w:style w:type="paragraph" w:styleId="BodyText">
    <w:name w:val="Body Text"/>
    <w:basedOn w:val="Normal"/>
    <w:link w:val="BodyTextChar"/>
    <w:semiHidden/>
    <w:unhideWhenUsed/>
    <w:rsid w:val="008362FB"/>
    <w:pPr>
      <w:spacing w:after="120" w:line="240" w:lineRule="auto"/>
    </w:pPr>
    <w:rPr>
      <w:rFonts w:ascii="Times" w:eastAsia="Times" w:hAnsi="Times" w:cs="Times New Roman"/>
      <w:sz w:val="24"/>
      <w:szCs w:val="20"/>
      <w:lang w:val="en-AU" w:eastAsia="en-AU"/>
    </w:rPr>
  </w:style>
  <w:style w:type="character" w:customStyle="1" w:styleId="BodyTextChar">
    <w:name w:val="Body Text Char"/>
    <w:basedOn w:val="DefaultParagraphFont"/>
    <w:link w:val="BodyText"/>
    <w:semiHidden/>
    <w:rsid w:val="008362FB"/>
    <w:rPr>
      <w:rFonts w:ascii="Times" w:eastAsia="Times" w:hAnsi="Times" w:cs="Times New Roman"/>
      <w:sz w:val="24"/>
      <w:szCs w:val="20"/>
      <w:lang w:val="en-AU" w:eastAsia="en-AU"/>
    </w:rPr>
  </w:style>
  <w:style w:type="paragraph" w:styleId="EndnoteText">
    <w:name w:val="endnote text"/>
    <w:basedOn w:val="Normal"/>
    <w:link w:val="EndnoteTextChar"/>
    <w:uiPriority w:val="99"/>
    <w:unhideWhenUsed/>
    <w:qFormat/>
    <w:rsid w:val="008362FB"/>
    <w:pPr>
      <w:spacing w:line="240" w:lineRule="auto"/>
    </w:pPr>
    <w:rPr>
      <w:rFonts w:ascii="Times" w:eastAsia="Times" w:hAnsi="Times" w:cs="Times New Roman"/>
      <w:sz w:val="20"/>
      <w:szCs w:val="20"/>
      <w:lang w:val="en-AU" w:eastAsia="en-AU"/>
    </w:rPr>
  </w:style>
  <w:style w:type="character" w:customStyle="1" w:styleId="EndnoteTextChar">
    <w:name w:val="Endnote Text Char"/>
    <w:basedOn w:val="DefaultParagraphFont"/>
    <w:link w:val="EndnoteText"/>
    <w:uiPriority w:val="99"/>
    <w:rsid w:val="008362FB"/>
    <w:rPr>
      <w:rFonts w:ascii="Times" w:eastAsia="Times" w:hAnsi="Times" w:cs="Times New Roman"/>
      <w:sz w:val="20"/>
      <w:szCs w:val="20"/>
      <w:lang w:val="en-AU" w:eastAsia="en-AU"/>
    </w:rPr>
  </w:style>
  <w:style w:type="character" w:styleId="EndnoteReference">
    <w:name w:val="endnote reference"/>
    <w:basedOn w:val="DefaultParagraphFont"/>
    <w:semiHidden/>
    <w:unhideWhenUsed/>
    <w:rsid w:val="008362FB"/>
    <w:rPr>
      <w:vertAlign w:val="superscript"/>
    </w:rPr>
  </w:style>
  <w:style w:type="character" w:customStyle="1" w:styleId="SingleTxtGChar">
    <w:name w:val="_ Single Txt_G Char"/>
    <w:basedOn w:val="DefaultParagraphFont"/>
    <w:link w:val="SingleTxtG"/>
    <w:locked/>
    <w:rsid w:val="008362FB"/>
    <w:rPr>
      <w:rFonts w:ascii="Times New Roman" w:hAnsi="Times New Roman"/>
    </w:rPr>
  </w:style>
  <w:style w:type="paragraph" w:customStyle="1" w:styleId="SingleTxtG">
    <w:name w:val="_ Single Txt_G"/>
    <w:basedOn w:val="Normal"/>
    <w:link w:val="SingleTxtGChar"/>
    <w:rsid w:val="008362FB"/>
    <w:pPr>
      <w:tabs>
        <w:tab w:val="left" w:pos="1701"/>
        <w:tab w:val="left" w:pos="2268"/>
      </w:tabs>
      <w:suppressAutoHyphens/>
      <w:spacing w:after="120" w:line="240" w:lineRule="atLeast"/>
      <w:ind w:left="1134" w:right="1134"/>
      <w:jc w:val="both"/>
    </w:pPr>
    <w:rPr>
      <w:rFonts w:ascii="Times New Roman" w:hAnsi="Times New Roman"/>
    </w:rPr>
  </w:style>
  <w:style w:type="paragraph" w:styleId="Revision">
    <w:name w:val="Revision"/>
    <w:hidden/>
    <w:uiPriority w:val="99"/>
    <w:semiHidden/>
    <w:rsid w:val="008362FB"/>
    <w:pPr>
      <w:spacing w:line="240" w:lineRule="auto"/>
    </w:pPr>
    <w:rPr>
      <w:rFonts w:ascii="Times" w:eastAsia="Times" w:hAnsi="Times" w:cs="Times New Roman"/>
      <w:sz w:val="24"/>
      <w:szCs w:val="20"/>
      <w:lang w:val="en-AU" w:eastAsia="en-AU"/>
    </w:rPr>
  </w:style>
  <w:style w:type="character" w:customStyle="1" w:styleId="apple-converted-space">
    <w:name w:val="apple-converted-space"/>
    <w:basedOn w:val="DefaultParagraphFont"/>
    <w:rsid w:val="008362FB"/>
  </w:style>
  <w:style w:type="paragraph" w:styleId="NoSpacing">
    <w:name w:val="No Spacing"/>
    <w:basedOn w:val="Normal"/>
    <w:uiPriority w:val="1"/>
    <w:qFormat/>
    <w:rsid w:val="008362FB"/>
    <w:pPr>
      <w:spacing w:line="240" w:lineRule="auto"/>
    </w:pPr>
    <w:rPr>
      <w:rFonts w:ascii="Calibri" w:hAnsi="Calibri" w:cs="Calibri"/>
      <w:lang w:val="en-AU" w:eastAsia="en-AU"/>
    </w:rPr>
  </w:style>
  <w:style w:type="character" w:customStyle="1" w:styleId="contentpasted0">
    <w:name w:val="contentpasted0"/>
    <w:basedOn w:val="DefaultParagraphFont"/>
    <w:rsid w:val="0083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lifaxexaminer.ca/province-house/clearing-out-the-jail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atbenmoshe.com/copy-of-publica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iatbenmoshe.com/copy-of-publications" TargetMode="External"/><Relationship Id="rId4" Type="http://schemas.openxmlformats.org/officeDocument/2006/relationships/settings" Target="settings.xml"/><Relationship Id="rId9" Type="http://schemas.openxmlformats.org/officeDocument/2006/relationships/hyperlink" Target="https://www.cbc.ca/radio/thecurrent/the-current-for-dec-13-2021-1.6280751/n-s-gov-t-appeal-in-disabled-rights-case-shows-they-don-t-view-us-as-people-advocate-says-1.6280752"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ricochet.media/en/3038/viruses-feed-on-exclusion-psychiatric-detention-and-the-need-for-preventative-deinstitutionalization" TargetMode="External"/><Relationship Id="rId13" Type="http://schemas.openxmlformats.org/officeDocument/2006/relationships/hyperlink" Target="https://www.cbc.ca/news/canada/nova-scotia/nova-sciotia-court-upholds-finding-systemic-discrimination-people-with-disabilities-1.6201752" TargetMode="External"/><Relationship Id="rId18" Type="http://schemas.openxmlformats.org/officeDocument/2006/relationships/hyperlink" Target="https://www.publicsafety.gc.ca/cnt/trnsprnc/brfng-mtrls/prlmntry-bndrs/20200730/019/index-en.aspx" TargetMode="External"/><Relationship Id="rId3" Type="http://schemas.openxmlformats.org/officeDocument/2006/relationships/hyperlink" Target="https://www.eastcoastprisonjustice.ca/conditions-of-confinement-report.html" TargetMode="External"/><Relationship Id="rId21" Type="http://schemas.openxmlformats.org/officeDocument/2006/relationships/hyperlink" Target="https://www.nationalmagazine.ca/en-ca/articles/cba-influence/submissions/2022/assessing-safety-risk-the-right-way" TargetMode="External"/><Relationship Id="rId7" Type="http://schemas.openxmlformats.org/officeDocument/2006/relationships/hyperlink" Target="https://ssrn.com/abstract=3749772" TargetMode="External"/><Relationship Id="rId12" Type="http://schemas.openxmlformats.org/officeDocument/2006/relationships/hyperlink" Target="https://www.cbc.ca/news/canada/new-brunswick/rodney-levi-inquest-jury-ruling-1.6204506" TargetMode="External"/><Relationship Id="rId17" Type="http://schemas.openxmlformats.org/officeDocument/2006/relationships/hyperlink" Target="https://www.liatbenmoshe.com/copy-of-publications" TargetMode="External"/><Relationship Id="rId2" Type="http://schemas.openxmlformats.org/officeDocument/2006/relationships/hyperlink" Target="https://www.eastcoastprisonjustice.ca/" TargetMode="External"/><Relationship Id="rId16" Type="http://schemas.openxmlformats.org/officeDocument/2006/relationships/hyperlink" Target="https://www.saltwire.com/atlantic-canada/news/halifax-homeless-advocates-push-back-against-encampment-plan-100724634/" TargetMode="External"/><Relationship Id="rId20" Type="http://schemas.openxmlformats.org/officeDocument/2006/relationships/hyperlink" Target="https://www.publicsafety.gc.ca/cnt/rsrcs/pblctns/2022-siu-iap/index-en.aspx" TargetMode="External"/><Relationship Id="rId1" Type="http://schemas.openxmlformats.org/officeDocument/2006/relationships/hyperlink" Target="mailto:sheila.wildman@dal.ca" TargetMode="External"/><Relationship Id="rId6" Type="http://schemas.openxmlformats.org/officeDocument/2006/relationships/hyperlink" Target="https://www.cbc.ca/news/canada/nova-scotia/jail-population-cut-in-half-new-covid-19-measures-1.5541732" TargetMode="External"/><Relationship Id="rId11" Type="http://schemas.openxmlformats.org/officeDocument/2006/relationships/hyperlink" Target="https://www.cbc.ca/news/canada/new-brunswick/chantel-moore-inquest-wolastoqey-chiefs-systemic-racism-inquiry-indigenous-1.6459930" TargetMode="External"/><Relationship Id="rId24" Type="http://schemas.openxmlformats.org/officeDocument/2006/relationships/hyperlink" Target="https://www.theglobeandmail.com/opinion/the-other-solitary-abusing-mental-health-based-confinement/article37806269/" TargetMode="External"/><Relationship Id="rId5" Type="http://schemas.openxmlformats.org/officeDocument/2006/relationships/hyperlink" Target="https://www.halifaxexaminer.ca/uncategorized/clearing-out-the-jails/" TargetMode="External"/><Relationship Id="rId15" Type="http://schemas.openxmlformats.org/officeDocument/2006/relationships/hyperlink" Target="https://www.cbc.ca/radio/thecurrent/the-current-for-dec-13-2021-1.6280751/n-s-gov-t-appeal-in-disabled-rights-case-shows-they-don-t-view-us-as-people-advocate-says-1.6280752" TargetMode="External"/><Relationship Id="rId23" Type="http://schemas.openxmlformats.org/officeDocument/2006/relationships/hyperlink" Target="https://www.rochongenova.com/current-class-action-cases/waypoint-solitary-confinement-class-action/" TargetMode="External"/><Relationship Id="rId10" Type="http://schemas.openxmlformats.org/officeDocument/2006/relationships/hyperlink" Target="https://www.blackpast.org/global-african-history/people-global-african-history/regis-korchinski-paquet-1990-2020/" TargetMode="External"/><Relationship Id="rId19" Type="http://schemas.openxmlformats.org/officeDocument/2006/relationships/hyperlink" Target="https://www.cbc.ca/news/canada/edmonton/alberta-court-certifies-class-action-lawsuit-solitary-confinement-1.6526449" TargetMode="External"/><Relationship Id="rId4" Type="http://schemas.openxmlformats.org/officeDocument/2006/relationships/hyperlink" Target="https://www.efrymns.ca/" TargetMode="External"/><Relationship Id="rId9" Type="http://schemas.openxmlformats.org/officeDocument/2006/relationships/hyperlink" Target="https://www.saltwire.com/nova-scotia/opinion/sheila-wildeman-covid-19-and-disability-institutions-time-to-act-is-now-437259/" TargetMode="External"/><Relationship Id="rId14" Type="http://schemas.openxmlformats.org/officeDocument/2006/relationships/hyperlink" Target="https://www.cbc.ca/news/canada/nova-scotia/disability-in-politics-1.6139870" TargetMode="External"/><Relationship Id="rId22" Type="http://schemas.openxmlformats.org/officeDocument/2006/relationships/hyperlink" Target="https://www.csc-scc.gc.ca/acts-and-regulations/843-cd-e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2</cp:revision>
  <dcterms:created xsi:type="dcterms:W3CDTF">2023-06-04T14:47:00Z</dcterms:created>
  <dcterms:modified xsi:type="dcterms:W3CDTF">2023-06-04T14:47:00Z</dcterms:modified>
</cp:coreProperties>
</file>