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9E66" w14:textId="38E8158D" w:rsidR="00980795" w:rsidRPr="00C629BD" w:rsidRDefault="00980795" w:rsidP="00C629BD">
      <w:pPr>
        <w:pStyle w:val="Title"/>
      </w:pPr>
      <w:r w:rsidRPr="00C629BD">
        <w:t xml:space="preserve">Sharon Thompson, </w:t>
      </w:r>
      <w:r w:rsidR="001C1363" w:rsidRPr="00C629BD">
        <w:rPr>
          <w:i/>
          <w:iCs/>
        </w:rPr>
        <w:t>Quiet Revolutionaries</w:t>
      </w:r>
      <w:r w:rsidRPr="00C629BD">
        <w:rPr>
          <w:i/>
          <w:iCs/>
        </w:rPr>
        <w:t>: The Married Women's Association and Family Law</w:t>
      </w:r>
      <w:r w:rsidRPr="00C629BD">
        <w:t xml:space="preserve"> (Bloomsbury Publishing, 2022)</w:t>
      </w:r>
    </w:p>
    <w:p w14:paraId="772A2880" w14:textId="6E13AEC1" w:rsidR="004857AE" w:rsidRPr="00C629BD" w:rsidRDefault="001C1363">
      <w:pPr>
        <w:rPr>
          <w:sz w:val="24"/>
          <w:szCs w:val="24"/>
        </w:rPr>
      </w:pPr>
      <w:r w:rsidRPr="00C629BD">
        <w:rPr>
          <w:b/>
          <w:bCs/>
          <w:sz w:val="24"/>
          <w:szCs w:val="24"/>
        </w:rPr>
        <w:t>Antonia Porter</w:t>
      </w:r>
      <w:r w:rsidR="00F373B7" w:rsidRPr="00C629BD">
        <w:rPr>
          <w:rStyle w:val="FootnoteReference"/>
          <w:b/>
          <w:bCs/>
          <w:sz w:val="24"/>
          <w:szCs w:val="24"/>
        </w:rPr>
        <w:footnoteReference w:customMarkFollows="1" w:id="1"/>
        <w:t>*</w:t>
      </w:r>
      <w:r w:rsidR="00F373B7" w:rsidRPr="00C629BD">
        <w:rPr>
          <w:b/>
          <w:bCs/>
          <w:sz w:val="24"/>
          <w:szCs w:val="24"/>
        </w:rPr>
        <w:t xml:space="preserve"> </w:t>
      </w:r>
      <w:r w:rsidR="005A29F4" w:rsidRPr="00C629BD">
        <w:rPr>
          <w:sz w:val="24"/>
          <w:szCs w:val="24"/>
        </w:rPr>
        <w:t xml:space="preserve"> </w:t>
      </w:r>
    </w:p>
    <w:p w14:paraId="19184BC4" w14:textId="0F0262FE" w:rsidR="00BB008F" w:rsidRPr="00F373B7" w:rsidRDefault="00084172" w:rsidP="008B7DF2">
      <w:pPr>
        <w:rPr>
          <w:sz w:val="24"/>
          <w:szCs w:val="24"/>
        </w:rPr>
      </w:pPr>
      <w:r w:rsidRPr="00F373B7">
        <w:rPr>
          <w:sz w:val="24"/>
          <w:szCs w:val="24"/>
        </w:rPr>
        <w:t>Sharon Thompson</w:t>
      </w:r>
      <w:r w:rsidR="00F97E2F" w:rsidRPr="00F373B7">
        <w:rPr>
          <w:sz w:val="24"/>
          <w:szCs w:val="24"/>
        </w:rPr>
        <w:t xml:space="preserve">’s captivating </w:t>
      </w:r>
      <w:r w:rsidR="00D04414" w:rsidRPr="00F373B7">
        <w:rPr>
          <w:sz w:val="24"/>
          <w:szCs w:val="24"/>
        </w:rPr>
        <w:t xml:space="preserve">social and legal </w:t>
      </w:r>
      <w:r w:rsidR="008B7DF2" w:rsidRPr="00F373B7">
        <w:rPr>
          <w:sz w:val="24"/>
          <w:szCs w:val="24"/>
        </w:rPr>
        <w:t>history</w:t>
      </w:r>
      <w:r w:rsidR="00F97E2F" w:rsidRPr="00F373B7">
        <w:rPr>
          <w:sz w:val="24"/>
          <w:szCs w:val="24"/>
        </w:rPr>
        <w:t xml:space="preserve"> uncovers the </w:t>
      </w:r>
      <w:r w:rsidR="00BB008F" w:rsidRPr="00F373B7">
        <w:rPr>
          <w:sz w:val="24"/>
          <w:szCs w:val="24"/>
        </w:rPr>
        <w:t>extent to</w:t>
      </w:r>
      <w:r w:rsidR="00F97E2F" w:rsidRPr="00F373B7">
        <w:rPr>
          <w:sz w:val="24"/>
          <w:szCs w:val="24"/>
        </w:rPr>
        <w:t xml:space="preserve"> which</w:t>
      </w:r>
      <w:r w:rsidR="000C4162" w:rsidRPr="00F373B7">
        <w:rPr>
          <w:sz w:val="24"/>
          <w:szCs w:val="24"/>
        </w:rPr>
        <w:t xml:space="preserve"> </w:t>
      </w:r>
      <w:r w:rsidR="00F97E2F" w:rsidRPr="00F373B7">
        <w:rPr>
          <w:sz w:val="24"/>
          <w:szCs w:val="24"/>
        </w:rPr>
        <w:t xml:space="preserve">family law has been shaped by the work of a little-known group; the Married Women’s Association. In turn, </w:t>
      </w:r>
      <w:r w:rsidR="00CA2339" w:rsidRPr="00F373B7">
        <w:rPr>
          <w:sz w:val="24"/>
          <w:szCs w:val="24"/>
        </w:rPr>
        <w:t xml:space="preserve">the reader </w:t>
      </w:r>
      <w:r w:rsidR="0012322D" w:rsidRPr="00F373B7">
        <w:rPr>
          <w:sz w:val="24"/>
          <w:szCs w:val="24"/>
        </w:rPr>
        <w:t>also learn</w:t>
      </w:r>
      <w:r w:rsidR="00CA2339" w:rsidRPr="00F373B7">
        <w:rPr>
          <w:sz w:val="24"/>
          <w:szCs w:val="24"/>
        </w:rPr>
        <w:t>s</w:t>
      </w:r>
      <w:r w:rsidR="00F97E2F" w:rsidRPr="00F373B7">
        <w:rPr>
          <w:sz w:val="24"/>
          <w:szCs w:val="24"/>
        </w:rPr>
        <w:t xml:space="preserve"> how the Association’s work and campaign strategies were shaped by the legal process</w:t>
      </w:r>
      <w:r w:rsidR="003B28A6" w:rsidRPr="00F373B7">
        <w:rPr>
          <w:sz w:val="24"/>
          <w:szCs w:val="24"/>
        </w:rPr>
        <w:t>es</w:t>
      </w:r>
      <w:r w:rsidR="00F97E2F" w:rsidRPr="00F373B7">
        <w:rPr>
          <w:sz w:val="24"/>
          <w:szCs w:val="24"/>
        </w:rPr>
        <w:t xml:space="preserve"> and </w:t>
      </w:r>
      <w:r w:rsidR="003B28A6" w:rsidRPr="00F373B7">
        <w:rPr>
          <w:sz w:val="24"/>
          <w:szCs w:val="24"/>
        </w:rPr>
        <w:t xml:space="preserve">the </w:t>
      </w:r>
      <w:r w:rsidR="00F97E2F" w:rsidRPr="00F373B7">
        <w:rPr>
          <w:sz w:val="24"/>
          <w:szCs w:val="24"/>
        </w:rPr>
        <w:t>social</w:t>
      </w:r>
      <w:r w:rsidR="003B28A6" w:rsidRPr="00F373B7">
        <w:rPr>
          <w:sz w:val="24"/>
          <w:szCs w:val="24"/>
        </w:rPr>
        <w:t xml:space="preserve"> and political</w:t>
      </w:r>
      <w:r w:rsidR="00F97E2F" w:rsidRPr="00F373B7">
        <w:rPr>
          <w:sz w:val="24"/>
          <w:szCs w:val="24"/>
        </w:rPr>
        <w:t xml:space="preserve"> contexts of the time. Established in </w:t>
      </w:r>
      <w:r w:rsidR="008B7DF2" w:rsidRPr="00F373B7">
        <w:rPr>
          <w:sz w:val="24"/>
          <w:szCs w:val="24"/>
        </w:rPr>
        <w:t>1938 by former suffragette</w:t>
      </w:r>
      <w:r w:rsidR="003B28A6" w:rsidRPr="00F373B7">
        <w:rPr>
          <w:sz w:val="24"/>
          <w:szCs w:val="24"/>
        </w:rPr>
        <w:t xml:space="preserve"> Dorothy Evans</w:t>
      </w:r>
      <w:r w:rsidR="008B7DF2" w:rsidRPr="00F373B7">
        <w:rPr>
          <w:sz w:val="24"/>
          <w:szCs w:val="24"/>
        </w:rPr>
        <w:t>, the Association ‘had one overriding ambition: equal partnership in marriage’.</w:t>
      </w:r>
      <w:r w:rsidR="00BB008F" w:rsidRPr="00F373B7">
        <w:rPr>
          <w:rStyle w:val="FootnoteReference"/>
          <w:sz w:val="24"/>
          <w:szCs w:val="24"/>
        </w:rPr>
        <w:footnoteReference w:id="2"/>
      </w:r>
      <w:r w:rsidR="00453B5A" w:rsidRPr="00F373B7">
        <w:rPr>
          <w:sz w:val="24"/>
          <w:szCs w:val="24"/>
        </w:rPr>
        <w:t xml:space="preserve"> </w:t>
      </w:r>
      <w:r w:rsidR="00CD31EA" w:rsidRPr="00F373B7">
        <w:rPr>
          <w:sz w:val="24"/>
          <w:szCs w:val="24"/>
        </w:rPr>
        <w:t>The Association drew</w:t>
      </w:r>
      <w:r w:rsidR="00453B5A" w:rsidRPr="00F373B7">
        <w:rPr>
          <w:sz w:val="24"/>
          <w:szCs w:val="24"/>
        </w:rPr>
        <w:t xml:space="preserve"> attention to the unpaid work of social reproduction</w:t>
      </w:r>
      <w:r w:rsidR="00D04414" w:rsidRPr="00F373B7">
        <w:rPr>
          <w:sz w:val="24"/>
          <w:szCs w:val="24"/>
        </w:rPr>
        <w:t>; the</w:t>
      </w:r>
      <w:r w:rsidR="00CD31EA" w:rsidRPr="00F373B7">
        <w:rPr>
          <w:sz w:val="24"/>
          <w:szCs w:val="24"/>
        </w:rPr>
        <w:t xml:space="preserve"> child care and domestic labour </w:t>
      </w:r>
      <w:r w:rsidR="0012322D" w:rsidRPr="00F373B7">
        <w:rPr>
          <w:sz w:val="24"/>
          <w:szCs w:val="24"/>
        </w:rPr>
        <w:t xml:space="preserve">being </w:t>
      </w:r>
      <w:r w:rsidR="00453B5A" w:rsidRPr="00F373B7">
        <w:rPr>
          <w:sz w:val="24"/>
          <w:szCs w:val="24"/>
        </w:rPr>
        <w:t xml:space="preserve">performed </w:t>
      </w:r>
      <w:r w:rsidR="0012322D" w:rsidRPr="00F373B7">
        <w:rPr>
          <w:sz w:val="24"/>
          <w:szCs w:val="24"/>
        </w:rPr>
        <w:t xml:space="preserve">almost exclusively </w:t>
      </w:r>
      <w:r w:rsidR="00453B5A" w:rsidRPr="00F373B7">
        <w:rPr>
          <w:sz w:val="24"/>
          <w:szCs w:val="24"/>
        </w:rPr>
        <w:t>by women</w:t>
      </w:r>
      <w:r w:rsidR="00CD31EA" w:rsidRPr="00F373B7">
        <w:rPr>
          <w:sz w:val="24"/>
          <w:szCs w:val="24"/>
        </w:rPr>
        <w:t xml:space="preserve"> at that time. They</w:t>
      </w:r>
      <w:r w:rsidR="00453B5A" w:rsidRPr="00F373B7">
        <w:rPr>
          <w:sz w:val="24"/>
          <w:szCs w:val="24"/>
        </w:rPr>
        <w:t xml:space="preserve"> called for recognition that wives were just as vital to the economic system of the country as their husbands</w:t>
      </w:r>
      <w:r w:rsidR="00CD31EA" w:rsidRPr="00F373B7">
        <w:rPr>
          <w:sz w:val="24"/>
          <w:szCs w:val="24"/>
        </w:rPr>
        <w:t xml:space="preserve"> and that if</w:t>
      </w:r>
      <w:r w:rsidR="00453B5A" w:rsidRPr="00F373B7">
        <w:rPr>
          <w:sz w:val="24"/>
          <w:szCs w:val="24"/>
        </w:rPr>
        <w:t xml:space="preserve"> marriage was to be regarded as an equal partnership, </w:t>
      </w:r>
      <w:r w:rsidR="00BB008F" w:rsidRPr="00F373B7">
        <w:rPr>
          <w:sz w:val="24"/>
          <w:szCs w:val="24"/>
        </w:rPr>
        <w:t>then it followed that the assets and capital earned during that marriage needed to be equally owned and</w:t>
      </w:r>
      <w:r w:rsidR="00CD31EA" w:rsidRPr="00F373B7">
        <w:rPr>
          <w:sz w:val="24"/>
          <w:szCs w:val="24"/>
        </w:rPr>
        <w:t>, on marriage breakdown,</w:t>
      </w:r>
      <w:r w:rsidR="00BB008F" w:rsidRPr="00F373B7">
        <w:rPr>
          <w:sz w:val="24"/>
          <w:szCs w:val="24"/>
        </w:rPr>
        <w:t xml:space="preserve"> subsequently </w:t>
      </w:r>
      <w:r w:rsidR="00CD31EA" w:rsidRPr="00F373B7">
        <w:rPr>
          <w:sz w:val="24"/>
          <w:szCs w:val="24"/>
        </w:rPr>
        <w:t>shared</w:t>
      </w:r>
      <w:r w:rsidR="00BB008F" w:rsidRPr="00F373B7">
        <w:rPr>
          <w:sz w:val="24"/>
          <w:szCs w:val="24"/>
        </w:rPr>
        <w:t xml:space="preserve">. </w:t>
      </w:r>
    </w:p>
    <w:p w14:paraId="0D0C21FF" w14:textId="20168F6D" w:rsidR="00CD31EA" w:rsidRPr="00F373B7" w:rsidRDefault="008B7DF2" w:rsidP="008B7DF2">
      <w:pPr>
        <w:rPr>
          <w:sz w:val="24"/>
          <w:szCs w:val="24"/>
        </w:rPr>
      </w:pPr>
      <w:r w:rsidRPr="00F373B7">
        <w:rPr>
          <w:sz w:val="24"/>
          <w:szCs w:val="24"/>
        </w:rPr>
        <w:t>The Association is not one that has previously garnered attention</w:t>
      </w:r>
      <w:r w:rsidR="00CD31EA" w:rsidRPr="00F373B7">
        <w:rPr>
          <w:sz w:val="24"/>
          <w:szCs w:val="24"/>
        </w:rPr>
        <w:t xml:space="preserve">. Indeed, the women’s movement of the inter and post-war periods more generally has not hitherto been a focus for historians; the common trope </w:t>
      </w:r>
      <w:r w:rsidR="00D04414" w:rsidRPr="00F373B7">
        <w:rPr>
          <w:sz w:val="24"/>
          <w:szCs w:val="24"/>
        </w:rPr>
        <w:t>is</w:t>
      </w:r>
      <w:r w:rsidR="00CD31EA" w:rsidRPr="00F373B7">
        <w:rPr>
          <w:sz w:val="24"/>
          <w:szCs w:val="24"/>
        </w:rPr>
        <w:t xml:space="preserve"> that the ‘second-wave’ of feminists </w:t>
      </w:r>
      <w:r w:rsidR="00D04414" w:rsidRPr="00F373B7">
        <w:rPr>
          <w:sz w:val="24"/>
          <w:szCs w:val="24"/>
        </w:rPr>
        <w:t>in</w:t>
      </w:r>
      <w:r w:rsidR="00CD31EA" w:rsidRPr="00F373B7">
        <w:rPr>
          <w:sz w:val="24"/>
          <w:szCs w:val="24"/>
        </w:rPr>
        <w:t xml:space="preserve"> the 1960s had to </w:t>
      </w:r>
      <w:r w:rsidR="00CD31EA" w:rsidRPr="00F373B7">
        <w:rPr>
          <w:i/>
          <w:iCs/>
          <w:sz w:val="24"/>
          <w:szCs w:val="24"/>
        </w:rPr>
        <w:t>rediscover</w:t>
      </w:r>
      <w:r w:rsidR="00CD31EA" w:rsidRPr="00F373B7">
        <w:rPr>
          <w:sz w:val="24"/>
          <w:szCs w:val="24"/>
        </w:rPr>
        <w:t xml:space="preserve"> ‘The Cause’.</w:t>
      </w:r>
      <w:r w:rsidR="00CD31EA" w:rsidRPr="00F373B7">
        <w:rPr>
          <w:rStyle w:val="FootnoteReference"/>
          <w:sz w:val="24"/>
          <w:szCs w:val="24"/>
        </w:rPr>
        <w:footnoteReference w:id="3"/>
      </w:r>
      <w:r w:rsidR="00CD31EA" w:rsidRPr="00F373B7">
        <w:rPr>
          <w:sz w:val="24"/>
          <w:szCs w:val="24"/>
        </w:rPr>
        <w:t xml:space="preserve"> Thompson’s wonderful expos</w:t>
      </w:r>
      <w:r w:rsidR="00CD31EA" w:rsidRPr="00F373B7">
        <w:rPr>
          <w:rFonts w:cstheme="minorHAnsi"/>
          <w:sz w:val="24"/>
          <w:szCs w:val="24"/>
        </w:rPr>
        <w:t>é</w:t>
      </w:r>
      <w:r w:rsidR="00CD31EA" w:rsidRPr="00F373B7">
        <w:rPr>
          <w:sz w:val="24"/>
          <w:szCs w:val="24"/>
        </w:rPr>
        <w:t xml:space="preserve"> of the Married Women’s Association is a vital part of bearing witness to women’s continued organisation and campaigning between</w:t>
      </w:r>
      <w:r w:rsidR="003B28A6" w:rsidRPr="00F373B7">
        <w:rPr>
          <w:sz w:val="24"/>
          <w:szCs w:val="24"/>
        </w:rPr>
        <w:t xml:space="preserve"> the so-called</w:t>
      </w:r>
      <w:r w:rsidR="00CD31EA" w:rsidRPr="00F373B7">
        <w:rPr>
          <w:sz w:val="24"/>
          <w:szCs w:val="24"/>
        </w:rPr>
        <w:t xml:space="preserve"> ‘waves’ and reframes the period more in terms of a continuity of endeavour. The prior oversight and narrative </w:t>
      </w:r>
      <w:r w:rsidR="0082303C" w:rsidRPr="00F373B7">
        <w:rPr>
          <w:sz w:val="24"/>
          <w:szCs w:val="24"/>
        </w:rPr>
        <w:t>were</w:t>
      </w:r>
      <w:r w:rsidR="00CD31EA" w:rsidRPr="00F373B7">
        <w:rPr>
          <w:sz w:val="24"/>
          <w:szCs w:val="24"/>
        </w:rPr>
        <w:t xml:space="preserve"> d</w:t>
      </w:r>
      <w:r w:rsidR="0012322D" w:rsidRPr="00F373B7">
        <w:rPr>
          <w:sz w:val="24"/>
          <w:szCs w:val="24"/>
        </w:rPr>
        <w:t>oubtless</w:t>
      </w:r>
      <w:r w:rsidR="00CD31EA" w:rsidRPr="00F373B7">
        <w:rPr>
          <w:sz w:val="24"/>
          <w:szCs w:val="24"/>
        </w:rPr>
        <w:t xml:space="preserve"> </w:t>
      </w:r>
      <w:r w:rsidR="00BB008F" w:rsidRPr="00F373B7">
        <w:rPr>
          <w:sz w:val="24"/>
          <w:szCs w:val="24"/>
        </w:rPr>
        <w:t xml:space="preserve">due to </w:t>
      </w:r>
      <w:r w:rsidR="00CD31EA" w:rsidRPr="00F373B7">
        <w:rPr>
          <w:sz w:val="24"/>
          <w:szCs w:val="24"/>
        </w:rPr>
        <w:t>the</w:t>
      </w:r>
      <w:r w:rsidR="00393A15" w:rsidRPr="00F373B7">
        <w:rPr>
          <w:sz w:val="24"/>
          <w:szCs w:val="24"/>
        </w:rPr>
        <w:t xml:space="preserve"> movement</w:t>
      </w:r>
      <w:r w:rsidR="0082303C" w:rsidRPr="00F373B7">
        <w:rPr>
          <w:sz w:val="24"/>
          <w:szCs w:val="24"/>
        </w:rPr>
        <w:t>’s</w:t>
      </w:r>
      <w:r w:rsidR="00CD31EA" w:rsidRPr="00F373B7">
        <w:rPr>
          <w:sz w:val="24"/>
          <w:szCs w:val="24"/>
        </w:rPr>
        <w:t xml:space="preserve"> </w:t>
      </w:r>
      <w:r w:rsidR="000C4162" w:rsidRPr="00F373B7">
        <w:rPr>
          <w:sz w:val="24"/>
          <w:szCs w:val="24"/>
        </w:rPr>
        <w:t xml:space="preserve">less than headline-grabbing </w:t>
      </w:r>
      <w:r w:rsidR="00CD31EA" w:rsidRPr="00F373B7">
        <w:rPr>
          <w:sz w:val="24"/>
          <w:szCs w:val="24"/>
        </w:rPr>
        <w:t xml:space="preserve">methods </w:t>
      </w:r>
      <w:r w:rsidR="000C4162" w:rsidRPr="00F373B7">
        <w:rPr>
          <w:sz w:val="24"/>
          <w:szCs w:val="24"/>
        </w:rPr>
        <w:t>as compared to</w:t>
      </w:r>
      <w:r w:rsidR="0082303C" w:rsidRPr="00F373B7">
        <w:rPr>
          <w:sz w:val="24"/>
          <w:szCs w:val="24"/>
        </w:rPr>
        <w:t xml:space="preserve"> their suffragette </w:t>
      </w:r>
      <w:r w:rsidR="00D04414" w:rsidRPr="00F373B7">
        <w:rPr>
          <w:sz w:val="24"/>
          <w:szCs w:val="24"/>
        </w:rPr>
        <w:t xml:space="preserve">and bra-burning </w:t>
      </w:r>
      <w:r w:rsidR="0082303C" w:rsidRPr="00F373B7">
        <w:rPr>
          <w:sz w:val="24"/>
          <w:szCs w:val="24"/>
        </w:rPr>
        <w:t>sisters</w:t>
      </w:r>
      <w:r w:rsidR="00CD31EA" w:rsidRPr="00F373B7">
        <w:rPr>
          <w:sz w:val="24"/>
          <w:szCs w:val="24"/>
        </w:rPr>
        <w:t>. Thompson’s meticulous and riveting examination of the</w:t>
      </w:r>
      <w:r w:rsidR="0082303C" w:rsidRPr="00F373B7">
        <w:rPr>
          <w:sz w:val="24"/>
          <w:szCs w:val="24"/>
        </w:rPr>
        <w:t xml:space="preserve"> Association’s</w:t>
      </w:r>
      <w:r w:rsidR="00CD31EA" w:rsidRPr="00F373B7">
        <w:rPr>
          <w:sz w:val="24"/>
          <w:szCs w:val="24"/>
        </w:rPr>
        <w:t xml:space="preserve"> </w:t>
      </w:r>
      <w:r w:rsidR="00206A58" w:rsidRPr="00F373B7">
        <w:rPr>
          <w:sz w:val="24"/>
          <w:szCs w:val="24"/>
        </w:rPr>
        <w:t xml:space="preserve">steadfast </w:t>
      </w:r>
      <w:r w:rsidR="00CD31EA" w:rsidRPr="00F373B7">
        <w:rPr>
          <w:sz w:val="24"/>
          <w:szCs w:val="24"/>
        </w:rPr>
        <w:t xml:space="preserve">work is a truly welcome intervention. </w:t>
      </w:r>
    </w:p>
    <w:p w14:paraId="0430CA03" w14:textId="37A05C7A" w:rsidR="00C5431F" w:rsidRPr="00F373B7" w:rsidRDefault="00CD31EA" w:rsidP="008B7DF2">
      <w:pPr>
        <w:rPr>
          <w:sz w:val="24"/>
          <w:szCs w:val="24"/>
        </w:rPr>
      </w:pPr>
      <w:r w:rsidRPr="00F373B7">
        <w:rPr>
          <w:sz w:val="24"/>
          <w:szCs w:val="24"/>
        </w:rPr>
        <w:t>The book celebrates the</w:t>
      </w:r>
      <w:r w:rsidR="00AE3A60" w:rsidRPr="00F373B7">
        <w:rPr>
          <w:sz w:val="24"/>
          <w:szCs w:val="24"/>
        </w:rPr>
        <w:t xml:space="preserve"> Association’s</w:t>
      </w:r>
      <w:r w:rsidRPr="00F373B7">
        <w:rPr>
          <w:sz w:val="24"/>
          <w:szCs w:val="24"/>
        </w:rPr>
        <w:t xml:space="preserve"> </w:t>
      </w:r>
      <w:r w:rsidR="0028102D" w:rsidRPr="00F373B7">
        <w:rPr>
          <w:sz w:val="24"/>
          <w:szCs w:val="24"/>
        </w:rPr>
        <w:t>considered and tactical</w:t>
      </w:r>
      <w:r w:rsidR="00BB008F" w:rsidRPr="00F373B7">
        <w:rPr>
          <w:sz w:val="24"/>
          <w:szCs w:val="24"/>
        </w:rPr>
        <w:t xml:space="preserve"> strategies </w:t>
      </w:r>
      <w:r w:rsidR="00AE3A60" w:rsidRPr="00F373B7">
        <w:rPr>
          <w:sz w:val="24"/>
          <w:szCs w:val="24"/>
        </w:rPr>
        <w:t xml:space="preserve">to effect family law reform </w:t>
      </w:r>
      <w:r w:rsidRPr="00F373B7">
        <w:rPr>
          <w:sz w:val="24"/>
          <w:szCs w:val="24"/>
        </w:rPr>
        <w:t xml:space="preserve">whilst </w:t>
      </w:r>
      <w:r w:rsidR="0082303C" w:rsidRPr="00F373B7">
        <w:rPr>
          <w:sz w:val="24"/>
          <w:szCs w:val="24"/>
        </w:rPr>
        <w:t xml:space="preserve">being </w:t>
      </w:r>
      <w:r w:rsidRPr="00F373B7">
        <w:rPr>
          <w:sz w:val="24"/>
          <w:szCs w:val="24"/>
        </w:rPr>
        <w:t xml:space="preserve">clear that </w:t>
      </w:r>
      <w:r w:rsidR="0082303C" w:rsidRPr="00F373B7">
        <w:rPr>
          <w:sz w:val="24"/>
          <w:szCs w:val="24"/>
        </w:rPr>
        <w:t xml:space="preserve">their </w:t>
      </w:r>
      <w:r w:rsidR="00AE3A60" w:rsidRPr="00F373B7">
        <w:rPr>
          <w:sz w:val="24"/>
          <w:szCs w:val="24"/>
        </w:rPr>
        <w:t>sometimes</w:t>
      </w:r>
      <w:r w:rsidRPr="00F373B7">
        <w:rPr>
          <w:sz w:val="24"/>
          <w:szCs w:val="24"/>
        </w:rPr>
        <w:t xml:space="preserve"> </w:t>
      </w:r>
      <w:r w:rsidR="0082303C" w:rsidRPr="00F373B7">
        <w:rPr>
          <w:sz w:val="24"/>
          <w:szCs w:val="24"/>
        </w:rPr>
        <w:t xml:space="preserve">behind-the-scenes </w:t>
      </w:r>
      <w:r w:rsidRPr="00F373B7">
        <w:rPr>
          <w:sz w:val="24"/>
          <w:szCs w:val="24"/>
        </w:rPr>
        <w:t>method</w:t>
      </w:r>
      <w:r w:rsidR="0082303C" w:rsidRPr="00F373B7">
        <w:rPr>
          <w:sz w:val="24"/>
          <w:szCs w:val="24"/>
        </w:rPr>
        <w:t>ology d</w:t>
      </w:r>
      <w:r w:rsidR="005C038E" w:rsidRPr="00F373B7">
        <w:rPr>
          <w:sz w:val="24"/>
          <w:szCs w:val="24"/>
        </w:rPr>
        <w:t>id</w:t>
      </w:r>
      <w:r w:rsidR="0082303C" w:rsidRPr="00F373B7">
        <w:rPr>
          <w:sz w:val="24"/>
          <w:szCs w:val="24"/>
        </w:rPr>
        <w:t xml:space="preserve"> not</w:t>
      </w:r>
      <w:r w:rsidRPr="00F373B7">
        <w:rPr>
          <w:sz w:val="24"/>
          <w:szCs w:val="24"/>
        </w:rPr>
        <w:t xml:space="preserve"> reflect a</w:t>
      </w:r>
      <w:r w:rsidR="005C038E" w:rsidRPr="00F373B7">
        <w:rPr>
          <w:sz w:val="24"/>
          <w:szCs w:val="24"/>
        </w:rPr>
        <w:t>ny</w:t>
      </w:r>
      <w:r w:rsidRPr="00F373B7">
        <w:rPr>
          <w:sz w:val="24"/>
          <w:szCs w:val="24"/>
        </w:rPr>
        <w:t xml:space="preserve"> diminished sense of </w:t>
      </w:r>
      <w:r w:rsidR="0082303C" w:rsidRPr="00F373B7">
        <w:rPr>
          <w:sz w:val="24"/>
          <w:szCs w:val="24"/>
        </w:rPr>
        <w:t xml:space="preserve">urgency </w:t>
      </w:r>
      <w:r w:rsidR="00AE3A60" w:rsidRPr="00F373B7">
        <w:rPr>
          <w:sz w:val="24"/>
          <w:szCs w:val="24"/>
        </w:rPr>
        <w:t>for The Cause</w:t>
      </w:r>
      <w:r w:rsidR="005C038E" w:rsidRPr="00F373B7">
        <w:rPr>
          <w:sz w:val="24"/>
          <w:szCs w:val="24"/>
        </w:rPr>
        <w:t>.</w:t>
      </w:r>
      <w:r w:rsidR="00BB008F" w:rsidRPr="00F373B7">
        <w:rPr>
          <w:sz w:val="24"/>
          <w:szCs w:val="24"/>
        </w:rPr>
        <w:t xml:space="preserve"> </w:t>
      </w:r>
      <w:r w:rsidRPr="00F373B7">
        <w:rPr>
          <w:sz w:val="24"/>
          <w:szCs w:val="24"/>
        </w:rPr>
        <w:t xml:space="preserve">The Association </w:t>
      </w:r>
      <w:r w:rsidR="0012322D" w:rsidRPr="00F373B7">
        <w:rPr>
          <w:sz w:val="24"/>
          <w:szCs w:val="24"/>
        </w:rPr>
        <w:t xml:space="preserve">worked </w:t>
      </w:r>
      <w:r w:rsidR="00AE3A60" w:rsidRPr="00F373B7">
        <w:rPr>
          <w:i/>
          <w:iCs/>
          <w:sz w:val="24"/>
          <w:szCs w:val="24"/>
        </w:rPr>
        <w:t>with</w:t>
      </w:r>
      <w:r w:rsidR="00921401" w:rsidRPr="00F373B7">
        <w:rPr>
          <w:i/>
          <w:iCs/>
          <w:sz w:val="24"/>
          <w:szCs w:val="24"/>
        </w:rPr>
        <w:t>in</w:t>
      </w:r>
      <w:r w:rsidR="00AE3A60" w:rsidRPr="00F373B7">
        <w:rPr>
          <w:sz w:val="24"/>
          <w:szCs w:val="24"/>
        </w:rPr>
        <w:t xml:space="preserve"> established institutional parameters to nudge the law in their preferred direction; </w:t>
      </w:r>
      <w:r w:rsidR="00921401" w:rsidRPr="00F373B7">
        <w:rPr>
          <w:sz w:val="24"/>
          <w:szCs w:val="24"/>
        </w:rPr>
        <w:t>funding</w:t>
      </w:r>
      <w:r w:rsidR="00AE3A60" w:rsidRPr="00F373B7">
        <w:rPr>
          <w:sz w:val="24"/>
          <w:szCs w:val="24"/>
        </w:rPr>
        <w:t xml:space="preserve"> a </w:t>
      </w:r>
      <w:r w:rsidR="00921401" w:rsidRPr="00F373B7">
        <w:rPr>
          <w:sz w:val="24"/>
          <w:szCs w:val="24"/>
        </w:rPr>
        <w:t>watch</w:t>
      </w:r>
      <w:r w:rsidR="00AE3A60" w:rsidRPr="00F373B7">
        <w:rPr>
          <w:sz w:val="24"/>
          <w:szCs w:val="24"/>
        </w:rPr>
        <w:t xml:space="preserve">ing brief </w:t>
      </w:r>
      <w:r w:rsidR="00921401" w:rsidRPr="00F373B7">
        <w:rPr>
          <w:sz w:val="24"/>
          <w:szCs w:val="24"/>
        </w:rPr>
        <w:t xml:space="preserve">and appeal </w:t>
      </w:r>
      <w:r w:rsidR="00AE3A60" w:rsidRPr="00F373B7">
        <w:rPr>
          <w:sz w:val="24"/>
          <w:szCs w:val="24"/>
        </w:rPr>
        <w:t xml:space="preserve">in the case of </w:t>
      </w:r>
      <w:r w:rsidR="00AE3A60" w:rsidRPr="00F373B7">
        <w:rPr>
          <w:i/>
          <w:iCs/>
          <w:sz w:val="24"/>
          <w:szCs w:val="24"/>
        </w:rPr>
        <w:t>Blackwell v Blackwell</w:t>
      </w:r>
      <w:r w:rsidR="00B65E10">
        <w:rPr>
          <w:sz w:val="24"/>
          <w:szCs w:val="24"/>
        </w:rPr>
        <w:t>;</w:t>
      </w:r>
      <w:r w:rsidR="00921401" w:rsidRPr="00F373B7">
        <w:rPr>
          <w:rStyle w:val="FootnoteReference"/>
          <w:sz w:val="24"/>
          <w:szCs w:val="24"/>
        </w:rPr>
        <w:footnoteReference w:id="4"/>
      </w:r>
      <w:r w:rsidR="00AE3A60" w:rsidRPr="00F373B7">
        <w:rPr>
          <w:sz w:val="24"/>
          <w:szCs w:val="24"/>
        </w:rPr>
        <w:t xml:space="preserve"> </w:t>
      </w:r>
      <w:r w:rsidR="00AC4155" w:rsidRPr="00F373B7">
        <w:rPr>
          <w:sz w:val="24"/>
          <w:szCs w:val="24"/>
        </w:rPr>
        <w:t xml:space="preserve">drafting the (never passed) Equal Partnership Bill; resisting the Divorce Reform Act 1969 as it passed through Parliament; entering public debate concerning maintenance </w:t>
      </w:r>
      <w:r w:rsidR="000C4162" w:rsidRPr="00F373B7">
        <w:rPr>
          <w:sz w:val="24"/>
          <w:szCs w:val="24"/>
        </w:rPr>
        <w:t>(</w:t>
      </w:r>
      <w:r w:rsidR="00AC4155" w:rsidRPr="00F373B7">
        <w:rPr>
          <w:sz w:val="24"/>
          <w:szCs w:val="24"/>
        </w:rPr>
        <w:t>or ‘wages for wives’</w:t>
      </w:r>
      <w:r w:rsidR="0069738B" w:rsidRPr="00F373B7">
        <w:rPr>
          <w:rStyle w:val="FootnoteReference"/>
          <w:sz w:val="24"/>
          <w:szCs w:val="24"/>
        </w:rPr>
        <w:footnoteReference w:id="5"/>
      </w:r>
      <w:r w:rsidR="000C4162" w:rsidRPr="00F373B7">
        <w:rPr>
          <w:sz w:val="24"/>
          <w:szCs w:val="24"/>
        </w:rPr>
        <w:t>)</w:t>
      </w:r>
      <w:r w:rsidR="007E1665" w:rsidRPr="00F373B7">
        <w:rPr>
          <w:sz w:val="24"/>
          <w:szCs w:val="24"/>
        </w:rPr>
        <w:t xml:space="preserve">; </w:t>
      </w:r>
      <w:r w:rsidR="00AC4155" w:rsidRPr="00F373B7">
        <w:rPr>
          <w:sz w:val="24"/>
          <w:szCs w:val="24"/>
        </w:rPr>
        <w:t>and repeating ‘unpalatable truths’</w:t>
      </w:r>
      <w:r w:rsidR="0069738B" w:rsidRPr="00F373B7">
        <w:rPr>
          <w:rStyle w:val="FootnoteReference"/>
          <w:sz w:val="24"/>
          <w:szCs w:val="24"/>
        </w:rPr>
        <w:footnoteReference w:id="6"/>
      </w:r>
      <w:r w:rsidR="00AC4155" w:rsidRPr="00F373B7">
        <w:rPr>
          <w:sz w:val="24"/>
          <w:szCs w:val="24"/>
        </w:rPr>
        <w:t xml:space="preserve"> to policymakers, Attorneys General and Lord Chancellors</w:t>
      </w:r>
      <w:r w:rsidR="00E532A1" w:rsidRPr="00F373B7">
        <w:rPr>
          <w:sz w:val="24"/>
          <w:szCs w:val="24"/>
        </w:rPr>
        <w:t>. These</w:t>
      </w:r>
      <w:r w:rsidR="00BB008F" w:rsidRPr="00F373B7">
        <w:rPr>
          <w:sz w:val="24"/>
          <w:szCs w:val="24"/>
        </w:rPr>
        <w:t xml:space="preserve"> </w:t>
      </w:r>
      <w:r w:rsidR="0012322D" w:rsidRPr="00F373B7">
        <w:rPr>
          <w:sz w:val="24"/>
          <w:szCs w:val="24"/>
        </w:rPr>
        <w:t>c</w:t>
      </w:r>
      <w:r w:rsidR="00393A15" w:rsidRPr="00F373B7">
        <w:rPr>
          <w:sz w:val="24"/>
          <w:szCs w:val="24"/>
        </w:rPr>
        <w:t>hosen</w:t>
      </w:r>
      <w:r w:rsidR="0012322D" w:rsidRPr="00F373B7">
        <w:rPr>
          <w:sz w:val="24"/>
          <w:szCs w:val="24"/>
        </w:rPr>
        <w:t xml:space="preserve"> </w:t>
      </w:r>
      <w:r w:rsidR="0028102D" w:rsidRPr="00F373B7">
        <w:rPr>
          <w:sz w:val="24"/>
          <w:szCs w:val="24"/>
        </w:rPr>
        <w:t>methodolog</w:t>
      </w:r>
      <w:r w:rsidR="00E532A1" w:rsidRPr="00F373B7">
        <w:rPr>
          <w:sz w:val="24"/>
          <w:szCs w:val="24"/>
        </w:rPr>
        <w:t>ies were</w:t>
      </w:r>
      <w:r w:rsidR="00FB1B41" w:rsidRPr="00F373B7">
        <w:rPr>
          <w:sz w:val="24"/>
          <w:szCs w:val="24"/>
        </w:rPr>
        <w:t xml:space="preserve"> born of pragmatism</w:t>
      </w:r>
      <w:r w:rsidR="00CA2339" w:rsidRPr="00F373B7">
        <w:rPr>
          <w:sz w:val="24"/>
          <w:szCs w:val="24"/>
        </w:rPr>
        <w:t>;</w:t>
      </w:r>
      <w:r w:rsidR="00E532A1" w:rsidRPr="00F373B7">
        <w:rPr>
          <w:sz w:val="24"/>
          <w:szCs w:val="24"/>
        </w:rPr>
        <w:t xml:space="preserve"> inching one’s way to equality was </w:t>
      </w:r>
      <w:r w:rsidR="00E532A1" w:rsidRPr="00F373B7">
        <w:rPr>
          <w:sz w:val="24"/>
          <w:szCs w:val="24"/>
        </w:rPr>
        <w:lastRenderedPageBreak/>
        <w:t xml:space="preserve">preferable to </w:t>
      </w:r>
      <w:r w:rsidR="007E1665" w:rsidRPr="00F373B7">
        <w:rPr>
          <w:sz w:val="24"/>
          <w:szCs w:val="24"/>
        </w:rPr>
        <w:t>outright rejection of a</w:t>
      </w:r>
      <w:r w:rsidR="00A34621" w:rsidRPr="00F373B7">
        <w:rPr>
          <w:sz w:val="24"/>
          <w:szCs w:val="24"/>
        </w:rPr>
        <w:t>ny</w:t>
      </w:r>
      <w:r w:rsidR="007E1665" w:rsidRPr="00F373B7">
        <w:rPr>
          <w:sz w:val="24"/>
          <w:szCs w:val="24"/>
        </w:rPr>
        <w:t xml:space="preserve"> proposed</w:t>
      </w:r>
      <w:r w:rsidR="00E532A1" w:rsidRPr="00F373B7">
        <w:rPr>
          <w:sz w:val="24"/>
          <w:szCs w:val="24"/>
        </w:rPr>
        <w:t xml:space="preserve"> radical overhaul (though Thompson suggests that the Equal Partnership in Marriage Bill may have failed precisely because it </w:t>
      </w:r>
      <w:r w:rsidR="00E532A1" w:rsidRPr="00F373B7">
        <w:rPr>
          <w:i/>
          <w:iCs/>
          <w:sz w:val="24"/>
          <w:szCs w:val="24"/>
        </w:rPr>
        <w:t>was</w:t>
      </w:r>
      <w:r w:rsidR="00E532A1" w:rsidRPr="00F373B7">
        <w:rPr>
          <w:sz w:val="24"/>
          <w:szCs w:val="24"/>
        </w:rPr>
        <w:t xml:space="preserve"> too radical</w:t>
      </w:r>
      <w:r w:rsidR="00A34621" w:rsidRPr="00F373B7">
        <w:rPr>
          <w:sz w:val="24"/>
          <w:szCs w:val="24"/>
        </w:rPr>
        <w:t xml:space="preserve"> at the time</w:t>
      </w:r>
      <w:r w:rsidR="00E532A1" w:rsidRPr="00F373B7">
        <w:rPr>
          <w:sz w:val="24"/>
          <w:szCs w:val="24"/>
        </w:rPr>
        <w:t xml:space="preserve">). </w:t>
      </w:r>
    </w:p>
    <w:p w14:paraId="0148606D" w14:textId="2E36B270" w:rsidR="008B7DF2" w:rsidRPr="00F373B7" w:rsidRDefault="006833E4" w:rsidP="008B7DF2">
      <w:pPr>
        <w:rPr>
          <w:sz w:val="24"/>
          <w:szCs w:val="24"/>
        </w:rPr>
      </w:pPr>
      <w:r w:rsidRPr="00F373B7">
        <w:rPr>
          <w:sz w:val="24"/>
          <w:szCs w:val="24"/>
        </w:rPr>
        <w:t>Nor should t</w:t>
      </w:r>
      <w:r w:rsidR="00E532A1" w:rsidRPr="00F373B7">
        <w:rPr>
          <w:sz w:val="24"/>
          <w:szCs w:val="24"/>
        </w:rPr>
        <w:t>he</w:t>
      </w:r>
      <w:r w:rsidR="00C5431F" w:rsidRPr="00F373B7">
        <w:rPr>
          <w:sz w:val="24"/>
          <w:szCs w:val="24"/>
        </w:rPr>
        <w:t>ir</w:t>
      </w:r>
      <w:r w:rsidR="00E532A1" w:rsidRPr="00F373B7">
        <w:rPr>
          <w:sz w:val="24"/>
          <w:szCs w:val="24"/>
        </w:rPr>
        <w:t xml:space="preserve"> </w:t>
      </w:r>
      <w:r w:rsidR="00A34621" w:rsidRPr="00F373B7">
        <w:rPr>
          <w:sz w:val="24"/>
          <w:szCs w:val="24"/>
        </w:rPr>
        <w:t xml:space="preserve">more </w:t>
      </w:r>
      <w:r w:rsidR="00E532A1" w:rsidRPr="00F373B7">
        <w:rPr>
          <w:sz w:val="24"/>
          <w:szCs w:val="24"/>
        </w:rPr>
        <w:t>discreet methods</w:t>
      </w:r>
      <w:r w:rsidR="00C5431F" w:rsidRPr="00F373B7">
        <w:rPr>
          <w:sz w:val="24"/>
          <w:szCs w:val="24"/>
        </w:rPr>
        <w:t xml:space="preserve"> mean that we </w:t>
      </w:r>
      <w:r w:rsidR="0028102D" w:rsidRPr="00F373B7">
        <w:rPr>
          <w:sz w:val="24"/>
          <w:szCs w:val="24"/>
        </w:rPr>
        <w:t xml:space="preserve">underestimate what </w:t>
      </w:r>
      <w:r w:rsidR="00CD31EA" w:rsidRPr="00F373B7">
        <w:rPr>
          <w:sz w:val="24"/>
          <w:szCs w:val="24"/>
        </w:rPr>
        <w:t>the</w:t>
      </w:r>
      <w:r w:rsidR="00E532A1" w:rsidRPr="00F373B7">
        <w:rPr>
          <w:sz w:val="24"/>
          <w:szCs w:val="24"/>
        </w:rPr>
        <w:t xml:space="preserve"> Association’s </w:t>
      </w:r>
      <w:r w:rsidR="00CD31EA" w:rsidRPr="00F373B7">
        <w:rPr>
          <w:sz w:val="24"/>
          <w:szCs w:val="24"/>
        </w:rPr>
        <w:t>work</w:t>
      </w:r>
      <w:r w:rsidR="0028102D" w:rsidRPr="00F373B7">
        <w:rPr>
          <w:sz w:val="24"/>
          <w:szCs w:val="24"/>
        </w:rPr>
        <w:t xml:space="preserve"> can teach us about </w:t>
      </w:r>
      <w:r w:rsidR="00A34621" w:rsidRPr="00F373B7">
        <w:rPr>
          <w:sz w:val="24"/>
          <w:szCs w:val="24"/>
        </w:rPr>
        <w:t>feminist</w:t>
      </w:r>
      <w:r w:rsidR="0028102D" w:rsidRPr="00F373B7">
        <w:rPr>
          <w:sz w:val="24"/>
          <w:szCs w:val="24"/>
        </w:rPr>
        <w:t xml:space="preserve"> activism</w:t>
      </w:r>
      <w:r w:rsidR="00DF09B6" w:rsidRPr="00F373B7">
        <w:rPr>
          <w:sz w:val="24"/>
          <w:szCs w:val="24"/>
        </w:rPr>
        <w:t xml:space="preserve">. </w:t>
      </w:r>
      <w:r w:rsidR="00E532A1" w:rsidRPr="00F373B7">
        <w:rPr>
          <w:sz w:val="24"/>
          <w:szCs w:val="24"/>
        </w:rPr>
        <w:t xml:space="preserve">Too often, simply because there was no visible ‘bullseye’ or pivotal </w:t>
      </w:r>
      <w:r w:rsidR="00A34621" w:rsidRPr="00F373B7">
        <w:rPr>
          <w:sz w:val="24"/>
          <w:szCs w:val="24"/>
        </w:rPr>
        <w:t>moment</w:t>
      </w:r>
      <w:r w:rsidR="00E532A1" w:rsidRPr="00F373B7">
        <w:rPr>
          <w:sz w:val="24"/>
          <w:szCs w:val="24"/>
        </w:rPr>
        <w:t xml:space="preserve">, the gains made for women’s </w:t>
      </w:r>
      <w:r w:rsidR="007E1665" w:rsidRPr="00F373B7">
        <w:rPr>
          <w:sz w:val="24"/>
          <w:szCs w:val="24"/>
        </w:rPr>
        <w:t>e</w:t>
      </w:r>
      <w:r w:rsidR="00E532A1" w:rsidRPr="00F373B7">
        <w:rPr>
          <w:sz w:val="24"/>
          <w:szCs w:val="24"/>
        </w:rPr>
        <w:t>quality in marriage</w:t>
      </w:r>
      <w:r w:rsidR="007E1665" w:rsidRPr="00F373B7">
        <w:rPr>
          <w:sz w:val="24"/>
          <w:szCs w:val="24"/>
        </w:rPr>
        <w:t xml:space="preserve"> during this period are</w:t>
      </w:r>
      <w:r w:rsidR="00E532A1" w:rsidRPr="00F373B7">
        <w:rPr>
          <w:sz w:val="24"/>
          <w:szCs w:val="24"/>
        </w:rPr>
        <w:t xml:space="preserve"> erroneously attributed to the ‘inevitability of progress’.</w:t>
      </w:r>
      <w:r w:rsidR="00C5431F" w:rsidRPr="00F373B7">
        <w:rPr>
          <w:rStyle w:val="FootnoteReference"/>
          <w:sz w:val="24"/>
          <w:szCs w:val="24"/>
        </w:rPr>
        <w:footnoteReference w:id="7"/>
      </w:r>
      <w:r w:rsidR="00E532A1" w:rsidRPr="00F373B7">
        <w:rPr>
          <w:sz w:val="24"/>
          <w:szCs w:val="24"/>
        </w:rPr>
        <w:t xml:space="preserve"> </w:t>
      </w:r>
      <w:r w:rsidR="007E1665" w:rsidRPr="00F373B7">
        <w:rPr>
          <w:sz w:val="24"/>
          <w:szCs w:val="24"/>
        </w:rPr>
        <w:t xml:space="preserve">This book spotlights the part played by this feminist group in advancing </w:t>
      </w:r>
      <w:r w:rsidR="00CA2339" w:rsidRPr="00F373B7">
        <w:rPr>
          <w:sz w:val="24"/>
          <w:szCs w:val="24"/>
        </w:rPr>
        <w:t xml:space="preserve">and mainstreaming </w:t>
      </w:r>
      <w:r w:rsidR="007E1665" w:rsidRPr="00F373B7">
        <w:rPr>
          <w:sz w:val="24"/>
          <w:szCs w:val="24"/>
        </w:rPr>
        <w:t>feminist reasoning</w:t>
      </w:r>
      <w:r w:rsidR="00A34621" w:rsidRPr="00F373B7">
        <w:rPr>
          <w:sz w:val="24"/>
          <w:szCs w:val="24"/>
        </w:rPr>
        <w:t xml:space="preserve"> in ways that may be immeasurable</w:t>
      </w:r>
      <w:r w:rsidR="007E1665" w:rsidRPr="00F373B7">
        <w:rPr>
          <w:sz w:val="24"/>
          <w:szCs w:val="24"/>
        </w:rPr>
        <w:t xml:space="preserve">. </w:t>
      </w:r>
      <w:r w:rsidR="0012322D" w:rsidRPr="00F373B7">
        <w:rPr>
          <w:sz w:val="24"/>
          <w:szCs w:val="24"/>
        </w:rPr>
        <w:t>For th</w:t>
      </w:r>
      <w:r w:rsidR="00663AE2" w:rsidRPr="00F373B7">
        <w:rPr>
          <w:sz w:val="24"/>
          <w:szCs w:val="24"/>
        </w:rPr>
        <w:t>is</w:t>
      </w:r>
      <w:r w:rsidR="0012322D" w:rsidRPr="00F373B7">
        <w:rPr>
          <w:sz w:val="24"/>
          <w:szCs w:val="24"/>
        </w:rPr>
        <w:t xml:space="preserve"> group of intelligent</w:t>
      </w:r>
      <w:r w:rsidR="005C038E" w:rsidRPr="00F373B7">
        <w:rPr>
          <w:sz w:val="24"/>
          <w:szCs w:val="24"/>
        </w:rPr>
        <w:t>, able and articulate</w:t>
      </w:r>
      <w:r w:rsidR="0012322D" w:rsidRPr="00F373B7">
        <w:rPr>
          <w:sz w:val="24"/>
          <w:szCs w:val="24"/>
        </w:rPr>
        <w:t xml:space="preserve"> </w:t>
      </w:r>
      <w:r w:rsidR="005C038E" w:rsidRPr="00F373B7">
        <w:rPr>
          <w:sz w:val="24"/>
          <w:szCs w:val="24"/>
        </w:rPr>
        <w:t xml:space="preserve">(predominantly) </w:t>
      </w:r>
      <w:r w:rsidR="0012322D" w:rsidRPr="00F373B7">
        <w:rPr>
          <w:sz w:val="24"/>
          <w:szCs w:val="24"/>
        </w:rPr>
        <w:t xml:space="preserve">women, </w:t>
      </w:r>
      <w:r w:rsidR="0012322D" w:rsidRPr="00F373B7">
        <w:rPr>
          <w:i/>
          <w:iCs/>
          <w:sz w:val="24"/>
          <w:szCs w:val="24"/>
        </w:rPr>
        <w:t>quiet</w:t>
      </w:r>
      <w:r w:rsidR="0012322D" w:rsidRPr="00F373B7">
        <w:rPr>
          <w:sz w:val="24"/>
          <w:szCs w:val="24"/>
        </w:rPr>
        <w:t xml:space="preserve"> revolution was th</w:t>
      </w:r>
      <w:r w:rsidR="00453B5A" w:rsidRPr="00F373B7">
        <w:rPr>
          <w:sz w:val="24"/>
          <w:szCs w:val="24"/>
        </w:rPr>
        <w:t xml:space="preserve">e </w:t>
      </w:r>
      <w:r w:rsidR="00663AE2" w:rsidRPr="00F373B7">
        <w:rPr>
          <w:sz w:val="24"/>
          <w:szCs w:val="24"/>
        </w:rPr>
        <w:t>most</w:t>
      </w:r>
      <w:r w:rsidR="0012322D" w:rsidRPr="00F373B7">
        <w:rPr>
          <w:sz w:val="24"/>
          <w:szCs w:val="24"/>
        </w:rPr>
        <w:t xml:space="preserve"> viable way they could </w:t>
      </w:r>
      <w:r w:rsidR="00CD31EA" w:rsidRPr="00F373B7">
        <w:rPr>
          <w:sz w:val="24"/>
          <w:szCs w:val="24"/>
        </w:rPr>
        <w:t>envisage</w:t>
      </w:r>
      <w:r w:rsidR="0012322D" w:rsidRPr="00F373B7">
        <w:rPr>
          <w:sz w:val="24"/>
          <w:szCs w:val="24"/>
        </w:rPr>
        <w:t xml:space="preserve"> dismantl</w:t>
      </w:r>
      <w:r w:rsidR="00CD31EA" w:rsidRPr="00F373B7">
        <w:rPr>
          <w:sz w:val="24"/>
          <w:szCs w:val="24"/>
        </w:rPr>
        <w:t>ing</w:t>
      </w:r>
      <w:r w:rsidR="0012322D" w:rsidRPr="00F373B7">
        <w:rPr>
          <w:sz w:val="24"/>
          <w:szCs w:val="24"/>
        </w:rPr>
        <w:t xml:space="preserve"> the patriarchal inheritance embedded within the law and its institutions</w:t>
      </w:r>
      <w:r w:rsidR="00D06C4B" w:rsidRPr="00F373B7">
        <w:rPr>
          <w:sz w:val="24"/>
          <w:szCs w:val="24"/>
        </w:rPr>
        <w:t xml:space="preserve"> and to effect the revolutionary </w:t>
      </w:r>
      <w:r w:rsidR="00CD31EA" w:rsidRPr="00F373B7">
        <w:rPr>
          <w:sz w:val="24"/>
          <w:szCs w:val="24"/>
        </w:rPr>
        <w:t xml:space="preserve">and wholesale </w:t>
      </w:r>
      <w:r w:rsidR="00D06C4B" w:rsidRPr="00F373B7">
        <w:rPr>
          <w:sz w:val="24"/>
          <w:szCs w:val="24"/>
        </w:rPr>
        <w:t>changes they desperately sought</w:t>
      </w:r>
      <w:r w:rsidR="0012322D" w:rsidRPr="00F373B7">
        <w:rPr>
          <w:sz w:val="24"/>
          <w:szCs w:val="24"/>
        </w:rPr>
        <w:t>.</w:t>
      </w:r>
    </w:p>
    <w:p w14:paraId="3C5B27DD" w14:textId="2D1B1245" w:rsidR="008B7DF2" w:rsidRPr="00F373B7" w:rsidRDefault="008B7DF2" w:rsidP="008B7DF2">
      <w:pPr>
        <w:rPr>
          <w:sz w:val="24"/>
          <w:szCs w:val="24"/>
        </w:rPr>
      </w:pPr>
      <w:r w:rsidRPr="00F373B7">
        <w:rPr>
          <w:sz w:val="24"/>
          <w:szCs w:val="24"/>
        </w:rPr>
        <w:t xml:space="preserve">Thompson’s </w:t>
      </w:r>
      <w:r w:rsidR="00CD31EA" w:rsidRPr="00F373B7">
        <w:rPr>
          <w:sz w:val="24"/>
          <w:szCs w:val="24"/>
        </w:rPr>
        <w:t>project</w:t>
      </w:r>
      <w:r w:rsidRPr="00F373B7">
        <w:rPr>
          <w:sz w:val="24"/>
          <w:szCs w:val="24"/>
        </w:rPr>
        <w:t xml:space="preserve"> </w:t>
      </w:r>
      <w:r w:rsidR="001B5815" w:rsidRPr="00F373B7">
        <w:rPr>
          <w:sz w:val="24"/>
          <w:szCs w:val="24"/>
        </w:rPr>
        <w:t>utilises archival material</w:t>
      </w:r>
      <w:r w:rsidRPr="00F373B7">
        <w:rPr>
          <w:sz w:val="24"/>
          <w:szCs w:val="24"/>
        </w:rPr>
        <w:t xml:space="preserve"> </w:t>
      </w:r>
      <w:r w:rsidR="00D06C4B" w:rsidRPr="00F373B7">
        <w:rPr>
          <w:sz w:val="24"/>
          <w:szCs w:val="24"/>
        </w:rPr>
        <w:t xml:space="preserve">largely </w:t>
      </w:r>
      <w:r w:rsidRPr="00F373B7">
        <w:rPr>
          <w:sz w:val="24"/>
          <w:szCs w:val="24"/>
        </w:rPr>
        <w:t>housed at the Women’s Library at the London School of Economics</w:t>
      </w:r>
      <w:r w:rsidR="00663AE2" w:rsidRPr="00F373B7">
        <w:rPr>
          <w:sz w:val="24"/>
          <w:szCs w:val="24"/>
        </w:rPr>
        <w:t>;</w:t>
      </w:r>
      <w:r w:rsidRPr="00F373B7">
        <w:rPr>
          <w:sz w:val="24"/>
          <w:szCs w:val="24"/>
        </w:rPr>
        <w:t xml:space="preserve"> </w:t>
      </w:r>
      <w:r w:rsidR="00663AE2" w:rsidRPr="00F373B7">
        <w:rPr>
          <w:sz w:val="24"/>
          <w:szCs w:val="24"/>
        </w:rPr>
        <w:t xml:space="preserve">she references written </w:t>
      </w:r>
      <w:r w:rsidRPr="00F373B7">
        <w:rPr>
          <w:sz w:val="24"/>
          <w:szCs w:val="24"/>
        </w:rPr>
        <w:t>correspondence</w:t>
      </w:r>
      <w:r w:rsidR="00663AE2" w:rsidRPr="00F373B7">
        <w:rPr>
          <w:sz w:val="24"/>
          <w:szCs w:val="24"/>
        </w:rPr>
        <w:t xml:space="preserve"> from women to the Association</w:t>
      </w:r>
      <w:r w:rsidRPr="00F373B7">
        <w:rPr>
          <w:sz w:val="24"/>
          <w:szCs w:val="24"/>
        </w:rPr>
        <w:t xml:space="preserve">, </w:t>
      </w:r>
      <w:r w:rsidR="00CD31EA" w:rsidRPr="00F373B7">
        <w:rPr>
          <w:sz w:val="24"/>
          <w:szCs w:val="24"/>
        </w:rPr>
        <w:t xml:space="preserve">original </w:t>
      </w:r>
      <w:r w:rsidRPr="00F373B7">
        <w:rPr>
          <w:sz w:val="24"/>
          <w:szCs w:val="24"/>
        </w:rPr>
        <w:t xml:space="preserve">campaign materials, </w:t>
      </w:r>
      <w:r w:rsidR="00CD31EA" w:rsidRPr="00F373B7">
        <w:rPr>
          <w:sz w:val="24"/>
          <w:szCs w:val="24"/>
        </w:rPr>
        <w:t xml:space="preserve">the group’s </w:t>
      </w:r>
      <w:r w:rsidRPr="00F373B7">
        <w:rPr>
          <w:sz w:val="24"/>
          <w:szCs w:val="24"/>
        </w:rPr>
        <w:t xml:space="preserve">newsletters, reports, notes and speeches. Her sources also include key academic texts that cover the period from the Association’s inception to </w:t>
      </w:r>
      <w:r w:rsidR="00663AE2" w:rsidRPr="00F373B7">
        <w:rPr>
          <w:sz w:val="24"/>
          <w:szCs w:val="24"/>
        </w:rPr>
        <w:t xml:space="preserve">its </w:t>
      </w:r>
      <w:r w:rsidRPr="00F373B7">
        <w:rPr>
          <w:sz w:val="24"/>
          <w:szCs w:val="24"/>
        </w:rPr>
        <w:t xml:space="preserve">winding down in 1986, private records of some of the key figures in the Association, original interviews </w:t>
      </w:r>
      <w:r w:rsidR="00CD31EA" w:rsidRPr="00F373B7">
        <w:rPr>
          <w:sz w:val="24"/>
          <w:szCs w:val="24"/>
        </w:rPr>
        <w:t xml:space="preserve">previously undertaken </w:t>
      </w:r>
      <w:r w:rsidRPr="00F373B7">
        <w:rPr>
          <w:sz w:val="24"/>
          <w:szCs w:val="24"/>
        </w:rPr>
        <w:t xml:space="preserve">with members as well as primary data from interviews </w:t>
      </w:r>
      <w:r w:rsidR="006833E4" w:rsidRPr="00F373B7">
        <w:rPr>
          <w:sz w:val="24"/>
          <w:szCs w:val="24"/>
        </w:rPr>
        <w:t xml:space="preserve">with family members that Thompson </w:t>
      </w:r>
      <w:r w:rsidRPr="00F373B7">
        <w:rPr>
          <w:sz w:val="24"/>
          <w:szCs w:val="24"/>
        </w:rPr>
        <w:t xml:space="preserve">undertook </w:t>
      </w:r>
      <w:r w:rsidR="006833E4" w:rsidRPr="00F373B7">
        <w:rPr>
          <w:sz w:val="24"/>
          <w:szCs w:val="24"/>
        </w:rPr>
        <w:t>for</w:t>
      </w:r>
      <w:r w:rsidR="00206A58" w:rsidRPr="00F373B7">
        <w:rPr>
          <w:sz w:val="24"/>
          <w:szCs w:val="24"/>
        </w:rPr>
        <w:t xml:space="preserve"> this project</w:t>
      </w:r>
      <w:r w:rsidR="006833E4" w:rsidRPr="00F373B7">
        <w:rPr>
          <w:sz w:val="24"/>
          <w:szCs w:val="24"/>
        </w:rPr>
        <w:t>.</w:t>
      </w:r>
      <w:r w:rsidRPr="00F373B7">
        <w:rPr>
          <w:sz w:val="24"/>
          <w:szCs w:val="24"/>
        </w:rPr>
        <w:t xml:space="preserve"> </w:t>
      </w:r>
      <w:r w:rsidR="00663AE2" w:rsidRPr="00F373B7">
        <w:rPr>
          <w:sz w:val="24"/>
          <w:szCs w:val="24"/>
        </w:rPr>
        <w:t xml:space="preserve">The effect of relying on this varied source of material is to </w:t>
      </w:r>
      <w:r w:rsidR="001B5815" w:rsidRPr="00F373B7">
        <w:rPr>
          <w:sz w:val="24"/>
          <w:szCs w:val="24"/>
        </w:rPr>
        <w:t xml:space="preserve">centre the voices and concerns of women </w:t>
      </w:r>
      <w:r w:rsidR="0082303C" w:rsidRPr="00F373B7">
        <w:rPr>
          <w:sz w:val="24"/>
          <w:szCs w:val="24"/>
        </w:rPr>
        <w:t xml:space="preserve">and their advocates </w:t>
      </w:r>
      <w:r w:rsidR="001B5815" w:rsidRPr="00F373B7">
        <w:rPr>
          <w:sz w:val="24"/>
          <w:szCs w:val="24"/>
        </w:rPr>
        <w:t>at th</w:t>
      </w:r>
      <w:r w:rsidR="0082303C" w:rsidRPr="00F373B7">
        <w:rPr>
          <w:sz w:val="24"/>
          <w:szCs w:val="24"/>
        </w:rPr>
        <w:t>at</w:t>
      </w:r>
      <w:r w:rsidR="001B5815" w:rsidRPr="00F373B7">
        <w:rPr>
          <w:sz w:val="24"/>
          <w:szCs w:val="24"/>
        </w:rPr>
        <w:t xml:space="preserve"> time. The reader is </w:t>
      </w:r>
      <w:r w:rsidR="00663AE2" w:rsidRPr="00F373B7">
        <w:rPr>
          <w:sz w:val="24"/>
          <w:szCs w:val="24"/>
        </w:rPr>
        <w:t>transport</w:t>
      </w:r>
      <w:r w:rsidR="001B5815" w:rsidRPr="00F373B7">
        <w:rPr>
          <w:sz w:val="24"/>
          <w:szCs w:val="24"/>
        </w:rPr>
        <w:t>ed</w:t>
      </w:r>
      <w:r w:rsidR="00663AE2" w:rsidRPr="00F373B7">
        <w:rPr>
          <w:sz w:val="24"/>
          <w:szCs w:val="24"/>
        </w:rPr>
        <w:t xml:space="preserve"> </w:t>
      </w:r>
      <w:r w:rsidR="001B5815" w:rsidRPr="00F373B7">
        <w:rPr>
          <w:sz w:val="24"/>
          <w:szCs w:val="24"/>
        </w:rPr>
        <w:t xml:space="preserve">not only </w:t>
      </w:r>
      <w:r w:rsidR="002B5E59" w:rsidRPr="00F373B7">
        <w:rPr>
          <w:sz w:val="24"/>
          <w:szCs w:val="24"/>
        </w:rPr>
        <w:t xml:space="preserve">to </w:t>
      </w:r>
      <w:r w:rsidR="001B5815" w:rsidRPr="00F373B7">
        <w:rPr>
          <w:sz w:val="24"/>
          <w:szCs w:val="24"/>
        </w:rPr>
        <w:t xml:space="preserve">the content but also </w:t>
      </w:r>
      <w:r w:rsidR="00663AE2" w:rsidRPr="00F373B7">
        <w:rPr>
          <w:sz w:val="24"/>
          <w:szCs w:val="24"/>
        </w:rPr>
        <w:t xml:space="preserve">the tone of the debate as it was being conducted. </w:t>
      </w:r>
      <w:r w:rsidR="001B5815" w:rsidRPr="00F373B7">
        <w:rPr>
          <w:sz w:val="24"/>
          <w:szCs w:val="24"/>
        </w:rPr>
        <w:t>The reader’s experience is immersive and the injustices facing women through the law’s treatment of them becomes personal and palpable</w:t>
      </w:r>
      <w:r w:rsidR="0082303C" w:rsidRPr="00F373B7">
        <w:rPr>
          <w:sz w:val="24"/>
          <w:szCs w:val="24"/>
        </w:rPr>
        <w:t xml:space="preserve"> through </w:t>
      </w:r>
      <w:r w:rsidR="002B5E59" w:rsidRPr="00F373B7">
        <w:rPr>
          <w:sz w:val="24"/>
          <w:szCs w:val="24"/>
        </w:rPr>
        <w:t xml:space="preserve">Thompson’s </w:t>
      </w:r>
      <w:r w:rsidR="0082303C" w:rsidRPr="00F373B7">
        <w:rPr>
          <w:sz w:val="24"/>
          <w:szCs w:val="24"/>
        </w:rPr>
        <w:t xml:space="preserve">carefully selected </w:t>
      </w:r>
      <w:r w:rsidR="002B5E59" w:rsidRPr="00F373B7">
        <w:rPr>
          <w:sz w:val="24"/>
          <w:szCs w:val="24"/>
        </w:rPr>
        <w:t>extracts.</w:t>
      </w:r>
    </w:p>
    <w:p w14:paraId="2E95414B" w14:textId="334AEB7C" w:rsidR="00546AB4" w:rsidRPr="00F373B7" w:rsidRDefault="001C1363">
      <w:pPr>
        <w:rPr>
          <w:sz w:val="24"/>
          <w:szCs w:val="24"/>
        </w:rPr>
      </w:pPr>
      <w:r w:rsidRPr="00F373B7">
        <w:rPr>
          <w:sz w:val="24"/>
          <w:szCs w:val="24"/>
        </w:rPr>
        <w:t xml:space="preserve">The book </w:t>
      </w:r>
      <w:r w:rsidR="00C239E4" w:rsidRPr="00F373B7">
        <w:rPr>
          <w:sz w:val="24"/>
          <w:szCs w:val="24"/>
        </w:rPr>
        <w:t>comprises</w:t>
      </w:r>
      <w:r w:rsidRPr="00F373B7">
        <w:rPr>
          <w:sz w:val="24"/>
          <w:szCs w:val="24"/>
        </w:rPr>
        <w:t xml:space="preserve"> </w:t>
      </w:r>
      <w:r w:rsidR="00080048" w:rsidRPr="00F373B7">
        <w:rPr>
          <w:sz w:val="24"/>
          <w:szCs w:val="24"/>
        </w:rPr>
        <w:t>ten</w:t>
      </w:r>
      <w:r w:rsidRPr="00F373B7">
        <w:rPr>
          <w:sz w:val="24"/>
          <w:szCs w:val="24"/>
        </w:rPr>
        <w:t xml:space="preserve"> substantive chapters</w:t>
      </w:r>
      <w:r w:rsidR="00DC1628">
        <w:rPr>
          <w:sz w:val="24"/>
          <w:szCs w:val="24"/>
        </w:rPr>
        <w:t>.</w:t>
      </w:r>
      <w:r w:rsidRPr="00F373B7">
        <w:rPr>
          <w:sz w:val="24"/>
          <w:szCs w:val="24"/>
        </w:rPr>
        <w:t xml:space="preserve"> </w:t>
      </w:r>
      <w:r w:rsidR="00FF2381" w:rsidRPr="00F373B7">
        <w:rPr>
          <w:sz w:val="24"/>
          <w:szCs w:val="24"/>
        </w:rPr>
        <w:t xml:space="preserve">Chapter </w:t>
      </w:r>
      <w:r w:rsidR="00080048" w:rsidRPr="00F373B7">
        <w:rPr>
          <w:sz w:val="24"/>
          <w:szCs w:val="24"/>
        </w:rPr>
        <w:t>one</w:t>
      </w:r>
      <w:r w:rsidR="00FF2381" w:rsidRPr="00F373B7">
        <w:rPr>
          <w:sz w:val="24"/>
          <w:szCs w:val="24"/>
        </w:rPr>
        <w:t xml:space="preserve"> </w:t>
      </w:r>
      <w:r w:rsidRPr="00F373B7">
        <w:rPr>
          <w:sz w:val="24"/>
          <w:szCs w:val="24"/>
        </w:rPr>
        <w:t>trac</w:t>
      </w:r>
      <w:r w:rsidR="00FF2381" w:rsidRPr="00F373B7">
        <w:rPr>
          <w:sz w:val="24"/>
          <w:szCs w:val="24"/>
        </w:rPr>
        <w:t>es</w:t>
      </w:r>
      <w:r w:rsidRPr="00F373B7">
        <w:rPr>
          <w:sz w:val="24"/>
          <w:szCs w:val="24"/>
        </w:rPr>
        <w:t xml:space="preserve"> the broader social and political contexts in which the movement </w:t>
      </w:r>
      <w:r w:rsidR="00206F2A" w:rsidRPr="00F373B7">
        <w:rPr>
          <w:sz w:val="24"/>
          <w:szCs w:val="24"/>
        </w:rPr>
        <w:t xml:space="preserve">was </w:t>
      </w:r>
      <w:r w:rsidRPr="00F373B7">
        <w:rPr>
          <w:sz w:val="24"/>
          <w:szCs w:val="24"/>
        </w:rPr>
        <w:t>established</w:t>
      </w:r>
      <w:r w:rsidR="002B5E59" w:rsidRPr="00F373B7">
        <w:rPr>
          <w:sz w:val="24"/>
          <w:szCs w:val="24"/>
        </w:rPr>
        <w:t>. C</w:t>
      </w:r>
      <w:r w:rsidR="00FF2381" w:rsidRPr="00F373B7">
        <w:rPr>
          <w:sz w:val="24"/>
          <w:szCs w:val="24"/>
        </w:rPr>
        <w:t xml:space="preserve">hapter </w:t>
      </w:r>
      <w:r w:rsidR="00080048" w:rsidRPr="00F373B7">
        <w:rPr>
          <w:sz w:val="24"/>
          <w:szCs w:val="24"/>
        </w:rPr>
        <w:t>two</w:t>
      </w:r>
      <w:r w:rsidR="00FF2381" w:rsidRPr="00F373B7">
        <w:rPr>
          <w:sz w:val="24"/>
          <w:szCs w:val="24"/>
        </w:rPr>
        <w:t xml:space="preserve"> points to </w:t>
      </w:r>
      <w:r w:rsidR="005C038E" w:rsidRPr="00F373B7">
        <w:rPr>
          <w:sz w:val="24"/>
          <w:szCs w:val="24"/>
        </w:rPr>
        <w:t xml:space="preserve">coverture as </w:t>
      </w:r>
      <w:r w:rsidR="00FF2381" w:rsidRPr="00F373B7">
        <w:rPr>
          <w:sz w:val="24"/>
          <w:szCs w:val="24"/>
        </w:rPr>
        <w:t xml:space="preserve">the root </w:t>
      </w:r>
      <w:r w:rsidR="005C038E" w:rsidRPr="00F373B7">
        <w:rPr>
          <w:sz w:val="24"/>
          <w:szCs w:val="24"/>
        </w:rPr>
        <w:t>that led to t</w:t>
      </w:r>
      <w:r w:rsidR="00FF2381" w:rsidRPr="00F373B7">
        <w:rPr>
          <w:sz w:val="24"/>
          <w:szCs w:val="24"/>
        </w:rPr>
        <w:t xml:space="preserve">he undervaluing </w:t>
      </w:r>
      <w:r w:rsidR="00546AB4" w:rsidRPr="00F373B7">
        <w:rPr>
          <w:sz w:val="24"/>
          <w:szCs w:val="24"/>
        </w:rPr>
        <w:t xml:space="preserve">of </w:t>
      </w:r>
      <w:r w:rsidR="00FF2381" w:rsidRPr="00F373B7">
        <w:rPr>
          <w:sz w:val="24"/>
          <w:szCs w:val="24"/>
        </w:rPr>
        <w:t xml:space="preserve">women’s domestic labour. The common law doctrine </w:t>
      </w:r>
      <w:r w:rsidR="00546AB4" w:rsidRPr="00F373B7">
        <w:rPr>
          <w:sz w:val="24"/>
          <w:szCs w:val="24"/>
        </w:rPr>
        <w:t>had</w:t>
      </w:r>
      <w:r w:rsidR="00FF2381" w:rsidRPr="00F373B7">
        <w:rPr>
          <w:sz w:val="24"/>
          <w:szCs w:val="24"/>
        </w:rPr>
        <w:t xml:space="preserve"> </w:t>
      </w:r>
      <w:r w:rsidR="00BF2D45" w:rsidRPr="00F373B7">
        <w:rPr>
          <w:sz w:val="24"/>
          <w:szCs w:val="24"/>
        </w:rPr>
        <w:t>denied</w:t>
      </w:r>
      <w:r w:rsidR="00FF2381" w:rsidRPr="00F373B7">
        <w:rPr>
          <w:sz w:val="24"/>
          <w:szCs w:val="24"/>
        </w:rPr>
        <w:t xml:space="preserve"> women’s separate legal status upon marriage</w:t>
      </w:r>
      <w:r w:rsidR="00BF2D45" w:rsidRPr="00F373B7">
        <w:rPr>
          <w:sz w:val="24"/>
          <w:szCs w:val="24"/>
        </w:rPr>
        <w:t xml:space="preserve"> </w:t>
      </w:r>
      <w:r w:rsidR="00546AB4" w:rsidRPr="00F373B7">
        <w:rPr>
          <w:sz w:val="24"/>
          <w:szCs w:val="24"/>
        </w:rPr>
        <w:t xml:space="preserve">and had the effect of </w:t>
      </w:r>
      <w:r w:rsidR="00BF2D45" w:rsidRPr="00F373B7">
        <w:rPr>
          <w:sz w:val="24"/>
          <w:szCs w:val="24"/>
        </w:rPr>
        <w:t>render</w:t>
      </w:r>
      <w:r w:rsidR="00546AB4" w:rsidRPr="00F373B7">
        <w:rPr>
          <w:sz w:val="24"/>
          <w:szCs w:val="24"/>
        </w:rPr>
        <w:t>ing</w:t>
      </w:r>
      <w:r w:rsidR="00BF2D45" w:rsidRPr="00F373B7">
        <w:rPr>
          <w:sz w:val="24"/>
          <w:szCs w:val="24"/>
        </w:rPr>
        <w:t xml:space="preserve"> wives, </w:t>
      </w:r>
      <w:r w:rsidR="00FF2381" w:rsidRPr="00F373B7">
        <w:rPr>
          <w:i/>
          <w:iCs/>
          <w:sz w:val="24"/>
          <w:szCs w:val="24"/>
        </w:rPr>
        <w:t>de facto</w:t>
      </w:r>
      <w:r w:rsidR="00BF2D45" w:rsidRPr="00F373B7">
        <w:rPr>
          <w:sz w:val="24"/>
          <w:szCs w:val="24"/>
        </w:rPr>
        <w:t>, their husband’s</w:t>
      </w:r>
      <w:r w:rsidR="00FF2381" w:rsidRPr="00F373B7">
        <w:rPr>
          <w:sz w:val="24"/>
          <w:szCs w:val="24"/>
        </w:rPr>
        <w:t xml:space="preserve"> chattels</w:t>
      </w:r>
      <w:r w:rsidR="00BF2D45" w:rsidRPr="00F373B7">
        <w:rPr>
          <w:sz w:val="24"/>
          <w:szCs w:val="24"/>
        </w:rPr>
        <w:t xml:space="preserve">. Even after the Married Women’s Property Acts </w:t>
      </w:r>
      <w:r w:rsidR="00C21964" w:rsidRPr="00F373B7">
        <w:rPr>
          <w:sz w:val="24"/>
          <w:szCs w:val="24"/>
        </w:rPr>
        <w:t xml:space="preserve">(MWPAs) </w:t>
      </w:r>
      <w:r w:rsidR="00BF2D45" w:rsidRPr="00F373B7">
        <w:rPr>
          <w:sz w:val="24"/>
          <w:szCs w:val="24"/>
        </w:rPr>
        <w:t>of the late 1800s</w:t>
      </w:r>
      <w:r w:rsidR="007E38D8" w:rsidRPr="00F373B7">
        <w:rPr>
          <w:rStyle w:val="FootnoteReference"/>
          <w:sz w:val="24"/>
          <w:szCs w:val="24"/>
        </w:rPr>
        <w:footnoteReference w:id="8"/>
      </w:r>
      <w:r w:rsidR="00BF2D45" w:rsidRPr="00F373B7">
        <w:rPr>
          <w:sz w:val="24"/>
          <w:szCs w:val="24"/>
        </w:rPr>
        <w:t xml:space="preserve"> eradicated the principle, </w:t>
      </w:r>
      <w:r w:rsidR="0059271B" w:rsidRPr="00F373B7">
        <w:rPr>
          <w:sz w:val="24"/>
          <w:szCs w:val="24"/>
        </w:rPr>
        <w:t xml:space="preserve">Thompson reminds us that </w:t>
      </w:r>
      <w:r w:rsidR="00BF2D45" w:rsidRPr="00F373B7">
        <w:rPr>
          <w:sz w:val="24"/>
          <w:szCs w:val="24"/>
        </w:rPr>
        <w:t>coverture continued to form</w:t>
      </w:r>
      <w:r w:rsidR="00FF2381" w:rsidRPr="00F373B7">
        <w:rPr>
          <w:sz w:val="24"/>
          <w:szCs w:val="24"/>
        </w:rPr>
        <w:t xml:space="preserve"> the backdrop to married women’s dependence on </w:t>
      </w:r>
      <w:r w:rsidR="00BF2D45" w:rsidRPr="00F373B7">
        <w:rPr>
          <w:sz w:val="24"/>
          <w:szCs w:val="24"/>
        </w:rPr>
        <w:t>their</w:t>
      </w:r>
      <w:r w:rsidR="00FF2381" w:rsidRPr="00F373B7">
        <w:rPr>
          <w:sz w:val="24"/>
          <w:szCs w:val="24"/>
        </w:rPr>
        <w:t xml:space="preserve"> husband</w:t>
      </w:r>
      <w:r w:rsidR="00BF2D45" w:rsidRPr="00F373B7">
        <w:rPr>
          <w:sz w:val="24"/>
          <w:szCs w:val="24"/>
        </w:rPr>
        <w:t xml:space="preserve">s and </w:t>
      </w:r>
      <w:r w:rsidR="00546AB4" w:rsidRPr="00F373B7">
        <w:rPr>
          <w:sz w:val="24"/>
          <w:szCs w:val="24"/>
        </w:rPr>
        <w:t xml:space="preserve">their </w:t>
      </w:r>
      <w:r w:rsidR="00BF2D45" w:rsidRPr="00F373B7">
        <w:rPr>
          <w:sz w:val="24"/>
          <w:szCs w:val="24"/>
        </w:rPr>
        <w:t xml:space="preserve">economic inequality. </w:t>
      </w:r>
      <w:r w:rsidR="0059271B" w:rsidRPr="00F373B7">
        <w:rPr>
          <w:sz w:val="24"/>
          <w:szCs w:val="24"/>
        </w:rPr>
        <w:t xml:space="preserve">Whilst women being recognised </w:t>
      </w:r>
      <w:r w:rsidR="002B5E59" w:rsidRPr="00F373B7">
        <w:rPr>
          <w:sz w:val="24"/>
          <w:szCs w:val="24"/>
        </w:rPr>
        <w:t xml:space="preserve">as </w:t>
      </w:r>
      <w:r w:rsidR="0059271B" w:rsidRPr="00F373B7">
        <w:rPr>
          <w:sz w:val="24"/>
          <w:szCs w:val="24"/>
        </w:rPr>
        <w:t>distinct legal e</w:t>
      </w:r>
      <w:r w:rsidR="002429DC" w:rsidRPr="00F373B7">
        <w:rPr>
          <w:sz w:val="24"/>
          <w:szCs w:val="24"/>
        </w:rPr>
        <w:t>n</w:t>
      </w:r>
      <w:r w:rsidR="0059271B" w:rsidRPr="00F373B7">
        <w:rPr>
          <w:sz w:val="24"/>
          <w:szCs w:val="24"/>
        </w:rPr>
        <w:t xml:space="preserve">tities represented </w:t>
      </w:r>
      <w:r w:rsidR="002429DC" w:rsidRPr="00F373B7">
        <w:rPr>
          <w:sz w:val="24"/>
          <w:szCs w:val="24"/>
        </w:rPr>
        <w:t>an unambiguous</w:t>
      </w:r>
      <w:r w:rsidR="0059271B" w:rsidRPr="00F373B7">
        <w:rPr>
          <w:sz w:val="24"/>
          <w:szCs w:val="24"/>
        </w:rPr>
        <w:t xml:space="preserve"> advancement in women’s rights, the Association had to </w:t>
      </w:r>
      <w:r w:rsidR="00546AB4" w:rsidRPr="00F373B7">
        <w:rPr>
          <w:sz w:val="24"/>
          <w:szCs w:val="24"/>
        </w:rPr>
        <w:t>simultaneously</w:t>
      </w:r>
      <w:r w:rsidR="0059271B" w:rsidRPr="00F373B7">
        <w:rPr>
          <w:sz w:val="24"/>
          <w:szCs w:val="24"/>
        </w:rPr>
        <w:t xml:space="preserve"> </w:t>
      </w:r>
      <w:r w:rsidR="002429DC" w:rsidRPr="00F373B7">
        <w:rPr>
          <w:sz w:val="24"/>
          <w:szCs w:val="24"/>
        </w:rPr>
        <w:t>draw attention to the ways</w:t>
      </w:r>
      <w:r w:rsidR="0059271B" w:rsidRPr="00F373B7">
        <w:rPr>
          <w:sz w:val="24"/>
          <w:szCs w:val="24"/>
        </w:rPr>
        <w:t xml:space="preserve"> that a stringent application </w:t>
      </w:r>
      <w:r w:rsidR="005C038E" w:rsidRPr="00F373B7">
        <w:rPr>
          <w:sz w:val="24"/>
          <w:szCs w:val="24"/>
        </w:rPr>
        <w:t>of</w:t>
      </w:r>
      <w:r w:rsidR="00080048" w:rsidRPr="00F373B7">
        <w:rPr>
          <w:sz w:val="24"/>
          <w:szCs w:val="24"/>
        </w:rPr>
        <w:t xml:space="preserve"> </w:t>
      </w:r>
      <w:r w:rsidR="006833E4" w:rsidRPr="00F373B7">
        <w:rPr>
          <w:sz w:val="24"/>
          <w:szCs w:val="24"/>
        </w:rPr>
        <w:t xml:space="preserve">the </w:t>
      </w:r>
      <w:r w:rsidR="00080048" w:rsidRPr="00F373B7">
        <w:rPr>
          <w:sz w:val="24"/>
          <w:szCs w:val="24"/>
        </w:rPr>
        <w:t xml:space="preserve">law </w:t>
      </w:r>
      <w:r w:rsidR="005C038E" w:rsidRPr="00F373B7">
        <w:rPr>
          <w:sz w:val="24"/>
          <w:szCs w:val="24"/>
        </w:rPr>
        <w:t xml:space="preserve">with regards to </w:t>
      </w:r>
      <w:r w:rsidR="0059271B" w:rsidRPr="00F373B7">
        <w:rPr>
          <w:sz w:val="24"/>
          <w:szCs w:val="24"/>
        </w:rPr>
        <w:t xml:space="preserve">separate </w:t>
      </w:r>
      <w:r w:rsidR="00080048" w:rsidRPr="00F373B7">
        <w:rPr>
          <w:sz w:val="24"/>
          <w:szCs w:val="24"/>
        </w:rPr>
        <w:t>property</w:t>
      </w:r>
      <w:r w:rsidR="0059271B" w:rsidRPr="00F373B7">
        <w:rPr>
          <w:sz w:val="24"/>
          <w:szCs w:val="24"/>
        </w:rPr>
        <w:t xml:space="preserve"> could lead to injustices.</w:t>
      </w:r>
      <w:r w:rsidR="00BF2D45" w:rsidRPr="00F373B7">
        <w:rPr>
          <w:sz w:val="24"/>
          <w:szCs w:val="24"/>
        </w:rPr>
        <w:t xml:space="preserve"> </w:t>
      </w:r>
      <w:r w:rsidR="0059271B" w:rsidRPr="00F373B7">
        <w:rPr>
          <w:sz w:val="24"/>
          <w:szCs w:val="24"/>
        </w:rPr>
        <w:t xml:space="preserve">The chapter thus introduces the </w:t>
      </w:r>
      <w:r w:rsidR="002B5E59" w:rsidRPr="00F373B7">
        <w:rPr>
          <w:sz w:val="24"/>
          <w:szCs w:val="24"/>
        </w:rPr>
        <w:t xml:space="preserve">reader to the </w:t>
      </w:r>
      <w:r w:rsidR="0059271B" w:rsidRPr="00F373B7">
        <w:rPr>
          <w:sz w:val="24"/>
          <w:szCs w:val="24"/>
        </w:rPr>
        <w:t>complexity of the legal status of married women</w:t>
      </w:r>
      <w:r w:rsidR="005C038E" w:rsidRPr="00F373B7">
        <w:rPr>
          <w:sz w:val="24"/>
          <w:szCs w:val="24"/>
        </w:rPr>
        <w:t>, even after coverture,</w:t>
      </w:r>
      <w:r w:rsidR="0059271B" w:rsidRPr="00F373B7">
        <w:rPr>
          <w:sz w:val="24"/>
          <w:szCs w:val="24"/>
        </w:rPr>
        <w:t xml:space="preserve"> and </w:t>
      </w:r>
      <w:r w:rsidR="00080048" w:rsidRPr="00F373B7">
        <w:rPr>
          <w:sz w:val="24"/>
          <w:szCs w:val="24"/>
        </w:rPr>
        <w:t xml:space="preserve">how the Association had to </w:t>
      </w:r>
      <w:r w:rsidR="0059271B" w:rsidRPr="00F373B7">
        <w:rPr>
          <w:sz w:val="24"/>
          <w:szCs w:val="24"/>
        </w:rPr>
        <w:t>unpick each injustice</w:t>
      </w:r>
      <w:r w:rsidR="00080048" w:rsidRPr="00F373B7">
        <w:rPr>
          <w:sz w:val="24"/>
          <w:szCs w:val="24"/>
        </w:rPr>
        <w:t xml:space="preserve"> and </w:t>
      </w:r>
      <w:r w:rsidR="006833E4" w:rsidRPr="00F373B7">
        <w:rPr>
          <w:sz w:val="24"/>
          <w:szCs w:val="24"/>
        </w:rPr>
        <w:t>identify</w:t>
      </w:r>
      <w:r w:rsidR="00080048" w:rsidRPr="00F373B7">
        <w:rPr>
          <w:sz w:val="24"/>
          <w:szCs w:val="24"/>
        </w:rPr>
        <w:t xml:space="preserve"> the</w:t>
      </w:r>
      <w:r w:rsidR="00A34621" w:rsidRPr="00F373B7">
        <w:rPr>
          <w:sz w:val="24"/>
          <w:szCs w:val="24"/>
        </w:rPr>
        <w:t>ir</w:t>
      </w:r>
      <w:r w:rsidR="00080048" w:rsidRPr="00F373B7">
        <w:rPr>
          <w:sz w:val="24"/>
          <w:szCs w:val="24"/>
        </w:rPr>
        <w:t xml:space="preserve"> preferred strategy for legal reform</w:t>
      </w:r>
      <w:r w:rsidR="0059271B" w:rsidRPr="00F373B7">
        <w:rPr>
          <w:sz w:val="24"/>
          <w:szCs w:val="24"/>
        </w:rPr>
        <w:t>.</w:t>
      </w:r>
    </w:p>
    <w:p w14:paraId="0733531A" w14:textId="69F85F2E" w:rsidR="00D91244" w:rsidRPr="00F373B7" w:rsidRDefault="0059271B">
      <w:pPr>
        <w:rPr>
          <w:sz w:val="24"/>
          <w:szCs w:val="24"/>
        </w:rPr>
      </w:pPr>
      <w:r w:rsidRPr="00F373B7">
        <w:rPr>
          <w:sz w:val="24"/>
          <w:szCs w:val="24"/>
        </w:rPr>
        <w:lastRenderedPageBreak/>
        <w:t xml:space="preserve">Chapter </w:t>
      </w:r>
      <w:r w:rsidR="00080048" w:rsidRPr="00F373B7">
        <w:rPr>
          <w:sz w:val="24"/>
          <w:szCs w:val="24"/>
        </w:rPr>
        <w:t>three</w:t>
      </w:r>
      <w:r w:rsidRPr="00F373B7">
        <w:rPr>
          <w:sz w:val="24"/>
          <w:szCs w:val="24"/>
        </w:rPr>
        <w:t>, a group biography, introduces us to</w:t>
      </w:r>
      <w:r w:rsidR="002B5E59" w:rsidRPr="00F373B7">
        <w:rPr>
          <w:sz w:val="24"/>
          <w:szCs w:val="24"/>
        </w:rPr>
        <w:t xml:space="preserve"> how hard identifying a single preferred strategy would be</w:t>
      </w:r>
      <w:r w:rsidR="005C038E" w:rsidRPr="00F373B7">
        <w:rPr>
          <w:sz w:val="24"/>
          <w:szCs w:val="24"/>
        </w:rPr>
        <w:t xml:space="preserve"> for the Association</w:t>
      </w:r>
      <w:r w:rsidR="002B5E59" w:rsidRPr="00F373B7">
        <w:rPr>
          <w:sz w:val="24"/>
          <w:szCs w:val="24"/>
        </w:rPr>
        <w:t>. T</w:t>
      </w:r>
      <w:r w:rsidRPr="00F373B7">
        <w:rPr>
          <w:sz w:val="24"/>
          <w:szCs w:val="24"/>
        </w:rPr>
        <w:t xml:space="preserve">he </w:t>
      </w:r>
      <w:r w:rsidR="00C5431F" w:rsidRPr="00F373B7">
        <w:rPr>
          <w:sz w:val="24"/>
          <w:szCs w:val="24"/>
        </w:rPr>
        <w:t xml:space="preserve">London-based </w:t>
      </w:r>
      <w:r w:rsidRPr="00F373B7">
        <w:rPr>
          <w:sz w:val="24"/>
          <w:szCs w:val="24"/>
        </w:rPr>
        <w:t>characters</w:t>
      </w:r>
      <w:r w:rsidR="00C5431F" w:rsidRPr="00F373B7">
        <w:rPr>
          <w:sz w:val="24"/>
          <w:szCs w:val="24"/>
        </w:rPr>
        <w:t xml:space="preserve"> of the executive committee</w:t>
      </w:r>
      <w:r w:rsidRPr="00F373B7">
        <w:rPr>
          <w:sz w:val="24"/>
          <w:szCs w:val="24"/>
        </w:rPr>
        <w:t xml:space="preserve"> – largely middle-class, well</w:t>
      </w:r>
      <w:r w:rsidR="007931B0" w:rsidRPr="00F373B7">
        <w:rPr>
          <w:sz w:val="24"/>
          <w:szCs w:val="24"/>
        </w:rPr>
        <w:t>-</w:t>
      </w:r>
      <w:r w:rsidRPr="00F373B7">
        <w:rPr>
          <w:sz w:val="24"/>
          <w:szCs w:val="24"/>
        </w:rPr>
        <w:t>educated women and men –</w:t>
      </w:r>
      <w:r w:rsidR="002B5E59" w:rsidRPr="00F373B7">
        <w:rPr>
          <w:sz w:val="24"/>
          <w:szCs w:val="24"/>
        </w:rPr>
        <w:t xml:space="preserve"> </w:t>
      </w:r>
      <w:r w:rsidRPr="00F373B7">
        <w:rPr>
          <w:sz w:val="24"/>
          <w:szCs w:val="24"/>
        </w:rPr>
        <w:t xml:space="preserve">advocated </w:t>
      </w:r>
      <w:r w:rsidR="002B5E59" w:rsidRPr="00F373B7">
        <w:rPr>
          <w:sz w:val="24"/>
          <w:szCs w:val="24"/>
        </w:rPr>
        <w:t>on behalf of their largely</w:t>
      </w:r>
      <w:r w:rsidR="001301DA" w:rsidRPr="00F373B7">
        <w:rPr>
          <w:sz w:val="24"/>
          <w:szCs w:val="24"/>
        </w:rPr>
        <w:t xml:space="preserve"> working</w:t>
      </w:r>
      <w:r w:rsidR="007931B0" w:rsidRPr="00F373B7">
        <w:rPr>
          <w:sz w:val="24"/>
          <w:szCs w:val="24"/>
        </w:rPr>
        <w:t>-</w:t>
      </w:r>
      <w:r w:rsidR="001301DA" w:rsidRPr="00F373B7">
        <w:rPr>
          <w:sz w:val="24"/>
          <w:szCs w:val="24"/>
        </w:rPr>
        <w:t xml:space="preserve">class members in local branches. </w:t>
      </w:r>
      <w:r w:rsidR="002B5E59" w:rsidRPr="00F373B7">
        <w:rPr>
          <w:sz w:val="24"/>
          <w:szCs w:val="24"/>
        </w:rPr>
        <w:t>We learn of</w:t>
      </w:r>
      <w:r w:rsidR="001301DA" w:rsidRPr="00F373B7">
        <w:rPr>
          <w:sz w:val="24"/>
          <w:szCs w:val="24"/>
        </w:rPr>
        <w:t xml:space="preserve"> the influence</w:t>
      </w:r>
      <w:r w:rsidR="007931B0" w:rsidRPr="00F373B7">
        <w:rPr>
          <w:sz w:val="24"/>
          <w:szCs w:val="24"/>
        </w:rPr>
        <w:t xml:space="preserve"> and expertise</w:t>
      </w:r>
      <w:r w:rsidR="001301DA" w:rsidRPr="00F373B7">
        <w:rPr>
          <w:sz w:val="24"/>
          <w:szCs w:val="24"/>
        </w:rPr>
        <w:t xml:space="preserve"> that many of the</w:t>
      </w:r>
      <w:r w:rsidR="00C5431F" w:rsidRPr="00F373B7">
        <w:rPr>
          <w:sz w:val="24"/>
          <w:szCs w:val="24"/>
        </w:rPr>
        <w:t xml:space="preserve"> committee </w:t>
      </w:r>
      <w:r w:rsidR="001301DA" w:rsidRPr="00F373B7">
        <w:rPr>
          <w:sz w:val="24"/>
          <w:szCs w:val="24"/>
        </w:rPr>
        <w:t>members had; as politicians,</w:t>
      </w:r>
      <w:r w:rsidR="001301DA" w:rsidRPr="00F373B7">
        <w:rPr>
          <w:rStyle w:val="FootnoteReference"/>
          <w:sz w:val="24"/>
          <w:szCs w:val="24"/>
        </w:rPr>
        <w:footnoteReference w:id="9"/>
      </w:r>
      <w:r w:rsidR="001301DA" w:rsidRPr="00F373B7">
        <w:rPr>
          <w:sz w:val="24"/>
          <w:szCs w:val="24"/>
        </w:rPr>
        <w:t xml:space="preserve"> through their </w:t>
      </w:r>
      <w:r w:rsidR="007931B0" w:rsidRPr="00F373B7">
        <w:rPr>
          <w:sz w:val="24"/>
          <w:szCs w:val="24"/>
        </w:rPr>
        <w:t>practice as</w:t>
      </w:r>
      <w:r w:rsidR="001301DA" w:rsidRPr="00F373B7">
        <w:rPr>
          <w:sz w:val="24"/>
          <w:szCs w:val="24"/>
        </w:rPr>
        <w:t xml:space="preserve"> professional lawyers</w:t>
      </w:r>
      <w:r w:rsidR="007931B0" w:rsidRPr="00F373B7">
        <w:rPr>
          <w:sz w:val="24"/>
          <w:szCs w:val="24"/>
        </w:rPr>
        <w:t>,</w:t>
      </w:r>
      <w:r w:rsidR="001301DA" w:rsidRPr="00F373B7">
        <w:rPr>
          <w:rStyle w:val="FootnoteReference"/>
          <w:sz w:val="24"/>
          <w:szCs w:val="24"/>
        </w:rPr>
        <w:footnoteReference w:id="10"/>
      </w:r>
      <w:r w:rsidR="001301DA" w:rsidRPr="00F373B7">
        <w:rPr>
          <w:sz w:val="24"/>
          <w:szCs w:val="24"/>
        </w:rPr>
        <w:t xml:space="preserve"> as </w:t>
      </w:r>
      <w:r w:rsidR="007931B0" w:rsidRPr="00F373B7">
        <w:rPr>
          <w:sz w:val="24"/>
          <w:szCs w:val="24"/>
        </w:rPr>
        <w:t xml:space="preserve">experienced </w:t>
      </w:r>
      <w:r w:rsidR="001301DA" w:rsidRPr="00F373B7">
        <w:rPr>
          <w:sz w:val="24"/>
          <w:szCs w:val="24"/>
        </w:rPr>
        <w:t>feminist activists</w:t>
      </w:r>
      <w:r w:rsidR="007931B0" w:rsidRPr="00F373B7">
        <w:rPr>
          <w:rStyle w:val="FootnoteReference"/>
          <w:sz w:val="24"/>
          <w:szCs w:val="24"/>
        </w:rPr>
        <w:footnoteReference w:id="11"/>
      </w:r>
      <w:r w:rsidR="007931B0" w:rsidRPr="00F373B7">
        <w:rPr>
          <w:sz w:val="24"/>
          <w:szCs w:val="24"/>
        </w:rPr>
        <w:t xml:space="preserve"> and as well-known writers and philosophers.</w:t>
      </w:r>
      <w:r w:rsidR="007931B0" w:rsidRPr="00F373B7">
        <w:rPr>
          <w:rStyle w:val="FootnoteReference"/>
          <w:sz w:val="24"/>
          <w:szCs w:val="24"/>
        </w:rPr>
        <w:footnoteReference w:id="12"/>
      </w:r>
      <w:r w:rsidR="007931B0" w:rsidRPr="00F373B7">
        <w:rPr>
          <w:sz w:val="24"/>
          <w:szCs w:val="24"/>
        </w:rPr>
        <w:t xml:space="preserve"> The </w:t>
      </w:r>
      <w:r w:rsidR="002B5E59" w:rsidRPr="00F373B7">
        <w:rPr>
          <w:sz w:val="24"/>
          <w:szCs w:val="24"/>
        </w:rPr>
        <w:t>group biography</w:t>
      </w:r>
      <w:r w:rsidR="007931B0" w:rsidRPr="00F373B7">
        <w:rPr>
          <w:sz w:val="24"/>
          <w:szCs w:val="24"/>
        </w:rPr>
        <w:t xml:space="preserve"> </w:t>
      </w:r>
      <w:r w:rsidR="005C038E" w:rsidRPr="00F373B7">
        <w:rPr>
          <w:sz w:val="24"/>
          <w:szCs w:val="24"/>
        </w:rPr>
        <w:t>reveals the</w:t>
      </w:r>
      <w:r w:rsidR="0033125D" w:rsidRPr="00F373B7">
        <w:rPr>
          <w:sz w:val="24"/>
          <w:szCs w:val="24"/>
        </w:rPr>
        <w:t xml:space="preserve"> broad church </w:t>
      </w:r>
      <w:r w:rsidR="006833E4" w:rsidRPr="00F373B7">
        <w:rPr>
          <w:sz w:val="24"/>
          <w:szCs w:val="24"/>
        </w:rPr>
        <w:t xml:space="preserve">of personalities </w:t>
      </w:r>
      <w:r w:rsidR="0033125D" w:rsidRPr="00F373B7">
        <w:rPr>
          <w:sz w:val="24"/>
          <w:szCs w:val="24"/>
        </w:rPr>
        <w:t xml:space="preserve">that the Association accommodated and </w:t>
      </w:r>
      <w:r w:rsidR="005C038E" w:rsidRPr="00F373B7">
        <w:rPr>
          <w:sz w:val="24"/>
          <w:szCs w:val="24"/>
        </w:rPr>
        <w:t xml:space="preserve">thus </w:t>
      </w:r>
      <w:r w:rsidR="0033125D" w:rsidRPr="00F373B7">
        <w:rPr>
          <w:sz w:val="24"/>
          <w:szCs w:val="24"/>
        </w:rPr>
        <w:t>the</w:t>
      </w:r>
      <w:r w:rsidR="007931B0" w:rsidRPr="00F373B7">
        <w:rPr>
          <w:sz w:val="24"/>
          <w:szCs w:val="24"/>
        </w:rPr>
        <w:t xml:space="preserve"> </w:t>
      </w:r>
      <w:r w:rsidR="002B5E59" w:rsidRPr="00F373B7">
        <w:rPr>
          <w:sz w:val="24"/>
          <w:szCs w:val="24"/>
        </w:rPr>
        <w:t xml:space="preserve">reasons behind </w:t>
      </w:r>
      <w:r w:rsidR="0033125D" w:rsidRPr="00F373B7">
        <w:rPr>
          <w:sz w:val="24"/>
          <w:szCs w:val="24"/>
        </w:rPr>
        <w:t xml:space="preserve">some of </w:t>
      </w:r>
      <w:r w:rsidR="002B5E59" w:rsidRPr="00F373B7">
        <w:rPr>
          <w:sz w:val="24"/>
          <w:szCs w:val="24"/>
        </w:rPr>
        <w:t xml:space="preserve">the </w:t>
      </w:r>
      <w:r w:rsidR="00665B8F" w:rsidRPr="00F373B7">
        <w:rPr>
          <w:sz w:val="24"/>
          <w:szCs w:val="24"/>
        </w:rPr>
        <w:t>strategic</w:t>
      </w:r>
      <w:r w:rsidR="002B5E59" w:rsidRPr="00F373B7">
        <w:rPr>
          <w:sz w:val="24"/>
          <w:szCs w:val="24"/>
        </w:rPr>
        <w:t xml:space="preserve"> </w:t>
      </w:r>
      <w:r w:rsidR="007931B0" w:rsidRPr="00F373B7">
        <w:rPr>
          <w:sz w:val="24"/>
          <w:szCs w:val="24"/>
        </w:rPr>
        <w:t xml:space="preserve">tensions </w:t>
      </w:r>
      <w:r w:rsidR="0033125D" w:rsidRPr="00F373B7">
        <w:rPr>
          <w:sz w:val="24"/>
          <w:szCs w:val="24"/>
        </w:rPr>
        <w:t>that subsequently emerge</w:t>
      </w:r>
      <w:r w:rsidR="00A34621" w:rsidRPr="00F373B7">
        <w:rPr>
          <w:sz w:val="24"/>
          <w:szCs w:val="24"/>
        </w:rPr>
        <w:t>d</w:t>
      </w:r>
      <w:r w:rsidR="00D04414" w:rsidRPr="00F373B7">
        <w:rPr>
          <w:sz w:val="24"/>
          <w:szCs w:val="24"/>
        </w:rPr>
        <w:t>.</w:t>
      </w:r>
      <w:r w:rsidR="00D91244" w:rsidRPr="00F373B7">
        <w:rPr>
          <w:sz w:val="24"/>
          <w:szCs w:val="24"/>
        </w:rPr>
        <w:t xml:space="preserve"> The </w:t>
      </w:r>
      <w:r w:rsidR="00C5431F" w:rsidRPr="00F373B7">
        <w:rPr>
          <w:sz w:val="24"/>
          <w:szCs w:val="24"/>
        </w:rPr>
        <w:t>s</w:t>
      </w:r>
      <w:r w:rsidR="00D91244" w:rsidRPr="00F373B7">
        <w:rPr>
          <w:sz w:val="24"/>
          <w:szCs w:val="24"/>
        </w:rPr>
        <w:t xml:space="preserve">plit of Helena Normanton </w:t>
      </w:r>
      <w:r w:rsidR="00C5431F" w:rsidRPr="00F373B7">
        <w:rPr>
          <w:sz w:val="24"/>
          <w:szCs w:val="24"/>
        </w:rPr>
        <w:t xml:space="preserve">(Britain’s first female barrister) </w:t>
      </w:r>
      <w:r w:rsidR="00D91244" w:rsidRPr="00F373B7">
        <w:rPr>
          <w:sz w:val="24"/>
          <w:szCs w:val="24"/>
        </w:rPr>
        <w:t>from the group in 1953</w:t>
      </w:r>
      <w:r w:rsidR="006833E4" w:rsidRPr="00F373B7">
        <w:rPr>
          <w:sz w:val="24"/>
          <w:szCs w:val="24"/>
        </w:rPr>
        <w:t>,</w:t>
      </w:r>
      <w:r w:rsidR="00D91244" w:rsidRPr="00F373B7">
        <w:rPr>
          <w:sz w:val="24"/>
          <w:szCs w:val="24"/>
        </w:rPr>
        <w:t xml:space="preserve"> discussed in chapter </w:t>
      </w:r>
      <w:r w:rsidR="00D04414" w:rsidRPr="00F373B7">
        <w:rPr>
          <w:sz w:val="24"/>
          <w:szCs w:val="24"/>
        </w:rPr>
        <w:t>six</w:t>
      </w:r>
      <w:r w:rsidR="006833E4" w:rsidRPr="00F373B7">
        <w:rPr>
          <w:sz w:val="24"/>
          <w:szCs w:val="24"/>
        </w:rPr>
        <w:t xml:space="preserve">, </w:t>
      </w:r>
      <w:r w:rsidR="00D04414" w:rsidRPr="00F373B7">
        <w:rPr>
          <w:sz w:val="24"/>
          <w:szCs w:val="24"/>
        </w:rPr>
        <w:t>is indicative. This rupture and Normanton’s</w:t>
      </w:r>
      <w:r w:rsidR="00C5431F" w:rsidRPr="00F373B7">
        <w:rPr>
          <w:sz w:val="24"/>
          <w:szCs w:val="24"/>
        </w:rPr>
        <w:t xml:space="preserve"> </w:t>
      </w:r>
      <w:r w:rsidR="00A34621" w:rsidRPr="00F373B7">
        <w:rPr>
          <w:sz w:val="24"/>
          <w:szCs w:val="24"/>
        </w:rPr>
        <w:t>competing</w:t>
      </w:r>
      <w:r w:rsidR="00D04414" w:rsidRPr="00F373B7">
        <w:rPr>
          <w:sz w:val="24"/>
          <w:szCs w:val="24"/>
        </w:rPr>
        <w:t xml:space="preserve"> representations to the Royal Commission on Marriage and Divorce had</w:t>
      </w:r>
      <w:r w:rsidR="00D91244" w:rsidRPr="00F373B7">
        <w:rPr>
          <w:sz w:val="24"/>
          <w:szCs w:val="24"/>
        </w:rPr>
        <w:t xml:space="preserve"> </w:t>
      </w:r>
      <w:r w:rsidR="00C5431F" w:rsidRPr="00F373B7">
        <w:rPr>
          <w:sz w:val="24"/>
          <w:szCs w:val="24"/>
        </w:rPr>
        <w:t xml:space="preserve">the </w:t>
      </w:r>
      <w:r w:rsidR="00D91244" w:rsidRPr="00F373B7">
        <w:rPr>
          <w:sz w:val="24"/>
          <w:szCs w:val="24"/>
        </w:rPr>
        <w:t xml:space="preserve">effect of </w:t>
      </w:r>
      <w:r w:rsidR="00D04414" w:rsidRPr="00F373B7">
        <w:rPr>
          <w:sz w:val="24"/>
          <w:szCs w:val="24"/>
        </w:rPr>
        <w:t>undermining</w:t>
      </w:r>
      <w:r w:rsidR="00D91244" w:rsidRPr="00F373B7">
        <w:rPr>
          <w:sz w:val="24"/>
          <w:szCs w:val="24"/>
        </w:rPr>
        <w:t xml:space="preserve"> the </w:t>
      </w:r>
      <w:r w:rsidR="00D04414" w:rsidRPr="00F373B7">
        <w:rPr>
          <w:sz w:val="24"/>
          <w:szCs w:val="24"/>
        </w:rPr>
        <w:t>demands of the Association</w:t>
      </w:r>
      <w:r w:rsidR="00820BF4" w:rsidRPr="00F373B7">
        <w:rPr>
          <w:sz w:val="24"/>
          <w:szCs w:val="24"/>
        </w:rPr>
        <w:t>. Normanton considered the Association’s demands for</w:t>
      </w:r>
      <w:r w:rsidR="00D04414" w:rsidRPr="00F373B7">
        <w:rPr>
          <w:sz w:val="24"/>
          <w:szCs w:val="24"/>
        </w:rPr>
        <w:t xml:space="preserve"> ‘the pooling of respective incomes [in marriage], the sharing of any surplus income and savings and full financial disclosure of all assets’</w:t>
      </w:r>
      <w:r w:rsidR="00820BF4" w:rsidRPr="00F373B7">
        <w:rPr>
          <w:sz w:val="24"/>
          <w:szCs w:val="24"/>
        </w:rPr>
        <w:t xml:space="preserve"> to be unreasonable expectations and instead advocated for paying wives a wage for domestic labour from the employed spouse’s salary</w:t>
      </w:r>
      <w:r w:rsidR="00D04414" w:rsidRPr="00F373B7">
        <w:rPr>
          <w:sz w:val="24"/>
          <w:szCs w:val="24"/>
        </w:rPr>
        <w:t>.</w:t>
      </w:r>
      <w:r w:rsidR="00D04414" w:rsidRPr="00F373B7">
        <w:rPr>
          <w:rStyle w:val="FootnoteReference"/>
          <w:sz w:val="24"/>
          <w:szCs w:val="24"/>
        </w:rPr>
        <w:footnoteReference w:id="13"/>
      </w:r>
    </w:p>
    <w:p w14:paraId="373D3234" w14:textId="037EE3EA" w:rsidR="0059271B" w:rsidRPr="00F373B7" w:rsidRDefault="00080048">
      <w:pPr>
        <w:rPr>
          <w:sz w:val="24"/>
          <w:szCs w:val="24"/>
        </w:rPr>
      </w:pPr>
      <w:r w:rsidRPr="00F373B7">
        <w:rPr>
          <w:sz w:val="24"/>
          <w:szCs w:val="24"/>
        </w:rPr>
        <w:t xml:space="preserve">Chapter </w:t>
      </w:r>
      <w:r w:rsidR="00D91244" w:rsidRPr="00F373B7">
        <w:rPr>
          <w:sz w:val="24"/>
          <w:szCs w:val="24"/>
        </w:rPr>
        <w:t>four</w:t>
      </w:r>
      <w:r w:rsidRPr="00F373B7">
        <w:rPr>
          <w:sz w:val="24"/>
          <w:szCs w:val="24"/>
        </w:rPr>
        <w:t xml:space="preserve"> explores the</w:t>
      </w:r>
      <w:r w:rsidR="0033125D" w:rsidRPr="00F373B7">
        <w:rPr>
          <w:sz w:val="24"/>
          <w:szCs w:val="24"/>
        </w:rPr>
        <w:t xml:space="preserve"> Association’s</w:t>
      </w:r>
      <w:r w:rsidRPr="00F373B7">
        <w:rPr>
          <w:sz w:val="24"/>
          <w:szCs w:val="24"/>
        </w:rPr>
        <w:t xml:space="preserve"> peaceable (if ultimately unsuccessful) pursuit of an Equal Partnership Act</w:t>
      </w:r>
      <w:r w:rsidR="0037581D" w:rsidRPr="00F373B7">
        <w:rPr>
          <w:sz w:val="24"/>
          <w:szCs w:val="24"/>
        </w:rPr>
        <w:t>. The Bill</w:t>
      </w:r>
      <w:r w:rsidR="00E77321" w:rsidRPr="00F373B7">
        <w:rPr>
          <w:sz w:val="24"/>
          <w:szCs w:val="24"/>
        </w:rPr>
        <w:t xml:space="preserve"> sought equal division of household income and rights to the matrimonial home.</w:t>
      </w:r>
      <w:r w:rsidRPr="00F373B7">
        <w:rPr>
          <w:sz w:val="24"/>
          <w:szCs w:val="24"/>
        </w:rPr>
        <w:t xml:space="preserve"> </w:t>
      </w:r>
      <w:r w:rsidR="00E77321" w:rsidRPr="00F373B7">
        <w:rPr>
          <w:sz w:val="24"/>
          <w:szCs w:val="24"/>
        </w:rPr>
        <w:t>Whilst acknowledging the limits of law’s power to effect gender equality</w:t>
      </w:r>
      <w:r w:rsidR="0037581D" w:rsidRPr="00F373B7">
        <w:rPr>
          <w:sz w:val="24"/>
          <w:szCs w:val="24"/>
        </w:rPr>
        <w:t>,</w:t>
      </w:r>
      <w:r w:rsidR="004416AA" w:rsidRPr="00F373B7">
        <w:rPr>
          <w:sz w:val="24"/>
          <w:szCs w:val="24"/>
        </w:rPr>
        <w:t xml:space="preserve"> especially given law’s questionable claims to neutrality</w:t>
      </w:r>
      <w:r w:rsidR="00E77321" w:rsidRPr="00F373B7">
        <w:rPr>
          <w:sz w:val="24"/>
          <w:szCs w:val="24"/>
        </w:rPr>
        <w:t>, t</w:t>
      </w:r>
      <w:r w:rsidRPr="00F373B7">
        <w:rPr>
          <w:sz w:val="24"/>
          <w:szCs w:val="24"/>
        </w:rPr>
        <w:t xml:space="preserve">he Association </w:t>
      </w:r>
      <w:r w:rsidR="0033125D" w:rsidRPr="00F373B7">
        <w:rPr>
          <w:sz w:val="24"/>
          <w:szCs w:val="24"/>
        </w:rPr>
        <w:t xml:space="preserve">still </w:t>
      </w:r>
      <w:r w:rsidR="00E77321" w:rsidRPr="00F373B7">
        <w:rPr>
          <w:sz w:val="24"/>
          <w:szCs w:val="24"/>
        </w:rPr>
        <w:t>advocated</w:t>
      </w:r>
      <w:r w:rsidRPr="00F373B7">
        <w:rPr>
          <w:sz w:val="24"/>
          <w:szCs w:val="24"/>
        </w:rPr>
        <w:t xml:space="preserve"> for </w:t>
      </w:r>
      <w:r w:rsidR="0037581D" w:rsidRPr="00F373B7">
        <w:rPr>
          <w:sz w:val="24"/>
          <w:szCs w:val="24"/>
        </w:rPr>
        <w:t>the</w:t>
      </w:r>
      <w:r w:rsidR="004416AA" w:rsidRPr="00F373B7">
        <w:rPr>
          <w:sz w:val="24"/>
          <w:szCs w:val="24"/>
        </w:rPr>
        <w:t xml:space="preserve"> </w:t>
      </w:r>
      <w:r w:rsidR="007F4721" w:rsidRPr="00F373B7">
        <w:rPr>
          <w:sz w:val="24"/>
          <w:szCs w:val="24"/>
        </w:rPr>
        <w:t>Bill</w:t>
      </w:r>
      <w:r w:rsidRPr="00F373B7">
        <w:rPr>
          <w:sz w:val="24"/>
          <w:szCs w:val="24"/>
        </w:rPr>
        <w:t xml:space="preserve"> for some four decades</w:t>
      </w:r>
      <w:r w:rsidR="00E77321" w:rsidRPr="00F373B7">
        <w:rPr>
          <w:sz w:val="24"/>
          <w:szCs w:val="24"/>
        </w:rPr>
        <w:t xml:space="preserve">. Thompson </w:t>
      </w:r>
      <w:r w:rsidR="0037581D" w:rsidRPr="00F373B7">
        <w:rPr>
          <w:sz w:val="24"/>
          <w:szCs w:val="24"/>
        </w:rPr>
        <w:t xml:space="preserve">rightly </w:t>
      </w:r>
      <w:r w:rsidR="0033125D" w:rsidRPr="00F373B7">
        <w:rPr>
          <w:sz w:val="24"/>
          <w:szCs w:val="24"/>
        </w:rPr>
        <w:t>argues that</w:t>
      </w:r>
      <w:r w:rsidR="00E77321" w:rsidRPr="00F373B7">
        <w:rPr>
          <w:sz w:val="24"/>
          <w:szCs w:val="24"/>
        </w:rPr>
        <w:t xml:space="preserve"> the importance of this campaign </w:t>
      </w:r>
      <w:r w:rsidR="0033125D" w:rsidRPr="00F373B7">
        <w:rPr>
          <w:sz w:val="24"/>
          <w:szCs w:val="24"/>
        </w:rPr>
        <w:t xml:space="preserve">should be measured </w:t>
      </w:r>
      <w:r w:rsidR="00E77321" w:rsidRPr="00F373B7">
        <w:rPr>
          <w:sz w:val="24"/>
          <w:szCs w:val="24"/>
        </w:rPr>
        <w:t>in terms of the ‘patchwork o</w:t>
      </w:r>
      <w:r w:rsidR="00EA3E3E">
        <w:rPr>
          <w:sz w:val="24"/>
          <w:szCs w:val="24"/>
        </w:rPr>
        <w:t>f</w:t>
      </w:r>
      <w:r w:rsidR="00E77321" w:rsidRPr="00F373B7">
        <w:rPr>
          <w:sz w:val="24"/>
          <w:szCs w:val="24"/>
        </w:rPr>
        <w:t xml:space="preserve"> reforms’ that followed the Bill’s ultimate failure. </w:t>
      </w:r>
      <w:r w:rsidR="0033125D" w:rsidRPr="00F373B7">
        <w:rPr>
          <w:sz w:val="24"/>
          <w:szCs w:val="24"/>
        </w:rPr>
        <w:t xml:space="preserve">In this way, we appreciate that the value of activism may not be demonstrable </w:t>
      </w:r>
      <w:r w:rsidR="00F22A71" w:rsidRPr="00F373B7">
        <w:rPr>
          <w:sz w:val="24"/>
          <w:szCs w:val="24"/>
        </w:rPr>
        <w:t>in</w:t>
      </w:r>
      <w:r w:rsidR="0033125D" w:rsidRPr="00F373B7">
        <w:rPr>
          <w:sz w:val="24"/>
          <w:szCs w:val="24"/>
        </w:rPr>
        <w:t xml:space="preserve"> radical ideological </w:t>
      </w:r>
      <w:r w:rsidR="00D91244" w:rsidRPr="00F373B7">
        <w:rPr>
          <w:sz w:val="24"/>
          <w:szCs w:val="24"/>
        </w:rPr>
        <w:t xml:space="preserve">and legal </w:t>
      </w:r>
      <w:r w:rsidR="0033125D" w:rsidRPr="00F373B7">
        <w:rPr>
          <w:sz w:val="24"/>
          <w:szCs w:val="24"/>
        </w:rPr>
        <w:t>victories but in piecemeal, perhaps less concrete</w:t>
      </w:r>
      <w:r w:rsidR="00D91244" w:rsidRPr="00F373B7">
        <w:rPr>
          <w:sz w:val="24"/>
          <w:szCs w:val="24"/>
        </w:rPr>
        <w:t>,</w:t>
      </w:r>
      <w:r w:rsidR="0033125D" w:rsidRPr="00F373B7">
        <w:rPr>
          <w:sz w:val="24"/>
          <w:szCs w:val="24"/>
        </w:rPr>
        <w:t xml:space="preserve"> advances</w:t>
      </w:r>
      <w:r w:rsidR="004416AA" w:rsidRPr="00F373B7">
        <w:rPr>
          <w:sz w:val="24"/>
          <w:szCs w:val="24"/>
        </w:rPr>
        <w:t xml:space="preserve"> brought about by ‘persistent’</w:t>
      </w:r>
      <w:r w:rsidR="004416AA" w:rsidRPr="00F373B7">
        <w:rPr>
          <w:rStyle w:val="FootnoteReference"/>
          <w:sz w:val="24"/>
          <w:szCs w:val="24"/>
        </w:rPr>
        <w:footnoteReference w:id="14"/>
      </w:r>
      <w:r w:rsidR="004416AA" w:rsidRPr="00F373B7">
        <w:rPr>
          <w:sz w:val="24"/>
          <w:szCs w:val="24"/>
        </w:rPr>
        <w:t xml:space="preserve"> pressure</w:t>
      </w:r>
      <w:r w:rsidR="0033125D" w:rsidRPr="00F373B7">
        <w:rPr>
          <w:sz w:val="24"/>
          <w:szCs w:val="24"/>
        </w:rPr>
        <w:t>.</w:t>
      </w:r>
    </w:p>
    <w:p w14:paraId="435E75D9" w14:textId="33AEAEA4" w:rsidR="008C59FB" w:rsidRPr="00F373B7" w:rsidRDefault="00D91244">
      <w:pPr>
        <w:rPr>
          <w:b/>
          <w:bCs/>
          <w:sz w:val="24"/>
          <w:szCs w:val="24"/>
        </w:rPr>
      </w:pPr>
      <w:r w:rsidRPr="00F373B7">
        <w:rPr>
          <w:sz w:val="24"/>
          <w:szCs w:val="24"/>
        </w:rPr>
        <w:t xml:space="preserve">This is a theme that is picked up in chapters </w:t>
      </w:r>
      <w:r w:rsidR="00AD4B1C" w:rsidRPr="00F373B7">
        <w:rPr>
          <w:sz w:val="24"/>
          <w:szCs w:val="24"/>
        </w:rPr>
        <w:t>seven</w:t>
      </w:r>
      <w:r w:rsidRPr="00F373B7">
        <w:rPr>
          <w:sz w:val="24"/>
          <w:szCs w:val="24"/>
        </w:rPr>
        <w:t xml:space="preserve"> (One Step at a Time), </w:t>
      </w:r>
      <w:r w:rsidR="00AD4B1C" w:rsidRPr="00F373B7">
        <w:rPr>
          <w:sz w:val="24"/>
          <w:szCs w:val="24"/>
        </w:rPr>
        <w:t>eight</w:t>
      </w:r>
      <w:r w:rsidRPr="00F373B7">
        <w:rPr>
          <w:sz w:val="24"/>
          <w:szCs w:val="24"/>
        </w:rPr>
        <w:t xml:space="preserve"> (Resistance as a Reform Strategy) and </w:t>
      </w:r>
      <w:r w:rsidR="00AD4B1C" w:rsidRPr="00F373B7">
        <w:rPr>
          <w:sz w:val="24"/>
          <w:szCs w:val="24"/>
        </w:rPr>
        <w:t>nine</w:t>
      </w:r>
      <w:r w:rsidRPr="00F373B7">
        <w:rPr>
          <w:sz w:val="24"/>
          <w:szCs w:val="24"/>
        </w:rPr>
        <w:t xml:space="preserve"> (Two Steps Forward, One Step Back). </w:t>
      </w:r>
      <w:r w:rsidR="00AD4B1C" w:rsidRPr="00F373B7">
        <w:rPr>
          <w:sz w:val="24"/>
          <w:szCs w:val="24"/>
        </w:rPr>
        <w:t xml:space="preserve">In chapter seven, the </w:t>
      </w:r>
      <w:r w:rsidR="004416AA" w:rsidRPr="00F373B7">
        <w:rPr>
          <w:sz w:val="24"/>
          <w:szCs w:val="24"/>
        </w:rPr>
        <w:t xml:space="preserve">technique of </w:t>
      </w:r>
      <w:r w:rsidR="00AD4B1C" w:rsidRPr="00F373B7">
        <w:rPr>
          <w:sz w:val="24"/>
          <w:szCs w:val="24"/>
        </w:rPr>
        <w:t>taking</w:t>
      </w:r>
      <w:r w:rsidR="004416AA" w:rsidRPr="00F373B7">
        <w:rPr>
          <w:sz w:val="24"/>
          <w:szCs w:val="24"/>
        </w:rPr>
        <w:t xml:space="preserve"> an incremental approach to family law reform is explored</w:t>
      </w:r>
      <w:r w:rsidR="00AD4B1C" w:rsidRPr="00F373B7">
        <w:rPr>
          <w:sz w:val="24"/>
          <w:szCs w:val="24"/>
        </w:rPr>
        <w:t xml:space="preserve">. The technique became deliberate </w:t>
      </w:r>
      <w:r w:rsidR="004416AA" w:rsidRPr="00F373B7">
        <w:rPr>
          <w:sz w:val="24"/>
          <w:szCs w:val="24"/>
        </w:rPr>
        <w:t xml:space="preserve">in </w:t>
      </w:r>
      <w:r w:rsidR="002A7943">
        <w:rPr>
          <w:sz w:val="24"/>
          <w:szCs w:val="24"/>
        </w:rPr>
        <w:t>the Association’s</w:t>
      </w:r>
      <w:r w:rsidR="004416AA" w:rsidRPr="00F373B7">
        <w:rPr>
          <w:sz w:val="24"/>
          <w:szCs w:val="24"/>
        </w:rPr>
        <w:t xml:space="preserve"> third decade</w:t>
      </w:r>
      <w:r w:rsidR="000E3019" w:rsidRPr="00F373B7">
        <w:rPr>
          <w:sz w:val="24"/>
          <w:szCs w:val="24"/>
        </w:rPr>
        <w:t xml:space="preserve"> when it</w:t>
      </w:r>
      <w:r w:rsidR="004416AA" w:rsidRPr="00F373B7">
        <w:rPr>
          <w:sz w:val="24"/>
          <w:szCs w:val="24"/>
        </w:rPr>
        <w:t xml:space="preserve"> chose to ‘lop a branch or two from the tree’ as opposed to ‘target</w:t>
      </w:r>
      <w:r w:rsidR="0037581D" w:rsidRPr="00F373B7">
        <w:rPr>
          <w:sz w:val="24"/>
          <w:szCs w:val="24"/>
        </w:rPr>
        <w:t>[</w:t>
      </w:r>
      <w:proofErr w:type="spellStart"/>
      <w:r w:rsidR="0037581D" w:rsidRPr="00F373B7">
        <w:rPr>
          <w:sz w:val="24"/>
          <w:szCs w:val="24"/>
        </w:rPr>
        <w:t>ing</w:t>
      </w:r>
      <w:proofErr w:type="spellEnd"/>
      <w:r w:rsidR="0037581D" w:rsidRPr="00F373B7">
        <w:rPr>
          <w:sz w:val="24"/>
          <w:szCs w:val="24"/>
        </w:rPr>
        <w:t>]</w:t>
      </w:r>
      <w:r w:rsidR="004416AA" w:rsidRPr="00F373B7">
        <w:rPr>
          <w:sz w:val="24"/>
          <w:szCs w:val="24"/>
        </w:rPr>
        <w:t xml:space="preserve"> the roots of inequality in marriage’.</w:t>
      </w:r>
      <w:r w:rsidR="004416AA" w:rsidRPr="00F373B7">
        <w:rPr>
          <w:rStyle w:val="FootnoteReference"/>
          <w:sz w:val="24"/>
          <w:szCs w:val="24"/>
        </w:rPr>
        <w:footnoteReference w:id="15"/>
      </w:r>
      <w:r w:rsidR="004416AA" w:rsidRPr="00F373B7">
        <w:rPr>
          <w:sz w:val="24"/>
          <w:szCs w:val="24"/>
        </w:rPr>
        <w:t xml:space="preserve"> </w:t>
      </w:r>
      <w:r w:rsidR="0076728D" w:rsidRPr="00F373B7">
        <w:rPr>
          <w:sz w:val="24"/>
          <w:szCs w:val="24"/>
        </w:rPr>
        <w:t xml:space="preserve">The Association found that </w:t>
      </w:r>
      <w:r w:rsidR="002E05FC" w:rsidRPr="00F373B7">
        <w:rPr>
          <w:sz w:val="24"/>
          <w:szCs w:val="24"/>
        </w:rPr>
        <w:t>the Private Member’s Bill procedure was an effective way of ushering in change in the face of a government who w</w:t>
      </w:r>
      <w:r w:rsidR="00CE4FBA">
        <w:rPr>
          <w:sz w:val="24"/>
          <w:szCs w:val="24"/>
        </w:rPr>
        <w:t>ere</w:t>
      </w:r>
      <w:r w:rsidR="002E05FC" w:rsidRPr="00F373B7">
        <w:rPr>
          <w:sz w:val="24"/>
          <w:szCs w:val="24"/>
        </w:rPr>
        <w:t xml:space="preserve"> too scared to </w:t>
      </w:r>
      <w:r w:rsidR="000E3019" w:rsidRPr="00F373B7">
        <w:rPr>
          <w:sz w:val="24"/>
          <w:szCs w:val="24"/>
        </w:rPr>
        <w:t>raise the issue themselves</w:t>
      </w:r>
      <w:r w:rsidR="007F4721" w:rsidRPr="00F373B7">
        <w:rPr>
          <w:sz w:val="24"/>
          <w:szCs w:val="24"/>
        </w:rPr>
        <w:t>,</w:t>
      </w:r>
      <w:r w:rsidR="000E3019" w:rsidRPr="00F373B7">
        <w:rPr>
          <w:sz w:val="24"/>
          <w:szCs w:val="24"/>
        </w:rPr>
        <w:t xml:space="preserve"> lest they </w:t>
      </w:r>
      <w:r w:rsidR="002E05FC" w:rsidRPr="00F373B7">
        <w:rPr>
          <w:sz w:val="24"/>
          <w:szCs w:val="24"/>
        </w:rPr>
        <w:t>jeopardise the male vote.</w:t>
      </w:r>
      <w:r w:rsidR="004416AA" w:rsidRPr="00F373B7">
        <w:rPr>
          <w:sz w:val="24"/>
          <w:szCs w:val="24"/>
        </w:rPr>
        <w:t xml:space="preserve"> </w:t>
      </w:r>
      <w:r w:rsidR="002E05FC" w:rsidRPr="00F373B7">
        <w:rPr>
          <w:sz w:val="24"/>
          <w:szCs w:val="24"/>
        </w:rPr>
        <w:t xml:space="preserve">In chapter eight we learn how the Association’s act of </w:t>
      </w:r>
      <w:r w:rsidR="002E05FC" w:rsidRPr="00F373B7">
        <w:rPr>
          <w:sz w:val="24"/>
          <w:szCs w:val="24"/>
        </w:rPr>
        <w:lastRenderedPageBreak/>
        <w:t xml:space="preserve">resisting and slowing the proposed Divorce Reform Act 1969 sparked important debate about the monetary value of reproductive labour. </w:t>
      </w:r>
      <w:r w:rsidR="00A34621" w:rsidRPr="00F373B7">
        <w:rPr>
          <w:sz w:val="24"/>
          <w:szCs w:val="24"/>
        </w:rPr>
        <w:t>The subsequent</w:t>
      </w:r>
      <w:r w:rsidR="002E05FC" w:rsidRPr="00F373B7">
        <w:rPr>
          <w:sz w:val="24"/>
          <w:szCs w:val="24"/>
        </w:rPr>
        <w:t xml:space="preserve"> Matrimonial Proceedings </w:t>
      </w:r>
      <w:r w:rsidR="00A34621" w:rsidRPr="00F373B7">
        <w:rPr>
          <w:sz w:val="24"/>
          <w:szCs w:val="24"/>
        </w:rPr>
        <w:t xml:space="preserve">and Property </w:t>
      </w:r>
      <w:r w:rsidR="002E05FC" w:rsidRPr="00F373B7">
        <w:rPr>
          <w:sz w:val="24"/>
          <w:szCs w:val="24"/>
        </w:rPr>
        <w:t xml:space="preserve">Act 1970 finally ensured that non-financial contributions to family life were </w:t>
      </w:r>
      <w:r w:rsidR="00A34621" w:rsidRPr="00F373B7">
        <w:rPr>
          <w:sz w:val="24"/>
          <w:szCs w:val="24"/>
        </w:rPr>
        <w:t>recognised in</w:t>
      </w:r>
      <w:r w:rsidR="002E05FC" w:rsidRPr="00F373B7">
        <w:rPr>
          <w:sz w:val="24"/>
          <w:szCs w:val="24"/>
        </w:rPr>
        <w:t xml:space="preserve"> legislation</w:t>
      </w:r>
      <w:r w:rsidR="000E3019" w:rsidRPr="00F373B7">
        <w:rPr>
          <w:sz w:val="24"/>
          <w:szCs w:val="24"/>
        </w:rPr>
        <w:t>,</w:t>
      </w:r>
      <w:r w:rsidR="002E05FC" w:rsidRPr="00F373B7">
        <w:rPr>
          <w:sz w:val="24"/>
          <w:szCs w:val="24"/>
        </w:rPr>
        <w:t xml:space="preserve"> and yet, despite </w:t>
      </w:r>
      <w:r w:rsidR="00F524CB" w:rsidRPr="00F373B7">
        <w:rPr>
          <w:sz w:val="24"/>
          <w:szCs w:val="24"/>
        </w:rPr>
        <w:t>this landmark moment</w:t>
      </w:r>
      <w:r w:rsidR="002E05FC" w:rsidRPr="00F373B7">
        <w:rPr>
          <w:sz w:val="24"/>
          <w:szCs w:val="24"/>
        </w:rPr>
        <w:t xml:space="preserve">, chapter nine </w:t>
      </w:r>
      <w:r w:rsidR="007E38D8" w:rsidRPr="00F373B7">
        <w:rPr>
          <w:sz w:val="24"/>
          <w:szCs w:val="24"/>
        </w:rPr>
        <w:t xml:space="preserve">reveals how the Association’s </w:t>
      </w:r>
      <w:r w:rsidR="00F524CB" w:rsidRPr="00F373B7">
        <w:rPr>
          <w:sz w:val="24"/>
          <w:szCs w:val="24"/>
        </w:rPr>
        <w:t xml:space="preserve">ongoing </w:t>
      </w:r>
      <w:r w:rsidR="007E38D8" w:rsidRPr="00F373B7">
        <w:rPr>
          <w:sz w:val="24"/>
          <w:szCs w:val="24"/>
        </w:rPr>
        <w:t xml:space="preserve">demands </w:t>
      </w:r>
      <w:r w:rsidR="000E3019" w:rsidRPr="00F373B7">
        <w:rPr>
          <w:sz w:val="24"/>
          <w:szCs w:val="24"/>
        </w:rPr>
        <w:t>for</w:t>
      </w:r>
      <w:r w:rsidR="007E38D8" w:rsidRPr="00F373B7">
        <w:rPr>
          <w:sz w:val="24"/>
          <w:szCs w:val="24"/>
        </w:rPr>
        <w:t xml:space="preserve"> </w:t>
      </w:r>
      <w:r w:rsidR="007F4721" w:rsidRPr="00F373B7">
        <w:rPr>
          <w:sz w:val="24"/>
          <w:szCs w:val="24"/>
        </w:rPr>
        <w:t xml:space="preserve">wives’ </w:t>
      </w:r>
      <w:r w:rsidR="007E38D8" w:rsidRPr="00F373B7">
        <w:rPr>
          <w:sz w:val="24"/>
          <w:szCs w:val="24"/>
        </w:rPr>
        <w:t>equal right</w:t>
      </w:r>
      <w:r w:rsidR="000E3019" w:rsidRPr="00F373B7">
        <w:rPr>
          <w:sz w:val="24"/>
          <w:szCs w:val="24"/>
        </w:rPr>
        <w:t>s</w:t>
      </w:r>
      <w:r w:rsidR="007E38D8" w:rsidRPr="00F373B7">
        <w:rPr>
          <w:sz w:val="24"/>
          <w:szCs w:val="24"/>
        </w:rPr>
        <w:t xml:space="preserve"> to the matrimonial home </w:t>
      </w:r>
      <w:r w:rsidR="00F524CB" w:rsidRPr="00F373B7">
        <w:rPr>
          <w:sz w:val="24"/>
          <w:szCs w:val="24"/>
        </w:rPr>
        <w:t xml:space="preserve">continued to </w:t>
      </w:r>
      <w:r w:rsidR="007E38D8" w:rsidRPr="00F373B7">
        <w:rPr>
          <w:sz w:val="24"/>
          <w:szCs w:val="24"/>
        </w:rPr>
        <w:t>face significant opposition.</w:t>
      </w:r>
      <w:r w:rsidR="0015169F" w:rsidRPr="00F373B7">
        <w:rPr>
          <w:sz w:val="24"/>
          <w:szCs w:val="24"/>
        </w:rPr>
        <w:t xml:space="preserve"> </w:t>
      </w:r>
      <w:r w:rsidR="000E3019" w:rsidRPr="00F373B7">
        <w:rPr>
          <w:sz w:val="24"/>
          <w:szCs w:val="24"/>
        </w:rPr>
        <w:t xml:space="preserve">These final chapters are </w:t>
      </w:r>
      <w:r w:rsidR="00F524CB" w:rsidRPr="00F373B7">
        <w:rPr>
          <w:sz w:val="24"/>
          <w:szCs w:val="24"/>
        </w:rPr>
        <w:t xml:space="preserve">realistic </w:t>
      </w:r>
      <w:r w:rsidR="000E3019" w:rsidRPr="00F373B7">
        <w:rPr>
          <w:sz w:val="24"/>
          <w:szCs w:val="24"/>
        </w:rPr>
        <w:t xml:space="preserve">about the extent to which the Association could </w:t>
      </w:r>
      <w:proofErr w:type="spellStart"/>
      <w:r w:rsidR="000E3019" w:rsidRPr="00F373B7">
        <w:rPr>
          <w:sz w:val="24"/>
          <w:szCs w:val="24"/>
        </w:rPr>
        <w:t>effect</w:t>
      </w:r>
      <w:proofErr w:type="spellEnd"/>
      <w:r w:rsidR="000E3019" w:rsidRPr="00F373B7">
        <w:rPr>
          <w:sz w:val="24"/>
          <w:szCs w:val="24"/>
        </w:rPr>
        <w:t xml:space="preserve"> legislative change</w:t>
      </w:r>
      <w:r w:rsidR="00F524CB" w:rsidRPr="00F373B7">
        <w:rPr>
          <w:sz w:val="24"/>
          <w:szCs w:val="24"/>
        </w:rPr>
        <w:t>, b</w:t>
      </w:r>
      <w:r w:rsidR="000E3019" w:rsidRPr="00F373B7">
        <w:rPr>
          <w:sz w:val="24"/>
          <w:szCs w:val="24"/>
        </w:rPr>
        <w:t>ut the message Thompson seeks to convey comes through loud and clear: that s</w:t>
      </w:r>
      <w:r w:rsidR="0015169F" w:rsidRPr="00F373B7">
        <w:rPr>
          <w:sz w:val="24"/>
          <w:szCs w:val="24"/>
        </w:rPr>
        <w:t>ometimes what ricochets from apparent failure is</w:t>
      </w:r>
      <w:r w:rsidR="000E3019" w:rsidRPr="00F373B7">
        <w:rPr>
          <w:sz w:val="24"/>
          <w:szCs w:val="24"/>
        </w:rPr>
        <w:t>, nonetheless,</w:t>
      </w:r>
      <w:r w:rsidR="0015169F" w:rsidRPr="00F373B7">
        <w:rPr>
          <w:sz w:val="24"/>
          <w:szCs w:val="24"/>
        </w:rPr>
        <w:t xml:space="preserve"> progress and </w:t>
      </w:r>
      <w:r w:rsidR="00BC256F" w:rsidRPr="00F373B7">
        <w:rPr>
          <w:sz w:val="24"/>
          <w:szCs w:val="24"/>
        </w:rPr>
        <w:t>that measuring success</w:t>
      </w:r>
      <w:r w:rsidR="0015169F" w:rsidRPr="00F373B7">
        <w:rPr>
          <w:sz w:val="24"/>
          <w:szCs w:val="24"/>
        </w:rPr>
        <w:t xml:space="preserve"> in terms of </w:t>
      </w:r>
      <w:r w:rsidR="00AD4B1C" w:rsidRPr="00F373B7">
        <w:rPr>
          <w:sz w:val="24"/>
          <w:szCs w:val="24"/>
        </w:rPr>
        <w:t>piecemeal amendments</w:t>
      </w:r>
      <w:r w:rsidR="00BC256F" w:rsidRPr="00F373B7">
        <w:rPr>
          <w:sz w:val="24"/>
          <w:szCs w:val="24"/>
        </w:rPr>
        <w:t xml:space="preserve"> and </w:t>
      </w:r>
      <w:r w:rsidR="007F4721" w:rsidRPr="00F373B7">
        <w:rPr>
          <w:sz w:val="24"/>
          <w:szCs w:val="24"/>
        </w:rPr>
        <w:t>gradual</w:t>
      </w:r>
      <w:r w:rsidR="00BC256F" w:rsidRPr="00F373B7">
        <w:rPr>
          <w:sz w:val="24"/>
          <w:szCs w:val="24"/>
        </w:rPr>
        <w:t xml:space="preserve"> shifts in public perception means that we do not erase the invaluable work of groups like the Married Women’s Association</w:t>
      </w:r>
      <w:r w:rsidR="0015169F" w:rsidRPr="00F373B7">
        <w:rPr>
          <w:sz w:val="24"/>
          <w:szCs w:val="24"/>
        </w:rPr>
        <w:t>.</w:t>
      </w:r>
    </w:p>
    <w:p w14:paraId="50390E2F" w14:textId="24CC2031" w:rsidR="00C15310" w:rsidRPr="00F373B7" w:rsidRDefault="001071AA">
      <w:pPr>
        <w:rPr>
          <w:sz w:val="24"/>
          <w:szCs w:val="24"/>
        </w:rPr>
      </w:pPr>
      <w:r w:rsidRPr="00F373B7">
        <w:rPr>
          <w:sz w:val="24"/>
          <w:szCs w:val="24"/>
        </w:rPr>
        <w:t>In between substantive chapters, t</w:t>
      </w:r>
      <w:r w:rsidR="001C1363" w:rsidRPr="00F373B7">
        <w:rPr>
          <w:sz w:val="24"/>
          <w:szCs w:val="24"/>
        </w:rPr>
        <w:t xml:space="preserve">he book also includes a number of </w:t>
      </w:r>
      <w:r w:rsidR="004857AE" w:rsidRPr="00F373B7">
        <w:rPr>
          <w:sz w:val="24"/>
          <w:szCs w:val="24"/>
        </w:rPr>
        <w:t>what the author calls ‘interludes’. These interludes</w:t>
      </w:r>
      <w:r w:rsidR="00CA1D23" w:rsidRPr="00F373B7">
        <w:rPr>
          <w:sz w:val="24"/>
          <w:szCs w:val="24"/>
        </w:rPr>
        <w:t xml:space="preserve"> (1-2 pages in length)</w:t>
      </w:r>
      <w:r w:rsidR="004857AE" w:rsidRPr="00F373B7">
        <w:rPr>
          <w:sz w:val="24"/>
          <w:szCs w:val="24"/>
        </w:rPr>
        <w:t xml:space="preserve"> </w:t>
      </w:r>
      <w:r w:rsidR="00206F2A" w:rsidRPr="00F373B7">
        <w:rPr>
          <w:sz w:val="24"/>
          <w:szCs w:val="24"/>
        </w:rPr>
        <w:t xml:space="preserve">break up the chronological narrative </w:t>
      </w:r>
      <w:r w:rsidR="008C59FB" w:rsidRPr="00F373B7">
        <w:rPr>
          <w:sz w:val="24"/>
          <w:szCs w:val="24"/>
        </w:rPr>
        <w:t xml:space="preserve">of the substantive chapters </w:t>
      </w:r>
      <w:r w:rsidR="00206F2A" w:rsidRPr="00F373B7">
        <w:rPr>
          <w:sz w:val="24"/>
          <w:szCs w:val="24"/>
        </w:rPr>
        <w:t xml:space="preserve">and serve to </w:t>
      </w:r>
      <w:r w:rsidR="004857AE" w:rsidRPr="00F373B7">
        <w:rPr>
          <w:sz w:val="24"/>
          <w:szCs w:val="24"/>
        </w:rPr>
        <w:t xml:space="preserve">spotlight a particular </w:t>
      </w:r>
      <w:r w:rsidR="001E4E7D" w:rsidRPr="00F373B7">
        <w:rPr>
          <w:sz w:val="24"/>
          <w:szCs w:val="24"/>
        </w:rPr>
        <w:t>treasure that Thompson has uncovered from her archi</w:t>
      </w:r>
      <w:r w:rsidR="00F524CB" w:rsidRPr="00F373B7">
        <w:rPr>
          <w:sz w:val="24"/>
          <w:szCs w:val="24"/>
        </w:rPr>
        <w:t xml:space="preserve">val </w:t>
      </w:r>
      <w:r w:rsidR="001E4E7D" w:rsidRPr="00F373B7">
        <w:rPr>
          <w:sz w:val="24"/>
          <w:szCs w:val="24"/>
        </w:rPr>
        <w:t>research.</w:t>
      </w:r>
      <w:r w:rsidR="00206F2A" w:rsidRPr="00F373B7">
        <w:rPr>
          <w:sz w:val="24"/>
          <w:szCs w:val="24"/>
        </w:rPr>
        <w:t xml:space="preserve"> </w:t>
      </w:r>
      <w:r w:rsidR="00ED380E" w:rsidRPr="00F373B7">
        <w:rPr>
          <w:sz w:val="24"/>
          <w:szCs w:val="24"/>
        </w:rPr>
        <w:t>Breaking up the traditional chapter</w:t>
      </w:r>
      <w:r w:rsidR="0015169F" w:rsidRPr="00F373B7">
        <w:rPr>
          <w:sz w:val="24"/>
          <w:szCs w:val="24"/>
        </w:rPr>
        <w:t xml:space="preserve"> </w:t>
      </w:r>
      <w:r w:rsidR="00ED380E" w:rsidRPr="00F373B7">
        <w:rPr>
          <w:sz w:val="24"/>
          <w:szCs w:val="24"/>
        </w:rPr>
        <w:t xml:space="preserve">structure of the book </w:t>
      </w:r>
      <w:r w:rsidR="001E4E7D" w:rsidRPr="00F373B7">
        <w:rPr>
          <w:sz w:val="24"/>
          <w:szCs w:val="24"/>
        </w:rPr>
        <w:t>also</w:t>
      </w:r>
      <w:r w:rsidR="00ED380E" w:rsidRPr="00F373B7">
        <w:rPr>
          <w:sz w:val="24"/>
          <w:szCs w:val="24"/>
        </w:rPr>
        <w:t xml:space="preserve"> serves to remind</w:t>
      </w:r>
      <w:r w:rsidR="00206F2A" w:rsidRPr="00F373B7">
        <w:rPr>
          <w:sz w:val="24"/>
          <w:szCs w:val="24"/>
        </w:rPr>
        <w:t xml:space="preserve"> the reader </w:t>
      </w:r>
      <w:r w:rsidR="001E4E7D" w:rsidRPr="00F373B7">
        <w:rPr>
          <w:sz w:val="24"/>
          <w:szCs w:val="24"/>
        </w:rPr>
        <w:t>that the</w:t>
      </w:r>
      <w:r w:rsidR="000774E3" w:rsidRPr="00F373B7">
        <w:rPr>
          <w:sz w:val="24"/>
          <w:szCs w:val="24"/>
        </w:rPr>
        <w:t xml:space="preserve"> Association</w:t>
      </w:r>
      <w:r w:rsidR="00206F2A" w:rsidRPr="00F373B7">
        <w:rPr>
          <w:sz w:val="24"/>
          <w:szCs w:val="24"/>
        </w:rPr>
        <w:t xml:space="preserve"> </w:t>
      </w:r>
      <w:r w:rsidR="001E4E7D" w:rsidRPr="00F373B7">
        <w:rPr>
          <w:sz w:val="24"/>
          <w:szCs w:val="24"/>
        </w:rPr>
        <w:t xml:space="preserve">was working in multi-faceted ways; the group were frequently </w:t>
      </w:r>
      <w:r w:rsidR="000774E3" w:rsidRPr="00F373B7">
        <w:rPr>
          <w:sz w:val="24"/>
          <w:szCs w:val="24"/>
        </w:rPr>
        <w:t>agile</w:t>
      </w:r>
      <w:r w:rsidR="001E4E7D" w:rsidRPr="00F373B7">
        <w:rPr>
          <w:sz w:val="24"/>
          <w:szCs w:val="24"/>
        </w:rPr>
        <w:t xml:space="preserve"> and</w:t>
      </w:r>
      <w:r w:rsidR="000774E3" w:rsidRPr="00F373B7">
        <w:rPr>
          <w:sz w:val="24"/>
          <w:szCs w:val="24"/>
        </w:rPr>
        <w:t xml:space="preserve"> intuitive </w:t>
      </w:r>
      <w:r w:rsidR="001E4E7D" w:rsidRPr="00F373B7">
        <w:rPr>
          <w:sz w:val="24"/>
          <w:szCs w:val="24"/>
        </w:rPr>
        <w:t>in responding</w:t>
      </w:r>
      <w:r w:rsidR="000774E3" w:rsidRPr="00F373B7">
        <w:rPr>
          <w:sz w:val="24"/>
          <w:szCs w:val="24"/>
        </w:rPr>
        <w:t xml:space="preserve"> to both the extant structural </w:t>
      </w:r>
      <w:r w:rsidR="001E4E7D" w:rsidRPr="00F373B7">
        <w:rPr>
          <w:sz w:val="24"/>
          <w:szCs w:val="24"/>
        </w:rPr>
        <w:t xml:space="preserve">and legal </w:t>
      </w:r>
      <w:r w:rsidR="000774E3" w:rsidRPr="00F373B7">
        <w:rPr>
          <w:sz w:val="24"/>
          <w:szCs w:val="24"/>
        </w:rPr>
        <w:t xml:space="preserve">barriers </w:t>
      </w:r>
      <w:r w:rsidR="001E4E7D" w:rsidRPr="00F373B7">
        <w:rPr>
          <w:sz w:val="24"/>
          <w:szCs w:val="24"/>
        </w:rPr>
        <w:t>and</w:t>
      </w:r>
      <w:r w:rsidR="00CA1D23" w:rsidRPr="00F373B7">
        <w:rPr>
          <w:sz w:val="24"/>
          <w:szCs w:val="24"/>
        </w:rPr>
        <w:t xml:space="preserve"> the</w:t>
      </w:r>
      <w:r w:rsidR="000774E3" w:rsidRPr="00F373B7">
        <w:rPr>
          <w:sz w:val="24"/>
          <w:szCs w:val="24"/>
        </w:rPr>
        <w:t xml:space="preserve"> influential personalities that </w:t>
      </w:r>
      <w:r w:rsidR="001E4E7D" w:rsidRPr="00F373B7">
        <w:rPr>
          <w:sz w:val="24"/>
          <w:szCs w:val="24"/>
        </w:rPr>
        <w:t xml:space="preserve">could </w:t>
      </w:r>
      <w:r w:rsidR="000774E3" w:rsidRPr="00F373B7">
        <w:rPr>
          <w:sz w:val="24"/>
          <w:szCs w:val="24"/>
        </w:rPr>
        <w:t xml:space="preserve">hinder </w:t>
      </w:r>
      <w:r w:rsidR="00CA1D23" w:rsidRPr="00F373B7">
        <w:rPr>
          <w:sz w:val="24"/>
          <w:szCs w:val="24"/>
        </w:rPr>
        <w:t xml:space="preserve">(or advance) </w:t>
      </w:r>
      <w:r w:rsidR="001E4E7D" w:rsidRPr="00F373B7">
        <w:rPr>
          <w:sz w:val="24"/>
          <w:szCs w:val="24"/>
        </w:rPr>
        <w:t xml:space="preserve">their </w:t>
      </w:r>
      <w:r w:rsidR="000774E3" w:rsidRPr="00F373B7">
        <w:rPr>
          <w:sz w:val="24"/>
          <w:szCs w:val="24"/>
        </w:rPr>
        <w:t xml:space="preserve">progress. </w:t>
      </w:r>
    </w:p>
    <w:p w14:paraId="7EFAAC5A" w14:textId="49F132BA" w:rsidR="004857AE" w:rsidRPr="00F373B7" w:rsidRDefault="00206F2A">
      <w:pPr>
        <w:rPr>
          <w:sz w:val="24"/>
          <w:szCs w:val="24"/>
        </w:rPr>
      </w:pPr>
      <w:r w:rsidRPr="00F373B7">
        <w:rPr>
          <w:sz w:val="24"/>
          <w:szCs w:val="24"/>
        </w:rPr>
        <w:t xml:space="preserve">The </w:t>
      </w:r>
      <w:r w:rsidR="00C239E4" w:rsidRPr="00F373B7">
        <w:rPr>
          <w:sz w:val="24"/>
          <w:szCs w:val="24"/>
        </w:rPr>
        <w:t xml:space="preserve">interlude about </w:t>
      </w:r>
      <w:r w:rsidR="00F524CB" w:rsidRPr="00F373B7">
        <w:rPr>
          <w:sz w:val="24"/>
          <w:szCs w:val="24"/>
        </w:rPr>
        <w:t xml:space="preserve">founder </w:t>
      </w:r>
      <w:r w:rsidR="00C239E4" w:rsidRPr="00F373B7">
        <w:rPr>
          <w:sz w:val="24"/>
          <w:szCs w:val="24"/>
        </w:rPr>
        <w:t xml:space="preserve">Juanita Frances offers insight </w:t>
      </w:r>
      <w:r w:rsidR="009A351D">
        <w:rPr>
          <w:sz w:val="24"/>
          <w:szCs w:val="24"/>
        </w:rPr>
        <w:t>into her</w:t>
      </w:r>
      <w:r w:rsidR="001071AA" w:rsidRPr="00F373B7">
        <w:rPr>
          <w:sz w:val="24"/>
          <w:szCs w:val="24"/>
        </w:rPr>
        <w:t xml:space="preserve"> </w:t>
      </w:r>
      <w:r w:rsidR="00C239E4" w:rsidRPr="00F373B7">
        <w:rPr>
          <w:sz w:val="24"/>
          <w:szCs w:val="24"/>
        </w:rPr>
        <w:t xml:space="preserve">vivacious, </w:t>
      </w:r>
      <w:r w:rsidR="00ED380E" w:rsidRPr="00F373B7">
        <w:rPr>
          <w:sz w:val="24"/>
          <w:szCs w:val="24"/>
        </w:rPr>
        <w:t>instinctive</w:t>
      </w:r>
      <w:r w:rsidR="00C239E4" w:rsidRPr="00F373B7">
        <w:rPr>
          <w:sz w:val="24"/>
          <w:szCs w:val="24"/>
        </w:rPr>
        <w:t xml:space="preserve"> and</w:t>
      </w:r>
      <w:r w:rsidR="007F4721" w:rsidRPr="00F373B7">
        <w:rPr>
          <w:sz w:val="24"/>
          <w:szCs w:val="24"/>
        </w:rPr>
        <w:t xml:space="preserve"> </w:t>
      </w:r>
      <w:r w:rsidR="002429DC" w:rsidRPr="00F373B7">
        <w:rPr>
          <w:sz w:val="24"/>
          <w:szCs w:val="24"/>
        </w:rPr>
        <w:t xml:space="preserve">determined </w:t>
      </w:r>
      <w:r w:rsidR="00C239E4" w:rsidRPr="00F373B7">
        <w:rPr>
          <w:sz w:val="24"/>
          <w:szCs w:val="24"/>
        </w:rPr>
        <w:t xml:space="preserve">passion for </w:t>
      </w:r>
      <w:r w:rsidR="001071AA" w:rsidRPr="00F373B7">
        <w:rPr>
          <w:sz w:val="24"/>
          <w:szCs w:val="24"/>
        </w:rPr>
        <w:t>T</w:t>
      </w:r>
      <w:r w:rsidR="00C239E4" w:rsidRPr="00F373B7">
        <w:rPr>
          <w:sz w:val="24"/>
          <w:szCs w:val="24"/>
        </w:rPr>
        <w:t xml:space="preserve">he </w:t>
      </w:r>
      <w:r w:rsidR="001071AA" w:rsidRPr="00F373B7">
        <w:rPr>
          <w:sz w:val="24"/>
          <w:szCs w:val="24"/>
        </w:rPr>
        <w:t>C</w:t>
      </w:r>
      <w:r w:rsidR="00C239E4" w:rsidRPr="00F373B7">
        <w:rPr>
          <w:sz w:val="24"/>
          <w:szCs w:val="24"/>
        </w:rPr>
        <w:t>ause</w:t>
      </w:r>
      <w:r w:rsidR="001071AA" w:rsidRPr="00F373B7">
        <w:rPr>
          <w:sz w:val="24"/>
          <w:szCs w:val="24"/>
        </w:rPr>
        <w:t xml:space="preserve">. It also captures how </w:t>
      </w:r>
      <w:r w:rsidR="00F524CB" w:rsidRPr="00F373B7">
        <w:rPr>
          <w:sz w:val="24"/>
          <w:szCs w:val="24"/>
        </w:rPr>
        <w:t>she was recruited,</w:t>
      </w:r>
      <w:r w:rsidR="00E067B2" w:rsidRPr="00F373B7">
        <w:rPr>
          <w:sz w:val="24"/>
          <w:szCs w:val="24"/>
        </w:rPr>
        <w:t xml:space="preserve"> embraced and trained up </w:t>
      </w:r>
      <w:r w:rsidR="00F524CB" w:rsidRPr="00F373B7">
        <w:rPr>
          <w:sz w:val="24"/>
          <w:szCs w:val="24"/>
        </w:rPr>
        <w:t xml:space="preserve">and the part played by </w:t>
      </w:r>
      <w:r w:rsidR="00C239E4" w:rsidRPr="00F373B7">
        <w:rPr>
          <w:sz w:val="24"/>
          <w:szCs w:val="24"/>
        </w:rPr>
        <w:t>informal networks and serendipitous opportunities</w:t>
      </w:r>
      <w:r w:rsidR="000774E3" w:rsidRPr="00F373B7">
        <w:rPr>
          <w:sz w:val="24"/>
          <w:szCs w:val="24"/>
        </w:rPr>
        <w:t xml:space="preserve">. </w:t>
      </w:r>
      <w:r w:rsidR="00CA1D23" w:rsidRPr="00F373B7">
        <w:rPr>
          <w:sz w:val="24"/>
          <w:szCs w:val="24"/>
        </w:rPr>
        <w:t>A second</w:t>
      </w:r>
      <w:r w:rsidR="00C239E4" w:rsidRPr="00F373B7">
        <w:rPr>
          <w:sz w:val="24"/>
          <w:szCs w:val="24"/>
        </w:rPr>
        <w:t xml:space="preserve"> interlude </w:t>
      </w:r>
      <w:r w:rsidR="00E067B2" w:rsidRPr="00F373B7">
        <w:rPr>
          <w:sz w:val="24"/>
          <w:szCs w:val="24"/>
        </w:rPr>
        <w:t xml:space="preserve">about Lord Denning </w:t>
      </w:r>
      <w:r w:rsidR="00ED380E" w:rsidRPr="00F373B7">
        <w:rPr>
          <w:sz w:val="24"/>
          <w:szCs w:val="24"/>
        </w:rPr>
        <w:t>caution</w:t>
      </w:r>
      <w:r w:rsidR="00CA1D23" w:rsidRPr="00F373B7">
        <w:rPr>
          <w:sz w:val="24"/>
          <w:szCs w:val="24"/>
        </w:rPr>
        <w:t>s</w:t>
      </w:r>
      <w:r w:rsidR="00ED380E" w:rsidRPr="00F373B7">
        <w:rPr>
          <w:sz w:val="24"/>
          <w:szCs w:val="24"/>
        </w:rPr>
        <w:t xml:space="preserve"> that</w:t>
      </w:r>
      <w:r w:rsidR="00E067B2" w:rsidRPr="00F373B7">
        <w:rPr>
          <w:sz w:val="24"/>
          <w:szCs w:val="24"/>
        </w:rPr>
        <w:t xml:space="preserve"> whilst</w:t>
      </w:r>
      <w:r w:rsidR="00CA1D23" w:rsidRPr="00F373B7">
        <w:rPr>
          <w:sz w:val="24"/>
          <w:szCs w:val="24"/>
        </w:rPr>
        <w:t xml:space="preserve"> </w:t>
      </w:r>
      <w:r w:rsidR="00E067B2" w:rsidRPr="00F373B7">
        <w:rPr>
          <w:sz w:val="24"/>
          <w:szCs w:val="24"/>
        </w:rPr>
        <w:t>his</w:t>
      </w:r>
      <w:r w:rsidR="00C239E4" w:rsidRPr="00F373B7">
        <w:rPr>
          <w:sz w:val="24"/>
          <w:szCs w:val="24"/>
        </w:rPr>
        <w:t xml:space="preserve"> </w:t>
      </w:r>
      <w:r w:rsidR="00CA1D23" w:rsidRPr="00F373B7">
        <w:rPr>
          <w:sz w:val="24"/>
          <w:szCs w:val="24"/>
        </w:rPr>
        <w:t xml:space="preserve">legal </w:t>
      </w:r>
      <w:r w:rsidR="000774E3" w:rsidRPr="00F373B7">
        <w:rPr>
          <w:sz w:val="24"/>
          <w:szCs w:val="24"/>
        </w:rPr>
        <w:t>judgments</w:t>
      </w:r>
      <w:r w:rsidR="00ED380E" w:rsidRPr="00F373B7">
        <w:rPr>
          <w:sz w:val="24"/>
          <w:szCs w:val="24"/>
        </w:rPr>
        <w:t xml:space="preserve"> acknowledge</w:t>
      </w:r>
      <w:r w:rsidR="00E067B2" w:rsidRPr="00F373B7">
        <w:rPr>
          <w:sz w:val="24"/>
          <w:szCs w:val="24"/>
        </w:rPr>
        <w:t>d</w:t>
      </w:r>
      <w:r w:rsidR="00C239E4" w:rsidRPr="00F373B7">
        <w:rPr>
          <w:sz w:val="24"/>
          <w:szCs w:val="24"/>
        </w:rPr>
        <w:t xml:space="preserve"> the injustice wives</w:t>
      </w:r>
      <w:r w:rsidR="00F524CB" w:rsidRPr="00F373B7">
        <w:rPr>
          <w:sz w:val="24"/>
          <w:szCs w:val="24"/>
        </w:rPr>
        <w:t xml:space="preserve"> faced due to the </w:t>
      </w:r>
      <w:r w:rsidR="000774E3" w:rsidRPr="00F373B7">
        <w:rPr>
          <w:sz w:val="24"/>
          <w:szCs w:val="24"/>
        </w:rPr>
        <w:t>prohibit</w:t>
      </w:r>
      <w:r w:rsidR="004B478F">
        <w:rPr>
          <w:sz w:val="24"/>
          <w:szCs w:val="24"/>
        </w:rPr>
        <w:t>ion on their</w:t>
      </w:r>
      <w:r w:rsidR="000774E3" w:rsidRPr="00F373B7">
        <w:rPr>
          <w:sz w:val="24"/>
          <w:szCs w:val="24"/>
        </w:rPr>
        <w:t xml:space="preserve"> ownership of housekeeping savings and his desire to favour deserted wives</w:t>
      </w:r>
      <w:r w:rsidR="00E067B2" w:rsidRPr="00F373B7">
        <w:rPr>
          <w:sz w:val="24"/>
          <w:szCs w:val="24"/>
        </w:rPr>
        <w:t>’</w:t>
      </w:r>
      <w:r w:rsidR="000774E3" w:rsidRPr="00F373B7">
        <w:rPr>
          <w:sz w:val="24"/>
          <w:szCs w:val="24"/>
        </w:rPr>
        <w:t xml:space="preserve"> property rights</w:t>
      </w:r>
      <w:r w:rsidR="00ED380E" w:rsidRPr="00F373B7">
        <w:rPr>
          <w:sz w:val="24"/>
          <w:szCs w:val="24"/>
        </w:rPr>
        <w:t xml:space="preserve">, </w:t>
      </w:r>
      <w:r w:rsidR="00E067B2" w:rsidRPr="00F373B7">
        <w:rPr>
          <w:sz w:val="24"/>
          <w:szCs w:val="24"/>
        </w:rPr>
        <w:t xml:space="preserve">in actual fact, </w:t>
      </w:r>
      <w:r w:rsidR="00CA1D23" w:rsidRPr="00F373B7">
        <w:rPr>
          <w:sz w:val="24"/>
          <w:szCs w:val="24"/>
        </w:rPr>
        <w:t xml:space="preserve">his </w:t>
      </w:r>
      <w:r w:rsidR="00E067B2" w:rsidRPr="00F373B7">
        <w:rPr>
          <w:sz w:val="24"/>
          <w:szCs w:val="24"/>
        </w:rPr>
        <w:t xml:space="preserve">personal views were regressive. He publicly voiced </w:t>
      </w:r>
      <w:r w:rsidR="00456E32">
        <w:rPr>
          <w:sz w:val="24"/>
          <w:szCs w:val="24"/>
        </w:rPr>
        <w:t xml:space="preserve">the notion </w:t>
      </w:r>
      <w:r w:rsidR="00E067B2" w:rsidRPr="00F373B7">
        <w:rPr>
          <w:sz w:val="24"/>
          <w:szCs w:val="24"/>
        </w:rPr>
        <w:t>that the w</w:t>
      </w:r>
      <w:r w:rsidR="00ED380E" w:rsidRPr="00F373B7">
        <w:rPr>
          <w:sz w:val="24"/>
          <w:szCs w:val="24"/>
        </w:rPr>
        <w:t>ife was the ‘spoilt darling of the law’</w:t>
      </w:r>
      <w:r w:rsidR="00F524CB" w:rsidRPr="00F373B7">
        <w:rPr>
          <w:rStyle w:val="FootnoteReference"/>
          <w:sz w:val="24"/>
          <w:szCs w:val="24"/>
        </w:rPr>
        <w:footnoteReference w:id="16"/>
      </w:r>
      <w:r w:rsidR="00ED380E" w:rsidRPr="00F373B7">
        <w:rPr>
          <w:sz w:val="24"/>
          <w:szCs w:val="24"/>
        </w:rPr>
        <w:t xml:space="preserve"> and that in fact equality had been achieved</w:t>
      </w:r>
      <w:r w:rsidR="00E067B2" w:rsidRPr="00F373B7">
        <w:rPr>
          <w:sz w:val="24"/>
          <w:szCs w:val="24"/>
        </w:rPr>
        <w:t xml:space="preserve"> for her</w:t>
      </w:r>
      <w:r w:rsidR="00ED380E" w:rsidRPr="00F373B7">
        <w:rPr>
          <w:sz w:val="24"/>
          <w:szCs w:val="24"/>
        </w:rPr>
        <w:t xml:space="preserve"> (with the </w:t>
      </w:r>
      <w:r w:rsidR="00F524CB" w:rsidRPr="00F373B7">
        <w:rPr>
          <w:sz w:val="24"/>
          <w:szCs w:val="24"/>
        </w:rPr>
        <w:t xml:space="preserve">erroneous </w:t>
      </w:r>
      <w:r w:rsidR="00ED380E" w:rsidRPr="00F373B7">
        <w:rPr>
          <w:sz w:val="24"/>
          <w:szCs w:val="24"/>
        </w:rPr>
        <w:t>effect</w:t>
      </w:r>
      <w:r w:rsidR="00CA1D23" w:rsidRPr="00F373B7">
        <w:rPr>
          <w:sz w:val="24"/>
          <w:szCs w:val="24"/>
        </w:rPr>
        <w:t xml:space="preserve">, says Thompson, that one was left thinking </w:t>
      </w:r>
      <w:r w:rsidR="00ED380E" w:rsidRPr="00F373B7">
        <w:rPr>
          <w:sz w:val="24"/>
          <w:szCs w:val="24"/>
        </w:rPr>
        <w:t xml:space="preserve">that no more </w:t>
      </w:r>
      <w:r w:rsidR="00E067B2" w:rsidRPr="00F373B7">
        <w:rPr>
          <w:sz w:val="24"/>
          <w:szCs w:val="24"/>
        </w:rPr>
        <w:t>need</w:t>
      </w:r>
      <w:r w:rsidR="00AA081F">
        <w:rPr>
          <w:sz w:val="24"/>
          <w:szCs w:val="24"/>
        </w:rPr>
        <w:t>ed to</w:t>
      </w:r>
      <w:r w:rsidR="00ED380E" w:rsidRPr="00F373B7">
        <w:rPr>
          <w:sz w:val="24"/>
          <w:szCs w:val="24"/>
        </w:rPr>
        <w:t xml:space="preserve"> be done</w:t>
      </w:r>
      <w:r w:rsidR="00E067B2" w:rsidRPr="00F373B7">
        <w:rPr>
          <w:sz w:val="24"/>
          <w:szCs w:val="24"/>
        </w:rPr>
        <w:t xml:space="preserve"> for women</w:t>
      </w:r>
      <w:r w:rsidR="00ED380E" w:rsidRPr="00F373B7">
        <w:rPr>
          <w:sz w:val="24"/>
          <w:szCs w:val="24"/>
        </w:rPr>
        <w:t xml:space="preserve">). </w:t>
      </w:r>
      <w:r w:rsidR="00544262" w:rsidRPr="00F373B7">
        <w:rPr>
          <w:sz w:val="24"/>
          <w:szCs w:val="24"/>
        </w:rPr>
        <w:t xml:space="preserve">A </w:t>
      </w:r>
      <w:r w:rsidR="00E5678A" w:rsidRPr="00F373B7">
        <w:rPr>
          <w:sz w:val="24"/>
          <w:szCs w:val="24"/>
        </w:rPr>
        <w:t>further</w:t>
      </w:r>
      <w:r w:rsidR="00ED380E" w:rsidRPr="00F373B7">
        <w:rPr>
          <w:sz w:val="24"/>
          <w:szCs w:val="24"/>
        </w:rPr>
        <w:t xml:space="preserve"> interlude set</w:t>
      </w:r>
      <w:r w:rsidR="00544262" w:rsidRPr="00F373B7">
        <w:rPr>
          <w:sz w:val="24"/>
          <w:szCs w:val="24"/>
        </w:rPr>
        <w:t>s</w:t>
      </w:r>
      <w:r w:rsidR="00ED380E" w:rsidRPr="00F373B7">
        <w:rPr>
          <w:sz w:val="24"/>
          <w:szCs w:val="24"/>
        </w:rPr>
        <w:t xml:space="preserve"> out the speech of </w:t>
      </w:r>
      <w:r w:rsidR="00544262" w:rsidRPr="00F373B7">
        <w:rPr>
          <w:sz w:val="24"/>
          <w:szCs w:val="24"/>
        </w:rPr>
        <w:t xml:space="preserve">Vice President </w:t>
      </w:r>
      <w:r w:rsidR="00ED380E" w:rsidRPr="00F373B7">
        <w:rPr>
          <w:sz w:val="24"/>
          <w:szCs w:val="24"/>
        </w:rPr>
        <w:t>Theresa Billingham-Gr</w:t>
      </w:r>
      <w:r w:rsidR="00544262" w:rsidRPr="00F373B7">
        <w:rPr>
          <w:sz w:val="24"/>
          <w:szCs w:val="24"/>
        </w:rPr>
        <w:t>ei</w:t>
      </w:r>
      <w:r w:rsidR="00ED380E" w:rsidRPr="00F373B7">
        <w:rPr>
          <w:sz w:val="24"/>
          <w:szCs w:val="24"/>
        </w:rPr>
        <w:t>g</w:t>
      </w:r>
      <w:r w:rsidR="00F524CB" w:rsidRPr="00F373B7">
        <w:rPr>
          <w:sz w:val="24"/>
          <w:szCs w:val="24"/>
        </w:rPr>
        <w:t xml:space="preserve"> when</w:t>
      </w:r>
      <w:r w:rsidR="00ED380E" w:rsidRPr="00F373B7">
        <w:rPr>
          <w:sz w:val="24"/>
          <w:szCs w:val="24"/>
        </w:rPr>
        <w:t xml:space="preserve"> </w:t>
      </w:r>
      <w:r w:rsidR="00E067B2" w:rsidRPr="00F373B7">
        <w:rPr>
          <w:sz w:val="24"/>
          <w:szCs w:val="24"/>
        </w:rPr>
        <w:t xml:space="preserve">celebrating </w:t>
      </w:r>
      <w:r w:rsidR="00ED380E" w:rsidRPr="00F373B7">
        <w:rPr>
          <w:sz w:val="24"/>
          <w:szCs w:val="24"/>
        </w:rPr>
        <w:t xml:space="preserve">21 years </w:t>
      </w:r>
      <w:r w:rsidR="00E067B2" w:rsidRPr="00F373B7">
        <w:rPr>
          <w:sz w:val="24"/>
          <w:szCs w:val="24"/>
        </w:rPr>
        <w:t>of</w:t>
      </w:r>
      <w:r w:rsidR="00ED380E" w:rsidRPr="00F373B7">
        <w:rPr>
          <w:sz w:val="24"/>
          <w:szCs w:val="24"/>
        </w:rPr>
        <w:t xml:space="preserve"> the Association’s existence</w:t>
      </w:r>
      <w:r w:rsidR="00544262" w:rsidRPr="00F373B7">
        <w:rPr>
          <w:sz w:val="24"/>
          <w:szCs w:val="24"/>
        </w:rPr>
        <w:t>. The speech</w:t>
      </w:r>
      <w:r w:rsidR="00ED380E" w:rsidRPr="00F373B7">
        <w:rPr>
          <w:sz w:val="24"/>
          <w:szCs w:val="24"/>
        </w:rPr>
        <w:t xml:space="preserve"> is a </w:t>
      </w:r>
      <w:r w:rsidR="00544262" w:rsidRPr="00F373B7">
        <w:rPr>
          <w:sz w:val="24"/>
          <w:szCs w:val="24"/>
        </w:rPr>
        <w:t xml:space="preserve">consummate example of the Association’s </w:t>
      </w:r>
      <w:r w:rsidR="00CA1D23" w:rsidRPr="00F373B7">
        <w:rPr>
          <w:sz w:val="24"/>
          <w:szCs w:val="24"/>
        </w:rPr>
        <w:t>incisive</w:t>
      </w:r>
      <w:r w:rsidR="00544262" w:rsidRPr="00F373B7">
        <w:rPr>
          <w:sz w:val="24"/>
          <w:szCs w:val="24"/>
        </w:rPr>
        <w:t xml:space="preserve"> invocation of language</w:t>
      </w:r>
      <w:r w:rsidR="00E067B2" w:rsidRPr="00F373B7">
        <w:rPr>
          <w:sz w:val="24"/>
          <w:szCs w:val="24"/>
        </w:rPr>
        <w:t xml:space="preserve"> to highlight women’s injustices</w:t>
      </w:r>
      <w:r w:rsidR="00544262" w:rsidRPr="00F373B7">
        <w:rPr>
          <w:sz w:val="24"/>
          <w:szCs w:val="24"/>
        </w:rPr>
        <w:t xml:space="preserve">; </w:t>
      </w:r>
      <w:r w:rsidR="00E5678A" w:rsidRPr="00F373B7">
        <w:rPr>
          <w:sz w:val="24"/>
          <w:szCs w:val="24"/>
        </w:rPr>
        <w:t>Billingham-Greig uses</w:t>
      </w:r>
      <w:r w:rsidR="00980795" w:rsidRPr="00F373B7">
        <w:rPr>
          <w:sz w:val="24"/>
          <w:szCs w:val="24"/>
        </w:rPr>
        <w:t xml:space="preserve"> metaphor</w:t>
      </w:r>
      <w:r w:rsidR="00544262" w:rsidRPr="00F373B7">
        <w:rPr>
          <w:sz w:val="24"/>
          <w:szCs w:val="24"/>
        </w:rPr>
        <w:t xml:space="preserve"> </w:t>
      </w:r>
      <w:r w:rsidR="00E5678A" w:rsidRPr="00F373B7">
        <w:rPr>
          <w:sz w:val="24"/>
          <w:szCs w:val="24"/>
        </w:rPr>
        <w:t xml:space="preserve">to </w:t>
      </w:r>
      <w:r w:rsidR="00980795" w:rsidRPr="00F373B7">
        <w:rPr>
          <w:sz w:val="24"/>
          <w:szCs w:val="24"/>
        </w:rPr>
        <w:t>communicate</w:t>
      </w:r>
      <w:r w:rsidR="00544262" w:rsidRPr="00F373B7">
        <w:rPr>
          <w:sz w:val="24"/>
          <w:szCs w:val="24"/>
        </w:rPr>
        <w:t xml:space="preserve"> both the Association’s </w:t>
      </w:r>
      <w:r w:rsidR="00E5678A" w:rsidRPr="00F373B7">
        <w:rPr>
          <w:sz w:val="24"/>
          <w:szCs w:val="24"/>
        </w:rPr>
        <w:t xml:space="preserve">reform </w:t>
      </w:r>
      <w:r w:rsidR="00544262" w:rsidRPr="00F373B7">
        <w:rPr>
          <w:sz w:val="24"/>
          <w:szCs w:val="24"/>
        </w:rPr>
        <w:t xml:space="preserve">strategies </w:t>
      </w:r>
      <w:r w:rsidR="00E5678A" w:rsidRPr="00F373B7">
        <w:rPr>
          <w:sz w:val="24"/>
          <w:szCs w:val="24"/>
        </w:rPr>
        <w:t xml:space="preserve">together with critique of </w:t>
      </w:r>
      <w:r w:rsidR="00544262" w:rsidRPr="00F373B7">
        <w:rPr>
          <w:sz w:val="24"/>
          <w:szCs w:val="24"/>
        </w:rPr>
        <w:t>the structural inequalities baked into</w:t>
      </w:r>
      <w:r w:rsidR="00E5678A" w:rsidRPr="00F373B7">
        <w:rPr>
          <w:sz w:val="24"/>
          <w:szCs w:val="24"/>
        </w:rPr>
        <w:t xml:space="preserve"> </w:t>
      </w:r>
      <w:r w:rsidR="00E067B2" w:rsidRPr="00F373B7">
        <w:rPr>
          <w:sz w:val="24"/>
          <w:szCs w:val="24"/>
        </w:rPr>
        <w:t>the</w:t>
      </w:r>
      <w:r w:rsidR="00544262" w:rsidRPr="00F373B7">
        <w:rPr>
          <w:sz w:val="24"/>
          <w:szCs w:val="24"/>
        </w:rPr>
        <w:t xml:space="preserve"> law:</w:t>
      </w:r>
    </w:p>
    <w:p w14:paraId="06766AB9" w14:textId="4F854CCB" w:rsidR="001C1363" w:rsidRPr="00F373B7" w:rsidRDefault="00980795" w:rsidP="00980795">
      <w:pPr>
        <w:ind w:left="720"/>
        <w:rPr>
          <w:sz w:val="24"/>
          <w:szCs w:val="24"/>
        </w:rPr>
      </w:pPr>
      <w:r w:rsidRPr="00F373B7">
        <w:rPr>
          <w:sz w:val="24"/>
          <w:szCs w:val="24"/>
        </w:rPr>
        <w:t>Reform movements are like builders; they set out to erect structures in which human beings can live better lives but there are few of them which can begin their constructive work at once because of the state of the site on which they have to build.</w:t>
      </w:r>
      <w:r w:rsidRPr="00F373B7">
        <w:rPr>
          <w:rStyle w:val="FootnoteReference"/>
          <w:sz w:val="24"/>
          <w:szCs w:val="24"/>
        </w:rPr>
        <w:footnoteReference w:id="17"/>
      </w:r>
      <w:r w:rsidRPr="00F373B7">
        <w:rPr>
          <w:sz w:val="24"/>
          <w:szCs w:val="24"/>
        </w:rPr>
        <w:t xml:space="preserve"> </w:t>
      </w:r>
    </w:p>
    <w:p w14:paraId="7C66D351" w14:textId="7801D3CC" w:rsidR="00E5678A" w:rsidRPr="00F373B7" w:rsidRDefault="00E5678A" w:rsidP="00E5678A">
      <w:pPr>
        <w:rPr>
          <w:sz w:val="24"/>
          <w:szCs w:val="24"/>
        </w:rPr>
      </w:pPr>
      <w:r w:rsidRPr="00F373B7">
        <w:rPr>
          <w:sz w:val="24"/>
          <w:szCs w:val="24"/>
        </w:rPr>
        <w:lastRenderedPageBreak/>
        <w:t>A final interlude</w:t>
      </w:r>
      <w:r w:rsidR="00315F87" w:rsidRPr="00F373B7">
        <w:rPr>
          <w:sz w:val="24"/>
          <w:szCs w:val="24"/>
        </w:rPr>
        <w:t xml:space="preserve"> reveals an exchange in the Daily Mail newspaper in </w:t>
      </w:r>
      <w:r w:rsidR="00C15310" w:rsidRPr="00F373B7">
        <w:rPr>
          <w:sz w:val="24"/>
          <w:szCs w:val="24"/>
        </w:rPr>
        <w:t xml:space="preserve">1978 in </w:t>
      </w:r>
      <w:r w:rsidR="00315F87" w:rsidRPr="00F373B7">
        <w:rPr>
          <w:sz w:val="24"/>
          <w:szCs w:val="24"/>
        </w:rPr>
        <w:t>which the Association respond</w:t>
      </w:r>
      <w:r w:rsidR="00E067B2" w:rsidRPr="00F373B7">
        <w:rPr>
          <w:sz w:val="24"/>
          <w:szCs w:val="24"/>
        </w:rPr>
        <w:t>s</w:t>
      </w:r>
      <w:r w:rsidR="00315F87" w:rsidRPr="00F373B7">
        <w:rPr>
          <w:sz w:val="24"/>
          <w:szCs w:val="24"/>
        </w:rPr>
        <w:t xml:space="preserve"> in wonderfully parodic fashion to the headline</w:t>
      </w:r>
      <w:r w:rsidR="00C15310" w:rsidRPr="00F373B7">
        <w:rPr>
          <w:sz w:val="24"/>
          <w:szCs w:val="24"/>
        </w:rPr>
        <w:t>,</w:t>
      </w:r>
      <w:r w:rsidR="00315F87" w:rsidRPr="00F373B7">
        <w:rPr>
          <w:sz w:val="24"/>
          <w:szCs w:val="24"/>
        </w:rPr>
        <w:t xml:space="preserve"> ‘Why I think men get a rotten deal over divorce</w:t>
      </w:r>
      <w:r w:rsidR="00F81ED2" w:rsidRPr="00F373B7">
        <w:rPr>
          <w:sz w:val="24"/>
          <w:szCs w:val="24"/>
        </w:rPr>
        <w:t xml:space="preserve"> by Reggie</w:t>
      </w:r>
      <w:r w:rsidR="00C15310" w:rsidRPr="00F373B7">
        <w:rPr>
          <w:sz w:val="24"/>
          <w:szCs w:val="24"/>
        </w:rPr>
        <w:t>.</w:t>
      </w:r>
      <w:r w:rsidR="00315F87" w:rsidRPr="00F373B7">
        <w:rPr>
          <w:sz w:val="24"/>
          <w:szCs w:val="24"/>
        </w:rPr>
        <w:t xml:space="preserve">’ </w:t>
      </w:r>
      <w:r w:rsidR="00C15310" w:rsidRPr="00F373B7">
        <w:rPr>
          <w:sz w:val="24"/>
          <w:szCs w:val="24"/>
        </w:rPr>
        <w:t>R</w:t>
      </w:r>
      <w:r w:rsidR="00315F87" w:rsidRPr="00F373B7">
        <w:rPr>
          <w:sz w:val="24"/>
          <w:szCs w:val="24"/>
        </w:rPr>
        <w:t>epeatedly offer</w:t>
      </w:r>
      <w:r w:rsidR="00C15310" w:rsidRPr="00F373B7">
        <w:rPr>
          <w:sz w:val="24"/>
          <w:szCs w:val="24"/>
        </w:rPr>
        <w:t>ing</w:t>
      </w:r>
      <w:r w:rsidR="00315F87" w:rsidRPr="00F373B7">
        <w:rPr>
          <w:sz w:val="24"/>
          <w:szCs w:val="24"/>
        </w:rPr>
        <w:t xml:space="preserve"> pity to the complainant by referring to him as ‘Poor Reggie’</w:t>
      </w:r>
      <w:r w:rsidR="00C15310" w:rsidRPr="00F373B7">
        <w:rPr>
          <w:sz w:val="24"/>
          <w:szCs w:val="24"/>
        </w:rPr>
        <w:t>, their letter to the editor</w:t>
      </w:r>
      <w:r w:rsidR="00315F87" w:rsidRPr="00F373B7">
        <w:rPr>
          <w:sz w:val="24"/>
          <w:szCs w:val="24"/>
        </w:rPr>
        <w:t xml:space="preserve"> epitomises</w:t>
      </w:r>
      <w:r w:rsidR="00F524CB" w:rsidRPr="00F373B7">
        <w:rPr>
          <w:sz w:val="24"/>
          <w:szCs w:val="24"/>
        </w:rPr>
        <w:t xml:space="preserve"> their</w:t>
      </w:r>
      <w:r w:rsidR="00315F87" w:rsidRPr="00F373B7">
        <w:rPr>
          <w:sz w:val="24"/>
          <w:szCs w:val="24"/>
        </w:rPr>
        <w:t xml:space="preserve"> </w:t>
      </w:r>
      <w:r w:rsidR="00C15310" w:rsidRPr="00F373B7">
        <w:rPr>
          <w:i/>
          <w:iCs/>
          <w:sz w:val="24"/>
          <w:szCs w:val="24"/>
        </w:rPr>
        <w:t>modus operandi</w:t>
      </w:r>
      <w:r w:rsidR="00C15310" w:rsidRPr="00F373B7">
        <w:rPr>
          <w:sz w:val="24"/>
          <w:szCs w:val="24"/>
        </w:rPr>
        <w:t>; the</w:t>
      </w:r>
      <w:r w:rsidR="00913705" w:rsidRPr="00F373B7">
        <w:rPr>
          <w:sz w:val="24"/>
          <w:szCs w:val="24"/>
        </w:rPr>
        <w:t>y</w:t>
      </w:r>
      <w:r w:rsidR="00C15310" w:rsidRPr="00F373B7">
        <w:rPr>
          <w:sz w:val="24"/>
          <w:szCs w:val="24"/>
        </w:rPr>
        <w:t xml:space="preserve"> </w:t>
      </w:r>
      <w:r w:rsidR="00913705" w:rsidRPr="00F373B7">
        <w:rPr>
          <w:sz w:val="24"/>
          <w:szCs w:val="24"/>
        </w:rPr>
        <w:t xml:space="preserve">play at </w:t>
      </w:r>
      <w:r w:rsidR="00466796" w:rsidRPr="00F373B7">
        <w:rPr>
          <w:sz w:val="24"/>
          <w:szCs w:val="24"/>
        </w:rPr>
        <w:t>smoothing ruffled feathers</w:t>
      </w:r>
      <w:r w:rsidR="00913705" w:rsidRPr="00F373B7">
        <w:rPr>
          <w:sz w:val="24"/>
          <w:szCs w:val="24"/>
        </w:rPr>
        <w:t xml:space="preserve"> while pointing</w:t>
      </w:r>
      <w:r w:rsidR="00E067B2" w:rsidRPr="00F373B7">
        <w:rPr>
          <w:sz w:val="24"/>
          <w:szCs w:val="24"/>
        </w:rPr>
        <w:t xml:space="preserve"> out </w:t>
      </w:r>
      <w:r w:rsidR="00F81ED2" w:rsidRPr="00F373B7">
        <w:rPr>
          <w:sz w:val="24"/>
          <w:szCs w:val="24"/>
        </w:rPr>
        <w:t xml:space="preserve">Reggie’s </w:t>
      </w:r>
      <w:r w:rsidR="00CB77A5" w:rsidRPr="00F373B7">
        <w:rPr>
          <w:sz w:val="24"/>
          <w:szCs w:val="24"/>
        </w:rPr>
        <w:t xml:space="preserve">misplaced </w:t>
      </w:r>
      <w:r w:rsidR="00F81ED2" w:rsidRPr="00F373B7">
        <w:rPr>
          <w:sz w:val="24"/>
          <w:szCs w:val="24"/>
        </w:rPr>
        <w:t xml:space="preserve">claims about </w:t>
      </w:r>
      <w:r w:rsidR="00CB77A5" w:rsidRPr="00F373B7">
        <w:rPr>
          <w:sz w:val="24"/>
          <w:szCs w:val="24"/>
        </w:rPr>
        <w:t xml:space="preserve">the unfairness of </w:t>
      </w:r>
      <w:r w:rsidR="00F81ED2" w:rsidRPr="00F373B7">
        <w:rPr>
          <w:sz w:val="24"/>
          <w:szCs w:val="24"/>
        </w:rPr>
        <w:t>divorce maintenance payments</w:t>
      </w:r>
      <w:r w:rsidR="00913705" w:rsidRPr="00F373B7">
        <w:rPr>
          <w:sz w:val="24"/>
          <w:szCs w:val="24"/>
        </w:rPr>
        <w:t>.</w:t>
      </w:r>
    </w:p>
    <w:p w14:paraId="1DA931CE" w14:textId="7E61F61D" w:rsidR="0037581D" w:rsidRPr="00F373B7" w:rsidRDefault="0037581D">
      <w:pPr>
        <w:rPr>
          <w:sz w:val="24"/>
          <w:szCs w:val="24"/>
        </w:rPr>
      </w:pPr>
      <w:r w:rsidRPr="00F373B7">
        <w:rPr>
          <w:i/>
          <w:iCs/>
          <w:sz w:val="24"/>
          <w:szCs w:val="24"/>
        </w:rPr>
        <w:t>Quiet Revolutionaries</w:t>
      </w:r>
      <w:r w:rsidRPr="00F373B7">
        <w:rPr>
          <w:sz w:val="24"/>
          <w:szCs w:val="24"/>
        </w:rPr>
        <w:t xml:space="preserve"> is </w:t>
      </w:r>
      <w:r w:rsidR="00BC256F" w:rsidRPr="00F373B7">
        <w:rPr>
          <w:sz w:val="24"/>
          <w:szCs w:val="24"/>
        </w:rPr>
        <w:t>a must-read for all scholars of feminist legal history</w:t>
      </w:r>
      <w:r w:rsidR="00F77C9C" w:rsidRPr="00F373B7">
        <w:rPr>
          <w:sz w:val="24"/>
          <w:szCs w:val="24"/>
        </w:rPr>
        <w:t>,</w:t>
      </w:r>
      <w:r w:rsidR="00466796" w:rsidRPr="00F373B7">
        <w:rPr>
          <w:sz w:val="24"/>
          <w:szCs w:val="24"/>
        </w:rPr>
        <w:t xml:space="preserve"> and i</w:t>
      </w:r>
      <w:r w:rsidR="0014272E" w:rsidRPr="00F373B7">
        <w:rPr>
          <w:sz w:val="24"/>
          <w:szCs w:val="24"/>
        </w:rPr>
        <w:t xml:space="preserve">ts accompanying podcast further brings the group’s </w:t>
      </w:r>
      <w:r w:rsidR="00466796" w:rsidRPr="00F373B7">
        <w:rPr>
          <w:sz w:val="24"/>
          <w:szCs w:val="24"/>
        </w:rPr>
        <w:t>exertions</w:t>
      </w:r>
      <w:r w:rsidR="0014272E" w:rsidRPr="00F373B7">
        <w:rPr>
          <w:sz w:val="24"/>
          <w:szCs w:val="24"/>
        </w:rPr>
        <w:t xml:space="preserve"> to life.</w:t>
      </w:r>
      <w:r w:rsidRPr="00F373B7">
        <w:rPr>
          <w:sz w:val="24"/>
          <w:szCs w:val="24"/>
        </w:rPr>
        <w:t xml:space="preserve"> </w:t>
      </w:r>
      <w:r w:rsidR="0014272E" w:rsidRPr="00F373B7">
        <w:rPr>
          <w:sz w:val="24"/>
          <w:szCs w:val="24"/>
        </w:rPr>
        <w:t>Thompson’s work</w:t>
      </w:r>
      <w:r w:rsidR="00BC256F" w:rsidRPr="00F373B7">
        <w:rPr>
          <w:sz w:val="24"/>
          <w:szCs w:val="24"/>
        </w:rPr>
        <w:t xml:space="preserve"> fills a crucial gap in our </w:t>
      </w:r>
      <w:r w:rsidR="00466796" w:rsidRPr="00F373B7">
        <w:rPr>
          <w:sz w:val="24"/>
          <w:szCs w:val="24"/>
        </w:rPr>
        <w:t xml:space="preserve">understanding about how women </w:t>
      </w:r>
      <w:r w:rsidR="00CD6EA8" w:rsidRPr="00F373B7">
        <w:rPr>
          <w:sz w:val="24"/>
          <w:szCs w:val="24"/>
        </w:rPr>
        <w:t>organised and sought legal reform to advance women’s equality in marriage between the so-called</w:t>
      </w:r>
      <w:r w:rsidR="00466796" w:rsidRPr="00F373B7">
        <w:rPr>
          <w:sz w:val="24"/>
          <w:szCs w:val="24"/>
        </w:rPr>
        <w:t xml:space="preserve"> </w:t>
      </w:r>
      <w:r w:rsidR="0014272E" w:rsidRPr="00F373B7">
        <w:rPr>
          <w:sz w:val="24"/>
          <w:szCs w:val="24"/>
        </w:rPr>
        <w:t>first and second waves</w:t>
      </w:r>
      <w:r w:rsidR="00CD6EA8" w:rsidRPr="00F373B7">
        <w:rPr>
          <w:sz w:val="24"/>
          <w:szCs w:val="24"/>
        </w:rPr>
        <w:t xml:space="preserve"> of feminism</w:t>
      </w:r>
      <w:r w:rsidR="00BC256F" w:rsidRPr="00F373B7">
        <w:rPr>
          <w:sz w:val="24"/>
          <w:szCs w:val="24"/>
        </w:rPr>
        <w:t>.</w:t>
      </w:r>
      <w:r w:rsidR="00CE6B47" w:rsidRPr="00F373B7">
        <w:rPr>
          <w:sz w:val="24"/>
          <w:szCs w:val="24"/>
        </w:rPr>
        <w:t xml:space="preserve"> I</w:t>
      </w:r>
      <w:r w:rsidR="00BC256F" w:rsidRPr="00F373B7">
        <w:rPr>
          <w:sz w:val="24"/>
          <w:szCs w:val="24"/>
        </w:rPr>
        <w:t xml:space="preserve">t also teaches us </w:t>
      </w:r>
      <w:r w:rsidR="00CE6B47" w:rsidRPr="00F373B7">
        <w:rPr>
          <w:sz w:val="24"/>
          <w:szCs w:val="24"/>
        </w:rPr>
        <w:t>that</w:t>
      </w:r>
      <w:r w:rsidR="00BC256F" w:rsidRPr="00F373B7">
        <w:rPr>
          <w:sz w:val="24"/>
          <w:szCs w:val="24"/>
        </w:rPr>
        <w:t xml:space="preserve"> legal reform </w:t>
      </w:r>
      <w:r w:rsidR="00CE6B47" w:rsidRPr="00F373B7">
        <w:rPr>
          <w:sz w:val="24"/>
          <w:szCs w:val="24"/>
        </w:rPr>
        <w:t>is rarely</w:t>
      </w:r>
      <w:r w:rsidR="00BC256F" w:rsidRPr="00F373B7">
        <w:rPr>
          <w:sz w:val="24"/>
          <w:szCs w:val="24"/>
        </w:rPr>
        <w:t xml:space="preserve"> </w:t>
      </w:r>
      <w:r w:rsidR="00CD6EA8" w:rsidRPr="00F373B7">
        <w:rPr>
          <w:sz w:val="24"/>
          <w:szCs w:val="24"/>
        </w:rPr>
        <w:t xml:space="preserve">achieved </w:t>
      </w:r>
      <w:r w:rsidR="00BC256F" w:rsidRPr="00F373B7">
        <w:rPr>
          <w:sz w:val="24"/>
          <w:szCs w:val="24"/>
        </w:rPr>
        <w:t>linear</w:t>
      </w:r>
      <w:r w:rsidR="00CD6EA8" w:rsidRPr="00F373B7">
        <w:rPr>
          <w:sz w:val="24"/>
          <w:szCs w:val="24"/>
        </w:rPr>
        <w:t xml:space="preserve">ly </w:t>
      </w:r>
      <w:r w:rsidR="00CE6B47" w:rsidRPr="00F373B7">
        <w:rPr>
          <w:sz w:val="24"/>
          <w:szCs w:val="24"/>
        </w:rPr>
        <w:t xml:space="preserve">and that progress can be measured in </w:t>
      </w:r>
      <w:r w:rsidR="00CD6EA8" w:rsidRPr="00F373B7">
        <w:rPr>
          <w:sz w:val="24"/>
          <w:szCs w:val="24"/>
        </w:rPr>
        <w:t>both the</w:t>
      </w:r>
      <w:r w:rsidR="00CE6B47" w:rsidRPr="00F373B7">
        <w:rPr>
          <w:sz w:val="24"/>
          <w:szCs w:val="24"/>
        </w:rPr>
        <w:t xml:space="preserve"> ebb and flow</w:t>
      </w:r>
      <w:r w:rsidR="00CD6EA8" w:rsidRPr="00F373B7">
        <w:rPr>
          <w:sz w:val="24"/>
          <w:szCs w:val="24"/>
        </w:rPr>
        <w:t xml:space="preserve"> of </w:t>
      </w:r>
      <w:r w:rsidR="00F77C9C" w:rsidRPr="00F373B7">
        <w:rPr>
          <w:sz w:val="24"/>
          <w:szCs w:val="24"/>
        </w:rPr>
        <w:t xml:space="preserve">concerted </w:t>
      </w:r>
      <w:r w:rsidR="00CD6EA8" w:rsidRPr="00F373B7">
        <w:rPr>
          <w:sz w:val="24"/>
          <w:szCs w:val="24"/>
        </w:rPr>
        <w:t>strategic endeavour.</w:t>
      </w:r>
    </w:p>
    <w:sectPr w:rsidR="0037581D" w:rsidRPr="00F373B7" w:rsidSect="00A077D4">
      <w:headerReference w:type="even" r:id="rId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35F1" w14:textId="77777777" w:rsidR="0065157C" w:rsidRDefault="0065157C" w:rsidP="00980795">
      <w:pPr>
        <w:spacing w:after="0" w:line="240" w:lineRule="auto"/>
      </w:pPr>
      <w:r>
        <w:separator/>
      </w:r>
    </w:p>
  </w:endnote>
  <w:endnote w:type="continuationSeparator" w:id="0">
    <w:p w14:paraId="478EADB4" w14:textId="77777777" w:rsidR="0065157C" w:rsidRDefault="0065157C" w:rsidP="00980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609186"/>
      <w:docPartObj>
        <w:docPartGallery w:val="Page Numbers (Bottom of Page)"/>
        <w:docPartUnique/>
      </w:docPartObj>
    </w:sdtPr>
    <w:sdtEndPr>
      <w:rPr>
        <w:noProof/>
      </w:rPr>
    </w:sdtEndPr>
    <w:sdtContent>
      <w:p w14:paraId="3F9B0351" w14:textId="2D3BD7AD" w:rsidR="00071A78" w:rsidRDefault="00071A78">
        <w:pPr>
          <w:pStyle w:val="Footer"/>
          <w:jc w:val="center"/>
        </w:pPr>
        <w:r>
          <w:t>__________________________________________________________________________________</w:t>
        </w:r>
      </w:p>
      <w:p w14:paraId="4C2E7FD3" w14:textId="77777777" w:rsidR="00071A78" w:rsidRDefault="00071A78">
        <w:pPr>
          <w:pStyle w:val="Footer"/>
          <w:jc w:val="center"/>
        </w:pPr>
      </w:p>
      <w:p w14:paraId="1D7AA7E4" w14:textId="1EF53265" w:rsidR="00D5549F" w:rsidRDefault="00D554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18528E" w14:textId="77777777" w:rsidR="00A077D4" w:rsidRDefault="00A07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655824"/>
      <w:docPartObj>
        <w:docPartGallery w:val="Page Numbers (Bottom of Page)"/>
        <w:docPartUnique/>
      </w:docPartObj>
    </w:sdtPr>
    <w:sdtEndPr>
      <w:rPr>
        <w:noProof/>
      </w:rPr>
    </w:sdtEndPr>
    <w:sdtContent>
      <w:p w14:paraId="71067B99" w14:textId="6F18F377" w:rsidR="004B5125" w:rsidRDefault="004B5125">
        <w:pPr>
          <w:pStyle w:val="Footer"/>
          <w:jc w:val="center"/>
        </w:pPr>
        <w:r>
          <w:t>__________________________________________________________________________________</w:t>
        </w:r>
      </w:p>
      <w:p w14:paraId="5AB4F1C2" w14:textId="77777777" w:rsidR="004B5125" w:rsidRDefault="004B5125">
        <w:pPr>
          <w:pStyle w:val="Footer"/>
          <w:jc w:val="center"/>
        </w:pPr>
      </w:p>
      <w:p w14:paraId="77A18B34" w14:textId="0D938FF6" w:rsidR="004B5125" w:rsidRDefault="004B51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89A98F" w14:textId="77777777" w:rsidR="00A077D4" w:rsidRDefault="00A07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D1685" w14:textId="77777777" w:rsidR="0065157C" w:rsidRDefault="0065157C" w:rsidP="00980795">
      <w:pPr>
        <w:spacing w:after="0" w:line="240" w:lineRule="auto"/>
      </w:pPr>
      <w:r>
        <w:separator/>
      </w:r>
    </w:p>
  </w:footnote>
  <w:footnote w:type="continuationSeparator" w:id="0">
    <w:p w14:paraId="4C9396D5" w14:textId="77777777" w:rsidR="0065157C" w:rsidRDefault="0065157C" w:rsidP="00980795">
      <w:pPr>
        <w:spacing w:after="0" w:line="240" w:lineRule="auto"/>
      </w:pPr>
      <w:r>
        <w:continuationSeparator/>
      </w:r>
    </w:p>
  </w:footnote>
  <w:footnote w:id="1">
    <w:p w14:paraId="650ED832" w14:textId="6EC9BE07" w:rsidR="00F373B7" w:rsidRPr="00F373B7" w:rsidRDefault="00F373B7">
      <w:pPr>
        <w:pStyle w:val="FootnoteText"/>
        <w:rPr>
          <w:lang w:val="fr-FR"/>
        </w:rPr>
      </w:pPr>
      <w:r w:rsidRPr="00F373B7">
        <w:rPr>
          <w:rStyle w:val="FootnoteReference"/>
          <w:lang w:val="nl-NL"/>
        </w:rPr>
        <w:t>*</w:t>
      </w:r>
      <w:r w:rsidRPr="00F373B7">
        <w:rPr>
          <w:lang w:val="nl-NL"/>
        </w:rPr>
        <w:t xml:space="preserve"> </w:t>
      </w:r>
      <w:proofErr w:type="spellStart"/>
      <w:r>
        <w:rPr>
          <w:lang w:val="nl-NL"/>
        </w:rPr>
        <w:t>Lecturer</w:t>
      </w:r>
      <w:proofErr w:type="spellEnd"/>
      <w:r>
        <w:rPr>
          <w:lang w:val="nl-NL"/>
        </w:rPr>
        <w:t xml:space="preserve">, </w:t>
      </w:r>
      <w:r w:rsidRPr="00F373B7">
        <w:rPr>
          <w:lang w:val="nl-NL"/>
        </w:rPr>
        <w:t>Kent Law School, University of Kent, UK</w:t>
      </w:r>
      <w:r>
        <w:rPr>
          <w:lang w:val="nl-NL"/>
        </w:rPr>
        <w:t xml:space="preserve">. </w:t>
      </w:r>
      <w:r w:rsidRPr="00F373B7">
        <w:rPr>
          <w:lang w:val="fr-FR"/>
        </w:rPr>
        <w:t>Emai</w:t>
      </w:r>
      <w:r>
        <w:rPr>
          <w:lang w:val="fr-FR"/>
        </w:rPr>
        <w:t>l</w:t>
      </w:r>
      <w:r w:rsidRPr="00F373B7">
        <w:rPr>
          <w:lang w:val="fr-FR"/>
        </w:rPr>
        <w:t xml:space="preserve">: </w:t>
      </w:r>
      <w:r w:rsidRPr="00DC1628">
        <w:rPr>
          <w:lang w:val="fr-FR"/>
        </w:rPr>
        <w:t>a.d.porter-28@kent.ac.uk</w:t>
      </w:r>
    </w:p>
  </w:footnote>
  <w:footnote w:id="2">
    <w:p w14:paraId="6C12EF99" w14:textId="4C392E05" w:rsidR="00BB008F" w:rsidRPr="00BB008F" w:rsidRDefault="00BB008F" w:rsidP="001B5815">
      <w:pPr>
        <w:spacing w:after="0"/>
        <w:rPr>
          <w:i/>
          <w:iCs/>
        </w:rPr>
      </w:pPr>
      <w:r>
        <w:rPr>
          <w:rStyle w:val="FootnoteReference"/>
        </w:rPr>
        <w:footnoteRef/>
      </w:r>
      <w:r>
        <w:t xml:space="preserve"> </w:t>
      </w:r>
      <w:r w:rsidRPr="001B5815">
        <w:rPr>
          <w:sz w:val="20"/>
          <w:szCs w:val="20"/>
        </w:rPr>
        <w:t xml:space="preserve">Thompson, </w:t>
      </w:r>
      <w:r w:rsidRPr="001B5815">
        <w:rPr>
          <w:i/>
          <w:iCs/>
          <w:sz w:val="20"/>
          <w:szCs w:val="20"/>
        </w:rPr>
        <w:t>Quiet Revolutionaries: The Married Women's Association and Family Law</w:t>
      </w:r>
      <w:r w:rsidRPr="001B5815">
        <w:rPr>
          <w:rFonts w:ascii="Helvetica" w:hAnsi="Helvetica"/>
          <w:color w:val="555555"/>
          <w:sz w:val="20"/>
          <w:szCs w:val="20"/>
          <w:shd w:val="clear" w:color="auto" w:fill="FFFFFF"/>
        </w:rPr>
        <w:t xml:space="preserve"> </w:t>
      </w:r>
      <w:r w:rsidRPr="001B5815">
        <w:rPr>
          <w:sz w:val="20"/>
          <w:szCs w:val="20"/>
        </w:rPr>
        <w:t>(Bloomsbury, 2022) 15.</w:t>
      </w:r>
    </w:p>
  </w:footnote>
  <w:footnote w:id="3">
    <w:p w14:paraId="34959157" w14:textId="42DF8D0B" w:rsidR="00CD31EA" w:rsidRDefault="00CD31EA">
      <w:pPr>
        <w:pStyle w:val="FootnoteText"/>
      </w:pPr>
      <w:r>
        <w:rPr>
          <w:rStyle w:val="FootnoteReference"/>
        </w:rPr>
        <w:footnoteRef/>
      </w:r>
      <w:r>
        <w:t xml:space="preserve"> Ray Strachey, </w:t>
      </w:r>
      <w:r w:rsidRPr="00F22A71">
        <w:rPr>
          <w:i/>
          <w:iCs/>
        </w:rPr>
        <w:t xml:space="preserve">“The Cause”: A </w:t>
      </w:r>
      <w:r w:rsidR="008A348E">
        <w:rPr>
          <w:i/>
          <w:iCs/>
        </w:rPr>
        <w:t>S</w:t>
      </w:r>
      <w:r w:rsidRPr="00F22A71">
        <w:rPr>
          <w:i/>
          <w:iCs/>
        </w:rPr>
        <w:t xml:space="preserve">hort </w:t>
      </w:r>
      <w:r w:rsidR="008A348E">
        <w:rPr>
          <w:i/>
          <w:iCs/>
        </w:rPr>
        <w:t>H</w:t>
      </w:r>
      <w:r w:rsidRPr="00F22A71">
        <w:rPr>
          <w:i/>
          <w:iCs/>
        </w:rPr>
        <w:t>istory of the Women’s Movement in Great Britain</w:t>
      </w:r>
      <w:r>
        <w:t xml:space="preserve"> (Bell and Sons, 1928).</w:t>
      </w:r>
    </w:p>
  </w:footnote>
  <w:footnote w:id="4">
    <w:p w14:paraId="66EC7D68" w14:textId="6B311D1A" w:rsidR="00921401" w:rsidRDefault="00921401">
      <w:pPr>
        <w:pStyle w:val="FootnoteText"/>
      </w:pPr>
      <w:r>
        <w:rPr>
          <w:rStyle w:val="FootnoteReference"/>
        </w:rPr>
        <w:footnoteRef/>
      </w:r>
      <w:r>
        <w:t xml:space="preserve"> [1943] 2 All ER 579</w:t>
      </w:r>
      <w:r w:rsidR="00A34621">
        <w:t>; the case is analysed in chapter 5.</w:t>
      </w:r>
    </w:p>
  </w:footnote>
  <w:footnote w:id="5">
    <w:p w14:paraId="3C7FF48E" w14:textId="5F479A7F" w:rsidR="0069738B" w:rsidRDefault="0069738B">
      <w:pPr>
        <w:pStyle w:val="FootnoteText"/>
      </w:pPr>
      <w:r>
        <w:rPr>
          <w:rStyle w:val="FootnoteReference"/>
        </w:rPr>
        <w:footnoteRef/>
      </w:r>
      <w:r>
        <w:t xml:space="preserve"> Thompson (n 1) 234.</w:t>
      </w:r>
    </w:p>
  </w:footnote>
  <w:footnote w:id="6">
    <w:p w14:paraId="43F165AA" w14:textId="5055FC59" w:rsidR="0069738B" w:rsidRPr="00042D04" w:rsidRDefault="0069738B">
      <w:pPr>
        <w:pStyle w:val="FootnoteText"/>
        <w:rPr>
          <w:color w:val="0070C0"/>
          <w:u w:val="single"/>
        </w:rPr>
      </w:pPr>
      <w:r>
        <w:rPr>
          <w:rStyle w:val="FootnoteReference"/>
        </w:rPr>
        <w:footnoteRef/>
      </w:r>
      <w:r>
        <w:t xml:space="preserve"> Edith </w:t>
      </w:r>
      <w:proofErr w:type="spellStart"/>
      <w:r>
        <w:t>Summerskill</w:t>
      </w:r>
      <w:proofErr w:type="spellEnd"/>
      <w:r>
        <w:t xml:space="preserve"> used this phrase in a speech to the Married Women’s Association, House of Commons, 14 July 1960. </w:t>
      </w:r>
      <w:r>
        <w:rPr>
          <w:i/>
          <w:iCs/>
        </w:rPr>
        <w:t xml:space="preserve">Oxford Essential Quotations </w:t>
      </w:r>
      <w:r>
        <w:t>4</w:t>
      </w:r>
      <w:r w:rsidRPr="0069738B">
        <w:rPr>
          <w:vertAlign w:val="superscript"/>
        </w:rPr>
        <w:t>th</w:t>
      </w:r>
      <w:r>
        <w:t xml:space="preserve"> </w:t>
      </w:r>
      <w:proofErr w:type="spellStart"/>
      <w:r>
        <w:t>edn</w:t>
      </w:r>
      <w:proofErr w:type="spellEnd"/>
      <w:r>
        <w:t xml:space="preserve">, available at: </w:t>
      </w:r>
      <w:hyperlink r:id="rId1" w:history="1">
        <w:r w:rsidRPr="00042D04">
          <w:rPr>
            <w:rStyle w:val="Hyperlink"/>
            <w:color w:val="0070C0"/>
          </w:rPr>
          <w:t>https://oxfordreference.com/view/10.1093/acref/9780191826719.001.0001/q-oro-ed4-00010531</w:t>
        </w:r>
      </w:hyperlink>
      <w:r w:rsidRPr="00042D04">
        <w:rPr>
          <w:color w:val="0070C0"/>
          <w:u w:val="single"/>
        </w:rPr>
        <w:t xml:space="preserve"> </w:t>
      </w:r>
    </w:p>
  </w:footnote>
  <w:footnote w:id="7">
    <w:p w14:paraId="2774DE9A" w14:textId="7693B2EB" w:rsidR="00C5431F" w:rsidRDefault="00C5431F">
      <w:pPr>
        <w:pStyle w:val="FootnoteText"/>
      </w:pPr>
      <w:r>
        <w:rPr>
          <w:rStyle w:val="FootnoteReference"/>
        </w:rPr>
        <w:footnoteRef/>
      </w:r>
      <w:r>
        <w:t xml:space="preserve"> Thompson (n 1) </w:t>
      </w:r>
      <w:r w:rsidR="00AC5B0D" w:rsidRPr="00AC5B0D">
        <w:rPr>
          <w:color w:val="000000" w:themeColor="text1"/>
        </w:rPr>
        <w:t>chapter 10.</w:t>
      </w:r>
    </w:p>
  </w:footnote>
  <w:footnote w:id="8">
    <w:p w14:paraId="60A67DC5" w14:textId="1A91B02F" w:rsidR="007E38D8" w:rsidRDefault="007E38D8">
      <w:pPr>
        <w:pStyle w:val="FootnoteText"/>
      </w:pPr>
      <w:r>
        <w:rPr>
          <w:rStyle w:val="FootnoteReference"/>
        </w:rPr>
        <w:footnoteRef/>
      </w:r>
      <w:r>
        <w:t xml:space="preserve"> 1870, 1882 and 1893.</w:t>
      </w:r>
    </w:p>
  </w:footnote>
  <w:footnote w:id="9">
    <w:p w14:paraId="38EE102F" w14:textId="5522D802" w:rsidR="001301DA" w:rsidRDefault="001301DA">
      <w:pPr>
        <w:pStyle w:val="FootnoteText"/>
      </w:pPr>
      <w:r>
        <w:rPr>
          <w:rStyle w:val="FootnoteReference"/>
        </w:rPr>
        <w:footnoteRef/>
      </w:r>
      <w:r>
        <w:t xml:space="preserve"> Dr Edith </w:t>
      </w:r>
      <w:proofErr w:type="spellStart"/>
      <w:r>
        <w:t>Summerskill</w:t>
      </w:r>
      <w:proofErr w:type="spellEnd"/>
      <w:r>
        <w:t xml:space="preserve"> was the first President of the Association in 1941; a </w:t>
      </w:r>
      <w:r w:rsidR="00CA371B">
        <w:t xml:space="preserve">medical </w:t>
      </w:r>
      <w:r>
        <w:t>doctor and Member of Parliament.</w:t>
      </w:r>
    </w:p>
  </w:footnote>
  <w:footnote w:id="10">
    <w:p w14:paraId="76AFE96A" w14:textId="1FD76E4F" w:rsidR="001301DA" w:rsidRDefault="001301DA">
      <w:pPr>
        <w:pStyle w:val="FootnoteText"/>
      </w:pPr>
      <w:r>
        <w:rPr>
          <w:rStyle w:val="FootnoteReference"/>
        </w:rPr>
        <w:footnoteRef/>
      </w:r>
      <w:r>
        <w:t xml:space="preserve"> Founding members included Ambrose </w:t>
      </w:r>
      <w:proofErr w:type="spellStart"/>
      <w:r>
        <w:t>Applbe</w:t>
      </w:r>
      <w:proofErr w:type="spellEnd"/>
      <w:r>
        <w:t xml:space="preserve">, a male solicitor; barristers Helena </w:t>
      </w:r>
      <w:r w:rsidR="007931B0">
        <w:t>Normanton</w:t>
      </w:r>
      <w:r w:rsidR="007F4721">
        <w:t>,</w:t>
      </w:r>
      <w:r>
        <w:t xml:space="preserve"> Betty Knightly</w:t>
      </w:r>
      <w:r w:rsidR="007F4721">
        <w:t xml:space="preserve"> and </w:t>
      </w:r>
      <w:r>
        <w:t xml:space="preserve">Roxane Arnold; </w:t>
      </w:r>
      <w:r w:rsidR="007F4721">
        <w:t xml:space="preserve">and </w:t>
      </w:r>
      <w:r>
        <w:t>legal academic Olive Stone</w:t>
      </w:r>
      <w:r w:rsidR="007F4721">
        <w:t>.</w:t>
      </w:r>
    </w:p>
  </w:footnote>
  <w:footnote w:id="11">
    <w:p w14:paraId="41AE8F5E" w14:textId="27EC7124" w:rsidR="007931B0" w:rsidRDefault="007931B0">
      <w:pPr>
        <w:pStyle w:val="FootnoteText"/>
      </w:pPr>
      <w:r>
        <w:rPr>
          <w:rStyle w:val="FootnoteReference"/>
        </w:rPr>
        <w:footnoteRef/>
      </w:r>
      <w:r>
        <w:t xml:space="preserve"> Feminist campaigner</w:t>
      </w:r>
      <w:r w:rsidR="00381794">
        <w:t>,</w:t>
      </w:r>
      <w:r>
        <w:t xml:space="preserve"> Teresa Billington-Greig</w:t>
      </w:r>
      <w:r w:rsidR="00381794">
        <w:t xml:space="preserve"> became vice-president.</w:t>
      </w:r>
    </w:p>
  </w:footnote>
  <w:footnote w:id="12">
    <w:p w14:paraId="1654BDF1" w14:textId="6BBB0009" w:rsidR="007931B0" w:rsidRDefault="007931B0">
      <w:pPr>
        <w:pStyle w:val="FootnoteText"/>
      </w:pPr>
      <w:r>
        <w:rPr>
          <w:rStyle w:val="FootnoteReference"/>
        </w:rPr>
        <w:footnoteRef/>
      </w:r>
      <w:r>
        <w:t xml:space="preserve"> Author, Vera Brittain</w:t>
      </w:r>
      <w:r w:rsidR="00381794">
        <w:t>;</w:t>
      </w:r>
      <w:r>
        <w:t xml:space="preserve"> and political and philosophical writer Dora Russell both added prestige and prominence to the Association.</w:t>
      </w:r>
    </w:p>
  </w:footnote>
  <w:footnote w:id="13">
    <w:p w14:paraId="1DE90224" w14:textId="02D73F03" w:rsidR="00D04414" w:rsidRDefault="00D04414">
      <w:pPr>
        <w:pStyle w:val="FootnoteText"/>
      </w:pPr>
      <w:r>
        <w:rPr>
          <w:rStyle w:val="FootnoteReference"/>
        </w:rPr>
        <w:footnoteRef/>
      </w:r>
      <w:r>
        <w:t xml:space="preserve"> Thompson (n 1) 140.</w:t>
      </w:r>
    </w:p>
  </w:footnote>
  <w:footnote w:id="14">
    <w:p w14:paraId="7462C807" w14:textId="77777777" w:rsidR="004416AA" w:rsidRDefault="004416AA" w:rsidP="004416AA">
      <w:pPr>
        <w:pStyle w:val="FootnoteText"/>
      </w:pPr>
      <w:r>
        <w:rPr>
          <w:rStyle w:val="FootnoteReference"/>
        </w:rPr>
        <w:footnoteRef/>
      </w:r>
      <w:r>
        <w:t xml:space="preserve"> MWA Annual General Report 1970-72, 5SPG/M10, TWL.</w:t>
      </w:r>
    </w:p>
  </w:footnote>
  <w:footnote w:id="15">
    <w:p w14:paraId="2EABE3A4" w14:textId="118E6C5E" w:rsidR="004416AA" w:rsidRDefault="004416AA">
      <w:pPr>
        <w:pStyle w:val="FootnoteText"/>
      </w:pPr>
      <w:r>
        <w:rPr>
          <w:rStyle w:val="FootnoteReference"/>
        </w:rPr>
        <w:footnoteRef/>
      </w:r>
      <w:r>
        <w:t xml:space="preserve"> Thompson (n 1) 161.</w:t>
      </w:r>
    </w:p>
  </w:footnote>
  <w:footnote w:id="16">
    <w:p w14:paraId="2245DA8C" w14:textId="5E9103AF" w:rsidR="00F524CB" w:rsidRPr="00381794" w:rsidRDefault="00F524CB">
      <w:pPr>
        <w:pStyle w:val="FootnoteText"/>
      </w:pPr>
      <w:r>
        <w:rPr>
          <w:rStyle w:val="FootnoteReference"/>
        </w:rPr>
        <w:footnoteRef/>
      </w:r>
      <w:r>
        <w:t xml:space="preserve"> </w:t>
      </w:r>
      <w:r w:rsidR="00381794">
        <w:t>As reported in Anon, ‘Cost of Sex Equality’</w:t>
      </w:r>
      <w:r w:rsidR="003C2D09">
        <w:t>,</w:t>
      </w:r>
      <w:r w:rsidR="00F77C9C">
        <w:t xml:space="preserve"> </w:t>
      </w:r>
      <w:r w:rsidR="00F77C9C">
        <w:rPr>
          <w:i/>
          <w:iCs/>
        </w:rPr>
        <w:t xml:space="preserve">The </w:t>
      </w:r>
      <w:r w:rsidR="00381794">
        <w:rPr>
          <w:i/>
          <w:iCs/>
        </w:rPr>
        <w:t xml:space="preserve">Times </w:t>
      </w:r>
      <w:r w:rsidR="00381794">
        <w:t>(13 May 1950) 3.</w:t>
      </w:r>
    </w:p>
  </w:footnote>
  <w:footnote w:id="17">
    <w:p w14:paraId="47DFF537" w14:textId="42171422" w:rsidR="00980795" w:rsidRDefault="00980795">
      <w:pPr>
        <w:pStyle w:val="FootnoteText"/>
      </w:pPr>
      <w:r>
        <w:rPr>
          <w:rStyle w:val="FootnoteReference"/>
        </w:rPr>
        <w:footnoteRef/>
      </w:r>
      <w:r>
        <w:t xml:space="preserve"> </w:t>
      </w:r>
      <w:r w:rsidRPr="004416AA">
        <w:t>Speech of Teresa Billington-Greig, MWA Newsletter, June 1958, 7TBG/2/J/08, TWL</w:t>
      </w:r>
      <w:r w:rsidR="00E067B2" w:rsidRPr="004416A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A94E" w14:textId="0DF07936" w:rsidR="00A077D4" w:rsidRDefault="00D5549F">
    <w:pPr>
      <w:pStyle w:val="Header"/>
    </w:pPr>
    <w:r>
      <w:t>Antonia Porter</w:t>
    </w:r>
    <w:r>
      <w:tab/>
    </w:r>
    <w:r>
      <w:tab/>
      <w:t>Book Review: Quiet Revolutionaries</w:t>
    </w:r>
  </w:p>
  <w:p w14:paraId="4B17BC8D" w14:textId="0DE6DD44" w:rsidR="00D5549F" w:rsidRDefault="00D5549F">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9CE7" w14:textId="6A2F8FB7" w:rsidR="00A077D4" w:rsidRDefault="00A077D4">
    <w:pPr>
      <w:pStyle w:val="Header"/>
    </w:pPr>
    <w:proofErr w:type="spellStart"/>
    <w:r>
      <w:rPr>
        <w:i/>
        <w:iCs/>
      </w:rPr>
      <w:t>feminists@law</w:t>
    </w:r>
    <w:proofErr w:type="spellEnd"/>
    <w:r>
      <w:tab/>
    </w:r>
    <w:r>
      <w:tab/>
    </w:r>
    <w:r w:rsidR="004B5125">
      <w:t>Vol 12, No 2 (2023)</w:t>
    </w:r>
  </w:p>
  <w:p w14:paraId="212563A9" w14:textId="523C8AB1" w:rsidR="004B5125" w:rsidRPr="00A077D4" w:rsidRDefault="004B5125">
    <w:pPr>
      <w:pStyle w:val="Header"/>
    </w:pPr>
    <w:r>
      <w:t>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AE"/>
    <w:rsid w:val="000119D1"/>
    <w:rsid w:val="000251DB"/>
    <w:rsid w:val="00027B8F"/>
    <w:rsid w:val="00042D04"/>
    <w:rsid w:val="00071A78"/>
    <w:rsid w:val="000774E3"/>
    <w:rsid w:val="00080048"/>
    <w:rsid w:val="00084172"/>
    <w:rsid w:val="000C4162"/>
    <w:rsid w:val="000E3019"/>
    <w:rsid w:val="001071AA"/>
    <w:rsid w:val="0012322D"/>
    <w:rsid w:val="001301DA"/>
    <w:rsid w:val="00135F46"/>
    <w:rsid w:val="0014272E"/>
    <w:rsid w:val="0015169F"/>
    <w:rsid w:val="00180F5D"/>
    <w:rsid w:val="001B5815"/>
    <w:rsid w:val="001B7976"/>
    <w:rsid w:val="001C1363"/>
    <w:rsid w:val="001E4E7D"/>
    <w:rsid w:val="00206A58"/>
    <w:rsid w:val="00206F2A"/>
    <w:rsid w:val="0022015B"/>
    <w:rsid w:val="002429DC"/>
    <w:rsid w:val="0028102D"/>
    <w:rsid w:val="002A7943"/>
    <w:rsid w:val="002B5E59"/>
    <w:rsid w:val="002E05FC"/>
    <w:rsid w:val="00315F87"/>
    <w:rsid w:val="0033125D"/>
    <w:rsid w:val="0037581D"/>
    <w:rsid w:val="00381794"/>
    <w:rsid w:val="00393A15"/>
    <w:rsid w:val="003B28A6"/>
    <w:rsid w:val="003C2D09"/>
    <w:rsid w:val="004416AA"/>
    <w:rsid w:val="0044392F"/>
    <w:rsid w:val="00453B5A"/>
    <w:rsid w:val="00456E32"/>
    <w:rsid w:val="00466796"/>
    <w:rsid w:val="004857AE"/>
    <w:rsid w:val="004B478F"/>
    <w:rsid w:val="004B5125"/>
    <w:rsid w:val="00544262"/>
    <w:rsid w:val="00546AB4"/>
    <w:rsid w:val="0059271B"/>
    <w:rsid w:val="005A29F4"/>
    <w:rsid w:val="005C038E"/>
    <w:rsid w:val="005F6A8C"/>
    <w:rsid w:val="00612EDD"/>
    <w:rsid w:val="0065157C"/>
    <w:rsid w:val="00663AE2"/>
    <w:rsid w:val="00665B8F"/>
    <w:rsid w:val="006833E4"/>
    <w:rsid w:val="0069738B"/>
    <w:rsid w:val="0076728D"/>
    <w:rsid w:val="007931B0"/>
    <w:rsid w:val="007A5CBE"/>
    <w:rsid w:val="007E1665"/>
    <w:rsid w:val="007E38D8"/>
    <w:rsid w:val="007F4721"/>
    <w:rsid w:val="00820BF4"/>
    <w:rsid w:val="00821F41"/>
    <w:rsid w:val="0082303C"/>
    <w:rsid w:val="008A348E"/>
    <w:rsid w:val="008B7DF2"/>
    <w:rsid w:val="008C59FB"/>
    <w:rsid w:val="008F2E38"/>
    <w:rsid w:val="00913705"/>
    <w:rsid w:val="00921401"/>
    <w:rsid w:val="00927DC3"/>
    <w:rsid w:val="00980795"/>
    <w:rsid w:val="009A351D"/>
    <w:rsid w:val="009D179C"/>
    <w:rsid w:val="00A077D4"/>
    <w:rsid w:val="00A34621"/>
    <w:rsid w:val="00AA081F"/>
    <w:rsid w:val="00AC4155"/>
    <w:rsid w:val="00AC5B0D"/>
    <w:rsid w:val="00AD4B1C"/>
    <w:rsid w:val="00AE3A60"/>
    <w:rsid w:val="00B65E10"/>
    <w:rsid w:val="00B80C41"/>
    <w:rsid w:val="00BB008F"/>
    <w:rsid w:val="00BC256F"/>
    <w:rsid w:val="00BF2D45"/>
    <w:rsid w:val="00C148F1"/>
    <w:rsid w:val="00C15310"/>
    <w:rsid w:val="00C21964"/>
    <w:rsid w:val="00C239E4"/>
    <w:rsid w:val="00C33A3C"/>
    <w:rsid w:val="00C5431F"/>
    <w:rsid w:val="00C629BD"/>
    <w:rsid w:val="00C65B12"/>
    <w:rsid w:val="00CA1D23"/>
    <w:rsid w:val="00CA2339"/>
    <w:rsid w:val="00CA371B"/>
    <w:rsid w:val="00CB77A5"/>
    <w:rsid w:val="00CD31EA"/>
    <w:rsid w:val="00CD6EA8"/>
    <w:rsid w:val="00CE4FBA"/>
    <w:rsid w:val="00CE6B47"/>
    <w:rsid w:val="00D030E8"/>
    <w:rsid w:val="00D04414"/>
    <w:rsid w:val="00D06C4B"/>
    <w:rsid w:val="00D5549F"/>
    <w:rsid w:val="00D91244"/>
    <w:rsid w:val="00DC1628"/>
    <w:rsid w:val="00DF09B6"/>
    <w:rsid w:val="00E067B2"/>
    <w:rsid w:val="00E37767"/>
    <w:rsid w:val="00E532A1"/>
    <w:rsid w:val="00E5678A"/>
    <w:rsid w:val="00E77321"/>
    <w:rsid w:val="00EA3E3E"/>
    <w:rsid w:val="00ED380E"/>
    <w:rsid w:val="00F22A71"/>
    <w:rsid w:val="00F373B7"/>
    <w:rsid w:val="00F524CB"/>
    <w:rsid w:val="00F77C9C"/>
    <w:rsid w:val="00F81ED2"/>
    <w:rsid w:val="00F97E2F"/>
    <w:rsid w:val="00FA44D0"/>
    <w:rsid w:val="00FB1B41"/>
    <w:rsid w:val="00FF23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9689F"/>
  <w15:docId w15:val="{F4CAFA7D-2704-4125-AA8B-6B74C341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07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0795"/>
    <w:rPr>
      <w:sz w:val="20"/>
      <w:szCs w:val="20"/>
    </w:rPr>
  </w:style>
  <w:style w:type="character" w:styleId="FootnoteReference">
    <w:name w:val="footnote reference"/>
    <w:basedOn w:val="DefaultParagraphFont"/>
    <w:uiPriority w:val="99"/>
    <w:semiHidden/>
    <w:unhideWhenUsed/>
    <w:rsid w:val="00980795"/>
    <w:rPr>
      <w:vertAlign w:val="superscript"/>
    </w:rPr>
  </w:style>
  <w:style w:type="character" w:styleId="Hyperlink">
    <w:name w:val="Hyperlink"/>
    <w:basedOn w:val="DefaultParagraphFont"/>
    <w:uiPriority w:val="99"/>
    <w:unhideWhenUsed/>
    <w:rsid w:val="0069738B"/>
    <w:rPr>
      <w:color w:val="0563C1" w:themeColor="hyperlink"/>
      <w:u w:val="single"/>
    </w:rPr>
  </w:style>
  <w:style w:type="character" w:styleId="UnresolvedMention">
    <w:name w:val="Unresolved Mention"/>
    <w:basedOn w:val="DefaultParagraphFont"/>
    <w:uiPriority w:val="99"/>
    <w:semiHidden/>
    <w:unhideWhenUsed/>
    <w:rsid w:val="0069738B"/>
    <w:rPr>
      <w:color w:val="605E5C"/>
      <w:shd w:val="clear" w:color="auto" w:fill="E1DFDD"/>
    </w:rPr>
  </w:style>
  <w:style w:type="character" w:styleId="FollowedHyperlink">
    <w:name w:val="FollowedHyperlink"/>
    <w:basedOn w:val="DefaultParagraphFont"/>
    <w:uiPriority w:val="99"/>
    <w:semiHidden/>
    <w:unhideWhenUsed/>
    <w:rsid w:val="0069738B"/>
    <w:rPr>
      <w:color w:val="954F72" w:themeColor="followedHyperlink"/>
      <w:u w:val="single"/>
    </w:rPr>
  </w:style>
  <w:style w:type="paragraph" w:styleId="Header">
    <w:name w:val="header"/>
    <w:basedOn w:val="Normal"/>
    <w:link w:val="HeaderChar"/>
    <w:uiPriority w:val="99"/>
    <w:unhideWhenUsed/>
    <w:rsid w:val="00C65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B12"/>
  </w:style>
  <w:style w:type="paragraph" w:styleId="Footer">
    <w:name w:val="footer"/>
    <w:basedOn w:val="Normal"/>
    <w:link w:val="FooterChar"/>
    <w:uiPriority w:val="99"/>
    <w:unhideWhenUsed/>
    <w:rsid w:val="00C65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B12"/>
  </w:style>
  <w:style w:type="paragraph" w:styleId="Title">
    <w:name w:val="Title"/>
    <w:basedOn w:val="Normal"/>
    <w:next w:val="Normal"/>
    <w:link w:val="TitleChar"/>
    <w:uiPriority w:val="10"/>
    <w:qFormat/>
    <w:rsid w:val="00C629BD"/>
    <w:rPr>
      <w:b/>
      <w:bCs/>
      <w:sz w:val="28"/>
      <w:szCs w:val="28"/>
    </w:rPr>
  </w:style>
  <w:style w:type="character" w:customStyle="1" w:styleId="TitleChar">
    <w:name w:val="Title Char"/>
    <w:basedOn w:val="DefaultParagraphFont"/>
    <w:link w:val="Title"/>
    <w:uiPriority w:val="10"/>
    <w:rsid w:val="00C629BD"/>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50356">
      <w:bodyDiv w:val="1"/>
      <w:marLeft w:val="0"/>
      <w:marRight w:val="0"/>
      <w:marTop w:val="0"/>
      <w:marBottom w:val="0"/>
      <w:divBdr>
        <w:top w:val="none" w:sz="0" w:space="0" w:color="auto"/>
        <w:left w:val="none" w:sz="0" w:space="0" w:color="auto"/>
        <w:bottom w:val="none" w:sz="0" w:space="0" w:color="auto"/>
        <w:right w:val="none" w:sz="0" w:space="0" w:color="auto"/>
      </w:divBdr>
      <w:divsChild>
        <w:div w:id="1138719946">
          <w:marLeft w:val="0"/>
          <w:marRight w:val="0"/>
          <w:marTop w:val="0"/>
          <w:marBottom w:val="0"/>
          <w:divBdr>
            <w:top w:val="none" w:sz="0" w:space="0" w:color="auto"/>
            <w:left w:val="none" w:sz="0" w:space="0" w:color="auto"/>
            <w:bottom w:val="none" w:sz="0" w:space="0" w:color="auto"/>
            <w:right w:val="none" w:sz="0" w:space="0" w:color="auto"/>
          </w:divBdr>
        </w:div>
        <w:div w:id="77601790">
          <w:marLeft w:val="0"/>
          <w:marRight w:val="450"/>
          <w:marTop w:val="0"/>
          <w:marBottom w:val="0"/>
          <w:divBdr>
            <w:top w:val="none" w:sz="0" w:space="0" w:color="auto"/>
            <w:left w:val="none" w:sz="0" w:space="0" w:color="auto"/>
            <w:bottom w:val="none" w:sz="0" w:space="0" w:color="auto"/>
            <w:right w:val="none" w:sz="0" w:space="0" w:color="auto"/>
          </w:divBdr>
        </w:div>
        <w:div w:id="1815904179">
          <w:marLeft w:val="0"/>
          <w:marRight w:val="0"/>
          <w:marTop w:val="0"/>
          <w:marBottom w:val="150"/>
          <w:divBdr>
            <w:top w:val="none" w:sz="0" w:space="0" w:color="auto"/>
            <w:left w:val="none" w:sz="0" w:space="0" w:color="auto"/>
            <w:bottom w:val="none" w:sz="0" w:space="0" w:color="auto"/>
            <w:right w:val="none" w:sz="0" w:space="0" w:color="auto"/>
          </w:divBdr>
          <w:divsChild>
            <w:div w:id="1282688001">
              <w:marLeft w:val="0"/>
              <w:marRight w:val="0"/>
              <w:marTop w:val="0"/>
              <w:marBottom w:val="0"/>
              <w:divBdr>
                <w:top w:val="none" w:sz="0" w:space="0" w:color="auto"/>
                <w:left w:val="none" w:sz="0" w:space="0" w:color="auto"/>
                <w:bottom w:val="none" w:sz="0" w:space="0" w:color="auto"/>
                <w:right w:val="none" w:sz="0" w:space="0" w:color="auto"/>
              </w:divBdr>
              <w:divsChild>
                <w:div w:id="268663452">
                  <w:marLeft w:val="0"/>
                  <w:marRight w:val="0"/>
                  <w:marTop w:val="0"/>
                  <w:marBottom w:val="0"/>
                  <w:divBdr>
                    <w:top w:val="none" w:sz="0" w:space="0" w:color="auto"/>
                    <w:left w:val="none" w:sz="0" w:space="0" w:color="auto"/>
                    <w:bottom w:val="none" w:sz="0" w:space="0" w:color="auto"/>
                    <w:right w:val="none" w:sz="0" w:space="0" w:color="auto"/>
                  </w:divBdr>
                  <w:divsChild>
                    <w:div w:id="1925340638">
                      <w:marLeft w:val="0"/>
                      <w:marRight w:val="0"/>
                      <w:marTop w:val="0"/>
                      <w:marBottom w:val="0"/>
                      <w:divBdr>
                        <w:top w:val="none" w:sz="0" w:space="0" w:color="auto"/>
                        <w:left w:val="none" w:sz="0" w:space="0" w:color="auto"/>
                        <w:bottom w:val="none" w:sz="0" w:space="0" w:color="auto"/>
                        <w:right w:val="none" w:sz="0" w:space="0" w:color="auto"/>
                      </w:divBdr>
                    </w:div>
                    <w:div w:id="8926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xfordreference.com/view/10.1093/acref/9780191826719.001.0001/q-oro-ed4-00010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ADBA6-AEB4-45A7-A046-9E4E0C5105E8}">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1941</Words>
  <Characters>10894</Characters>
  <Application>Microsoft Office Word</Application>
  <DocSecurity>0</DocSecurity>
  <Lines>153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Porter</dc:creator>
  <cp:keywords/>
  <dc:description/>
  <cp:lastModifiedBy>Rosemary Hunter</cp:lastModifiedBy>
  <cp:revision>29</cp:revision>
  <cp:lastPrinted>2023-07-18T16:22:00Z</cp:lastPrinted>
  <dcterms:created xsi:type="dcterms:W3CDTF">2023-11-04T15:50:00Z</dcterms:created>
  <dcterms:modified xsi:type="dcterms:W3CDTF">2023-11-04T16:34:00Z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0c00aecbdd1023d7e796f312ba8a27ff6e4fdb121b2b0ec7ae7783da5c941fbb</vt:lpwstr>
  </property>
</Properties>
</file>