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CFE3" w14:textId="151550B7" w:rsidR="00FD35B2" w:rsidRPr="00FD35B2" w:rsidRDefault="00880A3C" w:rsidP="00FD35B2">
      <w:pPr>
        <w:pStyle w:val="Heading1"/>
        <w:spacing w:line="480" w:lineRule="auto"/>
        <w:rPr>
          <w:rFonts w:ascii="Georgia" w:hAnsi="Georgia"/>
          <w:b/>
          <w:color w:val="000000" w:themeColor="text1"/>
          <w:sz w:val="28"/>
          <w:szCs w:val="28"/>
        </w:rPr>
      </w:pPr>
      <w:r w:rsidRPr="00880A3C">
        <w:rPr>
          <w:rFonts w:ascii="Georgia" w:hAnsi="Georgia"/>
          <w:b/>
          <w:color w:val="000000" w:themeColor="text1"/>
          <w:sz w:val="28"/>
          <w:szCs w:val="28"/>
        </w:rPr>
        <w:t xml:space="preserve">Social Reproduction and the </w:t>
      </w:r>
      <w:r>
        <w:rPr>
          <w:rFonts w:ascii="Georgia" w:hAnsi="Georgia"/>
          <w:b/>
          <w:color w:val="000000" w:themeColor="text1"/>
          <w:sz w:val="28"/>
          <w:szCs w:val="28"/>
        </w:rPr>
        <w:t>C</w:t>
      </w:r>
      <w:r w:rsidRPr="00880A3C">
        <w:rPr>
          <w:rFonts w:ascii="Georgia" w:hAnsi="Georgia"/>
          <w:b/>
          <w:color w:val="000000" w:themeColor="text1"/>
          <w:sz w:val="28"/>
          <w:szCs w:val="28"/>
        </w:rPr>
        <w:t>hallenge to Legal Studies</w:t>
      </w:r>
    </w:p>
    <w:p w14:paraId="051E6D1A" w14:textId="41750325" w:rsidR="00351423" w:rsidRDefault="00351423" w:rsidP="00FD35B2">
      <w:pPr>
        <w:spacing w:line="480" w:lineRule="auto"/>
        <w:rPr>
          <w:b/>
        </w:rPr>
      </w:pPr>
    </w:p>
    <w:p w14:paraId="65598A5F" w14:textId="77777777" w:rsidR="00880A3C" w:rsidRPr="004F06A7" w:rsidRDefault="00880A3C" w:rsidP="00880A3C">
      <w:pPr>
        <w:spacing w:line="480" w:lineRule="auto"/>
        <w:rPr>
          <w:rFonts w:ascii="Georgia" w:hAnsi="Georgia"/>
          <w:b/>
          <w:sz w:val="24"/>
          <w:szCs w:val="24"/>
        </w:rPr>
      </w:pPr>
      <w:proofErr w:type="spellStart"/>
      <w:r w:rsidRPr="004F06A7">
        <w:rPr>
          <w:rFonts w:ascii="Georgia" w:hAnsi="Georgia" w:cstheme="minorHAnsi"/>
          <w:b/>
          <w:sz w:val="24"/>
          <w:szCs w:val="24"/>
        </w:rPr>
        <w:t>Enrica</w:t>
      </w:r>
      <w:proofErr w:type="spellEnd"/>
      <w:r w:rsidRPr="004F06A7">
        <w:rPr>
          <w:rFonts w:ascii="Georgia" w:hAnsi="Georgia" w:cstheme="minorHAnsi"/>
          <w:b/>
          <w:sz w:val="24"/>
          <w:szCs w:val="24"/>
        </w:rPr>
        <w:t xml:space="preserve"> </w:t>
      </w:r>
      <w:proofErr w:type="spellStart"/>
      <w:r w:rsidRPr="004F06A7">
        <w:rPr>
          <w:rFonts w:ascii="Georgia" w:hAnsi="Georgia" w:cstheme="minorHAnsi"/>
          <w:b/>
          <w:sz w:val="24"/>
          <w:szCs w:val="24"/>
        </w:rPr>
        <w:t>Rigo</w:t>
      </w:r>
      <w:proofErr w:type="spellEnd"/>
      <w:r w:rsidR="00351423" w:rsidRPr="004F06A7">
        <w:rPr>
          <w:rStyle w:val="FootnoteReference"/>
          <w:rFonts w:ascii="Georgia" w:hAnsi="Georgia"/>
          <w:b/>
          <w:sz w:val="24"/>
          <w:szCs w:val="24"/>
        </w:rPr>
        <w:footnoteReference w:customMarkFollows="1" w:id="1"/>
        <w:t>*</w:t>
      </w:r>
      <w:r w:rsidR="00351423" w:rsidRPr="004F06A7">
        <w:rPr>
          <w:rFonts w:ascii="Georgia" w:hAnsi="Georgia"/>
          <w:b/>
          <w:sz w:val="24"/>
          <w:szCs w:val="24"/>
        </w:rPr>
        <w:t xml:space="preserve"> and </w:t>
      </w:r>
      <w:r w:rsidRPr="004F06A7">
        <w:rPr>
          <w:rFonts w:ascii="Georgia" w:hAnsi="Georgia" w:cstheme="minorHAnsi"/>
          <w:b/>
          <w:sz w:val="24"/>
          <w:szCs w:val="24"/>
        </w:rPr>
        <w:t xml:space="preserve">Donatella </w:t>
      </w:r>
      <w:proofErr w:type="spellStart"/>
      <w:r w:rsidRPr="004F06A7">
        <w:rPr>
          <w:rFonts w:ascii="Georgia" w:hAnsi="Georgia" w:cstheme="minorHAnsi"/>
          <w:b/>
          <w:sz w:val="24"/>
          <w:szCs w:val="24"/>
        </w:rPr>
        <w:t>Alessandrini</w:t>
      </w:r>
      <w:proofErr w:type="spellEnd"/>
      <w:r w:rsidR="00351423" w:rsidRPr="004F06A7">
        <w:rPr>
          <w:rStyle w:val="FootnoteReference"/>
          <w:rFonts w:ascii="Georgia" w:hAnsi="Georgia"/>
          <w:b/>
          <w:sz w:val="24"/>
          <w:szCs w:val="24"/>
        </w:rPr>
        <w:footnoteReference w:customMarkFollows="1" w:id="2"/>
        <w:t>**</w:t>
      </w:r>
    </w:p>
    <w:p w14:paraId="77710837" w14:textId="77777777" w:rsidR="00880A3C" w:rsidRPr="004F06A7" w:rsidRDefault="00880A3C" w:rsidP="00880A3C">
      <w:pPr>
        <w:spacing w:line="480" w:lineRule="auto"/>
        <w:rPr>
          <w:b/>
          <w:sz w:val="24"/>
          <w:szCs w:val="24"/>
        </w:rPr>
      </w:pPr>
    </w:p>
    <w:p w14:paraId="74E169CD" w14:textId="6162CA93" w:rsidR="00880A3C" w:rsidRPr="004F06A7" w:rsidRDefault="00880A3C" w:rsidP="00880A3C">
      <w:pPr>
        <w:spacing w:line="480" w:lineRule="auto"/>
        <w:jc w:val="center"/>
        <w:rPr>
          <w:rFonts w:ascii="Georgia" w:eastAsiaTheme="majorEastAsia" w:hAnsi="Georgia" w:cstheme="majorBidi"/>
          <w:i/>
          <w:iCs/>
          <w:color w:val="000000" w:themeColor="text1"/>
          <w:sz w:val="24"/>
          <w:szCs w:val="24"/>
        </w:rPr>
      </w:pPr>
      <w:r w:rsidRPr="00880A3C">
        <w:rPr>
          <w:rFonts w:ascii="Georgia" w:eastAsiaTheme="majorEastAsia" w:hAnsi="Georgia" w:cstheme="majorBidi"/>
          <w:i/>
          <w:iCs/>
          <w:color w:val="000000" w:themeColor="text1"/>
          <w:sz w:val="24"/>
          <w:szCs w:val="24"/>
        </w:rPr>
        <w:t>‘Inserting an inherently institutional, historical and symbolic process such as that of social reproduction into the basic structure leads to radical modifications in the way the whole system is conceptualised’.</w:t>
      </w:r>
    </w:p>
    <w:p w14:paraId="2B46911A" w14:textId="77777777" w:rsidR="00880A3C" w:rsidRPr="004F06A7" w:rsidRDefault="00880A3C" w:rsidP="00880A3C">
      <w:pPr>
        <w:spacing w:line="480" w:lineRule="auto"/>
        <w:jc w:val="center"/>
        <w:rPr>
          <w:rFonts w:ascii="Georgia" w:eastAsiaTheme="majorEastAsia" w:hAnsi="Georgia" w:cstheme="majorBidi"/>
          <w:color w:val="000000" w:themeColor="text1"/>
          <w:sz w:val="24"/>
          <w:szCs w:val="24"/>
        </w:rPr>
      </w:pPr>
      <w:r w:rsidRPr="00880A3C">
        <w:rPr>
          <w:rFonts w:ascii="Georgia" w:eastAsiaTheme="majorEastAsia" w:hAnsi="Georgia" w:cstheme="majorBidi"/>
          <w:color w:val="000000" w:themeColor="text1"/>
          <w:sz w:val="24"/>
          <w:szCs w:val="24"/>
        </w:rPr>
        <w:t>(</w:t>
      </w:r>
      <w:proofErr w:type="spellStart"/>
      <w:r w:rsidRPr="00880A3C">
        <w:rPr>
          <w:rFonts w:ascii="Georgia" w:eastAsiaTheme="majorEastAsia" w:hAnsi="Georgia" w:cstheme="majorBidi"/>
          <w:color w:val="000000" w:themeColor="text1"/>
          <w:sz w:val="24"/>
          <w:szCs w:val="24"/>
        </w:rPr>
        <w:t>Picchio</w:t>
      </w:r>
      <w:proofErr w:type="spellEnd"/>
      <w:r w:rsidRPr="00880A3C">
        <w:rPr>
          <w:rFonts w:ascii="Georgia" w:eastAsiaTheme="majorEastAsia" w:hAnsi="Georgia" w:cstheme="majorBidi"/>
          <w:color w:val="000000" w:themeColor="text1"/>
          <w:sz w:val="24"/>
          <w:szCs w:val="24"/>
        </w:rPr>
        <w:t xml:space="preserve"> 2003, p. 13)</w:t>
      </w:r>
      <w:r w:rsidRPr="00880A3C">
        <w:rPr>
          <w:rFonts w:ascii="Georgia" w:eastAsiaTheme="majorEastAsia" w:hAnsi="Georgia" w:cstheme="majorBidi"/>
          <w:color w:val="000000" w:themeColor="text1"/>
          <w:sz w:val="24"/>
          <w:szCs w:val="24"/>
          <w:vertAlign w:val="superscript"/>
        </w:rPr>
        <w:footnoteReference w:id="3"/>
      </w:r>
    </w:p>
    <w:p w14:paraId="0E93BA52" w14:textId="77777777" w:rsidR="006A2A6C" w:rsidRPr="00880A3C" w:rsidRDefault="006A2A6C" w:rsidP="00880A3C">
      <w:pPr>
        <w:spacing w:line="480" w:lineRule="auto"/>
        <w:jc w:val="center"/>
        <w:rPr>
          <w:rFonts w:ascii="Georgia" w:eastAsiaTheme="majorEastAsia" w:hAnsi="Georgia" w:cstheme="majorBidi"/>
          <w:color w:val="000000" w:themeColor="text1"/>
          <w:sz w:val="24"/>
          <w:szCs w:val="24"/>
        </w:rPr>
      </w:pPr>
    </w:p>
    <w:p w14:paraId="0AE6FCEF" w14:textId="449BE254" w:rsidR="00880A3C" w:rsidRPr="00880A3C" w:rsidRDefault="00880A3C" w:rsidP="006A2A6C">
      <w:pPr>
        <w:spacing w:line="480" w:lineRule="auto"/>
        <w:jc w:val="both"/>
        <w:rPr>
          <w:rFonts w:ascii="Georgia" w:hAnsi="Georgia"/>
          <w:sz w:val="24"/>
          <w:szCs w:val="24"/>
        </w:rPr>
      </w:pPr>
      <w:r w:rsidRPr="00880A3C">
        <w:rPr>
          <w:rFonts w:ascii="Georgia" w:hAnsi="Georgia"/>
          <w:sz w:val="24"/>
          <w:szCs w:val="24"/>
        </w:rPr>
        <w:t xml:space="preserve">In recent years feminist debates on social reproduction have included fields of interest that go far beyond domestic and gendered work. The lens of social reproduction has been used to: unveil the contradictions of extractive economies; analyse processes of expropriation, exploitation and expulsion embedded in racial capitalism; develop critiques of the discrepancy between life and modes of production; draw analogies between the depletion of natural resources and care processes; focus on the conundrum of life-control and independence in humanitarian policies; highlight the nexus between mobility and social reproduction on a global scale; scrutinise the </w:t>
      </w:r>
      <w:proofErr w:type="spellStart"/>
      <w:r w:rsidRPr="00880A3C">
        <w:rPr>
          <w:rFonts w:ascii="Georgia" w:hAnsi="Georgia"/>
          <w:sz w:val="24"/>
          <w:szCs w:val="24"/>
        </w:rPr>
        <w:t>financialisation</w:t>
      </w:r>
      <w:proofErr w:type="spellEnd"/>
      <w:r w:rsidRPr="00880A3C">
        <w:rPr>
          <w:rFonts w:ascii="Georgia" w:hAnsi="Georgia"/>
          <w:sz w:val="24"/>
          <w:szCs w:val="24"/>
        </w:rPr>
        <w:t xml:space="preserve"> of life and so on. The outbreak of the Covid-19 pandemic in 2020 has also uncovered a systemic deficit of care that brought themes such as unpaid domestic work, the externalisation of care and the feminisation of “essential” workers to the centre of public discourses and policy documents.</w:t>
      </w:r>
    </w:p>
    <w:p w14:paraId="5A8207C2" w14:textId="77777777" w:rsidR="00880A3C" w:rsidRDefault="00880A3C" w:rsidP="006A2A6C">
      <w:pPr>
        <w:spacing w:line="480" w:lineRule="auto"/>
        <w:jc w:val="both"/>
        <w:rPr>
          <w:rFonts w:ascii="Georgia" w:hAnsi="Georgia"/>
          <w:sz w:val="24"/>
          <w:szCs w:val="24"/>
        </w:rPr>
      </w:pPr>
      <w:r w:rsidRPr="00880A3C">
        <w:rPr>
          <w:rFonts w:ascii="Georgia" w:hAnsi="Georgia"/>
          <w:sz w:val="24"/>
          <w:szCs w:val="24"/>
        </w:rPr>
        <w:lastRenderedPageBreak/>
        <w:t>Nonetheless, the discussion on social reproduction has had a limited impact on law and legal studies. With a few but significant exceptions, legal scholarship has almost entirely disregarded the category of social reproduction or, at most, has relegated it to sector-based and feminised fields of interest. At the same time, when policy makers confront issues such as women’s unpaid work, the care gap and care deficit or the sexual division of labour, the outcomes rarely challenge the legal and political structures of existing social reproduction processes. And yet, far from being a merely theoretical field of dispute, social reproduction has been at the centre of feminist struggles and claims that range from income security to the necessity to rethink welfare institutions, relations of care, as well as the entanglement between urban and environmental scales.</w:t>
      </w:r>
    </w:p>
    <w:p w14:paraId="5FC97A84" w14:textId="77777777" w:rsidR="006A2A6C" w:rsidRPr="00880A3C" w:rsidRDefault="006A2A6C" w:rsidP="006A2A6C">
      <w:pPr>
        <w:spacing w:line="480" w:lineRule="auto"/>
        <w:jc w:val="both"/>
        <w:rPr>
          <w:rFonts w:ascii="Georgia" w:hAnsi="Georgia"/>
          <w:sz w:val="24"/>
          <w:szCs w:val="24"/>
        </w:rPr>
      </w:pPr>
    </w:p>
    <w:p w14:paraId="49707A63" w14:textId="77777777" w:rsidR="00880A3C" w:rsidRDefault="00880A3C" w:rsidP="006A2A6C">
      <w:pPr>
        <w:spacing w:line="480" w:lineRule="auto"/>
        <w:jc w:val="both"/>
        <w:rPr>
          <w:rFonts w:ascii="Georgia" w:hAnsi="Georgia"/>
          <w:sz w:val="24"/>
          <w:szCs w:val="24"/>
        </w:rPr>
      </w:pPr>
      <w:r w:rsidRPr="00880A3C">
        <w:rPr>
          <w:rFonts w:ascii="Georgia" w:hAnsi="Georgia"/>
          <w:sz w:val="24"/>
          <w:szCs w:val="24"/>
        </w:rPr>
        <w:t>This issue brings together short contributions from feminists who took part in a workshop convened at the University of Roma Tre in May 2023.</w:t>
      </w:r>
      <w:r w:rsidRPr="00880A3C">
        <w:rPr>
          <w:rFonts w:ascii="Georgia" w:hAnsi="Georgia"/>
          <w:sz w:val="24"/>
          <w:szCs w:val="24"/>
          <w:vertAlign w:val="superscript"/>
        </w:rPr>
        <w:footnoteReference w:id="4"/>
      </w:r>
      <w:r w:rsidRPr="00880A3C">
        <w:rPr>
          <w:rFonts w:ascii="Georgia" w:hAnsi="Georgia"/>
          <w:sz w:val="24"/>
          <w:szCs w:val="24"/>
        </w:rPr>
        <w:t xml:space="preserve"> Building on crosscutting approaches from different disciplines, the workshop explored the potential of social reproduction for developing critical legal approaches capable of addressing the challenges posed by the diversity of feminist struggles. What these contributions have in common is a materialist analysis that: acknowledges the constitutive role law plays in our societies and economies; traces how (capitalist) value </w:t>
      </w:r>
      <w:r w:rsidRPr="00880A3C">
        <w:rPr>
          <w:rFonts w:ascii="Georgia" w:hAnsi="Georgia"/>
          <w:sz w:val="24"/>
          <w:szCs w:val="24"/>
        </w:rPr>
        <w:lastRenderedPageBreak/>
        <w:t xml:space="preserve">relations discipline labour processes and distribute life chances across the world; attempts to </w:t>
      </w:r>
      <w:proofErr w:type="spellStart"/>
      <w:r w:rsidRPr="00880A3C">
        <w:rPr>
          <w:rFonts w:ascii="Georgia" w:hAnsi="Georgia"/>
          <w:i/>
          <w:iCs/>
          <w:sz w:val="24"/>
          <w:szCs w:val="24"/>
        </w:rPr>
        <w:t>provincialise</w:t>
      </w:r>
      <w:proofErr w:type="spellEnd"/>
      <w:r w:rsidRPr="00880A3C">
        <w:rPr>
          <w:rFonts w:ascii="Georgia" w:hAnsi="Georgia"/>
          <w:sz w:val="24"/>
          <w:szCs w:val="24"/>
        </w:rPr>
        <w:t xml:space="preserve"> social reproduction discourses that have been centred around particular experiences emerging from the European and the US contexts; and focuses on exploitation, depletion and expulsion as well as on processes of collective self-valorisation, replenishment and transformation that might connect very diverse political struggles. </w:t>
      </w:r>
    </w:p>
    <w:p w14:paraId="49C0F250" w14:textId="77777777" w:rsidR="006A2A6C" w:rsidRPr="00880A3C" w:rsidRDefault="006A2A6C" w:rsidP="006A2A6C">
      <w:pPr>
        <w:spacing w:line="480" w:lineRule="auto"/>
        <w:jc w:val="both"/>
        <w:rPr>
          <w:rFonts w:ascii="Georgia" w:hAnsi="Georgia"/>
          <w:sz w:val="24"/>
          <w:szCs w:val="24"/>
        </w:rPr>
      </w:pPr>
    </w:p>
    <w:p w14:paraId="7B140ACB" w14:textId="77777777" w:rsidR="00880A3C" w:rsidRDefault="00880A3C" w:rsidP="006A2A6C">
      <w:pPr>
        <w:spacing w:line="480" w:lineRule="auto"/>
        <w:jc w:val="both"/>
        <w:rPr>
          <w:rFonts w:ascii="Georgia" w:hAnsi="Georgia"/>
          <w:sz w:val="24"/>
          <w:szCs w:val="24"/>
          <w:lang w:val="en-US"/>
        </w:rPr>
      </w:pPr>
      <w:proofErr w:type="spellStart"/>
      <w:r w:rsidRPr="00880A3C">
        <w:rPr>
          <w:rFonts w:ascii="Georgia" w:hAnsi="Georgia"/>
          <w:sz w:val="24"/>
          <w:szCs w:val="24"/>
          <w:lang w:val="en-US"/>
        </w:rPr>
        <w:t>Leopoldina</w:t>
      </w:r>
      <w:proofErr w:type="spellEnd"/>
      <w:r w:rsidRPr="00880A3C">
        <w:rPr>
          <w:rFonts w:ascii="Georgia" w:hAnsi="Georgia"/>
          <w:sz w:val="24"/>
          <w:szCs w:val="24"/>
          <w:lang w:val="en-US"/>
        </w:rPr>
        <w:t xml:space="preserve"> </w:t>
      </w:r>
      <w:proofErr w:type="spellStart"/>
      <w:r w:rsidRPr="00880A3C">
        <w:rPr>
          <w:rFonts w:ascii="Georgia" w:hAnsi="Georgia"/>
          <w:sz w:val="24"/>
          <w:szCs w:val="24"/>
          <w:lang w:val="en-US"/>
        </w:rPr>
        <w:t>Fortunati’s</w:t>
      </w:r>
      <w:proofErr w:type="spellEnd"/>
      <w:r w:rsidRPr="00880A3C">
        <w:rPr>
          <w:rFonts w:ascii="Georgia" w:hAnsi="Georgia"/>
          <w:sz w:val="24"/>
          <w:szCs w:val="24"/>
          <w:lang w:val="en-US"/>
        </w:rPr>
        <w:t xml:space="preserve"> contribution opens the issue and invites us to reflect on the transformations of social reproductive work, including the ‘</w:t>
      </w:r>
      <w:proofErr w:type="spellStart"/>
      <w:r w:rsidRPr="00880A3C">
        <w:rPr>
          <w:rFonts w:ascii="Georgia" w:hAnsi="Georgia"/>
          <w:sz w:val="24"/>
          <w:szCs w:val="24"/>
          <w:lang w:val="en-US"/>
        </w:rPr>
        <w:t>machinisation</w:t>
      </w:r>
      <w:proofErr w:type="spellEnd"/>
      <w:r w:rsidRPr="00880A3C">
        <w:rPr>
          <w:rFonts w:ascii="Georgia" w:hAnsi="Georgia"/>
          <w:sz w:val="24"/>
          <w:szCs w:val="24"/>
          <w:lang w:val="en-US"/>
        </w:rPr>
        <w:t xml:space="preserve">’ of the domestic sphere, and the legacy of feminist struggles for confronting them. </w:t>
      </w:r>
      <w:r w:rsidRPr="00880A3C">
        <w:rPr>
          <w:rFonts w:ascii="Georgia" w:hAnsi="Georgia"/>
          <w:sz w:val="24"/>
          <w:szCs w:val="24"/>
        </w:rPr>
        <w:t xml:space="preserve">Prabha </w:t>
      </w:r>
      <w:proofErr w:type="spellStart"/>
      <w:r w:rsidRPr="00880A3C">
        <w:rPr>
          <w:rFonts w:ascii="Georgia" w:hAnsi="Georgia"/>
          <w:sz w:val="24"/>
          <w:szCs w:val="24"/>
        </w:rPr>
        <w:t>Kotiswaran’s</w:t>
      </w:r>
      <w:proofErr w:type="spellEnd"/>
      <w:r w:rsidRPr="00880A3C">
        <w:rPr>
          <w:rFonts w:ascii="Georgia" w:hAnsi="Georgia"/>
          <w:sz w:val="24"/>
          <w:szCs w:val="24"/>
        </w:rPr>
        <w:t xml:space="preserve"> overview on the unconverging trajectories of feminist legal scholarship and social reproduction literature is followed by Donatella </w:t>
      </w:r>
      <w:proofErr w:type="spellStart"/>
      <w:r w:rsidRPr="00880A3C">
        <w:rPr>
          <w:rFonts w:ascii="Georgia" w:hAnsi="Georgia"/>
          <w:sz w:val="24"/>
          <w:szCs w:val="24"/>
        </w:rPr>
        <w:t>Alessandrini’s</w:t>
      </w:r>
      <w:proofErr w:type="spellEnd"/>
      <w:r w:rsidRPr="00880A3C">
        <w:rPr>
          <w:rFonts w:ascii="Georgia" w:hAnsi="Georgia"/>
          <w:sz w:val="24"/>
          <w:szCs w:val="24"/>
        </w:rPr>
        <w:t xml:space="preserve"> discussion of the ways in which international economic law shapes and is shaped by the production/reproduction alleged distinction, contributing to global inequalities. </w:t>
      </w:r>
      <w:r w:rsidRPr="00880A3C">
        <w:rPr>
          <w:rFonts w:ascii="Georgia" w:hAnsi="Georgia"/>
          <w:sz w:val="24"/>
          <w:szCs w:val="24"/>
          <w:lang w:val="en-US"/>
        </w:rPr>
        <w:t xml:space="preserve">Alessandra </w:t>
      </w:r>
      <w:proofErr w:type="spellStart"/>
      <w:r w:rsidRPr="00880A3C">
        <w:rPr>
          <w:rFonts w:ascii="Georgia" w:hAnsi="Georgia"/>
          <w:sz w:val="24"/>
          <w:szCs w:val="24"/>
          <w:lang w:val="en-US"/>
        </w:rPr>
        <w:t>Mezzadri</w:t>
      </w:r>
      <w:proofErr w:type="spellEnd"/>
      <w:r w:rsidRPr="00880A3C">
        <w:rPr>
          <w:rFonts w:ascii="Georgia" w:hAnsi="Georgia"/>
          <w:sz w:val="24"/>
          <w:szCs w:val="24"/>
          <w:lang w:val="en-US"/>
        </w:rPr>
        <w:t xml:space="preserve"> and </w:t>
      </w:r>
      <w:proofErr w:type="spellStart"/>
      <w:r w:rsidRPr="00880A3C">
        <w:rPr>
          <w:rFonts w:ascii="Georgia" w:hAnsi="Georgia"/>
          <w:sz w:val="24"/>
          <w:szCs w:val="24"/>
          <w:lang w:val="en-US"/>
        </w:rPr>
        <w:t>Enrica</w:t>
      </w:r>
      <w:proofErr w:type="spellEnd"/>
      <w:r w:rsidRPr="00880A3C">
        <w:rPr>
          <w:rFonts w:ascii="Georgia" w:hAnsi="Georgia"/>
          <w:sz w:val="24"/>
          <w:szCs w:val="24"/>
          <w:lang w:val="en-US"/>
        </w:rPr>
        <w:t xml:space="preserve"> </w:t>
      </w:r>
      <w:proofErr w:type="spellStart"/>
      <w:r w:rsidRPr="00880A3C">
        <w:rPr>
          <w:rFonts w:ascii="Georgia" w:hAnsi="Georgia"/>
          <w:sz w:val="24"/>
          <w:szCs w:val="24"/>
          <w:lang w:val="en-US"/>
        </w:rPr>
        <w:t>Rigo</w:t>
      </w:r>
      <w:proofErr w:type="spellEnd"/>
      <w:r w:rsidRPr="00880A3C">
        <w:rPr>
          <w:rFonts w:ascii="Georgia" w:hAnsi="Georgia"/>
          <w:sz w:val="24"/>
          <w:szCs w:val="24"/>
          <w:lang w:val="en-US"/>
        </w:rPr>
        <w:t xml:space="preserve"> discuss the key node of the social reproduction of value and its implications for understanding current exploitation, </w:t>
      </w:r>
      <w:proofErr w:type="gramStart"/>
      <w:r w:rsidRPr="00880A3C">
        <w:rPr>
          <w:rFonts w:ascii="Georgia" w:hAnsi="Georgia"/>
          <w:sz w:val="24"/>
          <w:szCs w:val="24"/>
          <w:lang w:val="en-US"/>
        </w:rPr>
        <w:t>oppression</w:t>
      </w:r>
      <w:proofErr w:type="gramEnd"/>
      <w:r w:rsidRPr="00880A3C">
        <w:rPr>
          <w:rFonts w:ascii="Georgia" w:hAnsi="Georgia"/>
          <w:sz w:val="24"/>
          <w:szCs w:val="24"/>
          <w:lang w:val="en-US"/>
        </w:rPr>
        <w:t xml:space="preserve"> and depletion processes in the ‘global social factory’, and in migration struggles. Maria Rosaria Marella brings the lens of family law to bear on the analysis of social reproduction and the devaluation of care; while Fiona Macmillan reflects on the ways intellectual property law </w:t>
      </w:r>
      <w:proofErr w:type="spellStart"/>
      <w:r w:rsidRPr="00880A3C">
        <w:rPr>
          <w:rFonts w:ascii="Georgia" w:hAnsi="Georgia"/>
          <w:sz w:val="24"/>
          <w:szCs w:val="24"/>
          <w:lang w:val="en-US"/>
        </w:rPr>
        <w:t>marginalises</w:t>
      </w:r>
      <w:proofErr w:type="spellEnd"/>
      <w:r w:rsidRPr="00880A3C">
        <w:rPr>
          <w:rFonts w:ascii="Georgia" w:hAnsi="Georgia"/>
          <w:sz w:val="24"/>
          <w:szCs w:val="24"/>
          <w:lang w:val="en-US"/>
        </w:rPr>
        <w:t xml:space="preserve"> questions of social reproduction, including in the context of ongoing ‘intellectual property </w:t>
      </w:r>
      <w:proofErr w:type="gramStart"/>
      <w:r w:rsidRPr="00880A3C">
        <w:rPr>
          <w:rFonts w:ascii="Georgia" w:hAnsi="Georgia"/>
          <w:sz w:val="24"/>
          <w:szCs w:val="24"/>
          <w:lang w:val="en-US"/>
        </w:rPr>
        <w:t>wars’</w:t>
      </w:r>
      <w:proofErr w:type="gramEnd"/>
      <w:r w:rsidRPr="00880A3C">
        <w:rPr>
          <w:rFonts w:ascii="Georgia" w:hAnsi="Georgia"/>
          <w:sz w:val="24"/>
          <w:szCs w:val="24"/>
          <w:lang w:val="en-US"/>
        </w:rPr>
        <w:t xml:space="preserve">. Shirin Rai concludes by reflecting on the importance of mitigation, </w:t>
      </w:r>
      <w:proofErr w:type="gramStart"/>
      <w:r w:rsidRPr="00880A3C">
        <w:rPr>
          <w:rFonts w:ascii="Georgia" w:hAnsi="Georgia"/>
          <w:sz w:val="24"/>
          <w:szCs w:val="24"/>
          <w:lang w:val="en-US"/>
        </w:rPr>
        <w:t>replenishment</w:t>
      </w:r>
      <w:proofErr w:type="gramEnd"/>
      <w:r w:rsidRPr="00880A3C">
        <w:rPr>
          <w:rFonts w:ascii="Georgia" w:hAnsi="Georgia"/>
          <w:sz w:val="24"/>
          <w:szCs w:val="24"/>
          <w:lang w:val="en-US"/>
        </w:rPr>
        <w:t xml:space="preserve"> and transformation strategies to tackle depletion, and on the possibility of building alliances across difference.</w:t>
      </w:r>
    </w:p>
    <w:p w14:paraId="0BD672F5" w14:textId="77777777" w:rsidR="006A2A6C" w:rsidRPr="00880A3C" w:rsidRDefault="006A2A6C" w:rsidP="006A2A6C">
      <w:pPr>
        <w:spacing w:line="480" w:lineRule="auto"/>
        <w:jc w:val="both"/>
        <w:rPr>
          <w:rFonts w:ascii="Georgia" w:hAnsi="Georgia"/>
          <w:sz w:val="24"/>
          <w:szCs w:val="24"/>
        </w:rPr>
      </w:pPr>
    </w:p>
    <w:p w14:paraId="4AEEFDFD" w14:textId="77777777" w:rsidR="00880A3C" w:rsidRPr="00880A3C" w:rsidRDefault="00880A3C" w:rsidP="006A2A6C">
      <w:pPr>
        <w:spacing w:line="480" w:lineRule="auto"/>
        <w:jc w:val="both"/>
        <w:rPr>
          <w:rFonts w:ascii="Georgia" w:hAnsi="Georgia"/>
          <w:sz w:val="24"/>
          <w:szCs w:val="24"/>
        </w:rPr>
      </w:pPr>
      <w:r w:rsidRPr="00880A3C">
        <w:rPr>
          <w:rFonts w:ascii="Georgia" w:hAnsi="Georgia"/>
          <w:sz w:val="24"/>
          <w:szCs w:val="24"/>
        </w:rPr>
        <w:lastRenderedPageBreak/>
        <w:t xml:space="preserve">The different generations of scholars in conversation in this issue attest to the liveliness of the social reproduction ‘lens’, its capacity to include new domains of inquiry and its attitude to adapt theoretical premises to changing circumstances. Since the Seventies, the “denaturalisation” of social reproductive activities, </w:t>
      </w:r>
      <w:proofErr w:type="gramStart"/>
      <w:r w:rsidRPr="00880A3C">
        <w:rPr>
          <w:rFonts w:ascii="Georgia" w:hAnsi="Georgia"/>
          <w:sz w:val="24"/>
          <w:szCs w:val="24"/>
        </w:rPr>
        <w:t>resources</w:t>
      </w:r>
      <w:proofErr w:type="gramEnd"/>
      <w:r w:rsidRPr="00880A3C">
        <w:rPr>
          <w:rFonts w:ascii="Georgia" w:hAnsi="Georgia"/>
          <w:sz w:val="24"/>
          <w:szCs w:val="24"/>
        </w:rPr>
        <w:t xml:space="preserve"> and institutions – starting from the family intended as the “factory of society”- has been a key epistemological tool of this materialist feminist analysis. As Antonella </w:t>
      </w:r>
      <w:proofErr w:type="spellStart"/>
      <w:r w:rsidRPr="00880A3C">
        <w:rPr>
          <w:rFonts w:ascii="Georgia" w:hAnsi="Georgia"/>
          <w:sz w:val="24"/>
          <w:szCs w:val="24"/>
        </w:rPr>
        <w:t>Picchio</w:t>
      </w:r>
      <w:proofErr w:type="spellEnd"/>
      <w:r w:rsidRPr="00880A3C">
        <w:rPr>
          <w:rFonts w:ascii="Georgia" w:hAnsi="Georgia"/>
          <w:sz w:val="24"/>
          <w:szCs w:val="24"/>
        </w:rPr>
        <w:t xml:space="preserve"> has observed in relation to dominant economic thinking and policies, positing the material conditions of the reproduction and maintenance of labour power as </w:t>
      </w:r>
      <w:r w:rsidRPr="00880A3C">
        <w:rPr>
          <w:rFonts w:ascii="Georgia" w:hAnsi="Georgia"/>
          <w:i/>
          <w:iCs/>
          <w:sz w:val="24"/>
          <w:szCs w:val="24"/>
        </w:rPr>
        <w:t>objective</w:t>
      </w:r>
      <w:r w:rsidRPr="00880A3C">
        <w:rPr>
          <w:rFonts w:ascii="Georgia" w:hAnsi="Georgia"/>
          <w:sz w:val="24"/>
          <w:szCs w:val="24"/>
        </w:rPr>
        <w:t xml:space="preserve"> circumstances, instead of the outcome of </w:t>
      </w:r>
      <w:r w:rsidRPr="00880A3C">
        <w:rPr>
          <w:rFonts w:ascii="Georgia" w:hAnsi="Georgia"/>
          <w:i/>
          <w:iCs/>
          <w:sz w:val="24"/>
          <w:szCs w:val="24"/>
        </w:rPr>
        <w:t>political</w:t>
      </w:r>
      <w:r w:rsidRPr="00880A3C">
        <w:rPr>
          <w:rFonts w:ascii="Georgia" w:hAnsi="Georgia"/>
          <w:sz w:val="24"/>
          <w:szCs w:val="24"/>
        </w:rPr>
        <w:t xml:space="preserve"> processes and struggles, mistakes the “fundamentalism of dominant theory for solid theoretical premises”,</w:t>
      </w:r>
      <w:r w:rsidRPr="00880A3C">
        <w:rPr>
          <w:rFonts w:ascii="Georgia" w:hAnsi="Georgia"/>
          <w:sz w:val="24"/>
          <w:szCs w:val="24"/>
          <w:vertAlign w:val="superscript"/>
        </w:rPr>
        <w:footnoteReference w:id="5"/>
      </w:r>
      <w:r w:rsidRPr="00880A3C">
        <w:rPr>
          <w:rFonts w:ascii="Georgia" w:hAnsi="Georgia"/>
          <w:sz w:val="24"/>
          <w:szCs w:val="24"/>
        </w:rPr>
        <w:t xml:space="preserve"> which in turn contributes to the immiseration of life all around us. At the same time, as her work has also shown, political struggles over our conditions of life can shape theory and policies otherwise. This epistemological and political stance informs our approach to law and social reproduction, and to Antonella </w:t>
      </w:r>
      <w:proofErr w:type="spellStart"/>
      <w:r w:rsidRPr="00880A3C">
        <w:rPr>
          <w:rFonts w:ascii="Georgia" w:hAnsi="Georgia"/>
          <w:sz w:val="24"/>
          <w:szCs w:val="24"/>
        </w:rPr>
        <w:t>Picchio</w:t>
      </w:r>
      <w:proofErr w:type="spellEnd"/>
      <w:r w:rsidRPr="00880A3C">
        <w:rPr>
          <w:rFonts w:ascii="Georgia" w:hAnsi="Georgia"/>
          <w:sz w:val="24"/>
          <w:szCs w:val="24"/>
        </w:rPr>
        <w:t xml:space="preserve"> – whose work continues to inspire us - we dedicate this issue. </w:t>
      </w:r>
    </w:p>
    <w:p w14:paraId="4D92B07F" w14:textId="77777777" w:rsidR="00880A3C" w:rsidRPr="00880A3C" w:rsidRDefault="00880A3C" w:rsidP="006A2A6C">
      <w:pPr>
        <w:spacing w:line="480" w:lineRule="auto"/>
        <w:jc w:val="both"/>
        <w:rPr>
          <w:rFonts w:ascii="Georgia" w:hAnsi="Georgia"/>
          <w:sz w:val="24"/>
          <w:szCs w:val="24"/>
        </w:rPr>
      </w:pPr>
    </w:p>
    <w:p w14:paraId="0F89CCF5" w14:textId="77777777" w:rsidR="00880A3C" w:rsidRPr="00880A3C" w:rsidRDefault="00880A3C" w:rsidP="006A2A6C">
      <w:pPr>
        <w:spacing w:line="480" w:lineRule="auto"/>
        <w:jc w:val="both"/>
        <w:rPr>
          <w:rFonts w:ascii="Georgia" w:hAnsi="Georgia"/>
          <w:sz w:val="24"/>
          <w:szCs w:val="24"/>
        </w:rPr>
      </w:pPr>
      <w:r w:rsidRPr="00880A3C">
        <w:rPr>
          <w:rFonts w:ascii="Georgia" w:hAnsi="Georgia"/>
          <w:sz w:val="24"/>
          <w:szCs w:val="24"/>
        </w:rPr>
        <w:t>We hope these contributions will generate further discussion in this journal and beyond.</w:t>
      </w:r>
    </w:p>
    <w:p w14:paraId="3AE4A189" w14:textId="77777777" w:rsidR="00351423" w:rsidRPr="00880A3C" w:rsidRDefault="00351423" w:rsidP="006A2A6C">
      <w:pPr>
        <w:spacing w:line="480" w:lineRule="auto"/>
        <w:jc w:val="both"/>
        <w:rPr>
          <w:rFonts w:ascii="Georgia" w:hAnsi="Georgia"/>
          <w:sz w:val="24"/>
          <w:szCs w:val="24"/>
        </w:rPr>
      </w:pPr>
    </w:p>
    <w:sectPr w:rsidR="00351423" w:rsidRPr="00880A3C" w:rsidSect="00351423">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E991" w14:textId="77777777" w:rsidR="00F654C0" w:rsidRDefault="00F654C0" w:rsidP="00351423">
      <w:pPr>
        <w:spacing w:line="240" w:lineRule="auto"/>
      </w:pPr>
      <w:r>
        <w:separator/>
      </w:r>
    </w:p>
  </w:endnote>
  <w:endnote w:type="continuationSeparator" w:id="0">
    <w:p w14:paraId="21B24469" w14:textId="77777777" w:rsidR="00F654C0" w:rsidRDefault="00F654C0"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0A97" w14:textId="77777777" w:rsidR="00F654C0" w:rsidRDefault="00F654C0" w:rsidP="00351423">
      <w:pPr>
        <w:spacing w:line="240" w:lineRule="auto"/>
      </w:pPr>
      <w:r>
        <w:separator/>
      </w:r>
    </w:p>
  </w:footnote>
  <w:footnote w:type="continuationSeparator" w:id="0">
    <w:p w14:paraId="0DF81E54" w14:textId="77777777" w:rsidR="00F654C0" w:rsidRDefault="00F654C0" w:rsidP="00351423">
      <w:pPr>
        <w:spacing w:line="240" w:lineRule="auto"/>
      </w:pPr>
      <w:r>
        <w:continuationSeparator/>
      </w:r>
    </w:p>
  </w:footnote>
  <w:footnote w:id="1">
    <w:p w14:paraId="33779718" w14:textId="082280E9" w:rsidR="00351423" w:rsidRPr="006A2A6C" w:rsidRDefault="00351423" w:rsidP="004F06A7">
      <w:pPr>
        <w:pStyle w:val="FootnoteText"/>
        <w:spacing w:line="360" w:lineRule="auto"/>
        <w:rPr>
          <w:rFonts w:ascii="Georgia" w:hAnsi="Georgia"/>
          <w:b/>
        </w:rPr>
      </w:pPr>
      <w:r w:rsidRPr="006A2A6C">
        <w:rPr>
          <w:rStyle w:val="FootnoteReference"/>
          <w:rFonts w:ascii="Georgia" w:hAnsi="Georgia"/>
        </w:rPr>
        <w:t>*</w:t>
      </w:r>
      <w:r w:rsidR="00880A3C" w:rsidRPr="006A2A6C">
        <w:rPr>
          <w:rFonts w:ascii="Georgia" w:hAnsi="Georgia"/>
          <w:bCs/>
        </w:rPr>
        <w:t>University of Roma Tre</w:t>
      </w:r>
      <w:r w:rsidR="00F04068">
        <w:rPr>
          <w:rFonts w:ascii="Georgia" w:hAnsi="Georgia"/>
          <w:bCs/>
        </w:rPr>
        <w:t>, Italy</w:t>
      </w:r>
      <w:r w:rsidR="00FD35B2" w:rsidRPr="006A2A6C">
        <w:rPr>
          <w:rFonts w:ascii="Georgia" w:hAnsi="Georgia"/>
          <w:bCs/>
        </w:rPr>
        <w:t>:</w:t>
      </w:r>
      <w:r w:rsidR="00FD35B2" w:rsidRPr="006A2A6C">
        <w:rPr>
          <w:rFonts w:ascii="Georgia" w:hAnsi="Georgia"/>
          <w:b/>
        </w:rPr>
        <w:t xml:space="preserve"> </w:t>
      </w:r>
      <w:hyperlink r:id="rId1" w:history="1">
        <w:r w:rsidR="00880A3C" w:rsidRPr="006A2A6C">
          <w:rPr>
            <w:rStyle w:val="Hyperlink"/>
            <w:rFonts w:ascii="Georgia" w:hAnsi="Georgia"/>
          </w:rPr>
          <w:t>enrica.rigo@uniroma3.it</w:t>
        </w:r>
      </w:hyperlink>
      <w:r w:rsidR="00880A3C" w:rsidRPr="006A2A6C">
        <w:rPr>
          <w:rFonts w:ascii="Georgia" w:hAnsi="Georgia"/>
        </w:rPr>
        <w:t xml:space="preserve"> </w:t>
      </w:r>
    </w:p>
  </w:footnote>
  <w:footnote w:id="2">
    <w:p w14:paraId="0DEC4A6A" w14:textId="4DF81E5B" w:rsidR="00351423" w:rsidRPr="006A2A6C" w:rsidRDefault="00351423" w:rsidP="004F06A7">
      <w:pPr>
        <w:pStyle w:val="FootnoteText"/>
        <w:spacing w:line="360" w:lineRule="auto"/>
        <w:rPr>
          <w:rFonts w:ascii="Georgia" w:hAnsi="Georgia"/>
        </w:rPr>
      </w:pPr>
      <w:r w:rsidRPr="006A2A6C">
        <w:rPr>
          <w:rStyle w:val="FootnoteReference"/>
          <w:rFonts w:ascii="Georgia" w:hAnsi="Georgia"/>
        </w:rPr>
        <w:t>**</w:t>
      </w:r>
      <w:r w:rsidR="00880A3C" w:rsidRPr="006A2A6C">
        <w:rPr>
          <w:rFonts w:ascii="Georgia" w:hAnsi="Georgia"/>
          <w:bCs/>
        </w:rPr>
        <w:t>University of Kent</w:t>
      </w:r>
      <w:r w:rsidR="00F04068">
        <w:rPr>
          <w:rFonts w:ascii="Georgia" w:hAnsi="Georgia"/>
          <w:bCs/>
        </w:rPr>
        <w:t>, UK</w:t>
      </w:r>
      <w:r w:rsidR="00FD35B2" w:rsidRPr="006A2A6C">
        <w:rPr>
          <w:rFonts w:ascii="Georgia" w:hAnsi="Georgia"/>
          <w:bCs/>
        </w:rPr>
        <w:t>:</w:t>
      </w:r>
      <w:r w:rsidR="00FD35B2" w:rsidRPr="006A2A6C">
        <w:rPr>
          <w:rFonts w:ascii="Georgia" w:hAnsi="Georgia"/>
          <w:b/>
        </w:rPr>
        <w:t xml:space="preserve"> </w:t>
      </w:r>
      <w:hyperlink r:id="rId2" w:history="1">
        <w:r w:rsidR="00880A3C" w:rsidRPr="006A2A6C">
          <w:rPr>
            <w:rStyle w:val="Hyperlink"/>
            <w:rFonts w:ascii="Georgia" w:hAnsi="Georgia"/>
          </w:rPr>
          <w:t>D.Alessandrini@kent.ac.uk</w:t>
        </w:r>
      </w:hyperlink>
      <w:r w:rsidR="00880A3C" w:rsidRPr="006A2A6C">
        <w:rPr>
          <w:rFonts w:ascii="Georgia" w:hAnsi="Georgia"/>
        </w:rPr>
        <w:t xml:space="preserve"> </w:t>
      </w:r>
    </w:p>
  </w:footnote>
  <w:footnote w:id="3">
    <w:p w14:paraId="34889E28" w14:textId="77777777" w:rsidR="00880A3C" w:rsidRPr="006A2A6C" w:rsidRDefault="00880A3C" w:rsidP="004F06A7">
      <w:pPr>
        <w:jc w:val="both"/>
        <w:rPr>
          <w:rFonts w:ascii="Georgia" w:hAnsi="Georgia" w:cs="Arial"/>
          <w:color w:val="222222"/>
          <w:sz w:val="20"/>
          <w:szCs w:val="20"/>
          <w:shd w:val="clear" w:color="auto" w:fill="FFFFFF"/>
        </w:rPr>
      </w:pPr>
      <w:r w:rsidRPr="006A2A6C">
        <w:rPr>
          <w:rStyle w:val="FootnoteReference"/>
          <w:rFonts w:ascii="Georgia" w:hAnsi="Georgia" w:cs="Arial"/>
          <w:sz w:val="20"/>
          <w:szCs w:val="20"/>
        </w:rPr>
        <w:footnoteRef/>
      </w:r>
      <w:r w:rsidRPr="006A2A6C">
        <w:rPr>
          <w:rFonts w:ascii="Georgia" w:hAnsi="Georgia" w:cs="Arial"/>
          <w:sz w:val="20"/>
          <w:szCs w:val="20"/>
        </w:rPr>
        <w:t xml:space="preserve"> </w:t>
      </w:r>
      <w:r w:rsidRPr="006A2A6C">
        <w:rPr>
          <w:rFonts w:ascii="Georgia" w:hAnsi="Georgia" w:cs="Arial"/>
          <w:color w:val="222222"/>
          <w:sz w:val="20"/>
          <w:szCs w:val="20"/>
          <w:shd w:val="clear" w:color="auto" w:fill="FFFFFF"/>
        </w:rPr>
        <w:t xml:space="preserve">Antonella </w:t>
      </w:r>
      <w:proofErr w:type="spellStart"/>
      <w:r w:rsidRPr="006A2A6C">
        <w:rPr>
          <w:rFonts w:ascii="Georgia" w:hAnsi="Georgia" w:cs="Arial"/>
          <w:color w:val="222222"/>
          <w:sz w:val="20"/>
          <w:szCs w:val="20"/>
          <w:shd w:val="clear" w:color="auto" w:fill="FFFFFF"/>
        </w:rPr>
        <w:t>Piccho</w:t>
      </w:r>
      <w:proofErr w:type="spellEnd"/>
      <w:r w:rsidRPr="006A2A6C">
        <w:rPr>
          <w:rFonts w:ascii="Georgia" w:hAnsi="Georgia" w:cs="Arial"/>
          <w:color w:val="222222"/>
          <w:sz w:val="20"/>
          <w:szCs w:val="20"/>
          <w:shd w:val="clear" w:color="auto" w:fill="FFFFFF"/>
        </w:rPr>
        <w:t xml:space="preserve">, </w:t>
      </w:r>
      <w:r w:rsidRPr="006A2A6C">
        <w:rPr>
          <w:rFonts w:ascii="Georgia" w:hAnsi="Georgia" w:cs="Arial"/>
          <w:i/>
          <w:iCs/>
          <w:color w:val="222222"/>
          <w:sz w:val="20"/>
          <w:szCs w:val="20"/>
          <w:shd w:val="clear" w:color="auto" w:fill="FFFFFF"/>
        </w:rPr>
        <w:t>Unpaid work in the Economy: A gendered analysis of the standards of living</w:t>
      </w:r>
      <w:r w:rsidRPr="006A2A6C">
        <w:rPr>
          <w:rFonts w:ascii="Georgia" w:hAnsi="Georgia" w:cs="Arial"/>
          <w:color w:val="222222"/>
          <w:sz w:val="20"/>
          <w:szCs w:val="20"/>
          <w:shd w:val="clear" w:color="auto" w:fill="FFFFFF"/>
        </w:rPr>
        <w:t>. Routledge, 2003.</w:t>
      </w:r>
    </w:p>
  </w:footnote>
  <w:footnote w:id="4">
    <w:p w14:paraId="7828457C" w14:textId="77777777" w:rsidR="00880A3C" w:rsidRPr="006A2A6C" w:rsidRDefault="00880A3C" w:rsidP="004F06A7">
      <w:pPr>
        <w:shd w:val="clear" w:color="auto" w:fill="FFFFFF"/>
        <w:jc w:val="both"/>
        <w:rPr>
          <w:rFonts w:ascii="Georgia" w:hAnsi="Georgia" w:cs="Arial"/>
          <w:color w:val="242424"/>
          <w:sz w:val="20"/>
          <w:szCs w:val="20"/>
        </w:rPr>
      </w:pPr>
      <w:r w:rsidRPr="006A2A6C">
        <w:rPr>
          <w:rStyle w:val="FootnoteReference"/>
          <w:rFonts w:ascii="Georgia" w:hAnsi="Georgia" w:cs="Arial"/>
          <w:sz w:val="20"/>
          <w:szCs w:val="20"/>
        </w:rPr>
        <w:footnoteRef/>
      </w:r>
      <w:r w:rsidRPr="006A2A6C">
        <w:rPr>
          <w:rFonts w:ascii="Georgia" w:hAnsi="Georgia" w:cs="Arial"/>
          <w:sz w:val="20"/>
          <w:szCs w:val="20"/>
        </w:rPr>
        <w:t xml:space="preserve"> The international workshop titled </w:t>
      </w:r>
      <w:r w:rsidRPr="006A2A6C">
        <w:rPr>
          <w:rFonts w:ascii="Georgia" w:hAnsi="Georgia" w:cs="Arial"/>
          <w:i/>
          <w:iCs/>
          <w:color w:val="000000"/>
          <w:sz w:val="20"/>
          <w:szCs w:val="20"/>
        </w:rPr>
        <w:t xml:space="preserve">Law and Social Reproduction: the misconceived value of care </w:t>
      </w:r>
      <w:r w:rsidRPr="006A2A6C">
        <w:rPr>
          <w:rFonts w:ascii="Georgia" w:hAnsi="Georgia" w:cs="Arial"/>
          <w:color w:val="000000"/>
          <w:sz w:val="20"/>
          <w:szCs w:val="20"/>
        </w:rPr>
        <w:t>took place at Roma TRE University, Rome,</w:t>
      </w:r>
      <w:r w:rsidRPr="006A2A6C">
        <w:rPr>
          <w:rFonts w:ascii="Georgia" w:hAnsi="Georgia" w:cs="Arial"/>
          <w:i/>
          <w:iCs/>
          <w:color w:val="000000"/>
          <w:sz w:val="20"/>
          <w:szCs w:val="20"/>
        </w:rPr>
        <w:t xml:space="preserve"> on </w:t>
      </w:r>
      <w:r w:rsidRPr="006A2A6C">
        <w:rPr>
          <w:rFonts w:ascii="Georgia" w:hAnsi="Georgia" w:cs="Arial"/>
          <w:color w:val="000000"/>
          <w:sz w:val="20"/>
          <w:szCs w:val="20"/>
        </w:rPr>
        <w:t xml:space="preserve">4-5 May 2023. The workshop, convened by </w:t>
      </w:r>
      <w:proofErr w:type="spellStart"/>
      <w:r w:rsidRPr="006A2A6C">
        <w:rPr>
          <w:rFonts w:ascii="Georgia" w:hAnsi="Georgia" w:cs="Arial"/>
          <w:color w:val="000000"/>
          <w:sz w:val="20"/>
          <w:szCs w:val="20"/>
        </w:rPr>
        <w:t>Enrica</w:t>
      </w:r>
      <w:proofErr w:type="spellEnd"/>
      <w:r w:rsidRPr="006A2A6C">
        <w:rPr>
          <w:rFonts w:ascii="Georgia" w:hAnsi="Georgia" w:cs="Arial"/>
          <w:color w:val="000000"/>
          <w:sz w:val="20"/>
          <w:szCs w:val="20"/>
        </w:rPr>
        <w:t xml:space="preserve"> </w:t>
      </w:r>
      <w:proofErr w:type="spellStart"/>
      <w:r w:rsidRPr="006A2A6C">
        <w:rPr>
          <w:rFonts w:ascii="Georgia" w:hAnsi="Georgia" w:cs="Arial"/>
          <w:color w:val="000000"/>
          <w:sz w:val="20"/>
          <w:szCs w:val="20"/>
        </w:rPr>
        <w:t>Rigo</w:t>
      </w:r>
      <w:proofErr w:type="spellEnd"/>
      <w:r w:rsidRPr="006A2A6C">
        <w:rPr>
          <w:rFonts w:ascii="Georgia" w:hAnsi="Georgia" w:cs="Arial"/>
          <w:color w:val="000000"/>
          <w:sz w:val="20"/>
          <w:szCs w:val="20"/>
        </w:rPr>
        <w:t xml:space="preserve">, was supported by the Scientific Coordination of the PhD programme </w:t>
      </w:r>
      <w:r w:rsidRPr="006A2A6C">
        <w:rPr>
          <w:rFonts w:ascii="Georgia" w:hAnsi="Georgia" w:cs="Arial"/>
          <w:i/>
          <w:iCs/>
          <w:color w:val="000000"/>
          <w:sz w:val="20"/>
          <w:szCs w:val="20"/>
        </w:rPr>
        <w:t>Law and Transnational Regulation</w:t>
      </w:r>
      <w:r w:rsidRPr="006A2A6C">
        <w:rPr>
          <w:rFonts w:ascii="Georgia" w:hAnsi="Georgia" w:cs="Arial"/>
          <w:color w:val="000000"/>
          <w:sz w:val="20"/>
          <w:szCs w:val="20"/>
        </w:rPr>
        <w:t xml:space="preserve">. </w:t>
      </w:r>
      <w:r w:rsidRPr="006A2A6C">
        <w:rPr>
          <w:rFonts w:ascii="Georgia" w:hAnsi="Georgia" w:cs="Arial"/>
          <w:i/>
          <w:iCs/>
          <w:color w:val="000000"/>
          <w:sz w:val="20"/>
          <w:szCs w:val="20"/>
        </w:rPr>
        <w:t> </w:t>
      </w:r>
      <w:r w:rsidRPr="006A2A6C">
        <w:rPr>
          <w:rFonts w:ascii="Georgia" w:hAnsi="Georgia" w:cs="Arial"/>
          <w:color w:val="000000"/>
          <w:sz w:val="20"/>
          <w:szCs w:val="20"/>
        </w:rPr>
        <w:t xml:space="preserve">We would like to thank Antonella </w:t>
      </w:r>
      <w:proofErr w:type="spellStart"/>
      <w:r w:rsidRPr="006A2A6C">
        <w:rPr>
          <w:rFonts w:ascii="Georgia" w:hAnsi="Georgia" w:cs="Arial"/>
          <w:color w:val="000000"/>
          <w:sz w:val="20"/>
          <w:szCs w:val="20"/>
        </w:rPr>
        <w:t>Picchio</w:t>
      </w:r>
      <w:proofErr w:type="spellEnd"/>
      <w:r w:rsidRPr="006A2A6C">
        <w:rPr>
          <w:rFonts w:ascii="Georgia" w:hAnsi="Georgia" w:cs="Arial"/>
          <w:color w:val="000000"/>
          <w:sz w:val="20"/>
          <w:szCs w:val="20"/>
        </w:rPr>
        <w:t xml:space="preserve">, Carlo Caprioglio, Serena </w:t>
      </w:r>
      <w:proofErr w:type="spellStart"/>
      <w:r w:rsidRPr="006A2A6C">
        <w:rPr>
          <w:rFonts w:ascii="Georgia" w:hAnsi="Georgia" w:cs="Arial"/>
          <w:color w:val="000000"/>
          <w:sz w:val="20"/>
          <w:szCs w:val="20"/>
        </w:rPr>
        <w:t>Natile</w:t>
      </w:r>
      <w:proofErr w:type="spellEnd"/>
      <w:r w:rsidRPr="006A2A6C">
        <w:rPr>
          <w:rFonts w:ascii="Georgia" w:hAnsi="Georgia" w:cs="Arial"/>
          <w:color w:val="000000"/>
          <w:sz w:val="20"/>
          <w:szCs w:val="20"/>
        </w:rPr>
        <w:t xml:space="preserve">, Sabrina Marchetti, Giovanni Marini, Letizia Palumbo, Anastasia </w:t>
      </w:r>
      <w:proofErr w:type="spellStart"/>
      <w:r w:rsidRPr="006A2A6C">
        <w:rPr>
          <w:rFonts w:ascii="Georgia" w:hAnsi="Georgia" w:cs="Arial"/>
          <w:color w:val="000000"/>
          <w:sz w:val="20"/>
          <w:szCs w:val="20"/>
        </w:rPr>
        <w:t>Tataryn</w:t>
      </w:r>
      <w:proofErr w:type="spellEnd"/>
      <w:r w:rsidRPr="006A2A6C">
        <w:rPr>
          <w:rFonts w:ascii="Georgia" w:hAnsi="Georgia" w:cs="Arial"/>
          <w:color w:val="000000"/>
          <w:sz w:val="20"/>
          <w:szCs w:val="20"/>
        </w:rPr>
        <w:t xml:space="preserve">, </w:t>
      </w:r>
      <w:r w:rsidRPr="006A2A6C">
        <w:rPr>
          <w:rFonts w:ascii="Georgia" w:hAnsi="Georgia" w:cs="Arial"/>
          <w:color w:val="000000"/>
          <w:sz w:val="20"/>
          <w:szCs w:val="20"/>
          <w:bdr w:val="none" w:sz="0" w:space="0" w:color="auto" w:frame="1"/>
        </w:rPr>
        <w:t xml:space="preserve">Martina </w:t>
      </w:r>
      <w:proofErr w:type="spellStart"/>
      <w:r w:rsidRPr="006A2A6C">
        <w:rPr>
          <w:rFonts w:ascii="Georgia" w:hAnsi="Georgia" w:cs="Arial"/>
          <w:color w:val="000000"/>
          <w:sz w:val="20"/>
          <w:szCs w:val="20"/>
          <w:bdr w:val="none" w:sz="0" w:space="0" w:color="auto" w:frame="1"/>
        </w:rPr>
        <w:t>Tazzioli</w:t>
      </w:r>
      <w:proofErr w:type="spellEnd"/>
      <w:r w:rsidRPr="006A2A6C">
        <w:rPr>
          <w:rFonts w:ascii="Georgia" w:hAnsi="Georgia" w:cs="Arial"/>
          <w:color w:val="000000"/>
          <w:sz w:val="20"/>
          <w:szCs w:val="20"/>
          <w:bdr w:val="none" w:sz="0" w:space="0" w:color="auto" w:frame="1"/>
        </w:rPr>
        <w:t xml:space="preserve">, Martina </w:t>
      </w:r>
      <w:proofErr w:type="spellStart"/>
      <w:r w:rsidRPr="006A2A6C">
        <w:rPr>
          <w:rFonts w:ascii="Georgia" w:hAnsi="Georgia" w:cs="Arial"/>
          <w:color w:val="000000"/>
          <w:sz w:val="20"/>
          <w:szCs w:val="20"/>
          <w:bdr w:val="none" w:sz="0" w:space="0" w:color="auto" w:frame="1"/>
        </w:rPr>
        <w:t>Millefiorini</w:t>
      </w:r>
      <w:proofErr w:type="spellEnd"/>
      <w:r w:rsidRPr="006A2A6C">
        <w:rPr>
          <w:rFonts w:ascii="Georgia" w:hAnsi="Georgia" w:cs="Arial"/>
          <w:color w:val="000000"/>
          <w:sz w:val="20"/>
          <w:szCs w:val="20"/>
          <w:bdr w:val="none" w:sz="0" w:space="0" w:color="auto" w:frame="1"/>
        </w:rPr>
        <w:t xml:space="preserve">, Teresa </w:t>
      </w:r>
      <w:proofErr w:type="spellStart"/>
      <w:r w:rsidRPr="006A2A6C">
        <w:rPr>
          <w:rFonts w:ascii="Georgia" w:hAnsi="Georgia" w:cs="Arial"/>
          <w:color w:val="000000"/>
          <w:sz w:val="20"/>
          <w:szCs w:val="20"/>
          <w:bdr w:val="none" w:sz="0" w:space="0" w:color="auto" w:frame="1"/>
        </w:rPr>
        <w:t>Numerico</w:t>
      </w:r>
      <w:proofErr w:type="spellEnd"/>
      <w:r w:rsidRPr="006A2A6C">
        <w:rPr>
          <w:rFonts w:ascii="Georgia" w:hAnsi="Georgia" w:cs="Arial"/>
          <w:color w:val="000000"/>
          <w:sz w:val="20"/>
          <w:szCs w:val="20"/>
          <w:bdr w:val="none" w:sz="0" w:space="0" w:color="auto" w:frame="1"/>
        </w:rPr>
        <w:t xml:space="preserve">, Marina Montanelli, Giacomo </w:t>
      </w:r>
      <w:proofErr w:type="spellStart"/>
      <w:r w:rsidRPr="006A2A6C">
        <w:rPr>
          <w:rFonts w:ascii="Georgia" w:hAnsi="Georgia" w:cs="Arial"/>
          <w:color w:val="000000"/>
          <w:sz w:val="20"/>
          <w:szCs w:val="20"/>
          <w:bdr w:val="none" w:sz="0" w:space="0" w:color="auto" w:frame="1"/>
        </w:rPr>
        <w:t>Capuzzo</w:t>
      </w:r>
      <w:proofErr w:type="spellEnd"/>
      <w:r w:rsidRPr="006A2A6C">
        <w:rPr>
          <w:rFonts w:ascii="Georgia" w:hAnsi="Georgia" w:cs="Arial"/>
          <w:color w:val="000000"/>
          <w:sz w:val="20"/>
          <w:szCs w:val="20"/>
          <w:bdr w:val="none" w:sz="0" w:space="0" w:color="auto" w:frame="1"/>
        </w:rPr>
        <w:t xml:space="preserve">, Marcella </w:t>
      </w:r>
      <w:proofErr w:type="spellStart"/>
      <w:r w:rsidRPr="006A2A6C">
        <w:rPr>
          <w:rFonts w:ascii="Georgia" w:hAnsi="Georgia" w:cs="Arial"/>
          <w:color w:val="000000"/>
          <w:sz w:val="20"/>
          <w:szCs w:val="20"/>
          <w:bdr w:val="none" w:sz="0" w:space="0" w:color="auto" w:frame="1"/>
        </w:rPr>
        <w:t>Corsi</w:t>
      </w:r>
      <w:proofErr w:type="spellEnd"/>
      <w:r w:rsidRPr="006A2A6C">
        <w:rPr>
          <w:rFonts w:ascii="Georgia" w:hAnsi="Georgia" w:cs="Arial"/>
          <w:color w:val="000000"/>
          <w:sz w:val="20"/>
          <w:szCs w:val="20"/>
          <w:bdr w:val="none" w:sz="0" w:space="0" w:color="auto" w:frame="1"/>
        </w:rPr>
        <w:t xml:space="preserve">, Paolo Novak and Paola </w:t>
      </w:r>
      <w:proofErr w:type="spellStart"/>
      <w:r w:rsidRPr="006A2A6C">
        <w:rPr>
          <w:rFonts w:ascii="Georgia" w:hAnsi="Georgia" w:cs="Arial"/>
          <w:color w:val="000000"/>
          <w:sz w:val="20"/>
          <w:szCs w:val="20"/>
          <w:bdr w:val="none" w:sz="0" w:space="0" w:color="auto" w:frame="1"/>
        </w:rPr>
        <w:t>Rivetti</w:t>
      </w:r>
      <w:proofErr w:type="spellEnd"/>
      <w:r w:rsidRPr="006A2A6C">
        <w:rPr>
          <w:rFonts w:ascii="Georgia" w:hAnsi="Georgia" w:cs="Arial"/>
          <w:color w:val="000000"/>
          <w:sz w:val="20"/>
          <w:szCs w:val="20"/>
          <w:bdr w:val="none" w:sz="0" w:space="0" w:color="auto" w:frame="1"/>
        </w:rPr>
        <w:t xml:space="preserve"> f</w:t>
      </w:r>
      <w:r w:rsidRPr="006A2A6C">
        <w:rPr>
          <w:rFonts w:ascii="Georgia" w:hAnsi="Georgia" w:cs="Arial"/>
          <w:color w:val="000000"/>
          <w:sz w:val="20"/>
          <w:szCs w:val="20"/>
        </w:rPr>
        <w:t xml:space="preserve">or their insightful contributions and thought-provoking </w:t>
      </w:r>
      <w:proofErr w:type="gramStart"/>
      <w:r w:rsidRPr="006A2A6C">
        <w:rPr>
          <w:rFonts w:ascii="Georgia" w:hAnsi="Georgia" w:cs="Arial"/>
          <w:color w:val="000000"/>
          <w:sz w:val="20"/>
          <w:szCs w:val="20"/>
        </w:rPr>
        <w:t>questions;</w:t>
      </w:r>
      <w:proofErr w:type="gramEnd"/>
      <w:r w:rsidRPr="006A2A6C">
        <w:rPr>
          <w:rFonts w:ascii="Georgia" w:hAnsi="Georgia" w:cs="Arial"/>
          <w:color w:val="000000"/>
          <w:sz w:val="20"/>
          <w:szCs w:val="20"/>
        </w:rPr>
        <w:t xml:space="preserve"> and </w:t>
      </w:r>
      <w:proofErr w:type="spellStart"/>
      <w:r w:rsidRPr="006A2A6C">
        <w:rPr>
          <w:rFonts w:ascii="Georgia" w:hAnsi="Georgia" w:cs="Arial"/>
          <w:color w:val="000000"/>
          <w:sz w:val="20"/>
          <w:szCs w:val="20"/>
        </w:rPr>
        <w:t>Aravinda</w:t>
      </w:r>
      <w:proofErr w:type="spellEnd"/>
      <w:r w:rsidRPr="006A2A6C">
        <w:rPr>
          <w:rFonts w:ascii="Georgia" w:hAnsi="Georgia" w:cs="Arial"/>
          <w:color w:val="000000"/>
          <w:sz w:val="20"/>
          <w:szCs w:val="20"/>
        </w:rPr>
        <w:t xml:space="preserve"> </w:t>
      </w:r>
      <w:proofErr w:type="spellStart"/>
      <w:r w:rsidRPr="006A2A6C">
        <w:rPr>
          <w:rFonts w:ascii="Georgia" w:hAnsi="Georgia" w:cs="Arial"/>
          <w:color w:val="000000"/>
          <w:sz w:val="20"/>
          <w:szCs w:val="20"/>
        </w:rPr>
        <w:t>Kosaraju</w:t>
      </w:r>
      <w:proofErr w:type="spellEnd"/>
      <w:r w:rsidRPr="006A2A6C">
        <w:rPr>
          <w:rFonts w:ascii="Georgia" w:hAnsi="Georgia" w:cs="Arial"/>
          <w:color w:val="000000"/>
          <w:sz w:val="20"/>
          <w:szCs w:val="20"/>
        </w:rPr>
        <w:t>, Flora Renz and Julie McCandless for their editorial support.</w:t>
      </w:r>
    </w:p>
  </w:footnote>
  <w:footnote w:id="5">
    <w:p w14:paraId="3BFEA7E6" w14:textId="77777777" w:rsidR="00880A3C" w:rsidRPr="006A2A6C" w:rsidRDefault="00880A3C" w:rsidP="004F06A7">
      <w:pPr>
        <w:pStyle w:val="FootnoteText"/>
        <w:spacing w:line="360" w:lineRule="auto"/>
        <w:jc w:val="both"/>
        <w:rPr>
          <w:rFonts w:ascii="Georgia" w:hAnsi="Georgia" w:cs="Arial"/>
          <w:lang w:val="it-IT"/>
        </w:rPr>
      </w:pPr>
      <w:r w:rsidRPr="006A2A6C">
        <w:rPr>
          <w:rStyle w:val="FootnoteReference"/>
          <w:rFonts w:ascii="Georgia" w:hAnsi="Georgia" w:cs="Arial"/>
        </w:rPr>
        <w:footnoteRef/>
      </w:r>
      <w:r w:rsidRPr="006A2A6C">
        <w:rPr>
          <w:rFonts w:ascii="Georgia" w:hAnsi="Georgia" w:cs="Arial"/>
          <w:lang w:val="it-IT"/>
        </w:rPr>
        <w:t xml:space="preserve"> Antonella </w:t>
      </w:r>
      <w:r w:rsidRPr="006A2A6C">
        <w:rPr>
          <w:rFonts w:ascii="Georgia" w:hAnsi="Georgia" w:cs="Arial"/>
          <w:color w:val="000000"/>
          <w:shd w:val="clear" w:color="auto" w:fill="FFFFFF"/>
          <w:lang w:val="it-IT"/>
        </w:rPr>
        <w:t>Picchio (2008), </w:t>
      </w:r>
      <w:r w:rsidRPr="006A2A6C">
        <w:rPr>
          <w:rFonts w:ascii="Georgia" w:hAnsi="Georgia" w:cs="Arial"/>
          <w:i/>
          <w:color w:val="000000"/>
          <w:shd w:val="clear" w:color="auto" w:fill="FFFFFF"/>
          <w:lang w:val="it-IT"/>
        </w:rPr>
        <w:t>I lavoratori non sono cavalli: visioni prospettiche, analisi e politiche di welfare</w:t>
      </w:r>
      <w:r w:rsidRPr="006A2A6C">
        <w:rPr>
          <w:rFonts w:ascii="Georgia" w:hAnsi="Georgia" w:cs="Arial"/>
          <w:color w:val="000000"/>
          <w:shd w:val="clear" w:color="auto" w:fill="FFFFFF"/>
          <w:lang w:val="it-IT"/>
        </w:rPr>
        <w:t xml:space="preserve">, in «Politica economica», vol. XXIV, n. 3, pp. 271-310 </w:t>
      </w:r>
      <w:proofErr w:type="spellStart"/>
      <w:r w:rsidRPr="006A2A6C">
        <w:rPr>
          <w:rFonts w:ascii="Georgia" w:hAnsi="Georgia" w:cs="Arial"/>
          <w:color w:val="000000"/>
          <w:shd w:val="clear" w:color="auto" w:fill="FFFFFF"/>
          <w:lang w:val="it-IT"/>
        </w:rPr>
        <w:t>at</w:t>
      </w:r>
      <w:proofErr w:type="spellEnd"/>
      <w:r w:rsidRPr="006A2A6C">
        <w:rPr>
          <w:rFonts w:ascii="Georgia" w:hAnsi="Georgia" w:cs="Arial"/>
          <w:color w:val="000000"/>
          <w:shd w:val="clear" w:color="auto" w:fill="FFFFFF"/>
          <w:lang w:val="it-IT"/>
        </w:rPr>
        <w:t xml:space="preserve"> 288.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4CEF99A9" w:rsidR="00351423" w:rsidRDefault="00880A3C">
    <w:pPr>
      <w:pStyle w:val="Header"/>
    </w:pPr>
    <w:proofErr w:type="spellStart"/>
    <w:r>
      <w:t>Enrica</w:t>
    </w:r>
    <w:proofErr w:type="spellEnd"/>
    <w:r>
      <w:t xml:space="preserve"> </w:t>
    </w:r>
    <w:proofErr w:type="spellStart"/>
    <w:r>
      <w:t>Rigo</w:t>
    </w:r>
    <w:proofErr w:type="spellEnd"/>
    <w:r>
      <w:t xml:space="preserve">, Donatella </w:t>
    </w:r>
    <w:proofErr w:type="spellStart"/>
    <w:r>
      <w:t>Alessandrini</w:t>
    </w:r>
    <w:proofErr w:type="spellEnd"/>
    <w:r w:rsidR="00AC2874">
      <w:tab/>
    </w:r>
    <w:r w:rsidR="00AC2874">
      <w:tab/>
    </w:r>
    <w:r w:rsidRPr="00880A3C">
      <w:rPr>
        <w:bCs/>
      </w:rPr>
      <w:t xml:space="preserve">Social Reproduction </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42EBF15C" w:rsidR="00351423" w:rsidRPr="00AC2874" w:rsidRDefault="00351423">
    <w:pPr>
      <w:pStyle w:val="Header"/>
    </w:pPr>
    <w:proofErr w:type="spellStart"/>
    <w:r w:rsidRPr="00AC2874">
      <w:rPr>
        <w:i/>
      </w:rPr>
      <w:t>feminists@law</w:t>
    </w:r>
    <w:proofErr w:type="spellEnd"/>
    <w:r w:rsidR="00AC2874">
      <w:tab/>
    </w:r>
    <w:r w:rsidR="00AC2874">
      <w:tab/>
      <w:t xml:space="preserve">Vol </w:t>
    </w:r>
    <w:r w:rsidR="00FD35B2">
      <w:t>12</w:t>
    </w:r>
    <w:r w:rsidR="00AC2874">
      <w:t xml:space="preserve">, No </w:t>
    </w:r>
    <w:r w:rsidR="00FD35B2">
      <w:t>2</w:t>
    </w:r>
    <w:r w:rsidR="00AC2874">
      <w:t xml:space="preserve"> (</w:t>
    </w:r>
    <w:r w:rsidR="00FD35B2">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3DF"/>
    <w:multiLevelType w:val="hybridMultilevel"/>
    <w:tmpl w:val="5C48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5BB1"/>
    <w:multiLevelType w:val="hybridMultilevel"/>
    <w:tmpl w:val="DF20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41D8A"/>
    <w:multiLevelType w:val="hybridMultilevel"/>
    <w:tmpl w:val="CFBE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744AA"/>
    <w:multiLevelType w:val="hybridMultilevel"/>
    <w:tmpl w:val="AB2C5C76"/>
    <w:lvl w:ilvl="0" w:tplc="4F2E21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1428A"/>
    <w:multiLevelType w:val="hybridMultilevel"/>
    <w:tmpl w:val="EA0A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52F0"/>
    <w:multiLevelType w:val="hybridMultilevel"/>
    <w:tmpl w:val="A8C66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235374"/>
    <w:multiLevelType w:val="hybridMultilevel"/>
    <w:tmpl w:val="0388CBAE"/>
    <w:lvl w:ilvl="0" w:tplc="857A3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6B3EFE"/>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94F13"/>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017352">
    <w:abstractNumId w:val="1"/>
  </w:num>
  <w:num w:numId="2" w16cid:durableId="818768226">
    <w:abstractNumId w:val="5"/>
  </w:num>
  <w:num w:numId="3" w16cid:durableId="472256164">
    <w:abstractNumId w:val="4"/>
  </w:num>
  <w:num w:numId="4" w16cid:durableId="887840421">
    <w:abstractNumId w:val="6"/>
  </w:num>
  <w:num w:numId="5" w16cid:durableId="973565811">
    <w:abstractNumId w:val="2"/>
  </w:num>
  <w:num w:numId="6" w16cid:durableId="821044492">
    <w:abstractNumId w:val="7"/>
    <w:lvlOverride w:ilvl="0">
      <w:startOverride w:val="34"/>
    </w:lvlOverride>
  </w:num>
  <w:num w:numId="7" w16cid:durableId="2035496480">
    <w:abstractNumId w:val="7"/>
    <w:lvlOverride w:ilvl="0">
      <w:startOverride w:val="35"/>
    </w:lvlOverride>
  </w:num>
  <w:num w:numId="8" w16cid:durableId="1411199191">
    <w:abstractNumId w:val="8"/>
  </w:num>
  <w:num w:numId="9" w16cid:durableId="214895163">
    <w:abstractNumId w:val="0"/>
  </w:num>
  <w:num w:numId="10" w16cid:durableId="128360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1DD3"/>
    <w:rsid w:val="00043082"/>
    <w:rsid w:val="001529BB"/>
    <w:rsid w:val="00336B6D"/>
    <w:rsid w:val="00351423"/>
    <w:rsid w:val="004C2790"/>
    <w:rsid w:val="004F06A7"/>
    <w:rsid w:val="004F5099"/>
    <w:rsid w:val="00505AE9"/>
    <w:rsid w:val="00540677"/>
    <w:rsid w:val="0054650F"/>
    <w:rsid w:val="005A7D93"/>
    <w:rsid w:val="00610326"/>
    <w:rsid w:val="0062122D"/>
    <w:rsid w:val="006A2A6C"/>
    <w:rsid w:val="007A0074"/>
    <w:rsid w:val="00871AFE"/>
    <w:rsid w:val="00880A3C"/>
    <w:rsid w:val="0099188B"/>
    <w:rsid w:val="009F084A"/>
    <w:rsid w:val="00A50AC3"/>
    <w:rsid w:val="00AA73F6"/>
    <w:rsid w:val="00AC2874"/>
    <w:rsid w:val="00F04068"/>
    <w:rsid w:val="00F2636B"/>
    <w:rsid w:val="00F654C0"/>
    <w:rsid w:val="00FD35B2"/>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FD35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35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basedOn w:val="Normal"/>
    <w:link w:val="FootnoteTextChar"/>
    <w:uiPriority w:val="99"/>
    <w:unhideWhenUsed/>
    <w:rsid w:val="00351423"/>
    <w:pPr>
      <w:spacing w:line="240" w:lineRule="auto"/>
    </w:pPr>
    <w:rPr>
      <w:sz w:val="20"/>
      <w:szCs w:val="20"/>
    </w:rPr>
  </w:style>
  <w:style w:type="character" w:customStyle="1" w:styleId="FootnoteTextChar">
    <w:name w:val="Footnote Text Char"/>
    <w:basedOn w:val="DefaultParagraphFont"/>
    <w:link w:val="FootnoteText"/>
    <w:uiPriority w:val="99"/>
    <w:rsid w:val="00351423"/>
    <w:rPr>
      <w:sz w:val="20"/>
      <w:szCs w:val="20"/>
    </w:rPr>
  </w:style>
  <w:style w:type="character" w:styleId="FootnoteReference">
    <w:name w:val="footnote reference"/>
    <w:basedOn w:val="DefaultParagraphFont"/>
    <w:uiPriority w:val="99"/>
    <w:semiHidden/>
    <w:unhideWhenUsed/>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customStyle="1" w:styleId="Heading1Char">
    <w:name w:val="Heading 1 Char"/>
    <w:basedOn w:val="DefaultParagraphFont"/>
    <w:link w:val="Heading1"/>
    <w:uiPriority w:val="9"/>
    <w:rsid w:val="00FD35B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D35B2"/>
    <w:rPr>
      <w:color w:val="605E5C"/>
      <w:shd w:val="clear" w:color="auto" w:fill="E1DFDD"/>
    </w:rPr>
  </w:style>
  <w:style w:type="character" w:customStyle="1" w:styleId="Heading2Char">
    <w:name w:val="Heading 2 Char"/>
    <w:basedOn w:val="DefaultParagraphFont"/>
    <w:link w:val="Heading2"/>
    <w:uiPriority w:val="9"/>
    <w:rsid w:val="00FD35B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D35B2"/>
    <w:rPr>
      <w:b/>
      <w:bCs/>
    </w:rPr>
  </w:style>
  <w:style w:type="character" w:styleId="Emphasis">
    <w:name w:val="Emphasis"/>
    <w:basedOn w:val="DefaultParagraphFont"/>
    <w:uiPriority w:val="20"/>
    <w:qFormat/>
    <w:rsid w:val="00FD35B2"/>
    <w:rPr>
      <w:i/>
      <w:iCs/>
    </w:rPr>
  </w:style>
  <w:style w:type="paragraph" w:styleId="NormalWeb">
    <w:name w:val="Normal (Web)"/>
    <w:basedOn w:val="Normal"/>
    <w:uiPriority w:val="99"/>
    <w:unhideWhenUsed/>
    <w:rsid w:val="00FD35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D35B2"/>
    <w:pPr>
      <w:spacing w:after="160" w:line="259" w:lineRule="auto"/>
      <w:ind w:left="720"/>
      <w:contextualSpacing/>
    </w:pPr>
  </w:style>
  <w:style w:type="character" w:customStyle="1" w:styleId="UnresolvedMention1">
    <w:name w:val="Unresolved Mention1"/>
    <w:basedOn w:val="DefaultParagraphFont"/>
    <w:uiPriority w:val="99"/>
    <w:semiHidden/>
    <w:unhideWhenUsed/>
    <w:rsid w:val="00FD35B2"/>
    <w:rPr>
      <w:color w:val="605E5C"/>
      <w:shd w:val="clear" w:color="auto" w:fill="E1DFDD"/>
    </w:rPr>
  </w:style>
  <w:style w:type="character" w:styleId="FollowedHyperlink">
    <w:name w:val="FollowedHyperlink"/>
    <w:basedOn w:val="DefaultParagraphFont"/>
    <w:uiPriority w:val="99"/>
    <w:semiHidden/>
    <w:unhideWhenUsed/>
    <w:rsid w:val="00FD35B2"/>
    <w:rPr>
      <w:color w:val="800080" w:themeColor="followedHyperlink"/>
      <w:u w:val="single"/>
    </w:rPr>
  </w:style>
  <w:style w:type="character" w:customStyle="1" w:styleId="UnresolvedMention2">
    <w:name w:val="Unresolved Mention2"/>
    <w:basedOn w:val="DefaultParagraphFont"/>
    <w:uiPriority w:val="99"/>
    <w:semiHidden/>
    <w:unhideWhenUsed/>
    <w:rsid w:val="00FD35B2"/>
    <w:rPr>
      <w:color w:val="605E5C"/>
      <w:shd w:val="clear" w:color="auto" w:fill="E1DFDD"/>
    </w:rPr>
  </w:style>
  <w:style w:type="character" w:customStyle="1" w:styleId="UnresolvedMention3">
    <w:name w:val="Unresolved Mention3"/>
    <w:basedOn w:val="DefaultParagraphFont"/>
    <w:uiPriority w:val="99"/>
    <w:semiHidden/>
    <w:unhideWhenUsed/>
    <w:rsid w:val="00FD35B2"/>
    <w:rPr>
      <w:color w:val="605E5C"/>
      <w:shd w:val="clear" w:color="auto" w:fill="E1DFDD"/>
    </w:rPr>
  </w:style>
  <w:style w:type="paragraph" w:styleId="Revision">
    <w:name w:val="Revision"/>
    <w:hidden/>
    <w:uiPriority w:val="99"/>
    <w:semiHidden/>
    <w:rsid w:val="00FD35B2"/>
    <w:pPr>
      <w:spacing w:line="240" w:lineRule="auto"/>
    </w:pPr>
  </w:style>
  <w:style w:type="character" w:customStyle="1" w:styleId="cf01">
    <w:name w:val="cf01"/>
    <w:basedOn w:val="DefaultParagraphFont"/>
    <w:rsid w:val="00FD35B2"/>
    <w:rPr>
      <w:rFonts w:ascii="Segoe UI" w:hAnsi="Segoe UI" w:cs="Segoe UI" w:hint="default"/>
      <w:sz w:val="18"/>
      <w:szCs w:val="18"/>
    </w:rPr>
  </w:style>
  <w:style w:type="paragraph" w:customStyle="1" w:styleId="xxxmsonormal">
    <w:name w:val="x_xxmsonormal"/>
    <w:basedOn w:val="Normal"/>
    <w:rsid w:val="00FD35B2"/>
    <w:pPr>
      <w:spacing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D.Alessandrini@kent.ac.uk" TargetMode="External"/><Relationship Id="rId1" Type="http://schemas.openxmlformats.org/officeDocument/2006/relationships/hyperlink" Target="mailto:enrica.rigo@uniroma3.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5</cp:revision>
  <dcterms:created xsi:type="dcterms:W3CDTF">2023-12-03T10:52:00Z</dcterms:created>
  <dcterms:modified xsi:type="dcterms:W3CDTF">2023-12-03T11:08:00Z</dcterms:modified>
</cp:coreProperties>
</file>