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CFE3" w14:textId="31BBB0FA" w:rsidR="00FD35B2" w:rsidRPr="00B012CE" w:rsidRDefault="00B012CE" w:rsidP="00FD35B2">
      <w:pPr>
        <w:pStyle w:val="Heading1"/>
        <w:spacing w:line="480" w:lineRule="auto"/>
        <w:rPr>
          <w:rFonts w:ascii="Georgia" w:hAnsi="Georgia"/>
          <w:b/>
          <w:bCs/>
          <w:color w:val="000000" w:themeColor="text1"/>
          <w:sz w:val="28"/>
          <w:szCs w:val="28"/>
        </w:rPr>
      </w:pPr>
      <w:r w:rsidRPr="00B012CE">
        <w:rPr>
          <w:rFonts w:ascii="Georgia" w:hAnsi="Georgia"/>
          <w:b/>
          <w:bCs/>
          <w:color w:val="000000" w:themeColor="text1"/>
          <w:sz w:val="28"/>
          <w:szCs w:val="28"/>
        </w:rPr>
        <w:t>Law and the Reproduction Sphere as the Place of a Double Production of Value</w:t>
      </w:r>
    </w:p>
    <w:p w14:paraId="051E6D1A" w14:textId="41750325" w:rsidR="00351423" w:rsidRDefault="00351423" w:rsidP="00FD35B2">
      <w:pPr>
        <w:spacing w:line="480" w:lineRule="auto"/>
        <w:rPr>
          <w:b/>
        </w:rPr>
      </w:pPr>
    </w:p>
    <w:p w14:paraId="65598A5F" w14:textId="180A1920" w:rsidR="00880A3C" w:rsidRPr="004F06A7" w:rsidRDefault="00B012CE" w:rsidP="00880A3C">
      <w:pPr>
        <w:spacing w:line="480" w:lineRule="auto"/>
        <w:rPr>
          <w:rFonts w:ascii="Georgia" w:hAnsi="Georgia"/>
          <w:b/>
          <w:sz w:val="24"/>
          <w:szCs w:val="24"/>
        </w:rPr>
      </w:pPr>
      <w:r w:rsidRPr="00B012CE">
        <w:rPr>
          <w:rFonts w:ascii="Georgia" w:hAnsi="Georgia" w:cstheme="minorHAnsi"/>
          <w:b/>
          <w:sz w:val="24"/>
          <w:szCs w:val="24"/>
        </w:rPr>
        <w:t>Leopoldina Fortunati</w:t>
      </w:r>
      <w:r w:rsidR="00351423" w:rsidRPr="004F06A7">
        <w:rPr>
          <w:rStyle w:val="FootnoteReference"/>
          <w:rFonts w:ascii="Georgia" w:hAnsi="Georgia"/>
          <w:b/>
          <w:sz w:val="24"/>
          <w:szCs w:val="24"/>
        </w:rPr>
        <w:footnoteReference w:customMarkFollows="1" w:id="1"/>
        <w:t>*</w:t>
      </w:r>
    </w:p>
    <w:p w14:paraId="77710837" w14:textId="77777777" w:rsidR="00880A3C" w:rsidRPr="004F06A7" w:rsidRDefault="00880A3C" w:rsidP="00880A3C">
      <w:pPr>
        <w:spacing w:line="480" w:lineRule="auto"/>
        <w:rPr>
          <w:b/>
          <w:sz w:val="24"/>
          <w:szCs w:val="24"/>
        </w:rPr>
      </w:pPr>
    </w:p>
    <w:p w14:paraId="15AD2265" w14:textId="77777777" w:rsidR="00B012CE" w:rsidRDefault="00B012CE" w:rsidP="00B012CE">
      <w:pPr>
        <w:pStyle w:val="Heading2"/>
        <w:rPr>
          <w:rFonts w:ascii="Georgia" w:hAnsi="Georgia"/>
          <w:b/>
          <w:bCs/>
          <w:color w:val="000000" w:themeColor="text1"/>
          <w:sz w:val="24"/>
          <w:szCs w:val="24"/>
        </w:rPr>
      </w:pPr>
      <w:r w:rsidRPr="00B012CE">
        <w:rPr>
          <w:rFonts w:ascii="Georgia" w:hAnsi="Georgia"/>
          <w:b/>
          <w:bCs/>
          <w:color w:val="000000" w:themeColor="text1"/>
          <w:sz w:val="24"/>
          <w:szCs w:val="24"/>
        </w:rPr>
        <w:t>Abstract</w:t>
      </w:r>
    </w:p>
    <w:p w14:paraId="51A63A94" w14:textId="77777777" w:rsidR="00B012CE" w:rsidRPr="00B012CE" w:rsidRDefault="00B012CE" w:rsidP="00B012CE"/>
    <w:p w14:paraId="2E0D2D8C"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In the general framework of the relationship between women and the law, a large debate is growing on the misconceived value of domestic labour.  Within this debate, I argue that the recent transformations that have affected this sphere have further complicated the contradictory situation in which domestic labour finds itself in and which legal studies need to contend with.  I will show that the domestic sphere has now become a place where there is a double production of value. I argue that this happened because the production of value connected to the production and reproduction of the labour-force after the feminist struggles of the 70s and 80s had gone into crisis. The crisis originated as women contested and refused to enable such production through the material and immaterial dimensions of their domestic labour, leading to its decrease. The machinisation of the domestic sphere starting in the 90s has therefore been capital´s response to this confrontation, the strategy it has employed to extract value from this sphere anew. As consequence, today there are two layers of value production in the reproduction sphere: the first working badly and the </w:t>
      </w:r>
      <w:r w:rsidRPr="00B012CE">
        <w:rPr>
          <w:rFonts w:ascii="Georgia" w:hAnsi="Georgia" w:cs="Arial"/>
          <w:sz w:val="24"/>
          <w:szCs w:val="24"/>
        </w:rPr>
        <w:lastRenderedPageBreak/>
        <w:t>second functioning better for capital. The complex situation, which is described shortly here, is what legal culture has to deal with, nowadays.</w:t>
      </w:r>
    </w:p>
    <w:p w14:paraId="6E33A376" w14:textId="77777777" w:rsidR="00B012CE" w:rsidRPr="00B012CE" w:rsidRDefault="00B012CE" w:rsidP="00B012CE">
      <w:pPr>
        <w:tabs>
          <w:tab w:val="num" w:pos="720"/>
        </w:tabs>
        <w:spacing w:line="480" w:lineRule="auto"/>
        <w:jc w:val="both"/>
        <w:rPr>
          <w:rFonts w:ascii="Georgia" w:hAnsi="Georgia" w:cs="Arial"/>
          <w:b/>
          <w:bCs/>
          <w:i/>
          <w:iCs/>
          <w:sz w:val="24"/>
          <w:szCs w:val="24"/>
        </w:rPr>
      </w:pPr>
    </w:p>
    <w:p w14:paraId="4E12CD58" w14:textId="77777777" w:rsidR="00B012CE" w:rsidRDefault="00B012CE" w:rsidP="00B012CE">
      <w:pPr>
        <w:pStyle w:val="Heading2"/>
        <w:spacing w:line="480" w:lineRule="auto"/>
        <w:rPr>
          <w:rFonts w:ascii="Georgia" w:hAnsi="Georgia"/>
          <w:b/>
          <w:bCs/>
          <w:color w:val="000000" w:themeColor="text1"/>
          <w:sz w:val="24"/>
          <w:szCs w:val="24"/>
        </w:rPr>
      </w:pPr>
      <w:r w:rsidRPr="00B012CE">
        <w:rPr>
          <w:rFonts w:ascii="Georgia" w:hAnsi="Georgia"/>
          <w:b/>
          <w:bCs/>
          <w:color w:val="000000" w:themeColor="text1"/>
          <w:sz w:val="24"/>
          <w:szCs w:val="24"/>
        </w:rPr>
        <w:t>Introduction</w:t>
      </w:r>
    </w:p>
    <w:p w14:paraId="2FAE333E" w14:textId="77777777" w:rsidR="00B012CE" w:rsidRPr="00B012CE" w:rsidRDefault="00B012CE" w:rsidP="00B012CE"/>
    <w:p w14:paraId="425C7CF7"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The legal system finds itself having to operate in a contradictory, formal framework regarding women, since it does not fully recognise women’s capacity as juridical subjects (D’Alto, 2020). For example, labour law does not recognise the right to an economic remuneration for the domestic work performed mainly by women in their homes, but, at the same time, it recognises this right when women do the same work in another house, not theirs. Even more in several cases judges have been required to calculate the value of domestic labour </w:t>
      </w:r>
      <w:r w:rsidRPr="00B012CE">
        <w:rPr>
          <w:rFonts w:ascii="Georgia" w:hAnsi="Georgia" w:cs="Arial"/>
          <w:i/>
          <w:iCs/>
          <w:sz w:val="24"/>
          <w:szCs w:val="24"/>
        </w:rPr>
        <w:t>ex ante</w:t>
      </w:r>
      <w:r w:rsidRPr="00B012CE">
        <w:rPr>
          <w:rFonts w:ascii="Georgia" w:hAnsi="Georgia" w:cs="Arial"/>
          <w:sz w:val="24"/>
          <w:szCs w:val="24"/>
        </w:rPr>
        <w:t xml:space="preserve">. For example, when a housewife has a car accident, the judge is called to evaluate the economic damage that she has suffered as a result of not being able to perform domestic work. Another example is when a married woman divorces her husband, and the judge must evaluate the maintenance allowance for her and her children, or, if the family is wealthy, a part of the estate. These are few examples in which judges are pushed to contradict the principle of labour law according to which women are not entitled to be remunerated for their domestic labour. Confronted by this complex situation, the law finds itself in troubled waters because its formal framework is incoherent and thus inadequate. The situation gets even more complicated when we acknowledge that the definition of domestic work is quite elusive not only for judges but also for women themselves. Since this work has not been legally formalised, women themselves have had and continue to have difficulty in defining the contents and the boundaries of housework. </w:t>
      </w:r>
    </w:p>
    <w:p w14:paraId="19A4D6EE" w14:textId="77777777" w:rsidR="00B012CE" w:rsidRPr="00B012CE" w:rsidRDefault="00B012CE" w:rsidP="00B012CE">
      <w:pPr>
        <w:tabs>
          <w:tab w:val="num" w:pos="720"/>
        </w:tabs>
        <w:spacing w:line="480" w:lineRule="auto"/>
        <w:jc w:val="both"/>
        <w:rPr>
          <w:rFonts w:ascii="Georgia" w:hAnsi="Georgia" w:cs="Arial"/>
          <w:sz w:val="24"/>
          <w:szCs w:val="24"/>
        </w:rPr>
      </w:pPr>
    </w:p>
    <w:p w14:paraId="7132DAF5"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lastRenderedPageBreak/>
        <w:t xml:space="preserve">However, contradictions add to contradictions, in the sense that the juridical culture today needs to contend with many other changes that have happened in the reproduction sphere, which have further complicated women’s situation but also that of other members of the family, and the law has not caught up. For example, in the last decades, an increasing number of men has shared a part of domestic labour and children’s care labour with their wives/partners; and an increasing number of separated or divorced fathers have begun to take care of their children regularly, according to what has been established in the separation or divorce judgement. However, the most important change that has occurred in the reproduction sphere is maybe the colonisation of the immaterial dimension of domestic labour by the five giants of the Web: Facebook, Microsoft, Apple, Amazon, Google; and its consequences, as we will see below. The structure of this contribution is organised as follow: in the next section, I will analyse what housework is, since its comprehension, as I mentioned before, is not obvious and, in the subsequent section, I will examine the double extraction of value, which will be followed by short conclusions. </w:t>
      </w:r>
    </w:p>
    <w:p w14:paraId="4706D0EE" w14:textId="77777777" w:rsidR="00B012CE" w:rsidRPr="00B012CE" w:rsidRDefault="00B012CE" w:rsidP="00B012CE">
      <w:pPr>
        <w:tabs>
          <w:tab w:val="num" w:pos="720"/>
        </w:tabs>
        <w:spacing w:line="480" w:lineRule="auto"/>
        <w:jc w:val="both"/>
        <w:rPr>
          <w:rFonts w:ascii="Georgia" w:hAnsi="Georgia" w:cs="Arial"/>
          <w:sz w:val="24"/>
          <w:szCs w:val="24"/>
        </w:rPr>
      </w:pPr>
    </w:p>
    <w:p w14:paraId="6B8A11E6" w14:textId="77777777" w:rsidR="00B012CE" w:rsidRDefault="00B012CE" w:rsidP="00B012CE">
      <w:pPr>
        <w:pStyle w:val="Heading2"/>
        <w:spacing w:line="480" w:lineRule="auto"/>
        <w:rPr>
          <w:rFonts w:ascii="Georgia" w:hAnsi="Georgia"/>
          <w:b/>
          <w:bCs/>
          <w:color w:val="000000" w:themeColor="text1"/>
          <w:sz w:val="24"/>
          <w:szCs w:val="24"/>
        </w:rPr>
      </w:pPr>
      <w:r w:rsidRPr="00B012CE">
        <w:rPr>
          <w:rFonts w:ascii="Georgia" w:hAnsi="Georgia"/>
          <w:b/>
          <w:bCs/>
          <w:color w:val="000000" w:themeColor="text1"/>
          <w:sz w:val="24"/>
          <w:szCs w:val="24"/>
        </w:rPr>
        <w:t>Housework as material and immaterial labour</w:t>
      </w:r>
    </w:p>
    <w:p w14:paraId="1A8351B9" w14:textId="77777777" w:rsidR="00B012CE" w:rsidRPr="00B012CE" w:rsidRDefault="00B012CE" w:rsidP="00B012CE"/>
    <w:p w14:paraId="2ADDA3C9"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At first, feminist analysis of domestic labour focused of course on the material dimensions of housework - cooking, washing, and ironing, and so on. However, very soon feminists identified as important also the immaterial part of such work (i.e., Fortunati, 1981). The rich debate generated since the 70s by the feminist movement, and in particular by materialist feminists, arrived at a shared understanding that housework includes both material and immaterial tasks. The immaterial tasks include </w:t>
      </w:r>
      <w:r w:rsidRPr="00B012CE">
        <w:rPr>
          <w:rFonts w:ascii="Georgia" w:hAnsi="Georgia" w:cs="Arial"/>
          <w:sz w:val="24"/>
          <w:szCs w:val="24"/>
        </w:rPr>
        <w:lastRenderedPageBreak/>
        <w:t xml:space="preserve">dimensions such as sociality, courtship, sexuality, communication, information, education, learning, entertainment, affects and emotions (Fortunati, 2007, 2011). </w:t>
      </w:r>
    </w:p>
    <w:p w14:paraId="4A34DA75" w14:textId="77777777" w:rsidR="00B012CE" w:rsidRPr="00B012CE" w:rsidRDefault="00B012CE" w:rsidP="00B012CE">
      <w:pPr>
        <w:tabs>
          <w:tab w:val="num" w:pos="720"/>
        </w:tabs>
        <w:spacing w:line="480" w:lineRule="auto"/>
        <w:jc w:val="both"/>
        <w:rPr>
          <w:rFonts w:ascii="Georgia" w:hAnsi="Georgia" w:cs="Arial"/>
          <w:sz w:val="24"/>
          <w:szCs w:val="24"/>
        </w:rPr>
      </w:pPr>
    </w:p>
    <w:p w14:paraId="13E119D5"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Moreover, housework was understood as carried out especially by women but not entirely by them.  The process of production and reproduction of the labour force requires in fact that a part of material and immaterial labour be done also by the other members of the family (Fortunati, 1981). The </w:t>
      </w:r>
      <w:r w:rsidRPr="00B012CE">
        <w:rPr>
          <w:rFonts w:ascii="Georgia" w:hAnsi="Georgia" w:cs="Arial"/>
          <w:i/>
          <w:iCs/>
          <w:sz w:val="24"/>
          <w:szCs w:val="24"/>
        </w:rPr>
        <w:t>cooperation</w:t>
      </w:r>
      <w:r w:rsidRPr="00B012CE">
        <w:rPr>
          <w:rFonts w:ascii="Georgia" w:hAnsi="Georgia" w:cs="Arial"/>
          <w:sz w:val="24"/>
          <w:szCs w:val="24"/>
        </w:rPr>
        <w:t xml:space="preserve"> by all members of the family is necessary to the functioning of the overall process and shows that no one can be cared for if in turn they do not cooperate in the process. Furthermore, in the neo-capitalist family in which we live now this cooperation becomes even more necessary. The contemporary family is in fact characterised by a high presence of women in the labour market (</w:t>
      </w:r>
      <w:r w:rsidRPr="00B012CE">
        <w:rPr>
          <w:rFonts w:ascii="Georgia" w:hAnsi="Georgia" w:cs="Arial"/>
          <w:sz w:val="24"/>
          <w:szCs w:val="24"/>
          <w:lang w:val="en-US"/>
        </w:rPr>
        <w:t>Brewster and Rindfuss, 2000; England,  Privalko and Levine, 2020)</w:t>
      </w:r>
      <w:r w:rsidRPr="00B012CE">
        <w:rPr>
          <w:rFonts w:ascii="Georgia" w:hAnsi="Georgia" w:cs="Arial"/>
          <w:sz w:val="24"/>
          <w:szCs w:val="24"/>
        </w:rPr>
        <w:t xml:space="preserve"> and by an increasing share of domestic labour being performed by male adults, as well by adolescents and even children (Ferguson, 2007; Pupo and Duffy, 2012). </w:t>
      </w:r>
    </w:p>
    <w:p w14:paraId="64B975CE" w14:textId="77777777" w:rsidR="00B012CE" w:rsidRPr="00B012CE" w:rsidRDefault="00B012CE" w:rsidP="00B012CE">
      <w:pPr>
        <w:tabs>
          <w:tab w:val="num" w:pos="720"/>
        </w:tabs>
        <w:spacing w:line="480" w:lineRule="auto"/>
        <w:jc w:val="both"/>
        <w:rPr>
          <w:rFonts w:ascii="Georgia" w:hAnsi="Georgia" w:cs="Arial"/>
          <w:sz w:val="24"/>
          <w:szCs w:val="24"/>
        </w:rPr>
      </w:pPr>
    </w:p>
    <w:p w14:paraId="3DA8C29E"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In the Anglo-Saxon academic world, the concept of “care” was introduced to define domestic labour, having the merit of being easily understood but which is imprecise. This notion is reductive because it does not include the material and immaterial labour that women as caregivers have to do for themselves (Fortunati, 1981), since they have also to reproduce themselves as unwaged reproductive workers. Nor does it include the domestic labour that necessarily the cared for members have in turn to do in order to cooperate with the caregiver. Furthermore, the invisibility and the consequent unspeakability of domestic work have produced in academic environments another spurious and weak concept such as leisure (i.e. Wearing and Wearing, 1988), which describes what happens in the reproduction sphere as free time dedicated by people to </w:t>
      </w:r>
      <w:r w:rsidRPr="00B012CE">
        <w:rPr>
          <w:rFonts w:ascii="Georgia" w:hAnsi="Georgia" w:cs="Arial"/>
          <w:sz w:val="24"/>
          <w:szCs w:val="24"/>
        </w:rPr>
        <w:lastRenderedPageBreak/>
        <w:t xml:space="preserve">relax and amuse themselves, misunderstanding the crucial nature of the activities which are performed there. </w:t>
      </w:r>
    </w:p>
    <w:p w14:paraId="45BAB7F9" w14:textId="77777777" w:rsidR="00B012CE" w:rsidRPr="00B012CE" w:rsidRDefault="00B012CE" w:rsidP="00B012CE">
      <w:pPr>
        <w:tabs>
          <w:tab w:val="num" w:pos="720"/>
        </w:tabs>
        <w:spacing w:line="480" w:lineRule="auto"/>
        <w:jc w:val="both"/>
        <w:rPr>
          <w:rFonts w:ascii="Georgia" w:hAnsi="Georgia" w:cs="Arial"/>
          <w:sz w:val="24"/>
          <w:szCs w:val="24"/>
        </w:rPr>
      </w:pPr>
    </w:p>
    <w:p w14:paraId="0E3EF0C2"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The </w:t>
      </w:r>
      <w:r w:rsidRPr="00B012CE">
        <w:rPr>
          <w:rFonts w:ascii="Georgia" w:hAnsi="Georgia" w:cs="Arial"/>
          <w:i/>
          <w:iCs/>
          <w:sz w:val="24"/>
          <w:szCs w:val="24"/>
        </w:rPr>
        <w:t>Arcane</w:t>
      </w:r>
      <w:r w:rsidRPr="00B012CE">
        <w:rPr>
          <w:rFonts w:ascii="Georgia" w:hAnsi="Georgia" w:cs="Arial"/>
          <w:sz w:val="24"/>
          <w:szCs w:val="24"/>
        </w:rPr>
        <w:t xml:space="preserve"> (1981) was the first place where Marxist Feminists systematised this discourse on immaterial domestic labour. However, the theoretical efforts of materialist feminists were largely ignored at that time in materialist/autonomist circles. Twenty years ago, autonomists such as Lazzarato (1996) as well as Hardt and Negri (2005) tried to reopen this discourse, attributing to themselves its paternity and mimicking badly the analysis of the immaterial labour which was reduced only to affects and emotions. </w:t>
      </w:r>
    </w:p>
    <w:p w14:paraId="064E576A" w14:textId="77777777" w:rsidR="00B012CE" w:rsidRPr="00B012CE" w:rsidRDefault="00B012CE" w:rsidP="00B012CE">
      <w:pPr>
        <w:tabs>
          <w:tab w:val="num" w:pos="720"/>
        </w:tabs>
        <w:spacing w:line="480" w:lineRule="auto"/>
        <w:jc w:val="both"/>
        <w:rPr>
          <w:rFonts w:ascii="Georgia" w:hAnsi="Georgia" w:cs="Arial"/>
          <w:sz w:val="24"/>
          <w:szCs w:val="24"/>
        </w:rPr>
      </w:pPr>
    </w:p>
    <w:p w14:paraId="1FA6EF49"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To react to this clumsy attempt, we have claimed the maternity of this analysis in order to re-establish not only the true historical genealogy of this concept, but also the magnitude of its meaning, which goes much beyond affects and emotions as we will specify below (Fortunati, 2007). We reacted strongly because at stake was also the political comprehension by young activists of how neo-capitalism works in the reproduction sphere. Neo-capitalism in fact has used not only material domestic labour but also immaterial labour to make women produce the value of the labour force, which is the most precious commodity for the capitalist system. </w:t>
      </w:r>
    </w:p>
    <w:p w14:paraId="668118EE" w14:textId="77777777" w:rsidR="00B012CE" w:rsidRPr="00B012CE" w:rsidRDefault="00B012CE" w:rsidP="00B012CE">
      <w:pPr>
        <w:tabs>
          <w:tab w:val="num" w:pos="720"/>
        </w:tabs>
        <w:spacing w:line="480" w:lineRule="auto"/>
        <w:jc w:val="both"/>
        <w:rPr>
          <w:rFonts w:ascii="Georgia" w:hAnsi="Georgia" w:cs="Arial"/>
          <w:sz w:val="24"/>
          <w:szCs w:val="24"/>
        </w:rPr>
      </w:pPr>
    </w:p>
    <w:p w14:paraId="62368ED2"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One the main problems with the resumption of this discourse on immaterial domestic labour was that the autonomists did not pay attention to the historical dynamics that had developed in the meantime in the reproduction sphere. The problem is that following the feminist struggles of the 1970’s, the command and control over both the material and immaterial spheres had become ineffective. In the past decades, women’s </w:t>
      </w:r>
      <w:r w:rsidRPr="00B012CE">
        <w:rPr>
          <w:rFonts w:ascii="Georgia" w:hAnsi="Georgia" w:cs="Arial"/>
          <w:sz w:val="24"/>
          <w:szCs w:val="24"/>
        </w:rPr>
        <w:lastRenderedPageBreak/>
        <w:t xml:space="preserve">struggles, resistance or counter-power have put in crisis the stability and continuity of the man-woman exchange throughout life, even at the risk of their own poverty and social marginalisation (as in the case of separated or divorced women with children). Male wages have lost the ability to command and control domestic labour, which has become, like factory labour, only exchanged for a limited time. Women have decided less and less to marry formally and there has been a growth of cohabitations, divorces and separations, single-parent families, blended families, and people living alone (by choice or absence of viable alternatives) (in relation to Italy see, for example, Rapporto AISP, 2023). In addition, birth rates have continued to decrease. Radical struggles over the very definition of sexual identity have also developed. The explosion of the family in many different forms has to be attributed mainly to the very strong resistance against domestic work and the power structure in the family by women. Moreover, women's struggles have also provoked the crisis of masculinity, which has not been sufficiently elaborated collectively by men. </w:t>
      </w:r>
    </w:p>
    <w:p w14:paraId="65E4D3C8" w14:textId="77777777" w:rsidR="00B012CE" w:rsidRPr="00B012CE" w:rsidRDefault="00B012CE" w:rsidP="00B012CE">
      <w:pPr>
        <w:tabs>
          <w:tab w:val="num" w:pos="720"/>
        </w:tabs>
        <w:spacing w:line="480" w:lineRule="auto"/>
        <w:jc w:val="both"/>
        <w:rPr>
          <w:rFonts w:ascii="Georgia" w:hAnsi="Georgia" w:cs="Arial"/>
          <w:sz w:val="24"/>
          <w:szCs w:val="24"/>
        </w:rPr>
      </w:pPr>
    </w:p>
    <w:p w14:paraId="6211FD2E"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Not only the quantity but also the quality of the reproduction of labour power has declined with the effect that the value produced in this sphere has decreased, at both material and immaterial levels. Let me take the example of communication. Fortunati and Edwards (2022) recall that after the struggles of the 1970’s there were no longer significant differences between men and women in communication. This gives an idea of the power women gained from the feminist struggles since communication is always the first ground of confrontation and negotiation in the man-woman relationship. Sexuality is another example. With the feminist movement of 1970’s, women have begun to know better their bodies, to build a common and shared knowledge about their sexuality and to expect to have orgasms in sexual intercourse with their partners. </w:t>
      </w:r>
    </w:p>
    <w:p w14:paraId="4830F375" w14:textId="77777777" w:rsidR="00B012CE" w:rsidRPr="00B012CE" w:rsidRDefault="00B012CE" w:rsidP="00B012CE">
      <w:pPr>
        <w:tabs>
          <w:tab w:val="num" w:pos="720"/>
        </w:tabs>
        <w:spacing w:line="480" w:lineRule="auto"/>
        <w:jc w:val="both"/>
        <w:rPr>
          <w:rFonts w:ascii="Georgia" w:hAnsi="Georgia" w:cs="Arial"/>
          <w:sz w:val="24"/>
          <w:szCs w:val="24"/>
        </w:rPr>
      </w:pPr>
    </w:p>
    <w:p w14:paraId="672AC751" w14:textId="77777777" w:rsidR="00B012CE" w:rsidRPr="00B012CE" w:rsidRDefault="00B012CE" w:rsidP="00B012CE">
      <w:pPr>
        <w:tabs>
          <w:tab w:val="num" w:pos="720"/>
        </w:tabs>
        <w:spacing w:line="480" w:lineRule="auto"/>
        <w:jc w:val="both"/>
        <w:rPr>
          <w:rFonts w:ascii="Georgia" w:hAnsi="Georgia" w:cs="Arial"/>
          <w:b/>
          <w:bCs/>
          <w:sz w:val="24"/>
          <w:szCs w:val="24"/>
        </w:rPr>
      </w:pPr>
      <w:r w:rsidRPr="00B012CE">
        <w:rPr>
          <w:rFonts w:ascii="Georgia" w:hAnsi="Georgia" w:cs="Arial"/>
          <w:sz w:val="24"/>
          <w:szCs w:val="24"/>
        </w:rPr>
        <w:t xml:space="preserve">In sum, the main indicators of the functioning of capitalist society – family, man-woman relationships, birth rate, gender identity - were all under a terrible stress, indicating that not only the reproductive sphere, but also the entire society were becoming dysfunctional. </w:t>
      </w:r>
    </w:p>
    <w:p w14:paraId="6F2D670F" w14:textId="77777777" w:rsidR="00B012CE" w:rsidRPr="00B012CE" w:rsidRDefault="00B012CE" w:rsidP="00B012CE">
      <w:pPr>
        <w:tabs>
          <w:tab w:val="num" w:pos="720"/>
        </w:tabs>
        <w:spacing w:line="480" w:lineRule="auto"/>
        <w:jc w:val="both"/>
        <w:rPr>
          <w:rFonts w:ascii="Georgia" w:hAnsi="Georgia" w:cs="Arial"/>
          <w:b/>
          <w:bCs/>
          <w:sz w:val="24"/>
          <w:szCs w:val="24"/>
        </w:rPr>
      </w:pPr>
    </w:p>
    <w:p w14:paraId="58847F67" w14:textId="169D9C7E" w:rsidR="00B012CE" w:rsidRDefault="00B012CE" w:rsidP="00B012CE">
      <w:pPr>
        <w:pStyle w:val="Heading2"/>
        <w:spacing w:line="480" w:lineRule="auto"/>
        <w:rPr>
          <w:rFonts w:ascii="Georgia" w:hAnsi="Georgia"/>
          <w:b/>
          <w:bCs/>
          <w:color w:val="000000" w:themeColor="text1"/>
          <w:sz w:val="24"/>
          <w:szCs w:val="24"/>
        </w:rPr>
      </w:pPr>
      <w:r w:rsidRPr="00B012CE">
        <w:rPr>
          <w:rFonts w:ascii="Georgia" w:hAnsi="Georgia"/>
          <w:b/>
          <w:bCs/>
          <w:color w:val="000000" w:themeColor="text1"/>
          <w:sz w:val="24"/>
          <w:szCs w:val="24"/>
        </w:rPr>
        <w:t>Neo-capitalism and the double extraction of value</w:t>
      </w:r>
    </w:p>
    <w:p w14:paraId="0C1DA04B" w14:textId="77777777" w:rsidR="00B012CE" w:rsidRPr="00B012CE" w:rsidRDefault="00B012CE" w:rsidP="00B012CE"/>
    <w:p w14:paraId="6E186822"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The capitalist answer has been the machinisation of the domestic sphere and the hyper-development of immaterial labour. Since the 1990’s, many technologies (mobile phones, computers, virtual assistants, AI and social robotics) arrived in the homes. As Fortunati and Edwards (2022) documented, digital technologies were all first and primarily designed by hyper-masculine communities of innovators to support and advance male users and give them more power in a domain—communication—in which they had lost it. Worldwide, the percentages of women’s access and use of these technologies - through which now communication was increasingly passing - were lower than men’s. Especially the diffusion and the social construction of the capability to use the computer revealed to be particularly hostile to women. The penetration of these technologies into the social body has required women to take a long and tiring approach to them in an attempt to redesign and reshape them according to their needs, expectations and desires.</w:t>
      </w:r>
    </w:p>
    <w:p w14:paraId="17881B01" w14:textId="77777777" w:rsidR="00B012CE" w:rsidRPr="00B012CE" w:rsidRDefault="00B012CE" w:rsidP="00B012CE">
      <w:pPr>
        <w:tabs>
          <w:tab w:val="num" w:pos="720"/>
        </w:tabs>
        <w:spacing w:line="480" w:lineRule="auto"/>
        <w:jc w:val="both"/>
        <w:rPr>
          <w:rFonts w:ascii="Georgia" w:hAnsi="Georgia" w:cs="Arial"/>
          <w:sz w:val="24"/>
          <w:szCs w:val="24"/>
        </w:rPr>
      </w:pPr>
    </w:p>
    <w:p w14:paraId="395FD8C3"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To grasp the political meaning of this attack, we must stress that these technologies, which function as tools of reproductive work, </w:t>
      </w:r>
      <w:r w:rsidRPr="00B012CE">
        <w:rPr>
          <w:rFonts w:ascii="Georgia" w:hAnsi="Georgia" w:cs="Arial"/>
          <w:i/>
          <w:iCs/>
          <w:sz w:val="24"/>
          <w:szCs w:val="24"/>
        </w:rPr>
        <w:t>allowed the direct penetration of capital into the immaterial spheres</w:t>
      </w:r>
      <w:r w:rsidRPr="00B012CE">
        <w:rPr>
          <w:rFonts w:ascii="Georgia" w:hAnsi="Georgia" w:cs="Arial"/>
          <w:sz w:val="24"/>
          <w:szCs w:val="24"/>
        </w:rPr>
        <w:t xml:space="preserve"> of the reproduction of individuals. Through them, capital </w:t>
      </w:r>
      <w:r w:rsidRPr="00B012CE">
        <w:rPr>
          <w:rFonts w:ascii="Georgia" w:hAnsi="Georgia" w:cs="Arial"/>
          <w:sz w:val="24"/>
          <w:szCs w:val="24"/>
        </w:rPr>
        <w:lastRenderedPageBreak/>
        <w:t xml:space="preserve">has resolved its big problem of having to stop in front of the door of people’s homes. This was a structural problem arising from the way it had organised the social system: the home and the sphere of reproduction, receiving no formal status within the public realm, had been confined to the private realm. Command and control over what took place within the domestic walls have always had to take place indirectly, through men’s wages and social services. A first step of the direct penetration into the domestic sphere had occurred through analogue technologies, radio and television, by which the capitalist system had succeeded in informing, entertaining, manipulating and disciplining people in their domestic life.  </w:t>
      </w:r>
    </w:p>
    <w:p w14:paraId="73B17C91" w14:textId="77777777" w:rsidR="00B012CE" w:rsidRPr="00B012CE" w:rsidRDefault="00B012CE" w:rsidP="00B012CE">
      <w:pPr>
        <w:tabs>
          <w:tab w:val="num" w:pos="720"/>
        </w:tabs>
        <w:spacing w:line="480" w:lineRule="auto"/>
        <w:jc w:val="both"/>
        <w:rPr>
          <w:rFonts w:ascii="Georgia" w:hAnsi="Georgia" w:cs="Arial"/>
          <w:sz w:val="24"/>
          <w:szCs w:val="24"/>
        </w:rPr>
      </w:pPr>
    </w:p>
    <w:p w14:paraId="2D0B86C9"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With digital technologies, including social media, big data, artificial intelligence, virtual assistants, and social robots, capital has been able to know what happens in the domestic sphere, the myriad of variations in the styles of living, and to affect not only attitudes and opinions but also behaviours. Personal and social communication, sexuality via porn, education, information, all the immaterial dimensions of reproductive labour have been sucked into these technologies. I would like to stress here that the last generations of parents have allowed and entrusted their children to self-educate themselves through mobile phones and the internet.  In the reproduction sphere, new digital workers have emerged, who are more encompassing than they were in the past, because now all the members of families and communities have been pushed to produce value (Fortunati and Austin, forthcoming). The new digital workers are no longer only women but also adolescents, young and adult men and in line with the trend even older adults. Child labour has reappeared in the older industrialised countries with the use of these technologies. In addition, counting on the machinisation of houses and on the widespread diffusion of digital skills among the </w:t>
      </w:r>
      <w:r w:rsidRPr="00B012CE">
        <w:rPr>
          <w:rFonts w:ascii="Georgia" w:hAnsi="Georgia" w:cs="Arial"/>
          <w:sz w:val="24"/>
          <w:szCs w:val="24"/>
        </w:rPr>
        <w:lastRenderedPageBreak/>
        <w:t>population, public administration has also managed to transform citizens into digital labourers. To receive services or information from the state, people have been required to assume on their shoulder a part of the administrative work and of the costs that this work requires (Fortunati and Austin, forthcoming). In this new context, digital labour has emerged as an extension of reproductive labour, which now includes administrative labour.</w:t>
      </w:r>
    </w:p>
    <w:p w14:paraId="7DB0E120" w14:textId="77777777" w:rsidR="00B012CE" w:rsidRPr="00B012CE" w:rsidRDefault="00B012CE" w:rsidP="00B012CE">
      <w:pPr>
        <w:tabs>
          <w:tab w:val="num" w:pos="720"/>
        </w:tabs>
        <w:spacing w:line="480" w:lineRule="auto"/>
        <w:jc w:val="both"/>
        <w:rPr>
          <w:rFonts w:ascii="Georgia" w:hAnsi="Georgia" w:cs="Arial"/>
          <w:sz w:val="24"/>
          <w:szCs w:val="24"/>
        </w:rPr>
      </w:pPr>
    </w:p>
    <w:p w14:paraId="2E3E8D9C"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The problem is that the automation of immaterial labour de-humanises and impoverishes further all the dimensions of immaterial reproduction such as sociality, courtship, sexuality, communication, information, education, learning, entertainment, affects and emotions.  In digital technologies, the framing of contents and narrativity as well as the rigid procedures of the access and use of the devices, platforms and applications are established by information technology (IT) companies. Moreover, automation makes the labour, done in these labour dimensions, mechanical, uniform, and controllable, exactly as opposed to what was the immaterial domestic work performed by women before the advent of automation, which was calibrated to a unique and unrepeatable individual. </w:t>
      </w:r>
    </w:p>
    <w:p w14:paraId="38644E8A" w14:textId="77777777" w:rsidR="00B012CE" w:rsidRPr="00B012CE" w:rsidRDefault="00B012CE" w:rsidP="00B012CE">
      <w:pPr>
        <w:tabs>
          <w:tab w:val="num" w:pos="720"/>
        </w:tabs>
        <w:spacing w:line="480" w:lineRule="auto"/>
        <w:jc w:val="both"/>
        <w:rPr>
          <w:rFonts w:ascii="Georgia" w:hAnsi="Georgia" w:cs="Arial"/>
          <w:sz w:val="24"/>
          <w:szCs w:val="24"/>
        </w:rPr>
      </w:pPr>
    </w:p>
    <w:p w14:paraId="30CB632E" w14:textId="77777777" w:rsid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Today, in addition to the classical production of value in the reproduction sphere, with these technologies another layer of value production has emerged. The machinisation of the immaterial part of domestic labour has allowed a further extraction of value that takes place in two ways. First, through the transfer of one's data without payment to mega corporations like Facebook or Google that sell such data to other companies or governmental organisations, which, in turn use this data to better exercise control over their markets or citizens. Second, through the free processing of user generated </w:t>
      </w:r>
      <w:r w:rsidRPr="00B012CE">
        <w:rPr>
          <w:rFonts w:ascii="Georgia" w:hAnsi="Georgia" w:cs="Arial"/>
          <w:sz w:val="24"/>
          <w:szCs w:val="24"/>
        </w:rPr>
        <w:lastRenderedPageBreak/>
        <w:t xml:space="preserve">content by digital companies that directly capitalise on it. This double extraction of money from the reproduction sphere has contributed further to shape this as the strategic sphere of the capitalistic system. </w:t>
      </w:r>
    </w:p>
    <w:p w14:paraId="7856B8E4" w14:textId="77777777" w:rsidR="00B012CE" w:rsidRPr="00B012CE" w:rsidRDefault="00B012CE" w:rsidP="00B012CE">
      <w:pPr>
        <w:tabs>
          <w:tab w:val="num" w:pos="720"/>
        </w:tabs>
        <w:spacing w:line="480" w:lineRule="auto"/>
        <w:jc w:val="both"/>
        <w:rPr>
          <w:rFonts w:ascii="Georgia" w:hAnsi="Georgia" w:cs="Arial"/>
          <w:sz w:val="24"/>
          <w:szCs w:val="24"/>
        </w:rPr>
      </w:pPr>
    </w:p>
    <w:p w14:paraId="05A89675"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But what is equally important to stress is that not only this sphere has been made to supply a very intense production of value; the specific companies that exploit labourers in the online consumption/production sphere also claim they do not pay taxes to the national states where this extraction of value takes place. The social consequences are several. First, women are now subjected to a double exploitation in the reproduction sphere. Second, children, adolescents, adult males, and older people have joined them in this exploitation. Third, in the face of all of this there will also be a worsening of welfare, due to the non-payment of taxes by these companies to the various nation states. Since the network of rights does not protect domestic labour, it is difficult to build barriers to the extraction of surplus value in the reproduction sphere.</w:t>
      </w:r>
    </w:p>
    <w:p w14:paraId="2FA0C991" w14:textId="77777777" w:rsidR="00B012CE" w:rsidRPr="00B012CE" w:rsidRDefault="00B012CE" w:rsidP="00B012CE">
      <w:pPr>
        <w:tabs>
          <w:tab w:val="num" w:pos="720"/>
        </w:tabs>
        <w:spacing w:line="480" w:lineRule="auto"/>
        <w:jc w:val="both"/>
        <w:rPr>
          <w:rFonts w:ascii="Georgia" w:hAnsi="Georgia" w:cs="Arial"/>
          <w:sz w:val="24"/>
          <w:szCs w:val="24"/>
        </w:rPr>
      </w:pPr>
    </w:p>
    <w:p w14:paraId="466188F5" w14:textId="77777777" w:rsidR="00B012CE" w:rsidRPr="00B012CE" w:rsidRDefault="00B012CE" w:rsidP="00B012CE">
      <w:pPr>
        <w:pStyle w:val="Heading2"/>
        <w:spacing w:line="480" w:lineRule="auto"/>
        <w:rPr>
          <w:rFonts w:ascii="Georgia" w:hAnsi="Georgia"/>
          <w:b/>
          <w:bCs/>
          <w:color w:val="000000" w:themeColor="text1"/>
          <w:sz w:val="24"/>
          <w:szCs w:val="24"/>
        </w:rPr>
      </w:pPr>
      <w:r w:rsidRPr="00B012CE">
        <w:rPr>
          <w:rFonts w:ascii="Georgia" w:hAnsi="Georgia"/>
          <w:b/>
          <w:bCs/>
          <w:color w:val="000000" w:themeColor="text1"/>
          <w:sz w:val="24"/>
          <w:szCs w:val="24"/>
        </w:rPr>
        <w:t>Conclusion</w:t>
      </w:r>
    </w:p>
    <w:p w14:paraId="26CFEB35" w14:textId="77777777" w:rsidR="00B012CE" w:rsidRPr="00B012CE" w:rsidRDefault="00B012CE" w:rsidP="00B012CE">
      <w:pPr>
        <w:tabs>
          <w:tab w:val="num" w:pos="720"/>
        </w:tabs>
        <w:spacing w:line="480" w:lineRule="auto"/>
        <w:jc w:val="both"/>
        <w:rPr>
          <w:rFonts w:ascii="Georgia" w:hAnsi="Georgia" w:cs="Arial"/>
          <w:sz w:val="24"/>
          <w:szCs w:val="24"/>
        </w:rPr>
      </w:pPr>
    </w:p>
    <w:p w14:paraId="117F1FAE"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This article has shown hopefully that it is indispensable to continue the work within the framework of law to overcome its existent contradictions regarding the definition of domestic labour and its sporadic economic evaluation. It is equally indispensable to continue to reshape the juridical culture for accomplishing the complete recognition of women’s capacity as juridical subjects. In more general, political terms, it is equally indispensable to resume mobilisation and struggle for the economic remuneration of domestic labour by capital through states.  </w:t>
      </w:r>
    </w:p>
    <w:p w14:paraId="54EF1E5E" w14:textId="77777777" w:rsidR="00B012CE" w:rsidRPr="00B012CE" w:rsidRDefault="00B012CE" w:rsidP="00B012CE">
      <w:pPr>
        <w:tabs>
          <w:tab w:val="num" w:pos="720"/>
        </w:tabs>
        <w:spacing w:line="480" w:lineRule="auto"/>
        <w:jc w:val="both"/>
        <w:rPr>
          <w:rFonts w:ascii="Georgia" w:hAnsi="Georgia" w:cs="Arial"/>
          <w:sz w:val="24"/>
          <w:szCs w:val="24"/>
        </w:rPr>
      </w:pPr>
    </w:p>
    <w:p w14:paraId="746CD2EA" w14:textId="77777777" w:rsidR="00B012CE" w:rsidRPr="00B012CE" w:rsidRDefault="00B012CE" w:rsidP="00B012CE">
      <w:pPr>
        <w:pStyle w:val="Heading2"/>
        <w:spacing w:line="480" w:lineRule="auto"/>
        <w:rPr>
          <w:rFonts w:ascii="Georgia" w:hAnsi="Georgia"/>
          <w:b/>
          <w:bCs/>
          <w:color w:val="000000" w:themeColor="text1"/>
          <w:sz w:val="24"/>
          <w:szCs w:val="24"/>
        </w:rPr>
      </w:pPr>
      <w:r w:rsidRPr="00B012CE">
        <w:rPr>
          <w:rFonts w:ascii="Georgia" w:hAnsi="Georgia"/>
          <w:b/>
          <w:bCs/>
          <w:color w:val="000000" w:themeColor="text1"/>
          <w:sz w:val="24"/>
          <w:szCs w:val="24"/>
        </w:rPr>
        <w:lastRenderedPageBreak/>
        <w:t>References</w:t>
      </w:r>
    </w:p>
    <w:p w14:paraId="0DE441E3" w14:textId="77777777" w:rsidR="00B012CE" w:rsidRPr="00B012CE" w:rsidRDefault="00B012CE" w:rsidP="00B012CE">
      <w:pPr>
        <w:pStyle w:val="FootnoteText"/>
        <w:spacing w:line="480" w:lineRule="auto"/>
        <w:jc w:val="both"/>
        <w:rPr>
          <w:rFonts w:ascii="Georgia" w:hAnsi="Georgia" w:cs="Arial"/>
          <w:sz w:val="24"/>
          <w:szCs w:val="24"/>
        </w:rPr>
      </w:pPr>
      <w:r w:rsidRPr="00B012CE">
        <w:rPr>
          <w:rFonts w:ascii="Georgia" w:hAnsi="Georgia" w:cs="Arial"/>
          <w:sz w:val="24"/>
          <w:szCs w:val="24"/>
          <w:lang w:val="en-US"/>
        </w:rPr>
        <w:t xml:space="preserve">Brewster, K.L., &amp; Rindfuss, R.R. (2000). Fertility and Women's Employment in Industrialized Nations. </w:t>
      </w:r>
      <w:r w:rsidRPr="00B012CE">
        <w:rPr>
          <w:rFonts w:ascii="Georgia" w:hAnsi="Georgia" w:cs="Arial"/>
          <w:i/>
          <w:sz w:val="24"/>
          <w:szCs w:val="24"/>
        </w:rPr>
        <w:t>Annual Review</w:t>
      </w:r>
      <w:r w:rsidRPr="00B012CE">
        <w:rPr>
          <w:rFonts w:ascii="Georgia" w:hAnsi="Georgia" w:cs="Arial"/>
          <w:sz w:val="24"/>
          <w:szCs w:val="24"/>
        </w:rPr>
        <w:t xml:space="preserve"> </w:t>
      </w:r>
      <w:r w:rsidRPr="00B012CE">
        <w:rPr>
          <w:rFonts w:ascii="Georgia" w:hAnsi="Georgia" w:cs="Arial"/>
          <w:i/>
          <w:sz w:val="24"/>
          <w:szCs w:val="24"/>
        </w:rPr>
        <w:t>of Sociology</w:t>
      </w:r>
      <w:r w:rsidRPr="00B012CE">
        <w:rPr>
          <w:rFonts w:ascii="Georgia" w:hAnsi="Georgia" w:cs="Arial"/>
          <w:sz w:val="24"/>
          <w:szCs w:val="24"/>
        </w:rPr>
        <w:t xml:space="preserve"> 26, 271-296, p.276.</w:t>
      </w:r>
    </w:p>
    <w:p w14:paraId="57CC1919" w14:textId="3FB10410" w:rsidR="00B012CE" w:rsidRPr="00B012CE" w:rsidRDefault="00B012CE" w:rsidP="00B012CE">
      <w:pPr>
        <w:tabs>
          <w:tab w:val="num" w:pos="720"/>
        </w:tabs>
        <w:spacing w:line="480" w:lineRule="auto"/>
        <w:jc w:val="both"/>
        <w:rPr>
          <w:rFonts w:ascii="Georgia" w:hAnsi="Georgia" w:cs="Arial"/>
          <w:sz w:val="24"/>
          <w:szCs w:val="24"/>
          <w:lang w:val="en-US"/>
        </w:rPr>
      </w:pPr>
      <w:r w:rsidRPr="00B012CE">
        <w:rPr>
          <w:rFonts w:ascii="Georgia" w:hAnsi="Georgia" w:cs="Arial"/>
          <w:sz w:val="24"/>
          <w:szCs w:val="24"/>
        </w:rPr>
        <w:t xml:space="preserve">D'Alto, F. (2020). La capacità negata. Il soggetto giuridico femminile nella giurisprudenza postunitaria. </w:t>
      </w:r>
      <w:r w:rsidRPr="00B012CE">
        <w:rPr>
          <w:rFonts w:ascii="Georgia" w:hAnsi="Georgia" w:cs="Arial"/>
          <w:sz w:val="24"/>
          <w:szCs w:val="24"/>
          <w:lang w:val="en-US"/>
        </w:rPr>
        <w:t xml:space="preserve">Torino: Giappichelli. </w:t>
      </w:r>
    </w:p>
    <w:p w14:paraId="4BEBB903" w14:textId="77777777" w:rsidR="00B012CE" w:rsidRPr="00B012CE" w:rsidRDefault="00B012CE" w:rsidP="00B012CE">
      <w:pPr>
        <w:pStyle w:val="FootnoteText"/>
        <w:spacing w:line="480" w:lineRule="auto"/>
        <w:jc w:val="both"/>
        <w:rPr>
          <w:rFonts w:ascii="Georgia" w:hAnsi="Georgia" w:cs="Arial"/>
          <w:sz w:val="24"/>
          <w:szCs w:val="24"/>
          <w:lang w:val="en-US"/>
        </w:rPr>
      </w:pPr>
      <w:r w:rsidRPr="00B012CE">
        <w:rPr>
          <w:rFonts w:ascii="Georgia" w:hAnsi="Georgia" w:cs="Arial"/>
          <w:sz w:val="24"/>
          <w:szCs w:val="24"/>
          <w:lang w:val="en-US"/>
        </w:rPr>
        <w:t xml:space="preserve">England, P., Privalko, I., &amp; Levine, A. (2020). Has the Gender Revolution Stalled? </w:t>
      </w:r>
      <w:r w:rsidRPr="00B012CE">
        <w:rPr>
          <w:rFonts w:ascii="Georgia" w:hAnsi="Georgia" w:cs="Arial"/>
          <w:i/>
          <w:sz w:val="24"/>
          <w:szCs w:val="24"/>
          <w:lang w:val="en-US"/>
        </w:rPr>
        <w:t>The Economic and Social Review</w:t>
      </w:r>
      <w:r w:rsidRPr="00B012CE">
        <w:rPr>
          <w:rFonts w:ascii="Georgia" w:hAnsi="Georgia" w:cs="Arial"/>
          <w:sz w:val="24"/>
          <w:szCs w:val="24"/>
          <w:lang w:val="en-US"/>
        </w:rPr>
        <w:t>, 51(4), pp. 463-488.</w:t>
      </w:r>
    </w:p>
    <w:p w14:paraId="11108EFE" w14:textId="6158BB12"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Ferguson, K. (2007). ‘The Busy Life of Teens’, Perspectives on Labour and Income. Statistics Canada -Catalogue No 75-001-XIE, June: 5-14, p.11.</w:t>
      </w:r>
    </w:p>
    <w:p w14:paraId="434A5F38" w14:textId="77777777" w:rsidR="00B012CE" w:rsidRPr="00B012CE" w:rsidRDefault="00B012CE" w:rsidP="00B012CE">
      <w:pPr>
        <w:pStyle w:val="NormalWeb"/>
        <w:spacing w:before="0" w:beforeAutospacing="0" w:after="120" w:afterAutospacing="0" w:line="480" w:lineRule="auto"/>
        <w:jc w:val="both"/>
        <w:rPr>
          <w:rFonts w:ascii="Georgia" w:hAnsi="Georgia" w:cs="Arial"/>
          <w:lang w:val="it-IT"/>
        </w:rPr>
      </w:pPr>
      <w:r w:rsidRPr="00B012CE">
        <w:rPr>
          <w:rFonts w:ascii="Georgia" w:hAnsi="Georgia" w:cs="Arial"/>
        </w:rPr>
        <w:t xml:space="preserve">Fortunati L. (1981) The Arcane of Reproduction: Housework, Prostitution, Labor and Capital. </w:t>
      </w:r>
      <w:r w:rsidRPr="00B012CE">
        <w:rPr>
          <w:rFonts w:ascii="Georgia" w:hAnsi="Georgia" w:cs="Arial"/>
          <w:lang w:val="it-IT"/>
        </w:rPr>
        <w:t xml:space="preserve">Autonomedia. Originally published in Italian as L'Arcano de/la Riproduzione: Casalinghe, Prostitute, Operai e Capitale (Venezia: Marsilio Editori, 1981). </w:t>
      </w:r>
    </w:p>
    <w:p w14:paraId="1733C2FC"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lang w:val="en-US"/>
        </w:rPr>
        <w:t>Fortunati, L. (2007). Im</w:t>
      </w:r>
      <w:r w:rsidRPr="00B012CE">
        <w:rPr>
          <w:rFonts w:ascii="Georgia" w:hAnsi="Georgia" w:cs="Arial"/>
          <w:sz w:val="24"/>
          <w:szCs w:val="24"/>
        </w:rPr>
        <w:t xml:space="preserve">material Labor and its Machinization. </w:t>
      </w:r>
      <w:r w:rsidRPr="00B012CE">
        <w:rPr>
          <w:rFonts w:ascii="Georgia" w:hAnsi="Georgia" w:cs="Arial"/>
          <w:i/>
          <w:iCs/>
          <w:sz w:val="24"/>
          <w:szCs w:val="24"/>
        </w:rPr>
        <w:t>Ephemera Theory &amp; Politics in Organization</w:t>
      </w:r>
      <w:r w:rsidRPr="00B012CE">
        <w:rPr>
          <w:rFonts w:ascii="Georgia" w:hAnsi="Georgia" w:cs="Arial"/>
          <w:sz w:val="24"/>
          <w:szCs w:val="24"/>
        </w:rPr>
        <w:t>, 7(1), 139–157.</w:t>
      </w:r>
    </w:p>
    <w:p w14:paraId="37CBF6A5"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Fortunati L (2011) ICTs and Immaterial Labor From a Feminist Perspective. Journal of Communication Inquiry 35(4): 426–432. </w:t>
      </w:r>
      <w:hyperlink r:id="rId8" w:history="1">
        <w:r w:rsidRPr="00B012CE">
          <w:rPr>
            <w:rStyle w:val="Hyperlink"/>
            <w:rFonts w:ascii="Georgia" w:hAnsi="Georgia" w:cs="Arial"/>
            <w:sz w:val="24"/>
            <w:szCs w:val="24"/>
          </w:rPr>
          <w:t>https://doi.org/10.1177/0196859911417713</w:t>
        </w:r>
      </w:hyperlink>
      <w:r w:rsidRPr="00B012CE">
        <w:rPr>
          <w:rFonts w:ascii="Georgia" w:hAnsi="Georgia" w:cs="Arial"/>
          <w:sz w:val="24"/>
          <w:szCs w:val="24"/>
        </w:rPr>
        <w:t>.</w:t>
      </w:r>
    </w:p>
    <w:p w14:paraId="26C1DB27"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 xml:space="preserve">Fortunati, L., &amp; Edwards A.P. (2022). Gender and Human-Machine Communication: Where Are We? </w:t>
      </w:r>
      <w:r w:rsidRPr="00B012CE">
        <w:rPr>
          <w:rFonts w:ascii="Georgia" w:hAnsi="Georgia" w:cs="Arial"/>
          <w:i/>
          <w:iCs/>
          <w:sz w:val="24"/>
          <w:szCs w:val="24"/>
        </w:rPr>
        <w:t>Human-Machine Communication</w:t>
      </w:r>
      <w:r w:rsidRPr="00B012CE">
        <w:rPr>
          <w:rFonts w:ascii="Georgia" w:hAnsi="Georgia" w:cs="Arial"/>
          <w:sz w:val="24"/>
          <w:szCs w:val="24"/>
        </w:rPr>
        <w:t xml:space="preserve">, 5, 7–47.  </w:t>
      </w:r>
      <w:hyperlink r:id="rId9" w:history="1">
        <w:r w:rsidRPr="00B012CE">
          <w:rPr>
            <w:rStyle w:val="Hyperlink"/>
            <w:rFonts w:ascii="Georgia" w:hAnsi="Georgia" w:cs="Arial"/>
            <w:sz w:val="24"/>
            <w:szCs w:val="24"/>
          </w:rPr>
          <w:t>https://doi.org/10.30658/hmc.5.1</w:t>
        </w:r>
      </w:hyperlink>
    </w:p>
    <w:p w14:paraId="76013E62" w14:textId="77777777" w:rsidR="00B012CE" w:rsidRPr="00B012CE" w:rsidRDefault="00B012CE" w:rsidP="00B012CE">
      <w:pPr>
        <w:spacing w:line="480" w:lineRule="auto"/>
        <w:jc w:val="both"/>
        <w:rPr>
          <w:rFonts w:ascii="Georgia" w:hAnsi="Georgia" w:cs="Arial"/>
          <w:sz w:val="24"/>
          <w:szCs w:val="24"/>
        </w:rPr>
      </w:pPr>
      <w:r w:rsidRPr="00B012CE">
        <w:rPr>
          <w:rFonts w:ascii="Georgia" w:hAnsi="Georgia" w:cs="Arial"/>
          <w:sz w:val="24"/>
          <w:szCs w:val="24"/>
        </w:rPr>
        <w:t xml:space="preserve">Fortunati, L., &amp; Austin, A. (forthcoming). Digital labor and the domestic sphere. Qiu J.L., Yeo, S., Maxwell, R., Sandoval, M. (Eds.) </w:t>
      </w:r>
      <w:r w:rsidRPr="00B012CE">
        <w:rPr>
          <w:rFonts w:ascii="Georgia" w:hAnsi="Georgia" w:cs="Arial"/>
          <w:i/>
          <w:iCs/>
          <w:sz w:val="24"/>
          <w:szCs w:val="24"/>
        </w:rPr>
        <w:t>The Handbook of Digital Labor</w:t>
      </w:r>
      <w:r w:rsidRPr="00B012CE">
        <w:rPr>
          <w:rFonts w:ascii="Georgia" w:hAnsi="Georgia" w:cs="Arial"/>
          <w:sz w:val="24"/>
          <w:szCs w:val="24"/>
        </w:rPr>
        <w:t>. IAMCR and Wiley Blackwell.</w:t>
      </w:r>
    </w:p>
    <w:p w14:paraId="28C31FED" w14:textId="77777777" w:rsidR="00B012CE" w:rsidRPr="00B012CE" w:rsidRDefault="00B012CE" w:rsidP="00B012CE">
      <w:pPr>
        <w:spacing w:line="480" w:lineRule="auto"/>
        <w:jc w:val="both"/>
        <w:rPr>
          <w:rFonts w:ascii="Georgia" w:hAnsi="Georgia" w:cs="Arial"/>
          <w:sz w:val="24"/>
          <w:szCs w:val="24"/>
        </w:rPr>
      </w:pPr>
      <w:r w:rsidRPr="00B012CE">
        <w:rPr>
          <w:rFonts w:ascii="Georgia" w:hAnsi="Georgia" w:cs="Arial"/>
          <w:sz w:val="24"/>
          <w:szCs w:val="24"/>
        </w:rPr>
        <w:t>Hardt, M., &amp; Negri, A. (2005). Multitude: War and democracy in the age of empire. Penguin.</w:t>
      </w:r>
    </w:p>
    <w:p w14:paraId="60AC9758" w14:textId="77777777" w:rsidR="00B012CE" w:rsidRPr="00B012CE" w:rsidRDefault="00B012CE" w:rsidP="00B012CE">
      <w:pPr>
        <w:spacing w:line="480" w:lineRule="auto"/>
        <w:jc w:val="both"/>
        <w:rPr>
          <w:rFonts w:ascii="Georgia" w:hAnsi="Georgia" w:cs="Arial"/>
          <w:sz w:val="24"/>
          <w:szCs w:val="24"/>
        </w:rPr>
      </w:pPr>
      <w:r w:rsidRPr="00B012CE">
        <w:rPr>
          <w:rFonts w:ascii="Georgia" w:hAnsi="Georgia" w:cs="Arial"/>
          <w:sz w:val="24"/>
          <w:szCs w:val="24"/>
        </w:rPr>
        <w:lastRenderedPageBreak/>
        <w:t>Lazzarato, M. (1996). “Immaterial Labor.” In: Virno P and Hardt M (eds) Radical Thought in Italy: A Potential Politics. Minneapolis: University of Minnesota Press.</w:t>
      </w:r>
    </w:p>
    <w:p w14:paraId="5836F969"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Pupo, N, Duffy, A. (2012). Unpaid work, capital and coercion. Work Organisation, Labour &amp; Globalisation, 6(1), 27-47, p.33.</w:t>
      </w:r>
    </w:p>
    <w:p w14:paraId="500B274E"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rPr>
        <w:t>Rapporto AISP 2023 (2023). Le famiglie in Italia: forme, ostacoli, sfide. Bologna: Il Mulino. https://www.rivistailmulino.it/a/le-famiglie-in-italia</w:t>
      </w:r>
    </w:p>
    <w:p w14:paraId="56EFC655" w14:textId="77777777" w:rsidR="00B012CE" w:rsidRPr="00B012CE" w:rsidRDefault="00B012CE" w:rsidP="00B012CE">
      <w:pPr>
        <w:tabs>
          <w:tab w:val="num" w:pos="720"/>
        </w:tabs>
        <w:spacing w:line="480" w:lineRule="auto"/>
        <w:jc w:val="both"/>
        <w:rPr>
          <w:rFonts w:ascii="Georgia" w:hAnsi="Georgia" w:cs="Arial"/>
          <w:sz w:val="24"/>
          <w:szCs w:val="24"/>
        </w:rPr>
      </w:pPr>
      <w:r w:rsidRPr="00B012CE">
        <w:rPr>
          <w:rFonts w:ascii="Georgia" w:hAnsi="Georgia" w:cs="Arial"/>
          <w:sz w:val="24"/>
          <w:szCs w:val="24"/>
          <w:lang w:val="en-US"/>
        </w:rPr>
        <w:t>Wearing, B., &amp; Wearing, S. (1988). ‘All in a day lei</w:t>
      </w:r>
      <w:r w:rsidRPr="00B012CE">
        <w:rPr>
          <w:rFonts w:ascii="Georgia" w:hAnsi="Georgia" w:cs="Arial"/>
          <w:sz w:val="24"/>
          <w:szCs w:val="24"/>
        </w:rPr>
        <w:t xml:space="preserve">sure’: gender and the concept of leisure. Leisure Studies 7(2), 11-123. </w:t>
      </w:r>
    </w:p>
    <w:p w14:paraId="47989367" w14:textId="77777777" w:rsidR="00B012CE" w:rsidRPr="0022055B" w:rsidRDefault="00B012CE" w:rsidP="00B012CE">
      <w:pPr>
        <w:tabs>
          <w:tab w:val="num" w:pos="720"/>
        </w:tabs>
        <w:jc w:val="both"/>
        <w:rPr>
          <w:rFonts w:ascii="Arial" w:hAnsi="Arial" w:cs="Arial"/>
          <w:sz w:val="24"/>
          <w:szCs w:val="24"/>
        </w:rPr>
      </w:pPr>
    </w:p>
    <w:p w14:paraId="3AE4A189" w14:textId="77777777" w:rsidR="00351423" w:rsidRPr="00880A3C" w:rsidRDefault="00351423" w:rsidP="00B012CE">
      <w:pPr>
        <w:spacing w:line="480" w:lineRule="auto"/>
        <w:jc w:val="center"/>
        <w:rPr>
          <w:rFonts w:ascii="Georgia" w:hAnsi="Georgia"/>
          <w:sz w:val="24"/>
          <w:szCs w:val="24"/>
        </w:rPr>
      </w:pPr>
    </w:p>
    <w:sectPr w:rsidR="00351423" w:rsidRPr="00880A3C" w:rsidSect="00351423">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99B9" w14:textId="77777777" w:rsidR="004F7E86" w:rsidRDefault="004F7E86" w:rsidP="00351423">
      <w:pPr>
        <w:spacing w:line="240" w:lineRule="auto"/>
      </w:pPr>
      <w:r>
        <w:separator/>
      </w:r>
    </w:p>
  </w:endnote>
  <w:endnote w:type="continuationSeparator" w:id="0">
    <w:p w14:paraId="068E6966" w14:textId="77777777" w:rsidR="004F7E86" w:rsidRDefault="004F7E86" w:rsidP="0035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9"/>
      <w:docPartObj>
        <w:docPartGallery w:val="Page Numbers (Bottom of Page)"/>
        <w:docPartUnique/>
      </w:docPartObj>
    </w:sdtPr>
    <w:sdtContent>
      <w:p w14:paraId="52786D06" w14:textId="77777777" w:rsidR="00AA73F6" w:rsidRDefault="00AA73F6">
        <w:pPr>
          <w:pStyle w:val="Footer"/>
          <w:jc w:val="center"/>
        </w:pPr>
        <w:r>
          <w:t>__________________________________________________________________________________</w:t>
        </w:r>
      </w:p>
      <w:p w14:paraId="70FB5EEF" w14:textId="77777777" w:rsidR="00AC2874" w:rsidRDefault="00AC2874">
        <w:pPr>
          <w:pStyle w:val="Footer"/>
          <w:jc w:val="center"/>
        </w:pPr>
      </w:p>
      <w:p w14:paraId="7675FC45" w14:textId="77777777" w:rsidR="00AA73F6" w:rsidRDefault="0099188B">
        <w:pPr>
          <w:pStyle w:val="Footer"/>
          <w:jc w:val="center"/>
        </w:pPr>
        <w:r>
          <w:fldChar w:fldCharType="begin"/>
        </w:r>
        <w:r>
          <w:instrText xml:space="preserve"> PAGE   \* MERGEFORMAT </w:instrText>
        </w:r>
        <w:r>
          <w:fldChar w:fldCharType="separate"/>
        </w:r>
        <w:r w:rsidR="009F084A">
          <w:rPr>
            <w:noProof/>
          </w:rPr>
          <w:t>4</w:t>
        </w:r>
        <w:r>
          <w:rPr>
            <w:noProof/>
          </w:rPr>
          <w:fldChar w:fldCharType="end"/>
        </w:r>
      </w:p>
    </w:sdtContent>
  </w:sdt>
  <w:p w14:paraId="275BD03D" w14:textId="77777777" w:rsidR="00AA73F6" w:rsidRDefault="00AA7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6015"/>
      <w:docPartObj>
        <w:docPartGallery w:val="Page Numbers (Bottom of Page)"/>
        <w:docPartUnique/>
      </w:docPartObj>
    </w:sdtPr>
    <w:sdtContent>
      <w:p w14:paraId="1364BEB2" w14:textId="77777777" w:rsidR="00AA73F6" w:rsidRDefault="00AA73F6">
        <w:pPr>
          <w:pStyle w:val="Footer"/>
          <w:jc w:val="center"/>
        </w:pPr>
        <w:r>
          <w:t>__________________________________________________________________________________</w:t>
        </w:r>
      </w:p>
      <w:p w14:paraId="1AF46A57" w14:textId="77777777" w:rsidR="00AC2874" w:rsidRDefault="00AC2874">
        <w:pPr>
          <w:pStyle w:val="Footer"/>
          <w:jc w:val="center"/>
        </w:pPr>
      </w:p>
      <w:p w14:paraId="2DA03D82" w14:textId="77777777" w:rsidR="00351423" w:rsidRDefault="0099188B">
        <w:pPr>
          <w:pStyle w:val="Footer"/>
          <w:jc w:val="center"/>
        </w:pPr>
        <w:r>
          <w:fldChar w:fldCharType="begin"/>
        </w:r>
        <w:r>
          <w:instrText xml:space="preserve"> PAGE   \* MERGEFORMAT </w:instrText>
        </w:r>
        <w:r>
          <w:fldChar w:fldCharType="separate"/>
        </w:r>
        <w:r w:rsidR="009F084A">
          <w:rPr>
            <w:noProof/>
          </w:rPr>
          <w:t>3</w:t>
        </w:r>
        <w:r>
          <w:rPr>
            <w:noProof/>
          </w:rPr>
          <w:fldChar w:fldCharType="end"/>
        </w:r>
      </w:p>
    </w:sdtContent>
  </w:sdt>
  <w:p w14:paraId="77647D03" w14:textId="77777777" w:rsidR="00351423" w:rsidRDefault="0035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C9DD" w14:textId="77777777" w:rsidR="004F7E86" w:rsidRDefault="004F7E86" w:rsidP="00351423">
      <w:pPr>
        <w:spacing w:line="240" w:lineRule="auto"/>
      </w:pPr>
      <w:r>
        <w:separator/>
      </w:r>
    </w:p>
  </w:footnote>
  <w:footnote w:type="continuationSeparator" w:id="0">
    <w:p w14:paraId="664C6725" w14:textId="77777777" w:rsidR="004F7E86" w:rsidRDefault="004F7E86" w:rsidP="00351423">
      <w:pPr>
        <w:spacing w:line="240" w:lineRule="auto"/>
      </w:pPr>
      <w:r>
        <w:continuationSeparator/>
      </w:r>
    </w:p>
  </w:footnote>
  <w:footnote w:id="1">
    <w:p w14:paraId="33779718" w14:textId="78B65508" w:rsidR="00351423" w:rsidRPr="00B012CE" w:rsidRDefault="00351423" w:rsidP="00B012CE">
      <w:pPr>
        <w:pStyle w:val="FootnoteText"/>
        <w:spacing w:line="360" w:lineRule="auto"/>
        <w:rPr>
          <w:rFonts w:ascii="Georgia" w:hAnsi="Georgia"/>
          <w:b/>
        </w:rPr>
      </w:pPr>
      <w:r w:rsidRPr="00B012CE">
        <w:rPr>
          <w:rStyle w:val="FootnoteReference"/>
          <w:rFonts w:ascii="Georgia" w:hAnsi="Georgia"/>
        </w:rPr>
        <w:t>*</w:t>
      </w:r>
      <w:r w:rsidR="00B012CE" w:rsidRPr="00B012CE">
        <w:rPr>
          <w:rFonts w:ascii="Georgia" w:hAnsi="Georgia"/>
          <w:bCs/>
        </w:rPr>
        <w:t>Department of Mathematics, Computer Science and Physics, University of Udine</w:t>
      </w:r>
      <w:r w:rsidR="006854E5">
        <w:rPr>
          <w:rFonts w:ascii="Georgia" w:hAnsi="Georgia"/>
          <w:bCs/>
        </w:rPr>
        <w:t>, Italy</w:t>
      </w:r>
      <w:r w:rsidR="00FD35B2" w:rsidRPr="00B012CE">
        <w:rPr>
          <w:rFonts w:ascii="Georgia" w:hAnsi="Georgia"/>
          <w:bCs/>
        </w:rPr>
        <w:t>:</w:t>
      </w:r>
      <w:r w:rsidR="00FD35B2" w:rsidRPr="00B012CE">
        <w:rPr>
          <w:rFonts w:ascii="Georgia" w:hAnsi="Georgia"/>
          <w:b/>
        </w:rPr>
        <w:t xml:space="preserve"> </w:t>
      </w:r>
      <w:hyperlink r:id="rId1" w:history="1">
        <w:r w:rsidR="00B012CE" w:rsidRPr="00B012CE">
          <w:rPr>
            <w:rStyle w:val="Hyperlink"/>
            <w:rFonts w:ascii="Georgia" w:hAnsi="Georgia"/>
          </w:rPr>
          <w:t>leopoldina.fortunati@uniud.it</w:t>
        </w:r>
      </w:hyperlink>
      <w:r w:rsidR="00B012CE" w:rsidRPr="00B012CE">
        <w:rPr>
          <w:rFonts w:ascii="Georgia" w:hAnsi="Georg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C1DB" w14:textId="1CF984AA" w:rsidR="00351423" w:rsidRDefault="00B012CE">
    <w:pPr>
      <w:pStyle w:val="Header"/>
    </w:pPr>
    <w:r>
      <w:t>Leopoldina Fortunati</w:t>
    </w:r>
    <w:r w:rsidR="00AC2874">
      <w:tab/>
    </w:r>
    <w:r w:rsidR="00AC2874">
      <w:tab/>
    </w:r>
    <w:r w:rsidRPr="00B012CE">
      <w:rPr>
        <w:bCs/>
      </w:rPr>
      <w:t>Law and the Reproduction Sphere</w:t>
    </w:r>
  </w:p>
  <w:p w14:paraId="2486E10D" w14:textId="77777777" w:rsidR="00351423" w:rsidRDefault="00351423">
    <w:pPr>
      <w:pStyle w:val="Header"/>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48FD" w14:textId="42EBF15C" w:rsidR="00351423" w:rsidRPr="00AC2874" w:rsidRDefault="00351423">
    <w:pPr>
      <w:pStyle w:val="Header"/>
    </w:pPr>
    <w:r w:rsidRPr="00AC2874">
      <w:rPr>
        <w:i/>
      </w:rPr>
      <w:t>feminists@law</w:t>
    </w:r>
    <w:r w:rsidR="00AC2874">
      <w:tab/>
    </w:r>
    <w:r w:rsidR="00AC2874">
      <w:tab/>
      <w:t xml:space="preserve">Vol </w:t>
    </w:r>
    <w:r w:rsidR="00FD35B2">
      <w:t>12</w:t>
    </w:r>
    <w:r w:rsidR="00AC2874">
      <w:t xml:space="preserve">, No </w:t>
    </w:r>
    <w:r w:rsidR="00FD35B2">
      <w:t>2</w:t>
    </w:r>
    <w:r w:rsidR="00AC2874">
      <w:t xml:space="preserve"> (</w:t>
    </w:r>
    <w:r w:rsidR="00FD35B2">
      <w:t>2023</w:t>
    </w:r>
    <w:r w:rsidR="00AC2874">
      <w:t>)</w:t>
    </w:r>
  </w:p>
  <w:p w14:paraId="0A83E84E" w14:textId="77777777" w:rsidR="00351423" w:rsidRDefault="00351423">
    <w:pPr>
      <w:pStyle w:val="Header"/>
    </w:pPr>
    <w:r>
      <w:t>__________________________________________________________________________________</w:t>
    </w:r>
  </w:p>
  <w:p w14:paraId="0173BC60" w14:textId="77777777" w:rsidR="00351423" w:rsidRDefault="00351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63DF"/>
    <w:multiLevelType w:val="hybridMultilevel"/>
    <w:tmpl w:val="5C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BB1"/>
    <w:multiLevelType w:val="hybridMultilevel"/>
    <w:tmpl w:val="DF205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41D8A"/>
    <w:multiLevelType w:val="hybridMultilevel"/>
    <w:tmpl w:val="CFBE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744AA"/>
    <w:multiLevelType w:val="hybridMultilevel"/>
    <w:tmpl w:val="AB2C5C76"/>
    <w:lvl w:ilvl="0" w:tplc="4F2E21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1428A"/>
    <w:multiLevelType w:val="hybridMultilevel"/>
    <w:tmpl w:val="EA0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052F0"/>
    <w:multiLevelType w:val="hybridMultilevel"/>
    <w:tmpl w:val="A8C66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35374"/>
    <w:multiLevelType w:val="hybridMultilevel"/>
    <w:tmpl w:val="0388CBAE"/>
    <w:lvl w:ilvl="0" w:tplc="857A3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6B3EFE"/>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194F13"/>
    <w:multiLevelType w:val="multilevel"/>
    <w:tmpl w:val="2EB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1017352">
    <w:abstractNumId w:val="1"/>
  </w:num>
  <w:num w:numId="2" w16cid:durableId="818768226">
    <w:abstractNumId w:val="5"/>
  </w:num>
  <w:num w:numId="3" w16cid:durableId="472256164">
    <w:abstractNumId w:val="4"/>
  </w:num>
  <w:num w:numId="4" w16cid:durableId="887840421">
    <w:abstractNumId w:val="6"/>
  </w:num>
  <w:num w:numId="5" w16cid:durableId="973565811">
    <w:abstractNumId w:val="2"/>
  </w:num>
  <w:num w:numId="6" w16cid:durableId="821044492">
    <w:abstractNumId w:val="7"/>
    <w:lvlOverride w:ilvl="0">
      <w:startOverride w:val="34"/>
    </w:lvlOverride>
  </w:num>
  <w:num w:numId="7" w16cid:durableId="2035496480">
    <w:abstractNumId w:val="7"/>
    <w:lvlOverride w:ilvl="0">
      <w:startOverride w:val="35"/>
    </w:lvlOverride>
  </w:num>
  <w:num w:numId="8" w16cid:durableId="1411199191">
    <w:abstractNumId w:val="8"/>
  </w:num>
  <w:num w:numId="9" w16cid:durableId="214895163">
    <w:abstractNumId w:val="0"/>
  </w:num>
  <w:num w:numId="10" w16cid:durableId="128360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23"/>
    <w:rsid w:val="00043082"/>
    <w:rsid w:val="001529BB"/>
    <w:rsid w:val="00336B6D"/>
    <w:rsid w:val="00351423"/>
    <w:rsid w:val="004C2790"/>
    <w:rsid w:val="004F06A7"/>
    <w:rsid w:val="004F5099"/>
    <w:rsid w:val="004F7E86"/>
    <w:rsid w:val="00505AE9"/>
    <w:rsid w:val="00540677"/>
    <w:rsid w:val="0054650F"/>
    <w:rsid w:val="005A7D93"/>
    <w:rsid w:val="00610326"/>
    <w:rsid w:val="0062122D"/>
    <w:rsid w:val="006854E5"/>
    <w:rsid w:val="006A2A6C"/>
    <w:rsid w:val="007A0074"/>
    <w:rsid w:val="00871AFE"/>
    <w:rsid w:val="00880A3C"/>
    <w:rsid w:val="0099188B"/>
    <w:rsid w:val="009F084A"/>
    <w:rsid w:val="00A50AC3"/>
    <w:rsid w:val="00AA73F6"/>
    <w:rsid w:val="00AC2874"/>
    <w:rsid w:val="00B012CE"/>
    <w:rsid w:val="00F20C10"/>
    <w:rsid w:val="00F2636B"/>
    <w:rsid w:val="00FD35B2"/>
    <w:rsid w:val="00FF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F2"/>
  <w15:docId w15:val="{344513EB-1F11-4870-B71F-9C76D30F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99"/>
  </w:style>
  <w:style w:type="paragraph" w:styleId="Heading1">
    <w:name w:val="heading 1"/>
    <w:basedOn w:val="Normal"/>
    <w:next w:val="Normal"/>
    <w:link w:val="Heading1Char"/>
    <w:uiPriority w:val="9"/>
    <w:qFormat/>
    <w:rsid w:val="00FD35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5B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23"/>
    <w:pPr>
      <w:tabs>
        <w:tab w:val="center" w:pos="4513"/>
        <w:tab w:val="right" w:pos="9026"/>
      </w:tabs>
      <w:spacing w:line="240" w:lineRule="auto"/>
    </w:pPr>
  </w:style>
  <w:style w:type="character" w:customStyle="1" w:styleId="HeaderChar">
    <w:name w:val="Header Char"/>
    <w:basedOn w:val="DefaultParagraphFont"/>
    <w:link w:val="Header"/>
    <w:uiPriority w:val="99"/>
    <w:rsid w:val="00351423"/>
  </w:style>
  <w:style w:type="paragraph" w:styleId="Footer">
    <w:name w:val="footer"/>
    <w:basedOn w:val="Normal"/>
    <w:link w:val="FooterChar"/>
    <w:uiPriority w:val="99"/>
    <w:unhideWhenUsed/>
    <w:rsid w:val="00351423"/>
    <w:pPr>
      <w:tabs>
        <w:tab w:val="center" w:pos="4513"/>
        <w:tab w:val="right" w:pos="9026"/>
      </w:tabs>
      <w:spacing w:line="240" w:lineRule="auto"/>
    </w:pPr>
  </w:style>
  <w:style w:type="character" w:customStyle="1" w:styleId="FooterChar">
    <w:name w:val="Footer Char"/>
    <w:basedOn w:val="DefaultParagraphFont"/>
    <w:link w:val="Footer"/>
    <w:uiPriority w:val="99"/>
    <w:rsid w:val="00351423"/>
  </w:style>
  <w:style w:type="paragraph" w:styleId="BalloonText">
    <w:name w:val="Balloon Text"/>
    <w:basedOn w:val="Normal"/>
    <w:link w:val="BalloonTextChar"/>
    <w:uiPriority w:val="99"/>
    <w:semiHidden/>
    <w:unhideWhenUsed/>
    <w:rsid w:val="003514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423"/>
    <w:rPr>
      <w:rFonts w:ascii="Tahoma" w:hAnsi="Tahoma" w:cs="Tahoma"/>
      <w:sz w:val="16"/>
      <w:szCs w:val="16"/>
    </w:rPr>
  </w:style>
  <w:style w:type="paragraph" w:styleId="FootnoteText">
    <w:name w:val="footnote text"/>
    <w:basedOn w:val="Normal"/>
    <w:link w:val="FootnoteTextChar"/>
    <w:uiPriority w:val="99"/>
    <w:unhideWhenUsed/>
    <w:rsid w:val="00351423"/>
    <w:pPr>
      <w:spacing w:line="240" w:lineRule="auto"/>
    </w:pPr>
    <w:rPr>
      <w:sz w:val="20"/>
      <w:szCs w:val="20"/>
    </w:rPr>
  </w:style>
  <w:style w:type="character" w:customStyle="1" w:styleId="FootnoteTextChar">
    <w:name w:val="Footnote Text Char"/>
    <w:basedOn w:val="DefaultParagraphFont"/>
    <w:link w:val="FootnoteText"/>
    <w:uiPriority w:val="99"/>
    <w:rsid w:val="00351423"/>
    <w:rPr>
      <w:sz w:val="20"/>
      <w:szCs w:val="20"/>
    </w:rPr>
  </w:style>
  <w:style w:type="character" w:styleId="FootnoteReference">
    <w:name w:val="footnote reference"/>
    <w:basedOn w:val="DefaultParagraphFont"/>
    <w:uiPriority w:val="99"/>
    <w:semiHidden/>
    <w:unhideWhenUsed/>
    <w:rsid w:val="00351423"/>
    <w:rPr>
      <w:vertAlign w:val="superscript"/>
    </w:rPr>
  </w:style>
  <w:style w:type="character" w:styleId="Hyperlink">
    <w:name w:val="Hyperlink"/>
    <w:basedOn w:val="DefaultParagraphFont"/>
    <w:uiPriority w:val="99"/>
    <w:unhideWhenUsed/>
    <w:rsid w:val="00351423"/>
    <w:rPr>
      <w:color w:val="0000FF" w:themeColor="hyperlink"/>
      <w:u w:val="single"/>
    </w:rPr>
  </w:style>
  <w:style w:type="character" w:styleId="CommentReference">
    <w:name w:val="annotation reference"/>
    <w:basedOn w:val="DefaultParagraphFont"/>
    <w:uiPriority w:val="99"/>
    <w:semiHidden/>
    <w:unhideWhenUsed/>
    <w:rsid w:val="00610326"/>
    <w:rPr>
      <w:sz w:val="16"/>
      <w:szCs w:val="16"/>
    </w:rPr>
  </w:style>
  <w:style w:type="paragraph" w:styleId="CommentText">
    <w:name w:val="annotation text"/>
    <w:basedOn w:val="Normal"/>
    <w:link w:val="CommentTextChar"/>
    <w:uiPriority w:val="99"/>
    <w:unhideWhenUsed/>
    <w:rsid w:val="00610326"/>
    <w:pPr>
      <w:spacing w:line="240" w:lineRule="auto"/>
    </w:pPr>
    <w:rPr>
      <w:sz w:val="20"/>
      <w:szCs w:val="20"/>
    </w:rPr>
  </w:style>
  <w:style w:type="character" w:customStyle="1" w:styleId="CommentTextChar">
    <w:name w:val="Comment Text Char"/>
    <w:basedOn w:val="DefaultParagraphFont"/>
    <w:link w:val="CommentText"/>
    <w:uiPriority w:val="99"/>
    <w:rsid w:val="00610326"/>
    <w:rPr>
      <w:sz w:val="20"/>
      <w:szCs w:val="20"/>
    </w:rPr>
  </w:style>
  <w:style w:type="paragraph" w:styleId="CommentSubject">
    <w:name w:val="annotation subject"/>
    <w:basedOn w:val="CommentText"/>
    <w:next w:val="CommentText"/>
    <w:link w:val="CommentSubjectChar"/>
    <w:uiPriority w:val="99"/>
    <w:semiHidden/>
    <w:unhideWhenUsed/>
    <w:rsid w:val="00610326"/>
    <w:rPr>
      <w:b/>
      <w:bCs/>
    </w:rPr>
  </w:style>
  <w:style w:type="character" w:customStyle="1" w:styleId="CommentSubjectChar">
    <w:name w:val="Comment Subject Char"/>
    <w:basedOn w:val="CommentTextChar"/>
    <w:link w:val="CommentSubject"/>
    <w:uiPriority w:val="99"/>
    <w:semiHidden/>
    <w:rsid w:val="00610326"/>
    <w:rPr>
      <w:b/>
      <w:bCs/>
      <w:sz w:val="20"/>
      <w:szCs w:val="20"/>
    </w:rPr>
  </w:style>
  <w:style w:type="character" w:customStyle="1" w:styleId="Heading1Char">
    <w:name w:val="Heading 1 Char"/>
    <w:basedOn w:val="DefaultParagraphFont"/>
    <w:link w:val="Heading1"/>
    <w:uiPriority w:val="9"/>
    <w:rsid w:val="00FD35B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FD35B2"/>
    <w:rPr>
      <w:color w:val="605E5C"/>
      <w:shd w:val="clear" w:color="auto" w:fill="E1DFDD"/>
    </w:rPr>
  </w:style>
  <w:style w:type="character" w:customStyle="1" w:styleId="Heading2Char">
    <w:name w:val="Heading 2 Char"/>
    <w:basedOn w:val="DefaultParagraphFont"/>
    <w:link w:val="Heading2"/>
    <w:uiPriority w:val="9"/>
    <w:rsid w:val="00FD35B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FD35B2"/>
    <w:rPr>
      <w:b/>
      <w:bCs/>
    </w:rPr>
  </w:style>
  <w:style w:type="character" w:styleId="Emphasis">
    <w:name w:val="Emphasis"/>
    <w:basedOn w:val="DefaultParagraphFont"/>
    <w:uiPriority w:val="20"/>
    <w:qFormat/>
    <w:rsid w:val="00FD35B2"/>
    <w:rPr>
      <w:i/>
      <w:iCs/>
    </w:rPr>
  </w:style>
  <w:style w:type="paragraph" w:styleId="NormalWeb">
    <w:name w:val="Normal (Web)"/>
    <w:basedOn w:val="Normal"/>
    <w:uiPriority w:val="99"/>
    <w:unhideWhenUsed/>
    <w:rsid w:val="00FD35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35B2"/>
    <w:pPr>
      <w:spacing w:after="160" w:line="259" w:lineRule="auto"/>
      <w:ind w:left="720"/>
      <w:contextualSpacing/>
    </w:pPr>
  </w:style>
  <w:style w:type="character" w:customStyle="1" w:styleId="UnresolvedMention1">
    <w:name w:val="Unresolved Mention1"/>
    <w:basedOn w:val="DefaultParagraphFont"/>
    <w:uiPriority w:val="99"/>
    <w:semiHidden/>
    <w:unhideWhenUsed/>
    <w:rsid w:val="00FD35B2"/>
    <w:rPr>
      <w:color w:val="605E5C"/>
      <w:shd w:val="clear" w:color="auto" w:fill="E1DFDD"/>
    </w:rPr>
  </w:style>
  <w:style w:type="character" w:styleId="FollowedHyperlink">
    <w:name w:val="FollowedHyperlink"/>
    <w:basedOn w:val="DefaultParagraphFont"/>
    <w:uiPriority w:val="99"/>
    <w:semiHidden/>
    <w:unhideWhenUsed/>
    <w:rsid w:val="00FD35B2"/>
    <w:rPr>
      <w:color w:val="800080" w:themeColor="followedHyperlink"/>
      <w:u w:val="single"/>
    </w:rPr>
  </w:style>
  <w:style w:type="character" w:customStyle="1" w:styleId="UnresolvedMention2">
    <w:name w:val="Unresolved Mention2"/>
    <w:basedOn w:val="DefaultParagraphFont"/>
    <w:uiPriority w:val="99"/>
    <w:semiHidden/>
    <w:unhideWhenUsed/>
    <w:rsid w:val="00FD35B2"/>
    <w:rPr>
      <w:color w:val="605E5C"/>
      <w:shd w:val="clear" w:color="auto" w:fill="E1DFDD"/>
    </w:rPr>
  </w:style>
  <w:style w:type="character" w:customStyle="1" w:styleId="UnresolvedMention3">
    <w:name w:val="Unresolved Mention3"/>
    <w:basedOn w:val="DefaultParagraphFont"/>
    <w:uiPriority w:val="99"/>
    <w:semiHidden/>
    <w:unhideWhenUsed/>
    <w:rsid w:val="00FD35B2"/>
    <w:rPr>
      <w:color w:val="605E5C"/>
      <w:shd w:val="clear" w:color="auto" w:fill="E1DFDD"/>
    </w:rPr>
  </w:style>
  <w:style w:type="paragraph" w:styleId="Revision">
    <w:name w:val="Revision"/>
    <w:hidden/>
    <w:uiPriority w:val="99"/>
    <w:semiHidden/>
    <w:rsid w:val="00FD35B2"/>
    <w:pPr>
      <w:spacing w:line="240" w:lineRule="auto"/>
    </w:pPr>
  </w:style>
  <w:style w:type="character" w:customStyle="1" w:styleId="cf01">
    <w:name w:val="cf01"/>
    <w:basedOn w:val="DefaultParagraphFont"/>
    <w:rsid w:val="00FD35B2"/>
    <w:rPr>
      <w:rFonts w:ascii="Segoe UI" w:hAnsi="Segoe UI" w:cs="Segoe UI" w:hint="default"/>
      <w:sz w:val="18"/>
      <w:szCs w:val="18"/>
    </w:rPr>
  </w:style>
  <w:style w:type="paragraph" w:customStyle="1" w:styleId="xxxmsonormal">
    <w:name w:val="x_xxmsonormal"/>
    <w:basedOn w:val="Normal"/>
    <w:rsid w:val="00FD35B2"/>
    <w:pPr>
      <w:spacing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968599114177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0658/hmc.5.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eopoldina.fortunati@uni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4E081-E394-42D4-8978-B385824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KLS Staff</dc:creator>
  <cp:lastModifiedBy>Flora Renz</cp:lastModifiedBy>
  <cp:revision>3</cp:revision>
  <cp:lastPrinted>2023-12-03T10:56:00Z</cp:lastPrinted>
  <dcterms:created xsi:type="dcterms:W3CDTF">2023-12-03T11:05:00Z</dcterms:created>
  <dcterms:modified xsi:type="dcterms:W3CDTF">2023-12-03T11:09:00Z</dcterms:modified>
</cp:coreProperties>
</file>