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5CFE3" w14:textId="711B9385" w:rsidR="00FD35B2" w:rsidRPr="001F7476" w:rsidRDefault="001F7476" w:rsidP="00FD35B2">
      <w:pPr>
        <w:pStyle w:val="Heading1"/>
        <w:spacing w:line="480" w:lineRule="auto"/>
        <w:rPr>
          <w:rFonts w:ascii="Georgia" w:hAnsi="Georgia"/>
          <w:b/>
          <w:bCs/>
          <w:color w:val="000000" w:themeColor="text1"/>
          <w:sz w:val="28"/>
          <w:szCs w:val="28"/>
          <w:lang w:val="en-US"/>
        </w:rPr>
      </w:pPr>
      <w:r w:rsidRPr="001F7476">
        <w:rPr>
          <w:rFonts w:ascii="Georgia" w:hAnsi="Georgia"/>
          <w:b/>
          <w:bCs/>
          <w:color w:val="000000" w:themeColor="text1"/>
          <w:sz w:val="28"/>
          <w:szCs w:val="28"/>
          <w:lang w:val="en-US"/>
        </w:rPr>
        <w:t>Social Reproduction and Depletion</w:t>
      </w:r>
    </w:p>
    <w:p w14:paraId="051E6D1A" w14:textId="41750325" w:rsidR="00351423" w:rsidRDefault="00351423" w:rsidP="00FD35B2">
      <w:pPr>
        <w:spacing w:line="480" w:lineRule="auto"/>
        <w:rPr>
          <w:b/>
        </w:rPr>
      </w:pPr>
    </w:p>
    <w:p w14:paraId="65598A5F" w14:textId="6687B81C" w:rsidR="00880A3C" w:rsidRPr="0063404E" w:rsidRDefault="001F7476" w:rsidP="00880A3C">
      <w:pPr>
        <w:spacing w:line="480" w:lineRule="auto"/>
        <w:rPr>
          <w:rFonts w:ascii="Georgia" w:hAnsi="Georgia" w:cstheme="minorHAnsi"/>
          <w:b/>
          <w:sz w:val="24"/>
          <w:szCs w:val="24"/>
          <w:vertAlign w:val="superscript"/>
        </w:rPr>
      </w:pPr>
      <w:r w:rsidRPr="001F7476">
        <w:rPr>
          <w:rFonts w:ascii="Georgia" w:hAnsi="Georgia" w:cstheme="minorHAnsi"/>
          <w:b/>
          <w:bCs/>
          <w:sz w:val="24"/>
          <w:szCs w:val="24"/>
          <w:lang w:val="en-US"/>
        </w:rPr>
        <w:t>Shirin M. Rai</w:t>
      </w:r>
      <w:r w:rsidR="00351423" w:rsidRPr="004F06A7">
        <w:rPr>
          <w:rStyle w:val="FootnoteReference"/>
          <w:rFonts w:ascii="Georgia" w:hAnsi="Georgia"/>
          <w:b/>
          <w:sz w:val="24"/>
          <w:szCs w:val="24"/>
        </w:rPr>
        <w:footnoteReference w:customMarkFollows="1" w:id="1"/>
        <w:t>*</w:t>
      </w:r>
    </w:p>
    <w:p w14:paraId="77710837" w14:textId="77777777" w:rsidR="00880A3C" w:rsidRPr="004F06A7" w:rsidRDefault="00880A3C" w:rsidP="00880A3C">
      <w:pPr>
        <w:spacing w:line="480" w:lineRule="auto"/>
        <w:rPr>
          <w:b/>
          <w:sz w:val="24"/>
          <w:szCs w:val="24"/>
        </w:rPr>
      </w:pPr>
    </w:p>
    <w:p w14:paraId="5F0689C5" w14:textId="1B8336C5" w:rsidR="00481050" w:rsidRPr="002C4672" w:rsidRDefault="002C4672" w:rsidP="00481050">
      <w:pPr>
        <w:pStyle w:val="Heading2"/>
        <w:spacing w:line="480" w:lineRule="auto"/>
        <w:rPr>
          <w:rFonts w:ascii="Georgia" w:hAnsi="Georgia"/>
          <w:b/>
          <w:bCs/>
          <w:color w:val="000000" w:themeColor="text1"/>
          <w:sz w:val="24"/>
          <w:szCs w:val="24"/>
        </w:rPr>
      </w:pPr>
      <w:r w:rsidRPr="002C4672">
        <w:rPr>
          <w:rFonts w:ascii="Georgia" w:hAnsi="Georgia"/>
          <w:b/>
          <w:bCs/>
          <w:color w:val="000000" w:themeColor="text1"/>
          <w:sz w:val="24"/>
          <w:szCs w:val="24"/>
        </w:rPr>
        <w:t>Introduction</w:t>
      </w:r>
    </w:p>
    <w:p w14:paraId="69C49683" w14:textId="77777777" w:rsidR="00E12E90" w:rsidRPr="00E0051B" w:rsidRDefault="00E12E90" w:rsidP="00E0051B">
      <w:pPr>
        <w:spacing w:line="480" w:lineRule="auto"/>
        <w:jc w:val="both"/>
        <w:rPr>
          <w:rFonts w:ascii="Georgia" w:hAnsi="Georgia" w:cs="Arial"/>
          <w:sz w:val="24"/>
          <w:szCs w:val="24"/>
        </w:rPr>
      </w:pPr>
    </w:p>
    <w:p w14:paraId="79C61D25" w14:textId="77777777" w:rsidR="00E0051B" w:rsidRPr="00E0051B" w:rsidRDefault="00E0051B" w:rsidP="00E0051B">
      <w:pPr>
        <w:pStyle w:val="xxxmsonormal0"/>
        <w:spacing w:line="480" w:lineRule="auto"/>
        <w:jc w:val="both"/>
        <w:rPr>
          <w:rFonts w:ascii="Georgia" w:hAnsi="Georgia" w:cs="Arial"/>
          <w:lang w:val="en-US"/>
        </w:rPr>
      </w:pPr>
      <w:r w:rsidRPr="00E0051B">
        <w:rPr>
          <w:rFonts w:ascii="Georgia" w:hAnsi="Georgia" w:cs="Arial"/>
          <w:lang w:val="en-US"/>
        </w:rPr>
        <w:t xml:space="preserve">The Covid-19 pandemic yet again underlined the importance of care and caring as well as the intersectional inequities attached to it - women and </w:t>
      </w:r>
      <w:proofErr w:type="spellStart"/>
      <w:r w:rsidRPr="00E0051B">
        <w:rPr>
          <w:rFonts w:ascii="Georgia" w:hAnsi="Georgia" w:cs="Arial"/>
          <w:lang w:val="en-US"/>
        </w:rPr>
        <w:t>racialised</w:t>
      </w:r>
      <w:proofErr w:type="spellEnd"/>
      <w:r w:rsidRPr="00E0051B">
        <w:rPr>
          <w:rFonts w:ascii="Georgia" w:hAnsi="Georgia" w:cs="Arial"/>
          <w:lang w:val="en-US"/>
        </w:rPr>
        <w:t xml:space="preserve"> minorities remained more vulnerable to the crisis. This was in part because of the gendered regimes of paid </w:t>
      </w:r>
      <w:proofErr w:type="spellStart"/>
      <w:r w:rsidRPr="00E0051B">
        <w:rPr>
          <w:rFonts w:ascii="Georgia" w:hAnsi="Georgia" w:cs="Arial"/>
          <w:lang w:val="en-US"/>
        </w:rPr>
        <w:t>labour</w:t>
      </w:r>
      <w:proofErr w:type="spellEnd"/>
      <w:r w:rsidRPr="00E0051B">
        <w:rPr>
          <w:rFonts w:ascii="Georgia" w:hAnsi="Georgia" w:cs="Arial"/>
          <w:lang w:val="en-US"/>
        </w:rPr>
        <w:t xml:space="preserve"> which see women and </w:t>
      </w:r>
      <w:proofErr w:type="spellStart"/>
      <w:r w:rsidRPr="00E0051B">
        <w:rPr>
          <w:rFonts w:ascii="Georgia" w:hAnsi="Georgia" w:cs="Arial"/>
          <w:lang w:val="en-US"/>
        </w:rPr>
        <w:t>racialised</w:t>
      </w:r>
      <w:proofErr w:type="spellEnd"/>
      <w:r w:rsidRPr="00E0051B">
        <w:rPr>
          <w:rFonts w:ascii="Georgia" w:hAnsi="Georgia" w:cs="Arial"/>
          <w:lang w:val="en-US"/>
        </w:rPr>
        <w:t xml:space="preserve"> minorities as disproportionate numbers of care workers: ‘70.4 percent of the total workforce in the health and social work sectors’ are women (</w:t>
      </w:r>
      <w:proofErr w:type="spellStart"/>
      <w:r w:rsidRPr="00E0051B">
        <w:rPr>
          <w:rFonts w:ascii="Georgia" w:hAnsi="Georgia" w:cs="Arial"/>
          <w:lang w:val="en-US"/>
        </w:rPr>
        <w:t>Dugarova</w:t>
      </w:r>
      <w:proofErr w:type="spellEnd"/>
      <w:r w:rsidRPr="00E0051B">
        <w:rPr>
          <w:rFonts w:ascii="Georgia" w:hAnsi="Georgia" w:cs="Arial"/>
          <w:lang w:val="en-US"/>
        </w:rPr>
        <w:t xml:space="preserve"> 2020, p.3; see also </w:t>
      </w:r>
      <w:proofErr w:type="spellStart"/>
      <w:r w:rsidRPr="00E0051B">
        <w:rPr>
          <w:rFonts w:ascii="Georgia" w:hAnsi="Georgia" w:cs="Arial"/>
          <w:lang w:val="en-US"/>
        </w:rPr>
        <w:t>Lingham</w:t>
      </w:r>
      <w:proofErr w:type="spellEnd"/>
      <w:r w:rsidRPr="00E0051B">
        <w:rPr>
          <w:rFonts w:ascii="Georgia" w:hAnsi="Georgia" w:cs="Arial"/>
          <w:lang w:val="en-US"/>
        </w:rPr>
        <w:t xml:space="preserve"> </w:t>
      </w:r>
      <w:r w:rsidRPr="00E0051B">
        <w:rPr>
          <w:rFonts w:ascii="Georgia" w:hAnsi="Georgia" w:cs="Arial"/>
          <w:i/>
          <w:iCs/>
          <w:lang w:val="en-US"/>
        </w:rPr>
        <w:t>et al</w:t>
      </w:r>
      <w:r w:rsidRPr="00E0051B">
        <w:rPr>
          <w:rFonts w:ascii="Georgia" w:hAnsi="Georgia" w:cs="Arial"/>
          <w:lang w:val="en-US"/>
        </w:rPr>
        <w:t xml:space="preserve">., forthcoming). Despite the clapping for </w:t>
      </w:r>
      <w:proofErr w:type="spellStart"/>
      <w:r w:rsidRPr="00E0051B">
        <w:rPr>
          <w:rFonts w:ascii="Georgia" w:hAnsi="Georgia" w:cs="Arial"/>
          <w:lang w:val="en-US"/>
        </w:rPr>
        <w:t>carers</w:t>
      </w:r>
      <w:proofErr w:type="spellEnd"/>
      <w:r w:rsidRPr="00E0051B">
        <w:rPr>
          <w:rFonts w:ascii="Georgia" w:hAnsi="Georgia" w:cs="Arial"/>
          <w:lang w:val="en-US"/>
        </w:rPr>
        <w:t xml:space="preserve"> and other performative appreciation of those who were on the frontline of the crisis, care work continues to be under/un-valued; </w:t>
      </w:r>
      <w:proofErr w:type="spellStart"/>
      <w:r w:rsidRPr="00E0051B">
        <w:rPr>
          <w:rFonts w:ascii="Georgia" w:hAnsi="Georgia" w:cs="Arial"/>
          <w:lang w:val="en-US"/>
        </w:rPr>
        <w:t>valorisation</w:t>
      </w:r>
      <w:proofErr w:type="spellEnd"/>
      <w:r w:rsidRPr="00E0051B">
        <w:rPr>
          <w:rFonts w:ascii="Georgia" w:hAnsi="Georgia" w:cs="Arial"/>
          <w:lang w:val="en-US"/>
        </w:rPr>
        <w:t xml:space="preserve"> can only work so far. Building on the arguments of feminist international political economists, I examine the importance of taking this work of care seriously.</w:t>
      </w:r>
    </w:p>
    <w:p w14:paraId="40591997" w14:textId="77777777" w:rsidR="00E0051B" w:rsidRPr="00E0051B" w:rsidRDefault="00E0051B" w:rsidP="00E0051B">
      <w:pPr>
        <w:pStyle w:val="xxxmsonormal0"/>
        <w:spacing w:line="480" w:lineRule="auto"/>
        <w:jc w:val="both"/>
        <w:rPr>
          <w:rFonts w:ascii="Georgia" w:hAnsi="Georgia" w:cs="Arial"/>
          <w:lang w:val="en-US"/>
        </w:rPr>
      </w:pPr>
      <w:r w:rsidRPr="00E0051B">
        <w:rPr>
          <w:rFonts w:ascii="Georgia" w:hAnsi="Georgia" w:cs="Arial"/>
          <w:lang w:val="en-US"/>
        </w:rPr>
        <w:t xml:space="preserve">I use the concept of social reproduction rather than care to examine the gendered regimes of </w:t>
      </w:r>
      <w:proofErr w:type="spellStart"/>
      <w:r w:rsidRPr="00E0051B">
        <w:rPr>
          <w:rFonts w:ascii="Georgia" w:hAnsi="Georgia" w:cs="Arial"/>
          <w:lang w:val="en-US"/>
        </w:rPr>
        <w:t>labour</w:t>
      </w:r>
      <w:proofErr w:type="spellEnd"/>
      <w:r w:rsidRPr="00E0051B">
        <w:rPr>
          <w:rFonts w:ascii="Georgia" w:hAnsi="Georgia" w:cs="Arial"/>
          <w:lang w:val="en-US"/>
        </w:rPr>
        <w:t xml:space="preserve"> that underpin the maintenance of life. I understand social reproduction as the work of biological reproduction (including reproducing </w:t>
      </w:r>
      <w:proofErr w:type="spellStart"/>
      <w:r w:rsidRPr="00E0051B">
        <w:rPr>
          <w:rFonts w:ascii="Georgia" w:hAnsi="Georgia" w:cs="Arial"/>
          <w:lang w:val="en-US"/>
        </w:rPr>
        <w:t>labour</w:t>
      </w:r>
      <w:proofErr w:type="spellEnd"/>
      <w:r w:rsidRPr="00E0051B">
        <w:rPr>
          <w:rFonts w:ascii="Georgia" w:hAnsi="Georgia" w:cs="Arial"/>
          <w:lang w:val="en-US"/>
        </w:rPr>
        <w:t xml:space="preserve">). This carries with it the provision of the sexual, </w:t>
      </w:r>
      <w:proofErr w:type="gramStart"/>
      <w:r w:rsidRPr="00E0051B">
        <w:rPr>
          <w:rFonts w:ascii="Georgia" w:hAnsi="Georgia" w:cs="Arial"/>
          <w:lang w:val="en-US"/>
        </w:rPr>
        <w:t>emotional</w:t>
      </w:r>
      <w:proofErr w:type="gramEnd"/>
      <w:r w:rsidRPr="00E0051B">
        <w:rPr>
          <w:rFonts w:ascii="Georgia" w:hAnsi="Georgia" w:cs="Arial"/>
          <w:lang w:val="en-US"/>
        </w:rPr>
        <w:t xml:space="preserve"> and affective services that are required to maintain family and intimate relationships. It also includes the unpaid </w:t>
      </w:r>
      <w:r w:rsidRPr="00E0051B">
        <w:rPr>
          <w:rFonts w:ascii="Georgia" w:hAnsi="Georgia" w:cs="Arial"/>
          <w:lang w:val="en-US"/>
        </w:rPr>
        <w:lastRenderedPageBreak/>
        <w:t xml:space="preserve">production in the home of both goods and services. This includes different forms of care, as well as social provisioning and voluntary work directed at meeting needs in and of the community and finally, it encompasses the reproduction of culture and ideology which </w:t>
      </w:r>
      <w:proofErr w:type="spellStart"/>
      <w:r w:rsidRPr="00E0051B">
        <w:rPr>
          <w:rFonts w:ascii="Georgia" w:hAnsi="Georgia" w:cs="Arial"/>
          <w:lang w:val="en-US"/>
        </w:rPr>
        <w:t>stabilises</w:t>
      </w:r>
      <w:proofErr w:type="spellEnd"/>
      <w:r w:rsidRPr="00E0051B">
        <w:rPr>
          <w:rFonts w:ascii="Georgia" w:hAnsi="Georgia" w:cs="Arial"/>
          <w:lang w:val="en-US"/>
        </w:rPr>
        <w:t xml:space="preserve"> (and sometimes challenges) dominant social relations (</w:t>
      </w:r>
      <w:proofErr w:type="spellStart"/>
      <w:r w:rsidRPr="00E0051B">
        <w:rPr>
          <w:rFonts w:ascii="Georgia" w:hAnsi="Georgia" w:cs="Arial"/>
          <w:lang w:val="en-US"/>
        </w:rPr>
        <w:t>Hoskyns</w:t>
      </w:r>
      <w:proofErr w:type="spellEnd"/>
      <w:r w:rsidRPr="00E0051B">
        <w:rPr>
          <w:rFonts w:ascii="Georgia" w:hAnsi="Georgia" w:cs="Arial"/>
          <w:lang w:val="en-US"/>
        </w:rPr>
        <w:t xml:space="preserve"> and Rai 2007, p. 300; see also </w:t>
      </w:r>
      <w:proofErr w:type="spellStart"/>
      <w:r w:rsidRPr="00E0051B">
        <w:rPr>
          <w:rFonts w:ascii="Georgia" w:hAnsi="Georgia" w:cs="Arial"/>
          <w:lang w:val="en-US"/>
        </w:rPr>
        <w:t>Laslett</w:t>
      </w:r>
      <w:proofErr w:type="spellEnd"/>
      <w:r w:rsidRPr="00E0051B">
        <w:rPr>
          <w:rFonts w:ascii="Georgia" w:hAnsi="Georgia" w:cs="Arial"/>
          <w:lang w:val="en-US"/>
        </w:rPr>
        <w:t xml:space="preserve"> and Brenner 1989, p. 382-3). Social reproductive work is both rewarding and alienating, done autonomously and yet framed by social inequalities. Social reproduction is both outside and inside the production boundary, which determines what is counted as ‘productive’ work in the measurement of national economies through GDP. Social reproduction thus includes</w:t>
      </w:r>
      <w:r w:rsidRPr="00E0051B">
        <w:rPr>
          <w:rFonts w:ascii="Georgia" w:hAnsi="Georgia" w:cs="Arial"/>
          <w:lang w:val="en-GB"/>
        </w:rPr>
        <w:t xml:space="preserve"> </w:t>
      </w:r>
      <w:r w:rsidRPr="00E0051B">
        <w:rPr>
          <w:rFonts w:ascii="Georgia" w:hAnsi="Georgia" w:cs="Arial"/>
          <w:lang w:val="en-US"/>
        </w:rPr>
        <w:t>‘the fleshy, messy, and indeterminate stuff of everyday life’ and ‘also a set of structured practices that unfold in dialectical relation with production, with which it is mutually constitutive and in tension’ (Katz 2001, p. 710).</w:t>
      </w:r>
    </w:p>
    <w:p w14:paraId="35378727" w14:textId="77777777" w:rsidR="00E0051B" w:rsidRPr="00E0051B" w:rsidRDefault="00E0051B" w:rsidP="00E0051B">
      <w:pPr>
        <w:pStyle w:val="xxxmsonormal0"/>
        <w:spacing w:line="480" w:lineRule="auto"/>
        <w:jc w:val="both"/>
        <w:rPr>
          <w:rFonts w:ascii="Georgia" w:hAnsi="Georgia" w:cs="Arial"/>
          <w:b/>
          <w:bCs/>
          <w:i/>
          <w:iCs/>
          <w:lang w:val="en-US"/>
        </w:rPr>
      </w:pPr>
    </w:p>
    <w:p w14:paraId="2E48C015" w14:textId="77777777" w:rsidR="00E0051B" w:rsidRPr="00525C26" w:rsidRDefault="00E0051B" w:rsidP="00525C26">
      <w:pPr>
        <w:pStyle w:val="Heading2"/>
        <w:rPr>
          <w:rFonts w:ascii="Georgia" w:hAnsi="Georgia"/>
          <w:b/>
          <w:bCs/>
          <w:color w:val="000000" w:themeColor="text1"/>
          <w:sz w:val="24"/>
          <w:szCs w:val="24"/>
          <w:lang w:val="en-US"/>
        </w:rPr>
      </w:pPr>
      <w:r w:rsidRPr="00525C26">
        <w:rPr>
          <w:rFonts w:ascii="Georgia" w:hAnsi="Georgia"/>
          <w:b/>
          <w:bCs/>
          <w:color w:val="000000" w:themeColor="text1"/>
          <w:sz w:val="24"/>
          <w:szCs w:val="24"/>
          <w:lang w:val="en-US"/>
        </w:rPr>
        <w:t xml:space="preserve">Depletion through Social Reproduction </w:t>
      </w:r>
    </w:p>
    <w:p w14:paraId="37FDA219" w14:textId="77777777" w:rsidR="00E0051B" w:rsidRPr="00E0051B" w:rsidRDefault="00E0051B" w:rsidP="00E0051B">
      <w:pPr>
        <w:pStyle w:val="xxxmsonormal0"/>
        <w:spacing w:line="480" w:lineRule="auto"/>
        <w:jc w:val="both"/>
        <w:rPr>
          <w:rFonts w:ascii="Georgia" w:hAnsi="Georgia" w:cs="Arial"/>
          <w:lang w:val="en-US"/>
        </w:rPr>
      </w:pPr>
      <w:r w:rsidRPr="00E0051B">
        <w:rPr>
          <w:rFonts w:ascii="Georgia" w:hAnsi="Georgia" w:cs="Arial"/>
          <w:lang w:val="en-US"/>
        </w:rPr>
        <w:t xml:space="preserve">Social reproduction is not costless. When </w:t>
      </w:r>
      <w:proofErr w:type="spellStart"/>
      <w:r w:rsidRPr="00E0051B">
        <w:rPr>
          <w:rFonts w:ascii="Georgia" w:hAnsi="Georgia" w:cs="Arial"/>
          <w:lang w:val="en-US"/>
        </w:rPr>
        <w:t>unrecognised</w:t>
      </w:r>
      <w:proofErr w:type="spellEnd"/>
      <w:r w:rsidRPr="00E0051B">
        <w:rPr>
          <w:rFonts w:ascii="Georgia" w:hAnsi="Georgia" w:cs="Arial"/>
          <w:lang w:val="en-US"/>
        </w:rPr>
        <w:t xml:space="preserve">, </w:t>
      </w:r>
      <w:proofErr w:type="spellStart"/>
      <w:r w:rsidRPr="00E0051B">
        <w:rPr>
          <w:rFonts w:ascii="Georgia" w:hAnsi="Georgia" w:cs="Arial"/>
          <w:lang w:val="en-US"/>
        </w:rPr>
        <w:t>valorised</w:t>
      </w:r>
      <w:proofErr w:type="spellEnd"/>
      <w:r w:rsidRPr="00E0051B">
        <w:rPr>
          <w:rFonts w:ascii="Georgia" w:hAnsi="Georgia" w:cs="Arial"/>
          <w:lang w:val="en-US"/>
        </w:rPr>
        <w:t xml:space="preserve"> but not valued, social reproduction leads to depletion of those who care. As Diane Elson has argued in the context of another crisis – the structural adjustment policies of the 1980s:</w:t>
      </w:r>
    </w:p>
    <w:p w14:paraId="184062F7" w14:textId="77777777" w:rsidR="00E0051B" w:rsidRPr="00E0051B" w:rsidRDefault="00E0051B" w:rsidP="00E0051B">
      <w:pPr>
        <w:pStyle w:val="xxxmsonormal0"/>
        <w:spacing w:line="480" w:lineRule="auto"/>
        <w:ind w:left="708"/>
        <w:jc w:val="both"/>
        <w:rPr>
          <w:rFonts w:ascii="Georgia" w:hAnsi="Georgia" w:cs="Arial"/>
          <w:lang w:val="en-US"/>
        </w:rPr>
      </w:pPr>
      <w:r w:rsidRPr="00E0051B">
        <w:rPr>
          <w:rFonts w:ascii="Georgia" w:hAnsi="Georgia" w:cs="Arial"/>
          <w:lang w:val="en-US"/>
        </w:rPr>
        <w:t xml:space="preserve"> “If too much pressure is put upon the domestic sector to provide unpaid care work to make up for deficiencies elsewhere, the result may be a depletion of human capabilities …To maintain and enhance human capabilities, the domestic sector needs adequate inputs from all other sectors. It cannot be treated as a bottomless well, able to provide the care needed regardless of the resources it gets from the other sectors” (Elson 2000, p.28). </w:t>
      </w:r>
    </w:p>
    <w:p w14:paraId="792154F3" w14:textId="77777777" w:rsidR="00E0051B" w:rsidRPr="00E0051B" w:rsidRDefault="00E0051B" w:rsidP="00E0051B">
      <w:pPr>
        <w:pStyle w:val="xxxmsonormal0"/>
        <w:spacing w:line="480" w:lineRule="auto"/>
        <w:jc w:val="both"/>
        <w:rPr>
          <w:rFonts w:ascii="Georgia" w:hAnsi="Georgia" w:cs="Arial"/>
          <w:lang w:val="en-GB"/>
        </w:rPr>
      </w:pPr>
      <w:r w:rsidRPr="00E0051B">
        <w:rPr>
          <w:rFonts w:ascii="Georgia" w:hAnsi="Georgia" w:cs="Arial"/>
          <w:lang w:val="en-US"/>
        </w:rPr>
        <w:lastRenderedPageBreak/>
        <w:t xml:space="preserve">What is depletion through social reproduction (DSR)? Simply put, depletion occurs when resources for social reproduction fall below a threshold of sustainability over time. Rai </w:t>
      </w:r>
      <w:r w:rsidRPr="00E0051B">
        <w:rPr>
          <w:rFonts w:ascii="Georgia" w:hAnsi="Georgia" w:cs="Arial"/>
          <w:i/>
          <w:iCs/>
          <w:lang w:val="en-US"/>
        </w:rPr>
        <w:t>et al</w:t>
      </w:r>
      <w:r w:rsidRPr="00E0051B">
        <w:rPr>
          <w:rFonts w:ascii="Georgia" w:hAnsi="Georgia" w:cs="Arial"/>
          <w:lang w:val="en-US"/>
        </w:rPr>
        <w:t xml:space="preserve">. described depletion through social reproduction in the following way: everyone has a set of resources (stock), dependent upon their socio-economic position. These resources are used up in doing social reproductive work as well as paid work. Some of this outflow of resources is replenished through everyday processes such as eating, </w:t>
      </w:r>
      <w:proofErr w:type="gramStart"/>
      <w:r w:rsidRPr="00E0051B">
        <w:rPr>
          <w:rFonts w:ascii="Georgia" w:hAnsi="Georgia" w:cs="Arial"/>
          <w:lang w:val="en-US"/>
        </w:rPr>
        <w:t>sleeping</w:t>
      </w:r>
      <w:proofErr w:type="gramEnd"/>
      <w:r w:rsidRPr="00E0051B">
        <w:rPr>
          <w:rFonts w:ascii="Georgia" w:hAnsi="Georgia" w:cs="Arial"/>
          <w:lang w:val="en-US"/>
        </w:rPr>
        <w:t xml:space="preserve"> and resting, all of which are affected by social hierarchies and power relations. Resource outflows are also affected by ‘natural wear and tear’ such as aging, which </w:t>
      </w:r>
      <w:proofErr w:type="gramStart"/>
      <w:r w:rsidRPr="00E0051B">
        <w:rPr>
          <w:rFonts w:ascii="Georgia" w:hAnsi="Georgia" w:cs="Arial"/>
          <w:lang w:val="en-US"/>
        </w:rPr>
        <w:t>in itself is</w:t>
      </w:r>
      <w:proofErr w:type="gramEnd"/>
      <w:r w:rsidRPr="00E0051B">
        <w:rPr>
          <w:rFonts w:ascii="Georgia" w:hAnsi="Georgia" w:cs="Arial"/>
          <w:lang w:val="en-US"/>
        </w:rPr>
        <w:t xml:space="preserve"> a social process. Depletion also connects our </w:t>
      </w:r>
      <w:r w:rsidRPr="00E0051B">
        <w:rPr>
          <w:rFonts w:ascii="Georgia" w:hAnsi="Georgia" w:cs="Arial"/>
          <w:lang w:val="en-GB"/>
        </w:rPr>
        <w:t xml:space="preserve">social and natural worlds – the impact of depletion of the environment on human beings and their social lives. After all, the lack of water lengthens the working day of women – ‘a study of 24 sub-Saharan countries revealed that when the collection time is more than 30 minutes, an estimated 3.36 million children and 13.54 million adult females were responsible for water collection. [And] one roundtrip to collect water is 33 minutes on average in rural areas and 25 minutes in urban areas’ (UNICEF, 2016). Depletion can then be seen as a tipping point – when the difference between outflows and inflows is not bridged then the individual, household, or a community tip into depletion (Rai </w:t>
      </w:r>
      <w:r w:rsidRPr="00E0051B">
        <w:rPr>
          <w:rFonts w:ascii="Georgia" w:hAnsi="Georgia" w:cs="Arial"/>
          <w:i/>
          <w:iCs/>
          <w:lang w:val="en-GB"/>
        </w:rPr>
        <w:t>et al.</w:t>
      </w:r>
      <w:r w:rsidRPr="00E0051B">
        <w:rPr>
          <w:rFonts w:ascii="Georgia" w:hAnsi="Georgia" w:cs="Arial"/>
          <w:lang w:val="en-GB"/>
        </w:rPr>
        <w:t xml:space="preserve"> 2014, p89). Depletion thus takes many forms and operates at the levels of individuals, </w:t>
      </w:r>
      <w:proofErr w:type="gramStart"/>
      <w:r w:rsidRPr="00E0051B">
        <w:rPr>
          <w:rFonts w:ascii="Georgia" w:hAnsi="Georgia" w:cs="Arial"/>
          <w:lang w:val="en-GB"/>
        </w:rPr>
        <w:t>households</w:t>
      </w:r>
      <w:proofErr w:type="gramEnd"/>
      <w:r w:rsidRPr="00E0051B">
        <w:rPr>
          <w:rFonts w:ascii="Georgia" w:hAnsi="Georgia" w:cs="Arial"/>
          <w:lang w:val="en-GB"/>
        </w:rPr>
        <w:t xml:space="preserve"> and communities, which are embedded in capitalist regimes of racial and patriarchal hierarchies that affect their location and their life/worlds.</w:t>
      </w:r>
    </w:p>
    <w:p w14:paraId="0EC4E976" w14:textId="77777777" w:rsidR="00E0051B" w:rsidRPr="00E0051B" w:rsidRDefault="00E0051B" w:rsidP="00E0051B">
      <w:pPr>
        <w:pStyle w:val="xxxmsonormal0"/>
        <w:spacing w:line="480" w:lineRule="auto"/>
        <w:jc w:val="both"/>
        <w:rPr>
          <w:rFonts w:ascii="Georgia" w:hAnsi="Georgia" w:cs="Arial"/>
          <w:lang w:val="en-US"/>
        </w:rPr>
      </w:pPr>
      <w:r w:rsidRPr="00E0051B">
        <w:rPr>
          <w:rFonts w:ascii="Georgia" w:hAnsi="Georgia" w:cs="Arial"/>
          <w:lang w:val="en-GB"/>
        </w:rPr>
        <w:t xml:space="preserve">Depletion is harmful. Rai </w:t>
      </w:r>
      <w:r w:rsidRPr="00E0051B">
        <w:rPr>
          <w:rFonts w:ascii="Georgia" w:hAnsi="Georgia" w:cs="Arial"/>
          <w:i/>
          <w:iCs/>
          <w:lang w:val="en-GB"/>
        </w:rPr>
        <w:t>et al.</w:t>
      </w:r>
      <w:r w:rsidRPr="00E0051B">
        <w:rPr>
          <w:rFonts w:ascii="Georgia" w:hAnsi="Georgia" w:cs="Arial"/>
          <w:lang w:val="en-GB"/>
        </w:rPr>
        <w:t xml:space="preserve"> find that this harm takes different forms: first, as </w:t>
      </w:r>
      <w:r w:rsidRPr="00E0051B">
        <w:rPr>
          <w:rFonts w:ascii="Georgia" w:hAnsi="Georgia" w:cs="Arial"/>
          <w:i/>
          <w:iCs/>
          <w:lang w:val="en-GB"/>
        </w:rPr>
        <w:t>‘discursive harm</w:t>
      </w:r>
      <w:r w:rsidRPr="00E0051B">
        <w:rPr>
          <w:rFonts w:ascii="Georgia" w:hAnsi="Georgia" w:cs="Arial"/>
          <w:lang w:val="en-GB"/>
        </w:rPr>
        <w:t>’, that is negating work that takes place in the domestic sector, while through this negation affirming gendered social hierarchies and distinctions of class and race. Second, as ‘</w:t>
      </w:r>
      <w:r w:rsidRPr="00E0051B">
        <w:rPr>
          <w:rFonts w:ascii="Georgia" w:hAnsi="Georgia" w:cs="Arial"/>
          <w:i/>
          <w:iCs/>
          <w:lang w:val="en-GB"/>
        </w:rPr>
        <w:t>emotional harm</w:t>
      </w:r>
      <w:r w:rsidRPr="00E0051B">
        <w:rPr>
          <w:rFonts w:ascii="Georgia" w:hAnsi="Georgia" w:cs="Arial"/>
          <w:lang w:val="en-GB"/>
        </w:rPr>
        <w:t xml:space="preserve">’, for example in the guilt associated with being </w:t>
      </w:r>
      <w:r w:rsidRPr="00E0051B">
        <w:rPr>
          <w:rFonts w:ascii="Georgia" w:hAnsi="Georgia" w:cs="Arial"/>
          <w:lang w:val="en-GB"/>
        </w:rPr>
        <w:lastRenderedPageBreak/>
        <w:t xml:space="preserve">a ‘working mother’ which condemns millions to believing they are harming their children’s present and future (Borrelli </w:t>
      </w:r>
      <w:r w:rsidRPr="00E0051B">
        <w:rPr>
          <w:rFonts w:ascii="Georgia" w:hAnsi="Georgia" w:cs="Arial"/>
          <w:i/>
          <w:iCs/>
          <w:lang w:val="en-GB"/>
        </w:rPr>
        <w:t>et al</w:t>
      </w:r>
      <w:r w:rsidRPr="00E0051B">
        <w:rPr>
          <w:rFonts w:ascii="Georgia" w:hAnsi="Georgia" w:cs="Arial"/>
          <w:lang w:val="en-GB"/>
        </w:rPr>
        <w:t xml:space="preserve">., 2017). Third, </w:t>
      </w:r>
      <w:r w:rsidRPr="00E0051B">
        <w:rPr>
          <w:rFonts w:ascii="Georgia" w:hAnsi="Georgia" w:cs="Arial"/>
          <w:i/>
          <w:iCs/>
          <w:lang w:val="en-GB"/>
        </w:rPr>
        <w:t xml:space="preserve">physical harm </w:t>
      </w:r>
      <w:r w:rsidRPr="00E0051B">
        <w:rPr>
          <w:rFonts w:ascii="Georgia" w:hAnsi="Georgia" w:cs="Arial"/>
          <w:lang w:val="en-GB"/>
        </w:rPr>
        <w:t xml:space="preserve">as the (non)recognition of the working body within the home. Here we think of tiredness, lack of sleep and of being unable to maintain friendships and community networks of support. Finally, there is the harm to </w:t>
      </w:r>
      <w:r w:rsidRPr="00E0051B">
        <w:rPr>
          <w:rFonts w:ascii="Georgia" w:hAnsi="Georgia" w:cs="Arial"/>
          <w:i/>
          <w:iCs/>
          <w:lang w:val="en-GB"/>
        </w:rPr>
        <w:t xml:space="preserve">citizenship entitlements </w:t>
      </w:r>
      <w:r w:rsidRPr="00E0051B">
        <w:rPr>
          <w:rFonts w:ascii="Georgia" w:hAnsi="Georgia" w:cs="Arial"/>
          <w:lang w:val="en-GB"/>
        </w:rPr>
        <w:t xml:space="preserve">(Rai </w:t>
      </w:r>
      <w:r w:rsidRPr="00E0051B">
        <w:rPr>
          <w:rFonts w:ascii="Georgia" w:hAnsi="Georgia" w:cs="Arial"/>
          <w:i/>
          <w:iCs/>
          <w:lang w:val="en-GB"/>
        </w:rPr>
        <w:t>et al</w:t>
      </w:r>
      <w:r w:rsidRPr="00E0051B">
        <w:rPr>
          <w:rFonts w:ascii="Georgia" w:hAnsi="Georgia" w:cs="Arial"/>
          <w:lang w:val="en-GB"/>
        </w:rPr>
        <w:t>. 2014, p. 91). Harm occurs when groups are constituted as ‘non-contributors’ to the economy and therefore as recipients of its welfare rather than citizens with entitlements (Morris, 2010). This also connects with the idea in feminist legal theory that harm is relational (</w:t>
      </w:r>
      <w:proofErr w:type="spellStart"/>
      <w:r w:rsidRPr="00E0051B">
        <w:rPr>
          <w:rFonts w:ascii="Georgia" w:hAnsi="Georgia" w:cs="Arial"/>
          <w:lang w:val="en-GB"/>
        </w:rPr>
        <w:t>Nedelsky</w:t>
      </w:r>
      <w:proofErr w:type="spellEnd"/>
      <w:r w:rsidRPr="00E0051B">
        <w:rPr>
          <w:rFonts w:ascii="Georgia" w:hAnsi="Georgia" w:cs="Arial"/>
          <w:lang w:val="en-GB"/>
        </w:rPr>
        <w:t xml:space="preserve"> 2011, pp. 22–34) and can lead to subsistence harms which then form communities of harm framed by social violence (Sankey, 2015; Ni </w:t>
      </w:r>
      <w:proofErr w:type="spellStart"/>
      <w:r w:rsidRPr="00E0051B">
        <w:rPr>
          <w:rFonts w:ascii="Georgia" w:hAnsi="Georgia" w:cs="Arial"/>
          <w:lang w:val="en-GB"/>
        </w:rPr>
        <w:t>Aoláin</w:t>
      </w:r>
      <w:proofErr w:type="spellEnd"/>
      <w:r w:rsidRPr="00E0051B">
        <w:rPr>
          <w:rFonts w:ascii="Georgia" w:hAnsi="Georgia" w:cs="Arial"/>
          <w:lang w:val="en-GB"/>
        </w:rPr>
        <w:t>, 2009).</w:t>
      </w:r>
    </w:p>
    <w:p w14:paraId="333D1F05" w14:textId="77777777" w:rsidR="00E0051B" w:rsidRPr="00E0051B" w:rsidRDefault="00E0051B" w:rsidP="00E0051B">
      <w:pPr>
        <w:pStyle w:val="xxxmsonormal0"/>
        <w:spacing w:line="480" w:lineRule="auto"/>
        <w:jc w:val="both"/>
        <w:rPr>
          <w:rFonts w:ascii="Georgia" w:hAnsi="Georgia" w:cs="Arial"/>
          <w:lang w:val="en-US"/>
        </w:rPr>
      </w:pPr>
      <w:r w:rsidRPr="00E0051B">
        <w:rPr>
          <w:rFonts w:ascii="Georgia" w:hAnsi="Georgia" w:cs="Arial"/>
          <w:lang w:val="en-US"/>
        </w:rPr>
        <w:t xml:space="preserve">Measuring depletion is a form of recognition. To know the intensity and extensity of depletion allows us to reveal not only the distress – physical, emotional/mental and social - but also to </w:t>
      </w:r>
      <w:proofErr w:type="spellStart"/>
      <w:r w:rsidRPr="00E0051B">
        <w:rPr>
          <w:rFonts w:ascii="Georgia" w:hAnsi="Georgia" w:cs="Arial"/>
          <w:lang w:val="en-US"/>
        </w:rPr>
        <w:t>strategise</w:t>
      </w:r>
      <w:proofErr w:type="spellEnd"/>
      <w:r w:rsidRPr="00E0051B">
        <w:rPr>
          <w:rFonts w:ascii="Georgia" w:hAnsi="Georgia" w:cs="Arial"/>
          <w:lang w:val="en-US"/>
        </w:rPr>
        <w:t xml:space="preserve"> towards reversing depletion: “Valuation becomes a communication tool by translating unpaid work into </w:t>
      </w:r>
      <w:proofErr w:type="gramStart"/>
      <w:r w:rsidRPr="00E0051B">
        <w:rPr>
          <w:rFonts w:ascii="Georgia" w:hAnsi="Georgia" w:cs="Arial"/>
          <w:lang w:val="en-US"/>
        </w:rPr>
        <w:t>a language governments</w:t>
      </w:r>
      <w:proofErr w:type="gramEnd"/>
      <w:r w:rsidRPr="00E0051B">
        <w:rPr>
          <w:rFonts w:ascii="Georgia" w:hAnsi="Georgia" w:cs="Arial"/>
          <w:lang w:val="en-US"/>
        </w:rPr>
        <w:t xml:space="preserve"> understand: money” (</w:t>
      </w:r>
      <w:proofErr w:type="spellStart"/>
      <w:r w:rsidRPr="00E0051B">
        <w:rPr>
          <w:rFonts w:ascii="Georgia" w:hAnsi="Georgia" w:cs="Arial"/>
          <w:lang w:val="en-US"/>
        </w:rPr>
        <w:t>Hoskyns</w:t>
      </w:r>
      <w:proofErr w:type="spellEnd"/>
      <w:r w:rsidRPr="00E0051B">
        <w:rPr>
          <w:rFonts w:ascii="Georgia" w:hAnsi="Georgia" w:cs="Arial"/>
          <w:lang w:val="en-US"/>
        </w:rPr>
        <w:t xml:space="preserve"> and Rai 2007, p. 302). Depletion can be measured by calculating the difference between the resource outflows used up in the provision of social reproductive work and resource inflows that go into maintaining the current stock of resources available to those engaged in this work (Rai </w:t>
      </w:r>
      <w:r w:rsidRPr="00E0051B">
        <w:rPr>
          <w:rFonts w:ascii="Georgia" w:hAnsi="Georgia" w:cs="Arial"/>
          <w:i/>
          <w:iCs/>
          <w:lang w:val="en-US"/>
        </w:rPr>
        <w:t>et al</w:t>
      </w:r>
      <w:r w:rsidRPr="00E0051B">
        <w:rPr>
          <w:rFonts w:ascii="Georgia" w:hAnsi="Georgia" w:cs="Arial"/>
          <w:lang w:val="en-US"/>
        </w:rPr>
        <w:t xml:space="preserve">. 2014, p. 93). </w:t>
      </w:r>
      <w:r w:rsidRPr="00E0051B">
        <w:rPr>
          <w:rFonts w:ascii="Georgia" w:hAnsi="Georgia" w:cs="Arial"/>
          <w:lang w:val="en-GB"/>
        </w:rPr>
        <w:t>Depletion, where unrecognised and uncompensated for, forms a component of the subsidy provided by social reproduction to capital.</w:t>
      </w:r>
    </w:p>
    <w:p w14:paraId="4ADBE3C6" w14:textId="77777777" w:rsidR="00E0051B" w:rsidRPr="00E0051B" w:rsidRDefault="00E0051B" w:rsidP="00E0051B">
      <w:pPr>
        <w:pStyle w:val="xxxmsonormal0"/>
        <w:spacing w:line="480" w:lineRule="auto"/>
        <w:jc w:val="both"/>
        <w:rPr>
          <w:rFonts w:ascii="Georgia" w:hAnsi="Georgia" w:cs="Arial"/>
          <w:lang w:val="en-US"/>
        </w:rPr>
      </w:pPr>
      <w:r w:rsidRPr="00E0051B">
        <w:rPr>
          <w:rFonts w:ascii="Georgia" w:hAnsi="Georgia" w:cs="Arial"/>
          <w:lang w:val="en-US"/>
        </w:rPr>
        <w:t>Depletion causes differential harm that is class, race, and gender sensitive. This means that we need to underscore the importance of intersectional inequalities and exclusions within which depletion is embedded. This can generate ripples of harm across space and time (</w:t>
      </w:r>
      <w:proofErr w:type="spellStart"/>
      <w:r w:rsidRPr="00E0051B">
        <w:rPr>
          <w:rFonts w:ascii="Georgia" w:hAnsi="Georgia" w:cs="Arial"/>
          <w:lang w:val="en-US"/>
        </w:rPr>
        <w:t>Conaghan</w:t>
      </w:r>
      <w:proofErr w:type="spellEnd"/>
      <w:r w:rsidRPr="00E0051B">
        <w:rPr>
          <w:rFonts w:ascii="Georgia" w:hAnsi="Georgia" w:cs="Arial"/>
          <w:lang w:val="en-US"/>
        </w:rPr>
        <w:t xml:space="preserve">, 2002), which affect individuals, households, and </w:t>
      </w:r>
      <w:r w:rsidRPr="00E0051B">
        <w:rPr>
          <w:rFonts w:ascii="Georgia" w:hAnsi="Georgia" w:cs="Arial"/>
          <w:lang w:val="en-US"/>
        </w:rPr>
        <w:lastRenderedPageBreak/>
        <w:t xml:space="preserve">communities. As </w:t>
      </w:r>
      <w:proofErr w:type="spellStart"/>
      <w:r w:rsidRPr="00E0051B">
        <w:rPr>
          <w:rFonts w:ascii="Georgia" w:hAnsi="Georgia" w:cs="Arial"/>
          <w:lang w:val="en-US"/>
        </w:rPr>
        <w:t>Geronimus</w:t>
      </w:r>
      <w:proofErr w:type="spellEnd"/>
      <w:r w:rsidRPr="00E0051B">
        <w:rPr>
          <w:rFonts w:ascii="Georgia" w:hAnsi="Georgia" w:cs="Arial"/>
          <w:lang w:val="en-US"/>
        </w:rPr>
        <w:t xml:space="preserve"> </w:t>
      </w:r>
      <w:r w:rsidRPr="00E0051B">
        <w:rPr>
          <w:rFonts w:ascii="Georgia" w:hAnsi="Georgia" w:cs="Arial"/>
          <w:i/>
          <w:iCs/>
          <w:lang w:val="en-US"/>
        </w:rPr>
        <w:t>et al.</w:t>
      </w:r>
      <w:r w:rsidRPr="00E0051B">
        <w:rPr>
          <w:rFonts w:ascii="Georgia" w:hAnsi="Georgia" w:cs="Arial"/>
          <w:lang w:val="en-US"/>
        </w:rPr>
        <w:t xml:space="preserve"> (2006) have argued, long-term racial discrimination against </w:t>
      </w:r>
      <w:proofErr w:type="gramStart"/>
      <w:r w:rsidRPr="00E0051B">
        <w:rPr>
          <w:rFonts w:ascii="Georgia" w:hAnsi="Georgia" w:cs="Arial"/>
          <w:lang w:val="en-US"/>
        </w:rPr>
        <w:t>African-American</w:t>
      </w:r>
      <w:proofErr w:type="gramEnd"/>
      <w:r w:rsidRPr="00E0051B">
        <w:rPr>
          <w:rFonts w:ascii="Georgia" w:hAnsi="Georgia" w:cs="Arial"/>
          <w:lang w:val="en-US"/>
        </w:rPr>
        <w:t xml:space="preserve"> communities, compounded by gendered inequalities has led to the ‘weathering’ of the health of African-American women resulting in much higher maternal mortality in this group than any other. Depletion then is an issue that needs urgent attention. </w:t>
      </w:r>
    </w:p>
    <w:p w14:paraId="70BDFE6A" w14:textId="77777777" w:rsidR="00E0051B" w:rsidRPr="00E0051B" w:rsidRDefault="00E0051B" w:rsidP="00E0051B">
      <w:pPr>
        <w:pStyle w:val="Heading2"/>
        <w:spacing w:line="480" w:lineRule="auto"/>
        <w:rPr>
          <w:rFonts w:ascii="Georgia" w:hAnsi="Georgia"/>
          <w:b/>
          <w:bCs/>
          <w:color w:val="000000" w:themeColor="text1"/>
          <w:sz w:val="24"/>
          <w:szCs w:val="24"/>
          <w:lang w:val="en-US"/>
        </w:rPr>
      </w:pPr>
      <w:r w:rsidRPr="00E0051B">
        <w:rPr>
          <w:rFonts w:ascii="Georgia" w:hAnsi="Georgia"/>
          <w:b/>
          <w:bCs/>
          <w:color w:val="000000" w:themeColor="text1"/>
          <w:sz w:val="24"/>
          <w:szCs w:val="24"/>
          <w:lang w:val="en-US"/>
        </w:rPr>
        <w:t>Mitigation, Replenishment and Transformation</w:t>
      </w:r>
    </w:p>
    <w:p w14:paraId="43D62065" w14:textId="77777777" w:rsidR="00E0051B" w:rsidRPr="00E0051B" w:rsidRDefault="00E0051B" w:rsidP="00E0051B">
      <w:pPr>
        <w:pStyle w:val="xxxmsonormal0"/>
        <w:spacing w:line="480" w:lineRule="auto"/>
        <w:jc w:val="both"/>
        <w:rPr>
          <w:rFonts w:ascii="Georgia" w:hAnsi="Georgia" w:cs="Arial"/>
          <w:lang w:val="en-US"/>
        </w:rPr>
      </w:pPr>
      <w:r w:rsidRPr="00E0051B">
        <w:rPr>
          <w:rFonts w:ascii="Georgia" w:hAnsi="Georgia" w:cs="Arial"/>
          <w:lang w:val="en-US"/>
        </w:rPr>
        <w:t xml:space="preserve">Depletion is not irreversible. The strategies of reversing depletion take different forms – mitigation, replenishment, and transformation (Rai </w:t>
      </w:r>
      <w:r w:rsidRPr="00E0051B">
        <w:rPr>
          <w:rFonts w:ascii="Georgia" w:hAnsi="Georgia" w:cs="Arial"/>
          <w:i/>
          <w:iCs/>
          <w:lang w:val="en-US"/>
        </w:rPr>
        <w:t>et al.</w:t>
      </w:r>
      <w:r w:rsidRPr="00E0051B">
        <w:rPr>
          <w:rFonts w:ascii="Georgia" w:hAnsi="Georgia" w:cs="Arial"/>
          <w:lang w:val="en-US"/>
        </w:rPr>
        <w:t xml:space="preserve"> 2014, pp. 98-100); struggles for replenishment and transformation are ongoing and urgent. </w:t>
      </w:r>
      <w:r w:rsidRPr="00E0051B">
        <w:rPr>
          <w:rFonts w:ascii="Georgia" w:hAnsi="Georgia" w:cs="Arial"/>
          <w:i/>
          <w:iCs/>
          <w:lang w:val="en-US"/>
        </w:rPr>
        <w:t xml:space="preserve">Mitigation </w:t>
      </w:r>
      <w:r w:rsidRPr="00E0051B">
        <w:rPr>
          <w:rFonts w:ascii="Georgia" w:hAnsi="Georgia" w:cs="Arial"/>
          <w:lang w:val="en-US"/>
        </w:rPr>
        <w:t xml:space="preserve">occurs when individuals attempt to lessen the consequences of depletion by deploying strategies such as buying in </w:t>
      </w:r>
      <w:proofErr w:type="spellStart"/>
      <w:r w:rsidRPr="00E0051B">
        <w:rPr>
          <w:rFonts w:ascii="Georgia" w:hAnsi="Georgia" w:cs="Arial"/>
          <w:lang w:val="en-US"/>
        </w:rPr>
        <w:t>labour</w:t>
      </w:r>
      <w:proofErr w:type="spellEnd"/>
      <w:r w:rsidRPr="00E0051B">
        <w:rPr>
          <w:rFonts w:ascii="Georgia" w:hAnsi="Georgia" w:cs="Arial"/>
          <w:lang w:val="en-US"/>
        </w:rPr>
        <w:t xml:space="preserve"> or by sharing tasks across genders and generations or by communal and collective arrangements among networks of friends and neighbors.</w:t>
      </w:r>
      <w:r w:rsidRPr="00E0051B">
        <w:rPr>
          <w:rFonts w:ascii="Georgia" w:hAnsi="Georgia" w:cs="Arial"/>
          <w:lang w:val="en-GB"/>
        </w:rPr>
        <w:t xml:space="preserve"> </w:t>
      </w:r>
      <w:r w:rsidRPr="00E0051B">
        <w:rPr>
          <w:rFonts w:ascii="Georgia" w:hAnsi="Georgia" w:cs="Arial"/>
          <w:i/>
          <w:iCs/>
          <w:lang w:val="en-US"/>
        </w:rPr>
        <w:t xml:space="preserve">Replenishment </w:t>
      </w:r>
      <w:r w:rsidRPr="00E0051B">
        <w:rPr>
          <w:rFonts w:ascii="Georgia" w:hAnsi="Georgia" w:cs="Arial"/>
          <w:lang w:val="en-US"/>
        </w:rPr>
        <w:t>includes interventions by both state and voluntary associations and other non-state actors which assist households to cope with depletion but without remedying its structural causes.</w:t>
      </w:r>
      <w:r w:rsidRPr="00E0051B">
        <w:rPr>
          <w:rFonts w:ascii="Georgia" w:hAnsi="Georgia" w:cs="Arial"/>
          <w:lang w:val="en-GB"/>
        </w:rPr>
        <w:t xml:space="preserve"> </w:t>
      </w:r>
      <w:r w:rsidRPr="00E0051B">
        <w:rPr>
          <w:rFonts w:ascii="Georgia" w:hAnsi="Georgia" w:cs="Arial"/>
          <w:i/>
          <w:iCs/>
          <w:lang w:val="en-US"/>
        </w:rPr>
        <w:t>Transformation</w:t>
      </w:r>
      <w:r w:rsidRPr="00E0051B">
        <w:rPr>
          <w:rFonts w:ascii="Georgia" w:hAnsi="Georgia" w:cs="Arial"/>
          <w:lang w:val="en-US"/>
        </w:rPr>
        <w:t xml:space="preserve"> involves structural changes in two dimensions. Restructuring of gendered social relations means equitable redistribution of domestic </w:t>
      </w:r>
      <w:proofErr w:type="spellStart"/>
      <w:r w:rsidRPr="00E0051B">
        <w:rPr>
          <w:rFonts w:ascii="Georgia" w:hAnsi="Georgia" w:cs="Arial"/>
          <w:lang w:val="en-US"/>
        </w:rPr>
        <w:t>labour</w:t>
      </w:r>
      <w:proofErr w:type="spellEnd"/>
      <w:r w:rsidRPr="00E0051B">
        <w:rPr>
          <w:rFonts w:ascii="Georgia" w:hAnsi="Georgia" w:cs="Arial"/>
          <w:lang w:val="en-US"/>
        </w:rPr>
        <w:t xml:space="preserve"> with men and women being fully involved in the sharing of social reproduction.</w:t>
      </w:r>
      <w:r w:rsidRPr="00E0051B">
        <w:rPr>
          <w:rFonts w:ascii="Georgia" w:hAnsi="Georgia" w:cs="Arial"/>
          <w:lang w:val="en-GB"/>
        </w:rPr>
        <w:t xml:space="preserve"> </w:t>
      </w:r>
      <w:r w:rsidRPr="00E0051B">
        <w:rPr>
          <w:rFonts w:ascii="Georgia" w:hAnsi="Georgia" w:cs="Arial"/>
          <w:lang w:val="en-US"/>
        </w:rPr>
        <w:t xml:space="preserve">Further, the recognition and valuation of social reproduction and therefore of DSR. </w:t>
      </w:r>
    </w:p>
    <w:p w14:paraId="08A58E26" w14:textId="77777777" w:rsidR="00E0051B" w:rsidRPr="00E0051B" w:rsidRDefault="00E0051B" w:rsidP="00E0051B">
      <w:pPr>
        <w:pStyle w:val="xxxmsonormal0"/>
        <w:spacing w:line="480" w:lineRule="auto"/>
        <w:jc w:val="both"/>
        <w:rPr>
          <w:rFonts w:ascii="Georgia" w:hAnsi="Georgia" w:cs="Arial"/>
          <w:lang w:val="en-US"/>
        </w:rPr>
      </w:pPr>
      <w:r w:rsidRPr="00E0051B">
        <w:rPr>
          <w:rFonts w:ascii="Georgia" w:hAnsi="Georgia" w:cs="Arial"/>
          <w:lang w:val="en-US"/>
        </w:rPr>
        <w:t xml:space="preserve">All these three strategies depend in some part on the support/actions of the state and the law. State facilitation and blockage of migration allows for access to </w:t>
      </w:r>
      <w:proofErr w:type="spellStart"/>
      <w:r w:rsidRPr="00E0051B">
        <w:rPr>
          <w:rFonts w:ascii="Georgia" w:hAnsi="Georgia" w:cs="Arial"/>
          <w:lang w:val="en-US"/>
        </w:rPr>
        <w:t>labour</w:t>
      </w:r>
      <w:proofErr w:type="spellEnd"/>
      <w:r w:rsidRPr="00E0051B">
        <w:rPr>
          <w:rFonts w:ascii="Georgia" w:hAnsi="Georgia" w:cs="Arial"/>
          <w:lang w:val="en-US"/>
        </w:rPr>
        <w:t xml:space="preserve">, as well as its disposability and precarity. Support for social reproductive </w:t>
      </w:r>
      <w:proofErr w:type="spellStart"/>
      <w:r w:rsidRPr="00E0051B">
        <w:rPr>
          <w:rFonts w:ascii="Georgia" w:hAnsi="Georgia" w:cs="Arial"/>
          <w:lang w:val="en-US"/>
        </w:rPr>
        <w:t>labour</w:t>
      </w:r>
      <w:proofErr w:type="spellEnd"/>
      <w:r w:rsidRPr="00E0051B">
        <w:rPr>
          <w:rFonts w:ascii="Georgia" w:hAnsi="Georgia" w:cs="Arial"/>
          <w:lang w:val="en-US"/>
        </w:rPr>
        <w:t xml:space="preserve"> through public provision of child and elder care can alleviate the care burdens of millions; </w:t>
      </w:r>
      <w:r w:rsidRPr="00E0051B">
        <w:rPr>
          <w:rFonts w:ascii="Georgia" w:hAnsi="Georgia" w:cs="Arial"/>
          <w:lang w:val="en-US"/>
        </w:rPr>
        <w:lastRenderedPageBreak/>
        <w:t xml:space="preserve">austerity policies of the state have the opposite effect. Legal interventions at both national and international levels can be </w:t>
      </w:r>
      <w:proofErr w:type="spellStart"/>
      <w:r w:rsidRPr="00E0051B">
        <w:rPr>
          <w:rFonts w:ascii="Georgia" w:hAnsi="Georgia" w:cs="Arial"/>
          <w:lang w:val="en-US"/>
        </w:rPr>
        <w:t>mobilised</w:t>
      </w:r>
      <w:proofErr w:type="spellEnd"/>
      <w:r w:rsidRPr="00E0051B">
        <w:rPr>
          <w:rFonts w:ascii="Georgia" w:hAnsi="Georgia" w:cs="Arial"/>
          <w:lang w:val="en-US"/>
        </w:rPr>
        <w:t xml:space="preserve"> to reverse harm, but as I have argued elsewhere, with Beth Goldblatt (2017), physical harm that results in economic loss is the easiest area for tort law to address, which excludes much of unpaid </w:t>
      </w:r>
      <w:proofErr w:type="spellStart"/>
      <w:r w:rsidRPr="00E0051B">
        <w:rPr>
          <w:rFonts w:ascii="Georgia" w:hAnsi="Georgia" w:cs="Arial"/>
          <w:lang w:val="en-US"/>
        </w:rPr>
        <w:t>labour</w:t>
      </w:r>
      <w:proofErr w:type="spellEnd"/>
      <w:r w:rsidRPr="00E0051B">
        <w:rPr>
          <w:rFonts w:ascii="Georgia" w:hAnsi="Georgia" w:cs="Arial"/>
          <w:lang w:val="en-US"/>
        </w:rPr>
        <w:t xml:space="preserve"> in the home. However, the inclusion of unpaid </w:t>
      </w:r>
      <w:proofErr w:type="spellStart"/>
      <w:r w:rsidRPr="00E0051B">
        <w:rPr>
          <w:rFonts w:ascii="Georgia" w:hAnsi="Georgia" w:cs="Arial"/>
          <w:lang w:val="en-US"/>
        </w:rPr>
        <w:t>labour</w:t>
      </w:r>
      <w:proofErr w:type="spellEnd"/>
      <w:r w:rsidRPr="00E0051B">
        <w:rPr>
          <w:rFonts w:ascii="Georgia" w:hAnsi="Georgia" w:cs="Arial"/>
          <w:lang w:val="en-US"/>
        </w:rPr>
        <w:t xml:space="preserve"> in the sustainable development goals (5.4) has been the result of sustained feminist campaigns and a first step towards an international recognition of social reproductive </w:t>
      </w:r>
      <w:proofErr w:type="spellStart"/>
      <w:r w:rsidRPr="00E0051B">
        <w:rPr>
          <w:rFonts w:ascii="Georgia" w:hAnsi="Georgia" w:cs="Arial"/>
          <w:lang w:val="en-US"/>
        </w:rPr>
        <w:t>labour</w:t>
      </w:r>
      <w:proofErr w:type="spellEnd"/>
      <w:r w:rsidRPr="00E0051B">
        <w:rPr>
          <w:rFonts w:ascii="Georgia" w:hAnsi="Georgia" w:cs="Arial"/>
          <w:lang w:val="en-US"/>
        </w:rPr>
        <w:t xml:space="preserve"> and its depleting costs. However, this sits poorly with the continued focus on Gross Domestic Product (GDP) as a measure of economic development that the UN System of National Accounts insists on (Rai </w:t>
      </w:r>
      <w:r w:rsidRPr="00E0051B">
        <w:rPr>
          <w:rFonts w:ascii="Georgia" w:hAnsi="Georgia" w:cs="Arial"/>
          <w:i/>
          <w:iCs/>
          <w:lang w:val="en-US"/>
        </w:rPr>
        <w:t>et al</w:t>
      </w:r>
      <w:r w:rsidRPr="00E0051B">
        <w:rPr>
          <w:rFonts w:ascii="Georgia" w:hAnsi="Georgia" w:cs="Arial"/>
          <w:lang w:val="en-US"/>
        </w:rPr>
        <w:t>.</w:t>
      </w:r>
      <w:proofErr w:type="gramStart"/>
      <w:r w:rsidRPr="00E0051B">
        <w:rPr>
          <w:rFonts w:ascii="Georgia" w:hAnsi="Georgia" w:cs="Arial"/>
          <w:lang w:val="en-US"/>
        </w:rPr>
        <w:t>,  2019</w:t>
      </w:r>
      <w:proofErr w:type="gramEnd"/>
      <w:r w:rsidRPr="00E0051B">
        <w:rPr>
          <w:rFonts w:ascii="Georgia" w:hAnsi="Georgia" w:cs="Arial"/>
          <w:lang w:val="en-US"/>
        </w:rPr>
        <w:t xml:space="preserve">). Further, </w:t>
      </w:r>
      <w:proofErr w:type="gramStart"/>
      <w:r w:rsidRPr="00E0051B">
        <w:rPr>
          <w:rFonts w:ascii="Georgia" w:hAnsi="Georgia" w:cs="Arial"/>
          <w:lang w:val="en-US"/>
        </w:rPr>
        <w:t>state</w:t>
      </w:r>
      <w:proofErr w:type="gramEnd"/>
      <w:r w:rsidRPr="00E0051B">
        <w:rPr>
          <w:rFonts w:ascii="Georgia" w:hAnsi="Georgia" w:cs="Arial"/>
          <w:lang w:val="en-US"/>
        </w:rPr>
        <w:t xml:space="preserve"> and international actors must </w:t>
      </w:r>
      <w:proofErr w:type="spellStart"/>
      <w:r w:rsidRPr="00E0051B">
        <w:rPr>
          <w:rFonts w:ascii="Georgia" w:hAnsi="Georgia" w:cs="Arial"/>
          <w:lang w:val="en-US"/>
        </w:rPr>
        <w:t>recognise</w:t>
      </w:r>
      <w:proofErr w:type="spellEnd"/>
      <w:r w:rsidRPr="00E0051B">
        <w:rPr>
          <w:rFonts w:ascii="Georgia" w:hAnsi="Georgia" w:cs="Arial"/>
          <w:lang w:val="en-US"/>
        </w:rPr>
        <w:t xml:space="preserve"> and remedy the harms of corporate malpractices affecting social reproduction (Goldblatt and Rai, 2020), without which reversing depletion becomes impossible. </w:t>
      </w:r>
    </w:p>
    <w:p w14:paraId="524AF7E8" w14:textId="77777777" w:rsidR="00E0051B" w:rsidRPr="00E0051B" w:rsidRDefault="00E0051B" w:rsidP="00E0051B">
      <w:pPr>
        <w:pStyle w:val="xxxmsonormal0"/>
        <w:spacing w:line="480" w:lineRule="auto"/>
        <w:jc w:val="both"/>
        <w:rPr>
          <w:rFonts w:ascii="Georgia" w:hAnsi="Georgia" w:cs="Arial"/>
          <w:lang w:val="en-US"/>
        </w:rPr>
      </w:pPr>
      <w:r w:rsidRPr="00E0051B">
        <w:rPr>
          <w:rFonts w:ascii="Georgia" w:hAnsi="Georgia" w:cs="Arial"/>
          <w:lang w:val="en-US"/>
        </w:rPr>
        <w:t xml:space="preserve">As I have argued in my forthcoming book, </w:t>
      </w:r>
      <w:r w:rsidRPr="00E0051B">
        <w:rPr>
          <w:rFonts w:ascii="Georgia" w:hAnsi="Georgia" w:cs="Arial"/>
          <w:i/>
          <w:iCs/>
          <w:lang w:val="en-US"/>
        </w:rPr>
        <w:t xml:space="preserve">Depletion: the costs of care and struggles to reverse it </w:t>
      </w:r>
      <w:r w:rsidRPr="00E0051B">
        <w:rPr>
          <w:rFonts w:ascii="Georgia" w:hAnsi="Georgia" w:cs="Arial"/>
          <w:lang w:val="en-US"/>
        </w:rPr>
        <w:t xml:space="preserve">(2024), by accepting the unequal system of social reproduction, we are also willing to accept the harming of those who care.  As seen above, this harm that accrues through social reproduction is multifaceted and affects everyone, but unequally. The recognition of depletion as harm must </w:t>
      </w:r>
      <w:proofErr w:type="spellStart"/>
      <w:r w:rsidRPr="00E0051B">
        <w:rPr>
          <w:rFonts w:ascii="Georgia" w:hAnsi="Georgia" w:cs="Arial"/>
          <w:lang w:val="en-US"/>
        </w:rPr>
        <w:t>recognise</w:t>
      </w:r>
      <w:proofErr w:type="spellEnd"/>
      <w:r w:rsidRPr="00E0051B">
        <w:rPr>
          <w:rFonts w:ascii="Georgia" w:hAnsi="Georgia" w:cs="Arial"/>
          <w:lang w:val="en-US"/>
        </w:rPr>
        <w:t xml:space="preserve"> the location and histories of inequalities that cast long shadows on the current care regime – race, gender and class are vectors of this inequality. Further, the strategies of reversing harm cannot be successful if society as a whole – states, markets, and individual and collective actors – does not </w:t>
      </w:r>
      <w:proofErr w:type="spellStart"/>
      <w:r w:rsidRPr="00E0051B">
        <w:rPr>
          <w:rFonts w:ascii="Georgia" w:hAnsi="Georgia" w:cs="Arial"/>
          <w:lang w:val="en-US"/>
        </w:rPr>
        <w:t>recognise</w:t>
      </w:r>
      <w:proofErr w:type="spellEnd"/>
      <w:r w:rsidRPr="00E0051B">
        <w:rPr>
          <w:rFonts w:ascii="Georgia" w:hAnsi="Georgia" w:cs="Arial"/>
          <w:lang w:val="en-US"/>
        </w:rPr>
        <w:t xml:space="preserve"> and determine to reverse this harm; mitigation can only be limited, unequal and indeed can intensify harm for some. State intervention in addressing the effects of unequal distribution of social reproductive work is essential, if not sufficient, for replenishment as a strategy of reversal of harm. </w:t>
      </w:r>
      <w:r w:rsidRPr="00E0051B">
        <w:rPr>
          <w:rFonts w:ascii="Georgia" w:hAnsi="Georgia" w:cs="Arial"/>
          <w:lang w:val="en-US"/>
        </w:rPr>
        <w:lastRenderedPageBreak/>
        <w:t xml:space="preserve">Investment in social infrastructure, regulation of corporate malpractice and of </w:t>
      </w:r>
      <w:proofErr w:type="spellStart"/>
      <w:r w:rsidRPr="00E0051B">
        <w:rPr>
          <w:rFonts w:ascii="Georgia" w:hAnsi="Georgia" w:cs="Arial"/>
          <w:lang w:val="en-US"/>
        </w:rPr>
        <w:t>labour</w:t>
      </w:r>
      <w:proofErr w:type="spellEnd"/>
      <w:r w:rsidRPr="00E0051B">
        <w:rPr>
          <w:rFonts w:ascii="Georgia" w:hAnsi="Georgia" w:cs="Arial"/>
          <w:lang w:val="en-US"/>
        </w:rPr>
        <w:t xml:space="preserve"> standards for example, can help replenish those engaged in social reproduction. A vision of a ‘good life’ for all, rather than for some, also must include human as well as planetary care; harm to our environment is harm to ourselves as communities. Strategies of net-zero, </w:t>
      </w:r>
      <w:proofErr w:type="spellStart"/>
      <w:r w:rsidRPr="00E0051B">
        <w:rPr>
          <w:rFonts w:ascii="Georgia" w:hAnsi="Georgia" w:cs="Arial"/>
          <w:lang w:val="en-US"/>
        </w:rPr>
        <w:t>minimising</w:t>
      </w:r>
      <w:proofErr w:type="spellEnd"/>
      <w:r w:rsidRPr="00E0051B">
        <w:rPr>
          <w:rFonts w:ascii="Georgia" w:hAnsi="Georgia" w:cs="Arial"/>
          <w:lang w:val="en-US"/>
        </w:rPr>
        <w:t xml:space="preserve"> extraction of resources from fragile environments, degrowth to reshape consumption as well as production patterns all form part of the strategies needed to reverse depletion. </w:t>
      </w:r>
    </w:p>
    <w:p w14:paraId="211570A6" w14:textId="77777777" w:rsidR="00E0051B" w:rsidRPr="00E0051B" w:rsidRDefault="00E0051B" w:rsidP="00E0051B">
      <w:pPr>
        <w:pStyle w:val="Heading2"/>
        <w:spacing w:line="480" w:lineRule="auto"/>
        <w:rPr>
          <w:rFonts w:ascii="Georgia" w:hAnsi="Georgia"/>
          <w:b/>
          <w:bCs/>
          <w:color w:val="000000" w:themeColor="text1"/>
          <w:sz w:val="24"/>
          <w:szCs w:val="24"/>
          <w:lang w:val="en-US"/>
        </w:rPr>
      </w:pPr>
      <w:r w:rsidRPr="00E0051B">
        <w:rPr>
          <w:rFonts w:ascii="Georgia" w:hAnsi="Georgia"/>
          <w:b/>
          <w:bCs/>
          <w:color w:val="000000" w:themeColor="text1"/>
          <w:sz w:val="24"/>
          <w:szCs w:val="24"/>
          <w:lang w:val="en-US"/>
        </w:rPr>
        <w:t>Conclusion</w:t>
      </w:r>
    </w:p>
    <w:p w14:paraId="4E8F6353" w14:textId="77777777" w:rsidR="00E0051B" w:rsidRPr="00E0051B" w:rsidRDefault="00E0051B" w:rsidP="00E0051B">
      <w:pPr>
        <w:pStyle w:val="xxxmsonormal0"/>
        <w:spacing w:line="480" w:lineRule="auto"/>
        <w:jc w:val="both"/>
        <w:rPr>
          <w:rFonts w:ascii="Georgia" w:hAnsi="Georgia" w:cs="Arial"/>
          <w:lang w:val="en-US"/>
        </w:rPr>
      </w:pPr>
      <w:r w:rsidRPr="00E0051B">
        <w:rPr>
          <w:rFonts w:ascii="Georgia" w:hAnsi="Georgia" w:cs="Arial"/>
          <w:lang w:val="en-US"/>
        </w:rPr>
        <w:t xml:space="preserve">Reversing depletion needs building alliances across difference; solidarity needs to be reflexive to be effective over time. Feminist experience shows that solidarity can be both empowering and excluding. To address this complexity, we need to work towards building more symmetrical relations among those </w:t>
      </w:r>
      <w:proofErr w:type="spellStart"/>
      <w:r w:rsidRPr="00E0051B">
        <w:rPr>
          <w:rFonts w:ascii="Georgia" w:hAnsi="Georgia" w:cs="Arial"/>
          <w:lang w:val="en-US"/>
        </w:rPr>
        <w:t>mobilising</w:t>
      </w:r>
      <w:proofErr w:type="spellEnd"/>
      <w:r w:rsidRPr="00E0051B">
        <w:rPr>
          <w:rFonts w:ascii="Georgia" w:hAnsi="Georgia" w:cs="Arial"/>
          <w:lang w:val="en-US"/>
        </w:rPr>
        <w:t xml:space="preserve"> to reverse depletion. As </w:t>
      </w:r>
      <w:proofErr w:type="spellStart"/>
      <w:r w:rsidRPr="00E0051B">
        <w:rPr>
          <w:rFonts w:ascii="Georgia" w:hAnsi="Georgia" w:cs="Arial"/>
          <w:lang w:val="en-US"/>
        </w:rPr>
        <w:t>Balibar</w:t>
      </w:r>
      <w:proofErr w:type="spellEnd"/>
      <w:r w:rsidRPr="00E0051B">
        <w:rPr>
          <w:rFonts w:ascii="Georgia" w:hAnsi="Georgia" w:cs="Arial"/>
          <w:lang w:val="en-US"/>
        </w:rPr>
        <w:t xml:space="preserve"> (1997) argues, solidarity needs to be a mode of thinking where politics is assumed to happen with others, but one which does not lapse into reifying its own particularity as universality. Working across lines of difference then takes </w:t>
      </w:r>
      <w:proofErr w:type="spellStart"/>
      <w:r w:rsidRPr="00E0051B">
        <w:rPr>
          <w:rFonts w:ascii="Georgia" w:hAnsi="Georgia" w:cs="Arial"/>
          <w:lang w:val="en-US"/>
        </w:rPr>
        <w:t>labour</w:t>
      </w:r>
      <w:proofErr w:type="spellEnd"/>
      <w:r w:rsidRPr="00E0051B">
        <w:rPr>
          <w:rFonts w:ascii="Georgia" w:hAnsi="Georgia" w:cs="Arial"/>
          <w:lang w:val="en-US"/>
        </w:rPr>
        <w:t xml:space="preserve">, time, and effort, which </w:t>
      </w:r>
      <w:proofErr w:type="gramStart"/>
      <w:r w:rsidRPr="00E0051B">
        <w:rPr>
          <w:rFonts w:ascii="Georgia" w:hAnsi="Georgia" w:cs="Arial"/>
          <w:lang w:val="en-US"/>
        </w:rPr>
        <w:t>in itself can</w:t>
      </w:r>
      <w:proofErr w:type="gramEnd"/>
      <w:r w:rsidRPr="00E0051B">
        <w:rPr>
          <w:rFonts w:ascii="Georgia" w:hAnsi="Georgia" w:cs="Arial"/>
          <w:lang w:val="en-US"/>
        </w:rPr>
        <w:t xml:space="preserve"> be depleting. As </w:t>
      </w:r>
      <w:bookmarkStart w:id="0" w:name="_Hlk146882182"/>
      <w:r w:rsidRPr="00E0051B">
        <w:rPr>
          <w:rFonts w:ascii="Georgia" w:hAnsi="Georgia" w:cs="Arial"/>
          <w:lang w:val="en-US"/>
        </w:rPr>
        <w:t xml:space="preserve">Bernice Johnson </w:t>
      </w:r>
      <w:proofErr w:type="spellStart"/>
      <w:r w:rsidRPr="00E0051B">
        <w:rPr>
          <w:rFonts w:ascii="Georgia" w:hAnsi="Georgia" w:cs="Arial"/>
          <w:lang w:val="en-US"/>
        </w:rPr>
        <w:t>Reagon</w:t>
      </w:r>
      <w:proofErr w:type="spellEnd"/>
      <w:r w:rsidRPr="00E0051B">
        <w:rPr>
          <w:rFonts w:ascii="Georgia" w:hAnsi="Georgia" w:cs="Arial"/>
          <w:lang w:val="en-US"/>
        </w:rPr>
        <w:t xml:space="preserve"> </w:t>
      </w:r>
      <w:bookmarkEnd w:id="0"/>
      <w:r w:rsidRPr="00E0051B">
        <w:rPr>
          <w:rFonts w:ascii="Georgia" w:hAnsi="Georgia" w:cs="Arial"/>
          <w:lang w:val="en-US"/>
        </w:rPr>
        <w:t xml:space="preserve">has pointed out: ‘I feel as if I’m </w:t>
      </w:r>
      <w:proofErr w:type="spellStart"/>
      <w:r w:rsidRPr="00E0051B">
        <w:rPr>
          <w:rFonts w:ascii="Georgia" w:hAnsi="Georgia" w:cs="Arial"/>
          <w:lang w:val="en-US"/>
        </w:rPr>
        <w:t>gonna</w:t>
      </w:r>
      <w:proofErr w:type="spellEnd"/>
      <w:r w:rsidRPr="00E0051B">
        <w:rPr>
          <w:rFonts w:ascii="Georgia" w:hAnsi="Georgia" w:cs="Arial"/>
          <w:lang w:val="en-US"/>
        </w:rPr>
        <w:t xml:space="preserve"> keel over any minute and die. That is often what it feels like if you’re really doing coalition work. Most of the time you feel threatened to the core and if you don’t, you’re not really doing coalescing’ (1981, p. 358). Building solidarity to </w:t>
      </w:r>
      <w:proofErr w:type="spellStart"/>
      <w:r w:rsidRPr="00E0051B">
        <w:rPr>
          <w:rFonts w:ascii="Georgia" w:hAnsi="Georgia" w:cs="Arial"/>
          <w:lang w:val="en-US"/>
        </w:rPr>
        <w:t>mobilise</w:t>
      </w:r>
      <w:proofErr w:type="spellEnd"/>
      <w:r w:rsidRPr="00E0051B">
        <w:rPr>
          <w:rFonts w:ascii="Georgia" w:hAnsi="Georgia" w:cs="Arial"/>
          <w:lang w:val="en-US"/>
        </w:rPr>
        <w:t xml:space="preserve"> against depletion needs not only giving voice (recognition) to </w:t>
      </w:r>
      <w:proofErr w:type="spellStart"/>
      <w:r w:rsidRPr="00E0051B">
        <w:rPr>
          <w:rFonts w:ascii="Georgia" w:hAnsi="Georgia" w:cs="Arial"/>
          <w:lang w:val="en-US"/>
        </w:rPr>
        <w:t>labours</w:t>
      </w:r>
      <w:proofErr w:type="spellEnd"/>
      <w:r w:rsidRPr="00E0051B">
        <w:rPr>
          <w:rFonts w:ascii="Georgia" w:hAnsi="Georgia" w:cs="Arial"/>
          <w:lang w:val="en-US"/>
        </w:rPr>
        <w:t xml:space="preserve"> of social reproduction, but also deep listening to voices of difference across spaces and locations. This is important because solidarities need to be developed in time and sustained over time; processes of communication are important for not just building </w:t>
      </w:r>
      <w:r w:rsidRPr="00E0051B">
        <w:rPr>
          <w:rFonts w:ascii="Georgia" w:hAnsi="Georgia" w:cs="Arial"/>
          <w:lang w:val="en-US"/>
        </w:rPr>
        <w:lastRenderedPageBreak/>
        <w:t xml:space="preserve">solidarities but also maintaining them. Depletion can be reversed through such solidaristic politics. </w:t>
      </w:r>
    </w:p>
    <w:p w14:paraId="6F94F779" w14:textId="77777777" w:rsidR="00E0051B" w:rsidRDefault="00E0051B" w:rsidP="00E0051B">
      <w:pPr>
        <w:spacing w:line="480" w:lineRule="auto"/>
        <w:jc w:val="both"/>
        <w:rPr>
          <w:rFonts w:ascii="Georgia" w:hAnsi="Georgia" w:cs="Arial"/>
          <w:sz w:val="24"/>
          <w:szCs w:val="24"/>
        </w:rPr>
      </w:pPr>
    </w:p>
    <w:p w14:paraId="1D5F90E0" w14:textId="1C842E58" w:rsidR="00E0051B" w:rsidRPr="00E0051B" w:rsidRDefault="00E0051B" w:rsidP="00E0051B">
      <w:pPr>
        <w:pStyle w:val="Heading2"/>
        <w:spacing w:line="480" w:lineRule="auto"/>
        <w:rPr>
          <w:rFonts w:ascii="Georgia" w:hAnsi="Georgia"/>
          <w:b/>
          <w:bCs/>
          <w:color w:val="000000" w:themeColor="text1"/>
          <w:sz w:val="24"/>
          <w:szCs w:val="24"/>
        </w:rPr>
      </w:pPr>
      <w:r w:rsidRPr="00E0051B">
        <w:rPr>
          <w:rFonts w:ascii="Georgia" w:hAnsi="Georgia"/>
          <w:b/>
          <w:bCs/>
          <w:color w:val="000000" w:themeColor="text1"/>
          <w:sz w:val="24"/>
          <w:szCs w:val="24"/>
        </w:rPr>
        <w:t>References</w:t>
      </w:r>
    </w:p>
    <w:p w14:paraId="7645B3DE" w14:textId="77777777" w:rsidR="00E0051B" w:rsidRPr="00E0051B" w:rsidRDefault="00E0051B" w:rsidP="00E0051B">
      <w:pPr>
        <w:spacing w:line="480" w:lineRule="auto"/>
        <w:jc w:val="both"/>
        <w:rPr>
          <w:rFonts w:ascii="Georgia" w:hAnsi="Georgia" w:cs="Arial"/>
          <w:color w:val="000000"/>
          <w:sz w:val="24"/>
          <w:szCs w:val="24"/>
          <w:shd w:val="clear" w:color="auto" w:fill="FFFFFF"/>
        </w:rPr>
      </w:pPr>
      <w:proofErr w:type="spellStart"/>
      <w:r w:rsidRPr="00E0051B">
        <w:rPr>
          <w:rStyle w:val="xcontentpasted0"/>
          <w:rFonts w:ascii="Georgia" w:hAnsi="Georgia" w:cs="Arial"/>
          <w:color w:val="242424"/>
          <w:sz w:val="24"/>
          <w:szCs w:val="24"/>
          <w:bdr w:val="none" w:sz="0" w:space="0" w:color="auto" w:frame="1"/>
        </w:rPr>
        <w:t>Balibar</w:t>
      </w:r>
      <w:proofErr w:type="spellEnd"/>
      <w:r w:rsidRPr="00E0051B">
        <w:rPr>
          <w:rStyle w:val="xcontentpasted0"/>
          <w:rFonts w:ascii="Georgia" w:hAnsi="Georgia" w:cs="Arial"/>
          <w:color w:val="242424"/>
          <w:sz w:val="24"/>
          <w:szCs w:val="24"/>
          <w:bdr w:val="none" w:sz="0" w:space="0" w:color="auto" w:frame="1"/>
        </w:rPr>
        <w:t>, E. (1997</w:t>
      </w:r>
      <w:proofErr w:type="gramStart"/>
      <w:r w:rsidRPr="00E0051B">
        <w:rPr>
          <w:rStyle w:val="xcontentpasted0"/>
          <w:rFonts w:ascii="Georgia" w:hAnsi="Georgia" w:cs="Arial"/>
          <w:color w:val="242424"/>
          <w:sz w:val="24"/>
          <w:szCs w:val="24"/>
          <w:bdr w:val="none" w:sz="0" w:space="0" w:color="auto" w:frame="1"/>
        </w:rPr>
        <w:t>)</w:t>
      </w:r>
      <w:r w:rsidRPr="00E0051B">
        <w:rPr>
          <w:rStyle w:val="xcontentpasted0"/>
          <w:rFonts w:ascii="Georgia" w:hAnsi="Georgia" w:cs="Arial"/>
          <w:color w:val="000000"/>
          <w:sz w:val="24"/>
          <w:szCs w:val="24"/>
          <w:bdr w:val="none" w:sz="0" w:space="0" w:color="auto" w:frame="1"/>
        </w:rPr>
        <w:t>  </w:t>
      </w:r>
      <w:r w:rsidRPr="00E0051B">
        <w:rPr>
          <w:rStyle w:val="xcontentpasted0"/>
          <w:rFonts w:ascii="Georgia" w:hAnsi="Georgia" w:cs="Arial"/>
          <w:i/>
          <w:iCs/>
          <w:color w:val="000000"/>
          <w:sz w:val="24"/>
          <w:szCs w:val="24"/>
          <w:bdr w:val="none" w:sz="0" w:space="0" w:color="auto" w:frame="1"/>
        </w:rPr>
        <w:t>Spinoza</w:t>
      </w:r>
      <w:proofErr w:type="gramEnd"/>
      <w:r w:rsidRPr="00E0051B">
        <w:rPr>
          <w:rStyle w:val="xcontentpasted0"/>
          <w:rFonts w:ascii="Georgia" w:hAnsi="Georgia" w:cs="Arial"/>
          <w:i/>
          <w:iCs/>
          <w:color w:val="000000"/>
          <w:sz w:val="24"/>
          <w:szCs w:val="24"/>
          <w:bdr w:val="none" w:sz="0" w:space="0" w:color="auto" w:frame="1"/>
        </w:rPr>
        <w:t xml:space="preserve">: From Individuality to </w:t>
      </w:r>
      <w:proofErr w:type="spellStart"/>
      <w:r w:rsidRPr="00E0051B">
        <w:rPr>
          <w:rStyle w:val="xcontentpasted0"/>
          <w:rFonts w:ascii="Georgia" w:hAnsi="Georgia" w:cs="Arial"/>
          <w:i/>
          <w:iCs/>
          <w:color w:val="000000"/>
          <w:sz w:val="24"/>
          <w:szCs w:val="24"/>
          <w:bdr w:val="none" w:sz="0" w:space="0" w:color="auto" w:frame="1"/>
        </w:rPr>
        <w:t>Transindividuality</w:t>
      </w:r>
      <w:proofErr w:type="spellEnd"/>
      <w:r w:rsidRPr="00E0051B">
        <w:rPr>
          <w:rStyle w:val="xcontentpasted0"/>
          <w:rFonts w:ascii="Georgia" w:hAnsi="Georgia" w:cs="Arial"/>
          <w:color w:val="000000"/>
          <w:sz w:val="24"/>
          <w:szCs w:val="24"/>
          <w:bdr w:val="none" w:sz="0" w:space="0" w:color="auto" w:frame="1"/>
        </w:rPr>
        <w:t xml:space="preserve">, </w:t>
      </w:r>
      <w:proofErr w:type="spellStart"/>
      <w:r w:rsidRPr="00E0051B">
        <w:rPr>
          <w:rStyle w:val="xcontentpasted0"/>
          <w:rFonts w:ascii="Georgia" w:hAnsi="Georgia" w:cs="Arial"/>
          <w:color w:val="000000"/>
          <w:sz w:val="24"/>
          <w:szCs w:val="24"/>
          <w:bdr w:val="none" w:sz="0" w:space="0" w:color="auto" w:frame="1"/>
        </w:rPr>
        <w:t>Eburon</w:t>
      </w:r>
      <w:proofErr w:type="spellEnd"/>
    </w:p>
    <w:p w14:paraId="6B124B53" w14:textId="77777777" w:rsidR="00E0051B" w:rsidRPr="00E0051B" w:rsidRDefault="00E0051B" w:rsidP="00E0051B">
      <w:pPr>
        <w:spacing w:line="480" w:lineRule="auto"/>
        <w:jc w:val="both"/>
        <w:rPr>
          <w:rFonts w:ascii="Georgia" w:hAnsi="Georgia" w:cs="Arial"/>
          <w:sz w:val="24"/>
          <w:szCs w:val="24"/>
        </w:rPr>
      </w:pPr>
      <w:r w:rsidRPr="00E0051B">
        <w:rPr>
          <w:rFonts w:ascii="Georgia" w:hAnsi="Georgia" w:cs="Arial"/>
          <w:color w:val="000000"/>
          <w:sz w:val="24"/>
          <w:szCs w:val="24"/>
          <w:shd w:val="clear" w:color="auto" w:fill="FFFFFF"/>
          <w:lang w:val="fr-FR"/>
        </w:rPr>
        <w:t xml:space="preserve">Borelli, J.L., Nelson, S.K., River, L.M. et al. </w:t>
      </w:r>
      <w:r w:rsidRPr="00E0051B">
        <w:rPr>
          <w:rFonts w:ascii="Georgia" w:hAnsi="Georgia" w:cs="Arial"/>
          <w:color w:val="000000"/>
          <w:sz w:val="24"/>
          <w:szCs w:val="24"/>
          <w:shd w:val="clear" w:color="auto" w:fill="FFFFFF"/>
        </w:rPr>
        <w:t xml:space="preserve">(2017) Gender Differences in Work-Family Guilt in Parents of Young Children. Sex Roles 76, 356–368 </w:t>
      </w:r>
      <w:hyperlink r:id="rId8" w:tgtFrame="_blank" w:tooltip="Original URL: https://doi.org/10.1007/s11199-016-0579-0. Click or tap if you trust this link." w:history="1">
        <w:r w:rsidRPr="00E0051B">
          <w:rPr>
            <w:rStyle w:val="Hyperlink"/>
            <w:rFonts w:ascii="Georgia" w:hAnsi="Georgia" w:cs="Arial"/>
            <w:sz w:val="24"/>
            <w:szCs w:val="24"/>
            <w:bdr w:val="none" w:sz="0" w:space="0" w:color="auto" w:frame="1"/>
            <w:shd w:val="clear" w:color="auto" w:fill="FFFFFF"/>
          </w:rPr>
          <w:t>https://doi.org/10.1007/s11199-016-0579-0</w:t>
        </w:r>
      </w:hyperlink>
    </w:p>
    <w:p w14:paraId="37E09CC6" w14:textId="77777777" w:rsidR="00E0051B" w:rsidRPr="00E0051B" w:rsidRDefault="00E0051B" w:rsidP="00E0051B">
      <w:pPr>
        <w:spacing w:line="480" w:lineRule="auto"/>
        <w:jc w:val="both"/>
        <w:rPr>
          <w:rFonts w:ascii="Georgia" w:hAnsi="Georgia" w:cs="Arial"/>
          <w:sz w:val="24"/>
          <w:szCs w:val="24"/>
        </w:rPr>
      </w:pPr>
      <w:proofErr w:type="spellStart"/>
      <w:r w:rsidRPr="00E0051B">
        <w:rPr>
          <w:rFonts w:ascii="Georgia" w:hAnsi="Georgia" w:cs="Arial"/>
          <w:sz w:val="24"/>
          <w:szCs w:val="24"/>
        </w:rPr>
        <w:t>Conaghan</w:t>
      </w:r>
      <w:proofErr w:type="spellEnd"/>
      <w:r w:rsidRPr="00E0051B">
        <w:rPr>
          <w:rFonts w:ascii="Georgia" w:hAnsi="Georgia" w:cs="Arial"/>
          <w:sz w:val="24"/>
          <w:szCs w:val="24"/>
        </w:rPr>
        <w:t xml:space="preserve">, Johanne (2002) Law, </w:t>
      </w:r>
      <w:proofErr w:type="gramStart"/>
      <w:r w:rsidRPr="00E0051B">
        <w:rPr>
          <w:rFonts w:ascii="Georgia" w:hAnsi="Georgia" w:cs="Arial"/>
          <w:sz w:val="24"/>
          <w:szCs w:val="24"/>
        </w:rPr>
        <w:t>harm</w:t>
      </w:r>
      <w:proofErr w:type="gramEnd"/>
      <w:r w:rsidRPr="00E0051B">
        <w:rPr>
          <w:rFonts w:ascii="Georgia" w:hAnsi="Georgia" w:cs="Arial"/>
          <w:sz w:val="24"/>
          <w:szCs w:val="24"/>
        </w:rPr>
        <w:t xml:space="preserve"> and redress: A feminist perspective. Legal Studies 319–339.</w:t>
      </w:r>
    </w:p>
    <w:p w14:paraId="3EEB27E1" w14:textId="77777777" w:rsidR="00E0051B" w:rsidRPr="00E0051B" w:rsidRDefault="00E0051B" w:rsidP="00E0051B">
      <w:pPr>
        <w:spacing w:line="480" w:lineRule="auto"/>
        <w:jc w:val="both"/>
        <w:rPr>
          <w:rFonts w:ascii="Georgia" w:hAnsi="Georgia" w:cs="Arial"/>
          <w:sz w:val="24"/>
          <w:szCs w:val="24"/>
        </w:rPr>
      </w:pPr>
      <w:proofErr w:type="spellStart"/>
      <w:r w:rsidRPr="00E0051B">
        <w:rPr>
          <w:rFonts w:ascii="Georgia" w:hAnsi="Georgia" w:cs="Arial"/>
          <w:sz w:val="24"/>
          <w:szCs w:val="24"/>
        </w:rPr>
        <w:t>Dugarova</w:t>
      </w:r>
      <w:proofErr w:type="spellEnd"/>
      <w:r w:rsidRPr="00E0051B">
        <w:rPr>
          <w:rFonts w:ascii="Georgia" w:hAnsi="Georgia" w:cs="Arial"/>
          <w:sz w:val="24"/>
          <w:szCs w:val="24"/>
        </w:rPr>
        <w:t xml:space="preserve">, </w:t>
      </w:r>
      <w:proofErr w:type="spellStart"/>
      <w:r w:rsidRPr="00E0051B">
        <w:rPr>
          <w:rFonts w:ascii="Georgia" w:hAnsi="Georgia" w:cs="Arial"/>
          <w:sz w:val="24"/>
          <w:szCs w:val="24"/>
        </w:rPr>
        <w:t>Esuna</w:t>
      </w:r>
      <w:proofErr w:type="spellEnd"/>
      <w:r w:rsidRPr="00E0051B">
        <w:rPr>
          <w:rFonts w:ascii="Georgia" w:hAnsi="Georgia" w:cs="Arial"/>
          <w:sz w:val="24"/>
          <w:szCs w:val="24"/>
        </w:rPr>
        <w:t xml:space="preserve">, 2020 Unpaid care work in times of the COVID-19 crisis:  Gendered impacts, emerging evidence and promising policy responses, Paper prepared for the UN Expert Group Meeting “Families in development: Assessing progress, challenges and emerging </w:t>
      </w:r>
      <w:proofErr w:type="gramStart"/>
      <w:r w:rsidRPr="00E0051B">
        <w:rPr>
          <w:rFonts w:ascii="Georgia" w:hAnsi="Georgia" w:cs="Arial"/>
          <w:sz w:val="24"/>
          <w:szCs w:val="24"/>
        </w:rPr>
        <w:t>issueshttps://www.un.org/development/desa/family/wpcontent/uploads/sites/23/2020/09/Duragova.Paper.pdf</w:t>
      </w:r>
      <w:proofErr w:type="gramEnd"/>
      <w:r w:rsidRPr="00E0051B">
        <w:rPr>
          <w:rFonts w:ascii="Georgia" w:hAnsi="Georgia" w:cs="Arial"/>
          <w:sz w:val="24"/>
          <w:szCs w:val="24"/>
        </w:rPr>
        <w:t xml:space="preserve"> </w:t>
      </w:r>
    </w:p>
    <w:p w14:paraId="5E65B54F" w14:textId="77777777" w:rsidR="00E0051B" w:rsidRPr="00E0051B" w:rsidRDefault="00E0051B" w:rsidP="00E0051B">
      <w:pPr>
        <w:spacing w:line="480" w:lineRule="auto"/>
        <w:jc w:val="both"/>
        <w:rPr>
          <w:rFonts w:ascii="Georgia" w:hAnsi="Georgia" w:cs="Arial"/>
          <w:sz w:val="24"/>
          <w:szCs w:val="24"/>
        </w:rPr>
      </w:pPr>
      <w:r w:rsidRPr="00E0051B">
        <w:rPr>
          <w:rFonts w:ascii="Georgia" w:hAnsi="Georgia" w:cs="Arial"/>
          <w:sz w:val="24"/>
          <w:szCs w:val="24"/>
        </w:rPr>
        <w:t>Elson, Diane (2000) ‘The Progress of Women: Empowerment and Economics’, in The Progress of the World’s Women. New York: UNIFEM.</w:t>
      </w:r>
    </w:p>
    <w:p w14:paraId="7EE977FB" w14:textId="77777777" w:rsidR="00E0051B" w:rsidRPr="00E0051B" w:rsidRDefault="00E0051B" w:rsidP="00E0051B">
      <w:pPr>
        <w:spacing w:line="480" w:lineRule="auto"/>
        <w:jc w:val="both"/>
        <w:rPr>
          <w:rFonts w:ascii="Georgia" w:hAnsi="Georgia" w:cs="Arial"/>
          <w:sz w:val="24"/>
          <w:szCs w:val="24"/>
        </w:rPr>
      </w:pPr>
      <w:proofErr w:type="spellStart"/>
      <w:r w:rsidRPr="00E0051B">
        <w:rPr>
          <w:rFonts w:ascii="Georgia" w:hAnsi="Georgia" w:cs="Arial"/>
          <w:sz w:val="24"/>
          <w:szCs w:val="24"/>
        </w:rPr>
        <w:t>Geronimus</w:t>
      </w:r>
      <w:proofErr w:type="spellEnd"/>
      <w:r w:rsidRPr="00E0051B">
        <w:rPr>
          <w:rFonts w:ascii="Georgia" w:hAnsi="Georgia" w:cs="Arial"/>
          <w:sz w:val="24"/>
          <w:szCs w:val="24"/>
        </w:rPr>
        <w:t>, Arline T., et al. (2006) "Urban-rural differences in excess mortality among high-poverty populations: evidence from the Harlem Household Survey and the Pitt County, North Carolina Study of African American Health." Journal of Health Care for the Poor and Underserved 17(3): 532-558.</w:t>
      </w:r>
    </w:p>
    <w:p w14:paraId="5DACC1AE" w14:textId="77777777" w:rsidR="00E0051B" w:rsidRPr="00E0051B" w:rsidRDefault="00E0051B" w:rsidP="00E0051B">
      <w:pPr>
        <w:spacing w:line="480" w:lineRule="auto"/>
        <w:jc w:val="both"/>
        <w:rPr>
          <w:rFonts w:ascii="Georgia" w:hAnsi="Georgia" w:cs="Arial"/>
          <w:sz w:val="24"/>
          <w:szCs w:val="24"/>
        </w:rPr>
      </w:pPr>
      <w:r w:rsidRPr="00E0051B">
        <w:rPr>
          <w:rFonts w:ascii="Georgia" w:hAnsi="Georgia" w:cs="Arial"/>
          <w:sz w:val="24"/>
          <w:szCs w:val="24"/>
        </w:rPr>
        <w:lastRenderedPageBreak/>
        <w:t>Goldblatt, Beth, and Shirin M. Rai. (2020) "Remedying depletion through social reproduction: a critical engagement with the United Nations’ business and human rights framework." European Journal of Politics and Gender 3(2): 185-202.</w:t>
      </w:r>
    </w:p>
    <w:p w14:paraId="478F26D3" w14:textId="77777777" w:rsidR="00E0051B" w:rsidRPr="00E0051B" w:rsidRDefault="00E0051B" w:rsidP="00E0051B">
      <w:pPr>
        <w:spacing w:line="480" w:lineRule="auto"/>
        <w:jc w:val="both"/>
        <w:rPr>
          <w:rFonts w:ascii="Georgia" w:hAnsi="Georgia" w:cs="Arial"/>
          <w:sz w:val="24"/>
          <w:szCs w:val="24"/>
        </w:rPr>
      </w:pPr>
      <w:r w:rsidRPr="00E0051B">
        <w:rPr>
          <w:rFonts w:ascii="Georgia" w:hAnsi="Georgia" w:cs="Arial"/>
          <w:sz w:val="24"/>
          <w:szCs w:val="24"/>
        </w:rPr>
        <w:t>Goldblatt, Beth, and Shirin M. Rai. (2018) "Recognizing the full costs of care? Compensation for families in South Africa’s silicosis class action." Social &amp; Legal Studies 27(6): 671-694.</w:t>
      </w:r>
    </w:p>
    <w:p w14:paraId="59D134BB" w14:textId="77777777" w:rsidR="00E0051B" w:rsidRPr="00E0051B" w:rsidRDefault="00E0051B" w:rsidP="00E0051B">
      <w:pPr>
        <w:spacing w:line="480" w:lineRule="auto"/>
        <w:jc w:val="both"/>
        <w:rPr>
          <w:rFonts w:ascii="Georgia" w:hAnsi="Georgia" w:cs="Arial"/>
          <w:sz w:val="24"/>
          <w:szCs w:val="24"/>
        </w:rPr>
      </w:pPr>
      <w:proofErr w:type="spellStart"/>
      <w:r w:rsidRPr="00E0051B">
        <w:rPr>
          <w:rFonts w:ascii="Georgia" w:hAnsi="Georgia" w:cs="Arial"/>
          <w:sz w:val="24"/>
          <w:szCs w:val="24"/>
        </w:rPr>
        <w:t>Hoskyns</w:t>
      </w:r>
      <w:proofErr w:type="spellEnd"/>
      <w:r w:rsidRPr="00E0051B">
        <w:rPr>
          <w:rFonts w:ascii="Georgia" w:hAnsi="Georgia" w:cs="Arial"/>
          <w:sz w:val="24"/>
          <w:szCs w:val="24"/>
        </w:rPr>
        <w:t>, Catherine. and Rai, Shirin. M. (2007) ‘Recasting the International Political Economy: Counting Women’s Unpaid Work’, New Political Economy 12 (3): 297–317.</w:t>
      </w:r>
    </w:p>
    <w:p w14:paraId="49E0E018" w14:textId="77777777" w:rsidR="00E0051B" w:rsidRPr="00E0051B" w:rsidRDefault="00E0051B" w:rsidP="00E0051B">
      <w:pPr>
        <w:spacing w:line="480" w:lineRule="auto"/>
        <w:jc w:val="both"/>
        <w:rPr>
          <w:rFonts w:ascii="Georgia" w:hAnsi="Georgia" w:cs="Arial"/>
          <w:sz w:val="24"/>
          <w:szCs w:val="24"/>
        </w:rPr>
      </w:pPr>
      <w:r w:rsidRPr="00E0051B">
        <w:rPr>
          <w:rFonts w:ascii="Georgia" w:hAnsi="Georgia" w:cs="Arial"/>
          <w:sz w:val="24"/>
          <w:szCs w:val="24"/>
        </w:rPr>
        <w:t>Katz, Cindi (20010 "Vagabond capitalism and the necessity of social reproduction." Antipode 33(4): 709-728.</w:t>
      </w:r>
    </w:p>
    <w:p w14:paraId="5301E3B7" w14:textId="77777777" w:rsidR="00E0051B" w:rsidRPr="00E0051B" w:rsidRDefault="00E0051B" w:rsidP="00E0051B">
      <w:pPr>
        <w:spacing w:line="480" w:lineRule="auto"/>
        <w:jc w:val="both"/>
        <w:rPr>
          <w:rFonts w:ascii="Georgia" w:hAnsi="Georgia" w:cs="Arial"/>
          <w:sz w:val="24"/>
          <w:szCs w:val="24"/>
        </w:rPr>
      </w:pPr>
      <w:proofErr w:type="spellStart"/>
      <w:r w:rsidRPr="00E0051B">
        <w:rPr>
          <w:rFonts w:ascii="Georgia" w:hAnsi="Georgia" w:cs="Arial"/>
          <w:sz w:val="24"/>
          <w:szCs w:val="24"/>
        </w:rPr>
        <w:t>Laslett</w:t>
      </w:r>
      <w:proofErr w:type="spellEnd"/>
      <w:r w:rsidRPr="00E0051B">
        <w:rPr>
          <w:rFonts w:ascii="Georgia" w:hAnsi="Georgia" w:cs="Arial"/>
          <w:sz w:val="24"/>
          <w:szCs w:val="24"/>
        </w:rPr>
        <w:t>, B., &amp; Brenner, J. (1989). Gender and Social Reproduction: Historical Perspectives. Annual Review of Sociology, 15: 381–404.http://www.jstor.org/stable/2083231</w:t>
      </w:r>
    </w:p>
    <w:p w14:paraId="0A89CC02" w14:textId="77777777" w:rsidR="00E0051B" w:rsidRPr="00E0051B" w:rsidRDefault="00E0051B" w:rsidP="00E0051B">
      <w:pPr>
        <w:spacing w:line="480" w:lineRule="auto"/>
        <w:jc w:val="both"/>
        <w:rPr>
          <w:rFonts w:ascii="Georgia" w:hAnsi="Georgia" w:cs="Arial"/>
          <w:sz w:val="24"/>
          <w:szCs w:val="24"/>
        </w:rPr>
      </w:pPr>
      <w:r w:rsidRPr="00E0051B">
        <w:rPr>
          <w:rFonts w:ascii="Georgia" w:hAnsi="Georgia" w:cs="Arial"/>
          <w:sz w:val="24"/>
          <w:szCs w:val="24"/>
        </w:rPr>
        <w:t>Morris, L. (2010) ‘Welfare, Asylum and the Politics of Judgment’, Journal of Social Policy 39: 119–138.</w:t>
      </w:r>
    </w:p>
    <w:p w14:paraId="63642B1C" w14:textId="77777777" w:rsidR="00E0051B" w:rsidRPr="00E0051B" w:rsidRDefault="00E0051B" w:rsidP="00E0051B">
      <w:pPr>
        <w:spacing w:line="480" w:lineRule="auto"/>
        <w:jc w:val="both"/>
        <w:rPr>
          <w:rFonts w:ascii="Georgia" w:hAnsi="Georgia" w:cs="Arial"/>
          <w:sz w:val="24"/>
          <w:szCs w:val="24"/>
        </w:rPr>
      </w:pPr>
      <w:proofErr w:type="spellStart"/>
      <w:r w:rsidRPr="00E0051B">
        <w:rPr>
          <w:rFonts w:ascii="Georgia" w:hAnsi="Georgia" w:cs="Arial"/>
          <w:sz w:val="24"/>
          <w:szCs w:val="24"/>
        </w:rPr>
        <w:t>Nedelsky</w:t>
      </w:r>
      <w:proofErr w:type="spellEnd"/>
      <w:r w:rsidRPr="00E0051B">
        <w:rPr>
          <w:rFonts w:ascii="Georgia" w:hAnsi="Georgia" w:cs="Arial"/>
          <w:sz w:val="24"/>
          <w:szCs w:val="24"/>
        </w:rPr>
        <w:t>, J (2011). Law's relations: A relational theory of self, autonomy, and law. OUP USA, 2011.</w:t>
      </w:r>
    </w:p>
    <w:p w14:paraId="14D6CED4" w14:textId="77777777" w:rsidR="00E0051B" w:rsidRPr="00E0051B" w:rsidRDefault="00E0051B" w:rsidP="00E0051B">
      <w:pPr>
        <w:spacing w:line="480" w:lineRule="auto"/>
        <w:jc w:val="both"/>
        <w:rPr>
          <w:rStyle w:val="xcontentpasted0"/>
          <w:rFonts w:ascii="Georgia" w:hAnsi="Georgia" w:cs="Arial"/>
          <w:color w:val="000000"/>
          <w:sz w:val="24"/>
          <w:szCs w:val="24"/>
          <w:bdr w:val="none" w:sz="0" w:space="0" w:color="auto" w:frame="1"/>
        </w:rPr>
      </w:pPr>
      <w:proofErr w:type="spellStart"/>
      <w:r w:rsidRPr="00E0051B">
        <w:rPr>
          <w:rStyle w:val="xcontentpasted0"/>
          <w:rFonts w:ascii="Georgia" w:hAnsi="Georgia" w:cs="Arial"/>
          <w:color w:val="000000"/>
          <w:sz w:val="24"/>
          <w:szCs w:val="24"/>
          <w:bdr w:val="none" w:sz="0" w:space="0" w:color="auto" w:frame="1"/>
        </w:rPr>
        <w:t>Nı</w:t>
      </w:r>
      <w:proofErr w:type="spellEnd"/>
      <w:r w:rsidRPr="00E0051B">
        <w:rPr>
          <w:rStyle w:val="xcontentpasted0"/>
          <w:rFonts w:ascii="Georgia" w:hAnsi="Georgia" w:cs="Arial"/>
          <w:color w:val="000000"/>
          <w:sz w:val="24"/>
          <w:szCs w:val="24"/>
          <w:bdr w:val="none" w:sz="0" w:space="0" w:color="auto" w:frame="1"/>
        </w:rPr>
        <w:t xml:space="preserve">´ </w:t>
      </w:r>
      <w:proofErr w:type="spellStart"/>
      <w:r w:rsidRPr="00E0051B">
        <w:rPr>
          <w:rStyle w:val="xcontentpasted0"/>
          <w:rFonts w:ascii="Georgia" w:hAnsi="Georgia" w:cs="Arial"/>
          <w:color w:val="000000"/>
          <w:sz w:val="24"/>
          <w:szCs w:val="24"/>
          <w:bdr w:val="none" w:sz="0" w:space="0" w:color="auto" w:frame="1"/>
        </w:rPr>
        <w:t>Aola´in</w:t>
      </w:r>
      <w:proofErr w:type="spellEnd"/>
      <w:r w:rsidRPr="00E0051B">
        <w:rPr>
          <w:rStyle w:val="xcontentpasted0"/>
          <w:rFonts w:ascii="Georgia" w:hAnsi="Georgia" w:cs="Arial"/>
          <w:color w:val="000000"/>
          <w:sz w:val="24"/>
          <w:szCs w:val="24"/>
          <w:bdr w:val="none" w:sz="0" w:space="0" w:color="auto" w:frame="1"/>
        </w:rPr>
        <w:t xml:space="preserve"> F (2009) Exploring a feminist theory of harm in the context of conflicted and </w:t>
      </w:r>
      <w:proofErr w:type="spellStart"/>
      <w:r w:rsidRPr="00E0051B">
        <w:rPr>
          <w:rStyle w:val="xcontentpasted0"/>
          <w:rFonts w:ascii="Georgia" w:hAnsi="Georgia" w:cs="Arial"/>
          <w:color w:val="000000"/>
          <w:sz w:val="24"/>
          <w:szCs w:val="24"/>
          <w:bdr w:val="none" w:sz="0" w:space="0" w:color="auto" w:frame="1"/>
        </w:rPr>
        <w:t>postconflict</w:t>
      </w:r>
      <w:proofErr w:type="spellEnd"/>
      <w:r w:rsidRPr="00E0051B">
        <w:rPr>
          <w:rStyle w:val="xcontentpasted0"/>
          <w:rFonts w:ascii="Georgia" w:hAnsi="Georgia" w:cs="Arial"/>
          <w:color w:val="000000"/>
          <w:sz w:val="24"/>
          <w:szCs w:val="24"/>
          <w:bdr w:val="none" w:sz="0" w:space="0" w:color="auto" w:frame="1"/>
        </w:rPr>
        <w:t xml:space="preserve"> societies. </w:t>
      </w:r>
      <w:r w:rsidRPr="00E0051B">
        <w:rPr>
          <w:rStyle w:val="xcontentpasted0"/>
          <w:rFonts w:ascii="Georgia" w:hAnsi="Georgia" w:cs="Arial"/>
          <w:i/>
          <w:iCs/>
          <w:color w:val="000000"/>
          <w:sz w:val="24"/>
          <w:szCs w:val="24"/>
          <w:bdr w:val="none" w:sz="0" w:space="0" w:color="auto" w:frame="1"/>
        </w:rPr>
        <w:t>Queen’s Law Journal</w:t>
      </w:r>
      <w:r w:rsidRPr="00E0051B">
        <w:rPr>
          <w:rStyle w:val="xcontentpasted0"/>
          <w:rFonts w:ascii="Georgia" w:hAnsi="Georgia" w:cs="Arial"/>
          <w:color w:val="000000"/>
          <w:sz w:val="24"/>
          <w:szCs w:val="24"/>
          <w:bdr w:val="none" w:sz="0" w:space="0" w:color="auto" w:frame="1"/>
        </w:rPr>
        <w:t> 35(1): 219–224</w:t>
      </w:r>
    </w:p>
    <w:p w14:paraId="0FC965F2" w14:textId="77777777" w:rsidR="00E0051B" w:rsidRPr="00E0051B" w:rsidRDefault="00E0051B" w:rsidP="00E0051B">
      <w:pPr>
        <w:spacing w:line="480" w:lineRule="auto"/>
        <w:jc w:val="both"/>
        <w:rPr>
          <w:rFonts w:ascii="Georgia" w:hAnsi="Georgia" w:cs="Arial"/>
          <w:sz w:val="24"/>
          <w:szCs w:val="24"/>
        </w:rPr>
      </w:pPr>
      <w:r w:rsidRPr="00E0051B">
        <w:rPr>
          <w:rFonts w:ascii="Georgia" w:hAnsi="Georgia" w:cs="Arial"/>
          <w:sz w:val="24"/>
          <w:szCs w:val="24"/>
        </w:rPr>
        <w:t>Rai, Shirin M (2024), Depletion: the costs of care and struggles to reverse it, New York: Oxford University Press</w:t>
      </w:r>
    </w:p>
    <w:p w14:paraId="3C58C0F8" w14:textId="77777777" w:rsidR="00E0051B" w:rsidRPr="00E0051B" w:rsidRDefault="00E0051B" w:rsidP="00E0051B">
      <w:pPr>
        <w:spacing w:line="480" w:lineRule="auto"/>
        <w:jc w:val="both"/>
        <w:rPr>
          <w:rFonts w:ascii="Georgia" w:hAnsi="Georgia" w:cs="Arial"/>
          <w:sz w:val="24"/>
          <w:szCs w:val="24"/>
        </w:rPr>
      </w:pPr>
      <w:r w:rsidRPr="00E0051B">
        <w:rPr>
          <w:rFonts w:ascii="Georgia" w:hAnsi="Georgia" w:cs="Arial"/>
          <w:sz w:val="24"/>
          <w:szCs w:val="24"/>
        </w:rPr>
        <w:t xml:space="preserve">Rai, Shirin M., Benjamin D. Brown, and Kanchana N. </w:t>
      </w:r>
      <w:proofErr w:type="spellStart"/>
      <w:r w:rsidRPr="00E0051B">
        <w:rPr>
          <w:rFonts w:ascii="Georgia" w:hAnsi="Georgia" w:cs="Arial"/>
          <w:sz w:val="24"/>
          <w:szCs w:val="24"/>
        </w:rPr>
        <w:t>Ruwanpura</w:t>
      </w:r>
      <w:proofErr w:type="spellEnd"/>
      <w:r w:rsidRPr="00E0051B">
        <w:rPr>
          <w:rFonts w:ascii="Georgia" w:hAnsi="Georgia" w:cs="Arial"/>
          <w:sz w:val="24"/>
          <w:szCs w:val="24"/>
        </w:rPr>
        <w:t xml:space="preserve"> (2019) "SDG 8: Decent work and economic growth–A gendered analysis." World Development 113: 368-380.</w:t>
      </w:r>
    </w:p>
    <w:p w14:paraId="33EFAB95" w14:textId="77777777" w:rsidR="00E0051B" w:rsidRPr="00E0051B" w:rsidRDefault="00E0051B" w:rsidP="00E0051B">
      <w:pPr>
        <w:spacing w:line="480" w:lineRule="auto"/>
        <w:jc w:val="both"/>
        <w:rPr>
          <w:rFonts w:ascii="Georgia" w:hAnsi="Georgia" w:cs="Arial"/>
          <w:sz w:val="24"/>
          <w:szCs w:val="24"/>
        </w:rPr>
      </w:pPr>
      <w:r w:rsidRPr="00E0051B">
        <w:rPr>
          <w:rFonts w:ascii="Georgia" w:hAnsi="Georgia" w:cs="Arial"/>
          <w:sz w:val="24"/>
          <w:szCs w:val="24"/>
        </w:rPr>
        <w:lastRenderedPageBreak/>
        <w:t xml:space="preserve">Rai, Shirin M. Catherine </w:t>
      </w:r>
      <w:proofErr w:type="spellStart"/>
      <w:r w:rsidRPr="00E0051B">
        <w:rPr>
          <w:rFonts w:ascii="Georgia" w:hAnsi="Georgia" w:cs="Arial"/>
          <w:sz w:val="24"/>
          <w:szCs w:val="24"/>
        </w:rPr>
        <w:t>Hoskyns</w:t>
      </w:r>
      <w:proofErr w:type="spellEnd"/>
      <w:r w:rsidRPr="00E0051B">
        <w:rPr>
          <w:rFonts w:ascii="Georgia" w:hAnsi="Georgia" w:cs="Arial"/>
          <w:sz w:val="24"/>
          <w:szCs w:val="24"/>
        </w:rPr>
        <w:t xml:space="preserve"> &amp; Dania Thomas (2014) Depletion, International Feminist Journal of Politics, 16:1, 86-105. </w:t>
      </w:r>
    </w:p>
    <w:p w14:paraId="0C964388" w14:textId="77777777" w:rsidR="00E0051B" w:rsidRPr="00E0051B" w:rsidRDefault="00E0051B" w:rsidP="00E0051B">
      <w:pPr>
        <w:spacing w:line="480" w:lineRule="auto"/>
        <w:jc w:val="both"/>
        <w:rPr>
          <w:rFonts w:ascii="Georgia" w:hAnsi="Georgia" w:cs="Arial"/>
          <w:sz w:val="24"/>
          <w:szCs w:val="24"/>
        </w:rPr>
      </w:pPr>
      <w:proofErr w:type="spellStart"/>
      <w:r w:rsidRPr="00E0051B">
        <w:rPr>
          <w:rFonts w:ascii="Georgia" w:hAnsi="Georgia" w:cs="Arial"/>
          <w:sz w:val="24"/>
          <w:szCs w:val="24"/>
        </w:rPr>
        <w:t>Reagon</w:t>
      </w:r>
      <w:proofErr w:type="spellEnd"/>
      <w:r w:rsidRPr="00E0051B">
        <w:rPr>
          <w:rFonts w:ascii="Georgia" w:hAnsi="Georgia" w:cs="Arial"/>
          <w:sz w:val="24"/>
          <w:szCs w:val="24"/>
        </w:rPr>
        <w:t>, Bernice Johnson (1981) Coalition Politics: Turning the Century. Presentation at the West Coast Women’s Music Festival 1981, Yosemite National Forest, California</w:t>
      </w:r>
    </w:p>
    <w:p w14:paraId="7BA9680F" w14:textId="77777777" w:rsidR="00E0051B" w:rsidRPr="00E0051B" w:rsidRDefault="00E0051B" w:rsidP="00E0051B">
      <w:pPr>
        <w:spacing w:line="480" w:lineRule="auto"/>
        <w:jc w:val="both"/>
        <w:rPr>
          <w:rFonts w:ascii="Georgia" w:hAnsi="Georgia" w:cs="Arial"/>
          <w:sz w:val="24"/>
          <w:szCs w:val="24"/>
        </w:rPr>
      </w:pPr>
      <w:r w:rsidRPr="00E0051B">
        <w:rPr>
          <w:rFonts w:ascii="Georgia" w:hAnsi="Georgia" w:cs="Arial"/>
          <w:sz w:val="24"/>
          <w:szCs w:val="24"/>
        </w:rPr>
        <w:t xml:space="preserve">UNICEF (2016): Collecting water is often a colossal waste of time for women and girls - </w:t>
      </w:r>
      <w:hyperlink r:id="rId9" w:history="1">
        <w:r w:rsidRPr="00E0051B">
          <w:rPr>
            <w:rStyle w:val="Hyperlink"/>
            <w:rFonts w:ascii="Georgia" w:hAnsi="Georgia" w:cs="Arial"/>
            <w:sz w:val="24"/>
            <w:szCs w:val="24"/>
          </w:rPr>
          <w:t>https://www.unicef.org/press-releases/unicef-collecting-water-often-colossal-waste-time-women-and-girls</w:t>
        </w:r>
      </w:hyperlink>
    </w:p>
    <w:p w14:paraId="02969BE5" w14:textId="2D09F55F" w:rsidR="00E12E90" w:rsidRPr="00E0051B" w:rsidRDefault="00E0051B" w:rsidP="00E0051B">
      <w:pPr>
        <w:spacing w:line="480" w:lineRule="auto"/>
        <w:jc w:val="both"/>
        <w:rPr>
          <w:rFonts w:ascii="Georgia" w:hAnsi="Georgia" w:cs="Arial"/>
          <w:sz w:val="24"/>
          <w:szCs w:val="24"/>
          <w:lang w:val="en-US"/>
        </w:rPr>
      </w:pPr>
      <w:r w:rsidRPr="00E0051B">
        <w:rPr>
          <w:rFonts w:ascii="Georgia" w:hAnsi="Georgia" w:cs="Arial"/>
          <w:sz w:val="24"/>
          <w:szCs w:val="24"/>
        </w:rPr>
        <w:t>Sankey, Diana, (2015) Gendered experiences of subsistence harms: A possible contribution to feminist discourse on gendered harm? Social &amp; Legal Studies</w:t>
      </w:r>
    </w:p>
    <w:sectPr w:rsidR="00E12E90" w:rsidRPr="00E0051B" w:rsidSect="00351423">
      <w:headerReference w:type="even" r:id="rId10"/>
      <w:headerReference w:type="default" r:id="rId11"/>
      <w:footerReference w:type="even"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57E72" w14:textId="77777777" w:rsidR="00500927" w:rsidRDefault="00500927" w:rsidP="00351423">
      <w:pPr>
        <w:spacing w:line="240" w:lineRule="auto"/>
      </w:pPr>
      <w:r>
        <w:separator/>
      </w:r>
    </w:p>
  </w:endnote>
  <w:endnote w:type="continuationSeparator" w:id="0">
    <w:p w14:paraId="06F28E5E" w14:textId="77777777" w:rsidR="00500927" w:rsidRDefault="00500927" w:rsidP="003514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86019"/>
      <w:docPartObj>
        <w:docPartGallery w:val="Page Numbers (Bottom of Page)"/>
        <w:docPartUnique/>
      </w:docPartObj>
    </w:sdtPr>
    <w:sdtContent>
      <w:p w14:paraId="52786D06" w14:textId="77777777" w:rsidR="00AA73F6" w:rsidRDefault="00AA73F6">
        <w:pPr>
          <w:pStyle w:val="Footer"/>
          <w:jc w:val="center"/>
        </w:pPr>
        <w:r>
          <w:t>__________________________________________________________________________________</w:t>
        </w:r>
      </w:p>
      <w:p w14:paraId="70FB5EEF" w14:textId="77777777" w:rsidR="00AC2874" w:rsidRDefault="00AC2874">
        <w:pPr>
          <w:pStyle w:val="Footer"/>
          <w:jc w:val="center"/>
        </w:pPr>
      </w:p>
      <w:p w14:paraId="7675FC45" w14:textId="77777777" w:rsidR="00AA73F6" w:rsidRDefault="0099188B">
        <w:pPr>
          <w:pStyle w:val="Footer"/>
          <w:jc w:val="center"/>
        </w:pPr>
        <w:r>
          <w:fldChar w:fldCharType="begin"/>
        </w:r>
        <w:r>
          <w:instrText xml:space="preserve"> PAGE   \* MERGEFORMAT </w:instrText>
        </w:r>
        <w:r>
          <w:fldChar w:fldCharType="separate"/>
        </w:r>
        <w:r w:rsidR="009F084A">
          <w:rPr>
            <w:noProof/>
          </w:rPr>
          <w:t>4</w:t>
        </w:r>
        <w:r>
          <w:rPr>
            <w:noProof/>
          </w:rPr>
          <w:fldChar w:fldCharType="end"/>
        </w:r>
      </w:p>
    </w:sdtContent>
  </w:sdt>
  <w:p w14:paraId="275BD03D" w14:textId="77777777" w:rsidR="00AA73F6" w:rsidRDefault="00AA73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86015"/>
      <w:docPartObj>
        <w:docPartGallery w:val="Page Numbers (Bottom of Page)"/>
        <w:docPartUnique/>
      </w:docPartObj>
    </w:sdtPr>
    <w:sdtContent>
      <w:p w14:paraId="1364BEB2" w14:textId="77777777" w:rsidR="00AA73F6" w:rsidRDefault="00AA73F6">
        <w:pPr>
          <w:pStyle w:val="Footer"/>
          <w:jc w:val="center"/>
        </w:pPr>
        <w:r>
          <w:t>__________________________________________________________________________________</w:t>
        </w:r>
      </w:p>
      <w:p w14:paraId="1AF46A57" w14:textId="77777777" w:rsidR="00AC2874" w:rsidRDefault="00AC2874">
        <w:pPr>
          <w:pStyle w:val="Footer"/>
          <w:jc w:val="center"/>
        </w:pPr>
      </w:p>
      <w:p w14:paraId="2DA03D82" w14:textId="77777777" w:rsidR="00351423" w:rsidRDefault="0099188B">
        <w:pPr>
          <w:pStyle w:val="Footer"/>
          <w:jc w:val="center"/>
        </w:pPr>
        <w:r>
          <w:fldChar w:fldCharType="begin"/>
        </w:r>
        <w:r>
          <w:instrText xml:space="preserve"> PAGE   \* MERGEFORMAT </w:instrText>
        </w:r>
        <w:r>
          <w:fldChar w:fldCharType="separate"/>
        </w:r>
        <w:r w:rsidR="009F084A">
          <w:rPr>
            <w:noProof/>
          </w:rPr>
          <w:t>3</w:t>
        </w:r>
        <w:r>
          <w:rPr>
            <w:noProof/>
          </w:rPr>
          <w:fldChar w:fldCharType="end"/>
        </w:r>
      </w:p>
    </w:sdtContent>
  </w:sdt>
  <w:p w14:paraId="77647D03" w14:textId="77777777" w:rsidR="00351423" w:rsidRDefault="003514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CA79E" w14:textId="77777777" w:rsidR="00500927" w:rsidRDefault="00500927" w:rsidP="00351423">
      <w:pPr>
        <w:spacing w:line="240" w:lineRule="auto"/>
      </w:pPr>
      <w:r>
        <w:separator/>
      </w:r>
    </w:p>
  </w:footnote>
  <w:footnote w:type="continuationSeparator" w:id="0">
    <w:p w14:paraId="7472A170" w14:textId="77777777" w:rsidR="00500927" w:rsidRDefault="00500927" w:rsidP="00351423">
      <w:pPr>
        <w:spacing w:line="240" w:lineRule="auto"/>
      </w:pPr>
      <w:r>
        <w:continuationSeparator/>
      </w:r>
    </w:p>
  </w:footnote>
  <w:footnote w:id="1">
    <w:p w14:paraId="33779718" w14:textId="377B8D67" w:rsidR="00351423" w:rsidRPr="0021279A" w:rsidRDefault="00351423" w:rsidP="0021279A">
      <w:pPr>
        <w:pStyle w:val="FootnoteText"/>
        <w:spacing w:line="360" w:lineRule="auto"/>
        <w:rPr>
          <w:rFonts w:ascii="Georgia" w:hAnsi="Georgia" w:cs="Arial"/>
          <w:sz w:val="24"/>
          <w:szCs w:val="24"/>
          <w:lang w:val="en-US"/>
        </w:rPr>
      </w:pPr>
      <w:r w:rsidRPr="0021279A">
        <w:rPr>
          <w:rStyle w:val="FootnoteReference"/>
          <w:rFonts w:ascii="Georgia" w:hAnsi="Georgia"/>
        </w:rPr>
        <w:t>*</w:t>
      </w:r>
      <w:r w:rsidR="001F7476" w:rsidRPr="001F7476">
        <w:rPr>
          <w:rFonts w:ascii="Georgia" w:hAnsi="Georgia"/>
          <w:bCs/>
          <w:lang w:val="en-US"/>
        </w:rPr>
        <w:t>SOAS, University of London</w:t>
      </w:r>
      <w:r w:rsidR="001F7476">
        <w:rPr>
          <w:rFonts w:ascii="Georgia" w:hAnsi="Georgia"/>
          <w:bCs/>
          <w:lang w:val="en-US"/>
        </w:rPr>
        <w:t>, UK</w:t>
      </w:r>
      <w:r w:rsidR="00AE3940" w:rsidRPr="0021279A">
        <w:rPr>
          <w:rFonts w:ascii="Georgia" w:hAnsi="Georgia"/>
          <w:bCs/>
        </w:rPr>
        <w:t>:</w:t>
      </w:r>
      <w:r w:rsidR="00AE3940" w:rsidRPr="0021279A">
        <w:rPr>
          <w:rFonts w:ascii="Georgia" w:hAnsi="Georgia"/>
          <w:b/>
        </w:rPr>
        <w:t xml:space="preserve"> </w:t>
      </w:r>
      <w:hyperlink r:id="rId1" w:history="1">
        <w:r w:rsidR="00E0051B" w:rsidRPr="00E431FC">
          <w:rPr>
            <w:rStyle w:val="Hyperlink"/>
            <w:rFonts w:ascii="Georgia" w:hAnsi="Georgia"/>
          </w:rPr>
          <w:t>sr86@soas.ac.uk</w:t>
        </w:r>
      </w:hyperlink>
      <w:r w:rsidR="00E0051B">
        <w:rPr>
          <w:rFonts w:ascii="Georgia" w:hAnsi="Georgia"/>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1C1DB" w14:textId="564D7CEC" w:rsidR="00351423" w:rsidRDefault="001F7476">
    <w:pPr>
      <w:pStyle w:val="Header"/>
    </w:pPr>
    <w:r w:rsidRPr="009C70D6">
      <w:rPr>
        <w:rFonts w:ascii="Arial" w:hAnsi="Arial" w:cs="Arial"/>
        <w:lang w:val="en-US"/>
      </w:rPr>
      <w:t>Shirin M. Rai</w:t>
    </w:r>
    <w:r w:rsidR="00E16D1F">
      <w:rPr>
        <w:rFonts w:ascii="Arial" w:hAnsi="Arial" w:cs="Arial"/>
      </w:rPr>
      <w:tab/>
    </w:r>
    <w:r w:rsidR="00AC2874">
      <w:tab/>
    </w:r>
    <w:r w:rsidRPr="001F7476">
      <w:rPr>
        <w:bCs/>
      </w:rPr>
      <w:t>Social Reproduction and Depletion</w:t>
    </w:r>
  </w:p>
  <w:p w14:paraId="2486E10D" w14:textId="77777777" w:rsidR="00351423" w:rsidRDefault="00351423">
    <w:pPr>
      <w:pStyle w:val="Header"/>
    </w:pPr>
    <w:r>
      <w:t>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348FD" w14:textId="42EBF15C" w:rsidR="00351423" w:rsidRPr="00AC2874" w:rsidRDefault="00351423">
    <w:pPr>
      <w:pStyle w:val="Header"/>
    </w:pPr>
    <w:proofErr w:type="spellStart"/>
    <w:r w:rsidRPr="00AC2874">
      <w:rPr>
        <w:i/>
      </w:rPr>
      <w:t>feminists@law</w:t>
    </w:r>
    <w:proofErr w:type="spellEnd"/>
    <w:r w:rsidR="00AC2874">
      <w:tab/>
    </w:r>
    <w:r w:rsidR="00AC2874">
      <w:tab/>
      <w:t xml:space="preserve">Vol </w:t>
    </w:r>
    <w:r w:rsidR="00FD35B2">
      <w:t>12</w:t>
    </w:r>
    <w:r w:rsidR="00AC2874">
      <w:t xml:space="preserve">, No </w:t>
    </w:r>
    <w:r w:rsidR="00FD35B2">
      <w:t>2</w:t>
    </w:r>
    <w:r w:rsidR="00AC2874">
      <w:t xml:space="preserve"> (</w:t>
    </w:r>
    <w:r w:rsidR="00FD35B2">
      <w:t>2023</w:t>
    </w:r>
    <w:r w:rsidR="00AC2874">
      <w:t>)</w:t>
    </w:r>
  </w:p>
  <w:p w14:paraId="0A83E84E" w14:textId="77777777" w:rsidR="00351423" w:rsidRDefault="00351423">
    <w:pPr>
      <w:pStyle w:val="Header"/>
    </w:pPr>
    <w:r>
      <w:t>__________________________________________________________________________________</w:t>
    </w:r>
  </w:p>
  <w:p w14:paraId="0173BC60" w14:textId="77777777" w:rsidR="00351423" w:rsidRDefault="003514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D63DF"/>
    <w:multiLevelType w:val="hybridMultilevel"/>
    <w:tmpl w:val="5C48B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05BB1"/>
    <w:multiLevelType w:val="hybridMultilevel"/>
    <w:tmpl w:val="DF2058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241D8A"/>
    <w:multiLevelType w:val="hybridMultilevel"/>
    <w:tmpl w:val="CFBE3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5744AA"/>
    <w:multiLevelType w:val="hybridMultilevel"/>
    <w:tmpl w:val="AB2C5C76"/>
    <w:lvl w:ilvl="0" w:tplc="4F2E213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71428A"/>
    <w:multiLevelType w:val="hybridMultilevel"/>
    <w:tmpl w:val="EA0AF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4052F0"/>
    <w:multiLevelType w:val="hybridMultilevel"/>
    <w:tmpl w:val="A8C661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3235374"/>
    <w:multiLevelType w:val="hybridMultilevel"/>
    <w:tmpl w:val="0388CBAE"/>
    <w:lvl w:ilvl="0" w:tplc="857A341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7A6B3EFE"/>
    <w:multiLevelType w:val="multilevel"/>
    <w:tmpl w:val="2EB4F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E194F13"/>
    <w:multiLevelType w:val="multilevel"/>
    <w:tmpl w:val="2EB4F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41017352">
    <w:abstractNumId w:val="1"/>
  </w:num>
  <w:num w:numId="2" w16cid:durableId="818768226">
    <w:abstractNumId w:val="5"/>
  </w:num>
  <w:num w:numId="3" w16cid:durableId="472256164">
    <w:abstractNumId w:val="4"/>
  </w:num>
  <w:num w:numId="4" w16cid:durableId="887840421">
    <w:abstractNumId w:val="6"/>
  </w:num>
  <w:num w:numId="5" w16cid:durableId="973565811">
    <w:abstractNumId w:val="2"/>
  </w:num>
  <w:num w:numId="6" w16cid:durableId="821044492">
    <w:abstractNumId w:val="7"/>
    <w:lvlOverride w:ilvl="0">
      <w:startOverride w:val="34"/>
    </w:lvlOverride>
  </w:num>
  <w:num w:numId="7" w16cid:durableId="2035496480">
    <w:abstractNumId w:val="7"/>
    <w:lvlOverride w:ilvl="0">
      <w:startOverride w:val="35"/>
    </w:lvlOverride>
  </w:num>
  <w:num w:numId="8" w16cid:durableId="1411199191">
    <w:abstractNumId w:val="8"/>
  </w:num>
  <w:num w:numId="9" w16cid:durableId="214895163">
    <w:abstractNumId w:val="0"/>
  </w:num>
  <w:num w:numId="10" w16cid:durableId="12836092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423"/>
    <w:rsid w:val="00043082"/>
    <w:rsid w:val="001344AD"/>
    <w:rsid w:val="001529BB"/>
    <w:rsid w:val="001F7476"/>
    <w:rsid w:val="0021279A"/>
    <w:rsid w:val="002C4672"/>
    <w:rsid w:val="00336B6D"/>
    <w:rsid w:val="00351423"/>
    <w:rsid w:val="00453FFD"/>
    <w:rsid w:val="00481050"/>
    <w:rsid w:val="004C2790"/>
    <w:rsid w:val="004F06A7"/>
    <w:rsid w:val="004F5099"/>
    <w:rsid w:val="00500927"/>
    <w:rsid w:val="00505AE9"/>
    <w:rsid w:val="00525C26"/>
    <w:rsid w:val="00540677"/>
    <w:rsid w:val="0054650F"/>
    <w:rsid w:val="005574A4"/>
    <w:rsid w:val="005A7D93"/>
    <w:rsid w:val="005F4490"/>
    <w:rsid w:val="00610326"/>
    <w:rsid w:val="0062122D"/>
    <w:rsid w:val="0063404E"/>
    <w:rsid w:val="00652FA8"/>
    <w:rsid w:val="006A2A6C"/>
    <w:rsid w:val="007A0074"/>
    <w:rsid w:val="00832FC1"/>
    <w:rsid w:val="00871AFE"/>
    <w:rsid w:val="00880A3C"/>
    <w:rsid w:val="0099188B"/>
    <w:rsid w:val="009F084A"/>
    <w:rsid w:val="00A50AC3"/>
    <w:rsid w:val="00AA73F6"/>
    <w:rsid w:val="00AC2874"/>
    <w:rsid w:val="00AE3940"/>
    <w:rsid w:val="00B012CE"/>
    <w:rsid w:val="00B666FD"/>
    <w:rsid w:val="00C041D0"/>
    <w:rsid w:val="00E0051B"/>
    <w:rsid w:val="00E12E90"/>
    <w:rsid w:val="00E16D1F"/>
    <w:rsid w:val="00E51FF6"/>
    <w:rsid w:val="00F2636B"/>
    <w:rsid w:val="00F362BB"/>
    <w:rsid w:val="00FD35B2"/>
    <w:rsid w:val="00FF11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0D3F2"/>
  <w15:docId w15:val="{344513EB-1F11-4870-B71F-9C76D30FF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099"/>
  </w:style>
  <w:style w:type="paragraph" w:styleId="Heading1">
    <w:name w:val="heading 1"/>
    <w:basedOn w:val="Normal"/>
    <w:next w:val="Normal"/>
    <w:link w:val="Heading1Char"/>
    <w:uiPriority w:val="9"/>
    <w:qFormat/>
    <w:rsid w:val="00FD35B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D35B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1423"/>
    <w:pPr>
      <w:tabs>
        <w:tab w:val="center" w:pos="4513"/>
        <w:tab w:val="right" w:pos="9026"/>
      </w:tabs>
      <w:spacing w:line="240" w:lineRule="auto"/>
    </w:pPr>
  </w:style>
  <w:style w:type="character" w:customStyle="1" w:styleId="HeaderChar">
    <w:name w:val="Header Char"/>
    <w:basedOn w:val="DefaultParagraphFont"/>
    <w:link w:val="Header"/>
    <w:uiPriority w:val="99"/>
    <w:rsid w:val="00351423"/>
  </w:style>
  <w:style w:type="paragraph" w:styleId="Footer">
    <w:name w:val="footer"/>
    <w:basedOn w:val="Normal"/>
    <w:link w:val="FooterChar"/>
    <w:uiPriority w:val="99"/>
    <w:unhideWhenUsed/>
    <w:rsid w:val="00351423"/>
    <w:pPr>
      <w:tabs>
        <w:tab w:val="center" w:pos="4513"/>
        <w:tab w:val="right" w:pos="9026"/>
      </w:tabs>
      <w:spacing w:line="240" w:lineRule="auto"/>
    </w:pPr>
  </w:style>
  <w:style w:type="character" w:customStyle="1" w:styleId="FooterChar">
    <w:name w:val="Footer Char"/>
    <w:basedOn w:val="DefaultParagraphFont"/>
    <w:link w:val="Footer"/>
    <w:uiPriority w:val="99"/>
    <w:rsid w:val="00351423"/>
  </w:style>
  <w:style w:type="paragraph" w:styleId="BalloonText">
    <w:name w:val="Balloon Text"/>
    <w:basedOn w:val="Normal"/>
    <w:link w:val="BalloonTextChar"/>
    <w:uiPriority w:val="99"/>
    <w:semiHidden/>
    <w:unhideWhenUsed/>
    <w:rsid w:val="0035142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1423"/>
    <w:rPr>
      <w:rFonts w:ascii="Tahoma" w:hAnsi="Tahoma" w:cs="Tahoma"/>
      <w:sz w:val="16"/>
      <w:szCs w:val="16"/>
    </w:rPr>
  </w:style>
  <w:style w:type="paragraph" w:styleId="FootnoteText">
    <w:name w:val="footnote text"/>
    <w:basedOn w:val="Normal"/>
    <w:link w:val="FootnoteTextChar"/>
    <w:uiPriority w:val="99"/>
    <w:unhideWhenUsed/>
    <w:rsid w:val="00351423"/>
    <w:pPr>
      <w:spacing w:line="240" w:lineRule="auto"/>
    </w:pPr>
    <w:rPr>
      <w:sz w:val="20"/>
      <w:szCs w:val="20"/>
    </w:rPr>
  </w:style>
  <w:style w:type="character" w:customStyle="1" w:styleId="FootnoteTextChar">
    <w:name w:val="Footnote Text Char"/>
    <w:basedOn w:val="DefaultParagraphFont"/>
    <w:link w:val="FootnoteText"/>
    <w:uiPriority w:val="99"/>
    <w:rsid w:val="00351423"/>
    <w:rPr>
      <w:sz w:val="20"/>
      <w:szCs w:val="20"/>
    </w:rPr>
  </w:style>
  <w:style w:type="character" w:styleId="FootnoteReference">
    <w:name w:val="footnote reference"/>
    <w:basedOn w:val="DefaultParagraphFont"/>
    <w:uiPriority w:val="99"/>
    <w:semiHidden/>
    <w:unhideWhenUsed/>
    <w:rsid w:val="00351423"/>
    <w:rPr>
      <w:vertAlign w:val="superscript"/>
    </w:rPr>
  </w:style>
  <w:style w:type="character" w:styleId="Hyperlink">
    <w:name w:val="Hyperlink"/>
    <w:basedOn w:val="DefaultParagraphFont"/>
    <w:uiPriority w:val="99"/>
    <w:unhideWhenUsed/>
    <w:rsid w:val="00351423"/>
    <w:rPr>
      <w:color w:val="0000FF" w:themeColor="hyperlink"/>
      <w:u w:val="single"/>
    </w:rPr>
  </w:style>
  <w:style w:type="character" w:styleId="CommentReference">
    <w:name w:val="annotation reference"/>
    <w:basedOn w:val="DefaultParagraphFont"/>
    <w:uiPriority w:val="99"/>
    <w:semiHidden/>
    <w:unhideWhenUsed/>
    <w:rsid w:val="00610326"/>
    <w:rPr>
      <w:sz w:val="16"/>
      <w:szCs w:val="16"/>
    </w:rPr>
  </w:style>
  <w:style w:type="paragraph" w:styleId="CommentText">
    <w:name w:val="annotation text"/>
    <w:basedOn w:val="Normal"/>
    <w:link w:val="CommentTextChar"/>
    <w:uiPriority w:val="99"/>
    <w:unhideWhenUsed/>
    <w:rsid w:val="00610326"/>
    <w:pPr>
      <w:spacing w:line="240" w:lineRule="auto"/>
    </w:pPr>
    <w:rPr>
      <w:sz w:val="20"/>
      <w:szCs w:val="20"/>
    </w:rPr>
  </w:style>
  <w:style w:type="character" w:customStyle="1" w:styleId="CommentTextChar">
    <w:name w:val="Comment Text Char"/>
    <w:basedOn w:val="DefaultParagraphFont"/>
    <w:link w:val="CommentText"/>
    <w:uiPriority w:val="99"/>
    <w:rsid w:val="00610326"/>
    <w:rPr>
      <w:sz w:val="20"/>
      <w:szCs w:val="20"/>
    </w:rPr>
  </w:style>
  <w:style w:type="paragraph" w:styleId="CommentSubject">
    <w:name w:val="annotation subject"/>
    <w:basedOn w:val="CommentText"/>
    <w:next w:val="CommentText"/>
    <w:link w:val="CommentSubjectChar"/>
    <w:uiPriority w:val="99"/>
    <w:semiHidden/>
    <w:unhideWhenUsed/>
    <w:rsid w:val="00610326"/>
    <w:rPr>
      <w:b/>
      <w:bCs/>
    </w:rPr>
  </w:style>
  <w:style w:type="character" w:customStyle="1" w:styleId="CommentSubjectChar">
    <w:name w:val="Comment Subject Char"/>
    <w:basedOn w:val="CommentTextChar"/>
    <w:link w:val="CommentSubject"/>
    <w:uiPriority w:val="99"/>
    <w:semiHidden/>
    <w:rsid w:val="00610326"/>
    <w:rPr>
      <w:b/>
      <w:bCs/>
      <w:sz w:val="20"/>
      <w:szCs w:val="20"/>
    </w:rPr>
  </w:style>
  <w:style w:type="character" w:customStyle="1" w:styleId="Heading1Char">
    <w:name w:val="Heading 1 Char"/>
    <w:basedOn w:val="DefaultParagraphFont"/>
    <w:link w:val="Heading1"/>
    <w:uiPriority w:val="9"/>
    <w:rsid w:val="00FD35B2"/>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FD35B2"/>
    <w:rPr>
      <w:color w:val="605E5C"/>
      <w:shd w:val="clear" w:color="auto" w:fill="E1DFDD"/>
    </w:rPr>
  </w:style>
  <w:style w:type="character" w:customStyle="1" w:styleId="Heading2Char">
    <w:name w:val="Heading 2 Char"/>
    <w:basedOn w:val="DefaultParagraphFont"/>
    <w:link w:val="Heading2"/>
    <w:uiPriority w:val="9"/>
    <w:rsid w:val="00FD35B2"/>
    <w:rPr>
      <w:rFonts w:asciiTheme="majorHAnsi" w:eastAsiaTheme="majorEastAsia" w:hAnsiTheme="majorHAnsi" w:cstheme="majorBidi"/>
      <w:color w:val="365F91" w:themeColor="accent1" w:themeShade="BF"/>
      <w:sz w:val="26"/>
      <w:szCs w:val="26"/>
    </w:rPr>
  </w:style>
  <w:style w:type="character" w:styleId="Strong">
    <w:name w:val="Strong"/>
    <w:basedOn w:val="DefaultParagraphFont"/>
    <w:uiPriority w:val="22"/>
    <w:qFormat/>
    <w:rsid w:val="00FD35B2"/>
    <w:rPr>
      <w:b/>
      <w:bCs/>
    </w:rPr>
  </w:style>
  <w:style w:type="character" w:styleId="Emphasis">
    <w:name w:val="Emphasis"/>
    <w:basedOn w:val="DefaultParagraphFont"/>
    <w:uiPriority w:val="20"/>
    <w:qFormat/>
    <w:rsid w:val="00FD35B2"/>
    <w:rPr>
      <w:i/>
      <w:iCs/>
    </w:rPr>
  </w:style>
  <w:style w:type="paragraph" w:styleId="NormalWeb">
    <w:name w:val="Normal (Web)"/>
    <w:basedOn w:val="Normal"/>
    <w:uiPriority w:val="99"/>
    <w:unhideWhenUsed/>
    <w:rsid w:val="00FD35B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FD35B2"/>
    <w:pPr>
      <w:spacing w:after="160" w:line="259" w:lineRule="auto"/>
      <w:ind w:left="720"/>
      <w:contextualSpacing/>
    </w:pPr>
  </w:style>
  <w:style w:type="character" w:customStyle="1" w:styleId="UnresolvedMention1">
    <w:name w:val="Unresolved Mention1"/>
    <w:basedOn w:val="DefaultParagraphFont"/>
    <w:uiPriority w:val="99"/>
    <w:semiHidden/>
    <w:unhideWhenUsed/>
    <w:rsid w:val="00FD35B2"/>
    <w:rPr>
      <w:color w:val="605E5C"/>
      <w:shd w:val="clear" w:color="auto" w:fill="E1DFDD"/>
    </w:rPr>
  </w:style>
  <w:style w:type="character" w:styleId="FollowedHyperlink">
    <w:name w:val="FollowedHyperlink"/>
    <w:basedOn w:val="DefaultParagraphFont"/>
    <w:uiPriority w:val="99"/>
    <w:semiHidden/>
    <w:unhideWhenUsed/>
    <w:rsid w:val="00FD35B2"/>
    <w:rPr>
      <w:color w:val="800080" w:themeColor="followedHyperlink"/>
      <w:u w:val="single"/>
    </w:rPr>
  </w:style>
  <w:style w:type="character" w:customStyle="1" w:styleId="UnresolvedMention2">
    <w:name w:val="Unresolved Mention2"/>
    <w:basedOn w:val="DefaultParagraphFont"/>
    <w:uiPriority w:val="99"/>
    <w:semiHidden/>
    <w:unhideWhenUsed/>
    <w:rsid w:val="00FD35B2"/>
    <w:rPr>
      <w:color w:val="605E5C"/>
      <w:shd w:val="clear" w:color="auto" w:fill="E1DFDD"/>
    </w:rPr>
  </w:style>
  <w:style w:type="character" w:customStyle="1" w:styleId="UnresolvedMention3">
    <w:name w:val="Unresolved Mention3"/>
    <w:basedOn w:val="DefaultParagraphFont"/>
    <w:uiPriority w:val="99"/>
    <w:semiHidden/>
    <w:unhideWhenUsed/>
    <w:rsid w:val="00FD35B2"/>
    <w:rPr>
      <w:color w:val="605E5C"/>
      <w:shd w:val="clear" w:color="auto" w:fill="E1DFDD"/>
    </w:rPr>
  </w:style>
  <w:style w:type="paragraph" w:styleId="Revision">
    <w:name w:val="Revision"/>
    <w:hidden/>
    <w:uiPriority w:val="99"/>
    <w:semiHidden/>
    <w:rsid w:val="00FD35B2"/>
    <w:pPr>
      <w:spacing w:line="240" w:lineRule="auto"/>
    </w:pPr>
  </w:style>
  <w:style w:type="character" w:customStyle="1" w:styleId="cf01">
    <w:name w:val="cf01"/>
    <w:basedOn w:val="DefaultParagraphFont"/>
    <w:rsid w:val="00FD35B2"/>
    <w:rPr>
      <w:rFonts w:ascii="Segoe UI" w:hAnsi="Segoe UI" w:cs="Segoe UI" w:hint="default"/>
      <w:sz w:val="18"/>
      <w:szCs w:val="18"/>
    </w:rPr>
  </w:style>
  <w:style w:type="paragraph" w:customStyle="1" w:styleId="xxxmsonormal">
    <w:name w:val="x_xxmsonormal"/>
    <w:basedOn w:val="Normal"/>
    <w:rsid w:val="00FD35B2"/>
    <w:pPr>
      <w:spacing w:line="240" w:lineRule="auto"/>
    </w:pPr>
    <w:rPr>
      <w:rFonts w:ascii="Calibri" w:hAnsi="Calibri" w:cs="Calibri"/>
      <w:lang w:eastAsia="en-GB"/>
    </w:rPr>
  </w:style>
  <w:style w:type="character" w:customStyle="1" w:styleId="smallcaps">
    <w:name w:val="smallcaps"/>
    <w:basedOn w:val="DefaultParagraphFont"/>
    <w:rsid w:val="00481050"/>
  </w:style>
  <w:style w:type="character" w:customStyle="1" w:styleId="a-size-extra-large">
    <w:name w:val="a-size-extra-large"/>
    <w:basedOn w:val="DefaultParagraphFont"/>
    <w:rsid w:val="00481050"/>
  </w:style>
  <w:style w:type="character" w:customStyle="1" w:styleId="xsurname">
    <w:name w:val="x_surname"/>
    <w:basedOn w:val="DefaultParagraphFont"/>
    <w:rsid w:val="00481050"/>
  </w:style>
  <w:style w:type="character" w:customStyle="1" w:styleId="xfirstname">
    <w:name w:val="x_firstname"/>
    <w:basedOn w:val="DefaultParagraphFont"/>
    <w:rsid w:val="00481050"/>
  </w:style>
  <w:style w:type="character" w:customStyle="1" w:styleId="xyear">
    <w:name w:val="x_year"/>
    <w:basedOn w:val="DefaultParagraphFont"/>
    <w:rsid w:val="00481050"/>
  </w:style>
  <w:style w:type="character" w:customStyle="1" w:styleId="xarticletitle">
    <w:name w:val="x_articletitle"/>
    <w:basedOn w:val="DefaultParagraphFont"/>
    <w:rsid w:val="00481050"/>
  </w:style>
  <w:style w:type="character" w:customStyle="1" w:styleId="xjournaltitle">
    <w:name w:val="x_journaltitle"/>
    <w:basedOn w:val="DefaultParagraphFont"/>
    <w:rsid w:val="00481050"/>
  </w:style>
  <w:style w:type="character" w:customStyle="1" w:styleId="xvolume">
    <w:name w:val="x_volume"/>
    <w:basedOn w:val="DefaultParagraphFont"/>
    <w:rsid w:val="00481050"/>
  </w:style>
  <w:style w:type="character" w:customStyle="1" w:styleId="xissue">
    <w:name w:val="x_issue"/>
    <w:basedOn w:val="DefaultParagraphFont"/>
    <w:rsid w:val="00481050"/>
  </w:style>
  <w:style w:type="character" w:customStyle="1" w:styleId="xpages">
    <w:name w:val="x_pages"/>
    <w:basedOn w:val="DefaultParagraphFont"/>
    <w:rsid w:val="00481050"/>
  </w:style>
  <w:style w:type="character" w:customStyle="1" w:styleId="xbooktitle">
    <w:name w:val="x_booktitle"/>
    <w:basedOn w:val="DefaultParagraphFont"/>
    <w:rsid w:val="00481050"/>
  </w:style>
  <w:style w:type="character" w:customStyle="1" w:styleId="xcity">
    <w:name w:val="x_city"/>
    <w:basedOn w:val="DefaultParagraphFont"/>
    <w:rsid w:val="00481050"/>
  </w:style>
  <w:style w:type="character" w:customStyle="1" w:styleId="xpublisher">
    <w:name w:val="x_publisher"/>
    <w:basedOn w:val="DefaultParagraphFont"/>
    <w:rsid w:val="00481050"/>
  </w:style>
  <w:style w:type="character" w:customStyle="1" w:styleId="authorname">
    <w:name w:val="authorname"/>
    <w:basedOn w:val="DefaultParagraphFont"/>
    <w:rsid w:val="00E12E90"/>
  </w:style>
  <w:style w:type="character" w:customStyle="1" w:styleId="arttitle">
    <w:name w:val="art_title"/>
    <w:basedOn w:val="DefaultParagraphFont"/>
    <w:rsid w:val="00E12E90"/>
  </w:style>
  <w:style w:type="character" w:customStyle="1" w:styleId="serialtitle">
    <w:name w:val="serial_title"/>
    <w:basedOn w:val="DefaultParagraphFont"/>
    <w:rsid w:val="00E12E90"/>
  </w:style>
  <w:style w:type="character" w:customStyle="1" w:styleId="volumeissue">
    <w:name w:val="volume_issue"/>
    <w:basedOn w:val="DefaultParagraphFont"/>
    <w:rsid w:val="00E12E90"/>
  </w:style>
  <w:style w:type="character" w:customStyle="1" w:styleId="pagerange">
    <w:name w:val="page_range"/>
    <w:basedOn w:val="DefaultParagraphFont"/>
    <w:rsid w:val="00E12E90"/>
  </w:style>
  <w:style w:type="character" w:customStyle="1" w:styleId="personname">
    <w:name w:val="person_name"/>
    <w:basedOn w:val="DefaultParagraphFont"/>
    <w:rsid w:val="00E12E90"/>
  </w:style>
  <w:style w:type="character" w:customStyle="1" w:styleId="markdlpqd9l8u">
    <w:name w:val="markdlpqd9l8u"/>
    <w:basedOn w:val="DefaultParagraphFont"/>
    <w:rsid w:val="00C041D0"/>
  </w:style>
  <w:style w:type="character" w:customStyle="1" w:styleId="Enfasi">
    <w:name w:val="Enfasi"/>
    <w:basedOn w:val="DefaultParagraphFont"/>
    <w:uiPriority w:val="20"/>
    <w:qFormat/>
    <w:rsid w:val="001344AD"/>
    <w:rPr>
      <w:i/>
      <w:iCs/>
    </w:rPr>
  </w:style>
  <w:style w:type="paragraph" w:customStyle="1" w:styleId="xxxmsonormal0">
    <w:name w:val="x_x_x_msonormal"/>
    <w:basedOn w:val="Normal"/>
    <w:rsid w:val="00E0051B"/>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character" w:customStyle="1" w:styleId="xcontentpasted0">
    <w:name w:val="x_contentpasted0"/>
    <w:basedOn w:val="DefaultParagraphFont"/>
    <w:rsid w:val="00E005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ur01.safelinks.protection.outlook.com/?url=https%3A%2F%2Fdoi.org%2F10.1007%2Fs11199-016-0579-0&amp;data=05%7C01%7CD.Alessandrini%40kent.ac.uk%7C2bdcb664dc3941c1153e08dbd6dad7b2%7C51a9fa563f32449aa7213e3f49aa5e9a%7C0%7C0%7C638340007633765465%7CUnknown%7CTWFpbGZsb3d8eyJWIjoiMC4wLjAwMDAiLCJQIjoiV2luMzIiLCJBTiI6Ik1haWwiLCJXVCI6Mn0%3D%7C3000%7C%7C%7C&amp;sdata=OD4oXTkdew6J7t6IdamxNgWDO0TD8PO%2FmAmvnYwdsmU%3D&amp;reserved=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nicef.org/press-releases/unicef-collecting-water-often-colossal-waste-time-women-and-girls"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sr86@soas.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4E081-E394-42D4-8978-B385824E4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2491</Words>
  <Characters>14200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KLS Staff</dc:creator>
  <cp:lastModifiedBy>Flora Renz</cp:lastModifiedBy>
  <cp:revision>4</cp:revision>
  <cp:lastPrinted>2023-12-03T11:47:00Z</cp:lastPrinted>
  <dcterms:created xsi:type="dcterms:W3CDTF">2023-12-03T11:49:00Z</dcterms:created>
  <dcterms:modified xsi:type="dcterms:W3CDTF">2023-12-03T14:15:00Z</dcterms:modified>
</cp:coreProperties>
</file>