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88261" w14:textId="6E7B68F2" w:rsidR="007519EA" w:rsidRPr="00380B6E" w:rsidRDefault="007519EA" w:rsidP="007F27B0">
      <w:pPr>
        <w:pStyle w:val="Title"/>
      </w:pPr>
      <w:r w:rsidRPr="00380B6E">
        <w:t>Introd</w:t>
      </w:r>
      <w:r w:rsidR="00CB1532" w:rsidRPr="00380B6E">
        <w:t xml:space="preserve">uction to the Special Section: </w:t>
      </w:r>
      <w:bookmarkStart w:id="0" w:name="_Hlk149822935"/>
      <w:r w:rsidR="00CB1532" w:rsidRPr="00380B6E">
        <w:t xml:space="preserve">Can </w:t>
      </w:r>
      <w:r w:rsidR="004B3B0A" w:rsidRPr="00380B6E">
        <w:t>C</w:t>
      </w:r>
      <w:r w:rsidR="00CB1532" w:rsidRPr="00380B6E">
        <w:t xml:space="preserve">riminal </w:t>
      </w:r>
      <w:r w:rsidR="004B3B0A" w:rsidRPr="00380B6E">
        <w:t>J</w:t>
      </w:r>
      <w:r w:rsidR="00CB1532" w:rsidRPr="00380B6E">
        <w:t xml:space="preserve">ustice </w:t>
      </w:r>
      <w:r w:rsidR="004B3B0A" w:rsidRPr="00380B6E">
        <w:t>R</w:t>
      </w:r>
      <w:r w:rsidR="00CB1532" w:rsidRPr="00380B6E">
        <w:t xml:space="preserve">esponses </w:t>
      </w:r>
      <w:r w:rsidR="004B3B0A" w:rsidRPr="00380B6E">
        <w:t>E</w:t>
      </w:r>
      <w:r w:rsidR="00CB1532" w:rsidRPr="00380B6E">
        <w:t xml:space="preserve">mpower </w:t>
      </w:r>
      <w:r w:rsidR="004B3B0A" w:rsidRPr="00380B6E">
        <w:t>W</w:t>
      </w:r>
      <w:r w:rsidR="00CB1532" w:rsidRPr="00380B6E">
        <w:t>omen? A Case Study of Domestic Abuse Disclosure Scheme</w:t>
      </w:r>
      <w:r w:rsidR="0003720A" w:rsidRPr="00380B6E">
        <w:t>s</w:t>
      </w:r>
    </w:p>
    <w:bookmarkEnd w:id="0"/>
    <w:p w14:paraId="7C4AEB72" w14:textId="77777777" w:rsidR="00CB1532" w:rsidRDefault="00CB1532" w:rsidP="00F76FCE">
      <w:pPr>
        <w:spacing w:line="276" w:lineRule="auto"/>
        <w:rPr>
          <w:rFonts w:cstheme="minorHAnsi"/>
          <w:color w:val="000000"/>
          <w:shd w:val="clear" w:color="auto" w:fill="FFFFFF"/>
        </w:rPr>
      </w:pPr>
    </w:p>
    <w:p w14:paraId="291CF92C" w14:textId="77485A99" w:rsidR="00E95D4D" w:rsidRPr="008527C6" w:rsidRDefault="00E95D4D" w:rsidP="00F76FCE">
      <w:pPr>
        <w:spacing w:line="276" w:lineRule="auto"/>
        <w:rPr>
          <w:rFonts w:cstheme="minorHAnsi"/>
          <w:color w:val="000000"/>
          <w:shd w:val="clear" w:color="auto" w:fill="FFFFFF"/>
        </w:rPr>
      </w:pPr>
      <w:r w:rsidRPr="00916203">
        <w:rPr>
          <w:rFonts w:cstheme="minorHAnsi"/>
          <w:b/>
          <w:bCs/>
          <w:color w:val="000000"/>
          <w:shd w:val="clear" w:color="auto" w:fill="FFFFFF"/>
        </w:rPr>
        <w:t>Marian Duggan</w:t>
      </w:r>
      <w:r w:rsidR="001D02C7">
        <w:rPr>
          <w:rStyle w:val="FootnoteReference"/>
          <w:rFonts w:cstheme="minorHAnsi"/>
          <w:b/>
          <w:bCs/>
          <w:color w:val="000000"/>
          <w:shd w:val="clear" w:color="auto" w:fill="FFFFFF"/>
        </w:rPr>
        <w:footnoteReference w:customMarkFollows="1" w:id="1"/>
        <w:t>*</w:t>
      </w:r>
      <w:r>
        <w:rPr>
          <w:rFonts w:cstheme="minorHAnsi"/>
          <w:color w:val="000000"/>
          <w:shd w:val="clear" w:color="auto" w:fill="FFFFFF"/>
        </w:rPr>
        <w:t xml:space="preserve"> </w:t>
      </w:r>
      <w:r w:rsidR="003B415F">
        <w:rPr>
          <w:rFonts w:cstheme="minorHAnsi"/>
          <w:b/>
          <w:bCs/>
          <w:color w:val="000000"/>
          <w:shd w:val="clear" w:color="auto" w:fill="FFFFFF"/>
        </w:rPr>
        <w:t>and</w:t>
      </w:r>
      <w:r w:rsidR="001D02C7">
        <w:rPr>
          <w:rFonts w:cstheme="minorHAnsi"/>
          <w:color w:val="000000"/>
          <w:shd w:val="clear" w:color="auto" w:fill="FFFFFF"/>
        </w:rPr>
        <w:t xml:space="preserve"> </w:t>
      </w:r>
      <w:r w:rsidRPr="00916203">
        <w:rPr>
          <w:rFonts w:cstheme="minorHAnsi"/>
          <w:b/>
          <w:bCs/>
          <w:color w:val="000000"/>
          <w:shd w:val="clear" w:color="auto" w:fill="FFFFFF"/>
        </w:rPr>
        <w:t>Charlotte Barlow</w:t>
      </w:r>
      <w:r w:rsidR="003B415F">
        <w:rPr>
          <w:rStyle w:val="FootnoteReference"/>
          <w:rFonts w:cstheme="minorHAnsi"/>
          <w:b/>
          <w:bCs/>
          <w:color w:val="000000"/>
          <w:shd w:val="clear" w:color="auto" w:fill="FFFFFF"/>
        </w:rPr>
        <w:footnoteReference w:customMarkFollows="1" w:id="2"/>
        <w:t>**</w:t>
      </w:r>
      <w:r>
        <w:rPr>
          <w:rFonts w:cstheme="minorHAnsi"/>
          <w:color w:val="000000"/>
          <w:shd w:val="clear" w:color="auto" w:fill="FFFFFF"/>
        </w:rPr>
        <w:t xml:space="preserve"> </w:t>
      </w:r>
    </w:p>
    <w:p w14:paraId="6C8A6993" w14:textId="77777777" w:rsidR="00B8694D" w:rsidRDefault="00B8694D" w:rsidP="00774290">
      <w:pPr>
        <w:spacing w:line="276" w:lineRule="auto"/>
        <w:jc w:val="both"/>
        <w:rPr>
          <w:rFonts w:cstheme="minorHAnsi"/>
          <w:color w:val="000000"/>
          <w:shd w:val="clear" w:color="auto" w:fill="FFFFFF"/>
        </w:rPr>
      </w:pPr>
    </w:p>
    <w:p w14:paraId="0DB563C9" w14:textId="2EDA8613" w:rsidR="00B8694D" w:rsidRPr="001C5BF0" w:rsidRDefault="00C7355C" w:rsidP="007F27B0">
      <w:pPr>
        <w:pStyle w:val="Heading1"/>
      </w:pPr>
      <w:r w:rsidRPr="001C5BF0">
        <w:t>Abstract</w:t>
      </w:r>
    </w:p>
    <w:p w14:paraId="1C1372E5" w14:textId="6ACCAC4A" w:rsidR="00120303" w:rsidRPr="00770C3B" w:rsidRDefault="000E3BBD" w:rsidP="00774290">
      <w:pPr>
        <w:spacing w:line="276" w:lineRule="auto"/>
        <w:jc w:val="both"/>
        <w:rPr>
          <w:rFonts w:cstheme="minorHAnsi"/>
          <w:color w:val="000000"/>
          <w:shd w:val="clear" w:color="auto" w:fill="FFFFFF"/>
        </w:rPr>
      </w:pPr>
      <w:r>
        <w:rPr>
          <w:rFonts w:cstheme="minorHAnsi"/>
          <w:color w:val="000000"/>
          <w:shd w:val="clear" w:color="auto" w:fill="FFFFFF"/>
        </w:rPr>
        <w:t>This paper</w:t>
      </w:r>
      <w:r w:rsidR="00120303">
        <w:rPr>
          <w:rFonts w:cstheme="minorHAnsi"/>
          <w:color w:val="000000"/>
          <w:shd w:val="clear" w:color="auto" w:fill="FFFFFF"/>
        </w:rPr>
        <w:t xml:space="preserve"> introduce</w:t>
      </w:r>
      <w:r>
        <w:rPr>
          <w:rFonts w:cstheme="minorHAnsi"/>
          <w:color w:val="000000"/>
          <w:shd w:val="clear" w:color="auto" w:fill="FFFFFF"/>
        </w:rPr>
        <w:t>s</w:t>
      </w:r>
      <w:r w:rsidR="00120303">
        <w:rPr>
          <w:rFonts w:cstheme="minorHAnsi"/>
          <w:color w:val="000000"/>
          <w:shd w:val="clear" w:color="auto" w:fill="FFFFFF"/>
        </w:rPr>
        <w:t xml:space="preserve"> </w:t>
      </w:r>
      <w:r w:rsidR="00770C3B">
        <w:rPr>
          <w:rFonts w:cstheme="minorHAnsi"/>
          <w:color w:val="000000"/>
          <w:shd w:val="clear" w:color="auto" w:fill="FFFFFF"/>
        </w:rPr>
        <w:t xml:space="preserve">the Special Section </w:t>
      </w:r>
      <w:r w:rsidR="00770C3B" w:rsidRPr="00770C3B">
        <w:rPr>
          <w:rFonts w:cstheme="minorHAnsi"/>
          <w:i/>
          <w:iCs/>
          <w:color w:val="000000"/>
          <w:shd w:val="clear" w:color="auto" w:fill="FFFFFF"/>
        </w:rPr>
        <w:t xml:space="preserve">Can </w:t>
      </w:r>
      <w:r>
        <w:rPr>
          <w:rFonts w:cstheme="minorHAnsi"/>
          <w:i/>
          <w:iCs/>
          <w:color w:val="000000"/>
          <w:shd w:val="clear" w:color="auto" w:fill="FFFFFF"/>
        </w:rPr>
        <w:t>C</w:t>
      </w:r>
      <w:r w:rsidR="00770C3B" w:rsidRPr="00770C3B">
        <w:rPr>
          <w:rFonts w:cstheme="minorHAnsi"/>
          <w:i/>
          <w:iCs/>
          <w:color w:val="000000"/>
          <w:shd w:val="clear" w:color="auto" w:fill="FFFFFF"/>
        </w:rPr>
        <w:t xml:space="preserve">riminal </w:t>
      </w:r>
      <w:r>
        <w:rPr>
          <w:rFonts w:cstheme="minorHAnsi"/>
          <w:i/>
          <w:iCs/>
          <w:color w:val="000000"/>
          <w:shd w:val="clear" w:color="auto" w:fill="FFFFFF"/>
        </w:rPr>
        <w:t>J</w:t>
      </w:r>
      <w:r w:rsidR="00770C3B" w:rsidRPr="00770C3B">
        <w:rPr>
          <w:rFonts w:cstheme="minorHAnsi"/>
          <w:i/>
          <w:iCs/>
          <w:color w:val="000000"/>
          <w:shd w:val="clear" w:color="auto" w:fill="FFFFFF"/>
        </w:rPr>
        <w:t xml:space="preserve">ustice </w:t>
      </w:r>
      <w:r>
        <w:rPr>
          <w:rFonts w:cstheme="minorHAnsi"/>
          <w:i/>
          <w:iCs/>
          <w:color w:val="000000"/>
          <w:shd w:val="clear" w:color="auto" w:fill="FFFFFF"/>
        </w:rPr>
        <w:t>R</w:t>
      </w:r>
      <w:r w:rsidR="00770C3B" w:rsidRPr="00770C3B">
        <w:rPr>
          <w:rFonts w:cstheme="minorHAnsi"/>
          <w:i/>
          <w:iCs/>
          <w:color w:val="000000"/>
          <w:shd w:val="clear" w:color="auto" w:fill="FFFFFF"/>
        </w:rPr>
        <w:t xml:space="preserve">esponses </w:t>
      </w:r>
      <w:r>
        <w:rPr>
          <w:rFonts w:cstheme="minorHAnsi"/>
          <w:i/>
          <w:iCs/>
          <w:color w:val="000000"/>
          <w:shd w:val="clear" w:color="auto" w:fill="FFFFFF"/>
        </w:rPr>
        <w:t>E</w:t>
      </w:r>
      <w:r w:rsidR="00770C3B" w:rsidRPr="00770C3B">
        <w:rPr>
          <w:rFonts w:cstheme="minorHAnsi"/>
          <w:i/>
          <w:iCs/>
          <w:color w:val="000000"/>
          <w:shd w:val="clear" w:color="auto" w:fill="FFFFFF"/>
        </w:rPr>
        <w:t xml:space="preserve">mpower </w:t>
      </w:r>
      <w:r>
        <w:rPr>
          <w:rFonts w:cstheme="minorHAnsi"/>
          <w:i/>
          <w:iCs/>
          <w:color w:val="000000"/>
          <w:shd w:val="clear" w:color="auto" w:fill="FFFFFF"/>
        </w:rPr>
        <w:t>W</w:t>
      </w:r>
      <w:r w:rsidR="00770C3B" w:rsidRPr="00770C3B">
        <w:rPr>
          <w:rFonts w:cstheme="minorHAnsi"/>
          <w:i/>
          <w:iCs/>
          <w:color w:val="000000"/>
          <w:shd w:val="clear" w:color="auto" w:fill="FFFFFF"/>
        </w:rPr>
        <w:t>omen? A Case Study of Domestic Abuse Disclosure Scheme</w:t>
      </w:r>
      <w:r w:rsidR="0003720A">
        <w:rPr>
          <w:rFonts w:cstheme="minorHAnsi"/>
          <w:i/>
          <w:iCs/>
          <w:color w:val="000000"/>
          <w:shd w:val="clear" w:color="auto" w:fill="FFFFFF"/>
        </w:rPr>
        <w:t>s</w:t>
      </w:r>
      <w:r w:rsidR="00770C3B">
        <w:rPr>
          <w:rFonts w:cstheme="minorHAnsi"/>
          <w:i/>
          <w:iCs/>
          <w:color w:val="000000"/>
          <w:shd w:val="clear" w:color="auto" w:fill="FFFFFF"/>
        </w:rPr>
        <w:t xml:space="preserve">. </w:t>
      </w:r>
      <w:r>
        <w:rPr>
          <w:rFonts w:cstheme="minorHAnsi"/>
          <w:color w:val="000000"/>
          <w:shd w:val="clear" w:color="auto" w:fill="FFFFFF"/>
        </w:rPr>
        <w:t>It</w:t>
      </w:r>
      <w:r w:rsidR="00770C3B">
        <w:rPr>
          <w:rFonts w:cstheme="minorHAnsi"/>
          <w:color w:val="000000"/>
          <w:shd w:val="clear" w:color="auto" w:fill="FFFFFF"/>
        </w:rPr>
        <w:t xml:space="preserve"> locate</w:t>
      </w:r>
      <w:r>
        <w:rPr>
          <w:rFonts w:cstheme="minorHAnsi"/>
          <w:color w:val="000000"/>
          <w:shd w:val="clear" w:color="auto" w:fill="FFFFFF"/>
        </w:rPr>
        <w:t>s</w:t>
      </w:r>
      <w:r w:rsidR="0003720A">
        <w:rPr>
          <w:rFonts w:cstheme="minorHAnsi"/>
          <w:color w:val="000000"/>
          <w:shd w:val="clear" w:color="auto" w:fill="FFFFFF"/>
        </w:rPr>
        <w:t xml:space="preserve"> the case study of Domestic Abuse Disclosure Schemes in </w:t>
      </w:r>
      <w:r w:rsidR="00990ECE">
        <w:rPr>
          <w:rFonts w:cstheme="minorHAnsi"/>
          <w:color w:val="000000"/>
          <w:shd w:val="clear" w:color="auto" w:fill="FFFFFF"/>
        </w:rPr>
        <w:t xml:space="preserve">a wider trend of expanded criminal justice responses to domestic abuse. </w:t>
      </w:r>
      <w:r>
        <w:rPr>
          <w:rFonts w:cstheme="minorHAnsi"/>
          <w:color w:val="000000"/>
          <w:shd w:val="clear" w:color="auto" w:fill="FFFFFF"/>
        </w:rPr>
        <w:t>It</w:t>
      </w:r>
      <w:r w:rsidR="00990ECE">
        <w:rPr>
          <w:rFonts w:cstheme="minorHAnsi"/>
          <w:color w:val="000000"/>
          <w:shd w:val="clear" w:color="auto" w:fill="FFFFFF"/>
        </w:rPr>
        <w:t xml:space="preserve"> then outline</w:t>
      </w:r>
      <w:r>
        <w:rPr>
          <w:rFonts w:cstheme="minorHAnsi"/>
          <w:color w:val="000000"/>
          <w:shd w:val="clear" w:color="auto" w:fill="FFFFFF"/>
        </w:rPr>
        <w:t>s</w:t>
      </w:r>
      <w:r w:rsidR="00990ECE">
        <w:rPr>
          <w:rFonts w:cstheme="minorHAnsi"/>
          <w:color w:val="000000"/>
          <w:shd w:val="clear" w:color="auto" w:fill="FFFFFF"/>
        </w:rPr>
        <w:t xml:space="preserve"> th</w:t>
      </w:r>
      <w:r w:rsidR="00AA6EC1">
        <w:rPr>
          <w:rFonts w:cstheme="minorHAnsi"/>
          <w:color w:val="000000"/>
          <w:shd w:val="clear" w:color="auto" w:fill="FFFFFF"/>
        </w:rPr>
        <w:t xml:space="preserve">e introduction </w:t>
      </w:r>
      <w:r w:rsidR="00B42969">
        <w:rPr>
          <w:rFonts w:cstheme="minorHAnsi"/>
          <w:color w:val="000000"/>
          <w:shd w:val="clear" w:color="auto" w:fill="FFFFFF"/>
        </w:rPr>
        <w:t xml:space="preserve">and format </w:t>
      </w:r>
      <w:r w:rsidR="00AA6EC1">
        <w:rPr>
          <w:rFonts w:cstheme="minorHAnsi"/>
          <w:color w:val="000000"/>
          <w:shd w:val="clear" w:color="auto" w:fill="FFFFFF"/>
        </w:rPr>
        <w:t>of the Domestic Abuse Disclosure Scheme in England and Wales in 2014</w:t>
      </w:r>
      <w:r w:rsidR="00126585">
        <w:rPr>
          <w:rFonts w:cstheme="minorHAnsi"/>
          <w:color w:val="000000"/>
          <w:shd w:val="clear" w:color="auto" w:fill="FFFFFF"/>
        </w:rPr>
        <w:t xml:space="preserve">, followed by schemes introduced in other jurisdictions. </w:t>
      </w:r>
      <w:r w:rsidR="00CC27D5">
        <w:rPr>
          <w:rFonts w:cstheme="minorHAnsi"/>
          <w:color w:val="000000"/>
          <w:shd w:val="clear" w:color="auto" w:fill="FFFFFF"/>
        </w:rPr>
        <w:t>It goes on to</w:t>
      </w:r>
      <w:r w:rsidR="00604325">
        <w:rPr>
          <w:rFonts w:cstheme="minorHAnsi"/>
          <w:color w:val="000000"/>
          <w:shd w:val="clear" w:color="auto" w:fill="FFFFFF"/>
        </w:rPr>
        <w:t xml:space="preserve"> discuss </w:t>
      </w:r>
      <w:r w:rsidR="00965FF4">
        <w:rPr>
          <w:rFonts w:cstheme="minorHAnsi"/>
          <w:color w:val="000000"/>
          <w:shd w:val="clear" w:color="auto" w:fill="FFFFFF"/>
        </w:rPr>
        <w:t xml:space="preserve">the development, uptake and </w:t>
      </w:r>
      <w:r w:rsidR="00C75B3E">
        <w:rPr>
          <w:rFonts w:cstheme="minorHAnsi"/>
          <w:color w:val="000000"/>
          <w:shd w:val="clear" w:color="auto" w:fill="FFFFFF"/>
        </w:rPr>
        <w:t xml:space="preserve">wider contextualisation of the schemes, as well as the emerging body of academic research. Finally, the contributions of the four substantive papers in this Special Section are detailed. </w:t>
      </w:r>
    </w:p>
    <w:p w14:paraId="5E75E927" w14:textId="77777777" w:rsidR="00B8694D" w:rsidRDefault="00B8694D" w:rsidP="00774290">
      <w:pPr>
        <w:spacing w:line="276" w:lineRule="auto"/>
        <w:jc w:val="both"/>
        <w:rPr>
          <w:rFonts w:cstheme="minorHAnsi"/>
          <w:color w:val="000000"/>
          <w:shd w:val="clear" w:color="auto" w:fill="FFFFFF"/>
        </w:rPr>
      </w:pPr>
    </w:p>
    <w:p w14:paraId="280A1B18" w14:textId="3482590F" w:rsidR="00070DC9" w:rsidRPr="00070DC9" w:rsidRDefault="00070DC9" w:rsidP="007F27B0">
      <w:pPr>
        <w:pStyle w:val="Heading1"/>
        <w:rPr>
          <w:shd w:val="clear" w:color="auto" w:fill="FFFFFF"/>
        </w:rPr>
      </w:pPr>
      <w:r w:rsidRPr="00070DC9">
        <w:rPr>
          <w:shd w:val="clear" w:color="auto" w:fill="FFFFFF"/>
        </w:rPr>
        <w:t>Introduction</w:t>
      </w:r>
    </w:p>
    <w:p w14:paraId="30EC12FA" w14:textId="501746F6" w:rsidR="00627844" w:rsidRDefault="00627844" w:rsidP="00774290">
      <w:pPr>
        <w:spacing w:line="276" w:lineRule="auto"/>
        <w:jc w:val="both"/>
        <w:rPr>
          <w:rFonts w:cstheme="minorHAnsi"/>
          <w:color w:val="000000"/>
          <w:shd w:val="clear" w:color="auto" w:fill="FFFFFF"/>
        </w:rPr>
      </w:pPr>
      <w:r>
        <w:rPr>
          <w:rFonts w:cstheme="minorHAnsi"/>
          <w:color w:val="000000"/>
          <w:shd w:val="clear" w:color="auto" w:fill="FFFFFF"/>
        </w:rPr>
        <w:t>Over the past 30 years, criminal justice responses to domestic abuse have significantly expanded in many jurisdictions across the globe. Such responses include the creation of more law to criminalise a wider range of abusive behaviours, rule tightening for police and other agencies</w:t>
      </w:r>
      <w:r w:rsidR="00CA4027">
        <w:rPr>
          <w:rFonts w:cstheme="minorHAnsi"/>
          <w:color w:val="000000"/>
          <w:shd w:val="clear" w:color="auto" w:fill="FFFFFF"/>
        </w:rPr>
        <w:t>,</w:t>
      </w:r>
      <w:r>
        <w:rPr>
          <w:rFonts w:cstheme="minorHAnsi"/>
          <w:color w:val="000000"/>
          <w:shd w:val="clear" w:color="auto" w:fill="FFFFFF"/>
        </w:rPr>
        <w:t xml:space="preserve"> and changes in criminal justice policy. However, </w:t>
      </w:r>
      <w:r w:rsidR="005E0C01">
        <w:rPr>
          <w:rFonts w:cstheme="minorHAnsi"/>
          <w:color w:val="000000"/>
          <w:shd w:val="clear" w:color="auto" w:fill="FFFFFF"/>
        </w:rPr>
        <w:t>despite</w:t>
      </w:r>
      <w:r>
        <w:rPr>
          <w:rFonts w:cstheme="minorHAnsi"/>
          <w:color w:val="000000"/>
          <w:shd w:val="clear" w:color="auto" w:fill="FFFFFF"/>
        </w:rPr>
        <w:t xml:space="preserve"> such efforts, criminal justice responses to domestic abuse </w:t>
      </w:r>
      <w:r w:rsidR="004B0C1B">
        <w:rPr>
          <w:rFonts w:cstheme="minorHAnsi"/>
          <w:color w:val="000000"/>
          <w:shd w:val="clear" w:color="auto" w:fill="FFFFFF"/>
        </w:rPr>
        <w:t xml:space="preserve">continue to </w:t>
      </w:r>
      <w:r>
        <w:rPr>
          <w:rFonts w:cstheme="minorHAnsi"/>
          <w:color w:val="000000"/>
          <w:shd w:val="clear" w:color="auto" w:fill="FFFFFF"/>
        </w:rPr>
        <w:t>face continued scrutiny (HMIC, 2015)</w:t>
      </w:r>
      <w:r w:rsidR="00F7664F">
        <w:rPr>
          <w:rFonts w:cstheme="minorHAnsi"/>
          <w:color w:val="000000"/>
          <w:shd w:val="clear" w:color="auto" w:fill="FFFFFF"/>
        </w:rPr>
        <w:t>,</w:t>
      </w:r>
      <w:r>
        <w:rPr>
          <w:rFonts w:cstheme="minorHAnsi"/>
          <w:color w:val="000000"/>
          <w:shd w:val="clear" w:color="auto" w:fill="FFFFFF"/>
        </w:rPr>
        <w:t xml:space="preserve"> with questions remaining as to the extent to which </w:t>
      </w:r>
      <w:r w:rsidR="00CA4027">
        <w:rPr>
          <w:rFonts w:cstheme="minorHAnsi"/>
          <w:color w:val="000000"/>
          <w:shd w:val="clear" w:color="auto" w:fill="FFFFFF"/>
        </w:rPr>
        <w:t xml:space="preserve">approaches advocating a greater focus on </w:t>
      </w:r>
      <w:r>
        <w:rPr>
          <w:rFonts w:cstheme="minorHAnsi"/>
          <w:color w:val="000000"/>
          <w:shd w:val="clear" w:color="auto" w:fill="FFFFFF"/>
        </w:rPr>
        <w:t>criminalisation offer protection and justice for women (</w:t>
      </w:r>
      <w:proofErr w:type="spellStart"/>
      <w:r>
        <w:rPr>
          <w:rFonts w:cstheme="minorHAnsi"/>
          <w:color w:val="000000"/>
          <w:shd w:val="clear" w:color="auto" w:fill="FFFFFF"/>
        </w:rPr>
        <w:t>Goodmark</w:t>
      </w:r>
      <w:proofErr w:type="spellEnd"/>
      <w:r>
        <w:rPr>
          <w:rFonts w:cstheme="minorHAnsi"/>
          <w:color w:val="000000"/>
          <w:shd w:val="clear" w:color="auto" w:fill="FFFFFF"/>
        </w:rPr>
        <w:t>, 2018)</w:t>
      </w:r>
      <w:r w:rsidR="004B0C1B">
        <w:rPr>
          <w:rFonts w:cstheme="minorHAnsi"/>
          <w:color w:val="000000"/>
          <w:shd w:val="clear" w:color="auto" w:fill="FFFFFF"/>
        </w:rPr>
        <w:t>.</w:t>
      </w:r>
    </w:p>
    <w:p w14:paraId="6A24488F" w14:textId="77777777" w:rsidR="0077254E" w:rsidRDefault="0077254E" w:rsidP="00774290">
      <w:pPr>
        <w:spacing w:line="276" w:lineRule="auto"/>
        <w:jc w:val="both"/>
        <w:rPr>
          <w:rFonts w:cstheme="minorHAnsi"/>
          <w:color w:val="000000"/>
          <w:shd w:val="clear" w:color="auto" w:fill="FFFFFF"/>
        </w:rPr>
      </w:pPr>
    </w:p>
    <w:p w14:paraId="21685139" w14:textId="2782B2D6" w:rsidR="006B388C" w:rsidRDefault="004B0C1B" w:rsidP="00774290">
      <w:pPr>
        <w:spacing w:line="276" w:lineRule="auto"/>
        <w:jc w:val="both"/>
        <w:rPr>
          <w:rFonts w:cstheme="minorHAnsi"/>
          <w:color w:val="000000"/>
          <w:shd w:val="clear" w:color="auto" w:fill="FFFFFF"/>
        </w:rPr>
      </w:pPr>
      <w:r>
        <w:rPr>
          <w:rFonts w:cstheme="minorHAnsi"/>
          <w:color w:val="000000"/>
          <w:shd w:val="clear" w:color="auto" w:fill="FFFFFF"/>
        </w:rPr>
        <w:t xml:space="preserve">The </w:t>
      </w:r>
      <w:r w:rsidR="0098046F">
        <w:rPr>
          <w:rFonts w:cstheme="minorHAnsi"/>
          <w:color w:val="000000"/>
          <w:shd w:val="clear" w:color="auto" w:fill="FFFFFF"/>
        </w:rPr>
        <w:t xml:space="preserve">Domestic Violence Disclosure Scheme (DVDS), which originated in England and Wales, forms part of criminal justice efforts to reduce domestic abuse through early intervention policies. </w:t>
      </w:r>
      <w:r w:rsidR="003B462E">
        <w:rPr>
          <w:rFonts w:cstheme="minorHAnsi"/>
          <w:color w:val="000000"/>
          <w:shd w:val="clear" w:color="auto" w:fill="FFFFFF"/>
        </w:rPr>
        <w:t xml:space="preserve">In the </w:t>
      </w:r>
      <w:r w:rsidR="00140476">
        <w:rPr>
          <w:rFonts w:cstheme="minorHAnsi"/>
          <w:color w:val="000000"/>
          <w:shd w:val="clear" w:color="auto" w:fill="FFFFFF"/>
        </w:rPr>
        <w:t>decade s</w:t>
      </w:r>
      <w:r w:rsidR="0098046F">
        <w:rPr>
          <w:rFonts w:cstheme="minorHAnsi"/>
          <w:color w:val="000000"/>
          <w:shd w:val="clear" w:color="auto" w:fill="FFFFFF"/>
        </w:rPr>
        <w:t xml:space="preserve">ince its national implementation </w:t>
      </w:r>
      <w:r w:rsidR="0098046F" w:rsidRPr="008527C6">
        <w:rPr>
          <w:rFonts w:cstheme="minorHAnsi"/>
          <w:color w:val="000000"/>
          <w:shd w:val="clear" w:color="auto" w:fill="FFFFFF"/>
        </w:rPr>
        <w:t>on International Women’s Day</w:t>
      </w:r>
      <w:r w:rsidR="0098046F">
        <w:rPr>
          <w:rFonts w:cstheme="minorHAnsi"/>
          <w:color w:val="000000"/>
          <w:shd w:val="clear" w:color="auto" w:fill="FFFFFF"/>
        </w:rPr>
        <w:t xml:space="preserve"> 2014, </w:t>
      </w:r>
      <w:r>
        <w:rPr>
          <w:rFonts w:cstheme="minorHAnsi"/>
          <w:color w:val="000000"/>
          <w:shd w:val="clear" w:color="auto" w:fill="FFFFFF"/>
        </w:rPr>
        <w:t xml:space="preserve">national </w:t>
      </w:r>
      <w:r w:rsidR="0098046F" w:rsidRPr="008527C6">
        <w:rPr>
          <w:rFonts w:cstheme="minorHAnsi"/>
          <w:color w:val="000000"/>
          <w:shd w:val="clear" w:color="auto" w:fill="FFFFFF"/>
        </w:rPr>
        <w:t xml:space="preserve">variations of the scheme have been adopted by </w:t>
      </w:r>
      <w:r w:rsidR="0098046F">
        <w:rPr>
          <w:rFonts w:cstheme="minorHAnsi"/>
          <w:color w:val="000000"/>
          <w:shd w:val="clear" w:color="auto" w:fill="FFFFFF"/>
        </w:rPr>
        <w:t xml:space="preserve">police </w:t>
      </w:r>
      <w:r w:rsidR="0098046F" w:rsidRPr="008527C6">
        <w:rPr>
          <w:rFonts w:cstheme="minorHAnsi"/>
          <w:color w:val="000000"/>
          <w:shd w:val="clear" w:color="auto" w:fill="FFFFFF"/>
        </w:rPr>
        <w:t>forces in Scotland and Northern Ireland</w:t>
      </w:r>
      <w:r>
        <w:rPr>
          <w:rFonts w:cstheme="minorHAnsi"/>
          <w:color w:val="000000"/>
          <w:shd w:val="clear" w:color="auto" w:fill="FFFFFF"/>
        </w:rPr>
        <w:t>.</w:t>
      </w:r>
      <w:r w:rsidR="0098046F" w:rsidRPr="008527C6">
        <w:rPr>
          <w:rFonts w:cstheme="minorHAnsi"/>
          <w:color w:val="000000"/>
          <w:shd w:val="clear" w:color="auto" w:fill="FFFFFF"/>
        </w:rPr>
        <w:t xml:space="preserve"> </w:t>
      </w:r>
      <w:r>
        <w:rPr>
          <w:rFonts w:cstheme="minorHAnsi"/>
          <w:color w:val="000000"/>
          <w:shd w:val="clear" w:color="auto" w:fill="FFFFFF"/>
        </w:rPr>
        <w:t xml:space="preserve">Similarly, international </w:t>
      </w:r>
      <w:r w:rsidR="006B388C">
        <w:rPr>
          <w:rFonts w:cstheme="minorHAnsi"/>
          <w:color w:val="000000"/>
          <w:shd w:val="clear" w:color="auto" w:fill="FFFFFF"/>
        </w:rPr>
        <w:t xml:space="preserve">disclosure </w:t>
      </w:r>
      <w:r>
        <w:rPr>
          <w:rFonts w:cstheme="minorHAnsi"/>
          <w:color w:val="000000"/>
          <w:shd w:val="clear" w:color="auto" w:fill="FFFFFF"/>
        </w:rPr>
        <w:t xml:space="preserve">schemes have been implemented in </w:t>
      </w:r>
      <w:r w:rsidR="006B388C">
        <w:rPr>
          <w:rFonts w:cstheme="minorHAnsi"/>
          <w:color w:val="000000"/>
          <w:shd w:val="clear" w:color="auto" w:fill="FFFFFF"/>
        </w:rPr>
        <w:t xml:space="preserve">several </w:t>
      </w:r>
      <w:r w:rsidR="0098046F" w:rsidRPr="008527C6">
        <w:rPr>
          <w:rFonts w:cstheme="minorHAnsi"/>
          <w:color w:val="000000"/>
          <w:shd w:val="clear" w:color="auto" w:fill="FFFFFF"/>
        </w:rPr>
        <w:t xml:space="preserve">states </w:t>
      </w:r>
      <w:r w:rsidR="00CA4027">
        <w:rPr>
          <w:rFonts w:cstheme="minorHAnsi"/>
          <w:color w:val="000000"/>
          <w:shd w:val="clear" w:color="auto" w:fill="FFFFFF"/>
        </w:rPr>
        <w:t>across</w:t>
      </w:r>
      <w:r w:rsidR="0098046F" w:rsidRPr="008527C6">
        <w:rPr>
          <w:rFonts w:cstheme="minorHAnsi"/>
          <w:color w:val="000000"/>
          <w:shd w:val="clear" w:color="auto" w:fill="FFFFFF"/>
        </w:rPr>
        <w:t xml:space="preserve"> Australia and Canada</w:t>
      </w:r>
      <w:r w:rsidR="00CA4027">
        <w:rPr>
          <w:rFonts w:cstheme="minorHAnsi"/>
          <w:color w:val="000000"/>
          <w:shd w:val="clear" w:color="auto" w:fill="FFFFFF"/>
        </w:rPr>
        <w:t xml:space="preserve">, and most recently in </w:t>
      </w:r>
      <w:r>
        <w:rPr>
          <w:rFonts w:cstheme="minorHAnsi"/>
          <w:color w:val="000000"/>
          <w:shd w:val="clear" w:color="auto" w:fill="FFFFFF"/>
        </w:rPr>
        <w:t>Malta</w:t>
      </w:r>
      <w:r w:rsidR="0098046F" w:rsidRPr="008527C6">
        <w:rPr>
          <w:rFonts w:cstheme="minorHAnsi"/>
          <w:color w:val="000000"/>
          <w:shd w:val="clear" w:color="auto" w:fill="FFFFFF"/>
        </w:rPr>
        <w:t xml:space="preserve">. </w:t>
      </w:r>
    </w:p>
    <w:p w14:paraId="3F5575FA" w14:textId="77777777" w:rsidR="00C64D9D" w:rsidRDefault="00C64D9D" w:rsidP="00774290">
      <w:pPr>
        <w:spacing w:line="276" w:lineRule="auto"/>
        <w:jc w:val="both"/>
        <w:rPr>
          <w:rFonts w:cstheme="minorHAnsi"/>
          <w:color w:val="000000"/>
          <w:shd w:val="clear" w:color="auto" w:fill="FFFFFF"/>
        </w:rPr>
      </w:pPr>
    </w:p>
    <w:p w14:paraId="0FE15E2A" w14:textId="02FDC79F" w:rsidR="00CA4027" w:rsidRDefault="00CA4027" w:rsidP="00CA4027">
      <w:pPr>
        <w:spacing w:line="276" w:lineRule="auto"/>
        <w:jc w:val="both"/>
        <w:rPr>
          <w:rFonts w:cstheme="minorHAnsi"/>
          <w:color w:val="000000"/>
          <w:shd w:val="clear" w:color="auto" w:fill="FFFFFF"/>
        </w:rPr>
      </w:pPr>
      <w:r>
        <w:rPr>
          <w:rFonts w:cstheme="minorHAnsi"/>
          <w:color w:val="000000"/>
          <w:shd w:val="clear" w:color="auto" w:fill="FFFFFF"/>
        </w:rPr>
        <w:t xml:space="preserve">In England and Wales, the DVDS enables the police to use their common law powers to disclose information about a person’s previous abusive or violent offending if deemed proportionate and necessary to prevent crime. It has two routes to disclosure: the publicly initiated ‘Right to Ask’ and the statutory initiated ‘Right to Know’. Scotland’s Disclosure </w:t>
      </w:r>
      <w:r>
        <w:rPr>
          <w:rFonts w:cstheme="minorHAnsi"/>
          <w:color w:val="000000"/>
          <w:shd w:val="clear" w:color="auto" w:fill="FFFFFF"/>
        </w:rPr>
        <w:lastRenderedPageBreak/>
        <w:t>Scheme Domestic Abuse Scotland (DSDAS) operates along a ‘Right to Ask’ and ‘Power to Tell’ approach</w:t>
      </w:r>
      <w:r w:rsidR="00BD6840">
        <w:rPr>
          <w:rFonts w:cstheme="minorHAnsi"/>
          <w:color w:val="000000"/>
          <w:shd w:val="clear" w:color="auto" w:fill="FFFFFF"/>
        </w:rPr>
        <w:t>, while</w:t>
      </w:r>
      <w:r>
        <w:rPr>
          <w:rFonts w:cstheme="minorHAnsi"/>
          <w:color w:val="000000"/>
          <w:shd w:val="clear" w:color="auto" w:fill="FFFFFF"/>
        </w:rPr>
        <w:t xml:space="preserve"> Malta only provides the ‘Right to Ask’ element. </w:t>
      </w:r>
    </w:p>
    <w:p w14:paraId="4671DEB8" w14:textId="7036853A" w:rsidR="006B388C" w:rsidRDefault="00C44EB0" w:rsidP="00774290">
      <w:pPr>
        <w:spacing w:line="276" w:lineRule="auto"/>
        <w:jc w:val="both"/>
        <w:rPr>
          <w:rFonts w:cstheme="minorHAnsi"/>
          <w:color w:val="000000"/>
          <w:shd w:val="clear" w:color="auto" w:fill="FFFFFF"/>
        </w:rPr>
      </w:pPr>
      <w:r>
        <w:rPr>
          <w:rFonts w:cstheme="minorHAnsi"/>
          <w:color w:val="000000"/>
          <w:shd w:val="clear" w:color="auto" w:fill="FFFFFF"/>
        </w:rPr>
        <w:t xml:space="preserve"> </w:t>
      </w:r>
    </w:p>
    <w:p w14:paraId="0055AB5D" w14:textId="4460C693" w:rsidR="000D7D55" w:rsidRDefault="000D7D55" w:rsidP="00774290">
      <w:pPr>
        <w:spacing w:line="276" w:lineRule="auto"/>
        <w:jc w:val="both"/>
        <w:rPr>
          <w:rFonts w:cstheme="minorHAnsi"/>
          <w:color w:val="000000"/>
          <w:shd w:val="clear" w:color="auto" w:fill="FFFFFF"/>
        </w:rPr>
      </w:pPr>
      <w:r w:rsidRPr="000D7D55">
        <w:rPr>
          <w:rFonts w:cstheme="minorHAnsi"/>
        </w:rPr>
        <w:t xml:space="preserve">The DVDS was implemented following a high-profile public campaign after the murder of Clare Wood in 2009 by her partner who was found to have a history of violence unknown to her. </w:t>
      </w:r>
      <w:r>
        <w:rPr>
          <w:rFonts w:cstheme="minorHAnsi"/>
          <w:color w:val="000000"/>
          <w:shd w:val="clear" w:color="auto" w:fill="FFFFFF"/>
        </w:rPr>
        <w:t xml:space="preserve">Better </w:t>
      </w:r>
      <w:r w:rsidR="00195B1F" w:rsidRPr="008527C6">
        <w:rPr>
          <w:rFonts w:cstheme="minorHAnsi"/>
          <w:color w:val="000000"/>
          <w:shd w:val="clear" w:color="auto" w:fill="FFFFFF"/>
        </w:rPr>
        <w:t>known</w:t>
      </w:r>
      <w:r w:rsidR="00F76FCE" w:rsidRPr="008527C6">
        <w:rPr>
          <w:rFonts w:cstheme="minorHAnsi"/>
          <w:color w:val="000000"/>
          <w:shd w:val="clear" w:color="auto" w:fill="FFFFFF"/>
        </w:rPr>
        <w:t xml:space="preserve"> as </w:t>
      </w:r>
      <w:r w:rsidR="000C19FF">
        <w:rPr>
          <w:rFonts w:cstheme="minorHAnsi"/>
          <w:color w:val="000000"/>
          <w:shd w:val="clear" w:color="auto" w:fill="FFFFFF"/>
        </w:rPr>
        <w:t>‘</w:t>
      </w:r>
      <w:r w:rsidR="00F76FCE" w:rsidRPr="000C19FF">
        <w:rPr>
          <w:rFonts w:cstheme="minorHAnsi"/>
          <w:color w:val="000000"/>
          <w:shd w:val="clear" w:color="auto" w:fill="FFFFFF"/>
        </w:rPr>
        <w:t>Clare’s Law</w:t>
      </w:r>
      <w:r w:rsidR="000C19FF">
        <w:rPr>
          <w:rFonts w:cstheme="minorHAnsi"/>
          <w:color w:val="000000"/>
          <w:shd w:val="clear" w:color="auto" w:fill="FFFFFF"/>
        </w:rPr>
        <w:t>’</w:t>
      </w:r>
      <w:r w:rsidR="00F76FCE" w:rsidRPr="008527C6">
        <w:rPr>
          <w:rFonts w:cstheme="minorHAnsi"/>
          <w:color w:val="000000"/>
          <w:shd w:val="clear" w:color="auto" w:fill="FFFFFF"/>
        </w:rPr>
        <w:t xml:space="preserve">, </w:t>
      </w:r>
      <w:r>
        <w:rPr>
          <w:rFonts w:cstheme="minorHAnsi"/>
          <w:color w:val="000000"/>
          <w:shd w:val="clear" w:color="auto" w:fill="FFFFFF"/>
        </w:rPr>
        <w:t xml:space="preserve">the DVDS has been heavily publicised by the police and wider media. It has </w:t>
      </w:r>
      <w:r w:rsidR="00F76FCE" w:rsidRPr="008527C6">
        <w:rPr>
          <w:rFonts w:cstheme="minorHAnsi"/>
          <w:color w:val="000000"/>
          <w:shd w:val="clear" w:color="auto" w:fill="FFFFFF"/>
        </w:rPr>
        <w:t>featur</w:t>
      </w:r>
      <w:r>
        <w:rPr>
          <w:rFonts w:cstheme="minorHAnsi"/>
          <w:color w:val="000000"/>
          <w:shd w:val="clear" w:color="auto" w:fill="FFFFFF"/>
        </w:rPr>
        <w:t>ed</w:t>
      </w:r>
      <w:r w:rsidR="00F76FCE" w:rsidRPr="008527C6">
        <w:rPr>
          <w:rFonts w:cstheme="minorHAnsi"/>
          <w:color w:val="000000"/>
          <w:shd w:val="clear" w:color="auto" w:fill="FFFFFF"/>
        </w:rPr>
        <w:t xml:space="preserve"> in prime-time </w:t>
      </w:r>
      <w:r w:rsidR="004B0C1B">
        <w:rPr>
          <w:rFonts w:cstheme="minorHAnsi"/>
          <w:color w:val="000000"/>
          <w:shd w:val="clear" w:color="auto" w:fill="FFFFFF"/>
        </w:rPr>
        <w:t>television and radio dramas</w:t>
      </w:r>
      <w:r w:rsidR="00F76FCE" w:rsidRPr="008527C6">
        <w:rPr>
          <w:rFonts w:cstheme="minorHAnsi"/>
          <w:color w:val="000000"/>
          <w:shd w:val="clear" w:color="auto" w:fill="FFFFFF"/>
        </w:rPr>
        <w:t xml:space="preserve">, is regularly referred to in regional news media reports, and has spawned dedicated social media groups with thousands of members seeking and providing insight </w:t>
      </w:r>
      <w:r>
        <w:rPr>
          <w:rFonts w:cstheme="minorHAnsi"/>
          <w:color w:val="000000"/>
          <w:shd w:val="clear" w:color="auto" w:fill="FFFFFF"/>
        </w:rPr>
        <w:t xml:space="preserve">into and support around </w:t>
      </w:r>
      <w:r w:rsidR="00F76FCE" w:rsidRPr="008527C6">
        <w:rPr>
          <w:rFonts w:cstheme="minorHAnsi"/>
          <w:color w:val="000000"/>
          <w:shd w:val="clear" w:color="auto" w:fill="FFFFFF"/>
        </w:rPr>
        <w:t xml:space="preserve">the application and disclosure process. </w:t>
      </w:r>
      <w:r w:rsidR="00EB28FE">
        <w:rPr>
          <w:rFonts w:cstheme="minorHAnsi"/>
          <w:color w:val="000000"/>
          <w:shd w:val="clear" w:color="auto" w:fill="FFFFFF"/>
        </w:rPr>
        <w:t xml:space="preserve">Importantly, Clare’s Law also featured </w:t>
      </w:r>
      <w:r w:rsidR="000F4C7F">
        <w:rPr>
          <w:rFonts w:cstheme="minorHAnsi"/>
          <w:color w:val="000000"/>
          <w:shd w:val="clear" w:color="auto" w:fill="FFFFFF"/>
        </w:rPr>
        <w:t xml:space="preserve">prominently </w:t>
      </w:r>
      <w:r w:rsidR="00EB28FE">
        <w:rPr>
          <w:rFonts w:cstheme="minorHAnsi"/>
          <w:color w:val="000000"/>
          <w:shd w:val="clear" w:color="auto" w:fill="FFFFFF"/>
        </w:rPr>
        <w:t xml:space="preserve">in an episode of the popular documentary series </w:t>
      </w:r>
      <w:r w:rsidR="00EB28FE" w:rsidRPr="00EB28FE">
        <w:rPr>
          <w:rFonts w:cstheme="minorHAnsi"/>
          <w:i/>
          <w:iCs/>
          <w:color w:val="000000"/>
          <w:shd w:val="clear" w:color="auto" w:fill="FFFFFF"/>
        </w:rPr>
        <w:t>24 Hours in Police Custody</w:t>
      </w:r>
      <w:r w:rsidR="00EB28FE">
        <w:rPr>
          <w:rFonts w:cstheme="minorHAnsi"/>
          <w:color w:val="000000"/>
          <w:shd w:val="clear" w:color="auto" w:fill="FFFFFF"/>
        </w:rPr>
        <w:t xml:space="preserve">, showing Bedfordshire Police informing a serial perpetrator’s current partner of his history of violent conduct. </w:t>
      </w:r>
    </w:p>
    <w:p w14:paraId="7F1D2DBE" w14:textId="77777777" w:rsidR="00B91C40" w:rsidRDefault="00B91C40" w:rsidP="00774290">
      <w:pPr>
        <w:spacing w:line="276" w:lineRule="auto"/>
        <w:jc w:val="both"/>
        <w:rPr>
          <w:rFonts w:cstheme="minorHAnsi"/>
          <w:color w:val="000000"/>
          <w:shd w:val="clear" w:color="auto" w:fill="FFFFFF"/>
        </w:rPr>
      </w:pPr>
    </w:p>
    <w:p w14:paraId="3385E5C8" w14:textId="36364770" w:rsidR="00B91C40" w:rsidRDefault="000F4C7F" w:rsidP="00B91C40">
      <w:pPr>
        <w:spacing w:line="276" w:lineRule="auto"/>
        <w:jc w:val="both"/>
        <w:rPr>
          <w:rFonts w:cstheme="minorHAnsi"/>
        </w:rPr>
      </w:pPr>
      <w:r>
        <w:rPr>
          <w:rFonts w:cstheme="minorHAnsi"/>
          <w:color w:val="000000"/>
          <w:shd w:val="clear" w:color="auto" w:fill="FFFFFF"/>
        </w:rPr>
        <w:t xml:space="preserve">Efforts to increase awareness and demystify Clare’s Law </w:t>
      </w:r>
      <w:r w:rsidR="00B91C40">
        <w:rPr>
          <w:rFonts w:cstheme="minorHAnsi"/>
          <w:color w:val="000000"/>
          <w:shd w:val="clear" w:color="auto" w:fill="FFFFFF"/>
        </w:rPr>
        <w:t xml:space="preserve">appear to be paying off. </w:t>
      </w:r>
      <w:r w:rsidR="00B91C40" w:rsidRPr="000D7D55">
        <w:rPr>
          <w:rFonts w:cstheme="minorHAnsi"/>
          <w:color w:val="000000"/>
          <w:shd w:val="clear" w:color="auto" w:fill="FFFFFF"/>
        </w:rPr>
        <w:t>Home Office and police data indicate a steadily increasing number of applications to the Scheme under both the Right to Ask (public-initiated) and the Right to Know (statutory-initiated) routes. During the 2019-20 period there was a sharp increase in Right to Ask applications, almost doubling to 11,556, compared to 6,496 in the previous year. Of these, 37% (4,236) resulted in a disclosure. As the country went into the first of three national lockdowns prompted by the COVID-19 pandemic, an average of 1,100 Right to Ask applications were made between March and June 2020</w:t>
      </w:r>
      <w:r w:rsidR="00B91C40">
        <w:rPr>
          <w:rFonts w:cstheme="minorHAnsi"/>
          <w:color w:val="000000"/>
          <w:shd w:val="clear" w:color="auto" w:fill="FFFFFF"/>
        </w:rPr>
        <w:t xml:space="preserve">. </w:t>
      </w:r>
      <w:r w:rsidR="00B91C40">
        <w:rPr>
          <w:rFonts w:cstheme="minorHAnsi"/>
        </w:rPr>
        <w:t>Overall, t</w:t>
      </w:r>
      <w:r w:rsidR="00B91C40" w:rsidRPr="00195B1F">
        <w:rPr>
          <w:rFonts w:cstheme="minorHAnsi"/>
        </w:rPr>
        <w:t xml:space="preserve">here were more than 10,000 </w:t>
      </w:r>
      <w:r w:rsidR="00B91C40" w:rsidRPr="000D7D55">
        <w:rPr>
          <w:rFonts w:cstheme="minorHAnsi"/>
          <w:i/>
          <w:iCs/>
        </w:rPr>
        <w:t>more</w:t>
      </w:r>
      <w:r w:rsidR="00B91C40" w:rsidRPr="00195B1F">
        <w:rPr>
          <w:rFonts w:cstheme="minorHAnsi"/>
        </w:rPr>
        <w:t xml:space="preserve"> applications under Clare's Law</w:t>
      </w:r>
      <w:r w:rsidR="00B91C40">
        <w:rPr>
          <w:rFonts w:cstheme="minorHAnsi"/>
        </w:rPr>
        <w:t xml:space="preserve"> </w:t>
      </w:r>
      <w:r w:rsidR="00B91C40" w:rsidRPr="00195B1F">
        <w:rPr>
          <w:rFonts w:cstheme="minorHAnsi"/>
        </w:rPr>
        <w:t>in the year to March 2021 than in the year to March 2020 for England and Wales</w:t>
      </w:r>
      <w:r w:rsidR="00B91C40">
        <w:rPr>
          <w:rFonts w:cstheme="minorHAnsi"/>
        </w:rPr>
        <w:t xml:space="preserve">. At </w:t>
      </w:r>
      <w:r w:rsidR="00B91C40" w:rsidRPr="00195B1F">
        <w:rPr>
          <w:rFonts w:cstheme="minorHAnsi"/>
        </w:rPr>
        <w:t>30,323 applications</w:t>
      </w:r>
      <w:r w:rsidR="00B91C40">
        <w:rPr>
          <w:rFonts w:cstheme="minorHAnsi"/>
        </w:rPr>
        <w:t>, this</w:t>
      </w:r>
      <w:r w:rsidR="00B91C40" w:rsidRPr="00195B1F">
        <w:rPr>
          <w:rFonts w:cstheme="minorHAnsi"/>
        </w:rPr>
        <w:t xml:space="preserve"> </w:t>
      </w:r>
      <w:r w:rsidR="00B91C40">
        <w:rPr>
          <w:rFonts w:cstheme="minorHAnsi"/>
        </w:rPr>
        <w:t>represented</w:t>
      </w:r>
      <w:r w:rsidR="00B91C40" w:rsidRPr="00195B1F">
        <w:rPr>
          <w:rFonts w:cstheme="minorHAnsi"/>
        </w:rPr>
        <w:t xml:space="preserve"> a 50% increase </w:t>
      </w:r>
      <w:r w:rsidR="00B91C40">
        <w:rPr>
          <w:rFonts w:cstheme="minorHAnsi"/>
        </w:rPr>
        <w:t xml:space="preserve">in interactions with </w:t>
      </w:r>
      <w:r w:rsidR="00B91C40" w:rsidRPr="00195B1F">
        <w:rPr>
          <w:rFonts w:cstheme="minorHAnsi"/>
        </w:rPr>
        <w:t>the Scheme compared to 20,147</w:t>
      </w:r>
      <w:r w:rsidR="00B91C40">
        <w:rPr>
          <w:rFonts w:cstheme="minorHAnsi"/>
        </w:rPr>
        <w:t xml:space="preserve"> in the year to March 2020. Similarly, the number of d</w:t>
      </w:r>
      <w:r w:rsidR="00B91C40" w:rsidRPr="00195B1F">
        <w:rPr>
          <w:rFonts w:cstheme="minorHAnsi"/>
        </w:rPr>
        <w:t>isclosures also jumped from 8,715</w:t>
      </w:r>
      <w:r w:rsidR="00B91C40">
        <w:rPr>
          <w:rFonts w:cstheme="minorHAnsi"/>
        </w:rPr>
        <w:t xml:space="preserve"> in </w:t>
      </w:r>
      <w:r w:rsidR="00B91C40" w:rsidRPr="00195B1F">
        <w:rPr>
          <w:rFonts w:cstheme="minorHAnsi"/>
        </w:rPr>
        <w:t xml:space="preserve">the year </w:t>
      </w:r>
      <w:r w:rsidR="00B91C40">
        <w:rPr>
          <w:rFonts w:cstheme="minorHAnsi"/>
        </w:rPr>
        <w:t xml:space="preserve">ending </w:t>
      </w:r>
      <w:r w:rsidR="00B91C40" w:rsidRPr="00195B1F">
        <w:rPr>
          <w:rFonts w:cstheme="minorHAnsi"/>
        </w:rPr>
        <w:t>March 2020</w:t>
      </w:r>
      <w:r w:rsidR="00B91C40">
        <w:rPr>
          <w:rFonts w:cstheme="minorHAnsi"/>
        </w:rPr>
        <w:t>,</w:t>
      </w:r>
      <w:r w:rsidR="00B91C40" w:rsidRPr="00195B1F">
        <w:rPr>
          <w:rFonts w:cstheme="minorHAnsi"/>
        </w:rPr>
        <w:t xml:space="preserve"> to 13,439 in the year </w:t>
      </w:r>
      <w:r w:rsidR="00B91C40">
        <w:rPr>
          <w:rFonts w:cstheme="minorHAnsi"/>
        </w:rPr>
        <w:t xml:space="preserve">ending </w:t>
      </w:r>
      <w:r w:rsidR="00B91C40" w:rsidRPr="00195B1F">
        <w:rPr>
          <w:rFonts w:cstheme="minorHAnsi"/>
        </w:rPr>
        <w:t>March 2021</w:t>
      </w:r>
      <w:r w:rsidR="00B43C51">
        <w:rPr>
          <w:rFonts w:cstheme="minorHAnsi"/>
        </w:rPr>
        <w:t xml:space="preserve"> (</w:t>
      </w:r>
      <w:r w:rsidR="000B2765">
        <w:rPr>
          <w:rFonts w:cstheme="minorHAnsi"/>
        </w:rPr>
        <w:t xml:space="preserve">see generally, </w:t>
      </w:r>
      <w:r w:rsidR="00B43C51">
        <w:rPr>
          <w:rFonts w:cstheme="minorHAnsi"/>
        </w:rPr>
        <w:t>HMICFRS, 2021</w:t>
      </w:r>
      <w:r w:rsidR="00AF0937">
        <w:rPr>
          <w:rFonts w:cstheme="minorHAnsi"/>
        </w:rPr>
        <w:t xml:space="preserve">: </w:t>
      </w:r>
      <w:r w:rsidR="00AF0937" w:rsidRPr="00B43C51">
        <w:rPr>
          <w:rFonts w:cstheme="minorHAnsi"/>
        </w:rPr>
        <w:t>46-50</w:t>
      </w:r>
      <w:r w:rsidR="00B43C51">
        <w:rPr>
          <w:rFonts w:cstheme="minorHAnsi"/>
        </w:rPr>
        <w:t>)</w:t>
      </w:r>
      <w:r w:rsidR="00B91C40">
        <w:rPr>
          <w:rFonts w:cstheme="minorHAnsi"/>
        </w:rPr>
        <w:t>.</w:t>
      </w:r>
      <w:r w:rsidR="00B91C40" w:rsidRPr="00195B1F">
        <w:rPr>
          <w:rFonts w:cstheme="minorHAnsi"/>
        </w:rPr>
        <w:t xml:space="preserve"> </w:t>
      </w:r>
    </w:p>
    <w:p w14:paraId="3F2B5637" w14:textId="77777777" w:rsidR="00FD26B8" w:rsidRDefault="00FD26B8" w:rsidP="00B91C40">
      <w:pPr>
        <w:spacing w:line="276" w:lineRule="auto"/>
        <w:jc w:val="both"/>
        <w:rPr>
          <w:rFonts w:cstheme="minorHAnsi"/>
        </w:rPr>
      </w:pPr>
    </w:p>
    <w:p w14:paraId="522C28D6" w14:textId="6A25B706" w:rsidR="00FD26B8" w:rsidRDefault="00FD26B8" w:rsidP="00B91C40">
      <w:pPr>
        <w:spacing w:line="276" w:lineRule="auto"/>
        <w:jc w:val="both"/>
        <w:rPr>
          <w:rFonts w:cstheme="minorHAnsi"/>
        </w:rPr>
      </w:pPr>
      <w:r>
        <w:rPr>
          <w:rFonts w:cstheme="minorHAnsi"/>
        </w:rPr>
        <w:t xml:space="preserve">This growth in uptake looks set to continue, bolstered by </w:t>
      </w:r>
      <w:r w:rsidR="002F3631">
        <w:rPr>
          <w:rFonts w:cstheme="minorHAnsi"/>
        </w:rPr>
        <w:t xml:space="preserve">the Government having added violence against women and girls to the strategic policing requirement coupled with police forces implementing </w:t>
      </w:r>
      <w:r>
        <w:rPr>
          <w:rFonts w:cstheme="minorHAnsi"/>
        </w:rPr>
        <w:t xml:space="preserve">a range of initiatives to boost </w:t>
      </w:r>
      <w:r w:rsidR="002F3631">
        <w:rPr>
          <w:rFonts w:cstheme="minorHAnsi"/>
        </w:rPr>
        <w:t xml:space="preserve">public </w:t>
      </w:r>
      <w:r>
        <w:rPr>
          <w:rFonts w:cstheme="minorHAnsi"/>
        </w:rPr>
        <w:t xml:space="preserve">engagement with the policy. </w:t>
      </w:r>
      <w:r w:rsidR="00EB28FE">
        <w:rPr>
          <w:rFonts w:cstheme="minorHAnsi"/>
        </w:rPr>
        <w:t>Usually, these initiatives are aimed at the person who may be at risk of harm</w:t>
      </w:r>
      <w:r>
        <w:rPr>
          <w:rFonts w:cstheme="minorHAnsi"/>
        </w:rPr>
        <w:t xml:space="preserve">, </w:t>
      </w:r>
      <w:r w:rsidR="00EB28FE">
        <w:rPr>
          <w:rFonts w:cstheme="minorHAnsi"/>
        </w:rPr>
        <w:t xml:space="preserve">but some forces are widening their target audiences. For example, </w:t>
      </w:r>
      <w:r>
        <w:rPr>
          <w:rFonts w:cstheme="minorHAnsi"/>
        </w:rPr>
        <w:t xml:space="preserve">Cheshire Constabulary instigated a campaign aimed at highlighting Clare’s Law to those who are concerned about the possible dangers faced by their loved ones in an intimate relationship. </w:t>
      </w:r>
      <w:r w:rsidR="002F3631">
        <w:rPr>
          <w:rFonts w:cstheme="minorHAnsi"/>
        </w:rPr>
        <w:t>The</w:t>
      </w:r>
      <w:r w:rsidR="00EB28FE">
        <w:rPr>
          <w:rFonts w:cstheme="minorHAnsi"/>
        </w:rPr>
        <w:t>y</w:t>
      </w:r>
      <w:r w:rsidR="002F3631">
        <w:rPr>
          <w:rFonts w:cstheme="minorHAnsi"/>
        </w:rPr>
        <w:t xml:space="preserve"> </w:t>
      </w:r>
      <w:r w:rsidR="00EB28FE">
        <w:rPr>
          <w:rFonts w:cstheme="minorHAnsi"/>
        </w:rPr>
        <w:t xml:space="preserve">displayed </w:t>
      </w:r>
      <w:r w:rsidR="002F3631">
        <w:rPr>
          <w:rFonts w:cstheme="minorHAnsi"/>
        </w:rPr>
        <w:t xml:space="preserve">posters </w:t>
      </w:r>
      <w:r w:rsidR="00EB28FE">
        <w:rPr>
          <w:rFonts w:cstheme="minorHAnsi"/>
        </w:rPr>
        <w:t xml:space="preserve">targeting these potential applicants </w:t>
      </w:r>
      <w:r w:rsidR="002F3631">
        <w:rPr>
          <w:rFonts w:cstheme="minorHAnsi"/>
        </w:rPr>
        <w:t xml:space="preserve">in a range of community venues, such as doctors and dental surgeries, hair and nail salons, and licenced venues such as pubs and clubs. </w:t>
      </w:r>
    </w:p>
    <w:p w14:paraId="46CD57D3" w14:textId="77777777" w:rsidR="008535C1" w:rsidRPr="000D7D55" w:rsidRDefault="008535C1" w:rsidP="00B91C40">
      <w:pPr>
        <w:spacing w:line="276" w:lineRule="auto"/>
        <w:jc w:val="both"/>
        <w:rPr>
          <w:rFonts w:cstheme="minorHAnsi"/>
          <w:color w:val="000000"/>
          <w:shd w:val="clear" w:color="auto" w:fill="FFFFFF"/>
        </w:rPr>
      </w:pPr>
    </w:p>
    <w:p w14:paraId="0A18C572" w14:textId="34ADCCE0" w:rsidR="00B91C40" w:rsidRDefault="008535C1" w:rsidP="00774290">
      <w:pPr>
        <w:spacing w:line="276" w:lineRule="auto"/>
        <w:jc w:val="both"/>
        <w:rPr>
          <w:rFonts w:cstheme="minorHAnsi"/>
          <w:color w:val="000000"/>
          <w:shd w:val="clear" w:color="auto" w:fill="FFFFFF"/>
        </w:rPr>
      </w:pPr>
      <w:r>
        <w:rPr>
          <w:rFonts w:cstheme="minorHAnsi"/>
          <w:color w:val="000000"/>
          <w:shd w:val="clear" w:color="auto" w:fill="FFFFFF"/>
        </w:rPr>
        <w:t>As more jurisdictions adopt this approach to violence prevention, greater variations of the scheme – and the language used within it – emerge, which may increase public and statutory confusion around how it operates.</w:t>
      </w:r>
    </w:p>
    <w:p w14:paraId="3D94C9C9" w14:textId="77777777" w:rsidR="008535C1" w:rsidRDefault="008535C1" w:rsidP="00774290">
      <w:pPr>
        <w:spacing w:line="276" w:lineRule="auto"/>
        <w:jc w:val="both"/>
        <w:rPr>
          <w:rFonts w:cstheme="minorHAnsi"/>
          <w:color w:val="000000"/>
          <w:shd w:val="clear" w:color="auto" w:fill="FFFFFF"/>
        </w:rPr>
      </w:pPr>
    </w:p>
    <w:p w14:paraId="2E753296" w14:textId="100DECDA" w:rsidR="0035123C" w:rsidRPr="008535C1" w:rsidRDefault="0035123C" w:rsidP="007F27B0">
      <w:pPr>
        <w:pStyle w:val="Heading1"/>
        <w:rPr>
          <w:shd w:val="clear" w:color="auto" w:fill="FFFFFF"/>
        </w:rPr>
      </w:pPr>
      <w:r w:rsidRPr="00AD125E">
        <w:rPr>
          <w:shd w:val="clear" w:color="auto" w:fill="FFFFFF"/>
        </w:rPr>
        <w:t xml:space="preserve">Updated </w:t>
      </w:r>
      <w:r w:rsidR="00874F03">
        <w:rPr>
          <w:shd w:val="clear" w:color="auto" w:fill="FFFFFF"/>
        </w:rPr>
        <w:t>G</w:t>
      </w:r>
      <w:r w:rsidRPr="00AD125E">
        <w:rPr>
          <w:shd w:val="clear" w:color="auto" w:fill="FFFFFF"/>
        </w:rPr>
        <w:t xml:space="preserve">uidance </w:t>
      </w:r>
    </w:p>
    <w:p w14:paraId="796046A1" w14:textId="233D7AA4" w:rsidR="005E0C01" w:rsidRPr="00D96AD9" w:rsidRDefault="00D96AD9" w:rsidP="00D96AD9">
      <w:pPr>
        <w:autoSpaceDE w:val="0"/>
        <w:autoSpaceDN w:val="0"/>
        <w:adjustRightInd w:val="0"/>
        <w:spacing w:line="276" w:lineRule="auto"/>
        <w:jc w:val="both"/>
        <w:rPr>
          <w:rFonts w:cstheme="minorHAnsi"/>
        </w:rPr>
      </w:pPr>
      <w:r>
        <w:rPr>
          <w:rFonts w:cstheme="minorHAnsi"/>
          <w:color w:val="000000"/>
          <w:shd w:val="clear" w:color="auto" w:fill="FFFFFF"/>
        </w:rPr>
        <w:t xml:space="preserve">A core body of academics have offered critical insight into these schemes, leading to the Home Office soliciting their input on the most recent version of the DVDS Guidance (Home Office, 2023). </w:t>
      </w:r>
      <w:r>
        <w:rPr>
          <w:rFonts w:cstheme="minorHAnsi"/>
        </w:rPr>
        <w:t xml:space="preserve">This research </w:t>
      </w:r>
      <w:r w:rsidRPr="00A735D0">
        <w:rPr>
          <w:rFonts w:cstheme="minorHAnsi"/>
        </w:rPr>
        <w:t>has examined the principles underpinning the</w:t>
      </w:r>
      <w:r>
        <w:rPr>
          <w:rFonts w:cstheme="minorHAnsi"/>
        </w:rPr>
        <w:t>se schemes</w:t>
      </w:r>
      <w:r w:rsidRPr="00A735D0">
        <w:rPr>
          <w:rFonts w:cstheme="minorHAnsi"/>
        </w:rPr>
        <w:t xml:space="preserve"> (Fitz-Gibbon and Walklate, 2017</w:t>
      </w:r>
      <w:r w:rsidR="00260543">
        <w:rPr>
          <w:rFonts w:cstheme="minorHAnsi"/>
        </w:rPr>
        <w:t>; Grace, 2021</w:t>
      </w:r>
      <w:r w:rsidRPr="00A735D0">
        <w:rPr>
          <w:rFonts w:cstheme="minorHAnsi"/>
        </w:rPr>
        <w:t xml:space="preserve">) </w:t>
      </w:r>
      <w:r>
        <w:rPr>
          <w:rFonts w:cstheme="minorHAnsi"/>
        </w:rPr>
        <w:t xml:space="preserve">alongside </w:t>
      </w:r>
      <w:r w:rsidRPr="00A735D0">
        <w:rPr>
          <w:rFonts w:cstheme="minorHAnsi"/>
        </w:rPr>
        <w:t xml:space="preserve">practitioners’ views </w:t>
      </w:r>
      <w:r>
        <w:rPr>
          <w:rFonts w:cstheme="minorHAnsi"/>
        </w:rPr>
        <w:t xml:space="preserve">and engagement with them </w:t>
      </w:r>
      <w:r w:rsidRPr="00A735D0">
        <w:rPr>
          <w:rFonts w:cstheme="minorHAnsi"/>
        </w:rPr>
        <w:t xml:space="preserve">(Duggan, 2018; </w:t>
      </w:r>
      <w:proofErr w:type="spellStart"/>
      <w:r w:rsidRPr="00A735D0">
        <w:rPr>
          <w:rFonts w:cstheme="minorHAnsi"/>
        </w:rPr>
        <w:t>Hadjimatheou</w:t>
      </w:r>
      <w:proofErr w:type="spellEnd"/>
      <w:r w:rsidRPr="00A735D0">
        <w:rPr>
          <w:rFonts w:cstheme="minorHAnsi"/>
        </w:rPr>
        <w:t xml:space="preserve"> and Grace, 202</w:t>
      </w:r>
      <w:r w:rsidR="00004824">
        <w:rPr>
          <w:rFonts w:cstheme="minorHAnsi"/>
        </w:rPr>
        <w:t>1</w:t>
      </w:r>
      <w:r w:rsidRPr="00A735D0">
        <w:rPr>
          <w:rFonts w:cstheme="minorHAnsi"/>
        </w:rPr>
        <w:t>). Recently, research exploring victim</w:t>
      </w:r>
      <w:r>
        <w:rPr>
          <w:rFonts w:cstheme="minorHAnsi"/>
        </w:rPr>
        <w:t>-</w:t>
      </w:r>
      <w:r w:rsidRPr="00A735D0">
        <w:rPr>
          <w:rFonts w:cstheme="minorHAnsi"/>
        </w:rPr>
        <w:t>survivors’ perceptions and/or experiences of accessing the DVDS has emerged in England and Wales (Barlow et al</w:t>
      </w:r>
      <w:r>
        <w:rPr>
          <w:rFonts w:cstheme="minorHAnsi"/>
        </w:rPr>
        <w:t>., 2023</w:t>
      </w:r>
      <w:r w:rsidRPr="00A735D0">
        <w:rPr>
          <w:rFonts w:cstheme="minorHAnsi"/>
        </w:rPr>
        <w:t xml:space="preserve">) and </w:t>
      </w:r>
      <w:r w:rsidR="005838E5">
        <w:rPr>
          <w:rFonts w:cstheme="minorHAnsi"/>
        </w:rPr>
        <w:t xml:space="preserve">is currently underway in </w:t>
      </w:r>
      <w:r w:rsidRPr="00A735D0">
        <w:rPr>
          <w:rFonts w:cstheme="minorHAnsi"/>
        </w:rPr>
        <w:t>Australia (Fitz</w:t>
      </w:r>
      <w:r w:rsidR="00BF1B24">
        <w:rPr>
          <w:rFonts w:cstheme="minorHAnsi"/>
        </w:rPr>
        <w:t>-G</w:t>
      </w:r>
      <w:r w:rsidRPr="00A735D0">
        <w:rPr>
          <w:rFonts w:cstheme="minorHAnsi"/>
        </w:rPr>
        <w:t>ibbon et al</w:t>
      </w:r>
      <w:r w:rsidR="005838E5">
        <w:rPr>
          <w:rFonts w:cstheme="minorHAnsi"/>
        </w:rPr>
        <w:t>.</w:t>
      </w:r>
      <w:r w:rsidR="00BF1B24">
        <w:rPr>
          <w:rFonts w:cstheme="minorHAnsi"/>
        </w:rPr>
        <w:t>,</w:t>
      </w:r>
      <w:r w:rsidR="005838E5">
        <w:rPr>
          <w:rFonts w:cstheme="minorHAnsi"/>
        </w:rPr>
        <w:t xml:space="preserve"> 2023</w:t>
      </w:r>
      <w:r w:rsidRPr="00A735D0">
        <w:rPr>
          <w:rFonts w:cstheme="minorHAnsi"/>
        </w:rPr>
        <w:t>).</w:t>
      </w:r>
    </w:p>
    <w:p w14:paraId="482BD808" w14:textId="77777777" w:rsidR="00B515A1" w:rsidRDefault="00B515A1" w:rsidP="00B515A1">
      <w:pPr>
        <w:spacing w:line="276" w:lineRule="auto"/>
        <w:jc w:val="both"/>
        <w:rPr>
          <w:rFonts w:cstheme="minorHAnsi"/>
          <w:color w:val="000000"/>
          <w:shd w:val="clear" w:color="auto" w:fill="FFFFFF"/>
        </w:rPr>
      </w:pPr>
    </w:p>
    <w:p w14:paraId="2D56F25E" w14:textId="1AB2EC69" w:rsidR="002644B7" w:rsidRDefault="00B515A1" w:rsidP="00774290">
      <w:pPr>
        <w:spacing w:line="276" w:lineRule="auto"/>
        <w:jc w:val="both"/>
        <w:rPr>
          <w:rFonts w:cstheme="minorHAnsi"/>
          <w:color w:val="000000"/>
          <w:shd w:val="clear" w:color="auto" w:fill="FFFFFF"/>
        </w:rPr>
      </w:pPr>
      <w:r>
        <w:rPr>
          <w:rFonts w:cstheme="minorHAnsi"/>
          <w:color w:val="000000"/>
          <w:shd w:val="clear" w:color="auto" w:fill="FFFFFF"/>
        </w:rPr>
        <w:t xml:space="preserve">In England and Wales, the </w:t>
      </w:r>
      <w:r w:rsidRPr="008527C6">
        <w:rPr>
          <w:rFonts w:cstheme="minorHAnsi"/>
          <w:color w:val="000000"/>
          <w:shd w:val="clear" w:color="auto" w:fill="FFFFFF"/>
        </w:rPr>
        <w:t>Domestic Abuse Act 2021 placed the DVDS on a statutory footing</w:t>
      </w:r>
      <w:r>
        <w:rPr>
          <w:rFonts w:cstheme="minorHAnsi"/>
          <w:color w:val="000000"/>
          <w:shd w:val="clear" w:color="auto" w:fill="FFFFFF"/>
        </w:rPr>
        <w:t xml:space="preserve">, requiring </w:t>
      </w:r>
      <w:r w:rsidRPr="008527C6">
        <w:rPr>
          <w:rFonts w:cstheme="minorHAnsi"/>
          <w:color w:val="000000"/>
          <w:shd w:val="clear" w:color="auto" w:fill="FFFFFF"/>
        </w:rPr>
        <w:t>the police to pay due regard to the updated Home Office DVDS Guidance document</w:t>
      </w:r>
      <w:r>
        <w:rPr>
          <w:rFonts w:cstheme="minorHAnsi"/>
          <w:color w:val="000000"/>
          <w:shd w:val="clear" w:color="auto" w:fill="FFFFFF"/>
        </w:rPr>
        <w:t xml:space="preserve"> (Home Office, 2023). </w:t>
      </w:r>
      <w:r w:rsidR="00AB4AE8">
        <w:rPr>
          <w:rFonts w:cstheme="minorHAnsi"/>
          <w:color w:val="000000"/>
          <w:shd w:val="clear" w:color="auto" w:fill="FFFFFF"/>
        </w:rPr>
        <w:t>Traditionally</w:t>
      </w:r>
      <w:r>
        <w:rPr>
          <w:rFonts w:cstheme="minorHAnsi"/>
          <w:color w:val="000000"/>
          <w:shd w:val="clear" w:color="auto" w:fill="FFFFFF"/>
        </w:rPr>
        <w:t xml:space="preserve">, the disclosure of DVDS information was at the discretion of individual police forces, leading to considerable variability in disclosure rates across England and Wales. The new statutory duty </w:t>
      </w:r>
      <w:r w:rsidR="00AB4AE8">
        <w:rPr>
          <w:rFonts w:cstheme="minorHAnsi"/>
          <w:color w:val="000000"/>
          <w:shd w:val="clear" w:color="auto" w:fill="FFFFFF"/>
        </w:rPr>
        <w:t xml:space="preserve">seeks </w:t>
      </w:r>
      <w:r>
        <w:rPr>
          <w:rFonts w:cstheme="minorHAnsi"/>
          <w:color w:val="000000"/>
          <w:shd w:val="clear" w:color="auto" w:fill="FFFFFF"/>
        </w:rPr>
        <w:t xml:space="preserve">to ensure that police forces apply the DVDS in a more </w:t>
      </w:r>
      <w:r w:rsidR="00AB4AE8">
        <w:rPr>
          <w:rFonts w:cstheme="minorHAnsi"/>
          <w:color w:val="000000"/>
          <w:shd w:val="clear" w:color="auto" w:fill="FFFFFF"/>
        </w:rPr>
        <w:t xml:space="preserve">equitable and </w:t>
      </w:r>
      <w:r>
        <w:rPr>
          <w:rFonts w:cstheme="minorHAnsi"/>
          <w:color w:val="000000"/>
          <w:shd w:val="clear" w:color="auto" w:fill="FFFFFF"/>
        </w:rPr>
        <w:t>consistent manner</w:t>
      </w:r>
      <w:r w:rsidR="00AB4AE8">
        <w:rPr>
          <w:rFonts w:cstheme="minorHAnsi"/>
          <w:color w:val="000000"/>
          <w:shd w:val="clear" w:color="auto" w:fill="FFFFFF"/>
        </w:rPr>
        <w:t xml:space="preserve"> through paying closer attention to the Guidance document</w:t>
      </w:r>
      <w:r>
        <w:rPr>
          <w:rFonts w:cstheme="minorHAnsi"/>
          <w:color w:val="000000"/>
          <w:shd w:val="clear" w:color="auto" w:fill="FFFFFF"/>
        </w:rPr>
        <w:t xml:space="preserve">. </w:t>
      </w:r>
      <w:r w:rsidR="00AB4AE8">
        <w:rPr>
          <w:rFonts w:cstheme="minorHAnsi"/>
          <w:color w:val="000000"/>
          <w:shd w:val="clear" w:color="auto" w:fill="FFFFFF"/>
        </w:rPr>
        <w:t xml:space="preserve">The new Guidance also </w:t>
      </w:r>
      <w:r w:rsidR="002F3631">
        <w:rPr>
          <w:rFonts w:cstheme="minorHAnsi"/>
          <w:color w:val="000000"/>
          <w:shd w:val="clear" w:color="auto" w:fill="FFFFFF"/>
        </w:rPr>
        <w:t>reduc</w:t>
      </w:r>
      <w:r w:rsidR="00AB4AE8">
        <w:rPr>
          <w:rFonts w:cstheme="minorHAnsi"/>
          <w:color w:val="000000"/>
          <w:shd w:val="clear" w:color="auto" w:fill="FFFFFF"/>
        </w:rPr>
        <w:t>es</w:t>
      </w:r>
      <w:r w:rsidR="002F3631">
        <w:rPr>
          <w:rFonts w:cstheme="minorHAnsi"/>
          <w:color w:val="000000"/>
          <w:shd w:val="clear" w:color="auto" w:fill="FFFFFF"/>
        </w:rPr>
        <w:t xml:space="preserve"> the timeframes for police to disclose information about an individual’s violence or abusive behaviour from 35 to 28 days.</w:t>
      </w:r>
      <w:r w:rsidR="00AB4AE8">
        <w:rPr>
          <w:rFonts w:cstheme="minorHAnsi"/>
          <w:color w:val="000000"/>
          <w:shd w:val="clear" w:color="auto" w:fill="FFFFFF"/>
        </w:rPr>
        <w:t xml:space="preserve"> This became a key area of concern following media inquiries into disclosures taking longer than 35 days (Lowe, 2021) coupled with the tragic cases of women – such as Rosie Darbyshire – being murdered by their abusive partners while their Clare’s Law applications were being considered (Oppenheim, 2019). </w:t>
      </w:r>
      <w:r w:rsidR="002F3631">
        <w:rPr>
          <w:rFonts w:cstheme="minorHAnsi"/>
          <w:color w:val="000000"/>
          <w:shd w:val="clear" w:color="auto" w:fill="FFFFFF"/>
        </w:rPr>
        <w:t xml:space="preserve"> </w:t>
      </w:r>
    </w:p>
    <w:p w14:paraId="1C18EFED" w14:textId="77777777" w:rsidR="002644B7" w:rsidRDefault="002644B7" w:rsidP="00774290">
      <w:pPr>
        <w:spacing w:line="276" w:lineRule="auto"/>
        <w:jc w:val="both"/>
        <w:rPr>
          <w:rFonts w:cstheme="minorHAnsi"/>
          <w:color w:val="000000"/>
          <w:shd w:val="clear" w:color="auto" w:fill="FFFFFF"/>
        </w:rPr>
      </w:pPr>
    </w:p>
    <w:p w14:paraId="25770B20" w14:textId="77777777" w:rsidR="00B91C40" w:rsidRDefault="00B91C40" w:rsidP="00B91C40">
      <w:pPr>
        <w:spacing w:line="276" w:lineRule="auto"/>
        <w:jc w:val="both"/>
        <w:rPr>
          <w:rFonts w:cstheme="minorHAnsi"/>
          <w:color w:val="000000"/>
          <w:shd w:val="clear" w:color="auto" w:fill="FFFFFF"/>
        </w:rPr>
      </w:pPr>
      <w:r>
        <w:rPr>
          <w:rFonts w:cstheme="minorHAnsi"/>
          <w:color w:val="000000"/>
          <w:shd w:val="clear" w:color="auto" w:fill="FFFFFF"/>
        </w:rPr>
        <w:t xml:space="preserve">Given this context, and the growing level of international adoption of such schemes, the editors of this Special Section considered it timely to offer critical scrutiny on the efficacy of such schemes. </w:t>
      </w:r>
    </w:p>
    <w:p w14:paraId="5137196D" w14:textId="77777777" w:rsidR="002644B7" w:rsidRPr="008527C6" w:rsidRDefault="002644B7" w:rsidP="00774290">
      <w:pPr>
        <w:spacing w:line="276" w:lineRule="auto"/>
        <w:jc w:val="both"/>
        <w:rPr>
          <w:rFonts w:cstheme="minorHAnsi"/>
          <w:color w:val="000000"/>
          <w:shd w:val="clear" w:color="auto" w:fill="FFFFFF"/>
        </w:rPr>
      </w:pPr>
    </w:p>
    <w:p w14:paraId="625EA422" w14:textId="01442FF4" w:rsidR="00233A6B" w:rsidRPr="008535C1" w:rsidRDefault="00233A6B" w:rsidP="007F27B0">
      <w:pPr>
        <w:pStyle w:val="Heading1"/>
        <w:rPr>
          <w:shd w:val="clear" w:color="auto" w:fill="FFFFFF"/>
        </w:rPr>
      </w:pPr>
      <w:r w:rsidRPr="00233A6B">
        <w:rPr>
          <w:shd w:val="clear" w:color="auto" w:fill="FFFFFF"/>
        </w:rPr>
        <w:t xml:space="preserve">Contents </w:t>
      </w:r>
    </w:p>
    <w:p w14:paraId="2CABDED2" w14:textId="2777A2BC" w:rsidR="007064D1" w:rsidRPr="00FD26B8" w:rsidRDefault="00F76FCE" w:rsidP="00FD26B8">
      <w:pPr>
        <w:spacing w:line="276" w:lineRule="auto"/>
        <w:jc w:val="both"/>
        <w:rPr>
          <w:rFonts w:cstheme="minorHAnsi"/>
        </w:rPr>
      </w:pPr>
      <w:r w:rsidRPr="008527C6">
        <w:rPr>
          <w:rFonts w:cstheme="minorHAnsi"/>
          <w:color w:val="000000"/>
          <w:shd w:val="clear" w:color="auto" w:fill="FFFFFF"/>
        </w:rPr>
        <w:t xml:space="preserve">This </w:t>
      </w:r>
      <w:r w:rsidR="008527C6" w:rsidRPr="008527C6">
        <w:rPr>
          <w:rFonts w:cstheme="minorHAnsi"/>
          <w:color w:val="000000"/>
          <w:shd w:val="clear" w:color="auto" w:fill="FFFFFF"/>
        </w:rPr>
        <w:t xml:space="preserve">Special </w:t>
      </w:r>
      <w:r w:rsidR="00EF5CEA">
        <w:rPr>
          <w:rFonts w:cstheme="minorHAnsi"/>
          <w:color w:val="000000"/>
          <w:shd w:val="clear" w:color="auto" w:fill="FFFFFF"/>
        </w:rPr>
        <w:t>Section</w:t>
      </w:r>
      <w:r w:rsidR="008527C6" w:rsidRPr="008527C6">
        <w:rPr>
          <w:rFonts w:cstheme="minorHAnsi"/>
          <w:color w:val="000000"/>
          <w:shd w:val="clear" w:color="auto" w:fill="FFFFFF"/>
        </w:rPr>
        <w:t xml:space="preserve"> </w:t>
      </w:r>
      <w:r w:rsidRPr="008527C6">
        <w:rPr>
          <w:rFonts w:cstheme="minorHAnsi"/>
          <w:color w:val="000000"/>
          <w:shd w:val="clear" w:color="auto" w:fill="FFFFFF"/>
        </w:rPr>
        <w:t xml:space="preserve">provides </w:t>
      </w:r>
      <w:r w:rsidR="001236EC">
        <w:rPr>
          <w:rFonts w:cstheme="minorHAnsi"/>
          <w:color w:val="000000"/>
          <w:shd w:val="clear" w:color="auto" w:fill="FFFFFF"/>
        </w:rPr>
        <w:t xml:space="preserve">a contemporary and international </w:t>
      </w:r>
      <w:r w:rsidRPr="008527C6">
        <w:rPr>
          <w:rFonts w:cstheme="minorHAnsi"/>
          <w:color w:val="000000"/>
          <w:shd w:val="clear" w:color="auto" w:fill="FFFFFF"/>
        </w:rPr>
        <w:t xml:space="preserve">reflection </w:t>
      </w:r>
      <w:r w:rsidR="001236EC">
        <w:rPr>
          <w:rFonts w:cstheme="minorHAnsi"/>
          <w:color w:val="000000"/>
          <w:shd w:val="clear" w:color="auto" w:fill="FFFFFF"/>
        </w:rPr>
        <w:t xml:space="preserve">on </w:t>
      </w:r>
      <w:r w:rsidRPr="008527C6">
        <w:rPr>
          <w:rFonts w:cstheme="minorHAnsi"/>
          <w:color w:val="000000"/>
          <w:shd w:val="clear" w:color="auto" w:fill="FFFFFF"/>
        </w:rPr>
        <w:t xml:space="preserve">the </w:t>
      </w:r>
      <w:r w:rsidR="001236EC">
        <w:rPr>
          <w:rFonts w:cstheme="minorHAnsi"/>
          <w:color w:val="000000"/>
          <w:shd w:val="clear" w:color="auto" w:fill="FFFFFF"/>
        </w:rPr>
        <w:t xml:space="preserve">varied </w:t>
      </w:r>
      <w:r w:rsidRPr="008527C6">
        <w:rPr>
          <w:rFonts w:cstheme="minorHAnsi"/>
          <w:color w:val="000000"/>
          <w:shd w:val="clear" w:color="auto" w:fill="FFFFFF"/>
        </w:rPr>
        <w:t xml:space="preserve">strengths and limitations of </w:t>
      </w:r>
      <w:r w:rsidR="001236EC">
        <w:rPr>
          <w:rFonts w:cstheme="minorHAnsi"/>
          <w:color w:val="000000"/>
          <w:shd w:val="clear" w:color="auto" w:fill="FFFFFF"/>
        </w:rPr>
        <w:t xml:space="preserve">using </w:t>
      </w:r>
      <w:r w:rsidR="008527C6" w:rsidRPr="008527C6">
        <w:rPr>
          <w:rFonts w:cstheme="minorHAnsi"/>
          <w:color w:val="000000"/>
          <w:shd w:val="clear" w:color="auto" w:fill="FFFFFF"/>
        </w:rPr>
        <w:t xml:space="preserve">disclosure schemes </w:t>
      </w:r>
      <w:r w:rsidR="001236EC">
        <w:rPr>
          <w:rFonts w:cstheme="minorHAnsi"/>
          <w:color w:val="000000"/>
          <w:shd w:val="clear" w:color="auto" w:fill="FFFFFF"/>
        </w:rPr>
        <w:t xml:space="preserve">to </w:t>
      </w:r>
      <w:r w:rsidRPr="008527C6">
        <w:rPr>
          <w:rFonts w:cstheme="minorHAnsi"/>
          <w:color w:val="000000"/>
          <w:shd w:val="clear" w:color="auto" w:fill="FFFFFF"/>
        </w:rPr>
        <w:t>tack</w:t>
      </w:r>
      <w:r w:rsidR="001236EC">
        <w:rPr>
          <w:rFonts w:cstheme="minorHAnsi"/>
          <w:color w:val="000000"/>
          <w:shd w:val="clear" w:color="auto" w:fill="FFFFFF"/>
        </w:rPr>
        <w:t>le</w:t>
      </w:r>
      <w:r w:rsidRPr="008527C6">
        <w:rPr>
          <w:rFonts w:cstheme="minorHAnsi"/>
          <w:color w:val="000000"/>
          <w:shd w:val="clear" w:color="auto" w:fill="FFFFFF"/>
        </w:rPr>
        <w:t xml:space="preserve"> domestic violence and abuse</w:t>
      </w:r>
      <w:r w:rsidR="002379F8">
        <w:rPr>
          <w:rFonts w:cstheme="minorHAnsi"/>
          <w:color w:val="000000"/>
          <w:shd w:val="clear" w:color="auto" w:fill="FFFFFF"/>
        </w:rPr>
        <w:t xml:space="preserve">, considering the broader issue of the extent to which the criminal justice system is able to empower victim-survivors. </w:t>
      </w:r>
      <w:r w:rsidR="002C5E78">
        <w:rPr>
          <w:rFonts w:cstheme="minorHAnsi"/>
        </w:rPr>
        <w:t>The contribution</w:t>
      </w:r>
      <w:r w:rsidR="007B71A8">
        <w:rPr>
          <w:rFonts w:cstheme="minorHAnsi"/>
        </w:rPr>
        <w:t>s</w:t>
      </w:r>
      <w:r w:rsidR="0071558D" w:rsidRPr="008527C6">
        <w:rPr>
          <w:rFonts w:cstheme="minorHAnsi"/>
        </w:rPr>
        <w:t xml:space="preserve"> critically reflect on who</w:t>
      </w:r>
      <w:r w:rsidR="002C5E78">
        <w:rPr>
          <w:rFonts w:cstheme="minorHAnsi"/>
        </w:rPr>
        <w:t>se</w:t>
      </w:r>
      <w:r w:rsidR="0071558D" w:rsidRPr="008527C6">
        <w:rPr>
          <w:rFonts w:cstheme="minorHAnsi"/>
        </w:rPr>
        <w:t xml:space="preserve"> </w:t>
      </w:r>
      <w:r w:rsidR="002C5E78">
        <w:rPr>
          <w:rFonts w:cstheme="minorHAnsi"/>
        </w:rPr>
        <w:t xml:space="preserve">interests </w:t>
      </w:r>
      <w:r w:rsidR="0071558D" w:rsidRPr="008527C6">
        <w:rPr>
          <w:rFonts w:cstheme="minorHAnsi"/>
        </w:rPr>
        <w:t>DVDS</w:t>
      </w:r>
      <w:r w:rsidR="009257F2">
        <w:rPr>
          <w:rFonts w:cstheme="minorHAnsi"/>
        </w:rPr>
        <w:t>s</w:t>
      </w:r>
      <w:r w:rsidR="0071558D" w:rsidRPr="008527C6">
        <w:rPr>
          <w:rFonts w:cstheme="minorHAnsi"/>
        </w:rPr>
        <w:t xml:space="preserve"> </w:t>
      </w:r>
      <w:r w:rsidR="002C5E78">
        <w:rPr>
          <w:rFonts w:cstheme="minorHAnsi"/>
        </w:rPr>
        <w:t>serve</w:t>
      </w:r>
      <w:r w:rsidR="0071558D" w:rsidRPr="008527C6">
        <w:rPr>
          <w:rFonts w:cstheme="minorHAnsi"/>
        </w:rPr>
        <w:t xml:space="preserve">, under what circumstances, and the extent to which such schemes and the criminal justice system more broadly are able to empower women and keep them safe. </w:t>
      </w:r>
      <w:r w:rsidR="00774290">
        <w:rPr>
          <w:rFonts w:cstheme="minorHAnsi"/>
        </w:rPr>
        <w:t xml:space="preserve">The </w:t>
      </w:r>
      <w:r w:rsidR="001236EC">
        <w:rPr>
          <w:rFonts w:cstheme="minorHAnsi"/>
        </w:rPr>
        <w:t xml:space="preserve">articles in this Special Section </w:t>
      </w:r>
      <w:r w:rsidR="00774290">
        <w:rPr>
          <w:rFonts w:cstheme="minorHAnsi"/>
        </w:rPr>
        <w:t xml:space="preserve">offer the first comprehensive and nuanced analysis of how domestic abuse disclosure schemes are operating and experienced by those involved with them, from victims and specialists through to policy makers and </w:t>
      </w:r>
      <w:r w:rsidR="00554623">
        <w:rPr>
          <w:rFonts w:cstheme="minorHAnsi"/>
        </w:rPr>
        <w:t xml:space="preserve">the statutory sector. </w:t>
      </w:r>
      <w:r w:rsidR="00EF5CEA">
        <w:rPr>
          <w:rFonts w:cstheme="minorHAnsi"/>
        </w:rPr>
        <w:t xml:space="preserve">The contributors are all </w:t>
      </w:r>
      <w:r w:rsidR="00554623">
        <w:rPr>
          <w:rFonts w:cstheme="minorHAnsi"/>
        </w:rPr>
        <w:t xml:space="preserve">engaged in </w:t>
      </w:r>
      <w:r w:rsidR="00EF5CEA">
        <w:rPr>
          <w:rFonts w:cstheme="minorHAnsi"/>
        </w:rPr>
        <w:t xml:space="preserve">research </w:t>
      </w:r>
      <w:r w:rsidR="00554623">
        <w:rPr>
          <w:rFonts w:cstheme="minorHAnsi"/>
        </w:rPr>
        <w:t xml:space="preserve">exploring </w:t>
      </w:r>
      <w:r w:rsidR="00EF5CEA">
        <w:rPr>
          <w:rFonts w:cstheme="minorHAnsi"/>
        </w:rPr>
        <w:t>domestic abuse disclosure schemes</w:t>
      </w:r>
      <w:r w:rsidR="00774290">
        <w:rPr>
          <w:rFonts w:cstheme="minorHAnsi"/>
        </w:rPr>
        <w:t xml:space="preserve">, </w:t>
      </w:r>
      <w:r w:rsidR="00554623">
        <w:rPr>
          <w:rFonts w:cstheme="minorHAnsi"/>
        </w:rPr>
        <w:t xml:space="preserve">adopting a feminist socio-legal approach to examining the nature and impact of this type of </w:t>
      </w:r>
      <w:r w:rsidR="00774290">
        <w:rPr>
          <w:rFonts w:cstheme="minorHAnsi"/>
        </w:rPr>
        <w:t>polic</w:t>
      </w:r>
      <w:r w:rsidR="00554623">
        <w:rPr>
          <w:rFonts w:cstheme="minorHAnsi"/>
        </w:rPr>
        <w:t>y</w:t>
      </w:r>
      <w:r w:rsidR="00774290">
        <w:rPr>
          <w:rFonts w:cstheme="minorHAnsi"/>
        </w:rPr>
        <w:t>.</w:t>
      </w:r>
      <w:r w:rsidR="00554623">
        <w:rPr>
          <w:rFonts w:cstheme="minorHAnsi"/>
        </w:rPr>
        <w:t xml:space="preserve"> </w:t>
      </w:r>
    </w:p>
    <w:p w14:paraId="4D8B93B3" w14:textId="77777777" w:rsidR="00301BDE" w:rsidRDefault="00301BDE" w:rsidP="00301BDE">
      <w:pPr>
        <w:autoSpaceDE w:val="0"/>
        <w:autoSpaceDN w:val="0"/>
        <w:adjustRightInd w:val="0"/>
        <w:spacing w:line="276" w:lineRule="auto"/>
        <w:rPr>
          <w:rFonts w:cstheme="minorHAnsi"/>
        </w:rPr>
      </w:pPr>
    </w:p>
    <w:p w14:paraId="182AC598" w14:textId="18EE4ECB" w:rsidR="00301BDE" w:rsidRPr="00301BDE" w:rsidRDefault="002079B8" w:rsidP="00396A4C">
      <w:pPr>
        <w:autoSpaceDE w:val="0"/>
        <w:autoSpaceDN w:val="0"/>
        <w:adjustRightInd w:val="0"/>
        <w:spacing w:line="276" w:lineRule="auto"/>
        <w:jc w:val="both"/>
        <w:rPr>
          <w:rFonts w:cstheme="minorHAnsi"/>
        </w:rPr>
      </w:pPr>
      <w:r>
        <w:rPr>
          <w:rFonts w:cstheme="minorHAnsi"/>
        </w:rPr>
        <w:t xml:space="preserve">The first article in this collection is </w:t>
      </w:r>
      <w:r w:rsidR="000C19FF">
        <w:rPr>
          <w:rFonts w:cstheme="minorHAnsi"/>
        </w:rPr>
        <w:t>‘</w:t>
      </w:r>
      <w:r w:rsidR="00301BDE" w:rsidRPr="000C19FF">
        <w:rPr>
          <w:rFonts w:cstheme="minorHAnsi"/>
        </w:rPr>
        <w:t xml:space="preserve">Criminal Justice Policy and Victim-Survivor Empowerment: A Case Study of Domestic Violence Disclosure Schemes in England and </w:t>
      </w:r>
      <w:proofErr w:type="spellStart"/>
      <w:r w:rsidR="00301BDE" w:rsidRPr="000C19FF">
        <w:rPr>
          <w:rFonts w:cstheme="minorHAnsi"/>
        </w:rPr>
        <w:t>Wales</w:t>
      </w:r>
      <w:r w:rsidR="000C19FF">
        <w:rPr>
          <w:rFonts w:cstheme="minorHAnsi"/>
        </w:rPr>
        <w:t>’</w:t>
      </w:r>
      <w:proofErr w:type="spellEnd"/>
      <w:r>
        <w:rPr>
          <w:rFonts w:cstheme="minorHAnsi"/>
        </w:rPr>
        <w:t xml:space="preserve"> by </w:t>
      </w:r>
      <w:r w:rsidRPr="00301BDE">
        <w:rPr>
          <w:rFonts w:cstheme="minorHAnsi"/>
        </w:rPr>
        <w:t>Charlotte Barlow, Sandra Walklate and Nicole Renehan</w:t>
      </w:r>
      <w:r>
        <w:rPr>
          <w:rFonts w:cstheme="minorHAnsi"/>
        </w:rPr>
        <w:t>.</w:t>
      </w:r>
      <w:r w:rsidR="00301BDE">
        <w:rPr>
          <w:rFonts w:cstheme="minorHAnsi"/>
        </w:rPr>
        <w:t xml:space="preserve"> </w:t>
      </w:r>
      <w:r w:rsidR="00383D64">
        <w:rPr>
          <w:rFonts w:cstheme="minorHAnsi"/>
        </w:rPr>
        <w:t>The authors d</w:t>
      </w:r>
      <w:r w:rsidR="00301BDE">
        <w:rPr>
          <w:rFonts w:cstheme="minorHAnsi"/>
        </w:rPr>
        <w:t>raw</w:t>
      </w:r>
      <w:r w:rsidR="00383D64">
        <w:rPr>
          <w:rFonts w:cstheme="minorHAnsi"/>
        </w:rPr>
        <w:t xml:space="preserve"> from</w:t>
      </w:r>
      <w:r w:rsidR="00301BDE">
        <w:rPr>
          <w:rFonts w:cstheme="minorHAnsi"/>
        </w:rPr>
        <w:t xml:space="preserve"> the findings of their </w:t>
      </w:r>
      <w:r w:rsidR="00301BDE" w:rsidRPr="0071558D">
        <w:rPr>
          <w:rFonts w:cstheme="minorHAnsi"/>
        </w:rPr>
        <w:t>British Academy</w:t>
      </w:r>
      <w:r w:rsidR="00D64E04">
        <w:rPr>
          <w:rFonts w:cstheme="minorHAnsi"/>
        </w:rPr>
        <w:t>-</w:t>
      </w:r>
      <w:r w:rsidR="00301BDE" w:rsidRPr="0071558D">
        <w:rPr>
          <w:rFonts w:cstheme="minorHAnsi"/>
        </w:rPr>
        <w:t xml:space="preserve">funded project, </w:t>
      </w:r>
      <w:r w:rsidR="00383D64">
        <w:rPr>
          <w:rFonts w:cstheme="minorHAnsi"/>
        </w:rPr>
        <w:t xml:space="preserve">the first empirical research to </w:t>
      </w:r>
      <w:r w:rsidR="00301BDE" w:rsidRPr="0071558D">
        <w:rPr>
          <w:rFonts w:cstheme="minorHAnsi"/>
        </w:rPr>
        <w:t>involve speaking with women about their experiences and perceptions of Clare’s Law</w:t>
      </w:r>
      <w:r w:rsidR="00383D64">
        <w:rPr>
          <w:rFonts w:cstheme="minorHAnsi"/>
        </w:rPr>
        <w:t>.</w:t>
      </w:r>
      <w:r w:rsidR="00301BDE">
        <w:rPr>
          <w:rFonts w:cstheme="minorHAnsi"/>
        </w:rPr>
        <w:t xml:space="preserve"> </w:t>
      </w:r>
      <w:r w:rsidR="00383D64">
        <w:rPr>
          <w:rFonts w:cstheme="minorHAnsi"/>
        </w:rPr>
        <w:t xml:space="preserve">In presenting their findings, the authors </w:t>
      </w:r>
      <w:r w:rsidR="00301BDE">
        <w:rPr>
          <w:rFonts w:cstheme="minorHAnsi"/>
        </w:rPr>
        <w:t xml:space="preserve">explore </w:t>
      </w:r>
      <w:r w:rsidR="00383D64">
        <w:rPr>
          <w:rFonts w:cstheme="minorHAnsi"/>
        </w:rPr>
        <w:t xml:space="preserve">the degree to which the </w:t>
      </w:r>
      <w:r w:rsidR="00D90A6B">
        <w:rPr>
          <w:rFonts w:cstheme="minorHAnsi"/>
        </w:rPr>
        <w:t xml:space="preserve">victim-survivors </w:t>
      </w:r>
      <w:r w:rsidR="00383D64">
        <w:rPr>
          <w:rFonts w:cstheme="minorHAnsi"/>
        </w:rPr>
        <w:t xml:space="preserve">in their study </w:t>
      </w:r>
      <w:r w:rsidR="00D90A6B">
        <w:rPr>
          <w:rFonts w:cstheme="minorHAnsi"/>
        </w:rPr>
        <w:t>experienc</w:t>
      </w:r>
      <w:r w:rsidR="00383D64">
        <w:rPr>
          <w:rFonts w:cstheme="minorHAnsi"/>
        </w:rPr>
        <w:t>ed</w:t>
      </w:r>
      <w:r w:rsidR="00D90A6B">
        <w:rPr>
          <w:rFonts w:cstheme="minorHAnsi"/>
        </w:rPr>
        <w:t xml:space="preserve"> </w:t>
      </w:r>
      <w:r w:rsidR="00383D64">
        <w:rPr>
          <w:rFonts w:cstheme="minorHAnsi"/>
        </w:rPr>
        <w:t xml:space="preserve">this particular </w:t>
      </w:r>
      <w:r w:rsidR="00301BDE">
        <w:rPr>
          <w:rFonts w:cstheme="minorHAnsi"/>
        </w:rPr>
        <w:t xml:space="preserve">domestic </w:t>
      </w:r>
      <w:r w:rsidR="00383D64">
        <w:rPr>
          <w:rFonts w:cstheme="minorHAnsi"/>
        </w:rPr>
        <w:t xml:space="preserve">abuse </w:t>
      </w:r>
      <w:r w:rsidR="00301BDE">
        <w:rPr>
          <w:rFonts w:cstheme="minorHAnsi"/>
        </w:rPr>
        <w:t xml:space="preserve">disclosure scheme as empowering. </w:t>
      </w:r>
      <w:r w:rsidR="00383D64">
        <w:rPr>
          <w:rFonts w:cstheme="minorHAnsi"/>
        </w:rPr>
        <w:t>The focus on this concept arises from the statutory discourse surrounding Clare’s Law as being one of ‘empowerment’ for domestic abuse victims. T</w:t>
      </w:r>
      <w:r w:rsidR="00D90A6B">
        <w:rPr>
          <w:rFonts w:cstheme="minorHAnsi"/>
        </w:rPr>
        <w:t xml:space="preserve">he analysis </w:t>
      </w:r>
      <w:r w:rsidR="00383D64">
        <w:rPr>
          <w:rFonts w:cstheme="minorHAnsi"/>
        </w:rPr>
        <w:t xml:space="preserve">also </w:t>
      </w:r>
      <w:r w:rsidR="00D90A6B">
        <w:rPr>
          <w:rFonts w:cstheme="minorHAnsi"/>
        </w:rPr>
        <w:t xml:space="preserve">demonstrates </w:t>
      </w:r>
      <w:r w:rsidR="00593000">
        <w:rPr>
          <w:rFonts w:cstheme="minorHAnsi"/>
        </w:rPr>
        <w:t xml:space="preserve">important differences </w:t>
      </w:r>
      <w:r w:rsidR="00D90A6B">
        <w:rPr>
          <w:rFonts w:cstheme="minorHAnsi"/>
        </w:rPr>
        <w:t xml:space="preserve">between </w:t>
      </w:r>
      <w:r w:rsidR="00383D64">
        <w:rPr>
          <w:rFonts w:cstheme="minorHAnsi"/>
        </w:rPr>
        <w:t xml:space="preserve">the police’s implementation of this policy, characterised as </w:t>
      </w:r>
      <w:r w:rsidR="00383D64" w:rsidRPr="00F03B04">
        <w:rPr>
          <w:rFonts w:cstheme="minorHAnsi"/>
        </w:rPr>
        <w:t xml:space="preserve">either </w:t>
      </w:r>
      <w:r w:rsidR="00F03B04">
        <w:rPr>
          <w:rFonts w:cstheme="minorHAnsi"/>
        </w:rPr>
        <w:t>‘</w:t>
      </w:r>
      <w:r w:rsidR="00D90A6B" w:rsidRPr="00F03B04">
        <w:rPr>
          <w:rFonts w:cstheme="minorHAnsi"/>
        </w:rPr>
        <w:t>incident</w:t>
      </w:r>
      <w:r w:rsidR="00F03B04">
        <w:rPr>
          <w:rFonts w:cstheme="minorHAnsi"/>
        </w:rPr>
        <w:t>’</w:t>
      </w:r>
      <w:r w:rsidR="00593000" w:rsidRPr="00F03B04">
        <w:rPr>
          <w:rFonts w:cstheme="minorHAnsi"/>
        </w:rPr>
        <w:t>-</w:t>
      </w:r>
      <w:r w:rsidR="00D90A6B" w:rsidRPr="00F03B04">
        <w:rPr>
          <w:rFonts w:cstheme="minorHAnsi"/>
        </w:rPr>
        <w:t xml:space="preserve"> </w:t>
      </w:r>
      <w:r w:rsidR="00383D64" w:rsidRPr="00F03B04">
        <w:rPr>
          <w:rFonts w:cstheme="minorHAnsi"/>
        </w:rPr>
        <w:t xml:space="preserve">or </w:t>
      </w:r>
      <w:r w:rsidR="00F03B04">
        <w:rPr>
          <w:rFonts w:cstheme="minorHAnsi"/>
        </w:rPr>
        <w:t>‘</w:t>
      </w:r>
      <w:r w:rsidR="00D90A6B" w:rsidRPr="00F03B04">
        <w:rPr>
          <w:rFonts w:cstheme="minorHAnsi"/>
        </w:rPr>
        <w:t>process</w:t>
      </w:r>
      <w:r w:rsidR="00F03B04">
        <w:rPr>
          <w:rFonts w:cstheme="minorHAnsi"/>
        </w:rPr>
        <w:t>’</w:t>
      </w:r>
      <w:r w:rsidR="00593000">
        <w:rPr>
          <w:rFonts w:cstheme="minorHAnsi"/>
        </w:rPr>
        <w:t>-</w:t>
      </w:r>
      <w:r w:rsidR="00D90A6B">
        <w:rPr>
          <w:rFonts w:cstheme="minorHAnsi"/>
        </w:rPr>
        <w:t>centred</w:t>
      </w:r>
      <w:r w:rsidR="00383D64">
        <w:rPr>
          <w:rFonts w:cstheme="minorHAnsi"/>
        </w:rPr>
        <w:t xml:space="preserve"> in nature</w:t>
      </w:r>
      <w:r w:rsidR="006F539A">
        <w:rPr>
          <w:rFonts w:cstheme="minorHAnsi"/>
        </w:rPr>
        <w:t>,</w:t>
      </w:r>
      <w:r w:rsidR="00383D64">
        <w:rPr>
          <w:rFonts w:cstheme="minorHAnsi"/>
        </w:rPr>
        <w:t xml:space="preserve"> </w:t>
      </w:r>
      <w:r w:rsidR="006F539A">
        <w:rPr>
          <w:rFonts w:cstheme="minorHAnsi"/>
        </w:rPr>
        <w:t xml:space="preserve">which impacted </w:t>
      </w:r>
      <w:r w:rsidR="00383D64">
        <w:rPr>
          <w:rFonts w:cstheme="minorHAnsi"/>
        </w:rPr>
        <w:t>considerabl</w:t>
      </w:r>
      <w:r w:rsidR="006F539A">
        <w:rPr>
          <w:rFonts w:cstheme="minorHAnsi"/>
        </w:rPr>
        <w:t xml:space="preserve">y on how supported </w:t>
      </w:r>
      <w:r w:rsidR="00383D64">
        <w:rPr>
          <w:rFonts w:cstheme="minorHAnsi"/>
        </w:rPr>
        <w:t>victims</w:t>
      </w:r>
      <w:r w:rsidR="006F539A">
        <w:rPr>
          <w:rFonts w:cstheme="minorHAnsi"/>
        </w:rPr>
        <w:t xml:space="preserve"> felt.</w:t>
      </w:r>
      <w:r w:rsidR="00D90A6B">
        <w:rPr>
          <w:rFonts w:cstheme="minorHAnsi"/>
        </w:rPr>
        <w:t xml:space="preserve"> </w:t>
      </w:r>
      <w:r w:rsidR="006F539A">
        <w:rPr>
          <w:rFonts w:cstheme="minorHAnsi"/>
        </w:rPr>
        <w:t xml:space="preserve">In conclusion, the authors </w:t>
      </w:r>
      <w:r w:rsidR="00593000">
        <w:rPr>
          <w:rFonts w:cstheme="minorHAnsi"/>
        </w:rPr>
        <w:t xml:space="preserve">highlight </w:t>
      </w:r>
      <w:r w:rsidR="006F539A">
        <w:rPr>
          <w:rFonts w:cstheme="minorHAnsi"/>
        </w:rPr>
        <w:t xml:space="preserve">the empowering nature of listening to </w:t>
      </w:r>
      <w:r>
        <w:rPr>
          <w:rFonts w:cstheme="minorHAnsi"/>
        </w:rPr>
        <w:t>victims</w:t>
      </w:r>
      <w:r w:rsidR="006F539A">
        <w:rPr>
          <w:rFonts w:cstheme="minorHAnsi"/>
        </w:rPr>
        <w:t xml:space="preserve"> and the importance of this in criminal justice policy development</w:t>
      </w:r>
      <w:r w:rsidR="00593000">
        <w:rPr>
          <w:rFonts w:cstheme="minorHAnsi"/>
        </w:rPr>
        <w:t xml:space="preserve">. </w:t>
      </w:r>
    </w:p>
    <w:p w14:paraId="67D1254F" w14:textId="5D58196A" w:rsidR="007064D1" w:rsidRDefault="007064D1" w:rsidP="00396A4C">
      <w:pPr>
        <w:autoSpaceDE w:val="0"/>
        <w:autoSpaceDN w:val="0"/>
        <w:adjustRightInd w:val="0"/>
        <w:spacing w:line="276" w:lineRule="auto"/>
        <w:jc w:val="both"/>
        <w:rPr>
          <w:rFonts w:cstheme="minorHAnsi"/>
        </w:rPr>
      </w:pPr>
    </w:p>
    <w:p w14:paraId="17D3D8EB" w14:textId="66FF1CFC" w:rsidR="00593000" w:rsidRDefault="00E26EE9" w:rsidP="00396A4C">
      <w:pPr>
        <w:autoSpaceDE w:val="0"/>
        <w:autoSpaceDN w:val="0"/>
        <w:adjustRightInd w:val="0"/>
        <w:spacing w:line="276" w:lineRule="auto"/>
        <w:jc w:val="both"/>
        <w:rPr>
          <w:rFonts w:cstheme="minorHAnsi"/>
        </w:rPr>
      </w:pPr>
      <w:r>
        <w:rPr>
          <w:rFonts w:cstheme="minorHAnsi"/>
        </w:rPr>
        <w:t xml:space="preserve">In </w:t>
      </w:r>
      <w:r w:rsidR="001C4FAE">
        <w:rPr>
          <w:rFonts w:cstheme="minorHAnsi"/>
        </w:rPr>
        <w:t>‘</w:t>
      </w:r>
      <w:r w:rsidR="00593000" w:rsidRPr="001C4FAE">
        <w:rPr>
          <w:rFonts w:cstheme="minorHAnsi"/>
        </w:rPr>
        <w:t xml:space="preserve">How </w:t>
      </w:r>
      <w:r w:rsidR="001C4FAE">
        <w:rPr>
          <w:rFonts w:cstheme="minorHAnsi"/>
        </w:rPr>
        <w:t>C</w:t>
      </w:r>
      <w:r w:rsidR="00593000" w:rsidRPr="001C4FAE">
        <w:rPr>
          <w:rFonts w:cstheme="minorHAnsi"/>
        </w:rPr>
        <w:t xml:space="preserve">an a </w:t>
      </w:r>
      <w:r w:rsidR="001C4FAE">
        <w:rPr>
          <w:rFonts w:cstheme="minorHAnsi"/>
        </w:rPr>
        <w:t>G</w:t>
      </w:r>
      <w:r w:rsidR="00593000" w:rsidRPr="001C4FAE">
        <w:rPr>
          <w:rFonts w:cstheme="minorHAnsi"/>
        </w:rPr>
        <w:t xml:space="preserve">rowing </w:t>
      </w:r>
      <w:r w:rsidR="001C4FAE">
        <w:rPr>
          <w:rFonts w:cstheme="minorHAnsi"/>
        </w:rPr>
        <w:t>U</w:t>
      </w:r>
      <w:r w:rsidR="00593000" w:rsidRPr="001C4FAE">
        <w:rPr>
          <w:rFonts w:cstheme="minorHAnsi"/>
        </w:rPr>
        <w:t xml:space="preserve">se of Clare’s Law </w:t>
      </w:r>
      <w:r w:rsidR="001C4FAE">
        <w:rPr>
          <w:rFonts w:cstheme="minorHAnsi"/>
        </w:rPr>
        <w:t>H</w:t>
      </w:r>
      <w:r w:rsidR="00593000" w:rsidRPr="001C4FAE">
        <w:rPr>
          <w:rFonts w:cstheme="minorHAnsi"/>
        </w:rPr>
        <w:t xml:space="preserve">elp </w:t>
      </w:r>
      <w:r w:rsidR="001C4FAE">
        <w:rPr>
          <w:rFonts w:cstheme="minorHAnsi"/>
        </w:rPr>
        <w:t>U</w:t>
      </w:r>
      <w:r w:rsidR="00593000" w:rsidRPr="001C4FAE">
        <w:rPr>
          <w:rFonts w:cstheme="minorHAnsi"/>
        </w:rPr>
        <w:t xml:space="preserve">s </w:t>
      </w:r>
      <w:r w:rsidR="001C4FAE">
        <w:rPr>
          <w:rFonts w:cstheme="minorHAnsi"/>
        </w:rPr>
        <w:t>M</w:t>
      </w:r>
      <w:r w:rsidR="00593000" w:rsidRPr="001C4FAE">
        <w:rPr>
          <w:rFonts w:cstheme="minorHAnsi"/>
        </w:rPr>
        <w:t xml:space="preserve">eet </w:t>
      </w:r>
      <w:r w:rsidR="001C4FAE">
        <w:rPr>
          <w:rFonts w:cstheme="minorHAnsi"/>
        </w:rPr>
        <w:t>H</w:t>
      </w:r>
      <w:r w:rsidR="00593000" w:rsidRPr="001C4FAE">
        <w:rPr>
          <w:rFonts w:cstheme="minorHAnsi"/>
        </w:rPr>
        <w:t xml:space="preserve">uman </w:t>
      </w:r>
      <w:r w:rsidR="001C4FAE">
        <w:rPr>
          <w:rFonts w:cstheme="minorHAnsi"/>
        </w:rPr>
        <w:t>R</w:t>
      </w:r>
      <w:r w:rsidR="00593000" w:rsidRPr="001C4FAE">
        <w:rPr>
          <w:rFonts w:cstheme="minorHAnsi"/>
        </w:rPr>
        <w:t xml:space="preserve">ights </w:t>
      </w:r>
      <w:r w:rsidR="001C4FAE">
        <w:rPr>
          <w:rFonts w:cstheme="minorHAnsi"/>
        </w:rPr>
        <w:t>O</w:t>
      </w:r>
      <w:r w:rsidR="00593000" w:rsidRPr="001C4FAE">
        <w:rPr>
          <w:rFonts w:cstheme="minorHAnsi"/>
        </w:rPr>
        <w:t xml:space="preserve">bligations to </w:t>
      </w:r>
      <w:r w:rsidR="001C4FAE">
        <w:rPr>
          <w:rFonts w:cstheme="minorHAnsi"/>
        </w:rPr>
        <w:t>V</w:t>
      </w:r>
      <w:r w:rsidR="00593000" w:rsidRPr="001C4FAE">
        <w:rPr>
          <w:rFonts w:cstheme="minorHAnsi"/>
        </w:rPr>
        <w:t xml:space="preserve">ictims of </w:t>
      </w:r>
      <w:r w:rsidR="001C4FAE">
        <w:rPr>
          <w:rFonts w:cstheme="minorHAnsi"/>
        </w:rPr>
        <w:t>D</w:t>
      </w:r>
      <w:r w:rsidR="00593000" w:rsidRPr="001C4FAE">
        <w:rPr>
          <w:rFonts w:cstheme="minorHAnsi"/>
        </w:rPr>
        <w:t xml:space="preserve">omestic </w:t>
      </w:r>
      <w:r w:rsidR="001C4FAE">
        <w:rPr>
          <w:rFonts w:cstheme="minorHAnsi"/>
        </w:rPr>
        <w:t>A</w:t>
      </w:r>
      <w:r w:rsidR="00593000" w:rsidRPr="001C4FAE">
        <w:rPr>
          <w:rFonts w:cstheme="minorHAnsi"/>
        </w:rPr>
        <w:t>buse?</w:t>
      </w:r>
      <w:r w:rsidR="001C4FAE">
        <w:rPr>
          <w:rFonts w:cstheme="minorHAnsi"/>
        </w:rPr>
        <w:t>’</w:t>
      </w:r>
      <w:r w:rsidR="00593000">
        <w:rPr>
          <w:rFonts w:cstheme="minorHAnsi"/>
        </w:rPr>
        <w:t xml:space="preserve"> Jamie </w:t>
      </w:r>
      <w:r>
        <w:rPr>
          <w:rFonts w:cstheme="minorHAnsi"/>
        </w:rPr>
        <w:t xml:space="preserve">Grace adopts a legal approach to </w:t>
      </w:r>
      <w:r w:rsidR="00593000">
        <w:rPr>
          <w:rFonts w:cstheme="minorHAnsi"/>
        </w:rPr>
        <w:t>explor</w:t>
      </w:r>
      <w:r>
        <w:rPr>
          <w:rFonts w:cstheme="minorHAnsi"/>
        </w:rPr>
        <w:t>ing</w:t>
      </w:r>
      <w:r w:rsidR="00593000">
        <w:rPr>
          <w:rFonts w:cstheme="minorHAnsi"/>
        </w:rPr>
        <w:t xml:space="preserve"> </w:t>
      </w:r>
      <w:r>
        <w:rPr>
          <w:rFonts w:cstheme="minorHAnsi"/>
        </w:rPr>
        <w:t>the relationship between Clare’s Law/</w:t>
      </w:r>
      <w:r w:rsidR="00593000">
        <w:rPr>
          <w:rFonts w:cstheme="minorHAnsi"/>
        </w:rPr>
        <w:t xml:space="preserve">the DVDS </w:t>
      </w:r>
      <w:r>
        <w:rPr>
          <w:rFonts w:cstheme="minorHAnsi"/>
        </w:rPr>
        <w:t xml:space="preserve">and the standards set out in </w:t>
      </w:r>
      <w:r w:rsidR="00593000">
        <w:rPr>
          <w:rFonts w:cstheme="minorHAnsi"/>
        </w:rPr>
        <w:t xml:space="preserve">human rights </w:t>
      </w:r>
      <w:r>
        <w:rPr>
          <w:rFonts w:cstheme="minorHAnsi"/>
        </w:rPr>
        <w:t>law</w:t>
      </w:r>
      <w:r w:rsidR="00593000">
        <w:rPr>
          <w:rFonts w:cstheme="minorHAnsi"/>
        </w:rPr>
        <w:t xml:space="preserve">. </w:t>
      </w:r>
      <w:r w:rsidR="00E84082">
        <w:rPr>
          <w:rFonts w:cstheme="minorHAnsi"/>
        </w:rPr>
        <w:t xml:space="preserve">The article </w:t>
      </w:r>
      <w:r w:rsidR="00E40120">
        <w:rPr>
          <w:rFonts w:cstheme="minorHAnsi"/>
        </w:rPr>
        <w:t xml:space="preserve">begins by </w:t>
      </w:r>
      <w:r w:rsidR="00466019">
        <w:rPr>
          <w:rFonts w:cstheme="minorHAnsi"/>
        </w:rPr>
        <w:t>map</w:t>
      </w:r>
      <w:r w:rsidR="00E40120">
        <w:rPr>
          <w:rFonts w:cstheme="minorHAnsi"/>
        </w:rPr>
        <w:t>ping</w:t>
      </w:r>
      <w:r w:rsidR="00466019">
        <w:rPr>
          <w:rFonts w:cstheme="minorHAnsi"/>
        </w:rPr>
        <w:t xml:space="preserve"> out data trends </w:t>
      </w:r>
      <w:r w:rsidR="00E84082">
        <w:rPr>
          <w:rFonts w:cstheme="minorHAnsi"/>
        </w:rPr>
        <w:t xml:space="preserve">to evidence the annual increase in applications to </w:t>
      </w:r>
      <w:r w:rsidR="00466019">
        <w:rPr>
          <w:rFonts w:cstheme="minorHAnsi"/>
        </w:rPr>
        <w:t>Clare’s Law</w:t>
      </w:r>
      <w:r w:rsidR="00E84082">
        <w:rPr>
          <w:rFonts w:cstheme="minorHAnsi"/>
        </w:rPr>
        <w:t xml:space="preserve"> against a backdrop of decreasing prosecutions for domestic abuse. Drawing from </w:t>
      </w:r>
      <w:r w:rsidR="00466019">
        <w:rPr>
          <w:rFonts w:cstheme="minorHAnsi"/>
        </w:rPr>
        <w:t>a body of European and domestic case law</w:t>
      </w:r>
      <w:r w:rsidR="00E84082">
        <w:rPr>
          <w:rFonts w:cstheme="minorHAnsi"/>
        </w:rPr>
        <w:t xml:space="preserve">, the analysis </w:t>
      </w:r>
      <w:r w:rsidR="00E40120">
        <w:rPr>
          <w:rFonts w:cstheme="minorHAnsi"/>
        </w:rPr>
        <w:t xml:space="preserve">explores how compliant </w:t>
      </w:r>
      <w:r w:rsidR="004B4321">
        <w:rPr>
          <w:rFonts w:cstheme="minorHAnsi"/>
        </w:rPr>
        <w:t xml:space="preserve">policies such as Clare’s Law can be in light of the consistent lack of prosecution for domestic and/or sexual violence in England and Wales. </w:t>
      </w:r>
      <w:r w:rsidR="009226D0">
        <w:rPr>
          <w:rFonts w:cstheme="minorHAnsi"/>
        </w:rPr>
        <w:t>T</w:t>
      </w:r>
      <w:r w:rsidR="004B4321">
        <w:rPr>
          <w:rFonts w:cstheme="minorHAnsi"/>
        </w:rPr>
        <w:t xml:space="preserve">he article </w:t>
      </w:r>
      <w:r w:rsidR="009226D0">
        <w:rPr>
          <w:rFonts w:cstheme="minorHAnsi"/>
        </w:rPr>
        <w:t xml:space="preserve">also draws from judicial directions to </w:t>
      </w:r>
      <w:r w:rsidR="004B4321">
        <w:rPr>
          <w:rFonts w:cstheme="minorHAnsi"/>
        </w:rPr>
        <w:t xml:space="preserve">explore </w:t>
      </w:r>
      <w:r w:rsidR="009226D0">
        <w:rPr>
          <w:rFonts w:cstheme="minorHAnsi"/>
        </w:rPr>
        <w:t xml:space="preserve">whether a failure by the police to disclose information in a manner which could prevent domestic abuse may constitute an ‘egregious error’ under the new operational standard. In conclusion, the author explores the impact of the Domestic Abuse Act 2021 placing Clare’s Law on a statutory footing on future decision-making processes by the police. </w:t>
      </w:r>
    </w:p>
    <w:p w14:paraId="4E81EEB8" w14:textId="3FDFD946" w:rsidR="00593000" w:rsidRDefault="00593000" w:rsidP="00396A4C">
      <w:pPr>
        <w:autoSpaceDE w:val="0"/>
        <w:autoSpaceDN w:val="0"/>
        <w:adjustRightInd w:val="0"/>
        <w:spacing w:line="276" w:lineRule="auto"/>
        <w:jc w:val="both"/>
        <w:rPr>
          <w:rFonts w:cstheme="minorHAnsi"/>
        </w:rPr>
      </w:pPr>
    </w:p>
    <w:p w14:paraId="621A1D70" w14:textId="170A8CAE" w:rsidR="00466019" w:rsidRPr="00E8158E" w:rsidRDefault="00466019" w:rsidP="00E8158E">
      <w:pPr>
        <w:autoSpaceDE w:val="0"/>
        <w:autoSpaceDN w:val="0"/>
        <w:adjustRightInd w:val="0"/>
        <w:spacing w:line="276" w:lineRule="auto"/>
        <w:jc w:val="both"/>
        <w:rPr>
          <w:rFonts w:cstheme="minorHAnsi"/>
          <w:color w:val="808080" w:themeColor="background1" w:themeShade="80"/>
        </w:rPr>
      </w:pPr>
      <w:r>
        <w:rPr>
          <w:rFonts w:cstheme="minorHAnsi"/>
        </w:rPr>
        <w:t>Lesley McMillan and Andrew Tickell</w:t>
      </w:r>
      <w:r w:rsidR="00AD125E">
        <w:rPr>
          <w:rFonts w:cstheme="minorHAnsi"/>
        </w:rPr>
        <w:t>’s paper</w:t>
      </w:r>
      <w:r w:rsidR="00420087">
        <w:rPr>
          <w:rFonts w:cstheme="minorHAnsi"/>
        </w:rPr>
        <w:t>,</w:t>
      </w:r>
      <w:r>
        <w:rPr>
          <w:rFonts w:cstheme="minorHAnsi"/>
        </w:rPr>
        <w:t xml:space="preserve"> </w:t>
      </w:r>
      <w:r w:rsidR="00420087">
        <w:rPr>
          <w:rFonts w:cstheme="minorHAnsi"/>
        </w:rPr>
        <w:t>‘</w:t>
      </w:r>
      <w:r w:rsidRPr="00420087">
        <w:rPr>
          <w:rFonts w:cstheme="minorHAnsi"/>
        </w:rPr>
        <w:t>Lawful, Proportionate and Necessary? A Critical Examination of the Domestic Abuse Disclosure Scheme for Scotland</w:t>
      </w:r>
      <w:r w:rsidR="00420087">
        <w:rPr>
          <w:rFonts w:cstheme="minorHAnsi"/>
        </w:rPr>
        <w:t>’,</w:t>
      </w:r>
      <w:r>
        <w:rPr>
          <w:rFonts w:cstheme="minorHAnsi"/>
        </w:rPr>
        <w:t xml:space="preserve"> </w:t>
      </w:r>
      <w:r w:rsidR="00AD125E">
        <w:rPr>
          <w:rFonts w:cstheme="minorHAnsi"/>
        </w:rPr>
        <w:t xml:space="preserve">explores the </w:t>
      </w:r>
      <w:r w:rsidR="00396A4C" w:rsidRPr="00E8158E">
        <w:rPr>
          <w:rFonts w:cstheme="minorHAnsi"/>
        </w:rPr>
        <w:t>Disclosure Scheme for Domestic Abuse in Scotland (DSDAS)</w:t>
      </w:r>
      <w:r w:rsidR="00AD125E" w:rsidRPr="00E8158E">
        <w:rPr>
          <w:rFonts w:cstheme="minorHAnsi"/>
        </w:rPr>
        <w:t>. This</w:t>
      </w:r>
      <w:r w:rsidR="00396A4C" w:rsidRPr="00E8158E">
        <w:rPr>
          <w:rFonts w:cstheme="minorHAnsi"/>
        </w:rPr>
        <w:t xml:space="preserve"> </w:t>
      </w:r>
      <w:r w:rsidR="00E8158E" w:rsidRPr="00E8158E">
        <w:rPr>
          <w:rFonts w:cstheme="minorHAnsi"/>
        </w:rPr>
        <w:t xml:space="preserve">is similar to the DVDS in that it </w:t>
      </w:r>
      <w:r w:rsidR="00396A4C" w:rsidRPr="00E8158E">
        <w:rPr>
          <w:rFonts w:cstheme="minorHAnsi"/>
        </w:rPr>
        <w:t>allows people a ‘right to ask’ the police whether someone has a history of domestic abuse. It also incorporates the ‘power to tell’ where the police can inform a person if someone is known to be a risk. Following a pilot, the legislation came into force in Scotland in October 2015</w:t>
      </w:r>
      <w:r w:rsidR="00E8158E">
        <w:rPr>
          <w:rFonts w:cstheme="minorHAnsi"/>
        </w:rPr>
        <w:t>, a year after the DVDS</w:t>
      </w:r>
      <w:r w:rsidR="00396A4C" w:rsidRPr="00E8158E">
        <w:rPr>
          <w:rFonts w:cstheme="minorHAnsi"/>
        </w:rPr>
        <w:t xml:space="preserve">. </w:t>
      </w:r>
      <w:r w:rsidR="00E8158E">
        <w:rPr>
          <w:rFonts w:cstheme="minorHAnsi"/>
          <w:shd w:val="clear" w:color="auto" w:fill="FFFFFF"/>
        </w:rPr>
        <w:t>The authors demonstrate that while b</w:t>
      </w:r>
      <w:r w:rsidR="00396A4C" w:rsidRPr="00E8158E">
        <w:rPr>
          <w:rFonts w:cstheme="minorHAnsi"/>
          <w:shd w:val="clear" w:color="auto" w:fill="FFFFFF"/>
        </w:rPr>
        <w:t xml:space="preserve">oth schemes </w:t>
      </w:r>
      <w:r w:rsidR="00E8158E">
        <w:rPr>
          <w:rFonts w:cstheme="minorHAnsi"/>
          <w:shd w:val="clear" w:color="auto" w:fill="FFFFFF"/>
        </w:rPr>
        <w:t xml:space="preserve">appear </w:t>
      </w:r>
      <w:r w:rsidR="00396A4C" w:rsidRPr="00E8158E">
        <w:rPr>
          <w:rFonts w:cstheme="minorHAnsi"/>
          <w:shd w:val="clear" w:color="auto" w:fill="FFFFFF"/>
        </w:rPr>
        <w:t xml:space="preserve">similar, </w:t>
      </w:r>
      <w:r w:rsidR="00396A4C" w:rsidRPr="00E8158E">
        <w:t xml:space="preserve">key differences </w:t>
      </w:r>
      <w:r w:rsidR="00E8158E">
        <w:t xml:space="preserve">exist regarding </w:t>
      </w:r>
      <w:r w:rsidR="00396A4C" w:rsidRPr="00E8158E">
        <w:t>terminology and definitions, the statutory powers that underpin them</w:t>
      </w:r>
      <w:r w:rsidR="00E8158E">
        <w:t>,</w:t>
      </w:r>
      <w:r w:rsidR="00396A4C" w:rsidRPr="00E8158E">
        <w:t xml:space="preserve"> and the processes through which they are implemented. In </w:t>
      </w:r>
      <w:r w:rsidR="00E8158E">
        <w:t xml:space="preserve">their article, the authors </w:t>
      </w:r>
      <w:r w:rsidR="00396A4C" w:rsidRPr="00E8158E">
        <w:t xml:space="preserve">critically </w:t>
      </w:r>
      <w:r w:rsidR="00E8158E">
        <w:t xml:space="preserve">examine the DSDAS, </w:t>
      </w:r>
      <w:r w:rsidR="00396A4C" w:rsidRPr="00E8158E">
        <w:t xml:space="preserve">reflecting upon </w:t>
      </w:r>
      <w:r w:rsidR="00E8158E">
        <w:t xml:space="preserve">its </w:t>
      </w:r>
      <w:r w:rsidR="00396A4C" w:rsidRPr="00E8158E">
        <w:t>relative merits and demerits</w:t>
      </w:r>
      <w:r w:rsidR="00E8158E">
        <w:t xml:space="preserve">, paying particular attention to the legislative framework upon which Police Scotland are basing DSDAS decisions. </w:t>
      </w:r>
    </w:p>
    <w:p w14:paraId="6FB828D1" w14:textId="77777777" w:rsidR="00646987" w:rsidRDefault="00646987" w:rsidP="00396A4C">
      <w:pPr>
        <w:spacing w:line="276" w:lineRule="auto"/>
        <w:jc w:val="both"/>
        <w:rPr>
          <w:rFonts w:cstheme="minorHAnsi"/>
        </w:rPr>
      </w:pPr>
    </w:p>
    <w:p w14:paraId="230810EA" w14:textId="39BCADFC" w:rsidR="003D17C8" w:rsidRDefault="00646987" w:rsidP="00396A4C">
      <w:pPr>
        <w:spacing w:line="276" w:lineRule="auto"/>
        <w:jc w:val="both"/>
        <w:rPr>
          <w:rFonts w:cstheme="minorHAnsi"/>
          <w:lang w:val="en-AU"/>
        </w:rPr>
      </w:pPr>
      <w:r>
        <w:rPr>
          <w:rFonts w:cstheme="minorHAnsi"/>
        </w:rPr>
        <w:t>An international focus</w:t>
      </w:r>
      <w:r w:rsidR="003D17C8">
        <w:rPr>
          <w:rFonts w:cstheme="minorHAnsi"/>
          <w:lang w:val="en-AU"/>
        </w:rPr>
        <w:t xml:space="preserve"> </w:t>
      </w:r>
      <w:r>
        <w:rPr>
          <w:rFonts w:cstheme="minorHAnsi"/>
          <w:lang w:val="en-AU"/>
        </w:rPr>
        <w:t xml:space="preserve">is presented in </w:t>
      </w:r>
      <w:r w:rsidR="004F5567">
        <w:rPr>
          <w:rFonts w:cstheme="minorHAnsi"/>
          <w:lang w:val="en-AU"/>
        </w:rPr>
        <w:t>‘</w:t>
      </w:r>
      <w:r w:rsidR="003D17C8" w:rsidRPr="004F5567">
        <w:rPr>
          <w:rFonts w:cstheme="minorHAnsi"/>
          <w:lang w:val="en-AU"/>
        </w:rPr>
        <w:t>Exploring the Outcomes of Divergent Approaches to the Policy Making Process: Domestic Violence Disclosure Schemes and Perpetrator Registers in Australia</w:t>
      </w:r>
      <w:r w:rsidR="001F1F83">
        <w:rPr>
          <w:rFonts w:cstheme="minorHAnsi"/>
          <w:lang w:val="en-AU"/>
        </w:rPr>
        <w:t>’</w:t>
      </w:r>
      <w:r w:rsidR="00667238">
        <w:rPr>
          <w:rFonts w:cstheme="minorHAnsi"/>
          <w:i/>
          <w:iCs/>
          <w:lang w:val="en-AU"/>
        </w:rPr>
        <w:t>.</w:t>
      </w:r>
      <w:r w:rsidR="003D17C8">
        <w:rPr>
          <w:rFonts w:cstheme="minorHAnsi"/>
          <w:i/>
          <w:iCs/>
          <w:lang w:val="en-AU"/>
        </w:rPr>
        <w:t xml:space="preserve"> </w:t>
      </w:r>
      <w:r w:rsidR="00667238">
        <w:rPr>
          <w:rFonts w:cstheme="minorHAnsi"/>
          <w:lang w:val="en-AU"/>
        </w:rPr>
        <w:t xml:space="preserve">Here, </w:t>
      </w:r>
      <w:r w:rsidR="003D17C8" w:rsidRPr="003D17C8">
        <w:rPr>
          <w:rFonts w:cstheme="minorHAnsi"/>
          <w:lang w:val="en-AU"/>
        </w:rPr>
        <w:t xml:space="preserve">Kate Fitz-Gibbon, Sandra Walklate </w:t>
      </w:r>
      <w:r w:rsidR="003D17C8">
        <w:rPr>
          <w:rFonts w:cstheme="minorHAnsi"/>
          <w:lang w:val="en-AU"/>
        </w:rPr>
        <w:t xml:space="preserve">and </w:t>
      </w:r>
      <w:r w:rsidR="003D17C8" w:rsidRPr="003D17C8">
        <w:rPr>
          <w:rFonts w:cstheme="minorHAnsi"/>
          <w:lang w:val="en-AU"/>
        </w:rPr>
        <w:t>Ellen Reeves</w:t>
      </w:r>
      <w:r w:rsidR="003D17C8" w:rsidRPr="003D17C8">
        <w:rPr>
          <w:rFonts w:cstheme="minorHAnsi"/>
          <w:i/>
          <w:iCs/>
          <w:lang w:val="en-AU"/>
        </w:rPr>
        <w:t xml:space="preserve"> </w:t>
      </w:r>
      <w:r w:rsidR="00FF2939">
        <w:rPr>
          <w:rFonts w:cstheme="minorHAnsi"/>
          <w:lang w:val="en-AU"/>
        </w:rPr>
        <w:t xml:space="preserve">provide a detailed examination of </w:t>
      </w:r>
      <w:r w:rsidR="00941DCE">
        <w:rPr>
          <w:rFonts w:cstheme="minorHAnsi"/>
          <w:lang w:val="en-AU"/>
        </w:rPr>
        <w:t xml:space="preserve">the debates and discussions informing proposals around the implementation of a public register of convicted domestic, family and sexual violence perpetrators. Alongside this, the authors also examine </w:t>
      </w:r>
      <w:r w:rsidR="00E705E5">
        <w:rPr>
          <w:rFonts w:cstheme="minorHAnsi"/>
          <w:lang w:val="en-AU"/>
        </w:rPr>
        <w:t xml:space="preserve">the variability in </w:t>
      </w:r>
      <w:r w:rsidR="00FF2939">
        <w:rPr>
          <w:rFonts w:cstheme="minorHAnsi"/>
          <w:lang w:val="en-AU"/>
        </w:rPr>
        <w:t>approach</w:t>
      </w:r>
      <w:r w:rsidR="00667238">
        <w:rPr>
          <w:rFonts w:cstheme="minorHAnsi"/>
          <w:lang w:val="en-AU"/>
        </w:rPr>
        <w:t xml:space="preserve">es </w:t>
      </w:r>
      <w:r w:rsidR="00E705E5">
        <w:rPr>
          <w:rFonts w:cstheme="minorHAnsi"/>
          <w:lang w:val="en-AU"/>
        </w:rPr>
        <w:t xml:space="preserve">to adopting </w:t>
      </w:r>
      <w:r w:rsidR="00FF2939">
        <w:rPr>
          <w:rFonts w:cstheme="minorHAnsi"/>
          <w:lang w:val="en-AU"/>
        </w:rPr>
        <w:t xml:space="preserve">the DVDS across Australian states. </w:t>
      </w:r>
      <w:r w:rsidR="00941DCE">
        <w:rPr>
          <w:rFonts w:cstheme="minorHAnsi"/>
          <w:lang w:val="en-AU"/>
        </w:rPr>
        <w:t xml:space="preserve">Drawing from a range of case studies and two major government commissioned inquiries, the analysis demonstrates how the processes informing these key policy decisions </w:t>
      </w:r>
      <w:r w:rsidR="00656A91">
        <w:rPr>
          <w:rFonts w:cstheme="minorHAnsi"/>
          <w:lang w:val="en-AU"/>
        </w:rPr>
        <w:t>are</w:t>
      </w:r>
      <w:r w:rsidR="00941DCE">
        <w:rPr>
          <w:rFonts w:cstheme="minorHAnsi"/>
          <w:lang w:val="en-AU"/>
        </w:rPr>
        <w:t xml:space="preserve"> indicative of a gradual shift away from evidence-based reform</w:t>
      </w:r>
      <w:r w:rsidR="00E705E5">
        <w:rPr>
          <w:rFonts w:cstheme="minorHAnsi"/>
          <w:lang w:val="en-AU"/>
        </w:rPr>
        <w:t xml:space="preserve">. </w:t>
      </w:r>
      <w:r w:rsidR="00862CEF">
        <w:rPr>
          <w:rFonts w:cstheme="minorHAnsi"/>
          <w:lang w:val="en-AU"/>
        </w:rPr>
        <w:t xml:space="preserve">The article demonstrates the growing importance placed upon victim ‘champions’ and populist public sentiment in driving policy development. </w:t>
      </w:r>
      <w:r w:rsidR="00E705E5">
        <w:rPr>
          <w:rFonts w:cstheme="minorHAnsi"/>
          <w:lang w:val="en-AU"/>
        </w:rPr>
        <w:t xml:space="preserve">In conclusion, the authors advocate for a greater focus on </w:t>
      </w:r>
      <w:r w:rsidR="00862CEF">
        <w:rPr>
          <w:rFonts w:cstheme="minorHAnsi"/>
          <w:lang w:val="en-AU"/>
        </w:rPr>
        <w:t xml:space="preserve">remaining accountable to victims of domestic, family and sexual violence through evidence-based policy making which embeds the voices of victims throughout. </w:t>
      </w:r>
    </w:p>
    <w:p w14:paraId="799CE40C" w14:textId="12E59434" w:rsidR="006738F3" w:rsidRDefault="006738F3" w:rsidP="003D17C8">
      <w:pPr>
        <w:spacing w:line="276" w:lineRule="auto"/>
        <w:rPr>
          <w:rFonts w:cstheme="minorHAnsi"/>
          <w:lang w:val="en-AU"/>
        </w:rPr>
      </w:pPr>
    </w:p>
    <w:p w14:paraId="28B9C319" w14:textId="77777777" w:rsidR="00F37BAB" w:rsidRDefault="00F37BAB" w:rsidP="00F37BAB">
      <w:pPr>
        <w:spacing w:line="276" w:lineRule="auto"/>
        <w:jc w:val="both"/>
        <w:rPr>
          <w:rFonts w:cstheme="minorHAnsi"/>
        </w:rPr>
      </w:pPr>
      <w:r>
        <w:rPr>
          <w:rFonts w:cstheme="minorHAnsi"/>
        </w:rPr>
        <w:t xml:space="preserve">The editors and contributors would like to express their gratitude to the anonymous reviewers and the </w:t>
      </w:r>
      <w:proofErr w:type="spellStart"/>
      <w:r w:rsidRPr="00690A57">
        <w:rPr>
          <w:rFonts w:cstheme="minorHAnsi"/>
          <w:i/>
          <w:iCs/>
        </w:rPr>
        <w:t>feminists@law</w:t>
      </w:r>
      <w:proofErr w:type="spellEnd"/>
      <w:r>
        <w:rPr>
          <w:rFonts w:cstheme="minorHAnsi"/>
        </w:rPr>
        <w:t xml:space="preserve"> editorial board. </w:t>
      </w:r>
    </w:p>
    <w:p w14:paraId="0C733B7A" w14:textId="77777777" w:rsidR="006738F3" w:rsidRPr="003D17C8" w:rsidRDefault="006738F3" w:rsidP="003D17C8">
      <w:pPr>
        <w:spacing w:line="276" w:lineRule="auto"/>
        <w:rPr>
          <w:rFonts w:cstheme="minorHAnsi"/>
          <w:lang w:val="en-AU"/>
        </w:rPr>
      </w:pPr>
    </w:p>
    <w:p w14:paraId="36DB76D5" w14:textId="77777777" w:rsidR="003D17C8" w:rsidRDefault="003D17C8" w:rsidP="007064D1">
      <w:pPr>
        <w:autoSpaceDE w:val="0"/>
        <w:autoSpaceDN w:val="0"/>
        <w:adjustRightInd w:val="0"/>
        <w:spacing w:line="276" w:lineRule="auto"/>
        <w:rPr>
          <w:rFonts w:cstheme="minorHAnsi"/>
        </w:rPr>
      </w:pPr>
    </w:p>
    <w:p w14:paraId="4C398772" w14:textId="5103896F" w:rsidR="00466019" w:rsidRPr="007F27B0" w:rsidRDefault="00B43C51" w:rsidP="007F27B0">
      <w:pPr>
        <w:pStyle w:val="Heading1"/>
      </w:pPr>
      <w:r w:rsidRPr="007F27B0">
        <w:t xml:space="preserve">References </w:t>
      </w:r>
    </w:p>
    <w:p w14:paraId="3C1A97BA" w14:textId="7BB800B1" w:rsidR="00260543" w:rsidRDefault="00260543" w:rsidP="00004824">
      <w:pPr>
        <w:autoSpaceDE w:val="0"/>
        <w:autoSpaceDN w:val="0"/>
        <w:adjustRightInd w:val="0"/>
        <w:spacing w:line="276" w:lineRule="auto"/>
        <w:ind w:left="720" w:hanging="720"/>
        <w:rPr>
          <w:rFonts w:cstheme="minorHAnsi"/>
        </w:rPr>
      </w:pPr>
      <w:r>
        <w:rPr>
          <w:rFonts w:cstheme="minorHAnsi"/>
        </w:rPr>
        <w:t xml:space="preserve">Barlow, C., Walklate, S., and Renehan, N. 2023. Rendering them responsible: Victim-survivors’ experiences of Clare’s Law and Domestic Violence Disclosure Schemes. </w:t>
      </w:r>
      <w:r w:rsidRPr="00004824">
        <w:rPr>
          <w:rFonts w:cstheme="minorHAnsi"/>
          <w:i/>
          <w:iCs/>
        </w:rPr>
        <w:t>Journal of Gender-based Violence</w:t>
      </w:r>
      <w:r>
        <w:rPr>
          <w:rFonts w:cstheme="minorHAnsi"/>
        </w:rPr>
        <w:t xml:space="preserve">, </w:t>
      </w:r>
      <w:r w:rsidRPr="00D96AD9">
        <w:rPr>
          <w:rFonts w:cstheme="minorHAnsi"/>
        </w:rPr>
        <w:t xml:space="preserve">(published online ahead of print 2023). </w:t>
      </w:r>
      <w:r w:rsidR="00696DFE">
        <w:rPr>
          <w:rFonts w:cstheme="minorHAnsi"/>
        </w:rPr>
        <w:t xml:space="preserve">Available at </w:t>
      </w:r>
      <w:hyperlink r:id="rId8" w:history="1">
        <w:r w:rsidR="00CA3106" w:rsidRPr="003F7733">
          <w:rPr>
            <w:rStyle w:val="Hyperlink"/>
            <w:rFonts w:cstheme="minorHAnsi"/>
          </w:rPr>
          <w:t>https://doi.org/10.1332/239868021X16751803681186</w:t>
        </w:r>
      </w:hyperlink>
      <w:r>
        <w:rPr>
          <w:rFonts w:cstheme="minorHAnsi"/>
        </w:rPr>
        <w:t xml:space="preserve"> (Accessed 20.07.23)</w:t>
      </w:r>
      <w:r w:rsidR="00E90B7F">
        <w:rPr>
          <w:rFonts w:cstheme="minorHAnsi"/>
        </w:rPr>
        <w:t>.</w:t>
      </w:r>
    </w:p>
    <w:p w14:paraId="633B9408" w14:textId="77777777" w:rsidR="00260543" w:rsidRDefault="00260543" w:rsidP="00004824">
      <w:pPr>
        <w:autoSpaceDE w:val="0"/>
        <w:autoSpaceDN w:val="0"/>
        <w:adjustRightInd w:val="0"/>
        <w:spacing w:line="276" w:lineRule="auto"/>
        <w:ind w:left="720" w:hanging="720"/>
        <w:rPr>
          <w:rFonts w:cstheme="minorHAnsi"/>
        </w:rPr>
      </w:pPr>
      <w:bookmarkStart w:id="1" w:name="_Hlk140840831"/>
      <w:r w:rsidRPr="00A735D0">
        <w:rPr>
          <w:rFonts w:cstheme="minorHAnsi"/>
        </w:rPr>
        <w:t xml:space="preserve">Duggan, </w:t>
      </w:r>
      <w:r>
        <w:rPr>
          <w:rFonts w:cstheme="minorHAnsi"/>
        </w:rPr>
        <w:t xml:space="preserve">M. </w:t>
      </w:r>
      <w:r w:rsidRPr="00A735D0">
        <w:rPr>
          <w:rFonts w:cstheme="minorHAnsi"/>
        </w:rPr>
        <w:t>2018</w:t>
      </w:r>
      <w:r>
        <w:rPr>
          <w:rFonts w:cstheme="minorHAnsi"/>
        </w:rPr>
        <w:t xml:space="preserve">. </w:t>
      </w:r>
      <w:r w:rsidRPr="00260543">
        <w:rPr>
          <w:rFonts w:cstheme="minorHAnsi"/>
        </w:rPr>
        <w:t xml:space="preserve">Victim hierarchies in the domestic violence disclosure scheme. </w:t>
      </w:r>
      <w:r w:rsidRPr="00260543">
        <w:rPr>
          <w:rFonts w:cstheme="minorHAnsi"/>
          <w:i/>
          <w:iCs/>
        </w:rPr>
        <w:t>International</w:t>
      </w:r>
      <w:r w:rsidRPr="00260543">
        <w:rPr>
          <w:rFonts w:cstheme="minorHAnsi"/>
        </w:rPr>
        <w:t xml:space="preserve"> </w:t>
      </w:r>
      <w:r w:rsidRPr="00260543">
        <w:rPr>
          <w:rFonts w:cstheme="minorHAnsi"/>
          <w:i/>
          <w:iCs/>
        </w:rPr>
        <w:t>Review of Victimology</w:t>
      </w:r>
      <w:r w:rsidRPr="00260543">
        <w:rPr>
          <w:rFonts w:cstheme="minorHAnsi"/>
        </w:rPr>
        <w:t xml:space="preserve"> 24(3): 199-217.</w:t>
      </w:r>
    </w:p>
    <w:bookmarkEnd w:id="1"/>
    <w:p w14:paraId="50B8FE4E" w14:textId="5CF9AFCF" w:rsidR="005838E5" w:rsidRDefault="005838E5" w:rsidP="00004824">
      <w:pPr>
        <w:autoSpaceDE w:val="0"/>
        <w:autoSpaceDN w:val="0"/>
        <w:adjustRightInd w:val="0"/>
        <w:spacing w:line="276" w:lineRule="auto"/>
        <w:ind w:left="720" w:hanging="720"/>
        <w:rPr>
          <w:rFonts w:cstheme="minorHAnsi"/>
        </w:rPr>
      </w:pPr>
      <w:r>
        <w:rPr>
          <w:rFonts w:cstheme="minorHAnsi"/>
        </w:rPr>
        <w:t>Fitz-Gibbon, K.</w:t>
      </w:r>
      <w:r w:rsidR="00310E47">
        <w:rPr>
          <w:rFonts w:cstheme="minorHAnsi"/>
        </w:rPr>
        <w:t>,</w:t>
      </w:r>
      <w:r>
        <w:rPr>
          <w:rFonts w:cstheme="minorHAnsi"/>
        </w:rPr>
        <w:t xml:space="preserve"> Walklate, S., and Reeves, E. 2023. </w:t>
      </w:r>
      <w:r w:rsidRPr="005838E5">
        <w:rPr>
          <w:rFonts w:cstheme="minorHAnsi"/>
          <w:i/>
          <w:iCs/>
        </w:rPr>
        <w:t>Domestic Violence Disclosure Schemes: A National Review</w:t>
      </w:r>
      <w:r w:rsidR="0089529F">
        <w:rPr>
          <w:rFonts w:cstheme="minorHAnsi"/>
          <w:i/>
          <w:iCs/>
        </w:rPr>
        <w:t xml:space="preserve">. </w:t>
      </w:r>
      <w:r w:rsidR="0089529F" w:rsidRPr="0089529F">
        <w:rPr>
          <w:rFonts w:cstheme="minorHAnsi"/>
        </w:rPr>
        <w:t>Available at</w:t>
      </w:r>
      <w:r>
        <w:rPr>
          <w:rFonts w:cstheme="minorHAnsi"/>
        </w:rPr>
        <w:t xml:space="preserve"> </w:t>
      </w:r>
      <w:hyperlink r:id="rId9" w:history="1">
        <w:r w:rsidRPr="00A561CE">
          <w:rPr>
            <w:rStyle w:val="Hyperlink"/>
            <w:rFonts w:cstheme="minorHAnsi"/>
          </w:rPr>
          <w:t>https://www.monash.edu/arts/gender-and-family-violence/research-and-projects/domestic-violence-disclosure-schemes</w:t>
        </w:r>
      </w:hyperlink>
      <w:r w:rsidR="00E90B7F">
        <w:rPr>
          <w:rFonts w:cstheme="minorHAnsi"/>
        </w:rPr>
        <w:t>.</w:t>
      </w:r>
    </w:p>
    <w:p w14:paraId="7FAAF276" w14:textId="25A197E7" w:rsidR="00260543" w:rsidRDefault="00260543" w:rsidP="00004824">
      <w:pPr>
        <w:autoSpaceDE w:val="0"/>
        <w:autoSpaceDN w:val="0"/>
        <w:adjustRightInd w:val="0"/>
        <w:spacing w:line="276" w:lineRule="auto"/>
        <w:ind w:left="720" w:hanging="720"/>
        <w:rPr>
          <w:rFonts w:cstheme="minorHAnsi"/>
        </w:rPr>
      </w:pPr>
      <w:r w:rsidRPr="00A735D0">
        <w:rPr>
          <w:rFonts w:cstheme="minorHAnsi"/>
        </w:rPr>
        <w:t>Fitz-Gibbon</w:t>
      </w:r>
      <w:r>
        <w:rPr>
          <w:rFonts w:cstheme="minorHAnsi"/>
        </w:rPr>
        <w:t>, K.</w:t>
      </w:r>
      <w:r w:rsidR="00292E47">
        <w:rPr>
          <w:rFonts w:cstheme="minorHAnsi"/>
        </w:rPr>
        <w:t>,</w:t>
      </w:r>
      <w:r w:rsidRPr="00A735D0">
        <w:rPr>
          <w:rFonts w:cstheme="minorHAnsi"/>
        </w:rPr>
        <w:t xml:space="preserve"> and Walklate, </w:t>
      </w:r>
      <w:r>
        <w:rPr>
          <w:rFonts w:cstheme="minorHAnsi"/>
        </w:rPr>
        <w:t xml:space="preserve">S. </w:t>
      </w:r>
      <w:r w:rsidRPr="00A735D0">
        <w:rPr>
          <w:rFonts w:cstheme="minorHAnsi"/>
        </w:rPr>
        <w:t>2017</w:t>
      </w:r>
      <w:r>
        <w:rPr>
          <w:rFonts w:cstheme="minorHAnsi"/>
        </w:rPr>
        <w:t xml:space="preserve">. </w:t>
      </w:r>
      <w:r w:rsidRPr="00260543">
        <w:rPr>
          <w:rFonts w:cstheme="minorHAnsi"/>
        </w:rPr>
        <w:t>The efficacy of Clare’s Law in domestic violence law reform in England and Wales. </w:t>
      </w:r>
      <w:r w:rsidRPr="00260543">
        <w:rPr>
          <w:rFonts w:cstheme="minorHAnsi"/>
          <w:i/>
          <w:iCs/>
        </w:rPr>
        <w:t>Criminology &amp; Criminal Justice</w:t>
      </w:r>
      <w:r w:rsidRPr="00260543">
        <w:rPr>
          <w:rFonts w:cstheme="minorHAnsi"/>
        </w:rPr>
        <w:t xml:space="preserve"> 17(3):</w:t>
      </w:r>
      <w:r w:rsidR="0011426D">
        <w:rPr>
          <w:rFonts w:cstheme="minorHAnsi"/>
        </w:rPr>
        <w:t xml:space="preserve"> </w:t>
      </w:r>
      <w:r w:rsidRPr="00260543">
        <w:rPr>
          <w:rFonts w:cstheme="minorHAnsi"/>
        </w:rPr>
        <w:t>284-300.</w:t>
      </w:r>
    </w:p>
    <w:p w14:paraId="5C2486DC" w14:textId="3CE14018" w:rsidR="00260543" w:rsidRDefault="00260543" w:rsidP="00004824">
      <w:pPr>
        <w:autoSpaceDE w:val="0"/>
        <w:autoSpaceDN w:val="0"/>
        <w:adjustRightInd w:val="0"/>
        <w:spacing w:line="276" w:lineRule="auto"/>
        <w:ind w:left="720" w:hanging="720"/>
        <w:rPr>
          <w:rFonts w:cstheme="minorHAnsi"/>
          <w:color w:val="000000"/>
          <w:shd w:val="clear" w:color="auto" w:fill="FFFFFF"/>
        </w:rPr>
      </w:pPr>
      <w:proofErr w:type="spellStart"/>
      <w:r>
        <w:rPr>
          <w:rFonts w:cstheme="minorHAnsi"/>
          <w:color w:val="000000"/>
          <w:shd w:val="clear" w:color="auto" w:fill="FFFFFF"/>
        </w:rPr>
        <w:t>Goodmark</w:t>
      </w:r>
      <w:proofErr w:type="spellEnd"/>
      <w:r>
        <w:rPr>
          <w:rFonts w:cstheme="minorHAnsi"/>
          <w:color w:val="000000"/>
          <w:shd w:val="clear" w:color="auto" w:fill="FFFFFF"/>
        </w:rPr>
        <w:t xml:space="preserve">, L. 2018. </w:t>
      </w:r>
      <w:r w:rsidRPr="00004824">
        <w:rPr>
          <w:rFonts w:cstheme="minorHAnsi"/>
          <w:i/>
          <w:iCs/>
          <w:color w:val="000000"/>
          <w:shd w:val="clear" w:color="auto" w:fill="FFFFFF"/>
        </w:rPr>
        <w:t>Decriminalizing Domestic Violence: A Balanced Policy Approach to Intimate Partner Violence</w:t>
      </w:r>
      <w:r>
        <w:rPr>
          <w:rFonts w:cstheme="minorHAnsi"/>
          <w:color w:val="000000"/>
          <w:shd w:val="clear" w:color="auto" w:fill="FFFFFF"/>
        </w:rPr>
        <w:t xml:space="preserve">. University of California Press. </w:t>
      </w:r>
    </w:p>
    <w:p w14:paraId="005698A4" w14:textId="77777777" w:rsidR="00260543" w:rsidRDefault="00260543" w:rsidP="00004824">
      <w:pPr>
        <w:autoSpaceDE w:val="0"/>
        <w:autoSpaceDN w:val="0"/>
        <w:adjustRightInd w:val="0"/>
        <w:spacing w:line="276" w:lineRule="auto"/>
        <w:ind w:left="720" w:hanging="720"/>
        <w:rPr>
          <w:rFonts w:cstheme="minorHAnsi"/>
        </w:rPr>
      </w:pPr>
      <w:bookmarkStart w:id="2" w:name="_Hlk140840752"/>
      <w:r w:rsidRPr="00260543">
        <w:rPr>
          <w:rFonts w:cstheme="minorHAnsi"/>
        </w:rPr>
        <w:t xml:space="preserve">Grace, J. </w:t>
      </w:r>
      <w:r>
        <w:rPr>
          <w:rFonts w:cstheme="minorHAnsi"/>
        </w:rPr>
        <w:t xml:space="preserve">2021. </w:t>
      </w:r>
      <w:r w:rsidRPr="00260543">
        <w:rPr>
          <w:rFonts w:cstheme="minorHAnsi"/>
          <w:i/>
          <w:iCs/>
        </w:rPr>
        <w:t>Domestic Abuse Disclosure Schemes: Problems with Policy, Regulation and Legality</w:t>
      </w:r>
      <w:r w:rsidRPr="00260543">
        <w:rPr>
          <w:rFonts w:cstheme="minorHAnsi"/>
        </w:rPr>
        <w:t>. Springer Nature.</w:t>
      </w:r>
    </w:p>
    <w:p w14:paraId="152A8294" w14:textId="0AB842AC" w:rsidR="00260543" w:rsidRDefault="00260543" w:rsidP="00004824">
      <w:pPr>
        <w:autoSpaceDE w:val="0"/>
        <w:autoSpaceDN w:val="0"/>
        <w:adjustRightInd w:val="0"/>
        <w:spacing w:line="276" w:lineRule="auto"/>
        <w:ind w:left="720" w:hanging="720"/>
        <w:rPr>
          <w:rFonts w:cstheme="minorHAnsi"/>
        </w:rPr>
      </w:pPr>
      <w:bookmarkStart w:id="3" w:name="_Hlk140840776"/>
      <w:bookmarkEnd w:id="2"/>
      <w:proofErr w:type="spellStart"/>
      <w:r w:rsidRPr="00004824">
        <w:rPr>
          <w:rFonts w:cstheme="minorHAnsi"/>
        </w:rPr>
        <w:t>Hadjimatheou</w:t>
      </w:r>
      <w:proofErr w:type="spellEnd"/>
      <w:r w:rsidRPr="00004824">
        <w:rPr>
          <w:rFonts w:cstheme="minorHAnsi"/>
        </w:rPr>
        <w:t>, K.</w:t>
      </w:r>
      <w:r w:rsidR="00AF7DB5">
        <w:rPr>
          <w:rFonts w:cstheme="minorHAnsi"/>
        </w:rPr>
        <w:t>,</w:t>
      </w:r>
      <w:r w:rsidRPr="00004824">
        <w:rPr>
          <w:rFonts w:cstheme="minorHAnsi"/>
        </w:rPr>
        <w:t xml:space="preserve"> and Grace, J.</w:t>
      </w:r>
      <w:r>
        <w:rPr>
          <w:rFonts w:cstheme="minorHAnsi"/>
        </w:rPr>
        <w:t xml:space="preserve"> </w:t>
      </w:r>
      <w:r w:rsidRPr="00004824">
        <w:rPr>
          <w:rFonts w:cstheme="minorHAnsi"/>
        </w:rPr>
        <w:t>2021. </w:t>
      </w:r>
      <w:r w:rsidR="008C5181">
        <w:rPr>
          <w:rFonts w:cstheme="minorHAnsi"/>
        </w:rPr>
        <w:t>‘</w:t>
      </w:r>
      <w:r w:rsidRPr="00004824">
        <w:rPr>
          <w:rFonts w:cstheme="minorHAnsi"/>
        </w:rPr>
        <w:t>No black and white answer about how far we can go</w:t>
      </w:r>
      <w:r w:rsidR="008C5181">
        <w:rPr>
          <w:rFonts w:cstheme="minorHAnsi"/>
        </w:rPr>
        <w:t>’</w:t>
      </w:r>
      <w:r w:rsidRPr="00004824">
        <w:rPr>
          <w:rFonts w:cstheme="minorHAnsi"/>
        </w:rPr>
        <w:t xml:space="preserve">: </w:t>
      </w:r>
      <w:r w:rsidR="00AF7DB5">
        <w:rPr>
          <w:rFonts w:cstheme="minorHAnsi"/>
        </w:rPr>
        <w:t>P</w:t>
      </w:r>
      <w:r w:rsidRPr="00004824">
        <w:rPr>
          <w:rFonts w:cstheme="minorHAnsi"/>
        </w:rPr>
        <w:t xml:space="preserve">olice decision making under the Domestic Violence Disclosure Scheme. </w:t>
      </w:r>
      <w:r w:rsidRPr="00004824">
        <w:rPr>
          <w:rFonts w:cstheme="minorHAnsi"/>
          <w:i/>
          <w:iCs/>
        </w:rPr>
        <w:t>Policing and Society</w:t>
      </w:r>
      <w:r w:rsidRPr="00004824">
        <w:rPr>
          <w:rFonts w:cstheme="minorHAnsi"/>
        </w:rPr>
        <w:t xml:space="preserve"> 31(7)</w:t>
      </w:r>
      <w:r w:rsidR="00CA3106">
        <w:rPr>
          <w:rFonts w:cstheme="minorHAnsi"/>
        </w:rPr>
        <w:t>:</w:t>
      </w:r>
      <w:r w:rsidRPr="00004824">
        <w:rPr>
          <w:rFonts w:cstheme="minorHAnsi"/>
        </w:rPr>
        <w:t xml:space="preserve"> 834-847</w:t>
      </w:r>
      <w:r w:rsidR="00E90B7F">
        <w:rPr>
          <w:rFonts w:cstheme="minorHAnsi"/>
        </w:rPr>
        <w:t>.</w:t>
      </w:r>
    </w:p>
    <w:p w14:paraId="1AE027AF" w14:textId="630C901C" w:rsidR="00260543" w:rsidRDefault="00260543" w:rsidP="00004824">
      <w:pPr>
        <w:autoSpaceDE w:val="0"/>
        <w:autoSpaceDN w:val="0"/>
        <w:adjustRightInd w:val="0"/>
        <w:spacing w:line="276" w:lineRule="auto"/>
        <w:ind w:left="720" w:hanging="720"/>
        <w:rPr>
          <w:rFonts w:cstheme="minorHAnsi"/>
          <w:color w:val="000000"/>
          <w:shd w:val="clear" w:color="auto" w:fill="FFFFFF"/>
        </w:rPr>
      </w:pPr>
      <w:bookmarkStart w:id="4" w:name="_Hlk149821466"/>
      <w:bookmarkEnd w:id="3"/>
      <w:r>
        <w:rPr>
          <w:rFonts w:cstheme="minorHAnsi"/>
          <w:color w:val="000000"/>
          <w:shd w:val="clear" w:color="auto" w:fill="FFFFFF"/>
        </w:rPr>
        <w:t>H</w:t>
      </w:r>
      <w:r w:rsidR="00E35AA7">
        <w:rPr>
          <w:rFonts w:cstheme="minorHAnsi"/>
          <w:color w:val="000000"/>
          <w:shd w:val="clear" w:color="auto" w:fill="FFFFFF"/>
        </w:rPr>
        <w:t>is Majesty’s Inspec</w:t>
      </w:r>
      <w:r w:rsidR="00B4411A">
        <w:rPr>
          <w:rFonts w:cstheme="minorHAnsi"/>
          <w:color w:val="000000"/>
          <w:shd w:val="clear" w:color="auto" w:fill="FFFFFF"/>
        </w:rPr>
        <w:t>torate of Constabulary</w:t>
      </w:r>
      <w:bookmarkEnd w:id="4"/>
      <w:r w:rsidR="00B4411A">
        <w:rPr>
          <w:rFonts w:cstheme="minorHAnsi"/>
          <w:color w:val="000000"/>
          <w:shd w:val="clear" w:color="auto" w:fill="FFFFFF"/>
        </w:rPr>
        <w:t xml:space="preserve"> (H</w:t>
      </w:r>
      <w:r>
        <w:rPr>
          <w:rFonts w:cstheme="minorHAnsi"/>
          <w:color w:val="000000"/>
          <w:shd w:val="clear" w:color="auto" w:fill="FFFFFF"/>
        </w:rPr>
        <w:t>MIC</w:t>
      </w:r>
      <w:r w:rsidR="00B4411A">
        <w:rPr>
          <w:rFonts w:cstheme="minorHAnsi"/>
          <w:color w:val="000000"/>
          <w:shd w:val="clear" w:color="auto" w:fill="FFFFFF"/>
        </w:rPr>
        <w:t>)</w:t>
      </w:r>
      <w:r>
        <w:rPr>
          <w:rFonts w:cstheme="minorHAnsi"/>
          <w:color w:val="000000"/>
          <w:shd w:val="clear" w:color="auto" w:fill="FFFFFF"/>
        </w:rPr>
        <w:t xml:space="preserve">. </w:t>
      </w:r>
      <w:r w:rsidR="001F4B61">
        <w:rPr>
          <w:rFonts w:cstheme="minorHAnsi"/>
          <w:color w:val="000000"/>
          <w:shd w:val="clear" w:color="auto" w:fill="FFFFFF"/>
        </w:rPr>
        <w:t>20</w:t>
      </w:r>
      <w:r w:rsidR="006606DF">
        <w:rPr>
          <w:rFonts w:cstheme="minorHAnsi"/>
          <w:color w:val="000000"/>
          <w:shd w:val="clear" w:color="auto" w:fill="FFFFFF"/>
        </w:rPr>
        <w:t>15</w:t>
      </w:r>
      <w:r w:rsidR="001F4B61">
        <w:rPr>
          <w:rFonts w:cstheme="minorHAnsi"/>
          <w:color w:val="000000"/>
          <w:shd w:val="clear" w:color="auto" w:fill="FFFFFF"/>
        </w:rPr>
        <w:t xml:space="preserve">. </w:t>
      </w:r>
      <w:r w:rsidRPr="00004824">
        <w:rPr>
          <w:rFonts w:cstheme="minorHAnsi"/>
          <w:i/>
          <w:iCs/>
          <w:color w:val="000000"/>
          <w:shd w:val="clear" w:color="auto" w:fill="FFFFFF"/>
        </w:rPr>
        <w:t>PEEL: Police Effectiveness 2015 (</w:t>
      </w:r>
      <w:r w:rsidR="009A0D39">
        <w:rPr>
          <w:rFonts w:cstheme="minorHAnsi"/>
          <w:i/>
          <w:iCs/>
          <w:color w:val="000000"/>
          <w:shd w:val="clear" w:color="auto" w:fill="FFFFFF"/>
        </w:rPr>
        <w:t>V</w:t>
      </w:r>
      <w:r w:rsidRPr="00004824">
        <w:rPr>
          <w:rFonts w:cstheme="minorHAnsi"/>
          <w:i/>
          <w:iCs/>
          <w:color w:val="000000"/>
          <w:shd w:val="clear" w:color="auto" w:fill="FFFFFF"/>
        </w:rPr>
        <w:t>ulnerability)</w:t>
      </w:r>
      <w:r w:rsidR="002D3B0A">
        <w:rPr>
          <w:rFonts w:cstheme="minorHAnsi"/>
          <w:i/>
          <w:iCs/>
          <w:color w:val="000000"/>
          <w:shd w:val="clear" w:color="auto" w:fill="FFFFFF"/>
        </w:rPr>
        <w:t>:</w:t>
      </w:r>
      <w:r w:rsidRPr="00004824">
        <w:rPr>
          <w:rFonts w:cstheme="minorHAnsi"/>
          <w:i/>
          <w:iCs/>
          <w:color w:val="000000"/>
          <w:shd w:val="clear" w:color="auto" w:fill="FFFFFF"/>
        </w:rPr>
        <w:t xml:space="preserve"> A National Overview</w:t>
      </w:r>
      <w:r w:rsidR="00213F60">
        <w:rPr>
          <w:rFonts w:cstheme="minorHAnsi"/>
          <w:color w:val="000000"/>
          <w:shd w:val="clear" w:color="auto" w:fill="FFFFFF"/>
        </w:rPr>
        <w:t xml:space="preserve">. Available at </w:t>
      </w:r>
      <w:hyperlink r:id="rId10" w:history="1">
        <w:r w:rsidR="00213F60" w:rsidRPr="003F7733">
          <w:rPr>
            <w:rStyle w:val="Hyperlink"/>
            <w:rFonts w:cstheme="minorHAnsi"/>
            <w:shd w:val="clear" w:color="auto" w:fill="FFFFFF"/>
          </w:rPr>
          <w:t>https://www.justiceinspectorates.gov.uk/hmicfrs/wp-content/uploads/police-effectiveness-vulnerability-2015.pdf</w:t>
        </w:r>
      </w:hyperlink>
      <w:r>
        <w:rPr>
          <w:rFonts w:cstheme="minorHAnsi"/>
          <w:color w:val="000000"/>
          <w:shd w:val="clear" w:color="auto" w:fill="FFFFFF"/>
        </w:rPr>
        <w:t xml:space="preserve"> (Accessed 20.07.23)</w:t>
      </w:r>
      <w:r w:rsidR="001F4B61">
        <w:rPr>
          <w:rFonts w:cstheme="minorHAnsi"/>
          <w:color w:val="000000"/>
          <w:shd w:val="clear" w:color="auto" w:fill="FFFFFF"/>
        </w:rPr>
        <w:t>.</w:t>
      </w:r>
    </w:p>
    <w:p w14:paraId="245F2419" w14:textId="214AB931" w:rsidR="00260543" w:rsidRPr="00B43C51" w:rsidRDefault="00B4411A" w:rsidP="00004824">
      <w:pPr>
        <w:autoSpaceDE w:val="0"/>
        <w:autoSpaceDN w:val="0"/>
        <w:adjustRightInd w:val="0"/>
        <w:spacing w:line="276" w:lineRule="auto"/>
        <w:ind w:left="720" w:hanging="720"/>
        <w:rPr>
          <w:rFonts w:cstheme="minorHAnsi"/>
        </w:rPr>
      </w:pPr>
      <w:r w:rsidRPr="00B4411A">
        <w:rPr>
          <w:rFonts w:cstheme="minorHAnsi"/>
        </w:rPr>
        <w:t xml:space="preserve">His Majesty’s Inspectorate of Constabulary </w:t>
      </w:r>
      <w:r w:rsidR="00BA470E">
        <w:rPr>
          <w:rFonts w:cstheme="minorHAnsi"/>
        </w:rPr>
        <w:t xml:space="preserve">and Fire </w:t>
      </w:r>
      <w:r w:rsidR="00483FB9">
        <w:rPr>
          <w:rFonts w:cstheme="minorHAnsi"/>
        </w:rPr>
        <w:t xml:space="preserve">&amp; </w:t>
      </w:r>
      <w:r w:rsidR="00BA470E">
        <w:rPr>
          <w:rFonts w:cstheme="minorHAnsi"/>
        </w:rPr>
        <w:t>Rescue</w:t>
      </w:r>
      <w:r w:rsidR="00483FB9">
        <w:rPr>
          <w:rFonts w:cstheme="minorHAnsi"/>
        </w:rPr>
        <w:t xml:space="preserve"> Services</w:t>
      </w:r>
      <w:r w:rsidR="00BA470E">
        <w:rPr>
          <w:rFonts w:cstheme="minorHAnsi"/>
        </w:rPr>
        <w:t xml:space="preserve"> (</w:t>
      </w:r>
      <w:r w:rsidR="00260543" w:rsidRPr="00B43C51">
        <w:rPr>
          <w:rFonts w:cstheme="minorHAnsi"/>
        </w:rPr>
        <w:t>HMICFRS</w:t>
      </w:r>
      <w:r w:rsidR="00BA470E">
        <w:rPr>
          <w:rFonts w:cstheme="minorHAnsi"/>
        </w:rPr>
        <w:t>)</w:t>
      </w:r>
      <w:r w:rsidR="003E2C68">
        <w:rPr>
          <w:rFonts w:cstheme="minorHAnsi"/>
        </w:rPr>
        <w:t>.</w:t>
      </w:r>
      <w:r w:rsidR="00260543" w:rsidRPr="00B43C51">
        <w:rPr>
          <w:rFonts w:cstheme="minorHAnsi"/>
        </w:rPr>
        <w:t xml:space="preserve"> </w:t>
      </w:r>
      <w:r w:rsidR="001F4B61">
        <w:rPr>
          <w:rFonts w:cstheme="minorHAnsi"/>
        </w:rPr>
        <w:t xml:space="preserve">2021. </w:t>
      </w:r>
      <w:r w:rsidR="00260543" w:rsidRPr="00B43C51">
        <w:rPr>
          <w:rFonts w:cstheme="minorHAnsi"/>
          <w:i/>
        </w:rPr>
        <w:t xml:space="preserve">Police </w:t>
      </w:r>
      <w:r w:rsidR="00483FB9">
        <w:rPr>
          <w:rFonts w:cstheme="minorHAnsi"/>
          <w:i/>
        </w:rPr>
        <w:t>R</w:t>
      </w:r>
      <w:r w:rsidR="00260543" w:rsidRPr="00B43C51">
        <w:rPr>
          <w:rFonts w:cstheme="minorHAnsi"/>
          <w:i/>
        </w:rPr>
        <w:t xml:space="preserve">esponse to </w:t>
      </w:r>
      <w:r w:rsidR="00483FB9">
        <w:rPr>
          <w:rFonts w:cstheme="minorHAnsi"/>
          <w:i/>
        </w:rPr>
        <w:t>V</w:t>
      </w:r>
      <w:r w:rsidR="00260543" w:rsidRPr="00B43C51">
        <w:rPr>
          <w:rFonts w:cstheme="minorHAnsi"/>
          <w:i/>
        </w:rPr>
        <w:t xml:space="preserve">iolence </w:t>
      </w:r>
      <w:r w:rsidR="00483FB9">
        <w:rPr>
          <w:rFonts w:cstheme="minorHAnsi"/>
          <w:i/>
        </w:rPr>
        <w:t>A</w:t>
      </w:r>
      <w:r w:rsidR="00260543" w:rsidRPr="00B43C51">
        <w:rPr>
          <w:rFonts w:cstheme="minorHAnsi"/>
          <w:i/>
        </w:rPr>
        <w:t xml:space="preserve">gainst </w:t>
      </w:r>
      <w:r w:rsidR="00483FB9">
        <w:rPr>
          <w:rFonts w:cstheme="minorHAnsi"/>
          <w:i/>
        </w:rPr>
        <w:t>W</w:t>
      </w:r>
      <w:r w:rsidR="00260543" w:rsidRPr="00B43C51">
        <w:rPr>
          <w:rFonts w:cstheme="minorHAnsi"/>
          <w:i/>
        </w:rPr>
        <w:t xml:space="preserve">omen and </w:t>
      </w:r>
      <w:r w:rsidR="00483FB9">
        <w:rPr>
          <w:rFonts w:cstheme="minorHAnsi"/>
          <w:i/>
        </w:rPr>
        <w:t>G</w:t>
      </w:r>
      <w:r w:rsidR="00260543" w:rsidRPr="00B43C51">
        <w:rPr>
          <w:rFonts w:cstheme="minorHAnsi"/>
          <w:i/>
        </w:rPr>
        <w:t xml:space="preserve">irls: Final </w:t>
      </w:r>
      <w:r w:rsidR="00483FB9">
        <w:rPr>
          <w:rFonts w:cstheme="minorHAnsi"/>
          <w:i/>
        </w:rPr>
        <w:t>I</w:t>
      </w:r>
      <w:r w:rsidR="00260543" w:rsidRPr="00B43C51">
        <w:rPr>
          <w:rFonts w:cstheme="minorHAnsi"/>
          <w:i/>
        </w:rPr>
        <w:t xml:space="preserve">nspection </w:t>
      </w:r>
      <w:r w:rsidR="00483FB9">
        <w:rPr>
          <w:rFonts w:cstheme="minorHAnsi"/>
          <w:i/>
        </w:rPr>
        <w:t>R</w:t>
      </w:r>
      <w:r w:rsidR="00260543" w:rsidRPr="00B43C51">
        <w:rPr>
          <w:rFonts w:cstheme="minorHAnsi"/>
          <w:i/>
        </w:rPr>
        <w:t>eport</w:t>
      </w:r>
      <w:r w:rsidR="001F4B61">
        <w:rPr>
          <w:rFonts w:cstheme="minorHAnsi"/>
        </w:rPr>
        <w:t>.</w:t>
      </w:r>
      <w:r w:rsidR="00213F60">
        <w:rPr>
          <w:rFonts w:cstheme="minorHAnsi"/>
        </w:rPr>
        <w:t xml:space="preserve"> Available at</w:t>
      </w:r>
      <w:r w:rsidR="00260543" w:rsidRPr="00B43C51">
        <w:rPr>
          <w:rFonts w:cstheme="minorHAnsi"/>
        </w:rPr>
        <w:t xml:space="preserve"> </w:t>
      </w:r>
      <w:hyperlink r:id="rId11" w:history="1">
        <w:r w:rsidR="00260543" w:rsidRPr="00B43C51">
          <w:rPr>
            <w:rStyle w:val="Hyperlink"/>
            <w:rFonts w:cstheme="minorHAnsi"/>
          </w:rPr>
          <w:t>https://www.justiceinspectorates.gov.uk/hmicfrs/wp-content/uploads/police-response-to-violence-against-women-and-girls-final-inspection-report.pdf</w:t>
        </w:r>
      </w:hyperlink>
      <w:r w:rsidR="00260543" w:rsidRPr="00B43C51">
        <w:rPr>
          <w:rFonts w:cstheme="minorHAnsi"/>
        </w:rPr>
        <w:t xml:space="preserve"> </w:t>
      </w:r>
      <w:r w:rsidR="00260543">
        <w:rPr>
          <w:rFonts w:cstheme="minorHAnsi"/>
          <w:color w:val="000000"/>
          <w:shd w:val="clear" w:color="auto" w:fill="FFFFFF"/>
        </w:rPr>
        <w:t>(Accessed 20.07.23)</w:t>
      </w:r>
      <w:r w:rsidR="001F4B61">
        <w:rPr>
          <w:rFonts w:cstheme="minorHAnsi"/>
          <w:color w:val="000000"/>
          <w:shd w:val="clear" w:color="auto" w:fill="FFFFFF"/>
        </w:rPr>
        <w:t>.</w:t>
      </w:r>
    </w:p>
    <w:p w14:paraId="70F88F9F" w14:textId="7DF4C4E7" w:rsidR="00260543" w:rsidRDefault="00260543" w:rsidP="00004824">
      <w:pPr>
        <w:autoSpaceDE w:val="0"/>
        <w:autoSpaceDN w:val="0"/>
        <w:adjustRightInd w:val="0"/>
        <w:spacing w:line="276" w:lineRule="auto"/>
        <w:ind w:left="720" w:hanging="720"/>
        <w:rPr>
          <w:rFonts w:cstheme="minorHAnsi"/>
          <w:color w:val="000000"/>
          <w:shd w:val="clear" w:color="auto" w:fill="FFFFFF"/>
        </w:rPr>
      </w:pPr>
      <w:r>
        <w:rPr>
          <w:rFonts w:cstheme="minorHAnsi"/>
          <w:color w:val="000000"/>
          <w:shd w:val="clear" w:color="auto" w:fill="FFFFFF"/>
        </w:rPr>
        <w:t xml:space="preserve">Home Office. </w:t>
      </w:r>
      <w:r w:rsidR="001F4B61">
        <w:rPr>
          <w:rFonts w:cstheme="minorHAnsi"/>
          <w:color w:val="000000"/>
          <w:shd w:val="clear" w:color="auto" w:fill="FFFFFF"/>
        </w:rPr>
        <w:t xml:space="preserve">2023. </w:t>
      </w:r>
      <w:r w:rsidRPr="00213F60">
        <w:rPr>
          <w:rFonts w:cstheme="minorHAnsi"/>
          <w:i/>
          <w:iCs/>
          <w:color w:val="000000"/>
          <w:shd w:val="clear" w:color="auto" w:fill="FFFFFF"/>
        </w:rPr>
        <w:t>Domestic Violence Disclosure Scheme (DVDS) Statutory Guidance</w:t>
      </w:r>
      <w:r>
        <w:rPr>
          <w:rFonts w:cstheme="minorHAnsi"/>
          <w:color w:val="000000"/>
          <w:shd w:val="clear" w:color="auto" w:fill="FFFFFF"/>
        </w:rPr>
        <w:t xml:space="preserve">. </w:t>
      </w:r>
      <w:r w:rsidR="00213F60">
        <w:rPr>
          <w:rFonts w:cstheme="minorHAnsi"/>
          <w:color w:val="000000"/>
          <w:shd w:val="clear" w:color="auto" w:fill="FFFFFF"/>
        </w:rPr>
        <w:t xml:space="preserve">Available at </w:t>
      </w:r>
      <w:hyperlink r:id="rId12" w:history="1">
        <w:r w:rsidR="004846FE" w:rsidRPr="003F7733">
          <w:rPr>
            <w:rStyle w:val="Hyperlink"/>
            <w:rFonts w:cstheme="minorHAnsi"/>
            <w:shd w:val="clear" w:color="auto" w:fill="FFFFFF"/>
          </w:rPr>
          <w:t>https://assets.publishing.service.gov.uk/government/uploads/system/uploads/attachment_data/file/1162788/Domestic_Violence_Disclosure_Scheme.pdf</w:t>
        </w:r>
      </w:hyperlink>
      <w:r>
        <w:rPr>
          <w:rFonts w:cstheme="minorHAnsi"/>
          <w:color w:val="000000"/>
          <w:shd w:val="clear" w:color="auto" w:fill="FFFFFF"/>
        </w:rPr>
        <w:t xml:space="preserve"> (Accessed 20.07.23)</w:t>
      </w:r>
      <w:r w:rsidR="001F4B61">
        <w:rPr>
          <w:rFonts w:cstheme="minorHAnsi"/>
          <w:color w:val="000000"/>
          <w:shd w:val="clear" w:color="auto" w:fill="FFFFFF"/>
        </w:rPr>
        <w:t>.</w:t>
      </w:r>
    </w:p>
    <w:p w14:paraId="0AAABDFA" w14:textId="619B4AE7" w:rsidR="00260543" w:rsidRDefault="00260543" w:rsidP="00004824">
      <w:pPr>
        <w:autoSpaceDE w:val="0"/>
        <w:autoSpaceDN w:val="0"/>
        <w:adjustRightInd w:val="0"/>
        <w:spacing w:line="276" w:lineRule="auto"/>
        <w:ind w:left="720" w:hanging="720"/>
        <w:rPr>
          <w:rFonts w:cstheme="minorHAnsi"/>
        </w:rPr>
      </w:pPr>
      <w:r>
        <w:rPr>
          <w:rFonts w:cstheme="minorHAnsi"/>
        </w:rPr>
        <w:t xml:space="preserve">Lowe, Y. 2021. ‘Women at risk’ as police in England and Wales miss Clare’s Law deadlines. </w:t>
      </w:r>
      <w:r w:rsidRPr="00004824">
        <w:rPr>
          <w:rFonts w:cstheme="minorHAnsi"/>
          <w:i/>
          <w:iCs/>
        </w:rPr>
        <w:t>The Observer</w:t>
      </w:r>
      <w:r>
        <w:rPr>
          <w:rFonts w:cstheme="minorHAnsi"/>
        </w:rPr>
        <w:t xml:space="preserve">, Sunday 9 May, </w:t>
      </w:r>
      <w:hyperlink r:id="rId13" w:history="1">
        <w:r w:rsidRPr="000C2763">
          <w:rPr>
            <w:rStyle w:val="Hyperlink"/>
            <w:rFonts w:cstheme="minorHAnsi"/>
          </w:rPr>
          <w:t>https://www.theguardian.com/society/2021/may/09/women-at-risk-as-police-in-england-and-wales-miss-clares-law-deadlines</w:t>
        </w:r>
      </w:hyperlink>
      <w:r>
        <w:rPr>
          <w:rFonts w:cstheme="minorHAnsi"/>
        </w:rPr>
        <w:t xml:space="preserve"> (Accessed 20.07.23)</w:t>
      </w:r>
      <w:r w:rsidR="0061503C">
        <w:rPr>
          <w:rFonts w:cstheme="minorHAnsi"/>
        </w:rPr>
        <w:t>.</w:t>
      </w:r>
      <w:r>
        <w:rPr>
          <w:rFonts w:cstheme="minorHAnsi"/>
        </w:rPr>
        <w:t xml:space="preserve"> </w:t>
      </w:r>
    </w:p>
    <w:p w14:paraId="5346D2FF" w14:textId="1D956560" w:rsidR="00260543" w:rsidRDefault="00260543" w:rsidP="00004824">
      <w:pPr>
        <w:autoSpaceDE w:val="0"/>
        <w:autoSpaceDN w:val="0"/>
        <w:adjustRightInd w:val="0"/>
        <w:spacing w:line="276" w:lineRule="auto"/>
        <w:ind w:left="720" w:hanging="720"/>
        <w:rPr>
          <w:rFonts w:cstheme="minorHAnsi"/>
        </w:rPr>
      </w:pPr>
      <w:r>
        <w:rPr>
          <w:rFonts w:cstheme="minorHAnsi"/>
        </w:rPr>
        <w:t xml:space="preserve">Oppenheim, M. 2019. Woman murdered by boyfriend days after asking police if he had history of violence. </w:t>
      </w:r>
      <w:r w:rsidRPr="00004824">
        <w:rPr>
          <w:rFonts w:cstheme="minorHAnsi"/>
          <w:i/>
          <w:iCs/>
        </w:rPr>
        <w:t>Independent</w:t>
      </w:r>
      <w:r>
        <w:rPr>
          <w:rFonts w:cstheme="minorHAnsi"/>
        </w:rPr>
        <w:t xml:space="preserve">, Friday 2 August, </w:t>
      </w:r>
      <w:hyperlink r:id="rId14" w:history="1">
        <w:r w:rsidRPr="000C2763">
          <w:rPr>
            <w:rStyle w:val="Hyperlink"/>
            <w:rFonts w:cstheme="minorHAnsi"/>
          </w:rPr>
          <w:t>https://www.independent.co.uk/news/uk/crime/clares-law-woman-killed-boyfriend-rosie-darbyshire-mother-ben-topping-police-violence-a9036541.html</w:t>
        </w:r>
      </w:hyperlink>
      <w:r>
        <w:rPr>
          <w:rFonts w:cstheme="minorHAnsi"/>
        </w:rPr>
        <w:t xml:space="preserve"> (Accessed 20.07.23)</w:t>
      </w:r>
      <w:r w:rsidR="0061503C">
        <w:rPr>
          <w:rFonts w:cstheme="minorHAnsi"/>
        </w:rPr>
        <w:t>.</w:t>
      </w:r>
    </w:p>
    <w:p w14:paraId="3D53FAC9" w14:textId="77777777" w:rsidR="0098046F" w:rsidRPr="0007606F" w:rsidRDefault="0098046F" w:rsidP="00187D97">
      <w:pPr>
        <w:spacing w:line="276" w:lineRule="auto"/>
        <w:rPr>
          <w:rFonts w:cstheme="minorHAnsi"/>
          <w:color w:val="000000"/>
          <w:shd w:val="clear" w:color="auto" w:fill="FFFFFF"/>
        </w:rPr>
      </w:pPr>
    </w:p>
    <w:p w14:paraId="6BBC3BAC" w14:textId="77777777" w:rsidR="00CE6DB3" w:rsidRDefault="00CE6DB3" w:rsidP="00CE6DB3">
      <w:pPr>
        <w:spacing w:line="276" w:lineRule="auto"/>
        <w:jc w:val="both"/>
        <w:rPr>
          <w:rFonts w:cstheme="minorHAnsi"/>
        </w:rPr>
      </w:pPr>
    </w:p>
    <w:p w14:paraId="034CBD4F" w14:textId="3207240A" w:rsidR="00195B1F" w:rsidRPr="008527C6" w:rsidRDefault="00195B1F" w:rsidP="00187D97">
      <w:pPr>
        <w:spacing w:line="276" w:lineRule="auto"/>
        <w:rPr>
          <w:rFonts w:cstheme="minorHAnsi"/>
        </w:rPr>
      </w:pPr>
    </w:p>
    <w:p w14:paraId="4B96F41F" w14:textId="77777777" w:rsidR="00195B1F" w:rsidRPr="00195B1F" w:rsidRDefault="00195B1F" w:rsidP="00195B1F">
      <w:pPr>
        <w:spacing w:line="276" w:lineRule="auto"/>
        <w:rPr>
          <w:rFonts w:cstheme="minorHAnsi"/>
          <w:lang w:val="en-AU"/>
        </w:rPr>
      </w:pPr>
    </w:p>
    <w:p w14:paraId="35E6C2DF" w14:textId="77777777" w:rsidR="00195B1F" w:rsidRPr="00195B1F" w:rsidRDefault="00195B1F" w:rsidP="00195B1F">
      <w:pPr>
        <w:spacing w:line="276" w:lineRule="auto"/>
        <w:rPr>
          <w:rFonts w:cstheme="minorHAnsi"/>
          <w:lang w:val="en-AU"/>
        </w:rPr>
      </w:pPr>
    </w:p>
    <w:p w14:paraId="239E92D2" w14:textId="15733D69" w:rsidR="00195B1F" w:rsidRPr="008527C6" w:rsidRDefault="00195B1F" w:rsidP="00187D97">
      <w:pPr>
        <w:spacing w:line="276" w:lineRule="auto"/>
        <w:rPr>
          <w:rFonts w:cstheme="minorHAnsi"/>
        </w:rPr>
      </w:pPr>
    </w:p>
    <w:p w14:paraId="2A321CF8" w14:textId="5F8E2571" w:rsidR="00187D97" w:rsidRPr="008527C6" w:rsidRDefault="00187D97"/>
    <w:p w14:paraId="6B3F4799" w14:textId="77777777" w:rsidR="00187D97" w:rsidRPr="008527C6" w:rsidRDefault="00187D97"/>
    <w:sectPr w:rsidR="00187D97" w:rsidRPr="008527C6" w:rsidSect="000723DC">
      <w:headerReference w:type="even" r:id="rId15"/>
      <w:headerReference w:type="default" r:id="rId16"/>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E4AE4" w14:textId="77777777" w:rsidR="0094465A" w:rsidRDefault="0094465A" w:rsidP="00195B1F">
      <w:r>
        <w:separator/>
      </w:r>
    </w:p>
  </w:endnote>
  <w:endnote w:type="continuationSeparator" w:id="0">
    <w:p w14:paraId="6BC38261" w14:textId="77777777" w:rsidR="0094465A" w:rsidRDefault="0094465A" w:rsidP="0019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008710"/>
      <w:docPartObj>
        <w:docPartGallery w:val="Page Numbers (Bottom of Page)"/>
        <w:docPartUnique/>
      </w:docPartObj>
    </w:sdtPr>
    <w:sdtEndPr>
      <w:rPr>
        <w:noProof/>
      </w:rPr>
    </w:sdtEndPr>
    <w:sdtContent>
      <w:p w14:paraId="1AC4C15C" w14:textId="3C478E97" w:rsidR="00D02200" w:rsidRDefault="00D02200">
        <w:pPr>
          <w:pStyle w:val="Footer"/>
          <w:jc w:val="center"/>
          <w:rPr>
            <w:sz w:val="22"/>
            <w:szCs w:val="22"/>
          </w:rPr>
        </w:pPr>
        <w:r>
          <w:rPr>
            <w:sz w:val="22"/>
            <w:szCs w:val="22"/>
          </w:rPr>
          <w:t>__________________________________________________________________________________</w:t>
        </w:r>
      </w:p>
      <w:p w14:paraId="7F74A79A" w14:textId="77777777" w:rsidR="00D02200" w:rsidRPr="00D02200" w:rsidRDefault="00D02200">
        <w:pPr>
          <w:pStyle w:val="Footer"/>
          <w:jc w:val="center"/>
          <w:rPr>
            <w:sz w:val="22"/>
            <w:szCs w:val="22"/>
          </w:rPr>
        </w:pPr>
      </w:p>
      <w:p w14:paraId="3EB302DB" w14:textId="4CD4CCE1" w:rsidR="00587717" w:rsidRDefault="00587717">
        <w:pPr>
          <w:pStyle w:val="Footer"/>
          <w:jc w:val="center"/>
        </w:pPr>
        <w:r w:rsidRPr="00D02200">
          <w:rPr>
            <w:sz w:val="22"/>
            <w:szCs w:val="22"/>
          </w:rPr>
          <w:fldChar w:fldCharType="begin"/>
        </w:r>
        <w:r w:rsidRPr="00D02200">
          <w:rPr>
            <w:sz w:val="22"/>
            <w:szCs w:val="22"/>
          </w:rPr>
          <w:instrText xml:space="preserve"> PAGE   \* MERGEFORMAT </w:instrText>
        </w:r>
        <w:r w:rsidRPr="00D02200">
          <w:rPr>
            <w:sz w:val="22"/>
            <w:szCs w:val="22"/>
          </w:rPr>
          <w:fldChar w:fldCharType="separate"/>
        </w:r>
        <w:r w:rsidRPr="00D02200">
          <w:rPr>
            <w:noProof/>
            <w:sz w:val="22"/>
            <w:szCs w:val="22"/>
          </w:rPr>
          <w:t>2</w:t>
        </w:r>
        <w:r w:rsidRPr="00D02200">
          <w:rPr>
            <w:noProof/>
            <w:sz w:val="22"/>
            <w:szCs w:val="22"/>
          </w:rPr>
          <w:fldChar w:fldCharType="end"/>
        </w:r>
      </w:p>
    </w:sdtContent>
  </w:sdt>
  <w:p w14:paraId="37BC3219" w14:textId="77777777" w:rsidR="000723DC" w:rsidRDefault="00072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447156"/>
      <w:docPartObj>
        <w:docPartGallery w:val="Page Numbers (Bottom of Page)"/>
        <w:docPartUnique/>
      </w:docPartObj>
    </w:sdtPr>
    <w:sdtEndPr>
      <w:rPr>
        <w:noProof/>
        <w:sz w:val="22"/>
        <w:szCs w:val="22"/>
      </w:rPr>
    </w:sdtEndPr>
    <w:sdtContent>
      <w:p w14:paraId="66F5AB81" w14:textId="590D7BF1" w:rsidR="00F4353A" w:rsidRDefault="007121B5">
        <w:pPr>
          <w:pStyle w:val="Footer"/>
          <w:jc w:val="center"/>
          <w:rPr>
            <w:sz w:val="22"/>
            <w:szCs w:val="22"/>
          </w:rPr>
        </w:pPr>
        <w:r>
          <w:rPr>
            <w:sz w:val="22"/>
            <w:szCs w:val="22"/>
          </w:rPr>
          <w:t>__________________________________________________________________________________</w:t>
        </w:r>
      </w:p>
      <w:p w14:paraId="1D300FFE" w14:textId="77777777" w:rsidR="007121B5" w:rsidRPr="007121B5" w:rsidRDefault="007121B5">
        <w:pPr>
          <w:pStyle w:val="Footer"/>
          <w:jc w:val="center"/>
          <w:rPr>
            <w:sz w:val="22"/>
            <w:szCs w:val="22"/>
          </w:rPr>
        </w:pPr>
      </w:p>
      <w:p w14:paraId="7CFA855A" w14:textId="01B71036" w:rsidR="00F4353A" w:rsidRPr="00F4353A" w:rsidRDefault="00F4353A">
        <w:pPr>
          <w:pStyle w:val="Footer"/>
          <w:jc w:val="center"/>
          <w:rPr>
            <w:sz w:val="22"/>
            <w:szCs w:val="22"/>
          </w:rPr>
        </w:pPr>
        <w:r w:rsidRPr="00F4353A">
          <w:rPr>
            <w:sz w:val="22"/>
            <w:szCs w:val="22"/>
          </w:rPr>
          <w:fldChar w:fldCharType="begin"/>
        </w:r>
        <w:r w:rsidRPr="00F4353A">
          <w:rPr>
            <w:sz w:val="22"/>
            <w:szCs w:val="22"/>
          </w:rPr>
          <w:instrText xml:space="preserve"> PAGE   \* MERGEFORMAT </w:instrText>
        </w:r>
        <w:r w:rsidRPr="00F4353A">
          <w:rPr>
            <w:sz w:val="22"/>
            <w:szCs w:val="22"/>
          </w:rPr>
          <w:fldChar w:fldCharType="separate"/>
        </w:r>
        <w:r w:rsidRPr="00F4353A">
          <w:rPr>
            <w:noProof/>
            <w:sz w:val="22"/>
            <w:szCs w:val="22"/>
          </w:rPr>
          <w:t>2</w:t>
        </w:r>
        <w:r w:rsidRPr="00F4353A">
          <w:rPr>
            <w:noProof/>
            <w:sz w:val="22"/>
            <w:szCs w:val="22"/>
          </w:rPr>
          <w:fldChar w:fldCharType="end"/>
        </w:r>
      </w:p>
    </w:sdtContent>
  </w:sdt>
  <w:p w14:paraId="569A92B6" w14:textId="77777777" w:rsidR="00070DC9" w:rsidRDefault="00070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A54BB" w14:textId="77777777" w:rsidR="0094465A" w:rsidRDefault="0094465A" w:rsidP="00195B1F">
      <w:r>
        <w:separator/>
      </w:r>
    </w:p>
  </w:footnote>
  <w:footnote w:type="continuationSeparator" w:id="0">
    <w:p w14:paraId="4BE6FE51" w14:textId="77777777" w:rsidR="0094465A" w:rsidRDefault="0094465A" w:rsidP="00195B1F">
      <w:r>
        <w:continuationSeparator/>
      </w:r>
    </w:p>
  </w:footnote>
  <w:footnote w:id="1">
    <w:p w14:paraId="3228D249" w14:textId="646662C7" w:rsidR="001D02C7" w:rsidRPr="001D02C7" w:rsidRDefault="001D02C7">
      <w:pPr>
        <w:pStyle w:val="FootnoteText"/>
        <w:rPr>
          <w:rFonts w:asciiTheme="minorHAnsi" w:hAnsiTheme="minorHAnsi" w:cstheme="minorHAnsi"/>
        </w:rPr>
      </w:pPr>
      <w:r>
        <w:rPr>
          <w:rStyle w:val="FootnoteReference"/>
        </w:rPr>
        <w:t>*</w:t>
      </w:r>
      <w:r>
        <w:t xml:space="preserve"> </w:t>
      </w:r>
      <w:r>
        <w:rPr>
          <w:rFonts w:asciiTheme="minorHAnsi" w:hAnsiTheme="minorHAnsi" w:cstheme="minorHAnsi"/>
        </w:rPr>
        <w:t xml:space="preserve">Reader </w:t>
      </w:r>
      <w:r w:rsidR="003B415F">
        <w:rPr>
          <w:rFonts w:asciiTheme="minorHAnsi" w:hAnsiTheme="minorHAnsi" w:cstheme="minorHAnsi"/>
        </w:rPr>
        <w:t xml:space="preserve">in Criminology, School of Social Policy, Sociology and Social Research, University of Kent, UK. Email </w:t>
      </w:r>
      <w:hyperlink r:id="rId1" w:history="1">
        <w:r w:rsidR="003B415F" w:rsidRPr="001674FF">
          <w:rPr>
            <w:rStyle w:val="Hyperlink"/>
            <w:rFonts w:asciiTheme="minorHAnsi" w:hAnsiTheme="minorHAnsi" w:cstheme="minorHAnsi"/>
          </w:rPr>
          <w:t>M.C.Duggan@kent.ac.uk</w:t>
        </w:r>
      </w:hyperlink>
      <w:r w:rsidR="003B415F">
        <w:rPr>
          <w:rFonts w:asciiTheme="minorHAnsi" w:hAnsiTheme="minorHAnsi" w:cstheme="minorHAnsi"/>
        </w:rPr>
        <w:t xml:space="preserve">  </w:t>
      </w:r>
    </w:p>
  </w:footnote>
  <w:footnote w:id="2">
    <w:p w14:paraId="78222236" w14:textId="301E817F" w:rsidR="003B415F" w:rsidRPr="003B415F" w:rsidRDefault="003B415F">
      <w:pPr>
        <w:pStyle w:val="FootnoteText"/>
        <w:rPr>
          <w:rFonts w:asciiTheme="minorHAnsi" w:hAnsiTheme="minorHAnsi" w:cstheme="minorHAnsi"/>
        </w:rPr>
      </w:pPr>
      <w:r>
        <w:rPr>
          <w:rStyle w:val="FootnoteReference"/>
        </w:rPr>
        <w:t>**</w:t>
      </w:r>
      <w:r>
        <w:t xml:space="preserve"> </w:t>
      </w:r>
      <w:r w:rsidRPr="005F724B">
        <w:rPr>
          <w:rFonts w:asciiTheme="minorHAnsi" w:hAnsiTheme="minorHAnsi" w:cstheme="minorHAnsi"/>
        </w:rPr>
        <w:t>Reader</w:t>
      </w:r>
      <w:r w:rsidR="005F724B">
        <w:rPr>
          <w:rFonts w:asciiTheme="minorHAnsi" w:hAnsiTheme="minorHAnsi" w:cstheme="minorHAnsi"/>
        </w:rPr>
        <w:t xml:space="preserve"> in Criminal Justice and Policing</w:t>
      </w:r>
      <w:r w:rsidR="00DD4762" w:rsidRPr="005F724B">
        <w:rPr>
          <w:rFonts w:asciiTheme="minorHAnsi" w:hAnsiTheme="minorHAnsi" w:cstheme="minorHAnsi"/>
        </w:rPr>
        <w:t>,</w:t>
      </w:r>
      <w:r w:rsidR="00DD4762">
        <w:rPr>
          <w:rFonts w:asciiTheme="minorHAnsi" w:hAnsiTheme="minorHAnsi" w:cstheme="minorHAnsi"/>
        </w:rPr>
        <w:t xml:space="preserve"> </w:t>
      </w:r>
      <w:r w:rsidR="005F724B">
        <w:rPr>
          <w:rFonts w:asciiTheme="minorHAnsi" w:hAnsiTheme="minorHAnsi" w:cstheme="minorHAnsi"/>
        </w:rPr>
        <w:t xml:space="preserve">School of </w:t>
      </w:r>
      <w:r w:rsidR="00CB68D1">
        <w:rPr>
          <w:rFonts w:asciiTheme="minorHAnsi" w:hAnsiTheme="minorHAnsi" w:cstheme="minorHAnsi"/>
        </w:rPr>
        <w:t xml:space="preserve">Law and Policing, </w:t>
      </w:r>
      <w:r w:rsidR="00DD4762">
        <w:rPr>
          <w:rFonts w:asciiTheme="minorHAnsi" w:hAnsiTheme="minorHAnsi" w:cstheme="minorHAnsi"/>
        </w:rPr>
        <w:t xml:space="preserve">University of Central Lancashire, UK. Email </w:t>
      </w:r>
      <w:hyperlink r:id="rId2" w:history="1">
        <w:r w:rsidR="00DD4762" w:rsidRPr="001674FF">
          <w:rPr>
            <w:rStyle w:val="Hyperlink"/>
            <w:rFonts w:asciiTheme="minorHAnsi" w:hAnsiTheme="minorHAnsi" w:cstheme="minorHAnsi"/>
          </w:rPr>
          <w:t>cbarlow8@uclan.ac.uk</w:t>
        </w:r>
      </w:hyperlink>
      <w:r w:rsidR="00DD4762">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98D0" w14:textId="6D261704" w:rsidR="007121B5" w:rsidRDefault="007121B5">
    <w:pPr>
      <w:pStyle w:val="Header"/>
      <w:rPr>
        <w:sz w:val="22"/>
        <w:szCs w:val="22"/>
      </w:rPr>
    </w:pPr>
    <w:r w:rsidRPr="007121B5">
      <w:rPr>
        <w:sz w:val="22"/>
        <w:szCs w:val="22"/>
      </w:rPr>
      <w:t>Marian Duggan and Charlotte Barlow</w:t>
    </w:r>
    <w:r w:rsidRPr="007121B5">
      <w:rPr>
        <w:sz w:val="22"/>
        <w:szCs w:val="22"/>
      </w:rPr>
      <w:tab/>
    </w:r>
    <w:r w:rsidRPr="007121B5">
      <w:rPr>
        <w:sz w:val="22"/>
        <w:szCs w:val="22"/>
      </w:rPr>
      <w:tab/>
      <w:t>Introduction to the Special Section</w:t>
    </w:r>
  </w:p>
  <w:p w14:paraId="0520387A" w14:textId="6D5DB343" w:rsidR="007121B5" w:rsidRPr="007121B5" w:rsidRDefault="00587717">
    <w:pPr>
      <w:pStyle w:val="Header"/>
      <w:rPr>
        <w:sz w:val="22"/>
        <w:szCs w:val="22"/>
      </w:rPr>
    </w:pPr>
    <w:r>
      <w:rPr>
        <w:sz w:val="22"/>
        <w:szCs w:val="22"/>
      </w:rPr>
      <w:t>__________________________________________________________________________________</w:t>
    </w:r>
  </w:p>
  <w:p w14:paraId="56BEF268" w14:textId="77777777" w:rsidR="007121B5" w:rsidRDefault="007121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C781" w14:textId="3AAFC8C5" w:rsidR="000723DC" w:rsidRDefault="000723DC">
    <w:pPr>
      <w:pStyle w:val="Header"/>
      <w:rPr>
        <w:sz w:val="22"/>
        <w:szCs w:val="22"/>
      </w:rPr>
    </w:pPr>
    <w:proofErr w:type="spellStart"/>
    <w:r>
      <w:rPr>
        <w:i/>
        <w:iCs/>
        <w:sz w:val="22"/>
        <w:szCs w:val="22"/>
      </w:rPr>
      <w:t>feminists@law</w:t>
    </w:r>
    <w:proofErr w:type="spellEnd"/>
    <w:r w:rsidR="00F4353A">
      <w:rPr>
        <w:sz w:val="22"/>
        <w:szCs w:val="22"/>
      </w:rPr>
      <w:tab/>
    </w:r>
    <w:r w:rsidR="00F4353A">
      <w:rPr>
        <w:sz w:val="22"/>
        <w:szCs w:val="22"/>
      </w:rPr>
      <w:tab/>
      <w:t>Vol 1</w:t>
    </w:r>
    <w:r w:rsidR="0054361C">
      <w:rPr>
        <w:sz w:val="22"/>
        <w:szCs w:val="22"/>
      </w:rPr>
      <w:t>3</w:t>
    </w:r>
    <w:r w:rsidR="00F4353A">
      <w:rPr>
        <w:sz w:val="22"/>
        <w:szCs w:val="22"/>
      </w:rPr>
      <w:t xml:space="preserve">, No </w:t>
    </w:r>
    <w:r w:rsidR="0054361C">
      <w:rPr>
        <w:sz w:val="22"/>
        <w:szCs w:val="22"/>
      </w:rPr>
      <w:t>1</w:t>
    </w:r>
    <w:r w:rsidR="00F4353A">
      <w:rPr>
        <w:sz w:val="22"/>
        <w:szCs w:val="22"/>
      </w:rPr>
      <w:t xml:space="preserve"> (202</w:t>
    </w:r>
    <w:r w:rsidR="0054361C">
      <w:rPr>
        <w:sz w:val="22"/>
        <w:szCs w:val="22"/>
      </w:rPr>
      <w:t>4</w:t>
    </w:r>
    <w:r w:rsidR="00F4353A">
      <w:rPr>
        <w:sz w:val="22"/>
        <w:szCs w:val="22"/>
      </w:rPr>
      <w:t>)</w:t>
    </w:r>
  </w:p>
  <w:p w14:paraId="4A8A3DEB" w14:textId="4B946C5B" w:rsidR="00F4353A" w:rsidRPr="000723DC" w:rsidRDefault="00F4353A">
    <w:pPr>
      <w:pStyle w:val="Header"/>
      <w:rPr>
        <w:sz w:val="22"/>
        <w:szCs w:val="22"/>
      </w:rPr>
    </w:pPr>
    <w:r>
      <w:rPr>
        <w:sz w:val="22"/>
        <w:szCs w:val="22"/>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E085E"/>
    <w:multiLevelType w:val="hybridMultilevel"/>
    <w:tmpl w:val="096CC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0133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0"/>
    <w:rsid w:val="00004824"/>
    <w:rsid w:val="0003720A"/>
    <w:rsid w:val="00063498"/>
    <w:rsid w:val="00070DC9"/>
    <w:rsid w:val="000723DC"/>
    <w:rsid w:val="0007606F"/>
    <w:rsid w:val="0008004B"/>
    <w:rsid w:val="0008694E"/>
    <w:rsid w:val="000B2765"/>
    <w:rsid w:val="000C19FF"/>
    <w:rsid w:val="000D7D55"/>
    <w:rsid w:val="000E3BBD"/>
    <w:rsid w:val="000F2855"/>
    <w:rsid w:val="000F4C7F"/>
    <w:rsid w:val="0011426D"/>
    <w:rsid w:val="00120303"/>
    <w:rsid w:val="001236EC"/>
    <w:rsid w:val="00126585"/>
    <w:rsid w:val="0013052C"/>
    <w:rsid w:val="00140476"/>
    <w:rsid w:val="0015193A"/>
    <w:rsid w:val="00156730"/>
    <w:rsid w:val="00164FDA"/>
    <w:rsid w:val="00166B17"/>
    <w:rsid w:val="00187D97"/>
    <w:rsid w:val="00192D08"/>
    <w:rsid w:val="00195B1F"/>
    <w:rsid w:val="001C4FAE"/>
    <w:rsid w:val="001C5BF0"/>
    <w:rsid w:val="001D02C7"/>
    <w:rsid w:val="001D0ACD"/>
    <w:rsid w:val="001F1F83"/>
    <w:rsid w:val="001F4B61"/>
    <w:rsid w:val="002079B8"/>
    <w:rsid w:val="00213F60"/>
    <w:rsid w:val="00233A6B"/>
    <w:rsid w:val="002379F8"/>
    <w:rsid w:val="00260543"/>
    <w:rsid w:val="00263BC7"/>
    <w:rsid w:val="002644B7"/>
    <w:rsid w:val="00272104"/>
    <w:rsid w:val="00284C49"/>
    <w:rsid w:val="00292E47"/>
    <w:rsid w:val="002A4601"/>
    <w:rsid w:val="002C5E78"/>
    <w:rsid w:val="002D3B0A"/>
    <w:rsid w:val="002E1262"/>
    <w:rsid w:val="002E183B"/>
    <w:rsid w:val="002F3631"/>
    <w:rsid w:val="00301BDE"/>
    <w:rsid w:val="00310E47"/>
    <w:rsid w:val="0035123C"/>
    <w:rsid w:val="00380B6E"/>
    <w:rsid w:val="00383D64"/>
    <w:rsid w:val="00391A15"/>
    <w:rsid w:val="00396A4C"/>
    <w:rsid w:val="003A43B5"/>
    <w:rsid w:val="003B415F"/>
    <w:rsid w:val="003B462E"/>
    <w:rsid w:val="003C6253"/>
    <w:rsid w:val="003D17C8"/>
    <w:rsid w:val="003E2C68"/>
    <w:rsid w:val="00402F76"/>
    <w:rsid w:val="00420087"/>
    <w:rsid w:val="0043010C"/>
    <w:rsid w:val="0043550B"/>
    <w:rsid w:val="00460D0E"/>
    <w:rsid w:val="00466019"/>
    <w:rsid w:val="00483FB9"/>
    <w:rsid w:val="004846FE"/>
    <w:rsid w:val="004B0C1B"/>
    <w:rsid w:val="004B3B0A"/>
    <w:rsid w:val="004B4321"/>
    <w:rsid w:val="004E356C"/>
    <w:rsid w:val="004F5567"/>
    <w:rsid w:val="004F625A"/>
    <w:rsid w:val="00506F0A"/>
    <w:rsid w:val="00513178"/>
    <w:rsid w:val="00541A80"/>
    <w:rsid w:val="0054361C"/>
    <w:rsid w:val="00554623"/>
    <w:rsid w:val="005838E5"/>
    <w:rsid w:val="00587717"/>
    <w:rsid w:val="00593000"/>
    <w:rsid w:val="005930C0"/>
    <w:rsid w:val="005A4C16"/>
    <w:rsid w:val="005D3122"/>
    <w:rsid w:val="005E0C01"/>
    <w:rsid w:val="005F724B"/>
    <w:rsid w:val="00604325"/>
    <w:rsid w:val="0061503C"/>
    <w:rsid w:val="0062257A"/>
    <w:rsid w:val="00627844"/>
    <w:rsid w:val="00646987"/>
    <w:rsid w:val="00656A91"/>
    <w:rsid w:val="006606DF"/>
    <w:rsid w:val="00667238"/>
    <w:rsid w:val="006738F3"/>
    <w:rsid w:val="00690A57"/>
    <w:rsid w:val="00696DFE"/>
    <w:rsid w:val="00697E09"/>
    <w:rsid w:val="006A1A56"/>
    <w:rsid w:val="006B388C"/>
    <w:rsid w:val="006F29DE"/>
    <w:rsid w:val="006F539A"/>
    <w:rsid w:val="007064D1"/>
    <w:rsid w:val="007121B5"/>
    <w:rsid w:val="0071558D"/>
    <w:rsid w:val="0072506F"/>
    <w:rsid w:val="00726071"/>
    <w:rsid w:val="007519EA"/>
    <w:rsid w:val="00770C3B"/>
    <w:rsid w:val="0077254E"/>
    <w:rsid w:val="00774290"/>
    <w:rsid w:val="007A24FB"/>
    <w:rsid w:val="007A3724"/>
    <w:rsid w:val="007B71A8"/>
    <w:rsid w:val="007F27B0"/>
    <w:rsid w:val="00802BDB"/>
    <w:rsid w:val="0080357C"/>
    <w:rsid w:val="008527C6"/>
    <w:rsid w:val="008535C1"/>
    <w:rsid w:val="00862CEF"/>
    <w:rsid w:val="00870B91"/>
    <w:rsid w:val="00874F03"/>
    <w:rsid w:val="008919F1"/>
    <w:rsid w:val="0089529F"/>
    <w:rsid w:val="008C5181"/>
    <w:rsid w:val="00916203"/>
    <w:rsid w:val="009226D0"/>
    <w:rsid w:val="009257F2"/>
    <w:rsid w:val="00930CFA"/>
    <w:rsid w:val="00941DCE"/>
    <w:rsid w:val="0094465A"/>
    <w:rsid w:val="00965FF4"/>
    <w:rsid w:val="0098046F"/>
    <w:rsid w:val="00990ECE"/>
    <w:rsid w:val="009926F6"/>
    <w:rsid w:val="009A0D39"/>
    <w:rsid w:val="00A070AE"/>
    <w:rsid w:val="00A424A3"/>
    <w:rsid w:val="00A735D0"/>
    <w:rsid w:val="00A94A0C"/>
    <w:rsid w:val="00AA6EC1"/>
    <w:rsid w:val="00AB00ED"/>
    <w:rsid w:val="00AB4AE8"/>
    <w:rsid w:val="00AD125E"/>
    <w:rsid w:val="00AE2806"/>
    <w:rsid w:val="00AF0937"/>
    <w:rsid w:val="00AF7DB5"/>
    <w:rsid w:val="00B06174"/>
    <w:rsid w:val="00B40887"/>
    <w:rsid w:val="00B42969"/>
    <w:rsid w:val="00B43C51"/>
    <w:rsid w:val="00B4411A"/>
    <w:rsid w:val="00B4733B"/>
    <w:rsid w:val="00B515A1"/>
    <w:rsid w:val="00B800C5"/>
    <w:rsid w:val="00B8694D"/>
    <w:rsid w:val="00B91C40"/>
    <w:rsid w:val="00BA470E"/>
    <w:rsid w:val="00BD6840"/>
    <w:rsid w:val="00BF1B24"/>
    <w:rsid w:val="00C44EB0"/>
    <w:rsid w:val="00C50BDE"/>
    <w:rsid w:val="00C64D9D"/>
    <w:rsid w:val="00C7355C"/>
    <w:rsid w:val="00C75B3E"/>
    <w:rsid w:val="00CA3106"/>
    <w:rsid w:val="00CA4027"/>
    <w:rsid w:val="00CA7A00"/>
    <w:rsid w:val="00CB1532"/>
    <w:rsid w:val="00CB68D1"/>
    <w:rsid w:val="00CC24D5"/>
    <w:rsid w:val="00CC27D5"/>
    <w:rsid w:val="00CE6DB3"/>
    <w:rsid w:val="00CF52A8"/>
    <w:rsid w:val="00D02200"/>
    <w:rsid w:val="00D24151"/>
    <w:rsid w:val="00D32FA2"/>
    <w:rsid w:val="00D64E04"/>
    <w:rsid w:val="00D6689B"/>
    <w:rsid w:val="00D90A6B"/>
    <w:rsid w:val="00D96AD9"/>
    <w:rsid w:val="00DD4762"/>
    <w:rsid w:val="00E25669"/>
    <w:rsid w:val="00E26EE9"/>
    <w:rsid w:val="00E35AA7"/>
    <w:rsid w:val="00E40120"/>
    <w:rsid w:val="00E66E60"/>
    <w:rsid w:val="00E705E5"/>
    <w:rsid w:val="00E74DA7"/>
    <w:rsid w:val="00E8158E"/>
    <w:rsid w:val="00E84082"/>
    <w:rsid w:val="00E90B7F"/>
    <w:rsid w:val="00E95D4D"/>
    <w:rsid w:val="00EB28FE"/>
    <w:rsid w:val="00EF5CEA"/>
    <w:rsid w:val="00F03B04"/>
    <w:rsid w:val="00F068F5"/>
    <w:rsid w:val="00F268DE"/>
    <w:rsid w:val="00F37BAB"/>
    <w:rsid w:val="00F4353A"/>
    <w:rsid w:val="00F7664F"/>
    <w:rsid w:val="00F76FCE"/>
    <w:rsid w:val="00FD26B8"/>
    <w:rsid w:val="00FE308C"/>
    <w:rsid w:val="00FF29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58628"/>
  <w15:docId w15:val="{710EE1DE-8426-4FDB-B1F1-747D003C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D97"/>
    <w:pPr>
      <w:spacing w:after="0" w:line="240" w:lineRule="auto"/>
    </w:pPr>
    <w:rPr>
      <w:sz w:val="24"/>
      <w:szCs w:val="24"/>
    </w:rPr>
  </w:style>
  <w:style w:type="paragraph" w:styleId="Heading1">
    <w:name w:val="heading 1"/>
    <w:basedOn w:val="Normal"/>
    <w:next w:val="Normal"/>
    <w:link w:val="Heading1Char"/>
    <w:uiPriority w:val="9"/>
    <w:qFormat/>
    <w:rsid w:val="007F27B0"/>
    <w:pPr>
      <w:autoSpaceDE w:val="0"/>
      <w:autoSpaceDN w:val="0"/>
      <w:adjustRightInd w:val="0"/>
      <w:spacing w:line="276" w:lineRule="auto"/>
      <w:outlineLvl w:val="0"/>
    </w:pPr>
    <w:rPr>
      <w:rFonts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5B1F"/>
    <w:rPr>
      <w:color w:val="0563C1" w:themeColor="hyperlink"/>
      <w:u w:val="single"/>
    </w:rPr>
  </w:style>
  <w:style w:type="paragraph" w:styleId="FootnoteText">
    <w:name w:val="footnote text"/>
    <w:basedOn w:val="Normal"/>
    <w:link w:val="FootnoteTextChar"/>
    <w:uiPriority w:val="99"/>
    <w:semiHidden/>
    <w:unhideWhenUsed/>
    <w:rsid w:val="00195B1F"/>
    <w:rPr>
      <w:rFonts w:ascii="Arial" w:hAnsi="Arial" w:cs="Arial"/>
      <w:sz w:val="20"/>
      <w:szCs w:val="20"/>
    </w:rPr>
  </w:style>
  <w:style w:type="character" w:customStyle="1" w:styleId="FootnoteTextChar">
    <w:name w:val="Footnote Text Char"/>
    <w:basedOn w:val="DefaultParagraphFont"/>
    <w:link w:val="FootnoteText"/>
    <w:uiPriority w:val="99"/>
    <w:semiHidden/>
    <w:rsid w:val="00195B1F"/>
    <w:rPr>
      <w:rFonts w:ascii="Arial" w:hAnsi="Arial" w:cs="Arial"/>
      <w:sz w:val="20"/>
      <w:szCs w:val="20"/>
    </w:rPr>
  </w:style>
  <w:style w:type="character" w:styleId="FootnoteReference">
    <w:name w:val="footnote reference"/>
    <w:basedOn w:val="DefaultParagraphFont"/>
    <w:uiPriority w:val="99"/>
    <w:semiHidden/>
    <w:unhideWhenUsed/>
    <w:rsid w:val="00195B1F"/>
    <w:rPr>
      <w:vertAlign w:val="superscript"/>
    </w:rPr>
  </w:style>
  <w:style w:type="character" w:styleId="UnresolvedMention">
    <w:name w:val="Unresolved Mention"/>
    <w:basedOn w:val="DefaultParagraphFont"/>
    <w:uiPriority w:val="99"/>
    <w:semiHidden/>
    <w:unhideWhenUsed/>
    <w:rsid w:val="00195B1F"/>
    <w:rPr>
      <w:color w:val="605E5C"/>
      <w:shd w:val="clear" w:color="auto" w:fill="E1DFDD"/>
    </w:rPr>
  </w:style>
  <w:style w:type="character" w:styleId="CommentReference">
    <w:name w:val="annotation reference"/>
    <w:basedOn w:val="DefaultParagraphFont"/>
    <w:uiPriority w:val="99"/>
    <w:semiHidden/>
    <w:unhideWhenUsed/>
    <w:rsid w:val="00627844"/>
    <w:rPr>
      <w:sz w:val="16"/>
      <w:szCs w:val="16"/>
    </w:rPr>
  </w:style>
  <w:style w:type="paragraph" w:styleId="CommentText">
    <w:name w:val="annotation text"/>
    <w:basedOn w:val="Normal"/>
    <w:link w:val="CommentTextChar"/>
    <w:uiPriority w:val="99"/>
    <w:unhideWhenUsed/>
    <w:rsid w:val="00627844"/>
    <w:rPr>
      <w:sz w:val="20"/>
      <w:szCs w:val="20"/>
    </w:rPr>
  </w:style>
  <w:style w:type="character" w:customStyle="1" w:styleId="CommentTextChar">
    <w:name w:val="Comment Text Char"/>
    <w:basedOn w:val="DefaultParagraphFont"/>
    <w:link w:val="CommentText"/>
    <w:uiPriority w:val="99"/>
    <w:rsid w:val="00627844"/>
    <w:rPr>
      <w:sz w:val="20"/>
      <w:szCs w:val="20"/>
    </w:rPr>
  </w:style>
  <w:style w:type="paragraph" w:styleId="CommentSubject">
    <w:name w:val="annotation subject"/>
    <w:basedOn w:val="CommentText"/>
    <w:next w:val="CommentText"/>
    <w:link w:val="CommentSubjectChar"/>
    <w:uiPriority w:val="99"/>
    <w:semiHidden/>
    <w:unhideWhenUsed/>
    <w:rsid w:val="00627844"/>
    <w:rPr>
      <w:b/>
      <w:bCs/>
    </w:rPr>
  </w:style>
  <w:style w:type="character" w:customStyle="1" w:styleId="CommentSubjectChar">
    <w:name w:val="Comment Subject Char"/>
    <w:basedOn w:val="CommentTextChar"/>
    <w:link w:val="CommentSubject"/>
    <w:uiPriority w:val="99"/>
    <w:semiHidden/>
    <w:rsid w:val="00627844"/>
    <w:rPr>
      <w:b/>
      <w:bCs/>
      <w:sz w:val="20"/>
      <w:szCs w:val="20"/>
    </w:rPr>
  </w:style>
  <w:style w:type="paragraph" w:styleId="ListParagraph">
    <w:name w:val="List Paragraph"/>
    <w:basedOn w:val="Normal"/>
    <w:uiPriority w:val="34"/>
    <w:qFormat/>
    <w:rsid w:val="007064D1"/>
    <w:pPr>
      <w:ind w:left="720"/>
      <w:contextualSpacing/>
    </w:pPr>
  </w:style>
  <w:style w:type="paragraph" w:styleId="Revision">
    <w:name w:val="Revision"/>
    <w:hidden/>
    <w:uiPriority w:val="99"/>
    <w:semiHidden/>
    <w:rsid w:val="00156730"/>
    <w:pPr>
      <w:spacing w:after="0" w:line="240" w:lineRule="auto"/>
    </w:pPr>
    <w:rPr>
      <w:sz w:val="24"/>
      <w:szCs w:val="24"/>
    </w:rPr>
  </w:style>
  <w:style w:type="paragraph" w:styleId="Header">
    <w:name w:val="header"/>
    <w:basedOn w:val="Normal"/>
    <w:link w:val="HeaderChar"/>
    <w:uiPriority w:val="99"/>
    <w:unhideWhenUsed/>
    <w:rsid w:val="00070DC9"/>
    <w:pPr>
      <w:tabs>
        <w:tab w:val="center" w:pos="4513"/>
        <w:tab w:val="right" w:pos="9026"/>
      </w:tabs>
    </w:pPr>
  </w:style>
  <w:style w:type="character" w:customStyle="1" w:styleId="HeaderChar">
    <w:name w:val="Header Char"/>
    <w:basedOn w:val="DefaultParagraphFont"/>
    <w:link w:val="Header"/>
    <w:uiPriority w:val="99"/>
    <w:rsid w:val="00070DC9"/>
    <w:rPr>
      <w:sz w:val="24"/>
      <w:szCs w:val="24"/>
    </w:rPr>
  </w:style>
  <w:style w:type="paragraph" w:styleId="Footer">
    <w:name w:val="footer"/>
    <w:basedOn w:val="Normal"/>
    <w:link w:val="FooterChar"/>
    <w:uiPriority w:val="99"/>
    <w:unhideWhenUsed/>
    <w:rsid w:val="00070DC9"/>
    <w:pPr>
      <w:tabs>
        <w:tab w:val="center" w:pos="4513"/>
        <w:tab w:val="right" w:pos="9026"/>
      </w:tabs>
    </w:pPr>
  </w:style>
  <w:style w:type="character" w:customStyle="1" w:styleId="FooterChar">
    <w:name w:val="Footer Char"/>
    <w:basedOn w:val="DefaultParagraphFont"/>
    <w:link w:val="Footer"/>
    <w:uiPriority w:val="99"/>
    <w:rsid w:val="00070DC9"/>
    <w:rPr>
      <w:sz w:val="24"/>
      <w:szCs w:val="24"/>
    </w:rPr>
  </w:style>
  <w:style w:type="character" w:styleId="FollowedHyperlink">
    <w:name w:val="FollowedHyperlink"/>
    <w:basedOn w:val="DefaultParagraphFont"/>
    <w:uiPriority w:val="99"/>
    <w:semiHidden/>
    <w:unhideWhenUsed/>
    <w:rsid w:val="00506F0A"/>
    <w:rPr>
      <w:color w:val="954F72" w:themeColor="followedHyperlink"/>
      <w:u w:val="single"/>
    </w:rPr>
  </w:style>
  <w:style w:type="character" w:customStyle="1" w:styleId="Heading1Char">
    <w:name w:val="Heading 1 Char"/>
    <w:basedOn w:val="DefaultParagraphFont"/>
    <w:link w:val="Heading1"/>
    <w:uiPriority w:val="9"/>
    <w:rsid w:val="007F27B0"/>
    <w:rPr>
      <w:rFonts w:cstheme="minorHAnsi"/>
      <w:b/>
      <w:bCs/>
      <w:sz w:val="24"/>
      <w:szCs w:val="24"/>
    </w:rPr>
  </w:style>
  <w:style w:type="paragraph" w:styleId="Title">
    <w:name w:val="Title"/>
    <w:basedOn w:val="Heading1"/>
    <w:next w:val="Normal"/>
    <w:link w:val="TitleChar"/>
    <w:uiPriority w:val="10"/>
    <w:qFormat/>
    <w:rsid w:val="00380B6E"/>
    <w:rPr>
      <w:sz w:val="28"/>
      <w:szCs w:val="28"/>
    </w:rPr>
  </w:style>
  <w:style w:type="character" w:customStyle="1" w:styleId="TitleChar">
    <w:name w:val="Title Char"/>
    <w:basedOn w:val="DefaultParagraphFont"/>
    <w:link w:val="Title"/>
    <w:uiPriority w:val="10"/>
    <w:rsid w:val="00380B6E"/>
    <w:rPr>
      <w:rFonts w:cstheme="minorHAnsi"/>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7575">
      <w:bodyDiv w:val="1"/>
      <w:marLeft w:val="0"/>
      <w:marRight w:val="0"/>
      <w:marTop w:val="0"/>
      <w:marBottom w:val="0"/>
      <w:divBdr>
        <w:top w:val="none" w:sz="0" w:space="0" w:color="auto"/>
        <w:left w:val="none" w:sz="0" w:space="0" w:color="auto"/>
        <w:bottom w:val="none" w:sz="0" w:space="0" w:color="auto"/>
        <w:right w:val="none" w:sz="0" w:space="0" w:color="auto"/>
      </w:divBdr>
    </w:div>
    <w:div w:id="53281174">
      <w:bodyDiv w:val="1"/>
      <w:marLeft w:val="0"/>
      <w:marRight w:val="0"/>
      <w:marTop w:val="0"/>
      <w:marBottom w:val="0"/>
      <w:divBdr>
        <w:top w:val="none" w:sz="0" w:space="0" w:color="auto"/>
        <w:left w:val="none" w:sz="0" w:space="0" w:color="auto"/>
        <w:bottom w:val="none" w:sz="0" w:space="0" w:color="auto"/>
        <w:right w:val="none" w:sz="0" w:space="0" w:color="auto"/>
      </w:divBdr>
    </w:div>
    <w:div w:id="84692287">
      <w:bodyDiv w:val="1"/>
      <w:marLeft w:val="0"/>
      <w:marRight w:val="0"/>
      <w:marTop w:val="0"/>
      <w:marBottom w:val="0"/>
      <w:divBdr>
        <w:top w:val="none" w:sz="0" w:space="0" w:color="auto"/>
        <w:left w:val="none" w:sz="0" w:space="0" w:color="auto"/>
        <w:bottom w:val="none" w:sz="0" w:space="0" w:color="auto"/>
        <w:right w:val="none" w:sz="0" w:space="0" w:color="auto"/>
      </w:divBdr>
    </w:div>
    <w:div w:id="137037405">
      <w:bodyDiv w:val="1"/>
      <w:marLeft w:val="0"/>
      <w:marRight w:val="0"/>
      <w:marTop w:val="0"/>
      <w:marBottom w:val="0"/>
      <w:divBdr>
        <w:top w:val="none" w:sz="0" w:space="0" w:color="auto"/>
        <w:left w:val="none" w:sz="0" w:space="0" w:color="auto"/>
        <w:bottom w:val="none" w:sz="0" w:space="0" w:color="auto"/>
        <w:right w:val="none" w:sz="0" w:space="0" w:color="auto"/>
      </w:divBdr>
      <w:divsChild>
        <w:div w:id="1357150967">
          <w:marLeft w:val="0"/>
          <w:marRight w:val="0"/>
          <w:marTop w:val="0"/>
          <w:marBottom w:val="0"/>
          <w:divBdr>
            <w:top w:val="none" w:sz="0" w:space="0" w:color="auto"/>
            <w:left w:val="none" w:sz="0" w:space="0" w:color="auto"/>
            <w:bottom w:val="none" w:sz="0" w:space="0" w:color="auto"/>
            <w:right w:val="none" w:sz="0" w:space="0" w:color="auto"/>
          </w:divBdr>
          <w:divsChild>
            <w:div w:id="710149593">
              <w:blockQuote w:val="1"/>
              <w:marLeft w:val="1500"/>
              <w:marRight w:val="1500"/>
              <w:marTop w:val="600"/>
              <w:marBottom w:val="600"/>
              <w:divBdr>
                <w:top w:val="none" w:sz="0" w:space="0" w:color="auto"/>
                <w:left w:val="none" w:sz="0" w:space="0" w:color="auto"/>
                <w:bottom w:val="none" w:sz="0" w:space="0" w:color="auto"/>
                <w:right w:val="none" w:sz="0" w:space="0" w:color="auto"/>
              </w:divBdr>
            </w:div>
            <w:div w:id="1506702586">
              <w:blockQuote w:val="1"/>
              <w:marLeft w:val="1500"/>
              <w:marRight w:val="1500"/>
              <w:marTop w:val="600"/>
              <w:marBottom w:val="600"/>
              <w:divBdr>
                <w:top w:val="none" w:sz="0" w:space="0" w:color="auto"/>
                <w:left w:val="none" w:sz="0" w:space="0" w:color="auto"/>
                <w:bottom w:val="none" w:sz="0" w:space="0" w:color="auto"/>
                <w:right w:val="none" w:sz="0" w:space="0" w:color="auto"/>
              </w:divBdr>
            </w:div>
          </w:divsChild>
        </w:div>
      </w:divsChild>
    </w:div>
    <w:div w:id="356347188">
      <w:bodyDiv w:val="1"/>
      <w:marLeft w:val="0"/>
      <w:marRight w:val="0"/>
      <w:marTop w:val="0"/>
      <w:marBottom w:val="0"/>
      <w:divBdr>
        <w:top w:val="none" w:sz="0" w:space="0" w:color="auto"/>
        <w:left w:val="none" w:sz="0" w:space="0" w:color="auto"/>
        <w:bottom w:val="none" w:sz="0" w:space="0" w:color="auto"/>
        <w:right w:val="none" w:sz="0" w:space="0" w:color="auto"/>
      </w:divBdr>
    </w:div>
    <w:div w:id="359934561">
      <w:bodyDiv w:val="1"/>
      <w:marLeft w:val="0"/>
      <w:marRight w:val="0"/>
      <w:marTop w:val="0"/>
      <w:marBottom w:val="0"/>
      <w:divBdr>
        <w:top w:val="none" w:sz="0" w:space="0" w:color="auto"/>
        <w:left w:val="none" w:sz="0" w:space="0" w:color="auto"/>
        <w:bottom w:val="none" w:sz="0" w:space="0" w:color="auto"/>
        <w:right w:val="none" w:sz="0" w:space="0" w:color="auto"/>
      </w:divBdr>
    </w:div>
    <w:div w:id="1012298911">
      <w:bodyDiv w:val="1"/>
      <w:marLeft w:val="0"/>
      <w:marRight w:val="0"/>
      <w:marTop w:val="0"/>
      <w:marBottom w:val="0"/>
      <w:divBdr>
        <w:top w:val="none" w:sz="0" w:space="0" w:color="auto"/>
        <w:left w:val="none" w:sz="0" w:space="0" w:color="auto"/>
        <w:bottom w:val="none" w:sz="0" w:space="0" w:color="auto"/>
        <w:right w:val="none" w:sz="0" w:space="0" w:color="auto"/>
      </w:divBdr>
    </w:div>
    <w:div w:id="1304309238">
      <w:bodyDiv w:val="1"/>
      <w:marLeft w:val="0"/>
      <w:marRight w:val="0"/>
      <w:marTop w:val="0"/>
      <w:marBottom w:val="0"/>
      <w:divBdr>
        <w:top w:val="none" w:sz="0" w:space="0" w:color="auto"/>
        <w:left w:val="none" w:sz="0" w:space="0" w:color="auto"/>
        <w:bottom w:val="none" w:sz="0" w:space="0" w:color="auto"/>
        <w:right w:val="none" w:sz="0" w:space="0" w:color="auto"/>
      </w:divBdr>
    </w:div>
    <w:div w:id="1317611050">
      <w:bodyDiv w:val="1"/>
      <w:marLeft w:val="0"/>
      <w:marRight w:val="0"/>
      <w:marTop w:val="0"/>
      <w:marBottom w:val="0"/>
      <w:divBdr>
        <w:top w:val="none" w:sz="0" w:space="0" w:color="auto"/>
        <w:left w:val="none" w:sz="0" w:space="0" w:color="auto"/>
        <w:bottom w:val="none" w:sz="0" w:space="0" w:color="auto"/>
        <w:right w:val="none" w:sz="0" w:space="0" w:color="auto"/>
      </w:divBdr>
    </w:div>
    <w:div w:id="1453131239">
      <w:bodyDiv w:val="1"/>
      <w:marLeft w:val="0"/>
      <w:marRight w:val="0"/>
      <w:marTop w:val="0"/>
      <w:marBottom w:val="0"/>
      <w:divBdr>
        <w:top w:val="none" w:sz="0" w:space="0" w:color="auto"/>
        <w:left w:val="none" w:sz="0" w:space="0" w:color="auto"/>
        <w:bottom w:val="none" w:sz="0" w:space="0" w:color="auto"/>
        <w:right w:val="none" w:sz="0" w:space="0" w:color="auto"/>
      </w:divBdr>
    </w:div>
    <w:div w:id="1498887561">
      <w:bodyDiv w:val="1"/>
      <w:marLeft w:val="0"/>
      <w:marRight w:val="0"/>
      <w:marTop w:val="0"/>
      <w:marBottom w:val="0"/>
      <w:divBdr>
        <w:top w:val="none" w:sz="0" w:space="0" w:color="auto"/>
        <w:left w:val="none" w:sz="0" w:space="0" w:color="auto"/>
        <w:bottom w:val="none" w:sz="0" w:space="0" w:color="auto"/>
        <w:right w:val="none" w:sz="0" w:space="0" w:color="auto"/>
      </w:divBdr>
      <w:divsChild>
        <w:div w:id="1900676576">
          <w:marLeft w:val="0"/>
          <w:marRight w:val="0"/>
          <w:marTop w:val="0"/>
          <w:marBottom w:val="0"/>
          <w:divBdr>
            <w:top w:val="none" w:sz="0" w:space="0" w:color="auto"/>
            <w:left w:val="none" w:sz="0" w:space="0" w:color="auto"/>
            <w:bottom w:val="none" w:sz="0" w:space="0" w:color="auto"/>
            <w:right w:val="none" w:sz="0" w:space="0" w:color="auto"/>
          </w:divBdr>
          <w:divsChild>
            <w:div w:id="194387652">
              <w:blockQuote w:val="1"/>
              <w:marLeft w:val="1500"/>
              <w:marRight w:val="1500"/>
              <w:marTop w:val="600"/>
              <w:marBottom w:val="600"/>
              <w:divBdr>
                <w:top w:val="none" w:sz="0" w:space="0" w:color="auto"/>
                <w:left w:val="none" w:sz="0" w:space="0" w:color="auto"/>
                <w:bottom w:val="none" w:sz="0" w:space="0" w:color="auto"/>
                <w:right w:val="none" w:sz="0" w:space="0" w:color="auto"/>
              </w:divBdr>
            </w:div>
            <w:div w:id="1515806656">
              <w:blockQuote w:val="1"/>
              <w:marLeft w:val="1500"/>
              <w:marRight w:val="1500"/>
              <w:marTop w:val="600"/>
              <w:marBottom w:val="600"/>
              <w:divBdr>
                <w:top w:val="none" w:sz="0" w:space="0" w:color="auto"/>
                <w:left w:val="none" w:sz="0" w:space="0" w:color="auto"/>
                <w:bottom w:val="none" w:sz="0" w:space="0" w:color="auto"/>
                <w:right w:val="none" w:sz="0" w:space="0" w:color="auto"/>
              </w:divBdr>
            </w:div>
          </w:divsChild>
        </w:div>
      </w:divsChild>
    </w:div>
    <w:div w:id="1545798066">
      <w:bodyDiv w:val="1"/>
      <w:marLeft w:val="0"/>
      <w:marRight w:val="0"/>
      <w:marTop w:val="0"/>
      <w:marBottom w:val="0"/>
      <w:divBdr>
        <w:top w:val="none" w:sz="0" w:space="0" w:color="auto"/>
        <w:left w:val="none" w:sz="0" w:space="0" w:color="auto"/>
        <w:bottom w:val="none" w:sz="0" w:space="0" w:color="auto"/>
        <w:right w:val="none" w:sz="0" w:space="0" w:color="auto"/>
      </w:divBdr>
    </w:div>
    <w:div w:id="1605068439">
      <w:bodyDiv w:val="1"/>
      <w:marLeft w:val="0"/>
      <w:marRight w:val="0"/>
      <w:marTop w:val="0"/>
      <w:marBottom w:val="0"/>
      <w:divBdr>
        <w:top w:val="none" w:sz="0" w:space="0" w:color="auto"/>
        <w:left w:val="none" w:sz="0" w:space="0" w:color="auto"/>
        <w:bottom w:val="none" w:sz="0" w:space="0" w:color="auto"/>
        <w:right w:val="none" w:sz="0" w:space="0" w:color="auto"/>
      </w:divBdr>
    </w:div>
    <w:div w:id="1884903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332/239868021X16751803681186" TargetMode="External"/><Relationship Id="rId13" Type="http://schemas.openxmlformats.org/officeDocument/2006/relationships/hyperlink" Target="https://www.theguardian.com/society/2021/may/09/women-at-risk-as-police-in-england-and-wales-miss-clares-law-deadlin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1162788/Domestic_Violence_Disclosure_Scheme.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sticeinspectorates.gov.uk/hmicfrs/wp-content/uploads/police-response-to-violence-against-women-and-girls-final-inspection-repor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justiceinspectorates.gov.uk/hmicfrs/wp-content/uploads/police-effectiveness-vulnerability-2015.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nash.edu/arts/gender-and-family-violence/research-and-projects/domestic-violence-disclosure-schemes" TargetMode="External"/><Relationship Id="rId14" Type="http://schemas.openxmlformats.org/officeDocument/2006/relationships/hyperlink" Target="https://www.independent.co.uk/news/uk/crime/clares-law-woman-killed-boyfriend-rosie-darbyshire-mother-ben-topping-police-violence-a9036541.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cbarlow8@uclan.ac.uk" TargetMode="External"/><Relationship Id="rId1" Type="http://schemas.openxmlformats.org/officeDocument/2006/relationships/hyperlink" Target="mailto:M.C.Duggan@ken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B5CBD-8467-421F-9688-8615BF5BDDAF}">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Duggan</dc:creator>
  <cp:keywords/>
  <dc:description/>
  <cp:lastModifiedBy>Rosemary Hunter</cp:lastModifiedBy>
  <cp:revision>104</cp:revision>
  <dcterms:created xsi:type="dcterms:W3CDTF">2023-07-06T15:27:00Z</dcterms:created>
  <dcterms:modified xsi:type="dcterms:W3CDTF">2024-03-18T20:14:00Z</dcterms:modified>
</cp:coreProperties>
</file>