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EF7A57" w14:textId="2DB2A36F" w:rsidR="006845B3" w:rsidRPr="00DE2DA0" w:rsidRDefault="006845B3" w:rsidP="00DE2DA0">
      <w:pPr>
        <w:pStyle w:val="Title"/>
      </w:pPr>
      <w:r w:rsidRPr="00DE2DA0">
        <w:t xml:space="preserve">How </w:t>
      </w:r>
      <w:r w:rsidR="00CA0090" w:rsidRPr="00DE2DA0">
        <w:t>C</w:t>
      </w:r>
      <w:r w:rsidRPr="00DE2DA0">
        <w:t xml:space="preserve">an a </w:t>
      </w:r>
      <w:r w:rsidR="00CA0090" w:rsidRPr="00DE2DA0">
        <w:t>G</w:t>
      </w:r>
      <w:r w:rsidRPr="00DE2DA0">
        <w:t xml:space="preserve">rowing </w:t>
      </w:r>
      <w:r w:rsidR="00CA0090" w:rsidRPr="00DE2DA0">
        <w:t>U</w:t>
      </w:r>
      <w:r w:rsidRPr="00DE2DA0">
        <w:t xml:space="preserve">se of Clare's Law </w:t>
      </w:r>
      <w:r w:rsidR="00CA0090" w:rsidRPr="00DE2DA0">
        <w:t>H</w:t>
      </w:r>
      <w:r w:rsidRPr="00DE2DA0">
        <w:t xml:space="preserve">elp </w:t>
      </w:r>
      <w:r w:rsidR="00CA0090" w:rsidRPr="00DE2DA0">
        <w:t>U</w:t>
      </w:r>
      <w:r w:rsidRPr="00DE2DA0">
        <w:t xml:space="preserve">s </w:t>
      </w:r>
      <w:r w:rsidR="00CA0090" w:rsidRPr="00DE2DA0">
        <w:t>M</w:t>
      </w:r>
      <w:r w:rsidRPr="00DE2DA0">
        <w:t xml:space="preserve">eet </w:t>
      </w:r>
      <w:r w:rsidR="00CA0090" w:rsidRPr="00DE2DA0">
        <w:t>H</w:t>
      </w:r>
      <w:r w:rsidRPr="00DE2DA0">
        <w:t xml:space="preserve">uman </w:t>
      </w:r>
      <w:r w:rsidR="00CA0090" w:rsidRPr="00DE2DA0">
        <w:t>R</w:t>
      </w:r>
      <w:r w:rsidRPr="00DE2DA0">
        <w:t xml:space="preserve">ights </w:t>
      </w:r>
      <w:r w:rsidR="00CA0090" w:rsidRPr="00DE2DA0">
        <w:t>O</w:t>
      </w:r>
      <w:r w:rsidRPr="00DE2DA0">
        <w:t xml:space="preserve">bligations to </w:t>
      </w:r>
      <w:r w:rsidR="00CA0090" w:rsidRPr="00DE2DA0">
        <w:t>V</w:t>
      </w:r>
      <w:r w:rsidRPr="00DE2DA0">
        <w:t xml:space="preserve">ictims of </w:t>
      </w:r>
      <w:r w:rsidR="00CA0090" w:rsidRPr="00DE2DA0">
        <w:t>D</w:t>
      </w:r>
      <w:r w:rsidRPr="00DE2DA0">
        <w:t xml:space="preserve">omestic </w:t>
      </w:r>
      <w:r w:rsidR="00CA0090" w:rsidRPr="00DE2DA0">
        <w:t>A</w:t>
      </w:r>
      <w:r w:rsidRPr="00DE2DA0">
        <w:t>buse?</w:t>
      </w:r>
    </w:p>
    <w:p w14:paraId="7C4B8892" w14:textId="77777777" w:rsidR="00702F50" w:rsidRDefault="00702F50" w:rsidP="00702F50">
      <w:pPr>
        <w:spacing w:line="240" w:lineRule="auto"/>
        <w:jc w:val="both"/>
        <w:rPr>
          <w:rFonts w:asciiTheme="minorHAnsi" w:eastAsia="Times New Roman" w:hAnsiTheme="minorHAnsi" w:cstheme="minorHAnsi"/>
          <w:i/>
          <w:color w:val="000000"/>
        </w:rPr>
      </w:pPr>
    </w:p>
    <w:p w14:paraId="62103CE4" w14:textId="21B2A037" w:rsidR="006845B3" w:rsidRPr="00702F50" w:rsidRDefault="006845B3" w:rsidP="00702F50">
      <w:pPr>
        <w:spacing w:line="240" w:lineRule="auto"/>
        <w:jc w:val="both"/>
        <w:rPr>
          <w:rFonts w:asciiTheme="minorHAnsi" w:eastAsia="Times New Roman" w:hAnsiTheme="minorHAnsi" w:cstheme="minorHAnsi"/>
          <w:iCs/>
          <w:color w:val="000000"/>
        </w:rPr>
      </w:pPr>
      <w:r w:rsidRPr="00702F50">
        <w:rPr>
          <w:rFonts w:asciiTheme="minorHAnsi" w:eastAsia="Times New Roman" w:hAnsiTheme="minorHAnsi" w:cstheme="minorHAnsi"/>
          <w:b/>
          <w:bCs/>
          <w:iCs/>
          <w:color w:val="000000"/>
        </w:rPr>
        <w:t>Jamie Grace</w:t>
      </w:r>
      <w:r w:rsidR="008D1528" w:rsidRPr="008D1528">
        <w:rPr>
          <w:rStyle w:val="FootnoteReference"/>
          <w:rFonts w:asciiTheme="minorHAnsi" w:eastAsia="Times New Roman" w:hAnsiTheme="minorHAnsi" w:cstheme="minorHAnsi"/>
          <w:iCs/>
          <w:color w:val="000000"/>
        </w:rPr>
        <w:footnoteReference w:customMarkFollows="1" w:id="1"/>
        <w:t>*</w:t>
      </w:r>
      <w:r w:rsidR="00702F50">
        <w:rPr>
          <w:rFonts w:asciiTheme="minorHAnsi" w:eastAsia="Times New Roman" w:hAnsiTheme="minorHAnsi" w:cstheme="minorHAnsi"/>
          <w:iCs/>
          <w:color w:val="000000"/>
        </w:rPr>
        <w:t xml:space="preserve"> </w:t>
      </w:r>
    </w:p>
    <w:p w14:paraId="75ACEEFA" w14:textId="77777777" w:rsidR="00702F50" w:rsidRDefault="00702F50" w:rsidP="00702F50">
      <w:pPr>
        <w:spacing w:line="240" w:lineRule="auto"/>
        <w:jc w:val="both"/>
        <w:rPr>
          <w:rFonts w:asciiTheme="minorHAnsi" w:hAnsiTheme="minorHAnsi" w:cstheme="minorHAnsi"/>
          <w:b/>
        </w:rPr>
      </w:pPr>
    </w:p>
    <w:p w14:paraId="7417D215" w14:textId="78C3414C" w:rsidR="006845B3" w:rsidRPr="005B0DEA" w:rsidRDefault="006845B3" w:rsidP="005B0DEA">
      <w:pPr>
        <w:pStyle w:val="Heading1"/>
      </w:pPr>
      <w:r w:rsidRPr="005B0DEA">
        <w:t>Abstract</w:t>
      </w:r>
    </w:p>
    <w:p w14:paraId="50E35442" w14:textId="1C0AF36E" w:rsidR="006845B3" w:rsidRPr="00F971E7" w:rsidRDefault="006845B3" w:rsidP="00702F50">
      <w:pPr>
        <w:jc w:val="both"/>
        <w:rPr>
          <w:rFonts w:asciiTheme="minorHAnsi" w:hAnsiTheme="minorHAnsi" w:cstheme="minorHAnsi"/>
        </w:rPr>
      </w:pPr>
      <w:r w:rsidRPr="00F971E7">
        <w:rPr>
          <w:rFonts w:asciiTheme="minorHAnsi" w:hAnsiTheme="minorHAnsi" w:cstheme="minorHAnsi"/>
        </w:rPr>
        <w:t>The Domestic Violence Disclosure Scheme (the DVD</w:t>
      </w:r>
      <w:r w:rsidR="005B0DEA">
        <w:rPr>
          <w:rFonts w:asciiTheme="minorHAnsi" w:hAnsiTheme="minorHAnsi" w:cstheme="minorHAnsi"/>
        </w:rPr>
        <w:t>S,</w:t>
      </w:r>
      <w:r w:rsidRPr="00F971E7">
        <w:rPr>
          <w:rFonts w:asciiTheme="minorHAnsi" w:hAnsiTheme="minorHAnsi" w:cstheme="minorHAnsi"/>
        </w:rPr>
        <w:t xml:space="preserve"> or 'Clare's Law') sees police forces warn members of the public, as 'applicants', about their possibly abusive partners. There were more than </w:t>
      </w:r>
      <w:r w:rsidR="00605CA3">
        <w:rPr>
          <w:rFonts w:asciiTheme="minorHAnsi" w:hAnsiTheme="minorHAnsi" w:cstheme="minorHAnsi"/>
        </w:rPr>
        <w:t>25</w:t>
      </w:r>
      <w:r w:rsidRPr="00F971E7">
        <w:rPr>
          <w:rFonts w:asciiTheme="minorHAnsi" w:hAnsiTheme="minorHAnsi" w:cstheme="minorHAnsi"/>
        </w:rPr>
        <w:t xml:space="preserve">,000 more applications under 'Clare's Law', overall, in the year to March </w:t>
      </w:r>
      <w:r w:rsidR="00605CA3">
        <w:rPr>
          <w:rFonts w:asciiTheme="minorHAnsi" w:hAnsiTheme="minorHAnsi" w:cstheme="minorHAnsi"/>
        </w:rPr>
        <w:t>2023</w:t>
      </w:r>
      <w:r w:rsidRPr="00F971E7">
        <w:rPr>
          <w:rFonts w:asciiTheme="minorHAnsi" w:hAnsiTheme="minorHAnsi" w:cstheme="minorHAnsi"/>
        </w:rPr>
        <w:t xml:space="preserve"> than in the year to March 2020 for England and Wales (namely, </w:t>
      </w:r>
      <w:r w:rsidR="00605CA3">
        <w:rPr>
          <w:rFonts w:asciiTheme="minorHAnsi" w:hAnsiTheme="minorHAnsi" w:cstheme="minorHAnsi"/>
        </w:rPr>
        <w:t>45,344</w:t>
      </w:r>
      <w:r w:rsidRPr="00F971E7">
        <w:rPr>
          <w:rFonts w:asciiTheme="minorHAnsi" w:hAnsiTheme="minorHAnsi" w:cstheme="minorHAnsi"/>
        </w:rPr>
        <w:t xml:space="preserve"> applications compared to 20,147 </w:t>
      </w:r>
      <w:r w:rsidR="00605CA3">
        <w:rPr>
          <w:rFonts w:asciiTheme="minorHAnsi" w:hAnsiTheme="minorHAnsi" w:cstheme="minorHAnsi"/>
        </w:rPr>
        <w:t>–</w:t>
      </w:r>
      <w:r w:rsidRPr="00F971E7">
        <w:rPr>
          <w:rFonts w:asciiTheme="minorHAnsi" w:hAnsiTheme="minorHAnsi" w:cstheme="minorHAnsi"/>
        </w:rPr>
        <w:t xml:space="preserve"> </w:t>
      </w:r>
      <w:r w:rsidR="00605CA3">
        <w:rPr>
          <w:rFonts w:asciiTheme="minorHAnsi" w:hAnsiTheme="minorHAnsi" w:cstheme="minorHAnsi"/>
        </w:rPr>
        <w:t>more than doubling the use of the Scheme in just three years</w:t>
      </w:r>
      <w:r w:rsidRPr="00F971E7">
        <w:rPr>
          <w:rFonts w:asciiTheme="minorHAnsi" w:hAnsiTheme="minorHAnsi" w:cstheme="minorHAnsi"/>
        </w:rPr>
        <w:t xml:space="preserve">). Disclosures also jumped from 8,715 </w:t>
      </w:r>
      <w:r w:rsidR="008F2978">
        <w:rPr>
          <w:rFonts w:asciiTheme="minorHAnsi" w:hAnsiTheme="minorHAnsi" w:cstheme="minorHAnsi"/>
        </w:rPr>
        <w:t>in the year to March 202</w:t>
      </w:r>
      <w:r w:rsidR="00C5549B">
        <w:rPr>
          <w:rFonts w:asciiTheme="minorHAnsi" w:hAnsiTheme="minorHAnsi" w:cstheme="minorHAnsi"/>
        </w:rPr>
        <w:t xml:space="preserve">0, </w:t>
      </w:r>
      <w:r w:rsidRPr="00F971E7">
        <w:rPr>
          <w:rFonts w:asciiTheme="minorHAnsi" w:hAnsiTheme="minorHAnsi" w:cstheme="minorHAnsi"/>
        </w:rPr>
        <w:t xml:space="preserve">to </w:t>
      </w:r>
      <w:r w:rsidR="00605CA3">
        <w:rPr>
          <w:rFonts w:asciiTheme="minorHAnsi" w:hAnsiTheme="minorHAnsi" w:cstheme="minorHAnsi"/>
        </w:rPr>
        <w:t>17,438</w:t>
      </w:r>
      <w:r w:rsidRPr="00F971E7">
        <w:rPr>
          <w:rFonts w:asciiTheme="minorHAnsi" w:hAnsiTheme="minorHAnsi" w:cstheme="minorHAnsi"/>
        </w:rPr>
        <w:t xml:space="preserve"> in the year to March 2021 </w:t>
      </w:r>
      <w:r w:rsidR="00605CA3">
        <w:rPr>
          <w:rFonts w:asciiTheme="minorHAnsi" w:hAnsiTheme="minorHAnsi" w:cstheme="minorHAnsi"/>
        </w:rPr>
        <w:t>(again a doubling of the use of disclosures)</w:t>
      </w:r>
      <w:r w:rsidR="00FE190B">
        <w:rPr>
          <w:rFonts w:asciiTheme="minorHAnsi" w:hAnsiTheme="minorHAnsi" w:cstheme="minorHAnsi"/>
        </w:rPr>
        <w:t>. These statistics aside, the</w:t>
      </w:r>
      <w:r w:rsidRPr="00F971E7">
        <w:rPr>
          <w:rFonts w:asciiTheme="minorHAnsi" w:hAnsiTheme="minorHAnsi" w:cstheme="minorHAnsi"/>
        </w:rPr>
        <w:t xml:space="preserve"> task of trying to establish how effective the DVDS is at protecting victims is still unfinishe</w:t>
      </w:r>
      <w:r w:rsidR="001C5AFE" w:rsidRPr="00F971E7">
        <w:rPr>
          <w:rFonts w:asciiTheme="minorHAnsi" w:hAnsiTheme="minorHAnsi" w:cstheme="minorHAnsi"/>
        </w:rPr>
        <w:t>d</w:t>
      </w:r>
      <w:r w:rsidRPr="00F971E7">
        <w:rPr>
          <w:rFonts w:asciiTheme="minorHAnsi" w:hAnsiTheme="minorHAnsi" w:cstheme="minorHAnsi"/>
        </w:rPr>
        <w:t>. This article</w:t>
      </w:r>
      <w:r w:rsidR="00C5549B">
        <w:rPr>
          <w:rFonts w:asciiTheme="minorHAnsi" w:hAnsiTheme="minorHAnsi" w:cstheme="minorHAnsi"/>
        </w:rPr>
        <w:t xml:space="preserve"> </w:t>
      </w:r>
      <w:r w:rsidR="00820DF9" w:rsidRPr="00F971E7">
        <w:rPr>
          <w:rFonts w:asciiTheme="minorHAnsi" w:hAnsiTheme="minorHAnsi" w:cstheme="minorHAnsi"/>
        </w:rPr>
        <w:t>seek</w:t>
      </w:r>
      <w:r w:rsidR="00C5549B">
        <w:rPr>
          <w:rFonts w:asciiTheme="minorHAnsi" w:hAnsiTheme="minorHAnsi" w:cstheme="minorHAnsi"/>
        </w:rPr>
        <w:t>s</w:t>
      </w:r>
      <w:r w:rsidR="00820DF9" w:rsidRPr="00F971E7">
        <w:rPr>
          <w:rFonts w:asciiTheme="minorHAnsi" w:hAnsiTheme="minorHAnsi" w:cstheme="minorHAnsi"/>
        </w:rPr>
        <w:t xml:space="preserve"> to </w:t>
      </w:r>
      <w:r w:rsidRPr="00F971E7">
        <w:rPr>
          <w:rFonts w:asciiTheme="minorHAnsi" w:hAnsiTheme="minorHAnsi" w:cstheme="minorHAnsi"/>
        </w:rPr>
        <w:t>establish</w:t>
      </w:r>
      <w:r w:rsidR="00820DF9" w:rsidRPr="00F971E7">
        <w:rPr>
          <w:rFonts w:asciiTheme="minorHAnsi" w:hAnsiTheme="minorHAnsi" w:cstheme="minorHAnsi"/>
        </w:rPr>
        <w:t xml:space="preserve"> </w:t>
      </w:r>
      <w:r w:rsidRPr="00F971E7">
        <w:rPr>
          <w:rFonts w:asciiTheme="minorHAnsi" w:hAnsiTheme="minorHAnsi" w:cstheme="minorHAnsi"/>
        </w:rPr>
        <w:t xml:space="preserve">whether, and if so, how the DVDS contributes to compliance with developing human rights law standards </w:t>
      </w:r>
      <w:r w:rsidR="00BC612C">
        <w:rPr>
          <w:rFonts w:asciiTheme="minorHAnsi" w:hAnsiTheme="minorHAnsi" w:cstheme="minorHAnsi"/>
        </w:rPr>
        <w:t>–</w:t>
      </w:r>
      <w:r w:rsidRPr="00F971E7">
        <w:rPr>
          <w:rFonts w:asciiTheme="minorHAnsi" w:hAnsiTheme="minorHAnsi" w:cstheme="minorHAnsi"/>
        </w:rPr>
        <w:t xml:space="preserve"> drawing</w:t>
      </w:r>
      <w:r w:rsidR="00BC612C">
        <w:rPr>
          <w:rFonts w:asciiTheme="minorHAnsi" w:hAnsiTheme="minorHAnsi" w:cstheme="minorHAnsi"/>
        </w:rPr>
        <w:t xml:space="preserve"> </w:t>
      </w:r>
      <w:r w:rsidRPr="00F971E7">
        <w:rPr>
          <w:rFonts w:asciiTheme="minorHAnsi" w:hAnsiTheme="minorHAnsi" w:cstheme="minorHAnsi"/>
        </w:rPr>
        <w:t>on a body of European and domestic case law and policy.</w:t>
      </w:r>
      <w:r w:rsidR="00CB3EDE" w:rsidRPr="00F971E7">
        <w:rPr>
          <w:rFonts w:asciiTheme="minorHAnsi" w:hAnsiTheme="minorHAnsi" w:cstheme="minorHAnsi"/>
        </w:rPr>
        <w:t xml:space="preserve"> From a feminist legal perspective, however, </w:t>
      </w:r>
      <w:r w:rsidR="004B6C3A">
        <w:rPr>
          <w:rFonts w:asciiTheme="minorHAnsi" w:hAnsiTheme="minorHAnsi" w:cstheme="minorHAnsi"/>
        </w:rPr>
        <w:t>the</w:t>
      </w:r>
      <w:r w:rsidR="009D73BC">
        <w:rPr>
          <w:rFonts w:asciiTheme="minorHAnsi" w:hAnsiTheme="minorHAnsi" w:cstheme="minorHAnsi"/>
        </w:rPr>
        <w:t>re</w:t>
      </w:r>
      <w:r w:rsidR="007C3597">
        <w:rPr>
          <w:rFonts w:asciiTheme="minorHAnsi" w:hAnsiTheme="minorHAnsi" w:cstheme="minorHAnsi"/>
        </w:rPr>
        <w:t xml:space="preserve"> </w:t>
      </w:r>
      <w:r w:rsidR="00AD375B">
        <w:rPr>
          <w:rFonts w:asciiTheme="minorHAnsi" w:hAnsiTheme="minorHAnsi" w:cstheme="minorHAnsi"/>
        </w:rPr>
        <w:t>remains a</w:t>
      </w:r>
      <w:r w:rsidR="004B6C3A">
        <w:rPr>
          <w:rFonts w:asciiTheme="minorHAnsi" w:hAnsiTheme="minorHAnsi" w:cstheme="minorHAnsi"/>
        </w:rPr>
        <w:t xml:space="preserve"> </w:t>
      </w:r>
      <w:r w:rsidR="00934F3D" w:rsidRPr="00F971E7">
        <w:rPr>
          <w:rFonts w:asciiTheme="minorHAnsi" w:hAnsiTheme="minorHAnsi" w:cstheme="minorHAnsi"/>
        </w:rPr>
        <w:t>key issue</w:t>
      </w:r>
      <w:r w:rsidR="00847A2F">
        <w:rPr>
          <w:rFonts w:asciiTheme="minorHAnsi" w:hAnsiTheme="minorHAnsi" w:cstheme="minorHAnsi"/>
        </w:rPr>
        <w:t xml:space="preserve"> </w:t>
      </w:r>
      <w:r w:rsidR="00934F3D" w:rsidRPr="00F971E7">
        <w:rPr>
          <w:rFonts w:asciiTheme="minorHAnsi" w:hAnsiTheme="minorHAnsi" w:cstheme="minorHAnsi"/>
        </w:rPr>
        <w:t>that</w:t>
      </w:r>
      <w:r w:rsidR="00847A2F">
        <w:rPr>
          <w:rFonts w:asciiTheme="minorHAnsi" w:hAnsiTheme="minorHAnsi" w:cstheme="minorHAnsi"/>
        </w:rPr>
        <w:t>,</w:t>
      </w:r>
      <w:r w:rsidR="00934F3D" w:rsidRPr="00F971E7">
        <w:rPr>
          <w:rFonts w:asciiTheme="minorHAnsi" w:hAnsiTheme="minorHAnsi" w:cstheme="minorHAnsi"/>
        </w:rPr>
        <w:t xml:space="preserve"> however many more DVDS applications and disclosures are made in England and Wales year-on-year, </w:t>
      </w:r>
      <w:r w:rsidR="00232F3B" w:rsidRPr="00F971E7">
        <w:rPr>
          <w:rFonts w:asciiTheme="minorHAnsi" w:hAnsiTheme="minorHAnsi" w:cstheme="minorHAnsi"/>
        </w:rPr>
        <w:t xml:space="preserve">and aside from the unknown efficacy of those </w:t>
      </w:r>
      <w:r w:rsidR="00753F41" w:rsidRPr="00F971E7">
        <w:rPr>
          <w:rFonts w:asciiTheme="minorHAnsi" w:hAnsiTheme="minorHAnsi" w:cstheme="minorHAnsi"/>
        </w:rPr>
        <w:t>disclosures</w:t>
      </w:r>
      <w:r w:rsidR="00232F3B" w:rsidRPr="00F971E7">
        <w:rPr>
          <w:rFonts w:asciiTheme="minorHAnsi" w:hAnsiTheme="minorHAnsi" w:cstheme="minorHAnsi"/>
        </w:rPr>
        <w:t xml:space="preserve"> in preventing domestic abuse, there </w:t>
      </w:r>
      <w:r w:rsidR="00753F41" w:rsidRPr="00F971E7">
        <w:rPr>
          <w:rFonts w:asciiTheme="minorHAnsi" w:hAnsiTheme="minorHAnsi" w:cstheme="minorHAnsi"/>
        </w:rPr>
        <w:t>has been</w:t>
      </w:r>
      <w:r w:rsidR="00232F3B" w:rsidRPr="00F971E7">
        <w:rPr>
          <w:rFonts w:asciiTheme="minorHAnsi" w:hAnsiTheme="minorHAnsi" w:cstheme="minorHAnsi"/>
        </w:rPr>
        <w:t xml:space="preserve"> a </w:t>
      </w:r>
      <w:r w:rsidR="00753F41" w:rsidRPr="00F971E7">
        <w:rPr>
          <w:rFonts w:asciiTheme="minorHAnsi" w:hAnsiTheme="minorHAnsi" w:cstheme="minorHAnsi"/>
        </w:rPr>
        <w:t>disturbing</w:t>
      </w:r>
      <w:r w:rsidR="00232F3B" w:rsidRPr="00F971E7">
        <w:rPr>
          <w:rFonts w:asciiTheme="minorHAnsi" w:hAnsiTheme="minorHAnsi" w:cstheme="minorHAnsi"/>
        </w:rPr>
        <w:t xml:space="preserve"> trend toward serious failure</w:t>
      </w:r>
      <w:r w:rsidR="005D6C0F">
        <w:rPr>
          <w:rFonts w:asciiTheme="minorHAnsi" w:hAnsiTheme="minorHAnsi" w:cstheme="minorHAnsi"/>
        </w:rPr>
        <w:t>s</w:t>
      </w:r>
      <w:r w:rsidR="00232F3B" w:rsidRPr="00F971E7">
        <w:rPr>
          <w:rFonts w:asciiTheme="minorHAnsi" w:hAnsiTheme="minorHAnsi" w:cstheme="minorHAnsi"/>
        </w:rPr>
        <w:t xml:space="preserve"> to protect </w:t>
      </w:r>
      <w:r w:rsidR="00753F41" w:rsidRPr="00F971E7">
        <w:rPr>
          <w:rFonts w:asciiTheme="minorHAnsi" w:hAnsiTheme="minorHAnsi" w:cstheme="minorHAnsi"/>
        </w:rPr>
        <w:t xml:space="preserve">victims from violence against women and girls, </w:t>
      </w:r>
      <w:r w:rsidR="00D4599B">
        <w:rPr>
          <w:rFonts w:asciiTheme="minorHAnsi" w:hAnsiTheme="minorHAnsi" w:cstheme="minorHAnsi"/>
        </w:rPr>
        <w:t xml:space="preserve">seen </w:t>
      </w:r>
      <w:r w:rsidR="00753F41" w:rsidRPr="00F971E7">
        <w:rPr>
          <w:rFonts w:asciiTheme="minorHAnsi" w:hAnsiTheme="minorHAnsi" w:cstheme="minorHAnsi"/>
        </w:rPr>
        <w:t>in decreasing prosecutions for domestic abuse, and specifically domestic abuse-related rape, in the same time frame.</w:t>
      </w:r>
    </w:p>
    <w:p w14:paraId="09211655" w14:textId="5596E444" w:rsidR="006845B3" w:rsidRPr="00F971E7" w:rsidRDefault="006845B3" w:rsidP="00702F50">
      <w:pPr>
        <w:spacing w:after="160" w:line="259" w:lineRule="auto"/>
        <w:jc w:val="both"/>
        <w:rPr>
          <w:rFonts w:asciiTheme="minorHAnsi" w:hAnsiTheme="minorHAnsi" w:cstheme="minorHAnsi"/>
        </w:rPr>
      </w:pPr>
    </w:p>
    <w:p w14:paraId="320F7704" w14:textId="07046704" w:rsidR="00613DB6" w:rsidRPr="00F971E7" w:rsidRDefault="00B26A47" w:rsidP="006769DB">
      <w:pPr>
        <w:pStyle w:val="Heading1"/>
      </w:pPr>
      <w:r>
        <w:t xml:space="preserve">1. </w:t>
      </w:r>
      <w:r w:rsidR="006845B3" w:rsidRPr="00F971E7">
        <w:t>Introduction</w:t>
      </w:r>
    </w:p>
    <w:p w14:paraId="1A2E4644" w14:textId="2CAF0EAB" w:rsidR="006845B3" w:rsidRPr="00F971E7" w:rsidRDefault="006845B3" w:rsidP="00702F50">
      <w:pPr>
        <w:jc w:val="both"/>
        <w:rPr>
          <w:rFonts w:asciiTheme="minorHAnsi" w:hAnsiTheme="minorHAnsi" w:cstheme="minorHAnsi"/>
        </w:rPr>
      </w:pPr>
      <w:r w:rsidRPr="00F971E7">
        <w:rPr>
          <w:rFonts w:asciiTheme="minorHAnsi" w:hAnsiTheme="minorHAnsi" w:cstheme="minorHAnsi"/>
        </w:rPr>
        <w:t>The Domestic Violence Disclosure Scheme (DVDS) operated by police forces in England and Wales is better known as 'Clare's Law'</w:t>
      </w:r>
      <w:r w:rsidR="00D90AF8" w:rsidRPr="00F971E7">
        <w:rPr>
          <w:rFonts w:asciiTheme="minorHAnsi" w:hAnsiTheme="minorHAnsi" w:cstheme="minorHAnsi"/>
        </w:rPr>
        <w:t xml:space="preserve"> – named for Clare Wood, killed by her partner</w:t>
      </w:r>
      <w:r w:rsidR="008E2A4E" w:rsidRPr="00F971E7">
        <w:rPr>
          <w:rFonts w:asciiTheme="minorHAnsi" w:hAnsiTheme="minorHAnsi" w:cstheme="minorHAnsi"/>
        </w:rPr>
        <w:t xml:space="preserve"> in Salford in 2009</w:t>
      </w:r>
      <w:r w:rsidRPr="00F971E7">
        <w:rPr>
          <w:rFonts w:asciiTheme="minorHAnsi" w:hAnsiTheme="minorHAnsi" w:cstheme="minorHAnsi"/>
        </w:rPr>
        <w:t xml:space="preserve">. </w:t>
      </w:r>
      <w:r w:rsidR="008E2A4E" w:rsidRPr="00F971E7">
        <w:rPr>
          <w:rFonts w:asciiTheme="minorHAnsi" w:hAnsiTheme="minorHAnsi" w:cstheme="minorHAnsi"/>
        </w:rPr>
        <w:t>In national operation in England and Wales since March 2014, t</w:t>
      </w:r>
      <w:r w:rsidRPr="00F971E7">
        <w:rPr>
          <w:rFonts w:asciiTheme="minorHAnsi" w:hAnsiTheme="minorHAnsi" w:cstheme="minorHAnsi"/>
        </w:rPr>
        <w:t>his newly-statutory</w:t>
      </w:r>
      <w:r w:rsidR="00754B5A" w:rsidRPr="00F971E7">
        <w:rPr>
          <w:rStyle w:val="FootnoteReference"/>
          <w:rFonts w:asciiTheme="minorHAnsi" w:hAnsiTheme="minorHAnsi" w:cstheme="minorHAnsi"/>
        </w:rPr>
        <w:footnoteReference w:id="2"/>
      </w:r>
      <w:r w:rsidRPr="00F971E7">
        <w:rPr>
          <w:rFonts w:asciiTheme="minorHAnsi" w:hAnsiTheme="minorHAnsi" w:cstheme="minorHAnsi"/>
        </w:rPr>
        <w:t xml:space="preserve"> public protection policy is based upon the premise that warning potential victims about their partners' history o</w:t>
      </w:r>
      <w:r w:rsidR="008D0E05">
        <w:rPr>
          <w:rFonts w:asciiTheme="minorHAnsi" w:hAnsiTheme="minorHAnsi" w:cstheme="minorHAnsi"/>
        </w:rPr>
        <w:t>f</w:t>
      </w:r>
      <w:r w:rsidRPr="00F971E7">
        <w:rPr>
          <w:rFonts w:asciiTheme="minorHAnsi" w:hAnsiTheme="minorHAnsi" w:cstheme="minorHAnsi"/>
        </w:rPr>
        <w:t xml:space="preserve"> perpetrating domestic abuse will enable, or at least spur</w:t>
      </w:r>
      <w:r w:rsidR="003E7462" w:rsidRPr="00F971E7">
        <w:rPr>
          <w:rFonts w:asciiTheme="minorHAnsi" w:hAnsiTheme="minorHAnsi" w:cstheme="minorHAnsi"/>
        </w:rPr>
        <w:t xml:space="preserve"> on</w:t>
      </w:r>
      <w:r w:rsidRPr="00F971E7">
        <w:rPr>
          <w:rFonts w:asciiTheme="minorHAnsi" w:hAnsiTheme="minorHAnsi" w:cstheme="minorHAnsi"/>
        </w:rPr>
        <w:t xml:space="preserve">, the recipients of such information to take steps to safeguard themselves (and potentially their own families). </w:t>
      </w:r>
      <w:r w:rsidR="00605CA3" w:rsidRPr="00F971E7">
        <w:rPr>
          <w:rFonts w:asciiTheme="minorHAnsi" w:hAnsiTheme="minorHAnsi" w:cstheme="minorHAnsi"/>
        </w:rPr>
        <w:t xml:space="preserve">There were more than </w:t>
      </w:r>
      <w:r w:rsidR="00605CA3">
        <w:rPr>
          <w:rFonts w:asciiTheme="minorHAnsi" w:hAnsiTheme="minorHAnsi" w:cstheme="minorHAnsi"/>
        </w:rPr>
        <w:t>25</w:t>
      </w:r>
      <w:r w:rsidR="00605CA3" w:rsidRPr="00F971E7">
        <w:rPr>
          <w:rFonts w:asciiTheme="minorHAnsi" w:hAnsiTheme="minorHAnsi" w:cstheme="minorHAnsi"/>
        </w:rPr>
        <w:t xml:space="preserve">,000 more applications under 'Clare's Law', overall, in the year to March </w:t>
      </w:r>
      <w:r w:rsidR="00605CA3">
        <w:rPr>
          <w:rFonts w:asciiTheme="minorHAnsi" w:hAnsiTheme="minorHAnsi" w:cstheme="minorHAnsi"/>
        </w:rPr>
        <w:t>2023</w:t>
      </w:r>
      <w:r w:rsidR="00605CA3" w:rsidRPr="00F971E7">
        <w:rPr>
          <w:rFonts w:asciiTheme="minorHAnsi" w:hAnsiTheme="minorHAnsi" w:cstheme="minorHAnsi"/>
        </w:rPr>
        <w:t xml:space="preserve"> than in the year to March 2020 for England and Wales (namely, </w:t>
      </w:r>
      <w:r w:rsidR="00605CA3">
        <w:rPr>
          <w:rFonts w:asciiTheme="minorHAnsi" w:hAnsiTheme="minorHAnsi" w:cstheme="minorHAnsi"/>
        </w:rPr>
        <w:t>45,344</w:t>
      </w:r>
      <w:r w:rsidR="00605CA3" w:rsidRPr="00F971E7">
        <w:rPr>
          <w:rFonts w:asciiTheme="minorHAnsi" w:hAnsiTheme="minorHAnsi" w:cstheme="minorHAnsi"/>
        </w:rPr>
        <w:t xml:space="preserve"> </w:t>
      </w:r>
      <w:r w:rsidR="00605CA3" w:rsidRPr="00F971E7">
        <w:rPr>
          <w:rFonts w:asciiTheme="minorHAnsi" w:hAnsiTheme="minorHAnsi" w:cstheme="minorHAnsi"/>
        </w:rPr>
        <w:lastRenderedPageBreak/>
        <w:t xml:space="preserve">applications compared to 20,147 </w:t>
      </w:r>
      <w:r w:rsidR="00605CA3">
        <w:rPr>
          <w:rFonts w:asciiTheme="minorHAnsi" w:hAnsiTheme="minorHAnsi" w:cstheme="minorHAnsi"/>
        </w:rPr>
        <w:t>–</w:t>
      </w:r>
      <w:r w:rsidR="00605CA3" w:rsidRPr="00F971E7">
        <w:rPr>
          <w:rFonts w:asciiTheme="minorHAnsi" w:hAnsiTheme="minorHAnsi" w:cstheme="minorHAnsi"/>
        </w:rPr>
        <w:t xml:space="preserve"> </w:t>
      </w:r>
      <w:r w:rsidR="00605CA3">
        <w:rPr>
          <w:rFonts w:asciiTheme="minorHAnsi" w:hAnsiTheme="minorHAnsi" w:cstheme="minorHAnsi"/>
        </w:rPr>
        <w:t>more than doubling the use of the Scheme in just three years</w:t>
      </w:r>
      <w:r w:rsidR="00605CA3" w:rsidRPr="00F971E7">
        <w:rPr>
          <w:rFonts w:asciiTheme="minorHAnsi" w:hAnsiTheme="minorHAnsi" w:cstheme="minorHAnsi"/>
        </w:rPr>
        <w:t xml:space="preserve">). Disclosures also jumped from 8,715 </w:t>
      </w:r>
      <w:r w:rsidR="002D5E09" w:rsidRPr="00F971E7">
        <w:rPr>
          <w:rFonts w:asciiTheme="minorHAnsi" w:hAnsiTheme="minorHAnsi" w:cstheme="minorHAnsi"/>
        </w:rPr>
        <w:t>in the year to March 2021</w:t>
      </w:r>
      <w:r w:rsidR="002D5E09">
        <w:rPr>
          <w:rFonts w:asciiTheme="minorHAnsi" w:hAnsiTheme="minorHAnsi" w:cstheme="minorHAnsi"/>
        </w:rPr>
        <w:t>,</w:t>
      </w:r>
      <w:r w:rsidR="002D5E09" w:rsidRPr="00F971E7">
        <w:rPr>
          <w:rFonts w:asciiTheme="minorHAnsi" w:hAnsiTheme="minorHAnsi" w:cstheme="minorHAnsi"/>
        </w:rPr>
        <w:t xml:space="preserve"> </w:t>
      </w:r>
      <w:r w:rsidR="00605CA3" w:rsidRPr="00F971E7">
        <w:rPr>
          <w:rFonts w:asciiTheme="minorHAnsi" w:hAnsiTheme="minorHAnsi" w:cstheme="minorHAnsi"/>
        </w:rPr>
        <w:t xml:space="preserve">to </w:t>
      </w:r>
      <w:r w:rsidR="00605CA3">
        <w:rPr>
          <w:rFonts w:asciiTheme="minorHAnsi" w:hAnsiTheme="minorHAnsi" w:cstheme="minorHAnsi"/>
        </w:rPr>
        <w:t>17,438</w:t>
      </w:r>
      <w:r w:rsidR="00605CA3" w:rsidRPr="00F971E7">
        <w:rPr>
          <w:rFonts w:asciiTheme="minorHAnsi" w:hAnsiTheme="minorHAnsi" w:cstheme="minorHAnsi"/>
        </w:rPr>
        <w:t xml:space="preserve"> </w:t>
      </w:r>
      <w:r w:rsidR="002D5E09">
        <w:rPr>
          <w:rFonts w:asciiTheme="minorHAnsi" w:hAnsiTheme="minorHAnsi" w:cstheme="minorHAnsi"/>
        </w:rPr>
        <w:t>in the</w:t>
      </w:r>
      <w:r w:rsidR="00605CA3" w:rsidRPr="00F971E7">
        <w:rPr>
          <w:rFonts w:asciiTheme="minorHAnsi" w:hAnsiTheme="minorHAnsi" w:cstheme="minorHAnsi"/>
        </w:rPr>
        <w:t xml:space="preserve"> year to March 2020</w:t>
      </w:r>
      <w:r w:rsidR="00605CA3">
        <w:rPr>
          <w:rFonts w:asciiTheme="minorHAnsi" w:hAnsiTheme="minorHAnsi" w:cstheme="minorHAnsi"/>
        </w:rPr>
        <w:t xml:space="preserve"> (again a doubling of the use of disclosures). </w:t>
      </w:r>
      <w:r w:rsidR="0011338E" w:rsidRPr="0011338E">
        <w:rPr>
          <w:rFonts w:asciiTheme="minorHAnsi" w:hAnsiTheme="minorHAnsi" w:cstheme="minorHAnsi"/>
        </w:rPr>
        <w:t>These statistics aside,</w:t>
      </w:r>
      <w:r w:rsidR="00091FA6">
        <w:rPr>
          <w:rFonts w:asciiTheme="minorHAnsi" w:hAnsiTheme="minorHAnsi" w:cstheme="minorHAnsi"/>
        </w:rPr>
        <w:t xml:space="preserve"> </w:t>
      </w:r>
      <w:r w:rsidRPr="00F971E7">
        <w:rPr>
          <w:rFonts w:asciiTheme="minorHAnsi" w:hAnsiTheme="minorHAnsi" w:cstheme="minorHAnsi"/>
        </w:rPr>
        <w:t xml:space="preserve">the task of trying to establish how effective the DVDS is at protecting victims is still unfinished. As </w:t>
      </w:r>
      <w:r w:rsidR="00D53862">
        <w:rPr>
          <w:rFonts w:asciiTheme="minorHAnsi" w:hAnsiTheme="minorHAnsi" w:cstheme="minorHAnsi"/>
        </w:rPr>
        <w:t>His Majesty’s Inspec</w:t>
      </w:r>
      <w:r w:rsidR="008D3528">
        <w:rPr>
          <w:rFonts w:asciiTheme="minorHAnsi" w:hAnsiTheme="minorHAnsi" w:cstheme="minorHAnsi"/>
        </w:rPr>
        <w:t>torate of Constabulary and Fire &amp; Rescue Services (</w:t>
      </w:r>
      <w:r w:rsidRPr="00F971E7">
        <w:rPr>
          <w:rFonts w:asciiTheme="minorHAnsi" w:hAnsiTheme="minorHAnsi" w:cstheme="minorHAnsi"/>
        </w:rPr>
        <w:t>HMICFRS</w:t>
      </w:r>
      <w:r w:rsidR="008D3528">
        <w:rPr>
          <w:rFonts w:asciiTheme="minorHAnsi" w:hAnsiTheme="minorHAnsi" w:cstheme="minorHAnsi"/>
        </w:rPr>
        <w:t>)</w:t>
      </w:r>
      <w:r w:rsidRPr="00F971E7">
        <w:rPr>
          <w:rFonts w:asciiTheme="minorHAnsi" w:hAnsiTheme="minorHAnsi" w:cstheme="minorHAnsi"/>
        </w:rPr>
        <w:t xml:space="preserve"> highlighted in September 2021 in an inspection report on the police response to violence against women in England and Wales: “We haven’t previously considered the operation of this important scheme in detail, and we are concerned about what we found in this fieldwork.”</w:t>
      </w:r>
      <w:r w:rsidRPr="00F971E7">
        <w:rPr>
          <w:rStyle w:val="FootnoteReference"/>
          <w:rFonts w:asciiTheme="minorHAnsi" w:hAnsiTheme="minorHAnsi" w:cstheme="minorHAnsi"/>
        </w:rPr>
        <w:footnoteReference w:id="3"/>
      </w:r>
      <w:r w:rsidRPr="00F971E7">
        <w:rPr>
          <w:rFonts w:asciiTheme="minorHAnsi" w:hAnsiTheme="minorHAnsi" w:cstheme="minorHAnsi"/>
        </w:rPr>
        <w:t xml:space="preserve"> T</w:t>
      </w:r>
      <w:r w:rsidR="00782022">
        <w:rPr>
          <w:rFonts w:asciiTheme="minorHAnsi" w:hAnsiTheme="minorHAnsi" w:cstheme="minorHAnsi"/>
        </w:rPr>
        <w:t>h</w:t>
      </w:r>
      <w:r w:rsidR="00291777">
        <w:rPr>
          <w:rFonts w:asciiTheme="minorHAnsi" w:hAnsiTheme="minorHAnsi" w:cstheme="minorHAnsi"/>
        </w:rPr>
        <w:t xml:space="preserve">is article contributes to the complex task of assessing </w:t>
      </w:r>
      <w:r w:rsidR="00680102">
        <w:rPr>
          <w:rFonts w:asciiTheme="minorHAnsi" w:hAnsiTheme="minorHAnsi" w:cstheme="minorHAnsi"/>
        </w:rPr>
        <w:t>the effectiveness of the DVDS</w:t>
      </w:r>
      <w:r w:rsidR="00CE33DC">
        <w:rPr>
          <w:rFonts w:asciiTheme="minorHAnsi" w:hAnsiTheme="minorHAnsi" w:cstheme="minorHAnsi"/>
        </w:rPr>
        <w:t xml:space="preserve"> by t</w:t>
      </w:r>
      <w:r w:rsidR="008C2463">
        <w:rPr>
          <w:rFonts w:asciiTheme="minorHAnsi" w:hAnsiTheme="minorHAnsi" w:cstheme="minorHAnsi"/>
        </w:rPr>
        <w:t xml:space="preserve">rying to </w:t>
      </w:r>
      <w:r w:rsidR="00302F49">
        <w:rPr>
          <w:rFonts w:asciiTheme="minorHAnsi" w:hAnsiTheme="minorHAnsi" w:cstheme="minorHAnsi"/>
        </w:rPr>
        <w:t>establish</w:t>
      </w:r>
      <w:r w:rsidR="00302F49" w:rsidRPr="00F971E7">
        <w:rPr>
          <w:rFonts w:asciiTheme="minorHAnsi" w:hAnsiTheme="minorHAnsi" w:cstheme="minorHAnsi"/>
        </w:rPr>
        <w:t xml:space="preserve"> </w:t>
      </w:r>
      <w:r w:rsidRPr="00F971E7">
        <w:rPr>
          <w:rFonts w:asciiTheme="minorHAnsi" w:hAnsiTheme="minorHAnsi" w:cstheme="minorHAnsi"/>
        </w:rPr>
        <w:t>whether, and if so</w:t>
      </w:r>
      <w:r w:rsidR="008C2463">
        <w:rPr>
          <w:rFonts w:asciiTheme="minorHAnsi" w:hAnsiTheme="minorHAnsi" w:cstheme="minorHAnsi"/>
        </w:rPr>
        <w:t>,</w:t>
      </w:r>
      <w:r w:rsidRPr="00F971E7">
        <w:rPr>
          <w:rFonts w:asciiTheme="minorHAnsi" w:hAnsiTheme="minorHAnsi" w:cstheme="minorHAnsi"/>
        </w:rPr>
        <w:t xml:space="preserve"> how the DVDS contributes to compliance with developing human rights law standards</w:t>
      </w:r>
      <w:r w:rsidR="004A1F4C">
        <w:rPr>
          <w:rFonts w:asciiTheme="minorHAnsi" w:hAnsiTheme="minorHAnsi" w:cstheme="minorHAnsi"/>
        </w:rPr>
        <w:t>. It does so by</w:t>
      </w:r>
      <w:r w:rsidRPr="00F971E7">
        <w:rPr>
          <w:rFonts w:asciiTheme="minorHAnsi" w:hAnsiTheme="minorHAnsi" w:cstheme="minorHAnsi"/>
        </w:rPr>
        <w:t xml:space="preserve"> drawing on a body of European and domestic case law and policy.</w:t>
      </w:r>
      <w:r w:rsidR="00AA19E1" w:rsidRPr="00F971E7">
        <w:rPr>
          <w:rFonts w:asciiTheme="minorHAnsi" w:hAnsiTheme="minorHAnsi" w:cstheme="minorHAnsi"/>
        </w:rPr>
        <w:t xml:space="preserve"> From a feminist legal perspective, however, </w:t>
      </w:r>
      <w:r w:rsidR="00AB4FFE">
        <w:rPr>
          <w:rFonts w:asciiTheme="minorHAnsi" w:hAnsiTheme="minorHAnsi" w:cstheme="minorHAnsi"/>
        </w:rPr>
        <w:t>the</w:t>
      </w:r>
      <w:r w:rsidR="00AD375B">
        <w:rPr>
          <w:rFonts w:asciiTheme="minorHAnsi" w:hAnsiTheme="minorHAnsi" w:cstheme="minorHAnsi"/>
        </w:rPr>
        <w:t>re remains a</w:t>
      </w:r>
      <w:r w:rsidR="00AA19E1" w:rsidRPr="00F971E7">
        <w:rPr>
          <w:rFonts w:asciiTheme="minorHAnsi" w:hAnsiTheme="minorHAnsi" w:cstheme="minorHAnsi"/>
        </w:rPr>
        <w:t xml:space="preserve"> key issue that however many more DVDS applications and disclosures are made in England and Wales year-on-year, and aside from the unknown efficacy of those disclosures in preventing domestic abuse, there has been a disturbing trend toward serious failure</w:t>
      </w:r>
      <w:r w:rsidR="00740C70">
        <w:rPr>
          <w:rFonts w:asciiTheme="minorHAnsi" w:hAnsiTheme="minorHAnsi" w:cstheme="minorHAnsi"/>
        </w:rPr>
        <w:t>s</w:t>
      </w:r>
      <w:r w:rsidR="00AA19E1" w:rsidRPr="00F971E7">
        <w:rPr>
          <w:rFonts w:asciiTheme="minorHAnsi" w:hAnsiTheme="minorHAnsi" w:cstheme="minorHAnsi"/>
        </w:rPr>
        <w:t xml:space="preserve"> to protect victims </w:t>
      </w:r>
      <w:r w:rsidR="00003109">
        <w:rPr>
          <w:rFonts w:asciiTheme="minorHAnsi" w:hAnsiTheme="minorHAnsi" w:cstheme="minorHAnsi"/>
        </w:rPr>
        <w:t>of</w:t>
      </w:r>
      <w:r w:rsidR="00AA19E1" w:rsidRPr="00F971E7">
        <w:rPr>
          <w:rFonts w:asciiTheme="minorHAnsi" w:hAnsiTheme="minorHAnsi" w:cstheme="minorHAnsi"/>
        </w:rPr>
        <w:t xml:space="preserve"> violence against women and girls, </w:t>
      </w:r>
      <w:r w:rsidR="001B0C39">
        <w:rPr>
          <w:rFonts w:asciiTheme="minorHAnsi" w:hAnsiTheme="minorHAnsi" w:cstheme="minorHAnsi"/>
        </w:rPr>
        <w:t xml:space="preserve">seen </w:t>
      </w:r>
      <w:r w:rsidR="00AA19E1" w:rsidRPr="00F971E7">
        <w:rPr>
          <w:rFonts w:asciiTheme="minorHAnsi" w:hAnsiTheme="minorHAnsi" w:cstheme="minorHAnsi"/>
        </w:rPr>
        <w:t>in decreasing prosecutions for domestic abuse, and specifically domestic abuse-related rape, in the same time frame.</w:t>
      </w:r>
    </w:p>
    <w:p w14:paraId="58623619" w14:textId="497B05C8" w:rsidR="00784685" w:rsidRPr="00F971E7" w:rsidRDefault="006845B3" w:rsidP="00702F50">
      <w:pPr>
        <w:autoSpaceDE w:val="0"/>
        <w:autoSpaceDN w:val="0"/>
        <w:adjustRightInd w:val="0"/>
        <w:spacing w:after="0"/>
        <w:jc w:val="both"/>
        <w:rPr>
          <w:rFonts w:asciiTheme="minorHAnsi" w:hAnsiTheme="minorHAnsi" w:cstheme="minorHAnsi"/>
        </w:rPr>
      </w:pPr>
      <w:r w:rsidRPr="00F971E7">
        <w:rPr>
          <w:rFonts w:asciiTheme="minorHAnsi" w:hAnsiTheme="minorHAnsi" w:cstheme="minorHAnsi"/>
        </w:rPr>
        <w:t xml:space="preserve">The rise in DVDS applications and disclosures </w:t>
      </w:r>
      <w:r w:rsidR="00605CA3">
        <w:rPr>
          <w:rFonts w:asciiTheme="minorHAnsi" w:hAnsiTheme="minorHAnsi" w:cstheme="minorHAnsi"/>
        </w:rPr>
        <w:t>up to</w:t>
      </w:r>
      <w:r w:rsidR="00605CA3" w:rsidRPr="00F971E7">
        <w:rPr>
          <w:rFonts w:asciiTheme="minorHAnsi" w:hAnsiTheme="minorHAnsi" w:cstheme="minorHAnsi"/>
        </w:rPr>
        <w:t xml:space="preserve"> </w:t>
      </w:r>
      <w:r w:rsidRPr="00F971E7">
        <w:rPr>
          <w:rFonts w:asciiTheme="minorHAnsi" w:hAnsiTheme="minorHAnsi" w:cstheme="minorHAnsi"/>
        </w:rPr>
        <w:t xml:space="preserve">the year to end of March </w:t>
      </w:r>
      <w:r w:rsidR="00605CA3">
        <w:rPr>
          <w:rFonts w:asciiTheme="minorHAnsi" w:hAnsiTheme="minorHAnsi" w:cstheme="minorHAnsi"/>
        </w:rPr>
        <w:t>2023</w:t>
      </w:r>
      <w:r w:rsidR="00605CA3" w:rsidRPr="00F971E7">
        <w:rPr>
          <w:rFonts w:asciiTheme="minorHAnsi" w:hAnsiTheme="minorHAnsi" w:cstheme="minorHAnsi"/>
        </w:rPr>
        <w:t xml:space="preserve"> </w:t>
      </w:r>
      <w:r w:rsidRPr="00F971E7">
        <w:rPr>
          <w:rFonts w:asciiTheme="minorHAnsi" w:hAnsiTheme="minorHAnsi" w:cstheme="minorHAnsi"/>
        </w:rPr>
        <w:t>was a very large increase, as noted above</w:t>
      </w:r>
      <w:r w:rsidR="00B857EB" w:rsidRPr="00F971E7">
        <w:rPr>
          <w:rFonts w:asciiTheme="minorHAnsi" w:hAnsiTheme="minorHAnsi" w:cstheme="minorHAnsi"/>
        </w:rPr>
        <w:t>, and is shown in context in Figure 1, below</w:t>
      </w:r>
      <w:r w:rsidRPr="00F971E7">
        <w:rPr>
          <w:rFonts w:asciiTheme="minorHAnsi" w:hAnsiTheme="minorHAnsi" w:cstheme="minorHAnsi"/>
        </w:rPr>
        <w:t xml:space="preserve">. </w:t>
      </w:r>
      <w:r w:rsidR="007E418C" w:rsidRPr="00F971E7">
        <w:rPr>
          <w:rFonts w:asciiTheme="minorHAnsi" w:hAnsiTheme="minorHAnsi" w:cstheme="minorHAnsi"/>
        </w:rPr>
        <w:t xml:space="preserve">The causes for this </w:t>
      </w:r>
      <w:r w:rsidR="00B857EB" w:rsidRPr="00F971E7">
        <w:rPr>
          <w:rFonts w:asciiTheme="minorHAnsi" w:hAnsiTheme="minorHAnsi" w:cstheme="minorHAnsi"/>
        </w:rPr>
        <w:t xml:space="preserve">considerable recent increase in both disclosures and applications </w:t>
      </w:r>
      <w:r w:rsidR="00BC462C" w:rsidRPr="00F971E7">
        <w:rPr>
          <w:rFonts w:asciiTheme="minorHAnsi" w:hAnsiTheme="minorHAnsi" w:cstheme="minorHAnsi"/>
        </w:rPr>
        <w:t xml:space="preserve">are likely to be diverse. </w:t>
      </w:r>
      <w:r w:rsidRPr="00F971E7">
        <w:rPr>
          <w:rFonts w:asciiTheme="minorHAnsi" w:hAnsiTheme="minorHAnsi" w:cstheme="minorHAnsi"/>
        </w:rPr>
        <w:t xml:space="preserve">As well as a </w:t>
      </w:r>
      <w:r w:rsidRPr="00F971E7">
        <w:rPr>
          <w:rFonts w:asciiTheme="minorHAnsi" w:hAnsiTheme="minorHAnsi" w:cstheme="minorHAnsi"/>
          <w:i/>
          <w:iCs/>
        </w:rPr>
        <w:t>Coronation Street</w:t>
      </w:r>
      <w:r w:rsidRPr="00F971E7">
        <w:rPr>
          <w:rFonts w:asciiTheme="minorHAnsi" w:hAnsiTheme="minorHAnsi" w:cstheme="minorHAnsi"/>
        </w:rPr>
        <w:t xml:space="preserve"> storyline involving the DVDS</w:t>
      </w:r>
      <w:r w:rsidR="00181925">
        <w:rPr>
          <w:rFonts w:asciiTheme="minorHAnsi" w:hAnsiTheme="minorHAnsi" w:cstheme="minorHAnsi"/>
        </w:rPr>
        <w:t>,</w:t>
      </w:r>
      <w:r w:rsidRPr="00F971E7">
        <w:rPr>
          <w:rStyle w:val="FootnoteReference"/>
          <w:rFonts w:asciiTheme="minorHAnsi" w:hAnsiTheme="minorHAnsi" w:cstheme="minorHAnsi"/>
        </w:rPr>
        <w:footnoteReference w:id="4"/>
      </w:r>
      <w:r w:rsidRPr="00F971E7">
        <w:rPr>
          <w:rFonts w:asciiTheme="minorHAnsi" w:hAnsiTheme="minorHAnsi" w:cstheme="minorHAnsi"/>
        </w:rPr>
        <w:t xml:space="preserve"> which might have raised more of a popular consciousness about ‘Clare’s Law’, there was</w:t>
      </w:r>
      <w:r w:rsidR="00BC462C" w:rsidRPr="00F971E7">
        <w:rPr>
          <w:rFonts w:asciiTheme="minorHAnsi" w:hAnsiTheme="minorHAnsi" w:cstheme="minorHAnsi"/>
        </w:rPr>
        <w:t>, of course,</w:t>
      </w:r>
      <w:r w:rsidRPr="00F971E7">
        <w:rPr>
          <w:rFonts w:asciiTheme="minorHAnsi" w:hAnsiTheme="minorHAnsi" w:cstheme="minorHAnsi"/>
        </w:rPr>
        <w:t xml:space="preserve"> </w:t>
      </w:r>
      <w:r w:rsidR="00BC462C" w:rsidRPr="00F971E7">
        <w:rPr>
          <w:rFonts w:asciiTheme="minorHAnsi" w:hAnsiTheme="minorHAnsi" w:cstheme="minorHAnsi"/>
        </w:rPr>
        <w:t>the inter</w:t>
      </w:r>
      <w:r w:rsidRPr="00F971E7">
        <w:rPr>
          <w:rFonts w:asciiTheme="minorHAnsi" w:hAnsiTheme="minorHAnsi" w:cstheme="minorHAnsi"/>
        </w:rPr>
        <w:t>national COVID-19 crisis, involving ‘lockdowns’</w:t>
      </w:r>
      <w:r w:rsidR="00BC462C" w:rsidRPr="00F971E7">
        <w:rPr>
          <w:rFonts w:asciiTheme="minorHAnsi" w:hAnsiTheme="minorHAnsi" w:cstheme="minorHAnsi"/>
        </w:rPr>
        <w:t xml:space="preserve"> in the United Kingdom, </w:t>
      </w:r>
      <w:r w:rsidR="00A407D6" w:rsidRPr="00F971E7">
        <w:rPr>
          <w:rFonts w:asciiTheme="minorHAnsi" w:hAnsiTheme="minorHAnsi" w:cstheme="minorHAnsi"/>
        </w:rPr>
        <w:t xml:space="preserve">which impacted the ability of the police to </w:t>
      </w:r>
      <w:r w:rsidR="00B01D47" w:rsidRPr="00F971E7">
        <w:rPr>
          <w:rFonts w:asciiTheme="minorHAnsi" w:hAnsiTheme="minorHAnsi" w:cstheme="minorHAnsi"/>
        </w:rPr>
        <w:t xml:space="preserve">work in routine ways, and may have led to </w:t>
      </w:r>
      <w:r w:rsidR="003D5897">
        <w:rPr>
          <w:rFonts w:asciiTheme="minorHAnsi" w:hAnsiTheme="minorHAnsi" w:cstheme="minorHAnsi"/>
        </w:rPr>
        <w:t xml:space="preserve">the </w:t>
      </w:r>
      <w:r w:rsidR="00B01D47" w:rsidRPr="00F971E7">
        <w:rPr>
          <w:rFonts w:asciiTheme="minorHAnsi" w:hAnsiTheme="minorHAnsi" w:cstheme="minorHAnsi"/>
        </w:rPr>
        <w:t>greater promotion of the DVDS as an ‘arms-length’ domestic abuse policing tool</w:t>
      </w:r>
      <w:r w:rsidR="00740DEB">
        <w:rPr>
          <w:rFonts w:asciiTheme="minorHAnsi" w:hAnsiTheme="minorHAnsi" w:cstheme="minorHAnsi"/>
        </w:rPr>
        <w:t>.</w:t>
      </w:r>
      <w:r w:rsidRPr="00F971E7">
        <w:rPr>
          <w:rStyle w:val="FootnoteReference"/>
          <w:rFonts w:asciiTheme="minorHAnsi" w:hAnsiTheme="minorHAnsi" w:cstheme="minorHAnsi"/>
        </w:rPr>
        <w:footnoteReference w:id="5"/>
      </w:r>
      <w:r w:rsidRPr="00F971E7">
        <w:rPr>
          <w:rFonts w:asciiTheme="minorHAnsi" w:hAnsiTheme="minorHAnsi" w:cstheme="minorHAnsi"/>
        </w:rPr>
        <w:t xml:space="preserve"> In fact, around the common law world</w:t>
      </w:r>
      <w:r w:rsidR="00740DEB">
        <w:rPr>
          <w:rFonts w:asciiTheme="minorHAnsi" w:hAnsiTheme="minorHAnsi" w:cstheme="minorHAnsi"/>
        </w:rPr>
        <w:t>,</w:t>
      </w:r>
      <w:r w:rsidRPr="00F971E7">
        <w:rPr>
          <w:rFonts w:asciiTheme="minorHAnsi" w:hAnsiTheme="minorHAnsi" w:cstheme="minorHAnsi"/>
        </w:rPr>
        <w:t xml:space="preserve"> there have been policy developments to increase </w:t>
      </w:r>
      <w:r w:rsidR="00740DEB">
        <w:rPr>
          <w:rFonts w:asciiTheme="minorHAnsi" w:hAnsiTheme="minorHAnsi" w:cstheme="minorHAnsi"/>
        </w:rPr>
        <w:t xml:space="preserve">the </w:t>
      </w:r>
      <w:r w:rsidRPr="00F971E7">
        <w:rPr>
          <w:rFonts w:asciiTheme="minorHAnsi" w:hAnsiTheme="minorHAnsi" w:cstheme="minorHAnsi"/>
        </w:rPr>
        <w:t xml:space="preserve">use of </w:t>
      </w:r>
      <w:r w:rsidR="006A2B2B" w:rsidRPr="00F971E7">
        <w:rPr>
          <w:rFonts w:asciiTheme="minorHAnsi" w:hAnsiTheme="minorHAnsi" w:cstheme="minorHAnsi"/>
        </w:rPr>
        <w:t>Domestic Abuse Disclosure Schemes (</w:t>
      </w:r>
      <w:r w:rsidRPr="00F971E7">
        <w:rPr>
          <w:rFonts w:asciiTheme="minorHAnsi" w:hAnsiTheme="minorHAnsi" w:cstheme="minorHAnsi"/>
        </w:rPr>
        <w:t>DADS</w:t>
      </w:r>
      <w:r w:rsidR="006A2B2B" w:rsidRPr="00F971E7">
        <w:rPr>
          <w:rFonts w:asciiTheme="minorHAnsi" w:hAnsiTheme="minorHAnsi" w:cstheme="minorHAnsi"/>
        </w:rPr>
        <w:t>)</w:t>
      </w:r>
      <w:r w:rsidRPr="00F971E7">
        <w:rPr>
          <w:rFonts w:asciiTheme="minorHAnsi" w:hAnsiTheme="minorHAnsi" w:cstheme="minorHAnsi"/>
        </w:rPr>
        <w:t xml:space="preserve"> throughout the pandemic period</w:t>
      </w:r>
      <w:r w:rsidR="00A30685">
        <w:rPr>
          <w:rFonts w:asciiTheme="minorHAnsi" w:hAnsiTheme="minorHAnsi" w:cstheme="minorHAnsi"/>
        </w:rPr>
        <w:t>.</w:t>
      </w:r>
      <w:r w:rsidRPr="00F971E7">
        <w:rPr>
          <w:rStyle w:val="FootnoteReference"/>
          <w:rFonts w:asciiTheme="minorHAnsi" w:hAnsiTheme="minorHAnsi" w:cstheme="minorHAnsi"/>
        </w:rPr>
        <w:footnoteReference w:id="6"/>
      </w:r>
      <w:r w:rsidRPr="00F971E7">
        <w:rPr>
          <w:rFonts w:asciiTheme="minorHAnsi" w:hAnsiTheme="minorHAnsi" w:cstheme="minorHAnsi"/>
        </w:rPr>
        <w:t xml:space="preserve"> </w:t>
      </w:r>
      <w:r w:rsidR="00A30685">
        <w:rPr>
          <w:rFonts w:asciiTheme="minorHAnsi" w:hAnsiTheme="minorHAnsi" w:cstheme="minorHAnsi"/>
        </w:rPr>
        <w:t>However,</w:t>
      </w:r>
      <w:r w:rsidR="00A30685" w:rsidRPr="00F971E7">
        <w:rPr>
          <w:rFonts w:asciiTheme="minorHAnsi" w:hAnsiTheme="minorHAnsi" w:cstheme="minorHAnsi"/>
        </w:rPr>
        <w:t xml:space="preserve"> </w:t>
      </w:r>
      <w:r w:rsidRPr="00F971E7">
        <w:rPr>
          <w:rFonts w:asciiTheme="minorHAnsi" w:hAnsiTheme="minorHAnsi" w:cstheme="minorHAnsi"/>
        </w:rPr>
        <w:t xml:space="preserve">there is a strong feeling amongst commentators who have researched </w:t>
      </w:r>
      <w:r w:rsidR="001C5A1D" w:rsidRPr="00F971E7">
        <w:rPr>
          <w:rFonts w:asciiTheme="minorHAnsi" w:hAnsiTheme="minorHAnsi" w:cstheme="minorHAnsi"/>
        </w:rPr>
        <w:t>DADS</w:t>
      </w:r>
      <w:r w:rsidRPr="00F971E7">
        <w:rPr>
          <w:rFonts w:asciiTheme="minorHAnsi" w:hAnsiTheme="minorHAnsi" w:cstheme="minorHAnsi"/>
        </w:rPr>
        <w:t xml:space="preserve"> policies that such disclosures cannot be comfortably relied upon to protect the rights of vulnerable victim</w:t>
      </w:r>
      <w:r w:rsidR="00F72943" w:rsidRPr="00F971E7">
        <w:rPr>
          <w:rFonts w:asciiTheme="minorHAnsi" w:hAnsiTheme="minorHAnsi" w:cstheme="minorHAnsi"/>
        </w:rPr>
        <w:t>s</w:t>
      </w:r>
      <w:r w:rsidRPr="00F971E7">
        <w:rPr>
          <w:rFonts w:asciiTheme="minorHAnsi" w:hAnsiTheme="minorHAnsi" w:cstheme="minorHAnsi"/>
        </w:rPr>
        <w:t xml:space="preserve"> of domestic abuse in </w:t>
      </w:r>
      <w:r w:rsidR="00F72943" w:rsidRPr="00F971E7">
        <w:rPr>
          <w:rFonts w:asciiTheme="minorHAnsi" w:hAnsiTheme="minorHAnsi" w:cstheme="minorHAnsi"/>
        </w:rPr>
        <w:t xml:space="preserve">its </w:t>
      </w:r>
      <w:r w:rsidRPr="00F971E7">
        <w:rPr>
          <w:rFonts w:asciiTheme="minorHAnsi" w:hAnsiTheme="minorHAnsi" w:cstheme="minorHAnsi"/>
        </w:rPr>
        <w:t>wide range of forms</w:t>
      </w:r>
      <w:r w:rsidR="00DF170A">
        <w:rPr>
          <w:rFonts w:asciiTheme="minorHAnsi" w:hAnsiTheme="minorHAnsi" w:cstheme="minorHAnsi"/>
        </w:rPr>
        <w:t>.</w:t>
      </w:r>
      <w:r w:rsidR="00D93FD5" w:rsidRPr="00F971E7">
        <w:rPr>
          <w:rStyle w:val="FootnoteReference"/>
          <w:rFonts w:asciiTheme="minorHAnsi" w:hAnsiTheme="minorHAnsi" w:cstheme="minorHAnsi"/>
        </w:rPr>
        <w:footnoteReference w:id="7"/>
      </w:r>
      <w:r w:rsidRPr="00F971E7">
        <w:rPr>
          <w:rFonts w:asciiTheme="minorHAnsi" w:hAnsiTheme="minorHAnsi" w:cstheme="minorHAnsi"/>
        </w:rPr>
        <w:t xml:space="preserve"> </w:t>
      </w:r>
      <w:r w:rsidR="000A6127" w:rsidRPr="00F971E7">
        <w:rPr>
          <w:rFonts w:asciiTheme="minorHAnsi" w:hAnsiTheme="minorHAnsi" w:cstheme="minorHAnsi"/>
        </w:rPr>
        <w:lastRenderedPageBreak/>
        <w:t xml:space="preserve">Traces of this are beginning to emerge in the form of </w:t>
      </w:r>
      <w:r w:rsidR="00921CD3" w:rsidRPr="00F971E7">
        <w:rPr>
          <w:rFonts w:asciiTheme="minorHAnsi" w:hAnsiTheme="minorHAnsi" w:cstheme="minorHAnsi"/>
        </w:rPr>
        <w:t>accounts in domestic homicide reviews</w:t>
      </w:r>
      <w:r w:rsidR="00DF170A">
        <w:rPr>
          <w:rFonts w:asciiTheme="minorHAnsi" w:hAnsiTheme="minorHAnsi" w:cstheme="minorHAnsi"/>
        </w:rPr>
        <w:t>,</w:t>
      </w:r>
      <w:r w:rsidR="00DB5173" w:rsidRPr="00F971E7">
        <w:rPr>
          <w:rStyle w:val="FootnoteReference"/>
          <w:rFonts w:asciiTheme="minorHAnsi" w:hAnsiTheme="minorHAnsi" w:cstheme="minorHAnsi"/>
        </w:rPr>
        <w:footnoteReference w:id="8"/>
      </w:r>
      <w:r w:rsidR="00921CD3" w:rsidRPr="00F971E7">
        <w:rPr>
          <w:rFonts w:asciiTheme="minorHAnsi" w:hAnsiTheme="minorHAnsi" w:cstheme="minorHAnsi"/>
        </w:rPr>
        <w:t xml:space="preserve"> investigations from the Independent Office for Police Conduct (IOPC)</w:t>
      </w:r>
      <w:r w:rsidR="00DF170A">
        <w:rPr>
          <w:rFonts w:asciiTheme="minorHAnsi" w:hAnsiTheme="minorHAnsi" w:cstheme="minorHAnsi"/>
        </w:rPr>
        <w:t>,</w:t>
      </w:r>
      <w:r w:rsidR="00C42318" w:rsidRPr="00F971E7">
        <w:rPr>
          <w:rStyle w:val="FootnoteReference"/>
          <w:rFonts w:asciiTheme="minorHAnsi" w:hAnsiTheme="minorHAnsi" w:cstheme="minorHAnsi"/>
        </w:rPr>
        <w:footnoteReference w:id="9"/>
      </w:r>
      <w:r w:rsidR="00921CD3" w:rsidRPr="00F971E7">
        <w:rPr>
          <w:rFonts w:asciiTheme="minorHAnsi" w:hAnsiTheme="minorHAnsi" w:cstheme="minorHAnsi"/>
        </w:rPr>
        <w:t xml:space="preserve"> and even in reported cases, on occasion, from the courts. </w:t>
      </w:r>
      <w:r w:rsidR="000471AF" w:rsidRPr="00F971E7">
        <w:rPr>
          <w:rFonts w:asciiTheme="minorHAnsi" w:hAnsiTheme="minorHAnsi" w:cstheme="minorHAnsi"/>
        </w:rPr>
        <w:t xml:space="preserve">For </w:t>
      </w:r>
      <w:r w:rsidR="0087454B" w:rsidRPr="00F971E7">
        <w:rPr>
          <w:rFonts w:asciiTheme="minorHAnsi" w:hAnsiTheme="minorHAnsi" w:cstheme="minorHAnsi"/>
        </w:rPr>
        <w:t>example</w:t>
      </w:r>
      <w:r w:rsidR="005003B2" w:rsidRPr="00F971E7">
        <w:rPr>
          <w:rFonts w:asciiTheme="minorHAnsi" w:hAnsiTheme="minorHAnsi" w:cstheme="minorHAnsi"/>
        </w:rPr>
        <w:t>, i</w:t>
      </w:r>
      <w:r w:rsidR="000471AF" w:rsidRPr="00F971E7">
        <w:rPr>
          <w:rFonts w:asciiTheme="minorHAnsi" w:hAnsiTheme="minorHAnsi" w:cstheme="minorHAnsi"/>
        </w:rPr>
        <w:t xml:space="preserve">n </w:t>
      </w:r>
      <w:r w:rsidR="000471AF" w:rsidRPr="00F971E7">
        <w:rPr>
          <w:rFonts w:asciiTheme="minorHAnsi" w:hAnsiTheme="minorHAnsi" w:cstheme="minorHAnsi"/>
          <w:i/>
        </w:rPr>
        <w:t>WU v BU</w:t>
      </w:r>
      <w:r w:rsidR="000471AF" w:rsidRPr="00F971E7">
        <w:rPr>
          <w:rFonts w:asciiTheme="minorHAnsi" w:hAnsiTheme="minorHAnsi" w:cstheme="minorHAnsi"/>
        </w:rPr>
        <w:t xml:space="preserve"> [2021] EWCOP 54, a DVDS disclosure was made to a woman</w:t>
      </w:r>
      <w:r w:rsidR="00BC4551" w:rsidRPr="00F971E7">
        <w:rPr>
          <w:rFonts w:asciiTheme="minorHAnsi" w:hAnsiTheme="minorHAnsi" w:cstheme="minorHAnsi"/>
        </w:rPr>
        <w:t xml:space="preserve"> (BU)</w:t>
      </w:r>
      <w:r w:rsidR="000471AF" w:rsidRPr="00F971E7">
        <w:rPr>
          <w:rFonts w:asciiTheme="minorHAnsi" w:hAnsiTheme="minorHAnsi" w:cstheme="minorHAnsi"/>
        </w:rPr>
        <w:t xml:space="preserve"> of nearly 70 with vascular dementia, in respect of a man (NC) seventeen years her junior  and who appeared to be manipulating BU into handing over control of her substantial financial assets. </w:t>
      </w:r>
    </w:p>
    <w:p w14:paraId="1740733B" w14:textId="77777777" w:rsidR="00784685" w:rsidRPr="00F971E7" w:rsidRDefault="00784685" w:rsidP="00702F50">
      <w:pPr>
        <w:autoSpaceDE w:val="0"/>
        <w:autoSpaceDN w:val="0"/>
        <w:adjustRightInd w:val="0"/>
        <w:spacing w:after="0" w:line="240" w:lineRule="auto"/>
        <w:jc w:val="both"/>
        <w:rPr>
          <w:rFonts w:asciiTheme="minorHAnsi" w:hAnsiTheme="minorHAnsi" w:cstheme="minorHAnsi"/>
        </w:rPr>
      </w:pPr>
    </w:p>
    <w:p w14:paraId="7C4A522D" w14:textId="655BFB26" w:rsidR="006845B3" w:rsidRDefault="000471AF" w:rsidP="00053524">
      <w:pPr>
        <w:autoSpaceDE w:val="0"/>
        <w:autoSpaceDN w:val="0"/>
        <w:adjustRightInd w:val="0"/>
        <w:spacing w:after="0"/>
        <w:jc w:val="both"/>
        <w:rPr>
          <w:rFonts w:asciiTheme="minorHAnsi" w:hAnsiTheme="minorHAnsi" w:cstheme="minorHAnsi"/>
        </w:rPr>
      </w:pPr>
      <w:r w:rsidRPr="00F971E7">
        <w:rPr>
          <w:rFonts w:asciiTheme="minorHAnsi" w:hAnsiTheme="minorHAnsi" w:cstheme="minorHAnsi"/>
        </w:rPr>
        <w:t xml:space="preserve">We do not know from the judgment of Roberts J </w:t>
      </w:r>
      <w:r w:rsidR="002505E7" w:rsidRPr="00F971E7">
        <w:rPr>
          <w:rFonts w:asciiTheme="minorHAnsi" w:hAnsiTheme="minorHAnsi" w:cstheme="minorHAnsi"/>
        </w:rPr>
        <w:t xml:space="preserve">in </w:t>
      </w:r>
      <w:r w:rsidR="002505E7" w:rsidRPr="00F971E7">
        <w:rPr>
          <w:rFonts w:asciiTheme="minorHAnsi" w:hAnsiTheme="minorHAnsi" w:cstheme="minorHAnsi"/>
          <w:i/>
          <w:iCs/>
        </w:rPr>
        <w:t>WU</w:t>
      </w:r>
      <w:r w:rsidR="002505E7" w:rsidRPr="00F971E7">
        <w:rPr>
          <w:rFonts w:asciiTheme="minorHAnsi" w:hAnsiTheme="minorHAnsi" w:cstheme="minorHAnsi"/>
        </w:rPr>
        <w:t xml:space="preserve"> </w:t>
      </w:r>
      <w:r w:rsidRPr="00F971E7">
        <w:rPr>
          <w:rFonts w:asciiTheme="minorHAnsi" w:hAnsiTheme="minorHAnsi" w:cstheme="minorHAnsi"/>
        </w:rPr>
        <w:t>what the exact nature of this DVDS disclosure was, but</w:t>
      </w:r>
      <w:r w:rsidR="002505E7" w:rsidRPr="00F971E7">
        <w:rPr>
          <w:rFonts w:asciiTheme="minorHAnsi" w:hAnsiTheme="minorHAnsi" w:cstheme="minorHAnsi"/>
        </w:rPr>
        <w:t xml:space="preserve"> we know</w:t>
      </w:r>
      <w:r w:rsidR="0032164D" w:rsidRPr="00F971E7">
        <w:rPr>
          <w:rFonts w:asciiTheme="minorHAnsi" w:hAnsiTheme="minorHAnsi" w:cstheme="minorHAnsi"/>
        </w:rPr>
        <w:t xml:space="preserve"> that</w:t>
      </w:r>
      <w:r w:rsidRPr="00F971E7">
        <w:rPr>
          <w:rFonts w:asciiTheme="minorHAnsi" w:hAnsiTheme="minorHAnsi" w:cstheme="minorHAnsi"/>
        </w:rPr>
        <w:t xml:space="preserve"> NC had a significant criminal record of theft, deception offences</w:t>
      </w:r>
      <w:r w:rsidR="001E2D9C">
        <w:rPr>
          <w:rFonts w:asciiTheme="minorHAnsi" w:hAnsiTheme="minorHAnsi" w:cstheme="minorHAnsi"/>
        </w:rPr>
        <w:t>,</w:t>
      </w:r>
      <w:r w:rsidRPr="00F971E7">
        <w:rPr>
          <w:rFonts w:asciiTheme="minorHAnsi" w:hAnsiTheme="minorHAnsi" w:cstheme="minorHAnsi"/>
        </w:rPr>
        <w:t xml:space="preserve"> and blackmail, as well as two alleged rapes and an alleged sexual assault on file with the police, and a long history of well-document</w:t>
      </w:r>
      <w:r w:rsidR="00956F53">
        <w:rPr>
          <w:rFonts w:asciiTheme="minorHAnsi" w:hAnsiTheme="minorHAnsi" w:cstheme="minorHAnsi"/>
        </w:rPr>
        <w:t>ed</w:t>
      </w:r>
      <w:r w:rsidRPr="00F971E7">
        <w:rPr>
          <w:rFonts w:asciiTheme="minorHAnsi" w:hAnsiTheme="minorHAnsi" w:cstheme="minorHAnsi"/>
        </w:rPr>
        <w:t xml:space="preserve"> abusive and financially-manipulative behaviour with numerous former partners. However, </w:t>
      </w:r>
      <w:r w:rsidR="004F3AD6">
        <w:rPr>
          <w:rFonts w:asciiTheme="minorHAnsi" w:hAnsiTheme="minorHAnsi" w:cstheme="minorHAnsi"/>
        </w:rPr>
        <w:t>Roberts</w:t>
      </w:r>
      <w:r w:rsidRPr="00F971E7">
        <w:rPr>
          <w:rFonts w:asciiTheme="minorHAnsi" w:hAnsiTheme="minorHAnsi" w:cstheme="minorHAnsi"/>
        </w:rPr>
        <w:t xml:space="preserve"> J noted </w:t>
      </w:r>
      <w:r w:rsidR="00C73F98">
        <w:rPr>
          <w:rFonts w:asciiTheme="minorHAnsi" w:hAnsiTheme="minorHAnsi" w:cstheme="minorHAnsi"/>
        </w:rPr>
        <w:t>that</w:t>
      </w:r>
      <w:r w:rsidRPr="00F971E7">
        <w:rPr>
          <w:rFonts w:asciiTheme="minorHAnsi" w:hAnsiTheme="minorHAnsi" w:cstheme="minorHAnsi"/>
        </w:rPr>
        <w:t xml:space="preserve"> upon the DVDS disclosure being made to her by the police, BU "refused to believe that NC could have committed the offences described…[she was] insistent that she wished him to remain living in her home".</w:t>
      </w:r>
      <w:r w:rsidR="004F3AD6">
        <w:rPr>
          <w:rStyle w:val="FootnoteReference"/>
          <w:rFonts w:asciiTheme="minorHAnsi" w:hAnsiTheme="minorHAnsi" w:cstheme="minorHAnsi"/>
        </w:rPr>
        <w:footnoteReference w:id="10"/>
      </w:r>
      <w:r w:rsidRPr="00F971E7">
        <w:rPr>
          <w:rFonts w:asciiTheme="minorHAnsi" w:hAnsiTheme="minorHAnsi" w:cstheme="minorHAnsi"/>
        </w:rPr>
        <w:t xml:space="preserve"> Nonetheless, given the vulnerability </w:t>
      </w:r>
      <w:r w:rsidR="00EB1E34" w:rsidRPr="00F971E7">
        <w:rPr>
          <w:rFonts w:asciiTheme="minorHAnsi" w:hAnsiTheme="minorHAnsi" w:cstheme="minorHAnsi"/>
        </w:rPr>
        <w:t>of BU</w:t>
      </w:r>
      <w:r w:rsidRPr="00F971E7">
        <w:rPr>
          <w:rFonts w:asciiTheme="minorHAnsi" w:hAnsiTheme="minorHAnsi" w:cstheme="minorHAnsi"/>
        </w:rPr>
        <w:t xml:space="preserve"> to abusive, controlling</w:t>
      </w:r>
      <w:r w:rsidR="00AA563B">
        <w:rPr>
          <w:rFonts w:asciiTheme="minorHAnsi" w:hAnsiTheme="minorHAnsi" w:cstheme="minorHAnsi"/>
        </w:rPr>
        <w:t>,</w:t>
      </w:r>
      <w:r w:rsidRPr="00F971E7">
        <w:rPr>
          <w:rFonts w:asciiTheme="minorHAnsi" w:hAnsiTheme="minorHAnsi" w:cstheme="minorHAnsi"/>
        </w:rPr>
        <w:t xml:space="preserve"> and fraudulent behaviour from NC, </w:t>
      </w:r>
      <w:r w:rsidR="00C73F98">
        <w:rPr>
          <w:rFonts w:asciiTheme="minorHAnsi" w:hAnsiTheme="minorHAnsi" w:cstheme="minorHAnsi"/>
        </w:rPr>
        <w:t>Roberts</w:t>
      </w:r>
      <w:r w:rsidRPr="00F971E7">
        <w:rPr>
          <w:rFonts w:asciiTheme="minorHAnsi" w:hAnsiTheme="minorHAnsi" w:cstheme="minorHAnsi"/>
        </w:rPr>
        <w:t xml:space="preserve"> J put in place an injunction prohibiting NC from contacting BU, </w:t>
      </w:r>
      <w:r w:rsidR="009B41F8" w:rsidRPr="00F971E7">
        <w:rPr>
          <w:rFonts w:asciiTheme="minorHAnsi" w:hAnsiTheme="minorHAnsi" w:cstheme="minorHAnsi"/>
        </w:rPr>
        <w:t>leaving NC facing</w:t>
      </w:r>
      <w:r w:rsidR="00D63E65" w:rsidRPr="00F971E7">
        <w:rPr>
          <w:rFonts w:asciiTheme="minorHAnsi" w:hAnsiTheme="minorHAnsi" w:cstheme="minorHAnsi"/>
        </w:rPr>
        <w:t xml:space="preserve"> the risk of</w:t>
      </w:r>
      <w:r w:rsidRPr="00F971E7">
        <w:rPr>
          <w:rFonts w:asciiTheme="minorHAnsi" w:hAnsiTheme="minorHAnsi" w:cstheme="minorHAnsi"/>
        </w:rPr>
        <w:t xml:space="preserve"> contempt of court and</w:t>
      </w:r>
      <w:r w:rsidR="00D63E65" w:rsidRPr="00F971E7">
        <w:rPr>
          <w:rFonts w:asciiTheme="minorHAnsi" w:hAnsiTheme="minorHAnsi" w:cstheme="minorHAnsi"/>
        </w:rPr>
        <w:t xml:space="preserve"> in that case</w:t>
      </w:r>
      <w:r w:rsidRPr="00F971E7">
        <w:rPr>
          <w:rFonts w:asciiTheme="minorHAnsi" w:hAnsiTheme="minorHAnsi" w:cstheme="minorHAnsi"/>
        </w:rPr>
        <w:t xml:space="preserve"> likely imprisonment, as well as a forced marriage protection order (FMPO). It is telling that Roberts J wrote of BU that: "She is blind to future risk as she has been to past risk."</w:t>
      </w:r>
      <w:r w:rsidR="00C73F98">
        <w:rPr>
          <w:rStyle w:val="FootnoteReference"/>
          <w:rFonts w:asciiTheme="minorHAnsi" w:hAnsiTheme="minorHAnsi" w:cstheme="minorHAnsi"/>
        </w:rPr>
        <w:footnoteReference w:id="11"/>
      </w:r>
      <w:r w:rsidR="0032164D" w:rsidRPr="00F971E7">
        <w:rPr>
          <w:rFonts w:asciiTheme="minorHAnsi" w:hAnsiTheme="minorHAnsi" w:cstheme="minorHAnsi"/>
        </w:rPr>
        <w:t xml:space="preserve"> </w:t>
      </w:r>
      <w:r w:rsidR="0032164D" w:rsidRPr="00F971E7">
        <w:rPr>
          <w:rFonts w:asciiTheme="minorHAnsi" w:hAnsiTheme="minorHAnsi" w:cstheme="minorHAnsi"/>
          <w:i/>
          <w:iCs/>
        </w:rPr>
        <w:t>WU</w:t>
      </w:r>
      <w:r w:rsidR="0032164D" w:rsidRPr="00F971E7">
        <w:rPr>
          <w:rFonts w:asciiTheme="minorHAnsi" w:hAnsiTheme="minorHAnsi" w:cstheme="minorHAnsi"/>
        </w:rPr>
        <w:t xml:space="preserve"> is a clear </w:t>
      </w:r>
      <w:r w:rsidR="000E70FA" w:rsidRPr="00F971E7">
        <w:rPr>
          <w:rFonts w:asciiTheme="minorHAnsi" w:hAnsiTheme="minorHAnsi" w:cstheme="minorHAnsi"/>
        </w:rPr>
        <w:t xml:space="preserve">example of the need for the DVDS to be part, </w:t>
      </w:r>
      <w:r w:rsidR="00AA5180" w:rsidRPr="00F971E7">
        <w:rPr>
          <w:rFonts w:asciiTheme="minorHAnsi" w:hAnsiTheme="minorHAnsi" w:cstheme="minorHAnsi"/>
        </w:rPr>
        <w:t xml:space="preserve">and </w:t>
      </w:r>
      <w:r w:rsidR="000E70FA" w:rsidRPr="00F971E7">
        <w:rPr>
          <w:rFonts w:asciiTheme="minorHAnsi" w:hAnsiTheme="minorHAnsi" w:cstheme="minorHAnsi"/>
        </w:rPr>
        <w:t xml:space="preserve">not the whole, of the public protection approach in a </w:t>
      </w:r>
      <w:r w:rsidR="00AA5180" w:rsidRPr="00F971E7">
        <w:rPr>
          <w:rFonts w:asciiTheme="minorHAnsi" w:hAnsiTheme="minorHAnsi" w:cstheme="minorHAnsi"/>
        </w:rPr>
        <w:t>situation involving a victim of (potential) domestic abuse.</w:t>
      </w:r>
    </w:p>
    <w:p w14:paraId="7871EAEA" w14:textId="77777777" w:rsidR="00053524" w:rsidRPr="00F971E7" w:rsidRDefault="00053524" w:rsidP="00053524">
      <w:pPr>
        <w:autoSpaceDE w:val="0"/>
        <w:autoSpaceDN w:val="0"/>
        <w:adjustRightInd w:val="0"/>
        <w:spacing w:after="0"/>
        <w:jc w:val="both"/>
        <w:rPr>
          <w:rFonts w:asciiTheme="minorHAnsi" w:hAnsiTheme="minorHAnsi" w:cstheme="minorHAnsi"/>
        </w:rPr>
      </w:pPr>
    </w:p>
    <w:p w14:paraId="18B87C10" w14:textId="08F35F34" w:rsidR="006041ED" w:rsidRPr="00F971E7" w:rsidRDefault="001F25F0" w:rsidP="00702F50">
      <w:pPr>
        <w:jc w:val="both"/>
        <w:rPr>
          <w:rFonts w:asciiTheme="minorHAnsi" w:hAnsiTheme="minorHAnsi" w:cstheme="minorHAnsi"/>
        </w:rPr>
      </w:pPr>
      <w:r w:rsidRPr="00F971E7">
        <w:rPr>
          <w:rFonts w:asciiTheme="minorHAnsi" w:hAnsiTheme="minorHAnsi" w:cstheme="minorHAnsi"/>
        </w:rPr>
        <w:t xml:space="preserve">Recent legislative processes have begun to build a better scaffolding </w:t>
      </w:r>
      <w:r w:rsidR="000B3F99" w:rsidRPr="00F971E7">
        <w:rPr>
          <w:rFonts w:asciiTheme="minorHAnsi" w:hAnsiTheme="minorHAnsi" w:cstheme="minorHAnsi"/>
        </w:rPr>
        <w:t>policy framework for the DVDS to be used within.</w:t>
      </w:r>
      <w:r w:rsidR="00D63E65" w:rsidRPr="00F971E7">
        <w:rPr>
          <w:rFonts w:asciiTheme="minorHAnsi" w:hAnsiTheme="minorHAnsi" w:cstheme="minorHAnsi"/>
        </w:rPr>
        <w:t xml:space="preserve"> This has come about </w:t>
      </w:r>
      <w:r w:rsidR="00A90F57" w:rsidRPr="00F971E7">
        <w:rPr>
          <w:rFonts w:asciiTheme="minorHAnsi" w:hAnsiTheme="minorHAnsi" w:cstheme="minorHAnsi"/>
        </w:rPr>
        <w:t>through the development by the Home Office of a new (statutory) code for the operation of the DVDS.</w:t>
      </w:r>
      <w:r w:rsidR="000B3F99" w:rsidRPr="00F971E7">
        <w:rPr>
          <w:rFonts w:asciiTheme="minorHAnsi" w:hAnsiTheme="minorHAnsi" w:cstheme="minorHAnsi"/>
        </w:rPr>
        <w:t xml:space="preserve"> The impetus for the shift has been the (admittedly drawn-out) creation of the Domestic Abuse Act 2021. </w:t>
      </w:r>
      <w:r w:rsidR="004810D7" w:rsidRPr="00F971E7">
        <w:rPr>
          <w:rFonts w:asciiTheme="minorHAnsi" w:hAnsiTheme="minorHAnsi" w:cstheme="minorHAnsi"/>
        </w:rPr>
        <w:t xml:space="preserve">While </w:t>
      </w:r>
      <w:r w:rsidR="00C046E7" w:rsidRPr="00F971E7">
        <w:rPr>
          <w:rFonts w:asciiTheme="minorHAnsi" w:hAnsiTheme="minorHAnsi" w:cstheme="minorHAnsi"/>
        </w:rPr>
        <w:t xml:space="preserve">the Domestic Abuse Bill (as it then was) moved through Parliamentary processes </w:t>
      </w:r>
      <w:r w:rsidR="003F3317">
        <w:rPr>
          <w:rFonts w:asciiTheme="minorHAnsi" w:hAnsiTheme="minorHAnsi" w:cstheme="minorHAnsi"/>
        </w:rPr>
        <w:t>before</w:t>
      </w:r>
      <w:r w:rsidR="00C046E7" w:rsidRPr="00F971E7">
        <w:rPr>
          <w:rFonts w:asciiTheme="minorHAnsi" w:hAnsiTheme="minorHAnsi" w:cstheme="minorHAnsi"/>
        </w:rPr>
        <w:t xml:space="preserve"> enactment</w:t>
      </w:r>
      <w:r w:rsidR="00413F0E" w:rsidRPr="00F971E7">
        <w:rPr>
          <w:rFonts w:asciiTheme="minorHAnsi" w:hAnsiTheme="minorHAnsi" w:cstheme="minorHAnsi"/>
        </w:rPr>
        <w:t xml:space="preserve">, </w:t>
      </w:r>
      <w:r w:rsidR="00A74AD1" w:rsidRPr="00F971E7">
        <w:rPr>
          <w:rFonts w:asciiTheme="minorHAnsi" w:hAnsiTheme="minorHAnsi" w:cstheme="minorHAnsi"/>
        </w:rPr>
        <w:t xml:space="preserve">Jess Phillips MP moved an amendment that would have </w:t>
      </w:r>
      <w:r w:rsidR="00030C27" w:rsidRPr="00F971E7">
        <w:rPr>
          <w:rFonts w:asciiTheme="minorHAnsi" w:hAnsiTheme="minorHAnsi" w:cstheme="minorHAnsi"/>
        </w:rPr>
        <w:t>created</w:t>
      </w:r>
      <w:r w:rsidR="00A74AD1" w:rsidRPr="00F971E7">
        <w:rPr>
          <w:rFonts w:asciiTheme="minorHAnsi" w:hAnsiTheme="minorHAnsi" w:cstheme="minorHAnsi"/>
        </w:rPr>
        <w:t xml:space="preserve"> a multi-stranded statutory duty with regard to the operation of the DVDS in England and Wales</w:t>
      </w:r>
      <w:r w:rsidR="00F83211">
        <w:rPr>
          <w:rFonts w:asciiTheme="minorHAnsi" w:hAnsiTheme="minorHAnsi" w:cstheme="minorHAnsi"/>
        </w:rPr>
        <w:t>.</w:t>
      </w:r>
      <w:r w:rsidR="00722807" w:rsidRPr="00F971E7">
        <w:rPr>
          <w:rStyle w:val="FootnoteReference"/>
          <w:rFonts w:asciiTheme="minorHAnsi" w:hAnsiTheme="minorHAnsi" w:cstheme="minorHAnsi"/>
        </w:rPr>
        <w:footnoteReference w:id="12"/>
      </w:r>
      <w:r w:rsidR="0080361B" w:rsidRPr="00F971E7">
        <w:rPr>
          <w:rFonts w:asciiTheme="minorHAnsi" w:hAnsiTheme="minorHAnsi" w:cstheme="minorHAnsi"/>
        </w:rPr>
        <w:t xml:space="preserve"> </w:t>
      </w:r>
      <w:r w:rsidR="00746459" w:rsidRPr="00F971E7">
        <w:rPr>
          <w:rFonts w:asciiTheme="minorHAnsi" w:hAnsiTheme="minorHAnsi" w:cstheme="minorHAnsi"/>
        </w:rPr>
        <w:t>These proposed provisions</w:t>
      </w:r>
      <w:r w:rsidR="0080361B" w:rsidRPr="00F971E7">
        <w:rPr>
          <w:rFonts w:asciiTheme="minorHAnsi" w:hAnsiTheme="minorHAnsi" w:cstheme="minorHAnsi"/>
        </w:rPr>
        <w:t xml:space="preserve"> would have clarified some elements of the operation of the </w:t>
      </w:r>
      <w:r w:rsidR="00F83211">
        <w:rPr>
          <w:rFonts w:asciiTheme="minorHAnsi" w:hAnsiTheme="minorHAnsi" w:cstheme="minorHAnsi"/>
        </w:rPr>
        <w:t>DVDS</w:t>
      </w:r>
      <w:r w:rsidR="0080361B" w:rsidRPr="00F971E7">
        <w:rPr>
          <w:rFonts w:asciiTheme="minorHAnsi" w:hAnsiTheme="minorHAnsi" w:cstheme="minorHAnsi"/>
        </w:rPr>
        <w:t xml:space="preserve">, and </w:t>
      </w:r>
      <w:r w:rsidR="006A727F">
        <w:rPr>
          <w:rFonts w:asciiTheme="minorHAnsi" w:hAnsiTheme="minorHAnsi" w:cstheme="minorHAnsi"/>
        </w:rPr>
        <w:t>attempted</w:t>
      </w:r>
      <w:r w:rsidR="005612EC" w:rsidRPr="00F971E7">
        <w:rPr>
          <w:rFonts w:asciiTheme="minorHAnsi" w:hAnsiTheme="minorHAnsi" w:cstheme="minorHAnsi"/>
        </w:rPr>
        <w:t xml:space="preserve"> to add greater </w:t>
      </w:r>
      <w:r w:rsidR="0080361B" w:rsidRPr="00F971E7">
        <w:rPr>
          <w:rFonts w:asciiTheme="minorHAnsi" w:hAnsiTheme="minorHAnsi" w:cstheme="minorHAnsi"/>
        </w:rPr>
        <w:t>rigour in the manner of its deployment as part of public protection practices</w:t>
      </w:r>
      <w:r w:rsidR="004810D7" w:rsidRPr="00F971E7">
        <w:rPr>
          <w:rFonts w:asciiTheme="minorHAnsi" w:hAnsiTheme="minorHAnsi" w:cstheme="minorHAnsi"/>
        </w:rPr>
        <w:t xml:space="preserve">. </w:t>
      </w:r>
      <w:r w:rsidR="00C61ECE" w:rsidRPr="00F971E7">
        <w:rPr>
          <w:rFonts w:asciiTheme="minorHAnsi" w:hAnsiTheme="minorHAnsi" w:cstheme="minorHAnsi"/>
        </w:rPr>
        <w:t>If this amendment had been incorporated into the Bill</w:t>
      </w:r>
      <w:r w:rsidR="004810D7" w:rsidRPr="00F971E7">
        <w:rPr>
          <w:rFonts w:asciiTheme="minorHAnsi" w:hAnsiTheme="minorHAnsi" w:cstheme="minorHAnsi"/>
        </w:rPr>
        <w:t>:</w:t>
      </w:r>
      <w:r w:rsidR="00A724E2" w:rsidRPr="00F971E7">
        <w:rPr>
          <w:rFonts w:asciiTheme="minorHAnsi" w:hAnsiTheme="minorHAnsi" w:cstheme="minorHAnsi"/>
        </w:rPr>
        <w:t xml:space="preserve"> </w:t>
      </w:r>
      <w:r w:rsidR="000F01B4" w:rsidRPr="00F971E7">
        <w:rPr>
          <w:rFonts w:asciiTheme="minorHAnsi" w:hAnsiTheme="minorHAnsi" w:cstheme="minorHAnsi"/>
        </w:rPr>
        <w:t xml:space="preserve">a) </w:t>
      </w:r>
      <w:r w:rsidR="00A724E2" w:rsidRPr="00F971E7">
        <w:rPr>
          <w:rFonts w:asciiTheme="minorHAnsi" w:hAnsiTheme="minorHAnsi" w:cstheme="minorHAnsi"/>
        </w:rPr>
        <w:t>the</w:t>
      </w:r>
      <w:r w:rsidR="0080361B" w:rsidRPr="00F971E7">
        <w:rPr>
          <w:rFonts w:asciiTheme="minorHAnsi" w:hAnsiTheme="minorHAnsi" w:cstheme="minorHAnsi"/>
        </w:rPr>
        <w:t xml:space="preserve"> legal</w:t>
      </w:r>
      <w:r w:rsidR="00A724E2" w:rsidRPr="00F971E7">
        <w:rPr>
          <w:rFonts w:asciiTheme="minorHAnsi" w:hAnsiTheme="minorHAnsi" w:cstheme="minorHAnsi"/>
        </w:rPr>
        <w:t xml:space="preserve"> disclosure test</w:t>
      </w:r>
      <w:r w:rsidR="0080361B" w:rsidRPr="00F971E7">
        <w:rPr>
          <w:rFonts w:asciiTheme="minorHAnsi" w:hAnsiTheme="minorHAnsi" w:cstheme="minorHAnsi"/>
        </w:rPr>
        <w:t>(</w:t>
      </w:r>
      <w:r w:rsidR="000F01B4" w:rsidRPr="00F971E7">
        <w:rPr>
          <w:rFonts w:asciiTheme="minorHAnsi" w:hAnsiTheme="minorHAnsi" w:cstheme="minorHAnsi"/>
        </w:rPr>
        <w:t>s)</w:t>
      </w:r>
      <w:r w:rsidR="00A724E2" w:rsidRPr="00F971E7">
        <w:rPr>
          <w:rFonts w:asciiTheme="minorHAnsi" w:hAnsiTheme="minorHAnsi" w:cstheme="minorHAnsi"/>
        </w:rPr>
        <w:t xml:space="preserve"> would have been clarified</w:t>
      </w:r>
      <w:r w:rsidR="00436E00" w:rsidRPr="00F971E7">
        <w:rPr>
          <w:rFonts w:asciiTheme="minorHAnsi" w:hAnsiTheme="minorHAnsi" w:cstheme="minorHAnsi"/>
        </w:rPr>
        <w:t xml:space="preserve"> </w:t>
      </w:r>
      <w:r w:rsidR="00BE1302" w:rsidRPr="00F971E7">
        <w:rPr>
          <w:rFonts w:asciiTheme="minorHAnsi" w:hAnsiTheme="minorHAnsi" w:cstheme="minorHAnsi"/>
        </w:rPr>
        <w:t>whilst</w:t>
      </w:r>
      <w:r w:rsidR="00436E00" w:rsidRPr="00F971E7">
        <w:rPr>
          <w:rFonts w:asciiTheme="minorHAnsi" w:hAnsiTheme="minorHAnsi" w:cstheme="minorHAnsi"/>
        </w:rPr>
        <w:t xml:space="preserve"> giving the basis of the Scheme </w:t>
      </w:r>
      <w:r w:rsidR="001B2C74" w:rsidRPr="00F971E7">
        <w:rPr>
          <w:rFonts w:asciiTheme="minorHAnsi" w:hAnsiTheme="minorHAnsi" w:cstheme="minorHAnsi"/>
        </w:rPr>
        <w:t xml:space="preserve">the clearest </w:t>
      </w:r>
      <w:r w:rsidR="00436E00" w:rsidRPr="00F971E7">
        <w:rPr>
          <w:rFonts w:asciiTheme="minorHAnsi" w:hAnsiTheme="minorHAnsi" w:cstheme="minorHAnsi"/>
        </w:rPr>
        <w:t>statutory authority</w:t>
      </w:r>
      <w:r w:rsidR="000F01B4" w:rsidRPr="00F971E7">
        <w:rPr>
          <w:rFonts w:asciiTheme="minorHAnsi" w:hAnsiTheme="minorHAnsi" w:cstheme="minorHAnsi"/>
        </w:rPr>
        <w:t xml:space="preserve">, b) there </w:t>
      </w:r>
      <w:r w:rsidR="00D011EB" w:rsidRPr="00F971E7">
        <w:rPr>
          <w:rFonts w:asciiTheme="minorHAnsi" w:hAnsiTheme="minorHAnsi" w:cstheme="minorHAnsi"/>
        </w:rPr>
        <w:t xml:space="preserve">would have been a statutory duty to consider wider/ ‘follow-up’ action to protect victims and </w:t>
      </w:r>
      <w:r w:rsidR="00D011EB" w:rsidRPr="00F971E7">
        <w:rPr>
          <w:rFonts w:asciiTheme="minorHAnsi" w:hAnsiTheme="minorHAnsi" w:cstheme="minorHAnsi"/>
        </w:rPr>
        <w:lastRenderedPageBreak/>
        <w:t xml:space="preserve">augment disclosures with other public protection measures, c) </w:t>
      </w:r>
      <w:r w:rsidR="004B57F8" w:rsidRPr="00F971E7">
        <w:rPr>
          <w:rFonts w:asciiTheme="minorHAnsi" w:hAnsiTheme="minorHAnsi" w:cstheme="minorHAnsi"/>
        </w:rPr>
        <w:t xml:space="preserve">police forces would </w:t>
      </w:r>
      <w:r w:rsidR="00D5443F" w:rsidRPr="00F971E7">
        <w:rPr>
          <w:rFonts w:asciiTheme="minorHAnsi" w:hAnsiTheme="minorHAnsi" w:cstheme="minorHAnsi"/>
        </w:rPr>
        <w:t>have</w:t>
      </w:r>
      <w:r w:rsidR="001B2C74" w:rsidRPr="00F971E7">
        <w:rPr>
          <w:rFonts w:asciiTheme="minorHAnsi" w:hAnsiTheme="minorHAnsi" w:cstheme="minorHAnsi"/>
        </w:rPr>
        <w:t xml:space="preserve"> needed</w:t>
      </w:r>
      <w:r w:rsidR="00D5443F" w:rsidRPr="00F971E7">
        <w:rPr>
          <w:rFonts w:asciiTheme="minorHAnsi" w:hAnsiTheme="minorHAnsi" w:cstheme="minorHAnsi"/>
        </w:rPr>
        <w:t xml:space="preserve"> to </w:t>
      </w:r>
      <w:r w:rsidR="00D011EB" w:rsidRPr="00F971E7">
        <w:rPr>
          <w:rFonts w:asciiTheme="minorHAnsi" w:hAnsiTheme="minorHAnsi" w:cstheme="minorHAnsi"/>
        </w:rPr>
        <w:t xml:space="preserve">consider the impact </w:t>
      </w:r>
      <w:r w:rsidR="00182B4F" w:rsidRPr="00F971E7">
        <w:rPr>
          <w:rFonts w:asciiTheme="minorHAnsi" w:hAnsiTheme="minorHAnsi" w:cstheme="minorHAnsi"/>
        </w:rPr>
        <w:t>disclosure</w:t>
      </w:r>
      <w:r w:rsidR="00D011EB" w:rsidRPr="00F971E7">
        <w:rPr>
          <w:rFonts w:asciiTheme="minorHAnsi" w:hAnsiTheme="minorHAnsi" w:cstheme="minorHAnsi"/>
        </w:rPr>
        <w:t>/non-disclosure would have with regard to children</w:t>
      </w:r>
      <w:r w:rsidR="007C1065" w:rsidRPr="00F971E7">
        <w:rPr>
          <w:rFonts w:asciiTheme="minorHAnsi" w:hAnsiTheme="minorHAnsi" w:cstheme="minorHAnsi"/>
        </w:rPr>
        <w:t xml:space="preserve"> who might be affected by the decision in some way</w:t>
      </w:r>
      <w:r w:rsidR="00A50EFA">
        <w:rPr>
          <w:rFonts w:asciiTheme="minorHAnsi" w:hAnsiTheme="minorHAnsi" w:cstheme="minorHAnsi"/>
        </w:rPr>
        <w:t>,</w:t>
      </w:r>
      <w:r w:rsidR="007C1065" w:rsidRPr="00F971E7">
        <w:rPr>
          <w:rFonts w:asciiTheme="minorHAnsi" w:hAnsiTheme="minorHAnsi" w:cstheme="minorHAnsi"/>
        </w:rPr>
        <w:t xml:space="preserve"> and </w:t>
      </w:r>
      <w:r w:rsidR="00A50EFA">
        <w:rPr>
          <w:rFonts w:asciiTheme="minorHAnsi" w:hAnsiTheme="minorHAnsi" w:cstheme="minorHAnsi"/>
        </w:rPr>
        <w:t xml:space="preserve">d) </w:t>
      </w:r>
      <w:r w:rsidR="00890675" w:rsidRPr="00F971E7">
        <w:rPr>
          <w:rFonts w:asciiTheme="minorHAnsi" w:hAnsiTheme="minorHAnsi" w:cstheme="minorHAnsi"/>
        </w:rPr>
        <w:t xml:space="preserve">the police </w:t>
      </w:r>
      <w:r w:rsidR="00260CD1" w:rsidRPr="00F971E7">
        <w:rPr>
          <w:rFonts w:asciiTheme="minorHAnsi" w:hAnsiTheme="minorHAnsi" w:cstheme="minorHAnsi"/>
        </w:rPr>
        <w:t xml:space="preserve">service </w:t>
      </w:r>
      <w:r w:rsidR="00D5443F" w:rsidRPr="00F971E7">
        <w:rPr>
          <w:rFonts w:asciiTheme="minorHAnsi" w:hAnsiTheme="minorHAnsi" w:cstheme="minorHAnsi"/>
        </w:rPr>
        <w:t xml:space="preserve">would need to </w:t>
      </w:r>
      <w:r w:rsidR="007C1065" w:rsidRPr="00F971E7">
        <w:rPr>
          <w:rFonts w:asciiTheme="minorHAnsi" w:hAnsiTheme="minorHAnsi" w:cstheme="minorHAnsi"/>
        </w:rPr>
        <w:t xml:space="preserve">undertake a review, at </w:t>
      </w:r>
      <w:r w:rsidR="00890675" w:rsidRPr="00F971E7">
        <w:rPr>
          <w:rFonts w:asciiTheme="minorHAnsi" w:hAnsiTheme="minorHAnsi" w:cstheme="minorHAnsi"/>
        </w:rPr>
        <w:t>a</w:t>
      </w:r>
      <w:r w:rsidR="007C1065" w:rsidRPr="00F971E7">
        <w:rPr>
          <w:rFonts w:asciiTheme="minorHAnsi" w:hAnsiTheme="minorHAnsi" w:cstheme="minorHAnsi"/>
        </w:rPr>
        <w:t xml:space="preserve"> </w:t>
      </w:r>
      <w:r w:rsidR="00260CD1" w:rsidRPr="00F971E7">
        <w:rPr>
          <w:rFonts w:asciiTheme="minorHAnsi" w:hAnsiTheme="minorHAnsi" w:cstheme="minorHAnsi"/>
        </w:rPr>
        <w:t xml:space="preserve">regional </w:t>
      </w:r>
      <w:r w:rsidR="007C1065" w:rsidRPr="00F971E7">
        <w:rPr>
          <w:rFonts w:asciiTheme="minorHAnsi" w:hAnsiTheme="minorHAnsi" w:cstheme="minorHAnsi"/>
        </w:rPr>
        <w:t xml:space="preserve">force-level, as to how the </w:t>
      </w:r>
      <w:r w:rsidR="00734E9C" w:rsidRPr="00F971E7">
        <w:rPr>
          <w:rFonts w:asciiTheme="minorHAnsi" w:hAnsiTheme="minorHAnsi" w:cstheme="minorHAnsi"/>
        </w:rPr>
        <w:t>DVDS is being operated.</w:t>
      </w:r>
      <w:r w:rsidR="004047ED" w:rsidRPr="00F971E7">
        <w:rPr>
          <w:rFonts w:asciiTheme="minorHAnsi" w:hAnsiTheme="minorHAnsi" w:cstheme="minorHAnsi"/>
        </w:rPr>
        <w:t xml:space="preserve"> </w:t>
      </w:r>
      <w:r w:rsidR="00F33A33" w:rsidRPr="00F971E7">
        <w:rPr>
          <w:rFonts w:asciiTheme="minorHAnsi" w:hAnsiTheme="minorHAnsi" w:cstheme="minorHAnsi"/>
        </w:rPr>
        <w:t xml:space="preserve">While </w:t>
      </w:r>
      <w:r w:rsidR="004047ED" w:rsidRPr="00F971E7">
        <w:rPr>
          <w:rFonts w:asciiTheme="minorHAnsi" w:hAnsiTheme="minorHAnsi" w:cstheme="minorHAnsi"/>
        </w:rPr>
        <w:t xml:space="preserve">Phillips’ amendment was not adopted in the Parliamentary process, </w:t>
      </w:r>
      <w:r w:rsidR="00F33A33" w:rsidRPr="00F971E7">
        <w:rPr>
          <w:rFonts w:asciiTheme="minorHAnsi" w:hAnsiTheme="minorHAnsi" w:cstheme="minorHAnsi"/>
        </w:rPr>
        <w:t xml:space="preserve">and </w:t>
      </w:r>
      <w:r w:rsidR="00002158" w:rsidRPr="00F971E7">
        <w:rPr>
          <w:rFonts w:asciiTheme="minorHAnsi" w:hAnsiTheme="minorHAnsi" w:cstheme="minorHAnsi"/>
        </w:rPr>
        <w:t xml:space="preserve">so there </w:t>
      </w:r>
      <w:r w:rsidR="005719C0">
        <w:rPr>
          <w:rFonts w:asciiTheme="minorHAnsi" w:hAnsiTheme="minorHAnsi" w:cstheme="minorHAnsi"/>
        </w:rPr>
        <w:t>is</w:t>
      </w:r>
      <w:r w:rsidR="00002158" w:rsidRPr="00F971E7">
        <w:rPr>
          <w:rFonts w:asciiTheme="minorHAnsi" w:hAnsiTheme="minorHAnsi" w:cstheme="minorHAnsi"/>
        </w:rPr>
        <w:t xml:space="preserve"> no statutory duty on regional police forces to undertake their own review of the DVDS in England and Wales, </w:t>
      </w:r>
      <w:r w:rsidR="00D759C7" w:rsidRPr="00F971E7">
        <w:rPr>
          <w:rFonts w:asciiTheme="minorHAnsi" w:hAnsiTheme="minorHAnsi" w:cstheme="minorHAnsi"/>
        </w:rPr>
        <w:t xml:space="preserve">Government ministers </w:t>
      </w:r>
      <w:r w:rsidR="00B2066C" w:rsidRPr="00F971E7">
        <w:rPr>
          <w:rFonts w:asciiTheme="minorHAnsi" w:hAnsiTheme="minorHAnsi" w:cstheme="minorHAnsi"/>
        </w:rPr>
        <w:t>did give</w:t>
      </w:r>
      <w:r w:rsidR="00D759C7" w:rsidRPr="00F971E7">
        <w:rPr>
          <w:rFonts w:asciiTheme="minorHAnsi" w:hAnsiTheme="minorHAnsi" w:cstheme="minorHAnsi"/>
        </w:rPr>
        <w:t xml:space="preserve"> assurances that the eventual DVDS </w:t>
      </w:r>
      <w:r w:rsidR="00B2066C" w:rsidRPr="00F971E7">
        <w:rPr>
          <w:rFonts w:asciiTheme="minorHAnsi" w:hAnsiTheme="minorHAnsi" w:cstheme="minorHAnsi"/>
        </w:rPr>
        <w:t xml:space="preserve">statutory </w:t>
      </w:r>
      <w:r w:rsidR="00D759C7" w:rsidRPr="00F971E7">
        <w:rPr>
          <w:rFonts w:asciiTheme="minorHAnsi" w:hAnsiTheme="minorHAnsi" w:cstheme="minorHAnsi"/>
        </w:rPr>
        <w:t>code of practice (the</w:t>
      </w:r>
      <w:r w:rsidR="00F87534" w:rsidRPr="00F971E7">
        <w:rPr>
          <w:rFonts w:asciiTheme="minorHAnsi" w:hAnsiTheme="minorHAnsi" w:cstheme="minorHAnsi"/>
        </w:rPr>
        <w:t xml:space="preserve"> </w:t>
      </w:r>
      <w:r w:rsidR="00D759C7" w:rsidRPr="00F971E7">
        <w:rPr>
          <w:rFonts w:asciiTheme="minorHAnsi" w:hAnsiTheme="minorHAnsi" w:cstheme="minorHAnsi"/>
        </w:rPr>
        <w:t>Code)</w:t>
      </w:r>
      <w:r w:rsidR="00F87534" w:rsidRPr="00F971E7">
        <w:rPr>
          <w:rFonts w:asciiTheme="minorHAnsi" w:hAnsiTheme="minorHAnsi" w:cstheme="minorHAnsi"/>
        </w:rPr>
        <w:t xml:space="preserve"> would cover </w:t>
      </w:r>
      <w:r w:rsidR="00890A36" w:rsidRPr="00F971E7">
        <w:rPr>
          <w:rFonts w:asciiTheme="minorHAnsi" w:hAnsiTheme="minorHAnsi" w:cstheme="minorHAnsi"/>
        </w:rPr>
        <w:t>particular issues</w:t>
      </w:r>
      <w:r w:rsidR="00D759C7" w:rsidRPr="00F971E7">
        <w:rPr>
          <w:rFonts w:asciiTheme="minorHAnsi" w:hAnsiTheme="minorHAnsi" w:cstheme="minorHAnsi"/>
        </w:rPr>
        <w:t xml:space="preserve">. </w:t>
      </w:r>
    </w:p>
    <w:p w14:paraId="490FDD10" w14:textId="0F782DE6" w:rsidR="00DE451D" w:rsidRPr="00F971E7" w:rsidRDefault="00DE0083" w:rsidP="00702F50">
      <w:pPr>
        <w:jc w:val="both"/>
        <w:rPr>
          <w:rFonts w:asciiTheme="minorHAnsi" w:hAnsiTheme="minorHAnsi" w:cstheme="minorHAnsi"/>
        </w:rPr>
      </w:pPr>
      <w:r w:rsidRPr="00F971E7">
        <w:rPr>
          <w:rFonts w:asciiTheme="minorHAnsi" w:hAnsiTheme="minorHAnsi" w:cstheme="minorHAnsi"/>
        </w:rPr>
        <w:t xml:space="preserve">Questions as to whether the DVDS can be demonstrated to be efficacious are </w:t>
      </w:r>
      <w:r w:rsidR="00DE451D" w:rsidRPr="00F971E7">
        <w:rPr>
          <w:rFonts w:asciiTheme="minorHAnsi" w:hAnsiTheme="minorHAnsi" w:cstheme="minorHAnsi"/>
        </w:rPr>
        <w:t>be</w:t>
      </w:r>
      <w:r w:rsidRPr="00F971E7">
        <w:rPr>
          <w:rFonts w:asciiTheme="minorHAnsi" w:hAnsiTheme="minorHAnsi" w:cstheme="minorHAnsi"/>
        </w:rPr>
        <w:t>yond the s</w:t>
      </w:r>
      <w:r w:rsidR="00DE451D" w:rsidRPr="00F971E7">
        <w:rPr>
          <w:rFonts w:asciiTheme="minorHAnsi" w:hAnsiTheme="minorHAnsi" w:cstheme="minorHAnsi"/>
        </w:rPr>
        <w:t>c</w:t>
      </w:r>
      <w:r w:rsidRPr="00F971E7">
        <w:rPr>
          <w:rFonts w:asciiTheme="minorHAnsi" w:hAnsiTheme="minorHAnsi" w:cstheme="minorHAnsi"/>
        </w:rPr>
        <w:t xml:space="preserve">ope of this article, but have been considered in published work, including in a key chapter of </w:t>
      </w:r>
      <w:r w:rsidR="002C430C">
        <w:rPr>
          <w:rFonts w:asciiTheme="minorHAnsi" w:hAnsiTheme="minorHAnsi" w:cstheme="minorHAnsi"/>
        </w:rPr>
        <w:t>the author’s</w:t>
      </w:r>
      <w:r w:rsidRPr="00F971E7">
        <w:rPr>
          <w:rFonts w:asciiTheme="minorHAnsi" w:hAnsiTheme="minorHAnsi" w:cstheme="minorHAnsi"/>
        </w:rPr>
        <w:t xml:space="preserve"> book</w:t>
      </w:r>
      <w:r w:rsidR="00C373F5">
        <w:rPr>
          <w:rFonts w:asciiTheme="minorHAnsi" w:hAnsiTheme="minorHAnsi" w:cstheme="minorHAnsi"/>
        </w:rPr>
        <w:t>.</w:t>
      </w:r>
      <w:r w:rsidR="00700B41" w:rsidRPr="00F971E7">
        <w:rPr>
          <w:rStyle w:val="FootnoteReference"/>
          <w:rFonts w:asciiTheme="minorHAnsi" w:hAnsiTheme="minorHAnsi" w:cstheme="minorHAnsi"/>
        </w:rPr>
        <w:footnoteReference w:id="13"/>
      </w:r>
      <w:r w:rsidR="004D5D03" w:rsidRPr="00F971E7">
        <w:rPr>
          <w:rFonts w:asciiTheme="minorHAnsi" w:hAnsiTheme="minorHAnsi" w:cstheme="minorHAnsi"/>
        </w:rPr>
        <w:t xml:space="preserve"> It is vital, however, to consider the bigger picture in terms of </w:t>
      </w:r>
      <w:r w:rsidR="0024135E" w:rsidRPr="00F971E7">
        <w:rPr>
          <w:rFonts w:asciiTheme="minorHAnsi" w:hAnsiTheme="minorHAnsi" w:cstheme="minorHAnsi"/>
        </w:rPr>
        <w:t xml:space="preserve">how the DVDS can contribute to the human rights law compliance </w:t>
      </w:r>
      <w:r w:rsidR="00DE451D" w:rsidRPr="00F971E7">
        <w:rPr>
          <w:rFonts w:asciiTheme="minorHAnsi" w:hAnsiTheme="minorHAnsi" w:cstheme="minorHAnsi"/>
        </w:rPr>
        <w:t xml:space="preserve">required </w:t>
      </w:r>
      <w:r w:rsidR="0024135E" w:rsidRPr="00F971E7">
        <w:rPr>
          <w:rFonts w:asciiTheme="minorHAnsi" w:hAnsiTheme="minorHAnsi" w:cstheme="minorHAnsi"/>
        </w:rPr>
        <w:t>of the criminal justice system in England and Wales</w:t>
      </w:r>
      <w:r w:rsidR="00DE451D" w:rsidRPr="00F971E7">
        <w:rPr>
          <w:rFonts w:asciiTheme="minorHAnsi" w:hAnsiTheme="minorHAnsi" w:cstheme="minorHAnsi"/>
        </w:rPr>
        <w:t xml:space="preserve">, especially given shifting case law standards in that area of the law. It is to those </w:t>
      </w:r>
      <w:r w:rsidR="002305F9" w:rsidRPr="00F971E7">
        <w:rPr>
          <w:rFonts w:asciiTheme="minorHAnsi" w:hAnsiTheme="minorHAnsi" w:cstheme="minorHAnsi"/>
        </w:rPr>
        <w:t xml:space="preserve">relevant European and domestic </w:t>
      </w:r>
      <w:r w:rsidR="00DE451D" w:rsidRPr="00F971E7">
        <w:rPr>
          <w:rFonts w:asciiTheme="minorHAnsi" w:hAnsiTheme="minorHAnsi" w:cstheme="minorHAnsi"/>
        </w:rPr>
        <w:t>human rights law standards, and more recent developments,</w:t>
      </w:r>
      <w:r w:rsidR="00A42917" w:rsidRPr="00F971E7">
        <w:rPr>
          <w:rFonts w:asciiTheme="minorHAnsi" w:hAnsiTheme="minorHAnsi" w:cstheme="minorHAnsi"/>
        </w:rPr>
        <w:t xml:space="preserve"> including the shortfall in public protection enforcement in terms of domestic abuse</w:t>
      </w:r>
      <w:r w:rsidR="00EF182E" w:rsidRPr="00F971E7">
        <w:rPr>
          <w:rFonts w:asciiTheme="minorHAnsi" w:hAnsiTheme="minorHAnsi" w:cstheme="minorHAnsi"/>
        </w:rPr>
        <w:t>-related prosecutions,</w:t>
      </w:r>
      <w:r w:rsidR="00DE451D" w:rsidRPr="00F971E7">
        <w:rPr>
          <w:rFonts w:asciiTheme="minorHAnsi" w:hAnsiTheme="minorHAnsi" w:cstheme="minorHAnsi"/>
        </w:rPr>
        <w:t xml:space="preserve"> that this article now turns.</w:t>
      </w:r>
    </w:p>
    <w:p w14:paraId="3B616BA2" w14:textId="5FBFB50F" w:rsidR="00F90C9E" w:rsidRPr="00F971E7" w:rsidRDefault="00F90C9E" w:rsidP="00702F50">
      <w:pPr>
        <w:spacing w:line="240" w:lineRule="auto"/>
        <w:jc w:val="both"/>
        <w:rPr>
          <w:rFonts w:asciiTheme="minorHAnsi" w:hAnsiTheme="minorHAnsi" w:cstheme="minorHAnsi"/>
        </w:rPr>
      </w:pPr>
    </w:p>
    <w:p w14:paraId="1AD8D5F4" w14:textId="6B26301C" w:rsidR="00DC638E" w:rsidRPr="00F971E7" w:rsidRDefault="00DC638E" w:rsidP="00702F50">
      <w:pPr>
        <w:spacing w:after="160" w:line="259" w:lineRule="auto"/>
        <w:jc w:val="both"/>
        <w:rPr>
          <w:rFonts w:asciiTheme="minorHAnsi" w:hAnsiTheme="minorHAnsi" w:cstheme="minorHAnsi"/>
        </w:rPr>
      </w:pPr>
    </w:p>
    <w:p w14:paraId="799E9159" w14:textId="77777777" w:rsidR="00DC638E" w:rsidRPr="00F971E7" w:rsidRDefault="00DC638E" w:rsidP="00702F50">
      <w:pPr>
        <w:jc w:val="both"/>
        <w:rPr>
          <w:rFonts w:asciiTheme="minorHAnsi" w:hAnsiTheme="minorHAnsi" w:cstheme="minorHAnsi"/>
        </w:rPr>
        <w:sectPr w:rsidR="00DC638E" w:rsidRPr="00F971E7" w:rsidSect="0005191E">
          <w:headerReference w:type="even" r:id="rId8"/>
          <w:headerReference w:type="default" r:id="rId9"/>
          <w:footerReference w:type="even" r:id="rId10"/>
          <w:footerReference w:type="default" r:id="rId11"/>
          <w:pgSz w:w="11906" w:h="16838"/>
          <w:pgMar w:top="1440" w:right="1440" w:bottom="1440" w:left="1440" w:header="709" w:footer="709" w:gutter="0"/>
          <w:cols w:space="708"/>
          <w:docGrid w:linePitch="360"/>
        </w:sectPr>
      </w:pPr>
    </w:p>
    <w:tbl>
      <w:tblPr>
        <w:tblpPr w:leftFromText="180" w:rightFromText="180" w:horzAnchor="margin" w:tblpY="420"/>
        <w:tblW w:w="12039" w:type="dxa"/>
        <w:tblCellMar>
          <w:left w:w="0" w:type="dxa"/>
          <w:right w:w="0" w:type="dxa"/>
        </w:tblCellMar>
        <w:tblLook w:val="04A0" w:firstRow="1" w:lastRow="0" w:firstColumn="1" w:lastColumn="0" w:noHBand="0" w:noVBand="1"/>
      </w:tblPr>
      <w:tblGrid>
        <w:gridCol w:w="897"/>
        <w:gridCol w:w="1246"/>
        <w:gridCol w:w="1150"/>
        <w:gridCol w:w="1310"/>
        <w:gridCol w:w="1246"/>
        <w:gridCol w:w="1150"/>
        <w:gridCol w:w="1310"/>
        <w:gridCol w:w="1309"/>
        <w:gridCol w:w="1145"/>
        <w:gridCol w:w="1276"/>
      </w:tblGrid>
      <w:tr w:rsidR="00E06493" w:rsidRPr="0097187E" w14:paraId="25ED6898" w14:textId="77777777" w:rsidTr="00E06493">
        <w:trPr>
          <w:trHeight w:val="1823"/>
        </w:trPr>
        <w:tc>
          <w:tcPr>
            <w:tcW w:w="897" w:type="dxa"/>
            <w:tcBorders>
              <w:top w:val="single" w:sz="8" w:space="0" w:color="FFFFFF"/>
              <w:left w:val="single" w:sz="8" w:space="0" w:color="FFFFFF"/>
              <w:bottom w:val="single" w:sz="24" w:space="0" w:color="FFFFFF"/>
              <w:right w:val="single" w:sz="8" w:space="0" w:color="FFFFFF"/>
            </w:tcBorders>
            <w:shd w:val="clear" w:color="auto" w:fill="8C8D86"/>
            <w:tcMar>
              <w:top w:w="15" w:type="dxa"/>
              <w:left w:w="108" w:type="dxa"/>
              <w:bottom w:w="0" w:type="dxa"/>
              <w:right w:w="108" w:type="dxa"/>
            </w:tcMar>
            <w:hideMark/>
          </w:tcPr>
          <w:p w14:paraId="533B045C" w14:textId="77777777" w:rsidR="005F1E8D" w:rsidRPr="00F1223D" w:rsidRDefault="005F1E8D" w:rsidP="00702F50">
            <w:pPr>
              <w:jc w:val="both"/>
              <w:rPr>
                <w:rFonts w:asciiTheme="minorHAnsi" w:eastAsia="Times New Roman" w:hAnsiTheme="minorHAnsi" w:cstheme="minorHAnsi"/>
                <w:sz w:val="20"/>
                <w:szCs w:val="20"/>
                <w:lang w:eastAsia="en-GB"/>
              </w:rPr>
            </w:pPr>
            <w:r w:rsidRPr="00F1223D">
              <w:rPr>
                <w:rFonts w:asciiTheme="minorHAnsi" w:eastAsia="Times New Roman" w:hAnsiTheme="minorHAnsi" w:cstheme="minorHAnsi"/>
                <w:b/>
                <w:bCs/>
                <w:color w:val="FFFFFF" w:themeColor="light1"/>
                <w:kern w:val="24"/>
                <w:sz w:val="20"/>
                <w:szCs w:val="20"/>
                <w:lang w:eastAsia="en-GB"/>
              </w:rPr>
              <w:lastRenderedPageBreak/>
              <w:t>Year to</w:t>
            </w:r>
          </w:p>
        </w:tc>
        <w:tc>
          <w:tcPr>
            <w:tcW w:w="1246" w:type="dxa"/>
            <w:tcBorders>
              <w:top w:val="single" w:sz="8" w:space="0" w:color="FFFFFF"/>
              <w:left w:val="single" w:sz="8" w:space="0" w:color="FFFFFF"/>
              <w:bottom w:val="single" w:sz="24" w:space="0" w:color="FFFFFF"/>
              <w:right w:val="single" w:sz="8" w:space="0" w:color="FFFFFF"/>
            </w:tcBorders>
            <w:shd w:val="clear" w:color="auto" w:fill="8C8D86"/>
            <w:tcMar>
              <w:top w:w="15" w:type="dxa"/>
              <w:left w:w="108" w:type="dxa"/>
              <w:bottom w:w="0" w:type="dxa"/>
              <w:right w:w="108" w:type="dxa"/>
            </w:tcMar>
            <w:hideMark/>
          </w:tcPr>
          <w:p w14:paraId="1A230F2C" w14:textId="71DE5569" w:rsidR="005F1E8D" w:rsidRPr="00F1223D" w:rsidRDefault="005F1E8D" w:rsidP="00702F50">
            <w:pPr>
              <w:jc w:val="both"/>
              <w:rPr>
                <w:rFonts w:asciiTheme="minorHAnsi" w:eastAsia="Times New Roman" w:hAnsiTheme="minorHAnsi" w:cstheme="minorHAnsi"/>
                <w:sz w:val="20"/>
                <w:szCs w:val="20"/>
                <w:lang w:eastAsia="en-GB"/>
              </w:rPr>
            </w:pPr>
            <w:r w:rsidRPr="00F1223D">
              <w:rPr>
                <w:rFonts w:asciiTheme="minorHAnsi" w:eastAsia="Times New Roman" w:hAnsiTheme="minorHAnsi" w:cstheme="minorHAnsi"/>
                <w:b/>
                <w:bCs/>
                <w:color w:val="FFFFFF" w:themeColor="light1"/>
                <w:kern w:val="24"/>
                <w:sz w:val="20"/>
                <w:szCs w:val="20"/>
                <w:lang w:eastAsia="en-GB"/>
              </w:rPr>
              <w:t>R</w:t>
            </w:r>
            <w:r w:rsidR="00E92CA4">
              <w:rPr>
                <w:rFonts w:asciiTheme="minorHAnsi" w:eastAsia="Times New Roman" w:hAnsiTheme="minorHAnsi" w:cstheme="minorHAnsi"/>
                <w:b/>
                <w:bCs/>
                <w:color w:val="FFFFFF" w:themeColor="light1"/>
                <w:kern w:val="24"/>
                <w:sz w:val="20"/>
                <w:szCs w:val="20"/>
                <w:lang w:eastAsia="en-GB"/>
              </w:rPr>
              <w:t xml:space="preserve">ight to </w:t>
            </w:r>
            <w:r w:rsidRPr="00F1223D">
              <w:rPr>
                <w:rFonts w:asciiTheme="minorHAnsi" w:eastAsia="Times New Roman" w:hAnsiTheme="minorHAnsi" w:cstheme="minorHAnsi"/>
                <w:b/>
                <w:bCs/>
                <w:color w:val="FFFFFF" w:themeColor="light1"/>
                <w:kern w:val="24"/>
                <w:sz w:val="20"/>
                <w:szCs w:val="20"/>
                <w:lang w:eastAsia="en-GB"/>
              </w:rPr>
              <w:t>A</w:t>
            </w:r>
            <w:r w:rsidR="00E92CA4">
              <w:rPr>
                <w:rFonts w:asciiTheme="minorHAnsi" w:eastAsia="Times New Roman" w:hAnsiTheme="minorHAnsi" w:cstheme="minorHAnsi"/>
                <w:b/>
                <w:bCs/>
                <w:color w:val="FFFFFF" w:themeColor="light1"/>
                <w:kern w:val="24"/>
                <w:sz w:val="20"/>
                <w:szCs w:val="20"/>
                <w:lang w:eastAsia="en-GB"/>
              </w:rPr>
              <w:t xml:space="preserve">sk </w:t>
            </w:r>
            <w:r w:rsidRPr="00F1223D">
              <w:rPr>
                <w:rFonts w:asciiTheme="minorHAnsi" w:eastAsia="Times New Roman" w:hAnsiTheme="minorHAnsi" w:cstheme="minorHAnsi"/>
                <w:b/>
                <w:bCs/>
                <w:color w:val="FFFFFF" w:themeColor="light1"/>
                <w:kern w:val="24"/>
                <w:sz w:val="20"/>
                <w:szCs w:val="20"/>
                <w:lang w:eastAsia="en-GB"/>
              </w:rPr>
              <w:t>App</w:t>
            </w:r>
            <w:r w:rsidR="00E06493">
              <w:rPr>
                <w:rFonts w:asciiTheme="minorHAnsi" w:eastAsia="Times New Roman" w:hAnsiTheme="minorHAnsi" w:cstheme="minorHAnsi"/>
                <w:b/>
                <w:bCs/>
                <w:color w:val="FFFFFF" w:themeColor="light1"/>
                <w:kern w:val="24"/>
                <w:sz w:val="20"/>
                <w:szCs w:val="20"/>
                <w:lang w:eastAsia="en-GB"/>
              </w:rPr>
              <w:t>lications</w:t>
            </w:r>
          </w:p>
        </w:tc>
        <w:tc>
          <w:tcPr>
            <w:tcW w:w="1150" w:type="dxa"/>
            <w:tcBorders>
              <w:top w:val="single" w:sz="8" w:space="0" w:color="FFFFFF"/>
              <w:left w:val="single" w:sz="8" w:space="0" w:color="FFFFFF"/>
              <w:bottom w:val="single" w:sz="24" w:space="0" w:color="FFFFFF"/>
              <w:right w:val="single" w:sz="8" w:space="0" w:color="FFFFFF"/>
            </w:tcBorders>
            <w:shd w:val="clear" w:color="auto" w:fill="8C8D86"/>
            <w:tcMar>
              <w:top w:w="15" w:type="dxa"/>
              <w:left w:w="108" w:type="dxa"/>
              <w:bottom w:w="0" w:type="dxa"/>
              <w:right w:w="108" w:type="dxa"/>
            </w:tcMar>
            <w:hideMark/>
          </w:tcPr>
          <w:p w14:paraId="4E09C4FA" w14:textId="1DFE15A7" w:rsidR="005F1E8D" w:rsidRPr="00F1223D" w:rsidRDefault="005F1E8D" w:rsidP="00E06493">
            <w:pPr>
              <w:rPr>
                <w:rFonts w:asciiTheme="minorHAnsi" w:eastAsia="Times New Roman" w:hAnsiTheme="minorHAnsi" w:cstheme="minorHAnsi"/>
                <w:sz w:val="20"/>
                <w:szCs w:val="20"/>
                <w:lang w:eastAsia="en-GB"/>
              </w:rPr>
            </w:pPr>
            <w:r w:rsidRPr="00F1223D">
              <w:rPr>
                <w:rFonts w:asciiTheme="minorHAnsi" w:eastAsia="Times New Roman" w:hAnsiTheme="minorHAnsi" w:cstheme="minorHAnsi"/>
                <w:b/>
                <w:bCs/>
                <w:color w:val="FFFFFF" w:themeColor="light1"/>
                <w:kern w:val="24"/>
                <w:sz w:val="20"/>
                <w:szCs w:val="20"/>
                <w:lang w:eastAsia="en-GB"/>
              </w:rPr>
              <w:t>R</w:t>
            </w:r>
            <w:r w:rsidR="00E92CA4">
              <w:rPr>
                <w:rFonts w:asciiTheme="minorHAnsi" w:eastAsia="Times New Roman" w:hAnsiTheme="minorHAnsi" w:cstheme="minorHAnsi"/>
                <w:b/>
                <w:bCs/>
                <w:color w:val="FFFFFF" w:themeColor="light1"/>
                <w:kern w:val="24"/>
                <w:sz w:val="20"/>
                <w:szCs w:val="20"/>
                <w:lang w:eastAsia="en-GB"/>
              </w:rPr>
              <w:t xml:space="preserve">ight </w:t>
            </w:r>
            <w:r w:rsidRPr="00F1223D">
              <w:rPr>
                <w:rFonts w:asciiTheme="minorHAnsi" w:eastAsia="Times New Roman" w:hAnsiTheme="minorHAnsi" w:cstheme="minorHAnsi"/>
                <w:b/>
                <w:bCs/>
                <w:color w:val="FFFFFF" w:themeColor="light1"/>
                <w:kern w:val="24"/>
                <w:sz w:val="20"/>
                <w:szCs w:val="20"/>
                <w:lang w:eastAsia="en-GB"/>
              </w:rPr>
              <w:t>t</w:t>
            </w:r>
            <w:r w:rsidR="001B2F47">
              <w:rPr>
                <w:rFonts w:asciiTheme="minorHAnsi" w:eastAsia="Times New Roman" w:hAnsiTheme="minorHAnsi" w:cstheme="minorHAnsi"/>
                <w:b/>
                <w:bCs/>
                <w:color w:val="FFFFFF" w:themeColor="light1"/>
                <w:kern w:val="24"/>
                <w:sz w:val="20"/>
                <w:szCs w:val="20"/>
                <w:lang w:eastAsia="en-GB"/>
              </w:rPr>
              <w:t xml:space="preserve">o </w:t>
            </w:r>
            <w:r w:rsidRPr="00F1223D">
              <w:rPr>
                <w:rFonts w:asciiTheme="minorHAnsi" w:eastAsia="Times New Roman" w:hAnsiTheme="minorHAnsi" w:cstheme="minorHAnsi"/>
                <w:b/>
                <w:bCs/>
                <w:color w:val="FFFFFF" w:themeColor="light1"/>
                <w:kern w:val="24"/>
                <w:sz w:val="20"/>
                <w:szCs w:val="20"/>
                <w:lang w:eastAsia="en-GB"/>
              </w:rPr>
              <w:t>A</w:t>
            </w:r>
            <w:r w:rsidR="001B2F47">
              <w:rPr>
                <w:rFonts w:asciiTheme="minorHAnsi" w:eastAsia="Times New Roman" w:hAnsiTheme="minorHAnsi" w:cstheme="minorHAnsi"/>
                <w:b/>
                <w:bCs/>
                <w:color w:val="FFFFFF" w:themeColor="light1"/>
                <w:kern w:val="24"/>
                <w:sz w:val="20"/>
                <w:szCs w:val="20"/>
                <w:lang w:eastAsia="en-GB"/>
              </w:rPr>
              <w:t>sk</w:t>
            </w:r>
            <w:r w:rsidRPr="00F1223D">
              <w:rPr>
                <w:rFonts w:asciiTheme="minorHAnsi" w:eastAsia="Times New Roman" w:hAnsiTheme="minorHAnsi" w:cstheme="minorHAnsi"/>
                <w:b/>
                <w:bCs/>
                <w:color w:val="FFFFFF" w:themeColor="light1"/>
                <w:kern w:val="24"/>
                <w:sz w:val="20"/>
                <w:szCs w:val="20"/>
                <w:lang w:eastAsia="en-GB"/>
              </w:rPr>
              <w:t xml:space="preserve"> Disc</w:t>
            </w:r>
            <w:r w:rsidR="00E06493">
              <w:rPr>
                <w:rFonts w:asciiTheme="minorHAnsi" w:eastAsia="Times New Roman" w:hAnsiTheme="minorHAnsi" w:cstheme="minorHAnsi"/>
                <w:b/>
                <w:bCs/>
                <w:color w:val="FFFFFF" w:themeColor="light1"/>
                <w:kern w:val="24"/>
                <w:sz w:val="20"/>
                <w:szCs w:val="20"/>
                <w:lang w:eastAsia="en-GB"/>
              </w:rPr>
              <w:t>losures</w:t>
            </w:r>
          </w:p>
        </w:tc>
        <w:tc>
          <w:tcPr>
            <w:tcW w:w="1310" w:type="dxa"/>
            <w:tcBorders>
              <w:top w:val="single" w:sz="8" w:space="0" w:color="FFFFFF"/>
              <w:left w:val="single" w:sz="8" w:space="0" w:color="FFFFFF"/>
              <w:bottom w:val="single" w:sz="24" w:space="0" w:color="FFFFFF"/>
              <w:right w:val="single" w:sz="8" w:space="0" w:color="FFFFFF"/>
            </w:tcBorders>
            <w:shd w:val="clear" w:color="auto" w:fill="8C8D86"/>
            <w:tcMar>
              <w:top w:w="15" w:type="dxa"/>
              <w:left w:w="108" w:type="dxa"/>
              <w:bottom w:w="0" w:type="dxa"/>
              <w:right w:w="108" w:type="dxa"/>
            </w:tcMar>
            <w:hideMark/>
          </w:tcPr>
          <w:p w14:paraId="67D69B49" w14:textId="728710E0" w:rsidR="005F1E8D" w:rsidRPr="00F1223D" w:rsidRDefault="005F1E8D" w:rsidP="00E06493">
            <w:pPr>
              <w:rPr>
                <w:rFonts w:asciiTheme="minorHAnsi" w:eastAsia="Times New Roman" w:hAnsiTheme="minorHAnsi" w:cstheme="minorHAnsi"/>
                <w:sz w:val="20"/>
                <w:szCs w:val="20"/>
                <w:lang w:eastAsia="en-GB"/>
              </w:rPr>
            </w:pPr>
            <w:r w:rsidRPr="00F1223D">
              <w:rPr>
                <w:rFonts w:asciiTheme="minorHAnsi" w:eastAsia="Times New Roman" w:hAnsiTheme="minorHAnsi" w:cstheme="minorHAnsi"/>
                <w:b/>
                <w:bCs/>
                <w:color w:val="FFFFFF" w:themeColor="light1"/>
                <w:kern w:val="24"/>
                <w:sz w:val="20"/>
                <w:szCs w:val="20"/>
                <w:lang w:eastAsia="en-GB"/>
              </w:rPr>
              <w:t>R</w:t>
            </w:r>
            <w:r w:rsidR="001B2F47">
              <w:rPr>
                <w:rFonts w:asciiTheme="minorHAnsi" w:eastAsia="Times New Roman" w:hAnsiTheme="minorHAnsi" w:cstheme="minorHAnsi"/>
                <w:b/>
                <w:bCs/>
                <w:color w:val="FFFFFF" w:themeColor="light1"/>
                <w:kern w:val="24"/>
                <w:sz w:val="20"/>
                <w:szCs w:val="20"/>
                <w:lang w:eastAsia="en-GB"/>
              </w:rPr>
              <w:t>igh</w:t>
            </w:r>
            <w:r w:rsidRPr="00F1223D">
              <w:rPr>
                <w:rFonts w:asciiTheme="minorHAnsi" w:eastAsia="Times New Roman" w:hAnsiTheme="minorHAnsi" w:cstheme="minorHAnsi"/>
                <w:b/>
                <w:bCs/>
                <w:color w:val="FFFFFF" w:themeColor="light1"/>
                <w:kern w:val="24"/>
                <w:sz w:val="20"/>
                <w:szCs w:val="20"/>
                <w:lang w:eastAsia="en-GB"/>
              </w:rPr>
              <w:t>t</w:t>
            </w:r>
            <w:r w:rsidR="001B2F47">
              <w:rPr>
                <w:rFonts w:asciiTheme="minorHAnsi" w:eastAsia="Times New Roman" w:hAnsiTheme="minorHAnsi" w:cstheme="minorHAnsi"/>
                <w:b/>
                <w:bCs/>
                <w:color w:val="FFFFFF" w:themeColor="light1"/>
                <w:kern w:val="24"/>
                <w:sz w:val="20"/>
                <w:szCs w:val="20"/>
                <w:lang w:eastAsia="en-GB"/>
              </w:rPr>
              <w:t xml:space="preserve"> to Ask </w:t>
            </w:r>
            <w:r w:rsidRPr="00F1223D">
              <w:rPr>
                <w:rFonts w:asciiTheme="minorHAnsi" w:eastAsia="Times New Roman" w:hAnsiTheme="minorHAnsi" w:cstheme="minorHAnsi"/>
                <w:b/>
                <w:bCs/>
                <w:color w:val="FFFFFF" w:themeColor="light1"/>
                <w:kern w:val="24"/>
                <w:sz w:val="20"/>
                <w:szCs w:val="20"/>
                <w:lang w:eastAsia="en-GB"/>
              </w:rPr>
              <w:t xml:space="preserve"> Disclosure Rate</w:t>
            </w:r>
          </w:p>
        </w:tc>
        <w:tc>
          <w:tcPr>
            <w:tcW w:w="1246" w:type="dxa"/>
            <w:tcBorders>
              <w:top w:val="single" w:sz="8" w:space="0" w:color="FFFFFF"/>
              <w:left w:val="single" w:sz="8" w:space="0" w:color="FFFFFF"/>
              <w:bottom w:val="single" w:sz="24" w:space="0" w:color="FFFFFF"/>
              <w:right w:val="single" w:sz="8" w:space="0" w:color="FFFFFF"/>
            </w:tcBorders>
            <w:shd w:val="clear" w:color="auto" w:fill="8C8D86"/>
            <w:tcMar>
              <w:top w:w="15" w:type="dxa"/>
              <w:left w:w="108" w:type="dxa"/>
              <w:bottom w:w="0" w:type="dxa"/>
              <w:right w:w="108" w:type="dxa"/>
            </w:tcMar>
            <w:hideMark/>
          </w:tcPr>
          <w:p w14:paraId="2F103203" w14:textId="1D53CED8" w:rsidR="005F1E8D" w:rsidRPr="00F1223D" w:rsidRDefault="005F1E8D" w:rsidP="00E06493">
            <w:pPr>
              <w:rPr>
                <w:rFonts w:asciiTheme="minorHAnsi" w:eastAsia="Times New Roman" w:hAnsiTheme="minorHAnsi" w:cstheme="minorHAnsi"/>
                <w:sz w:val="20"/>
                <w:szCs w:val="20"/>
                <w:lang w:eastAsia="en-GB"/>
              </w:rPr>
            </w:pPr>
            <w:r w:rsidRPr="00F1223D">
              <w:rPr>
                <w:rFonts w:asciiTheme="minorHAnsi" w:eastAsia="Times New Roman" w:hAnsiTheme="minorHAnsi" w:cstheme="minorHAnsi"/>
                <w:b/>
                <w:bCs/>
                <w:color w:val="FFFFFF" w:themeColor="light1"/>
                <w:kern w:val="24"/>
                <w:sz w:val="20"/>
                <w:szCs w:val="20"/>
                <w:lang w:eastAsia="en-GB"/>
              </w:rPr>
              <w:t>R</w:t>
            </w:r>
            <w:r w:rsidR="001B2F47">
              <w:rPr>
                <w:rFonts w:asciiTheme="minorHAnsi" w:eastAsia="Times New Roman" w:hAnsiTheme="minorHAnsi" w:cstheme="minorHAnsi"/>
                <w:b/>
                <w:bCs/>
                <w:color w:val="FFFFFF" w:themeColor="light1"/>
                <w:kern w:val="24"/>
                <w:sz w:val="20"/>
                <w:szCs w:val="20"/>
                <w:lang w:eastAsia="en-GB"/>
              </w:rPr>
              <w:t>igh</w:t>
            </w:r>
            <w:r w:rsidRPr="00F1223D">
              <w:rPr>
                <w:rFonts w:asciiTheme="minorHAnsi" w:eastAsia="Times New Roman" w:hAnsiTheme="minorHAnsi" w:cstheme="minorHAnsi"/>
                <w:b/>
                <w:bCs/>
                <w:color w:val="FFFFFF" w:themeColor="light1"/>
                <w:kern w:val="24"/>
                <w:sz w:val="20"/>
                <w:szCs w:val="20"/>
                <w:lang w:eastAsia="en-GB"/>
              </w:rPr>
              <w:t>t</w:t>
            </w:r>
            <w:r w:rsidR="001B2F47">
              <w:rPr>
                <w:rFonts w:asciiTheme="minorHAnsi" w:eastAsia="Times New Roman" w:hAnsiTheme="minorHAnsi" w:cstheme="minorHAnsi"/>
                <w:b/>
                <w:bCs/>
                <w:color w:val="FFFFFF" w:themeColor="light1"/>
                <w:kern w:val="24"/>
                <w:sz w:val="20"/>
                <w:szCs w:val="20"/>
                <w:lang w:eastAsia="en-GB"/>
              </w:rPr>
              <w:t xml:space="preserve"> to </w:t>
            </w:r>
            <w:r w:rsidRPr="00F1223D">
              <w:rPr>
                <w:rFonts w:asciiTheme="minorHAnsi" w:eastAsia="Times New Roman" w:hAnsiTheme="minorHAnsi" w:cstheme="minorHAnsi"/>
                <w:b/>
                <w:bCs/>
                <w:color w:val="FFFFFF" w:themeColor="light1"/>
                <w:kern w:val="24"/>
                <w:sz w:val="20"/>
                <w:szCs w:val="20"/>
                <w:lang w:eastAsia="en-GB"/>
              </w:rPr>
              <w:t>K</w:t>
            </w:r>
            <w:r w:rsidR="001B2F47">
              <w:rPr>
                <w:rFonts w:asciiTheme="minorHAnsi" w:eastAsia="Times New Roman" w:hAnsiTheme="minorHAnsi" w:cstheme="minorHAnsi"/>
                <w:b/>
                <w:bCs/>
                <w:color w:val="FFFFFF" w:themeColor="light1"/>
                <w:kern w:val="24"/>
                <w:sz w:val="20"/>
                <w:szCs w:val="20"/>
                <w:lang w:eastAsia="en-GB"/>
              </w:rPr>
              <w:t>now</w:t>
            </w:r>
            <w:r w:rsidRPr="00F1223D">
              <w:rPr>
                <w:rFonts w:asciiTheme="minorHAnsi" w:eastAsia="Times New Roman" w:hAnsiTheme="minorHAnsi" w:cstheme="minorHAnsi"/>
                <w:b/>
                <w:bCs/>
                <w:color w:val="FFFFFF" w:themeColor="light1"/>
                <w:kern w:val="24"/>
                <w:sz w:val="20"/>
                <w:szCs w:val="20"/>
                <w:lang w:eastAsia="en-GB"/>
              </w:rPr>
              <w:t xml:space="preserve"> App</w:t>
            </w:r>
            <w:r w:rsidR="00E06493">
              <w:rPr>
                <w:rFonts w:asciiTheme="minorHAnsi" w:eastAsia="Times New Roman" w:hAnsiTheme="minorHAnsi" w:cstheme="minorHAnsi"/>
                <w:b/>
                <w:bCs/>
                <w:color w:val="FFFFFF" w:themeColor="light1"/>
                <w:kern w:val="24"/>
                <w:sz w:val="20"/>
                <w:szCs w:val="20"/>
                <w:lang w:eastAsia="en-GB"/>
              </w:rPr>
              <w:t>lications</w:t>
            </w:r>
          </w:p>
        </w:tc>
        <w:tc>
          <w:tcPr>
            <w:tcW w:w="1150" w:type="dxa"/>
            <w:tcBorders>
              <w:top w:val="single" w:sz="8" w:space="0" w:color="FFFFFF"/>
              <w:left w:val="single" w:sz="8" w:space="0" w:color="FFFFFF"/>
              <w:bottom w:val="single" w:sz="24" w:space="0" w:color="FFFFFF"/>
              <w:right w:val="single" w:sz="8" w:space="0" w:color="FFFFFF"/>
            </w:tcBorders>
            <w:shd w:val="clear" w:color="auto" w:fill="8C8D86"/>
            <w:tcMar>
              <w:top w:w="15" w:type="dxa"/>
              <w:left w:w="108" w:type="dxa"/>
              <w:bottom w:w="0" w:type="dxa"/>
              <w:right w:w="108" w:type="dxa"/>
            </w:tcMar>
            <w:hideMark/>
          </w:tcPr>
          <w:p w14:paraId="1B5B658C" w14:textId="234DC9B2" w:rsidR="005F1E8D" w:rsidRPr="00F1223D" w:rsidRDefault="005F1E8D" w:rsidP="00E06493">
            <w:pPr>
              <w:rPr>
                <w:rFonts w:asciiTheme="minorHAnsi" w:eastAsia="Times New Roman" w:hAnsiTheme="minorHAnsi" w:cstheme="minorHAnsi"/>
                <w:sz w:val="20"/>
                <w:szCs w:val="20"/>
                <w:lang w:eastAsia="en-GB"/>
              </w:rPr>
            </w:pPr>
            <w:r w:rsidRPr="00F1223D">
              <w:rPr>
                <w:rFonts w:asciiTheme="minorHAnsi" w:eastAsia="Times New Roman" w:hAnsiTheme="minorHAnsi" w:cstheme="minorHAnsi"/>
                <w:b/>
                <w:bCs/>
                <w:color w:val="FFFFFF" w:themeColor="light1"/>
                <w:kern w:val="24"/>
                <w:sz w:val="20"/>
                <w:szCs w:val="20"/>
                <w:lang w:eastAsia="en-GB"/>
              </w:rPr>
              <w:t>R</w:t>
            </w:r>
            <w:r w:rsidR="001B2F47">
              <w:rPr>
                <w:rFonts w:asciiTheme="minorHAnsi" w:eastAsia="Times New Roman" w:hAnsiTheme="minorHAnsi" w:cstheme="minorHAnsi"/>
                <w:b/>
                <w:bCs/>
                <w:color w:val="FFFFFF" w:themeColor="light1"/>
                <w:kern w:val="24"/>
                <w:sz w:val="20"/>
                <w:szCs w:val="20"/>
                <w:lang w:eastAsia="en-GB"/>
              </w:rPr>
              <w:t xml:space="preserve">ight </w:t>
            </w:r>
            <w:r w:rsidRPr="00F1223D">
              <w:rPr>
                <w:rFonts w:asciiTheme="minorHAnsi" w:eastAsia="Times New Roman" w:hAnsiTheme="minorHAnsi" w:cstheme="minorHAnsi"/>
                <w:b/>
                <w:bCs/>
                <w:color w:val="FFFFFF" w:themeColor="light1"/>
                <w:kern w:val="24"/>
                <w:sz w:val="20"/>
                <w:szCs w:val="20"/>
                <w:lang w:eastAsia="en-GB"/>
              </w:rPr>
              <w:t>t</w:t>
            </w:r>
            <w:r w:rsidR="001B2F47">
              <w:rPr>
                <w:rFonts w:asciiTheme="minorHAnsi" w:eastAsia="Times New Roman" w:hAnsiTheme="minorHAnsi" w:cstheme="minorHAnsi"/>
                <w:b/>
                <w:bCs/>
                <w:color w:val="FFFFFF" w:themeColor="light1"/>
                <w:kern w:val="24"/>
                <w:sz w:val="20"/>
                <w:szCs w:val="20"/>
                <w:lang w:eastAsia="en-GB"/>
              </w:rPr>
              <w:t xml:space="preserve">o </w:t>
            </w:r>
            <w:r w:rsidRPr="00F1223D">
              <w:rPr>
                <w:rFonts w:asciiTheme="minorHAnsi" w:eastAsia="Times New Roman" w:hAnsiTheme="minorHAnsi" w:cstheme="minorHAnsi"/>
                <w:b/>
                <w:bCs/>
                <w:color w:val="FFFFFF" w:themeColor="light1"/>
                <w:kern w:val="24"/>
                <w:sz w:val="20"/>
                <w:szCs w:val="20"/>
                <w:lang w:eastAsia="en-GB"/>
              </w:rPr>
              <w:t>K</w:t>
            </w:r>
            <w:r w:rsidR="001B2F47">
              <w:rPr>
                <w:rFonts w:asciiTheme="minorHAnsi" w:eastAsia="Times New Roman" w:hAnsiTheme="minorHAnsi" w:cstheme="minorHAnsi"/>
                <w:b/>
                <w:bCs/>
                <w:color w:val="FFFFFF" w:themeColor="light1"/>
                <w:kern w:val="24"/>
                <w:sz w:val="20"/>
                <w:szCs w:val="20"/>
                <w:lang w:eastAsia="en-GB"/>
              </w:rPr>
              <w:t>now</w:t>
            </w:r>
            <w:r w:rsidRPr="00F1223D">
              <w:rPr>
                <w:rFonts w:asciiTheme="minorHAnsi" w:eastAsia="Times New Roman" w:hAnsiTheme="minorHAnsi" w:cstheme="minorHAnsi"/>
                <w:b/>
                <w:bCs/>
                <w:color w:val="FFFFFF" w:themeColor="light1"/>
                <w:kern w:val="24"/>
                <w:sz w:val="20"/>
                <w:szCs w:val="20"/>
                <w:lang w:eastAsia="en-GB"/>
              </w:rPr>
              <w:t xml:space="preserve"> Disc</w:t>
            </w:r>
            <w:r w:rsidR="00E06493">
              <w:rPr>
                <w:rFonts w:asciiTheme="minorHAnsi" w:eastAsia="Times New Roman" w:hAnsiTheme="minorHAnsi" w:cstheme="minorHAnsi"/>
                <w:b/>
                <w:bCs/>
                <w:color w:val="FFFFFF" w:themeColor="light1"/>
                <w:kern w:val="24"/>
                <w:sz w:val="20"/>
                <w:szCs w:val="20"/>
                <w:lang w:eastAsia="en-GB"/>
              </w:rPr>
              <w:t>losures</w:t>
            </w:r>
          </w:p>
        </w:tc>
        <w:tc>
          <w:tcPr>
            <w:tcW w:w="1310" w:type="dxa"/>
            <w:tcBorders>
              <w:top w:val="single" w:sz="8" w:space="0" w:color="FFFFFF"/>
              <w:left w:val="single" w:sz="8" w:space="0" w:color="FFFFFF"/>
              <w:bottom w:val="single" w:sz="24" w:space="0" w:color="FFFFFF"/>
              <w:right w:val="single" w:sz="8" w:space="0" w:color="FFFFFF"/>
            </w:tcBorders>
            <w:shd w:val="clear" w:color="auto" w:fill="8C8D86"/>
            <w:tcMar>
              <w:top w:w="15" w:type="dxa"/>
              <w:left w:w="108" w:type="dxa"/>
              <w:bottom w:w="0" w:type="dxa"/>
              <w:right w:w="108" w:type="dxa"/>
            </w:tcMar>
            <w:hideMark/>
          </w:tcPr>
          <w:p w14:paraId="1C537824" w14:textId="14B80836" w:rsidR="005F1E8D" w:rsidRPr="00F1223D" w:rsidRDefault="005F1E8D" w:rsidP="00E06493">
            <w:pPr>
              <w:rPr>
                <w:rFonts w:asciiTheme="minorHAnsi" w:eastAsia="Times New Roman" w:hAnsiTheme="minorHAnsi" w:cstheme="minorHAnsi"/>
                <w:sz w:val="20"/>
                <w:szCs w:val="20"/>
                <w:lang w:eastAsia="en-GB"/>
              </w:rPr>
            </w:pPr>
            <w:r w:rsidRPr="00F1223D">
              <w:rPr>
                <w:rFonts w:asciiTheme="minorHAnsi" w:eastAsia="Times New Roman" w:hAnsiTheme="minorHAnsi" w:cstheme="minorHAnsi"/>
                <w:b/>
                <w:bCs/>
                <w:color w:val="FFFFFF" w:themeColor="light1"/>
                <w:kern w:val="24"/>
                <w:sz w:val="20"/>
                <w:szCs w:val="20"/>
                <w:lang w:eastAsia="en-GB"/>
              </w:rPr>
              <w:t>R</w:t>
            </w:r>
            <w:r w:rsidR="001B2F47">
              <w:rPr>
                <w:rFonts w:asciiTheme="minorHAnsi" w:eastAsia="Times New Roman" w:hAnsiTheme="minorHAnsi" w:cstheme="minorHAnsi"/>
                <w:b/>
                <w:bCs/>
                <w:color w:val="FFFFFF" w:themeColor="light1"/>
                <w:kern w:val="24"/>
                <w:sz w:val="20"/>
                <w:szCs w:val="20"/>
                <w:lang w:eastAsia="en-GB"/>
              </w:rPr>
              <w:t xml:space="preserve">ight </w:t>
            </w:r>
            <w:r w:rsidRPr="00F1223D">
              <w:rPr>
                <w:rFonts w:asciiTheme="minorHAnsi" w:eastAsia="Times New Roman" w:hAnsiTheme="minorHAnsi" w:cstheme="minorHAnsi"/>
                <w:b/>
                <w:bCs/>
                <w:color w:val="FFFFFF" w:themeColor="light1"/>
                <w:kern w:val="24"/>
                <w:sz w:val="20"/>
                <w:szCs w:val="20"/>
                <w:lang w:eastAsia="en-GB"/>
              </w:rPr>
              <w:t>t</w:t>
            </w:r>
            <w:r w:rsidR="001B2F47">
              <w:rPr>
                <w:rFonts w:asciiTheme="minorHAnsi" w:eastAsia="Times New Roman" w:hAnsiTheme="minorHAnsi" w:cstheme="minorHAnsi"/>
                <w:b/>
                <w:bCs/>
                <w:color w:val="FFFFFF" w:themeColor="light1"/>
                <w:kern w:val="24"/>
                <w:sz w:val="20"/>
                <w:szCs w:val="20"/>
                <w:lang w:eastAsia="en-GB"/>
              </w:rPr>
              <w:t xml:space="preserve">o </w:t>
            </w:r>
            <w:r w:rsidRPr="00F1223D">
              <w:rPr>
                <w:rFonts w:asciiTheme="minorHAnsi" w:eastAsia="Times New Roman" w:hAnsiTheme="minorHAnsi" w:cstheme="minorHAnsi"/>
                <w:b/>
                <w:bCs/>
                <w:color w:val="FFFFFF" w:themeColor="light1"/>
                <w:kern w:val="24"/>
                <w:sz w:val="20"/>
                <w:szCs w:val="20"/>
                <w:lang w:eastAsia="en-GB"/>
              </w:rPr>
              <w:t>K</w:t>
            </w:r>
            <w:r w:rsidR="001B2F47">
              <w:rPr>
                <w:rFonts w:asciiTheme="minorHAnsi" w:eastAsia="Times New Roman" w:hAnsiTheme="minorHAnsi" w:cstheme="minorHAnsi"/>
                <w:b/>
                <w:bCs/>
                <w:color w:val="FFFFFF" w:themeColor="light1"/>
                <w:kern w:val="24"/>
                <w:sz w:val="20"/>
                <w:szCs w:val="20"/>
                <w:lang w:eastAsia="en-GB"/>
              </w:rPr>
              <w:t>now</w:t>
            </w:r>
            <w:r w:rsidRPr="00F1223D">
              <w:rPr>
                <w:rFonts w:asciiTheme="minorHAnsi" w:eastAsia="Times New Roman" w:hAnsiTheme="minorHAnsi" w:cstheme="minorHAnsi"/>
                <w:b/>
                <w:bCs/>
                <w:color w:val="FFFFFF" w:themeColor="light1"/>
                <w:kern w:val="24"/>
                <w:sz w:val="20"/>
                <w:szCs w:val="20"/>
                <w:lang w:eastAsia="en-GB"/>
              </w:rPr>
              <w:t xml:space="preserve"> Disclosure Rate</w:t>
            </w:r>
          </w:p>
        </w:tc>
        <w:tc>
          <w:tcPr>
            <w:tcW w:w="1309" w:type="dxa"/>
            <w:tcBorders>
              <w:top w:val="single" w:sz="8" w:space="0" w:color="FFFFFF"/>
              <w:left w:val="single" w:sz="8" w:space="0" w:color="FFFFFF"/>
              <w:bottom w:val="single" w:sz="24" w:space="0" w:color="FFFFFF"/>
              <w:right w:val="single" w:sz="8" w:space="0" w:color="FFFFFF"/>
            </w:tcBorders>
            <w:shd w:val="clear" w:color="auto" w:fill="8C8D86"/>
            <w:tcMar>
              <w:top w:w="15" w:type="dxa"/>
              <w:left w:w="15" w:type="dxa"/>
              <w:bottom w:w="0" w:type="dxa"/>
              <w:right w:w="15" w:type="dxa"/>
            </w:tcMar>
            <w:hideMark/>
          </w:tcPr>
          <w:p w14:paraId="4934AD1B" w14:textId="69318F8F" w:rsidR="005F1E8D" w:rsidRPr="00F1223D" w:rsidRDefault="005F1E8D" w:rsidP="00702F50">
            <w:pPr>
              <w:jc w:val="both"/>
              <w:rPr>
                <w:rFonts w:asciiTheme="minorHAnsi" w:eastAsia="Times New Roman" w:hAnsiTheme="minorHAnsi" w:cstheme="minorHAnsi"/>
                <w:sz w:val="20"/>
                <w:szCs w:val="20"/>
                <w:lang w:eastAsia="en-GB"/>
              </w:rPr>
            </w:pPr>
            <w:r w:rsidRPr="00F1223D">
              <w:rPr>
                <w:rFonts w:asciiTheme="minorHAnsi" w:eastAsia="Times New Roman" w:hAnsiTheme="minorHAnsi" w:cstheme="minorHAnsi"/>
                <w:b/>
                <w:bCs/>
                <w:color w:val="FFFFFF" w:themeColor="light1"/>
                <w:kern w:val="24"/>
                <w:sz w:val="20"/>
                <w:szCs w:val="20"/>
                <w:lang w:eastAsia="en-GB"/>
              </w:rPr>
              <w:t>Total App</w:t>
            </w:r>
            <w:r w:rsidR="00E06493">
              <w:rPr>
                <w:rFonts w:asciiTheme="minorHAnsi" w:eastAsia="Times New Roman" w:hAnsiTheme="minorHAnsi" w:cstheme="minorHAnsi"/>
                <w:b/>
                <w:bCs/>
                <w:color w:val="FFFFFF" w:themeColor="light1"/>
                <w:kern w:val="24"/>
                <w:sz w:val="20"/>
                <w:szCs w:val="20"/>
                <w:lang w:eastAsia="en-GB"/>
              </w:rPr>
              <w:t>lications</w:t>
            </w:r>
          </w:p>
        </w:tc>
        <w:tc>
          <w:tcPr>
            <w:tcW w:w="1145" w:type="dxa"/>
            <w:tcBorders>
              <w:top w:val="single" w:sz="8" w:space="0" w:color="FFFFFF"/>
              <w:left w:val="single" w:sz="8" w:space="0" w:color="FFFFFF"/>
              <w:bottom w:val="single" w:sz="24" w:space="0" w:color="FFFFFF"/>
              <w:right w:val="single" w:sz="8" w:space="0" w:color="FFFFFF"/>
            </w:tcBorders>
            <w:shd w:val="clear" w:color="auto" w:fill="8C8D86"/>
            <w:tcMar>
              <w:top w:w="15" w:type="dxa"/>
              <w:left w:w="15" w:type="dxa"/>
              <w:bottom w:w="0" w:type="dxa"/>
              <w:right w:w="15" w:type="dxa"/>
            </w:tcMar>
            <w:hideMark/>
          </w:tcPr>
          <w:p w14:paraId="04E1CF36" w14:textId="77777777" w:rsidR="005F1E8D" w:rsidRPr="00F1223D" w:rsidRDefault="005F1E8D" w:rsidP="00702F50">
            <w:pPr>
              <w:jc w:val="both"/>
              <w:rPr>
                <w:rFonts w:asciiTheme="minorHAnsi" w:eastAsia="Times New Roman" w:hAnsiTheme="minorHAnsi" w:cstheme="minorHAnsi"/>
                <w:sz w:val="20"/>
                <w:szCs w:val="20"/>
                <w:lang w:eastAsia="en-GB"/>
              </w:rPr>
            </w:pPr>
            <w:r w:rsidRPr="00F1223D">
              <w:rPr>
                <w:rFonts w:asciiTheme="minorHAnsi" w:eastAsia="Times New Roman" w:hAnsiTheme="minorHAnsi" w:cstheme="minorHAnsi"/>
                <w:b/>
                <w:bCs/>
                <w:color w:val="FFFFFF" w:themeColor="light1"/>
                <w:kern w:val="24"/>
                <w:sz w:val="20"/>
                <w:szCs w:val="20"/>
                <w:lang w:eastAsia="en-GB"/>
              </w:rPr>
              <w:t>Total Disclosures</w:t>
            </w:r>
          </w:p>
        </w:tc>
        <w:tc>
          <w:tcPr>
            <w:tcW w:w="1276" w:type="dxa"/>
            <w:tcBorders>
              <w:top w:val="single" w:sz="8" w:space="0" w:color="FFFFFF"/>
              <w:left w:val="single" w:sz="8" w:space="0" w:color="FFFFFF"/>
              <w:bottom w:val="single" w:sz="24" w:space="0" w:color="FFFFFF"/>
              <w:right w:val="single" w:sz="8" w:space="0" w:color="FFFFFF"/>
            </w:tcBorders>
            <w:shd w:val="clear" w:color="auto" w:fill="8C8D86"/>
            <w:tcMar>
              <w:top w:w="15" w:type="dxa"/>
              <w:left w:w="15" w:type="dxa"/>
              <w:bottom w:w="0" w:type="dxa"/>
              <w:right w:w="15" w:type="dxa"/>
            </w:tcMar>
            <w:hideMark/>
          </w:tcPr>
          <w:p w14:paraId="65D6FB65" w14:textId="77777777" w:rsidR="005F1E8D" w:rsidRPr="00F1223D" w:rsidRDefault="005F1E8D" w:rsidP="00702F50">
            <w:pPr>
              <w:jc w:val="both"/>
              <w:rPr>
                <w:rFonts w:asciiTheme="minorHAnsi" w:eastAsia="Times New Roman" w:hAnsiTheme="minorHAnsi" w:cstheme="minorHAnsi"/>
                <w:sz w:val="20"/>
                <w:szCs w:val="20"/>
                <w:lang w:eastAsia="en-GB"/>
              </w:rPr>
            </w:pPr>
            <w:r w:rsidRPr="00F1223D">
              <w:rPr>
                <w:rFonts w:asciiTheme="minorHAnsi" w:eastAsia="Times New Roman" w:hAnsiTheme="minorHAnsi" w:cstheme="minorHAnsi"/>
                <w:b/>
                <w:bCs/>
                <w:color w:val="FFFFFF" w:themeColor="light1"/>
                <w:kern w:val="24"/>
                <w:sz w:val="20"/>
                <w:szCs w:val="20"/>
                <w:lang w:eastAsia="en-GB"/>
              </w:rPr>
              <w:t>Overall Disclosure Rate</w:t>
            </w:r>
          </w:p>
        </w:tc>
      </w:tr>
      <w:tr w:rsidR="00E06493" w:rsidRPr="0097187E" w14:paraId="7C736AC0" w14:textId="77777777" w:rsidTr="00E06493">
        <w:trPr>
          <w:trHeight w:val="662"/>
        </w:trPr>
        <w:tc>
          <w:tcPr>
            <w:tcW w:w="897" w:type="dxa"/>
            <w:tcBorders>
              <w:top w:val="single" w:sz="24" w:space="0" w:color="FFFFFF"/>
              <w:left w:val="single" w:sz="8" w:space="0" w:color="FFFFFF"/>
              <w:bottom w:val="single" w:sz="8" w:space="0" w:color="FFFFFF"/>
              <w:right w:val="single" w:sz="8" w:space="0" w:color="FFFFFF"/>
            </w:tcBorders>
            <w:shd w:val="clear" w:color="auto" w:fill="8C8D86"/>
            <w:tcMar>
              <w:top w:w="15" w:type="dxa"/>
              <w:left w:w="108" w:type="dxa"/>
              <w:bottom w:w="0" w:type="dxa"/>
              <w:right w:w="108" w:type="dxa"/>
            </w:tcMar>
            <w:hideMark/>
          </w:tcPr>
          <w:p w14:paraId="1FD25308" w14:textId="77777777" w:rsidR="005F1E8D" w:rsidRPr="00F1223D" w:rsidRDefault="005F1E8D" w:rsidP="00702F50">
            <w:pPr>
              <w:jc w:val="both"/>
              <w:rPr>
                <w:rFonts w:asciiTheme="minorHAnsi" w:eastAsia="Times New Roman" w:hAnsiTheme="minorHAnsi" w:cstheme="minorHAnsi"/>
                <w:sz w:val="20"/>
                <w:szCs w:val="20"/>
                <w:lang w:eastAsia="en-GB"/>
              </w:rPr>
            </w:pPr>
            <w:r w:rsidRPr="00F1223D">
              <w:rPr>
                <w:rFonts w:asciiTheme="minorHAnsi" w:eastAsia="Times New Roman" w:hAnsiTheme="minorHAnsi" w:cstheme="minorHAnsi"/>
                <w:b/>
                <w:bCs/>
                <w:color w:val="FFFFFF" w:themeColor="light1"/>
                <w:kern w:val="24"/>
                <w:sz w:val="20"/>
                <w:szCs w:val="20"/>
                <w:lang w:eastAsia="en-GB"/>
              </w:rPr>
              <w:t>March 2017</w:t>
            </w:r>
          </w:p>
        </w:tc>
        <w:tc>
          <w:tcPr>
            <w:tcW w:w="1246" w:type="dxa"/>
            <w:tcBorders>
              <w:top w:val="single" w:sz="24" w:space="0" w:color="FFFFFF"/>
              <w:left w:val="single" w:sz="8" w:space="0" w:color="FFFFFF"/>
              <w:bottom w:val="single" w:sz="8" w:space="0" w:color="FFFFFF"/>
              <w:right w:val="single" w:sz="8" w:space="0" w:color="FFFFFF"/>
            </w:tcBorders>
            <w:shd w:val="clear" w:color="auto" w:fill="DBDBD9"/>
            <w:tcMar>
              <w:top w:w="15" w:type="dxa"/>
              <w:left w:w="108" w:type="dxa"/>
              <w:bottom w:w="0" w:type="dxa"/>
              <w:right w:w="108" w:type="dxa"/>
            </w:tcMar>
            <w:hideMark/>
          </w:tcPr>
          <w:p w14:paraId="62C81C24" w14:textId="77777777" w:rsidR="005F1E8D" w:rsidRPr="00F1223D" w:rsidRDefault="005F1E8D" w:rsidP="00702F50">
            <w:pPr>
              <w:jc w:val="both"/>
              <w:rPr>
                <w:rFonts w:asciiTheme="minorHAnsi" w:eastAsia="Times New Roman" w:hAnsiTheme="minorHAnsi" w:cstheme="minorHAnsi"/>
                <w:sz w:val="20"/>
                <w:szCs w:val="20"/>
                <w:lang w:eastAsia="en-GB"/>
              </w:rPr>
            </w:pPr>
            <w:r w:rsidRPr="00F1223D">
              <w:rPr>
                <w:rFonts w:asciiTheme="minorHAnsi" w:eastAsia="Times New Roman" w:hAnsiTheme="minorHAnsi" w:cstheme="minorHAnsi"/>
                <w:b/>
                <w:bCs/>
                <w:color w:val="000000" w:themeColor="dark1"/>
                <w:kern w:val="24"/>
                <w:sz w:val="20"/>
                <w:szCs w:val="20"/>
                <w:lang w:eastAsia="en-GB"/>
              </w:rPr>
              <w:t>3045</w:t>
            </w:r>
          </w:p>
        </w:tc>
        <w:tc>
          <w:tcPr>
            <w:tcW w:w="1150" w:type="dxa"/>
            <w:tcBorders>
              <w:top w:val="single" w:sz="24" w:space="0" w:color="FFFFFF"/>
              <w:left w:val="single" w:sz="8" w:space="0" w:color="FFFFFF"/>
              <w:bottom w:val="single" w:sz="8" w:space="0" w:color="FFFFFF"/>
              <w:right w:val="single" w:sz="8" w:space="0" w:color="FFFFFF"/>
            </w:tcBorders>
            <w:shd w:val="clear" w:color="auto" w:fill="DBDBD9"/>
            <w:tcMar>
              <w:top w:w="15" w:type="dxa"/>
              <w:left w:w="108" w:type="dxa"/>
              <w:bottom w:w="0" w:type="dxa"/>
              <w:right w:w="108" w:type="dxa"/>
            </w:tcMar>
            <w:hideMark/>
          </w:tcPr>
          <w:p w14:paraId="31EC80CC" w14:textId="77777777" w:rsidR="005F1E8D" w:rsidRPr="00F1223D" w:rsidRDefault="005F1E8D" w:rsidP="00702F50">
            <w:pPr>
              <w:jc w:val="both"/>
              <w:rPr>
                <w:rFonts w:asciiTheme="minorHAnsi" w:eastAsia="Times New Roman" w:hAnsiTheme="minorHAnsi" w:cstheme="minorHAnsi"/>
                <w:sz w:val="20"/>
                <w:szCs w:val="20"/>
                <w:lang w:eastAsia="en-GB"/>
              </w:rPr>
            </w:pPr>
            <w:r w:rsidRPr="00F1223D">
              <w:rPr>
                <w:rFonts w:asciiTheme="minorHAnsi" w:eastAsia="Times New Roman" w:hAnsiTheme="minorHAnsi" w:cstheme="minorHAnsi"/>
                <w:b/>
                <w:bCs/>
                <w:color w:val="000000" w:themeColor="dark1"/>
                <w:kern w:val="24"/>
                <w:sz w:val="20"/>
                <w:szCs w:val="20"/>
                <w:lang w:eastAsia="en-GB"/>
              </w:rPr>
              <w:t>972</w:t>
            </w:r>
          </w:p>
        </w:tc>
        <w:tc>
          <w:tcPr>
            <w:tcW w:w="1310" w:type="dxa"/>
            <w:tcBorders>
              <w:top w:val="single" w:sz="24" w:space="0" w:color="FFFFFF"/>
              <w:left w:val="single" w:sz="8" w:space="0" w:color="FFFFFF"/>
              <w:bottom w:val="single" w:sz="8" w:space="0" w:color="FFFFFF"/>
              <w:right w:val="single" w:sz="8" w:space="0" w:color="FFFFFF"/>
            </w:tcBorders>
            <w:shd w:val="clear" w:color="auto" w:fill="DBDBD9"/>
            <w:tcMar>
              <w:top w:w="15" w:type="dxa"/>
              <w:left w:w="108" w:type="dxa"/>
              <w:bottom w:w="0" w:type="dxa"/>
              <w:right w:w="108" w:type="dxa"/>
            </w:tcMar>
            <w:hideMark/>
          </w:tcPr>
          <w:p w14:paraId="5915E547" w14:textId="77777777" w:rsidR="005F1E8D" w:rsidRPr="00F1223D" w:rsidRDefault="005F1E8D" w:rsidP="00702F50">
            <w:pPr>
              <w:jc w:val="both"/>
              <w:rPr>
                <w:rFonts w:asciiTheme="minorHAnsi" w:eastAsia="Times New Roman" w:hAnsiTheme="minorHAnsi" w:cstheme="minorHAnsi"/>
                <w:sz w:val="20"/>
                <w:szCs w:val="20"/>
                <w:lang w:eastAsia="en-GB"/>
              </w:rPr>
            </w:pPr>
            <w:r w:rsidRPr="00F1223D">
              <w:rPr>
                <w:rFonts w:asciiTheme="minorHAnsi" w:eastAsia="Times New Roman" w:hAnsiTheme="minorHAnsi" w:cstheme="minorHAnsi"/>
                <w:b/>
                <w:bCs/>
                <w:color w:val="000000" w:themeColor="dark1"/>
                <w:kern w:val="24"/>
                <w:sz w:val="20"/>
                <w:szCs w:val="20"/>
                <w:lang w:eastAsia="en-GB"/>
              </w:rPr>
              <w:t>31.9%</w:t>
            </w:r>
          </w:p>
        </w:tc>
        <w:tc>
          <w:tcPr>
            <w:tcW w:w="1246" w:type="dxa"/>
            <w:tcBorders>
              <w:top w:val="single" w:sz="24" w:space="0" w:color="FFFFFF"/>
              <w:left w:val="single" w:sz="8" w:space="0" w:color="FFFFFF"/>
              <w:bottom w:val="single" w:sz="8" w:space="0" w:color="FFFFFF"/>
              <w:right w:val="single" w:sz="8" w:space="0" w:color="FFFFFF"/>
            </w:tcBorders>
            <w:shd w:val="clear" w:color="auto" w:fill="DBDBD9"/>
            <w:tcMar>
              <w:top w:w="15" w:type="dxa"/>
              <w:left w:w="108" w:type="dxa"/>
              <w:bottom w:w="0" w:type="dxa"/>
              <w:right w:w="108" w:type="dxa"/>
            </w:tcMar>
            <w:hideMark/>
          </w:tcPr>
          <w:p w14:paraId="3809C676" w14:textId="77777777" w:rsidR="005F1E8D" w:rsidRPr="00F1223D" w:rsidRDefault="005F1E8D" w:rsidP="00702F50">
            <w:pPr>
              <w:jc w:val="both"/>
              <w:rPr>
                <w:rFonts w:asciiTheme="minorHAnsi" w:eastAsia="Times New Roman" w:hAnsiTheme="minorHAnsi" w:cstheme="minorHAnsi"/>
                <w:sz w:val="20"/>
                <w:szCs w:val="20"/>
                <w:lang w:eastAsia="en-GB"/>
              </w:rPr>
            </w:pPr>
            <w:r w:rsidRPr="00F1223D">
              <w:rPr>
                <w:rFonts w:asciiTheme="minorHAnsi" w:eastAsia="Times New Roman" w:hAnsiTheme="minorHAnsi" w:cstheme="minorHAnsi"/>
                <w:b/>
                <w:bCs/>
                <w:color w:val="000000" w:themeColor="dark1"/>
                <w:kern w:val="24"/>
                <w:sz w:val="20"/>
                <w:szCs w:val="20"/>
                <w:lang w:eastAsia="en-GB"/>
              </w:rPr>
              <w:t>5445</w:t>
            </w:r>
          </w:p>
        </w:tc>
        <w:tc>
          <w:tcPr>
            <w:tcW w:w="1150" w:type="dxa"/>
            <w:tcBorders>
              <w:top w:val="single" w:sz="24" w:space="0" w:color="FFFFFF"/>
              <w:left w:val="single" w:sz="8" w:space="0" w:color="FFFFFF"/>
              <w:bottom w:val="single" w:sz="8" w:space="0" w:color="FFFFFF"/>
              <w:right w:val="single" w:sz="8" w:space="0" w:color="FFFFFF"/>
            </w:tcBorders>
            <w:shd w:val="clear" w:color="auto" w:fill="DBDBD9"/>
            <w:tcMar>
              <w:top w:w="15" w:type="dxa"/>
              <w:left w:w="108" w:type="dxa"/>
              <w:bottom w:w="0" w:type="dxa"/>
              <w:right w:w="108" w:type="dxa"/>
            </w:tcMar>
            <w:hideMark/>
          </w:tcPr>
          <w:p w14:paraId="6A0F6565" w14:textId="77777777" w:rsidR="005F1E8D" w:rsidRPr="00F1223D" w:rsidRDefault="005F1E8D" w:rsidP="00702F50">
            <w:pPr>
              <w:jc w:val="both"/>
              <w:rPr>
                <w:rFonts w:asciiTheme="minorHAnsi" w:eastAsia="Times New Roman" w:hAnsiTheme="minorHAnsi" w:cstheme="minorHAnsi"/>
                <w:sz w:val="20"/>
                <w:szCs w:val="20"/>
                <w:lang w:eastAsia="en-GB"/>
              </w:rPr>
            </w:pPr>
            <w:r w:rsidRPr="00F1223D">
              <w:rPr>
                <w:rFonts w:asciiTheme="minorHAnsi" w:eastAsia="Times New Roman" w:hAnsiTheme="minorHAnsi" w:cstheme="minorHAnsi"/>
                <w:b/>
                <w:bCs/>
                <w:color w:val="000000" w:themeColor="dark1"/>
                <w:kern w:val="24"/>
                <w:sz w:val="20"/>
                <w:szCs w:val="20"/>
                <w:lang w:eastAsia="en-GB"/>
              </w:rPr>
              <w:t>2438</w:t>
            </w:r>
          </w:p>
        </w:tc>
        <w:tc>
          <w:tcPr>
            <w:tcW w:w="1310" w:type="dxa"/>
            <w:tcBorders>
              <w:top w:val="single" w:sz="24" w:space="0" w:color="FFFFFF"/>
              <w:left w:val="single" w:sz="8" w:space="0" w:color="FFFFFF"/>
              <w:bottom w:val="single" w:sz="8" w:space="0" w:color="FFFFFF"/>
              <w:right w:val="single" w:sz="8" w:space="0" w:color="FFFFFF"/>
            </w:tcBorders>
            <w:shd w:val="clear" w:color="auto" w:fill="DBDBD9"/>
            <w:tcMar>
              <w:top w:w="15" w:type="dxa"/>
              <w:left w:w="108" w:type="dxa"/>
              <w:bottom w:w="0" w:type="dxa"/>
              <w:right w:w="108" w:type="dxa"/>
            </w:tcMar>
            <w:hideMark/>
          </w:tcPr>
          <w:p w14:paraId="6BB1CD4C" w14:textId="77777777" w:rsidR="005F1E8D" w:rsidRPr="00F1223D" w:rsidRDefault="005F1E8D" w:rsidP="00702F50">
            <w:pPr>
              <w:jc w:val="both"/>
              <w:rPr>
                <w:rFonts w:asciiTheme="minorHAnsi" w:eastAsia="Times New Roman" w:hAnsiTheme="minorHAnsi" w:cstheme="minorHAnsi"/>
                <w:sz w:val="20"/>
                <w:szCs w:val="20"/>
                <w:lang w:eastAsia="en-GB"/>
              </w:rPr>
            </w:pPr>
            <w:r w:rsidRPr="00F1223D">
              <w:rPr>
                <w:rFonts w:asciiTheme="minorHAnsi" w:eastAsia="Times New Roman" w:hAnsiTheme="minorHAnsi" w:cstheme="minorHAnsi"/>
                <w:b/>
                <w:bCs/>
                <w:color w:val="000000" w:themeColor="dark1"/>
                <w:kern w:val="24"/>
                <w:sz w:val="20"/>
                <w:szCs w:val="20"/>
                <w:lang w:eastAsia="en-GB"/>
              </w:rPr>
              <w:t>44.8%</w:t>
            </w:r>
          </w:p>
        </w:tc>
        <w:tc>
          <w:tcPr>
            <w:tcW w:w="1309" w:type="dxa"/>
            <w:tcBorders>
              <w:top w:val="single" w:sz="24" w:space="0" w:color="FFFFFF"/>
              <w:left w:val="single" w:sz="8" w:space="0" w:color="FFFFFF"/>
              <w:bottom w:val="single" w:sz="8" w:space="0" w:color="FFFFFF"/>
              <w:right w:val="single" w:sz="8" w:space="0" w:color="FFFFFF"/>
            </w:tcBorders>
            <w:shd w:val="clear" w:color="auto" w:fill="DBDBD9"/>
            <w:tcMar>
              <w:top w:w="15" w:type="dxa"/>
              <w:left w:w="15" w:type="dxa"/>
              <w:bottom w:w="0" w:type="dxa"/>
              <w:right w:w="15" w:type="dxa"/>
            </w:tcMar>
            <w:hideMark/>
          </w:tcPr>
          <w:p w14:paraId="1F1DD53F" w14:textId="77777777" w:rsidR="005F1E8D" w:rsidRPr="00F1223D" w:rsidRDefault="005F1E8D" w:rsidP="00702F50">
            <w:pPr>
              <w:jc w:val="both"/>
              <w:rPr>
                <w:rFonts w:asciiTheme="minorHAnsi" w:eastAsia="Times New Roman" w:hAnsiTheme="minorHAnsi" w:cstheme="minorHAnsi"/>
                <w:sz w:val="20"/>
                <w:szCs w:val="20"/>
                <w:lang w:eastAsia="en-GB"/>
              </w:rPr>
            </w:pPr>
            <w:r w:rsidRPr="00F1223D">
              <w:rPr>
                <w:rFonts w:asciiTheme="minorHAnsi" w:eastAsia="Times New Roman" w:hAnsiTheme="minorHAnsi" w:cstheme="minorHAnsi"/>
                <w:b/>
                <w:bCs/>
                <w:color w:val="000000" w:themeColor="dark1"/>
                <w:kern w:val="24"/>
                <w:sz w:val="20"/>
                <w:szCs w:val="20"/>
                <w:lang w:eastAsia="en-GB"/>
              </w:rPr>
              <w:t xml:space="preserve"> 8490</w:t>
            </w:r>
          </w:p>
        </w:tc>
        <w:tc>
          <w:tcPr>
            <w:tcW w:w="1145" w:type="dxa"/>
            <w:tcBorders>
              <w:top w:val="single" w:sz="24" w:space="0" w:color="FFFFFF"/>
              <w:left w:val="single" w:sz="8" w:space="0" w:color="FFFFFF"/>
              <w:bottom w:val="single" w:sz="8" w:space="0" w:color="FFFFFF"/>
              <w:right w:val="single" w:sz="8" w:space="0" w:color="FFFFFF"/>
            </w:tcBorders>
            <w:shd w:val="clear" w:color="auto" w:fill="DBDBD9"/>
            <w:tcMar>
              <w:top w:w="15" w:type="dxa"/>
              <w:left w:w="15" w:type="dxa"/>
              <w:bottom w:w="0" w:type="dxa"/>
              <w:right w:w="15" w:type="dxa"/>
            </w:tcMar>
            <w:hideMark/>
          </w:tcPr>
          <w:p w14:paraId="568A9672" w14:textId="77777777" w:rsidR="005F1E8D" w:rsidRPr="00F1223D" w:rsidRDefault="005F1E8D" w:rsidP="00702F50">
            <w:pPr>
              <w:jc w:val="both"/>
              <w:rPr>
                <w:rFonts w:asciiTheme="minorHAnsi" w:eastAsia="Times New Roman" w:hAnsiTheme="minorHAnsi" w:cstheme="minorHAnsi"/>
                <w:sz w:val="20"/>
                <w:szCs w:val="20"/>
                <w:lang w:eastAsia="en-GB"/>
              </w:rPr>
            </w:pPr>
            <w:r w:rsidRPr="00F1223D">
              <w:rPr>
                <w:rFonts w:asciiTheme="minorHAnsi" w:eastAsia="Times New Roman" w:hAnsiTheme="minorHAnsi" w:cstheme="minorHAnsi"/>
                <w:b/>
                <w:bCs/>
                <w:color w:val="000000" w:themeColor="dark1"/>
                <w:kern w:val="24"/>
                <w:sz w:val="20"/>
                <w:szCs w:val="20"/>
                <w:lang w:eastAsia="en-GB"/>
              </w:rPr>
              <w:t>3410</w:t>
            </w:r>
          </w:p>
        </w:tc>
        <w:tc>
          <w:tcPr>
            <w:tcW w:w="1276" w:type="dxa"/>
            <w:tcBorders>
              <w:top w:val="single" w:sz="24" w:space="0" w:color="FFFFFF"/>
              <w:left w:val="single" w:sz="8" w:space="0" w:color="FFFFFF"/>
              <w:bottom w:val="single" w:sz="8" w:space="0" w:color="FFFFFF"/>
              <w:right w:val="single" w:sz="8" w:space="0" w:color="FFFFFF"/>
            </w:tcBorders>
            <w:shd w:val="clear" w:color="auto" w:fill="DBDBD9"/>
            <w:tcMar>
              <w:top w:w="15" w:type="dxa"/>
              <w:left w:w="15" w:type="dxa"/>
              <w:bottom w:w="0" w:type="dxa"/>
              <w:right w:w="15" w:type="dxa"/>
            </w:tcMar>
            <w:hideMark/>
          </w:tcPr>
          <w:p w14:paraId="1DBA74F9" w14:textId="77777777" w:rsidR="005F1E8D" w:rsidRPr="00F1223D" w:rsidRDefault="005F1E8D" w:rsidP="00702F50">
            <w:pPr>
              <w:jc w:val="both"/>
              <w:rPr>
                <w:rFonts w:asciiTheme="minorHAnsi" w:eastAsia="Times New Roman" w:hAnsiTheme="minorHAnsi" w:cstheme="minorHAnsi"/>
                <w:sz w:val="20"/>
                <w:szCs w:val="20"/>
                <w:lang w:eastAsia="en-GB"/>
              </w:rPr>
            </w:pPr>
            <w:r w:rsidRPr="00F1223D">
              <w:rPr>
                <w:rFonts w:asciiTheme="minorHAnsi" w:eastAsia="Times New Roman" w:hAnsiTheme="minorHAnsi" w:cstheme="minorHAnsi"/>
                <w:b/>
                <w:bCs/>
                <w:color w:val="000000" w:themeColor="dark1"/>
                <w:kern w:val="24"/>
                <w:sz w:val="20"/>
                <w:szCs w:val="20"/>
                <w:lang w:eastAsia="en-GB"/>
              </w:rPr>
              <w:t xml:space="preserve"> 40.2%</w:t>
            </w:r>
          </w:p>
        </w:tc>
      </w:tr>
      <w:tr w:rsidR="00E06493" w:rsidRPr="0097187E" w14:paraId="6E082D31" w14:textId="77777777" w:rsidTr="00E06493">
        <w:trPr>
          <w:trHeight w:val="867"/>
        </w:trPr>
        <w:tc>
          <w:tcPr>
            <w:tcW w:w="897" w:type="dxa"/>
            <w:tcBorders>
              <w:top w:val="single" w:sz="8" w:space="0" w:color="FFFFFF"/>
              <w:left w:val="single" w:sz="8" w:space="0" w:color="FFFFFF"/>
              <w:bottom w:val="single" w:sz="8" w:space="0" w:color="FFFFFF"/>
              <w:right w:val="single" w:sz="8" w:space="0" w:color="FFFFFF"/>
            </w:tcBorders>
            <w:shd w:val="clear" w:color="auto" w:fill="8C8D86"/>
            <w:tcMar>
              <w:top w:w="15" w:type="dxa"/>
              <w:left w:w="108" w:type="dxa"/>
              <w:bottom w:w="0" w:type="dxa"/>
              <w:right w:w="108" w:type="dxa"/>
            </w:tcMar>
            <w:hideMark/>
          </w:tcPr>
          <w:p w14:paraId="72D34ED8" w14:textId="77777777" w:rsidR="005F1E8D" w:rsidRPr="00F1223D" w:rsidRDefault="005F1E8D" w:rsidP="00702F50">
            <w:pPr>
              <w:jc w:val="both"/>
              <w:rPr>
                <w:rFonts w:asciiTheme="minorHAnsi" w:eastAsia="Times New Roman" w:hAnsiTheme="minorHAnsi" w:cstheme="minorHAnsi"/>
                <w:sz w:val="20"/>
                <w:szCs w:val="20"/>
                <w:lang w:eastAsia="en-GB"/>
              </w:rPr>
            </w:pPr>
            <w:r w:rsidRPr="00F1223D">
              <w:rPr>
                <w:rFonts w:asciiTheme="minorHAnsi" w:eastAsia="Times New Roman" w:hAnsiTheme="minorHAnsi" w:cstheme="minorHAnsi"/>
                <w:b/>
                <w:bCs/>
                <w:color w:val="FFFFFF" w:themeColor="light1"/>
                <w:kern w:val="24"/>
                <w:sz w:val="20"/>
                <w:szCs w:val="20"/>
                <w:lang w:eastAsia="en-GB"/>
              </w:rPr>
              <w:t>March 2018</w:t>
            </w:r>
          </w:p>
        </w:tc>
        <w:tc>
          <w:tcPr>
            <w:tcW w:w="1246" w:type="dxa"/>
            <w:tcBorders>
              <w:top w:val="single" w:sz="8" w:space="0" w:color="FFFFFF"/>
              <w:left w:val="single" w:sz="8" w:space="0" w:color="FFFFFF"/>
              <w:bottom w:val="single" w:sz="8" w:space="0" w:color="FFFFFF"/>
              <w:right w:val="single" w:sz="8" w:space="0" w:color="FFFFFF"/>
            </w:tcBorders>
            <w:shd w:val="clear" w:color="auto" w:fill="EEEEED"/>
            <w:tcMar>
              <w:top w:w="15" w:type="dxa"/>
              <w:left w:w="108" w:type="dxa"/>
              <w:bottom w:w="0" w:type="dxa"/>
              <w:right w:w="108" w:type="dxa"/>
            </w:tcMar>
            <w:hideMark/>
          </w:tcPr>
          <w:p w14:paraId="2F84A17E" w14:textId="77777777" w:rsidR="005F1E8D" w:rsidRPr="00F1223D" w:rsidRDefault="005F1E8D" w:rsidP="00702F50">
            <w:pPr>
              <w:jc w:val="both"/>
              <w:rPr>
                <w:rFonts w:asciiTheme="minorHAnsi" w:eastAsia="Times New Roman" w:hAnsiTheme="minorHAnsi" w:cstheme="minorHAnsi"/>
                <w:sz w:val="20"/>
                <w:szCs w:val="20"/>
                <w:lang w:eastAsia="en-GB"/>
              </w:rPr>
            </w:pPr>
            <w:r w:rsidRPr="00F1223D">
              <w:rPr>
                <w:rFonts w:asciiTheme="minorHAnsi" w:eastAsia="Times New Roman" w:hAnsiTheme="minorHAnsi" w:cstheme="minorHAnsi"/>
                <w:b/>
                <w:bCs/>
                <w:color w:val="000000" w:themeColor="dark1"/>
                <w:kern w:val="24"/>
                <w:sz w:val="20"/>
                <w:szCs w:val="20"/>
                <w:lang w:eastAsia="en-GB"/>
              </w:rPr>
              <w:t>4655</w:t>
            </w:r>
          </w:p>
          <w:p w14:paraId="0E341D58" w14:textId="77777777" w:rsidR="005F1E8D" w:rsidRPr="00F1223D" w:rsidRDefault="005F1E8D" w:rsidP="00702F50">
            <w:pPr>
              <w:jc w:val="both"/>
              <w:rPr>
                <w:rFonts w:asciiTheme="minorHAnsi" w:eastAsia="Times New Roman" w:hAnsiTheme="minorHAnsi" w:cstheme="minorHAnsi"/>
                <w:sz w:val="20"/>
                <w:szCs w:val="20"/>
                <w:lang w:eastAsia="en-GB"/>
              </w:rPr>
            </w:pPr>
            <w:r w:rsidRPr="00F1223D">
              <w:rPr>
                <w:rFonts w:asciiTheme="minorHAnsi" w:eastAsia="Times New Roman" w:hAnsiTheme="minorHAnsi" w:cstheme="minorHAnsi"/>
                <w:b/>
                <w:bCs/>
                <w:color w:val="000000" w:themeColor="dark1"/>
                <w:kern w:val="24"/>
                <w:sz w:val="20"/>
                <w:szCs w:val="20"/>
                <w:lang w:eastAsia="en-GB"/>
              </w:rPr>
              <w:t> </w:t>
            </w:r>
          </w:p>
        </w:tc>
        <w:tc>
          <w:tcPr>
            <w:tcW w:w="1150" w:type="dxa"/>
            <w:tcBorders>
              <w:top w:val="single" w:sz="8" w:space="0" w:color="FFFFFF"/>
              <w:left w:val="single" w:sz="8" w:space="0" w:color="FFFFFF"/>
              <w:bottom w:val="single" w:sz="8" w:space="0" w:color="FFFFFF"/>
              <w:right w:val="single" w:sz="8" w:space="0" w:color="FFFFFF"/>
            </w:tcBorders>
            <w:shd w:val="clear" w:color="auto" w:fill="EEEEED"/>
            <w:tcMar>
              <w:top w:w="15" w:type="dxa"/>
              <w:left w:w="108" w:type="dxa"/>
              <w:bottom w:w="0" w:type="dxa"/>
              <w:right w:w="108" w:type="dxa"/>
            </w:tcMar>
            <w:hideMark/>
          </w:tcPr>
          <w:p w14:paraId="00565FC9" w14:textId="77777777" w:rsidR="005F1E8D" w:rsidRPr="00F1223D" w:rsidRDefault="005F1E8D" w:rsidP="00702F50">
            <w:pPr>
              <w:jc w:val="both"/>
              <w:rPr>
                <w:rFonts w:asciiTheme="minorHAnsi" w:eastAsia="Times New Roman" w:hAnsiTheme="minorHAnsi" w:cstheme="minorHAnsi"/>
                <w:sz w:val="20"/>
                <w:szCs w:val="20"/>
                <w:lang w:eastAsia="en-GB"/>
              </w:rPr>
            </w:pPr>
            <w:r w:rsidRPr="00F1223D">
              <w:rPr>
                <w:rFonts w:asciiTheme="minorHAnsi" w:eastAsia="Times New Roman" w:hAnsiTheme="minorHAnsi" w:cstheme="minorHAnsi"/>
                <w:b/>
                <w:bCs/>
                <w:color w:val="000000" w:themeColor="dark1"/>
                <w:kern w:val="24"/>
                <w:sz w:val="20"/>
                <w:szCs w:val="20"/>
                <w:lang w:eastAsia="en-GB"/>
              </w:rPr>
              <w:t>2055</w:t>
            </w:r>
          </w:p>
        </w:tc>
        <w:tc>
          <w:tcPr>
            <w:tcW w:w="1310" w:type="dxa"/>
            <w:tcBorders>
              <w:top w:val="single" w:sz="8" w:space="0" w:color="FFFFFF"/>
              <w:left w:val="single" w:sz="8" w:space="0" w:color="FFFFFF"/>
              <w:bottom w:val="single" w:sz="8" w:space="0" w:color="FFFFFF"/>
              <w:right w:val="single" w:sz="8" w:space="0" w:color="FFFFFF"/>
            </w:tcBorders>
            <w:shd w:val="clear" w:color="auto" w:fill="EEEEED"/>
            <w:tcMar>
              <w:top w:w="15" w:type="dxa"/>
              <w:left w:w="108" w:type="dxa"/>
              <w:bottom w:w="0" w:type="dxa"/>
              <w:right w:w="108" w:type="dxa"/>
            </w:tcMar>
            <w:hideMark/>
          </w:tcPr>
          <w:p w14:paraId="0CA558F2" w14:textId="77777777" w:rsidR="005F1E8D" w:rsidRPr="00F1223D" w:rsidRDefault="005F1E8D" w:rsidP="00702F50">
            <w:pPr>
              <w:jc w:val="both"/>
              <w:rPr>
                <w:rFonts w:asciiTheme="minorHAnsi" w:eastAsia="Times New Roman" w:hAnsiTheme="minorHAnsi" w:cstheme="minorHAnsi"/>
                <w:sz w:val="20"/>
                <w:szCs w:val="20"/>
                <w:lang w:eastAsia="en-GB"/>
              </w:rPr>
            </w:pPr>
            <w:r w:rsidRPr="00F1223D">
              <w:rPr>
                <w:rFonts w:asciiTheme="minorHAnsi" w:eastAsia="Times New Roman" w:hAnsiTheme="minorHAnsi" w:cstheme="minorHAnsi"/>
                <w:b/>
                <w:bCs/>
                <w:color w:val="000000" w:themeColor="dark1"/>
                <w:kern w:val="24"/>
                <w:sz w:val="20"/>
                <w:szCs w:val="20"/>
                <w:lang w:eastAsia="en-GB"/>
              </w:rPr>
              <w:t>44.1%</w:t>
            </w:r>
          </w:p>
        </w:tc>
        <w:tc>
          <w:tcPr>
            <w:tcW w:w="1246" w:type="dxa"/>
            <w:tcBorders>
              <w:top w:val="single" w:sz="8" w:space="0" w:color="FFFFFF"/>
              <w:left w:val="single" w:sz="8" w:space="0" w:color="FFFFFF"/>
              <w:bottom w:val="single" w:sz="8" w:space="0" w:color="FFFFFF"/>
              <w:right w:val="single" w:sz="8" w:space="0" w:color="FFFFFF"/>
            </w:tcBorders>
            <w:shd w:val="clear" w:color="auto" w:fill="EEEEED"/>
            <w:tcMar>
              <w:top w:w="15" w:type="dxa"/>
              <w:left w:w="108" w:type="dxa"/>
              <w:bottom w:w="0" w:type="dxa"/>
              <w:right w:w="108" w:type="dxa"/>
            </w:tcMar>
            <w:hideMark/>
          </w:tcPr>
          <w:p w14:paraId="3E51F4DD" w14:textId="77777777" w:rsidR="005F1E8D" w:rsidRPr="00F1223D" w:rsidRDefault="005F1E8D" w:rsidP="00702F50">
            <w:pPr>
              <w:jc w:val="both"/>
              <w:rPr>
                <w:rFonts w:asciiTheme="minorHAnsi" w:eastAsia="Times New Roman" w:hAnsiTheme="minorHAnsi" w:cstheme="minorHAnsi"/>
                <w:sz w:val="20"/>
                <w:szCs w:val="20"/>
                <w:lang w:eastAsia="en-GB"/>
              </w:rPr>
            </w:pPr>
            <w:r w:rsidRPr="00F1223D">
              <w:rPr>
                <w:rFonts w:asciiTheme="minorHAnsi" w:eastAsia="Times New Roman" w:hAnsiTheme="minorHAnsi" w:cstheme="minorHAnsi"/>
                <w:b/>
                <w:bCs/>
                <w:color w:val="000000" w:themeColor="dark1"/>
                <w:kern w:val="24"/>
                <w:sz w:val="20"/>
                <w:szCs w:val="20"/>
                <w:lang w:eastAsia="en-GB"/>
              </w:rPr>
              <w:t>6313</w:t>
            </w:r>
          </w:p>
        </w:tc>
        <w:tc>
          <w:tcPr>
            <w:tcW w:w="1150" w:type="dxa"/>
            <w:tcBorders>
              <w:top w:val="single" w:sz="8" w:space="0" w:color="FFFFFF"/>
              <w:left w:val="single" w:sz="8" w:space="0" w:color="FFFFFF"/>
              <w:bottom w:val="single" w:sz="8" w:space="0" w:color="FFFFFF"/>
              <w:right w:val="single" w:sz="8" w:space="0" w:color="FFFFFF"/>
            </w:tcBorders>
            <w:shd w:val="clear" w:color="auto" w:fill="EEEEED"/>
            <w:tcMar>
              <w:top w:w="15" w:type="dxa"/>
              <w:left w:w="108" w:type="dxa"/>
              <w:bottom w:w="0" w:type="dxa"/>
              <w:right w:w="108" w:type="dxa"/>
            </w:tcMar>
            <w:hideMark/>
          </w:tcPr>
          <w:p w14:paraId="692B85EF" w14:textId="77777777" w:rsidR="005F1E8D" w:rsidRPr="00F1223D" w:rsidRDefault="005F1E8D" w:rsidP="00702F50">
            <w:pPr>
              <w:jc w:val="both"/>
              <w:rPr>
                <w:rFonts w:asciiTheme="minorHAnsi" w:eastAsia="Times New Roman" w:hAnsiTheme="minorHAnsi" w:cstheme="minorHAnsi"/>
                <w:sz w:val="20"/>
                <w:szCs w:val="20"/>
                <w:lang w:eastAsia="en-GB"/>
              </w:rPr>
            </w:pPr>
            <w:r w:rsidRPr="00F1223D">
              <w:rPr>
                <w:rFonts w:asciiTheme="minorHAnsi" w:eastAsia="Times New Roman" w:hAnsiTheme="minorHAnsi" w:cstheme="minorHAnsi"/>
                <w:b/>
                <w:bCs/>
                <w:color w:val="000000" w:themeColor="dark1"/>
                <w:kern w:val="24"/>
                <w:sz w:val="20"/>
                <w:szCs w:val="20"/>
                <w:lang w:eastAsia="en-GB"/>
              </w:rPr>
              <w:t>3594</w:t>
            </w:r>
          </w:p>
        </w:tc>
        <w:tc>
          <w:tcPr>
            <w:tcW w:w="1310" w:type="dxa"/>
            <w:tcBorders>
              <w:top w:val="single" w:sz="8" w:space="0" w:color="FFFFFF"/>
              <w:left w:val="single" w:sz="8" w:space="0" w:color="FFFFFF"/>
              <w:bottom w:val="single" w:sz="8" w:space="0" w:color="FFFFFF"/>
              <w:right w:val="single" w:sz="8" w:space="0" w:color="FFFFFF"/>
            </w:tcBorders>
            <w:shd w:val="clear" w:color="auto" w:fill="EEEEED"/>
            <w:tcMar>
              <w:top w:w="15" w:type="dxa"/>
              <w:left w:w="108" w:type="dxa"/>
              <w:bottom w:w="0" w:type="dxa"/>
              <w:right w:w="108" w:type="dxa"/>
            </w:tcMar>
            <w:hideMark/>
          </w:tcPr>
          <w:p w14:paraId="45BE1391" w14:textId="77777777" w:rsidR="005F1E8D" w:rsidRPr="00F1223D" w:rsidRDefault="005F1E8D" w:rsidP="00702F50">
            <w:pPr>
              <w:jc w:val="both"/>
              <w:rPr>
                <w:rFonts w:asciiTheme="minorHAnsi" w:eastAsia="Times New Roman" w:hAnsiTheme="minorHAnsi" w:cstheme="minorHAnsi"/>
                <w:sz w:val="20"/>
                <w:szCs w:val="20"/>
                <w:lang w:eastAsia="en-GB"/>
              </w:rPr>
            </w:pPr>
            <w:r w:rsidRPr="00F1223D">
              <w:rPr>
                <w:rFonts w:asciiTheme="minorHAnsi" w:eastAsia="Times New Roman" w:hAnsiTheme="minorHAnsi" w:cstheme="minorHAnsi"/>
                <w:b/>
                <w:bCs/>
                <w:color w:val="000000" w:themeColor="dark1"/>
                <w:kern w:val="24"/>
                <w:sz w:val="20"/>
                <w:szCs w:val="20"/>
                <w:lang w:eastAsia="en-GB"/>
              </w:rPr>
              <w:t>56.9%</w:t>
            </w:r>
          </w:p>
        </w:tc>
        <w:tc>
          <w:tcPr>
            <w:tcW w:w="1309" w:type="dxa"/>
            <w:tcBorders>
              <w:top w:val="single" w:sz="8" w:space="0" w:color="FFFFFF"/>
              <w:left w:val="single" w:sz="8" w:space="0" w:color="FFFFFF"/>
              <w:bottom w:val="single" w:sz="8" w:space="0" w:color="FFFFFF"/>
              <w:right w:val="single" w:sz="8" w:space="0" w:color="FFFFFF"/>
            </w:tcBorders>
            <w:shd w:val="clear" w:color="auto" w:fill="EEEEED"/>
            <w:tcMar>
              <w:top w:w="15" w:type="dxa"/>
              <w:left w:w="15" w:type="dxa"/>
              <w:bottom w:w="0" w:type="dxa"/>
              <w:right w:w="15" w:type="dxa"/>
            </w:tcMar>
            <w:hideMark/>
          </w:tcPr>
          <w:p w14:paraId="2801712D" w14:textId="77777777" w:rsidR="005F1E8D" w:rsidRPr="00F1223D" w:rsidRDefault="005F1E8D" w:rsidP="00702F50">
            <w:pPr>
              <w:jc w:val="both"/>
              <w:rPr>
                <w:rFonts w:asciiTheme="minorHAnsi" w:eastAsia="Times New Roman" w:hAnsiTheme="minorHAnsi" w:cstheme="minorHAnsi"/>
                <w:sz w:val="20"/>
                <w:szCs w:val="20"/>
                <w:lang w:eastAsia="en-GB"/>
              </w:rPr>
            </w:pPr>
            <w:r w:rsidRPr="00F1223D">
              <w:rPr>
                <w:rFonts w:asciiTheme="minorHAnsi" w:eastAsia="Times New Roman" w:hAnsiTheme="minorHAnsi" w:cstheme="minorHAnsi"/>
                <w:b/>
                <w:bCs/>
                <w:color w:val="000000" w:themeColor="dark1"/>
                <w:kern w:val="24"/>
                <w:sz w:val="20"/>
                <w:szCs w:val="20"/>
                <w:lang w:eastAsia="en-GB"/>
              </w:rPr>
              <w:t xml:space="preserve"> 10968</w:t>
            </w:r>
          </w:p>
        </w:tc>
        <w:tc>
          <w:tcPr>
            <w:tcW w:w="1145" w:type="dxa"/>
            <w:tcBorders>
              <w:top w:val="single" w:sz="8" w:space="0" w:color="FFFFFF"/>
              <w:left w:val="single" w:sz="8" w:space="0" w:color="FFFFFF"/>
              <w:bottom w:val="single" w:sz="8" w:space="0" w:color="FFFFFF"/>
              <w:right w:val="single" w:sz="8" w:space="0" w:color="FFFFFF"/>
            </w:tcBorders>
            <w:shd w:val="clear" w:color="auto" w:fill="EEEEED"/>
            <w:tcMar>
              <w:top w:w="15" w:type="dxa"/>
              <w:left w:w="15" w:type="dxa"/>
              <w:bottom w:w="0" w:type="dxa"/>
              <w:right w:w="15" w:type="dxa"/>
            </w:tcMar>
            <w:hideMark/>
          </w:tcPr>
          <w:p w14:paraId="5A5F9A78" w14:textId="77777777" w:rsidR="005F1E8D" w:rsidRPr="00F1223D" w:rsidRDefault="005F1E8D" w:rsidP="00702F50">
            <w:pPr>
              <w:jc w:val="both"/>
              <w:rPr>
                <w:rFonts w:asciiTheme="minorHAnsi" w:eastAsia="Times New Roman" w:hAnsiTheme="minorHAnsi" w:cstheme="minorHAnsi"/>
                <w:sz w:val="20"/>
                <w:szCs w:val="20"/>
                <w:lang w:eastAsia="en-GB"/>
              </w:rPr>
            </w:pPr>
            <w:r w:rsidRPr="00F1223D">
              <w:rPr>
                <w:rFonts w:asciiTheme="minorHAnsi" w:eastAsia="Times New Roman" w:hAnsiTheme="minorHAnsi" w:cstheme="minorHAnsi"/>
                <w:b/>
                <w:bCs/>
                <w:color w:val="000000" w:themeColor="dark1"/>
                <w:kern w:val="24"/>
                <w:sz w:val="20"/>
                <w:szCs w:val="20"/>
                <w:lang w:eastAsia="en-GB"/>
              </w:rPr>
              <w:t>5649</w:t>
            </w:r>
          </w:p>
        </w:tc>
        <w:tc>
          <w:tcPr>
            <w:tcW w:w="1276" w:type="dxa"/>
            <w:tcBorders>
              <w:top w:val="single" w:sz="8" w:space="0" w:color="FFFFFF"/>
              <w:left w:val="single" w:sz="8" w:space="0" w:color="FFFFFF"/>
              <w:bottom w:val="single" w:sz="8" w:space="0" w:color="FFFFFF"/>
              <w:right w:val="single" w:sz="8" w:space="0" w:color="FFFFFF"/>
            </w:tcBorders>
            <w:shd w:val="clear" w:color="auto" w:fill="EEEEED"/>
            <w:tcMar>
              <w:top w:w="15" w:type="dxa"/>
              <w:left w:w="15" w:type="dxa"/>
              <w:bottom w:w="0" w:type="dxa"/>
              <w:right w:w="15" w:type="dxa"/>
            </w:tcMar>
            <w:hideMark/>
          </w:tcPr>
          <w:p w14:paraId="20B5E69B" w14:textId="77777777" w:rsidR="005F1E8D" w:rsidRPr="00F1223D" w:rsidRDefault="005F1E8D" w:rsidP="00702F50">
            <w:pPr>
              <w:jc w:val="both"/>
              <w:rPr>
                <w:rFonts w:asciiTheme="minorHAnsi" w:eastAsia="Times New Roman" w:hAnsiTheme="minorHAnsi" w:cstheme="minorHAnsi"/>
                <w:sz w:val="20"/>
                <w:szCs w:val="20"/>
                <w:lang w:eastAsia="en-GB"/>
              </w:rPr>
            </w:pPr>
            <w:r w:rsidRPr="00F1223D">
              <w:rPr>
                <w:rFonts w:asciiTheme="minorHAnsi" w:eastAsia="Times New Roman" w:hAnsiTheme="minorHAnsi" w:cstheme="minorHAnsi"/>
                <w:b/>
                <w:bCs/>
                <w:color w:val="000000" w:themeColor="dark1"/>
                <w:kern w:val="24"/>
                <w:sz w:val="20"/>
                <w:szCs w:val="20"/>
                <w:lang w:eastAsia="en-GB"/>
              </w:rPr>
              <w:t xml:space="preserve"> 51.5%</w:t>
            </w:r>
          </w:p>
        </w:tc>
      </w:tr>
      <w:tr w:rsidR="00E06493" w:rsidRPr="0097187E" w14:paraId="4DC2E8A0" w14:textId="77777777" w:rsidTr="00E06493">
        <w:trPr>
          <w:trHeight w:val="662"/>
        </w:trPr>
        <w:tc>
          <w:tcPr>
            <w:tcW w:w="897" w:type="dxa"/>
            <w:tcBorders>
              <w:top w:val="single" w:sz="8" w:space="0" w:color="FFFFFF"/>
              <w:left w:val="single" w:sz="8" w:space="0" w:color="FFFFFF"/>
              <w:bottom w:val="single" w:sz="8" w:space="0" w:color="FFFFFF"/>
              <w:right w:val="single" w:sz="8" w:space="0" w:color="FFFFFF"/>
            </w:tcBorders>
            <w:shd w:val="clear" w:color="auto" w:fill="8C8D86"/>
            <w:tcMar>
              <w:top w:w="15" w:type="dxa"/>
              <w:left w:w="108" w:type="dxa"/>
              <w:bottom w:w="0" w:type="dxa"/>
              <w:right w:w="108" w:type="dxa"/>
            </w:tcMar>
            <w:hideMark/>
          </w:tcPr>
          <w:p w14:paraId="4ABAA2B1" w14:textId="77777777" w:rsidR="005F1E8D" w:rsidRPr="00F1223D" w:rsidRDefault="005F1E8D" w:rsidP="00702F50">
            <w:pPr>
              <w:jc w:val="both"/>
              <w:rPr>
                <w:rFonts w:asciiTheme="minorHAnsi" w:eastAsia="Times New Roman" w:hAnsiTheme="minorHAnsi" w:cstheme="minorHAnsi"/>
                <w:sz w:val="20"/>
                <w:szCs w:val="20"/>
                <w:lang w:eastAsia="en-GB"/>
              </w:rPr>
            </w:pPr>
            <w:r w:rsidRPr="00F1223D">
              <w:rPr>
                <w:rFonts w:asciiTheme="minorHAnsi" w:eastAsia="Times New Roman" w:hAnsiTheme="minorHAnsi" w:cstheme="minorHAnsi"/>
                <w:b/>
                <w:bCs/>
                <w:color w:val="FFFFFF" w:themeColor="light1"/>
                <w:kern w:val="24"/>
                <w:sz w:val="20"/>
                <w:szCs w:val="20"/>
                <w:lang w:eastAsia="en-GB"/>
              </w:rPr>
              <w:t>March 2019</w:t>
            </w:r>
          </w:p>
        </w:tc>
        <w:tc>
          <w:tcPr>
            <w:tcW w:w="1246" w:type="dxa"/>
            <w:tcBorders>
              <w:top w:val="single" w:sz="8" w:space="0" w:color="FFFFFF"/>
              <w:left w:val="single" w:sz="8" w:space="0" w:color="FFFFFF"/>
              <w:bottom w:val="single" w:sz="8" w:space="0" w:color="FFFFFF"/>
              <w:right w:val="single" w:sz="8" w:space="0" w:color="FFFFFF"/>
            </w:tcBorders>
            <w:shd w:val="clear" w:color="auto" w:fill="DBDBD9"/>
            <w:tcMar>
              <w:top w:w="15" w:type="dxa"/>
              <w:left w:w="108" w:type="dxa"/>
              <w:bottom w:w="0" w:type="dxa"/>
              <w:right w:w="108" w:type="dxa"/>
            </w:tcMar>
            <w:hideMark/>
          </w:tcPr>
          <w:p w14:paraId="75003DBC" w14:textId="77777777" w:rsidR="005F1E8D" w:rsidRPr="00F1223D" w:rsidRDefault="005F1E8D" w:rsidP="00702F50">
            <w:pPr>
              <w:jc w:val="both"/>
              <w:rPr>
                <w:rFonts w:asciiTheme="minorHAnsi" w:eastAsia="Times New Roman" w:hAnsiTheme="minorHAnsi" w:cstheme="minorHAnsi"/>
                <w:sz w:val="20"/>
                <w:szCs w:val="20"/>
                <w:lang w:eastAsia="en-GB"/>
              </w:rPr>
            </w:pPr>
            <w:r w:rsidRPr="00F1223D">
              <w:rPr>
                <w:rFonts w:asciiTheme="minorHAnsi" w:eastAsia="Times New Roman" w:hAnsiTheme="minorHAnsi" w:cstheme="minorHAnsi"/>
                <w:b/>
                <w:bCs/>
                <w:color w:val="000000" w:themeColor="dark1"/>
                <w:kern w:val="24"/>
                <w:sz w:val="20"/>
                <w:szCs w:val="20"/>
                <w:lang w:eastAsia="en-GB"/>
              </w:rPr>
              <w:t>6496</w:t>
            </w:r>
          </w:p>
        </w:tc>
        <w:tc>
          <w:tcPr>
            <w:tcW w:w="1150" w:type="dxa"/>
            <w:tcBorders>
              <w:top w:val="single" w:sz="8" w:space="0" w:color="FFFFFF"/>
              <w:left w:val="single" w:sz="8" w:space="0" w:color="FFFFFF"/>
              <w:bottom w:val="single" w:sz="8" w:space="0" w:color="FFFFFF"/>
              <w:right w:val="single" w:sz="8" w:space="0" w:color="FFFFFF"/>
            </w:tcBorders>
            <w:shd w:val="clear" w:color="auto" w:fill="DBDBD9"/>
            <w:tcMar>
              <w:top w:w="15" w:type="dxa"/>
              <w:left w:w="108" w:type="dxa"/>
              <w:bottom w:w="0" w:type="dxa"/>
              <w:right w:w="108" w:type="dxa"/>
            </w:tcMar>
            <w:hideMark/>
          </w:tcPr>
          <w:p w14:paraId="254D428B" w14:textId="77777777" w:rsidR="005F1E8D" w:rsidRPr="00F1223D" w:rsidRDefault="005F1E8D" w:rsidP="00702F50">
            <w:pPr>
              <w:jc w:val="both"/>
              <w:rPr>
                <w:rFonts w:asciiTheme="minorHAnsi" w:eastAsia="Times New Roman" w:hAnsiTheme="minorHAnsi" w:cstheme="minorHAnsi"/>
                <w:sz w:val="20"/>
                <w:szCs w:val="20"/>
                <w:lang w:eastAsia="en-GB"/>
              </w:rPr>
            </w:pPr>
            <w:r w:rsidRPr="00F1223D">
              <w:rPr>
                <w:rFonts w:asciiTheme="minorHAnsi" w:eastAsia="Times New Roman" w:hAnsiTheme="minorHAnsi" w:cstheme="minorHAnsi"/>
                <w:b/>
                <w:bCs/>
                <w:color w:val="000000" w:themeColor="dark1"/>
                <w:kern w:val="24"/>
                <w:sz w:val="20"/>
                <w:szCs w:val="20"/>
                <w:lang w:eastAsia="en-GB"/>
              </w:rPr>
              <w:t>2575</w:t>
            </w:r>
          </w:p>
        </w:tc>
        <w:tc>
          <w:tcPr>
            <w:tcW w:w="1310" w:type="dxa"/>
            <w:tcBorders>
              <w:top w:val="single" w:sz="8" w:space="0" w:color="FFFFFF"/>
              <w:left w:val="single" w:sz="8" w:space="0" w:color="FFFFFF"/>
              <w:bottom w:val="single" w:sz="8" w:space="0" w:color="FFFFFF"/>
              <w:right w:val="single" w:sz="8" w:space="0" w:color="FFFFFF"/>
            </w:tcBorders>
            <w:shd w:val="clear" w:color="auto" w:fill="DBDBD9"/>
            <w:tcMar>
              <w:top w:w="15" w:type="dxa"/>
              <w:left w:w="108" w:type="dxa"/>
              <w:bottom w:w="0" w:type="dxa"/>
              <w:right w:w="108" w:type="dxa"/>
            </w:tcMar>
            <w:hideMark/>
          </w:tcPr>
          <w:p w14:paraId="1FFEA20B" w14:textId="77777777" w:rsidR="005F1E8D" w:rsidRPr="00F1223D" w:rsidRDefault="005F1E8D" w:rsidP="00702F50">
            <w:pPr>
              <w:jc w:val="both"/>
              <w:rPr>
                <w:rFonts w:asciiTheme="minorHAnsi" w:eastAsia="Times New Roman" w:hAnsiTheme="minorHAnsi" w:cstheme="minorHAnsi"/>
                <w:sz w:val="20"/>
                <w:szCs w:val="20"/>
                <w:lang w:eastAsia="en-GB"/>
              </w:rPr>
            </w:pPr>
            <w:r w:rsidRPr="00F1223D">
              <w:rPr>
                <w:rFonts w:asciiTheme="minorHAnsi" w:eastAsia="Times New Roman" w:hAnsiTheme="minorHAnsi" w:cstheme="minorHAnsi"/>
                <w:b/>
                <w:bCs/>
                <w:color w:val="000000" w:themeColor="dark1"/>
                <w:kern w:val="24"/>
                <w:sz w:val="20"/>
                <w:szCs w:val="20"/>
                <w:lang w:eastAsia="en-GB"/>
              </w:rPr>
              <w:t>39.6%</w:t>
            </w:r>
          </w:p>
        </w:tc>
        <w:tc>
          <w:tcPr>
            <w:tcW w:w="1246" w:type="dxa"/>
            <w:tcBorders>
              <w:top w:val="single" w:sz="8" w:space="0" w:color="FFFFFF"/>
              <w:left w:val="single" w:sz="8" w:space="0" w:color="FFFFFF"/>
              <w:bottom w:val="single" w:sz="8" w:space="0" w:color="FFFFFF"/>
              <w:right w:val="single" w:sz="8" w:space="0" w:color="FFFFFF"/>
            </w:tcBorders>
            <w:shd w:val="clear" w:color="auto" w:fill="DBDBD9"/>
            <w:tcMar>
              <w:top w:w="15" w:type="dxa"/>
              <w:left w:w="108" w:type="dxa"/>
              <w:bottom w:w="0" w:type="dxa"/>
              <w:right w:w="108" w:type="dxa"/>
            </w:tcMar>
            <w:hideMark/>
          </w:tcPr>
          <w:p w14:paraId="069B47C8" w14:textId="77777777" w:rsidR="005F1E8D" w:rsidRPr="00F1223D" w:rsidRDefault="005F1E8D" w:rsidP="00702F50">
            <w:pPr>
              <w:jc w:val="both"/>
              <w:rPr>
                <w:rFonts w:asciiTheme="minorHAnsi" w:eastAsia="Times New Roman" w:hAnsiTheme="minorHAnsi" w:cstheme="minorHAnsi"/>
                <w:sz w:val="20"/>
                <w:szCs w:val="20"/>
                <w:lang w:eastAsia="en-GB"/>
              </w:rPr>
            </w:pPr>
            <w:r w:rsidRPr="00F1223D">
              <w:rPr>
                <w:rFonts w:asciiTheme="minorHAnsi" w:eastAsia="Times New Roman" w:hAnsiTheme="minorHAnsi" w:cstheme="minorHAnsi"/>
                <w:b/>
                <w:bCs/>
                <w:color w:val="000000" w:themeColor="dark1"/>
                <w:kern w:val="24"/>
                <w:sz w:val="20"/>
                <w:szCs w:val="20"/>
                <w:lang w:eastAsia="en-GB"/>
              </w:rPr>
              <w:t>7252</w:t>
            </w:r>
          </w:p>
        </w:tc>
        <w:tc>
          <w:tcPr>
            <w:tcW w:w="1150" w:type="dxa"/>
            <w:tcBorders>
              <w:top w:val="single" w:sz="8" w:space="0" w:color="FFFFFF"/>
              <w:left w:val="single" w:sz="8" w:space="0" w:color="FFFFFF"/>
              <w:bottom w:val="single" w:sz="8" w:space="0" w:color="FFFFFF"/>
              <w:right w:val="single" w:sz="8" w:space="0" w:color="FFFFFF"/>
            </w:tcBorders>
            <w:shd w:val="clear" w:color="auto" w:fill="DBDBD9"/>
            <w:tcMar>
              <w:top w:w="15" w:type="dxa"/>
              <w:left w:w="108" w:type="dxa"/>
              <w:bottom w:w="0" w:type="dxa"/>
              <w:right w:w="108" w:type="dxa"/>
            </w:tcMar>
            <w:hideMark/>
          </w:tcPr>
          <w:p w14:paraId="0E1D7796" w14:textId="77777777" w:rsidR="005F1E8D" w:rsidRPr="00F1223D" w:rsidRDefault="005F1E8D" w:rsidP="00702F50">
            <w:pPr>
              <w:jc w:val="both"/>
              <w:rPr>
                <w:rFonts w:asciiTheme="minorHAnsi" w:eastAsia="Times New Roman" w:hAnsiTheme="minorHAnsi" w:cstheme="minorHAnsi"/>
                <w:sz w:val="20"/>
                <w:szCs w:val="20"/>
                <w:lang w:eastAsia="en-GB"/>
              </w:rPr>
            </w:pPr>
            <w:r w:rsidRPr="00F1223D">
              <w:rPr>
                <w:rFonts w:asciiTheme="minorHAnsi" w:eastAsia="Times New Roman" w:hAnsiTheme="minorHAnsi" w:cstheme="minorHAnsi"/>
                <w:b/>
                <w:bCs/>
                <w:color w:val="000000" w:themeColor="dark1"/>
                <w:kern w:val="24"/>
                <w:sz w:val="20"/>
                <w:szCs w:val="20"/>
                <w:lang w:eastAsia="en-GB"/>
              </w:rPr>
              <w:t>4008</w:t>
            </w:r>
          </w:p>
        </w:tc>
        <w:tc>
          <w:tcPr>
            <w:tcW w:w="1310" w:type="dxa"/>
            <w:tcBorders>
              <w:top w:val="single" w:sz="8" w:space="0" w:color="FFFFFF"/>
              <w:left w:val="single" w:sz="8" w:space="0" w:color="FFFFFF"/>
              <w:bottom w:val="single" w:sz="8" w:space="0" w:color="FFFFFF"/>
              <w:right w:val="single" w:sz="8" w:space="0" w:color="FFFFFF"/>
            </w:tcBorders>
            <w:shd w:val="clear" w:color="auto" w:fill="DBDBD9"/>
            <w:tcMar>
              <w:top w:w="15" w:type="dxa"/>
              <w:left w:w="108" w:type="dxa"/>
              <w:bottom w:w="0" w:type="dxa"/>
              <w:right w:w="108" w:type="dxa"/>
            </w:tcMar>
            <w:hideMark/>
          </w:tcPr>
          <w:p w14:paraId="1B816440" w14:textId="77777777" w:rsidR="005F1E8D" w:rsidRPr="00F1223D" w:rsidRDefault="005F1E8D" w:rsidP="00702F50">
            <w:pPr>
              <w:jc w:val="both"/>
              <w:rPr>
                <w:rFonts w:asciiTheme="minorHAnsi" w:eastAsia="Times New Roman" w:hAnsiTheme="minorHAnsi" w:cstheme="minorHAnsi"/>
                <w:sz w:val="20"/>
                <w:szCs w:val="20"/>
                <w:lang w:eastAsia="en-GB"/>
              </w:rPr>
            </w:pPr>
            <w:r w:rsidRPr="00F1223D">
              <w:rPr>
                <w:rFonts w:asciiTheme="minorHAnsi" w:eastAsia="Times New Roman" w:hAnsiTheme="minorHAnsi" w:cstheme="minorHAnsi"/>
                <w:b/>
                <w:bCs/>
                <w:color w:val="000000" w:themeColor="dark1"/>
                <w:kern w:val="24"/>
                <w:sz w:val="20"/>
                <w:szCs w:val="20"/>
                <w:lang w:eastAsia="en-GB"/>
              </w:rPr>
              <w:t>55.3%</w:t>
            </w:r>
          </w:p>
        </w:tc>
        <w:tc>
          <w:tcPr>
            <w:tcW w:w="1309" w:type="dxa"/>
            <w:tcBorders>
              <w:top w:val="single" w:sz="8" w:space="0" w:color="FFFFFF"/>
              <w:left w:val="single" w:sz="8" w:space="0" w:color="FFFFFF"/>
              <w:bottom w:val="single" w:sz="8" w:space="0" w:color="FFFFFF"/>
              <w:right w:val="single" w:sz="8" w:space="0" w:color="FFFFFF"/>
            </w:tcBorders>
            <w:shd w:val="clear" w:color="auto" w:fill="DBDBD9"/>
            <w:tcMar>
              <w:top w:w="15" w:type="dxa"/>
              <w:left w:w="15" w:type="dxa"/>
              <w:bottom w:w="0" w:type="dxa"/>
              <w:right w:w="15" w:type="dxa"/>
            </w:tcMar>
            <w:hideMark/>
          </w:tcPr>
          <w:p w14:paraId="4DEFABEA" w14:textId="77777777" w:rsidR="005F1E8D" w:rsidRPr="00F1223D" w:rsidRDefault="005F1E8D" w:rsidP="00702F50">
            <w:pPr>
              <w:jc w:val="both"/>
              <w:rPr>
                <w:rFonts w:asciiTheme="minorHAnsi" w:eastAsia="Times New Roman" w:hAnsiTheme="minorHAnsi" w:cstheme="minorHAnsi"/>
                <w:sz w:val="20"/>
                <w:szCs w:val="20"/>
                <w:lang w:eastAsia="en-GB"/>
              </w:rPr>
            </w:pPr>
            <w:r w:rsidRPr="00F1223D">
              <w:rPr>
                <w:rFonts w:asciiTheme="minorHAnsi" w:eastAsia="Times New Roman" w:hAnsiTheme="minorHAnsi" w:cstheme="minorHAnsi"/>
                <w:b/>
                <w:bCs/>
                <w:color w:val="000000" w:themeColor="dark1"/>
                <w:kern w:val="24"/>
                <w:sz w:val="20"/>
                <w:szCs w:val="20"/>
                <w:lang w:eastAsia="en-GB"/>
              </w:rPr>
              <w:t xml:space="preserve"> 13748</w:t>
            </w:r>
          </w:p>
        </w:tc>
        <w:tc>
          <w:tcPr>
            <w:tcW w:w="1145" w:type="dxa"/>
            <w:tcBorders>
              <w:top w:val="single" w:sz="8" w:space="0" w:color="FFFFFF"/>
              <w:left w:val="single" w:sz="8" w:space="0" w:color="FFFFFF"/>
              <w:bottom w:val="single" w:sz="8" w:space="0" w:color="FFFFFF"/>
              <w:right w:val="single" w:sz="8" w:space="0" w:color="FFFFFF"/>
            </w:tcBorders>
            <w:shd w:val="clear" w:color="auto" w:fill="DBDBD9"/>
            <w:tcMar>
              <w:top w:w="15" w:type="dxa"/>
              <w:left w:w="15" w:type="dxa"/>
              <w:bottom w:w="0" w:type="dxa"/>
              <w:right w:w="15" w:type="dxa"/>
            </w:tcMar>
            <w:hideMark/>
          </w:tcPr>
          <w:p w14:paraId="7EA3007A" w14:textId="77777777" w:rsidR="005F1E8D" w:rsidRPr="00F1223D" w:rsidRDefault="005F1E8D" w:rsidP="00702F50">
            <w:pPr>
              <w:jc w:val="both"/>
              <w:rPr>
                <w:rFonts w:asciiTheme="minorHAnsi" w:eastAsia="Times New Roman" w:hAnsiTheme="minorHAnsi" w:cstheme="minorHAnsi"/>
                <w:sz w:val="20"/>
                <w:szCs w:val="20"/>
                <w:lang w:eastAsia="en-GB"/>
              </w:rPr>
            </w:pPr>
            <w:r w:rsidRPr="00F1223D">
              <w:rPr>
                <w:rFonts w:asciiTheme="minorHAnsi" w:eastAsia="Times New Roman" w:hAnsiTheme="minorHAnsi" w:cstheme="minorHAnsi"/>
                <w:b/>
                <w:bCs/>
                <w:color w:val="000000" w:themeColor="dark1"/>
                <w:kern w:val="24"/>
                <w:sz w:val="20"/>
                <w:szCs w:val="20"/>
                <w:lang w:eastAsia="en-GB"/>
              </w:rPr>
              <w:t>6583</w:t>
            </w:r>
          </w:p>
        </w:tc>
        <w:tc>
          <w:tcPr>
            <w:tcW w:w="1276" w:type="dxa"/>
            <w:tcBorders>
              <w:top w:val="single" w:sz="8" w:space="0" w:color="FFFFFF"/>
              <w:left w:val="single" w:sz="8" w:space="0" w:color="FFFFFF"/>
              <w:bottom w:val="single" w:sz="8" w:space="0" w:color="FFFFFF"/>
              <w:right w:val="single" w:sz="8" w:space="0" w:color="FFFFFF"/>
            </w:tcBorders>
            <w:shd w:val="clear" w:color="auto" w:fill="DBDBD9"/>
            <w:tcMar>
              <w:top w:w="15" w:type="dxa"/>
              <w:left w:w="15" w:type="dxa"/>
              <w:bottom w:w="0" w:type="dxa"/>
              <w:right w:w="15" w:type="dxa"/>
            </w:tcMar>
            <w:hideMark/>
          </w:tcPr>
          <w:p w14:paraId="4E564BAB" w14:textId="77777777" w:rsidR="005F1E8D" w:rsidRPr="00F1223D" w:rsidRDefault="005F1E8D" w:rsidP="00702F50">
            <w:pPr>
              <w:jc w:val="both"/>
              <w:rPr>
                <w:rFonts w:asciiTheme="minorHAnsi" w:eastAsia="Times New Roman" w:hAnsiTheme="minorHAnsi" w:cstheme="minorHAnsi"/>
                <w:sz w:val="20"/>
                <w:szCs w:val="20"/>
                <w:lang w:eastAsia="en-GB"/>
              </w:rPr>
            </w:pPr>
            <w:r w:rsidRPr="00F1223D">
              <w:rPr>
                <w:rFonts w:asciiTheme="minorHAnsi" w:eastAsia="Times New Roman" w:hAnsiTheme="minorHAnsi" w:cstheme="minorHAnsi"/>
                <w:b/>
                <w:bCs/>
                <w:color w:val="000000" w:themeColor="dark1"/>
                <w:kern w:val="24"/>
                <w:sz w:val="20"/>
                <w:szCs w:val="20"/>
                <w:lang w:eastAsia="en-GB"/>
              </w:rPr>
              <w:t xml:space="preserve"> 47.9%</w:t>
            </w:r>
          </w:p>
        </w:tc>
      </w:tr>
      <w:tr w:rsidR="00E06493" w:rsidRPr="0097187E" w14:paraId="54BD8B1E" w14:textId="77777777" w:rsidTr="00E06493">
        <w:trPr>
          <w:trHeight w:val="662"/>
        </w:trPr>
        <w:tc>
          <w:tcPr>
            <w:tcW w:w="897" w:type="dxa"/>
            <w:tcBorders>
              <w:top w:val="single" w:sz="8" w:space="0" w:color="FFFFFF"/>
              <w:left w:val="single" w:sz="8" w:space="0" w:color="FFFFFF"/>
              <w:bottom w:val="single" w:sz="8" w:space="0" w:color="FFFFFF"/>
              <w:right w:val="single" w:sz="8" w:space="0" w:color="FFFFFF"/>
            </w:tcBorders>
            <w:shd w:val="clear" w:color="auto" w:fill="8C8D86"/>
            <w:tcMar>
              <w:top w:w="15" w:type="dxa"/>
              <w:left w:w="108" w:type="dxa"/>
              <w:bottom w:w="0" w:type="dxa"/>
              <w:right w:w="108" w:type="dxa"/>
            </w:tcMar>
            <w:hideMark/>
          </w:tcPr>
          <w:p w14:paraId="496313CC" w14:textId="77777777" w:rsidR="005F1E8D" w:rsidRPr="00F1223D" w:rsidRDefault="005F1E8D" w:rsidP="00702F50">
            <w:pPr>
              <w:jc w:val="both"/>
              <w:rPr>
                <w:rFonts w:asciiTheme="minorHAnsi" w:eastAsia="Times New Roman" w:hAnsiTheme="minorHAnsi" w:cstheme="minorHAnsi"/>
                <w:sz w:val="20"/>
                <w:szCs w:val="20"/>
                <w:lang w:eastAsia="en-GB"/>
              </w:rPr>
            </w:pPr>
            <w:r w:rsidRPr="00F1223D">
              <w:rPr>
                <w:rFonts w:asciiTheme="minorHAnsi" w:eastAsia="Times New Roman" w:hAnsiTheme="minorHAnsi" w:cstheme="minorHAnsi"/>
                <w:b/>
                <w:bCs/>
                <w:color w:val="FFFFFF" w:themeColor="light1"/>
                <w:kern w:val="24"/>
                <w:sz w:val="20"/>
                <w:szCs w:val="20"/>
                <w:lang w:eastAsia="en-GB"/>
              </w:rPr>
              <w:t>March 2020</w:t>
            </w:r>
          </w:p>
        </w:tc>
        <w:tc>
          <w:tcPr>
            <w:tcW w:w="1246" w:type="dxa"/>
            <w:tcBorders>
              <w:top w:val="single" w:sz="8" w:space="0" w:color="FFFFFF"/>
              <w:left w:val="single" w:sz="8" w:space="0" w:color="FFFFFF"/>
              <w:bottom w:val="single" w:sz="8" w:space="0" w:color="FFFFFF"/>
              <w:right w:val="single" w:sz="8" w:space="0" w:color="FFFFFF"/>
            </w:tcBorders>
            <w:shd w:val="clear" w:color="auto" w:fill="EEEEED"/>
            <w:tcMar>
              <w:top w:w="15" w:type="dxa"/>
              <w:left w:w="108" w:type="dxa"/>
              <w:bottom w:w="0" w:type="dxa"/>
              <w:right w:w="108" w:type="dxa"/>
            </w:tcMar>
            <w:hideMark/>
          </w:tcPr>
          <w:p w14:paraId="78FB527F" w14:textId="77777777" w:rsidR="005F1E8D" w:rsidRPr="00F1223D" w:rsidRDefault="005F1E8D" w:rsidP="00702F50">
            <w:pPr>
              <w:jc w:val="both"/>
              <w:rPr>
                <w:rFonts w:asciiTheme="minorHAnsi" w:eastAsia="Times New Roman" w:hAnsiTheme="minorHAnsi" w:cstheme="minorHAnsi"/>
                <w:sz w:val="20"/>
                <w:szCs w:val="20"/>
                <w:lang w:eastAsia="en-GB"/>
              </w:rPr>
            </w:pPr>
            <w:r w:rsidRPr="00F1223D">
              <w:rPr>
                <w:rFonts w:asciiTheme="minorHAnsi" w:eastAsia="Times New Roman" w:hAnsiTheme="minorHAnsi" w:cstheme="minorHAnsi"/>
                <w:b/>
                <w:bCs/>
                <w:color w:val="000000" w:themeColor="dark1"/>
                <w:kern w:val="24"/>
                <w:sz w:val="20"/>
                <w:szCs w:val="20"/>
                <w:lang w:eastAsia="en-GB"/>
              </w:rPr>
              <w:t>11, 556</w:t>
            </w:r>
          </w:p>
        </w:tc>
        <w:tc>
          <w:tcPr>
            <w:tcW w:w="1150" w:type="dxa"/>
            <w:tcBorders>
              <w:top w:val="single" w:sz="8" w:space="0" w:color="FFFFFF"/>
              <w:left w:val="single" w:sz="8" w:space="0" w:color="FFFFFF"/>
              <w:bottom w:val="single" w:sz="8" w:space="0" w:color="FFFFFF"/>
              <w:right w:val="single" w:sz="8" w:space="0" w:color="FFFFFF"/>
            </w:tcBorders>
            <w:shd w:val="clear" w:color="auto" w:fill="EEEEED"/>
            <w:tcMar>
              <w:top w:w="15" w:type="dxa"/>
              <w:left w:w="108" w:type="dxa"/>
              <w:bottom w:w="0" w:type="dxa"/>
              <w:right w:w="108" w:type="dxa"/>
            </w:tcMar>
            <w:hideMark/>
          </w:tcPr>
          <w:p w14:paraId="5C98C6B9" w14:textId="77777777" w:rsidR="005F1E8D" w:rsidRPr="00F1223D" w:rsidRDefault="005F1E8D" w:rsidP="00702F50">
            <w:pPr>
              <w:jc w:val="both"/>
              <w:rPr>
                <w:rFonts w:asciiTheme="minorHAnsi" w:eastAsia="Times New Roman" w:hAnsiTheme="minorHAnsi" w:cstheme="minorHAnsi"/>
                <w:sz w:val="20"/>
                <w:szCs w:val="20"/>
                <w:lang w:eastAsia="en-GB"/>
              </w:rPr>
            </w:pPr>
            <w:r w:rsidRPr="00F1223D">
              <w:rPr>
                <w:rFonts w:asciiTheme="minorHAnsi" w:eastAsia="Times New Roman" w:hAnsiTheme="minorHAnsi" w:cstheme="minorHAnsi"/>
                <w:b/>
                <w:bCs/>
                <w:color w:val="000000" w:themeColor="dark1"/>
                <w:kern w:val="24"/>
                <w:sz w:val="20"/>
                <w:szCs w:val="20"/>
                <w:lang w:eastAsia="en-GB"/>
              </w:rPr>
              <w:t>4236</w:t>
            </w:r>
          </w:p>
        </w:tc>
        <w:tc>
          <w:tcPr>
            <w:tcW w:w="1310" w:type="dxa"/>
            <w:tcBorders>
              <w:top w:val="single" w:sz="8" w:space="0" w:color="FFFFFF"/>
              <w:left w:val="single" w:sz="8" w:space="0" w:color="FFFFFF"/>
              <w:bottom w:val="single" w:sz="8" w:space="0" w:color="FFFFFF"/>
              <w:right w:val="single" w:sz="8" w:space="0" w:color="FFFFFF"/>
            </w:tcBorders>
            <w:shd w:val="clear" w:color="auto" w:fill="EEEEED"/>
            <w:tcMar>
              <w:top w:w="15" w:type="dxa"/>
              <w:left w:w="108" w:type="dxa"/>
              <w:bottom w:w="0" w:type="dxa"/>
              <w:right w:w="108" w:type="dxa"/>
            </w:tcMar>
            <w:hideMark/>
          </w:tcPr>
          <w:p w14:paraId="6C0C9952" w14:textId="77777777" w:rsidR="005F1E8D" w:rsidRPr="00F1223D" w:rsidRDefault="005F1E8D" w:rsidP="00702F50">
            <w:pPr>
              <w:jc w:val="both"/>
              <w:rPr>
                <w:rFonts w:asciiTheme="minorHAnsi" w:eastAsia="Times New Roman" w:hAnsiTheme="minorHAnsi" w:cstheme="minorHAnsi"/>
                <w:sz w:val="20"/>
                <w:szCs w:val="20"/>
                <w:lang w:eastAsia="en-GB"/>
              </w:rPr>
            </w:pPr>
            <w:r w:rsidRPr="00F1223D">
              <w:rPr>
                <w:rFonts w:asciiTheme="minorHAnsi" w:eastAsia="Times New Roman" w:hAnsiTheme="minorHAnsi" w:cstheme="minorHAnsi"/>
                <w:b/>
                <w:bCs/>
                <w:color w:val="000000" w:themeColor="dark1"/>
                <w:kern w:val="24"/>
                <w:sz w:val="20"/>
                <w:szCs w:val="20"/>
                <w:lang w:eastAsia="en-GB"/>
              </w:rPr>
              <w:t>36.7%</w:t>
            </w:r>
          </w:p>
        </w:tc>
        <w:tc>
          <w:tcPr>
            <w:tcW w:w="1246" w:type="dxa"/>
            <w:tcBorders>
              <w:top w:val="single" w:sz="8" w:space="0" w:color="FFFFFF"/>
              <w:left w:val="single" w:sz="8" w:space="0" w:color="FFFFFF"/>
              <w:bottom w:val="single" w:sz="8" w:space="0" w:color="FFFFFF"/>
              <w:right w:val="single" w:sz="8" w:space="0" w:color="FFFFFF"/>
            </w:tcBorders>
            <w:shd w:val="clear" w:color="auto" w:fill="EEEEED"/>
            <w:tcMar>
              <w:top w:w="15" w:type="dxa"/>
              <w:left w:w="108" w:type="dxa"/>
              <w:bottom w:w="0" w:type="dxa"/>
              <w:right w:w="108" w:type="dxa"/>
            </w:tcMar>
            <w:hideMark/>
          </w:tcPr>
          <w:p w14:paraId="3A62D121" w14:textId="77777777" w:rsidR="005F1E8D" w:rsidRPr="00F1223D" w:rsidRDefault="005F1E8D" w:rsidP="00702F50">
            <w:pPr>
              <w:jc w:val="both"/>
              <w:rPr>
                <w:rFonts w:asciiTheme="minorHAnsi" w:eastAsia="Times New Roman" w:hAnsiTheme="minorHAnsi" w:cstheme="minorHAnsi"/>
                <w:sz w:val="20"/>
                <w:szCs w:val="20"/>
                <w:lang w:eastAsia="en-GB"/>
              </w:rPr>
            </w:pPr>
            <w:r w:rsidRPr="00F1223D">
              <w:rPr>
                <w:rFonts w:asciiTheme="minorHAnsi" w:eastAsia="Times New Roman" w:hAnsiTheme="minorHAnsi" w:cstheme="minorHAnsi"/>
                <w:b/>
                <w:bCs/>
                <w:color w:val="000000" w:themeColor="dark1"/>
                <w:kern w:val="24"/>
                <w:sz w:val="20"/>
                <w:szCs w:val="20"/>
                <w:lang w:eastAsia="en-GB"/>
              </w:rPr>
              <w:t>8591</w:t>
            </w:r>
          </w:p>
        </w:tc>
        <w:tc>
          <w:tcPr>
            <w:tcW w:w="1150" w:type="dxa"/>
            <w:tcBorders>
              <w:top w:val="single" w:sz="8" w:space="0" w:color="FFFFFF"/>
              <w:left w:val="single" w:sz="8" w:space="0" w:color="FFFFFF"/>
              <w:bottom w:val="single" w:sz="8" w:space="0" w:color="FFFFFF"/>
              <w:right w:val="single" w:sz="8" w:space="0" w:color="FFFFFF"/>
            </w:tcBorders>
            <w:shd w:val="clear" w:color="auto" w:fill="EEEEED"/>
            <w:tcMar>
              <w:top w:w="15" w:type="dxa"/>
              <w:left w:w="108" w:type="dxa"/>
              <w:bottom w:w="0" w:type="dxa"/>
              <w:right w:w="108" w:type="dxa"/>
            </w:tcMar>
            <w:hideMark/>
          </w:tcPr>
          <w:p w14:paraId="7BFDC004" w14:textId="77777777" w:rsidR="005F1E8D" w:rsidRPr="00F1223D" w:rsidRDefault="005F1E8D" w:rsidP="00702F50">
            <w:pPr>
              <w:jc w:val="both"/>
              <w:rPr>
                <w:rFonts w:asciiTheme="minorHAnsi" w:eastAsia="Times New Roman" w:hAnsiTheme="minorHAnsi" w:cstheme="minorHAnsi"/>
                <w:sz w:val="20"/>
                <w:szCs w:val="20"/>
                <w:lang w:eastAsia="en-GB"/>
              </w:rPr>
            </w:pPr>
            <w:r w:rsidRPr="00F1223D">
              <w:rPr>
                <w:rFonts w:asciiTheme="minorHAnsi" w:eastAsia="Times New Roman" w:hAnsiTheme="minorHAnsi" w:cstheme="minorHAnsi"/>
                <w:b/>
                <w:bCs/>
                <w:color w:val="000000" w:themeColor="dark1"/>
                <w:kern w:val="24"/>
                <w:sz w:val="20"/>
                <w:szCs w:val="20"/>
                <w:lang w:eastAsia="en-GB"/>
              </w:rPr>
              <w:t>4479</w:t>
            </w:r>
          </w:p>
        </w:tc>
        <w:tc>
          <w:tcPr>
            <w:tcW w:w="1310" w:type="dxa"/>
            <w:tcBorders>
              <w:top w:val="single" w:sz="8" w:space="0" w:color="FFFFFF"/>
              <w:left w:val="single" w:sz="8" w:space="0" w:color="FFFFFF"/>
              <w:bottom w:val="single" w:sz="8" w:space="0" w:color="FFFFFF"/>
              <w:right w:val="single" w:sz="8" w:space="0" w:color="FFFFFF"/>
            </w:tcBorders>
            <w:shd w:val="clear" w:color="auto" w:fill="EEEEED"/>
            <w:tcMar>
              <w:top w:w="15" w:type="dxa"/>
              <w:left w:w="108" w:type="dxa"/>
              <w:bottom w:w="0" w:type="dxa"/>
              <w:right w:w="108" w:type="dxa"/>
            </w:tcMar>
            <w:hideMark/>
          </w:tcPr>
          <w:p w14:paraId="50BC6246" w14:textId="77777777" w:rsidR="005F1E8D" w:rsidRPr="00F1223D" w:rsidRDefault="005F1E8D" w:rsidP="00702F50">
            <w:pPr>
              <w:jc w:val="both"/>
              <w:rPr>
                <w:rFonts w:asciiTheme="minorHAnsi" w:eastAsia="Times New Roman" w:hAnsiTheme="minorHAnsi" w:cstheme="minorHAnsi"/>
                <w:sz w:val="20"/>
                <w:szCs w:val="20"/>
                <w:lang w:eastAsia="en-GB"/>
              </w:rPr>
            </w:pPr>
            <w:r w:rsidRPr="00F1223D">
              <w:rPr>
                <w:rFonts w:asciiTheme="minorHAnsi" w:eastAsia="Times New Roman" w:hAnsiTheme="minorHAnsi" w:cstheme="minorHAnsi"/>
                <w:b/>
                <w:bCs/>
                <w:color w:val="000000" w:themeColor="dark1"/>
                <w:kern w:val="24"/>
                <w:sz w:val="20"/>
                <w:szCs w:val="20"/>
                <w:lang w:eastAsia="en-GB"/>
              </w:rPr>
              <w:t>52.1%</w:t>
            </w:r>
          </w:p>
        </w:tc>
        <w:tc>
          <w:tcPr>
            <w:tcW w:w="1309" w:type="dxa"/>
            <w:tcBorders>
              <w:top w:val="single" w:sz="8" w:space="0" w:color="FFFFFF"/>
              <w:left w:val="single" w:sz="8" w:space="0" w:color="FFFFFF"/>
              <w:bottom w:val="single" w:sz="8" w:space="0" w:color="FFFFFF"/>
              <w:right w:val="single" w:sz="8" w:space="0" w:color="FFFFFF"/>
            </w:tcBorders>
            <w:shd w:val="clear" w:color="auto" w:fill="EEEEED"/>
            <w:tcMar>
              <w:top w:w="15" w:type="dxa"/>
              <w:left w:w="15" w:type="dxa"/>
              <w:bottom w:w="0" w:type="dxa"/>
              <w:right w:w="15" w:type="dxa"/>
            </w:tcMar>
            <w:hideMark/>
          </w:tcPr>
          <w:p w14:paraId="6612E4FA" w14:textId="77777777" w:rsidR="005F1E8D" w:rsidRPr="00F1223D" w:rsidRDefault="005F1E8D" w:rsidP="00702F50">
            <w:pPr>
              <w:jc w:val="both"/>
              <w:rPr>
                <w:rFonts w:asciiTheme="minorHAnsi" w:eastAsia="Times New Roman" w:hAnsiTheme="minorHAnsi" w:cstheme="minorHAnsi"/>
                <w:sz w:val="20"/>
                <w:szCs w:val="20"/>
                <w:lang w:eastAsia="en-GB"/>
              </w:rPr>
            </w:pPr>
            <w:r w:rsidRPr="00F1223D">
              <w:rPr>
                <w:rFonts w:asciiTheme="minorHAnsi" w:eastAsia="Times New Roman" w:hAnsiTheme="minorHAnsi" w:cstheme="minorHAnsi"/>
                <w:b/>
                <w:bCs/>
                <w:color w:val="000000" w:themeColor="dark1"/>
                <w:kern w:val="24"/>
                <w:sz w:val="20"/>
                <w:szCs w:val="20"/>
                <w:lang w:eastAsia="en-GB"/>
              </w:rPr>
              <w:t xml:space="preserve"> 20147</w:t>
            </w:r>
          </w:p>
        </w:tc>
        <w:tc>
          <w:tcPr>
            <w:tcW w:w="1145" w:type="dxa"/>
            <w:tcBorders>
              <w:top w:val="single" w:sz="8" w:space="0" w:color="FFFFFF"/>
              <w:left w:val="single" w:sz="8" w:space="0" w:color="FFFFFF"/>
              <w:bottom w:val="single" w:sz="8" w:space="0" w:color="FFFFFF"/>
              <w:right w:val="single" w:sz="8" w:space="0" w:color="FFFFFF"/>
            </w:tcBorders>
            <w:shd w:val="clear" w:color="auto" w:fill="EEEEED"/>
            <w:tcMar>
              <w:top w:w="15" w:type="dxa"/>
              <w:left w:w="15" w:type="dxa"/>
              <w:bottom w:w="0" w:type="dxa"/>
              <w:right w:w="15" w:type="dxa"/>
            </w:tcMar>
            <w:hideMark/>
          </w:tcPr>
          <w:p w14:paraId="7DE74AF2" w14:textId="77777777" w:rsidR="005F1E8D" w:rsidRPr="00F1223D" w:rsidRDefault="005F1E8D" w:rsidP="00702F50">
            <w:pPr>
              <w:jc w:val="both"/>
              <w:rPr>
                <w:rFonts w:asciiTheme="minorHAnsi" w:eastAsia="Times New Roman" w:hAnsiTheme="minorHAnsi" w:cstheme="minorHAnsi"/>
                <w:sz w:val="20"/>
                <w:szCs w:val="20"/>
                <w:lang w:eastAsia="en-GB"/>
              </w:rPr>
            </w:pPr>
            <w:r w:rsidRPr="00F1223D">
              <w:rPr>
                <w:rFonts w:asciiTheme="minorHAnsi" w:eastAsia="Times New Roman" w:hAnsiTheme="minorHAnsi" w:cstheme="minorHAnsi"/>
                <w:b/>
                <w:bCs/>
                <w:color w:val="000000" w:themeColor="dark1"/>
                <w:kern w:val="24"/>
                <w:sz w:val="20"/>
                <w:szCs w:val="20"/>
                <w:lang w:eastAsia="en-GB"/>
              </w:rPr>
              <w:t>8715</w:t>
            </w:r>
          </w:p>
        </w:tc>
        <w:tc>
          <w:tcPr>
            <w:tcW w:w="1276" w:type="dxa"/>
            <w:tcBorders>
              <w:top w:val="single" w:sz="8" w:space="0" w:color="FFFFFF"/>
              <w:left w:val="single" w:sz="8" w:space="0" w:color="FFFFFF"/>
              <w:bottom w:val="single" w:sz="8" w:space="0" w:color="FFFFFF"/>
              <w:right w:val="single" w:sz="8" w:space="0" w:color="FFFFFF"/>
            </w:tcBorders>
            <w:shd w:val="clear" w:color="auto" w:fill="EEEEED"/>
            <w:tcMar>
              <w:top w:w="15" w:type="dxa"/>
              <w:left w:w="15" w:type="dxa"/>
              <w:bottom w:w="0" w:type="dxa"/>
              <w:right w:w="15" w:type="dxa"/>
            </w:tcMar>
            <w:hideMark/>
          </w:tcPr>
          <w:p w14:paraId="2D3316FB" w14:textId="77777777" w:rsidR="005F1E8D" w:rsidRPr="00F1223D" w:rsidRDefault="005F1E8D" w:rsidP="00702F50">
            <w:pPr>
              <w:jc w:val="both"/>
              <w:rPr>
                <w:rFonts w:asciiTheme="minorHAnsi" w:eastAsia="Times New Roman" w:hAnsiTheme="minorHAnsi" w:cstheme="minorHAnsi"/>
                <w:sz w:val="20"/>
                <w:szCs w:val="20"/>
                <w:lang w:eastAsia="en-GB"/>
              </w:rPr>
            </w:pPr>
            <w:r w:rsidRPr="00F1223D">
              <w:rPr>
                <w:rFonts w:asciiTheme="minorHAnsi" w:eastAsia="Times New Roman" w:hAnsiTheme="minorHAnsi" w:cstheme="minorHAnsi"/>
                <w:b/>
                <w:bCs/>
                <w:color w:val="000000" w:themeColor="dark1"/>
                <w:kern w:val="24"/>
                <w:sz w:val="20"/>
                <w:szCs w:val="20"/>
                <w:lang w:eastAsia="en-GB"/>
              </w:rPr>
              <w:t xml:space="preserve"> 43.3%</w:t>
            </w:r>
          </w:p>
        </w:tc>
      </w:tr>
      <w:tr w:rsidR="00E06493" w:rsidRPr="0097187E" w14:paraId="1CCD603A" w14:textId="77777777" w:rsidTr="00E06493">
        <w:trPr>
          <w:trHeight w:val="662"/>
        </w:trPr>
        <w:tc>
          <w:tcPr>
            <w:tcW w:w="897" w:type="dxa"/>
            <w:tcBorders>
              <w:top w:val="single" w:sz="8" w:space="0" w:color="FFFFFF"/>
              <w:left w:val="single" w:sz="8" w:space="0" w:color="FFFFFF"/>
              <w:bottom w:val="single" w:sz="8" w:space="0" w:color="FFFFFF"/>
              <w:right w:val="single" w:sz="8" w:space="0" w:color="FFFFFF"/>
            </w:tcBorders>
            <w:shd w:val="clear" w:color="auto" w:fill="8C8D86"/>
            <w:tcMar>
              <w:top w:w="15" w:type="dxa"/>
              <w:left w:w="108" w:type="dxa"/>
              <w:bottom w:w="0" w:type="dxa"/>
              <w:right w:w="108" w:type="dxa"/>
            </w:tcMar>
            <w:hideMark/>
          </w:tcPr>
          <w:p w14:paraId="068EDEDC" w14:textId="77777777" w:rsidR="005F1E8D" w:rsidRPr="00F1223D" w:rsidRDefault="005F1E8D" w:rsidP="00702F50">
            <w:pPr>
              <w:jc w:val="both"/>
              <w:rPr>
                <w:rFonts w:asciiTheme="minorHAnsi" w:eastAsia="Times New Roman" w:hAnsiTheme="minorHAnsi" w:cstheme="minorHAnsi"/>
                <w:sz w:val="20"/>
                <w:szCs w:val="20"/>
                <w:lang w:eastAsia="en-GB"/>
              </w:rPr>
            </w:pPr>
            <w:r w:rsidRPr="00F1223D">
              <w:rPr>
                <w:rFonts w:asciiTheme="minorHAnsi" w:eastAsia="Calibri" w:hAnsiTheme="minorHAnsi" w:cstheme="minorHAnsi"/>
                <w:b/>
                <w:bCs/>
                <w:color w:val="FFFFFF" w:themeColor="light1"/>
                <w:kern w:val="24"/>
                <w:sz w:val="20"/>
                <w:szCs w:val="20"/>
                <w:lang w:eastAsia="en-GB"/>
              </w:rPr>
              <w:t>March 2021</w:t>
            </w:r>
          </w:p>
        </w:tc>
        <w:tc>
          <w:tcPr>
            <w:tcW w:w="1246" w:type="dxa"/>
            <w:tcBorders>
              <w:top w:val="single" w:sz="8" w:space="0" w:color="FFFFFF"/>
              <w:left w:val="single" w:sz="8" w:space="0" w:color="FFFFFF"/>
              <w:bottom w:val="single" w:sz="8" w:space="0" w:color="FFFFFF"/>
              <w:right w:val="single" w:sz="8" w:space="0" w:color="FFFFFF"/>
            </w:tcBorders>
            <w:shd w:val="clear" w:color="auto" w:fill="DBDBD9"/>
            <w:tcMar>
              <w:top w:w="15" w:type="dxa"/>
              <w:left w:w="108" w:type="dxa"/>
              <w:bottom w:w="0" w:type="dxa"/>
              <w:right w:w="108" w:type="dxa"/>
            </w:tcMar>
            <w:hideMark/>
          </w:tcPr>
          <w:p w14:paraId="3208530C" w14:textId="77777777" w:rsidR="005F1E8D" w:rsidRPr="00F1223D" w:rsidRDefault="005F1E8D" w:rsidP="00702F50">
            <w:pPr>
              <w:jc w:val="both"/>
              <w:rPr>
                <w:rFonts w:asciiTheme="minorHAnsi" w:eastAsia="Times New Roman" w:hAnsiTheme="minorHAnsi" w:cstheme="minorHAnsi"/>
                <w:sz w:val="20"/>
                <w:szCs w:val="20"/>
                <w:lang w:eastAsia="en-GB"/>
              </w:rPr>
            </w:pPr>
            <w:r w:rsidRPr="00F1223D">
              <w:rPr>
                <w:rFonts w:asciiTheme="minorHAnsi" w:eastAsia="Calibri" w:hAnsiTheme="minorHAnsi" w:cstheme="minorHAnsi"/>
                <w:b/>
                <w:bCs/>
                <w:color w:val="000000" w:themeColor="dark1"/>
                <w:kern w:val="24"/>
                <w:sz w:val="20"/>
                <w:szCs w:val="20"/>
                <w:lang w:eastAsia="en-GB"/>
              </w:rPr>
              <w:t>17, 916</w:t>
            </w:r>
          </w:p>
        </w:tc>
        <w:tc>
          <w:tcPr>
            <w:tcW w:w="1150" w:type="dxa"/>
            <w:tcBorders>
              <w:top w:val="single" w:sz="8" w:space="0" w:color="FFFFFF"/>
              <w:left w:val="single" w:sz="8" w:space="0" w:color="FFFFFF"/>
              <w:bottom w:val="single" w:sz="8" w:space="0" w:color="FFFFFF"/>
              <w:right w:val="single" w:sz="8" w:space="0" w:color="FFFFFF"/>
            </w:tcBorders>
            <w:shd w:val="clear" w:color="auto" w:fill="DBDBD9"/>
            <w:tcMar>
              <w:top w:w="15" w:type="dxa"/>
              <w:left w:w="108" w:type="dxa"/>
              <w:bottom w:w="0" w:type="dxa"/>
              <w:right w:w="108" w:type="dxa"/>
            </w:tcMar>
            <w:hideMark/>
          </w:tcPr>
          <w:p w14:paraId="0466C4E3" w14:textId="77777777" w:rsidR="005F1E8D" w:rsidRPr="00F1223D" w:rsidRDefault="005F1E8D" w:rsidP="00702F50">
            <w:pPr>
              <w:jc w:val="both"/>
              <w:rPr>
                <w:rFonts w:asciiTheme="minorHAnsi" w:eastAsia="Times New Roman" w:hAnsiTheme="minorHAnsi" w:cstheme="minorHAnsi"/>
                <w:sz w:val="20"/>
                <w:szCs w:val="20"/>
                <w:lang w:eastAsia="en-GB"/>
              </w:rPr>
            </w:pPr>
            <w:r w:rsidRPr="00F1223D">
              <w:rPr>
                <w:rFonts w:asciiTheme="minorHAnsi" w:eastAsia="Calibri" w:hAnsiTheme="minorHAnsi" w:cstheme="minorHAnsi"/>
                <w:b/>
                <w:bCs/>
                <w:color w:val="000000" w:themeColor="dark1"/>
                <w:kern w:val="24"/>
                <w:sz w:val="20"/>
                <w:szCs w:val="20"/>
                <w:lang w:eastAsia="en-GB"/>
              </w:rPr>
              <w:t>7037</w:t>
            </w:r>
          </w:p>
        </w:tc>
        <w:tc>
          <w:tcPr>
            <w:tcW w:w="1310" w:type="dxa"/>
            <w:tcBorders>
              <w:top w:val="single" w:sz="8" w:space="0" w:color="FFFFFF"/>
              <w:left w:val="single" w:sz="8" w:space="0" w:color="FFFFFF"/>
              <w:bottom w:val="single" w:sz="8" w:space="0" w:color="FFFFFF"/>
              <w:right w:val="single" w:sz="8" w:space="0" w:color="FFFFFF"/>
            </w:tcBorders>
            <w:shd w:val="clear" w:color="auto" w:fill="DBDBD9"/>
            <w:tcMar>
              <w:top w:w="15" w:type="dxa"/>
              <w:left w:w="108" w:type="dxa"/>
              <w:bottom w:w="0" w:type="dxa"/>
              <w:right w:w="108" w:type="dxa"/>
            </w:tcMar>
            <w:hideMark/>
          </w:tcPr>
          <w:p w14:paraId="759BDD8D" w14:textId="77777777" w:rsidR="005F1E8D" w:rsidRPr="00F1223D" w:rsidRDefault="005F1E8D" w:rsidP="00702F50">
            <w:pPr>
              <w:jc w:val="both"/>
              <w:rPr>
                <w:rFonts w:asciiTheme="minorHAnsi" w:eastAsia="Times New Roman" w:hAnsiTheme="minorHAnsi" w:cstheme="minorHAnsi"/>
                <w:sz w:val="20"/>
                <w:szCs w:val="20"/>
                <w:lang w:eastAsia="en-GB"/>
              </w:rPr>
            </w:pPr>
            <w:r w:rsidRPr="00F1223D">
              <w:rPr>
                <w:rFonts w:asciiTheme="minorHAnsi" w:eastAsia="Calibri" w:hAnsiTheme="minorHAnsi" w:cstheme="minorHAnsi"/>
                <w:b/>
                <w:bCs/>
                <w:color w:val="000000" w:themeColor="dark1"/>
                <w:kern w:val="24"/>
                <w:sz w:val="20"/>
                <w:szCs w:val="20"/>
                <w:lang w:eastAsia="en-GB"/>
              </w:rPr>
              <w:t>39.3%</w:t>
            </w:r>
          </w:p>
        </w:tc>
        <w:tc>
          <w:tcPr>
            <w:tcW w:w="1246" w:type="dxa"/>
            <w:tcBorders>
              <w:top w:val="single" w:sz="8" w:space="0" w:color="FFFFFF"/>
              <w:left w:val="single" w:sz="8" w:space="0" w:color="FFFFFF"/>
              <w:bottom w:val="single" w:sz="8" w:space="0" w:color="FFFFFF"/>
              <w:right w:val="single" w:sz="8" w:space="0" w:color="FFFFFF"/>
            </w:tcBorders>
            <w:shd w:val="clear" w:color="auto" w:fill="DBDBD9"/>
            <w:tcMar>
              <w:top w:w="15" w:type="dxa"/>
              <w:left w:w="108" w:type="dxa"/>
              <w:bottom w:w="0" w:type="dxa"/>
              <w:right w:w="108" w:type="dxa"/>
            </w:tcMar>
            <w:hideMark/>
          </w:tcPr>
          <w:p w14:paraId="778F670D" w14:textId="77777777" w:rsidR="005F1E8D" w:rsidRPr="00F1223D" w:rsidRDefault="005F1E8D" w:rsidP="00702F50">
            <w:pPr>
              <w:jc w:val="both"/>
              <w:rPr>
                <w:rFonts w:asciiTheme="minorHAnsi" w:eastAsia="Times New Roman" w:hAnsiTheme="minorHAnsi" w:cstheme="minorHAnsi"/>
                <w:sz w:val="20"/>
                <w:szCs w:val="20"/>
                <w:lang w:eastAsia="en-GB"/>
              </w:rPr>
            </w:pPr>
            <w:r w:rsidRPr="00F1223D">
              <w:rPr>
                <w:rFonts w:asciiTheme="minorHAnsi" w:eastAsia="Calibri" w:hAnsiTheme="minorHAnsi" w:cstheme="minorHAnsi"/>
                <w:b/>
                <w:bCs/>
                <w:color w:val="000000" w:themeColor="dark1"/>
                <w:kern w:val="24"/>
                <w:sz w:val="20"/>
                <w:szCs w:val="20"/>
                <w:lang w:eastAsia="en-GB"/>
              </w:rPr>
              <w:t>12,192</w:t>
            </w:r>
          </w:p>
        </w:tc>
        <w:tc>
          <w:tcPr>
            <w:tcW w:w="1150" w:type="dxa"/>
            <w:tcBorders>
              <w:top w:val="single" w:sz="8" w:space="0" w:color="FFFFFF"/>
              <w:left w:val="single" w:sz="8" w:space="0" w:color="FFFFFF"/>
              <w:bottom w:val="single" w:sz="8" w:space="0" w:color="FFFFFF"/>
              <w:right w:val="single" w:sz="8" w:space="0" w:color="FFFFFF"/>
            </w:tcBorders>
            <w:shd w:val="clear" w:color="auto" w:fill="DBDBD9"/>
            <w:tcMar>
              <w:top w:w="15" w:type="dxa"/>
              <w:left w:w="108" w:type="dxa"/>
              <w:bottom w:w="0" w:type="dxa"/>
              <w:right w:w="108" w:type="dxa"/>
            </w:tcMar>
            <w:hideMark/>
          </w:tcPr>
          <w:p w14:paraId="53714F3D" w14:textId="77777777" w:rsidR="005F1E8D" w:rsidRPr="00F1223D" w:rsidRDefault="005F1E8D" w:rsidP="00702F50">
            <w:pPr>
              <w:jc w:val="both"/>
              <w:rPr>
                <w:rFonts w:asciiTheme="minorHAnsi" w:eastAsia="Times New Roman" w:hAnsiTheme="minorHAnsi" w:cstheme="minorHAnsi"/>
                <w:sz w:val="20"/>
                <w:szCs w:val="20"/>
                <w:lang w:eastAsia="en-GB"/>
              </w:rPr>
            </w:pPr>
            <w:r w:rsidRPr="00F1223D">
              <w:rPr>
                <w:rFonts w:asciiTheme="minorHAnsi" w:eastAsia="Calibri" w:hAnsiTheme="minorHAnsi" w:cstheme="minorHAnsi"/>
                <w:b/>
                <w:bCs/>
                <w:color w:val="000000" w:themeColor="dark1"/>
                <w:kern w:val="24"/>
                <w:sz w:val="20"/>
                <w:szCs w:val="20"/>
                <w:lang w:eastAsia="en-GB"/>
              </w:rPr>
              <w:t>6,405</w:t>
            </w:r>
          </w:p>
        </w:tc>
        <w:tc>
          <w:tcPr>
            <w:tcW w:w="1310" w:type="dxa"/>
            <w:tcBorders>
              <w:top w:val="single" w:sz="8" w:space="0" w:color="FFFFFF"/>
              <w:left w:val="single" w:sz="8" w:space="0" w:color="FFFFFF"/>
              <w:bottom w:val="single" w:sz="8" w:space="0" w:color="FFFFFF"/>
              <w:right w:val="single" w:sz="8" w:space="0" w:color="FFFFFF"/>
            </w:tcBorders>
            <w:shd w:val="clear" w:color="auto" w:fill="DBDBD9"/>
            <w:tcMar>
              <w:top w:w="15" w:type="dxa"/>
              <w:left w:w="108" w:type="dxa"/>
              <w:bottom w:w="0" w:type="dxa"/>
              <w:right w:w="108" w:type="dxa"/>
            </w:tcMar>
            <w:hideMark/>
          </w:tcPr>
          <w:p w14:paraId="3CF9B831" w14:textId="77777777" w:rsidR="005F1E8D" w:rsidRPr="00F1223D" w:rsidRDefault="005F1E8D" w:rsidP="00702F50">
            <w:pPr>
              <w:jc w:val="both"/>
              <w:rPr>
                <w:rFonts w:asciiTheme="minorHAnsi" w:eastAsia="Times New Roman" w:hAnsiTheme="minorHAnsi" w:cstheme="minorHAnsi"/>
                <w:sz w:val="20"/>
                <w:szCs w:val="20"/>
                <w:lang w:eastAsia="en-GB"/>
              </w:rPr>
            </w:pPr>
            <w:r w:rsidRPr="00F1223D">
              <w:rPr>
                <w:rFonts w:asciiTheme="minorHAnsi" w:eastAsia="Calibri" w:hAnsiTheme="minorHAnsi" w:cstheme="minorHAnsi"/>
                <w:b/>
                <w:bCs/>
                <w:color w:val="000000" w:themeColor="dark1"/>
                <w:kern w:val="24"/>
                <w:sz w:val="20"/>
                <w:szCs w:val="20"/>
                <w:lang w:eastAsia="en-GB"/>
              </w:rPr>
              <w:t>52.5%</w:t>
            </w:r>
          </w:p>
        </w:tc>
        <w:tc>
          <w:tcPr>
            <w:tcW w:w="1309" w:type="dxa"/>
            <w:tcBorders>
              <w:top w:val="single" w:sz="8" w:space="0" w:color="FFFFFF"/>
              <w:left w:val="single" w:sz="8" w:space="0" w:color="FFFFFF"/>
              <w:bottom w:val="single" w:sz="8" w:space="0" w:color="FFFFFF"/>
              <w:right w:val="single" w:sz="8" w:space="0" w:color="FFFFFF"/>
            </w:tcBorders>
            <w:shd w:val="clear" w:color="auto" w:fill="DBDBD9"/>
            <w:tcMar>
              <w:top w:w="15" w:type="dxa"/>
              <w:left w:w="15" w:type="dxa"/>
              <w:bottom w:w="0" w:type="dxa"/>
              <w:right w:w="15" w:type="dxa"/>
            </w:tcMar>
            <w:hideMark/>
          </w:tcPr>
          <w:p w14:paraId="531C1241" w14:textId="77777777" w:rsidR="005F1E8D" w:rsidRPr="00F1223D" w:rsidRDefault="005F1E8D" w:rsidP="00702F50">
            <w:pPr>
              <w:jc w:val="both"/>
              <w:rPr>
                <w:rFonts w:asciiTheme="minorHAnsi" w:eastAsia="Times New Roman" w:hAnsiTheme="minorHAnsi" w:cstheme="minorHAnsi"/>
                <w:sz w:val="20"/>
                <w:szCs w:val="20"/>
                <w:lang w:eastAsia="en-GB"/>
              </w:rPr>
            </w:pPr>
            <w:r w:rsidRPr="00F1223D">
              <w:rPr>
                <w:rFonts w:asciiTheme="minorHAnsi" w:eastAsia="Calibri" w:hAnsiTheme="minorHAnsi" w:cstheme="minorHAnsi"/>
                <w:b/>
                <w:bCs/>
                <w:color w:val="000000" w:themeColor="dark1"/>
                <w:kern w:val="24"/>
                <w:sz w:val="20"/>
                <w:szCs w:val="20"/>
                <w:lang w:eastAsia="en-GB"/>
              </w:rPr>
              <w:t>30,108</w:t>
            </w:r>
          </w:p>
        </w:tc>
        <w:tc>
          <w:tcPr>
            <w:tcW w:w="1145" w:type="dxa"/>
            <w:tcBorders>
              <w:top w:val="single" w:sz="8" w:space="0" w:color="FFFFFF"/>
              <w:left w:val="single" w:sz="8" w:space="0" w:color="FFFFFF"/>
              <w:bottom w:val="single" w:sz="8" w:space="0" w:color="FFFFFF"/>
              <w:right w:val="single" w:sz="8" w:space="0" w:color="FFFFFF"/>
            </w:tcBorders>
            <w:shd w:val="clear" w:color="auto" w:fill="DBDBD9"/>
            <w:tcMar>
              <w:top w:w="15" w:type="dxa"/>
              <w:left w:w="15" w:type="dxa"/>
              <w:bottom w:w="0" w:type="dxa"/>
              <w:right w:w="15" w:type="dxa"/>
            </w:tcMar>
            <w:hideMark/>
          </w:tcPr>
          <w:p w14:paraId="76F53B60" w14:textId="77777777" w:rsidR="005F1E8D" w:rsidRPr="00F1223D" w:rsidRDefault="005F1E8D" w:rsidP="00702F50">
            <w:pPr>
              <w:jc w:val="both"/>
              <w:rPr>
                <w:rFonts w:asciiTheme="minorHAnsi" w:eastAsia="Times New Roman" w:hAnsiTheme="minorHAnsi" w:cstheme="minorHAnsi"/>
                <w:sz w:val="20"/>
                <w:szCs w:val="20"/>
                <w:lang w:eastAsia="en-GB"/>
              </w:rPr>
            </w:pPr>
            <w:r w:rsidRPr="00F1223D">
              <w:rPr>
                <w:rFonts w:asciiTheme="minorHAnsi" w:eastAsia="Calibri" w:hAnsiTheme="minorHAnsi" w:cstheme="minorHAnsi"/>
                <w:b/>
                <w:bCs/>
                <w:color w:val="000000" w:themeColor="dark1"/>
                <w:kern w:val="24"/>
                <w:sz w:val="20"/>
                <w:szCs w:val="20"/>
                <w:lang w:eastAsia="en-GB"/>
              </w:rPr>
              <w:t>13,442</w:t>
            </w:r>
          </w:p>
        </w:tc>
        <w:tc>
          <w:tcPr>
            <w:tcW w:w="1276" w:type="dxa"/>
            <w:tcBorders>
              <w:top w:val="single" w:sz="8" w:space="0" w:color="FFFFFF"/>
              <w:left w:val="single" w:sz="8" w:space="0" w:color="FFFFFF"/>
              <w:bottom w:val="single" w:sz="8" w:space="0" w:color="FFFFFF"/>
              <w:right w:val="single" w:sz="8" w:space="0" w:color="FFFFFF"/>
            </w:tcBorders>
            <w:shd w:val="clear" w:color="auto" w:fill="DBDBD9"/>
            <w:tcMar>
              <w:top w:w="15" w:type="dxa"/>
              <w:left w:w="15" w:type="dxa"/>
              <w:bottom w:w="0" w:type="dxa"/>
              <w:right w:w="15" w:type="dxa"/>
            </w:tcMar>
            <w:hideMark/>
          </w:tcPr>
          <w:p w14:paraId="38F3C411" w14:textId="77777777" w:rsidR="005F1E8D" w:rsidRPr="00F1223D" w:rsidRDefault="005F1E8D" w:rsidP="00702F50">
            <w:pPr>
              <w:jc w:val="both"/>
              <w:rPr>
                <w:rFonts w:asciiTheme="minorHAnsi" w:eastAsia="Times New Roman" w:hAnsiTheme="minorHAnsi" w:cstheme="minorHAnsi"/>
                <w:sz w:val="20"/>
                <w:szCs w:val="20"/>
                <w:lang w:eastAsia="en-GB"/>
              </w:rPr>
            </w:pPr>
            <w:r w:rsidRPr="00F1223D">
              <w:rPr>
                <w:rFonts w:asciiTheme="minorHAnsi" w:eastAsia="Calibri" w:hAnsiTheme="minorHAnsi" w:cstheme="minorHAnsi"/>
                <w:b/>
                <w:bCs/>
                <w:color w:val="000000" w:themeColor="dark1"/>
                <w:kern w:val="24"/>
                <w:sz w:val="20"/>
                <w:szCs w:val="20"/>
                <w:lang w:eastAsia="en-GB"/>
              </w:rPr>
              <w:t>44.6%</w:t>
            </w:r>
          </w:p>
        </w:tc>
      </w:tr>
      <w:tr w:rsidR="00E06493" w:rsidRPr="0097187E" w14:paraId="7817B6F5" w14:textId="77777777" w:rsidTr="00E06493">
        <w:trPr>
          <w:trHeight w:val="662"/>
        </w:trPr>
        <w:tc>
          <w:tcPr>
            <w:tcW w:w="897" w:type="dxa"/>
            <w:tcBorders>
              <w:top w:val="single" w:sz="8" w:space="0" w:color="FFFFFF"/>
              <w:left w:val="single" w:sz="8" w:space="0" w:color="FFFFFF"/>
              <w:bottom w:val="single" w:sz="8" w:space="0" w:color="FFFFFF"/>
              <w:right w:val="single" w:sz="8" w:space="0" w:color="FFFFFF"/>
            </w:tcBorders>
            <w:shd w:val="clear" w:color="auto" w:fill="8C8D86"/>
            <w:tcMar>
              <w:top w:w="15" w:type="dxa"/>
              <w:left w:w="108" w:type="dxa"/>
              <w:bottom w:w="0" w:type="dxa"/>
              <w:right w:w="108" w:type="dxa"/>
            </w:tcMar>
          </w:tcPr>
          <w:p w14:paraId="6082A940" w14:textId="1ADF7838" w:rsidR="00605CA3" w:rsidRPr="00F1223D" w:rsidRDefault="00212A76" w:rsidP="00702F50">
            <w:pPr>
              <w:jc w:val="both"/>
              <w:rPr>
                <w:rFonts w:asciiTheme="minorHAnsi" w:eastAsia="Calibri" w:hAnsiTheme="minorHAnsi" w:cstheme="minorHAnsi"/>
                <w:b/>
                <w:bCs/>
                <w:color w:val="FFFFFF" w:themeColor="light1"/>
                <w:kern w:val="24"/>
                <w:sz w:val="20"/>
                <w:szCs w:val="20"/>
                <w:lang w:eastAsia="en-GB"/>
              </w:rPr>
            </w:pPr>
            <w:r w:rsidRPr="00F1223D">
              <w:rPr>
                <w:rFonts w:asciiTheme="minorHAnsi" w:eastAsia="Calibri" w:hAnsiTheme="minorHAnsi" w:cstheme="minorHAnsi"/>
                <w:b/>
                <w:bCs/>
                <w:color w:val="FFFFFF" w:themeColor="light1"/>
                <w:kern w:val="24"/>
                <w:sz w:val="20"/>
                <w:szCs w:val="20"/>
                <w:lang w:eastAsia="en-GB"/>
              </w:rPr>
              <w:t>March 2022</w:t>
            </w:r>
          </w:p>
        </w:tc>
        <w:tc>
          <w:tcPr>
            <w:tcW w:w="1246" w:type="dxa"/>
            <w:tcBorders>
              <w:top w:val="single" w:sz="8" w:space="0" w:color="FFFFFF"/>
              <w:left w:val="single" w:sz="8" w:space="0" w:color="FFFFFF"/>
              <w:bottom w:val="single" w:sz="8" w:space="0" w:color="FFFFFF"/>
              <w:right w:val="single" w:sz="8" w:space="0" w:color="FFFFFF"/>
            </w:tcBorders>
            <w:shd w:val="clear" w:color="auto" w:fill="DBDBD9"/>
            <w:tcMar>
              <w:top w:w="15" w:type="dxa"/>
              <w:left w:w="108" w:type="dxa"/>
              <w:bottom w:w="0" w:type="dxa"/>
              <w:right w:w="108" w:type="dxa"/>
            </w:tcMar>
          </w:tcPr>
          <w:p w14:paraId="0FA3DA37" w14:textId="65F4D5F4" w:rsidR="00605CA3" w:rsidRPr="00F1223D" w:rsidRDefault="00212A76" w:rsidP="00702F50">
            <w:pPr>
              <w:jc w:val="both"/>
              <w:rPr>
                <w:rFonts w:asciiTheme="minorHAnsi" w:eastAsia="Calibri" w:hAnsiTheme="minorHAnsi" w:cstheme="minorHAnsi"/>
                <w:b/>
                <w:bCs/>
                <w:color w:val="000000" w:themeColor="dark1"/>
                <w:kern w:val="24"/>
                <w:sz w:val="20"/>
                <w:szCs w:val="20"/>
                <w:lang w:eastAsia="en-GB"/>
              </w:rPr>
            </w:pPr>
            <w:r w:rsidRPr="00F1223D">
              <w:rPr>
                <w:rFonts w:asciiTheme="minorHAnsi" w:eastAsia="Calibri" w:hAnsiTheme="minorHAnsi" w:cstheme="minorHAnsi"/>
                <w:b/>
                <w:bCs/>
                <w:color w:val="000000" w:themeColor="dark1"/>
                <w:kern w:val="24"/>
                <w:sz w:val="20"/>
                <w:szCs w:val="20"/>
                <w:lang w:eastAsia="en-GB"/>
              </w:rPr>
              <w:t>22,435</w:t>
            </w:r>
          </w:p>
        </w:tc>
        <w:tc>
          <w:tcPr>
            <w:tcW w:w="1150" w:type="dxa"/>
            <w:tcBorders>
              <w:top w:val="single" w:sz="8" w:space="0" w:color="FFFFFF"/>
              <w:left w:val="single" w:sz="8" w:space="0" w:color="FFFFFF"/>
              <w:bottom w:val="single" w:sz="8" w:space="0" w:color="FFFFFF"/>
              <w:right w:val="single" w:sz="8" w:space="0" w:color="FFFFFF"/>
            </w:tcBorders>
            <w:shd w:val="clear" w:color="auto" w:fill="DBDBD9"/>
            <w:tcMar>
              <w:top w:w="15" w:type="dxa"/>
              <w:left w:w="108" w:type="dxa"/>
              <w:bottom w:w="0" w:type="dxa"/>
              <w:right w:w="108" w:type="dxa"/>
            </w:tcMar>
          </w:tcPr>
          <w:p w14:paraId="1BF71AEB" w14:textId="17198E09" w:rsidR="00605CA3" w:rsidRPr="00F1223D" w:rsidRDefault="00212A76" w:rsidP="00702F50">
            <w:pPr>
              <w:jc w:val="both"/>
              <w:rPr>
                <w:rFonts w:asciiTheme="minorHAnsi" w:eastAsia="Calibri" w:hAnsiTheme="minorHAnsi" w:cstheme="minorHAnsi"/>
                <w:b/>
                <w:bCs/>
                <w:color w:val="000000" w:themeColor="dark1"/>
                <w:kern w:val="24"/>
                <w:sz w:val="20"/>
                <w:szCs w:val="20"/>
                <w:lang w:eastAsia="en-GB"/>
              </w:rPr>
            </w:pPr>
            <w:r w:rsidRPr="00F1223D">
              <w:rPr>
                <w:rFonts w:asciiTheme="minorHAnsi" w:eastAsia="Calibri" w:hAnsiTheme="minorHAnsi" w:cstheme="minorHAnsi"/>
                <w:b/>
                <w:bCs/>
                <w:color w:val="000000" w:themeColor="dark1"/>
                <w:kern w:val="24"/>
                <w:sz w:val="20"/>
                <w:szCs w:val="20"/>
                <w:lang w:eastAsia="en-GB"/>
              </w:rPr>
              <w:t>8383</w:t>
            </w:r>
          </w:p>
        </w:tc>
        <w:tc>
          <w:tcPr>
            <w:tcW w:w="1310" w:type="dxa"/>
            <w:tcBorders>
              <w:top w:val="single" w:sz="8" w:space="0" w:color="FFFFFF"/>
              <w:left w:val="single" w:sz="8" w:space="0" w:color="FFFFFF"/>
              <w:bottom w:val="single" w:sz="8" w:space="0" w:color="FFFFFF"/>
              <w:right w:val="single" w:sz="8" w:space="0" w:color="FFFFFF"/>
            </w:tcBorders>
            <w:shd w:val="clear" w:color="auto" w:fill="DBDBD9"/>
            <w:tcMar>
              <w:top w:w="15" w:type="dxa"/>
              <w:left w:w="108" w:type="dxa"/>
              <w:bottom w:w="0" w:type="dxa"/>
              <w:right w:w="108" w:type="dxa"/>
            </w:tcMar>
          </w:tcPr>
          <w:p w14:paraId="71D05FEB" w14:textId="01322DB8" w:rsidR="00605CA3" w:rsidRPr="00F1223D" w:rsidRDefault="00212A76" w:rsidP="00702F50">
            <w:pPr>
              <w:jc w:val="both"/>
              <w:rPr>
                <w:rFonts w:asciiTheme="minorHAnsi" w:eastAsia="Calibri" w:hAnsiTheme="minorHAnsi" w:cstheme="minorHAnsi"/>
                <w:b/>
                <w:bCs/>
                <w:color w:val="000000" w:themeColor="dark1"/>
                <w:kern w:val="24"/>
                <w:sz w:val="20"/>
                <w:szCs w:val="20"/>
                <w:lang w:eastAsia="en-GB"/>
              </w:rPr>
            </w:pPr>
            <w:r w:rsidRPr="00F1223D">
              <w:rPr>
                <w:rFonts w:asciiTheme="minorHAnsi" w:eastAsia="Calibri" w:hAnsiTheme="minorHAnsi" w:cstheme="minorHAnsi"/>
                <w:b/>
                <w:bCs/>
                <w:color w:val="000000" w:themeColor="dark1"/>
                <w:kern w:val="24"/>
                <w:sz w:val="20"/>
                <w:szCs w:val="20"/>
                <w:lang w:eastAsia="en-GB"/>
              </w:rPr>
              <w:t>37.4%</w:t>
            </w:r>
          </w:p>
        </w:tc>
        <w:tc>
          <w:tcPr>
            <w:tcW w:w="1246" w:type="dxa"/>
            <w:tcBorders>
              <w:top w:val="single" w:sz="8" w:space="0" w:color="FFFFFF"/>
              <w:left w:val="single" w:sz="8" w:space="0" w:color="FFFFFF"/>
              <w:bottom w:val="single" w:sz="8" w:space="0" w:color="FFFFFF"/>
              <w:right w:val="single" w:sz="8" w:space="0" w:color="FFFFFF"/>
            </w:tcBorders>
            <w:shd w:val="clear" w:color="auto" w:fill="DBDBD9"/>
            <w:tcMar>
              <w:top w:w="15" w:type="dxa"/>
              <w:left w:w="108" w:type="dxa"/>
              <w:bottom w:w="0" w:type="dxa"/>
              <w:right w:w="108" w:type="dxa"/>
            </w:tcMar>
          </w:tcPr>
          <w:p w14:paraId="61FC9D33" w14:textId="54D53128" w:rsidR="00605CA3" w:rsidRPr="00F1223D" w:rsidRDefault="00212A76" w:rsidP="00702F50">
            <w:pPr>
              <w:jc w:val="both"/>
              <w:rPr>
                <w:rFonts w:asciiTheme="minorHAnsi" w:eastAsia="Calibri" w:hAnsiTheme="minorHAnsi" w:cstheme="minorHAnsi"/>
                <w:b/>
                <w:bCs/>
                <w:color w:val="000000" w:themeColor="dark1"/>
                <w:kern w:val="24"/>
                <w:sz w:val="20"/>
                <w:szCs w:val="20"/>
                <w:lang w:eastAsia="en-GB"/>
              </w:rPr>
            </w:pPr>
            <w:r w:rsidRPr="00F1223D">
              <w:rPr>
                <w:rFonts w:asciiTheme="minorHAnsi" w:eastAsia="Calibri" w:hAnsiTheme="minorHAnsi" w:cstheme="minorHAnsi"/>
                <w:b/>
                <w:bCs/>
                <w:color w:val="000000" w:themeColor="dark1"/>
                <w:kern w:val="24"/>
                <w:sz w:val="20"/>
                <w:szCs w:val="20"/>
                <w:lang w:eastAsia="en-GB"/>
              </w:rPr>
              <w:t>16,011</w:t>
            </w:r>
          </w:p>
        </w:tc>
        <w:tc>
          <w:tcPr>
            <w:tcW w:w="1150" w:type="dxa"/>
            <w:tcBorders>
              <w:top w:val="single" w:sz="8" w:space="0" w:color="FFFFFF"/>
              <w:left w:val="single" w:sz="8" w:space="0" w:color="FFFFFF"/>
              <w:bottom w:val="single" w:sz="8" w:space="0" w:color="FFFFFF"/>
              <w:right w:val="single" w:sz="8" w:space="0" w:color="FFFFFF"/>
            </w:tcBorders>
            <w:shd w:val="clear" w:color="auto" w:fill="DBDBD9"/>
            <w:tcMar>
              <w:top w:w="15" w:type="dxa"/>
              <w:left w:w="108" w:type="dxa"/>
              <w:bottom w:w="0" w:type="dxa"/>
              <w:right w:w="108" w:type="dxa"/>
            </w:tcMar>
          </w:tcPr>
          <w:p w14:paraId="33279DD9" w14:textId="49672922" w:rsidR="00605CA3" w:rsidRPr="00F1223D" w:rsidRDefault="00212A76" w:rsidP="00702F50">
            <w:pPr>
              <w:jc w:val="both"/>
              <w:rPr>
                <w:rFonts w:asciiTheme="minorHAnsi" w:eastAsia="Calibri" w:hAnsiTheme="minorHAnsi" w:cstheme="minorHAnsi"/>
                <w:b/>
                <w:bCs/>
                <w:color w:val="000000" w:themeColor="dark1"/>
                <w:kern w:val="24"/>
                <w:sz w:val="20"/>
                <w:szCs w:val="20"/>
                <w:lang w:eastAsia="en-GB"/>
              </w:rPr>
            </w:pPr>
            <w:r w:rsidRPr="00F1223D">
              <w:rPr>
                <w:rFonts w:asciiTheme="minorHAnsi" w:eastAsia="Calibri" w:hAnsiTheme="minorHAnsi" w:cstheme="minorHAnsi"/>
                <w:b/>
                <w:bCs/>
                <w:color w:val="000000" w:themeColor="dark1"/>
                <w:kern w:val="24"/>
                <w:sz w:val="20"/>
                <w:szCs w:val="20"/>
                <w:lang w:eastAsia="en-GB"/>
              </w:rPr>
              <w:t>7283</w:t>
            </w:r>
          </w:p>
        </w:tc>
        <w:tc>
          <w:tcPr>
            <w:tcW w:w="1310" w:type="dxa"/>
            <w:tcBorders>
              <w:top w:val="single" w:sz="8" w:space="0" w:color="FFFFFF"/>
              <w:left w:val="single" w:sz="8" w:space="0" w:color="FFFFFF"/>
              <w:bottom w:val="single" w:sz="8" w:space="0" w:color="FFFFFF"/>
              <w:right w:val="single" w:sz="8" w:space="0" w:color="FFFFFF"/>
            </w:tcBorders>
            <w:shd w:val="clear" w:color="auto" w:fill="DBDBD9"/>
            <w:tcMar>
              <w:top w:w="15" w:type="dxa"/>
              <w:left w:w="108" w:type="dxa"/>
              <w:bottom w:w="0" w:type="dxa"/>
              <w:right w:w="108" w:type="dxa"/>
            </w:tcMar>
          </w:tcPr>
          <w:p w14:paraId="11DF4C07" w14:textId="2BD6E907" w:rsidR="00605CA3" w:rsidRPr="00F1223D" w:rsidRDefault="00212A76" w:rsidP="00702F50">
            <w:pPr>
              <w:jc w:val="both"/>
              <w:rPr>
                <w:rFonts w:asciiTheme="minorHAnsi" w:eastAsia="Calibri" w:hAnsiTheme="minorHAnsi" w:cstheme="minorHAnsi"/>
                <w:b/>
                <w:bCs/>
                <w:color w:val="000000" w:themeColor="dark1"/>
                <w:kern w:val="24"/>
                <w:sz w:val="20"/>
                <w:szCs w:val="20"/>
                <w:lang w:eastAsia="en-GB"/>
              </w:rPr>
            </w:pPr>
            <w:r w:rsidRPr="00F1223D">
              <w:rPr>
                <w:rFonts w:asciiTheme="minorHAnsi" w:eastAsia="Calibri" w:hAnsiTheme="minorHAnsi" w:cstheme="minorHAnsi"/>
                <w:b/>
                <w:bCs/>
                <w:color w:val="000000" w:themeColor="dark1"/>
                <w:kern w:val="24"/>
                <w:sz w:val="20"/>
                <w:szCs w:val="20"/>
                <w:lang w:eastAsia="en-GB"/>
              </w:rPr>
              <w:t>45.5%</w:t>
            </w:r>
          </w:p>
        </w:tc>
        <w:tc>
          <w:tcPr>
            <w:tcW w:w="1309" w:type="dxa"/>
            <w:tcBorders>
              <w:top w:val="single" w:sz="8" w:space="0" w:color="FFFFFF"/>
              <w:left w:val="single" w:sz="8" w:space="0" w:color="FFFFFF"/>
              <w:bottom w:val="single" w:sz="8" w:space="0" w:color="FFFFFF"/>
              <w:right w:val="single" w:sz="8" w:space="0" w:color="FFFFFF"/>
            </w:tcBorders>
            <w:shd w:val="clear" w:color="auto" w:fill="DBDBD9"/>
            <w:tcMar>
              <w:top w:w="15" w:type="dxa"/>
              <w:left w:w="15" w:type="dxa"/>
              <w:bottom w:w="0" w:type="dxa"/>
              <w:right w:w="15" w:type="dxa"/>
            </w:tcMar>
          </w:tcPr>
          <w:p w14:paraId="3E7452E1" w14:textId="694938AD" w:rsidR="00605CA3" w:rsidRPr="00F1223D" w:rsidRDefault="00212A76" w:rsidP="00702F50">
            <w:pPr>
              <w:jc w:val="both"/>
              <w:rPr>
                <w:rFonts w:asciiTheme="minorHAnsi" w:eastAsia="Calibri" w:hAnsiTheme="minorHAnsi" w:cstheme="minorHAnsi"/>
                <w:b/>
                <w:bCs/>
                <w:color w:val="000000" w:themeColor="dark1"/>
                <w:kern w:val="24"/>
                <w:sz w:val="20"/>
                <w:szCs w:val="20"/>
                <w:lang w:eastAsia="en-GB"/>
              </w:rPr>
            </w:pPr>
            <w:r w:rsidRPr="00F1223D">
              <w:rPr>
                <w:rFonts w:asciiTheme="minorHAnsi" w:eastAsia="Calibri" w:hAnsiTheme="minorHAnsi" w:cstheme="minorHAnsi"/>
                <w:b/>
                <w:bCs/>
                <w:color w:val="000000" w:themeColor="dark1"/>
                <w:kern w:val="24"/>
                <w:sz w:val="20"/>
                <w:szCs w:val="20"/>
                <w:lang w:eastAsia="en-GB"/>
              </w:rPr>
              <w:t>38,446</w:t>
            </w:r>
          </w:p>
        </w:tc>
        <w:tc>
          <w:tcPr>
            <w:tcW w:w="1145" w:type="dxa"/>
            <w:tcBorders>
              <w:top w:val="single" w:sz="8" w:space="0" w:color="FFFFFF"/>
              <w:left w:val="single" w:sz="8" w:space="0" w:color="FFFFFF"/>
              <w:bottom w:val="single" w:sz="8" w:space="0" w:color="FFFFFF"/>
              <w:right w:val="single" w:sz="8" w:space="0" w:color="FFFFFF"/>
            </w:tcBorders>
            <w:shd w:val="clear" w:color="auto" w:fill="DBDBD9"/>
            <w:tcMar>
              <w:top w:w="15" w:type="dxa"/>
              <w:left w:w="15" w:type="dxa"/>
              <w:bottom w:w="0" w:type="dxa"/>
              <w:right w:w="15" w:type="dxa"/>
            </w:tcMar>
          </w:tcPr>
          <w:p w14:paraId="0F9C4D45" w14:textId="6313C7E5" w:rsidR="00605CA3" w:rsidRPr="00F1223D" w:rsidRDefault="00212A76" w:rsidP="00702F50">
            <w:pPr>
              <w:jc w:val="both"/>
              <w:rPr>
                <w:rFonts w:asciiTheme="minorHAnsi" w:eastAsia="Calibri" w:hAnsiTheme="minorHAnsi" w:cstheme="minorHAnsi"/>
                <w:b/>
                <w:bCs/>
                <w:color w:val="000000" w:themeColor="dark1"/>
                <w:kern w:val="24"/>
                <w:sz w:val="20"/>
                <w:szCs w:val="20"/>
                <w:lang w:eastAsia="en-GB"/>
              </w:rPr>
            </w:pPr>
            <w:r w:rsidRPr="00F1223D">
              <w:rPr>
                <w:rFonts w:asciiTheme="minorHAnsi" w:eastAsia="Calibri" w:hAnsiTheme="minorHAnsi" w:cstheme="minorHAnsi"/>
                <w:b/>
                <w:bCs/>
                <w:color w:val="000000" w:themeColor="dark1"/>
                <w:kern w:val="24"/>
                <w:sz w:val="20"/>
                <w:szCs w:val="20"/>
                <w:lang w:eastAsia="en-GB"/>
              </w:rPr>
              <w:t>15,666</w:t>
            </w:r>
          </w:p>
        </w:tc>
        <w:tc>
          <w:tcPr>
            <w:tcW w:w="1276" w:type="dxa"/>
            <w:tcBorders>
              <w:top w:val="single" w:sz="8" w:space="0" w:color="FFFFFF"/>
              <w:left w:val="single" w:sz="8" w:space="0" w:color="FFFFFF"/>
              <w:bottom w:val="single" w:sz="8" w:space="0" w:color="FFFFFF"/>
              <w:right w:val="single" w:sz="8" w:space="0" w:color="FFFFFF"/>
            </w:tcBorders>
            <w:shd w:val="clear" w:color="auto" w:fill="DBDBD9"/>
            <w:tcMar>
              <w:top w:w="15" w:type="dxa"/>
              <w:left w:w="15" w:type="dxa"/>
              <w:bottom w:w="0" w:type="dxa"/>
              <w:right w:w="15" w:type="dxa"/>
            </w:tcMar>
          </w:tcPr>
          <w:p w14:paraId="7A4D0723" w14:textId="78036C93" w:rsidR="00605CA3" w:rsidRPr="00F1223D" w:rsidRDefault="00212A76" w:rsidP="00702F50">
            <w:pPr>
              <w:jc w:val="both"/>
              <w:rPr>
                <w:rFonts w:asciiTheme="minorHAnsi" w:eastAsia="Calibri" w:hAnsiTheme="minorHAnsi" w:cstheme="minorHAnsi"/>
                <w:b/>
                <w:bCs/>
                <w:color w:val="000000" w:themeColor="dark1"/>
                <w:kern w:val="24"/>
                <w:sz w:val="20"/>
                <w:szCs w:val="20"/>
                <w:lang w:eastAsia="en-GB"/>
              </w:rPr>
            </w:pPr>
            <w:r w:rsidRPr="00F1223D">
              <w:rPr>
                <w:rFonts w:asciiTheme="minorHAnsi" w:eastAsia="Calibri" w:hAnsiTheme="minorHAnsi" w:cstheme="minorHAnsi"/>
                <w:b/>
                <w:bCs/>
                <w:color w:val="000000" w:themeColor="dark1"/>
                <w:kern w:val="24"/>
                <w:sz w:val="20"/>
                <w:szCs w:val="20"/>
                <w:lang w:eastAsia="en-GB"/>
              </w:rPr>
              <w:t>40.7%</w:t>
            </w:r>
          </w:p>
        </w:tc>
      </w:tr>
      <w:tr w:rsidR="00E06493" w:rsidRPr="0097187E" w14:paraId="38EAD4D4" w14:textId="77777777" w:rsidTr="00E06493">
        <w:trPr>
          <w:trHeight w:val="662"/>
        </w:trPr>
        <w:tc>
          <w:tcPr>
            <w:tcW w:w="897" w:type="dxa"/>
            <w:tcBorders>
              <w:top w:val="single" w:sz="8" w:space="0" w:color="FFFFFF"/>
              <w:left w:val="single" w:sz="8" w:space="0" w:color="FFFFFF"/>
              <w:bottom w:val="single" w:sz="8" w:space="0" w:color="FFFFFF"/>
              <w:right w:val="single" w:sz="8" w:space="0" w:color="FFFFFF"/>
            </w:tcBorders>
            <w:shd w:val="clear" w:color="auto" w:fill="8C8D86"/>
            <w:tcMar>
              <w:top w:w="15" w:type="dxa"/>
              <w:left w:w="108" w:type="dxa"/>
              <w:bottom w:w="0" w:type="dxa"/>
              <w:right w:w="108" w:type="dxa"/>
            </w:tcMar>
          </w:tcPr>
          <w:p w14:paraId="0C0929ED" w14:textId="68427104" w:rsidR="00605CA3" w:rsidRPr="00F1223D" w:rsidRDefault="00212A76" w:rsidP="00702F50">
            <w:pPr>
              <w:jc w:val="both"/>
              <w:rPr>
                <w:rFonts w:asciiTheme="minorHAnsi" w:eastAsia="Calibri" w:hAnsiTheme="minorHAnsi" w:cstheme="minorHAnsi"/>
                <w:b/>
                <w:bCs/>
                <w:color w:val="FFFFFF" w:themeColor="light1"/>
                <w:kern w:val="24"/>
                <w:sz w:val="20"/>
                <w:szCs w:val="20"/>
                <w:lang w:eastAsia="en-GB"/>
              </w:rPr>
            </w:pPr>
            <w:r w:rsidRPr="00F1223D">
              <w:rPr>
                <w:rFonts w:asciiTheme="minorHAnsi" w:eastAsia="Calibri" w:hAnsiTheme="minorHAnsi" w:cstheme="minorHAnsi"/>
                <w:b/>
                <w:bCs/>
                <w:color w:val="FFFFFF" w:themeColor="light1"/>
                <w:kern w:val="24"/>
                <w:sz w:val="20"/>
                <w:szCs w:val="20"/>
                <w:lang w:eastAsia="en-GB"/>
              </w:rPr>
              <w:t>March 2023</w:t>
            </w:r>
          </w:p>
        </w:tc>
        <w:tc>
          <w:tcPr>
            <w:tcW w:w="1246" w:type="dxa"/>
            <w:tcBorders>
              <w:top w:val="single" w:sz="8" w:space="0" w:color="FFFFFF"/>
              <w:left w:val="single" w:sz="8" w:space="0" w:color="FFFFFF"/>
              <w:bottom w:val="single" w:sz="8" w:space="0" w:color="FFFFFF"/>
              <w:right w:val="single" w:sz="8" w:space="0" w:color="FFFFFF"/>
            </w:tcBorders>
            <w:shd w:val="clear" w:color="auto" w:fill="DBDBD9"/>
            <w:tcMar>
              <w:top w:w="15" w:type="dxa"/>
              <w:left w:w="108" w:type="dxa"/>
              <w:bottom w:w="0" w:type="dxa"/>
              <w:right w:w="108" w:type="dxa"/>
            </w:tcMar>
          </w:tcPr>
          <w:p w14:paraId="569A30F4" w14:textId="224C4675" w:rsidR="00605CA3" w:rsidRPr="00F1223D" w:rsidRDefault="00212A76" w:rsidP="00702F50">
            <w:pPr>
              <w:jc w:val="both"/>
              <w:rPr>
                <w:rFonts w:asciiTheme="minorHAnsi" w:eastAsia="Calibri" w:hAnsiTheme="minorHAnsi" w:cstheme="minorHAnsi"/>
                <w:b/>
                <w:bCs/>
                <w:color w:val="000000" w:themeColor="dark1"/>
                <w:kern w:val="24"/>
                <w:sz w:val="20"/>
                <w:szCs w:val="20"/>
                <w:lang w:eastAsia="en-GB"/>
              </w:rPr>
            </w:pPr>
            <w:r w:rsidRPr="00F1223D">
              <w:rPr>
                <w:rFonts w:asciiTheme="minorHAnsi" w:eastAsia="Calibri" w:hAnsiTheme="minorHAnsi" w:cstheme="minorHAnsi"/>
                <w:b/>
                <w:bCs/>
                <w:color w:val="000000" w:themeColor="dark1"/>
                <w:kern w:val="24"/>
                <w:sz w:val="20"/>
                <w:szCs w:val="20"/>
                <w:lang w:eastAsia="en-GB"/>
              </w:rPr>
              <w:t>27,419</w:t>
            </w:r>
          </w:p>
        </w:tc>
        <w:tc>
          <w:tcPr>
            <w:tcW w:w="1150" w:type="dxa"/>
            <w:tcBorders>
              <w:top w:val="single" w:sz="8" w:space="0" w:color="FFFFFF"/>
              <w:left w:val="single" w:sz="8" w:space="0" w:color="FFFFFF"/>
              <w:bottom w:val="single" w:sz="8" w:space="0" w:color="FFFFFF"/>
              <w:right w:val="single" w:sz="8" w:space="0" w:color="FFFFFF"/>
            </w:tcBorders>
            <w:shd w:val="clear" w:color="auto" w:fill="DBDBD9"/>
            <w:tcMar>
              <w:top w:w="15" w:type="dxa"/>
              <w:left w:w="108" w:type="dxa"/>
              <w:bottom w:w="0" w:type="dxa"/>
              <w:right w:w="108" w:type="dxa"/>
            </w:tcMar>
          </w:tcPr>
          <w:p w14:paraId="7454E1E5" w14:textId="2C06A597" w:rsidR="00605CA3" w:rsidRPr="00F1223D" w:rsidRDefault="00212A76" w:rsidP="00702F50">
            <w:pPr>
              <w:jc w:val="both"/>
              <w:rPr>
                <w:rFonts w:asciiTheme="minorHAnsi" w:eastAsia="Calibri" w:hAnsiTheme="minorHAnsi" w:cstheme="minorHAnsi"/>
                <w:b/>
                <w:bCs/>
                <w:color w:val="000000" w:themeColor="dark1"/>
                <w:kern w:val="24"/>
                <w:sz w:val="20"/>
                <w:szCs w:val="20"/>
                <w:lang w:eastAsia="en-GB"/>
              </w:rPr>
            </w:pPr>
            <w:r w:rsidRPr="00F1223D">
              <w:rPr>
                <w:rFonts w:asciiTheme="minorHAnsi" w:eastAsia="Calibri" w:hAnsiTheme="minorHAnsi" w:cstheme="minorHAnsi"/>
                <w:b/>
                <w:bCs/>
                <w:color w:val="000000" w:themeColor="dark1"/>
                <w:kern w:val="24"/>
                <w:sz w:val="20"/>
                <w:szCs w:val="20"/>
                <w:lang w:eastAsia="en-GB"/>
              </w:rPr>
              <w:t>9829</w:t>
            </w:r>
          </w:p>
        </w:tc>
        <w:tc>
          <w:tcPr>
            <w:tcW w:w="1310" w:type="dxa"/>
            <w:tcBorders>
              <w:top w:val="single" w:sz="8" w:space="0" w:color="FFFFFF"/>
              <w:left w:val="single" w:sz="8" w:space="0" w:color="FFFFFF"/>
              <w:bottom w:val="single" w:sz="8" w:space="0" w:color="FFFFFF"/>
              <w:right w:val="single" w:sz="8" w:space="0" w:color="FFFFFF"/>
            </w:tcBorders>
            <w:shd w:val="clear" w:color="auto" w:fill="DBDBD9"/>
            <w:tcMar>
              <w:top w:w="15" w:type="dxa"/>
              <w:left w:w="108" w:type="dxa"/>
              <w:bottom w:w="0" w:type="dxa"/>
              <w:right w:w="108" w:type="dxa"/>
            </w:tcMar>
          </w:tcPr>
          <w:p w14:paraId="776B058D" w14:textId="3C3EACA8" w:rsidR="00605CA3" w:rsidRPr="00F1223D" w:rsidRDefault="00212A76" w:rsidP="00702F50">
            <w:pPr>
              <w:jc w:val="both"/>
              <w:rPr>
                <w:rFonts w:asciiTheme="minorHAnsi" w:eastAsia="Calibri" w:hAnsiTheme="minorHAnsi" w:cstheme="minorHAnsi"/>
                <w:b/>
                <w:bCs/>
                <w:color w:val="000000" w:themeColor="dark1"/>
                <w:kern w:val="24"/>
                <w:sz w:val="20"/>
                <w:szCs w:val="20"/>
                <w:lang w:eastAsia="en-GB"/>
              </w:rPr>
            </w:pPr>
            <w:r w:rsidRPr="00F1223D">
              <w:rPr>
                <w:rFonts w:asciiTheme="minorHAnsi" w:eastAsia="Calibri" w:hAnsiTheme="minorHAnsi" w:cstheme="minorHAnsi"/>
                <w:b/>
                <w:bCs/>
                <w:color w:val="000000" w:themeColor="dark1"/>
                <w:kern w:val="24"/>
                <w:sz w:val="20"/>
                <w:szCs w:val="20"/>
                <w:lang w:eastAsia="en-GB"/>
              </w:rPr>
              <w:t>35.8%</w:t>
            </w:r>
          </w:p>
        </w:tc>
        <w:tc>
          <w:tcPr>
            <w:tcW w:w="1246" w:type="dxa"/>
            <w:tcBorders>
              <w:top w:val="single" w:sz="8" w:space="0" w:color="FFFFFF"/>
              <w:left w:val="single" w:sz="8" w:space="0" w:color="FFFFFF"/>
              <w:bottom w:val="single" w:sz="8" w:space="0" w:color="FFFFFF"/>
              <w:right w:val="single" w:sz="8" w:space="0" w:color="FFFFFF"/>
            </w:tcBorders>
            <w:shd w:val="clear" w:color="auto" w:fill="DBDBD9"/>
            <w:tcMar>
              <w:top w:w="15" w:type="dxa"/>
              <w:left w:w="108" w:type="dxa"/>
              <w:bottom w:w="0" w:type="dxa"/>
              <w:right w:w="108" w:type="dxa"/>
            </w:tcMar>
          </w:tcPr>
          <w:p w14:paraId="5FC0D9B2" w14:textId="4193F5A2" w:rsidR="00605CA3" w:rsidRPr="00F1223D" w:rsidRDefault="00212A76" w:rsidP="00702F50">
            <w:pPr>
              <w:jc w:val="both"/>
              <w:rPr>
                <w:rFonts w:asciiTheme="minorHAnsi" w:eastAsia="Calibri" w:hAnsiTheme="minorHAnsi" w:cstheme="minorHAnsi"/>
                <w:b/>
                <w:bCs/>
                <w:color w:val="000000" w:themeColor="dark1"/>
                <w:kern w:val="24"/>
                <w:sz w:val="20"/>
                <w:szCs w:val="20"/>
                <w:lang w:eastAsia="en-GB"/>
              </w:rPr>
            </w:pPr>
            <w:r w:rsidRPr="00F1223D">
              <w:rPr>
                <w:rFonts w:asciiTheme="minorHAnsi" w:eastAsia="Calibri" w:hAnsiTheme="minorHAnsi" w:cstheme="minorHAnsi"/>
                <w:b/>
                <w:bCs/>
                <w:color w:val="000000" w:themeColor="dark1"/>
                <w:kern w:val="24"/>
                <w:sz w:val="20"/>
                <w:szCs w:val="20"/>
                <w:lang w:eastAsia="en-GB"/>
              </w:rPr>
              <w:t>17,925</w:t>
            </w:r>
          </w:p>
        </w:tc>
        <w:tc>
          <w:tcPr>
            <w:tcW w:w="1150" w:type="dxa"/>
            <w:tcBorders>
              <w:top w:val="single" w:sz="8" w:space="0" w:color="FFFFFF"/>
              <w:left w:val="single" w:sz="8" w:space="0" w:color="FFFFFF"/>
              <w:bottom w:val="single" w:sz="8" w:space="0" w:color="FFFFFF"/>
              <w:right w:val="single" w:sz="8" w:space="0" w:color="FFFFFF"/>
            </w:tcBorders>
            <w:shd w:val="clear" w:color="auto" w:fill="DBDBD9"/>
            <w:tcMar>
              <w:top w:w="15" w:type="dxa"/>
              <w:left w:w="108" w:type="dxa"/>
              <w:bottom w:w="0" w:type="dxa"/>
              <w:right w:w="108" w:type="dxa"/>
            </w:tcMar>
          </w:tcPr>
          <w:p w14:paraId="046C7C07" w14:textId="5D8DC275" w:rsidR="00605CA3" w:rsidRPr="00F1223D" w:rsidRDefault="00212A76" w:rsidP="00702F50">
            <w:pPr>
              <w:jc w:val="both"/>
              <w:rPr>
                <w:rFonts w:asciiTheme="minorHAnsi" w:eastAsia="Calibri" w:hAnsiTheme="minorHAnsi" w:cstheme="minorHAnsi"/>
                <w:b/>
                <w:bCs/>
                <w:color w:val="000000" w:themeColor="dark1"/>
                <w:kern w:val="24"/>
                <w:sz w:val="20"/>
                <w:szCs w:val="20"/>
                <w:lang w:eastAsia="en-GB"/>
              </w:rPr>
            </w:pPr>
            <w:r w:rsidRPr="00F1223D">
              <w:rPr>
                <w:rFonts w:asciiTheme="minorHAnsi" w:eastAsia="Calibri" w:hAnsiTheme="minorHAnsi" w:cstheme="minorHAnsi"/>
                <w:b/>
                <w:bCs/>
                <w:color w:val="000000" w:themeColor="dark1"/>
                <w:kern w:val="24"/>
                <w:sz w:val="20"/>
                <w:szCs w:val="20"/>
                <w:lang w:eastAsia="en-GB"/>
              </w:rPr>
              <w:t>7609</w:t>
            </w:r>
          </w:p>
        </w:tc>
        <w:tc>
          <w:tcPr>
            <w:tcW w:w="1310" w:type="dxa"/>
            <w:tcBorders>
              <w:top w:val="single" w:sz="8" w:space="0" w:color="FFFFFF"/>
              <w:left w:val="single" w:sz="8" w:space="0" w:color="FFFFFF"/>
              <w:bottom w:val="single" w:sz="8" w:space="0" w:color="FFFFFF"/>
              <w:right w:val="single" w:sz="8" w:space="0" w:color="FFFFFF"/>
            </w:tcBorders>
            <w:shd w:val="clear" w:color="auto" w:fill="DBDBD9"/>
            <w:tcMar>
              <w:top w:w="15" w:type="dxa"/>
              <w:left w:w="108" w:type="dxa"/>
              <w:bottom w:w="0" w:type="dxa"/>
              <w:right w:w="108" w:type="dxa"/>
            </w:tcMar>
          </w:tcPr>
          <w:p w14:paraId="50DEBD68" w14:textId="205E6EDC" w:rsidR="00605CA3" w:rsidRPr="00F1223D" w:rsidRDefault="00212A76" w:rsidP="00702F50">
            <w:pPr>
              <w:jc w:val="both"/>
              <w:rPr>
                <w:rFonts w:asciiTheme="minorHAnsi" w:eastAsia="Calibri" w:hAnsiTheme="minorHAnsi" w:cstheme="minorHAnsi"/>
                <w:b/>
                <w:bCs/>
                <w:color w:val="000000" w:themeColor="dark1"/>
                <w:kern w:val="24"/>
                <w:sz w:val="20"/>
                <w:szCs w:val="20"/>
                <w:lang w:eastAsia="en-GB"/>
              </w:rPr>
            </w:pPr>
            <w:r w:rsidRPr="00F1223D">
              <w:rPr>
                <w:rFonts w:asciiTheme="minorHAnsi" w:eastAsia="Calibri" w:hAnsiTheme="minorHAnsi" w:cstheme="minorHAnsi"/>
                <w:b/>
                <w:bCs/>
                <w:color w:val="000000" w:themeColor="dark1"/>
                <w:kern w:val="24"/>
                <w:sz w:val="20"/>
                <w:szCs w:val="20"/>
                <w:lang w:eastAsia="en-GB"/>
              </w:rPr>
              <w:t>42.5%</w:t>
            </w:r>
          </w:p>
        </w:tc>
        <w:tc>
          <w:tcPr>
            <w:tcW w:w="1309" w:type="dxa"/>
            <w:tcBorders>
              <w:top w:val="single" w:sz="8" w:space="0" w:color="FFFFFF"/>
              <w:left w:val="single" w:sz="8" w:space="0" w:color="FFFFFF"/>
              <w:bottom w:val="single" w:sz="8" w:space="0" w:color="FFFFFF"/>
              <w:right w:val="single" w:sz="8" w:space="0" w:color="FFFFFF"/>
            </w:tcBorders>
            <w:shd w:val="clear" w:color="auto" w:fill="DBDBD9"/>
            <w:tcMar>
              <w:top w:w="15" w:type="dxa"/>
              <w:left w:w="15" w:type="dxa"/>
              <w:bottom w:w="0" w:type="dxa"/>
              <w:right w:w="15" w:type="dxa"/>
            </w:tcMar>
          </w:tcPr>
          <w:p w14:paraId="0C1526B6" w14:textId="221BB9D9" w:rsidR="00605CA3" w:rsidRPr="00F1223D" w:rsidRDefault="00212A76" w:rsidP="00702F50">
            <w:pPr>
              <w:jc w:val="both"/>
              <w:rPr>
                <w:rFonts w:asciiTheme="minorHAnsi" w:eastAsia="Calibri" w:hAnsiTheme="minorHAnsi" w:cstheme="minorHAnsi"/>
                <w:b/>
                <w:bCs/>
                <w:color w:val="000000" w:themeColor="dark1"/>
                <w:kern w:val="24"/>
                <w:sz w:val="20"/>
                <w:szCs w:val="20"/>
                <w:lang w:eastAsia="en-GB"/>
              </w:rPr>
            </w:pPr>
            <w:r w:rsidRPr="00F1223D">
              <w:rPr>
                <w:rFonts w:asciiTheme="minorHAnsi" w:eastAsia="Calibri" w:hAnsiTheme="minorHAnsi" w:cstheme="minorHAnsi"/>
                <w:b/>
                <w:bCs/>
                <w:color w:val="000000" w:themeColor="dark1"/>
                <w:kern w:val="24"/>
                <w:sz w:val="20"/>
                <w:szCs w:val="20"/>
                <w:lang w:eastAsia="en-GB"/>
              </w:rPr>
              <w:t>45,344</w:t>
            </w:r>
          </w:p>
        </w:tc>
        <w:tc>
          <w:tcPr>
            <w:tcW w:w="1145" w:type="dxa"/>
            <w:tcBorders>
              <w:top w:val="single" w:sz="8" w:space="0" w:color="FFFFFF"/>
              <w:left w:val="single" w:sz="8" w:space="0" w:color="FFFFFF"/>
              <w:bottom w:val="single" w:sz="8" w:space="0" w:color="FFFFFF"/>
              <w:right w:val="single" w:sz="8" w:space="0" w:color="FFFFFF"/>
            </w:tcBorders>
            <w:shd w:val="clear" w:color="auto" w:fill="DBDBD9"/>
            <w:tcMar>
              <w:top w:w="15" w:type="dxa"/>
              <w:left w:w="15" w:type="dxa"/>
              <w:bottom w:w="0" w:type="dxa"/>
              <w:right w:w="15" w:type="dxa"/>
            </w:tcMar>
          </w:tcPr>
          <w:p w14:paraId="227AC51F" w14:textId="68CBF2E4" w:rsidR="00605CA3" w:rsidRPr="00F1223D" w:rsidRDefault="00212A76" w:rsidP="00702F50">
            <w:pPr>
              <w:jc w:val="both"/>
              <w:rPr>
                <w:rFonts w:asciiTheme="minorHAnsi" w:eastAsia="Calibri" w:hAnsiTheme="minorHAnsi" w:cstheme="minorHAnsi"/>
                <w:b/>
                <w:bCs/>
                <w:color w:val="000000" w:themeColor="dark1"/>
                <w:kern w:val="24"/>
                <w:sz w:val="20"/>
                <w:szCs w:val="20"/>
                <w:lang w:eastAsia="en-GB"/>
              </w:rPr>
            </w:pPr>
            <w:r w:rsidRPr="00F1223D">
              <w:rPr>
                <w:rFonts w:asciiTheme="minorHAnsi" w:eastAsia="Calibri" w:hAnsiTheme="minorHAnsi" w:cstheme="minorHAnsi"/>
                <w:b/>
                <w:bCs/>
                <w:color w:val="000000" w:themeColor="dark1"/>
                <w:kern w:val="24"/>
                <w:sz w:val="20"/>
                <w:szCs w:val="20"/>
                <w:lang w:eastAsia="en-GB"/>
              </w:rPr>
              <w:t>17,438</w:t>
            </w:r>
          </w:p>
        </w:tc>
        <w:tc>
          <w:tcPr>
            <w:tcW w:w="1276" w:type="dxa"/>
            <w:tcBorders>
              <w:top w:val="single" w:sz="8" w:space="0" w:color="FFFFFF"/>
              <w:left w:val="single" w:sz="8" w:space="0" w:color="FFFFFF"/>
              <w:bottom w:val="single" w:sz="8" w:space="0" w:color="FFFFFF"/>
              <w:right w:val="single" w:sz="8" w:space="0" w:color="FFFFFF"/>
            </w:tcBorders>
            <w:shd w:val="clear" w:color="auto" w:fill="DBDBD9"/>
            <w:tcMar>
              <w:top w:w="15" w:type="dxa"/>
              <w:left w:w="15" w:type="dxa"/>
              <w:bottom w:w="0" w:type="dxa"/>
              <w:right w:w="15" w:type="dxa"/>
            </w:tcMar>
          </w:tcPr>
          <w:p w14:paraId="5AE90828" w14:textId="264119C8" w:rsidR="00605CA3" w:rsidRPr="00F1223D" w:rsidRDefault="00212A76" w:rsidP="00702F50">
            <w:pPr>
              <w:jc w:val="both"/>
              <w:rPr>
                <w:rFonts w:asciiTheme="minorHAnsi" w:eastAsia="Calibri" w:hAnsiTheme="minorHAnsi" w:cstheme="minorHAnsi"/>
                <w:b/>
                <w:bCs/>
                <w:color w:val="000000" w:themeColor="dark1"/>
                <w:kern w:val="24"/>
                <w:sz w:val="20"/>
                <w:szCs w:val="20"/>
                <w:lang w:eastAsia="en-GB"/>
              </w:rPr>
            </w:pPr>
            <w:r w:rsidRPr="00F1223D">
              <w:rPr>
                <w:rFonts w:asciiTheme="minorHAnsi" w:eastAsia="Calibri" w:hAnsiTheme="minorHAnsi" w:cstheme="minorHAnsi"/>
                <w:b/>
                <w:bCs/>
                <w:color w:val="000000" w:themeColor="dark1"/>
                <w:kern w:val="24"/>
                <w:sz w:val="20"/>
                <w:szCs w:val="20"/>
                <w:lang w:eastAsia="en-GB"/>
              </w:rPr>
              <w:t>38.5%</w:t>
            </w:r>
          </w:p>
        </w:tc>
      </w:tr>
    </w:tbl>
    <w:p w14:paraId="0DC3CBB7" w14:textId="4B3386DA" w:rsidR="00881427" w:rsidRPr="00F971E7" w:rsidRDefault="005F1E8D" w:rsidP="00702F50">
      <w:pPr>
        <w:spacing w:line="240" w:lineRule="auto"/>
        <w:jc w:val="both"/>
        <w:rPr>
          <w:rFonts w:asciiTheme="minorHAnsi" w:hAnsiTheme="minorHAnsi" w:cstheme="minorHAnsi"/>
          <w:i/>
          <w:iCs/>
        </w:rPr>
      </w:pPr>
      <w:r w:rsidRPr="00F971E7">
        <w:rPr>
          <w:rFonts w:asciiTheme="minorHAnsi" w:hAnsiTheme="minorHAnsi" w:cstheme="minorHAnsi"/>
          <w:i/>
          <w:iCs/>
        </w:rPr>
        <w:t xml:space="preserve">Figure 1 </w:t>
      </w:r>
      <w:r w:rsidR="00C55BA8" w:rsidRPr="00F971E7">
        <w:rPr>
          <w:rFonts w:asciiTheme="minorHAnsi" w:hAnsiTheme="minorHAnsi" w:cstheme="minorHAnsi"/>
          <w:i/>
          <w:iCs/>
        </w:rPr>
        <w:t>–</w:t>
      </w:r>
      <w:r w:rsidRPr="00F971E7">
        <w:rPr>
          <w:rFonts w:asciiTheme="minorHAnsi" w:hAnsiTheme="minorHAnsi" w:cstheme="minorHAnsi"/>
          <w:i/>
          <w:iCs/>
        </w:rPr>
        <w:t xml:space="preserve"> </w:t>
      </w:r>
      <w:r w:rsidR="00C55BA8" w:rsidRPr="00F971E7">
        <w:rPr>
          <w:rFonts w:asciiTheme="minorHAnsi" w:hAnsiTheme="minorHAnsi" w:cstheme="minorHAnsi"/>
          <w:i/>
          <w:iCs/>
        </w:rPr>
        <w:t>Statistics on the Domestic Violence Disclosure Scheme (DVDS) for England and Wales</w:t>
      </w:r>
      <w:r w:rsidR="00910945" w:rsidRPr="005371A7">
        <w:rPr>
          <w:rStyle w:val="FootnoteReference"/>
          <w:rFonts w:asciiTheme="minorHAnsi" w:hAnsiTheme="minorHAnsi" w:cstheme="minorHAnsi"/>
        </w:rPr>
        <w:footnoteReference w:id="14"/>
      </w:r>
    </w:p>
    <w:p w14:paraId="4338BEE4" w14:textId="758AAA3D" w:rsidR="00DC638E" w:rsidRPr="00F971E7" w:rsidRDefault="00DC638E" w:rsidP="00702F50">
      <w:pPr>
        <w:jc w:val="both"/>
        <w:rPr>
          <w:rFonts w:asciiTheme="minorHAnsi" w:hAnsiTheme="minorHAnsi" w:cstheme="minorHAnsi"/>
        </w:rPr>
        <w:sectPr w:rsidR="00DC638E" w:rsidRPr="00F971E7" w:rsidSect="0005191E">
          <w:headerReference w:type="default" r:id="rId12"/>
          <w:footerReference w:type="default" r:id="rId13"/>
          <w:pgSz w:w="16838" w:h="11906" w:orient="landscape"/>
          <w:pgMar w:top="1440" w:right="1440" w:bottom="1440" w:left="1440" w:header="709" w:footer="709" w:gutter="0"/>
          <w:cols w:space="708"/>
          <w:docGrid w:linePitch="360"/>
        </w:sectPr>
      </w:pPr>
    </w:p>
    <w:p w14:paraId="051E9366" w14:textId="3AA62D92" w:rsidR="006845B3" w:rsidRPr="00DF0D72" w:rsidRDefault="00DF0D72" w:rsidP="00DF0D72">
      <w:pPr>
        <w:pStyle w:val="Heading1"/>
      </w:pPr>
      <w:r>
        <w:lastRenderedPageBreak/>
        <w:t xml:space="preserve">2. </w:t>
      </w:r>
      <w:r w:rsidR="006845B3" w:rsidRPr="00DF0D72">
        <w:t>A human rights law context</w:t>
      </w:r>
    </w:p>
    <w:p w14:paraId="0750F8F8" w14:textId="10BE1BFA" w:rsidR="001E6B60" w:rsidRPr="00F971E7" w:rsidRDefault="00815A4D" w:rsidP="00702F50">
      <w:pPr>
        <w:jc w:val="both"/>
        <w:rPr>
          <w:rFonts w:asciiTheme="minorHAnsi" w:hAnsiTheme="minorHAnsi" w:cstheme="minorHAnsi"/>
          <w:bCs/>
        </w:rPr>
      </w:pPr>
      <w:r w:rsidRPr="00F971E7">
        <w:rPr>
          <w:rFonts w:asciiTheme="minorHAnsi" w:hAnsiTheme="minorHAnsi" w:cstheme="minorHAnsi"/>
        </w:rPr>
        <w:t>As Helena Kennedy QC has explained</w:t>
      </w:r>
      <w:r w:rsidR="004D6BE5" w:rsidRPr="00F971E7">
        <w:rPr>
          <w:rFonts w:asciiTheme="minorHAnsi" w:hAnsiTheme="minorHAnsi" w:cstheme="minorHAnsi"/>
        </w:rPr>
        <w:t xml:space="preserve">: </w:t>
      </w:r>
      <w:r w:rsidR="00B650A9" w:rsidRPr="00F971E7">
        <w:rPr>
          <w:rFonts w:asciiTheme="minorHAnsi" w:hAnsiTheme="minorHAnsi" w:cstheme="minorHAnsi"/>
        </w:rPr>
        <w:t>"Modern rights discourse recognises that persecution and abuse is carried out not only by the state but by relatives and neighbours, and that the failure of the state to prevent inhumane behaviour becomes a tacit acceptance of it</w:t>
      </w:r>
      <w:r w:rsidR="00AB4F20">
        <w:rPr>
          <w:rFonts w:asciiTheme="minorHAnsi" w:hAnsiTheme="minorHAnsi" w:cstheme="minorHAnsi"/>
        </w:rPr>
        <w:t>.</w:t>
      </w:r>
      <w:r w:rsidR="00B650A9" w:rsidRPr="00F971E7">
        <w:rPr>
          <w:rFonts w:asciiTheme="minorHAnsi" w:hAnsiTheme="minorHAnsi" w:cstheme="minorHAnsi"/>
        </w:rPr>
        <w:t>"</w:t>
      </w:r>
      <w:r w:rsidR="00B650A9" w:rsidRPr="00F971E7">
        <w:rPr>
          <w:rStyle w:val="FootnoteReference"/>
          <w:rFonts w:asciiTheme="minorHAnsi" w:hAnsiTheme="minorHAnsi" w:cstheme="minorHAnsi"/>
        </w:rPr>
        <w:footnoteReference w:id="15"/>
      </w:r>
      <w:r w:rsidR="00B650A9" w:rsidRPr="00F971E7">
        <w:rPr>
          <w:rFonts w:asciiTheme="minorHAnsi" w:hAnsiTheme="minorHAnsi" w:cstheme="minorHAnsi"/>
        </w:rPr>
        <w:t xml:space="preserve"> These words</w:t>
      </w:r>
      <w:r w:rsidR="000E480C" w:rsidRPr="00F971E7">
        <w:rPr>
          <w:rFonts w:asciiTheme="minorHAnsi" w:hAnsiTheme="minorHAnsi" w:cstheme="minorHAnsi"/>
        </w:rPr>
        <w:t xml:space="preserve"> </w:t>
      </w:r>
      <w:r w:rsidR="00B650A9" w:rsidRPr="00F971E7">
        <w:rPr>
          <w:rFonts w:asciiTheme="minorHAnsi" w:hAnsiTheme="minorHAnsi" w:cstheme="minorHAnsi"/>
        </w:rPr>
        <w:t xml:space="preserve">bear particular meaning in relation to the jurisdiction of England and Wales at the moment. As Figure </w:t>
      </w:r>
      <w:r w:rsidR="00CE1055" w:rsidRPr="00F971E7">
        <w:rPr>
          <w:rFonts w:asciiTheme="minorHAnsi" w:hAnsiTheme="minorHAnsi" w:cstheme="minorHAnsi"/>
        </w:rPr>
        <w:t>2</w:t>
      </w:r>
      <w:r w:rsidR="00B650A9" w:rsidRPr="00F971E7">
        <w:rPr>
          <w:rFonts w:asciiTheme="minorHAnsi" w:hAnsiTheme="minorHAnsi" w:cstheme="minorHAnsi"/>
        </w:rPr>
        <w:t>, below, shows, there is currently a shortfall in public protection in terms of a plummeting rate of prosecution of domestic abusers, and rapist domestic abusers. While the criminal justice system is currently struggling to bring to justice a cohort of dangerous (mainly) men</w:t>
      </w:r>
      <w:r w:rsidR="00924E01">
        <w:rPr>
          <w:rFonts w:asciiTheme="minorHAnsi" w:hAnsiTheme="minorHAnsi" w:cstheme="minorHAnsi"/>
        </w:rPr>
        <w:t>,</w:t>
      </w:r>
      <w:r w:rsidR="00E763EF" w:rsidRPr="00F971E7">
        <w:rPr>
          <w:rStyle w:val="FootnoteReference"/>
          <w:rFonts w:asciiTheme="minorHAnsi" w:hAnsiTheme="minorHAnsi" w:cstheme="minorHAnsi"/>
        </w:rPr>
        <w:footnoteReference w:id="16"/>
      </w:r>
      <w:r w:rsidR="00B650A9" w:rsidRPr="00F971E7">
        <w:rPr>
          <w:rFonts w:asciiTheme="minorHAnsi" w:hAnsiTheme="minorHAnsi" w:cstheme="minorHAnsi"/>
        </w:rPr>
        <w:t xml:space="preserve"> who pose </w:t>
      </w:r>
      <w:r w:rsidR="003F3923" w:rsidRPr="00F971E7">
        <w:rPr>
          <w:rFonts w:asciiTheme="minorHAnsi" w:hAnsiTheme="minorHAnsi" w:cstheme="minorHAnsi"/>
        </w:rPr>
        <w:t>a great</w:t>
      </w:r>
      <w:r w:rsidR="00B650A9" w:rsidRPr="00F971E7">
        <w:rPr>
          <w:rFonts w:asciiTheme="minorHAnsi" w:hAnsiTheme="minorHAnsi" w:cstheme="minorHAnsi"/>
        </w:rPr>
        <w:t xml:space="preserve"> risk of human rights abuses in terms of violence and sexual violence inflicted on women and girls, </w:t>
      </w:r>
      <w:r w:rsidR="002371DC" w:rsidRPr="00F971E7">
        <w:rPr>
          <w:rFonts w:asciiTheme="minorHAnsi" w:hAnsiTheme="minorHAnsi" w:cstheme="minorHAnsi"/>
        </w:rPr>
        <w:t xml:space="preserve">it can be seen that </w:t>
      </w:r>
      <w:r w:rsidR="00B650A9" w:rsidRPr="00F971E7">
        <w:rPr>
          <w:rFonts w:asciiTheme="minorHAnsi" w:hAnsiTheme="minorHAnsi" w:cstheme="minorHAnsi"/>
        </w:rPr>
        <w:t>relatively unproven approaches, such as the use of restrictive orders and the disclosure of risk information to victims, have been on a steady rise</w:t>
      </w:r>
      <w:r w:rsidR="002371DC" w:rsidRPr="00F971E7">
        <w:rPr>
          <w:rFonts w:asciiTheme="minorHAnsi" w:hAnsiTheme="minorHAnsi" w:cstheme="minorHAnsi"/>
        </w:rPr>
        <w:t>, unlike rates of prosecution for domestic abuse offence types</w:t>
      </w:r>
      <w:r w:rsidR="00B650A9" w:rsidRPr="00F971E7">
        <w:rPr>
          <w:rFonts w:asciiTheme="minorHAnsi" w:hAnsiTheme="minorHAnsi" w:cstheme="minorHAnsi"/>
        </w:rPr>
        <w:t xml:space="preserve">. </w:t>
      </w:r>
      <w:r w:rsidR="00F7130A" w:rsidRPr="00F971E7">
        <w:rPr>
          <w:rFonts w:asciiTheme="minorHAnsi" w:hAnsiTheme="minorHAnsi" w:cstheme="minorHAnsi"/>
        </w:rPr>
        <w:t xml:space="preserve">However, </w:t>
      </w:r>
      <w:r w:rsidR="00F7130A" w:rsidRPr="00F971E7">
        <w:rPr>
          <w:rFonts w:asciiTheme="minorHAnsi" w:hAnsiTheme="minorHAnsi" w:cstheme="minorHAnsi"/>
          <w:bCs/>
        </w:rPr>
        <w:t>a</w:t>
      </w:r>
      <w:r w:rsidR="00B650A9" w:rsidRPr="00F971E7">
        <w:rPr>
          <w:rFonts w:asciiTheme="minorHAnsi" w:hAnsiTheme="minorHAnsi" w:cstheme="minorHAnsi"/>
          <w:bCs/>
        </w:rPr>
        <w:t xml:space="preserve">s Chamberlain J explained in </w:t>
      </w:r>
      <w:r w:rsidR="00B650A9" w:rsidRPr="00F971E7">
        <w:rPr>
          <w:rFonts w:asciiTheme="minorHAnsi" w:hAnsiTheme="minorHAnsi" w:cstheme="minorHAnsi"/>
          <w:bCs/>
          <w:i/>
          <w:iCs/>
        </w:rPr>
        <w:t>Her Majesty’s Attorney General for England &amp; Wales v British Broadcasting Corporation</w:t>
      </w:r>
      <w:r w:rsidR="00057E76">
        <w:rPr>
          <w:rFonts w:asciiTheme="minorHAnsi" w:hAnsiTheme="minorHAnsi" w:cstheme="minorHAnsi"/>
          <w:bCs/>
        </w:rPr>
        <w:t>,</w:t>
      </w:r>
      <w:r w:rsidR="00E74A75" w:rsidRPr="007D5E9F">
        <w:rPr>
          <w:rStyle w:val="FootnoteReference"/>
          <w:rFonts w:asciiTheme="minorHAnsi" w:hAnsiTheme="minorHAnsi" w:cstheme="minorHAnsi"/>
          <w:bCs/>
        </w:rPr>
        <w:footnoteReference w:id="17"/>
      </w:r>
      <w:r w:rsidR="00B650A9" w:rsidRPr="00F971E7">
        <w:rPr>
          <w:rFonts w:asciiTheme="minorHAnsi" w:hAnsiTheme="minorHAnsi" w:cstheme="minorHAnsi"/>
          <w:bCs/>
        </w:rPr>
        <w:t xml:space="preserve"> the use of the Domestic Violence Disclosure Scheme, as well as Domestic Violence Protection Notices and Orders, Stalking Protection Orders, Sexual Risk Orders and sex offender registration requirements, are “part of the means by which the UK discharges its general positive obligations under Article 2 and 3 ECHR to have in place a system to protect its citizens (and in particular women) from violence and sexual violence”.</w:t>
      </w:r>
      <w:r w:rsidR="00057E76">
        <w:rPr>
          <w:rStyle w:val="FootnoteReference"/>
          <w:rFonts w:asciiTheme="minorHAnsi" w:hAnsiTheme="minorHAnsi" w:cstheme="minorHAnsi"/>
          <w:bCs/>
        </w:rPr>
        <w:footnoteReference w:id="18"/>
      </w:r>
      <w:r w:rsidR="00B650A9" w:rsidRPr="00F971E7">
        <w:rPr>
          <w:rFonts w:asciiTheme="minorHAnsi" w:hAnsiTheme="minorHAnsi" w:cstheme="minorHAnsi"/>
          <w:bCs/>
        </w:rPr>
        <w:t xml:space="preserve"> </w:t>
      </w:r>
    </w:p>
    <w:p w14:paraId="26A86ED2" w14:textId="5CE84DCA" w:rsidR="00B650A9" w:rsidRPr="00F971E7" w:rsidRDefault="001E6B60" w:rsidP="00702F50">
      <w:pPr>
        <w:jc w:val="both"/>
        <w:rPr>
          <w:rFonts w:asciiTheme="minorHAnsi" w:hAnsiTheme="minorHAnsi" w:cstheme="minorHAnsi"/>
          <w:bCs/>
        </w:rPr>
        <w:sectPr w:rsidR="00B650A9" w:rsidRPr="00F971E7" w:rsidSect="0005191E">
          <w:headerReference w:type="even" r:id="rId14"/>
          <w:footerReference w:type="even" r:id="rId15"/>
          <w:pgSz w:w="11906" w:h="16838"/>
          <w:pgMar w:top="1440" w:right="1440" w:bottom="1440" w:left="1440" w:header="709" w:footer="709" w:gutter="0"/>
          <w:cols w:space="708"/>
          <w:docGrid w:linePitch="360"/>
        </w:sectPr>
      </w:pPr>
      <w:r w:rsidRPr="00F971E7">
        <w:rPr>
          <w:rFonts w:asciiTheme="minorHAnsi" w:hAnsiTheme="minorHAnsi" w:cstheme="minorHAnsi"/>
          <w:bCs/>
        </w:rPr>
        <w:t>T</w:t>
      </w:r>
      <w:r w:rsidR="00B650A9" w:rsidRPr="00F971E7">
        <w:rPr>
          <w:rFonts w:asciiTheme="minorHAnsi" w:hAnsiTheme="minorHAnsi" w:cstheme="minorHAnsi"/>
          <w:bCs/>
        </w:rPr>
        <w:t>here is a risk</w:t>
      </w:r>
      <w:r w:rsidRPr="00F971E7">
        <w:rPr>
          <w:rFonts w:asciiTheme="minorHAnsi" w:hAnsiTheme="minorHAnsi" w:cstheme="minorHAnsi"/>
          <w:bCs/>
        </w:rPr>
        <w:t>, however,</w:t>
      </w:r>
      <w:r w:rsidR="00B650A9" w:rsidRPr="00F971E7">
        <w:rPr>
          <w:rFonts w:asciiTheme="minorHAnsi" w:hAnsiTheme="minorHAnsi" w:cstheme="minorHAnsi"/>
          <w:bCs/>
        </w:rPr>
        <w:t xml:space="preserve"> of systemic non-compliance in relation to standards under Article 3 ECHR, in particular, arising from the lack of </w:t>
      </w:r>
      <w:r w:rsidR="00B67E19" w:rsidRPr="00F971E7">
        <w:rPr>
          <w:rFonts w:asciiTheme="minorHAnsi" w:hAnsiTheme="minorHAnsi" w:cstheme="minorHAnsi"/>
          <w:bCs/>
        </w:rPr>
        <w:t>prosecution</w:t>
      </w:r>
      <w:r w:rsidR="00B650A9" w:rsidRPr="00F971E7">
        <w:rPr>
          <w:rFonts w:asciiTheme="minorHAnsi" w:hAnsiTheme="minorHAnsi" w:cstheme="minorHAnsi"/>
          <w:bCs/>
        </w:rPr>
        <w:t xml:space="preserve"> of domestic abuse and/or sexual violence by the police service of England and Wales, and partner criminal justice agencies</w:t>
      </w:r>
      <w:r w:rsidR="008824DE" w:rsidRPr="00F971E7">
        <w:rPr>
          <w:rFonts w:asciiTheme="minorHAnsi" w:hAnsiTheme="minorHAnsi" w:cstheme="minorHAnsi"/>
          <w:bCs/>
        </w:rPr>
        <w:t>.</w:t>
      </w:r>
      <w:r w:rsidR="00570718" w:rsidRPr="00F971E7">
        <w:rPr>
          <w:rFonts w:asciiTheme="minorHAnsi" w:hAnsiTheme="minorHAnsi" w:cstheme="minorHAnsi"/>
          <w:bCs/>
        </w:rPr>
        <w:t xml:space="preserve"> </w:t>
      </w:r>
      <w:r w:rsidR="008824DE" w:rsidRPr="00F971E7">
        <w:rPr>
          <w:rFonts w:asciiTheme="minorHAnsi" w:hAnsiTheme="minorHAnsi" w:cstheme="minorHAnsi"/>
          <w:bCs/>
        </w:rPr>
        <w:t>A</w:t>
      </w:r>
      <w:r w:rsidR="00570718" w:rsidRPr="00F971E7">
        <w:rPr>
          <w:rFonts w:asciiTheme="minorHAnsi" w:hAnsiTheme="minorHAnsi" w:cstheme="minorHAnsi"/>
          <w:bCs/>
        </w:rPr>
        <w:t xml:space="preserve">s some of the columns in Figure </w:t>
      </w:r>
      <w:r w:rsidR="001F178B" w:rsidRPr="00F971E7">
        <w:rPr>
          <w:rFonts w:asciiTheme="minorHAnsi" w:hAnsiTheme="minorHAnsi" w:cstheme="minorHAnsi"/>
          <w:bCs/>
        </w:rPr>
        <w:t>2, below, demonstrat</w:t>
      </w:r>
      <w:r w:rsidR="00706B3C" w:rsidRPr="00F971E7">
        <w:rPr>
          <w:rFonts w:asciiTheme="minorHAnsi" w:hAnsiTheme="minorHAnsi" w:cstheme="minorHAnsi"/>
          <w:bCs/>
        </w:rPr>
        <w:t>e</w:t>
      </w:r>
      <w:r w:rsidR="008824DE" w:rsidRPr="00F971E7">
        <w:rPr>
          <w:rFonts w:asciiTheme="minorHAnsi" w:hAnsiTheme="minorHAnsi" w:cstheme="minorHAnsi"/>
          <w:bCs/>
        </w:rPr>
        <w:t xml:space="preserve">, there </w:t>
      </w:r>
      <w:r w:rsidR="00E5103E" w:rsidRPr="00F971E7">
        <w:rPr>
          <w:rFonts w:asciiTheme="minorHAnsi" w:hAnsiTheme="minorHAnsi" w:cstheme="minorHAnsi"/>
          <w:bCs/>
        </w:rPr>
        <w:t>has been a drastic fall in the number of prosecutions annually</w:t>
      </w:r>
      <w:r w:rsidR="00F679C1" w:rsidRPr="00F971E7">
        <w:rPr>
          <w:rFonts w:asciiTheme="minorHAnsi" w:hAnsiTheme="minorHAnsi" w:cstheme="minorHAnsi"/>
          <w:bCs/>
        </w:rPr>
        <w:t xml:space="preserve"> in relation to some of the </w:t>
      </w:r>
      <w:r w:rsidR="00850579" w:rsidRPr="00F971E7">
        <w:rPr>
          <w:rFonts w:asciiTheme="minorHAnsi" w:hAnsiTheme="minorHAnsi" w:cstheme="minorHAnsi"/>
          <w:bCs/>
        </w:rPr>
        <w:t xml:space="preserve">worst domestic abuse-related offences, including </w:t>
      </w:r>
      <w:r w:rsidR="005350C5" w:rsidRPr="00F971E7">
        <w:rPr>
          <w:rFonts w:asciiTheme="minorHAnsi" w:hAnsiTheme="minorHAnsi" w:cstheme="minorHAnsi"/>
          <w:bCs/>
        </w:rPr>
        <w:t xml:space="preserve">partner </w:t>
      </w:r>
      <w:r w:rsidR="00850579" w:rsidRPr="00F971E7">
        <w:rPr>
          <w:rFonts w:asciiTheme="minorHAnsi" w:hAnsiTheme="minorHAnsi" w:cstheme="minorHAnsi"/>
          <w:bCs/>
        </w:rPr>
        <w:t>rape</w:t>
      </w:r>
      <w:r w:rsidR="005350C5" w:rsidRPr="00F971E7">
        <w:rPr>
          <w:rFonts w:asciiTheme="minorHAnsi" w:hAnsiTheme="minorHAnsi" w:cstheme="minorHAnsi"/>
          <w:bCs/>
        </w:rPr>
        <w:t>s</w:t>
      </w:r>
      <w:r w:rsidR="00B650A9" w:rsidRPr="00F971E7">
        <w:rPr>
          <w:rFonts w:asciiTheme="minorHAnsi" w:hAnsiTheme="minorHAnsi" w:cstheme="minorHAnsi"/>
          <w:bCs/>
        </w:rPr>
        <w:t xml:space="preserve">. </w:t>
      </w:r>
      <w:r w:rsidR="00706B3C" w:rsidRPr="00F971E7">
        <w:rPr>
          <w:rFonts w:asciiTheme="minorHAnsi" w:hAnsiTheme="minorHAnsi" w:cstheme="minorHAnsi"/>
          <w:bCs/>
        </w:rPr>
        <w:t>Meanwhile, t</w:t>
      </w:r>
      <w:r w:rsidR="00B650A9" w:rsidRPr="00F971E7">
        <w:rPr>
          <w:rFonts w:asciiTheme="minorHAnsi" w:hAnsiTheme="minorHAnsi" w:cstheme="minorHAnsi"/>
          <w:bCs/>
        </w:rPr>
        <w:t xml:space="preserve">he Home Office released a </w:t>
      </w:r>
      <w:r w:rsidR="00B650A9" w:rsidRPr="00F971E7">
        <w:rPr>
          <w:rFonts w:asciiTheme="minorHAnsi" w:hAnsiTheme="minorHAnsi" w:cstheme="minorHAnsi"/>
          <w:bCs/>
          <w:i/>
          <w:iCs/>
        </w:rPr>
        <w:t xml:space="preserve">Tackling </w:t>
      </w:r>
      <w:r w:rsidR="004D6BE5" w:rsidRPr="00F971E7">
        <w:rPr>
          <w:rFonts w:asciiTheme="minorHAnsi" w:hAnsiTheme="minorHAnsi" w:cstheme="minorHAnsi"/>
          <w:bCs/>
          <w:i/>
          <w:iCs/>
        </w:rPr>
        <w:t>V</w:t>
      </w:r>
      <w:r w:rsidR="00B650A9" w:rsidRPr="00F971E7">
        <w:rPr>
          <w:rFonts w:asciiTheme="minorHAnsi" w:hAnsiTheme="minorHAnsi" w:cstheme="minorHAnsi"/>
          <w:bCs/>
          <w:i/>
          <w:iCs/>
        </w:rPr>
        <w:t xml:space="preserve">iolence </w:t>
      </w:r>
      <w:r w:rsidR="004D6BE5" w:rsidRPr="00F971E7">
        <w:rPr>
          <w:rFonts w:asciiTheme="minorHAnsi" w:hAnsiTheme="minorHAnsi" w:cstheme="minorHAnsi"/>
          <w:bCs/>
          <w:i/>
          <w:iCs/>
        </w:rPr>
        <w:t>A</w:t>
      </w:r>
      <w:r w:rsidR="00B650A9" w:rsidRPr="00F971E7">
        <w:rPr>
          <w:rFonts w:asciiTheme="minorHAnsi" w:hAnsiTheme="minorHAnsi" w:cstheme="minorHAnsi"/>
          <w:bCs/>
          <w:i/>
          <w:iCs/>
        </w:rPr>
        <w:t xml:space="preserve">gainst </w:t>
      </w:r>
      <w:r w:rsidR="004D6BE5" w:rsidRPr="00F971E7">
        <w:rPr>
          <w:rFonts w:asciiTheme="minorHAnsi" w:hAnsiTheme="minorHAnsi" w:cstheme="minorHAnsi"/>
          <w:bCs/>
          <w:i/>
          <w:iCs/>
        </w:rPr>
        <w:t>W</w:t>
      </w:r>
      <w:r w:rsidR="00B650A9" w:rsidRPr="00F971E7">
        <w:rPr>
          <w:rFonts w:asciiTheme="minorHAnsi" w:hAnsiTheme="minorHAnsi" w:cstheme="minorHAnsi"/>
          <w:bCs/>
          <w:i/>
          <w:iCs/>
        </w:rPr>
        <w:t xml:space="preserve">omen and </w:t>
      </w:r>
      <w:r w:rsidR="004D6BE5" w:rsidRPr="00F971E7">
        <w:rPr>
          <w:rFonts w:asciiTheme="minorHAnsi" w:hAnsiTheme="minorHAnsi" w:cstheme="minorHAnsi"/>
          <w:bCs/>
          <w:i/>
          <w:iCs/>
        </w:rPr>
        <w:t>G</w:t>
      </w:r>
      <w:r w:rsidR="00B650A9" w:rsidRPr="00F971E7">
        <w:rPr>
          <w:rFonts w:asciiTheme="minorHAnsi" w:hAnsiTheme="minorHAnsi" w:cstheme="minorHAnsi"/>
          <w:bCs/>
          <w:i/>
          <w:iCs/>
        </w:rPr>
        <w:t xml:space="preserve">irls </w:t>
      </w:r>
      <w:r w:rsidR="00E553E6">
        <w:rPr>
          <w:rFonts w:asciiTheme="minorHAnsi" w:hAnsiTheme="minorHAnsi" w:cstheme="minorHAnsi"/>
          <w:bCs/>
          <w:i/>
          <w:iCs/>
        </w:rPr>
        <w:t>S</w:t>
      </w:r>
      <w:r w:rsidR="00B650A9" w:rsidRPr="00F971E7">
        <w:rPr>
          <w:rFonts w:asciiTheme="minorHAnsi" w:hAnsiTheme="minorHAnsi" w:cstheme="minorHAnsi"/>
          <w:bCs/>
          <w:i/>
          <w:iCs/>
        </w:rPr>
        <w:t xml:space="preserve">trategy (VAWG) </w:t>
      </w:r>
      <w:r w:rsidR="00ED7FD2">
        <w:rPr>
          <w:rFonts w:asciiTheme="minorHAnsi" w:hAnsiTheme="minorHAnsi" w:cstheme="minorHAnsi"/>
          <w:bCs/>
        </w:rPr>
        <w:t xml:space="preserve">in </w:t>
      </w:r>
      <w:r w:rsidR="00B650A9" w:rsidRPr="00F971E7">
        <w:rPr>
          <w:rFonts w:asciiTheme="minorHAnsi" w:hAnsiTheme="minorHAnsi" w:cstheme="minorHAnsi"/>
          <w:bCs/>
        </w:rPr>
        <w:t>July 2021</w:t>
      </w:r>
      <w:r w:rsidR="00ED7FD2">
        <w:rPr>
          <w:rFonts w:asciiTheme="minorHAnsi" w:hAnsiTheme="minorHAnsi" w:cstheme="minorHAnsi"/>
          <w:bCs/>
        </w:rPr>
        <w:t>,</w:t>
      </w:r>
      <w:r w:rsidR="00B650A9" w:rsidRPr="00F971E7">
        <w:rPr>
          <w:rStyle w:val="FootnoteReference"/>
          <w:rFonts w:asciiTheme="minorHAnsi" w:hAnsiTheme="minorHAnsi" w:cstheme="minorHAnsi"/>
          <w:bCs/>
        </w:rPr>
        <w:footnoteReference w:id="19"/>
      </w:r>
      <w:r w:rsidR="00B650A9" w:rsidRPr="00F971E7">
        <w:rPr>
          <w:rFonts w:asciiTheme="minorHAnsi" w:hAnsiTheme="minorHAnsi" w:cstheme="minorHAnsi"/>
          <w:bCs/>
        </w:rPr>
        <w:t xml:space="preserve"> and then a further </w:t>
      </w:r>
      <w:r w:rsidR="00B650A9" w:rsidRPr="00F971E7">
        <w:rPr>
          <w:rFonts w:asciiTheme="minorHAnsi" w:hAnsiTheme="minorHAnsi" w:cstheme="minorHAnsi"/>
          <w:bCs/>
          <w:i/>
          <w:iCs/>
        </w:rPr>
        <w:t>Tackling Domestic Abuse Plan</w:t>
      </w:r>
      <w:r w:rsidR="00B650A9" w:rsidRPr="00F971E7">
        <w:rPr>
          <w:rFonts w:asciiTheme="minorHAnsi" w:hAnsiTheme="minorHAnsi" w:cstheme="minorHAnsi"/>
          <w:bCs/>
        </w:rPr>
        <w:t xml:space="preserve"> </w:t>
      </w:r>
      <w:r w:rsidR="00ED7FD2">
        <w:rPr>
          <w:rFonts w:asciiTheme="minorHAnsi" w:hAnsiTheme="minorHAnsi" w:cstheme="minorHAnsi"/>
          <w:bCs/>
        </w:rPr>
        <w:t xml:space="preserve">in </w:t>
      </w:r>
      <w:r w:rsidR="00B650A9" w:rsidRPr="00F971E7">
        <w:rPr>
          <w:rFonts w:asciiTheme="minorHAnsi" w:hAnsiTheme="minorHAnsi" w:cstheme="minorHAnsi"/>
          <w:bCs/>
        </w:rPr>
        <w:t>March 2022</w:t>
      </w:r>
      <w:r w:rsidR="00B93504">
        <w:rPr>
          <w:rFonts w:asciiTheme="minorHAnsi" w:hAnsiTheme="minorHAnsi" w:cstheme="minorHAnsi"/>
          <w:bCs/>
        </w:rPr>
        <w:t>.</w:t>
      </w:r>
      <w:r w:rsidR="00B650A9" w:rsidRPr="00F971E7">
        <w:rPr>
          <w:rStyle w:val="FootnoteReference"/>
          <w:rFonts w:asciiTheme="minorHAnsi" w:hAnsiTheme="minorHAnsi" w:cstheme="minorHAnsi"/>
          <w:bCs/>
        </w:rPr>
        <w:footnoteReference w:id="20"/>
      </w:r>
      <w:r w:rsidR="00B650A9" w:rsidRPr="00F971E7">
        <w:rPr>
          <w:rFonts w:asciiTheme="minorHAnsi" w:hAnsiTheme="minorHAnsi" w:cstheme="minorHAnsi"/>
          <w:bCs/>
        </w:rPr>
        <w:t xml:space="preserve"> This paper reviews the human rights standards that these strategies must systemically, and now (arguably) operationally</w:t>
      </w:r>
      <w:r w:rsidR="00ED7FD2">
        <w:rPr>
          <w:rFonts w:asciiTheme="minorHAnsi" w:hAnsiTheme="minorHAnsi" w:cstheme="minorHAnsi"/>
          <w:bCs/>
        </w:rPr>
        <w:t>,</w:t>
      </w:r>
      <w:r w:rsidR="00B650A9" w:rsidRPr="00F971E7">
        <w:rPr>
          <w:rFonts w:asciiTheme="minorHAnsi" w:hAnsiTheme="minorHAnsi" w:cstheme="minorHAnsi"/>
          <w:bCs/>
        </w:rPr>
        <w:t xml:space="preserve"> strive to meet, in the context of shifting doctrinal standards under the ECHR, </w:t>
      </w:r>
      <w:r w:rsidR="00046E02" w:rsidRPr="00F971E7">
        <w:rPr>
          <w:rFonts w:asciiTheme="minorHAnsi" w:hAnsiTheme="minorHAnsi" w:cstheme="minorHAnsi"/>
          <w:bCs/>
        </w:rPr>
        <w:t xml:space="preserve">and as specifically </w:t>
      </w:r>
      <w:r w:rsidR="00B650A9" w:rsidRPr="00F971E7">
        <w:rPr>
          <w:rFonts w:asciiTheme="minorHAnsi" w:hAnsiTheme="minorHAnsi" w:cstheme="minorHAnsi"/>
          <w:bCs/>
        </w:rPr>
        <w:t>developed by the UK judiciary.</w:t>
      </w:r>
    </w:p>
    <w:p w14:paraId="26B02DC1" w14:textId="0F2A6E62" w:rsidR="00B650A9" w:rsidRPr="00F971E7" w:rsidRDefault="00B650A9" w:rsidP="00702F50">
      <w:pPr>
        <w:jc w:val="both"/>
        <w:rPr>
          <w:rFonts w:asciiTheme="minorHAnsi" w:hAnsiTheme="minorHAnsi" w:cstheme="minorHAnsi"/>
          <w:i/>
          <w:iCs/>
        </w:rPr>
      </w:pPr>
      <w:r w:rsidRPr="00F971E7">
        <w:rPr>
          <w:rFonts w:asciiTheme="minorHAnsi" w:hAnsiTheme="minorHAnsi" w:cstheme="minorHAnsi"/>
          <w:i/>
          <w:iCs/>
        </w:rPr>
        <w:lastRenderedPageBreak/>
        <w:t xml:space="preserve">Figure </w:t>
      </w:r>
      <w:r w:rsidR="00B30BC9" w:rsidRPr="00F971E7">
        <w:rPr>
          <w:rFonts w:asciiTheme="minorHAnsi" w:hAnsiTheme="minorHAnsi" w:cstheme="minorHAnsi"/>
          <w:i/>
          <w:iCs/>
        </w:rPr>
        <w:t>2</w:t>
      </w:r>
      <w:r w:rsidRPr="00F971E7">
        <w:rPr>
          <w:rFonts w:asciiTheme="minorHAnsi" w:hAnsiTheme="minorHAnsi" w:cstheme="minorHAnsi"/>
          <w:i/>
          <w:iCs/>
        </w:rPr>
        <w:t>: A shortfall in public protection?</w:t>
      </w:r>
      <w:r w:rsidR="00EB31ED" w:rsidRPr="005371A7">
        <w:rPr>
          <w:rStyle w:val="FootnoteReference"/>
          <w:rFonts w:asciiTheme="minorHAnsi" w:hAnsiTheme="minorHAnsi" w:cstheme="minorHAnsi"/>
        </w:rPr>
        <w:footnoteReference w:id="21"/>
      </w:r>
    </w:p>
    <w:tbl>
      <w:tblPr>
        <w:tblW w:w="13620" w:type="dxa"/>
        <w:tblCellMar>
          <w:left w:w="0" w:type="dxa"/>
          <w:right w:w="0" w:type="dxa"/>
        </w:tblCellMar>
        <w:tblLook w:val="04A0" w:firstRow="1" w:lastRow="0" w:firstColumn="1" w:lastColumn="0" w:noHBand="0" w:noVBand="1"/>
      </w:tblPr>
      <w:tblGrid>
        <w:gridCol w:w="923"/>
        <w:gridCol w:w="1177"/>
        <w:gridCol w:w="1007"/>
        <w:gridCol w:w="1297"/>
        <w:gridCol w:w="1256"/>
        <w:gridCol w:w="1560"/>
        <w:gridCol w:w="1134"/>
        <w:gridCol w:w="1701"/>
        <w:gridCol w:w="1176"/>
        <w:gridCol w:w="1421"/>
        <w:gridCol w:w="968"/>
      </w:tblGrid>
      <w:tr w:rsidR="00DC638E" w:rsidRPr="00F971E7" w14:paraId="297DB618" w14:textId="77777777" w:rsidTr="00E91727">
        <w:trPr>
          <w:trHeight w:val="1363"/>
        </w:trPr>
        <w:tc>
          <w:tcPr>
            <w:tcW w:w="923" w:type="dxa"/>
            <w:tcBorders>
              <w:top w:val="single" w:sz="8" w:space="0" w:color="FFFFFF"/>
              <w:left w:val="single" w:sz="8" w:space="0" w:color="FFFFFF"/>
              <w:bottom w:val="single" w:sz="24" w:space="0" w:color="FFFFFF"/>
              <w:right w:val="single" w:sz="8" w:space="0" w:color="FFFFFF"/>
            </w:tcBorders>
            <w:shd w:val="clear" w:color="auto" w:fill="8C8D86"/>
            <w:tcMar>
              <w:top w:w="15" w:type="dxa"/>
              <w:left w:w="108" w:type="dxa"/>
              <w:bottom w:w="0" w:type="dxa"/>
              <w:right w:w="108" w:type="dxa"/>
            </w:tcMar>
            <w:hideMark/>
          </w:tcPr>
          <w:p w14:paraId="4FD8192F" w14:textId="77777777" w:rsidR="00B650A9" w:rsidRPr="00C70685" w:rsidRDefault="00B650A9" w:rsidP="00702F50">
            <w:pPr>
              <w:jc w:val="both"/>
              <w:rPr>
                <w:rFonts w:asciiTheme="minorHAnsi" w:hAnsiTheme="minorHAnsi" w:cstheme="minorHAnsi"/>
                <w:b/>
                <w:bCs/>
                <w:color w:val="FFFFFF" w:themeColor="background1"/>
              </w:rPr>
            </w:pPr>
            <w:r w:rsidRPr="00C70685">
              <w:rPr>
                <w:rFonts w:asciiTheme="minorHAnsi" w:hAnsiTheme="minorHAnsi" w:cstheme="minorHAnsi"/>
                <w:b/>
                <w:bCs/>
                <w:color w:val="FFFFFF" w:themeColor="background1"/>
              </w:rPr>
              <w:t>Year to 31</w:t>
            </w:r>
            <w:r w:rsidRPr="00C70685">
              <w:rPr>
                <w:rFonts w:asciiTheme="minorHAnsi" w:hAnsiTheme="minorHAnsi" w:cstheme="minorHAnsi"/>
                <w:b/>
                <w:bCs/>
                <w:color w:val="FFFFFF" w:themeColor="background1"/>
                <w:vertAlign w:val="superscript"/>
              </w:rPr>
              <w:t>st</w:t>
            </w:r>
            <w:r w:rsidRPr="00C70685">
              <w:rPr>
                <w:rFonts w:asciiTheme="minorHAnsi" w:hAnsiTheme="minorHAnsi" w:cstheme="minorHAnsi"/>
                <w:b/>
                <w:bCs/>
                <w:color w:val="FFFFFF" w:themeColor="background1"/>
              </w:rPr>
              <w:t xml:space="preserve"> March</w:t>
            </w:r>
          </w:p>
        </w:tc>
        <w:tc>
          <w:tcPr>
            <w:tcW w:w="1177" w:type="dxa"/>
            <w:tcBorders>
              <w:top w:val="single" w:sz="8" w:space="0" w:color="FFFFFF"/>
              <w:left w:val="single" w:sz="8" w:space="0" w:color="FFFFFF"/>
              <w:bottom w:val="single" w:sz="24" w:space="0" w:color="FFFFFF"/>
              <w:right w:val="single" w:sz="8" w:space="0" w:color="FFFFFF"/>
            </w:tcBorders>
            <w:shd w:val="clear" w:color="auto" w:fill="8C8D86"/>
            <w:tcMar>
              <w:top w:w="15" w:type="dxa"/>
              <w:left w:w="108" w:type="dxa"/>
              <w:bottom w:w="0" w:type="dxa"/>
              <w:right w:w="108" w:type="dxa"/>
            </w:tcMar>
            <w:hideMark/>
          </w:tcPr>
          <w:p w14:paraId="304AF246" w14:textId="77777777" w:rsidR="00B650A9" w:rsidRPr="00C70685" w:rsidRDefault="00B650A9" w:rsidP="00702F50">
            <w:pPr>
              <w:jc w:val="both"/>
              <w:rPr>
                <w:rFonts w:asciiTheme="minorHAnsi" w:hAnsiTheme="minorHAnsi" w:cstheme="minorHAnsi"/>
                <w:b/>
                <w:bCs/>
                <w:color w:val="FFFFFF" w:themeColor="background1"/>
              </w:rPr>
            </w:pPr>
            <w:r w:rsidRPr="00C70685">
              <w:rPr>
                <w:rFonts w:asciiTheme="minorHAnsi" w:hAnsiTheme="minorHAnsi" w:cstheme="minorHAnsi"/>
                <w:b/>
                <w:bCs/>
                <w:color w:val="FFFFFF" w:themeColor="background1"/>
              </w:rPr>
              <w:t>Domestic abuse arrests</w:t>
            </w:r>
          </w:p>
        </w:tc>
        <w:tc>
          <w:tcPr>
            <w:tcW w:w="1007" w:type="dxa"/>
            <w:tcBorders>
              <w:top w:val="single" w:sz="8" w:space="0" w:color="FFFFFF"/>
              <w:left w:val="single" w:sz="8" w:space="0" w:color="FFFFFF"/>
              <w:bottom w:val="single" w:sz="24" w:space="0" w:color="FFFFFF"/>
              <w:right w:val="single" w:sz="8" w:space="0" w:color="FFFFFF"/>
            </w:tcBorders>
            <w:shd w:val="clear" w:color="auto" w:fill="8C8D86"/>
            <w:tcMar>
              <w:top w:w="15" w:type="dxa"/>
              <w:left w:w="108" w:type="dxa"/>
              <w:bottom w:w="0" w:type="dxa"/>
              <w:right w:w="108" w:type="dxa"/>
            </w:tcMar>
            <w:hideMark/>
          </w:tcPr>
          <w:p w14:paraId="463D24DF" w14:textId="77777777" w:rsidR="00B650A9" w:rsidRPr="00C70685" w:rsidRDefault="00B650A9" w:rsidP="00702F50">
            <w:pPr>
              <w:jc w:val="both"/>
              <w:rPr>
                <w:rFonts w:asciiTheme="minorHAnsi" w:hAnsiTheme="minorHAnsi" w:cstheme="minorHAnsi"/>
                <w:b/>
                <w:bCs/>
                <w:color w:val="FFFFFF" w:themeColor="background1"/>
              </w:rPr>
            </w:pPr>
            <w:r w:rsidRPr="00C70685">
              <w:rPr>
                <w:rFonts w:asciiTheme="minorHAnsi" w:hAnsiTheme="minorHAnsi" w:cstheme="minorHAnsi"/>
                <w:b/>
                <w:bCs/>
                <w:color w:val="FFFFFF" w:themeColor="background1"/>
              </w:rPr>
              <w:t>% change year on year</w:t>
            </w:r>
          </w:p>
        </w:tc>
        <w:tc>
          <w:tcPr>
            <w:tcW w:w="1297" w:type="dxa"/>
            <w:tcBorders>
              <w:top w:val="single" w:sz="8" w:space="0" w:color="FFFFFF"/>
              <w:left w:val="single" w:sz="8" w:space="0" w:color="FFFFFF"/>
              <w:bottom w:val="single" w:sz="24" w:space="0" w:color="FFFFFF"/>
              <w:right w:val="single" w:sz="8" w:space="0" w:color="FFFFFF"/>
            </w:tcBorders>
            <w:shd w:val="clear" w:color="auto" w:fill="8C8D86"/>
            <w:tcMar>
              <w:top w:w="15" w:type="dxa"/>
              <w:left w:w="108" w:type="dxa"/>
              <w:bottom w:w="0" w:type="dxa"/>
              <w:right w:w="108" w:type="dxa"/>
            </w:tcMar>
            <w:hideMark/>
          </w:tcPr>
          <w:p w14:paraId="32BC56C1" w14:textId="77777777" w:rsidR="00B650A9" w:rsidRPr="00C70685" w:rsidRDefault="00B650A9" w:rsidP="00702F50">
            <w:pPr>
              <w:jc w:val="both"/>
              <w:rPr>
                <w:rFonts w:asciiTheme="minorHAnsi" w:hAnsiTheme="minorHAnsi" w:cstheme="minorHAnsi"/>
                <w:b/>
                <w:bCs/>
                <w:color w:val="FFFFFF" w:themeColor="background1"/>
              </w:rPr>
            </w:pPr>
            <w:r w:rsidRPr="00C70685">
              <w:rPr>
                <w:rFonts w:asciiTheme="minorHAnsi" w:hAnsiTheme="minorHAnsi" w:cstheme="minorHAnsi"/>
                <w:b/>
                <w:bCs/>
                <w:color w:val="FFFFFF" w:themeColor="background1"/>
              </w:rPr>
              <w:t>Domestic violence protection notices issued</w:t>
            </w:r>
          </w:p>
        </w:tc>
        <w:tc>
          <w:tcPr>
            <w:tcW w:w="1256" w:type="dxa"/>
            <w:tcBorders>
              <w:top w:val="single" w:sz="8" w:space="0" w:color="FFFFFF"/>
              <w:left w:val="single" w:sz="8" w:space="0" w:color="FFFFFF"/>
              <w:bottom w:val="single" w:sz="24" w:space="0" w:color="FFFFFF"/>
              <w:right w:val="single" w:sz="8" w:space="0" w:color="FFFFFF"/>
            </w:tcBorders>
            <w:shd w:val="clear" w:color="auto" w:fill="8C8D86"/>
            <w:tcMar>
              <w:top w:w="15" w:type="dxa"/>
              <w:left w:w="108" w:type="dxa"/>
              <w:bottom w:w="0" w:type="dxa"/>
              <w:right w:w="108" w:type="dxa"/>
            </w:tcMar>
            <w:hideMark/>
          </w:tcPr>
          <w:p w14:paraId="7E58F87C" w14:textId="77777777" w:rsidR="00B650A9" w:rsidRPr="00C70685" w:rsidRDefault="00B650A9" w:rsidP="00702F50">
            <w:pPr>
              <w:jc w:val="both"/>
              <w:rPr>
                <w:rFonts w:asciiTheme="minorHAnsi" w:hAnsiTheme="minorHAnsi" w:cstheme="minorHAnsi"/>
                <w:b/>
                <w:bCs/>
                <w:color w:val="FFFFFF" w:themeColor="background1"/>
              </w:rPr>
            </w:pPr>
            <w:r w:rsidRPr="00C70685">
              <w:rPr>
                <w:rFonts w:asciiTheme="minorHAnsi" w:hAnsiTheme="minorHAnsi" w:cstheme="minorHAnsi"/>
                <w:b/>
                <w:bCs/>
                <w:color w:val="FFFFFF" w:themeColor="background1"/>
              </w:rPr>
              <w:t>% change year on year</w:t>
            </w:r>
          </w:p>
        </w:tc>
        <w:tc>
          <w:tcPr>
            <w:tcW w:w="1560" w:type="dxa"/>
            <w:tcBorders>
              <w:top w:val="single" w:sz="8" w:space="0" w:color="FFFFFF"/>
              <w:left w:val="single" w:sz="8" w:space="0" w:color="FFFFFF"/>
              <w:bottom w:val="single" w:sz="24" w:space="0" w:color="FFFFFF"/>
              <w:right w:val="single" w:sz="8" w:space="0" w:color="FFFFFF"/>
            </w:tcBorders>
            <w:shd w:val="clear" w:color="auto" w:fill="8C8D86"/>
            <w:tcMar>
              <w:top w:w="15" w:type="dxa"/>
              <w:left w:w="108" w:type="dxa"/>
              <w:bottom w:w="0" w:type="dxa"/>
              <w:right w:w="108" w:type="dxa"/>
            </w:tcMar>
            <w:hideMark/>
          </w:tcPr>
          <w:p w14:paraId="3641AD1A" w14:textId="77777777" w:rsidR="00B650A9" w:rsidRPr="00C70685" w:rsidRDefault="00B650A9" w:rsidP="00A47587">
            <w:pPr>
              <w:rPr>
                <w:rFonts w:asciiTheme="minorHAnsi" w:hAnsiTheme="minorHAnsi" w:cstheme="minorHAnsi"/>
                <w:b/>
                <w:bCs/>
                <w:color w:val="FFFFFF" w:themeColor="background1"/>
              </w:rPr>
            </w:pPr>
            <w:r w:rsidRPr="00C70685">
              <w:rPr>
                <w:rFonts w:asciiTheme="minorHAnsi" w:hAnsiTheme="minorHAnsi" w:cstheme="minorHAnsi"/>
                <w:b/>
                <w:bCs/>
                <w:color w:val="FFFFFF" w:themeColor="background1"/>
              </w:rPr>
              <w:t>All CPS domestic abuse prosecutions E&amp;W</w:t>
            </w:r>
          </w:p>
        </w:tc>
        <w:tc>
          <w:tcPr>
            <w:tcW w:w="1134" w:type="dxa"/>
            <w:tcBorders>
              <w:top w:val="single" w:sz="8" w:space="0" w:color="FFFFFF"/>
              <w:left w:val="single" w:sz="8" w:space="0" w:color="FFFFFF"/>
              <w:bottom w:val="single" w:sz="24" w:space="0" w:color="FFFFFF"/>
              <w:right w:val="single" w:sz="8" w:space="0" w:color="FFFFFF"/>
            </w:tcBorders>
            <w:shd w:val="clear" w:color="auto" w:fill="8C8D86"/>
            <w:tcMar>
              <w:top w:w="15" w:type="dxa"/>
              <w:left w:w="108" w:type="dxa"/>
              <w:bottom w:w="0" w:type="dxa"/>
              <w:right w:w="108" w:type="dxa"/>
            </w:tcMar>
            <w:hideMark/>
          </w:tcPr>
          <w:p w14:paraId="109A8242" w14:textId="77777777" w:rsidR="00B650A9" w:rsidRPr="00C70685" w:rsidRDefault="00B650A9" w:rsidP="00E91727">
            <w:pPr>
              <w:rPr>
                <w:rFonts w:asciiTheme="minorHAnsi" w:hAnsiTheme="minorHAnsi" w:cstheme="minorHAnsi"/>
                <w:b/>
                <w:bCs/>
                <w:color w:val="FFFFFF" w:themeColor="background1"/>
              </w:rPr>
            </w:pPr>
            <w:r w:rsidRPr="00C70685">
              <w:rPr>
                <w:rFonts w:asciiTheme="minorHAnsi" w:hAnsiTheme="minorHAnsi" w:cstheme="minorHAnsi"/>
                <w:b/>
                <w:bCs/>
                <w:color w:val="FFFFFF" w:themeColor="background1"/>
              </w:rPr>
              <w:t>% change year on year</w:t>
            </w:r>
          </w:p>
        </w:tc>
        <w:tc>
          <w:tcPr>
            <w:tcW w:w="1701" w:type="dxa"/>
            <w:tcBorders>
              <w:top w:val="single" w:sz="8" w:space="0" w:color="FFFFFF"/>
              <w:left w:val="single" w:sz="8" w:space="0" w:color="FFFFFF"/>
              <w:bottom w:val="single" w:sz="24" w:space="0" w:color="FFFFFF"/>
              <w:right w:val="single" w:sz="8" w:space="0" w:color="FFFFFF"/>
            </w:tcBorders>
            <w:shd w:val="clear" w:color="auto" w:fill="8C8D86"/>
            <w:tcMar>
              <w:top w:w="15" w:type="dxa"/>
              <w:left w:w="108" w:type="dxa"/>
              <w:bottom w:w="0" w:type="dxa"/>
              <w:right w:w="108" w:type="dxa"/>
            </w:tcMar>
            <w:hideMark/>
          </w:tcPr>
          <w:p w14:paraId="1283E037" w14:textId="711AECF2" w:rsidR="00B650A9" w:rsidRPr="00C70685" w:rsidRDefault="00B650A9" w:rsidP="00A47587">
            <w:pPr>
              <w:rPr>
                <w:rFonts w:asciiTheme="minorHAnsi" w:hAnsiTheme="minorHAnsi" w:cstheme="minorHAnsi"/>
                <w:b/>
                <w:bCs/>
                <w:color w:val="FFFFFF" w:themeColor="background1"/>
              </w:rPr>
            </w:pPr>
            <w:r w:rsidRPr="00C70685">
              <w:rPr>
                <w:rFonts w:asciiTheme="minorHAnsi" w:hAnsiTheme="minorHAnsi" w:cstheme="minorHAnsi"/>
                <w:b/>
                <w:bCs/>
                <w:color w:val="FFFFFF" w:themeColor="background1"/>
              </w:rPr>
              <w:t>Domestic abuse-flagged rape prosecutions</w:t>
            </w:r>
            <w:r w:rsidR="00A47587" w:rsidRPr="00C70685">
              <w:rPr>
                <w:rFonts w:asciiTheme="minorHAnsi" w:hAnsiTheme="minorHAnsi" w:cstheme="minorHAnsi"/>
                <w:b/>
                <w:bCs/>
                <w:color w:val="FFFFFF" w:themeColor="background1"/>
              </w:rPr>
              <w:t xml:space="preserve"> </w:t>
            </w:r>
            <w:r w:rsidRPr="00C70685">
              <w:rPr>
                <w:rFonts w:asciiTheme="minorHAnsi" w:hAnsiTheme="minorHAnsi" w:cstheme="minorHAnsi"/>
                <w:b/>
                <w:bCs/>
                <w:color w:val="FFFFFF" w:themeColor="background1"/>
              </w:rPr>
              <w:t>E&amp;W</w:t>
            </w:r>
          </w:p>
        </w:tc>
        <w:tc>
          <w:tcPr>
            <w:tcW w:w="1176" w:type="dxa"/>
            <w:tcBorders>
              <w:top w:val="single" w:sz="8" w:space="0" w:color="FFFFFF"/>
              <w:left w:val="single" w:sz="8" w:space="0" w:color="FFFFFF"/>
              <w:bottom w:val="single" w:sz="24" w:space="0" w:color="FFFFFF"/>
              <w:right w:val="single" w:sz="8" w:space="0" w:color="FFFFFF"/>
            </w:tcBorders>
            <w:shd w:val="clear" w:color="auto" w:fill="8C8D86"/>
            <w:tcMar>
              <w:top w:w="15" w:type="dxa"/>
              <w:left w:w="108" w:type="dxa"/>
              <w:bottom w:w="0" w:type="dxa"/>
              <w:right w:w="108" w:type="dxa"/>
            </w:tcMar>
            <w:hideMark/>
          </w:tcPr>
          <w:p w14:paraId="683D6755" w14:textId="77777777" w:rsidR="00B650A9" w:rsidRPr="00C70685" w:rsidRDefault="00B650A9" w:rsidP="00702F50">
            <w:pPr>
              <w:jc w:val="both"/>
              <w:rPr>
                <w:rFonts w:asciiTheme="minorHAnsi" w:hAnsiTheme="minorHAnsi" w:cstheme="minorHAnsi"/>
                <w:b/>
                <w:bCs/>
                <w:color w:val="FFFFFF" w:themeColor="background1"/>
              </w:rPr>
            </w:pPr>
            <w:r w:rsidRPr="00C70685">
              <w:rPr>
                <w:rFonts w:asciiTheme="minorHAnsi" w:hAnsiTheme="minorHAnsi" w:cstheme="minorHAnsi"/>
                <w:b/>
                <w:bCs/>
                <w:color w:val="FFFFFF" w:themeColor="background1"/>
              </w:rPr>
              <w:t>% change year on year</w:t>
            </w:r>
          </w:p>
        </w:tc>
        <w:tc>
          <w:tcPr>
            <w:tcW w:w="1421" w:type="dxa"/>
            <w:tcBorders>
              <w:top w:val="single" w:sz="8" w:space="0" w:color="FFFFFF"/>
              <w:left w:val="single" w:sz="8" w:space="0" w:color="FFFFFF"/>
              <w:bottom w:val="single" w:sz="24" w:space="0" w:color="FFFFFF"/>
              <w:right w:val="single" w:sz="8" w:space="0" w:color="FFFFFF"/>
            </w:tcBorders>
            <w:shd w:val="clear" w:color="auto" w:fill="8C8D86"/>
            <w:tcMar>
              <w:top w:w="15" w:type="dxa"/>
              <w:left w:w="108" w:type="dxa"/>
              <w:bottom w:w="0" w:type="dxa"/>
              <w:right w:w="108" w:type="dxa"/>
            </w:tcMar>
            <w:hideMark/>
          </w:tcPr>
          <w:p w14:paraId="16B2216A" w14:textId="310102BD" w:rsidR="00B650A9" w:rsidRPr="00C70685" w:rsidRDefault="00B650A9" w:rsidP="00A47587">
            <w:pPr>
              <w:rPr>
                <w:rFonts w:asciiTheme="minorHAnsi" w:hAnsiTheme="minorHAnsi" w:cstheme="minorHAnsi"/>
                <w:b/>
                <w:bCs/>
                <w:color w:val="FFFFFF" w:themeColor="background1"/>
              </w:rPr>
            </w:pPr>
            <w:r w:rsidRPr="00C70685">
              <w:rPr>
                <w:rFonts w:asciiTheme="minorHAnsi" w:hAnsiTheme="minorHAnsi" w:cstheme="minorHAnsi"/>
                <w:b/>
                <w:bCs/>
                <w:color w:val="FFFFFF" w:themeColor="background1"/>
              </w:rPr>
              <w:t xml:space="preserve">DVDS disclosures, </w:t>
            </w:r>
            <w:proofErr w:type="spellStart"/>
            <w:r w:rsidRPr="00C70685">
              <w:rPr>
                <w:rFonts w:asciiTheme="minorHAnsi" w:hAnsiTheme="minorHAnsi" w:cstheme="minorHAnsi"/>
                <w:b/>
                <w:bCs/>
                <w:color w:val="FFFFFF" w:themeColor="background1"/>
              </w:rPr>
              <w:t>RtK</w:t>
            </w:r>
            <w:proofErr w:type="spellEnd"/>
            <w:r w:rsidRPr="00C70685">
              <w:rPr>
                <w:rFonts w:asciiTheme="minorHAnsi" w:hAnsiTheme="minorHAnsi" w:cstheme="minorHAnsi"/>
                <w:b/>
                <w:bCs/>
                <w:color w:val="FFFFFF" w:themeColor="background1"/>
              </w:rPr>
              <w:t xml:space="preserve"> and </w:t>
            </w:r>
            <w:proofErr w:type="spellStart"/>
            <w:r w:rsidRPr="00C70685">
              <w:rPr>
                <w:rFonts w:asciiTheme="minorHAnsi" w:hAnsiTheme="minorHAnsi" w:cstheme="minorHAnsi"/>
                <w:b/>
                <w:bCs/>
                <w:color w:val="FFFFFF" w:themeColor="background1"/>
              </w:rPr>
              <w:t>RtA</w:t>
            </w:r>
            <w:proofErr w:type="spellEnd"/>
            <w:r w:rsidRPr="00C70685">
              <w:rPr>
                <w:rFonts w:asciiTheme="minorHAnsi" w:hAnsiTheme="minorHAnsi" w:cstheme="minorHAnsi"/>
                <w:b/>
                <w:bCs/>
                <w:color w:val="FFFFFF" w:themeColor="background1"/>
              </w:rPr>
              <w:t xml:space="preserve"> E&amp;W</w:t>
            </w:r>
          </w:p>
        </w:tc>
        <w:tc>
          <w:tcPr>
            <w:tcW w:w="968" w:type="dxa"/>
            <w:tcBorders>
              <w:top w:val="single" w:sz="8" w:space="0" w:color="FFFFFF"/>
              <w:left w:val="single" w:sz="8" w:space="0" w:color="FFFFFF"/>
              <w:bottom w:val="single" w:sz="24" w:space="0" w:color="FFFFFF"/>
              <w:right w:val="single" w:sz="8" w:space="0" w:color="FFFFFF"/>
            </w:tcBorders>
            <w:shd w:val="clear" w:color="auto" w:fill="8C8D86"/>
            <w:tcMar>
              <w:top w:w="15" w:type="dxa"/>
              <w:left w:w="108" w:type="dxa"/>
              <w:bottom w:w="0" w:type="dxa"/>
              <w:right w:w="108" w:type="dxa"/>
            </w:tcMar>
            <w:hideMark/>
          </w:tcPr>
          <w:p w14:paraId="4AB8AACF" w14:textId="77777777" w:rsidR="00B650A9" w:rsidRPr="00C70685" w:rsidRDefault="00B650A9" w:rsidP="00702F50">
            <w:pPr>
              <w:jc w:val="both"/>
              <w:rPr>
                <w:rFonts w:asciiTheme="minorHAnsi" w:hAnsiTheme="minorHAnsi" w:cstheme="minorHAnsi"/>
                <w:b/>
                <w:bCs/>
                <w:color w:val="FFFFFF" w:themeColor="background1"/>
              </w:rPr>
            </w:pPr>
            <w:r w:rsidRPr="00C70685">
              <w:rPr>
                <w:rFonts w:asciiTheme="minorHAnsi" w:hAnsiTheme="minorHAnsi" w:cstheme="minorHAnsi"/>
                <w:b/>
                <w:bCs/>
                <w:color w:val="FFFFFF" w:themeColor="background1"/>
              </w:rPr>
              <w:t>% change year on year</w:t>
            </w:r>
          </w:p>
        </w:tc>
      </w:tr>
      <w:tr w:rsidR="00DC638E" w:rsidRPr="00F971E7" w14:paraId="583360CD" w14:textId="77777777" w:rsidTr="00E91727">
        <w:trPr>
          <w:trHeight w:val="320"/>
        </w:trPr>
        <w:tc>
          <w:tcPr>
            <w:tcW w:w="923" w:type="dxa"/>
            <w:tcBorders>
              <w:top w:val="single" w:sz="24" w:space="0" w:color="FFFFFF"/>
              <w:left w:val="single" w:sz="8" w:space="0" w:color="FFFFFF"/>
              <w:bottom w:val="single" w:sz="8" w:space="0" w:color="FFFFFF"/>
              <w:right w:val="single" w:sz="8" w:space="0" w:color="FFFFFF"/>
            </w:tcBorders>
            <w:shd w:val="clear" w:color="auto" w:fill="8C8D86"/>
            <w:tcMar>
              <w:top w:w="15" w:type="dxa"/>
              <w:left w:w="108" w:type="dxa"/>
              <w:bottom w:w="0" w:type="dxa"/>
              <w:right w:w="108" w:type="dxa"/>
            </w:tcMar>
            <w:hideMark/>
          </w:tcPr>
          <w:p w14:paraId="56BF89F7" w14:textId="77777777" w:rsidR="00B650A9" w:rsidRPr="00C70685" w:rsidRDefault="00B650A9" w:rsidP="00702F50">
            <w:pPr>
              <w:jc w:val="both"/>
              <w:rPr>
                <w:rFonts w:asciiTheme="minorHAnsi" w:hAnsiTheme="minorHAnsi" w:cstheme="minorHAnsi"/>
                <w:b/>
                <w:bCs/>
                <w:color w:val="FFFFFF" w:themeColor="background1"/>
              </w:rPr>
            </w:pPr>
            <w:r w:rsidRPr="00C70685">
              <w:rPr>
                <w:rFonts w:asciiTheme="minorHAnsi" w:hAnsiTheme="minorHAnsi" w:cstheme="minorHAnsi"/>
                <w:b/>
                <w:bCs/>
                <w:color w:val="FFFFFF" w:themeColor="background1"/>
              </w:rPr>
              <w:t>2017</w:t>
            </w:r>
          </w:p>
        </w:tc>
        <w:tc>
          <w:tcPr>
            <w:tcW w:w="1177" w:type="dxa"/>
            <w:tcBorders>
              <w:top w:val="single" w:sz="24" w:space="0" w:color="FFFFFF"/>
              <w:left w:val="single" w:sz="8" w:space="0" w:color="FFFFFF"/>
              <w:bottom w:val="single" w:sz="8" w:space="0" w:color="FFFFFF"/>
              <w:right w:val="single" w:sz="8" w:space="0" w:color="FFFFFF"/>
            </w:tcBorders>
            <w:shd w:val="clear" w:color="auto" w:fill="DBDBD9"/>
            <w:tcMar>
              <w:top w:w="15" w:type="dxa"/>
              <w:left w:w="108" w:type="dxa"/>
              <w:bottom w:w="0" w:type="dxa"/>
              <w:right w:w="108" w:type="dxa"/>
            </w:tcMar>
            <w:hideMark/>
          </w:tcPr>
          <w:p w14:paraId="0D1C9B01" w14:textId="77777777" w:rsidR="00B650A9" w:rsidRPr="00F971E7" w:rsidRDefault="00B650A9" w:rsidP="00702F50">
            <w:pPr>
              <w:jc w:val="both"/>
              <w:rPr>
                <w:rFonts w:asciiTheme="minorHAnsi" w:hAnsiTheme="minorHAnsi" w:cstheme="minorHAnsi"/>
                <w:b/>
                <w:bCs/>
              </w:rPr>
            </w:pPr>
            <w:r w:rsidRPr="00F971E7">
              <w:rPr>
                <w:rFonts w:asciiTheme="minorHAnsi" w:hAnsiTheme="minorHAnsi" w:cstheme="minorHAnsi"/>
                <w:b/>
                <w:bCs/>
              </w:rPr>
              <w:t>217, 607</w:t>
            </w:r>
          </w:p>
        </w:tc>
        <w:tc>
          <w:tcPr>
            <w:tcW w:w="1007" w:type="dxa"/>
            <w:tcBorders>
              <w:top w:val="single" w:sz="24" w:space="0" w:color="FFFFFF"/>
              <w:left w:val="single" w:sz="8" w:space="0" w:color="FFFFFF"/>
              <w:bottom w:val="single" w:sz="8" w:space="0" w:color="FFFFFF"/>
              <w:right w:val="single" w:sz="8" w:space="0" w:color="FFFFFF"/>
            </w:tcBorders>
            <w:shd w:val="clear" w:color="auto" w:fill="DBDBD9"/>
            <w:tcMar>
              <w:top w:w="15" w:type="dxa"/>
              <w:left w:w="108" w:type="dxa"/>
              <w:bottom w:w="0" w:type="dxa"/>
              <w:right w:w="108" w:type="dxa"/>
            </w:tcMar>
            <w:hideMark/>
          </w:tcPr>
          <w:p w14:paraId="1D7339C6" w14:textId="77777777" w:rsidR="00B650A9" w:rsidRPr="00F971E7" w:rsidRDefault="00B650A9" w:rsidP="00702F50">
            <w:pPr>
              <w:jc w:val="both"/>
              <w:rPr>
                <w:rFonts w:asciiTheme="minorHAnsi" w:hAnsiTheme="minorHAnsi" w:cstheme="minorHAnsi"/>
                <w:b/>
                <w:bCs/>
              </w:rPr>
            </w:pPr>
            <w:r w:rsidRPr="00F971E7">
              <w:rPr>
                <w:rFonts w:asciiTheme="minorHAnsi" w:hAnsiTheme="minorHAnsi" w:cstheme="minorHAnsi"/>
                <w:b/>
                <w:bCs/>
              </w:rPr>
              <w:t>n/a</w:t>
            </w:r>
          </w:p>
        </w:tc>
        <w:tc>
          <w:tcPr>
            <w:tcW w:w="1297" w:type="dxa"/>
            <w:tcBorders>
              <w:top w:val="single" w:sz="24" w:space="0" w:color="FFFFFF"/>
              <w:left w:val="single" w:sz="8" w:space="0" w:color="FFFFFF"/>
              <w:bottom w:val="single" w:sz="8" w:space="0" w:color="FFFFFF"/>
              <w:right w:val="single" w:sz="8" w:space="0" w:color="FFFFFF"/>
            </w:tcBorders>
            <w:shd w:val="clear" w:color="auto" w:fill="DBDBD9"/>
            <w:tcMar>
              <w:top w:w="15" w:type="dxa"/>
              <w:left w:w="108" w:type="dxa"/>
              <w:bottom w:w="0" w:type="dxa"/>
              <w:right w:w="108" w:type="dxa"/>
            </w:tcMar>
            <w:hideMark/>
          </w:tcPr>
          <w:p w14:paraId="687C348C" w14:textId="77777777" w:rsidR="00B650A9" w:rsidRPr="00F971E7" w:rsidRDefault="00B650A9" w:rsidP="00702F50">
            <w:pPr>
              <w:jc w:val="both"/>
              <w:rPr>
                <w:rFonts w:asciiTheme="minorHAnsi" w:hAnsiTheme="minorHAnsi" w:cstheme="minorHAnsi"/>
                <w:b/>
                <w:bCs/>
              </w:rPr>
            </w:pPr>
            <w:r w:rsidRPr="00F971E7">
              <w:rPr>
                <w:rFonts w:asciiTheme="minorHAnsi" w:hAnsiTheme="minorHAnsi" w:cstheme="minorHAnsi"/>
                <w:b/>
                <w:bCs/>
              </w:rPr>
              <w:t>3029</w:t>
            </w:r>
          </w:p>
        </w:tc>
        <w:tc>
          <w:tcPr>
            <w:tcW w:w="1256" w:type="dxa"/>
            <w:tcBorders>
              <w:top w:val="single" w:sz="24" w:space="0" w:color="FFFFFF"/>
              <w:left w:val="single" w:sz="8" w:space="0" w:color="FFFFFF"/>
              <w:bottom w:val="single" w:sz="8" w:space="0" w:color="FFFFFF"/>
              <w:right w:val="single" w:sz="8" w:space="0" w:color="FFFFFF"/>
            </w:tcBorders>
            <w:shd w:val="clear" w:color="auto" w:fill="DBDBD9"/>
            <w:tcMar>
              <w:top w:w="15" w:type="dxa"/>
              <w:left w:w="108" w:type="dxa"/>
              <w:bottom w:w="0" w:type="dxa"/>
              <w:right w:w="108" w:type="dxa"/>
            </w:tcMar>
            <w:hideMark/>
          </w:tcPr>
          <w:p w14:paraId="7FF8D3F8" w14:textId="77777777" w:rsidR="00B650A9" w:rsidRPr="00F971E7" w:rsidRDefault="00B650A9" w:rsidP="00702F50">
            <w:pPr>
              <w:jc w:val="both"/>
              <w:rPr>
                <w:rFonts w:asciiTheme="minorHAnsi" w:hAnsiTheme="minorHAnsi" w:cstheme="minorHAnsi"/>
                <w:b/>
                <w:bCs/>
              </w:rPr>
            </w:pPr>
            <w:r w:rsidRPr="00F971E7">
              <w:rPr>
                <w:rFonts w:asciiTheme="minorHAnsi" w:hAnsiTheme="minorHAnsi" w:cstheme="minorHAnsi"/>
                <w:b/>
                <w:bCs/>
              </w:rPr>
              <w:t>n/a</w:t>
            </w:r>
          </w:p>
        </w:tc>
        <w:tc>
          <w:tcPr>
            <w:tcW w:w="1560" w:type="dxa"/>
            <w:tcBorders>
              <w:top w:val="single" w:sz="24" w:space="0" w:color="FFFFFF"/>
              <w:left w:val="single" w:sz="8" w:space="0" w:color="FFFFFF"/>
              <w:bottom w:val="single" w:sz="8" w:space="0" w:color="FFFFFF"/>
              <w:right w:val="single" w:sz="8" w:space="0" w:color="FFFFFF"/>
            </w:tcBorders>
            <w:shd w:val="clear" w:color="auto" w:fill="DBDBD9"/>
            <w:tcMar>
              <w:top w:w="15" w:type="dxa"/>
              <w:left w:w="108" w:type="dxa"/>
              <w:bottom w:w="0" w:type="dxa"/>
              <w:right w:w="108" w:type="dxa"/>
            </w:tcMar>
            <w:hideMark/>
          </w:tcPr>
          <w:p w14:paraId="07E8CDA1" w14:textId="77777777" w:rsidR="00B650A9" w:rsidRPr="00F971E7" w:rsidRDefault="00B650A9" w:rsidP="00702F50">
            <w:pPr>
              <w:jc w:val="both"/>
              <w:rPr>
                <w:rFonts w:asciiTheme="minorHAnsi" w:hAnsiTheme="minorHAnsi" w:cstheme="minorHAnsi"/>
                <w:b/>
                <w:bCs/>
              </w:rPr>
            </w:pPr>
            <w:r w:rsidRPr="00F971E7">
              <w:rPr>
                <w:rFonts w:asciiTheme="minorHAnsi" w:hAnsiTheme="minorHAnsi" w:cstheme="minorHAnsi"/>
                <w:b/>
                <w:bCs/>
              </w:rPr>
              <w:t>97,497</w:t>
            </w:r>
          </w:p>
        </w:tc>
        <w:tc>
          <w:tcPr>
            <w:tcW w:w="1134" w:type="dxa"/>
            <w:tcBorders>
              <w:top w:val="single" w:sz="24" w:space="0" w:color="FFFFFF"/>
              <w:left w:val="single" w:sz="8" w:space="0" w:color="FFFFFF"/>
              <w:bottom w:val="single" w:sz="8" w:space="0" w:color="FFFFFF"/>
              <w:right w:val="single" w:sz="8" w:space="0" w:color="FFFFFF"/>
            </w:tcBorders>
            <w:shd w:val="clear" w:color="auto" w:fill="DBDBD9"/>
            <w:tcMar>
              <w:top w:w="15" w:type="dxa"/>
              <w:left w:w="108" w:type="dxa"/>
              <w:bottom w:w="0" w:type="dxa"/>
              <w:right w:w="108" w:type="dxa"/>
            </w:tcMar>
            <w:hideMark/>
          </w:tcPr>
          <w:p w14:paraId="092548C6" w14:textId="77777777" w:rsidR="00B650A9" w:rsidRPr="00F971E7" w:rsidRDefault="00B650A9" w:rsidP="00702F50">
            <w:pPr>
              <w:jc w:val="both"/>
              <w:rPr>
                <w:rFonts w:asciiTheme="minorHAnsi" w:hAnsiTheme="minorHAnsi" w:cstheme="minorHAnsi"/>
                <w:b/>
                <w:bCs/>
              </w:rPr>
            </w:pPr>
            <w:r w:rsidRPr="00F971E7">
              <w:rPr>
                <w:rFonts w:asciiTheme="minorHAnsi" w:hAnsiTheme="minorHAnsi" w:cstheme="minorHAnsi"/>
                <w:b/>
                <w:bCs/>
              </w:rPr>
              <w:t>n/a</w:t>
            </w:r>
          </w:p>
        </w:tc>
        <w:tc>
          <w:tcPr>
            <w:tcW w:w="1701" w:type="dxa"/>
            <w:tcBorders>
              <w:top w:val="single" w:sz="24" w:space="0" w:color="FFFFFF"/>
              <w:left w:val="single" w:sz="8" w:space="0" w:color="FFFFFF"/>
              <w:bottom w:val="single" w:sz="8" w:space="0" w:color="FFFFFF"/>
              <w:right w:val="single" w:sz="8" w:space="0" w:color="FFFFFF"/>
            </w:tcBorders>
            <w:shd w:val="clear" w:color="auto" w:fill="DBDBD9"/>
            <w:tcMar>
              <w:top w:w="15" w:type="dxa"/>
              <w:left w:w="108" w:type="dxa"/>
              <w:bottom w:w="0" w:type="dxa"/>
              <w:right w:w="108" w:type="dxa"/>
            </w:tcMar>
            <w:hideMark/>
          </w:tcPr>
          <w:p w14:paraId="766578A4" w14:textId="77777777" w:rsidR="00B650A9" w:rsidRPr="00F971E7" w:rsidRDefault="00B650A9" w:rsidP="00702F50">
            <w:pPr>
              <w:jc w:val="both"/>
              <w:rPr>
                <w:rFonts w:asciiTheme="minorHAnsi" w:hAnsiTheme="minorHAnsi" w:cstheme="minorHAnsi"/>
                <w:b/>
                <w:bCs/>
              </w:rPr>
            </w:pPr>
            <w:r w:rsidRPr="00F971E7">
              <w:rPr>
                <w:rFonts w:asciiTheme="minorHAnsi" w:hAnsiTheme="minorHAnsi" w:cstheme="minorHAnsi"/>
                <w:b/>
                <w:bCs/>
              </w:rPr>
              <w:t>959</w:t>
            </w:r>
          </w:p>
        </w:tc>
        <w:tc>
          <w:tcPr>
            <w:tcW w:w="1176" w:type="dxa"/>
            <w:tcBorders>
              <w:top w:val="single" w:sz="24" w:space="0" w:color="FFFFFF"/>
              <w:left w:val="single" w:sz="8" w:space="0" w:color="FFFFFF"/>
              <w:bottom w:val="single" w:sz="8" w:space="0" w:color="FFFFFF"/>
              <w:right w:val="single" w:sz="8" w:space="0" w:color="FFFFFF"/>
            </w:tcBorders>
            <w:shd w:val="clear" w:color="auto" w:fill="DBDBD9"/>
            <w:tcMar>
              <w:top w:w="15" w:type="dxa"/>
              <w:left w:w="108" w:type="dxa"/>
              <w:bottom w:w="0" w:type="dxa"/>
              <w:right w:w="108" w:type="dxa"/>
            </w:tcMar>
            <w:hideMark/>
          </w:tcPr>
          <w:p w14:paraId="2DD22BEF" w14:textId="77777777" w:rsidR="00B650A9" w:rsidRPr="00F971E7" w:rsidRDefault="00B650A9" w:rsidP="00702F50">
            <w:pPr>
              <w:jc w:val="both"/>
              <w:rPr>
                <w:rFonts w:asciiTheme="minorHAnsi" w:hAnsiTheme="minorHAnsi" w:cstheme="minorHAnsi"/>
                <w:b/>
                <w:bCs/>
              </w:rPr>
            </w:pPr>
            <w:r w:rsidRPr="00F971E7">
              <w:rPr>
                <w:rFonts w:asciiTheme="minorHAnsi" w:hAnsiTheme="minorHAnsi" w:cstheme="minorHAnsi"/>
                <w:b/>
                <w:bCs/>
              </w:rPr>
              <w:t>n/a</w:t>
            </w:r>
          </w:p>
        </w:tc>
        <w:tc>
          <w:tcPr>
            <w:tcW w:w="1421" w:type="dxa"/>
            <w:tcBorders>
              <w:top w:val="single" w:sz="24" w:space="0" w:color="FFFFFF"/>
              <w:left w:val="single" w:sz="8" w:space="0" w:color="FFFFFF"/>
              <w:bottom w:val="single" w:sz="8" w:space="0" w:color="FFFFFF"/>
              <w:right w:val="single" w:sz="8" w:space="0" w:color="FFFFFF"/>
            </w:tcBorders>
            <w:shd w:val="clear" w:color="auto" w:fill="DBDBD9"/>
            <w:tcMar>
              <w:top w:w="15" w:type="dxa"/>
              <w:left w:w="108" w:type="dxa"/>
              <w:bottom w:w="0" w:type="dxa"/>
              <w:right w:w="108" w:type="dxa"/>
            </w:tcMar>
            <w:hideMark/>
          </w:tcPr>
          <w:p w14:paraId="72EC2924" w14:textId="77777777" w:rsidR="00B650A9" w:rsidRPr="00F971E7" w:rsidRDefault="00B650A9" w:rsidP="00702F50">
            <w:pPr>
              <w:jc w:val="both"/>
              <w:rPr>
                <w:rFonts w:asciiTheme="minorHAnsi" w:hAnsiTheme="minorHAnsi" w:cstheme="minorHAnsi"/>
                <w:b/>
                <w:bCs/>
              </w:rPr>
            </w:pPr>
            <w:r w:rsidRPr="00F971E7">
              <w:rPr>
                <w:rFonts w:asciiTheme="minorHAnsi" w:hAnsiTheme="minorHAnsi" w:cstheme="minorHAnsi"/>
                <w:b/>
                <w:bCs/>
              </w:rPr>
              <w:t>3410</w:t>
            </w:r>
          </w:p>
        </w:tc>
        <w:tc>
          <w:tcPr>
            <w:tcW w:w="968" w:type="dxa"/>
            <w:tcBorders>
              <w:top w:val="single" w:sz="24" w:space="0" w:color="FFFFFF"/>
              <w:left w:val="single" w:sz="8" w:space="0" w:color="FFFFFF"/>
              <w:bottom w:val="single" w:sz="8" w:space="0" w:color="FFFFFF"/>
              <w:right w:val="single" w:sz="8" w:space="0" w:color="FFFFFF"/>
            </w:tcBorders>
            <w:shd w:val="clear" w:color="auto" w:fill="DBDBD9"/>
            <w:tcMar>
              <w:top w:w="15" w:type="dxa"/>
              <w:left w:w="108" w:type="dxa"/>
              <w:bottom w:w="0" w:type="dxa"/>
              <w:right w:w="108" w:type="dxa"/>
            </w:tcMar>
            <w:hideMark/>
          </w:tcPr>
          <w:p w14:paraId="68F3488E" w14:textId="77777777" w:rsidR="00B650A9" w:rsidRPr="00F971E7" w:rsidRDefault="00B650A9" w:rsidP="00702F50">
            <w:pPr>
              <w:jc w:val="both"/>
              <w:rPr>
                <w:rFonts w:asciiTheme="minorHAnsi" w:hAnsiTheme="minorHAnsi" w:cstheme="minorHAnsi"/>
                <w:b/>
                <w:bCs/>
              </w:rPr>
            </w:pPr>
            <w:r w:rsidRPr="00F971E7">
              <w:rPr>
                <w:rFonts w:asciiTheme="minorHAnsi" w:hAnsiTheme="minorHAnsi" w:cstheme="minorHAnsi"/>
                <w:b/>
                <w:bCs/>
              </w:rPr>
              <w:t>n/a</w:t>
            </w:r>
          </w:p>
        </w:tc>
      </w:tr>
      <w:tr w:rsidR="00DC638E" w:rsidRPr="00F971E7" w14:paraId="4B6A7142" w14:textId="77777777" w:rsidTr="00E91727">
        <w:trPr>
          <w:trHeight w:val="417"/>
        </w:trPr>
        <w:tc>
          <w:tcPr>
            <w:tcW w:w="923" w:type="dxa"/>
            <w:tcBorders>
              <w:top w:val="single" w:sz="8" w:space="0" w:color="FFFFFF"/>
              <w:left w:val="single" w:sz="8" w:space="0" w:color="FFFFFF"/>
              <w:bottom w:val="single" w:sz="8" w:space="0" w:color="FFFFFF"/>
              <w:right w:val="single" w:sz="8" w:space="0" w:color="FFFFFF"/>
            </w:tcBorders>
            <w:shd w:val="clear" w:color="auto" w:fill="8C8D86"/>
            <w:tcMar>
              <w:top w:w="15" w:type="dxa"/>
              <w:left w:w="108" w:type="dxa"/>
              <w:bottom w:w="0" w:type="dxa"/>
              <w:right w:w="108" w:type="dxa"/>
            </w:tcMar>
            <w:hideMark/>
          </w:tcPr>
          <w:p w14:paraId="461583EB" w14:textId="77777777" w:rsidR="00B650A9" w:rsidRPr="00C70685" w:rsidRDefault="00B650A9" w:rsidP="00702F50">
            <w:pPr>
              <w:jc w:val="both"/>
              <w:rPr>
                <w:rFonts w:asciiTheme="minorHAnsi" w:hAnsiTheme="minorHAnsi" w:cstheme="minorHAnsi"/>
                <w:b/>
                <w:bCs/>
                <w:color w:val="FFFFFF" w:themeColor="background1"/>
              </w:rPr>
            </w:pPr>
            <w:r w:rsidRPr="00C70685">
              <w:rPr>
                <w:rFonts w:asciiTheme="minorHAnsi" w:hAnsiTheme="minorHAnsi" w:cstheme="minorHAnsi"/>
                <w:b/>
                <w:bCs/>
                <w:color w:val="FFFFFF" w:themeColor="background1"/>
              </w:rPr>
              <w:t>2018</w:t>
            </w:r>
          </w:p>
        </w:tc>
        <w:tc>
          <w:tcPr>
            <w:tcW w:w="1177" w:type="dxa"/>
            <w:tcBorders>
              <w:top w:val="single" w:sz="8" w:space="0" w:color="FFFFFF"/>
              <w:left w:val="single" w:sz="8" w:space="0" w:color="FFFFFF"/>
              <w:bottom w:val="single" w:sz="8" w:space="0" w:color="FFFFFF"/>
              <w:right w:val="single" w:sz="8" w:space="0" w:color="FFFFFF"/>
            </w:tcBorders>
            <w:shd w:val="clear" w:color="auto" w:fill="EEEEED"/>
            <w:tcMar>
              <w:top w:w="15" w:type="dxa"/>
              <w:left w:w="108" w:type="dxa"/>
              <w:bottom w:w="0" w:type="dxa"/>
              <w:right w:w="108" w:type="dxa"/>
            </w:tcMar>
            <w:hideMark/>
          </w:tcPr>
          <w:p w14:paraId="4272BA58" w14:textId="77777777" w:rsidR="00B650A9" w:rsidRPr="00F971E7" w:rsidRDefault="00B650A9" w:rsidP="00702F50">
            <w:pPr>
              <w:jc w:val="both"/>
              <w:rPr>
                <w:rFonts w:asciiTheme="minorHAnsi" w:hAnsiTheme="minorHAnsi" w:cstheme="minorHAnsi"/>
                <w:b/>
                <w:bCs/>
              </w:rPr>
            </w:pPr>
            <w:r w:rsidRPr="00F971E7">
              <w:rPr>
                <w:rFonts w:asciiTheme="minorHAnsi" w:hAnsiTheme="minorHAnsi" w:cstheme="minorHAnsi"/>
                <w:b/>
                <w:bCs/>
              </w:rPr>
              <w:t>225, 714</w:t>
            </w:r>
          </w:p>
        </w:tc>
        <w:tc>
          <w:tcPr>
            <w:tcW w:w="1007" w:type="dxa"/>
            <w:tcBorders>
              <w:top w:val="single" w:sz="8" w:space="0" w:color="FFFFFF"/>
              <w:left w:val="single" w:sz="8" w:space="0" w:color="FFFFFF"/>
              <w:bottom w:val="single" w:sz="8" w:space="0" w:color="FFFFFF"/>
              <w:right w:val="single" w:sz="8" w:space="0" w:color="FFFFFF"/>
            </w:tcBorders>
            <w:shd w:val="clear" w:color="auto" w:fill="EEEEED"/>
            <w:tcMar>
              <w:top w:w="15" w:type="dxa"/>
              <w:left w:w="108" w:type="dxa"/>
              <w:bottom w:w="0" w:type="dxa"/>
              <w:right w:w="108" w:type="dxa"/>
            </w:tcMar>
            <w:hideMark/>
          </w:tcPr>
          <w:p w14:paraId="466391FE" w14:textId="77777777" w:rsidR="00B650A9" w:rsidRPr="00F971E7" w:rsidRDefault="00B650A9" w:rsidP="00702F50">
            <w:pPr>
              <w:jc w:val="both"/>
              <w:rPr>
                <w:rFonts w:asciiTheme="minorHAnsi" w:hAnsiTheme="minorHAnsi" w:cstheme="minorHAnsi"/>
                <w:b/>
                <w:bCs/>
              </w:rPr>
            </w:pPr>
            <w:r w:rsidRPr="00F971E7">
              <w:rPr>
                <w:rFonts w:asciiTheme="minorHAnsi" w:hAnsiTheme="minorHAnsi" w:cstheme="minorHAnsi"/>
                <w:b/>
                <w:bCs/>
              </w:rPr>
              <w:t>+ 3.73</w:t>
            </w:r>
          </w:p>
        </w:tc>
        <w:tc>
          <w:tcPr>
            <w:tcW w:w="1297" w:type="dxa"/>
            <w:tcBorders>
              <w:top w:val="single" w:sz="8" w:space="0" w:color="FFFFFF"/>
              <w:left w:val="single" w:sz="8" w:space="0" w:color="FFFFFF"/>
              <w:bottom w:val="single" w:sz="8" w:space="0" w:color="FFFFFF"/>
              <w:right w:val="single" w:sz="8" w:space="0" w:color="FFFFFF"/>
            </w:tcBorders>
            <w:shd w:val="clear" w:color="auto" w:fill="EEEEED"/>
            <w:tcMar>
              <w:top w:w="15" w:type="dxa"/>
              <w:left w:w="108" w:type="dxa"/>
              <w:bottom w:w="0" w:type="dxa"/>
              <w:right w:w="108" w:type="dxa"/>
            </w:tcMar>
            <w:hideMark/>
          </w:tcPr>
          <w:p w14:paraId="74E496CF" w14:textId="77777777" w:rsidR="00B650A9" w:rsidRPr="00F971E7" w:rsidRDefault="00B650A9" w:rsidP="00702F50">
            <w:pPr>
              <w:jc w:val="both"/>
              <w:rPr>
                <w:rFonts w:asciiTheme="minorHAnsi" w:hAnsiTheme="minorHAnsi" w:cstheme="minorHAnsi"/>
                <w:b/>
                <w:bCs/>
              </w:rPr>
            </w:pPr>
            <w:r w:rsidRPr="00F971E7">
              <w:rPr>
                <w:rFonts w:asciiTheme="minorHAnsi" w:hAnsiTheme="minorHAnsi" w:cstheme="minorHAnsi"/>
                <w:b/>
                <w:bCs/>
              </w:rPr>
              <w:t>4219</w:t>
            </w:r>
          </w:p>
        </w:tc>
        <w:tc>
          <w:tcPr>
            <w:tcW w:w="1256" w:type="dxa"/>
            <w:tcBorders>
              <w:top w:val="single" w:sz="8" w:space="0" w:color="FFFFFF"/>
              <w:left w:val="single" w:sz="8" w:space="0" w:color="FFFFFF"/>
              <w:bottom w:val="single" w:sz="8" w:space="0" w:color="FFFFFF"/>
              <w:right w:val="single" w:sz="8" w:space="0" w:color="FFFFFF"/>
            </w:tcBorders>
            <w:shd w:val="clear" w:color="auto" w:fill="EEEEED"/>
            <w:tcMar>
              <w:top w:w="15" w:type="dxa"/>
              <w:left w:w="108" w:type="dxa"/>
              <w:bottom w:w="0" w:type="dxa"/>
              <w:right w:w="108" w:type="dxa"/>
            </w:tcMar>
            <w:hideMark/>
          </w:tcPr>
          <w:p w14:paraId="007A85BB" w14:textId="77777777" w:rsidR="00B650A9" w:rsidRPr="00F971E7" w:rsidRDefault="00B650A9" w:rsidP="00702F50">
            <w:pPr>
              <w:jc w:val="both"/>
              <w:rPr>
                <w:rFonts w:asciiTheme="minorHAnsi" w:hAnsiTheme="minorHAnsi" w:cstheme="minorHAnsi"/>
                <w:b/>
                <w:bCs/>
              </w:rPr>
            </w:pPr>
            <w:r w:rsidRPr="00F971E7">
              <w:rPr>
                <w:rFonts w:asciiTheme="minorHAnsi" w:hAnsiTheme="minorHAnsi" w:cstheme="minorHAnsi"/>
                <w:b/>
                <w:bCs/>
              </w:rPr>
              <w:t>+ 39.29</w:t>
            </w:r>
          </w:p>
        </w:tc>
        <w:tc>
          <w:tcPr>
            <w:tcW w:w="1560" w:type="dxa"/>
            <w:tcBorders>
              <w:top w:val="single" w:sz="8" w:space="0" w:color="FFFFFF"/>
              <w:left w:val="single" w:sz="8" w:space="0" w:color="FFFFFF"/>
              <w:bottom w:val="single" w:sz="8" w:space="0" w:color="FFFFFF"/>
              <w:right w:val="single" w:sz="8" w:space="0" w:color="FFFFFF"/>
            </w:tcBorders>
            <w:shd w:val="clear" w:color="auto" w:fill="EEEEED"/>
            <w:tcMar>
              <w:top w:w="15" w:type="dxa"/>
              <w:left w:w="108" w:type="dxa"/>
              <w:bottom w:w="0" w:type="dxa"/>
              <w:right w:w="108" w:type="dxa"/>
            </w:tcMar>
            <w:hideMark/>
          </w:tcPr>
          <w:p w14:paraId="7768F43A" w14:textId="77777777" w:rsidR="00B650A9" w:rsidRPr="00F971E7" w:rsidRDefault="00B650A9" w:rsidP="00702F50">
            <w:pPr>
              <w:jc w:val="both"/>
              <w:rPr>
                <w:rFonts w:asciiTheme="minorHAnsi" w:hAnsiTheme="minorHAnsi" w:cstheme="minorHAnsi"/>
                <w:b/>
                <w:bCs/>
              </w:rPr>
            </w:pPr>
            <w:r w:rsidRPr="00F971E7">
              <w:rPr>
                <w:rFonts w:asciiTheme="minorHAnsi" w:hAnsiTheme="minorHAnsi" w:cstheme="minorHAnsi"/>
                <w:b/>
                <w:bCs/>
              </w:rPr>
              <w:t>91,129</w:t>
            </w:r>
          </w:p>
        </w:tc>
        <w:tc>
          <w:tcPr>
            <w:tcW w:w="1134" w:type="dxa"/>
            <w:tcBorders>
              <w:top w:val="single" w:sz="8" w:space="0" w:color="FFFFFF"/>
              <w:left w:val="single" w:sz="8" w:space="0" w:color="FFFFFF"/>
              <w:bottom w:val="single" w:sz="8" w:space="0" w:color="FFFFFF"/>
              <w:right w:val="single" w:sz="8" w:space="0" w:color="FFFFFF"/>
            </w:tcBorders>
            <w:shd w:val="clear" w:color="auto" w:fill="EEEEED"/>
            <w:tcMar>
              <w:top w:w="15" w:type="dxa"/>
              <w:left w:w="108" w:type="dxa"/>
              <w:bottom w:w="0" w:type="dxa"/>
              <w:right w:w="108" w:type="dxa"/>
            </w:tcMar>
            <w:hideMark/>
          </w:tcPr>
          <w:p w14:paraId="106E561A" w14:textId="77777777" w:rsidR="00B650A9" w:rsidRPr="00F971E7" w:rsidRDefault="00B650A9" w:rsidP="00702F50">
            <w:pPr>
              <w:jc w:val="both"/>
              <w:rPr>
                <w:rFonts w:asciiTheme="minorHAnsi" w:hAnsiTheme="minorHAnsi" w:cstheme="minorHAnsi"/>
                <w:b/>
                <w:bCs/>
              </w:rPr>
            </w:pPr>
            <w:r w:rsidRPr="00F971E7">
              <w:rPr>
                <w:rFonts w:asciiTheme="minorHAnsi" w:hAnsiTheme="minorHAnsi" w:cstheme="minorHAnsi"/>
                <w:b/>
                <w:bCs/>
              </w:rPr>
              <w:t>- 6.53</w:t>
            </w:r>
          </w:p>
        </w:tc>
        <w:tc>
          <w:tcPr>
            <w:tcW w:w="1701" w:type="dxa"/>
            <w:tcBorders>
              <w:top w:val="single" w:sz="8" w:space="0" w:color="FFFFFF"/>
              <w:left w:val="single" w:sz="8" w:space="0" w:color="FFFFFF"/>
              <w:bottom w:val="single" w:sz="8" w:space="0" w:color="FFFFFF"/>
              <w:right w:val="single" w:sz="8" w:space="0" w:color="FFFFFF"/>
            </w:tcBorders>
            <w:shd w:val="clear" w:color="auto" w:fill="EEEEED"/>
            <w:tcMar>
              <w:top w:w="15" w:type="dxa"/>
              <w:left w:w="108" w:type="dxa"/>
              <w:bottom w:w="0" w:type="dxa"/>
              <w:right w:w="108" w:type="dxa"/>
            </w:tcMar>
            <w:hideMark/>
          </w:tcPr>
          <w:p w14:paraId="73E9DA37" w14:textId="77777777" w:rsidR="00B650A9" w:rsidRPr="00F971E7" w:rsidRDefault="00B650A9" w:rsidP="00702F50">
            <w:pPr>
              <w:jc w:val="both"/>
              <w:rPr>
                <w:rFonts w:asciiTheme="minorHAnsi" w:hAnsiTheme="minorHAnsi" w:cstheme="minorHAnsi"/>
                <w:b/>
                <w:bCs/>
              </w:rPr>
            </w:pPr>
            <w:r w:rsidRPr="00F971E7">
              <w:rPr>
                <w:rFonts w:asciiTheme="minorHAnsi" w:hAnsiTheme="minorHAnsi" w:cstheme="minorHAnsi"/>
                <w:b/>
                <w:bCs/>
              </w:rPr>
              <w:t>908</w:t>
            </w:r>
          </w:p>
        </w:tc>
        <w:tc>
          <w:tcPr>
            <w:tcW w:w="1176" w:type="dxa"/>
            <w:tcBorders>
              <w:top w:val="single" w:sz="8" w:space="0" w:color="FFFFFF"/>
              <w:left w:val="single" w:sz="8" w:space="0" w:color="FFFFFF"/>
              <w:bottom w:val="single" w:sz="8" w:space="0" w:color="FFFFFF"/>
              <w:right w:val="single" w:sz="8" w:space="0" w:color="FFFFFF"/>
            </w:tcBorders>
            <w:shd w:val="clear" w:color="auto" w:fill="EEEEED"/>
            <w:tcMar>
              <w:top w:w="15" w:type="dxa"/>
              <w:left w:w="108" w:type="dxa"/>
              <w:bottom w:w="0" w:type="dxa"/>
              <w:right w:w="108" w:type="dxa"/>
            </w:tcMar>
            <w:hideMark/>
          </w:tcPr>
          <w:p w14:paraId="6D6567B7" w14:textId="77777777" w:rsidR="00B650A9" w:rsidRPr="00F971E7" w:rsidRDefault="00B650A9" w:rsidP="00702F50">
            <w:pPr>
              <w:jc w:val="both"/>
              <w:rPr>
                <w:rFonts w:asciiTheme="minorHAnsi" w:hAnsiTheme="minorHAnsi" w:cstheme="minorHAnsi"/>
                <w:b/>
                <w:bCs/>
              </w:rPr>
            </w:pPr>
            <w:r w:rsidRPr="00F971E7">
              <w:rPr>
                <w:rFonts w:asciiTheme="minorHAnsi" w:hAnsiTheme="minorHAnsi" w:cstheme="minorHAnsi"/>
                <w:b/>
                <w:bCs/>
              </w:rPr>
              <w:t>- 5.32</w:t>
            </w:r>
          </w:p>
        </w:tc>
        <w:tc>
          <w:tcPr>
            <w:tcW w:w="1421" w:type="dxa"/>
            <w:tcBorders>
              <w:top w:val="single" w:sz="8" w:space="0" w:color="FFFFFF"/>
              <w:left w:val="single" w:sz="8" w:space="0" w:color="FFFFFF"/>
              <w:bottom w:val="single" w:sz="8" w:space="0" w:color="FFFFFF"/>
              <w:right w:val="single" w:sz="8" w:space="0" w:color="FFFFFF"/>
            </w:tcBorders>
            <w:shd w:val="clear" w:color="auto" w:fill="EEEEED"/>
            <w:tcMar>
              <w:top w:w="15" w:type="dxa"/>
              <w:left w:w="108" w:type="dxa"/>
              <w:bottom w:w="0" w:type="dxa"/>
              <w:right w:w="108" w:type="dxa"/>
            </w:tcMar>
            <w:hideMark/>
          </w:tcPr>
          <w:p w14:paraId="6648BB82" w14:textId="77777777" w:rsidR="00B650A9" w:rsidRPr="00F971E7" w:rsidRDefault="00B650A9" w:rsidP="00702F50">
            <w:pPr>
              <w:jc w:val="both"/>
              <w:rPr>
                <w:rFonts w:asciiTheme="minorHAnsi" w:hAnsiTheme="minorHAnsi" w:cstheme="minorHAnsi"/>
                <w:b/>
                <w:bCs/>
              </w:rPr>
            </w:pPr>
            <w:r w:rsidRPr="00F971E7">
              <w:rPr>
                <w:rFonts w:asciiTheme="minorHAnsi" w:hAnsiTheme="minorHAnsi" w:cstheme="minorHAnsi"/>
                <w:b/>
                <w:bCs/>
              </w:rPr>
              <w:t>5649</w:t>
            </w:r>
          </w:p>
        </w:tc>
        <w:tc>
          <w:tcPr>
            <w:tcW w:w="968" w:type="dxa"/>
            <w:tcBorders>
              <w:top w:val="single" w:sz="8" w:space="0" w:color="FFFFFF"/>
              <w:left w:val="single" w:sz="8" w:space="0" w:color="FFFFFF"/>
              <w:bottom w:val="single" w:sz="8" w:space="0" w:color="FFFFFF"/>
              <w:right w:val="single" w:sz="8" w:space="0" w:color="FFFFFF"/>
            </w:tcBorders>
            <w:shd w:val="clear" w:color="auto" w:fill="EEEEED"/>
            <w:tcMar>
              <w:top w:w="15" w:type="dxa"/>
              <w:left w:w="108" w:type="dxa"/>
              <w:bottom w:w="0" w:type="dxa"/>
              <w:right w:w="108" w:type="dxa"/>
            </w:tcMar>
            <w:hideMark/>
          </w:tcPr>
          <w:p w14:paraId="0F4E56F3" w14:textId="77777777" w:rsidR="00B650A9" w:rsidRPr="00F971E7" w:rsidRDefault="00B650A9" w:rsidP="00702F50">
            <w:pPr>
              <w:jc w:val="both"/>
              <w:rPr>
                <w:rFonts w:asciiTheme="minorHAnsi" w:hAnsiTheme="minorHAnsi" w:cstheme="minorHAnsi"/>
                <w:b/>
                <w:bCs/>
              </w:rPr>
            </w:pPr>
            <w:r w:rsidRPr="00F971E7">
              <w:rPr>
                <w:rFonts w:asciiTheme="minorHAnsi" w:hAnsiTheme="minorHAnsi" w:cstheme="minorHAnsi"/>
                <w:b/>
                <w:bCs/>
              </w:rPr>
              <w:t>+ 65.66</w:t>
            </w:r>
          </w:p>
        </w:tc>
      </w:tr>
      <w:tr w:rsidR="00DC638E" w:rsidRPr="00F971E7" w14:paraId="72D0A507" w14:textId="77777777" w:rsidTr="00E91727">
        <w:trPr>
          <w:trHeight w:val="412"/>
        </w:trPr>
        <w:tc>
          <w:tcPr>
            <w:tcW w:w="923" w:type="dxa"/>
            <w:tcBorders>
              <w:top w:val="single" w:sz="8" w:space="0" w:color="FFFFFF"/>
              <w:left w:val="single" w:sz="8" w:space="0" w:color="FFFFFF"/>
              <w:bottom w:val="single" w:sz="8" w:space="0" w:color="FFFFFF"/>
              <w:right w:val="single" w:sz="8" w:space="0" w:color="FFFFFF"/>
            </w:tcBorders>
            <w:shd w:val="clear" w:color="auto" w:fill="8C8D86"/>
            <w:tcMar>
              <w:top w:w="15" w:type="dxa"/>
              <w:left w:w="108" w:type="dxa"/>
              <w:bottom w:w="0" w:type="dxa"/>
              <w:right w:w="108" w:type="dxa"/>
            </w:tcMar>
            <w:hideMark/>
          </w:tcPr>
          <w:p w14:paraId="4D87C7AB" w14:textId="77777777" w:rsidR="00B650A9" w:rsidRPr="00C70685" w:rsidRDefault="00B650A9" w:rsidP="00702F50">
            <w:pPr>
              <w:jc w:val="both"/>
              <w:rPr>
                <w:rFonts w:asciiTheme="minorHAnsi" w:hAnsiTheme="minorHAnsi" w:cstheme="minorHAnsi"/>
                <w:b/>
                <w:bCs/>
                <w:color w:val="FFFFFF" w:themeColor="background1"/>
              </w:rPr>
            </w:pPr>
            <w:r w:rsidRPr="00C70685">
              <w:rPr>
                <w:rFonts w:asciiTheme="minorHAnsi" w:hAnsiTheme="minorHAnsi" w:cstheme="minorHAnsi"/>
                <w:b/>
                <w:bCs/>
                <w:color w:val="FFFFFF" w:themeColor="background1"/>
              </w:rPr>
              <w:t>2019</w:t>
            </w:r>
          </w:p>
        </w:tc>
        <w:tc>
          <w:tcPr>
            <w:tcW w:w="1177" w:type="dxa"/>
            <w:tcBorders>
              <w:top w:val="single" w:sz="8" w:space="0" w:color="FFFFFF"/>
              <w:left w:val="single" w:sz="8" w:space="0" w:color="FFFFFF"/>
              <w:bottom w:val="single" w:sz="8" w:space="0" w:color="FFFFFF"/>
              <w:right w:val="single" w:sz="8" w:space="0" w:color="FFFFFF"/>
            </w:tcBorders>
            <w:shd w:val="clear" w:color="auto" w:fill="DBDBD9"/>
            <w:tcMar>
              <w:top w:w="15" w:type="dxa"/>
              <w:left w:w="108" w:type="dxa"/>
              <w:bottom w:w="0" w:type="dxa"/>
              <w:right w:w="108" w:type="dxa"/>
            </w:tcMar>
            <w:hideMark/>
          </w:tcPr>
          <w:p w14:paraId="6D03CB07" w14:textId="77777777" w:rsidR="00B650A9" w:rsidRPr="00F971E7" w:rsidRDefault="00B650A9" w:rsidP="00702F50">
            <w:pPr>
              <w:jc w:val="both"/>
              <w:rPr>
                <w:rFonts w:asciiTheme="minorHAnsi" w:hAnsiTheme="minorHAnsi" w:cstheme="minorHAnsi"/>
                <w:b/>
                <w:bCs/>
              </w:rPr>
            </w:pPr>
            <w:r w:rsidRPr="00F971E7">
              <w:rPr>
                <w:rFonts w:asciiTheme="minorHAnsi" w:hAnsiTheme="minorHAnsi" w:cstheme="minorHAnsi"/>
                <w:b/>
                <w:bCs/>
              </w:rPr>
              <w:t>214, 965</w:t>
            </w:r>
          </w:p>
        </w:tc>
        <w:tc>
          <w:tcPr>
            <w:tcW w:w="1007" w:type="dxa"/>
            <w:tcBorders>
              <w:top w:val="single" w:sz="8" w:space="0" w:color="FFFFFF"/>
              <w:left w:val="single" w:sz="8" w:space="0" w:color="FFFFFF"/>
              <w:bottom w:val="single" w:sz="8" w:space="0" w:color="FFFFFF"/>
              <w:right w:val="single" w:sz="8" w:space="0" w:color="FFFFFF"/>
            </w:tcBorders>
            <w:shd w:val="clear" w:color="auto" w:fill="DBDBD9"/>
            <w:tcMar>
              <w:top w:w="15" w:type="dxa"/>
              <w:left w:w="108" w:type="dxa"/>
              <w:bottom w:w="0" w:type="dxa"/>
              <w:right w:w="108" w:type="dxa"/>
            </w:tcMar>
            <w:hideMark/>
          </w:tcPr>
          <w:p w14:paraId="4590B890" w14:textId="77777777" w:rsidR="00B650A9" w:rsidRPr="00F971E7" w:rsidRDefault="00B650A9" w:rsidP="00702F50">
            <w:pPr>
              <w:jc w:val="both"/>
              <w:rPr>
                <w:rFonts w:asciiTheme="minorHAnsi" w:hAnsiTheme="minorHAnsi" w:cstheme="minorHAnsi"/>
                <w:b/>
                <w:bCs/>
              </w:rPr>
            </w:pPr>
            <w:r w:rsidRPr="00F971E7">
              <w:rPr>
                <w:rFonts w:asciiTheme="minorHAnsi" w:hAnsiTheme="minorHAnsi" w:cstheme="minorHAnsi"/>
                <w:b/>
                <w:bCs/>
              </w:rPr>
              <w:t>- 4.76</w:t>
            </w:r>
          </w:p>
        </w:tc>
        <w:tc>
          <w:tcPr>
            <w:tcW w:w="1297" w:type="dxa"/>
            <w:tcBorders>
              <w:top w:val="single" w:sz="8" w:space="0" w:color="FFFFFF"/>
              <w:left w:val="single" w:sz="8" w:space="0" w:color="FFFFFF"/>
              <w:bottom w:val="single" w:sz="8" w:space="0" w:color="FFFFFF"/>
              <w:right w:val="single" w:sz="8" w:space="0" w:color="FFFFFF"/>
            </w:tcBorders>
            <w:shd w:val="clear" w:color="auto" w:fill="DBDBD9"/>
            <w:tcMar>
              <w:top w:w="15" w:type="dxa"/>
              <w:left w:w="108" w:type="dxa"/>
              <w:bottom w:w="0" w:type="dxa"/>
              <w:right w:w="108" w:type="dxa"/>
            </w:tcMar>
            <w:hideMark/>
          </w:tcPr>
          <w:p w14:paraId="5C05513D" w14:textId="77777777" w:rsidR="00B650A9" w:rsidRPr="00F971E7" w:rsidRDefault="00B650A9" w:rsidP="00702F50">
            <w:pPr>
              <w:jc w:val="both"/>
              <w:rPr>
                <w:rFonts w:asciiTheme="minorHAnsi" w:hAnsiTheme="minorHAnsi" w:cstheme="minorHAnsi"/>
                <w:b/>
                <w:bCs/>
              </w:rPr>
            </w:pPr>
            <w:r w:rsidRPr="00F971E7">
              <w:rPr>
                <w:rFonts w:asciiTheme="minorHAnsi" w:hAnsiTheme="minorHAnsi" w:cstheme="minorHAnsi"/>
                <w:b/>
                <w:bCs/>
              </w:rPr>
              <w:t>4349</w:t>
            </w:r>
          </w:p>
        </w:tc>
        <w:tc>
          <w:tcPr>
            <w:tcW w:w="1256" w:type="dxa"/>
            <w:tcBorders>
              <w:top w:val="single" w:sz="8" w:space="0" w:color="FFFFFF"/>
              <w:left w:val="single" w:sz="8" w:space="0" w:color="FFFFFF"/>
              <w:bottom w:val="single" w:sz="8" w:space="0" w:color="FFFFFF"/>
              <w:right w:val="single" w:sz="8" w:space="0" w:color="FFFFFF"/>
            </w:tcBorders>
            <w:shd w:val="clear" w:color="auto" w:fill="DBDBD9"/>
            <w:tcMar>
              <w:top w:w="15" w:type="dxa"/>
              <w:left w:w="108" w:type="dxa"/>
              <w:bottom w:w="0" w:type="dxa"/>
              <w:right w:w="108" w:type="dxa"/>
            </w:tcMar>
            <w:hideMark/>
          </w:tcPr>
          <w:p w14:paraId="530A84B3" w14:textId="77777777" w:rsidR="00B650A9" w:rsidRPr="00F971E7" w:rsidRDefault="00B650A9" w:rsidP="00702F50">
            <w:pPr>
              <w:jc w:val="both"/>
              <w:rPr>
                <w:rFonts w:asciiTheme="minorHAnsi" w:hAnsiTheme="minorHAnsi" w:cstheme="minorHAnsi"/>
                <w:b/>
                <w:bCs/>
              </w:rPr>
            </w:pPr>
            <w:r w:rsidRPr="00F971E7">
              <w:rPr>
                <w:rFonts w:asciiTheme="minorHAnsi" w:hAnsiTheme="minorHAnsi" w:cstheme="minorHAnsi"/>
                <w:b/>
                <w:bCs/>
              </w:rPr>
              <w:t>+ 3.08</w:t>
            </w:r>
          </w:p>
        </w:tc>
        <w:tc>
          <w:tcPr>
            <w:tcW w:w="1560" w:type="dxa"/>
            <w:tcBorders>
              <w:top w:val="single" w:sz="8" w:space="0" w:color="FFFFFF"/>
              <w:left w:val="single" w:sz="8" w:space="0" w:color="FFFFFF"/>
              <w:bottom w:val="single" w:sz="8" w:space="0" w:color="FFFFFF"/>
              <w:right w:val="single" w:sz="8" w:space="0" w:color="FFFFFF"/>
            </w:tcBorders>
            <w:shd w:val="clear" w:color="auto" w:fill="DBDBD9"/>
            <w:tcMar>
              <w:top w:w="15" w:type="dxa"/>
              <w:left w:w="108" w:type="dxa"/>
              <w:bottom w:w="0" w:type="dxa"/>
              <w:right w:w="108" w:type="dxa"/>
            </w:tcMar>
            <w:hideMark/>
          </w:tcPr>
          <w:p w14:paraId="5591A450" w14:textId="77777777" w:rsidR="00B650A9" w:rsidRPr="00F971E7" w:rsidRDefault="00B650A9" w:rsidP="00702F50">
            <w:pPr>
              <w:jc w:val="both"/>
              <w:rPr>
                <w:rFonts w:asciiTheme="minorHAnsi" w:hAnsiTheme="minorHAnsi" w:cstheme="minorHAnsi"/>
                <w:b/>
                <w:bCs/>
              </w:rPr>
            </w:pPr>
            <w:r w:rsidRPr="00F971E7">
              <w:rPr>
                <w:rFonts w:asciiTheme="minorHAnsi" w:hAnsiTheme="minorHAnsi" w:cstheme="minorHAnsi"/>
                <w:b/>
                <w:bCs/>
              </w:rPr>
              <w:t>81,035</w:t>
            </w:r>
          </w:p>
        </w:tc>
        <w:tc>
          <w:tcPr>
            <w:tcW w:w="1134" w:type="dxa"/>
            <w:tcBorders>
              <w:top w:val="single" w:sz="8" w:space="0" w:color="FFFFFF"/>
              <w:left w:val="single" w:sz="8" w:space="0" w:color="FFFFFF"/>
              <w:bottom w:val="single" w:sz="8" w:space="0" w:color="FFFFFF"/>
              <w:right w:val="single" w:sz="8" w:space="0" w:color="FFFFFF"/>
            </w:tcBorders>
            <w:shd w:val="clear" w:color="auto" w:fill="DBDBD9"/>
            <w:tcMar>
              <w:top w:w="15" w:type="dxa"/>
              <w:left w:w="108" w:type="dxa"/>
              <w:bottom w:w="0" w:type="dxa"/>
              <w:right w:w="108" w:type="dxa"/>
            </w:tcMar>
            <w:hideMark/>
          </w:tcPr>
          <w:p w14:paraId="4F59705F" w14:textId="77777777" w:rsidR="00B650A9" w:rsidRPr="00F971E7" w:rsidRDefault="00B650A9" w:rsidP="00702F50">
            <w:pPr>
              <w:jc w:val="both"/>
              <w:rPr>
                <w:rFonts w:asciiTheme="minorHAnsi" w:hAnsiTheme="minorHAnsi" w:cstheme="minorHAnsi"/>
                <w:b/>
                <w:bCs/>
              </w:rPr>
            </w:pPr>
            <w:r w:rsidRPr="00F971E7">
              <w:rPr>
                <w:rFonts w:asciiTheme="minorHAnsi" w:hAnsiTheme="minorHAnsi" w:cstheme="minorHAnsi"/>
                <w:b/>
                <w:bCs/>
              </w:rPr>
              <w:t>- 11.08</w:t>
            </w:r>
          </w:p>
        </w:tc>
        <w:tc>
          <w:tcPr>
            <w:tcW w:w="1701" w:type="dxa"/>
            <w:tcBorders>
              <w:top w:val="single" w:sz="8" w:space="0" w:color="FFFFFF"/>
              <w:left w:val="single" w:sz="8" w:space="0" w:color="FFFFFF"/>
              <w:bottom w:val="single" w:sz="8" w:space="0" w:color="FFFFFF"/>
              <w:right w:val="single" w:sz="8" w:space="0" w:color="FFFFFF"/>
            </w:tcBorders>
            <w:shd w:val="clear" w:color="auto" w:fill="DBDBD9"/>
            <w:tcMar>
              <w:top w:w="15" w:type="dxa"/>
              <w:left w:w="108" w:type="dxa"/>
              <w:bottom w:w="0" w:type="dxa"/>
              <w:right w:w="108" w:type="dxa"/>
            </w:tcMar>
            <w:hideMark/>
          </w:tcPr>
          <w:p w14:paraId="3538C826" w14:textId="77777777" w:rsidR="00B650A9" w:rsidRPr="00F971E7" w:rsidRDefault="00B650A9" w:rsidP="00702F50">
            <w:pPr>
              <w:jc w:val="both"/>
              <w:rPr>
                <w:rFonts w:asciiTheme="minorHAnsi" w:hAnsiTheme="minorHAnsi" w:cstheme="minorHAnsi"/>
                <w:b/>
                <w:bCs/>
              </w:rPr>
            </w:pPr>
            <w:r w:rsidRPr="00F971E7">
              <w:rPr>
                <w:rFonts w:asciiTheme="minorHAnsi" w:hAnsiTheme="minorHAnsi" w:cstheme="minorHAnsi"/>
                <w:b/>
                <w:bCs/>
              </w:rPr>
              <w:t>542</w:t>
            </w:r>
          </w:p>
        </w:tc>
        <w:tc>
          <w:tcPr>
            <w:tcW w:w="1176" w:type="dxa"/>
            <w:tcBorders>
              <w:top w:val="single" w:sz="8" w:space="0" w:color="FFFFFF"/>
              <w:left w:val="single" w:sz="8" w:space="0" w:color="FFFFFF"/>
              <w:bottom w:val="single" w:sz="8" w:space="0" w:color="FFFFFF"/>
              <w:right w:val="single" w:sz="8" w:space="0" w:color="FFFFFF"/>
            </w:tcBorders>
            <w:shd w:val="clear" w:color="auto" w:fill="DBDBD9"/>
            <w:tcMar>
              <w:top w:w="15" w:type="dxa"/>
              <w:left w:w="108" w:type="dxa"/>
              <w:bottom w:w="0" w:type="dxa"/>
              <w:right w:w="108" w:type="dxa"/>
            </w:tcMar>
            <w:hideMark/>
          </w:tcPr>
          <w:p w14:paraId="5E633943" w14:textId="77777777" w:rsidR="00B650A9" w:rsidRPr="00F971E7" w:rsidRDefault="00B650A9" w:rsidP="00702F50">
            <w:pPr>
              <w:jc w:val="both"/>
              <w:rPr>
                <w:rFonts w:asciiTheme="minorHAnsi" w:hAnsiTheme="minorHAnsi" w:cstheme="minorHAnsi"/>
                <w:b/>
                <w:bCs/>
              </w:rPr>
            </w:pPr>
            <w:r w:rsidRPr="00F971E7">
              <w:rPr>
                <w:rFonts w:asciiTheme="minorHAnsi" w:hAnsiTheme="minorHAnsi" w:cstheme="minorHAnsi"/>
                <w:b/>
                <w:bCs/>
              </w:rPr>
              <w:t>- 40.31</w:t>
            </w:r>
          </w:p>
        </w:tc>
        <w:tc>
          <w:tcPr>
            <w:tcW w:w="1421" w:type="dxa"/>
            <w:tcBorders>
              <w:top w:val="single" w:sz="8" w:space="0" w:color="FFFFFF"/>
              <w:left w:val="single" w:sz="8" w:space="0" w:color="FFFFFF"/>
              <w:bottom w:val="single" w:sz="8" w:space="0" w:color="FFFFFF"/>
              <w:right w:val="single" w:sz="8" w:space="0" w:color="FFFFFF"/>
            </w:tcBorders>
            <w:shd w:val="clear" w:color="auto" w:fill="DBDBD9"/>
            <w:tcMar>
              <w:top w:w="15" w:type="dxa"/>
              <w:left w:w="108" w:type="dxa"/>
              <w:bottom w:w="0" w:type="dxa"/>
              <w:right w:w="108" w:type="dxa"/>
            </w:tcMar>
            <w:hideMark/>
          </w:tcPr>
          <w:p w14:paraId="1F98A8EB" w14:textId="77777777" w:rsidR="00B650A9" w:rsidRPr="00F971E7" w:rsidRDefault="00B650A9" w:rsidP="00702F50">
            <w:pPr>
              <w:jc w:val="both"/>
              <w:rPr>
                <w:rFonts w:asciiTheme="minorHAnsi" w:hAnsiTheme="minorHAnsi" w:cstheme="minorHAnsi"/>
                <w:b/>
                <w:bCs/>
              </w:rPr>
            </w:pPr>
            <w:r w:rsidRPr="00F971E7">
              <w:rPr>
                <w:rFonts w:asciiTheme="minorHAnsi" w:hAnsiTheme="minorHAnsi" w:cstheme="minorHAnsi"/>
                <w:b/>
                <w:bCs/>
              </w:rPr>
              <w:t>6583</w:t>
            </w:r>
          </w:p>
        </w:tc>
        <w:tc>
          <w:tcPr>
            <w:tcW w:w="968" w:type="dxa"/>
            <w:tcBorders>
              <w:top w:val="single" w:sz="8" w:space="0" w:color="FFFFFF"/>
              <w:left w:val="single" w:sz="8" w:space="0" w:color="FFFFFF"/>
              <w:bottom w:val="single" w:sz="8" w:space="0" w:color="FFFFFF"/>
              <w:right w:val="single" w:sz="8" w:space="0" w:color="FFFFFF"/>
            </w:tcBorders>
            <w:shd w:val="clear" w:color="auto" w:fill="DBDBD9"/>
            <w:tcMar>
              <w:top w:w="15" w:type="dxa"/>
              <w:left w:w="108" w:type="dxa"/>
              <w:bottom w:w="0" w:type="dxa"/>
              <w:right w:w="108" w:type="dxa"/>
            </w:tcMar>
            <w:hideMark/>
          </w:tcPr>
          <w:p w14:paraId="3E94F03A" w14:textId="77777777" w:rsidR="00B650A9" w:rsidRPr="00F971E7" w:rsidRDefault="00B650A9" w:rsidP="00702F50">
            <w:pPr>
              <w:jc w:val="both"/>
              <w:rPr>
                <w:rFonts w:asciiTheme="minorHAnsi" w:hAnsiTheme="minorHAnsi" w:cstheme="minorHAnsi"/>
                <w:b/>
                <w:bCs/>
              </w:rPr>
            </w:pPr>
            <w:r w:rsidRPr="00F971E7">
              <w:rPr>
                <w:rFonts w:asciiTheme="minorHAnsi" w:hAnsiTheme="minorHAnsi" w:cstheme="minorHAnsi"/>
                <w:b/>
                <w:bCs/>
              </w:rPr>
              <w:t>+ 16.53</w:t>
            </w:r>
          </w:p>
        </w:tc>
      </w:tr>
      <w:tr w:rsidR="00DC638E" w:rsidRPr="00F971E7" w14:paraId="2CBD14EA" w14:textId="77777777" w:rsidTr="00E91727">
        <w:trPr>
          <w:trHeight w:val="371"/>
        </w:trPr>
        <w:tc>
          <w:tcPr>
            <w:tcW w:w="923" w:type="dxa"/>
            <w:tcBorders>
              <w:top w:val="single" w:sz="8" w:space="0" w:color="FFFFFF"/>
              <w:left w:val="single" w:sz="8" w:space="0" w:color="FFFFFF"/>
              <w:bottom w:val="single" w:sz="8" w:space="0" w:color="FFFFFF"/>
              <w:right w:val="single" w:sz="8" w:space="0" w:color="FFFFFF"/>
            </w:tcBorders>
            <w:shd w:val="clear" w:color="auto" w:fill="8C8D86"/>
            <w:tcMar>
              <w:top w:w="15" w:type="dxa"/>
              <w:left w:w="108" w:type="dxa"/>
              <w:bottom w:w="0" w:type="dxa"/>
              <w:right w:w="108" w:type="dxa"/>
            </w:tcMar>
            <w:hideMark/>
          </w:tcPr>
          <w:p w14:paraId="4957F414" w14:textId="77777777" w:rsidR="00B650A9" w:rsidRPr="00C70685" w:rsidRDefault="00B650A9" w:rsidP="00702F50">
            <w:pPr>
              <w:jc w:val="both"/>
              <w:rPr>
                <w:rFonts w:asciiTheme="minorHAnsi" w:hAnsiTheme="minorHAnsi" w:cstheme="minorHAnsi"/>
                <w:b/>
                <w:bCs/>
                <w:color w:val="FFFFFF" w:themeColor="background1"/>
              </w:rPr>
            </w:pPr>
            <w:r w:rsidRPr="00C70685">
              <w:rPr>
                <w:rFonts w:asciiTheme="minorHAnsi" w:hAnsiTheme="minorHAnsi" w:cstheme="minorHAnsi"/>
                <w:b/>
                <w:bCs/>
                <w:color w:val="FFFFFF" w:themeColor="background1"/>
              </w:rPr>
              <w:t>2020</w:t>
            </w:r>
          </w:p>
        </w:tc>
        <w:tc>
          <w:tcPr>
            <w:tcW w:w="1177" w:type="dxa"/>
            <w:tcBorders>
              <w:top w:val="single" w:sz="8" w:space="0" w:color="FFFFFF"/>
              <w:left w:val="single" w:sz="8" w:space="0" w:color="FFFFFF"/>
              <w:bottom w:val="single" w:sz="8" w:space="0" w:color="FFFFFF"/>
              <w:right w:val="single" w:sz="8" w:space="0" w:color="FFFFFF"/>
            </w:tcBorders>
            <w:shd w:val="clear" w:color="auto" w:fill="EEEEED"/>
            <w:tcMar>
              <w:top w:w="15" w:type="dxa"/>
              <w:left w:w="108" w:type="dxa"/>
              <w:bottom w:w="0" w:type="dxa"/>
              <w:right w:w="108" w:type="dxa"/>
            </w:tcMar>
            <w:hideMark/>
          </w:tcPr>
          <w:p w14:paraId="4E3B8AE4" w14:textId="77777777" w:rsidR="00B650A9" w:rsidRPr="00F971E7" w:rsidRDefault="00B650A9" w:rsidP="00702F50">
            <w:pPr>
              <w:jc w:val="both"/>
              <w:rPr>
                <w:rFonts w:asciiTheme="minorHAnsi" w:hAnsiTheme="minorHAnsi" w:cstheme="minorHAnsi"/>
                <w:b/>
                <w:bCs/>
              </w:rPr>
            </w:pPr>
            <w:r w:rsidRPr="00F971E7">
              <w:rPr>
                <w:rFonts w:asciiTheme="minorHAnsi" w:hAnsiTheme="minorHAnsi" w:cstheme="minorHAnsi"/>
                <w:b/>
                <w:bCs/>
              </w:rPr>
              <w:t>226, 385</w:t>
            </w:r>
          </w:p>
        </w:tc>
        <w:tc>
          <w:tcPr>
            <w:tcW w:w="1007" w:type="dxa"/>
            <w:tcBorders>
              <w:top w:val="single" w:sz="8" w:space="0" w:color="FFFFFF"/>
              <w:left w:val="single" w:sz="8" w:space="0" w:color="FFFFFF"/>
              <w:bottom w:val="single" w:sz="8" w:space="0" w:color="FFFFFF"/>
              <w:right w:val="single" w:sz="8" w:space="0" w:color="FFFFFF"/>
            </w:tcBorders>
            <w:shd w:val="clear" w:color="auto" w:fill="EEEEED"/>
            <w:tcMar>
              <w:top w:w="15" w:type="dxa"/>
              <w:left w:w="108" w:type="dxa"/>
              <w:bottom w:w="0" w:type="dxa"/>
              <w:right w:w="108" w:type="dxa"/>
            </w:tcMar>
            <w:hideMark/>
          </w:tcPr>
          <w:p w14:paraId="5D4C2EAF" w14:textId="77777777" w:rsidR="00B650A9" w:rsidRPr="00F971E7" w:rsidRDefault="00B650A9" w:rsidP="00702F50">
            <w:pPr>
              <w:jc w:val="both"/>
              <w:rPr>
                <w:rFonts w:asciiTheme="minorHAnsi" w:hAnsiTheme="minorHAnsi" w:cstheme="minorHAnsi"/>
                <w:b/>
                <w:bCs/>
              </w:rPr>
            </w:pPr>
            <w:r w:rsidRPr="00F971E7">
              <w:rPr>
                <w:rFonts w:asciiTheme="minorHAnsi" w:hAnsiTheme="minorHAnsi" w:cstheme="minorHAnsi"/>
                <w:b/>
                <w:bCs/>
              </w:rPr>
              <w:t>+ 5.31</w:t>
            </w:r>
          </w:p>
        </w:tc>
        <w:tc>
          <w:tcPr>
            <w:tcW w:w="1297" w:type="dxa"/>
            <w:tcBorders>
              <w:top w:val="single" w:sz="8" w:space="0" w:color="FFFFFF"/>
              <w:left w:val="single" w:sz="8" w:space="0" w:color="FFFFFF"/>
              <w:bottom w:val="single" w:sz="8" w:space="0" w:color="FFFFFF"/>
              <w:right w:val="single" w:sz="8" w:space="0" w:color="FFFFFF"/>
            </w:tcBorders>
            <w:shd w:val="clear" w:color="auto" w:fill="EEEEED"/>
            <w:tcMar>
              <w:top w:w="15" w:type="dxa"/>
              <w:left w:w="108" w:type="dxa"/>
              <w:bottom w:w="0" w:type="dxa"/>
              <w:right w:w="108" w:type="dxa"/>
            </w:tcMar>
            <w:hideMark/>
          </w:tcPr>
          <w:p w14:paraId="4EA7D1F4" w14:textId="77777777" w:rsidR="00B650A9" w:rsidRPr="00F971E7" w:rsidRDefault="00B650A9" w:rsidP="00702F50">
            <w:pPr>
              <w:jc w:val="both"/>
              <w:rPr>
                <w:rFonts w:asciiTheme="minorHAnsi" w:hAnsiTheme="minorHAnsi" w:cstheme="minorHAnsi"/>
                <w:b/>
                <w:bCs/>
              </w:rPr>
            </w:pPr>
            <w:r w:rsidRPr="00F971E7">
              <w:rPr>
                <w:rFonts w:asciiTheme="minorHAnsi" w:hAnsiTheme="minorHAnsi" w:cstheme="minorHAnsi"/>
                <w:b/>
                <w:bCs/>
              </w:rPr>
              <w:t>4468</w:t>
            </w:r>
          </w:p>
        </w:tc>
        <w:tc>
          <w:tcPr>
            <w:tcW w:w="1256" w:type="dxa"/>
            <w:tcBorders>
              <w:top w:val="single" w:sz="8" w:space="0" w:color="FFFFFF"/>
              <w:left w:val="single" w:sz="8" w:space="0" w:color="FFFFFF"/>
              <w:bottom w:val="single" w:sz="8" w:space="0" w:color="FFFFFF"/>
              <w:right w:val="single" w:sz="8" w:space="0" w:color="FFFFFF"/>
            </w:tcBorders>
            <w:shd w:val="clear" w:color="auto" w:fill="EEEEED"/>
            <w:tcMar>
              <w:top w:w="15" w:type="dxa"/>
              <w:left w:w="108" w:type="dxa"/>
              <w:bottom w:w="0" w:type="dxa"/>
              <w:right w:w="108" w:type="dxa"/>
            </w:tcMar>
            <w:hideMark/>
          </w:tcPr>
          <w:p w14:paraId="172E6A70" w14:textId="77777777" w:rsidR="00B650A9" w:rsidRPr="00F971E7" w:rsidRDefault="00B650A9" w:rsidP="00702F50">
            <w:pPr>
              <w:jc w:val="both"/>
              <w:rPr>
                <w:rFonts w:asciiTheme="minorHAnsi" w:hAnsiTheme="minorHAnsi" w:cstheme="minorHAnsi"/>
                <w:b/>
                <w:bCs/>
              </w:rPr>
            </w:pPr>
            <w:r w:rsidRPr="00F971E7">
              <w:rPr>
                <w:rFonts w:asciiTheme="minorHAnsi" w:hAnsiTheme="minorHAnsi" w:cstheme="minorHAnsi"/>
                <w:b/>
                <w:bCs/>
              </w:rPr>
              <w:t>+ 2.74</w:t>
            </w:r>
          </w:p>
        </w:tc>
        <w:tc>
          <w:tcPr>
            <w:tcW w:w="1560" w:type="dxa"/>
            <w:tcBorders>
              <w:top w:val="single" w:sz="8" w:space="0" w:color="FFFFFF"/>
              <w:left w:val="single" w:sz="8" w:space="0" w:color="FFFFFF"/>
              <w:bottom w:val="single" w:sz="8" w:space="0" w:color="FFFFFF"/>
              <w:right w:val="single" w:sz="8" w:space="0" w:color="FFFFFF"/>
            </w:tcBorders>
            <w:shd w:val="clear" w:color="auto" w:fill="EEEEED"/>
            <w:tcMar>
              <w:top w:w="15" w:type="dxa"/>
              <w:left w:w="108" w:type="dxa"/>
              <w:bottom w:w="0" w:type="dxa"/>
              <w:right w:w="108" w:type="dxa"/>
            </w:tcMar>
            <w:hideMark/>
          </w:tcPr>
          <w:p w14:paraId="6AB61AA2" w14:textId="77777777" w:rsidR="00B650A9" w:rsidRPr="00F971E7" w:rsidRDefault="00B650A9" w:rsidP="00702F50">
            <w:pPr>
              <w:jc w:val="both"/>
              <w:rPr>
                <w:rFonts w:asciiTheme="minorHAnsi" w:hAnsiTheme="minorHAnsi" w:cstheme="minorHAnsi"/>
                <w:b/>
                <w:bCs/>
              </w:rPr>
            </w:pPr>
            <w:r w:rsidRPr="00F971E7">
              <w:rPr>
                <w:rFonts w:asciiTheme="minorHAnsi" w:hAnsiTheme="minorHAnsi" w:cstheme="minorHAnsi"/>
                <w:b/>
                <w:bCs/>
              </w:rPr>
              <w:t>61,169</w:t>
            </w:r>
          </w:p>
        </w:tc>
        <w:tc>
          <w:tcPr>
            <w:tcW w:w="1134" w:type="dxa"/>
            <w:tcBorders>
              <w:top w:val="single" w:sz="8" w:space="0" w:color="FFFFFF"/>
              <w:left w:val="single" w:sz="8" w:space="0" w:color="FFFFFF"/>
              <w:bottom w:val="single" w:sz="8" w:space="0" w:color="FFFFFF"/>
              <w:right w:val="single" w:sz="8" w:space="0" w:color="FFFFFF"/>
            </w:tcBorders>
            <w:shd w:val="clear" w:color="auto" w:fill="EEEEED"/>
            <w:tcMar>
              <w:top w:w="15" w:type="dxa"/>
              <w:left w:w="108" w:type="dxa"/>
              <w:bottom w:w="0" w:type="dxa"/>
              <w:right w:w="108" w:type="dxa"/>
            </w:tcMar>
            <w:hideMark/>
          </w:tcPr>
          <w:p w14:paraId="6728B1C9" w14:textId="77777777" w:rsidR="00B650A9" w:rsidRPr="00F971E7" w:rsidRDefault="00B650A9" w:rsidP="00702F50">
            <w:pPr>
              <w:jc w:val="both"/>
              <w:rPr>
                <w:rFonts w:asciiTheme="minorHAnsi" w:hAnsiTheme="minorHAnsi" w:cstheme="minorHAnsi"/>
                <w:b/>
                <w:bCs/>
              </w:rPr>
            </w:pPr>
            <w:r w:rsidRPr="00F971E7">
              <w:rPr>
                <w:rFonts w:asciiTheme="minorHAnsi" w:hAnsiTheme="minorHAnsi" w:cstheme="minorHAnsi"/>
                <w:b/>
                <w:bCs/>
              </w:rPr>
              <w:t>- 24.52</w:t>
            </w:r>
          </w:p>
        </w:tc>
        <w:tc>
          <w:tcPr>
            <w:tcW w:w="1701" w:type="dxa"/>
            <w:tcBorders>
              <w:top w:val="single" w:sz="8" w:space="0" w:color="FFFFFF"/>
              <w:left w:val="single" w:sz="8" w:space="0" w:color="FFFFFF"/>
              <w:bottom w:val="single" w:sz="8" w:space="0" w:color="FFFFFF"/>
              <w:right w:val="single" w:sz="8" w:space="0" w:color="FFFFFF"/>
            </w:tcBorders>
            <w:shd w:val="clear" w:color="auto" w:fill="EEEEED"/>
            <w:tcMar>
              <w:top w:w="15" w:type="dxa"/>
              <w:left w:w="108" w:type="dxa"/>
              <w:bottom w:w="0" w:type="dxa"/>
              <w:right w:w="108" w:type="dxa"/>
            </w:tcMar>
            <w:hideMark/>
          </w:tcPr>
          <w:p w14:paraId="1F394C4E" w14:textId="77777777" w:rsidR="00B650A9" w:rsidRPr="00F971E7" w:rsidRDefault="00B650A9" w:rsidP="00702F50">
            <w:pPr>
              <w:jc w:val="both"/>
              <w:rPr>
                <w:rFonts w:asciiTheme="minorHAnsi" w:hAnsiTheme="minorHAnsi" w:cstheme="minorHAnsi"/>
                <w:b/>
                <w:bCs/>
              </w:rPr>
            </w:pPr>
            <w:r w:rsidRPr="00F971E7">
              <w:rPr>
                <w:rFonts w:asciiTheme="minorHAnsi" w:hAnsiTheme="minorHAnsi" w:cstheme="minorHAnsi"/>
                <w:b/>
                <w:bCs/>
              </w:rPr>
              <w:t>335</w:t>
            </w:r>
          </w:p>
        </w:tc>
        <w:tc>
          <w:tcPr>
            <w:tcW w:w="1176" w:type="dxa"/>
            <w:tcBorders>
              <w:top w:val="single" w:sz="8" w:space="0" w:color="FFFFFF"/>
              <w:left w:val="single" w:sz="8" w:space="0" w:color="FFFFFF"/>
              <w:bottom w:val="single" w:sz="8" w:space="0" w:color="FFFFFF"/>
              <w:right w:val="single" w:sz="8" w:space="0" w:color="FFFFFF"/>
            </w:tcBorders>
            <w:shd w:val="clear" w:color="auto" w:fill="EEEEED"/>
            <w:tcMar>
              <w:top w:w="15" w:type="dxa"/>
              <w:left w:w="108" w:type="dxa"/>
              <w:bottom w:w="0" w:type="dxa"/>
              <w:right w:w="108" w:type="dxa"/>
            </w:tcMar>
            <w:hideMark/>
          </w:tcPr>
          <w:p w14:paraId="74310F78" w14:textId="77777777" w:rsidR="00B650A9" w:rsidRPr="00F971E7" w:rsidRDefault="00B650A9" w:rsidP="00702F50">
            <w:pPr>
              <w:jc w:val="both"/>
              <w:rPr>
                <w:rFonts w:asciiTheme="minorHAnsi" w:hAnsiTheme="minorHAnsi" w:cstheme="minorHAnsi"/>
                <w:b/>
                <w:bCs/>
              </w:rPr>
            </w:pPr>
            <w:r w:rsidRPr="00F971E7">
              <w:rPr>
                <w:rFonts w:asciiTheme="minorHAnsi" w:hAnsiTheme="minorHAnsi" w:cstheme="minorHAnsi"/>
                <w:b/>
                <w:bCs/>
              </w:rPr>
              <w:t>- 38.19</w:t>
            </w:r>
          </w:p>
        </w:tc>
        <w:tc>
          <w:tcPr>
            <w:tcW w:w="1421" w:type="dxa"/>
            <w:tcBorders>
              <w:top w:val="single" w:sz="8" w:space="0" w:color="FFFFFF"/>
              <w:left w:val="single" w:sz="8" w:space="0" w:color="FFFFFF"/>
              <w:bottom w:val="single" w:sz="8" w:space="0" w:color="FFFFFF"/>
              <w:right w:val="single" w:sz="8" w:space="0" w:color="FFFFFF"/>
            </w:tcBorders>
            <w:shd w:val="clear" w:color="auto" w:fill="EEEEED"/>
            <w:tcMar>
              <w:top w:w="15" w:type="dxa"/>
              <w:left w:w="108" w:type="dxa"/>
              <w:bottom w:w="0" w:type="dxa"/>
              <w:right w:w="108" w:type="dxa"/>
            </w:tcMar>
            <w:hideMark/>
          </w:tcPr>
          <w:p w14:paraId="192B6535" w14:textId="77777777" w:rsidR="00B650A9" w:rsidRPr="00F971E7" w:rsidRDefault="00B650A9" w:rsidP="00702F50">
            <w:pPr>
              <w:jc w:val="both"/>
              <w:rPr>
                <w:rFonts w:asciiTheme="minorHAnsi" w:hAnsiTheme="minorHAnsi" w:cstheme="minorHAnsi"/>
                <w:b/>
                <w:bCs/>
              </w:rPr>
            </w:pPr>
            <w:r w:rsidRPr="00F971E7">
              <w:rPr>
                <w:rFonts w:asciiTheme="minorHAnsi" w:hAnsiTheme="minorHAnsi" w:cstheme="minorHAnsi"/>
                <w:b/>
                <w:bCs/>
              </w:rPr>
              <w:t>8715</w:t>
            </w:r>
          </w:p>
        </w:tc>
        <w:tc>
          <w:tcPr>
            <w:tcW w:w="968" w:type="dxa"/>
            <w:tcBorders>
              <w:top w:val="single" w:sz="8" w:space="0" w:color="FFFFFF"/>
              <w:left w:val="single" w:sz="8" w:space="0" w:color="FFFFFF"/>
              <w:bottom w:val="single" w:sz="8" w:space="0" w:color="FFFFFF"/>
              <w:right w:val="single" w:sz="8" w:space="0" w:color="FFFFFF"/>
            </w:tcBorders>
            <w:shd w:val="clear" w:color="auto" w:fill="EEEEED"/>
            <w:tcMar>
              <w:top w:w="15" w:type="dxa"/>
              <w:left w:w="108" w:type="dxa"/>
              <w:bottom w:w="0" w:type="dxa"/>
              <w:right w:w="108" w:type="dxa"/>
            </w:tcMar>
            <w:hideMark/>
          </w:tcPr>
          <w:p w14:paraId="30D66A69" w14:textId="77777777" w:rsidR="00B650A9" w:rsidRPr="00F971E7" w:rsidRDefault="00B650A9" w:rsidP="00702F50">
            <w:pPr>
              <w:jc w:val="both"/>
              <w:rPr>
                <w:rFonts w:asciiTheme="minorHAnsi" w:hAnsiTheme="minorHAnsi" w:cstheme="minorHAnsi"/>
                <w:b/>
                <w:bCs/>
              </w:rPr>
            </w:pPr>
            <w:r w:rsidRPr="00F971E7">
              <w:rPr>
                <w:rFonts w:asciiTheme="minorHAnsi" w:hAnsiTheme="minorHAnsi" w:cstheme="minorHAnsi"/>
                <w:b/>
                <w:bCs/>
              </w:rPr>
              <w:t>+ 32.39</w:t>
            </w:r>
          </w:p>
        </w:tc>
      </w:tr>
      <w:tr w:rsidR="00DC638E" w:rsidRPr="00F971E7" w14:paraId="45BDA053" w14:textId="77777777" w:rsidTr="00E91727">
        <w:trPr>
          <w:trHeight w:val="531"/>
        </w:trPr>
        <w:tc>
          <w:tcPr>
            <w:tcW w:w="923" w:type="dxa"/>
            <w:tcBorders>
              <w:top w:val="single" w:sz="8" w:space="0" w:color="FFFFFF"/>
              <w:left w:val="single" w:sz="8" w:space="0" w:color="FFFFFF"/>
              <w:bottom w:val="single" w:sz="8" w:space="0" w:color="FFFFFF"/>
              <w:right w:val="single" w:sz="8" w:space="0" w:color="FFFFFF"/>
            </w:tcBorders>
            <w:shd w:val="clear" w:color="auto" w:fill="7F7F7F" w:themeFill="text1" w:themeFillTint="80"/>
            <w:tcMar>
              <w:top w:w="15" w:type="dxa"/>
              <w:left w:w="108" w:type="dxa"/>
              <w:bottom w:w="0" w:type="dxa"/>
              <w:right w:w="108" w:type="dxa"/>
            </w:tcMar>
            <w:hideMark/>
          </w:tcPr>
          <w:p w14:paraId="6CD81585" w14:textId="77777777" w:rsidR="00B650A9" w:rsidRPr="00C70685" w:rsidRDefault="00B650A9" w:rsidP="00702F50">
            <w:pPr>
              <w:jc w:val="both"/>
              <w:rPr>
                <w:rFonts w:asciiTheme="minorHAnsi" w:hAnsiTheme="minorHAnsi" w:cstheme="minorHAnsi"/>
                <w:b/>
                <w:bCs/>
                <w:color w:val="FFFFFF" w:themeColor="background1"/>
              </w:rPr>
            </w:pPr>
            <w:r w:rsidRPr="00C70685">
              <w:rPr>
                <w:rFonts w:asciiTheme="minorHAnsi" w:hAnsiTheme="minorHAnsi" w:cstheme="minorHAnsi"/>
                <w:b/>
                <w:bCs/>
                <w:color w:val="FFFFFF" w:themeColor="background1"/>
              </w:rPr>
              <w:t>2021</w:t>
            </w:r>
          </w:p>
        </w:tc>
        <w:tc>
          <w:tcPr>
            <w:tcW w:w="1177"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15" w:type="dxa"/>
              <w:left w:w="108" w:type="dxa"/>
              <w:bottom w:w="0" w:type="dxa"/>
              <w:right w:w="108" w:type="dxa"/>
            </w:tcMar>
            <w:hideMark/>
          </w:tcPr>
          <w:p w14:paraId="38BE7837" w14:textId="77777777" w:rsidR="00B650A9" w:rsidRPr="00F971E7" w:rsidRDefault="00B650A9" w:rsidP="00702F50">
            <w:pPr>
              <w:jc w:val="both"/>
              <w:rPr>
                <w:rFonts w:asciiTheme="minorHAnsi" w:hAnsiTheme="minorHAnsi" w:cstheme="minorHAnsi"/>
                <w:b/>
                <w:bCs/>
              </w:rPr>
            </w:pPr>
            <w:r w:rsidRPr="00F971E7">
              <w:rPr>
                <w:rFonts w:asciiTheme="minorHAnsi" w:hAnsiTheme="minorHAnsi" w:cstheme="minorHAnsi"/>
                <w:b/>
                <w:bCs/>
              </w:rPr>
              <w:t>253, 546</w:t>
            </w:r>
          </w:p>
        </w:tc>
        <w:tc>
          <w:tcPr>
            <w:tcW w:w="1007"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15" w:type="dxa"/>
              <w:left w:w="108" w:type="dxa"/>
              <w:bottom w:w="0" w:type="dxa"/>
              <w:right w:w="108" w:type="dxa"/>
            </w:tcMar>
            <w:hideMark/>
          </w:tcPr>
          <w:p w14:paraId="7E16BB35" w14:textId="77777777" w:rsidR="00B650A9" w:rsidRPr="00F971E7" w:rsidRDefault="00B650A9" w:rsidP="00702F50">
            <w:pPr>
              <w:jc w:val="both"/>
              <w:rPr>
                <w:rFonts w:asciiTheme="minorHAnsi" w:hAnsiTheme="minorHAnsi" w:cstheme="minorHAnsi"/>
                <w:b/>
                <w:bCs/>
              </w:rPr>
            </w:pPr>
            <w:r w:rsidRPr="00F971E7">
              <w:rPr>
                <w:rFonts w:asciiTheme="minorHAnsi" w:hAnsiTheme="minorHAnsi" w:cstheme="minorHAnsi"/>
                <w:b/>
                <w:bCs/>
              </w:rPr>
              <w:t>+ 12.00</w:t>
            </w:r>
          </w:p>
        </w:tc>
        <w:tc>
          <w:tcPr>
            <w:tcW w:w="1297"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15" w:type="dxa"/>
              <w:left w:w="108" w:type="dxa"/>
              <w:bottom w:w="0" w:type="dxa"/>
              <w:right w:w="108" w:type="dxa"/>
            </w:tcMar>
            <w:hideMark/>
          </w:tcPr>
          <w:p w14:paraId="4918C94E" w14:textId="7C1091C1" w:rsidR="00B650A9" w:rsidRPr="00F971E7" w:rsidRDefault="00B650A9" w:rsidP="00702F50">
            <w:pPr>
              <w:jc w:val="both"/>
              <w:rPr>
                <w:rFonts w:asciiTheme="minorHAnsi" w:hAnsiTheme="minorHAnsi" w:cstheme="minorHAnsi"/>
                <w:b/>
                <w:bCs/>
              </w:rPr>
            </w:pPr>
            <w:r w:rsidRPr="00F971E7">
              <w:rPr>
                <w:rFonts w:asciiTheme="minorHAnsi" w:hAnsiTheme="minorHAnsi" w:cstheme="minorHAnsi"/>
                <w:b/>
                <w:bCs/>
              </w:rPr>
              <w:t>10,046</w:t>
            </w:r>
          </w:p>
        </w:tc>
        <w:tc>
          <w:tcPr>
            <w:tcW w:w="1256"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15" w:type="dxa"/>
              <w:left w:w="108" w:type="dxa"/>
              <w:bottom w:w="0" w:type="dxa"/>
              <w:right w:w="108" w:type="dxa"/>
            </w:tcMar>
            <w:hideMark/>
          </w:tcPr>
          <w:p w14:paraId="56EF8249" w14:textId="77777777" w:rsidR="00B650A9" w:rsidRPr="00F971E7" w:rsidRDefault="00B650A9" w:rsidP="00702F50">
            <w:pPr>
              <w:jc w:val="both"/>
              <w:rPr>
                <w:rFonts w:asciiTheme="minorHAnsi" w:hAnsiTheme="minorHAnsi" w:cstheme="minorHAnsi"/>
                <w:b/>
                <w:bCs/>
              </w:rPr>
            </w:pPr>
            <w:r w:rsidRPr="00F971E7">
              <w:rPr>
                <w:rFonts w:asciiTheme="minorHAnsi" w:hAnsiTheme="minorHAnsi" w:cstheme="minorHAnsi"/>
                <w:b/>
                <w:bCs/>
              </w:rPr>
              <w:t>+ 124.84</w:t>
            </w:r>
          </w:p>
        </w:tc>
        <w:tc>
          <w:tcPr>
            <w:tcW w:w="1560"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15" w:type="dxa"/>
              <w:left w:w="108" w:type="dxa"/>
              <w:bottom w:w="0" w:type="dxa"/>
              <w:right w:w="108" w:type="dxa"/>
            </w:tcMar>
            <w:hideMark/>
          </w:tcPr>
          <w:p w14:paraId="3D661944" w14:textId="77777777" w:rsidR="00B650A9" w:rsidRPr="00F971E7" w:rsidRDefault="00B650A9" w:rsidP="00702F50">
            <w:pPr>
              <w:jc w:val="both"/>
              <w:rPr>
                <w:rFonts w:asciiTheme="minorHAnsi" w:hAnsiTheme="minorHAnsi" w:cstheme="minorHAnsi"/>
                <w:b/>
                <w:bCs/>
              </w:rPr>
            </w:pPr>
            <w:r w:rsidRPr="00F971E7">
              <w:rPr>
                <w:rFonts w:asciiTheme="minorHAnsi" w:hAnsiTheme="minorHAnsi" w:cstheme="minorHAnsi"/>
                <w:b/>
                <w:bCs/>
              </w:rPr>
              <w:t>54, 515</w:t>
            </w:r>
          </w:p>
        </w:tc>
        <w:tc>
          <w:tcPr>
            <w:tcW w:w="1134"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15" w:type="dxa"/>
              <w:left w:w="108" w:type="dxa"/>
              <w:bottom w:w="0" w:type="dxa"/>
              <w:right w:w="108" w:type="dxa"/>
            </w:tcMar>
            <w:hideMark/>
          </w:tcPr>
          <w:p w14:paraId="10E40B04" w14:textId="77777777" w:rsidR="00B650A9" w:rsidRPr="00F971E7" w:rsidRDefault="00B650A9" w:rsidP="00702F50">
            <w:pPr>
              <w:jc w:val="both"/>
              <w:rPr>
                <w:rFonts w:asciiTheme="minorHAnsi" w:hAnsiTheme="minorHAnsi" w:cstheme="minorHAnsi"/>
                <w:b/>
                <w:bCs/>
              </w:rPr>
            </w:pPr>
            <w:r w:rsidRPr="00F971E7">
              <w:rPr>
                <w:rFonts w:asciiTheme="minorHAnsi" w:hAnsiTheme="minorHAnsi" w:cstheme="minorHAnsi"/>
                <w:b/>
                <w:bCs/>
              </w:rPr>
              <w:t>- 10.88</w:t>
            </w:r>
          </w:p>
        </w:tc>
        <w:tc>
          <w:tcPr>
            <w:tcW w:w="1701"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15" w:type="dxa"/>
              <w:left w:w="108" w:type="dxa"/>
              <w:bottom w:w="0" w:type="dxa"/>
              <w:right w:w="108" w:type="dxa"/>
            </w:tcMar>
            <w:hideMark/>
          </w:tcPr>
          <w:p w14:paraId="17874C9B" w14:textId="77777777" w:rsidR="00B650A9" w:rsidRPr="00F971E7" w:rsidRDefault="00B650A9" w:rsidP="00702F50">
            <w:pPr>
              <w:jc w:val="both"/>
              <w:rPr>
                <w:rFonts w:asciiTheme="minorHAnsi" w:hAnsiTheme="minorHAnsi" w:cstheme="minorHAnsi"/>
                <w:b/>
                <w:bCs/>
              </w:rPr>
            </w:pPr>
            <w:r w:rsidRPr="00F971E7">
              <w:rPr>
                <w:rFonts w:asciiTheme="minorHAnsi" w:hAnsiTheme="minorHAnsi" w:cstheme="minorHAnsi"/>
                <w:b/>
                <w:bCs/>
              </w:rPr>
              <w:t>267</w:t>
            </w:r>
          </w:p>
        </w:tc>
        <w:tc>
          <w:tcPr>
            <w:tcW w:w="1176"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15" w:type="dxa"/>
              <w:left w:w="108" w:type="dxa"/>
              <w:bottom w:w="0" w:type="dxa"/>
              <w:right w:w="108" w:type="dxa"/>
            </w:tcMar>
            <w:hideMark/>
          </w:tcPr>
          <w:p w14:paraId="3C9299F8" w14:textId="77777777" w:rsidR="00B650A9" w:rsidRPr="00F971E7" w:rsidRDefault="00B650A9" w:rsidP="00702F50">
            <w:pPr>
              <w:jc w:val="both"/>
              <w:rPr>
                <w:rFonts w:asciiTheme="minorHAnsi" w:hAnsiTheme="minorHAnsi" w:cstheme="minorHAnsi"/>
                <w:b/>
                <w:bCs/>
              </w:rPr>
            </w:pPr>
            <w:r w:rsidRPr="00F971E7">
              <w:rPr>
                <w:rFonts w:asciiTheme="minorHAnsi" w:hAnsiTheme="minorHAnsi" w:cstheme="minorHAnsi"/>
                <w:b/>
                <w:bCs/>
              </w:rPr>
              <w:t>- 20.30</w:t>
            </w:r>
          </w:p>
        </w:tc>
        <w:tc>
          <w:tcPr>
            <w:tcW w:w="1421"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15" w:type="dxa"/>
              <w:left w:w="108" w:type="dxa"/>
              <w:bottom w:w="0" w:type="dxa"/>
              <w:right w:w="108" w:type="dxa"/>
            </w:tcMar>
            <w:hideMark/>
          </w:tcPr>
          <w:p w14:paraId="5F2999C1" w14:textId="77777777" w:rsidR="00B650A9" w:rsidRPr="00F971E7" w:rsidRDefault="00B650A9" w:rsidP="00702F50">
            <w:pPr>
              <w:jc w:val="both"/>
              <w:rPr>
                <w:rFonts w:asciiTheme="minorHAnsi" w:hAnsiTheme="minorHAnsi" w:cstheme="minorHAnsi"/>
                <w:b/>
                <w:bCs/>
              </w:rPr>
            </w:pPr>
            <w:r w:rsidRPr="00F971E7">
              <w:rPr>
                <w:rFonts w:asciiTheme="minorHAnsi" w:hAnsiTheme="minorHAnsi" w:cstheme="minorHAnsi"/>
                <w:b/>
                <w:bCs/>
              </w:rPr>
              <w:t>13,439</w:t>
            </w:r>
          </w:p>
        </w:tc>
        <w:tc>
          <w:tcPr>
            <w:tcW w:w="968"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15" w:type="dxa"/>
              <w:left w:w="108" w:type="dxa"/>
              <w:bottom w:w="0" w:type="dxa"/>
              <w:right w:w="108" w:type="dxa"/>
            </w:tcMar>
            <w:hideMark/>
          </w:tcPr>
          <w:p w14:paraId="59FC7912" w14:textId="77777777" w:rsidR="00B650A9" w:rsidRPr="00F971E7" w:rsidRDefault="00B650A9" w:rsidP="00702F50">
            <w:pPr>
              <w:jc w:val="both"/>
              <w:rPr>
                <w:rFonts w:asciiTheme="minorHAnsi" w:hAnsiTheme="minorHAnsi" w:cstheme="minorHAnsi"/>
                <w:b/>
                <w:bCs/>
              </w:rPr>
            </w:pPr>
            <w:r w:rsidRPr="00F971E7">
              <w:rPr>
                <w:rFonts w:asciiTheme="minorHAnsi" w:hAnsiTheme="minorHAnsi" w:cstheme="minorHAnsi"/>
                <w:b/>
                <w:bCs/>
              </w:rPr>
              <w:t>+ 54.20</w:t>
            </w:r>
          </w:p>
        </w:tc>
      </w:tr>
    </w:tbl>
    <w:p w14:paraId="4104EE3D" w14:textId="0927BC7B" w:rsidR="00B650A9" w:rsidRPr="00F971E7" w:rsidRDefault="00B650A9" w:rsidP="00702F50">
      <w:pPr>
        <w:jc w:val="both"/>
        <w:rPr>
          <w:rFonts w:asciiTheme="minorHAnsi" w:hAnsiTheme="minorHAnsi" w:cstheme="minorHAnsi"/>
          <w:b/>
          <w:bCs/>
        </w:rPr>
      </w:pPr>
    </w:p>
    <w:p w14:paraId="75346948" w14:textId="77777777" w:rsidR="00B650A9" w:rsidRPr="00F971E7" w:rsidRDefault="00B650A9" w:rsidP="00702F50">
      <w:pPr>
        <w:jc w:val="both"/>
        <w:rPr>
          <w:rFonts w:asciiTheme="minorHAnsi" w:hAnsiTheme="minorHAnsi" w:cstheme="minorHAnsi"/>
          <w:b/>
          <w:bCs/>
        </w:rPr>
        <w:sectPr w:rsidR="00B650A9" w:rsidRPr="00F971E7" w:rsidSect="0005191E">
          <w:headerReference w:type="default" r:id="rId16"/>
          <w:footerReference w:type="default" r:id="rId17"/>
          <w:pgSz w:w="16838" w:h="11906" w:orient="landscape"/>
          <w:pgMar w:top="1440" w:right="1440" w:bottom="1440" w:left="1440" w:header="709" w:footer="709" w:gutter="0"/>
          <w:cols w:space="708"/>
          <w:docGrid w:linePitch="360"/>
        </w:sectPr>
      </w:pPr>
    </w:p>
    <w:p w14:paraId="76B7E82A" w14:textId="68CBFF6E" w:rsidR="00B650A9" w:rsidRPr="00E229A7" w:rsidRDefault="00E229A7" w:rsidP="008A31F7">
      <w:pPr>
        <w:pStyle w:val="Heading1"/>
      </w:pPr>
      <w:r>
        <w:lastRenderedPageBreak/>
        <w:t xml:space="preserve">3. </w:t>
      </w:r>
      <w:r w:rsidR="00B650A9" w:rsidRPr="00E229A7">
        <w:t>Positive obligations under the ECHR: Relevant case law of the Strasbourg Court</w:t>
      </w:r>
    </w:p>
    <w:p w14:paraId="08527A96" w14:textId="1E771ECC" w:rsidR="00B650A9" w:rsidRPr="00F971E7" w:rsidRDefault="00B650A9" w:rsidP="00702F50">
      <w:pPr>
        <w:jc w:val="both"/>
        <w:rPr>
          <w:rFonts w:asciiTheme="minorHAnsi" w:hAnsiTheme="minorHAnsi" w:cstheme="minorHAnsi"/>
        </w:rPr>
      </w:pPr>
      <w:r w:rsidRPr="00F971E7">
        <w:rPr>
          <w:rFonts w:asciiTheme="minorHAnsi" w:hAnsiTheme="minorHAnsi" w:cstheme="minorHAnsi"/>
        </w:rPr>
        <w:t xml:space="preserve">Our starting point for a consideration of the human rights duties placed on the police service, and </w:t>
      </w:r>
      <w:r w:rsidR="00761F4B" w:rsidRPr="00F971E7">
        <w:rPr>
          <w:rFonts w:asciiTheme="minorHAnsi" w:hAnsiTheme="minorHAnsi" w:cstheme="minorHAnsi"/>
        </w:rPr>
        <w:t xml:space="preserve">the </w:t>
      </w:r>
      <w:r w:rsidRPr="00F971E7">
        <w:rPr>
          <w:rFonts w:asciiTheme="minorHAnsi" w:hAnsiTheme="minorHAnsi" w:cstheme="minorHAnsi"/>
        </w:rPr>
        <w:t>criminal justice system of England and Wales, when it comes to protecting victims of domestic abuse and/or violence against women and girls</w:t>
      </w:r>
      <w:r w:rsidR="00761F4B" w:rsidRPr="00F971E7">
        <w:rPr>
          <w:rFonts w:asciiTheme="minorHAnsi" w:hAnsiTheme="minorHAnsi" w:cstheme="minorHAnsi"/>
        </w:rPr>
        <w:t>,</w:t>
      </w:r>
      <w:r w:rsidRPr="00F971E7">
        <w:rPr>
          <w:rFonts w:asciiTheme="minorHAnsi" w:hAnsiTheme="minorHAnsi" w:cstheme="minorHAnsi"/>
        </w:rPr>
        <w:t xml:space="preserve"> is the definitions given to a core set of </w:t>
      </w:r>
      <w:r w:rsidR="002D6567" w:rsidRPr="00F971E7">
        <w:rPr>
          <w:rFonts w:asciiTheme="minorHAnsi" w:hAnsiTheme="minorHAnsi" w:cstheme="minorHAnsi"/>
        </w:rPr>
        <w:t>‘</w:t>
      </w:r>
      <w:r w:rsidRPr="00F971E7">
        <w:rPr>
          <w:rFonts w:asciiTheme="minorHAnsi" w:hAnsiTheme="minorHAnsi" w:cstheme="minorHAnsi"/>
        </w:rPr>
        <w:t>positive obligations</w:t>
      </w:r>
      <w:r w:rsidR="002D6567" w:rsidRPr="00F971E7">
        <w:rPr>
          <w:rFonts w:asciiTheme="minorHAnsi" w:hAnsiTheme="minorHAnsi" w:cstheme="minorHAnsi"/>
        </w:rPr>
        <w:t>’. These are</w:t>
      </w:r>
      <w:r w:rsidRPr="00F971E7">
        <w:rPr>
          <w:rFonts w:asciiTheme="minorHAnsi" w:hAnsiTheme="minorHAnsi" w:cstheme="minorHAnsi"/>
        </w:rPr>
        <w:t xml:space="preserve"> duties applying </w:t>
      </w:r>
      <w:r w:rsidR="002D6567" w:rsidRPr="00F971E7">
        <w:rPr>
          <w:rFonts w:asciiTheme="minorHAnsi" w:hAnsiTheme="minorHAnsi" w:cstheme="minorHAnsi"/>
        </w:rPr>
        <w:t xml:space="preserve">to the actions and decisions, or </w:t>
      </w:r>
      <w:r w:rsidR="00983FD5" w:rsidRPr="00F971E7">
        <w:rPr>
          <w:rFonts w:asciiTheme="minorHAnsi" w:hAnsiTheme="minorHAnsi" w:cstheme="minorHAnsi"/>
        </w:rPr>
        <w:t xml:space="preserve">the </w:t>
      </w:r>
      <w:r w:rsidR="002D6567" w:rsidRPr="00F971E7">
        <w:rPr>
          <w:rFonts w:asciiTheme="minorHAnsi" w:hAnsiTheme="minorHAnsi" w:cstheme="minorHAnsi"/>
        </w:rPr>
        <w:t>policy st</w:t>
      </w:r>
      <w:r w:rsidR="00CA2D21" w:rsidRPr="00F971E7">
        <w:rPr>
          <w:rFonts w:asciiTheme="minorHAnsi" w:hAnsiTheme="minorHAnsi" w:cstheme="minorHAnsi"/>
        </w:rPr>
        <w:t>ances</w:t>
      </w:r>
      <w:r w:rsidR="000C2E87">
        <w:rPr>
          <w:rFonts w:asciiTheme="minorHAnsi" w:hAnsiTheme="minorHAnsi" w:cstheme="minorHAnsi"/>
        </w:rPr>
        <w:t>,</w:t>
      </w:r>
      <w:r w:rsidR="00CA2D21" w:rsidRPr="00F971E7">
        <w:rPr>
          <w:rFonts w:asciiTheme="minorHAnsi" w:hAnsiTheme="minorHAnsi" w:cstheme="minorHAnsi"/>
        </w:rPr>
        <w:t xml:space="preserve"> of state bodies</w:t>
      </w:r>
      <w:r w:rsidR="003B191A" w:rsidRPr="00F971E7">
        <w:rPr>
          <w:rFonts w:asciiTheme="minorHAnsi" w:hAnsiTheme="minorHAnsi" w:cstheme="minorHAnsi"/>
        </w:rPr>
        <w:t xml:space="preserve"> </w:t>
      </w:r>
      <w:r w:rsidRPr="00F971E7">
        <w:rPr>
          <w:rFonts w:asciiTheme="minorHAnsi" w:hAnsiTheme="minorHAnsi" w:cstheme="minorHAnsi"/>
        </w:rPr>
        <w:t>under the European Convention on Human Rights (the ECHR). In England and Wales</w:t>
      </w:r>
      <w:r w:rsidR="003B191A" w:rsidRPr="00F971E7">
        <w:rPr>
          <w:rFonts w:asciiTheme="minorHAnsi" w:hAnsiTheme="minorHAnsi" w:cstheme="minorHAnsi"/>
        </w:rPr>
        <w:t>,</w:t>
      </w:r>
      <w:r w:rsidRPr="00F971E7">
        <w:rPr>
          <w:rFonts w:asciiTheme="minorHAnsi" w:hAnsiTheme="minorHAnsi" w:cstheme="minorHAnsi"/>
        </w:rPr>
        <w:t xml:space="preserve"> the judiciary are required to take into account the </w:t>
      </w:r>
      <w:r w:rsidR="00942776">
        <w:rPr>
          <w:rFonts w:asciiTheme="minorHAnsi" w:hAnsiTheme="minorHAnsi" w:cstheme="minorHAnsi"/>
        </w:rPr>
        <w:t>case law</w:t>
      </w:r>
      <w:r w:rsidRPr="00F971E7">
        <w:rPr>
          <w:rFonts w:asciiTheme="minorHAnsi" w:hAnsiTheme="minorHAnsi" w:cstheme="minorHAnsi"/>
        </w:rPr>
        <w:t xml:space="preserve"> of </w:t>
      </w:r>
      <w:r w:rsidR="00942776">
        <w:rPr>
          <w:rFonts w:asciiTheme="minorHAnsi" w:hAnsiTheme="minorHAnsi" w:cstheme="minorHAnsi"/>
        </w:rPr>
        <w:t xml:space="preserve">the </w:t>
      </w:r>
      <w:r w:rsidRPr="00F971E7">
        <w:rPr>
          <w:rFonts w:asciiTheme="minorHAnsi" w:hAnsiTheme="minorHAnsi" w:cstheme="minorHAnsi"/>
        </w:rPr>
        <w:t xml:space="preserve">European Court of Human Rights (the Strasbourg Court) in </w:t>
      </w:r>
      <w:r w:rsidR="00942776">
        <w:rPr>
          <w:rFonts w:asciiTheme="minorHAnsi" w:hAnsiTheme="minorHAnsi" w:cstheme="minorHAnsi"/>
        </w:rPr>
        <w:t>applying</w:t>
      </w:r>
      <w:r w:rsidRPr="00F971E7">
        <w:rPr>
          <w:rFonts w:asciiTheme="minorHAnsi" w:hAnsiTheme="minorHAnsi" w:cstheme="minorHAnsi"/>
        </w:rPr>
        <w:t xml:space="preserve"> these positive obligations in the domestic legal context</w:t>
      </w:r>
      <w:r w:rsidR="000C2E87">
        <w:rPr>
          <w:rFonts w:asciiTheme="minorHAnsi" w:hAnsiTheme="minorHAnsi" w:cstheme="minorHAnsi"/>
        </w:rPr>
        <w:t xml:space="preserve">, by virtue </w:t>
      </w:r>
      <w:r w:rsidRPr="00F971E7">
        <w:rPr>
          <w:rFonts w:asciiTheme="minorHAnsi" w:hAnsiTheme="minorHAnsi" w:cstheme="minorHAnsi"/>
        </w:rPr>
        <w:t xml:space="preserve">of Section 2 of the Human Rights Act 1998 (the HRA). The relevant Articles of the ECHR in the context of this paper are Article 2, the right to life; Article 3, the right not to be subject to inhuman or degrading treatment; and Article 8, the right to respect for private and family life – the latter including an element of a duty to protect the bodily and psychological integrity of individuals. </w:t>
      </w:r>
    </w:p>
    <w:p w14:paraId="073654CF" w14:textId="40D35ED2" w:rsidR="00665FB1" w:rsidRPr="00914BE6" w:rsidRDefault="00B650A9" w:rsidP="00702F50">
      <w:pPr>
        <w:jc w:val="both"/>
        <w:rPr>
          <w:rFonts w:asciiTheme="minorHAnsi" w:hAnsiTheme="minorHAnsi" w:cstheme="minorHAnsi"/>
        </w:rPr>
      </w:pPr>
      <w:r w:rsidRPr="00F971E7">
        <w:rPr>
          <w:rFonts w:asciiTheme="minorHAnsi" w:hAnsiTheme="minorHAnsi" w:cstheme="minorHAnsi"/>
        </w:rPr>
        <w:t xml:space="preserve">The European Court of Human Rights, in outlining a substantive duty </w:t>
      </w:r>
      <w:r w:rsidR="00A757E6">
        <w:rPr>
          <w:rFonts w:asciiTheme="minorHAnsi" w:hAnsiTheme="minorHAnsi" w:cstheme="minorHAnsi"/>
        </w:rPr>
        <w:t xml:space="preserve">on state bodies </w:t>
      </w:r>
      <w:r w:rsidRPr="00F971E7">
        <w:rPr>
          <w:rFonts w:asciiTheme="minorHAnsi" w:hAnsiTheme="minorHAnsi" w:cstheme="minorHAnsi"/>
        </w:rPr>
        <w:t xml:space="preserve">to </w:t>
      </w:r>
      <w:r w:rsidR="00B91D26" w:rsidRPr="00F971E7">
        <w:rPr>
          <w:rFonts w:asciiTheme="minorHAnsi" w:hAnsiTheme="minorHAnsi" w:cstheme="minorHAnsi"/>
        </w:rPr>
        <w:t xml:space="preserve">act to </w:t>
      </w:r>
      <w:r w:rsidRPr="00F971E7">
        <w:rPr>
          <w:rFonts w:asciiTheme="minorHAnsi" w:hAnsiTheme="minorHAnsi" w:cstheme="minorHAnsi"/>
        </w:rPr>
        <w:t>preserve life, state</w:t>
      </w:r>
      <w:r w:rsidR="00ED35EB" w:rsidRPr="00F971E7">
        <w:rPr>
          <w:rFonts w:asciiTheme="minorHAnsi" w:hAnsiTheme="minorHAnsi" w:cstheme="minorHAnsi"/>
        </w:rPr>
        <w:t>d</w:t>
      </w:r>
      <w:r w:rsidRPr="00F971E7">
        <w:rPr>
          <w:rFonts w:asciiTheme="minorHAnsi" w:hAnsiTheme="minorHAnsi" w:cstheme="minorHAnsi"/>
        </w:rPr>
        <w:t xml:space="preserve"> in </w:t>
      </w:r>
      <w:r w:rsidRPr="00F971E7">
        <w:rPr>
          <w:rFonts w:asciiTheme="minorHAnsi" w:hAnsiTheme="minorHAnsi" w:cstheme="minorHAnsi"/>
          <w:i/>
          <w:iCs/>
        </w:rPr>
        <w:t>Osman v UK</w:t>
      </w:r>
      <w:r w:rsidR="00020A50" w:rsidRPr="00D537E0">
        <w:rPr>
          <w:rStyle w:val="FootnoteReference"/>
          <w:rFonts w:asciiTheme="minorHAnsi" w:hAnsiTheme="minorHAnsi" w:cstheme="minorHAnsi"/>
        </w:rPr>
        <w:footnoteReference w:id="22"/>
      </w:r>
      <w:r w:rsidRPr="00F971E7">
        <w:rPr>
          <w:rFonts w:asciiTheme="minorHAnsi" w:hAnsiTheme="minorHAnsi" w:cstheme="minorHAnsi"/>
        </w:rPr>
        <w:t xml:space="preserve"> that</w:t>
      </w:r>
      <w:r w:rsidR="0074444C">
        <w:rPr>
          <w:rFonts w:asciiTheme="minorHAnsi" w:hAnsiTheme="minorHAnsi" w:cstheme="minorHAnsi"/>
        </w:rPr>
        <w:t>:</w:t>
      </w:r>
    </w:p>
    <w:p w14:paraId="2A228D43" w14:textId="088AC9F5" w:rsidR="0074444C" w:rsidRDefault="00B650A9" w:rsidP="0074444C">
      <w:pPr>
        <w:ind w:left="720"/>
        <w:jc w:val="both"/>
        <w:rPr>
          <w:rFonts w:asciiTheme="minorHAnsi" w:hAnsiTheme="minorHAnsi" w:cstheme="minorHAnsi"/>
        </w:rPr>
      </w:pPr>
      <w:r w:rsidRPr="00F971E7">
        <w:rPr>
          <w:rFonts w:asciiTheme="minorHAnsi" w:hAnsiTheme="minorHAnsi" w:cstheme="minorHAnsi"/>
        </w:rPr>
        <w:t>where there is an allegation that the authorities have violated their positive obligation to protect the right to life in the context of their [duty] to prevent and suppress offences against the person... it must be established... that the authorities knew or ought to have known at the time of the existence of a real and immediate risk to the life of an identified individual or individuals from the criminal acts of a third party and that they failed to take measures within the scope of their powers which, judged reasonably, might have been expected to avoid that risk.</w:t>
      </w:r>
      <w:r w:rsidR="008F282C">
        <w:rPr>
          <w:rStyle w:val="FootnoteReference"/>
          <w:rFonts w:asciiTheme="minorHAnsi" w:hAnsiTheme="minorHAnsi" w:cstheme="minorHAnsi"/>
        </w:rPr>
        <w:footnoteReference w:id="23"/>
      </w:r>
      <w:r w:rsidRPr="00F971E7">
        <w:rPr>
          <w:rFonts w:asciiTheme="minorHAnsi" w:hAnsiTheme="minorHAnsi" w:cstheme="minorHAnsi"/>
        </w:rPr>
        <w:t xml:space="preserve"> </w:t>
      </w:r>
    </w:p>
    <w:p w14:paraId="0ED2D3F3" w14:textId="1EDC01E8" w:rsidR="00E671AF" w:rsidRPr="00F971E7" w:rsidRDefault="00B650A9" w:rsidP="0074444C">
      <w:pPr>
        <w:jc w:val="both"/>
        <w:rPr>
          <w:rFonts w:asciiTheme="minorHAnsi" w:hAnsiTheme="minorHAnsi" w:cstheme="minorHAnsi"/>
        </w:rPr>
      </w:pPr>
      <w:r w:rsidRPr="00F971E7">
        <w:rPr>
          <w:rFonts w:asciiTheme="minorHAnsi" w:hAnsiTheme="minorHAnsi" w:cstheme="minorHAnsi"/>
        </w:rPr>
        <w:t xml:space="preserve">This duty requires the police, and wider criminal justice system in England and Wales to prioritise the protection of possible victims who have been determined to face such a </w:t>
      </w:r>
      <w:r w:rsidR="00693E3F">
        <w:rPr>
          <w:rFonts w:asciiTheme="minorHAnsi" w:hAnsiTheme="minorHAnsi" w:cstheme="minorHAnsi"/>
        </w:rPr>
        <w:t>“</w:t>
      </w:r>
      <w:r w:rsidRPr="00F971E7">
        <w:rPr>
          <w:rFonts w:asciiTheme="minorHAnsi" w:hAnsiTheme="minorHAnsi" w:cstheme="minorHAnsi"/>
        </w:rPr>
        <w:t>real and immediate</w:t>
      </w:r>
      <w:r w:rsidR="00693E3F">
        <w:rPr>
          <w:rFonts w:asciiTheme="minorHAnsi" w:hAnsiTheme="minorHAnsi" w:cstheme="minorHAnsi"/>
        </w:rPr>
        <w:t>”</w:t>
      </w:r>
      <w:r w:rsidRPr="00F971E7">
        <w:rPr>
          <w:rFonts w:asciiTheme="minorHAnsi" w:hAnsiTheme="minorHAnsi" w:cstheme="minorHAnsi"/>
        </w:rPr>
        <w:t xml:space="preserve"> risk to life – which might readily mean </w:t>
      </w:r>
      <w:r w:rsidR="00E671AF" w:rsidRPr="00F971E7">
        <w:rPr>
          <w:rFonts w:asciiTheme="minorHAnsi" w:hAnsiTheme="minorHAnsi" w:cstheme="minorHAnsi"/>
        </w:rPr>
        <w:t>protection f</w:t>
      </w:r>
      <w:r w:rsidRPr="00F971E7">
        <w:rPr>
          <w:rFonts w:asciiTheme="minorHAnsi" w:hAnsiTheme="minorHAnsi" w:cstheme="minorHAnsi"/>
        </w:rPr>
        <w:t xml:space="preserve">rom domestic abuse, for example. </w:t>
      </w:r>
    </w:p>
    <w:p w14:paraId="0A112ACD" w14:textId="373F3F0B" w:rsidR="0005134A" w:rsidRDefault="00B650A9" w:rsidP="00702F50">
      <w:pPr>
        <w:jc w:val="both"/>
        <w:rPr>
          <w:rFonts w:asciiTheme="minorHAnsi" w:hAnsiTheme="minorHAnsi" w:cstheme="minorHAnsi"/>
        </w:rPr>
      </w:pPr>
      <w:r w:rsidRPr="00F971E7">
        <w:rPr>
          <w:rFonts w:asciiTheme="minorHAnsi" w:hAnsiTheme="minorHAnsi" w:cstheme="minorHAnsi"/>
        </w:rPr>
        <w:t xml:space="preserve">In terms of the nature of risk assessment </w:t>
      </w:r>
      <w:r w:rsidR="00914BE6">
        <w:rPr>
          <w:rFonts w:asciiTheme="minorHAnsi" w:hAnsiTheme="minorHAnsi" w:cstheme="minorHAnsi"/>
        </w:rPr>
        <w:t>that</w:t>
      </w:r>
      <w:r w:rsidRPr="00F971E7">
        <w:rPr>
          <w:rFonts w:asciiTheme="minorHAnsi" w:hAnsiTheme="minorHAnsi" w:cstheme="minorHAnsi"/>
        </w:rPr>
        <w:t xml:space="preserve"> is required, </w:t>
      </w:r>
      <w:r w:rsidR="003C11A9">
        <w:rPr>
          <w:rFonts w:asciiTheme="minorHAnsi" w:hAnsiTheme="minorHAnsi" w:cstheme="minorHAnsi"/>
        </w:rPr>
        <w:t xml:space="preserve">for example, by </w:t>
      </w:r>
      <w:r w:rsidRPr="00F971E7">
        <w:rPr>
          <w:rFonts w:asciiTheme="minorHAnsi" w:hAnsiTheme="minorHAnsi" w:cstheme="minorHAnsi"/>
        </w:rPr>
        <w:t xml:space="preserve">police handling the risk presented to a possible homicide victim, the European Court of Human Rights has highlighted in </w:t>
      </w:r>
      <w:r w:rsidRPr="00F971E7">
        <w:rPr>
          <w:rFonts w:asciiTheme="minorHAnsi" w:hAnsiTheme="minorHAnsi" w:cstheme="minorHAnsi"/>
          <w:i/>
          <w:iCs/>
        </w:rPr>
        <w:t>Kurt v Austria</w:t>
      </w:r>
      <w:r w:rsidR="00FA4119">
        <w:rPr>
          <w:rFonts w:asciiTheme="minorHAnsi" w:hAnsiTheme="minorHAnsi" w:cstheme="minorHAnsi"/>
        </w:rPr>
        <w:t>,</w:t>
      </w:r>
      <w:r w:rsidR="003D1C0C" w:rsidRPr="003D1C0C">
        <w:rPr>
          <w:rStyle w:val="FootnoteReference"/>
          <w:rFonts w:asciiTheme="minorHAnsi" w:hAnsiTheme="minorHAnsi" w:cstheme="minorHAnsi"/>
        </w:rPr>
        <w:footnoteReference w:id="24"/>
      </w:r>
      <w:r w:rsidRPr="00F971E7">
        <w:rPr>
          <w:rFonts w:asciiTheme="minorHAnsi" w:hAnsiTheme="minorHAnsi" w:cstheme="minorHAnsi"/>
        </w:rPr>
        <w:t xml:space="preserve"> that</w:t>
      </w:r>
      <w:r w:rsidR="0005134A">
        <w:rPr>
          <w:rFonts w:asciiTheme="minorHAnsi" w:hAnsiTheme="minorHAnsi" w:cstheme="minorHAnsi"/>
        </w:rPr>
        <w:t>:</w:t>
      </w:r>
      <w:r w:rsidRPr="00F971E7">
        <w:rPr>
          <w:rFonts w:asciiTheme="minorHAnsi" w:hAnsiTheme="minorHAnsi" w:cstheme="minorHAnsi"/>
        </w:rPr>
        <w:t xml:space="preserve"> </w:t>
      </w:r>
    </w:p>
    <w:p w14:paraId="5CCBA171" w14:textId="0D117268" w:rsidR="0005134A" w:rsidRDefault="00B650A9" w:rsidP="0005134A">
      <w:pPr>
        <w:ind w:left="720"/>
        <w:jc w:val="both"/>
        <w:rPr>
          <w:rFonts w:asciiTheme="minorHAnsi" w:hAnsiTheme="minorHAnsi" w:cstheme="minorHAnsi"/>
          <w:color w:val="000000"/>
        </w:rPr>
      </w:pPr>
      <w:r w:rsidRPr="00F971E7">
        <w:rPr>
          <w:rFonts w:asciiTheme="minorHAnsi" w:hAnsiTheme="minorHAnsi" w:cstheme="minorHAnsi"/>
          <w:color w:val="000000"/>
        </w:rPr>
        <w:t xml:space="preserve">in order to be in a position to know whether there is a real and immediate risk to the life of a victim of domestic violence [relevant to the </w:t>
      </w:r>
      <w:r w:rsidRPr="00F971E7">
        <w:rPr>
          <w:rFonts w:asciiTheme="minorHAnsi" w:hAnsiTheme="minorHAnsi" w:cstheme="minorHAnsi"/>
          <w:i/>
          <w:iCs/>
          <w:color w:val="000000"/>
        </w:rPr>
        <w:t>Osman</w:t>
      </w:r>
      <w:r w:rsidRPr="00F971E7">
        <w:rPr>
          <w:rFonts w:asciiTheme="minorHAnsi" w:hAnsiTheme="minorHAnsi" w:cstheme="minorHAnsi"/>
          <w:color w:val="000000"/>
        </w:rPr>
        <w:t xml:space="preserve"> duty]… the authorities are </w:t>
      </w:r>
      <w:r w:rsidRPr="00F971E7">
        <w:rPr>
          <w:rFonts w:asciiTheme="minorHAnsi" w:hAnsiTheme="minorHAnsi" w:cstheme="minorHAnsi"/>
          <w:color w:val="000000"/>
        </w:rPr>
        <w:lastRenderedPageBreak/>
        <w:t>under a duty to carry out a lethality risk assessment which is autonomous [</w:t>
      </w:r>
      <w:r w:rsidR="00C67EEE">
        <w:rPr>
          <w:rFonts w:asciiTheme="minorHAnsi" w:hAnsiTheme="minorHAnsi" w:cstheme="minorHAnsi"/>
          <w:color w:val="000000"/>
        </w:rPr>
        <w:t>i.e.</w:t>
      </w:r>
      <w:r w:rsidR="000B1510" w:rsidRPr="00F971E7">
        <w:rPr>
          <w:rFonts w:asciiTheme="minorHAnsi" w:hAnsiTheme="minorHAnsi" w:cstheme="minorHAnsi"/>
          <w:color w:val="000000"/>
        </w:rPr>
        <w:t xml:space="preserve"> </w:t>
      </w:r>
      <w:r w:rsidRPr="00F971E7">
        <w:rPr>
          <w:rFonts w:asciiTheme="minorHAnsi" w:hAnsiTheme="minorHAnsi" w:cstheme="minorHAnsi"/>
          <w:color w:val="000000"/>
        </w:rPr>
        <w:t>objective], proactive and comprehensive.</w:t>
      </w:r>
      <w:r w:rsidR="003D1C0C">
        <w:rPr>
          <w:rStyle w:val="FootnoteReference"/>
          <w:rFonts w:asciiTheme="minorHAnsi" w:hAnsiTheme="minorHAnsi" w:cstheme="minorHAnsi"/>
          <w:color w:val="000000"/>
        </w:rPr>
        <w:footnoteReference w:id="25"/>
      </w:r>
      <w:r w:rsidRPr="00F971E7">
        <w:rPr>
          <w:rFonts w:asciiTheme="minorHAnsi" w:hAnsiTheme="minorHAnsi" w:cstheme="minorHAnsi"/>
          <w:color w:val="000000"/>
        </w:rPr>
        <w:t xml:space="preserve"> </w:t>
      </w:r>
    </w:p>
    <w:p w14:paraId="5F35928C" w14:textId="5F5E9ACF" w:rsidR="00B650A9" w:rsidRPr="00914BE6" w:rsidRDefault="00D03959" w:rsidP="0005134A">
      <w:pPr>
        <w:jc w:val="both"/>
        <w:rPr>
          <w:rFonts w:asciiTheme="minorHAnsi" w:hAnsiTheme="minorHAnsi" w:cstheme="minorHAnsi"/>
          <w:color w:val="000000"/>
        </w:rPr>
      </w:pPr>
      <w:r>
        <w:rPr>
          <w:rFonts w:asciiTheme="minorHAnsi" w:hAnsiTheme="minorHAnsi" w:cstheme="minorHAnsi"/>
          <w:color w:val="000000"/>
        </w:rPr>
        <w:t>In January 2022</w:t>
      </w:r>
      <w:r w:rsidR="00B650A9" w:rsidRPr="00F971E7">
        <w:rPr>
          <w:rFonts w:asciiTheme="minorHAnsi" w:hAnsiTheme="minorHAnsi" w:cstheme="minorHAnsi"/>
          <w:color w:val="000000"/>
        </w:rPr>
        <w:t xml:space="preserve"> the College of Policing rejected the need for any substantial revisions and standardisations to the most commonly-used checklist of risk factors used by police forces in England and Wales to screen victims for different degrees of personal risks – finding “</w:t>
      </w:r>
      <w:r w:rsidR="00B650A9" w:rsidRPr="00F971E7">
        <w:rPr>
          <w:rFonts w:asciiTheme="minorHAnsi" w:hAnsiTheme="minorHAnsi" w:cstheme="minorHAnsi"/>
          <w:color w:val="000000"/>
          <w:spacing w:val="3"/>
        </w:rPr>
        <w:t>no research or evaluation to support the adoption of any one particular risk assessment tool over another”</w:t>
      </w:r>
      <w:r>
        <w:rPr>
          <w:rFonts w:asciiTheme="minorHAnsi" w:hAnsiTheme="minorHAnsi" w:cstheme="minorHAnsi"/>
          <w:color w:val="000000"/>
          <w:spacing w:val="3"/>
        </w:rPr>
        <w:t>.</w:t>
      </w:r>
      <w:r w:rsidR="00B650A9" w:rsidRPr="00F971E7">
        <w:rPr>
          <w:rStyle w:val="FootnoteReference"/>
          <w:rFonts w:asciiTheme="minorHAnsi" w:hAnsiTheme="minorHAnsi" w:cstheme="minorHAnsi"/>
          <w:color w:val="000000"/>
        </w:rPr>
        <w:footnoteReference w:id="26"/>
      </w:r>
      <w:r w:rsidR="00B650A9" w:rsidRPr="00F971E7">
        <w:rPr>
          <w:rFonts w:asciiTheme="minorHAnsi" w:hAnsiTheme="minorHAnsi" w:cstheme="minorHAnsi"/>
          <w:color w:val="000000"/>
        </w:rPr>
        <w:t xml:space="preserve"> This policy position – very much not an effort to develop a brand-new risk assessment model – is therefore a minimalist response to a recommendation on the reform of police risk assessment practices </w:t>
      </w:r>
      <w:r w:rsidR="00DB206A" w:rsidRPr="00F971E7">
        <w:rPr>
          <w:rFonts w:asciiTheme="minorHAnsi" w:hAnsiTheme="minorHAnsi" w:cstheme="minorHAnsi"/>
          <w:color w:val="000000"/>
        </w:rPr>
        <w:t xml:space="preserve">as </w:t>
      </w:r>
      <w:r w:rsidR="00B650A9" w:rsidRPr="00F971E7">
        <w:rPr>
          <w:rFonts w:asciiTheme="minorHAnsi" w:hAnsiTheme="minorHAnsi" w:cstheme="minorHAnsi"/>
          <w:color w:val="000000"/>
        </w:rPr>
        <w:t>made by HMICFRS</w:t>
      </w:r>
      <w:r w:rsidR="006C1002">
        <w:rPr>
          <w:rFonts w:asciiTheme="minorHAnsi" w:hAnsiTheme="minorHAnsi" w:cstheme="minorHAnsi"/>
          <w:color w:val="000000"/>
        </w:rPr>
        <w:t>.</w:t>
      </w:r>
      <w:r w:rsidR="00B650A9" w:rsidRPr="00F971E7">
        <w:rPr>
          <w:rStyle w:val="FootnoteReference"/>
          <w:rFonts w:asciiTheme="minorHAnsi" w:hAnsiTheme="minorHAnsi" w:cstheme="minorHAnsi"/>
          <w:color w:val="000000"/>
        </w:rPr>
        <w:footnoteReference w:id="27"/>
      </w:r>
    </w:p>
    <w:p w14:paraId="2543FEB2" w14:textId="5DB86894" w:rsidR="00B650A9" w:rsidRPr="00F971E7" w:rsidRDefault="00B650A9" w:rsidP="00702F50">
      <w:pPr>
        <w:jc w:val="both"/>
        <w:rPr>
          <w:rFonts w:asciiTheme="minorHAnsi" w:hAnsiTheme="minorHAnsi" w:cstheme="minorHAnsi"/>
        </w:rPr>
      </w:pPr>
      <w:r w:rsidRPr="00F971E7">
        <w:rPr>
          <w:rFonts w:asciiTheme="minorHAnsi" w:hAnsiTheme="minorHAnsi" w:cstheme="minorHAnsi"/>
        </w:rPr>
        <w:t xml:space="preserve">Meanwhile, under Article 3 ECHR, if the </w:t>
      </w:r>
      <w:r w:rsidR="00DB206A" w:rsidRPr="00F971E7">
        <w:rPr>
          <w:rFonts w:asciiTheme="minorHAnsi" w:hAnsiTheme="minorHAnsi" w:cstheme="minorHAnsi"/>
        </w:rPr>
        <w:t xml:space="preserve">risk of </w:t>
      </w:r>
      <w:r w:rsidRPr="00F971E7">
        <w:rPr>
          <w:rFonts w:asciiTheme="minorHAnsi" w:hAnsiTheme="minorHAnsi" w:cstheme="minorHAnsi"/>
        </w:rPr>
        <w:t xml:space="preserve">harm </w:t>
      </w:r>
      <w:r w:rsidR="00065E37">
        <w:rPr>
          <w:rFonts w:asciiTheme="minorHAnsi" w:hAnsiTheme="minorHAnsi" w:cstheme="minorHAnsi"/>
        </w:rPr>
        <w:t>in a relationship i</w:t>
      </w:r>
      <w:r w:rsidRPr="00F971E7">
        <w:rPr>
          <w:rFonts w:asciiTheme="minorHAnsi" w:hAnsiTheme="minorHAnsi" w:cstheme="minorHAnsi"/>
        </w:rPr>
        <w:t xml:space="preserve">s sufficiently serious, </w:t>
      </w:r>
      <w:r w:rsidR="001E4F55" w:rsidRPr="00F971E7">
        <w:rPr>
          <w:rFonts w:asciiTheme="minorHAnsi" w:hAnsiTheme="minorHAnsi" w:cstheme="minorHAnsi"/>
        </w:rPr>
        <w:t xml:space="preserve">albeit </w:t>
      </w:r>
      <w:r w:rsidR="001B60DA" w:rsidRPr="00F971E7">
        <w:rPr>
          <w:rFonts w:asciiTheme="minorHAnsi" w:hAnsiTheme="minorHAnsi" w:cstheme="minorHAnsi"/>
        </w:rPr>
        <w:t xml:space="preserve">to a </w:t>
      </w:r>
      <w:r w:rsidR="001E4F55" w:rsidRPr="00F971E7">
        <w:rPr>
          <w:rFonts w:asciiTheme="minorHAnsi" w:hAnsiTheme="minorHAnsi" w:cstheme="minorHAnsi"/>
        </w:rPr>
        <w:t>non-lethal</w:t>
      </w:r>
      <w:r w:rsidR="001B60DA" w:rsidRPr="00F971E7">
        <w:rPr>
          <w:rFonts w:asciiTheme="minorHAnsi" w:hAnsiTheme="minorHAnsi" w:cstheme="minorHAnsi"/>
        </w:rPr>
        <w:t xml:space="preserve"> extent, </w:t>
      </w:r>
      <w:r w:rsidR="00065E37">
        <w:rPr>
          <w:rFonts w:asciiTheme="minorHAnsi" w:hAnsiTheme="minorHAnsi" w:cstheme="minorHAnsi"/>
        </w:rPr>
        <w:t>then</w:t>
      </w:r>
      <w:r w:rsidR="001E4F55" w:rsidRPr="00F971E7">
        <w:rPr>
          <w:rFonts w:asciiTheme="minorHAnsi" w:hAnsiTheme="minorHAnsi" w:cstheme="minorHAnsi"/>
        </w:rPr>
        <w:t xml:space="preserve"> </w:t>
      </w:r>
      <w:r w:rsidRPr="00F971E7">
        <w:rPr>
          <w:rFonts w:asciiTheme="minorHAnsi" w:hAnsiTheme="minorHAnsi" w:cstheme="minorHAnsi"/>
        </w:rPr>
        <w:t xml:space="preserve">according to </w:t>
      </w:r>
      <w:proofErr w:type="spellStart"/>
      <w:r w:rsidRPr="00F971E7">
        <w:rPr>
          <w:rFonts w:asciiTheme="minorHAnsi" w:hAnsiTheme="minorHAnsi" w:cstheme="minorHAnsi"/>
          <w:i/>
          <w:iCs/>
        </w:rPr>
        <w:t>Opuz</w:t>
      </w:r>
      <w:proofErr w:type="spellEnd"/>
      <w:r w:rsidRPr="00F971E7">
        <w:rPr>
          <w:rFonts w:asciiTheme="minorHAnsi" w:hAnsiTheme="minorHAnsi" w:cstheme="minorHAnsi"/>
          <w:i/>
          <w:iCs/>
        </w:rPr>
        <w:t xml:space="preserve"> v Turkey</w:t>
      </w:r>
      <w:r w:rsidR="004D78E0">
        <w:rPr>
          <w:rFonts w:asciiTheme="minorHAnsi" w:hAnsiTheme="minorHAnsi" w:cstheme="minorHAnsi"/>
        </w:rPr>
        <w:t>,</w:t>
      </w:r>
      <w:r w:rsidR="007746D8">
        <w:rPr>
          <w:rStyle w:val="FootnoteReference"/>
          <w:rFonts w:asciiTheme="minorHAnsi" w:hAnsiTheme="minorHAnsi" w:cstheme="minorHAnsi"/>
          <w:i/>
          <w:iCs/>
        </w:rPr>
        <w:footnoteReference w:id="28"/>
      </w:r>
      <w:r w:rsidRPr="00F971E7">
        <w:rPr>
          <w:rFonts w:asciiTheme="minorHAnsi" w:hAnsiTheme="minorHAnsi" w:cstheme="minorHAnsi"/>
          <w:i/>
          <w:iCs/>
        </w:rPr>
        <w:t xml:space="preserve"> </w:t>
      </w:r>
      <w:r w:rsidR="00166907" w:rsidRPr="00F971E7">
        <w:rPr>
          <w:rFonts w:asciiTheme="minorHAnsi" w:hAnsiTheme="minorHAnsi" w:cstheme="minorHAnsi"/>
        </w:rPr>
        <w:t xml:space="preserve">domestic </w:t>
      </w:r>
      <w:r w:rsidR="001E4F55" w:rsidRPr="00F971E7">
        <w:rPr>
          <w:rFonts w:asciiTheme="minorHAnsi" w:hAnsiTheme="minorHAnsi" w:cstheme="minorHAnsi"/>
        </w:rPr>
        <w:t xml:space="preserve">courts </w:t>
      </w:r>
      <w:r w:rsidRPr="00F971E7">
        <w:rPr>
          <w:rFonts w:asciiTheme="minorHAnsi" w:hAnsiTheme="minorHAnsi" w:cstheme="minorHAnsi"/>
        </w:rPr>
        <w:t>"must next determine whether the national authorities have taken all reasonable measures to prevent the recurrence of violent attacks against the applicant’s physical integrity</w:t>
      </w:r>
      <w:r w:rsidR="004D78E0">
        <w:rPr>
          <w:rFonts w:asciiTheme="minorHAnsi" w:hAnsiTheme="minorHAnsi" w:cstheme="minorHAnsi"/>
        </w:rPr>
        <w:t>”</w:t>
      </w:r>
      <w:r w:rsidRPr="00F971E7">
        <w:rPr>
          <w:rFonts w:asciiTheme="minorHAnsi" w:hAnsiTheme="minorHAnsi" w:cstheme="minorHAnsi"/>
        </w:rPr>
        <w:t>.</w:t>
      </w:r>
      <w:r w:rsidR="004D78E0">
        <w:rPr>
          <w:rStyle w:val="FootnoteReference"/>
          <w:rFonts w:asciiTheme="minorHAnsi" w:hAnsiTheme="minorHAnsi" w:cstheme="minorHAnsi"/>
        </w:rPr>
        <w:footnoteReference w:id="29"/>
      </w:r>
      <w:r w:rsidRPr="00F971E7">
        <w:rPr>
          <w:rFonts w:asciiTheme="minorHAnsi" w:hAnsiTheme="minorHAnsi" w:cstheme="minorHAnsi"/>
        </w:rPr>
        <w:t xml:space="preserve"> </w:t>
      </w:r>
      <w:r w:rsidR="00AB6D1F" w:rsidRPr="00F971E7">
        <w:rPr>
          <w:rFonts w:asciiTheme="minorHAnsi" w:hAnsiTheme="minorHAnsi" w:cstheme="minorHAnsi"/>
        </w:rPr>
        <w:t xml:space="preserve">Furthermore, </w:t>
      </w:r>
      <w:r w:rsidR="00166907" w:rsidRPr="00F971E7">
        <w:rPr>
          <w:rFonts w:asciiTheme="minorHAnsi" w:hAnsiTheme="minorHAnsi" w:cstheme="minorHAnsi"/>
        </w:rPr>
        <w:t xml:space="preserve">under Article 8 ECHR, and </w:t>
      </w:r>
      <w:r w:rsidR="00AB6D1F" w:rsidRPr="00F971E7">
        <w:rPr>
          <w:rFonts w:asciiTheme="minorHAnsi" w:hAnsiTheme="minorHAnsi" w:cstheme="minorHAnsi"/>
        </w:rPr>
        <w:t>i</w:t>
      </w:r>
      <w:r w:rsidRPr="00F971E7">
        <w:rPr>
          <w:rFonts w:asciiTheme="minorHAnsi" w:hAnsiTheme="minorHAnsi" w:cstheme="minorHAnsi"/>
        </w:rPr>
        <w:t xml:space="preserve">n the lower tier of this layered approach of duties under the ECHR, the Strasbourg Court observed in </w:t>
      </w:r>
      <w:r w:rsidRPr="00F971E7">
        <w:rPr>
          <w:rFonts w:asciiTheme="minorHAnsi" w:hAnsiTheme="minorHAnsi" w:cstheme="minorHAnsi"/>
          <w:i/>
          <w:iCs/>
        </w:rPr>
        <w:t>A v Croatia</w:t>
      </w:r>
      <w:r w:rsidR="00D76F04" w:rsidRPr="00D76F04">
        <w:rPr>
          <w:rStyle w:val="FootnoteReference"/>
          <w:rFonts w:asciiTheme="minorHAnsi" w:hAnsiTheme="minorHAnsi" w:cstheme="minorHAnsi"/>
        </w:rPr>
        <w:footnoteReference w:id="30"/>
      </w:r>
      <w:r w:rsidRPr="00F971E7">
        <w:rPr>
          <w:rFonts w:asciiTheme="minorHAnsi" w:hAnsiTheme="minorHAnsi" w:cstheme="minorHAnsi"/>
          <w:i/>
          <w:iCs/>
        </w:rPr>
        <w:t xml:space="preserve"> </w:t>
      </w:r>
      <w:r w:rsidRPr="00F971E7">
        <w:rPr>
          <w:rFonts w:asciiTheme="minorHAnsi" w:hAnsiTheme="minorHAnsi" w:cstheme="minorHAnsi"/>
        </w:rPr>
        <w:t>that</w:t>
      </w:r>
      <w:r w:rsidRPr="00F971E7">
        <w:rPr>
          <w:rFonts w:asciiTheme="minorHAnsi" w:hAnsiTheme="minorHAnsi" w:cstheme="minorHAnsi"/>
          <w:b/>
          <w:bCs/>
        </w:rPr>
        <w:t xml:space="preserve"> </w:t>
      </w:r>
      <w:r w:rsidRPr="00F971E7">
        <w:rPr>
          <w:rFonts w:asciiTheme="minorHAnsi" w:hAnsiTheme="minorHAnsi" w:cstheme="minorHAnsi"/>
        </w:rPr>
        <w:t>"[u]</w:t>
      </w:r>
      <w:proofErr w:type="spellStart"/>
      <w:r w:rsidRPr="00F971E7">
        <w:rPr>
          <w:rFonts w:asciiTheme="minorHAnsi" w:hAnsiTheme="minorHAnsi" w:cstheme="minorHAnsi"/>
        </w:rPr>
        <w:t>nder</w:t>
      </w:r>
      <w:proofErr w:type="spellEnd"/>
      <w:r w:rsidRPr="00F971E7">
        <w:rPr>
          <w:rFonts w:asciiTheme="minorHAnsi" w:hAnsiTheme="minorHAnsi" w:cstheme="minorHAnsi"/>
        </w:rPr>
        <w:t xml:space="preserve"> Article 8 States have a duty to protect the physical and moral integrity of an individual from other persons</w:t>
      </w:r>
      <w:r w:rsidR="00132850" w:rsidRPr="00F971E7">
        <w:rPr>
          <w:rFonts w:asciiTheme="minorHAnsi" w:hAnsiTheme="minorHAnsi" w:cstheme="minorHAnsi"/>
        </w:rPr>
        <w:t xml:space="preserve">… [and] </w:t>
      </w:r>
      <w:r w:rsidRPr="00F971E7">
        <w:rPr>
          <w:rFonts w:asciiTheme="minorHAnsi" w:hAnsiTheme="minorHAnsi" w:cstheme="minorHAnsi"/>
        </w:rPr>
        <w:t>they are to maintain and apply in practice an adequate legal framework affording protection against acts of violence by private individuals".</w:t>
      </w:r>
      <w:r w:rsidR="00D76F04">
        <w:rPr>
          <w:rStyle w:val="FootnoteReference"/>
          <w:rFonts w:asciiTheme="minorHAnsi" w:hAnsiTheme="minorHAnsi" w:cstheme="minorHAnsi"/>
        </w:rPr>
        <w:footnoteReference w:id="31"/>
      </w:r>
      <w:r w:rsidR="007C7A3F" w:rsidRPr="00F971E7">
        <w:rPr>
          <w:rFonts w:asciiTheme="minorHAnsi" w:hAnsiTheme="minorHAnsi" w:cstheme="minorHAnsi"/>
        </w:rPr>
        <w:t xml:space="preserve"> This </w:t>
      </w:r>
      <w:r w:rsidR="00132850" w:rsidRPr="00F971E7">
        <w:rPr>
          <w:rFonts w:asciiTheme="minorHAnsi" w:hAnsiTheme="minorHAnsi" w:cstheme="minorHAnsi"/>
        </w:rPr>
        <w:t>language</w:t>
      </w:r>
      <w:r w:rsidR="007C7A3F" w:rsidRPr="00F971E7">
        <w:rPr>
          <w:rFonts w:asciiTheme="minorHAnsi" w:hAnsiTheme="minorHAnsi" w:cstheme="minorHAnsi"/>
        </w:rPr>
        <w:t xml:space="preserve"> of </w:t>
      </w:r>
      <w:r w:rsidR="008C0C60" w:rsidRPr="00F971E7">
        <w:rPr>
          <w:rFonts w:asciiTheme="minorHAnsi" w:hAnsiTheme="minorHAnsi" w:cstheme="minorHAnsi"/>
        </w:rPr>
        <w:t xml:space="preserve">the prevention of </w:t>
      </w:r>
      <w:r w:rsidR="008F7A0C">
        <w:rPr>
          <w:rFonts w:asciiTheme="minorHAnsi" w:hAnsiTheme="minorHAnsi" w:cstheme="minorHAnsi"/>
        </w:rPr>
        <w:t xml:space="preserve">the </w:t>
      </w:r>
      <w:r w:rsidR="008C0C60" w:rsidRPr="00F971E7">
        <w:rPr>
          <w:rFonts w:asciiTheme="minorHAnsi" w:hAnsiTheme="minorHAnsi" w:cstheme="minorHAnsi"/>
        </w:rPr>
        <w:t xml:space="preserve">recurrence of violent attacks against victims, </w:t>
      </w:r>
      <w:r w:rsidR="00D52E84" w:rsidRPr="00F971E7">
        <w:rPr>
          <w:rFonts w:asciiTheme="minorHAnsi" w:hAnsiTheme="minorHAnsi" w:cstheme="minorHAnsi"/>
        </w:rPr>
        <w:t>in a system that should be maintained and applied in practice, raises the issue of non-compliance with the ECHR</w:t>
      </w:r>
      <w:r w:rsidR="00CB539C">
        <w:rPr>
          <w:rFonts w:asciiTheme="minorHAnsi" w:hAnsiTheme="minorHAnsi" w:cstheme="minorHAnsi"/>
        </w:rPr>
        <w:t>,</w:t>
      </w:r>
      <w:r w:rsidR="004F79B6" w:rsidRPr="00F971E7">
        <w:rPr>
          <w:rFonts w:asciiTheme="minorHAnsi" w:hAnsiTheme="minorHAnsi" w:cstheme="minorHAnsi"/>
        </w:rPr>
        <w:t xml:space="preserve"> given </w:t>
      </w:r>
      <w:r w:rsidR="00D52E84" w:rsidRPr="00F971E7">
        <w:rPr>
          <w:rFonts w:asciiTheme="minorHAnsi" w:hAnsiTheme="minorHAnsi" w:cstheme="minorHAnsi"/>
        </w:rPr>
        <w:t>the drastic fall in domestic abuse-flagged prosecutions in England and Wales in the last 4-5 years</w:t>
      </w:r>
      <w:r w:rsidR="00CB539C">
        <w:rPr>
          <w:rFonts w:asciiTheme="minorHAnsi" w:hAnsiTheme="minorHAnsi" w:cstheme="minorHAnsi"/>
        </w:rPr>
        <w:t>.</w:t>
      </w:r>
      <w:r w:rsidR="004217E1" w:rsidRPr="00F971E7">
        <w:rPr>
          <w:rFonts w:asciiTheme="minorHAnsi" w:hAnsiTheme="minorHAnsi" w:cstheme="minorHAnsi"/>
        </w:rPr>
        <w:t xml:space="preserve"> </w:t>
      </w:r>
      <w:r w:rsidR="00CB539C">
        <w:rPr>
          <w:rFonts w:asciiTheme="minorHAnsi" w:hAnsiTheme="minorHAnsi" w:cstheme="minorHAnsi"/>
        </w:rPr>
        <w:t>G</w:t>
      </w:r>
      <w:r w:rsidR="004217E1" w:rsidRPr="00F971E7">
        <w:rPr>
          <w:rFonts w:asciiTheme="minorHAnsi" w:hAnsiTheme="minorHAnsi" w:cstheme="minorHAnsi"/>
        </w:rPr>
        <w:t xml:space="preserve">iven the uncertainty as to whether DVDS disclosure are </w:t>
      </w:r>
      <w:r w:rsidR="003A73A1" w:rsidRPr="00F971E7">
        <w:rPr>
          <w:rFonts w:asciiTheme="minorHAnsi" w:hAnsiTheme="minorHAnsi" w:cstheme="minorHAnsi"/>
        </w:rPr>
        <w:t>efficacious, no explosion in terms of numbers of DVDS applications (or disclosures) will likely satisfy</w:t>
      </w:r>
      <w:r w:rsidR="00CB539C">
        <w:rPr>
          <w:rFonts w:asciiTheme="minorHAnsi" w:hAnsiTheme="minorHAnsi" w:cstheme="minorHAnsi"/>
        </w:rPr>
        <w:t xml:space="preserve"> th</w:t>
      </w:r>
      <w:r w:rsidR="00C73DAE">
        <w:rPr>
          <w:rFonts w:asciiTheme="minorHAnsi" w:hAnsiTheme="minorHAnsi" w:cstheme="minorHAnsi"/>
        </w:rPr>
        <w:t>e State’s duties</w:t>
      </w:r>
      <w:r w:rsidR="003A73A1" w:rsidRPr="00F971E7">
        <w:rPr>
          <w:rFonts w:asciiTheme="minorHAnsi" w:hAnsiTheme="minorHAnsi" w:cstheme="minorHAnsi"/>
        </w:rPr>
        <w:t xml:space="preserve"> in public protection terms.</w:t>
      </w:r>
    </w:p>
    <w:p w14:paraId="3C8EB37A" w14:textId="625A2559" w:rsidR="00B650A9" w:rsidRPr="00F971E7" w:rsidRDefault="00B650A9" w:rsidP="00702F50">
      <w:pPr>
        <w:jc w:val="both"/>
        <w:rPr>
          <w:rFonts w:asciiTheme="minorHAnsi" w:hAnsiTheme="minorHAnsi" w:cstheme="minorHAnsi"/>
        </w:rPr>
      </w:pPr>
      <w:r w:rsidRPr="00F971E7">
        <w:rPr>
          <w:rFonts w:asciiTheme="minorHAnsi" w:hAnsiTheme="minorHAnsi" w:cstheme="minorHAnsi"/>
        </w:rPr>
        <w:t xml:space="preserve">An example of </w:t>
      </w:r>
      <w:r w:rsidR="004217E1" w:rsidRPr="00F971E7">
        <w:rPr>
          <w:rFonts w:asciiTheme="minorHAnsi" w:hAnsiTheme="minorHAnsi" w:cstheme="minorHAnsi"/>
        </w:rPr>
        <w:t>the</w:t>
      </w:r>
      <w:r w:rsidRPr="00F971E7">
        <w:rPr>
          <w:rFonts w:asciiTheme="minorHAnsi" w:hAnsiTheme="minorHAnsi" w:cstheme="minorHAnsi"/>
        </w:rPr>
        <w:t xml:space="preserve"> layered approach by the Strasbourg Court in setting these standards for positive obligations under the ECHR can be seen in </w:t>
      </w:r>
      <w:proofErr w:type="spellStart"/>
      <w:r w:rsidRPr="00F971E7">
        <w:rPr>
          <w:rFonts w:asciiTheme="minorHAnsi" w:hAnsiTheme="minorHAnsi" w:cstheme="minorHAnsi"/>
          <w:i/>
          <w:iCs/>
        </w:rPr>
        <w:t>Talpis</w:t>
      </w:r>
      <w:proofErr w:type="spellEnd"/>
      <w:r w:rsidRPr="00F971E7">
        <w:rPr>
          <w:rFonts w:asciiTheme="minorHAnsi" w:hAnsiTheme="minorHAnsi" w:cstheme="minorHAnsi"/>
          <w:i/>
          <w:iCs/>
        </w:rPr>
        <w:t xml:space="preserve"> v Italy</w:t>
      </w:r>
      <w:r w:rsidRPr="00F971E7">
        <w:rPr>
          <w:rFonts w:asciiTheme="minorHAnsi" w:hAnsiTheme="minorHAnsi" w:cstheme="minorHAnsi"/>
        </w:rPr>
        <w:t>.</w:t>
      </w:r>
      <w:r w:rsidR="0013659E">
        <w:rPr>
          <w:rStyle w:val="FootnoteReference"/>
          <w:rFonts w:asciiTheme="minorHAnsi" w:hAnsiTheme="minorHAnsi" w:cstheme="minorHAnsi"/>
        </w:rPr>
        <w:footnoteReference w:id="32"/>
      </w:r>
      <w:r w:rsidRPr="00F971E7">
        <w:rPr>
          <w:rFonts w:asciiTheme="minorHAnsi" w:hAnsiTheme="minorHAnsi" w:cstheme="minorHAnsi"/>
        </w:rPr>
        <w:t xml:space="preserve"> A woman (</w:t>
      </w:r>
      <w:proofErr w:type="spellStart"/>
      <w:r w:rsidRPr="00F971E7">
        <w:rPr>
          <w:rFonts w:asciiTheme="minorHAnsi" w:hAnsiTheme="minorHAnsi" w:cstheme="minorHAnsi"/>
        </w:rPr>
        <w:t>Talpis</w:t>
      </w:r>
      <w:proofErr w:type="spellEnd"/>
      <w:r w:rsidRPr="00F971E7">
        <w:rPr>
          <w:rFonts w:asciiTheme="minorHAnsi" w:hAnsiTheme="minorHAnsi" w:cstheme="minorHAnsi"/>
        </w:rPr>
        <w:t xml:space="preserve">) was stabbed, and her son stabbed to death, by her husband (AT).  </w:t>
      </w:r>
      <w:r w:rsidR="00984F15">
        <w:rPr>
          <w:rFonts w:asciiTheme="minorHAnsi" w:hAnsiTheme="minorHAnsi" w:cstheme="minorHAnsi"/>
        </w:rPr>
        <w:t>A</w:t>
      </w:r>
      <w:r w:rsidR="00984F15" w:rsidRPr="00F971E7">
        <w:rPr>
          <w:rFonts w:asciiTheme="minorHAnsi" w:hAnsiTheme="minorHAnsi" w:cstheme="minorHAnsi"/>
        </w:rPr>
        <w:t xml:space="preserve">t the time of the murder and attempted murder </w:t>
      </w:r>
      <w:r w:rsidRPr="00F971E7">
        <w:rPr>
          <w:rFonts w:asciiTheme="minorHAnsi" w:hAnsiTheme="minorHAnsi" w:cstheme="minorHAnsi"/>
        </w:rPr>
        <w:t>AT</w:t>
      </w:r>
      <w:r w:rsidR="0038550B" w:rsidRPr="00F971E7">
        <w:rPr>
          <w:rFonts w:asciiTheme="minorHAnsi" w:hAnsiTheme="minorHAnsi" w:cstheme="minorHAnsi"/>
        </w:rPr>
        <w:t xml:space="preserve"> already</w:t>
      </w:r>
      <w:r w:rsidR="00984F15">
        <w:rPr>
          <w:rFonts w:asciiTheme="minorHAnsi" w:hAnsiTheme="minorHAnsi" w:cstheme="minorHAnsi"/>
        </w:rPr>
        <w:t xml:space="preserve"> </w:t>
      </w:r>
      <w:r w:rsidRPr="00F971E7">
        <w:rPr>
          <w:rFonts w:asciiTheme="minorHAnsi" w:hAnsiTheme="minorHAnsi" w:cstheme="minorHAnsi"/>
        </w:rPr>
        <w:t xml:space="preserve">had a criminal record for domestic violence against </w:t>
      </w:r>
      <w:proofErr w:type="spellStart"/>
      <w:r w:rsidRPr="00F971E7">
        <w:rPr>
          <w:rFonts w:asciiTheme="minorHAnsi" w:hAnsiTheme="minorHAnsi" w:cstheme="minorHAnsi"/>
        </w:rPr>
        <w:t>Talpis</w:t>
      </w:r>
      <w:proofErr w:type="spellEnd"/>
      <w:r w:rsidRPr="00F971E7">
        <w:rPr>
          <w:rFonts w:asciiTheme="minorHAnsi" w:hAnsiTheme="minorHAnsi" w:cstheme="minorHAnsi"/>
        </w:rPr>
        <w:t xml:space="preserve">, including a long overdue prosecution for domestic violence reported by </w:t>
      </w:r>
      <w:r w:rsidR="00984F15">
        <w:rPr>
          <w:rFonts w:asciiTheme="minorHAnsi" w:hAnsiTheme="minorHAnsi" w:cstheme="minorHAnsi"/>
        </w:rPr>
        <w:t>her</w:t>
      </w:r>
      <w:r w:rsidRPr="00F971E7">
        <w:rPr>
          <w:rFonts w:asciiTheme="minorHAnsi" w:hAnsiTheme="minorHAnsi" w:cstheme="minorHAnsi"/>
        </w:rPr>
        <w:t xml:space="preserve">. Police officers had been separately called out to </w:t>
      </w:r>
      <w:proofErr w:type="spellStart"/>
      <w:r w:rsidR="00B85668">
        <w:rPr>
          <w:rFonts w:asciiTheme="minorHAnsi" w:hAnsiTheme="minorHAnsi" w:cstheme="minorHAnsi"/>
        </w:rPr>
        <w:t>Talpis'</w:t>
      </w:r>
      <w:r w:rsidR="006544CC">
        <w:rPr>
          <w:rFonts w:asciiTheme="minorHAnsi" w:hAnsiTheme="minorHAnsi" w:cstheme="minorHAnsi"/>
        </w:rPr>
        <w:t>s</w:t>
      </w:r>
      <w:proofErr w:type="spellEnd"/>
      <w:r w:rsidR="00B85668" w:rsidRPr="00F971E7">
        <w:rPr>
          <w:rFonts w:asciiTheme="minorHAnsi" w:hAnsiTheme="minorHAnsi" w:cstheme="minorHAnsi"/>
        </w:rPr>
        <w:t xml:space="preserve"> </w:t>
      </w:r>
      <w:r w:rsidRPr="00F971E7">
        <w:rPr>
          <w:rFonts w:asciiTheme="minorHAnsi" w:hAnsiTheme="minorHAnsi" w:cstheme="minorHAnsi"/>
        </w:rPr>
        <w:t xml:space="preserve">home earlier on the night of the fatal attack, where there was evidence of domestic abuse (criminal damage), and to a report of AT </w:t>
      </w:r>
      <w:r w:rsidR="00B85668">
        <w:rPr>
          <w:rFonts w:asciiTheme="minorHAnsi" w:hAnsiTheme="minorHAnsi" w:cstheme="minorHAnsi"/>
        </w:rPr>
        <w:t xml:space="preserve">being </w:t>
      </w:r>
      <w:r w:rsidRPr="00F971E7">
        <w:rPr>
          <w:rFonts w:asciiTheme="minorHAnsi" w:hAnsiTheme="minorHAnsi" w:cstheme="minorHAnsi"/>
        </w:rPr>
        <w:t xml:space="preserve">drunk </w:t>
      </w:r>
      <w:r w:rsidRPr="00F971E7">
        <w:rPr>
          <w:rFonts w:asciiTheme="minorHAnsi" w:hAnsiTheme="minorHAnsi" w:cstheme="minorHAnsi"/>
        </w:rPr>
        <w:lastRenderedPageBreak/>
        <w:t xml:space="preserve">and disorderly in a public place. No action was taken against AT earlier that night, and no link was made between his history, and the earlier call-out to the </w:t>
      </w:r>
      <w:proofErr w:type="spellStart"/>
      <w:r w:rsidRPr="00F971E7">
        <w:rPr>
          <w:rFonts w:asciiTheme="minorHAnsi" w:hAnsiTheme="minorHAnsi" w:cstheme="minorHAnsi"/>
        </w:rPr>
        <w:t>Talpis</w:t>
      </w:r>
      <w:proofErr w:type="spellEnd"/>
      <w:r w:rsidRPr="00F971E7">
        <w:rPr>
          <w:rFonts w:asciiTheme="minorHAnsi" w:hAnsiTheme="minorHAnsi" w:cstheme="minorHAnsi"/>
        </w:rPr>
        <w:t xml:space="preserve"> home. It was possible for police officers to have looked up details of the pending prosecution of AT, and to have made a connection with reports of criminal damage at the </w:t>
      </w:r>
      <w:proofErr w:type="spellStart"/>
      <w:r w:rsidRPr="00F971E7">
        <w:rPr>
          <w:rFonts w:asciiTheme="minorHAnsi" w:hAnsiTheme="minorHAnsi" w:cstheme="minorHAnsi"/>
        </w:rPr>
        <w:t>Talpis</w:t>
      </w:r>
      <w:proofErr w:type="spellEnd"/>
      <w:r w:rsidRPr="00F971E7">
        <w:rPr>
          <w:rFonts w:asciiTheme="minorHAnsi" w:hAnsiTheme="minorHAnsi" w:cstheme="minorHAnsi"/>
        </w:rPr>
        <w:t xml:space="preserve"> home earlier that evening, and the drunken and aggressive state of AT. But this connection was not determined by </w:t>
      </w:r>
      <w:r w:rsidR="00322EAC">
        <w:rPr>
          <w:rFonts w:asciiTheme="minorHAnsi" w:hAnsiTheme="minorHAnsi" w:cstheme="minorHAnsi"/>
        </w:rPr>
        <w:t xml:space="preserve">the </w:t>
      </w:r>
      <w:r w:rsidRPr="00F971E7">
        <w:rPr>
          <w:rFonts w:asciiTheme="minorHAnsi" w:hAnsiTheme="minorHAnsi" w:cstheme="minorHAnsi"/>
        </w:rPr>
        <w:t xml:space="preserve">police officers present. And </w:t>
      </w:r>
      <w:r w:rsidR="00322EAC" w:rsidRPr="00F971E7">
        <w:rPr>
          <w:rFonts w:asciiTheme="minorHAnsi" w:hAnsiTheme="minorHAnsi" w:cstheme="minorHAnsi"/>
        </w:rPr>
        <w:t>so,</w:t>
      </w:r>
      <w:r w:rsidRPr="00F971E7">
        <w:rPr>
          <w:rFonts w:asciiTheme="minorHAnsi" w:hAnsiTheme="minorHAnsi" w:cstheme="minorHAnsi"/>
        </w:rPr>
        <w:t xml:space="preserve"> in </w:t>
      </w:r>
      <w:proofErr w:type="spellStart"/>
      <w:r w:rsidRPr="00F971E7">
        <w:rPr>
          <w:rFonts w:asciiTheme="minorHAnsi" w:hAnsiTheme="minorHAnsi" w:cstheme="minorHAnsi"/>
          <w:i/>
          <w:iCs/>
        </w:rPr>
        <w:t>Talpis</w:t>
      </w:r>
      <w:proofErr w:type="spellEnd"/>
      <w:r w:rsidRPr="00F971E7">
        <w:rPr>
          <w:rFonts w:asciiTheme="minorHAnsi" w:hAnsiTheme="minorHAnsi" w:cstheme="minorHAnsi"/>
        </w:rPr>
        <w:t>, a majority of the ECtHR found a violation of Articles 2, 3 and 14 ECHR (the latter being the right to non-discrimination</w:t>
      </w:r>
      <w:r w:rsidR="001C29C7" w:rsidRPr="00F971E7">
        <w:rPr>
          <w:rFonts w:asciiTheme="minorHAnsi" w:hAnsiTheme="minorHAnsi" w:cstheme="minorHAnsi"/>
        </w:rPr>
        <w:t xml:space="preserve"> – violated given the institutional </w:t>
      </w:r>
      <w:r w:rsidR="0053391A" w:rsidRPr="00F971E7">
        <w:rPr>
          <w:rFonts w:asciiTheme="minorHAnsi" w:hAnsiTheme="minorHAnsi" w:cstheme="minorHAnsi"/>
        </w:rPr>
        <w:t>misogyny</w:t>
      </w:r>
      <w:r w:rsidR="001C29C7" w:rsidRPr="00F971E7">
        <w:rPr>
          <w:rFonts w:asciiTheme="minorHAnsi" w:hAnsiTheme="minorHAnsi" w:cstheme="minorHAnsi"/>
        </w:rPr>
        <w:t xml:space="preserve"> that resulted in </w:t>
      </w:r>
      <w:r w:rsidR="0053391A" w:rsidRPr="00F971E7">
        <w:rPr>
          <w:rFonts w:asciiTheme="minorHAnsi" w:hAnsiTheme="minorHAnsi" w:cstheme="minorHAnsi"/>
        </w:rPr>
        <w:t>AT not being prosecuted or dealt with sufficiently quickly</w:t>
      </w:r>
      <w:r w:rsidRPr="00F971E7">
        <w:rPr>
          <w:rFonts w:asciiTheme="minorHAnsi" w:hAnsiTheme="minorHAnsi" w:cstheme="minorHAnsi"/>
        </w:rPr>
        <w:t>).</w:t>
      </w:r>
    </w:p>
    <w:p w14:paraId="7B0CD9B0" w14:textId="38DBFFA8" w:rsidR="005133AF" w:rsidRDefault="00B650A9" w:rsidP="00702F50">
      <w:pPr>
        <w:jc w:val="both"/>
        <w:rPr>
          <w:rFonts w:asciiTheme="minorHAnsi" w:hAnsiTheme="minorHAnsi" w:cstheme="minorHAnsi"/>
        </w:rPr>
      </w:pPr>
      <w:r w:rsidRPr="00F971E7">
        <w:rPr>
          <w:rFonts w:asciiTheme="minorHAnsi" w:hAnsiTheme="minorHAnsi" w:cstheme="minorHAnsi"/>
        </w:rPr>
        <w:t>On the importance of protecting the rights of potential victims over</w:t>
      </w:r>
      <w:r w:rsidR="008F6E03" w:rsidRPr="00F971E7">
        <w:rPr>
          <w:rFonts w:asciiTheme="minorHAnsi" w:hAnsiTheme="minorHAnsi" w:cstheme="minorHAnsi"/>
        </w:rPr>
        <w:t xml:space="preserve"> the corresponding rights of domestic abuse</w:t>
      </w:r>
      <w:r w:rsidRPr="00F971E7">
        <w:rPr>
          <w:rFonts w:asciiTheme="minorHAnsi" w:hAnsiTheme="minorHAnsi" w:cstheme="minorHAnsi"/>
        </w:rPr>
        <w:t xml:space="preserve"> perpetrators, the Strasbourg Court noted in </w:t>
      </w:r>
      <w:proofErr w:type="spellStart"/>
      <w:r w:rsidRPr="00F971E7">
        <w:rPr>
          <w:rFonts w:asciiTheme="minorHAnsi" w:hAnsiTheme="minorHAnsi" w:cstheme="minorHAnsi"/>
          <w:i/>
          <w:iCs/>
        </w:rPr>
        <w:t>Talpis</w:t>
      </w:r>
      <w:proofErr w:type="spellEnd"/>
      <w:r w:rsidRPr="00F971E7">
        <w:rPr>
          <w:rFonts w:asciiTheme="minorHAnsi" w:hAnsiTheme="minorHAnsi" w:cstheme="minorHAnsi"/>
        </w:rPr>
        <w:t xml:space="preserve"> that: "in domestic violence cases perpetrators’ rights cannot supersede victims’ human rights to life and to physical and psychological integrity... </w:t>
      </w:r>
      <w:r w:rsidR="004B6388" w:rsidRPr="00F971E7">
        <w:rPr>
          <w:rFonts w:asciiTheme="minorHAnsi" w:hAnsiTheme="minorHAnsi" w:cstheme="minorHAnsi"/>
        </w:rPr>
        <w:t>[f]</w:t>
      </w:r>
      <w:proofErr w:type="spellStart"/>
      <w:r w:rsidRPr="00F971E7">
        <w:rPr>
          <w:rFonts w:asciiTheme="minorHAnsi" w:hAnsiTheme="minorHAnsi" w:cstheme="minorHAnsi"/>
        </w:rPr>
        <w:t>urthermore</w:t>
      </w:r>
      <w:proofErr w:type="spellEnd"/>
      <w:r w:rsidRPr="00F971E7">
        <w:rPr>
          <w:rFonts w:asciiTheme="minorHAnsi" w:hAnsiTheme="minorHAnsi" w:cstheme="minorHAnsi"/>
        </w:rPr>
        <w:t>, the State has a positive obligation to take preventive operational measures to protect an individual whose life is at risk</w:t>
      </w:r>
      <w:r w:rsidR="00186DD7">
        <w:rPr>
          <w:rFonts w:asciiTheme="minorHAnsi" w:hAnsiTheme="minorHAnsi" w:cstheme="minorHAnsi"/>
        </w:rPr>
        <w:t>”</w:t>
      </w:r>
      <w:r w:rsidRPr="00F971E7">
        <w:rPr>
          <w:rFonts w:asciiTheme="minorHAnsi" w:hAnsiTheme="minorHAnsi" w:cstheme="minorHAnsi"/>
        </w:rPr>
        <w:t>.</w:t>
      </w:r>
      <w:r w:rsidR="00186DD7">
        <w:rPr>
          <w:rStyle w:val="FootnoteReference"/>
          <w:rFonts w:asciiTheme="minorHAnsi" w:hAnsiTheme="minorHAnsi" w:cstheme="minorHAnsi"/>
        </w:rPr>
        <w:footnoteReference w:id="33"/>
      </w:r>
      <w:r w:rsidRPr="00F971E7">
        <w:rPr>
          <w:rFonts w:asciiTheme="minorHAnsi" w:hAnsiTheme="minorHAnsi" w:cstheme="minorHAnsi"/>
        </w:rPr>
        <w:t xml:space="preserve"> There had been a failure to take those kinds of ‘preventive operational measures’ in the </w:t>
      </w:r>
      <w:proofErr w:type="spellStart"/>
      <w:r w:rsidRPr="00F971E7">
        <w:rPr>
          <w:rFonts w:asciiTheme="minorHAnsi" w:hAnsiTheme="minorHAnsi" w:cstheme="minorHAnsi"/>
          <w:i/>
          <w:iCs/>
        </w:rPr>
        <w:t>Talpis</w:t>
      </w:r>
      <w:proofErr w:type="spellEnd"/>
      <w:r w:rsidRPr="00F971E7">
        <w:rPr>
          <w:rFonts w:asciiTheme="minorHAnsi" w:hAnsiTheme="minorHAnsi" w:cstheme="minorHAnsi"/>
        </w:rPr>
        <w:t xml:space="preserve"> case. Furthermore, in a way highly relevant to the context of a plummeting rate of domestic abuse prosecution in recent years in England and Wales</w:t>
      </w:r>
      <w:r w:rsidR="00F83B65" w:rsidRPr="00F971E7">
        <w:rPr>
          <w:rFonts w:asciiTheme="minorHAnsi" w:hAnsiTheme="minorHAnsi" w:cstheme="minorHAnsi"/>
        </w:rPr>
        <w:t xml:space="preserve"> (see Figure 2, above)</w:t>
      </w:r>
      <w:r w:rsidRPr="00F971E7">
        <w:rPr>
          <w:rFonts w:asciiTheme="minorHAnsi" w:hAnsiTheme="minorHAnsi" w:cstheme="minorHAnsi"/>
        </w:rPr>
        <w:t xml:space="preserve">, but specifically on the delay in prosecuting AT as an abuser in relation to an earlier serious violent offence against </w:t>
      </w:r>
      <w:proofErr w:type="spellStart"/>
      <w:r w:rsidRPr="00F971E7">
        <w:rPr>
          <w:rFonts w:asciiTheme="minorHAnsi" w:hAnsiTheme="minorHAnsi" w:cstheme="minorHAnsi"/>
        </w:rPr>
        <w:t>Talpis</w:t>
      </w:r>
      <w:proofErr w:type="spellEnd"/>
      <w:r w:rsidRPr="00F971E7">
        <w:rPr>
          <w:rFonts w:asciiTheme="minorHAnsi" w:hAnsiTheme="minorHAnsi" w:cstheme="minorHAnsi"/>
        </w:rPr>
        <w:t>, the Strasbourg Court highlighted</w:t>
      </w:r>
      <w:r w:rsidR="005D0117">
        <w:rPr>
          <w:rFonts w:asciiTheme="minorHAnsi" w:hAnsiTheme="minorHAnsi" w:cstheme="minorHAnsi"/>
        </w:rPr>
        <w:t xml:space="preserve"> </w:t>
      </w:r>
      <w:r w:rsidRPr="00F971E7">
        <w:rPr>
          <w:rFonts w:asciiTheme="minorHAnsi" w:hAnsiTheme="minorHAnsi" w:cstheme="minorHAnsi"/>
        </w:rPr>
        <w:t>that in terms of intensifying a potential breach of Article 3 ECHR</w:t>
      </w:r>
      <w:r w:rsidR="005133AF">
        <w:rPr>
          <w:rFonts w:asciiTheme="minorHAnsi" w:hAnsiTheme="minorHAnsi" w:cstheme="minorHAnsi"/>
        </w:rPr>
        <w:t>:</w:t>
      </w:r>
      <w:r w:rsidRPr="00F971E7">
        <w:rPr>
          <w:rFonts w:asciiTheme="minorHAnsi" w:hAnsiTheme="minorHAnsi" w:cstheme="minorHAnsi"/>
        </w:rPr>
        <w:t xml:space="preserve"> </w:t>
      </w:r>
    </w:p>
    <w:p w14:paraId="08D2FC3E" w14:textId="1048EF7D" w:rsidR="005133AF" w:rsidRDefault="00B650A9" w:rsidP="005133AF">
      <w:pPr>
        <w:ind w:left="720"/>
        <w:jc w:val="both"/>
        <w:rPr>
          <w:rFonts w:asciiTheme="minorHAnsi" w:hAnsiTheme="minorHAnsi" w:cstheme="minorHAnsi"/>
        </w:rPr>
      </w:pPr>
      <w:r w:rsidRPr="00F971E7">
        <w:rPr>
          <w:rFonts w:asciiTheme="minorHAnsi" w:hAnsiTheme="minorHAnsi" w:cstheme="minorHAnsi"/>
        </w:rPr>
        <w:t>the mere passing of time can work to the detriment of the investigation, and even fatally jeopardise its chances of success... the passing of time will inevitably erode the amount and quality of the evidence available and that the appearance of a lack of diligence will cast doubt on the good faith of the investigative efforts, as well as drag out the ordeal for the complainants.</w:t>
      </w:r>
      <w:r w:rsidR="005D0117">
        <w:rPr>
          <w:rStyle w:val="FootnoteReference"/>
          <w:rFonts w:asciiTheme="minorHAnsi" w:hAnsiTheme="minorHAnsi" w:cstheme="minorHAnsi"/>
        </w:rPr>
        <w:footnoteReference w:id="34"/>
      </w:r>
      <w:r w:rsidRPr="00F971E7">
        <w:rPr>
          <w:rFonts w:asciiTheme="minorHAnsi" w:hAnsiTheme="minorHAnsi" w:cstheme="minorHAnsi"/>
        </w:rPr>
        <w:t xml:space="preserve"> </w:t>
      </w:r>
    </w:p>
    <w:p w14:paraId="49882DBB" w14:textId="0314754A" w:rsidR="00B650A9" w:rsidRPr="00F971E7" w:rsidRDefault="00B650A9" w:rsidP="005133AF">
      <w:pPr>
        <w:jc w:val="both"/>
        <w:rPr>
          <w:rFonts w:asciiTheme="minorHAnsi" w:hAnsiTheme="minorHAnsi" w:cstheme="minorHAnsi"/>
        </w:rPr>
      </w:pPr>
      <w:r w:rsidRPr="00F971E7">
        <w:rPr>
          <w:rFonts w:asciiTheme="minorHAnsi" w:hAnsiTheme="minorHAnsi" w:cstheme="minorHAnsi"/>
        </w:rPr>
        <w:t>In addition, in finding sex discrimination and a breach of Article 14 ECHR</w:t>
      </w:r>
      <w:r w:rsidR="00662C3E" w:rsidRPr="00F971E7">
        <w:rPr>
          <w:rFonts w:asciiTheme="minorHAnsi" w:hAnsiTheme="minorHAnsi" w:cstheme="minorHAnsi"/>
        </w:rPr>
        <w:t xml:space="preserve"> (as noted above),</w:t>
      </w:r>
      <w:r w:rsidR="00F16E95">
        <w:rPr>
          <w:rFonts w:asciiTheme="minorHAnsi" w:hAnsiTheme="minorHAnsi" w:cstheme="minorHAnsi"/>
        </w:rPr>
        <w:t xml:space="preserve"> the Court said that</w:t>
      </w:r>
      <w:r w:rsidRPr="00F971E7">
        <w:rPr>
          <w:rFonts w:asciiTheme="minorHAnsi" w:hAnsiTheme="minorHAnsi" w:cstheme="minorHAnsi"/>
        </w:rPr>
        <w:t xml:space="preserve"> "by underestimating, through their complacency, the seriousness of the violent acts in question, the Italian authorities in effect condoned them</w:t>
      </w:r>
      <w:r w:rsidR="00F16E95">
        <w:rPr>
          <w:rFonts w:asciiTheme="minorHAnsi" w:hAnsiTheme="minorHAnsi" w:cstheme="minorHAnsi"/>
        </w:rPr>
        <w:t>”</w:t>
      </w:r>
      <w:r w:rsidR="007F72C7">
        <w:rPr>
          <w:rFonts w:asciiTheme="minorHAnsi" w:hAnsiTheme="minorHAnsi" w:cstheme="minorHAnsi"/>
        </w:rPr>
        <w:t>.</w:t>
      </w:r>
      <w:r w:rsidR="00F16E95">
        <w:rPr>
          <w:rStyle w:val="FootnoteReference"/>
          <w:rFonts w:asciiTheme="minorHAnsi" w:hAnsiTheme="minorHAnsi" w:cstheme="minorHAnsi"/>
        </w:rPr>
        <w:footnoteReference w:id="35"/>
      </w:r>
      <w:r w:rsidRPr="00F971E7">
        <w:rPr>
          <w:rFonts w:asciiTheme="minorHAnsi" w:hAnsiTheme="minorHAnsi" w:cstheme="minorHAnsi"/>
        </w:rPr>
        <w:t xml:space="preserve"> </w:t>
      </w:r>
    </w:p>
    <w:p w14:paraId="416800AD" w14:textId="3B82862D" w:rsidR="002B41EA" w:rsidRDefault="00396248" w:rsidP="00702F50">
      <w:pPr>
        <w:jc w:val="both"/>
        <w:rPr>
          <w:rFonts w:asciiTheme="minorHAnsi" w:hAnsiTheme="minorHAnsi" w:cstheme="minorHAnsi"/>
        </w:rPr>
      </w:pPr>
      <w:r w:rsidRPr="00F971E7">
        <w:rPr>
          <w:rFonts w:asciiTheme="minorHAnsi" w:hAnsiTheme="minorHAnsi" w:cstheme="minorHAnsi"/>
        </w:rPr>
        <w:t xml:space="preserve">The UK courts have </w:t>
      </w:r>
      <w:r w:rsidR="008F7BD4" w:rsidRPr="00F971E7">
        <w:rPr>
          <w:rFonts w:asciiTheme="minorHAnsi" w:hAnsiTheme="minorHAnsi" w:cstheme="minorHAnsi"/>
        </w:rPr>
        <w:t xml:space="preserve">likewise </w:t>
      </w:r>
      <w:r w:rsidRPr="00F971E7">
        <w:rPr>
          <w:rFonts w:asciiTheme="minorHAnsi" w:hAnsiTheme="minorHAnsi" w:cstheme="minorHAnsi"/>
        </w:rPr>
        <w:t xml:space="preserve">dealt with how the ECHR might operate to protect </w:t>
      </w:r>
      <w:r w:rsidR="00BF3203" w:rsidRPr="00F971E7">
        <w:rPr>
          <w:rFonts w:asciiTheme="minorHAnsi" w:hAnsiTheme="minorHAnsi" w:cstheme="minorHAnsi"/>
        </w:rPr>
        <w:t>victims of abuse through th</w:t>
      </w:r>
      <w:r w:rsidR="008F7BD4" w:rsidRPr="00F971E7">
        <w:rPr>
          <w:rFonts w:asciiTheme="minorHAnsi" w:hAnsiTheme="minorHAnsi" w:cstheme="minorHAnsi"/>
        </w:rPr>
        <w:t>e</w:t>
      </w:r>
      <w:r w:rsidR="00BF3203" w:rsidRPr="00F971E7">
        <w:rPr>
          <w:rFonts w:asciiTheme="minorHAnsi" w:hAnsiTheme="minorHAnsi" w:cstheme="minorHAnsi"/>
        </w:rPr>
        <w:t xml:space="preserve"> creation of certain positive </w:t>
      </w:r>
      <w:r w:rsidR="007F72C7">
        <w:rPr>
          <w:rFonts w:asciiTheme="minorHAnsi" w:hAnsiTheme="minorHAnsi" w:cstheme="minorHAnsi"/>
        </w:rPr>
        <w:t>obligations</w:t>
      </w:r>
      <w:r w:rsidR="007F72C7" w:rsidRPr="00F971E7">
        <w:rPr>
          <w:rFonts w:asciiTheme="minorHAnsi" w:hAnsiTheme="minorHAnsi" w:cstheme="minorHAnsi"/>
        </w:rPr>
        <w:t xml:space="preserve"> </w:t>
      </w:r>
      <w:r w:rsidR="00BF3203" w:rsidRPr="00F971E7">
        <w:rPr>
          <w:rFonts w:asciiTheme="minorHAnsi" w:hAnsiTheme="minorHAnsi" w:cstheme="minorHAnsi"/>
        </w:rPr>
        <w:t xml:space="preserve">on agencies in the justice system. </w:t>
      </w:r>
      <w:r w:rsidR="00B650A9" w:rsidRPr="00F971E7">
        <w:rPr>
          <w:rFonts w:asciiTheme="minorHAnsi" w:hAnsiTheme="minorHAnsi" w:cstheme="minorHAnsi"/>
        </w:rPr>
        <w:t xml:space="preserve">In R </w:t>
      </w:r>
      <w:r w:rsidR="00B650A9" w:rsidRPr="00F971E7">
        <w:rPr>
          <w:rFonts w:asciiTheme="minorHAnsi" w:hAnsiTheme="minorHAnsi" w:cstheme="minorHAnsi"/>
          <w:i/>
          <w:iCs/>
        </w:rPr>
        <w:t>(MLIA and another) v Chief Constable of Hampshire Constabulary</w:t>
      </w:r>
      <w:r w:rsidR="001F3DC0">
        <w:rPr>
          <w:rFonts w:asciiTheme="minorHAnsi" w:hAnsiTheme="minorHAnsi" w:cstheme="minorHAnsi"/>
        </w:rPr>
        <w:t>,</w:t>
      </w:r>
      <w:r w:rsidR="001F3DC0">
        <w:rPr>
          <w:rStyle w:val="FootnoteReference"/>
          <w:rFonts w:asciiTheme="minorHAnsi" w:hAnsiTheme="minorHAnsi" w:cstheme="minorHAnsi"/>
        </w:rPr>
        <w:footnoteReference w:id="36"/>
      </w:r>
      <w:r w:rsidR="00B650A9" w:rsidRPr="00F971E7">
        <w:rPr>
          <w:rFonts w:asciiTheme="minorHAnsi" w:hAnsiTheme="minorHAnsi" w:cstheme="minorHAnsi"/>
        </w:rPr>
        <w:t xml:space="preserve"> Lavender J noted that counsel for the claimants had</w:t>
      </w:r>
      <w:r w:rsidR="002B41EA">
        <w:rPr>
          <w:rFonts w:asciiTheme="minorHAnsi" w:hAnsiTheme="minorHAnsi" w:cstheme="minorHAnsi"/>
        </w:rPr>
        <w:t>:</w:t>
      </w:r>
      <w:r w:rsidR="00B650A9" w:rsidRPr="00F971E7">
        <w:rPr>
          <w:rFonts w:asciiTheme="minorHAnsi" w:hAnsiTheme="minorHAnsi" w:cstheme="minorHAnsi"/>
        </w:rPr>
        <w:t xml:space="preserve"> </w:t>
      </w:r>
    </w:p>
    <w:p w14:paraId="6180FC02" w14:textId="28ED89AF" w:rsidR="002B41EA" w:rsidRDefault="00B650A9" w:rsidP="002B41EA">
      <w:pPr>
        <w:ind w:left="720"/>
        <w:jc w:val="both"/>
        <w:rPr>
          <w:rFonts w:asciiTheme="minorHAnsi" w:hAnsiTheme="minorHAnsi" w:cstheme="minorHAnsi"/>
        </w:rPr>
      </w:pPr>
      <w:r w:rsidRPr="00F971E7">
        <w:rPr>
          <w:rFonts w:asciiTheme="minorHAnsi" w:hAnsiTheme="minorHAnsi" w:cstheme="minorHAnsi"/>
        </w:rPr>
        <w:t xml:space="preserve">accepted that a case which fell within the scope of Article 8 could also be seen as part of [a] sliding scale, and that a case which fell within the scope of Article 8 but not </w:t>
      </w:r>
      <w:r w:rsidRPr="00F971E7">
        <w:rPr>
          <w:rFonts w:asciiTheme="minorHAnsi" w:hAnsiTheme="minorHAnsi" w:cstheme="minorHAnsi"/>
        </w:rPr>
        <w:lastRenderedPageBreak/>
        <w:t>Article 3 would fall further down the scale than a case which fell within the scope of Article 3.</w:t>
      </w:r>
      <w:r w:rsidR="001F3DC0">
        <w:rPr>
          <w:rStyle w:val="FootnoteReference"/>
          <w:rFonts w:asciiTheme="minorHAnsi" w:hAnsiTheme="minorHAnsi" w:cstheme="minorHAnsi"/>
        </w:rPr>
        <w:footnoteReference w:id="37"/>
      </w:r>
      <w:r w:rsidR="00966C64" w:rsidRPr="00F971E7">
        <w:rPr>
          <w:rFonts w:asciiTheme="minorHAnsi" w:hAnsiTheme="minorHAnsi" w:cstheme="minorHAnsi"/>
        </w:rPr>
        <w:t xml:space="preserve"> </w:t>
      </w:r>
    </w:p>
    <w:p w14:paraId="7DB4C013" w14:textId="16FAD2D5" w:rsidR="00C353F4" w:rsidRPr="00F971E7" w:rsidRDefault="00966C64" w:rsidP="002B41EA">
      <w:pPr>
        <w:jc w:val="both"/>
        <w:rPr>
          <w:rFonts w:asciiTheme="minorHAnsi" w:hAnsiTheme="minorHAnsi" w:cstheme="minorHAnsi"/>
        </w:rPr>
      </w:pPr>
      <w:r w:rsidRPr="00F971E7">
        <w:rPr>
          <w:rFonts w:asciiTheme="minorHAnsi" w:hAnsiTheme="minorHAnsi" w:cstheme="minorHAnsi"/>
        </w:rPr>
        <w:t xml:space="preserve">Greater discretion </w:t>
      </w:r>
      <w:r w:rsidR="00627FE0" w:rsidRPr="00F971E7">
        <w:rPr>
          <w:rFonts w:asciiTheme="minorHAnsi" w:hAnsiTheme="minorHAnsi" w:cstheme="minorHAnsi"/>
        </w:rPr>
        <w:t>will</w:t>
      </w:r>
      <w:r w:rsidRPr="00F971E7">
        <w:rPr>
          <w:rFonts w:asciiTheme="minorHAnsi" w:hAnsiTheme="minorHAnsi" w:cstheme="minorHAnsi"/>
        </w:rPr>
        <w:t xml:space="preserve"> be afforded by the courts to police </w:t>
      </w:r>
      <w:r w:rsidR="0062158E" w:rsidRPr="00F971E7">
        <w:rPr>
          <w:rFonts w:asciiTheme="minorHAnsi" w:hAnsiTheme="minorHAnsi" w:cstheme="minorHAnsi"/>
        </w:rPr>
        <w:t xml:space="preserve">officers, for example, facing Article </w:t>
      </w:r>
      <w:r w:rsidR="003133A3" w:rsidRPr="00F971E7">
        <w:rPr>
          <w:rFonts w:asciiTheme="minorHAnsi" w:hAnsiTheme="minorHAnsi" w:cstheme="minorHAnsi"/>
        </w:rPr>
        <w:t>8</w:t>
      </w:r>
      <w:r w:rsidR="00707BDE" w:rsidRPr="00F971E7">
        <w:rPr>
          <w:rFonts w:asciiTheme="minorHAnsi" w:hAnsiTheme="minorHAnsi" w:cstheme="minorHAnsi"/>
        </w:rPr>
        <w:t>-</w:t>
      </w:r>
      <w:r w:rsidR="003133A3" w:rsidRPr="00F971E7">
        <w:rPr>
          <w:rFonts w:asciiTheme="minorHAnsi" w:hAnsiTheme="minorHAnsi" w:cstheme="minorHAnsi"/>
        </w:rPr>
        <w:t>engaging risks of harm, than for those case</w:t>
      </w:r>
      <w:r w:rsidR="006B76CC" w:rsidRPr="00F971E7">
        <w:rPr>
          <w:rFonts w:asciiTheme="minorHAnsi" w:hAnsiTheme="minorHAnsi" w:cstheme="minorHAnsi"/>
        </w:rPr>
        <w:t>s</w:t>
      </w:r>
      <w:r w:rsidR="003133A3" w:rsidRPr="00F971E7">
        <w:rPr>
          <w:rFonts w:asciiTheme="minorHAnsi" w:hAnsiTheme="minorHAnsi" w:cstheme="minorHAnsi"/>
        </w:rPr>
        <w:t xml:space="preserve"> </w:t>
      </w:r>
      <w:r w:rsidR="00AC5FCE" w:rsidRPr="00F971E7">
        <w:rPr>
          <w:rFonts w:asciiTheme="minorHAnsi" w:hAnsiTheme="minorHAnsi" w:cstheme="minorHAnsi"/>
        </w:rPr>
        <w:t>relating to Article 3-engaging risks of harm.</w:t>
      </w:r>
      <w:r w:rsidR="00C353F4" w:rsidRPr="00F971E7">
        <w:rPr>
          <w:rFonts w:asciiTheme="minorHAnsi" w:hAnsiTheme="minorHAnsi" w:cstheme="minorHAnsi"/>
        </w:rPr>
        <w:t xml:space="preserve"> </w:t>
      </w:r>
      <w:r w:rsidR="00821DA6" w:rsidRPr="00F971E7">
        <w:rPr>
          <w:rFonts w:asciiTheme="minorHAnsi" w:hAnsiTheme="minorHAnsi" w:cstheme="minorHAnsi"/>
        </w:rPr>
        <w:t>The relevant</w:t>
      </w:r>
      <w:r w:rsidR="00C353F4" w:rsidRPr="00F971E7">
        <w:rPr>
          <w:rFonts w:asciiTheme="minorHAnsi" w:hAnsiTheme="minorHAnsi" w:cstheme="minorHAnsi"/>
        </w:rPr>
        <w:t xml:space="preserve"> margin of appreciation, now </w:t>
      </w:r>
      <w:r w:rsidR="00821DA6" w:rsidRPr="00F971E7">
        <w:rPr>
          <w:rFonts w:asciiTheme="minorHAnsi" w:hAnsiTheme="minorHAnsi" w:cstheme="minorHAnsi"/>
        </w:rPr>
        <w:t>a doctrine t</w:t>
      </w:r>
      <w:r w:rsidR="00C353F4" w:rsidRPr="00F971E7">
        <w:rPr>
          <w:rFonts w:asciiTheme="minorHAnsi" w:hAnsiTheme="minorHAnsi" w:cstheme="minorHAnsi"/>
        </w:rPr>
        <w:t>o be found in a reformed recital to the ECHR</w:t>
      </w:r>
      <w:r w:rsidR="00EB2E8C">
        <w:rPr>
          <w:rFonts w:asciiTheme="minorHAnsi" w:hAnsiTheme="minorHAnsi" w:cstheme="minorHAnsi"/>
        </w:rPr>
        <w:t>,</w:t>
      </w:r>
      <w:r w:rsidR="00821DA6" w:rsidRPr="00F971E7">
        <w:rPr>
          <w:rStyle w:val="FootnoteReference"/>
          <w:rFonts w:asciiTheme="minorHAnsi" w:hAnsiTheme="minorHAnsi" w:cstheme="minorHAnsi"/>
        </w:rPr>
        <w:footnoteReference w:id="38"/>
      </w:r>
      <w:r w:rsidR="00C353F4" w:rsidRPr="00F971E7">
        <w:rPr>
          <w:rFonts w:asciiTheme="minorHAnsi" w:hAnsiTheme="minorHAnsi" w:cstheme="minorHAnsi"/>
        </w:rPr>
        <w:t xml:space="preserve"> gives a degree of latitude to domestic police service</w:t>
      </w:r>
      <w:r w:rsidR="00EB2E8C">
        <w:rPr>
          <w:rFonts w:asciiTheme="minorHAnsi" w:hAnsiTheme="minorHAnsi" w:cstheme="minorHAnsi"/>
        </w:rPr>
        <w:t>s</w:t>
      </w:r>
      <w:r w:rsidR="00C353F4" w:rsidRPr="00F971E7">
        <w:rPr>
          <w:rFonts w:asciiTheme="minorHAnsi" w:hAnsiTheme="minorHAnsi" w:cstheme="minorHAnsi"/>
        </w:rPr>
        <w:t xml:space="preserve"> in their handling </w:t>
      </w:r>
      <w:r w:rsidR="004D6B8D">
        <w:rPr>
          <w:rFonts w:asciiTheme="minorHAnsi" w:hAnsiTheme="minorHAnsi" w:cstheme="minorHAnsi"/>
        </w:rPr>
        <w:t>of</w:t>
      </w:r>
      <w:r w:rsidR="00C353F4" w:rsidRPr="00F971E7">
        <w:rPr>
          <w:rFonts w:asciiTheme="minorHAnsi" w:hAnsiTheme="minorHAnsi" w:cstheme="minorHAnsi"/>
        </w:rPr>
        <w:t xml:space="preserve"> domestic abuse</w:t>
      </w:r>
      <w:r w:rsidR="007F0C6A">
        <w:rPr>
          <w:rFonts w:asciiTheme="minorHAnsi" w:hAnsiTheme="minorHAnsi" w:cstheme="minorHAnsi"/>
        </w:rPr>
        <w:t xml:space="preserve"> cases</w:t>
      </w:r>
      <w:r w:rsidR="00C353F4" w:rsidRPr="00F971E7">
        <w:rPr>
          <w:rFonts w:asciiTheme="minorHAnsi" w:hAnsiTheme="minorHAnsi" w:cstheme="minorHAnsi"/>
        </w:rPr>
        <w:t>. As Laws LJ observed in</w:t>
      </w:r>
      <w:r w:rsidR="00C353F4" w:rsidRPr="00F971E7">
        <w:rPr>
          <w:rFonts w:asciiTheme="minorHAnsi" w:hAnsiTheme="minorHAnsi" w:cstheme="minorHAnsi"/>
          <w:i/>
          <w:iCs/>
        </w:rPr>
        <w:t xml:space="preserve"> D v Commissioner of Police of the Metropolis</w:t>
      </w:r>
      <w:r w:rsidR="00C353F4" w:rsidRPr="00F971E7">
        <w:rPr>
          <w:rFonts w:asciiTheme="minorHAnsi" w:hAnsiTheme="minorHAnsi" w:cstheme="minorHAnsi"/>
        </w:rPr>
        <w:t>:</w:t>
      </w:r>
      <w:r w:rsidR="007F0C6A">
        <w:rPr>
          <w:rStyle w:val="FootnoteReference"/>
          <w:rFonts w:asciiTheme="minorHAnsi" w:hAnsiTheme="minorHAnsi" w:cstheme="minorHAnsi"/>
        </w:rPr>
        <w:footnoteReference w:id="39"/>
      </w:r>
    </w:p>
    <w:p w14:paraId="10C498AE" w14:textId="117C7AEC" w:rsidR="00B650A9" w:rsidRPr="00F971E7" w:rsidRDefault="00C353F4" w:rsidP="00702F50">
      <w:pPr>
        <w:ind w:left="720"/>
        <w:jc w:val="both"/>
        <w:rPr>
          <w:rFonts w:asciiTheme="minorHAnsi" w:hAnsiTheme="minorHAnsi" w:cstheme="minorHAnsi"/>
        </w:rPr>
      </w:pPr>
      <w:r w:rsidRPr="00F971E7">
        <w:rPr>
          <w:rFonts w:asciiTheme="minorHAnsi" w:hAnsiTheme="minorHAnsi" w:cstheme="minorHAnsi"/>
        </w:rPr>
        <w:t xml:space="preserve">the inquiry into compliance with the </w:t>
      </w:r>
      <w:r w:rsidR="004D6B8D">
        <w:rPr>
          <w:rFonts w:asciiTheme="minorHAnsi" w:hAnsiTheme="minorHAnsi" w:cstheme="minorHAnsi"/>
        </w:rPr>
        <w:t>Article</w:t>
      </w:r>
      <w:r w:rsidR="004D6B8D" w:rsidRPr="00F971E7">
        <w:rPr>
          <w:rFonts w:asciiTheme="minorHAnsi" w:hAnsiTheme="minorHAnsi" w:cstheme="minorHAnsi"/>
        </w:rPr>
        <w:t xml:space="preserve"> </w:t>
      </w:r>
      <w:r w:rsidRPr="00F971E7">
        <w:rPr>
          <w:rFonts w:asciiTheme="minorHAnsi" w:hAnsiTheme="minorHAnsi" w:cstheme="minorHAnsi"/>
        </w:rPr>
        <w:t xml:space="preserve">3 duty is first and foremost concerned, not with the effect on the claimant, but with the overall nature of the investigative steps to be taken by the state. This circumstance, moreover, is consonant with the fact that Strasbourg accords a margin of appreciation to the state as to the means of compliance with </w:t>
      </w:r>
      <w:r w:rsidR="00E82756">
        <w:rPr>
          <w:rFonts w:asciiTheme="minorHAnsi" w:hAnsiTheme="minorHAnsi" w:cstheme="minorHAnsi"/>
        </w:rPr>
        <w:t>Article</w:t>
      </w:r>
      <w:r w:rsidR="00E82756" w:rsidRPr="00F971E7">
        <w:rPr>
          <w:rFonts w:asciiTheme="minorHAnsi" w:hAnsiTheme="minorHAnsi" w:cstheme="minorHAnsi"/>
        </w:rPr>
        <w:t xml:space="preserve"> </w:t>
      </w:r>
      <w:r w:rsidRPr="00F971E7">
        <w:rPr>
          <w:rFonts w:asciiTheme="minorHAnsi" w:hAnsiTheme="minorHAnsi" w:cstheme="minorHAnsi"/>
        </w:rPr>
        <w:t>3. As I have said, the margin widens at the bottom of the scale but narrows at the top. … I have no doubt that we should accord a like margin (more often described on the domestic front as a margin of discretion) in the adjudication of claims under the 1998 Act.</w:t>
      </w:r>
      <w:r w:rsidR="007F0C6A">
        <w:rPr>
          <w:rStyle w:val="FootnoteReference"/>
          <w:rFonts w:asciiTheme="minorHAnsi" w:hAnsiTheme="minorHAnsi" w:cstheme="minorHAnsi"/>
        </w:rPr>
        <w:footnoteReference w:id="40"/>
      </w:r>
    </w:p>
    <w:p w14:paraId="1C6A6522" w14:textId="24944ADE" w:rsidR="002E0068" w:rsidRPr="00F971E7" w:rsidRDefault="00F10303" w:rsidP="00702F50">
      <w:pPr>
        <w:jc w:val="both"/>
        <w:rPr>
          <w:rFonts w:asciiTheme="minorHAnsi" w:hAnsiTheme="minorHAnsi" w:cstheme="minorHAnsi"/>
        </w:rPr>
      </w:pPr>
      <w:r w:rsidRPr="00F971E7">
        <w:rPr>
          <w:rFonts w:asciiTheme="minorHAnsi" w:hAnsiTheme="minorHAnsi" w:cstheme="minorHAnsi"/>
        </w:rPr>
        <w:t xml:space="preserve">Rogers has given an </w:t>
      </w:r>
      <w:r w:rsidR="002E0068" w:rsidRPr="00F971E7">
        <w:rPr>
          <w:rFonts w:asciiTheme="minorHAnsi" w:hAnsiTheme="minorHAnsi" w:cstheme="minorHAnsi"/>
        </w:rPr>
        <w:t xml:space="preserve">excellent summation of the way that </w:t>
      </w:r>
      <w:r w:rsidR="00276CA7" w:rsidRPr="00F971E7">
        <w:rPr>
          <w:rFonts w:asciiTheme="minorHAnsi" w:hAnsiTheme="minorHAnsi" w:cstheme="minorHAnsi"/>
        </w:rPr>
        <w:t xml:space="preserve">these </w:t>
      </w:r>
      <w:r w:rsidR="002E0068" w:rsidRPr="00F971E7">
        <w:rPr>
          <w:rFonts w:asciiTheme="minorHAnsi" w:hAnsiTheme="minorHAnsi" w:cstheme="minorHAnsi"/>
        </w:rPr>
        <w:t>differing layered duties under the ECHR have emerged over time:</w:t>
      </w:r>
    </w:p>
    <w:p w14:paraId="38B681A0" w14:textId="7D0D58FA" w:rsidR="002E0068" w:rsidRDefault="002E0068" w:rsidP="00702F50">
      <w:pPr>
        <w:widowControl w:val="0"/>
        <w:autoSpaceDE w:val="0"/>
        <w:autoSpaceDN w:val="0"/>
        <w:adjustRightInd w:val="0"/>
        <w:spacing w:after="0" w:line="240" w:lineRule="auto"/>
        <w:ind w:left="720"/>
        <w:jc w:val="both"/>
        <w:rPr>
          <w:rFonts w:asciiTheme="minorHAnsi" w:hAnsiTheme="minorHAnsi" w:cstheme="minorHAnsi"/>
          <w:color w:val="000000"/>
        </w:rPr>
      </w:pPr>
      <w:r w:rsidRPr="00F971E7">
        <w:rPr>
          <w:rFonts w:asciiTheme="minorHAnsi" w:hAnsiTheme="minorHAnsi" w:cstheme="minorHAnsi"/>
          <w:color w:val="000000"/>
        </w:rPr>
        <w:t>Over the years, the Strasbourg Court has found a variety of positive obligations to support citizens who are threatened with or already victimised by certain criminal activity. Most urgently, state agents have a duty to prevent crimes of such gravity, when they should reasonably be aware of a real and immediate risk of their occurrence… But there are also less direct obligations, e.g. to have effective criminal law provisions which offer some deterrence to would-be offenders of the most serious crimes… There may also be duties to have a system of enforcement which may entail pro-active policing and even, at least in the case of human trafficking, co-operation with other countries… It will be noted that the list above mixes operational as well as systemic duties, with no particular regard for the distinction.</w:t>
      </w:r>
      <w:r w:rsidRPr="00F971E7">
        <w:rPr>
          <w:rStyle w:val="FootnoteReference"/>
          <w:rFonts w:asciiTheme="minorHAnsi" w:hAnsiTheme="minorHAnsi" w:cstheme="minorHAnsi"/>
          <w:color w:val="000000"/>
        </w:rPr>
        <w:footnoteReference w:id="41"/>
      </w:r>
    </w:p>
    <w:p w14:paraId="1B735099" w14:textId="77777777" w:rsidR="00275104" w:rsidRPr="00F971E7" w:rsidRDefault="00275104" w:rsidP="00702F50">
      <w:pPr>
        <w:widowControl w:val="0"/>
        <w:autoSpaceDE w:val="0"/>
        <w:autoSpaceDN w:val="0"/>
        <w:adjustRightInd w:val="0"/>
        <w:spacing w:after="0" w:line="240" w:lineRule="auto"/>
        <w:ind w:left="720"/>
        <w:jc w:val="both"/>
        <w:rPr>
          <w:rFonts w:asciiTheme="minorHAnsi" w:hAnsiTheme="minorHAnsi" w:cstheme="minorHAnsi"/>
          <w:color w:val="000000"/>
        </w:rPr>
      </w:pPr>
    </w:p>
    <w:p w14:paraId="21DC42E8" w14:textId="16DF308D" w:rsidR="00170927" w:rsidRPr="00F971E7" w:rsidRDefault="00F51ADF" w:rsidP="00702F50">
      <w:pPr>
        <w:jc w:val="both"/>
        <w:rPr>
          <w:rFonts w:asciiTheme="minorHAnsi" w:hAnsiTheme="minorHAnsi" w:cstheme="minorHAnsi"/>
        </w:rPr>
      </w:pPr>
      <w:r w:rsidRPr="00F971E7">
        <w:rPr>
          <w:rFonts w:asciiTheme="minorHAnsi" w:hAnsiTheme="minorHAnsi" w:cstheme="minorHAnsi"/>
        </w:rPr>
        <w:t>With reg</w:t>
      </w:r>
      <w:r w:rsidR="00B650A9" w:rsidRPr="00F971E7">
        <w:rPr>
          <w:rFonts w:asciiTheme="minorHAnsi" w:hAnsiTheme="minorHAnsi" w:cstheme="minorHAnsi"/>
        </w:rPr>
        <w:t xml:space="preserve">ard to the range of police discretion, a claimant victim </w:t>
      </w:r>
      <w:r w:rsidR="003F5F3F">
        <w:rPr>
          <w:rFonts w:asciiTheme="minorHAnsi" w:hAnsiTheme="minorHAnsi" w:cstheme="minorHAnsi"/>
        </w:rPr>
        <w:t xml:space="preserve">may face difficulties </w:t>
      </w:r>
      <w:r w:rsidR="00B650A9" w:rsidRPr="00F971E7">
        <w:rPr>
          <w:rFonts w:asciiTheme="minorHAnsi" w:hAnsiTheme="minorHAnsi" w:cstheme="minorHAnsi"/>
        </w:rPr>
        <w:t xml:space="preserve">in basing a claim on Article 3 </w:t>
      </w:r>
      <w:r w:rsidR="00F21B31" w:rsidRPr="00F971E7">
        <w:rPr>
          <w:rFonts w:asciiTheme="minorHAnsi" w:hAnsiTheme="minorHAnsi" w:cstheme="minorHAnsi"/>
        </w:rPr>
        <w:t xml:space="preserve">when a court might see </w:t>
      </w:r>
      <w:r w:rsidR="001A78C9" w:rsidRPr="00F971E7">
        <w:rPr>
          <w:rFonts w:asciiTheme="minorHAnsi" w:hAnsiTheme="minorHAnsi" w:cstheme="minorHAnsi"/>
        </w:rPr>
        <w:t xml:space="preserve">it as </w:t>
      </w:r>
      <w:r w:rsidR="003F5F3F">
        <w:rPr>
          <w:rFonts w:asciiTheme="minorHAnsi" w:hAnsiTheme="minorHAnsi" w:cstheme="minorHAnsi"/>
        </w:rPr>
        <w:t xml:space="preserve">engaging </w:t>
      </w:r>
      <w:r w:rsidR="001A78C9" w:rsidRPr="00F971E7">
        <w:rPr>
          <w:rFonts w:asciiTheme="minorHAnsi" w:hAnsiTheme="minorHAnsi" w:cstheme="minorHAnsi"/>
        </w:rPr>
        <w:t>Article 8 only</w:t>
      </w:r>
      <w:r w:rsidR="00B650A9" w:rsidRPr="00F971E7">
        <w:rPr>
          <w:rFonts w:asciiTheme="minorHAnsi" w:hAnsiTheme="minorHAnsi" w:cstheme="minorHAnsi"/>
        </w:rPr>
        <w:t xml:space="preserve">, </w:t>
      </w:r>
      <w:r w:rsidR="003F5F3F">
        <w:rPr>
          <w:rFonts w:asciiTheme="minorHAnsi" w:hAnsiTheme="minorHAnsi" w:cstheme="minorHAnsi"/>
        </w:rPr>
        <w:t xml:space="preserve">and </w:t>
      </w:r>
      <w:r w:rsidR="00B650A9" w:rsidRPr="00F971E7">
        <w:rPr>
          <w:rFonts w:asciiTheme="minorHAnsi" w:hAnsiTheme="minorHAnsi" w:cstheme="minorHAnsi"/>
        </w:rPr>
        <w:t xml:space="preserve">these </w:t>
      </w:r>
      <w:r w:rsidR="009A5B40" w:rsidRPr="00F971E7">
        <w:rPr>
          <w:rFonts w:asciiTheme="minorHAnsi" w:hAnsiTheme="minorHAnsi" w:cstheme="minorHAnsi"/>
        </w:rPr>
        <w:t xml:space="preserve">doctrinal difficulties </w:t>
      </w:r>
      <w:r w:rsidR="00B650A9" w:rsidRPr="00F971E7">
        <w:rPr>
          <w:rFonts w:asciiTheme="minorHAnsi" w:hAnsiTheme="minorHAnsi" w:cstheme="minorHAnsi"/>
        </w:rPr>
        <w:t xml:space="preserve">are further compounded by the view expressed in the UK courts (until recently) that Article 3 compliance is more about </w:t>
      </w:r>
      <w:r w:rsidR="00B650A9" w:rsidRPr="00F971E7">
        <w:rPr>
          <w:rFonts w:asciiTheme="minorHAnsi" w:hAnsiTheme="minorHAnsi" w:cstheme="minorHAnsi"/>
          <w:i/>
          <w:iCs/>
        </w:rPr>
        <w:t>systemic</w:t>
      </w:r>
      <w:r w:rsidR="00B650A9" w:rsidRPr="00F971E7">
        <w:rPr>
          <w:rFonts w:asciiTheme="minorHAnsi" w:hAnsiTheme="minorHAnsi" w:cstheme="minorHAnsi"/>
        </w:rPr>
        <w:t xml:space="preserve"> compliance than meeting a duty constructed from purely the facts of a particular scenario or in an individual case. </w:t>
      </w:r>
      <w:r w:rsidR="00846583" w:rsidRPr="00F971E7">
        <w:rPr>
          <w:rFonts w:asciiTheme="minorHAnsi" w:hAnsiTheme="minorHAnsi" w:cstheme="minorHAnsi"/>
        </w:rPr>
        <w:t xml:space="preserve">But this began to shift </w:t>
      </w:r>
      <w:r w:rsidR="00846583" w:rsidRPr="00F971E7">
        <w:rPr>
          <w:rFonts w:asciiTheme="minorHAnsi" w:hAnsiTheme="minorHAnsi" w:cstheme="minorHAnsi"/>
        </w:rPr>
        <w:lastRenderedPageBreak/>
        <w:t xml:space="preserve">with the </w:t>
      </w:r>
      <w:r w:rsidR="00363F62" w:rsidRPr="00F971E7">
        <w:rPr>
          <w:rFonts w:asciiTheme="minorHAnsi" w:hAnsiTheme="minorHAnsi" w:cstheme="minorHAnsi"/>
        </w:rPr>
        <w:t xml:space="preserve">exposition given by </w:t>
      </w:r>
      <w:r w:rsidR="00170927" w:rsidRPr="00F971E7">
        <w:rPr>
          <w:rFonts w:asciiTheme="minorHAnsi" w:hAnsiTheme="minorHAnsi" w:cstheme="minorHAnsi"/>
        </w:rPr>
        <w:t>Green J in</w:t>
      </w:r>
      <w:r w:rsidR="00170927" w:rsidRPr="00F971E7">
        <w:rPr>
          <w:rFonts w:asciiTheme="minorHAnsi" w:hAnsiTheme="minorHAnsi" w:cstheme="minorHAnsi"/>
          <w:i/>
          <w:iCs/>
        </w:rPr>
        <w:t xml:space="preserve"> R (DSD) v Metropolitan Police</w:t>
      </w:r>
      <w:r w:rsidR="00AC263D">
        <w:rPr>
          <w:rFonts w:asciiTheme="minorHAnsi" w:hAnsiTheme="minorHAnsi" w:cstheme="minorHAnsi"/>
        </w:rPr>
        <w:t>.</w:t>
      </w:r>
      <w:r w:rsidR="00995DC7" w:rsidRPr="00F971E7">
        <w:rPr>
          <w:rStyle w:val="FootnoteReference"/>
          <w:rFonts w:asciiTheme="minorHAnsi" w:hAnsiTheme="minorHAnsi" w:cstheme="minorHAnsi"/>
        </w:rPr>
        <w:footnoteReference w:id="42"/>
      </w:r>
      <w:r w:rsidR="00363F62" w:rsidRPr="00F971E7">
        <w:rPr>
          <w:rFonts w:asciiTheme="minorHAnsi" w:hAnsiTheme="minorHAnsi" w:cstheme="minorHAnsi"/>
        </w:rPr>
        <w:t xml:space="preserve"> </w:t>
      </w:r>
      <w:r w:rsidR="003D5389">
        <w:rPr>
          <w:rFonts w:asciiTheme="minorHAnsi" w:hAnsiTheme="minorHAnsi" w:cstheme="minorHAnsi"/>
        </w:rPr>
        <w:t>I</w:t>
      </w:r>
      <w:r w:rsidR="00363F62" w:rsidRPr="00F971E7">
        <w:rPr>
          <w:rFonts w:asciiTheme="minorHAnsi" w:hAnsiTheme="minorHAnsi" w:cstheme="minorHAnsi"/>
        </w:rPr>
        <w:t>n relation to d</w:t>
      </w:r>
      <w:r w:rsidR="00170927" w:rsidRPr="00F971E7">
        <w:rPr>
          <w:rFonts w:asciiTheme="minorHAnsi" w:hAnsiTheme="minorHAnsi" w:cstheme="minorHAnsi"/>
        </w:rPr>
        <w:t>iscerning a breach of Article 3</w:t>
      </w:r>
      <w:r w:rsidR="0009178C" w:rsidRPr="00F971E7">
        <w:rPr>
          <w:rFonts w:asciiTheme="minorHAnsi" w:hAnsiTheme="minorHAnsi" w:cstheme="minorHAnsi"/>
        </w:rPr>
        <w:t xml:space="preserve"> at the operational level, i.e. in relation to a particular case handled by a particular force</w:t>
      </w:r>
      <w:r w:rsidR="003D5389">
        <w:rPr>
          <w:rFonts w:asciiTheme="minorHAnsi" w:hAnsiTheme="minorHAnsi" w:cstheme="minorHAnsi"/>
        </w:rPr>
        <w:t>, G</w:t>
      </w:r>
      <w:r w:rsidR="00C84CEC" w:rsidRPr="00F971E7">
        <w:rPr>
          <w:rFonts w:asciiTheme="minorHAnsi" w:hAnsiTheme="minorHAnsi" w:cstheme="minorHAnsi"/>
        </w:rPr>
        <w:t xml:space="preserve">reen J gave the following </w:t>
      </w:r>
      <w:r w:rsidR="006A1A34" w:rsidRPr="00F971E7">
        <w:rPr>
          <w:rFonts w:asciiTheme="minorHAnsi" w:hAnsiTheme="minorHAnsi" w:cstheme="minorHAnsi"/>
        </w:rPr>
        <w:t xml:space="preserve">useful </w:t>
      </w:r>
      <w:r w:rsidR="00C84CEC" w:rsidRPr="00F971E7">
        <w:rPr>
          <w:rFonts w:asciiTheme="minorHAnsi" w:hAnsiTheme="minorHAnsi" w:cstheme="minorHAnsi"/>
        </w:rPr>
        <w:t>overview</w:t>
      </w:r>
      <w:r w:rsidR="00A7058A" w:rsidRPr="00F971E7">
        <w:rPr>
          <w:rFonts w:asciiTheme="minorHAnsi" w:hAnsiTheme="minorHAnsi" w:cstheme="minorHAnsi"/>
        </w:rPr>
        <w:t>:</w:t>
      </w:r>
    </w:p>
    <w:p w14:paraId="19FF75E1" w14:textId="7AFDBF57" w:rsidR="00170927" w:rsidRPr="00F971E7" w:rsidRDefault="00170927" w:rsidP="00702F50">
      <w:pPr>
        <w:pStyle w:val="ListParagraph"/>
        <w:numPr>
          <w:ilvl w:val="0"/>
          <w:numId w:val="1"/>
        </w:numPr>
        <w:jc w:val="both"/>
        <w:rPr>
          <w:rFonts w:asciiTheme="minorHAnsi" w:hAnsiTheme="minorHAnsi" w:cstheme="minorHAnsi"/>
        </w:rPr>
      </w:pPr>
      <w:r w:rsidRPr="00F971E7">
        <w:rPr>
          <w:rFonts w:asciiTheme="minorHAnsi" w:hAnsiTheme="minorHAnsi" w:cstheme="minorHAnsi"/>
        </w:rPr>
        <w:t>"where a credible allegation of a grave or serious crime is made, the police must investigate in an efficient and reasonable manner</w:t>
      </w:r>
      <w:r w:rsidR="00213FA6">
        <w:rPr>
          <w:rFonts w:asciiTheme="minorHAnsi" w:hAnsiTheme="minorHAnsi" w:cstheme="minorHAnsi"/>
        </w:rPr>
        <w:t>,</w:t>
      </w:r>
      <w:r w:rsidRPr="00F971E7">
        <w:rPr>
          <w:rFonts w:asciiTheme="minorHAnsi" w:hAnsiTheme="minorHAnsi" w:cstheme="minorHAnsi"/>
        </w:rPr>
        <w:t xml:space="preserve"> which is capable of leading to the identification and punishment of the perpetrator(s)"</w:t>
      </w:r>
      <w:r w:rsidR="00DA53A8">
        <w:rPr>
          <w:rStyle w:val="FootnoteReference"/>
          <w:rFonts w:asciiTheme="minorHAnsi" w:hAnsiTheme="minorHAnsi" w:cstheme="minorHAnsi"/>
        </w:rPr>
        <w:footnoteReference w:id="43"/>
      </w:r>
    </w:p>
    <w:p w14:paraId="785A0A08" w14:textId="4E855C37" w:rsidR="00170927" w:rsidRPr="00F971E7" w:rsidRDefault="00170927" w:rsidP="00702F50">
      <w:pPr>
        <w:pStyle w:val="ListParagraph"/>
        <w:numPr>
          <w:ilvl w:val="0"/>
          <w:numId w:val="1"/>
        </w:numPr>
        <w:jc w:val="both"/>
        <w:rPr>
          <w:rFonts w:asciiTheme="minorHAnsi" w:hAnsiTheme="minorHAnsi" w:cstheme="minorHAnsi"/>
        </w:rPr>
      </w:pPr>
      <w:r w:rsidRPr="00F971E7">
        <w:rPr>
          <w:rFonts w:asciiTheme="minorHAnsi" w:hAnsiTheme="minorHAnsi" w:cstheme="minorHAnsi"/>
        </w:rPr>
        <w:t>"whether a breach has occurred is measured by viewing the conduct of the police over a relevant time frame. Ordinarily, this will be measured by the time span from the assault on the Claimant to the last point in the criminal process (which might be a case closure or a conviction in a criminal court...)... There is, however, no reason why it cannot span the police investigation from the first point in time that evidence comes to police attention of a person's offending until the last point in the process. This will be particularly relevant in the case of a serial offender whose violent criminality might long pre-date the point in time that a particular victim is attacked."</w:t>
      </w:r>
      <w:r w:rsidR="00E823CC">
        <w:rPr>
          <w:rStyle w:val="FootnoteReference"/>
          <w:rFonts w:asciiTheme="minorHAnsi" w:hAnsiTheme="minorHAnsi" w:cstheme="minorHAnsi"/>
        </w:rPr>
        <w:footnoteReference w:id="44"/>
      </w:r>
      <w:r w:rsidRPr="00F971E7">
        <w:rPr>
          <w:rFonts w:asciiTheme="minorHAnsi" w:hAnsiTheme="minorHAnsi" w:cstheme="minorHAnsi"/>
        </w:rPr>
        <w:t xml:space="preserve">  </w:t>
      </w:r>
    </w:p>
    <w:p w14:paraId="313FD82F" w14:textId="46BD37D4" w:rsidR="00170927" w:rsidRPr="00F971E7" w:rsidRDefault="00170927" w:rsidP="00702F50">
      <w:pPr>
        <w:pStyle w:val="ListParagraph"/>
        <w:numPr>
          <w:ilvl w:val="0"/>
          <w:numId w:val="1"/>
        </w:numPr>
        <w:jc w:val="both"/>
        <w:rPr>
          <w:rFonts w:asciiTheme="minorHAnsi" w:hAnsiTheme="minorHAnsi" w:cstheme="minorHAnsi"/>
        </w:rPr>
      </w:pPr>
      <w:r w:rsidRPr="00F971E7">
        <w:rPr>
          <w:rFonts w:asciiTheme="minorHAnsi" w:hAnsiTheme="minorHAnsi" w:cstheme="minorHAnsi"/>
        </w:rPr>
        <w:t>"the assessment of the efficiency and reasonableness of an investigation takes account of its promptitude</w:t>
      </w:r>
      <w:r w:rsidR="00DE14D3">
        <w:rPr>
          <w:rFonts w:asciiTheme="minorHAnsi" w:hAnsiTheme="minorHAnsi" w:cstheme="minorHAnsi"/>
        </w:rPr>
        <w:t>.</w:t>
      </w:r>
      <w:r w:rsidRPr="00F971E7">
        <w:rPr>
          <w:rFonts w:asciiTheme="minorHAnsi" w:hAnsiTheme="minorHAnsi" w:cstheme="minorHAnsi"/>
        </w:rPr>
        <w:t>"</w:t>
      </w:r>
      <w:r w:rsidR="00DE14D3">
        <w:rPr>
          <w:rStyle w:val="FootnoteReference"/>
          <w:rFonts w:asciiTheme="minorHAnsi" w:hAnsiTheme="minorHAnsi" w:cstheme="minorHAnsi"/>
        </w:rPr>
        <w:footnoteReference w:id="45"/>
      </w:r>
    </w:p>
    <w:p w14:paraId="2883A7ED" w14:textId="5870F2EA" w:rsidR="00331E55" w:rsidRPr="00F971E7" w:rsidRDefault="00170927" w:rsidP="00702F50">
      <w:pPr>
        <w:pStyle w:val="ListParagraph"/>
        <w:numPr>
          <w:ilvl w:val="0"/>
          <w:numId w:val="1"/>
        </w:numPr>
        <w:jc w:val="both"/>
        <w:rPr>
          <w:rFonts w:asciiTheme="minorHAnsi" w:hAnsiTheme="minorHAnsi" w:cstheme="minorHAnsi"/>
        </w:rPr>
      </w:pPr>
      <w:r w:rsidRPr="00F971E7">
        <w:rPr>
          <w:rFonts w:asciiTheme="minorHAnsi" w:hAnsiTheme="minorHAnsi" w:cstheme="minorHAnsi"/>
        </w:rPr>
        <w:t>"the assessment of the efficiency, and, reasonableness of an investigation also takes into account whether the offender was adequately prosecuted. In this respect, a successful prosecution within a reasonable period of time will render prior operational failures irrelevant (non-justiciable).</w:t>
      </w:r>
      <w:r w:rsidR="00331E55" w:rsidRPr="00F971E7">
        <w:rPr>
          <w:rFonts w:asciiTheme="minorHAnsi" w:hAnsiTheme="minorHAnsi" w:cstheme="minorHAnsi"/>
        </w:rPr>
        <w:t xml:space="preserve"> However</w:t>
      </w:r>
      <w:r w:rsidR="00F10115">
        <w:rPr>
          <w:rFonts w:asciiTheme="minorHAnsi" w:hAnsiTheme="minorHAnsi" w:cstheme="minorHAnsi"/>
        </w:rPr>
        <w:t>,</w:t>
      </w:r>
      <w:r w:rsidR="00331E55" w:rsidRPr="00F971E7">
        <w:rPr>
          <w:rFonts w:asciiTheme="minorHAnsi" w:hAnsiTheme="minorHAnsi" w:cstheme="minorHAnsi"/>
        </w:rPr>
        <w:t xml:space="preserve"> a prosecution that is brought after an unreasonable point of time does </w:t>
      </w:r>
      <w:r w:rsidR="00331E55" w:rsidRPr="00F971E7">
        <w:rPr>
          <w:rFonts w:asciiTheme="minorHAnsi" w:hAnsiTheme="minorHAnsi" w:cstheme="minorHAnsi"/>
          <w:u w:val="single"/>
        </w:rPr>
        <w:t>not</w:t>
      </w:r>
      <w:r w:rsidR="00331E55" w:rsidRPr="00F971E7">
        <w:rPr>
          <w:rFonts w:asciiTheme="minorHAnsi" w:hAnsiTheme="minorHAnsi" w:cstheme="minorHAnsi"/>
        </w:rPr>
        <w:t xml:space="preserve"> in and of itself expunge the legal effect of prior operational failures"</w:t>
      </w:r>
      <w:r w:rsidR="00DE14D3">
        <w:rPr>
          <w:rFonts w:asciiTheme="minorHAnsi" w:hAnsiTheme="minorHAnsi" w:cstheme="minorHAnsi"/>
        </w:rPr>
        <w:t>.</w:t>
      </w:r>
      <w:r w:rsidR="00DE14D3">
        <w:rPr>
          <w:rStyle w:val="FootnoteReference"/>
          <w:rFonts w:asciiTheme="minorHAnsi" w:hAnsiTheme="minorHAnsi" w:cstheme="minorHAnsi"/>
        </w:rPr>
        <w:footnoteReference w:id="46"/>
      </w:r>
      <w:r w:rsidR="00331E55" w:rsidRPr="00F971E7">
        <w:rPr>
          <w:rFonts w:asciiTheme="minorHAnsi" w:hAnsiTheme="minorHAnsi" w:cstheme="minorHAnsi"/>
        </w:rPr>
        <w:t xml:space="preserve"> </w:t>
      </w:r>
    </w:p>
    <w:p w14:paraId="58207B7F" w14:textId="60C75308" w:rsidR="00A0725D" w:rsidRDefault="00945DE9" w:rsidP="00702F50">
      <w:pPr>
        <w:jc w:val="both"/>
        <w:rPr>
          <w:rFonts w:asciiTheme="minorHAnsi" w:hAnsiTheme="minorHAnsi" w:cstheme="minorHAnsi"/>
        </w:rPr>
      </w:pPr>
      <w:r w:rsidRPr="00F971E7">
        <w:rPr>
          <w:rFonts w:asciiTheme="minorHAnsi" w:hAnsiTheme="minorHAnsi" w:cstheme="minorHAnsi"/>
        </w:rPr>
        <w:t xml:space="preserve">This framework of factors </w:t>
      </w:r>
      <w:r w:rsidR="0096135F" w:rsidRPr="00F971E7">
        <w:rPr>
          <w:rFonts w:asciiTheme="minorHAnsi" w:hAnsiTheme="minorHAnsi" w:cstheme="minorHAnsi"/>
        </w:rPr>
        <w:t xml:space="preserve">was distilled </w:t>
      </w:r>
      <w:r w:rsidR="006D0393">
        <w:rPr>
          <w:rFonts w:asciiTheme="minorHAnsi" w:hAnsiTheme="minorHAnsi" w:cstheme="minorHAnsi"/>
        </w:rPr>
        <w:t xml:space="preserve">by Lord Kerr in the Supreme Court </w:t>
      </w:r>
      <w:r w:rsidR="0096135F" w:rsidRPr="00F971E7">
        <w:rPr>
          <w:rFonts w:asciiTheme="minorHAnsi" w:hAnsiTheme="minorHAnsi" w:cstheme="minorHAnsi"/>
        </w:rPr>
        <w:t>to a principle</w:t>
      </w:r>
      <w:r w:rsidR="006D0393">
        <w:rPr>
          <w:rFonts w:asciiTheme="minorHAnsi" w:hAnsiTheme="minorHAnsi" w:cstheme="minorHAnsi"/>
        </w:rPr>
        <w:t xml:space="preserve"> </w:t>
      </w:r>
      <w:r w:rsidR="0096135F" w:rsidRPr="00F971E7">
        <w:rPr>
          <w:rFonts w:asciiTheme="minorHAnsi" w:hAnsiTheme="minorHAnsi" w:cstheme="minorHAnsi"/>
        </w:rPr>
        <w:t xml:space="preserve">that police should avoid making ‘egregious errors’ in investigations and case </w:t>
      </w:r>
      <w:r w:rsidR="00A0725D" w:rsidRPr="00F971E7">
        <w:rPr>
          <w:rFonts w:asciiTheme="minorHAnsi" w:hAnsiTheme="minorHAnsi" w:cstheme="minorHAnsi"/>
        </w:rPr>
        <w:t>handling.</w:t>
      </w:r>
      <w:r w:rsidR="0096135F" w:rsidRPr="00F971E7">
        <w:rPr>
          <w:rFonts w:asciiTheme="minorHAnsi" w:hAnsiTheme="minorHAnsi" w:cstheme="minorHAnsi"/>
        </w:rPr>
        <w:t xml:space="preserve"> </w:t>
      </w:r>
    </w:p>
    <w:p w14:paraId="10DF2AAE" w14:textId="77777777" w:rsidR="00E77831" w:rsidRPr="00F971E7" w:rsidRDefault="00E77831" w:rsidP="00702F50">
      <w:pPr>
        <w:jc w:val="both"/>
        <w:rPr>
          <w:rFonts w:asciiTheme="minorHAnsi" w:hAnsiTheme="minorHAnsi" w:cstheme="minorHAnsi"/>
        </w:rPr>
      </w:pPr>
    </w:p>
    <w:p w14:paraId="72337EF4" w14:textId="77777777" w:rsidR="00390BF2" w:rsidRDefault="00390BF2">
      <w:pPr>
        <w:spacing w:after="160" w:line="259" w:lineRule="auto"/>
        <w:rPr>
          <w:rFonts w:asciiTheme="minorHAnsi" w:hAnsiTheme="minorHAnsi" w:cstheme="minorHAnsi"/>
          <w:b/>
        </w:rPr>
      </w:pPr>
      <w:r>
        <w:br w:type="page"/>
      </w:r>
    </w:p>
    <w:p w14:paraId="67333149" w14:textId="37632948" w:rsidR="00837AA3" w:rsidRPr="008A31F7" w:rsidRDefault="00D07BCB" w:rsidP="00390BF2">
      <w:pPr>
        <w:pStyle w:val="Heading1"/>
      </w:pPr>
      <w:r>
        <w:lastRenderedPageBreak/>
        <w:t xml:space="preserve">4. </w:t>
      </w:r>
      <w:r w:rsidR="00837AA3" w:rsidRPr="00D07BCB">
        <w:t>DSD in the UK Supreme Court</w:t>
      </w:r>
    </w:p>
    <w:p w14:paraId="5DCE094F" w14:textId="33D7B0AF" w:rsidR="00331E55" w:rsidRPr="00F971E7" w:rsidRDefault="001800E8" w:rsidP="00702F50">
      <w:pPr>
        <w:jc w:val="both"/>
        <w:rPr>
          <w:rFonts w:asciiTheme="minorHAnsi" w:hAnsiTheme="minorHAnsi" w:cstheme="minorHAnsi"/>
        </w:rPr>
      </w:pPr>
      <w:r w:rsidRPr="00F971E7">
        <w:rPr>
          <w:rFonts w:asciiTheme="minorHAnsi" w:hAnsiTheme="minorHAnsi" w:cstheme="minorHAnsi"/>
        </w:rPr>
        <w:t>In</w:t>
      </w:r>
      <w:r w:rsidRPr="00F971E7">
        <w:rPr>
          <w:rFonts w:asciiTheme="minorHAnsi" w:hAnsiTheme="minorHAnsi" w:cstheme="minorHAnsi"/>
          <w:i/>
          <w:iCs/>
        </w:rPr>
        <w:t xml:space="preserve"> </w:t>
      </w:r>
      <w:r w:rsidR="00331E55" w:rsidRPr="00F971E7">
        <w:rPr>
          <w:rFonts w:asciiTheme="minorHAnsi" w:hAnsiTheme="minorHAnsi" w:cstheme="minorHAnsi"/>
          <w:i/>
          <w:iCs/>
        </w:rPr>
        <w:t>Commissioner of Police of the Metropolis v DSD and another</w:t>
      </w:r>
      <w:r w:rsidRPr="00F971E7">
        <w:rPr>
          <w:rFonts w:asciiTheme="minorHAnsi" w:hAnsiTheme="minorHAnsi" w:cstheme="minorHAnsi"/>
        </w:rPr>
        <w:t>,</w:t>
      </w:r>
      <w:r w:rsidR="00BD402B">
        <w:rPr>
          <w:rStyle w:val="FootnoteReference"/>
          <w:rFonts w:asciiTheme="minorHAnsi" w:hAnsiTheme="minorHAnsi" w:cstheme="minorHAnsi"/>
        </w:rPr>
        <w:footnoteReference w:id="47"/>
      </w:r>
      <w:r w:rsidR="00BD402B">
        <w:rPr>
          <w:rFonts w:asciiTheme="minorHAnsi" w:hAnsiTheme="minorHAnsi" w:cstheme="minorHAnsi"/>
        </w:rPr>
        <w:t xml:space="preserve"> </w:t>
      </w:r>
      <w:r w:rsidR="00D07BCB">
        <w:rPr>
          <w:rFonts w:asciiTheme="minorHAnsi" w:hAnsiTheme="minorHAnsi" w:cstheme="minorHAnsi"/>
        </w:rPr>
        <w:t>Lord</w:t>
      </w:r>
      <w:r w:rsidR="00BD402B">
        <w:rPr>
          <w:rFonts w:asciiTheme="minorHAnsi" w:hAnsiTheme="minorHAnsi" w:cstheme="minorHAnsi"/>
        </w:rPr>
        <w:t xml:space="preserve"> </w:t>
      </w:r>
      <w:r w:rsidRPr="00F971E7">
        <w:rPr>
          <w:rFonts w:asciiTheme="minorHAnsi" w:hAnsiTheme="minorHAnsi" w:cstheme="minorHAnsi"/>
        </w:rPr>
        <w:t xml:space="preserve">Kerr </w:t>
      </w:r>
      <w:r w:rsidR="00BD402B">
        <w:rPr>
          <w:rFonts w:asciiTheme="minorHAnsi" w:hAnsiTheme="minorHAnsi" w:cstheme="minorHAnsi"/>
        </w:rPr>
        <w:t>expressed</w:t>
      </w:r>
      <w:r w:rsidRPr="00F971E7">
        <w:rPr>
          <w:rFonts w:asciiTheme="minorHAnsi" w:hAnsiTheme="minorHAnsi" w:cstheme="minorHAnsi"/>
        </w:rPr>
        <w:t xml:space="preserve"> the view that there had been failures </w:t>
      </w:r>
      <w:r w:rsidR="00896A64">
        <w:rPr>
          <w:rFonts w:asciiTheme="minorHAnsi" w:hAnsiTheme="minorHAnsi" w:cstheme="minorHAnsi"/>
        </w:rPr>
        <w:t>that</w:t>
      </w:r>
      <w:r w:rsidR="00896A64" w:rsidRPr="00F971E7">
        <w:rPr>
          <w:rFonts w:asciiTheme="minorHAnsi" w:hAnsiTheme="minorHAnsi" w:cstheme="minorHAnsi"/>
        </w:rPr>
        <w:t xml:space="preserve"> </w:t>
      </w:r>
      <w:r w:rsidRPr="00F971E7">
        <w:rPr>
          <w:rFonts w:asciiTheme="minorHAnsi" w:hAnsiTheme="minorHAnsi" w:cstheme="minorHAnsi"/>
        </w:rPr>
        <w:t>were not systemic</w:t>
      </w:r>
      <w:r w:rsidR="00BD402B">
        <w:rPr>
          <w:rFonts w:asciiTheme="minorHAnsi" w:hAnsiTheme="minorHAnsi" w:cstheme="minorHAnsi"/>
        </w:rPr>
        <w:t>,</w:t>
      </w:r>
      <w:r w:rsidRPr="00F971E7">
        <w:rPr>
          <w:rFonts w:asciiTheme="minorHAnsi" w:hAnsiTheme="minorHAnsi" w:cstheme="minorHAnsi"/>
        </w:rPr>
        <w:t xml:space="preserve"> but which pertained to the shortcomings of the policing approach taken by the Met in dealing with </w:t>
      </w:r>
      <w:r w:rsidR="00C812CA" w:rsidRPr="00F971E7">
        <w:rPr>
          <w:rFonts w:asciiTheme="minorHAnsi" w:hAnsiTheme="minorHAnsi" w:cstheme="minorHAnsi"/>
        </w:rPr>
        <w:t xml:space="preserve">particular reported sexual offences, that is to say, reported crimes </w:t>
      </w:r>
      <w:r w:rsidR="00F7320E" w:rsidRPr="00F971E7">
        <w:rPr>
          <w:rFonts w:asciiTheme="minorHAnsi" w:hAnsiTheme="minorHAnsi" w:cstheme="minorHAnsi"/>
        </w:rPr>
        <w:t xml:space="preserve">on an individual basis, and </w:t>
      </w:r>
      <w:r w:rsidR="00C812CA" w:rsidRPr="00F971E7">
        <w:rPr>
          <w:rFonts w:asciiTheme="minorHAnsi" w:hAnsiTheme="minorHAnsi" w:cstheme="minorHAnsi"/>
        </w:rPr>
        <w:t>relating to the victims of John W</w:t>
      </w:r>
      <w:r w:rsidR="00386109" w:rsidRPr="00F971E7">
        <w:rPr>
          <w:rFonts w:asciiTheme="minorHAnsi" w:hAnsiTheme="minorHAnsi" w:cstheme="minorHAnsi"/>
        </w:rPr>
        <w:t>o</w:t>
      </w:r>
      <w:r w:rsidR="00C812CA" w:rsidRPr="00F971E7">
        <w:rPr>
          <w:rFonts w:asciiTheme="minorHAnsi" w:hAnsiTheme="minorHAnsi" w:cstheme="minorHAnsi"/>
        </w:rPr>
        <w:t>rboys:</w:t>
      </w:r>
    </w:p>
    <w:p w14:paraId="6E6B74B0" w14:textId="1B76F14E" w:rsidR="00C812CA" w:rsidRPr="00F971E7" w:rsidRDefault="00C812CA" w:rsidP="00702F50">
      <w:pPr>
        <w:pStyle w:val="ListParagraph"/>
        <w:numPr>
          <w:ilvl w:val="0"/>
          <w:numId w:val="2"/>
        </w:numPr>
        <w:jc w:val="both"/>
        <w:rPr>
          <w:rFonts w:asciiTheme="minorHAnsi" w:hAnsiTheme="minorHAnsi" w:cstheme="minorHAnsi"/>
        </w:rPr>
      </w:pPr>
      <w:r w:rsidRPr="00F971E7">
        <w:rPr>
          <w:rFonts w:asciiTheme="minorHAnsi" w:hAnsiTheme="minorHAnsi" w:cstheme="minorHAnsi"/>
        </w:rPr>
        <w:t>(</w:t>
      </w:r>
      <w:proofErr w:type="spellStart"/>
      <w:r w:rsidRPr="00F971E7">
        <w:rPr>
          <w:rFonts w:asciiTheme="minorHAnsi" w:hAnsiTheme="minorHAnsi" w:cstheme="minorHAnsi"/>
        </w:rPr>
        <w:t>i</w:t>
      </w:r>
      <w:proofErr w:type="spellEnd"/>
      <w:r w:rsidRPr="00F971E7">
        <w:rPr>
          <w:rFonts w:asciiTheme="minorHAnsi" w:hAnsiTheme="minorHAnsi" w:cstheme="minorHAnsi"/>
        </w:rPr>
        <w:t xml:space="preserve">) Reception staff failed to record relevant names, addresses and vehicle registration details. If these had been recorded, it was </w:t>
      </w:r>
      <w:r w:rsidR="00BD402B">
        <w:rPr>
          <w:rFonts w:asciiTheme="minorHAnsi" w:hAnsiTheme="minorHAnsi" w:cstheme="minorHAnsi"/>
        </w:rPr>
        <w:t>“</w:t>
      </w:r>
      <w:r w:rsidRPr="00F971E7">
        <w:rPr>
          <w:rFonts w:asciiTheme="minorHAnsi" w:hAnsiTheme="minorHAnsi" w:cstheme="minorHAnsi"/>
        </w:rPr>
        <w:t>perfectly feasible to believe</w:t>
      </w:r>
      <w:r w:rsidR="00BD402B">
        <w:rPr>
          <w:rFonts w:asciiTheme="minorHAnsi" w:hAnsiTheme="minorHAnsi" w:cstheme="minorHAnsi"/>
        </w:rPr>
        <w:t>”</w:t>
      </w:r>
      <w:r w:rsidRPr="00F971E7">
        <w:rPr>
          <w:rFonts w:asciiTheme="minorHAnsi" w:hAnsiTheme="minorHAnsi" w:cstheme="minorHAnsi"/>
        </w:rPr>
        <w:t xml:space="preserve">, the judge found, that Worboys might have been apprehended earlier or might even have been deterred from further offending; </w:t>
      </w:r>
    </w:p>
    <w:p w14:paraId="2B6863FF" w14:textId="58CE9732" w:rsidR="00C812CA" w:rsidRPr="00F971E7" w:rsidRDefault="00C812CA" w:rsidP="00702F50">
      <w:pPr>
        <w:pStyle w:val="ListParagraph"/>
        <w:numPr>
          <w:ilvl w:val="0"/>
          <w:numId w:val="2"/>
        </w:numPr>
        <w:jc w:val="both"/>
        <w:rPr>
          <w:rFonts w:asciiTheme="minorHAnsi" w:hAnsiTheme="minorHAnsi" w:cstheme="minorHAnsi"/>
        </w:rPr>
      </w:pPr>
      <w:r w:rsidRPr="00F971E7">
        <w:rPr>
          <w:rFonts w:asciiTheme="minorHAnsi" w:hAnsiTheme="minorHAnsi" w:cstheme="minorHAnsi"/>
        </w:rPr>
        <w:t xml:space="preserve">(ii) Failure to interview promptly a witness known as Kevin. He could have identified Worboys and could have given evidence that might have led to his arrest; </w:t>
      </w:r>
    </w:p>
    <w:p w14:paraId="5ED10261" w14:textId="46657C11" w:rsidR="00C812CA" w:rsidRPr="00F971E7" w:rsidRDefault="00C812CA" w:rsidP="00702F50">
      <w:pPr>
        <w:pStyle w:val="ListParagraph"/>
        <w:numPr>
          <w:ilvl w:val="0"/>
          <w:numId w:val="2"/>
        </w:numPr>
        <w:jc w:val="both"/>
        <w:rPr>
          <w:rFonts w:asciiTheme="minorHAnsi" w:hAnsiTheme="minorHAnsi" w:cstheme="minorHAnsi"/>
        </w:rPr>
      </w:pPr>
      <w:r w:rsidRPr="00F971E7">
        <w:rPr>
          <w:rFonts w:asciiTheme="minorHAnsi" w:hAnsiTheme="minorHAnsi" w:cstheme="minorHAnsi"/>
        </w:rPr>
        <w:t xml:space="preserve">(iii) Failure to collect CCTV evidence. Worboys had driven his taxi to a police station. The timing of his arrival at and departure from the police station was known. If police officers had checked the CCTV footage, they could have identified the registration number and this would have led them to Worboys; </w:t>
      </w:r>
    </w:p>
    <w:p w14:paraId="13552DCA" w14:textId="4329865F" w:rsidR="00C812CA" w:rsidRPr="00F971E7" w:rsidRDefault="00C812CA" w:rsidP="00702F50">
      <w:pPr>
        <w:pStyle w:val="ListParagraph"/>
        <w:numPr>
          <w:ilvl w:val="0"/>
          <w:numId w:val="2"/>
        </w:numPr>
        <w:jc w:val="both"/>
        <w:rPr>
          <w:rFonts w:asciiTheme="minorHAnsi" w:hAnsiTheme="minorHAnsi" w:cstheme="minorHAnsi"/>
        </w:rPr>
      </w:pPr>
      <w:r w:rsidRPr="00F971E7">
        <w:rPr>
          <w:rFonts w:asciiTheme="minorHAnsi" w:hAnsiTheme="minorHAnsi" w:cstheme="minorHAnsi"/>
        </w:rPr>
        <w:t xml:space="preserve">(iv) Between 2003 and 2008 many complaints were made to police which should have been sufficient to trigger the arrest of Worboys. The failure to make the link between these complaints was due not only to a lack of training but also to a failure to adhere to procedures; </w:t>
      </w:r>
    </w:p>
    <w:p w14:paraId="45CA5D19" w14:textId="3EBD231A" w:rsidR="00C812CA" w:rsidRPr="00F971E7" w:rsidRDefault="00C812CA" w:rsidP="00702F50">
      <w:pPr>
        <w:pStyle w:val="ListParagraph"/>
        <w:numPr>
          <w:ilvl w:val="0"/>
          <w:numId w:val="2"/>
        </w:numPr>
        <w:jc w:val="both"/>
        <w:rPr>
          <w:rFonts w:asciiTheme="minorHAnsi" w:hAnsiTheme="minorHAnsi" w:cstheme="minorHAnsi"/>
        </w:rPr>
      </w:pPr>
      <w:r w:rsidRPr="00F971E7">
        <w:rPr>
          <w:rFonts w:asciiTheme="minorHAnsi" w:hAnsiTheme="minorHAnsi" w:cstheme="minorHAnsi"/>
        </w:rPr>
        <w:t>(v) Failure to conduct searches.</w:t>
      </w:r>
    </w:p>
    <w:p w14:paraId="631648E2" w14:textId="312B1C7D" w:rsidR="00331E55" w:rsidRPr="00F971E7" w:rsidRDefault="00F7320E" w:rsidP="00702F50">
      <w:pPr>
        <w:jc w:val="both"/>
        <w:rPr>
          <w:rFonts w:asciiTheme="minorHAnsi" w:hAnsiTheme="minorHAnsi" w:cstheme="minorHAnsi"/>
        </w:rPr>
      </w:pPr>
      <w:r w:rsidRPr="00F971E7">
        <w:rPr>
          <w:rFonts w:asciiTheme="minorHAnsi" w:hAnsiTheme="minorHAnsi" w:cstheme="minorHAnsi"/>
        </w:rPr>
        <w:t xml:space="preserve">The UK Supreme Court judgment in </w:t>
      </w:r>
      <w:r w:rsidR="00331E55" w:rsidRPr="00F971E7">
        <w:rPr>
          <w:rFonts w:asciiTheme="minorHAnsi" w:hAnsiTheme="minorHAnsi" w:cstheme="minorHAnsi"/>
          <w:i/>
          <w:iCs/>
        </w:rPr>
        <w:t>DSD</w:t>
      </w:r>
      <w:r w:rsidR="00331E55" w:rsidRPr="00F971E7">
        <w:rPr>
          <w:rFonts w:asciiTheme="minorHAnsi" w:hAnsiTheme="minorHAnsi" w:cstheme="minorHAnsi"/>
        </w:rPr>
        <w:t xml:space="preserve"> now creates a rule in UK law that conspicuous </w:t>
      </w:r>
      <w:r w:rsidR="0031332C" w:rsidRPr="00F971E7">
        <w:rPr>
          <w:rFonts w:asciiTheme="minorHAnsi" w:hAnsiTheme="minorHAnsi" w:cstheme="minorHAnsi"/>
        </w:rPr>
        <w:t>and</w:t>
      </w:r>
      <w:r w:rsidR="00331E55" w:rsidRPr="00F971E7">
        <w:rPr>
          <w:rFonts w:asciiTheme="minorHAnsi" w:hAnsiTheme="minorHAnsi" w:cstheme="minorHAnsi"/>
        </w:rPr>
        <w:t xml:space="preserve"> substantial, </w:t>
      </w:r>
      <w:r w:rsidR="0031332C" w:rsidRPr="00F971E7">
        <w:rPr>
          <w:rFonts w:asciiTheme="minorHAnsi" w:hAnsiTheme="minorHAnsi" w:cstheme="minorHAnsi"/>
        </w:rPr>
        <w:t xml:space="preserve">or </w:t>
      </w:r>
      <w:r w:rsidR="00331E55" w:rsidRPr="00F971E7">
        <w:rPr>
          <w:rFonts w:asciiTheme="minorHAnsi" w:hAnsiTheme="minorHAnsi" w:cstheme="minorHAnsi"/>
        </w:rPr>
        <w:t>egregious and significant errors in the police handling of a case will lead to an operational breach of Article 3 EHCR</w:t>
      </w:r>
      <w:r w:rsidR="00A755A5">
        <w:rPr>
          <w:rFonts w:asciiTheme="minorHAnsi" w:hAnsiTheme="minorHAnsi" w:cstheme="minorHAnsi"/>
        </w:rPr>
        <w:t>,</w:t>
      </w:r>
      <w:r w:rsidR="00331E55" w:rsidRPr="00F971E7">
        <w:rPr>
          <w:rFonts w:asciiTheme="minorHAnsi" w:hAnsiTheme="minorHAnsi" w:cstheme="minorHAnsi"/>
        </w:rPr>
        <w:t xml:space="preserve"> notwithstanding structural compliance</w:t>
      </w:r>
      <w:r w:rsidR="002134E8">
        <w:rPr>
          <w:rFonts w:asciiTheme="minorHAnsi" w:hAnsiTheme="minorHAnsi" w:cstheme="minorHAnsi"/>
        </w:rPr>
        <w:t>.</w:t>
      </w:r>
      <w:r w:rsidR="00D56C0B" w:rsidRPr="00F971E7">
        <w:rPr>
          <w:rStyle w:val="FootnoteReference"/>
          <w:rFonts w:asciiTheme="minorHAnsi" w:hAnsiTheme="minorHAnsi" w:cstheme="minorHAnsi"/>
        </w:rPr>
        <w:footnoteReference w:id="48"/>
      </w:r>
      <w:r w:rsidR="007950A4" w:rsidRPr="00F971E7">
        <w:rPr>
          <w:rFonts w:asciiTheme="minorHAnsi" w:hAnsiTheme="minorHAnsi" w:cstheme="minorHAnsi"/>
        </w:rPr>
        <w:t xml:space="preserve"> </w:t>
      </w:r>
      <w:r w:rsidR="00331E55" w:rsidRPr="00F971E7">
        <w:rPr>
          <w:rFonts w:asciiTheme="minorHAnsi" w:hAnsiTheme="minorHAnsi" w:cstheme="minorHAnsi"/>
        </w:rPr>
        <w:t>This goes beyond Strasbourg jurisprudence, and is a result of a majority of the Supreme Court in the case (</w:t>
      </w:r>
      <w:r w:rsidR="00DD0D1B">
        <w:rPr>
          <w:rFonts w:asciiTheme="minorHAnsi" w:hAnsiTheme="minorHAnsi" w:cstheme="minorHAnsi"/>
        </w:rPr>
        <w:t xml:space="preserve">Lord </w:t>
      </w:r>
      <w:r w:rsidR="00331E55" w:rsidRPr="00F971E7">
        <w:rPr>
          <w:rFonts w:asciiTheme="minorHAnsi" w:hAnsiTheme="minorHAnsi" w:cstheme="minorHAnsi"/>
        </w:rPr>
        <w:t xml:space="preserve">Kerr, </w:t>
      </w:r>
      <w:r w:rsidR="00DD0D1B">
        <w:rPr>
          <w:rFonts w:asciiTheme="minorHAnsi" w:hAnsiTheme="minorHAnsi" w:cstheme="minorHAnsi"/>
        </w:rPr>
        <w:t xml:space="preserve">Lady </w:t>
      </w:r>
      <w:r w:rsidR="00331E55" w:rsidRPr="00F971E7">
        <w:rPr>
          <w:rFonts w:asciiTheme="minorHAnsi" w:hAnsiTheme="minorHAnsi" w:cstheme="minorHAnsi"/>
        </w:rPr>
        <w:t xml:space="preserve">Hale, </w:t>
      </w:r>
      <w:r w:rsidR="004937FE" w:rsidRPr="00F971E7">
        <w:rPr>
          <w:rFonts w:asciiTheme="minorHAnsi" w:hAnsiTheme="minorHAnsi" w:cstheme="minorHAnsi"/>
        </w:rPr>
        <w:t xml:space="preserve">and </w:t>
      </w:r>
      <w:r w:rsidR="00DD0D1B">
        <w:rPr>
          <w:rFonts w:asciiTheme="minorHAnsi" w:hAnsiTheme="minorHAnsi" w:cstheme="minorHAnsi"/>
        </w:rPr>
        <w:t xml:space="preserve">Lord </w:t>
      </w:r>
      <w:r w:rsidR="00331E55" w:rsidRPr="00F971E7">
        <w:rPr>
          <w:rFonts w:asciiTheme="minorHAnsi" w:hAnsiTheme="minorHAnsi" w:cstheme="minorHAnsi"/>
        </w:rPr>
        <w:t>Neube</w:t>
      </w:r>
      <w:r w:rsidR="00BD2D3F" w:rsidRPr="00F971E7">
        <w:rPr>
          <w:rFonts w:asciiTheme="minorHAnsi" w:hAnsiTheme="minorHAnsi" w:cstheme="minorHAnsi"/>
        </w:rPr>
        <w:t>r</w:t>
      </w:r>
      <w:r w:rsidR="00331E55" w:rsidRPr="00F971E7">
        <w:rPr>
          <w:rFonts w:asciiTheme="minorHAnsi" w:hAnsiTheme="minorHAnsi" w:cstheme="minorHAnsi"/>
        </w:rPr>
        <w:t xml:space="preserve">ger) determining that there is a duty under </w:t>
      </w:r>
      <w:r w:rsidR="003C5500">
        <w:rPr>
          <w:rFonts w:asciiTheme="minorHAnsi" w:hAnsiTheme="minorHAnsi" w:cstheme="minorHAnsi"/>
        </w:rPr>
        <w:t>S</w:t>
      </w:r>
      <w:r w:rsidR="00D03040">
        <w:rPr>
          <w:rFonts w:asciiTheme="minorHAnsi" w:hAnsiTheme="minorHAnsi" w:cstheme="minorHAnsi"/>
        </w:rPr>
        <w:t xml:space="preserve">ection </w:t>
      </w:r>
      <w:r w:rsidR="00331E55" w:rsidRPr="00F971E7">
        <w:rPr>
          <w:rFonts w:asciiTheme="minorHAnsi" w:hAnsiTheme="minorHAnsi" w:cstheme="minorHAnsi"/>
        </w:rPr>
        <w:t xml:space="preserve">6 </w:t>
      </w:r>
      <w:r w:rsidR="00D03040">
        <w:rPr>
          <w:rFonts w:asciiTheme="minorHAnsi" w:hAnsiTheme="minorHAnsi" w:cstheme="minorHAnsi"/>
        </w:rPr>
        <w:t xml:space="preserve">of the </w:t>
      </w:r>
      <w:r w:rsidR="000304A4">
        <w:rPr>
          <w:rFonts w:asciiTheme="minorHAnsi" w:hAnsiTheme="minorHAnsi" w:cstheme="minorHAnsi"/>
        </w:rPr>
        <w:t>HRA</w:t>
      </w:r>
      <w:r w:rsidR="00331E55" w:rsidRPr="00F971E7">
        <w:rPr>
          <w:rFonts w:asciiTheme="minorHAnsi" w:hAnsiTheme="minorHAnsi" w:cstheme="minorHAnsi"/>
        </w:rPr>
        <w:t xml:space="preserve"> to uphold Convention rights as they must apply in the UK context </w:t>
      </w:r>
      <w:r w:rsidR="000304A4">
        <w:rPr>
          <w:rFonts w:asciiTheme="minorHAnsi" w:hAnsiTheme="minorHAnsi" w:cstheme="minorHAnsi"/>
        </w:rPr>
        <w:t>–</w:t>
      </w:r>
      <w:r w:rsidR="00331E55" w:rsidRPr="00F971E7">
        <w:rPr>
          <w:rFonts w:asciiTheme="minorHAnsi" w:hAnsiTheme="minorHAnsi" w:cstheme="minorHAnsi"/>
        </w:rPr>
        <w:t xml:space="preserve"> not</w:t>
      </w:r>
      <w:r w:rsidR="000304A4">
        <w:rPr>
          <w:rFonts w:asciiTheme="minorHAnsi" w:hAnsiTheme="minorHAnsi" w:cstheme="minorHAnsi"/>
        </w:rPr>
        <w:t xml:space="preserve"> </w:t>
      </w:r>
      <w:r w:rsidR="00331E55" w:rsidRPr="00F971E7">
        <w:rPr>
          <w:rFonts w:asciiTheme="minorHAnsi" w:hAnsiTheme="minorHAnsi" w:cstheme="minorHAnsi"/>
        </w:rPr>
        <w:t>merely in accordance with supra-national guidance.</w:t>
      </w:r>
      <w:r w:rsidR="000304A4">
        <w:rPr>
          <w:rStyle w:val="FootnoteReference"/>
          <w:rFonts w:asciiTheme="minorHAnsi" w:hAnsiTheme="minorHAnsi" w:cstheme="minorHAnsi"/>
        </w:rPr>
        <w:footnoteReference w:id="49"/>
      </w:r>
      <w:r w:rsidR="001C2B3B" w:rsidRPr="00F971E7">
        <w:rPr>
          <w:rFonts w:asciiTheme="minorHAnsi" w:hAnsiTheme="minorHAnsi" w:cstheme="minorHAnsi"/>
        </w:rPr>
        <w:t xml:space="preserve"> </w:t>
      </w:r>
      <w:r w:rsidR="00331E55" w:rsidRPr="00F971E7">
        <w:rPr>
          <w:rFonts w:asciiTheme="minorHAnsi" w:hAnsiTheme="minorHAnsi" w:cstheme="minorHAnsi"/>
        </w:rPr>
        <w:t xml:space="preserve">Lord Kerr </w:t>
      </w:r>
      <w:r w:rsidR="007950A4" w:rsidRPr="00F971E7">
        <w:rPr>
          <w:rFonts w:asciiTheme="minorHAnsi" w:hAnsiTheme="minorHAnsi" w:cstheme="minorHAnsi"/>
        </w:rPr>
        <w:t>explained that</w:t>
      </w:r>
      <w:r w:rsidR="00331E55" w:rsidRPr="00F971E7">
        <w:rPr>
          <w:rFonts w:asciiTheme="minorHAnsi" w:hAnsiTheme="minorHAnsi" w:cstheme="minorHAnsi"/>
        </w:rPr>
        <w:t>:</w:t>
      </w:r>
    </w:p>
    <w:p w14:paraId="68F70434" w14:textId="554B19FE" w:rsidR="00331E55" w:rsidRPr="00F971E7" w:rsidRDefault="00331E55" w:rsidP="00702F50">
      <w:pPr>
        <w:ind w:left="720"/>
        <w:jc w:val="both"/>
        <w:rPr>
          <w:rFonts w:asciiTheme="minorHAnsi" w:hAnsiTheme="minorHAnsi" w:cstheme="minorHAnsi"/>
        </w:rPr>
      </w:pPr>
      <w:r w:rsidRPr="00F971E7">
        <w:rPr>
          <w:rFonts w:asciiTheme="minorHAnsi" w:hAnsiTheme="minorHAnsi" w:cstheme="minorHAnsi"/>
        </w:rPr>
        <w:t xml:space="preserve">simple errors or isolated omissions will not give rise to a violation of </w:t>
      </w:r>
      <w:r w:rsidR="00B93B8D">
        <w:rPr>
          <w:rFonts w:asciiTheme="minorHAnsi" w:hAnsiTheme="minorHAnsi" w:cstheme="minorHAnsi"/>
        </w:rPr>
        <w:t>A</w:t>
      </w:r>
      <w:r w:rsidRPr="00F971E7">
        <w:rPr>
          <w:rFonts w:asciiTheme="minorHAnsi" w:hAnsiTheme="minorHAnsi" w:cstheme="minorHAnsi"/>
        </w:rPr>
        <w:t>rticle 3 at the supra-national and the national levels. That is why, as I point out below, only conspicuous or substantial errors</w:t>
      </w:r>
      <w:r w:rsidRPr="00F971E7">
        <w:rPr>
          <w:rFonts w:asciiTheme="minorHAnsi" w:hAnsiTheme="minorHAnsi" w:cstheme="minorHAnsi"/>
          <w:b/>
          <w:bCs/>
        </w:rPr>
        <w:t xml:space="preserve"> </w:t>
      </w:r>
      <w:r w:rsidRPr="00F971E7">
        <w:rPr>
          <w:rFonts w:asciiTheme="minorHAnsi" w:hAnsiTheme="minorHAnsi" w:cstheme="minorHAnsi"/>
        </w:rPr>
        <w:t>in investigation would qualify. The Strasbourg court disavowed any close examination of the errors in investigation because it was a supra-</w:t>
      </w:r>
      <w:r w:rsidRPr="00F971E7">
        <w:rPr>
          <w:rFonts w:asciiTheme="minorHAnsi" w:hAnsiTheme="minorHAnsi" w:cstheme="minorHAnsi"/>
        </w:rPr>
        <w:lastRenderedPageBreak/>
        <w:t xml:space="preserve">national court. It left that to national courts... errors in investigation, to give rise to a breach of </w:t>
      </w:r>
      <w:r w:rsidR="00B93B8D">
        <w:rPr>
          <w:rFonts w:asciiTheme="minorHAnsi" w:hAnsiTheme="minorHAnsi" w:cstheme="minorHAnsi"/>
        </w:rPr>
        <w:t>A</w:t>
      </w:r>
      <w:r w:rsidRPr="00F971E7">
        <w:rPr>
          <w:rFonts w:asciiTheme="minorHAnsi" w:hAnsiTheme="minorHAnsi" w:cstheme="minorHAnsi"/>
        </w:rPr>
        <w:t>rticle 3, must be egregious and significant.</w:t>
      </w:r>
      <w:r w:rsidR="00942F06">
        <w:rPr>
          <w:rStyle w:val="FootnoteReference"/>
          <w:rFonts w:asciiTheme="minorHAnsi" w:hAnsiTheme="minorHAnsi" w:cstheme="minorHAnsi"/>
        </w:rPr>
        <w:footnoteReference w:id="50"/>
      </w:r>
    </w:p>
    <w:p w14:paraId="55B7FD0B" w14:textId="586632A7" w:rsidR="006E0974" w:rsidRPr="00F971E7" w:rsidRDefault="008F1C28" w:rsidP="00702F50">
      <w:pPr>
        <w:widowControl w:val="0"/>
        <w:autoSpaceDE w:val="0"/>
        <w:autoSpaceDN w:val="0"/>
        <w:adjustRightInd w:val="0"/>
        <w:spacing w:after="0"/>
        <w:jc w:val="both"/>
        <w:rPr>
          <w:rFonts w:asciiTheme="minorHAnsi" w:hAnsiTheme="minorHAnsi" w:cstheme="minorHAnsi"/>
          <w:color w:val="000000"/>
        </w:rPr>
      </w:pPr>
      <w:r w:rsidRPr="00F971E7">
        <w:rPr>
          <w:rFonts w:asciiTheme="minorHAnsi" w:hAnsiTheme="minorHAnsi" w:cstheme="minorHAnsi"/>
          <w:color w:val="000000"/>
        </w:rPr>
        <w:t xml:space="preserve">Striking the right degree of rigour </w:t>
      </w:r>
      <w:r w:rsidR="00E4289E">
        <w:rPr>
          <w:rFonts w:asciiTheme="minorHAnsi" w:hAnsiTheme="minorHAnsi" w:cstheme="minorHAnsi"/>
          <w:color w:val="000000"/>
        </w:rPr>
        <w:t>about</w:t>
      </w:r>
      <w:r w:rsidRPr="00F971E7">
        <w:rPr>
          <w:rFonts w:asciiTheme="minorHAnsi" w:hAnsiTheme="minorHAnsi" w:cstheme="minorHAnsi"/>
          <w:color w:val="000000"/>
        </w:rPr>
        <w:t xml:space="preserve"> the review of d</w:t>
      </w:r>
      <w:r w:rsidR="0050367C" w:rsidRPr="00F971E7">
        <w:rPr>
          <w:rFonts w:asciiTheme="minorHAnsi" w:hAnsiTheme="minorHAnsi" w:cstheme="minorHAnsi"/>
          <w:color w:val="000000"/>
        </w:rPr>
        <w:t xml:space="preserve">ecision-making </w:t>
      </w:r>
      <w:r w:rsidR="009512D2" w:rsidRPr="00F971E7">
        <w:rPr>
          <w:rFonts w:asciiTheme="minorHAnsi" w:hAnsiTheme="minorHAnsi" w:cstheme="minorHAnsi"/>
          <w:color w:val="000000"/>
        </w:rPr>
        <w:t>concerning the best allocation of resources in police investigations is always going to be difficult, and we might</w:t>
      </w:r>
      <w:r w:rsidR="009E66D7" w:rsidRPr="00F971E7">
        <w:rPr>
          <w:rFonts w:asciiTheme="minorHAnsi" w:hAnsiTheme="minorHAnsi" w:cstheme="minorHAnsi"/>
          <w:color w:val="000000"/>
        </w:rPr>
        <w:t xml:space="preserve"> frankly</w:t>
      </w:r>
      <w:r w:rsidR="009512D2" w:rsidRPr="00F971E7">
        <w:rPr>
          <w:rFonts w:asciiTheme="minorHAnsi" w:hAnsiTheme="minorHAnsi" w:cstheme="minorHAnsi"/>
          <w:color w:val="000000"/>
        </w:rPr>
        <w:t xml:space="preserve"> always wish for more resources for policing in England and Wales, and </w:t>
      </w:r>
      <w:r w:rsidR="00721872" w:rsidRPr="00F971E7">
        <w:rPr>
          <w:rFonts w:asciiTheme="minorHAnsi" w:hAnsiTheme="minorHAnsi" w:cstheme="minorHAnsi"/>
          <w:color w:val="000000"/>
        </w:rPr>
        <w:t>indeed</w:t>
      </w:r>
      <w:r w:rsidR="009512D2" w:rsidRPr="00F971E7">
        <w:rPr>
          <w:rFonts w:asciiTheme="minorHAnsi" w:hAnsiTheme="minorHAnsi" w:cstheme="minorHAnsi"/>
          <w:color w:val="000000"/>
        </w:rPr>
        <w:t xml:space="preserve"> the </w:t>
      </w:r>
      <w:r w:rsidR="00721872" w:rsidRPr="00F971E7">
        <w:rPr>
          <w:rFonts w:asciiTheme="minorHAnsi" w:hAnsiTheme="minorHAnsi" w:cstheme="minorHAnsi"/>
          <w:color w:val="000000"/>
        </w:rPr>
        <w:t xml:space="preserve">justice system more broadly. </w:t>
      </w:r>
      <w:r w:rsidR="006E0974" w:rsidRPr="00F971E7">
        <w:rPr>
          <w:rFonts w:asciiTheme="minorHAnsi" w:hAnsiTheme="minorHAnsi" w:cstheme="minorHAnsi"/>
          <w:color w:val="000000"/>
        </w:rPr>
        <w:t xml:space="preserve">Levy’s chief critique of the UKSC decision in </w:t>
      </w:r>
      <w:r w:rsidR="006E0974" w:rsidRPr="00F971E7">
        <w:rPr>
          <w:rFonts w:asciiTheme="minorHAnsi" w:hAnsiTheme="minorHAnsi" w:cstheme="minorHAnsi"/>
          <w:i/>
          <w:iCs/>
          <w:color w:val="000000"/>
        </w:rPr>
        <w:t>DSD</w:t>
      </w:r>
      <w:r w:rsidR="006E0974" w:rsidRPr="00F971E7">
        <w:rPr>
          <w:rFonts w:asciiTheme="minorHAnsi" w:hAnsiTheme="minorHAnsi" w:cstheme="minorHAnsi"/>
          <w:color w:val="000000"/>
        </w:rPr>
        <w:t xml:space="preserve"> was </w:t>
      </w:r>
      <w:r w:rsidR="004937FE" w:rsidRPr="00F971E7">
        <w:rPr>
          <w:rFonts w:asciiTheme="minorHAnsi" w:hAnsiTheme="minorHAnsi" w:cstheme="minorHAnsi"/>
          <w:color w:val="000000"/>
        </w:rPr>
        <w:t>based on</w:t>
      </w:r>
      <w:r w:rsidR="006E0974" w:rsidRPr="00F971E7">
        <w:rPr>
          <w:rFonts w:asciiTheme="minorHAnsi" w:hAnsiTheme="minorHAnsi" w:cstheme="minorHAnsi"/>
          <w:color w:val="000000"/>
        </w:rPr>
        <w:t xml:space="preserve"> a </w:t>
      </w:r>
      <w:r w:rsidR="00F10303" w:rsidRPr="00F971E7">
        <w:rPr>
          <w:rFonts w:asciiTheme="minorHAnsi" w:hAnsiTheme="minorHAnsi" w:cstheme="minorHAnsi"/>
          <w:color w:val="000000"/>
        </w:rPr>
        <w:t>concern with regard to resources</w:t>
      </w:r>
      <w:r w:rsidR="006E0974" w:rsidRPr="00F971E7">
        <w:rPr>
          <w:rFonts w:asciiTheme="minorHAnsi" w:hAnsiTheme="minorHAnsi" w:cstheme="minorHAnsi"/>
          <w:color w:val="000000"/>
        </w:rPr>
        <w:t>:</w:t>
      </w:r>
    </w:p>
    <w:p w14:paraId="0E7381DD" w14:textId="77777777" w:rsidR="006E0974" w:rsidRPr="00F971E7" w:rsidRDefault="006E0974" w:rsidP="00702F50">
      <w:pPr>
        <w:widowControl w:val="0"/>
        <w:autoSpaceDE w:val="0"/>
        <w:autoSpaceDN w:val="0"/>
        <w:adjustRightInd w:val="0"/>
        <w:spacing w:after="0" w:line="240" w:lineRule="auto"/>
        <w:jc w:val="both"/>
        <w:rPr>
          <w:rFonts w:asciiTheme="minorHAnsi" w:hAnsiTheme="minorHAnsi" w:cstheme="minorHAnsi"/>
          <w:color w:val="000000"/>
        </w:rPr>
      </w:pPr>
    </w:p>
    <w:p w14:paraId="0049C039" w14:textId="298FCA4C" w:rsidR="006E0974" w:rsidRDefault="006E0974" w:rsidP="00702F50">
      <w:pPr>
        <w:widowControl w:val="0"/>
        <w:autoSpaceDE w:val="0"/>
        <w:autoSpaceDN w:val="0"/>
        <w:adjustRightInd w:val="0"/>
        <w:spacing w:after="0" w:line="240" w:lineRule="auto"/>
        <w:ind w:left="720"/>
        <w:jc w:val="both"/>
        <w:rPr>
          <w:rFonts w:asciiTheme="minorHAnsi" w:hAnsiTheme="minorHAnsi" w:cstheme="minorHAnsi"/>
          <w:color w:val="000000"/>
        </w:rPr>
      </w:pPr>
      <w:r w:rsidRPr="00F971E7">
        <w:rPr>
          <w:rFonts w:asciiTheme="minorHAnsi" w:hAnsiTheme="minorHAnsi" w:cstheme="minorHAnsi"/>
          <w:color w:val="000000"/>
        </w:rPr>
        <w:t>Police work, by its nature, requires decisions to be made, often in high pressure situations and without a clear course of action to take. The Convention correctly imposes a duty for effective structures, the absence of which would mean policing decisions could not be effective to begin with. However, the majority’s extension of the duty can only divert resources and impinge, rather than improve, police operations.</w:t>
      </w:r>
      <w:r w:rsidRPr="00F971E7">
        <w:rPr>
          <w:rStyle w:val="FootnoteReference"/>
          <w:rFonts w:asciiTheme="minorHAnsi" w:hAnsiTheme="minorHAnsi" w:cstheme="minorHAnsi"/>
          <w:color w:val="000000"/>
        </w:rPr>
        <w:footnoteReference w:id="51"/>
      </w:r>
    </w:p>
    <w:p w14:paraId="3746FE99" w14:textId="77777777" w:rsidR="0086125E" w:rsidRPr="00F971E7" w:rsidRDefault="0086125E" w:rsidP="00702F50">
      <w:pPr>
        <w:widowControl w:val="0"/>
        <w:autoSpaceDE w:val="0"/>
        <w:autoSpaceDN w:val="0"/>
        <w:adjustRightInd w:val="0"/>
        <w:spacing w:after="0" w:line="240" w:lineRule="auto"/>
        <w:ind w:left="720"/>
        <w:jc w:val="both"/>
        <w:rPr>
          <w:rFonts w:asciiTheme="minorHAnsi" w:hAnsiTheme="minorHAnsi" w:cstheme="minorHAnsi"/>
          <w:color w:val="000000"/>
        </w:rPr>
      </w:pPr>
    </w:p>
    <w:p w14:paraId="49EE812D" w14:textId="2EBBD943" w:rsidR="00331E55" w:rsidRPr="00F971E7" w:rsidRDefault="00331E55" w:rsidP="00702F50">
      <w:pPr>
        <w:jc w:val="both"/>
        <w:rPr>
          <w:rFonts w:asciiTheme="minorHAnsi" w:hAnsiTheme="minorHAnsi" w:cstheme="minorHAnsi"/>
        </w:rPr>
      </w:pPr>
      <w:r w:rsidRPr="00F971E7">
        <w:rPr>
          <w:rFonts w:asciiTheme="minorHAnsi" w:hAnsiTheme="minorHAnsi" w:cstheme="minorHAnsi"/>
        </w:rPr>
        <w:t>Lord Kerr</w:t>
      </w:r>
      <w:r w:rsidR="009E213D">
        <w:rPr>
          <w:rFonts w:asciiTheme="minorHAnsi" w:hAnsiTheme="minorHAnsi" w:cstheme="minorHAnsi"/>
        </w:rPr>
        <w:t>,</w:t>
      </w:r>
      <w:r w:rsidRPr="00F971E7">
        <w:rPr>
          <w:rFonts w:asciiTheme="minorHAnsi" w:hAnsiTheme="minorHAnsi" w:cstheme="minorHAnsi"/>
        </w:rPr>
        <w:t xml:space="preserve"> </w:t>
      </w:r>
      <w:r w:rsidR="00F10303" w:rsidRPr="00F971E7">
        <w:rPr>
          <w:rFonts w:asciiTheme="minorHAnsi" w:hAnsiTheme="minorHAnsi" w:cstheme="minorHAnsi"/>
        </w:rPr>
        <w:t>however</w:t>
      </w:r>
      <w:r w:rsidR="009A075B">
        <w:rPr>
          <w:rFonts w:asciiTheme="minorHAnsi" w:hAnsiTheme="minorHAnsi" w:cstheme="minorHAnsi"/>
        </w:rPr>
        <w:t>,</w:t>
      </w:r>
      <w:r w:rsidR="007E08B2" w:rsidRPr="00F971E7">
        <w:rPr>
          <w:rFonts w:asciiTheme="minorHAnsi" w:hAnsiTheme="minorHAnsi" w:cstheme="minorHAnsi"/>
        </w:rPr>
        <w:t xml:space="preserve"> </w:t>
      </w:r>
      <w:r w:rsidR="00C87923" w:rsidRPr="00F971E7">
        <w:rPr>
          <w:rFonts w:asciiTheme="minorHAnsi" w:hAnsiTheme="minorHAnsi" w:cstheme="minorHAnsi"/>
        </w:rPr>
        <w:t xml:space="preserve">specifically </w:t>
      </w:r>
      <w:r w:rsidR="007E08B2" w:rsidRPr="00F971E7">
        <w:rPr>
          <w:rFonts w:asciiTheme="minorHAnsi" w:hAnsiTheme="minorHAnsi" w:cstheme="minorHAnsi"/>
        </w:rPr>
        <w:t>dismissed the concerns around ‘ope</w:t>
      </w:r>
      <w:r w:rsidR="007B3073" w:rsidRPr="00F971E7">
        <w:rPr>
          <w:rFonts w:asciiTheme="minorHAnsi" w:hAnsiTheme="minorHAnsi" w:cstheme="minorHAnsi"/>
        </w:rPr>
        <w:t>n</w:t>
      </w:r>
      <w:r w:rsidR="007E08B2" w:rsidRPr="00F971E7">
        <w:rPr>
          <w:rFonts w:asciiTheme="minorHAnsi" w:hAnsiTheme="minorHAnsi" w:cstheme="minorHAnsi"/>
        </w:rPr>
        <w:t xml:space="preserve">ing the floodgates’ to </w:t>
      </w:r>
      <w:r w:rsidR="009E213D">
        <w:rPr>
          <w:rFonts w:asciiTheme="minorHAnsi" w:hAnsiTheme="minorHAnsi" w:cstheme="minorHAnsi"/>
        </w:rPr>
        <w:t>HRA</w:t>
      </w:r>
      <w:r w:rsidR="007E08B2" w:rsidRPr="00F971E7">
        <w:rPr>
          <w:rFonts w:asciiTheme="minorHAnsi" w:hAnsiTheme="minorHAnsi" w:cstheme="minorHAnsi"/>
        </w:rPr>
        <w:t xml:space="preserve">-based claims against the police via judicial review of investigative </w:t>
      </w:r>
      <w:r w:rsidR="007B3073" w:rsidRPr="00F971E7">
        <w:rPr>
          <w:rFonts w:asciiTheme="minorHAnsi" w:hAnsiTheme="minorHAnsi" w:cstheme="minorHAnsi"/>
        </w:rPr>
        <w:t xml:space="preserve">approaches </w:t>
      </w:r>
      <w:r w:rsidR="001F4B7B">
        <w:rPr>
          <w:rFonts w:asciiTheme="minorHAnsi" w:hAnsiTheme="minorHAnsi" w:cstheme="minorHAnsi"/>
        </w:rPr>
        <w:t xml:space="preserve">of </w:t>
      </w:r>
      <w:r w:rsidR="007B3073" w:rsidRPr="00F971E7">
        <w:rPr>
          <w:rFonts w:asciiTheme="minorHAnsi" w:hAnsiTheme="minorHAnsi" w:cstheme="minorHAnsi"/>
        </w:rPr>
        <w:t xml:space="preserve">officers working on a case. In </w:t>
      </w:r>
      <w:r w:rsidR="00F70722">
        <w:rPr>
          <w:rFonts w:asciiTheme="minorHAnsi" w:hAnsiTheme="minorHAnsi" w:cstheme="minorHAnsi"/>
        </w:rPr>
        <w:t>his</w:t>
      </w:r>
      <w:r w:rsidR="007B3073" w:rsidRPr="00F971E7">
        <w:rPr>
          <w:rFonts w:asciiTheme="minorHAnsi" w:hAnsiTheme="minorHAnsi" w:cstheme="minorHAnsi"/>
        </w:rPr>
        <w:t xml:space="preserve"> words</w:t>
      </w:r>
      <w:r w:rsidRPr="00F971E7">
        <w:rPr>
          <w:rFonts w:asciiTheme="minorHAnsi" w:hAnsiTheme="minorHAnsi" w:cstheme="minorHAnsi"/>
        </w:rPr>
        <w:t>:</w:t>
      </w:r>
    </w:p>
    <w:p w14:paraId="7F318122" w14:textId="39A28984" w:rsidR="00331E55" w:rsidRPr="00F971E7" w:rsidRDefault="00331E55" w:rsidP="00702F50">
      <w:pPr>
        <w:ind w:left="720"/>
        <w:jc w:val="both"/>
        <w:rPr>
          <w:rFonts w:asciiTheme="minorHAnsi" w:hAnsiTheme="minorHAnsi" w:cstheme="minorHAnsi"/>
        </w:rPr>
      </w:pPr>
      <w:r w:rsidRPr="00F971E7">
        <w:rPr>
          <w:rFonts w:asciiTheme="minorHAnsi" w:hAnsiTheme="minorHAnsi" w:cstheme="minorHAnsi"/>
        </w:rPr>
        <w:t xml:space="preserve">The prospect of every complaint of burglary, car theft or fraud becoming the subject of an action under the Human Rights Act has been raised. I do not believe that this is a serious possibility. All of the cases in this area involve conspicuous and substantial shortcomings in the conduct of the police and prosecutorial investigation. And, as this case illustrates, frequently, operational failures will be accompanied by systemic defects. The recognition that really serious operational failures by police in the investigation of offences can give rise to a breach of </w:t>
      </w:r>
      <w:r w:rsidR="006A6E05">
        <w:rPr>
          <w:rFonts w:asciiTheme="minorHAnsi" w:hAnsiTheme="minorHAnsi" w:cstheme="minorHAnsi"/>
        </w:rPr>
        <w:t>A</w:t>
      </w:r>
      <w:r w:rsidRPr="00F971E7">
        <w:rPr>
          <w:rFonts w:asciiTheme="minorHAnsi" w:hAnsiTheme="minorHAnsi" w:cstheme="minorHAnsi"/>
        </w:rPr>
        <w:t>rticle 3 cannot realistically be said to herald an avalanche of claims for every retrospectively detected error in police investigations of minor crime.</w:t>
      </w:r>
      <w:r w:rsidR="009E213D">
        <w:rPr>
          <w:rStyle w:val="FootnoteReference"/>
          <w:rFonts w:asciiTheme="minorHAnsi" w:hAnsiTheme="minorHAnsi" w:cstheme="minorHAnsi"/>
        </w:rPr>
        <w:footnoteReference w:id="52"/>
      </w:r>
    </w:p>
    <w:p w14:paraId="2EF1FFA7" w14:textId="50CF8155" w:rsidR="00A205E2" w:rsidRDefault="00604FB7" w:rsidP="00702F50">
      <w:pPr>
        <w:spacing w:after="160"/>
        <w:jc w:val="both"/>
        <w:rPr>
          <w:rFonts w:asciiTheme="minorHAnsi" w:hAnsiTheme="minorHAnsi" w:cstheme="minorHAnsi"/>
        </w:rPr>
      </w:pPr>
      <w:r w:rsidRPr="00F971E7">
        <w:rPr>
          <w:rFonts w:asciiTheme="minorHAnsi" w:hAnsiTheme="minorHAnsi" w:cstheme="minorHAnsi"/>
        </w:rPr>
        <w:t>In previous research,</w:t>
      </w:r>
      <w:r w:rsidR="004B1D06" w:rsidRPr="00F971E7">
        <w:rPr>
          <w:rStyle w:val="FootnoteReference"/>
          <w:rFonts w:asciiTheme="minorHAnsi" w:hAnsiTheme="minorHAnsi" w:cstheme="minorHAnsi"/>
        </w:rPr>
        <w:footnoteReference w:id="53"/>
      </w:r>
      <w:r w:rsidR="00104EFA" w:rsidRPr="00F971E7">
        <w:rPr>
          <w:rFonts w:asciiTheme="minorHAnsi" w:hAnsiTheme="minorHAnsi" w:cstheme="minorHAnsi"/>
        </w:rPr>
        <w:t xml:space="preserve"> I collated perspectives on </w:t>
      </w:r>
      <w:r w:rsidR="002C4B74" w:rsidRPr="00F971E7">
        <w:rPr>
          <w:rFonts w:asciiTheme="minorHAnsi" w:hAnsiTheme="minorHAnsi" w:cstheme="minorHAnsi"/>
        </w:rPr>
        <w:t>perceived</w:t>
      </w:r>
      <w:r w:rsidR="00104EFA" w:rsidRPr="00F971E7">
        <w:rPr>
          <w:rFonts w:asciiTheme="minorHAnsi" w:hAnsiTheme="minorHAnsi" w:cstheme="minorHAnsi"/>
        </w:rPr>
        <w:t xml:space="preserve"> </w:t>
      </w:r>
      <w:r w:rsidR="002C4B74" w:rsidRPr="00F971E7">
        <w:rPr>
          <w:rFonts w:asciiTheme="minorHAnsi" w:hAnsiTheme="minorHAnsi" w:cstheme="minorHAnsi"/>
        </w:rPr>
        <w:t>shortcomings</w:t>
      </w:r>
      <w:r w:rsidR="00104EFA" w:rsidRPr="00F971E7">
        <w:rPr>
          <w:rFonts w:asciiTheme="minorHAnsi" w:hAnsiTheme="minorHAnsi" w:cstheme="minorHAnsi"/>
        </w:rPr>
        <w:t xml:space="preserve"> of </w:t>
      </w:r>
      <w:r w:rsidR="00BF0179">
        <w:rPr>
          <w:rFonts w:asciiTheme="minorHAnsi" w:hAnsiTheme="minorHAnsi" w:cstheme="minorHAnsi"/>
        </w:rPr>
        <w:t xml:space="preserve">domestic abuse disclosure scheme </w:t>
      </w:r>
      <w:r w:rsidR="00104EFA" w:rsidRPr="00F971E7">
        <w:rPr>
          <w:rFonts w:asciiTheme="minorHAnsi" w:hAnsiTheme="minorHAnsi" w:cstheme="minorHAnsi"/>
        </w:rPr>
        <w:t xml:space="preserve">policies in different common law jurisdictions, but I also gathered what evidence I could as to </w:t>
      </w:r>
      <w:r w:rsidR="002C4B74" w:rsidRPr="00F971E7">
        <w:rPr>
          <w:rFonts w:asciiTheme="minorHAnsi" w:hAnsiTheme="minorHAnsi" w:cstheme="minorHAnsi"/>
        </w:rPr>
        <w:t>situations</w:t>
      </w:r>
      <w:r w:rsidR="00104EFA" w:rsidRPr="00F971E7">
        <w:rPr>
          <w:rFonts w:asciiTheme="minorHAnsi" w:hAnsiTheme="minorHAnsi" w:cstheme="minorHAnsi"/>
        </w:rPr>
        <w:t xml:space="preserve"> where the operation of these </w:t>
      </w:r>
      <w:r w:rsidR="00BF0179">
        <w:rPr>
          <w:rFonts w:asciiTheme="minorHAnsi" w:hAnsiTheme="minorHAnsi" w:cstheme="minorHAnsi"/>
        </w:rPr>
        <w:t>s</w:t>
      </w:r>
      <w:r w:rsidR="00104EFA" w:rsidRPr="00F971E7">
        <w:rPr>
          <w:rFonts w:asciiTheme="minorHAnsi" w:hAnsiTheme="minorHAnsi" w:cstheme="minorHAnsi"/>
        </w:rPr>
        <w:t>chemes ha</w:t>
      </w:r>
      <w:r w:rsidR="00BF0179">
        <w:rPr>
          <w:rFonts w:asciiTheme="minorHAnsi" w:hAnsiTheme="minorHAnsi" w:cstheme="minorHAnsi"/>
        </w:rPr>
        <w:t>s</w:t>
      </w:r>
      <w:r w:rsidR="00104EFA" w:rsidRPr="00F971E7">
        <w:rPr>
          <w:rFonts w:asciiTheme="minorHAnsi" w:hAnsiTheme="minorHAnsi" w:cstheme="minorHAnsi"/>
        </w:rPr>
        <w:t xml:space="preserve"> been operationally ineffective. </w:t>
      </w:r>
      <w:r w:rsidR="00DD6953" w:rsidRPr="00F971E7">
        <w:rPr>
          <w:rFonts w:asciiTheme="minorHAnsi" w:hAnsiTheme="minorHAnsi" w:cstheme="minorHAnsi"/>
        </w:rPr>
        <w:t xml:space="preserve">It is difficult to establish, </w:t>
      </w:r>
      <w:r w:rsidR="002C4B74" w:rsidRPr="00F971E7">
        <w:rPr>
          <w:rFonts w:asciiTheme="minorHAnsi" w:hAnsiTheme="minorHAnsi" w:cstheme="minorHAnsi"/>
        </w:rPr>
        <w:t>empirically</w:t>
      </w:r>
      <w:r w:rsidR="00DD6953" w:rsidRPr="00F971E7">
        <w:rPr>
          <w:rFonts w:asciiTheme="minorHAnsi" w:hAnsiTheme="minorHAnsi" w:cstheme="minorHAnsi"/>
        </w:rPr>
        <w:t xml:space="preserve">, whether any such </w:t>
      </w:r>
      <w:r w:rsidR="00FA0783">
        <w:rPr>
          <w:rFonts w:asciiTheme="minorHAnsi" w:hAnsiTheme="minorHAnsi" w:cstheme="minorHAnsi"/>
        </w:rPr>
        <w:t>s</w:t>
      </w:r>
      <w:r w:rsidR="00DD6953" w:rsidRPr="00F971E7">
        <w:rPr>
          <w:rFonts w:asciiTheme="minorHAnsi" w:hAnsiTheme="minorHAnsi" w:cstheme="minorHAnsi"/>
        </w:rPr>
        <w:t>cheme operat</w:t>
      </w:r>
      <w:r w:rsidR="00C24703">
        <w:rPr>
          <w:rFonts w:asciiTheme="minorHAnsi" w:hAnsiTheme="minorHAnsi" w:cstheme="minorHAnsi"/>
        </w:rPr>
        <w:t>ing</w:t>
      </w:r>
      <w:r w:rsidR="00DD6953" w:rsidRPr="00F971E7">
        <w:rPr>
          <w:rFonts w:asciiTheme="minorHAnsi" w:hAnsiTheme="minorHAnsi" w:cstheme="minorHAnsi"/>
        </w:rPr>
        <w:t xml:space="preserve"> today is not hit-and-miss with regard to making a helpful contribution to compliance with positive obligations such as those stemming from Articles 2, 3 and 8 ECHR.</w:t>
      </w:r>
      <w:r w:rsidR="00A92B2C" w:rsidRPr="00F971E7">
        <w:rPr>
          <w:rFonts w:asciiTheme="minorHAnsi" w:hAnsiTheme="minorHAnsi" w:cstheme="minorHAnsi"/>
        </w:rPr>
        <w:t xml:space="preserve"> Certainly, there has not yet, in England and Wales, been a challenge in the courts from a victim of abuse who</w:t>
      </w:r>
      <w:r w:rsidR="00181B57" w:rsidRPr="00F971E7">
        <w:rPr>
          <w:rFonts w:asciiTheme="minorHAnsi" w:hAnsiTheme="minorHAnsi" w:cstheme="minorHAnsi"/>
        </w:rPr>
        <w:t xml:space="preserve"> has argued that a police force breached their protective positive </w:t>
      </w:r>
      <w:r w:rsidR="002C4B74" w:rsidRPr="00F971E7">
        <w:rPr>
          <w:rFonts w:asciiTheme="minorHAnsi" w:hAnsiTheme="minorHAnsi" w:cstheme="minorHAnsi"/>
        </w:rPr>
        <w:t>obligations</w:t>
      </w:r>
      <w:r w:rsidR="00181B57" w:rsidRPr="00F971E7">
        <w:rPr>
          <w:rFonts w:asciiTheme="minorHAnsi" w:hAnsiTheme="minorHAnsi" w:cstheme="minorHAnsi"/>
        </w:rPr>
        <w:t xml:space="preserve"> under the ECHR </w:t>
      </w:r>
      <w:r w:rsidR="00181B57" w:rsidRPr="00F971E7">
        <w:rPr>
          <w:rFonts w:asciiTheme="minorHAnsi" w:hAnsiTheme="minorHAnsi" w:cstheme="minorHAnsi"/>
        </w:rPr>
        <w:lastRenderedPageBreak/>
        <w:t xml:space="preserve">because of the </w:t>
      </w:r>
      <w:r w:rsidR="00B14D40" w:rsidRPr="00F971E7">
        <w:rPr>
          <w:rFonts w:asciiTheme="minorHAnsi" w:hAnsiTheme="minorHAnsi" w:cstheme="minorHAnsi"/>
        </w:rPr>
        <w:t xml:space="preserve">sole use, </w:t>
      </w:r>
      <w:r w:rsidR="00C24703" w:rsidRPr="00F971E7">
        <w:rPr>
          <w:rFonts w:asciiTheme="minorHAnsi" w:hAnsiTheme="minorHAnsi" w:cstheme="minorHAnsi"/>
        </w:rPr>
        <w:t>misuse</w:t>
      </w:r>
      <w:r w:rsidR="00B14D40" w:rsidRPr="00F971E7">
        <w:rPr>
          <w:rFonts w:asciiTheme="minorHAnsi" w:hAnsiTheme="minorHAnsi" w:cstheme="minorHAnsi"/>
        </w:rPr>
        <w:t xml:space="preserve"> or under-use of a </w:t>
      </w:r>
      <w:r w:rsidR="00AC422B">
        <w:rPr>
          <w:rFonts w:asciiTheme="minorHAnsi" w:hAnsiTheme="minorHAnsi" w:cstheme="minorHAnsi"/>
        </w:rPr>
        <w:t>s</w:t>
      </w:r>
      <w:r w:rsidR="00B14D40" w:rsidRPr="00F971E7">
        <w:rPr>
          <w:rFonts w:asciiTheme="minorHAnsi" w:hAnsiTheme="minorHAnsi" w:cstheme="minorHAnsi"/>
        </w:rPr>
        <w:t>cheme and a relevant disclosure.</w:t>
      </w:r>
      <w:r w:rsidR="002C4B74" w:rsidRPr="00F971E7">
        <w:rPr>
          <w:rFonts w:asciiTheme="minorHAnsi" w:hAnsiTheme="minorHAnsi" w:cstheme="minorHAnsi"/>
        </w:rPr>
        <w:t xml:space="preserve"> But there is a small, and growing, body of case law that sees an application of the positive obligation standard developed in the </w:t>
      </w:r>
      <w:r w:rsidR="002C4B74" w:rsidRPr="00F1223D">
        <w:rPr>
          <w:rFonts w:asciiTheme="minorHAnsi" w:hAnsiTheme="minorHAnsi" w:cstheme="minorHAnsi"/>
          <w:i/>
          <w:iCs/>
        </w:rPr>
        <w:t>DSD</w:t>
      </w:r>
      <w:r w:rsidR="002C4B74" w:rsidRPr="00F971E7">
        <w:rPr>
          <w:rFonts w:asciiTheme="minorHAnsi" w:hAnsiTheme="minorHAnsi" w:cstheme="minorHAnsi"/>
        </w:rPr>
        <w:t xml:space="preserve"> case; and the next section of this article turns to consider the implications of those cases to date.</w:t>
      </w:r>
    </w:p>
    <w:p w14:paraId="102321E4" w14:textId="77777777" w:rsidR="00E77831" w:rsidRPr="00F971E7" w:rsidRDefault="00E77831" w:rsidP="00702F50">
      <w:pPr>
        <w:spacing w:after="160"/>
        <w:jc w:val="both"/>
        <w:rPr>
          <w:rFonts w:asciiTheme="minorHAnsi" w:hAnsiTheme="minorHAnsi" w:cstheme="minorHAnsi"/>
        </w:rPr>
      </w:pPr>
    </w:p>
    <w:p w14:paraId="2F776AE8" w14:textId="230546AB" w:rsidR="00485D30" w:rsidRPr="00E77831" w:rsidRDefault="00E77831" w:rsidP="00390BF2">
      <w:pPr>
        <w:pStyle w:val="Heading1"/>
      </w:pPr>
      <w:r>
        <w:t xml:space="preserve">5. </w:t>
      </w:r>
      <w:r w:rsidR="00485D30" w:rsidRPr="00E77831">
        <w:t xml:space="preserve">Applying the </w:t>
      </w:r>
      <w:r w:rsidR="006407AB" w:rsidRPr="00E77831">
        <w:t>‘</w:t>
      </w:r>
      <w:r w:rsidR="00485D30" w:rsidRPr="00E77831">
        <w:t>egregious errors’ standard for police investigations</w:t>
      </w:r>
    </w:p>
    <w:p w14:paraId="4F62BEDC" w14:textId="6B109AB3" w:rsidR="00D962EF" w:rsidRPr="00F971E7" w:rsidRDefault="009D6379" w:rsidP="00702F50">
      <w:pPr>
        <w:jc w:val="both"/>
        <w:rPr>
          <w:rFonts w:asciiTheme="minorHAnsi" w:hAnsiTheme="minorHAnsi" w:cstheme="minorHAnsi"/>
        </w:rPr>
      </w:pPr>
      <w:r w:rsidRPr="00F971E7">
        <w:rPr>
          <w:rFonts w:asciiTheme="minorHAnsi" w:hAnsiTheme="minorHAnsi" w:cstheme="minorHAnsi"/>
        </w:rPr>
        <w:t xml:space="preserve">There are not </w:t>
      </w:r>
      <w:r w:rsidR="005F7BD8" w:rsidRPr="00F971E7">
        <w:rPr>
          <w:rFonts w:asciiTheme="minorHAnsi" w:hAnsiTheme="minorHAnsi" w:cstheme="minorHAnsi"/>
        </w:rPr>
        <w:t xml:space="preserve">(as yet) </w:t>
      </w:r>
      <w:r w:rsidRPr="00F971E7">
        <w:rPr>
          <w:rFonts w:asciiTheme="minorHAnsi" w:hAnsiTheme="minorHAnsi" w:cstheme="minorHAnsi"/>
        </w:rPr>
        <w:t xml:space="preserve">too many examples of the new operational standard of ‘egregious errors’ set out by the </w:t>
      </w:r>
      <w:r w:rsidR="00874CA0" w:rsidRPr="00F971E7">
        <w:rPr>
          <w:rFonts w:asciiTheme="minorHAnsi" w:hAnsiTheme="minorHAnsi" w:cstheme="minorHAnsi"/>
        </w:rPr>
        <w:t>majority</w:t>
      </w:r>
      <w:r w:rsidRPr="00F971E7">
        <w:rPr>
          <w:rFonts w:asciiTheme="minorHAnsi" w:hAnsiTheme="minorHAnsi" w:cstheme="minorHAnsi"/>
        </w:rPr>
        <w:t xml:space="preserve"> of the UKSC in </w:t>
      </w:r>
      <w:r w:rsidRPr="00F971E7">
        <w:rPr>
          <w:rFonts w:asciiTheme="minorHAnsi" w:hAnsiTheme="minorHAnsi" w:cstheme="minorHAnsi"/>
          <w:i/>
          <w:iCs/>
        </w:rPr>
        <w:t>DSD</w:t>
      </w:r>
      <w:r w:rsidR="00874CA0" w:rsidRPr="00F971E7">
        <w:rPr>
          <w:rFonts w:asciiTheme="minorHAnsi" w:hAnsiTheme="minorHAnsi" w:cstheme="minorHAnsi"/>
        </w:rPr>
        <w:t xml:space="preserve">, but some have emerged in the case law on standards in police investigations and the protection of victims. </w:t>
      </w:r>
      <w:r w:rsidR="00657064" w:rsidRPr="00F971E7">
        <w:rPr>
          <w:rFonts w:asciiTheme="minorHAnsi" w:hAnsiTheme="minorHAnsi" w:cstheme="minorHAnsi"/>
        </w:rPr>
        <w:t xml:space="preserve">We can see the dual standard of positive obligations under Articles 3 and 8 ECHR </w:t>
      </w:r>
      <w:r w:rsidR="00303D58" w:rsidRPr="00F971E7">
        <w:rPr>
          <w:rFonts w:asciiTheme="minorHAnsi" w:hAnsiTheme="minorHAnsi" w:cstheme="minorHAnsi"/>
        </w:rPr>
        <w:t>(</w:t>
      </w:r>
      <w:r w:rsidR="00DE6791" w:rsidRPr="00F971E7">
        <w:rPr>
          <w:rFonts w:asciiTheme="minorHAnsi" w:hAnsiTheme="minorHAnsi" w:cstheme="minorHAnsi"/>
        </w:rPr>
        <w:t xml:space="preserve">we can </w:t>
      </w:r>
      <w:r w:rsidR="00303D58" w:rsidRPr="00F971E7">
        <w:rPr>
          <w:rFonts w:asciiTheme="minorHAnsi" w:hAnsiTheme="minorHAnsi" w:cstheme="minorHAnsi"/>
        </w:rPr>
        <w:t xml:space="preserve">call them the structural and </w:t>
      </w:r>
      <w:r w:rsidR="003F1823" w:rsidRPr="00F971E7">
        <w:rPr>
          <w:rFonts w:asciiTheme="minorHAnsi" w:hAnsiTheme="minorHAnsi" w:cstheme="minorHAnsi"/>
        </w:rPr>
        <w:t xml:space="preserve">operational standards) </w:t>
      </w:r>
      <w:r w:rsidRPr="00F971E7">
        <w:rPr>
          <w:rFonts w:asciiTheme="minorHAnsi" w:hAnsiTheme="minorHAnsi" w:cstheme="minorHAnsi"/>
        </w:rPr>
        <w:t>being considered in a case decided by the High Court in Northern Ireland</w:t>
      </w:r>
      <w:r w:rsidR="00D962EF" w:rsidRPr="00F971E7">
        <w:rPr>
          <w:rFonts w:asciiTheme="minorHAnsi" w:hAnsiTheme="minorHAnsi" w:cstheme="minorHAnsi"/>
        </w:rPr>
        <w:t>.</w:t>
      </w:r>
      <w:r w:rsidRPr="00F971E7">
        <w:rPr>
          <w:rFonts w:asciiTheme="minorHAnsi" w:hAnsiTheme="minorHAnsi" w:cstheme="minorHAnsi"/>
        </w:rPr>
        <w:t xml:space="preserve"> </w:t>
      </w:r>
      <w:r w:rsidR="00331E55" w:rsidRPr="00F971E7">
        <w:rPr>
          <w:rFonts w:asciiTheme="minorHAnsi" w:hAnsiTheme="minorHAnsi" w:cstheme="minorHAnsi"/>
        </w:rPr>
        <w:t>McAlinden J</w:t>
      </w:r>
      <w:r w:rsidR="00D962EF" w:rsidRPr="00F971E7">
        <w:rPr>
          <w:rFonts w:asciiTheme="minorHAnsi" w:hAnsiTheme="minorHAnsi" w:cstheme="minorHAnsi"/>
        </w:rPr>
        <w:t xml:space="preserve"> explain</w:t>
      </w:r>
      <w:r w:rsidR="00F43E30">
        <w:rPr>
          <w:rFonts w:asciiTheme="minorHAnsi" w:hAnsiTheme="minorHAnsi" w:cstheme="minorHAnsi"/>
        </w:rPr>
        <w:t>ed</w:t>
      </w:r>
      <w:r w:rsidR="00331E55" w:rsidRPr="00F971E7">
        <w:rPr>
          <w:rFonts w:asciiTheme="minorHAnsi" w:hAnsiTheme="minorHAnsi" w:cstheme="minorHAnsi"/>
        </w:rPr>
        <w:t xml:space="preserve"> in </w:t>
      </w:r>
      <w:r w:rsidR="00331E55" w:rsidRPr="00F971E7">
        <w:rPr>
          <w:rFonts w:asciiTheme="minorHAnsi" w:hAnsiTheme="minorHAnsi" w:cstheme="minorHAnsi"/>
          <w:i/>
          <w:iCs/>
        </w:rPr>
        <w:t>C v Chief Constable of the Police Service of Northern Ireland</w:t>
      </w:r>
      <w:r w:rsidR="00F43E30" w:rsidRPr="00F43E30">
        <w:rPr>
          <w:rStyle w:val="FootnoteReference"/>
          <w:rFonts w:asciiTheme="minorHAnsi" w:hAnsiTheme="minorHAnsi" w:cstheme="minorHAnsi"/>
        </w:rPr>
        <w:footnoteReference w:id="54"/>
      </w:r>
      <w:r w:rsidR="00331E55" w:rsidRPr="00F971E7">
        <w:rPr>
          <w:rFonts w:asciiTheme="minorHAnsi" w:hAnsiTheme="minorHAnsi" w:cstheme="minorHAnsi"/>
        </w:rPr>
        <w:t xml:space="preserve"> </w:t>
      </w:r>
      <w:r w:rsidR="00D962EF" w:rsidRPr="00F971E7">
        <w:rPr>
          <w:rFonts w:asciiTheme="minorHAnsi" w:hAnsiTheme="minorHAnsi" w:cstheme="minorHAnsi"/>
          <w:color w:val="000000"/>
        </w:rPr>
        <w:t>that</w:t>
      </w:r>
      <w:r w:rsidR="00331E55" w:rsidRPr="00F971E7">
        <w:rPr>
          <w:rFonts w:asciiTheme="minorHAnsi" w:hAnsiTheme="minorHAnsi" w:cstheme="minorHAnsi"/>
        </w:rPr>
        <w:t xml:space="preserve">: </w:t>
      </w:r>
    </w:p>
    <w:p w14:paraId="2933E8BE" w14:textId="1911CF3B" w:rsidR="00331E55" w:rsidRPr="00F971E7" w:rsidRDefault="00331E55" w:rsidP="00702F50">
      <w:pPr>
        <w:ind w:left="720"/>
        <w:jc w:val="both"/>
        <w:rPr>
          <w:rFonts w:asciiTheme="minorHAnsi" w:hAnsiTheme="minorHAnsi" w:cstheme="minorHAnsi"/>
        </w:rPr>
      </w:pPr>
      <w:r w:rsidRPr="00F971E7">
        <w:rPr>
          <w:rFonts w:asciiTheme="minorHAnsi" w:hAnsiTheme="minorHAnsi" w:cstheme="minorHAnsi"/>
          <w:color w:val="000000"/>
        </w:rPr>
        <w:t xml:space="preserve">In general terms, </w:t>
      </w:r>
      <w:r w:rsidRPr="00F971E7">
        <w:rPr>
          <w:rFonts w:asciiTheme="minorHAnsi" w:hAnsiTheme="minorHAnsi" w:cstheme="minorHAnsi"/>
        </w:rPr>
        <w:t>in order to be an effective deterrent, laws which prohibit conduct constituting a breach of Article 3 and Article 8 must be rigorously enforced and complaints of such conduct must be properly investigated… The binary nature of the positive obligation arising under these articles can give rise to an examination of whether the domestic legal provisions relating to rape are so flawed as to amount to a breach of the state’s positive obligation under Articles 3 and 8 (</w:t>
      </w:r>
      <w:r w:rsidRPr="00F971E7">
        <w:rPr>
          <w:rFonts w:asciiTheme="minorHAnsi" w:hAnsiTheme="minorHAnsi" w:cstheme="minorHAnsi"/>
          <w:color w:val="000000"/>
        </w:rPr>
        <w:t>the systemic failings) or whether the investigation into an allegation of rape was so flawed as also to amount to a breach of the state’s obligations under the same articles (the operational failings).</w:t>
      </w:r>
      <w:r w:rsidR="006D1C4B">
        <w:rPr>
          <w:rStyle w:val="FootnoteReference"/>
          <w:rFonts w:asciiTheme="minorHAnsi" w:hAnsiTheme="minorHAnsi" w:cstheme="minorHAnsi"/>
          <w:color w:val="000000"/>
        </w:rPr>
        <w:footnoteReference w:id="55"/>
      </w:r>
    </w:p>
    <w:p w14:paraId="4774905F" w14:textId="17E4B71A" w:rsidR="00331E55" w:rsidRPr="00F971E7" w:rsidRDefault="00331E55" w:rsidP="00702F50">
      <w:pPr>
        <w:jc w:val="both"/>
        <w:rPr>
          <w:rFonts w:asciiTheme="minorHAnsi" w:hAnsiTheme="minorHAnsi" w:cstheme="minorHAnsi"/>
          <w:color w:val="000000"/>
        </w:rPr>
      </w:pPr>
      <w:r w:rsidRPr="00F971E7">
        <w:rPr>
          <w:rFonts w:asciiTheme="minorHAnsi" w:hAnsiTheme="minorHAnsi" w:cstheme="minorHAnsi"/>
          <w:color w:val="000000"/>
        </w:rPr>
        <w:t xml:space="preserve">In finding a breach of Article 3 in C, concerning a rape involving a highly vulnerable victim, McAlinden J (at 92) </w:t>
      </w:r>
      <w:r w:rsidR="008E07BE" w:rsidRPr="00F971E7">
        <w:rPr>
          <w:rFonts w:asciiTheme="minorHAnsi" w:hAnsiTheme="minorHAnsi" w:cstheme="minorHAnsi"/>
          <w:color w:val="000000"/>
        </w:rPr>
        <w:t>summarise</w:t>
      </w:r>
      <w:r w:rsidR="00C762EC">
        <w:rPr>
          <w:rFonts w:asciiTheme="minorHAnsi" w:hAnsiTheme="minorHAnsi" w:cstheme="minorHAnsi"/>
          <w:color w:val="000000"/>
        </w:rPr>
        <w:t>d</w:t>
      </w:r>
      <w:r w:rsidR="008E07BE" w:rsidRPr="00F971E7">
        <w:rPr>
          <w:rFonts w:asciiTheme="minorHAnsi" w:hAnsiTheme="minorHAnsi" w:cstheme="minorHAnsi"/>
          <w:color w:val="000000"/>
        </w:rPr>
        <w:t xml:space="preserve"> the </w:t>
      </w:r>
      <w:r w:rsidR="006D053D" w:rsidRPr="00F971E7">
        <w:rPr>
          <w:rFonts w:asciiTheme="minorHAnsi" w:hAnsiTheme="minorHAnsi" w:cstheme="minorHAnsi"/>
          <w:color w:val="000000"/>
        </w:rPr>
        <w:t>rationale for the application of the standard of an ‘</w:t>
      </w:r>
      <w:r w:rsidR="00312741" w:rsidRPr="00F971E7">
        <w:rPr>
          <w:rFonts w:asciiTheme="minorHAnsi" w:hAnsiTheme="minorHAnsi" w:cstheme="minorHAnsi"/>
          <w:color w:val="000000"/>
        </w:rPr>
        <w:t>egregious</w:t>
      </w:r>
      <w:r w:rsidR="006D053D" w:rsidRPr="00F971E7">
        <w:rPr>
          <w:rFonts w:asciiTheme="minorHAnsi" w:hAnsiTheme="minorHAnsi" w:cstheme="minorHAnsi"/>
          <w:color w:val="000000"/>
        </w:rPr>
        <w:t xml:space="preserve"> error’ from </w:t>
      </w:r>
      <w:r w:rsidR="006D053D" w:rsidRPr="00F971E7">
        <w:rPr>
          <w:rFonts w:asciiTheme="minorHAnsi" w:hAnsiTheme="minorHAnsi" w:cstheme="minorHAnsi"/>
          <w:i/>
          <w:iCs/>
          <w:color w:val="000000"/>
        </w:rPr>
        <w:t>DSD</w:t>
      </w:r>
      <w:r w:rsidRPr="00F971E7">
        <w:rPr>
          <w:rFonts w:asciiTheme="minorHAnsi" w:hAnsiTheme="minorHAnsi" w:cstheme="minorHAnsi"/>
          <w:color w:val="000000"/>
        </w:rPr>
        <w:t xml:space="preserve">: </w:t>
      </w:r>
    </w:p>
    <w:p w14:paraId="5DD37410" w14:textId="301DB73A" w:rsidR="00331E55" w:rsidRPr="00F971E7" w:rsidRDefault="00331E55" w:rsidP="00702F50">
      <w:pPr>
        <w:ind w:left="720"/>
        <w:jc w:val="both"/>
        <w:rPr>
          <w:rFonts w:asciiTheme="minorHAnsi" w:hAnsiTheme="minorHAnsi" w:cstheme="minorHAnsi"/>
          <w:color w:val="000000"/>
        </w:rPr>
      </w:pPr>
      <w:r w:rsidRPr="00F971E7">
        <w:rPr>
          <w:rFonts w:asciiTheme="minorHAnsi" w:hAnsiTheme="minorHAnsi" w:cstheme="minorHAnsi"/>
          <w:color w:val="000000"/>
        </w:rPr>
        <w:t>The operational failings in this case cannot be described as minor or insignificant. The officers concerned</w:t>
      </w:r>
      <w:r w:rsidR="00AC5088" w:rsidRPr="00F971E7">
        <w:rPr>
          <w:rFonts w:asciiTheme="minorHAnsi" w:hAnsiTheme="minorHAnsi" w:cstheme="minorHAnsi"/>
          <w:color w:val="000000"/>
        </w:rPr>
        <w:t xml:space="preserve">… </w:t>
      </w:r>
      <w:r w:rsidRPr="00F971E7">
        <w:rPr>
          <w:rFonts w:asciiTheme="minorHAnsi" w:hAnsiTheme="minorHAnsi" w:cstheme="minorHAnsi"/>
          <w:color w:val="000000"/>
        </w:rPr>
        <w:t>accepted that they had failed to conduct a thorough investigation into an allegation of stranger rape</w:t>
      </w:r>
      <w:r w:rsidR="0044562D" w:rsidRPr="00F971E7">
        <w:rPr>
          <w:rFonts w:asciiTheme="minorHAnsi" w:hAnsiTheme="minorHAnsi" w:cstheme="minorHAnsi"/>
          <w:color w:val="000000"/>
        </w:rPr>
        <w:t xml:space="preserve">… </w:t>
      </w:r>
      <w:r w:rsidRPr="00F971E7">
        <w:rPr>
          <w:rFonts w:asciiTheme="minorHAnsi" w:hAnsiTheme="minorHAnsi" w:cstheme="minorHAnsi"/>
          <w:color w:val="000000"/>
        </w:rPr>
        <w:t xml:space="preserve">These failings occurred against a background of systemic shortcomings in relation to training. The adverse impact on the effectiveness of the investigation into the allegation of stranger rape directly resulting from these matters was compounded significantly by the inability of the PSNI to arrange </w:t>
      </w:r>
      <w:r w:rsidR="00B13D45" w:rsidRPr="00F971E7">
        <w:rPr>
          <w:rFonts w:asciiTheme="minorHAnsi" w:hAnsiTheme="minorHAnsi" w:cstheme="minorHAnsi"/>
          <w:color w:val="000000"/>
        </w:rPr>
        <w:t>[</w:t>
      </w:r>
      <w:r w:rsidR="00362728" w:rsidRPr="00F971E7">
        <w:rPr>
          <w:rFonts w:asciiTheme="minorHAnsi" w:hAnsiTheme="minorHAnsi" w:cstheme="minorHAnsi"/>
          <w:color w:val="000000"/>
        </w:rPr>
        <w:t>the</w:t>
      </w:r>
      <w:r w:rsidR="00B13D45" w:rsidRPr="00F971E7">
        <w:rPr>
          <w:rFonts w:asciiTheme="minorHAnsi" w:hAnsiTheme="minorHAnsi" w:cstheme="minorHAnsi"/>
          <w:color w:val="000000"/>
        </w:rPr>
        <w:t xml:space="preserve"> suitable]</w:t>
      </w:r>
      <w:r w:rsidRPr="00F971E7">
        <w:rPr>
          <w:rFonts w:asciiTheme="minorHAnsi" w:hAnsiTheme="minorHAnsi" w:cstheme="minorHAnsi"/>
          <w:color w:val="000000"/>
        </w:rPr>
        <w:t xml:space="preserve"> interview of a vulnerable victim to be promptly carried out. This combination </w:t>
      </w:r>
      <w:r w:rsidRPr="00F971E7">
        <w:rPr>
          <w:rFonts w:asciiTheme="minorHAnsi" w:hAnsiTheme="minorHAnsi" w:cstheme="minorHAnsi"/>
          <w:color w:val="000000"/>
        </w:rPr>
        <w:lastRenderedPageBreak/>
        <w:t>of failings cannot be regarded as anything other than a failure to carry out an effective investigation</w:t>
      </w:r>
      <w:r w:rsidR="00C762EC">
        <w:rPr>
          <w:rFonts w:asciiTheme="minorHAnsi" w:hAnsiTheme="minorHAnsi" w:cstheme="minorHAnsi"/>
          <w:color w:val="000000"/>
        </w:rPr>
        <w:t>.</w:t>
      </w:r>
      <w:r w:rsidR="00C762EC">
        <w:rPr>
          <w:rStyle w:val="FootnoteReference"/>
          <w:rFonts w:asciiTheme="minorHAnsi" w:hAnsiTheme="minorHAnsi" w:cstheme="minorHAnsi"/>
          <w:color w:val="000000"/>
        </w:rPr>
        <w:footnoteReference w:id="56"/>
      </w:r>
    </w:p>
    <w:p w14:paraId="141864B4" w14:textId="5D2C4502" w:rsidR="00331E55" w:rsidRPr="00F971E7" w:rsidRDefault="005E76FB" w:rsidP="00702F50">
      <w:pPr>
        <w:jc w:val="both"/>
        <w:rPr>
          <w:rFonts w:asciiTheme="minorHAnsi" w:hAnsiTheme="minorHAnsi" w:cstheme="minorHAnsi"/>
        </w:rPr>
      </w:pPr>
      <w:r w:rsidRPr="00F971E7">
        <w:rPr>
          <w:rFonts w:asciiTheme="minorHAnsi" w:hAnsiTheme="minorHAnsi" w:cstheme="minorHAnsi"/>
        </w:rPr>
        <w:t xml:space="preserve">In the context of the operation of the DVDS in England and Wales, </w:t>
      </w:r>
      <w:r w:rsidR="00E3378B" w:rsidRPr="00F971E7">
        <w:rPr>
          <w:rFonts w:asciiTheme="minorHAnsi" w:hAnsiTheme="minorHAnsi" w:cstheme="minorHAnsi"/>
        </w:rPr>
        <w:t xml:space="preserve">‘egregious errors’ amounting to non-minor or significant failings might include </w:t>
      </w:r>
      <w:r w:rsidR="00D73AA8" w:rsidRPr="00F971E7">
        <w:rPr>
          <w:rFonts w:asciiTheme="minorHAnsi" w:hAnsiTheme="minorHAnsi" w:cstheme="minorHAnsi"/>
        </w:rPr>
        <w:t>a failure to disclose (sufficient) information about possible abuse to an eventual victim</w:t>
      </w:r>
      <w:r w:rsidR="00CF69ED" w:rsidRPr="00F971E7">
        <w:rPr>
          <w:rFonts w:asciiTheme="minorHAnsi" w:hAnsiTheme="minorHAnsi" w:cstheme="minorHAnsi"/>
        </w:rPr>
        <w:t>; a failure to do so urgently or quickly enough; or a failure to put further and wider supportive or preventive measures in place in relation to this possibly violent relationship situation.</w:t>
      </w:r>
    </w:p>
    <w:p w14:paraId="77A6E706" w14:textId="4CD16F09" w:rsidR="00A423C3" w:rsidRPr="00F971E7" w:rsidRDefault="00BD316E" w:rsidP="00702F50">
      <w:pPr>
        <w:jc w:val="both"/>
        <w:rPr>
          <w:rFonts w:asciiTheme="minorHAnsi" w:hAnsiTheme="minorHAnsi" w:cstheme="minorHAnsi"/>
        </w:rPr>
      </w:pPr>
      <w:r w:rsidRPr="00F971E7">
        <w:rPr>
          <w:rFonts w:asciiTheme="minorHAnsi" w:hAnsiTheme="minorHAnsi" w:cstheme="minorHAnsi"/>
        </w:rPr>
        <w:t xml:space="preserve">Another case driven by the ‘egregious errors’ standard </w:t>
      </w:r>
      <w:r w:rsidR="001E2E39" w:rsidRPr="00F971E7">
        <w:rPr>
          <w:rFonts w:asciiTheme="minorHAnsi" w:hAnsiTheme="minorHAnsi" w:cstheme="minorHAnsi"/>
        </w:rPr>
        <w:t xml:space="preserve">in </w:t>
      </w:r>
      <w:r w:rsidR="001E2E39" w:rsidRPr="00F971E7">
        <w:rPr>
          <w:rFonts w:asciiTheme="minorHAnsi" w:hAnsiTheme="minorHAnsi" w:cstheme="minorHAnsi"/>
          <w:i/>
          <w:iCs/>
        </w:rPr>
        <w:t>DSD</w:t>
      </w:r>
      <w:r w:rsidR="001E2E39" w:rsidRPr="00F971E7">
        <w:rPr>
          <w:rFonts w:asciiTheme="minorHAnsi" w:hAnsiTheme="minorHAnsi" w:cstheme="minorHAnsi"/>
        </w:rPr>
        <w:t xml:space="preserve"> is the judgment in </w:t>
      </w:r>
      <w:r w:rsidR="00331E55" w:rsidRPr="00F971E7">
        <w:rPr>
          <w:rFonts w:asciiTheme="minorHAnsi" w:hAnsiTheme="minorHAnsi" w:cstheme="minorHAnsi"/>
          <w:i/>
          <w:iCs/>
        </w:rPr>
        <w:t>R (LXD) v Chief Constable of Merseyside Police</w:t>
      </w:r>
      <w:r w:rsidR="001E2E39" w:rsidRPr="00F971E7">
        <w:rPr>
          <w:rFonts w:asciiTheme="minorHAnsi" w:hAnsiTheme="minorHAnsi" w:cstheme="minorHAnsi"/>
        </w:rPr>
        <w:t>,</w:t>
      </w:r>
      <w:r w:rsidR="007C71ED">
        <w:rPr>
          <w:rStyle w:val="FootnoteReference"/>
          <w:rFonts w:asciiTheme="minorHAnsi" w:hAnsiTheme="minorHAnsi" w:cstheme="minorHAnsi"/>
        </w:rPr>
        <w:footnoteReference w:id="57"/>
      </w:r>
      <w:r w:rsidR="001E2E39" w:rsidRPr="00F971E7">
        <w:rPr>
          <w:rFonts w:asciiTheme="minorHAnsi" w:hAnsiTheme="minorHAnsi" w:cstheme="minorHAnsi"/>
        </w:rPr>
        <w:t xml:space="preserve"> which concerned t</w:t>
      </w:r>
      <w:r w:rsidR="00331E55" w:rsidRPr="00F971E7">
        <w:rPr>
          <w:rFonts w:asciiTheme="minorHAnsi" w:hAnsiTheme="minorHAnsi" w:cstheme="minorHAnsi"/>
        </w:rPr>
        <w:t>hreats to kill from an organised crime group</w:t>
      </w:r>
      <w:r w:rsidR="005A7901" w:rsidRPr="00F971E7">
        <w:rPr>
          <w:rFonts w:asciiTheme="minorHAnsi" w:hAnsiTheme="minorHAnsi" w:cstheme="minorHAnsi"/>
        </w:rPr>
        <w:t xml:space="preserve"> made against a family with children at their home. </w:t>
      </w:r>
      <w:r w:rsidR="00331E55" w:rsidRPr="00F971E7">
        <w:rPr>
          <w:rFonts w:asciiTheme="minorHAnsi" w:hAnsiTheme="minorHAnsi" w:cstheme="minorHAnsi"/>
        </w:rPr>
        <w:t xml:space="preserve">The High Court judge, </w:t>
      </w:r>
      <w:proofErr w:type="spellStart"/>
      <w:r w:rsidR="00331E55" w:rsidRPr="00F971E7">
        <w:rPr>
          <w:rFonts w:asciiTheme="minorHAnsi" w:hAnsiTheme="minorHAnsi" w:cstheme="minorHAnsi"/>
        </w:rPr>
        <w:t>Dingemans</w:t>
      </w:r>
      <w:proofErr w:type="spellEnd"/>
      <w:r w:rsidR="00331E55" w:rsidRPr="00F971E7">
        <w:rPr>
          <w:rFonts w:asciiTheme="minorHAnsi" w:hAnsiTheme="minorHAnsi" w:cstheme="minorHAnsi"/>
        </w:rPr>
        <w:t xml:space="preserve"> J, found that the mis-recording of the risk of harm (as 'standard' as opposed to 'medium' as required under force policy) relating to threats to kill against a woman and her children was not sufficient to engage Article 3 or 8 ECHR. </w:t>
      </w:r>
      <w:proofErr w:type="spellStart"/>
      <w:r w:rsidR="00331E55" w:rsidRPr="00F971E7">
        <w:rPr>
          <w:rFonts w:asciiTheme="minorHAnsi" w:hAnsiTheme="minorHAnsi" w:cstheme="minorHAnsi"/>
        </w:rPr>
        <w:t>Dingemans</w:t>
      </w:r>
      <w:proofErr w:type="spellEnd"/>
      <w:r w:rsidR="00331E55" w:rsidRPr="00F971E7">
        <w:rPr>
          <w:rFonts w:asciiTheme="minorHAnsi" w:hAnsiTheme="minorHAnsi" w:cstheme="minorHAnsi"/>
        </w:rPr>
        <w:t xml:space="preserve"> J concluded there had been no breach of the ECHR since it was "apparent that the Defendant did take the proper steps which should have been taken in relation to the Claimants and that the failure to assess the threat as medium did not make any practical difference to the way in which the Claimants were treated</w:t>
      </w:r>
      <w:r w:rsidR="002E138C">
        <w:rPr>
          <w:rFonts w:asciiTheme="minorHAnsi" w:hAnsiTheme="minorHAnsi" w:cstheme="minorHAnsi"/>
        </w:rPr>
        <w:t>”</w:t>
      </w:r>
      <w:r w:rsidR="00331E55" w:rsidRPr="00F971E7">
        <w:rPr>
          <w:rFonts w:asciiTheme="minorHAnsi" w:hAnsiTheme="minorHAnsi" w:cstheme="minorHAnsi"/>
        </w:rPr>
        <w:t>.</w:t>
      </w:r>
      <w:r w:rsidR="002E138C">
        <w:rPr>
          <w:rStyle w:val="FootnoteReference"/>
          <w:rFonts w:asciiTheme="minorHAnsi" w:hAnsiTheme="minorHAnsi" w:cstheme="minorHAnsi"/>
        </w:rPr>
        <w:footnoteReference w:id="58"/>
      </w:r>
      <w:r w:rsidR="00331E55" w:rsidRPr="00F971E7">
        <w:rPr>
          <w:rFonts w:asciiTheme="minorHAnsi" w:hAnsiTheme="minorHAnsi" w:cstheme="minorHAnsi"/>
        </w:rPr>
        <w:t xml:space="preserve"> </w:t>
      </w:r>
      <w:r w:rsidR="00A423C3" w:rsidRPr="00F971E7">
        <w:rPr>
          <w:rFonts w:asciiTheme="minorHAnsi" w:hAnsiTheme="minorHAnsi" w:cstheme="minorHAnsi"/>
        </w:rPr>
        <w:t>The ‘proper steps’ to protect the victims, which had been taken, were: “EM and SM were circulated as wanted. An ANPR marker was put on the car reported to have been driven by SM. Search warrants were executed at the homes of EM and SM</w:t>
      </w:r>
      <w:r w:rsidR="003A132A">
        <w:rPr>
          <w:rFonts w:asciiTheme="minorHAnsi" w:hAnsiTheme="minorHAnsi" w:cstheme="minorHAnsi"/>
        </w:rPr>
        <w:t>”</w:t>
      </w:r>
      <w:r w:rsidR="00A423C3" w:rsidRPr="00F971E7">
        <w:rPr>
          <w:rFonts w:asciiTheme="minorHAnsi" w:hAnsiTheme="minorHAnsi" w:cstheme="minorHAnsi"/>
        </w:rPr>
        <w:t>.</w:t>
      </w:r>
      <w:r w:rsidR="003A132A">
        <w:rPr>
          <w:rStyle w:val="FootnoteReference"/>
          <w:rFonts w:asciiTheme="minorHAnsi" w:hAnsiTheme="minorHAnsi" w:cstheme="minorHAnsi"/>
        </w:rPr>
        <w:footnoteReference w:id="59"/>
      </w:r>
    </w:p>
    <w:p w14:paraId="1963A87A" w14:textId="77777777" w:rsidR="003A132A" w:rsidRDefault="003A132A" w:rsidP="003A132A">
      <w:pPr>
        <w:jc w:val="both"/>
        <w:rPr>
          <w:rFonts w:asciiTheme="minorHAnsi" w:hAnsiTheme="minorHAnsi" w:cstheme="minorHAnsi"/>
          <w:b/>
          <w:bCs/>
        </w:rPr>
      </w:pPr>
    </w:p>
    <w:p w14:paraId="6B651D78" w14:textId="66D91E23" w:rsidR="00C51187" w:rsidRPr="003A132A" w:rsidRDefault="003A132A" w:rsidP="00390BF2">
      <w:pPr>
        <w:pStyle w:val="Heading1"/>
      </w:pPr>
      <w:r>
        <w:t xml:space="preserve">6. </w:t>
      </w:r>
      <w:r w:rsidR="00E53192" w:rsidRPr="003A132A">
        <w:t xml:space="preserve">Putting the human rights issues around the DVDS into a </w:t>
      </w:r>
      <w:r w:rsidR="00C51187" w:rsidRPr="003A132A">
        <w:t>constitutional perspective</w:t>
      </w:r>
    </w:p>
    <w:p w14:paraId="46856A5E" w14:textId="7383DBD9" w:rsidR="00331E55" w:rsidRPr="00F971E7" w:rsidRDefault="00CE00C3" w:rsidP="00702F50">
      <w:pPr>
        <w:jc w:val="both"/>
        <w:rPr>
          <w:rFonts w:asciiTheme="minorHAnsi" w:hAnsiTheme="minorHAnsi" w:cstheme="minorHAnsi"/>
          <w:b/>
          <w:bCs/>
        </w:rPr>
      </w:pPr>
      <w:r w:rsidRPr="00F971E7">
        <w:rPr>
          <w:rFonts w:asciiTheme="minorHAnsi" w:hAnsiTheme="minorHAnsi" w:cstheme="minorHAnsi"/>
        </w:rPr>
        <w:t xml:space="preserve">While </w:t>
      </w:r>
      <w:r w:rsidR="003A132A">
        <w:rPr>
          <w:rFonts w:asciiTheme="minorHAnsi" w:hAnsiTheme="minorHAnsi" w:cstheme="minorHAnsi"/>
        </w:rPr>
        <w:t>the</w:t>
      </w:r>
      <w:r w:rsidRPr="00F971E7">
        <w:rPr>
          <w:rFonts w:asciiTheme="minorHAnsi" w:hAnsiTheme="minorHAnsi" w:cstheme="minorHAnsi"/>
        </w:rPr>
        <w:t xml:space="preserve"> Government has giv</w:t>
      </w:r>
      <w:r w:rsidR="003A132A">
        <w:rPr>
          <w:rFonts w:asciiTheme="minorHAnsi" w:hAnsiTheme="minorHAnsi" w:cstheme="minorHAnsi"/>
        </w:rPr>
        <w:t>en</w:t>
      </w:r>
      <w:r w:rsidRPr="00F971E7">
        <w:rPr>
          <w:rFonts w:asciiTheme="minorHAnsi" w:hAnsiTheme="minorHAnsi" w:cstheme="minorHAnsi"/>
        </w:rPr>
        <w:t xml:space="preserve"> the DVDS a cons</w:t>
      </w:r>
      <w:r w:rsidR="00FD2CF9" w:rsidRPr="00F971E7">
        <w:rPr>
          <w:rFonts w:asciiTheme="minorHAnsi" w:hAnsiTheme="minorHAnsi" w:cstheme="minorHAnsi"/>
        </w:rPr>
        <w:t>i</w:t>
      </w:r>
      <w:r w:rsidRPr="00F971E7">
        <w:rPr>
          <w:rFonts w:asciiTheme="minorHAnsi" w:hAnsiTheme="minorHAnsi" w:cstheme="minorHAnsi"/>
        </w:rPr>
        <w:t xml:space="preserve">derable policy </w:t>
      </w:r>
      <w:r w:rsidR="00974FCA" w:rsidRPr="00F971E7">
        <w:rPr>
          <w:rFonts w:asciiTheme="minorHAnsi" w:hAnsiTheme="minorHAnsi" w:cstheme="minorHAnsi"/>
        </w:rPr>
        <w:t>‘</w:t>
      </w:r>
      <w:r w:rsidRPr="00F971E7">
        <w:rPr>
          <w:rFonts w:asciiTheme="minorHAnsi" w:hAnsiTheme="minorHAnsi" w:cstheme="minorHAnsi"/>
        </w:rPr>
        <w:t>push</w:t>
      </w:r>
      <w:r w:rsidR="00974FCA" w:rsidRPr="00F971E7">
        <w:rPr>
          <w:rFonts w:asciiTheme="minorHAnsi" w:hAnsiTheme="minorHAnsi" w:cstheme="minorHAnsi"/>
        </w:rPr>
        <w:t>’</w:t>
      </w:r>
      <w:r w:rsidRPr="00F971E7">
        <w:rPr>
          <w:rFonts w:asciiTheme="minorHAnsi" w:hAnsiTheme="minorHAnsi" w:cstheme="minorHAnsi"/>
        </w:rPr>
        <w:t xml:space="preserve"> by placing the revised guidance on a statutory footing, following </w:t>
      </w:r>
      <w:r w:rsidR="003C5500">
        <w:rPr>
          <w:rFonts w:asciiTheme="minorHAnsi" w:hAnsiTheme="minorHAnsi" w:cstheme="minorHAnsi"/>
        </w:rPr>
        <w:t>S</w:t>
      </w:r>
      <w:r w:rsidR="003A132A">
        <w:rPr>
          <w:rFonts w:asciiTheme="minorHAnsi" w:hAnsiTheme="minorHAnsi" w:cstheme="minorHAnsi"/>
        </w:rPr>
        <w:t xml:space="preserve">ection </w:t>
      </w:r>
      <w:r w:rsidRPr="00F971E7">
        <w:rPr>
          <w:rFonts w:asciiTheme="minorHAnsi" w:hAnsiTheme="minorHAnsi" w:cstheme="minorHAnsi"/>
        </w:rPr>
        <w:t>77</w:t>
      </w:r>
      <w:r w:rsidR="00FD2CF9" w:rsidRPr="00F971E7">
        <w:rPr>
          <w:rFonts w:asciiTheme="minorHAnsi" w:hAnsiTheme="minorHAnsi" w:cstheme="minorHAnsi"/>
        </w:rPr>
        <w:t xml:space="preserve"> of the Domestic Abuse Act 2021</w:t>
      </w:r>
      <w:r w:rsidR="00974FCA" w:rsidRPr="00F971E7">
        <w:rPr>
          <w:rFonts w:asciiTheme="minorHAnsi" w:hAnsiTheme="minorHAnsi" w:cstheme="minorHAnsi"/>
        </w:rPr>
        <w:t xml:space="preserve">, it is important to note that </w:t>
      </w:r>
      <w:r w:rsidR="000B64C9" w:rsidRPr="00F971E7">
        <w:rPr>
          <w:rFonts w:asciiTheme="minorHAnsi" w:hAnsiTheme="minorHAnsi" w:cstheme="minorHAnsi"/>
        </w:rPr>
        <w:t>a different</w:t>
      </w:r>
      <w:r w:rsidR="00974FCA" w:rsidRPr="00F971E7">
        <w:rPr>
          <w:rFonts w:asciiTheme="minorHAnsi" w:hAnsiTheme="minorHAnsi" w:cstheme="minorHAnsi"/>
        </w:rPr>
        <w:t xml:space="preserve"> use of police information in public protection disclosure</w:t>
      </w:r>
      <w:r w:rsidR="0097590A" w:rsidRPr="00F971E7">
        <w:rPr>
          <w:rFonts w:asciiTheme="minorHAnsi" w:hAnsiTheme="minorHAnsi" w:cstheme="minorHAnsi"/>
        </w:rPr>
        <w:t>s (</w:t>
      </w:r>
      <w:r w:rsidR="000B64C9" w:rsidRPr="00F971E7">
        <w:rPr>
          <w:rFonts w:asciiTheme="minorHAnsi" w:hAnsiTheme="minorHAnsi" w:cstheme="minorHAnsi"/>
        </w:rPr>
        <w:t>compared to the promotion of</w:t>
      </w:r>
      <w:r w:rsidR="0097590A" w:rsidRPr="00F971E7">
        <w:rPr>
          <w:rFonts w:asciiTheme="minorHAnsi" w:hAnsiTheme="minorHAnsi" w:cstheme="minorHAnsi"/>
        </w:rPr>
        <w:t xml:space="preserve"> ‘Clare’s Law</w:t>
      </w:r>
      <w:r w:rsidR="003A132A">
        <w:rPr>
          <w:rFonts w:asciiTheme="minorHAnsi" w:hAnsiTheme="minorHAnsi" w:cstheme="minorHAnsi"/>
        </w:rPr>
        <w:t>’</w:t>
      </w:r>
      <w:r w:rsidR="0097590A" w:rsidRPr="00F971E7">
        <w:rPr>
          <w:rFonts w:asciiTheme="minorHAnsi" w:hAnsiTheme="minorHAnsi" w:cstheme="minorHAnsi"/>
        </w:rPr>
        <w:t xml:space="preserve">) </w:t>
      </w:r>
      <w:r w:rsidR="0070370A">
        <w:rPr>
          <w:rFonts w:asciiTheme="minorHAnsi" w:hAnsiTheme="minorHAnsi" w:cstheme="minorHAnsi"/>
        </w:rPr>
        <w:t xml:space="preserve">has </w:t>
      </w:r>
      <w:r w:rsidR="0097590A" w:rsidRPr="00F971E7">
        <w:rPr>
          <w:rFonts w:asciiTheme="minorHAnsi" w:hAnsiTheme="minorHAnsi" w:cstheme="minorHAnsi"/>
        </w:rPr>
        <w:t>not recei</w:t>
      </w:r>
      <w:r w:rsidR="005C60D8">
        <w:rPr>
          <w:rFonts w:asciiTheme="minorHAnsi" w:hAnsiTheme="minorHAnsi" w:cstheme="minorHAnsi"/>
        </w:rPr>
        <w:t>ved</w:t>
      </w:r>
      <w:r w:rsidR="0097590A" w:rsidRPr="00F971E7">
        <w:rPr>
          <w:rFonts w:asciiTheme="minorHAnsi" w:hAnsiTheme="minorHAnsi" w:cstheme="minorHAnsi"/>
        </w:rPr>
        <w:t xml:space="preserve"> the same </w:t>
      </w:r>
      <w:r w:rsidR="00B33A77" w:rsidRPr="00F971E7">
        <w:rPr>
          <w:rFonts w:asciiTheme="minorHAnsi" w:hAnsiTheme="minorHAnsi" w:cstheme="minorHAnsi"/>
        </w:rPr>
        <w:t xml:space="preserve">support, and instead, </w:t>
      </w:r>
      <w:r w:rsidR="005C60D8">
        <w:rPr>
          <w:rFonts w:asciiTheme="minorHAnsi" w:hAnsiTheme="minorHAnsi" w:cstheme="minorHAnsi"/>
        </w:rPr>
        <w:t>has</w:t>
      </w:r>
      <w:r w:rsidR="00B33A77" w:rsidRPr="00F971E7">
        <w:rPr>
          <w:rFonts w:asciiTheme="minorHAnsi" w:hAnsiTheme="minorHAnsi" w:cstheme="minorHAnsi"/>
        </w:rPr>
        <w:t xml:space="preserve"> be</w:t>
      </w:r>
      <w:r w:rsidR="005C60D8">
        <w:rPr>
          <w:rFonts w:asciiTheme="minorHAnsi" w:hAnsiTheme="minorHAnsi" w:cstheme="minorHAnsi"/>
        </w:rPr>
        <w:t>en</w:t>
      </w:r>
      <w:r w:rsidR="00B33A77" w:rsidRPr="00F971E7">
        <w:rPr>
          <w:rFonts w:asciiTheme="minorHAnsi" w:hAnsiTheme="minorHAnsi" w:cstheme="minorHAnsi"/>
        </w:rPr>
        <w:t xml:space="preserve"> marshalled as evidence that the wider system of UK human rights law needs substantial reform.</w:t>
      </w:r>
      <w:r w:rsidR="002F1B77" w:rsidRPr="00F971E7">
        <w:rPr>
          <w:rFonts w:asciiTheme="minorHAnsi" w:hAnsiTheme="minorHAnsi" w:cstheme="minorHAnsi"/>
        </w:rPr>
        <w:t xml:space="preserve"> The target of this criticism </w:t>
      </w:r>
      <w:r w:rsidR="005C60D8">
        <w:rPr>
          <w:rFonts w:asciiTheme="minorHAnsi" w:hAnsiTheme="minorHAnsi" w:cstheme="minorHAnsi"/>
        </w:rPr>
        <w:t>has been</w:t>
      </w:r>
      <w:r w:rsidR="002F1B77" w:rsidRPr="00F971E7">
        <w:rPr>
          <w:rFonts w:asciiTheme="minorHAnsi" w:hAnsiTheme="minorHAnsi" w:cstheme="minorHAnsi"/>
        </w:rPr>
        <w:t xml:space="preserve"> the use by police of ‘threat to life notifications’, known informally as ‘</w:t>
      </w:r>
      <w:r w:rsidR="002F1B77" w:rsidRPr="00F971E7">
        <w:rPr>
          <w:rFonts w:asciiTheme="minorHAnsi" w:hAnsiTheme="minorHAnsi" w:cstheme="minorHAnsi"/>
          <w:i/>
          <w:iCs/>
        </w:rPr>
        <w:t>Osman</w:t>
      </w:r>
      <w:r w:rsidR="002F1B77" w:rsidRPr="00F971E7">
        <w:rPr>
          <w:rFonts w:asciiTheme="minorHAnsi" w:hAnsiTheme="minorHAnsi" w:cstheme="minorHAnsi"/>
        </w:rPr>
        <w:t xml:space="preserve"> warnings’ due </w:t>
      </w:r>
      <w:r w:rsidR="00BF2C59" w:rsidRPr="00F971E7">
        <w:rPr>
          <w:rFonts w:asciiTheme="minorHAnsi" w:hAnsiTheme="minorHAnsi" w:cstheme="minorHAnsi"/>
        </w:rPr>
        <w:t xml:space="preserve">to </w:t>
      </w:r>
      <w:r w:rsidR="002F1B77" w:rsidRPr="00F971E7">
        <w:rPr>
          <w:rFonts w:asciiTheme="minorHAnsi" w:hAnsiTheme="minorHAnsi" w:cstheme="minorHAnsi"/>
        </w:rPr>
        <w:t xml:space="preserve">their central role in </w:t>
      </w:r>
      <w:r w:rsidR="00F5179A" w:rsidRPr="00F971E7">
        <w:rPr>
          <w:rFonts w:asciiTheme="minorHAnsi" w:hAnsiTheme="minorHAnsi" w:cstheme="minorHAnsi"/>
        </w:rPr>
        <w:t>warning</w:t>
      </w:r>
      <w:r w:rsidR="002F1B77" w:rsidRPr="00F971E7">
        <w:rPr>
          <w:rFonts w:asciiTheme="minorHAnsi" w:hAnsiTheme="minorHAnsi" w:cstheme="minorHAnsi"/>
        </w:rPr>
        <w:t xml:space="preserve"> those individuals</w:t>
      </w:r>
      <w:r w:rsidR="00F5179A" w:rsidRPr="00F971E7">
        <w:rPr>
          <w:rFonts w:asciiTheme="minorHAnsi" w:hAnsiTheme="minorHAnsi" w:cstheme="minorHAnsi"/>
        </w:rPr>
        <w:t xml:space="preserve"> who are facing a ‘real and immediate risk to life’</w:t>
      </w:r>
      <w:r w:rsidR="00BF2C59" w:rsidRPr="00F971E7">
        <w:rPr>
          <w:rFonts w:asciiTheme="minorHAnsi" w:hAnsiTheme="minorHAnsi" w:cstheme="minorHAnsi"/>
        </w:rPr>
        <w:t>, including such a risk from</w:t>
      </w:r>
      <w:r w:rsidR="008563BF" w:rsidRPr="00F971E7">
        <w:rPr>
          <w:rFonts w:asciiTheme="minorHAnsi" w:hAnsiTheme="minorHAnsi" w:cstheme="minorHAnsi"/>
        </w:rPr>
        <w:t xml:space="preserve"> organised crime groups (as in </w:t>
      </w:r>
      <w:r w:rsidR="008563BF" w:rsidRPr="00F971E7">
        <w:rPr>
          <w:rFonts w:asciiTheme="minorHAnsi" w:hAnsiTheme="minorHAnsi" w:cstheme="minorHAnsi"/>
          <w:i/>
          <w:iCs/>
        </w:rPr>
        <w:t>LXD</w:t>
      </w:r>
      <w:r w:rsidR="008563BF" w:rsidRPr="00F971E7">
        <w:rPr>
          <w:rFonts w:asciiTheme="minorHAnsi" w:hAnsiTheme="minorHAnsi" w:cstheme="minorHAnsi"/>
        </w:rPr>
        <w:t>, discussed above)</w:t>
      </w:r>
      <w:r w:rsidR="00BF2C59" w:rsidRPr="00F971E7">
        <w:rPr>
          <w:rFonts w:asciiTheme="minorHAnsi" w:hAnsiTheme="minorHAnsi" w:cstheme="minorHAnsi"/>
        </w:rPr>
        <w:t>.</w:t>
      </w:r>
      <w:r w:rsidR="008563BF" w:rsidRPr="00F971E7">
        <w:rPr>
          <w:rFonts w:asciiTheme="minorHAnsi" w:hAnsiTheme="minorHAnsi" w:cstheme="minorHAnsi"/>
        </w:rPr>
        <w:t xml:space="preserve"> </w:t>
      </w:r>
      <w:r w:rsidR="005A0A96">
        <w:rPr>
          <w:rFonts w:asciiTheme="minorHAnsi" w:hAnsiTheme="minorHAnsi" w:cstheme="minorHAnsi"/>
        </w:rPr>
        <w:t>The</w:t>
      </w:r>
      <w:r w:rsidR="008563BF" w:rsidRPr="00F971E7">
        <w:rPr>
          <w:rFonts w:asciiTheme="minorHAnsi" w:hAnsiTheme="minorHAnsi" w:cstheme="minorHAnsi"/>
        </w:rPr>
        <w:t xml:space="preserve"> Government have taken aim at this practice as a </w:t>
      </w:r>
      <w:r w:rsidR="0011070B" w:rsidRPr="00F971E7">
        <w:rPr>
          <w:rFonts w:asciiTheme="minorHAnsi" w:hAnsiTheme="minorHAnsi" w:cstheme="minorHAnsi"/>
        </w:rPr>
        <w:t>waste, in their eyes, of police resources. In</w:t>
      </w:r>
      <w:r w:rsidR="00331E55" w:rsidRPr="00F971E7">
        <w:rPr>
          <w:rFonts w:asciiTheme="minorHAnsi" w:hAnsiTheme="minorHAnsi" w:cstheme="minorHAnsi"/>
        </w:rPr>
        <w:t xml:space="preserve"> the December 2021 ‘Bill of Rights’ consultation paper</w:t>
      </w:r>
      <w:r w:rsidR="009D40D8">
        <w:rPr>
          <w:rFonts w:asciiTheme="minorHAnsi" w:hAnsiTheme="minorHAnsi" w:cstheme="minorHAnsi"/>
        </w:rPr>
        <w:t xml:space="preserve">, </w:t>
      </w:r>
      <w:r w:rsidR="00331E55" w:rsidRPr="00F971E7">
        <w:rPr>
          <w:rFonts w:asciiTheme="minorHAnsi" w:hAnsiTheme="minorHAnsi" w:cstheme="minorHAnsi"/>
        </w:rPr>
        <w:t xml:space="preserve">the </w:t>
      </w:r>
      <w:r w:rsidR="00A13F7C" w:rsidRPr="00F971E7">
        <w:rPr>
          <w:rFonts w:asciiTheme="minorHAnsi" w:hAnsiTheme="minorHAnsi" w:cstheme="minorHAnsi"/>
        </w:rPr>
        <w:t>Ministry of Justice</w:t>
      </w:r>
      <w:r w:rsidR="009D40D8">
        <w:rPr>
          <w:rFonts w:asciiTheme="minorHAnsi" w:hAnsiTheme="minorHAnsi" w:cstheme="minorHAnsi"/>
        </w:rPr>
        <w:t xml:space="preserve"> stated</w:t>
      </w:r>
      <w:r w:rsidR="00A13F7C" w:rsidRPr="00F971E7">
        <w:rPr>
          <w:rFonts w:asciiTheme="minorHAnsi" w:hAnsiTheme="minorHAnsi" w:cstheme="minorHAnsi"/>
        </w:rPr>
        <w:t xml:space="preserve"> that</w:t>
      </w:r>
      <w:r w:rsidR="00331E55" w:rsidRPr="00F971E7">
        <w:rPr>
          <w:rFonts w:asciiTheme="minorHAnsi" w:hAnsiTheme="minorHAnsi" w:cstheme="minorHAnsi"/>
        </w:rPr>
        <w:t>:</w:t>
      </w:r>
    </w:p>
    <w:p w14:paraId="6A1B4A30" w14:textId="52D95915" w:rsidR="00331E55" w:rsidRPr="00F971E7" w:rsidRDefault="00331E55" w:rsidP="00702F50">
      <w:pPr>
        <w:ind w:left="720"/>
        <w:jc w:val="both"/>
        <w:rPr>
          <w:rFonts w:asciiTheme="minorHAnsi" w:hAnsiTheme="minorHAnsi" w:cstheme="minorHAnsi"/>
        </w:rPr>
      </w:pPr>
      <w:r w:rsidRPr="00F971E7">
        <w:rPr>
          <w:rFonts w:asciiTheme="minorHAnsi" w:hAnsiTheme="minorHAnsi" w:cstheme="minorHAnsi"/>
        </w:rPr>
        <w:lastRenderedPageBreak/>
        <w:t xml:space="preserve">Since those engaged in serious crime are disproportionately likely to face ‘a real and immediate risk to life’, they (rather than ordinary members of the public) are more likely to need the protective services required by the </w:t>
      </w:r>
      <w:r w:rsidRPr="00914BE6">
        <w:rPr>
          <w:rFonts w:asciiTheme="minorHAnsi" w:hAnsiTheme="minorHAnsi" w:cstheme="minorHAnsi"/>
          <w:i/>
          <w:iCs/>
        </w:rPr>
        <w:t>Osman</w:t>
      </w:r>
      <w:r w:rsidRPr="00F971E7">
        <w:rPr>
          <w:rFonts w:asciiTheme="minorHAnsi" w:hAnsiTheme="minorHAnsi" w:cstheme="minorHAnsi"/>
        </w:rPr>
        <w:t xml:space="preserve"> ruling. One force reported that up to 75% of all Threat to Life notifications – required by the </w:t>
      </w:r>
      <w:r w:rsidRPr="00914BE6">
        <w:rPr>
          <w:rFonts w:asciiTheme="minorHAnsi" w:hAnsiTheme="minorHAnsi" w:cstheme="minorHAnsi"/>
          <w:i/>
          <w:iCs/>
        </w:rPr>
        <w:t>Osman</w:t>
      </w:r>
      <w:r w:rsidRPr="00F971E7">
        <w:rPr>
          <w:rFonts w:asciiTheme="minorHAnsi" w:hAnsiTheme="minorHAnsi" w:cstheme="minorHAnsi"/>
        </w:rPr>
        <w:t xml:space="preserve"> ruling – may be issued to serious criminals or gangs. As a result of the straitjacket approach required by human rights case law, a substantial amount of police time is being diverted to provide witness protection to serious criminals. This inevitably displaces police resources allocated to protecting wider society and means that forces are constrained to act in a risk-averse way, taking measures to prevent costly litigation rather than spending resources on protecting the public.</w:t>
      </w:r>
      <w:r w:rsidR="00EA7002">
        <w:rPr>
          <w:rStyle w:val="FootnoteReference"/>
          <w:rFonts w:asciiTheme="minorHAnsi" w:hAnsiTheme="minorHAnsi" w:cstheme="minorHAnsi"/>
        </w:rPr>
        <w:footnoteReference w:id="60"/>
      </w:r>
    </w:p>
    <w:p w14:paraId="40D40919" w14:textId="0A687A21" w:rsidR="00331E55" w:rsidRPr="00F971E7" w:rsidRDefault="00C24C6B" w:rsidP="00702F50">
      <w:pPr>
        <w:jc w:val="both"/>
        <w:rPr>
          <w:rFonts w:asciiTheme="minorHAnsi" w:hAnsiTheme="minorHAnsi" w:cstheme="minorHAnsi"/>
        </w:rPr>
      </w:pPr>
      <w:r w:rsidRPr="00F971E7">
        <w:rPr>
          <w:rFonts w:asciiTheme="minorHAnsi" w:hAnsiTheme="minorHAnsi" w:cstheme="minorHAnsi"/>
        </w:rPr>
        <w:t xml:space="preserve">As such, </w:t>
      </w:r>
      <w:r w:rsidRPr="00914BE6">
        <w:rPr>
          <w:rFonts w:asciiTheme="minorHAnsi" w:hAnsiTheme="minorHAnsi" w:cstheme="minorHAnsi"/>
          <w:i/>
          <w:iCs/>
        </w:rPr>
        <w:t>Osman</w:t>
      </w:r>
      <w:r w:rsidRPr="00F971E7">
        <w:rPr>
          <w:rFonts w:asciiTheme="minorHAnsi" w:hAnsiTheme="minorHAnsi" w:cstheme="minorHAnsi"/>
        </w:rPr>
        <w:t xml:space="preserve"> warnings, comprising </w:t>
      </w:r>
      <w:r w:rsidR="00BF20A3" w:rsidRPr="00F971E7">
        <w:rPr>
          <w:rFonts w:asciiTheme="minorHAnsi" w:hAnsiTheme="minorHAnsi" w:cstheme="minorHAnsi"/>
        </w:rPr>
        <w:t xml:space="preserve">a pragmatic sharing of police intelligence to try and help safeguard the rights to life and </w:t>
      </w:r>
      <w:r w:rsidR="00C15E0E" w:rsidRPr="00F971E7">
        <w:rPr>
          <w:rFonts w:asciiTheme="minorHAnsi" w:hAnsiTheme="minorHAnsi" w:cstheme="minorHAnsi"/>
        </w:rPr>
        <w:t xml:space="preserve">freedom from violence for persons at risk, have something thematically </w:t>
      </w:r>
      <w:r w:rsidR="002D1F50" w:rsidRPr="00F971E7">
        <w:rPr>
          <w:rFonts w:asciiTheme="minorHAnsi" w:hAnsiTheme="minorHAnsi" w:cstheme="minorHAnsi"/>
        </w:rPr>
        <w:t xml:space="preserve">in common with DVDS disclosures; but the former, unlike the latter, have become </w:t>
      </w:r>
      <w:r w:rsidR="00481B9F" w:rsidRPr="00F971E7">
        <w:rPr>
          <w:rFonts w:asciiTheme="minorHAnsi" w:hAnsiTheme="minorHAnsi" w:cstheme="minorHAnsi"/>
        </w:rPr>
        <w:t>one of a number of</w:t>
      </w:r>
      <w:r w:rsidR="002D1F50" w:rsidRPr="00F971E7">
        <w:rPr>
          <w:rFonts w:asciiTheme="minorHAnsi" w:hAnsiTheme="minorHAnsi" w:cstheme="minorHAnsi"/>
        </w:rPr>
        <w:t xml:space="preserve"> </w:t>
      </w:r>
      <w:r w:rsidR="00700D2B" w:rsidRPr="00F971E7">
        <w:rPr>
          <w:rFonts w:asciiTheme="minorHAnsi" w:hAnsiTheme="minorHAnsi" w:cstheme="minorHAnsi"/>
        </w:rPr>
        <w:t>motivating factors</w:t>
      </w:r>
      <w:r w:rsidR="002D1F50" w:rsidRPr="00F971E7">
        <w:rPr>
          <w:rFonts w:asciiTheme="minorHAnsi" w:hAnsiTheme="minorHAnsi" w:cstheme="minorHAnsi"/>
        </w:rPr>
        <w:t xml:space="preserve"> for </w:t>
      </w:r>
      <w:r w:rsidR="007D0AB6">
        <w:rPr>
          <w:rFonts w:asciiTheme="minorHAnsi" w:hAnsiTheme="minorHAnsi" w:cstheme="minorHAnsi"/>
        </w:rPr>
        <w:t>HRA</w:t>
      </w:r>
      <w:r w:rsidR="00481B9F" w:rsidRPr="00F971E7">
        <w:rPr>
          <w:rFonts w:asciiTheme="minorHAnsi" w:hAnsiTheme="minorHAnsi" w:cstheme="minorHAnsi"/>
        </w:rPr>
        <w:t xml:space="preserve"> reform. </w:t>
      </w:r>
      <w:r w:rsidR="00851151" w:rsidRPr="00F971E7">
        <w:rPr>
          <w:rFonts w:asciiTheme="minorHAnsi" w:hAnsiTheme="minorHAnsi" w:cstheme="minorHAnsi"/>
        </w:rPr>
        <w:t>It is appropriate</w:t>
      </w:r>
      <w:r w:rsidR="00700D2B" w:rsidRPr="00F971E7">
        <w:rPr>
          <w:rFonts w:asciiTheme="minorHAnsi" w:hAnsiTheme="minorHAnsi" w:cstheme="minorHAnsi"/>
        </w:rPr>
        <w:t xml:space="preserve">, therefore, </w:t>
      </w:r>
      <w:r w:rsidR="00851151" w:rsidRPr="00F971E7">
        <w:rPr>
          <w:rFonts w:asciiTheme="minorHAnsi" w:hAnsiTheme="minorHAnsi" w:cstheme="minorHAnsi"/>
        </w:rPr>
        <w:t xml:space="preserve">to </w:t>
      </w:r>
      <w:r w:rsidR="009E5B25" w:rsidRPr="00F971E7">
        <w:rPr>
          <w:rFonts w:asciiTheme="minorHAnsi" w:hAnsiTheme="minorHAnsi" w:cstheme="minorHAnsi"/>
        </w:rPr>
        <w:t xml:space="preserve">briefly </w:t>
      </w:r>
      <w:r w:rsidR="00851151" w:rsidRPr="00F971E7">
        <w:rPr>
          <w:rFonts w:asciiTheme="minorHAnsi" w:hAnsiTheme="minorHAnsi" w:cstheme="minorHAnsi"/>
        </w:rPr>
        <w:t xml:space="preserve">consider </w:t>
      </w:r>
      <w:r w:rsidR="00700D2B" w:rsidRPr="00F971E7">
        <w:rPr>
          <w:rFonts w:asciiTheme="minorHAnsi" w:hAnsiTheme="minorHAnsi" w:cstheme="minorHAnsi"/>
        </w:rPr>
        <w:t xml:space="preserve">here </w:t>
      </w:r>
      <w:r w:rsidR="00851151" w:rsidRPr="00F971E7">
        <w:rPr>
          <w:rFonts w:asciiTheme="minorHAnsi" w:hAnsiTheme="minorHAnsi" w:cstheme="minorHAnsi"/>
        </w:rPr>
        <w:t xml:space="preserve">the </w:t>
      </w:r>
      <w:r w:rsidR="007D0AB6">
        <w:rPr>
          <w:rFonts w:asciiTheme="minorHAnsi" w:hAnsiTheme="minorHAnsi" w:cstheme="minorHAnsi"/>
        </w:rPr>
        <w:t xml:space="preserve">Government’s </w:t>
      </w:r>
      <w:r w:rsidR="00A10A5B">
        <w:rPr>
          <w:rFonts w:asciiTheme="minorHAnsi" w:hAnsiTheme="minorHAnsi" w:cstheme="minorHAnsi"/>
        </w:rPr>
        <w:t xml:space="preserve">latest </w:t>
      </w:r>
      <w:r w:rsidR="00851151" w:rsidRPr="00F971E7">
        <w:rPr>
          <w:rFonts w:asciiTheme="minorHAnsi" w:hAnsiTheme="minorHAnsi" w:cstheme="minorHAnsi"/>
        </w:rPr>
        <w:t>plans</w:t>
      </w:r>
      <w:r w:rsidR="001669B8" w:rsidRPr="00F971E7">
        <w:rPr>
          <w:rFonts w:asciiTheme="minorHAnsi" w:hAnsiTheme="minorHAnsi" w:cstheme="minorHAnsi"/>
        </w:rPr>
        <w:t xml:space="preserve"> for the </w:t>
      </w:r>
      <w:r w:rsidR="00A10A5B">
        <w:rPr>
          <w:rFonts w:asciiTheme="minorHAnsi" w:hAnsiTheme="minorHAnsi" w:cstheme="minorHAnsi"/>
        </w:rPr>
        <w:t>HRA</w:t>
      </w:r>
      <w:r w:rsidR="005E00C2" w:rsidRPr="00F971E7">
        <w:rPr>
          <w:rFonts w:asciiTheme="minorHAnsi" w:hAnsiTheme="minorHAnsi" w:cstheme="minorHAnsi"/>
        </w:rPr>
        <w:t>, or specifically, the relationship between the UK human rights law system and the ECHR</w:t>
      </w:r>
      <w:r w:rsidR="001669B8" w:rsidRPr="00F971E7">
        <w:rPr>
          <w:rFonts w:asciiTheme="minorHAnsi" w:hAnsiTheme="minorHAnsi" w:cstheme="minorHAnsi"/>
        </w:rPr>
        <w:t>. The Queen’s Speech of 2022 explain</w:t>
      </w:r>
      <w:r w:rsidR="00A10A5B">
        <w:rPr>
          <w:rFonts w:asciiTheme="minorHAnsi" w:hAnsiTheme="minorHAnsi" w:cstheme="minorHAnsi"/>
        </w:rPr>
        <w:t>ed</w:t>
      </w:r>
      <w:r w:rsidR="001669B8" w:rsidRPr="00F971E7">
        <w:rPr>
          <w:rFonts w:asciiTheme="minorHAnsi" w:hAnsiTheme="minorHAnsi" w:cstheme="minorHAnsi"/>
        </w:rPr>
        <w:t xml:space="preserve"> that t</w:t>
      </w:r>
      <w:r w:rsidR="00331E55" w:rsidRPr="00F971E7">
        <w:rPr>
          <w:rFonts w:asciiTheme="minorHAnsi" w:hAnsiTheme="minorHAnsi" w:cstheme="minorHAnsi"/>
        </w:rPr>
        <w:t xml:space="preserve">he government </w:t>
      </w:r>
      <w:r w:rsidR="00DB5CAC">
        <w:rPr>
          <w:rFonts w:asciiTheme="minorHAnsi" w:hAnsiTheme="minorHAnsi" w:cstheme="minorHAnsi"/>
        </w:rPr>
        <w:t>would</w:t>
      </w:r>
      <w:r w:rsidR="00DB5CAC" w:rsidRPr="00F971E7">
        <w:rPr>
          <w:rFonts w:asciiTheme="minorHAnsi" w:hAnsiTheme="minorHAnsi" w:cstheme="minorHAnsi"/>
        </w:rPr>
        <w:t xml:space="preserve"> </w:t>
      </w:r>
      <w:r w:rsidR="00331E55" w:rsidRPr="00F971E7">
        <w:rPr>
          <w:rFonts w:asciiTheme="minorHAnsi" w:hAnsiTheme="minorHAnsi" w:cstheme="minorHAnsi"/>
        </w:rPr>
        <w:t>“introduce a Bill of Rights to ensure there is a proper balance between the rights of individuals, our vital national security and effective government, strengthening freedom of speech, our common law traditions and reducing reliance on Strasbourg case law”.</w:t>
      </w:r>
      <w:r w:rsidR="00590D4B">
        <w:rPr>
          <w:rStyle w:val="FootnoteReference"/>
          <w:rFonts w:asciiTheme="minorHAnsi" w:hAnsiTheme="minorHAnsi" w:cstheme="minorHAnsi"/>
        </w:rPr>
        <w:footnoteReference w:id="61"/>
      </w:r>
      <w:r w:rsidR="003A4BB6" w:rsidRPr="00F971E7">
        <w:rPr>
          <w:rFonts w:asciiTheme="minorHAnsi" w:hAnsiTheme="minorHAnsi" w:cstheme="minorHAnsi"/>
        </w:rPr>
        <w:t xml:space="preserve"> </w:t>
      </w:r>
      <w:r w:rsidR="003A4BB6" w:rsidRPr="00F971E7">
        <w:rPr>
          <w:rFonts w:asciiTheme="minorHAnsi" w:hAnsiTheme="minorHAnsi" w:cstheme="minorHAnsi"/>
          <w:i/>
          <w:iCs/>
        </w:rPr>
        <w:t>DSD</w:t>
      </w:r>
      <w:r w:rsidR="00911C28" w:rsidRPr="00F971E7">
        <w:rPr>
          <w:rFonts w:asciiTheme="minorHAnsi" w:hAnsiTheme="minorHAnsi" w:cstheme="minorHAnsi"/>
          <w:i/>
          <w:iCs/>
        </w:rPr>
        <w:t>,</w:t>
      </w:r>
      <w:r w:rsidR="003A4BB6" w:rsidRPr="00F971E7">
        <w:rPr>
          <w:rFonts w:asciiTheme="minorHAnsi" w:hAnsiTheme="minorHAnsi" w:cstheme="minorHAnsi"/>
        </w:rPr>
        <w:t xml:space="preserve"> and the important new standard </w:t>
      </w:r>
      <w:r w:rsidR="00C915DA" w:rsidRPr="00F971E7">
        <w:rPr>
          <w:rFonts w:asciiTheme="minorHAnsi" w:hAnsiTheme="minorHAnsi" w:cstheme="minorHAnsi"/>
        </w:rPr>
        <w:t xml:space="preserve">around the avoidance </w:t>
      </w:r>
      <w:r w:rsidR="003A4BB6" w:rsidRPr="00F971E7">
        <w:rPr>
          <w:rFonts w:asciiTheme="minorHAnsi" w:hAnsiTheme="minorHAnsi" w:cstheme="minorHAnsi"/>
        </w:rPr>
        <w:t>of ‘egregious errors</w:t>
      </w:r>
      <w:r w:rsidR="00C915DA" w:rsidRPr="00F971E7">
        <w:rPr>
          <w:rFonts w:asciiTheme="minorHAnsi" w:hAnsiTheme="minorHAnsi" w:cstheme="minorHAnsi"/>
        </w:rPr>
        <w:t>’ in police investigations and public protection work</w:t>
      </w:r>
      <w:r w:rsidR="00911C28" w:rsidRPr="00F971E7">
        <w:rPr>
          <w:rFonts w:asciiTheme="minorHAnsi" w:hAnsiTheme="minorHAnsi" w:cstheme="minorHAnsi"/>
        </w:rPr>
        <w:t xml:space="preserve"> is</w:t>
      </w:r>
      <w:r w:rsidR="009954B0">
        <w:rPr>
          <w:rFonts w:asciiTheme="minorHAnsi" w:hAnsiTheme="minorHAnsi" w:cstheme="minorHAnsi"/>
        </w:rPr>
        <w:t>,</w:t>
      </w:r>
      <w:r w:rsidR="00911C28" w:rsidRPr="00F971E7">
        <w:rPr>
          <w:rFonts w:asciiTheme="minorHAnsi" w:hAnsiTheme="minorHAnsi" w:cstheme="minorHAnsi"/>
        </w:rPr>
        <w:t xml:space="preserve"> however</w:t>
      </w:r>
      <w:r w:rsidR="009954B0">
        <w:rPr>
          <w:rFonts w:asciiTheme="minorHAnsi" w:hAnsiTheme="minorHAnsi" w:cstheme="minorHAnsi"/>
        </w:rPr>
        <w:t>,</w:t>
      </w:r>
      <w:r w:rsidR="00911C28" w:rsidRPr="00F971E7">
        <w:rPr>
          <w:rFonts w:asciiTheme="minorHAnsi" w:hAnsiTheme="minorHAnsi" w:cstheme="minorHAnsi"/>
        </w:rPr>
        <w:t xml:space="preserve"> a </w:t>
      </w:r>
      <w:r w:rsidR="002400A5" w:rsidRPr="00F971E7">
        <w:rPr>
          <w:rFonts w:asciiTheme="minorHAnsi" w:hAnsiTheme="minorHAnsi" w:cstheme="minorHAnsi"/>
        </w:rPr>
        <w:t>domestic legal development. So</w:t>
      </w:r>
      <w:r w:rsidR="00563BD7">
        <w:rPr>
          <w:rFonts w:asciiTheme="minorHAnsi" w:hAnsiTheme="minorHAnsi" w:cstheme="minorHAnsi"/>
        </w:rPr>
        <w:t>,</w:t>
      </w:r>
      <w:r w:rsidR="002400A5" w:rsidRPr="00F971E7">
        <w:rPr>
          <w:rFonts w:asciiTheme="minorHAnsi" w:hAnsiTheme="minorHAnsi" w:cstheme="minorHAnsi"/>
        </w:rPr>
        <w:t xml:space="preserve"> it is just as much </w:t>
      </w:r>
      <w:r w:rsidR="00A344A9" w:rsidRPr="00F971E7">
        <w:rPr>
          <w:rFonts w:asciiTheme="minorHAnsi" w:hAnsiTheme="minorHAnsi" w:cstheme="minorHAnsi"/>
        </w:rPr>
        <w:t xml:space="preserve">of a </w:t>
      </w:r>
      <w:r w:rsidR="002400A5" w:rsidRPr="00F971E7">
        <w:rPr>
          <w:rFonts w:asciiTheme="minorHAnsi" w:hAnsiTheme="minorHAnsi" w:cstheme="minorHAnsi"/>
        </w:rPr>
        <w:t xml:space="preserve">concern, in </w:t>
      </w:r>
      <w:r w:rsidR="004B20DD">
        <w:rPr>
          <w:rFonts w:asciiTheme="minorHAnsi" w:hAnsiTheme="minorHAnsi" w:cstheme="minorHAnsi"/>
        </w:rPr>
        <w:t>the</w:t>
      </w:r>
      <w:r w:rsidR="002400A5" w:rsidRPr="00F971E7">
        <w:rPr>
          <w:rFonts w:asciiTheme="minorHAnsi" w:hAnsiTheme="minorHAnsi" w:cstheme="minorHAnsi"/>
        </w:rPr>
        <w:t xml:space="preserve"> context of the protection </w:t>
      </w:r>
      <w:r w:rsidR="004B20DD">
        <w:rPr>
          <w:rFonts w:asciiTheme="minorHAnsi" w:hAnsiTheme="minorHAnsi" w:cstheme="minorHAnsi"/>
        </w:rPr>
        <w:t xml:space="preserve">of </w:t>
      </w:r>
      <w:r w:rsidR="002400A5" w:rsidRPr="00F971E7">
        <w:rPr>
          <w:rFonts w:asciiTheme="minorHAnsi" w:hAnsiTheme="minorHAnsi" w:cstheme="minorHAnsi"/>
        </w:rPr>
        <w:t xml:space="preserve">and support for vulnerable victims of domestic abuse, that </w:t>
      </w:r>
      <w:r w:rsidR="00331E55" w:rsidRPr="00F971E7">
        <w:rPr>
          <w:rFonts w:asciiTheme="minorHAnsi" w:hAnsiTheme="minorHAnsi" w:cstheme="minorHAnsi"/>
        </w:rPr>
        <w:t xml:space="preserve">the </w:t>
      </w:r>
      <w:r w:rsidR="000133C6">
        <w:rPr>
          <w:rFonts w:asciiTheme="minorHAnsi" w:hAnsiTheme="minorHAnsi" w:cstheme="minorHAnsi"/>
        </w:rPr>
        <w:t>briefing</w:t>
      </w:r>
      <w:r w:rsidR="00331E55" w:rsidRPr="00F971E7">
        <w:rPr>
          <w:rFonts w:asciiTheme="minorHAnsi" w:hAnsiTheme="minorHAnsi" w:cstheme="minorHAnsi"/>
        </w:rPr>
        <w:t xml:space="preserve"> notes</w:t>
      </w:r>
      <w:r w:rsidR="002400A5" w:rsidRPr="00F971E7">
        <w:rPr>
          <w:rFonts w:asciiTheme="minorHAnsi" w:hAnsiTheme="minorHAnsi" w:cstheme="minorHAnsi"/>
        </w:rPr>
        <w:t xml:space="preserve"> to the Queen’s Speech in 2022</w:t>
      </w:r>
      <w:r w:rsidR="00D5424D" w:rsidRPr="00F971E7">
        <w:rPr>
          <w:rFonts w:asciiTheme="minorHAnsi" w:hAnsiTheme="minorHAnsi" w:cstheme="minorHAnsi"/>
        </w:rPr>
        <w:t xml:space="preserve"> explain</w:t>
      </w:r>
      <w:r w:rsidR="00703549">
        <w:rPr>
          <w:rFonts w:asciiTheme="minorHAnsi" w:hAnsiTheme="minorHAnsi" w:cstheme="minorHAnsi"/>
        </w:rPr>
        <w:t>ed</w:t>
      </w:r>
      <w:r w:rsidR="00D5424D" w:rsidRPr="00F971E7">
        <w:rPr>
          <w:rFonts w:asciiTheme="minorHAnsi" w:hAnsiTheme="minorHAnsi" w:cstheme="minorHAnsi"/>
        </w:rPr>
        <w:t xml:space="preserve"> </w:t>
      </w:r>
      <w:r w:rsidR="000133C6">
        <w:rPr>
          <w:rFonts w:asciiTheme="minorHAnsi" w:hAnsiTheme="minorHAnsi" w:cstheme="minorHAnsi"/>
        </w:rPr>
        <w:t>a particular</w:t>
      </w:r>
      <w:r w:rsidR="00D5424D" w:rsidRPr="00F971E7">
        <w:rPr>
          <w:rFonts w:asciiTheme="minorHAnsi" w:hAnsiTheme="minorHAnsi" w:cstheme="minorHAnsi"/>
        </w:rPr>
        <w:t xml:space="preserve"> intention </w:t>
      </w:r>
      <w:r w:rsidR="000133C6">
        <w:rPr>
          <w:rFonts w:asciiTheme="minorHAnsi" w:hAnsiTheme="minorHAnsi" w:cstheme="minorHAnsi"/>
        </w:rPr>
        <w:t>to</w:t>
      </w:r>
      <w:r w:rsidR="00D5424D" w:rsidRPr="00F971E7">
        <w:rPr>
          <w:rFonts w:asciiTheme="minorHAnsi" w:hAnsiTheme="minorHAnsi" w:cstheme="minorHAnsi"/>
        </w:rPr>
        <w:t xml:space="preserve"> pull down what the </w:t>
      </w:r>
      <w:r w:rsidR="000133C6">
        <w:rPr>
          <w:rFonts w:asciiTheme="minorHAnsi" w:hAnsiTheme="minorHAnsi" w:cstheme="minorHAnsi"/>
        </w:rPr>
        <w:t>HRA</w:t>
      </w:r>
      <w:r w:rsidR="00D5424D" w:rsidRPr="00F971E7">
        <w:rPr>
          <w:rFonts w:asciiTheme="minorHAnsi" w:hAnsiTheme="minorHAnsi" w:cstheme="minorHAnsi"/>
        </w:rPr>
        <w:t xml:space="preserve"> has done in little over 20 years, both doctrinally, and culturally, around rights</w:t>
      </w:r>
      <w:r w:rsidR="009E5B25" w:rsidRPr="00F971E7">
        <w:rPr>
          <w:rFonts w:asciiTheme="minorHAnsi" w:hAnsiTheme="minorHAnsi" w:cstheme="minorHAnsi"/>
        </w:rPr>
        <w:t xml:space="preserve">. </w:t>
      </w:r>
      <w:r w:rsidR="00E2552A">
        <w:rPr>
          <w:rFonts w:asciiTheme="minorHAnsi" w:hAnsiTheme="minorHAnsi" w:cstheme="minorHAnsi"/>
        </w:rPr>
        <w:t>The Government’s proposed</w:t>
      </w:r>
      <w:r w:rsidR="009E5B25" w:rsidRPr="00F971E7">
        <w:rPr>
          <w:rFonts w:asciiTheme="minorHAnsi" w:hAnsiTheme="minorHAnsi" w:cstheme="minorHAnsi"/>
        </w:rPr>
        <w:t xml:space="preserve"> contemp</w:t>
      </w:r>
      <w:r w:rsidR="00C96117" w:rsidRPr="00F971E7">
        <w:rPr>
          <w:rFonts w:asciiTheme="minorHAnsi" w:hAnsiTheme="minorHAnsi" w:cstheme="minorHAnsi"/>
        </w:rPr>
        <w:t>orary Bill of Rights</w:t>
      </w:r>
      <w:r w:rsidR="001656C5" w:rsidRPr="00F971E7">
        <w:rPr>
          <w:rFonts w:asciiTheme="minorHAnsi" w:hAnsiTheme="minorHAnsi" w:cstheme="minorHAnsi"/>
        </w:rPr>
        <w:t xml:space="preserve"> </w:t>
      </w:r>
      <w:r w:rsidR="00DC3D2E">
        <w:rPr>
          <w:rFonts w:asciiTheme="minorHAnsi" w:hAnsiTheme="minorHAnsi" w:cstheme="minorHAnsi"/>
        </w:rPr>
        <w:t xml:space="preserve">was </w:t>
      </w:r>
      <w:r w:rsidR="001656C5" w:rsidRPr="00F971E7">
        <w:rPr>
          <w:rFonts w:asciiTheme="minorHAnsi" w:hAnsiTheme="minorHAnsi" w:cstheme="minorHAnsi"/>
        </w:rPr>
        <w:t>aimed chiefly at</w:t>
      </w:r>
      <w:r w:rsidR="00C96117" w:rsidRPr="00F971E7">
        <w:rPr>
          <w:rFonts w:asciiTheme="minorHAnsi" w:hAnsiTheme="minorHAnsi" w:cstheme="minorHAnsi"/>
        </w:rPr>
        <w:t>:</w:t>
      </w:r>
    </w:p>
    <w:p w14:paraId="216DCB44" w14:textId="4B7DDD2D" w:rsidR="00331E55" w:rsidRPr="00F971E7" w:rsidRDefault="00331E55" w:rsidP="00702F50">
      <w:pPr>
        <w:pStyle w:val="ListParagraph"/>
        <w:numPr>
          <w:ilvl w:val="0"/>
          <w:numId w:val="3"/>
        </w:numPr>
        <w:jc w:val="both"/>
        <w:rPr>
          <w:rFonts w:asciiTheme="minorHAnsi" w:hAnsiTheme="minorHAnsi" w:cstheme="minorHAnsi"/>
        </w:rPr>
      </w:pPr>
      <w:r w:rsidRPr="00F971E7">
        <w:rPr>
          <w:rFonts w:asciiTheme="minorHAnsi" w:hAnsiTheme="minorHAnsi" w:cstheme="minorHAnsi"/>
        </w:rPr>
        <w:t>“Curbing the incremental expansion of a rights culture without proper democratic oversight, which has displaced due focus on personal responsibility and the public interest.”</w:t>
      </w:r>
      <w:r w:rsidR="00917CD2">
        <w:rPr>
          <w:rStyle w:val="FootnoteReference"/>
          <w:rFonts w:asciiTheme="minorHAnsi" w:hAnsiTheme="minorHAnsi" w:cstheme="minorHAnsi"/>
        </w:rPr>
        <w:footnoteReference w:id="62"/>
      </w:r>
    </w:p>
    <w:p w14:paraId="0C1BB89D" w14:textId="082E9B78" w:rsidR="00331E55" w:rsidRPr="00F971E7" w:rsidRDefault="00331E55" w:rsidP="00702F50">
      <w:pPr>
        <w:pStyle w:val="ListParagraph"/>
        <w:numPr>
          <w:ilvl w:val="0"/>
          <w:numId w:val="3"/>
        </w:numPr>
        <w:jc w:val="both"/>
        <w:rPr>
          <w:rFonts w:asciiTheme="minorHAnsi" w:hAnsiTheme="minorHAnsi" w:cstheme="minorHAnsi"/>
        </w:rPr>
      </w:pPr>
      <w:r w:rsidRPr="00F971E7">
        <w:rPr>
          <w:rFonts w:asciiTheme="minorHAnsi" w:hAnsiTheme="minorHAnsi" w:cstheme="minorHAnsi"/>
        </w:rPr>
        <w:t>“Reducing unnecessary litigation and avoiding undue risk aversion for bodies delivering public services.”</w:t>
      </w:r>
      <w:r w:rsidR="00917CD2">
        <w:rPr>
          <w:rStyle w:val="FootnoteReference"/>
          <w:rFonts w:asciiTheme="minorHAnsi" w:hAnsiTheme="minorHAnsi" w:cstheme="minorHAnsi"/>
        </w:rPr>
        <w:footnoteReference w:id="63"/>
      </w:r>
    </w:p>
    <w:p w14:paraId="1E860866" w14:textId="358BB134" w:rsidR="00331E55" w:rsidRPr="00F971E7" w:rsidRDefault="00331E55" w:rsidP="00702F50">
      <w:pPr>
        <w:pStyle w:val="ListParagraph"/>
        <w:numPr>
          <w:ilvl w:val="0"/>
          <w:numId w:val="3"/>
        </w:numPr>
        <w:jc w:val="both"/>
        <w:rPr>
          <w:rFonts w:asciiTheme="minorHAnsi" w:hAnsiTheme="minorHAnsi" w:cstheme="minorHAnsi"/>
        </w:rPr>
      </w:pPr>
      <w:r w:rsidRPr="00F971E7">
        <w:rPr>
          <w:rFonts w:asciiTheme="minorHAnsi" w:hAnsiTheme="minorHAnsi" w:cstheme="minorHAnsi"/>
        </w:rPr>
        <w:t>“Establishing the primacy of UK case law, clarifying there is no requirement to follow the Strasbourg case law and that UK Courts cannot interpret rights in a more expansive manner than the Strasbourg Court.”</w:t>
      </w:r>
      <w:r w:rsidR="008662D1">
        <w:rPr>
          <w:rStyle w:val="FootnoteReference"/>
          <w:rFonts w:asciiTheme="minorHAnsi" w:hAnsiTheme="minorHAnsi" w:cstheme="minorHAnsi"/>
        </w:rPr>
        <w:footnoteReference w:id="64"/>
      </w:r>
    </w:p>
    <w:p w14:paraId="16FCEEB9" w14:textId="5F2EA2A0" w:rsidR="00331E55" w:rsidRPr="00F971E7" w:rsidRDefault="00331E55" w:rsidP="00702F50">
      <w:pPr>
        <w:pStyle w:val="ListParagraph"/>
        <w:numPr>
          <w:ilvl w:val="0"/>
          <w:numId w:val="3"/>
        </w:numPr>
        <w:jc w:val="both"/>
        <w:rPr>
          <w:rFonts w:asciiTheme="minorHAnsi" w:hAnsiTheme="minorHAnsi" w:cstheme="minorHAnsi"/>
        </w:rPr>
      </w:pPr>
      <w:r w:rsidRPr="00F971E7">
        <w:rPr>
          <w:rFonts w:asciiTheme="minorHAnsi" w:hAnsiTheme="minorHAnsi" w:cstheme="minorHAnsi"/>
        </w:rPr>
        <w:lastRenderedPageBreak/>
        <w:t>“Ensuring that UK courts can no longer alter legislation contrary to its ordinary meaning and constraining the ability of the UK courts to impose ‘positive obligations’ on our public services without proper democratic oversight by restricting the scope for judicial legislation.”</w:t>
      </w:r>
      <w:r w:rsidR="008662D1">
        <w:rPr>
          <w:rStyle w:val="FootnoteReference"/>
          <w:rFonts w:asciiTheme="minorHAnsi" w:hAnsiTheme="minorHAnsi" w:cstheme="minorHAnsi"/>
        </w:rPr>
        <w:footnoteReference w:id="65"/>
      </w:r>
    </w:p>
    <w:p w14:paraId="005EF57E" w14:textId="39A70E7B" w:rsidR="00331E55" w:rsidRPr="00F971E7" w:rsidRDefault="00331E55" w:rsidP="00702F50">
      <w:pPr>
        <w:pStyle w:val="ListParagraph"/>
        <w:numPr>
          <w:ilvl w:val="0"/>
          <w:numId w:val="3"/>
        </w:numPr>
        <w:jc w:val="both"/>
        <w:rPr>
          <w:rFonts w:asciiTheme="minorHAnsi" w:hAnsiTheme="minorHAnsi" w:cstheme="minorHAnsi"/>
        </w:rPr>
      </w:pPr>
      <w:r w:rsidRPr="00F971E7">
        <w:rPr>
          <w:rFonts w:asciiTheme="minorHAnsi" w:hAnsiTheme="minorHAnsi" w:cstheme="minorHAnsi"/>
        </w:rPr>
        <w:t>“Recognising that responsibilities exist alongside rights by changing the way that damages can be awarded in human rights claims, for example by ensuring that the courts consider the behaviour of the claimant when considering making an award.”</w:t>
      </w:r>
      <w:r w:rsidR="006E07A5">
        <w:rPr>
          <w:rStyle w:val="FootnoteReference"/>
          <w:rFonts w:asciiTheme="minorHAnsi" w:hAnsiTheme="minorHAnsi" w:cstheme="minorHAnsi"/>
        </w:rPr>
        <w:footnoteReference w:id="66"/>
      </w:r>
    </w:p>
    <w:p w14:paraId="507468C7" w14:textId="77777777" w:rsidR="004141CB" w:rsidRDefault="00266C5C" w:rsidP="00702F50">
      <w:pPr>
        <w:jc w:val="both"/>
        <w:rPr>
          <w:rFonts w:asciiTheme="minorHAnsi" w:hAnsiTheme="minorHAnsi" w:cstheme="minorHAnsi"/>
        </w:rPr>
      </w:pPr>
      <w:r w:rsidRPr="00F971E7">
        <w:rPr>
          <w:rFonts w:asciiTheme="minorHAnsi" w:hAnsiTheme="minorHAnsi" w:cstheme="minorHAnsi"/>
        </w:rPr>
        <w:t xml:space="preserve">Indirectly, some of these proposals </w:t>
      </w:r>
      <w:r w:rsidR="00FF1732">
        <w:rPr>
          <w:rFonts w:asciiTheme="minorHAnsi" w:hAnsiTheme="minorHAnsi" w:cstheme="minorHAnsi"/>
        </w:rPr>
        <w:t xml:space="preserve">would </w:t>
      </w:r>
      <w:r w:rsidRPr="00F971E7">
        <w:rPr>
          <w:rFonts w:asciiTheme="minorHAnsi" w:hAnsiTheme="minorHAnsi" w:cstheme="minorHAnsi"/>
        </w:rPr>
        <w:t xml:space="preserve">amount to </w:t>
      </w:r>
      <w:r w:rsidR="008B264B" w:rsidRPr="00F971E7">
        <w:rPr>
          <w:rFonts w:asciiTheme="minorHAnsi" w:hAnsiTheme="minorHAnsi" w:cstheme="minorHAnsi"/>
        </w:rPr>
        <w:t>an attack on the rights of women and girls</w:t>
      </w:r>
      <w:r w:rsidR="00897F8E" w:rsidRPr="00F971E7">
        <w:rPr>
          <w:rFonts w:asciiTheme="minorHAnsi" w:hAnsiTheme="minorHAnsi" w:cstheme="minorHAnsi"/>
        </w:rPr>
        <w:t xml:space="preserve">. </w:t>
      </w:r>
      <w:r w:rsidR="00277D42" w:rsidRPr="00F971E7">
        <w:rPr>
          <w:rFonts w:asciiTheme="minorHAnsi" w:hAnsiTheme="minorHAnsi" w:cstheme="minorHAnsi"/>
        </w:rPr>
        <w:t>Th</w:t>
      </w:r>
      <w:r w:rsidR="00FF1732">
        <w:rPr>
          <w:rFonts w:asciiTheme="minorHAnsi" w:hAnsiTheme="minorHAnsi" w:cstheme="minorHAnsi"/>
        </w:rPr>
        <w:t>e</w:t>
      </w:r>
      <w:r w:rsidR="00277D42" w:rsidRPr="00F971E7">
        <w:rPr>
          <w:rFonts w:asciiTheme="minorHAnsi" w:hAnsiTheme="minorHAnsi" w:cstheme="minorHAnsi"/>
        </w:rPr>
        <w:t xml:space="preserve"> particular point about trying to ensure that the </w:t>
      </w:r>
      <w:r w:rsidR="00B63555" w:rsidRPr="00F971E7">
        <w:rPr>
          <w:rFonts w:asciiTheme="minorHAnsi" w:hAnsiTheme="minorHAnsi" w:cstheme="minorHAnsi"/>
        </w:rPr>
        <w:t xml:space="preserve">“UK Courts cannot interpret </w:t>
      </w:r>
      <w:r w:rsidR="00421CEC" w:rsidRPr="00F971E7">
        <w:rPr>
          <w:rFonts w:asciiTheme="minorHAnsi" w:hAnsiTheme="minorHAnsi" w:cstheme="minorHAnsi"/>
        </w:rPr>
        <w:t>rights in a more expansive manner that the Strasbourg Court”</w:t>
      </w:r>
      <w:r w:rsidR="00FF1732">
        <w:rPr>
          <w:rFonts w:asciiTheme="minorHAnsi" w:hAnsiTheme="minorHAnsi" w:cstheme="minorHAnsi"/>
        </w:rPr>
        <w:t xml:space="preserve"> would </w:t>
      </w:r>
      <w:r w:rsidR="00421CEC" w:rsidRPr="00F971E7">
        <w:rPr>
          <w:rFonts w:asciiTheme="minorHAnsi" w:hAnsiTheme="minorHAnsi" w:cstheme="minorHAnsi"/>
        </w:rPr>
        <w:t xml:space="preserve">put at risk any further deepening or refinement of the </w:t>
      </w:r>
      <w:r w:rsidR="00421CEC" w:rsidRPr="00F971E7">
        <w:rPr>
          <w:rFonts w:asciiTheme="minorHAnsi" w:hAnsiTheme="minorHAnsi" w:cstheme="minorHAnsi"/>
          <w:i/>
          <w:iCs/>
        </w:rPr>
        <w:t>DSD</w:t>
      </w:r>
      <w:r w:rsidR="00421CEC" w:rsidRPr="00F971E7">
        <w:rPr>
          <w:rFonts w:asciiTheme="minorHAnsi" w:hAnsiTheme="minorHAnsi" w:cstheme="minorHAnsi"/>
        </w:rPr>
        <w:t xml:space="preserve"> standard </w:t>
      </w:r>
      <w:r w:rsidR="00FF1732">
        <w:rPr>
          <w:rFonts w:asciiTheme="minorHAnsi" w:hAnsiTheme="minorHAnsi" w:cstheme="minorHAnsi"/>
        </w:rPr>
        <w:t>concerning</w:t>
      </w:r>
      <w:r w:rsidR="00421CEC" w:rsidRPr="00F971E7">
        <w:rPr>
          <w:rFonts w:asciiTheme="minorHAnsi" w:hAnsiTheme="minorHAnsi" w:cstheme="minorHAnsi"/>
        </w:rPr>
        <w:t xml:space="preserve"> the </w:t>
      </w:r>
      <w:r w:rsidR="009455E1" w:rsidRPr="00F971E7">
        <w:rPr>
          <w:rFonts w:asciiTheme="minorHAnsi" w:hAnsiTheme="minorHAnsi" w:cstheme="minorHAnsi"/>
        </w:rPr>
        <w:t>need to avoid ‘egregious errors</w:t>
      </w:r>
      <w:r w:rsidR="00483586" w:rsidRPr="00F971E7">
        <w:rPr>
          <w:rFonts w:asciiTheme="minorHAnsi" w:hAnsiTheme="minorHAnsi" w:cstheme="minorHAnsi"/>
        </w:rPr>
        <w:t>’ in public protection work</w:t>
      </w:r>
      <w:r w:rsidR="009455E1" w:rsidRPr="00F971E7">
        <w:rPr>
          <w:rFonts w:asciiTheme="minorHAnsi" w:hAnsiTheme="minorHAnsi" w:cstheme="minorHAnsi"/>
        </w:rPr>
        <w:t xml:space="preserve">. </w:t>
      </w:r>
    </w:p>
    <w:p w14:paraId="55FCA4C9" w14:textId="46AB95DF" w:rsidR="00331E55" w:rsidRPr="00F971E7" w:rsidRDefault="00021082" w:rsidP="00702F50">
      <w:pPr>
        <w:jc w:val="both"/>
        <w:rPr>
          <w:rFonts w:asciiTheme="minorHAnsi" w:hAnsiTheme="minorHAnsi" w:cstheme="minorHAnsi"/>
        </w:rPr>
      </w:pPr>
      <w:r>
        <w:rPr>
          <w:rFonts w:asciiTheme="minorHAnsi" w:hAnsiTheme="minorHAnsi" w:cstheme="minorHAnsi"/>
        </w:rPr>
        <w:t xml:space="preserve">The </w:t>
      </w:r>
      <w:r w:rsidR="00BE0E6A">
        <w:rPr>
          <w:rFonts w:asciiTheme="minorHAnsi" w:hAnsiTheme="minorHAnsi" w:cstheme="minorHAnsi"/>
        </w:rPr>
        <w:t xml:space="preserve">Bill of Rights Bill was withdrawn in June 2023, </w:t>
      </w:r>
      <w:r w:rsidR="004141CB">
        <w:rPr>
          <w:rFonts w:asciiTheme="minorHAnsi" w:hAnsiTheme="minorHAnsi" w:cstheme="minorHAnsi"/>
        </w:rPr>
        <w:t xml:space="preserve">but it </w:t>
      </w:r>
      <w:r w:rsidR="009455E1" w:rsidRPr="00F971E7">
        <w:rPr>
          <w:rFonts w:asciiTheme="minorHAnsi" w:hAnsiTheme="minorHAnsi" w:cstheme="minorHAnsi"/>
        </w:rPr>
        <w:t xml:space="preserve">would </w:t>
      </w:r>
      <w:r w:rsidR="004141CB">
        <w:rPr>
          <w:rFonts w:asciiTheme="minorHAnsi" w:hAnsiTheme="minorHAnsi" w:cstheme="minorHAnsi"/>
        </w:rPr>
        <w:t xml:space="preserve">have </w:t>
      </w:r>
      <w:r w:rsidR="009455E1" w:rsidRPr="00F971E7">
        <w:rPr>
          <w:rFonts w:asciiTheme="minorHAnsi" w:hAnsiTheme="minorHAnsi" w:cstheme="minorHAnsi"/>
        </w:rPr>
        <w:t>be</w:t>
      </w:r>
      <w:r w:rsidR="004141CB">
        <w:rPr>
          <w:rFonts w:asciiTheme="minorHAnsi" w:hAnsiTheme="minorHAnsi" w:cstheme="minorHAnsi"/>
        </w:rPr>
        <w:t>en</w:t>
      </w:r>
      <w:r w:rsidR="009455E1" w:rsidRPr="00F971E7">
        <w:rPr>
          <w:rFonts w:asciiTheme="minorHAnsi" w:hAnsiTheme="minorHAnsi" w:cstheme="minorHAnsi"/>
        </w:rPr>
        <w:t xml:space="preserve"> a</w:t>
      </w:r>
      <w:r w:rsidR="00897F8E" w:rsidRPr="00F971E7">
        <w:rPr>
          <w:rFonts w:asciiTheme="minorHAnsi" w:hAnsiTheme="minorHAnsi" w:cstheme="minorHAnsi"/>
        </w:rPr>
        <w:t xml:space="preserve">n awkward </w:t>
      </w:r>
      <w:r w:rsidR="009455E1" w:rsidRPr="00F971E7">
        <w:rPr>
          <w:rFonts w:asciiTheme="minorHAnsi" w:hAnsiTheme="minorHAnsi" w:cstheme="minorHAnsi"/>
        </w:rPr>
        <w:t xml:space="preserve">direction of travel, </w:t>
      </w:r>
      <w:r w:rsidR="00B757F5" w:rsidRPr="00F971E7">
        <w:rPr>
          <w:rFonts w:asciiTheme="minorHAnsi" w:hAnsiTheme="minorHAnsi" w:cstheme="minorHAnsi"/>
        </w:rPr>
        <w:t>doctrinally</w:t>
      </w:r>
      <w:r w:rsidR="009455E1" w:rsidRPr="00F971E7">
        <w:rPr>
          <w:rFonts w:asciiTheme="minorHAnsi" w:hAnsiTheme="minorHAnsi" w:cstheme="minorHAnsi"/>
        </w:rPr>
        <w:t xml:space="preserve">, when most </w:t>
      </w:r>
      <w:r w:rsidR="00B757F5" w:rsidRPr="00F971E7">
        <w:rPr>
          <w:rFonts w:asciiTheme="minorHAnsi" w:hAnsiTheme="minorHAnsi" w:cstheme="minorHAnsi"/>
        </w:rPr>
        <w:t>substantive</w:t>
      </w:r>
      <w:r w:rsidR="009455E1" w:rsidRPr="00F971E7">
        <w:rPr>
          <w:rFonts w:asciiTheme="minorHAnsi" w:hAnsiTheme="minorHAnsi" w:cstheme="minorHAnsi"/>
        </w:rPr>
        <w:t xml:space="preserve"> provisions of the </w:t>
      </w:r>
      <w:r w:rsidR="00B757F5" w:rsidRPr="00F971E7">
        <w:rPr>
          <w:rFonts w:asciiTheme="minorHAnsi" w:hAnsiTheme="minorHAnsi" w:cstheme="minorHAnsi"/>
        </w:rPr>
        <w:t xml:space="preserve">Istanbul Convention </w:t>
      </w:r>
      <w:r w:rsidR="006D71AC">
        <w:rPr>
          <w:rFonts w:asciiTheme="minorHAnsi" w:hAnsiTheme="minorHAnsi" w:cstheme="minorHAnsi"/>
        </w:rPr>
        <w:t>have been</w:t>
      </w:r>
      <w:r w:rsidR="00B757F5" w:rsidRPr="00F971E7">
        <w:rPr>
          <w:rFonts w:asciiTheme="minorHAnsi" w:hAnsiTheme="minorHAnsi" w:cstheme="minorHAnsi"/>
        </w:rPr>
        <w:t xml:space="preserve"> ratified and </w:t>
      </w:r>
      <w:r w:rsidR="006D71AC">
        <w:rPr>
          <w:rFonts w:asciiTheme="minorHAnsi" w:hAnsiTheme="minorHAnsi" w:cstheme="minorHAnsi"/>
        </w:rPr>
        <w:t xml:space="preserve">put </w:t>
      </w:r>
      <w:r w:rsidR="00B757F5" w:rsidRPr="00F971E7">
        <w:rPr>
          <w:rFonts w:asciiTheme="minorHAnsi" w:hAnsiTheme="minorHAnsi" w:cstheme="minorHAnsi"/>
        </w:rPr>
        <w:t>in place in UK law</w:t>
      </w:r>
      <w:r w:rsidR="0033537A">
        <w:rPr>
          <w:rFonts w:asciiTheme="minorHAnsi" w:hAnsiTheme="minorHAnsi" w:cstheme="minorHAnsi"/>
        </w:rPr>
        <w:t>.</w:t>
      </w:r>
      <w:r w:rsidR="004949E7" w:rsidRPr="00F971E7">
        <w:rPr>
          <w:rStyle w:val="FootnoteReference"/>
          <w:rFonts w:asciiTheme="minorHAnsi" w:hAnsiTheme="minorHAnsi" w:cstheme="minorHAnsi"/>
        </w:rPr>
        <w:footnoteReference w:id="67"/>
      </w:r>
      <w:r w:rsidR="00B757F5" w:rsidRPr="00F971E7">
        <w:rPr>
          <w:rFonts w:asciiTheme="minorHAnsi" w:hAnsiTheme="minorHAnsi" w:cstheme="minorHAnsi"/>
        </w:rPr>
        <w:t xml:space="preserve"> </w:t>
      </w:r>
    </w:p>
    <w:p w14:paraId="323AD95C" w14:textId="057A1A64" w:rsidR="00331E55" w:rsidRPr="00F971E7" w:rsidRDefault="004949E7" w:rsidP="00702F50">
      <w:pPr>
        <w:jc w:val="both"/>
        <w:rPr>
          <w:rFonts w:asciiTheme="minorHAnsi" w:hAnsiTheme="minorHAnsi" w:cstheme="minorHAnsi"/>
        </w:rPr>
      </w:pPr>
      <w:r w:rsidRPr="00F971E7">
        <w:rPr>
          <w:rFonts w:asciiTheme="minorHAnsi" w:hAnsiTheme="minorHAnsi" w:cstheme="minorHAnsi"/>
        </w:rPr>
        <w:t xml:space="preserve">The </w:t>
      </w:r>
      <w:r w:rsidR="00035757" w:rsidRPr="00F971E7">
        <w:rPr>
          <w:rFonts w:asciiTheme="minorHAnsi" w:hAnsiTheme="minorHAnsi" w:cstheme="minorHAnsi"/>
        </w:rPr>
        <w:t xml:space="preserve">Istanbul Convention requires </w:t>
      </w:r>
      <w:r w:rsidR="00D75B3C">
        <w:rPr>
          <w:rFonts w:asciiTheme="minorHAnsi" w:hAnsiTheme="minorHAnsi" w:cstheme="minorHAnsi"/>
        </w:rPr>
        <w:t>Council of Europe</w:t>
      </w:r>
      <w:r w:rsidR="00035757" w:rsidRPr="00F971E7">
        <w:rPr>
          <w:rFonts w:asciiTheme="minorHAnsi" w:hAnsiTheme="minorHAnsi" w:cstheme="minorHAnsi"/>
        </w:rPr>
        <w:t xml:space="preserve"> states like the UK to </w:t>
      </w:r>
      <w:r w:rsidR="00D92BA9" w:rsidRPr="00F971E7">
        <w:rPr>
          <w:rFonts w:asciiTheme="minorHAnsi" w:hAnsiTheme="minorHAnsi" w:cstheme="minorHAnsi"/>
        </w:rPr>
        <w:t xml:space="preserve">take </w:t>
      </w:r>
      <w:r w:rsidR="0023435E">
        <w:rPr>
          <w:rFonts w:asciiTheme="minorHAnsi" w:eastAsia="Times New Roman" w:hAnsiTheme="minorHAnsi" w:cstheme="minorHAnsi"/>
        </w:rPr>
        <w:t>“</w:t>
      </w:r>
      <w:r w:rsidR="00331E55" w:rsidRPr="00F971E7">
        <w:rPr>
          <w:rFonts w:asciiTheme="minorHAnsi" w:eastAsia="Times New Roman" w:hAnsiTheme="minorHAnsi" w:cstheme="minorHAnsi"/>
        </w:rPr>
        <w:t>necessary legislative and other measures to adopt and implement State-wide effective, comprehensive and co-ordinated policies</w:t>
      </w:r>
      <w:r w:rsidR="0023435E">
        <w:rPr>
          <w:rFonts w:asciiTheme="minorHAnsi" w:eastAsia="Times New Roman" w:hAnsiTheme="minorHAnsi" w:cstheme="minorHAnsi"/>
        </w:rPr>
        <w:t>”</w:t>
      </w:r>
      <w:r w:rsidR="00331E55" w:rsidRPr="00F971E7">
        <w:rPr>
          <w:rFonts w:asciiTheme="minorHAnsi" w:eastAsia="Times New Roman" w:hAnsiTheme="minorHAnsi" w:cstheme="minorHAnsi"/>
        </w:rPr>
        <w:t xml:space="preserve"> that </w:t>
      </w:r>
      <w:r w:rsidR="0023435E">
        <w:rPr>
          <w:rFonts w:asciiTheme="minorHAnsi" w:eastAsia="Times New Roman" w:hAnsiTheme="minorHAnsi" w:cstheme="minorHAnsi"/>
        </w:rPr>
        <w:t>“</w:t>
      </w:r>
      <w:r w:rsidR="00331E55" w:rsidRPr="00F971E7">
        <w:rPr>
          <w:rFonts w:asciiTheme="minorHAnsi" w:eastAsia="Times New Roman" w:hAnsiTheme="minorHAnsi" w:cstheme="minorHAnsi"/>
        </w:rPr>
        <w:t>offer a holistic response to violence against women</w:t>
      </w:r>
      <w:r w:rsidR="0023435E">
        <w:rPr>
          <w:rFonts w:asciiTheme="minorHAnsi" w:eastAsia="Times New Roman" w:hAnsiTheme="minorHAnsi" w:cstheme="minorHAnsi"/>
        </w:rPr>
        <w:t>.”</w:t>
      </w:r>
      <w:r w:rsidR="00331E55" w:rsidRPr="00F971E7">
        <w:rPr>
          <w:rStyle w:val="FootnoteReference"/>
          <w:rFonts w:asciiTheme="minorHAnsi" w:eastAsia="Times New Roman" w:hAnsiTheme="minorHAnsi" w:cstheme="minorHAnsi"/>
        </w:rPr>
        <w:footnoteReference w:id="68"/>
      </w:r>
      <w:r w:rsidR="00D92BA9" w:rsidRPr="00F971E7">
        <w:rPr>
          <w:rFonts w:asciiTheme="minorHAnsi" w:hAnsiTheme="minorHAnsi" w:cstheme="minorHAnsi"/>
        </w:rPr>
        <w:t xml:space="preserve"> </w:t>
      </w:r>
      <w:r w:rsidRPr="00F971E7">
        <w:rPr>
          <w:rFonts w:asciiTheme="minorHAnsi" w:hAnsiTheme="minorHAnsi" w:cstheme="minorHAnsi"/>
        </w:rPr>
        <w:t xml:space="preserve">Under the Convention, as noted by Lisa </w:t>
      </w:r>
      <w:r w:rsidR="00331E55" w:rsidRPr="00F971E7">
        <w:rPr>
          <w:rFonts w:asciiTheme="minorHAnsi" w:hAnsiTheme="minorHAnsi" w:cstheme="minorHAnsi"/>
        </w:rPr>
        <w:t>Grans: "</w:t>
      </w:r>
      <w:r w:rsidR="00331E55" w:rsidRPr="00F971E7">
        <w:rPr>
          <w:rFonts w:asciiTheme="minorHAnsi" w:hAnsiTheme="minorHAnsi" w:cstheme="minorHAnsi"/>
          <w:lang w:val="en"/>
        </w:rPr>
        <w:t>the choice of methods to prevent violence has mainly been left to the discretion of the State, although the ECtHR has provided some clarification as to minimum standards</w:t>
      </w:r>
      <w:r w:rsidR="00F30CBB" w:rsidRPr="00F971E7">
        <w:rPr>
          <w:rFonts w:asciiTheme="minorHAnsi" w:hAnsiTheme="minorHAnsi" w:cstheme="minorHAnsi"/>
          <w:lang w:val="en"/>
        </w:rPr>
        <w:t>…[while</w:t>
      </w:r>
      <w:r w:rsidR="00106E9C" w:rsidRPr="00F971E7">
        <w:rPr>
          <w:rFonts w:asciiTheme="minorHAnsi" w:hAnsiTheme="minorHAnsi" w:cstheme="minorHAnsi"/>
          <w:lang w:val="en"/>
        </w:rPr>
        <w:t xml:space="preserve"> t</w:t>
      </w:r>
      <w:r w:rsidR="00331E55" w:rsidRPr="00F971E7">
        <w:rPr>
          <w:rFonts w:asciiTheme="minorHAnsi" w:hAnsiTheme="minorHAnsi" w:cstheme="minorHAnsi"/>
          <w:lang w:val="en"/>
        </w:rPr>
        <w:t>he</w:t>
      </w:r>
      <w:r w:rsidR="00106E9C" w:rsidRPr="00F971E7">
        <w:rPr>
          <w:rFonts w:asciiTheme="minorHAnsi" w:hAnsiTheme="minorHAnsi" w:cstheme="minorHAnsi"/>
          <w:lang w:val="en"/>
        </w:rPr>
        <w:t xml:space="preserve">] </w:t>
      </w:r>
      <w:r w:rsidR="00331E55" w:rsidRPr="00F971E7">
        <w:rPr>
          <w:rFonts w:asciiTheme="minorHAnsi" w:hAnsiTheme="minorHAnsi" w:cstheme="minorHAnsi"/>
          <w:lang w:val="en"/>
        </w:rPr>
        <w:t>preventive obligations in the Istanbul Convention are more detailed, but…their content also needs to be spelled out</w:t>
      </w:r>
      <w:r w:rsidR="0084261B">
        <w:rPr>
          <w:rFonts w:asciiTheme="minorHAnsi" w:hAnsiTheme="minorHAnsi" w:cstheme="minorHAnsi"/>
          <w:lang w:val="en"/>
        </w:rPr>
        <w:t>”</w:t>
      </w:r>
      <w:r w:rsidR="00331E55" w:rsidRPr="00F971E7">
        <w:rPr>
          <w:rFonts w:asciiTheme="minorHAnsi" w:hAnsiTheme="minorHAnsi" w:cstheme="minorHAnsi"/>
          <w:lang w:val="en"/>
        </w:rPr>
        <w:t>.</w:t>
      </w:r>
      <w:r w:rsidR="00331E55" w:rsidRPr="00F971E7">
        <w:rPr>
          <w:rStyle w:val="FootnoteReference"/>
          <w:rFonts w:asciiTheme="minorHAnsi" w:hAnsiTheme="minorHAnsi" w:cstheme="minorHAnsi"/>
          <w:lang w:val="en"/>
        </w:rPr>
        <w:footnoteReference w:id="69"/>
      </w:r>
    </w:p>
    <w:p w14:paraId="4C90AE1B" w14:textId="1827AEE2" w:rsidR="00F51ADF" w:rsidRPr="00F971E7" w:rsidRDefault="00331E55" w:rsidP="00702F50">
      <w:pPr>
        <w:jc w:val="both"/>
        <w:rPr>
          <w:rFonts w:asciiTheme="minorHAnsi" w:hAnsiTheme="minorHAnsi" w:cstheme="minorHAnsi"/>
        </w:rPr>
      </w:pPr>
      <w:r w:rsidRPr="00F971E7">
        <w:rPr>
          <w:rFonts w:asciiTheme="minorHAnsi" w:hAnsiTheme="minorHAnsi" w:cstheme="minorHAnsi"/>
        </w:rPr>
        <w:t xml:space="preserve">Article 5(2) of the Istanbul Convention (‘State obligations and due diligence’) states that: “Parties shall take the necessary legislative and other measures to exercise due diligence to prevent, investigate, punish and provide reparation for acts of violence covered by the scope of this Convention that are perpetrated by non-State actors.” This is tantamount to the systemic standard laid down by Articles 3 and 8 ECHR that requires states, as noted above, to adopt </w:t>
      </w:r>
      <w:r w:rsidR="007B5656">
        <w:rPr>
          <w:rFonts w:asciiTheme="minorHAnsi" w:hAnsiTheme="minorHAnsi" w:cstheme="minorHAnsi"/>
        </w:rPr>
        <w:t>“</w:t>
      </w:r>
      <w:r w:rsidRPr="00F971E7">
        <w:rPr>
          <w:rFonts w:asciiTheme="minorHAnsi" w:hAnsiTheme="minorHAnsi" w:cstheme="minorHAnsi"/>
        </w:rPr>
        <w:t>measures in the sphere of the relations between individuals</w:t>
      </w:r>
      <w:r w:rsidR="007B5656">
        <w:rPr>
          <w:rFonts w:asciiTheme="minorHAnsi" w:hAnsiTheme="minorHAnsi" w:cstheme="minorHAnsi"/>
        </w:rPr>
        <w:t>”</w:t>
      </w:r>
      <w:r w:rsidR="004D40DE">
        <w:rPr>
          <w:rFonts w:asciiTheme="minorHAnsi" w:hAnsiTheme="minorHAnsi" w:cstheme="minorHAnsi"/>
        </w:rPr>
        <w:t>,</w:t>
      </w:r>
      <w:r w:rsidRPr="00F971E7">
        <w:rPr>
          <w:rFonts w:asciiTheme="minorHAnsi" w:hAnsiTheme="minorHAnsi" w:cstheme="minorHAnsi"/>
        </w:rPr>
        <w:t xml:space="preserve"> </w:t>
      </w:r>
      <w:r w:rsidR="007B5656">
        <w:rPr>
          <w:rFonts w:asciiTheme="minorHAnsi" w:hAnsiTheme="minorHAnsi" w:cstheme="minorHAnsi"/>
        </w:rPr>
        <w:t>“</w:t>
      </w:r>
      <w:r w:rsidRPr="00F971E7">
        <w:rPr>
          <w:rFonts w:asciiTheme="minorHAnsi" w:hAnsiTheme="minorHAnsi" w:cstheme="minorHAnsi"/>
        </w:rPr>
        <w:t>to maintain and apply in practice an adequate legal framework affording protection against acts of violence by private individuals</w:t>
      </w:r>
      <w:r w:rsidR="007B5656">
        <w:rPr>
          <w:rFonts w:asciiTheme="minorHAnsi" w:hAnsiTheme="minorHAnsi" w:cstheme="minorHAnsi"/>
        </w:rPr>
        <w:t>”</w:t>
      </w:r>
      <w:r w:rsidRPr="00F971E7">
        <w:rPr>
          <w:rFonts w:asciiTheme="minorHAnsi" w:hAnsiTheme="minorHAnsi" w:cstheme="minorHAnsi"/>
        </w:rPr>
        <w:t xml:space="preserve"> under Article 8</w:t>
      </w:r>
      <w:r w:rsidR="00860212">
        <w:rPr>
          <w:rFonts w:asciiTheme="minorHAnsi" w:hAnsiTheme="minorHAnsi" w:cstheme="minorHAnsi"/>
        </w:rPr>
        <w:t>;</w:t>
      </w:r>
      <w:r w:rsidRPr="00F971E7">
        <w:rPr>
          <w:rStyle w:val="FootnoteReference"/>
          <w:rFonts w:asciiTheme="minorHAnsi" w:hAnsiTheme="minorHAnsi" w:cstheme="minorHAnsi"/>
        </w:rPr>
        <w:footnoteReference w:id="70"/>
      </w:r>
      <w:r w:rsidRPr="00F971E7">
        <w:rPr>
          <w:rFonts w:asciiTheme="minorHAnsi" w:hAnsiTheme="minorHAnsi" w:cstheme="minorHAnsi"/>
        </w:rPr>
        <w:t xml:space="preserve"> and to take "all reasonable measures to prevent the </w:t>
      </w:r>
      <w:r w:rsidRPr="00F971E7">
        <w:rPr>
          <w:rFonts w:asciiTheme="minorHAnsi" w:hAnsiTheme="minorHAnsi" w:cstheme="minorHAnsi"/>
        </w:rPr>
        <w:lastRenderedPageBreak/>
        <w:t>recurrence of violent attacks" against individuals</w:t>
      </w:r>
      <w:r w:rsidR="00860212">
        <w:rPr>
          <w:rFonts w:asciiTheme="minorHAnsi" w:hAnsiTheme="minorHAnsi" w:cstheme="minorHAnsi"/>
        </w:rPr>
        <w:t xml:space="preserve"> under Article 3</w:t>
      </w:r>
      <w:r w:rsidR="00BD1CB7">
        <w:rPr>
          <w:rFonts w:asciiTheme="minorHAnsi" w:hAnsiTheme="minorHAnsi" w:cstheme="minorHAnsi"/>
        </w:rPr>
        <w:t>.</w:t>
      </w:r>
      <w:r w:rsidRPr="00F971E7">
        <w:rPr>
          <w:rStyle w:val="FootnoteReference"/>
          <w:rFonts w:asciiTheme="minorHAnsi" w:hAnsiTheme="minorHAnsi" w:cstheme="minorHAnsi"/>
        </w:rPr>
        <w:footnoteReference w:id="71"/>
      </w:r>
      <w:r w:rsidR="0062301E" w:rsidRPr="00F971E7">
        <w:rPr>
          <w:rFonts w:asciiTheme="minorHAnsi" w:hAnsiTheme="minorHAnsi" w:cstheme="minorHAnsi"/>
        </w:rPr>
        <w:t xml:space="preserve"> </w:t>
      </w:r>
      <w:r w:rsidR="003E34A9" w:rsidRPr="00F971E7">
        <w:rPr>
          <w:rFonts w:asciiTheme="minorHAnsi" w:hAnsiTheme="minorHAnsi" w:cstheme="minorHAnsi"/>
        </w:rPr>
        <w:t xml:space="preserve">However, while the UK </w:t>
      </w:r>
      <w:r w:rsidR="001A23B2">
        <w:rPr>
          <w:rFonts w:asciiTheme="minorHAnsi" w:hAnsiTheme="minorHAnsi" w:cstheme="minorHAnsi"/>
        </w:rPr>
        <w:t>has ratified</w:t>
      </w:r>
      <w:r w:rsidR="003E34A9" w:rsidRPr="00F971E7">
        <w:rPr>
          <w:rFonts w:asciiTheme="minorHAnsi" w:hAnsiTheme="minorHAnsi" w:cstheme="minorHAnsi"/>
        </w:rPr>
        <w:t xml:space="preserve"> the </w:t>
      </w:r>
      <w:r w:rsidR="008B1CEE" w:rsidRPr="00F971E7">
        <w:rPr>
          <w:rFonts w:asciiTheme="minorHAnsi" w:hAnsiTheme="minorHAnsi" w:cstheme="minorHAnsi"/>
        </w:rPr>
        <w:t xml:space="preserve">Istanbul Convention for the most part, there has been considerable criticism of the decision to enter </w:t>
      </w:r>
      <w:r w:rsidR="000E13B3" w:rsidRPr="00F971E7">
        <w:rPr>
          <w:rFonts w:asciiTheme="minorHAnsi" w:hAnsiTheme="minorHAnsi" w:cstheme="minorHAnsi"/>
        </w:rPr>
        <w:t>a reservation in relation to</w:t>
      </w:r>
      <w:r w:rsidR="0020392C" w:rsidRPr="00F971E7">
        <w:rPr>
          <w:rFonts w:asciiTheme="minorHAnsi" w:hAnsiTheme="minorHAnsi" w:cstheme="minorHAnsi"/>
        </w:rPr>
        <w:t xml:space="preserve"> a category of</w:t>
      </w:r>
      <w:r w:rsidR="000E13B3" w:rsidRPr="00F971E7">
        <w:rPr>
          <w:rFonts w:asciiTheme="minorHAnsi" w:hAnsiTheme="minorHAnsi" w:cstheme="minorHAnsi"/>
        </w:rPr>
        <w:t xml:space="preserve"> migrant women</w:t>
      </w:r>
      <w:r w:rsidR="0020392C" w:rsidRPr="00F971E7">
        <w:rPr>
          <w:rFonts w:asciiTheme="minorHAnsi" w:hAnsiTheme="minorHAnsi" w:cstheme="minorHAnsi"/>
        </w:rPr>
        <w:t xml:space="preserve"> victims of domestic abuse</w:t>
      </w:r>
      <w:r w:rsidR="00241EDA" w:rsidRPr="00F971E7">
        <w:rPr>
          <w:rFonts w:asciiTheme="minorHAnsi" w:hAnsiTheme="minorHAnsi" w:cstheme="minorHAnsi"/>
        </w:rPr>
        <w:t xml:space="preserve">: </w:t>
      </w:r>
      <w:r w:rsidR="000E13B3" w:rsidRPr="00F971E7">
        <w:rPr>
          <w:rFonts w:asciiTheme="minorHAnsi" w:hAnsiTheme="minorHAnsi" w:cstheme="minorHAnsi"/>
        </w:rPr>
        <w:t>“</w:t>
      </w:r>
      <w:r w:rsidR="00F247B2" w:rsidRPr="00F971E7">
        <w:rPr>
          <w:rFonts w:asciiTheme="minorHAnsi" w:hAnsiTheme="minorHAnsi" w:cstheme="minorHAnsi"/>
          <w:color w:val="121212"/>
          <w:shd w:val="clear" w:color="auto" w:fill="FFFFFF"/>
        </w:rPr>
        <w:t xml:space="preserve">The UK government has decided to reserve </w:t>
      </w:r>
      <w:r w:rsidR="00BD1CB7">
        <w:rPr>
          <w:rFonts w:asciiTheme="minorHAnsi" w:hAnsiTheme="minorHAnsi" w:cstheme="minorHAnsi"/>
          <w:color w:val="121212"/>
          <w:shd w:val="clear" w:color="auto" w:fill="FFFFFF"/>
        </w:rPr>
        <w:t>A</w:t>
      </w:r>
      <w:r w:rsidR="00F247B2" w:rsidRPr="00F971E7">
        <w:rPr>
          <w:rFonts w:asciiTheme="minorHAnsi" w:hAnsiTheme="minorHAnsi" w:cstheme="minorHAnsi"/>
          <w:color w:val="121212"/>
          <w:shd w:val="clear" w:color="auto" w:fill="FFFFFF"/>
        </w:rPr>
        <w:t>rticle 59 of the convention, which requires states to grant residence to survivors whose immigration status depends on an abusive partner, a reservation that has been criticised by a coalition of more than 80 women’s organisations.</w:t>
      </w:r>
      <w:r w:rsidR="0020392C" w:rsidRPr="00F971E7">
        <w:rPr>
          <w:rFonts w:asciiTheme="minorHAnsi" w:hAnsiTheme="minorHAnsi" w:cstheme="minorHAnsi"/>
          <w:color w:val="121212"/>
          <w:shd w:val="clear" w:color="auto" w:fill="FFFFFF"/>
        </w:rPr>
        <w:t>”</w:t>
      </w:r>
      <w:r w:rsidR="00241EDA" w:rsidRPr="00F971E7">
        <w:rPr>
          <w:rStyle w:val="FootnoteReference"/>
          <w:rFonts w:asciiTheme="minorHAnsi" w:hAnsiTheme="minorHAnsi" w:cstheme="minorHAnsi"/>
          <w:color w:val="121212"/>
          <w:shd w:val="clear" w:color="auto" w:fill="FFFFFF"/>
        </w:rPr>
        <w:footnoteReference w:id="72"/>
      </w:r>
    </w:p>
    <w:p w14:paraId="5E9F8379" w14:textId="455E6D9D" w:rsidR="00C422DE" w:rsidRPr="00F971E7" w:rsidRDefault="00C422DE" w:rsidP="00702F50">
      <w:pPr>
        <w:spacing w:after="160" w:line="259" w:lineRule="auto"/>
        <w:jc w:val="both"/>
        <w:rPr>
          <w:rFonts w:asciiTheme="minorHAnsi" w:hAnsiTheme="minorHAnsi" w:cstheme="minorHAnsi"/>
        </w:rPr>
      </w:pPr>
    </w:p>
    <w:p w14:paraId="6F760791" w14:textId="4D9B68FF" w:rsidR="0028577F" w:rsidRPr="00CB262E" w:rsidRDefault="00CB262E" w:rsidP="00390BF2">
      <w:pPr>
        <w:pStyle w:val="Heading1"/>
      </w:pPr>
      <w:r>
        <w:t xml:space="preserve">7. </w:t>
      </w:r>
      <w:r w:rsidR="0008328C" w:rsidRPr="00CB262E">
        <w:t>New (statutory) guidance on the operation of the DVDS in England &amp; Wales</w:t>
      </w:r>
    </w:p>
    <w:p w14:paraId="73982521" w14:textId="4588EEEB" w:rsidR="0028577F" w:rsidRPr="00F971E7" w:rsidRDefault="00E7382A" w:rsidP="00702F50">
      <w:pPr>
        <w:jc w:val="both"/>
        <w:rPr>
          <w:rFonts w:asciiTheme="minorHAnsi" w:hAnsiTheme="minorHAnsi" w:cstheme="minorHAnsi"/>
        </w:rPr>
      </w:pPr>
      <w:r>
        <w:rPr>
          <w:rFonts w:asciiTheme="minorHAnsi" w:hAnsiTheme="minorHAnsi" w:cstheme="minorHAnsi"/>
        </w:rPr>
        <w:t>As</w:t>
      </w:r>
      <w:r w:rsidR="00440D9C" w:rsidRPr="00F971E7">
        <w:rPr>
          <w:rFonts w:asciiTheme="minorHAnsi" w:hAnsiTheme="minorHAnsi" w:cstheme="minorHAnsi"/>
        </w:rPr>
        <w:t xml:space="preserve"> mentioned above, </w:t>
      </w:r>
      <w:r w:rsidR="002122E9" w:rsidRPr="00F971E7">
        <w:rPr>
          <w:rFonts w:asciiTheme="minorHAnsi" w:hAnsiTheme="minorHAnsi" w:cstheme="minorHAnsi"/>
        </w:rPr>
        <w:t xml:space="preserve">the Home Office </w:t>
      </w:r>
      <w:r w:rsidR="00796B98">
        <w:rPr>
          <w:rFonts w:asciiTheme="minorHAnsi" w:hAnsiTheme="minorHAnsi" w:cstheme="minorHAnsi"/>
        </w:rPr>
        <w:t>has</w:t>
      </w:r>
      <w:r w:rsidR="00796B98" w:rsidRPr="00F971E7">
        <w:rPr>
          <w:rFonts w:asciiTheme="minorHAnsi" w:hAnsiTheme="minorHAnsi" w:cstheme="minorHAnsi"/>
        </w:rPr>
        <w:t xml:space="preserve"> </w:t>
      </w:r>
      <w:r w:rsidR="002122E9" w:rsidRPr="00F971E7">
        <w:rPr>
          <w:rFonts w:asciiTheme="minorHAnsi" w:hAnsiTheme="minorHAnsi" w:cstheme="minorHAnsi"/>
        </w:rPr>
        <w:t xml:space="preserve">published statutory guidance, which </w:t>
      </w:r>
      <w:r w:rsidR="00B41198">
        <w:rPr>
          <w:rFonts w:asciiTheme="minorHAnsi" w:hAnsiTheme="minorHAnsi" w:cstheme="minorHAnsi"/>
        </w:rPr>
        <w:t>is</w:t>
      </w:r>
      <w:r w:rsidR="002122E9" w:rsidRPr="00F971E7">
        <w:rPr>
          <w:rFonts w:asciiTheme="minorHAnsi" w:hAnsiTheme="minorHAnsi" w:cstheme="minorHAnsi"/>
        </w:rPr>
        <w:t xml:space="preserve"> binding on police forces in England and Wales under Section 77 of the Domestic Abuse Act 2021</w:t>
      </w:r>
      <w:r w:rsidR="001C7F7B" w:rsidRPr="00F971E7">
        <w:rPr>
          <w:rFonts w:asciiTheme="minorHAnsi" w:hAnsiTheme="minorHAnsi" w:cstheme="minorHAnsi"/>
        </w:rPr>
        <w:t xml:space="preserve">. </w:t>
      </w:r>
      <w:r w:rsidR="00B41198">
        <w:rPr>
          <w:rFonts w:asciiTheme="minorHAnsi" w:hAnsiTheme="minorHAnsi" w:cstheme="minorHAnsi"/>
        </w:rPr>
        <w:t>This</w:t>
      </w:r>
      <w:r w:rsidR="00A60F9F" w:rsidRPr="00F971E7">
        <w:rPr>
          <w:rFonts w:asciiTheme="minorHAnsi" w:hAnsiTheme="minorHAnsi" w:cstheme="minorHAnsi"/>
        </w:rPr>
        <w:t xml:space="preserve"> </w:t>
      </w:r>
      <w:r w:rsidR="00214ECF" w:rsidRPr="00F971E7">
        <w:rPr>
          <w:rFonts w:asciiTheme="minorHAnsi" w:hAnsiTheme="minorHAnsi" w:cstheme="minorHAnsi"/>
        </w:rPr>
        <w:t>statutory</w:t>
      </w:r>
      <w:r w:rsidR="00A60F9F" w:rsidRPr="00F971E7">
        <w:rPr>
          <w:rFonts w:asciiTheme="minorHAnsi" w:hAnsiTheme="minorHAnsi" w:cstheme="minorHAnsi"/>
        </w:rPr>
        <w:t xml:space="preserve"> guidance has </w:t>
      </w:r>
      <w:r w:rsidR="00214ECF" w:rsidRPr="00F971E7">
        <w:rPr>
          <w:rFonts w:asciiTheme="minorHAnsi" w:hAnsiTheme="minorHAnsi" w:cstheme="minorHAnsi"/>
        </w:rPr>
        <w:t>revisited</w:t>
      </w:r>
      <w:r w:rsidR="00A60F9F" w:rsidRPr="00F971E7">
        <w:rPr>
          <w:rFonts w:asciiTheme="minorHAnsi" w:hAnsiTheme="minorHAnsi" w:cstheme="minorHAnsi"/>
        </w:rPr>
        <w:t xml:space="preserve"> the standard for </w:t>
      </w:r>
      <w:r w:rsidR="00214ECF" w:rsidRPr="00F971E7">
        <w:rPr>
          <w:rFonts w:asciiTheme="minorHAnsi" w:hAnsiTheme="minorHAnsi" w:cstheme="minorHAnsi"/>
        </w:rPr>
        <w:t>disclosures</w:t>
      </w:r>
      <w:r w:rsidR="00A60F9F" w:rsidRPr="00F971E7">
        <w:rPr>
          <w:rFonts w:asciiTheme="minorHAnsi" w:hAnsiTheme="minorHAnsi" w:cstheme="minorHAnsi"/>
        </w:rPr>
        <w:t xml:space="preserve"> under the DVDS at common law, </w:t>
      </w:r>
      <w:r w:rsidR="00B41198">
        <w:rPr>
          <w:rFonts w:asciiTheme="minorHAnsi" w:hAnsiTheme="minorHAnsi" w:cstheme="minorHAnsi"/>
        </w:rPr>
        <w:t xml:space="preserve">so </w:t>
      </w:r>
      <w:r w:rsidR="00A60F9F" w:rsidRPr="00F971E7">
        <w:rPr>
          <w:rFonts w:asciiTheme="minorHAnsi" w:hAnsiTheme="minorHAnsi" w:cstheme="minorHAnsi"/>
        </w:rPr>
        <w:t>it is worth highlighting the changes around this issue</w:t>
      </w:r>
      <w:r w:rsidR="00214ECF" w:rsidRPr="00F971E7">
        <w:rPr>
          <w:rFonts w:asciiTheme="minorHAnsi" w:hAnsiTheme="minorHAnsi" w:cstheme="minorHAnsi"/>
        </w:rPr>
        <w:t>, and where they are rooted</w:t>
      </w:r>
      <w:r w:rsidR="00A60F9F" w:rsidRPr="00F971E7">
        <w:rPr>
          <w:rFonts w:asciiTheme="minorHAnsi" w:hAnsiTheme="minorHAnsi" w:cstheme="minorHAnsi"/>
        </w:rPr>
        <w:t>.</w:t>
      </w:r>
    </w:p>
    <w:p w14:paraId="029FB75B" w14:textId="53F1F5B5" w:rsidR="00B73290" w:rsidRPr="00F971E7" w:rsidRDefault="00AD469E" w:rsidP="00702F50">
      <w:pPr>
        <w:jc w:val="both"/>
        <w:rPr>
          <w:rFonts w:asciiTheme="minorHAnsi" w:hAnsiTheme="minorHAnsi" w:cstheme="minorHAnsi"/>
        </w:rPr>
      </w:pPr>
      <w:r w:rsidRPr="00F971E7">
        <w:rPr>
          <w:rFonts w:asciiTheme="minorHAnsi" w:hAnsiTheme="minorHAnsi" w:cstheme="minorHAnsi"/>
        </w:rPr>
        <w:t xml:space="preserve">When </w:t>
      </w:r>
      <w:r w:rsidR="00B43998" w:rsidRPr="00F971E7">
        <w:rPr>
          <w:rFonts w:asciiTheme="minorHAnsi" w:hAnsiTheme="minorHAnsi" w:cstheme="minorHAnsi"/>
        </w:rPr>
        <w:t xml:space="preserve">Jess Phillips MP moved </w:t>
      </w:r>
      <w:r w:rsidR="00B41198">
        <w:rPr>
          <w:rFonts w:asciiTheme="minorHAnsi" w:hAnsiTheme="minorHAnsi" w:cstheme="minorHAnsi"/>
        </w:rPr>
        <w:t>a</w:t>
      </w:r>
      <w:r w:rsidR="00B41198" w:rsidRPr="00F971E7">
        <w:rPr>
          <w:rFonts w:asciiTheme="minorHAnsi" w:hAnsiTheme="minorHAnsi" w:cstheme="minorHAnsi"/>
        </w:rPr>
        <w:t xml:space="preserve"> </w:t>
      </w:r>
      <w:r w:rsidR="00B43998" w:rsidRPr="00F971E7">
        <w:rPr>
          <w:rFonts w:asciiTheme="minorHAnsi" w:hAnsiTheme="minorHAnsi" w:cstheme="minorHAnsi"/>
        </w:rPr>
        <w:t xml:space="preserve">proposed amendment </w:t>
      </w:r>
      <w:r w:rsidR="004E6FA1" w:rsidRPr="00F971E7">
        <w:rPr>
          <w:rFonts w:asciiTheme="minorHAnsi" w:hAnsiTheme="minorHAnsi" w:cstheme="minorHAnsi"/>
        </w:rPr>
        <w:t>to Clause 64 of the Domestic Abuse Bill (as it then was)</w:t>
      </w:r>
      <w:r w:rsidR="008D0F46" w:rsidRPr="00F971E7">
        <w:rPr>
          <w:rFonts w:asciiTheme="minorHAnsi" w:hAnsiTheme="minorHAnsi" w:cstheme="minorHAnsi"/>
        </w:rPr>
        <w:t>, it was</w:t>
      </w:r>
      <w:r w:rsidR="004E6FA1" w:rsidRPr="00F971E7">
        <w:rPr>
          <w:rFonts w:asciiTheme="minorHAnsi" w:hAnsiTheme="minorHAnsi" w:cstheme="minorHAnsi"/>
        </w:rPr>
        <w:t xml:space="preserve"> </w:t>
      </w:r>
      <w:r w:rsidR="00B43998" w:rsidRPr="00F971E7">
        <w:rPr>
          <w:rFonts w:asciiTheme="minorHAnsi" w:hAnsiTheme="minorHAnsi" w:cstheme="minorHAnsi"/>
        </w:rPr>
        <w:t xml:space="preserve">to entail the following </w:t>
      </w:r>
      <w:r w:rsidR="004E6FA1" w:rsidRPr="00F971E7">
        <w:rPr>
          <w:rFonts w:asciiTheme="minorHAnsi" w:hAnsiTheme="minorHAnsi" w:cstheme="minorHAnsi"/>
        </w:rPr>
        <w:t>standard</w:t>
      </w:r>
      <w:r w:rsidR="00454908" w:rsidRPr="00F971E7">
        <w:rPr>
          <w:rFonts w:asciiTheme="minorHAnsi" w:hAnsiTheme="minorHAnsi" w:cstheme="minorHAnsi"/>
        </w:rPr>
        <w:t>s</w:t>
      </w:r>
      <w:r w:rsidR="004E6FA1" w:rsidRPr="00F971E7">
        <w:rPr>
          <w:rFonts w:asciiTheme="minorHAnsi" w:hAnsiTheme="minorHAnsi" w:cstheme="minorHAnsi"/>
        </w:rPr>
        <w:t>:</w:t>
      </w:r>
    </w:p>
    <w:p w14:paraId="4449BD01" w14:textId="01627336" w:rsidR="00B73290" w:rsidRPr="00F971E7" w:rsidRDefault="004E6FA1" w:rsidP="00702F50">
      <w:pPr>
        <w:ind w:left="720"/>
        <w:jc w:val="both"/>
        <w:rPr>
          <w:rFonts w:asciiTheme="minorHAnsi" w:hAnsiTheme="minorHAnsi" w:cstheme="minorHAnsi"/>
        </w:rPr>
      </w:pPr>
      <w:r w:rsidRPr="00F971E7">
        <w:rPr>
          <w:rFonts w:asciiTheme="minorHAnsi" w:hAnsiTheme="minorHAnsi" w:cstheme="minorHAnsi"/>
        </w:rPr>
        <w:t>“</w:t>
      </w:r>
      <w:r w:rsidR="004B09ED" w:rsidRPr="00F971E7">
        <w:rPr>
          <w:rFonts w:asciiTheme="minorHAnsi" w:hAnsiTheme="minorHAnsi" w:cstheme="minorHAnsi"/>
        </w:rPr>
        <w:t xml:space="preserve">Disclosures of police information for the purposes of </w:t>
      </w:r>
      <w:r w:rsidR="00945BB9" w:rsidRPr="00F971E7">
        <w:rPr>
          <w:rFonts w:asciiTheme="minorHAnsi" w:hAnsiTheme="minorHAnsi" w:cstheme="minorHAnsi"/>
        </w:rPr>
        <w:t>the prevention of domestic abuse may only be made</w:t>
      </w:r>
      <w:r w:rsidR="006A1122" w:rsidRPr="00F971E7">
        <w:rPr>
          <w:rFonts w:asciiTheme="minorHAnsi" w:hAnsiTheme="minorHAnsi" w:cstheme="minorHAnsi"/>
        </w:rPr>
        <w:t xml:space="preserve"> – a) where reasonable, necessary and proportionate, b) with regard to the </w:t>
      </w:r>
      <w:r w:rsidR="005C3C51" w:rsidRPr="00F971E7">
        <w:rPr>
          <w:rFonts w:asciiTheme="minorHAnsi" w:hAnsiTheme="minorHAnsi" w:cstheme="minorHAnsi"/>
        </w:rPr>
        <w:t>best interests of children likely to be affected by the disclosure</w:t>
      </w:r>
      <w:r w:rsidR="00702BFE" w:rsidRPr="00F971E7">
        <w:rPr>
          <w:rFonts w:asciiTheme="minorHAnsi" w:hAnsiTheme="minorHAnsi" w:cstheme="minorHAnsi"/>
        </w:rPr>
        <w:t>, and c) after ensuring there is an operational plan to support the recipients of such disclosures</w:t>
      </w:r>
      <w:r w:rsidR="00ED0CAB" w:rsidRPr="00F971E7">
        <w:rPr>
          <w:rFonts w:asciiTheme="minorHAnsi" w:hAnsiTheme="minorHAnsi" w:cstheme="minorHAnsi"/>
        </w:rPr>
        <w:t>.”</w:t>
      </w:r>
      <w:r w:rsidR="00DE58DB">
        <w:rPr>
          <w:rStyle w:val="FootnoteReference"/>
          <w:rFonts w:asciiTheme="minorHAnsi" w:hAnsiTheme="minorHAnsi" w:cstheme="minorHAnsi"/>
        </w:rPr>
        <w:footnoteReference w:id="73"/>
      </w:r>
    </w:p>
    <w:p w14:paraId="618509DE" w14:textId="1B099435" w:rsidR="005A1E11" w:rsidRDefault="00A03FC8" w:rsidP="00702F50">
      <w:pPr>
        <w:jc w:val="both"/>
        <w:rPr>
          <w:rFonts w:asciiTheme="minorHAnsi" w:hAnsiTheme="minorHAnsi" w:cstheme="minorHAnsi"/>
        </w:rPr>
      </w:pPr>
      <w:r w:rsidRPr="00F971E7">
        <w:rPr>
          <w:rFonts w:asciiTheme="minorHAnsi" w:hAnsiTheme="minorHAnsi" w:cstheme="minorHAnsi"/>
        </w:rPr>
        <w:t xml:space="preserve">The government ministers steering the Domestic Abuse Bill through Parliament made a commitment to </w:t>
      </w:r>
      <w:r w:rsidR="00091B54" w:rsidRPr="00F971E7">
        <w:rPr>
          <w:rFonts w:asciiTheme="minorHAnsi" w:hAnsiTheme="minorHAnsi" w:cstheme="minorHAnsi"/>
        </w:rPr>
        <w:t xml:space="preserve">re-visit the </w:t>
      </w:r>
      <w:r w:rsidR="00CB4726" w:rsidRPr="00F971E7">
        <w:rPr>
          <w:rFonts w:asciiTheme="minorHAnsi" w:hAnsiTheme="minorHAnsi" w:cstheme="minorHAnsi"/>
        </w:rPr>
        <w:t>disclosure</w:t>
      </w:r>
      <w:r w:rsidR="00091B54" w:rsidRPr="00F971E7">
        <w:rPr>
          <w:rFonts w:asciiTheme="minorHAnsi" w:hAnsiTheme="minorHAnsi" w:cstheme="minorHAnsi"/>
        </w:rPr>
        <w:t xml:space="preserve"> </w:t>
      </w:r>
      <w:r w:rsidR="00C75CB5">
        <w:rPr>
          <w:rFonts w:asciiTheme="minorHAnsi" w:hAnsiTheme="minorHAnsi" w:cstheme="minorHAnsi"/>
        </w:rPr>
        <w:t xml:space="preserve">standard </w:t>
      </w:r>
      <w:r w:rsidR="00091B54" w:rsidRPr="00F971E7">
        <w:rPr>
          <w:rFonts w:asciiTheme="minorHAnsi" w:hAnsiTheme="minorHAnsi" w:cstheme="minorHAnsi"/>
        </w:rPr>
        <w:t xml:space="preserve">in forthcoming statutory guidance, which they duly </w:t>
      </w:r>
      <w:r w:rsidR="000E2CF2" w:rsidRPr="00F971E7">
        <w:rPr>
          <w:rFonts w:asciiTheme="minorHAnsi" w:hAnsiTheme="minorHAnsi" w:cstheme="minorHAnsi"/>
        </w:rPr>
        <w:t>have</w:t>
      </w:r>
      <w:r w:rsidR="00C75CB5">
        <w:rPr>
          <w:rFonts w:asciiTheme="minorHAnsi" w:hAnsiTheme="minorHAnsi" w:cstheme="minorHAnsi"/>
        </w:rPr>
        <w:t xml:space="preserve"> done</w:t>
      </w:r>
      <w:r w:rsidR="00071078" w:rsidRPr="00F971E7">
        <w:rPr>
          <w:rFonts w:asciiTheme="minorHAnsi" w:hAnsiTheme="minorHAnsi" w:cstheme="minorHAnsi"/>
        </w:rPr>
        <w:t>, as highlighted below</w:t>
      </w:r>
      <w:r w:rsidR="00E424DC">
        <w:rPr>
          <w:rFonts w:asciiTheme="minorHAnsi" w:hAnsiTheme="minorHAnsi" w:cstheme="minorHAnsi"/>
        </w:rPr>
        <w:t>.</w:t>
      </w:r>
      <w:r w:rsidR="000E2CF2" w:rsidRPr="00F971E7">
        <w:rPr>
          <w:rFonts w:asciiTheme="minorHAnsi" w:hAnsiTheme="minorHAnsi" w:cstheme="minorHAnsi"/>
        </w:rPr>
        <w:t xml:space="preserve"> </w:t>
      </w:r>
    </w:p>
    <w:p w14:paraId="14E04D45" w14:textId="20E808DE" w:rsidR="00474A90" w:rsidRPr="00F971E7" w:rsidRDefault="0034681D" w:rsidP="00702F50">
      <w:pPr>
        <w:jc w:val="both"/>
        <w:rPr>
          <w:rFonts w:asciiTheme="minorHAnsi" w:hAnsiTheme="minorHAnsi" w:cstheme="minorHAnsi"/>
        </w:rPr>
      </w:pPr>
      <w:r w:rsidRPr="00F971E7">
        <w:rPr>
          <w:rFonts w:asciiTheme="minorHAnsi" w:hAnsiTheme="minorHAnsi" w:cstheme="minorHAnsi"/>
        </w:rPr>
        <w:t>I have a</w:t>
      </w:r>
      <w:r w:rsidR="00DA0DBA">
        <w:rPr>
          <w:rFonts w:asciiTheme="minorHAnsi" w:hAnsiTheme="minorHAnsi" w:cstheme="minorHAnsi"/>
        </w:rPr>
        <w:t xml:space="preserve"> professional</w:t>
      </w:r>
      <w:r w:rsidRPr="00F971E7">
        <w:rPr>
          <w:rFonts w:asciiTheme="minorHAnsi" w:hAnsiTheme="minorHAnsi" w:cstheme="minorHAnsi"/>
        </w:rPr>
        <w:t xml:space="preserve"> interest</w:t>
      </w:r>
      <w:r w:rsidR="00DA0DBA">
        <w:rPr>
          <w:rFonts w:asciiTheme="minorHAnsi" w:hAnsiTheme="minorHAnsi" w:cstheme="minorHAnsi"/>
        </w:rPr>
        <w:t xml:space="preserve"> </w:t>
      </w:r>
      <w:r w:rsidRPr="00F971E7">
        <w:rPr>
          <w:rFonts w:asciiTheme="minorHAnsi" w:hAnsiTheme="minorHAnsi" w:cstheme="minorHAnsi"/>
        </w:rPr>
        <w:t xml:space="preserve">in </w:t>
      </w:r>
      <w:r w:rsidR="00B41198">
        <w:rPr>
          <w:rFonts w:asciiTheme="minorHAnsi" w:hAnsiTheme="minorHAnsi" w:cstheme="minorHAnsi"/>
        </w:rPr>
        <w:t xml:space="preserve">the </w:t>
      </w:r>
      <w:r w:rsidR="00DA0DBA">
        <w:rPr>
          <w:rFonts w:asciiTheme="minorHAnsi" w:hAnsiTheme="minorHAnsi" w:cstheme="minorHAnsi"/>
        </w:rPr>
        <w:t xml:space="preserve">process of drafting the </w:t>
      </w:r>
      <w:r w:rsidR="00B41198">
        <w:rPr>
          <w:rFonts w:asciiTheme="minorHAnsi" w:hAnsiTheme="minorHAnsi" w:cstheme="minorHAnsi"/>
        </w:rPr>
        <w:t>statutory</w:t>
      </w:r>
      <w:r w:rsidR="00B41198" w:rsidRPr="00F971E7">
        <w:rPr>
          <w:rFonts w:asciiTheme="minorHAnsi" w:hAnsiTheme="minorHAnsi" w:cstheme="minorHAnsi"/>
        </w:rPr>
        <w:t xml:space="preserve"> </w:t>
      </w:r>
      <w:r w:rsidRPr="00F971E7">
        <w:rPr>
          <w:rFonts w:asciiTheme="minorHAnsi" w:hAnsiTheme="minorHAnsi" w:cstheme="minorHAnsi"/>
        </w:rPr>
        <w:t>guidance</w:t>
      </w:r>
      <w:r w:rsidR="00E83C10">
        <w:rPr>
          <w:rFonts w:asciiTheme="minorHAnsi" w:hAnsiTheme="minorHAnsi" w:cstheme="minorHAnsi"/>
        </w:rPr>
        <w:t xml:space="preserve"> in that </w:t>
      </w:r>
      <w:r w:rsidR="000E2CF2" w:rsidRPr="00F971E7">
        <w:rPr>
          <w:rFonts w:asciiTheme="minorHAnsi" w:hAnsiTheme="minorHAnsi" w:cstheme="minorHAnsi"/>
        </w:rPr>
        <w:t xml:space="preserve">I was </w:t>
      </w:r>
      <w:r w:rsidRPr="00F971E7">
        <w:rPr>
          <w:rFonts w:asciiTheme="minorHAnsi" w:hAnsiTheme="minorHAnsi" w:cstheme="minorHAnsi"/>
        </w:rPr>
        <w:t>fort</w:t>
      </w:r>
      <w:r w:rsidR="00920A02" w:rsidRPr="00F971E7">
        <w:rPr>
          <w:rFonts w:asciiTheme="minorHAnsi" w:hAnsiTheme="minorHAnsi" w:cstheme="minorHAnsi"/>
        </w:rPr>
        <w:t xml:space="preserve">unate to be </w:t>
      </w:r>
      <w:r w:rsidR="000E2CF2" w:rsidRPr="00F971E7">
        <w:rPr>
          <w:rFonts w:asciiTheme="minorHAnsi" w:hAnsiTheme="minorHAnsi" w:cstheme="minorHAnsi"/>
        </w:rPr>
        <w:t xml:space="preserve">able to work with the Home Office in order to suggest proposed wording for a legal </w:t>
      </w:r>
      <w:r w:rsidR="00B41198">
        <w:rPr>
          <w:rFonts w:asciiTheme="minorHAnsi" w:hAnsiTheme="minorHAnsi" w:cstheme="minorHAnsi"/>
        </w:rPr>
        <w:t>description</w:t>
      </w:r>
      <w:r w:rsidR="00B41198" w:rsidRPr="00F971E7">
        <w:rPr>
          <w:rFonts w:asciiTheme="minorHAnsi" w:hAnsiTheme="minorHAnsi" w:cstheme="minorHAnsi"/>
        </w:rPr>
        <w:t xml:space="preserve"> </w:t>
      </w:r>
      <w:r w:rsidR="00E83C10">
        <w:rPr>
          <w:rFonts w:asciiTheme="minorHAnsi" w:hAnsiTheme="minorHAnsi" w:cstheme="minorHAnsi"/>
        </w:rPr>
        <w:t xml:space="preserve">that would flesh out </w:t>
      </w:r>
      <w:r w:rsidR="000E2CF2" w:rsidRPr="00F971E7">
        <w:rPr>
          <w:rFonts w:asciiTheme="minorHAnsi" w:hAnsiTheme="minorHAnsi" w:cstheme="minorHAnsi"/>
        </w:rPr>
        <w:t xml:space="preserve">the </w:t>
      </w:r>
      <w:r w:rsidR="00395219" w:rsidRPr="00F971E7">
        <w:rPr>
          <w:rFonts w:asciiTheme="minorHAnsi" w:hAnsiTheme="minorHAnsi" w:cstheme="minorHAnsi"/>
        </w:rPr>
        <w:t>very broad ‘pressing need’ test</w:t>
      </w:r>
      <w:r w:rsidR="00B41198">
        <w:rPr>
          <w:rFonts w:asciiTheme="minorHAnsi" w:hAnsiTheme="minorHAnsi" w:cstheme="minorHAnsi"/>
        </w:rPr>
        <w:t xml:space="preserve"> at common law</w:t>
      </w:r>
      <w:r w:rsidR="00395219" w:rsidRPr="00F971E7">
        <w:rPr>
          <w:rFonts w:asciiTheme="minorHAnsi" w:hAnsiTheme="minorHAnsi" w:cstheme="minorHAnsi"/>
        </w:rPr>
        <w:t xml:space="preserve">. </w:t>
      </w:r>
      <w:r w:rsidR="00024B61" w:rsidRPr="00F971E7">
        <w:rPr>
          <w:rFonts w:asciiTheme="minorHAnsi" w:hAnsiTheme="minorHAnsi" w:cstheme="minorHAnsi"/>
        </w:rPr>
        <w:t xml:space="preserve">In my book on Domestic Abuse </w:t>
      </w:r>
      <w:r w:rsidR="00A03FC8" w:rsidRPr="00F971E7">
        <w:rPr>
          <w:rFonts w:asciiTheme="minorHAnsi" w:hAnsiTheme="minorHAnsi" w:cstheme="minorHAnsi"/>
        </w:rPr>
        <w:t xml:space="preserve">Disclosure Schemes, I reflected on the </w:t>
      </w:r>
      <w:r w:rsidR="00395219" w:rsidRPr="00F971E7">
        <w:rPr>
          <w:rFonts w:asciiTheme="minorHAnsi" w:hAnsiTheme="minorHAnsi" w:cstheme="minorHAnsi"/>
        </w:rPr>
        <w:t xml:space="preserve">case law that had seen a </w:t>
      </w:r>
      <w:r w:rsidR="00920A02" w:rsidRPr="00F971E7">
        <w:rPr>
          <w:rFonts w:asciiTheme="minorHAnsi" w:hAnsiTheme="minorHAnsi" w:cstheme="minorHAnsi"/>
        </w:rPr>
        <w:t>handful</w:t>
      </w:r>
      <w:r w:rsidR="00395219" w:rsidRPr="00F971E7">
        <w:rPr>
          <w:rFonts w:asciiTheme="minorHAnsi" w:hAnsiTheme="minorHAnsi" w:cstheme="minorHAnsi"/>
        </w:rPr>
        <w:t xml:space="preserve"> of opportunities for the judiciary to expand on the ‘pressing need’ standard in </w:t>
      </w:r>
      <w:r w:rsidR="00395219" w:rsidRPr="00F971E7">
        <w:rPr>
          <w:rFonts w:asciiTheme="minorHAnsi" w:hAnsiTheme="minorHAnsi" w:cstheme="minorHAnsi"/>
          <w:i/>
          <w:iCs/>
        </w:rPr>
        <w:t>obiter dicta</w:t>
      </w:r>
      <w:r w:rsidR="004153DD" w:rsidRPr="00F971E7">
        <w:rPr>
          <w:rFonts w:asciiTheme="minorHAnsi" w:hAnsiTheme="minorHAnsi" w:cstheme="minorHAnsi"/>
        </w:rPr>
        <w:t>. In drawing on this case law</w:t>
      </w:r>
      <w:r w:rsidR="00920A02" w:rsidRPr="00F971E7">
        <w:rPr>
          <w:rFonts w:asciiTheme="minorHAnsi" w:hAnsiTheme="minorHAnsi" w:cstheme="minorHAnsi"/>
        </w:rPr>
        <w:t xml:space="preserve"> as it stood in </w:t>
      </w:r>
      <w:r w:rsidR="00EC0968" w:rsidRPr="00F971E7">
        <w:rPr>
          <w:rFonts w:asciiTheme="minorHAnsi" w:hAnsiTheme="minorHAnsi" w:cstheme="minorHAnsi"/>
        </w:rPr>
        <w:t>2020/21,</w:t>
      </w:r>
      <w:r w:rsidR="004153DD" w:rsidRPr="00F971E7">
        <w:rPr>
          <w:rFonts w:asciiTheme="minorHAnsi" w:hAnsiTheme="minorHAnsi" w:cstheme="minorHAnsi"/>
        </w:rPr>
        <w:t xml:space="preserve"> I </w:t>
      </w:r>
      <w:r w:rsidR="00111495" w:rsidRPr="00F971E7">
        <w:rPr>
          <w:rFonts w:asciiTheme="minorHAnsi" w:hAnsiTheme="minorHAnsi" w:cstheme="minorHAnsi"/>
        </w:rPr>
        <w:t xml:space="preserve">formulated the following </w:t>
      </w:r>
      <w:r w:rsidR="00BE4A4A" w:rsidRPr="00F971E7">
        <w:rPr>
          <w:rFonts w:asciiTheme="minorHAnsi" w:hAnsiTheme="minorHAnsi" w:cstheme="minorHAnsi"/>
        </w:rPr>
        <w:t xml:space="preserve">expansion </w:t>
      </w:r>
      <w:r w:rsidR="001B19EC">
        <w:rPr>
          <w:rFonts w:asciiTheme="minorHAnsi" w:hAnsiTheme="minorHAnsi" w:cstheme="minorHAnsi"/>
        </w:rPr>
        <w:t>upon</w:t>
      </w:r>
      <w:r w:rsidR="00BE4A4A" w:rsidRPr="00F971E7">
        <w:rPr>
          <w:rFonts w:asciiTheme="minorHAnsi" w:hAnsiTheme="minorHAnsi" w:cstheme="minorHAnsi"/>
        </w:rPr>
        <w:t xml:space="preserve"> the ’pressing need’ test, based on that small body of case law</w:t>
      </w:r>
      <w:r w:rsidR="00F639D6" w:rsidRPr="00F971E7">
        <w:rPr>
          <w:rFonts w:asciiTheme="minorHAnsi" w:hAnsiTheme="minorHAnsi" w:cstheme="minorHAnsi"/>
        </w:rPr>
        <w:t>, in order to show the full common law position on the legalit</w:t>
      </w:r>
      <w:r w:rsidR="00B51C86">
        <w:rPr>
          <w:rFonts w:asciiTheme="minorHAnsi" w:hAnsiTheme="minorHAnsi" w:cstheme="minorHAnsi"/>
        </w:rPr>
        <w:t>ies</w:t>
      </w:r>
      <w:r w:rsidR="00F639D6" w:rsidRPr="00F971E7">
        <w:rPr>
          <w:rFonts w:asciiTheme="minorHAnsi" w:hAnsiTheme="minorHAnsi" w:cstheme="minorHAnsi"/>
        </w:rPr>
        <w:t xml:space="preserve"> of DVDS disclosures, as I understand them to be</w:t>
      </w:r>
      <w:r w:rsidR="00474A90" w:rsidRPr="00F971E7">
        <w:rPr>
          <w:rFonts w:asciiTheme="minorHAnsi" w:hAnsiTheme="minorHAnsi" w:cstheme="minorHAnsi"/>
        </w:rPr>
        <w:t>:</w:t>
      </w:r>
    </w:p>
    <w:p w14:paraId="6E55F766" w14:textId="43D1B337" w:rsidR="00B73290" w:rsidRPr="00F971E7" w:rsidRDefault="00474A90" w:rsidP="00702F50">
      <w:pPr>
        <w:ind w:left="720"/>
        <w:jc w:val="both"/>
        <w:rPr>
          <w:rFonts w:asciiTheme="minorHAnsi" w:hAnsiTheme="minorHAnsi" w:cstheme="minorHAnsi"/>
        </w:rPr>
      </w:pPr>
      <w:r w:rsidRPr="00F971E7">
        <w:rPr>
          <w:rFonts w:asciiTheme="minorHAnsi" w:hAnsiTheme="minorHAnsi" w:cstheme="minorHAnsi"/>
        </w:rPr>
        <w:lastRenderedPageBreak/>
        <w:t>“Disclosure of limited information under the DVDS is permissible were necessary in the public interest</w:t>
      </w:r>
      <w:r w:rsidR="009C3841" w:rsidRPr="00F971E7">
        <w:rPr>
          <w:rFonts w:asciiTheme="minorHAnsi" w:hAnsiTheme="minorHAnsi" w:cstheme="minorHAnsi"/>
        </w:rPr>
        <w:t xml:space="preserve">, as is reasonable to achieve the purpose of preventing crime or </w:t>
      </w:r>
      <w:r w:rsidR="00EC0968" w:rsidRPr="00F971E7">
        <w:rPr>
          <w:rFonts w:asciiTheme="minorHAnsi" w:hAnsiTheme="minorHAnsi" w:cstheme="minorHAnsi"/>
        </w:rPr>
        <w:t>alerting</w:t>
      </w:r>
      <w:r w:rsidR="009C3841" w:rsidRPr="00F971E7">
        <w:rPr>
          <w:rFonts w:asciiTheme="minorHAnsi" w:hAnsiTheme="minorHAnsi" w:cstheme="minorHAnsi"/>
        </w:rPr>
        <w:t xml:space="preserve"> members of the public to an </w:t>
      </w:r>
      <w:r w:rsidR="00EC0968" w:rsidRPr="00F971E7">
        <w:rPr>
          <w:rFonts w:asciiTheme="minorHAnsi" w:hAnsiTheme="minorHAnsi" w:cstheme="minorHAnsi"/>
        </w:rPr>
        <w:t>apprehended</w:t>
      </w:r>
      <w:r w:rsidR="009C3841" w:rsidRPr="00F971E7">
        <w:rPr>
          <w:rFonts w:asciiTheme="minorHAnsi" w:hAnsiTheme="minorHAnsi" w:cstheme="minorHAnsi"/>
        </w:rPr>
        <w:t xml:space="preserve"> danger</w:t>
      </w:r>
      <w:r w:rsidR="00A8273C" w:rsidRPr="00F971E7">
        <w:rPr>
          <w:rFonts w:asciiTheme="minorHAnsi" w:hAnsiTheme="minorHAnsi" w:cstheme="minorHAnsi"/>
        </w:rPr>
        <w:t xml:space="preserve">, in good faith and where there is a </w:t>
      </w:r>
      <w:r w:rsidR="005510CF" w:rsidRPr="00F971E7">
        <w:rPr>
          <w:rFonts w:asciiTheme="minorHAnsi" w:hAnsiTheme="minorHAnsi" w:cstheme="minorHAnsi"/>
        </w:rPr>
        <w:t>pressing need for that disclosure</w:t>
      </w:r>
      <w:r w:rsidR="00C8306B" w:rsidRPr="00F971E7">
        <w:rPr>
          <w:rFonts w:asciiTheme="minorHAnsi" w:hAnsiTheme="minorHAnsi" w:cstheme="minorHAnsi"/>
        </w:rPr>
        <w:t xml:space="preserve">, entailing </w:t>
      </w:r>
      <w:proofErr w:type="spellStart"/>
      <w:r w:rsidR="00C8306B" w:rsidRPr="00F971E7">
        <w:rPr>
          <w:rFonts w:asciiTheme="minorHAnsi" w:hAnsiTheme="minorHAnsi" w:cstheme="minorHAnsi"/>
        </w:rPr>
        <w:t>i</w:t>
      </w:r>
      <w:proofErr w:type="spellEnd"/>
      <w:r w:rsidR="00C8306B" w:rsidRPr="00F971E7">
        <w:rPr>
          <w:rFonts w:asciiTheme="minorHAnsi" w:hAnsiTheme="minorHAnsi" w:cstheme="minorHAnsi"/>
        </w:rPr>
        <w:t>) a reasonable cause to suspect a person is likely to suffer significant harm</w:t>
      </w:r>
      <w:r w:rsidR="008A2E4C" w:rsidRPr="00F971E7">
        <w:rPr>
          <w:rFonts w:asciiTheme="minorHAnsi" w:hAnsiTheme="minorHAnsi" w:cstheme="minorHAnsi"/>
        </w:rPr>
        <w:t xml:space="preserve"> and ii) grounds to conclude a disclosure is required to safeguard their welfare</w:t>
      </w:r>
      <w:r w:rsidR="00641ADC" w:rsidRPr="00F971E7">
        <w:rPr>
          <w:rFonts w:asciiTheme="minorHAnsi" w:hAnsiTheme="minorHAnsi" w:cstheme="minorHAnsi"/>
        </w:rPr>
        <w:t>.”</w:t>
      </w:r>
      <w:r w:rsidR="00641ADC" w:rsidRPr="00F971E7">
        <w:rPr>
          <w:rStyle w:val="FootnoteReference"/>
          <w:rFonts w:asciiTheme="minorHAnsi" w:hAnsiTheme="minorHAnsi" w:cstheme="minorHAnsi"/>
        </w:rPr>
        <w:footnoteReference w:id="74"/>
      </w:r>
    </w:p>
    <w:p w14:paraId="6345F308" w14:textId="00F24A08" w:rsidR="00B41198" w:rsidRPr="00887405" w:rsidRDefault="00622B88" w:rsidP="00702F50">
      <w:pPr>
        <w:jc w:val="both"/>
        <w:rPr>
          <w:rFonts w:asciiTheme="minorHAnsi" w:hAnsiTheme="minorHAnsi" w:cstheme="minorHAnsi"/>
        </w:rPr>
      </w:pPr>
      <w:r w:rsidRPr="00F971E7">
        <w:rPr>
          <w:rFonts w:asciiTheme="minorHAnsi" w:hAnsiTheme="minorHAnsi" w:cstheme="minorHAnsi"/>
        </w:rPr>
        <w:t xml:space="preserve">The first part of this paragraph </w:t>
      </w:r>
      <w:r w:rsidR="000E0879">
        <w:rPr>
          <w:rFonts w:asciiTheme="minorHAnsi" w:hAnsiTheme="minorHAnsi" w:cstheme="minorHAnsi"/>
        </w:rPr>
        <w:t>reflects</w:t>
      </w:r>
      <w:r w:rsidRPr="00F971E7">
        <w:rPr>
          <w:rFonts w:asciiTheme="minorHAnsi" w:hAnsiTheme="minorHAnsi" w:cstheme="minorHAnsi"/>
        </w:rPr>
        <w:t xml:space="preserve"> the ambit of the common law basis of the </w:t>
      </w:r>
      <w:r w:rsidR="000E0879">
        <w:rPr>
          <w:rFonts w:asciiTheme="minorHAnsi" w:hAnsiTheme="minorHAnsi" w:cstheme="minorHAnsi"/>
        </w:rPr>
        <w:t>DVDS</w:t>
      </w:r>
      <w:r w:rsidRPr="00F971E7">
        <w:rPr>
          <w:rFonts w:asciiTheme="minorHAnsi" w:hAnsiTheme="minorHAnsi" w:cstheme="minorHAnsi"/>
        </w:rPr>
        <w:t xml:space="preserve"> (i.e. </w:t>
      </w:r>
      <w:r w:rsidR="00275716">
        <w:rPr>
          <w:rFonts w:asciiTheme="minorHAnsi" w:hAnsiTheme="minorHAnsi" w:cstheme="minorHAnsi"/>
        </w:rPr>
        <w:t>“</w:t>
      </w:r>
      <w:r w:rsidR="00EF1172" w:rsidRPr="00F971E7">
        <w:rPr>
          <w:rFonts w:asciiTheme="minorHAnsi" w:hAnsiTheme="minorHAnsi" w:cstheme="minorHAnsi"/>
        </w:rPr>
        <w:t>d</w:t>
      </w:r>
      <w:r w:rsidRPr="00F971E7">
        <w:rPr>
          <w:rFonts w:asciiTheme="minorHAnsi" w:hAnsiTheme="minorHAnsi" w:cstheme="minorHAnsi"/>
        </w:rPr>
        <w:t xml:space="preserve">isclosure of limited information under the DVDS is permissible were necessary in the public interest, as is reasonable to achieve the purpose of preventing crime or </w:t>
      </w:r>
      <w:r w:rsidR="00EF1172" w:rsidRPr="00F971E7">
        <w:rPr>
          <w:rFonts w:asciiTheme="minorHAnsi" w:hAnsiTheme="minorHAnsi" w:cstheme="minorHAnsi"/>
        </w:rPr>
        <w:t>alerting</w:t>
      </w:r>
      <w:r w:rsidRPr="00F971E7">
        <w:rPr>
          <w:rFonts w:asciiTheme="minorHAnsi" w:hAnsiTheme="minorHAnsi" w:cstheme="minorHAnsi"/>
        </w:rPr>
        <w:t xml:space="preserve"> members of the public to an </w:t>
      </w:r>
      <w:r w:rsidR="00EF1172" w:rsidRPr="00F971E7">
        <w:rPr>
          <w:rFonts w:asciiTheme="minorHAnsi" w:hAnsiTheme="minorHAnsi" w:cstheme="minorHAnsi"/>
        </w:rPr>
        <w:t>apprehended</w:t>
      </w:r>
      <w:r w:rsidRPr="00F971E7">
        <w:rPr>
          <w:rFonts w:asciiTheme="minorHAnsi" w:hAnsiTheme="minorHAnsi" w:cstheme="minorHAnsi"/>
        </w:rPr>
        <w:t xml:space="preserve"> danger, in good faith and where there is a pressing need for that disclosur</w:t>
      </w:r>
      <w:r w:rsidR="00662A89">
        <w:rPr>
          <w:rFonts w:asciiTheme="minorHAnsi" w:hAnsiTheme="minorHAnsi" w:cstheme="minorHAnsi"/>
        </w:rPr>
        <w:t>e”</w:t>
      </w:r>
      <w:r w:rsidR="001D1720">
        <w:rPr>
          <w:rFonts w:asciiTheme="minorHAnsi" w:hAnsiTheme="minorHAnsi" w:cstheme="minorHAnsi"/>
        </w:rPr>
        <w:t>)</w:t>
      </w:r>
      <w:r w:rsidR="006D0C41" w:rsidRPr="00F971E7">
        <w:rPr>
          <w:rFonts w:asciiTheme="minorHAnsi" w:hAnsiTheme="minorHAnsi" w:cstheme="minorHAnsi"/>
        </w:rPr>
        <w:t>, and the second part of the paragraph attempt</w:t>
      </w:r>
      <w:r w:rsidR="00BD5DEA">
        <w:rPr>
          <w:rFonts w:asciiTheme="minorHAnsi" w:hAnsiTheme="minorHAnsi" w:cstheme="minorHAnsi"/>
        </w:rPr>
        <w:t>s</w:t>
      </w:r>
      <w:r w:rsidR="006D0C41" w:rsidRPr="00F971E7">
        <w:rPr>
          <w:rFonts w:asciiTheme="minorHAnsi" w:hAnsiTheme="minorHAnsi" w:cstheme="minorHAnsi"/>
        </w:rPr>
        <w:t xml:space="preserve"> to show </w:t>
      </w:r>
      <w:r w:rsidR="00BD5DEA">
        <w:rPr>
          <w:rFonts w:asciiTheme="minorHAnsi" w:hAnsiTheme="minorHAnsi" w:cstheme="minorHAnsi"/>
        </w:rPr>
        <w:t xml:space="preserve">how </w:t>
      </w:r>
      <w:r w:rsidR="006D0C41" w:rsidRPr="00F971E7">
        <w:rPr>
          <w:rFonts w:asciiTheme="minorHAnsi" w:hAnsiTheme="minorHAnsi" w:cstheme="minorHAnsi"/>
        </w:rPr>
        <w:t>the ‘pressing need’ threshold should be interpreted</w:t>
      </w:r>
      <w:r w:rsidR="008A2F5A" w:rsidRPr="00F971E7">
        <w:rPr>
          <w:rFonts w:asciiTheme="minorHAnsi" w:hAnsiTheme="minorHAnsi" w:cstheme="minorHAnsi"/>
        </w:rPr>
        <w:t>.</w:t>
      </w:r>
    </w:p>
    <w:p w14:paraId="47AD118B" w14:textId="77777777" w:rsidR="00887405" w:rsidRPr="00887405" w:rsidRDefault="00B41198" w:rsidP="00702F50">
      <w:pPr>
        <w:jc w:val="both"/>
        <w:rPr>
          <w:rFonts w:asciiTheme="minorHAnsi" w:hAnsiTheme="minorHAnsi" w:cstheme="minorHAnsi"/>
        </w:rPr>
      </w:pPr>
      <w:r w:rsidRPr="00887405">
        <w:rPr>
          <w:rFonts w:asciiTheme="minorHAnsi" w:hAnsiTheme="minorHAnsi" w:cstheme="minorHAnsi"/>
        </w:rPr>
        <w:t xml:space="preserve">The final statutory guidance </w:t>
      </w:r>
      <w:r w:rsidR="00887405" w:rsidRPr="00887405">
        <w:rPr>
          <w:rFonts w:asciiTheme="minorHAnsi" w:hAnsiTheme="minorHAnsi" w:cstheme="minorHAnsi"/>
        </w:rPr>
        <w:t>on the operation of the DVDS as published by the Home Office uses the following summary of the common law position on the ‘pressing need’ test:</w:t>
      </w:r>
    </w:p>
    <w:p w14:paraId="6B4C772A" w14:textId="3369B7B4" w:rsidR="00887405" w:rsidRPr="00887405" w:rsidRDefault="00887405" w:rsidP="00F1223D">
      <w:pPr>
        <w:ind w:left="720"/>
        <w:jc w:val="both"/>
        <w:rPr>
          <w:rFonts w:asciiTheme="minorHAnsi" w:hAnsiTheme="minorHAnsi" w:cstheme="minorHAnsi"/>
        </w:rPr>
      </w:pPr>
      <w:r w:rsidRPr="00887405">
        <w:rPr>
          <w:rFonts w:asciiTheme="minorHAnsi" w:hAnsiTheme="minorHAnsi" w:cstheme="minorHAnsi"/>
        </w:rPr>
        <w:t>"T</w:t>
      </w:r>
      <w:r w:rsidRPr="00F1223D">
        <w:rPr>
          <w:rFonts w:asciiTheme="minorHAnsi" w:hAnsiTheme="minorHAnsi" w:cstheme="minorHAnsi"/>
        </w:rPr>
        <w:t xml:space="preserve">he police have the common law power to disclose information about an individual where it is necessary to do so to protect another individual from harm. The following three-stage test should be satisfied before a decision to disclose is made: a. it is reasonable to conclude that such disclosure is necessary to protect A, and any relevant children, from being the victim of a crime; b. there is a need for such disclosure, which considers that there is </w:t>
      </w:r>
      <w:proofErr w:type="spellStart"/>
      <w:r w:rsidRPr="00F1223D">
        <w:rPr>
          <w:rFonts w:asciiTheme="minorHAnsi" w:hAnsiTheme="minorHAnsi" w:cstheme="minorHAnsi"/>
        </w:rPr>
        <w:t>i</w:t>
      </w:r>
      <w:proofErr w:type="spellEnd"/>
      <w:r w:rsidRPr="00F1223D">
        <w:rPr>
          <w:rFonts w:asciiTheme="minorHAnsi" w:hAnsiTheme="minorHAnsi" w:cstheme="minorHAnsi"/>
        </w:rPr>
        <w:t>) reasonable cause to suspect a person would be likely to suffer harm and; ii) grounds to conclude a disclosure is required to safeguard their welfare.”</w:t>
      </w:r>
    </w:p>
    <w:p w14:paraId="66997787" w14:textId="7E4E3714" w:rsidR="000D7D2E" w:rsidRPr="00F971E7" w:rsidRDefault="00AC608E" w:rsidP="00702F50">
      <w:pPr>
        <w:jc w:val="both"/>
        <w:rPr>
          <w:rFonts w:asciiTheme="minorHAnsi" w:hAnsiTheme="minorHAnsi" w:cstheme="minorHAnsi"/>
        </w:rPr>
      </w:pPr>
      <w:r w:rsidRPr="00F971E7">
        <w:rPr>
          <w:rFonts w:asciiTheme="minorHAnsi" w:hAnsiTheme="minorHAnsi" w:cstheme="minorHAnsi"/>
        </w:rPr>
        <w:t xml:space="preserve">Human rights </w:t>
      </w:r>
      <w:r w:rsidR="00C75A9A" w:rsidRPr="00F971E7">
        <w:rPr>
          <w:rFonts w:asciiTheme="minorHAnsi" w:hAnsiTheme="minorHAnsi" w:cstheme="minorHAnsi"/>
        </w:rPr>
        <w:t xml:space="preserve">standards </w:t>
      </w:r>
      <w:r w:rsidR="00C75A9A" w:rsidRPr="00F971E7">
        <w:rPr>
          <w:rFonts w:asciiTheme="minorHAnsi" w:hAnsiTheme="minorHAnsi" w:cstheme="minorHAnsi"/>
          <w:i/>
          <w:iCs/>
        </w:rPr>
        <w:t>are</w:t>
      </w:r>
      <w:r w:rsidRPr="00F971E7">
        <w:rPr>
          <w:rFonts w:asciiTheme="minorHAnsi" w:hAnsiTheme="minorHAnsi" w:cstheme="minorHAnsi"/>
        </w:rPr>
        <w:t xml:space="preserve"> mentioned in </w:t>
      </w:r>
      <w:r w:rsidR="00E424DC">
        <w:rPr>
          <w:rFonts w:asciiTheme="minorHAnsi" w:hAnsiTheme="minorHAnsi" w:cstheme="minorHAnsi"/>
        </w:rPr>
        <w:t xml:space="preserve">the </w:t>
      </w:r>
      <w:r w:rsidRPr="00F971E7">
        <w:rPr>
          <w:rFonts w:asciiTheme="minorHAnsi" w:hAnsiTheme="minorHAnsi" w:cstheme="minorHAnsi"/>
        </w:rPr>
        <w:t xml:space="preserve">disclosure tests in the new </w:t>
      </w:r>
      <w:r w:rsidR="00B41198">
        <w:rPr>
          <w:rFonts w:asciiTheme="minorHAnsi" w:hAnsiTheme="minorHAnsi" w:cstheme="minorHAnsi"/>
        </w:rPr>
        <w:t>(April 2023)</w:t>
      </w:r>
      <w:r w:rsidR="00F1223D">
        <w:rPr>
          <w:rFonts w:asciiTheme="minorHAnsi" w:hAnsiTheme="minorHAnsi" w:cstheme="minorHAnsi"/>
        </w:rPr>
        <w:t xml:space="preserve"> </w:t>
      </w:r>
      <w:r w:rsidRPr="00F971E7">
        <w:rPr>
          <w:rFonts w:asciiTheme="minorHAnsi" w:hAnsiTheme="minorHAnsi" w:cstheme="minorHAnsi"/>
        </w:rPr>
        <w:t>guidance</w:t>
      </w:r>
      <w:r w:rsidR="00754C18" w:rsidRPr="00F971E7">
        <w:rPr>
          <w:rFonts w:asciiTheme="minorHAnsi" w:hAnsiTheme="minorHAnsi" w:cstheme="minorHAnsi"/>
        </w:rPr>
        <w:t xml:space="preserve">, </w:t>
      </w:r>
      <w:r w:rsidR="000458E9">
        <w:rPr>
          <w:rFonts w:asciiTheme="minorHAnsi" w:hAnsiTheme="minorHAnsi" w:cstheme="minorHAnsi"/>
        </w:rPr>
        <w:t>specifically the Article 8 ECHR right to privacy of possible disclosure subjects. B</w:t>
      </w:r>
      <w:r w:rsidR="00754C18" w:rsidRPr="00F971E7">
        <w:rPr>
          <w:rFonts w:asciiTheme="minorHAnsi" w:hAnsiTheme="minorHAnsi" w:cstheme="minorHAnsi"/>
        </w:rPr>
        <w:t xml:space="preserve">ut the Article 3 ECHR rights of (potential/repeat) victims of </w:t>
      </w:r>
      <w:r w:rsidR="00C75A9A" w:rsidRPr="00F971E7">
        <w:rPr>
          <w:rFonts w:asciiTheme="minorHAnsi" w:hAnsiTheme="minorHAnsi" w:cstheme="minorHAnsi"/>
        </w:rPr>
        <w:t>domestic</w:t>
      </w:r>
      <w:r w:rsidR="00754C18" w:rsidRPr="00F971E7">
        <w:rPr>
          <w:rFonts w:asciiTheme="minorHAnsi" w:hAnsiTheme="minorHAnsi" w:cstheme="minorHAnsi"/>
        </w:rPr>
        <w:t xml:space="preserve"> abuse, which should weigh in the balance very heavily against the </w:t>
      </w:r>
      <w:r w:rsidR="000458E9">
        <w:rPr>
          <w:rFonts w:asciiTheme="minorHAnsi" w:hAnsiTheme="minorHAnsi" w:cstheme="minorHAnsi"/>
        </w:rPr>
        <w:t>Article</w:t>
      </w:r>
      <w:r w:rsidR="00754C18" w:rsidRPr="00F971E7">
        <w:rPr>
          <w:rFonts w:asciiTheme="minorHAnsi" w:hAnsiTheme="minorHAnsi" w:cstheme="minorHAnsi"/>
        </w:rPr>
        <w:t xml:space="preserve"> </w:t>
      </w:r>
      <w:r w:rsidR="00492288">
        <w:rPr>
          <w:rFonts w:asciiTheme="minorHAnsi" w:hAnsiTheme="minorHAnsi" w:cstheme="minorHAnsi"/>
        </w:rPr>
        <w:t xml:space="preserve">8 </w:t>
      </w:r>
      <w:r w:rsidR="00754C18" w:rsidRPr="00F971E7">
        <w:rPr>
          <w:rFonts w:asciiTheme="minorHAnsi" w:hAnsiTheme="minorHAnsi" w:cstheme="minorHAnsi"/>
        </w:rPr>
        <w:t xml:space="preserve">rights of any (potential) </w:t>
      </w:r>
      <w:r w:rsidR="00C75A9A" w:rsidRPr="00F971E7">
        <w:rPr>
          <w:rFonts w:asciiTheme="minorHAnsi" w:hAnsiTheme="minorHAnsi" w:cstheme="minorHAnsi"/>
        </w:rPr>
        <w:t>disclosure</w:t>
      </w:r>
      <w:r w:rsidR="00754C18" w:rsidRPr="00F971E7">
        <w:rPr>
          <w:rFonts w:asciiTheme="minorHAnsi" w:hAnsiTheme="minorHAnsi" w:cstheme="minorHAnsi"/>
        </w:rPr>
        <w:t xml:space="preserve"> subject/abuser, as per </w:t>
      </w:r>
      <w:r w:rsidR="00C75A9A" w:rsidRPr="00F971E7">
        <w:rPr>
          <w:rFonts w:asciiTheme="minorHAnsi" w:hAnsiTheme="minorHAnsi" w:cstheme="minorHAnsi"/>
        </w:rPr>
        <w:t xml:space="preserve">the European Court of Human Rights in </w:t>
      </w:r>
      <w:proofErr w:type="spellStart"/>
      <w:r w:rsidR="00754C18" w:rsidRPr="00F971E7">
        <w:rPr>
          <w:rFonts w:asciiTheme="minorHAnsi" w:hAnsiTheme="minorHAnsi" w:cstheme="minorHAnsi"/>
          <w:i/>
          <w:iCs/>
        </w:rPr>
        <w:t>Talpis</w:t>
      </w:r>
      <w:proofErr w:type="spellEnd"/>
      <w:r w:rsidR="00E424DC">
        <w:rPr>
          <w:rFonts w:asciiTheme="minorHAnsi" w:hAnsiTheme="minorHAnsi" w:cstheme="minorHAnsi"/>
        </w:rPr>
        <w:t xml:space="preserve">, </w:t>
      </w:r>
      <w:r w:rsidR="000458E9">
        <w:rPr>
          <w:rFonts w:asciiTheme="minorHAnsi" w:hAnsiTheme="minorHAnsi" w:cstheme="minorHAnsi"/>
        </w:rPr>
        <w:t xml:space="preserve">are not mentioned. </w:t>
      </w:r>
      <w:r w:rsidR="00EF6914" w:rsidRPr="00F971E7">
        <w:rPr>
          <w:rFonts w:asciiTheme="minorHAnsi" w:hAnsiTheme="minorHAnsi" w:cstheme="minorHAnsi"/>
        </w:rPr>
        <w:t>The Home Office guidance explains that</w:t>
      </w:r>
      <w:r w:rsidR="0048682D" w:rsidRPr="00F971E7">
        <w:rPr>
          <w:rFonts w:asciiTheme="minorHAnsi" w:hAnsiTheme="minorHAnsi" w:cstheme="minorHAnsi"/>
        </w:rPr>
        <w:t xml:space="preserve">, as the third and final part of a </w:t>
      </w:r>
      <w:r w:rsidR="007A21CB">
        <w:rPr>
          <w:rFonts w:asciiTheme="minorHAnsi" w:hAnsiTheme="minorHAnsi" w:cstheme="minorHAnsi"/>
        </w:rPr>
        <w:t>“</w:t>
      </w:r>
      <w:r w:rsidR="0048682D" w:rsidRPr="00F971E7">
        <w:rPr>
          <w:rFonts w:asciiTheme="minorHAnsi" w:hAnsiTheme="minorHAnsi" w:cstheme="minorHAnsi"/>
        </w:rPr>
        <w:t>three-stage disclo</w:t>
      </w:r>
      <w:r w:rsidR="00135796" w:rsidRPr="00F971E7">
        <w:rPr>
          <w:rFonts w:asciiTheme="minorHAnsi" w:hAnsiTheme="minorHAnsi" w:cstheme="minorHAnsi"/>
        </w:rPr>
        <w:t>s</w:t>
      </w:r>
      <w:r w:rsidR="0048682D" w:rsidRPr="00F971E7">
        <w:rPr>
          <w:rFonts w:asciiTheme="minorHAnsi" w:hAnsiTheme="minorHAnsi" w:cstheme="minorHAnsi"/>
        </w:rPr>
        <w:t>ure test</w:t>
      </w:r>
      <w:r w:rsidR="007A21CB">
        <w:rPr>
          <w:rFonts w:asciiTheme="minorHAnsi" w:hAnsiTheme="minorHAnsi" w:cstheme="minorHAnsi"/>
        </w:rPr>
        <w:t>”</w:t>
      </w:r>
      <w:r w:rsidR="00DE55A8" w:rsidRPr="00F971E7">
        <w:rPr>
          <w:rFonts w:asciiTheme="minorHAnsi" w:hAnsiTheme="minorHAnsi" w:cstheme="minorHAnsi"/>
        </w:rPr>
        <w:t>:</w:t>
      </w:r>
    </w:p>
    <w:p w14:paraId="111A41CB" w14:textId="06CC286A" w:rsidR="00AC608E" w:rsidRPr="00F971E7" w:rsidRDefault="00887405" w:rsidP="00702F50">
      <w:pPr>
        <w:ind w:left="720"/>
        <w:jc w:val="both"/>
        <w:rPr>
          <w:rFonts w:asciiTheme="minorHAnsi" w:hAnsiTheme="minorHAnsi" w:cstheme="minorHAnsi"/>
        </w:rPr>
      </w:pPr>
      <w:r w:rsidRPr="00F1223D">
        <w:rPr>
          <w:rFonts w:asciiTheme="minorHAnsi" w:hAnsiTheme="minorHAnsi" w:cstheme="minorHAnsi"/>
        </w:rPr>
        <w:t xml:space="preserve">interfering with the rights of B, including B’s rights under Article 8 of the European Convention of Human Rights to have information about their previous convictions kept confidential, is necessary and proportionate for the prevention of crime. This involves balancing the consequences for B if their details are disclosed against the nature and extent of the risks that B poses to A. This stage of the test involves considering: </w:t>
      </w:r>
      <w:proofErr w:type="spellStart"/>
      <w:r w:rsidRPr="00F1223D">
        <w:rPr>
          <w:rFonts w:asciiTheme="minorHAnsi" w:hAnsiTheme="minorHAnsi" w:cstheme="minorHAnsi"/>
        </w:rPr>
        <w:t>i</w:t>
      </w:r>
      <w:proofErr w:type="spellEnd"/>
      <w:r w:rsidRPr="00F1223D">
        <w:rPr>
          <w:rFonts w:asciiTheme="minorHAnsi" w:hAnsiTheme="minorHAnsi" w:cstheme="minorHAnsi"/>
        </w:rPr>
        <w:t xml:space="preserve">. whether B should be asked if they wish to make representations, so as to ensure that the police have all the necessary information at their disposal to </w:t>
      </w:r>
      <w:r w:rsidRPr="00F1223D">
        <w:rPr>
          <w:rFonts w:asciiTheme="minorHAnsi" w:hAnsiTheme="minorHAnsi" w:cstheme="minorHAnsi"/>
        </w:rPr>
        <w:lastRenderedPageBreak/>
        <w:t xml:space="preserve">conduct the balancing exercise, however, such a decision must be based on an assessment of risk of harm to </w:t>
      </w:r>
      <w:proofErr w:type="spellStart"/>
      <w:r w:rsidRPr="00F1223D">
        <w:rPr>
          <w:rFonts w:asciiTheme="minorHAnsi" w:hAnsiTheme="minorHAnsi" w:cstheme="minorHAnsi"/>
        </w:rPr>
        <w:t>A</w:t>
      </w:r>
      <w:proofErr w:type="spellEnd"/>
      <w:r w:rsidRPr="00F1223D">
        <w:rPr>
          <w:rFonts w:asciiTheme="minorHAnsi" w:hAnsiTheme="minorHAnsi" w:cstheme="minorHAnsi"/>
        </w:rPr>
        <w:t xml:space="preserve"> if B were to be informed, and should not be done if there is any risk of harm to A. A should also be informed of the need to involve B and given the option to withdraw their application on this basis. ii. the extent of the information which needs to be disclosed - e.g. it may not be necessary to tell the applicant the precise details of the offence for the applicant to take steps to protect A.”</w:t>
      </w:r>
      <w:r w:rsidR="00492288">
        <w:rPr>
          <w:rStyle w:val="FootnoteReference"/>
          <w:rFonts w:asciiTheme="minorHAnsi" w:hAnsiTheme="minorHAnsi" w:cstheme="minorHAnsi"/>
        </w:rPr>
        <w:footnoteReference w:id="75"/>
      </w:r>
    </w:p>
    <w:p w14:paraId="3E7956C5" w14:textId="5F85D42D" w:rsidR="005910E3" w:rsidRPr="00F971E7" w:rsidRDefault="000C2412" w:rsidP="00702F50">
      <w:pPr>
        <w:jc w:val="both"/>
        <w:rPr>
          <w:rFonts w:asciiTheme="minorHAnsi" w:hAnsiTheme="minorHAnsi" w:cstheme="minorHAnsi"/>
        </w:rPr>
      </w:pPr>
      <w:r>
        <w:rPr>
          <w:rFonts w:asciiTheme="minorHAnsi" w:hAnsiTheme="minorHAnsi" w:cstheme="minorHAnsi"/>
        </w:rPr>
        <w:t>P</w:t>
      </w:r>
      <w:r w:rsidR="005910E3" w:rsidRPr="00F971E7">
        <w:rPr>
          <w:rFonts w:asciiTheme="minorHAnsi" w:hAnsiTheme="minorHAnsi" w:cstheme="minorHAnsi"/>
        </w:rPr>
        <w:t>ara</w:t>
      </w:r>
      <w:r>
        <w:rPr>
          <w:rFonts w:asciiTheme="minorHAnsi" w:hAnsiTheme="minorHAnsi" w:cstheme="minorHAnsi"/>
        </w:rPr>
        <w:t>graph</w:t>
      </w:r>
      <w:r w:rsidR="005910E3" w:rsidRPr="00F971E7">
        <w:rPr>
          <w:rFonts w:asciiTheme="minorHAnsi" w:hAnsiTheme="minorHAnsi" w:cstheme="minorHAnsi"/>
        </w:rPr>
        <w:t xml:space="preserve"> </w:t>
      </w:r>
      <w:r w:rsidR="00887405">
        <w:rPr>
          <w:rFonts w:asciiTheme="minorHAnsi" w:hAnsiTheme="minorHAnsi" w:cstheme="minorHAnsi"/>
        </w:rPr>
        <w:t>90</w:t>
      </w:r>
      <w:r w:rsidR="005910E3" w:rsidRPr="00F971E7">
        <w:rPr>
          <w:rFonts w:asciiTheme="minorHAnsi" w:hAnsiTheme="minorHAnsi" w:cstheme="minorHAnsi"/>
        </w:rPr>
        <w:t xml:space="preserve"> </w:t>
      </w:r>
      <w:r>
        <w:rPr>
          <w:rFonts w:asciiTheme="minorHAnsi" w:hAnsiTheme="minorHAnsi" w:cstheme="minorHAnsi"/>
        </w:rPr>
        <w:t xml:space="preserve">of the guidance </w:t>
      </w:r>
      <w:r w:rsidR="005910E3" w:rsidRPr="00F971E7">
        <w:rPr>
          <w:rFonts w:asciiTheme="minorHAnsi" w:hAnsiTheme="minorHAnsi" w:cstheme="minorHAnsi"/>
        </w:rPr>
        <w:t>is</w:t>
      </w:r>
      <w:r w:rsidR="00F1223D">
        <w:rPr>
          <w:rFonts w:asciiTheme="minorHAnsi" w:hAnsiTheme="minorHAnsi" w:cstheme="minorHAnsi"/>
        </w:rPr>
        <w:t>,</w:t>
      </w:r>
      <w:r w:rsidR="000D7D2E" w:rsidRPr="00F971E7">
        <w:rPr>
          <w:rFonts w:asciiTheme="minorHAnsi" w:hAnsiTheme="minorHAnsi" w:cstheme="minorHAnsi"/>
        </w:rPr>
        <w:t xml:space="preserve"> however</w:t>
      </w:r>
      <w:r w:rsidR="00F1223D">
        <w:rPr>
          <w:rFonts w:asciiTheme="minorHAnsi" w:hAnsiTheme="minorHAnsi" w:cstheme="minorHAnsi"/>
        </w:rPr>
        <w:t>,</w:t>
      </w:r>
      <w:r w:rsidR="005910E3" w:rsidRPr="00F971E7">
        <w:rPr>
          <w:rFonts w:asciiTheme="minorHAnsi" w:hAnsiTheme="minorHAnsi" w:cstheme="minorHAnsi"/>
        </w:rPr>
        <w:t xml:space="preserve"> </w:t>
      </w:r>
      <w:r>
        <w:rPr>
          <w:rFonts w:asciiTheme="minorHAnsi" w:hAnsiTheme="minorHAnsi" w:cstheme="minorHAnsi"/>
        </w:rPr>
        <w:t>more</w:t>
      </w:r>
      <w:r w:rsidR="005910E3" w:rsidRPr="00F971E7">
        <w:rPr>
          <w:rFonts w:asciiTheme="minorHAnsi" w:hAnsiTheme="minorHAnsi" w:cstheme="minorHAnsi"/>
        </w:rPr>
        <w:t xml:space="preserve"> promising, as it appears to </w:t>
      </w:r>
      <w:r w:rsidR="001D594D">
        <w:rPr>
          <w:rFonts w:asciiTheme="minorHAnsi" w:hAnsiTheme="minorHAnsi" w:cstheme="minorHAnsi"/>
        </w:rPr>
        <w:t>respond to</w:t>
      </w:r>
      <w:r w:rsidR="005910E3" w:rsidRPr="00F971E7">
        <w:rPr>
          <w:rFonts w:asciiTheme="minorHAnsi" w:hAnsiTheme="minorHAnsi" w:cstheme="minorHAnsi"/>
        </w:rPr>
        <w:t xml:space="preserve"> the element of </w:t>
      </w:r>
      <w:r w:rsidR="007E22C7" w:rsidRPr="00F971E7">
        <w:rPr>
          <w:rFonts w:asciiTheme="minorHAnsi" w:hAnsiTheme="minorHAnsi" w:cstheme="minorHAnsi"/>
        </w:rPr>
        <w:t xml:space="preserve">operation of the DVDS that </w:t>
      </w:r>
      <w:r w:rsidR="001D594D">
        <w:rPr>
          <w:rFonts w:asciiTheme="minorHAnsi" w:hAnsiTheme="minorHAnsi" w:cstheme="minorHAnsi"/>
        </w:rPr>
        <w:t xml:space="preserve">was identified as a weakness </w:t>
      </w:r>
      <w:r w:rsidR="00B65E0C">
        <w:rPr>
          <w:rFonts w:asciiTheme="minorHAnsi" w:hAnsiTheme="minorHAnsi" w:cstheme="minorHAnsi"/>
        </w:rPr>
        <w:t xml:space="preserve">in </w:t>
      </w:r>
      <w:r w:rsidR="007E22C7" w:rsidRPr="00F971E7">
        <w:rPr>
          <w:rFonts w:asciiTheme="minorHAnsi" w:hAnsiTheme="minorHAnsi" w:cstheme="minorHAnsi"/>
        </w:rPr>
        <w:t>part of the amendment moved by Jess Phillips MP</w:t>
      </w:r>
      <w:r w:rsidR="00B65E0C">
        <w:rPr>
          <w:rFonts w:asciiTheme="minorHAnsi" w:hAnsiTheme="minorHAnsi" w:cstheme="minorHAnsi"/>
        </w:rPr>
        <w:t xml:space="preserve"> </w:t>
      </w:r>
      <w:r w:rsidR="007E22C7" w:rsidRPr="00F971E7">
        <w:rPr>
          <w:rFonts w:asciiTheme="minorHAnsi" w:hAnsiTheme="minorHAnsi" w:cstheme="minorHAnsi"/>
        </w:rPr>
        <w:t xml:space="preserve">– </w:t>
      </w:r>
      <w:r w:rsidR="00EB1E34" w:rsidRPr="00F971E7">
        <w:rPr>
          <w:rFonts w:asciiTheme="minorHAnsi" w:hAnsiTheme="minorHAnsi" w:cstheme="minorHAnsi"/>
        </w:rPr>
        <w:t>i.e.,</w:t>
      </w:r>
      <w:r w:rsidR="00732F73" w:rsidRPr="00F971E7">
        <w:rPr>
          <w:rFonts w:asciiTheme="minorHAnsi" w:hAnsiTheme="minorHAnsi" w:cstheme="minorHAnsi"/>
        </w:rPr>
        <w:t xml:space="preserve"> </w:t>
      </w:r>
      <w:r w:rsidR="007E22C7" w:rsidRPr="00F971E7">
        <w:rPr>
          <w:rFonts w:asciiTheme="minorHAnsi" w:hAnsiTheme="minorHAnsi" w:cstheme="minorHAnsi"/>
        </w:rPr>
        <w:t xml:space="preserve">that there should be more emphasis on </w:t>
      </w:r>
      <w:r w:rsidR="005C7B76" w:rsidRPr="00F971E7">
        <w:rPr>
          <w:rFonts w:asciiTheme="minorHAnsi" w:hAnsiTheme="minorHAnsi" w:cstheme="minorHAnsi"/>
        </w:rPr>
        <w:t>operational planning to safeguard victims after a disclosure</w:t>
      </w:r>
      <w:r w:rsidR="00732F73" w:rsidRPr="00F971E7">
        <w:rPr>
          <w:rFonts w:asciiTheme="minorHAnsi" w:hAnsiTheme="minorHAnsi" w:cstheme="minorHAnsi"/>
        </w:rPr>
        <w:t xml:space="preserve">. </w:t>
      </w:r>
      <w:r w:rsidR="002050F7">
        <w:rPr>
          <w:rFonts w:asciiTheme="minorHAnsi" w:hAnsiTheme="minorHAnsi" w:cstheme="minorHAnsi"/>
        </w:rPr>
        <w:t>It</w:t>
      </w:r>
      <w:r w:rsidR="00B95FCB" w:rsidRPr="00F971E7">
        <w:rPr>
          <w:rFonts w:asciiTheme="minorHAnsi" w:hAnsiTheme="minorHAnsi" w:cstheme="minorHAnsi"/>
        </w:rPr>
        <w:t xml:space="preserve"> also notes the situation where a possible </w:t>
      </w:r>
      <w:r w:rsidR="00EE41CB" w:rsidRPr="00F971E7">
        <w:rPr>
          <w:rFonts w:asciiTheme="minorHAnsi" w:hAnsiTheme="minorHAnsi" w:cstheme="minorHAnsi"/>
        </w:rPr>
        <w:t>subject</w:t>
      </w:r>
      <w:r w:rsidR="00B95FCB" w:rsidRPr="00F971E7">
        <w:rPr>
          <w:rFonts w:asciiTheme="minorHAnsi" w:hAnsiTheme="minorHAnsi" w:cstheme="minorHAnsi"/>
        </w:rPr>
        <w:t xml:space="preserve"> of a </w:t>
      </w:r>
      <w:r w:rsidR="00EE41CB" w:rsidRPr="00F971E7">
        <w:rPr>
          <w:rFonts w:asciiTheme="minorHAnsi" w:hAnsiTheme="minorHAnsi" w:cstheme="minorHAnsi"/>
        </w:rPr>
        <w:t>disclosure</w:t>
      </w:r>
      <w:r w:rsidR="00B95FCB" w:rsidRPr="00F971E7">
        <w:rPr>
          <w:rFonts w:asciiTheme="minorHAnsi" w:hAnsiTheme="minorHAnsi" w:cstheme="minorHAnsi"/>
        </w:rPr>
        <w:t xml:space="preserve"> has little of </w:t>
      </w:r>
      <w:r w:rsidR="00EE41CB" w:rsidRPr="00F971E7">
        <w:rPr>
          <w:rFonts w:asciiTheme="minorHAnsi" w:hAnsiTheme="minorHAnsi" w:cstheme="minorHAnsi"/>
        </w:rPr>
        <w:t>n</w:t>
      </w:r>
      <w:r w:rsidR="00B95FCB" w:rsidRPr="00F971E7">
        <w:rPr>
          <w:rFonts w:asciiTheme="minorHAnsi" w:hAnsiTheme="minorHAnsi" w:cstheme="minorHAnsi"/>
        </w:rPr>
        <w:t>ote recorded about them by the police:</w:t>
      </w:r>
    </w:p>
    <w:p w14:paraId="7FAD7680" w14:textId="43873CA0" w:rsidR="00B95FCB" w:rsidRPr="00887405" w:rsidRDefault="00887405" w:rsidP="00702F50">
      <w:pPr>
        <w:ind w:left="720"/>
        <w:jc w:val="both"/>
        <w:rPr>
          <w:rFonts w:asciiTheme="minorHAnsi" w:hAnsiTheme="minorHAnsi" w:cstheme="minorHAnsi"/>
        </w:rPr>
      </w:pPr>
      <w:r>
        <w:rPr>
          <w:rFonts w:asciiTheme="minorHAnsi" w:hAnsiTheme="minorHAnsi" w:cstheme="minorHAnsi"/>
        </w:rPr>
        <w:t xml:space="preserve"> T</w:t>
      </w:r>
      <w:r w:rsidRPr="00F1223D">
        <w:rPr>
          <w:rFonts w:asciiTheme="minorHAnsi" w:hAnsiTheme="minorHAnsi" w:cstheme="minorHAnsi"/>
        </w:rPr>
        <w:t>here may be concerns that relate to B’s current behaviour towards A within the disclosure application e.g. abusive or threatening behaviour. In this case, even though there is no recorded information held by the police or other agencies to disclose to the applicant, the applicant may still be contacted to talk about concerns over B’s current behaviour. This discussion should cover steps the applicant should take in relation to these concerns to safeguard A from the risk of harm posed by B. The police, with input from domestic abuse specialist organisations or an IDVA, or the multi-agency panel if used, will consider what safeguarding measures could be introduced to support A in the short, medium and long term, and determine the roles and responsibility of each agency to ensure that the safety plan remains victim-centred. This could include the application of a protection order, for example a Stalking Protection Order or a Domestic Violence Protection Order, or referral to a MARAC.”</w:t>
      </w:r>
      <w:r w:rsidR="00321FE5">
        <w:rPr>
          <w:rStyle w:val="FootnoteReference"/>
          <w:rFonts w:asciiTheme="minorHAnsi" w:hAnsiTheme="minorHAnsi" w:cstheme="minorHAnsi"/>
        </w:rPr>
        <w:footnoteReference w:id="76"/>
      </w:r>
    </w:p>
    <w:p w14:paraId="7300FC03" w14:textId="0A71CDBB" w:rsidR="00B73290" w:rsidRDefault="00BC3FA9" w:rsidP="00702F50">
      <w:pPr>
        <w:jc w:val="both"/>
        <w:rPr>
          <w:rFonts w:asciiTheme="minorHAnsi" w:hAnsiTheme="minorHAnsi" w:cstheme="minorHAnsi"/>
        </w:rPr>
      </w:pPr>
      <w:r w:rsidRPr="00F971E7">
        <w:rPr>
          <w:rFonts w:asciiTheme="minorHAnsi" w:hAnsiTheme="minorHAnsi" w:cstheme="minorHAnsi"/>
        </w:rPr>
        <w:t xml:space="preserve">Other notable </w:t>
      </w:r>
      <w:r w:rsidR="00405448" w:rsidRPr="00F971E7">
        <w:rPr>
          <w:rFonts w:asciiTheme="minorHAnsi" w:hAnsiTheme="minorHAnsi" w:cstheme="minorHAnsi"/>
        </w:rPr>
        <w:t>revisions</w:t>
      </w:r>
      <w:r w:rsidR="005E151D" w:rsidRPr="00F971E7">
        <w:rPr>
          <w:rFonts w:asciiTheme="minorHAnsi" w:hAnsiTheme="minorHAnsi" w:cstheme="minorHAnsi"/>
        </w:rPr>
        <w:t xml:space="preserve"> in the </w:t>
      </w:r>
      <w:r w:rsidR="00175E02" w:rsidRPr="00F971E7">
        <w:rPr>
          <w:rFonts w:asciiTheme="minorHAnsi" w:hAnsiTheme="minorHAnsi" w:cstheme="minorHAnsi"/>
        </w:rPr>
        <w:t>disclosure</w:t>
      </w:r>
      <w:r w:rsidR="005E151D" w:rsidRPr="00F971E7">
        <w:rPr>
          <w:rFonts w:asciiTheme="minorHAnsi" w:hAnsiTheme="minorHAnsi" w:cstheme="minorHAnsi"/>
        </w:rPr>
        <w:t xml:space="preserve"> decision-making process include </w:t>
      </w:r>
      <w:r w:rsidR="00175E02" w:rsidRPr="00F971E7">
        <w:rPr>
          <w:rFonts w:asciiTheme="minorHAnsi" w:hAnsiTheme="minorHAnsi" w:cstheme="minorHAnsi"/>
        </w:rPr>
        <w:t xml:space="preserve">the addition of mentions </w:t>
      </w:r>
      <w:r w:rsidR="00AB6214">
        <w:rPr>
          <w:rFonts w:asciiTheme="minorHAnsi" w:hAnsiTheme="minorHAnsi" w:cstheme="minorHAnsi"/>
        </w:rPr>
        <w:t xml:space="preserve">of </w:t>
      </w:r>
      <w:r w:rsidR="003E6D94" w:rsidRPr="00F971E7">
        <w:rPr>
          <w:rFonts w:asciiTheme="minorHAnsi" w:hAnsiTheme="minorHAnsi" w:cstheme="minorHAnsi"/>
        </w:rPr>
        <w:t xml:space="preserve">the Data Protection Act 2018, as </w:t>
      </w:r>
      <w:r w:rsidR="00AB6214">
        <w:rPr>
          <w:rFonts w:asciiTheme="minorHAnsi" w:hAnsiTheme="minorHAnsi" w:cstheme="minorHAnsi"/>
        </w:rPr>
        <w:t>it applies</w:t>
      </w:r>
      <w:r w:rsidR="003E6D94" w:rsidRPr="00F971E7">
        <w:rPr>
          <w:rFonts w:asciiTheme="minorHAnsi" w:hAnsiTheme="minorHAnsi" w:cstheme="minorHAnsi"/>
        </w:rPr>
        <w:t xml:space="preserve"> to the work of law enforcement agencies and particular standards applicable to the police </w:t>
      </w:r>
      <w:r w:rsidR="00175E02" w:rsidRPr="00F971E7">
        <w:rPr>
          <w:rFonts w:asciiTheme="minorHAnsi" w:hAnsiTheme="minorHAnsi" w:cstheme="minorHAnsi"/>
        </w:rPr>
        <w:t>management</w:t>
      </w:r>
      <w:r w:rsidR="003E6D94" w:rsidRPr="00F971E7">
        <w:rPr>
          <w:rFonts w:asciiTheme="minorHAnsi" w:hAnsiTheme="minorHAnsi" w:cstheme="minorHAnsi"/>
        </w:rPr>
        <w:t xml:space="preserve"> of personal information</w:t>
      </w:r>
      <w:r w:rsidR="00505B89" w:rsidRPr="00F971E7">
        <w:rPr>
          <w:rFonts w:asciiTheme="minorHAnsi" w:hAnsiTheme="minorHAnsi" w:cstheme="minorHAnsi"/>
        </w:rPr>
        <w:t>. Also addressed is</w:t>
      </w:r>
      <w:r w:rsidR="003E6D94" w:rsidRPr="00F971E7">
        <w:rPr>
          <w:rFonts w:asciiTheme="minorHAnsi" w:hAnsiTheme="minorHAnsi" w:cstheme="minorHAnsi"/>
        </w:rPr>
        <w:t xml:space="preserve"> the issue of deciding whether and how to inform the subject of a disclosure </w:t>
      </w:r>
      <w:r w:rsidR="00FC121B" w:rsidRPr="00F971E7">
        <w:rPr>
          <w:rFonts w:asciiTheme="minorHAnsi" w:hAnsiTheme="minorHAnsi" w:cstheme="minorHAnsi"/>
        </w:rPr>
        <w:t xml:space="preserve">that </w:t>
      </w:r>
      <w:r w:rsidR="001F039B" w:rsidRPr="00F971E7">
        <w:rPr>
          <w:rFonts w:asciiTheme="minorHAnsi" w:hAnsiTheme="minorHAnsi" w:cstheme="minorHAnsi"/>
        </w:rPr>
        <w:t xml:space="preserve">such a step has been taken about them. Importantly, a </w:t>
      </w:r>
      <w:r w:rsidR="00C60F48" w:rsidRPr="00F971E7">
        <w:rPr>
          <w:rFonts w:asciiTheme="minorHAnsi" w:hAnsiTheme="minorHAnsi" w:cstheme="minorHAnsi"/>
        </w:rPr>
        <w:t xml:space="preserve">series of </w:t>
      </w:r>
      <w:r w:rsidR="001F039B" w:rsidRPr="00F971E7">
        <w:rPr>
          <w:rFonts w:asciiTheme="minorHAnsi" w:hAnsiTheme="minorHAnsi" w:cstheme="minorHAnsi"/>
        </w:rPr>
        <w:t>appendi</w:t>
      </w:r>
      <w:r w:rsidR="00C60F48" w:rsidRPr="00F971E7">
        <w:rPr>
          <w:rFonts w:asciiTheme="minorHAnsi" w:hAnsiTheme="minorHAnsi" w:cstheme="minorHAnsi"/>
        </w:rPr>
        <w:t>ces</w:t>
      </w:r>
      <w:r w:rsidR="001F039B" w:rsidRPr="00F971E7">
        <w:rPr>
          <w:rFonts w:asciiTheme="minorHAnsi" w:hAnsiTheme="minorHAnsi" w:cstheme="minorHAnsi"/>
        </w:rPr>
        <w:t>,</w:t>
      </w:r>
      <w:r w:rsidR="00C60F48" w:rsidRPr="00F971E7">
        <w:rPr>
          <w:rFonts w:asciiTheme="minorHAnsi" w:hAnsiTheme="minorHAnsi" w:cstheme="minorHAnsi"/>
        </w:rPr>
        <w:t xml:space="preserve"> particularly</w:t>
      </w:r>
      <w:r w:rsidR="001F039B" w:rsidRPr="00F971E7">
        <w:rPr>
          <w:rFonts w:asciiTheme="minorHAnsi" w:hAnsiTheme="minorHAnsi" w:cstheme="minorHAnsi"/>
        </w:rPr>
        <w:t xml:space="preserve"> Annex</w:t>
      </w:r>
      <w:r w:rsidR="00C60F48" w:rsidRPr="00F971E7">
        <w:rPr>
          <w:rFonts w:asciiTheme="minorHAnsi" w:hAnsiTheme="minorHAnsi" w:cstheme="minorHAnsi"/>
        </w:rPr>
        <w:t>es</w:t>
      </w:r>
      <w:r w:rsidR="001F039B" w:rsidRPr="00F971E7">
        <w:rPr>
          <w:rFonts w:asciiTheme="minorHAnsi" w:hAnsiTheme="minorHAnsi" w:cstheme="minorHAnsi"/>
        </w:rPr>
        <w:t xml:space="preserve"> </w:t>
      </w:r>
      <w:r w:rsidR="00C60F48" w:rsidRPr="00F971E7">
        <w:rPr>
          <w:rFonts w:asciiTheme="minorHAnsi" w:hAnsiTheme="minorHAnsi" w:cstheme="minorHAnsi"/>
        </w:rPr>
        <w:t>F, G and H</w:t>
      </w:r>
      <w:r w:rsidR="001F039B" w:rsidRPr="00F971E7">
        <w:rPr>
          <w:rFonts w:asciiTheme="minorHAnsi" w:hAnsiTheme="minorHAnsi" w:cstheme="minorHAnsi"/>
        </w:rPr>
        <w:t xml:space="preserve">, </w:t>
      </w:r>
      <w:r w:rsidR="00C60F48" w:rsidRPr="00F971E7">
        <w:rPr>
          <w:rFonts w:asciiTheme="minorHAnsi" w:hAnsiTheme="minorHAnsi" w:cstheme="minorHAnsi"/>
        </w:rPr>
        <w:t>are</w:t>
      </w:r>
      <w:r w:rsidR="001F039B" w:rsidRPr="00F971E7">
        <w:rPr>
          <w:rFonts w:asciiTheme="minorHAnsi" w:hAnsiTheme="minorHAnsi" w:cstheme="minorHAnsi"/>
        </w:rPr>
        <w:t xml:space="preserve"> attached to the guidance, which summarise the complex considerations of disclosure decision-making</w:t>
      </w:r>
      <w:r w:rsidR="00C60F48" w:rsidRPr="00F971E7">
        <w:rPr>
          <w:rFonts w:asciiTheme="minorHAnsi" w:hAnsiTheme="minorHAnsi" w:cstheme="minorHAnsi"/>
        </w:rPr>
        <w:t xml:space="preserve"> and provide a template for the recording of decision-making in this regard</w:t>
      </w:r>
      <w:r w:rsidR="001F039B" w:rsidRPr="00F971E7">
        <w:rPr>
          <w:rFonts w:asciiTheme="minorHAnsi" w:hAnsiTheme="minorHAnsi" w:cstheme="minorHAnsi"/>
        </w:rPr>
        <w:t>.</w:t>
      </w:r>
      <w:r w:rsidR="00F74C97" w:rsidRPr="00F971E7">
        <w:rPr>
          <w:rFonts w:asciiTheme="minorHAnsi" w:hAnsiTheme="minorHAnsi" w:cstheme="minorHAnsi"/>
        </w:rPr>
        <w:t xml:space="preserve"> It can be hoped, as a result, that the </w:t>
      </w:r>
      <w:r w:rsidR="000422BC" w:rsidRPr="00F971E7">
        <w:rPr>
          <w:rFonts w:asciiTheme="minorHAnsi" w:hAnsiTheme="minorHAnsi" w:cstheme="minorHAnsi"/>
        </w:rPr>
        <w:t xml:space="preserve">content and nature/process of disclosures as they are made to (potential/repeat) victims of </w:t>
      </w:r>
      <w:r w:rsidR="006D65B1" w:rsidRPr="00F971E7">
        <w:rPr>
          <w:rFonts w:asciiTheme="minorHAnsi" w:hAnsiTheme="minorHAnsi" w:cstheme="minorHAnsi"/>
        </w:rPr>
        <w:t>domestic</w:t>
      </w:r>
      <w:r w:rsidR="000422BC" w:rsidRPr="00F971E7">
        <w:rPr>
          <w:rFonts w:asciiTheme="minorHAnsi" w:hAnsiTheme="minorHAnsi" w:cstheme="minorHAnsi"/>
        </w:rPr>
        <w:t xml:space="preserve"> abuse</w:t>
      </w:r>
      <w:r w:rsidR="00171FFA" w:rsidRPr="00F971E7">
        <w:rPr>
          <w:rFonts w:asciiTheme="minorHAnsi" w:hAnsiTheme="minorHAnsi" w:cstheme="minorHAnsi"/>
        </w:rPr>
        <w:t xml:space="preserve"> can be made more consistent, and as noted above, as part of a more holistic approach to </w:t>
      </w:r>
      <w:r w:rsidR="006D65B1" w:rsidRPr="00F971E7">
        <w:rPr>
          <w:rFonts w:asciiTheme="minorHAnsi" w:hAnsiTheme="minorHAnsi" w:cstheme="minorHAnsi"/>
        </w:rPr>
        <w:t>public</w:t>
      </w:r>
      <w:r w:rsidR="00171FFA" w:rsidRPr="00F971E7">
        <w:rPr>
          <w:rFonts w:asciiTheme="minorHAnsi" w:hAnsiTheme="minorHAnsi" w:cstheme="minorHAnsi"/>
        </w:rPr>
        <w:t xml:space="preserve"> protection and support when it comes to police work to prevent that </w:t>
      </w:r>
      <w:r w:rsidR="006D65B1" w:rsidRPr="00F971E7">
        <w:rPr>
          <w:rFonts w:asciiTheme="minorHAnsi" w:hAnsiTheme="minorHAnsi" w:cstheme="minorHAnsi"/>
        </w:rPr>
        <w:t xml:space="preserve">victimisation. </w:t>
      </w:r>
    </w:p>
    <w:p w14:paraId="4155879E" w14:textId="77777777" w:rsidR="005B24B0" w:rsidRPr="00F971E7" w:rsidRDefault="005B24B0" w:rsidP="00702F50">
      <w:pPr>
        <w:jc w:val="both"/>
        <w:rPr>
          <w:rFonts w:asciiTheme="minorHAnsi" w:hAnsiTheme="minorHAnsi" w:cstheme="minorHAnsi"/>
        </w:rPr>
      </w:pPr>
    </w:p>
    <w:p w14:paraId="449626DC" w14:textId="753F34C9" w:rsidR="00C422DE" w:rsidRPr="005B24B0" w:rsidRDefault="005B24B0" w:rsidP="00390BF2">
      <w:pPr>
        <w:pStyle w:val="Heading1"/>
      </w:pPr>
      <w:r>
        <w:t xml:space="preserve">8. </w:t>
      </w:r>
      <w:r w:rsidR="00C422DE" w:rsidRPr="005B24B0">
        <w:t>Conclusions and reflections</w:t>
      </w:r>
    </w:p>
    <w:p w14:paraId="5506362D" w14:textId="130586F4" w:rsidR="00C422DE" w:rsidRPr="00F971E7" w:rsidRDefault="00117B0F" w:rsidP="00702F50">
      <w:pPr>
        <w:jc w:val="both"/>
        <w:rPr>
          <w:rFonts w:asciiTheme="minorHAnsi" w:hAnsiTheme="minorHAnsi" w:cstheme="minorHAnsi"/>
        </w:rPr>
      </w:pPr>
      <w:r w:rsidRPr="00F971E7">
        <w:rPr>
          <w:rFonts w:asciiTheme="minorHAnsi" w:hAnsiTheme="minorHAnsi" w:cstheme="minorHAnsi"/>
        </w:rPr>
        <w:t xml:space="preserve">DVDS disclosures </w:t>
      </w:r>
      <w:r w:rsidR="00985878" w:rsidRPr="00F971E7">
        <w:rPr>
          <w:rFonts w:asciiTheme="minorHAnsi" w:hAnsiTheme="minorHAnsi" w:cstheme="minorHAnsi"/>
        </w:rPr>
        <w:t xml:space="preserve">cannot </w:t>
      </w:r>
      <w:r w:rsidRPr="00F971E7">
        <w:rPr>
          <w:rFonts w:asciiTheme="minorHAnsi" w:hAnsiTheme="minorHAnsi" w:cstheme="minorHAnsi"/>
        </w:rPr>
        <w:t xml:space="preserve">be </w:t>
      </w:r>
      <w:r w:rsidR="00887405">
        <w:rPr>
          <w:rFonts w:asciiTheme="minorHAnsi" w:hAnsiTheme="minorHAnsi" w:cstheme="minorHAnsi"/>
        </w:rPr>
        <w:t xml:space="preserve">treated as </w:t>
      </w:r>
      <w:r w:rsidR="009A69A4">
        <w:rPr>
          <w:rFonts w:asciiTheme="minorHAnsi" w:hAnsiTheme="minorHAnsi" w:cstheme="minorHAnsi"/>
        </w:rPr>
        <w:t xml:space="preserve">a </w:t>
      </w:r>
      <w:r w:rsidRPr="00F971E7">
        <w:rPr>
          <w:rFonts w:asciiTheme="minorHAnsi" w:hAnsiTheme="minorHAnsi" w:cstheme="minorHAnsi"/>
        </w:rPr>
        <w:t xml:space="preserve">magic bullet. </w:t>
      </w:r>
      <w:r w:rsidR="009A69A4">
        <w:rPr>
          <w:rFonts w:asciiTheme="minorHAnsi" w:hAnsiTheme="minorHAnsi" w:cstheme="minorHAnsi"/>
        </w:rPr>
        <w:t>I</w:t>
      </w:r>
      <w:r w:rsidRPr="00F971E7">
        <w:rPr>
          <w:rFonts w:asciiTheme="minorHAnsi" w:hAnsiTheme="minorHAnsi" w:cstheme="minorHAnsi"/>
        </w:rPr>
        <w:t xml:space="preserve">n that way, they are no different from </w:t>
      </w:r>
      <w:r w:rsidR="00C27B74" w:rsidRPr="00F971E7">
        <w:rPr>
          <w:rFonts w:asciiTheme="minorHAnsi" w:hAnsiTheme="minorHAnsi" w:cstheme="minorHAnsi"/>
        </w:rPr>
        <w:t xml:space="preserve">the process of arrest, or the threat of prosecution </w:t>
      </w:r>
      <w:r w:rsidR="00C27B74" w:rsidRPr="00F971E7">
        <w:rPr>
          <w:rFonts w:asciiTheme="minorHAnsi" w:hAnsiTheme="minorHAnsi" w:cstheme="minorHAnsi"/>
          <w:i/>
          <w:iCs/>
        </w:rPr>
        <w:t>per se</w:t>
      </w:r>
      <w:r w:rsidR="00C27B74" w:rsidRPr="00F971E7">
        <w:rPr>
          <w:rFonts w:asciiTheme="minorHAnsi" w:hAnsiTheme="minorHAnsi" w:cstheme="minorHAnsi"/>
        </w:rPr>
        <w:t xml:space="preserve">. </w:t>
      </w:r>
      <w:r w:rsidR="00C422DE" w:rsidRPr="00F971E7">
        <w:rPr>
          <w:rFonts w:asciiTheme="minorHAnsi" w:hAnsiTheme="minorHAnsi" w:cstheme="minorHAnsi"/>
        </w:rPr>
        <w:t>As Lewis et al</w:t>
      </w:r>
      <w:r w:rsidR="009A69A4">
        <w:rPr>
          <w:rFonts w:asciiTheme="minorHAnsi" w:hAnsiTheme="minorHAnsi" w:cstheme="minorHAnsi"/>
        </w:rPr>
        <w:t>.</w:t>
      </w:r>
      <w:r w:rsidR="00C422DE" w:rsidRPr="00F971E7">
        <w:rPr>
          <w:rFonts w:asciiTheme="minorHAnsi" w:hAnsiTheme="minorHAnsi" w:cstheme="minorHAnsi"/>
        </w:rPr>
        <w:t xml:space="preserve"> have noted:</w:t>
      </w:r>
    </w:p>
    <w:p w14:paraId="6A593D4D" w14:textId="42563F32" w:rsidR="00C422DE" w:rsidRPr="00F971E7" w:rsidRDefault="00C422DE" w:rsidP="00702F50">
      <w:pPr>
        <w:ind w:left="720"/>
        <w:jc w:val="both"/>
        <w:rPr>
          <w:rFonts w:asciiTheme="minorHAnsi" w:hAnsiTheme="minorHAnsi" w:cstheme="minorHAnsi"/>
        </w:rPr>
      </w:pPr>
      <w:r w:rsidRPr="00F971E7">
        <w:rPr>
          <w:rFonts w:asciiTheme="minorHAnsi" w:hAnsiTheme="minorHAnsi" w:cstheme="minorHAnsi"/>
        </w:rPr>
        <w:t>What years of scholarship have made clear is the futility of considering interventions in isolation</w:t>
      </w:r>
      <w:r w:rsidR="004A2834" w:rsidRPr="00F971E7">
        <w:rPr>
          <w:rFonts w:asciiTheme="minorHAnsi" w:hAnsiTheme="minorHAnsi" w:cstheme="minorHAnsi"/>
        </w:rPr>
        <w:t xml:space="preserve">… </w:t>
      </w:r>
      <w:r w:rsidRPr="00F971E7">
        <w:rPr>
          <w:rFonts w:asciiTheme="minorHAnsi" w:hAnsiTheme="minorHAnsi" w:cstheme="minorHAnsi"/>
        </w:rPr>
        <w:t>we must be realistic about the potential of a single, brief, transient contact with the police</w:t>
      </w:r>
      <w:r w:rsidR="004A2834" w:rsidRPr="00F971E7">
        <w:rPr>
          <w:rFonts w:asciiTheme="minorHAnsi" w:hAnsiTheme="minorHAnsi" w:cstheme="minorHAnsi"/>
        </w:rPr>
        <w:t xml:space="preserve">… </w:t>
      </w:r>
      <w:r w:rsidRPr="00F971E7">
        <w:rPr>
          <w:rFonts w:asciiTheme="minorHAnsi" w:hAnsiTheme="minorHAnsi" w:cstheme="minorHAnsi"/>
        </w:rPr>
        <w:t>arrest or protection orders cannot, alone, stop violent men.</w:t>
      </w:r>
      <w:r w:rsidRPr="00F971E7">
        <w:rPr>
          <w:rStyle w:val="FootnoteReference"/>
          <w:rFonts w:asciiTheme="minorHAnsi" w:hAnsiTheme="minorHAnsi" w:cstheme="minorHAnsi"/>
        </w:rPr>
        <w:footnoteReference w:id="77"/>
      </w:r>
    </w:p>
    <w:p w14:paraId="5D2A8DFE" w14:textId="21EED5C6" w:rsidR="00331E55" w:rsidRPr="00F971E7" w:rsidRDefault="005C7944" w:rsidP="00702F50">
      <w:pPr>
        <w:jc w:val="both"/>
        <w:rPr>
          <w:rFonts w:asciiTheme="minorHAnsi" w:hAnsiTheme="minorHAnsi" w:cstheme="minorHAnsi"/>
        </w:rPr>
      </w:pPr>
      <w:r w:rsidRPr="00F971E7">
        <w:rPr>
          <w:rFonts w:asciiTheme="minorHAnsi" w:hAnsiTheme="minorHAnsi" w:cstheme="minorHAnsi"/>
        </w:rPr>
        <w:t xml:space="preserve">DVDS disclosures should not be considered </w:t>
      </w:r>
      <w:r w:rsidR="00206DC1" w:rsidRPr="00F971E7">
        <w:rPr>
          <w:rFonts w:asciiTheme="minorHAnsi" w:hAnsiTheme="minorHAnsi" w:cstheme="minorHAnsi"/>
        </w:rPr>
        <w:t xml:space="preserve">in isolation from other public protection interventions. Case law has developed, or is </w:t>
      </w:r>
      <w:r w:rsidR="004D3F87" w:rsidRPr="00F971E7">
        <w:rPr>
          <w:rFonts w:asciiTheme="minorHAnsi" w:hAnsiTheme="minorHAnsi" w:cstheme="minorHAnsi"/>
        </w:rPr>
        <w:t>developing</w:t>
      </w:r>
      <w:r w:rsidR="00206DC1" w:rsidRPr="00F971E7">
        <w:rPr>
          <w:rFonts w:asciiTheme="minorHAnsi" w:hAnsiTheme="minorHAnsi" w:cstheme="minorHAnsi"/>
        </w:rPr>
        <w:t>, post-</w:t>
      </w:r>
      <w:r w:rsidR="00206DC1" w:rsidRPr="00F971E7">
        <w:rPr>
          <w:rFonts w:asciiTheme="minorHAnsi" w:hAnsiTheme="minorHAnsi" w:cstheme="minorHAnsi"/>
          <w:i/>
          <w:iCs/>
        </w:rPr>
        <w:t>DSD</w:t>
      </w:r>
      <w:r w:rsidR="00206DC1" w:rsidRPr="00F971E7">
        <w:rPr>
          <w:rFonts w:asciiTheme="minorHAnsi" w:hAnsiTheme="minorHAnsi" w:cstheme="minorHAnsi"/>
        </w:rPr>
        <w:t xml:space="preserve">, toward a consideration of whether shortcomings in a policing response to a reported serious risk of harm might be an ‘egregious error’. A DVDS </w:t>
      </w:r>
      <w:r w:rsidR="004D3F87" w:rsidRPr="00F971E7">
        <w:rPr>
          <w:rFonts w:asciiTheme="minorHAnsi" w:hAnsiTheme="minorHAnsi" w:cstheme="minorHAnsi"/>
        </w:rPr>
        <w:t>disclosure</w:t>
      </w:r>
      <w:r w:rsidR="00206DC1" w:rsidRPr="00F971E7">
        <w:rPr>
          <w:rFonts w:asciiTheme="minorHAnsi" w:hAnsiTheme="minorHAnsi" w:cstheme="minorHAnsi"/>
        </w:rPr>
        <w:t xml:space="preserve"> without sufficient wrap-around measures, or monitoring and support for a victim/potential victim, could be such an ‘egregious error’ in particular circumstances, depending on the risks faced. It is important, then, tha</w:t>
      </w:r>
      <w:r w:rsidR="00B47336" w:rsidRPr="00F971E7">
        <w:rPr>
          <w:rFonts w:asciiTheme="minorHAnsi" w:hAnsiTheme="minorHAnsi" w:cstheme="minorHAnsi"/>
        </w:rPr>
        <w:t>t the</w:t>
      </w:r>
      <w:r w:rsidR="0063529A" w:rsidRPr="00F971E7">
        <w:rPr>
          <w:rFonts w:asciiTheme="minorHAnsi" w:hAnsiTheme="minorHAnsi" w:cstheme="minorHAnsi"/>
        </w:rPr>
        <w:t xml:space="preserve"> guidance  published under the statutory duty </w:t>
      </w:r>
      <w:r w:rsidR="003625AA">
        <w:rPr>
          <w:rFonts w:asciiTheme="minorHAnsi" w:hAnsiTheme="minorHAnsi" w:cstheme="minorHAnsi"/>
        </w:rPr>
        <w:t>in</w:t>
      </w:r>
      <w:r w:rsidR="003625AA" w:rsidRPr="00F971E7">
        <w:rPr>
          <w:rFonts w:asciiTheme="minorHAnsi" w:hAnsiTheme="minorHAnsi" w:cstheme="minorHAnsi"/>
        </w:rPr>
        <w:t xml:space="preserve"> </w:t>
      </w:r>
      <w:r w:rsidR="0063529A" w:rsidRPr="00F971E7">
        <w:rPr>
          <w:rFonts w:asciiTheme="minorHAnsi" w:hAnsiTheme="minorHAnsi" w:cstheme="minorHAnsi"/>
        </w:rPr>
        <w:t>Section 77 of the Domestic Abuse Act 2021</w:t>
      </w:r>
      <w:r w:rsidR="00B07490" w:rsidRPr="00F971E7">
        <w:rPr>
          <w:rFonts w:asciiTheme="minorHAnsi" w:hAnsiTheme="minorHAnsi" w:cstheme="minorHAnsi"/>
        </w:rPr>
        <w:t xml:space="preserve"> takes pains to </w:t>
      </w:r>
      <w:r w:rsidR="004D3F87" w:rsidRPr="00F971E7">
        <w:rPr>
          <w:rFonts w:asciiTheme="minorHAnsi" w:hAnsiTheme="minorHAnsi" w:cstheme="minorHAnsi"/>
        </w:rPr>
        <w:t>specify</w:t>
      </w:r>
      <w:r w:rsidR="00B07490" w:rsidRPr="00F971E7">
        <w:rPr>
          <w:rFonts w:asciiTheme="minorHAnsi" w:hAnsiTheme="minorHAnsi" w:cstheme="minorHAnsi"/>
        </w:rPr>
        <w:t xml:space="preserve"> a multi-agency approach that should not leave victims as the recipients of disclosures in </w:t>
      </w:r>
      <w:r w:rsidR="004D3F87" w:rsidRPr="00F971E7">
        <w:rPr>
          <w:rFonts w:asciiTheme="minorHAnsi" w:hAnsiTheme="minorHAnsi" w:cstheme="minorHAnsi"/>
        </w:rPr>
        <w:t>isolation</w:t>
      </w:r>
      <w:r w:rsidR="00B07490" w:rsidRPr="00F971E7">
        <w:rPr>
          <w:rFonts w:asciiTheme="minorHAnsi" w:hAnsiTheme="minorHAnsi" w:cstheme="minorHAnsi"/>
        </w:rPr>
        <w:t xml:space="preserve"> from other means of support. This is especially important for compliance with human rights standards, in particular </w:t>
      </w:r>
      <w:r w:rsidR="00757C26">
        <w:rPr>
          <w:rFonts w:asciiTheme="minorHAnsi" w:hAnsiTheme="minorHAnsi" w:cstheme="minorHAnsi"/>
        </w:rPr>
        <w:t xml:space="preserve">with </w:t>
      </w:r>
      <w:r w:rsidR="00B07490" w:rsidRPr="00F971E7">
        <w:rPr>
          <w:rFonts w:asciiTheme="minorHAnsi" w:hAnsiTheme="minorHAnsi" w:cstheme="minorHAnsi"/>
        </w:rPr>
        <w:t>regard to the operation of the DVDS, as the UK</w:t>
      </w:r>
      <w:r w:rsidR="003625AA">
        <w:rPr>
          <w:rFonts w:asciiTheme="minorHAnsi" w:hAnsiTheme="minorHAnsi" w:cstheme="minorHAnsi"/>
        </w:rPr>
        <w:t xml:space="preserve"> has largely ratified</w:t>
      </w:r>
      <w:r w:rsidR="003C5500">
        <w:rPr>
          <w:rFonts w:asciiTheme="minorHAnsi" w:hAnsiTheme="minorHAnsi" w:cstheme="minorHAnsi"/>
        </w:rPr>
        <w:t xml:space="preserve"> </w:t>
      </w:r>
      <w:r w:rsidR="00B07490" w:rsidRPr="00F971E7">
        <w:rPr>
          <w:rFonts w:asciiTheme="minorHAnsi" w:hAnsiTheme="minorHAnsi" w:cstheme="minorHAnsi"/>
        </w:rPr>
        <w:t xml:space="preserve">the </w:t>
      </w:r>
      <w:r w:rsidR="004D3F87" w:rsidRPr="00F971E7">
        <w:rPr>
          <w:rFonts w:asciiTheme="minorHAnsi" w:hAnsiTheme="minorHAnsi" w:cstheme="minorHAnsi"/>
        </w:rPr>
        <w:t>Istanbul</w:t>
      </w:r>
      <w:r w:rsidR="00B07490" w:rsidRPr="00F971E7">
        <w:rPr>
          <w:rFonts w:asciiTheme="minorHAnsi" w:hAnsiTheme="minorHAnsi" w:cstheme="minorHAnsi"/>
        </w:rPr>
        <w:t xml:space="preserve"> Convention with its own support requirements. And on a pragmatic point, since we can expect to see the  number of DVDS </w:t>
      </w:r>
      <w:r w:rsidR="004D3F87" w:rsidRPr="00F971E7">
        <w:rPr>
          <w:rFonts w:asciiTheme="minorHAnsi" w:hAnsiTheme="minorHAnsi" w:cstheme="minorHAnsi"/>
        </w:rPr>
        <w:t>disclosures</w:t>
      </w:r>
      <w:r w:rsidR="00B07490" w:rsidRPr="00F971E7">
        <w:rPr>
          <w:rFonts w:asciiTheme="minorHAnsi" w:hAnsiTheme="minorHAnsi" w:cstheme="minorHAnsi"/>
        </w:rPr>
        <w:t xml:space="preserve"> per annum rise </w:t>
      </w:r>
      <w:r w:rsidR="002C6D12" w:rsidRPr="00F971E7">
        <w:rPr>
          <w:rFonts w:asciiTheme="minorHAnsi" w:hAnsiTheme="minorHAnsi" w:cstheme="minorHAnsi"/>
        </w:rPr>
        <w:t xml:space="preserve">in the coming years, with less </w:t>
      </w:r>
      <w:r w:rsidR="004D3F87" w:rsidRPr="00F971E7">
        <w:rPr>
          <w:rFonts w:asciiTheme="minorHAnsi" w:hAnsiTheme="minorHAnsi" w:cstheme="minorHAnsi"/>
        </w:rPr>
        <w:t>restrictive</w:t>
      </w:r>
      <w:r w:rsidR="002C6D12" w:rsidRPr="00F971E7">
        <w:rPr>
          <w:rFonts w:asciiTheme="minorHAnsi" w:hAnsiTheme="minorHAnsi" w:cstheme="minorHAnsi"/>
        </w:rPr>
        <w:t xml:space="preserve"> wording </w:t>
      </w:r>
      <w:r w:rsidR="006B67E0">
        <w:rPr>
          <w:rFonts w:asciiTheme="minorHAnsi" w:hAnsiTheme="minorHAnsi" w:cstheme="minorHAnsi"/>
        </w:rPr>
        <w:t xml:space="preserve">in the statutory guidance </w:t>
      </w:r>
      <w:r w:rsidR="002C6D12" w:rsidRPr="00F971E7">
        <w:rPr>
          <w:rFonts w:asciiTheme="minorHAnsi" w:hAnsiTheme="minorHAnsi" w:cstheme="minorHAnsi"/>
        </w:rPr>
        <w:t>around the disclosure threshold than might have been chosen</w:t>
      </w:r>
      <w:r w:rsidR="006044EF" w:rsidRPr="00F971E7">
        <w:rPr>
          <w:rFonts w:asciiTheme="minorHAnsi" w:hAnsiTheme="minorHAnsi" w:cstheme="minorHAnsi"/>
        </w:rPr>
        <w:t>, it is important that public protection</w:t>
      </w:r>
      <w:r w:rsidR="000B5387" w:rsidRPr="00F971E7">
        <w:rPr>
          <w:rFonts w:asciiTheme="minorHAnsi" w:hAnsiTheme="minorHAnsi" w:cstheme="minorHAnsi"/>
        </w:rPr>
        <w:t>-related</w:t>
      </w:r>
      <w:r w:rsidR="006044EF" w:rsidRPr="00F971E7">
        <w:rPr>
          <w:rFonts w:asciiTheme="minorHAnsi" w:hAnsiTheme="minorHAnsi" w:cstheme="minorHAnsi"/>
        </w:rPr>
        <w:t xml:space="preserve"> funding is increased to reverse the </w:t>
      </w:r>
      <w:r w:rsidR="004D3F87" w:rsidRPr="00F971E7">
        <w:rPr>
          <w:rFonts w:asciiTheme="minorHAnsi" w:hAnsiTheme="minorHAnsi" w:cstheme="minorHAnsi"/>
        </w:rPr>
        <w:t>decline</w:t>
      </w:r>
      <w:r w:rsidR="006044EF" w:rsidRPr="00F971E7">
        <w:rPr>
          <w:rFonts w:asciiTheme="minorHAnsi" w:hAnsiTheme="minorHAnsi" w:cstheme="minorHAnsi"/>
        </w:rPr>
        <w:t xml:space="preserve"> in </w:t>
      </w:r>
      <w:r w:rsidR="004D3F87" w:rsidRPr="00F971E7">
        <w:rPr>
          <w:rFonts w:asciiTheme="minorHAnsi" w:hAnsiTheme="minorHAnsi" w:cstheme="minorHAnsi"/>
        </w:rPr>
        <w:t>prosecution</w:t>
      </w:r>
      <w:r w:rsidR="006044EF" w:rsidRPr="00F971E7">
        <w:rPr>
          <w:rFonts w:asciiTheme="minorHAnsi" w:hAnsiTheme="minorHAnsi" w:cstheme="minorHAnsi"/>
        </w:rPr>
        <w:t xml:space="preserve"> for </w:t>
      </w:r>
      <w:r w:rsidR="000B5387" w:rsidRPr="00F971E7">
        <w:rPr>
          <w:rFonts w:asciiTheme="minorHAnsi" w:hAnsiTheme="minorHAnsi" w:cstheme="minorHAnsi"/>
        </w:rPr>
        <w:t>some types of domestic abuse</w:t>
      </w:r>
      <w:r w:rsidR="006B67E0">
        <w:rPr>
          <w:rFonts w:asciiTheme="minorHAnsi" w:hAnsiTheme="minorHAnsi" w:cstheme="minorHAnsi"/>
        </w:rPr>
        <w:t>-</w:t>
      </w:r>
      <w:r w:rsidR="000B5387" w:rsidRPr="00F971E7">
        <w:rPr>
          <w:rFonts w:asciiTheme="minorHAnsi" w:hAnsiTheme="minorHAnsi" w:cstheme="minorHAnsi"/>
        </w:rPr>
        <w:t xml:space="preserve">flagged </w:t>
      </w:r>
      <w:r w:rsidR="00A2683C" w:rsidRPr="00F971E7">
        <w:rPr>
          <w:rFonts w:asciiTheme="minorHAnsi" w:hAnsiTheme="minorHAnsi" w:cstheme="minorHAnsi"/>
        </w:rPr>
        <w:t xml:space="preserve">offences. </w:t>
      </w:r>
      <w:r w:rsidR="006B67E0">
        <w:rPr>
          <w:rFonts w:asciiTheme="minorHAnsi" w:hAnsiTheme="minorHAnsi" w:cstheme="minorHAnsi"/>
        </w:rPr>
        <w:t>The</w:t>
      </w:r>
      <w:r w:rsidR="00A2683C" w:rsidRPr="00F971E7">
        <w:rPr>
          <w:rFonts w:asciiTheme="minorHAnsi" w:hAnsiTheme="minorHAnsi" w:cstheme="minorHAnsi"/>
        </w:rPr>
        <w:t xml:space="preserve"> Government have recently published their </w:t>
      </w:r>
      <w:r w:rsidR="0038459F" w:rsidRPr="00F971E7">
        <w:rPr>
          <w:rFonts w:asciiTheme="minorHAnsi" w:hAnsiTheme="minorHAnsi" w:cstheme="minorHAnsi"/>
        </w:rPr>
        <w:t>intentions</w:t>
      </w:r>
      <w:r w:rsidR="00A2683C" w:rsidRPr="00F971E7">
        <w:rPr>
          <w:rFonts w:asciiTheme="minorHAnsi" w:hAnsiTheme="minorHAnsi" w:cstheme="minorHAnsi"/>
        </w:rPr>
        <w:t xml:space="preserve"> to achieve this, but the scale of th</w:t>
      </w:r>
      <w:r w:rsidR="0038459F" w:rsidRPr="00F971E7">
        <w:rPr>
          <w:rFonts w:asciiTheme="minorHAnsi" w:hAnsiTheme="minorHAnsi" w:cstheme="minorHAnsi"/>
        </w:rPr>
        <w:t>at</w:t>
      </w:r>
      <w:r w:rsidR="00A2683C" w:rsidRPr="00F971E7">
        <w:rPr>
          <w:rFonts w:asciiTheme="minorHAnsi" w:hAnsiTheme="minorHAnsi" w:cstheme="minorHAnsi"/>
        </w:rPr>
        <w:t xml:space="preserve"> wider human rights </w:t>
      </w:r>
      <w:r w:rsidR="0038459F" w:rsidRPr="00F971E7">
        <w:rPr>
          <w:rFonts w:asciiTheme="minorHAnsi" w:hAnsiTheme="minorHAnsi" w:cstheme="minorHAnsi"/>
        </w:rPr>
        <w:t>reform project</w:t>
      </w:r>
      <w:r w:rsidR="00A2683C" w:rsidRPr="00F971E7">
        <w:rPr>
          <w:rFonts w:asciiTheme="minorHAnsi" w:hAnsiTheme="minorHAnsi" w:cstheme="minorHAnsi"/>
        </w:rPr>
        <w:t xml:space="preserve">, and </w:t>
      </w:r>
      <w:r w:rsidR="0038459F" w:rsidRPr="00F971E7">
        <w:rPr>
          <w:rFonts w:asciiTheme="minorHAnsi" w:hAnsiTheme="minorHAnsi" w:cstheme="minorHAnsi"/>
        </w:rPr>
        <w:t xml:space="preserve">ensuring the </w:t>
      </w:r>
      <w:r w:rsidR="00551BF0" w:rsidRPr="00F971E7">
        <w:rPr>
          <w:rFonts w:asciiTheme="minorHAnsi" w:hAnsiTheme="minorHAnsi" w:cstheme="minorHAnsi"/>
        </w:rPr>
        <w:t>effectiveness of a public protection</w:t>
      </w:r>
      <w:r w:rsidR="00A2683C" w:rsidRPr="00F971E7">
        <w:rPr>
          <w:rFonts w:asciiTheme="minorHAnsi" w:hAnsiTheme="minorHAnsi" w:cstheme="minorHAnsi"/>
        </w:rPr>
        <w:t xml:space="preserve"> </w:t>
      </w:r>
      <w:r w:rsidR="004D3F87" w:rsidRPr="00F971E7">
        <w:rPr>
          <w:rFonts w:asciiTheme="minorHAnsi" w:hAnsiTheme="minorHAnsi" w:cstheme="minorHAnsi"/>
        </w:rPr>
        <w:t>landscap</w:t>
      </w:r>
      <w:r w:rsidR="00A2683C" w:rsidRPr="00F971E7">
        <w:rPr>
          <w:rFonts w:asciiTheme="minorHAnsi" w:hAnsiTheme="minorHAnsi" w:cstheme="minorHAnsi"/>
        </w:rPr>
        <w:t xml:space="preserve">e of which the DVDS is only a very small part, is a </w:t>
      </w:r>
      <w:r w:rsidR="00B875F1">
        <w:rPr>
          <w:rFonts w:asciiTheme="minorHAnsi" w:hAnsiTheme="minorHAnsi" w:cstheme="minorHAnsi"/>
        </w:rPr>
        <w:t>daunting</w:t>
      </w:r>
      <w:r w:rsidR="00B875F1" w:rsidRPr="00F971E7">
        <w:rPr>
          <w:rFonts w:asciiTheme="minorHAnsi" w:hAnsiTheme="minorHAnsi" w:cstheme="minorHAnsi"/>
        </w:rPr>
        <w:t xml:space="preserve"> </w:t>
      </w:r>
      <w:r w:rsidR="00A2683C" w:rsidRPr="00F971E7">
        <w:rPr>
          <w:rFonts w:asciiTheme="minorHAnsi" w:hAnsiTheme="minorHAnsi" w:cstheme="minorHAnsi"/>
        </w:rPr>
        <w:t>one from a policymaking perspectiv</w:t>
      </w:r>
      <w:r w:rsidR="0038459F" w:rsidRPr="00F971E7">
        <w:rPr>
          <w:rFonts w:asciiTheme="minorHAnsi" w:hAnsiTheme="minorHAnsi" w:cstheme="minorHAnsi"/>
        </w:rPr>
        <w:t>e.</w:t>
      </w:r>
    </w:p>
    <w:sectPr w:rsidR="00331E55" w:rsidRPr="00F971E7" w:rsidSect="0005191E">
      <w:headerReference w:type="even" r:id="rId18"/>
      <w:headerReference w:type="default" r:id="rId19"/>
      <w:footerReference w:type="even" r:id="rId20"/>
      <w:footerReference w:type="default" r:id="rId2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565EEE" w14:textId="77777777" w:rsidR="0005191E" w:rsidRDefault="0005191E" w:rsidP="006845B3">
      <w:pPr>
        <w:spacing w:after="0" w:line="240" w:lineRule="auto"/>
      </w:pPr>
      <w:r>
        <w:separator/>
      </w:r>
    </w:p>
  </w:endnote>
  <w:endnote w:type="continuationSeparator" w:id="0">
    <w:p w14:paraId="18919D21" w14:textId="77777777" w:rsidR="0005191E" w:rsidRDefault="0005191E" w:rsidP="00684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DB53EF" w14:textId="1E407FF6" w:rsidR="00747049" w:rsidRDefault="00747049">
    <w:pPr>
      <w:pStyle w:val="Footer"/>
      <w:jc w:val="center"/>
    </w:pPr>
    <w:r>
      <w:t>__________________________________________________________________________________</w:t>
    </w:r>
  </w:p>
  <w:p w14:paraId="08A08563" w14:textId="77777777" w:rsidR="00747049" w:rsidRDefault="00747049">
    <w:pPr>
      <w:pStyle w:val="Footer"/>
      <w:jc w:val="center"/>
    </w:pPr>
  </w:p>
  <w:sdt>
    <w:sdtPr>
      <w:id w:val="1686792684"/>
      <w:docPartObj>
        <w:docPartGallery w:val="Page Numbers (Bottom of Page)"/>
        <w:docPartUnique/>
      </w:docPartObj>
    </w:sdtPr>
    <w:sdtEndPr>
      <w:rPr>
        <w:noProof/>
      </w:rPr>
    </w:sdtEndPr>
    <w:sdtContent>
      <w:p w14:paraId="3A9EA3D6" w14:textId="69309544" w:rsidR="00747049" w:rsidRDefault="0074704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75FF26" w14:textId="77777777" w:rsidR="00881427" w:rsidRDefault="008814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BB7A3E" w14:textId="6118CEB2" w:rsidR="009B27A1" w:rsidRDefault="009B27A1">
    <w:pPr>
      <w:pStyle w:val="Footer"/>
      <w:jc w:val="center"/>
    </w:pPr>
    <w:r>
      <w:t>________________________________________</w:t>
    </w:r>
    <w:r w:rsidR="00291FB5">
      <w:t>__________________________________________</w:t>
    </w:r>
  </w:p>
  <w:p w14:paraId="7AF2F158" w14:textId="77777777" w:rsidR="009B27A1" w:rsidRDefault="009B27A1">
    <w:pPr>
      <w:pStyle w:val="Footer"/>
      <w:jc w:val="center"/>
    </w:pPr>
  </w:p>
  <w:sdt>
    <w:sdtPr>
      <w:id w:val="1355069935"/>
      <w:docPartObj>
        <w:docPartGallery w:val="Page Numbers (Bottom of Page)"/>
        <w:docPartUnique/>
      </w:docPartObj>
    </w:sdtPr>
    <w:sdtEndPr>
      <w:rPr>
        <w:noProof/>
      </w:rPr>
    </w:sdtEndPr>
    <w:sdtContent>
      <w:p w14:paraId="4E3095C2" w14:textId="2C1ABC6D" w:rsidR="009B27A1" w:rsidRDefault="009B27A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CB00E1" w14:textId="77777777" w:rsidR="00B650A9" w:rsidRDefault="00B650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BDAD7" w14:textId="04F5BCD5" w:rsidR="00AA0AA1" w:rsidRDefault="00AA0AA1">
    <w:pPr>
      <w:pStyle w:val="Footer"/>
      <w:jc w:val="center"/>
    </w:pPr>
    <w:r>
      <w:t>_______________________________________________________________________________________________________________________________</w:t>
    </w:r>
  </w:p>
  <w:p w14:paraId="1B675BED" w14:textId="77777777" w:rsidR="00AA0AA1" w:rsidRDefault="00AA0AA1">
    <w:pPr>
      <w:pStyle w:val="Footer"/>
      <w:jc w:val="center"/>
    </w:pPr>
  </w:p>
  <w:sdt>
    <w:sdtPr>
      <w:id w:val="-1183131602"/>
      <w:docPartObj>
        <w:docPartGallery w:val="Page Numbers (Bottom of Page)"/>
        <w:docPartUnique/>
      </w:docPartObj>
    </w:sdtPr>
    <w:sdtEndPr>
      <w:rPr>
        <w:noProof/>
      </w:rPr>
    </w:sdtEndPr>
    <w:sdtContent>
      <w:p w14:paraId="673E4333" w14:textId="77777777" w:rsidR="00AA0AA1" w:rsidRDefault="00AA0AA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A4ECE4" w14:textId="77777777" w:rsidR="00AA0AA1" w:rsidRDefault="00AA0AA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7B746" w14:textId="77777777" w:rsidR="00AA0AA1" w:rsidRDefault="00AA0AA1">
    <w:pPr>
      <w:pStyle w:val="Footer"/>
      <w:jc w:val="center"/>
    </w:pPr>
    <w:r>
      <w:t>__________________________________________________________________________________</w:t>
    </w:r>
  </w:p>
  <w:p w14:paraId="118EC3BC" w14:textId="77777777" w:rsidR="00AA0AA1" w:rsidRDefault="00AA0AA1">
    <w:pPr>
      <w:pStyle w:val="Footer"/>
      <w:jc w:val="center"/>
    </w:pPr>
  </w:p>
  <w:sdt>
    <w:sdtPr>
      <w:id w:val="-1379238719"/>
      <w:docPartObj>
        <w:docPartGallery w:val="Page Numbers (Bottom of Page)"/>
        <w:docPartUnique/>
      </w:docPartObj>
    </w:sdtPr>
    <w:sdtEndPr>
      <w:rPr>
        <w:noProof/>
      </w:rPr>
    </w:sdtEndPr>
    <w:sdtContent>
      <w:p w14:paraId="2CF7CBD4" w14:textId="77777777" w:rsidR="00AA0AA1" w:rsidRDefault="00AA0AA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535743" w14:textId="77777777" w:rsidR="00AA0AA1" w:rsidRDefault="00AA0AA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A3016" w14:textId="77777777" w:rsidR="00AA0AA1" w:rsidRDefault="00AA0AA1">
    <w:pPr>
      <w:pStyle w:val="Footer"/>
      <w:jc w:val="center"/>
    </w:pPr>
    <w:r>
      <w:t>_______________________________________________________________________________________________________________________________</w:t>
    </w:r>
  </w:p>
  <w:p w14:paraId="38E380ED" w14:textId="77777777" w:rsidR="00AA0AA1" w:rsidRDefault="00AA0AA1">
    <w:pPr>
      <w:pStyle w:val="Footer"/>
      <w:jc w:val="center"/>
    </w:pPr>
  </w:p>
  <w:sdt>
    <w:sdtPr>
      <w:id w:val="-707644711"/>
      <w:docPartObj>
        <w:docPartGallery w:val="Page Numbers (Bottom of Page)"/>
        <w:docPartUnique/>
      </w:docPartObj>
    </w:sdtPr>
    <w:sdtEndPr>
      <w:rPr>
        <w:noProof/>
      </w:rPr>
    </w:sdtEndPr>
    <w:sdtContent>
      <w:p w14:paraId="0AD5E223" w14:textId="77777777" w:rsidR="00AA0AA1" w:rsidRDefault="00AA0AA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51219F" w14:textId="77777777" w:rsidR="00AA0AA1" w:rsidRDefault="00AA0AA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A5C721" w14:textId="77777777" w:rsidR="00AA0AA1" w:rsidRDefault="00AA0AA1">
    <w:pPr>
      <w:pStyle w:val="Footer"/>
      <w:jc w:val="center"/>
    </w:pPr>
    <w:r>
      <w:t>__________________________________________________________________________________</w:t>
    </w:r>
  </w:p>
  <w:p w14:paraId="4CD505F8" w14:textId="77777777" w:rsidR="00AA0AA1" w:rsidRDefault="00AA0AA1">
    <w:pPr>
      <w:pStyle w:val="Footer"/>
      <w:jc w:val="center"/>
    </w:pPr>
  </w:p>
  <w:sdt>
    <w:sdtPr>
      <w:id w:val="-302854536"/>
      <w:docPartObj>
        <w:docPartGallery w:val="Page Numbers (Bottom of Page)"/>
        <w:docPartUnique/>
      </w:docPartObj>
    </w:sdtPr>
    <w:sdtEndPr>
      <w:rPr>
        <w:noProof/>
      </w:rPr>
    </w:sdtEndPr>
    <w:sdtContent>
      <w:p w14:paraId="2352D1CA" w14:textId="77777777" w:rsidR="00AA0AA1" w:rsidRDefault="00AA0AA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46EBEE" w14:textId="77777777" w:rsidR="00AA0AA1" w:rsidRDefault="00AA0AA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933681" w14:textId="2D06B097" w:rsidR="006D138F" w:rsidRDefault="006D138F">
    <w:pPr>
      <w:pStyle w:val="Footer"/>
      <w:jc w:val="center"/>
    </w:pPr>
    <w:r>
      <w:t>__________________________________________________________________________________</w:t>
    </w:r>
  </w:p>
  <w:p w14:paraId="2F9EBFD1" w14:textId="77777777" w:rsidR="006D138F" w:rsidRDefault="006D138F">
    <w:pPr>
      <w:pStyle w:val="Footer"/>
      <w:jc w:val="center"/>
    </w:pPr>
  </w:p>
  <w:sdt>
    <w:sdtPr>
      <w:id w:val="1884674393"/>
      <w:docPartObj>
        <w:docPartGallery w:val="Page Numbers (Bottom of Page)"/>
        <w:docPartUnique/>
      </w:docPartObj>
    </w:sdtPr>
    <w:sdtEndPr>
      <w:rPr>
        <w:noProof/>
      </w:rPr>
    </w:sdtEndPr>
    <w:sdtContent>
      <w:p w14:paraId="78317D4E" w14:textId="77777777" w:rsidR="006D138F" w:rsidRDefault="006D138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A10503" w14:textId="77777777" w:rsidR="006D138F" w:rsidRDefault="006D1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187FC3" w14:textId="77777777" w:rsidR="0005191E" w:rsidRDefault="0005191E" w:rsidP="006845B3">
      <w:pPr>
        <w:spacing w:after="0" w:line="240" w:lineRule="auto"/>
      </w:pPr>
      <w:r>
        <w:separator/>
      </w:r>
    </w:p>
  </w:footnote>
  <w:footnote w:type="continuationSeparator" w:id="0">
    <w:p w14:paraId="62420D0D" w14:textId="77777777" w:rsidR="0005191E" w:rsidRDefault="0005191E" w:rsidP="006845B3">
      <w:pPr>
        <w:spacing w:after="0" w:line="240" w:lineRule="auto"/>
      </w:pPr>
      <w:r>
        <w:continuationSeparator/>
      </w:r>
    </w:p>
  </w:footnote>
  <w:footnote w:id="1">
    <w:p w14:paraId="3E679E8B" w14:textId="60964F8B" w:rsidR="008D1528" w:rsidRPr="008D1528" w:rsidRDefault="008D1528">
      <w:pPr>
        <w:pStyle w:val="FootnoteText"/>
        <w:rPr>
          <w:rFonts w:asciiTheme="minorHAnsi" w:hAnsiTheme="minorHAnsi" w:cstheme="minorHAnsi"/>
          <w:lang w:val="fr-FR"/>
        </w:rPr>
      </w:pPr>
      <w:r w:rsidRPr="008D1528">
        <w:rPr>
          <w:rStyle w:val="FootnoteReference"/>
          <w:rFonts w:asciiTheme="minorHAnsi" w:hAnsiTheme="minorHAnsi" w:cstheme="minorHAnsi"/>
        </w:rPr>
        <w:t>*</w:t>
      </w:r>
      <w:r w:rsidRPr="008D1528">
        <w:rPr>
          <w:rFonts w:asciiTheme="minorHAnsi" w:hAnsiTheme="minorHAnsi" w:cstheme="minorHAnsi"/>
        </w:rPr>
        <w:t xml:space="preserve"> Senior Lecturer in Law, Sheffield Hallam University, UK. </w:t>
      </w:r>
      <w:r w:rsidRPr="008D1528">
        <w:rPr>
          <w:rFonts w:asciiTheme="minorHAnsi" w:hAnsiTheme="minorHAnsi" w:cstheme="minorHAnsi"/>
          <w:lang w:val="fr-FR"/>
        </w:rPr>
        <w:t xml:space="preserve">Email </w:t>
      </w:r>
      <w:hyperlink r:id="rId1" w:history="1">
        <w:r w:rsidRPr="008D1528">
          <w:rPr>
            <w:rStyle w:val="Hyperlink"/>
            <w:rFonts w:asciiTheme="minorHAnsi" w:hAnsiTheme="minorHAnsi" w:cstheme="minorHAnsi"/>
            <w:lang w:val="fr-FR"/>
          </w:rPr>
          <w:t>j.grace@shu.ac.uk</w:t>
        </w:r>
      </w:hyperlink>
      <w:r w:rsidRPr="008D1528">
        <w:rPr>
          <w:rFonts w:asciiTheme="minorHAnsi" w:hAnsiTheme="minorHAnsi" w:cstheme="minorHAnsi"/>
          <w:lang w:val="fr-FR"/>
        </w:rPr>
        <w:t xml:space="preserve">. </w:t>
      </w:r>
    </w:p>
  </w:footnote>
  <w:footnote w:id="2">
    <w:p w14:paraId="2D501865" w14:textId="2D421A99" w:rsidR="00754B5A" w:rsidRPr="00916E7D" w:rsidRDefault="00754B5A" w:rsidP="00057337">
      <w:pPr>
        <w:pStyle w:val="FootnoteText"/>
        <w:rPr>
          <w:rFonts w:asciiTheme="minorHAnsi" w:hAnsiTheme="minorHAnsi" w:cstheme="minorHAnsi"/>
        </w:rPr>
      </w:pPr>
      <w:r w:rsidRPr="00916E7D">
        <w:rPr>
          <w:rStyle w:val="FootnoteReference"/>
          <w:rFonts w:asciiTheme="minorHAnsi" w:hAnsiTheme="minorHAnsi" w:cstheme="minorHAnsi"/>
        </w:rPr>
        <w:footnoteRef/>
      </w:r>
      <w:r w:rsidRPr="00916E7D">
        <w:rPr>
          <w:rFonts w:asciiTheme="minorHAnsi" w:hAnsiTheme="minorHAnsi" w:cstheme="minorHAnsi"/>
        </w:rPr>
        <w:t xml:space="preserve"> The DVDS in England and Wales is now</w:t>
      </w:r>
      <w:r w:rsidR="0033507F" w:rsidRPr="00916E7D">
        <w:rPr>
          <w:rFonts w:asciiTheme="minorHAnsi" w:hAnsiTheme="minorHAnsi" w:cstheme="minorHAnsi"/>
        </w:rPr>
        <w:t xml:space="preserve"> </w:t>
      </w:r>
      <w:r w:rsidR="00605CA3" w:rsidRPr="00916E7D">
        <w:rPr>
          <w:rFonts w:asciiTheme="minorHAnsi" w:hAnsiTheme="minorHAnsi" w:cstheme="minorHAnsi"/>
        </w:rPr>
        <w:t>operated under</w:t>
      </w:r>
      <w:r w:rsidR="00F1223D" w:rsidRPr="00916E7D">
        <w:rPr>
          <w:rFonts w:asciiTheme="minorHAnsi" w:hAnsiTheme="minorHAnsi" w:cstheme="minorHAnsi"/>
        </w:rPr>
        <w:t xml:space="preserve"> </w:t>
      </w:r>
      <w:r w:rsidR="00183D69" w:rsidRPr="00916E7D">
        <w:rPr>
          <w:rFonts w:asciiTheme="minorHAnsi" w:hAnsiTheme="minorHAnsi" w:cstheme="minorHAnsi"/>
        </w:rPr>
        <w:t>statutory guidance</w:t>
      </w:r>
      <w:r w:rsidR="0033507F" w:rsidRPr="00916E7D">
        <w:rPr>
          <w:rFonts w:asciiTheme="minorHAnsi" w:hAnsiTheme="minorHAnsi" w:cstheme="minorHAnsi"/>
        </w:rPr>
        <w:t>, under Section 77 of the Domestic Abuse Act 2021.</w:t>
      </w:r>
    </w:p>
    <w:p w14:paraId="208C6410" w14:textId="77777777" w:rsidR="00057337" w:rsidRPr="00057337" w:rsidRDefault="00057337" w:rsidP="00057337">
      <w:pPr>
        <w:pStyle w:val="FootnoteText"/>
        <w:rPr>
          <w:rFonts w:ascii="Times New Roman" w:hAnsi="Times New Roman" w:cs="Times New Roman"/>
        </w:rPr>
      </w:pPr>
    </w:p>
  </w:footnote>
  <w:footnote w:id="3">
    <w:p w14:paraId="00130222" w14:textId="4D8782E2" w:rsidR="00057337" w:rsidRPr="003974E0" w:rsidRDefault="006845B3" w:rsidP="00057337">
      <w:pPr>
        <w:pStyle w:val="FootnoteText"/>
        <w:rPr>
          <w:rFonts w:asciiTheme="minorHAnsi" w:hAnsiTheme="minorHAnsi" w:cstheme="minorHAnsi"/>
        </w:rPr>
      </w:pPr>
      <w:r w:rsidRPr="003974E0">
        <w:rPr>
          <w:rStyle w:val="FootnoteReference"/>
          <w:rFonts w:asciiTheme="minorHAnsi" w:hAnsiTheme="minorHAnsi" w:cstheme="minorHAnsi"/>
        </w:rPr>
        <w:footnoteRef/>
      </w:r>
      <w:r w:rsidRPr="003974E0">
        <w:rPr>
          <w:rFonts w:asciiTheme="minorHAnsi" w:hAnsiTheme="minorHAnsi" w:cstheme="minorHAnsi"/>
        </w:rPr>
        <w:t xml:space="preserve"> HMICFRS, </w:t>
      </w:r>
      <w:r w:rsidRPr="003974E0">
        <w:rPr>
          <w:rFonts w:asciiTheme="minorHAnsi" w:hAnsiTheme="minorHAnsi" w:cstheme="minorHAnsi"/>
          <w:i/>
        </w:rPr>
        <w:t>Police response to violence against women and girls: Final inspection report</w:t>
      </w:r>
      <w:r w:rsidRPr="003974E0">
        <w:rPr>
          <w:rFonts w:asciiTheme="minorHAnsi" w:hAnsiTheme="minorHAnsi" w:cstheme="minorHAnsi"/>
        </w:rPr>
        <w:t>, 17 September 2021</w:t>
      </w:r>
      <w:r w:rsidR="00F1223D" w:rsidRPr="003974E0">
        <w:rPr>
          <w:rFonts w:asciiTheme="minorHAnsi" w:hAnsiTheme="minorHAnsi" w:cstheme="minorHAnsi"/>
        </w:rPr>
        <w:t>.</w:t>
      </w:r>
    </w:p>
  </w:footnote>
  <w:footnote w:id="4">
    <w:p w14:paraId="29824F52" w14:textId="25FD19F3" w:rsidR="00057337" w:rsidRPr="003974E0" w:rsidRDefault="006845B3" w:rsidP="00057337">
      <w:pPr>
        <w:pStyle w:val="FootnoteText"/>
        <w:rPr>
          <w:rFonts w:asciiTheme="minorHAnsi" w:hAnsiTheme="minorHAnsi" w:cstheme="minorHAnsi"/>
        </w:rPr>
      </w:pPr>
      <w:r w:rsidRPr="003974E0">
        <w:rPr>
          <w:rStyle w:val="FootnoteReference"/>
          <w:rFonts w:asciiTheme="minorHAnsi" w:hAnsiTheme="minorHAnsi" w:cstheme="minorHAnsi"/>
        </w:rPr>
        <w:footnoteRef/>
      </w:r>
      <w:r w:rsidRPr="003974E0">
        <w:rPr>
          <w:rFonts w:asciiTheme="minorHAnsi" w:hAnsiTheme="minorHAnsi" w:cstheme="minorHAnsi"/>
        </w:rPr>
        <w:t xml:space="preserve"> </w:t>
      </w:r>
      <w:r w:rsidR="002939E7" w:rsidRPr="003974E0">
        <w:rPr>
          <w:rFonts w:asciiTheme="minorHAnsi" w:hAnsiTheme="minorHAnsi" w:cstheme="minorHAnsi"/>
        </w:rPr>
        <w:t xml:space="preserve">See: </w:t>
      </w:r>
      <w:hyperlink r:id="rId2" w:history="1">
        <w:r w:rsidR="005C79AA" w:rsidRPr="003974E0">
          <w:rPr>
            <w:rStyle w:val="Hyperlink"/>
            <w:rFonts w:asciiTheme="minorHAnsi" w:hAnsiTheme="minorHAnsi" w:cstheme="minorHAnsi"/>
          </w:rPr>
          <w:t>https://www.tyla.com/entertaining/tv-and-film-clares-law-coronation-street-yasmeen-nazir-geoff-metcalfe-storyline-20200317</w:t>
        </w:r>
      </w:hyperlink>
      <w:r w:rsidR="005C79AA" w:rsidRPr="003974E0">
        <w:rPr>
          <w:rFonts w:asciiTheme="minorHAnsi" w:hAnsiTheme="minorHAnsi" w:cstheme="minorHAnsi"/>
        </w:rPr>
        <w:t xml:space="preserve"> </w:t>
      </w:r>
    </w:p>
  </w:footnote>
  <w:footnote w:id="5">
    <w:p w14:paraId="694A051C" w14:textId="35AA4FAA" w:rsidR="00057337" w:rsidRPr="003974E0" w:rsidRDefault="006845B3" w:rsidP="00057337">
      <w:pPr>
        <w:pStyle w:val="FootnoteText"/>
        <w:rPr>
          <w:rFonts w:asciiTheme="minorHAnsi" w:hAnsiTheme="minorHAnsi" w:cstheme="minorHAnsi"/>
        </w:rPr>
      </w:pPr>
      <w:r w:rsidRPr="003974E0">
        <w:rPr>
          <w:rStyle w:val="FootnoteReference"/>
          <w:rFonts w:asciiTheme="minorHAnsi" w:hAnsiTheme="minorHAnsi" w:cstheme="minorHAnsi"/>
        </w:rPr>
        <w:footnoteRef/>
      </w:r>
      <w:r w:rsidR="005C79AA" w:rsidRPr="003974E0">
        <w:rPr>
          <w:rFonts w:asciiTheme="minorHAnsi" w:hAnsiTheme="minorHAnsi" w:cstheme="minorHAnsi"/>
        </w:rPr>
        <w:t xml:space="preserve"> See:</w:t>
      </w:r>
      <w:r w:rsidRPr="003974E0">
        <w:rPr>
          <w:rFonts w:asciiTheme="minorHAnsi" w:hAnsiTheme="minorHAnsi" w:cstheme="minorHAnsi"/>
        </w:rPr>
        <w:t xml:space="preserve"> </w:t>
      </w:r>
      <w:hyperlink r:id="rId3" w:history="1">
        <w:r w:rsidRPr="003974E0">
          <w:rPr>
            <w:rStyle w:val="Hyperlink"/>
            <w:rFonts w:asciiTheme="minorHAnsi" w:hAnsiTheme="minorHAnsi" w:cstheme="minorHAnsi"/>
          </w:rPr>
          <w:t>https://www.theguardian.com/society/2021/aug/25/domestic-abusers-weaponised-covid-england-wales-study-finds</w:t>
        </w:r>
      </w:hyperlink>
      <w:r w:rsidRPr="003974E0">
        <w:rPr>
          <w:rFonts w:asciiTheme="minorHAnsi" w:hAnsiTheme="minorHAnsi" w:cstheme="minorHAnsi"/>
        </w:rPr>
        <w:t> </w:t>
      </w:r>
    </w:p>
  </w:footnote>
  <w:footnote w:id="6">
    <w:p w14:paraId="6946EC43" w14:textId="4BBA4D65" w:rsidR="006845B3" w:rsidRPr="003974E0" w:rsidRDefault="006845B3" w:rsidP="00A454B7">
      <w:pPr>
        <w:spacing w:after="0" w:line="240" w:lineRule="auto"/>
        <w:rPr>
          <w:rFonts w:asciiTheme="minorHAnsi" w:hAnsiTheme="minorHAnsi" w:cstheme="minorHAnsi"/>
          <w:sz w:val="20"/>
          <w:szCs w:val="20"/>
        </w:rPr>
      </w:pPr>
      <w:r w:rsidRPr="003974E0">
        <w:rPr>
          <w:rStyle w:val="FootnoteReference"/>
          <w:rFonts w:asciiTheme="minorHAnsi" w:hAnsiTheme="minorHAnsi" w:cstheme="minorHAnsi"/>
          <w:sz w:val="20"/>
          <w:szCs w:val="20"/>
        </w:rPr>
        <w:footnoteRef/>
      </w:r>
      <w:r w:rsidRPr="003974E0">
        <w:rPr>
          <w:rFonts w:asciiTheme="minorHAnsi" w:hAnsiTheme="minorHAnsi" w:cstheme="minorHAnsi"/>
          <w:sz w:val="20"/>
          <w:szCs w:val="20"/>
        </w:rPr>
        <w:t xml:space="preserve"> </w:t>
      </w:r>
      <w:r w:rsidR="00A454B7">
        <w:rPr>
          <w:rFonts w:asciiTheme="minorHAnsi" w:hAnsiTheme="minorHAnsi" w:cstheme="minorHAnsi"/>
          <w:sz w:val="20"/>
          <w:szCs w:val="20"/>
        </w:rPr>
        <w:t>I</w:t>
      </w:r>
      <w:r w:rsidR="009F641D" w:rsidRPr="003974E0">
        <w:rPr>
          <w:rFonts w:asciiTheme="minorHAnsi" w:hAnsiTheme="minorHAnsi" w:cstheme="minorHAnsi"/>
          <w:sz w:val="20"/>
          <w:szCs w:val="20"/>
        </w:rPr>
        <w:t xml:space="preserve">n Jersey, see: </w:t>
      </w:r>
      <w:hyperlink r:id="rId4" w:history="1">
        <w:r w:rsidR="009F641D" w:rsidRPr="003974E0">
          <w:rPr>
            <w:rStyle w:val="Hyperlink"/>
            <w:rFonts w:asciiTheme="minorHAnsi" w:hAnsiTheme="minorHAnsi" w:cstheme="minorHAnsi"/>
            <w:sz w:val="20"/>
            <w:szCs w:val="20"/>
          </w:rPr>
          <w:t>https://jerseyeveningpost.com/news/2021/10/12/law-aims-to-tackle-domestic-violence/</w:t>
        </w:r>
      </w:hyperlink>
      <w:r w:rsidR="00A454B7">
        <w:rPr>
          <w:rFonts w:asciiTheme="minorHAnsi" w:hAnsiTheme="minorHAnsi" w:cstheme="minorHAnsi"/>
          <w:sz w:val="20"/>
          <w:szCs w:val="20"/>
        </w:rPr>
        <w:t xml:space="preserve">. </w:t>
      </w:r>
      <w:r w:rsidR="009F641D" w:rsidRPr="003974E0">
        <w:rPr>
          <w:rFonts w:asciiTheme="minorHAnsi" w:hAnsiTheme="minorHAnsi" w:cstheme="minorHAnsi"/>
          <w:sz w:val="20"/>
          <w:szCs w:val="20"/>
        </w:rPr>
        <w:t xml:space="preserve">In Canada, see: </w:t>
      </w:r>
      <w:hyperlink r:id="rId5" w:history="1">
        <w:r w:rsidR="009F641D" w:rsidRPr="003974E0">
          <w:rPr>
            <w:rStyle w:val="Hyperlink"/>
            <w:rFonts w:asciiTheme="minorHAnsi" w:hAnsiTheme="minorHAnsi" w:cstheme="minorHAnsi"/>
            <w:sz w:val="20"/>
            <w:szCs w:val="20"/>
          </w:rPr>
          <w:t>https://edmontonjournal.com/news/local-news/alberta-clares-law-applications-privacy</w:t>
        </w:r>
      </w:hyperlink>
      <w:r w:rsidR="00A454B7">
        <w:rPr>
          <w:rFonts w:asciiTheme="minorHAnsi" w:hAnsiTheme="minorHAnsi" w:cstheme="minorHAnsi"/>
          <w:sz w:val="20"/>
          <w:szCs w:val="20"/>
        </w:rPr>
        <w:t xml:space="preserve">. </w:t>
      </w:r>
      <w:r w:rsidR="009F641D" w:rsidRPr="003974E0">
        <w:rPr>
          <w:rFonts w:asciiTheme="minorHAnsi" w:hAnsiTheme="minorHAnsi" w:cstheme="minorHAnsi"/>
          <w:sz w:val="20"/>
          <w:szCs w:val="20"/>
        </w:rPr>
        <w:t xml:space="preserve">In South Australia, see: </w:t>
      </w:r>
      <w:hyperlink r:id="rId6" w:history="1">
        <w:r w:rsidR="00926899" w:rsidRPr="003974E0">
          <w:rPr>
            <w:rStyle w:val="Hyperlink"/>
            <w:rFonts w:asciiTheme="minorHAnsi" w:hAnsiTheme="minorHAnsi" w:cstheme="minorHAnsi"/>
            <w:sz w:val="20"/>
            <w:szCs w:val="20"/>
          </w:rPr>
          <w:t>https://www.premier.sa.gov.au/news/media-releases/news/dv-disclosure-scheme-records-milestone</w:t>
        </w:r>
      </w:hyperlink>
      <w:r w:rsidR="00A454B7">
        <w:rPr>
          <w:rFonts w:asciiTheme="minorHAnsi" w:hAnsiTheme="minorHAnsi" w:cstheme="minorHAnsi"/>
          <w:sz w:val="20"/>
          <w:szCs w:val="20"/>
        </w:rPr>
        <w:t>.</w:t>
      </w:r>
    </w:p>
  </w:footnote>
  <w:footnote w:id="7">
    <w:p w14:paraId="59AF055C" w14:textId="213645E9" w:rsidR="00057337" w:rsidRPr="00A454B7" w:rsidRDefault="00D93FD5" w:rsidP="00057337">
      <w:pPr>
        <w:pStyle w:val="FootnoteText"/>
        <w:rPr>
          <w:rFonts w:asciiTheme="minorHAnsi" w:hAnsiTheme="minorHAnsi" w:cstheme="minorHAnsi"/>
          <w:color w:val="222222"/>
          <w:shd w:val="clear" w:color="auto" w:fill="FFFFFF"/>
        </w:rPr>
      </w:pPr>
      <w:r w:rsidRPr="00A454B7">
        <w:rPr>
          <w:rStyle w:val="FootnoteReference"/>
          <w:rFonts w:asciiTheme="minorHAnsi" w:hAnsiTheme="minorHAnsi" w:cstheme="minorHAnsi"/>
        </w:rPr>
        <w:footnoteRef/>
      </w:r>
      <w:r w:rsidRPr="00A454B7">
        <w:rPr>
          <w:rFonts w:asciiTheme="minorHAnsi" w:hAnsiTheme="minorHAnsi" w:cstheme="minorHAnsi"/>
        </w:rPr>
        <w:t xml:space="preserve"> </w:t>
      </w:r>
      <w:r w:rsidR="00926899" w:rsidRPr="00A454B7">
        <w:rPr>
          <w:rFonts w:asciiTheme="minorHAnsi" w:hAnsiTheme="minorHAnsi" w:cstheme="minorHAnsi"/>
        </w:rPr>
        <w:t xml:space="preserve">My 2021 book on Domestic Abuse Disclosure Schemes globally </w:t>
      </w:r>
      <w:r w:rsidR="00582D2F" w:rsidRPr="00A454B7">
        <w:rPr>
          <w:rFonts w:asciiTheme="minorHAnsi" w:hAnsiTheme="minorHAnsi" w:cstheme="minorHAnsi"/>
        </w:rPr>
        <w:t xml:space="preserve">reviews the evidence for and against the policy adoption of such Schemes. See </w:t>
      </w:r>
      <w:r w:rsidR="004506B5" w:rsidRPr="00A454B7">
        <w:rPr>
          <w:rFonts w:asciiTheme="minorHAnsi" w:hAnsiTheme="minorHAnsi" w:cstheme="minorHAnsi"/>
          <w:color w:val="222222"/>
          <w:shd w:val="clear" w:color="auto" w:fill="FFFFFF"/>
        </w:rPr>
        <w:t>Jamie</w:t>
      </w:r>
      <w:r w:rsidR="00BA438D" w:rsidRPr="00A454B7">
        <w:rPr>
          <w:rFonts w:asciiTheme="minorHAnsi" w:hAnsiTheme="minorHAnsi" w:cstheme="minorHAnsi"/>
          <w:color w:val="222222"/>
          <w:shd w:val="clear" w:color="auto" w:fill="FFFFFF"/>
        </w:rPr>
        <w:t xml:space="preserve"> Grace</w:t>
      </w:r>
      <w:r w:rsidR="004506B5" w:rsidRPr="00A454B7">
        <w:rPr>
          <w:rFonts w:asciiTheme="minorHAnsi" w:hAnsiTheme="minorHAnsi" w:cstheme="minorHAnsi"/>
          <w:color w:val="222222"/>
          <w:shd w:val="clear" w:color="auto" w:fill="FFFFFF"/>
        </w:rPr>
        <w:t>. </w:t>
      </w:r>
      <w:r w:rsidR="004506B5" w:rsidRPr="00A454B7">
        <w:rPr>
          <w:rFonts w:asciiTheme="minorHAnsi" w:hAnsiTheme="minorHAnsi" w:cstheme="minorHAnsi"/>
          <w:i/>
          <w:iCs/>
          <w:color w:val="222222"/>
          <w:shd w:val="clear" w:color="auto" w:fill="FFFFFF"/>
        </w:rPr>
        <w:t xml:space="preserve">Domestic </w:t>
      </w:r>
      <w:r w:rsidR="00C62122">
        <w:rPr>
          <w:rFonts w:asciiTheme="minorHAnsi" w:hAnsiTheme="minorHAnsi" w:cstheme="minorHAnsi"/>
          <w:i/>
          <w:iCs/>
          <w:color w:val="222222"/>
          <w:shd w:val="clear" w:color="auto" w:fill="FFFFFF"/>
        </w:rPr>
        <w:t>a</w:t>
      </w:r>
      <w:r w:rsidR="004506B5" w:rsidRPr="00A454B7">
        <w:rPr>
          <w:rFonts w:asciiTheme="minorHAnsi" w:hAnsiTheme="minorHAnsi" w:cstheme="minorHAnsi"/>
          <w:i/>
          <w:iCs/>
          <w:color w:val="222222"/>
          <w:shd w:val="clear" w:color="auto" w:fill="FFFFFF"/>
        </w:rPr>
        <w:t>buse</w:t>
      </w:r>
      <w:r w:rsidR="00C62122">
        <w:rPr>
          <w:rFonts w:asciiTheme="minorHAnsi" w:hAnsiTheme="minorHAnsi" w:cstheme="minorHAnsi"/>
          <w:i/>
          <w:iCs/>
          <w:color w:val="222222"/>
          <w:shd w:val="clear" w:color="auto" w:fill="FFFFFF"/>
        </w:rPr>
        <w:t xml:space="preserve"> d</w:t>
      </w:r>
      <w:r w:rsidR="004506B5" w:rsidRPr="00A454B7">
        <w:rPr>
          <w:rFonts w:asciiTheme="minorHAnsi" w:hAnsiTheme="minorHAnsi" w:cstheme="minorHAnsi"/>
          <w:i/>
          <w:iCs/>
          <w:color w:val="222222"/>
          <w:shd w:val="clear" w:color="auto" w:fill="FFFFFF"/>
        </w:rPr>
        <w:t xml:space="preserve">isclosure </w:t>
      </w:r>
      <w:r w:rsidR="00C62122">
        <w:rPr>
          <w:rFonts w:asciiTheme="minorHAnsi" w:hAnsiTheme="minorHAnsi" w:cstheme="minorHAnsi"/>
          <w:i/>
          <w:iCs/>
          <w:color w:val="222222"/>
          <w:shd w:val="clear" w:color="auto" w:fill="FFFFFF"/>
        </w:rPr>
        <w:t>s</w:t>
      </w:r>
      <w:r w:rsidR="004506B5" w:rsidRPr="00A454B7">
        <w:rPr>
          <w:rFonts w:asciiTheme="minorHAnsi" w:hAnsiTheme="minorHAnsi" w:cstheme="minorHAnsi"/>
          <w:i/>
          <w:iCs/>
          <w:color w:val="222222"/>
          <w:shd w:val="clear" w:color="auto" w:fill="FFFFFF"/>
        </w:rPr>
        <w:t xml:space="preserve">chemes: Problems with </w:t>
      </w:r>
      <w:r w:rsidR="00C62122">
        <w:rPr>
          <w:rFonts w:asciiTheme="minorHAnsi" w:hAnsiTheme="minorHAnsi" w:cstheme="minorHAnsi"/>
          <w:i/>
          <w:iCs/>
          <w:color w:val="222222"/>
          <w:shd w:val="clear" w:color="auto" w:fill="FFFFFF"/>
        </w:rPr>
        <w:t>p</w:t>
      </w:r>
      <w:r w:rsidR="004506B5" w:rsidRPr="00A454B7">
        <w:rPr>
          <w:rFonts w:asciiTheme="minorHAnsi" w:hAnsiTheme="minorHAnsi" w:cstheme="minorHAnsi"/>
          <w:i/>
          <w:iCs/>
          <w:color w:val="222222"/>
          <w:shd w:val="clear" w:color="auto" w:fill="FFFFFF"/>
        </w:rPr>
        <w:t xml:space="preserve">olicy, </w:t>
      </w:r>
      <w:r w:rsidR="00C62122">
        <w:rPr>
          <w:rFonts w:asciiTheme="minorHAnsi" w:hAnsiTheme="minorHAnsi" w:cstheme="minorHAnsi"/>
          <w:i/>
          <w:iCs/>
          <w:color w:val="222222"/>
          <w:shd w:val="clear" w:color="auto" w:fill="FFFFFF"/>
        </w:rPr>
        <w:t>r</w:t>
      </w:r>
      <w:r w:rsidR="004506B5" w:rsidRPr="00A454B7">
        <w:rPr>
          <w:rFonts w:asciiTheme="minorHAnsi" w:hAnsiTheme="minorHAnsi" w:cstheme="minorHAnsi"/>
          <w:i/>
          <w:iCs/>
          <w:color w:val="222222"/>
          <w:shd w:val="clear" w:color="auto" w:fill="FFFFFF"/>
        </w:rPr>
        <w:t xml:space="preserve">egulation and </w:t>
      </w:r>
      <w:r w:rsidR="00C62122">
        <w:rPr>
          <w:rFonts w:asciiTheme="minorHAnsi" w:hAnsiTheme="minorHAnsi" w:cstheme="minorHAnsi"/>
          <w:i/>
          <w:iCs/>
          <w:color w:val="222222"/>
          <w:shd w:val="clear" w:color="auto" w:fill="FFFFFF"/>
        </w:rPr>
        <w:t>l</w:t>
      </w:r>
      <w:r w:rsidR="004506B5" w:rsidRPr="00A454B7">
        <w:rPr>
          <w:rFonts w:asciiTheme="minorHAnsi" w:hAnsiTheme="minorHAnsi" w:cstheme="minorHAnsi"/>
          <w:i/>
          <w:iCs/>
          <w:color w:val="222222"/>
          <w:shd w:val="clear" w:color="auto" w:fill="FFFFFF"/>
        </w:rPr>
        <w:t>egality</w:t>
      </w:r>
      <w:r w:rsidR="00F60668">
        <w:rPr>
          <w:rFonts w:asciiTheme="minorHAnsi" w:hAnsiTheme="minorHAnsi" w:cstheme="minorHAnsi"/>
          <w:color w:val="222222"/>
          <w:shd w:val="clear" w:color="auto" w:fill="FFFFFF"/>
        </w:rPr>
        <w:t>,</w:t>
      </w:r>
      <w:r w:rsidR="004506B5" w:rsidRPr="00A454B7">
        <w:rPr>
          <w:rFonts w:asciiTheme="minorHAnsi" w:hAnsiTheme="minorHAnsi" w:cstheme="minorHAnsi"/>
          <w:color w:val="222222"/>
          <w:shd w:val="clear" w:color="auto" w:fill="FFFFFF"/>
        </w:rPr>
        <w:t xml:space="preserve"> Springer Nature, 2021.</w:t>
      </w:r>
    </w:p>
  </w:footnote>
  <w:footnote w:id="8">
    <w:p w14:paraId="47CF34F2" w14:textId="2863CBD8" w:rsidR="00057337" w:rsidRPr="006D138F" w:rsidRDefault="00DB5173" w:rsidP="00057337">
      <w:pPr>
        <w:pStyle w:val="FootnoteText"/>
        <w:rPr>
          <w:rFonts w:asciiTheme="minorHAnsi" w:hAnsiTheme="minorHAnsi" w:cstheme="minorHAnsi"/>
        </w:rPr>
      </w:pPr>
      <w:r w:rsidRPr="00A454B7">
        <w:rPr>
          <w:rStyle w:val="FootnoteReference"/>
          <w:rFonts w:asciiTheme="minorHAnsi" w:hAnsiTheme="minorHAnsi" w:cstheme="minorHAnsi"/>
        </w:rPr>
        <w:footnoteRef/>
      </w:r>
      <w:r w:rsidRPr="00A454B7">
        <w:rPr>
          <w:rFonts w:asciiTheme="minorHAnsi" w:hAnsiTheme="minorHAnsi" w:cstheme="minorHAnsi"/>
        </w:rPr>
        <w:t xml:space="preserve"> </w:t>
      </w:r>
      <w:r w:rsidRPr="00A454B7">
        <w:rPr>
          <w:rFonts w:asciiTheme="minorHAnsi" w:hAnsiTheme="minorHAnsi" w:cstheme="minorHAnsi"/>
          <w:i/>
          <w:iCs/>
        </w:rPr>
        <w:t>Ibid</w:t>
      </w:r>
      <w:r w:rsidRPr="00A454B7">
        <w:rPr>
          <w:rFonts w:asciiTheme="minorHAnsi" w:hAnsiTheme="minorHAnsi" w:cstheme="minorHAnsi"/>
        </w:rPr>
        <w:t xml:space="preserve"> at 142.</w:t>
      </w:r>
    </w:p>
  </w:footnote>
  <w:footnote w:id="9">
    <w:p w14:paraId="6EA22C6D" w14:textId="5610ACB0" w:rsidR="00057337" w:rsidRPr="009B2199" w:rsidRDefault="00C42318" w:rsidP="00057337">
      <w:pPr>
        <w:pStyle w:val="FootnoteText"/>
        <w:rPr>
          <w:rFonts w:asciiTheme="minorHAnsi" w:hAnsiTheme="minorHAnsi" w:cstheme="minorHAnsi"/>
        </w:rPr>
      </w:pPr>
      <w:r w:rsidRPr="009B2199">
        <w:rPr>
          <w:rStyle w:val="FootnoteReference"/>
          <w:rFonts w:asciiTheme="minorHAnsi" w:hAnsiTheme="minorHAnsi" w:cstheme="minorHAnsi"/>
        </w:rPr>
        <w:footnoteRef/>
      </w:r>
      <w:r w:rsidRPr="009B2199">
        <w:rPr>
          <w:rFonts w:asciiTheme="minorHAnsi" w:hAnsiTheme="minorHAnsi" w:cstheme="minorHAnsi"/>
        </w:rPr>
        <w:t xml:space="preserve"> </w:t>
      </w:r>
      <w:r w:rsidRPr="009B2199">
        <w:rPr>
          <w:rFonts w:asciiTheme="minorHAnsi" w:hAnsiTheme="minorHAnsi" w:cstheme="minorHAnsi"/>
          <w:i/>
          <w:iCs/>
        </w:rPr>
        <w:t>Ibid</w:t>
      </w:r>
      <w:r w:rsidRPr="009B2199">
        <w:rPr>
          <w:rFonts w:asciiTheme="minorHAnsi" w:hAnsiTheme="minorHAnsi" w:cstheme="minorHAnsi"/>
        </w:rPr>
        <w:t xml:space="preserve"> at 168. </w:t>
      </w:r>
    </w:p>
  </w:footnote>
  <w:footnote w:id="10">
    <w:p w14:paraId="3A17ED4D" w14:textId="0EDC0515" w:rsidR="004F3AD6" w:rsidRPr="009B2199" w:rsidRDefault="004F3AD6">
      <w:pPr>
        <w:pStyle w:val="FootnoteText"/>
        <w:rPr>
          <w:rFonts w:asciiTheme="minorHAnsi" w:hAnsiTheme="minorHAnsi" w:cstheme="minorHAnsi"/>
        </w:rPr>
      </w:pPr>
      <w:r w:rsidRPr="009B2199">
        <w:rPr>
          <w:rStyle w:val="FootnoteReference"/>
          <w:rFonts w:asciiTheme="minorHAnsi" w:hAnsiTheme="minorHAnsi" w:cstheme="minorHAnsi"/>
        </w:rPr>
        <w:footnoteRef/>
      </w:r>
      <w:r w:rsidRPr="009B2199">
        <w:rPr>
          <w:rFonts w:asciiTheme="minorHAnsi" w:hAnsiTheme="minorHAnsi" w:cstheme="minorHAnsi"/>
        </w:rPr>
        <w:t xml:space="preserve"> </w:t>
      </w:r>
      <w:r w:rsidR="00D45D75" w:rsidRPr="009B2199">
        <w:rPr>
          <w:rFonts w:asciiTheme="minorHAnsi" w:hAnsiTheme="minorHAnsi" w:cstheme="minorHAnsi"/>
          <w:i/>
          <w:iCs/>
        </w:rPr>
        <w:t xml:space="preserve">WU v BU </w:t>
      </w:r>
      <w:r w:rsidR="00D45D75" w:rsidRPr="009B2199">
        <w:rPr>
          <w:rFonts w:asciiTheme="minorHAnsi" w:hAnsiTheme="minorHAnsi" w:cstheme="minorHAnsi"/>
        </w:rPr>
        <w:t>[2021] EW</w:t>
      </w:r>
      <w:r w:rsidR="009B2199" w:rsidRPr="009B2199">
        <w:rPr>
          <w:rFonts w:asciiTheme="minorHAnsi" w:hAnsiTheme="minorHAnsi" w:cstheme="minorHAnsi"/>
        </w:rPr>
        <w:t xml:space="preserve">COP 54 </w:t>
      </w:r>
      <w:r w:rsidR="005371A7">
        <w:rPr>
          <w:rFonts w:asciiTheme="minorHAnsi" w:hAnsiTheme="minorHAnsi" w:cstheme="minorHAnsi"/>
        </w:rPr>
        <w:t xml:space="preserve">at </w:t>
      </w:r>
      <w:r w:rsidR="009B2199" w:rsidRPr="009B2199">
        <w:rPr>
          <w:rFonts w:asciiTheme="minorHAnsi" w:hAnsiTheme="minorHAnsi" w:cstheme="minorHAnsi"/>
        </w:rPr>
        <w:t>[29].</w:t>
      </w:r>
    </w:p>
  </w:footnote>
  <w:footnote w:id="11">
    <w:p w14:paraId="6A892D83" w14:textId="7E219592" w:rsidR="00C73F98" w:rsidRPr="00996006" w:rsidRDefault="00C73F98">
      <w:pPr>
        <w:pStyle w:val="FootnoteText"/>
        <w:rPr>
          <w:rFonts w:asciiTheme="minorHAnsi" w:hAnsiTheme="minorHAnsi" w:cstheme="minorHAnsi"/>
        </w:rPr>
      </w:pPr>
      <w:r w:rsidRPr="00996006">
        <w:rPr>
          <w:rStyle w:val="FootnoteReference"/>
          <w:rFonts w:asciiTheme="minorHAnsi" w:hAnsiTheme="minorHAnsi" w:cstheme="minorHAnsi"/>
        </w:rPr>
        <w:footnoteRef/>
      </w:r>
      <w:r w:rsidRPr="00996006">
        <w:rPr>
          <w:rFonts w:asciiTheme="minorHAnsi" w:hAnsiTheme="minorHAnsi" w:cstheme="minorHAnsi"/>
        </w:rPr>
        <w:t xml:space="preserve"> </w:t>
      </w:r>
      <w:r w:rsidR="00996006" w:rsidRPr="00684A5A">
        <w:rPr>
          <w:rFonts w:asciiTheme="minorHAnsi" w:hAnsiTheme="minorHAnsi" w:cstheme="minorHAnsi"/>
          <w:i/>
          <w:iCs/>
        </w:rPr>
        <w:t>Ibid</w:t>
      </w:r>
      <w:r w:rsidR="00996006" w:rsidRPr="00996006">
        <w:rPr>
          <w:rFonts w:asciiTheme="minorHAnsi" w:hAnsiTheme="minorHAnsi" w:cstheme="minorHAnsi"/>
        </w:rPr>
        <w:t xml:space="preserve"> </w:t>
      </w:r>
      <w:r w:rsidR="005371A7">
        <w:rPr>
          <w:rFonts w:asciiTheme="minorHAnsi" w:hAnsiTheme="minorHAnsi" w:cstheme="minorHAnsi"/>
        </w:rPr>
        <w:t xml:space="preserve">at </w:t>
      </w:r>
      <w:r w:rsidR="00996006" w:rsidRPr="00996006">
        <w:rPr>
          <w:rFonts w:asciiTheme="minorHAnsi" w:hAnsiTheme="minorHAnsi" w:cstheme="minorHAnsi"/>
        </w:rPr>
        <w:t>[90].</w:t>
      </w:r>
    </w:p>
  </w:footnote>
  <w:footnote w:id="12">
    <w:p w14:paraId="62D96912" w14:textId="668A5828" w:rsidR="00722807" w:rsidRPr="002C430C" w:rsidRDefault="00722807" w:rsidP="00057337">
      <w:pPr>
        <w:pStyle w:val="FootnoteText"/>
        <w:rPr>
          <w:rFonts w:asciiTheme="minorHAnsi" w:hAnsiTheme="minorHAnsi" w:cstheme="minorHAnsi"/>
        </w:rPr>
      </w:pPr>
      <w:r w:rsidRPr="002C430C">
        <w:rPr>
          <w:rStyle w:val="FootnoteReference"/>
          <w:rFonts w:asciiTheme="minorHAnsi" w:hAnsiTheme="minorHAnsi" w:cstheme="minorHAnsi"/>
        </w:rPr>
        <w:footnoteRef/>
      </w:r>
      <w:r w:rsidRPr="002C430C">
        <w:rPr>
          <w:rFonts w:asciiTheme="minorHAnsi" w:hAnsiTheme="minorHAnsi" w:cstheme="minorHAnsi"/>
        </w:rPr>
        <w:t xml:space="preserve"> </w:t>
      </w:r>
      <w:r w:rsidR="00C87CA5" w:rsidRPr="002C430C">
        <w:rPr>
          <w:rFonts w:asciiTheme="minorHAnsi" w:hAnsiTheme="minorHAnsi" w:cstheme="minorHAnsi"/>
        </w:rPr>
        <w:t xml:space="preserve">See: </w:t>
      </w:r>
      <w:hyperlink r:id="rId7" w:anchor="contribution-46A3759F-2A9B-4F56-990E-9F75CBABBE58" w:history="1">
        <w:r w:rsidR="00554FA6" w:rsidRPr="002C430C">
          <w:rPr>
            <w:rStyle w:val="Hyperlink"/>
            <w:rFonts w:asciiTheme="minorHAnsi" w:hAnsiTheme="minorHAnsi" w:cstheme="minorHAnsi"/>
          </w:rPr>
          <w:t>https://hansard.parliament.uk/Commons/2020-06-11/debates/2b88e3cc-6f84-42a0-a440-136bbc9fbe0b/DomesticAbuseBill(EighthSitting)?highlight=disclosure%20proportionate#contribution-46A3759F-2A9B-4F56-990E-9F75CBABBE58</w:t>
        </w:r>
      </w:hyperlink>
      <w:r w:rsidR="00554FA6" w:rsidRPr="002C430C">
        <w:rPr>
          <w:rFonts w:asciiTheme="minorHAnsi" w:hAnsiTheme="minorHAnsi" w:cstheme="minorHAnsi"/>
        </w:rPr>
        <w:t xml:space="preserve"> </w:t>
      </w:r>
    </w:p>
  </w:footnote>
  <w:footnote w:id="13">
    <w:p w14:paraId="774319EE" w14:textId="3F7BCB74" w:rsidR="00700B41" w:rsidRPr="002C430C" w:rsidRDefault="00700B41" w:rsidP="00057337">
      <w:pPr>
        <w:pStyle w:val="FootnoteText"/>
        <w:rPr>
          <w:rFonts w:asciiTheme="minorHAnsi" w:hAnsiTheme="minorHAnsi" w:cstheme="minorHAnsi"/>
          <w:lang w:val="fr-FR"/>
        </w:rPr>
      </w:pPr>
      <w:r w:rsidRPr="002C430C">
        <w:rPr>
          <w:rStyle w:val="FootnoteReference"/>
          <w:rFonts w:asciiTheme="minorHAnsi" w:hAnsiTheme="minorHAnsi" w:cstheme="minorHAnsi"/>
        </w:rPr>
        <w:footnoteRef/>
      </w:r>
      <w:r w:rsidR="00CB3CBD">
        <w:rPr>
          <w:rFonts w:asciiTheme="minorHAnsi" w:hAnsiTheme="minorHAnsi" w:cstheme="minorHAnsi"/>
          <w:lang w:val="fr-FR"/>
        </w:rPr>
        <w:t xml:space="preserve"> </w:t>
      </w:r>
      <w:r w:rsidR="002C430C">
        <w:rPr>
          <w:rFonts w:asciiTheme="minorHAnsi" w:hAnsiTheme="minorHAnsi" w:cstheme="minorHAnsi"/>
          <w:lang w:val="fr-FR"/>
        </w:rPr>
        <w:t>Grace (</w:t>
      </w:r>
      <w:r w:rsidR="00D32195" w:rsidRPr="002C430C">
        <w:rPr>
          <w:rFonts w:asciiTheme="minorHAnsi" w:hAnsiTheme="minorHAnsi" w:cstheme="minorHAnsi"/>
          <w:lang w:val="fr-FR"/>
        </w:rPr>
        <w:t>n 6</w:t>
      </w:r>
      <w:r w:rsidR="00CB3CBD">
        <w:rPr>
          <w:rFonts w:asciiTheme="minorHAnsi" w:hAnsiTheme="minorHAnsi" w:cstheme="minorHAnsi"/>
          <w:lang w:val="fr-FR"/>
        </w:rPr>
        <w:t xml:space="preserve">), </w:t>
      </w:r>
      <w:proofErr w:type="spellStart"/>
      <w:r w:rsidR="00D32195" w:rsidRPr="002C430C">
        <w:rPr>
          <w:rFonts w:asciiTheme="minorHAnsi" w:hAnsiTheme="minorHAnsi" w:cstheme="minorHAnsi"/>
          <w:lang w:val="fr-FR"/>
        </w:rPr>
        <w:t>Chapter</w:t>
      </w:r>
      <w:proofErr w:type="spellEnd"/>
      <w:r w:rsidR="00D32195" w:rsidRPr="002C430C">
        <w:rPr>
          <w:rFonts w:asciiTheme="minorHAnsi" w:hAnsiTheme="minorHAnsi" w:cstheme="minorHAnsi"/>
          <w:lang w:val="fr-FR"/>
        </w:rPr>
        <w:t xml:space="preserve"> 5.</w:t>
      </w:r>
    </w:p>
  </w:footnote>
  <w:footnote w:id="14">
    <w:p w14:paraId="73FB004B" w14:textId="730B82F0" w:rsidR="00910945" w:rsidRPr="000C4CF1" w:rsidRDefault="00910945">
      <w:pPr>
        <w:pStyle w:val="FootnoteText"/>
        <w:rPr>
          <w:rFonts w:asciiTheme="minorHAnsi" w:hAnsiTheme="minorHAnsi" w:cstheme="minorHAnsi"/>
          <w:lang w:val="fr-FR"/>
        </w:rPr>
      </w:pPr>
      <w:r w:rsidRPr="000C4CF1">
        <w:rPr>
          <w:rStyle w:val="FootnoteReference"/>
          <w:rFonts w:asciiTheme="minorHAnsi" w:hAnsiTheme="minorHAnsi" w:cstheme="minorHAnsi"/>
        </w:rPr>
        <w:footnoteRef/>
      </w:r>
      <w:r w:rsidRPr="000C4CF1">
        <w:rPr>
          <w:rFonts w:asciiTheme="minorHAnsi" w:hAnsiTheme="minorHAnsi" w:cstheme="minorHAnsi"/>
          <w:lang w:val="fr-FR"/>
        </w:rPr>
        <w:t xml:space="preserve"> Sources: </w:t>
      </w:r>
      <w:hyperlink r:id="rId8" w:history="1">
        <w:r w:rsidRPr="000C4CF1">
          <w:rPr>
            <w:rStyle w:val="Hyperlink"/>
            <w:rFonts w:asciiTheme="minorHAnsi" w:hAnsiTheme="minorHAnsi" w:cstheme="minorHAnsi"/>
            <w:lang w:val="fr-FR"/>
          </w:rPr>
          <w:t>https://www.ons.gov.uk/peoplepopulationandcommunity/crimeandjustice/datasets/domesticabuseandthecriminaljusticesystemappendixtables</w:t>
        </w:r>
      </w:hyperlink>
      <w:r w:rsidRPr="000C4CF1">
        <w:rPr>
          <w:rFonts w:asciiTheme="minorHAnsi" w:hAnsiTheme="minorHAnsi" w:cstheme="minorHAnsi"/>
          <w:lang w:val="fr-FR"/>
        </w:rPr>
        <w:t xml:space="preserve"> </w:t>
      </w:r>
    </w:p>
  </w:footnote>
  <w:footnote w:id="15">
    <w:p w14:paraId="084F33AE" w14:textId="16816CAE" w:rsidR="00B650A9" w:rsidRPr="00D53E48" w:rsidRDefault="00B650A9" w:rsidP="00D4539E">
      <w:pPr>
        <w:spacing w:after="0" w:line="240" w:lineRule="auto"/>
        <w:rPr>
          <w:rFonts w:asciiTheme="minorHAnsi" w:hAnsiTheme="minorHAnsi" w:cstheme="minorHAnsi"/>
          <w:sz w:val="20"/>
          <w:szCs w:val="20"/>
        </w:rPr>
      </w:pPr>
      <w:r w:rsidRPr="00D53E48">
        <w:rPr>
          <w:rStyle w:val="FootnoteReference"/>
          <w:rFonts w:asciiTheme="minorHAnsi" w:hAnsiTheme="minorHAnsi" w:cstheme="minorHAnsi"/>
          <w:sz w:val="20"/>
          <w:szCs w:val="20"/>
        </w:rPr>
        <w:footnoteRef/>
      </w:r>
      <w:r w:rsidRPr="00D53E48">
        <w:rPr>
          <w:rFonts w:asciiTheme="minorHAnsi" w:hAnsiTheme="minorHAnsi" w:cstheme="minorHAnsi"/>
          <w:sz w:val="20"/>
          <w:szCs w:val="20"/>
        </w:rPr>
        <w:t xml:space="preserve"> Helena Kennedy QC, </w:t>
      </w:r>
      <w:r w:rsidRPr="00D53E48">
        <w:rPr>
          <w:rFonts w:asciiTheme="minorHAnsi" w:hAnsiTheme="minorHAnsi" w:cstheme="minorHAnsi"/>
          <w:i/>
          <w:iCs/>
          <w:sz w:val="20"/>
          <w:szCs w:val="20"/>
        </w:rPr>
        <w:t>Eve was shamed: How British justice is failing women</w:t>
      </w:r>
      <w:r w:rsidRPr="00D53E48">
        <w:rPr>
          <w:rFonts w:asciiTheme="minorHAnsi" w:hAnsiTheme="minorHAnsi" w:cstheme="minorHAnsi"/>
          <w:sz w:val="20"/>
          <w:szCs w:val="20"/>
        </w:rPr>
        <w:t>, Penguin: London, 2018</w:t>
      </w:r>
      <w:r w:rsidR="005F5493">
        <w:rPr>
          <w:rFonts w:asciiTheme="minorHAnsi" w:hAnsiTheme="minorHAnsi" w:cstheme="minorHAnsi"/>
          <w:sz w:val="20"/>
          <w:szCs w:val="20"/>
        </w:rPr>
        <w:t xml:space="preserve"> at </w:t>
      </w:r>
      <w:r w:rsidRPr="00D53E48">
        <w:rPr>
          <w:rFonts w:asciiTheme="minorHAnsi" w:hAnsiTheme="minorHAnsi" w:cstheme="minorHAnsi"/>
          <w:sz w:val="20"/>
          <w:szCs w:val="20"/>
        </w:rPr>
        <w:t>87.</w:t>
      </w:r>
    </w:p>
  </w:footnote>
  <w:footnote w:id="16">
    <w:p w14:paraId="199BCF8C" w14:textId="1C03386D" w:rsidR="00E763EF" w:rsidRPr="00D53E48" w:rsidRDefault="00E763EF" w:rsidP="00D4539E">
      <w:pPr>
        <w:spacing w:after="0" w:line="240" w:lineRule="auto"/>
        <w:rPr>
          <w:rFonts w:asciiTheme="minorHAnsi" w:hAnsiTheme="minorHAnsi" w:cstheme="minorHAnsi"/>
          <w:sz w:val="20"/>
          <w:szCs w:val="20"/>
        </w:rPr>
      </w:pPr>
      <w:r w:rsidRPr="00D53E48">
        <w:rPr>
          <w:rStyle w:val="FootnoteReference"/>
          <w:rFonts w:asciiTheme="minorHAnsi" w:hAnsiTheme="minorHAnsi" w:cstheme="minorHAnsi"/>
          <w:sz w:val="20"/>
          <w:szCs w:val="20"/>
        </w:rPr>
        <w:footnoteRef/>
      </w:r>
      <w:r w:rsidRPr="00D53E48">
        <w:rPr>
          <w:rFonts w:asciiTheme="minorHAnsi" w:hAnsiTheme="minorHAnsi" w:cstheme="minorHAnsi"/>
          <w:sz w:val="20"/>
          <w:szCs w:val="20"/>
        </w:rPr>
        <w:t xml:space="preserve"> For a wider context on the criminal courts backlog, see: </w:t>
      </w:r>
      <w:hyperlink r:id="rId9" w:history="1">
        <w:r w:rsidRPr="00D53E48">
          <w:rPr>
            <w:rStyle w:val="Hyperlink"/>
            <w:rFonts w:asciiTheme="minorHAnsi" w:hAnsiTheme="minorHAnsi" w:cstheme="minorHAnsi"/>
            <w:sz w:val="20"/>
            <w:szCs w:val="20"/>
          </w:rPr>
          <w:t>https://www.theguardian.com/law/2022/jun/18/thousands-victims-violent-sexual-crime-stuck-england-wales-courts-backlog</w:t>
        </w:r>
      </w:hyperlink>
      <w:r w:rsidRPr="00D53E48">
        <w:rPr>
          <w:rFonts w:asciiTheme="minorHAnsi" w:hAnsiTheme="minorHAnsi" w:cstheme="minorHAnsi"/>
          <w:sz w:val="20"/>
          <w:szCs w:val="20"/>
        </w:rPr>
        <w:t> </w:t>
      </w:r>
    </w:p>
  </w:footnote>
  <w:footnote w:id="17">
    <w:p w14:paraId="0767B6D5" w14:textId="14E8405E" w:rsidR="00E74A75" w:rsidRPr="00D53E48" w:rsidRDefault="00E74A75" w:rsidP="00D4539E">
      <w:pPr>
        <w:pStyle w:val="FootnoteText"/>
        <w:rPr>
          <w:rFonts w:asciiTheme="minorHAnsi" w:hAnsiTheme="minorHAnsi" w:cstheme="minorHAnsi"/>
        </w:rPr>
      </w:pPr>
      <w:r w:rsidRPr="00D53E48">
        <w:rPr>
          <w:rStyle w:val="FootnoteReference"/>
          <w:rFonts w:asciiTheme="minorHAnsi" w:hAnsiTheme="minorHAnsi" w:cstheme="minorHAnsi"/>
        </w:rPr>
        <w:footnoteRef/>
      </w:r>
      <w:r w:rsidRPr="00D53E48">
        <w:rPr>
          <w:rFonts w:asciiTheme="minorHAnsi" w:hAnsiTheme="minorHAnsi" w:cstheme="minorHAnsi"/>
        </w:rPr>
        <w:t xml:space="preserve"> </w:t>
      </w:r>
      <w:r w:rsidRPr="00D53E48">
        <w:rPr>
          <w:rFonts w:asciiTheme="minorHAnsi" w:hAnsiTheme="minorHAnsi" w:cstheme="minorHAnsi"/>
          <w:bCs/>
        </w:rPr>
        <w:t>[2022] EWHC 826 (QB)</w:t>
      </w:r>
    </w:p>
  </w:footnote>
  <w:footnote w:id="18">
    <w:p w14:paraId="06CE692C" w14:textId="623A2562" w:rsidR="00057E76" w:rsidRPr="00D53E48" w:rsidRDefault="00057E76" w:rsidP="00D4539E">
      <w:pPr>
        <w:pStyle w:val="FootnoteText"/>
        <w:rPr>
          <w:rFonts w:asciiTheme="minorHAnsi" w:hAnsiTheme="minorHAnsi" w:cstheme="minorHAnsi"/>
        </w:rPr>
      </w:pPr>
      <w:r w:rsidRPr="00D53E48">
        <w:rPr>
          <w:rStyle w:val="FootnoteReference"/>
          <w:rFonts w:asciiTheme="minorHAnsi" w:hAnsiTheme="minorHAnsi" w:cstheme="minorHAnsi"/>
        </w:rPr>
        <w:footnoteRef/>
      </w:r>
      <w:r w:rsidRPr="00D53E48">
        <w:rPr>
          <w:rFonts w:asciiTheme="minorHAnsi" w:hAnsiTheme="minorHAnsi" w:cstheme="minorHAnsi"/>
        </w:rPr>
        <w:t xml:space="preserve"> </w:t>
      </w:r>
      <w:r w:rsidRPr="00684A5A">
        <w:rPr>
          <w:rFonts w:asciiTheme="minorHAnsi" w:hAnsiTheme="minorHAnsi" w:cstheme="minorHAnsi"/>
          <w:i/>
          <w:iCs/>
        </w:rPr>
        <w:t>Ibid</w:t>
      </w:r>
      <w:r w:rsidRPr="00D53E48">
        <w:rPr>
          <w:rFonts w:asciiTheme="minorHAnsi" w:hAnsiTheme="minorHAnsi" w:cstheme="minorHAnsi"/>
        </w:rPr>
        <w:t xml:space="preserve"> at </w:t>
      </w:r>
      <w:r w:rsidR="005371A7">
        <w:rPr>
          <w:rFonts w:asciiTheme="minorHAnsi" w:hAnsiTheme="minorHAnsi" w:cstheme="minorHAnsi"/>
          <w:bCs/>
        </w:rPr>
        <w:t>[</w:t>
      </w:r>
      <w:r w:rsidRPr="00D53E48">
        <w:rPr>
          <w:rFonts w:asciiTheme="minorHAnsi" w:hAnsiTheme="minorHAnsi" w:cstheme="minorHAnsi"/>
          <w:bCs/>
        </w:rPr>
        <w:t>57</w:t>
      </w:r>
      <w:r w:rsidR="005371A7">
        <w:rPr>
          <w:rFonts w:asciiTheme="minorHAnsi" w:hAnsiTheme="minorHAnsi" w:cstheme="minorHAnsi"/>
          <w:bCs/>
        </w:rPr>
        <w:t>]</w:t>
      </w:r>
      <w:r w:rsidRPr="00D53E48">
        <w:rPr>
          <w:rFonts w:asciiTheme="minorHAnsi" w:hAnsiTheme="minorHAnsi" w:cstheme="minorHAnsi"/>
          <w:bCs/>
        </w:rPr>
        <w:t xml:space="preserve"> </w:t>
      </w:r>
    </w:p>
  </w:footnote>
  <w:footnote w:id="19">
    <w:p w14:paraId="47F82DC5" w14:textId="70337113" w:rsidR="00B650A9" w:rsidRPr="00D53E48" w:rsidRDefault="00B650A9" w:rsidP="00D4539E">
      <w:pPr>
        <w:pStyle w:val="FootnoteText"/>
        <w:rPr>
          <w:rFonts w:asciiTheme="minorHAnsi" w:hAnsiTheme="minorHAnsi" w:cstheme="minorHAnsi"/>
        </w:rPr>
      </w:pPr>
      <w:r w:rsidRPr="00D53E48">
        <w:rPr>
          <w:rStyle w:val="FootnoteReference"/>
          <w:rFonts w:asciiTheme="minorHAnsi" w:hAnsiTheme="minorHAnsi" w:cstheme="minorHAnsi"/>
        </w:rPr>
        <w:footnoteRef/>
      </w:r>
      <w:r w:rsidRPr="00D53E48">
        <w:rPr>
          <w:rFonts w:asciiTheme="minorHAnsi" w:hAnsiTheme="minorHAnsi" w:cstheme="minorHAnsi"/>
        </w:rPr>
        <w:t xml:space="preserve"> See: </w:t>
      </w:r>
      <w:hyperlink r:id="rId10" w:history="1">
        <w:r w:rsidRPr="00D53E48">
          <w:rPr>
            <w:rStyle w:val="Hyperlink"/>
            <w:rFonts w:asciiTheme="minorHAnsi" w:hAnsiTheme="minorHAnsi" w:cstheme="minorHAnsi"/>
          </w:rPr>
          <w:t>https://www.gov.uk/government/publications/tackling-violence-against-women-and-girls-strategy</w:t>
        </w:r>
      </w:hyperlink>
    </w:p>
  </w:footnote>
  <w:footnote w:id="20">
    <w:p w14:paraId="1700B9AF" w14:textId="77777777" w:rsidR="00B650A9" w:rsidRPr="00D53E48" w:rsidRDefault="00B650A9" w:rsidP="00D4539E">
      <w:pPr>
        <w:pStyle w:val="FootnoteText"/>
        <w:rPr>
          <w:rFonts w:asciiTheme="minorHAnsi" w:hAnsiTheme="minorHAnsi" w:cstheme="minorHAnsi"/>
        </w:rPr>
      </w:pPr>
      <w:r w:rsidRPr="00D53E48">
        <w:rPr>
          <w:rStyle w:val="FootnoteReference"/>
          <w:rFonts w:asciiTheme="minorHAnsi" w:hAnsiTheme="minorHAnsi" w:cstheme="minorHAnsi"/>
        </w:rPr>
        <w:footnoteRef/>
      </w:r>
      <w:r w:rsidRPr="00D53E48">
        <w:rPr>
          <w:rFonts w:asciiTheme="minorHAnsi" w:hAnsiTheme="minorHAnsi" w:cstheme="minorHAnsi"/>
        </w:rPr>
        <w:t xml:space="preserve"> See: </w:t>
      </w:r>
      <w:hyperlink r:id="rId11" w:history="1">
        <w:r w:rsidRPr="00D53E48">
          <w:rPr>
            <w:rStyle w:val="Hyperlink"/>
            <w:rFonts w:asciiTheme="minorHAnsi" w:hAnsiTheme="minorHAnsi" w:cstheme="minorHAnsi"/>
          </w:rPr>
          <w:t>https://www.gov.uk/government/publications/tackling-domestic-abuse-plan</w:t>
        </w:r>
      </w:hyperlink>
      <w:r w:rsidRPr="00D53E48">
        <w:rPr>
          <w:rFonts w:asciiTheme="minorHAnsi" w:hAnsiTheme="minorHAnsi" w:cstheme="minorHAnsi"/>
        </w:rPr>
        <w:t xml:space="preserve"> </w:t>
      </w:r>
    </w:p>
  </w:footnote>
  <w:footnote w:id="21">
    <w:p w14:paraId="69D95B53" w14:textId="1E283B01" w:rsidR="00EB31ED" w:rsidRPr="005371A7" w:rsidRDefault="00EB31ED">
      <w:pPr>
        <w:pStyle w:val="FootnoteText"/>
        <w:rPr>
          <w:rFonts w:asciiTheme="minorHAnsi" w:hAnsiTheme="minorHAnsi" w:cstheme="minorHAnsi"/>
        </w:rPr>
      </w:pPr>
      <w:r w:rsidRPr="005371A7">
        <w:rPr>
          <w:rStyle w:val="FootnoteReference"/>
          <w:rFonts w:asciiTheme="minorHAnsi" w:hAnsiTheme="minorHAnsi" w:cstheme="minorHAnsi"/>
        </w:rPr>
        <w:footnoteRef/>
      </w:r>
      <w:r w:rsidRPr="005371A7">
        <w:rPr>
          <w:rFonts w:asciiTheme="minorHAnsi" w:hAnsiTheme="minorHAnsi" w:cstheme="minorHAnsi"/>
        </w:rPr>
        <w:t xml:space="preserve"> </w:t>
      </w:r>
      <w:r w:rsidR="009B7738" w:rsidRPr="005371A7">
        <w:rPr>
          <w:rFonts w:asciiTheme="minorHAnsi" w:hAnsiTheme="minorHAnsi" w:cstheme="minorHAnsi"/>
        </w:rPr>
        <w:t xml:space="preserve">Sources: </w:t>
      </w:r>
      <w:hyperlink r:id="rId12" w:history="1">
        <w:r w:rsidR="009B7738" w:rsidRPr="005371A7">
          <w:rPr>
            <w:rStyle w:val="Hyperlink"/>
            <w:rFonts w:asciiTheme="minorHAnsi" w:hAnsiTheme="minorHAnsi" w:cstheme="minorHAnsi"/>
          </w:rPr>
          <w:t>https://www.ons.gov.uk/peoplepopulationandcommunity/crimeandjustice/articles/domesticabuseandthecriminaljusticesystemenglandandwales/november2021</w:t>
        </w:r>
      </w:hyperlink>
      <w:r w:rsidR="009B7738" w:rsidRPr="005371A7">
        <w:rPr>
          <w:rFonts w:asciiTheme="minorHAnsi" w:hAnsiTheme="minorHAnsi" w:cstheme="minorHAnsi"/>
        </w:rPr>
        <w:t xml:space="preserve"> and </w:t>
      </w:r>
      <w:hyperlink r:id="rId13" w:history="1">
        <w:r w:rsidR="009B7738" w:rsidRPr="005371A7">
          <w:rPr>
            <w:rStyle w:val="Hyperlink"/>
            <w:rFonts w:asciiTheme="minorHAnsi" w:hAnsiTheme="minorHAnsi" w:cstheme="minorHAnsi"/>
          </w:rPr>
          <w:t>https://www.cps.gov.uk/publication/cps-data-summary-quarter-4-2020-2021</w:t>
        </w:r>
      </w:hyperlink>
      <w:r w:rsidR="009B7738" w:rsidRPr="005371A7">
        <w:rPr>
          <w:rFonts w:asciiTheme="minorHAnsi" w:hAnsiTheme="minorHAnsi" w:cstheme="minorHAnsi"/>
        </w:rPr>
        <w:t xml:space="preserve"> </w:t>
      </w:r>
      <w:proofErr w:type="spellStart"/>
      <w:r w:rsidR="009B7738" w:rsidRPr="005371A7">
        <w:rPr>
          <w:rFonts w:asciiTheme="minorHAnsi" w:hAnsiTheme="minorHAnsi" w:cstheme="minorHAnsi"/>
        </w:rPr>
        <w:t>and</w:t>
      </w:r>
      <w:proofErr w:type="spellEnd"/>
      <w:r w:rsidR="009B7738" w:rsidRPr="005371A7">
        <w:rPr>
          <w:rFonts w:asciiTheme="minorHAnsi" w:hAnsiTheme="minorHAnsi" w:cstheme="minorHAnsi"/>
        </w:rPr>
        <w:t xml:space="preserve"> </w:t>
      </w:r>
      <w:hyperlink r:id="rId14" w:history="1">
        <w:r w:rsidR="004B3E04" w:rsidRPr="005371A7">
          <w:rPr>
            <w:rStyle w:val="Hyperlink"/>
            <w:rFonts w:asciiTheme="minorHAnsi" w:hAnsiTheme="minorHAnsi" w:cstheme="minorHAnsi"/>
          </w:rPr>
          <w:t>https://www.justiceinspectorates.gov.uk/hmicfrs/wp-content/uploads/police-response-to-violence-against-women-and-girls-final-inspection-report.pdf</w:t>
        </w:r>
      </w:hyperlink>
      <w:r w:rsidR="004B3E04" w:rsidRPr="005371A7">
        <w:rPr>
          <w:rFonts w:asciiTheme="minorHAnsi" w:hAnsiTheme="minorHAnsi" w:cstheme="minorHAnsi"/>
        </w:rPr>
        <w:t xml:space="preserve"> </w:t>
      </w:r>
    </w:p>
  </w:footnote>
  <w:footnote w:id="22">
    <w:p w14:paraId="158BE4BF" w14:textId="4B8500FD" w:rsidR="00020A50" w:rsidRDefault="00020A50">
      <w:pPr>
        <w:pStyle w:val="FootnoteText"/>
      </w:pPr>
      <w:r>
        <w:rPr>
          <w:rStyle w:val="FootnoteReference"/>
        </w:rPr>
        <w:footnoteRef/>
      </w:r>
      <w:r>
        <w:t xml:space="preserve"> </w:t>
      </w:r>
      <w:r w:rsidRPr="00F971E7">
        <w:rPr>
          <w:rFonts w:asciiTheme="minorHAnsi" w:hAnsiTheme="minorHAnsi" w:cstheme="minorHAnsi"/>
        </w:rPr>
        <w:t xml:space="preserve">(1998) </w:t>
      </w:r>
      <w:r w:rsidR="00D537E0">
        <w:rPr>
          <w:rFonts w:asciiTheme="minorHAnsi" w:hAnsiTheme="minorHAnsi" w:cstheme="minorHAnsi"/>
        </w:rPr>
        <w:t xml:space="preserve">Case No </w:t>
      </w:r>
      <w:r w:rsidRPr="00F971E7">
        <w:rPr>
          <w:rFonts w:asciiTheme="minorHAnsi" w:hAnsiTheme="minorHAnsi" w:cstheme="minorHAnsi"/>
        </w:rPr>
        <w:t>87/1997/871/1083</w:t>
      </w:r>
      <w:r w:rsidR="00B8573F">
        <w:rPr>
          <w:rFonts w:asciiTheme="minorHAnsi" w:hAnsiTheme="minorHAnsi" w:cstheme="minorHAnsi"/>
        </w:rPr>
        <w:t>.</w:t>
      </w:r>
    </w:p>
  </w:footnote>
  <w:footnote w:id="23">
    <w:p w14:paraId="4F726B35" w14:textId="1F7F03DE" w:rsidR="008F282C" w:rsidRPr="00684A5A" w:rsidRDefault="008F282C">
      <w:pPr>
        <w:pStyle w:val="FootnoteText"/>
        <w:rPr>
          <w:rFonts w:asciiTheme="minorHAnsi" w:hAnsiTheme="minorHAnsi" w:cstheme="minorHAnsi"/>
        </w:rPr>
      </w:pPr>
      <w:r w:rsidRPr="00684A5A">
        <w:rPr>
          <w:rStyle w:val="FootnoteReference"/>
          <w:rFonts w:asciiTheme="minorHAnsi" w:hAnsiTheme="minorHAnsi" w:cstheme="minorHAnsi"/>
        </w:rPr>
        <w:footnoteRef/>
      </w:r>
      <w:r w:rsidRPr="00684A5A">
        <w:rPr>
          <w:rFonts w:asciiTheme="minorHAnsi" w:hAnsiTheme="minorHAnsi" w:cstheme="minorHAnsi"/>
        </w:rPr>
        <w:t xml:space="preserve"> </w:t>
      </w:r>
      <w:r w:rsidR="00684A5A" w:rsidRPr="00684A5A">
        <w:rPr>
          <w:rFonts w:asciiTheme="minorHAnsi" w:hAnsiTheme="minorHAnsi" w:cstheme="minorHAnsi"/>
          <w:i/>
          <w:iCs/>
        </w:rPr>
        <w:t>Ibid</w:t>
      </w:r>
      <w:r w:rsidR="00684A5A" w:rsidRPr="00684A5A">
        <w:rPr>
          <w:rFonts w:asciiTheme="minorHAnsi" w:hAnsiTheme="minorHAnsi" w:cstheme="minorHAnsi"/>
        </w:rPr>
        <w:t xml:space="preserve"> at [116].</w:t>
      </w:r>
    </w:p>
  </w:footnote>
  <w:footnote w:id="24">
    <w:p w14:paraId="0131B81F" w14:textId="6330B112" w:rsidR="003D1C0C" w:rsidRDefault="003D1C0C">
      <w:pPr>
        <w:pStyle w:val="FootnoteText"/>
      </w:pPr>
      <w:r>
        <w:rPr>
          <w:rStyle w:val="FootnoteReference"/>
        </w:rPr>
        <w:footnoteRef/>
      </w:r>
      <w:r>
        <w:t xml:space="preserve"> </w:t>
      </w:r>
      <w:r w:rsidRPr="00F971E7">
        <w:rPr>
          <w:rFonts w:asciiTheme="minorHAnsi" w:hAnsiTheme="minorHAnsi" w:cstheme="minorHAnsi"/>
        </w:rPr>
        <w:t>(2021)</w:t>
      </w:r>
      <w:r>
        <w:rPr>
          <w:rFonts w:asciiTheme="minorHAnsi" w:hAnsiTheme="minorHAnsi" w:cstheme="minorHAnsi"/>
        </w:rPr>
        <w:t xml:space="preserve"> Case No </w:t>
      </w:r>
      <w:r w:rsidRPr="00F971E7">
        <w:rPr>
          <w:rFonts w:asciiTheme="minorHAnsi" w:hAnsiTheme="minorHAnsi" w:cstheme="minorHAnsi"/>
          <w:color w:val="000000"/>
        </w:rPr>
        <w:t>62903/15</w:t>
      </w:r>
      <w:r>
        <w:rPr>
          <w:rFonts w:asciiTheme="minorHAnsi" w:hAnsiTheme="minorHAnsi" w:cstheme="minorHAnsi"/>
          <w:color w:val="000000"/>
        </w:rPr>
        <w:t>.</w:t>
      </w:r>
    </w:p>
  </w:footnote>
  <w:footnote w:id="25">
    <w:p w14:paraId="715EBB6C" w14:textId="2F267219" w:rsidR="003D1C0C" w:rsidRPr="00FA4119" w:rsidRDefault="003D1C0C">
      <w:pPr>
        <w:pStyle w:val="FootnoteText"/>
        <w:rPr>
          <w:rFonts w:asciiTheme="minorHAnsi" w:hAnsiTheme="minorHAnsi" w:cstheme="minorHAnsi"/>
        </w:rPr>
      </w:pPr>
      <w:r w:rsidRPr="00FA4119">
        <w:rPr>
          <w:rStyle w:val="FootnoteReference"/>
          <w:rFonts w:asciiTheme="minorHAnsi" w:hAnsiTheme="minorHAnsi" w:cstheme="minorHAnsi"/>
        </w:rPr>
        <w:footnoteRef/>
      </w:r>
      <w:r w:rsidRPr="00FA4119">
        <w:rPr>
          <w:rFonts w:asciiTheme="minorHAnsi" w:hAnsiTheme="minorHAnsi" w:cstheme="minorHAnsi"/>
        </w:rPr>
        <w:t xml:space="preserve"> </w:t>
      </w:r>
      <w:r w:rsidRPr="00FA4119">
        <w:rPr>
          <w:rFonts w:asciiTheme="minorHAnsi" w:hAnsiTheme="minorHAnsi" w:cstheme="minorHAnsi"/>
          <w:i/>
          <w:iCs/>
        </w:rPr>
        <w:t>Ibid</w:t>
      </w:r>
      <w:r w:rsidRPr="00FA4119">
        <w:rPr>
          <w:rFonts w:asciiTheme="minorHAnsi" w:hAnsiTheme="minorHAnsi" w:cstheme="minorHAnsi"/>
        </w:rPr>
        <w:t xml:space="preserve"> at [168]</w:t>
      </w:r>
      <w:r w:rsidR="00FA4119" w:rsidRPr="00FA4119">
        <w:rPr>
          <w:rFonts w:asciiTheme="minorHAnsi" w:hAnsiTheme="minorHAnsi" w:cstheme="minorHAnsi"/>
        </w:rPr>
        <w:t>.</w:t>
      </w:r>
    </w:p>
  </w:footnote>
  <w:footnote w:id="26">
    <w:p w14:paraId="11E01D42" w14:textId="7EEBFC18" w:rsidR="00B650A9" w:rsidRPr="00C62122" w:rsidRDefault="00B650A9" w:rsidP="00057337">
      <w:pPr>
        <w:pStyle w:val="FootnoteText"/>
        <w:rPr>
          <w:rFonts w:asciiTheme="minorHAnsi" w:hAnsiTheme="minorHAnsi" w:cstheme="minorHAnsi"/>
        </w:rPr>
      </w:pPr>
      <w:r w:rsidRPr="00C62122">
        <w:rPr>
          <w:rStyle w:val="FootnoteReference"/>
          <w:rFonts w:asciiTheme="minorHAnsi" w:hAnsiTheme="minorHAnsi" w:cstheme="minorHAnsi"/>
        </w:rPr>
        <w:footnoteRef/>
      </w:r>
      <w:r w:rsidRPr="00C62122">
        <w:rPr>
          <w:rFonts w:asciiTheme="minorHAnsi" w:hAnsiTheme="minorHAnsi" w:cstheme="minorHAnsi"/>
        </w:rPr>
        <w:t xml:space="preserve"> See</w:t>
      </w:r>
      <w:r w:rsidR="00C62122">
        <w:rPr>
          <w:rFonts w:asciiTheme="minorHAnsi" w:hAnsiTheme="minorHAnsi" w:cstheme="minorHAnsi"/>
        </w:rPr>
        <w:t xml:space="preserve"> </w:t>
      </w:r>
      <w:r w:rsidRPr="00C62122">
        <w:rPr>
          <w:rFonts w:asciiTheme="minorHAnsi" w:hAnsiTheme="minorHAnsi" w:cstheme="minorHAnsi"/>
        </w:rPr>
        <w:t xml:space="preserve">College of Policing, </w:t>
      </w:r>
      <w:r w:rsidRPr="00C62122">
        <w:rPr>
          <w:rFonts w:asciiTheme="minorHAnsi" w:hAnsiTheme="minorHAnsi" w:cstheme="minorHAnsi"/>
          <w:i/>
          <w:iCs/>
        </w:rPr>
        <w:t>Understanding risk and vulnerability in the context of domestic abuse: Authorised Professional Practice</w:t>
      </w:r>
      <w:r w:rsidRPr="00C62122">
        <w:rPr>
          <w:rFonts w:asciiTheme="minorHAnsi" w:hAnsiTheme="minorHAnsi" w:cstheme="minorHAnsi"/>
        </w:rPr>
        <w:t xml:space="preserve"> (2022)</w:t>
      </w:r>
      <w:r w:rsidR="00F1223D" w:rsidRPr="00C62122">
        <w:rPr>
          <w:rFonts w:asciiTheme="minorHAnsi" w:hAnsiTheme="minorHAnsi" w:cstheme="minorHAnsi"/>
        </w:rPr>
        <w:t>.</w:t>
      </w:r>
    </w:p>
  </w:footnote>
  <w:footnote w:id="27">
    <w:p w14:paraId="5DCF26AB" w14:textId="582F5ABE" w:rsidR="00B650A9" w:rsidRPr="00C62122" w:rsidRDefault="00B650A9" w:rsidP="00057337">
      <w:pPr>
        <w:pStyle w:val="FootnoteText"/>
        <w:rPr>
          <w:rFonts w:asciiTheme="minorHAnsi" w:hAnsiTheme="minorHAnsi" w:cstheme="minorHAnsi"/>
        </w:rPr>
      </w:pPr>
      <w:r w:rsidRPr="00C62122">
        <w:rPr>
          <w:rStyle w:val="FootnoteReference"/>
          <w:rFonts w:asciiTheme="minorHAnsi" w:hAnsiTheme="minorHAnsi" w:cstheme="minorHAnsi"/>
        </w:rPr>
        <w:footnoteRef/>
      </w:r>
      <w:r w:rsidRPr="00C62122">
        <w:rPr>
          <w:rFonts w:asciiTheme="minorHAnsi" w:hAnsiTheme="minorHAnsi" w:cstheme="minorHAnsi"/>
        </w:rPr>
        <w:t xml:space="preserve"> See</w:t>
      </w:r>
      <w:r w:rsidR="00C62122">
        <w:rPr>
          <w:rFonts w:asciiTheme="minorHAnsi" w:hAnsiTheme="minorHAnsi" w:cstheme="minorHAnsi"/>
        </w:rPr>
        <w:t xml:space="preserve"> </w:t>
      </w:r>
      <w:r w:rsidRPr="00C62122">
        <w:rPr>
          <w:rFonts w:asciiTheme="minorHAnsi" w:hAnsiTheme="minorHAnsi" w:cstheme="minorHAnsi"/>
        </w:rPr>
        <w:t xml:space="preserve">HMICFRS, </w:t>
      </w:r>
      <w:r w:rsidRPr="00C62122">
        <w:rPr>
          <w:rFonts w:asciiTheme="minorHAnsi" w:hAnsiTheme="minorHAnsi" w:cstheme="minorHAnsi"/>
          <w:i/>
          <w:iCs/>
        </w:rPr>
        <w:t>Everyone’s business: Improving the police response to domestic abuse</w:t>
      </w:r>
      <w:r w:rsidRPr="00C62122">
        <w:rPr>
          <w:rFonts w:asciiTheme="minorHAnsi" w:hAnsiTheme="minorHAnsi" w:cstheme="minorHAnsi"/>
        </w:rPr>
        <w:t xml:space="preserve"> </w:t>
      </w:r>
      <w:r w:rsidR="00F1223D" w:rsidRPr="00C62122">
        <w:rPr>
          <w:rFonts w:asciiTheme="minorHAnsi" w:hAnsiTheme="minorHAnsi" w:cstheme="minorHAnsi"/>
        </w:rPr>
        <w:t>(</w:t>
      </w:r>
      <w:r w:rsidRPr="00C62122">
        <w:rPr>
          <w:rFonts w:asciiTheme="minorHAnsi" w:hAnsiTheme="minorHAnsi" w:cstheme="minorHAnsi"/>
        </w:rPr>
        <w:t>2014</w:t>
      </w:r>
      <w:r w:rsidR="00F1223D" w:rsidRPr="00C62122">
        <w:rPr>
          <w:rFonts w:asciiTheme="minorHAnsi" w:hAnsiTheme="minorHAnsi" w:cstheme="minorHAnsi"/>
        </w:rPr>
        <w:t>)</w:t>
      </w:r>
      <w:r w:rsidR="00C62122">
        <w:rPr>
          <w:rFonts w:asciiTheme="minorHAnsi" w:hAnsiTheme="minorHAnsi" w:cstheme="minorHAnsi"/>
        </w:rPr>
        <w:t>, Recommendation 6</w:t>
      </w:r>
      <w:r w:rsidR="00F1223D" w:rsidRPr="00C62122">
        <w:rPr>
          <w:rFonts w:asciiTheme="minorHAnsi" w:hAnsiTheme="minorHAnsi" w:cstheme="minorHAnsi"/>
        </w:rPr>
        <w:t>.</w:t>
      </w:r>
    </w:p>
  </w:footnote>
  <w:footnote w:id="28">
    <w:p w14:paraId="26C1DDF7" w14:textId="360F8C83" w:rsidR="007746D8" w:rsidRDefault="007746D8">
      <w:pPr>
        <w:pStyle w:val="FootnoteText"/>
      </w:pPr>
      <w:r>
        <w:rPr>
          <w:rStyle w:val="FootnoteReference"/>
        </w:rPr>
        <w:footnoteRef/>
      </w:r>
      <w:r>
        <w:t xml:space="preserve"> </w:t>
      </w:r>
      <w:r w:rsidRPr="00F971E7">
        <w:rPr>
          <w:rFonts w:asciiTheme="minorHAnsi" w:hAnsiTheme="minorHAnsi" w:cstheme="minorHAnsi"/>
        </w:rPr>
        <w:t xml:space="preserve">(2009) </w:t>
      </w:r>
      <w:r>
        <w:rPr>
          <w:rFonts w:asciiTheme="minorHAnsi" w:hAnsiTheme="minorHAnsi" w:cstheme="minorHAnsi"/>
        </w:rPr>
        <w:t xml:space="preserve">Case No </w:t>
      </w:r>
      <w:r w:rsidRPr="00F971E7">
        <w:rPr>
          <w:rFonts w:asciiTheme="minorHAnsi" w:hAnsiTheme="minorHAnsi" w:cstheme="minorHAnsi"/>
        </w:rPr>
        <w:t>33401/02</w:t>
      </w:r>
      <w:r>
        <w:rPr>
          <w:rFonts w:asciiTheme="minorHAnsi" w:hAnsiTheme="minorHAnsi" w:cstheme="minorHAnsi"/>
        </w:rPr>
        <w:t>.</w:t>
      </w:r>
    </w:p>
  </w:footnote>
  <w:footnote w:id="29">
    <w:p w14:paraId="1CF93E4B" w14:textId="718757AF" w:rsidR="004D78E0" w:rsidRPr="004D78E0" w:rsidRDefault="004D78E0">
      <w:pPr>
        <w:pStyle w:val="FootnoteText"/>
        <w:rPr>
          <w:rFonts w:asciiTheme="minorHAnsi" w:hAnsiTheme="minorHAnsi" w:cstheme="minorHAnsi"/>
        </w:rPr>
      </w:pPr>
      <w:r w:rsidRPr="004D78E0">
        <w:rPr>
          <w:rStyle w:val="FootnoteReference"/>
          <w:rFonts w:asciiTheme="minorHAnsi" w:hAnsiTheme="minorHAnsi" w:cstheme="minorHAnsi"/>
        </w:rPr>
        <w:footnoteRef/>
      </w:r>
      <w:r w:rsidRPr="004D78E0">
        <w:rPr>
          <w:rFonts w:asciiTheme="minorHAnsi" w:hAnsiTheme="minorHAnsi" w:cstheme="minorHAnsi"/>
        </w:rPr>
        <w:t xml:space="preserve"> </w:t>
      </w:r>
      <w:r w:rsidRPr="004D78E0">
        <w:rPr>
          <w:rFonts w:asciiTheme="minorHAnsi" w:hAnsiTheme="minorHAnsi" w:cstheme="minorHAnsi"/>
          <w:i/>
          <w:iCs/>
        </w:rPr>
        <w:t>Ibid</w:t>
      </w:r>
      <w:r w:rsidRPr="004D78E0">
        <w:rPr>
          <w:rFonts w:asciiTheme="minorHAnsi" w:hAnsiTheme="minorHAnsi" w:cstheme="minorHAnsi"/>
        </w:rPr>
        <w:t xml:space="preserve"> at [161]-[162].</w:t>
      </w:r>
    </w:p>
  </w:footnote>
  <w:footnote w:id="30">
    <w:p w14:paraId="4008F11F" w14:textId="7CBF6FAF" w:rsidR="00D76F04" w:rsidRDefault="00D76F04">
      <w:pPr>
        <w:pStyle w:val="FootnoteText"/>
      </w:pPr>
      <w:r>
        <w:rPr>
          <w:rStyle w:val="FootnoteReference"/>
        </w:rPr>
        <w:footnoteRef/>
      </w:r>
      <w:r>
        <w:t xml:space="preserve"> </w:t>
      </w:r>
      <w:r w:rsidRPr="00F971E7">
        <w:rPr>
          <w:rFonts w:asciiTheme="minorHAnsi" w:hAnsiTheme="minorHAnsi" w:cstheme="minorHAnsi"/>
        </w:rPr>
        <w:t xml:space="preserve">(2010) </w:t>
      </w:r>
      <w:r>
        <w:rPr>
          <w:rFonts w:asciiTheme="minorHAnsi" w:hAnsiTheme="minorHAnsi" w:cstheme="minorHAnsi"/>
        </w:rPr>
        <w:t xml:space="preserve">Case No </w:t>
      </w:r>
      <w:r w:rsidRPr="00D76F04">
        <w:rPr>
          <w:rFonts w:asciiTheme="minorHAnsi" w:hAnsiTheme="minorHAnsi" w:cstheme="minorHAnsi"/>
        </w:rPr>
        <w:t>55164/08</w:t>
      </w:r>
      <w:r>
        <w:rPr>
          <w:rFonts w:asciiTheme="minorHAnsi" w:hAnsiTheme="minorHAnsi" w:cstheme="minorHAnsi"/>
        </w:rPr>
        <w:t>.</w:t>
      </w:r>
    </w:p>
  </w:footnote>
  <w:footnote w:id="31">
    <w:p w14:paraId="64C52D28" w14:textId="79310A3A" w:rsidR="00D76F04" w:rsidRPr="00D76F04" w:rsidRDefault="00D76F04">
      <w:pPr>
        <w:pStyle w:val="FootnoteText"/>
        <w:rPr>
          <w:rFonts w:asciiTheme="minorHAnsi" w:hAnsiTheme="minorHAnsi" w:cstheme="minorHAnsi"/>
        </w:rPr>
      </w:pPr>
      <w:r w:rsidRPr="00D76F04">
        <w:rPr>
          <w:rStyle w:val="FootnoteReference"/>
          <w:rFonts w:asciiTheme="minorHAnsi" w:hAnsiTheme="minorHAnsi" w:cstheme="minorHAnsi"/>
        </w:rPr>
        <w:footnoteRef/>
      </w:r>
      <w:r w:rsidRPr="00D76F04">
        <w:rPr>
          <w:rFonts w:asciiTheme="minorHAnsi" w:hAnsiTheme="minorHAnsi" w:cstheme="minorHAnsi"/>
        </w:rPr>
        <w:t xml:space="preserve"> </w:t>
      </w:r>
      <w:r w:rsidRPr="00D76F04">
        <w:rPr>
          <w:rFonts w:asciiTheme="minorHAnsi" w:hAnsiTheme="minorHAnsi" w:cstheme="minorHAnsi"/>
          <w:i/>
          <w:iCs/>
        </w:rPr>
        <w:t>Ibid</w:t>
      </w:r>
      <w:r w:rsidRPr="00D76F04">
        <w:rPr>
          <w:rFonts w:asciiTheme="minorHAnsi" w:hAnsiTheme="minorHAnsi" w:cstheme="minorHAnsi"/>
        </w:rPr>
        <w:t xml:space="preserve"> at [60].</w:t>
      </w:r>
    </w:p>
  </w:footnote>
  <w:footnote w:id="32">
    <w:p w14:paraId="48299887" w14:textId="4C2C1323" w:rsidR="0013659E" w:rsidRDefault="0013659E">
      <w:pPr>
        <w:pStyle w:val="FootnoteText"/>
      </w:pPr>
      <w:r>
        <w:rPr>
          <w:rStyle w:val="FootnoteReference"/>
        </w:rPr>
        <w:footnoteRef/>
      </w:r>
      <w:r>
        <w:t xml:space="preserve"> </w:t>
      </w:r>
      <w:r w:rsidR="00984F15" w:rsidRPr="00F971E7">
        <w:rPr>
          <w:rFonts w:asciiTheme="minorHAnsi" w:hAnsiTheme="minorHAnsi" w:cstheme="minorHAnsi"/>
        </w:rPr>
        <w:t xml:space="preserve">(2017) </w:t>
      </w:r>
      <w:r w:rsidR="00984F15">
        <w:rPr>
          <w:rFonts w:asciiTheme="minorHAnsi" w:hAnsiTheme="minorHAnsi" w:cstheme="minorHAnsi"/>
        </w:rPr>
        <w:t xml:space="preserve">Case No </w:t>
      </w:r>
      <w:r w:rsidR="00984F15" w:rsidRPr="00F971E7">
        <w:rPr>
          <w:rFonts w:asciiTheme="minorHAnsi" w:hAnsiTheme="minorHAnsi" w:cstheme="minorHAnsi"/>
        </w:rPr>
        <w:t>41237/14</w:t>
      </w:r>
      <w:r w:rsidR="00984F15">
        <w:rPr>
          <w:rFonts w:asciiTheme="minorHAnsi" w:hAnsiTheme="minorHAnsi" w:cstheme="minorHAnsi"/>
        </w:rPr>
        <w:t>.</w:t>
      </w:r>
    </w:p>
  </w:footnote>
  <w:footnote w:id="33">
    <w:p w14:paraId="4982A5E9" w14:textId="2600A4C0" w:rsidR="00186DD7" w:rsidRPr="005D0117" w:rsidRDefault="00186DD7">
      <w:pPr>
        <w:pStyle w:val="FootnoteText"/>
        <w:rPr>
          <w:rFonts w:asciiTheme="minorHAnsi" w:hAnsiTheme="minorHAnsi" w:cstheme="minorHAnsi"/>
        </w:rPr>
      </w:pPr>
      <w:r w:rsidRPr="005D0117">
        <w:rPr>
          <w:rStyle w:val="FootnoteReference"/>
          <w:rFonts w:asciiTheme="minorHAnsi" w:hAnsiTheme="minorHAnsi" w:cstheme="minorHAnsi"/>
        </w:rPr>
        <w:footnoteRef/>
      </w:r>
      <w:r w:rsidRPr="005D0117">
        <w:rPr>
          <w:rFonts w:asciiTheme="minorHAnsi" w:hAnsiTheme="minorHAnsi" w:cstheme="minorHAnsi"/>
        </w:rPr>
        <w:t xml:space="preserve"> </w:t>
      </w:r>
      <w:r w:rsidR="00361C90" w:rsidRPr="005D0117">
        <w:rPr>
          <w:rFonts w:asciiTheme="minorHAnsi" w:hAnsiTheme="minorHAnsi" w:cstheme="minorHAnsi"/>
          <w:i/>
          <w:iCs/>
        </w:rPr>
        <w:t>Ibid</w:t>
      </w:r>
      <w:r w:rsidR="00361C90" w:rsidRPr="005D0117">
        <w:rPr>
          <w:rFonts w:asciiTheme="minorHAnsi" w:hAnsiTheme="minorHAnsi" w:cstheme="minorHAnsi"/>
        </w:rPr>
        <w:t xml:space="preserve"> at [123].</w:t>
      </w:r>
    </w:p>
  </w:footnote>
  <w:footnote w:id="34">
    <w:p w14:paraId="060AB3F6" w14:textId="39F0DC02" w:rsidR="005D0117" w:rsidRPr="005D0117" w:rsidRDefault="005D0117">
      <w:pPr>
        <w:pStyle w:val="FootnoteText"/>
        <w:rPr>
          <w:rFonts w:asciiTheme="minorHAnsi" w:hAnsiTheme="minorHAnsi" w:cstheme="minorHAnsi"/>
        </w:rPr>
      </w:pPr>
      <w:r w:rsidRPr="005D0117">
        <w:rPr>
          <w:rStyle w:val="FootnoteReference"/>
          <w:rFonts w:asciiTheme="minorHAnsi" w:hAnsiTheme="minorHAnsi" w:cstheme="minorHAnsi"/>
        </w:rPr>
        <w:footnoteRef/>
      </w:r>
      <w:r w:rsidRPr="005D0117">
        <w:rPr>
          <w:rFonts w:asciiTheme="minorHAnsi" w:hAnsiTheme="minorHAnsi" w:cstheme="minorHAnsi"/>
        </w:rPr>
        <w:t xml:space="preserve"> </w:t>
      </w:r>
      <w:r w:rsidRPr="005D0117">
        <w:rPr>
          <w:rFonts w:asciiTheme="minorHAnsi" w:hAnsiTheme="minorHAnsi" w:cstheme="minorHAnsi"/>
          <w:i/>
          <w:iCs/>
        </w:rPr>
        <w:t>Ibid</w:t>
      </w:r>
      <w:r w:rsidRPr="005D0117">
        <w:rPr>
          <w:rFonts w:asciiTheme="minorHAnsi" w:hAnsiTheme="minorHAnsi" w:cstheme="minorHAnsi"/>
        </w:rPr>
        <w:t xml:space="preserve"> at [128]-[129].</w:t>
      </w:r>
    </w:p>
  </w:footnote>
  <w:footnote w:id="35">
    <w:p w14:paraId="400BE4BE" w14:textId="4E7991DC" w:rsidR="00F16E95" w:rsidRPr="00F16E95" w:rsidRDefault="00F16E95">
      <w:pPr>
        <w:pStyle w:val="FootnoteText"/>
        <w:rPr>
          <w:rFonts w:asciiTheme="minorHAnsi" w:hAnsiTheme="minorHAnsi" w:cstheme="minorHAnsi"/>
        </w:rPr>
      </w:pPr>
      <w:r w:rsidRPr="00F16E95">
        <w:rPr>
          <w:rStyle w:val="FootnoteReference"/>
          <w:rFonts w:asciiTheme="minorHAnsi" w:hAnsiTheme="minorHAnsi" w:cstheme="minorHAnsi"/>
        </w:rPr>
        <w:footnoteRef/>
      </w:r>
      <w:r w:rsidRPr="00F16E95">
        <w:rPr>
          <w:rFonts w:asciiTheme="minorHAnsi" w:hAnsiTheme="minorHAnsi" w:cstheme="minorHAnsi"/>
        </w:rPr>
        <w:t xml:space="preserve"> </w:t>
      </w:r>
      <w:r w:rsidRPr="00F16E95">
        <w:rPr>
          <w:rFonts w:asciiTheme="minorHAnsi" w:hAnsiTheme="minorHAnsi" w:cstheme="minorHAnsi"/>
          <w:i/>
          <w:iCs/>
        </w:rPr>
        <w:t>Ibid</w:t>
      </w:r>
      <w:r w:rsidRPr="00F16E95">
        <w:rPr>
          <w:rFonts w:asciiTheme="minorHAnsi" w:hAnsiTheme="minorHAnsi" w:cstheme="minorHAnsi"/>
        </w:rPr>
        <w:t xml:space="preserve"> at [145]/</w:t>
      </w:r>
    </w:p>
  </w:footnote>
  <w:footnote w:id="36">
    <w:p w14:paraId="70912CA0" w14:textId="47BB018A" w:rsidR="001F3DC0" w:rsidRDefault="001F3DC0">
      <w:pPr>
        <w:pStyle w:val="FootnoteText"/>
      </w:pPr>
      <w:r>
        <w:rPr>
          <w:rStyle w:val="FootnoteReference"/>
        </w:rPr>
        <w:footnoteRef/>
      </w:r>
      <w:r>
        <w:t xml:space="preserve"> </w:t>
      </w:r>
      <w:r w:rsidRPr="00F971E7">
        <w:rPr>
          <w:rFonts w:asciiTheme="minorHAnsi" w:hAnsiTheme="minorHAnsi" w:cstheme="minorHAnsi"/>
        </w:rPr>
        <w:t>[2017] EWHC 292 (QB)</w:t>
      </w:r>
      <w:r>
        <w:rPr>
          <w:rFonts w:asciiTheme="minorHAnsi" w:hAnsiTheme="minorHAnsi" w:cstheme="minorHAnsi"/>
        </w:rPr>
        <w:t>.</w:t>
      </w:r>
    </w:p>
  </w:footnote>
  <w:footnote w:id="37">
    <w:p w14:paraId="13119E14" w14:textId="11B59B43" w:rsidR="001F3DC0" w:rsidRPr="001F3DC0" w:rsidRDefault="001F3DC0">
      <w:pPr>
        <w:pStyle w:val="FootnoteText"/>
        <w:rPr>
          <w:rFonts w:asciiTheme="minorHAnsi" w:hAnsiTheme="minorHAnsi" w:cstheme="minorHAnsi"/>
        </w:rPr>
      </w:pPr>
      <w:r w:rsidRPr="001F3DC0">
        <w:rPr>
          <w:rStyle w:val="FootnoteReference"/>
          <w:rFonts w:asciiTheme="minorHAnsi" w:hAnsiTheme="minorHAnsi" w:cstheme="minorHAnsi"/>
        </w:rPr>
        <w:footnoteRef/>
      </w:r>
      <w:r w:rsidRPr="001F3DC0">
        <w:rPr>
          <w:rFonts w:asciiTheme="minorHAnsi" w:hAnsiTheme="minorHAnsi" w:cstheme="minorHAnsi"/>
        </w:rPr>
        <w:t xml:space="preserve"> </w:t>
      </w:r>
      <w:r w:rsidRPr="001F3DC0">
        <w:rPr>
          <w:rFonts w:asciiTheme="minorHAnsi" w:hAnsiTheme="minorHAnsi" w:cstheme="minorHAnsi"/>
          <w:i/>
          <w:iCs/>
        </w:rPr>
        <w:t>Ibid</w:t>
      </w:r>
      <w:r w:rsidRPr="001F3DC0">
        <w:rPr>
          <w:rFonts w:asciiTheme="minorHAnsi" w:hAnsiTheme="minorHAnsi" w:cstheme="minorHAnsi"/>
        </w:rPr>
        <w:t xml:space="preserve"> at [189].</w:t>
      </w:r>
    </w:p>
  </w:footnote>
  <w:footnote w:id="38">
    <w:p w14:paraId="5AE239A3" w14:textId="67ADF07D" w:rsidR="00821DA6" w:rsidRPr="007F0C6A" w:rsidRDefault="00821DA6" w:rsidP="00057337">
      <w:pPr>
        <w:pStyle w:val="FootnoteText"/>
        <w:rPr>
          <w:rFonts w:asciiTheme="minorHAnsi" w:hAnsiTheme="minorHAnsi" w:cstheme="minorHAnsi"/>
        </w:rPr>
      </w:pPr>
      <w:r w:rsidRPr="007F0C6A">
        <w:rPr>
          <w:rStyle w:val="FootnoteReference"/>
          <w:rFonts w:asciiTheme="minorHAnsi" w:hAnsiTheme="minorHAnsi" w:cstheme="minorHAnsi"/>
        </w:rPr>
        <w:footnoteRef/>
      </w:r>
      <w:r w:rsidRPr="007F0C6A">
        <w:rPr>
          <w:rFonts w:asciiTheme="minorHAnsi" w:hAnsiTheme="minorHAnsi" w:cstheme="minorHAnsi"/>
        </w:rPr>
        <w:t xml:space="preserve"> </w:t>
      </w:r>
      <w:r w:rsidR="007F0C6A" w:rsidRPr="007F0C6A">
        <w:rPr>
          <w:rFonts w:asciiTheme="minorHAnsi" w:hAnsiTheme="minorHAnsi" w:cstheme="minorHAnsi"/>
        </w:rPr>
        <w:t>I</w:t>
      </w:r>
      <w:r w:rsidR="00317D8F" w:rsidRPr="007F0C6A">
        <w:rPr>
          <w:rFonts w:asciiTheme="minorHAnsi" w:hAnsiTheme="minorHAnsi" w:cstheme="minorHAnsi"/>
          <w:color w:val="111111"/>
          <w:shd w:val="clear" w:color="auto" w:fill="FFFFFF"/>
        </w:rPr>
        <w:t>ntroduced by</w:t>
      </w:r>
      <w:r w:rsidR="00317D8F" w:rsidRPr="007F0C6A">
        <w:rPr>
          <w:rStyle w:val="Strong"/>
          <w:rFonts w:asciiTheme="minorHAnsi" w:hAnsiTheme="minorHAnsi" w:cstheme="minorHAnsi"/>
          <w:color w:val="111111"/>
          <w:shd w:val="clear" w:color="auto" w:fill="FFFFFF"/>
        </w:rPr>
        <w:t> </w:t>
      </w:r>
      <w:r w:rsidR="00317D8F" w:rsidRPr="007F0C6A">
        <w:rPr>
          <w:rStyle w:val="Strong"/>
          <w:rFonts w:asciiTheme="minorHAnsi" w:hAnsiTheme="minorHAnsi" w:cstheme="minorHAnsi"/>
          <w:b w:val="0"/>
          <w:bCs w:val="0"/>
          <w:color w:val="111111"/>
          <w:shd w:val="clear" w:color="auto" w:fill="FFFFFF"/>
        </w:rPr>
        <w:t>ECHR Protocol 15</w:t>
      </w:r>
      <w:r w:rsidR="00317D8F" w:rsidRPr="007F0C6A">
        <w:rPr>
          <w:rFonts w:asciiTheme="minorHAnsi" w:hAnsiTheme="minorHAnsi" w:cstheme="minorHAnsi"/>
          <w:b/>
          <w:bCs/>
          <w:color w:val="111111"/>
          <w:shd w:val="clear" w:color="auto" w:fill="FFFFFF"/>
        </w:rPr>
        <w:t xml:space="preserve">, </w:t>
      </w:r>
      <w:r w:rsidR="00317D8F" w:rsidRPr="007F0C6A">
        <w:rPr>
          <w:rFonts w:asciiTheme="minorHAnsi" w:hAnsiTheme="minorHAnsi" w:cstheme="minorHAnsi"/>
          <w:color w:val="111111"/>
          <w:shd w:val="clear" w:color="auto" w:fill="FFFFFF"/>
        </w:rPr>
        <w:t>in force from 1 August 2021.</w:t>
      </w:r>
    </w:p>
  </w:footnote>
  <w:footnote w:id="39">
    <w:p w14:paraId="5AC56BFC" w14:textId="196AD93A" w:rsidR="007F0C6A" w:rsidRPr="007F0C6A" w:rsidRDefault="007F0C6A" w:rsidP="007F0C6A">
      <w:pPr>
        <w:pStyle w:val="FootnoteText"/>
        <w:rPr>
          <w:rFonts w:asciiTheme="minorHAnsi" w:hAnsiTheme="minorHAnsi" w:cstheme="minorHAnsi"/>
        </w:rPr>
      </w:pPr>
      <w:r w:rsidRPr="007F0C6A">
        <w:rPr>
          <w:rStyle w:val="FootnoteReference"/>
          <w:rFonts w:asciiTheme="minorHAnsi" w:hAnsiTheme="minorHAnsi" w:cstheme="minorHAnsi"/>
        </w:rPr>
        <w:footnoteRef/>
      </w:r>
      <w:r w:rsidRPr="007F0C6A">
        <w:rPr>
          <w:rFonts w:asciiTheme="minorHAnsi" w:hAnsiTheme="minorHAnsi" w:cstheme="minorHAnsi"/>
        </w:rPr>
        <w:t xml:space="preserve"> [2016] QB 16.</w:t>
      </w:r>
    </w:p>
  </w:footnote>
  <w:footnote w:id="40">
    <w:p w14:paraId="6F846382" w14:textId="17FF8FA8" w:rsidR="007F0C6A" w:rsidRPr="007F0C6A" w:rsidRDefault="007F0C6A">
      <w:pPr>
        <w:pStyle w:val="FootnoteText"/>
        <w:rPr>
          <w:rFonts w:asciiTheme="minorHAnsi" w:hAnsiTheme="minorHAnsi" w:cstheme="minorHAnsi"/>
        </w:rPr>
      </w:pPr>
      <w:r w:rsidRPr="007F0C6A">
        <w:rPr>
          <w:rStyle w:val="FootnoteReference"/>
          <w:rFonts w:asciiTheme="minorHAnsi" w:hAnsiTheme="minorHAnsi" w:cstheme="minorHAnsi"/>
        </w:rPr>
        <w:footnoteRef/>
      </w:r>
      <w:r w:rsidRPr="007F0C6A">
        <w:rPr>
          <w:rFonts w:asciiTheme="minorHAnsi" w:hAnsiTheme="minorHAnsi" w:cstheme="minorHAnsi"/>
        </w:rPr>
        <w:t xml:space="preserve"> </w:t>
      </w:r>
      <w:r w:rsidRPr="007F0C6A">
        <w:rPr>
          <w:rFonts w:asciiTheme="minorHAnsi" w:hAnsiTheme="minorHAnsi" w:cstheme="minorHAnsi"/>
          <w:i/>
          <w:iCs/>
        </w:rPr>
        <w:t>Ibid</w:t>
      </w:r>
      <w:r w:rsidRPr="007F0C6A">
        <w:rPr>
          <w:rFonts w:asciiTheme="minorHAnsi" w:hAnsiTheme="minorHAnsi" w:cstheme="minorHAnsi"/>
        </w:rPr>
        <w:t xml:space="preserve"> at [68].</w:t>
      </w:r>
    </w:p>
  </w:footnote>
  <w:footnote w:id="41">
    <w:p w14:paraId="432BEB3D" w14:textId="42A4996D" w:rsidR="006F4A3E" w:rsidRPr="007F0C6A" w:rsidRDefault="002E0068" w:rsidP="007F0C6A">
      <w:pPr>
        <w:widowControl w:val="0"/>
        <w:autoSpaceDE w:val="0"/>
        <w:autoSpaceDN w:val="0"/>
        <w:adjustRightInd w:val="0"/>
        <w:spacing w:after="0" w:line="240" w:lineRule="auto"/>
        <w:rPr>
          <w:rFonts w:asciiTheme="minorHAnsi" w:hAnsiTheme="minorHAnsi" w:cstheme="minorHAnsi"/>
          <w:color w:val="000000"/>
          <w:sz w:val="20"/>
          <w:szCs w:val="20"/>
        </w:rPr>
      </w:pPr>
      <w:r w:rsidRPr="007F0C6A">
        <w:rPr>
          <w:rStyle w:val="FootnoteReference"/>
          <w:rFonts w:asciiTheme="minorHAnsi" w:hAnsiTheme="minorHAnsi" w:cstheme="minorHAnsi"/>
          <w:sz w:val="20"/>
          <w:szCs w:val="20"/>
        </w:rPr>
        <w:footnoteRef/>
      </w:r>
      <w:r w:rsidRPr="007F0C6A">
        <w:rPr>
          <w:rFonts w:asciiTheme="minorHAnsi" w:hAnsiTheme="minorHAnsi" w:cstheme="minorHAnsi"/>
          <w:sz w:val="20"/>
          <w:szCs w:val="20"/>
        </w:rPr>
        <w:t xml:space="preserve"> </w:t>
      </w:r>
      <w:r w:rsidRPr="007F0C6A">
        <w:rPr>
          <w:rFonts w:asciiTheme="minorHAnsi" w:hAnsiTheme="minorHAnsi" w:cstheme="minorHAnsi"/>
          <w:color w:val="505050"/>
          <w:sz w:val="20"/>
          <w:szCs w:val="20"/>
        </w:rPr>
        <w:t>Jonathan Rogers, ‘</w:t>
      </w:r>
      <w:r w:rsidRPr="007F0C6A">
        <w:rPr>
          <w:rFonts w:asciiTheme="minorHAnsi" w:hAnsiTheme="minorHAnsi" w:cstheme="minorHAnsi"/>
          <w:color w:val="252525"/>
          <w:sz w:val="20"/>
          <w:szCs w:val="20"/>
        </w:rPr>
        <w:t xml:space="preserve">Liability for egregiously bad police investigations’ </w:t>
      </w:r>
      <w:r w:rsidR="00BA438D" w:rsidRPr="007F0C6A">
        <w:rPr>
          <w:rFonts w:asciiTheme="minorHAnsi" w:hAnsiTheme="minorHAnsi" w:cstheme="minorHAnsi"/>
          <w:color w:val="252525"/>
          <w:sz w:val="20"/>
          <w:szCs w:val="20"/>
        </w:rPr>
        <w:t xml:space="preserve">(2018) </w:t>
      </w:r>
      <w:r w:rsidR="00362EDF">
        <w:rPr>
          <w:rFonts w:asciiTheme="minorHAnsi" w:hAnsiTheme="minorHAnsi" w:cstheme="minorHAnsi"/>
          <w:color w:val="252525"/>
          <w:sz w:val="20"/>
          <w:szCs w:val="20"/>
        </w:rPr>
        <w:t xml:space="preserve">6 </w:t>
      </w:r>
      <w:r w:rsidRPr="007F0C6A">
        <w:rPr>
          <w:rFonts w:asciiTheme="minorHAnsi" w:hAnsiTheme="minorHAnsi" w:cstheme="minorHAnsi"/>
          <w:i/>
          <w:iCs/>
          <w:color w:val="000000"/>
          <w:sz w:val="20"/>
          <w:szCs w:val="20"/>
        </w:rPr>
        <w:t>Arch. Rev</w:t>
      </w:r>
      <w:r w:rsidRPr="007F0C6A">
        <w:rPr>
          <w:rFonts w:asciiTheme="minorHAnsi" w:hAnsiTheme="minorHAnsi" w:cstheme="minorHAnsi"/>
          <w:color w:val="000000"/>
          <w:sz w:val="20"/>
          <w:szCs w:val="20"/>
        </w:rPr>
        <w:t>.</w:t>
      </w:r>
      <w:r w:rsidR="00362EDF">
        <w:rPr>
          <w:rFonts w:asciiTheme="minorHAnsi" w:hAnsiTheme="minorHAnsi" w:cstheme="minorHAnsi"/>
          <w:color w:val="000000"/>
          <w:sz w:val="20"/>
          <w:szCs w:val="20"/>
        </w:rPr>
        <w:t xml:space="preserve"> </w:t>
      </w:r>
      <w:r w:rsidRPr="007F0C6A">
        <w:rPr>
          <w:rFonts w:asciiTheme="minorHAnsi" w:hAnsiTheme="minorHAnsi" w:cstheme="minorHAnsi"/>
          <w:color w:val="000000"/>
          <w:sz w:val="20"/>
          <w:szCs w:val="20"/>
        </w:rPr>
        <w:t>6</w:t>
      </w:r>
      <w:r w:rsidR="00362EDF">
        <w:rPr>
          <w:rFonts w:asciiTheme="minorHAnsi" w:hAnsiTheme="minorHAnsi" w:cstheme="minorHAnsi"/>
          <w:color w:val="000000"/>
          <w:sz w:val="20"/>
          <w:szCs w:val="20"/>
        </w:rPr>
        <w:t xml:space="preserve"> at</w:t>
      </w:r>
      <w:r w:rsidR="00BA438D" w:rsidRPr="007F0C6A">
        <w:rPr>
          <w:rFonts w:asciiTheme="minorHAnsi" w:hAnsiTheme="minorHAnsi" w:cstheme="minorHAnsi"/>
          <w:color w:val="000000"/>
          <w:sz w:val="20"/>
          <w:szCs w:val="20"/>
        </w:rPr>
        <w:t xml:space="preserve"> </w:t>
      </w:r>
      <w:r w:rsidRPr="007F0C6A">
        <w:rPr>
          <w:rFonts w:asciiTheme="minorHAnsi" w:hAnsiTheme="minorHAnsi" w:cstheme="minorHAnsi"/>
          <w:color w:val="000000"/>
          <w:sz w:val="20"/>
          <w:szCs w:val="20"/>
        </w:rPr>
        <w:t>7.</w:t>
      </w:r>
    </w:p>
  </w:footnote>
  <w:footnote w:id="42">
    <w:p w14:paraId="30FDC73F" w14:textId="691180AF" w:rsidR="00995DC7" w:rsidRPr="003F5F3F" w:rsidRDefault="00995DC7" w:rsidP="008A31F7">
      <w:pPr>
        <w:spacing w:after="0" w:line="240" w:lineRule="auto"/>
        <w:rPr>
          <w:rFonts w:asciiTheme="minorHAnsi" w:hAnsiTheme="minorHAnsi" w:cstheme="minorHAnsi"/>
          <w:sz w:val="20"/>
          <w:szCs w:val="20"/>
        </w:rPr>
      </w:pPr>
      <w:r w:rsidRPr="00E823CC">
        <w:rPr>
          <w:rStyle w:val="FootnoteReference"/>
          <w:rFonts w:asciiTheme="minorHAnsi" w:hAnsiTheme="minorHAnsi" w:cstheme="minorHAnsi"/>
          <w:sz w:val="20"/>
          <w:szCs w:val="20"/>
        </w:rPr>
        <w:footnoteRef/>
      </w:r>
      <w:r w:rsidRPr="00E823CC">
        <w:rPr>
          <w:rFonts w:asciiTheme="minorHAnsi" w:hAnsiTheme="minorHAnsi" w:cstheme="minorHAnsi"/>
          <w:sz w:val="20"/>
          <w:szCs w:val="20"/>
        </w:rPr>
        <w:t xml:space="preserve"> </w:t>
      </w:r>
      <w:r w:rsidR="00AC263D" w:rsidRPr="00E823CC">
        <w:rPr>
          <w:rFonts w:asciiTheme="minorHAnsi" w:hAnsiTheme="minorHAnsi" w:cstheme="minorHAnsi"/>
          <w:sz w:val="20"/>
          <w:szCs w:val="20"/>
        </w:rPr>
        <w:t xml:space="preserve">[2014] 436 (QB). The </w:t>
      </w:r>
      <w:r w:rsidR="00A043F9" w:rsidRPr="00E823CC">
        <w:rPr>
          <w:rFonts w:asciiTheme="minorHAnsi" w:hAnsiTheme="minorHAnsi" w:cstheme="minorHAnsi"/>
          <w:i/>
          <w:iCs/>
          <w:sz w:val="20"/>
          <w:szCs w:val="20"/>
        </w:rPr>
        <w:t>DSD</w:t>
      </w:r>
      <w:r w:rsidR="00A043F9" w:rsidRPr="00E823CC">
        <w:rPr>
          <w:rFonts w:asciiTheme="minorHAnsi" w:hAnsiTheme="minorHAnsi" w:cstheme="minorHAnsi"/>
          <w:sz w:val="20"/>
          <w:szCs w:val="20"/>
        </w:rPr>
        <w:t xml:space="preserve"> case</w:t>
      </w:r>
      <w:r w:rsidRPr="00E823CC">
        <w:rPr>
          <w:rFonts w:asciiTheme="minorHAnsi" w:hAnsiTheme="minorHAnsi" w:cstheme="minorHAnsi"/>
          <w:sz w:val="20"/>
          <w:szCs w:val="20"/>
        </w:rPr>
        <w:t xml:space="preserve"> </w:t>
      </w:r>
      <w:r w:rsidR="007E51E4" w:rsidRPr="00E823CC">
        <w:rPr>
          <w:rFonts w:asciiTheme="minorHAnsi" w:hAnsiTheme="minorHAnsi" w:cstheme="minorHAnsi"/>
          <w:sz w:val="20"/>
          <w:szCs w:val="20"/>
        </w:rPr>
        <w:t>was brought by</w:t>
      </w:r>
      <w:r w:rsidRPr="00E823CC">
        <w:rPr>
          <w:rFonts w:asciiTheme="minorHAnsi" w:hAnsiTheme="minorHAnsi" w:cstheme="minorHAnsi"/>
          <w:sz w:val="20"/>
          <w:szCs w:val="20"/>
        </w:rPr>
        <w:t xml:space="preserve"> </w:t>
      </w:r>
      <w:r w:rsidR="00AF4A00" w:rsidRPr="00E823CC">
        <w:rPr>
          <w:rFonts w:asciiTheme="minorHAnsi" w:hAnsiTheme="minorHAnsi" w:cstheme="minorHAnsi"/>
          <w:sz w:val="20"/>
          <w:szCs w:val="20"/>
        </w:rPr>
        <w:t xml:space="preserve">two </w:t>
      </w:r>
      <w:r w:rsidRPr="00E823CC">
        <w:rPr>
          <w:rFonts w:asciiTheme="minorHAnsi" w:hAnsiTheme="minorHAnsi" w:cstheme="minorHAnsi"/>
          <w:sz w:val="20"/>
          <w:szCs w:val="20"/>
        </w:rPr>
        <w:t>victims of John Worboys, a serial sex offender known</w:t>
      </w:r>
      <w:r w:rsidRPr="007F0C6A">
        <w:rPr>
          <w:rFonts w:asciiTheme="minorHAnsi" w:hAnsiTheme="minorHAnsi" w:cstheme="minorHAnsi"/>
          <w:sz w:val="20"/>
          <w:szCs w:val="20"/>
        </w:rPr>
        <w:t xml:space="preserve"> as the Black Cab Rapist and thought to be responsible for the drugging and sexual assault of over 100 women. Both NBV and </w:t>
      </w:r>
      <w:r w:rsidRPr="003F5F3F">
        <w:rPr>
          <w:rFonts w:asciiTheme="minorHAnsi" w:hAnsiTheme="minorHAnsi" w:cstheme="minorHAnsi"/>
          <w:sz w:val="20"/>
          <w:szCs w:val="20"/>
        </w:rPr>
        <w:t>DSD reported their assault</w:t>
      </w:r>
      <w:r w:rsidR="004054B7">
        <w:rPr>
          <w:rFonts w:asciiTheme="minorHAnsi" w:hAnsiTheme="minorHAnsi" w:cstheme="minorHAnsi"/>
          <w:sz w:val="20"/>
          <w:szCs w:val="20"/>
        </w:rPr>
        <w:t>s</w:t>
      </w:r>
      <w:r w:rsidRPr="003F5F3F">
        <w:rPr>
          <w:rFonts w:asciiTheme="minorHAnsi" w:hAnsiTheme="minorHAnsi" w:cstheme="minorHAnsi"/>
          <w:sz w:val="20"/>
          <w:szCs w:val="20"/>
        </w:rPr>
        <w:t xml:space="preserve"> to the police, and in NBV’s case Worboys was quickly arrested as a suspect but released without charge. In DSD’s case, he was never identified. Worboys was eventually charged with 23 offences relating to 14 victims and convicted of 19 counts</w:t>
      </w:r>
      <w:r w:rsidR="00AF4A00">
        <w:rPr>
          <w:rFonts w:asciiTheme="minorHAnsi" w:hAnsiTheme="minorHAnsi" w:cstheme="minorHAnsi"/>
          <w:sz w:val="20"/>
          <w:szCs w:val="20"/>
        </w:rPr>
        <w:t xml:space="preserve">, </w:t>
      </w:r>
      <w:r w:rsidRPr="003F5F3F">
        <w:rPr>
          <w:rFonts w:asciiTheme="minorHAnsi" w:hAnsiTheme="minorHAnsi" w:cstheme="minorHAnsi"/>
          <w:sz w:val="20"/>
          <w:szCs w:val="20"/>
        </w:rPr>
        <w:t xml:space="preserve">including the assault on NBV. </w:t>
      </w:r>
      <w:r w:rsidR="00AF4A00">
        <w:rPr>
          <w:rFonts w:asciiTheme="minorHAnsi" w:hAnsiTheme="minorHAnsi" w:cstheme="minorHAnsi"/>
          <w:sz w:val="20"/>
          <w:szCs w:val="20"/>
        </w:rPr>
        <w:t>The</w:t>
      </w:r>
      <w:r w:rsidRPr="003F5F3F">
        <w:rPr>
          <w:rFonts w:asciiTheme="minorHAnsi" w:hAnsiTheme="minorHAnsi" w:cstheme="minorHAnsi"/>
          <w:sz w:val="20"/>
          <w:szCs w:val="20"/>
        </w:rPr>
        <w:t xml:space="preserve"> women brought damages proceedings against the police, alleging failure to carry out effective investigations into their complaints that amounted to </w:t>
      </w:r>
      <w:r w:rsidR="00AF4A00">
        <w:rPr>
          <w:rFonts w:asciiTheme="minorHAnsi" w:hAnsiTheme="minorHAnsi" w:cstheme="minorHAnsi"/>
          <w:sz w:val="20"/>
          <w:szCs w:val="20"/>
        </w:rPr>
        <w:t>breaches of</w:t>
      </w:r>
      <w:r w:rsidRPr="003F5F3F">
        <w:rPr>
          <w:rFonts w:asciiTheme="minorHAnsi" w:hAnsiTheme="minorHAnsi" w:cstheme="minorHAnsi"/>
          <w:sz w:val="20"/>
          <w:szCs w:val="20"/>
        </w:rPr>
        <w:t xml:space="preserve"> </w:t>
      </w:r>
      <w:r w:rsidR="004054B7">
        <w:rPr>
          <w:rFonts w:asciiTheme="minorHAnsi" w:hAnsiTheme="minorHAnsi" w:cstheme="minorHAnsi"/>
          <w:sz w:val="20"/>
          <w:szCs w:val="20"/>
        </w:rPr>
        <w:t>A</w:t>
      </w:r>
      <w:r w:rsidRPr="003F5F3F">
        <w:rPr>
          <w:rFonts w:asciiTheme="minorHAnsi" w:hAnsiTheme="minorHAnsi" w:cstheme="minorHAnsi"/>
          <w:sz w:val="20"/>
          <w:szCs w:val="20"/>
        </w:rPr>
        <w:t>rt</w:t>
      </w:r>
      <w:r w:rsidR="004054B7">
        <w:rPr>
          <w:rFonts w:asciiTheme="minorHAnsi" w:hAnsiTheme="minorHAnsi" w:cstheme="minorHAnsi"/>
          <w:sz w:val="20"/>
          <w:szCs w:val="20"/>
        </w:rPr>
        <w:t xml:space="preserve">icle </w:t>
      </w:r>
      <w:r w:rsidRPr="003F5F3F">
        <w:rPr>
          <w:rFonts w:asciiTheme="minorHAnsi" w:hAnsiTheme="minorHAnsi" w:cstheme="minorHAnsi"/>
          <w:sz w:val="20"/>
          <w:szCs w:val="20"/>
        </w:rPr>
        <w:t xml:space="preserve">3 of the </w:t>
      </w:r>
      <w:r w:rsidR="00AF4A00">
        <w:rPr>
          <w:rFonts w:asciiTheme="minorHAnsi" w:hAnsiTheme="minorHAnsi" w:cstheme="minorHAnsi"/>
          <w:sz w:val="20"/>
          <w:szCs w:val="20"/>
        </w:rPr>
        <w:t>ECHR</w:t>
      </w:r>
      <w:r w:rsidRPr="003F5F3F">
        <w:rPr>
          <w:rFonts w:asciiTheme="minorHAnsi" w:hAnsiTheme="minorHAnsi" w:cstheme="minorHAnsi"/>
          <w:sz w:val="20"/>
          <w:szCs w:val="20"/>
        </w:rPr>
        <w:t>.</w:t>
      </w:r>
    </w:p>
  </w:footnote>
  <w:footnote w:id="43">
    <w:p w14:paraId="7B2AC503" w14:textId="63C62140" w:rsidR="00DA53A8" w:rsidRPr="00BD402B" w:rsidRDefault="00DA53A8">
      <w:pPr>
        <w:pStyle w:val="FootnoteText"/>
        <w:rPr>
          <w:rFonts w:asciiTheme="minorHAnsi" w:hAnsiTheme="minorHAnsi" w:cstheme="minorHAnsi"/>
        </w:rPr>
      </w:pPr>
      <w:r w:rsidRPr="00BD402B">
        <w:rPr>
          <w:rStyle w:val="FootnoteReference"/>
          <w:rFonts w:asciiTheme="minorHAnsi" w:hAnsiTheme="minorHAnsi" w:cstheme="minorHAnsi"/>
        </w:rPr>
        <w:footnoteRef/>
      </w:r>
      <w:r w:rsidRPr="00BD402B">
        <w:rPr>
          <w:rFonts w:asciiTheme="minorHAnsi" w:hAnsiTheme="minorHAnsi" w:cstheme="minorHAnsi"/>
        </w:rPr>
        <w:t xml:space="preserve"> </w:t>
      </w:r>
      <w:r w:rsidR="00E823CC" w:rsidRPr="00BD402B">
        <w:rPr>
          <w:rFonts w:asciiTheme="minorHAnsi" w:hAnsiTheme="minorHAnsi" w:cstheme="minorHAnsi"/>
          <w:i/>
          <w:iCs/>
        </w:rPr>
        <w:t>Ibid</w:t>
      </w:r>
      <w:r w:rsidR="00E823CC" w:rsidRPr="00BD402B">
        <w:rPr>
          <w:rFonts w:asciiTheme="minorHAnsi" w:hAnsiTheme="minorHAnsi" w:cstheme="minorHAnsi"/>
        </w:rPr>
        <w:t xml:space="preserve"> at [216].</w:t>
      </w:r>
    </w:p>
  </w:footnote>
  <w:footnote w:id="44">
    <w:p w14:paraId="36A2D0A3" w14:textId="6C607A96" w:rsidR="00E823CC" w:rsidRPr="00BD402B" w:rsidRDefault="00E823CC">
      <w:pPr>
        <w:pStyle w:val="FootnoteText"/>
        <w:rPr>
          <w:rFonts w:asciiTheme="minorHAnsi" w:hAnsiTheme="minorHAnsi" w:cstheme="minorHAnsi"/>
        </w:rPr>
      </w:pPr>
      <w:r w:rsidRPr="00BD402B">
        <w:rPr>
          <w:rStyle w:val="FootnoteReference"/>
          <w:rFonts w:asciiTheme="minorHAnsi" w:hAnsiTheme="minorHAnsi" w:cstheme="minorHAnsi"/>
        </w:rPr>
        <w:footnoteRef/>
      </w:r>
      <w:r w:rsidRPr="00BD402B">
        <w:rPr>
          <w:rFonts w:asciiTheme="minorHAnsi" w:hAnsiTheme="minorHAnsi" w:cstheme="minorHAnsi"/>
        </w:rPr>
        <w:t xml:space="preserve"> </w:t>
      </w:r>
      <w:r w:rsidRPr="00BD402B">
        <w:rPr>
          <w:rFonts w:asciiTheme="minorHAnsi" w:hAnsiTheme="minorHAnsi" w:cstheme="minorHAnsi"/>
          <w:i/>
          <w:iCs/>
        </w:rPr>
        <w:t>Ibid</w:t>
      </w:r>
      <w:r w:rsidRPr="00BD402B">
        <w:rPr>
          <w:rFonts w:asciiTheme="minorHAnsi" w:hAnsiTheme="minorHAnsi" w:cstheme="minorHAnsi"/>
        </w:rPr>
        <w:t xml:space="preserve"> at [218].</w:t>
      </w:r>
    </w:p>
  </w:footnote>
  <w:footnote w:id="45">
    <w:p w14:paraId="1650E62F" w14:textId="1A9F51A4" w:rsidR="00DE14D3" w:rsidRPr="00BD402B" w:rsidRDefault="00DE14D3">
      <w:pPr>
        <w:pStyle w:val="FootnoteText"/>
        <w:rPr>
          <w:rFonts w:asciiTheme="minorHAnsi" w:hAnsiTheme="minorHAnsi" w:cstheme="minorHAnsi"/>
        </w:rPr>
      </w:pPr>
      <w:r w:rsidRPr="00BD402B">
        <w:rPr>
          <w:rStyle w:val="FootnoteReference"/>
          <w:rFonts w:asciiTheme="minorHAnsi" w:hAnsiTheme="minorHAnsi" w:cstheme="minorHAnsi"/>
        </w:rPr>
        <w:footnoteRef/>
      </w:r>
      <w:r w:rsidRPr="00BD402B">
        <w:rPr>
          <w:rFonts w:asciiTheme="minorHAnsi" w:hAnsiTheme="minorHAnsi" w:cstheme="minorHAnsi"/>
        </w:rPr>
        <w:t xml:space="preserve"> </w:t>
      </w:r>
      <w:r w:rsidRPr="00BD402B">
        <w:rPr>
          <w:rFonts w:asciiTheme="minorHAnsi" w:hAnsiTheme="minorHAnsi" w:cstheme="minorHAnsi"/>
          <w:i/>
          <w:iCs/>
        </w:rPr>
        <w:t>Ibid</w:t>
      </w:r>
      <w:r w:rsidRPr="00BD402B">
        <w:rPr>
          <w:rFonts w:asciiTheme="minorHAnsi" w:hAnsiTheme="minorHAnsi" w:cstheme="minorHAnsi"/>
        </w:rPr>
        <w:t xml:space="preserve"> at [219].</w:t>
      </w:r>
    </w:p>
  </w:footnote>
  <w:footnote w:id="46">
    <w:p w14:paraId="54A3CA83" w14:textId="2F64CB21" w:rsidR="00DE14D3" w:rsidRPr="00BD402B" w:rsidRDefault="00DE14D3">
      <w:pPr>
        <w:pStyle w:val="FootnoteText"/>
        <w:rPr>
          <w:rFonts w:asciiTheme="minorHAnsi" w:hAnsiTheme="minorHAnsi" w:cstheme="minorHAnsi"/>
        </w:rPr>
      </w:pPr>
      <w:r w:rsidRPr="00BD402B">
        <w:rPr>
          <w:rStyle w:val="FootnoteReference"/>
          <w:rFonts w:asciiTheme="minorHAnsi" w:hAnsiTheme="minorHAnsi" w:cstheme="minorHAnsi"/>
        </w:rPr>
        <w:footnoteRef/>
      </w:r>
      <w:r w:rsidRPr="00BD402B">
        <w:rPr>
          <w:rFonts w:asciiTheme="minorHAnsi" w:hAnsiTheme="minorHAnsi" w:cstheme="minorHAnsi"/>
        </w:rPr>
        <w:t xml:space="preserve"> </w:t>
      </w:r>
      <w:r w:rsidRPr="00BD402B">
        <w:rPr>
          <w:rFonts w:asciiTheme="minorHAnsi" w:hAnsiTheme="minorHAnsi" w:cstheme="minorHAnsi"/>
          <w:i/>
          <w:iCs/>
        </w:rPr>
        <w:t>Ibid</w:t>
      </w:r>
      <w:r w:rsidRPr="00BD402B">
        <w:rPr>
          <w:rFonts w:asciiTheme="minorHAnsi" w:hAnsiTheme="minorHAnsi" w:cstheme="minorHAnsi"/>
        </w:rPr>
        <w:t xml:space="preserve"> at [220].</w:t>
      </w:r>
    </w:p>
  </w:footnote>
  <w:footnote w:id="47">
    <w:p w14:paraId="74A1ED62" w14:textId="43603683" w:rsidR="00BD402B" w:rsidRDefault="00BD402B">
      <w:pPr>
        <w:pStyle w:val="FootnoteText"/>
      </w:pPr>
      <w:r>
        <w:rPr>
          <w:rStyle w:val="FootnoteReference"/>
        </w:rPr>
        <w:footnoteRef/>
      </w:r>
      <w:r>
        <w:t xml:space="preserve"> </w:t>
      </w:r>
      <w:r w:rsidRPr="00F971E7">
        <w:rPr>
          <w:rFonts w:asciiTheme="minorHAnsi" w:hAnsiTheme="minorHAnsi" w:cstheme="minorHAnsi"/>
        </w:rPr>
        <w:t xml:space="preserve">[2018] UKSC 11 at </w:t>
      </w:r>
      <w:r>
        <w:rPr>
          <w:rFonts w:asciiTheme="minorHAnsi" w:hAnsiTheme="minorHAnsi" w:cstheme="minorHAnsi"/>
        </w:rPr>
        <w:t>[</w:t>
      </w:r>
      <w:r w:rsidRPr="00F971E7">
        <w:rPr>
          <w:rFonts w:asciiTheme="minorHAnsi" w:hAnsiTheme="minorHAnsi" w:cstheme="minorHAnsi"/>
        </w:rPr>
        <w:t>51</w:t>
      </w:r>
      <w:r>
        <w:rPr>
          <w:rFonts w:asciiTheme="minorHAnsi" w:hAnsiTheme="minorHAnsi" w:cstheme="minorHAnsi"/>
        </w:rPr>
        <w:t>].</w:t>
      </w:r>
    </w:p>
  </w:footnote>
  <w:footnote w:id="48">
    <w:p w14:paraId="63587BA3" w14:textId="2024BECB" w:rsidR="00D56C0B" w:rsidRPr="00007B48" w:rsidRDefault="00D56C0B" w:rsidP="00057337">
      <w:pPr>
        <w:widowControl w:val="0"/>
        <w:autoSpaceDE w:val="0"/>
        <w:autoSpaceDN w:val="0"/>
        <w:adjustRightInd w:val="0"/>
        <w:spacing w:after="0" w:line="240" w:lineRule="auto"/>
        <w:jc w:val="both"/>
        <w:rPr>
          <w:rFonts w:asciiTheme="minorHAnsi" w:hAnsiTheme="minorHAnsi" w:cstheme="minorHAnsi"/>
          <w:sz w:val="20"/>
          <w:szCs w:val="20"/>
        </w:rPr>
      </w:pPr>
      <w:r w:rsidRPr="00007B48">
        <w:rPr>
          <w:rStyle w:val="FootnoteReference"/>
          <w:rFonts w:asciiTheme="minorHAnsi" w:hAnsiTheme="minorHAnsi" w:cstheme="minorHAnsi"/>
          <w:sz w:val="20"/>
          <w:szCs w:val="20"/>
        </w:rPr>
        <w:footnoteRef/>
      </w:r>
      <w:r w:rsidRPr="00007B48">
        <w:rPr>
          <w:rFonts w:asciiTheme="minorHAnsi" w:hAnsiTheme="minorHAnsi" w:cstheme="minorHAnsi"/>
          <w:sz w:val="20"/>
          <w:szCs w:val="20"/>
        </w:rPr>
        <w:t xml:space="preserve"> </w:t>
      </w:r>
      <w:r w:rsidR="00007B48" w:rsidRPr="00007B48">
        <w:rPr>
          <w:rFonts w:asciiTheme="minorHAnsi" w:hAnsiTheme="minorHAnsi" w:cstheme="minorHAnsi"/>
          <w:i/>
          <w:iCs/>
          <w:sz w:val="20"/>
          <w:szCs w:val="20"/>
        </w:rPr>
        <w:t>Ibid</w:t>
      </w:r>
      <w:r w:rsidRPr="00007B48">
        <w:rPr>
          <w:rFonts w:asciiTheme="minorHAnsi" w:hAnsiTheme="minorHAnsi" w:cstheme="minorHAnsi"/>
          <w:sz w:val="20"/>
          <w:szCs w:val="20"/>
        </w:rPr>
        <w:t xml:space="preserve"> at </w:t>
      </w:r>
      <w:r w:rsidR="00007B48" w:rsidRPr="00007B48">
        <w:rPr>
          <w:rFonts w:asciiTheme="minorHAnsi" w:hAnsiTheme="minorHAnsi" w:cstheme="minorHAnsi"/>
          <w:sz w:val="20"/>
          <w:szCs w:val="20"/>
        </w:rPr>
        <w:t>[</w:t>
      </w:r>
      <w:r w:rsidRPr="00007B48">
        <w:rPr>
          <w:rFonts w:asciiTheme="minorHAnsi" w:hAnsiTheme="minorHAnsi" w:cstheme="minorHAnsi"/>
          <w:sz w:val="20"/>
          <w:szCs w:val="20"/>
        </w:rPr>
        <w:t>20</w:t>
      </w:r>
      <w:r w:rsidR="00007B48" w:rsidRPr="00007B48">
        <w:rPr>
          <w:rFonts w:asciiTheme="minorHAnsi" w:hAnsiTheme="minorHAnsi" w:cstheme="minorHAnsi"/>
          <w:sz w:val="20"/>
          <w:szCs w:val="20"/>
        </w:rPr>
        <w:t>]</w:t>
      </w:r>
      <w:r w:rsidRPr="00007B48">
        <w:rPr>
          <w:rFonts w:asciiTheme="minorHAnsi" w:hAnsiTheme="minorHAnsi" w:cstheme="minorHAnsi"/>
          <w:sz w:val="20"/>
          <w:szCs w:val="20"/>
        </w:rPr>
        <w:t>: “</w:t>
      </w:r>
      <w:r w:rsidRPr="00007B48">
        <w:rPr>
          <w:rFonts w:asciiTheme="minorHAnsi" w:hAnsiTheme="minorHAnsi" w:cstheme="minorHAnsi"/>
          <w:color w:val="000000"/>
          <w:sz w:val="20"/>
          <w:szCs w:val="20"/>
        </w:rPr>
        <w:t>What is not in the least uncertain, however, is that, if the relevant circumstances are present, there is a duty on the part of state authorities to investigate where non-state agents are responsible for the infliction of the harm. That cannot be characterised as other than an operational duty. The debate must focus, therefore, not on the existence of such a duty but on the circumstances in which it is animated.”</w:t>
      </w:r>
    </w:p>
  </w:footnote>
  <w:footnote w:id="49">
    <w:p w14:paraId="41C45026" w14:textId="598A4C48" w:rsidR="000304A4" w:rsidRPr="00007B48" w:rsidRDefault="000304A4">
      <w:pPr>
        <w:pStyle w:val="FootnoteText"/>
        <w:rPr>
          <w:rFonts w:asciiTheme="minorHAnsi" w:hAnsiTheme="minorHAnsi" w:cstheme="minorHAnsi"/>
        </w:rPr>
      </w:pPr>
      <w:r w:rsidRPr="00007B48">
        <w:rPr>
          <w:rStyle w:val="FootnoteReference"/>
          <w:rFonts w:asciiTheme="minorHAnsi" w:hAnsiTheme="minorHAnsi" w:cstheme="minorHAnsi"/>
        </w:rPr>
        <w:footnoteRef/>
      </w:r>
      <w:r w:rsidRPr="00007B48">
        <w:rPr>
          <w:rFonts w:asciiTheme="minorHAnsi" w:hAnsiTheme="minorHAnsi" w:cstheme="minorHAnsi"/>
        </w:rPr>
        <w:t xml:space="preserve"> See </w:t>
      </w:r>
      <w:r w:rsidR="00007B48" w:rsidRPr="00007B48">
        <w:rPr>
          <w:rFonts w:asciiTheme="minorHAnsi" w:hAnsiTheme="minorHAnsi" w:cstheme="minorHAnsi"/>
          <w:i/>
          <w:iCs/>
        </w:rPr>
        <w:t>ibid</w:t>
      </w:r>
      <w:r w:rsidR="00007B48" w:rsidRPr="00007B48">
        <w:rPr>
          <w:rFonts w:asciiTheme="minorHAnsi" w:hAnsiTheme="minorHAnsi" w:cstheme="minorHAnsi"/>
        </w:rPr>
        <w:t xml:space="preserve"> at [78].</w:t>
      </w:r>
    </w:p>
  </w:footnote>
  <w:footnote w:id="50">
    <w:p w14:paraId="0B0F33FF" w14:textId="15D5FC09" w:rsidR="00942F06" w:rsidRPr="00942F06" w:rsidRDefault="00942F06">
      <w:pPr>
        <w:pStyle w:val="FootnoteText"/>
        <w:rPr>
          <w:rFonts w:asciiTheme="minorHAnsi" w:hAnsiTheme="minorHAnsi" w:cstheme="minorHAnsi"/>
        </w:rPr>
      </w:pPr>
      <w:r w:rsidRPr="00942F06">
        <w:rPr>
          <w:rStyle w:val="FootnoteReference"/>
          <w:rFonts w:asciiTheme="minorHAnsi" w:hAnsiTheme="minorHAnsi" w:cstheme="minorHAnsi"/>
        </w:rPr>
        <w:footnoteRef/>
      </w:r>
      <w:r w:rsidRPr="00942F06">
        <w:rPr>
          <w:rFonts w:asciiTheme="minorHAnsi" w:hAnsiTheme="minorHAnsi" w:cstheme="minorHAnsi"/>
        </w:rPr>
        <w:t xml:space="preserve"> </w:t>
      </w:r>
      <w:r w:rsidRPr="00942F06">
        <w:rPr>
          <w:rFonts w:asciiTheme="minorHAnsi" w:hAnsiTheme="minorHAnsi" w:cstheme="minorHAnsi"/>
          <w:i/>
          <w:iCs/>
        </w:rPr>
        <w:t>Ibid</w:t>
      </w:r>
      <w:r w:rsidRPr="00942F06">
        <w:rPr>
          <w:rFonts w:asciiTheme="minorHAnsi" w:hAnsiTheme="minorHAnsi" w:cstheme="minorHAnsi"/>
        </w:rPr>
        <w:t xml:space="preserve"> at [29].</w:t>
      </w:r>
    </w:p>
  </w:footnote>
  <w:footnote w:id="51">
    <w:p w14:paraId="31FE1A19" w14:textId="1103F134" w:rsidR="006F4A3E" w:rsidRPr="009E213D" w:rsidRDefault="006E0974" w:rsidP="00057337">
      <w:pPr>
        <w:widowControl w:val="0"/>
        <w:autoSpaceDE w:val="0"/>
        <w:autoSpaceDN w:val="0"/>
        <w:adjustRightInd w:val="0"/>
        <w:spacing w:after="0" w:line="240" w:lineRule="auto"/>
        <w:rPr>
          <w:rFonts w:asciiTheme="minorHAnsi" w:hAnsiTheme="minorHAnsi" w:cstheme="minorHAnsi"/>
          <w:color w:val="000000"/>
          <w:sz w:val="20"/>
          <w:szCs w:val="20"/>
        </w:rPr>
      </w:pPr>
      <w:r w:rsidRPr="009E213D">
        <w:rPr>
          <w:rStyle w:val="FootnoteReference"/>
          <w:rFonts w:asciiTheme="minorHAnsi" w:hAnsiTheme="minorHAnsi" w:cstheme="minorHAnsi"/>
          <w:sz w:val="20"/>
          <w:szCs w:val="20"/>
        </w:rPr>
        <w:footnoteRef/>
      </w:r>
      <w:r w:rsidRPr="009E213D">
        <w:rPr>
          <w:rFonts w:asciiTheme="minorHAnsi" w:hAnsiTheme="minorHAnsi" w:cstheme="minorHAnsi"/>
          <w:sz w:val="20"/>
          <w:szCs w:val="20"/>
        </w:rPr>
        <w:t xml:space="preserve"> Raphael Levy, ‘</w:t>
      </w:r>
      <w:r w:rsidRPr="009E213D">
        <w:rPr>
          <w:rFonts w:asciiTheme="minorHAnsi" w:hAnsiTheme="minorHAnsi" w:cstheme="minorHAnsi"/>
          <w:i/>
          <w:iCs/>
          <w:color w:val="252525"/>
          <w:sz w:val="20"/>
          <w:szCs w:val="20"/>
        </w:rPr>
        <w:t>Commissioner of Police of the Metropolis v DSD</w:t>
      </w:r>
      <w:r w:rsidRPr="009E213D">
        <w:rPr>
          <w:rFonts w:asciiTheme="minorHAnsi" w:hAnsiTheme="minorHAnsi" w:cstheme="minorHAnsi"/>
          <w:color w:val="252525"/>
          <w:sz w:val="20"/>
          <w:szCs w:val="20"/>
        </w:rPr>
        <w:t xml:space="preserve">: </w:t>
      </w:r>
      <w:r w:rsidR="009E213D">
        <w:rPr>
          <w:rFonts w:asciiTheme="minorHAnsi" w:hAnsiTheme="minorHAnsi" w:cstheme="minorHAnsi"/>
          <w:color w:val="252525"/>
          <w:sz w:val="20"/>
          <w:szCs w:val="20"/>
        </w:rPr>
        <w:t>T</w:t>
      </w:r>
      <w:r w:rsidRPr="009E213D">
        <w:rPr>
          <w:rFonts w:asciiTheme="minorHAnsi" w:hAnsiTheme="minorHAnsi" w:cstheme="minorHAnsi"/>
          <w:color w:val="252525"/>
          <w:sz w:val="20"/>
          <w:szCs w:val="20"/>
        </w:rPr>
        <w:t>he protection afforded under art.3 of the European Convention on Human Rights</w:t>
      </w:r>
      <w:r w:rsidRPr="009E213D">
        <w:rPr>
          <w:rFonts w:asciiTheme="minorHAnsi" w:hAnsiTheme="minorHAnsi" w:cstheme="minorHAnsi"/>
          <w:sz w:val="20"/>
          <w:szCs w:val="20"/>
        </w:rPr>
        <w:t>’</w:t>
      </w:r>
      <w:r w:rsidR="00BA438D" w:rsidRPr="009E213D">
        <w:rPr>
          <w:rFonts w:asciiTheme="minorHAnsi" w:hAnsiTheme="minorHAnsi" w:cstheme="minorHAnsi"/>
          <w:sz w:val="20"/>
          <w:szCs w:val="20"/>
        </w:rPr>
        <w:t xml:space="preserve"> </w:t>
      </w:r>
      <w:r w:rsidR="009E213D">
        <w:rPr>
          <w:rFonts w:asciiTheme="minorHAnsi" w:hAnsiTheme="minorHAnsi" w:cstheme="minorHAnsi"/>
          <w:sz w:val="20"/>
          <w:szCs w:val="20"/>
        </w:rPr>
        <w:t>[</w:t>
      </w:r>
      <w:r w:rsidR="00BA438D" w:rsidRPr="009E213D">
        <w:rPr>
          <w:rFonts w:asciiTheme="minorHAnsi" w:hAnsiTheme="minorHAnsi" w:cstheme="minorHAnsi"/>
          <w:sz w:val="20"/>
          <w:szCs w:val="20"/>
        </w:rPr>
        <w:t>2019</w:t>
      </w:r>
      <w:r w:rsidR="009E213D">
        <w:rPr>
          <w:rFonts w:asciiTheme="minorHAnsi" w:hAnsiTheme="minorHAnsi" w:cstheme="minorHAnsi"/>
          <w:sz w:val="20"/>
          <w:szCs w:val="20"/>
        </w:rPr>
        <w:t>]</w:t>
      </w:r>
      <w:r w:rsidRPr="009E213D">
        <w:rPr>
          <w:rFonts w:asciiTheme="minorHAnsi" w:hAnsiTheme="minorHAnsi" w:cstheme="minorHAnsi"/>
          <w:sz w:val="20"/>
          <w:szCs w:val="20"/>
        </w:rPr>
        <w:t xml:space="preserve"> </w:t>
      </w:r>
      <w:r w:rsidRPr="009E213D">
        <w:rPr>
          <w:rFonts w:asciiTheme="minorHAnsi" w:hAnsiTheme="minorHAnsi" w:cstheme="minorHAnsi"/>
          <w:i/>
          <w:iCs/>
          <w:color w:val="000000"/>
          <w:sz w:val="20"/>
          <w:szCs w:val="20"/>
        </w:rPr>
        <w:t>P</w:t>
      </w:r>
      <w:r w:rsidR="00BA438D" w:rsidRPr="009E213D">
        <w:rPr>
          <w:rFonts w:asciiTheme="minorHAnsi" w:hAnsiTheme="minorHAnsi" w:cstheme="minorHAnsi"/>
          <w:i/>
          <w:iCs/>
          <w:color w:val="000000"/>
          <w:sz w:val="20"/>
          <w:szCs w:val="20"/>
        </w:rPr>
        <w:t xml:space="preserve">ublic </w:t>
      </w:r>
      <w:r w:rsidRPr="009E213D">
        <w:rPr>
          <w:rFonts w:asciiTheme="minorHAnsi" w:hAnsiTheme="minorHAnsi" w:cstheme="minorHAnsi"/>
          <w:i/>
          <w:iCs/>
          <w:color w:val="000000"/>
          <w:sz w:val="20"/>
          <w:szCs w:val="20"/>
        </w:rPr>
        <w:t>L</w:t>
      </w:r>
      <w:r w:rsidR="00BA438D" w:rsidRPr="009E213D">
        <w:rPr>
          <w:rFonts w:asciiTheme="minorHAnsi" w:hAnsiTheme="minorHAnsi" w:cstheme="minorHAnsi"/>
          <w:i/>
          <w:iCs/>
          <w:color w:val="000000"/>
          <w:sz w:val="20"/>
          <w:szCs w:val="20"/>
        </w:rPr>
        <w:t>aw</w:t>
      </w:r>
      <w:r w:rsidRPr="009E213D">
        <w:rPr>
          <w:rFonts w:asciiTheme="minorHAnsi" w:hAnsiTheme="minorHAnsi" w:cstheme="minorHAnsi"/>
          <w:color w:val="000000"/>
          <w:sz w:val="20"/>
          <w:szCs w:val="20"/>
        </w:rPr>
        <w:t xml:space="preserve"> 251</w:t>
      </w:r>
      <w:r w:rsidR="009E213D">
        <w:rPr>
          <w:rFonts w:asciiTheme="minorHAnsi" w:hAnsiTheme="minorHAnsi" w:cstheme="minorHAnsi"/>
          <w:color w:val="000000"/>
          <w:sz w:val="20"/>
          <w:szCs w:val="20"/>
        </w:rPr>
        <w:t xml:space="preserve"> at </w:t>
      </w:r>
      <w:r w:rsidRPr="009E213D">
        <w:rPr>
          <w:rFonts w:asciiTheme="minorHAnsi" w:hAnsiTheme="minorHAnsi" w:cstheme="minorHAnsi"/>
          <w:color w:val="000000"/>
          <w:sz w:val="20"/>
          <w:szCs w:val="20"/>
        </w:rPr>
        <w:t>259</w:t>
      </w:r>
      <w:r w:rsidR="00BA438D" w:rsidRPr="009E213D">
        <w:rPr>
          <w:rFonts w:asciiTheme="minorHAnsi" w:hAnsiTheme="minorHAnsi" w:cstheme="minorHAnsi"/>
          <w:color w:val="000000"/>
          <w:sz w:val="20"/>
          <w:szCs w:val="20"/>
        </w:rPr>
        <w:t>.</w:t>
      </w:r>
    </w:p>
  </w:footnote>
  <w:footnote w:id="52">
    <w:p w14:paraId="0E933A2C" w14:textId="2E7E6C02" w:rsidR="009E213D" w:rsidRPr="00F71DA2" w:rsidRDefault="009E213D">
      <w:pPr>
        <w:pStyle w:val="FootnoteText"/>
        <w:rPr>
          <w:rFonts w:asciiTheme="minorHAnsi" w:hAnsiTheme="minorHAnsi" w:cstheme="minorHAnsi"/>
        </w:rPr>
      </w:pPr>
      <w:r w:rsidRPr="00F71DA2">
        <w:rPr>
          <w:rStyle w:val="FootnoteReference"/>
          <w:rFonts w:asciiTheme="minorHAnsi" w:hAnsiTheme="minorHAnsi" w:cstheme="minorHAnsi"/>
        </w:rPr>
        <w:footnoteRef/>
      </w:r>
      <w:r w:rsidRPr="00F71DA2">
        <w:rPr>
          <w:rFonts w:asciiTheme="minorHAnsi" w:hAnsiTheme="minorHAnsi" w:cstheme="minorHAnsi"/>
        </w:rPr>
        <w:t xml:space="preserve"> </w:t>
      </w:r>
      <w:r w:rsidRPr="00F71DA2">
        <w:rPr>
          <w:rFonts w:asciiTheme="minorHAnsi" w:hAnsiTheme="minorHAnsi" w:cstheme="minorHAnsi"/>
          <w:i/>
          <w:iCs/>
        </w:rPr>
        <w:t>DSD</w:t>
      </w:r>
      <w:r w:rsidRPr="00F71DA2">
        <w:rPr>
          <w:rFonts w:asciiTheme="minorHAnsi" w:hAnsiTheme="minorHAnsi" w:cstheme="minorHAnsi"/>
        </w:rPr>
        <w:t xml:space="preserve"> (n </w:t>
      </w:r>
      <w:r w:rsidR="00556599">
        <w:rPr>
          <w:rFonts w:asciiTheme="minorHAnsi" w:hAnsiTheme="minorHAnsi" w:cstheme="minorHAnsi"/>
        </w:rPr>
        <w:t>46</w:t>
      </w:r>
      <w:r w:rsidR="00F71DA2" w:rsidRPr="00F71DA2">
        <w:rPr>
          <w:rFonts w:asciiTheme="minorHAnsi" w:hAnsiTheme="minorHAnsi" w:cstheme="minorHAnsi"/>
        </w:rPr>
        <w:t>) at [53].</w:t>
      </w:r>
    </w:p>
  </w:footnote>
  <w:footnote w:id="53">
    <w:p w14:paraId="6EF12B1F" w14:textId="43DD6D49" w:rsidR="004B1D06" w:rsidRPr="009E213D" w:rsidRDefault="004B1D06" w:rsidP="00057337">
      <w:pPr>
        <w:pStyle w:val="FootnoteText"/>
        <w:rPr>
          <w:rFonts w:asciiTheme="minorHAnsi" w:hAnsiTheme="minorHAnsi" w:cstheme="minorHAnsi"/>
        </w:rPr>
      </w:pPr>
      <w:r w:rsidRPr="009E213D">
        <w:rPr>
          <w:rStyle w:val="FootnoteReference"/>
          <w:rFonts w:asciiTheme="minorHAnsi" w:hAnsiTheme="minorHAnsi" w:cstheme="minorHAnsi"/>
        </w:rPr>
        <w:footnoteRef/>
      </w:r>
      <w:r w:rsidRPr="009E213D">
        <w:rPr>
          <w:rFonts w:asciiTheme="minorHAnsi" w:hAnsiTheme="minorHAnsi" w:cstheme="minorHAnsi"/>
        </w:rPr>
        <w:t xml:space="preserve"> </w:t>
      </w:r>
      <w:r w:rsidR="009E213D">
        <w:rPr>
          <w:rFonts w:asciiTheme="minorHAnsi" w:hAnsiTheme="minorHAnsi" w:cstheme="minorHAnsi"/>
        </w:rPr>
        <w:t>Grace (</w:t>
      </w:r>
      <w:r w:rsidRPr="009E213D">
        <w:rPr>
          <w:rFonts w:asciiTheme="minorHAnsi" w:hAnsiTheme="minorHAnsi" w:cstheme="minorHAnsi"/>
        </w:rPr>
        <w:t>n 6</w:t>
      </w:r>
      <w:r w:rsidR="009E213D">
        <w:rPr>
          <w:rFonts w:asciiTheme="minorHAnsi" w:hAnsiTheme="minorHAnsi" w:cstheme="minorHAnsi"/>
        </w:rPr>
        <w:t>).</w:t>
      </w:r>
    </w:p>
  </w:footnote>
  <w:footnote w:id="54">
    <w:p w14:paraId="4C765A7C" w14:textId="19160022" w:rsidR="00F43E30" w:rsidRPr="002E138C" w:rsidRDefault="00F43E30">
      <w:pPr>
        <w:pStyle w:val="FootnoteText"/>
        <w:rPr>
          <w:rFonts w:asciiTheme="minorHAnsi" w:hAnsiTheme="minorHAnsi" w:cstheme="minorHAnsi"/>
        </w:rPr>
      </w:pPr>
      <w:r w:rsidRPr="002E138C">
        <w:rPr>
          <w:rStyle w:val="FootnoteReference"/>
          <w:rFonts w:asciiTheme="minorHAnsi" w:hAnsiTheme="minorHAnsi" w:cstheme="minorHAnsi"/>
        </w:rPr>
        <w:footnoteRef/>
      </w:r>
      <w:r w:rsidRPr="002E138C">
        <w:rPr>
          <w:rFonts w:asciiTheme="minorHAnsi" w:hAnsiTheme="minorHAnsi" w:cstheme="minorHAnsi"/>
        </w:rPr>
        <w:t xml:space="preserve"> </w:t>
      </w:r>
      <w:r w:rsidRPr="002E138C">
        <w:rPr>
          <w:rFonts w:asciiTheme="minorHAnsi" w:hAnsiTheme="minorHAnsi" w:cstheme="minorHAnsi"/>
          <w:color w:val="000000"/>
        </w:rPr>
        <w:t>[2020] NIQB 3.</w:t>
      </w:r>
    </w:p>
  </w:footnote>
  <w:footnote w:id="55">
    <w:p w14:paraId="5B47B943" w14:textId="2D885565" w:rsidR="006D1C4B" w:rsidRPr="002E138C" w:rsidRDefault="006D1C4B">
      <w:pPr>
        <w:pStyle w:val="FootnoteText"/>
        <w:rPr>
          <w:rFonts w:asciiTheme="minorHAnsi" w:hAnsiTheme="minorHAnsi" w:cstheme="minorHAnsi"/>
        </w:rPr>
      </w:pPr>
      <w:r w:rsidRPr="002E138C">
        <w:rPr>
          <w:rStyle w:val="FootnoteReference"/>
          <w:rFonts w:asciiTheme="minorHAnsi" w:hAnsiTheme="minorHAnsi" w:cstheme="minorHAnsi"/>
        </w:rPr>
        <w:footnoteRef/>
      </w:r>
      <w:r w:rsidRPr="002E138C">
        <w:rPr>
          <w:rFonts w:asciiTheme="minorHAnsi" w:hAnsiTheme="minorHAnsi" w:cstheme="minorHAnsi"/>
        </w:rPr>
        <w:t xml:space="preserve"> </w:t>
      </w:r>
      <w:r w:rsidRPr="002E138C">
        <w:rPr>
          <w:rFonts w:asciiTheme="minorHAnsi" w:hAnsiTheme="minorHAnsi" w:cstheme="minorHAnsi"/>
          <w:i/>
          <w:iCs/>
        </w:rPr>
        <w:t>Ibid</w:t>
      </w:r>
      <w:r w:rsidRPr="002E138C">
        <w:rPr>
          <w:rFonts w:asciiTheme="minorHAnsi" w:hAnsiTheme="minorHAnsi" w:cstheme="minorHAnsi"/>
        </w:rPr>
        <w:t xml:space="preserve"> at [77].</w:t>
      </w:r>
    </w:p>
  </w:footnote>
  <w:footnote w:id="56">
    <w:p w14:paraId="7F0AFC3D" w14:textId="02C1BB1F" w:rsidR="00C762EC" w:rsidRPr="002E138C" w:rsidRDefault="00C762EC">
      <w:pPr>
        <w:pStyle w:val="FootnoteText"/>
        <w:rPr>
          <w:rFonts w:asciiTheme="minorHAnsi" w:hAnsiTheme="minorHAnsi" w:cstheme="minorHAnsi"/>
        </w:rPr>
      </w:pPr>
      <w:r w:rsidRPr="002E138C">
        <w:rPr>
          <w:rStyle w:val="FootnoteReference"/>
          <w:rFonts w:asciiTheme="minorHAnsi" w:hAnsiTheme="minorHAnsi" w:cstheme="minorHAnsi"/>
        </w:rPr>
        <w:footnoteRef/>
      </w:r>
      <w:r w:rsidRPr="002E138C">
        <w:rPr>
          <w:rFonts w:asciiTheme="minorHAnsi" w:hAnsiTheme="minorHAnsi" w:cstheme="minorHAnsi"/>
        </w:rPr>
        <w:t xml:space="preserve"> </w:t>
      </w:r>
      <w:r w:rsidRPr="002E138C">
        <w:rPr>
          <w:rFonts w:asciiTheme="minorHAnsi" w:hAnsiTheme="minorHAnsi" w:cstheme="minorHAnsi"/>
          <w:i/>
          <w:iCs/>
        </w:rPr>
        <w:t>Ibid</w:t>
      </w:r>
      <w:r w:rsidRPr="002E138C">
        <w:rPr>
          <w:rFonts w:asciiTheme="minorHAnsi" w:hAnsiTheme="minorHAnsi" w:cstheme="minorHAnsi"/>
        </w:rPr>
        <w:t xml:space="preserve"> at [92]</w:t>
      </w:r>
    </w:p>
  </w:footnote>
  <w:footnote w:id="57">
    <w:p w14:paraId="4813B0CB" w14:textId="19557C75" w:rsidR="007C71ED" w:rsidRPr="002E138C" w:rsidRDefault="007C71ED">
      <w:pPr>
        <w:pStyle w:val="FootnoteText"/>
        <w:rPr>
          <w:rFonts w:asciiTheme="minorHAnsi" w:hAnsiTheme="minorHAnsi" w:cstheme="minorHAnsi"/>
        </w:rPr>
      </w:pPr>
      <w:r w:rsidRPr="002E138C">
        <w:rPr>
          <w:rStyle w:val="FootnoteReference"/>
          <w:rFonts w:asciiTheme="minorHAnsi" w:hAnsiTheme="minorHAnsi" w:cstheme="minorHAnsi"/>
        </w:rPr>
        <w:footnoteRef/>
      </w:r>
      <w:r w:rsidRPr="002E138C">
        <w:rPr>
          <w:rFonts w:asciiTheme="minorHAnsi" w:hAnsiTheme="minorHAnsi" w:cstheme="minorHAnsi"/>
        </w:rPr>
        <w:t xml:space="preserve"> [2019] EHWC 1685.</w:t>
      </w:r>
    </w:p>
  </w:footnote>
  <w:footnote w:id="58">
    <w:p w14:paraId="20338270" w14:textId="686361A5" w:rsidR="002E138C" w:rsidRPr="00C50C88" w:rsidRDefault="002E138C">
      <w:pPr>
        <w:pStyle w:val="FootnoteText"/>
        <w:rPr>
          <w:rFonts w:asciiTheme="minorHAnsi" w:hAnsiTheme="minorHAnsi" w:cstheme="minorHAnsi"/>
        </w:rPr>
      </w:pPr>
      <w:r w:rsidRPr="00C50C88">
        <w:rPr>
          <w:rStyle w:val="FootnoteReference"/>
          <w:rFonts w:asciiTheme="minorHAnsi" w:hAnsiTheme="minorHAnsi" w:cstheme="minorHAnsi"/>
        </w:rPr>
        <w:footnoteRef/>
      </w:r>
      <w:r w:rsidRPr="00C50C88">
        <w:rPr>
          <w:rFonts w:asciiTheme="minorHAnsi" w:hAnsiTheme="minorHAnsi" w:cstheme="minorHAnsi"/>
        </w:rPr>
        <w:t xml:space="preserve"> </w:t>
      </w:r>
      <w:r w:rsidRPr="00C50C88">
        <w:rPr>
          <w:rFonts w:asciiTheme="minorHAnsi" w:hAnsiTheme="minorHAnsi" w:cstheme="minorHAnsi"/>
          <w:i/>
          <w:iCs/>
        </w:rPr>
        <w:t>Ibid</w:t>
      </w:r>
      <w:r w:rsidRPr="00C50C88">
        <w:rPr>
          <w:rFonts w:asciiTheme="minorHAnsi" w:hAnsiTheme="minorHAnsi" w:cstheme="minorHAnsi"/>
        </w:rPr>
        <w:t xml:space="preserve"> at [100].</w:t>
      </w:r>
    </w:p>
  </w:footnote>
  <w:footnote w:id="59">
    <w:p w14:paraId="2355E268" w14:textId="1C93E67B" w:rsidR="003A132A" w:rsidRPr="00C50C88" w:rsidRDefault="003A132A">
      <w:pPr>
        <w:pStyle w:val="FootnoteText"/>
        <w:rPr>
          <w:rFonts w:asciiTheme="minorHAnsi" w:hAnsiTheme="minorHAnsi" w:cstheme="minorHAnsi"/>
        </w:rPr>
      </w:pPr>
      <w:r w:rsidRPr="00C50C88">
        <w:rPr>
          <w:rStyle w:val="FootnoteReference"/>
          <w:rFonts w:asciiTheme="minorHAnsi" w:hAnsiTheme="minorHAnsi" w:cstheme="minorHAnsi"/>
        </w:rPr>
        <w:footnoteRef/>
      </w:r>
      <w:r w:rsidRPr="00C50C88">
        <w:rPr>
          <w:rFonts w:asciiTheme="minorHAnsi" w:hAnsiTheme="minorHAnsi" w:cstheme="minorHAnsi"/>
        </w:rPr>
        <w:t xml:space="preserve"> </w:t>
      </w:r>
      <w:r w:rsidRPr="00C50C88">
        <w:rPr>
          <w:rFonts w:asciiTheme="minorHAnsi" w:hAnsiTheme="minorHAnsi" w:cstheme="minorHAnsi"/>
          <w:i/>
          <w:iCs/>
        </w:rPr>
        <w:t>Ibid</w:t>
      </w:r>
      <w:r w:rsidRPr="00C50C88">
        <w:rPr>
          <w:rFonts w:asciiTheme="minorHAnsi" w:hAnsiTheme="minorHAnsi" w:cstheme="minorHAnsi"/>
        </w:rPr>
        <w:t xml:space="preserve"> at [56].</w:t>
      </w:r>
    </w:p>
  </w:footnote>
  <w:footnote w:id="60">
    <w:p w14:paraId="773B5DAE" w14:textId="1DD617D1" w:rsidR="00EA7002" w:rsidRPr="00C50C88" w:rsidRDefault="00EA7002">
      <w:pPr>
        <w:pStyle w:val="FootnoteText"/>
        <w:rPr>
          <w:rFonts w:asciiTheme="minorHAnsi" w:hAnsiTheme="minorHAnsi" w:cstheme="minorHAnsi"/>
        </w:rPr>
      </w:pPr>
      <w:r w:rsidRPr="00C50C88">
        <w:rPr>
          <w:rStyle w:val="FootnoteReference"/>
          <w:rFonts w:asciiTheme="minorHAnsi" w:hAnsiTheme="minorHAnsi" w:cstheme="minorHAnsi"/>
        </w:rPr>
        <w:footnoteRef/>
      </w:r>
      <w:r w:rsidRPr="00C50C88">
        <w:rPr>
          <w:rFonts w:asciiTheme="minorHAnsi" w:hAnsiTheme="minorHAnsi" w:cstheme="minorHAnsi"/>
        </w:rPr>
        <w:t xml:space="preserve"> </w:t>
      </w:r>
      <w:r w:rsidR="0056575F" w:rsidRPr="00C50C88">
        <w:rPr>
          <w:rFonts w:asciiTheme="minorHAnsi" w:hAnsiTheme="minorHAnsi" w:cstheme="minorHAnsi"/>
        </w:rPr>
        <w:t xml:space="preserve">Ministry of Justice, </w:t>
      </w:r>
      <w:r w:rsidR="0056575F" w:rsidRPr="00C50C88">
        <w:rPr>
          <w:rFonts w:asciiTheme="minorHAnsi" w:hAnsiTheme="minorHAnsi" w:cstheme="minorHAnsi"/>
          <w:i/>
          <w:iCs/>
        </w:rPr>
        <w:t>Human Rights Act Reform: A Modern Bill of Rights</w:t>
      </w:r>
      <w:r w:rsidR="002576E4" w:rsidRPr="00C50C88">
        <w:rPr>
          <w:rFonts w:asciiTheme="minorHAnsi" w:hAnsiTheme="minorHAnsi" w:cstheme="minorHAnsi"/>
        </w:rPr>
        <w:t xml:space="preserve">, December 2021 at </w:t>
      </w:r>
      <w:r w:rsidR="00C50C88" w:rsidRPr="00C50C88">
        <w:rPr>
          <w:rFonts w:asciiTheme="minorHAnsi" w:hAnsiTheme="minorHAnsi" w:cstheme="minorHAnsi"/>
        </w:rPr>
        <w:t>43.</w:t>
      </w:r>
    </w:p>
  </w:footnote>
  <w:footnote w:id="61">
    <w:p w14:paraId="5FCD048A" w14:textId="36ABFF28" w:rsidR="00590D4B" w:rsidRPr="00C01F6B" w:rsidRDefault="00590D4B">
      <w:pPr>
        <w:pStyle w:val="FootnoteText"/>
        <w:rPr>
          <w:rFonts w:asciiTheme="minorHAnsi" w:hAnsiTheme="minorHAnsi" w:cstheme="minorHAnsi"/>
        </w:rPr>
      </w:pPr>
      <w:r w:rsidRPr="00C01F6B">
        <w:rPr>
          <w:rStyle w:val="FootnoteReference"/>
          <w:rFonts w:asciiTheme="minorHAnsi" w:hAnsiTheme="minorHAnsi" w:cstheme="minorHAnsi"/>
        </w:rPr>
        <w:footnoteRef/>
      </w:r>
      <w:r w:rsidRPr="00C01F6B">
        <w:rPr>
          <w:rFonts w:asciiTheme="minorHAnsi" w:hAnsiTheme="minorHAnsi" w:cstheme="minorHAnsi"/>
        </w:rPr>
        <w:t xml:space="preserve"> </w:t>
      </w:r>
      <w:r w:rsidR="006E606B" w:rsidRPr="00C01F6B">
        <w:rPr>
          <w:rFonts w:asciiTheme="minorHAnsi" w:hAnsiTheme="minorHAnsi" w:cstheme="minorHAnsi"/>
          <w:i/>
          <w:iCs/>
        </w:rPr>
        <w:t xml:space="preserve">The Queen’s speech 2022: Background briefing notes </w:t>
      </w:r>
      <w:r w:rsidRPr="00C01F6B">
        <w:rPr>
          <w:rFonts w:asciiTheme="minorHAnsi" w:hAnsiTheme="minorHAnsi" w:cstheme="minorHAnsi"/>
        </w:rPr>
        <w:t>at 13.</w:t>
      </w:r>
    </w:p>
  </w:footnote>
  <w:footnote w:id="62">
    <w:p w14:paraId="578E211D" w14:textId="4DEDBD5F" w:rsidR="00917CD2" w:rsidRPr="00C01F6B" w:rsidRDefault="00917CD2">
      <w:pPr>
        <w:pStyle w:val="FootnoteText"/>
        <w:rPr>
          <w:rFonts w:asciiTheme="minorHAnsi" w:hAnsiTheme="minorHAnsi" w:cstheme="minorHAnsi"/>
        </w:rPr>
      </w:pPr>
      <w:r w:rsidRPr="00C01F6B">
        <w:rPr>
          <w:rStyle w:val="FootnoteReference"/>
          <w:rFonts w:asciiTheme="minorHAnsi" w:hAnsiTheme="minorHAnsi" w:cstheme="minorHAnsi"/>
        </w:rPr>
        <w:footnoteRef/>
      </w:r>
      <w:r w:rsidRPr="00C01F6B">
        <w:rPr>
          <w:rFonts w:asciiTheme="minorHAnsi" w:hAnsiTheme="minorHAnsi" w:cstheme="minorHAnsi"/>
        </w:rPr>
        <w:t xml:space="preserve"> </w:t>
      </w:r>
      <w:r w:rsidRPr="00C01F6B">
        <w:rPr>
          <w:rFonts w:asciiTheme="minorHAnsi" w:hAnsiTheme="minorHAnsi" w:cstheme="minorHAnsi"/>
          <w:i/>
          <w:iCs/>
        </w:rPr>
        <w:t>Ibid</w:t>
      </w:r>
      <w:r w:rsidRPr="00C01F6B">
        <w:rPr>
          <w:rFonts w:asciiTheme="minorHAnsi" w:hAnsiTheme="minorHAnsi" w:cstheme="minorHAnsi"/>
        </w:rPr>
        <w:t xml:space="preserve"> at 118.</w:t>
      </w:r>
    </w:p>
  </w:footnote>
  <w:footnote w:id="63">
    <w:p w14:paraId="70616D3A" w14:textId="3A843500" w:rsidR="00917CD2" w:rsidRPr="00C01F6B" w:rsidRDefault="00917CD2">
      <w:pPr>
        <w:pStyle w:val="FootnoteText"/>
        <w:rPr>
          <w:rFonts w:asciiTheme="minorHAnsi" w:hAnsiTheme="minorHAnsi" w:cstheme="minorHAnsi"/>
        </w:rPr>
      </w:pPr>
      <w:r w:rsidRPr="00C01F6B">
        <w:rPr>
          <w:rStyle w:val="FootnoteReference"/>
          <w:rFonts w:asciiTheme="minorHAnsi" w:hAnsiTheme="minorHAnsi" w:cstheme="minorHAnsi"/>
        </w:rPr>
        <w:footnoteRef/>
      </w:r>
      <w:r w:rsidRPr="00C01F6B">
        <w:rPr>
          <w:rFonts w:asciiTheme="minorHAnsi" w:hAnsiTheme="minorHAnsi" w:cstheme="minorHAnsi"/>
        </w:rPr>
        <w:t xml:space="preserve"> </w:t>
      </w:r>
      <w:r w:rsidRPr="00C01F6B">
        <w:rPr>
          <w:rFonts w:asciiTheme="minorHAnsi" w:hAnsiTheme="minorHAnsi" w:cstheme="minorHAnsi"/>
          <w:i/>
          <w:iCs/>
        </w:rPr>
        <w:t>Ibid</w:t>
      </w:r>
      <w:r w:rsidRPr="00C01F6B">
        <w:rPr>
          <w:rFonts w:asciiTheme="minorHAnsi" w:hAnsiTheme="minorHAnsi" w:cstheme="minorHAnsi"/>
        </w:rPr>
        <w:t>.</w:t>
      </w:r>
    </w:p>
  </w:footnote>
  <w:footnote w:id="64">
    <w:p w14:paraId="4B19F3FA" w14:textId="4DFC329D" w:rsidR="008662D1" w:rsidRPr="00C01F6B" w:rsidRDefault="008662D1">
      <w:pPr>
        <w:pStyle w:val="FootnoteText"/>
        <w:rPr>
          <w:rFonts w:asciiTheme="minorHAnsi" w:hAnsiTheme="minorHAnsi" w:cstheme="minorHAnsi"/>
        </w:rPr>
      </w:pPr>
      <w:r w:rsidRPr="00C01F6B">
        <w:rPr>
          <w:rStyle w:val="FootnoteReference"/>
          <w:rFonts w:asciiTheme="minorHAnsi" w:hAnsiTheme="minorHAnsi" w:cstheme="minorHAnsi"/>
        </w:rPr>
        <w:footnoteRef/>
      </w:r>
      <w:r w:rsidRPr="00C01F6B">
        <w:rPr>
          <w:rFonts w:asciiTheme="minorHAnsi" w:hAnsiTheme="minorHAnsi" w:cstheme="minorHAnsi"/>
        </w:rPr>
        <w:t xml:space="preserve"> </w:t>
      </w:r>
      <w:r w:rsidRPr="00C01F6B">
        <w:rPr>
          <w:rFonts w:asciiTheme="minorHAnsi" w:hAnsiTheme="minorHAnsi" w:cstheme="minorHAnsi"/>
          <w:i/>
          <w:iCs/>
        </w:rPr>
        <w:t>Ibid</w:t>
      </w:r>
      <w:r w:rsidRPr="00C01F6B">
        <w:rPr>
          <w:rFonts w:asciiTheme="minorHAnsi" w:hAnsiTheme="minorHAnsi" w:cstheme="minorHAnsi"/>
        </w:rPr>
        <w:t>.</w:t>
      </w:r>
    </w:p>
  </w:footnote>
  <w:footnote w:id="65">
    <w:p w14:paraId="1B21BC0E" w14:textId="4B1F0357" w:rsidR="008662D1" w:rsidRPr="00C01F6B" w:rsidRDefault="008662D1">
      <w:pPr>
        <w:pStyle w:val="FootnoteText"/>
        <w:rPr>
          <w:rFonts w:asciiTheme="minorHAnsi" w:hAnsiTheme="minorHAnsi" w:cstheme="minorHAnsi"/>
        </w:rPr>
      </w:pPr>
      <w:r w:rsidRPr="00C01F6B">
        <w:rPr>
          <w:rStyle w:val="FootnoteReference"/>
          <w:rFonts w:asciiTheme="minorHAnsi" w:hAnsiTheme="minorHAnsi" w:cstheme="minorHAnsi"/>
        </w:rPr>
        <w:footnoteRef/>
      </w:r>
      <w:r w:rsidRPr="00C01F6B">
        <w:rPr>
          <w:rFonts w:asciiTheme="minorHAnsi" w:hAnsiTheme="minorHAnsi" w:cstheme="minorHAnsi"/>
        </w:rPr>
        <w:t xml:space="preserve"> </w:t>
      </w:r>
      <w:r w:rsidR="006E07A5" w:rsidRPr="00C01F6B">
        <w:rPr>
          <w:rFonts w:asciiTheme="minorHAnsi" w:hAnsiTheme="minorHAnsi" w:cstheme="minorHAnsi"/>
          <w:i/>
          <w:iCs/>
        </w:rPr>
        <w:t>Ibid</w:t>
      </w:r>
      <w:r w:rsidR="006E07A5" w:rsidRPr="00C01F6B">
        <w:rPr>
          <w:rFonts w:asciiTheme="minorHAnsi" w:hAnsiTheme="minorHAnsi" w:cstheme="minorHAnsi"/>
        </w:rPr>
        <w:t>.</w:t>
      </w:r>
    </w:p>
  </w:footnote>
  <w:footnote w:id="66">
    <w:p w14:paraId="6920D513" w14:textId="38510F01" w:rsidR="006E07A5" w:rsidRPr="00C01F6B" w:rsidRDefault="006E07A5">
      <w:pPr>
        <w:pStyle w:val="FootnoteText"/>
        <w:rPr>
          <w:rFonts w:asciiTheme="minorHAnsi" w:hAnsiTheme="minorHAnsi" w:cstheme="minorHAnsi"/>
        </w:rPr>
      </w:pPr>
      <w:r w:rsidRPr="00C01F6B">
        <w:rPr>
          <w:rStyle w:val="FootnoteReference"/>
          <w:rFonts w:asciiTheme="minorHAnsi" w:hAnsiTheme="minorHAnsi" w:cstheme="minorHAnsi"/>
        </w:rPr>
        <w:footnoteRef/>
      </w:r>
      <w:r w:rsidRPr="00C01F6B">
        <w:rPr>
          <w:rFonts w:asciiTheme="minorHAnsi" w:hAnsiTheme="minorHAnsi" w:cstheme="minorHAnsi"/>
        </w:rPr>
        <w:t xml:space="preserve"> </w:t>
      </w:r>
      <w:r w:rsidRPr="00C01F6B">
        <w:rPr>
          <w:rFonts w:asciiTheme="minorHAnsi" w:hAnsiTheme="minorHAnsi" w:cstheme="minorHAnsi"/>
          <w:i/>
          <w:iCs/>
        </w:rPr>
        <w:t>Ibid</w:t>
      </w:r>
      <w:r w:rsidRPr="00C01F6B">
        <w:rPr>
          <w:rFonts w:asciiTheme="minorHAnsi" w:hAnsiTheme="minorHAnsi" w:cstheme="minorHAnsi"/>
        </w:rPr>
        <w:t xml:space="preserve"> at 119.</w:t>
      </w:r>
    </w:p>
  </w:footnote>
  <w:footnote w:id="67">
    <w:p w14:paraId="2702EB54" w14:textId="4E39AB7C" w:rsidR="006F4A3E" w:rsidRPr="0004413E" w:rsidRDefault="004949E7" w:rsidP="00057337">
      <w:pPr>
        <w:pStyle w:val="FootnoteText"/>
        <w:rPr>
          <w:rFonts w:asciiTheme="minorHAnsi" w:hAnsiTheme="minorHAnsi" w:cstheme="minorHAnsi"/>
          <w:color w:val="0563C1" w:themeColor="hyperlink"/>
          <w:u w:val="single"/>
        </w:rPr>
      </w:pPr>
      <w:r w:rsidRPr="0004413E">
        <w:rPr>
          <w:rStyle w:val="FootnoteReference"/>
          <w:rFonts w:asciiTheme="minorHAnsi" w:hAnsiTheme="minorHAnsi" w:cstheme="minorHAnsi"/>
        </w:rPr>
        <w:footnoteRef/>
      </w:r>
      <w:r w:rsidRPr="0004413E">
        <w:rPr>
          <w:rFonts w:asciiTheme="minorHAnsi" w:hAnsiTheme="minorHAnsi" w:cstheme="minorHAnsi"/>
        </w:rPr>
        <w:t xml:space="preserve"> See</w:t>
      </w:r>
      <w:r w:rsidR="006D71AC" w:rsidRPr="0004413E">
        <w:rPr>
          <w:rFonts w:asciiTheme="minorHAnsi" w:hAnsiTheme="minorHAnsi" w:cstheme="minorHAnsi"/>
        </w:rPr>
        <w:t xml:space="preserve">: </w:t>
      </w:r>
      <w:hyperlink r:id="rId15" w:history="1">
        <w:r w:rsidR="00C01F6B" w:rsidRPr="0004413E">
          <w:rPr>
            <w:rStyle w:val="Hyperlink"/>
            <w:rFonts w:asciiTheme="minorHAnsi" w:hAnsiTheme="minorHAnsi" w:cstheme="minorHAnsi"/>
          </w:rPr>
          <w:t>https://www.theguardian.com/society/2022/may/31/uk-to-partially-ratify-domestic-abuse-convention-after-10-year-delay</w:t>
        </w:r>
      </w:hyperlink>
      <w:r w:rsidR="00C01F6B" w:rsidRPr="0004413E">
        <w:rPr>
          <w:rFonts w:asciiTheme="minorHAnsi" w:hAnsiTheme="minorHAnsi" w:cstheme="minorHAnsi"/>
        </w:rPr>
        <w:t xml:space="preserve"> </w:t>
      </w:r>
    </w:p>
  </w:footnote>
  <w:footnote w:id="68">
    <w:p w14:paraId="689979C6" w14:textId="531D202A" w:rsidR="00331E55" w:rsidRPr="0004413E" w:rsidRDefault="00331E55" w:rsidP="00057337">
      <w:pPr>
        <w:pStyle w:val="FootnoteText"/>
        <w:rPr>
          <w:rFonts w:asciiTheme="minorHAnsi" w:eastAsia="Times New Roman" w:hAnsiTheme="minorHAnsi" w:cstheme="minorHAnsi"/>
        </w:rPr>
      </w:pPr>
      <w:r w:rsidRPr="0004413E">
        <w:rPr>
          <w:rStyle w:val="FootnoteReference"/>
          <w:rFonts w:asciiTheme="minorHAnsi" w:hAnsiTheme="minorHAnsi" w:cstheme="minorHAnsi"/>
        </w:rPr>
        <w:footnoteRef/>
      </w:r>
      <w:r w:rsidRPr="0004413E">
        <w:rPr>
          <w:rFonts w:asciiTheme="minorHAnsi" w:hAnsiTheme="minorHAnsi" w:cstheme="minorHAnsi"/>
        </w:rPr>
        <w:t xml:space="preserve"> </w:t>
      </w:r>
      <w:r w:rsidRPr="0004413E">
        <w:rPr>
          <w:rFonts w:asciiTheme="minorHAnsi" w:eastAsia="Times New Roman" w:hAnsiTheme="minorHAnsi" w:cstheme="minorHAnsi"/>
        </w:rPr>
        <w:t xml:space="preserve">Council of Europe Convention on </w:t>
      </w:r>
      <w:r w:rsidR="00CA45DF" w:rsidRPr="0004413E">
        <w:rPr>
          <w:rFonts w:asciiTheme="minorHAnsi" w:eastAsia="Times New Roman" w:hAnsiTheme="minorHAnsi" w:cstheme="minorHAnsi"/>
        </w:rPr>
        <w:t>P</w:t>
      </w:r>
      <w:r w:rsidRPr="0004413E">
        <w:rPr>
          <w:rFonts w:asciiTheme="minorHAnsi" w:eastAsia="Times New Roman" w:hAnsiTheme="minorHAnsi" w:cstheme="minorHAnsi"/>
        </w:rPr>
        <w:t xml:space="preserve">reventing and </w:t>
      </w:r>
      <w:r w:rsidR="00CA45DF" w:rsidRPr="0004413E">
        <w:rPr>
          <w:rFonts w:asciiTheme="minorHAnsi" w:eastAsia="Times New Roman" w:hAnsiTheme="minorHAnsi" w:cstheme="minorHAnsi"/>
        </w:rPr>
        <w:t>C</w:t>
      </w:r>
      <w:r w:rsidRPr="0004413E">
        <w:rPr>
          <w:rFonts w:asciiTheme="minorHAnsi" w:eastAsia="Times New Roman" w:hAnsiTheme="minorHAnsi" w:cstheme="minorHAnsi"/>
        </w:rPr>
        <w:t xml:space="preserve">ombating </w:t>
      </w:r>
      <w:r w:rsidR="00CA45DF" w:rsidRPr="0004413E">
        <w:rPr>
          <w:rFonts w:asciiTheme="minorHAnsi" w:eastAsia="Times New Roman" w:hAnsiTheme="minorHAnsi" w:cstheme="minorHAnsi"/>
        </w:rPr>
        <w:t>V</w:t>
      </w:r>
      <w:r w:rsidRPr="0004413E">
        <w:rPr>
          <w:rFonts w:asciiTheme="minorHAnsi" w:eastAsia="Times New Roman" w:hAnsiTheme="minorHAnsi" w:cstheme="minorHAnsi"/>
        </w:rPr>
        <w:t xml:space="preserve">iolence against </w:t>
      </w:r>
      <w:r w:rsidR="00CA45DF" w:rsidRPr="0004413E">
        <w:rPr>
          <w:rFonts w:asciiTheme="minorHAnsi" w:eastAsia="Times New Roman" w:hAnsiTheme="minorHAnsi" w:cstheme="minorHAnsi"/>
        </w:rPr>
        <w:t>W</w:t>
      </w:r>
      <w:r w:rsidRPr="0004413E">
        <w:rPr>
          <w:rFonts w:asciiTheme="minorHAnsi" w:eastAsia="Times New Roman" w:hAnsiTheme="minorHAnsi" w:cstheme="minorHAnsi"/>
        </w:rPr>
        <w:t xml:space="preserve">omen and </w:t>
      </w:r>
      <w:r w:rsidR="00CA45DF" w:rsidRPr="0004413E">
        <w:rPr>
          <w:rFonts w:asciiTheme="minorHAnsi" w:eastAsia="Times New Roman" w:hAnsiTheme="minorHAnsi" w:cstheme="minorHAnsi"/>
        </w:rPr>
        <w:t>D</w:t>
      </w:r>
      <w:r w:rsidRPr="0004413E">
        <w:rPr>
          <w:rFonts w:asciiTheme="minorHAnsi" w:eastAsia="Times New Roman" w:hAnsiTheme="minorHAnsi" w:cstheme="minorHAnsi"/>
        </w:rPr>
        <w:t xml:space="preserve">omestic </w:t>
      </w:r>
      <w:r w:rsidR="00CA45DF" w:rsidRPr="0004413E">
        <w:rPr>
          <w:rFonts w:asciiTheme="minorHAnsi" w:eastAsia="Times New Roman" w:hAnsiTheme="minorHAnsi" w:cstheme="minorHAnsi"/>
        </w:rPr>
        <w:t>V</w:t>
      </w:r>
      <w:r w:rsidRPr="0004413E">
        <w:rPr>
          <w:rFonts w:asciiTheme="minorHAnsi" w:eastAsia="Times New Roman" w:hAnsiTheme="minorHAnsi" w:cstheme="minorHAnsi"/>
        </w:rPr>
        <w:t>iolence (2011)</w:t>
      </w:r>
      <w:r w:rsidR="00CA45DF" w:rsidRPr="0004413E">
        <w:rPr>
          <w:rFonts w:asciiTheme="minorHAnsi" w:eastAsia="Times New Roman" w:hAnsiTheme="minorHAnsi" w:cstheme="minorHAnsi"/>
        </w:rPr>
        <w:t>, Article 7(1)</w:t>
      </w:r>
      <w:r w:rsidRPr="0004413E">
        <w:rPr>
          <w:rFonts w:asciiTheme="minorHAnsi" w:eastAsia="Times New Roman" w:hAnsiTheme="minorHAnsi" w:cstheme="minorHAnsi"/>
        </w:rPr>
        <w:t>.</w:t>
      </w:r>
    </w:p>
  </w:footnote>
  <w:footnote w:id="69">
    <w:p w14:paraId="62E1851B" w14:textId="19953C92" w:rsidR="00331E55" w:rsidRPr="0004413E" w:rsidRDefault="00331E55" w:rsidP="00460240">
      <w:pPr>
        <w:spacing w:after="0" w:line="240" w:lineRule="auto"/>
        <w:rPr>
          <w:rFonts w:asciiTheme="minorHAnsi" w:hAnsiTheme="minorHAnsi" w:cstheme="minorHAnsi"/>
          <w:sz w:val="20"/>
          <w:szCs w:val="20"/>
          <w:lang w:val="en"/>
        </w:rPr>
      </w:pPr>
      <w:r w:rsidRPr="0004413E">
        <w:rPr>
          <w:rStyle w:val="FootnoteReference"/>
          <w:rFonts w:asciiTheme="minorHAnsi" w:hAnsiTheme="minorHAnsi" w:cstheme="minorHAnsi"/>
          <w:sz w:val="20"/>
          <w:szCs w:val="20"/>
        </w:rPr>
        <w:footnoteRef/>
      </w:r>
      <w:r w:rsidRPr="0004413E">
        <w:rPr>
          <w:rFonts w:asciiTheme="minorHAnsi" w:hAnsiTheme="minorHAnsi" w:cstheme="minorHAnsi"/>
          <w:sz w:val="20"/>
          <w:szCs w:val="20"/>
        </w:rPr>
        <w:t xml:space="preserve"> Lisa Grans, 'The Istanbul Convention and the Positive Obligation to Prevent Violence</w:t>
      </w:r>
      <w:r w:rsidR="00BA438D" w:rsidRPr="0004413E">
        <w:rPr>
          <w:rFonts w:asciiTheme="minorHAnsi" w:hAnsiTheme="minorHAnsi" w:cstheme="minorHAnsi"/>
          <w:sz w:val="20"/>
          <w:szCs w:val="20"/>
        </w:rPr>
        <w:t>’</w:t>
      </w:r>
      <w:r w:rsidRPr="0004413E">
        <w:rPr>
          <w:rFonts w:asciiTheme="minorHAnsi" w:hAnsiTheme="minorHAnsi" w:cstheme="minorHAnsi"/>
          <w:sz w:val="20"/>
          <w:szCs w:val="20"/>
        </w:rPr>
        <w:t xml:space="preserve"> </w:t>
      </w:r>
      <w:r w:rsidR="00460240" w:rsidRPr="0004413E">
        <w:rPr>
          <w:rFonts w:asciiTheme="minorHAnsi" w:hAnsiTheme="minorHAnsi" w:cstheme="minorHAnsi"/>
          <w:sz w:val="20"/>
          <w:szCs w:val="20"/>
        </w:rPr>
        <w:t xml:space="preserve">(2018) 19(1) </w:t>
      </w:r>
      <w:r w:rsidRPr="0004413E">
        <w:rPr>
          <w:rStyle w:val="Emphasis"/>
          <w:rFonts w:asciiTheme="minorHAnsi" w:hAnsiTheme="minorHAnsi" w:cstheme="minorHAnsi"/>
          <w:b w:val="0"/>
          <w:bCs w:val="0"/>
          <w:i/>
          <w:sz w:val="20"/>
          <w:szCs w:val="20"/>
          <w:lang w:val="en"/>
        </w:rPr>
        <w:t>Human Rights Law Review</w:t>
      </w:r>
      <w:r w:rsidRPr="0004413E">
        <w:rPr>
          <w:rFonts w:asciiTheme="minorHAnsi" w:hAnsiTheme="minorHAnsi" w:cstheme="minorHAnsi"/>
          <w:i/>
          <w:sz w:val="20"/>
          <w:szCs w:val="20"/>
          <w:lang w:val="en"/>
        </w:rPr>
        <w:t xml:space="preserve"> </w:t>
      </w:r>
      <w:r w:rsidRPr="0004413E">
        <w:rPr>
          <w:rFonts w:asciiTheme="minorHAnsi" w:hAnsiTheme="minorHAnsi" w:cstheme="minorHAnsi"/>
          <w:sz w:val="20"/>
          <w:szCs w:val="20"/>
          <w:lang w:val="en"/>
        </w:rPr>
        <w:t>133</w:t>
      </w:r>
      <w:r w:rsidR="00460240" w:rsidRPr="0004413E">
        <w:rPr>
          <w:rFonts w:asciiTheme="minorHAnsi" w:hAnsiTheme="minorHAnsi" w:cstheme="minorHAnsi"/>
          <w:sz w:val="20"/>
          <w:szCs w:val="20"/>
          <w:lang w:val="en"/>
        </w:rPr>
        <w:t xml:space="preserve"> at</w:t>
      </w:r>
      <w:r w:rsidR="00BA438D" w:rsidRPr="0004413E">
        <w:rPr>
          <w:rFonts w:asciiTheme="minorHAnsi" w:hAnsiTheme="minorHAnsi" w:cstheme="minorHAnsi"/>
          <w:sz w:val="20"/>
          <w:szCs w:val="20"/>
          <w:lang w:val="en"/>
        </w:rPr>
        <w:t xml:space="preserve"> </w:t>
      </w:r>
      <w:r w:rsidRPr="0004413E">
        <w:rPr>
          <w:rFonts w:asciiTheme="minorHAnsi" w:hAnsiTheme="minorHAnsi" w:cstheme="minorHAnsi"/>
          <w:sz w:val="20"/>
          <w:szCs w:val="20"/>
          <w:lang w:val="en"/>
        </w:rPr>
        <w:t>154.</w:t>
      </w:r>
    </w:p>
  </w:footnote>
  <w:footnote w:id="70">
    <w:p w14:paraId="54717776" w14:textId="5BF442F2" w:rsidR="00331E55" w:rsidRPr="0004413E" w:rsidRDefault="00331E55" w:rsidP="00057337">
      <w:pPr>
        <w:pStyle w:val="FootnoteText"/>
        <w:rPr>
          <w:rFonts w:asciiTheme="minorHAnsi" w:hAnsiTheme="minorHAnsi" w:cstheme="minorHAnsi"/>
        </w:rPr>
      </w:pPr>
      <w:r w:rsidRPr="0004413E">
        <w:rPr>
          <w:rStyle w:val="FootnoteReference"/>
          <w:rFonts w:asciiTheme="minorHAnsi" w:hAnsiTheme="minorHAnsi" w:cstheme="minorHAnsi"/>
        </w:rPr>
        <w:footnoteRef/>
      </w:r>
      <w:r w:rsidRPr="0004413E">
        <w:rPr>
          <w:rFonts w:asciiTheme="minorHAnsi" w:hAnsiTheme="minorHAnsi" w:cstheme="minorHAnsi"/>
        </w:rPr>
        <w:t xml:space="preserve"> As per </w:t>
      </w:r>
      <w:r w:rsidRPr="0004413E">
        <w:rPr>
          <w:rFonts w:asciiTheme="minorHAnsi" w:hAnsiTheme="minorHAnsi" w:cstheme="minorHAnsi"/>
          <w:i/>
          <w:iCs/>
        </w:rPr>
        <w:t>Irene Wilson v UK</w:t>
      </w:r>
      <w:r w:rsidRPr="0004413E">
        <w:rPr>
          <w:rFonts w:asciiTheme="minorHAnsi" w:hAnsiTheme="minorHAnsi" w:cstheme="minorHAnsi"/>
        </w:rPr>
        <w:t xml:space="preserve"> </w:t>
      </w:r>
      <w:r w:rsidR="003B6437" w:rsidRPr="0004413E">
        <w:rPr>
          <w:rFonts w:asciiTheme="minorHAnsi" w:hAnsiTheme="minorHAnsi" w:cstheme="minorHAnsi"/>
        </w:rPr>
        <w:t>(2012)</w:t>
      </w:r>
      <w:r w:rsidR="005928C1" w:rsidRPr="0004413E">
        <w:rPr>
          <w:rFonts w:asciiTheme="minorHAnsi" w:hAnsiTheme="minorHAnsi" w:cstheme="minorHAnsi"/>
        </w:rPr>
        <w:t xml:space="preserve"> Case No </w:t>
      </w:r>
      <w:r w:rsidRPr="0004413E">
        <w:rPr>
          <w:rFonts w:asciiTheme="minorHAnsi" w:hAnsiTheme="minorHAnsi" w:cstheme="minorHAnsi"/>
        </w:rPr>
        <w:t>10601/09</w:t>
      </w:r>
      <w:r w:rsidR="005928C1" w:rsidRPr="0004413E">
        <w:rPr>
          <w:rFonts w:asciiTheme="minorHAnsi" w:hAnsiTheme="minorHAnsi" w:cstheme="minorHAnsi"/>
        </w:rPr>
        <w:t xml:space="preserve"> at</w:t>
      </w:r>
      <w:r w:rsidRPr="0004413E">
        <w:rPr>
          <w:rFonts w:asciiTheme="minorHAnsi" w:hAnsiTheme="minorHAnsi" w:cstheme="minorHAnsi"/>
        </w:rPr>
        <w:t xml:space="preserve"> </w:t>
      </w:r>
      <w:r w:rsidR="005928C1" w:rsidRPr="0004413E">
        <w:rPr>
          <w:rFonts w:asciiTheme="minorHAnsi" w:hAnsiTheme="minorHAnsi" w:cstheme="minorHAnsi"/>
        </w:rPr>
        <w:t>[</w:t>
      </w:r>
      <w:r w:rsidRPr="0004413E">
        <w:rPr>
          <w:rFonts w:asciiTheme="minorHAnsi" w:hAnsiTheme="minorHAnsi" w:cstheme="minorHAnsi"/>
        </w:rPr>
        <w:t>37</w:t>
      </w:r>
      <w:r w:rsidR="005928C1" w:rsidRPr="0004413E">
        <w:rPr>
          <w:rFonts w:asciiTheme="minorHAnsi" w:hAnsiTheme="minorHAnsi" w:cstheme="minorHAnsi"/>
        </w:rPr>
        <w:t>]</w:t>
      </w:r>
      <w:r w:rsidRPr="0004413E">
        <w:rPr>
          <w:rFonts w:asciiTheme="minorHAnsi" w:hAnsiTheme="minorHAnsi" w:cstheme="minorHAnsi"/>
        </w:rPr>
        <w:t>.</w:t>
      </w:r>
    </w:p>
  </w:footnote>
  <w:footnote w:id="71">
    <w:p w14:paraId="58A2F0EA" w14:textId="2BBE46CE" w:rsidR="00331E55" w:rsidRPr="0004413E" w:rsidRDefault="00331E55" w:rsidP="00057337">
      <w:pPr>
        <w:pStyle w:val="FootnoteText"/>
        <w:rPr>
          <w:rFonts w:asciiTheme="minorHAnsi" w:hAnsiTheme="minorHAnsi" w:cstheme="minorHAnsi"/>
          <w:i/>
          <w:iCs/>
        </w:rPr>
      </w:pPr>
      <w:r w:rsidRPr="0004413E">
        <w:rPr>
          <w:rStyle w:val="FootnoteReference"/>
          <w:rFonts w:asciiTheme="minorHAnsi" w:hAnsiTheme="minorHAnsi" w:cstheme="minorHAnsi"/>
        </w:rPr>
        <w:footnoteRef/>
      </w:r>
      <w:r w:rsidRPr="0004413E">
        <w:rPr>
          <w:rFonts w:asciiTheme="minorHAnsi" w:hAnsiTheme="minorHAnsi" w:cstheme="minorHAnsi"/>
        </w:rPr>
        <w:t xml:space="preserve"> </w:t>
      </w:r>
      <w:proofErr w:type="spellStart"/>
      <w:r w:rsidRPr="0004413E">
        <w:rPr>
          <w:rFonts w:asciiTheme="minorHAnsi" w:hAnsiTheme="minorHAnsi" w:cstheme="minorHAnsi"/>
          <w:i/>
          <w:iCs/>
        </w:rPr>
        <w:t>Opuz</w:t>
      </w:r>
      <w:proofErr w:type="spellEnd"/>
      <w:r w:rsidRPr="0004413E">
        <w:rPr>
          <w:rFonts w:asciiTheme="minorHAnsi" w:hAnsiTheme="minorHAnsi" w:cstheme="minorHAnsi"/>
          <w:i/>
          <w:iCs/>
        </w:rPr>
        <w:t xml:space="preserve"> v Turkey </w:t>
      </w:r>
      <w:r w:rsidRPr="0004413E">
        <w:rPr>
          <w:rFonts w:asciiTheme="minorHAnsi" w:hAnsiTheme="minorHAnsi" w:cstheme="minorHAnsi"/>
        </w:rPr>
        <w:t>(2009) 33401/02</w:t>
      </w:r>
      <w:r w:rsidR="003B6437" w:rsidRPr="0004413E">
        <w:rPr>
          <w:rFonts w:asciiTheme="minorHAnsi" w:hAnsiTheme="minorHAnsi" w:cstheme="minorHAnsi"/>
          <w:iCs/>
        </w:rPr>
        <w:t xml:space="preserve"> at</w:t>
      </w:r>
      <w:r w:rsidRPr="0004413E">
        <w:rPr>
          <w:rFonts w:asciiTheme="minorHAnsi" w:hAnsiTheme="minorHAnsi" w:cstheme="minorHAnsi"/>
          <w:iCs/>
        </w:rPr>
        <w:t xml:space="preserve"> </w:t>
      </w:r>
      <w:r w:rsidR="003B6437" w:rsidRPr="0004413E">
        <w:rPr>
          <w:rFonts w:asciiTheme="minorHAnsi" w:hAnsiTheme="minorHAnsi" w:cstheme="minorHAnsi"/>
          <w:iCs/>
        </w:rPr>
        <w:t>[</w:t>
      </w:r>
      <w:r w:rsidRPr="0004413E">
        <w:rPr>
          <w:rFonts w:asciiTheme="minorHAnsi" w:hAnsiTheme="minorHAnsi" w:cstheme="minorHAnsi"/>
          <w:iCs/>
        </w:rPr>
        <w:t>161</w:t>
      </w:r>
      <w:r w:rsidR="003B6437" w:rsidRPr="0004413E">
        <w:rPr>
          <w:rFonts w:asciiTheme="minorHAnsi" w:hAnsiTheme="minorHAnsi" w:cstheme="minorHAnsi"/>
          <w:iCs/>
        </w:rPr>
        <w:t>]</w:t>
      </w:r>
      <w:r w:rsidRPr="0004413E">
        <w:rPr>
          <w:rFonts w:asciiTheme="minorHAnsi" w:hAnsiTheme="minorHAnsi" w:cstheme="minorHAnsi"/>
          <w:iCs/>
        </w:rPr>
        <w:t>-</w:t>
      </w:r>
      <w:r w:rsidR="003B6437" w:rsidRPr="0004413E">
        <w:rPr>
          <w:rFonts w:asciiTheme="minorHAnsi" w:hAnsiTheme="minorHAnsi" w:cstheme="minorHAnsi"/>
          <w:iCs/>
        </w:rPr>
        <w:t>[</w:t>
      </w:r>
      <w:r w:rsidRPr="0004413E">
        <w:rPr>
          <w:rFonts w:asciiTheme="minorHAnsi" w:hAnsiTheme="minorHAnsi" w:cstheme="minorHAnsi"/>
          <w:iCs/>
        </w:rPr>
        <w:t>162</w:t>
      </w:r>
      <w:r w:rsidR="003B6437" w:rsidRPr="0004413E">
        <w:rPr>
          <w:rFonts w:asciiTheme="minorHAnsi" w:hAnsiTheme="minorHAnsi" w:cstheme="minorHAnsi"/>
          <w:iCs/>
        </w:rPr>
        <w:t>]</w:t>
      </w:r>
      <w:r w:rsidRPr="0004413E">
        <w:rPr>
          <w:rFonts w:asciiTheme="minorHAnsi" w:hAnsiTheme="minorHAnsi" w:cstheme="minorHAnsi"/>
          <w:iCs/>
        </w:rPr>
        <w:t>.</w:t>
      </w:r>
    </w:p>
  </w:footnote>
  <w:footnote w:id="72">
    <w:p w14:paraId="157A7D11" w14:textId="10F290EA" w:rsidR="00241EDA" w:rsidRPr="00057337" w:rsidRDefault="00241EDA" w:rsidP="00057337">
      <w:pPr>
        <w:pStyle w:val="FootnoteText"/>
        <w:rPr>
          <w:rFonts w:ascii="Times New Roman" w:hAnsi="Times New Roman" w:cs="Times New Roman"/>
        </w:rPr>
      </w:pPr>
      <w:r w:rsidRPr="0004413E">
        <w:rPr>
          <w:rStyle w:val="FootnoteReference"/>
          <w:rFonts w:asciiTheme="minorHAnsi" w:hAnsiTheme="minorHAnsi" w:cstheme="minorHAnsi"/>
        </w:rPr>
        <w:footnoteRef/>
      </w:r>
      <w:r w:rsidRPr="0004413E">
        <w:rPr>
          <w:rFonts w:asciiTheme="minorHAnsi" w:hAnsiTheme="minorHAnsi" w:cstheme="minorHAnsi"/>
        </w:rPr>
        <w:t xml:space="preserve"> </w:t>
      </w:r>
      <w:r w:rsidR="00DE58DB">
        <w:rPr>
          <w:rFonts w:asciiTheme="minorHAnsi" w:hAnsiTheme="minorHAnsi" w:cstheme="minorHAnsi"/>
        </w:rPr>
        <w:t>Above n 66.</w:t>
      </w:r>
    </w:p>
  </w:footnote>
  <w:footnote w:id="73">
    <w:p w14:paraId="38EA879B" w14:textId="10DF0DC6" w:rsidR="00DE58DB" w:rsidRPr="003C5500" w:rsidRDefault="00DE58DB">
      <w:pPr>
        <w:pStyle w:val="FootnoteText"/>
        <w:rPr>
          <w:rFonts w:asciiTheme="minorHAnsi" w:hAnsiTheme="minorHAnsi" w:cstheme="minorHAnsi"/>
        </w:rPr>
      </w:pPr>
      <w:r w:rsidRPr="003C5500">
        <w:rPr>
          <w:rStyle w:val="FootnoteReference"/>
          <w:rFonts w:asciiTheme="minorHAnsi" w:hAnsiTheme="minorHAnsi" w:cstheme="minorHAnsi"/>
        </w:rPr>
        <w:footnoteRef/>
      </w:r>
      <w:r w:rsidRPr="003C5500">
        <w:rPr>
          <w:rFonts w:asciiTheme="minorHAnsi" w:hAnsiTheme="minorHAnsi" w:cstheme="minorHAnsi"/>
        </w:rPr>
        <w:t xml:space="preserve"> Above n 11</w:t>
      </w:r>
    </w:p>
  </w:footnote>
  <w:footnote w:id="74">
    <w:p w14:paraId="74599BF5" w14:textId="0D819A45" w:rsidR="00641ADC" w:rsidRPr="003C5500" w:rsidRDefault="00641ADC" w:rsidP="00057337">
      <w:pPr>
        <w:pStyle w:val="FootnoteText"/>
        <w:rPr>
          <w:rFonts w:asciiTheme="minorHAnsi" w:hAnsiTheme="minorHAnsi" w:cstheme="minorHAnsi"/>
        </w:rPr>
      </w:pPr>
      <w:r w:rsidRPr="003C5500">
        <w:rPr>
          <w:rStyle w:val="FootnoteReference"/>
          <w:rFonts w:asciiTheme="minorHAnsi" w:hAnsiTheme="minorHAnsi" w:cstheme="minorHAnsi"/>
        </w:rPr>
        <w:footnoteRef/>
      </w:r>
      <w:r w:rsidRPr="003C5500">
        <w:rPr>
          <w:rFonts w:asciiTheme="minorHAnsi" w:hAnsiTheme="minorHAnsi" w:cstheme="minorHAnsi"/>
        </w:rPr>
        <w:t xml:space="preserve"> </w:t>
      </w:r>
      <w:r w:rsidR="003C5500">
        <w:rPr>
          <w:rFonts w:asciiTheme="minorHAnsi" w:hAnsiTheme="minorHAnsi" w:cstheme="minorHAnsi"/>
        </w:rPr>
        <w:t>Grace (</w:t>
      </w:r>
      <w:r w:rsidR="00EE6F95" w:rsidRPr="003C5500">
        <w:rPr>
          <w:rFonts w:asciiTheme="minorHAnsi" w:hAnsiTheme="minorHAnsi" w:cstheme="minorHAnsi"/>
        </w:rPr>
        <w:t>n 6</w:t>
      </w:r>
      <w:r w:rsidR="003C5500">
        <w:rPr>
          <w:rFonts w:asciiTheme="minorHAnsi" w:hAnsiTheme="minorHAnsi" w:cstheme="minorHAnsi"/>
        </w:rPr>
        <w:t>)</w:t>
      </w:r>
      <w:r w:rsidR="00EE6F95" w:rsidRPr="003C5500">
        <w:rPr>
          <w:rFonts w:asciiTheme="minorHAnsi" w:hAnsiTheme="minorHAnsi" w:cstheme="minorHAnsi"/>
        </w:rPr>
        <w:t xml:space="preserve"> at 192.</w:t>
      </w:r>
    </w:p>
  </w:footnote>
  <w:footnote w:id="75">
    <w:p w14:paraId="49802E6B" w14:textId="3905AC0E" w:rsidR="00492288" w:rsidRPr="003C5500" w:rsidRDefault="00492288">
      <w:pPr>
        <w:pStyle w:val="FootnoteText"/>
        <w:rPr>
          <w:rFonts w:asciiTheme="minorHAnsi" w:hAnsiTheme="minorHAnsi" w:cstheme="minorHAnsi"/>
        </w:rPr>
      </w:pPr>
      <w:r w:rsidRPr="003C5500">
        <w:rPr>
          <w:rStyle w:val="FootnoteReference"/>
          <w:rFonts w:asciiTheme="minorHAnsi" w:hAnsiTheme="minorHAnsi" w:cstheme="minorHAnsi"/>
        </w:rPr>
        <w:footnoteRef/>
      </w:r>
      <w:r w:rsidRPr="003C5500">
        <w:rPr>
          <w:rFonts w:asciiTheme="minorHAnsi" w:hAnsiTheme="minorHAnsi" w:cstheme="minorHAnsi"/>
        </w:rPr>
        <w:t xml:space="preserve"> </w:t>
      </w:r>
      <w:r w:rsidR="00417701" w:rsidRPr="003C5500">
        <w:rPr>
          <w:rFonts w:asciiTheme="minorHAnsi" w:hAnsiTheme="minorHAnsi" w:cstheme="minorHAnsi"/>
        </w:rPr>
        <w:t xml:space="preserve">Home Office, </w:t>
      </w:r>
      <w:r w:rsidR="00417701" w:rsidRPr="003C5500">
        <w:rPr>
          <w:rFonts w:asciiTheme="minorHAnsi" w:hAnsiTheme="minorHAnsi" w:cstheme="minorHAnsi"/>
          <w:i/>
          <w:iCs/>
        </w:rPr>
        <w:t>Domestic Violence Disclosure Scheme (DVDS) Statutory Guidance</w:t>
      </w:r>
      <w:r w:rsidR="00417701" w:rsidRPr="003C5500">
        <w:rPr>
          <w:rFonts w:asciiTheme="minorHAnsi" w:hAnsiTheme="minorHAnsi" w:cstheme="minorHAnsi"/>
        </w:rPr>
        <w:t xml:space="preserve"> </w:t>
      </w:r>
      <w:r w:rsidR="00DD36E5" w:rsidRPr="003C5500">
        <w:rPr>
          <w:rFonts w:asciiTheme="minorHAnsi" w:hAnsiTheme="minorHAnsi" w:cstheme="minorHAnsi"/>
        </w:rPr>
        <w:t>(April 2023) at [</w:t>
      </w:r>
      <w:r w:rsidRPr="003C5500">
        <w:rPr>
          <w:rFonts w:asciiTheme="minorHAnsi" w:hAnsiTheme="minorHAnsi" w:cstheme="minorHAnsi"/>
        </w:rPr>
        <w:t>89</w:t>
      </w:r>
      <w:r w:rsidR="00DD36E5" w:rsidRPr="003C5500">
        <w:rPr>
          <w:rFonts w:asciiTheme="minorHAnsi" w:hAnsiTheme="minorHAnsi" w:cstheme="minorHAnsi"/>
        </w:rPr>
        <w:t>]</w:t>
      </w:r>
      <w:r w:rsidRPr="003C5500">
        <w:rPr>
          <w:rFonts w:asciiTheme="minorHAnsi" w:hAnsiTheme="minorHAnsi" w:cstheme="minorHAnsi"/>
        </w:rPr>
        <w:t>.</w:t>
      </w:r>
    </w:p>
  </w:footnote>
  <w:footnote w:id="76">
    <w:p w14:paraId="362D9C4B" w14:textId="7DED26CC" w:rsidR="00321FE5" w:rsidRPr="005C6F89" w:rsidRDefault="00321FE5">
      <w:pPr>
        <w:pStyle w:val="FootnoteText"/>
        <w:rPr>
          <w:rFonts w:asciiTheme="minorHAnsi" w:hAnsiTheme="minorHAnsi" w:cstheme="minorHAnsi"/>
        </w:rPr>
      </w:pPr>
      <w:r w:rsidRPr="00321FE5">
        <w:rPr>
          <w:rStyle w:val="FootnoteReference"/>
          <w:rFonts w:asciiTheme="minorHAnsi" w:hAnsiTheme="minorHAnsi" w:cstheme="minorHAnsi"/>
        </w:rPr>
        <w:footnoteRef/>
      </w:r>
      <w:r w:rsidRPr="005C6F89">
        <w:rPr>
          <w:rFonts w:asciiTheme="minorHAnsi" w:hAnsiTheme="minorHAnsi" w:cstheme="minorHAnsi"/>
        </w:rPr>
        <w:t xml:space="preserve"> </w:t>
      </w:r>
      <w:r w:rsidRPr="005C6F89">
        <w:rPr>
          <w:rFonts w:asciiTheme="minorHAnsi" w:hAnsiTheme="minorHAnsi" w:cstheme="minorHAnsi"/>
          <w:i/>
          <w:iCs/>
        </w:rPr>
        <w:t>Ibid</w:t>
      </w:r>
      <w:r w:rsidRPr="005C6F89">
        <w:rPr>
          <w:rFonts w:asciiTheme="minorHAnsi" w:hAnsiTheme="minorHAnsi" w:cstheme="minorHAnsi"/>
        </w:rPr>
        <w:t xml:space="preserve"> at [90].</w:t>
      </w:r>
    </w:p>
  </w:footnote>
  <w:footnote w:id="77">
    <w:p w14:paraId="7CD2D42C" w14:textId="235DD633" w:rsidR="00C422DE" w:rsidRPr="00321FE5" w:rsidRDefault="00C422DE" w:rsidP="00057337">
      <w:pPr>
        <w:spacing w:line="240" w:lineRule="auto"/>
        <w:rPr>
          <w:rFonts w:asciiTheme="minorHAnsi" w:hAnsiTheme="minorHAnsi" w:cstheme="minorHAnsi"/>
        </w:rPr>
      </w:pPr>
      <w:r w:rsidRPr="00321FE5">
        <w:rPr>
          <w:rStyle w:val="FootnoteReference"/>
          <w:rFonts w:asciiTheme="minorHAnsi" w:hAnsiTheme="minorHAnsi" w:cstheme="minorHAnsi"/>
          <w:sz w:val="20"/>
          <w:szCs w:val="20"/>
        </w:rPr>
        <w:footnoteRef/>
      </w:r>
      <w:r w:rsidRPr="005C6F89">
        <w:rPr>
          <w:rFonts w:asciiTheme="minorHAnsi" w:hAnsiTheme="minorHAnsi" w:cstheme="minorHAnsi"/>
          <w:sz w:val="20"/>
          <w:szCs w:val="20"/>
        </w:rPr>
        <w:t xml:space="preserve"> Ruth</w:t>
      </w:r>
      <w:r w:rsidR="00BA438D" w:rsidRPr="005C6F89">
        <w:rPr>
          <w:rFonts w:asciiTheme="minorHAnsi" w:hAnsiTheme="minorHAnsi" w:cstheme="minorHAnsi"/>
          <w:sz w:val="20"/>
          <w:szCs w:val="20"/>
        </w:rPr>
        <w:t xml:space="preserve"> Lewis</w:t>
      </w:r>
      <w:r w:rsidRPr="005C6F89">
        <w:rPr>
          <w:rFonts w:asciiTheme="minorHAnsi" w:hAnsiTheme="minorHAnsi" w:cstheme="minorHAnsi"/>
          <w:sz w:val="20"/>
          <w:szCs w:val="20"/>
        </w:rPr>
        <w:t xml:space="preserve"> et al. </w:t>
      </w:r>
      <w:r w:rsidR="00BA438D" w:rsidRPr="00321FE5">
        <w:rPr>
          <w:rFonts w:asciiTheme="minorHAnsi" w:hAnsiTheme="minorHAnsi" w:cstheme="minorHAnsi"/>
          <w:sz w:val="20"/>
          <w:szCs w:val="20"/>
        </w:rPr>
        <w:t>‘</w:t>
      </w:r>
      <w:r w:rsidRPr="00321FE5">
        <w:rPr>
          <w:rFonts w:asciiTheme="minorHAnsi" w:hAnsiTheme="minorHAnsi" w:cstheme="minorHAnsi"/>
          <w:sz w:val="20"/>
          <w:szCs w:val="20"/>
        </w:rPr>
        <w:t>Protection, prevention, rehabilitation or justice? Women's use of the law to challenge domestic violence</w:t>
      </w:r>
      <w:r w:rsidR="00BA438D" w:rsidRPr="00321FE5">
        <w:rPr>
          <w:rFonts w:asciiTheme="minorHAnsi" w:hAnsiTheme="minorHAnsi" w:cstheme="minorHAnsi"/>
          <w:sz w:val="20"/>
          <w:szCs w:val="20"/>
        </w:rPr>
        <w:t>’</w:t>
      </w:r>
      <w:r w:rsidR="00917946">
        <w:rPr>
          <w:rFonts w:asciiTheme="minorHAnsi" w:hAnsiTheme="minorHAnsi" w:cstheme="minorHAnsi"/>
          <w:sz w:val="20"/>
          <w:szCs w:val="20"/>
        </w:rPr>
        <w:t xml:space="preserve"> (2000)</w:t>
      </w:r>
      <w:r w:rsidR="003C5500">
        <w:rPr>
          <w:rFonts w:asciiTheme="minorHAnsi" w:hAnsiTheme="minorHAnsi" w:cstheme="minorHAnsi"/>
          <w:sz w:val="20"/>
          <w:szCs w:val="20"/>
        </w:rPr>
        <w:t xml:space="preserve"> 7(1-3)</w:t>
      </w:r>
      <w:r w:rsidRPr="00321FE5">
        <w:rPr>
          <w:rFonts w:asciiTheme="minorHAnsi" w:hAnsiTheme="minorHAnsi" w:cstheme="minorHAnsi"/>
          <w:sz w:val="20"/>
          <w:szCs w:val="20"/>
        </w:rPr>
        <w:t xml:space="preserve"> </w:t>
      </w:r>
      <w:r w:rsidRPr="00321FE5">
        <w:rPr>
          <w:rFonts w:asciiTheme="minorHAnsi" w:hAnsiTheme="minorHAnsi" w:cstheme="minorHAnsi"/>
          <w:i/>
          <w:iCs/>
          <w:sz w:val="20"/>
          <w:szCs w:val="20"/>
        </w:rPr>
        <w:t>International Review of Victimology</w:t>
      </w:r>
      <w:r w:rsidRPr="00321FE5">
        <w:rPr>
          <w:rFonts w:asciiTheme="minorHAnsi" w:hAnsiTheme="minorHAnsi" w:cstheme="minorHAnsi"/>
          <w:sz w:val="20"/>
          <w:szCs w:val="20"/>
        </w:rPr>
        <w:t xml:space="preserve"> 179</w:t>
      </w:r>
      <w:r w:rsidR="003C5500">
        <w:rPr>
          <w:rFonts w:asciiTheme="minorHAnsi" w:hAnsiTheme="minorHAnsi" w:cstheme="minorHAnsi"/>
          <w:sz w:val="20"/>
          <w:szCs w:val="20"/>
        </w:rPr>
        <w:t xml:space="preserve"> at </w:t>
      </w:r>
      <w:r w:rsidRPr="00321FE5">
        <w:rPr>
          <w:rFonts w:asciiTheme="minorHAnsi" w:hAnsiTheme="minorHAnsi" w:cstheme="minorHAnsi"/>
          <w:sz w:val="20"/>
          <w:szCs w:val="20"/>
        </w:rPr>
        <w:t>202.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8BB41" w14:textId="04883EDF" w:rsidR="00881427" w:rsidRDefault="00747049">
    <w:pPr>
      <w:pStyle w:val="Header"/>
      <w:rPr>
        <w:rFonts w:asciiTheme="minorHAnsi" w:hAnsiTheme="minorHAnsi" w:cstheme="minorHAnsi"/>
        <w:sz w:val="22"/>
        <w:szCs w:val="22"/>
      </w:rPr>
    </w:pPr>
    <w:r>
      <w:rPr>
        <w:rFonts w:asciiTheme="minorHAnsi" w:hAnsiTheme="minorHAnsi" w:cstheme="minorHAnsi"/>
        <w:sz w:val="22"/>
        <w:szCs w:val="22"/>
      </w:rPr>
      <w:t>Jamie Grace</w:t>
    </w:r>
    <w:r>
      <w:rPr>
        <w:rFonts w:asciiTheme="minorHAnsi" w:hAnsiTheme="minorHAnsi" w:cstheme="minorHAnsi"/>
        <w:sz w:val="22"/>
        <w:szCs w:val="22"/>
      </w:rPr>
      <w:tab/>
    </w:r>
    <w:r>
      <w:rPr>
        <w:rFonts w:asciiTheme="minorHAnsi" w:hAnsiTheme="minorHAnsi" w:cstheme="minorHAnsi"/>
        <w:sz w:val="22"/>
        <w:szCs w:val="22"/>
      </w:rPr>
      <w:tab/>
      <w:t>Clare’s Law and Human Rights Obligations</w:t>
    </w:r>
  </w:p>
  <w:p w14:paraId="3A5DDDB8" w14:textId="0DAD5079" w:rsidR="00747049" w:rsidRPr="00747049" w:rsidRDefault="00747049">
    <w:pPr>
      <w:pStyle w:val="Header"/>
      <w:rPr>
        <w:rFonts w:asciiTheme="minorHAnsi" w:hAnsiTheme="minorHAnsi" w:cstheme="minorHAnsi"/>
        <w:sz w:val="22"/>
        <w:szCs w:val="22"/>
      </w:rPr>
    </w:pPr>
    <w:r>
      <w:rPr>
        <w:rFonts w:asciiTheme="minorHAnsi" w:hAnsiTheme="minorHAnsi" w:cstheme="minorHAnsi"/>
        <w:sz w:val="22"/>
        <w:szCs w:val="22"/>
      </w:rPr>
      <w:t>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EB42D" w14:textId="65BE5349" w:rsidR="00881427" w:rsidRPr="009B27A1" w:rsidRDefault="00541DC3" w:rsidP="00747049">
    <w:pPr>
      <w:pStyle w:val="Header"/>
      <w:tabs>
        <w:tab w:val="clear" w:pos="9026"/>
        <w:tab w:val="right" w:pos="13892"/>
      </w:tabs>
      <w:ind w:right="66"/>
      <w:rPr>
        <w:rFonts w:asciiTheme="minorHAnsi" w:hAnsiTheme="minorHAnsi" w:cstheme="minorHAnsi"/>
        <w:sz w:val="22"/>
        <w:szCs w:val="22"/>
      </w:rPr>
    </w:pPr>
    <w:proofErr w:type="spellStart"/>
    <w:r w:rsidRPr="009B27A1">
      <w:rPr>
        <w:rFonts w:asciiTheme="minorHAnsi" w:hAnsiTheme="minorHAnsi" w:cstheme="minorHAnsi"/>
        <w:i/>
        <w:iCs/>
        <w:sz w:val="22"/>
        <w:szCs w:val="22"/>
      </w:rPr>
      <w:t>feminists@law</w:t>
    </w:r>
    <w:proofErr w:type="spellEnd"/>
    <w:r w:rsidRPr="009B27A1">
      <w:rPr>
        <w:rFonts w:asciiTheme="minorHAnsi" w:hAnsiTheme="minorHAnsi" w:cstheme="minorHAnsi"/>
        <w:sz w:val="22"/>
        <w:szCs w:val="22"/>
      </w:rPr>
      <w:tab/>
    </w:r>
    <w:r w:rsidRPr="009B27A1">
      <w:rPr>
        <w:rFonts w:asciiTheme="minorHAnsi" w:hAnsiTheme="minorHAnsi" w:cstheme="minorHAnsi"/>
        <w:sz w:val="22"/>
        <w:szCs w:val="22"/>
      </w:rPr>
      <w:tab/>
      <w:t xml:space="preserve">Vol </w:t>
    </w:r>
    <w:r w:rsidR="009B27A1" w:rsidRPr="009B27A1">
      <w:rPr>
        <w:rFonts w:asciiTheme="minorHAnsi" w:hAnsiTheme="minorHAnsi" w:cstheme="minorHAnsi"/>
        <w:sz w:val="22"/>
        <w:szCs w:val="22"/>
      </w:rPr>
      <w:t>1</w:t>
    </w:r>
    <w:r w:rsidR="005C6F89">
      <w:rPr>
        <w:rFonts w:asciiTheme="minorHAnsi" w:hAnsiTheme="minorHAnsi" w:cstheme="minorHAnsi"/>
        <w:sz w:val="22"/>
        <w:szCs w:val="22"/>
      </w:rPr>
      <w:t>3</w:t>
    </w:r>
    <w:r w:rsidR="009B27A1" w:rsidRPr="009B27A1">
      <w:rPr>
        <w:rFonts w:asciiTheme="minorHAnsi" w:hAnsiTheme="minorHAnsi" w:cstheme="minorHAnsi"/>
        <w:sz w:val="22"/>
        <w:szCs w:val="22"/>
      </w:rPr>
      <w:t xml:space="preserve">, No </w:t>
    </w:r>
    <w:r w:rsidR="005C6F89">
      <w:rPr>
        <w:rFonts w:asciiTheme="minorHAnsi" w:hAnsiTheme="minorHAnsi" w:cstheme="minorHAnsi"/>
        <w:sz w:val="22"/>
        <w:szCs w:val="22"/>
      </w:rPr>
      <w:t>1</w:t>
    </w:r>
    <w:r w:rsidR="009B27A1" w:rsidRPr="009B27A1">
      <w:rPr>
        <w:rFonts w:asciiTheme="minorHAnsi" w:hAnsiTheme="minorHAnsi" w:cstheme="minorHAnsi"/>
        <w:sz w:val="22"/>
        <w:szCs w:val="22"/>
      </w:rPr>
      <w:t xml:space="preserve"> (2024)</w:t>
    </w:r>
  </w:p>
  <w:p w14:paraId="382972F1" w14:textId="30375E60" w:rsidR="009B27A1" w:rsidRPr="00541DC3" w:rsidRDefault="009B27A1">
    <w:pPr>
      <w:pStyle w:val="Header"/>
      <w:rPr>
        <w:sz w:val="22"/>
        <w:szCs w:val="22"/>
      </w:rPr>
    </w:pPr>
    <w:r>
      <w:rPr>
        <w:sz w:val="22"/>
        <w:szCs w:val="22"/>
      </w:rPr>
      <w:t>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6CCB84" w14:textId="63D7E789" w:rsidR="00AA0AA1" w:rsidRPr="009B27A1" w:rsidRDefault="00AA0AA1" w:rsidP="00747049">
    <w:pPr>
      <w:pStyle w:val="Header"/>
      <w:tabs>
        <w:tab w:val="clear" w:pos="9026"/>
        <w:tab w:val="right" w:pos="13892"/>
      </w:tabs>
      <w:ind w:right="66"/>
      <w:rPr>
        <w:rFonts w:asciiTheme="minorHAnsi" w:hAnsiTheme="minorHAnsi" w:cstheme="minorHAnsi"/>
        <w:sz w:val="22"/>
        <w:szCs w:val="22"/>
      </w:rPr>
    </w:pPr>
    <w:proofErr w:type="spellStart"/>
    <w:r w:rsidRPr="009B27A1">
      <w:rPr>
        <w:rFonts w:asciiTheme="minorHAnsi" w:hAnsiTheme="minorHAnsi" w:cstheme="minorHAnsi"/>
        <w:i/>
        <w:iCs/>
        <w:sz w:val="22"/>
        <w:szCs w:val="22"/>
      </w:rPr>
      <w:t>feminists@law</w:t>
    </w:r>
    <w:proofErr w:type="spellEnd"/>
    <w:r w:rsidRPr="009B27A1">
      <w:rPr>
        <w:rFonts w:asciiTheme="minorHAnsi" w:hAnsiTheme="minorHAnsi" w:cstheme="minorHAnsi"/>
        <w:sz w:val="22"/>
        <w:szCs w:val="22"/>
      </w:rPr>
      <w:tab/>
    </w:r>
    <w:r w:rsidRPr="009B27A1">
      <w:rPr>
        <w:rFonts w:asciiTheme="minorHAnsi" w:hAnsiTheme="minorHAnsi" w:cstheme="minorHAnsi"/>
        <w:sz w:val="22"/>
        <w:szCs w:val="22"/>
      </w:rPr>
      <w:tab/>
      <w:t xml:space="preserve">Vol </w:t>
    </w:r>
    <w:r w:rsidR="00E40525">
      <w:rPr>
        <w:rFonts w:asciiTheme="minorHAnsi" w:hAnsiTheme="minorHAnsi" w:cstheme="minorHAnsi"/>
        <w:sz w:val="22"/>
        <w:szCs w:val="22"/>
      </w:rPr>
      <w:t>13</w:t>
    </w:r>
    <w:r w:rsidRPr="009B27A1">
      <w:rPr>
        <w:rFonts w:asciiTheme="minorHAnsi" w:hAnsiTheme="minorHAnsi" w:cstheme="minorHAnsi"/>
        <w:sz w:val="22"/>
        <w:szCs w:val="22"/>
      </w:rPr>
      <w:t xml:space="preserve">, No </w:t>
    </w:r>
    <w:r w:rsidR="00E40525">
      <w:rPr>
        <w:rFonts w:asciiTheme="minorHAnsi" w:hAnsiTheme="minorHAnsi" w:cstheme="minorHAnsi"/>
        <w:sz w:val="22"/>
        <w:szCs w:val="22"/>
      </w:rPr>
      <w:t>1</w:t>
    </w:r>
    <w:r w:rsidRPr="009B27A1">
      <w:rPr>
        <w:rFonts w:asciiTheme="minorHAnsi" w:hAnsiTheme="minorHAnsi" w:cstheme="minorHAnsi"/>
        <w:sz w:val="22"/>
        <w:szCs w:val="22"/>
      </w:rPr>
      <w:t xml:space="preserve"> (2024)</w:t>
    </w:r>
  </w:p>
  <w:p w14:paraId="6CC87C5D" w14:textId="5C17E3A1" w:rsidR="00AA0AA1" w:rsidRPr="00541DC3" w:rsidRDefault="00AA0AA1">
    <w:pPr>
      <w:pStyle w:val="Header"/>
      <w:rPr>
        <w:sz w:val="22"/>
        <w:szCs w:val="22"/>
      </w:rPr>
    </w:pPr>
    <w:r>
      <w:rPr>
        <w:sz w:val="22"/>
        <w:szCs w:val="22"/>
      </w:rPr>
      <w:t>__________________________________________________________________________________________________________________</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12211D" w14:textId="77777777" w:rsidR="00AA0AA1" w:rsidRDefault="00AA0AA1">
    <w:pPr>
      <w:pStyle w:val="Header"/>
      <w:rPr>
        <w:rFonts w:asciiTheme="minorHAnsi" w:hAnsiTheme="minorHAnsi" w:cstheme="minorHAnsi"/>
        <w:sz w:val="22"/>
        <w:szCs w:val="22"/>
      </w:rPr>
    </w:pPr>
    <w:r>
      <w:rPr>
        <w:rFonts w:asciiTheme="minorHAnsi" w:hAnsiTheme="minorHAnsi" w:cstheme="minorHAnsi"/>
        <w:sz w:val="22"/>
        <w:szCs w:val="22"/>
      </w:rPr>
      <w:t>Jamie Grace</w:t>
    </w:r>
    <w:r>
      <w:rPr>
        <w:rFonts w:asciiTheme="minorHAnsi" w:hAnsiTheme="minorHAnsi" w:cstheme="minorHAnsi"/>
        <w:sz w:val="22"/>
        <w:szCs w:val="22"/>
      </w:rPr>
      <w:tab/>
    </w:r>
    <w:r>
      <w:rPr>
        <w:rFonts w:asciiTheme="minorHAnsi" w:hAnsiTheme="minorHAnsi" w:cstheme="minorHAnsi"/>
        <w:sz w:val="22"/>
        <w:szCs w:val="22"/>
      </w:rPr>
      <w:tab/>
      <w:t>Clare’s Law and Human Rights Obligations</w:t>
    </w:r>
  </w:p>
  <w:p w14:paraId="628D378A" w14:textId="77777777" w:rsidR="00AA0AA1" w:rsidRPr="00747049" w:rsidRDefault="00AA0AA1">
    <w:pPr>
      <w:pStyle w:val="Header"/>
      <w:rPr>
        <w:rFonts w:asciiTheme="minorHAnsi" w:hAnsiTheme="minorHAnsi" w:cstheme="minorHAnsi"/>
        <w:sz w:val="22"/>
        <w:szCs w:val="22"/>
      </w:rPr>
    </w:pPr>
    <w:r>
      <w:rPr>
        <w:rFonts w:asciiTheme="minorHAnsi" w:hAnsiTheme="minorHAnsi" w:cstheme="minorHAnsi"/>
        <w:sz w:val="22"/>
        <w:szCs w:val="22"/>
      </w:rPr>
      <w:t>__________________________________________________________________________________</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BD0304" w14:textId="42663DDB" w:rsidR="00AA0AA1" w:rsidRPr="009B27A1" w:rsidRDefault="00AA0AA1" w:rsidP="00747049">
    <w:pPr>
      <w:pStyle w:val="Header"/>
      <w:tabs>
        <w:tab w:val="clear" w:pos="9026"/>
        <w:tab w:val="right" w:pos="13892"/>
      </w:tabs>
      <w:ind w:right="66"/>
      <w:rPr>
        <w:rFonts w:asciiTheme="minorHAnsi" w:hAnsiTheme="minorHAnsi" w:cstheme="minorHAnsi"/>
        <w:sz w:val="22"/>
        <w:szCs w:val="22"/>
      </w:rPr>
    </w:pPr>
    <w:proofErr w:type="spellStart"/>
    <w:r w:rsidRPr="009B27A1">
      <w:rPr>
        <w:rFonts w:asciiTheme="minorHAnsi" w:hAnsiTheme="minorHAnsi" w:cstheme="minorHAnsi"/>
        <w:i/>
        <w:iCs/>
        <w:sz w:val="22"/>
        <w:szCs w:val="22"/>
      </w:rPr>
      <w:t>feminists@law</w:t>
    </w:r>
    <w:proofErr w:type="spellEnd"/>
    <w:r w:rsidRPr="009B27A1">
      <w:rPr>
        <w:rFonts w:asciiTheme="minorHAnsi" w:hAnsiTheme="minorHAnsi" w:cstheme="minorHAnsi"/>
        <w:sz w:val="22"/>
        <w:szCs w:val="22"/>
      </w:rPr>
      <w:tab/>
    </w:r>
    <w:r w:rsidRPr="009B27A1">
      <w:rPr>
        <w:rFonts w:asciiTheme="minorHAnsi" w:hAnsiTheme="minorHAnsi" w:cstheme="minorHAnsi"/>
        <w:sz w:val="22"/>
        <w:szCs w:val="22"/>
      </w:rPr>
      <w:tab/>
      <w:t>Vol 1</w:t>
    </w:r>
    <w:r w:rsidR="00E40525">
      <w:rPr>
        <w:rFonts w:asciiTheme="minorHAnsi" w:hAnsiTheme="minorHAnsi" w:cstheme="minorHAnsi"/>
        <w:sz w:val="22"/>
        <w:szCs w:val="22"/>
      </w:rPr>
      <w:t>3</w:t>
    </w:r>
    <w:r w:rsidRPr="009B27A1">
      <w:rPr>
        <w:rFonts w:asciiTheme="minorHAnsi" w:hAnsiTheme="minorHAnsi" w:cstheme="minorHAnsi"/>
        <w:sz w:val="22"/>
        <w:szCs w:val="22"/>
      </w:rPr>
      <w:t xml:space="preserve">, No </w:t>
    </w:r>
    <w:r w:rsidR="00E40525">
      <w:rPr>
        <w:rFonts w:asciiTheme="minorHAnsi" w:hAnsiTheme="minorHAnsi" w:cstheme="minorHAnsi"/>
        <w:sz w:val="22"/>
        <w:szCs w:val="22"/>
      </w:rPr>
      <w:t>1</w:t>
    </w:r>
    <w:r w:rsidRPr="009B27A1">
      <w:rPr>
        <w:rFonts w:asciiTheme="minorHAnsi" w:hAnsiTheme="minorHAnsi" w:cstheme="minorHAnsi"/>
        <w:sz w:val="22"/>
        <w:szCs w:val="22"/>
      </w:rPr>
      <w:t xml:space="preserve"> (2024)</w:t>
    </w:r>
  </w:p>
  <w:p w14:paraId="2B29ACFC" w14:textId="77777777" w:rsidR="00AA0AA1" w:rsidRPr="00541DC3" w:rsidRDefault="00AA0AA1">
    <w:pPr>
      <w:pStyle w:val="Header"/>
      <w:rPr>
        <w:sz w:val="22"/>
        <w:szCs w:val="22"/>
      </w:rPr>
    </w:pPr>
    <w:r>
      <w:rPr>
        <w:sz w:val="22"/>
        <w:szCs w:val="22"/>
      </w:rPr>
      <w:t>__________________________________________________________________________________________________________________</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B7953D" w14:textId="77777777" w:rsidR="00AA0AA1" w:rsidRDefault="00AA0AA1">
    <w:pPr>
      <w:pStyle w:val="Header"/>
      <w:rPr>
        <w:rFonts w:asciiTheme="minorHAnsi" w:hAnsiTheme="minorHAnsi" w:cstheme="minorHAnsi"/>
        <w:sz w:val="22"/>
        <w:szCs w:val="22"/>
      </w:rPr>
    </w:pPr>
    <w:r>
      <w:rPr>
        <w:rFonts w:asciiTheme="minorHAnsi" w:hAnsiTheme="minorHAnsi" w:cstheme="minorHAnsi"/>
        <w:sz w:val="22"/>
        <w:szCs w:val="22"/>
      </w:rPr>
      <w:t>Jamie Grace</w:t>
    </w:r>
    <w:r>
      <w:rPr>
        <w:rFonts w:asciiTheme="minorHAnsi" w:hAnsiTheme="minorHAnsi" w:cstheme="minorHAnsi"/>
        <w:sz w:val="22"/>
        <w:szCs w:val="22"/>
      </w:rPr>
      <w:tab/>
    </w:r>
    <w:r>
      <w:rPr>
        <w:rFonts w:asciiTheme="minorHAnsi" w:hAnsiTheme="minorHAnsi" w:cstheme="minorHAnsi"/>
        <w:sz w:val="22"/>
        <w:szCs w:val="22"/>
      </w:rPr>
      <w:tab/>
      <w:t>Clare’s Law and Human Rights Obligations</w:t>
    </w:r>
  </w:p>
  <w:p w14:paraId="4BE4F99C" w14:textId="77777777" w:rsidR="00AA0AA1" w:rsidRPr="00747049" w:rsidRDefault="00AA0AA1">
    <w:pPr>
      <w:pStyle w:val="Header"/>
      <w:rPr>
        <w:rFonts w:asciiTheme="minorHAnsi" w:hAnsiTheme="minorHAnsi" w:cstheme="minorHAnsi"/>
        <w:sz w:val="22"/>
        <w:szCs w:val="22"/>
      </w:rPr>
    </w:pPr>
    <w:r>
      <w:rPr>
        <w:rFonts w:asciiTheme="minorHAnsi" w:hAnsiTheme="minorHAnsi" w:cstheme="minorHAnsi"/>
        <w:sz w:val="22"/>
        <w:szCs w:val="22"/>
      </w:rPr>
      <w:t>__________________________________________________________________________________</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63FF2" w14:textId="3A0D7C81" w:rsidR="006D138F" w:rsidRPr="009B27A1" w:rsidRDefault="006D138F" w:rsidP="00747049">
    <w:pPr>
      <w:pStyle w:val="Header"/>
      <w:tabs>
        <w:tab w:val="clear" w:pos="9026"/>
        <w:tab w:val="right" w:pos="13892"/>
      </w:tabs>
      <w:ind w:right="66"/>
      <w:rPr>
        <w:rFonts w:asciiTheme="minorHAnsi" w:hAnsiTheme="minorHAnsi" w:cstheme="minorHAnsi"/>
        <w:sz w:val="22"/>
        <w:szCs w:val="22"/>
      </w:rPr>
    </w:pPr>
    <w:proofErr w:type="spellStart"/>
    <w:r w:rsidRPr="009B27A1">
      <w:rPr>
        <w:rFonts w:asciiTheme="minorHAnsi" w:hAnsiTheme="minorHAnsi" w:cstheme="minorHAnsi"/>
        <w:i/>
        <w:iCs/>
        <w:sz w:val="22"/>
        <w:szCs w:val="22"/>
      </w:rPr>
      <w:t>feminists@law</w:t>
    </w:r>
    <w:proofErr w:type="spellEnd"/>
    <w:r w:rsidRPr="009B27A1">
      <w:rPr>
        <w:rFonts w:asciiTheme="minorHAnsi" w:hAnsiTheme="minorHAnsi" w:cstheme="minorHAnsi"/>
        <w:sz w:val="22"/>
        <w:szCs w:val="22"/>
      </w:rPr>
      <w:tab/>
    </w:r>
    <w:r w:rsidRPr="009B27A1">
      <w:rPr>
        <w:rFonts w:asciiTheme="minorHAnsi" w:hAnsiTheme="minorHAnsi" w:cstheme="minorHAnsi"/>
        <w:sz w:val="22"/>
        <w:szCs w:val="22"/>
      </w:rPr>
      <w:tab/>
      <w:t>Vol 1</w:t>
    </w:r>
    <w:r w:rsidR="00E40525">
      <w:rPr>
        <w:rFonts w:asciiTheme="minorHAnsi" w:hAnsiTheme="minorHAnsi" w:cstheme="minorHAnsi"/>
        <w:sz w:val="22"/>
        <w:szCs w:val="22"/>
      </w:rPr>
      <w:t>3</w:t>
    </w:r>
    <w:r w:rsidRPr="009B27A1">
      <w:rPr>
        <w:rFonts w:asciiTheme="minorHAnsi" w:hAnsiTheme="minorHAnsi" w:cstheme="minorHAnsi"/>
        <w:sz w:val="22"/>
        <w:szCs w:val="22"/>
      </w:rPr>
      <w:t xml:space="preserve">, No </w:t>
    </w:r>
    <w:r w:rsidR="00E40525">
      <w:rPr>
        <w:rFonts w:asciiTheme="minorHAnsi" w:hAnsiTheme="minorHAnsi" w:cstheme="minorHAnsi"/>
        <w:sz w:val="22"/>
        <w:szCs w:val="22"/>
      </w:rPr>
      <w:t>1</w:t>
    </w:r>
    <w:r w:rsidRPr="009B27A1">
      <w:rPr>
        <w:rFonts w:asciiTheme="minorHAnsi" w:hAnsiTheme="minorHAnsi" w:cstheme="minorHAnsi"/>
        <w:sz w:val="22"/>
        <w:szCs w:val="22"/>
      </w:rPr>
      <w:t xml:space="preserve"> (2024)</w:t>
    </w:r>
  </w:p>
  <w:p w14:paraId="2DBFFC1C" w14:textId="36014544" w:rsidR="006D138F" w:rsidRPr="00541DC3" w:rsidRDefault="006D138F">
    <w:pPr>
      <w:pStyle w:val="Header"/>
      <w:rPr>
        <w:sz w:val="22"/>
        <w:szCs w:val="22"/>
      </w:rPr>
    </w:pPr>
    <w:r>
      <w:rPr>
        <w:sz w:val="22"/>
        <w:szCs w:val="22"/>
      </w:rPr>
      <w:t>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D3056"/>
    <w:multiLevelType w:val="hybridMultilevel"/>
    <w:tmpl w:val="2D42A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FB71D9"/>
    <w:multiLevelType w:val="hybridMultilevel"/>
    <w:tmpl w:val="D73E1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3A4CFF"/>
    <w:multiLevelType w:val="hybridMultilevel"/>
    <w:tmpl w:val="0080814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A1E2D31"/>
    <w:multiLevelType w:val="hybridMultilevel"/>
    <w:tmpl w:val="CF048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FFA6BDE"/>
    <w:multiLevelType w:val="hybridMultilevel"/>
    <w:tmpl w:val="D1321D5A"/>
    <w:lvl w:ilvl="0" w:tplc="7BEA2ACE">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49023650">
    <w:abstractNumId w:val="1"/>
  </w:num>
  <w:num w:numId="2" w16cid:durableId="512063943">
    <w:abstractNumId w:val="3"/>
  </w:num>
  <w:num w:numId="3" w16cid:durableId="915286009">
    <w:abstractNumId w:val="0"/>
  </w:num>
  <w:num w:numId="4" w16cid:durableId="1275164119">
    <w:abstractNumId w:val="4"/>
  </w:num>
  <w:num w:numId="5" w16cid:durableId="18475977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DB6"/>
    <w:rsid w:val="00002158"/>
    <w:rsid w:val="00003109"/>
    <w:rsid w:val="000053E8"/>
    <w:rsid w:val="00007B48"/>
    <w:rsid w:val="000133C6"/>
    <w:rsid w:val="00020A50"/>
    <w:rsid w:val="00021082"/>
    <w:rsid w:val="000248BE"/>
    <w:rsid w:val="00024B61"/>
    <w:rsid w:val="000304A4"/>
    <w:rsid w:val="00030C27"/>
    <w:rsid w:val="00035757"/>
    <w:rsid w:val="000422BC"/>
    <w:rsid w:val="0004413E"/>
    <w:rsid w:val="000458E9"/>
    <w:rsid w:val="00046E02"/>
    <w:rsid w:val="000471AF"/>
    <w:rsid w:val="0005134A"/>
    <w:rsid w:val="0005191E"/>
    <w:rsid w:val="00053524"/>
    <w:rsid w:val="00054D71"/>
    <w:rsid w:val="00055A1A"/>
    <w:rsid w:val="00057337"/>
    <w:rsid w:val="00057E76"/>
    <w:rsid w:val="00065E37"/>
    <w:rsid w:val="00071078"/>
    <w:rsid w:val="0008328C"/>
    <w:rsid w:val="0009178C"/>
    <w:rsid w:val="00091B54"/>
    <w:rsid w:val="00091FA6"/>
    <w:rsid w:val="00092156"/>
    <w:rsid w:val="00093A6A"/>
    <w:rsid w:val="000A6127"/>
    <w:rsid w:val="000B1510"/>
    <w:rsid w:val="000B3F99"/>
    <w:rsid w:val="000B5387"/>
    <w:rsid w:val="000B64C9"/>
    <w:rsid w:val="000B7DE7"/>
    <w:rsid w:val="000C0AF1"/>
    <w:rsid w:val="000C2412"/>
    <w:rsid w:val="000C2E87"/>
    <w:rsid w:val="000C4CF1"/>
    <w:rsid w:val="000D7D2E"/>
    <w:rsid w:val="000E0879"/>
    <w:rsid w:val="000E13B3"/>
    <w:rsid w:val="000E2CF2"/>
    <w:rsid w:val="000E480C"/>
    <w:rsid w:val="000E70FA"/>
    <w:rsid w:val="000F01B4"/>
    <w:rsid w:val="00101D2E"/>
    <w:rsid w:val="00104EFA"/>
    <w:rsid w:val="00106E9C"/>
    <w:rsid w:val="00107A76"/>
    <w:rsid w:val="0011070B"/>
    <w:rsid w:val="00111495"/>
    <w:rsid w:val="0011338E"/>
    <w:rsid w:val="00117B0F"/>
    <w:rsid w:val="00132850"/>
    <w:rsid w:val="0013287A"/>
    <w:rsid w:val="00135796"/>
    <w:rsid w:val="0013659E"/>
    <w:rsid w:val="00150021"/>
    <w:rsid w:val="00155051"/>
    <w:rsid w:val="001656C5"/>
    <w:rsid w:val="00166907"/>
    <w:rsid w:val="001669B8"/>
    <w:rsid w:val="00170927"/>
    <w:rsid w:val="001714FE"/>
    <w:rsid w:val="00171FFA"/>
    <w:rsid w:val="00173698"/>
    <w:rsid w:val="00175E02"/>
    <w:rsid w:val="001800E8"/>
    <w:rsid w:val="00181925"/>
    <w:rsid w:val="00181B57"/>
    <w:rsid w:val="00182B4F"/>
    <w:rsid w:val="00183751"/>
    <w:rsid w:val="00183D69"/>
    <w:rsid w:val="00185D5F"/>
    <w:rsid w:val="00186DD7"/>
    <w:rsid w:val="001924CC"/>
    <w:rsid w:val="001A23B2"/>
    <w:rsid w:val="001A5E90"/>
    <w:rsid w:val="001A78C9"/>
    <w:rsid w:val="001B0C39"/>
    <w:rsid w:val="001B19EC"/>
    <w:rsid w:val="001B2C74"/>
    <w:rsid w:val="001B2F47"/>
    <w:rsid w:val="001B60DA"/>
    <w:rsid w:val="001C29C7"/>
    <w:rsid w:val="001C2B3B"/>
    <w:rsid w:val="001C5A1D"/>
    <w:rsid w:val="001C5AFE"/>
    <w:rsid w:val="001C7F7B"/>
    <w:rsid w:val="001D10BC"/>
    <w:rsid w:val="001D1720"/>
    <w:rsid w:val="001D594D"/>
    <w:rsid w:val="001E2D9C"/>
    <w:rsid w:val="001E2E39"/>
    <w:rsid w:val="001E4F55"/>
    <w:rsid w:val="001E6B60"/>
    <w:rsid w:val="001F039B"/>
    <w:rsid w:val="001F0C62"/>
    <w:rsid w:val="001F178B"/>
    <w:rsid w:val="001F25F0"/>
    <w:rsid w:val="001F3DC0"/>
    <w:rsid w:val="001F4B7B"/>
    <w:rsid w:val="002009BB"/>
    <w:rsid w:val="0020392C"/>
    <w:rsid w:val="002050F7"/>
    <w:rsid w:val="00206DC1"/>
    <w:rsid w:val="00207CFD"/>
    <w:rsid w:val="002122E9"/>
    <w:rsid w:val="00212A76"/>
    <w:rsid w:val="002134E8"/>
    <w:rsid w:val="00213FA6"/>
    <w:rsid w:val="00214ECF"/>
    <w:rsid w:val="002305F9"/>
    <w:rsid w:val="00232F3B"/>
    <w:rsid w:val="0023435E"/>
    <w:rsid w:val="00236814"/>
    <w:rsid w:val="002371DC"/>
    <w:rsid w:val="002400A5"/>
    <w:rsid w:val="0024135E"/>
    <w:rsid w:val="00241EDA"/>
    <w:rsid w:val="002505E7"/>
    <w:rsid w:val="002576E4"/>
    <w:rsid w:val="00260CD1"/>
    <w:rsid w:val="00266C5C"/>
    <w:rsid w:val="0027414D"/>
    <w:rsid w:val="00275104"/>
    <w:rsid w:val="00275716"/>
    <w:rsid w:val="00276CA7"/>
    <w:rsid w:val="00277D42"/>
    <w:rsid w:val="0028577F"/>
    <w:rsid w:val="00291777"/>
    <w:rsid w:val="00291FB5"/>
    <w:rsid w:val="002939E7"/>
    <w:rsid w:val="002A6821"/>
    <w:rsid w:val="002B41EA"/>
    <w:rsid w:val="002C430C"/>
    <w:rsid w:val="002C4B74"/>
    <w:rsid w:val="002C6D12"/>
    <w:rsid w:val="002D050F"/>
    <w:rsid w:val="002D1F50"/>
    <w:rsid w:val="002D5E09"/>
    <w:rsid w:val="002D6567"/>
    <w:rsid w:val="002E0068"/>
    <w:rsid w:val="002E138C"/>
    <w:rsid w:val="002E27E8"/>
    <w:rsid w:val="002F1B77"/>
    <w:rsid w:val="00302F49"/>
    <w:rsid w:val="00303D58"/>
    <w:rsid w:val="0030542A"/>
    <w:rsid w:val="00311054"/>
    <w:rsid w:val="00312741"/>
    <w:rsid w:val="0031332C"/>
    <w:rsid w:val="003133A3"/>
    <w:rsid w:val="00317D8F"/>
    <w:rsid w:val="0032164D"/>
    <w:rsid w:val="00321FE5"/>
    <w:rsid w:val="00322EAC"/>
    <w:rsid w:val="00331E55"/>
    <w:rsid w:val="0033507F"/>
    <w:rsid w:val="0033537A"/>
    <w:rsid w:val="00343F67"/>
    <w:rsid w:val="00345151"/>
    <w:rsid w:val="0034681D"/>
    <w:rsid w:val="00351BDA"/>
    <w:rsid w:val="00352418"/>
    <w:rsid w:val="00352862"/>
    <w:rsid w:val="00361C90"/>
    <w:rsid w:val="003625AA"/>
    <w:rsid w:val="00362728"/>
    <w:rsid w:val="00362EDF"/>
    <w:rsid w:val="00363F62"/>
    <w:rsid w:val="00376C9D"/>
    <w:rsid w:val="00376D17"/>
    <w:rsid w:val="00377E08"/>
    <w:rsid w:val="0038459F"/>
    <w:rsid w:val="0038550B"/>
    <w:rsid w:val="00385B93"/>
    <w:rsid w:val="00386109"/>
    <w:rsid w:val="00390BF2"/>
    <w:rsid w:val="00393667"/>
    <w:rsid w:val="00395219"/>
    <w:rsid w:val="00396248"/>
    <w:rsid w:val="003974E0"/>
    <w:rsid w:val="003A132A"/>
    <w:rsid w:val="003A27FC"/>
    <w:rsid w:val="003A4BB6"/>
    <w:rsid w:val="003A73A1"/>
    <w:rsid w:val="003B191A"/>
    <w:rsid w:val="003B6437"/>
    <w:rsid w:val="003C11A9"/>
    <w:rsid w:val="003C5500"/>
    <w:rsid w:val="003D1C0C"/>
    <w:rsid w:val="003D5389"/>
    <w:rsid w:val="003D5897"/>
    <w:rsid w:val="003D6E7F"/>
    <w:rsid w:val="003E0B11"/>
    <w:rsid w:val="003E1E95"/>
    <w:rsid w:val="003E34A9"/>
    <w:rsid w:val="003E6D94"/>
    <w:rsid w:val="003E7462"/>
    <w:rsid w:val="003F1823"/>
    <w:rsid w:val="003F3317"/>
    <w:rsid w:val="003F3923"/>
    <w:rsid w:val="003F5F3F"/>
    <w:rsid w:val="004039C0"/>
    <w:rsid w:val="004047ED"/>
    <w:rsid w:val="00405448"/>
    <w:rsid w:val="004054B7"/>
    <w:rsid w:val="00413F0E"/>
    <w:rsid w:val="004141CB"/>
    <w:rsid w:val="004153DD"/>
    <w:rsid w:val="00415B84"/>
    <w:rsid w:val="004173CA"/>
    <w:rsid w:val="00417701"/>
    <w:rsid w:val="004217E1"/>
    <w:rsid w:val="00421CEC"/>
    <w:rsid w:val="00436E00"/>
    <w:rsid w:val="00436F57"/>
    <w:rsid w:val="00437207"/>
    <w:rsid w:val="00440D9C"/>
    <w:rsid w:val="0044562D"/>
    <w:rsid w:val="004506B5"/>
    <w:rsid w:val="00454908"/>
    <w:rsid w:val="0045555C"/>
    <w:rsid w:val="00457937"/>
    <w:rsid w:val="00460240"/>
    <w:rsid w:val="004603C8"/>
    <w:rsid w:val="004630BC"/>
    <w:rsid w:val="004736AB"/>
    <w:rsid w:val="00474A90"/>
    <w:rsid w:val="004810D7"/>
    <w:rsid w:val="00481B9F"/>
    <w:rsid w:val="00483586"/>
    <w:rsid w:val="00485D30"/>
    <w:rsid w:val="0048682D"/>
    <w:rsid w:val="0049214D"/>
    <w:rsid w:val="00492288"/>
    <w:rsid w:val="004937FE"/>
    <w:rsid w:val="004949E7"/>
    <w:rsid w:val="00495C3E"/>
    <w:rsid w:val="004A1F4C"/>
    <w:rsid w:val="004A2834"/>
    <w:rsid w:val="004B09ED"/>
    <w:rsid w:val="004B1D06"/>
    <w:rsid w:val="004B20DD"/>
    <w:rsid w:val="004B3E04"/>
    <w:rsid w:val="004B4543"/>
    <w:rsid w:val="004B57F8"/>
    <w:rsid w:val="004B6388"/>
    <w:rsid w:val="004B6C3A"/>
    <w:rsid w:val="004C315F"/>
    <w:rsid w:val="004C7A0E"/>
    <w:rsid w:val="004D3F87"/>
    <w:rsid w:val="004D40DE"/>
    <w:rsid w:val="004D5D03"/>
    <w:rsid w:val="004D6B8D"/>
    <w:rsid w:val="004D6BE5"/>
    <w:rsid w:val="004D78E0"/>
    <w:rsid w:val="004E4D0F"/>
    <w:rsid w:val="004E5060"/>
    <w:rsid w:val="004E6FA1"/>
    <w:rsid w:val="004E7639"/>
    <w:rsid w:val="004F202F"/>
    <w:rsid w:val="004F3AD6"/>
    <w:rsid w:val="004F79B6"/>
    <w:rsid w:val="005003B2"/>
    <w:rsid w:val="0050367C"/>
    <w:rsid w:val="00505B89"/>
    <w:rsid w:val="005133AF"/>
    <w:rsid w:val="00515E45"/>
    <w:rsid w:val="00521DDC"/>
    <w:rsid w:val="0053391A"/>
    <w:rsid w:val="005350C5"/>
    <w:rsid w:val="00535672"/>
    <w:rsid w:val="005371A7"/>
    <w:rsid w:val="00541DC3"/>
    <w:rsid w:val="005510CF"/>
    <w:rsid w:val="00551BF0"/>
    <w:rsid w:val="00552FF9"/>
    <w:rsid w:val="00554FA6"/>
    <w:rsid w:val="00556599"/>
    <w:rsid w:val="00560DB8"/>
    <w:rsid w:val="005612EC"/>
    <w:rsid w:val="00563BD7"/>
    <w:rsid w:val="0056575F"/>
    <w:rsid w:val="00570718"/>
    <w:rsid w:val="005719C0"/>
    <w:rsid w:val="0058280B"/>
    <w:rsid w:val="00582D2F"/>
    <w:rsid w:val="00590D4B"/>
    <w:rsid w:val="005910E3"/>
    <w:rsid w:val="005913DB"/>
    <w:rsid w:val="005928C1"/>
    <w:rsid w:val="005A0A96"/>
    <w:rsid w:val="005A1E11"/>
    <w:rsid w:val="005A7901"/>
    <w:rsid w:val="005B0DEA"/>
    <w:rsid w:val="005B1A4B"/>
    <w:rsid w:val="005B24B0"/>
    <w:rsid w:val="005B446F"/>
    <w:rsid w:val="005C3C51"/>
    <w:rsid w:val="005C60D8"/>
    <w:rsid w:val="005C6F89"/>
    <w:rsid w:val="005C7944"/>
    <w:rsid w:val="005C79AA"/>
    <w:rsid w:val="005C7B76"/>
    <w:rsid w:val="005D0117"/>
    <w:rsid w:val="005D6C0F"/>
    <w:rsid w:val="005E00C2"/>
    <w:rsid w:val="005E151D"/>
    <w:rsid w:val="005E386A"/>
    <w:rsid w:val="005E76FB"/>
    <w:rsid w:val="005F1E8D"/>
    <w:rsid w:val="005F5493"/>
    <w:rsid w:val="005F7BD8"/>
    <w:rsid w:val="006041ED"/>
    <w:rsid w:val="006044EF"/>
    <w:rsid w:val="00604FB7"/>
    <w:rsid w:val="00605AC7"/>
    <w:rsid w:val="00605CA3"/>
    <w:rsid w:val="00612DFC"/>
    <w:rsid w:val="00613DB6"/>
    <w:rsid w:val="0062158E"/>
    <w:rsid w:val="00622B88"/>
    <w:rsid w:val="0062301E"/>
    <w:rsid w:val="00624206"/>
    <w:rsid w:val="00624542"/>
    <w:rsid w:val="00627FE0"/>
    <w:rsid w:val="00631385"/>
    <w:rsid w:val="0063529A"/>
    <w:rsid w:val="006407AB"/>
    <w:rsid w:val="00640D63"/>
    <w:rsid w:val="00641ADC"/>
    <w:rsid w:val="006544CC"/>
    <w:rsid w:val="0065553B"/>
    <w:rsid w:val="00657064"/>
    <w:rsid w:val="006578CF"/>
    <w:rsid w:val="006628FB"/>
    <w:rsid w:val="00662A89"/>
    <w:rsid w:val="00662C3E"/>
    <w:rsid w:val="00665FB1"/>
    <w:rsid w:val="006769DB"/>
    <w:rsid w:val="00680102"/>
    <w:rsid w:val="00681375"/>
    <w:rsid w:val="006845B3"/>
    <w:rsid w:val="00684935"/>
    <w:rsid w:val="00684A5A"/>
    <w:rsid w:val="00685F1C"/>
    <w:rsid w:val="00690AAA"/>
    <w:rsid w:val="00693E3F"/>
    <w:rsid w:val="006A1122"/>
    <w:rsid w:val="006A1A34"/>
    <w:rsid w:val="006A2B2B"/>
    <w:rsid w:val="006A410A"/>
    <w:rsid w:val="006A6E05"/>
    <w:rsid w:val="006A727F"/>
    <w:rsid w:val="006B553D"/>
    <w:rsid w:val="006B67E0"/>
    <w:rsid w:val="006B76CC"/>
    <w:rsid w:val="006C1002"/>
    <w:rsid w:val="006D0393"/>
    <w:rsid w:val="006D053D"/>
    <w:rsid w:val="006D0C41"/>
    <w:rsid w:val="006D138F"/>
    <w:rsid w:val="006D1C4B"/>
    <w:rsid w:val="006D65B1"/>
    <w:rsid w:val="006D71AC"/>
    <w:rsid w:val="006E07A5"/>
    <w:rsid w:val="006E0974"/>
    <w:rsid w:val="006E429B"/>
    <w:rsid w:val="006E606B"/>
    <w:rsid w:val="006F4A3E"/>
    <w:rsid w:val="00700B41"/>
    <w:rsid w:val="00700D2B"/>
    <w:rsid w:val="00702351"/>
    <w:rsid w:val="00702BFE"/>
    <w:rsid w:val="00702F50"/>
    <w:rsid w:val="00703549"/>
    <w:rsid w:val="0070370A"/>
    <w:rsid w:val="00706B3C"/>
    <w:rsid w:val="00707BDE"/>
    <w:rsid w:val="00721872"/>
    <w:rsid w:val="00722807"/>
    <w:rsid w:val="00724BB2"/>
    <w:rsid w:val="00732F73"/>
    <w:rsid w:val="00734E9C"/>
    <w:rsid w:val="00740C70"/>
    <w:rsid w:val="00740DEB"/>
    <w:rsid w:val="0074444C"/>
    <w:rsid w:val="00744D22"/>
    <w:rsid w:val="00746459"/>
    <w:rsid w:val="00747049"/>
    <w:rsid w:val="00751E14"/>
    <w:rsid w:val="00753F41"/>
    <w:rsid w:val="007546EA"/>
    <w:rsid w:val="00754B5A"/>
    <w:rsid w:val="00754C18"/>
    <w:rsid w:val="007562B5"/>
    <w:rsid w:val="00757500"/>
    <w:rsid w:val="00757C26"/>
    <w:rsid w:val="00761F4B"/>
    <w:rsid w:val="00762E61"/>
    <w:rsid w:val="007637B6"/>
    <w:rsid w:val="007746D8"/>
    <w:rsid w:val="00782022"/>
    <w:rsid w:val="00784685"/>
    <w:rsid w:val="007950A4"/>
    <w:rsid w:val="007956F7"/>
    <w:rsid w:val="00796B98"/>
    <w:rsid w:val="007A21CB"/>
    <w:rsid w:val="007B0D22"/>
    <w:rsid w:val="007B3073"/>
    <w:rsid w:val="007B5656"/>
    <w:rsid w:val="007B57A8"/>
    <w:rsid w:val="007B79D5"/>
    <w:rsid w:val="007C1065"/>
    <w:rsid w:val="007C3597"/>
    <w:rsid w:val="007C4586"/>
    <w:rsid w:val="007C71ED"/>
    <w:rsid w:val="007C7A3F"/>
    <w:rsid w:val="007C7BD1"/>
    <w:rsid w:val="007D0AB6"/>
    <w:rsid w:val="007D5D3D"/>
    <w:rsid w:val="007D5E9F"/>
    <w:rsid w:val="007E08B2"/>
    <w:rsid w:val="007E204D"/>
    <w:rsid w:val="007E22C7"/>
    <w:rsid w:val="007E418C"/>
    <w:rsid w:val="007E51E4"/>
    <w:rsid w:val="007F0C6A"/>
    <w:rsid w:val="007F4EB3"/>
    <w:rsid w:val="007F72C7"/>
    <w:rsid w:val="0080361B"/>
    <w:rsid w:val="00815A4D"/>
    <w:rsid w:val="00820DF9"/>
    <w:rsid w:val="00821DA6"/>
    <w:rsid w:val="00837AA3"/>
    <w:rsid w:val="0084261B"/>
    <w:rsid w:val="00846583"/>
    <w:rsid w:val="00847A2F"/>
    <w:rsid w:val="00850579"/>
    <w:rsid w:val="00851151"/>
    <w:rsid w:val="00852001"/>
    <w:rsid w:val="008550A6"/>
    <w:rsid w:val="008563BF"/>
    <w:rsid w:val="00860212"/>
    <w:rsid w:val="0086125E"/>
    <w:rsid w:val="00864EB0"/>
    <w:rsid w:val="008662D1"/>
    <w:rsid w:val="008674E6"/>
    <w:rsid w:val="0087454B"/>
    <w:rsid w:val="00874CA0"/>
    <w:rsid w:val="00880E76"/>
    <w:rsid w:val="00881427"/>
    <w:rsid w:val="008824DE"/>
    <w:rsid w:val="00885A3D"/>
    <w:rsid w:val="00887405"/>
    <w:rsid w:val="00890675"/>
    <w:rsid w:val="00890A36"/>
    <w:rsid w:val="00896A64"/>
    <w:rsid w:val="00897F8E"/>
    <w:rsid w:val="008A040E"/>
    <w:rsid w:val="008A2E4C"/>
    <w:rsid w:val="008A2F5A"/>
    <w:rsid w:val="008A31F7"/>
    <w:rsid w:val="008B1CEE"/>
    <w:rsid w:val="008B264B"/>
    <w:rsid w:val="008B52C6"/>
    <w:rsid w:val="008C0C60"/>
    <w:rsid w:val="008C2463"/>
    <w:rsid w:val="008C4D29"/>
    <w:rsid w:val="008D0E05"/>
    <w:rsid w:val="008D0F46"/>
    <w:rsid w:val="008D1528"/>
    <w:rsid w:val="008D3528"/>
    <w:rsid w:val="008E07BE"/>
    <w:rsid w:val="008E2A4E"/>
    <w:rsid w:val="008F13F7"/>
    <w:rsid w:val="008F1C28"/>
    <w:rsid w:val="008F282C"/>
    <w:rsid w:val="008F2978"/>
    <w:rsid w:val="008F6E03"/>
    <w:rsid w:val="008F7A0C"/>
    <w:rsid w:val="008F7BD4"/>
    <w:rsid w:val="009076FE"/>
    <w:rsid w:val="00910945"/>
    <w:rsid w:val="00911C28"/>
    <w:rsid w:val="00914BE6"/>
    <w:rsid w:val="00916E7D"/>
    <w:rsid w:val="00917946"/>
    <w:rsid w:val="00917CD2"/>
    <w:rsid w:val="00920A02"/>
    <w:rsid w:val="00921CD3"/>
    <w:rsid w:val="00924E01"/>
    <w:rsid w:val="00926899"/>
    <w:rsid w:val="00927274"/>
    <w:rsid w:val="00934F3D"/>
    <w:rsid w:val="00935A82"/>
    <w:rsid w:val="00940E82"/>
    <w:rsid w:val="00942776"/>
    <w:rsid w:val="00942F06"/>
    <w:rsid w:val="00944A70"/>
    <w:rsid w:val="009455E1"/>
    <w:rsid w:val="00945BB9"/>
    <w:rsid w:val="00945DE9"/>
    <w:rsid w:val="009512D2"/>
    <w:rsid w:val="00956F53"/>
    <w:rsid w:val="0096135F"/>
    <w:rsid w:val="00966C64"/>
    <w:rsid w:val="0097187E"/>
    <w:rsid w:val="00974FCA"/>
    <w:rsid w:val="0097590A"/>
    <w:rsid w:val="00975C2E"/>
    <w:rsid w:val="00980F10"/>
    <w:rsid w:val="0098157D"/>
    <w:rsid w:val="00983FD5"/>
    <w:rsid w:val="00984F15"/>
    <w:rsid w:val="00985878"/>
    <w:rsid w:val="00987E7F"/>
    <w:rsid w:val="009954B0"/>
    <w:rsid w:val="00995DC7"/>
    <w:rsid w:val="00996006"/>
    <w:rsid w:val="00997882"/>
    <w:rsid w:val="009A075B"/>
    <w:rsid w:val="009A5B40"/>
    <w:rsid w:val="009A69A4"/>
    <w:rsid w:val="009B2199"/>
    <w:rsid w:val="009B27A1"/>
    <w:rsid w:val="009B41F8"/>
    <w:rsid w:val="009B7738"/>
    <w:rsid w:val="009C3841"/>
    <w:rsid w:val="009D40D8"/>
    <w:rsid w:val="009D6379"/>
    <w:rsid w:val="009D73BC"/>
    <w:rsid w:val="009E0F96"/>
    <w:rsid w:val="009E122D"/>
    <w:rsid w:val="009E213D"/>
    <w:rsid w:val="009E5B25"/>
    <w:rsid w:val="009E66D7"/>
    <w:rsid w:val="009F55BA"/>
    <w:rsid w:val="009F641D"/>
    <w:rsid w:val="00A03FC8"/>
    <w:rsid w:val="00A043F9"/>
    <w:rsid w:val="00A0725D"/>
    <w:rsid w:val="00A10A5B"/>
    <w:rsid w:val="00A13F7C"/>
    <w:rsid w:val="00A15458"/>
    <w:rsid w:val="00A201FD"/>
    <w:rsid w:val="00A205E2"/>
    <w:rsid w:val="00A21550"/>
    <w:rsid w:val="00A2683C"/>
    <w:rsid w:val="00A30685"/>
    <w:rsid w:val="00A344A9"/>
    <w:rsid w:val="00A407D6"/>
    <w:rsid w:val="00A423C3"/>
    <w:rsid w:val="00A42917"/>
    <w:rsid w:val="00A454B7"/>
    <w:rsid w:val="00A47587"/>
    <w:rsid w:val="00A50EFA"/>
    <w:rsid w:val="00A60F9F"/>
    <w:rsid w:val="00A7058A"/>
    <w:rsid w:val="00A724E2"/>
    <w:rsid w:val="00A74AD1"/>
    <w:rsid w:val="00A755A5"/>
    <w:rsid w:val="00A757E6"/>
    <w:rsid w:val="00A8273C"/>
    <w:rsid w:val="00A90F57"/>
    <w:rsid w:val="00A92B2C"/>
    <w:rsid w:val="00AA0AA1"/>
    <w:rsid w:val="00AA19E1"/>
    <w:rsid w:val="00AA5180"/>
    <w:rsid w:val="00AA563B"/>
    <w:rsid w:val="00AB1D34"/>
    <w:rsid w:val="00AB4F20"/>
    <w:rsid w:val="00AB4FFE"/>
    <w:rsid w:val="00AB6214"/>
    <w:rsid w:val="00AB639B"/>
    <w:rsid w:val="00AB6D1F"/>
    <w:rsid w:val="00AC263D"/>
    <w:rsid w:val="00AC422B"/>
    <w:rsid w:val="00AC4450"/>
    <w:rsid w:val="00AC5088"/>
    <w:rsid w:val="00AC5FCE"/>
    <w:rsid w:val="00AC608E"/>
    <w:rsid w:val="00AD375B"/>
    <w:rsid w:val="00AD469E"/>
    <w:rsid w:val="00AE2174"/>
    <w:rsid w:val="00AF4A00"/>
    <w:rsid w:val="00B01D47"/>
    <w:rsid w:val="00B07490"/>
    <w:rsid w:val="00B13D45"/>
    <w:rsid w:val="00B14D40"/>
    <w:rsid w:val="00B2066C"/>
    <w:rsid w:val="00B26A47"/>
    <w:rsid w:val="00B30BC9"/>
    <w:rsid w:val="00B33A77"/>
    <w:rsid w:val="00B41198"/>
    <w:rsid w:val="00B43998"/>
    <w:rsid w:val="00B47336"/>
    <w:rsid w:val="00B51C86"/>
    <w:rsid w:val="00B63555"/>
    <w:rsid w:val="00B64F3B"/>
    <w:rsid w:val="00B650A9"/>
    <w:rsid w:val="00B65E0C"/>
    <w:rsid w:val="00B67E19"/>
    <w:rsid w:val="00B73290"/>
    <w:rsid w:val="00B757F5"/>
    <w:rsid w:val="00B85668"/>
    <w:rsid w:val="00B8573F"/>
    <w:rsid w:val="00B857EB"/>
    <w:rsid w:val="00B875F1"/>
    <w:rsid w:val="00B87C92"/>
    <w:rsid w:val="00B91D26"/>
    <w:rsid w:val="00B93504"/>
    <w:rsid w:val="00B93B8D"/>
    <w:rsid w:val="00B95FCB"/>
    <w:rsid w:val="00BA438D"/>
    <w:rsid w:val="00BC2A49"/>
    <w:rsid w:val="00BC3FA9"/>
    <w:rsid w:val="00BC4551"/>
    <w:rsid w:val="00BC462C"/>
    <w:rsid w:val="00BC612C"/>
    <w:rsid w:val="00BD1CB7"/>
    <w:rsid w:val="00BD2D3F"/>
    <w:rsid w:val="00BD316E"/>
    <w:rsid w:val="00BD402B"/>
    <w:rsid w:val="00BD5DEA"/>
    <w:rsid w:val="00BD72D4"/>
    <w:rsid w:val="00BE0E6A"/>
    <w:rsid w:val="00BE1302"/>
    <w:rsid w:val="00BE4A4A"/>
    <w:rsid w:val="00BE6EDF"/>
    <w:rsid w:val="00BF0179"/>
    <w:rsid w:val="00BF20A3"/>
    <w:rsid w:val="00BF2C59"/>
    <w:rsid w:val="00BF3203"/>
    <w:rsid w:val="00C003A0"/>
    <w:rsid w:val="00C01F6B"/>
    <w:rsid w:val="00C030E8"/>
    <w:rsid w:val="00C0337D"/>
    <w:rsid w:val="00C03777"/>
    <w:rsid w:val="00C046E7"/>
    <w:rsid w:val="00C13731"/>
    <w:rsid w:val="00C15E0E"/>
    <w:rsid w:val="00C24597"/>
    <w:rsid w:val="00C24703"/>
    <w:rsid w:val="00C24C6B"/>
    <w:rsid w:val="00C2572C"/>
    <w:rsid w:val="00C27B74"/>
    <w:rsid w:val="00C353F4"/>
    <w:rsid w:val="00C373F5"/>
    <w:rsid w:val="00C422DE"/>
    <w:rsid w:val="00C42318"/>
    <w:rsid w:val="00C50C88"/>
    <w:rsid w:val="00C51187"/>
    <w:rsid w:val="00C5549B"/>
    <w:rsid w:val="00C55BA8"/>
    <w:rsid w:val="00C60F48"/>
    <w:rsid w:val="00C61ECE"/>
    <w:rsid w:val="00C62122"/>
    <w:rsid w:val="00C67EEE"/>
    <w:rsid w:val="00C70685"/>
    <w:rsid w:val="00C70E0B"/>
    <w:rsid w:val="00C73DAE"/>
    <w:rsid w:val="00C73F98"/>
    <w:rsid w:val="00C75A9A"/>
    <w:rsid w:val="00C75CB5"/>
    <w:rsid w:val="00C762EC"/>
    <w:rsid w:val="00C812CA"/>
    <w:rsid w:val="00C8306B"/>
    <w:rsid w:val="00C84CEC"/>
    <w:rsid w:val="00C858EE"/>
    <w:rsid w:val="00C87923"/>
    <w:rsid w:val="00C87CA5"/>
    <w:rsid w:val="00C915DA"/>
    <w:rsid w:val="00C96117"/>
    <w:rsid w:val="00CA0090"/>
    <w:rsid w:val="00CA0192"/>
    <w:rsid w:val="00CA0842"/>
    <w:rsid w:val="00CA2D21"/>
    <w:rsid w:val="00CA45DF"/>
    <w:rsid w:val="00CB262E"/>
    <w:rsid w:val="00CB3CBD"/>
    <w:rsid w:val="00CB3EDE"/>
    <w:rsid w:val="00CB4726"/>
    <w:rsid w:val="00CB539C"/>
    <w:rsid w:val="00CC73A9"/>
    <w:rsid w:val="00CE00C3"/>
    <w:rsid w:val="00CE1055"/>
    <w:rsid w:val="00CE2AC3"/>
    <w:rsid w:val="00CE33DC"/>
    <w:rsid w:val="00CE78D7"/>
    <w:rsid w:val="00CF69ED"/>
    <w:rsid w:val="00D011EB"/>
    <w:rsid w:val="00D03040"/>
    <w:rsid w:val="00D03959"/>
    <w:rsid w:val="00D07BCB"/>
    <w:rsid w:val="00D32195"/>
    <w:rsid w:val="00D4539E"/>
    <w:rsid w:val="00D4599B"/>
    <w:rsid w:val="00D45D75"/>
    <w:rsid w:val="00D52E84"/>
    <w:rsid w:val="00D537E0"/>
    <w:rsid w:val="00D53862"/>
    <w:rsid w:val="00D53E48"/>
    <w:rsid w:val="00D5424D"/>
    <w:rsid w:val="00D5443F"/>
    <w:rsid w:val="00D56C0B"/>
    <w:rsid w:val="00D6367A"/>
    <w:rsid w:val="00D63E65"/>
    <w:rsid w:val="00D72F25"/>
    <w:rsid w:val="00D73AA8"/>
    <w:rsid w:val="00D7547D"/>
    <w:rsid w:val="00D759C7"/>
    <w:rsid w:val="00D75B3C"/>
    <w:rsid w:val="00D76F04"/>
    <w:rsid w:val="00D90AF8"/>
    <w:rsid w:val="00D92BA9"/>
    <w:rsid w:val="00D93FD5"/>
    <w:rsid w:val="00D962EF"/>
    <w:rsid w:val="00DA0DBA"/>
    <w:rsid w:val="00DA53A8"/>
    <w:rsid w:val="00DA73A1"/>
    <w:rsid w:val="00DB0F36"/>
    <w:rsid w:val="00DB206A"/>
    <w:rsid w:val="00DB4A68"/>
    <w:rsid w:val="00DB5173"/>
    <w:rsid w:val="00DB5CAC"/>
    <w:rsid w:val="00DB6DB9"/>
    <w:rsid w:val="00DB73C5"/>
    <w:rsid w:val="00DC3D2E"/>
    <w:rsid w:val="00DC638E"/>
    <w:rsid w:val="00DC7F0E"/>
    <w:rsid w:val="00DD0D1B"/>
    <w:rsid w:val="00DD36E5"/>
    <w:rsid w:val="00DD6953"/>
    <w:rsid w:val="00DE0083"/>
    <w:rsid w:val="00DE14D3"/>
    <w:rsid w:val="00DE2DA0"/>
    <w:rsid w:val="00DE451D"/>
    <w:rsid w:val="00DE55A8"/>
    <w:rsid w:val="00DE58DB"/>
    <w:rsid w:val="00DE6791"/>
    <w:rsid w:val="00DE79EC"/>
    <w:rsid w:val="00DF0D72"/>
    <w:rsid w:val="00DF170A"/>
    <w:rsid w:val="00DF6DD7"/>
    <w:rsid w:val="00DF73F9"/>
    <w:rsid w:val="00E06493"/>
    <w:rsid w:val="00E14ADF"/>
    <w:rsid w:val="00E229A7"/>
    <w:rsid w:val="00E2552A"/>
    <w:rsid w:val="00E3378B"/>
    <w:rsid w:val="00E34577"/>
    <w:rsid w:val="00E40360"/>
    <w:rsid w:val="00E40525"/>
    <w:rsid w:val="00E424DC"/>
    <w:rsid w:val="00E4289E"/>
    <w:rsid w:val="00E5103E"/>
    <w:rsid w:val="00E53192"/>
    <w:rsid w:val="00E553E6"/>
    <w:rsid w:val="00E56C40"/>
    <w:rsid w:val="00E67063"/>
    <w:rsid w:val="00E671AF"/>
    <w:rsid w:val="00E7382A"/>
    <w:rsid w:val="00E74A75"/>
    <w:rsid w:val="00E763EF"/>
    <w:rsid w:val="00E77831"/>
    <w:rsid w:val="00E814CE"/>
    <w:rsid w:val="00E81EE9"/>
    <w:rsid w:val="00E823CC"/>
    <w:rsid w:val="00E82756"/>
    <w:rsid w:val="00E8329F"/>
    <w:rsid w:val="00E83C10"/>
    <w:rsid w:val="00E91727"/>
    <w:rsid w:val="00E9283F"/>
    <w:rsid w:val="00E92CA4"/>
    <w:rsid w:val="00E93B13"/>
    <w:rsid w:val="00EA3B6A"/>
    <w:rsid w:val="00EA7002"/>
    <w:rsid w:val="00EB1E34"/>
    <w:rsid w:val="00EB2E8C"/>
    <w:rsid w:val="00EB31ED"/>
    <w:rsid w:val="00EB74F9"/>
    <w:rsid w:val="00EC0968"/>
    <w:rsid w:val="00EC2A98"/>
    <w:rsid w:val="00ED0CAB"/>
    <w:rsid w:val="00ED35EB"/>
    <w:rsid w:val="00ED6D38"/>
    <w:rsid w:val="00ED7FD2"/>
    <w:rsid w:val="00EE2042"/>
    <w:rsid w:val="00EE41CB"/>
    <w:rsid w:val="00EE6F95"/>
    <w:rsid w:val="00EF1172"/>
    <w:rsid w:val="00EF182E"/>
    <w:rsid w:val="00EF6914"/>
    <w:rsid w:val="00F10115"/>
    <w:rsid w:val="00F10303"/>
    <w:rsid w:val="00F1223D"/>
    <w:rsid w:val="00F125E7"/>
    <w:rsid w:val="00F16E95"/>
    <w:rsid w:val="00F21B31"/>
    <w:rsid w:val="00F247B2"/>
    <w:rsid w:val="00F30CBB"/>
    <w:rsid w:val="00F33A33"/>
    <w:rsid w:val="00F43E30"/>
    <w:rsid w:val="00F50713"/>
    <w:rsid w:val="00F5179A"/>
    <w:rsid w:val="00F51ADF"/>
    <w:rsid w:val="00F556B5"/>
    <w:rsid w:val="00F56EF0"/>
    <w:rsid w:val="00F60668"/>
    <w:rsid w:val="00F639D6"/>
    <w:rsid w:val="00F679C1"/>
    <w:rsid w:val="00F70722"/>
    <w:rsid w:val="00F7130A"/>
    <w:rsid w:val="00F71DA2"/>
    <w:rsid w:val="00F72943"/>
    <w:rsid w:val="00F7320E"/>
    <w:rsid w:val="00F74C97"/>
    <w:rsid w:val="00F80E85"/>
    <w:rsid w:val="00F81BF9"/>
    <w:rsid w:val="00F83211"/>
    <w:rsid w:val="00F83B65"/>
    <w:rsid w:val="00F87534"/>
    <w:rsid w:val="00F90C9E"/>
    <w:rsid w:val="00F971E7"/>
    <w:rsid w:val="00FA0783"/>
    <w:rsid w:val="00FA3B1D"/>
    <w:rsid w:val="00FA4119"/>
    <w:rsid w:val="00FB5879"/>
    <w:rsid w:val="00FC121B"/>
    <w:rsid w:val="00FD092D"/>
    <w:rsid w:val="00FD2053"/>
    <w:rsid w:val="00FD2CF9"/>
    <w:rsid w:val="00FE190B"/>
    <w:rsid w:val="00FF1732"/>
    <w:rsid w:val="00FF35F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558F80"/>
  <w15:chartTrackingRefBased/>
  <w15:docId w15:val="{EE655075-FB94-47FA-A595-610B0FFAD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5B3"/>
    <w:pPr>
      <w:spacing w:after="200" w:line="276" w:lineRule="auto"/>
    </w:pPr>
    <w:rPr>
      <w:rFonts w:ascii="Arial" w:hAnsi="Arial" w:cs="Arial"/>
      <w:sz w:val="24"/>
      <w:szCs w:val="24"/>
    </w:rPr>
  </w:style>
  <w:style w:type="paragraph" w:styleId="Heading1">
    <w:name w:val="heading 1"/>
    <w:basedOn w:val="Normal"/>
    <w:next w:val="Normal"/>
    <w:link w:val="Heading1Char"/>
    <w:uiPriority w:val="9"/>
    <w:qFormat/>
    <w:rsid w:val="005B0DEA"/>
    <w:pPr>
      <w:spacing w:line="240" w:lineRule="auto"/>
      <w:jc w:val="both"/>
      <w:outlineLvl w:val="0"/>
    </w:pPr>
    <w:rPr>
      <w:rFonts w:asciiTheme="minorHAnsi" w:hAnsiTheme="minorHAnsi" w:cs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45B3"/>
    <w:rPr>
      <w:color w:val="0563C1" w:themeColor="hyperlink"/>
      <w:u w:val="single"/>
    </w:rPr>
  </w:style>
  <w:style w:type="paragraph" w:styleId="FootnoteText">
    <w:name w:val="footnote text"/>
    <w:basedOn w:val="Normal"/>
    <w:link w:val="FootnoteTextChar"/>
    <w:uiPriority w:val="99"/>
    <w:unhideWhenUsed/>
    <w:rsid w:val="006845B3"/>
    <w:pPr>
      <w:spacing w:after="0" w:line="240" w:lineRule="auto"/>
    </w:pPr>
    <w:rPr>
      <w:sz w:val="20"/>
      <w:szCs w:val="20"/>
    </w:rPr>
  </w:style>
  <w:style w:type="character" w:customStyle="1" w:styleId="FootnoteTextChar">
    <w:name w:val="Footnote Text Char"/>
    <w:basedOn w:val="DefaultParagraphFont"/>
    <w:link w:val="FootnoteText"/>
    <w:uiPriority w:val="99"/>
    <w:rsid w:val="006845B3"/>
    <w:rPr>
      <w:rFonts w:ascii="Arial" w:hAnsi="Arial" w:cs="Arial"/>
      <w:sz w:val="20"/>
      <w:szCs w:val="20"/>
    </w:rPr>
  </w:style>
  <w:style w:type="character" w:styleId="FootnoteReference">
    <w:name w:val="footnote reference"/>
    <w:basedOn w:val="DefaultParagraphFont"/>
    <w:uiPriority w:val="99"/>
    <w:semiHidden/>
    <w:unhideWhenUsed/>
    <w:rsid w:val="006845B3"/>
    <w:rPr>
      <w:vertAlign w:val="superscript"/>
    </w:rPr>
  </w:style>
  <w:style w:type="paragraph" w:styleId="Footer">
    <w:name w:val="footer"/>
    <w:basedOn w:val="Normal"/>
    <w:link w:val="FooterChar"/>
    <w:uiPriority w:val="99"/>
    <w:unhideWhenUsed/>
    <w:rsid w:val="00B650A9"/>
    <w:pPr>
      <w:tabs>
        <w:tab w:val="center" w:pos="4513"/>
        <w:tab w:val="right" w:pos="9026"/>
      </w:tabs>
      <w:spacing w:after="0" w:line="240" w:lineRule="auto"/>
    </w:pPr>
    <w:rPr>
      <w:rFonts w:asciiTheme="minorHAnsi" w:hAnsiTheme="minorHAnsi" w:cstheme="minorBidi"/>
      <w:sz w:val="22"/>
      <w:szCs w:val="22"/>
    </w:rPr>
  </w:style>
  <w:style w:type="character" w:customStyle="1" w:styleId="FooterChar">
    <w:name w:val="Footer Char"/>
    <w:basedOn w:val="DefaultParagraphFont"/>
    <w:link w:val="Footer"/>
    <w:uiPriority w:val="99"/>
    <w:rsid w:val="00B650A9"/>
  </w:style>
  <w:style w:type="character" w:styleId="Emphasis">
    <w:name w:val="Emphasis"/>
    <w:basedOn w:val="DefaultParagraphFont"/>
    <w:uiPriority w:val="20"/>
    <w:qFormat/>
    <w:rsid w:val="00331E55"/>
    <w:rPr>
      <w:b/>
      <w:bCs/>
      <w:i w:val="0"/>
      <w:iCs w:val="0"/>
    </w:rPr>
  </w:style>
  <w:style w:type="character" w:styleId="FollowedHyperlink">
    <w:name w:val="FollowedHyperlink"/>
    <w:basedOn w:val="DefaultParagraphFont"/>
    <w:uiPriority w:val="99"/>
    <w:semiHidden/>
    <w:unhideWhenUsed/>
    <w:rsid w:val="00BC4551"/>
    <w:rPr>
      <w:color w:val="954F72" w:themeColor="followedHyperlink"/>
      <w:u w:val="single"/>
    </w:rPr>
  </w:style>
  <w:style w:type="character" w:styleId="UnresolvedMention">
    <w:name w:val="Unresolved Mention"/>
    <w:basedOn w:val="DefaultParagraphFont"/>
    <w:uiPriority w:val="99"/>
    <w:semiHidden/>
    <w:unhideWhenUsed/>
    <w:rsid w:val="000E13B3"/>
    <w:rPr>
      <w:color w:val="605E5C"/>
      <w:shd w:val="clear" w:color="auto" w:fill="E1DFDD"/>
    </w:rPr>
  </w:style>
  <w:style w:type="paragraph" w:styleId="ListParagraph">
    <w:name w:val="List Paragraph"/>
    <w:basedOn w:val="Normal"/>
    <w:uiPriority w:val="34"/>
    <w:qFormat/>
    <w:rsid w:val="0009178C"/>
    <w:pPr>
      <w:ind w:left="720"/>
      <w:contextualSpacing/>
    </w:pPr>
  </w:style>
  <w:style w:type="character" w:styleId="Strong">
    <w:name w:val="Strong"/>
    <w:basedOn w:val="DefaultParagraphFont"/>
    <w:uiPriority w:val="22"/>
    <w:qFormat/>
    <w:rsid w:val="00317D8F"/>
    <w:rPr>
      <w:b/>
      <w:bCs/>
    </w:rPr>
  </w:style>
  <w:style w:type="paragraph" w:styleId="Header">
    <w:name w:val="header"/>
    <w:basedOn w:val="Normal"/>
    <w:link w:val="HeaderChar"/>
    <w:uiPriority w:val="99"/>
    <w:unhideWhenUsed/>
    <w:rsid w:val="006F4A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4A3E"/>
    <w:rPr>
      <w:rFonts w:ascii="Arial" w:hAnsi="Arial" w:cs="Arial"/>
      <w:sz w:val="24"/>
      <w:szCs w:val="24"/>
    </w:rPr>
  </w:style>
  <w:style w:type="paragraph" w:styleId="Revision">
    <w:name w:val="Revision"/>
    <w:hidden/>
    <w:uiPriority w:val="99"/>
    <w:semiHidden/>
    <w:rsid w:val="00302F49"/>
    <w:pPr>
      <w:spacing w:after="0" w:line="240" w:lineRule="auto"/>
    </w:pPr>
    <w:rPr>
      <w:rFonts w:ascii="Arial" w:hAnsi="Arial" w:cs="Arial"/>
      <w:sz w:val="24"/>
      <w:szCs w:val="24"/>
    </w:rPr>
  </w:style>
  <w:style w:type="paragraph" w:styleId="Title">
    <w:name w:val="Title"/>
    <w:basedOn w:val="Normal"/>
    <w:next w:val="Normal"/>
    <w:link w:val="TitleChar"/>
    <w:uiPriority w:val="10"/>
    <w:qFormat/>
    <w:rsid w:val="00DE2DA0"/>
    <w:pPr>
      <w:spacing w:line="240" w:lineRule="auto"/>
      <w:jc w:val="both"/>
    </w:pPr>
    <w:rPr>
      <w:rFonts w:asciiTheme="minorHAnsi" w:hAnsiTheme="minorHAnsi" w:cstheme="minorHAnsi"/>
      <w:b/>
      <w:sz w:val="28"/>
      <w:szCs w:val="28"/>
    </w:rPr>
  </w:style>
  <w:style w:type="character" w:customStyle="1" w:styleId="TitleChar">
    <w:name w:val="Title Char"/>
    <w:basedOn w:val="DefaultParagraphFont"/>
    <w:link w:val="Title"/>
    <w:uiPriority w:val="10"/>
    <w:rsid w:val="00DE2DA0"/>
    <w:rPr>
      <w:rFonts w:cstheme="minorHAnsi"/>
      <w:b/>
      <w:sz w:val="28"/>
      <w:szCs w:val="28"/>
    </w:rPr>
  </w:style>
  <w:style w:type="character" w:customStyle="1" w:styleId="Heading1Char">
    <w:name w:val="Heading 1 Char"/>
    <w:basedOn w:val="DefaultParagraphFont"/>
    <w:link w:val="Heading1"/>
    <w:uiPriority w:val="9"/>
    <w:rsid w:val="005B0DEA"/>
    <w:rPr>
      <w:rFonts w:cstheme="minorHAns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8776583">
      <w:bodyDiv w:val="1"/>
      <w:marLeft w:val="0"/>
      <w:marRight w:val="0"/>
      <w:marTop w:val="0"/>
      <w:marBottom w:val="0"/>
      <w:divBdr>
        <w:top w:val="none" w:sz="0" w:space="0" w:color="auto"/>
        <w:left w:val="none" w:sz="0" w:space="0" w:color="auto"/>
        <w:bottom w:val="none" w:sz="0" w:space="0" w:color="auto"/>
        <w:right w:val="none" w:sz="0" w:space="0" w:color="auto"/>
      </w:divBdr>
    </w:div>
    <w:div w:id="1012150926">
      <w:bodyDiv w:val="1"/>
      <w:marLeft w:val="0"/>
      <w:marRight w:val="0"/>
      <w:marTop w:val="0"/>
      <w:marBottom w:val="0"/>
      <w:divBdr>
        <w:top w:val="none" w:sz="0" w:space="0" w:color="auto"/>
        <w:left w:val="none" w:sz="0" w:space="0" w:color="auto"/>
        <w:bottom w:val="none" w:sz="0" w:space="0" w:color="auto"/>
        <w:right w:val="none" w:sz="0" w:space="0" w:color="auto"/>
      </w:divBdr>
    </w:div>
    <w:div w:id="125062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ons.gov.uk/peoplepopulationandcommunity/crimeandjustice/datasets/domesticabuseandthecriminaljusticesystemappendixtables" TargetMode="External"/><Relationship Id="rId13" Type="http://schemas.openxmlformats.org/officeDocument/2006/relationships/hyperlink" Target="https://www.cps.gov.uk/publication/cps-data-summary-quarter-4-2020-2021" TargetMode="External"/><Relationship Id="rId3" Type="http://schemas.openxmlformats.org/officeDocument/2006/relationships/hyperlink" Target="https://www.theguardian.com/society/2021/aug/25/domestic-abusers-weaponised-covid-england-wales-study-finds" TargetMode="External"/><Relationship Id="rId7" Type="http://schemas.openxmlformats.org/officeDocument/2006/relationships/hyperlink" Target="https://hansard.parliament.uk/Commons/2020-06-11/debates/2b88e3cc-6f84-42a0-a440-136bbc9fbe0b/DomesticAbuseBill(EighthSitting)?highlight=disclosure%20proportionate" TargetMode="External"/><Relationship Id="rId12" Type="http://schemas.openxmlformats.org/officeDocument/2006/relationships/hyperlink" Target="https://www.ons.gov.uk/peoplepopulationandcommunity/crimeandjustice/articles/domesticabuseandthecriminaljusticesystemenglandandwales/november2021" TargetMode="External"/><Relationship Id="rId2" Type="http://schemas.openxmlformats.org/officeDocument/2006/relationships/hyperlink" Target="https://www.tyla.com/entertaining/tv-and-film-clares-law-coronation-street-yasmeen-nazir-geoff-metcalfe-storyline-20200317" TargetMode="External"/><Relationship Id="rId1" Type="http://schemas.openxmlformats.org/officeDocument/2006/relationships/hyperlink" Target="mailto:j.grace@shu.ac.uk" TargetMode="External"/><Relationship Id="rId6" Type="http://schemas.openxmlformats.org/officeDocument/2006/relationships/hyperlink" Target="https://www.premier.sa.gov.au/news/media-releases/news/dv-disclosure-scheme-records-milestone" TargetMode="External"/><Relationship Id="rId11" Type="http://schemas.openxmlformats.org/officeDocument/2006/relationships/hyperlink" Target="https://www.gov.uk/government/publications/tackling-domestic-abuse-plan" TargetMode="External"/><Relationship Id="rId5" Type="http://schemas.openxmlformats.org/officeDocument/2006/relationships/hyperlink" Target="https://edmontonjournal.com/news/local-news/alberta-clares-law-applications-privacy" TargetMode="External"/><Relationship Id="rId15" Type="http://schemas.openxmlformats.org/officeDocument/2006/relationships/hyperlink" Target="https://www.theguardian.com/society/2022/may/31/uk-to-partially-ratify-domestic-abuse-convention-after-10-year-delay" TargetMode="External"/><Relationship Id="rId10" Type="http://schemas.openxmlformats.org/officeDocument/2006/relationships/hyperlink" Target="https://www.gov.uk/government/publications/tackling-violence-against-women-and-girls-strategy" TargetMode="External"/><Relationship Id="rId4" Type="http://schemas.openxmlformats.org/officeDocument/2006/relationships/hyperlink" Target="https://jerseyeveningpost.com/news/2021/10/12/law-aims-to-tackle-domestic-violence/" TargetMode="External"/><Relationship Id="rId9" Type="http://schemas.openxmlformats.org/officeDocument/2006/relationships/hyperlink" Target="https://www.theguardian.com/law/2022/jun/18/thousands-victims-violent-sexual-crime-stuck-england-wales-courts-backlog" TargetMode="External"/><Relationship Id="rId14" Type="http://schemas.openxmlformats.org/officeDocument/2006/relationships/hyperlink" Target="https://www.justiceinspectorates.gov.uk/hmicfrs/wp-content/uploads/police-response-to-violence-against-women-and-girls-final-inspection-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13BFA-C78E-4ED6-B93C-071D88DF8493}">
  <ds:schemaRefs>
    <ds:schemaRef ds:uri="http://schemas.openxmlformats.org/officeDocument/2006/bibliography"/>
  </ds:schemaRefs>
</ds:datastoreItem>
</file>

<file path=docMetadata/LabelInfo.xml><?xml version="1.0" encoding="utf-8"?>
<clbl:labelList xmlns:clbl="http://schemas.microsoft.com/office/2020/mipLabelMetadata">
  <clbl:label id="{51a9fa56-3f32-449a-a721-3e3f49aa5e9a}" enabled="0" method="" siteId="{51a9fa56-3f32-449a-a721-3e3f49aa5e9a}" removed="1"/>
</clbl:labelList>
</file>

<file path=docProps/app.xml><?xml version="1.0" encoding="utf-8"?>
<Properties xmlns="http://schemas.openxmlformats.org/officeDocument/2006/extended-properties" xmlns:vt="http://schemas.openxmlformats.org/officeDocument/2006/docPropsVTypes">
  <Template>Normal</Template>
  <TotalTime>0</TotalTime>
  <Pages>22</Pages>
  <Words>7695</Words>
  <Characters>43863</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Jamie</dc:creator>
  <cp:keywords/>
  <dc:description/>
  <cp:lastModifiedBy>Rosemary Hunter</cp:lastModifiedBy>
  <cp:revision>233</cp:revision>
  <cp:lastPrinted>2022-07-13T08:37:00Z</cp:lastPrinted>
  <dcterms:created xsi:type="dcterms:W3CDTF">2024-01-06T03:10:00Z</dcterms:created>
  <dcterms:modified xsi:type="dcterms:W3CDTF">2024-05-04T11:42:00Z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7df621c74bfd7252b733918b0fcc65960cf79d14d7476be25be8fcb3302c6ea1</vt:lpwstr>
  </property>
</Properties>
</file>