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99A29" w14:textId="1E10AC54" w:rsidR="00634A59" w:rsidRPr="0026339A" w:rsidRDefault="00634A59" w:rsidP="0026339A">
      <w:pPr>
        <w:pStyle w:val="Title"/>
      </w:pPr>
      <w:r w:rsidRPr="0026339A">
        <w:t xml:space="preserve">Lawful, Proportionate and Necessary? A </w:t>
      </w:r>
      <w:r w:rsidR="0086003C" w:rsidRPr="0026339A">
        <w:t>C</w:t>
      </w:r>
      <w:r w:rsidRPr="0026339A">
        <w:t>ritical Examination of the Domestic Abuse Disclosure Scheme for Scotland</w:t>
      </w:r>
    </w:p>
    <w:p w14:paraId="5D846586" w14:textId="77777777" w:rsidR="00BB36EC" w:rsidRDefault="00BB36EC" w:rsidP="00425759">
      <w:pPr>
        <w:spacing w:line="360" w:lineRule="auto"/>
        <w:jc w:val="both"/>
        <w:rPr>
          <w:rFonts w:cstheme="minorHAnsi"/>
          <w:b/>
        </w:rPr>
      </w:pPr>
    </w:p>
    <w:p w14:paraId="6609CCB0" w14:textId="2A89C6BA" w:rsidR="000738FA" w:rsidRDefault="00634A59" w:rsidP="00425759">
      <w:pPr>
        <w:spacing w:line="360" w:lineRule="auto"/>
        <w:jc w:val="both"/>
        <w:rPr>
          <w:rFonts w:cstheme="minorHAnsi"/>
          <w:b/>
        </w:rPr>
      </w:pPr>
      <w:r w:rsidRPr="00DA194D">
        <w:rPr>
          <w:rFonts w:cstheme="minorHAnsi"/>
          <w:b/>
        </w:rPr>
        <w:t>Lesley McMillan</w:t>
      </w:r>
      <w:r w:rsidR="000738FA">
        <w:rPr>
          <w:rStyle w:val="FootnoteReference"/>
          <w:rFonts w:cstheme="minorHAnsi"/>
          <w:b/>
        </w:rPr>
        <w:footnoteReference w:customMarkFollows="1" w:id="1"/>
        <w:t>*</w:t>
      </w:r>
      <w:r w:rsidR="000738FA">
        <w:rPr>
          <w:rFonts w:cstheme="minorHAnsi"/>
          <w:b/>
        </w:rPr>
        <w:t xml:space="preserve"> and Andrew Tickell</w:t>
      </w:r>
      <w:r w:rsidR="00F14EC7">
        <w:rPr>
          <w:rStyle w:val="FootnoteReference"/>
          <w:rFonts w:cstheme="minorHAnsi"/>
          <w:b/>
        </w:rPr>
        <w:footnoteReference w:customMarkFollows="1" w:id="2"/>
        <w:t>**</w:t>
      </w:r>
    </w:p>
    <w:p w14:paraId="4F4291CA" w14:textId="77777777" w:rsidR="004341F1" w:rsidRDefault="004341F1" w:rsidP="00425759">
      <w:pPr>
        <w:spacing w:line="360" w:lineRule="auto"/>
        <w:jc w:val="both"/>
        <w:rPr>
          <w:rFonts w:cstheme="minorHAnsi"/>
          <w:b/>
        </w:rPr>
      </w:pPr>
    </w:p>
    <w:p w14:paraId="03B63419" w14:textId="77777777" w:rsidR="004341F1" w:rsidRPr="0017777D" w:rsidRDefault="004341F1" w:rsidP="0017777D">
      <w:pPr>
        <w:pStyle w:val="Heading1"/>
      </w:pPr>
      <w:r w:rsidRPr="0017777D">
        <w:t>Abstract </w:t>
      </w:r>
    </w:p>
    <w:p w14:paraId="7FF96790" w14:textId="7740B278" w:rsidR="004341F1" w:rsidRPr="004341F1" w:rsidRDefault="004341F1" w:rsidP="00425759">
      <w:pPr>
        <w:spacing w:line="360" w:lineRule="auto"/>
        <w:jc w:val="both"/>
      </w:pPr>
      <w:r w:rsidRPr="004341F1">
        <w:t xml:space="preserve">This article critically examines Police Scotland’s Disclosure Scheme for Domestic Abuse Scotland (DSDAS). The scheme establishes a “right to ask” and a “power to tell” individuals about their partner or ex-partner’s known history of abusive behaviour. In this article, we focus on </w:t>
      </w:r>
      <w:r w:rsidR="00327A2B">
        <w:t>four</w:t>
      </w:r>
      <w:r w:rsidRPr="004341F1">
        <w:t xml:space="preserve"> key aspects of DSDAS: its </w:t>
      </w:r>
      <w:r w:rsidR="00E8323F">
        <w:t xml:space="preserve">accessibility, its </w:t>
      </w:r>
      <w:r w:rsidRPr="004341F1">
        <w:t>legal basis, its understanding of “domestic abuse”</w:t>
      </w:r>
      <w:r w:rsidR="00396364">
        <w:t>,</w:t>
      </w:r>
      <w:r w:rsidRPr="004341F1">
        <w:t xml:space="preserve"> and its approach to defining the kinds of relationships where disclosures can be made under the policy. We identify ambiguities in all </w:t>
      </w:r>
      <w:r w:rsidR="00E8323F">
        <w:t>four</w:t>
      </w:r>
      <w:r w:rsidRPr="004341F1">
        <w:t xml:space="preserve"> aspects of the scheme, which we show departs in significant ways from the understandings of domestic abuse and qualifying relationships written into Scots law and policy. In contrast with the approach taken in England and Wales, we show the Scottish scheme does not currently permit police disclosures to be made after the “end” of a relationship – a concept which is itself significantly underdefined in the scheme guidance. We conclude with three practical recommendations for how these elements of the DSDAS scheme can be improved to enhance the accessibility, </w:t>
      </w:r>
      <w:r w:rsidR="00D94A03" w:rsidRPr="004341F1">
        <w:t>clarity,</w:t>
      </w:r>
      <w:r w:rsidRPr="004341F1">
        <w:t xml:space="preserve"> and coherence of the disclosure policy.  </w:t>
      </w:r>
    </w:p>
    <w:p w14:paraId="3FA890F3" w14:textId="77777777" w:rsidR="0036556E" w:rsidRDefault="0036556E" w:rsidP="00425759">
      <w:pPr>
        <w:spacing w:line="360" w:lineRule="auto"/>
        <w:jc w:val="both"/>
        <w:rPr>
          <w:lang w:val="en-US"/>
        </w:rPr>
      </w:pPr>
    </w:p>
    <w:p w14:paraId="1CCDB273" w14:textId="1402A671" w:rsidR="008E61BA" w:rsidRPr="00DA194D" w:rsidRDefault="008E61BA" w:rsidP="0017777D">
      <w:pPr>
        <w:pStyle w:val="Heading1"/>
      </w:pPr>
      <w:r w:rsidRPr="00DA194D">
        <w:t>Introduction</w:t>
      </w:r>
    </w:p>
    <w:p w14:paraId="6F6F9CB4" w14:textId="026B41BC" w:rsidR="00C95567" w:rsidRDefault="000F60B6" w:rsidP="00425759">
      <w:pPr>
        <w:spacing w:line="360" w:lineRule="auto"/>
        <w:jc w:val="both"/>
        <w:rPr>
          <w:rFonts w:cstheme="minorHAnsi"/>
        </w:rPr>
      </w:pPr>
      <w:r w:rsidRPr="00DA194D">
        <w:rPr>
          <w:rFonts w:cstheme="minorHAnsi"/>
        </w:rPr>
        <w:t>This article critically examines</w:t>
      </w:r>
      <w:r w:rsidR="00D442B9">
        <w:rPr>
          <w:rFonts w:cstheme="minorHAnsi"/>
        </w:rPr>
        <w:t xml:space="preserve"> the Domestic Abuse Disclosure Scheme for Scotland (DSDAS)</w:t>
      </w:r>
      <w:r w:rsidR="00C17937">
        <w:rPr>
          <w:rFonts w:cstheme="minorHAnsi"/>
        </w:rPr>
        <w:t xml:space="preserve"> </w:t>
      </w:r>
      <w:r w:rsidR="000C1A32">
        <w:rPr>
          <w:rFonts w:cstheme="minorHAnsi"/>
        </w:rPr>
        <w:t>which</w:t>
      </w:r>
      <w:r w:rsidR="00C17937">
        <w:rPr>
          <w:rFonts w:cstheme="minorHAnsi"/>
        </w:rPr>
        <w:t xml:space="preserve"> </w:t>
      </w:r>
      <w:r w:rsidR="001B20CA">
        <w:rPr>
          <w:rFonts w:cstheme="minorHAnsi"/>
        </w:rPr>
        <w:t>gives</w:t>
      </w:r>
      <w:r w:rsidR="00C17937">
        <w:rPr>
          <w:rFonts w:cstheme="minorHAnsi"/>
        </w:rPr>
        <w:t xml:space="preserve"> individuals a </w:t>
      </w:r>
      <w:r w:rsidR="00D14BE2">
        <w:rPr>
          <w:rFonts w:cstheme="minorHAnsi"/>
        </w:rPr>
        <w:t>“</w:t>
      </w:r>
      <w:r w:rsidR="00C17937">
        <w:rPr>
          <w:rFonts w:cstheme="minorHAnsi"/>
        </w:rPr>
        <w:t>right to ask</w:t>
      </w:r>
      <w:r w:rsidR="00D14BE2">
        <w:rPr>
          <w:rFonts w:cstheme="minorHAnsi"/>
        </w:rPr>
        <w:t>”</w:t>
      </w:r>
      <w:r w:rsidR="00C17937">
        <w:rPr>
          <w:rFonts w:cstheme="minorHAnsi"/>
        </w:rPr>
        <w:t xml:space="preserve"> about their partner’s abusive </w:t>
      </w:r>
      <w:r w:rsidR="0038339B">
        <w:rPr>
          <w:rFonts w:cstheme="minorHAnsi"/>
        </w:rPr>
        <w:t>past and</w:t>
      </w:r>
      <w:r w:rsidR="00C17937">
        <w:rPr>
          <w:rFonts w:cstheme="minorHAnsi"/>
        </w:rPr>
        <w:t xml:space="preserve"> affords the police the </w:t>
      </w:r>
      <w:r w:rsidR="00D14BE2">
        <w:rPr>
          <w:rFonts w:cstheme="minorHAnsi"/>
        </w:rPr>
        <w:t>“</w:t>
      </w:r>
      <w:r w:rsidR="00C17937">
        <w:rPr>
          <w:rFonts w:cstheme="minorHAnsi"/>
        </w:rPr>
        <w:t>power to tell</w:t>
      </w:r>
      <w:r w:rsidR="00D14BE2">
        <w:rPr>
          <w:rFonts w:cstheme="minorHAnsi"/>
        </w:rPr>
        <w:t>”</w:t>
      </w:r>
      <w:r w:rsidR="00C17937">
        <w:rPr>
          <w:rFonts w:cstheme="minorHAnsi"/>
        </w:rPr>
        <w:t xml:space="preserve"> individuals</w:t>
      </w:r>
      <w:r w:rsidR="0001255C">
        <w:rPr>
          <w:rFonts w:cstheme="minorHAnsi"/>
        </w:rPr>
        <w:t xml:space="preserve"> information about a partner if</w:t>
      </w:r>
      <w:r w:rsidR="00C17937">
        <w:rPr>
          <w:rFonts w:cstheme="minorHAnsi"/>
        </w:rPr>
        <w:t xml:space="preserve"> they consider </w:t>
      </w:r>
      <w:r w:rsidR="0025691D">
        <w:rPr>
          <w:rFonts w:cstheme="minorHAnsi"/>
        </w:rPr>
        <w:t>they are</w:t>
      </w:r>
      <w:r w:rsidR="00C17937">
        <w:rPr>
          <w:rFonts w:cstheme="minorHAnsi"/>
        </w:rPr>
        <w:t xml:space="preserve"> at risk from domestic abuse. Domestic abuse disclosure schemes have been established in a number of common law jurisdictions, and their</w:t>
      </w:r>
      <w:r>
        <w:rPr>
          <w:rFonts w:cstheme="minorHAnsi"/>
        </w:rPr>
        <w:t xml:space="preserve"> appropriateness and efficacy have been questioned by a number of scholars (see e.g. Duggan </w:t>
      </w:r>
      <w:r>
        <w:rPr>
          <w:rFonts w:cstheme="minorHAnsi"/>
        </w:rPr>
        <w:lastRenderedPageBreak/>
        <w:t>2018; Fitz</w:t>
      </w:r>
      <w:r w:rsidR="00B30AE1">
        <w:rPr>
          <w:rFonts w:cstheme="minorHAnsi"/>
        </w:rPr>
        <w:t>-G</w:t>
      </w:r>
      <w:r>
        <w:rPr>
          <w:rFonts w:cstheme="minorHAnsi"/>
        </w:rPr>
        <w:t>ibbon &amp; Walklate 2017; Grace 2021).</w:t>
      </w:r>
      <w:r w:rsidR="00C17937">
        <w:rPr>
          <w:rFonts w:cstheme="minorHAnsi"/>
        </w:rPr>
        <w:t xml:space="preserve"> A relatively new intervention aimed at domestic abuse prevention</w:t>
      </w:r>
      <w:r w:rsidR="00444467">
        <w:rPr>
          <w:rFonts w:cstheme="minorHAnsi"/>
        </w:rPr>
        <w:t xml:space="preserve"> in Scotland</w:t>
      </w:r>
      <w:r w:rsidR="00C17937">
        <w:rPr>
          <w:rFonts w:cstheme="minorHAnsi"/>
        </w:rPr>
        <w:t xml:space="preserve">, DSDAS has not </w:t>
      </w:r>
      <w:r w:rsidR="0045032D">
        <w:rPr>
          <w:rFonts w:cstheme="minorHAnsi"/>
        </w:rPr>
        <w:t>yet</w:t>
      </w:r>
      <w:r w:rsidR="00C17937">
        <w:rPr>
          <w:rFonts w:cstheme="minorHAnsi"/>
        </w:rPr>
        <w:t xml:space="preserve"> received scholarly attention</w:t>
      </w:r>
      <w:r w:rsidR="00C17937" w:rsidRPr="00E945C9">
        <w:rPr>
          <w:rFonts w:cstheme="minorHAnsi"/>
        </w:rPr>
        <w:t xml:space="preserve">. In this paper we offer a critique of </w:t>
      </w:r>
      <w:r w:rsidR="000A4FBF">
        <w:rPr>
          <w:rFonts w:cstheme="minorHAnsi"/>
        </w:rPr>
        <w:t>four</w:t>
      </w:r>
      <w:r w:rsidR="00A334C5">
        <w:rPr>
          <w:rFonts w:cstheme="minorHAnsi"/>
        </w:rPr>
        <w:t xml:space="preserve"> </w:t>
      </w:r>
      <w:r w:rsidR="009142C9">
        <w:rPr>
          <w:rFonts w:cstheme="minorHAnsi"/>
        </w:rPr>
        <w:t xml:space="preserve">key </w:t>
      </w:r>
      <w:r w:rsidR="00EF1A92" w:rsidRPr="00E945C9">
        <w:rPr>
          <w:rFonts w:cstheme="minorHAnsi"/>
        </w:rPr>
        <w:t>elements of the</w:t>
      </w:r>
      <w:r w:rsidR="00C17937" w:rsidRPr="00E945C9">
        <w:rPr>
          <w:rFonts w:cstheme="minorHAnsi"/>
        </w:rPr>
        <w:t xml:space="preserve"> </w:t>
      </w:r>
      <w:r w:rsidR="00E945C9">
        <w:rPr>
          <w:rFonts w:cstheme="minorHAnsi"/>
        </w:rPr>
        <w:t xml:space="preserve">Scottish </w:t>
      </w:r>
      <w:r w:rsidR="00C17937" w:rsidRPr="00E945C9">
        <w:rPr>
          <w:rFonts w:cstheme="minorHAnsi"/>
        </w:rPr>
        <w:t>scheme</w:t>
      </w:r>
      <w:r w:rsidR="0015203B">
        <w:rPr>
          <w:rFonts w:cstheme="minorHAnsi"/>
        </w:rPr>
        <w:t xml:space="preserve"> </w:t>
      </w:r>
      <w:r w:rsidR="009D19C6">
        <w:rPr>
          <w:rFonts w:cstheme="minorHAnsi"/>
        </w:rPr>
        <w:t xml:space="preserve">including </w:t>
      </w:r>
      <w:r w:rsidR="00415FF2">
        <w:rPr>
          <w:rFonts w:cstheme="minorHAnsi"/>
        </w:rPr>
        <w:t xml:space="preserve">(a) </w:t>
      </w:r>
      <w:r w:rsidR="009D19C6">
        <w:rPr>
          <w:rFonts w:cstheme="minorHAnsi"/>
        </w:rPr>
        <w:t>its</w:t>
      </w:r>
      <w:r w:rsidR="00CF4D17">
        <w:rPr>
          <w:rFonts w:cstheme="minorHAnsi"/>
        </w:rPr>
        <w:t xml:space="preserve"> accessibility and transparency,</w:t>
      </w:r>
      <w:r w:rsidR="006F12FB">
        <w:rPr>
          <w:rFonts w:cstheme="minorHAnsi"/>
        </w:rPr>
        <w:t xml:space="preserve"> </w:t>
      </w:r>
      <w:r w:rsidR="00415FF2">
        <w:rPr>
          <w:rFonts w:cstheme="minorHAnsi"/>
        </w:rPr>
        <w:t xml:space="preserve">(b) </w:t>
      </w:r>
      <w:r w:rsidR="00E53050">
        <w:rPr>
          <w:rFonts w:cstheme="minorHAnsi"/>
        </w:rPr>
        <w:t xml:space="preserve">Police Scotland’s understanding of </w:t>
      </w:r>
      <w:r w:rsidR="00460C2D">
        <w:rPr>
          <w:rFonts w:cstheme="minorHAnsi"/>
        </w:rPr>
        <w:t xml:space="preserve">the </w:t>
      </w:r>
      <w:r w:rsidR="00E53050">
        <w:rPr>
          <w:rFonts w:cstheme="minorHAnsi"/>
        </w:rPr>
        <w:t>legal basis</w:t>
      </w:r>
      <w:r w:rsidR="000A1D31">
        <w:rPr>
          <w:rFonts w:cstheme="minorHAnsi"/>
        </w:rPr>
        <w:t xml:space="preserve"> for </w:t>
      </w:r>
      <w:r w:rsidR="00374D8D">
        <w:rPr>
          <w:rFonts w:cstheme="minorHAnsi"/>
        </w:rPr>
        <w:t xml:space="preserve">making </w:t>
      </w:r>
      <w:r w:rsidR="000A1D31">
        <w:rPr>
          <w:rFonts w:cstheme="minorHAnsi"/>
        </w:rPr>
        <w:t>disclosures</w:t>
      </w:r>
      <w:r w:rsidR="00357EE7">
        <w:rPr>
          <w:rFonts w:cstheme="minorHAnsi"/>
        </w:rPr>
        <w:t xml:space="preserve"> under it</w:t>
      </w:r>
      <w:r w:rsidR="000A1D31">
        <w:rPr>
          <w:rFonts w:cstheme="minorHAnsi"/>
        </w:rPr>
        <w:t xml:space="preserve">, and the </w:t>
      </w:r>
      <w:r w:rsidR="007E280C">
        <w:rPr>
          <w:rFonts w:cstheme="minorHAnsi"/>
        </w:rPr>
        <w:t xml:space="preserve">Scottish </w:t>
      </w:r>
      <w:r w:rsidR="005A481D">
        <w:rPr>
          <w:rFonts w:cstheme="minorHAnsi"/>
        </w:rPr>
        <w:t>s</w:t>
      </w:r>
      <w:r w:rsidR="000A1D31">
        <w:rPr>
          <w:rFonts w:cstheme="minorHAnsi"/>
        </w:rPr>
        <w:t xml:space="preserve">cheme’s </w:t>
      </w:r>
      <w:r w:rsidR="006F12FB">
        <w:rPr>
          <w:rFonts w:cstheme="minorHAnsi"/>
        </w:rPr>
        <w:t>approach to</w:t>
      </w:r>
      <w:r w:rsidR="00D673D9">
        <w:rPr>
          <w:rFonts w:cstheme="minorHAnsi"/>
        </w:rPr>
        <w:t xml:space="preserve"> </w:t>
      </w:r>
      <w:r w:rsidR="00AE41B8">
        <w:rPr>
          <w:rFonts w:cstheme="minorHAnsi"/>
        </w:rPr>
        <w:t xml:space="preserve">defining </w:t>
      </w:r>
      <w:r w:rsidR="00415FF2">
        <w:rPr>
          <w:rFonts w:cstheme="minorHAnsi"/>
        </w:rPr>
        <w:t xml:space="preserve">(c) </w:t>
      </w:r>
      <w:r w:rsidR="00790D16">
        <w:rPr>
          <w:rFonts w:cstheme="minorHAnsi"/>
        </w:rPr>
        <w:t xml:space="preserve">what constitutes </w:t>
      </w:r>
      <w:r w:rsidR="001120BA">
        <w:rPr>
          <w:rFonts w:cstheme="minorHAnsi"/>
        </w:rPr>
        <w:t>“</w:t>
      </w:r>
      <w:r w:rsidR="00ED6862">
        <w:rPr>
          <w:rFonts w:cstheme="minorHAnsi"/>
        </w:rPr>
        <w:t>domestic abuse</w:t>
      </w:r>
      <w:r w:rsidR="001120BA">
        <w:rPr>
          <w:rFonts w:cstheme="minorHAnsi"/>
        </w:rPr>
        <w:t>”</w:t>
      </w:r>
      <w:r w:rsidR="00ED6862">
        <w:rPr>
          <w:rFonts w:cstheme="minorHAnsi"/>
        </w:rPr>
        <w:t xml:space="preserve"> </w:t>
      </w:r>
      <w:r w:rsidR="006F12FB">
        <w:rPr>
          <w:rFonts w:cstheme="minorHAnsi"/>
        </w:rPr>
        <w:t xml:space="preserve">and </w:t>
      </w:r>
      <w:r w:rsidR="00415FF2">
        <w:rPr>
          <w:rFonts w:cstheme="minorHAnsi"/>
        </w:rPr>
        <w:t xml:space="preserve">(d) </w:t>
      </w:r>
      <w:r w:rsidR="009D19C6">
        <w:rPr>
          <w:rFonts w:cstheme="minorHAnsi"/>
        </w:rPr>
        <w:t>qualifying relationships where information may be</w:t>
      </w:r>
      <w:r w:rsidR="00544041">
        <w:rPr>
          <w:rFonts w:cstheme="minorHAnsi"/>
        </w:rPr>
        <w:t xml:space="preserve"> requested </w:t>
      </w:r>
      <w:r w:rsidR="00B15F9B">
        <w:rPr>
          <w:rFonts w:cstheme="minorHAnsi"/>
        </w:rPr>
        <w:t>and</w:t>
      </w:r>
      <w:r w:rsidR="009D19C6">
        <w:rPr>
          <w:rFonts w:cstheme="minorHAnsi"/>
        </w:rPr>
        <w:t xml:space="preserve"> shared</w:t>
      </w:r>
      <w:r w:rsidR="00CC2BC8">
        <w:rPr>
          <w:rFonts w:cstheme="minorHAnsi"/>
        </w:rPr>
        <w:t xml:space="preserve">. </w:t>
      </w:r>
    </w:p>
    <w:p w14:paraId="2063C25B" w14:textId="77777777" w:rsidR="009431AB" w:rsidRDefault="00E71118" w:rsidP="00425759">
      <w:pPr>
        <w:spacing w:line="360" w:lineRule="auto"/>
        <w:jc w:val="both"/>
        <w:rPr>
          <w:rFonts w:cstheme="minorHAnsi"/>
        </w:rPr>
      </w:pPr>
      <w:r>
        <w:rPr>
          <w:rFonts w:cstheme="minorHAnsi"/>
        </w:rPr>
        <w:t xml:space="preserve">This study reveals a lack of accessibility and transparency </w:t>
      </w:r>
      <w:r w:rsidR="00CE7FF6">
        <w:rPr>
          <w:rFonts w:cstheme="minorHAnsi"/>
        </w:rPr>
        <w:t>in</w:t>
      </w:r>
      <w:r>
        <w:rPr>
          <w:rFonts w:cstheme="minorHAnsi"/>
        </w:rPr>
        <w:t xml:space="preserve"> the </w:t>
      </w:r>
      <w:r w:rsidR="00E810BF">
        <w:rPr>
          <w:rFonts w:cstheme="minorHAnsi"/>
        </w:rPr>
        <w:t>operation of the Scottish disclosure scheme</w:t>
      </w:r>
      <w:r>
        <w:rPr>
          <w:rFonts w:cstheme="minorHAnsi"/>
        </w:rPr>
        <w:t xml:space="preserve">. We </w:t>
      </w:r>
      <w:r w:rsidR="00430942">
        <w:rPr>
          <w:rFonts w:cstheme="minorHAnsi"/>
        </w:rPr>
        <w:t xml:space="preserve">also </w:t>
      </w:r>
      <w:r w:rsidR="00B60281">
        <w:rPr>
          <w:rFonts w:cstheme="minorHAnsi"/>
        </w:rPr>
        <w:t>identify</w:t>
      </w:r>
      <w:r w:rsidR="000F4781">
        <w:rPr>
          <w:rFonts w:cstheme="minorHAnsi"/>
        </w:rPr>
        <w:t xml:space="preserve"> a degree of</w:t>
      </w:r>
      <w:r w:rsidR="00B60281">
        <w:rPr>
          <w:rFonts w:cstheme="minorHAnsi"/>
        </w:rPr>
        <w:t xml:space="preserve"> </w:t>
      </w:r>
      <w:r w:rsidR="00DA2409">
        <w:rPr>
          <w:rFonts w:cstheme="minorHAnsi"/>
        </w:rPr>
        <w:t>ambiguity</w:t>
      </w:r>
      <w:r>
        <w:rPr>
          <w:rFonts w:cstheme="minorHAnsi"/>
        </w:rPr>
        <w:t xml:space="preserve"> in the guidance documentation about the legal basis </w:t>
      </w:r>
      <w:r w:rsidR="008B563C">
        <w:rPr>
          <w:rFonts w:cstheme="minorHAnsi"/>
        </w:rPr>
        <w:t>for</w:t>
      </w:r>
      <w:r w:rsidR="00EA3BE0">
        <w:rPr>
          <w:rFonts w:cstheme="minorHAnsi"/>
        </w:rPr>
        <w:t xml:space="preserve"> </w:t>
      </w:r>
      <w:r w:rsidR="00E70B0C">
        <w:rPr>
          <w:rFonts w:cstheme="minorHAnsi"/>
        </w:rPr>
        <w:t>Police Scotland’s</w:t>
      </w:r>
      <w:r w:rsidR="00EA3BE0">
        <w:rPr>
          <w:rFonts w:cstheme="minorHAnsi"/>
        </w:rPr>
        <w:t xml:space="preserve"> powers to disclose information</w:t>
      </w:r>
      <w:r w:rsidR="002E286D">
        <w:rPr>
          <w:rFonts w:cstheme="minorHAnsi"/>
        </w:rPr>
        <w:t xml:space="preserve"> about individuals who may pose a risk to their </w:t>
      </w:r>
      <w:r w:rsidR="009F4A2D">
        <w:rPr>
          <w:rFonts w:cstheme="minorHAnsi"/>
        </w:rPr>
        <w:t xml:space="preserve">current or former </w:t>
      </w:r>
      <w:r w:rsidR="002E286D">
        <w:rPr>
          <w:rFonts w:cstheme="minorHAnsi"/>
        </w:rPr>
        <w:t>partners</w:t>
      </w:r>
      <w:r w:rsidR="00281B58">
        <w:rPr>
          <w:rFonts w:cstheme="minorHAnsi"/>
        </w:rPr>
        <w:t>.</w:t>
      </w:r>
      <w:r>
        <w:rPr>
          <w:rFonts w:cstheme="minorHAnsi"/>
        </w:rPr>
        <w:t xml:space="preserve"> </w:t>
      </w:r>
      <w:r w:rsidR="00281B58">
        <w:rPr>
          <w:rFonts w:cstheme="minorHAnsi"/>
        </w:rPr>
        <w:t>B</w:t>
      </w:r>
      <w:r>
        <w:rPr>
          <w:rFonts w:cstheme="minorHAnsi"/>
        </w:rPr>
        <w:t xml:space="preserve">oth of </w:t>
      </w:r>
      <w:r w:rsidR="00281B58">
        <w:rPr>
          <w:rFonts w:cstheme="minorHAnsi"/>
        </w:rPr>
        <w:t xml:space="preserve">these findings </w:t>
      </w:r>
      <w:r>
        <w:rPr>
          <w:rFonts w:cstheme="minorHAnsi"/>
        </w:rPr>
        <w:t xml:space="preserve">raise </w:t>
      </w:r>
      <w:r w:rsidR="00943024">
        <w:rPr>
          <w:rFonts w:cstheme="minorHAnsi"/>
        </w:rPr>
        <w:t xml:space="preserve">important </w:t>
      </w:r>
      <w:r>
        <w:rPr>
          <w:rFonts w:cstheme="minorHAnsi"/>
        </w:rPr>
        <w:t xml:space="preserve">questions about the lawfulness of the </w:t>
      </w:r>
      <w:r w:rsidR="000F4781">
        <w:rPr>
          <w:rFonts w:cstheme="minorHAnsi"/>
        </w:rPr>
        <w:t xml:space="preserve">disclosure </w:t>
      </w:r>
      <w:r>
        <w:rPr>
          <w:rFonts w:cstheme="minorHAnsi"/>
        </w:rPr>
        <w:t>scheme as currently realised</w:t>
      </w:r>
      <w:r w:rsidR="00AD3453">
        <w:rPr>
          <w:rFonts w:cstheme="minorHAnsi"/>
        </w:rPr>
        <w:t xml:space="preserve"> in Scotland</w:t>
      </w:r>
      <w:r>
        <w:rPr>
          <w:rFonts w:cstheme="minorHAnsi"/>
        </w:rPr>
        <w:t xml:space="preserve">. </w:t>
      </w:r>
      <w:r w:rsidR="00E9518A">
        <w:rPr>
          <w:rFonts w:cstheme="minorHAnsi"/>
        </w:rPr>
        <w:t>O</w:t>
      </w:r>
      <w:r w:rsidR="00BA58D7">
        <w:rPr>
          <w:rFonts w:cstheme="minorHAnsi"/>
        </w:rPr>
        <w:t xml:space="preserve">ur </w:t>
      </w:r>
      <w:r w:rsidR="0099486D">
        <w:rPr>
          <w:rFonts w:cstheme="minorHAnsi"/>
        </w:rPr>
        <w:t>analysis</w:t>
      </w:r>
      <w:r w:rsidRPr="00DA194D">
        <w:rPr>
          <w:rFonts w:cstheme="minorHAnsi"/>
        </w:rPr>
        <w:t xml:space="preserve"> of the</w:t>
      </w:r>
      <w:r w:rsidR="00972E04">
        <w:rPr>
          <w:rFonts w:cstheme="minorHAnsi"/>
        </w:rPr>
        <w:t xml:space="preserve"> </w:t>
      </w:r>
      <w:r w:rsidRPr="00DA194D">
        <w:rPr>
          <w:rFonts w:cstheme="minorHAnsi"/>
        </w:rPr>
        <w:t xml:space="preserve">scheme </w:t>
      </w:r>
      <w:r w:rsidR="00B27077">
        <w:rPr>
          <w:rFonts w:cstheme="minorHAnsi"/>
        </w:rPr>
        <w:t xml:space="preserve">also </w:t>
      </w:r>
      <w:r w:rsidRPr="00DA194D">
        <w:rPr>
          <w:rFonts w:cstheme="minorHAnsi"/>
        </w:rPr>
        <w:t xml:space="preserve">suggests a degree of under-regulation </w:t>
      </w:r>
      <w:r w:rsidR="00457ED3">
        <w:rPr>
          <w:rFonts w:cstheme="minorHAnsi"/>
        </w:rPr>
        <w:t xml:space="preserve">– </w:t>
      </w:r>
      <w:r w:rsidRPr="00DA194D">
        <w:rPr>
          <w:rFonts w:cstheme="minorHAnsi"/>
        </w:rPr>
        <w:t>not only of what counts as a relationship</w:t>
      </w:r>
      <w:r>
        <w:rPr>
          <w:rFonts w:cstheme="minorHAnsi"/>
        </w:rPr>
        <w:t xml:space="preserve"> </w:t>
      </w:r>
      <w:r w:rsidR="00D50CA6">
        <w:rPr>
          <w:rFonts w:cstheme="minorHAnsi"/>
        </w:rPr>
        <w:t xml:space="preserve">qualifying for disclosure </w:t>
      </w:r>
      <w:r>
        <w:rPr>
          <w:rFonts w:cstheme="minorHAnsi"/>
        </w:rPr>
        <w:t>under DSDAS</w:t>
      </w:r>
      <w:r w:rsidR="00457ED3">
        <w:rPr>
          <w:rFonts w:cstheme="minorHAnsi"/>
        </w:rPr>
        <w:t xml:space="preserve"> –</w:t>
      </w:r>
      <w:r w:rsidRPr="00DA194D">
        <w:rPr>
          <w:rFonts w:cstheme="minorHAnsi"/>
        </w:rPr>
        <w:t xml:space="preserve"> but also about what </w:t>
      </w:r>
      <w:r>
        <w:rPr>
          <w:rFonts w:cstheme="minorHAnsi"/>
        </w:rPr>
        <w:t xml:space="preserve">kinds of </w:t>
      </w:r>
      <w:r w:rsidR="002738E6">
        <w:rPr>
          <w:rFonts w:cstheme="minorHAnsi"/>
        </w:rPr>
        <w:t>behaviour</w:t>
      </w:r>
      <w:r w:rsidRPr="00DA194D">
        <w:rPr>
          <w:rFonts w:cstheme="minorHAnsi"/>
        </w:rPr>
        <w:t xml:space="preserve"> Police Scotland regards as </w:t>
      </w:r>
      <w:r w:rsidR="000018D1">
        <w:rPr>
          <w:rFonts w:cstheme="minorHAnsi"/>
        </w:rPr>
        <w:t>susceptible to disclosure</w:t>
      </w:r>
      <w:r w:rsidR="004B3FEF">
        <w:rPr>
          <w:rFonts w:cstheme="minorHAnsi"/>
        </w:rPr>
        <w:t xml:space="preserve"> under it</w:t>
      </w:r>
      <w:r w:rsidRPr="00DA194D">
        <w:rPr>
          <w:rFonts w:cstheme="minorHAnsi"/>
        </w:rPr>
        <w:t>.</w:t>
      </w:r>
      <w:r>
        <w:rPr>
          <w:rFonts w:cstheme="minorHAnsi"/>
        </w:rPr>
        <w:t xml:space="preserve"> </w:t>
      </w:r>
    </w:p>
    <w:p w14:paraId="4C70D51A" w14:textId="08B39099" w:rsidR="00941B88" w:rsidRDefault="00E71118" w:rsidP="00425759">
      <w:pPr>
        <w:spacing w:line="360" w:lineRule="auto"/>
        <w:jc w:val="both"/>
        <w:rPr>
          <w:rFonts w:cstheme="minorHAnsi"/>
        </w:rPr>
      </w:pPr>
      <w:r>
        <w:rPr>
          <w:rFonts w:cstheme="minorHAnsi"/>
        </w:rPr>
        <w:t xml:space="preserve">We conclude </w:t>
      </w:r>
      <w:r w:rsidR="00611BC7">
        <w:rPr>
          <w:rFonts w:cstheme="minorHAnsi"/>
        </w:rPr>
        <w:t xml:space="preserve">this article </w:t>
      </w:r>
      <w:r>
        <w:rPr>
          <w:rFonts w:cstheme="minorHAnsi"/>
        </w:rPr>
        <w:t xml:space="preserve">with </w:t>
      </w:r>
      <w:r w:rsidR="00D8271E">
        <w:rPr>
          <w:rFonts w:cstheme="minorHAnsi"/>
        </w:rPr>
        <w:t xml:space="preserve">three </w:t>
      </w:r>
      <w:r>
        <w:rPr>
          <w:rFonts w:cstheme="minorHAnsi"/>
        </w:rPr>
        <w:t xml:space="preserve">practical </w:t>
      </w:r>
      <w:r w:rsidR="00C81DC7">
        <w:rPr>
          <w:rFonts w:cstheme="minorHAnsi"/>
        </w:rPr>
        <w:t>suggestions</w:t>
      </w:r>
      <w:r>
        <w:rPr>
          <w:rFonts w:cstheme="minorHAnsi"/>
        </w:rPr>
        <w:t xml:space="preserve"> for how Police Scotland can address these </w:t>
      </w:r>
      <w:r w:rsidR="00E66297">
        <w:rPr>
          <w:rFonts w:cstheme="minorHAnsi"/>
        </w:rPr>
        <w:t>issue</w:t>
      </w:r>
      <w:r>
        <w:rPr>
          <w:rFonts w:cstheme="minorHAnsi"/>
        </w:rPr>
        <w:t>s</w:t>
      </w:r>
      <w:r w:rsidR="009B2575">
        <w:rPr>
          <w:rFonts w:cstheme="minorHAnsi"/>
        </w:rPr>
        <w:t xml:space="preserve"> to</w:t>
      </w:r>
      <w:r>
        <w:rPr>
          <w:rFonts w:cstheme="minorHAnsi"/>
        </w:rPr>
        <w:t xml:space="preserve"> </w:t>
      </w:r>
      <w:r w:rsidR="003F5CB0">
        <w:rPr>
          <w:rFonts w:cstheme="minorHAnsi"/>
        </w:rPr>
        <w:t>i</w:t>
      </w:r>
      <w:r>
        <w:rPr>
          <w:rFonts w:cstheme="minorHAnsi"/>
        </w:rPr>
        <w:t>ncreas</w:t>
      </w:r>
      <w:r w:rsidR="009B2575">
        <w:rPr>
          <w:rFonts w:cstheme="minorHAnsi"/>
        </w:rPr>
        <w:t>e</w:t>
      </w:r>
      <w:r w:rsidR="00EA224C">
        <w:rPr>
          <w:rFonts w:cstheme="minorHAnsi"/>
        </w:rPr>
        <w:t xml:space="preserve"> the</w:t>
      </w:r>
      <w:r>
        <w:rPr>
          <w:rFonts w:cstheme="minorHAnsi"/>
        </w:rPr>
        <w:t xml:space="preserve"> transparency and accessibility of the </w:t>
      </w:r>
      <w:r w:rsidR="000E0843">
        <w:rPr>
          <w:rFonts w:cstheme="minorHAnsi"/>
        </w:rPr>
        <w:t xml:space="preserve">DSDAS </w:t>
      </w:r>
      <w:r>
        <w:rPr>
          <w:rFonts w:cstheme="minorHAnsi"/>
        </w:rPr>
        <w:t>scheme</w:t>
      </w:r>
      <w:r w:rsidR="000E127D">
        <w:rPr>
          <w:rFonts w:cstheme="minorHAnsi"/>
        </w:rPr>
        <w:t xml:space="preserve">, </w:t>
      </w:r>
      <w:r>
        <w:rPr>
          <w:rFonts w:cstheme="minorHAnsi"/>
        </w:rPr>
        <w:t>reduc</w:t>
      </w:r>
      <w:r w:rsidR="009B2575">
        <w:rPr>
          <w:rFonts w:cstheme="minorHAnsi"/>
        </w:rPr>
        <w:t>e</w:t>
      </w:r>
      <w:r w:rsidR="00313A36">
        <w:rPr>
          <w:rFonts w:cstheme="minorHAnsi"/>
        </w:rPr>
        <w:t xml:space="preserve"> the</w:t>
      </w:r>
      <w:r>
        <w:rPr>
          <w:rFonts w:cstheme="minorHAnsi"/>
        </w:rPr>
        <w:t xml:space="preserve"> risks </w:t>
      </w:r>
      <w:r w:rsidR="00313A36">
        <w:rPr>
          <w:rFonts w:cstheme="minorHAnsi"/>
        </w:rPr>
        <w:t xml:space="preserve">that </w:t>
      </w:r>
      <w:r>
        <w:rPr>
          <w:rFonts w:cstheme="minorHAnsi"/>
        </w:rPr>
        <w:t>th</w:t>
      </w:r>
      <w:r w:rsidR="00082A4D">
        <w:rPr>
          <w:rFonts w:cstheme="minorHAnsi"/>
        </w:rPr>
        <w:t>e lawfulness of this</w:t>
      </w:r>
      <w:r>
        <w:rPr>
          <w:rFonts w:cstheme="minorHAnsi"/>
        </w:rPr>
        <w:t xml:space="preserve"> policy will be </w:t>
      </w:r>
      <w:r w:rsidR="00082A4D">
        <w:rPr>
          <w:rFonts w:cstheme="minorHAnsi"/>
        </w:rPr>
        <w:t xml:space="preserve">challenged in </w:t>
      </w:r>
      <w:r>
        <w:rPr>
          <w:rFonts w:cstheme="minorHAnsi"/>
        </w:rPr>
        <w:t xml:space="preserve">court, and better align </w:t>
      </w:r>
      <w:r w:rsidR="00CB027A">
        <w:rPr>
          <w:rFonts w:cstheme="minorHAnsi"/>
        </w:rPr>
        <w:t>DSDAS</w:t>
      </w:r>
      <w:r>
        <w:rPr>
          <w:rFonts w:cstheme="minorHAnsi"/>
        </w:rPr>
        <w:t xml:space="preserve"> with prevailing understandings of domestic abuse </w:t>
      </w:r>
      <w:r w:rsidR="009D3250">
        <w:rPr>
          <w:rFonts w:cstheme="minorHAnsi"/>
        </w:rPr>
        <w:t xml:space="preserve">articulated </w:t>
      </w:r>
      <w:r w:rsidR="00673459">
        <w:rPr>
          <w:rFonts w:cstheme="minorHAnsi"/>
        </w:rPr>
        <w:t xml:space="preserve">in </w:t>
      </w:r>
      <w:r w:rsidR="00B27077">
        <w:rPr>
          <w:rFonts w:cstheme="minorHAnsi"/>
        </w:rPr>
        <w:t>Scots</w:t>
      </w:r>
      <w:r w:rsidR="00673459">
        <w:rPr>
          <w:rFonts w:cstheme="minorHAnsi"/>
        </w:rPr>
        <w:t xml:space="preserve"> law and policy</w:t>
      </w:r>
      <w:r w:rsidR="0047342F">
        <w:rPr>
          <w:rFonts w:cstheme="minorHAnsi"/>
        </w:rPr>
        <w:t xml:space="preserve"> and the diversity of modern relationships</w:t>
      </w:r>
      <w:r w:rsidR="00CA51AD">
        <w:rPr>
          <w:rFonts w:cstheme="minorHAnsi"/>
        </w:rPr>
        <w:t>.</w:t>
      </w:r>
    </w:p>
    <w:p w14:paraId="503079EB" w14:textId="77777777" w:rsidR="00DA0679" w:rsidRDefault="00DA0679" w:rsidP="00425759">
      <w:pPr>
        <w:spacing w:line="360" w:lineRule="auto"/>
        <w:jc w:val="both"/>
        <w:rPr>
          <w:rFonts w:cstheme="minorHAnsi"/>
          <w:b/>
        </w:rPr>
      </w:pPr>
    </w:p>
    <w:p w14:paraId="15BDA490" w14:textId="005ECECF" w:rsidR="00103569" w:rsidRPr="00DA194D" w:rsidRDefault="00103569" w:rsidP="00313A36">
      <w:pPr>
        <w:pStyle w:val="Heading1"/>
      </w:pPr>
      <w:r w:rsidRPr="00DA194D">
        <w:t>The Domestic Abuse Disclosure Scheme for Scotland</w:t>
      </w:r>
      <w:r w:rsidR="00D84E2A">
        <w:t xml:space="preserve"> (DSDAS)</w:t>
      </w:r>
    </w:p>
    <w:p w14:paraId="4A6ECB2C" w14:textId="760F0A6F" w:rsidR="00D17A2F" w:rsidRDefault="00F43C6B" w:rsidP="00425759">
      <w:pPr>
        <w:spacing w:line="360" w:lineRule="auto"/>
        <w:jc w:val="both"/>
        <w:rPr>
          <w:rFonts w:cstheme="minorHAnsi"/>
        </w:rPr>
      </w:pPr>
      <w:r w:rsidRPr="00DA194D">
        <w:rPr>
          <w:rFonts w:cstheme="minorHAnsi"/>
        </w:rPr>
        <w:t>The D</w:t>
      </w:r>
      <w:r w:rsidR="000F3D76">
        <w:rPr>
          <w:rFonts w:cstheme="minorHAnsi"/>
        </w:rPr>
        <w:t>isclosure Scheme for Domestic Abuse in</w:t>
      </w:r>
      <w:r w:rsidRPr="00DA194D">
        <w:rPr>
          <w:rFonts w:cstheme="minorHAnsi"/>
        </w:rPr>
        <w:t xml:space="preserve"> Scotland was introduced </w:t>
      </w:r>
      <w:r w:rsidR="00103569" w:rsidRPr="00DA194D">
        <w:rPr>
          <w:rFonts w:cstheme="minorHAnsi"/>
        </w:rPr>
        <w:t>on 1</w:t>
      </w:r>
      <w:r w:rsidR="008B5C9B">
        <w:rPr>
          <w:rFonts w:cstheme="minorHAnsi"/>
        </w:rPr>
        <w:t xml:space="preserve"> </w:t>
      </w:r>
      <w:r w:rsidR="00103569" w:rsidRPr="00DA194D">
        <w:rPr>
          <w:rFonts w:cstheme="minorHAnsi"/>
        </w:rPr>
        <w:t xml:space="preserve">October 2015. The scheme </w:t>
      </w:r>
      <w:r w:rsidR="00E66297">
        <w:rPr>
          <w:rFonts w:cstheme="minorHAnsi"/>
        </w:rPr>
        <w:t>is part of Police Scotland’s commitment to tack</w:t>
      </w:r>
      <w:r w:rsidR="00C07ECB">
        <w:rPr>
          <w:rFonts w:cstheme="minorHAnsi"/>
        </w:rPr>
        <w:t>l</w:t>
      </w:r>
      <w:r w:rsidR="00E66297">
        <w:rPr>
          <w:rFonts w:cstheme="minorHAnsi"/>
        </w:rPr>
        <w:t xml:space="preserve">ing domestic abuse and it </w:t>
      </w:r>
      <w:r w:rsidR="00103569" w:rsidRPr="00DA194D">
        <w:rPr>
          <w:rFonts w:cstheme="minorHAnsi"/>
        </w:rPr>
        <w:t xml:space="preserve">aims to act as a </w:t>
      </w:r>
      <w:r w:rsidR="00103569" w:rsidRPr="00DA194D">
        <w:rPr>
          <w:rStyle w:val="Emphasis"/>
          <w:rFonts w:cstheme="minorHAnsi"/>
          <w:i w:val="0"/>
        </w:rPr>
        <w:t>form</w:t>
      </w:r>
      <w:r w:rsidR="00103569" w:rsidRPr="00DA194D">
        <w:rPr>
          <w:rFonts w:cstheme="minorHAnsi"/>
          <w:i/>
        </w:rPr>
        <w:t xml:space="preserve"> </w:t>
      </w:r>
      <w:r w:rsidR="00103569" w:rsidRPr="00DA194D">
        <w:rPr>
          <w:rFonts w:cstheme="minorHAnsi"/>
        </w:rPr>
        <w:t>of primary prevention</w:t>
      </w:r>
      <w:r w:rsidR="003B1DAD">
        <w:rPr>
          <w:rFonts w:cstheme="minorHAnsi"/>
        </w:rPr>
        <w:t>,</w:t>
      </w:r>
      <w:r w:rsidR="00103569" w:rsidRPr="00DA194D">
        <w:rPr>
          <w:rFonts w:cstheme="minorHAnsi"/>
        </w:rPr>
        <w:t xml:space="preserve"> by allowing those with concerns about someone’s conduct to make a request for information to be disclosed about any history of domestic abuse</w:t>
      </w:r>
      <w:r w:rsidR="00103569" w:rsidRPr="00451399">
        <w:rPr>
          <w:rFonts w:cstheme="minorHAnsi"/>
        </w:rPr>
        <w:t xml:space="preserve">. </w:t>
      </w:r>
      <w:r w:rsidR="00D17A2F" w:rsidRPr="00451399">
        <w:rPr>
          <w:rFonts w:cstheme="minorHAnsi"/>
        </w:rPr>
        <w:t>In</w:t>
      </w:r>
      <w:r w:rsidR="00D17A2F">
        <w:rPr>
          <w:rFonts w:cstheme="minorHAnsi"/>
        </w:rPr>
        <w:t xml:space="preserve"> Police Scotland’s guidance, the scheme is described as</w:t>
      </w:r>
      <w:r w:rsidR="00063743">
        <w:rPr>
          <w:rFonts w:cstheme="minorHAnsi"/>
        </w:rPr>
        <w:t xml:space="preserve"> providing</w:t>
      </w:r>
      <w:r w:rsidR="00D17A2F">
        <w:rPr>
          <w:rFonts w:cstheme="minorHAnsi"/>
        </w:rPr>
        <w:t>:</w:t>
      </w:r>
    </w:p>
    <w:p w14:paraId="05B6A223" w14:textId="0F9B7E4F" w:rsidR="00D17A2F" w:rsidRDefault="00D17A2F" w:rsidP="00425759">
      <w:pPr>
        <w:spacing w:line="360" w:lineRule="auto"/>
        <w:ind w:left="720"/>
        <w:jc w:val="both"/>
        <w:rPr>
          <w:rFonts w:cstheme="minorHAnsi"/>
        </w:rPr>
      </w:pPr>
      <w:r>
        <w:rPr>
          <w:rFonts w:cstheme="minorHAnsi"/>
        </w:rPr>
        <w:t>a formal way of sharing information about a partner’s abusive past, with a potential victim. In making a disclosure, the scheme provides those individuals with information they may have previously been unaware of, giv</w:t>
      </w:r>
      <w:r w:rsidR="00E66297">
        <w:rPr>
          <w:rFonts w:cstheme="minorHAnsi"/>
        </w:rPr>
        <w:t>ing</w:t>
      </w:r>
      <w:r>
        <w:rPr>
          <w:rFonts w:cstheme="minorHAnsi"/>
        </w:rPr>
        <w:t xml:space="preserve"> them the power to review their situation, decide what is best for them, and whether to continue their relationship.</w:t>
      </w:r>
      <w:r w:rsidR="00F756C9">
        <w:rPr>
          <w:rFonts w:cstheme="minorHAnsi"/>
        </w:rPr>
        <w:t xml:space="preserve"> (Police Scotland 2021b</w:t>
      </w:r>
      <w:r w:rsidR="00C70AEE">
        <w:rPr>
          <w:rFonts w:cstheme="minorHAnsi"/>
        </w:rPr>
        <w:t>, 4)</w:t>
      </w:r>
    </w:p>
    <w:p w14:paraId="7A9D9509" w14:textId="6E2C9B97" w:rsidR="000F60B6" w:rsidRDefault="00451399" w:rsidP="00425759">
      <w:pPr>
        <w:spacing w:line="360" w:lineRule="auto"/>
        <w:jc w:val="both"/>
        <w:rPr>
          <w:rFonts w:cstheme="minorHAnsi"/>
        </w:rPr>
      </w:pPr>
      <w:r>
        <w:rPr>
          <w:rFonts w:cstheme="minorHAnsi"/>
        </w:rPr>
        <w:lastRenderedPageBreak/>
        <w:t>I</w:t>
      </w:r>
      <w:r w:rsidR="00103569" w:rsidRPr="00DA194D">
        <w:rPr>
          <w:rFonts w:cstheme="minorHAnsi"/>
        </w:rPr>
        <w:t xml:space="preserve">f police checks show that the individual has a record of abusive behaviour, or there is other information to indicate the person is at risk, </w:t>
      </w:r>
      <w:r w:rsidR="007B370D">
        <w:rPr>
          <w:rFonts w:cstheme="minorHAnsi"/>
        </w:rPr>
        <w:t>Police Scotland</w:t>
      </w:r>
      <w:r w:rsidR="00103569" w:rsidRPr="00DA194D">
        <w:rPr>
          <w:rFonts w:cstheme="minorHAnsi"/>
        </w:rPr>
        <w:t xml:space="preserve"> will consider sharing </w:t>
      </w:r>
      <w:r w:rsidR="00B71087" w:rsidRPr="00DA194D">
        <w:rPr>
          <w:rFonts w:cstheme="minorHAnsi"/>
        </w:rPr>
        <w:t>th</w:t>
      </w:r>
      <w:r w:rsidR="00B71087">
        <w:rPr>
          <w:rFonts w:cstheme="minorHAnsi"/>
        </w:rPr>
        <w:t>i</w:t>
      </w:r>
      <w:r w:rsidR="00B71087" w:rsidRPr="00DA194D">
        <w:rPr>
          <w:rFonts w:cstheme="minorHAnsi"/>
        </w:rPr>
        <w:t>s</w:t>
      </w:r>
      <w:r w:rsidR="00103569" w:rsidRPr="00DA194D">
        <w:rPr>
          <w:rFonts w:cstheme="minorHAnsi"/>
        </w:rPr>
        <w:t xml:space="preserve"> information with the person(s) best placed to protect the potential victim. This may be the victim themselves, or another person or agency.</w:t>
      </w:r>
    </w:p>
    <w:p w14:paraId="54D0ED89" w14:textId="4A30C78B" w:rsidR="000F60B6" w:rsidRDefault="000F3D76" w:rsidP="00425759">
      <w:pPr>
        <w:spacing w:line="360" w:lineRule="auto"/>
        <w:jc w:val="both"/>
        <w:rPr>
          <w:rFonts w:cstheme="minorHAnsi"/>
        </w:rPr>
      </w:pPr>
      <w:r w:rsidRPr="00451399">
        <w:rPr>
          <w:rFonts w:cstheme="minorHAnsi"/>
        </w:rPr>
        <w:t xml:space="preserve">The scheme operates in two ways: </w:t>
      </w:r>
      <w:r>
        <w:rPr>
          <w:rFonts w:cstheme="minorHAnsi"/>
        </w:rPr>
        <w:t xml:space="preserve">the </w:t>
      </w:r>
      <w:r w:rsidR="00280673">
        <w:rPr>
          <w:rFonts w:cstheme="minorHAnsi"/>
        </w:rPr>
        <w:t>“</w:t>
      </w:r>
      <w:r>
        <w:rPr>
          <w:rFonts w:cstheme="minorHAnsi"/>
        </w:rPr>
        <w:t>right to ask</w:t>
      </w:r>
      <w:r w:rsidR="00280673">
        <w:rPr>
          <w:rFonts w:cstheme="minorHAnsi"/>
        </w:rPr>
        <w:t>”</w:t>
      </w:r>
      <w:r>
        <w:rPr>
          <w:rFonts w:cstheme="minorHAnsi"/>
        </w:rPr>
        <w:t xml:space="preserve"> and the </w:t>
      </w:r>
      <w:r w:rsidR="00280673">
        <w:rPr>
          <w:rFonts w:cstheme="minorHAnsi"/>
        </w:rPr>
        <w:t>“</w:t>
      </w:r>
      <w:r>
        <w:rPr>
          <w:rFonts w:cstheme="minorHAnsi"/>
        </w:rPr>
        <w:t>power to tell</w:t>
      </w:r>
      <w:r w:rsidR="00A006FA">
        <w:rPr>
          <w:rFonts w:cstheme="minorHAnsi"/>
        </w:rPr>
        <w:t>”</w:t>
      </w:r>
      <w:r>
        <w:rPr>
          <w:rFonts w:cstheme="minorHAnsi"/>
        </w:rPr>
        <w:t xml:space="preserve">. </w:t>
      </w:r>
      <w:r w:rsidR="00D17A2F" w:rsidRPr="00451399">
        <w:rPr>
          <w:rFonts w:cstheme="minorHAnsi"/>
        </w:rPr>
        <w:t xml:space="preserve">Under the </w:t>
      </w:r>
      <w:r w:rsidR="00280673">
        <w:rPr>
          <w:rFonts w:cstheme="minorHAnsi"/>
        </w:rPr>
        <w:t>“</w:t>
      </w:r>
      <w:r w:rsidR="00D17A2F" w:rsidRPr="00451399">
        <w:rPr>
          <w:rFonts w:cstheme="minorHAnsi"/>
        </w:rPr>
        <w:t>right to ask</w:t>
      </w:r>
      <w:r w:rsidR="00280673">
        <w:rPr>
          <w:rFonts w:cstheme="minorHAnsi"/>
        </w:rPr>
        <w:t>”</w:t>
      </w:r>
      <w:r w:rsidR="00D17A2F" w:rsidRPr="00451399">
        <w:rPr>
          <w:rFonts w:cstheme="minorHAnsi"/>
        </w:rPr>
        <w:t xml:space="preserve"> route, members of the public – </w:t>
      </w:r>
      <w:r w:rsidR="00280673">
        <w:rPr>
          <w:rFonts w:cstheme="minorHAnsi"/>
        </w:rPr>
        <w:t>“</w:t>
      </w:r>
      <w:r w:rsidR="00D17A2F" w:rsidRPr="00451399">
        <w:rPr>
          <w:rFonts w:cstheme="minorHAnsi"/>
        </w:rPr>
        <w:t>the applicant</w:t>
      </w:r>
      <w:r w:rsidR="00280673">
        <w:rPr>
          <w:rFonts w:cstheme="minorHAnsi"/>
        </w:rPr>
        <w:t>”</w:t>
      </w:r>
      <w:r w:rsidR="00D17A2F" w:rsidRPr="00451399">
        <w:rPr>
          <w:rFonts w:cstheme="minorHAnsi"/>
        </w:rPr>
        <w:t xml:space="preserve"> – can make a request for information about Person B (the potentially abusive partner) to be disclosed to Person A (the potential victim) or another person best placed to protect them. The applicant can be Person A themselves, or another concerned person such as a parent, relative, neighbour or friend, referred to as Person C. </w:t>
      </w:r>
      <w:r w:rsidR="0022042F" w:rsidRPr="00451399">
        <w:rPr>
          <w:rFonts w:cstheme="minorHAnsi"/>
        </w:rPr>
        <w:t xml:space="preserve">Under the </w:t>
      </w:r>
      <w:r w:rsidR="006102F9">
        <w:rPr>
          <w:rFonts w:cstheme="minorHAnsi"/>
        </w:rPr>
        <w:t>“</w:t>
      </w:r>
      <w:r w:rsidR="0022042F" w:rsidRPr="00451399">
        <w:rPr>
          <w:rFonts w:cstheme="minorHAnsi"/>
        </w:rPr>
        <w:t>power to tell</w:t>
      </w:r>
      <w:r w:rsidR="006102F9">
        <w:rPr>
          <w:rFonts w:cstheme="minorHAnsi"/>
        </w:rPr>
        <w:t>”</w:t>
      </w:r>
      <w:r w:rsidR="0022042F" w:rsidRPr="00451399">
        <w:rPr>
          <w:rFonts w:cstheme="minorHAnsi"/>
        </w:rPr>
        <w:t xml:space="preserve"> route, </w:t>
      </w:r>
      <w:r w:rsidR="00451399" w:rsidRPr="00451399">
        <w:rPr>
          <w:rFonts w:cstheme="minorHAnsi"/>
        </w:rPr>
        <w:t xml:space="preserve">if </w:t>
      </w:r>
      <w:r w:rsidR="0022042F" w:rsidRPr="00451399">
        <w:rPr>
          <w:rFonts w:cstheme="minorHAnsi"/>
        </w:rPr>
        <w:t xml:space="preserve">Police Scotland or </w:t>
      </w:r>
      <w:r w:rsidR="00451399" w:rsidRPr="00451399">
        <w:rPr>
          <w:rFonts w:cstheme="minorHAnsi"/>
        </w:rPr>
        <w:t xml:space="preserve">other </w:t>
      </w:r>
      <w:r w:rsidR="0022042F" w:rsidRPr="00451399">
        <w:rPr>
          <w:rFonts w:cstheme="minorHAnsi"/>
        </w:rPr>
        <w:t>partner agencies</w:t>
      </w:r>
      <w:r w:rsidR="00451399" w:rsidRPr="00451399">
        <w:rPr>
          <w:rFonts w:cstheme="minorHAnsi"/>
        </w:rPr>
        <w:t>, including statutory or third sector</w:t>
      </w:r>
      <w:r w:rsidR="00C81DC7">
        <w:rPr>
          <w:rFonts w:cstheme="minorHAnsi"/>
        </w:rPr>
        <w:t>,</w:t>
      </w:r>
      <w:r w:rsidR="00451399" w:rsidRPr="00451399">
        <w:rPr>
          <w:rFonts w:cstheme="minorHAnsi"/>
        </w:rPr>
        <w:t xml:space="preserve"> gather or receive information that suggests a person is at risk of domestic abuse, they may disclose that information to the person who is at risk</w:t>
      </w:r>
      <w:r w:rsidR="00BB204E">
        <w:rPr>
          <w:rFonts w:cstheme="minorHAnsi"/>
        </w:rPr>
        <w:t>,</w:t>
      </w:r>
      <w:r w:rsidR="00451399" w:rsidRPr="00451399">
        <w:rPr>
          <w:rFonts w:cstheme="minorHAnsi"/>
        </w:rPr>
        <w:t xml:space="preserve"> or another person best placed to protect them. This latter route means individuals can receive a disclosure they have not requested themselves.</w:t>
      </w:r>
    </w:p>
    <w:p w14:paraId="60440269" w14:textId="6A5C99A7" w:rsidR="00594BCF" w:rsidRDefault="00594BCF" w:rsidP="00425759">
      <w:pPr>
        <w:spacing w:line="360" w:lineRule="auto"/>
        <w:jc w:val="both"/>
        <w:rPr>
          <w:rFonts w:cstheme="minorHAnsi"/>
        </w:rPr>
      </w:pPr>
      <w:r>
        <w:rPr>
          <w:rFonts w:cstheme="minorHAnsi"/>
        </w:rPr>
        <w:t>The disclosure scheme involves a number of steps</w:t>
      </w:r>
      <w:r w:rsidR="00534387">
        <w:rPr>
          <w:rFonts w:cstheme="minorHAnsi"/>
        </w:rPr>
        <w:t xml:space="preserve"> if someone uses</w:t>
      </w:r>
      <w:r w:rsidR="0042549F">
        <w:rPr>
          <w:rFonts w:cstheme="minorHAnsi"/>
        </w:rPr>
        <w:t xml:space="preserve"> the</w:t>
      </w:r>
      <w:r w:rsidR="00534387">
        <w:rPr>
          <w:rFonts w:cstheme="minorHAnsi"/>
        </w:rPr>
        <w:t xml:space="preserve"> </w:t>
      </w:r>
      <w:r w:rsidR="002F31A9">
        <w:rPr>
          <w:rFonts w:cstheme="minorHAnsi"/>
        </w:rPr>
        <w:t>“</w:t>
      </w:r>
      <w:r w:rsidR="00534387">
        <w:rPr>
          <w:rFonts w:cstheme="minorHAnsi"/>
        </w:rPr>
        <w:t>right to ask</w:t>
      </w:r>
      <w:r w:rsidR="00D7440A">
        <w:rPr>
          <w:rFonts w:cstheme="minorHAnsi"/>
        </w:rPr>
        <w:t>”</w:t>
      </w:r>
      <w:r>
        <w:rPr>
          <w:rFonts w:cstheme="minorHAnsi"/>
        </w:rPr>
        <w:t>. Th</w:t>
      </w:r>
      <w:r w:rsidR="00C81DC7">
        <w:rPr>
          <w:rFonts w:cstheme="minorHAnsi"/>
        </w:rPr>
        <w:t>e</w:t>
      </w:r>
      <w:r>
        <w:rPr>
          <w:rFonts w:cstheme="minorHAnsi"/>
        </w:rPr>
        <w:t xml:space="preserve"> application can be made online, by visiting a police office, through the non-emergency number 101, or by approaching an officer in the street. The police will then take details of what prompted the enquiry and the nature of the person’s relationship with their partner, and then conduct initial checks to establish any immediate risk. The third stage involves a </w:t>
      </w:r>
      <w:r w:rsidR="00AD7FB1">
        <w:rPr>
          <w:rFonts w:cstheme="minorHAnsi"/>
        </w:rPr>
        <w:t>face-to-face</w:t>
      </w:r>
      <w:r>
        <w:rPr>
          <w:rFonts w:cstheme="minorHAnsi"/>
        </w:rPr>
        <w:t xml:space="preserve"> meeting with an officer or staff member to establish details of the application, further details about the nature of the relationship and the risk of domestic abuse, and for the applicant to provide proof of identity – one form of photo ID, and one other form of ID. Following police checks of relevant police and crime </w:t>
      </w:r>
      <w:r w:rsidR="00AD7FB1">
        <w:rPr>
          <w:rFonts w:cstheme="minorHAnsi"/>
        </w:rPr>
        <w:t>databases</w:t>
      </w:r>
      <w:r>
        <w:rPr>
          <w:rFonts w:cstheme="minorHAnsi"/>
        </w:rPr>
        <w:t xml:space="preserve"> and information held by partner agencies, if there is information to consider disclosing, the next stage is a multi-agency decision</w:t>
      </w:r>
      <w:r w:rsidR="00DF6485">
        <w:rPr>
          <w:rFonts w:cstheme="minorHAnsi"/>
        </w:rPr>
        <w:t>-</w:t>
      </w:r>
      <w:r>
        <w:rPr>
          <w:rFonts w:cstheme="minorHAnsi"/>
        </w:rPr>
        <w:t xml:space="preserve">making forum meeting to consider whether a disclosure is appropriate. The decision to disclose must be lawful, necessary and proportionate to protect an individual from domestic abuse. If a disclosure is made, the police will disclose information to the person at risk or a person best placed to protect them. If </w:t>
      </w:r>
      <w:r w:rsidR="00AD7FB1">
        <w:rPr>
          <w:rFonts w:cstheme="minorHAnsi"/>
        </w:rPr>
        <w:t xml:space="preserve">no disclosure </w:t>
      </w:r>
      <w:r w:rsidR="000F3D76">
        <w:rPr>
          <w:rFonts w:cstheme="minorHAnsi"/>
        </w:rPr>
        <w:t xml:space="preserve">is </w:t>
      </w:r>
      <w:r>
        <w:rPr>
          <w:rFonts w:cstheme="minorHAnsi"/>
        </w:rPr>
        <w:t>made, the police will explain why</w:t>
      </w:r>
      <w:r w:rsidR="00534387">
        <w:rPr>
          <w:rFonts w:cstheme="minorHAnsi"/>
        </w:rPr>
        <w:t xml:space="preserve">. </w:t>
      </w:r>
      <w:r w:rsidR="00435F73">
        <w:rPr>
          <w:rFonts w:cstheme="minorHAnsi"/>
        </w:rPr>
        <w:t xml:space="preserve">Under </w:t>
      </w:r>
      <w:r w:rsidR="00AD7FB1">
        <w:rPr>
          <w:rFonts w:cstheme="minorHAnsi"/>
        </w:rPr>
        <w:t xml:space="preserve">the </w:t>
      </w:r>
      <w:r w:rsidR="002F31A9">
        <w:rPr>
          <w:rFonts w:cstheme="minorHAnsi"/>
        </w:rPr>
        <w:t>“</w:t>
      </w:r>
      <w:r w:rsidR="00435F73">
        <w:rPr>
          <w:rFonts w:cstheme="minorHAnsi"/>
        </w:rPr>
        <w:t>power to tell</w:t>
      </w:r>
      <w:r w:rsidR="002F31A9">
        <w:rPr>
          <w:rFonts w:cstheme="minorHAnsi"/>
        </w:rPr>
        <w:t>”</w:t>
      </w:r>
      <w:r w:rsidR="00435F73">
        <w:rPr>
          <w:rFonts w:cstheme="minorHAnsi"/>
        </w:rPr>
        <w:t>, a similar process unfolds</w:t>
      </w:r>
      <w:r w:rsidR="005D66B5">
        <w:rPr>
          <w:rFonts w:cstheme="minorHAnsi"/>
        </w:rPr>
        <w:t>. H</w:t>
      </w:r>
      <w:r w:rsidR="00435F73">
        <w:rPr>
          <w:rFonts w:cstheme="minorHAnsi"/>
        </w:rPr>
        <w:t>owever</w:t>
      </w:r>
      <w:r w:rsidR="005D66B5">
        <w:rPr>
          <w:rFonts w:cstheme="minorHAnsi"/>
        </w:rPr>
        <w:t>,</w:t>
      </w:r>
      <w:r w:rsidR="00435F73">
        <w:rPr>
          <w:rFonts w:cstheme="minorHAnsi"/>
        </w:rPr>
        <w:t xml:space="preserve"> a police officer or other agency staff member in receipt of information that a person may be at risk completes an application form. </w:t>
      </w:r>
      <w:r>
        <w:rPr>
          <w:rFonts w:cstheme="minorHAnsi"/>
        </w:rPr>
        <w:t>According to the scheme guidance, the process should take no longer than 45 days.</w:t>
      </w:r>
    </w:p>
    <w:p w14:paraId="1848271F" w14:textId="1E807104" w:rsidR="00103569" w:rsidRPr="00DA194D" w:rsidRDefault="00593E21" w:rsidP="00425759">
      <w:pPr>
        <w:spacing w:line="360" w:lineRule="auto"/>
        <w:jc w:val="both"/>
        <w:rPr>
          <w:rFonts w:cstheme="minorHAnsi"/>
        </w:rPr>
      </w:pPr>
      <w:r>
        <w:rPr>
          <w:rFonts w:cstheme="minorHAnsi"/>
        </w:rPr>
        <w:t xml:space="preserve">In the first two years of </w:t>
      </w:r>
      <w:r w:rsidR="00D442B9">
        <w:rPr>
          <w:rFonts w:cstheme="minorHAnsi"/>
        </w:rPr>
        <w:t>DSDAS’</w:t>
      </w:r>
      <w:r w:rsidR="00417BEE">
        <w:rPr>
          <w:rFonts w:cstheme="minorHAnsi"/>
        </w:rPr>
        <w:t>s</w:t>
      </w:r>
      <w:r>
        <w:rPr>
          <w:rFonts w:cstheme="minorHAnsi"/>
        </w:rPr>
        <w:t xml:space="preserve"> operation</w:t>
      </w:r>
      <w:r w:rsidR="00570BA4">
        <w:rPr>
          <w:rFonts w:cstheme="minorHAnsi"/>
        </w:rPr>
        <w:t>,</w:t>
      </w:r>
      <w:r>
        <w:rPr>
          <w:rFonts w:cstheme="minorHAnsi"/>
        </w:rPr>
        <w:t xml:space="preserve"> 2</w:t>
      </w:r>
      <w:r w:rsidR="00570BA4">
        <w:rPr>
          <w:rFonts w:cstheme="minorHAnsi"/>
        </w:rPr>
        <w:t>,</w:t>
      </w:r>
      <w:r>
        <w:rPr>
          <w:rFonts w:cstheme="minorHAnsi"/>
        </w:rPr>
        <w:t>144 application</w:t>
      </w:r>
      <w:r w:rsidR="00570BA4">
        <w:rPr>
          <w:rFonts w:cstheme="minorHAnsi"/>
        </w:rPr>
        <w:t>s</w:t>
      </w:r>
      <w:r>
        <w:rPr>
          <w:rFonts w:cstheme="minorHAnsi"/>
        </w:rPr>
        <w:t xml:space="preserve"> were made to Police Scotland. </w:t>
      </w:r>
      <w:r>
        <w:t xml:space="preserve">Of these, 927 (43%) resulted in information about abusive behaviour of the person in question being shared (BBC News 2017). Further data on </w:t>
      </w:r>
      <w:r w:rsidR="00C134CD">
        <w:t xml:space="preserve">the </w:t>
      </w:r>
      <w:r>
        <w:t xml:space="preserve">scheme use was published by Police Scotland in </w:t>
      </w:r>
      <w:r w:rsidR="003B1CEF">
        <w:t xml:space="preserve">October </w:t>
      </w:r>
      <w:r>
        <w:t xml:space="preserve">2020, </w:t>
      </w:r>
      <w:r w:rsidR="0024681C">
        <w:lastRenderedPageBreak/>
        <w:t>which</w:t>
      </w:r>
      <w:r>
        <w:t xml:space="preserve"> showed</w:t>
      </w:r>
      <w:r w:rsidR="0024681C">
        <w:t xml:space="preserve"> that</w:t>
      </w:r>
      <w:r>
        <w:t xml:space="preserve"> in the five years since it had operated, more than </w:t>
      </w:r>
      <w:r w:rsidR="003B1CEF">
        <w:t>5</w:t>
      </w:r>
      <w:r w:rsidR="00A415C4">
        <w:t>,</w:t>
      </w:r>
      <w:r w:rsidR="003B1CEF">
        <w:t>508 applications were lodged and 2</w:t>
      </w:r>
      <w:r w:rsidR="00A415C4">
        <w:t>,</w:t>
      </w:r>
      <w:r w:rsidR="003B1CEF">
        <w:t>902 disclosure</w:t>
      </w:r>
      <w:r w:rsidR="00955ECD">
        <w:t>s</w:t>
      </w:r>
      <w:r w:rsidR="003B1CEF">
        <w:t xml:space="preserve"> were made, representing a 52% disclosure rate (Police Scotland 2021</w:t>
      </w:r>
      <w:r w:rsidR="000F60B6">
        <w:t>a</w:t>
      </w:r>
      <w:r w:rsidR="003B1CEF">
        <w:t>).</w:t>
      </w:r>
    </w:p>
    <w:p w14:paraId="432F8DCE" w14:textId="77777777" w:rsidR="00B82BA5" w:rsidRDefault="00B82BA5" w:rsidP="00B95F99">
      <w:pPr>
        <w:pStyle w:val="Heading1"/>
      </w:pPr>
    </w:p>
    <w:p w14:paraId="49A3EDA6" w14:textId="4A7326B3" w:rsidR="008E61BA" w:rsidRPr="00DA194D" w:rsidRDefault="003F6853" w:rsidP="00B95F99">
      <w:pPr>
        <w:pStyle w:val="Heading1"/>
      </w:pPr>
      <w:r>
        <w:t xml:space="preserve">Research on </w:t>
      </w:r>
      <w:r w:rsidR="00FC7BFB">
        <w:t>d</w:t>
      </w:r>
      <w:r>
        <w:t xml:space="preserve">isclosure </w:t>
      </w:r>
      <w:r w:rsidR="00FC7BFB">
        <w:t>s</w:t>
      </w:r>
      <w:r>
        <w:t>chemes</w:t>
      </w:r>
    </w:p>
    <w:p w14:paraId="64B2F011" w14:textId="407C5C67" w:rsidR="00144B05" w:rsidRDefault="00B5548A" w:rsidP="00425759">
      <w:pPr>
        <w:pStyle w:val="NormalWeb"/>
        <w:spacing w:before="0" w:beforeAutospacing="0" w:after="160" w:afterAutospacing="0" w:line="360" w:lineRule="auto"/>
        <w:jc w:val="both"/>
        <w:rPr>
          <w:rFonts w:asciiTheme="minorHAnsi" w:hAnsiTheme="minorHAnsi" w:cstheme="minorHAnsi"/>
          <w:sz w:val="22"/>
          <w:szCs w:val="22"/>
        </w:rPr>
      </w:pPr>
      <w:r w:rsidRPr="00DA194D">
        <w:rPr>
          <w:rFonts w:asciiTheme="minorHAnsi" w:hAnsiTheme="minorHAnsi" w:cstheme="minorHAnsi"/>
          <w:sz w:val="22"/>
          <w:szCs w:val="22"/>
        </w:rPr>
        <w:t xml:space="preserve">There has been no </w:t>
      </w:r>
      <w:r w:rsidR="003B1CEF">
        <w:rPr>
          <w:rFonts w:asciiTheme="minorHAnsi" w:hAnsiTheme="minorHAnsi" w:cstheme="minorHAnsi"/>
          <w:sz w:val="22"/>
          <w:szCs w:val="22"/>
        </w:rPr>
        <w:t xml:space="preserve">empirical </w:t>
      </w:r>
      <w:r w:rsidRPr="00DA194D">
        <w:rPr>
          <w:rFonts w:asciiTheme="minorHAnsi" w:hAnsiTheme="minorHAnsi" w:cstheme="minorHAnsi"/>
          <w:sz w:val="22"/>
          <w:szCs w:val="22"/>
        </w:rPr>
        <w:t>research conducted on DSDAS to date</w:t>
      </w:r>
      <w:r w:rsidR="00D442B9">
        <w:rPr>
          <w:rFonts w:asciiTheme="minorHAnsi" w:hAnsiTheme="minorHAnsi" w:cstheme="minorHAnsi"/>
          <w:sz w:val="22"/>
          <w:szCs w:val="22"/>
        </w:rPr>
        <w:t>,</w:t>
      </w:r>
      <w:r w:rsidR="003B1CEF">
        <w:rPr>
          <w:rFonts w:asciiTheme="minorHAnsi" w:hAnsiTheme="minorHAnsi" w:cstheme="minorHAnsi"/>
          <w:sz w:val="22"/>
          <w:szCs w:val="22"/>
        </w:rPr>
        <w:t xml:space="preserve"> though Grace (2021) offers some comparative insight in his </w:t>
      </w:r>
      <w:r w:rsidR="000F60B6">
        <w:rPr>
          <w:rFonts w:asciiTheme="minorHAnsi" w:hAnsiTheme="minorHAnsi" w:cstheme="minorHAnsi"/>
          <w:sz w:val="22"/>
          <w:szCs w:val="22"/>
        </w:rPr>
        <w:t xml:space="preserve">policy </w:t>
      </w:r>
      <w:r w:rsidR="003B1CEF">
        <w:rPr>
          <w:rFonts w:asciiTheme="minorHAnsi" w:hAnsiTheme="minorHAnsi" w:cstheme="minorHAnsi"/>
          <w:sz w:val="22"/>
          <w:szCs w:val="22"/>
        </w:rPr>
        <w:t>analysis of disclosure schemes</w:t>
      </w:r>
      <w:r w:rsidR="000F60B6">
        <w:rPr>
          <w:rFonts w:asciiTheme="minorHAnsi" w:hAnsiTheme="minorHAnsi" w:cstheme="minorHAnsi"/>
          <w:sz w:val="22"/>
          <w:szCs w:val="22"/>
        </w:rPr>
        <w:t xml:space="preserve"> across the globe</w:t>
      </w:r>
      <w:r w:rsidR="003B1CEF">
        <w:rPr>
          <w:rFonts w:asciiTheme="minorHAnsi" w:hAnsiTheme="minorHAnsi" w:cstheme="minorHAnsi"/>
          <w:sz w:val="22"/>
          <w:szCs w:val="22"/>
        </w:rPr>
        <w:t xml:space="preserve">. </w:t>
      </w:r>
      <w:r w:rsidR="00142049">
        <w:rPr>
          <w:rFonts w:asciiTheme="minorHAnsi" w:hAnsiTheme="minorHAnsi" w:cstheme="minorHAnsi"/>
          <w:sz w:val="22"/>
          <w:szCs w:val="22"/>
        </w:rPr>
        <w:t>As disclosure schemes become increasingly prevalent in common law jurisdictions, they are a</w:t>
      </w:r>
      <w:r w:rsidR="00576660">
        <w:rPr>
          <w:rFonts w:asciiTheme="minorHAnsi" w:hAnsiTheme="minorHAnsi" w:cstheme="minorHAnsi"/>
          <w:sz w:val="22"/>
          <w:szCs w:val="22"/>
        </w:rPr>
        <w:t xml:space="preserve">n emerging </w:t>
      </w:r>
      <w:r w:rsidR="00142049">
        <w:rPr>
          <w:rFonts w:asciiTheme="minorHAnsi" w:hAnsiTheme="minorHAnsi" w:cstheme="minorHAnsi"/>
          <w:sz w:val="22"/>
          <w:szCs w:val="22"/>
        </w:rPr>
        <w:t xml:space="preserve">area of interest for operational, policy and legal analysis (Grace 2021). </w:t>
      </w:r>
      <w:r w:rsidRPr="00DA194D">
        <w:rPr>
          <w:rFonts w:asciiTheme="minorHAnsi" w:hAnsiTheme="minorHAnsi" w:cstheme="minorHAnsi"/>
          <w:sz w:val="22"/>
          <w:szCs w:val="22"/>
        </w:rPr>
        <w:t>Research on</w:t>
      </w:r>
      <w:r w:rsidR="003B1CEF">
        <w:rPr>
          <w:rFonts w:asciiTheme="minorHAnsi" w:hAnsiTheme="minorHAnsi" w:cstheme="minorHAnsi"/>
          <w:sz w:val="22"/>
          <w:szCs w:val="22"/>
        </w:rPr>
        <w:t xml:space="preserve"> schemes i</w:t>
      </w:r>
      <w:r w:rsidR="00FB714E">
        <w:rPr>
          <w:rFonts w:asciiTheme="minorHAnsi" w:hAnsiTheme="minorHAnsi" w:cstheme="minorHAnsi"/>
          <w:sz w:val="22"/>
          <w:szCs w:val="22"/>
        </w:rPr>
        <w:t>n</w:t>
      </w:r>
      <w:r w:rsidR="003B1CEF">
        <w:rPr>
          <w:rFonts w:asciiTheme="minorHAnsi" w:hAnsiTheme="minorHAnsi" w:cstheme="minorHAnsi"/>
          <w:sz w:val="22"/>
          <w:szCs w:val="22"/>
        </w:rPr>
        <w:t xml:space="preserve"> other </w:t>
      </w:r>
      <w:r w:rsidR="000F60B6" w:rsidRPr="00451399">
        <w:rPr>
          <w:rFonts w:asciiTheme="minorHAnsi" w:hAnsiTheme="minorHAnsi" w:cstheme="minorHAnsi"/>
          <w:sz w:val="22"/>
          <w:szCs w:val="22"/>
        </w:rPr>
        <w:t xml:space="preserve">jurisdictions </w:t>
      </w:r>
      <w:r w:rsidR="003B1CEF" w:rsidRPr="00451399">
        <w:rPr>
          <w:rFonts w:asciiTheme="minorHAnsi" w:hAnsiTheme="minorHAnsi" w:cstheme="minorHAnsi"/>
          <w:sz w:val="22"/>
          <w:szCs w:val="22"/>
        </w:rPr>
        <w:t xml:space="preserve">is limited, </w:t>
      </w:r>
      <w:r w:rsidRPr="00451399">
        <w:rPr>
          <w:rFonts w:asciiTheme="minorHAnsi" w:hAnsiTheme="minorHAnsi" w:cstheme="minorHAnsi"/>
          <w:sz w:val="22"/>
          <w:szCs w:val="22"/>
        </w:rPr>
        <w:t>but growing</w:t>
      </w:r>
      <w:r w:rsidR="00142049" w:rsidRPr="00451399">
        <w:rPr>
          <w:rFonts w:asciiTheme="minorHAnsi" w:hAnsiTheme="minorHAnsi" w:cstheme="minorHAnsi"/>
          <w:sz w:val="22"/>
          <w:szCs w:val="22"/>
        </w:rPr>
        <w:t>, and the majority consider the English and Welsh D</w:t>
      </w:r>
      <w:r w:rsidR="000F3D76">
        <w:rPr>
          <w:rFonts w:asciiTheme="minorHAnsi" w:hAnsiTheme="minorHAnsi" w:cstheme="minorHAnsi"/>
          <w:sz w:val="22"/>
          <w:szCs w:val="22"/>
        </w:rPr>
        <w:t xml:space="preserve">omestic </w:t>
      </w:r>
      <w:r w:rsidR="00142049" w:rsidRPr="00451399">
        <w:rPr>
          <w:rFonts w:asciiTheme="minorHAnsi" w:hAnsiTheme="minorHAnsi" w:cstheme="minorHAnsi"/>
          <w:sz w:val="22"/>
          <w:szCs w:val="22"/>
        </w:rPr>
        <w:t>V</w:t>
      </w:r>
      <w:r w:rsidR="000F3D76">
        <w:rPr>
          <w:rFonts w:asciiTheme="minorHAnsi" w:hAnsiTheme="minorHAnsi" w:cstheme="minorHAnsi"/>
          <w:sz w:val="22"/>
          <w:szCs w:val="22"/>
        </w:rPr>
        <w:t xml:space="preserve">iolence </w:t>
      </w:r>
      <w:r w:rsidR="00142049" w:rsidRPr="00451399">
        <w:rPr>
          <w:rFonts w:asciiTheme="minorHAnsi" w:hAnsiTheme="minorHAnsi" w:cstheme="minorHAnsi"/>
          <w:sz w:val="22"/>
          <w:szCs w:val="22"/>
        </w:rPr>
        <w:t>D</w:t>
      </w:r>
      <w:r w:rsidR="000F3D76">
        <w:rPr>
          <w:rFonts w:asciiTheme="minorHAnsi" w:hAnsiTheme="minorHAnsi" w:cstheme="minorHAnsi"/>
          <w:sz w:val="22"/>
          <w:szCs w:val="22"/>
        </w:rPr>
        <w:t xml:space="preserve">isclosure </w:t>
      </w:r>
      <w:r w:rsidR="00142049" w:rsidRPr="00451399">
        <w:rPr>
          <w:rFonts w:asciiTheme="minorHAnsi" w:hAnsiTheme="minorHAnsi" w:cstheme="minorHAnsi"/>
          <w:sz w:val="22"/>
          <w:szCs w:val="22"/>
        </w:rPr>
        <w:t>S</w:t>
      </w:r>
      <w:r w:rsidR="000F3D76">
        <w:rPr>
          <w:rFonts w:asciiTheme="minorHAnsi" w:hAnsiTheme="minorHAnsi" w:cstheme="minorHAnsi"/>
          <w:sz w:val="22"/>
          <w:szCs w:val="22"/>
        </w:rPr>
        <w:t>cheme (DVDS)</w:t>
      </w:r>
      <w:r w:rsidR="00142049" w:rsidRPr="00451399">
        <w:rPr>
          <w:rFonts w:asciiTheme="minorHAnsi" w:hAnsiTheme="minorHAnsi" w:cstheme="minorHAnsi"/>
          <w:sz w:val="22"/>
          <w:szCs w:val="22"/>
        </w:rPr>
        <w:t xml:space="preserve">. </w:t>
      </w:r>
      <w:r w:rsidR="00451399" w:rsidRPr="00451399">
        <w:rPr>
          <w:rFonts w:asciiTheme="minorHAnsi" w:hAnsiTheme="minorHAnsi" w:cstheme="minorHAnsi"/>
          <w:sz w:val="22"/>
          <w:szCs w:val="22"/>
        </w:rPr>
        <w:t>While the DSDAS has notable differences to the DVDS</w:t>
      </w:r>
      <w:r w:rsidR="006E403C">
        <w:rPr>
          <w:rFonts w:asciiTheme="minorHAnsi" w:hAnsiTheme="minorHAnsi" w:cstheme="minorHAnsi"/>
          <w:sz w:val="22"/>
          <w:szCs w:val="22"/>
        </w:rPr>
        <w:t xml:space="preserve"> –</w:t>
      </w:r>
      <w:r w:rsidR="00451399" w:rsidRPr="00451399">
        <w:rPr>
          <w:rFonts w:asciiTheme="minorHAnsi" w:hAnsiTheme="minorHAnsi" w:cstheme="minorHAnsi"/>
          <w:sz w:val="22"/>
          <w:szCs w:val="22"/>
        </w:rPr>
        <w:t xml:space="preserve"> for example in </w:t>
      </w:r>
      <w:r w:rsidR="00E952E5">
        <w:rPr>
          <w:rFonts w:asciiTheme="minorHAnsi" w:hAnsiTheme="minorHAnsi" w:cstheme="minorHAnsi"/>
          <w:sz w:val="22"/>
          <w:szCs w:val="22"/>
        </w:rPr>
        <w:t xml:space="preserve">its </w:t>
      </w:r>
      <w:r w:rsidR="00451399" w:rsidRPr="00451399">
        <w:rPr>
          <w:rFonts w:asciiTheme="minorHAnsi" w:hAnsiTheme="minorHAnsi" w:cstheme="minorHAnsi"/>
          <w:sz w:val="22"/>
          <w:szCs w:val="22"/>
        </w:rPr>
        <w:t>definitions of domestic abuse/violence, and what constitute</w:t>
      </w:r>
      <w:r w:rsidR="006E403C">
        <w:rPr>
          <w:rFonts w:asciiTheme="minorHAnsi" w:hAnsiTheme="minorHAnsi" w:cstheme="minorHAnsi"/>
          <w:sz w:val="22"/>
          <w:szCs w:val="22"/>
        </w:rPr>
        <w:t>s</w:t>
      </w:r>
      <w:r w:rsidR="00451399" w:rsidRPr="00451399">
        <w:rPr>
          <w:rFonts w:asciiTheme="minorHAnsi" w:hAnsiTheme="minorHAnsi" w:cstheme="minorHAnsi"/>
          <w:sz w:val="22"/>
          <w:szCs w:val="22"/>
        </w:rPr>
        <w:t xml:space="preserve"> a relationship</w:t>
      </w:r>
      <w:r w:rsidR="006E403C">
        <w:rPr>
          <w:rFonts w:asciiTheme="minorHAnsi" w:hAnsiTheme="minorHAnsi" w:cstheme="minorHAnsi"/>
          <w:sz w:val="22"/>
          <w:szCs w:val="22"/>
        </w:rPr>
        <w:t xml:space="preserve"> –</w:t>
      </w:r>
      <w:r w:rsidR="00451399" w:rsidRPr="00451399">
        <w:rPr>
          <w:rFonts w:asciiTheme="minorHAnsi" w:hAnsiTheme="minorHAnsi" w:cstheme="minorHAnsi"/>
          <w:sz w:val="22"/>
          <w:szCs w:val="22"/>
        </w:rPr>
        <w:t xml:space="preserve"> the drafting of the Scottish Scheme suggests inspiration was drawn from the DVDS </w:t>
      </w:r>
      <w:r w:rsidR="00222838">
        <w:rPr>
          <w:rFonts w:asciiTheme="minorHAnsi" w:hAnsiTheme="minorHAnsi" w:cstheme="minorHAnsi"/>
          <w:sz w:val="22"/>
          <w:szCs w:val="22"/>
        </w:rPr>
        <w:t xml:space="preserve">– </w:t>
      </w:r>
      <w:r w:rsidR="00451399" w:rsidRPr="00451399">
        <w:rPr>
          <w:rFonts w:asciiTheme="minorHAnsi" w:hAnsiTheme="minorHAnsi" w:cstheme="minorHAnsi"/>
          <w:sz w:val="22"/>
          <w:szCs w:val="22"/>
        </w:rPr>
        <w:t xml:space="preserve">or </w:t>
      </w:r>
      <w:r w:rsidR="002F31A9">
        <w:rPr>
          <w:rFonts w:asciiTheme="minorHAnsi" w:hAnsiTheme="minorHAnsi" w:cstheme="minorHAnsi"/>
          <w:sz w:val="22"/>
          <w:szCs w:val="22"/>
        </w:rPr>
        <w:t>“</w:t>
      </w:r>
      <w:r w:rsidR="00451399" w:rsidRPr="00451399">
        <w:rPr>
          <w:rFonts w:asciiTheme="minorHAnsi" w:hAnsiTheme="minorHAnsi" w:cstheme="minorHAnsi"/>
          <w:sz w:val="22"/>
          <w:szCs w:val="22"/>
        </w:rPr>
        <w:t>Clare’s Law</w:t>
      </w:r>
      <w:r w:rsidR="002F31A9">
        <w:rPr>
          <w:rFonts w:asciiTheme="minorHAnsi" w:hAnsiTheme="minorHAnsi" w:cstheme="minorHAnsi"/>
          <w:sz w:val="22"/>
          <w:szCs w:val="22"/>
        </w:rPr>
        <w:t>”</w:t>
      </w:r>
      <w:r w:rsidR="00451399" w:rsidRPr="00451399">
        <w:rPr>
          <w:rFonts w:asciiTheme="minorHAnsi" w:hAnsiTheme="minorHAnsi" w:cstheme="minorHAnsi"/>
          <w:sz w:val="22"/>
          <w:szCs w:val="22"/>
        </w:rPr>
        <w:t xml:space="preserve"> as it is </w:t>
      </w:r>
      <w:r w:rsidR="00E952E5">
        <w:rPr>
          <w:rFonts w:asciiTheme="minorHAnsi" w:hAnsiTheme="minorHAnsi" w:cstheme="minorHAnsi"/>
          <w:sz w:val="22"/>
          <w:szCs w:val="22"/>
        </w:rPr>
        <w:t xml:space="preserve">often </w:t>
      </w:r>
      <w:r w:rsidR="00451399" w:rsidRPr="00451399">
        <w:rPr>
          <w:rFonts w:asciiTheme="minorHAnsi" w:hAnsiTheme="minorHAnsi" w:cstheme="minorHAnsi"/>
          <w:sz w:val="22"/>
          <w:szCs w:val="22"/>
        </w:rPr>
        <w:t xml:space="preserve">colloquially </w:t>
      </w:r>
      <w:r w:rsidR="00E952E5">
        <w:rPr>
          <w:rFonts w:asciiTheme="minorHAnsi" w:hAnsiTheme="minorHAnsi" w:cstheme="minorHAnsi"/>
          <w:sz w:val="22"/>
          <w:szCs w:val="22"/>
        </w:rPr>
        <w:t>described</w:t>
      </w:r>
      <w:r w:rsidR="00451399" w:rsidRPr="00451399">
        <w:rPr>
          <w:rFonts w:asciiTheme="minorHAnsi" w:hAnsiTheme="minorHAnsi" w:cstheme="minorHAnsi"/>
          <w:sz w:val="22"/>
          <w:szCs w:val="22"/>
        </w:rPr>
        <w:t>.</w:t>
      </w:r>
    </w:p>
    <w:p w14:paraId="1309AEAD" w14:textId="71A9EC61" w:rsidR="00B5548A" w:rsidRDefault="00144B05" w:rsidP="00425759">
      <w:pPr>
        <w:pStyle w:val="NormalWeb"/>
        <w:spacing w:before="0" w:beforeAutospacing="0" w:after="160" w:afterAutospacing="0" w:line="360" w:lineRule="auto"/>
        <w:jc w:val="both"/>
        <w:rPr>
          <w:rFonts w:asciiTheme="minorHAnsi" w:hAnsiTheme="minorHAnsi" w:cstheme="minorHAnsi"/>
          <w:sz w:val="22"/>
          <w:szCs w:val="22"/>
        </w:rPr>
      </w:pPr>
      <w:r>
        <w:rPr>
          <w:rFonts w:asciiTheme="minorHAnsi" w:hAnsiTheme="minorHAnsi" w:cstheme="minorHAnsi"/>
          <w:sz w:val="22"/>
          <w:szCs w:val="22"/>
        </w:rPr>
        <w:t xml:space="preserve">The small body of work on DVDS offers some insight into its operation. </w:t>
      </w:r>
      <w:r w:rsidR="00B5548A" w:rsidRPr="00451399">
        <w:rPr>
          <w:rFonts w:asciiTheme="minorHAnsi" w:hAnsiTheme="minorHAnsi" w:cstheme="minorHAnsi"/>
          <w:sz w:val="22"/>
          <w:szCs w:val="22"/>
        </w:rPr>
        <w:t>Grace (2015) has examined the contested legalities of criminality information sharing with</w:t>
      </w:r>
      <w:r w:rsidR="00142049" w:rsidRPr="00451399">
        <w:rPr>
          <w:rFonts w:asciiTheme="minorHAnsi" w:hAnsiTheme="minorHAnsi" w:cstheme="minorHAnsi"/>
          <w:sz w:val="22"/>
          <w:szCs w:val="22"/>
        </w:rPr>
        <w:t>in</w:t>
      </w:r>
      <w:r w:rsidR="00B5548A" w:rsidRPr="00451399">
        <w:rPr>
          <w:rFonts w:asciiTheme="minorHAnsi" w:hAnsiTheme="minorHAnsi" w:cstheme="minorHAnsi"/>
          <w:sz w:val="22"/>
          <w:szCs w:val="22"/>
        </w:rPr>
        <w:t xml:space="preserve"> DVDS, and Duggan’s (2018) work has considered victim hierarchies within the scheme. In addition, Fitz</w:t>
      </w:r>
      <w:r w:rsidR="00B30AE1">
        <w:rPr>
          <w:rFonts w:asciiTheme="minorHAnsi" w:hAnsiTheme="minorHAnsi" w:cstheme="minorHAnsi"/>
          <w:sz w:val="22"/>
          <w:szCs w:val="22"/>
        </w:rPr>
        <w:t>-G</w:t>
      </w:r>
      <w:r w:rsidR="00B5548A" w:rsidRPr="00451399">
        <w:rPr>
          <w:rFonts w:asciiTheme="minorHAnsi" w:hAnsiTheme="minorHAnsi" w:cstheme="minorHAnsi"/>
          <w:sz w:val="22"/>
          <w:szCs w:val="22"/>
        </w:rPr>
        <w:t>ibbon</w:t>
      </w:r>
      <w:r w:rsidR="00B5548A" w:rsidRPr="00DA194D">
        <w:rPr>
          <w:rFonts w:asciiTheme="minorHAnsi" w:hAnsiTheme="minorHAnsi" w:cstheme="minorHAnsi"/>
          <w:sz w:val="22"/>
          <w:szCs w:val="22"/>
        </w:rPr>
        <w:t xml:space="preserve"> and Walklate (2017) have examined the efficacy of the DVDS scheme as an aspect of law reform</w:t>
      </w:r>
      <w:r w:rsidR="00BD06D2">
        <w:rPr>
          <w:rFonts w:asciiTheme="minorHAnsi" w:hAnsiTheme="minorHAnsi" w:cstheme="minorHAnsi"/>
          <w:sz w:val="22"/>
          <w:szCs w:val="22"/>
        </w:rPr>
        <w:t xml:space="preserve"> and </w:t>
      </w:r>
      <w:proofErr w:type="spellStart"/>
      <w:r w:rsidR="00BD06D2">
        <w:rPr>
          <w:rFonts w:asciiTheme="minorHAnsi" w:hAnsiTheme="minorHAnsi" w:cstheme="minorHAnsi"/>
          <w:sz w:val="22"/>
          <w:szCs w:val="22"/>
        </w:rPr>
        <w:t>Hadjimatheou</w:t>
      </w:r>
      <w:proofErr w:type="spellEnd"/>
      <w:r w:rsidR="00BD06D2">
        <w:rPr>
          <w:rFonts w:asciiTheme="minorHAnsi" w:hAnsiTheme="minorHAnsi" w:cstheme="minorHAnsi"/>
          <w:sz w:val="22"/>
          <w:szCs w:val="22"/>
        </w:rPr>
        <w:t xml:space="preserve"> and Grace (202</w:t>
      </w:r>
      <w:r w:rsidR="00391F02">
        <w:rPr>
          <w:rFonts w:asciiTheme="minorHAnsi" w:hAnsiTheme="minorHAnsi" w:cstheme="minorHAnsi"/>
          <w:sz w:val="22"/>
          <w:szCs w:val="22"/>
        </w:rPr>
        <w:t>0</w:t>
      </w:r>
      <w:r w:rsidR="00BD06D2">
        <w:rPr>
          <w:rFonts w:asciiTheme="minorHAnsi" w:hAnsiTheme="minorHAnsi" w:cstheme="minorHAnsi"/>
          <w:sz w:val="22"/>
          <w:szCs w:val="22"/>
        </w:rPr>
        <w:t>) offer insight into police officer decision making within the DVDS</w:t>
      </w:r>
      <w:r w:rsidR="00B5548A" w:rsidRPr="00DA194D">
        <w:rPr>
          <w:rFonts w:asciiTheme="minorHAnsi" w:hAnsiTheme="minorHAnsi" w:cstheme="minorHAnsi"/>
          <w:sz w:val="22"/>
          <w:szCs w:val="22"/>
        </w:rPr>
        <w:t xml:space="preserve">. More recently Grace </w:t>
      </w:r>
      <w:r w:rsidR="00142049">
        <w:rPr>
          <w:rFonts w:asciiTheme="minorHAnsi" w:hAnsiTheme="minorHAnsi" w:cstheme="minorHAnsi"/>
          <w:sz w:val="22"/>
          <w:szCs w:val="22"/>
        </w:rPr>
        <w:t>(2021) has provided an analysis of disclosure schemes that</w:t>
      </w:r>
      <w:r w:rsidR="003F6853">
        <w:rPr>
          <w:rFonts w:asciiTheme="minorHAnsi" w:hAnsiTheme="minorHAnsi" w:cstheme="minorHAnsi"/>
          <w:sz w:val="22"/>
          <w:szCs w:val="22"/>
        </w:rPr>
        <w:t xml:space="preserve"> considers their legal coherence, capacity to address victim vulnerability and regulatory responsibilities for preventing domestic abuse/violence</w:t>
      </w:r>
      <w:r w:rsidR="00B5548A" w:rsidRPr="00DA194D">
        <w:rPr>
          <w:rFonts w:asciiTheme="minorHAnsi" w:hAnsiTheme="minorHAnsi" w:cstheme="minorHAnsi"/>
          <w:sz w:val="22"/>
          <w:szCs w:val="22"/>
        </w:rPr>
        <w:t xml:space="preserve">. </w:t>
      </w:r>
      <w:r w:rsidR="00142049">
        <w:rPr>
          <w:rFonts w:asciiTheme="minorHAnsi" w:hAnsiTheme="minorHAnsi" w:cstheme="minorHAnsi"/>
          <w:sz w:val="22"/>
          <w:szCs w:val="22"/>
        </w:rPr>
        <w:t xml:space="preserve">A range of criticisms have been levelled at </w:t>
      </w:r>
      <w:r w:rsidR="002D10AF">
        <w:rPr>
          <w:rFonts w:asciiTheme="minorHAnsi" w:hAnsiTheme="minorHAnsi" w:cstheme="minorHAnsi"/>
          <w:sz w:val="22"/>
          <w:szCs w:val="22"/>
        </w:rPr>
        <w:t xml:space="preserve">disclosure schemes </w:t>
      </w:r>
      <w:r w:rsidR="00E053F1">
        <w:rPr>
          <w:rFonts w:asciiTheme="minorHAnsi" w:hAnsiTheme="minorHAnsi" w:cstheme="minorHAnsi"/>
          <w:sz w:val="22"/>
          <w:szCs w:val="22"/>
        </w:rPr>
        <w:t xml:space="preserve">in general </w:t>
      </w:r>
      <w:r w:rsidR="002D10AF">
        <w:rPr>
          <w:rFonts w:asciiTheme="minorHAnsi" w:hAnsiTheme="minorHAnsi" w:cstheme="minorHAnsi"/>
          <w:sz w:val="22"/>
          <w:szCs w:val="22"/>
        </w:rPr>
        <w:t>and the DVDS in particular</w:t>
      </w:r>
      <w:r w:rsidR="00142049">
        <w:rPr>
          <w:rFonts w:asciiTheme="minorHAnsi" w:hAnsiTheme="minorHAnsi" w:cstheme="minorHAnsi"/>
          <w:sz w:val="22"/>
          <w:szCs w:val="22"/>
        </w:rPr>
        <w:t xml:space="preserve">, questioning </w:t>
      </w:r>
      <w:r w:rsidR="003F6853">
        <w:rPr>
          <w:rFonts w:asciiTheme="minorHAnsi" w:hAnsiTheme="minorHAnsi" w:cstheme="minorHAnsi"/>
          <w:sz w:val="22"/>
          <w:szCs w:val="22"/>
        </w:rPr>
        <w:t>the extent to which</w:t>
      </w:r>
      <w:r w:rsidR="002D10AF">
        <w:rPr>
          <w:rFonts w:asciiTheme="minorHAnsi" w:hAnsiTheme="minorHAnsi" w:cstheme="minorHAnsi"/>
          <w:sz w:val="22"/>
          <w:szCs w:val="22"/>
        </w:rPr>
        <w:t xml:space="preserve"> disclosure schemes offer any</w:t>
      </w:r>
      <w:r w:rsidR="00142049">
        <w:rPr>
          <w:rFonts w:asciiTheme="minorHAnsi" w:hAnsiTheme="minorHAnsi" w:cstheme="minorHAnsi"/>
          <w:sz w:val="22"/>
          <w:szCs w:val="22"/>
        </w:rPr>
        <w:t xml:space="preserve"> possibility for safeguarding </w:t>
      </w:r>
      <w:r w:rsidR="002D10AF">
        <w:rPr>
          <w:rFonts w:asciiTheme="minorHAnsi" w:hAnsiTheme="minorHAnsi" w:cstheme="minorHAnsi"/>
          <w:sz w:val="22"/>
          <w:szCs w:val="22"/>
        </w:rPr>
        <w:t xml:space="preserve">or </w:t>
      </w:r>
      <w:r w:rsidR="00142049">
        <w:rPr>
          <w:rFonts w:asciiTheme="minorHAnsi" w:hAnsiTheme="minorHAnsi" w:cstheme="minorHAnsi"/>
          <w:sz w:val="22"/>
          <w:szCs w:val="22"/>
        </w:rPr>
        <w:t>the prevention of domestic abuse (see Fitz</w:t>
      </w:r>
      <w:r w:rsidR="00B30AE1">
        <w:rPr>
          <w:rFonts w:asciiTheme="minorHAnsi" w:hAnsiTheme="minorHAnsi" w:cstheme="minorHAnsi"/>
          <w:sz w:val="22"/>
          <w:szCs w:val="22"/>
        </w:rPr>
        <w:t>-G</w:t>
      </w:r>
      <w:r w:rsidR="00142049">
        <w:rPr>
          <w:rFonts w:asciiTheme="minorHAnsi" w:hAnsiTheme="minorHAnsi" w:cstheme="minorHAnsi"/>
          <w:sz w:val="22"/>
          <w:szCs w:val="22"/>
        </w:rPr>
        <w:t xml:space="preserve">ibbon &amp; Walklate 2017; Grace 2021; </w:t>
      </w:r>
      <w:proofErr w:type="spellStart"/>
      <w:r w:rsidR="00142049">
        <w:rPr>
          <w:rFonts w:asciiTheme="minorHAnsi" w:hAnsiTheme="minorHAnsi" w:cstheme="minorHAnsi"/>
          <w:sz w:val="22"/>
          <w:szCs w:val="22"/>
        </w:rPr>
        <w:t>Hadjimatheou</w:t>
      </w:r>
      <w:proofErr w:type="spellEnd"/>
      <w:r w:rsidR="00142049">
        <w:rPr>
          <w:rFonts w:asciiTheme="minorHAnsi" w:hAnsiTheme="minorHAnsi" w:cstheme="minorHAnsi"/>
          <w:sz w:val="22"/>
          <w:szCs w:val="22"/>
        </w:rPr>
        <w:t xml:space="preserve"> &amp; Grace 202</w:t>
      </w:r>
      <w:r w:rsidR="0050302E">
        <w:rPr>
          <w:rFonts w:asciiTheme="minorHAnsi" w:hAnsiTheme="minorHAnsi" w:cstheme="minorHAnsi"/>
          <w:sz w:val="22"/>
          <w:szCs w:val="22"/>
        </w:rPr>
        <w:t>0</w:t>
      </w:r>
      <w:r w:rsidR="00142049">
        <w:rPr>
          <w:rFonts w:asciiTheme="minorHAnsi" w:hAnsiTheme="minorHAnsi" w:cstheme="minorHAnsi"/>
          <w:sz w:val="22"/>
          <w:szCs w:val="22"/>
        </w:rPr>
        <w:t>).</w:t>
      </w:r>
    </w:p>
    <w:p w14:paraId="73457E8E" w14:textId="64D13A29" w:rsidR="001B0A4E" w:rsidRDefault="00B5548A" w:rsidP="00425759">
      <w:pPr>
        <w:pStyle w:val="NormalWeb"/>
        <w:spacing w:before="0" w:beforeAutospacing="0" w:after="160" w:afterAutospacing="0" w:line="360" w:lineRule="auto"/>
        <w:jc w:val="both"/>
        <w:rPr>
          <w:rFonts w:asciiTheme="minorHAnsi" w:hAnsiTheme="minorHAnsi" w:cstheme="minorHAnsi"/>
          <w:color w:val="FF0000"/>
          <w:sz w:val="22"/>
          <w:szCs w:val="22"/>
        </w:rPr>
      </w:pPr>
      <w:r w:rsidRPr="00DA194D">
        <w:rPr>
          <w:rFonts w:asciiTheme="minorHAnsi" w:hAnsiTheme="minorHAnsi" w:cstheme="minorHAnsi"/>
          <w:sz w:val="22"/>
          <w:szCs w:val="22"/>
        </w:rPr>
        <w:t xml:space="preserve">The Scottish scheme has been less well interrogated in </w:t>
      </w:r>
      <w:r w:rsidR="00B94856">
        <w:rPr>
          <w:rFonts w:asciiTheme="minorHAnsi" w:hAnsiTheme="minorHAnsi" w:cstheme="minorHAnsi"/>
          <w:sz w:val="22"/>
          <w:szCs w:val="22"/>
        </w:rPr>
        <w:t>every respect:</w:t>
      </w:r>
      <w:r w:rsidRPr="00DA194D">
        <w:rPr>
          <w:rFonts w:asciiTheme="minorHAnsi" w:hAnsiTheme="minorHAnsi" w:cstheme="minorHAnsi"/>
          <w:sz w:val="22"/>
          <w:szCs w:val="22"/>
        </w:rPr>
        <w:t xml:space="preserve"> </w:t>
      </w:r>
      <w:r w:rsidR="0045032D">
        <w:rPr>
          <w:rFonts w:asciiTheme="minorHAnsi" w:hAnsiTheme="minorHAnsi" w:cstheme="minorHAnsi"/>
          <w:sz w:val="22"/>
          <w:szCs w:val="22"/>
        </w:rPr>
        <w:t xml:space="preserve">its efficacy, </w:t>
      </w:r>
      <w:r w:rsidR="00142049">
        <w:rPr>
          <w:rFonts w:asciiTheme="minorHAnsi" w:hAnsiTheme="minorHAnsi" w:cstheme="minorHAnsi"/>
          <w:sz w:val="22"/>
          <w:szCs w:val="22"/>
        </w:rPr>
        <w:t xml:space="preserve">how it is justified in law, </w:t>
      </w:r>
      <w:r w:rsidR="00F264A3">
        <w:rPr>
          <w:rFonts w:asciiTheme="minorHAnsi" w:hAnsiTheme="minorHAnsi" w:cstheme="minorHAnsi"/>
          <w:sz w:val="22"/>
          <w:szCs w:val="22"/>
        </w:rPr>
        <w:t xml:space="preserve">how it is framed, </w:t>
      </w:r>
      <w:r w:rsidR="001C62EA">
        <w:rPr>
          <w:rFonts w:asciiTheme="minorHAnsi" w:hAnsiTheme="minorHAnsi" w:cstheme="minorHAnsi"/>
          <w:sz w:val="22"/>
          <w:szCs w:val="22"/>
        </w:rPr>
        <w:t xml:space="preserve">its inclusion and exclusion criteria in defining relationships and domestic abuse, </w:t>
      </w:r>
      <w:r w:rsidRPr="00DA194D">
        <w:rPr>
          <w:rFonts w:asciiTheme="minorHAnsi" w:hAnsiTheme="minorHAnsi" w:cstheme="minorHAnsi"/>
          <w:sz w:val="22"/>
          <w:szCs w:val="22"/>
        </w:rPr>
        <w:t>how it operates</w:t>
      </w:r>
      <w:r w:rsidR="00F264A3">
        <w:rPr>
          <w:rFonts w:asciiTheme="minorHAnsi" w:hAnsiTheme="minorHAnsi" w:cstheme="minorHAnsi"/>
          <w:sz w:val="22"/>
          <w:szCs w:val="22"/>
        </w:rPr>
        <w:t xml:space="preserve"> in practice</w:t>
      </w:r>
      <w:r w:rsidR="00ED0FD6">
        <w:rPr>
          <w:rFonts w:asciiTheme="minorHAnsi" w:hAnsiTheme="minorHAnsi" w:cstheme="minorHAnsi"/>
          <w:sz w:val="22"/>
          <w:szCs w:val="22"/>
        </w:rPr>
        <w:t>, how national level policy is implemented at the local level</w:t>
      </w:r>
      <w:r w:rsidR="006E4680">
        <w:rPr>
          <w:rFonts w:asciiTheme="minorHAnsi" w:hAnsiTheme="minorHAnsi" w:cstheme="minorHAnsi"/>
          <w:sz w:val="22"/>
          <w:szCs w:val="22"/>
        </w:rPr>
        <w:t xml:space="preserve"> –</w:t>
      </w:r>
      <w:r w:rsidRPr="00DA194D">
        <w:rPr>
          <w:rFonts w:asciiTheme="minorHAnsi" w:hAnsiTheme="minorHAnsi" w:cstheme="minorHAnsi"/>
          <w:sz w:val="22"/>
          <w:szCs w:val="22"/>
        </w:rPr>
        <w:t xml:space="preserve"> </w:t>
      </w:r>
      <w:r w:rsidR="0045032D">
        <w:rPr>
          <w:rFonts w:asciiTheme="minorHAnsi" w:hAnsiTheme="minorHAnsi" w:cstheme="minorHAnsi"/>
          <w:sz w:val="22"/>
          <w:szCs w:val="22"/>
        </w:rPr>
        <w:t xml:space="preserve">and </w:t>
      </w:r>
      <w:r w:rsidRPr="00DA194D">
        <w:rPr>
          <w:rFonts w:asciiTheme="minorHAnsi" w:hAnsiTheme="minorHAnsi" w:cstheme="minorHAnsi"/>
          <w:sz w:val="22"/>
          <w:szCs w:val="22"/>
        </w:rPr>
        <w:t>how it is experienced by those who make applications, those who process them, and those who receive disclosu</w:t>
      </w:r>
      <w:r w:rsidRPr="0009619C">
        <w:rPr>
          <w:rFonts w:asciiTheme="minorHAnsi" w:hAnsiTheme="minorHAnsi" w:cstheme="minorHAnsi"/>
          <w:sz w:val="22"/>
          <w:szCs w:val="22"/>
        </w:rPr>
        <w:t>res</w:t>
      </w:r>
      <w:r w:rsidR="0009619C" w:rsidRPr="0009619C">
        <w:rPr>
          <w:rFonts w:asciiTheme="minorHAnsi" w:hAnsiTheme="minorHAnsi" w:cstheme="minorHAnsi"/>
          <w:sz w:val="22"/>
          <w:szCs w:val="22"/>
        </w:rPr>
        <w:t xml:space="preserve">. </w:t>
      </w:r>
      <w:r w:rsidR="008F50B2">
        <w:rPr>
          <w:rFonts w:asciiTheme="minorHAnsi" w:hAnsiTheme="minorHAnsi" w:cstheme="minorHAnsi"/>
          <w:sz w:val="22"/>
          <w:szCs w:val="22"/>
        </w:rPr>
        <w:t xml:space="preserve">This paper </w:t>
      </w:r>
      <w:r w:rsidR="00ED0FD6">
        <w:rPr>
          <w:rFonts w:asciiTheme="minorHAnsi" w:hAnsiTheme="minorHAnsi" w:cstheme="minorHAnsi"/>
          <w:sz w:val="22"/>
          <w:szCs w:val="22"/>
        </w:rPr>
        <w:t xml:space="preserve">presents findings from a Scottish Institute for Policing Research (SIPR) funded study that seeks to address these research gaps in relation to DSDAS. Specifically, this paper </w:t>
      </w:r>
      <w:r w:rsidR="008F50B2">
        <w:rPr>
          <w:rFonts w:asciiTheme="minorHAnsi" w:hAnsiTheme="minorHAnsi" w:cstheme="minorHAnsi"/>
          <w:sz w:val="22"/>
          <w:szCs w:val="22"/>
        </w:rPr>
        <w:t xml:space="preserve">addresses </w:t>
      </w:r>
      <w:r w:rsidR="00B64944">
        <w:rPr>
          <w:rFonts w:asciiTheme="minorHAnsi" w:hAnsiTheme="minorHAnsi" w:cstheme="minorHAnsi"/>
          <w:sz w:val="22"/>
          <w:szCs w:val="22"/>
        </w:rPr>
        <w:t>four</w:t>
      </w:r>
      <w:r w:rsidR="008F50B2">
        <w:rPr>
          <w:rFonts w:asciiTheme="minorHAnsi" w:hAnsiTheme="minorHAnsi" w:cstheme="minorHAnsi"/>
          <w:sz w:val="22"/>
          <w:szCs w:val="22"/>
        </w:rPr>
        <w:t xml:space="preserve"> of these</w:t>
      </w:r>
      <w:r w:rsidR="001C62EA">
        <w:rPr>
          <w:rFonts w:asciiTheme="minorHAnsi" w:hAnsiTheme="minorHAnsi" w:cstheme="minorHAnsi"/>
          <w:sz w:val="22"/>
          <w:szCs w:val="22"/>
        </w:rPr>
        <w:t xml:space="preserve"> </w:t>
      </w:r>
      <w:r w:rsidR="00ED0FD6">
        <w:rPr>
          <w:rFonts w:asciiTheme="minorHAnsi" w:hAnsiTheme="minorHAnsi" w:cstheme="minorHAnsi"/>
          <w:sz w:val="22"/>
          <w:szCs w:val="22"/>
        </w:rPr>
        <w:t>issues</w:t>
      </w:r>
      <w:r w:rsidR="00A17349">
        <w:rPr>
          <w:rFonts w:asciiTheme="minorHAnsi" w:hAnsiTheme="minorHAnsi" w:cstheme="minorHAnsi"/>
          <w:sz w:val="22"/>
          <w:szCs w:val="22"/>
        </w:rPr>
        <w:t xml:space="preserve">, examining </w:t>
      </w:r>
      <w:r w:rsidR="00B64944">
        <w:rPr>
          <w:rFonts w:asciiTheme="minorHAnsi" w:hAnsiTheme="minorHAnsi" w:cstheme="minorHAnsi"/>
          <w:sz w:val="22"/>
          <w:szCs w:val="22"/>
        </w:rPr>
        <w:t xml:space="preserve">accessibility of </w:t>
      </w:r>
      <w:r w:rsidR="00B94856" w:rsidRPr="0009619C">
        <w:rPr>
          <w:rFonts w:asciiTheme="minorHAnsi" w:hAnsiTheme="minorHAnsi" w:cstheme="minorHAnsi"/>
          <w:sz w:val="22"/>
          <w:szCs w:val="22"/>
        </w:rPr>
        <w:t xml:space="preserve">the Scottish disclosure scheme, </w:t>
      </w:r>
      <w:r w:rsidR="00B64944">
        <w:rPr>
          <w:rFonts w:asciiTheme="minorHAnsi" w:hAnsiTheme="minorHAnsi" w:cstheme="minorHAnsi"/>
          <w:sz w:val="22"/>
          <w:szCs w:val="22"/>
        </w:rPr>
        <w:t>its legal basis</w:t>
      </w:r>
      <w:r w:rsidR="00684A0E">
        <w:rPr>
          <w:rFonts w:asciiTheme="minorHAnsi" w:hAnsiTheme="minorHAnsi" w:cstheme="minorHAnsi"/>
          <w:sz w:val="22"/>
          <w:szCs w:val="22"/>
        </w:rPr>
        <w:t xml:space="preserve">, </w:t>
      </w:r>
      <w:r w:rsidR="00B94856" w:rsidRPr="0009619C">
        <w:rPr>
          <w:rFonts w:asciiTheme="minorHAnsi" w:hAnsiTheme="minorHAnsi" w:cstheme="minorHAnsi"/>
          <w:sz w:val="22"/>
          <w:szCs w:val="22"/>
        </w:rPr>
        <w:t xml:space="preserve">and two </w:t>
      </w:r>
      <w:r w:rsidR="00B94856" w:rsidRPr="0009619C">
        <w:rPr>
          <w:rFonts w:asciiTheme="minorHAnsi" w:hAnsiTheme="minorHAnsi" w:cstheme="minorHAnsi"/>
          <w:sz w:val="22"/>
          <w:szCs w:val="22"/>
        </w:rPr>
        <w:lastRenderedPageBreak/>
        <w:t>critical design</w:t>
      </w:r>
      <w:r w:rsidR="00365932">
        <w:rPr>
          <w:rFonts w:asciiTheme="minorHAnsi" w:hAnsiTheme="minorHAnsi" w:cstheme="minorHAnsi"/>
          <w:sz w:val="22"/>
          <w:szCs w:val="22"/>
        </w:rPr>
        <w:t xml:space="preserve"> </w:t>
      </w:r>
      <w:r w:rsidR="00B94856" w:rsidRPr="0009619C">
        <w:rPr>
          <w:rFonts w:asciiTheme="minorHAnsi" w:hAnsiTheme="minorHAnsi" w:cstheme="minorHAnsi"/>
          <w:sz w:val="22"/>
          <w:szCs w:val="22"/>
        </w:rPr>
        <w:t xml:space="preserve">features of </w:t>
      </w:r>
      <w:r w:rsidR="00A17349">
        <w:rPr>
          <w:rFonts w:asciiTheme="minorHAnsi" w:hAnsiTheme="minorHAnsi" w:cstheme="minorHAnsi"/>
          <w:sz w:val="22"/>
          <w:szCs w:val="22"/>
        </w:rPr>
        <w:t>DSDAS</w:t>
      </w:r>
      <w:r w:rsidR="0045032D" w:rsidRPr="0009619C">
        <w:rPr>
          <w:rFonts w:asciiTheme="minorHAnsi" w:hAnsiTheme="minorHAnsi" w:cstheme="minorHAnsi"/>
          <w:sz w:val="22"/>
          <w:szCs w:val="22"/>
        </w:rPr>
        <w:t>:</w:t>
      </w:r>
      <w:r w:rsidR="00B94856" w:rsidRPr="0009619C">
        <w:rPr>
          <w:rFonts w:asciiTheme="minorHAnsi" w:hAnsiTheme="minorHAnsi" w:cstheme="minorHAnsi"/>
          <w:sz w:val="22"/>
          <w:szCs w:val="22"/>
        </w:rPr>
        <w:t xml:space="preserve"> </w:t>
      </w:r>
      <w:r w:rsidR="0045032D" w:rsidRPr="0009619C">
        <w:rPr>
          <w:rFonts w:asciiTheme="minorHAnsi" w:hAnsiTheme="minorHAnsi" w:cstheme="minorHAnsi"/>
          <w:sz w:val="22"/>
          <w:szCs w:val="22"/>
        </w:rPr>
        <w:t>its definition</w:t>
      </w:r>
      <w:r w:rsidR="00B94856" w:rsidRPr="0009619C">
        <w:rPr>
          <w:rFonts w:asciiTheme="minorHAnsi" w:hAnsiTheme="minorHAnsi" w:cstheme="minorHAnsi"/>
          <w:sz w:val="22"/>
          <w:szCs w:val="22"/>
        </w:rPr>
        <w:t xml:space="preserve"> of </w:t>
      </w:r>
      <w:r w:rsidR="0045032D" w:rsidRPr="0009619C">
        <w:rPr>
          <w:rFonts w:asciiTheme="minorHAnsi" w:hAnsiTheme="minorHAnsi" w:cstheme="minorHAnsi"/>
          <w:sz w:val="22"/>
          <w:szCs w:val="22"/>
        </w:rPr>
        <w:t>“</w:t>
      </w:r>
      <w:r w:rsidR="00B94856" w:rsidRPr="0009619C">
        <w:rPr>
          <w:rFonts w:asciiTheme="minorHAnsi" w:hAnsiTheme="minorHAnsi" w:cstheme="minorHAnsi"/>
          <w:sz w:val="22"/>
          <w:szCs w:val="22"/>
        </w:rPr>
        <w:t>domestic abuse</w:t>
      </w:r>
      <w:r w:rsidR="0045032D" w:rsidRPr="0009619C">
        <w:rPr>
          <w:rFonts w:asciiTheme="minorHAnsi" w:hAnsiTheme="minorHAnsi" w:cstheme="minorHAnsi"/>
          <w:sz w:val="22"/>
          <w:szCs w:val="22"/>
        </w:rPr>
        <w:t>”</w:t>
      </w:r>
      <w:r w:rsidR="00B94856" w:rsidRPr="0009619C">
        <w:rPr>
          <w:rFonts w:asciiTheme="minorHAnsi" w:hAnsiTheme="minorHAnsi" w:cstheme="minorHAnsi"/>
          <w:sz w:val="22"/>
          <w:szCs w:val="22"/>
        </w:rPr>
        <w:t xml:space="preserve"> and </w:t>
      </w:r>
      <w:r w:rsidR="0045032D" w:rsidRPr="0009619C">
        <w:rPr>
          <w:rFonts w:asciiTheme="minorHAnsi" w:hAnsiTheme="minorHAnsi" w:cstheme="minorHAnsi"/>
          <w:sz w:val="22"/>
          <w:szCs w:val="22"/>
        </w:rPr>
        <w:t>approach to</w:t>
      </w:r>
      <w:r w:rsidR="00B94856" w:rsidRPr="0009619C">
        <w:rPr>
          <w:rFonts w:asciiTheme="minorHAnsi" w:hAnsiTheme="minorHAnsi" w:cstheme="minorHAnsi"/>
          <w:sz w:val="22"/>
          <w:szCs w:val="22"/>
        </w:rPr>
        <w:t xml:space="preserve"> qualifying relationships</w:t>
      </w:r>
      <w:r w:rsidR="0045032D" w:rsidRPr="0009619C">
        <w:rPr>
          <w:rFonts w:asciiTheme="minorHAnsi" w:hAnsiTheme="minorHAnsi" w:cstheme="minorHAnsi"/>
          <w:sz w:val="22"/>
          <w:szCs w:val="22"/>
        </w:rPr>
        <w:t xml:space="preserve"> </w:t>
      </w:r>
      <w:r w:rsidR="00A17349">
        <w:rPr>
          <w:rFonts w:asciiTheme="minorHAnsi" w:hAnsiTheme="minorHAnsi" w:cstheme="minorHAnsi"/>
          <w:sz w:val="22"/>
          <w:szCs w:val="22"/>
        </w:rPr>
        <w:t>for</w:t>
      </w:r>
      <w:r w:rsidR="0045032D" w:rsidRPr="0009619C">
        <w:rPr>
          <w:rFonts w:asciiTheme="minorHAnsi" w:hAnsiTheme="minorHAnsi" w:cstheme="minorHAnsi"/>
          <w:sz w:val="22"/>
          <w:szCs w:val="22"/>
        </w:rPr>
        <w:t xml:space="preserve"> disclosures </w:t>
      </w:r>
      <w:r w:rsidR="00A17349">
        <w:rPr>
          <w:rFonts w:asciiTheme="minorHAnsi" w:hAnsiTheme="minorHAnsi" w:cstheme="minorHAnsi"/>
          <w:sz w:val="22"/>
          <w:szCs w:val="22"/>
        </w:rPr>
        <w:t>to</w:t>
      </w:r>
      <w:r w:rsidR="0045032D" w:rsidRPr="0009619C">
        <w:rPr>
          <w:rFonts w:asciiTheme="minorHAnsi" w:hAnsiTheme="minorHAnsi" w:cstheme="minorHAnsi"/>
          <w:sz w:val="22"/>
          <w:szCs w:val="22"/>
        </w:rPr>
        <w:t xml:space="preserve"> be made</w:t>
      </w:r>
      <w:r w:rsidR="00972C50">
        <w:rPr>
          <w:rFonts w:asciiTheme="minorHAnsi" w:hAnsiTheme="minorHAnsi" w:cstheme="minorHAnsi"/>
          <w:sz w:val="22"/>
          <w:szCs w:val="22"/>
        </w:rPr>
        <w:t xml:space="preserve"> by Police Scotland</w:t>
      </w:r>
      <w:r w:rsidR="0045032D" w:rsidRPr="0009619C">
        <w:rPr>
          <w:rFonts w:asciiTheme="minorHAnsi" w:hAnsiTheme="minorHAnsi" w:cstheme="minorHAnsi"/>
          <w:sz w:val="22"/>
          <w:szCs w:val="22"/>
        </w:rPr>
        <w:t>.</w:t>
      </w:r>
      <w:r w:rsidR="005D29FA">
        <w:rPr>
          <w:rFonts w:asciiTheme="minorHAnsi" w:hAnsiTheme="minorHAnsi" w:cstheme="minorHAnsi"/>
          <w:sz w:val="22"/>
          <w:szCs w:val="22"/>
        </w:rPr>
        <w:t xml:space="preserve"> </w:t>
      </w:r>
    </w:p>
    <w:p w14:paraId="07DDF378" w14:textId="77777777" w:rsidR="00B82BA5" w:rsidRDefault="00B82BA5" w:rsidP="004563B3">
      <w:pPr>
        <w:pStyle w:val="Heading1"/>
      </w:pPr>
    </w:p>
    <w:p w14:paraId="4CAC690F" w14:textId="125FFF9D" w:rsidR="00B33EAA" w:rsidRPr="00B33EAA" w:rsidRDefault="00B33EAA" w:rsidP="004563B3">
      <w:pPr>
        <w:pStyle w:val="Heading1"/>
      </w:pPr>
      <w:r w:rsidRPr="00B33EAA">
        <w:t>Methodology</w:t>
      </w:r>
    </w:p>
    <w:p w14:paraId="02BA4C7E" w14:textId="77777777" w:rsidR="009B3EAD" w:rsidRDefault="00013096" w:rsidP="00425759">
      <w:pPr>
        <w:pStyle w:val="NormalWeb"/>
        <w:spacing w:before="0" w:beforeAutospacing="0" w:after="160" w:afterAutospacing="0" w:line="360" w:lineRule="auto"/>
        <w:jc w:val="both"/>
        <w:rPr>
          <w:rFonts w:asciiTheme="minorHAnsi" w:hAnsiTheme="minorHAnsi" w:cstheme="minorHAnsi"/>
          <w:sz w:val="22"/>
          <w:szCs w:val="22"/>
        </w:rPr>
      </w:pPr>
      <w:r>
        <w:rPr>
          <w:rFonts w:asciiTheme="minorHAnsi" w:hAnsiTheme="minorHAnsi" w:cstheme="minorHAnsi"/>
          <w:sz w:val="22"/>
          <w:szCs w:val="22"/>
        </w:rPr>
        <w:t>Our analysis is based on</w:t>
      </w:r>
      <w:r w:rsidR="00DC6CB5">
        <w:rPr>
          <w:rFonts w:asciiTheme="minorHAnsi" w:hAnsiTheme="minorHAnsi" w:cstheme="minorHAnsi"/>
          <w:sz w:val="22"/>
          <w:szCs w:val="22"/>
        </w:rPr>
        <w:t xml:space="preserve"> two key sources</w:t>
      </w:r>
      <w:r w:rsidR="00320924">
        <w:rPr>
          <w:rFonts w:asciiTheme="minorHAnsi" w:hAnsiTheme="minorHAnsi" w:cstheme="minorHAnsi"/>
          <w:sz w:val="22"/>
          <w:szCs w:val="22"/>
        </w:rPr>
        <w:t xml:space="preserve"> of data</w:t>
      </w:r>
      <w:r w:rsidR="00DC6CB5">
        <w:rPr>
          <w:rFonts w:asciiTheme="minorHAnsi" w:hAnsiTheme="minorHAnsi" w:cstheme="minorHAnsi"/>
          <w:sz w:val="22"/>
          <w:szCs w:val="22"/>
        </w:rPr>
        <w:t>:</w:t>
      </w:r>
      <w:r>
        <w:rPr>
          <w:rFonts w:asciiTheme="minorHAnsi" w:hAnsiTheme="minorHAnsi" w:cstheme="minorHAnsi"/>
          <w:sz w:val="22"/>
          <w:szCs w:val="22"/>
        </w:rPr>
        <w:t xml:space="preserve"> </w:t>
      </w:r>
    </w:p>
    <w:p w14:paraId="30E21171" w14:textId="5BBCB8E8" w:rsidR="009B3EAD" w:rsidRDefault="00013096" w:rsidP="00425759">
      <w:pPr>
        <w:pStyle w:val="NormalWeb"/>
        <w:numPr>
          <w:ilvl w:val="0"/>
          <w:numId w:val="9"/>
        </w:numPr>
        <w:spacing w:before="0" w:beforeAutospacing="0" w:after="160" w:afterAutospacing="0" w:line="360" w:lineRule="auto"/>
        <w:jc w:val="both"/>
        <w:rPr>
          <w:rFonts w:asciiTheme="minorHAnsi" w:hAnsiTheme="minorHAnsi" w:cstheme="minorHAnsi"/>
          <w:sz w:val="22"/>
          <w:szCs w:val="22"/>
        </w:rPr>
      </w:pPr>
      <w:r>
        <w:rPr>
          <w:rFonts w:asciiTheme="minorHAnsi" w:hAnsiTheme="minorHAnsi" w:cstheme="minorHAnsi"/>
          <w:sz w:val="22"/>
          <w:szCs w:val="22"/>
        </w:rPr>
        <w:t xml:space="preserve">the formal guidance Police Scotland produce for officers and staff </w:t>
      </w:r>
      <w:r w:rsidR="00DC6CB5">
        <w:rPr>
          <w:rFonts w:asciiTheme="minorHAnsi" w:hAnsiTheme="minorHAnsi" w:cstheme="minorHAnsi"/>
          <w:sz w:val="22"/>
          <w:szCs w:val="22"/>
        </w:rPr>
        <w:t>operationalising DSDAS</w:t>
      </w:r>
      <w:r w:rsidR="009B3EAD">
        <w:rPr>
          <w:rFonts w:asciiTheme="minorHAnsi" w:hAnsiTheme="minorHAnsi" w:cstheme="minorHAnsi"/>
          <w:sz w:val="22"/>
          <w:szCs w:val="22"/>
        </w:rPr>
        <w:t>;</w:t>
      </w:r>
      <w:r w:rsidR="00DC6CB5">
        <w:rPr>
          <w:rFonts w:asciiTheme="minorHAnsi" w:hAnsiTheme="minorHAnsi" w:cstheme="minorHAnsi"/>
          <w:sz w:val="22"/>
          <w:szCs w:val="22"/>
        </w:rPr>
        <w:t xml:space="preserve"> </w:t>
      </w:r>
      <w:r>
        <w:rPr>
          <w:rFonts w:asciiTheme="minorHAnsi" w:hAnsiTheme="minorHAnsi" w:cstheme="minorHAnsi"/>
          <w:sz w:val="22"/>
          <w:szCs w:val="22"/>
        </w:rPr>
        <w:t>an</w:t>
      </w:r>
      <w:r w:rsidR="00FF1155">
        <w:rPr>
          <w:rFonts w:asciiTheme="minorHAnsi" w:hAnsiTheme="minorHAnsi" w:cstheme="minorHAnsi"/>
          <w:sz w:val="22"/>
          <w:szCs w:val="22"/>
        </w:rPr>
        <w:t xml:space="preserve">d </w:t>
      </w:r>
    </w:p>
    <w:p w14:paraId="578EFF91" w14:textId="58C4A6BF" w:rsidR="009B3EAD" w:rsidRDefault="00013096" w:rsidP="00425759">
      <w:pPr>
        <w:pStyle w:val="NormalWeb"/>
        <w:numPr>
          <w:ilvl w:val="0"/>
          <w:numId w:val="9"/>
        </w:numPr>
        <w:spacing w:before="0" w:beforeAutospacing="0" w:after="160" w:afterAutospacing="0" w:line="360" w:lineRule="auto"/>
        <w:jc w:val="both"/>
        <w:rPr>
          <w:rFonts w:asciiTheme="minorHAnsi" w:hAnsiTheme="minorHAnsi" w:cstheme="minorHAnsi"/>
          <w:sz w:val="22"/>
          <w:szCs w:val="22"/>
        </w:rPr>
      </w:pPr>
      <w:r>
        <w:rPr>
          <w:rFonts w:asciiTheme="minorHAnsi" w:hAnsiTheme="minorHAnsi" w:cstheme="minorHAnsi"/>
          <w:sz w:val="22"/>
          <w:szCs w:val="22"/>
        </w:rPr>
        <w:t>the publicl</w:t>
      </w:r>
      <w:r w:rsidR="00320924">
        <w:rPr>
          <w:rFonts w:asciiTheme="minorHAnsi" w:hAnsiTheme="minorHAnsi" w:cstheme="minorHAnsi"/>
          <w:sz w:val="22"/>
          <w:szCs w:val="22"/>
        </w:rPr>
        <w:t>y</w:t>
      </w:r>
      <w:r w:rsidR="00721695">
        <w:rPr>
          <w:rFonts w:asciiTheme="minorHAnsi" w:hAnsiTheme="minorHAnsi" w:cstheme="minorHAnsi"/>
          <w:sz w:val="22"/>
          <w:szCs w:val="22"/>
        </w:rPr>
        <w:t xml:space="preserve"> </w:t>
      </w:r>
      <w:r>
        <w:rPr>
          <w:rFonts w:asciiTheme="minorHAnsi" w:hAnsiTheme="minorHAnsi" w:cstheme="minorHAnsi"/>
          <w:sz w:val="22"/>
          <w:szCs w:val="22"/>
        </w:rPr>
        <w:t xml:space="preserve">available information on the Police Scotland website aimed at </w:t>
      </w:r>
      <w:r w:rsidR="009F1850">
        <w:rPr>
          <w:rFonts w:asciiTheme="minorHAnsi" w:hAnsiTheme="minorHAnsi" w:cstheme="minorHAnsi"/>
          <w:sz w:val="22"/>
          <w:szCs w:val="22"/>
        </w:rPr>
        <w:t xml:space="preserve">articulating the thresholds, goals and standards of DSDAS to </w:t>
      </w:r>
      <w:r>
        <w:rPr>
          <w:rFonts w:asciiTheme="minorHAnsi" w:hAnsiTheme="minorHAnsi" w:cstheme="minorHAnsi"/>
          <w:sz w:val="22"/>
          <w:szCs w:val="22"/>
        </w:rPr>
        <w:t xml:space="preserve">the general public. </w:t>
      </w:r>
    </w:p>
    <w:p w14:paraId="613F163B" w14:textId="45FA55BB" w:rsidR="00013096" w:rsidRPr="004F0F7A" w:rsidRDefault="00215AE4" w:rsidP="00425759">
      <w:pPr>
        <w:pStyle w:val="NormalWeb"/>
        <w:spacing w:before="0" w:beforeAutospacing="0" w:after="160" w:afterAutospacing="0" w:line="360" w:lineRule="auto"/>
        <w:jc w:val="both"/>
        <w:rPr>
          <w:rFonts w:asciiTheme="minorHAnsi" w:hAnsiTheme="minorHAnsi" w:cstheme="minorHAnsi"/>
          <w:i/>
          <w:sz w:val="22"/>
          <w:szCs w:val="22"/>
        </w:rPr>
      </w:pPr>
      <w:r>
        <w:rPr>
          <w:rFonts w:asciiTheme="minorHAnsi" w:hAnsiTheme="minorHAnsi" w:cstheme="minorHAnsi"/>
          <w:sz w:val="22"/>
          <w:szCs w:val="22"/>
        </w:rPr>
        <w:t xml:space="preserve">Police Scotland’s </w:t>
      </w:r>
      <w:r w:rsidR="00A00698">
        <w:rPr>
          <w:rFonts w:asciiTheme="minorHAnsi" w:hAnsiTheme="minorHAnsi" w:cstheme="minorHAnsi"/>
          <w:sz w:val="22"/>
          <w:szCs w:val="22"/>
        </w:rPr>
        <w:t xml:space="preserve">latest </w:t>
      </w:r>
      <w:r>
        <w:rPr>
          <w:rFonts w:asciiTheme="minorHAnsi" w:hAnsiTheme="minorHAnsi" w:cstheme="minorHAnsi"/>
          <w:sz w:val="22"/>
          <w:szCs w:val="22"/>
        </w:rPr>
        <w:t>operational documentation on the scheme – t</w:t>
      </w:r>
      <w:r w:rsidR="00013096">
        <w:rPr>
          <w:rFonts w:asciiTheme="minorHAnsi" w:hAnsiTheme="minorHAnsi" w:cstheme="minorHAnsi"/>
          <w:sz w:val="22"/>
          <w:szCs w:val="22"/>
        </w:rPr>
        <w:t xml:space="preserve">he </w:t>
      </w:r>
      <w:r w:rsidR="00013096" w:rsidRPr="003F6853">
        <w:rPr>
          <w:rFonts w:asciiTheme="minorHAnsi" w:hAnsiTheme="minorHAnsi" w:cstheme="minorHAnsi"/>
          <w:i/>
          <w:sz w:val="22"/>
          <w:szCs w:val="22"/>
        </w:rPr>
        <w:t>Disclosure Scheme for Domestic Abuse in Scotland (DSDAS) Guidance</w:t>
      </w:r>
      <w:r w:rsidR="004F0F7A">
        <w:rPr>
          <w:rFonts w:asciiTheme="minorHAnsi" w:hAnsiTheme="minorHAnsi" w:cstheme="minorHAnsi"/>
          <w:i/>
          <w:sz w:val="22"/>
          <w:szCs w:val="22"/>
        </w:rPr>
        <w:t xml:space="preserve"> – </w:t>
      </w:r>
      <w:r w:rsidR="007A0576">
        <w:rPr>
          <w:rFonts w:asciiTheme="minorHAnsi" w:hAnsiTheme="minorHAnsi" w:cstheme="minorHAnsi"/>
          <w:sz w:val="22"/>
          <w:szCs w:val="22"/>
        </w:rPr>
        <w:t>was</w:t>
      </w:r>
      <w:r w:rsidR="00721695">
        <w:rPr>
          <w:rFonts w:asciiTheme="minorHAnsi" w:hAnsiTheme="minorHAnsi" w:cstheme="minorHAnsi"/>
          <w:sz w:val="22"/>
          <w:szCs w:val="22"/>
        </w:rPr>
        <w:t xml:space="preserve"> adopted in </w:t>
      </w:r>
      <w:r w:rsidR="00013096">
        <w:rPr>
          <w:rFonts w:asciiTheme="minorHAnsi" w:hAnsiTheme="minorHAnsi" w:cstheme="minorHAnsi"/>
          <w:sz w:val="22"/>
          <w:szCs w:val="22"/>
        </w:rPr>
        <w:t>August 2021 (Police Scotland 2021b)</w:t>
      </w:r>
      <w:r w:rsidR="007A0576">
        <w:rPr>
          <w:rFonts w:asciiTheme="minorHAnsi" w:hAnsiTheme="minorHAnsi" w:cstheme="minorHAnsi"/>
          <w:sz w:val="22"/>
          <w:szCs w:val="22"/>
        </w:rPr>
        <w:t>.</w:t>
      </w:r>
      <w:r w:rsidR="00013096">
        <w:rPr>
          <w:rFonts w:asciiTheme="minorHAnsi" w:hAnsiTheme="minorHAnsi" w:cstheme="minorHAnsi"/>
          <w:sz w:val="22"/>
          <w:szCs w:val="22"/>
        </w:rPr>
        <w:t xml:space="preserve"> The latter are publicly available pages on Police Scotland’s website designed for members of the public to access information about the scheme and details of the process (Police Scotland 2021c, d, e), and access to the </w:t>
      </w:r>
      <w:r w:rsidR="00114A48">
        <w:rPr>
          <w:rFonts w:asciiTheme="minorHAnsi" w:hAnsiTheme="minorHAnsi" w:cstheme="minorHAnsi"/>
          <w:sz w:val="22"/>
          <w:szCs w:val="22"/>
        </w:rPr>
        <w:t xml:space="preserve">application </w:t>
      </w:r>
      <w:r w:rsidR="00013096">
        <w:rPr>
          <w:rFonts w:asciiTheme="minorHAnsi" w:hAnsiTheme="minorHAnsi" w:cstheme="minorHAnsi"/>
          <w:sz w:val="22"/>
          <w:szCs w:val="22"/>
        </w:rPr>
        <w:t>form (Police Scotland 2022).</w:t>
      </w:r>
    </w:p>
    <w:p w14:paraId="68515682" w14:textId="1384A80F" w:rsidR="001F00C1" w:rsidRDefault="14111162" w:rsidP="00425759">
      <w:pPr>
        <w:spacing w:line="360" w:lineRule="auto"/>
        <w:jc w:val="both"/>
      </w:pPr>
      <w:r w:rsidRPr="14111162">
        <w:t>In analysing DSDAS, we were interested to understand whether the main features of the scheme are accessible, transparent and intelligible for the general public who may make a request and/or receive a disclosure, or those</w:t>
      </w:r>
      <w:r w:rsidR="0042699F">
        <w:t xml:space="preserve"> who</w:t>
      </w:r>
      <w:r w:rsidRPr="14111162">
        <w:t xml:space="preserve"> have a disclosure made about them. We were also interested in the clarity of the scheme from the perspective of police officers and staff who administer it, and the extent to which this might impact on the consistency of how applications are processed, and decisions made. Transparency and clarity are important in terms of accessibility and enabling informed choice </w:t>
      </w:r>
      <w:r w:rsidR="009D61B4">
        <w:t xml:space="preserve">regarding </w:t>
      </w:r>
      <w:r w:rsidRPr="14111162">
        <w:t xml:space="preserve">whether individuals engage with the scheme, but also </w:t>
      </w:r>
      <w:r w:rsidR="003B2C47">
        <w:t xml:space="preserve">in terms of </w:t>
      </w:r>
      <w:r w:rsidRPr="14111162">
        <w:t xml:space="preserve">scope to seek legal redress if they believe decisions have been taken in a procedurally unfair or potentially unlawful way. As the UK Supreme Court recently held in respect of another criminal disclosure scheme in the UK: </w:t>
      </w:r>
    </w:p>
    <w:p w14:paraId="1370ADE5" w14:textId="1B4F4E97" w:rsidR="001F00C1" w:rsidRPr="009E1CCD" w:rsidRDefault="001F00C1" w:rsidP="00425759">
      <w:pPr>
        <w:spacing w:line="360" w:lineRule="auto"/>
        <w:ind w:left="720"/>
        <w:jc w:val="both"/>
      </w:pPr>
      <w:r>
        <w:t>if placed in the public domain, policies can help individuals to understand how discretionary powers are likely to be exercised in their situations and can provide standards against which public authorities can be held to account</w:t>
      </w:r>
      <w:r w:rsidR="00EA24F4">
        <w:t>.</w:t>
      </w:r>
      <w:r w:rsidR="00786E7E">
        <w:rPr>
          <w:rStyle w:val="FootnoteReference"/>
        </w:rPr>
        <w:footnoteReference w:id="3"/>
      </w:r>
      <w:r>
        <w:rPr>
          <w:rStyle w:val="FootnoteReference"/>
        </w:rPr>
        <w:t xml:space="preserve"> </w:t>
      </w:r>
    </w:p>
    <w:p w14:paraId="1E860B41" w14:textId="3F2F407A" w:rsidR="00010C49" w:rsidRDefault="0042699F" w:rsidP="00425759">
      <w:pPr>
        <w:spacing w:line="360" w:lineRule="auto"/>
        <w:jc w:val="both"/>
        <w:rPr>
          <w:rFonts w:cstheme="minorHAnsi"/>
        </w:rPr>
      </w:pPr>
      <w:r>
        <w:rPr>
          <w:rFonts w:cstheme="minorHAnsi"/>
        </w:rPr>
        <w:t xml:space="preserve">In this article, we consider a number of important questions. </w:t>
      </w:r>
      <w:r w:rsidR="000A6450">
        <w:rPr>
          <w:rFonts w:cstheme="minorHAnsi"/>
        </w:rPr>
        <w:t>I</w:t>
      </w:r>
      <w:r w:rsidR="00B270BE">
        <w:rPr>
          <w:rFonts w:cstheme="minorHAnsi"/>
        </w:rPr>
        <w:t xml:space="preserve">s the legal basis for the operation of the Scottish scheme clear? Are fundamental rights issues adequately considered in how the DSDAS is framed? </w:t>
      </w:r>
      <w:r w:rsidR="00D51F5F">
        <w:rPr>
          <w:rFonts w:cstheme="minorHAnsi"/>
        </w:rPr>
        <w:t xml:space="preserve">How </w:t>
      </w:r>
      <w:r w:rsidR="00D42B14">
        <w:rPr>
          <w:rFonts w:cstheme="minorHAnsi"/>
        </w:rPr>
        <w:t>is the concept of domestic abuse understood</w:t>
      </w:r>
      <w:r w:rsidR="00C24A11">
        <w:rPr>
          <w:rFonts w:cstheme="minorHAnsi"/>
        </w:rPr>
        <w:t xml:space="preserve"> under the scheme</w:t>
      </w:r>
      <w:r w:rsidR="00D42B14">
        <w:rPr>
          <w:rFonts w:cstheme="minorHAnsi"/>
        </w:rPr>
        <w:t xml:space="preserve">? What kinds of </w:t>
      </w:r>
      <w:r w:rsidR="00D42B14">
        <w:rPr>
          <w:rFonts w:cstheme="minorHAnsi"/>
        </w:rPr>
        <w:lastRenderedPageBreak/>
        <w:t xml:space="preserve">relationships does the DSDAS apply to? </w:t>
      </w:r>
      <w:r w:rsidR="00B471B4">
        <w:rPr>
          <w:rFonts w:cstheme="minorHAnsi"/>
        </w:rPr>
        <w:t>Are these subject to clear definitions and understandings?</w:t>
      </w:r>
      <w:r w:rsidR="00DC5FCC">
        <w:rPr>
          <w:rFonts w:cstheme="minorHAnsi"/>
        </w:rPr>
        <w:t xml:space="preserve"> Are these definitions consistently communicated to applicants under the scheme?</w:t>
      </w:r>
      <w:r w:rsidR="00B471B4">
        <w:rPr>
          <w:rFonts w:cstheme="minorHAnsi"/>
        </w:rPr>
        <w:t xml:space="preserve"> </w:t>
      </w:r>
      <w:r w:rsidR="00E71118">
        <w:rPr>
          <w:rFonts w:cstheme="minorHAnsi"/>
        </w:rPr>
        <w:t>This article considers each of these themes in turn.</w:t>
      </w:r>
    </w:p>
    <w:p w14:paraId="7E5D8A19" w14:textId="77777777" w:rsidR="00772E14" w:rsidRDefault="00772E14" w:rsidP="00425759">
      <w:pPr>
        <w:spacing w:line="360" w:lineRule="auto"/>
        <w:jc w:val="both"/>
        <w:rPr>
          <w:rFonts w:cstheme="minorHAnsi"/>
          <w:b/>
          <w:iCs/>
        </w:rPr>
      </w:pPr>
    </w:p>
    <w:p w14:paraId="36555E9D" w14:textId="184CE6E0" w:rsidR="000012E7" w:rsidRPr="000130CE" w:rsidRDefault="00C022E1" w:rsidP="00B82BA5">
      <w:pPr>
        <w:pStyle w:val="Heading1"/>
      </w:pPr>
      <w:r>
        <w:t xml:space="preserve">Accessibility and </w:t>
      </w:r>
      <w:r w:rsidR="00237629">
        <w:t>t</w:t>
      </w:r>
      <w:r>
        <w:t>ransparency</w:t>
      </w:r>
      <w:r w:rsidR="000012E7" w:rsidRPr="000130CE">
        <w:t xml:space="preserve"> of </w:t>
      </w:r>
      <w:r w:rsidR="00237629">
        <w:t>s</w:t>
      </w:r>
      <w:r w:rsidR="000012E7" w:rsidRPr="000130CE">
        <w:t xml:space="preserve">cheme </w:t>
      </w:r>
      <w:r w:rsidR="00237629">
        <w:t>g</w:t>
      </w:r>
      <w:r w:rsidR="000012E7" w:rsidRPr="000130CE">
        <w:t>uidance</w:t>
      </w:r>
    </w:p>
    <w:p w14:paraId="3858A7A8" w14:textId="393CE8A7" w:rsidR="00E41F9A" w:rsidRDefault="14111162" w:rsidP="00425759">
      <w:pPr>
        <w:spacing w:line="360" w:lineRule="auto"/>
        <w:jc w:val="both"/>
      </w:pPr>
      <w:r w:rsidRPr="00317799">
        <w:t xml:space="preserve">Our first observation about the accessibility and transparency of DSDAS is that the policy </w:t>
      </w:r>
      <w:r w:rsidR="006714D5" w:rsidRPr="00317799">
        <w:t>g</w:t>
      </w:r>
      <w:r w:rsidRPr="00317799">
        <w:t>uidance for</w:t>
      </w:r>
      <w:r w:rsidRPr="14111162">
        <w:t xml:space="preserve"> the scheme is not in the public domain and is therefore inaccessible to members of the public who may request and/or receive a disclosure, or those who have a disclosure made about them. While publicly available webpages hosted by Police Scotland provide some more limited information, the key document outlining the rules of the scheme, the definitions used in it, and how decision-making is undertaken and by whom is not publicly accessible. This contrasts with the DVDS in England and Wales, where the Home Office has consistently published the evolving guidance police forces use when processing applications for disclosure (Home Office 2016; Home Office 2023). Applicants to the Scottish scheme currently do not enjoy equality of access to a detailed account of the procedures, definitions and rules used by Police Scotland in reaching decisions under it. </w:t>
      </w:r>
    </w:p>
    <w:p w14:paraId="5477D361" w14:textId="01DDFFAD" w:rsidR="00D36D96" w:rsidRDefault="00D36D96" w:rsidP="00425759">
      <w:pPr>
        <w:spacing w:line="360" w:lineRule="auto"/>
        <w:jc w:val="both"/>
        <w:rPr>
          <w:rFonts w:cstheme="minorHAnsi"/>
        </w:rPr>
      </w:pPr>
      <w:r>
        <w:rPr>
          <w:rFonts w:cstheme="minorHAnsi"/>
        </w:rPr>
        <w:t xml:space="preserve">This prompts questions about whether citizens fully understand what </w:t>
      </w:r>
      <w:r w:rsidRPr="0042699F">
        <w:rPr>
          <w:rFonts w:cstheme="minorHAnsi"/>
        </w:rPr>
        <w:t>we</w:t>
      </w:r>
      <w:r>
        <w:rPr>
          <w:rFonts w:cstheme="minorHAnsi"/>
        </w:rPr>
        <w:t xml:space="preserve"> can ask, why </w:t>
      </w:r>
      <w:r w:rsidRPr="0042699F">
        <w:rPr>
          <w:rFonts w:cstheme="minorHAnsi"/>
        </w:rPr>
        <w:t>we</w:t>
      </w:r>
      <w:r>
        <w:rPr>
          <w:rFonts w:cstheme="minorHAnsi"/>
        </w:rPr>
        <w:t xml:space="preserve"> can ask it, and what will happen if </w:t>
      </w:r>
      <w:r w:rsidRPr="0042699F">
        <w:rPr>
          <w:rFonts w:cstheme="minorHAnsi"/>
        </w:rPr>
        <w:t>we</w:t>
      </w:r>
      <w:r>
        <w:rPr>
          <w:rFonts w:cstheme="minorHAnsi"/>
        </w:rPr>
        <w:t xml:space="preserve"> do – and, what will happen if </w:t>
      </w:r>
      <w:r w:rsidRPr="0042699F">
        <w:rPr>
          <w:rFonts w:cstheme="minorHAnsi"/>
        </w:rPr>
        <w:t>we</w:t>
      </w:r>
      <w:r>
        <w:rPr>
          <w:rFonts w:cstheme="minorHAnsi"/>
        </w:rPr>
        <w:t xml:space="preserve"> are the person asked about, how decisions will be made and by whom.</w:t>
      </w:r>
      <w:r w:rsidR="00F4087F">
        <w:rPr>
          <w:rFonts w:cstheme="minorHAnsi"/>
        </w:rPr>
        <w:t xml:space="preserve"> Police Scotland’s </w:t>
      </w:r>
      <w:r w:rsidR="00887ACE">
        <w:rPr>
          <w:rFonts w:cstheme="minorHAnsi"/>
        </w:rPr>
        <w:t>decision not</w:t>
      </w:r>
      <w:r w:rsidR="00F4087F">
        <w:rPr>
          <w:rFonts w:cstheme="minorHAnsi"/>
        </w:rPr>
        <w:t xml:space="preserve"> </w:t>
      </w:r>
      <w:r w:rsidR="00887ACE">
        <w:rPr>
          <w:rFonts w:cstheme="minorHAnsi"/>
        </w:rPr>
        <w:t xml:space="preserve">to </w:t>
      </w:r>
      <w:r w:rsidR="00F4087F">
        <w:rPr>
          <w:rFonts w:cstheme="minorHAnsi"/>
        </w:rPr>
        <w:t>place this guidance in the public domain has important implications in terms of whether the public – which may include individuals</w:t>
      </w:r>
      <w:r w:rsidR="00634DFD">
        <w:rPr>
          <w:rFonts w:cstheme="minorHAnsi"/>
        </w:rPr>
        <w:t xml:space="preserve"> and</w:t>
      </w:r>
      <w:r w:rsidR="00F4087F">
        <w:rPr>
          <w:rFonts w:cstheme="minorHAnsi"/>
        </w:rPr>
        <w:t xml:space="preserve"> statutory and non-statutory organisations </w:t>
      </w:r>
      <w:r w:rsidR="00F35C0E">
        <w:rPr>
          <w:rFonts w:cstheme="minorHAnsi"/>
        </w:rPr>
        <w:t>–</w:t>
      </w:r>
      <w:r w:rsidR="00F4087F">
        <w:rPr>
          <w:rFonts w:cstheme="minorHAnsi"/>
        </w:rPr>
        <w:t xml:space="preserve"> are able to fully understand, and indeed challenge, the operationalisation of the scheme, the processing of applications, and the decision-making processes of Police Scotland, as well as their own rights and responsibilities </w:t>
      </w:r>
      <w:r w:rsidR="003D3E9D">
        <w:rPr>
          <w:rFonts w:cstheme="minorHAnsi"/>
        </w:rPr>
        <w:t>under</w:t>
      </w:r>
      <w:r w:rsidR="00F4087F">
        <w:rPr>
          <w:rFonts w:cstheme="minorHAnsi"/>
        </w:rPr>
        <w:t xml:space="preserve"> the scheme.  </w:t>
      </w:r>
    </w:p>
    <w:p w14:paraId="2996881D" w14:textId="70B6189F" w:rsidR="0009619C" w:rsidRDefault="003F1995" w:rsidP="00425759">
      <w:pPr>
        <w:spacing w:line="360" w:lineRule="auto"/>
        <w:jc w:val="both"/>
        <w:rPr>
          <w:rFonts w:cstheme="minorHAnsi"/>
        </w:rPr>
      </w:pPr>
      <w:r>
        <w:rPr>
          <w:rFonts w:cstheme="minorHAnsi"/>
        </w:rPr>
        <w:t>A</w:t>
      </w:r>
      <w:r w:rsidR="005C02BC">
        <w:rPr>
          <w:rFonts w:cstheme="minorHAnsi"/>
        </w:rPr>
        <w:t xml:space="preserve">s researchers we </w:t>
      </w:r>
      <w:r>
        <w:rPr>
          <w:rFonts w:cstheme="minorHAnsi"/>
        </w:rPr>
        <w:t xml:space="preserve">initially </w:t>
      </w:r>
      <w:r w:rsidR="005C02BC">
        <w:rPr>
          <w:rFonts w:cstheme="minorHAnsi"/>
        </w:rPr>
        <w:t xml:space="preserve">struggled to </w:t>
      </w:r>
      <w:r w:rsidR="0097433D">
        <w:rPr>
          <w:rFonts w:cstheme="minorHAnsi"/>
        </w:rPr>
        <w:t xml:space="preserve">access </w:t>
      </w:r>
      <w:r w:rsidR="005C02BC">
        <w:rPr>
          <w:rFonts w:cstheme="minorHAnsi"/>
        </w:rPr>
        <w:t>the guidance being used by Police Scotland</w:t>
      </w:r>
      <w:r w:rsidR="001F3435">
        <w:rPr>
          <w:rFonts w:cstheme="minorHAnsi"/>
        </w:rPr>
        <w:t xml:space="preserve">, and </w:t>
      </w:r>
      <w:r w:rsidR="001A5208">
        <w:rPr>
          <w:rFonts w:cstheme="minorHAnsi"/>
        </w:rPr>
        <w:t>obtaining</w:t>
      </w:r>
      <w:r w:rsidR="001F3435">
        <w:rPr>
          <w:rFonts w:cstheme="minorHAnsi"/>
        </w:rPr>
        <w:t xml:space="preserve"> a copy required some persistence and discussion.</w:t>
      </w:r>
      <w:r w:rsidR="005C02BC">
        <w:rPr>
          <w:rFonts w:cstheme="minorHAnsi"/>
        </w:rPr>
        <w:t xml:space="preserve"> O</w:t>
      </w:r>
      <w:r w:rsidR="00806872">
        <w:rPr>
          <w:rFonts w:cstheme="minorHAnsi"/>
        </w:rPr>
        <w:t xml:space="preserve">n </w:t>
      </w:r>
      <w:r w:rsidR="001A5208">
        <w:rPr>
          <w:rFonts w:cstheme="minorHAnsi"/>
        </w:rPr>
        <w:t xml:space="preserve">initially </w:t>
      </w:r>
      <w:r w:rsidR="00806872">
        <w:rPr>
          <w:rFonts w:cstheme="minorHAnsi"/>
        </w:rPr>
        <w:t xml:space="preserve">requesting a copy of the scheme guidance, we were informed by Police Scotland that the document was not in the public domain. Following </w:t>
      </w:r>
      <w:r w:rsidR="001F3435">
        <w:rPr>
          <w:rFonts w:cstheme="minorHAnsi"/>
        </w:rPr>
        <w:t xml:space="preserve">further </w:t>
      </w:r>
      <w:r w:rsidR="00806872">
        <w:rPr>
          <w:rFonts w:cstheme="minorHAnsi"/>
        </w:rPr>
        <w:t xml:space="preserve">discussion with Police Scotland about the necessity to have sight of the guidance document in order fully </w:t>
      </w:r>
      <w:r w:rsidR="001B5407">
        <w:rPr>
          <w:rFonts w:cstheme="minorHAnsi"/>
        </w:rPr>
        <w:t xml:space="preserve">to </w:t>
      </w:r>
      <w:r w:rsidR="00806872">
        <w:rPr>
          <w:rFonts w:cstheme="minorHAnsi"/>
        </w:rPr>
        <w:t>understand the operation of the scheme and place other research findings</w:t>
      </w:r>
      <w:r w:rsidR="00F8696F">
        <w:rPr>
          <w:rFonts w:cstheme="minorHAnsi"/>
        </w:rPr>
        <w:t xml:space="preserve"> in context</w:t>
      </w:r>
      <w:r w:rsidR="00806872">
        <w:rPr>
          <w:rFonts w:cstheme="minorHAnsi"/>
        </w:rPr>
        <w:t xml:space="preserve">, a copy was provided to the Principal Investigator (PI) only. </w:t>
      </w:r>
      <w:r w:rsidR="00E615D6">
        <w:rPr>
          <w:rFonts w:cstheme="minorHAnsi"/>
        </w:rPr>
        <w:t>W</w:t>
      </w:r>
      <w:r w:rsidR="00806872">
        <w:rPr>
          <w:rFonts w:cstheme="minorHAnsi"/>
        </w:rPr>
        <w:t>e were informed the document was not in the public domain, and it was being provided only for the purpose of supporting the research, and it should not be shared or disseminated further</w:t>
      </w:r>
      <w:r w:rsidR="001A5208">
        <w:rPr>
          <w:rFonts w:cstheme="minorHAnsi"/>
        </w:rPr>
        <w:t xml:space="preserve"> (including among the research team)</w:t>
      </w:r>
      <w:r w:rsidR="00806872">
        <w:rPr>
          <w:rFonts w:cstheme="minorHAnsi"/>
        </w:rPr>
        <w:t xml:space="preserve"> without reference to Police Scotland</w:t>
      </w:r>
      <w:r w:rsidR="001A5208">
        <w:rPr>
          <w:rFonts w:cstheme="minorHAnsi"/>
        </w:rPr>
        <w:t>.</w:t>
      </w:r>
      <w:r w:rsidR="0096491D">
        <w:rPr>
          <w:rFonts w:cstheme="minorHAnsi"/>
        </w:rPr>
        <w:t xml:space="preserve"> </w:t>
      </w:r>
      <w:r w:rsidR="00806872">
        <w:rPr>
          <w:rFonts w:cstheme="minorHAnsi"/>
        </w:rPr>
        <w:t>We subsequently discovered that Grace (2021) had received a copy of a previous</w:t>
      </w:r>
      <w:r w:rsidR="00382604">
        <w:rPr>
          <w:rFonts w:cstheme="minorHAnsi"/>
        </w:rPr>
        <w:t xml:space="preserve"> </w:t>
      </w:r>
      <w:r w:rsidR="00806872">
        <w:rPr>
          <w:rFonts w:cstheme="minorHAnsi"/>
        </w:rPr>
        <w:t xml:space="preserve">version of the document published in 2017 through a </w:t>
      </w:r>
      <w:r w:rsidR="00464416">
        <w:rPr>
          <w:rFonts w:cstheme="minorHAnsi"/>
        </w:rPr>
        <w:t>f</w:t>
      </w:r>
      <w:r w:rsidR="00806872">
        <w:rPr>
          <w:rFonts w:cstheme="minorHAnsi"/>
        </w:rPr>
        <w:t xml:space="preserve">reedom of </w:t>
      </w:r>
      <w:r w:rsidR="00464416">
        <w:rPr>
          <w:rFonts w:cstheme="minorHAnsi"/>
        </w:rPr>
        <w:t>i</w:t>
      </w:r>
      <w:r w:rsidR="00806872">
        <w:rPr>
          <w:rFonts w:cstheme="minorHAnsi"/>
        </w:rPr>
        <w:t>nformation</w:t>
      </w:r>
      <w:r w:rsidR="00382604">
        <w:rPr>
          <w:rFonts w:cstheme="minorHAnsi"/>
        </w:rPr>
        <w:t xml:space="preserve"> (FOI)</w:t>
      </w:r>
      <w:r w:rsidR="00806872">
        <w:rPr>
          <w:rFonts w:cstheme="minorHAnsi"/>
        </w:rPr>
        <w:t xml:space="preserve"> </w:t>
      </w:r>
      <w:r w:rsidR="00806872">
        <w:rPr>
          <w:rFonts w:cstheme="minorHAnsi"/>
        </w:rPr>
        <w:lastRenderedPageBreak/>
        <w:t>request</w:t>
      </w:r>
      <w:r w:rsidR="00067EF8">
        <w:rPr>
          <w:rFonts w:cstheme="minorHAnsi"/>
        </w:rPr>
        <w:t>. W</w:t>
      </w:r>
      <w:r w:rsidR="00806872">
        <w:rPr>
          <w:rFonts w:cstheme="minorHAnsi"/>
        </w:rPr>
        <w:t xml:space="preserve">hile Grace states this </w:t>
      </w:r>
      <w:r w:rsidR="00382604">
        <w:rPr>
          <w:rFonts w:cstheme="minorHAnsi"/>
        </w:rPr>
        <w:t xml:space="preserve">FOI </w:t>
      </w:r>
      <w:r w:rsidR="00806872">
        <w:rPr>
          <w:rFonts w:cstheme="minorHAnsi"/>
        </w:rPr>
        <w:t xml:space="preserve">put the document in the public domain for the first time, providing </w:t>
      </w:r>
      <w:r w:rsidR="004D2337">
        <w:rPr>
          <w:rFonts w:cstheme="minorHAnsi"/>
        </w:rPr>
        <w:t>a copy</w:t>
      </w:r>
      <w:r w:rsidR="00806872">
        <w:rPr>
          <w:rFonts w:cstheme="minorHAnsi"/>
        </w:rPr>
        <w:t xml:space="preserve"> to a private individual only puts it in the public domain in a very limited sense. We revisited the matter with Police Scotland who</w:t>
      </w:r>
      <w:r w:rsidR="00382604">
        <w:rPr>
          <w:rFonts w:cstheme="minorHAnsi"/>
        </w:rPr>
        <w:t xml:space="preserve"> subsequently agreed to provide a</w:t>
      </w:r>
      <w:r w:rsidR="00CA7AFE">
        <w:rPr>
          <w:rFonts w:cstheme="minorHAnsi"/>
        </w:rPr>
        <w:t xml:space="preserve"> </w:t>
      </w:r>
      <w:r w:rsidR="00382604">
        <w:rPr>
          <w:rFonts w:cstheme="minorHAnsi"/>
        </w:rPr>
        <w:t>partially</w:t>
      </w:r>
      <w:r w:rsidR="00237629">
        <w:rPr>
          <w:rFonts w:cstheme="minorHAnsi"/>
        </w:rPr>
        <w:t xml:space="preserve"> </w:t>
      </w:r>
      <w:r w:rsidR="00382604">
        <w:rPr>
          <w:rFonts w:cstheme="minorHAnsi"/>
        </w:rPr>
        <w:t>redacted copy of the guidance to the authors, from which we are able to cite</w:t>
      </w:r>
      <w:r w:rsidR="007B0DC3">
        <w:rPr>
          <w:rFonts w:cstheme="minorHAnsi"/>
        </w:rPr>
        <w:t xml:space="preserve"> (Police Scotland 2021b)</w:t>
      </w:r>
      <w:r w:rsidR="00382604">
        <w:rPr>
          <w:rFonts w:cstheme="minorHAnsi"/>
        </w:rPr>
        <w:t xml:space="preserve">. </w:t>
      </w:r>
    </w:p>
    <w:p w14:paraId="4F4F6807" w14:textId="77777777" w:rsidR="00D127AB" w:rsidRDefault="00D127AB" w:rsidP="00425759">
      <w:pPr>
        <w:spacing w:line="360" w:lineRule="auto"/>
        <w:jc w:val="both"/>
        <w:rPr>
          <w:rFonts w:cstheme="minorHAnsi"/>
          <w:b/>
        </w:rPr>
      </w:pPr>
    </w:p>
    <w:p w14:paraId="61E35C83" w14:textId="0BEE4811" w:rsidR="00F4087F" w:rsidRDefault="00284016" w:rsidP="00520407">
      <w:pPr>
        <w:pStyle w:val="Heading1"/>
      </w:pPr>
      <w:r>
        <w:t>Potential l</w:t>
      </w:r>
      <w:r w:rsidR="00F4087F">
        <w:t xml:space="preserve">egal </w:t>
      </w:r>
      <w:r w:rsidR="00F57369">
        <w:t>i</w:t>
      </w:r>
      <w:r w:rsidR="00F4087F">
        <w:t xml:space="preserve">mplications of this lack of </w:t>
      </w:r>
      <w:r w:rsidR="00281B41">
        <w:t xml:space="preserve">accessibility and </w:t>
      </w:r>
      <w:r w:rsidR="00F4087F">
        <w:t>transparency</w:t>
      </w:r>
    </w:p>
    <w:p w14:paraId="3C0EF6B6" w14:textId="145CF531" w:rsidR="008F0C8D" w:rsidRDefault="00A63083" w:rsidP="00425759">
      <w:pPr>
        <w:spacing w:line="360" w:lineRule="auto"/>
        <w:jc w:val="both"/>
        <w:rPr>
          <w:rFonts w:cstheme="minorHAnsi"/>
        </w:rPr>
      </w:pPr>
      <w:r w:rsidRPr="00DA194D">
        <w:rPr>
          <w:rFonts w:cstheme="minorHAnsi"/>
        </w:rPr>
        <w:t xml:space="preserve">The </w:t>
      </w:r>
      <w:r w:rsidR="000F6C01">
        <w:rPr>
          <w:rFonts w:cstheme="minorHAnsi"/>
        </w:rPr>
        <w:t>limi</w:t>
      </w:r>
      <w:r w:rsidR="00DA5945">
        <w:rPr>
          <w:rFonts w:cstheme="minorHAnsi"/>
        </w:rPr>
        <w:t xml:space="preserve">ted </w:t>
      </w:r>
      <w:r w:rsidRPr="00DA194D">
        <w:rPr>
          <w:rFonts w:cstheme="minorHAnsi"/>
        </w:rPr>
        <w:t xml:space="preserve">accessibility and transparency of the DSDAS scheme is not only significant from the perspective of </w:t>
      </w:r>
      <w:r w:rsidR="00292AE5">
        <w:rPr>
          <w:rFonts w:cstheme="minorHAnsi"/>
        </w:rPr>
        <w:t xml:space="preserve">researchers, </w:t>
      </w:r>
      <w:r w:rsidRPr="00DA194D">
        <w:rPr>
          <w:rFonts w:cstheme="minorHAnsi"/>
        </w:rPr>
        <w:t>applicants</w:t>
      </w:r>
      <w:r w:rsidR="00114977">
        <w:rPr>
          <w:rFonts w:cstheme="minorHAnsi"/>
        </w:rPr>
        <w:t xml:space="preserve"> and</w:t>
      </w:r>
      <w:r w:rsidRPr="00DA194D">
        <w:rPr>
          <w:rFonts w:cstheme="minorHAnsi"/>
        </w:rPr>
        <w:t xml:space="preserve"> subjects of disclosure under the scheme</w:t>
      </w:r>
      <w:r w:rsidR="006D3C1D">
        <w:rPr>
          <w:rFonts w:cstheme="minorHAnsi"/>
        </w:rPr>
        <w:t>,</w:t>
      </w:r>
      <w:r w:rsidRPr="00DA194D">
        <w:rPr>
          <w:rFonts w:cstheme="minorHAnsi"/>
        </w:rPr>
        <w:t xml:space="preserve"> it also raises important questions about the legal basis for its operation. </w:t>
      </w:r>
      <w:r w:rsidR="00114977">
        <w:rPr>
          <w:rFonts w:cstheme="minorHAnsi"/>
        </w:rPr>
        <w:t xml:space="preserve">As a decision-making scheme </w:t>
      </w:r>
      <w:r w:rsidR="00452CED">
        <w:rPr>
          <w:rFonts w:cstheme="minorHAnsi"/>
        </w:rPr>
        <w:t>operated by a public aut</w:t>
      </w:r>
      <w:r w:rsidR="00983255">
        <w:rPr>
          <w:rFonts w:cstheme="minorHAnsi"/>
        </w:rPr>
        <w:t xml:space="preserve">hority, DSDAS is subject to the supervisory jurisdiction of the Court of Session, including common law requirements that decisions </w:t>
      </w:r>
      <w:r w:rsidR="00A00B27">
        <w:rPr>
          <w:rFonts w:cstheme="minorHAnsi"/>
        </w:rPr>
        <w:t>made</w:t>
      </w:r>
      <w:r w:rsidR="00983255">
        <w:rPr>
          <w:rFonts w:cstheme="minorHAnsi"/>
        </w:rPr>
        <w:t xml:space="preserve"> under it should be </w:t>
      </w:r>
      <w:r w:rsidR="005F7645">
        <w:rPr>
          <w:rFonts w:cstheme="minorHAnsi"/>
        </w:rPr>
        <w:t xml:space="preserve">rational, </w:t>
      </w:r>
      <w:r w:rsidR="00983255">
        <w:rPr>
          <w:rFonts w:cstheme="minorHAnsi"/>
        </w:rPr>
        <w:t xml:space="preserve">consistent with the rules of the scheme, </w:t>
      </w:r>
      <w:r w:rsidR="00A00B27">
        <w:rPr>
          <w:rFonts w:cstheme="minorHAnsi"/>
        </w:rPr>
        <w:t xml:space="preserve">and taken </w:t>
      </w:r>
      <w:r w:rsidR="00983255">
        <w:rPr>
          <w:rFonts w:cstheme="minorHAnsi"/>
        </w:rPr>
        <w:t>in a procedurally fair</w:t>
      </w:r>
      <w:r w:rsidR="000B7699">
        <w:rPr>
          <w:rFonts w:cstheme="minorHAnsi"/>
        </w:rPr>
        <w:t xml:space="preserve"> way</w:t>
      </w:r>
      <w:r w:rsidR="0094274B">
        <w:rPr>
          <w:lang w:val="en-US"/>
        </w:rPr>
        <w:t>.</w:t>
      </w:r>
      <w:r w:rsidR="00957071">
        <w:rPr>
          <w:rStyle w:val="FootnoteReference"/>
          <w:lang w:val="en-US"/>
        </w:rPr>
        <w:footnoteReference w:id="4"/>
      </w:r>
      <w:r w:rsidR="00FC45F4">
        <w:rPr>
          <w:rFonts w:cstheme="minorHAnsi"/>
        </w:rPr>
        <w:t xml:space="preserve"> </w:t>
      </w:r>
      <w:r w:rsidR="00983255">
        <w:rPr>
          <w:rFonts w:cstheme="minorHAnsi"/>
        </w:rPr>
        <w:t>Failure to do so could give rise</w:t>
      </w:r>
      <w:r w:rsidR="008F0C8D">
        <w:rPr>
          <w:rFonts w:cstheme="minorHAnsi"/>
        </w:rPr>
        <w:t xml:space="preserve"> –</w:t>
      </w:r>
      <w:r w:rsidR="00983255">
        <w:rPr>
          <w:rFonts w:cstheme="minorHAnsi"/>
        </w:rPr>
        <w:t xml:space="preserve"> as </w:t>
      </w:r>
      <w:r w:rsidR="00A00B27">
        <w:rPr>
          <w:rFonts w:cstheme="minorHAnsi"/>
        </w:rPr>
        <w:t xml:space="preserve">Police Scotland’s </w:t>
      </w:r>
      <w:r w:rsidR="00983255">
        <w:rPr>
          <w:rFonts w:cstheme="minorHAnsi"/>
        </w:rPr>
        <w:t>internal guidance documentation recognises</w:t>
      </w:r>
      <w:r w:rsidR="008F0C8D">
        <w:rPr>
          <w:rFonts w:cstheme="minorHAnsi"/>
        </w:rPr>
        <w:t xml:space="preserve"> –</w:t>
      </w:r>
      <w:r w:rsidR="00983255">
        <w:rPr>
          <w:rFonts w:cstheme="minorHAnsi"/>
        </w:rPr>
        <w:t xml:space="preserve"> </w:t>
      </w:r>
      <w:r w:rsidR="00A31B30">
        <w:rPr>
          <w:rFonts w:cstheme="minorHAnsi"/>
        </w:rPr>
        <w:t>to</w:t>
      </w:r>
      <w:r w:rsidR="00983255">
        <w:rPr>
          <w:rFonts w:cstheme="minorHAnsi"/>
        </w:rPr>
        <w:t xml:space="preserve"> proceedings in judicial review.</w:t>
      </w:r>
      <w:r w:rsidR="00E428D8">
        <w:rPr>
          <w:rFonts w:cstheme="minorHAnsi"/>
        </w:rPr>
        <w:t xml:space="preserve"> </w:t>
      </w:r>
      <w:r w:rsidR="008F0C8D">
        <w:rPr>
          <w:rFonts w:cstheme="minorHAnsi"/>
        </w:rPr>
        <w:t xml:space="preserve">In practice, however, </w:t>
      </w:r>
      <w:r w:rsidR="00824D01">
        <w:rPr>
          <w:rFonts w:cstheme="minorHAnsi"/>
        </w:rPr>
        <w:t xml:space="preserve">how can an individual dissatisfied with the decision-making process challenge a decision to disclose or not to disclose when the </w:t>
      </w:r>
      <w:r w:rsidR="00AD46B6">
        <w:rPr>
          <w:rFonts w:cstheme="minorHAnsi"/>
        </w:rPr>
        <w:t xml:space="preserve">definitions, </w:t>
      </w:r>
      <w:r w:rsidR="00824D01">
        <w:rPr>
          <w:rFonts w:cstheme="minorHAnsi"/>
        </w:rPr>
        <w:t xml:space="preserve">tests and procedure used by officers in reaching those conclusions are </w:t>
      </w:r>
      <w:r w:rsidR="00AC377D">
        <w:rPr>
          <w:rFonts w:cstheme="minorHAnsi"/>
        </w:rPr>
        <w:t>not disclosed</w:t>
      </w:r>
      <w:r w:rsidR="00824D01">
        <w:rPr>
          <w:rFonts w:cstheme="minorHAnsi"/>
        </w:rPr>
        <w:t>?</w:t>
      </w:r>
    </w:p>
    <w:p w14:paraId="07D1F6A2" w14:textId="47E473E1" w:rsidR="007A780A" w:rsidRDefault="00983255" w:rsidP="00425759">
      <w:pPr>
        <w:spacing w:line="360" w:lineRule="auto"/>
        <w:jc w:val="both"/>
        <w:rPr>
          <w:rFonts w:cstheme="minorHAnsi"/>
        </w:rPr>
      </w:pPr>
      <w:r>
        <w:rPr>
          <w:rFonts w:cstheme="minorHAnsi"/>
        </w:rPr>
        <w:t>The scheme also raises human rights issues</w:t>
      </w:r>
      <w:r w:rsidR="0048549D">
        <w:rPr>
          <w:rFonts w:cstheme="minorHAnsi"/>
        </w:rPr>
        <w:t xml:space="preserve"> which further problematise </w:t>
      </w:r>
      <w:r w:rsidR="008F0C8D">
        <w:rPr>
          <w:rFonts w:cstheme="minorHAnsi"/>
        </w:rPr>
        <w:t xml:space="preserve">Police Scotland’s decision not to place </w:t>
      </w:r>
      <w:r w:rsidR="00C733F2">
        <w:rPr>
          <w:rFonts w:cstheme="minorHAnsi"/>
        </w:rPr>
        <w:t>this</w:t>
      </w:r>
      <w:r w:rsidR="00695BBF">
        <w:rPr>
          <w:rFonts w:cstheme="minorHAnsi"/>
        </w:rPr>
        <w:t xml:space="preserve"> more</w:t>
      </w:r>
      <w:r w:rsidR="008F0C8D">
        <w:rPr>
          <w:rFonts w:cstheme="minorHAnsi"/>
        </w:rPr>
        <w:t xml:space="preserve"> detailed account of </w:t>
      </w:r>
      <w:r w:rsidR="00FC45F4">
        <w:rPr>
          <w:rFonts w:cstheme="minorHAnsi"/>
        </w:rPr>
        <w:t xml:space="preserve">DSDAS </w:t>
      </w:r>
      <w:r w:rsidR="008F0C8D">
        <w:rPr>
          <w:rFonts w:cstheme="minorHAnsi"/>
        </w:rPr>
        <w:t>in the public domain</w:t>
      </w:r>
      <w:r>
        <w:rPr>
          <w:rFonts w:cstheme="minorHAnsi"/>
        </w:rPr>
        <w:t xml:space="preserve">. </w:t>
      </w:r>
      <w:r w:rsidR="00A63083" w:rsidRPr="00DA194D">
        <w:rPr>
          <w:rFonts w:cstheme="minorHAnsi"/>
        </w:rPr>
        <w:t>Article 8 of the European Convention on Human Rights provides that “everyone has the right to respect for his private and family life, his home and his correspondence</w:t>
      </w:r>
      <w:r w:rsidR="00245415">
        <w:rPr>
          <w:rFonts w:cstheme="minorHAnsi"/>
        </w:rPr>
        <w:t>”</w:t>
      </w:r>
      <w:r w:rsidR="00A63083" w:rsidRPr="00DA194D">
        <w:rPr>
          <w:rFonts w:cstheme="minorHAnsi"/>
        </w:rPr>
        <w:t>. The right is not absolute, however, and interferences with privacy rights by public authorities can be justified for Convention purposes if the intrusions are “according to law</w:t>
      </w:r>
      <w:r w:rsidR="00245415">
        <w:rPr>
          <w:rFonts w:cstheme="minorHAnsi"/>
        </w:rPr>
        <w:t>”</w:t>
      </w:r>
      <w:r w:rsidR="00A63083" w:rsidRPr="00DA194D">
        <w:rPr>
          <w:rFonts w:cstheme="minorHAnsi"/>
        </w:rPr>
        <w:t>, “pursue a legitimate aim</w:t>
      </w:r>
      <w:r w:rsidR="00245415">
        <w:rPr>
          <w:rFonts w:cstheme="minorHAnsi"/>
        </w:rPr>
        <w:t>”</w:t>
      </w:r>
      <w:r w:rsidR="00A63083" w:rsidRPr="00DA194D">
        <w:rPr>
          <w:rFonts w:cstheme="minorHAnsi"/>
        </w:rPr>
        <w:t>, and are “necessary in a democratic society” – representing a proportionate interference with the protected right.</w:t>
      </w:r>
      <w:r w:rsidR="00A15D9C">
        <w:rPr>
          <w:rFonts w:cstheme="minorHAnsi"/>
        </w:rPr>
        <w:t xml:space="preserve"> </w:t>
      </w:r>
      <w:r w:rsidR="005E04AE">
        <w:rPr>
          <w:rFonts w:cstheme="minorHAnsi"/>
        </w:rPr>
        <w:t>I</w:t>
      </w:r>
      <w:r w:rsidR="00A63083" w:rsidRPr="00DA194D">
        <w:rPr>
          <w:rFonts w:cstheme="minorHAnsi"/>
        </w:rPr>
        <w:t>n order to be Convention compliant, all three of these tests must be satisfied.</w:t>
      </w:r>
    </w:p>
    <w:p w14:paraId="57E8C444" w14:textId="38DEDCAE" w:rsidR="00A63083" w:rsidRPr="00DA194D" w:rsidRDefault="007A780A" w:rsidP="00425759">
      <w:pPr>
        <w:spacing w:line="360" w:lineRule="auto"/>
        <w:jc w:val="both"/>
        <w:rPr>
          <w:rFonts w:cstheme="minorHAnsi"/>
        </w:rPr>
      </w:pPr>
      <w:r w:rsidRPr="00DA194D">
        <w:rPr>
          <w:rFonts w:cstheme="minorHAnsi"/>
        </w:rPr>
        <w:t>Like other schemes</w:t>
      </w:r>
      <w:r>
        <w:rPr>
          <w:rFonts w:cstheme="minorHAnsi"/>
        </w:rPr>
        <w:t xml:space="preserve"> involving the disclosure of prior convictions, cautions or police intelligence by public authorities</w:t>
      </w:r>
      <w:r w:rsidRPr="00DA194D">
        <w:rPr>
          <w:rFonts w:cstheme="minorHAnsi"/>
        </w:rPr>
        <w:t xml:space="preserve">, DSDAS engages Article 8 </w:t>
      </w:r>
      <w:r>
        <w:rPr>
          <w:rFonts w:cstheme="minorHAnsi"/>
        </w:rPr>
        <w:t xml:space="preserve">of the ECHR </w:t>
      </w:r>
      <w:r w:rsidRPr="00DA194D">
        <w:rPr>
          <w:rFonts w:cstheme="minorHAnsi"/>
        </w:rPr>
        <w:t>because it impacts on the private life of persons subject to police disclosures</w:t>
      </w:r>
      <w:r w:rsidRPr="008021A0">
        <w:t>.</w:t>
      </w:r>
      <w:r w:rsidR="004E2A38">
        <w:rPr>
          <w:rStyle w:val="FootnoteReference"/>
        </w:rPr>
        <w:footnoteReference w:id="5"/>
      </w:r>
      <w:r>
        <w:t xml:space="preserve"> </w:t>
      </w:r>
      <w:r w:rsidRPr="00DA194D">
        <w:rPr>
          <w:rFonts w:cstheme="minorHAnsi"/>
        </w:rPr>
        <w:t>Police Scotland is a “public authority” for the purposes of the Human Rights Act 1998. Under section 6</w:t>
      </w:r>
      <w:r>
        <w:rPr>
          <w:rFonts w:cstheme="minorHAnsi"/>
        </w:rPr>
        <w:t xml:space="preserve"> of the Act</w:t>
      </w:r>
      <w:r w:rsidRPr="00DA194D">
        <w:rPr>
          <w:rFonts w:cstheme="minorHAnsi"/>
        </w:rPr>
        <w:t>, “it is unlawful for a public authority to act in a way which is incompatible with a Convention right</w:t>
      </w:r>
      <w:r w:rsidR="004E2A38">
        <w:rPr>
          <w:rFonts w:cstheme="minorHAnsi"/>
        </w:rPr>
        <w:t>”</w:t>
      </w:r>
      <w:r w:rsidRPr="00DA194D">
        <w:rPr>
          <w:rFonts w:cstheme="minorHAnsi"/>
        </w:rPr>
        <w:t xml:space="preserve">. </w:t>
      </w:r>
      <w:r w:rsidR="00020FAD">
        <w:rPr>
          <w:rFonts w:cstheme="minorHAnsi"/>
        </w:rPr>
        <w:t>Recognition</w:t>
      </w:r>
      <w:r w:rsidR="00F32186">
        <w:rPr>
          <w:rFonts w:cstheme="minorHAnsi"/>
        </w:rPr>
        <w:t xml:space="preserve"> of the importan</w:t>
      </w:r>
      <w:r>
        <w:rPr>
          <w:rFonts w:cstheme="minorHAnsi"/>
        </w:rPr>
        <w:t>ce</w:t>
      </w:r>
      <w:r w:rsidR="00F32186">
        <w:rPr>
          <w:rFonts w:cstheme="minorHAnsi"/>
        </w:rPr>
        <w:t xml:space="preserve"> of </w:t>
      </w:r>
      <w:r w:rsidR="008469B6">
        <w:rPr>
          <w:rFonts w:cstheme="minorHAnsi"/>
        </w:rPr>
        <w:t>Convention</w:t>
      </w:r>
      <w:r w:rsidR="00F32186">
        <w:rPr>
          <w:rFonts w:cstheme="minorHAnsi"/>
        </w:rPr>
        <w:t xml:space="preserve"> rights </w:t>
      </w:r>
      <w:r w:rsidR="00F32186">
        <w:rPr>
          <w:rFonts w:cstheme="minorHAnsi"/>
        </w:rPr>
        <w:lastRenderedPageBreak/>
        <w:t>has clearly informed the drafting and</w:t>
      </w:r>
      <w:r w:rsidR="00790976">
        <w:rPr>
          <w:rFonts w:cstheme="minorHAnsi"/>
        </w:rPr>
        <w:t xml:space="preserve"> conceptual</w:t>
      </w:r>
      <w:r w:rsidR="00F32186">
        <w:rPr>
          <w:rFonts w:cstheme="minorHAnsi"/>
        </w:rPr>
        <w:t xml:space="preserve"> framework of the DSDAS scheme. </w:t>
      </w:r>
      <w:r w:rsidR="00506C02">
        <w:rPr>
          <w:rFonts w:cstheme="minorHAnsi"/>
        </w:rPr>
        <w:t xml:space="preserve">The </w:t>
      </w:r>
      <w:r w:rsidR="008469B6">
        <w:rPr>
          <w:rFonts w:cstheme="minorHAnsi"/>
        </w:rPr>
        <w:t>ECHR’s</w:t>
      </w:r>
      <w:r w:rsidR="00506C02">
        <w:rPr>
          <w:rFonts w:cstheme="minorHAnsi"/>
        </w:rPr>
        <w:t xml:space="preserve"> language of “lawfulness</w:t>
      </w:r>
      <w:r w:rsidR="004E2A38">
        <w:rPr>
          <w:rFonts w:cstheme="minorHAnsi"/>
        </w:rPr>
        <w:t>”</w:t>
      </w:r>
      <w:r w:rsidR="00506C02">
        <w:rPr>
          <w:rFonts w:cstheme="minorHAnsi"/>
        </w:rPr>
        <w:t>, “proportionality” and “necessity” is woven through the</w:t>
      </w:r>
      <w:r w:rsidR="0080673E">
        <w:rPr>
          <w:rFonts w:cstheme="minorHAnsi"/>
        </w:rPr>
        <w:t xml:space="preserve"> </w:t>
      </w:r>
      <w:r w:rsidR="00506C02">
        <w:rPr>
          <w:rFonts w:cstheme="minorHAnsi"/>
        </w:rPr>
        <w:t>DSDAS guidance.</w:t>
      </w:r>
      <w:r w:rsidR="0095697E">
        <w:rPr>
          <w:rFonts w:cstheme="minorHAnsi"/>
        </w:rPr>
        <w:t xml:space="preserve"> </w:t>
      </w:r>
      <w:r w:rsidR="00A63083" w:rsidRPr="00DA194D">
        <w:rPr>
          <w:rFonts w:cstheme="minorHAnsi"/>
        </w:rPr>
        <w:t>While the proportionality of deciding to make a disclosure is likely to be specific to each case, the basic policy of disclosing histories of abuse</w:t>
      </w:r>
      <w:r w:rsidR="00525FDD">
        <w:rPr>
          <w:rFonts w:cstheme="minorHAnsi"/>
        </w:rPr>
        <w:t xml:space="preserve"> to applicants or persons judged a</w:t>
      </w:r>
      <w:r w:rsidR="009153A7">
        <w:rPr>
          <w:rFonts w:cstheme="minorHAnsi"/>
        </w:rPr>
        <w:t xml:space="preserve">t </w:t>
      </w:r>
      <w:r w:rsidR="00525FDD">
        <w:rPr>
          <w:rFonts w:cstheme="minorHAnsi"/>
        </w:rPr>
        <w:t>risk</w:t>
      </w:r>
      <w:r w:rsidR="00A63083" w:rsidRPr="00DA194D">
        <w:rPr>
          <w:rFonts w:cstheme="minorHAnsi"/>
        </w:rPr>
        <w:t xml:space="preserve"> is </w:t>
      </w:r>
      <w:r w:rsidR="005B165E">
        <w:rPr>
          <w:rFonts w:cstheme="minorHAnsi"/>
        </w:rPr>
        <w:t>obviously</w:t>
      </w:r>
      <w:r w:rsidR="00A63083" w:rsidRPr="00DA194D">
        <w:rPr>
          <w:rFonts w:cstheme="minorHAnsi"/>
        </w:rPr>
        <w:t xml:space="preserve"> justified under Article 8(2)</w:t>
      </w:r>
      <w:r w:rsidR="009153A7">
        <w:rPr>
          <w:rFonts w:cstheme="minorHAnsi"/>
        </w:rPr>
        <w:t xml:space="preserve">, </w:t>
      </w:r>
      <w:r w:rsidR="00A63083" w:rsidRPr="00DA194D">
        <w:rPr>
          <w:rFonts w:cstheme="minorHAnsi"/>
        </w:rPr>
        <w:t xml:space="preserve">on the basis </w:t>
      </w:r>
      <w:r w:rsidR="006E2716">
        <w:rPr>
          <w:rFonts w:cstheme="minorHAnsi"/>
        </w:rPr>
        <w:t xml:space="preserve">that </w:t>
      </w:r>
      <w:r w:rsidR="007B5B7D">
        <w:rPr>
          <w:rFonts w:cstheme="minorHAnsi"/>
        </w:rPr>
        <w:t xml:space="preserve">domestic abuse </w:t>
      </w:r>
      <w:r w:rsidR="006E2716">
        <w:rPr>
          <w:rFonts w:cstheme="minorHAnsi"/>
        </w:rPr>
        <w:t>disclosure</w:t>
      </w:r>
      <w:r w:rsidR="0033234D">
        <w:rPr>
          <w:rFonts w:cstheme="minorHAnsi"/>
        </w:rPr>
        <w:t>s</w:t>
      </w:r>
      <w:r w:rsidR="00A63083" w:rsidRPr="00DA194D">
        <w:rPr>
          <w:rFonts w:cstheme="minorHAnsi"/>
        </w:rPr>
        <w:t xml:space="preserve"> are made “for the prevention of disorder o</w:t>
      </w:r>
      <w:r w:rsidR="009153A7">
        <w:rPr>
          <w:rFonts w:cstheme="minorHAnsi"/>
        </w:rPr>
        <w:t>r</w:t>
      </w:r>
      <w:r w:rsidR="00A63083" w:rsidRPr="00DA194D">
        <w:rPr>
          <w:rFonts w:cstheme="minorHAnsi"/>
        </w:rPr>
        <w:t xml:space="preserve"> crime, for the protection of health or morals, or for the protection of the rights and freedoms of others</w:t>
      </w:r>
      <w:r w:rsidR="009153A7">
        <w:rPr>
          <w:rFonts w:cstheme="minorHAnsi"/>
        </w:rPr>
        <w:t>”</w:t>
      </w:r>
      <w:r w:rsidR="00A63083" w:rsidRPr="00DA194D">
        <w:rPr>
          <w:rFonts w:cstheme="minorHAnsi"/>
        </w:rPr>
        <w:t xml:space="preserve">. </w:t>
      </w:r>
      <w:r w:rsidR="00330924">
        <w:rPr>
          <w:rFonts w:cstheme="minorHAnsi"/>
        </w:rPr>
        <w:t>But i</w:t>
      </w:r>
      <w:r w:rsidR="00A63083" w:rsidRPr="00DA194D">
        <w:rPr>
          <w:rFonts w:cstheme="minorHAnsi"/>
        </w:rPr>
        <w:t xml:space="preserve">s the Scottish scheme “in accordance with law”? </w:t>
      </w:r>
      <w:r w:rsidR="00F53A7A" w:rsidRPr="00DA194D">
        <w:rPr>
          <w:rFonts w:cstheme="minorHAnsi"/>
        </w:rPr>
        <w:t>To</w:t>
      </w:r>
      <w:r w:rsidR="00A63083" w:rsidRPr="00DA194D">
        <w:rPr>
          <w:rFonts w:cstheme="minorHAnsi"/>
        </w:rPr>
        <w:t xml:space="preserve"> satisfy this </w:t>
      </w:r>
      <w:r w:rsidR="00F53A7A">
        <w:rPr>
          <w:rFonts w:cstheme="minorHAnsi"/>
        </w:rPr>
        <w:t>requirement</w:t>
      </w:r>
      <w:r w:rsidR="00A63083" w:rsidRPr="00DA194D">
        <w:rPr>
          <w:rFonts w:cstheme="minorHAnsi"/>
        </w:rPr>
        <w:t xml:space="preserve">, </w:t>
      </w:r>
      <w:r w:rsidR="0058749E">
        <w:rPr>
          <w:rFonts w:cstheme="minorHAnsi"/>
        </w:rPr>
        <w:t xml:space="preserve">two tests must be met. </w:t>
      </w:r>
      <w:r w:rsidR="000E6B44">
        <w:rPr>
          <w:rFonts w:cstheme="minorHAnsi"/>
        </w:rPr>
        <w:t>First, t</w:t>
      </w:r>
      <w:r w:rsidR="0058749E">
        <w:rPr>
          <w:rFonts w:cstheme="minorHAnsi"/>
        </w:rPr>
        <w:t>here</w:t>
      </w:r>
      <w:r w:rsidR="00A63083" w:rsidRPr="00DA194D">
        <w:rPr>
          <w:rFonts w:cstheme="minorHAnsi"/>
        </w:rPr>
        <w:t xml:space="preserve"> must be “a clear and accessible legal basis” for any interference with privacy rights by a public authority</w:t>
      </w:r>
      <w:r w:rsidR="00A435AA">
        <w:rPr>
          <w:rFonts w:cstheme="minorHAnsi"/>
        </w:rPr>
        <w:t>.</w:t>
      </w:r>
      <w:r w:rsidR="006A0E1A">
        <w:rPr>
          <w:rStyle w:val="FootnoteReference"/>
          <w:rFonts w:cstheme="minorHAnsi"/>
        </w:rPr>
        <w:footnoteReference w:id="6"/>
      </w:r>
      <w:r w:rsidR="0034660A">
        <w:rPr>
          <w:rFonts w:cstheme="minorHAnsi"/>
        </w:rPr>
        <w:t xml:space="preserve"> </w:t>
      </w:r>
      <w:r w:rsidR="00A435AA">
        <w:rPr>
          <w:rFonts w:cstheme="minorHAnsi"/>
        </w:rPr>
        <w:t>A</w:t>
      </w:r>
      <w:r w:rsidR="000E6B44">
        <w:rPr>
          <w:rFonts w:cstheme="minorHAnsi"/>
        </w:rPr>
        <w:t>nd secondly, a</w:t>
      </w:r>
      <w:r w:rsidR="00A63083" w:rsidRPr="00DA194D">
        <w:rPr>
          <w:rFonts w:cstheme="minorHAnsi"/>
        </w:rPr>
        <w:t xml:space="preserve">s the </w:t>
      </w:r>
      <w:r w:rsidR="00E05463">
        <w:rPr>
          <w:rFonts w:cstheme="minorHAnsi"/>
        </w:rPr>
        <w:t>S</w:t>
      </w:r>
      <w:r w:rsidR="00F54025">
        <w:rPr>
          <w:rFonts w:cstheme="minorHAnsi"/>
        </w:rPr>
        <w:t>trasbourg</w:t>
      </w:r>
      <w:r w:rsidR="00A63083" w:rsidRPr="00DA194D">
        <w:rPr>
          <w:rFonts w:cstheme="minorHAnsi"/>
        </w:rPr>
        <w:t xml:space="preserve"> Court </w:t>
      </w:r>
      <w:r w:rsidR="00180A4D">
        <w:rPr>
          <w:rFonts w:cstheme="minorHAnsi"/>
        </w:rPr>
        <w:t>set out</w:t>
      </w:r>
      <w:r w:rsidR="00A63083" w:rsidRPr="00DA194D">
        <w:rPr>
          <w:rFonts w:cstheme="minorHAnsi"/>
        </w:rPr>
        <w:t xml:space="preserve"> in</w:t>
      </w:r>
      <w:r w:rsidR="00180A4D">
        <w:rPr>
          <w:rFonts w:cstheme="minorHAnsi"/>
        </w:rPr>
        <w:t xml:space="preserve"> the leading case of</w:t>
      </w:r>
      <w:r w:rsidR="00A63083" w:rsidRPr="00DA194D">
        <w:rPr>
          <w:rFonts w:cstheme="minorHAnsi"/>
        </w:rPr>
        <w:t xml:space="preserve"> </w:t>
      </w:r>
      <w:r w:rsidR="00A63083" w:rsidRPr="00DA194D">
        <w:rPr>
          <w:rFonts w:cstheme="minorHAnsi"/>
          <w:i/>
          <w:iCs/>
        </w:rPr>
        <w:t>Sunday Times v United Kingdom</w:t>
      </w:r>
      <w:r w:rsidR="00B36504">
        <w:rPr>
          <w:rFonts w:cstheme="minorHAnsi"/>
        </w:rPr>
        <w:t xml:space="preserve">, a </w:t>
      </w:r>
      <w:r w:rsidR="00551D8B">
        <w:rPr>
          <w:rFonts w:cstheme="minorHAnsi"/>
        </w:rPr>
        <w:t>qualitative test</w:t>
      </w:r>
      <w:r w:rsidR="00B36504">
        <w:rPr>
          <w:rFonts w:cstheme="minorHAnsi"/>
        </w:rPr>
        <w:t xml:space="preserve"> applies</w:t>
      </w:r>
      <w:r w:rsidR="00133BBE">
        <w:rPr>
          <w:rFonts w:cstheme="minorHAnsi"/>
        </w:rPr>
        <w:t xml:space="preserve"> whereby</w:t>
      </w:r>
      <w:r w:rsidR="00A63083" w:rsidRPr="00DA194D">
        <w:rPr>
          <w:rFonts w:cstheme="minorHAnsi"/>
        </w:rPr>
        <w:t>:</w:t>
      </w:r>
    </w:p>
    <w:p w14:paraId="17BE491C" w14:textId="770EC74E" w:rsidR="00A63083" w:rsidRPr="00DA194D" w:rsidRDefault="00A63083" w:rsidP="00425759">
      <w:pPr>
        <w:spacing w:line="360" w:lineRule="auto"/>
        <w:ind w:left="720"/>
        <w:jc w:val="both"/>
        <w:rPr>
          <w:rFonts w:cstheme="minorHAnsi"/>
        </w:rPr>
      </w:pPr>
      <w:r w:rsidRPr="00DA194D">
        <w:rPr>
          <w:rFonts w:cstheme="minorHAnsi"/>
        </w:rPr>
        <w:t>a norm cannot be regarded as a ‘law’ unless it is formulated with sufficient precision to enable the citizen to regulate his conduct: he must be able – if need be</w:t>
      </w:r>
      <w:r w:rsidR="009153A7">
        <w:rPr>
          <w:rFonts w:cstheme="minorHAnsi"/>
        </w:rPr>
        <w:t>,</w:t>
      </w:r>
      <w:r w:rsidRPr="00DA194D">
        <w:rPr>
          <w:rFonts w:cstheme="minorHAnsi"/>
        </w:rPr>
        <w:t xml:space="preserve"> with appropriate advice – to foresee, to a degree that is reasonable in the circumstances, the consequences which a given action may entail.</w:t>
      </w:r>
      <w:r w:rsidR="00CF6F2D">
        <w:rPr>
          <w:rStyle w:val="FootnoteReference"/>
          <w:rFonts w:cstheme="minorHAnsi"/>
        </w:rPr>
        <w:footnoteReference w:id="7"/>
      </w:r>
      <w:r w:rsidRPr="00DA194D">
        <w:rPr>
          <w:rFonts w:cstheme="minorHAnsi"/>
        </w:rPr>
        <w:t xml:space="preserve"> </w:t>
      </w:r>
    </w:p>
    <w:p w14:paraId="02DE8C98" w14:textId="4BE1D762" w:rsidR="00F55447" w:rsidRDefault="00A63083" w:rsidP="00425759">
      <w:pPr>
        <w:spacing w:line="360" w:lineRule="auto"/>
        <w:jc w:val="both"/>
        <w:rPr>
          <w:rFonts w:cstheme="minorHAnsi"/>
        </w:rPr>
      </w:pPr>
      <w:r w:rsidRPr="00DA194D">
        <w:rPr>
          <w:rFonts w:cstheme="minorHAnsi"/>
        </w:rPr>
        <w:t>This clear and accessible legal basis need not be statutory in form</w:t>
      </w:r>
      <w:r w:rsidR="00EB67DA">
        <w:rPr>
          <w:rFonts w:cstheme="minorHAnsi"/>
        </w:rPr>
        <w:t xml:space="preserve"> – official </w:t>
      </w:r>
      <w:r w:rsidR="00551D8B">
        <w:rPr>
          <w:rFonts w:cstheme="minorHAnsi"/>
        </w:rPr>
        <w:t xml:space="preserve">police </w:t>
      </w:r>
      <w:r w:rsidR="00EB67DA">
        <w:rPr>
          <w:rFonts w:cstheme="minorHAnsi"/>
        </w:rPr>
        <w:t>guidance built on the back of an appropriate</w:t>
      </w:r>
      <w:r w:rsidR="00122BBC">
        <w:rPr>
          <w:rFonts w:cstheme="minorHAnsi"/>
        </w:rPr>
        <w:t>ly</w:t>
      </w:r>
      <w:r w:rsidR="00EB67DA">
        <w:rPr>
          <w:rFonts w:cstheme="minorHAnsi"/>
        </w:rPr>
        <w:t xml:space="preserve"> clear source of legal authority </w:t>
      </w:r>
      <w:r w:rsidR="00CF6BC4">
        <w:rPr>
          <w:rFonts w:cstheme="minorHAnsi"/>
        </w:rPr>
        <w:t xml:space="preserve">for a scheme </w:t>
      </w:r>
      <w:r w:rsidR="00EB67DA">
        <w:rPr>
          <w:rFonts w:cstheme="minorHAnsi"/>
        </w:rPr>
        <w:t xml:space="preserve">will do – </w:t>
      </w:r>
      <w:r w:rsidRPr="00DA194D">
        <w:rPr>
          <w:rFonts w:cstheme="minorHAnsi"/>
        </w:rPr>
        <w:t xml:space="preserve">but </w:t>
      </w:r>
      <w:r w:rsidR="005E20F6">
        <w:rPr>
          <w:rFonts w:cstheme="minorHAnsi"/>
        </w:rPr>
        <w:t xml:space="preserve">the </w:t>
      </w:r>
      <w:r w:rsidR="003E1022">
        <w:rPr>
          <w:rFonts w:cstheme="minorHAnsi"/>
        </w:rPr>
        <w:t xml:space="preserve">ECHR requires that the </w:t>
      </w:r>
      <w:r w:rsidR="005E20F6">
        <w:rPr>
          <w:rFonts w:cstheme="minorHAnsi"/>
        </w:rPr>
        <w:t>legal framework justifying</w:t>
      </w:r>
      <w:r w:rsidR="00CD232F">
        <w:rPr>
          <w:rFonts w:cstheme="minorHAnsi"/>
        </w:rPr>
        <w:t xml:space="preserve"> intrusions into </w:t>
      </w:r>
      <w:r w:rsidR="00CA3CAD">
        <w:rPr>
          <w:rFonts w:cstheme="minorHAnsi"/>
        </w:rPr>
        <w:t>basic</w:t>
      </w:r>
      <w:r w:rsidR="00CD232F">
        <w:rPr>
          <w:rFonts w:cstheme="minorHAnsi"/>
        </w:rPr>
        <w:t xml:space="preserve"> rights</w:t>
      </w:r>
      <w:r w:rsidR="005E66DA">
        <w:rPr>
          <w:rFonts w:cstheme="minorHAnsi"/>
        </w:rPr>
        <w:t xml:space="preserve"> </w:t>
      </w:r>
      <w:r w:rsidRPr="00DA194D">
        <w:rPr>
          <w:rFonts w:cstheme="minorHAnsi"/>
        </w:rPr>
        <w:t>must be reasonably accessible to members of the public whose</w:t>
      </w:r>
      <w:r w:rsidR="00FB78E9">
        <w:rPr>
          <w:rFonts w:cstheme="minorHAnsi"/>
        </w:rPr>
        <w:t xml:space="preserve"> </w:t>
      </w:r>
      <w:r w:rsidRPr="00DA194D">
        <w:rPr>
          <w:rFonts w:cstheme="minorHAnsi"/>
        </w:rPr>
        <w:t xml:space="preserve">rights </w:t>
      </w:r>
      <w:r w:rsidR="00E428D8">
        <w:rPr>
          <w:rFonts w:cstheme="minorHAnsi"/>
        </w:rPr>
        <w:t>are</w:t>
      </w:r>
      <w:r w:rsidRPr="00DA194D">
        <w:rPr>
          <w:rFonts w:cstheme="minorHAnsi"/>
        </w:rPr>
        <w:t xml:space="preserve"> affected by the scheme</w:t>
      </w:r>
      <w:r w:rsidR="00C46BE9">
        <w:rPr>
          <w:rFonts w:cstheme="minorHAnsi"/>
        </w:rPr>
        <w:t xml:space="preserve">, and </w:t>
      </w:r>
      <w:r w:rsidRPr="00DA194D">
        <w:rPr>
          <w:rFonts w:cstheme="minorHAnsi"/>
        </w:rPr>
        <w:t>minimise the risk of the arbitrary exercise of power by public officials</w:t>
      </w:r>
      <w:r w:rsidR="00AF0C22">
        <w:rPr>
          <w:rFonts w:cstheme="minorHAnsi"/>
        </w:rPr>
        <w:t>,</w:t>
      </w:r>
      <w:r w:rsidR="00E44709">
        <w:rPr>
          <w:rFonts w:cstheme="minorHAnsi"/>
        </w:rPr>
        <w:t xml:space="preserve"> </w:t>
      </w:r>
      <w:r w:rsidRPr="00DA194D">
        <w:rPr>
          <w:rFonts w:cstheme="minorHAnsi"/>
        </w:rPr>
        <w:t>including police forces.</w:t>
      </w:r>
      <w:r w:rsidR="00E428D8">
        <w:rPr>
          <w:rFonts w:cstheme="minorHAnsi"/>
        </w:rPr>
        <w:t xml:space="preserve"> </w:t>
      </w:r>
      <w:r w:rsidR="003B2C2F">
        <w:rPr>
          <w:rFonts w:cstheme="minorHAnsi"/>
        </w:rPr>
        <w:t xml:space="preserve">This </w:t>
      </w:r>
      <w:r w:rsidR="00914DF6">
        <w:rPr>
          <w:rFonts w:cstheme="minorHAnsi"/>
        </w:rPr>
        <w:t xml:space="preserve">test is </w:t>
      </w:r>
      <w:r w:rsidR="00052F9A">
        <w:rPr>
          <w:rFonts w:cstheme="minorHAnsi"/>
        </w:rPr>
        <w:t>arguably</w:t>
      </w:r>
      <w:r w:rsidR="00914DF6">
        <w:rPr>
          <w:rFonts w:cstheme="minorHAnsi"/>
        </w:rPr>
        <w:t xml:space="preserve"> not satisfied by the </w:t>
      </w:r>
      <w:r w:rsidR="003D2FD0">
        <w:rPr>
          <w:rFonts w:cstheme="minorHAnsi"/>
        </w:rPr>
        <w:t xml:space="preserve">current </w:t>
      </w:r>
      <w:r w:rsidR="00914DF6">
        <w:rPr>
          <w:rFonts w:cstheme="minorHAnsi"/>
        </w:rPr>
        <w:t xml:space="preserve">unpublished </w:t>
      </w:r>
      <w:r w:rsidR="003D2FD0">
        <w:rPr>
          <w:rFonts w:cstheme="minorHAnsi"/>
        </w:rPr>
        <w:t>iteration of the DSDAS</w:t>
      </w:r>
      <w:r w:rsidR="00B2155F">
        <w:rPr>
          <w:rFonts w:cstheme="minorHAnsi"/>
        </w:rPr>
        <w:t xml:space="preserve">. </w:t>
      </w:r>
      <w:r w:rsidR="00F55447" w:rsidRPr="00DA194D">
        <w:rPr>
          <w:rFonts w:cstheme="minorHAnsi"/>
        </w:rPr>
        <w:t>While Police Scotland’s D</w:t>
      </w:r>
      <w:r w:rsidR="00F55447">
        <w:rPr>
          <w:rFonts w:cstheme="minorHAnsi"/>
        </w:rPr>
        <w:t>S</w:t>
      </w:r>
      <w:r w:rsidR="00F55447" w:rsidRPr="00DA194D">
        <w:rPr>
          <w:rFonts w:cstheme="minorHAnsi"/>
        </w:rPr>
        <w:t>D</w:t>
      </w:r>
      <w:r w:rsidR="00F55447">
        <w:rPr>
          <w:rFonts w:cstheme="minorHAnsi"/>
        </w:rPr>
        <w:t>A</w:t>
      </w:r>
      <w:r w:rsidR="00F55447" w:rsidRPr="00DA194D">
        <w:rPr>
          <w:rFonts w:cstheme="minorHAnsi"/>
        </w:rPr>
        <w:t xml:space="preserve">S documentation recognises the risk of judicial review of decisions made under the scheme – alluding to the possibility three times in the guidance – it </w:t>
      </w:r>
      <w:r w:rsidR="00F55447">
        <w:rPr>
          <w:rFonts w:cstheme="minorHAnsi"/>
        </w:rPr>
        <w:t>does not currently</w:t>
      </w:r>
      <w:r w:rsidR="00F55447" w:rsidRPr="00DA194D">
        <w:rPr>
          <w:rFonts w:cstheme="minorHAnsi"/>
        </w:rPr>
        <w:t xml:space="preserve"> recognise that the</w:t>
      </w:r>
      <w:r w:rsidR="00F55447">
        <w:rPr>
          <w:rFonts w:cstheme="minorHAnsi"/>
        </w:rPr>
        <w:t xml:space="preserve"> decision not</w:t>
      </w:r>
      <w:r w:rsidR="00F55447" w:rsidRPr="00DA194D">
        <w:rPr>
          <w:rFonts w:cstheme="minorHAnsi"/>
        </w:rPr>
        <w:t xml:space="preserve"> to </w:t>
      </w:r>
      <w:r w:rsidR="00F55447" w:rsidRPr="00570AD4">
        <w:rPr>
          <w:rFonts w:cstheme="minorHAnsi"/>
          <w:i/>
          <w:iCs/>
        </w:rPr>
        <w:t>publish</w:t>
      </w:r>
      <w:r w:rsidR="00F55447" w:rsidRPr="00DA194D">
        <w:rPr>
          <w:rFonts w:cstheme="minorHAnsi"/>
        </w:rPr>
        <w:t xml:space="preserve"> this guidance represents one basis on which the lawfulness of the DSDAS scheme might be contested</w:t>
      </w:r>
      <w:r w:rsidR="00F55447">
        <w:rPr>
          <w:rFonts w:cstheme="minorHAnsi"/>
        </w:rPr>
        <w:t>, either on common law or ECHR grounds</w:t>
      </w:r>
      <w:r w:rsidR="00F55447" w:rsidRPr="00DA194D">
        <w:rPr>
          <w:rFonts w:cstheme="minorHAnsi"/>
        </w:rPr>
        <w:t xml:space="preserve">. </w:t>
      </w:r>
    </w:p>
    <w:p w14:paraId="2E09E592" w14:textId="6D370A41" w:rsidR="005D0CF2" w:rsidRDefault="00F55447" w:rsidP="00425759">
      <w:pPr>
        <w:spacing w:line="360" w:lineRule="auto"/>
        <w:jc w:val="both"/>
      </w:pPr>
      <w:r w:rsidRPr="00DA194D">
        <w:rPr>
          <w:rFonts w:cstheme="minorHAnsi"/>
        </w:rPr>
        <w:t xml:space="preserve">While the common law grants broad discretionary authority to the police to make disclosures of information in the public interest – subject to the Human Rights Act 1998 and now the Data Protection Act 2018 – the existence of an unpublished policy has been held in other contexts to be an unlawful exercise of public power, contrary to public authorities’ duty of transparency at common law and </w:t>
      </w:r>
      <w:r w:rsidRPr="00DA194D">
        <w:rPr>
          <w:rFonts w:cstheme="minorHAnsi"/>
        </w:rPr>
        <w:lastRenderedPageBreak/>
        <w:t xml:space="preserve">potentially depriving </w:t>
      </w:r>
      <w:r>
        <w:rPr>
          <w:rFonts w:cstheme="minorHAnsi"/>
        </w:rPr>
        <w:t>unpublished</w:t>
      </w:r>
      <w:r w:rsidRPr="00DA194D">
        <w:rPr>
          <w:rFonts w:cstheme="minorHAnsi"/>
        </w:rPr>
        <w:t xml:space="preserve"> scheme</w:t>
      </w:r>
      <w:r>
        <w:rPr>
          <w:rFonts w:cstheme="minorHAnsi"/>
        </w:rPr>
        <w:t>s</w:t>
      </w:r>
      <w:r w:rsidRPr="00DA194D">
        <w:rPr>
          <w:rFonts w:cstheme="minorHAnsi"/>
        </w:rPr>
        <w:t xml:space="preserve"> of the public character necessary to satisfy the “according to law” criterion if challenged </w:t>
      </w:r>
      <w:r>
        <w:rPr>
          <w:rFonts w:cstheme="minorHAnsi"/>
        </w:rPr>
        <w:t>under</w:t>
      </w:r>
      <w:r w:rsidRPr="00DA194D">
        <w:rPr>
          <w:rFonts w:cstheme="minorHAnsi"/>
        </w:rPr>
        <w:t xml:space="preserve"> Article 8</w:t>
      </w:r>
      <w:r>
        <w:t>.</w:t>
      </w:r>
      <w:r w:rsidR="00434901">
        <w:rPr>
          <w:rStyle w:val="FootnoteReference"/>
        </w:rPr>
        <w:footnoteReference w:id="8"/>
      </w:r>
      <w:r>
        <w:t xml:space="preserve"> </w:t>
      </w:r>
    </w:p>
    <w:p w14:paraId="2EC447EF" w14:textId="6BC58FF5" w:rsidR="00F55447" w:rsidRPr="000E6CC0" w:rsidRDefault="00F55447" w:rsidP="00425759">
      <w:pPr>
        <w:spacing w:line="360" w:lineRule="auto"/>
        <w:jc w:val="both"/>
      </w:pPr>
      <w:r>
        <w:t>The UK Supreme Court has held that “the rule of law” can require public authorities like Police Scotland to make “a transparent statement” about how broad discretionary powers will be exercised, recognising that individuals interacting with public authorities have the right not only to have their case or application “</w:t>
      </w:r>
      <w:bookmarkStart w:id="0" w:name="para35"/>
      <w:r w:rsidRPr="000E6CC0">
        <w:t>considered under whatever policy</w:t>
      </w:r>
      <w:r>
        <w:t>”</w:t>
      </w:r>
      <w:r w:rsidRPr="000E6CC0">
        <w:t xml:space="preserve"> </w:t>
      </w:r>
      <w:r>
        <w:t>that public authority adopts to structure its discretionary decision-making, but can also incorporate “</w:t>
      </w:r>
      <w:r w:rsidRPr="000E6CC0">
        <w:t>a correlative right to know what that currently existing policy is, so that the individual can make relevant representations in relation to it</w:t>
      </w:r>
      <w:bookmarkEnd w:id="0"/>
      <w:r>
        <w:t>”.</w:t>
      </w:r>
      <w:r w:rsidR="00431E89">
        <w:rPr>
          <w:rStyle w:val="FootnoteReference"/>
        </w:rPr>
        <w:footnoteReference w:id="9"/>
      </w:r>
    </w:p>
    <w:p w14:paraId="2C6A4AA7" w14:textId="70B53E70" w:rsidR="000B61FD" w:rsidRDefault="00F55447" w:rsidP="00425759">
      <w:pPr>
        <w:spacing w:line="360" w:lineRule="auto"/>
        <w:jc w:val="both"/>
        <w:rPr>
          <w:rFonts w:cstheme="minorHAnsi"/>
        </w:rPr>
      </w:pPr>
      <w:r w:rsidRPr="00DA194D">
        <w:rPr>
          <w:rFonts w:cstheme="minorHAnsi"/>
        </w:rPr>
        <w:t xml:space="preserve">In terms of the DSDAS scheme, this argument is made more complex by the fact </w:t>
      </w:r>
      <w:r w:rsidR="00857F7A">
        <w:rPr>
          <w:rFonts w:cstheme="minorHAnsi"/>
        </w:rPr>
        <w:t xml:space="preserve">that </w:t>
      </w:r>
      <w:r w:rsidRPr="00DA194D">
        <w:rPr>
          <w:rFonts w:cstheme="minorHAnsi"/>
        </w:rPr>
        <w:t xml:space="preserve">Police Scotland has shared some elements of the scheme on its website in the form of the application form and </w:t>
      </w:r>
      <w:r>
        <w:rPr>
          <w:rFonts w:cstheme="minorHAnsi"/>
        </w:rPr>
        <w:t>some supporting</w:t>
      </w:r>
      <w:r w:rsidRPr="00DA194D">
        <w:rPr>
          <w:rFonts w:cstheme="minorHAnsi"/>
        </w:rPr>
        <w:t xml:space="preserve"> documentation, while the operation of other aspects of the scheme are not disclosed.</w:t>
      </w:r>
      <w:r>
        <w:rPr>
          <w:rFonts w:cstheme="minorHAnsi"/>
        </w:rPr>
        <w:t xml:space="preserve"> </w:t>
      </w:r>
      <w:r w:rsidRPr="00DA194D">
        <w:rPr>
          <w:rFonts w:cstheme="minorHAnsi"/>
        </w:rPr>
        <w:t xml:space="preserve">Whether or not Police Scotland’s </w:t>
      </w:r>
      <w:r w:rsidR="006C58C1">
        <w:rPr>
          <w:rFonts w:cstheme="minorHAnsi"/>
        </w:rPr>
        <w:t>decision not</w:t>
      </w:r>
      <w:r w:rsidRPr="00DA194D">
        <w:rPr>
          <w:rFonts w:cstheme="minorHAnsi"/>
        </w:rPr>
        <w:t xml:space="preserve"> to publish </w:t>
      </w:r>
      <w:r w:rsidR="00584F24">
        <w:rPr>
          <w:rFonts w:cstheme="minorHAnsi"/>
        </w:rPr>
        <w:t>the DSDAS</w:t>
      </w:r>
      <w:r w:rsidRPr="00DA194D">
        <w:rPr>
          <w:rFonts w:cstheme="minorHAnsi"/>
        </w:rPr>
        <w:t xml:space="preserve"> guidance would be held to be unlawful if challenged in court, the net effect of </w:t>
      </w:r>
      <w:r>
        <w:rPr>
          <w:rFonts w:cstheme="minorHAnsi"/>
        </w:rPr>
        <w:t>its</w:t>
      </w:r>
      <w:r w:rsidRPr="00DA194D">
        <w:rPr>
          <w:rFonts w:cstheme="minorHAnsi"/>
        </w:rPr>
        <w:t xml:space="preserve"> decision </w:t>
      </w:r>
      <w:r w:rsidRPr="003F0D19">
        <w:rPr>
          <w:rFonts w:cstheme="minorHAnsi"/>
          <w:i/>
          <w:iCs/>
        </w:rPr>
        <w:t>not</w:t>
      </w:r>
      <w:r w:rsidRPr="00DA194D">
        <w:rPr>
          <w:rFonts w:cstheme="minorHAnsi"/>
        </w:rPr>
        <w:t xml:space="preserve"> to</w:t>
      </w:r>
      <w:r>
        <w:rPr>
          <w:rFonts w:cstheme="minorHAnsi"/>
        </w:rPr>
        <w:t xml:space="preserve"> publish substantive details about how the disclosure scheme works deprives the scheme of the quality of accessibility and transparency for applicants, subjects of disclosures, and anyone else with an interest in the disclosure scheme and its operation, including researchers, campaigners, and third sector organisations advising potential applicants. </w:t>
      </w:r>
      <w:r w:rsidRPr="00DA194D">
        <w:rPr>
          <w:rFonts w:cstheme="minorHAnsi"/>
        </w:rPr>
        <w:t>While no judicial review proceeding</w:t>
      </w:r>
      <w:r>
        <w:rPr>
          <w:rFonts w:cstheme="minorHAnsi"/>
        </w:rPr>
        <w:t>s have been raised challenging t</w:t>
      </w:r>
      <w:r w:rsidRPr="00DA194D">
        <w:rPr>
          <w:rFonts w:cstheme="minorHAnsi"/>
        </w:rPr>
        <w:t>he</w:t>
      </w:r>
      <w:r>
        <w:rPr>
          <w:rFonts w:cstheme="minorHAnsi"/>
        </w:rPr>
        <w:t xml:space="preserve"> lawfulness of the</w:t>
      </w:r>
      <w:r w:rsidRPr="00DA194D">
        <w:rPr>
          <w:rFonts w:cstheme="minorHAnsi"/>
        </w:rPr>
        <w:t xml:space="preserve"> </w:t>
      </w:r>
      <w:r>
        <w:rPr>
          <w:rFonts w:cstheme="minorHAnsi"/>
        </w:rPr>
        <w:t xml:space="preserve">Scottish scheme or </w:t>
      </w:r>
      <w:r w:rsidRPr="00DA194D">
        <w:rPr>
          <w:rFonts w:cstheme="minorHAnsi"/>
        </w:rPr>
        <w:t>decision</w:t>
      </w:r>
      <w:r>
        <w:rPr>
          <w:rFonts w:cstheme="minorHAnsi"/>
        </w:rPr>
        <w:t>s</w:t>
      </w:r>
      <w:r w:rsidRPr="00DA194D">
        <w:rPr>
          <w:rFonts w:cstheme="minorHAnsi"/>
        </w:rPr>
        <w:t xml:space="preserve"> </w:t>
      </w:r>
      <w:r>
        <w:rPr>
          <w:rFonts w:cstheme="minorHAnsi"/>
        </w:rPr>
        <w:t xml:space="preserve">taken </w:t>
      </w:r>
      <w:r w:rsidRPr="00DA194D">
        <w:rPr>
          <w:rFonts w:cstheme="minorHAnsi"/>
        </w:rPr>
        <w:t xml:space="preserve">under </w:t>
      </w:r>
      <w:r>
        <w:rPr>
          <w:rFonts w:cstheme="minorHAnsi"/>
        </w:rPr>
        <w:t>it</w:t>
      </w:r>
      <w:r w:rsidRPr="00DA194D">
        <w:rPr>
          <w:rFonts w:cstheme="minorHAnsi"/>
        </w:rPr>
        <w:t xml:space="preserve">, </w:t>
      </w:r>
      <w:r>
        <w:rPr>
          <w:rFonts w:cstheme="minorHAnsi"/>
        </w:rPr>
        <w:t xml:space="preserve">Police Scotland </w:t>
      </w:r>
      <w:r w:rsidRPr="004A2B8B">
        <w:rPr>
          <w:rFonts w:cstheme="minorHAnsi"/>
        </w:rPr>
        <w:t>should anticipate this legal risk</w:t>
      </w:r>
      <w:r>
        <w:rPr>
          <w:rFonts w:cstheme="minorHAnsi"/>
        </w:rPr>
        <w:t>, and consider following the Home Office and publish</w:t>
      </w:r>
      <w:r w:rsidR="003C12AC">
        <w:rPr>
          <w:rFonts w:cstheme="minorHAnsi"/>
        </w:rPr>
        <w:t>ing</w:t>
      </w:r>
      <w:r>
        <w:rPr>
          <w:rFonts w:cstheme="minorHAnsi"/>
        </w:rPr>
        <w:t xml:space="preserve"> its guidance</w:t>
      </w:r>
      <w:r w:rsidRPr="00DA194D">
        <w:rPr>
          <w:rFonts w:cstheme="minorHAnsi"/>
        </w:rPr>
        <w:t xml:space="preserve"> to ensure </w:t>
      </w:r>
      <w:r>
        <w:rPr>
          <w:rFonts w:cstheme="minorHAnsi"/>
        </w:rPr>
        <w:t>it</w:t>
      </w:r>
      <w:r w:rsidRPr="00DA194D">
        <w:rPr>
          <w:rFonts w:cstheme="minorHAnsi"/>
        </w:rPr>
        <w:t xml:space="preserve"> satisfies the requirements of Article 8 of the European Convention, as well as promoting the accessibility </w:t>
      </w:r>
      <w:r>
        <w:rPr>
          <w:rFonts w:cstheme="minorHAnsi"/>
        </w:rPr>
        <w:t xml:space="preserve">and transparency </w:t>
      </w:r>
      <w:r w:rsidRPr="00DA194D">
        <w:rPr>
          <w:rFonts w:cstheme="minorHAnsi"/>
        </w:rPr>
        <w:t>of the scheme</w:t>
      </w:r>
      <w:r>
        <w:rPr>
          <w:rFonts w:cstheme="minorHAnsi"/>
        </w:rPr>
        <w:t xml:space="preserve"> as a social good. This approach would also be more consistent with the principle of </w:t>
      </w:r>
      <w:r w:rsidR="006717A0">
        <w:rPr>
          <w:rFonts w:cstheme="minorHAnsi"/>
        </w:rPr>
        <w:t>“</w:t>
      </w:r>
      <w:r w:rsidR="006717A0" w:rsidRPr="006717A0">
        <w:rPr>
          <w:rFonts w:cstheme="minorHAnsi"/>
        </w:rPr>
        <w:t>policing</w:t>
      </w:r>
      <w:r w:rsidR="006717A0">
        <w:rPr>
          <w:rFonts w:cstheme="minorHAnsi"/>
        </w:rPr>
        <w:t xml:space="preserve"> </w:t>
      </w:r>
      <w:r w:rsidR="006717A0" w:rsidRPr="006717A0">
        <w:rPr>
          <w:rFonts w:cstheme="minorHAnsi"/>
        </w:rPr>
        <w:t>in a way which</w:t>
      </w:r>
      <w:r w:rsidR="006717A0">
        <w:rPr>
          <w:rFonts w:cstheme="minorHAnsi"/>
        </w:rPr>
        <w:t xml:space="preserve"> </w:t>
      </w:r>
      <w:r w:rsidR="006717A0" w:rsidRPr="006717A0">
        <w:rPr>
          <w:rFonts w:cstheme="minorHAnsi"/>
        </w:rPr>
        <w:t>is accessible to, and engaged with, local communities</w:t>
      </w:r>
      <w:r w:rsidR="006717A0">
        <w:rPr>
          <w:rFonts w:cstheme="minorHAnsi"/>
        </w:rPr>
        <w:t>”</w:t>
      </w:r>
      <w:r>
        <w:rPr>
          <w:rFonts w:cstheme="minorHAnsi"/>
        </w:rPr>
        <w:t>.</w:t>
      </w:r>
      <w:r w:rsidR="00FA1BD6">
        <w:rPr>
          <w:rStyle w:val="FootnoteReference"/>
          <w:rFonts w:cstheme="minorHAnsi"/>
        </w:rPr>
        <w:footnoteReference w:id="10"/>
      </w:r>
    </w:p>
    <w:p w14:paraId="7DB6CBEF" w14:textId="77777777" w:rsidR="005A3287" w:rsidRDefault="005A3287" w:rsidP="00425759">
      <w:pPr>
        <w:spacing w:line="360" w:lineRule="auto"/>
        <w:jc w:val="both"/>
        <w:rPr>
          <w:rFonts w:cstheme="minorHAnsi"/>
          <w:b/>
          <w:bCs/>
        </w:rPr>
      </w:pPr>
    </w:p>
    <w:p w14:paraId="120996F5" w14:textId="122DAF9D" w:rsidR="00B1700C" w:rsidRPr="00B1700C" w:rsidRDefault="00B5397D" w:rsidP="00F37CDB">
      <w:pPr>
        <w:pStyle w:val="Heading1"/>
      </w:pPr>
      <w:r>
        <w:t>L</w:t>
      </w:r>
      <w:r w:rsidR="00B1700C">
        <w:t xml:space="preserve">egal basis </w:t>
      </w:r>
      <w:r>
        <w:t>of</w:t>
      </w:r>
      <w:r w:rsidR="00B1700C">
        <w:t xml:space="preserve"> </w:t>
      </w:r>
      <w:r w:rsidR="005E66DA">
        <w:t>Police Scotland</w:t>
      </w:r>
      <w:r w:rsidR="00C06899">
        <w:t>’s</w:t>
      </w:r>
      <w:r w:rsidR="005E66DA">
        <w:t xml:space="preserve"> </w:t>
      </w:r>
      <w:r w:rsidR="00B1700C">
        <w:t>power to disclose</w:t>
      </w:r>
    </w:p>
    <w:p w14:paraId="0BDD9999" w14:textId="3D6D0B59" w:rsidR="00A63083" w:rsidRPr="00DA194D" w:rsidRDefault="002A4045" w:rsidP="00425759">
      <w:pPr>
        <w:spacing w:line="360" w:lineRule="auto"/>
        <w:jc w:val="both"/>
        <w:rPr>
          <w:rFonts w:cstheme="minorHAnsi"/>
        </w:rPr>
      </w:pPr>
      <w:r>
        <w:rPr>
          <w:rFonts w:cstheme="minorHAnsi"/>
        </w:rPr>
        <w:t>A</w:t>
      </w:r>
      <w:r w:rsidR="00273FE9">
        <w:rPr>
          <w:rFonts w:cstheme="minorHAnsi"/>
        </w:rPr>
        <w:t xml:space="preserve"> second</w:t>
      </w:r>
      <w:r>
        <w:rPr>
          <w:rFonts w:cstheme="minorHAnsi"/>
        </w:rPr>
        <w:t xml:space="preserve"> important </w:t>
      </w:r>
      <w:r w:rsidR="00A63083" w:rsidRPr="002A4045">
        <w:rPr>
          <w:rFonts w:cstheme="minorHAnsi"/>
        </w:rPr>
        <w:t xml:space="preserve">finding </w:t>
      </w:r>
      <w:r w:rsidR="007D2B10" w:rsidRPr="002A4045">
        <w:rPr>
          <w:rFonts w:cstheme="minorHAnsi"/>
        </w:rPr>
        <w:t>from</w:t>
      </w:r>
      <w:r w:rsidR="00A63083" w:rsidRPr="002A4045">
        <w:rPr>
          <w:rFonts w:cstheme="minorHAnsi"/>
        </w:rPr>
        <w:t xml:space="preserve"> our analysis of the </w:t>
      </w:r>
      <w:r w:rsidR="00B1700C" w:rsidRPr="002A4045">
        <w:rPr>
          <w:rFonts w:cstheme="minorHAnsi"/>
        </w:rPr>
        <w:t xml:space="preserve">detail </w:t>
      </w:r>
      <w:r w:rsidR="00780F77" w:rsidRPr="002A4045">
        <w:rPr>
          <w:rFonts w:cstheme="minorHAnsi"/>
        </w:rPr>
        <w:t xml:space="preserve">of the </w:t>
      </w:r>
      <w:r w:rsidR="00A63083" w:rsidRPr="002A4045">
        <w:rPr>
          <w:rFonts w:cstheme="minorHAnsi"/>
        </w:rPr>
        <w:t xml:space="preserve">DSDAS scheme is that Police Scotland </w:t>
      </w:r>
      <w:r w:rsidR="00985543" w:rsidRPr="002A4045">
        <w:rPr>
          <w:rFonts w:cstheme="minorHAnsi"/>
        </w:rPr>
        <w:t xml:space="preserve">appear to </w:t>
      </w:r>
      <w:r w:rsidR="00635F28">
        <w:rPr>
          <w:rFonts w:cstheme="minorHAnsi"/>
        </w:rPr>
        <w:t>mislocate</w:t>
      </w:r>
      <w:r w:rsidR="00A63083" w:rsidRPr="002A4045">
        <w:rPr>
          <w:rFonts w:cstheme="minorHAnsi"/>
        </w:rPr>
        <w:t xml:space="preserve"> the</w:t>
      </w:r>
      <w:r w:rsidR="00A63083" w:rsidRPr="00DA194D">
        <w:rPr>
          <w:rFonts w:cstheme="minorHAnsi"/>
        </w:rPr>
        <w:t xml:space="preserve"> source of their legal authority to disclose information </w:t>
      </w:r>
      <w:r w:rsidR="006E26A1">
        <w:rPr>
          <w:rFonts w:cstheme="minorHAnsi"/>
        </w:rPr>
        <w:t>to people who may be at risk of domestic abuse</w:t>
      </w:r>
      <w:r w:rsidR="00A63083" w:rsidRPr="00DA194D">
        <w:rPr>
          <w:rFonts w:cstheme="minorHAnsi"/>
        </w:rPr>
        <w:t xml:space="preserve">. Grace has highlighted that the Scottish scheme is </w:t>
      </w:r>
      <w:r w:rsidR="006D49AF">
        <w:rPr>
          <w:rFonts w:cstheme="minorHAnsi"/>
        </w:rPr>
        <w:t>“</w:t>
      </w:r>
      <w:r w:rsidR="00A63083" w:rsidRPr="00DA194D">
        <w:rPr>
          <w:rFonts w:cstheme="minorHAnsi"/>
        </w:rPr>
        <w:t xml:space="preserve">purportedly based on the provisions of the Police and Fire Reform (Scotland) Act 2012” (Grace 2021, 96). While the Home Office </w:t>
      </w:r>
      <w:r w:rsidR="00A63083" w:rsidRPr="00DA194D">
        <w:rPr>
          <w:rFonts w:cstheme="minorHAnsi"/>
        </w:rPr>
        <w:lastRenderedPageBreak/>
        <w:t xml:space="preserve">guidance identifies that the DVDS scheme in England and Wales “is based on the police’s common law power to disclose information where it is necessary to prevent crime”, </w:t>
      </w:r>
      <w:r w:rsidR="00F93632">
        <w:rPr>
          <w:rFonts w:cstheme="minorHAnsi"/>
        </w:rPr>
        <w:t xml:space="preserve">in the Guidance document </w:t>
      </w:r>
      <w:r w:rsidR="00A63083" w:rsidRPr="00DA194D">
        <w:rPr>
          <w:rFonts w:cstheme="minorHAnsi"/>
        </w:rPr>
        <w:t>Police Scotland claim they have:</w:t>
      </w:r>
    </w:p>
    <w:p w14:paraId="4F5A390E" w14:textId="1B592FFF" w:rsidR="00A63083" w:rsidRPr="00DA194D" w:rsidRDefault="00A63083" w:rsidP="00425759">
      <w:pPr>
        <w:spacing w:line="360" w:lineRule="auto"/>
        <w:ind w:left="720"/>
        <w:jc w:val="both"/>
        <w:rPr>
          <w:rFonts w:cstheme="minorHAnsi"/>
        </w:rPr>
      </w:pPr>
      <w:r w:rsidRPr="00DA194D">
        <w:rPr>
          <w:rFonts w:cstheme="minorHAnsi"/>
        </w:rPr>
        <w:t>a statutory power under Section 32, Police and Fire Reform (Scotland) Act 2012 to disclose information where it is necessary to prevent and detect crime. It is on this statutory power that the authority of Police Scotland to disclose information under the DSDAS rests</w:t>
      </w:r>
      <w:r w:rsidR="00EA24F4">
        <w:rPr>
          <w:rFonts w:cstheme="minorHAnsi"/>
        </w:rPr>
        <w:t>.</w:t>
      </w:r>
      <w:r w:rsidRPr="00DA194D">
        <w:rPr>
          <w:rFonts w:cstheme="minorHAnsi"/>
        </w:rPr>
        <w:t xml:space="preserve"> (Police Scotland 2021</w:t>
      </w:r>
      <w:r w:rsidR="00F757E5">
        <w:rPr>
          <w:rFonts w:cstheme="minorHAnsi"/>
        </w:rPr>
        <w:t>b</w:t>
      </w:r>
      <w:r w:rsidRPr="00DA194D">
        <w:rPr>
          <w:rFonts w:cstheme="minorHAnsi"/>
        </w:rPr>
        <w:t>, 16)</w:t>
      </w:r>
    </w:p>
    <w:p w14:paraId="534BA9F2" w14:textId="7E12BE39" w:rsidR="00A63083" w:rsidRPr="00DA194D" w:rsidRDefault="00A63083" w:rsidP="00425759">
      <w:pPr>
        <w:spacing w:line="360" w:lineRule="auto"/>
        <w:jc w:val="both"/>
        <w:rPr>
          <w:rFonts w:cstheme="minorHAnsi"/>
        </w:rPr>
      </w:pPr>
      <w:r w:rsidRPr="00DA194D">
        <w:rPr>
          <w:rFonts w:cstheme="minorHAnsi"/>
        </w:rPr>
        <w:t xml:space="preserve">The 2012 Act was introduced to consolidate Scotland’s eight regional police forces into a single national force – creating </w:t>
      </w:r>
      <w:r w:rsidR="005A2D30">
        <w:rPr>
          <w:rFonts w:cstheme="minorHAnsi"/>
        </w:rPr>
        <w:t>the</w:t>
      </w:r>
      <w:r w:rsidRPr="00DA194D">
        <w:rPr>
          <w:rFonts w:cstheme="minorHAnsi"/>
        </w:rPr>
        <w:t xml:space="preserve"> new Police Service of Scotland, known as Police Scotland – subject to the oversight of a new Scottish Police Authority</w:t>
      </w:r>
      <w:r w:rsidR="00853CCD">
        <w:rPr>
          <w:rFonts w:cstheme="minorHAnsi"/>
        </w:rPr>
        <w:t>,</w:t>
      </w:r>
      <w:r w:rsidR="00BF46AC">
        <w:rPr>
          <w:rStyle w:val="FootnoteReference"/>
          <w:rFonts w:cstheme="minorHAnsi"/>
        </w:rPr>
        <w:footnoteReference w:id="11"/>
      </w:r>
      <w:r w:rsidR="002A5BE3">
        <w:rPr>
          <w:rFonts w:cstheme="minorHAnsi"/>
        </w:rPr>
        <w:t xml:space="preserve"> </w:t>
      </w:r>
      <w:r w:rsidR="0064617C" w:rsidRPr="002A4045">
        <w:rPr>
          <w:rFonts w:cstheme="minorHAnsi"/>
        </w:rPr>
        <w:t>which i</w:t>
      </w:r>
      <w:r w:rsidR="002A4045" w:rsidRPr="002A4045">
        <w:rPr>
          <w:rFonts w:cstheme="minorHAnsi"/>
        </w:rPr>
        <w:t>s</w:t>
      </w:r>
      <w:r w:rsidR="0064617C" w:rsidRPr="002A4045">
        <w:rPr>
          <w:rFonts w:cstheme="minorHAnsi"/>
        </w:rPr>
        <w:t xml:space="preserve"> itself</w:t>
      </w:r>
      <w:r w:rsidR="0064617C">
        <w:rPr>
          <w:rFonts w:cstheme="minorHAnsi"/>
        </w:rPr>
        <w:t xml:space="preserve"> subject to the direction of Scottish Ministers on </w:t>
      </w:r>
      <w:r w:rsidR="009332FD">
        <w:rPr>
          <w:rFonts w:cstheme="minorHAnsi"/>
        </w:rPr>
        <w:t>“strategic police priorities”.</w:t>
      </w:r>
      <w:r w:rsidR="00C71B15">
        <w:rPr>
          <w:rStyle w:val="FootnoteReference"/>
          <w:rFonts w:cstheme="minorHAnsi"/>
        </w:rPr>
        <w:footnoteReference w:id="12"/>
      </w:r>
      <w:r w:rsidRPr="00DA194D">
        <w:rPr>
          <w:rFonts w:cstheme="minorHAnsi"/>
        </w:rPr>
        <w:t xml:space="preserve"> Section 32 of the 2012 Act sets out some generic “policing principles” which are intended to guide Scottish Ministers, the Scottish Police Authority and the Chief Constable in the </w:t>
      </w:r>
      <w:r w:rsidR="00E8369C">
        <w:rPr>
          <w:rFonts w:cstheme="minorHAnsi"/>
        </w:rPr>
        <w:t>organisation</w:t>
      </w:r>
      <w:r w:rsidRPr="00DA194D">
        <w:rPr>
          <w:rFonts w:cstheme="minorHAnsi"/>
        </w:rPr>
        <w:t xml:space="preserve"> of their public duties in respect of policing</w:t>
      </w:r>
      <w:r w:rsidR="00856DE3">
        <w:rPr>
          <w:rFonts w:cstheme="minorHAnsi"/>
        </w:rPr>
        <w:t>, representing a modern restatement of the purpose of the police service</w:t>
      </w:r>
      <w:r w:rsidRPr="00DA194D">
        <w:rPr>
          <w:rFonts w:cstheme="minorHAnsi"/>
        </w:rPr>
        <w:t xml:space="preserve">. The full text of the provision </w:t>
      </w:r>
      <w:r w:rsidR="00061A32">
        <w:rPr>
          <w:rFonts w:cstheme="minorHAnsi"/>
        </w:rPr>
        <w:t xml:space="preserve">cited as </w:t>
      </w:r>
      <w:r w:rsidR="00856DE3">
        <w:rPr>
          <w:rFonts w:cstheme="minorHAnsi"/>
        </w:rPr>
        <w:t>the legal basis</w:t>
      </w:r>
      <w:r w:rsidR="00061A32">
        <w:rPr>
          <w:rFonts w:cstheme="minorHAnsi"/>
        </w:rPr>
        <w:t xml:space="preserve"> for the </w:t>
      </w:r>
      <w:r w:rsidR="00853CCD">
        <w:rPr>
          <w:rFonts w:cstheme="minorHAnsi"/>
        </w:rPr>
        <w:t>DSDAS scheme</w:t>
      </w:r>
      <w:r w:rsidR="00061A32">
        <w:rPr>
          <w:rFonts w:cstheme="minorHAnsi"/>
        </w:rPr>
        <w:t xml:space="preserve"> </w:t>
      </w:r>
      <w:r w:rsidRPr="00DA194D">
        <w:rPr>
          <w:rFonts w:cstheme="minorHAnsi"/>
        </w:rPr>
        <w:t>is as follows:</w:t>
      </w:r>
    </w:p>
    <w:p w14:paraId="18C39D48" w14:textId="575F2847" w:rsidR="00A63083" w:rsidRPr="00DA194D" w:rsidRDefault="00A63083" w:rsidP="00425759">
      <w:pPr>
        <w:spacing w:line="360" w:lineRule="auto"/>
        <w:ind w:firstLine="720"/>
        <w:jc w:val="both"/>
        <w:rPr>
          <w:rFonts w:cstheme="minorHAnsi"/>
          <w:b/>
          <w:bCs/>
        </w:rPr>
      </w:pPr>
      <w:r w:rsidRPr="00DA194D">
        <w:rPr>
          <w:rFonts w:cstheme="minorHAnsi"/>
          <w:b/>
          <w:bCs/>
        </w:rPr>
        <w:t>32</w:t>
      </w:r>
      <w:r w:rsidRPr="00DA194D">
        <w:rPr>
          <w:rFonts w:cstheme="minorHAnsi"/>
          <w:b/>
          <w:bCs/>
        </w:rPr>
        <w:tab/>
        <w:t>Policing Principles</w:t>
      </w:r>
    </w:p>
    <w:p w14:paraId="23758A01" w14:textId="77777777" w:rsidR="00A63083" w:rsidRPr="00DA194D" w:rsidRDefault="00A63083" w:rsidP="00425759">
      <w:pPr>
        <w:spacing w:line="360" w:lineRule="auto"/>
        <w:ind w:left="720" w:firstLine="720"/>
        <w:jc w:val="both"/>
        <w:rPr>
          <w:rFonts w:cstheme="minorHAnsi"/>
        </w:rPr>
      </w:pPr>
      <w:r w:rsidRPr="00DA194D">
        <w:rPr>
          <w:rFonts w:cstheme="minorHAnsi"/>
        </w:rPr>
        <w:t>The policing principles are—</w:t>
      </w:r>
    </w:p>
    <w:p w14:paraId="6F3C20B4" w14:textId="77777777" w:rsidR="00A63083" w:rsidRPr="00DA194D" w:rsidRDefault="00A63083" w:rsidP="00425759">
      <w:pPr>
        <w:spacing w:line="360" w:lineRule="auto"/>
        <w:ind w:left="1440"/>
        <w:jc w:val="both"/>
        <w:rPr>
          <w:rFonts w:cstheme="minorHAnsi"/>
        </w:rPr>
      </w:pPr>
      <w:r w:rsidRPr="00DA194D">
        <w:rPr>
          <w:rFonts w:cstheme="minorHAnsi"/>
        </w:rPr>
        <w:t>(a) that the main purpose of policing is to improve the safety and well-being of persons, localities and communities in Scotland, and</w:t>
      </w:r>
    </w:p>
    <w:p w14:paraId="70BF7925" w14:textId="77777777" w:rsidR="00A63083" w:rsidRPr="00DA194D" w:rsidRDefault="00A63083" w:rsidP="00425759">
      <w:pPr>
        <w:spacing w:line="360" w:lineRule="auto"/>
        <w:ind w:left="1440"/>
        <w:jc w:val="both"/>
        <w:rPr>
          <w:rFonts w:cstheme="minorHAnsi"/>
        </w:rPr>
      </w:pPr>
      <w:r w:rsidRPr="00DA194D">
        <w:rPr>
          <w:rFonts w:cstheme="minorHAnsi"/>
        </w:rPr>
        <w:t>(b) that the Police Service, working in collaboration with others where appropriate, should seek to achieve that main purpose by policing in a way which—</w:t>
      </w:r>
    </w:p>
    <w:p w14:paraId="7C978609" w14:textId="77777777" w:rsidR="00A63083" w:rsidRPr="00DA194D" w:rsidRDefault="00A63083" w:rsidP="00425759">
      <w:pPr>
        <w:spacing w:line="360" w:lineRule="auto"/>
        <w:ind w:left="1440" w:firstLine="720"/>
        <w:jc w:val="both"/>
        <w:rPr>
          <w:rFonts w:cstheme="minorHAnsi"/>
        </w:rPr>
      </w:pPr>
      <w:r w:rsidRPr="00DA194D">
        <w:rPr>
          <w:rFonts w:cstheme="minorHAnsi"/>
        </w:rPr>
        <w:t>(</w:t>
      </w:r>
      <w:proofErr w:type="spellStart"/>
      <w:r w:rsidRPr="00DA194D">
        <w:rPr>
          <w:rFonts w:cstheme="minorHAnsi"/>
        </w:rPr>
        <w:t>i</w:t>
      </w:r>
      <w:proofErr w:type="spellEnd"/>
      <w:r w:rsidRPr="00DA194D">
        <w:rPr>
          <w:rFonts w:cstheme="minorHAnsi"/>
        </w:rPr>
        <w:t>) is accessible to, and engaged with, local communities, and</w:t>
      </w:r>
    </w:p>
    <w:p w14:paraId="1958DA3D" w14:textId="50516B55" w:rsidR="003C2C90" w:rsidRPr="005F2831" w:rsidRDefault="00A63083" w:rsidP="00425759">
      <w:pPr>
        <w:spacing w:line="360" w:lineRule="auto"/>
        <w:ind w:left="1440" w:firstLine="720"/>
        <w:jc w:val="both"/>
        <w:rPr>
          <w:rFonts w:cstheme="minorHAnsi"/>
        </w:rPr>
      </w:pPr>
      <w:r w:rsidRPr="00DA194D">
        <w:rPr>
          <w:rFonts w:cstheme="minorHAnsi"/>
        </w:rPr>
        <w:t>(ii) promotes measures to prevent crime, harm and disorder.</w:t>
      </w:r>
    </w:p>
    <w:p w14:paraId="276DDBE4" w14:textId="311F3FBB" w:rsidR="004325A8" w:rsidRDefault="67070B46" w:rsidP="00425759">
      <w:pPr>
        <w:spacing w:line="360" w:lineRule="auto"/>
        <w:jc w:val="both"/>
      </w:pPr>
      <w:r w:rsidRPr="00A36418">
        <w:t xml:space="preserve">At </w:t>
      </w:r>
      <w:r w:rsidR="000F32A3">
        <w:t xml:space="preserve">the </w:t>
      </w:r>
      <w:r w:rsidRPr="00A36418">
        <w:t>time of writing, Police Scotland maintain that section 32 of the 2012 Act is the legal basis for their DSDAS disclosure powers. We believe this is open to question, for a number of legal reasons.</w:t>
      </w:r>
      <w:r w:rsidRPr="67070B46">
        <w:t xml:space="preserve"> </w:t>
      </w:r>
      <w:r w:rsidR="000D0339">
        <w:t>While establishing the domestic abuse disclosur</w:t>
      </w:r>
      <w:r w:rsidR="000D0339" w:rsidRPr="00637EF9">
        <w:rPr>
          <w:rFonts w:cstheme="minorHAnsi"/>
        </w:rPr>
        <w:t xml:space="preserve">e scheme is clearly </w:t>
      </w:r>
      <w:r w:rsidR="000D0339" w:rsidRPr="00435F5C">
        <w:rPr>
          <w:rFonts w:cstheme="minorHAnsi"/>
        </w:rPr>
        <w:t>consistent</w:t>
      </w:r>
      <w:r w:rsidR="000D0339" w:rsidRPr="00637EF9">
        <w:rPr>
          <w:rFonts w:cstheme="minorHAnsi"/>
        </w:rPr>
        <w:t xml:space="preserve"> </w:t>
      </w:r>
      <w:r w:rsidR="00637EF9">
        <w:rPr>
          <w:rFonts w:cstheme="minorHAnsi"/>
        </w:rPr>
        <w:t>with and</w:t>
      </w:r>
      <w:r w:rsidR="00385E8E" w:rsidRPr="00637EF9">
        <w:rPr>
          <w:rFonts w:cstheme="minorHAnsi"/>
        </w:rPr>
        <w:t xml:space="preserve"> “</w:t>
      </w:r>
      <w:r w:rsidR="00385E8E" w:rsidRPr="00637EF9">
        <w:rPr>
          <w:rStyle w:val="cf01"/>
          <w:rFonts w:asciiTheme="minorHAnsi" w:hAnsiTheme="minorHAnsi" w:cstheme="minorHAnsi"/>
          <w:sz w:val="22"/>
          <w:szCs w:val="22"/>
        </w:rPr>
        <w:t>in accordance with key policing principles” (Police Scotland 2021b</w:t>
      </w:r>
      <w:r w:rsidR="0004638A">
        <w:rPr>
          <w:rStyle w:val="cf01"/>
          <w:rFonts w:asciiTheme="minorHAnsi" w:hAnsiTheme="minorHAnsi" w:cstheme="minorHAnsi"/>
          <w:sz w:val="22"/>
          <w:szCs w:val="22"/>
        </w:rPr>
        <w:t>,</w:t>
      </w:r>
      <w:r w:rsidR="00637EF9" w:rsidRPr="00637EF9">
        <w:rPr>
          <w:rStyle w:val="cf01"/>
          <w:rFonts w:asciiTheme="minorHAnsi" w:hAnsiTheme="minorHAnsi" w:cstheme="minorHAnsi"/>
          <w:sz w:val="22"/>
          <w:szCs w:val="22"/>
        </w:rPr>
        <w:t xml:space="preserve"> 4)</w:t>
      </w:r>
      <w:r w:rsidRPr="00637EF9">
        <w:rPr>
          <w:rFonts w:cstheme="minorHAnsi"/>
        </w:rPr>
        <w:t>,</w:t>
      </w:r>
      <w:r w:rsidRPr="67070B46">
        <w:t xml:space="preserve"> a plain language </w:t>
      </w:r>
      <w:r w:rsidR="00A70D5C">
        <w:t xml:space="preserve">reading </w:t>
      </w:r>
      <w:r w:rsidRPr="67070B46">
        <w:t xml:space="preserve">of section 32 </w:t>
      </w:r>
      <w:r w:rsidR="001B734C">
        <w:t>does not suggest it was intended to</w:t>
      </w:r>
      <w:r w:rsidRPr="67070B46">
        <w:t xml:space="preserve"> give Police Scotland </w:t>
      </w:r>
      <w:r w:rsidR="001B734C">
        <w:t>the</w:t>
      </w:r>
      <w:r w:rsidRPr="67070B46">
        <w:t xml:space="preserve"> general power “to disclose information where </w:t>
      </w:r>
      <w:r w:rsidRPr="67070B46">
        <w:lastRenderedPageBreak/>
        <w:t xml:space="preserve">it is necessary to prevent and detect crime” described in the DSDAS guidance. Nothing in this provision </w:t>
      </w:r>
      <w:r w:rsidR="007F46FA">
        <w:t>indicates</w:t>
      </w:r>
      <w:r w:rsidRPr="67070B46">
        <w:t xml:space="preserve"> it intends to confer any new operational powers on police officers.</w:t>
      </w:r>
      <w:r w:rsidR="008F106A">
        <w:t xml:space="preserve"> </w:t>
      </w:r>
    </w:p>
    <w:p w14:paraId="0D9028E8" w14:textId="11695AE0" w:rsidR="00376D7F" w:rsidRDefault="00A607FC" w:rsidP="00425759">
      <w:pPr>
        <w:spacing w:line="360" w:lineRule="auto"/>
        <w:jc w:val="both"/>
      </w:pPr>
      <w:r>
        <w:rPr>
          <w:rFonts w:cstheme="minorHAnsi"/>
        </w:rPr>
        <w:t xml:space="preserve">Read contextually, the “policing principles” are intended to operate as high-level statements of principle that diverse public authorities involved in policing should </w:t>
      </w:r>
      <w:r w:rsidR="0074001E">
        <w:rPr>
          <w:rFonts w:cstheme="minorHAnsi"/>
        </w:rPr>
        <w:t>“</w:t>
      </w:r>
      <w:r>
        <w:rPr>
          <w:rFonts w:cstheme="minorHAnsi"/>
        </w:rPr>
        <w:t>have regard</w:t>
      </w:r>
      <w:r w:rsidR="0074001E">
        <w:rPr>
          <w:rFonts w:cstheme="minorHAnsi"/>
        </w:rPr>
        <w:t>”</w:t>
      </w:r>
      <w:r>
        <w:rPr>
          <w:rFonts w:cstheme="minorHAnsi"/>
        </w:rPr>
        <w:t xml:space="preserve"> to. For example, the 2012 Act requires the Police Authority to “promote” these principles,</w:t>
      </w:r>
      <w:r w:rsidR="002E6450">
        <w:rPr>
          <w:rStyle w:val="FootnoteReference"/>
          <w:rFonts w:cstheme="minorHAnsi"/>
        </w:rPr>
        <w:footnoteReference w:id="13"/>
      </w:r>
      <w:r>
        <w:rPr>
          <w:rFonts w:cstheme="minorHAnsi"/>
        </w:rPr>
        <w:t xml:space="preserve"> imposes a duty on the Chief Constable to ensure policing is carried out “with due regard” to these principles,</w:t>
      </w:r>
      <w:r w:rsidR="002E6450">
        <w:rPr>
          <w:rStyle w:val="FootnoteReference"/>
          <w:rFonts w:cstheme="minorHAnsi"/>
        </w:rPr>
        <w:footnoteReference w:id="14"/>
      </w:r>
      <w:r>
        <w:rPr>
          <w:rFonts w:cstheme="minorHAnsi"/>
        </w:rPr>
        <w:t xml:space="preserve"> and requires Scottish Ministers to “have regard” to them in </w:t>
      </w:r>
      <w:r w:rsidR="007C621D">
        <w:rPr>
          <w:rFonts w:cstheme="minorHAnsi"/>
        </w:rPr>
        <w:t xml:space="preserve">determining </w:t>
      </w:r>
      <w:r>
        <w:rPr>
          <w:rFonts w:cstheme="minorHAnsi"/>
        </w:rPr>
        <w:t>“strategic police priorities”.</w:t>
      </w:r>
      <w:r w:rsidR="002E6450">
        <w:rPr>
          <w:rStyle w:val="FootnoteReference"/>
          <w:rFonts w:cstheme="minorHAnsi"/>
        </w:rPr>
        <w:footnoteReference w:id="15"/>
      </w:r>
      <w:r>
        <w:rPr>
          <w:rFonts w:cstheme="minorHAnsi"/>
        </w:rPr>
        <w:t xml:space="preserve"> This interpretation of the purpose and effect of section 32 is supported by the policy documentation underpinning the 2012 Act. The Scottish Government’s </w:t>
      </w:r>
      <w:r w:rsidRPr="00EF75B2">
        <w:rPr>
          <w:rFonts w:cstheme="minorHAnsi"/>
          <w:i/>
          <w:iCs/>
        </w:rPr>
        <w:t>Policy Memorandum</w:t>
      </w:r>
      <w:r>
        <w:rPr>
          <w:rFonts w:cstheme="minorHAnsi"/>
        </w:rPr>
        <w:t xml:space="preserve"> describes section 32 as setting out “</w:t>
      </w:r>
      <w:r>
        <w:t>policing principles to set the strategic direction for the Service and a requirement on the Scottish Police Authority to provide a strategic and annual plan” (Scottish Government 2012</w:t>
      </w:r>
      <w:r w:rsidR="00707431">
        <w:t>a</w:t>
      </w:r>
      <w:r>
        <w:t xml:space="preserve">, para 9). The </w:t>
      </w:r>
      <w:r w:rsidRPr="008B4D0B">
        <w:rPr>
          <w:i/>
          <w:iCs/>
        </w:rPr>
        <w:t>Explanatory Notes</w:t>
      </w:r>
      <w:r>
        <w:t xml:space="preserve"> to the 2012 Act produced by the Scottish Government are similarly unhelpful for an expansive reading of section 32, stressing that this provision sets out “</w:t>
      </w:r>
      <w:r w:rsidRPr="008A4E76">
        <w:t>the policing principles and new arrangements for setting priorities, objectives and planning</w:t>
      </w:r>
      <w:r>
        <w:t>” rather than conferring any additional operational authority on Police Scotland to do anything otherwise regulated by statute or common law powers (Scottish Government 2012</w:t>
      </w:r>
      <w:r w:rsidR="00707431">
        <w:t>b</w:t>
      </w:r>
      <w:r>
        <w:t>, para 40). In terms of the plain meaning of the words used in the 2012 Act, section 32 is not ambiguous. Nothing in its language, legislative history, policy framework, or explanatory notes provides, anticipates or establishes a new police power to make disclosures of information in the public interest.</w:t>
      </w:r>
      <w:r w:rsidRPr="00A23B29">
        <w:t xml:space="preserve"> </w:t>
      </w:r>
      <w:r>
        <w:t xml:space="preserve"> </w:t>
      </w:r>
      <w:r w:rsidR="00BF67BF">
        <w:t xml:space="preserve">If the Scottish Parliament had wished to give Police Scotland explicit statutory authority to disclose information in the public interest, they would not have done so using </w:t>
      </w:r>
      <w:r w:rsidR="00C15D2D">
        <w:t xml:space="preserve">the </w:t>
      </w:r>
      <w:r w:rsidR="00BF67BF">
        <w:t>general, abstract, strategic language of “policing principles.” This is not the legal language used by parliamentary draftsmen conferring new powers on a public authority (Parliamentary Counsel Office 2018). This supports the proposition that section 32 was not intended to do so.</w:t>
      </w:r>
      <w:r w:rsidR="00C20310">
        <w:t xml:space="preserve"> </w:t>
      </w:r>
    </w:p>
    <w:p w14:paraId="10C5BB71" w14:textId="7A6465FD" w:rsidR="00F51127" w:rsidRDefault="002B2935" w:rsidP="00425759">
      <w:pPr>
        <w:spacing w:line="360" w:lineRule="auto"/>
        <w:jc w:val="both"/>
        <w:rPr>
          <w:rFonts w:cstheme="minorHAnsi"/>
        </w:rPr>
      </w:pPr>
      <w:r>
        <w:t>R</w:t>
      </w:r>
      <w:r w:rsidR="003D65C4">
        <w:t xml:space="preserve">ooting the legal authority for DSDAS in section 32 </w:t>
      </w:r>
      <w:r w:rsidR="00C80A38">
        <w:t>seems to rest</w:t>
      </w:r>
      <w:r w:rsidR="003D65C4">
        <w:t xml:space="preserve"> on a more basic confusion</w:t>
      </w:r>
      <w:r w:rsidR="00664D2C">
        <w:t xml:space="preserve"> between means and ends</w:t>
      </w:r>
      <w:r w:rsidR="00C80A38">
        <w:t xml:space="preserve">. </w:t>
      </w:r>
      <w:r w:rsidR="00FF7EDE">
        <w:rPr>
          <w:rFonts w:cstheme="minorHAnsi"/>
        </w:rPr>
        <w:t>Providing</w:t>
      </w:r>
      <w:r w:rsidR="00A63083" w:rsidRPr="00DA194D">
        <w:rPr>
          <w:rFonts w:cstheme="minorHAnsi"/>
        </w:rPr>
        <w:t xml:space="preserve"> </w:t>
      </w:r>
      <w:r w:rsidR="00335C4F">
        <w:rPr>
          <w:rFonts w:cstheme="minorHAnsi"/>
        </w:rPr>
        <w:t xml:space="preserve">in law </w:t>
      </w:r>
      <w:r w:rsidR="00A63083" w:rsidRPr="00DA194D">
        <w:rPr>
          <w:rFonts w:cstheme="minorHAnsi"/>
        </w:rPr>
        <w:t xml:space="preserve">that Police </w:t>
      </w:r>
      <w:r w:rsidR="00A63083" w:rsidRPr="00AD4D97">
        <w:rPr>
          <w:rFonts w:cstheme="minorHAnsi"/>
        </w:rPr>
        <w:t>Scotland</w:t>
      </w:r>
      <w:r w:rsidR="00AD4D97">
        <w:rPr>
          <w:rFonts w:cstheme="minorHAnsi"/>
        </w:rPr>
        <w:t>,</w:t>
      </w:r>
      <w:r w:rsidR="00EB0962" w:rsidRPr="00AD4D97">
        <w:rPr>
          <w:rFonts w:cstheme="minorHAnsi"/>
          <w:iCs/>
        </w:rPr>
        <w:t xml:space="preserve"> </w:t>
      </w:r>
      <w:r w:rsidR="00EE18E2" w:rsidRPr="00AD4D97">
        <w:rPr>
          <w:rFonts w:cstheme="minorHAnsi"/>
        </w:rPr>
        <w:t>Scottish Ministers and</w:t>
      </w:r>
      <w:r w:rsidR="00EE18E2">
        <w:rPr>
          <w:rFonts w:cstheme="minorHAnsi"/>
        </w:rPr>
        <w:t xml:space="preserve"> the Scottish Police Authority</w:t>
      </w:r>
      <w:r w:rsidR="00A63083" w:rsidRPr="00DA194D">
        <w:rPr>
          <w:rFonts w:cstheme="minorHAnsi"/>
        </w:rPr>
        <w:t xml:space="preserve"> should have regard to certain </w:t>
      </w:r>
      <w:r w:rsidR="00FF7EDE">
        <w:rPr>
          <w:rFonts w:cstheme="minorHAnsi"/>
        </w:rPr>
        <w:t>“</w:t>
      </w:r>
      <w:r w:rsidR="00A63083" w:rsidRPr="00DA194D">
        <w:rPr>
          <w:rFonts w:cstheme="minorHAnsi"/>
        </w:rPr>
        <w:t>principles</w:t>
      </w:r>
      <w:r w:rsidR="00FF7EDE">
        <w:rPr>
          <w:rFonts w:cstheme="minorHAnsi"/>
        </w:rPr>
        <w:t>”</w:t>
      </w:r>
      <w:r w:rsidR="00A63083" w:rsidRPr="00DA194D">
        <w:rPr>
          <w:rFonts w:cstheme="minorHAnsi"/>
        </w:rPr>
        <w:t xml:space="preserve"> in </w:t>
      </w:r>
      <w:r w:rsidR="006E7A25">
        <w:rPr>
          <w:rFonts w:cstheme="minorHAnsi"/>
        </w:rPr>
        <w:t>organising</w:t>
      </w:r>
      <w:r w:rsidR="00C142E8">
        <w:rPr>
          <w:rFonts w:cstheme="minorHAnsi"/>
        </w:rPr>
        <w:t xml:space="preserve"> operational</w:t>
      </w:r>
      <w:r w:rsidR="00A63083" w:rsidRPr="00DA194D">
        <w:rPr>
          <w:rFonts w:cstheme="minorHAnsi"/>
        </w:rPr>
        <w:t xml:space="preserve"> policing does not imply</w:t>
      </w:r>
      <w:r w:rsidR="00597F9B">
        <w:rPr>
          <w:rFonts w:cstheme="minorHAnsi"/>
        </w:rPr>
        <w:t>,</w:t>
      </w:r>
      <w:r w:rsidR="00A63083" w:rsidRPr="00DA194D">
        <w:rPr>
          <w:rFonts w:cstheme="minorHAnsi"/>
        </w:rPr>
        <w:t xml:space="preserve"> as a matter of law</w:t>
      </w:r>
      <w:r w:rsidR="00597F9B">
        <w:rPr>
          <w:rFonts w:cstheme="minorHAnsi"/>
        </w:rPr>
        <w:t>,</w:t>
      </w:r>
      <w:r w:rsidR="00A63083" w:rsidRPr="00DA194D">
        <w:rPr>
          <w:rFonts w:cstheme="minorHAnsi"/>
        </w:rPr>
        <w:t xml:space="preserve"> that </w:t>
      </w:r>
      <w:r w:rsidR="00BC11A2">
        <w:rPr>
          <w:rFonts w:cstheme="minorHAnsi"/>
        </w:rPr>
        <w:t>Police Scotland have</w:t>
      </w:r>
      <w:r w:rsidR="00A63083" w:rsidRPr="00DA194D">
        <w:rPr>
          <w:rFonts w:cstheme="minorHAnsi"/>
        </w:rPr>
        <w:t xml:space="preserve"> the</w:t>
      </w:r>
      <w:r w:rsidR="00170863">
        <w:rPr>
          <w:rFonts w:cstheme="minorHAnsi"/>
        </w:rPr>
        <w:t xml:space="preserve"> legal</w:t>
      </w:r>
      <w:r w:rsidR="00A63083" w:rsidRPr="00DA194D">
        <w:rPr>
          <w:rFonts w:cstheme="minorHAnsi"/>
        </w:rPr>
        <w:t xml:space="preserve"> power to promote any and all measures “to prevent crime, harm and disorder</w:t>
      </w:r>
      <w:r w:rsidR="0076214B">
        <w:rPr>
          <w:rFonts w:cstheme="minorHAnsi"/>
        </w:rPr>
        <w:t xml:space="preserve">” – though this appears to be the </w:t>
      </w:r>
      <w:r w:rsidR="009B5E48">
        <w:rPr>
          <w:rFonts w:cstheme="minorHAnsi"/>
        </w:rPr>
        <w:t xml:space="preserve">fundamental </w:t>
      </w:r>
      <w:r w:rsidR="0076214B">
        <w:rPr>
          <w:rFonts w:cstheme="minorHAnsi"/>
        </w:rPr>
        <w:t xml:space="preserve">legal </w:t>
      </w:r>
      <w:r w:rsidR="004D527C">
        <w:rPr>
          <w:rFonts w:cstheme="minorHAnsi"/>
        </w:rPr>
        <w:t>understanding</w:t>
      </w:r>
      <w:r w:rsidR="0076214B">
        <w:rPr>
          <w:rFonts w:cstheme="minorHAnsi"/>
        </w:rPr>
        <w:t xml:space="preserve"> underpinning </w:t>
      </w:r>
      <w:r w:rsidR="00504BC2">
        <w:rPr>
          <w:rFonts w:cstheme="minorHAnsi"/>
        </w:rPr>
        <w:t>the</w:t>
      </w:r>
      <w:r w:rsidR="0076214B">
        <w:rPr>
          <w:rFonts w:cstheme="minorHAnsi"/>
        </w:rPr>
        <w:t xml:space="preserve"> internal guidance. </w:t>
      </w:r>
      <w:r w:rsidR="00501716">
        <w:rPr>
          <w:rFonts w:cstheme="minorHAnsi"/>
        </w:rPr>
        <w:t xml:space="preserve">The intrinsic difficulty of Police Scotland’s expansive reading of </w:t>
      </w:r>
      <w:r w:rsidR="00501716">
        <w:rPr>
          <w:rFonts w:cstheme="minorHAnsi"/>
        </w:rPr>
        <w:lastRenderedPageBreak/>
        <w:t xml:space="preserve">section 32 can be illustrated by considering other policing </w:t>
      </w:r>
      <w:r w:rsidR="003F0BA3">
        <w:rPr>
          <w:rFonts w:cstheme="minorHAnsi"/>
        </w:rPr>
        <w:t>measures</w:t>
      </w:r>
      <w:r w:rsidR="00501716">
        <w:rPr>
          <w:rFonts w:cstheme="minorHAnsi"/>
        </w:rPr>
        <w:t xml:space="preserve"> and whether section 32 could credibly provide the legal basis for </w:t>
      </w:r>
      <w:r w:rsidR="00A3090C">
        <w:rPr>
          <w:rFonts w:cstheme="minorHAnsi"/>
        </w:rPr>
        <w:t>them</w:t>
      </w:r>
      <w:r w:rsidR="00501716">
        <w:rPr>
          <w:rFonts w:cstheme="minorHAnsi"/>
        </w:rPr>
        <w:t>. Detaining an individual suspected of committing a serious offence, for example</w:t>
      </w:r>
      <w:r w:rsidR="00856B4C">
        <w:rPr>
          <w:rFonts w:cstheme="minorHAnsi"/>
        </w:rPr>
        <w:t>,</w:t>
      </w:r>
      <w:r w:rsidR="00501716">
        <w:rPr>
          <w:rFonts w:cstheme="minorHAnsi"/>
        </w:rPr>
        <w:t xml:space="preserve"> </w:t>
      </w:r>
      <w:r w:rsidR="00856B4C">
        <w:rPr>
          <w:rFonts w:cstheme="minorHAnsi"/>
        </w:rPr>
        <w:t>o</w:t>
      </w:r>
      <w:r w:rsidR="00501716">
        <w:rPr>
          <w:rFonts w:cstheme="minorHAnsi"/>
        </w:rPr>
        <w:t>r the directed surveillance of people involved in organised crime</w:t>
      </w:r>
      <w:r w:rsidR="00856B4C">
        <w:rPr>
          <w:rFonts w:cstheme="minorHAnsi"/>
        </w:rPr>
        <w:t>,</w:t>
      </w:r>
      <w:r w:rsidR="00501716">
        <w:rPr>
          <w:rFonts w:cstheme="minorHAnsi"/>
        </w:rPr>
        <w:t xml:space="preserve"> are “measures” aimed at preventing “crime, harm or disorder</w:t>
      </w:r>
      <w:r w:rsidR="00856B4C">
        <w:rPr>
          <w:rFonts w:cstheme="minorHAnsi"/>
        </w:rPr>
        <w:t>”</w:t>
      </w:r>
      <w:r w:rsidR="00501716">
        <w:rPr>
          <w:rFonts w:cstheme="minorHAnsi"/>
        </w:rPr>
        <w:t xml:space="preserve">. However, section 32 could not establish an adequate </w:t>
      </w:r>
      <w:r w:rsidR="007F6C66">
        <w:rPr>
          <w:rFonts w:cstheme="minorHAnsi"/>
        </w:rPr>
        <w:t xml:space="preserve">and accessible </w:t>
      </w:r>
      <w:r w:rsidR="00501716">
        <w:rPr>
          <w:rFonts w:cstheme="minorHAnsi"/>
        </w:rPr>
        <w:t xml:space="preserve">legal basis for either of these </w:t>
      </w:r>
      <w:r w:rsidR="00AA0678">
        <w:rPr>
          <w:rFonts w:cstheme="minorHAnsi"/>
        </w:rPr>
        <w:t>investigative</w:t>
      </w:r>
      <w:r w:rsidR="00ED7D0E">
        <w:rPr>
          <w:rFonts w:cstheme="minorHAnsi"/>
        </w:rPr>
        <w:t xml:space="preserve"> </w:t>
      </w:r>
      <w:r w:rsidR="00501716">
        <w:rPr>
          <w:rFonts w:cstheme="minorHAnsi"/>
        </w:rPr>
        <w:t>procedures</w:t>
      </w:r>
      <w:r w:rsidR="00E02F4C">
        <w:rPr>
          <w:rFonts w:cstheme="minorHAnsi"/>
        </w:rPr>
        <w:t>,</w:t>
      </w:r>
      <w:r w:rsidR="00501716">
        <w:rPr>
          <w:rFonts w:cstheme="minorHAnsi"/>
        </w:rPr>
        <w:t xml:space="preserve"> which are regulated by other statutes</w:t>
      </w:r>
      <w:r w:rsidR="00DE0A97">
        <w:rPr>
          <w:rFonts w:cstheme="minorHAnsi"/>
        </w:rPr>
        <w:t xml:space="preserve"> which</w:t>
      </w:r>
      <w:r w:rsidR="00501716">
        <w:rPr>
          <w:rFonts w:cstheme="minorHAnsi"/>
        </w:rPr>
        <w:t xml:space="preserve"> </w:t>
      </w:r>
      <w:r w:rsidR="00AA0678">
        <w:rPr>
          <w:rFonts w:cstheme="minorHAnsi"/>
        </w:rPr>
        <w:t>explicit</w:t>
      </w:r>
      <w:r w:rsidR="00A70D5C">
        <w:rPr>
          <w:rFonts w:cstheme="minorHAnsi"/>
        </w:rPr>
        <w:t>ly</w:t>
      </w:r>
      <w:r w:rsidR="00AA0678">
        <w:rPr>
          <w:rFonts w:cstheme="minorHAnsi"/>
        </w:rPr>
        <w:t xml:space="preserve"> enumerat</w:t>
      </w:r>
      <w:r w:rsidR="00A70D5C">
        <w:rPr>
          <w:rFonts w:cstheme="minorHAnsi"/>
        </w:rPr>
        <w:t>e</w:t>
      </w:r>
      <w:r w:rsidR="00AA0678">
        <w:rPr>
          <w:rFonts w:cstheme="minorHAnsi"/>
        </w:rPr>
        <w:t xml:space="preserve"> police powers </w:t>
      </w:r>
      <w:r w:rsidR="00A14F93">
        <w:rPr>
          <w:rFonts w:cstheme="minorHAnsi"/>
        </w:rPr>
        <w:t>a</w:t>
      </w:r>
      <w:r w:rsidR="00AA0678">
        <w:rPr>
          <w:rFonts w:cstheme="minorHAnsi"/>
        </w:rPr>
        <w:t xml:space="preserve">nd the duties of police in exercising these powers </w:t>
      </w:r>
      <w:r w:rsidR="00DE0A97">
        <w:rPr>
          <w:rFonts w:cstheme="minorHAnsi"/>
        </w:rPr>
        <w:t>in ways the contested provision in the 2012 Act does not</w:t>
      </w:r>
      <w:r w:rsidR="00AA0678">
        <w:rPr>
          <w:rFonts w:cstheme="minorHAnsi"/>
        </w:rPr>
        <w:t>.</w:t>
      </w:r>
      <w:r w:rsidR="00B56F1E">
        <w:rPr>
          <w:rStyle w:val="FootnoteReference"/>
          <w:rFonts w:cstheme="minorHAnsi"/>
        </w:rPr>
        <w:footnoteReference w:id="16"/>
      </w:r>
      <w:r w:rsidR="00501716">
        <w:rPr>
          <w:rFonts w:cstheme="minorHAnsi"/>
        </w:rPr>
        <w:t xml:space="preserve"> </w:t>
      </w:r>
    </w:p>
    <w:p w14:paraId="37023EA6" w14:textId="39457C70" w:rsidR="00C40AEA" w:rsidRDefault="009775D4" w:rsidP="00425759">
      <w:pPr>
        <w:spacing w:line="360" w:lineRule="auto"/>
        <w:jc w:val="both"/>
      </w:pPr>
      <w:r>
        <w:t xml:space="preserve">Even if we are mistaken in this legal analysis and section 32 </w:t>
      </w:r>
      <w:r w:rsidRPr="67070B46">
        <w:rPr>
          <w:i/>
          <w:iCs/>
        </w:rPr>
        <w:t>could</w:t>
      </w:r>
      <w:r>
        <w:t xml:space="preserve"> be interpreted as accommodating a police power of disclosure underpinning DSDAS</w:t>
      </w:r>
      <w:r w:rsidR="007170D5">
        <w:t>,</w:t>
      </w:r>
      <w:r>
        <w:t xml:space="preserve"> it would be highly vulnerable to challenge on Article 8 grounds.  As Lord Hodge held in the </w:t>
      </w:r>
      <w:r w:rsidRPr="67070B46">
        <w:rPr>
          <w:i/>
          <w:iCs/>
        </w:rPr>
        <w:t xml:space="preserve">Christian Institute </w:t>
      </w:r>
      <w:r>
        <w:t>case, to be “in accordance with the law” under Article 8(2) of the ECHR, measures interfering with privacy rights “must not only have some basis in domestic law” but must “also be accessible to the person concerned and foreseeable as to its effects”.</w:t>
      </w:r>
      <w:r w:rsidR="00FE1FF2">
        <w:rPr>
          <w:rStyle w:val="FootnoteReference"/>
        </w:rPr>
        <w:footnoteReference w:id="17"/>
      </w:r>
      <w:r>
        <w:t xml:space="preserve"> As we have already summarised, disclosing histories of abuse engages Article 8 of the ECHR. To be lawful, interferences with privacy rights must not only pursue a legitimate aim and be proportionate, but </w:t>
      </w:r>
      <w:r w:rsidR="00111C7D">
        <w:t xml:space="preserve">must </w:t>
      </w:r>
      <w:r>
        <w:t xml:space="preserve">also have a “clear and publicly accessible” basis in law. Considering the legislative language of section 32 does </w:t>
      </w:r>
      <w:r w:rsidRPr="00D110A5">
        <w:rPr>
          <w:iCs/>
        </w:rPr>
        <w:t>not</w:t>
      </w:r>
      <w:r>
        <w:t xml:space="preserve"> suggest the provision empowers officers to make disclosures of private information</w:t>
      </w:r>
      <w:r w:rsidR="00385FC2">
        <w:t>,</w:t>
      </w:r>
      <w:r>
        <w:t xml:space="preserve"> but instead describes generic</w:t>
      </w:r>
      <w:r w:rsidR="00385FC2">
        <w:t>,</w:t>
      </w:r>
      <w:r>
        <w:t xml:space="preserve"> high-level policing principles</w:t>
      </w:r>
      <w:r w:rsidR="00385FC2">
        <w:t xml:space="preserve">, </w:t>
      </w:r>
      <w:r>
        <w:t xml:space="preserve">Police Scotland may struggle to defend section 32 as an “adequate and accessible” legal basis to make disclosures in a way </w:t>
      </w:r>
      <w:r w:rsidR="00385FC2">
        <w:t>that</w:t>
      </w:r>
      <w:r>
        <w:t xml:space="preserve"> is Article 8 compliant.  </w:t>
      </w:r>
      <w:r w:rsidR="67070B46">
        <w:t xml:space="preserve">Taken together, these factors suggest section 32 is not the true source of Police Scotland’s authority to make DSDAS disclosures and that the Scheme guidance proceeds on an erroneous basis to this extent. </w:t>
      </w:r>
    </w:p>
    <w:p w14:paraId="24CC805B" w14:textId="77777777" w:rsidR="00091541" w:rsidRDefault="00091541" w:rsidP="00425759">
      <w:pPr>
        <w:spacing w:line="360" w:lineRule="auto"/>
        <w:jc w:val="both"/>
        <w:rPr>
          <w:b/>
          <w:bCs/>
        </w:rPr>
      </w:pPr>
    </w:p>
    <w:p w14:paraId="26C64287" w14:textId="11B340E0" w:rsidR="002142F3" w:rsidRPr="002142F3" w:rsidRDefault="00CA7AFE" w:rsidP="005C0C88">
      <w:pPr>
        <w:pStyle w:val="Heading1"/>
      </w:pPr>
      <w:r>
        <w:t xml:space="preserve">Alternative legal </w:t>
      </w:r>
      <w:r w:rsidR="00A84047">
        <w:t>basis</w:t>
      </w:r>
      <w:r>
        <w:t xml:space="preserve"> for DSDAS</w:t>
      </w:r>
    </w:p>
    <w:p w14:paraId="783C5184" w14:textId="3064C992" w:rsidR="009A644A" w:rsidRDefault="00107B46" w:rsidP="00425759">
      <w:pPr>
        <w:spacing w:line="360" w:lineRule="auto"/>
        <w:jc w:val="both"/>
        <w:rPr>
          <w:rFonts w:cstheme="minorHAnsi"/>
        </w:rPr>
      </w:pPr>
      <w:r>
        <w:t>While</w:t>
      </w:r>
      <w:r w:rsidR="009B5E48">
        <w:t xml:space="preserve"> th</w:t>
      </w:r>
      <w:r>
        <w:t>i</w:t>
      </w:r>
      <w:r w:rsidR="009B5E48">
        <w:t xml:space="preserve">s conclusion may initially </w:t>
      </w:r>
      <w:r>
        <w:t>seem</w:t>
      </w:r>
      <w:r w:rsidR="009B5E48">
        <w:t xml:space="preserve"> dramatic</w:t>
      </w:r>
      <w:r w:rsidR="00754F32">
        <w:t>,</w:t>
      </w:r>
      <w:r w:rsidR="009B5E48">
        <w:t xml:space="preserve"> in our vi</w:t>
      </w:r>
      <w:r>
        <w:t>ew</w:t>
      </w:r>
      <w:r w:rsidR="009B5E48">
        <w:t xml:space="preserve"> </w:t>
      </w:r>
      <w:r>
        <w:t>there</w:t>
      </w:r>
      <w:r w:rsidR="009B5E48">
        <w:t xml:space="preserve"> is </w:t>
      </w:r>
      <w:r>
        <w:t>already</w:t>
      </w:r>
      <w:r w:rsidR="009B5E48">
        <w:t xml:space="preserve"> a </w:t>
      </w:r>
      <w:r>
        <w:t>different</w:t>
      </w:r>
      <w:r w:rsidR="009B5E48">
        <w:t xml:space="preserve">, </w:t>
      </w:r>
      <w:r>
        <w:t>better</w:t>
      </w:r>
      <w:r w:rsidR="009B5E48">
        <w:t xml:space="preserve"> </w:t>
      </w:r>
      <w:r w:rsidR="00006671">
        <w:t>legal</w:t>
      </w:r>
      <w:r w:rsidR="009B5E48">
        <w:t xml:space="preserve"> basis for </w:t>
      </w:r>
      <w:r>
        <w:t>Police Scotland’s</w:t>
      </w:r>
      <w:r w:rsidR="009B5E48">
        <w:t xml:space="preserve"> </w:t>
      </w:r>
      <w:r w:rsidR="00096A14">
        <w:t>Domestic Abuse D</w:t>
      </w:r>
      <w:r>
        <w:t xml:space="preserve">isclosure </w:t>
      </w:r>
      <w:r w:rsidR="00096A14">
        <w:t>S</w:t>
      </w:r>
      <w:r>
        <w:t xml:space="preserve">cheme. </w:t>
      </w:r>
      <w:r w:rsidR="00E615D6">
        <w:rPr>
          <w:rFonts w:cstheme="minorHAnsi"/>
        </w:rPr>
        <w:t>We argue t</w:t>
      </w:r>
      <w:r w:rsidR="00A63083" w:rsidRPr="00DA194D">
        <w:rPr>
          <w:rFonts w:cstheme="minorHAnsi"/>
        </w:rPr>
        <w:t xml:space="preserve">he true basis in law for </w:t>
      </w:r>
      <w:r w:rsidR="003D4164">
        <w:rPr>
          <w:rFonts w:cstheme="minorHAnsi"/>
        </w:rPr>
        <w:t>Police Scotland’s</w:t>
      </w:r>
      <w:r w:rsidR="00A63083" w:rsidRPr="00DA194D">
        <w:rPr>
          <w:rFonts w:cstheme="minorHAnsi"/>
        </w:rPr>
        <w:t xml:space="preserve"> disclosure power is not the 2012 Ac</w:t>
      </w:r>
      <w:r w:rsidR="00597F9B">
        <w:rPr>
          <w:rFonts w:cstheme="minorHAnsi"/>
        </w:rPr>
        <w:t>t</w:t>
      </w:r>
      <w:r w:rsidR="00754F32">
        <w:rPr>
          <w:rFonts w:cstheme="minorHAnsi"/>
        </w:rPr>
        <w:t>,</w:t>
      </w:r>
      <w:r w:rsidR="00A63083" w:rsidRPr="00DA194D">
        <w:rPr>
          <w:rFonts w:cstheme="minorHAnsi"/>
        </w:rPr>
        <w:t xml:space="preserve"> but the long-established </w:t>
      </w:r>
      <w:r w:rsidR="00665237">
        <w:rPr>
          <w:rFonts w:cstheme="minorHAnsi"/>
        </w:rPr>
        <w:t>authority</w:t>
      </w:r>
      <w:r w:rsidR="00A63083" w:rsidRPr="00DA194D">
        <w:rPr>
          <w:rFonts w:cstheme="minorHAnsi"/>
        </w:rPr>
        <w:t xml:space="preserve"> of police forces throughout the UK to make disclosures of information </w:t>
      </w:r>
      <w:r w:rsidR="0004051F">
        <w:rPr>
          <w:rFonts w:cstheme="minorHAnsi"/>
        </w:rPr>
        <w:t xml:space="preserve">they hold, in </w:t>
      </w:r>
      <w:r w:rsidR="00FC61FE">
        <w:rPr>
          <w:rFonts w:cstheme="minorHAnsi"/>
        </w:rPr>
        <w:t xml:space="preserve">the </w:t>
      </w:r>
      <w:r w:rsidR="00A63083" w:rsidRPr="00DA194D">
        <w:rPr>
          <w:rFonts w:cstheme="minorHAnsi"/>
        </w:rPr>
        <w:t xml:space="preserve">public interest </w:t>
      </w:r>
      <w:r w:rsidR="0004051F">
        <w:rPr>
          <w:rFonts w:cstheme="minorHAnsi"/>
        </w:rPr>
        <w:t xml:space="preserve">and </w:t>
      </w:r>
      <w:r w:rsidR="009C2D18">
        <w:rPr>
          <w:rFonts w:cstheme="minorHAnsi"/>
        </w:rPr>
        <w:t>for policing purposes</w:t>
      </w:r>
      <w:r w:rsidR="006B4012">
        <w:rPr>
          <w:rFonts w:cstheme="minorHAnsi"/>
        </w:rPr>
        <w:t>,</w:t>
      </w:r>
      <w:r w:rsidR="009C2D18">
        <w:rPr>
          <w:rFonts w:cstheme="minorHAnsi"/>
        </w:rPr>
        <w:t xml:space="preserve"> </w:t>
      </w:r>
      <w:r w:rsidR="00A63083" w:rsidRPr="00DA194D">
        <w:rPr>
          <w:rFonts w:cstheme="minorHAnsi"/>
        </w:rPr>
        <w:t xml:space="preserve">under the common law. As the UK Supreme Court </w:t>
      </w:r>
      <w:r w:rsidR="000C251F">
        <w:rPr>
          <w:rFonts w:cstheme="minorHAnsi"/>
        </w:rPr>
        <w:t>recently held</w:t>
      </w:r>
      <w:r w:rsidR="00A63083" w:rsidRPr="00DA194D">
        <w:rPr>
          <w:rFonts w:cstheme="minorHAnsi"/>
        </w:rPr>
        <w:t xml:space="preserve">, </w:t>
      </w:r>
      <w:r w:rsidR="009B5428">
        <w:rPr>
          <w:rFonts w:cstheme="minorHAnsi"/>
        </w:rPr>
        <w:t>“</w:t>
      </w:r>
      <w:r w:rsidR="00A63083" w:rsidRPr="00DA194D">
        <w:rPr>
          <w:rFonts w:cstheme="minorHAnsi"/>
        </w:rPr>
        <w:t xml:space="preserve">the police have a general power to hold and disclose information for the purposes of performing their functions to uphold the </w:t>
      </w:r>
      <w:r w:rsidR="00A63083" w:rsidRPr="00DA194D">
        <w:rPr>
          <w:rFonts w:cstheme="minorHAnsi"/>
        </w:rPr>
        <w:lastRenderedPageBreak/>
        <w:t>law and protect the public</w:t>
      </w:r>
      <w:r w:rsidR="009B5428">
        <w:rPr>
          <w:rFonts w:cstheme="minorHAnsi"/>
        </w:rPr>
        <w:t>”</w:t>
      </w:r>
      <w:r w:rsidR="0048352C">
        <w:rPr>
          <w:lang w:val="en-US"/>
        </w:rPr>
        <w:t>,</w:t>
      </w:r>
      <w:r w:rsidR="00FC61FE">
        <w:rPr>
          <w:rStyle w:val="FootnoteReference"/>
          <w:lang w:val="en-US"/>
        </w:rPr>
        <w:footnoteReference w:id="18"/>
      </w:r>
      <w:r w:rsidR="0048352C">
        <w:rPr>
          <w:lang w:val="en-US"/>
        </w:rPr>
        <w:t xml:space="preserve"> reflecting a </w:t>
      </w:r>
      <w:r w:rsidR="00D23EDD">
        <w:rPr>
          <w:lang w:val="en-US"/>
        </w:rPr>
        <w:t>series of</w:t>
      </w:r>
      <w:r w:rsidR="0048352C">
        <w:rPr>
          <w:lang w:val="en-US"/>
        </w:rPr>
        <w:t xml:space="preserve"> </w:t>
      </w:r>
      <w:r w:rsidR="00D23EDD">
        <w:rPr>
          <w:lang w:val="en-US"/>
        </w:rPr>
        <w:t>judicial decisions</w:t>
      </w:r>
      <w:r w:rsidR="0048352C">
        <w:rPr>
          <w:lang w:val="en-US"/>
        </w:rPr>
        <w:t xml:space="preserve"> involving the collection and </w:t>
      </w:r>
      <w:r w:rsidR="0049110A">
        <w:rPr>
          <w:lang w:val="en-US"/>
        </w:rPr>
        <w:t>disclosure of information</w:t>
      </w:r>
      <w:r w:rsidR="00D23EDD">
        <w:rPr>
          <w:lang w:val="en-US"/>
        </w:rPr>
        <w:t xml:space="preserve"> for policing purposes going back decades</w:t>
      </w:r>
      <w:r w:rsidR="003A794B">
        <w:rPr>
          <w:rFonts w:cstheme="minorHAnsi"/>
        </w:rPr>
        <w:t>.</w:t>
      </w:r>
      <w:r w:rsidR="00DA43C5">
        <w:rPr>
          <w:rStyle w:val="FootnoteReference"/>
          <w:rFonts w:cstheme="minorHAnsi"/>
        </w:rPr>
        <w:footnoteReference w:id="19"/>
      </w:r>
      <w:r w:rsidR="00207E6C">
        <w:rPr>
          <w:rFonts w:cstheme="minorHAnsi"/>
        </w:rPr>
        <w:t xml:space="preserve"> </w:t>
      </w:r>
      <w:r w:rsidR="005308F6" w:rsidRPr="00A70D5C">
        <w:rPr>
          <w:rFonts w:cstheme="minorHAnsi"/>
        </w:rPr>
        <w:t xml:space="preserve">Rooting DSDAS in the </w:t>
      </w:r>
      <w:r w:rsidR="00636A6F" w:rsidRPr="00A70D5C">
        <w:rPr>
          <w:rFonts w:cstheme="minorHAnsi"/>
        </w:rPr>
        <w:t xml:space="preserve">well-established </w:t>
      </w:r>
      <w:r w:rsidR="005308F6" w:rsidRPr="00A70D5C">
        <w:rPr>
          <w:rFonts w:cstheme="minorHAnsi"/>
        </w:rPr>
        <w:t xml:space="preserve">authority of the common law has the </w:t>
      </w:r>
      <w:r w:rsidR="007268CB" w:rsidRPr="00A70D5C">
        <w:rPr>
          <w:rFonts w:cstheme="minorHAnsi"/>
        </w:rPr>
        <w:t xml:space="preserve">distinct </w:t>
      </w:r>
      <w:r w:rsidR="00116D5B" w:rsidRPr="00A70D5C">
        <w:rPr>
          <w:rFonts w:cstheme="minorHAnsi"/>
        </w:rPr>
        <w:t>adv</w:t>
      </w:r>
      <w:r w:rsidR="00B925CF" w:rsidRPr="00A70D5C">
        <w:rPr>
          <w:rFonts w:cstheme="minorHAnsi"/>
        </w:rPr>
        <w:t xml:space="preserve">antage of being </w:t>
      </w:r>
      <w:r w:rsidR="007C3E67" w:rsidRPr="00A70D5C">
        <w:rPr>
          <w:rFonts w:cstheme="minorHAnsi"/>
        </w:rPr>
        <w:t xml:space="preserve">much </w:t>
      </w:r>
      <w:r w:rsidR="00B925CF" w:rsidRPr="00A70D5C">
        <w:rPr>
          <w:rFonts w:cstheme="minorHAnsi"/>
        </w:rPr>
        <w:t xml:space="preserve">less susceptible to </w:t>
      </w:r>
      <w:r w:rsidR="007C3E67" w:rsidRPr="00A70D5C">
        <w:rPr>
          <w:rFonts w:cstheme="minorHAnsi"/>
        </w:rPr>
        <w:t xml:space="preserve">legal </w:t>
      </w:r>
      <w:r w:rsidR="00B925CF" w:rsidRPr="00A70D5C">
        <w:rPr>
          <w:rFonts w:cstheme="minorHAnsi"/>
        </w:rPr>
        <w:t>challenge on Article 8 grounds</w:t>
      </w:r>
      <w:r w:rsidR="007C3E67" w:rsidRPr="00A70D5C">
        <w:rPr>
          <w:rFonts w:cstheme="minorHAnsi"/>
        </w:rPr>
        <w:t>.</w:t>
      </w:r>
      <w:r w:rsidR="007C3E67">
        <w:rPr>
          <w:rFonts w:cstheme="minorHAnsi"/>
        </w:rPr>
        <w:t xml:space="preserve"> </w:t>
      </w:r>
      <w:r w:rsidR="00765122">
        <w:rPr>
          <w:rFonts w:cstheme="minorHAnsi"/>
        </w:rPr>
        <w:t>Identifying the common law as</w:t>
      </w:r>
      <w:r w:rsidR="0024374E">
        <w:rPr>
          <w:rFonts w:cstheme="minorHAnsi"/>
        </w:rPr>
        <w:t xml:space="preserve"> the true legal basis for DSDAS </w:t>
      </w:r>
      <w:r w:rsidR="00322765">
        <w:rPr>
          <w:rFonts w:cstheme="minorHAnsi"/>
        </w:rPr>
        <w:t>disclosures</w:t>
      </w:r>
      <w:r w:rsidR="0024374E">
        <w:rPr>
          <w:rFonts w:cstheme="minorHAnsi"/>
        </w:rPr>
        <w:t xml:space="preserve"> is also more consistent with the legal arguments articulated by Police Scotland in two recent Court of Session cases involving contested</w:t>
      </w:r>
      <w:r w:rsidR="00765122">
        <w:rPr>
          <w:rFonts w:cstheme="minorHAnsi"/>
        </w:rPr>
        <w:t xml:space="preserve"> disclosures of information protected by Article 8</w:t>
      </w:r>
      <w:r w:rsidR="00977938">
        <w:rPr>
          <w:rFonts w:cstheme="minorHAnsi"/>
        </w:rPr>
        <w:t xml:space="preserve"> –</w:t>
      </w:r>
      <w:r w:rsidR="00A63083" w:rsidRPr="00DA194D">
        <w:rPr>
          <w:rFonts w:cstheme="minorHAnsi"/>
        </w:rPr>
        <w:t xml:space="preserve"> </w:t>
      </w:r>
      <w:r w:rsidR="00A63083" w:rsidRPr="00DA194D">
        <w:rPr>
          <w:rFonts w:cstheme="minorHAnsi"/>
          <w:i/>
          <w:iCs/>
        </w:rPr>
        <w:t xml:space="preserve">BC and </w:t>
      </w:r>
      <w:proofErr w:type="spellStart"/>
      <w:r w:rsidR="00A63083" w:rsidRPr="00DA194D">
        <w:rPr>
          <w:rFonts w:cstheme="minorHAnsi"/>
          <w:i/>
          <w:iCs/>
        </w:rPr>
        <w:t>Ors</w:t>
      </w:r>
      <w:proofErr w:type="spellEnd"/>
      <w:r w:rsidR="00A63083" w:rsidRPr="00DA194D">
        <w:rPr>
          <w:rFonts w:cstheme="minorHAnsi"/>
          <w:i/>
          <w:iCs/>
        </w:rPr>
        <w:t xml:space="preserve"> v Chief Constable of the Police Service of Scotland</w:t>
      </w:r>
      <w:r w:rsidR="00630736">
        <w:rPr>
          <w:rFonts w:cstheme="minorHAnsi"/>
          <w:i/>
          <w:iCs/>
        </w:rPr>
        <w:t xml:space="preserve"> </w:t>
      </w:r>
      <w:r w:rsidR="00630736">
        <w:t>[2020] CSIH 61</w:t>
      </w:r>
      <w:r w:rsidR="00A63083" w:rsidRPr="00DA194D">
        <w:rPr>
          <w:rFonts w:cstheme="minorHAnsi"/>
          <w:i/>
          <w:iCs/>
        </w:rPr>
        <w:t xml:space="preserve"> </w:t>
      </w:r>
      <w:r w:rsidR="00A63083" w:rsidRPr="00DA194D">
        <w:rPr>
          <w:rFonts w:cstheme="minorHAnsi"/>
        </w:rPr>
        <w:t xml:space="preserve">and </w:t>
      </w:r>
      <w:r w:rsidR="00A63083" w:rsidRPr="00DA194D">
        <w:rPr>
          <w:rFonts w:cstheme="minorHAnsi"/>
          <w:i/>
          <w:iCs/>
        </w:rPr>
        <w:t>The General Teaching Council for Scotland v Chief Constable of the Police Service of Scotland</w:t>
      </w:r>
      <w:r w:rsidR="00630736">
        <w:rPr>
          <w:rFonts w:cstheme="minorHAnsi"/>
          <w:i/>
          <w:iCs/>
        </w:rPr>
        <w:t xml:space="preserve"> </w:t>
      </w:r>
      <w:r w:rsidR="00630736">
        <w:t>[2021] CSOH 110.</w:t>
      </w:r>
      <w:r w:rsidR="00A63083" w:rsidRPr="00DA194D">
        <w:rPr>
          <w:rFonts w:cstheme="minorHAnsi"/>
        </w:rPr>
        <w:t xml:space="preserve"> Both cases concerned the disclosure of information held by Police Scotland. </w:t>
      </w:r>
      <w:r w:rsidR="0035107A" w:rsidRPr="00DA194D">
        <w:rPr>
          <w:rFonts w:cstheme="minorHAnsi"/>
        </w:rPr>
        <w:t xml:space="preserve">To date, </w:t>
      </w:r>
      <w:r w:rsidR="0035107A">
        <w:rPr>
          <w:rFonts w:cstheme="minorHAnsi"/>
        </w:rPr>
        <w:t>they</w:t>
      </w:r>
      <w:r w:rsidR="0035107A" w:rsidRPr="00DA194D">
        <w:rPr>
          <w:rFonts w:cstheme="minorHAnsi"/>
        </w:rPr>
        <w:t xml:space="preserve"> are the only judicial decisions which have referred to section 32 of the 2012 Act. </w:t>
      </w:r>
      <w:r w:rsidR="00A63083" w:rsidRPr="00DA194D">
        <w:rPr>
          <w:rFonts w:cstheme="minorHAnsi"/>
        </w:rPr>
        <w:t xml:space="preserve">In </w:t>
      </w:r>
      <w:r w:rsidR="00A63083" w:rsidRPr="00DA194D">
        <w:rPr>
          <w:rFonts w:cstheme="minorHAnsi"/>
          <w:i/>
          <w:iCs/>
        </w:rPr>
        <w:t>BC</w:t>
      </w:r>
      <w:r w:rsidR="00A63083" w:rsidRPr="00DA194D">
        <w:rPr>
          <w:rFonts w:cstheme="minorHAnsi"/>
        </w:rPr>
        <w:t xml:space="preserve">, </w:t>
      </w:r>
      <w:r w:rsidR="00DF16C6" w:rsidRPr="00DA194D">
        <w:rPr>
          <w:rFonts w:cstheme="minorHAnsi"/>
        </w:rPr>
        <w:t>WhatsApp</w:t>
      </w:r>
      <w:r w:rsidR="00A63083" w:rsidRPr="00DA194D">
        <w:rPr>
          <w:rFonts w:cstheme="minorHAnsi"/>
        </w:rPr>
        <w:t xml:space="preserve"> messages from police constables were discovered during an investigation into a serious sexual offence. These messages were described by the court as “sexist and degrading, racist, anti-Semitic, homophobic, mocking of disability and included a flagrant disregard for police procedures by posting crime scene photos of current investigations”</w:t>
      </w:r>
      <w:r w:rsidR="00630736">
        <w:rPr>
          <w:rFonts w:cstheme="minorHAnsi"/>
          <w:iCs/>
        </w:rPr>
        <w:t>.</w:t>
      </w:r>
      <w:r w:rsidR="003B5717">
        <w:rPr>
          <w:rStyle w:val="FootnoteReference"/>
          <w:rFonts w:cstheme="minorHAnsi"/>
          <w:iCs/>
        </w:rPr>
        <w:footnoteReference w:id="20"/>
      </w:r>
      <w:r w:rsidR="00A63083" w:rsidRPr="00DA194D">
        <w:rPr>
          <w:rFonts w:cstheme="minorHAnsi"/>
        </w:rPr>
        <w:t xml:space="preserve"> Having uncovered this material, Police Scotland launched misconduct proceedings against the officers involved.</w:t>
      </w:r>
      <w:r w:rsidR="009A644A">
        <w:rPr>
          <w:rFonts w:cstheme="minorHAnsi"/>
        </w:rPr>
        <w:t xml:space="preserve"> </w:t>
      </w:r>
      <w:r w:rsidR="00A63083" w:rsidRPr="00DA194D">
        <w:rPr>
          <w:rFonts w:cstheme="minorHAnsi"/>
        </w:rPr>
        <w:t xml:space="preserve">Raising proceedings in judicial review, the officers argued that </w:t>
      </w:r>
      <w:r w:rsidR="00552A7A">
        <w:rPr>
          <w:rFonts w:cstheme="minorHAnsi"/>
        </w:rPr>
        <w:t>disclosing</w:t>
      </w:r>
      <w:r w:rsidR="00A63083" w:rsidRPr="00DA194D">
        <w:rPr>
          <w:rFonts w:cstheme="minorHAnsi"/>
        </w:rPr>
        <w:t xml:space="preserve"> this material for disciplinary purposes violated their right</w:t>
      </w:r>
      <w:r w:rsidR="00BE779D">
        <w:rPr>
          <w:rFonts w:cstheme="minorHAnsi"/>
        </w:rPr>
        <w:t>s</w:t>
      </w:r>
      <w:r w:rsidR="00A63083" w:rsidRPr="00DA194D">
        <w:rPr>
          <w:rFonts w:cstheme="minorHAnsi"/>
        </w:rPr>
        <w:t xml:space="preserve"> to privacy under Article 8 of the E</w:t>
      </w:r>
      <w:r w:rsidR="00BE779D">
        <w:rPr>
          <w:rFonts w:cstheme="minorHAnsi"/>
        </w:rPr>
        <w:t>CHR</w:t>
      </w:r>
      <w:r w:rsidR="00A63083" w:rsidRPr="00DA194D">
        <w:rPr>
          <w:rFonts w:cstheme="minorHAnsi"/>
        </w:rPr>
        <w:t xml:space="preserve"> on the basis </w:t>
      </w:r>
      <w:r w:rsidR="00657F68">
        <w:rPr>
          <w:rFonts w:cstheme="minorHAnsi"/>
        </w:rPr>
        <w:t xml:space="preserve">that </w:t>
      </w:r>
      <w:r w:rsidR="00A63083" w:rsidRPr="00DA194D">
        <w:rPr>
          <w:rFonts w:cstheme="minorHAnsi"/>
        </w:rPr>
        <w:t xml:space="preserve">the constables involved had a reasonable expectation of privacy in their use of social media, and that the disclosure </w:t>
      </w:r>
      <w:r w:rsidR="00F30A8D">
        <w:rPr>
          <w:rFonts w:cstheme="minorHAnsi"/>
        </w:rPr>
        <w:t xml:space="preserve">of this material </w:t>
      </w:r>
      <w:r w:rsidR="00596281">
        <w:rPr>
          <w:rFonts w:cstheme="minorHAnsi"/>
        </w:rPr>
        <w:t>in</w:t>
      </w:r>
      <w:r w:rsidR="00F30A8D">
        <w:rPr>
          <w:rFonts w:cstheme="minorHAnsi"/>
        </w:rPr>
        <w:t xml:space="preserve"> </w:t>
      </w:r>
      <w:r w:rsidR="00A10427">
        <w:rPr>
          <w:rFonts w:cstheme="minorHAnsi"/>
        </w:rPr>
        <w:t xml:space="preserve">police </w:t>
      </w:r>
      <w:r w:rsidR="00F30A8D">
        <w:rPr>
          <w:rFonts w:cstheme="minorHAnsi"/>
        </w:rPr>
        <w:t xml:space="preserve">disciplinary proceedings </w:t>
      </w:r>
      <w:r w:rsidR="00A63083" w:rsidRPr="00DA194D">
        <w:rPr>
          <w:rFonts w:cstheme="minorHAnsi"/>
        </w:rPr>
        <w:t>would not be “according to law</w:t>
      </w:r>
      <w:r w:rsidR="00657F68">
        <w:rPr>
          <w:rFonts w:cstheme="minorHAnsi"/>
        </w:rPr>
        <w:t>”</w:t>
      </w:r>
      <w:r w:rsidR="00A63083" w:rsidRPr="00DA194D">
        <w:rPr>
          <w:rFonts w:cstheme="minorHAnsi"/>
        </w:rPr>
        <w:t>, pursue a legitimate aim and</w:t>
      </w:r>
      <w:r w:rsidR="00842E1A">
        <w:rPr>
          <w:rFonts w:cstheme="minorHAnsi"/>
        </w:rPr>
        <w:t>,</w:t>
      </w:r>
      <w:r w:rsidR="00A63083" w:rsidRPr="00DA194D">
        <w:rPr>
          <w:rFonts w:cstheme="minorHAnsi"/>
        </w:rPr>
        <w:t xml:space="preserve"> critically</w:t>
      </w:r>
      <w:r w:rsidR="00842E1A">
        <w:rPr>
          <w:rFonts w:cstheme="minorHAnsi"/>
        </w:rPr>
        <w:t>,</w:t>
      </w:r>
      <w:r w:rsidR="00A63083" w:rsidRPr="00DA194D">
        <w:rPr>
          <w:rFonts w:cstheme="minorHAnsi"/>
        </w:rPr>
        <w:t xml:space="preserve"> be proportionate under Article 8. </w:t>
      </w:r>
    </w:p>
    <w:p w14:paraId="7AB60510" w14:textId="45A83A32" w:rsidR="00A63083" w:rsidRPr="00DA194D" w:rsidRDefault="00A63083" w:rsidP="00425759">
      <w:pPr>
        <w:spacing w:line="360" w:lineRule="auto"/>
        <w:jc w:val="both"/>
        <w:rPr>
          <w:rFonts w:cstheme="minorHAnsi"/>
        </w:rPr>
      </w:pPr>
      <w:r w:rsidRPr="00DA194D">
        <w:rPr>
          <w:rFonts w:cstheme="minorHAnsi"/>
        </w:rPr>
        <w:t xml:space="preserve">In the Inner House of the Court of Session, Lady Dorrian held that the disclosure of this information </w:t>
      </w:r>
      <w:r w:rsidRPr="00DC4F9A">
        <w:rPr>
          <w:rFonts w:cstheme="minorHAnsi"/>
          <w:i/>
          <w:iCs/>
        </w:rPr>
        <w:t>did</w:t>
      </w:r>
      <w:r w:rsidRPr="00DA194D">
        <w:rPr>
          <w:rFonts w:cstheme="minorHAnsi"/>
        </w:rPr>
        <w:t xml:space="preserve"> pursue a legitimate aim and was proportionate. In reaching this conclusion, she referred </w:t>
      </w:r>
      <w:proofErr w:type="spellStart"/>
      <w:r w:rsidRPr="00DA194D">
        <w:rPr>
          <w:rFonts w:cstheme="minorHAnsi"/>
          <w:i/>
          <w:iCs/>
        </w:rPr>
        <w:t>en</w:t>
      </w:r>
      <w:proofErr w:type="spellEnd"/>
      <w:r w:rsidRPr="00DA194D">
        <w:rPr>
          <w:rFonts w:cstheme="minorHAnsi"/>
          <w:i/>
          <w:iCs/>
        </w:rPr>
        <w:t xml:space="preserve"> passant </w:t>
      </w:r>
      <w:r w:rsidRPr="00DA194D">
        <w:rPr>
          <w:rFonts w:cstheme="minorHAnsi"/>
        </w:rPr>
        <w:t>to section 32 of the 2012 Act, by way of demonstrating that the “maintenance of a properly regulated police force is in my view something which squarely falls within an identifiable policing purpose” in section 32</w:t>
      </w:r>
      <w:r w:rsidR="003041A7">
        <w:rPr>
          <w:rFonts w:cstheme="minorHAnsi"/>
        </w:rPr>
        <w:t>,</w:t>
      </w:r>
      <w:r w:rsidRPr="00DA194D">
        <w:rPr>
          <w:rFonts w:cstheme="minorHAnsi"/>
        </w:rPr>
        <w:t xml:space="preserve"> </w:t>
      </w:r>
      <w:r w:rsidR="003041A7">
        <w:rPr>
          <w:rFonts w:cstheme="minorHAnsi"/>
        </w:rPr>
        <w:t>a</w:t>
      </w:r>
      <w:r w:rsidRPr="00DA194D">
        <w:rPr>
          <w:rFonts w:cstheme="minorHAnsi"/>
        </w:rPr>
        <w:t>nd so justified the use of the Whats</w:t>
      </w:r>
      <w:r w:rsidR="00F757E5">
        <w:rPr>
          <w:rFonts w:cstheme="minorHAnsi"/>
        </w:rPr>
        <w:t>A</w:t>
      </w:r>
      <w:r w:rsidRPr="00DA194D">
        <w:rPr>
          <w:rFonts w:cstheme="minorHAnsi"/>
        </w:rPr>
        <w:t>pp material to determine officers’ fitness to retain their commissions</w:t>
      </w:r>
      <w:r w:rsidR="00F757E5">
        <w:rPr>
          <w:rFonts w:cstheme="minorHAnsi"/>
        </w:rPr>
        <w:t>.</w:t>
      </w:r>
      <w:r w:rsidR="003041A7">
        <w:rPr>
          <w:rStyle w:val="FootnoteReference"/>
          <w:rFonts w:cstheme="minorHAnsi"/>
        </w:rPr>
        <w:footnoteReference w:id="21"/>
      </w:r>
      <w:r w:rsidRPr="00DA194D">
        <w:rPr>
          <w:rFonts w:cstheme="minorHAnsi"/>
        </w:rPr>
        <w:t xml:space="preserve"> She did not assert or imply section 32 was the source of a general disclosure power.</w:t>
      </w:r>
    </w:p>
    <w:p w14:paraId="0304F3AC" w14:textId="73EEE75C" w:rsidR="00EA1A8F" w:rsidRDefault="00A63083" w:rsidP="00425759">
      <w:pPr>
        <w:spacing w:line="360" w:lineRule="auto"/>
        <w:jc w:val="both"/>
        <w:rPr>
          <w:rFonts w:cstheme="minorHAnsi"/>
        </w:rPr>
      </w:pPr>
      <w:r w:rsidRPr="00DA194D">
        <w:rPr>
          <w:rFonts w:cstheme="minorHAnsi"/>
        </w:rPr>
        <w:t xml:space="preserve">In the </w:t>
      </w:r>
      <w:r w:rsidRPr="00DA194D">
        <w:rPr>
          <w:rFonts w:cstheme="minorHAnsi"/>
          <w:i/>
          <w:iCs/>
        </w:rPr>
        <w:t>General Teaching Council for Scotland</w:t>
      </w:r>
      <w:r w:rsidRPr="00DA194D">
        <w:rPr>
          <w:rFonts w:cstheme="minorHAnsi"/>
        </w:rPr>
        <w:t xml:space="preserve"> case, GTCS sought disclosure from Police Scotland of material held by the Chief Constable for the purposes of disciplinary proceedings against registered teachers</w:t>
      </w:r>
      <w:r w:rsidR="00A21156">
        <w:rPr>
          <w:rFonts w:cstheme="minorHAnsi"/>
        </w:rPr>
        <w:t xml:space="preserve"> accused but not convicted of criminal offences</w:t>
      </w:r>
      <w:r w:rsidRPr="00DA194D">
        <w:rPr>
          <w:rFonts w:cstheme="minorHAnsi"/>
        </w:rPr>
        <w:t xml:space="preserve">. Police Scotland refused to disclose this </w:t>
      </w:r>
      <w:r w:rsidRPr="00DA194D">
        <w:rPr>
          <w:rFonts w:cstheme="minorHAnsi"/>
        </w:rPr>
        <w:lastRenderedPageBreak/>
        <w:t xml:space="preserve">information without a court order, on the basis that it would not be “according to law” for the purposes of Article 8 to make these disclosures without judicial authorisation. They did so </w:t>
      </w:r>
      <w:r w:rsidR="00885E3C" w:rsidRPr="00DA194D">
        <w:rPr>
          <w:rFonts w:cstheme="minorHAnsi"/>
        </w:rPr>
        <w:t>based on</w:t>
      </w:r>
      <w:r w:rsidRPr="00DA194D">
        <w:rPr>
          <w:rFonts w:cstheme="minorHAnsi"/>
        </w:rPr>
        <w:t xml:space="preserve"> erroneous advice from the Office of the Information Commissioner, which asserted that </w:t>
      </w:r>
      <w:r w:rsidR="00885E3C">
        <w:rPr>
          <w:rFonts w:cstheme="minorHAnsi"/>
        </w:rPr>
        <w:t xml:space="preserve">either </w:t>
      </w:r>
      <w:r w:rsidRPr="00DA194D">
        <w:rPr>
          <w:rFonts w:cstheme="minorHAnsi"/>
        </w:rPr>
        <w:t xml:space="preserve">a court order or </w:t>
      </w:r>
      <w:r w:rsidR="00BD7E63">
        <w:rPr>
          <w:rFonts w:cstheme="minorHAnsi"/>
        </w:rPr>
        <w:t xml:space="preserve">a </w:t>
      </w:r>
      <w:r w:rsidRPr="00DA194D">
        <w:rPr>
          <w:rFonts w:cstheme="minorHAnsi"/>
        </w:rPr>
        <w:t xml:space="preserve">“specific </w:t>
      </w:r>
      <w:r w:rsidRPr="00AB636F">
        <w:rPr>
          <w:rFonts w:cstheme="minorHAnsi"/>
          <w:i/>
          <w:iCs/>
        </w:rPr>
        <w:t>statutory</w:t>
      </w:r>
      <w:r w:rsidRPr="00DA194D">
        <w:rPr>
          <w:rFonts w:cstheme="minorHAnsi"/>
        </w:rPr>
        <w:t xml:space="preserve"> obligation to provide the information” was required </w:t>
      </w:r>
      <w:r w:rsidR="00BD7E63">
        <w:rPr>
          <w:rFonts w:cstheme="minorHAnsi"/>
        </w:rPr>
        <w:t xml:space="preserve">for Police Scotland </w:t>
      </w:r>
      <w:r w:rsidRPr="00DA194D">
        <w:rPr>
          <w:rFonts w:cstheme="minorHAnsi"/>
        </w:rPr>
        <w:t>lawfully to disclose this evidence</w:t>
      </w:r>
      <w:r w:rsidR="00BD7E63">
        <w:rPr>
          <w:rFonts w:cstheme="minorHAnsi"/>
        </w:rPr>
        <w:t xml:space="preserve"> to GTCS</w:t>
      </w:r>
      <w:r w:rsidRPr="00DA194D">
        <w:rPr>
          <w:rFonts w:cstheme="minorHAnsi"/>
        </w:rPr>
        <w:t xml:space="preserve">. </w:t>
      </w:r>
    </w:p>
    <w:p w14:paraId="33ED3298" w14:textId="5A63CBD1" w:rsidR="00A63083" w:rsidRDefault="00B6172C" w:rsidP="00425759">
      <w:pPr>
        <w:spacing w:line="360" w:lineRule="auto"/>
        <w:jc w:val="both"/>
        <w:rPr>
          <w:rFonts w:cstheme="minorHAnsi"/>
        </w:rPr>
      </w:pPr>
      <w:r>
        <w:rPr>
          <w:rFonts w:cstheme="minorHAnsi"/>
        </w:rPr>
        <w:t xml:space="preserve">Rejecting the Information Commissioner’s analysis, </w:t>
      </w:r>
      <w:r w:rsidR="00A63083" w:rsidRPr="00DA194D">
        <w:rPr>
          <w:rFonts w:cstheme="minorHAnsi"/>
        </w:rPr>
        <w:t xml:space="preserve">Lord </w:t>
      </w:r>
      <w:proofErr w:type="spellStart"/>
      <w:r w:rsidR="00A63083" w:rsidRPr="00DA194D">
        <w:rPr>
          <w:rFonts w:cstheme="minorHAnsi"/>
        </w:rPr>
        <w:t>Uist</w:t>
      </w:r>
      <w:proofErr w:type="spellEnd"/>
      <w:r w:rsidR="00A63083" w:rsidRPr="00DA194D">
        <w:rPr>
          <w:rFonts w:cstheme="minorHAnsi"/>
        </w:rPr>
        <w:t xml:space="preserve"> held that </w:t>
      </w:r>
      <w:r w:rsidR="00EA1A8F">
        <w:rPr>
          <w:rFonts w:cstheme="minorHAnsi"/>
        </w:rPr>
        <w:t>P</w:t>
      </w:r>
      <w:r w:rsidR="00A63083" w:rsidRPr="00DA194D">
        <w:rPr>
          <w:rFonts w:cstheme="minorHAnsi"/>
        </w:rPr>
        <w:t>olice</w:t>
      </w:r>
      <w:r w:rsidR="00EA1A8F">
        <w:rPr>
          <w:rFonts w:cstheme="minorHAnsi"/>
        </w:rPr>
        <w:t xml:space="preserve"> Scotland </w:t>
      </w:r>
      <w:r w:rsidR="00A63083" w:rsidRPr="00375431">
        <w:rPr>
          <w:rFonts w:cstheme="minorHAnsi"/>
          <w:i/>
          <w:iCs/>
        </w:rPr>
        <w:t>already</w:t>
      </w:r>
      <w:r w:rsidR="00A63083" w:rsidRPr="00DA194D">
        <w:rPr>
          <w:rFonts w:cstheme="minorHAnsi"/>
        </w:rPr>
        <w:t xml:space="preserve"> had the power to disclose information in the public interest without</w:t>
      </w:r>
      <w:r w:rsidR="00136060">
        <w:rPr>
          <w:rFonts w:cstheme="minorHAnsi"/>
        </w:rPr>
        <w:t xml:space="preserve"> further</w:t>
      </w:r>
      <w:r w:rsidR="00A63083" w:rsidRPr="00DA194D">
        <w:rPr>
          <w:rFonts w:cstheme="minorHAnsi"/>
        </w:rPr>
        <w:t xml:space="preserve"> reference to the court, relying on earlier decisions in </w:t>
      </w:r>
      <w:r w:rsidR="00A63083" w:rsidRPr="00DA194D">
        <w:rPr>
          <w:rFonts w:cstheme="minorHAnsi"/>
          <w:i/>
          <w:iCs/>
        </w:rPr>
        <w:t>Woolgar v Chief Constable of Sussex Police and UKCC</w:t>
      </w:r>
      <w:r w:rsidR="00A63083" w:rsidRPr="00DA194D">
        <w:rPr>
          <w:rFonts w:cstheme="minorHAnsi"/>
        </w:rPr>
        <w:t xml:space="preserve"> [2000] 1 WLR 25, </w:t>
      </w:r>
      <w:r w:rsidR="00A63083" w:rsidRPr="00DA194D">
        <w:rPr>
          <w:rFonts w:cstheme="minorHAnsi"/>
          <w:i/>
          <w:iCs/>
        </w:rPr>
        <w:t>General Dental Council v Savery and Others</w:t>
      </w:r>
      <w:r w:rsidR="00A63083" w:rsidRPr="00DA194D">
        <w:rPr>
          <w:rFonts w:cstheme="minorHAnsi"/>
        </w:rPr>
        <w:t xml:space="preserve"> [2011] EWHC 3011 (Admin) and </w:t>
      </w:r>
      <w:r w:rsidR="00A63083" w:rsidRPr="00DA194D">
        <w:rPr>
          <w:rFonts w:cstheme="minorHAnsi"/>
          <w:i/>
          <w:iCs/>
        </w:rPr>
        <w:t>C v The Chief Constable of the Police Service of Scotland</w:t>
      </w:r>
      <w:r w:rsidR="00A63083" w:rsidRPr="00DA194D">
        <w:rPr>
          <w:rFonts w:cstheme="minorHAnsi"/>
        </w:rPr>
        <w:t xml:space="preserve"> [2020] CSIH 61. While Lord </w:t>
      </w:r>
      <w:proofErr w:type="spellStart"/>
      <w:r w:rsidR="00A63083" w:rsidRPr="00DA194D">
        <w:rPr>
          <w:rFonts w:cstheme="minorHAnsi"/>
        </w:rPr>
        <w:t>Uist</w:t>
      </w:r>
      <w:proofErr w:type="spellEnd"/>
      <w:r w:rsidR="00A63083" w:rsidRPr="00DA194D">
        <w:rPr>
          <w:rFonts w:cstheme="minorHAnsi"/>
        </w:rPr>
        <w:t xml:space="preserve"> referred in passing to section 32 </w:t>
      </w:r>
      <w:r w:rsidR="008518F4">
        <w:rPr>
          <w:rFonts w:cstheme="minorHAnsi"/>
        </w:rPr>
        <w:t xml:space="preserve">of the 2012 Act </w:t>
      </w:r>
      <w:r w:rsidR="00A63083" w:rsidRPr="00DA194D">
        <w:rPr>
          <w:rFonts w:cstheme="minorHAnsi"/>
        </w:rPr>
        <w:t>in his judgment, it is clear from his reasoning that he agreed with Police Scotland’s substantive position during oral argument –</w:t>
      </w:r>
      <w:r w:rsidR="008B7383">
        <w:rPr>
          <w:rFonts w:cstheme="minorHAnsi"/>
        </w:rPr>
        <w:t xml:space="preserve"> </w:t>
      </w:r>
      <w:r w:rsidR="00A63083" w:rsidRPr="00DA194D">
        <w:rPr>
          <w:rFonts w:cstheme="minorHAnsi"/>
        </w:rPr>
        <w:t>that police power to disclose information in the public interest was rooted in the common law rather than any provisions of the 2012 Act. This suggests a degree of disconnect between Police Scotland’s approach in litigation, and its internal communications with officers about the legal basis for the DSDAS scheme</w:t>
      </w:r>
      <w:r w:rsidR="007B58BF">
        <w:rPr>
          <w:rFonts w:cstheme="minorHAnsi"/>
        </w:rPr>
        <w:t xml:space="preserve"> more generally</w:t>
      </w:r>
      <w:r w:rsidR="00A63083" w:rsidRPr="00DA194D">
        <w:rPr>
          <w:rFonts w:cstheme="minorHAnsi"/>
        </w:rPr>
        <w:t>.</w:t>
      </w:r>
    </w:p>
    <w:p w14:paraId="70CF52F2" w14:textId="019359BA" w:rsidR="003E03E7" w:rsidRDefault="007A3CC4" w:rsidP="00425759">
      <w:pPr>
        <w:spacing w:line="360" w:lineRule="auto"/>
        <w:jc w:val="both"/>
        <w:rPr>
          <w:rFonts w:cstheme="minorHAnsi"/>
        </w:rPr>
      </w:pPr>
      <w:r>
        <w:rPr>
          <w:rFonts w:cstheme="minorHAnsi"/>
        </w:rPr>
        <w:t>S</w:t>
      </w:r>
      <w:r w:rsidRPr="00DA194D">
        <w:rPr>
          <w:rFonts w:cstheme="minorHAnsi"/>
        </w:rPr>
        <w:t xml:space="preserve">imilar </w:t>
      </w:r>
      <w:r>
        <w:rPr>
          <w:rFonts w:cstheme="minorHAnsi"/>
        </w:rPr>
        <w:t>problems</w:t>
      </w:r>
      <w:r w:rsidR="00DF7B4C">
        <w:rPr>
          <w:rFonts w:cstheme="minorHAnsi"/>
        </w:rPr>
        <w:t xml:space="preserve"> in</w:t>
      </w:r>
      <w:r>
        <w:rPr>
          <w:rFonts w:cstheme="minorHAnsi"/>
        </w:rPr>
        <w:t xml:space="preserve"> clearly identifying the legal basis of police powers</w:t>
      </w:r>
      <w:r w:rsidRPr="00DA194D">
        <w:rPr>
          <w:rFonts w:cstheme="minorHAnsi"/>
        </w:rPr>
        <w:t xml:space="preserve"> have arisen in the context of other innovations with privacy implications. In 2019, the Scottish Parliament’s Justice Sub-Committee on Policing concluded an investigation into the force’s use of “cyber kiosks</w:t>
      </w:r>
      <w:r w:rsidR="00DF7B4C">
        <w:rPr>
          <w:rFonts w:cstheme="minorHAnsi"/>
        </w:rPr>
        <w:t>”</w:t>
      </w:r>
      <w:r w:rsidRPr="00DA194D">
        <w:rPr>
          <w:rFonts w:cstheme="minorHAnsi"/>
        </w:rPr>
        <w:t>. These are digital device triage systems which allowe</w:t>
      </w:r>
      <w:r w:rsidR="00BD7CFC">
        <w:rPr>
          <w:rFonts w:cstheme="minorHAnsi"/>
        </w:rPr>
        <w:t>d</w:t>
      </w:r>
      <w:r w:rsidRPr="00DA194D">
        <w:rPr>
          <w:rFonts w:cstheme="minorHAnsi"/>
        </w:rPr>
        <w:t xml:space="preserve"> officers to download data contained on the phone of an accused person or a complainer or witness, bypassing the device’s passwords and security measures</w:t>
      </w:r>
      <w:r>
        <w:rPr>
          <w:rFonts w:cstheme="minorHAnsi"/>
        </w:rPr>
        <w:t xml:space="preserve"> (Scottish Parliament 2019).</w:t>
      </w:r>
      <w:r w:rsidRPr="00DA194D">
        <w:rPr>
          <w:rFonts w:cstheme="minorHAnsi"/>
        </w:rPr>
        <w:t xml:space="preserve"> In 2018, 41 cyber</w:t>
      </w:r>
      <w:r w:rsidR="0037148E">
        <w:rPr>
          <w:rFonts w:cstheme="minorHAnsi"/>
        </w:rPr>
        <w:t xml:space="preserve"> </w:t>
      </w:r>
      <w:r w:rsidRPr="00DA194D">
        <w:rPr>
          <w:rFonts w:cstheme="minorHAnsi"/>
        </w:rPr>
        <w:t xml:space="preserve">kiosks were purchased by Police Scotland at a cost of £444,821 with minimal evidence the force had fully considered the regulatory and legal implications of their use of this technology or established that the extraction of private data in this way </w:t>
      </w:r>
      <w:r>
        <w:rPr>
          <w:rFonts w:cstheme="minorHAnsi"/>
        </w:rPr>
        <w:t>f</w:t>
      </w:r>
      <w:r w:rsidRPr="00DA194D">
        <w:rPr>
          <w:rFonts w:cstheme="minorHAnsi"/>
        </w:rPr>
        <w:t xml:space="preserve">ell within police powers. The technology and the lack of a clear regulatory basis for its use was subject </w:t>
      </w:r>
      <w:r>
        <w:rPr>
          <w:rFonts w:cstheme="minorHAnsi"/>
        </w:rPr>
        <w:t>to</w:t>
      </w:r>
      <w:r w:rsidRPr="00DA194D">
        <w:rPr>
          <w:rFonts w:cstheme="minorHAnsi"/>
        </w:rPr>
        <w:t xml:space="preserve"> criticism by a range of stakeholders, including the Scottish Human Rights Commission, the Law Society of Scotland, and the Faculty of Advocates. </w:t>
      </w:r>
      <w:r>
        <w:rPr>
          <w:rFonts w:cstheme="minorHAnsi"/>
        </w:rPr>
        <w:t>T</w:t>
      </w:r>
      <w:r w:rsidRPr="00DA194D">
        <w:rPr>
          <w:rFonts w:cstheme="minorHAnsi"/>
        </w:rPr>
        <w:t xml:space="preserve">he Committee found that the </w:t>
      </w:r>
      <w:r>
        <w:rPr>
          <w:rFonts w:cstheme="minorHAnsi"/>
        </w:rPr>
        <w:t>“</w:t>
      </w:r>
      <w:r w:rsidRPr="00DA194D">
        <w:rPr>
          <w:rFonts w:cstheme="minorHAnsi"/>
        </w:rPr>
        <w:t xml:space="preserve">main criticism from stakeholders was that the current legal framework does not meet the necessary standard of being </w:t>
      </w:r>
      <w:r w:rsidR="00E039D7">
        <w:rPr>
          <w:rFonts w:cstheme="minorHAnsi"/>
        </w:rPr>
        <w:t>‘</w:t>
      </w:r>
      <w:r w:rsidRPr="00DA194D">
        <w:rPr>
          <w:rFonts w:cstheme="minorHAnsi"/>
        </w:rPr>
        <w:t>clear, foreseeable and accessible</w:t>
      </w:r>
      <w:r w:rsidR="00E039D7">
        <w:rPr>
          <w:rFonts w:cstheme="minorHAnsi"/>
        </w:rPr>
        <w:t>’</w:t>
      </w:r>
      <w:r w:rsidRPr="00DA194D">
        <w:rPr>
          <w:rFonts w:cstheme="minorHAnsi"/>
        </w:rPr>
        <w:t xml:space="preserve"> for the purposes of the ECHR</w:t>
      </w:r>
      <w:r w:rsidR="00E039D7">
        <w:rPr>
          <w:rFonts w:cstheme="minorHAnsi"/>
        </w:rPr>
        <w:t>”</w:t>
      </w:r>
      <w:r w:rsidRPr="00DA194D">
        <w:rPr>
          <w:rFonts w:cstheme="minorHAnsi"/>
        </w:rPr>
        <w:t>, concluding that the new cyber</w:t>
      </w:r>
      <w:r w:rsidR="00E039D7">
        <w:rPr>
          <w:rFonts w:cstheme="minorHAnsi"/>
        </w:rPr>
        <w:t xml:space="preserve"> </w:t>
      </w:r>
      <w:r w:rsidRPr="00DA194D">
        <w:rPr>
          <w:rFonts w:cstheme="minorHAnsi"/>
        </w:rPr>
        <w:t>kiosks should not “be deployed by Police Scotland until clarity on the legal framework is established”</w:t>
      </w:r>
      <w:r>
        <w:rPr>
          <w:rFonts w:cstheme="minorHAnsi"/>
        </w:rPr>
        <w:t xml:space="preserve"> (Scottish Parliament 2019, paras 120 and 150).</w:t>
      </w:r>
      <w:r w:rsidRPr="00DA194D">
        <w:rPr>
          <w:rFonts w:cstheme="minorHAnsi"/>
        </w:rPr>
        <w:t xml:space="preserve"> </w:t>
      </w:r>
      <w:r>
        <w:rPr>
          <w:rFonts w:cstheme="minorHAnsi"/>
        </w:rPr>
        <w:t>As currently framed, it seems significant that DSDAS raises identical concerns.</w:t>
      </w:r>
    </w:p>
    <w:p w14:paraId="1CE74F06" w14:textId="6EB93E89" w:rsidR="003E03E7" w:rsidRDefault="003E03E7" w:rsidP="00425759">
      <w:pPr>
        <w:spacing w:line="360" w:lineRule="auto"/>
        <w:jc w:val="both"/>
        <w:rPr>
          <w:rFonts w:cstheme="minorHAnsi"/>
        </w:rPr>
      </w:pPr>
      <w:r w:rsidRPr="00DA194D">
        <w:rPr>
          <w:rFonts w:cstheme="minorHAnsi"/>
        </w:rPr>
        <w:lastRenderedPageBreak/>
        <w:t xml:space="preserve">Determining the legal significance of </w:t>
      </w:r>
      <w:r>
        <w:rPr>
          <w:rFonts w:cstheme="minorHAnsi"/>
        </w:rPr>
        <w:t xml:space="preserve">asserting that DSDAS rests on </w:t>
      </w:r>
      <w:r w:rsidR="00DB76E9">
        <w:rPr>
          <w:rFonts w:cstheme="minorHAnsi"/>
        </w:rPr>
        <w:t xml:space="preserve">contested </w:t>
      </w:r>
      <w:r>
        <w:rPr>
          <w:rFonts w:cstheme="minorHAnsi"/>
        </w:rPr>
        <w:t xml:space="preserve">statutory provisions rather than </w:t>
      </w:r>
      <w:r w:rsidR="00DB76E9">
        <w:rPr>
          <w:rFonts w:cstheme="minorHAnsi"/>
        </w:rPr>
        <w:t xml:space="preserve">established </w:t>
      </w:r>
      <w:r>
        <w:rPr>
          <w:rFonts w:cstheme="minorHAnsi"/>
        </w:rPr>
        <w:t>common law</w:t>
      </w:r>
      <w:r w:rsidRPr="00DA194D">
        <w:rPr>
          <w:rFonts w:cstheme="minorHAnsi"/>
        </w:rPr>
        <w:t xml:space="preserve"> </w:t>
      </w:r>
      <w:r w:rsidR="0072661D">
        <w:rPr>
          <w:rFonts w:cstheme="minorHAnsi"/>
        </w:rPr>
        <w:t xml:space="preserve">powers </w:t>
      </w:r>
      <w:r w:rsidRPr="00DA194D">
        <w:rPr>
          <w:rFonts w:cstheme="minorHAnsi"/>
        </w:rPr>
        <w:t xml:space="preserve">is somewhat complicated. Does </w:t>
      </w:r>
      <w:r>
        <w:rPr>
          <w:rFonts w:cstheme="minorHAnsi"/>
        </w:rPr>
        <w:t>mis</w:t>
      </w:r>
      <w:r w:rsidRPr="00DA194D">
        <w:rPr>
          <w:rFonts w:cstheme="minorHAnsi"/>
        </w:rPr>
        <w:t>identify</w:t>
      </w:r>
      <w:r>
        <w:rPr>
          <w:rFonts w:cstheme="minorHAnsi"/>
        </w:rPr>
        <w:t>ing</w:t>
      </w:r>
      <w:r w:rsidRPr="00DA194D">
        <w:rPr>
          <w:rFonts w:cstheme="minorHAnsi"/>
        </w:rPr>
        <w:t xml:space="preserve"> the legal basis for the </w:t>
      </w:r>
      <w:r>
        <w:rPr>
          <w:rFonts w:cstheme="minorHAnsi"/>
        </w:rPr>
        <w:t xml:space="preserve">DSDAS </w:t>
      </w:r>
      <w:r w:rsidRPr="00DA194D">
        <w:rPr>
          <w:rFonts w:cstheme="minorHAnsi"/>
        </w:rPr>
        <w:t xml:space="preserve">scheme have any impact on the lawfulness of disclosures made under it? In 2021, the UK Supreme Court endorsed the House of Lords’ reasoning in </w:t>
      </w:r>
      <w:r w:rsidR="00A63022" w:rsidRPr="005A6D68">
        <w:rPr>
          <w:i/>
        </w:rPr>
        <w:t xml:space="preserve">Gillick v West Norfolk and Wisbech Area Health Authority </w:t>
      </w:r>
      <w:r w:rsidR="00A63022" w:rsidRPr="005A6D68">
        <w:t>[1986] AC 112</w:t>
      </w:r>
      <w:r w:rsidR="00A63022">
        <w:t xml:space="preserve"> </w:t>
      </w:r>
      <w:r w:rsidRPr="00DA194D">
        <w:rPr>
          <w:rFonts w:cstheme="minorHAnsi"/>
          <w:iCs/>
        </w:rPr>
        <w:t>about the factors which might result in a policy like D</w:t>
      </w:r>
      <w:r>
        <w:rPr>
          <w:rFonts w:cstheme="minorHAnsi"/>
          <w:iCs/>
        </w:rPr>
        <w:t>S</w:t>
      </w:r>
      <w:r w:rsidRPr="00DA194D">
        <w:rPr>
          <w:rFonts w:cstheme="minorHAnsi"/>
          <w:iCs/>
        </w:rPr>
        <w:t>D</w:t>
      </w:r>
      <w:r>
        <w:rPr>
          <w:rFonts w:cstheme="minorHAnsi"/>
          <w:iCs/>
        </w:rPr>
        <w:t>A</w:t>
      </w:r>
      <w:r w:rsidRPr="00DA194D">
        <w:rPr>
          <w:rFonts w:cstheme="minorHAnsi"/>
          <w:iCs/>
        </w:rPr>
        <w:t xml:space="preserve">S being found to be unlawful on the basis of </w:t>
      </w:r>
      <w:r>
        <w:rPr>
          <w:rFonts w:cstheme="minorHAnsi"/>
          <w:iCs/>
        </w:rPr>
        <w:t xml:space="preserve">any </w:t>
      </w:r>
      <w:r w:rsidRPr="00DA194D">
        <w:rPr>
          <w:rFonts w:cstheme="minorHAnsi"/>
          <w:iCs/>
        </w:rPr>
        <w:t>legal error.</w:t>
      </w:r>
      <w:r>
        <w:rPr>
          <w:rFonts w:cstheme="minorHAnsi"/>
          <w:iCs/>
        </w:rPr>
        <w:t xml:space="preserve"> </w:t>
      </w:r>
      <w:r w:rsidRPr="00DA194D">
        <w:rPr>
          <w:rFonts w:cstheme="minorHAnsi"/>
          <w:iCs/>
        </w:rPr>
        <w:t xml:space="preserve">The </w:t>
      </w:r>
      <w:r>
        <w:rPr>
          <w:rFonts w:cstheme="minorHAnsi"/>
          <w:iCs/>
        </w:rPr>
        <w:t>C</w:t>
      </w:r>
      <w:r w:rsidRPr="00DA194D">
        <w:rPr>
          <w:rFonts w:cstheme="minorHAnsi"/>
          <w:iCs/>
        </w:rPr>
        <w:t xml:space="preserve">ourt held </w:t>
      </w:r>
      <w:r w:rsidR="00EF5F69">
        <w:rPr>
          <w:rFonts w:cstheme="minorHAnsi"/>
          <w:iCs/>
        </w:rPr>
        <w:t xml:space="preserve">that </w:t>
      </w:r>
      <w:r w:rsidRPr="00DA194D">
        <w:rPr>
          <w:rFonts w:cstheme="minorHAnsi"/>
          <w:iCs/>
        </w:rPr>
        <w:t xml:space="preserve">the key test is: </w:t>
      </w:r>
      <w:r w:rsidRPr="00DA194D">
        <w:rPr>
          <w:rFonts w:cstheme="minorHAnsi"/>
          <w:i/>
        </w:rPr>
        <w:t>“</w:t>
      </w:r>
      <w:r w:rsidRPr="00DA194D">
        <w:rPr>
          <w:rFonts w:cstheme="minorHAnsi"/>
        </w:rPr>
        <w:t>does the policy in question authorise or approve unlawful conduct by those to whom it is directed?”</w:t>
      </w:r>
      <w:r>
        <w:rPr>
          <w:lang w:val="en-US"/>
        </w:rPr>
        <w:t>.</w:t>
      </w:r>
      <w:r w:rsidR="00EF5F69">
        <w:rPr>
          <w:rStyle w:val="FootnoteReference"/>
          <w:lang w:val="en-US"/>
        </w:rPr>
        <w:footnoteReference w:id="22"/>
      </w:r>
      <w:r w:rsidRPr="00DA194D">
        <w:rPr>
          <w:rFonts w:cstheme="minorHAnsi"/>
        </w:rPr>
        <w:t xml:space="preserve"> </w:t>
      </w:r>
      <w:r>
        <w:rPr>
          <w:rFonts w:cstheme="minorHAnsi"/>
        </w:rPr>
        <w:t xml:space="preserve"> </w:t>
      </w:r>
      <w:r w:rsidRPr="00DA194D">
        <w:rPr>
          <w:rFonts w:cstheme="minorHAnsi"/>
        </w:rPr>
        <w:t xml:space="preserve">In </w:t>
      </w:r>
      <w:r>
        <w:rPr>
          <w:rFonts w:cstheme="minorHAnsi"/>
        </w:rPr>
        <w:t xml:space="preserve">this </w:t>
      </w:r>
      <w:r w:rsidRPr="00DA194D">
        <w:rPr>
          <w:rFonts w:cstheme="minorHAnsi"/>
        </w:rPr>
        <w:t>context, the answer would appear to be “no</w:t>
      </w:r>
      <w:r w:rsidR="009779CB">
        <w:rPr>
          <w:rFonts w:cstheme="minorHAnsi"/>
        </w:rPr>
        <w:t>”</w:t>
      </w:r>
      <w:r w:rsidRPr="00DA194D">
        <w:rPr>
          <w:rFonts w:cstheme="minorHAnsi"/>
        </w:rPr>
        <w:t xml:space="preserve">. While </w:t>
      </w:r>
      <w:r>
        <w:rPr>
          <w:rFonts w:cstheme="minorHAnsi"/>
        </w:rPr>
        <w:t xml:space="preserve">we believe </w:t>
      </w:r>
      <w:r w:rsidRPr="00DA194D">
        <w:rPr>
          <w:rFonts w:cstheme="minorHAnsi"/>
        </w:rPr>
        <w:t>Police Scotland are in error in their assessment that DSDAS is an exercise of a statutory power</w:t>
      </w:r>
      <w:r w:rsidR="009779CB">
        <w:rPr>
          <w:rFonts w:cstheme="minorHAnsi"/>
        </w:rPr>
        <w:t>,</w:t>
      </w:r>
      <w:r>
        <w:rPr>
          <w:rFonts w:cstheme="minorHAnsi"/>
        </w:rPr>
        <w:t xml:space="preserve"> </w:t>
      </w:r>
      <w:r w:rsidRPr="00DA194D">
        <w:rPr>
          <w:rFonts w:cstheme="minorHAnsi"/>
        </w:rPr>
        <w:t xml:space="preserve">the common law provides the missing authority for the scheme which is otherwise cast in terms which have clear </w:t>
      </w:r>
      <w:r>
        <w:rPr>
          <w:rFonts w:cstheme="minorHAnsi"/>
        </w:rPr>
        <w:t xml:space="preserve">and consistent </w:t>
      </w:r>
      <w:r w:rsidRPr="00DA194D">
        <w:rPr>
          <w:rFonts w:cstheme="minorHAnsi"/>
        </w:rPr>
        <w:t xml:space="preserve">regard to key Convention thresholds, including legality, legitimacy and proportionality of individual disclosures. </w:t>
      </w:r>
      <w:r>
        <w:rPr>
          <w:rFonts w:cstheme="minorHAnsi"/>
        </w:rPr>
        <w:t>Critically, i</w:t>
      </w:r>
      <w:r w:rsidRPr="00DA194D">
        <w:rPr>
          <w:rFonts w:cstheme="minorHAnsi"/>
        </w:rPr>
        <w:t>t seems unlikely this mistake has resulted in any disclosures being made or not being made.</w:t>
      </w:r>
    </w:p>
    <w:p w14:paraId="30A4D202" w14:textId="77777777" w:rsidR="00053E23" w:rsidRDefault="00053E23" w:rsidP="00425759">
      <w:pPr>
        <w:spacing w:line="360" w:lineRule="auto"/>
        <w:jc w:val="both"/>
        <w:rPr>
          <w:rFonts w:cstheme="minorHAnsi"/>
          <w:b/>
          <w:bCs/>
        </w:rPr>
      </w:pPr>
    </w:p>
    <w:p w14:paraId="3F85E3BC" w14:textId="3EB78458" w:rsidR="00334FE2" w:rsidRDefault="00334FE2" w:rsidP="00C7498D">
      <w:pPr>
        <w:pStyle w:val="Heading1"/>
      </w:pPr>
      <w:r w:rsidRPr="00DA194D">
        <w:t xml:space="preserve">Defining </w:t>
      </w:r>
      <w:r w:rsidR="00C7498D">
        <w:t>d</w:t>
      </w:r>
      <w:r w:rsidRPr="00DA194D">
        <w:t xml:space="preserve">omestic </w:t>
      </w:r>
      <w:r w:rsidR="00C7498D">
        <w:t>a</w:t>
      </w:r>
      <w:r w:rsidRPr="00DA194D">
        <w:t>buse</w:t>
      </w:r>
    </w:p>
    <w:p w14:paraId="33390EC4" w14:textId="3E599EE1" w:rsidR="00DB4779" w:rsidRDefault="00BE10E2" w:rsidP="00425759">
      <w:pPr>
        <w:spacing w:line="360" w:lineRule="auto"/>
        <w:jc w:val="both"/>
        <w:rPr>
          <w:rFonts w:cstheme="minorHAnsi"/>
        </w:rPr>
      </w:pPr>
      <w:r>
        <w:rPr>
          <w:rFonts w:cstheme="minorHAnsi"/>
        </w:rPr>
        <w:t xml:space="preserve">In addition to these foundational issues </w:t>
      </w:r>
      <w:r w:rsidR="007809A4">
        <w:rPr>
          <w:rFonts w:cstheme="minorHAnsi"/>
        </w:rPr>
        <w:t>concerning</w:t>
      </w:r>
      <w:r>
        <w:rPr>
          <w:rFonts w:cstheme="minorHAnsi"/>
        </w:rPr>
        <w:t xml:space="preserve"> the </w:t>
      </w:r>
      <w:r w:rsidR="001830B0">
        <w:rPr>
          <w:rFonts w:cstheme="minorHAnsi"/>
        </w:rPr>
        <w:t xml:space="preserve">accessibility </w:t>
      </w:r>
      <w:r>
        <w:rPr>
          <w:rFonts w:cstheme="minorHAnsi"/>
        </w:rPr>
        <w:t xml:space="preserve">and legal basis of </w:t>
      </w:r>
      <w:r w:rsidR="00116136">
        <w:rPr>
          <w:rFonts w:cstheme="minorHAnsi"/>
        </w:rPr>
        <w:t xml:space="preserve">the </w:t>
      </w:r>
      <w:r w:rsidR="002412A3">
        <w:rPr>
          <w:rFonts w:cstheme="minorHAnsi"/>
        </w:rPr>
        <w:t>scheme</w:t>
      </w:r>
      <w:r>
        <w:rPr>
          <w:rFonts w:cstheme="minorHAnsi"/>
        </w:rPr>
        <w:t xml:space="preserve">, we also explored </w:t>
      </w:r>
      <w:r w:rsidR="002412A3">
        <w:rPr>
          <w:rFonts w:cstheme="minorHAnsi"/>
        </w:rPr>
        <w:t xml:space="preserve">the clarity and consistency of </w:t>
      </w:r>
      <w:r w:rsidR="008E212A">
        <w:rPr>
          <w:rFonts w:cstheme="minorHAnsi"/>
        </w:rPr>
        <w:t>the scheme’s</w:t>
      </w:r>
      <w:r>
        <w:rPr>
          <w:rFonts w:cstheme="minorHAnsi"/>
        </w:rPr>
        <w:t xml:space="preserve"> </w:t>
      </w:r>
      <w:r w:rsidR="00125071">
        <w:rPr>
          <w:rFonts w:cstheme="minorHAnsi"/>
        </w:rPr>
        <w:t xml:space="preserve">approach </w:t>
      </w:r>
      <w:r w:rsidR="00F67157">
        <w:rPr>
          <w:rFonts w:cstheme="minorHAnsi"/>
        </w:rPr>
        <w:t xml:space="preserve">to </w:t>
      </w:r>
      <w:r w:rsidR="00F67157" w:rsidRPr="0009619C">
        <w:rPr>
          <w:rFonts w:cstheme="minorHAnsi"/>
        </w:rPr>
        <w:t>two</w:t>
      </w:r>
      <w:r w:rsidR="004F7F15" w:rsidRPr="0009619C">
        <w:rPr>
          <w:rFonts w:cstheme="minorHAnsi"/>
        </w:rPr>
        <w:t xml:space="preserve"> critical design</w:t>
      </w:r>
      <w:r w:rsidR="00372067">
        <w:rPr>
          <w:rFonts w:cstheme="minorHAnsi"/>
        </w:rPr>
        <w:t xml:space="preserve"> </w:t>
      </w:r>
      <w:r w:rsidR="004F7F15" w:rsidRPr="0009619C">
        <w:rPr>
          <w:rFonts w:cstheme="minorHAnsi"/>
        </w:rPr>
        <w:t xml:space="preserve">features of </w:t>
      </w:r>
      <w:r w:rsidR="004F7F15">
        <w:rPr>
          <w:rFonts w:cstheme="minorHAnsi"/>
        </w:rPr>
        <w:t>DSDAS</w:t>
      </w:r>
      <w:r w:rsidR="004F7F15" w:rsidRPr="0009619C">
        <w:rPr>
          <w:rFonts w:cstheme="minorHAnsi"/>
        </w:rPr>
        <w:t xml:space="preserve">: its definition of “domestic abuse” and approach to qualifying relationships </w:t>
      </w:r>
      <w:r w:rsidR="00735D91">
        <w:rPr>
          <w:rFonts w:cstheme="minorHAnsi"/>
        </w:rPr>
        <w:t>where</w:t>
      </w:r>
      <w:r w:rsidR="004F7F15" w:rsidRPr="0009619C">
        <w:rPr>
          <w:rFonts w:cstheme="minorHAnsi"/>
        </w:rPr>
        <w:t xml:space="preserve"> disclosures </w:t>
      </w:r>
      <w:r w:rsidR="00735D91">
        <w:rPr>
          <w:rFonts w:cstheme="minorHAnsi"/>
        </w:rPr>
        <w:t>can</w:t>
      </w:r>
      <w:r w:rsidR="004F7F15" w:rsidRPr="0009619C">
        <w:rPr>
          <w:rFonts w:cstheme="minorHAnsi"/>
        </w:rPr>
        <w:t xml:space="preserve"> be made.</w:t>
      </w:r>
      <w:r w:rsidR="00B93588">
        <w:rPr>
          <w:rFonts w:cstheme="minorHAnsi"/>
        </w:rPr>
        <w:t xml:space="preserve"> </w:t>
      </w:r>
      <w:r w:rsidR="00334FE2" w:rsidRPr="00DA194D">
        <w:rPr>
          <w:rFonts w:cstheme="minorHAnsi"/>
        </w:rPr>
        <w:t>What behaviour qualifies as “abus</w:t>
      </w:r>
      <w:r w:rsidR="00053B3D">
        <w:rPr>
          <w:rFonts w:cstheme="minorHAnsi"/>
        </w:rPr>
        <w:t>iv</w:t>
      </w:r>
      <w:r w:rsidR="00334FE2" w:rsidRPr="00DA194D">
        <w:rPr>
          <w:rFonts w:cstheme="minorHAnsi"/>
        </w:rPr>
        <w:t xml:space="preserve">e”? </w:t>
      </w:r>
      <w:r w:rsidR="00DE1569">
        <w:rPr>
          <w:rFonts w:cstheme="minorHAnsi"/>
        </w:rPr>
        <w:t>W</w:t>
      </w:r>
      <w:r w:rsidR="00334FE2" w:rsidRPr="00DA194D">
        <w:rPr>
          <w:rFonts w:cstheme="minorHAnsi"/>
        </w:rPr>
        <w:t>hat relationships are understood as “domestic</w:t>
      </w:r>
      <w:r w:rsidR="00372067">
        <w:rPr>
          <w:rFonts w:cstheme="minorHAnsi"/>
        </w:rPr>
        <w:t>”</w:t>
      </w:r>
      <w:r w:rsidR="00334FE2" w:rsidRPr="00DA194D">
        <w:rPr>
          <w:rFonts w:cstheme="minorHAnsi"/>
        </w:rPr>
        <w:t>? Both questions are intrinsic to the operation of the domestic abuse disclosure scheme, and both are surprisingly difficult to answer in a comprehensive way based on the</w:t>
      </w:r>
      <w:r w:rsidR="00B40F0E">
        <w:rPr>
          <w:rFonts w:cstheme="minorHAnsi"/>
        </w:rPr>
        <w:t xml:space="preserve"> unpublished</w:t>
      </w:r>
      <w:r w:rsidR="00334FE2" w:rsidRPr="00DA194D">
        <w:rPr>
          <w:rFonts w:cstheme="minorHAnsi"/>
        </w:rPr>
        <w:t xml:space="preserve"> DSDAS guidance documentation.  </w:t>
      </w:r>
    </w:p>
    <w:p w14:paraId="5C8A7257" w14:textId="52184EB8" w:rsidR="002232BB" w:rsidRPr="00DA194D" w:rsidRDefault="00334FE2" w:rsidP="00425759">
      <w:pPr>
        <w:spacing w:line="360" w:lineRule="auto"/>
        <w:jc w:val="both"/>
        <w:rPr>
          <w:rFonts w:cstheme="minorHAnsi"/>
        </w:rPr>
      </w:pPr>
      <w:r w:rsidRPr="00DA194D">
        <w:rPr>
          <w:rFonts w:cstheme="minorHAnsi"/>
        </w:rPr>
        <w:t xml:space="preserve">In Scottish law and policy, the concept of “domestic abuse” has been the subject of significant development during the last </w:t>
      </w:r>
      <w:r w:rsidR="006D0A45">
        <w:rPr>
          <w:rFonts w:cstheme="minorHAnsi"/>
        </w:rPr>
        <w:t>20</w:t>
      </w:r>
      <w:r w:rsidRPr="00DA194D">
        <w:rPr>
          <w:rFonts w:cstheme="minorHAnsi"/>
        </w:rPr>
        <w:t xml:space="preserve"> years, as the Scottish Executive</w:t>
      </w:r>
      <w:r w:rsidR="00455F4E">
        <w:rPr>
          <w:rFonts w:cstheme="minorHAnsi"/>
        </w:rPr>
        <w:t>, and subsequently</w:t>
      </w:r>
      <w:r w:rsidRPr="00DA194D">
        <w:rPr>
          <w:rFonts w:cstheme="minorHAnsi"/>
        </w:rPr>
        <w:t xml:space="preserve"> the Scottish Government and Parliament</w:t>
      </w:r>
      <w:r w:rsidR="00455F4E">
        <w:rPr>
          <w:rFonts w:cstheme="minorHAnsi"/>
        </w:rPr>
        <w:t>,</w:t>
      </w:r>
      <w:r w:rsidRPr="00DA194D">
        <w:rPr>
          <w:rFonts w:cstheme="minorHAnsi"/>
        </w:rPr>
        <w:t xml:space="preserve"> elaborated more comprehensive understanding</w:t>
      </w:r>
      <w:r w:rsidR="006F0B05">
        <w:rPr>
          <w:rFonts w:cstheme="minorHAnsi"/>
        </w:rPr>
        <w:t>s</w:t>
      </w:r>
      <w:r w:rsidRPr="00DA194D">
        <w:rPr>
          <w:rFonts w:cstheme="minorHAnsi"/>
        </w:rPr>
        <w:t xml:space="preserve"> first in policy, then in law, of how domestic abuse should be theorised, defined, recorded and ultimately criminalised. The Scottish approach </w:t>
      </w:r>
      <w:r w:rsidR="00663A70">
        <w:rPr>
          <w:rFonts w:cstheme="minorHAnsi"/>
        </w:rPr>
        <w:t xml:space="preserve">now </w:t>
      </w:r>
      <w:r w:rsidRPr="00DA194D">
        <w:rPr>
          <w:rFonts w:cstheme="minorHAnsi"/>
        </w:rPr>
        <w:t xml:space="preserve">differs in significant ways from the approach to “domestic </w:t>
      </w:r>
      <w:r w:rsidR="00896015">
        <w:rPr>
          <w:rFonts w:cstheme="minorHAnsi"/>
        </w:rPr>
        <w:t>violence</w:t>
      </w:r>
      <w:r w:rsidRPr="00DA194D">
        <w:rPr>
          <w:rFonts w:cstheme="minorHAnsi"/>
        </w:rPr>
        <w:t xml:space="preserve">” taken by </w:t>
      </w:r>
      <w:r w:rsidR="002D58BF">
        <w:rPr>
          <w:rFonts w:cstheme="minorHAnsi"/>
        </w:rPr>
        <w:t xml:space="preserve">the </w:t>
      </w:r>
      <w:r w:rsidRPr="00DA194D">
        <w:rPr>
          <w:rFonts w:cstheme="minorHAnsi"/>
        </w:rPr>
        <w:t>Home Office, and in the</w:t>
      </w:r>
      <w:r w:rsidR="00896015">
        <w:rPr>
          <w:rFonts w:cstheme="minorHAnsi"/>
        </w:rPr>
        <w:t xml:space="preserve"> criminal</w:t>
      </w:r>
      <w:r w:rsidRPr="00DA194D">
        <w:rPr>
          <w:rFonts w:cstheme="minorHAnsi"/>
        </w:rPr>
        <w:t xml:space="preserve"> law of England and Wales. The next section </w:t>
      </w:r>
      <w:r w:rsidR="00875746">
        <w:rPr>
          <w:rFonts w:cstheme="minorHAnsi"/>
        </w:rPr>
        <w:t>outlines</w:t>
      </w:r>
      <w:r w:rsidRPr="00DA194D">
        <w:rPr>
          <w:rFonts w:cstheme="minorHAnsi"/>
        </w:rPr>
        <w:t xml:space="preserve"> this evolving </w:t>
      </w:r>
      <w:r w:rsidR="00107B18">
        <w:rPr>
          <w:rFonts w:cstheme="minorHAnsi"/>
        </w:rPr>
        <w:t xml:space="preserve">policy development </w:t>
      </w:r>
      <w:r w:rsidRPr="00DA194D">
        <w:rPr>
          <w:rFonts w:cstheme="minorHAnsi"/>
        </w:rPr>
        <w:t xml:space="preserve">history against which the DSDAS </w:t>
      </w:r>
      <w:r w:rsidR="0094082C">
        <w:rPr>
          <w:rFonts w:cstheme="minorHAnsi"/>
        </w:rPr>
        <w:t>must</w:t>
      </w:r>
      <w:r w:rsidRPr="00DA194D">
        <w:rPr>
          <w:rFonts w:cstheme="minorHAnsi"/>
        </w:rPr>
        <w:t xml:space="preserve"> be understood. We show three key things. First, the operational understanding of what is meant by domestic abuse in Scottish policy and law diverges in significant ways from the definitions used in </w:t>
      </w:r>
      <w:r w:rsidRPr="004A2B8B">
        <w:rPr>
          <w:rFonts w:cstheme="minorHAnsi"/>
        </w:rPr>
        <w:t xml:space="preserve">the </w:t>
      </w:r>
      <w:r w:rsidR="004A2B8B" w:rsidRPr="004A2B8B">
        <w:rPr>
          <w:rFonts w:cstheme="minorHAnsi"/>
        </w:rPr>
        <w:t>English and Welsh</w:t>
      </w:r>
      <w:r w:rsidR="003B2C2C" w:rsidRPr="004A2B8B">
        <w:rPr>
          <w:rFonts w:cstheme="minorHAnsi"/>
        </w:rPr>
        <w:t xml:space="preserve"> domestic violence </w:t>
      </w:r>
      <w:r w:rsidR="003B2C2C" w:rsidRPr="004A2B8B">
        <w:rPr>
          <w:rFonts w:cstheme="minorHAnsi"/>
        </w:rPr>
        <w:lastRenderedPageBreak/>
        <w:t>disclosure scheme</w:t>
      </w:r>
      <w:r w:rsidRPr="00DA194D">
        <w:rPr>
          <w:rFonts w:cstheme="minorHAnsi"/>
        </w:rPr>
        <w:t xml:space="preserve">. </w:t>
      </w:r>
      <w:r w:rsidRPr="004A2B8B">
        <w:rPr>
          <w:rFonts w:cstheme="minorHAnsi"/>
        </w:rPr>
        <w:t xml:space="preserve">Second, </w:t>
      </w:r>
      <w:r w:rsidR="00AF152E" w:rsidRPr="004A2B8B">
        <w:rPr>
          <w:rFonts w:cstheme="minorHAnsi"/>
        </w:rPr>
        <w:t xml:space="preserve">we show that </w:t>
      </w:r>
      <w:r w:rsidRPr="004A2B8B">
        <w:rPr>
          <w:rFonts w:cstheme="minorHAnsi"/>
        </w:rPr>
        <w:t xml:space="preserve">the DSDAS scheme departs from this national </w:t>
      </w:r>
      <w:r w:rsidR="00CB1416" w:rsidRPr="004A2B8B">
        <w:rPr>
          <w:rFonts w:cstheme="minorHAnsi"/>
        </w:rPr>
        <w:t xml:space="preserve">legal and </w:t>
      </w:r>
      <w:r w:rsidRPr="004A2B8B">
        <w:rPr>
          <w:rFonts w:cstheme="minorHAnsi"/>
        </w:rPr>
        <w:t xml:space="preserve">policy consensus </w:t>
      </w:r>
      <w:r w:rsidR="00906B5C" w:rsidRPr="004A2B8B">
        <w:rPr>
          <w:rFonts w:cstheme="minorHAnsi"/>
        </w:rPr>
        <w:t xml:space="preserve">about what constitutes domestic abuse </w:t>
      </w:r>
      <w:r w:rsidRPr="004A2B8B">
        <w:rPr>
          <w:rFonts w:cstheme="minorHAnsi"/>
        </w:rPr>
        <w:t>in important and unexplained ways</w:t>
      </w:r>
      <w:r w:rsidRPr="00DA194D">
        <w:rPr>
          <w:rFonts w:cstheme="minorHAnsi"/>
        </w:rPr>
        <w:t xml:space="preserve">. </w:t>
      </w:r>
      <w:r w:rsidR="00595372" w:rsidRPr="00DA194D">
        <w:rPr>
          <w:rFonts w:cstheme="minorHAnsi"/>
        </w:rPr>
        <w:t xml:space="preserve">Third, </w:t>
      </w:r>
      <w:r w:rsidRPr="00DA194D">
        <w:rPr>
          <w:rFonts w:cstheme="minorHAnsi"/>
        </w:rPr>
        <w:t>we identif</w:t>
      </w:r>
      <w:r w:rsidRPr="004A2B8B">
        <w:rPr>
          <w:rFonts w:cstheme="minorHAnsi"/>
        </w:rPr>
        <w:t>y a lack</w:t>
      </w:r>
      <w:r w:rsidRPr="00DA194D">
        <w:rPr>
          <w:rFonts w:cstheme="minorHAnsi"/>
        </w:rPr>
        <w:t xml:space="preserve"> of clarity about what </w:t>
      </w:r>
      <w:r w:rsidR="000A2883">
        <w:rPr>
          <w:rFonts w:cstheme="minorHAnsi"/>
        </w:rPr>
        <w:t xml:space="preserve">behaviours </w:t>
      </w:r>
      <w:r w:rsidR="00E00F51">
        <w:rPr>
          <w:rFonts w:cstheme="minorHAnsi"/>
        </w:rPr>
        <w:t xml:space="preserve">potentially </w:t>
      </w:r>
      <w:r w:rsidRPr="00DA194D">
        <w:rPr>
          <w:rFonts w:cstheme="minorHAnsi"/>
        </w:rPr>
        <w:t xml:space="preserve">qualify for disclosure under the scheme, raising </w:t>
      </w:r>
      <w:r w:rsidR="00AA3B38">
        <w:rPr>
          <w:rFonts w:cstheme="minorHAnsi"/>
        </w:rPr>
        <w:t xml:space="preserve">important </w:t>
      </w:r>
      <w:r w:rsidRPr="00DA194D">
        <w:rPr>
          <w:rFonts w:cstheme="minorHAnsi"/>
        </w:rPr>
        <w:t xml:space="preserve">questions about the consistency </w:t>
      </w:r>
      <w:r w:rsidR="00857C1F">
        <w:rPr>
          <w:rFonts w:cstheme="minorHAnsi"/>
        </w:rPr>
        <w:t>of</w:t>
      </w:r>
      <w:r w:rsidRPr="00DA194D">
        <w:rPr>
          <w:rFonts w:cstheme="minorHAnsi"/>
        </w:rPr>
        <w:t xml:space="preserve"> Police Scotland’s approach</w:t>
      </w:r>
      <w:r w:rsidR="00595372" w:rsidRPr="00DA194D">
        <w:rPr>
          <w:rFonts w:cstheme="minorHAnsi"/>
        </w:rPr>
        <w:t xml:space="preserve"> </w:t>
      </w:r>
      <w:r w:rsidR="00857C1F">
        <w:rPr>
          <w:rFonts w:cstheme="minorHAnsi"/>
        </w:rPr>
        <w:t>to disclosure</w:t>
      </w:r>
      <w:r w:rsidRPr="00DA194D">
        <w:rPr>
          <w:rFonts w:cstheme="minorHAnsi"/>
        </w:rPr>
        <w:t xml:space="preserve">. </w:t>
      </w:r>
      <w:r w:rsidR="00414370">
        <w:rPr>
          <w:rFonts w:cstheme="minorHAnsi"/>
        </w:rPr>
        <w:t>Our s</w:t>
      </w:r>
      <w:r w:rsidRPr="00DA194D">
        <w:rPr>
          <w:rFonts w:cstheme="minorHAnsi"/>
        </w:rPr>
        <w:t xml:space="preserve">crutiny of </w:t>
      </w:r>
      <w:r w:rsidR="00132A09">
        <w:rPr>
          <w:rFonts w:cstheme="minorHAnsi"/>
        </w:rPr>
        <w:t xml:space="preserve">DSDAS </w:t>
      </w:r>
      <w:r w:rsidRPr="00DA194D">
        <w:rPr>
          <w:rFonts w:cstheme="minorHAnsi"/>
        </w:rPr>
        <w:t>suggests a degree of under-regulation</w:t>
      </w:r>
      <w:r w:rsidR="00921AF8">
        <w:rPr>
          <w:rFonts w:cstheme="minorHAnsi"/>
        </w:rPr>
        <w:t xml:space="preserve"> –</w:t>
      </w:r>
      <w:r w:rsidRPr="00DA194D">
        <w:rPr>
          <w:rFonts w:cstheme="minorHAnsi"/>
        </w:rPr>
        <w:t xml:space="preserve"> not only of what counts as a qualifying relationship</w:t>
      </w:r>
      <w:r w:rsidR="00921AF8">
        <w:rPr>
          <w:rFonts w:cstheme="minorHAnsi"/>
        </w:rPr>
        <w:t xml:space="preserve"> </w:t>
      </w:r>
      <w:r w:rsidR="00CD4C8A">
        <w:rPr>
          <w:rFonts w:cstheme="minorHAnsi"/>
        </w:rPr>
        <w:t xml:space="preserve">for the purposes of </w:t>
      </w:r>
      <w:r w:rsidR="00774EE3">
        <w:rPr>
          <w:rFonts w:cstheme="minorHAnsi"/>
        </w:rPr>
        <w:t xml:space="preserve">the “right to ask” and the “power to tell” </w:t>
      </w:r>
      <w:r w:rsidR="00921AF8">
        <w:rPr>
          <w:rFonts w:cstheme="minorHAnsi"/>
        </w:rPr>
        <w:t>–</w:t>
      </w:r>
      <w:r w:rsidRPr="00DA194D">
        <w:rPr>
          <w:rFonts w:cstheme="minorHAnsi"/>
        </w:rPr>
        <w:t xml:space="preserve"> but also about what </w:t>
      </w:r>
      <w:r w:rsidR="009A318D">
        <w:rPr>
          <w:rFonts w:cstheme="minorHAnsi"/>
        </w:rPr>
        <w:t xml:space="preserve">kinds of </w:t>
      </w:r>
      <w:r w:rsidR="00C64408">
        <w:rPr>
          <w:rFonts w:cstheme="minorHAnsi"/>
        </w:rPr>
        <w:t xml:space="preserve">criminal </w:t>
      </w:r>
      <w:r w:rsidRPr="00DA194D">
        <w:rPr>
          <w:rFonts w:cstheme="minorHAnsi"/>
        </w:rPr>
        <w:t xml:space="preserve">conduct Police Scotland regards as </w:t>
      </w:r>
      <w:r w:rsidR="005E2D85">
        <w:rPr>
          <w:rFonts w:cstheme="minorHAnsi"/>
        </w:rPr>
        <w:t>susceptible to</w:t>
      </w:r>
      <w:r w:rsidRPr="00DA194D">
        <w:rPr>
          <w:rFonts w:cstheme="minorHAnsi"/>
        </w:rPr>
        <w:t xml:space="preserve"> disclosure under </w:t>
      </w:r>
      <w:r w:rsidR="00801D17">
        <w:rPr>
          <w:rFonts w:cstheme="minorHAnsi"/>
        </w:rPr>
        <w:t>this</w:t>
      </w:r>
      <w:r w:rsidRPr="00DA194D">
        <w:rPr>
          <w:rFonts w:cstheme="minorHAnsi"/>
        </w:rPr>
        <w:t xml:space="preserve"> policy.</w:t>
      </w:r>
    </w:p>
    <w:p w14:paraId="7C84640A" w14:textId="77777777" w:rsidR="00053E23" w:rsidRDefault="00053E23" w:rsidP="00425759">
      <w:pPr>
        <w:spacing w:line="360" w:lineRule="auto"/>
        <w:jc w:val="both"/>
        <w:rPr>
          <w:rFonts w:cstheme="minorHAnsi"/>
          <w:b/>
          <w:bCs/>
        </w:rPr>
      </w:pPr>
    </w:p>
    <w:p w14:paraId="262BD289" w14:textId="6923C089" w:rsidR="00334FE2" w:rsidRPr="00DA194D" w:rsidRDefault="00334FE2" w:rsidP="00000CC0">
      <w:pPr>
        <w:pStyle w:val="Heading1"/>
      </w:pPr>
      <w:r w:rsidRPr="00DA194D">
        <w:t xml:space="preserve">What is “domestic abuse”? </w:t>
      </w:r>
      <w:r w:rsidR="00743C1A">
        <w:t>Scottish l</w:t>
      </w:r>
      <w:r w:rsidR="00000CC0">
        <w:t>egal</w:t>
      </w:r>
      <w:r w:rsidRPr="00DA194D">
        <w:t xml:space="preserve"> and policy frameworks</w:t>
      </w:r>
    </w:p>
    <w:p w14:paraId="7A38908E" w14:textId="3BD5C718" w:rsidR="00334FE2" w:rsidRPr="00DA194D" w:rsidRDefault="00334FE2" w:rsidP="00425759">
      <w:pPr>
        <w:spacing w:line="360" w:lineRule="auto"/>
        <w:jc w:val="both"/>
        <w:rPr>
          <w:rFonts w:cstheme="minorHAnsi"/>
        </w:rPr>
      </w:pPr>
      <w:r w:rsidRPr="00DA194D">
        <w:rPr>
          <w:rFonts w:cstheme="minorHAnsi"/>
        </w:rPr>
        <w:t xml:space="preserve">In 2000, the Scottish Partnership on Domestic Abuse produced a </w:t>
      </w:r>
      <w:r w:rsidRPr="00DA194D">
        <w:rPr>
          <w:rFonts w:cstheme="minorHAnsi"/>
          <w:i/>
          <w:iCs/>
        </w:rPr>
        <w:t>National Strategy to Address Domestic Abuse in Scotland</w:t>
      </w:r>
      <w:r w:rsidRPr="00DA194D">
        <w:rPr>
          <w:rFonts w:cstheme="minorHAnsi"/>
        </w:rPr>
        <w:t>. The Scottish Executive – now the Scottish Government – adopted the following national definition of domestic abuse:</w:t>
      </w:r>
    </w:p>
    <w:p w14:paraId="670EA007" w14:textId="5F54AFE3" w:rsidR="00334FE2" w:rsidRPr="00DA194D" w:rsidRDefault="00334FE2" w:rsidP="00425759">
      <w:pPr>
        <w:spacing w:line="360" w:lineRule="auto"/>
        <w:ind w:left="720"/>
        <w:jc w:val="both"/>
        <w:rPr>
          <w:rFonts w:cstheme="minorHAnsi"/>
        </w:rPr>
      </w:pPr>
      <w:r w:rsidRPr="00DA194D">
        <w:rPr>
          <w:rFonts w:cstheme="minorHAnsi"/>
        </w:rPr>
        <w:t>Domestic abuse (as gender-based abuse), can be perpetrated by partners or ex partners and can include physical abuse (assault and physical attack involving a range of behaviour), sexual abuse (acts which degrade and humiliate women and are perpetrated against their will, including rape) and mental and emotional abuse (such as threats, verbal abuse, racial abuse, withholding money and other types of controlling behaviour such as is</w:t>
      </w:r>
      <w:r w:rsidR="00217304">
        <w:rPr>
          <w:rFonts w:cstheme="minorHAnsi"/>
        </w:rPr>
        <w:t>olation from family or friends)</w:t>
      </w:r>
      <w:r w:rsidR="00EA24F4">
        <w:rPr>
          <w:rFonts w:cstheme="minorHAnsi"/>
        </w:rPr>
        <w:t>.</w:t>
      </w:r>
      <w:r w:rsidR="00954072">
        <w:rPr>
          <w:rFonts w:cstheme="minorHAnsi"/>
        </w:rPr>
        <w:t xml:space="preserve"> (</w:t>
      </w:r>
      <w:r w:rsidR="00954072">
        <w:t>Scottish Executive 2006</w:t>
      </w:r>
      <w:r w:rsidR="00954072">
        <w:rPr>
          <w:i/>
          <w:iCs/>
        </w:rPr>
        <w:t xml:space="preserve">, </w:t>
      </w:r>
      <w:r w:rsidR="00954072" w:rsidRPr="00954072">
        <w:rPr>
          <w:iCs/>
        </w:rPr>
        <w:t>3</w:t>
      </w:r>
      <w:r w:rsidR="00954072">
        <w:t>)</w:t>
      </w:r>
    </w:p>
    <w:p w14:paraId="371E23E8" w14:textId="075F0ADD" w:rsidR="00334FE2" w:rsidRPr="00DA194D" w:rsidRDefault="00334FE2" w:rsidP="00425759">
      <w:pPr>
        <w:spacing w:line="360" w:lineRule="auto"/>
        <w:jc w:val="both"/>
        <w:rPr>
          <w:rFonts w:cstheme="minorHAnsi"/>
        </w:rPr>
      </w:pPr>
      <w:r w:rsidRPr="007258F0">
        <w:rPr>
          <w:rFonts w:cstheme="minorHAnsi"/>
        </w:rPr>
        <w:t xml:space="preserve">In terms of what constitutes </w:t>
      </w:r>
      <w:r w:rsidRPr="007258F0">
        <w:rPr>
          <w:rFonts w:cstheme="minorHAnsi"/>
          <w:i/>
          <w:iCs/>
        </w:rPr>
        <w:t>abuse</w:t>
      </w:r>
      <w:r w:rsidRPr="007258F0">
        <w:rPr>
          <w:rFonts w:cstheme="minorHAnsi"/>
        </w:rPr>
        <w:t>, this policy framework is clear</w:t>
      </w:r>
      <w:r w:rsidR="000336BC">
        <w:rPr>
          <w:rFonts w:cstheme="minorHAnsi"/>
        </w:rPr>
        <w:t xml:space="preserve"> that</w:t>
      </w:r>
      <w:r w:rsidRPr="007258F0">
        <w:rPr>
          <w:rFonts w:cstheme="minorHAnsi"/>
        </w:rPr>
        <w:t xml:space="preserve"> it is not limited to acts of </w:t>
      </w:r>
      <w:r w:rsidR="000336BC">
        <w:rPr>
          <w:rFonts w:cstheme="minorHAnsi"/>
        </w:rPr>
        <w:t xml:space="preserve">physical </w:t>
      </w:r>
      <w:r w:rsidRPr="007258F0">
        <w:rPr>
          <w:rFonts w:cstheme="minorHAnsi"/>
        </w:rPr>
        <w:t>violence or sexual violence</w:t>
      </w:r>
      <w:r w:rsidR="000336BC">
        <w:rPr>
          <w:rFonts w:cstheme="minorHAnsi"/>
        </w:rPr>
        <w:t>,</w:t>
      </w:r>
      <w:r w:rsidRPr="007258F0">
        <w:rPr>
          <w:rFonts w:cstheme="minorHAnsi"/>
        </w:rPr>
        <w:t xml:space="preserve"> but extends to behaviour which can be understood as coercive and controlling, however this manifests.</w:t>
      </w:r>
      <w:r w:rsidRPr="00DA194D">
        <w:rPr>
          <w:rFonts w:cstheme="minorHAnsi"/>
        </w:rPr>
        <w:t xml:space="preserve"> In terms of qualifying </w:t>
      </w:r>
      <w:r w:rsidRPr="009B041E">
        <w:rPr>
          <w:rFonts w:cstheme="minorHAnsi"/>
          <w:i/>
          <w:iCs/>
        </w:rPr>
        <w:t>relationships</w:t>
      </w:r>
      <w:r w:rsidRPr="00DA194D">
        <w:rPr>
          <w:rFonts w:cstheme="minorHAnsi"/>
        </w:rPr>
        <w:t xml:space="preserve">, the policy framework has </w:t>
      </w:r>
      <w:r w:rsidR="00AD47A5">
        <w:rPr>
          <w:rFonts w:cstheme="minorHAnsi"/>
        </w:rPr>
        <w:t>specified</w:t>
      </w:r>
      <w:r w:rsidRPr="00DA194D">
        <w:rPr>
          <w:rFonts w:cstheme="minorHAnsi"/>
        </w:rPr>
        <w:t xml:space="preserve"> since 2000 that domestic abuse is primarily understood as arising between “partners or ex-partners</w:t>
      </w:r>
      <w:r w:rsidR="009F2D63">
        <w:rPr>
          <w:rFonts w:cstheme="minorHAnsi"/>
        </w:rPr>
        <w:t>”</w:t>
      </w:r>
      <w:r w:rsidRPr="00DA194D">
        <w:rPr>
          <w:rFonts w:cstheme="minorHAnsi"/>
        </w:rPr>
        <w:t xml:space="preserve">. Implicitly excluded from this definition are cohabiting </w:t>
      </w:r>
      <w:r w:rsidR="001E4503">
        <w:rPr>
          <w:rFonts w:cstheme="minorHAnsi"/>
        </w:rPr>
        <w:t xml:space="preserve">family </w:t>
      </w:r>
      <w:r w:rsidRPr="00DA194D">
        <w:rPr>
          <w:rFonts w:cstheme="minorHAnsi"/>
        </w:rPr>
        <w:t xml:space="preserve">relations and non-relations. This differs in important respects from official understandings in the rest of the </w:t>
      </w:r>
      <w:r w:rsidR="00451EFE">
        <w:rPr>
          <w:rFonts w:cstheme="minorHAnsi"/>
        </w:rPr>
        <w:t>U</w:t>
      </w:r>
      <w:r w:rsidR="00591126">
        <w:rPr>
          <w:rFonts w:cstheme="minorHAnsi"/>
        </w:rPr>
        <w:t>K. T</w:t>
      </w:r>
      <w:r w:rsidRPr="00DA194D">
        <w:rPr>
          <w:rFonts w:cstheme="minorHAnsi"/>
        </w:rPr>
        <w:t xml:space="preserve">he Home Office </w:t>
      </w:r>
      <w:r w:rsidR="005B2A49">
        <w:rPr>
          <w:rFonts w:cstheme="minorHAnsi"/>
        </w:rPr>
        <w:t>adopted a more expansive definition of</w:t>
      </w:r>
      <w:r w:rsidRPr="00DA194D">
        <w:rPr>
          <w:rFonts w:cstheme="minorHAnsi"/>
        </w:rPr>
        <w:t xml:space="preserve"> </w:t>
      </w:r>
      <w:r w:rsidR="00CC594E">
        <w:rPr>
          <w:rFonts w:cstheme="minorHAnsi"/>
        </w:rPr>
        <w:t>“</w:t>
      </w:r>
      <w:r w:rsidRPr="00DA194D">
        <w:rPr>
          <w:rFonts w:cstheme="minorHAnsi"/>
        </w:rPr>
        <w:t xml:space="preserve">domestic </w:t>
      </w:r>
      <w:r w:rsidR="00DE2E90">
        <w:rPr>
          <w:rFonts w:cstheme="minorHAnsi"/>
        </w:rPr>
        <w:t>violence</w:t>
      </w:r>
      <w:r w:rsidR="00CC594E">
        <w:rPr>
          <w:rFonts w:cstheme="minorHAnsi"/>
        </w:rPr>
        <w:t>”</w:t>
      </w:r>
      <w:r w:rsidR="00DE2E90">
        <w:rPr>
          <w:rFonts w:cstheme="minorHAnsi"/>
        </w:rPr>
        <w:t xml:space="preserve"> </w:t>
      </w:r>
      <w:r w:rsidR="005B2A49">
        <w:rPr>
          <w:rFonts w:cstheme="minorHAnsi"/>
        </w:rPr>
        <w:t>in 2013</w:t>
      </w:r>
      <w:r w:rsidR="00D009F5">
        <w:rPr>
          <w:rFonts w:cstheme="minorHAnsi"/>
        </w:rPr>
        <w:t>, including</w:t>
      </w:r>
      <w:r w:rsidRPr="00DA194D">
        <w:rPr>
          <w:rFonts w:cstheme="minorHAnsi"/>
        </w:rPr>
        <w:t>:</w:t>
      </w:r>
    </w:p>
    <w:p w14:paraId="1A543C52" w14:textId="32F46E3C" w:rsidR="00334FE2" w:rsidRPr="00DA194D" w:rsidRDefault="00334FE2" w:rsidP="00425759">
      <w:pPr>
        <w:spacing w:line="360" w:lineRule="auto"/>
        <w:ind w:left="720"/>
        <w:jc w:val="both"/>
        <w:rPr>
          <w:rFonts w:cstheme="minorHAnsi"/>
        </w:rPr>
      </w:pPr>
      <w:r w:rsidRPr="00DA194D">
        <w:rPr>
          <w:rFonts w:cstheme="minorHAnsi"/>
        </w:rPr>
        <w:t xml:space="preserve">“Any incident or pattern of incidents of controlling, coercive, </w:t>
      </w:r>
      <w:r w:rsidR="00BC643B">
        <w:rPr>
          <w:rFonts w:cstheme="minorHAnsi"/>
        </w:rPr>
        <w:t xml:space="preserve">or </w:t>
      </w:r>
      <w:r w:rsidRPr="00DA194D">
        <w:rPr>
          <w:rFonts w:cstheme="minorHAnsi"/>
        </w:rPr>
        <w:t xml:space="preserve">threatening behaviour, violence or abuse between those aged 16 or over who are, or have been, intimate partners or family members regardless of gender or sexuality. </w:t>
      </w:r>
      <w:r w:rsidR="00DF0E0B">
        <w:rPr>
          <w:rFonts w:cstheme="minorHAnsi"/>
        </w:rPr>
        <w:t>This</w:t>
      </w:r>
      <w:r w:rsidRPr="00DA194D">
        <w:rPr>
          <w:rFonts w:cstheme="minorHAnsi"/>
        </w:rPr>
        <w:t xml:space="preserve"> can encompass, but is not limited to</w:t>
      </w:r>
      <w:r w:rsidR="00DF0E0B">
        <w:rPr>
          <w:rFonts w:cstheme="minorHAnsi"/>
        </w:rPr>
        <w:t xml:space="preserve"> the following types of abuse:</w:t>
      </w:r>
      <w:r w:rsidRPr="00DA194D">
        <w:rPr>
          <w:rFonts w:cstheme="minorHAnsi"/>
        </w:rPr>
        <w:t xml:space="preserve"> psychological, physical, sexual, financial, emotional”</w:t>
      </w:r>
      <w:r w:rsidR="00BC643B">
        <w:rPr>
          <w:rFonts w:cstheme="minorHAnsi"/>
        </w:rPr>
        <w:t>.</w:t>
      </w:r>
      <w:r w:rsidR="00217304">
        <w:rPr>
          <w:rFonts w:cstheme="minorHAnsi"/>
        </w:rPr>
        <w:t xml:space="preserve"> </w:t>
      </w:r>
      <w:r w:rsidR="00E249E7">
        <w:rPr>
          <w:rFonts w:cstheme="minorHAnsi"/>
        </w:rPr>
        <w:t>(</w:t>
      </w:r>
      <w:r w:rsidR="00487DA6" w:rsidRPr="00F25D3A">
        <w:rPr>
          <w:rFonts w:cstheme="minorHAnsi"/>
        </w:rPr>
        <w:t xml:space="preserve">Home Office </w:t>
      </w:r>
      <w:r w:rsidR="00217304" w:rsidRPr="00F25D3A">
        <w:rPr>
          <w:rFonts w:cstheme="minorHAnsi"/>
        </w:rPr>
        <w:t>20</w:t>
      </w:r>
      <w:r w:rsidR="00F25D3A">
        <w:rPr>
          <w:rFonts w:cstheme="minorHAnsi"/>
        </w:rPr>
        <w:t>13</w:t>
      </w:r>
      <w:r w:rsidR="00217304">
        <w:rPr>
          <w:rFonts w:cstheme="minorHAnsi"/>
        </w:rPr>
        <w:t xml:space="preserve">, </w:t>
      </w:r>
      <w:r w:rsidR="00487DA6">
        <w:rPr>
          <w:rFonts w:cstheme="minorHAnsi"/>
        </w:rPr>
        <w:t xml:space="preserve">para </w:t>
      </w:r>
      <w:r w:rsidR="00217304">
        <w:rPr>
          <w:rFonts w:cstheme="minorHAnsi"/>
        </w:rPr>
        <w:t xml:space="preserve">5.1) </w:t>
      </w:r>
    </w:p>
    <w:p w14:paraId="55E696FB" w14:textId="01422C8B" w:rsidR="004E3E10" w:rsidRDefault="00334FE2" w:rsidP="00425759">
      <w:pPr>
        <w:spacing w:line="360" w:lineRule="auto"/>
        <w:jc w:val="both"/>
        <w:rPr>
          <w:rFonts w:cstheme="minorHAnsi"/>
        </w:rPr>
      </w:pPr>
      <w:r w:rsidRPr="00DA194D">
        <w:rPr>
          <w:rFonts w:cstheme="minorHAnsi"/>
        </w:rPr>
        <w:lastRenderedPageBreak/>
        <w:t>In echo of the national definition, Police Scotland and Scottish prosecutors now define domestic abuse as</w:t>
      </w:r>
      <w:r w:rsidR="004E3E10">
        <w:rPr>
          <w:rFonts w:cstheme="minorHAnsi"/>
        </w:rPr>
        <w:t>:</w:t>
      </w:r>
    </w:p>
    <w:p w14:paraId="10D03BEA" w14:textId="4A30CD12" w:rsidR="004E3E10" w:rsidRDefault="00334FE2" w:rsidP="00425759">
      <w:pPr>
        <w:spacing w:line="360" w:lineRule="auto"/>
        <w:ind w:left="720"/>
        <w:jc w:val="both"/>
        <w:rPr>
          <w:rFonts w:cstheme="minorHAnsi"/>
        </w:rPr>
      </w:pPr>
      <w:r w:rsidRPr="00DA194D">
        <w:rPr>
          <w:rFonts w:cstheme="minorHAnsi"/>
        </w:rPr>
        <w:t>“any form of physical, verbal, sexual, psychological or financial abuse which might amount to criminal conduct and which takes place within the context of a relationship. The relationship will be between partners (married, cohabiting, civil partnership or otherwise) or ex-partners. The abuse can be committed in the home or elsewhere including o</w:t>
      </w:r>
      <w:r w:rsidR="00406CF1">
        <w:rPr>
          <w:rFonts w:cstheme="minorHAnsi"/>
        </w:rPr>
        <w:t>nline</w:t>
      </w:r>
      <w:r w:rsidR="00965759">
        <w:rPr>
          <w:rFonts w:cstheme="minorHAnsi"/>
        </w:rPr>
        <w:t>”</w:t>
      </w:r>
      <w:r w:rsidR="004E3E10">
        <w:rPr>
          <w:rFonts w:cstheme="minorHAnsi"/>
        </w:rPr>
        <w:t>.</w:t>
      </w:r>
      <w:r w:rsidR="00406CF1">
        <w:rPr>
          <w:rFonts w:cstheme="minorHAnsi"/>
        </w:rPr>
        <w:t xml:space="preserve"> (</w:t>
      </w:r>
      <w:r w:rsidR="00143AA9">
        <w:rPr>
          <w:rFonts w:cstheme="minorHAnsi"/>
        </w:rPr>
        <w:t>Police Scotland &amp; COPF</w:t>
      </w:r>
      <w:r w:rsidR="00231C3F">
        <w:rPr>
          <w:rFonts w:cstheme="minorHAnsi"/>
        </w:rPr>
        <w:t>S</w:t>
      </w:r>
      <w:r w:rsidR="00143AA9">
        <w:rPr>
          <w:rFonts w:cstheme="minorHAnsi"/>
        </w:rPr>
        <w:t xml:space="preserve"> 2019</w:t>
      </w:r>
      <w:r w:rsidR="003332B3">
        <w:rPr>
          <w:rFonts w:cstheme="minorHAnsi"/>
        </w:rPr>
        <w:t xml:space="preserve">, para </w:t>
      </w:r>
      <w:r w:rsidR="00143AA9">
        <w:rPr>
          <w:rFonts w:cstheme="minorHAnsi"/>
        </w:rPr>
        <w:t>4</w:t>
      </w:r>
      <w:r w:rsidR="003332B3">
        <w:rPr>
          <w:rFonts w:cstheme="minorHAnsi"/>
        </w:rPr>
        <w:t>)</w:t>
      </w:r>
    </w:p>
    <w:p w14:paraId="2C9AE2BE" w14:textId="3B6EF5E6" w:rsidR="00334FE2" w:rsidRPr="00DA194D" w:rsidRDefault="00334FE2" w:rsidP="00425759">
      <w:pPr>
        <w:spacing w:line="360" w:lineRule="auto"/>
        <w:jc w:val="both"/>
        <w:rPr>
          <w:rFonts w:cstheme="minorHAnsi"/>
        </w:rPr>
      </w:pPr>
      <w:r w:rsidRPr="00DA194D">
        <w:rPr>
          <w:rFonts w:cstheme="minorHAnsi"/>
        </w:rPr>
        <w:t xml:space="preserve">This definition is generally operationalised in Police Scotland statistics, resulting in widespread recording of domestic abuse incidents by Police Scotland and </w:t>
      </w:r>
      <w:r w:rsidR="00890B80">
        <w:rPr>
          <w:rFonts w:cstheme="minorHAnsi"/>
        </w:rPr>
        <w:t>its</w:t>
      </w:r>
      <w:r w:rsidRPr="00DA194D">
        <w:rPr>
          <w:rFonts w:cstheme="minorHAnsi"/>
        </w:rPr>
        <w:t xml:space="preserve"> predecessor forces. </w:t>
      </w:r>
    </w:p>
    <w:p w14:paraId="4CF95B67" w14:textId="15919EE5" w:rsidR="00334FE2" w:rsidRPr="00DA194D" w:rsidRDefault="00334FE2" w:rsidP="00425759">
      <w:pPr>
        <w:spacing w:line="360" w:lineRule="auto"/>
        <w:jc w:val="both"/>
        <w:rPr>
          <w:rFonts w:cstheme="minorHAnsi"/>
        </w:rPr>
      </w:pPr>
      <w:r w:rsidRPr="00DA194D">
        <w:rPr>
          <w:rFonts w:cstheme="minorHAnsi"/>
        </w:rPr>
        <w:t>The concept of “domestic abuse” was not a term of art in Scots</w:t>
      </w:r>
      <w:r w:rsidR="00106EC3">
        <w:rPr>
          <w:rFonts w:cstheme="minorHAnsi"/>
        </w:rPr>
        <w:t xml:space="preserve"> criminal</w:t>
      </w:r>
      <w:r w:rsidRPr="00DA194D">
        <w:rPr>
          <w:rFonts w:cstheme="minorHAnsi"/>
        </w:rPr>
        <w:t xml:space="preserve"> law until 2016, and some of the conduct recognised as abusive </w:t>
      </w:r>
      <w:r w:rsidR="00E100F1">
        <w:rPr>
          <w:rFonts w:cstheme="minorHAnsi"/>
        </w:rPr>
        <w:t>under</w:t>
      </w:r>
      <w:r w:rsidRPr="00DA194D">
        <w:rPr>
          <w:rFonts w:cstheme="minorHAnsi"/>
        </w:rPr>
        <w:t xml:space="preserve"> the national definition has only recently been criminalised. The Abusive Behaviour and Sexual Harm (Scotland) Act 2016 introduced a new domestic abuse aggravator which could be attached to crimes such as assault, stalking or threatening or abusive behaviour. If proven, the aggravator is recorded and taken into account by the court in sentencing. Reflecting the national definition, this aggravator was limited to offences committed against a partner or ex-partner</w:t>
      </w:r>
      <w:r w:rsidR="003332B3">
        <w:rPr>
          <w:rFonts w:cstheme="minorHAnsi"/>
        </w:rPr>
        <w:t>,</w:t>
      </w:r>
      <w:r w:rsidR="003A0AE2">
        <w:rPr>
          <w:rStyle w:val="FootnoteReference"/>
          <w:rFonts w:cstheme="minorHAnsi"/>
        </w:rPr>
        <w:footnoteReference w:id="23"/>
      </w:r>
      <w:r w:rsidRPr="00DA194D">
        <w:rPr>
          <w:rFonts w:cstheme="minorHAnsi"/>
        </w:rPr>
        <w:t xml:space="preserve"> applying to people who are or have been married, in civil partnerships, people “living together as if spouses or civil partners</w:t>
      </w:r>
      <w:r w:rsidR="003A0AE2">
        <w:rPr>
          <w:rFonts w:cstheme="minorHAnsi"/>
        </w:rPr>
        <w:t>”</w:t>
      </w:r>
      <w:r w:rsidR="003332B3">
        <w:rPr>
          <w:rFonts w:cstheme="minorHAnsi"/>
        </w:rPr>
        <w:t xml:space="preserve">, </w:t>
      </w:r>
      <w:r w:rsidRPr="00DA194D">
        <w:rPr>
          <w:rFonts w:cstheme="minorHAnsi"/>
        </w:rPr>
        <w:t>and people who are in or have been in an “intimate personal relationship” with another person.</w:t>
      </w:r>
      <w:r w:rsidR="00E273BD">
        <w:rPr>
          <w:rStyle w:val="FootnoteReference"/>
          <w:rFonts w:cstheme="minorHAnsi"/>
        </w:rPr>
        <w:footnoteReference w:id="24"/>
      </w:r>
      <w:r w:rsidRPr="00DA194D">
        <w:rPr>
          <w:rFonts w:cstheme="minorHAnsi"/>
        </w:rPr>
        <w:t xml:space="preserve"> Like subsequent legislative interventions, the 2016 Act does not define the concept of an “intimate personal relationship</w:t>
      </w:r>
      <w:r w:rsidR="00BE0682">
        <w:rPr>
          <w:rFonts w:cstheme="minorHAnsi"/>
        </w:rPr>
        <w:t xml:space="preserve">”, </w:t>
      </w:r>
      <w:r w:rsidRPr="00DA194D">
        <w:rPr>
          <w:rFonts w:cstheme="minorHAnsi"/>
        </w:rPr>
        <w:t xml:space="preserve">however the explanatory notes to the 2016 Act indicate </w:t>
      </w:r>
      <w:r w:rsidR="00BE0682">
        <w:rPr>
          <w:rFonts w:cstheme="minorHAnsi"/>
        </w:rPr>
        <w:t xml:space="preserve">that </w:t>
      </w:r>
      <w:r w:rsidRPr="00DA194D">
        <w:rPr>
          <w:rFonts w:cstheme="minorHAnsi"/>
        </w:rPr>
        <w:t>the term was intended:</w:t>
      </w:r>
    </w:p>
    <w:p w14:paraId="15346A18" w14:textId="63EFE782" w:rsidR="00334FE2" w:rsidRPr="00DA194D" w:rsidRDefault="00334FE2" w:rsidP="00425759">
      <w:pPr>
        <w:spacing w:line="360" w:lineRule="auto"/>
        <w:ind w:left="720"/>
        <w:jc w:val="both"/>
        <w:rPr>
          <w:rFonts w:cstheme="minorHAnsi"/>
        </w:rPr>
      </w:pPr>
      <w:r w:rsidRPr="00DA194D">
        <w:rPr>
          <w:rFonts w:cstheme="minorHAnsi"/>
        </w:rPr>
        <w:t>to cover relationships between boyfriends and girlfriends (including same-sex relationships), although the relationship need not be sexual. Other family relationships and other types of relationship (e.g. between friends or business partners or work colleagues) are not covered by the aggravation.</w:t>
      </w:r>
      <w:r w:rsidR="00BE0682">
        <w:rPr>
          <w:rFonts w:cstheme="minorHAnsi"/>
        </w:rPr>
        <w:t xml:space="preserve"> (</w:t>
      </w:r>
      <w:r w:rsidR="00B84948">
        <w:rPr>
          <w:rFonts w:cstheme="minorHAnsi"/>
        </w:rPr>
        <w:t>Scottish Government 2016, para 12</w:t>
      </w:r>
      <w:r w:rsidR="002C282E">
        <w:rPr>
          <w:rFonts w:cstheme="minorHAnsi"/>
        </w:rPr>
        <w:t>)</w:t>
      </w:r>
    </w:p>
    <w:p w14:paraId="16D6CEDF" w14:textId="02D14F64" w:rsidR="00334FE2" w:rsidRPr="00DA194D" w:rsidRDefault="00334FE2" w:rsidP="00425759">
      <w:pPr>
        <w:spacing w:line="360" w:lineRule="auto"/>
        <w:jc w:val="both"/>
        <w:rPr>
          <w:rFonts w:cstheme="minorHAnsi"/>
        </w:rPr>
      </w:pPr>
      <w:r w:rsidRPr="00DA194D">
        <w:rPr>
          <w:rFonts w:cstheme="minorHAnsi"/>
        </w:rPr>
        <w:t xml:space="preserve">In terms of domestically </w:t>
      </w:r>
      <w:r w:rsidRPr="00DA194D">
        <w:rPr>
          <w:rFonts w:cstheme="minorHAnsi"/>
          <w:i/>
          <w:iCs/>
        </w:rPr>
        <w:t>abusive</w:t>
      </w:r>
      <w:r w:rsidRPr="00DA194D">
        <w:rPr>
          <w:rFonts w:cstheme="minorHAnsi"/>
        </w:rPr>
        <w:t xml:space="preserve"> behaviour, the 2016 Act provides that a crime is aggravated by domestic abuse if</w:t>
      </w:r>
      <w:r w:rsidR="002C282E">
        <w:rPr>
          <w:rFonts w:cstheme="minorHAnsi"/>
        </w:rPr>
        <w:t xml:space="preserve">, </w:t>
      </w:r>
      <w:r w:rsidRPr="00DA194D">
        <w:rPr>
          <w:rFonts w:cstheme="minorHAnsi"/>
        </w:rPr>
        <w:t>as a result of the offence</w:t>
      </w:r>
      <w:r w:rsidR="002C282E">
        <w:rPr>
          <w:rFonts w:cstheme="minorHAnsi"/>
        </w:rPr>
        <w:t>,</w:t>
      </w:r>
      <w:r w:rsidRPr="00DA194D">
        <w:rPr>
          <w:rFonts w:cstheme="minorHAnsi"/>
        </w:rPr>
        <w:t xml:space="preserve"> the abusive partner “intends to cause the partner or ex-partner to suffer physical or psychological harm</w:t>
      </w:r>
      <w:r w:rsidR="007122E7">
        <w:rPr>
          <w:rFonts w:cstheme="minorHAnsi"/>
        </w:rPr>
        <w:t>”</w:t>
      </w:r>
      <w:r w:rsidRPr="00DA194D">
        <w:rPr>
          <w:rFonts w:cstheme="minorHAnsi"/>
        </w:rPr>
        <w:t>, or is r</w:t>
      </w:r>
      <w:r w:rsidR="00406CF1">
        <w:rPr>
          <w:rFonts w:cstheme="minorHAnsi"/>
        </w:rPr>
        <w:t>eckless about causing this harm,</w:t>
      </w:r>
      <w:r w:rsidRPr="00DA194D">
        <w:rPr>
          <w:rFonts w:cstheme="minorHAnsi"/>
        </w:rPr>
        <w:t xml:space="preserve"> whether or not any physical or psychological harm actua</w:t>
      </w:r>
      <w:r w:rsidR="00406CF1">
        <w:rPr>
          <w:rFonts w:cstheme="minorHAnsi"/>
        </w:rPr>
        <w:t>lly resulted from their actions.</w:t>
      </w:r>
      <w:r w:rsidR="007122E7">
        <w:rPr>
          <w:rStyle w:val="FootnoteReference"/>
          <w:rFonts w:cstheme="minorHAnsi"/>
        </w:rPr>
        <w:footnoteReference w:id="25"/>
      </w:r>
      <w:r w:rsidR="00406CF1">
        <w:rPr>
          <w:rFonts w:cstheme="minorHAnsi"/>
        </w:rPr>
        <w:t xml:space="preserve"> </w:t>
      </w:r>
      <w:r w:rsidRPr="00DA194D">
        <w:rPr>
          <w:rFonts w:cstheme="minorHAnsi"/>
        </w:rPr>
        <w:t xml:space="preserve">The Act provides </w:t>
      </w:r>
      <w:r w:rsidR="00B96F39">
        <w:rPr>
          <w:rFonts w:cstheme="minorHAnsi"/>
        </w:rPr>
        <w:t xml:space="preserve">that </w:t>
      </w:r>
      <w:r w:rsidRPr="00DA194D">
        <w:rPr>
          <w:rFonts w:cstheme="minorHAnsi"/>
        </w:rPr>
        <w:t xml:space="preserve">the </w:t>
      </w:r>
      <w:r w:rsidRPr="00DA194D">
        <w:rPr>
          <w:rFonts w:cstheme="minorHAnsi"/>
        </w:rPr>
        <w:lastRenderedPageBreak/>
        <w:t>concept of psychological harm “includes fear, alarm or distress”</w:t>
      </w:r>
      <w:r w:rsidR="00954072">
        <w:rPr>
          <w:rFonts w:cstheme="minorHAnsi"/>
        </w:rPr>
        <w:t>.</w:t>
      </w:r>
      <w:r w:rsidR="003D17F6">
        <w:rPr>
          <w:rStyle w:val="FootnoteReference"/>
          <w:rFonts w:cstheme="minorHAnsi"/>
        </w:rPr>
        <w:footnoteReference w:id="26"/>
      </w:r>
      <w:r w:rsidRPr="00DA194D">
        <w:rPr>
          <w:rFonts w:cstheme="minorHAnsi"/>
        </w:rPr>
        <w:t xml:space="preserve"> This aggravator is not limited to crimes of violence or sexual violence. A theft or attempt to pervert the course of justice could also be aggravated if the domestically abusive context could be proven in court. While this aggravator allowed criminal offences against a partner or ex-partner which caused physical or psychological harm to be recorded as aggravated by domestic abuse</w:t>
      </w:r>
      <w:r w:rsidR="00274483">
        <w:rPr>
          <w:rFonts w:cstheme="minorHAnsi"/>
        </w:rPr>
        <w:t>,</w:t>
      </w:r>
      <w:r w:rsidRPr="00DA194D">
        <w:rPr>
          <w:rFonts w:cstheme="minorHAnsi"/>
        </w:rPr>
        <w:t xml:space="preserve"> most conduct towards a partner or ex-partner which could be understood as coercive control was not criminalised in Scotland until 2018.</w:t>
      </w:r>
    </w:p>
    <w:p w14:paraId="4C81BF42" w14:textId="6F4DF124" w:rsidR="00B10ADE" w:rsidRDefault="00334FE2" w:rsidP="00425759">
      <w:pPr>
        <w:spacing w:line="360" w:lineRule="auto"/>
        <w:jc w:val="both"/>
        <w:rPr>
          <w:rFonts w:cstheme="minorHAnsi"/>
        </w:rPr>
      </w:pPr>
      <w:r w:rsidRPr="00DA194D">
        <w:rPr>
          <w:rFonts w:cstheme="minorHAnsi"/>
        </w:rPr>
        <w:t>The Scottish Government finally sought to gain legal purchase on this kind of behaviour in the Domestic Abuse (Scotland) Act 2018</w:t>
      </w:r>
      <w:r w:rsidR="00954072">
        <w:rPr>
          <w:rFonts w:cstheme="minorHAnsi"/>
        </w:rPr>
        <w:t xml:space="preserve"> (Forbes 2018)</w:t>
      </w:r>
      <w:r w:rsidRPr="00DA194D">
        <w:rPr>
          <w:rFonts w:cstheme="minorHAnsi"/>
        </w:rPr>
        <w:t>. As Burman and Broo</w:t>
      </w:r>
      <w:r w:rsidR="00BA73DA">
        <w:rPr>
          <w:rFonts w:cstheme="minorHAnsi"/>
        </w:rPr>
        <w:t>k</w:t>
      </w:r>
      <w:r w:rsidRPr="00DA194D">
        <w:rPr>
          <w:rFonts w:cstheme="minorHAnsi"/>
        </w:rPr>
        <w:t xml:space="preserve">s-Hay </w:t>
      </w:r>
      <w:r w:rsidR="00630736">
        <w:rPr>
          <w:rFonts w:cstheme="minorHAnsi"/>
        </w:rPr>
        <w:t xml:space="preserve">(2018) </w:t>
      </w:r>
      <w:r w:rsidRPr="00DA194D">
        <w:rPr>
          <w:rFonts w:cstheme="minorHAnsi"/>
        </w:rPr>
        <w:t xml:space="preserve">argue, the 2018 Act is best understood as an attempt to align the criminal </w:t>
      </w:r>
      <w:r w:rsidRPr="00DA194D">
        <w:rPr>
          <w:rFonts w:cstheme="minorHAnsi"/>
          <w:i/>
          <w:iCs/>
        </w:rPr>
        <w:t>law</w:t>
      </w:r>
      <w:r w:rsidRPr="00DA194D">
        <w:rPr>
          <w:rFonts w:cstheme="minorHAnsi"/>
        </w:rPr>
        <w:t xml:space="preserve"> in Scotland with the Scottish Government’s already longstanding domestic abuse </w:t>
      </w:r>
      <w:r w:rsidRPr="00DA194D">
        <w:rPr>
          <w:rFonts w:cstheme="minorHAnsi"/>
          <w:i/>
          <w:iCs/>
        </w:rPr>
        <w:t>policy</w:t>
      </w:r>
      <w:r w:rsidRPr="00DA194D">
        <w:rPr>
          <w:rFonts w:cstheme="minorHAnsi"/>
        </w:rPr>
        <w:t>. While the criminal law accommodated the physical dimensions of domestic abuse before 2018, and domestically violent partners or ex-partners could be charged with crimes of violence at common law or sexual offences under the Sexual Offences (Scotland) Act 2009</w:t>
      </w:r>
      <w:r w:rsidR="00A9422E">
        <w:rPr>
          <w:rFonts w:cstheme="minorHAnsi"/>
        </w:rPr>
        <w:t>,</w:t>
      </w:r>
      <w:r w:rsidRPr="00DA194D">
        <w:rPr>
          <w:rFonts w:cstheme="minorHAnsi"/>
        </w:rPr>
        <w:t xml:space="preserve"> it provided police and prosecutors few tools to contend with the psychological, emotional and financial dimensions of abuse, which had been recognised in national policy for almost two decades, but which could not be subject to criminal charges. </w:t>
      </w:r>
    </w:p>
    <w:p w14:paraId="551CE7FA" w14:textId="0F2B5870" w:rsidR="009D30A7" w:rsidRDefault="00334FE2" w:rsidP="00425759">
      <w:pPr>
        <w:spacing w:line="360" w:lineRule="auto"/>
        <w:jc w:val="both"/>
        <w:rPr>
          <w:rFonts w:cstheme="minorHAnsi"/>
        </w:rPr>
      </w:pPr>
      <w:r w:rsidRPr="00DA194D">
        <w:rPr>
          <w:rFonts w:cstheme="minorHAnsi"/>
        </w:rPr>
        <w:t xml:space="preserve">The 2018 Act established a new criminal offence which recognises that a course of domestic abuse may or may not include physical or sexual violence, and can include physical </w:t>
      </w:r>
      <w:r w:rsidR="000C1AAF">
        <w:rPr>
          <w:rFonts w:cstheme="minorHAnsi"/>
        </w:rPr>
        <w:t xml:space="preserve">or sexual </w:t>
      </w:r>
      <w:r w:rsidRPr="00DA194D">
        <w:rPr>
          <w:rFonts w:cstheme="minorHAnsi"/>
        </w:rPr>
        <w:t xml:space="preserve">violence </w:t>
      </w:r>
      <w:r w:rsidR="003C4CAD">
        <w:rPr>
          <w:rFonts w:cstheme="minorHAnsi"/>
        </w:rPr>
        <w:t>in combination</w:t>
      </w:r>
      <w:r w:rsidRPr="00DA194D">
        <w:rPr>
          <w:rFonts w:cstheme="minorHAnsi"/>
        </w:rPr>
        <w:t xml:space="preserve"> with other non-violent conduct which can be broadly understood as coercive and controlling, including diverse behaviours including “controlling, regulating or monitoring” the</w:t>
      </w:r>
      <w:r w:rsidR="00235E1F">
        <w:rPr>
          <w:rFonts w:cstheme="minorHAnsi"/>
        </w:rPr>
        <w:t xml:space="preserve"> </w:t>
      </w:r>
      <w:r w:rsidR="00C11BC6">
        <w:rPr>
          <w:rFonts w:cstheme="minorHAnsi"/>
        </w:rPr>
        <w:t>complainer</w:t>
      </w:r>
      <w:r w:rsidR="00235E1F">
        <w:rPr>
          <w:rFonts w:cstheme="minorHAnsi"/>
        </w:rPr>
        <w:t>’s</w:t>
      </w:r>
      <w:r w:rsidRPr="00DA194D">
        <w:rPr>
          <w:rFonts w:cstheme="minorHAnsi"/>
        </w:rPr>
        <w:t xml:space="preserve"> “day-to-day activities</w:t>
      </w:r>
      <w:r w:rsidR="00235E1F">
        <w:rPr>
          <w:rFonts w:cstheme="minorHAnsi"/>
        </w:rPr>
        <w:t>”</w:t>
      </w:r>
      <w:r w:rsidRPr="00DA194D">
        <w:rPr>
          <w:rFonts w:cstheme="minorHAnsi"/>
        </w:rPr>
        <w:t>, “depriving or restric</w:t>
      </w:r>
      <w:r w:rsidR="00630736">
        <w:rPr>
          <w:rFonts w:cstheme="minorHAnsi"/>
        </w:rPr>
        <w:t>ting” their “freedom of action</w:t>
      </w:r>
      <w:r w:rsidR="00235E1F">
        <w:rPr>
          <w:rFonts w:cstheme="minorHAnsi"/>
        </w:rPr>
        <w:t>”</w:t>
      </w:r>
      <w:r w:rsidR="00630736">
        <w:rPr>
          <w:rFonts w:cstheme="minorHAnsi"/>
        </w:rPr>
        <w:t xml:space="preserve">, </w:t>
      </w:r>
      <w:r w:rsidRPr="00DA194D">
        <w:rPr>
          <w:rFonts w:cstheme="minorHAnsi"/>
        </w:rPr>
        <w:t xml:space="preserve">and isolating them from “relatives or other sources of </w:t>
      </w:r>
      <w:r w:rsidR="00630736">
        <w:rPr>
          <w:rFonts w:cstheme="minorHAnsi"/>
        </w:rPr>
        <w:t>support</w:t>
      </w:r>
      <w:r w:rsidRPr="00DA194D">
        <w:rPr>
          <w:rFonts w:cstheme="minorHAnsi"/>
        </w:rPr>
        <w:t>”</w:t>
      </w:r>
      <w:r w:rsidR="00630736">
        <w:t>.</w:t>
      </w:r>
      <w:r w:rsidR="00235E1F">
        <w:rPr>
          <w:rStyle w:val="FootnoteReference"/>
        </w:rPr>
        <w:footnoteReference w:id="27"/>
      </w:r>
      <w:r w:rsidR="00FB7B76" w:rsidRPr="00DA194D">
        <w:rPr>
          <w:rFonts w:cstheme="minorHAnsi"/>
        </w:rPr>
        <w:t xml:space="preserve"> </w:t>
      </w:r>
      <w:r w:rsidR="0011588F" w:rsidRPr="00DA194D">
        <w:rPr>
          <w:rFonts w:cstheme="minorHAnsi"/>
        </w:rPr>
        <w:t xml:space="preserve">If prosecutors can demonstrate </w:t>
      </w:r>
      <w:r w:rsidR="00657391">
        <w:rPr>
          <w:rFonts w:cstheme="minorHAnsi"/>
        </w:rPr>
        <w:t xml:space="preserve">that there was </w:t>
      </w:r>
      <w:r w:rsidR="0011588F" w:rsidRPr="00DA194D">
        <w:rPr>
          <w:rFonts w:cstheme="minorHAnsi"/>
        </w:rPr>
        <w:t>a course of abusive conduct by the accused person towards a partner or ex-partner,</w:t>
      </w:r>
      <w:r w:rsidR="00584FE1" w:rsidRPr="00DA194D">
        <w:rPr>
          <w:rFonts w:cstheme="minorHAnsi"/>
        </w:rPr>
        <w:t xml:space="preserve"> that a</w:t>
      </w:r>
      <w:r w:rsidR="0011588F" w:rsidRPr="00DA194D">
        <w:rPr>
          <w:rFonts w:cstheme="minorHAnsi"/>
        </w:rPr>
        <w:t xml:space="preserve"> </w:t>
      </w:r>
      <w:r w:rsidR="00584FE1" w:rsidRPr="00DA194D">
        <w:rPr>
          <w:rFonts w:cstheme="minorHAnsi"/>
        </w:rPr>
        <w:t>“reasonable person</w:t>
      </w:r>
      <w:r w:rsidR="00FF4756" w:rsidRPr="00DA194D">
        <w:rPr>
          <w:rFonts w:cstheme="minorHAnsi"/>
        </w:rPr>
        <w:t>”</w:t>
      </w:r>
      <w:r w:rsidR="00584FE1" w:rsidRPr="00DA194D">
        <w:rPr>
          <w:rFonts w:cstheme="minorHAnsi"/>
        </w:rPr>
        <w:t xml:space="preserve"> would consider the course of behaviour </w:t>
      </w:r>
      <w:r w:rsidR="00E64764" w:rsidRPr="00DA194D">
        <w:rPr>
          <w:rFonts w:cstheme="minorHAnsi"/>
        </w:rPr>
        <w:t xml:space="preserve">is </w:t>
      </w:r>
      <w:r w:rsidR="00FF4756" w:rsidRPr="00DA194D">
        <w:rPr>
          <w:rFonts w:cstheme="minorHAnsi"/>
        </w:rPr>
        <w:t>“</w:t>
      </w:r>
      <w:r w:rsidR="00584FE1" w:rsidRPr="00DA194D">
        <w:rPr>
          <w:rFonts w:cstheme="minorHAnsi"/>
        </w:rPr>
        <w:t xml:space="preserve">likely to cause” the complainer to suffer </w:t>
      </w:r>
      <w:r w:rsidR="00F9648C">
        <w:rPr>
          <w:rFonts w:cstheme="minorHAnsi"/>
        </w:rPr>
        <w:t>“</w:t>
      </w:r>
      <w:r w:rsidR="00584FE1" w:rsidRPr="00DA194D">
        <w:rPr>
          <w:rFonts w:cstheme="minorHAnsi"/>
        </w:rPr>
        <w:t>physical or psychological harm</w:t>
      </w:r>
      <w:r w:rsidR="00C11BC6">
        <w:rPr>
          <w:rFonts w:cstheme="minorHAnsi"/>
        </w:rPr>
        <w:t>”</w:t>
      </w:r>
      <w:r w:rsidR="00A9336A" w:rsidRPr="00DA194D">
        <w:rPr>
          <w:rFonts w:cstheme="minorHAnsi"/>
        </w:rPr>
        <w:t>, and that the accused person either intended or was reckless about causing harm</w:t>
      </w:r>
      <w:r w:rsidR="00FA0892">
        <w:rPr>
          <w:rFonts w:cstheme="minorHAnsi"/>
        </w:rPr>
        <w:t>,</w:t>
      </w:r>
      <w:r w:rsidR="00B72D26" w:rsidRPr="00DA194D">
        <w:rPr>
          <w:rFonts w:cstheme="minorHAnsi"/>
        </w:rPr>
        <w:t xml:space="preserve"> </w:t>
      </w:r>
      <w:r w:rsidR="00A9336A" w:rsidRPr="00DA194D">
        <w:rPr>
          <w:rFonts w:cstheme="minorHAnsi"/>
        </w:rPr>
        <w:t xml:space="preserve">they can be convicted </w:t>
      </w:r>
      <w:r w:rsidR="00B72D26" w:rsidRPr="00DA194D">
        <w:rPr>
          <w:rFonts w:cstheme="minorHAnsi"/>
        </w:rPr>
        <w:t>of the new offence</w:t>
      </w:r>
      <w:r w:rsidR="00A9336A" w:rsidRPr="00DA194D">
        <w:rPr>
          <w:rFonts w:cstheme="minorHAnsi"/>
        </w:rPr>
        <w:t xml:space="preserve">. </w:t>
      </w:r>
    </w:p>
    <w:p w14:paraId="09BBE74F" w14:textId="1A5A286C" w:rsidR="002D6089" w:rsidRPr="00DA194D" w:rsidRDefault="00B72D26" w:rsidP="00425759">
      <w:pPr>
        <w:spacing w:line="360" w:lineRule="auto"/>
        <w:jc w:val="both"/>
        <w:rPr>
          <w:rFonts w:cstheme="minorHAnsi"/>
        </w:rPr>
      </w:pPr>
      <w:r w:rsidRPr="00DA194D">
        <w:rPr>
          <w:rFonts w:cstheme="minorHAnsi"/>
        </w:rPr>
        <w:t>In practice, however,</w:t>
      </w:r>
      <w:r w:rsidR="002D6089" w:rsidRPr="00DA194D">
        <w:rPr>
          <w:rFonts w:cstheme="minorHAnsi"/>
        </w:rPr>
        <w:t xml:space="preserve"> police and</w:t>
      </w:r>
      <w:r w:rsidRPr="00DA194D">
        <w:rPr>
          <w:rFonts w:cstheme="minorHAnsi"/>
        </w:rPr>
        <w:t xml:space="preserve"> </w:t>
      </w:r>
      <w:r w:rsidR="00C610BA" w:rsidRPr="00DA194D">
        <w:rPr>
          <w:rFonts w:cstheme="minorHAnsi"/>
        </w:rPr>
        <w:t>prosecutors a</w:t>
      </w:r>
      <w:r w:rsidR="001D0D02" w:rsidRPr="00DA194D">
        <w:rPr>
          <w:rFonts w:cstheme="minorHAnsi"/>
        </w:rPr>
        <w:t xml:space="preserve">ppear to be making </w:t>
      </w:r>
      <w:r w:rsidR="002D6089" w:rsidRPr="00DA194D">
        <w:rPr>
          <w:rFonts w:cstheme="minorHAnsi"/>
        </w:rPr>
        <w:t>only modest</w:t>
      </w:r>
      <w:r w:rsidR="00C610BA" w:rsidRPr="00DA194D">
        <w:rPr>
          <w:rFonts w:cstheme="minorHAnsi"/>
        </w:rPr>
        <w:t xml:space="preserve"> </w:t>
      </w:r>
      <w:r w:rsidR="002D6089" w:rsidRPr="00DA194D">
        <w:rPr>
          <w:rFonts w:cstheme="minorHAnsi"/>
        </w:rPr>
        <w:t xml:space="preserve">use of the new </w:t>
      </w:r>
      <w:r w:rsidR="00900AC2">
        <w:rPr>
          <w:rFonts w:cstheme="minorHAnsi"/>
        </w:rPr>
        <w:t>Act</w:t>
      </w:r>
      <w:r w:rsidR="002D6089" w:rsidRPr="00DA194D">
        <w:rPr>
          <w:rFonts w:cstheme="minorHAnsi"/>
        </w:rPr>
        <w:t xml:space="preserve"> in the prosecution of domestically abusive offending.</w:t>
      </w:r>
      <w:r w:rsidR="001D0D02" w:rsidRPr="00DA194D">
        <w:rPr>
          <w:rFonts w:cstheme="minorHAnsi"/>
        </w:rPr>
        <w:t xml:space="preserve"> </w:t>
      </w:r>
      <w:r w:rsidR="002D6089" w:rsidRPr="00DA194D">
        <w:rPr>
          <w:rFonts w:cstheme="minorHAnsi"/>
        </w:rPr>
        <w:t xml:space="preserve">In 2008/2009, 29,283 domestic abuse incidents were recorded by Scottish police forces. Of these, </w:t>
      </w:r>
      <w:r w:rsidR="00BA0548">
        <w:rPr>
          <w:rFonts w:cstheme="minorHAnsi"/>
        </w:rPr>
        <w:t>43</w:t>
      </w:r>
      <w:r w:rsidR="002D6089" w:rsidRPr="00DA194D">
        <w:rPr>
          <w:rFonts w:cstheme="minorHAnsi"/>
        </w:rPr>
        <w:t xml:space="preserve">% were recorded as minor assaults. Breach of the peace cases made up 33%. The most recent Scottish Government statistics suggest that of the 65,251 incidents of domestic abuse recorded </w:t>
      </w:r>
      <w:r w:rsidR="00A27890" w:rsidRPr="00DA194D">
        <w:rPr>
          <w:rFonts w:cstheme="minorHAnsi"/>
        </w:rPr>
        <w:t xml:space="preserve">as </w:t>
      </w:r>
      <w:r w:rsidR="002259AC" w:rsidRPr="00DA194D">
        <w:rPr>
          <w:rFonts w:cstheme="minorHAnsi"/>
        </w:rPr>
        <w:t xml:space="preserve">crimes and </w:t>
      </w:r>
      <w:r w:rsidR="00A27890" w:rsidRPr="00DA194D">
        <w:rPr>
          <w:rFonts w:cstheme="minorHAnsi"/>
        </w:rPr>
        <w:t xml:space="preserve">offences </w:t>
      </w:r>
      <w:r w:rsidR="002D6089" w:rsidRPr="00DA194D">
        <w:rPr>
          <w:rFonts w:cstheme="minorHAnsi"/>
        </w:rPr>
        <w:t>by Police Scotland</w:t>
      </w:r>
      <w:r w:rsidR="00AD28AB">
        <w:rPr>
          <w:rFonts w:cstheme="minorHAnsi"/>
        </w:rPr>
        <w:t xml:space="preserve"> in 2020/21</w:t>
      </w:r>
      <w:r w:rsidR="002D6089" w:rsidRPr="00DA194D">
        <w:rPr>
          <w:rFonts w:cstheme="minorHAnsi"/>
        </w:rPr>
        <w:t xml:space="preserve">, assaults </w:t>
      </w:r>
      <w:r w:rsidR="002D6089" w:rsidRPr="00DA194D">
        <w:rPr>
          <w:rFonts w:cstheme="minorHAnsi"/>
        </w:rPr>
        <w:lastRenderedPageBreak/>
        <w:t>constituted 32% of incidents, with 23% taking the form of breach o</w:t>
      </w:r>
      <w:r w:rsidR="00BA0548">
        <w:rPr>
          <w:rFonts w:cstheme="minorHAnsi"/>
        </w:rPr>
        <w:t>f</w:t>
      </w:r>
      <w:r w:rsidR="002D6089" w:rsidRPr="00DA194D">
        <w:rPr>
          <w:rFonts w:cstheme="minorHAnsi"/>
        </w:rPr>
        <w:t xml:space="preserve"> the peace,</w:t>
      </w:r>
      <w:r w:rsidR="001D0D02" w:rsidRPr="00DA194D">
        <w:rPr>
          <w:rFonts w:cstheme="minorHAnsi"/>
        </w:rPr>
        <w:t xml:space="preserve"> 18% constituting</w:t>
      </w:r>
      <w:r w:rsidR="002D6089" w:rsidRPr="00DA194D">
        <w:rPr>
          <w:rFonts w:cstheme="minorHAnsi"/>
        </w:rPr>
        <w:t xml:space="preserve"> crimes against public justice, and </w:t>
      </w:r>
      <w:r w:rsidR="001D0D02" w:rsidRPr="00DA194D">
        <w:rPr>
          <w:rFonts w:cstheme="minorHAnsi"/>
        </w:rPr>
        <w:t xml:space="preserve">7% recorded under </w:t>
      </w:r>
      <w:r w:rsidR="002D6089" w:rsidRPr="00DA194D">
        <w:rPr>
          <w:rFonts w:cstheme="minorHAnsi"/>
        </w:rPr>
        <w:t xml:space="preserve">vandalism. </w:t>
      </w:r>
      <w:r w:rsidR="00C143DC" w:rsidRPr="00DA194D">
        <w:rPr>
          <w:rFonts w:cstheme="minorHAnsi"/>
        </w:rPr>
        <w:t>Charges under</w:t>
      </w:r>
      <w:r w:rsidR="002D6089" w:rsidRPr="00DA194D">
        <w:rPr>
          <w:rFonts w:cstheme="minorHAnsi"/>
        </w:rPr>
        <w:t xml:space="preserve"> the 2018 Act accounted for just 4% of </w:t>
      </w:r>
      <w:r w:rsidR="002259AC" w:rsidRPr="00DA194D">
        <w:rPr>
          <w:rFonts w:cstheme="minorHAnsi"/>
        </w:rPr>
        <w:t xml:space="preserve">recorded incidents </w:t>
      </w:r>
      <w:r w:rsidR="00504465">
        <w:rPr>
          <w:rFonts w:cstheme="minorHAnsi"/>
        </w:rPr>
        <w:t>(Scottish Government</w:t>
      </w:r>
      <w:r w:rsidR="00012363">
        <w:rPr>
          <w:rFonts w:cstheme="minorHAnsi"/>
        </w:rPr>
        <w:t xml:space="preserve"> 2021)</w:t>
      </w:r>
      <w:r w:rsidR="002D6089" w:rsidRPr="00DA194D">
        <w:rPr>
          <w:rFonts w:cstheme="minorHAnsi"/>
        </w:rPr>
        <w:t>.</w:t>
      </w:r>
    </w:p>
    <w:p w14:paraId="35358575" w14:textId="77777777" w:rsidR="00053E23" w:rsidRDefault="00053E23" w:rsidP="00425759">
      <w:pPr>
        <w:spacing w:line="360" w:lineRule="auto"/>
        <w:jc w:val="both"/>
        <w:rPr>
          <w:rFonts w:cstheme="minorHAnsi"/>
          <w:b/>
          <w:bCs/>
        </w:rPr>
      </w:pPr>
    </w:p>
    <w:p w14:paraId="5F232A9D" w14:textId="023B3A3A" w:rsidR="00135958" w:rsidRPr="00DA194D" w:rsidRDefault="00135958" w:rsidP="00C92ED7">
      <w:pPr>
        <w:pStyle w:val="Heading1"/>
      </w:pPr>
      <w:r w:rsidRPr="00DA194D">
        <w:t xml:space="preserve">What counts as </w:t>
      </w:r>
      <w:r w:rsidR="00226B29">
        <w:t>“</w:t>
      </w:r>
      <w:r w:rsidRPr="00DA194D">
        <w:t xml:space="preserve">domestic </w:t>
      </w:r>
      <w:r w:rsidRPr="00421642">
        <w:t>abuse</w:t>
      </w:r>
      <w:r w:rsidR="00226B29">
        <w:t>”</w:t>
      </w:r>
      <w:r w:rsidRPr="00DA194D">
        <w:t xml:space="preserve"> for the purpose of the </w:t>
      </w:r>
      <w:r>
        <w:t xml:space="preserve">DSDAS </w:t>
      </w:r>
      <w:r w:rsidRPr="00DA194D">
        <w:t>scheme?</w:t>
      </w:r>
    </w:p>
    <w:p w14:paraId="025B2468" w14:textId="6E5E7E39" w:rsidR="00334FE2" w:rsidRPr="00DA194D" w:rsidRDefault="00334FE2" w:rsidP="00425759">
      <w:pPr>
        <w:spacing w:line="360" w:lineRule="auto"/>
        <w:jc w:val="both"/>
        <w:rPr>
          <w:rFonts w:cstheme="minorHAnsi"/>
        </w:rPr>
      </w:pPr>
      <w:r w:rsidRPr="00DA194D">
        <w:rPr>
          <w:rFonts w:cstheme="minorHAnsi"/>
        </w:rPr>
        <w:t xml:space="preserve">Considered from the perspective of the DSDAS </w:t>
      </w:r>
      <w:r w:rsidR="00123891">
        <w:rPr>
          <w:rFonts w:cstheme="minorHAnsi"/>
        </w:rPr>
        <w:t>s</w:t>
      </w:r>
      <w:r w:rsidRPr="00DA194D">
        <w:rPr>
          <w:rFonts w:cstheme="minorHAnsi"/>
        </w:rPr>
        <w:t xml:space="preserve">cheme, this </w:t>
      </w:r>
      <w:r w:rsidR="004106A4">
        <w:rPr>
          <w:rFonts w:cstheme="minorHAnsi"/>
        </w:rPr>
        <w:t>background</w:t>
      </w:r>
      <w:r w:rsidR="00E93382">
        <w:rPr>
          <w:rFonts w:cstheme="minorHAnsi"/>
        </w:rPr>
        <w:t xml:space="preserve"> </w:t>
      </w:r>
      <w:r w:rsidRPr="00DA194D">
        <w:rPr>
          <w:rFonts w:cstheme="minorHAnsi"/>
        </w:rPr>
        <w:t xml:space="preserve">raises </w:t>
      </w:r>
      <w:r w:rsidR="00E93382">
        <w:rPr>
          <w:rFonts w:cstheme="minorHAnsi"/>
        </w:rPr>
        <w:t xml:space="preserve">important </w:t>
      </w:r>
      <w:r w:rsidRPr="00DA194D">
        <w:rPr>
          <w:rFonts w:cstheme="minorHAnsi"/>
        </w:rPr>
        <w:t xml:space="preserve">questions about the </w:t>
      </w:r>
      <w:r w:rsidR="0043257D">
        <w:rPr>
          <w:rFonts w:cstheme="minorHAnsi"/>
        </w:rPr>
        <w:t xml:space="preserve">diverse </w:t>
      </w:r>
      <w:r w:rsidRPr="00DA194D">
        <w:rPr>
          <w:rFonts w:cstheme="minorHAnsi"/>
        </w:rPr>
        <w:t xml:space="preserve">offences </w:t>
      </w:r>
      <w:r w:rsidR="00B7301B">
        <w:rPr>
          <w:rFonts w:cstheme="minorHAnsi"/>
        </w:rPr>
        <w:t xml:space="preserve">and </w:t>
      </w:r>
      <w:r w:rsidRPr="00DA194D">
        <w:rPr>
          <w:rFonts w:cstheme="minorHAnsi"/>
        </w:rPr>
        <w:t xml:space="preserve">complaints officers </w:t>
      </w:r>
      <w:r w:rsidR="00B7301B">
        <w:rPr>
          <w:rFonts w:cstheme="minorHAnsi"/>
        </w:rPr>
        <w:t>may</w:t>
      </w:r>
      <w:r w:rsidR="0043257D">
        <w:rPr>
          <w:rFonts w:cstheme="minorHAnsi"/>
        </w:rPr>
        <w:t xml:space="preserve"> encounter </w:t>
      </w:r>
      <w:r w:rsidR="000C0FCD">
        <w:rPr>
          <w:rFonts w:cstheme="minorHAnsi"/>
        </w:rPr>
        <w:t xml:space="preserve">in reviewing </w:t>
      </w:r>
      <w:r w:rsidR="00AA1605">
        <w:rPr>
          <w:rFonts w:cstheme="minorHAnsi"/>
        </w:rPr>
        <w:t xml:space="preserve">the </w:t>
      </w:r>
      <w:r w:rsidR="008B523F">
        <w:rPr>
          <w:rFonts w:cstheme="minorHAnsi"/>
        </w:rPr>
        <w:t xml:space="preserve">histories </w:t>
      </w:r>
      <w:r w:rsidR="00AA1605">
        <w:rPr>
          <w:rFonts w:cstheme="minorHAnsi"/>
        </w:rPr>
        <w:t xml:space="preserve">of </w:t>
      </w:r>
      <w:r w:rsidR="00B7301B">
        <w:rPr>
          <w:rFonts w:cstheme="minorHAnsi"/>
        </w:rPr>
        <w:t xml:space="preserve">potential </w:t>
      </w:r>
      <w:r w:rsidR="00AA1605">
        <w:rPr>
          <w:rFonts w:cstheme="minorHAnsi"/>
        </w:rPr>
        <w:t xml:space="preserve">subjects of disclosure, </w:t>
      </w:r>
      <w:r w:rsidRPr="00DA194D">
        <w:rPr>
          <w:rFonts w:cstheme="minorHAnsi"/>
        </w:rPr>
        <w:t xml:space="preserve">and how these </w:t>
      </w:r>
      <w:r w:rsidR="00AF12BE">
        <w:rPr>
          <w:rFonts w:cstheme="minorHAnsi"/>
        </w:rPr>
        <w:t xml:space="preserve">histories </w:t>
      </w:r>
      <w:r w:rsidRPr="00DA194D">
        <w:rPr>
          <w:rFonts w:cstheme="minorHAnsi"/>
        </w:rPr>
        <w:t xml:space="preserve">are coded by officers in deciding </w:t>
      </w:r>
      <w:r w:rsidR="00097AA6">
        <w:rPr>
          <w:rFonts w:cstheme="minorHAnsi"/>
        </w:rPr>
        <w:t xml:space="preserve">whether or not </w:t>
      </w:r>
      <w:r w:rsidRPr="00DA194D">
        <w:rPr>
          <w:rFonts w:cstheme="minorHAnsi"/>
        </w:rPr>
        <w:t>to make disclosure</w:t>
      </w:r>
      <w:r w:rsidR="004E49CE">
        <w:rPr>
          <w:rFonts w:cstheme="minorHAnsi"/>
        </w:rPr>
        <w:t>s</w:t>
      </w:r>
      <w:r w:rsidRPr="00DA194D">
        <w:rPr>
          <w:rFonts w:cstheme="minorHAnsi"/>
        </w:rPr>
        <w:t>. On both sides of the border, policy concepts of domestic abuse are not straightforwardly mirrored in recorded offences. In England and Wales, for example, relevant offences include common assault, battery, unlawful wounding, assault occasion</w:t>
      </w:r>
      <w:r w:rsidR="007154AF">
        <w:rPr>
          <w:rFonts w:cstheme="minorHAnsi"/>
        </w:rPr>
        <w:t>ing</w:t>
      </w:r>
      <w:r w:rsidRPr="00DA194D">
        <w:rPr>
          <w:rFonts w:cstheme="minorHAnsi"/>
        </w:rPr>
        <w:t xml:space="preserve"> actual bodily harm, false imprisonment, </w:t>
      </w:r>
      <w:r w:rsidR="005C0787">
        <w:rPr>
          <w:rFonts w:cstheme="minorHAnsi"/>
        </w:rPr>
        <w:t xml:space="preserve">and </w:t>
      </w:r>
      <w:r w:rsidRPr="00DA194D">
        <w:rPr>
          <w:rFonts w:cstheme="minorHAnsi"/>
        </w:rPr>
        <w:t xml:space="preserve">“controlling or coercive behaviour in an intimate or family relationship” under the Serious Crime Act 2015. In terms of crimes of violence, Scots law is considerably simpler than the </w:t>
      </w:r>
      <w:r w:rsidR="00127DB8">
        <w:rPr>
          <w:rFonts w:cstheme="minorHAnsi"/>
        </w:rPr>
        <w:t>diverse</w:t>
      </w:r>
      <w:r w:rsidR="00572117">
        <w:rPr>
          <w:rFonts w:cstheme="minorHAnsi"/>
        </w:rPr>
        <w:t xml:space="preserve"> </w:t>
      </w:r>
      <w:r w:rsidRPr="00DA194D">
        <w:rPr>
          <w:rFonts w:cstheme="minorHAnsi"/>
        </w:rPr>
        <w:t xml:space="preserve">array of </w:t>
      </w:r>
      <w:r w:rsidR="00572117">
        <w:rPr>
          <w:rFonts w:cstheme="minorHAnsi"/>
        </w:rPr>
        <w:t>o</w:t>
      </w:r>
      <w:r w:rsidRPr="00DA194D">
        <w:rPr>
          <w:rFonts w:cstheme="minorHAnsi"/>
        </w:rPr>
        <w:t xml:space="preserve">ffences </w:t>
      </w:r>
      <w:r w:rsidR="005D41C9">
        <w:rPr>
          <w:rFonts w:cstheme="minorHAnsi"/>
        </w:rPr>
        <w:t xml:space="preserve">set out in the </w:t>
      </w:r>
      <w:r w:rsidR="002A24F2">
        <w:rPr>
          <w:rFonts w:cstheme="minorHAnsi"/>
        </w:rPr>
        <w:t xml:space="preserve">English  and Welsh Offences against the Person Act </w:t>
      </w:r>
      <w:r w:rsidR="005D41C9">
        <w:rPr>
          <w:rFonts w:cstheme="minorHAnsi"/>
        </w:rPr>
        <w:t>18</w:t>
      </w:r>
      <w:r w:rsidR="00AC242F">
        <w:rPr>
          <w:rFonts w:cstheme="minorHAnsi"/>
        </w:rPr>
        <w:t>61</w:t>
      </w:r>
      <w:r w:rsidRPr="00DA194D">
        <w:rPr>
          <w:rFonts w:cstheme="minorHAnsi"/>
        </w:rPr>
        <w:t>, with assault at common law being the primary offence category</w:t>
      </w:r>
      <w:r w:rsidR="00796746">
        <w:rPr>
          <w:rFonts w:cstheme="minorHAnsi"/>
        </w:rPr>
        <w:t xml:space="preserve"> in Scotland</w:t>
      </w:r>
      <w:r w:rsidRPr="00DA194D">
        <w:rPr>
          <w:rFonts w:cstheme="minorHAnsi"/>
        </w:rPr>
        <w:t>, potentially with aggravators based on the use of a weapon or the extent of the injuries inflicted on the victim. Particularly serious assaults can amount to attempted murder</w:t>
      </w:r>
      <w:r w:rsidR="00B81179" w:rsidRPr="00DA194D">
        <w:rPr>
          <w:rFonts w:cstheme="minorHAnsi"/>
        </w:rPr>
        <w:t xml:space="preserve">. </w:t>
      </w:r>
      <w:r w:rsidR="00C143DC" w:rsidRPr="00DA194D">
        <w:rPr>
          <w:rFonts w:cstheme="minorHAnsi"/>
        </w:rPr>
        <w:t>Crimes against public justice in this context are likely to take the form of attempting to pervert the course of justice by intimidating witnesses or persuading complainers to change their stories.</w:t>
      </w:r>
    </w:p>
    <w:p w14:paraId="65525D94" w14:textId="1F096D09" w:rsidR="007560F7" w:rsidRDefault="00AF6F78" w:rsidP="00425759">
      <w:pPr>
        <w:spacing w:line="360" w:lineRule="auto"/>
        <w:jc w:val="both"/>
        <w:rPr>
          <w:rFonts w:cstheme="minorHAnsi"/>
        </w:rPr>
      </w:pPr>
      <w:bookmarkStart w:id="1" w:name="_Hlk117434803"/>
      <w:r>
        <w:rPr>
          <w:rFonts w:cstheme="minorHAnsi"/>
        </w:rPr>
        <w:t>Against this backdrop, w</w:t>
      </w:r>
      <w:r w:rsidR="00B76796">
        <w:rPr>
          <w:rFonts w:cstheme="minorHAnsi"/>
        </w:rPr>
        <w:t xml:space="preserve">hich offences are considered relevant for the purposes of the DSDAS scheme? </w:t>
      </w:r>
      <w:r w:rsidR="00135958">
        <w:rPr>
          <w:rFonts w:cstheme="minorHAnsi"/>
        </w:rPr>
        <w:t>W</w:t>
      </w:r>
      <w:r w:rsidR="002D15B6">
        <w:rPr>
          <w:rFonts w:cstheme="minorHAnsi"/>
        </w:rPr>
        <w:t xml:space="preserve">e </w:t>
      </w:r>
      <w:r w:rsidR="007560F7">
        <w:rPr>
          <w:rFonts w:cstheme="minorHAnsi"/>
        </w:rPr>
        <w:t xml:space="preserve">identified a lack of consistency </w:t>
      </w:r>
      <w:r w:rsidR="006630A6">
        <w:rPr>
          <w:rFonts w:cstheme="minorHAnsi"/>
        </w:rPr>
        <w:t>and</w:t>
      </w:r>
      <w:r>
        <w:rPr>
          <w:rFonts w:cstheme="minorHAnsi"/>
        </w:rPr>
        <w:t xml:space="preserve"> degree of</w:t>
      </w:r>
      <w:r w:rsidR="006630A6">
        <w:rPr>
          <w:rFonts w:cstheme="minorHAnsi"/>
        </w:rPr>
        <w:t xml:space="preserve"> ambiguity </w:t>
      </w:r>
      <w:r w:rsidR="007560F7">
        <w:rPr>
          <w:rFonts w:cstheme="minorHAnsi"/>
        </w:rPr>
        <w:t xml:space="preserve">in how behaviours of </w:t>
      </w:r>
      <w:r w:rsidR="00B700C9">
        <w:rPr>
          <w:rFonts w:cstheme="minorHAnsi"/>
        </w:rPr>
        <w:t>concern are</w:t>
      </w:r>
      <w:r w:rsidR="007560F7">
        <w:rPr>
          <w:rFonts w:cstheme="minorHAnsi"/>
        </w:rPr>
        <w:t xml:space="preserve"> described</w:t>
      </w:r>
      <w:r w:rsidR="004E60C2">
        <w:rPr>
          <w:rFonts w:cstheme="minorHAnsi"/>
        </w:rPr>
        <w:t xml:space="preserve"> in different elements of the </w:t>
      </w:r>
      <w:r w:rsidR="008147BF">
        <w:rPr>
          <w:rFonts w:cstheme="minorHAnsi"/>
        </w:rPr>
        <w:t xml:space="preserve">DSDAS </w:t>
      </w:r>
      <w:r w:rsidR="004E60C2">
        <w:rPr>
          <w:rFonts w:cstheme="minorHAnsi"/>
        </w:rPr>
        <w:t>scheme</w:t>
      </w:r>
      <w:r w:rsidR="007560F7">
        <w:rPr>
          <w:rFonts w:cstheme="minorHAnsi"/>
        </w:rPr>
        <w:t xml:space="preserve">. In the public facing documents, when referring to information about an individual’s past </w:t>
      </w:r>
      <w:r w:rsidR="00EC3DF4">
        <w:rPr>
          <w:rFonts w:cstheme="minorHAnsi"/>
        </w:rPr>
        <w:t>which</w:t>
      </w:r>
      <w:r w:rsidR="007560F7">
        <w:rPr>
          <w:rFonts w:cstheme="minorHAnsi"/>
        </w:rPr>
        <w:t xml:space="preserve"> may be disclosable, the term </w:t>
      </w:r>
      <w:r w:rsidR="00F73B23">
        <w:rPr>
          <w:rFonts w:cstheme="minorHAnsi"/>
        </w:rPr>
        <w:t>“</w:t>
      </w:r>
      <w:r w:rsidR="007560F7">
        <w:rPr>
          <w:rFonts w:cstheme="minorHAnsi"/>
        </w:rPr>
        <w:t>domestic abuse</w:t>
      </w:r>
      <w:r w:rsidR="00F73B23">
        <w:rPr>
          <w:rFonts w:cstheme="minorHAnsi"/>
        </w:rPr>
        <w:t>”</w:t>
      </w:r>
      <w:r w:rsidR="007560F7">
        <w:rPr>
          <w:rFonts w:cstheme="minorHAnsi"/>
        </w:rPr>
        <w:t xml:space="preserve"> is not used. Rather it is variously described as checks to see if someone has a record of “violent behaviour” “abusive behaviour” or “violent offences” or “other information to indicate you may be at risk” (Police Scotland 2021d, 2021e). Each of these could be subject to its own limitations in terms of how the public might understand relevant conduct of concern. For example, using </w:t>
      </w:r>
      <w:r w:rsidR="0045017D">
        <w:rPr>
          <w:rFonts w:cstheme="minorHAnsi"/>
        </w:rPr>
        <w:t>“</w:t>
      </w:r>
      <w:r w:rsidR="007560F7">
        <w:rPr>
          <w:rFonts w:cstheme="minorHAnsi"/>
        </w:rPr>
        <w:t>violent</w:t>
      </w:r>
      <w:r w:rsidR="0045017D">
        <w:rPr>
          <w:rFonts w:cstheme="minorHAnsi"/>
        </w:rPr>
        <w:t>”</w:t>
      </w:r>
      <w:r w:rsidR="007560F7">
        <w:rPr>
          <w:rFonts w:cstheme="minorHAnsi"/>
        </w:rPr>
        <w:t xml:space="preserve"> may limit how citizens think about what constitutes domestic abuse, which we know frequently includes emotional, sexual, or financial abuse, as well as coercively controlling behaviour (Stark </w:t>
      </w:r>
      <w:r w:rsidR="007560F7" w:rsidRPr="00AF2738">
        <w:rPr>
          <w:rFonts w:cstheme="minorHAnsi"/>
        </w:rPr>
        <w:t>2007).</w:t>
      </w:r>
      <w:r w:rsidR="007560F7">
        <w:rPr>
          <w:rFonts w:cstheme="minorHAnsi"/>
        </w:rPr>
        <w:t xml:space="preserve"> This may unintentionally deter those who may be concerned about the latter but have less concern about the former. While </w:t>
      </w:r>
      <w:r w:rsidR="00BA73DA">
        <w:rPr>
          <w:rFonts w:cstheme="minorHAnsi"/>
        </w:rPr>
        <w:t xml:space="preserve">it is the case that </w:t>
      </w:r>
      <w:r w:rsidR="007560F7">
        <w:rPr>
          <w:rFonts w:cstheme="minorHAnsi"/>
        </w:rPr>
        <w:t>information about domestic abuse</w:t>
      </w:r>
      <w:r w:rsidR="003A452F">
        <w:rPr>
          <w:rFonts w:cstheme="minorHAnsi"/>
        </w:rPr>
        <w:t>,</w:t>
      </w:r>
      <w:r w:rsidR="007560F7">
        <w:rPr>
          <w:rFonts w:cstheme="minorHAnsi"/>
        </w:rPr>
        <w:t xml:space="preserve"> including a definition and information about the Domestic Abuse (Scotland) Act 2018, is available </w:t>
      </w:r>
      <w:r w:rsidR="00D938EA">
        <w:rPr>
          <w:rFonts w:cstheme="minorHAnsi"/>
        </w:rPr>
        <w:t xml:space="preserve">to the public </w:t>
      </w:r>
      <w:r w:rsidR="007560F7">
        <w:rPr>
          <w:rFonts w:cstheme="minorHAnsi"/>
        </w:rPr>
        <w:t xml:space="preserve">only a few clicks </w:t>
      </w:r>
      <w:r w:rsidR="007560F7">
        <w:rPr>
          <w:rFonts w:cstheme="minorHAnsi"/>
        </w:rPr>
        <w:lastRenderedPageBreak/>
        <w:t xml:space="preserve">away from the DSDAS scheme information, and Police Scotland </w:t>
      </w:r>
      <w:r w:rsidR="00D938EA">
        <w:rPr>
          <w:rFonts w:cstheme="minorHAnsi"/>
        </w:rPr>
        <w:t xml:space="preserve">clearly </w:t>
      </w:r>
      <w:r w:rsidR="007560F7">
        <w:rPr>
          <w:rFonts w:cstheme="minorHAnsi"/>
        </w:rPr>
        <w:t>recognise the full range of behaviours domestic abuse might include (Police Scotland &amp; COPFS 2019)</w:t>
      </w:r>
      <w:r w:rsidR="005B165E">
        <w:rPr>
          <w:rFonts w:cstheme="minorHAnsi"/>
        </w:rPr>
        <w:t>,</w:t>
      </w:r>
      <w:r w:rsidR="007560F7">
        <w:rPr>
          <w:rFonts w:cstheme="minorHAnsi"/>
        </w:rPr>
        <w:t xml:space="preserve"> a definition of domestic abuse is not provided on the DSDAS information pages. A clear definition at the outset of the public</w:t>
      </w:r>
      <w:r w:rsidR="00755665">
        <w:rPr>
          <w:rFonts w:cstheme="minorHAnsi"/>
        </w:rPr>
        <w:t xml:space="preserve">-facing </w:t>
      </w:r>
      <w:r w:rsidR="007560F7">
        <w:rPr>
          <w:rFonts w:cstheme="minorHAnsi"/>
        </w:rPr>
        <w:t xml:space="preserve">scheme information outlining the </w:t>
      </w:r>
      <w:r w:rsidR="00B0398B">
        <w:rPr>
          <w:rFonts w:cstheme="minorHAnsi"/>
        </w:rPr>
        <w:t xml:space="preserve">main </w:t>
      </w:r>
      <w:r w:rsidR="007560F7">
        <w:rPr>
          <w:rFonts w:cstheme="minorHAnsi"/>
        </w:rPr>
        <w:t>types of conduct that would be deemed to constitute domestic abuse</w:t>
      </w:r>
      <w:r w:rsidR="00B0398B">
        <w:rPr>
          <w:rFonts w:cstheme="minorHAnsi"/>
        </w:rPr>
        <w:t xml:space="preserve"> </w:t>
      </w:r>
      <w:r w:rsidR="007560F7">
        <w:rPr>
          <w:rFonts w:cstheme="minorHAnsi"/>
        </w:rPr>
        <w:t xml:space="preserve">would improve clarity for members of the public considering applications and offer the potential to facilitate individuals to identify domestic abuse in </w:t>
      </w:r>
      <w:r w:rsidR="00364BFA">
        <w:rPr>
          <w:rFonts w:cstheme="minorHAnsi"/>
        </w:rPr>
        <w:t xml:space="preserve">their </w:t>
      </w:r>
      <w:r w:rsidR="007560F7">
        <w:rPr>
          <w:rFonts w:cstheme="minorHAnsi"/>
        </w:rPr>
        <w:t>personal relationships.</w:t>
      </w:r>
    </w:p>
    <w:bookmarkEnd w:id="1"/>
    <w:p w14:paraId="24D93C15" w14:textId="2AAF146F" w:rsidR="00B044E5" w:rsidRPr="00DA194D" w:rsidRDefault="00E04CED" w:rsidP="00425759">
      <w:pPr>
        <w:spacing w:line="360" w:lineRule="auto"/>
        <w:jc w:val="both"/>
        <w:rPr>
          <w:rFonts w:cstheme="minorHAnsi"/>
        </w:rPr>
      </w:pPr>
      <w:r>
        <w:rPr>
          <w:rFonts w:cstheme="minorHAnsi"/>
        </w:rPr>
        <w:t>The same</w:t>
      </w:r>
      <w:r w:rsidR="003A78CE">
        <w:rPr>
          <w:rFonts w:cstheme="minorHAnsi"/>
        </w:rPr>
        <w:t xml:space="preserve"> ambiguity </w:t>
      </w:r>
      <w:r w:rsidR="00BF431B">
        <w:rPr>
          <w:rFonts w:cstheme="minorHAnsi"/>
        </w:rPr>
        <w:t>is found in the official guidance</w:t>
      </w:r>
      <w:r w:rsidR="00162EE5">
        <w:rPr>
          <w:rFonts w:cstheme="minorHAnsi"/>
        </w:rPr>
        <w:t xml:space="preserve"> for </w:t>
      </w:r>
      <w:r w:rsidR="0050741C">
        <w:rPr>
          <w:rFonts w:cstheme="minorHAnsi"/>
        </w:rPr>
        <w:t xml:space="preserve">police </w:t>
      </w:r>
      <w:r w:rsidR="00162EE5">
        <w:rPr>
          <w:rFonts w:cstheme="minorHAnsi"/>
        </w:rPr>
        <w:t xml:space="preserve">officers implementing </w:t>
      </w:r>
      <w:r w:rsidR="00391221">
        <w:rPr>
          <w:rFonts w:cstheme="minorHAnsi"/>
        </w:rPr>
        <w:t>the scheme</w:t>
      </w:r>
      <w:r w:rsidR="0050741C">
        <w:rPr>
          <w:rFonts w:cstheme="minorHAnsi"/>
        </w:rPr>
        <w:t xml:space="preserve"> and taking decisions about what </w:t>
      </w:r>
      <w:r w:rsidR="00C82D6A">
        <w:rPr>
          <w:rFonts w:cstheme="minorHAnsi"/>
        </w:rPr>
        <w:t>criminal histories to disclose.</w:t>
      </w:r>
      <w:r w:rsidR="00BF431B">
        <w:rPr>
          <w:rFonts w:cstheme="minorHAnsi"/>
        </w:rPr>
        <w:t xml:space="preserve"> </w:t>
      </w:r>
      <w:r w:rsidR="00D12D09" w:rsidRPr="00DA194D">
        <w:rPr>
          <w:rFonts w:cstheme="minorHAnsi"/>
        </w:rPr>
        <w:t xml:space="preserve">The concept of “domestic abuse” is nowhere defined in the DSDAS </w:t>
      </w:r>
      <w:r w:rsidR="00391221">
        <w:rPr>
          <w:rFonts w:cstheme="minorHAnsi"/>
        </w:rPr>
        <w:t>guidance</w:t>
      </w:r>
      <w:r w:rsidR="00D12D09" w:rsidRPr="00DA194D">
        <w:rPr>
          <w:rFonts w:cstheme="minorHAnsi"/>
        </w:rPr>
        <w:t xml:space="preserve"> documentation. The scheme contains </w:t>
      </w:r>
      <w:r w:rsidR="00D12D09" w:rsidRPr="007D1AB3">
        <w:rPr>
          <w:rFonts w:cstheme="minorHAnsi"/>
        </w:rPr>
        <w:t>no</w:t>
      </w:r>
      <w:r w:rsidR="00D12D09" w:rsidRPr="00DA194D">
        <w:rPr>
          <w:rFonts w:cstheme="minorHAnsi"/>
        </w:rPr>
        <w:t xml:space="preserve"> guidance </w:t>
      </w:r>
      <w:r w:rsidR="003E7E6C">
        <w:rPr>
          <w:rFonts w:cstheme="minorHAnsi"/>
        </w:rPr>
        <w:t xml:space="preserve">for officers </w:t>
      </w:r>
      <w:r w:rsidR="00D12D09" w:rsidRPr="00DA194D">
        <w:rPr>
          <w:rFonts w:cstheme="minorHAnsi"/>
        </w:rPr>
        <w:t xml:space="preserve">about the main categories of crimes the disclosure scheme applies to. </w:t>
      </w:r>
      <w:r w:rsidR="00B044E5" w:rsidRPr="00DA194D">
        <w:rPr>
          <w:rFonts w:cstheme="minorHAnsi"/>
        </w:rPr>
        <w:t xml:space="preserve">DSDAS contrasts unfavourably </w:t>
      </w:r>
      <w:r w:rsidR="00831863">
        <w:rPr>
          <w:rFonts w:cstheme="minorHAnsi"/>
        </w:rPr>
        <w:t xml:space="preserve">in this respect </w:t>
      </w:r>
      <w:r w:rsidR="00B044E5" w:rsidRPr="00DA194D">
        <w:rPr>
          <w:rFonts w:cstheme="minorHAnsi"/>
        </w:rPr>
        <w:t>with the Home Office</w:t>
      </w:r>
      <w:r w:rsidR="00831863">
        <w:rPr>
          <w:rFonts w:cstheme="minorHAnsi"/>
        </w:rPr>
        <w:t xml:space="preserve">’s </w:t>
      </w:r>
      <w:r w:rsidR="00B044E5" w:rsidRPr="00DA194D">
        <w:rPr>
          <w:rFonts w:cstheme="minorHAnsi"/>
        </w:rPr>
        <w:t xml:space="preserve">guidance on </w:t>
      </w:r>
      <w:r w:rsidR="0011342D">
        <w:rPr>
          <w:rFonts w:cstheme="minorHAnsi"/>
        </w:rPr>
        <w:t xml:space="preserve">DVDS </w:t>
      </w:r>
      <w:r w:rsidR="00831863">
        <w:rPr>
          <w:rFonts w:cstheme="minorHAnsi"/>
        </w:rPr>
        <w:t>in England and Wales</w:t>
      </w:r>
      <w:r w:rsidR="00B044E5" w:rsidRPr="00DA194D">
        <w:rPr>
          <w:rFonts w:cstheme="minorHAnsi"/>
        </w:rPr>
        <w:t>, which sets out a “non-exhaustive list of offences where convictions and/or allegations may be disclosed</w:t>
      </w:r>
      <w:r w:rsidR="006D0A45">
        <w:rPr>
          <w:rFonts w:cstheme="minorHAnsi"/>
        </w:rPr>
        <w:t>”</w:t>
      </w:r>
      <w:r w:rsidR="00B044E5" w:rsidRPr="00DA194D">
        <w:rPr>
          <w:rFonts w:cstheme="minorHAnsi"/>
        </w:rPr>
        <w:t xml:space="preserve">, running to </w:t>
      </w:r>
      <w:r w:rsidR="006D0A45">
        <w:rPr>
          <w:rFonts w:cstheme="minorHAnsi"/>
        </w:rPr>
        <w:t>66</w:t>
      </w:r>
      <w:r w:rsidR="00B044E5" w:rsidRPr="00DA194D">
        <w:rPr>
          <w:rFonts w:cstheme="minorHAnsi"/>
        </w:rPr>
        <w:t xml:space="preserve"> common law and statutory offences – including crimes of violence including murder, sexual offences, child sexual offences, child abduction offences, firearms offences, crimes of dishonesty including allegations of theft, stalking, modern slavery, trafficking people for exploitation, harassment, witness intimidation, and the modern offence of “controlling or coercive behaviour” under section 76 of the Serious Crime Act 2015 (Home Office 2013, Annex B).</w:t>
      </w:r>
    </w:p>
    <w:p w14:paraId="518769E4" w14:textId="47A11DAA" w:rsidR="007560F7" w:rsidRPr="00DA194D" w:rsidRDefault="008B703D" w:rsidP="00425759">
      <w:pPr>
        <w:spacing w:line="360" w:lineRule="auto"/>
        <w:jc w:val="both"/>
        <w:rPr>
          <w:rFonts w:cstheme="minorHAnsi"/>
        </w:rPr>
      </w:pPr>
      <w:r>
        <w:rPr>
          <w:rFonts w:cstheme="minorHAnsi"/>
        </w:rPr>
        <w:t>The</w:t>
      </w:r>
      <w:r w:rsidR="00B044E5" w:rsidRPr="00DA194D">
        <w:rPr>
          <w:rFonts w:cstheme="minorHAnsi"/>
        </w:rPr>
        <w:t xml:space="preserve"> Scottish scheme</w:t>
      </w:r>
      <w:r>
        <w:rPr>
          <w:rFonts w:cstheme="minorHAnsi"/>
        </w:rPr>
        <w:t>, by contrast,</w:t>
      </w:r>
      <w:r w:rsidR="00B044E5" w:rsidRPr="00DA194D">
        <w:rPr>
          <w:rFonts w:cstheme="minorHAnsi"/>
        </w:rPr>
        <w:t xml:space="preserve"> incorporates no equivalent </w:t>
      </w:r>
      <w:r w:rsidR="00053E8B">
        <w:rPr>
          <w:rFonts w:cstheme="minorHAnsi"/>
        </w:rPr>
        <w:t xml:space="preserve">indicative </w:t>
      </w:r>
      <w:r w:rsidR="00B044E5" w:rsidRPr="00DA194D">
        <w:rPr>
          <w:rFonts w:cstheme="minorHAnsi"/>
        </w:rPr>
        <w:t xml:space="preserve">list of what kind of </w:t>
      </w:r>
      <w:r w:rsidR="003E06B4">
        <w:rPr>
          <w:rFonts w:cstheme="minorHAnsi"/>
        </w:rPr>
        <w:t xml:space="preserve">criminal </w:t>
      </w:r>
      <w:r w:rsidR="00B044E5" w:rsidRPr="00DA194D">
        <w:rPr>
          <w:rFonts w:cstheme="minorHAnsi"/>
        </w:rPr>
        <w:t xml:space="preserve">offences might qualify for disclosure or be classified as domestically abusive. </w:t>
      </w:r>
      <w:r w:rsidR="008327F7" w:rsidRPr="00DA194D">
        <w:rPr>
          <w:rFonts w:cstheme="minorHAnsi"/>
        </w:rPr>
        <w:t xml:space="preserve">In practice, Scottish officers are likely to be confronted with a similarly diverse array of potential </w:t>
      </w:r>
      <w:r w:rsidR="001D5149">
        <w:rPr>
          <w:rFonts w:cstheme="minorHAnsi"/>
        </w:rPr>
        <w:t>crimes</w:t>
      </w:r>
      <w:r w:rsidR="008327F7" w:rsidRPr="00DA194D">
        <w:rPr>
          <w:rFonts w:cstheme="minorHAnsi"/>
        </w:rPr>
        <w:t xml:space="preserve"> to consider for disclosure, from common law crimes of murder, culpable homicide and attempted murder and assaults, to common law breach of the peace, statutory offences of threatening or abusive behaviour, stalking and sexual offences, crimes of dishonesty, property damage and vandalism, and crimes against public justice, including witness intimidation</w:t>
      </w:r>
      <w:r w:rsidR="008327F7">
        <w:rPr>
          <w:rFonts w:cstheme="minorHAnsi"/>
        </w:rPr>
        <w:t xml:space="preserve"> –</w:t>
      </w:r>
      <w:r w:rsidR="008327F7" w:rsidRPr="00DA194D">
        <w:rPr>
          <w:rFonts w:cstheme="minorHAnsi"/>
        </w:rPr>
        <w:t xml:space="preserve"> alongside offences which are </w:t>
      </w:r>
      <w:r w:rsidR="008327F7" w:rsidRPr="00A111E5">
        <w:rPr>
          <w:rFonts w:cstheme="minorHAnsi"/>
          <w:i/>
          <w:iCs/>
        </w:rPr>
        <w:t>explicitly</w:t>
      </w:r>
      <w:r w:rsidR="008327F7" w:rsidRPr="00DA194D">
        <w:rPr>
          <w:rFonts w:cstheme="minorHAnsi"/>
        </w:rPr>
        <w:t xml:space="preserve"> aggravated in connection with domestic abuse and prosecutions under the 2018 Act. </w:t>
      </w:r>
      <w:r w:rsidR="00B044E5" w:rsidRPr="00DA194D">
        <w:rPr>
          <w:rFonts w:cstheme="minorHAnsi"/>
        </w:rPr>
        <w:t>Further</w:t>
      </w:r>
      <w:r w:rsidR="006539A6">
        <w:rPr>
          <w:rFonts w:cstheme="minorHAnsi"/>
        </w:rPr>
        <w:t xml:space="preserve"> empirical</w:t>
      </w:r>
      <w:r w:rsidR="00B044E5" w:rsidRPr="00DA194D">
        <w:rPr>
          <w:rFonts w:cstheme="minorHAnsi"/>
        </w:rPr>
        <w:t xml:space="preserve"> research is required to </w:t>
      </w:r>
      <w:r w:rsidR="007154AF" w:rsidRPr="00DA194D">
        <w:rPr>
          <w:rFonts w:cstheme="minorHAnsi"/>
        </w:rPr>
        <w:t>comprehend</w:t>
      </w:r>
      <w:r w:rsidR="00B044E5" w:rsidRPr="00DA194D">
        <w:rPr>
          <w:rFonts w:cstheme="minorHAnsi"/>
        </w:rPr>
        <w:t xml:space="preserve"> how </w:t>
      </w:r>
      <w:r w:rsidR="005550AD">
        <w:rPr>
          <w:rFonts w:cstheme="minorHAnsi"/>
        </w:rPr>
        <w:t xml:space="preserve">Scottish </w:t>
      </w:r>
      <w:r w:rsidR="00B044E5" w:rsidRPr="00DA194D">
        <w:rPr>
          <w:rFonts w:cstheme="minorHAnsi"/>
        </w:rPr>
        <w:t>police officers understand and operationalise understandings of what constitutes a relevant offence through the scheme</w:t>
      </w:r>
      <w:r w:rsidR="00C40DFE">
        <w:rPr>
          <w:rFonts w:cstheme="minorHAnsi"/>
        </w:rPr>
        <w:t>, but t</w:t>
      </w:r>
      <w:r w:rsidR="00B044E5" w:rsidRPr="00DA194D">
        <w:rPr>
          <w:rFonts w:cstheme="minorHAnsi"/>
        </w:rPr>
        <w:t>he lack of precision in the policy documentation suggest</w:t>
      </w:r>
      <w:r w:rsidR="00C40DFE">
        <w:rPr>
          <w:rFonts w:cstheme="minorHAnsi"/>
        </w:rPr>
        <w:t xml:space="preserve">s </w:t>
      </w:r>
      <w:r w:rsidR="00B044E5" w:rsidRPr="00DA194D">
        <w:rPr>
          <w:rFonts w:cstheme="minorHAnsi"/>
        </w:rPr>
        <w:t>there is scope for fragmentation and inconsistencies in practice about what offences are classified as relevant</w:t>
      </w:r>
      <w:r w:rsidR="00496525">
        <w:rPr>
          <w:rFonts w:cstheme="minorHAnsi"/>
        </w:rPr>
        <w:t>,</w:t>
      </w:r>
      <w:r w:rsidR="00B044E5" w:rsidRPr="00DA194D">
        <w:rPr>
          <w:rFonts w:cstheme="minorHAnsi"/>
        </w:rPr>
        <w:t xml:space="preserve"> and therefore may or may not be </w:t>
      </w:r>
      <w:r w:rsidR="004802F7">
        <w:rPr>
          <w:rFonts w:cstheme="minorHAnsi"/>
        </w:rPr>
        <w:t>shared</w:t>
      </w:r>
      <w:r w:rsidR="00B044E5" w:rsidRPr="00DA194D">
        <w:rPr>
          <w:rFonts w:cstheme="minorHAnsi"/>
        </w:rPr>
        <w:t xml:space="preserve"> under DSDAS</w:t>
      </w:r>
      <w:r w:rsidR="004802F7">
        <w:rPr>
          <w:rFonts w:cstheme="minorHAnsi"/>
        </w:rPr>
        <w:t xml:space="preserve"> disclosures</w:t>
      </w:r>
      <w:r w:rsidR="00B044E5" w:rsidRPr="00DA194D">
        <w:rPr>
          <w:rFonts w:cstheme="minorHAnsi"/>
        </w:rPr>
        <w:t>.</w:t>
      </w:r>
      <w:r w:rsidR="0010159D">
        <w:rPr>
          <w:rFonts w:cstheme="minorHAnsi"/>
        </w:rPr>
        <w:t xml:space="preserve"> I</w:t>
      </w:r>
      <w:r w:rsidR="00B044E5" w:rsidRPr="00DA194D">
        <w:rPr>
          <w:rFonts w:cstheme="minorHAnsi"/>
        </w:rPr>
        <w:t xml:space="preserve">t is </w:t>
      </w:r>
      <w:r w:rsidR="0010159D">
        <w:rPr>
          <w:rFonts w:cstheme="minorHAnsi"/>
        </w:rPr>
        <w:t xml:space="preserve">also </w:t>
      </w:r>
      <w:r w:rsidR="00B044E5" w:rsidRPr="00DA194D">
        <w:rPr>
          <w:rFonts w:cstheme="minorHAnsi"/>
        </w:rPr>
        <w:t xml:space="preserve">not clear </w:t>
      </w:r>
      <w:r w:rsidR="00891830">
        <w:rPr>
          <w:rFonts w:cstheme="minorHAnsi"/>
        </w:rPr>
        <w:t>–</w:t>
      </w:r>
      <w:r w:rsidR="0010159D">
        <w:rPr>
          <w:rFonts w:cstheme="minorHAnsi"/>
        </w:rPr>
        <w:t xml:space="preserve"> </w:t>
      </w:r>
      <w:r w:rsidR="00B044E5" w:rsidRPr="00DA194D">
        <w:rPr>
          <w:rFonts w:cstheme="minorHAnsi"/>
        </w:rPr>
        <w:t xml:space="preserve">from either </w:t>
      </w:r>
      <w:r w:rsidR="009A69F8">
        <w:rPr>
          <w:rFonts w:cstheme="minorHAnsi"/>
        </w:rPr>
        <w:t>the Scottish</w:t>
      </w:r>
      <w:r w:rsidR="00D47309">
        <w:rPr>
          <w:rFonts w:cstheme="minorHAnsi"/>
        </w:rPr>
        <w:t xml:space="preserve">, </w:t>
      </w:r>
      <w:r w:rsidR="009A69F8">
        <w:rPr>
          <w:rFonts w:cstheme="minorHAnsi"/>
        </w:rPr>
        <w:t xml:space="preserve">or English and Welsh </w:t>
      </w:r>
      <w:r w:rsidR="00CB0DA9">
        <w:rPr>
          <w:rFonts w:cstheme="minorHAnsi"/>
        </w:rPr>
        <w:t xml:space="preserve">schemes </w:t>
      </w:r>
      <w:r w:rsidR="0047219A">
        <w:rPr>
          <w:rFonts w:cstheme="minorHAnsi"/>
        </w:rPr>
        <w:t>–</w:t>
      </w:r>
      <w:r w:rsidR="00B044E5" w:rsidRPr="00DA194D">
        <w:rPr>
          <w:rFonts w:cstheme="minorHAnsi"/>
        </w:rPr>
        <w:t xml:space="preserve"> to what extent the police triage subjects’ criminal histories in terms of</w:t>
      </w:r>
      <w:r w:rsidR="00E82808">
        <w:rPr>
          <w:rFonts w:cstheme="minorHAnsi"/>
        </w:rPr>
        <w:t xml:space="preserve"> the</w:t>
      </w:r>
      <w:r w:rsidR="00B044E5" w:rsidRPr="00DA194D">
        <w:rPr>
          <w:rFonts w:cstheme="minorHAnsi"/>
        </w:rPr>
        <w:t xml:space="preserve"> </w:t>
      </w:r>
      <w:r w:rsidR="008D2708" w:rsidRPr="0047219A">
        <w:rPr>
          <w:rFonts w:cstheme="minorHAnsi"/>
          <w:i/>
          <w:iCs/>
        </w:rPr>
        <w:t>identity</w:t>
      </w:r>
      <w:r w:rsidR="00B044E5" w:rsidRPr="00DA194D">
        <w:rPr>
          <w:rFonts w:cstheme="minorHAnsi"/>
        </w:rPr>
        <w:t xml:space="preserve"> of the </w:t>
      </w:r>
      <w:r w:rsidR="002B7260" w:rsidRPr="00DA194D">
        <w:rPr>
          <w:rFonts w:cstheme="minorHAnsi"/>
        </w:rPr>
        <w:t>victim</w:t>
      </w:r>
      <w:r w:rsidR="00B044E5" w:rsidRPr="00DA194D">
        <w:rPr>
          <w:rFonts w:cstheme="minorHAnsi"/>
        </w:rPr>
        <w:t xml:space="preserve">. </w:t>
      </w:r>
      <w:r w:rsidR="005C6960">
        <w:rPr>
          <w:rFonts w:cstheme="minorHAnsi"/>
        </w:rPr>
        <w:t>For example, t</w:t>
      </w:r>
      <w:r w:rsidR="003D6654">
        <w:rPr>
          <w:rFonts w:cstheme="minorHAnsi"/>
        </w:rPr>
        <w:t xml:space="preserve">he DVDS’s </w:t>
      </w:r>
      <w:r w:rsidR="00B044E5" w:rsidRPr="00DA194D">
        <w:rPr>
          <w:rFonts w:cstheme="minorHAnsi"/>
        </w:rPr>
        <w:t xml:space="preserve">non-exhaustive list of </w:t>
      </w:r>
      <w:r w:rsidR="00EA278F">
        <w:rPr>
          <w:rFonts w:cstheme="minorHAnsi"/>
        </w:rPr>
        <w:t xml:space="preserve">qualifying </w:t>
      </w:r>
      <w:r w:rsidR="00B044E5" w:rsidRPr="00DA194D">
        <w:rPr>
          <w:rFonts w:cstheme="minorHAnsi"/>
        </w:rPr>
        <w:t xml:space="preserve">offences suggests that police forces in England and Wales </w:t>
      </w:r>
      <w:r w:rsidR="00891830">
        <w:rPr>
          <w:rFonts w:cstheme="minorHAnsi"/>
        </w:rPr>
        <w:t xml:space="preserve">would </w:t>
      </w:r>
      <w:r w:rsidR="00B044E5" w:rsidRPr="00DA194D">
        <w:rPr>
          <w:rFonts w:cstheme="minorHAnsi"/>
        </w:rPr>
        <w:t xml:space="preserve">consider disclosing past offences which were not perpetrated against a subject’s </w:t>
      </w:r>
      <w:r w:rsidR="00D938EA">
        <w:rPr>
          <w:rFonts w:cstheme="minorHAnsi"/>
        </w:rPr>
        <w:t xml:space="preserve">partner or </w:t>
      </w:r>
      <w:r w:rsidR="00B044E5" w:rsidRPr="00DA194D">
        <w:rPr>
          <w:rFonts w:cstheme="minorHAnsi"/>
        </w:rPr>
        <w:t>ex-</w:t>
      </w:r>
      <w:r w:rsidR="00B044E5" w:rsidRPr="00DA194D">
        <w:rPr>
          <w:rFonts w:cstheme="minorHAnsi"/>
        </w:rPr>
        <w:lastRenderedPageBreak/>
        <w:t xml:space="preserve">partners, </w:t>
      </w:r>
      <w:r w:rsidR="00891830">
        <w:rPr>
          <w:rFonts w:cstheme="minorHAnsi"/>
        </w:rPr>
        <w:t>or</w:t>
      </w:r>
      <w:r w:rsidR="00B044E5" w:rsidRPr="00DA194D">
        <w:rPr>
          <w:rFonts w:cstheme="minorHAnsi"/>
        </w:rPr>
        <w:t xml:space="preserve"> their children. </w:t>
      </w:r>
      <w:r w:rsidR="002C66C5">
        <w:rPr>
          <w:rFonts w:cstheme="minorHAnsi"/>
        </w:rPr>
        <w:t>But w</w:t>
      </w:r>
      <w:r w:rsidR="00B044E5" w:rsidRPr="00DA194D">
        <w:rPr>
          <w:rFonts w:cstheme="minorHAnsi"/>
        </w:rPr>
        <w:t xml:space="preserve">ould, for example, a sexual offence perpetrated against a stranger be considered worthy of disclosure under the </w:t>
      </w:r>
      <w:r w:rsidR="00D938EA">
        <w:rPr>
          <w:rFonts w:cstheme="minorHAnsi"/>
        </w:rPr>
        <w:t xml:space="preserve">DSDAS </w:t>
      </w:r>
      <w:r w:rsidR="00B044E5" w:rsidRPr="00DA194D">
        <w:rPr>
          <w:rFonts w:cstheme="minorHAnsi"/>
        </w:rPr>
        <w:t xml:space="preserve">scheme as suggesting a general propensity towards sexual violence, or would disclosures be limited to </w:t>
      </w:r>
      <w:r w:rsidR="002B7260" w:rsidRPr="00DA194D">
        <w:rPr>
          <w:rFonts w:cstheme="minorHAnsi"/>
        </w:rPr>
        <w:t xml:space="preserve">sexual </w:t>
      </w:r>
      <w:r w:rsidR="00B044E5" w:rsidRPr="00DA194D">
        <w:rPr>
          <w:rFonts w:cstheme="minorHAnsi"/>
        </w:rPr>
        <w:t xml:space="preserve">crimes committed against </w:t>
      </w:r>
      <w:r w:rsidR="00D938EA">
        <w:rPr>
          <w:rFonts w:cstheme="minorHAnsi"/>
        </w:rPr>
        <w:t xml:space="preserve">current or </w:t>
      </w:r>
      <w:r w:rsidR="00494128">
        <w:rPr>
          <w:rFonts w:cstheme="minorHAnsi"/>
        </w:rPr>
        <w:t xml:space="preserve">former </w:t>
      </w:r>
      <w:r w:rsidR="00B044E5" w:rsidRPr="00DA194D">
        <w:rPr>
          <w:rFonts w:cstheme="minorHAnsi"/>
        </w:rPr>
        <w:t xml:space="preserve">domestic partners? </w:t>
      </w:r>
      <w:r w:rsidR="00643388">
        <w:rPr>
          <w:rFonts w:cstheme="minorHAnsi"/>
        </w:rPr>
        <w:t>The answer to this</w:t>
      </w:r>
      <w:r w:rsidR="00204477">
        <w:rPr>
          <w:rFonts w:cstheme="minorHAnsi"/>
        </w:rPr>
        <w:t xml:space="preserve"> </w:t>
      </w:r>
      <w:r w:rsidR="00643388">
        <w:rPr>
          <w:rFonts w:cstheme="minorHAnsi"/>
        </w:rPr>
        <w:t>question</w:t>
      </w:r>
      <w:r w:rsidR="00B044E5" w:rsidRPr="00DA194D">
        <w:rPr>
          <w:rFonts w:cstheme="minorHAnsi"/>
        </w:rPr>
        <w:t xml:space="preserve"> </w:t>
      </w:r>
      <w:r w:rsidR="00781CAF">
        <w:rPr>
          <w:rFonts w:cstheme="minorHAnsi"/>
        </w:rPr>
        <w:t xml:space="preserve">is elusive. </w:t>
      </w:r>
    </w:p>
    <w:p w14:paraId="132EB750" w14:textId="77777777" w:rsidR="00053E23" w:rsidRDefault="00053E23" w:rsidP="00425759">
      <w:pPr>
        <w:spacing w:line="360" w:lineRule="auto"/>
        <w:jc w:val="both"/>
        <w:rPr>
          <w:rFonts w:cstheme="minorHAnsi"/>
          <w:b/>
        </w:rPr>
      </w:pPr>
    </w:p>
    <w:p w14:paraId="30DDB577" w14:textId="28099891" w:rsidR="008E61BA" w:rsidRPr="00DA194D" w:rsidRDefault="008E61BA" w:rsidP="00C92ED7">
      <w:pPr>
        <w:pStyle w:val="Heading1"/>
      </w:pPr>
      <w:r w:rsidRPr="00DA194D">
        <w:t xml:space="preserve">What counts as a </w:t>
      </w:r>
      <w:r w:rsidR="007560F7">
        <w:t>“</w:t>
      </w:r>
      <w:r w:rsidRPr="00DA194D">
        <w:t>relationship</w:t>
      </w:r>
      <w:r w:rsidR="007560F7">
        <w:t>”</w:t>
      </w:r>
      <w:r w:rsidRPr="00DA194D">
        <w:t xml:space="preserve"> for the purposes of </w:t>
      </w:r>
      <w:r w:rsidR="00EC0F45">
        <w:t>DSDAS</w:t>
      </w:r>
      <w:r w:rsidRPr="00DA194D">
        <w:t>?</w:t>
      </w:r>
    </w:p>
    <w:p w14:paraId="709AE9DF" w14:textId="59915362" w:rsidR="00421642" w:rsidRPr="00DA194D" w:rsidRDefault="00C45769" w:rsidP="00425759">
      <w:pPr>
        <w:spacing w:line="360" w:lineRule="auto"/>
        <w:jc w:val="both"/>
        <w:rPr>
          <w:rFonts w:cstheme="minorHAnsi"/>
        </w:rPr>
      </w:pPr>
      <w:r>
        <w:rPr>
          <w:rFonts w:cstheme="minorHAnsi"/>
        </w:rPr>
        <w:t xml:space="preserve">Given </w:t>
      </w:r>
      <w:r w:rsidR="00172839">
        <w:rPr>
          <w:rFonts w:cstheme="minorHAnsi"/>
        </w:rPr>
        <w:t>the</w:t>
      </w:r>
      <w:r>
        <w:rPr>
          <w:rFonts w:cstheme="minorHAnsi"/>
        </w:rPr>
        <w:t xml:space="preserve"> legal and policy framework</w:t>
      </w:r>
      <w:r w:rsidR="00496525">
        <w:rPr>
          <w:rFonts w:cstheme="minorHAnsi"/>
        </w:rPr>
        <w:t>,</w:t>
      </w:r>
      <w:r w:rsidR="00245AA2">
        <w:rPr>
          <w:rFonts w:cstheme="minorHAnsi"/>
        </w:rPr>
        <w:t xml:space="preserve"> </w:t>
      </w:r>
      <w:r w:rsidR="003A57C0">
        <w:rPr>
          <w:rFonts w:cstheme="minorHAnsi"/>
        </w:rPr>
        <w:t>and working definitions of domestic abuse used by Police Scotland</w:t>
      </w:r>
      <w:r w:rsidR="00245AA2">
        <w:rPr>
          <w:rFonts w:cstheme="minorHAnsi"/>
        </w:rPr>
        <w:t xml:space="preserve"> </w:t>
      </w:r>
      <w:r w:rsidR="005C396A">
        <w:rPr>
          <w:rFonts w:cstheme="minorHAnsi"/>
        </w:rPr>
        <w:t xml:space="preserve">and Scottish prosecutors </w:t>
      </w:r>
      <w:r w:rsidR="00245AA2">
        <w:rPr>
          <w:rFonts w:cstheme="minorHAnsi"/>
        </w:rPr>
        <w:t>for other purposes</w:t>
      </w:r>
      <w:r w:rsidR="00496525">
        <w:rPr>
          <w:rFonts w:cstheme="minorHAnsi"/>
        </w:rPr>
        <w:t xml:space="preserve">, </w:t>
      </w:r>
      <w:r>
        <w:rPr>
          <w:rFonts w:cstheme="minorHAnsi"/>
        </w:rPr>
        <w:t xml:space="preserve">it </w:t>
      </w:r>
      <w:r w:rsidR="003A57C0">
        <w:rPr>
          <w:rFonts w:cstheme="minorHAnsi"/>
        </w:rPr>
        <w:t xml:space="preserve">might have been anticipated that disclosures </w:t>
      </w:r>
      <w:r w:rsidR="00D218A4">
        <w:rPr>
          <w:rFonts w:cstheme="minorHAnsi"/>
        </w:rPr>
        <w:t xml:space="preserve">under </w:t>
      </w:r>
      <w:r w:rsidR="003A57C0">
        <w:rPr>
          <w:rFonts w:cstheme="minorHAnsi"/>
        </w:rPr>
        <w:t>DSDAS</w:t>
      </w:r>
      <w:r w:rsidR="00D218A4">
        <w:rPr>
          <w:rFonts w:cstheme="minorHAnsi"/>
        </w:rPr>
        <w:t xml:space="preserve"> could be </w:t>
      </w:r>
      <w:r w:rsidR="00B51D95">
        <w:rPr>
          <w:rFonts w:cstheme="minorHAnsi"/>
        </w:rPr>
        <w:t xml:space="preserve">sought and </w:t>
      </w:r>
      <w:r w:rsidR="00D218A4">
        <w:rPr>
          <w:rFonts w:cstheme="minorHAnsi"/>
        </w:rPr>
        <w:t xml:space="preserve">made in respect </w:t>
      </w:r>
      <w:r w:rsidR="00696180">
        <w:rPr>
          <w:rFonts w:cstheme="minorHAnsi"/>
        </w:rPr>
        <w:t>of</w:t>
      </w:r>
      <w:r w:rsidR="00ED6671">
        <w:rPr>
          <w:rFonts w:cstheme="minorHAnsi"/>
        </w:rPr>
        <w:t xml:space="preserve"> </w:t>
      </w:r>
      <w:r w:rsidR="00D218A4">
        <w:rPr>
          <w:rFonts w:cstheme="minorHAnsi"/>
        </w:rPr>
        <w:t xml:space="preserve">current </w:t>
      </w:r>
      <w:r w:rsidR="00D218A4" w:rsidRPr="00245AA2">
        <w:rPr>
          <w:rFonts w:cstheme="minorHAnsi"/>
          <w:i/>
          <w:iCs/>
        </w:rPr>
        <w:t>o</w:t>
      </w:r>
      <w:r w:rsidR="00B51D95" w:rsidRPr="00245AA2">
        <w:rPr>
          <w:rFonts w:cstheme="minorHAnsi"/>
          <w:i/>
          <w:iCs/>
        </w:rPr>
        <w:t>r</w:t>
      </w:r>
      <w:r w:rsidR="00D218A4">
        <w:rPr>
          <w:rFonts w:cstheme="minorHAnsi"/>
        </w:rPr>
        <w:t xml:space="preserve"> ex</w:t>
      </w:r>
      <w:r w:rsidR="00F71837">
        <w:rPr>
          <w:rFonts w:cstheme="minorHAnsi"/>
        </w:rPr>
        <w:t xml:space="preserve"> “</w:t>
      </w:r>
      <w:r w:rsidR="00D218A4">
        <w:rPr>
          <w:rFonts w:cstheme="minorHAnsi"/>
        </w:rPr>
        <w:t>partner</w:t>
      </w:r>
      <w:r w:rsidR="007A11AC">
        <w:rPr>
          <w:rFonts w:cstheme="minorHAnsi"/>
        </w:rPr>
        <w:t>s</w:t>
      </w:r>
      <w:r w:rsidR="006347AB">
        <w:rPr>
          <w:rFonts w:cstheme="minorHAnsi"/>
        </w:rPr>
        <w:t>”</w:t>
      </w:r>
      <w:r w:rsidR="0010159D">
        <w:rPr>
          <w:rFonts w:cstheme="minorHAnsi"/>
        </w:rPr>
        <w:t xml:space="preserve">, </w:t>
      </w:r>
      <w:r w:rsidR="00F06BC1">
        <w:rPr>
          <w:rFonts w:cstheme="minorHAnsi"/>
        </w:rPr>
        <w:t xml:space="preserve">and </w:t>
      </w:r>
      <w:r w:rsidR="00D938EA">
        <w:rPr>
          <w:rFonts w:cstheme="minorHAnsi"/>
        </w:rPr>
        <w:t xml:space="preserve">of course </w:t>
      </w:r>
      <w:r w:rsidR="00D47309">
        <w:rPr>
          <w:rFonts w:cstheme="minorHAnsi"/>
        </w:rPr>
        <w:t xml:space="preserve">as with all disclosures, </w:t>
      </w:r>
      <w:r w:rsidR="00D938EA">
        <w:rPr>
          <w:rFonts w:cstheme="minorHAnsi"/>
        </w:rPr>
        <w:t xml:space="preserve">necessarily </w:t>
      </w:r>
      <w:r w:rsidR="0010159D">
        <w:rPr>
          <w:rFonts w:cstheme="minorHAnsi"/>
        </w:rPr>
        <w:t>taking into account th</w:t>
      </w:r>
      <w:r w:rsidR="00D938EA">
        <w:rPr>
          <w:rFonts w:cstheme="minorHAnsi"/>
        </w:rPr>
        <w:t>e</w:t>
      </w:r>
      <w:r w:rsidR="0010159D">
        <w:rPr>
          <w:rFonts w:cstheme="minorHAnsi"/>
        </w:rPr>
        <w:t xml:space="preserve"> risk factors at play in </w:t>
      </w:r>
      <w:r w:rsidR="00D938EA">
        <w:rPr>
          <w:rFonts w:cstheme="minorHAnsi"/>
        </w:rPr>
        <w:t>e</w:t>
      </w:r>
      <w:r w:rsidR="0010159D">
        <w:rPr>
          <w:rFonts w:cstheme="minorHAnsi"/>
        </w:rPr>
        <w:t>ach individual cas</w:t>
      </w:r>
      <w:r w:rsidR="00D938EA">
        <w:rPr>
          <w:rFonts w:cstheme="minorHAnsi"/>
        </w:rPr>
        <w:t>e</w:t>
      </w:r>
      <w:r w:rsidR="0010159D">
        <w:rPr>
          <w:rFonts w:cstheme="minorHAnsi"/>
        </w:rPr>
        <w:t>.</w:t>
      </w:r>
      <w:r w:rsidR="00D218A4">
        <w:rPr>
          <w:rFonts w:cstheme="minorHAnsi"/>
        </w:rPr>
        <w:t xml:space="preserve"> This is the approach taken by the DVDS in England and Wales</w:t>
      </w:r>
      <w:r w:rsidR="0010159D">
        <w:rPr>
          <w:rFonts w:cstheme="minorHAnsi"/>
        </w:rPr>
        <w:t xml:space="preserve"> </w:t>
      </w:r>
      <w:r w:rsidR="007A323D">
        <w:rPr>
          <w:rFonts w:cstheme="minorHAnsi"/>
        </w:rPr>
        <w:t xml:space="preserve">which </w:t>
      </w:r>
      <w:r w:rsidR="0010159D">
        <w:rPr>
          <w:rFonts w:cstheme="minorHAnsi"/>
        </w:rPr>
        <w:t>no</w:t>
      </w:r>
      <w:r w:rsidR="00D938EA">
        <w:rPr>
          <w:rFonts w:cstheme="minorHAnsi"/>
        </w:rPr>
        <w:t>w</w:t>
      </w:r>
      <w:r w:rsidR="0010159D">
        <w:rPr>
          <w:rFonts w:cstheme="minorHAnsi"/>
        </w:rPr>
        <w:t xml:space="preserve"> </w:t>
      </w:r>
      <w:r w:rsidR="007A323D">
        <w:rPr>
          <w:rFonts w:cstheme="minorHAnsi"/>
        </w:rPr>
        <w:t xml:space="preserve">permits disclosures to be made </w:t>
      </w:r>
      <w:r w:rsidR="00114983">
        <w:rPr>
          <w:rFonts w:cstheme="minorHAnsi"/>
        </w:rPr>
        <w:t>about ex-partners with abusive pasts</w:t>
      </w:r>
      <w:r w:rsidR="009662E7">
        <w:rPr>
          <w:rFonts w:cstheme="minorHAnsi"/>
        </w:rPr>
        <w:t xml:space="preserve">. The published guidance on the </w:t>
      </w:r>
      <w:r w:rsidR="00146028">
        <w:rPr>
          <w:rFonts w:cstheme="minorHAnsi"/>
        </w:rPr>
        <w:t xml:space="preserve">English </w:t>
      </w:r>
      <w:r w:rsidR="009662E7">
        <w:rPr>
          <w:rFonts w:cstheme="minorHAnsi"/>
        </w:rPr>
        <w:t>scheme stresses that it aims to</w:t>
      </w:r>
      <w:r w:rsidR="0045148D" w:rsidRPr="00DA194D">
        <w:rPr>
          <w:rFonts w:cstheme="minorHAnsi"/>
        </w:rPr>
        <w:t xml:space="preserve"> allow people </w:t>
      </w:r>
      <w:r w:rsidR="009662E7">
        <w:rPr>
          <w:rFonts w:cstheme="minorHAnsi"/>
        </w:rPr>
        <w:t xml:space="preserve">still </w:t>
      </w:r>
      <w:r w:rsidR="0045148D" w:rsidRPr="00DA194D">
        <w:rPr>
          <w:rFonts w:cstheme="minorHAnsi"/>
        </w:rPr>
        <w:t xml:space="preserve">in relationships with persons with </w:t>
      </w:r>
      <w:r w:rsidR="0044365F">
        <w:rPr>
          <w:rFonts w:cstheme="minorHAnsi"/>
        </w:rPr>
        <w:t xml:space="preserve">a </w:t>
      </w:r>
      <w:r w:rsidR="0045148D" w:rsidRPr="00DA194D">
        <w:rPr>
          <w:rFonts w:cstheme="minorHAnsi"/>
        </w:rPr>
        <w:t>history of violence or abuse “to make informed choices about continuing in that relationship</w:t>
      </w:r>
      <w:r w:rsidR="0044365F">
        <w:rPr>
          <w:rFonts w:cstheme="minorHAnsi"/>
        </w:rPr>
        <w:t>”</w:t>
      </w:r>
      <w:r w:rsidR="00FD52A6">
        <w:rPr>
          <w:rFonts w:cstheme="minorHAnsi"/>
        </w:rPr>
        <w:t>, while</w:t>
      </w:r>
      <w:r w:rsidR="0082754F">
        <w:rPr>
          <w:rFonts w:cstheme="minorHAnsi"/>
        </w:rPr>
        <w:t xml:space="preserve"> simultaneously</w:t>
      </w:r>
      <w:r w:rsidR="00FD52A6">
        <w:rPr>
          <w:rFonts w:cstheme="minorHAnsi"/>
        </w:rPr>
        <w:t xml:space="preserve"> allowing people who have broken up with a former partner to use the scheme to make </w:t>
      </w:r>
      <w:r w:rsidR="00B10F7B">
        <w:rPr>
          <w:rFonts w:cstheme="minorHAnsi"/>
        </w:rPr>
        <w:t>decisions</w:t>
      </w:r>
      <w:r w:rsidR="0045148D" w:rsidRPr="00DA194D">
        <w:rPr>
          <w:rFonts w:cstheme="minorHAnsi"/>
        </w:rPr>
        <w:t xml:space="preserve"> </w:t>
      </w:r>
      <w:r w:rsidR="00B10F7B">
        <w:rPr>
          <w:rFonts w:cstheme="minorHAnsi"/>
        </w:rPr>
        <w:t>“</w:t>
      </w:r>
      <w:r w:rsidR="0045148D" w:rsidRPr="00DA194D">
        <w:rPr>
          <w:rFonts w:cstheme="minorHAnsi"/>
        </w:rPr>
        <w:t>about their personal safety if no longer in the relationship” (Home Office 2013, para 12).</w:t>
      </w:r>
      <w:r w:rsidR="00354306">
        <w:rPr>
          <w:rFonts w:cstheme="minorHAnsi"/>
        </w:rPr>
        <w:t xml:space="preserve"> </w:t>
      </w:r>
      <w:r w:rsidR="00ED6671">
        <w:rPr>
          <w:rFonts w:cstheme="minorHAnsi"/>
        </w:rPr>
        <w:t xml:space="preserve"> </w:t>
      </w:r>
      <w:r w:rsidR="007A11AC">
        <w:rPr>
          <w:rFonts w:cstheme="minorHAnsi"/>
        </w:rPr>
        <w:t xml:space="preserve">The Scottish scheme, by contrast, </w:t>
      </w:r>
      <w:r w:rsidR="007B7E08">
        <w:rPr>
          <w:rFonts w:cstheme="minorHAnsi"/>
        </w:rPr>
        <w:t xml:space="preserve">does not appear to allow for </w:t>
      </w:r>
      <w:r w:rsidR="00390421">
        <w:rPr>
          <w:rFonts w:cstheme="minorHAnsi"/>
        </w:rPr>
        <w:t xml:space="preserve">police </w:t>
      </w:r>
      <w:r w:rsidR="007B7E08">
        <w:rPr>
          <w:rFonts w:cstheme="minorHAnsi"/>
        </w:rPr>
        <w:t xml:space="preserve">disclosures to applicants about </w:t>
      </w:r>
      <w:r w:rsidR="006F681D">
        <w:rPr>
          <w:rFonts w:cstheme="minorHAnsi"/>
        </w:rPr>
        <w:t xml:space="preserve">their </w:t>
      </w:r>
      <w:r w:rsidR="007B7E08">
        <w:rPr>
          <w:rFonts w:cstheme="minorHAnsi"/>
        </w:rPr>
        <w:t>ex-partners’ histories of abusive behaviour.</w:t>
      </w:r>
      <w:r w:rsidR="006E56BE">
        <w:rPr>
          <w:rFonts w:cstheme="minorHAnsi"/>
        </w:rPr>
        <w:t xml:space="preserve"> </w:t>
      </w:r>
      <w:r w:rsidR="00F90862">
        <w:rPr>
          <w:rFonts w:cstheme="minorHAnsi"/>
        </w:rPr>
        <w:t>The u</w:t>
      </w:r>
      <w:r w:rsidR="00BE4CEE">
        <w:rPr>
          <w:rFonts w:cstheme="minorHAnsi"/>
        </w:rPr>
        <w:t xml:space="preserve">npublished </w:t>
      </w:r>
      <w:r w:rsidR="006E56BE">
        <w:rPr>
          <w:rFonts w:cstheme="minorHAnsi"/>
        </w:rPr>
        <w:t>DSDAS</w:t>
      </w:r>
      <w:r w:rsidR="00421642" w:rsidRPr="00DA194D">
        <w:rPr>
          <w:rFonts w:cstheme="minorHAnsi"/>
        </w:rPr>
        <w:t xml:space="preserve"> </w:t>
      </w:r>
      <w:r w:rsidR="00910880">
        <w:rPr>
          <w:rFonts w:cstheme="minorHAnsi"/>
        </w:rPr>
        <w:t>guidance</w:t>
      </w:r>
      <w:r w:rsidR="00BE4CEE">
        <w:rPr>
          <w:rFonts w:cstheme="minorHAnsi"/>
        </w:rPr>
        <w:t xml:space="preserve"> </w:t>
      </w:r>
      <w:r w:rsidR="00421642" w:rsidRPr="00DA194D">
        <w:rPr>
          <w:rFonts w:cstheme="minorHAnsi"/>
        </w:rPr>
        <w:t>documen</w:t>
      </w:r>
      <w:r w:rsidR="00421642">
        <w:rPr>
          <w:rFonts w:cstheme="minorHAnsi"/>
        </w:rPr>
        <w:t>tation indicates “there can be</w:t>
      </w:r>
      <w:r w:rsidR="00421642" w:rsidRPr="00DA194D">
        <w:rPr>
          <w:rFonts w:cstheme="minorHAnsi"/>
        </w:rPr>
        <w:t xml:space="preserve"> variations in the reasons” why </w:t>
      </w:r>
      <w:r w:rsidR="006E56BE">
        <w:rPr>
          <w:rFonts w:cstheme="minorHAnsi"/>
        </w:rPr>
        <w:t>disclosures cannot be made</w:t>
      </w:r>
      <w:r w:rsidR="00DE0DA7">
        <w:rPr>
          <w:rFonts w:cstheme="minorHAnsi"/>
        </w:rPr>
        <w:t xml:space="preserve"> to applicants</w:t>
      </w:r>
      <w:r w:rsidR="00DD05C5">
        <w:rPr>
          <w:rFonts w:cstheme="minorHAnsi"/>
        </w:rPr>
        <w:t xml:space="preserve"> by officers</w:t>
      </w:r>
      <w:r w:rsidR="00421642" w:rsidRPr="00DA194D">
        <w:rPr>
          <w:rFonts w:cstheme="minorHAnsi"/>
        </w:rPr>
        <w:t xml:space="preserve">, but </w:t>
      </w:r>
      <w:r w:rsidR="00354306">
        <w:rPr>
          <w:rFonts w:cstheme="minorHAnsi"/>
        </w:rPr>
        <w:t>that:</w:t>
      </w:r>
    </w:p>
    <w:p w14:paraId="020B01E8" w14:textId="1B2BB1D8" w:rsidR="00421642" w:rsidRPr="00DA194D" w:rsidRDefault="00354306" w:rsidP="00425759">
      <w:pPr>
        <w:spacing w:line="360" w:lineRule="auto"/>
        <w:ind w:left="720"/>
        <w:jc w:val="both"/>
        <w:rPr>
          <w:rFonts w:cstheme="minorHAnsi"/>
        </w:rPr>
      </w:pPr>
      <w:r>
        <w:rPr>
          <w:rFonts w:cstheme="minorHAnsi"/>
        </w:rPr>
        <w:t xml:space="preserve">the </w:t>
      </w:r>
      <w:r w:rsidR="00421642" w:rsidRPr="00DA194D">
        <w:rPr>
          <w:rFonts w:cstheme="minorHAnsi"/>
        </w:rPr>
        <w:t xml:space="preserve">most common reasons for this may be where Person A </w:t>
      </w:r>
      <w:r w:rsidR="00913BFF">
        <w:rPr>
          <w:rFonts w:cstheme="minorHAnsi"/>
        </w:rPr>
        <w:t xml:space="preserve">[the applicant] </w:t>
      </w:r>
      <w:r w:rsidR="00421642" w:rsidRPr="00DA194D">
        <w:rPr>
          <w:rFonts w:cstheme="minorHAnsi"/>
        </w:rPr>
        <w:t xml:space="preserve">and Person B </w:t>
      </w:r>
      <w:r w:rsidR="00913BFF">
        <w:rPr>
          <w:rFonts w:cstheme="minorHAnsi"/>
        </w:rPr>
        <w:t xml:space="preserve">[the ex-partner] </w:t>
      </w:r>
      <w:r w:rsidR="00421642" w:rsidRPr="00DA194D">
        <w:rPr>
          <w:rFonts w:cstheme="minorHAnsi"/>
        </w:rPr>
        <w:t>are no longer found to be in a relationship, where the relationship is not a domestic relationship or when the applicant does not achieve verification</w:t>
      </w:r>
      <w:r w:rsidR="00E70817">
        <w:rPr>
          <w:rFonts w:cstheme="minorHAnsi"/>
        </w:rPr>
        <w:t>.</w:t>
      </w:r>
      <w:r w:rsidR="00421642" w:rsidRPr="00DA194D">
        <w:rPr>
          <w:rFonts w:cstheme="minorHAnsi"/>
        </w:rPr>
        <w:t xml:space="preserve"> (Police Scotland</w:t>
      </w:r>
      <w:r w:rsidR="00421642">
        <w:rPr>
          <w:rFonts w:cstheme="minorHAnsi"/>
        </w:rPr>
        <w:t xml:space="preserve"> 2021</w:t>
      </w:r>
      <w:r w:rsidR="00385245">
        <w:rPr>
          <w:rFonts w:cstheme="minorHAnsi"/>
        </w:rPr>
        <w:t>d</w:t>
      </w:r>
      <w:r w:rsidR="00421642" w:rsidRPr="00DA194D">
        <w:rPr>
          <w:rFonts w:cstheme="minorHAnsi"/>
        </w:rPr>
        <w:t>, 23)</w:t>
      </w:r>
    </w:p>
    <w:p w14:paraId="3ED29AFB" w14:textId="5E07200F" w:rsidR="00112FE4" w:rsidRDefault="00913BFF" w:rsidP="00425759">
      <w:pPr>
        <w:spacing w:line="360" w:lineRule="auto"/>
        <w:jc w:val="both"/>
        <w:rPr>
          <w:rFonts w:cstheme="minorHAnsi"/>
        </w:rPr>
      </w:pPr>
      <w:r>
        <w:rPr>
          <w:rFonts w:cstheme="minorHAnsi"/>
        </w:rPr>
        <w:t>This</w:t>
      </w:r>
      <w:r w:rsidR="004B31B4">
        <w:rPr>
          <w:rFonts w:cstheme="minorHAnsi"/>
        </w:rPr>
        <w:t xml:space="preserve"> approach</w:t>
      </w:r>
      <w:r>
        <w:rPr>
          <w:rFonts w:cstheme="minorHAnsi"/>
        </w:rPr>
        <w:t xml:space="preserve"> represents a </w:t>
      </w:r>
      <w:r w:rsidR="00D40B85">
        <w:rPr>
          <w:rFonts w:cstheme="minorHAnsi"/>
        </w:rPr>
        <w:t>significant</w:t>
      </w:r>
      <w:r>
        <w:rPr>
          <w:rFonts w:cstheme="minorHAnsi"/>
        </w:rPr>
        <w:t xml:space="preserve"> departure from the legal and policy consensus</w:t>
      </w:r>
      <w:r w:rsidR="0045148D">
        <w:rPr>
          <w:rFonts w:cstheme="minorHAnsi"/>
        </w:rPr>
        <w:t xml:space="preserve"> </w:t>
      </w:r>
      <w:r w:rsidR="00551212">
        <w:rPr>
          <w:rFonts w:cstheme="minorHAnsi"/>
        </w:rPr>
        <w:t xml:space="preserve">on the nature of domestic abuse </w:t>
      </w:r>
      <w:r w:rsidR="0045148D">
        <w:rPr>
          <w:rFonts w:cstheme="minorHAnsi"/>
        </w:rPr>
        <w:t>in Scotland</w:t>
      </w:r>
      <w:r w:rsidR="00551212">
        <w:rPr>
          <w:rFonts w:cstheme="minorHAnsi"/>
        </w:rPr>
        <w:t>, and understandings of the circumstances in which a criminal justice response to domestic abuse may be necessary.</w:t>
      </w:r>
      <w:r w:rsidR="0045148D">
        <w:rPr>
          <w:rFonts w:cstheme="minorHAnsi"/>
        </w:rPr>
        <w:t xml:space="preserve"> </w:t>
      </w:r>
      <w:r w:rsidR="00AE5BD1">
        <w:rPr>
          <w:rFonts w:cstheme="minorHAnsi"/>
        </w:rPr>
        <w:t>L</w:t>
      </w:r>
      <w:r w:rsidR="007A11AC" w:rsidRPr="00DA194D">
        <w:rPr>
          <w:rFonts w:cstheme="minorHAnsi"/>
        </w:rPr>
        <w:t xml:space="preserve">anguage </w:t>
      </w:r>
      <w:r w:rsidR="005A7F49">
        <w:rPr>
          <w:rFonts w:cstheme="minorHAnsi"/>
        </w:rPr>
        <w:t>used elsewhere in</w:t>
      </w:r>
      <w:r w:rsidR="007A11AC" w:rsidRPr="00DA194D">
        <w:rPr>
          <w:rFonts w:cstheme="minorHAnsi"/>
        </w:rPr>
        <w:t xml:space="preserve"> the disclosure scheme raises further questions about the </w:t>
      </w:r>
      <w:r w:rsidR="007A11AC" w:rsidRPr="00466722">
        <w:rPr>
          <w:rFonts w:cstheme="minorHAnsi"/>
          <w:i/>
          <w:iCs/>
        </w:rPr>
        <w:t>consistency</w:t>
      </w:r>
      <w:r w:rsidR="007A11AC" w:rsidRPr="00DA194D">
        <w:rPr>
          <w:rFonts w:cstheme="minorHAnsi"/>
        </w:rPr>
        <w:t xml:space="preserve"> of decision-making </w:t>
      </w:r>
      <w:r w:rsidR="007A11AC">
        <w:rPr>
          <w:rFonts w:cstheme="minorHAnsi"/>
        </w:rPr>
        <w:t>based on the applicant</w:t>
      </w:r>
      <w:r w:rsidR="00371C40">
        <w:rPr>
          <w:rFonts w:cstheme="minorHAnsi"/>
        </w:rPr>
        <w:t>’s relationship status</w:t>
      </w:r>
      <w:r w:rsidR="007A11AC" w:rsidRPr="00DA194D">
        <w:rPr>
          <w:rFonts w:cstheme="minorHAnsi"/>
        </w:rPr>
        <w:t>.</w:t>
      </w:r>
      <w:r w:rsidR="00466722">
        <w:rPr>
          <w:rFonts w:cstheme="minorHAnsi"/>
        </w:rPr>
        <w:t xml:space="preserve"> </w:t>
      </w:r>
      <w:r w:rsidR="007A11AC">
        <w:rPr>
          <w:rFonts w:cstheme="minorHAnsi"/>
        </w:rPr>
        <w:t xml:space="preserve"> </w:t>
      </w:r>
      <w:r w:rsidR="00421642" w:rsidRPr="00DA194D">
        <w:rPr>
          <w:rFonts w:cstheme="minorHAnsi"/>
        </w:rPr>
        <w:t xml:space="preserve">Elsewhere in the same document, the </w:t>
      </w:r>
      <w:r w:rsidR="003C1CAA">
        <w:rPr>
          <w:rFonts w:cstheme="minorHAnsi"/>
        </w:rPr>
        <w:t>g</w:t>
      </w:r>
      <w:r w:rsidR="00421642" w:rsidRPr="00DA194D">
        <w:rPr>
          <w:rFonts w:cstheme="minorHAnsi"/>
        </w:rPr>
        <w:t xml:space="preserve">uidance suggests </w:t>
      </w:r>
      <w:r w:rsidR="00466722">
        <w:rPr>
          <w:rFonts w:cstheme="minorHAnsi"/>
        </w:rPr>
        <w:t xml:space="preserve">officers </w:t>
      </w:r>
      <w:r w:rsidR="00466722" w:rsidRPr="0041207B">
        <w:rPr>
          <w:rFonts w:cstheme="minorHAnsi"/>
          <w:i/>
          <w:iCs/>
        </w:rPr>
        <w:t>can</w:t>
      </w:r>
      <w:r w:rsidR="00466722">
        <w:rPr>
          <w:rFonts w:cstheme="minorHAnsi"/>
        </w:rPr>
        <w:t xml:space="preserve"> </w:t>
      </w:r>
      <w:r w:rsidR="00421642" w:rsidRPr="00DA194D">
        <w:rPr>
          <w:rFonts w:cstheme="minorHAnsi"/>
        </w:rPr>
        <w:t>take into account whether “Person A is in or is likely to resume a relationship with Person B”</w:t>
      </w:r>
      <w:r w:rsidR="00C328AF">
        <w:rPr>
          <w:rFonts w:cstheme="minorHAnsi"/>
        </w:rPr>
        <w:t xml:space="preserve">, </w:t>
      </w:r>
      <w:r w:rsidR="00B928D6">
        <w:rPr>
          <w:rFonts w:cstheme="minorHAnsi"/>
        </w:rPr>
        <w:t>suggesting</w:t>
      </w:r>
      <w:r w:rsidR="00C328AF">
        <w:rPr>
          <w:rFonts w:cstheme="minorHAnsi"/>
        </w:rPr>
        <w:t xml:space="preserve"> – </w:t>
      </w:r>
      <w:r w:rsidR="002757AA">
        <w:rPr>
          <w:rFonts w:cstheme="minorHAnsi"/>
        </w:rPr>
        <w:t xml:space="preserve">at least </w:t>
      </w:r>
      <w:r w:rsidR="00B928D6">
        <w:rPr>
          <w:rFonts w:cstheme="minorHAnsi"/>
        </w:rPr>
        <w:t>in some circumstances</w:t>
      </w:r>
      <w:r w:rsidR="00397837">
        <w:rPr>
          <w:rFonts w:cstheme="minorHAnsi"/>
        </w:rPr>
        <w:t xml:space="preserve"> – that </w:t>
      </w:r>
      <w:r w:rsidR="00B928D6">
        <w:rPr>
          <w:rFonts w:cstheme="minorHAnsi"/>
        </w:rPr>
        <w:t xml:space="preserve">disclosures are </w:t>
      </w:r>
      <w:r w:rsidR="002757AA">
        <w:rPr>
          <w:rFonts w:cstheme="minorHAnsi"/>
        </w:rPr>
        <w:t xml:space="preserve">being </w:t>
      </w:r>
      <w:r w:rsidR="00B928D6">
        <w:rPr>
          <w:rFonts w:cstheme="minorHAnsi"/>
        </w:rPr>
        <w:t xml:space="preserve">made </w:t>
      </w:r>
      <w:r w:rsidR="00B928D6" w:rsidRPr="002757AA">
        <w:rPr>
          <w:rFonts w:cstheme="minorHAnsi"/>
          <w:i/>
          <w:iCs/>
        </w:rPr>
        <w:t>after</w:t>
      </w:r>
      <w:r w:rsidR="00B928D6">
        <w:rPr>
          <w:rFonts w:cstheme="minorHAnsi"/>
        </w:rPr>
        <w:t xml:space="preserve"> the end of a relationship</w:t>
      </w:r>
      <w:r w:rsidR="00E86666">
        <w:rPr>
          <w:rFonts w:cstheme="minorHAnsi"/>
        </w:rPr>
        <w:t xml:space="preserve">, while other applications are </w:t>
      </w:r>
      <w:r w:rsidR="009305DF">
        <w:rPr>
          <w:rFonts w:cstheme="minorHAnsi"/>
        </w:rPr>
        <w:t xml:space="preserve">being </w:t>
      </w:r>
      <w:r w:rsidR="00E86666">
        <w:rPr>
          <w:rFonts w:cstheme="minorHAnsi"/>
        </w:rPr>
        <w:t>effectively discontinued if it transpires the relationship has “ended”</w:t>
      </w:r>
      <w:r w:rsidR="00421642" w:rsidRPr="00DA194D">
        <w:rPr>
          <w:rFonts w:cstheme="minorHAnsi"/>
        </w:rPr>
        <w:t xml:space="preserve"> (Police Scotland</w:t>
      </w:r>
      <w:r w:rsidR="00421642">
        <w:rPr>
          <w:rFonts w:cstheme="minorHAnsi"/>
        </w:rPr>
        <w:t xml:space="preserve"> 2021</w:t>
      </w:r>
      <w:r w:rsidR="000B64D0">
        <w:rPr>
          <w:rFonts w:cstheme="minorHAnsi"/>
        </w:rPr>
        <w:t>d</w:t>
      </w:r>
      <w:r w:rsidR="00421642" w:rsidRPr="00DA194D">
        <w:rPr>
          <w:rFonts w:cstheme="minorHAnsi"/>
        </w:rPr>
        <w:t xml:space="preserve">, 20). From the </w:t>
      </w:r>
      <w:r w:rsidR="004B455E">
        <w:rPr>
          <w:rFonts w:cstheme="minorHAnsi"/>
        </w:rPr>
        <w:t xml:space="preserve">Police Scotland </w:t>
      </w:r>
      <w:r w:rsidR="00421642" w:rsidRPr="00DA194D">
        <w:rPr>
          <w:rFonts w:cstheme="minorHAnsi"/>
        </w:rPr>
        <w:t xml:space="preserve">guidance, it is not clear how officers determine </w:t>
      </w:r>
      <w:r w:rsidR="00421642" w:rsidRPr="00DA194D">
        <w:rPr>
          <w:rFonts w:cstheme="minorHAnsi"/>
        </w:rPr>
        <w:lastRenderedPageBreak/>
        <w:t>that a qualifying relationship has “ended</w:t>
      </w:r>
      <w:r w:rsidR="00B350BE">
        <w:rPr>
          <w:rFonts w:cstheme="minorHAnsi"/>
        </w:rPr>
        <w:t>”</w:t>
      </w:r>
      <w:r w:rsidR="00421642" w:rsidRPr="00DA194D">
        <w:rPr>
          <w:rFonts w:cstheme="minorHAnsi"/>
        </w:rPr>
        <w:t xml:space="preserve">, or how it is </w:t>
      </w:r>
      <w:r w:rsidR="00A8572E">
        <w:rPr>
          <w:rFonts w:cstheme="minorHAnsi"/>
        </w:rPr>
        <w:t>decided</w:t>
      </w:r>
      <w:r w:rsidR="00421642" w:rsidRPr="00DA194D">
        <w:rPr>
          <w:rFonts w:cstheme="minorHAnsi"/>
        </w:rPr>
        <w:t xml:space="preserve"> whether </w:t>
      </w:r>
      <w:r w:rsidR="00A8572E">
        <w:rPr>
          <w:rFonts w:cstheme="minorHAnsi"/>
        </w:rPr>
        <w:t xml:space="preserve">an applicant is </w:t>
      </w:r>
      <w:r w:rsidR="00421642" w:rsidRPr="00DA194D">
        <w:rPr>
          <w:rFonts w:cstheme="minorHAnsi"/>
        </w:rPr>
        <w:t xml:space="preserve">“likely” to resume contact. </w:t>
      </w:r>
    </w:p>
    <w:p w14:paraId="0E8EF6D5" w14:textId="11D92CCE" w:rsidR="00C34B2C" w:rsidRDefault="00501EAC" w:rsidP="00425759">
      <w:pPr>
        <w:spacing w:line="360" w:lineRule="auto"/>
        <w:jc w:val="both"/>
        <w:rPr>
          <w:rFonts w:cstheme="minorHAnsi"/>
        </w:rPr>
      </w:pPr>
      <w:r>
        <w:rPr>
          <w:rFonts w:cstheme="minorHAnsi"/>
        </w:rPr>
        <w:t>Considered in comparative perspective, o</w:t>
      </w:r>
      <w:r w:rsidRPr="00DA194D">
        <w:rPr>
          <w:rFonts w:cstheme="minorHAnsi"/>
        </w:rPr>
        <w:t xml:space="preserve">ne curiosity of the </w:t>
      </w:r>
      <w:r w:rsidR="00E51EDA">
        <w:rPr>
          <w:rFonts w:cstheme="minorHAnsi"/>
        </w:rPr>
        <w:t xml:space="preserve">DSDAS and the </w:t>
      </w:r>
      <w:r w:rsidRPr="00DA194D">
        <w:rPr>
          <w:rFonts w:cstheme="minorHAnsi"/>
        </w:rPr>
        <w:t>English and Welsh D</w:t>
      </w:r>
      <w:r w:rsidR="00E51EDA">
        <w:rPr>
          <w:rFonts w:cstheme="minorHAnsi"/>
        </w:rPr>
        <w:t>VDS</w:t>
      </w:r>
      <w:r w:rsidRPr="00DA194D">
        <w:rPr>
          <w:rFonts w:cstheme="minorHAnsi"/>
        </w:rPr>
        <w:t xml:space="preserve"> is that neither of these disclosure schemes </w:t>
      </w:r>
      <w:r>
        <w:rPr>
          <w:rFonts w:cstheme="minorHAnsi"/>
        </w:rPr>
        <w:t xml:space="preserve">neatly </w:t>
      </w:r>
      <w:r w:rsidRPr="00DA194D">
        <w:rPr>
          <w:rFonts w:cstheme="minorHAnsi"/>
        </w:rPr>
        <w:t>aligns with the law and policy definitions of domestic abuse or violence in either jurisdiction. Under English law until the Domestic Abuse Act 2021, conduct towards ex-partners could not be prosecuted as coercive and controlling behaviour unless the ex-partners continued to cohabit</w:t>
      </w:r>
      <w:r w:rsidR="00B64F94">
        <w:rPr>
          <w:rFonts w:cstheme="minorHAnsi"/>
        </w:rPr>
        <w:t>,</w:t>
      </w:r>
      <w:r w:rsidRPr="00DA194D">
        <w:rPr>
          <w:rFonts w:cstheme="minorHAnsi"/>
        </w:rPr>
        <w:t xml:space="preserve"> yet the Home Office’s DVDS guidance allows officers to make disclosures to applicants concerning ex-partners. While Scottish policy has recognised that domestic abuse can be perpetrated against current or ex-partners for over 20 years</w:t>
      </w:r>
      <w:r w:rsidR="00F83D4A">
        <w:rPr>
          <w:rFonts w:cstheme="minorHAnsi"/>
        </w:rPr>
        <w:t>,</w:t>
      </w:r>
      <w:r w:rsidRPr="00DA194D">
        <w:rPr>
          <w:rFonts w:cstheme="minorHAnsi"/>
        </w:rPr>
        <w:t xml:space="preserve"> Police Scotland’s </w:t>
      </w:r>
      <w:r>
        <w:rPr>
          <w:rFonts w:cstheme="minorHAnsi"/>
        </w:rPr>
        <w:t>DSDAS</w:t>
      </w:r>
      <w:r w:rsidRPr="00DA194D">
        <w:rPr>
          <w:rFonts w:cstheme="minorHAnsi"/>
        </w:rPr>
        <w:t xml:space="preserve"> scheme specifically </w:t>
      </w:r>
      <w:r>
        <w:rPr>
          <w:rFonts w:cstheme="minorHAnsi"/>
        </w:rPr>
        <w:t>stresses</w:t>
      </w:r>
      <w:r w:rsidRPr="00DA194D">
        <w:rPr>
          <w:rFonts w:cstheme="minorHAnsi"/>
        </w:rPr>
        <w:t xml:space="preserve"> that the end of the relationship, however determined, is treated as a basis to suspend consideration of whether or not a disclosure </w:t>
      </w:r>
      <w:r>
        <w:rPr>
          <w:rFonts w:cstheme="minorHAnsi"/>
        </w:rPr>
        <w:t>can be made</w:t>
      </w:r>
      <w:r w:rsidRPr="00DA194D">
        <w:rPr>
          <w:rFonts w:cstheme="minorHAnsi"/>
        </w:rPr>
        <w:t>.</w:t>
      </w:r>
      <w:r>
        <w:rPr>
          <w:rFonts w:cstheme="minorHAnsi"/>
        </w:rPr>
        <w:t xml:space="preserve"> </w:t>
      </w:r>
    </w:p>
    <w:p w14:paraId="018E2616" w14:textId="2CD15FC2" w:rsidR="00E86666" w:rsidRDefault="00501EAC" w:rsidP="00425759">
      <w:pPr>
        <w:spacing w:line="360" w:lineRule="auto"/>
        <w:jc w:val="both"/>
        <w:rPr>
          <w:rFonts w:cstheme="minorHAnsi"/>
        </w:rPr>
      </w:pPr>
      <w:r>
        <w:rPr>
          <w:rFonts w:cstheme="minorHAnsi"/>
        </w:rPr>
        <w:t>Because the DSDAS policy is not in the public domain, the scheme’s departure from the legal and policy consensus has not been previously identified, justified or explained by Police Scotland. However, t</w:t>
      </w:r>
      <w:r w:rsidRPr="00DA194D">
        <w:rPr>
          <w:rFonts w:cstheme="minorHAnsi"/>
        </w:rPr>
        <w:t xml:space="preserve">he policy choice to </w:t>
      </w:r>
      <w:r>
        <w:rPr>
          <w:rFonts w:cstheme="minorHAnsi"/>
        </w:rPr>
        <w:t>limit</w:t>
      </w:r>
      <w:r w:rsidRPr="00DA194D">
        <w:rPr>
          <w:rFonts w:cstheme="minorHAnsi"/>
        </w:rPr>
        <w:t xml:space="preserve"> the Scottish disclosure scheme in this </w:t>
      </w:r>
      <w:r>
        <w:rPr>
          <w:rFonts w:cstheme="minorHAnsi"/>
        </w:rPr>
        <w:t xml:space="preserve">way is </w:t>
      </w:r>
      <w:r w:rsidRPr="00DA194D">
        <w:rPr>
          <w:rFonts w:cstheme="minorHAnsi"/>
        </w:rPr>
        <w:t>problematic</w:t>
      </w:r>
      <w:r>
        <w:rPr>
          <w:rFonts w:cstheme="minorHAnsi"/>
        </w:rPr>
        <w:t>, not least because t</w:t>
      </w:r>
      <w:r w:rsidRPr="00DA194D">
        <w:rPr>
          <w:rFonts w:cstheme="minorHAnsi"/>
        </w:rPr>
        <w:t xml:space="preserve">he literature on domestic abuse indicates that the end of a relationship can be a significant risk factor in the escalation of domestic abuse </w:t>
      </w:r>
      <w:r>
        <w:rPr>
          <w:rFonts w:cstheme="minorHAnsi"/>
        </w:rPr>
        <w:t xml:space="preserve">and potential </w:t>
      </w:r>
      <w:r w:rsidRPr="00C323C5">
        <w:rPr>
          <w:rFonts w:cstheme="minorHAnsi"/>
        </w:rPr>
        <w:t>lethality (</w:t>
      </w:r>
      <w:r>
        <w:rPr>
          <w:rFonts w:cstheme="minorHAnsi"/>
        </w:rPr>
        <w:t>Campbell 1995; Campbell et al</w:t>
      </w:r>
      <w:r w:rsidR="007C4ED5">
        <w:rPr>
          <w:rFonts w:cstheme="minorHAnsi"/>
        </w:rPr>
        <w:t>.</w:t>
      </w:r>
      <w:r>
        <w:rPr>
          <w:rFonts w:cstheme="minorHAnsi"/>
        </w:rPr>
        <w:t xml:space="preserve"> 2003; </w:t>
      </w:r>
      <w:r w:rsidRPr="00C323C5">
        <w:rPr>
          <w:rFonts w:cstheme="minorHAnsi"/>
        </w:rPr>
        <w:t xml:space="preserve">Katz, </w:t>
      </w:r>
      <w:proofErr w:type="spellStart"/>
      <w:r w:rsidRPr="00C323C5">
        <w:rPr>
          <w:rFonts w:cstheme="minorHAnsi"/>
        </w:rPr>
        <w:t>Nikupeteri</w:t>
      </w:r>
      <w:proofErr w:type="spellEnd"/>
      <w:r w:rsidRPr="00C323C5">
        <w:rPr>
          <w:rFonts w:cstheme="minorHAnsi"/>
        </w:rPr>
        <w:t xml:space="preserve"> &amp; Laitinen 2020; Logan &amp; Walker 2004</w:t>
      </w:r>
      <w:r>
        <w:rPr>
          <w:rFonts w:cstheme="minorHAnsi"/>
        </w:rPr>
        <w:t>; McFarlane et al</w:t>
      </w:r>
      <w:r w:rsidR="007C4ED5">
        <w:rPr>
          <w:rFonts w:cstheme="minorHAnsi"/>
        </w:rPr>
        <w:t>.</w:t>
      </w:r>
      <w:r>
        <w:rPr>
          <w:rFonts w:cstheme="minorHAnsi"/>
        </w:rPr>
        <w:t xml:space="preserve"> 1999</w:t>
      </w:r>
      <w:r w:rsidRPr="00C323C5">
        <w:rPr>
          <w:rFonts w:cstheme="minorHAnsi"/>
        </w:rPr>
        <w:t>).</w:t>
      </w:r>
      <w:r w:rsidRPr="00DA194D">
        <w:rPr>
          <w:rFonts w:cstheme="minorHAnsi"/>
        </w:rPr>
        <w:t xml:space="preserve"> </w:t>
      </w:r>
    </w:p>
    <w:p w14:paraId="27815794" w14:textId="77777777" w:rsidR="00053E23" w:rsidRDefault="00053E23" w:rsidP="00425759">
      <w:pPr>
        <w:spacing w:line="360" w:lineRule="auto"/>
        <w:jc w:val="both"/>
        <w:rPr>
          <w:rFonts w:cstheme="minorHAnsi"/>
          <w:b/>
          <w:bCs/>
        </w:rPr>
      </w:pPr>
    </w:p>
    <w:p w14:paraId="625F2458" w14:textId="570CF78A" w:rsidR="00BC5CD2" w:rsidRPr="00BC5CD2" w:rsidRDefault="00BC5CD2" w:rsidP="007C4ED5">
      <w:pPr>
        <w:pStyle w:val="Heading1"/>
      </w:pPr>
      <w:r>
        <w:t>Who counts as a “partner”</w:t>
      </w:r>
      <w:r w:rsidR="00CC6AD4">
        <w:t xml:space="preserve"> for the purposes of DSDAS</w:t>
      </w:r>
      <w:r>
        <w:t>?</w:t>
      </w:r>
    </w:p>
    <w:p w14:paraId="414165BA" w14:textId="5315F41A" w:rsidR="00D95138" w:rsidRDefault="0098025D" w:rsidP="00425759">
      <w:pPr>
        <w:spacing w:line="360" w:lineRule="auto"/>
        <w:jc w:val="both"/>
        <w:rPr>
          <w:rFonts w:cstheme="minorHAnsi"/>
        </w:rPr>
      </w:pPr>
      <w:r>
        <w:rPr>
          <w:rFonts w:cstheme="minorHAnsi"/>
        </w:rPr>
        <w:t>Looking b</w:t>
      </w:r>
      <w:r w:rsidR="00604BE6">
        <w:rPr>
          <w:rFonts w:cstheme="minorHAnsi"/>
        </w:rPr>
        <w:t xml:space="preserve">eyond the inconsistencies identified between </w:t>
      </w:r>
      <w:r w:rsidR="005B0E33">
        <w:rPr>
          <w:rFonts w:cstheme="minorHAnsi"/>
        </w:rPr>
        <w:t xml:space="preserve">the </w:t>
      </w:r>
      <w:r w:rsidR="00604BE6">
        <w:rPr>
          <w:rFonts w:cstheme="minorHAnsi"/>
        </w:rPr>
        <w:t>DSDAS guidance and the prevailing policy frameworks, the guidance available to the public and police officers is</w:t>
      </w:r>
      <w:r w:rsidR="00393F6A">
        <w:rPr>
          <w:rFonts w:cstheme="minorHAnsi"/>
        </w:rPr>
        <w:t xml:space="preserve"> also</w:t>
      </w:r>
      <w:r w:rsidR="00604BE6">
        <w:rPr>
          <w:rFonts w:cstheme="minorHAnsi"/>
        </w:rPr>
        <w:t xml:space="preserve"> ambiguous </w:t>
      </w:r>
      <w:r w:rsidR="00492BD9">
        <w:rPr>
          <w:rFonts w:cstheme="minorHAnsi"/>
        </w:rPr>
        <w:t>regarding</w:t>
      </w:r>
      <w:r w:rsidR="00604BE6">
        <w:rPr>
          <w:rFonts w:cstheme="minorHAnsi"/>
        </w:rPr>
        <w:t xml:space="preserve"> its definition of </w:t>
      </w:r>
      <w:r w:rsidR="0054753E">
        <w:rPr>
          <w:rFonts w:cstheme="minorHAnsi"/>
        </w:rPr>
        <w:t>the concepts of “</w:t>
      </w:r>
      <w:r w:rsidR="00604BE6">
        <w:rPr>
          <w:rFonts w:cstheme="minorHAnsi"/>
        </w:rPr>
        <w:t>relationship</w:t>
      </w:r>
      <w:r w:rsidR="0054753E">
        <w:rPr>
          <w:rFonts w:cstheme="minorHAnsi"/>
        </w:rPr>
        <w:t>”</w:t>
      </w:r>
      <w:r w:rsidR="00604BE6">
        <w:rPr>
          <w:rFonts w:cstheme="minorHAnsi"/>
        </w:rPr>
        <w:t xml:space="preserve"> </w:t>
      </w:r>
      <w:r w:rsidR="0054753E">
        <w:rPr>
          <w:rFonts w:cstheme="minorHAnsi"/>
        </w:rPr>
        <w:t>and</w:t>
      </w:r>
      <w:r w:rsidR="00604BE6">
        <w:rPr>
          <w:rFonts w:cstheme="minorHAnsi"/>
        </w:rPr>
        <w:t xml:space="preserve"> </w:t>
      </w:r>
      <w:r w:rsidR="0054753E">
        <w:rPr>
          <w:rFonts w:cstheme="minorHAnsi"/>
        </w:rPr>
        <w:t>“</w:t>
      </w:r>
      <w:r w:rsidR="00604BE6">
        <w:rPr>
          <w:rFonts w:cstheme="minorHAnsi"/>
        </w:rPr>
        <w:t>partner</w:t>
      </w:r>
      <w:r w:rsidR="0054753E">
        <w:rPr>
          <w:rFonts w:cstheme="minorHAnsi"/>
        </w:rPr>
        <w:t>”</w:t>
      </w:r>
      <w:r w:rsidR="00604BE6">
        <w:rPr>
          <w:rFonts w:cstheme="minorHAnsi"/>
        </w:rPr>
        <w:t xml:space="preserve"> more generally. We </w:t>
      </w:r>
      <w:r w:rsidR="008275BB">
        <w:rPr>
          <w:rFonts w:cstheme="minorHAnsi"/>
        </w:rPr>
        <w:t>found</w:t>
      </w:r>
      <w:r w:rsidR="00604BE6">
        <w:rPr>
          <w:rFonts w:cstheme="minorHAnsi"/>
        </w:rPr>
        <w:t xml:space="preserve"> internal inconsistency both within and between documents produced by Police Scotland.</w:t>
      </w:r>
      <w:r w:rsidR="009E38E8">
        <w:rPr>
          <w:rFonts w:cstheme="minorHAnsi"/>
        </w:rPr>
        <w:t xml:space="preserve"> </w:t>
      </w:r>
      <w:r w:rsidR="006B29FA">
        <w:rPr>
          <w:rFonts w:cstheme="minorHAnsi"/>
        </w:rPr>
        <w:t>In the public facing guidance</w:t>
      </w:r>
      <w:r w:rsidR="00181F49">
        <w:rPr>
          <w:rFonts w:cstheme="minorHAnsi"/>
        </w:rPr>
        <w:t>,</w:t>
      </w:r>
      <w:r w:rsidR="006B29FA">
        <w:rPr>
          <w:rFonts w:cstheme="minorHAnsi"/>
        </w:rPr>
        <w:t xml:space="preserve"> for those wishing to ask about someone they are in a relationship with themselves, the predominant language used is “partner” (Police Scotland 2021d)</w:t>
      </w:r>
      <w:r w:rsidR="00A35D31">
        <w:rPr>
          <w:rFonts w:cstheme="minorHAnsi"/>
        </w:rPr>
        <w:t>.</w:t>
      </w:r>
      <w:r w:rsidR="006B29FA">
        <w:rPr>
          <w:rFonts w:cstheme="minorHAnsi"/>
        </w:rPr>
        <w:t xml:space="preserve"> </w:t>
      </w:r>
      <w:r w:rsidR="00A35D31">
        <w:rPr>
          <w:rFonts w:cstheme="minorHAnsi"/>
        </w:rPr>
        <w:t>I</w:t>
      </w:r>
      <w:r w:rsidR="006B29FA">
        <w:rPr>
          <w:rFonts w:cstheme="minorHAnsi"/>
        </w:rPr>
        <w:t xml:space="preserve">n the guidance for those asking on behalf of someone else </w:t>
      </w:r>
      <w:r w:rsidR="005421D9">
        <w:rPr>
          <w:rFonts w:cstheme="minorHAnsi"/>
        </w:rPr>
        <w:t>about whom they are concerned</w:t>
      </w:r>
      <w:r w:rsidR="00A35D31">
        <w:rPr>
          <w:rFonts w:cstheme="minorHAnsi"/>
        </w:rPr>
        <w:t>, however,</w:t>
      </w:r>
      <w:r w:rsidR="00181F49">
        <w:rPr>
          <w:rFonts w:cstheme="minorHAnsi"/>
        </w:rPr>
        <w:t xml:space="preserve"> </w:t>
      </w:r>
      <w:r w:rsidR="006B29FA">
        <w:rPr>
          <w:rFonts w:cstheme="minorHAnsi"/>
        </w:rPr>
        <w:t xml:space="preserve">the guidance </w:t>
      </w:r>
      <w:r w:rsidR="00644BF2">
        <w:rPr>
          <w:rFonts w:cstheme="minorHAnsi"/>
        </w:rPr>
        <w:t xml:space="preserve">initially </w:t>
      </w:r>
      <w:r w:rsidR="006B29FA">
        <w:rPr>
          <w:rFonts w:cstheme="minorHAnsi"/>
        </w:rPr>
        <w:t xml:space="preserve">refers to someone with whom they are “in a relationship” and later moves to “partner” (Police Scotland, 2021e). </w:t>
      </w:r>
      <w:r w:rsidR="00D95138">
        <w:rPr>
          <w:rFonts w:cstheme="minorHAnsi"/>
        </w:rPr>
        <w:t xml:space="preserve">It is not clear how these terms may be understood by the general </w:t>
      </w:r>
      <w:r w:rsidR="00C068F5">
        <w:rPr>
          <w:rFonts w:cstheme="minorHAnsi"/>
        </w:rPr>
        <w:t>public. “P</w:t>
      </w:r>
      <w:r w:rsidR="00D95138">
        <w:rPr>
          <w:rFonts w:cstheme="minorHAnsi"/>
        </w:rPr>
        <w:t>artner</w:t>
      </w:r>
      <w:r w:rsidR="00C068F5">
        <w:rPr>
          <w:rFonts w:cstheme="minorHAnsi"/>
        </w:rPr>
        <w:t>”</w:t>
      </w:r>
      <w:r w:rsidR="00D95138">
        <w:rPr>
          <w:rFonts w:cstheme="minorHAnsi"/>
        </w:rPr>
        <w:t xml:space="preserve"> may imply a more committed relationship and may not be the terminology used by those in more casual relationships. Irrespective of how terms may be variously understood, what is lacking is any operational definition of what constitutes a </w:t>
      </w:r>
      <w:r w:rsidR="00474F0F">
        <w:rPr>
          <w:rFonts w:cstheme="minorHAnsi"/>
        </w:rPr>
        <w:t>“</w:t>
      </w:r>
      <w:r w:rsidR="00D95138">
        <w:rPr>
          <w:rFonts w:cstheme="minorHAnsi"/>
        </w:rPr>
        <w:t>partner</w:t>
      </w:r>
      <w:r w:rsidR="00474F0F">
        <w:rPr>
          <w:rFonts w:cstheme="minorHAnsi"/>
        </w:rPr>
        <w:t>”</w:t>
      </w:r>
      <w:r w:rsidR="00D95138">
        <w:rPr>
          <w:rFonts w:cstheme="minorHAnsi"/>
        </w:rPr>
        <w:t xml:space="preserve"> or being </w:t>
      </w:r>
      <w:r w:rsidR="00474F0F">
        <w:rPr>
          <w:rFonts w:cstheme="minorHAnsi"/>
        </w:rPr>
        <w:t>“</w:t>
      </w:r>
      <w:r w:rsidR="00D95138">
        <w:rPr>
          <w:rFonts w:cstheme="minorHAnsi"/>
        </w:rPr>
        <w:t>in a relationship</w:t>
      </w:r>
      <w:r w:rsidR="00474F0F">
        <w:rPr>
          <w:rFonts w:cstheme="minorHAnsi"/>
        </w:rPr>
        <w:t>”</w:t>
      </w:r>
      <w:r w:rsidR="00D95138">
        <w:rPr>
          <w:rFonts w:cstheme="minorHAnsi"/>
        </w:rPr>
        <w:t xml:space="preserve"> in the context of the scheme. While it </w:t>
      </w:r>
      <w:r w:rsidR="005421D9">
        <w:rPr>
          <w:rFonts w:cstheme="minorHAnsi"/>
        </w:rPr>
        <w:t xml:space="preserve">is </w:t>
      </w:r>
      <w:r w:rsidR="00D95138">
        <w:rPr>
          <w:rFonts w:cstheme="minorHAnsi"/>
        </w:rPr>
        <w:t xml:space="preserve">clear from Police Scotland’s own guidance for officers, and information for the </w:t>
      </w:r>
      <w:r w:rsidR="00D95138">
        <w:rPr>
          <w:rFonts w:cstheme="minorHAnsi"/>
        </w:rPr>
        <w:lastRenderedPageBreak/>
        <w:t xml:space="preserve">public, that questions will be asked about the </w:t>
      </w:r>
      <w:r w:rsidR="005B50C1">
        <w:rPr>
          <w:rFonts w:cstheme="minorHAnsi"/>
        </w:rPr>
        <w:t>“</w:t>
      </w:r>
      <w:r w:rsidR="00D95138">
        <w:rPr>
          <w:rFonts w:cstheme="minorHAnsi"/>
        </w:rPr>
        <w:t>nature of the relationship</w:t>
      </w:r>
      <w:r w:rsidR="005B50C1">
        <w:rPr>
          <w:rFonts w:cstheme="minorHAnsi"/>
        </w:rPr>
        <w:t>”</w:t>
      </w:r>
      <w:r w:rsidR="00D95138">
        <w:rPr>
          <w:rFonts w:cstheme="minorHAnsi"/>
        </w:rPr>
        <w:t xml:space="preserve"> between the parties before proceeding with a DSDAS application, no information is provided about what would, or would not, be included in their definitions for the purpose of the scheme.</w:t>
      </w:r>
    </w:p>
    <w:p w14:paraId="0C8B6842" w14:textId="42F2FB81" w:rsidR="0078344F" w:rsidRDefault="00D95138" w:rsidP="00425759">
      <w:pPr>
        <w:spacing w:line="360" w:lineRule="auto"/>
        <w:jc w:val="both"/>
        <w:rPr>
          <w:rFonts w:cstheme="minorHAnsi"/>
        </w:rPr>
      </w:pPr>
      <w:r>
        <w:rPr>
          <w:rFonts w:cstheme="minorHAnsi"/>
        </w:rPr>
        <w:t>Empirical research on modern relationships reveals the wide range of forms these may take, and the variation in levels of emotional and physical intimacy</w:t>
      </w:r>
      <w:r w:rsidR="00772038">
        <w:rPr>
          <w:rFonts w:cstheme="minorHAnsi"/>
        </w:rPr>
        <w:t xml:space="preserve"> (Jamieson 1998</w:t>
      </w:r>
      <w:r w:rsidR="00E578B7">
        <w:rPr>
          <w:rFonts w:cstheme="minorHAnsi"/>
        </w:rPr>
        <w:t>)</w:t>
      </w:r>
      <w:r w:rsidR="0073637E">
        <w:rPr>
          <w:rFonts w:cstheme="minorHAnsi"/>
        </w:rPr>
        <w:t>,</w:t>
      </w:r>
      <w:r>
        <w:rPr>
          <w:rFonts w:cstheme="minorHAnsi"/>
        </w:rPr>
        <w:t xml:space="preserve"> physical contact or time spent together</w:t>
      </w:r>
      <w:r w:rsidR="00772038">
        <w:rPr>
          <w:rFonts w:cstheme="minorHAnsi"/>
        </w:rPr>
        <w:t xml:space="preserve"> (Holmes 2004)</w:t>
      </w:r>
      <w:r>
        <w:rPr>
          <w:rFonts w:cstheme="minorHAnsi"/>
        </w:rPr>
        <w:t xml:space="preserve">, and </w:t>
      </w:r>
      <w:r w:rsidR="00FE743D">
        <w:rPr>
          <w:rFonts w:cstheme="minorHAnsi"/>
        </w:rPr>
        <w:t>the temporal aspects of relationships (Yeo &amp; Fung 2018)</w:t>
      </w:r>
      <w:r w:rsidR="00196F97">
        <w:rPr>
          <w:rFonts w:cstheme="minorHAnsi"/>
        </w:rPr>
        <w:t xml:space="preserve">, as well as the fact </w:t>
      </w:r>
      <w:r w:rsidR="00EE0046">
        <w:rPr>
          <w:rFonts w:cstheme="minorHAnsi"/>
        </w:rPr>
        <w:t xml:space="preserve">that </w:t>
      </w:r>
      <w:r w:rsidR="00196F97">
        <w:rPr>
          <w:rFonts w:cstheme="minorHAnsi"/>
        </w:rPr>
        <w:t xml:space="preserve">many of these variations would not be considered a </w:t>
      </w:r>
      <w:r w:rsidR="004A5630">
        <w:rPr>
          <w:rFonts w:cstheme="minorHAnsi"/>
        </w:rPr>
        <w:t>“</w:t>
      </w:r>
      <w:r w:rsidR="00196F97">
        <w:rPr>
          <w:rFonts w:cstheme="minorHAnsi"/>
        </w:rPr>
        <w:t>partner</w:t>
      </w:r>
      <w:r w:rsidR="004A5630">
        <w:rPr>
          <w:rFonts w:cstheme="minorHAnsi"/>
        </w:rPr>
        <w:t>”</w:t>
      </w:r>
      <w:r w:rsidR="00196F97">
        <w:rPr>
          <w:rFonts w:cstheme="minorHAnsi"/>
        </w:rPr>
        <w:t xml:space="preserve"> (</w:t>
      </w:r>
      <w:proofErr w:type="spellStart"/>
      <w:r w:rsidR="00196F97">
        <w:rPr>
          <w:rFonts w:cstheme="minorHAnsi"/>
        </w:rPr>
        <w:t>Escourt</w:t>
      </w:r>
      <w:proofErr w:type="spellEnd"/>
      <w:r w:rsidR="001A62EF">
        <w:rPr>
          <w:rFonts w:cstheme="minorHAnsi"/>
        </w:rPr>
        <w:t xml:space="preserve"> et al</w:t>
      </w:r>
      <w:r w:rsidR="00EE0046">
        <w:rPr>
          <w:rFonts w:cstheme="minorHAnsi"/>
        </w:rPr>
        <w:t>.</w:t>
      </w:r>
      <w:r w:rsidR="00196F97">
        <w:rPr>
          <w:rFonts w:cstheme="minorHAnsi"/>
        </w:rPr>
        <w:t xml:space="preserve"> 2022). Knowing precisely when something becomes a relationship</w:t>
      </w:r>
      <w:r w:rsidR="00142841">
        <w:rPr>
          <w:rFonts w:cstheme="minorHAnsi"/>
        </w:rPr>
        <w:t xml:space="preserve"> –</w:t>
      </w:r>
      <w:r w:rsidR="00196F97">
        <w:rPr>
          <w:rFonts w:cstheme="minorHAnsi"/>
        </w:rPr>
        <w:t xml:space="preserve"> or someone becomes a partner</w:t>
      </w:r>
      <w:r w:rsidR="00142841">
        <w:rPr>
          <w:rFonts w:cstheme="minorHAnsi"/>
        </w:rPr>
        <w:t xml:space="preserve"> –</w:t>
      </w:r>
      <w:r w:rsidR="00196F97">
        <w:rPr>
          <w:rFonts w:cstheme="minorHAnsi"/>
        </w:rPr>
        <w:t xml:space="preserve"> may be difficult</w:t>
      </w:r>
      <w:r w:rsidR="00FE743D">
        <w:rPr>
          <w:rFonts w:cstheme="minorHAnsi"/>
        </w:rPr>
        <w:t xml:space="preserve">, and the language of </w:t>
      </w:r>
      <w:r w:rsidR="006C143E">
        <w:rPr>
          <w:rFonts w:cstheme="minorHAnsi"/>
        </w:rPr>
        <w:t>“</w:t>
      </w:r>
      <w:r w:rsidR="00FE743D">
        <w:rPr>
          <w:rFonts w:cstheme="minorHAnsi"/>
        </w:rPr>
        <w:t>partner</w:t>
      </w:r>
      <w:r w:rsidR="006C143E">
        <w:rPr>
          <w:rFonts w:cstheme="minorHAnsi"/>
        </w:rPr>
        <w:t>”</w:t>
      </w:r>
      <w:r w:rsidR="00FE743D">
        <w:rPr>
          <w:rFonts w:cstheme="minorHAnsi"/>
        </w:rPr>
        <w:t xml:space="preserve"> and </w:t>
      </w:r>
      <w:r w:rsidR="006C143E">
        <w:rPr>
          <w:rFonts w:cstheme="minorHAnsi"/>
        </w:rPr>
        <w:t>“</w:t>
      </w:r>
      <w:r w:rsidR="00FE743D">
        <w:rPr>
          <w:rFonts w:cstheme="minorHAnsi"/>
        </w:rPr>
        <w:t>relationship</w:t>
      </w:r>
      <w:r w:rsidR="006C143E">
        <w:rPr>
          <w:rFonts w:cstheme="minorHAnsi"/>
        </w:rPr>
        <w:t>”</w:t>
      </w:r>
      <w:r w:rsidR="00FE743D">
        <w:rPr>
          <w:rFonts w:cstheme="minorHAnsi"/>
        </w:rPr>
        <w:t xml:space="preserve"> may not speak to all generations and communities.</w:t>
      </w:r>
      <w:r w:rsidR="00196F97">
        <w:rPr>
          <w:rFonts w:cstheme="minorHAnsi"/>
        </w:rPr>
        <w:t xml:space="preserve"> It is not clear in the guidance for the public, or for officers, which of the</w:t>
      </w:r>
      <w:r w:rsidR="00FE743D">
        <w:rPr>
          <w:rFonts w:cstheme="minorHAnsi"/>
        </w:rPr>
        <w:t xml:space="preserve"> wide range of</w:t>
      </w:r>
      <w:r w:rsidR="00196F97">
        <w:rPr>
          <w:rFonts w:cstheme="minorHAnsi"/>
        </w:rPr>
        <w:t xml:space="preserve"> relationship variations would meet the threshold for DSDAS. </w:t>
      </w:r>
      <w:r w:rsidR="00772038">
        <w:rPr>
          <w:rFonts w:cstheme="minorHAnsi"/>
        </w:rPr>
        <w:t xml:space="preserve">For example, people increasingly meet online </w:t>
      </w:r>
      <w:r w:rsidR="00772038" w:rsidRPr="00772038">
        <w:rPr>
          <w:rFonts w:cstheme="minorHAnsi"/>
        </w:rPr>
        <w:t>(</w:t>
      </w:r>
      <w:proofErr w:type="spellStart"/>
      <w:r w:rsidR="00772038" w:rsidRPr="00772038">
        <w:rPr>
          <w:rFonts w:cstheme="minorHAnsi"/>
        </w:rPr>
        <w:t>Escourt</w:t>
      </w:r>
      <w:proofErr w:type="spellEnd"/>
      <w:r w:rsidR="00762878">
        <w:rPr>
          <w:rFonts w:cstheme="minorHAnsi"/>
        </w:rPr>
        <w:t xml:space="preserve"> et al</w:t>
      </w:r>
      <w:r w:rsidR="00E50EEF">
        <w:rPr>
          <w:rFonts w:cstheme="minorHAnsi"/>
        </w:rPr>
        <w:t>.</w:t>
      </w:r>
      <w:r w:rsidR="00772038" w:rsidRPr="00772038">
        <w:rPr>
          <w:rFonts w:cstheme="minorHAnsi"/>
        </w:rPr>
        <w:t xml:space="preserve"> 2022; Yeo &amp; Fung 2018)</w:t>
      </w:r>
      <w:r w:rsidR="00772038">
        <w:rPr>
          <w:rFonts w:cstheme="minorHAnsi"/>
        </w:rPr>
        <w:t xml:space="preserve"> but it is unclear to us whether two individuals who had met online, exchanged messages, but had not yet met in person would be considered </w:t>
      </w:r>
      <w:r w:rsidR="00832B24">
        <w:rPr>
          <w:rFonts w:cstheme="minorHAnsi"/>
        </w:rPr>
        <w:t>“</w:t>
      </w:r>
      <w:r w:rsidR="00772038">
        <w:rPr>
          <w:rFonts w:cstheme="minorHAnsi"/>
        </w:rPr>
        <w:t>partners</w:t>
      </w:r>
      <w:r w:rsidR="00832B24">
        <w:rPr>
          <w:rFonts w:cstheme="minorHAnsi"/>
        </w:rPr>
        <w:t>”</w:t>
      </w:r>
      <w:r w:rsidR="00772038">
        <w:rPr>
          <w:rFonts w:cstheme="minorHAnsi"/>
        </w:rPr>
        <w:t xml:space="preserve"> or </w:t>
      </w:r>
      <w:r w:rsidR="00832B24">
        <w:rPr>
          <w:rFonts w:cstheme="minorHAnsi"/>
        </w:rPr>
        <w:t>“</w:t>
      </w:r>
      <w:r w:rsidR="00772038">
        <w:rPr>
          <w:rFonts w:cstheme="minorHAnsi"/>
        </w:rPr>
        <w:t>in a relationship</w:t>
      </w:r>
      <w:r w:rsidR="00832B24">
        <w:rPr>
          <w:rFonts w:cstheme="minorHAnsi"/>
        </w:rPr>
        <w:t>”</w:t>
      </w:r>
      <w:r w:rsidR="00772038">
        <w:rPr>
          <w:rFonts w:cstheme="minorHAnsi"/>
        </w:rPr>
        <w:t xml:space="preserve"> for the purposes of the scheme.</w:t>
      </w:r>
      <w:r w:rsidR="00FE743D">
        <w:rPr>
          <w:rFonts w:cstheme="minorHAnsi"/>
        </w:rPr>
        <w:t xml:space="preserve"> </w:t>
      </w:r>
      <w:r w:rsidR="00806D82">
        <w:rPr>
          <w:rFonts w:cstheme="minorHAnsi"/>
        </w:rPr>
        <w:t xml:space="preserve">Further, modern relationships may take the form of </w:t>
      </w:r>
      <w:r w:rsidR="00A850AB">
        <w:rPr>
          <w:rFonts w:cstheme="minorHAnsi"/>
        </w:rPr>
        <w:t>“</w:t>
      </w:r>
      <w:r w:rsidR="00806D82">
        <w:rPr>
          <w:rFonts w:cstheme="minorHAnsi"/>
        </w:rPr>
        <w:t>friends with benefits</w:t>
      </w:r>
      <w:r w:rsidR="00A850AB">
        <w:rPr>
          <w:rFonts w:cstheme="minorHAnsi"/>
        </w:rPr>
        <w:t>”</w:t>
      </w:r>
      <w:r w:rsidR="00806D82">
        <w:rPr>
          <w:rFonts w:cstheme="minorHAnsi"/>
        </w:rPr>
        <w:t xml:space="preserve"> (</w:t>
      </w:r>
      <w:r w:rsidR="005C665F">
        <w:rPr>
          <w:rFonts w:cstheme="minorHAnsi"/>
        </w:rPr>
        <w:t>Furman &amp; Shaffer 2011</w:t>
      </w:r>
      <w:r w:rsidR="001663DA">
        <w:rPr>
          <w:rFonts w:cstheme="minorHAnsi"/>
        </w:rPr>
        <w:t xml:space="preserve">) or other casual sexual encounters, or there may be a developing emotional intimacy but without any physical or sexual intimacy. </w:t>
      </w:r>
      <w:r w:rsidR="00FE743D">
        <w:rPr>
          <w:rFonts w:cstheme="minorHAnsi"/>
        </w:rPr>
        <w:t>Nor</w:t>
      </w:r>
      <w:r w:rsidR="001663DA">
        <w:rPr>
          <w:rFonts w:cstheme="minorHAnsi"/>
        </w:rPr>
        <w:t xml:space="preserve"> from a temporal perspective</w:t>
      </w:r>
      <w:r w:rsidR="00FE743D">
        <w:rPr>
          <w:rFonts w:cstheme="minorHAnsi"/>
        </w:rPr>
        <w:t xml:space="preserve"> is it always clear when relationships formally begin or end</w:t>
      </w:r>
      <w:r w:rsidR="001663DA">
        <w:rPr>
          <w:rFonts w:cstheme="minorHAnsi"/>
        </w:rPr>
        <w:t xml:space="preserve"> as while time organises our social relationships and lives this may not be universally experienced (Zerubavel 1981)</w:t>
      </w:r>
      <w:r w:rsidR="00FE743D">
        <w:rPr>
          <w:rFonts w:cstheme="minorHAnsi"/>
        </w:rPr>
        <w:t>, and given that DSDAS</w:t>
      </w:r>
      <w:r w:rsidR="00E578B7">
        <w:rPr>
          <w:rFonts w:cstheme="minorHAnsi"/>
        </w:rPr>
        <w:t xml:space="preserve"> as it stands</w:t>
      </w:r>
      <w:r w:rsidR="00FE743D">
        <w:rPr>
          <w:rFonts w:cstheme="minorHAnsi"/>
        </w:rPr>
        <w:t xml:space="preserve"> is not a suitable route for potential or former partners, clarity is needed </w:t>
      </w:r>
      <w:r w:rsidR="00806D82">
        <w:rPr>
          <w:rFonts w:cstheme="minorHAnsi"/>
        </w:rPr>
        <w:t xml:space="preserve">in the public and police officer guidance </w:t>
      </w:r>
      <w:r w:rsidR="00FE743D">
        <w:rPr>
          <w:rFonts w:cstheme="minorHAnsi"/>
        </w:rPr>
        <w:t>on how these decisions are arrived at.</w:t>
      </w:r>
      <w:r w:rsidR="00E578B7">
        <w:rPr>
          <w:rFonts w:cstheme="minorHAnsi"/>
        </w:rPr>
        <w:t xml:space="preserve"> In Police Scotland’s guidance to </w:t>
      </w:r>
      <w:r w:rsidR="002B0A3C">
        <w:rPr>
          <w:rFonts w:cstheme="minorHAnsi"/>
        </w:rPr>
        <w:t>officers,</w:t>
      </w:r>
      <w:r w:rsidR="00E578B7">
        <w:rPr>
          <w:rFonts w:cstheme="minorHAnsi"/>
        </w:rPr>
        <w:t xml:space="preserve"> they indicate a reason to refuse a disclosure is that people are found not to be in a relationship, or that it is found not to be a </w:t>
      </w:r>
      <w:r w:rsidR="001F68DF">
        <w:rPr>
          <w:rFonts w:cstheme="minorHAnsi"/>
        </w:rPr>
        <w:t>“</w:t>
      </w:r>
      <w:r w:rsidR="00E578B7" w:rsidRPr="00E578B7">
        <w:rPr>
          <w:rFonts w:cstheme="minorHAnsi"/>
          <w:i/>
        </w:rPr>
        <w:t>domestic</w:t>
      </w:r>
      <w:r w:rsidR="00E578B7">
        <w:rPr>
          <w:rFonts w:cstheme="minorHAnsi"/>
        </w:rPr>
        <w:t xml:space="preserve"> relationship</w:t>
      </w:r>
      <w:r w:rsidR="001F68DF">
        <w:rPr>
          <w:rFonts w:cstheme="minorHAnsi"/>
        </w:rPr>
        <w:t>”</w:t>
      </w:r>
      <w:r w:rsidR="00E578B7">
        <w:rPr>
          <w:rFonts w:cstheme="minorHAnsi"/>
        </w:rPr>
        <w:t xml:space="preserve"> (Police Scotland 2021</w:t>
      </w:r>
      <w:r w:rsidR="00DA7104">
        <w:rPr>
          <w:rFonts w:cstheme="minorHAnsi"/>
        </w:rPr>
        <w:t>d</w:t>
      </w:r>
      <w:r w:rsidR="001F68DF">
        <w:rPr>
          <w:rFonts w:cstheme="minorHAnsi"/>
        </w:rPr>
        <w:t>,</w:t>
      </w:r>
      <w:r w:rsidR="00E578B7">
        <w:rPr>
          <w:rFonts w:cstheme="minorHAnsi"/>
        </w:rPr>
        <w:t xml:space="preserve"> 23). No definition of </w:t>
      </w:r>
      <w:r w:rsidR="001F68DF">
        <w:rPr>
          <w:rFonts w:cstheme="minorHAnsi"/>
        </w:rPr>
        <w:t>“</w:t>
      </w:r>
      <w:r w:rsidR="00E578B7">
        <w:rPr>
          <w:rFonts w:cstheme="minorHAnsi"/>
        </w:rPr>
        <w:t>domestic</w:t>
      </w:r>
      <w:r w:rsidR="001F68DF">
        <w:rPr>
          <w:rFonts w:cstheme="minorHAnsi"/>
        </w:rPr>
        <w:t>”</w:t>
      </w:r>
      <w:r w:rsidR="00E578B7">
        <w:rPr>
          <w:rFonts w:cstheme="minorHAnsi"/>
        </w:rPr>
        <w:t xml:space="preserve"> is offered here, so it is unclear what parameters are used in arriving at this decision.</w:t>
      </w:r>
    </w:p>
    <w:p w14:paraId="06CA32F8" w14:textId="02817540" w:rsidR="007560F7" w:rsidRDefault="00806D82" w:rsidP="00425759">
      <w:pPr>
        <w:spacing w:line="360" w:lineRule="auto"/>
        <w:jc w:val="both"/>
        <w:rPr>
          <w:rFonts w:cstheme="minorHAnsi"/>
        </w:rPr>
      </w:pPr>
      <w:r>
        <w:rPr>
          <w:rFonts w:cstheme="minorHAnsi"/>
        </w:rPr>
        <w:t>W</w:t>
      </w:r>
      <w:r w:rsidR="0078344F">
        <w:rPr>
          <w:rFonts w:cstheme="minorHAnsi"/>
        </w:rPr>
        <w:t xml:space="preserve">hile it is likely that Police Scotland officers approach decisions about what constitutes a relationship on a </w:t>
      </w:r>
      <w:r w:rsidR="002B0A3C">
        <w:rPr>
          <w:rFonts w:cstheme="minorHAnsi"/>
        </w:rPr>
        <w:t>case-by-case</w:t>
      </w:r>
      <w:r w:rsidR="0078344F">
        <w:rPr>
          <w:rFonts w:cstheme="minorHAnsi"/>
        </w:rPr>
        <w:t xml:space="preserve"> basis, w</w:t>
      </w:r>
      <w:r>
        <w:rPr>
          <w:rFonts w:cstheme="minorHAnsi"/>
        </w:rPr>
        <w:t xml:space="preserve">e suggest alterations to the </w:t>
      </w:r>
      <w:r w:rsidR="0078344F">
        <w:rPr>
          <w:rFonts w:cstheme="minorHAnsi"/>
        </w:rPr>
        <w:t xml:space="preserve">Scottish </w:t>
      </w:r>
      <w:r>
        <w:rPr>
          <w:rFonts w:cstheme="minorHAnsi"/>
        </w:rPr>
        <w:t xml:space="preserve">guidance are needed, </w:t>
      </w:r>
      <w:r w:rsidR="00992073">
        <w:rPr>
          <w:rFonts w:cstheme="minorHAnsi"/>
        </w:rPr>
        <w:t>to</w:t>
      </w:r>
      <w:r>
        <w:rPr>
          <w:rFonts w:cstheme="minorHAnsi"/>
        </w:rPr>
        <w:t xml:space="preserve"> take account of </w:t>
      </w:r>
      <w:r w:rsidR="00992073">
        <w:rPr>
          <w:rFonts w:cstheme="minorHAnsi"/>
        </w:rPr>
        <w:t xml:space="preserve">and reflect </w:t>
      </w:r>
      <w:r>
        <w:rPr>
          <w:rFonts w:cstheme="minorHAnsi"/>
        </w:rPr>
        <w:t xml:space="preserve">the </w:t>
      </w:r>
      <w:r w:rsidR="00E52AA3">
        <w:rPr>
          <w:rFonts w:cstheme="minorHAnsi"/>
        </w:rPr>
        <w:t>diversity</w:t>
      </w:r>
      <w:r>
        <w:rPr>
          <w:rFonts w:cstheme="minorHAnsi"/>
        </w:rPr>
        <w:t xml:space="preserve"> of modern relationships</w:t>
      </w:r>
      <w:r w:rsidR="00BA5C9F">
        <w:rPr>
          <w:rFonts w:cstheme="minorHAnsi"/>
        </w:rPr>
        <w:t xml:space="preserve"> and offer greater clarity</w:t>
      </w:r>
      <w:r>
        <w:rPr>
          <w:rFonts w:cstheme="minorHAnsi"/>
        </w:rPr>
        <w:t xml:space="preserve">. This could include a recognition that a </w:t>
      </w:r>
      <w:r w:rsidR="004D247B">
        <w:rPr>
          <w:rFonts w:cstheme="minorHAnsi"/>
        </w:rPr>
        <w:t>“</w:t>
      </w:r>
      <w:r>
        <w:rPr>
          <w:rFonts w:cstheme="minorHAnsi"/>
        </w:rPr>
        <w:t>partner</w:t>
      </w:r>
      <w:r w:rsidR="004D247B">
        <w:rPr>
          <w:rFonts w:cstheme="minorHAnsi"/>
        </w:rPr>
        <w:t>”</w:t>
      </w:r>
      <w:r>
        <w:rPr>
          <w:rFonts w:cstheme="minorHAnsi"/>
        </w:rPr>
        <w:t xml:space="preserve"> or </w:t>
      </w:r>
      <w:r w:rsidR="004D247B">
        <w:rPr>
          <w:rFonts w:cstheme="minorHAnsi"/>
        </w:rPr>
        <w:t>“</w:t>
      </w:r>
      <w:r>
        <w:rPr>
          <w:rFonts w:cstheme="minorHAnsi"/>
        </w:rPr>
        <w:t>relationship</w:t>
      </w:r>
      <w:r w:rsidR="004D247B">
        <w:rPr>
          <w:rFonts w:cstheme="minorHAnsi"/>
        </w:rPr>
        <w:t>”</w:t>
      </w:r>
      <w:r>
        <w:rPr>
          <w:rFonts w:cstheme="minorHAnsi"/>
        </w:rPr>
        <w:t xml:space="preserve"> may be committed or non-committed</w:t>
      </w:r>
      <w:r w:rsidR="001663DA">
        <w:rPr>
          <w:rFonts w:cstheme="minorHAnsi"/>
        </w:rPr>
        <w:t xml:space="preserve"> (</w:t>
      </w:r>
      <w:r w:rsidR="006F74B6">
        <w:rPr>
          <w:rFonts w:cstheme="minorHAnsi"/>
        </w:rPr>
        <w:t>Williams</w:t>
      </w:r>
      <w:r w:rsidR="001663DA">
        <w:rPr>
          <w:rFonts w:cstheme="minorHAnsi"/>
        </w:rPr>
        <w:t xml:space="preserve"> &amp; Adams 2013)</w:t>
      </w:r>
      <w:r>
        <w:rPr>
          <w:rFonts w:cstheme="minorHAnsi"/>
        </w:rPr>
        <w:t xml:space="preserve">, may or may not include sexual or physical intimacy, </w:t>
      </w:r>
      <w:r w:rsidR="001663DA">
        <w:rPr>
          <w:rFonts w:cstheme="minorHAnsi"/>
        </w:rPr>
        <w:t xml:space="preserve">and may have lasted a long or a short time, with an encouragement to contact Police Scotland for advice if a prospective applicant is unsure. </w:t>
      </w:r>
      <w:r w:rsidR="0078344F">
        <w:rPr>
          <w:rFonts w:cstheme="minorHAnsi"/>
        </w:rPr>
        <w:t>The most recent iteration of the English and Welsh DVDS guidance has sought to address the issue of how an “intimate personal” relationship is defined, and the guidance acknowledges that what constitutes an intimate personal relationship “will differ f</w:t>
      </w:r>
      <w:r w:rsidR="00DA4FA6">
        <w:rPr>
          <w:rFonts w:cstheme="minorHAnsi"/>
        </w:rPr>
        <w:t>ro</w:t>
      </w:r>
      <w:r w:rsidR="0078344F">
        <w:rPr>
          <w:rFonts w:cstheme="minorHAnsi"/>
        </w:rPr>
        <w:t>m case to case”</w:t>
      </w:r>
      <w:r w:rsidR="00DA4FA6">
        <w:rPr>
          <w:rFonts w:cstheme="minorHAnsi"/>
        </w:rPr>
        <w:t>,</w:t>
      </w:r>
      <w:r w:rsidR="0078344F">
        <w:rPr>
          <w:rFonts w:cstheme="minorHAnsi"/>
        </w:rPr>
        <w:t xml:space="preserve"> acknowledging it may or </w:t>
      </w:r>
      <w:r w:rsidR="0078344F">
        <w:rPr>
          <w:rFonts w:cstheme="minorHAnsi"/>
        </w:rPr>
        <w:lastRenderedPageBreak/>
        <w:t xml:space="preserve">may not </w:t>
      </w:r>
      <w:r w:rsidR="00BA5C9F">
        <w:rPr>
          <w:rFonts w:cstheme="minorHAnsi"/>
        </w:rPr>
        <w:t>include physical/sexual intimacy, and/or emotional intimacy</w:t>
      </w:r>
      <w:r w:rsidR="0078344F">
        <w:rPr>
          <w:rFonts w:cstheme="minorHAnsi"/>
        </w:rPr>
        <w:t xml:space="preserve"> (Home Office 2023</w:t>
      </w:r>
      <w:r w:rsidR="00DA4FA6">
        <w:rPr>
          <w:rFonts w:cstheme="minorHAnsi"/>
        </w:rPr>
        <w:t>,</w:t>
      </w:r>
      <w:r w:rsidR="0078344F">
        <w:rPr>
          <w:rFonts w:cstheme="minorHAnsi"/>
        </w:rPr>
        <w:t xml:space="preserve"> 6).  As it stands, i</w:t>
      </w:r>
      <w:r w:rsidR="001663DA">
        <w:rPr>
          <w:rFonts w:cstheme="minorHAnsi"/>
        </w:rPr>
        <w:t xml:space="preserve">t is unclear from Police Scotland’s guidance what operational definition they are using for </w:t>
      </w:r>
      <w:r w:rsidR="00362419">
        <w:rPr>
          <w:rFonts w:cstheme="minorHAnsi"/>
        </w:rPr>
        <w:t>“</w:t>
      </w:r>
      <w:r w:rsidR="001663DA">
        <w:rPr>
          <w:rFonts w:cstheme="minorHAnsi"/>
        </w:rPr>
        <w:t>partner</w:t>
      </w:r>
      <w:r w:rsidR="00362419">
        <w:rPr>
          <w:rFonts w:cstheme="minorHAnsi"/>
        </w:rPr>
        <w:t>”</w:t>
      </w:r>
      <w:r w:rsidR="00E578B7">
        <w:rPr>
          <w:rFonts w:cstheme="minorHAnsi"/>
        </w:rPr>
        <w:t>,</w:t>
      </w:r>
      <w:r w:rsidR="001663DA">
        <w:rPr>
          <w:rFonts w:cstheme="minorHAnsi"/>
        </w:rPr>
        <w:t xml:space="preserve"> </w:t>
      </w:r>
      <w:r w:rsidR="00362419">
        <w:rPr>
          <w:rFonts w:cstheme="minorHAnsi"/>
        </w:rPr>
        <w:t>“</w:t>
      </w:r>
      <w:r w:rsidR="001663DA">
        <w:rPr>
          <w:rFonts w:cstheme="minorHAnsi"/>
        </w:rPr>
        <w:t>relationship</w:t>
      </w:r>
      <w:r w:rsidR="00362419">
        <w:rPr>
          <w:rFonts w:cstheme="minorHAnsi"/>
        </w:rPr>
        <w:t>”</w:t>
      </w:r>
      <w:r w:rsidR="00E578B7">
        <w:rPr>
          <w:rFonts w:cstheme="minorHAnsi"/>
        </w:rPr>
        <w:t xml:space="preserve"> and </w:t>
      </w:r>
      <w:r w:rsidR="00362419">
        <w:rPr>
          <w:rFonts w:cstheme="minorHAnsi"/>
        </w:rPr>
        <w:t>“</w:t>
      </w:r>
      <w:r w:rsidR="00E578B7">
        <w:rPr>
          <w:rFonts w:cstheme="minorHAnsi"/>
        </w:rPr>
        <w:t>domestic</w:t>
      </w:r>
      <w:r w:rsidR="00362419">
        <w:rPr>
          <w:rFonts w:cstheme="minorHAnsi"/>
        </w:rPr>
        <w:t>”</w:t>
      </w:r>
      <w:r w:rsidR="001663DA">
        <w:rPr>
          <w:rFonts w:cstheme="minorHAnsi"/>
        </w:rPr>
        <w:t xml:space="preserve">, and </w:t>
      </w:r>
      <w:r w:rsidR="00BA5C9F">
        <w:rPr>
          <w:rFonts w:cstheme="minorHAnsi"/>
        </w:rPr>
        <w:t xml:space="preserve">importantly, </w:t>
      </w:r>
      <w:r w:rsidR="001663DA">
        <w:rPr>
          <w:rFonts w:cstheme="minorHAnsi"/>
        </w:rPr>
        <w:t xml:space="preserve">while it is clear this is something discussed with applicants during the process, the absence of a definition opens up the possibility of variable practice in whether disclosures are proceeded with. </w:t>
      </w:r>
      <w:r w:rsidR="00E578B7">
        <w:rPr>
          <w:rFonts w:cstheme="minorHAnsi"/>
        </w:rPr>
        <w:t>We also contend that the inclusion of former partners should be considered by Police Scotland</w:t>
      </w:r>
      <w:r w:rsidR="00A70D5C">
        <w:rPr>
          <w:rFonts w:cstheme="minorHAnsi"/>
        </w:rPr>
        <w:t xml:space="preserve"> </w:t>
      </w:r>
      <w:r w:rsidR="00E578B7">
        <w:rPr>
          <w:rFonts w:cstheme="minorHAnsi"/>
        </w:rPr>
        <w:t>given the disjuncture with domestic abuse policy and law in Scotland and that domestic abuse often escalates, and chances of lethality increase, when a relationship ends</w:t>
      </w:r>
      <w:r w:rsidR="00EE0296">
        <w:rPr>
          <w:rFonts w:cstheme="minorHAnsi"/>
        </w:rPr>
        <w:t xml:space="preserve">. </w:t>
      </w:r>
    </w:p>
    <w:p w14:paraId="67FC59C6" w14:textId="77777777" w:rsidR="00053E23" w:rsidRDefault="00053E23" w:rsidP="00425759">
      <w:pPr>
        <w:spacing w:line="360" w:lineRule="auto"/>
        <w:jc w:val="both"/>
        <w:rPr>
          <w:rFonts w:cstheme="minorHAnsi"/>
          <w:b/>
        </w:rPr>
      </w:pPr>
    </w:p>
    <w:p w14:paraId="6CFB0FE7" w14:textId="35AA794D" w:rsidR="008E61BA" w:rsidRPr="00DA194D" w:rsidRDefault="008E61BA" w:rsidP="00714BCE">
      <w:pPr>
        <w:pStyle w:val="Heading1"/>
      </w:pPr>
      <w:r w:rsidRPr="00DA194D">
        <w:t>Conclusion</w:t>
      </w:r>
    </w:p>
    <w:p w14:paraId="5E4D48D6" w14:textId="28B4A785" w:rsidR="00CD5398" w:rsidRDefault="0086003C" w:rsidP="00425759">
      <w:pPr>
        <w:spacing w:line="360" w:lineRule="auto"/>
        <w:jc w:val="both"/>
        <w:rPr>
          <w:rFonts w:cstheme="minorHAnsi"/>
        </w:rPr>
      </w:pPr>
      <w:r>
        <w:rPr>
          <w:rFonts w:cstheme="minorHAnsi"/>
        </w:rPr>
        <w:t>Our analysis of the</w:t>
      </w:r>
      <w:r w:rsidR="005B0E33">
        <w:rPr>
          <w:rFonts w:cstheme="minorHAnsi"/>
        </w:rPr>
        <w:t xml:space="preserve"> Scottish Domestic Abuse Disclosure</w:t>
      </w:r>
      <w:r>
        <w:rPr>
          <w:rFonts w:cstheme="minorHAnsi"/>
        </w:rPr>
        <w:t xml:space="preserve"> scheme reveals a</w:t>
      </w:r>
      <w:r w:rsidR="00A378A2">
        <w:rPr>
          <w:rFonts w:cstheme="minorHAnsi"/>
        </w:rPr>
        <w:t xml:space="preserve"> </w:t>
      </w:r>
      <w:r w:rsidR="0010159D">
        <w:rPr>
          <w:rFonts w:cstheme="minorHAnsi"/>
        </w:rPr>
        <w:t>d</w:t>
      </w:r>
      <w:r w:rsidR="00BB76F0">
        <w:rPr>
          <w:rFonts w:cstheme="minorHAnsi"/>
        </w:rPr>
        <w:t>egree</w:t>
      </w:r>
      <w:r w:rsidR="0010159D">
        <w:rPr>
          <w:rFonts w:cstheme="minorHAnsi"/>
        </w:rPr>
        <w:t xml:space="preserve"> of</w:t>
      </w:r>
      <w:r>
        <w:rPr>
          <w:rFonts w:cstheme="minorHAnsi"/>
        </w:rPr>
        <w:t xml:space="preserve"> u</w:t>
      </w:r>
      <w:r w:rsidR="008E61BA" w:rsidRPr="00DA194D">
        <w:rPr>
          <w:rFonts w:cstheme="minorHAnsi"/>
        </w:rPr>
        <w:t xml:space="preserve">nder-regulation of concepts running through the </w:t>
      </w:r>
      <w:r>
        <w:rPr>
          <w:rFonts w:cstheme="minorHAnsi"/>
        </w:rPr>
        <w:t>public-facing information and the guidance for Police Scotland staff and officers</w:t>
      </w:r>
      <w:r w:rsidR="008B23B9">
        <w:rPr>
          <w:rFonts w:cstheme="minorHAnsi"/>
        </w:rPr>
        <w:t xml:space="preserve">. This under-regulation </w:t>
      </w:r>
      <w:r>
        <w:rPr>
          <w:rFonts w:cstheme="minorHAnsi"/>
        </w:rPr>
        <w:t xml:space="preserve">has the potential to </w:t>
      </w:r>
      <w:r w:rsidR="008E61BA" w:rsidRPr="00DA194D">
        <w:rPr>
          <w:rFonts w:cstheme="minorHAnsi"/>
        </w:rPr>
        <w:t>create inconsistency</w:t>
      </w:r>
      <w:r>
        <w:rPr>
          <w:rFonts w:cstheme="minorHAnsi"/>
        </w:rPr>
        <w:t xml:space="preserve"> and confusion</w:t>
      </w:r>
      <w:r w:rsidR="008E61BA" w:rsidRPr="00DA194D">
        <w:rPr>
          <w:rFonts w:cstheme="minorHAnsi"/>
        </w:rPr>
        <w:t xml:space="preserve"> both</w:t>
      </w:r>
      <w:r w:rsidR="005C665F">
        <w:rPr>
          <w:rFonts w:cstheme="minorHAnsi"/>
        </w:rPr>
        <w:t xml:space="preserve"> </w:t>
      </w:r>
      <w:r w:rsidR="008E61BA" w:rsidRPr="00DA194D">
        <w:rPr>
          <w:rFonts w:cstheme="minorHAnsi"/>
        </w:rPr>
        <w:t xml:space="preserve">for those administering </w:t>
      </w:r>
      <w:r>
        <w:rPr>
          <w:rFonts w:cstheme="minorHAnsi"/>
        </w:rPr>
        <w:t>the scheme,</w:t>
      </w:r>
      <w:r w:rsidR="008E61BA" w:rsidRPr="00DA194D">
        <w:rPr>
          <w:rFonts w:cstheme="minorHAnsi"/>
        </w:rPr>
        <w:t xml:space="preserve"> and those re</w:t>
      </w:r>
      <w:r>
        <w:rPr>
          <w:rFonts w:cstheme="minorHAnsi"/>
        </w:rPr>
        <w:t>questing or receiving a disclosure</w:t>
      </w:r>
      <w:r w:rsidR="00716ED4">
        <w:rPr>
          <w:rFonts w:cstheme="minorHAnsi"/>
        </w:rPr>
        <w:t xml:space="preserve"> under it</w:t>
      </w:r>
      <w:r w:rsidR="008E61BA" w:rsidRPr="00DA194D">
        <w:rPr>
          <w:rFonts w:cstheme="minorHAnsi"/>
        </w:rPr>
        <w:t xml:space="preserve">. </w:t>
      </w:r>
    </w:p>
    <w:p w14:paraId="408F677E" w14:textId="50959A96" w:rsidR="00BF6E82" w:rsidRDefault="0086003C" w:rsidP="00425759">
      <w:pPr>
        <w:spacing w:line="360" w:lineRule="auto"/>
        <w:jc w:val="both"/>
        <w:rPr>
          <w:rFonts w:cstheme="minorHAnsi"/>
        </w:rPr>
      </w:pPr>
      <w:r>
        <w:rPr>
          <w:rFonts w:cstheme="minorHAnsi"/>
        </w:rPr>
        <w:t>As researchers we have questioned whether members of the public considering a disclosure application would be reassured by the information available to them</w:t>
      </w:r>
      <w:r w:rsidR="00CD5398">
        <w:rPr>
          <w:rFonts w:cstheme="minorHAnsi"/>
        </w:rPr>
        <w:t>. A</w:t>
      </w:r>
      <w:r>
        <w:rPr>
          <w:rFonts w:cstheme="minorHAnsi"/>
        </w:rPr>
        <w:t xml:space="preserve">s it </w:t>
      </w:r>
      <w:r w:rsidR="00D36036">
        <w:rPr>
          <w:rFonts w:cstheme="minorHAnsi"/>
        </w:rPr>
        <w:t>stands,</w:t>
      </w:r>
      <w:r>
        <w:rPr>
          <w:rFonts w:cstheme="minorHAnsi"/>
        </w:rPr>
        <w:t xml:space="preserve"> we </w:t>
      </w:r>
      <w:r w:rsidR="00A70D5C">
        <w:rPr>
          <w:rFonts w:cstheme="minorHAnsi"/>
        </w:rPr>
        <w:t>suggest</w:t>
      </w:r>
      <w:r>
        <w:rPr>
          <w:rFonts w:cstheme="minorHAnsi"/>
        </w:rPr>
        <w:t xml:space="preserve"> there is </w:t>
      </w:r>
      <w:r w:rsidR="00A70D5C">
        <w:rPr>
          <w:rFonts w:cstheme="minorHAnsi"/>
        </w:rPr>
        <w:t>scope</w:t>
      </w:r>
      <w:r>
        <w:rPr>
          <w:rFonts w:cstheme="minorHAnsi"/>
        </w:rPr>
        <w:t xml:space="preserve"> for improvement</w:t>
      </w:r>
      <w:r w:rsidR="00925AAD">
        <w:rPr>
          <w:rFonts w:cstheme="minorHAnsi"/>
        </w:rPr>
        <w:t xml:space="preserve">. </w:t>
      </w:r>
      <w:r w:rsidR="00C74AAD">
        <w:rPr>
          <w:rFonts w:cstheme="minorHAnsi"/>
        </w:rPr>
        <w:t xml:space="preserve">We have identified </w:t>
      </w:r>
      <w:r w:rsidR="00D360FC">
        <w:rPr>
          <w:rFonts w:cstheme="minorHAnsi"/>
        </w:rPr>
        <w:t>significant</w:t>
      </w:r>
      <w:r w:rsidR="00C74AAD">
        <w:rPr>
          <w:rFonts w:cstheme="minorHAnsi"/>
        </w:rPr>
        <w:t xml:space="preserve"> ambiguities in Police Scotland’s understanding of the legal basis for the DSDAS scheme, </w:t>
      </w:r>
      <w:r w:rsidR="00893BB3">
        <w:rPr>
          <w:rFonts w:cstheme="minorHAnsi"/>
        </w:rPr>
        <w:t xml:space="preserve">and </w:t>
      </w:r>
      <w:r w:rsidR="00C74AAD">
        <w:rPr>
          <w:rFonts w:cstheme="minorHAnsi"/>
        </w:rPr>
        <w:t>a lack of tr</w:t>
      </w:r>
      <w:r w:rsidR="00893BB3">
        <w:rPr>
          <w:rFonts w:cstheme="minorHAnsi"/>
        </w:rPr>
        <w:t>ansparency and accessibility</w:t>
      </w:r>
      <w:r w:rsidR="00E9299F">
        <w:rPr>
          <w:rFonts w:cstheme="minorHAnsi"/>
        </w:rPr>
        <w:t>,</w:t>
      </w:r>
      <w:r w:rsidR="00893BB3">
        <w:rPr>
          <w:rFonts w:cstheme="minorHAnsi"/>
        </w:rPr>
        <w:t xml:space="preserve"> both in terms of the scheme’s general operations</w:t>
      </w:r>
      <w:r w:rsidR="00EB707E">
        <w:rPr>
          <w:rFonts w:cstheme="minorHAnsi"/>
        </w:rPr>
        <w:t>,</w:t>
      </w:r>
      <w:r w:rsidR="00893BB3">
        <w:rPr>
          <w:rFonts w:cstheme="minorHAnsi"/>
        </w:rPr>
        <w:t xml:space="preserve"> but also in terms of how critical </w:t>
      </w:r>
      <w:r w:rsidR="00771DCD">
        <w:rPr>
          <w:rFonts w:cstheme="minorHAnsi"/>
        </w:rPr>
        <w:t>concepts used in DSDAS are understood and operationalised</w:t>
      </w:r>
      <w:r w:rsidR="000B1A00">
        <w:rPr>
          <w:rFonts w:cstheme="minorHAnsi"/>
        </w:rPr>
        <w:t xml:space="preserve"> by </w:t>
      </w:r>
      <w:r w:rsidR="00120A7A">
        <w:rPr>
          <w:rFonts w:cstheme="minorHAnsi"/>
        </w:rPr>
        <w:t xml:space="preserve">police </w:t>
      </w:r>
      <w:r w:rsidR="000B1A00">
        <w:rPr>
          <w:rFonts w:cstheme="minorHAnsi"/>
        </w:rPr>
        <w:t>officers</w:t>
      </w:r>
      <w:r w:rsidR="00771DCD">
        <w:rPr>
          <w:rFonts w:cstheme="minorHAnsi"/>
        </w:rPr>
        <w:t>, including in terms of qualifying relationships</w:t>
      </w:r>
      <w:r w:rsidR="0089428B">
        <w:rPr>
          <w:rFonts w:cstheme="minorHAnsi"/>
        </w:rPr>
        <w:t>, the significance of relationships ending</w:t>
      </w:r>
      <w:r w:rsidR="0089254A">
        <w:rPr>
          <w:rFonts w:cstheme="minorHAnsi"/>
        </w:rPr>
        <w:t xml:space="preserve"> for the possibility of a disclosure being made</w:t>
      </w:r>
      <w:r w:rsidR="0089428B">
        <w:rPr>
          <w:rFonts w:cstheme="minorHAnsi"/>
        </w:rPr>
        <w:t>,</w:t>
      </w:r>
      <w:r w:rsidR="00771DCD">
        <w:rPr>
          <w:rFonts w:cstheme="minorHAnsi"/>
        </w:rPr>
        <w:t xml:space="preserve"> and what constitutes abusive behaviour within them. </w:t>
      </w:r>
    </w:p>
    <w:p w14:paraId="35EAC5B9" w14:textId="04C5C45F" w:rsidR="008F0FB4" w:rsidRDefault="00485F00" w:rsidP="00425759">
      <w:pPr>
        <w:pStyle w:val="xxxmsonormal"/>
        <w:spacing w:after="160" w:line="360" w:lineRule="auto"/>
        <w:jc w:val="both"/>
      </w:pPr>
      <w:r>
        <w:rPr>
          <w:rFonts w:cstheme="minorHAnsi"/>
        </w:rPr>
        <w:t>Building on these findings, w</w:t>
      </w:r>
      <w:r w:rsidR="00C713E0">
        <w:rPr>
          <w:rFonts w:cstheme="minorHAnsi"/>
        </w:rPr>
        <w:t xml:space="preserve">e </w:t>
      </w:r>
      <w:r w:rsidR="00A12313">
        <w:rPr>
          <w:rFonts w:cstheme="minorHAnsi"/>
        </w:rPr>
        <w:t>make</w:t>
      </w:r>
      <w:r w:rsidR="00C713E0">
        <w:rPr>
          <w:rFonts w:cstheme="minorHAnsi"/>
        </w:rPr>
        <w:t xml:space="preserve"> </w:t>
      </w:r>
      <w:r w:rsidR="001B3844">
        <w:rPr>
          <w:rFonts w:cstheme="minorHAnsi"/>
        </w:rPr>
        <w:t>three</w:t>
      </w:r>
      <w:r w:rsidR="00C713E0">
        <w:rPr>
          <w:rFonts w:cstheme="minorHAnsi"/>
        </w:rPr>
        <w:t xml:space="preserve"> key </w:t>
      </w:r>
      <w:r w:rsidR="00E54575">
        <w:rPr>
          <w:rFonts w:cstheme="minorHAnsi"/>
        </w:rPr>
        <w:t>suggestions</w:t>
      </w:r>
      <w:r w:rsidR="00C713E0">
        <w:rPr>
          <w:rFonts w:cstheme="minorHAnsi"/>
        </w:rPr>
        <w:t>. First, i</w:t>
      </w:r>
      <w:r w:rsidR="005E2E74">
        <w:rPr>
          <w:rFonts w:cstheme="minorHAnsi"/>
        </w:rPr>
        <w:t xml:space="preserve">n order to make the Scottish </w:t>
      </w:r>
      <w:r w:rsidR="00716349">
        <w:rPr>
          <w:rFonts w:cstheme="minorHAnsi"/>
        </w:rPr>
        <w:t xml:space="preserve">domestic abuse disclosure </w:t>
      </w:r>
      <w:r w:rsidR="005E2E74">
        <w:rPr>
          <w:rFonts w:cstheme="minorHAnsi"/>
        </w:rPr>
        <w:t xml:space="preserve">scheme </w:t>
      </w:r>
      <w:r w:rsidR="002570C0">
        <w:rPr>
          <w:rFonts w:cstheme="minorHAnsi"/>
        </w:rPr>
        <w:t>more</w:t>
      </w:r>
      <w:r w:rsidR="00A369B4">
        <w:rPr>
          <w:rFonts w:cstheme="minorHAnsi"/>
        </w:rPr>
        <w:t xml:space="preserve"> accessible and transparent</w:t>
      </w:r>
      <w:r w:rsidR="005E2E74">
        <w:rPr>
          <w:rFonts w:cstheme="minorHAnsi"/>
        </w:rPr>
        <w:t xml:space="preserve">, Police Scotland should publish its </w:t>
      </w:r>
      <w:r w:rsidR="00B43221">
        <w:rPr>
          <w:rFonts w:cstheme="minorHAnsi"/>
        </w:rPr>
        <w:t xml:space="preserve">DSDAS </w:t>
      </w:r>
      <w:r w:rsidR="005E2E74">
        <w:rPr>
          <w:rFonts w:cstheme="minorHAnsi"/>
        </w:rPr>
        <w:t>guidance in full</w:t>
      </w:r>
      <w:r w:rsidR="006024F6">
        <w:rPr>
          <w:rFonts w:cstheme="minorHAnsi"/>
        </w:rPr>
        <w:t xml:space="preserve">. We are buttressed in this view by the potential legal </w:t>
      </w:r>
      <w:r w:rsidR="006B0948">
        <w:rPr>
          <w:rFonts w:cstheme="minorHAnsi"/>
        </w:rPr>
        <w:t>ramifications</w:t>
      </w:r>
      <w:r w:rsidR="006024F6">
        <w:rPr>
          <w:rFonts w:cstheme="minorHAnsi"/>
        </w:rPr>
        <w:t xml:space="preserve"> of </w:t>
      </w:r>
      <w:r w:rsidR="00705533">
        <w:rPr>
          <w:rFonts w:cstheme="minorHAnsi"/>
        </w:rPr>
        <w:t>Police Scotland’s</w:t>
      </w:r>
      <w:r w:rsidR="006024F6">
        <w:rPr>
          <w:rFonts w:cstheme="minorHAnsi"/>
        </w:rPr>
        <w:t xml:space="preserve"> decision not to publish </w:t>
      </w:r>
      <w:r w:rsidR="00C77232">
        <w:rPr>
          <w:rFonts w:cstheme="minorHAnsi"/>
        </w:rPr>
        <w:t>detailed information on the scheme, which expose</w:t>
      </w:r>
      <w:r w:rsidR="001C71C2">
        <w:rPr>
          <w:rFonts w:cstheme="minorHAnsi"/>
        </w:rPr>
        <w:t>s</w:t>
      </w:r>
      <w:r w:rsidR="00C77232">
        <w:rPr>
          <w:rFonts w:cstheme="minorHAnsi"/>
        </w:rPr>
        <w:t xml:space="preserve"> the </w:t>
      </w:r>
      <w:r w:rsidR="006B0948">
        <w:rPr>
          <w:rFonts w:cstheme="minorHAnsi"/>
        </w:rPr>
        <w:t>framework</w:t>
      </w:r>
      <w:r w:rsidR="00C77232">
        <w:rPr>
          <w:rFonts w:cstheme="minorHAnsi"/>
        </w:rPr>
        <w:t xml:space="preserve"> to </w:t>
      </w:r>
      <w:r w:rsidR="00056412">
        <w:rPr>
          <w:rFonts w:cstheme="minorHAnsi"/>
        </w:rPr>
        <w:t xml:space="preserve">a </w:t>
      </w:r>
      <w:r w:rsidR="00C77232">
        <w:rPr>
          <w:rFonts w:cstheme="minorHAnsi"/>
        </w:rPr>
        <w:t xml:space="preserve">risk of </w:t>
      </w:r>
      <w:r w:rsidR="00790A6F">
        <w:rPr>
          <w:rFonts w:cstheme="minorHAnsi"/>
        </w:rPr>
        <w:t>legal challenge and</w:t>
      </w:r>
      <w:r w:rsidR="00C77232">
        <w:rPr>
          <w:rFonts w:cstheme="minorHAnsi"/>
        </w:rPr>
        <w:t xml:space="preserve"> a</w:t>
      </w:r>
      <w:r w:rsidR="00710241">
        <w:rPr>
          <w:rFonts w:cstheme="minorHAnsi"/>
        </w:rPr>
        <w:t>n adverse</w:t>
      </w:r>
      <w:r w:rsidR="00C77232">
        <w:rPr>
          <w:rFonts w:cstheme="minorHAnsi"/>
        </w:rPr>
        <w:t xml:space="preserve"> finding that </w:t>
      </w:r>
      <w:r w:rsidR="00A028EA">
        <w:rPr>
          <w:rFonts w:cstheme="minorHAnsi"/>
        </w:rPr>
        <w:t>the operation of the</w:t>
      </w:r>
      <w:r w:rsidR="007625D4">
        <w:rPr>
          <w:rFonts w:cstheme="minorHAnsi"/>
        </w:rPr>
        <w:t xml:space="preserve"> scheme is unlawful on common law or human rights </w:t>
      </w:r>
      <w:r w:rsidR="007F05CE">
        <w:rPr>
          <w:rFonts w:cstheme="minorHAnsi"/>
        </w:rPr>
        <w:t>grounds</w:t>
      </w:r>
      <w:r w:rsidR="008C70E1">
        <w:rPr>
          <w:rFonts w:cstheme="minorHAnsi"/>
        </w:rPr>
        <w:t xml:space="preserve">. </w:t>
      </w:r>
      <w:r w:rsidR="0092629D">
        <w:rPr>
          <w:rFonts w:cstheme="minorHAnsi"/>
        </w:rPr>
        <w:t>Second</w:t>
      </w:r>
      <w:r w:rsidR="008C70E1">
        <w:rPr>
          <w:rFonts w:cstheme="minorHAnsi"/>
        </w:rPr>
        <w:t xml:space="preserve">, </w:t>
      </w:r>
      <w:r w:rsidR="000B1CC6">
        <w:rPr>
          <w:rFonts w:cstheme="minorHAnsi"/>
        </w:rPr>
        <w:t xml:space="preserve">we argue </w:t>
      </w:r>
      <w:r w:rsidR="006B0948">
        <w:rPr>
          <w:rFonts w:cstheme="minorHAnsi"/>
        </w:rPr>
        <w:t>P</w:t>
      </w:r>
      <w:r w:rsidR="0092629D">
        <w:rPr>
          <w:rFonts w:cstheme="minorHAnsi"/>
        </w:rPr>
        <w:t xml:space="preserve">olice Scotland </w:t>
      </w:r>
      <w:r w:rsidR="008C70E1">
        <w:rPr>
          <w:rFonts w:cstheme="minorHAnsi"/>
        </w:rPr>
        <w:t>guidance should be amended accurately to reflect</w:t>
      </w:r>
      <w:r w:rsidR="00E54575">
        <w:rPr>
          <w:rFonts w:cstheme="minorHAnsi"/>
        </w:rPr>
        <w:t xml:space="preserve"> what we consider to be</w:t>
      </w:r>
      <w:r w:rsidR="008C70E1">
        <w:rPr>
          <w:rFonts w:cstheme="minorHAnsi"/>
        </w:rPr>
        <w:t xml:space="preserve"> the true legal basis for the operation of the DSDAS scheme</w:t>
      </w:r>
      <w:r w:rsidR="00665954">
        <w:rPr>
          <w:rFonts w:cstheme="minorHAnsi"/>
        </w:rPr>
        <w:t xml:space="preserve"> in the common law</w:t>
      </w:r>
      <w:r w:rsidR="002B3298">
        <w:rPr>
          <w:rFonts w:cstheme="minorHAnsi"/>
        </w:rPr>
        <w:t>, for similar reasons</w:t>
      </w:r>
      <w:r w:rsidR="008C70E1">
        <w:rPr>
          <w:rFonts w:cstheme="minorHAnsi"/>
        </w:rPr>
        <w:t xml:space="preserve">. </w:t>
      </w:r>
      <w:r w:rsidR="00EA54F4">
        <w:rPr>
          <w:rFonts w:cstheme="minorHAnsi"/>
        </w:rPr>
        <w:t>Third</w:t>
      </w:r>
      <w:r w:rsidR="0098408A">
        <w:rPr>
          <w:rFonts w:cstheme="minorHAnsi"/>
        </w:rPr>
        <w:t xml:space="preserve">, </w:t>
      </w:r>
      <w:r w:rsidR="00571DE5">
        <w:rPr>
          <w:rFonts w:cstheme="minorHAnsi"/>
        </w:rPr>
        <w:t xml:space="preserve">to ensure </w:t>
      </w:r>
      <w:r w:rsidR="00873749">
        <w:rPr>
          <w:rFonts w:cstheme="minorHAnsi"/>
        </w:rPr>
        <w:t xml:space="preserve">greater </w:t>
      </w:r>
      <w:r w:rsidR="00571DE5">
        <w:rPr>
          <w:rFonts w:cstheme="minorHAnsi"/>
        </w:rPr>
        <w:t xml:space="preserve">consistency of approach and </w:t>
      </w:r>
      <w:r w:rsidR="000B1CC6">
        <w:rPr>
          <w:rFonts w:cstheme="minorHAnsi"/>
        </w:rPr>
        <w:t xml:space="preserve">with a view to </w:t>
      </w:r>
      <w:r w:rsidR="00B67EDC">
        <w:rPr>
          <w:rFonts w:cstheme="minorHAnsi"/>
        </w:rPr>
        <w:t>embed</w:t>
      </w:r>
      <w:r w:rsidR="000B1CC6">
        <w:rPr>
          <w:rFonts w:cstheme="minorHAnsi"/>
        </w:rPr>
        <w:t>ding</w:t>
      </w:r>
      <w:r w:rsidR="00B67EDC">
        <w:rPr>
          <w:rFonts w:cstheme="minorHAnsi"/>
        </w:rPr>
        <w:t xml:space="preserve"> </w:t>
      </w:r>
      <w:r w:rsidR="004354E8">
        <w:rPr>
          <w:rFonts w:cstheme="minorHAnsi"/>
        </w:rPr>
        <w:t xml:space="preserve">shared </w:t>
      </w:r>
      <w:r w:rsidR="00571DE5">
        <w:rPr>
          <w:rFonts w:cstheme="minorHAnsi"/>
        </w:rPr>
        <w:t xml:space="preserve">understandings </w:t>
      </w:r>
      <w:r w:rsidR="00335EB6">
        <w:rPr>
          <w:rFonts w:cstheme="minorHAnsi"/>
        </w:rPr>
        <w:t xml:space="preserve">of key definitions used </w:t>
      </w:r>
      <w:r w:rsidR="007528B1">
        <w:rPr>
          <w:rFonts w:cstheme="minorHAnsi"/>
        </w:rPr>
        <w:t xml:space="preserve">under the </w:t>
      </w:r>
      <w:r w:rsidR="00571DE5">
        <w:rPr>
          <w:rFonts w:cstheme="minorHAnsi"/>
        </w:rPr>
        <w:t xml:space="preserve">scheme, </w:t>
      </w:r>
      <w:r w:rsidR="000416E8">
        <w:rPr>
          <w:rFonts w:cstheme="minorHAnsi"/>
        </w:rPr>
        <w:t xml:space="preserve">we argue </w:t>
      </w:r>
      <w:r w:rsidR="00334FE6">
        <w:rPr>
          <w:rFonts w:cstheme="minorHAnsi"/>
        </w:rPr>
        <w:t>Police Scotland’s</w:t>
      </w:r>
      <w:r w:rsidR="00D34533">
        <w:rPr>
          <w:rFonts w:cstheme="minorHAnsi"/>
        </w:rPr>
        <w:t xml:space="preserve"> </w:t>
      </w:r>
      <w:r w:rsidR="007528B1">
        <w:rPr>
          <w:rFonts w:cstheme="minorHAnsi"/>
        </w:rPr>
        <w:t xml:space="preserve">DSDAS </w:t>
      </w:r>
      <w:r w:rsidR="00571DE5">
        <w:rPr>
          <w:rFonts w:cstheme="minorHAnsi"/>
        </w:rPr>
        <w:t>guidance should be revised to p</w:t>
      </w:r>
      <w:r w:rsidR="00523243">
        <w:rPr>
          <w:rFonts w:cstheme="minorHAnsi"/>
        </w:rPr>
        <w:t xml:space="preserve">rovide </w:t>
      </w:r>
      <w:r w:rsidR="00F827CD">
        <w:rPr>
          <w:rFonts w:cstheme="minorHAnsi"/>
        </w:rPr>
        <w:t>clearer</w:t>
      </w:r>
      <w:r w:rsidR="00523243">
        <w:rPr>
          <w:rFonts w:cstheme="minorHAnsi"/>
        </w:rPr>
        <w:t xml:space="preserve"> definitions </w:t>
      </w:r>
      <w:r w:rsidR="00CD4EB9">
        <w:rPr>
          <w:rFonts w:cstheme="minorHAnsi"/>
        </w:rPr>
        <w:t>of</w:t>
      </w:r>
      <w:r w:rsidR="00602854">
        <w:rPr>
          <w:rFonts w:cstheme="minorHAnsi"/>
        </w:rPr>
        <w:t xml:space="preserve"> what relationships are </w:t>
      </w:r>
      <w:r w:rsidR="00602854">
        <w:rPr>
          <w:rFonts w:cstheme="minorHAnsi"/>
        </w:rPr>
        <w:lastRenderedPageBreak/>
        <w:t>understood to qualify for disclosure under the scheme</w:t>
      </w:r>
      <w:r w:rsidR="0037462E">
        <w:rPr>
          <w:rFonts w:cstheme="minorHAnsi"/>
        </w:rPr>
        <w:t xml:space="preserve">, an indicative framework </w:t>
      </w:r>
      <w:r w:rsidR="005C059F">
        <w:rPr>
          <w:rFonts w:cstheme="minorHAnsi"/>
        </w:rPr>
        <w:t>for what</w:t>
      </w:r>
      <w:r w:rsidR="0037462E">
        <w:rPr>
          <w:rFonts w:cstheme="minorHAnsi"/>
        </w:rPr>
        <w:t xml:space="preserve"> kind</w:t>
      </w:r>
      <w:r w:rsidR="00A25363">
        <w:rPr>
          <w:rFonts w:cstheme="minorHAnsi"/>
        </w:rPr>
        <w:t>s</w:t>
      </w:r>
      <w:r w:rsidR="0037462E">
        <w:rPr>
          <w:rFonts w:cstheme="minorHAnsi"/>
        </w:rPr>
        <w:t xml:space="preserve"> of </w:t>
      </w:r>
      <w:r w:rsidR="005C059F">
        <w:rPr>
          <w:rFonts w:cstheme="minorHAnsi"/>
        </w:rPr>
        <w:t>criminal conduct the scheme extends to</w:t>
      </w:r>
      <w:r w:rsidR="007B17CE">
        <w:rPr>
          <w:rFonts w:cstheme="minorHAnsi"/>
        </w:rPr>
        <w:t xml:space="preserve">, and </w:t>
      </w:r>
      <w:r w:rsidR="0010159D">
        <w:rPr>
          <w:rFonts w:cstheme="minorHAnsi"/>
        </w:rPr>
        <w:t xml:space="preserve">a </w:t>
      </w:r>
      <w:r w:rsidR="007B17CE">
        <w:rPr>
          <w:rFonts w:cstheme="minorHAnsi"/>
        </w:rPr>
        <w:t xml:space="preserve">clarification of the scheme’s application to </w:t>
      </w:r>
      <w:r w:rsidR="001208F7">
        <w:rPr>
          <w:rFonts w:cstheme="minorHAnsi"/>
        </w:rPr>
        <w:t>ex-partners</w:t>
      </w:r>
      <w:r w:rsidR="00D32027">
        <w:rPr>
          <w:rFonts w:cstheme="minorHAnsi"/>
        </w:rPr>
        <w:t>,</w:t>
      </w:r>
      <w:r w:rsidR="00E24242">
        <w:rPr>
          <w:rFonts w:cstheme="minorHAnsi"/>
        </w:rPr>
        <w:t xml:space="preserve"> </w:t>
      </w:r>
      <w:r w:rsidR="00BB03BF">
        <w:rPr>
          <w:rFonts w:cstheme="minorHAnsi"/>
        </w:rPr>
        <w:t xml:space="preserve">with a view to </w:t>
      </w:r>
      <w:r w:rsidR="00E24242">
        <w:rPr>
          <w:rFonts w:cstheme="minorHAnsi"/>
        </w:rPr>
        <w:t xml:space="preserve">bringing the </w:t>
      </w:r>
      <w:r w:rsidR="005F47DA">
        <w:rPr>
          <w:rFonts w:cstheme="minorHAnsi"/>
        </w:rPr>
        <w:t xml:space="preserve">DSDAS </w:t>
      </w:r>
      <w:r w:rsidR="00E24242">
        <w:rPr>
          <w:rFonts w:cstheme="minorHAnsi"/>
        </w:rPr>
        <w:t xml:space="preserve">scheme </w:t>
      </w:r>
      <w:r w:rsidR="00E44DD8">
        <w:rPr>
          <w:rFonts w:cstheme="minorHAnsi"/>
        </w:rPr>
        <w:t xml:space="preserve">back </w:t>
      </w:r>
      <w:r w:rsidR="00E24242">
        <w:rPr>
          <w:rFonts w:cstheme="minorHAnsi"/>
        </w:rPr>
        <w:t xml:space="preserve">into line with the prevailing legal and policy framework </w:t>
      </w:r>
      <w:r w:rsidR="004071C8">
        <w:rPr>
          <w:rFonts w:cstheme="minorHAnsi"/>
        </w:rPr>
        <w:t>dealing with domestic abuse in Scots law</w:t>
      </w:r>
      <w:r w:rsidR="00215A86">
        <w:rPr>
          <w:rFonts w:cstheme="minorHAnsi"/>
        </w:rPr>
        <w:t xml:space="preserve">, </w:t>
      </w:r>
      <w:r w:rsidR="00186E6C">
        <w:rPr>
          <w:rFonts w:cstheme="minorHAnsi"/>
        </w:rPr>
        <w:t>reflecting recognised</w:t>
      </w:r>
      <w:r w:rsidR="00215A86">
        <w:rPr>
          <w:rFonts w:cstheme="minorHAnsi"/>
        </w:rPr>
        <w:t xml:space="preserve"> risks </w:t>
      </w:r>
      <w:r w:rsidR="00995891">
        <w:rPr>
          <w:rFonts w:cstheme="minorHAnsi"/>
        </w:rPr>
        <w:t>of escalation</w:t>
      </w:r>
      <w:r w:rsidR="00B170C5">
        <w:rPr>
          <w:rFonts w:cstheme="minorHAnsi"/>
        </w:rPr>
        <w:t xml:space="preserve"> </w:t>
      </w:r>
      <w:r w:rsidR="00215A86">
        <w:rPr>
          <w:rFonts w:cstheme="minorHAnsi"/>
        </w:rPr>
        <w:t xml:space="preserve">associated with the dissolution of </w:t>
      </w:r>
      <w:r w:rsidR="005268BC">
        <w:rPr>
          <w:rFonts w:cstheme="minorHAnsi"/>
        </w:rPr>
        <w:t xml:space="preserve">intimate </w:t>
      </w:r>
      <w:r w:rsidR="00215A86">
        <w:rPr>
          <w:rFonts w:cstheme="minorHAnsi"/>
        </w:rPr>
        <w:t>relationship</w:t>
      </w:r>
      <w:r w:rsidR="00F24366">
        <w:rPr>
          <w:rFonts w:cstheme="minorHAnsi"/>
        </w:rPr>
        <w:t>s</w:t>
      </w:r>
      <w:r w:rsidR="004071C8">
        <w:rPr>
          <w:rFonts w:cstheme="minorHAnsi"/>
        </w:rPr>
        <w:t xml:space="preserve">. Taken together, </w:t>
      </w:r>
      <w:r w:rsidR="004A1EE7">
        <w:rPr>
          <w:rFonts w:cstheme="minorHAnsi"/>
        </w:rPr>
        <w:t xml:space="preserve">we argue </w:t>
      </w:r>
      <w:r w:rsidR="004071C8">
        <w:rPr>
          <w:rFonts w:cstheme="minorHAnsi"/>
        </w:rPr>
        <w:t xml:space="preserve">these </w:t>
      </w:r>
      <w:r w:rsidR="003B5D48">
        <w:rPr>
          <w:rFonts w:cstheme="minorHAnsi"/>
        </w:rPr>
        <w:t>reforms to the DSDAS framework</w:t>
      </w:r>
      <w:r w:rsidR="004071C8">
        <w:rPr>
          <w:rFonts w:cstheme="minorHAnsi"/>
        </w:rPr>
        <w:t xml:space="preserve"> </w:t>
      </w:r>
      <w:r w:rsidR="00DC02C7">
        <w:rPr>
          <w:rFonts w:cstheme="minorHAnsi"/>
        </w:rPr>
        <w:t>would</w:t>
      </w:r>
      <w:r w:rsidR="004071C8">
        <w:rPr>
          <w:rFonts w:cstheme="minorHAnsi"/>
        </w:rPr>
        <w:t xml:space="preserve"> </w:t>
      </w:r>
      <w:r w:rsidR="002401C7">
        <w:rPr>
          <w:rFonts w:cstheme="minorHAnsi"/>
        </w:rPr>
        <w:t>reduce Police Scotland’s</w:t>
      </w:r>
      <w:r w:rsidR="00FE01D1">
        <w:rPr>
          <w:rFonts w:cstheme="minorHAnsi"/>
        </w:rPr>
        <w:t xml:space="preserve"> potential</w:t>
      </w:r>
      <w:r w:rsidR="002401C7">
        <w:rPr>
          <w:rFonts w:cstheme="minorHAnsi"/>
        </w:rPr>
        <w:t xml:space="preserve"> legal exposure, </w:t>
      </w:r>
      <w:r w:rsidR="000F27EE">
        <w:rPr>
          <w:rFonts w:cstheme="minorHAnsi"/>
        </w:rPr>
        <w:t xml:space="preserve">better uphold fundamental rights, </w:t>
      </w:r>
      <w:r w:rsidR="00DD25F5">
        <w:rPr>
          <w:rFonts w:cstheme="minorHAnsi"/>
        </w:rPr>
        <w:t xml:space="preserve">enhance the </w:t>
      </w:r>
      <w:r w:rsidR="004E0D7E">
        <w:rPr>
          <w:rFonts w:cstheme="minorHAnsi"/>
        </w:rPr>
        <w:t>accessibility</w:t>
      </w:r>
      <w:r w:rsidR="003E1D89">
        <w:rPr>
          <w:rFonts w:cstheme="minorHAnsi"/>
        </w:rPr>
        <w:t xml:space="preserve"> and</w:t>
      </w:r>
      <w:r w:rsidR="004E0D7E">
        <w:rPr>
          <w:rFonts w:cstheme="minorHAnsi"/>
        </w:rPr>
        <w:t xml:space="preserve"> </w:t>
      </w:r>
      <w:r w:rsidR="00DD25F5">
        <w:rPr>
          <w:rFonts w:cstheme="minorHAnsi"/>
        </w:rPr>
        <w:t xml:space="preserve">transparency of the scheme, </w:t>
      </w:r>
      <w:r w:rsidR="004071C8">
        <w:rPr>
          <w:rFonts w:cstheme="minorHAnsi"/>
        </w:rPr>
        <w:t xml:space="preserve">and </w:t>
      </w:r>
      <w:r w:rsidR="00523F29">
        <w:rPr>
          <w:rFonts w:cstheme="minorHAnsi"/>
        </w:rPr>
        <w:t xml:space="preserve">more </w:t>
      </w:r>
      <w:r w:rsidR="00593A0F">
        <w:rPr>
          <w:rFonts w:cstheme="minorHAnsi"/>
        </w:rPr>
        <w:t>fully</w:t>
      </w:r>
      <w:r w:rsidR="00105473">
        <w:rPr>
          <w:rFonts w:cstheme="minorHAnsi"/>
        </w:rPr>
        <w:t xml:space="preserve"> </w:t>
      </w:r>
      <w:r w:rsidR="00F178EC">
        <w:rPr>
          <w:rFonts w:cstheme="minorHAnsi"/>
        </w:rPr>
        <w:t xml:space="preserve">and accurately </w:t>
      </w:r>
      <w:r w:rsidR="00105473">
        <w:rPr>
          <w:rFonts w:cstheme="minorHAnsi"/>
        </w:rPr>
        <w:t xml:space="preserve">communicate the </w:t>
      </w:r>
      <w:r w:rsidR="00852852">
        <w:rPr>
          <w:rFonts w:cstheme="minorHAnsi"/>
        </w:rPr>
        <w:t>scope</w:t>
      </w:r>
      <w:r w:rsidR="00046274">
        <w:rPr>
          <w:rFonts w:cstheme="minorHAnsi"/>
        </w:rPr>
        <w:t xml:space="preserve"> </w:t>
      </w:r>
      <w:r w:rsidR="00474587">
        <w:rPr>
          <w:rFonts w:cstheme="minorHAnsi"/>
        </w:rPr>
        <w:t>and boundaries</w:t>
      </w:r>
      <w:r w:rsidR="00046274">
        <w:rPr>
          <w:rFonts w:cstheme="minorHAnsi"/>
        </w:rPr>
        <w:t xml:space="preserve"> </w:t>
      </w:r>
      <w:r w:rsidR="00105473">
        <w:rPr>
          <w:rFonts w:cstheme="minorHAnsi"/>
        </w:rPr>
        <w:t xml:space="preserve">of </w:t>
      </w:r>
      <w:r w:rsidR="00F335B5">
        <w:rPr>
          <w:rFonts w:cstheme="minorHAnsi"/>
        </w:rPr>
        <w:t>the</w:t>
      </w:r>
      <w:r w:rsidR="00105473">
        <w:rPr>
          <w:rFonts w:cstheme="minorHAnsi"/>
        </w:rPr>
        <w:t xml:space="preserve"> </w:t>
      </w:r>
      <w:r w:rsidR="00474587">
        <w:rPr>
          <w:rFonts w:cstheme="minorHAnsi"/>
        </w:rPr>
        <w:t>D</w:t>
      </w:r>
      <w:r w:rsidR="000F176F">
        <w:rPr>
          <w:rFonts w:cstheme="minorHAnsi"/>
        </w:rPr>
        <w:t xml:space="preserve">omestic </w:t>
      </w:r>
      <w:r w:rsidR="00474587">
        <w:rPr>
          <w:rFonts w:cstheme="minorHAnsi"/>
        </w:rPr>
        <w:t>A</w:t>
      </w:r>
      <w:r w:rsidR="000F176F">
        <w:rPr>
          <w:rFonts w:cstheme="minorHAnsi"/>
        </w:rPr>
        <w:t xml:space="preserve">buse </w:t>
      </w:r>
      <w:r w:rsidR="00474587">
        <w:rPr>
          <w:rFonts w:cstheme="minorHAnsi"/>
        </w:rPr>
        <w:t>D</w:t>
      </w:r>
      <w:r w:rsidR="00D847A2">
        <w:rPr>
          <w:rFonts w:cstheme="minorHAnsi"/>
        </w:rPr>
        <w:t xml:space="preserve">isclosure </w:t>
      </w:r>
      <w:r w:rsidR="00474587">
        <w:rPr>
          <w:rFonts w:cstheme="minorHAnsi"/>
        </w:rPr>
        <w:t>S</w:t>
      </w:r>
      <w:r w:rsidR="00105473">
        <w:rPr>
          <w:rFonts w:cstheme="minorHAnsi"/>
        </w:rPr>
        <w:t>cheme to</w:t>
      </w:r>
      <w:r w:rsidR="00563017">
        <w:rPr>
          <w:rFonts w:cstheme="minorHAnsi"/>
        </w:rPr>
        <w:t xml:space="preserve"> </w:t>
      </w:r>
      <w:r w:rsidR="00105473">
        <w:rPr>
          <w:rFonts w:cstheme="minorHAnsi"/>
        </w:rPr>
        <w:t>officers applying it</w:t>
      </w:r>
      <w:r w:rsidR="00CB4D28">
        <w:rPr>
          <w:rFonts w:cstheme="minorHAnsi"/>
        </w:rPr>
        <w:t>,</w:t>
      </w:r>
      <w:r w:rsidR="00462CDD">
        <w:rPr>
          <w:rFonts w:cstheme="minorHAnsi"/>
        </w:rPr>
        <w:t xml:space="preserve"> to</w:t>
      </w:r>
      <w:r w:rsidR="00CB4D28">
        <w:rPr>
          <w:rFonts w:cstheme="minorHAnsi"/>
        </w:rPr>
        <w:t xml:space="preserve"> applicants, </w:t>
      </w:r>
      <w:r w:rsidR="00462CDD">
        <w:rPr>
          <w:rFonts w:cstheme="minorHAnsi"/>
        </w:rPr>
        <w:t xml:space="preserve">to </w:t>
      </w:r>
      <w:r w:rsidR="00CB4D28">
        <w:rPr>
          <w:rFonts w:cstheme="minorHAnsi"/>
        </w:rPr>
        <w:t>subjects of disclosure</w:t>
      </w:r>
      <w:r w:rsidR="002A1775">
        <w:rPr>
          <w:rFonts w:cstheme="minorHAnsi"/>
        </w:rPr>
        <w:t>,</w:t>
      </w:r>
      <w:r w:rsidR="00105473">
        <w:rPr>
          <w:rFonts w:cstheme="minorHAnsi"/>
        </w:rPr>
        <w:t xml:space="preserve"> and to the wider </w:t>
      </w:r>
      <w:r w:rsidR="00186061">
        <w:rPr>
          <w:rFonts w:cstheme="minorHAnsi"/>
        </w:rPr>
        <w:t xml:space="preserve">Scottish </w:t>
      </w:r>
      <w:r w:rsidR="00105473">
        <w:rPr>
          <w:rFonts w:cstheme="minorHAnsi"/>
        </w:rPr>
        <w:t xml:space="preserve">public. </w:t>
      </w:r>
      <w:r w:rsidR="008F0FB4">
        <w:t xml:space="preserve">On sharing </w:t>
      </w:r>
      <w:r w:rsidR="008F0FB4" w:rsidRPr="008F0FB4">
        <w:t>our findings with Police Scotland</w:t>
      </w:r>
      <w:r w:rsidR="008F0FB4">
        <w:t>,</w:t>
      </w:r>
      <w:r w:rsidR="008F0FB4" w:rsidRPr="008F0FB4">
        <w:t xml:space="preserve"> they responded: </w:t>
      </w:r>
      <w:r w:rsidR="00425759">
        <w:t>“</w:t>
      </w:r>
      <w:r w:rsidR="008F0FB4" w:rsidRPr="008F0FB4">
        <w:t>Police Scotland welcomes the research and findings. The service will consider these as we continue to develop our services to support the public and communities in Scotland</w:t>
      </w:r>
      <w:r w:rsidR="002A1775">
        <w:t>”</w:t>
      </w:r>
      <w:r w:rsidR="008F0FB4" w:rsidRPr="008F0FB4">
        <w:t>.</w:t>
      </w:r>
    </w:p>
    <w:p w14:paraId="799FD6CD" w14:textId="77777777" w:rsidR="00BB7C68" w:rsidRDefault="00BB7C68" w:rsidP="00425759">
      <w:pPr>
        <w:spacing w:line="360" w:lineRule="auto"/>
        <w:jc w:val="both"/>
        <w:rPr>
          <w:rFonts w:cstheme="minorHAnsi"/>
          <w:b/>
        </w:rPr>
      </w:pPr>
    </w:p>
    <w:p w14:paraId="364C0021" w14:textId="28104A96" w:rsidR="00F435EB" w:rsidRPr="005201B4" w:rsidRDefault="00C323C5" w:rsidP="00425759">
      <w:pPr>
        <w:spacing w:line="360" w:lineRule="auto"/>
        <w:jc w:val="both"/>
        <w:rPr>
          <w:rFonts w:cstheme="minorHAnsi"/>
          <w:b/>
        </w:rPr>
      </w:pPr>
      <w:r w:rsidRPr="0086003C">
        <w:rPr>
          <w:rFonts w:cstheme="minorHAnsi"/>
          <w:b/>
        </w:rPr>
        <w:t>References</w:t>
      </w:r>
    </w:p>
    <w:p w14:paraId="6C002313" w14:textId="77777777" w:rsidR="007646E3" w:rsidRDefault="007646E3" w:rsidP="00425759">
      <w:pPr>
        <w:autoSpaceDE w:val="0"/>
        <w:autoSpaceDN w:val="0"/>
        <w:adjustRightInd w:val="0"/>
        <w:spacing w:after="0" w:line="276" w:lineRule="auto"/>
        <w:jc w:val="both"/>
      </w:pPr>
    </w:p>
    <w:p w14:paraId="4AF8F546" w14:textId="1B39B580" w:rsidR="00630736" w:rsidRDefault="00630736" w:rsidP="00425759">
      <w:pPr>
        <w:autoSpaceDE w:val="0"/>
        <w:autoSpaceDN w:val="0"/>
        <w:adjustRightInd w:val="0"/>
        <w:spacing w:after="0" w:line="276" w:lineRule="auto"/>
        <w:jc w:val="both"/>
      </w:pPr>
      <w:r>
        <w:t>Burman, M. &amp; Brooks-Hay, O</w:t>
      </w:r>
      <w:r w:rsidR="00F443A4">
        <w:t>.</w:t>
      </w:r>
      <w:r>
        <w:t xml:space="preserve"> (2018)</w:t>
      </w:r>
      <w:r w:rsidR="00915862">
        <w:t>.</w:t>
      </w:r>
      <w:r>
        <w:t xml:space="preserve"> Aligning policy and law? The creation of a domestic abuse offence incorporating coercive control</w:t>
      </w:r>
      <w:r w:rsidR="00C149BE">
        <w:t>.</w:t>
      </w:r>
      <w:r>
        <w:t xml:space="preserve"> </w:t>
      </w:r>
      <w:r w:rsidRPr="00BD176D">
        <w:rPr>
          <w:i/>
          <w:iCs/>
        </w:rPr>
        <w:t>Criminology and Criminal Justice</w:t>
      </w:r>
      <w:r>
        <w:t xml:space="preserve"> 18(1)</w:t>
      </w:r>
      <w:r w:rsidR="00B8077C">
        <w:t>:</w:t>
      </w:r>
      <w:r>
        <w:t xml:space="preserve"> 67</w:t>
      </w:r>
      <w:r w:rsidR="00335E25">
        <w:t>-</w:t>
      </w:r>
      <w:r>
        <w:t>83</w:t>
      </w:r>
      <w:r w:rsidR="00C149BE">
        <w:t>.</w:t>
      </w:r>
    </w:p>
    <w:p w14:paraId="0DB65A66" w14:textId="77777777" w:rsidR="00630736" w:rsidRDefault="00630736" w:rsidP="00425759">
      <w:pPr>
        <w:autoSpaceDE w:val="0"/>
        <w:autoSpaceDN w:val="0"/>
        <w:adjustRightInd w:val="0"/>
        <w:spacing w:after="0" w:line="276" w:lineRule="auto"/>
        <w:jc w:val="both"/>
      </w:pPr>
    </w:p>
    <w:p w14:paraId="2EBD29A9" w14:textId="59892FCC" w:rsidR="00BE6D07" w:rsidRDefault="00BE6D07" w:rsidP="004618FC">
      <w:pPr>
        <w:autoSpaceDE w:val="0"/>
        <w:autoSpaceDN w:val="0"/>
        <w:adjustRightInd w:val="0"/>
        <w:spacing w:after="0" w:line="276" w:lineRule="auto"/>
        <w:jc w:val="both"/>
        <w:rPr>
          <w:rFonts w:cstheme="minorHAnsi"/>
        </w:rPr>
      </w:pPr>
      <w:r w:rsidRPr="005C665F">
        <w:rPr>
          <w:rFonts w:cstheme="minorHAnsi"/>
        </w:rPr>
        <w:t>Campbell, J. (1995). Prediction of homicide of and by battered women. In J. Campbell (Ed.),</w:t>
      </w:r>
      <w:r w:rsidR="004618FC">
        <w:rPr>
          <w:rFonts w:cstheme="minorHAnsi"/>
        </w:rPr>
        <w:t xml:space="preserve"> </w:t>
      </w:r>
      <w:r w:rsidRPr="005C665F">
        <w:rPr>
          <w:rFonts w:cstheme="minorHAnsi"/>
          <w:i/>
          <w:iCs/>
        </w:rPr>
        <w:t xml:space="preserve">Assessing the </w:t>
      </w:r>
      <w:r w:rsidR="004618FC">
        <w:rPr>
          <w:rFonts w:cstheme="minorHAnsi"/>
          <w:i/>
          <w:iCs/>
        </w:rPr>
        <w:t>R</w:t>
      </w:r>
      <w:r w:rsidRPr="005C665F">
        <w:rPr>
          <w:rFonts w:cstheme="minorHAnsi"/>
          <w:i/>
          <w:iCs/>
        </w:rPr>
        <w:t xml:space="preserve">isk of </w:t>
      </w:r>
      <w:r w:rsidR="004618FC">
        <w:rPr>
          <w:rFonts w:cstheme="minorHAnsi"/>
          <w:i/>
          <w:iCs/>
        </w:rPr>
        <w:t>D</w:t>
      </w:r>
      <w:r w:rsidRPr="005C665F">
        <w:rPr>
          <w:rFonts w:cstheme="minorHAnsi"/>
          <w:i/>
          <w:iCs/>
        </w:rPr>
        <w:t xml:space="preserve">angerousness: Potential for </w:t>
      </w:r>
      <w:r w:rsidR="004618FC">
        <w:rPr>
          <w:rFonts w:cstheme="minorHAnsi"/>
          <w:i/>
          <w:iCs/>
        </w:rPr>
        <w:t>F</w:t>
      </w:r>
      <w:r w:rsidRPr="005C665F">
        <w:rPr>
          <w:rFonts w:cstheme="minorHAnsi"/>
          <w:i/>
          <w:iCs/>
        </w:rPr>
        <w:t xml:space="preserve">urther </w:t>
      </w:r>
      <w:r w:rsidR="004618FC">
        <w:rPr>
          <w:rFonts w:cstheme="minorHAnsi"/>
          <w:i/>
          <w:iCs/>
        </w:rPr>
        <w:t>V</w:t>
      </w:r>
      <w:r w:rsidRPr="005C665F">
        <w:rPr>
          <w:rFonts w:cstheme="minorHAnsi"/>
          <w:i/>
          <w:iCs/>
        </w:rPr>
        <w:t xml:space="preserve">iolence of </w:t>
      </w:r>
      <w:r w:rsidR="004618FC">
        <w:rPr>
          <w:rFonts w:cstheme="minorHAnsi"/>
          <w:i/>
          <w:iCs/>
        </w:rPr>
        <w:t>S</w:t>
      </w:r>
      <w:r w:rsidRPr="005C665F">
        <w:rPr>
          <w:rFonts w:cstheme="minorHAnsi"/>
          <w:i/>
          <w:iCs/>
        </w:rPr>
        <w:t xml:space="preserve">exual </w:t>
      </w:r>
      <w:r w:rsidR="004618FC">
        <w:rPr>
          <w:rFonts w:cstheme="minorHAnsi"/>
          <w:i/>
          <w:iCs/>
        </w:rPr>
        <w:t>O</w:t>
      </w:r>
      <w:r w:rsidRPr="005C665F">
        <w:rPr>
          <w:rFonts w:cstheme="minorHAnsi"/>
          <w:i/>
          <w:iCs/>
        </w:rPr>
        <w:t>ffenders,</w:t>
      </w:r>
      <w:r w:rsidR="004618FC">
        <w:rPr>
          <w:rFonts w:cstheme="minorHAnsi"/>
          <w:i/>
          <w:iCs/>
        </w:rPr>
        <w:t xml:space="preserve"> B</w:t>
      </w:r>
      <w:r w:rsidRPr="005C665F">
        <w:rPr>
          <w:rFonts w:cstheme="minorHAnsi"/>
          <w:i/>
          <w:iCs/>
        </w:rPr>
        <w:t xml:space="preserve">atterers, and </w:t>
      </w:r>
      <w:r w:rsidR="004618FC">
        <w:rPr>
          <w:rFonts w:cstheme="minorHAnsi"/>
          <w:i/>
          <w:iCs/>
        </w:rPr>
        <w:t>C</w:t>
      </w:r>
      <w:r w:rsidRPr="005C665F">
        <w:rPr>
          <w:rFonts w:cstheme="minorHAnsi"/>
          <w:i/>
          <w:iCs/>
        </w:rPr>
        <w:t xml:space="preserve">hild </w:t>
      </w:r>
      <w:r w:rsidR="004618FC">
        <w:rPr>
          <w:rFonts w:cstheme="minorHAnsi"/>
          <w:i/>
          <w:iCs/>
        </w:rPr>
        <w:t>A</w:t>
      </w:r>
      <w:r w:rsidRPr="005C665F">
        <w:rPr>
          <w:rFonts w:cstheme="minorHAnsi"/>
          <w:i/>
          <w:iCs/>
        </w:rPr>
        <w:t xml:space="preserve">busers </w:t>
      </w:r>
      <w:r w:rsidRPr="005C665F">
        <w:rPr>
          <w:rFonts w:cstheme="minorHAnsi"/>
        </w:rPr>
        <w:t>(pp. 93-113)</w:t>
      </w:r>
      <w:r w:rsidR="004618FC">
        <w:rPr>
          <w:rFonts w:cstheme="minorHAnsi"/>
        </w:rPr>
        <w:t>.</w:t>
      </w:r>
      <w:r w:rsidR="00CF5AF5">
        <w:rPr>
          <w:rFonts w:cstheme="minorHAnsi"/>
        </w:rPr>
        <w:t xml:space="preserve"> </w:t>
      </w:r>
      <w:r w:rsidRPr="005C665F">
        <w:rPr>
          <w:rFonts w:cstheme="minorHAnsi"/>
        </w:rPr>
        <w:t>Thousand Oaks, CA: Sage</w:t>
      </w:r>
      <w:r w:rsidR="00C149BE">
        <w:rPr>
          <w:rFonts w:cstheme="minorHAnsi"/>
        </w:rPr>
        <w:t>.</w:t>
      </w:r>
    </w:p>
    <w:p w14:paraId="125315AB" w14:textId="77777777" w:rsidR="004618FC" w:rsidRPr="005C665F" w:rsidRDefault="004618FC" w:rsidP="004618FC">
      <w:pPr>
        <w:autoSpaceDE w:val="0"/>
        <w:autoSpaceDN w:val="0"/>
        <w:adjustRightInd w:val="0"/>
        <w:spacing w:after="0" w:line="276" w:lineRule="auto"/>
        <w:jc w:val="both"/>
        <w:rPr>
          <w:rFonts w:cstheme="minorHAnsi"/>
        </w:rPr>
      </w:pPr>
    </w:p>
    <w:p w14:paraId="747D3338" w14:textId="567C31B6" w:rsidR="00BE6D07" w:rsidRDefault="00BE6D07" w:rsidP="004618FC">
      <w:pPr>
        <w:autoSpaceDE w:val="0"/>
        <w:autoSpaceDN w:val="0"/>
        <w:adjustRightInd w:val="0"/>
        <w:spacing w:after="0" w:line="276" w:lineRule="auto"/>
        <w:jc w:val="both"/>
        <w:rPr>
          <w:rFonts w:cstheme="minorHAnsi"/>
        </w:rPr>
      </w:pPr>
      <w:r w:rsidRPr="005C665F">
        <w:rPr>
          <w:rFonts w:cstheme="minorHAnsi"/>
        </w:rPr>
        <w:t>Campbell, J.,</w:t>
      </w:r>
      <w:r w:rsidR="00830C20">
        <w:rPr>
          <w:rFonts w:cstheme="minorHAnsi"/>
        </w:rPr>
        <w:t xml:space="preserve"> </w:t>
      </w:r>
      <w:r w:rsidRPr="005C665F">
        <w:rPr>
          <w:rFonts w:cstheme="minorHAnsi"/>
        </w:rPr>
        <w:t>Webster, D., Koziol-McLain, J., Block, C., Campbell, D., Curry, M., et al. (2003).</w:t>
      </w:r>
      <w:r w:rsidR="004618FC">
        <w:rPr>
          <w:rFonts w:cstheme="minorHAnsi"/>
        </w:rPr>
        <w:t xml:space="preserve"> </w:t>
      </w:r>
      <w:r w:rsidRPr="005C665F">
        <w:rPr>
          <w:rFonts w:cstheme="minorHAnsi"/>
        </w:rPr>
        <w:t>Risk factors for femicide in abusive relationships: Results from a multi-site case control</w:t>
      </w:r>
      <w:r w:rsidR="004618FC">
        <w:rPr>
          <w:rFonts w:cstheme="minorHAnsi"/>
        </w:rPr>
        <w:t xml:space="preserve"> </w:t>
      </w:r>
      <w:r w:rsidRPr="005C665F">
        <w:rPr>
          <w:rFonts w:cstheme="minorHAnsi"/>
        </w:rPr>
        <w:t xml:space="preserve">study. </w:t>
      </w:r>
      <w:r w:rsidRPr="005C665F">
        <w:rPr>
          <w:rFonts w:cstheme="minorHAnsi"/>
          <w:i/>
          <w:iCs/>
        </w:rPr>
        <w:t>American Journal of Public Health</w:t>
      </w:r>
      <w:r w:rsidRPr="00CF5AF5">
        <w:rPr>
          <w:rFonts w:cstheme="minorHAnsi"/>
        </w:rPr>
        <w:t xml:space="preserve"> 93(7)</w:t>
      </w:r>
      <w:r w:rsidR="00B8077C">
        <w:rPr>
          <w:rFonts w:cstheme="minorHAnsi"/>
        </w:rPr>
        <w:t>:</w:t>
      </w:r>
      <w:r w:rsidRPr="005C665F">
        <w:rPr>
          <w:rFonts w:cstheme="minorHAnsi"/>
        </w:rPr>
        <w:t xml:space="preserve"> 1089</w:t>
      </w:r>
      <w:r w:rsidR="00F06EED">
        <w:rPr>
          <w:rFonts w:cstheme="minorHAnsi"/>
        </w:rPr>
        <w:t>-</w:t>
      </w:r>
      <w:r w:rsidRPr="005C665F">
        <w:rPr>
          <w:rFonts w:cstheme="minorHAnsi"/>
        </w:rPr>
        <w:t>1097</w:t>
      </w:r>
      <w:r w:rsidR="00C149BE">
        <w:rPr>
          <w:rFonts w:cstheme="minorHAnsi"/>
        </w:rPr>
        <w:t>.</w:t>
      </w:r>
    </w:p>
    <w:p w14:paraId="14CBFC25" w14:textId="77777777" w:rsidR="004618FC" w:rsidRDefault="004618FC" w:rsidP="004618FC">
      <w:pPr>
        <w:autoSpaceDE w:val="0"/>
        <w:autoSpaceDN w:val="0"/>
        <w:adjustRightInd w:val="0"/>
        <w:spacing w:after="0" w:line="276" w:lineRule="auto"/>
        <w:jc w:val="both"/>
        <w:rPr>
          <w:rFonts w:cstheme="minorHAnsi"/>
        </w:rPr>
      </w:pPr>
    </w:p>
    <w:p w14:paraId="4F814236" w14:textId="1A51318A" w:rsidR="00E17D00" w:rsidRDefault="00E17D00" w:rsidP="00425759">
      <w:pPr>
        <w:spacing w:line="276" w:lineRule="auto"/>
        <w:jc w:val="both"/>
        <w:rPr>
          <w:rFonts w:cstheme="minorHAnsi"/>
        </w:rPr>
      </w:pPr>
      <w:r w:rsidRPr="00E17D00">
        <w:rPr>
          <w:rFonts w:cstheme="minorHAnsi"/>
        </w:rPr>
        <w:t xml:space="preserve">Duggan, M. </w:t>
      </w:r>
      <w:r w:rsidR="00863586">
        <w:rPr>
          <w:rFonts w:cstheme="minorHAnsi"/>
        </w:rPr>
        <w:t>(</w:t>
      </w:r>
      <w:r w:rsidRPr="00E17D00">
        <w:rPr>
          <w:rFonts w:cstheme="minorHAnsi"/>
        </w:rPr>
        <w:t>2018</w:t>
      </w:r>
      <w:r w:rsidR="00863586">
        <w:rPr>
          <w:rFonts w:cstheme="minorHAnsi"/>
        </w:rPr>
        <w:t>)</w:t>
      </w:r>
      <w:r w:rsidR="00915862">
        <w:rPr>
          <w:rFonts w:cstheme="minorHAnsi"/>
        </w:rPr>
        <w:t>.</w:t>
      </w:r>
      <w:r w:rsidRPr="00E17D00">
        <w:rPr>
          <w:rFonts w:cstheme="minorHAnsi"/>
        </w:rPr>
        <w:t xml:space="preserve"> Victim hierarchies in the domestic violence disclosure scheme. </w:t>
      </w:r>
      <w:r w:rsidRPr="00E17D00">
        <w:rPr>
          <w:rFonts w:cstheme="minorHAnsi"/>
          <w:i/>
          <w:iCs/>
        </w:rPr>
        <w:t>International</w:t>
      </w:r>
      <w:r w:rsidRPr="00E17D00">
        <w:rPr>
          <w:rFonts w:cstheme="minorHAnsi"/>
        </w:rPr>
        <w:t xml:space="preserve"> </w:t>
      </w:r>
      <w:r w:rsidRPr="00E17D00">
        <w:rPr>
          <w:rFonts w:cstheme="minorHAnsi"/>
          <w:i/>
          <w:iCs/>
        </w:rPr>
        <w:t>Review of Victimology</w:t>
      </w:r>
      <w:r w:rsidRPr="00E17D00">
        <w:rPr>
          <w:rFonts w:cstheme="minorHAnsi"/>
        </w:rPr>
        <w:t xml:space="preserve"> 24(3)</w:t>
      </w:r>
      <w:r w:rsidR="00B8077C">
        <w:rPr>
          <w:rFonts w:cstheme="minorHAnsi"/>
        </w:rPr>
        <w:t>:</w:t>
      </w:r>
      <w:r w:rsidRPr="00E17D00">
        <w:rPr>
          <w:rFonts w:cstheme="minorHAnsi"/>
        </w:rPr>
        <w:t xml:space="preserve"> 199-217.</w:t>
      </w:r>
    </w:p>
    <w:p w14:paraId="0696B579" w14:textId="545D6584" w:rsidR="00353A91" w:rsidRPr="005C665F" w:rsidRDefault="00353A91" w:rsidP="00425759">
      <w:pPr>
        <w:spacing w:line="276" w:lineRule="auto"/>
        <w:jc w:val="both"/>
        <w:rPr>
          <w:rFonts w:cstheme="minorHAnsi"/>
        </w:rPr>
      </w:pPr>
      <w:proofErr w:type="spellStart"/>
      <w:r>
        <w:rPr>
          <w:rFonts w:cstheme="minorHAnsi"/>
        </w:rPr>
        <w:t>Escourt</w:t>
      </w:r>
      <w:proofErr w:type="spellEnd"/>
      <w:r>
        <w:rPr>
          <w:rFonts w:cstheme="minorHAnsi"/>
        </w:rPr>
        <w:t>, C.</w:t>
      </w:r>
      <w:r w:rsidR="00616342">
        <w:rPr>
          <w:rFonts w:cstheme="minorHAnsi"/>
        </w:rPr>
        <w:t xml:space="preserve">S., Flowers, P., Cassell, J.A., </w:t>
      </w:r>
      <w:proofErr w:type="spellStart"/>
      <w:r w:rsidR="00616342">
        <w:rPr>
          <w:rFonts w:cstheme="minorHAnsi"/>
        </w:rPr>
        <w:t>Pothoulaki</w:t>
      </w:r>
      <w:proofErr w:type="spellEnd"/>
      <w:r w:rsidR="00616342">
        <w:rPr>
          <w:rFonts w:cstheme="minorHAnsi"/>
        </w:rPr>
        <w:t>, M., Vojt, G., Mapp, F., Woode-Owusu, M., Low, N., Saunders, J., Symonds, M., Howarth, A., Wayal, S., Nandwani, R., Brice, S., Comer, A., Johnson, A.M. &amp; Mercer, C.H. (2022)</w:t>
      </w:r>
      <w:r w:rsidR="00915862">
        <w:rPr>
          <w:rFonts w:cstheme="minorHAnsi"/>
        </w:rPr>
        <w:t>.</w:t>
      </w:r>
      <w:r w:rsidR="00616342">
        <w:rPr>
          <w:rFonts w:cstheme="minorHAnsi"/>
        </w:rPr>
        <w:t xml:space="preserve"> Going beyond ‘regular and casual’: </w:t>
      </w:r>
      <w:r w:rsidR="00DA408F">
        <w:rPr>
          <w:rFonts w:cstheme="minorHAnsi"/>
        </w:rPr>
        <w:t>D</w:t>
      </w:r>
      <w:r w:rsidR="00616342">
        <w:rPr>
          <w:rFonts w:cstheme="minorHAnsi"/>
        </w:rPr>
        <w:t xml:space="preserve">evelopment of a classification of sexual </w:t>
      </w:r>
      <w:r w:rsidR="00100C43">
        <w:rPr>
          <w:rFonts w:cstheme="minorHAnsi"/>
        </w:rPr>
        <w:t>partner</w:t>
      </w:r>
      <w:r w:rsidR="00616342">
        <w:rPr>
          <w:rFonts w:cstheme="minorHAnsi"/>
        </w:rPr>
        <w:t xml:space="preserve"> types to enhance partner notification for STIs</w:t>
      </w:r>
      <w:r w:rsidR="00392D62">
        <w:rPr>
          <w:rFonts w:cstheme="minorHAnsi"/>
        </w:rPr>
        <w:t>.</w:t>
      </w:r>
      <w:r w:rsidR="00616342">
        <w:rPr>
          <w:rFonts w:cstheme="minorHAnsi"/>
        </w:rPr>
        <w:t xml:space="preserve"> </w:t>
      </w:r>
      <w:r w:rsidR="00616342" w:rsidRPr="00616342">
        <w:rPr>
          <w:rFonts w:cstheme="minorHAnsi"/>
          <w:i/>
        </w:rPr>
        <w:t>Sexually Transmitted Infections</w:t>
      </w:r>
      <w:r w:rsidR="00616342">
        <w:rPr>
          <w:rFonts w:cstheme="minorHAnsi"/>
        </w:rPr>
        <w:t xml:space="preserve"> 98</w:t>
      </w:r>
      <w:r w:rsidR="00915862">
        <w:rPr>
          <w:rFonts w:cstheme="minorHAnsi"/>
        </w:rPr>
        <w:t>:</w:t>
      </w:r>
      <w:r w:rsidR="00616342">
        <w:rPr>
          <w:rFonts w:cstheme="minorHAnsi"/>
        </w:rPr>
        <w:t xml:space="preserve"> 108</w:t>
      </w:r>
      <w:r w:rsidR="00DA408F">
        <w:rPr>
          <w:rFonts w:cstheme="minorHAnsi"/>
        </w:rPr>
        <w:t>-</w:t>
      </w:r>
      <w:r w:rsidR="00616342">
        <w:rPr>
          <w:rFonts w:cstheme="minorHAnsi"/>
        </w:rPr>
        <w:t>114</w:t>
      </w:r>
      <w:r w:rsidR="00392D62">
        <w:rPr>
          <w:rFonts w:cstheme="minorHAnsi"/>
        </w:rPr>
        <w:t>.</w:t>
      </w:r>
    </w:p>
    <w:p w14:paraId="21D0DC52" w14:textId="0A7C829C" w:rsidR="00E17D00" w:rsidRDefault="00E17D00" w:rsidP="00425759">
      <w:pPr>
        <w:spacing w:line="276" w:lineRule="auto"/>
        <w:jc w:val="both"/>
      </w:pPr>
      <w:r w:rsidRPr="00E17D00">
        <w:t xml:space="preserve">Fitz-Gibbon, K. </w:t>
      </w:r>
      <w:r w:rsidR="00C101FC">
        <w:t>&amp;</w:t>
      </w:r>
      <w:r w:rsidRPr="00E17D00">
        <w:t xml:space="preserve"> Walklate, S. </w:t>
      </w:r>
      <w:r w:rsidR="00863586">
        <w:t>(</w:t>
      </w:r>
      <w:r w:rsidRPr="00E17D00">
        <w:t>2017</w:t>
      </w:r>
      <w:r w:rsidR="00863586">
        <w:t>)</w:t>
      </w:r>
      <w:r w:rsidR="00915862">
        <w:t>.</w:t>
      </w:r>
      <w:r w:rsidRPr="00E17D00">
        <w:t xml:space="preserve"> The efficacy of Clare’s Law in domestic violence law reform in England and Wales. </w:t>
      </w:r>
      <w:r w:rsidRPr="00E17D00">
        <w:rPr>
          <w:i/>
          <w:iCs/>
        </w:rPr>
        <w:t>Criminology &amp; Criminal Justice</w:t>
      </w:r>
      <w:r w:rsidRPr="00E17D00">
        <w:t xml:space="preserve"> 17(3):</w:t>
      </w:r>
      <w:r>
        <w:t xml:space="preserve"> </w:t>
      </w:r>
      <w:r w:rsidRPr="00E17D00">
        <w:t>284-300.</w:t>
      </w:r>
    </w:p>
    <w:p w14:paraId="230CD70E" w14:textId="2037874C" w:rsidR="00954072" w:rsidRDefault="00954072" w:rsidP="00425759">
      <w:pPr>
        <w:spacing w:line="276" w:lineRule="auto"/>
        <w:jc w:val="both"/>
      </w:pPr>
      <w:r>
        <w:t>Forbes, E</w:t>
      </w:r>
      <w:r w:rsidR="00915862">
        <w:t>.</w:t>
      </w:r>
      <w:r>
        <w:t xml:space="preserve"> (2018)</w:t>
      </w:r>
      <w:r w:rsidR="00915862">
        <w:t>.</w:t>
      </w:r>
      <w:r>
        <w:t xml:space="preserve"> </w:t>
      </w:r>
      <w:r w:rsidRPr="00026DF1">
        <w:t>The Domestic Abuse (Scotland) Act 2018: The whole story?</w:t>
      </w:r>
      <w:r>
        <w:t xml:space="preserve"> </w:t>
      </w:r>
      <w:r>
        <w:rPr>
          <w:i/>
          <w:iCs/>
        </w:rPr>
        <w:t xml:space="preserve">Edinburgh Law Review </w:t>
      </w:r>
      <w:r>
        <w:t>22(3)</w:t>
      </w:r>
      <w:r w:rsidR="00915862">
        <w:t>:</w:t>
      </w:r>
      <w:r>
        <w:t xml:space="preserve"> 406</w:t>
      </w:r>
      <w:r w:rsidR="00D37C4C">
        <w:t>-</w:t>
      </w:r>
      <w:r>
        <w:t>411</w:t>
      </w:r>
      <w:r w:rsidR="00915862">
        <w:t>.</w:t>
      </w:r>
    </w:p>
    <w:p w14:paraId="26D28410" w14:textId="37D81769" w:rsidR="005C665F" w:rsidRDefault="005C665F" w:rsidP="00425759">
      <w:pPr>
        <w:spacing w:line="276" w:lineRule="auto"/>
        <w:jc w:val="both"/>
      </w:pPr>
      <w:r>
        <w:lastRenderedPageBreak/>
        <w:t>Furman, W. &amp; Shaffer, L. (2011)</w:t>
      </w:r>
      <w:r w:rsidR="00915862">
        <w:t>.</w:t>
      </w:r>
      <w:r>
        <w:t xml:space="preserve"> Romantic </w:t>
      </w:r>
      <w:r w:rsidR="00D37C4C">
        <w:t>p</w:t>
      </w:r>
      <w:r>
        <w:t xml:space="preserve">artners, </w:t>
      </w:r>
      <w:r w:rsidR="00D37C4C">
        <w:t>f</w:t>
      </w:r>
      <w:r>
        <w:t xml:space="preserve">riends, </w:t>
      </w:r>
      <w:r w:rsidR="00D37C4C">
        <w:t>f</w:t>
      </w:r>
      <w:r>
        <w:t xml:space="preserve">riends with </w:t>
      </w:r>
      <w:r w:rsidR="00D37C4C">
        <w:t>b</w:t>
      </w:r>
      <w:r>
        <w:t xml:space="preserve">enefits, and </w:t>
      </w:r>
      <w:r w:rsidR="00D37C4C">
        <w:t>c</w:t>
      </w:r>
      <w:r>
        <w:t xml:space="preserve">asual </w:t>
      </w:r>
      <w:r w:rsidR="00D37C4C">
        <w:t>a</w:t>
      </w:r>
      <w:r w:rsidR="00966CD5">
        <w:t>cquaintances</w:t>
      </w:r>
      <w:r>
        <w:t xml:space="preserve"> as </w:t>
      </w:r>
      <w:r w:rsidR="00D37C4C">
        <w:t>s</w:t>
      </w:r>
      <w:r>
        <w:t xml:space="preserve">exual </w:t>
      </w:r>
      <w:r w:rsidR="00D37C4C">
        <w:t>p</w:t>
      </w:r>
      <w:r>
        <w:t>artners</w:t>
      </w:r>
      <w:r w:rsidR="00C101FC">
        <w:t>.</w:t>
      </w:r>
      <w:r>
        <w:t xml:space="preserve"> </w:t>
      </w:r>
      <w:r w:rsidRPr="005C665F">
        <w:rPr>
          <w:i/>
        </w:rPr>
        <w:t>Journal of Sex Research</w:t>
      </w:r>
      <w:r>
        <w:t xml:space="preserve"> 48(6)</w:t>
      </w:r>
      <w:r w:rsidR="00C101FC">
        <w:t>:</w:t>
      </w:r>
      <w:r>
        <w:t xml:space="preserve"> 554-564</w:t>
      </w:r>
      <w:r w:rsidR="00C101FC">
        <w:t>.</w:t>
      </w:r>
    </w:p>
    <w:p w14:paraId="668B1B16" w14:textId="31CB093D" w:rsidR="00E17D00" w:rsidRDefault="00E17D00" w:rsidP="00425759">
      <w:pPr>
        <w:spacing w:line="276" w:lineRule="auto"/>
        <w:jc w:val="both"/>
      </w:pPr>
      <w:r w:rsidRPr="00E17D00">
        <w:t xml:space="preserve">Grace, J. </w:t>
      </w:r>
      <w:r w:rsidR="00863586">
        <w:t>(</w:t>
      </w:r>
      <w:r w:rsidRPr="00E17D00">
        <w:t>2021</w:t>
      </w:r>
      <w:r w:rsidR="00863586">
        <w:t>)</w:t>
      </w:r>
      <w:r w:rsidR="00C101FC">
        <w:t>.</w:t>
      </w:r>
      <w:r w:rsidRPr="00E17D00">
        <w:t xml:space="preserve"> </w:t>
      </w:r>
      <w:r w:rsidRPr="00E17D00">
        <w:rPr>
          <w:i/>
          <w:iCs/>
        </w:rPr>
        <w:t>Domestic Abuse Disclosure Schemes: Problems with Policy, Regulation and Legality</w:t>
      </w:r>
      <w:r w:rsidRPr="00E17D00">
        <w:t xml:space="preserve">. </w:t>
      </w:r>
      <w:r w:rsidR="00484100">
        <w:t xml:space="preserve">Cham: </w:t>
      </w:r>
      <w:r w:rsidRPr="00E17D00">
        <w:t>Springer Nature.</w:t>
      </w:r>
    </w:p>
    <w:p w14:paraId="3C1FAA01" w14:textId="5E1B2544" w:rsidR="00863586" w:rsidRDefault="00863586" w:rsidP="00425759">
      <w:pPr>
        <w:spacing w:line="276" w:lineRule="auto"/>
        <w:jc w:val="both"/>
      </w:pPr>
      <w:r w:rsidRPr="00863586">
        <w:t>Grace, J. (2015)</w:t>
      </w:r>
      <w:r w:rsidR="00C101FC">
        <w:t>.</w:t>
      </w:r>
      <w:r w:rsidRPr="00863586">
        <w:t xml:space="preserve"> Clare's Law, or the national Domestic Violence Disclosure Scheme: </w:t>
      </w:r>
      <w:r w:rsidR="000F09FC">
        <w:t>T</w:t>
      </w:r>
      <w:r w:rsidRPr="00863586">
        <w:t>he contested legalities of criminality information sharing. </w:t>
      </w:r>
      <w:r w:rsidRPr="00863586">
        <w:rPr>
          <w:i/>
          <w:iCs/>
        </w:rPr>
        <w:t>The Journal of Criminal Law </w:t>
      </w:r>
      <w:r w:rsidRPr="000F09FC">
        <w:t>79</w:t>
      </w:r>
      <w:r w:rsidRPr="00863586">
        <w:t>(1)</w:t>
      </w:r>
      <w:r>
        <w:t>:</w:t>
      </w:r>
      <w:r w:rsidRPr="00863586">
        <w:t xml:space="preserve"> 36-45</w:t>
      </w:r>
      <w:r w:rsidR="00C101FC">
        <w:t>.</w:t>
      </w:r>
    </w:p>
    <w:p w14:paraId="1E4568AC" w14:textId="29CEE987" w:rsidR="00E17D00" w:rsidRDefault="00E35710" w:rsidP="00425759">
      <w:pPr>
        <w:spacing w:line="276" w:lineRule="auto"/>
        <w:jc w:val="both"/>
        <w:rPr>
          <w:rFonts w:cstheme="minorHAnsi"/>
        </w:rPr>
      </w:pPr>
      <w:proofErr w:type="spellStart"/>
      <w:r w:rsidRPr="00E35710">
        <w:rPr>
          <w:rFonts w:cstheme="minorHAnsi"/>
        </w:rPr>
        <w:t>Hadjimatheou</w:t>
      </w:r>
      <w:proofErr w:type="spellEnd"/>
      <w:r w:rsidR="00D01554">
        <w:rPr>
          <w:rFonts w:cstheme="minorHAnsi"/>
        </w:rPr>
        <w:t>, K. &amp; Grace, J. (2020).</w:t>
      </w:r>
      <w:r w:rsidR="00053E23" w:rsidRPr="00053E23">
        <w:t xml:space="preserve"> </w:t>
      </w:r>
      <w:r w:rsidR="00053E23" w:rsidRPr="00053E23">
        <w:rPr>
          <w:rFonts w:cstheme="minorHAnsi"/>
        </w:rPr>
        <w:t>‘No black and white answer about how far we can go’:</w:t>
      </w:r>
      <w:r w:rsidR="00D01554">
        <w:rPr>
          <w:rFonts w:cstheme="minorHAnsi"/>
        </w:rPr>
        <w:t xml:space="preserve"> </w:t>
      </w:r>
      <w:r w:rsidR="00626DB3">
        <w:rPr>
          <w:rFonts w:cstheme="minorHAnsi"/>
        </w:rPr>
        <w:t>P</w:t>
      </w:r>
      <w:r w:rsidR="00E17D00" w:rsidRPr="00053E23">
        <w:rPr>
          <w:rFonts w:cstheme="minorHAnsi"/>
        </w:rPr>
        <w:t xml:space="preserve">olice decision making under the Domestic Violence Disclosure Scheme. </w:t>
      </w:r>
      <w:r w:rsidR="00E17D00" w:rsidRPr="00053E23">
        <w:rPr>
          <w:rFonts w:cstheme="minorHAnsi"/>
          <w:i/>
          <w:iCs/>
        </w:rPr>
        <w:t>Policing and Society</w:t>
      </w:r>
      <w:r w:rsidR="00E17D00" w:rsidRPr="00053E23">
        <w:rPr>
          <w:rFonts w:cstheme="minorHAnsi"/>
        </w:rPr>
        <w:t xml:space="preserve"> 3</w:t>
      </w:r>
      <w:r w:rsidR="00626DB3">
        <w:rPr>
          <w:rFonts w:cstheme="minorHAnsi"/>
        </w:rPr>
        <w:t>1</w:t>
      </w:r>
      <w:r w:rsidR="00E17D00" w:rsidRPr="00053E23">
        <w:rPr>
          <w:rFonts w:cstheme="minorHAnsi"/>
        </w:rPr>
        <w:t>(7)</w:t>
      </w:r>
      <w:r w:rsidR="00C101FC" w:rsidRPr="00053E23">
        <w:rPr>
          <w:rFonts w:cstheme="minorHAnsi"/>
        </w:rPr>
        <w:t>:</w:t>
      </w:r>
      <w:r w:rsidR="00E17D00" w:rsidRPr="00053E23">
        <w:rPr>
          <w:rFonts w:cstheme="minorHAnsi"/>
        </w:rPr>
        <w:t xml:space="preserve"> 834-847</w:t>
      </w:r>
      <w:r w:rsidR="00C101FC" w:rsidRPr="00053E23">
        <w:rPr>
          <w:rFonts w:cstheme="minorHAnsi"/>
        </w:rPr>
        <w:t>.</w:t>
      </w:r>
    </w:p>
    <w:p w14:paraId="01D7BBE0" w14:textId="5C772AD3" w:rsidR="009F33E5" w:rsidRPr="00F757E5" w:rsidRDefault="009F33E5" w:rsidP="00425759">
      <w:pPr>
        <w:spacing w:line="276" w:lineRule="auto"/>
        <w:jc w:val="both"/>
      </w:pPr>
      <w:r>
        <w:t>Holmes, M. (2004)</w:t>
      </w:r>
      <w:r w:rsidR="00C101FC">
        <w:t>.</w:t>
      </w:r>
      <w:r>
        <w:t xml:space="preserve"> An equal distance? Individualisation, gender and intimacy in distance relationships</w:t>
      </w:r>
      <w:r w:rsidR="00C101FC">
        <w:t>.</w:t>
      </w:r>
      <w:r>
        <w:t xml:space="preserve"> </w:t>
      </w:r>
      <w:r w:rsidRPr="00C867D5">
        <w:rPr>
          <w:i/>
        </w:rPr>
        <w:t>The Sociological Review</w:t>
      </w:r>
      <w:r w:rsidR="00253871">
        <w:t xml:space="preserve"> </w:t>
      </w:r>
      <w:r w:rsidR="00C867D5">
        <w:t>52(2)</w:t>
      </w:r>
      <w:r w:rsidR="00C101FC">
        <w:t>:</w:t>
      </w:r>
      <w:r w:rsidR="00253871">
        <w:t xml:space="preserve"> </w:t>
      </w:r>
      <w:r w:rsidR="00C867D5">
        <w:t>180-200</w:t>
      </w:r>
      <w:r w:rsidR="00C101FC">
        <w:t>.</w:t>
      </w:r>
    </w:p>
    <w:p w14:paraId="7998B32B" w14:textId="02FD1D04" w:rsidR="00F757E5" w:rsidRPr="00F757E5" w:rsidRDefault="00F757E5" w:rsidP="00425759">
      <w:pPr>
        <w:spacing w:line="276" w:lineRule="auto"/>
        <w:jc w:val="both"/>
      </w:pPr>
      <w:r w:rsidRPr="00F757E5">
        <w:t>Home Office</w:t>
      </w:r>
      <w:r w:rsidR="007A4354">
        <w:t>.</w:t>
      </w:r>
      <w:r w:rsidRPr="00F757E5">
        <w:t xml:space="preserve"> (2013)</w:t>
      </w:r>
      <w:r w:rsidR="007A4354">
        <w:t>.</w:t>
      </w:r>
      <w:r w:rsidRPr="00F757E5">
        <w:t xml:space="preserve"> </w:t>
      </w:r>
      <w:r w:rsidRPr="00904953">
        <w:rPr>
          <w:i/>
        </w:rPr>
        <w:t>Domestic Violence Disclosure Scheme (DVDS) Guidance</w:t>
      </w:r>
      <w:r w:rsidR="00B52D13">
        <w:rPr>
          <w:iCs/>
        </w:rPr>
        <w:t>.</w:t>
      </w:r>
      <w:r w:rsidRPr="00F757E5">
        <w:rPr>
          <w:iCs/>
        </w:rPr>
        <w:t xml:space="preserve"> </w:t>
      </w:r>
      <w:r w:rsidR="00485D7D">
        <w:rPr>
          <w:iCs/>
        </w:rPr>
        <w:t xml:space="preserve">London: </w:t>
      </w:r>
      <w:r w:rsidRPr="00F757E5">
        <w:t>Home Office</w:t>
      </w:r>
      <w:r w:rsidR="002C2EDE">
        <w:t>.</w:t>
      </w:r>
    </w:p>
    <w:p w14:paraId="49E80D3F" w14:textId="12A49071" w:rsidR="00707A97" w:rsidRDefault="00925AAD" w:rsidP="00425759">
      <w:pPr>
        <w:spacing w:line="276" w:lineRule="auto"/>
        <w:jc w:val="both"/>
      </w:pPr>
      <w:r>
        <w:t>Home Office</w:t>
      </w:r>
      <w:r w:rsidR="00084E42">
        <w:t>.</w:t>
      </w:r>
      <w:r>
        <w:t xml:space="preserve"> (2016)</w:t>
      </w:r>
      <w:r w:rsidR="007A4354">
        <w:t>.</w:t>
      </w:r>
      <w:r>
        <w:t xml:space="preserve"> </w:t>
      </w:r>
      <w:r w:rsidRPr="00904953">
        <w:rPr>
          <w:i/>
          <w:iCs/>
        </w:rPr>
        <w:t>Domestic Violence Disclosure Scheme (DVDS) Guidance</w:t>
      </w:r>
      <w:r w:rsidR="00B52D13">
        <w:t>.</w:t>
      </w:r>
      <w:r>
        <w:t xml:space="preserve"> </w:t>
      </w:r>
      <w:r w:rsidR="00485D7D">
        <w:t xml:space="preserve">London: </w:t>
      </w:r>
      <w:r>
        <w:t>Home Offic</w:t>
      </w:r>
      <w:r w:rsidR="00485D7D">
        <w:t>e</w:t>
      </w:r>
      <w:r w:rsidR="002C2EDE">
        <w:t>.</w:t>
      </w:r>
      <w:r>
        <w:t xml:space="preserve"> </w:t>
      </w:r>
    </w:p>
    <w:p w14:paraId="56852238" w14:textId="576146F6" w:rsidR="00E864AD" w:rsidRDefault="00E864AD" w:rsidP="00425759">
      <w:pPr>
        <w:spacing w:line="276" w:lineRule="auto"/>
        <w:jc w:val="both"/>
      </w:pPr>
      <w:r>
        <w:t>Home Office</w:t>
      </w:r>
      <w:r w:rsidR="00084E42">
        <w:t>.</w:t>
      </w:r>
      <w:r>
        <w:t xml:space="preserve"> (2023)</w:t>
      </w:r>
      <w:r w:rsidR="007A4354">
        <w:t>.</w:t>
      </w:r>
      <w:r>
        <w:t xml:space="preserve"> </w:t>
      </w:r>
      <w:r w:rsidR="00234C5A" w:rsidRPr="00904953">
        <w:rPr>
          <w:i/>
          <w:iCs/>
        </w:rPr>
        <w:t xml:space="preserve">Domestic Violence Disclosure Scheme (DVDS) </w:t>
      </w:r>
      <w:r w:rsidR="00FF6A8C">
        <w:rPr>
          <w:i/>
          <w:iCs/>
        </w:rPr>
        <w:t xml:space="preserve">Statutory </w:t>
      </w:r>
      <w:r w:rsidR="00234C5A" w:rsidRPr="00904953">
        <w:rPr>
          <w:i/>
          <w:iCs/>
        </w:rPr>
        <w:t>Guidance</w:t>
      </w:r>
      <w:r w:rsidR="00B52D13">
        <w:t>.</w:t>
      </w:r>
      <w:r w:rsidR="00234C5A">
        <w:t xml:space="preserve"> </w:t>
      </w:r>
      <w:r w:rsidR="00485D7D">
        <w:t xml:space="preserve">London: </w:t>
      </w:r>
      <w:r w:rsidR="00234C5A">
        <w:t>Home Office</w:t>
      </w:r>
      <w:r w:rsidR="002C2EDE">
        <w:t>.</w:t>
      </w:r>
      <w:r w:rsidR="00234C5A">
        <w:t xml:space="preserve"> </w:t>
      </w:r>
    </w:p>
    <w:p w14:paraId="77AACDD6" w14:textId="1A469CC0" w:rsidR="00266C4C" w:rsidRDefault="00266C4C" w:rsidP="00425759">
      <w:pPr>
        <w:spacing w:line="276" w:lineRule="auto"/>
        <w:jc w:val="both"/>
      </w:pPr>
      <w:r>
        <w:t>Jamieson, L. (1998</w:t>
      </w:r>
      <w:r w:rsidRPr="003661F4">
        <w:rPr>
          <w:iCs/>
        </w:rPr>
        <w:t>)</w:t>
      </w:r>
      <w:r w:rsidR="007A4354">
        <w:rPr>
          <w:iCs/>
        </w:rPr>
        <w:t>.</w:t>
      </w:r>
      <w:r w:rsidRPr="00295C92">
        <w:rPr>
          <w:i/>
        </w:rPr>
        <w:t xml:space="preserve"> </w:t>
      </w:r>
      <w:r w:rsidR="00295C92" w:rsidRPr="00295C92">
        <w:rPr>
          <w:i/>
        </w:rPr>
        <w:t>Intimacy: Personal Relationships in Modern Society</w:t>
      </w:r>
      <w:r w:rsidR="004618FC">
        <w:rPr>
          <w:iCs/>
        </w:rPr>
        <w:t>.</w:t>
      </w:r>
      <w:r w:rsidR="003661F4">
        <w:t xml:space="preserve"> </w:t>
      </w:r>
      <w:r w:rsidR="00295C92">
        <w:t>Cambridge and Oxford: Polity Press and Blackwells</w:t>
      </w:r>
      <w:r w:rsidR="002C2EDE">
        <w:t>.</w:t>
      </w:r>
    </w:p>
    <w:p w14:paraId="7C2444B1" w14:textId="59D45799" w:rsidR="00A60730" w:rsidRDefault="00A60730" w:rsidP="00425759">
      <w:pPr>
        <w:spacing w:line="276" w:lineRule="auto"/>
        <w:jc w:val="both"/>
      </w:pPr>
      <w:r w:rsidRPr="00C24794">
        <w:t>Katz, E., Nikupeteri, A. &amp; Laitinen, M. (2020)</w:t>
      </w:r>
      <w:r w:rsidR="007A4354" w:rsidRPr="00C24794">
        <w:t>.</w:t>
      </w:r>
      <w:r w:rsidRPr="00C24794">
        <w:t xml:space="preserve"> </w:t>
      </w:r>
      <w:r>
        <w:t xml:space="preserve">When </w:t>
      </w:r>
      <w:r w:rsidR="00365232">
        <w:t>c</w:t>
      </w:r>
      <w:r>
        <w:t xml:space="preserve">oercive </w:t>
      </w:r>
      <w:r w:rsidR="00365232">
        <w:t>c</w:t>
      </w:r>
      <w:r>
        <w:t xml:space="preserve">ontrol </w:t>
      </w:r>
      <w:r w:rsidR="00365232">
        <w:t>c</w:t>
      </w:r>
      <w:r>
        <w:t xml:space="preserve">ontinues to </w:t>
      </w:r>
      <w:r w:rsidR="00365232">
        <w:t>h</w:t>
      </w:r>
      <w:r>
        <w:t xml:space="preserve">arm </w:t>
      </w:r>
      <w:r w:rsidR="00365232">
        <w:t>c</w:t>
      </w:r>
      <w:r>
        <w:t xml:space="preserve">hildren: Post </w:t>
      </w:r>
      <w:r w:rsidR="00365232">
        <w:t>s</w:t>
      </w:r>
      <w:r>
        <w:t xml:space="preserve">eparation </w:t>
      </w:r>
      <w:r w:rsidR="00365232">
        <w:t>f</w:t>
      </w:r>
      <w:r>
        <w:t xml:space="preserve">athering, </w:t>
      </w:r>
      <w:r w:rsidR="00365232">
        <w:t>s</w:t>
      </w:r>
      <w:r>
        <w:t xml:space="preserve">talking and </w:t>
      </w:r>
      <w:r w:rsidR="00365232">
        <w:t>d</w:t>
      </w:r>
      <w:r>
        <w:t xml:space="preserve">omestic </w:t>
      </w:r>
      <w:r w:rsidR="00365232">
        <w:t>v</w:t>
      </w:r>
      <w:r>
        <w:t>iolence</w:t>
      </w:r>
      <w:r w:rsidR="00B52D13">
        <w:t>.</w:t>
      </w:r>
      <w:r>
        <w:t xml:space="preserve"> </w:t>
      </w:r>
      <w:r w:rsidRPr="00A60730">
        <w:rPr>
          <w:i/>
        </w:rPr>
        <w:t>Child Abuse Review</w:t>
      </w:r>
      <w:r>
        <w:t xml:space="preserve"> 29</w:t>
      </w:r>
      <w:r w:rsidR="00B52D13">
        <w:t>:</w:t>
      </w:r>
      <w:r>
        <w:t xml:space="preserve"> 310</w:t>
      </w:r>
      <w:r w:rsidR="00365232">
        <w:t>-</w:t>
      </w:r>
      <w:r>
        <w:t>324</w:t>
      </w:r>
      <w:r w:rsidR="002C2EDE">
        <w:t>.</w:t>
      </w:r>
    </w:p>
    <w:p w14:paraId="7EA6F5AF" w14:textId="69F23AAE" w:rsidR="00BE6D07" w:rsidRPr="00AC2BC3" w:rsidRDefault="00BE6D07" w:rsidP="00425759">
      <w:pPr>
        <w:spacing w:line="276" w:lineRule="auto"/>
        <w:jc w:val="both"/>
      </w:pPr>
      <w:r>
        <w:t>Logan</w:t>
      </w:r>
      <w:r w:rsidRPr="005C665F">
        <w:rPr>
          <w:rFonts w:cstheme="minorHAnsi"/>
        </w:rPr>
        <w:t>, T.K. &amp; Walker, R. (2004)</w:t>
      </w:r>
      <w:r w:rsidR="007A4354">
        <w:rPr>
          <w:rFonts w:cstheme="minorHAnsi"/>
        </w:rPr>
        <w:t>.</w:t>
      </w:r>
      <w:r w:rsidRPr="005C665F">
        <w:rPr>
          <w:rFonts w:cstheme="minorHAnsi"/>
        </w:rPr>
        <w:t xml:space="preserve"> Separation as a </w:t>
      </w:r>
      <w:r w:rsidR="003C7AAC">
        <w:rPr>
          <w:rFonts w:cstheme="minorHAnsi"/>
        </w:rPr>
        <w:t>r</w:t>
      </w:r>
      <w:r w:rsidRPr="005C665F">
        <w:rPr>
          <w:rFonts w:cstheme="minorHAnsi"/>
        </w:rPr>
        <w:t xml:space="preserve">isk </w:t>
      </w:r>
      <w:r w:rsidR="003C7AAC">
        <w:rPr>
          <w:rFonts w:cstheme="minorHAnsi"/>
        </w:rPr>
        <w:t>f</w:t>
      </w:r>
      <w:r w:rsidRPr="00AC2BC3">
        <w:t xml:space="preserve">actor for </w:t>
      </w:r>
      <w:r w:rsidR="003C7AAC">
        <w:t>v</w:t>
      </w:r>
      <w:r w:rsidRPr="00AC2BC3">
        <w:t xml:space="preserve">ictims of </w:t>
      </w:r>
      <w:r w:rsidR="003C7AAC">
        <w:t>i</w:t>
      </w:r>
      <w:r w:rsidRPr="00AC2BC3">
        <w:t xml:space="preserve">ntimate </w:t>
      </w:r>
      <w:r w:rsidR="003C7AAC">
        <w:t>p</w:t>
      </w:r>
      <w:r w:rsidRPr="00AC2BC3">
        <w:t xml:space="preserve">artner </w:t>
      </w:r>
      <w:r w:rsidR="003C7AAC">
        <w:t>v</w:t>
      </w:r>
      <w:r w:rsidRPr="00AC2BC3">
        <w:t xml:space="preserve">iolence: Beyond </w:t>
      </w:r>
      <w:r w:rsidR="003C7AAC">
        <w:t>l</w:t>
      </w:r>
      <w:r w:rsidRPr="00AC2BC3">
        <w:t xml:space="preserve">ethality and </w:t>
      </w:r>
      <w:r w:rsidR="003C7AAC">
        <w:t>i</w:t>
      </w:r>
      <w:r w:rsidRPr="00AC2BC3">
        <w:t xml:space="preserve">njury: A </w:t>
      </w:r>
      <w:r w:rsidR="003C7AAC">
        <w:t>r</w:t>
      </w:r>
      <w:r w:rsidRPr="00AC2BC3">
        <w:t>esponse to Campbell</w:t>
      </w:r>
      <w:r w:rsidR="00B52D13">
        <w:t>.</w:t>
      </w:r>
      <w:r w:rsidR="00AC2BC3" w:rsidRPr="00AC2BC3">
        <w:t xml:space="preserve"> </w:t>
      </w:r>
      <w:r w:rsidR="00AC2BC3">
        <w:rPr>
          <w:i/>
          <w:iCs/>
        </w:rPr>
        <w:t xml:space="preserve">Interpersonal Violence </w:t>
      </w:r>
      <w:r w:rsidR="00AC2BC3" w:rsidRPr="00AC2BC3">
        <w:t>19(12)</w:t>
      </w:r>
      <w:r w:rsidR="00B52D13">
        <w:t>:</w:t>
      </w:r>
      <w:r w:rsidR="00AC2BC3">
        <w:t xml:space="preserve"> </w:t>
      </w:r>
      <w:r w:rsidR="00AC2BC3" w:rsidRPr="00AC2BC3">
        <w:t>1478</w:t>
      </w:r>
      <w:r w:rsidR="003C7AAC">
        <w:t>-</w:t>
      </w:r>
      <w:r w:rsidR="00AC2BC3">
        <w:t>14</w:t>
      </w:r>
      <w:r w:rsidR="00AC2BC3" w:rsidRPr="00AC2BC3">
        <w:t>86.</w:t>
      </w:r>
    </w:p>
    <w:p w14:paraId="56F24C15" w14:textId="5403A04E" w:rsidR="00BE6D07" w:rsidRDefault="00BE6D07" w:rsidP="003C7AAC">
      <w:pPr>
        <w:autoSpaceDE w:val="0"/>
        <w:autoSpaceDN w:val="0"/>
        <w:adjustRightInd w:val="0"/>
        <w:spacing w:after="0" w:line="276" w:lineRule="auto"/>
        <w:jc w:val="both"/>
        <w:rPr>
          <w:rFonts w:cstheme="minorHAnsi"/>
        </w:rPr>
      </w:pPr>
      <w:r w:rsidRPr="005C665F">
        <w:rPr>
          <w:rFonts w:cstheme="minorHAnsi"/>
        </w:rPr>
        <w:t>McFarlane, J., Campbell, J., Wilt, S., Sachs, C., Ulrich, Y. &amp; Xu, X. (1999). Stalking and intimate</w:t>
      </w:r>
      <w:r w:rsidR="003C7AAC">
        <w:rPr>
          <w:rFonts w:cstheme="minorHAnsi"/>
        </w:rPr>
        <w:t xml:space="preserve"> </w:t>
      </w:r>
      <w:r w:rsidRPr="005C665F">
        <w:rPr>
          <w:rFonts w:cstheme="minorHAnsi"/>
        </w:rPr>
        <w:t>partner femicide</w:t>
      </w:r>
      <w:r w:rsidR="00B52D13">
        <w:rPr>
          <w:rFonts w:cstheme="minorHAnsi"/>
        </w:rPr>
        <w:t>.</w:t>
      </w:r>
      <w:r w:rsidR="007A02E0">
        <w:rPr>
          <w:rFonts w:cstheme="minorHAnsi"/>
        </w:rPr>
        <w:t xml:space="preserve"> </w:t>
      </w:r>
      <w:r w:rsidRPr="005C665F">
        <w:rPr>
          <w:rFonts w:cstheme="minorHAnsi"/>
          <w:i/>
          <w:iCs/>
        </w:rPr>
        <w:t>Homicide Studies</w:t>
      </w:r>
      <w:r w:rsidRPr="005C665F">
        <w:rPr>
          <w:rFonts w:cstheme="minorHAnsi"/>
        </w:rPr>
        <w:t xml:space="preserve"> </w:t>
      </w:r>
      <w:r w:rsidRPr="007A02E0">
        <w:rPr>
          <w:rFonts w:cstheme="minorHAnsi"/>
        </w:rPr>
        <w:t>3(4</w:t>
      </w:r>
      <w:r w:rsidR="007A02E0">
        <w:rPr>
          <w:rFonts w:cstheme="minorHAnsi"/>
        </w:rPr>
        <w:t>)</w:t>
      </w:r>
      <w:r w:rsidR="00B52D13">
        <w:rPr>
          <w:rFonts w:cstheme="minorHAnsi"/>
        </w:rPr>
        <w:t>:</w:t>
      </w:r>
      <w:r w:rsidRPr="005C665F">
        <w:rPr>
          <w:rFonts w:cstheme="minorHAnsi"/>
        </w:rPr>
        <w:t xml:space="preserve"> 300</w:t>
      </w:r>
      <w:r w:rsidR="003C7AAC">
        <w:rPr>
          <w:rFonts w:cstheme="minorHAnsi"/>
        </w:rPr>
        <w:t>-</w:t>
      </w:r>
      <w:r w:rsidR="007A02E0">
        <w:rPr>
          <w:rFonts w:cstheme="minorHAnsi"/>
        </w:rPr>
        <w:t>316</w:t>
      </w:r>
      <w:r w:rsidR="002C2EDE">
        <w:rPr>
          <w:rFonts w:cstheme="minorHAnsi"/>
        </w:rPr>
        <w:t>.</w:t>
      </w:r>
    </w:p>
    <w:p w14:paraId="179DAB1A" w14:textId="77777777" w:rsidR="003C7AAC" w:rsidRDefault="003C7AAC" w:rsidP="003C7AAC">
      <w:pPr>
        <w:autoSpaceDE w:val="0"/>
        <w:autoSpaceDN w:val="0"/>
        <w:adjustRightInd w:val="0"/>
        <w:spacing w:after="0" w:line="276" w:lineRule="auto"/>
        <w:jc w:val="both"/>
        <w:rPr>
          <w:rFonts w:cstheme="minorHAnsi"/>
        </w:rPr>
      </w:pPr>
    </w:p>
    <w:p w14:paraId="2217DEA4" w14:textId="7B55D9E5" w:rsidR="00E505C1" w:rsidRPr="00E505C1" w:rsidRDefault="00E505C1" w:rsidP="00425759">
      <w:pPr>
        <w:spacing w:line="276" w:lineRule="auto"/>
        <w:jc w:val="both"/>
        <w:rPr>
          <w:rFonts w:cstheme="minorHAnsi"/>
        </w:rPr>
      </w:pPr>
      <w:r>
        <w:rPr>
          <w:rFonts w:cstheme="minorHAnsi"/>
        </w:rPr>
        <w:t>Parliamentary Counsel Office</w:t>
      </w:r>
      <w:r w:rsidR="00084E42">
        <w:rPr>
          <w:rFonts w:cstheme="minorHAnsi"/>
        </w:rPr>
        <w:t>.</w:t>
      </w:r>
      <w:r>
        <w:rPr>
          <w:rFonts w:cstheme="minorHAnsi"/>
        </w:rPr>
        <w:t xml:space="preserve"> (2018)</w:t>
      </w:r>
      <w:r w:rsidR="007A4354">
        <w:rPr>
          <w:rFonts w:cstheme="minorHAnsi"/>
        </w:rPr>
        <w:t>.</w:t>
      </w:r>
      <w:r>
        <w:rPr>
          <w:rFonts w:cstheme="minorHAnsi"/>
        </w:rPr>
        <w:t xml:space="preserve"> </w:t>
      </w:r>
      <w:r>
        <w:rPr>
          <w:rFonts w:cstheme="minorHAnsi"/>
          <w:i/>
          <w:iCs/>
        </w:rPr>
        <w:t>Drafting Matters! Guidance</w:t>
      </w:r>
      <w:r w:rsidR="00B52D13">
        <w:rPr>
          <w:rFonts w:cstheme="minorHAnsi"/>
          <w:i/>
          <w:iCs/>
        </w:rPr>
        <w:t>.</w:t>
      </w:r>
      <w:r>
        <w:rPr>
          <w:rFonts w:cstheme="minorHAnsi"/>
        </w:rPr>
        <w:t xml:space="preserve"> </w:t>
      </w:r>
      <w:r w:rsidR="00D82625">
        <w:rPr>
          <w:rFonts w:cstheme="minorHAnsi"/>
        </w:rPr>
        <w:t xml:space="preserve">Edinburgh: </w:t>
      </w:r>
      <w:r w:rsidR="00FB3BF3">
        <w:rPr>
          <w:rFonts w:cstheme="minorHAnsi"/>
        </w:rPr>
        <w:t>Scottish Government</w:t>
      </w:r>
      <w:r w:rsidR="002C2EDE">
        <w:rPr>
          <w:rFonts w:cstheme="minorHAnsi"/>
        </w:rPr>
        <w:t>.</w:t>
      </w:r>
    </w:p>
    <w:p w14:paraId="33DB42AB" w14:textId="34D20156" w:rsidR="00FC33EE" w:rsidRDefault="00FC33EE" w:rsidP="00425759">
      <w:pPr>
        <w:spacing w:line="276" w:lineRule="auto"/>
        <w:jc w:val="both"/>
        <w:rPr>
          <w:rFonts w:cstheme="minorHAnsi"/>
        </w:rPr>
      </w:pPr>
      <w:r w:rsidRPr="00AF70AB">
        <w:rPr>
          <w:rFonts w:cstheme="minorHAnsi"/>
        </w:rPr>
        <w:t>Police Scotland</w:t>
      </w:r>
      <w:r w:rsidR="00084E42">
        <w:rPr>
          <w:rFonts w:cstheme="minorHAnsi"/>
        </w:rPr>
        <w:t>.</w:t>
      </w:r>
      <w:r w:rsidRPr="00AF70AB">
        <w:rPr>
          <w:rFonts w:cstheme="minorHAnsi"/>
        </w:rPr>
        <w:t xml:space="preserve"> (2021a)</w:t>
      </w:r>
      <w:r w:rsidR="007A4354">
        <w:rPr>
          <w:rFonts w:cstheme="minorHAnsi"/>
        </w:rPr>
        <w:t>.</w:t>
      </w:r>
      <w:r w:rsidR="00CE673B" w:rsidRPr="00AF70AB">
        <w:rPr>
          <w:rFonts w:cstheme="minorHAnsi"/>
        </w:rPr>
        <w:t xml:space="preserve"> </w:t>
      </w:r>
      <w:r w:rsidR="00CE673B" w:rsidRPr="00AF70AB">
        <w:rPr>
          <w:rFonts w:cstheme="minorHAnsi"/>
          <w:i/>
        </w:rPr>
        <w:t>4500</w:t>
      </w:r>
      <w:r w:rsidR="00CE673B" w:rsidRPr="005673EF">
        <w:rPr>
          <w:rFonts w:cstheme="minorHAnsi"/>
          <w:i/>
        </w:rPr>
        <w:t xml:space="preserve"> </w:t>
      </w:r>
      <w:r w:rsidR="00D82625">
        <w:rPr>
          <w:rFonts w:cstheme="minorHAnsi"/>
          <w:i/>
        </w:rPr>
        <w:t>p</w:t>
      </w:r>
      <w:r w:rsidR="00CE673B" w:rsidRPr="005673EF">
        <w:rPr>
          <w:rFonts w:cstheme="minorHAnsi"/>
          <w:i/>
        </w:rPr>
        <w:t>eople told of partner</w:t>
      </w:r>
      <w:r w:rsidR="005673EF" w:rsidRPr="005673EF">
        <w:rPr>
          <w:rFonts w:cstheme="minorHAnsi"/>
          <w:i/>
        </w:rPr>
        <w:t>’s abusive past</w:t>
      </w:r>
      <w:r w:rsidR="00D82625">
        <w:rPr>
          <w:rFonts w:cstheme="minorHAnsi"/>
        </w:rPr>
        <w:t>.</w:t>
      </w:r>
      <w:r w:rsidR="009F33E5">
        <w:rPr>
          <w:rFonts w:cstheme="minorHAnsi"/>
        </w:rPr>
        <w:t xml:space="preserve"> </w:t>
      </w:r>
      <w:r w:rsidR="0086003C">
        <w:rPr>
          <w:rFonts w:cstheme="minorHAnsi"/>
        </w:rPr>
        <w:t xml:space="preserve">Available at: </w:t>
      </w:r>
      <w:hyperlink r:id="rId11" w:history="1">
        <w:r w:rsidR="002C2EDE" w:rsidRPr="00441A0E">
          <w:rPr>
            <w:rStyle w:val="Hyperlink"/>
          </w:rPr>
          <w:t>https://www.scotland.police.uk/what-s-happening/news/2020/october/dsdas-5th-anniversary-2020/</w:t>
        </w:r>
      </w:hyperlink>
      <w:r w:rsidR="002C2EDE">
        <w:t xml:space="preserve"> (accessed 27.07.23).</w:t>
      </w:r>
    </w:p>
    <w:p w14:paraId="54A3A86E" w14:textId="58C9753B" w:rsidR="00FC33EE" w:rsidRPr="00A21CA4" w:rsidRDefault="00FC33EE" w:rsidP="00425759">
      <w:pPr>
        <w:spacing w:line="276" w:lineRule="auto"/>
        <w:jc w:val="both"/>
        <w:rPr>
          <w:rFonts w:cstheme="minorHAnsi"/>
        </w:rPr>
      </w:pPr>
      <w:r>
        <w:rPr>
          <w:rFonts w:cstheme="minorHAnsi"/>
        </w:rPr>
        <w:t>Police Scotland</w:t>
      </w:r>
      <w:r w:rsidR="00084E42">
        <w:rPr>
          <w:rFonts w:cstheme="minorHAnsi"/>
        </w:rPr>
        <w:t>.</w:t>
      </w:r>
      <w:r>
        <w:rPr>
          <w:rFonts w:cstheme="minorHAnsi"/>
        </w:rPr>
        <w:t xml:space="preserve"> (2021b)</w:t>
      </w:r>
      <w:r w:rsidR="007A4354">
        <w:rPr>
          <w:rFonts w:cstheme="minorHAnsi"/>
        </w:rPr>
        <w:t>.</w:t>
      </w:r>
      <w:r w:rsidR="00A21CA4">
        <w:rPr>
          <w:rFonts w:cstheme="minorHAnsi"/>
        </w:rPr>
        <w:t xml:space="preserve"> </w:t>
      </w:r>
      <w:r w:rsidR="00A21CA4" w:rsidRPr="003F6853">
        <w:rPr>
          <w:rFonts w:cstheme="minorHAnsi"/>
          <w:i/>
        </w:rPr>
        <w:t>Disclosure Scheme for Domestic Abuse in Scotland (DSDAS) Guidance</w:t>
      </w:r>
      <w:r w:rsidR="00695A0C">
        <w:rPr>
          <w:rFonts w:cstheme="minorHAnsi"/>
        </w:rPr>
        <w:t>.</w:t>
      </w:r>
      <w:r w:rsidR="00A21CA4">
        <w:rPr>
          <w:rFonts w:cstheme="minorHAnsi"/>
        </w:rPr>
        <w:t xml:space="preserve"> Police Scotland</w:t>
      </w:r>
      <w:r w:rsidR="00084E42">
        <w:rPr>
          <w:rFonts w:cstheme="minorHAnsi"/>
        </w:rPr>
        <w:t>.</w:t>
      </w:r>
    </w:p>
    <w:p w14:paraId="5D9E7D83" w14:textId="4CE9A2B9" w:rsidR="00FC33EE" w:rsidRDefault="00FC33EE" w:rsidP="00425759">
      <w:pPr>
        <w:spacing w:line="276" w:lineRule="auto"/>
        <w:jc w:val="both"/>
        <w:rPr>
          <w:rFonts w:cstheme="minorHAnsi"/>
        </w:rPr>
      </w:pPr>
      <w:r>
        <w:rPr>
          <w:rFonts w:cstheme="minorHAnsi"/>
        </w:rPr>
        <w:t>Police Scotland</w:t>
      </w:r>
      <w:r w:rsidR="00695A0C">
        <w:rPr>
          <w:rFonts w:cstheme="minorHAnsi"/>
        </w:rPr>
        <w:t>.</w:t>
      </w:r>
      <w:r>
        <w:rPr>
          <w:rFonts w:cstheme="minorHAnsi"/>
        </w:rPr>
        <w:t xml:space="preserve"> (2021c)</w:t>
      </w:r>
      <w:r w:rsidR="00695A0C">
        <w:rPr>
          <w:rFonts w:cstheme="minorHAnsi"/>
        </w:rPr>
        <w:t>.</w:t>
      </w:r>
      <w:r w:rsidR="005673EF">
        <w:rPr>
          <w:rFonts w:cstheme="minorHAnsi"/>
        </w:rPr>
        <w:t xml:space="preserve"> </w:t>
      </w:r>
      <w:r w:rsidR="005673EF" w:rsidRPr="005673EF">
        <w:rPr>
          <w:rFonts w:cstheme="minorHAnsi"/>
          <w:i/>
        </w:rPr>
        <w:t>Disclosure Scheme for Domestic Abuse in Scotland</w:t>
      </w:r>
      <w:r w:rsidR="00695A0C">
        <w:rPr>
          <w:rFonts w:cstheme="minorHAnsi"/>
        </w:rPr>
        <w:t>.</w:t>
      </w:r>
      <w:r w:rsidR="005673EF">
        <w:rPr>
          <w:rFonts w:cstheme="minorHAnsi"/>
        </w:rPr>
        <w:t xml:space="preserve"> </w:t>
      </w:r>
      <w:r w:rsidR="009F33E5">
        <w:rPr>
          <w:rFonts w:cstheme="minorHAnsi"/>
        </w:rPr>
        <w:t xml:space="preserve">Available at: </w:t>
      </w:r>
      <w:hyperlink r:id="rId12" w:history="1">
        <w:r w:rsidR="00695A0C" w:rsidRPr="00441A0E">
          <w:rPr>
            <w:rStyle w:val="Hyperlink"/>
          </w:rPr>
          <w:t>https://www.scotland.police.uk/advice-and-information/domestic-abuse/disclosure-scheme-for-domestic-abuse-scotland/</w:t>
        </w:r>
      </w:hyperlink>
      <w:r w:rsidR="00695A0C">
        <w:t xml:space="preserve"> (accessed 27.07.23).</w:t>
      </w:r>
    </w:p>
    <w:p w14:paraId="2132ACC1" w14:textId="4302E5F6" w:rsidR="00FC33EE" w:rsidRDefault="00FC33EE" w:rsidP="00425759">
      <w:pPr>
        <w:spacing w:line="276" w:lineRule="auto"/>
        <w:jc w:val="both"/>
        <w:rPr>
          <w:rFonts w:cstheme="minorHAnsi"/>
        </w:rPr>
      </w:pPr>
      <w:r>
        <w:rPr>
          <w:rFonts w:cstheme="minorHAnsi"/>
        </w:rPr>
        <w:t>Police Scotland</w:t>
      </w:r>
      <w:r w:rsidR="00695A0C">
        <w:rPr>
          <w:rFonts w:cstheme="minorHAnsi"/>
        </w:rPr>
        <w:t>.</w:t>
      </w:r>
      <w:r>
        <w:rPr>
          <w:rFonts w:cstheme="minorHAnsi"/>
        </w:rPr>
        <w:t xml:space="preserve"> (2021d)</w:t>
      </w:r>
      <w:r w:rsidR="00695A0C">
        <w:rPr>
          <w:rFonts w:cstheme="minorHAnsi"/>
        </w:rPr>
        <w:t>.</w:t>
      </w:r>
      <w:r w:rsidR="005673EF">
        <w:rPr>
          <w:rFonts w:cstheme="minorHAnsi"/>
        </w:rPr>
        <w:t xml:space="preserve"> </w:t>
      </w:r>
      <w:r w:rsidR="005673EF" w:rsidRPr="005673EF">
        <w:rPr>
          <w:rFonts w:cstheme="minorHAnsi"/>
          <w:i/>
        </w:rPr>
        <w:t xml:space="preserve">Making an </w:t>
      </w:r>
      <w:r w:rsidR="00276C28">
        <w:rPr>
          <w:rFonts w:cstheme="minorHAnsi"/>
          <w:i/>
        </w:rPr>
        <w:t>a</w:t>
      </w:r>
      <w:r w:rsidR="005673EF" w:rsidRPr="005673EF">
        <w:rPr>
          <w:rFonts w:cstheme="minorHAnsi"/>
          <w:i/>
        </w:rPr>
        <w:t xml:space="preserve">pplication </w:t>
      </w:r>
      <w:r w:rsidR="00276C28">
        <w:rPr>
          <w:rFonts w:cstheme="minorHAnsi"/>
          <w:i/>
        </w:rPr>
        <w:t>a</w:t>
      </w:r>
      <w:r w:rsidR="005673EF" w:rsidRPr="005673EF">
        <w:rPr>
          <w:rFonts w:cstheme="minorHAnsi"/>
          <w:i/>
        </w:rPr>
        <w:t xml:space="preserve">bout </w:t>
      </w:r>
      <w:r w:rsidR="00276C28">
        <w:rPr>
          <w:rFonts w:cstheme="minorHAnsi"/>
          <w:i/>
        </w:rPr>
        <w:t>y</w:t>
      </w:r>
      <w:r w:rsidR="005673EF" w:rsidRPr="005673EF">
        <w:rPr>
          <w:rFonts w:cstheme="minorHAnsi"/>
          <w:i/>
        </w:rPr>
        <w:t xml:space="preserve">our </w:t>
      </w:r>
      <w:r w:rsidR="00276C28">
        <w:rPr>
          <w:rFonts w:cstheme="minorHAnsi"/>
          <w:i/>
        </w:rPr>
        <w:t>p</w:t>
      </w:r>
      <w:r w:rsidR="005673EF" w:rsidRPr="005673EF">
        <w:rPr>
          <w:rFonts w:cstheme="minorHAnsi"/>
          <w:i/>
        </w:rPr>
        <w:t>artner</w:t>
      </w:r>
      <w:r w:rsidR="00695A0C">
        <w:rPr>
          <w:rFonts w:cstheme="minorHAnsi"/>
        </w:rPr>
        <w:t>.</w:t>
      </w:r>
      <w:r w:rsidR="005673EF">
        <w:rPr>
          <w:rFonts w:cstheme="minorHAnsi"/>
        </w:rPr>
        <w:t xml:space="preserve"> </w:t>
      </w:r>
      <w:r w:rsidR="009F33E5">
        <w:rPr>
          <w:rFonts w:cstheme="minorHAnsi"/>
        </w:rPr>
        <w:t xml:space="preserve">Available at: </w:t>
      </w:r>
      <w:hyperlink r:id="rId13" w:history="1">
        <w:r w:rsidR="00695A0C" w:rsidRPr="00441A0E">
          <w:rPr>
            <w:rStyle w:val="Hyperlink"/>
            <w:rFonts w:cstheme="minorHAnsi"/>
          </w:rPr>
          <w:t>https://www.scotland.police.uk/advice-and-information/domestic-abuse/disclosure-scheme-for-domestic-abuse-scotland/making-an-application-about-your-partner/?view=Standard</w:t>
        </w:r>
      </w:hyperlink>
      <w:r w:rsidR="00695A0C">
        <w:rPr>
          <w:rFonts w:cstheme="minorHAnsi"/>
        </w:rPr>
        <w:t xml:space="preserve"> (accessed 27.07.23).</w:t>
      </w:r>
    </w:p>
    <w:p w14:paraId="7E9CA7B5" w14:textId="1C9F2C42" w:rsidR="00FC33EE" w:rsidRPr="00A21CA4" w:rsidRDefault="00FC33EE" w:rsidP="00425759">
      <w:pPr>
        <w:spacing w:line="276" w:lineRule="auto"/>
        <w:jc w:val="both"/>
        <w:rPr>
          <w:rFonts w:cstheme="minorHAnsi"/>
        </w:rPr>
      </w:pPr>
      <w:r>
        <w:rPr>
          <w:rFonts w:cstheme="minorHAnsi"/>
        </w:rPr>
        <w:lastRenderedPageBreak/>
        <w:t xml:space="preserve">Police </w:t>
      </w:r>
      <w:r w:rsidRPr="00A21CA4">
        <w:rPr>
          <w:rFonts w:cstheme="minorHAnsi"/>
        </w:rPr>
        <w:t>Scotland</w:t>
      </w:r>
      <w:r w:rsidR="00695A0C">
        <w:rPr>
          <w:rFonts w:cstheme="minorHAnsi"/>
        </w:rPr>
        <w:t>.</w:t>
      </w:r>
      <w:r w:rsidRPr="00A21CA4">
        <w:rPr>
          <w:rFonts w:cstheme="minorHAnsi"/>
        </w:rPr>
        <w:t xml:space="preserve"> (2021e)</w:t>
      </w:r>
      <w:r w:rsidR="00695A0C">
        <w:rPr>
          <w:rFonts w:cstheme="minorHAnsi"/>
        </w:rPr>
        <w:t>.</w:t>
      </w:r>
      <w:r w:rsidR="005673EF">
        <w:rPr>
          <w:rFonts w:cstheme="minorHAnsi"/>
        </w:rPr>
        <w:t xml:space="preserve"> </w:t>
      </w:r>
      <w:r w:rsidR="005673EF" w:rsidRPr="005673EF">
        <w:rPr>
          <w:rFonts w:cstheme="minorHAnsi"/>
          <w:i/>
        </w:rPr>
        <w:t xml:space="preserve">Asking on </w:t>
      </w:r>
      <w:r w:rsidR="00276C28">
        <w:rPr>
          <w:rFonts w:cstheme="minorHAnsi"/>
          <w:i/>
        </w:rPr>
        <w:t>b</w:t>
      </w:r>
      <w:r w:rsidR="005673EF" w:rsidRPr="005673EF">
        <w:rPr>
          <w:rFonts w:cstheme="minorHAnsi"/>
          <w:i/>
        </w:rPr>
        <w:t xml:space="preserve">ehalf of </w:t>
      </w:r>
      <w:r w:rsidR="00276C28">
        <w:rPr>
          <w:rFonts w:cstheme="minorHAnsi"/>
          <w:i/>
        </w:rPr>
        <w:t>s</w:t>
      </w:r>
      <w:r w:rsidR="005673EF" w:rsidRPr="005673EF">
        <w:rPr>
          <w:rFonts w:cstheme="minorHAnsi"/>
          <w:i/>
        </w:rPr>
        <w:t xml:space="preserve">omeone </w:t>
      </w:r>
      <w:r w:rsidR="00276C28">
        <w:rPr>
          <w:rFonts w:cstheme="minorHAnsi"/>
          <w:i/>
        </w:rPr>
        <w:t>e</w:t>
      </w:r>
      <w:r w:rsidR="005673EF" w:rsidRPr="005673EF">
        <w:rPr>
          <w:rFonts w:cstheme="minorHAnsi"/>
          <w:i/>
        </w:rPr>
        <w:t>lse</w:t>
      </w:r>
      <w:r w:rsidR="00695A0C">
        <w:rPr>
          <w:rFonts w:cstheme="minorHAnsi"/>
          <w:i/>
        </w:rPr>
        <w:t>.</w:t>
      </w:r>
      <w:r w:rsidR="009F33E5">
        <w:rPr>
          <w:rFonts w:cstheme="minorHAnsi"/>
        </w:rPr>
        <w:t xml:space="preserve"> Available at: </w:t>
      </w:r>
      <w:hyperlink r:id="rId14" w:history="1">
        <w:r w:rsidR="00695A0C" w:rsidRPr="00441A0E">
          <w:rPr>
            <w:rStyle w:val="Hyperlink"/>
            <w:rFonts w:cstheme="minorHAnsi"/>
          </w:rPr>
          <w:t>https://www.scotland.police.uk/advice-and-information/domestic-abuse/disclosure-scheme-for-domestic-abuse-scotland/asking-on-behalf-of-someone-else/?view=Standard</w:t>
        </w:r>
      </w:hyperlink>
      <w:r w:rsidR="00695A0C">
        <w:rPr>
          <w:rFonts w:cstheme="minorHAnsi"/>
        </w:rPr>
        <w:t xml:space="preserve"> (</w:t>
      </w:r>
      <w:r w:rsidR="00276C28">
        <w:rPr>
          <w:rFonts w:cstheme="minorHAnsi"/>
        </w:rPr>
        <w:t>a</w:t>
      </w:r>
      <w:r w:rsidR="00695A0C">
        <w:rPr>
          <w:rFonts w:cstheme="minorHAnsi"/>
        </w:rPr>
        <w:t>ccessed 27.07.23)</w:t>
      </w:r>
      <w:r w:rsidR="00276C28">
        <w:rPr>
          <w:rFonts w:cstheme="minorHAnsi"/>
        </w:rPr>
        <w:t>.</w:t>
      </w:r>
    </w:p>
    <w:p w14:paraId="488C440D" w14:textId="66979D14" w:rsidR="00FC33EE" w:rsidRPr="00A21CA4" w:rsidRDefault="00FC33EE" w:rsidP="00425759">
      <w:pPr>
        <w:spacing w:line="276" w:lineRule="auto"/>
        <w:jc w:val="both"/>
        <w:rPr>
          <w:rFonts w:cstheme="minorHAnsi"/>
        </w:rPr>
      </w:pPr>
      <w:r w:rsidRPr="00A21CA4">
        <w:rPr>
          <w:rFonts w:cstheme="minorHAnsi"/>
        </w:rPr>
        <w:t>Police Scotland</w:t>
      </w:r>
      <w:r w:rsidR="00695A0C">
        <w:rPr>
          <w:rFonts w:cstheme="minorHAnsi"/>
        </w:rPr>
        <w:t>.</w:t>
      </w:r>
      <w:r w:rsidRPr="00A21CA4">
        <w:rPr>
          <w:rFonts w:cstheme="minorHAnsi"/>
        </w:rPr>
        <w:t xml:space="preserve"> (2022)</w:t>
      </w:r>
      <w:r w:rsidR="00695A0C">
        <w:rPr>
          <w:rFonts w:cstheme="minorHAnsi"/>
        </w:rPr>
        <w:t>.</w:t>
      </w:r>
      <w:r w:rsidR="009F33E5">
        <w:rPr>
          <w:rFonts w:cstheme="minorHAnsi"/>
        </w:rPr>
        <w:t xml:space="preserve"> </w:t>
      </w:r>
      <w:r w:rsidR="009F33E5" w:rsidRPr="00904953">
        <w:rPr>
          <w:rFonts w:cstheme="minorHAnsi"/>
          <w:i/>
          <w:iCs/>
        </w:rPr>
        <w:t>Disclosure Scheme for Domestic Abuse in Scotland</w:t>
      </w:r>
      <w:r w:rsidR="008076B7">
        <w:rPr>
          <w:rFonts w:cstheme="minorHAnsi"/>
          <w:i/>
          <w:iCs/>
        </w:rPr>
        <w:t>:</w:t>
      </w:r>
      <w:r w:rsidR="009F33E5" w:rsidRPr="00904953">
        <w:rPr>
          <w:rFonts w:cstheme="minorHAnsi"/>
          <w:i/>
          <w:iCs/>
        </w:rPr>
        <w:t xml:space="preserve"> </w:t>
      </w:r>
      <w:r w:rsidR="008076B7">
        <w:rPr>
          <w:rFonts w:cstheme="minorHAnsi"/>
          <w:i/>
          <w:iCs/>
        </w:rPr>
        <w:t>S</w:t>
      </w:r>
      <w:r w:rsidR="009F33E5" w:rsidRPr="00904953">
        <w:rPr>
          <w:rFonts w:cstheme="minorHAnsi"/>
          <w:i/>
          <w:iCs/>
        </w:rPr>
        <w:t xml:space="preserve">ecure </w:t>
      </w:r>
      <w:r w:rsidR="008076B7">
        <w:rPr>
          <w:rFonts w:cstheme="minorHAnsi"/>
          <w:i/>
          <w:iCs/>
        </w:rPr>
        <w:t>f</w:t>
      </w:r>
      <w:r w:rsidR="009F33E5" w:rsidRPr="00904953">
        <w:rPr>
          <w:rFonts w:cstheme="minorHAnsi"/>
          <w:i/>
          <w:iCs/>
        </w:rPr>
        <w:t>orm</w:t>
      </w:r>
      <w:r w:rsidR="007F13AF">
        <w:rPr>
          <w:rFonts w:cstheme="minorHAnsi"/>
        </w:rPr>
        <w:t>.</w:t>
      </w:r>
      <w:r w:rsidR="009F33E5">
        <w:rPr>
          <w:rFonts w:cstheme="minorHAnsi"/>
        </w:rPr>
        <w:t xml:space="preserve"> </w:t>
      </w:r>
      <w:r w:rsidR="007F13AF">
        <w:rPr>
          <w:rFonts w:cstheme="minorHAnsi"/>
        </w:rPr>
        <w:t>A</w:t>
      </w:r>
      <w:r w:rsidR="00FB3BF3">
        <w:rPr>
          <w:rFonts w:cstheme="minorHAnsi"/>
        </w:rPr>
        <w:t xml:space="preserve">vailable at: </w:t>
      </w:r>
      <w:hyperlink r:id="rId15" w:history="1">
        <w:r w:rsidR="008076B7" w:rsidRPr="00FB3D8B">
          <w:rPr>
            <w:rStyle w:val="Hyperlink"/>
            <w:rFonts w:cstheme="minorHAnsi"/>
          </w:rPr>
          <w:t>https://www.scotland.police.uk/secureforms/disclosure/</w:t>
        </w:r>
      </w:hyperlink>
      <w:r w:rsidR="008076B7">
        <w:rPr>
          <w:rFonts w:cstheme="minorHAnsi"/>
        </w:rPr>
        <w:t xml:space="preserve"> </w:t>
      </w:r>
      <w:r w:rsidR="007F13AF">
        <w:rPr>
          <w:rFonts w:cstheme="minorHAnsi"/>
        </w:rPr>
        <w:t>(accessed 27.07.23).</w:t>
      </w:r>
    </w:p>
    <w:p w14:paraId="0EA1DCBC" w14:textId="3B441307" w:rsidR="003C2B57" w:rsidRPr="003C2B57" w:rsidRDefault="00A21CA4" w:rsidP="003C2B57">
      <w:pPr>
        <w:pStyle w:val="CommentText"/>
        <w:spacing w:line="276" w:lineRule="auto"/>
        <w:jc w:val="both"/>
        <w:rPr>
          <w:rFonts w:cstheme="minorHAnsi"/>
          <w:sz w:val="22"/>
          <w:szCs w:val="22"/>
        </w:rPr>
      </w:pPr>
      <w:r w:rsidRPr="00FB3BF3">
        <w:rPr>
          <w:sz w:val="22"/>
          <w:szCs w:val="22"/>
        </w:rPr>
        <w:t>Police Scotland and Crown Office and Procurator Fiscal Service</w:t>
      </w:r>
      <w:r w:rsidR="007F13AF">
        <w:rPr>
          <w:sz w:val="22"/>
          <w:szCs w:val="22"/>
        </w:rPr>
        <w:t>.</w:t>
      </w:r>
      <w:r w:rsidRPr="00FB3BF3">
        <w:rPr>
          <w:sz w:val="22"/>
          <w:szCs w:val="22"/>
        </w:rPr>
        <w:t xml:space="preserve"> (2019)</w:t>
      </w:r>
      <w:r w:rsidR="007F13AF">
        <w:rPr>
          <w:sz w:val="22"/>
          <w:szCs w:val="22"/>
        </w:rPr>
        <w:t>.</w:t>
      </w:r>
      <w:r w:rsidRPr="00FB3BF3">
        <w:rPr>
          <w:sz w:val="22"/>
          <w:szCs w:val="22"/>
        </w:rPr>
        <w:t xml:space="preserve"> </w:t>
      </w:r>
      <w:r w:rsidRPr="00904953">
        <w:rPr>
          <w:i/>
          <w:iCs/>
          <w:sz w:val="22"/>
          <w:szCs w:val="22"/>
        </w:rPr>
        <w:t>Joint Protocol Between Police Scotland and the Crown Office and Procurator Fiscal Service</w:t>
      </w:r>
      <w:r w:rsidR="007F13AF">
        <w:rPr>
          <w:sz w:val="22"/>
          <w:szCs w:val="22"/>
        </w:rPr>
        <w:t>.</w:t>
      </w:r>
      <w:r w:rsidRPr="00FB3BF3">
        <w:rPr>
          <w:sz w:val="22"/>
          <w:szCs w:val="22"/>
        </w:rPr>
        <w:t xml:space="preserve"> </w:t>
      </w:r>
      <w:r w:rsidR="007F13AF">
        <w:rPr>
          <w:sz w:val="22"/>
          <w:szCs w:val="22"/>
        </w:rPr>
        <w:t>A</w:t>
      </w:r>
      <w:r w:rsidRPr="00FB3BF3">
        <w:rPr>
          <w:sz w:val="22"/>
          <w:szCs w:val="22"/>
        </w:rPr>
        <w:t>vailable at:</w:t>
      </w:r>
      <w:r w:rsidR="00FB3BF3" w:rsidRPr="00FB3BF3">
        <w:rPr>
          <w:sz w:val="22"/>
          <w:szCs w:val="22"/>
        </w:rPr>
        <w:t xml:space="preserve"> </w:t>
      </w:r>
      <w:hyperlink r:id="rId16" w:history="1">
        <w:r w:rsidR="007F13AF" w:rsidRPr="00441A0E">
          <w:rPr>
            <w:rStyle w:val="Hyperlink"/>
            <w:sz w:val="22"/>
            <w:szCs w:val="22"/>
          </w:rPr>
          <w:t>https://www.scotland.police.uk/spa-media/ymzlwhwj/joint-protocol-between-police-scotland-and-copfs-in-partnership-challenging-domestic-abuse.pdf?view=Standard</w:t>
        </w:r>
      </w:hyperlink>
      <w:r w:rsidR="007F13AF">
        <w:rPr>
          <w:sz w:val="22"/>
          <w:szCs w:val="22"/>
        </w:rPr>
        <w:t xml:space="preserve"> (accessed 27.07.23).</w:t>
      </w:r>
    </w:p>
    <w:p w14:paraId="7E53D239" w14:textId="3FF173CD" w:rsidR="00954072" w:rsidRDefault="00954072" w:rsidP="00425759">
      <w:pPr>
        <w:spacing w:line="276" w:lineRule="auto"/>
        <w:jc w:val="both"/>
        <w:rPr>
          <w:iCs/>
        </w:rPr>
      </w:pPr>
      <w:r>
        <w:t>Scottish Executive</w:t>
      </w:r>
      <w:r w:rsidR="007F13AF">
        <w:t>.</w:t>
      </w:r>
      <w:r>
        <w:t xml:space="preserve"> (2006)</w:t>
      </w:r>
      <w:r w:rsidR="007F13AF">
        <w:t>.</w:t>
      </w:r>
      <w:r>
        <w:t xml:space="preserve"> </w:t>
      </w:r>
      <w:r>
        <w:rPr>
          <w:i/>
          <w:iCs/>
        </w:rPr>
        <w:t>Preventing Domestic Abuse: A National Strategy</w:t>
      </w:r>
      <w:r w:rsidR="007F13AF">
        <w:rPr>
          <w:i/>
          <w:iCs/>
        </w:rPr>
        <w:t>.</w:t>
      </w:r>
      <w:r>
        <w:rPr>
          <w:i/>
          <w:iCs/>
        </w:rPr>
        <w:t xml:space="preserve"> </w:t>
      </w:r>
      <w:r w:rsidR="00D348A5">
        <w:t xml:space="preserve">Edinburgh: </w:t>
      </w:r>
      <w:r>
        <w:rPr>
          <w:iCs/>
        </w:rPr>
        <w:t>Scottish Executive</w:t>
      </w:r>
      <w:r w:rsidR="007F13AF">
        <w:rPr>
          <w:iCs/>
        </w:rPr>
        <w:t>.</w:t>
      </w:r>
    </w:p>
    <w:p w14:paraId="34576B3E" w14:textId="79A3B646" w:rsidR="00713E5C" w:rsidRDefault="00713E5C" w:rsidP="00425759">
      <w:pPr>
        <w:spacing w:line="276" w:lineRule="auto"/>
        <w:jc w:val="both"/>
        <w:rPr>
          <w:iCs/>
        </w:rPr>
      </w:pPr>
      <w:r>
        <w:rPr>
          <w:iCs/>
        </w:rPr>
        <w:t>Scottish Government</w:t>
      </w:r>
      <w:r w:rsidR="007F13AF">
        <w:rPr>
          <w:iCs/>
        </w:rPr>
        <w:t>.</w:t>
      </w:r>
      <w:r>
        <w:rPr>
          <w:iCs/>
        </w:rPr>
        <w:t xml:space="preserve"> (2012</w:t>
      </w:r>
      <w:r w:rsidR="00982C81">
        <w:rPr>
          <w:iCs/>
        </w:rPr>
        <w:t>a</w:t>
      </w:r>
      <w:r>
        <w:rPr>
          <w:iCs/>
        </w:rPr>
        <w:t>)</w:t>
      </w:r>
      <w:r w:rsidR="007F13AF">
        <w:rPr>
          <w:iCs/>
        </w:rPr>
        <w:t>.</w:t>
      </w:r>
      <w:r>
        <w:rPr>
          <w:iCs/>
        </w:rPr>
        <w:t xml:space="preserve"> </w:t>
      </w:r>
      <w:r>
        <w:rPr>
          <w:i/>
        </w:rPr>
        <w:t xml:space="preserve">Police and </w:t>
      </w:r>
      <w:r w:rsidR="00027AA1">
        <w:rPr>
          <w:i/>
        </w:rPr>
        <w:t>Fire Reform</w:t>
      </w:r>
      <w:r w:rsidR="00F62E07">
        <w:rPr>
          <w:i/>
        </w:rPr>
        <w:t xml:space="preserve"> (Scotland)</w:t>
      </w:r>
      <w:r w:rsidR="00027AA1">
        <w:rPr>
          <w:i/>
        </w:rPr>
        <w:t xml:space="preserve"> Bill: Policy Memorandum</w:t>
      </w:r>
      <w:r w:rsidR="007F13AF">
        <w:rPr>
          <w:i/>
        </w:rPr>
        <w:t>.</w:t>
      </w:r>
      <w:r w:rsidR="00027AA1">
        <w:rPr>
          <w:iCs/>
        </w:rPr>
        <w:t xml:space="preserve"> </w:t>
      </w:r>
      <w:r w:rsidR="00D348A5">
        <w:rPr>
          <w:iCs/>
        </w:rPr>
        <w:t xml:space="preserve">Edinburgh: </w:t>
      </w:r>
      <w:r w:rsidR="00027AA1">
        <w:rPr>
          <w:iCs/>
        </w:rPr>
        <w:t>Scottish Government</w:t>
      </w:r>
      <w:r w:rsidR="00E511F5">
        <w:rPr>
          <w:iCs/>
        </w:rPr>
        <w:t>.</w:t>
      </w:r>
    </w:p>
    <w:p w14:paraId="50995176" w14:textId="0DEE4D9D" w:rsidR="00982C81" w:rsidRDefault="00F62E07" w:rsidP="00425759">
      <w:pPr>
        <w:spacing w:line="276" w:lineRule="auto"/>
        <w:jc w:val="both"/>
        <w:rPr>
          <w:iCs/>
        </w:rPr>
      </w:pPr>
      <w:r>
        <w:rPr>
          <w:iCs/>
        </w:rPr>
        <w:t>Scottish Government</w:t>
      </w:r>
      <w:r w:rsidR="00E511F5">
        <w:rPr>
          <w:iCs/>
        </w:rPr>
        <w:t>.</w:t>
      </w:r>
      <w:r>
        <w:rPr>
          <w:iCs/>
        </w:rPr>
        <w:t xml:space="preserve"> (2012</w:t>
      </w:r>
      <w:r w:rsidR="00982C81">
        <w:rPr>
          <w:iCs/>
        </w:rPr>
        <w:t>b</w:t>
      </w:r>
      <w:r>
        <w:rPr>
          <w:iCs/>
        </w:rPr>
        <w:t>)</w:t>
      </w:r>
      <w:r w:rsidR="00E511F5">
        <w:rPr>
          <w:iCs/>
        </w:rPr>
        <w:t>.</w:t>
      </w:r>
      <w:r>
        <w:rPr>
          <w:iCs/>
        </w:rPr>
        <w:t xml:space="preserve"> </w:t>
      </w:r>
      <w:r>
        <w:rPr>
          <w:i/>
        </w:rPr>
        <w:t>Police and Fire Reform (Scotland) Act 2012: Explanatory Notes</w:t>
      </w:r>
      <w:r w:rsidR="00E511F5">
        <w:rPr>
          <w:i/>
        </w:rPr>
        <w:t>.</w:t>
      </w:r>
      <w:r>
        <w:rPr>
          <w:iCs/>
        </w:rPr>
        <w:t xml:space="preserve"> </w:t>
      </w:r>
      <w:r w:rsidR="00D348A5">
        <w:rPr>
          <w:iCs/>
        </w:rPr>
        <w:t xml:space="preserve">Edinburgh: </w:t>
      </w:r>
      <w:r>
        <w:rPr>
          <w:iCs/>
        </w:rPr>
        <w:t>Scottish Government</w:t>
      </w:r>
      <w:r w:rsidR="00E511F5">
        <w:rPr>
          <w:iCs/>
        </w:rPr>
        <w:t>.</w:t>
      </w:r>
    </w:p>
    <w:p w14:paraId="6259CC5D" w14:textId="53077DDF" w:rsidR="006F5516" w:rsidRPr="00B84948" w:rsidRDefault="006F5516" w:rsidP="00425759">
      <w:pPr>
        <w:spacing w:line="276" w:lineRule="auto"/>
        <w:jc w:val="both"/>
        <w:rPr>
          <w:iCs/>
        </w:rPr>
      </w:pPr>
      <w:r>
        <w:rPr>
          <w:iCs/>
        </w:rPr>
        <w:t xml:space="preserve">Scottish Government. (2016). </w:t>
      </w:r>
      <w:r w:rsidR="00B84948">
        <w:rPr>
          <w:i/>
        </w:rPr>
        <w:t>Abusive Behaviour and Sexual Harm (Scotland) Act 2016: Explanatory Notes</w:t>
      </w:r>
      <w:r w:rsidR="00B84948">
        <w:rPr>
          <w:iCs/>
        </w:rPr>
        <w:t>. Edinburgh: Scottish Government.</w:t>
      </w:r>
    </w:p>
    <w:p w14:paraId="26F7F625" w14:textId="324D3A75" w:rsidR="00406CF1" w:rsidRDefault="00406CF1" w:rsidP="00425759">
      <w:pPr>
        <w:spacing w:line="276" w:lineRule="auto"/>
        <w:jc w:val="both"/>
      </w:pPr>
      <w:r>
        <w:t>Scottish Government</w:t>
      </w:r>
      <w:r w:rsidR="00E511F5">
        <w:t>.</w:t>
      </w:r>
      <w:r>
        <w:t xml:space="preserve"> (2021)</w:t>
      </w:r>
      <w:r w:rsidR="00E511F5">
        <w:t>.</w:t>
      </w:r>
      <w:r>
        <w:t xml:space="preserve"> </w:t>
      </w:r>
      <w:r w:rsidR="00217304" w:rsidRPr="00012363">
        <w:rPr>
          <w:i/>
          <w:iCs/>
        </w:rPr>
        <w:t xml:space="preserve">Domestic </w:t>
      </w:r>
      <w:r w:rsidR="00376C55">
        <w:rPr>
          <w:i/>
          <w:iCs/>
        </w:rPr>
        <w:t>A</w:t>
      </w:r>
      <w:r w:rsidR="00217304" w:rsidRPr="00012363">
        <w:rPr>
          <w:i/>
          <w:iCs/>
        </w:rPr>
        <w:t xml:space="preserve">buse: </w:t>
      </w:r>
      <w:r w:rsidR="00376C55">
        <w:rPr>
          <w:i/>
          <w:iCs/>
        </w:rPr>
        <w:t>S</w:t>
      </w:r>
      <w:r w:rsidR="00217304" w:rsidRPr="00012363">
        <w:rPr>
          <w:i/>
          <w:iCs/>
        </w:rPr>
        <w:t xml:space="preserve">tatistics </w:t>
      </w:r>
      <w:r w:rsidR="00376C55">
        <w:rPr>
          <w:i/>
          <w:iCs/>
        </w:rPr>
        <w:t>R</w:t>
      </w:r>
      <w:r w:rsidR="00217304" w:rsidRPr="00012363">
        <w:rPr>
          <w:i/>
          <w:iCs/>
        </w:rPr>
        <w:t>ecorded by the Police in Scotland - 2020/21</w:t>
      </w:r>
      <w:r w:rsidR="00E511F5">
        <w:rPr>
          <w:i/>
          <w:iCs/>
        </w:rPr>
        <w:t>.</w:t>
      </w:r>
      <w:r w:rsidR="00217304">
        <w:t xml:space="preserve"> </w:t>
      </w:r>
      <w:r w:rsidR="00376C55">
        <w:t xml:space="preserve">Edinburgh: </w:t>
      </w:r>
      <w:r w:rsidR="00217304">
        <w:t>Scottish Government</w:t>
      </w:r>
      <w:r w:rsidR="00E511F5">
        <w:t>.</w:t>
      </w:r>
      <w:r w:rsidR="00217304">
        <w:t xml:space="preserve"> </w:t>
      </w:r>
    </w:p>
    <w:p w14:paraId="6E2489A0" w14:textId="738D3B8D" w:rsidR="003B0218" w:rsidRDefault="003B0218" w:rsidP="00425759">
      <w:pPr>
        <w:spacing w:line="276" w:lineRule="auto"/>
        <w:jc w:val="both"/>
      </w:pPr>
      <w:r>
        <w:t>Scottish Parliament Justice Sub-Committee on Policing</w:t>
      </w:r>
      <w:r w:rsidR="00E511F5">
        <w:t>.</w:t>
      </w:r>
      <w:r>
        <w:t xml:space="preserve"> (2019)</w:t>
      </w:r>
      <w:r w:rsidR="00E511F5">
        <w:t>.</w:t>
      </w:r>
      <w:r>
        <w:t xml:space="preserve"> </w:t>
      </w:r>
      <w:r w:rsidRPr="00C427CC">
        <w:rPr>
          <w:i/>
          <w:iCs/>
        </w:rPr>
        <w:t xml:space="preserve">Report on Police Scotland’s </w:t>
      </w:r>
      <w:r w:rsidR="002E23C8">
        <w:rPr>
          <w:i/>
          <w:iCs/>
        </w:rPr>
        <w:t>P</w:t>
      </w:r>
      <w:r w:rsidRPr="00C427CC">
        <w:rPr>
          <w:i/>
          <w:iCs/>
        </w:rPr>
        <w:t xml:space="preserve">roposal to </w:t>
      </w:r>
      <w:r w:rsidR="002E23C8">
        <w:rPr>
          <w:i/>
          <w:iCs/>
        </w:rPr>
        <w:t>I</w:t>
      </w:r>
      <w:r w:rsidRPr="00C427CC">
        <w:rPr>
          <w:i/>
          <w:iCs/>
        </w:rPr>
        <w:t xml:space="preserve">ntroduce the </w:t>
      </w:r>
      <w:r w:rsidR="002E23C8">
        <w:rPr>
          <w:i/>
          <w:iCs/>
        </w:rPr>
        <w:t>Us</w:t>
      </w:r>
      <w:r w:rsidRPr="00C427CC">
        <w:rPr>
          <w:i/>
          <w:iCs/>
        </w:rPr>
        <w:t xml:space="preserve">e of </w:t>
      </w:r>
      <w:r w:rsidR="002E23C8">
        <w:rPr>
          <w:i/>
          <w:iCs/>
        </w:rPr>
        <w:t>D</w:t>
      </w:r>
      <w:r w:rsidRPr="00C427CC">
        <w:rPr>
          <w:i/>
          <w:iCs/>
        </w:rPr>
        <w:t xml:space="preserve">igital </w:t>
      </w:r>
      <w:r w:rsidR="002E23C8">
        <w:rPr>
          <w:i/>
          <w:iCs/>
        </w:rPr>
        <w:t>D</w:t>
      </w:r>
      <w:r w:rsidRPr="00C427CC">
        <w:rPr>
          <w:i/>
          <w:iCs/>
        </w:rPr>
        <w:t xml:space="preserve">evice </w:t>
      </w:r>
      <w:r w:rsidR="002E23C8">
        <w:rPr>
          <w:i/>
          <w:iCs/>
        </w:rPr>
        <w:t>T</w:t>
      </w:r>
      <w:r w:rsidRPr="00C427CC">
        <w:rPr>
          <w:i/>
          <w:iCs/>
        </w:rPr>
        <w:t xml:space="preserve">riage </w:t>
      </w:r>
      <w:r w:rsidR="002E23C8">
        <w:rPr>
          <w:i/>
          <w:iCs/>
        </w:rPr>
        <w:t>S</w:t>
      </w:r>
      <w:r w:rsidRPr="00C427CC">
        <w:rPr>
          <w:i/>
          <w:iCs/>
        </w:rPr>
        <w:t>ystems (</w:t>
      </w:r>
      <w:r w:rsidR="002E23C8">
        <w:rPr>
          <w:i/>
          <w:iCs/>
        </w:rPr>
        <w:t>C</w:t>
      </w:r>
      <w:r w:rsidRPr="00C427CC">
        <w:rPr>
          <w:i/>
          <w:iCs/>
        </w:rPr>
        <w:t xml:space="preserve">yber </w:t>
      </w:r>
      <w:r w:rsidR="002E23C8">
        <w:rPr>
          <w:i/>
          <w:iCs/>
        </w:rPr>
        <w:t>Ki</w:t>
      </w:r>
      <w:r w:rsidRPr="00C427CC">
        <w:rPr>
          <w:i/>
          <w:iCs/>
        </w:rPr>
        <w:t>osks)</w:t>
      </w:r>
      <w:r w:rsidR="00E511F5">
        <w:rPr>
          <w:i/>
          <w:iCs/>
        </w:rPr>
        <w:t>.</w:t>
      </w:r>
      <w:r>
        <w:rPr>
          <w:i/>
          <w:iCs/>
        </w:rPr>
        <w:t xml:space="preserve"> </w:t>
      </w:r>
      <w:r w:rsidR="002E23C8">
        <w:t xml:space="preserve">Edinburgh: </w:t>
      </w:r>
      <w:r>
        <w:t>Scottish Parliament</w:t>
      </w:r>
      <w:r w:rsidR="00E511F5">
        <w:t>.</w:t>
      </w:r>
    </w:p>
    <w:p w14:paraId="10516B47" w14:textId="5B68E674" w:rsidR="00C323C5" w:rsidRDefault="00C323C5" w:rsidP="00425759">
      <w:pPr>
        <w:spacing w:line="276" w:lineRule="auto"/>
        <w:jc w:val="both"/>
      </w:pPr>
      <w:r w:rsidRPr="00A21CA4">
        <w:t>Stark, E. (2007)</w:t>
      </w:r>
      <w:r w:rsidR="00E511F5">
        <w:t>.</w:t>
      </w:r>
      <w:r w:rsidRPr="00A21CA4">
        <w:t xml:space="preserve"> </w:t>
      </w:r>
      <w:r w:rsidRPr="00A21CA4">
        <w:rPr>
          <w:i/>
        </w:rPr>
        <w:t xml:space="preserve">Coercive </w:t>
      </w:r>
      <w:r w:rsidR="002E23C8">
        <w:rPr>
          <w:i/>
        </w:rPr>
        <w:t>C</w:t>
      </w:r>
      <w:r w:rsidRPr="00A21CA4">
        <w:rPr>
          <w:i/>
        </w:rPr>
        <w:t xml:space="preserve">ontrol: How </w:t>
      </w:r>
      <w:r w:rsidR="002E23C8">
        <w:rPr>
          <w:i/>
        </w:rPr>
        <w:t>M</w:t>
      </w:r>
      <w:r w:rsidRPr="00A21CA4">
        <w:rPr>
          <w:i/>
        </w:rPr>
        <w:t xml:space="preserve">en </w:t>
      </w:r>
      <w:r w:rsidR="002E23C8">
        <w:rPr>
          <w:i/>
        </w:rPr>
        <w:t>E</w:t>
      </w:r>
      <w:r w:rsidRPr="00A21CA4">
        <w:rPr>
          <w:i/>
        </w:rPr>
        <w:t xml:space="preserve">ntrap </w:t>
      </w:r>
      <w:r w:rsidR="002E23C8">
        <w:rPr>
          <w:i/>
        </w:rPr>
        <w:t>W</w:t>
      </w:r>
      <w:r w:rsidRPr="00A21CA4">
        <w:rPr>
          <w:i/>
        </w:rPr>
        <w:t xml:space="preserve">omen in </w:t>
      </w:r>
      <w:r w:rsidR="002E23C8">
        <w:rPr>
          <w:i/>
        </w:rPr>
        <w:t>P</w:t>
      </w:r>
      <w:r w:rsidRPr="00A21CA4">
        <w:rPr>
          <w:i/>
        </w:rPr>
        <w:t xml:space="preserve">ersonal </w:t>
      </w:r>
      <w:r w:rsidR="002E23C8">
        <w:rPr>
          <w:i/>
        </w:rPr>
        <w:t>L</w:t>
      </w:r>
      <w:r w:rsidRPr="00A21CA4">
        <w:rPr>
          <w:i/>
        </w:rPr>
        <w:t>ife</w:t>
      </w:r>
      <w:r w:rsidR="002E23C8">
        <w:rPr>
          <w:iCs/>
        </w:rPr>
        <w:t>.</w:t>
      </w:r>
      <w:r w:rsidR="00CA424A">
        <w:rPr>
          <w:i/>
        </w:rPr>
        <w:t xml:space="preserve"> </w:t>
      </w:r>
      <w:r w:rsidRPr="00A21CA4">
        <w:t>Oxford: Oxford University Press</w:t>
      </w:r>
      <w:r w:rsidR="00E511F5">
        <w:t>.</w:t>
      </w:r>
    </w:p>
    <w:p w14:paraId="09DF369A" w14:textId="2EC79EA8" w:rsidR="006F74B6" w:rsidRPr="00A21CA4" w:rsidRDefault="006F74B6" w:rsidP="00425759">
      <w:pPr>
        <w:spacing w:line="276" w:lineRule="auto"/>
        <w:jc w:val="both"/>
      </w:pPr>
      <w:r w:rsidRPr="004F4BEA">
        <w:t>Williams, L. &amp; Adams, H. (2013).</w:t>
      </w:r>
      <w:r>
        <w:t xml:space="preserve"> </w:t>
      </w:r>
      <w:r w:rsidRPr="004F4BEA">
        <w:t>Friends with benefits or “friends” with deficits? The meaning and contexts of uncommitted sexual relationships among Mexican American and European American adolescents</w:t>
      </w:r>
      <w:r>
        <w:t xml:space="preserve">. </w:t>
      </w:r>
      <w:r>
        <w:rPr>
          <w:i/>
          <w:iCs/>
        </w:rPr>
        <w:t xml:space="preserve">Children and Youth Services Review </w:t>
      </w:r>
      <w:r>
        <w:t>35(7): 1110-1117.</w:t>
      </w:r>
    </w:p>
    <w:p w14:paraId="1C735A06" w14:textId="09925EA3" w:rsidR="00C323C5" w:rsidRDefault="00BE6D07" w:rsidP="00425759">
      <w:pPr>
        <w:spacing w:line="276" w:lineRule="auto"/>
        <w:jc w:val="both"/>
        <w:rPr>
          <w:rFonts w:cstheme="minorHAnsi"/>
        </w:rPr>
      </w:pPr>
      <w:r>
        <w:rPr>
          <w:rFonts w:cstheme="minorHAnsi"/>
        </w:rPr>
        <w:t>Yeo, T.E.D</w:t>
      </w:r>
      <w:r w:rsidR="001E19A5">
        <w:rPr>
          <w:rFonts w:cstheme="minorHAnsi"/>
        </w:rPr>
        <w:t>.</w:t>
      </w:r>
      <w:r>
        <w:rPr>
          <w:rFonts w:cstheme="minorHAnsi"/>
        </w:rPr>
        <w:t xml:space="preserve"> &amp; Fung, T.H. (2018)</w:t>
      </w:r>
      <w:r w:rsidR="00E511F5">
        <w:rPr>
          <w:rFonts w:cstheme="minorHAnsi"/>
        </w:rPr>
        <w:t>.</w:t>
      </w:r>
      <w:r>
        <w:rPr>
          <w:rFonts w:cstheme="minorHAnsi"/>
        </w:rPr>
        <w:t xml:space="preserve"> “Mr Right Now”: Temporality of </w:t>
      </w:r>
      <w:r w:rsidR="001E19A5">
        <w:rPr>
          <w:rFonts w:cstheme="minorHAnsi"/>
        </w:rPr>
        <w:t>r</w:t>
      </w:r>
      <w:r>
        <w:rPr>
          <w:rFonts w:cstheme="minorHAnsi"/>
        </w:rPr>
        <w:t xml:space="preserve">elationship </w:t>
      </w:r>
      <w:r w:rsidR="001E19A5">
        <w:rPr>
          <w:rFonts w:cstheme="minorHAnsi"/>
        </w:rPr>
        <w:t>f</w:t>
      </w:r>
      <w:r>
        <w:rPr>
          <w:rFonts w:cstheme="minorHAnsi"/>
        </w:rPr>
        <w:t xml:space="preserve">ormation on </w:t>
      </w:r>
      <w:r w:rsidR="001E19A5">
        <w:rPr>
          <w:rFonts w:cstheme="minorHAnsi"/>
        </w:rPr>
        <w:t>g</w:t>
      </w:r>
      <w:r>
        <w:rPr>
          <w:rFonts w:cstheme="minorHAnsi"/>
        </w:rPr>
        <w:t xml:space="preserve">ay </w:t>
      </w:r>
      <w:r w:rsidR="001E19A5">
        <w:rPr>
          <w:rFonts w:cstheme="minorHAnsi"/>
        </w:rPr>
        <w:t>m</w:t>
      </w:r>
      <w:r>
        <w:rPr>
          <w:rFonts w:cstheme="minorHAnsi"/>
        </w:rPr>
        <w:t xml:space="preserve">obile </w:t>
      </w:r>
      <w:r w:rsidR="001E19A5">
        <w:rPr>
          <w:rFonts w:cstheme="minorHAnsi"/>
        </w:rPr>
        <w:t>d</w:t>
      </w:r>
      <w:r>
        <w:rPr>
          <w:rFonts w:cstheme="minorHAnsi"/>
        </w:rPr>
        <w:t xml:space="preserve">ating </w:t>
      </w:r>
      <w:r w:rsidR="001E19A5">
        <w:rPr>
          <w:rFonts w:cstheme="minorHAnsi"/>
        </w:rPr>
        <w:t>a</w:t>
      </w:r>
      <w:r>
        <w:rPr>
          <w:rFonts w:cstheme="minorHAnsi"/>
        </w:rPr>
        <w:t>pps</w:t>
      </w:r>
      <w:r w:rsidR="00D54A15">
        <w:rPr>
          <w:rFonts w:cstheme="minorHAnsi"/>
        </w:rPr>
        <w:t>.</w:t>
      </w:r>
      <w:r>
        <w:rPr>
          <w:rFonts w:cstheme="minorHAnsi"/>
        </w:rPr>
        <w:t xml:space="preserve"> </w:t>
      </w:r>
      <w:r w:rsidRPr="00BE6D07">
        <w:rPr>
          <w:rFonts w:cstheme="minorHAnsi"/>
          <w:i/>
        </w:rPr>
        <w:t>Mobile Media and Communication</w:t>
      </w:r>
      <w:r>
        <w:rPr>
          <w:rFonts w:cstheme="minorHAnsi"/>
        </w:rPr>
        <w:t xml:space="preserve"> 6(1)</w:t>
      </w:r>
      <w:r w:rsidR="00D54A15">
        <w:rPr>
          <w:rFonts w:cstheme="minorHAnsi"/>
        </w:rPr>
        <w:t>:</w:t>
      </w:r>
      <w:r>
        <w:rPr>
          <w:rFonts w:cstheme="minorHAnsi"/>
        </w:rPr>
        <w:t xml:space="preserve"> 3</w:t>
      </w:r>
      <w:r w:rsidR="001E19A5">
        <w:rPr>
          <w:rFonts w:cstheme="minorHAnsi"/>
        </w:rPr>
        <w:t>-</w:t>
      </w:r>
      <w:r>
        <w:rPr>
          <w:rFonts w:cstheme="minorHAnsi"/>
        </w:rPr>
        <w:t>18</w:t>
      </w:r>
      <w:r w:rsidR="00D54A15">
        <w:rPr>
          <w:rFonts w:cstheme="minorHAnsi"/>
        </w:rPr>
        <w:t>.</w:t>
      </w:r>
    </w:p>
    <w:p w14:paraId="654B62A9" w14:textId="052B3889" w:rsidR="00AA06EF" w:rsidRDefault="00AA06EF" w:rsidP="00425759">
      <w:pPr>
        <w:spacing w:line="276" w:lineRule="auto"/>
        <w:jc w:val="both"/>
        <w:rPr>
          <w:rFonts w:cstheme="minorHAnsi"/>
        </w:rPr>
      </w:pPr>
      <w:r>
        <w:rPr>
          <w:rFonts w:cstheme="minorHAnsi"/>
        </w:rPr>
        <w:t>Zerubavel, E. (1981)</w:t>
      </w:r>
      <w:r w:rsidR="00D54A15">
        <w:rPr>
          <w:rFonts w:cstheme="minorHAnsi"/>
        </w:rPr>
        <w:t>.</w:t>
      </w:r>
      <w:r>
        <w:rPr>
          <w:rFonts w:cstheme="minorHAnsi"/>
        </w:rPr>
        <w:t xml:space="preserve"> </w:t>
      </w:r>
      <w:r w:rsidRPr="00AA06EF">
        <w:rPr>
          <w:rFonts w:cstheme="minorHAnsi"/>
          <w:i/>
        </w:rPr>
        <w:t>Hidden Rhythms: Schedules and Calendars in Social Life</w:t>
      </w:r>
      <w:r w:rsidR="001E19A5">
        <w:rPr>
          <w:rFonts w:cstheme="minorHAnsi"/>
          <w:iCs/>
        </w:rPr>
        <w:t>.</w:t>
      </w:r>
      <w:r w:rsidR="007A02E0">
        <w:rPr>
          <w:rFonts w:cstheme="minorHAnsi"/>
        </w:rPr>
        <w:t xml:space="preserve"> </w:t>
      </w:r>
      <w:r>
        <w:rPr>
          <w:rFonts w:cstheme="minorHAnsi"/>
        </w:rPr>
        <w:t>Chicago</w:t>
      </w:r>
      <w:r w:rsidR="00D54A15">
        <w:rPr>
          <w:rFonts w:cstheme="minorHAnsi"/>
        </w:rPr>
        <w:t>:</w:t>
      </w:r>
      <w:r>
        <w:rPr>
          <w:rFonts w:cstheme="minorHAnsi"/>
        </w:rPr>
        <w:t xml:space="preserve"> University of</w:t>
      </w:r>
      <w:r w:rsidR="00714BAB">
        <w:rPr>
          <w:rFonts w:cstheme="minorHAnsi"/>
        </w:rPr>
        <w:t xml:space="preserve"> </w:t>
      </w:r>
      <w:r>
        <w:rPr>
          <w:rFonts w:cstheme="minorHAnsi"/>
        </w:rPr>
        <w:t>Chicago Press</w:t>
      </w:r>
      <w:r w:rsidR="00D54A15">
        <w:rPr>
          <w:rFonts w:cstheme="minorHAnsi"/>
        </w:rPr>
        <w:t>.</w:t>
      </w:r>
    </w:p>
    <w:p w14:paraId="6D500599" w14:textId="77777777" w:rsidR="005201B4" w:rsidRPr="00DA194D" w:rsidRDefault="005201B4" w:rsidP="00BB7C68">
      <w:pPr>
        <w:spacing w:line="276" w:lineRule="auto"/>
        <w:rPr>
          <w:rFonts w:cstheme="minorHAnsi"/>
        </w:rPr>
      </w:pPr>
    </w:p>
    <w:sectPr w:rsidR="005201B4" w:rsidRPr="00DA194D" w:rsidSect="00DD6576">
      <w:headerReference w:type="even" r:id="rId17"/>
      <w:headerReference w:type="default" r:id="rId18"/>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4F30C" w14:textId="77777777" w:rsidR="00DD6576" w:rsidRDefault="00DD6576" w:rsidP="00334FE2">
      <w:pPr>
        <w:spacing w:after="0" w:line="240" w:lineRule="auto"/>
      </w:pPr>
      <w:r>
        <w:separator/>
      </w:r>
    </w:p>
  </w:endnote>
  <w:endnote w:type="continuationSeparator" w:id="0">
    <w:p w14:paraId="597E5314" w14:textId="77777777" w:rsidR="00DD6576" w:rsidRDefault="00DD6576" w:rsidP="0033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6F92F" w14:textId="4BC071A6" w:rsidR="003D7CFF" w:rsidRDefault="003D7CFF">
    <w:pPr>
      <w:pStyle w:val="Footer"/>
      <w:jc w:val="center"/>
    </w:pPr>
    <w:r>
      <w:t>__________________________________________________________________________________</w:t>
    </w:r>
  </w:p>
  <w:p w14:paraId="73DCED62" w14:textId="77777777" w:rsidR="003D7CFF" w:rsidRDefault="003D7CFF">
    <w:pPr>
      <w:pStyle w:val="Footer"/>
      <w:jc w:val="center"/>
    </w:pPr>
  </w:p>
  <w:sdt>
    <w:sdtPr>
      <w:id w:val="-2113507130"/>
      <w:docPartObj>
        <w:docPartGallery w:val="Page Numbers (Bottom of Page)"/>
        <w:docPartUnique/>
      </w:docPartObj>
    </w:sdtPr>
    <w:sdtEndPr>
      <w:rPr>
        <w:noProof/>
      </w:rPr>
    </w:sdtEndPr>
    <w:sdtContent>
      <w:p w14:paraId="037B2B5C" w14:textId="547D5F1F" w:rsidR="003D7CFF" w:rsidRDefault="003D7C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EC6E53" w14:textId="77777777" w:rsidR="00F25D3A" w:rsidRDefault="00F25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8BD66" w14:textId="6FDAE938" w:rsidR="00CE69CE" w:rsidRDefault="00CE69CE">
    <w:pPr>
      <w:pStyle w:val="Footer"/>
      <w:jc w:val="center"/>
    </w:pPr>
    <w:r>
      <w:t>__________________________________________________________________________________</w:t>
    </w:r>
  </w:p>
  <w:p w14:paraId="1C8550B1" w14:textId="5B4C84CB" w:rsidR="00CE69CE" w:rsidRDefault="00CE69CE">
    <w:pPr>
      <w:pStyle w:val="Footer"/>
      <w:jc w:val="center"/>
    </w:pPr>
  </w:p>
  <w:sdt>
    <w:sdtPr>
      <w:id w:val="519514896"/>
      <w:docPartObj>
        <w:docPartGallery w:val="Page Numbers (Bottom of Page)"/>
        <w:docPartUnique/>
      </w:docPartObj>
    </w:sdtPr>
    <w:sdtEndPr>
      <w:rPr>
        <w:noProof/>
      </w:rPr>
    </w:sdtEndPr>
    <w:sdtContent>
      <w:p w14:paraId="1EFF5E13" w14:textId="2B96FBDB" w:rsidR="00CE69CE" w:rsidRDefault="00CE69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468C29" w14:textId="77777777" w:rsidR="001F42EE" w:rsidRDefault="001F4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591A7" w14:textId="77777777" w:rsidR="00DD6576" w:rsidRDefault="00DD6576" w:rsidP="00334FE2">
      <w:pPr>
        <w:spacing w:after="0" w:line="240" w:lineRule="auto"/>
      </w:pPr>
      <w:r>
        <w:separator/>
      </w:r>
    </w:p>
  </w:footnote>
  <w:footnote w:type="continuationSeparator" w:id="0">
    <w:p w14:paraId="59A4ED87" w14:textId="77777777" w:rsidR="00DD6576" w:rsidRDefault="00DD6576" w:rsidP="00334FE2">
      <w:pPr>
        <w:spacing w:after="0" w:line="240" w:lineRule="auto"/>
      </w:pPr>
      <w:r>
        <w:continuationSeparator/>
      </w:r>
    </w:p>
  </w:footnote>
  <w:footnote w:id="1">
    <w:p w14:paraId="2E7DA2D4" w14:textId="4DC870B6" w:rsidR="000738FA" w:rsidRPr="00A006FA" w:rsidRDefault="000738FA">
      <w:pPr>
        <w:pStyle w:val="FootnoteText"/>
        <w:rPr>
          <w:lang w:val="fr-FR"/>
        </w:rPr>
      </w:pPr>
      <w:r>
        <w:rPr>
          <w:rStyle w:val="FootnoteReference"/>
        </w:rPr>
        <w:t>*</w:t>
      </w:r>
      <w:r>
        <w:t xml:space="preserve"> Professor, Glasgow Caledonian University, </w:t>
      </w:r>
      <w:r w:rsidR="00F14EC7">
        <w:t xml:space="preserve">Scotland. </w:t>
      </w:r>
      <w:r w:rsidR="00F14EC7" w:rsidRPr="0087544A">
        <w:rPr>
          <w:lang w:val="fr-FR"/>
        </w:rPr>
        <w:t xml:space="preserve">Email </w:t>
      </w:r>
      <w:hyperlink r:id="rId1" w:history="1">
        <w:r w:rsidR="00F14EC7" w:rsidRPr="0087544A">
          <w:rPr>
            <w:rStyle w:val="Hyperlink"/>
            <w:lang w:val="fr-FR"/>
          </w:rPr>
          <w:t>Lesley.McMillan@gcu.ac.uk</w:t>
        </w:r>
      </w:hyperlink>
      <w:r w:rsidR="0087544A" w:rsidRPr="0087544A">
        <w:rPr>
          <w:lang w:val="fr-FR"/>
        </w:rPr>
        <w:t xml:space="preserve">. </w:t>
      </w:r>
    </w:p>
  </w:footnote>
  <w:footnote w:id="2">
    <w:p w14:paraId="0299A384" w14:textId="24C2504B" w:rsidR="00F14EC7" w:rsidRPr="00FF52D7" w:rsidRDefault="00F14EC7">
      <w:pPr>
        <w:pStyle w:val="FootnoteText"/>
      </w:pPr>
      <w:r>
        <w:rPr>
          <w:rStyle w:val="FootnoteReference"/>
        </w:rPr>
        <w:t>**</w:t>
      </w:r>
      <w:r>
        <w:t xml:space="preserve"> Lecturer, Glasgow Caledonian University, Scotland. </w:t>
      </w:r>
      <w:r w:rsidRPr="00F14EC7">
        <w:rPr>
          <w:lang w:val="fr-FR"/>
        </w:rPr>
        <w:t xml:space="preserve">Email </w:t>
      </w:r>
      <w:hyperlink r:id="rId2" w:history="1">
        <w:r w:rsidRPr="007C59E6">
          <w:rPr>
            <w:rStyle w:val="Hyperlink"/>
            <w:lang w:val="fr-FR"/>
          </w:rPr>
          <w:t>Andrew.Tickell@gcu.ac.uk</w:t>
        </w:r>
      </w:hyperlink>
      <w:r w:rsidR="00FF52D7">
        <w:rPr>
          <w:lang w:val="fr-FR"/>
        </w:rPr>
        <w:t xml:space="preserve">. </w:t>
      </w:r>
      <w:r w:rsidR="00FF52D7">
        <w:rPr>
          <w:lang w:val="en-US"/>
        </w:rPr>
        <w:t>This research was funded by the Scottish Institute for Policing Research (SIPR). We are indebted to the two anonymous reviewers for their constructive comments on the first draft of this work, and to Professor Adam Tomkins, Professor Aileen McHarg, Dr Chris McCorkindale and Scott Wortley for their helpful comments on the underpinning legal framework.</w:t>
      </w:r>
    </w:p>
  </w:footnote>
  <w:footnote w:id="3">
    <w:p w14:paraId="4C86C11C" w14:textId="619224C5" w:rsidR="00786E7E" w:rsidRDefault="00786E7E">
      <w:pPr>
        <w:pStyle w:val="FootnoteText"/>
      </w:pPr>
      <w:r>
        <w:rPr>
          <w:rStyle w:val="FootnoteReference"/>
        </w:rPr>
        <w:footnoteRef/>
      </w:r>
      <w:r>
        <w:t xml:space="preserve"> </w:t>
      </w:r>
      <w:r>
        <w:rPr>
          <w:i/>
          <w:lang w:val="en-US"/>
        </w:rPr>
        <w:t>R (on the application of A) v Secretary of State for the Home Department</w:t>
      </w:r>
      <w:r>
        <w:rPr>
          <w:lang w:val="en-US"/>
        </w:rPr>
        <w:t xml:space="preserve"> [2021] UKSC 37 </w:t>
      </w:r>
      <w:r w:rsidR="004F5E10">
        <w:rPr>
          <w:lang w:val="en-US"/>
        </w:rPr>
        <w:t>[</w:t>
      </w:r>
      <w:r>
        <w:rPr>
          <w:lang w:val="en-US"/>
        </w:rPr>
        <w:t>2</w:t>
      </w:r>
      <w:r w:rsidR="004F5E10">
        <w:rPr>
          <w:lang w:val="en-US"/>
        </w:rPr>
        <w:t>].</w:t>
      </w:r>
    </w:p>
  </w:footnote>
  <w:footnote w:id="4">
    <w:p w14:paraId="460FC4CD" w14:textId="251C8675" w:rsidR="00957071" w:rsidRDefault="00957071">
      <w:pPr>
        <w:pStyle w:val="FootnoteText"/>
      </w:pPr>
      <w:r>
        <w:rPr>
          <w:rStyle w:val="FootnoteReference"/>
        </w:rPr>
        <w:footnoteRef/>
      </w:r>
      <w:r>
        <w:rPr>
          <w:rFonts w:cstheme="minorHAnsi"/>
        </w:rPr>
        <w:t xml:space="preserve"> </w:t>
      </w:r>
      <w:r>
        <w:rPr>
          <w:i/>
          <w:lang w:val="en-US"/>
        </w:rPr>
        <w:t>R (on the application of A) v Secretary of State for the Home Department</w:t>
      </w:r>
      <w:r>
        <w:rPr>
          <w:lang w:val="en-US"/>
        </w:rPr>
        <w:t xml:space="preserve"> [2021] UKSC 37 [19].</w:t>
      </w:r>
    </w:p>
  </w:footnote>
  <w:footnote w:id="5">
    <w:p w14:paraId="5939DE8C" w14:textId="2608487A" w:rsidR="004E2A38" w:rsidRDefault="004E2A38">
      <w:pPr>
        <w:pStyle w:val="FootnoteText"/>
      </w:pPr>
      <w:r>
        <w:rPr>
          <w:rStyle w:val="FootnoteReference"/>
        </w:rPr>
        <w:footnoteRef/>
      </w:r>
      <w:r>
        <w:t xml:space="preserve"> </w:t>
      </w:r>
      <w:r>
        <w:rPr>
          <w:rFonts w:cstheme="minorHAnsi"/>
        </w:rPr>
        <w:t>S</w:t>
      </w:r>
      <w:r w:rsidRPr="008021A0">
        <w:rPr>
          <w:rFonts w:cstheme="minorHAnsi"/>
        </w:rPr>
        <w:t xml:space="preserve">ee, for example: </w:t>
      </w:r>
      <w:r w:rsidRPr="008021A0">
        <w:rPr>
          <w:i/>
          <w:iCs/>
        </w:rPr>
        <w:t xml:space="preserve">R(L) v Commissioner of Police of the Metropolis (Secretary of State for the Home Department intervening) </w:t>
      </w:r>
      <w:r w:rsidRPr="008021A0">
        <w:t>[2009] UKSC 3</w:t>
      </w:r>
      <w:r>
        <w:t xml:space="preserve"> [</w:t>
      </w:r>
      <w:r w:rsidRPr="008021A0">
        <w:t>27</w:t>
      </w:r>
      <w:r>
        <w:t>].</w:t>
      </w:r>
    </w:p>
  </w:footnote>
  <w:footnote w:id="6">
    <w:p w14:paraId="58C4E1E4" w14:textId="036EB6E9" w:rsidR="006A0E1A" w:rsidRDefault="006A0E1A">
      <w:pPr>
        <w:pStyle w:val="FootnoteText"/>
      </w:pPr>
      <w:r>
        <w:rPr>
          <w:rStyle w:val="FootnoteReference"/>
        </w:rPr>
        <w:footnoteRef/>
      </w:r>
      <w:r>
        <w:t xml:space="preserve"> </w:t>
      </w:r>
      <w:r w:rsidRPr="00DA194D">
        <w:rPr>
          <w:rFonts w:cstheme="minorHAnsi"/>
          <w:i/>
          <w:iCs/>
        </w:rPr>
        <w:t>Halford v United Kingdom</w:t>
      </w:r>
      <w:r w:rsidRPr="00DA194D">
        <w:rPr>
          <w:rFonts w:cstheme="minorHAnsi"/>
        </w:rPr>
        <w:t xml:space="preserve"> </w:t>
      </w:r>
      <w:r>
        <w:rPr>
          <w:rFonts w:cstheme="minorHAnsi"/>
        </w:rPr>
        <w:t>[</w:t>
      </w:r>
      <w:r w:rsidRPr="00DA194D">
        <w:rPr>
          <w:rFonts w:cstheme="minorHAnsi"/>
        </w:rPr>
        <w:t>1997</w:t>
      </w:r>
      <w:r>
        <w:rPr>
          <w:rFonts w:cstheme="minorHAnsi"/>
        </w:rPr>
        <w:t>]</w:t>
      </w:r>
      <w:r w:rsidRPr="00DA194D">
        <w:rPr>
          <w:rFonts w:cstheme="minorHAnsi"/>
        </w:rPr>
        <w:t xml:space="preserve"> 24 EHRR 523</w:t>
      </w:r>
      <w:r w:rsidR="00CF6F2D">
        <w:rPr>
          <w:rFonts w:cstheme="minorHAnsi"/>
        </w:rPr>
        <w:t xml:space="preserve">, </w:t>
      </w:r>
      <w:r w:rsidRPr="00DA194D">
        <w:rPr>
          <w:rFonts w:cstheme="minorHAnsi"/>
        </w:rPr>
        <w:t>524</w:t>
      </w:r>
      <w:r>
        <w:rPr>
          <w:rFonts w:cstheme="minorHAnsi"/>
        </w:rPr>
        <w:t>.</w:t>
      </w:r>
    </w:p>
  </w:footnote>
  <w:footnote w:id="7">
    <w:p w14:paraId="0D00E0F1" w14:textId="44B36AA6" w:rsidR="00CF6F2D" w:rsidRPr="00CF6F2D" w:rsidRDefault="00CF6F2D">
      <w:pPr>
        <w:pStyle w:val="FootnoteText"/>
        <w:rPr>
          <w:i/>
          <w:iCs/>
        </w:rPr>
      </w:pPr>
      <w:r>
        <w:rPr>
          <w:rStyle w:val="FootnoteReference"/>
        </w:rPr>
        <w:footnoteRef/>
      </w:r>
      <w:r>
        <w:t xml:space="preserve"> </w:t>
      </w:r>
      <w:r>
        <w:rPr>
          <w:i/>
          <w:iCs/>
        </w:rPr>
        <w:t xml:space="preserve">Sunday Times v United Kingdom </w:t>
      </w:r>
      <w:r>
        <w:rPr>
          <w:rFonts w:cstheme="minorHAnsi"/>
        </w:rPr>
        <w:t>[</w:t>
      </w:r>
      <w:r w:rsidRPr="00DA194D">
        <w:rPr>
          <w:rFonts w:cstheme="minorHAnsi"/>
        </w:rPr>
        <w:t>1979-1980</w:t>
      </w:r>
      <w:r>
        <w:rPr>
          <w:rFonts w:cstheme="minorHAnsi"/>
        </w:rPr>
        <w:t>]</w:t>
      </w:r>
      <w:r w:rsidRPr="00DA194D">
        <w:rPr>
          <w:rFonts w:cstheme="minorHAnsi"/>
        </w:rPr>
        <w:t xml:space="preserve"> 2 EHRR 245</w:t>
      </w:r>
      <w:r>
        <w:rPr>
          <w:rFonts w:cstheme="minorHAnsi"/>
        </w:rPr>
        <w:t xml:space="preserve"> [</w:t>
      </w:r>
      <w:r w:rsidRPr="00DA194D">
        <w:rPr>
          <w:rFonts w:cstheme="minorHAnsi"/>
        </w:rPr>
        <w:t>49</w:t>
      </w:r>
      <w:r>
        <w:rPr>
          <w:rFonts w:cstheme="minorHAnsi"/>
        </w:rPr>
        <w:t>]</w:t>
      </w:r>
    </w:p>
  </w:footnote>
  <w:footnote w:id="8">
    <w:p w14:paraId="73915553" w14:textId="22232088" w:rsidR="00434901" w:rsidRDefault="00434901">
      <w:pPr>
        <w:pStyle w:val="FootnoteText"/>
      </w:pPr>
      <w:r>
        <w:rPr>
          <w:rStyle w:val="FootnoteReference"/>
        </w:rPr>
        <w:footnoteRef/>
      </w:r>
      <w:r>
        <w:t xml:space="preserve"> </w:t>
      </w:r>
      <w:r>
        <w:rPr>
          <w:i/>
        </w:rPr>
        <w:t>R (on the application of HM)</w:t>
      </w:r>
      <w:r>
        <w:t xml:space="preserve"> </w:t>
      </w:r>
      <w:r>
        <w:rPr>
          <w:i/>
        </w:rPr>
        <w:t xml:space="preserve">v Secretary of State for the Home Department </w:t>
      </w:r>
      <w:r>
        <w:t xml:space="preserve">[2022] EWHC 695 (Admin); </w:t>
      </w:r>
      <w:r>
        <w:rPr>
          <w:i/>
          <w:iCs/>
        </w:rPr>
        <w:t>R (on the application of K) v Secretary of State for Work and Pensions</w:t>
      </w:r>
      <w:r w:rsidRPr="003818FD">
        <w:t xml:space="preserve"> [2023] EWHC 233 (Admin)</w:t>
      </w:r>
      <w:r>
        <w:t>.</w:t>
      </w:r>
    </w:p>
  </w:footnote>
  <w:footnote w:id="9">
    <w:p w14:paraId="15309993" w14:textId="78D28839" w:rsidR="00431E89" w:rsidRDefault="00431E89">
      <w:pPr>
        <w:pStyle w:val="FootnoteText"/>
      </w:pPr>
      <w:r>
        <w:rPr>
          <w:rStyle w:val="FootnoteReference"/>
        </w:rPr>
        <w:footnoteRef/>
      </w:r>
      <w:r>
        <w:t xml:space="preserve"> </w:t>
      </w:r>
      <w:r>
        <w:rPr>
          <w:i/>
          <w:iCs/>
        </w:rPr>
        <w:t xml:space="preserve">Lumba and Mighty v Secretary of State for the Home Department </w:t>
      </w:r>
      <w:r w:rsidRPr="00F3701C">
        <w:t>[2011] UKSC 12</w:t>
      </w:r>
      <w:r>
        <w:t xml:space="preserve"> [34]</w:t>
      </w:r>
      <w:r w:rsidR="00857F7A">
        <w:t>-[</w:t>
      </w:r>
      <w:r>
        <w:t>35</w:t>
      </w:r>
      <w:r w:rsidR="00857F7A">
        <w:t>].</w:t>
      </w:r>
    </w:p>
  </w:footnote>
  <w:footnote w:id="10">
    <w:p w14:paraId="742935B6" w14:textId="07803319" w:rsidR="00FA1BD6" w:rsidRDefault="00FA1BD6">
      <w:pPr>
        <w:pStyle w:val="FootnoteText"/>
      </w:pPr>
      <w:r>
        <w:rPr>
          <w:rStyle w:val="FootnoteReference"/>
        </w:rPr>
        <w:footnoteRef/>
      </w:r>
      <w:r>
        <w:t xml:space="preserve"> </w:t>
      </w:r>
      <w:r>
        <w:rPr>
          <w:rFonts w:cstheme="minorHAnsi"/>
        </w:rPr>
        <w:t>Police and Fire Reform (Scotland) Act 2012, s 32(b)(</w:t>
      </w:r>
      <w:proofErr w:type="spellStart"/>
      <w:r>
        <w:rPr>
          <w:rFonts w:cstheme="minorHAnsi"/>
        </w:rPr>
        <w:t>i</w:t>
      </w:r>
      <w:proofErr w:type="spellEnd"/>
      <w:r>
        <w:rPr>
          <w:rFonts w:cstheme="minorHAnsi"/>
        </w:rPr>
        <w:t>).</w:t>
      </w:r>
    </w:p>
  </w:footnote>
  <w:footnote w:id="11">
    <w:p w14:paraId="7B674A40" w14:textId="23872DBB" w:rsidR="00BF46AC" w:rsidRDefault="00BF46AC">
      <w:pPr>
        <w:pStyle w:val="FootnoteText"/>
      </w:pPr>
      <w:r>
        <w:rPr>
          <w:rStyle w:val="FootnoteReference"/>
        </w:rPr>
        <w:footnoteRef/>
      </w:r>
      <w:r>
        <w:t xml:space="preserve"> Ibid ss 1 and 6.</w:t>
      </w:r>
    </w:p>
  </w:footnote>
  <w:footnote w:id="12">
    <w:p w14:paraId="6FBE3B03" w14:textId="029C4D5E" w:rsidR="00C71B15" w:rsidRDefault="00C71B15">
      <w:pPr>
        <w:pStyle w:val="FootnoteText"/>
      </w:pPr>
      <w:r>
        <w:rPr>
          <w:rStyle w:val="FootnoteReference"/>
        </w:rPr>
        <w:footnoteRef/>
      </w:r>
      <w:r>
        <w:t xml:space="preserve"> Ibid s 33.</w:t>
      </w:r>
    </w:p>
  </w:footnote>
  <w:footnote w:id="13">
    <w:p w14:paraId="7D2CCC5D" w14:textId="01A09732" w:rsidR="002E6450" w:rsidRDefault="002E6450">
      <w:pPr>
        <w:pStyle w:val="FootnoteText"/>
      </w:pPr>
      <w:r>
        <w:rPr>
          <w:rStyle w:val="FootnoteReference"/>
        </w:rPr>
        <w:footnoteRef/>
      </w:r>
      <w:r>
        <w:t xml:space="preserve"> Ibid s 2(1)(b).</w:t>
      </w:r>
    </w:p>
  </w:footnote>
  <w:footnote w:id="14">
    <w:p w14:paraId="2422ECA1" w14:textId="1FB37AFD" w:rsidR="002E6450" w:rsidRDefault="002E6450">
      <w:pPr>
        <w:pStyle w:val="FootnoteText"/>
      </w:pPr>
      <w:r>
        <w:rPr>
          <w:rStyle w:val="FootnoteReference"/>
        </w:rPr>
        <w:footnoteRef/>
      </w:r>
      <w:r>
        <w:t xml:space="preserve"> Ibid s 17(4)(a).</w:t>
      </w:r>
    </w:p>
  </w:footnote>
  <w:footnote w:id="15">
    <w:p w14:paraId="443BA451" w14:textId="3AB78A86" w:rsidR="002E6450" w:rsidRDefault="002E6450">
      <w:pPr>
        <w:pStyle w:val="FootnoteText"/>
      </w:pPr>
      <w:r>
        <w:rPr>
          <w:rStyle w:val="FootnoteReference"/>
        </w:rPr>
        <w:footnoteRef/>
      </w:r>
      <w:r>
        <w:t xml:space="preserve"> Ibid s 33(4).</w:t>
      </w:r>
    </w:p>
  </w:footnote>
  <w:footnote w:id="16">
    <w:p w14:paraId="78A98B99" w14:textId="30E36868" w:rsidR="00B56F1E" w:rsidRDefault="00B56F1E">
      <w:pPr>
        <w:pStyle w:val="FootnoteText"/>
      </w:pPr>
      <w:r>
        <w:rPr>
          <w:rStyle w:val="FootnoteReference"/>
        </w:rPr>
        <w:footnoteRef/>
      </w:r>
      <w:r>
        <w:t xml:space="preserve"> </w:t>
      </w:r>
      <w:r>
        <w:rPr>
          <w:rFonts w:cstheme="minorHAnsi"/>
        </w:rPr>
        <w:t>Criminal Justice (Scotland) Act 2016; Regulation of Investigatory Powers (Scotland) Act 2000.</w:t>
      </w:r>
    </w:p>
  </w:footnote>
  <w:footnote w:id="17">
    <w:p w14:paraId="5170BA64" w14:textId="61F3156A" w:rsidR="00FE1FF2" w:rsidRDefault="00FE1FF2">
      <w:pPr>
        <w:pStyle w:val="FootnoteText"/>
      </w:pPr>
      <w:r>
        <w:rPr>
          <w:rStyle w:val="FootnoteReference"/>
        </w:rPr>
        <w:footnoteRef/>
      </w:r>
      <w:r>
        <w:t xml:space="preserve"> </w:t>
      </w:r>
      <w:r w:rsidRPr="67070B46">
        <w:rPr>
          <w:i/>
          <w:iCs/>
        </w:rPr>
        <w:t xml:space="preserve">The Christian Institute v the Lord Advocate </w:t>
      </w:r>
      <w:r>
        <w:t>[2016] UKSC 51 [70].</w:t>
      </w:r>
    </w:p>
  </w:footnote>
  <w:footnote w:id="18">
    <w:p w14:paraId="12324811" w14:textId="79DE1510" w:rsidR="00FC61FE" w:rsidRDefault="00FC61FE">
      <w:pPr>
        <w:pStyle w:val="FootnoteText"/>
      </w:pPr>
      <w:r>
        <w:rPr>
          <w:rStyle w:val="FootnoteReference"/>
        </w:rPr>
        <w:footnoteRef/>
      </w:r>
      <w:r>
        <w:t xml:space="preserve"> </w:t>
      </w:r>
      <w:r>
        <w:rPr>
          <w:i/>
          <w:lang w:val="en-US"/>
        </w:rPr>
        <w:t>R (on the application of A) v Secretary of State for the Home Department</w:t>
      </w:r>
      <w:r>
        <w:rPr>
          <w:lang w:val="en-US"/>
        </w:rPr>
        <w:t xml:space="preserve"> [2021] UKSC 37 [18].</w:t>
      </w:r>
    </w:p>
  </w:footnote>
  <w:footnote w:id="19">
    <w:p w14:paraId="0CB6FA44" w14:textId="6F11257C" w:rsidR="00DA43C5" w:rsidRDefault="00DA43C5">
      <w:pPr>
        <w:pStyle w:val="FootnoteText"/>
      </w:pPr>
      <w:r>
        <w:rPr>
          <w:rStyle w:val="FootnoteReference"/>
        </w:rPr>
        <w:footnoteRef/>
      </w:r>
      <w:r>
        <w:t xml:space="preserve"> </w:t>
      </w:r>
      <w:r w:rsidRPr="003A794B">
        <w:rPr>
          <w:rFonts w:cstheme="minorHAnsi"/>
          <w:i/>
          <w:iCs/>
        </w:rPr>
        <w:t>R (on the application of Catt) v Commissioner of Police of the Metropolis</w:t>
      </w:r>
      <w:r w:rsidRPr="003A794B">
        <w:rPr>
          <w:rFonts w:cstheme="minorHAnsi"/>
        </w:rPr>
        <w:t xml:space="preserve"> [2015] UKSC 9</w:t>
      </w:r>
      <w:r w:rsidR="00FF43C6">
        <w:rPr>
          <w:rFonts w:cstheme="minorHAnsi"/>
        </w:rPr>
        <w:t>.</w:t>
      </w:r>
    </w:p>
  </w:footnote>
  <w:footnote w:id="20">
    <w:p w14:paraId="1672FD4E" w14:textId="1F00805D" w:rsidR="003B5717" w:rsidRDefault="003B5717">
      <w:pPr>
        <w:pStyle w:val="FootnoteText"/>
      </w:pPr>
      <w:r>
        <w:rPr>
          <w:rStyle w:val="FootnoteReference"/>
        </w:rPr>
        <w:footnoteRef/>
      </w:r>
      <w:r>
        <w:t xml:space="preserve"> </w:t>
      </w:r>
      <w:r w:rsidRPr="00DA194D">
        <w:rPr>
          <w:rFonts w:cstheme="minorHAnsi"/>
          <w:i/>
          <w:iCs/>
        </w:rPr>
        <w:t xml:space="preserve">BC and </w:t>
      </w:r>
      <w:proofErr w:type="spellStart"/>
      <w:r w:rsidRPr="00DA194D">
        <w:rPr>
          <w:rFonts w:cstheme="minorHAnsi"/>
          <w:i/>
          <w:iCs/>
        </w:rPr>
        <w:t>Ors</w:t>
      </w:r>
      <w:proofErr w:type="spellEnd"/>
      <w:r w:rsidRPr="00DA194D">
        <w:rPr>
          <w:rFonts w:cstheme="minorHAnsi"/>
          <w:i/>
          <w:iCs/>
        </w:rPr>
        <w:t xml:space="preserve"> v Chief Constable of the Police Service of Scotland</w:t>
      </w:r>
      <w:r>
        <w:rPr>
          <w:rFonts w:cstheme="minorHAnsi"/>
          <w:i/>
          <w:iCs/>
        </w:rPr>
        <w:t xml:space="preserve"> </w:t>
      </w:r>
      <w:r>
        <w:t>[2020] CSIH 61 [3].</w:t>
      </w:r>
    </w:p>
  </w:footnote>
  <w:footnote w:id="21">
    <w:p w14:paraId="017970A7" w14:textId="33162082" w:rsidR="003041A7" w:rsidRDefault="003041A7">
      <w:pPr>
        <w:pStyle w:val="FootnoteText"/>
      </w:pPr>
      <w:r>
        <w:rPr>
          <w:rStyle w:val="FootnoteReference"/>
        </w:rPr>
        <w:footnoteRef/>
      </w:r>
      <w:r>
        <w:t xml:space="preserve"> Ibid [111]-[112].</w:t>
      </w:r>
    </w:p>
  </w:footnote>
  <w:footnote w:id="22">
    <w:p w14:paraId="7B14D3FC" w14:textId="6407E64C" w:rsidR="00EF5F69" w:rsidRDefault="00EF5F69">
      <w:pPr>
        <w:pStyle w:val="FootnoteText"/>
      </w:pPr>
      <w:r>
        <w:rPr>
          <w:rStyle w:val="FootnoteReference"/>
        </w:rPr>
        <w:footnoteRef/>
      </w:r>
      <w:r>
        <w:t xml:space="preserve"> </w:t>
      </w:r>
      <w:r>
        <w:rPr>
          <w:i/>
          <w:lang w:val="en-US"/>
        </w:rPr>
        <w:t>R (on the application of A) v Secretary of State for the Home Department</w:t>
      </w:r>
      <w:r>
        <w:rPr>
          <w:lang w:val="en-US"/>
        </w:rPr>
        <w:t xml:space="preserve"> [2021] UKSC 37 [38].</w:t>
      </w:r>
    </w:p>
  </w:footnote>
  <w:footnote w:id="23">
    <w:p w14:paraId="476A00D1" w14:textId="35E3F667" w:rsidR="003A0AE2" w:rsidRDefault="003A0AE2">
      <w:pPr>
        <w:pStyle w:val="FootnoteText"/>
      </w:pPr>
      <w:r>
        <w:rPr>
          <w:rStyle w:val="FootnoteReference"/>
        </w:rPr>
        <w:footnoteRef/>
      </w:r>
      <w:r>
        <w:t xml:space="preserve"> Abusive Behaviour and Sexual Harm (Scotland) Act 2016, s 1(1)(a).</w:t>
      </w:r>
    </w:p>
  </w:footnote>
  <w:footnote w:id="24">
    <w:p w14:paraId="345EC65E" w14:textId="0EE64B4B" w:rsidR="00E273BD" w:rsidRDefault="00E273BD">
      <w:pPr>
        <w:pStyle w:val="FootnoteText"/>
      </w:pPr>
      <w:r>
        <w:rPr>
          <w:rStyle w:val="FootnoteReference"/>
        </w:rPr>
        <w:footnoteRef/>
      </w:r>
      <w:r>
        <w:t xml:space="preserve"> Ibid s 1(6).</w:t>
      </w:r>
    </w:p>
  </w:footnote>
  <w:footnote w:id="25">
    <w:p w14:paraId="2D46FBB8" w14:textId="660B92E1" w:rsidR="007122E7" w:rsidRDefault="007122E7">
      <w:pPr>
        <w:pStyle w:val="FootnoteText"/>
      </w:pPr>
      <w:r>
        <w:rPr>
          <w:rStyle w:val="FootnoteReference"/>
        </w:rPr>
        <w:footnoteRef/>
      </w:r>
      <w:r>
        <w:t xml:space="preserve"> Ibid s 1(2)-(3).</w:t>
      </w:r>
    </w:p>
  </w:footnote>
  <w:footnote w:id="26">
    <w:p w14:paraId="543945BA" w14:textId="582385AE" w:rsidR="003D17F6" w:rsidRDefault="003D17F6">
      <w:pPr>
        <w:pStyle w:val="FootnoteText"/>
      </w:pPr>
      <w:r>
        <w:rPr>
          <w:rStyle w:val="FootnoteReference"/>
        </w:rPr>
        <w:footnoteRef/>
      </w:r>
      <w:r>
        <w:t xml:space="preserve"> Ibid s 1(7).</w:t>
      </w:r>
    </w:p>
  </w:footnote>
  <w:footnote w:id="27">
    <w:p w14:paraId="4EC801C2" w14:textId="35F00D0D" w:rsidR="00235E1F" w:rsidRDefault="00235E1F">
      <w:pPr>
        <w:pStyle w:val="FootnoteText"/>
      </w:pPr>
      <w:r>
        <w:rPr>
          <w:rStyle w:val="FootnoteReference"/>
        </w:rPr>
        <w:footnoteRef/>
      </w:r>
      <w:r>
        <w:t xml:space="preserve"> </w:t>
      </w:r>
      <w:r w:rsidR="00463477">
        <w:t>Domestic Abuse (Scotland) Act 2018, s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BDB7C" w14:textId="18F82CC5" w:rsidR="00F25D3A" w:rsidRDefault="008A75DB">
    <w:pPr>
      <w:pStyle w:val="Header"/>
    </w:pPr>
    <w:r>
      <w:t>McMillan and Tickell</w:t>
    </w:r>
    <w:r>
      <w:tab/>
    </w:r>
    <w:r>
      <w:tab/>
    </w:r>
    <w:r w:rsidR="003D7CFF">
      <w:t>Lawful, Proportionate and Necessary?</w:t>
    </w:r>
  </w:p>
  <w:p w14:paraId="66C7066E" w14:textId="0E0F7EAB" w:rsidR="003D7CFF" w:rsidRDefault="003D7CFF">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99190" w14:textId="1CFED8C2" w:rsidR="00F25D3A" w:rsidRDefault="00B47019">
    <w:pPr>
      <w:pStyle w:val="Header"/>
    </w:pPr>
    <w:proofErr w:type="spellStart"/>
    <w:r>
      <w:rPr>
        <w:i/>
        <w:iCs/>
      </w:rPr>
      <w:t>feminists@law</w:t>
    </w:r>
    <w:proofErr w:type="spellEnd"/>
    <w:r>
      <w:tab/>
    </w:r>
    <w:r>
      <w:tab/>
      <w:t xml:space="preserve">Vol </w:t>
    </w:r>
    <w:r w:rsidR="00E96E0A">
      <w:t>1</w:t>
    </w:r>
    <w:r w:rsidR="00C24794">
      <w:t>3</w:t>
    </w:r>
    <w:r w:rsidR="00E96E0A">
      <w:t xml:space="preserve"> No</w:t>
    </w:r>
    <w:r w:rsidR="00C24794">
      <w:t xml:space="preserve"> 1</w:t>
    </w:r>
    <w:r w:rsidR="00E96E0A">
      <w:t xml:space="preserve"> (2024)</w:t>
    </w:r>
  </w:p>
  <w:p w14:paraId="7E1713E0" w14:textId="75D7891D" w:rsidR="00E96E0A" w:rsidRPr="00B47019" w:rsidRDefault="00E96E0A">
    <w:pPr>
      <w:pStyle w:val="Header"/>
    </w:pPr>
    <w: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D63DF"/>
    <w:multiLevelType w:val="hybridMultilevel"/>
    <w:tmpl w:val="5C48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05BB1"/>
    <w:multiLevelType w:val="hybridMultilevel"/>
    <w:tmpl w:val="DF205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241D8A"/>
    <w:multiLevelType w:val="hybridMultilevel"/>
    <w:tmpl w:val="CFBE3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744AA"/>
    <w:multiLevelType w:val="hybridMultilevel"/>
    <w:tmpl w:val="AB2C5C76"/>
    <w:lvl w:ilvl="0" w:tplc="4F2E21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71428A"/>
    <w:multiLevelType w:val="hybridMultilevel"/>
    <w:tmpl w:val="EA0A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4052F0"/>
    <w:multiLevelType w:val="hybridMultilevel"/>
    <w:tmpl w:val="A8C66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235374"/>
    <w:multiLevelType w:val="hybridMultilevel"/>
    <w:tmpl w:val="0388CBAE"/>
    <w:lvl w:ilvl="0" w:tplc="857A3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A6B3EFE"/>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194F13"/>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1017352">
    <w:abstractNumId w:val="1"/>
  </w:num>
  <w:num w:numId="2" w16cid:durableId="818768226">
    <w:abstractNumId w:val="5"/>
  </w:num>
  <w:num w:numId="3" w16cid:durableId="472256164">
    <w:abstractNumId w:val="4"/>
  </w:num>
  <w:num w:numId="4" w16cid:durableId="887840421">
    <w:abstractNumId w:val="6"/>
  </w:num>
  <w:num w:numId="5" w16cid:durableId="973565811">
    <w:abstractNumId w:val="2"/>
  </w:num>
  <w:num w:numId="6" w16cid:durableId="821044492">
    <w:abstractNumId w:val="7"/>
    <w:lvlOverride w:ilvl="0">
      <w:startOverride w:val="34"/>
    </w:lvlOverride>
  </w:num>
  <w:num w:numId="7" w16cid:durableId="2035496480">
    <w:abstractNumId w:val="7"/>
    <w:lvlOverride w:ilvl="0">
      <w:startOverride w:val="35"/>
    </w:lvlOverride>
  </w:num>
  <w:num w:numId="8" w16cid:durableId="1411199191">
    <w:abstractNumId w:val="8"/>
  </w:num>
  <w:num w:numId="9" w16cid:durableId="214895163">
    <w:abstractNumId w:val="0"/>
  </w:num>
  <w:num w:numId="10" w16cid:durableId="1283609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292"/>
    <w:rsid w:val="00000CC0"/>
    <w:rsid w:val="000012E7"/>
    <w:rsid w:val="000018D1"/>
    <w:rsid w:val="000031B5"/>
    <w:rsid w:val="00003C7D"/>
    <w:rsid w:val="00005202"/>
    <w:rsid w:val="000052FD"/>
    <w:rsid w:val="00005E3F"/>
    <w:rsid w:val="00006671"/>
    <w:rsid w:val="000102A0"/>
    <w:rsid w:val="00010904"/>
    <w:rsid w:val="00010C49"/>
    <w:rsid w:val="00012363"/>
    <w:rsid w:val="0001255C"/>
    <w:rsid w:val="00013096"/>
    <w:rsid w:val="000130CE"/>
    <w:rsid w:val="0001338F"/>
    <w:rsid w:val="00014919"/>
    <w:rsid w:val="000162AE"/>
    <w:rsid w:val="000204A0"/>
    <w:rsid w:val="00020FAD"/>
    <w:rsid w:val="000215F9"/>
    <w:rsid w:val="00021E67"/>
    <w:rsid w:val="00022139"/>
    <w:rsid w:val="000246F0"/>
    <w:rsid w:val="0002493B"/>
    <w:rsid w:val="00027AA1"/>
    <w:rsid w:val="00032146"/>
    <w:rsid w:val="0003311B"/>
    <w:rsid w:val="000336BC"/>
    <w:rsid w:val="00033A52"/>
    <w:rsid w:val="0004051F"/>
    <w:rsid w:val="000414A7"/>
    <w:rsid w:val="000416E8"/>
    <w:rsid w:val="00042475"/>
    <w:rsid w:val="0004274B"/>
    <w:rsid w:val="000447AF"/>
    <w:rsid w:val="00044ED3"/>
    <w:rsid w:val="00046274"/>
    <w:rsid w:val="0004638A"/>
    <w:rsid w:val="00046DFE"/>
    <w:rsid w:val="00047E2B"/>
    <w:rsid w:val="00050F12"/>
    <w:rsid w:val="00052F9A"/>
    <w:rsid w:val="00053B3D"/>
    <w:rsid w:val="00053E23"/>
    <w:rsid w:val="00053E8B"/>
    <w:rsid w:val="00054A16"/>
    <w:rsid w:val="00055122"/>
    <w:rsid w:val="00055FA5"/>
    <w:rsid w:val="00056412"/>
    <w:rsid w:val="000566D0"/>
    <w:rsid w:val="000576A7"/>
    <w:rsid w:val="00060A8B"/>
    <w:rsid w:val="00061A32"/>
    <w:rsid w:val="000624D5"/>
    <w:rsid w:val="0006353C"/>
    <w:rsid w:val="00063743"/>
    <w:rsid w:val="00063992"/>
    <w:rsid w:val="00064D84"/>
    <w:rsid w:val="0006702E"/>
    <w:rsid w:val="00067EF8"/>
    <w:rsid w:val="000709EC"/>
    <w:rsid w:val="000710FF"/>
    <w:rsid w:val="00072521"/>
    <w:rsid w:val="00073874"/>
    <w:rsid w:val="000738FA"/>
    <w:rsid w:val="00075B5F"/>
    <w:rsid w:val="000813F4"/>
    <w:rsid w:val="00082A4D"/>
    <w:rsid w:val="00082C79"/>
    <w:rsid w:val="00083346"/>
    <w:rsid w:val="00083440"/>
    <w:rsid w:val="00084553"/>
    <w:rsid w:val="00084ADF"/>
    <w:rsid w:val="00084B39"/>
    <w:rsid w:val="00084E42"/>
    <w:rsid w:val="000910D4"/>
    <w:rsid w:val="00091541"/>
    <w:rsid w:val="00091E1D"/>
    <w:rsid w:val="00092006"/>
    <w:rsid w:val="000927AE"/>
    <w:rsid w:val="0009405C"/>
    <w:rsid w:val="00094278"/>
    <w:rsid w:val="000944AC"/>
    <w:rsid w:val="0009619C"/>
    <w:rsid w:val="00096A14"/>
    <w:rsid w:val="00097AA6"/>
    <w:rsid w:val="00097B97"/>
    <w:rsid w:val="000A0092"/>
    <w:rsid w:val="000A1D31"/>
    <w:rsid w:val="000A1FBB"/>
    <w:rsid w:val="000A2338"/>
    <w:rsid w:val="000A2883"/>
    <w:rsid w:val="000A2EF3"/>
    <w:rsid w:val="000A39C5"/>
    <w:rsid w:val="000A4FBF"/>
    <w:rsid w:val="000A54D7"/>
    <w:rsid w:val="000A6107"/>
    <w:rsid w:val="000A6450"/>
    <w:rsid w:val="000A69B1"/>
    <w:rsid w:val="000B0142"/>
    <w:rsid w:val="000B1080"/>
    <w:rsid w:val="000B1A00"/>
    <w:rsid w:val="000B1CC6"/>
    <w:rsid w:val="000B1CD6"/>
    <w:rsid w:val="000B4FD9"/>
    <w:rsid w:val="000B5626"/>
    <w:rsid w:val="000B5BB3"/>
    <w:rsid w:val="000B61FD"/>
    <w:rsid w:val="000B64D0"/>
    <w:rsid w:val="000B7699"/>
    <w:rsid w:val="000C0DBF"/>
    <w:rsid w:val="000C0E47"/>
    <w:rsid w:val="000C0FCD"/>
    <w:rsid w:val="000C149B"/>
    <w:rsid w:val="000C1533"/>
    <w:rsid w:val="000C1A32"/>
    <w:rsid w:val="000C1AAF"/>
    <w:rsid w:val="000C2074"/>
    <w:rsid w:val="000C251F"/>
    <w:rsid w:val="000C56CC"/>
    <w:rsid w:val="000C790B"/>
    <w:rsid w:val="000D0339"/>
    <w:rsid w:val="000D0346"/>
    <w:rsid w:val="000D100D"/>
    <w:rsid w:val="000D2AF5"/>
    <w:rsid w:val="000D5C05"/>
    <w:rsid w:val="000E0843"/>
    <w:rsid w:val="000E10BE"/>
    <w:rsid w:val="000E127D"/>
    <w:rsid w:val="000E31C8"/>
    <w:rsid w:val="000E5470"/>
    <w:rsid w:val="000E5B49"/>
    <w:rsid w:val="000E6B44"/>
    <w:rsid w:val="000E6CC0"/>
    <w:rsid w:val="000E7C86"/>
    <w:rsid w:val="000F05CB"/>
    <w:rsid w:val="000F09FC"/>
    <w:rsid w:val="000F151F"/>
    <w:rsid w:val="000F176F"/>
    <w:rsid w:val="000F248B"/>
    <w:rsid w:val="000F27EE"/>
    <w:rsid w:val="000F2C84"/>
    <w:rsid w:val="000F3181"/>
    <w:rsid w:val="000F32A3"/>
    <w:rsid w:val="000F3387"/>
    <w:rsid w:val="000F3D76"/>
    <w:rsid w:val="000F4781"/>
    <w:rsid w:val="000F60B6"/>
    <w:rsid w:val="000F6C01"/>
    <w:rsid w:val="000F7635"/>
    <w:rsid w:val="000F768C"/>
    <w:rsid w:val="00100C43"/>
    <w:rsid w:val="0010159D"/>
    <w:rsid w:val="00103569"/>
    <w:rsid w:val="00105473"/>
    <w:rsid w:val="00105DA3"/>
    <w:rsid w:val="00106255"/>
    <w:rsid w:val="00106EC3"/>
    <w:rsid w:val="00107B18"/>
    <w:rsid w:val="00107B46"/>
    <w:rsid w:val="001111BB"/>
    <w:rsid w:val="00111C7D"/>
    <w:rsid w:val="001120BA"/>
    <w:rsid w:val="00112580"/>
    <w:rsid w:val="00112FE4"/>
    <w:rsid w:val="0011342D"/>
    <w:rsid w:val="00114882"/>
    <w:rsid w:val="00114977"/>
    <w:rsid w:val="00114983"/>
    <w:rsid w:val="00114A48"/>
    <w:rsid w:val="0011588F"/>
    <w:rsid w:val="00116136"/>
    <w:rsid w:val="00116D5B"/>
    <w:rsid w:val="001208F7"/>
    <w:rsid w:val="00120A7A"/>
    <w:rsid w:val="00120B08"/>
    <w:rsid w:val="00121251"/>
    <w:rsid w:val="00121454"/>
    <w:rsid w:val="0012163D"/>
    <w:rsid w:val="00122BBC"/>
    <w:rsid w:val="00123891"/>
    <w:rsid w:val="00125071"/>
    <w:rsid w:val="00126F84"/>
    <w:rsid w:val="00127DB8"/>
    <w:rsid w:val="001300B8"/>
    <w:rsid w:val="00130B2C"/>
    <w:rsid w:val="00132A09"/>
    <w:rsid w:val="00132FF2"/>
    <w:rsid w:val="00133BBE"/>
    <w:rsid w:val="001349BE"/>
    <w:rsid w:val="00135958"/>
    <w:rsid w:val="00136060"/>
    <w:rsid w:val="00137D1B"/>
    <w:rsid w:val="00137E5E"/>
    <w:rsid w:val="00140F9F"/>
    <w:rsid w:val="00142049"/>
    <w:rsid w:val="00142841"/>
    <w:rsid w:val="00143AA9"/>
    <w:rsid w:val="00144B05"/>
    <w:rsid w:val="00146028"/>
    <w:rsid w:val="0015203B"/>
    <w:rsid w:val="00152845"/>
    <w:rsid w:val="00153E9E"/>
    <w:rsid w:val="00154C29"/>
    <w:rsid w:val="00162EE5"/>
    <w:rsid w:val="00163AE7"/>
    <w:rsid w:val="001646A1"/>
    <w:rsid w:val="001663DA"/>
    <w:rsid w:val="0016657D"/>
    <w:rsid w:val="00167BC9"/>
    <w:rsid w:val="001706BE"/>
    <w:rsid w:val="00170863"/>
    <w:rsid w:val="00171C40"/>
    <w:rsid w:val="00172839"/>
    <w:rsid w:val="00172B6C"/>
    <w:rsid w:val="00174383"/>
    <w:rsid w:val="001753D8"/>
    <w:rsid w:val="0017551E"/>
    <w:rsid w:val="00176434"/>
    <w:rsid w:val="0017777D"/>
    <w:rsid w:val="001777FA"/>
    <w:rsid w:val="00180A4D"/>
    <w:rsid w:val="00181F49"/>
    <w:rsid w:val="001830B0"/>
    <w:rsid w:val="00185BA0"/>
    <w:rsid w:val="00186061"/>
    <w:rsid w:val="00186E6C"/>
    <w:rsid w:val="00186FBD"/>
    <w:rsid w:val="00187A90"/>
    <w:rsid w:val="00187DA6"/>
    <w:rsid w:val="0019243A"/>
    <w:rsid w:val="001955F2"/>
    <w:rsid w:val="00196F97"/>
    <w:rsid w:val="001970D9"/>
    <w:rsid w:val="00197318"/>
    <w:rsid w:val="00197748"/>
    <w:rsid w:val="001A0826"/>
    <w:rsid w:val="001A1871"/>
    <w:rsid w:val="001A1EEB"/>
    <w:rsid w:val="001A4CBE"/>
    <w:rsid w:val="001A5208"/>
    <w:rsid w:val="001A62CF"/>
    <w:rsid w:val="001A62EF"/>
    <w:rsid w:val="001A65F2"/>
    <w:rsid w:val="001A758D"/>
    <w:rsid w:val="001A7BE5"/>
    <w:rsid w:val="001B0236"/>
    <w:rsid w:val="001B07A5"/>
    <w:rsid w:val="001B0A4E"/>
    <w:rsid w:val="001B20CA"/>
    <w:rsid w:val="001B3844"/>
    <w:rsid w:val="001B5407"/>
    <w:rsid w:val="001B612A"/>
    <w:rsid w:val="001B6C53"/>
    <w:rsid w:val="001B734C"/>
    <w:rsid w:val="001B7AA7"/>
    <w:rsid w:val="001C35F5"/>
    <w:rsid w:val="001C62EA"/>
    <w:rsid w:val="001C6EF3"/>
    <w:rsid w:val="001C71C2"/>
    <w:rsid w:val="001D0D02"/>
    <w:rsid w:val="001D416B"/>
    <w:rsid w:val="001D5149"/>
    <w:rsid w:val="001D6B17"/>
    <w:rsid w:val="001D78C6"/>
    <w:rsid w:val="001E06DA"/>
    <w:rsid w:val="001E19A5"/>
    <w:rsid w:val="001E1A00"/>
    <w:rsid w:val="001E4503"/>
    <w:rsid w:val="001E498A"/>
    <w:rsid w:val="001E5470"/>
    <w:rsid w:val="001E6631"/>
    <w:rsid w:val="001E6E1E"/>
    <w:rsid w:val="001E7111"/>
    <w:rsid w:val="001E7374"/>
    <w:rsid w:val="001F00C1"/>
    <w:rsid w:val="001F0CF9"/>
    <w:rsid w:val="001F3435"/>
    <w:rsid w:val="001F39B9"/>
    <w:rsid w:val="001F3CE2"/>
    <w:rsid w:val="001F42EE"/>
    <w:rsid w:val="001F4B4F"/>
    <w:rsid w:val="001F4D1A"/>
    <w:rsid w:val="001F4EB8"/>
    <w:rsid w:val="001F68DF"/>
    <w:rsid w:val="001F6D34"/>
    <w:rsid w:val="00204477"/>
    <w:rsid w:val="002045DE"/>
    <w:rsid w:val="00204C60"/>
    <w:rsid w:val="00207896"/>
    <w:rsid w:val="00207D96"/>
    <w:rsid w:val="00207E6C"/>
    <w:rsid w:val="0021222A"/>
    <w:rsid w:val="00213325"/>
    <w:rsid w:val="00213A5D"/>
    <w:rsid w:val="002142F3"/>
    <w:rsid w:val="00214AC2"/>
    <w:rsid w:val="00215A86"/>
    <w:rsid w:val="00215AE4"/>
    <w:rsid w:val="00217106"/>
    <w:rsid w:val="00217304"/>
    <w:rsid w:val="0022042F"/>
    <w:rsid w:val="002214A6"/>
    <w:rsid w:val="00222838"/>
    <w:rsid w:val="002232BB"/>
    <w:rsid w:val="002259AC"/>
    <w:rsid w:val="00226B29"/>
    <w:rsid w:val="00226C9D"/>
    <w:rsid w:val="00230ED0"/>
    <w:rsid w:val="00231028"/>
    <w:rsid w:val="00231673"/>
    <w:rsid w:val="00231C3F"/>
    <w:rsid w:val="002333F3"/>
    <w:rsid w:val="00234C5A"/>
    <w:rsid w:val="00235E1F"/>
    <w:rsid w:val="00236A82"/>
    <w:rsid w:val="00237629"/>
    <w:rsid w:val="002401C7"/>
    <w:rsid w:val="002412A3"/>
    <w:rsid w:val="00241427"/>
    <w:rsid w:val="0024374E"/>
    <w:rsid w:val="00245415"/>
    <w:rsid w:val="00245801"/>
    <w:rsid w:val="00245AA2"/>
    <w:rsid w:val="002461F0"/>
    <w:rsid w:val="0024681C"/>
    <w:rsid w:val="00247EEF"/>
    <w:rsid w:val="00251EA3"/>
    <w:rsid w:val="00253750"/>
    <w:rsid w:val="00253871"/>
    <w:rsid w:val="0025691D"/>
    <w:rsid w:val="002570C0"/>
    <w:rsid w:val="00260C17"/>
    <w:rsid w:val="0026339A"/>
    <w:rsid w:val="00265830"/>
    <w:rsid w:val="00266C4C"/>
    <w:rsid w:val="00273614"/>
    <w:rsid w:val="002737DC"/>
    <w:rsid w:val="002738E6"/>
    <w:rsid w:val="00273FE9"/>
    <w:rsid w:val="00274483"/>
    <w:rsid w:val="00274AFA"/>
    <w:rsid w:val="002757AA"/>
    <w:rsid w:val="0027580B"/>
    <w:rsid w:val="00276C28"/>
    <w:rsid w:val="00280673"/>
    <w:rsid w:val="00281B41"/>
    <w:rsid w:val="00281B58"/>
    <w:rsid w:val="00281F2A"/>
    <w:rsid w:val="00282C41"/>
    <w:rsid w:val="00284016"/>
    <w:rsid w:val="00284209"/>
    <w:rsid w:val="002859D0"/>
    <w:rsid w:val="002871DA"/>
    <w:rsid w:val="00287DE9"/>
    <w:rsid w:val="00291C94"/>
    <w:rsid w:val="00292AE5"/>
    <w:rsid w:val="00292E69"/>
    <w:rsid w:val="00295C92"/>
    <w:rsid w:val="00297531"/>
    <w:rsid w:val="002A0D48"/>
    <w:rsid w:val="002A1775"/>
    <w:rsid w:val="002A24F2"/>
    <w:rsid w:val="002A32D4"/>
    <w:rsid w:val="002A4045"/>
    <w:rsid w:val="002A4D9F"/>
    <w:rsid w:val="002A58D7"/>
    <w:rsid w:val="002A5BE3"/>
    <w:rsid w:val="002A678F"/>
    <w:rsid w:val="002B0A3C"/>
    <w:rsid w:val="002B1B8A"/>
    <w:rsid w:val="002B290A"/>
    <w:rsid w:val="002B2935"/>
    <w:rsid w:val="002B3298"/>
    <w:rsid w:val="002B4492"/>
    <w:rsid w:val="002B47AD"/>
    <w:rsid w:val="002B5A92"/>
    <w:rsid w:val="002B6AC8"/>
    <w:rsid w:val="002B7260"/>
    <w:rsid w:val="002C1AB5"/>
    <w:rsid w:val="002C282E"/>
    <w:rsid w:val="002C2EDE"/>
    <w:rsid w:val="002C66C5"/>
    <w:rsid w:val="002C671E"/>
    <w:rsid w:val="002C707E"/>
    <w:rsid w:val="002C7DB7"/>
    <w:rsid w:val="002D10AF"/>
    <w:rsid w:val="002D15B6"/>
    <w:rsid w:val="002D4629"/>
    <w:rsid w:val="002D58BF"/>
    <w:rsid w:val="002D6089"/>
    <w:rsid w:val="002E0470"/>
    <w:rsid w:val="002E18F0"/>
    <w:rsid w:val="002E23C8"/>
    <w:rsid w:val="002E286D"/>
    <w:rsid w:val="002E478F"/>
    <w:rsid w:val="002E6450"/>
    <w:rsid w:val="002F05BC"/>
    <w:rsid w:val="002F3185"/>
    <w:rsid w:val="002F31A9"/>
    <w:rsid w:val="002F43FF"/>
    <w:rsid w:val="002F7677"/>
    <w:rsid w:val="0030367C"/>
    <w:rsid w:val="00303C4C"/>
    <w:rsid w:val="003041A7"/>
    <w:rsid w:val="00305561"/>
    <w:rsid w:val="00307092"/>
    <w:rsid w:val="00307CD6"/>
    <w:rsid w:val="00310272"/>
    <w:rsid w:val="0031101F"/>
    <w:rsid w:val="003114AF"/>
    <w:rsid w:val="0031398C"/>
    <w:rsid w:val="00313A36"/>
    <w:rsid w:val="00317799"/>
    <w:rsid w:val="00320924"/>
    <w:rsid w:val="00322765"/>
    <w:rsid w:val="00323046"/>
    <w:rsid w:val="00323C9D"/>
    <w:rsid w:val="00323EC5"/>
    <w:rsid w:val="00326805"/>
    <w:rsid w:val="00327A2B"/>
    <w:rsid w:val="00327AC4"/>
    <w:rsid w:val="00330924"/>
    <w:rsid w:val="00330B5E"/>
    <w:rsid w:val="0033177B"/>
    <w:rsid w:val="0033234D"/>
    <w:rsid w:val="003332B3"/>
    <w:rsid w:val="00334FE2"/>
    <w:rsid w:val="00334FE6"/>
    <w:rsid w:val="003356EB"/>
    <w:rsid w:val="00335C4F"/>
    <w:rsid w:val="00335E25"/>
    <w:rsid w:val="00335EB6"/>
    <w:rsid w:val="0033727B"/>
    <w:rsid w:val="003376C3"/>
    <w:rsid w:val="003377E0"/>
    <w:rsid w:val="00344ABC"/>
    <w:rsid w:val="00344DD3"/>
    <w:rsid w:val="00345E11"/>
    <w:rsid w:val="00345E74"/>
    <w:rsid w:val="0034638A"/>
    <w:rsid w:val="0034660A"/>
    <w:rsid w:val="0035017B"/>
    <w:rsid w:val="0035107A"/>
    <w:rsid w:val="00352CDA"/>
    <w:rsid w:val="003531F5"/>
    <w:rsid w:val="00353A91"/>
    <w:rsid w:val="00354306"/>
    <w:rsid w:val="003545C0"/>
    <w:rsid w:val="0035481F"/>
    <w:rsid w:val="00356B64"/>
    <w:rsid w:val="00356EC7"/>
    <w:rsid w:val="00357EE7"/>
    <w:rsid w:val="00360CE0"/>
    <w:rsid w:val="00362419"/>
    <w:rsid w:val="003640AE"/>
    <w:rsid w:val="00364BFA"/>
    <w:rsid w:val="00365232"/>
    <w:rsid w:val="0036556E"/>
    <w:rsid w:val="00365932"/>
    <w:rsid w:val="003661F4"/>
    <w:rsid w:val="0037017A"/>
    <w:rsid w:val="00370D84"/>
    <w:rsid w:val="0037148E"/>
    <w:rsid w:val="00371C40"/>
    <w:rsid w:val="00372067"/>
    <w:rsid w:val="0037462E"/>
    <w:rsid w:val="00374D8D"/>
    <w:rsid w:val="00375431"/>
    <w:rsid w:val="00376C55"/>
    <w:rsid w:val="00376D7F"/>
    <w:rsid w:val="003818FD"/>
    <w:rsid w:val="00381D8A"/>
    <w:rsid w:val="00382604"/>
    <w:rsid w:val="003826A6"/>
    <w:rsid w:val="0038339B"/>
    <w:rsid w:val="003844B7"/>
    <w:rsid w:val="0038467B"/>
    <w:rsid w:val="00385245"/>
    <w:rsid w:val="003857E1"/>
    <w:rsid w:val="00385BD0"/>
    <w:rsid w:val="00385E8E"/>
    <w:rsid w:val="00385FC2"/>
    <w:rsid w:val="00390421"/>
    <w:rsid w:val="003907B5"/>
    <w:rsid w:val="00391221"/>
    <w:rsid w:val="00391F02"/>
    <w:rsid w:val="00392D62"/>
    <w:rsid w:val="0039376B"/>
    <w:rsid w:val="00393F6A"/>
    <w:rsid w:val="00394787"/>
    <w:rsid w:val="00394905"/>
    <w:rsid w:val="00395FD7"/>
    <w:rsid w:val="00396364"/>
    <w:rsid w:val="00397837"/>
    <w:rsid w:val="003A0890"/>
    <w:rsid w:val="003A0AE2"/>
    <w:rsid w:val="003A0E8E"/>
    <w:rsid w:val="003A32BC"/>
    <w:rsid w:val="003A452F"/>
    <w:rsid w:val="003A57C0"/>
    <w:rsid w:val="003A6907"/>
    <w:rsid w:val="003A756F"/>
    <w:rsid w:val="003A78CE"/>
    <w:rsid w:val="003A794B"/>
    <w:rsid w:val="003A7A8A"/>
    <w:rsid w:val="003B0218"/>
    <w:rsid w:val="003B15F3"/>
    <w:rsid w:val="003B1CEF"/>
    <w:rsid w:val="003B1DAD"/>
    <w:rsid w:val="003B2C2C"/>
    <w:rsid w:val="003B2C2F"/>
    <w:rsid w:val="003B2C47"/>
    <w:rsid w:val="003B5717"/>
    <w:rsid w:val="003B5D48"/>
    <w:rsid w:val="003B6552"/>
    <w:rsid w:val="003B7128"/>
    <w:rsid w:val="003C0C29"/>
    <w:rsid w:val="003C12AC"/>
    <w:rsid w:val="003C1CAA"/>
    <w:rsid w:val="003C1DD6"/>
    <w:rsid w:val="003C2B57"/>
    <w:rsid w:val="003C2C5B"/>
    <w:rsid w:val="003C2C90"/>
    <w:rsid w:val="003C2FAB"/>
    <w:rsid w:val="003C4CAD"/>
    <w:rsid w:val="003C6776"/>
    <w:rsid w:val="003C7AAC"/>
    <w:rsid w:val="003D12A4"/>
    <w:rsid w:val="003D1632"/>
    <w:rsid w:val="003D17F6"/>
    <w:rsid w:val="003D1DF0"/>
    <w:rsid w:val="003D2ADA"/>
    <w:rsid w:val="003D2FD0"/>
    <w:rsid w:val="003D3E9D"/>
    <w:rsid w:val="003D4164"/>
    <w:rsid w:val="003D44A4"/>
    <w:rsid w:val="003D44ED"/>
    <w:rsid w:val="003D4F76"/>
    <w:rsid w:val="003D65C4"/>
    <w:rsid w:val="003D6654"/>
    <w:rsid w:val="003D6BCD"/>
    <w:rsid w:val="003D6EC1"/>
    <w:rsid w:val="003D7B34"/>
    <w:rsid w:val="003D7CFF"/>
    <w:rsid w:val="003E03E7"/>
    <w:rsid w:val="003E06B4"/>
    <w:rsid w:val="003E1022"/>
    <w:rsid w:val="003E1D89"/>
    <w:rsid w:val="003E2174"/>
    <w:rsid w:val="003E29E4"/>
    <w:rsid w:val="003E3773"/>
    <w:rsid w:val="003E4835"/>
    <w:rsid w:val="003E4AF4"/>
    <w:rsid w:val="003E5B1E"/>
    <w:rsid w:val="003E64B2"/>
    <w:rsid w:val="003E7E6C"/>
    <w:rsid w:val="003F0426"/>
    <w:rsid w:val="003F0BA3"/>
    <w:rsid w:val="003F0D19"/>
    <w:rsid w:val="003F1995"/>
    <w:rsid w:val="003F2D64"/>
    <w:rsid w:val="003F3E6C"/>
    <w:rsid w:val="003F5CB0"/>
    <w:rsid w:val="003F6853"/>
    <w:rsid w:val="00400186"/>
    <w:rsid w:val="004032BC"/>
    <w:rsid w:val="0040333C"/>
    <w:rsid w:val="0040395A"/>
    <w:rsid w:val="00404F0C"/>
    <w:rsid w:val="00405881"/>
    <w:rsid w:val="00406045"/>
    <w:rsid w:val="00406CF1"/>
    <w:rsid w:val="004071C8"/>
    <w:rsid w:val="00407569"/>
    <w:rsid w:val="004104AF"/>
    <w:rsid w:val="004104BD"/>
    <w:rsid w:val="004106A4"/>
    <w:rsid w:val="0041157B"/>
    <w:rsid w:val="0041207B"/>
    <w:rsid w:val="00414370"/>
    <w:rsid w:val="00415351"/>
    <w:rsid w:val="00415DDE"/>
    <w:rsid w:val="00415F73"/>
    <w:rsid w:val="00415FF2"/>
    <w:rsid w:val="0041715C"/>
    <w:rsid w:val="00417BEE"/>
    <w:rsid w:val="00417CB7"/>
    <w:rsid w:val="00420470"/>
    <w:rsid w:val="00420CD1"/>
    <w:rsid w:val="00421642"/>
    <w:rsid w:val="0042549F"/>
    <w:rsid w:val="00425759"/>
    <w:rsid w:val="0042699F"/>
    <w:rsid w:val="00426A69"/>
    <w:rsid w:val="004300A2"/>
    <w:rsid w:val="00430942"/>
    <w:rsid w:val="00431C28"/>
    <w:rsid w:val="00431E89"/>
    <w:rsid w:val="0043257D"/>
    <w:rsid w:val="004325A8"/>
    <w:rsid w:val="004341F1"/>
    <w:rsid w:val="00434901"/>
    <w:rsid w:val="004354E8"/>
    <w:rsid w:val="00435F5C"/>
    <w:rsid w:val="00435F73"/>
    <w:rsid w:val="00436A7E"/>
    <w:rsid w:val="004423B2"/>
    <w:rsid w:val="00442871"/>
    <w:rsid w:val="00442ED8"/>
    <w:rsid w:val="00442EF7"/>
    <w:rsid w:val="0044365F"/>
    <w:rsid w:val="00444467"/>
    <w:rsid w:val="004466B4"/>
    <w:rsid w:val="00446996"/>
    <w:rsid w:val="00447CF1"/>
    <w:rsid w:val="00447D61"/>
    <w:rsid w:val="0045017D"/>
    <w:rsid w:val="0045032D"/>
    <w:rsid w:val="00450C62"/>
    <w:rsid w:val="00451399"/>
    <w:rsid w:val="0045148D"/>
    <w:rsid w:val="00451C83"/>
    <w:rsid w:val="00451EFE"/>
    <w:rsid w:val="00452CED"/>
    <w:rsid w:val="0045477C"/>
    <w:rsid w:val="00454DD3"/>
    <w:rsid w:val="00455F4E"/>
    <w:rsid w:val="004563B3"/>
    <w:rsid w:val="00457C80"/>
    <w:rsid w:val="00457ED3"/>
    <w:rsid w:val="00460C2D"/>
    <w:rsid w:val="004618FC"/>
    <w:rsid w:val="00462CDD"/>
    <w:rsid w:val="00463477"/>
    <w:rsid w:val="00464416"/>
    <w:rsid w:val="0046621E"/>
    <w:rsid w:val="00466722"/>
    <w:rsid w:val="00467F6A"/>
    <w:rsid w:val="0047219A"/>
    <w:rsid w:val="0047342F"/>
    <w:rsid w:val="00474587"/>
    <w:rsid w:val="00474F0F"/>
    <w:rsid w:val="004757CB"/>
    <w:rsid w:val="00477A2B"/>
    <w:rsid w:val="004802F7"/>
    <w:rsid w:val="00480614"/>
    <w:rsid w:val="00480FC6"/>
    <w:rsid w:val="00481B01"/>
    <w:rsid w:val="0048352C"/>
    <w:rsid w:val="00484100"/>
    <w:rsid w:val="00485008"/>
    <w:rsid w:val="0048549D"/>
    <w:rsid w:val="00485D7D"/>
    <w:rsid w:val="00485F00"/>
    <w:rsid w:val="00485FE2"/>
    <w:rsid w:val="00487DA6"/>
    <w:rsid w:val="00490B97"/>
    <w:rsid w:val="0049110A"/>
    <w:rsid w:val="004925D3"/>
    <w:rsid w:val="004928FC"/>
    <w:rsid w:val="00492BD9"/>
    <w:rsid w:val="0049303B"/>
    <w:rsid w:val="00494059"/>
    <w:rsid w:val="00494128"/>
    <w:rsid w:val="0049473E"/>
    <w:rsid w:val="00496525"/>
    <w:rsid w:val="0049664D"/>
    <w:rsid w:val="00497CE2"/>
    <w:rsid w:val="004A06E9"/>
    <w:rsid w:val="004A1640"/>
    <w:rsid w:val="004A1EE7"/>
    <w:rsid w:val="004A2B8B"/>
    <w:rsid w:val="004A5630"/>
    <w:rsid w:val="004A6A9F"/>
    <w:rsid w:val="004B02C7"/>
    <w:rsid w:val="004B2E68"/>
    <w:rsid w:val="004B31B4"/>
    <w:rsid w:val="004B3FEF"/>
    <w:rsid w:val="004B419D"/>
    <w:rsid w:val="004B455E"/>
    <w:rsid w:val="004C1C44"/>
    <w:rsid w:val="004C221D"/>
    <w:rsid w:val="004C2EA5"/>
    <w:rsid w:val="004C440C"/>
    <w:rsid w:val="004C4730"/>
    <w:rsid w:val="004C6961"/>
    <w:rsid w:val="004C73FD"/>
    <w:rsid w:val="004D1018"/>
    <w:rsid w:val="004D2337"/>
    <w:rsid w:val="004D247B"/>
    <w:rsid w:val="004D3A97"/>
    <w:rsid w:val="004D527C"/>
    <w:rsid w:val="004D5BC9"/>
    <w:rsid w:val="004D5E85"/>
    <w:rsid w:val="004D7B4E"/>
    <w:rsid w:val="004D7F25"/>
    <w:rsid w:val="004E0D7E"/>
    <w:rsid w:val="004E2A38"/>
    <w:rsid w:val="004E3B8C"/>
    <w:rsid w:val="004E3E10"/>
    <w:rsid w:val="004E42FD"/>
    <w:rsid w:val="004E49CE"/>
    <w:rsid w:val="004E4FED"/>
    <w:rsid w:val="004E5DA8"/>
    <w:rsid w:val="004E60C2"/>
    <w:rsid w:val="004E6A42"/>
    <w:rsid w:val="004F0989"/>
    <w:rsid w:val="004F0F7A"/>
    <w:rsid w:val="004F1B11"/>
    <w:rsid w:val="004F2FF5"/>
    <w:rsid w:val="004F35E0"/>
    <w:rsid w:val="004F3644"/>
    <w:rsid w:val="004F4BEA"/>
    <w:rsid w:val="004F5E10"/>
    <w:rsid w:val="004F7B52"/>
    <w:rsid w:val="004F7F15"/>
    <w:rsid w:val="00500126"/>
    <w:rsid w:val="00500E19"/>
    <w:rsid w:val="00501716"/>
    <w:rsid w:val="00501EAC"/>
    <w:rsid w:val="00502295"/>
    <w:rsid w:val="0050302E"/>
    <w:rsid w:val="00504465"/>
    <w:rsid w:val="00504BC2"/>
    <w:rsid w:val="00506C02"/>
    <w:rsid w:val="0050741C"/>
    <w:rsid w:val="00507547"/>
    <w:rsid w:val="00511A6C"/>
    <w:rsid w:val="005201B4"/>
    <w:rsid w:val="00520407"/>
    <w:rsid w:val="0052108C"/>
    <w:rsid w:val="00521399"/>
    <w:rsid w:val="00522016"/>
    <w:rsid w:val="00522685"/>
    <w:rsid w:val="00522DD5"/>
    <w:rsid w:val="00523243"/>
    <w:rsid w:val="00523790"/>
    <w:rsid w:val="00523F29"/>
    <w:rsid w:val="00525FDD"/>
    <w:rsid w:val="005268BC"/>
    <w:rsid w:val="0052696E"/>
    <w:rsid w:val="00527B6A"/>
    <w:rsid w:val="005302F9"/>
    <w:rsid w:val="005308F6"/>
    <w:rsid w:val="00530C0C"/>
    <w:rsid w:val="005317F8"/>
    <w:rsid w:val="00532BB0"/>
    <w:rsid w:val="00532EDE"/>
    <w:rsid w:val="00534387"/>
    <w:rsid w:val="0053542E"/>
    <w:rsid w:val="00536445"/>
    <w:rsid w:val="005403A6"/>
    <w:rsid w:val="0054152C"/>
    <w:rsid w:val="00541E2F"/>
    <w:rsid w:val="005421D9"/>
    <w:rsid w:val="00544041"/>
    <w:rsid w:val="005465A1"/>
    <w:rsid w:val="00546FF7"/>
    <w:rsid w:val="0054753E"/>
    <w:rsid w:val="0054797E"/>
    <w:rsid w:val="0055098F"/>
    <w:rsid w:val="00551212"/>
    <w:rsid w:val="00551D8B"/>
    <w:rsid w:val="00552A7A"/>
    <w:rsid w:val="00552DCB"/>
    <w:rsid w:val="00552F01"/>
    <w:rsid w:val="0055391C"/>
    <w:rsid w:val="005550AD"/>
    <w:rsid w:val="0056088A"/>
    <w:rsid w:val="00561B89"/>
    <w:rsid w:val="00562466"/>
    <w:rsid w:val="00563017"/>
    <w:rsid w:val="00563A68"/>
    <w:rsid w:val="00566D46"/>
    <w:rsid w:val="005673EF"/>
    <w:rsid w:val="00570AD4"/>
    <w:rsid w:val="00570BA4"/>
    <w:rsid w:val="00571DE5"/>
    <w:rsid w:val="00572117"/>
    <w:rsid w:val="00572811"/>
    <w:rsid w:val="005742FC"/>
    <w:rsid w:val="00575039"/>
    <w:rsid w:val="005759B6"/>
    <w:rsid w:val="00575AC9"/>
    <w:rsid w:val="00576660"/>
    <w:rsid w:val="00580D92"/>
    <w:rsid w:val="0058295B"/>
    <w:rsid w:val="00584F24"/>
    <w:rsid w:val="00584FE1"/>
    <w:rsid w:val="00586966"/>
    <w:rsid w:val="0058749E"/>
    <w:rsid w:val="00587BB6"/>
    <w:rsid w:val="00590655"/>
    <w:rsid w:val="00591126"/>
    <w:rsid w:val="005913A5"/>
    <w:rsid w:val="00592323"/>
    <w:rsid w:val="00593A0F"/>
    <w:rsid w:val="00593E21"/>
    <w:rsid w:val="00594BCF"/>
    <w:rsid w:val="00595372"/>
    <w:rsid w:val="00596281"/>
    <w:rsid w:val="0059764E"/>
    <w:rsid w:val="00597F9B"/>
    <w:rsid w:val="005A122F"/>
    <w:rsid w:val="005A1E78"/>
    <w:rsid w:val="005A2D30"/>
    <w:rsid w:val="005A3287"/>
    <w:rsid w:val="005A3845"/>
    <w:rsid w:val="005A481D"/>
    <w:rsid w:val="005A7498"/>
    <w:rsid w:val="005A7F49"/>
    <w:rsid w:val="005B0E33"/>
    <w:rsid w:val="005B165E"/>
    <w:rsid w:val="005B2A49"/>
    <w:rsid w:val="005B3713"/>
    <w:rsid w:val="005B37A2"/>
    <w:rsid w:val="005B46F0"/>
    <w:rsid w:val="005B5065"/>
    <w:rsid w:val="005B50C1"/>
    <w:rsid w:val="005B5670"/>
    <w:rsid w:val="005B6E0C"/>
    <w:rsid w:val="005C02BC"/>
    <w:rsid w:val="005C059F"/>
    <w:rsid w:val="005C0787"/>
    <w:rsid w:val="005C0C88"/>
    <w:rsid w:val="005C396A"/>
    <w:rsid w:val="005C4670"/>
    <w:rsid w:val="005C4D65"/>
    <w:rsid w:val="005C59AC"/>
    <w:rsid w:val="005C665F"/>
    <w:rsid w:val="005C6960"/>
    <w:rsid w:val="005D0CF2"/>
    <w:rsid w:val="005D29FA"/>
    <w:rsid w:val="005D2DCE"/>
    <w:rsid w:val="005D4071"/>
    <w:rsid w:val="005D41C9"/>
    <w:rsid w:val="005D52D7"/>
    <w:rsid w:val="005D581A"/>
    <w:rsid w:val="005D66B5"/>
    <w:rsid w:val="005D675A"/>
    <w:rsid w:val="005E04AE"/>
    <w:rsid w:val="005E0FD6"/>
    <w:rsid w:val="005E20F6"/>
    <w:rsid w:val="005E2D85"/>
    <w:rsid w:val="005E2E74"/>
    <w:rsid w:val="005E40FD"/>
    <w:rsid w:val="005E61DC"/>
    <w:rsid w:val="005E66DA"/>
    <w:rsid w:val="005F094E"/>
    <w:rsid w:val="005F0C01"/>
    <w:rsid w:val="005F2831"/>
    <w:rsid w:val="005F2B9F"/>
    <w:rsid w:val="005F3B23"/>
    <w:rsid w:val="005F47DA"/>
    <w:rsid w:val="005F64F7"/>
    <w:rsid w:val="005F75B0"/>
    <w:rsid w:val="005F7645"/>
    <w:rsid w:val="005F7D1C"/>
    <w:rsid w:val="00600ACA"/>
    <w:rsid w:val="006024F6"/>
    <w:rsid w:val="00602854"/>
    <w:rsid w:val="00603A51"/>
    <w:rsid w:val="00604BE6"/>
    <w:rsid w:val="006102F9"/>
    <w:rsid w:val="006102FF"/>
    <w:rsid w:val="00611BC7"/>
    <w:rsid w:val="00612112"/>
    <w:rsid w:val="0061286A"/>
    <w:rsid w:val="0061299A"/>
    <w:rsid w:val="00615377"/>
    <w:rsid w:val="006159C4"/>
    <w:rsid w:val="0061609D"/>
    <w:rsid w:val="0061628D"/>
    <w:rsid w:val="00616342"/>
    <w:rsid w:val="006221A7"/>
    <w:rsid w:val="00622E2E"/>
    <w:rsid w:val="00623863"/>
    <w:rsid w:val="0062646B"/>
    <w:rsid w:val="0062672C"/>
    <w:rsid w:val="00626A34"/>
    <w:rsid w:val="00626DB3"/>
    <w:rsid w:val="006275E8"/>
    <w:rsid w:val="0063050E"/>
    <w:rsid w:val="00630736"/>
    <w:rsid w:val="00631056"/>
    <w:rsid w:val="006311EC"/>
    <w:rsid w:val="006333C5"/>
    <w:rsid w:val="006334F8"/>
    <w:rsid w:val="006347AB"/>
    <w:rsid w:val="00634A59"/>
    <w:rsid w:val="00634DFD"/>
    <w:rsid w:val="00635F28"/>
    <w:rsid w:val="00636A6F"/>
    <w:rsid w:val="00636E96"/>
    <w:rsid w:val="00637EF9"/>
    <w:rsid w:val="00640A0C"/>
    <w:rsid w:val="006426DA"/>
    <w:rsid w:val="00642A88"/>
    <w:rsid w:val="00643388"/>
    <w:rsid w:val="00643470"/>
    <w:rsid w:val="00643FB0"/>
    <w:rsid w:val="006444AE"/>
    <w:rsid w:val="00644BF2"/>
    <w:rsid w:val="00645674"/>
    <w:rsid w:val="00645965"/>
    <w:rsid w:val="006460AC"/>
    <w:rsid w:val="0064617C"/>
    <w:rsid w:val="00646682"/>
    <w:rsid w:val="006473F9"/>
    <w:rsid w:val="006500B5"/>
    <w:rsid w:val="0065277F"/>
    <w:rsid w:val="00653048"/>
    <w:rsid w:val="006539A6"/>
    <w:rsid w:val="0065561E"/>
    <w:rsid w:val="00656770"/>
    <w:rsid w:val="00656793"/>
    <w:rsid w:val="00657391"/>
    <w:rsid w:val="00657F68"/>
    <w:rsid w:val="00660BA9"/>
    <w:rsid w:val="00660CC7"/>
    <w:rsid w:val="00661DE6"/>
    <w:rsid w:val="00661F23"/>
    <w:rsid w:val="006630A6"/>
    <w:rsid w:val="006634AF"/>
    <w:rsid w:val="00663A70"/>
    <w:rsid w:val="00664D2C"/>
    <w:rsid w:val="00665237"/>
    <w:rsid w:val="00665954"/>
    <w:rsid w:val="00666D2E"/>
    <w:rsid w:val="00667856"/>
    <w:rsid w:val="006714D5"/>
    <w:rsid w:val="006717A0"/>
    <w:rsid w:val="00671EB0"/>
    <w:rsid w:val="00672C04"/>
    <w:rsid w:val="00672CF9"/>
    <w:rsid w:val="00673459"/>
    <w:rsid w:val="006735DE"/>
    <w:rsid w:val="006750FE"/>
    <w:rsid w:val="00676426"/>
    <w:rsid w:val="00676502"/>
    <w:rsid w:val="00681A81"/>
    <w:rsid w:val="00682B58"/>
    <w:rsid w:val="00684A0E"/>
    <w:rsid w:val="00686286"/>
    <w:rsid w:val="006915FE"/>
    <w:rsid w:val="00695A0C"/>
    <w:rsid w:val="00695BBF"/>
    <w:rsid w:val="00696180"/>
    <w:rsid w:val="00696BE5"/>
    <w:rsid w:val="006A0E1A"/>
    <w:rsid w:val="006A115F"/>
    <w:rsid w:val="006A13BA"/>
    <w:rsid w:val="006A1F5E"/>
    <w:rsid w:val="006A24A2"/>
    <w:rsid w:val="006A50CE"/>
    <w:rsid w:val="006A6522"/>
    <w:rsid w:val="006A75FB"/>
    <w:rsid w:val="006B0948"/>
    <w:rsid w:val="006B0F8C"/>
    <w:rsid w:val="006B29FA"/>
    <w:rsid w:val="006B4012"/>
    <w:rsid w:val="006B44BF"/>
    <w:rsid w:val="006B639D"/>
    <w:rsid w:val="006B7619"/>
    <w:rsid w:val="006C143E"/>
    <w:rsid w:val="006C3917"/>
    <w:rsid w:val="006C4012"/>
    <w:rsid w:val="006C4E6D"/>
    <w:rsid w:val="006C58C1"/>
    <w:rsid w:val="006D05CD"/>
    <w:rsid w:val="006D0A45"/>
    <w:rsid w:val="006D1095"/>
    <w:rsid w:val="006D13A0"/>
    <w:rsid w:val="006D1EDD"/>
    <w:rsid w:val="006D24C1"/>
    <w:rsid w:val="006D26B7"/>
    <w:rsid w:val="006D2C8A"/>
    <w:rsid w:val="006D2C94"/>
    <w:rsid w:val="006D3C1D"/>
    <w:rsid w:val="006D49AF"/>
    <w:rsid w:val="006E26A1"/>
    <w:rsid w:val="006E2716"/>
    <w:rsid w:val="006E2EC4"/>
    <w:rsid w:val="006E347F"/>
    <w:rsid w:val="006E403C"/>
    <w:rsid w:val="006E456C"/>
    <w:rsid w:val="006E4680"/>
    <w:rsid w:val="006E56BE"/>
    <w:rsid w:val="006E7A25"/>
    <w:rsid w:val="006E7E7E"/>
    <w:rsid w:val="006F06F1"/>
    <w:rsid w:val="006F0B05"/>
    <w:rsid w:val="006F12FB"/>
    <w:rsid w:val="006F37DB"/>
    <w:rsid w:val="006F46B0"/>
    <w:rsid w:val="006F506B"/>
    <w:rsid w:val="006F5516"/>
    <w:rsid w:val="006F681D"/>
    <w:rsid w:val="006F74B6"/>
    <w:rsid w:val="0070284E"/>
    <w:rsid w:val="00704E10"/>
    <w:rsid w:val="00705533"/>
    <w:rsid w:val="00707431"/>
    <w:rsid w:val="0070787D"/>
    <w:rsid w:val="00707A97"/>
    <w:rsid w:val="00710241"/>
    <w:rsid w:val="00711B2D"/>
    <w:rsid w:val="007122E7"/>
    <w:rsid w:val="007130B8"/>
    <w:rsid w:val="007134E9"/>
    <w:rsid w:val="00713E5C"/>
    <w:rsid w:val="00714BAB"/>
    <w:rsid w:val="00714BCE"/>
    <w:rsid w:val="00715101"/>
    <w:rsid w:val="00715210"/>
    <w:rsid w:val="007154AF"/>
    <w:rsid w:val="00716349"/>
    <w:rsid w:val="00716ED4"/>
    <w:rsid w:val="007170D5"/>
    <w:rsid w:val="00721695"/>
    <w:rsid w:val="00722B0E"/>
    <w:rsid w:val="00723002"/>
    <w:rsid w:val="00724623"/>
    <w:rsid w:val="0072529A"/>
    <w:rsid w:val="007258F0"/>
    <w:rsid w:val="0072661D"/>
    <w:rsid w:val="007268CB"/>
    <w:rsid w:val="00726DFD"/>
    <w:rsid w:val="0073075E"/>
    <w:rsid w:val="007314EF"/>
    <w:rsid w:val="007317B7"/>
    <w:rsid w:val="00732096"/>
    <w:rsid w:val="00735D91"/>
    <w:rsid w:val="007360C8"/>
    <w:rsid w:val="0073637E"/>
    <w:rsid w:val="0074001E"/>
    <w:rsid w:val="00740563"/>
    <w:rsid w:val="00741ABA"/>
    <w:rsid w:val="00743C1A"/>
    <w:rsid w:val="00744CBC"/>
    <w:rsid w:val="00745888"/>
    <w:rsid w:val="00745C38"/>
    <w:rsid w:val="00747CDA"/>
    <w:rsid w:val="007528B1"/>
    <w:rsid w:val="0075320D"/>
    <w:rsid w:val="00753AD8"/>
    <w:rsid w:val="00754F32"/>
    <w:rsid w:val="00755665"/>
    <w:rsid w:val="007560F7"/>
    <w:rsid w:val="00761785"/>
    <w:rsid w:val="0076214B"/>
    <w:rsid w:val="0076249D"/>
    <w:rsid w:val="007625D4"/>
    <w:rsid w:val="00762878"/>
    <w:rsid w:val="00762DBA"/>
    <w:rsid w:val="007646E3"/>
    <w:rsid w:val="00765122"/>
    <w:rsid w:val="00771DCD"/>
    <w:rsid w:val="00772038"/>
    <w:rsid w:val="00772E14"/>
    <w:rsid w:val="00774EE3"/>
    <w:rsid w:val="00775214"/>
    <w:rsid w:val="007765A1"/>
    <w:rsid w:val="007809A4"/>
    <w:rsid w:val="00780F77"/>
    <w:rsid w:val="00781CAF"/>
    <w:rsid w:val="0078344F"/>
    <w:rsid w:val="0078382A"/>
    <w:rsid w:val="00784A3C"/>
    <w:rsid w:val="00786E7E"/>
    <w:rsid w:val="0079069F"/>
    <w:rsid w:val="00790976"/>
    <w:rsid w:val="00790A6F"/>
    <w:rsid w:val="00790D16"/>
    <w:rsid w:val="00792114"/>
    <w:rsid w:val="00795F7D"/>
    <w:rsid w:val="00796746"/>
    <w:rsid w:val="007967D9"/>
    <w:rsid w:val="007A02E0"/>
    <w:rsid w:val="007A0576"/>
    <w:rsid w:val="007A11AC"/>
    <w:rsid w:val="007A1292"/>
    <w:rsid w:val="007A323D"/>
    <w:rsid w:val="007A3CC4"/>
    <w:rsid w:val="007A4354"/>
    <w:rsid w:val="007A5F68"/>
    <w:rsid w:val="007A780A"/>
    <w:rsid w:val="007B0DC3"/>
    <w:rsid w:val="007B0F9B"/>
    <w:rsid w:val="007B17CE"/>
    <w:rsid w:val="007B2C3C"/>
    <w:rsid w:val="007B370D"/>
    <w:rsid w:val="007B58BF"/>
    <w:rsid w:val="007B5B7D"/>
    <w:rsid w:val="007B68C6"/>
    <w:rsid w:val="007B7E08"/>
    <w:rsid w:val="007C2D56"/>
    <w:rsid w:val="007C32B0"/>
    <w:rsid w:val="007C3E67"/>
    <w:rsid w:val="007C44EB"/>
    <w:rsid w:val="007C494D"/>
    <w:rsid w:val="007C4ED5"/>
    <w:rsid w:val="007C56F3"/>
    <w:rsid w:val="007C621D"/>
    <w:rsid w:val="007C6C3C"/>
    <w:rsid w:val="007D0DF5"/>
    <w:rsid w:val="007D1AB3"/>
    <w:rsid w:val="007D2B10"/>
    <w:rsid w:val="007D2E4E"/>
    <w:rsid w:val="007D52E8"/>
    <w:rsid w:val="007E083E"/>
    <w:rsid w:val="007E1B66"/>
    <w:rsid w:val="007E21B1"/>
    <w:rsid w:val="007E2225"/>
    <w:rsid w:val="007E2463"/>
    <w:rsid w:val="007E280C"/>
    <w:rsid w:val="007E5229"/>
    <w:rsid w:val="007E5E0B"/>
    <w:rsid w:val="007F05CE"/>
    <w:rsid w:val="007F13AF"/>
    <w:rsid w:val="007F285E"/>
    <w:rsid w:val="007F34B9"/>
    <w:rsid w:val="007F43E2"/>
    <w:rsid w:val="007F46FA"/>
    <w:rsid w:val="007F6C66"/>
    <w:rsid w:val="00800E86"/>
    <w:rsid w:val="008015EF"/>
    <w:rsid w:val="00801D17"/>
    <w:rsid w:val="008021A0"/>
    <w:rsid w:val="00805A0E"/>
    <w:rsid w:val="0080673E"/>
    <w:rsid w:val="00806872"/>
    <w:rsid w:val="00806D82"/>
    <w:rsid w:val="008076B7"/>
    <w:rsid w:val="00811550"/>
    <w:rsid w:val="00811D08"/>
    <w:rsid w:val="00811E34"/>
    <w:rsid w:val="0081368D"/>
    <w:rsid w:val="008136B5"/>
    <w:rsid w:val="008145CF"/>
    <w:rsid w:val="008147BF"/>
    <w:rsid w:val="00814AF4"/>
    <w:rsid w:val="0081568D"/>
    <w:rsid w:val="0081669E"/>
    <w:rsid w:val="00817DC6"/>
    <w:rsid w:val="00817E04"/>
    <w:rsid w:val="00817FD5"/>
    <w:rsid w:val="008215B7"/>
    <w:rsid w:val="008218FA"/>
    <w:rsid w:val="008220FD"/>
    <w:rsid w:val="00822A25"/>
    <w:rsid w:val="00822BEB"/>
    <w:rsid w:val="0082318F"/>
    <w:rsid w:val="00824D01"/>
    <w:rsid w:val="00825956"/>
    <w:rsid w:val="0082754F"/>
    <w:rsid w:val="008275BB"/>
    <w:rsid w:val="008279C5"/>
    <w:rsid w:val="0083069D"/>
    <w:rsid w:val="00830C20"/>
    <w:rsid w:val="00831863"/>
    <w:rsid w:val="008327F7"/>
    <w:rsid w:val="00832A68"/>
    <w:rsid w:val="00832B24"/>
    <w:rsid w:val="00834121"/>
    <w:rsid w:val="008342F3"/>
    <w:rsid w:val="0083487D"/>
    <w:rsid w:val="00837641"/>
    <w:rsid w:val="0084121E"/>
    <w:rsid w:val="00842E1A"/>
    <w:rsid w:val="008469B6"/>
    <w:rsid w:val="0085078F"/>
    <w:rsid w:val="00850886"/>
    <w:rsid w:val="00850BC5"/>
    <w:rsid w:val="008518F4"/>
    <w:rsid w:val="00851C2C"/>
    <w:rsid w:val="00852431"/>
    <w:rsid w:val="00852852"/>
    <w:rsid w:val="00852FDD"/>
    <w:rsid w:val="00853738"/>
    <w:rsid w:val="00853CCD"/>
    <w:rsid w:val="0085489C"/>
    <w:rsid w:val="008549F4"/>
    <w:rsid w:val="00854B57"/>
    <w:rsid w:val="00856180"/>
    <w:rsid w:val="00856B4C"/>
    <w:rsid w:val="00856DE3"/>
    <w:rsid w:val="00857C1F"/>
    <w:rsid w:val="00857F7A"/>
    <w:rsid w:val="0086003C"/>
    <w:rsid w:val="0086109E"/>
    <w:rsid w:val="00861E97"/>
    <w:rsid w:val="00863586"/>
    <w:rsid w:val="008647C0"/>
    <w:rsid w:val="008647DF"/>
    <w:rsid w:val="00865221"/>
    <w:rsid w:val="00865605"/>
    <w:rsid w:val="00865D12"/>
    <w:rsid w:val="00866451"/>
    <w:rsid w:val="00866639"/>
    <w:rsid w:val="00866FBA"/>
    <w:rsid w:val="00867357"/>
    <w:rsid w:val="00867A32"/>
    <w:rsid w:val="00867A77"/>
    <w:rsid w:val="00871045"/>
    <w:rsid w:val="00871F09"/>
    <w:rsid w:val="00873749"/>
    <w:rsid w:val="0087544A"/>
    <w:rsid w:val="00875746"/>
    <w:rsid w:val="008771BD"/>
    <w:rsid w:val="00877AD2"/>
    <w:rsid w:val="00882B0B"/>
    <w:rsid w:val="00885A9B"/>
    <w:rsid w:val="00885E3C"/>
    <w:rsid w:val="0088613F"/>
    <w:rsid w:val="00886FA5"/>
    <w:rsid w:val="00887ACE"/>
    <w:rsid w:val="00890B80"/>
    <w:rsid w:val="00891084"/>
    <w:rsid w:val="00891830"/>
    <w:rsid w:val="0089254A"/>
    <w:rsid w:val="00893BB3"/>
    <w:rsid w:val="0089428B"/>
    <w:rsid w:val="00895358"/>
    <w:rsid w:val="00896015"/>
    <w:rsid w:val="0089640F"/>
    <w:rsid w:val="00896534"/>
    <w:rsid w:val="008979D9"/>
    <w:rsid w:val="008A1C89"/>
    <w:rsid w:val="008A4C08"/>
    <w:rsid w:val="008A4C90"/>
    <w:rsid w:val="008A4E76"/>
    <w:rsid w:val="008A6727"/>
    <w:rsid w:val="008A75DB"/>
    <w:rsid w:val="008B0809"/>
    <w:rsid w:val="008B0934"/>
    <w:rsid w:val="008B0F1A"/>
    <w:rsid w:val="008B234D"/>
    <w:rsid w:val="008B23B9"/>
    <w:rsid w:val="008B3E7C"/>
    <w:rsid w:val="008B4D0B"/>
    <w:rsid w:val="008B523F"/>
    <w:rsid w:val="008B5630"/>
    <w:rsid w:val="008B563C"/>
    <w:rsid w:val="008B5C9B"/>
    <w:rsid w:val="008B6389"/>
    <w:rsid w:val="008B703D"/>
    <w:rsid w:val="008B7383"/>
    <w:rsid w:val="008C0150"/>
    <w:rsid w:val="008C032C"/>
    <w:rsid w:val="008C2287"/>
    <w:rsid w:val="008C2D3C"/>
    <w:rsid w:val="008C433C"/>
    <w:rsid w:val="008C58F9"/>
    <w:rsid w:val="008C5F41"/>
    <w:rsid w:val="008C64F3"/>
    <w:rsid w:val="008C70E1"/>
    <w:rsid w:val="008C7CB7"/>
    <w:rsid w:val="008D1577"/>
    <w:rsid w:val="008D1736"/>
    <w:rsid w:val="008D1805"/>
    <w:rsid w:val="008D2708"/>
    <w:rsid w:val="008D2781"/>
    <w:rsid w:val="008D4B84"/>
    <w:rsid w:val="008D4B87"/>
    <w:rsid w:val="008D6B5F"/>
    <w:rsid w:val="008E1A71"/>
    <w:rsid w:val="008E212A"/>
    <w:rsid w:val="008E61BA"/>
    <w:rsid w:val="008E6222"/>
    <w:rsid w:val="008E6621"/>
    <w:rsid w:val="008F0C8D"/>
    <w:rsid w:val="008F0FB4"/>
    <w:rsid w:val="008F106A"/>
    <w:rsid w:val="008F1481"/>
    <w:rsid w:val="008F16DE"/>
    <w:rsid w:val="008F3186"/>
    <w:rsid w:val="008F49FD"/>
    <w:rsid w:val="008F50B2"/>
    <w:rsid w:val="008F522B"/>
    <w:rsid w:val="008F7485"/>
    <w:rsid w:val="00900AC2"/>
    <w:rsid w:val="00900D86"/>
    <w:rsid w:val="0090404A"/>
    <w:rsid w:val="00904953"/>
    <w:rsid w:val="00906B5C"/>
    <w:rsid w:val="00910880"/>
    <w:rsid w:val="00913363"/>
    <w:rsid w:val="00913BFF"/>
    <w:rsid w:val="009142C9"/>
    <w:rsid w:val="00914DF6"/>
    <w:rsid w:val="009153A7"/>
    <w:rsid w:val="00915862"/>
    <w:rsid w:val="00916618"/>
    <w:rsid w:val="00921AF8"/>
    <w:rsid w:val="0092346F"/>
    <w:rsid w:val="00925AAD"/>
    <w:rsid w:val="0092629D"/>
    <w:rsid w:val="00927F60"/>
    <w:rsid w:val="009305DF"/>
    <w:rsid w:val="00932007"/>
    <w:rsid w:val="009324FB"/>
    <w:rsid w:val="0093259C"/>
    <w:rsid w:val="009332FD"/>
    <w:rsid w:val="00935DF9"/>
    <w:rsid w:val="00936682"/>
    <w:rsid w:val="0094082C"/>
    <w:rsid w:val="0094112F"/>
    <w:rsid w:val="00941B88"/>
    <w:rsid w:val="00941BE6"/>
    <w:rsid w:val="0094274B"/>
    <w:rsid w:val="00943024"/>
    <w:rsid w:val="009431AB"/>
    <w:rsid w:val="0094377C"/>
    <w:rsid w:val="00946E1A"/>
    <w:rsid w:val="009505A7"/>
    <w:rsid w:val="00950BC1"/>
    <w:rsid w:val="0095101B"/>
    <w:rsid w:val="00953895"/>
    <w:rsid w:val="00954072"/>
    <w:rsid w:val="00955ECD"/>
    <w:rsid w:val="0095697E"/>
    <w:rsid w:val="00957071"/>
    <w:rsid w:val="0096034B"/>
    <w:rsid w:val="0096360A"/>
    <w:rsid w:val="009645A8"/>
    <w:rsid w:val="0096491D"/>
    <w:rsid w:val="00965759"/>
    <w:rsid w:val="009662E7"/>
    <w:rsid w:val="00966CD5"/>
    <w:rsid w:val="00972C50"/>
    <w:rsid w:val="00972E04"/>
    <w:rsid w:val="00973261"/>
    <w:rsid w:val="00973AB8"/>
    <w:rsid w:val="0097433D"/>
    <w:rsid w:val="00974EE1"/>
    <w:rsid w:val="009775D4"/>
    <w:rsid w:val="009777FB"/>
    <w:rsid w:val="00977938"/>
    <w:rsid w:val="009779CB"/>
    <w:rsid w:val="0098025D"/>
    <w:rsid w:val="009804E0"/>
    <w:rsid w:val="00982826"/>
    <w:rsid w:val="00982C81"/>
    <w:rsid w:val="00983255"/>
    <w:rsid w:val="0098408A"/>
    <w:rsid w:val="0098481F"/>
    <w:rsid w:val="00985543"/>
    <w:rsid w:val="009874EB"/>
    <w:rsid w:val="00987BA1"/>
    <w:rsid w:val="00991853"/>
    <w:rsid w:val="00991CD0"/>
    <w:rsid w:val="00992073"/>
    <w:rsid w:val="00993669"/>
    <w:rsid w:val="009937EA"/>
    <w:rsid w:val="0099486D"/>
    <w:rsid w:val="009949A4"/>
    <w:rsid w:val="00995891"/>
    <w:rsid w:val="009964D8"/>
    <w:rsid w:val="009A22FA"/>
    <w:rsid w:val="009A27A7"/>
    <w:rsid w:val="009A318D"/>
    <w:rsid w:val="009A5A77"/>
    <w:rsid w:val="009A5C03"/>
    <w:rsid w:val="009A644A"/>
    <w:rsid w:val="009A64CA"/>
    <w:rsid w:val="009A69F8"/>
    <w:rsid w:val="009A6BF8"/>
    <w:rsid w:val="009A75E0"/>
    <w:rsid w:val="009B041E"/>
    <w:rsid w:val="009B2575"/>
    <w:rsid w:val="009B3EAD"/>
    <w:rsid w:val="009B4C01"/>
    <w:rsid w:val="009B53EB"/>
    <w:rsid w:val="009B5428"/>
    <w:rsid w:val="009B5E48"/>
    <w:rsid w:val="009B7105"/>
    <w:rsid w:val="009C2A0B"/>
    <w:rsid w:val="009C2B1B"/>
    <w:rsid w:val="009C2D18"/>
    <w:rsid w:val="009C394C"/>
    <w:rsid w:val="009C6E8E"/>
    <w:rsid w:val="009C7D53"/>
    <w:rsid w:val="009D1822"/>
    <w:rsid w:val="009D19C6"/>
    <w:rsid w:val="009D1EA7"/>
    <w:rsid w:val="009D1F28"/>
    <w:rsid w:val="009D30A7"/>
    <w:rsid w:val="009D3250"/>
    <w:rsid w:val="009D61B4"/>
    <w:rsid w:val="009D6A91"/>
    <w:rsid w:val="009D767C"/>
    <w:rsid w:val="009E1CCD"/>
    <w:rsid w:val="009E1DB8"/>
    <w:rsid w:val="009E2C58"/>
    <w:rsid w:val="009E38E8"/>
    <w:rsid w:val="009E4349"/>
    <w:rsid w:val="009E5FEE"/>
    <w:rsid w:val="009E62CA"/>
    <w:rsid w:val="009E6B31"/>
    <w:rsid w:val="009E74E0"/>
    <w:rsid w:val="009F1850"/>
    <w:rsid w:val="009F2D63"/>
    <w:rsid w:val="009F33E5"/>
    <w:rsid w:val="009F43E4"/>
    <w:rsid w:val="009F4A2D"/>
    <w:rsid w:val="00A00698"/>
    <w:rsid w:val="00A006FA"/>
    <w:rsid w:val="00A00B27"/>
    <w:rsid w:val="00A00F19"/>
    <w:rsid w:val="00A01525"/>
    <w:rsid w:val="00A0229D"/>
    <w:rsid w:val="00A024DD"/>
    <w:rsid w:val="00A028EA"/>
    <w:rsid w:val="00A04900"/>
    <w:rsid w:val="00A05B73"/>
    <w:rsid w:val="00A063A8"/>
    <w:rsid w:val="00A10427"/>
    <w:rsid w:val="00A111E5"/>
    <w:rsid w:val="00A121FD"/>
    <w:rsid w:val="00A12313"/>
    <w:rsid w:val="00A13390"/>
    <w:rsid w:val="00A13F77"/>
    <w:rsid w:val="00A14A88"/>
    <w:rsid w:val="00A14F93"/>
    <w:rsid w:val="00A15730"/>
    <w:rsid w:val="00A1597A"/>
    <w:rsid w:val="00A15D9C"/>
    <w:rsid w:val="00A15FA6"/>
    <w:rsid w:val="00A162A0"/>
    <w:rsid w:val="00A17349"/>
    <w:rsid w:val="00A21156"/>
    <w:rsid w:val="00A2164F"/>
    <w:rsid w:val="00A21CA4"/>
    <w:rsid w:val="00A23B29"/>
    <w:rsid w:val="00A25037"/>
    <w:rsid w:val="00A25363"/>
    <w:rsid w:val="00A27890"/>
    <w:rsid w:val="00A303F7"/>
    <w:rsid w:val="00A3090C"/>
    <w:rsid w:val="00A31B30"/>
    <w:rsid w:val="00A31F9B"/>
    <w:rsid w:val="00A32093"/>
    <w:rsid w:val="00A334C5"/>
    <w:rsid w:val="00A33608"/>
    <w:rsid w:val="00A35D31"/>
    <w:rsid w:val="00A36418"/>
    <w:rsid w:val="00A369B4"/>
    <w:rsid w:val="00A36A32"/>
    <w:rsid w:val="00A378A2"/>
    <w:rsid w:val="00A415C4"/>
    <w:rsid w:val="00A41B79"/>
    <w:rsid w:val="00A42238"/>
    <w:rsid w:val="00A435AA"/>
    <w:rsid w:val="00A44BAE"/>
    <w:rsid w:val="00A46430"/>
    <w:rsid w:val="00A52584"/>
    <w:rsid w:val="00A52ADD"/>
    <w:rsid w:val="00A55698"/>
    <w:rsid w:val="00A57A05"/>
    <w:rsid w:val="00A57F95"/>
    <w:rsid w:val="00A60730"/>
    <w:rsid w:val="00A607FC"/>
    <w:rsid w:val="00A617F1"/>
    <w:rsid w:val="00A62AEC"/>
    <w:rsid w:val="00A62E4B"/>
    <w:rsid w:val="00A63022"/>
    <w:rsid w:val="00A63083"/>
    <w:rsid w:val="00A63471"/>
    <w:rsid w:val="00A63A46"/>
    <w:rsid w:val="00A657E0"/>
    <w:rsid w:val="00A66F51"/>
    <w:rsid w:val="00A67A0C"/>
    <w:rsid w:val="00A7058E"/>
    <w:rsid w:val="00A70BCF"/>
    <w:rsid w:val="00A70D5C"/>
    <w:rsid w:val="00A71172"/>
    <w:rsid w:val="00A71A08"/>
    <w:rsid w:val="00A72146"/>
    <w:rsid w:val="00A7255D"/>
    <w:rsid w:val="00A73CA7"/>
    <w:rsid w:val="00A7502F"/>
    <w:rsid w:val="00A753F5"/>
    <w:rsid w:val="00A836B1"/>
    <w:rsid w:val="00A84047"/>
    <w:rsid w:val="00A848F7"/>
    <w:rsid w:val="00A84953"/>
    <w:rsid w:val="00A850AB"/>
    <w:rsid w:val="00A852BD"/>
    <w:rsid w:val="00A8572E"/>
    <w:rsid w:val="00A86DA4"/>
    <w:rsid w:val="00A9336A"/>
    <w:rsid w:val="00A93F09"/>
    <w:rsid w:val="00A9422E"/>
    <w:rsid w:val="00A951A6"/>
    <w:rsid w:val="00AA0678"/>
    <w:rsid w:val="00AA06EF"/>
    <w:rsid w:val="00AA1605"/>
    <w:rsid w:val="00AA3B38"/>
    <w:rsid w:val="00AA56AD"/>
    <w:rsid w:val="00AB138C"/>
    <w:rsid w:val="00AB309C"/>
    <w:rsid w:val="00AB35E4"/>
    <w:rsid w:val="00AB3B4C"/>
    <w:rsid w:val="00AB636F"/>
    <w:rsid w:val="00AB6E3D"/>
    <w:rsid w:val="00AC0303"/>
    <w:rsid w:val="00AC242F"/>
    <w:rsid w:val="00AC2BC3"/>
    <w:rsid w:val="00AC377D"/>
    <w:rsid w:val="00AC4537"/>
    <w:rsid w:val="00AC61DA"/>
    <w:rsid w:val="00AD1F59"/>
    <w:rsid w:val="00AD28AB"/>
    <w:rsid w:val="00AD2FA7"/>
    <w:rsid w:val="00AD3013"/>
    <w:rsid w:val="00AD3453"/>
    <w:rsid w:val="00AD46B6"/>
    <w:rsid w:val="00AD47A5"/>
    <w:rsid w:val="00AD483B"/>
    <w:rsid w:val="00AD4D97"/>
    <w:rsid w:val="00AD5D82"/>
    <w:rsid w:val="00AD684C"/>
    <w:rsid w:val="00AD7740"/>
    <w:rsid w:val="00AD7CF2"/>
    <w:rsid w:val="00AD7D7D"/>
    <w:rsid w:val="00AD7FB1"/>
    <w:rsid w:val="00AE024F"/>
    <w:rsid w:val="00AE12CA"/>
    <w:rsid w:val="00AE1817"/>
    <w:rsid w:val="00AE19D6"/>
    <w:rsid w:val="00AE26C5"/>
    <w:rsid w:val="00AE33E6"/>
    <w:rsid w:val="00AE41B8"/>
    <w:rsid w:val="00AE5BD1"/>
    <w:rsid w:val="00AE61A5"/>
    <w:rsid w:val="00AF0C22"/>
    <w:rsid w:val="00AF12BE"/>
    <w:rsid w:val="00AF152E"/>
    <w:rsid w:val="00AF1687"/>
    <w:rsid w:val="00AF1689"/>
    <w:rsid w:val="00AF23A3"/>
    <w:rsid w:val="00AF2738"/>
    <w:rsid w:val="00AF27D6"/>
    <w:rsid w:val="00AF5E12"/>
    <w:rsid w:val="00AF6466"/>
    <w:rsid w:val="00AF6ED6"/>
    <w:rsid w:val="00AF6F78"/>
    <w:rsid w:val="00AF6FF1"/>
    <w:rsid w:val="00AF70AB"/>
    <w:rsid w:val="00AF78FB"/>
    <w:rsid w:val="00B00577"/>
    <w:rsid w:val="00B03653"/>
    <w:rsid w:val="00B0398B"/>
    <w:rsid w:val="00B044E5"/>
    <w:rsid w:val="00B058DC"/>
    <w:rsid w:val="00B05B00"/>
    <w:rsid w:val="00B102A8"/>
    <w:rsid w:val="00B102BB"/>
    <w:rsid w:val="00B104A5"/>
    <w:rsid w:val="00B10ADE"/>
    <w:rsid w:val="00B10F7B"/>
    <w:rsid w:val="00B1172C"/>
    <w:rsid w:val="00B15F9B"/>
    <w:rsid w:val="00B15FE5"/>
    <w:rsid w:val="00B1700C"/>
    <w:rsid w:val="00B170C5"/>
    <w:rsid w:val="00B2155F"/>
    <w:rsid w:val="00B21F4A"/>
    <w:rsid w:val="00B27077"/>
    <w:rsid w:val="00B270BE"/>
    <w:rsid w:val="00B273DC"/>
    <w:rsid w:val="00B305F4"/>
    <w:rsid w:val="00B305F6"/>
    <w:rsid w:val="00B30AE1"/>
    <w:rsid w:val="00B32DD8"/>
    <w:rsid w:val="00B33256"/>
    <w:rsid w:val="00B33EAA"/>
    <w:rsid w:val="00B33F77"/>
    <w:rsid w:val="00B34D13"/>
    <w:rsid w:val="00B35048"/>
    <w:rsid w:val="00B350BE"/>
    <w:rsid w:val="00B36504"/>
    <w:rsid w:val="00B37131"/>
    <w:rsid w:val="00B379B4"/>
    <w:rsid w:val="00B40F0E"/>
    <w:rsid w:val="00B43221"/>
    <w:rsid w:val="00B4444D"/>
    <w:rsid w:val="00B446B7"/>
    <w:rsid w:val="00B448A6"/>
    <w:rsid w:val="00B46082"/>
    <w:rsid w:val="00B47019"/>
    <w:rsid w:val="00B471B4"/>
    <w:rsid w:val="00B4728A"/>
    <w:rsid w:val="00B47E03"/>
    <w:rsid w:val="00B51D95"/>
    <w:rsid w:val="00B52D13"/>
    <w:rsid w:val="00B5397D"/>
    <w:rsid w:val="00B5548A"/>
    <w:rsid w:val="00B56F1E"/>
    <w:rsid w:val="00B60281"/>
    <w:rsid w:val="00B6172C"/>
    <w:rsid w:val="00B63BA0"/>
    <w:rsid w:val="00B64944"/>
    <w:rsid w:val="00B64F94"/>
    <w:rsid w:val="00B65BCF"/>
    <w:rsid w:val="00B6742B"/>
    <w:rsid w:val="00B67EDC"/>
    <w:rsid w:val="00B700C9"/>
    <w:rsid w:val="00B70A5E"/>
    <w:rsid w:val="00B71087"/>
    <w:rsid w:val="00B72074"/>
    <w:rsid w:val="00B72D26"/>
    <w:rsid w:val="00B7301B"/>
    <w:rsid w:val="00B75178"/>
    <w:rsid w:val="00B75979"/>
    <w:rsid w:val="00B76796"/>
    <w:rsid w:val="00B8077C"/>
    <w:rsid w:val="00B80AE5"/>
    <w:rsid w:val="00B81063"/>
    <w:rsid w:val="00B81179"/>
    <w:rsid w:val="00B81244"/>
    <w:rsid w:val="00B8159B"/>
    <w:rsid w:val="00B81901"/>
    <w:rsid w:val="00B82BA5"/>
    <w:rsid w:val="00B84948"/>
    <w:rsid w:val="00B869FC"/>
    <w:rsid w:val="00B9058E"/>
    <w:rsid w:val="00B91485"/>
    <w:rsid w:val="00B925CF"/>
    <w:rsid w:val="00B928D6"/>
    <w:rsid w:val="00B93588"/>
    <w:rsid w:val="00B936CD"/>
    <w:rsid w:val="00B93966"/>
    <w:rsid w:val="00B9460A"/>
    <w:rsid w:val="00B94856"/>
    <w:rsid w:val="00B95864"/>
    <w:rsid w:val="00B95E96"/>
    <w:rsid w:val="00B95F35"/>
    <w:rsid w:val="00B95F99"/>
    <w:rsid w:val="00B96261"/>
    <w:rsid w:val="00B964D5"/>
    <w:rsid w:val="00B96F39"/>
    <w:rsid w:val="00B973D0"/>
    <w:rsid w:val="00BA0548"/>
    <w:rsid w:val="00BA1E8D"/>
    <w:rsid w:val="00BA3A93"/>
    <w:rsid w:val="00BA4693"/>
    <w:rsid w:val="00BA58D7"/>
    <w:rsid w:val="00BA5C9F"/>
    <w:rsid w:val="00BA6BA9"/>
    <w:rsid w:val="00BA7251"/>
    <w:rsid w:val="00BA73DA"/>
    <w:rsid w:val="00BB03BF"/>
    <w:rsid w:val="00BB144E"/>
    <w:rsid w:val="00BB18A4"/>
    <w:rsid w:val="00BB204E"/>
    <w:rsid w:val="00BB2150"/>
    <w:rsid w:val="00BB218F"/>
    <w:rsid w:val="00BB36EC"/>
    <w:rsid w:val="00BB37BD"/>
    <w:rsid w:val="00BB76F0"/>
    <w:rsid w:val="00BB7C68"/>
    <w:rsid w:val="00BC11A2"/>
    <w:rsid w:val="00BC13E0"/>
    <w:rsid w:val="00BC2F22"/>
    <w:rsid w:val="00BC4A6F"/>
    <w:rsid w:val="00BC5C0A"/>
    <w:rsid w:val="00BC5CD2"/>
    <w:rsid w:val="00BC643B"/>
    <w:rsid w:val="00BD06D2"/>
    <w:rsid w:val="00BD076C"/>
    <w:rsid w:val="00BD0D06"/>
    <w:rsid w:val="00BD1360"/>
    <w:rsid w:val="00BD3A52"/>
    <w:rsid w:val="00BD7CFC"/>
    <w:rsid w:val="00BD7E63"/>
    <w:rsid w:val="00BE0682"/>
    <w:rsid w:val="00BE10E2"/>
    <w:rsid w:val="00BE4CEE"/>
    <w:rsid w:val="00BE5F37"/>
    <w:rsid w:val="00BE6D07"/>
    <w:rsid w:val="00BE779D"/>
    <w:rsid w:val="00BF431B"/>
    <w:rsid w:val="00BF4554"/>
    <w:rsid w:val="00BF46AC"/>
    <w:rsid w:val="00BF5299"/>
    <w:rsid w:val="00BF5FD0"/>
    <w:rsid w:val="00BF633E"/>
    <w:rsid w:val="00BF652B"/>
    <w:rsid w:val="00BF67BF"/>
    <w:rsid w:val="00BF6E82"/>
    <w:rsid w:val="00BF7190"/>
    <w:rsid w:val="00BF7425"/>
    <w:rsid w:val="00BF7DCC"/>
    <w:rsid w:val="00C0029D"/>
    <w:rsid w:val="00C01FB5"/>
    <w:rsid w:val="00C022E1"/>
    <w:rsid w:val="00C04EF9"/>
    <w:rsid w:val="00C0664A"/>
    <w:rsid w:val="00C06899"/>
    <w:rsid w:val="00C068F5"/>
    <w:rsid w:val="00C07DDE"/>
    <w:rsid w:val="00C07ECB"/>
    <w:rsid w:val="00C10169"/>
    <w:rsid w:val="00C101FC"/>
    <w:rsid w:val="00C1072A"/>
    <w:rsid w:val="00C10F08"/>
    <w:rsid w:val="00C11BC6"/>
    <w:rsid w:val="00C11CD9"/>
    <w:rsid w:val="00C134CD"/>
    <w:rsid w:val="00C1391E"/>
    <w:rsid w:val="00C142E8"/>
    <w:rsid w:val="00C143DC"/>
    <w:rsid w:val="00C149BE"/>
    <w:rsid w:val="00C14BA9"/>
    <w:rsid w:val="00C15213"/>
    <w:rsid w:val="00C15D2D"/>
    <w:rsid w:val="00C16E58"/>
    <w:rsid w:val="00C17937"/>
    <w:rsid w:val="00C20310"/>
    <w:rsid w:val="00C22413"/>
    <w:rsid w:val="00C22A29"/>
    <w:rsid w:val="00C24794"/>
    <w:rsid w:val="00C24A11"/>
    <w:rsid w:val="00C265D9"/>
    <w:rsid w:val="00C26991"/>
    <w:rsid w:val="00C272E8"/>
    <w:rsid w:val="00C32206"/>
    <w:rsid w:val="00C323C5"/>
    <w:rsid w:val="00C328AF"/>
    <w:rsid w:val="00C32CE6"/>
    <w:rsid w:val="00C33E44"/>
    <w:rsid w:val="00C344EA"/>
    <w:rsid w:val="00C34B2C"/>
    <w:rsid w:val="00C36178"/>
    <w:rsid w:val="00C361A8"/>
    <w:rsid w:val="00C36768"/>
    <w:rsid w:val="00C36C86"/>
    <w:rsid w:val="00C40AEA"/>
    <w:rsid w:val="00C40D97"/>
    <w:rsid w:val="00C40DFE"/>
    <w:rsid w:val="00C40EAC"/>
    <w:rsid w:val="00C4105F"/>
    <w:rsid w:val="00C42D13"/>
    <w:rsid w:val="00C43752"/>
    <w:rsid w:val="00C43900"/>
    <w:rsid w:val="00C45769"/>
    <w:rsid w:val="00C46BE9"/>
    <w:rsid w:val="00C476DC"/>
    <w:rsid w:val="00C502C5"/>
    <w:rsid w:val="00C53CB2"/>
    <w:rsid w:val="00C54271"/>
    <w:rsid w:val="00C57552"/>
    <w:rsid w:val="00C605D1"/>
    <w:rsid w:val="00C6071C"/>
    <w:rsid w:val="00C610BA"/>
    <w:rsid w:val="00C612EE"/>
    <w:rsid w:val="00C63D94"/>
    <w:rsid w:val="00C63DAE"/>
    <w:rsid w:val="00C64408"/>
    <w:rsid w:val="00C67323"/>
    <w:rsid w:val="00C70AEE"/>
    <w:rsid w:val="00C713E0"/>
    <w:rsid w:val="00C71B15"/>
    <w:rsid w:val="00C720AD"/>
    <w:rsid w:val="00C723AF"/>
    <w:rsid w:val="00C72D23"/>
    <w:rsid w:val="00C733F2"/>
    <w:rsid w:val="00C73FB9"/>
    <w:rsid w:val="00C7498D"/>
    <w:rsid w:val="00C74AAD"/>
    <w:rsid w:val="00C76949"/>
    <w:rsid w:val="00C77232"/>
    <w:rsid w:val="00C77ACD"/>
    <w:rsid w:val="00C77CB9"/>
    <w:rsid w:val="00C80A38"/>
    <w:rsid w:val="00C81DC7"/>
    <w:rsid w:val="00C82D6A"/>
    <w:rsid w:val="00C8409C"/>
    <w:rsid w:val="00C84779"/>
    <w:rsid w:val="00C84BC2"/>
    <w:rsid w:val="00C852C1"/>
    <w:rsid w:val="00C867D5"/>
    <w:rsid w:val="00C87FF2"/>
    <w:rsid w:val="00C90BF0"/>
    <w:rsid w:val="00C91227"/>
    <w:rsid w:val="00C91A3D"/>
    <w:rsid w:val="00C923B1"/>
    <w:rsid w:val="00C92ED7"/>
    <w:rsid w:val="00C95567"/>
    <w:rsid w:val="00C96F29"/>
    <w:rsid w:val="00CA3CAD"/>
    <w:rsid w:val="00CA424A"/>
    <w:rsid w:val="00CA501B"/>
    <w:rsid w:val="00CA51AD"/>
    <w:rsid w:val="00CA57A0"/>
    <w:rsid w:val="00CA7AFE"/>
    <w:rsid w:val="00CA7F46"/>
    <w:rsid w:val="00CB027A"/>
    <w:rsid w:val="00CB0801"/>
    <w:rsid w:val="00CB0DA9"/>
    <w:rsid w:val="00CB1416"/>
    <w:rsid w:val="00CB179E"/>
    <w:rsid w:val="00CB1886"/>
    <w:rsid w:val="00CB1C27"/>
    <w:rsid w:val="00CB1FA7"/>
    <w:rsid w:val="00CB4D28"/>
    <w:rsid w:val="00CB561C"/>
    <w:rsid w:val="00CB5F50"/>
    <w:rsid w:val="00CB7E9C"/>
    <w:rsid w:val="00CC2733"/>
    <w:rsid w:val="00CC2BC8"/>
    <w:rsid w:val="00CC37C9"/>
    <w:rsid w:val="00CC3855"/>
    <w:rsid w:val="00CC5418"/>
    <w:rsid w:val="00CC594E"/>
    <w:rsid w:val="00CC6AD4"/>
    <w:rsid w:val="00CC6D08"/>
    <w:rsid w:val="00CC6D50"/>
    <w:rsid w:val="00CD1515"/>
    <w:rsid w:val="00CD1AA2"/>
    <w:rsid w:val="00CD232F"/>
    <w:rsid w:val="00CD399E"/>
    <w:rsid w:val="00CD3EC9"/>
    <w:rsid w:val="00CD4297"/>
    <w:rsid w:val="00CD4C8A"/>
    <w:rsid w:val="00CD4EB9"/>
    <w:rsid w:val="00CD5398"/>
    <w:rsid w:val="00CD5E18"/>
    <w:rsid w:val="00CD633F"/>
    <w:rsid w:val="00CE1281"/>
    <w:rsid w:val="00CE143C"/>
    <w:rsid w:val="00CE521B"/>
    <w:rsid w:val="00CE557E"/>
    <w:rsid w:val="00CE673B"/>
    <w:rsid w:val="00CE6894"/>
    <w:rsid w:val="00CE69CE"/>
    <w:rsid w:val="00CE7FF6"/>
    <w:rsid w:val="00CF046C"/>
    <w:rsid w:val="00CF2ABB"/>
    <w:rsid w:val="00CF3553"/>
    <w:rsid w:val="00CF4D17"/>
    <w:rsid w:val="00CF546B"/>
    <w:rsid w:val="00CF5A63"/>
    <w:rsid w:val="00CF5AF5"/>
    <w:rsid w:val="00CF6824"/>
    <w:rsid w:val="00CF6BC4"/>
    <w:rsid w:val="00CF6F2D"/>
    <w:rsid w:val="00CF7940"/>
    <w:rsid w:val="00CF7FF9"/>
    <w:rsid w:val="00D009F5"/>
    <w:rsid w:val="00D01554"/>
    <w:rsid w:val="00D041EC"/>
    <w:rsid w:val="00D0420B"/>
    <w:rsid w:val="00D058DA"/>
    <w:rsid w:val="00D10E50"/>
    <w:rsid w:val="00D110A5"/>
    <w:rsid w:val="00D127AB"/>
    <w:rsid w:val="00D12D09"/>
    <w:rsid w:val="00D1464A"/>
    <w:rsid w:val="00D14BE2"/>
    <w:rsid w:val="00D1649D"/>
    <w:rsid w:val="00D17046"/>
    <w:rsid w:val="00D17A2F"/>
    <w:rsid w:val="00D2000B"/>
    <w:rsid w:val="00D2143A"/>
    <w:rsid w:val="00D218A4"/>
    <w:rsid w:val="00D22977"/>
    <w:rsid w:val="00D235A8"/>
    <w:rsid w:val="00D23EDD"/>
    <w:rsid w:val="00D25659"/>
    <w:rsid w:val="00D25E2A"/>
    <w:rsid w:val="00D26FAD"/>
    <w:rsid w:val="00D32027"/>
    <w:rsid w:val="00D32A82"/>
    <w:rsid w:val="00D341C7"/>
    <w:rsid w:val="00D34533"/>
    <w:rsid w:val="00D348A5"/>
    <w:rsid w:val="00D3580D"/>
    <w:rsid w:val="00D36036"/>
    <w:rsid w:val="00D360FC"/>
    <w:rsid w:val="00D36D96"/>
    <w:rsid w:val="00D37C4C"/>
    <w:rsid w:val="00D37D31"/>
    <w:rsid w:val="00D40068"/>
    <w:rsid w:val="00D40B85"/>
    <w:rsid w:val="00D41567"/>
    <w:rsid w:val="00D41D43"/>
    <w:rsid w:val="00D41F65"/>
    <w:rsid w:val="00D4216B"/>
    <w:rsid w:val="00D42AD3"/>
    <w:rsid w:val="00D42B14"/>
    <w:rsid w:val="00D442B9"/>
    <w:rsid w:val="00D45744"/>
    <w:rsid w:val="00D462BC"/>
    <w:rsid w:val="00D462FD"/>
    <w:rsid w:val="00D4701F"/>
    <w:rsid w:val="00D47092"/>
    <w:rsid w:val="00D470F4"/>
    <w:rsid w:val="00D47309"/>
    <w:rsid w:val="00D476F9"/>
    <w:rsid w:val="00D47A49"/>
    <w:rsid w:val="00D50CA6"/>
    <w:rsid w:val="00D51D57"/>
    <w:rsid w:val="00D51F5F"/>
    <w:rsid w:val="00D52506"/>
    <w:rsid w:val="00D54A15"/>
    <w:rsid w:val="00D5649D"/>
    <w:rsid w:val="00D56BE6"/>
    <w:rsid w:val="00D57BB7"/>
    <w:rsid w:val="00D60F1D"/>
    <w:rsid w:val="00D6108A"/>
    <w:rsid w:val="00D613B1"/>
    <w:rsid w:val="00D6285B"/>
    <w:rsid w:val="00D635DB"/>
    <w:rsid w:val="00D64BCB"/>
    <w:rsid w:val="00D65C7E"/>
    <w:rsid w:val="00D663AD"/>
    <w:rsid w:val="00D6650C"/>
    <w:rsid w:val="00D673D9"/>
    <w:rsid w:val="00D70814"/>
    <w:rsid w:val="00D7082D"/>
    <w:rsid w:val="00D72E65"/>
    <w:rsid w:val="00D7434F"/>
    <w:rsid w:val="00D7440A"/>
    <w:rsid w:val="00D74DF6"/>
    <w:rsid w:val="00D7641D"/>
    <w:rsid w:val="00D81B29"/>
    <w:rsid w:val="00D82598"/>
    <w:rsid w:val="00D82625"/>
    <w:rsid w:val="00D8271E"/>
    <w:rsid w:val="00D832AB"/>
    <w:rsid w:val="00D847A2"/>
    <w:rsid w:val="00D849CF"/>
    <w:rsid w:val="00D84E2A"/>
    <w:rsid w:val="00D865E5"/>
    <w:rsid w:val="00D86EFB"/>
    <w:rsid w:val="00D914EF"/>
    <w:rsid w:val="00D938EA"/>
    <w:rsid w:val="00D94A03"/>
    <w:rsid w:val="00D950A7"/>
    <w:rsid w:val="00D95138"/>
    <w:rsid w:val="00D96A7E"/>
    <w:rsid w:val="00DA0679"/>
    <w:rsid w:val="00DA1763"/>
    <w:rsid w:val="00DA194D"/>
    <w:rsid w:val="00DA2205"/>
    <w:rsid w:val="00DA22C9"/>
    <w:rsid w:val="00DA2409"/>
    <w:rsid w:val="00DA3581"/>
    <w:rsid w:val="00DA408F"/>
    <w:rsid w:val="00DA43C5"/>
    <w:rsid w:val="00DA47C3"/>
    <w:rsid w:val="00DA49D1"/>
    <w:rsid w:val="00DA4FA6"/>
    <w:rsid w:val="00DA5945"/>
    <w:rsid w:val="00DA6F19"/>
    <w:rsid w:val="00DA7104"/>
    <w:rsid w:val="00DA715A"/>
    <w:rsid w:val="00DA7D02"/>
    <w:rsid w:val="00DB0000"/>
    <w:rsid w:val="00DB1C56"/>
    <w:rsid w:val="00DB4779"/>
    <w:rsid w:val="00DB6A45"/>
    <w:rsid w:val="00DB76E9"/>
    <w:rsid w:val="00DB77D2"/>
    <w:rsid w:val="00DC02C7"/>
    <w:rsid w:val="00DC04A1"/>
    <w:rsid w:val="00DC2308"/>
    <w:rsid w:val="00DC4F9A"/>
    <w:rsid w:val="00DC5FCC"/>
    <w:rsid w:val="00DC67A2"/>
    <w:rsid w:val="00DC6CB5"/>
    <w:rsid w:val="00DC7599"/>
    <w:rsid w:val="00DC7D76"/>
    <w:rsid w:val="00DD05C5"/>
    <w:rsid w:val="00DD1CEE"/>
    <w:rsid w:val="00DD1FAF"/>
    <w:rsid w:val="00DD25F5"/>
    <w:rsid w:val="00DD49C2"/>
    <w:rsid w:val="00DD5187"/>
    <w:rsid w:val="00DD55A5"/>
    <w:rsid w:val="00DD6576"/>
    <w:rsid w:val="00DE0752"/>
    <w:rsid w:val="00DE09EE"/>
    <w:rsid w:val="00DE0A97"/>
    <w:rsid w:val="00DE0DA7"/>
    <w:rsid w:val="00DE1569"/>
    <w:rsid w:val="00DE1E16"/>
    <w:rsid w:val="00DE2E90"/>
    <w:rsid w:val="00DE35CA"/>
    <w:rsid w:val="00DE4B7B"/>
    <w:rsid w:val="00DE5A77"/>
    <w:rsid w:val="00DE7033"/>
    <w:rsid w:val="00DE7844"/>
    <w:rsid w:val="00DF0E0B"/>
    <w:rsid w:val="00DF1593"/>
    <w:rsid w:val="00DF16C6"/>
    <w:rsid w:val="00DF1AEC"/>
    <w:rsid w:val="00DF4B0F"/>
    <w:rsid w:val="00DF57C1"/>
    <w:rsid w:val="00DF6485"/>
    <w:rsid w:val="00DF6E94"/>
    <w:rsid w:val="00DF76D6"/>
    <w:rsid w:val="00DF7B4C"/>
    <w:rsid w:val="00E00F44"/>
    <w:rsid w:val="00E00F51"/>
    <w:rsid w:val="00E02276"/>
    <w:rsid w:val="00E02F4C"/>
    <w:rsid w:val="00E03739"/>
    <w:rsid w:val="00E039D7"/>
    <w:rsid w:val="00E04CED"/>
    <w:rsid w:val="00E053F1"/>
    <w:rsid w:val="00E05463"/>
    <w:rsid w:val="00E06E93"/>
    <w:rsid w:val="00E07AA8"/>
    <w:rsid w:val="00E100F1"/>
    <w:rsid w:val="00E126C3"/>
    <w:rsid w:val="00E133D6"/>
    <w:rsid w:val="00E15B11"/>
    <w:rsid w:val="00E17D00"/>
    <w:rsid w:val="00E21B48"/>
    <w:rsid w:val="00E24242"/>
    <w:rsid w:val="00E249E7"/>
    <w:rsid w:val="00E26A7B"/>
    <w:rsid w:val="00E26CF8"/>
    <w:rsid w:val="00E273BD"/>
    <w:rsid w:val="00E305CB"/>
    <w:rsid w:val="00E3126E"/>
    <w:rsid w:val="00E35490"/>
    <w:rsid w:val="00E35710"/>
    <w:rsid w:val="00E359CF"/>
    <w:rsid w:val="00E3763E"/>
    <w:rsid w:val="00E378EB"/>
    <w:rsid w:val="00E37E23"/>
    <w:rsid w:val="00E41F9A"/>
    <w:rsid w:val="00E42650"/>
    <w:rsid w:val="00E428D8"/>
    <w:rsid w:val="00E44709"/>
    <w:rsid w:val="00E44DD8"/>
    <w:rsid w:val="00E45304"/>
    <w:rsid w:val="00E45525"/>
    <w:rsid w:val="00E4691A"/>
    <w:rsid w:val="00E46DF7"/>
    <w:rsid w:val="00E479AF"/>
    <w:rsid w:val="00E505C1"/>
    <w:rsid w:val="00E50E08"/>
    <w:rsid w:val="00E50EEF"/>
    <w:rsid w:val="00E511F5"/>
    <w:rsid w:val="00E51EDA"/>
    <w:rsid w:val="00E52AA3"/>
    <w:rsid w:val="00E53050"/>
    <w:rsid w:val="00E54044"/>
    <w:rsid w:val="00E54575"/>
    <w:rsid w:val="00E55A2D"/>
    <w:rsid w:val="00E55EC3"/>
    <w:rsid w:val="00E56572"/>
    <w:rsid w:val="00E56FC0"/>
    <w:rsid w:val="00E5744E"/>
    <w:rsid w:val="00E578B7"/>
    <w:rsid w:val="00E57D29"/>
    <w:rsid w:val="00E615D6"/>
    <w:rsid w:val="00E64661"/>
    <w:rsid w:val="00E64764"/>
    <w:rsid w:val="00E66297"/>
    <w:rsid w:val="00E66BF4"/>
    <w:rsid w:val="00E70817"/>
    <w:rsid w:val="00E70B0C"/>
    <w:rsid w:val="00E70D08"/>
    <w:rsid w:val="00E71118"/>
    <w:rsid w:val="00E718E3"/>
    <w:rsid w:val="00E726F7"/>
    <w:rsid w:val="00E72E3A"/>
    <w:rsid w:val="00E80210"/>
    <w:rsid w:val="00E810BF"/>
    <w:rsid w:val="00E82808"/>
    <w:rsid w:val="00E8323F"/>
    <w:rsid w:val="00E8369C"/>
    <w:rsid w:val="00E8434B"/>
    <w:rsid w:val="00E859CC"/>
    <w:rsid w:val="00E864AD"/>
    <w:rsid w:val="00E86666"/>
    <w:rsid w:val="00E86C9C"/>
    <w:rsid w:val="00E9299F"/>
    <w:rsid w:val="00E93382"/>
    <w:rsid w:val="00E94140"/>
    <w:rsid w:val="00E945C9"/>
    <w:rsid w:val="00E9518A"/>
    <w:rsid w:val="00E952E5"/>
    <w:rsid w:val="00E95848"/>
    <w:rsid w:val="00E964A3"/>
    <w:rsid w:val="00E96E0A"/>
    <w:rsid w:val="00EA0AD6"/>
    <w:rsid w:val="00EA14A1"/>
    <w:rsid w:val="00EA1A8F"/>
    <w:rsid w:val="00EA224C"/>
    <w:rsid w:val="00EA24F4"/>
    <w:rsid w:val="00EA278F"/>
    <w:rsid w:val="00EA3084"/>
    <w:rsid w:val="00EA3BE0"/>
    <w:rsid w:val="00EA3DE6"/>
    <w:rsid w:val="00EA4300"/>
    <w:rsid w:val="00EA54F4"/>
    <w:rsid w:val="00EA5D62"/>
    <w:rsid w:val="00EA70CA"/>
    <w:rsid w:val="00EB0962"/>
    <w:rsid w:val="00EB0D15"/>
    <w:rsid w:val="00EB67DA"/>
    <w:rsid w:val="00EB707E"/>
    <w:rsid w:val="00EC01B6"/>
    <w:rsid w:val="00EC0D13"/>
    <w:rsid w:val="00EC0F45"/>
    <w:rsid w:val="00EC144C"/>
    <w:rsid w:val="00EC3DF4"/>
    <w:rsid w:val="00EC5E4A"/>
    <w:rsid w:val="00EC6400"/>
    <w:rsid w:val="00EC75EF"/>
    <w:rsid w:val="00ED070F"/>
    <w:rsid w:val="00ED0FD6"/>
    <w:rsid w:val="00ED223F"/>
    <w:rsid w:val="00ED2F89"/>
    <w:rsid w:val="00ED2FCF"/>
    <w:rsid w:val="00ED3D35"/>
    <w:rsid w:val="00ED5DDA"/>
    <w:rsid w:val="00ED6671"/>
    <w:rsid w:val="00ED6862"/>
    <w:rsid w:val="00ED72B2"/>
    <w:rsid w:val="00ED7735"/>
    <w:rsid w:val="00ED7B3C"/>
    <w:rsid w:val="00ED7D0E"/>
    <w:rsid w:val="00EE0046"/>
    <w:rsid w:val="00EE0296"/>
    <w:rsid w:val="00EE103B"/>
    <w:rsid w:val="00EE12AC"/>
    <w:rsid w:val="00EE18E2"/>
    <w:rsid w:val="00EE21BD"/>
    <w:rsid w:val="00EE4606"/>
    <w:rsid w:val="00EE507E"/>
    <w:rsid w:val="00EE6723"/>
    <w:rsid w:val="00EE68F9"/>
    <w:rsid w:val="00EE7AC9"/>
    <w:rsid w:val="00EE7B48"/>
    <w:rsid w:val="00EF0D3D"/>
    <w:rsid w:val="00EF0E81"/>
    <w:rsid w:val="00EF1A92"/>
    <w:rsid w:val="00EF5F69"/>
    <w:rsid w:val="00EF5FAA"/>
    <w:rsid w:val="00EF6EC2"/>
    <w:rsid w:val="00EF75B2"/>
    <w:rsid w:val="00EF7939"/>
    <w:rsid w:val="00F0134E"/>
    <w:rsid w:val="00F02BCF"/>
    <w:rsid w:val="00F0439A"/>
    <w:rsid w:val="00F05632"/>
    <w:rsid w:val="00F06BC1"/>
    <w:rsid w:val="00F06EED"/>
    <w:rsid w:val="00F139EB"/>
    <w:rsid w:val="00F14EC7"/>
    <w:rsid w:val="00F15A4B"/>
    <w:rsid w:val="00F1787E"/>
    <w:rsid w:val="00F178EC"/>
    <w:rsid w:val="00F24366"/>
    <w:rsid w:val="00F24F13"/>
    <w:rsid w:val="00F25D3A"/>
    <w:rsid w:val="00F264A3"/>
    <w:rsid w:val="00F3044B"/>
    <w:rsid w:val="00F30A8D"/>
    <w:rsid w:val="00F30BD9"/>
    <w:rsid w:val="00F3184C"/>
    <w:rsid w:val="00F32186"/>
    <w:rsid w:val="00F328D5"/>
    <w:rsid w:val="00F335B5"/>
    <w:rsid w:val="00F34FA1"/>
    <w:rsid w:val="00F35C0E"/>
    <w:rsid w:val="00F3615A"/>
    <w:rsid w:val="00F36ED5"/>
    <w:rsid w:val="00F36FE9"/>
    <w:rsid w:val="00F3701C"/>
    <w:rsid w:val="00F372E2"/>
    <w:rsid w:val="00F37CDB"/>
    <w:rsid w:val="00F4087F"/>
    <w:rsid w:val="00F4122C"/>
    <w:rsid w:val="00F41EB7"/>
    <w:rsid w:val="00F435EB"/>
    <w:rsid w:val="00F43C6B"/>
    <w:rsid w:val="00F443A4"/>
    <w:rsid w:val="00F448E9"/>
    <w:rsid w:val="00F44B68"/>
    <w:rsid w:val="00F44FFB"/>
    <w:rsid w:val="00F46142"/>
    <w:rsid w:val="00F4756F"/>
    <w:rsid w:val="00F51127"/>
    <w:rsid w:val="00F5196A"/>
    <w:rsid w:val="00F520D9"/>
    <w:rsid w:val="00F5235F"/>
    <w:rsid w:val="00F53156"/>
    <w:rsid w:val="00F53A7A"/>
    <w:rsid w:val="00F54025"/>
    <w:rsid w:val="00F5411B"/>
    <w:rsid w:val="00F542C0"/>
    <w:rsid w:val="00F55447"/>
    <w:rsid w:val="00F56DEE"/>
    <w:rsid w:val="00F57369"/>
    <w:rsid w:val="00F5758E"/>
    <w:rsid w:val="00F627E3"/>
    <w:rsid w:val="00F62E07"/>
    <w:rsid w:val="00F64FB2"/>
    <w:rsid w:val="00F67157"/>
    <w:rsid w:val="00F67B85"/>
    <w:rsid w:val="00F67C2F"/>
    <w:rsid w:val="00F67CD8"/>
    <w:rsid w:val="00F71837"/>
    <w:rsid w:val="00F72421"/>
    <w:rsid w:val="00F72439"/>
    <w:rsid w:val="00F7304C"/>
    <w:rsid w:val="00F73B23"/>
    <w:rsid w:val="00F73CBD"/>
    <w:rsid w:val="00F73DC0"/>
    <w:rsid w:val="00F756C9"/>
    <w:rsid w:val="00F757E5"/>
    <w:rsid w:val="00F75F50"/>
    <w:rsid w:val="00F77D13"/>
    <w:rsid w:val="00F8008B"/>
    <w:rsid w:val="00F827CD"/>
    <w:rsid w:val="00F83D4A"/>
    <w:rsid w:val="00F86687"/>
    <w:rsid w:val="00F8696F"/>
    <w:rsid w:val="00F86D18"/>
    <w:rsid w:val="00F90862"/>
    <w:rsid w:val="00F91215"/>
    <w:rsid w:val="00F92896"/>
    <w:rsid w:val="00F92A89"/>
    <w:rsid w:val="00F93632"/>
    <w:rsid w:val="00F937AA"/>
    <w:rsid w:val="00F9648C"/>
    <w:rsid w:val="00F97237"/>
    <w:rsid w:val="00F97CF0"/>
    <w:rsid w:val="00FA0383"/>
    <w:rsid w:val="00FA0695"/>
    <w:rsid w:val="00FA0811"/>
    <w:rsid w:val="00FA0892"/>
    <w:rsid w:val="00FA1BD6"/>
    <w:rsid w:val="00FA1C03"/>
    <w:rsid w:val="00FA2134"/>
    <w:rsid w:val="00FA3E8F"/>
    <w:rsid w:val="00FA7DF0"/>
    <w:rsid w:val="00FB05FB"/>
    <w:rsid w:val="00FB177E"/>
    <w:rsid w:val="00FB28C3"/>
    <w:rsid w:val="00FB2E8C"/>
    <w:rsid w:val="00FB3BF3"/>
    <w:rsid w:val="00FB714E"/>
    <w:rsid w:val="00FB78E9"/>
    <w:rsid w:val="00FB7AAC"/>
    <w:rsid w:val="00FB7B76"/>
    <w:rsid w:val="00FB7E70"/>
    <w:rsid w:val="00FC0887"/>
    <w:rsid w:val="00FC14C1"/>
    <w:rsid w:val="00FC1A9C"/>
    <w:rsid w:val="00FC33EE"/>
    <w:rsid w:val="00FC45F4"/>
    <w:rsid w:val="00FC61FE"/>
    <w:rsid w:val="00FC6B21"/>
    <w:rsid w:val="00FC7BFB"/>
    <w:rsid w:val="00FD08B7"/>
    <w:rsid w:val="00FD1F3E"/>
    <w:rsid w:val="00FD39CA"/>
    <w:rsid w:val="00FD4413"/>
    <w:rsid w:val="00FD52A6"/>
    <w:rsid w:val="00FD705D"/>
    <w:rsid w:val="00FE01D1"/>
    <w:rsid w:val="00FE0D19"/>
    <w:rsid w:val="00FE1FF2"/>
    <w:rsid w:val="00FE3CBF"/>
    <w:rsid w:val="00FE529C"/>
    <w:rsid w:val="00FE743D"/>
    <w:rsid w:val="00FF1155"/>
    <w:rsid w:val="00FF2718"/>
    <w:rsid w:val="00FF29F2"/>
    <w:rsid w:val="00FF43C6"/>
    <w:rsid w:val="00FF4756"/>
    <w:rsid w:val="00FF4DAD"/>
    <w:rsid w:val="00FF52D7"/>
    <w:rsid w:val="00FF5E43"/>
    <w:rsid w:val="00FF6A8C"/>
    <w:rsid w:val="00FF7EDE"/>
    <w:rsid w:val="14111162"/>
    <w:rsid w:val="67070B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1C46C"/>
  <w15:chartTrackingRefBased/>
  <w15:docId w15:val="{5B7F6C5C-D271-49AD-9FB6-6770889D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4B6"/>
  </w:style>
  <w:style w:type="paragraph" w:styleId="Heading1">
    <w:name w:val="heading 1"/>
    <w:basedOn w:val="Normal"/>
    <w:next w:val="Normal"/>
    <w:link w:val="Heading1Char"/>
    <w:uiPriority w:val="9"/>
    <w:qFormat/>
    <w:rsid w:val="0017777D"/>
    <w:pPr>
      <w:spacing w:line="360" w:lineRule="auto"/>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34FE2"/>
    <w:pPr>
      <w:spacing w:after="0" w:line="240" w:lineRule="auto"/>
    </w:pPr>
    <w:rPr>
      <w:sz w:val="20"/>
      <w:szCs w:val="20"/>
    </w:rPr>
  </w:style>
  <w:style w:type="character" w:customStyle="1" w:styleId="FootnoteTextChar">
    <w:name w:val="Footnote Text Char"/>
    <w:basedOn w:val="DefaultParagraphFont"/>
    <w:link w:val="FootnoteText"/>
    <w:uiPriority w:val="99"/>
    <w:rsid w:val="00334FE2"/>
    <w:rPr>
      <w:sz w:val="20"/>
      <w:szCs w:val="20"/>
    </w:rPr>
  </w:style>
  <w:style w:type="character" w:styleId="FootnoteReference">
    <w:name w:val="footnote reference"/>
    <w:basedOn w:val="DefaultParagraphFont"/>
    <w:uiPriority w:val="99"/>
    <w:semiHidden/>
    <w:unhideWhenUsed/>
    <w:rsid w:val="00334FE2"/>
    <w:rPr>
      <w:vertAlign w:val="superscript"/>
    </w:rPr>
  </w:style>
  <w:style w:type="character" w:styleId="Hyperlink">
    <w:name w:val="Hyperlink"/>
    <w:basedOn w:val="DefaultParagraphFont"/>
    <w:uiPriority w:val="99"/>
    <w:unhideWhenUsed/>
    <w:rsid w:val="00334FE2"/>
    <w:rPr>
      <w:color w:val="0563C1" w:themeColor="hyperlink"/>
      <w:u w:val="single"/>
    </w:rPr>
  </w:style>
  <w:style w:type="character" w:styleId="Strong">
    <w:name w:val="Strong"/>
    <w:basedOn w:val="DefaultParagraphFont"/>
    <w:uiPriority w:val="22"/>
    <w:qFormat/>
    <w:rsid w:val="00103569"/>
    <w:rPr>
      <w:b/>
      <w:bCs/>
    </w:rPr>
  </w:style>
  <w:style w:type="character" w:styleId="Emphasis">
    <w:name w:val="Emphasis"/>
    <w:basedOn w:val="DefaultParagraphFont"/>
    <w:uiPriority w:val="20"/>
    <w:qFormat/>
    <w:rsid w:val="00103569"/>
    <w:rPr>
      <w:i/>
      <w:iCs/>
    </w:rPr>
  </w:style>
  <w:style w:type="character" w:styleId="CommentReference">
    <w:name w:val="annotation reference"/>
    <w:basedOn w:val="DefaultParagraphFont"/>
    <w:uiPriority w:val="99"/>
    <w:semiHidden/>
    <w:unhideWhenUsed/>
    <w:rsid w:val="00103569"/>
    <w:rPr>
      <w:sz w:val="16"/>
      <w:szCs w:val="16"/>
    </w:rPr>
  </w:style>
  <w:style w:type="paragraph" w:styleId="CommentText">
    <w:name w:val="annotation text"/>
    <w:basedOn w:val="Normal"/>
    <w:link w:val="CommentTextChar"/>
    <w:uiPriority w:val="99"/>
    <w:unhideWhenUsed/>
    <w:rsid w:val="00103569"/>
    <w:pPr>
      <w:spacing w:line="240" w:lineRule="auto"/>
    </w:pPr>
    <w:rPr>
      <w:sz w:val="20"/>
      <w:szCs w:val="20"/>
    </w:rPr>
  </w:style>
  <w:style w:type="character" w:customStyle="1" w:styleId="CommentTextChar">
    <w:name w:val="Comment Text Char"/>
    <w:basedOn w:val="DefaultParagraphFont"/>
    <w:link w:val="CommentText"/>
    <w:uiPriority w:val="99"/>
    <w:rsid w:val="00103569"/>
    <w:rPr>
      <w:sz w:val="20"/>
      <w:szCs w:val="20"/>
    </w:rPr>
  </w:style>
  <w:style w:type="paragraph" w:styleId="CommentSubject">
    <w:name w:val="annotation subject"/>
    <w:basedOn w:val="CommentText"/>
    <w:next w:val="CommentText"/>
    <w:link w:val="CommentSubjectChar"/>
    <w:uiPriority w:val="99"/>
    <w:semiHidden/>
    <w:unhideWhenUsed/>
    <w:rsid w:val="00103569"/>
    <w:rPr>
      <w:b/>
      <w:bCs/>
    </w:rPr>
  </w:style>
  <w:style w:type="character" w:customStyle="1" w:styleId="CommentSubjectChar">
    <w:name w:val="Comment Subject Char"/>
    <w:basedOn w:val="CommentTextChar"/>
    <w:link w:val="CommentSubject"/>
    <w:uiPriority w:val="99"/>
    <w:semiHidden/>
    <w:rsid w:val="00103569"/>
    <w:rPr>
      <w:b/>
      <w:bCs/>
      <w:sz w:val="20"/>
      <w:szCs w:val="20"/>
    </w:rPr>
  </w:style>
  <w:style w:type="paragraph" w:styleId="BalloonText">
    <w:name w:val="Balloon Text"/>
    <w:basedOn w:val="Normal"/>
    <w:link w:val="BalloonTextChar"/>
    <w:uiPriority w:val="99"/>
    <w:semiHidden/>
    <w:unhideWhenUsed/>
    <w:rsid w:val="00103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569"/>
    <w:rPr>
      <w:rFonts w:ascii="Segoe UI" w:hAnsi="Segoe UI" w:cs="Segoe UI"/>
      <w:sz w:val="18"/>
      <w:szCs w:val="18"/>
    </w:rPr>
  </w:style>
  <w:style w:type="paragraph" w:styleId="NormalWeb">
    <w:name w:val="Normal (Web)"/>
    <w:basedOn w:val="Normal"/>
    <w:uiPriority w:val="99"/>
    <w:unhideWhenUsed/>
    <w:rsid w:val="00B554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82598"/>
    <w:pPr>
      <w:ind w:left="720"/>
      <w:contextualSpacing/>
    </w:pPr>
  </w:style>
  <w:style w:type="character" w:customStyle="1" w:styleId="UnresolvedMention1">
    <w:name w:val="Unresolved Mention1"/>
    <w:basedOn w:val="DefaultParagraphFont"/>
    <w:uiPriority w:val="99"/>
    <w:semiHidden/>
    <w:unhideWhenUsed/>
    <w:rsid w:val="0017551E"/>
    <w:rPr>
      <w:color w:val="605E5C"/>
      <w:shd w:val="clear" w:color="auto" w:fill="E1DFDD"/>
    </w:rPr>
  </w:style>
  <w:style w:type="paragraph" w:styleId="Header">
    <w:name w:val="header"/>
    <w:basedOn w:val="Normal"/>
    <w:link w:val="HeaderChar"/>
    <w:uiPriority w:val="99"/>
    <w:unhideWhenUsed/>
    <w:rsid w:val="00F757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7E5"/>
  </w:style>
  <w:style w:type="paragraph" w:styleId="Footer">
    <w:name w:val="footer"/>
    <w:basedOn w:val="Normal"/>
    <w:link w:val="FooterChar"/>
    <w:uiPriority w:val="99"/>
    <w:unhideWhenUsed/>
    <w:rsid w:val="00F757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7E5"/>
  </w:style>
  <w:style w:type="character" w:styleId="FollowedHyperlink">
    <w:name w:val="FollowedHyperlink"/>
    <w:basedOn w:val="DefaultParagraphFont"/>
    <w:uiPriority w:val="99"/>
    <w:semiHidden/>
    <w:unhideWhenUsed/>
    <w:rsid w:val="005673EF"/>
    <w:rPr>
      <w:color w:val="954F72" w:themeColor="followedHyperlink"/>
      <w:u w:val="single"/>
    </w:rPr>
  </w:style>
  <w:style w:type="character" w:customStyle="1" w:styleId="UnresolvedMention2">
    <w:name w:val="Unresolved Mention2"/>
    <w:basedOn w:val="DefaultParagraphFont"/>
    <w:uiPriority w:val="99"/>
    <w:semiHidden/>
    <w:unhideWhenUsed/>
    <w:rsid w:val="00E864AD"/>
    <w:rPr>
      <w:color w:val="605E5C"/>
      <w:shd w:val="clear" w:color="auto" w:fill="E1DFDD"/>
    </w:rPr>
  </w:style>
  <w:style w:type="character" w:customStyle="1" w:styleId="UnresolvedMention3">
    <w:name w:val="Unresolved Mention3"/>
    <w:basedOn w:val="DefaultParagraphFont"/>
    <w:uiPriority w:val="99"/>
    <w:semiHidden/>
    <w:unhideWhenUsed/>
    <w:rsid w:val="00FB3BF3"/>
    <w:rPr>
      <w:color w:val="605E5C"/>
      <w:shd w:val="clear" w:color="auto" w:fill="E1DFDD"/>
    </w:rPr>
  </w:style>
  <w:style w:type="paragraph" w:styleId="Revision">
    <w:name w:val="Revision"/>
    <w:hidden/>
    <w:uiPriority w:val="99"/>
    <w:semiHidden/>
    <w:rsid w:val="00832A68"/>
    <w:pPr>
      <w:spacing w:after="0" w:line="240" w:lineRule="auto"/>
    </w:pPr>
  </w:style>
  <w:style w:type="character" w:customStyle="1" w:styleId="cf01">
    <w:name w:val="cf01"/>
    <w:basedOn w:val="DefaultParagraphFont"/>
    <w:rsid w:val="00385E8E"/>
    <w:rPr>
      <w:rFonts w:ascii="Segoe UI" w:hAnsi="Segoe UI" w:cs="Segoe UI" w:hint="default"/>
      <w:sz w:val="18"/>
      <w:szCs w:val="18"/>
    </w:rPr>
  </w:style>
  <w:style w:type="paragraph" w:customStyle="1" w:styleId="xxxmsonormal">
    <w:name w:val="x_xxmsonormal"/>
    <w:basedOn w:val="Normal"/>
    <w:rsid w:val="008F0FB4"/>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863586"/>
    <w:rPr>
      <w:color w:val="605E5C"/>
      <w:shd w:val="clear" w:color="auto" w:fill="E1DFDD"/>
    </w:rPr>
  </w:style>
  <w:style w:type="paragraph" w:styleId="Title">
    <w:name w:val="Title"/>
    <w:basedOn w:val="Normal"/>
    <w:next w:val="Normal"/>
    <w:link w:val="TitleChar"/>
    <w:uiPriority w:val="10"/>
    <w:qFormat/>
    <w:rsid w:val="0026339A"/>
    <w:pPr>
      <w:spacing w:line="360" w:lineRule="auto"/>
      <w:jc w:val="both"/>
    </w:pPr>
    <w:rPr>
      <w:rFonts w:cstheme="minorHAnsi"/>
      <w:b/>
      <w:sz w:val="28"/>
      <w:szCs w:val="28"/>
    </w:rPr>
  </w:style>
  <w:style w:type="character" w:customStyle="1" w:styleId="TitleChar">
    <w:name w:val="Title Char"/>
    <w:basedOn w:val="DefaultParagraphFont"/>
    <w:link w:val="Title"/>
    <w:uiPriority w:val="10"/>
    <w:rsid w:val="0026339A"/>
    <w:rPr>
      <w:rFonts w:cstheme="minorHAnsi"/>
      <w:b/>
      <w:sz w:val="28"/>
      <w:szCs w:val="28"/>
    </w:rPr>
  </w:style>
  <w:style w:type="character" w:customStyle="1" w:styleId="Heading1Char">
    <w:name w:val="Heading 1 Char"/>
    <w:basedOn w:val="DefaultParagraphFont"/>
    <w:link w:val="Heading1"/>
    <w:uiPriority w:val="9"/>
    <w:rsid w:val="001777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890152">
      <w:bodyDiv w:val="1"/>
      <w:marLeft w:val="0"/>
      <w:marRight w:val="0"/>
      <w:marTop w:val="0"/>
      <w:marBottom w:val="0"/>
      <w:divBdr>
        <w:top w:val="none" w:sz="0" w:space="0" w:color="auto"/>
        <w:left w:val="none" w:sz="0" w:space="0" w:color="auto"/>
        <w:bottom w:val="none" w:sz="0" w:space="0" w:color="auto"/>
        <w:right w:val="none" w:sz="0" w:space="0" w:color="auto"/>
      </w:divBdr>
    </w:div>
    <w:div w:id="394819542">
      <w:bodyDiv w:val="1"/>
      <w:marLeft w:val="0"/>
      <w:marRight w:val="0"/>
      <w:marTop w:val="0"/>
      <w:marBottom w:val="0"/>
      <w:divBdr>
        <w:top w:val="none" w:sz="0" w:space="0" w:color="auto"/>
        <w:left w:val="none" w:sz="0" w:space="0" w:color="auto"/>
        <w:bottom w:val="none" w:sz="0" w:space="0" w:color="auto"/>
        <w:right w:val="none" w:sz="0" w:space="0" w:color="auto"/>
      </w:divBdr>
    </w:div>
    <w:div w:id="895631761">
      <w:bodyDiv w:val="1"/>
      <w:marLeft w:val="0"/>
      <w:marRight w:val="0"/>
      <w:marTop w:val="0"/>
      <w:marBottom w:val="0"/>
      <w:divBdr>
        <w:top w:val="none" w:sz="0" w:space="0" w:color="auto"/>
        <w:left w:val="none" w:sz="0" w:space="0" w:color="auto"/>
        <w:bottom w:val="none" w:sz="0" w:space="0" w:color="auto"/>
        <w:right w:val="none" w:sz="0" w:space="0" w:color="auto"/>
      </w:divBdr>
    </w:div>
    <w:div w:id="918707813">
      <w:bodyDiv w:val="1"/>
      <w:marLeft w:val="0"/>
      <w:marRight w:val="0"/>
      <w:marTop w:val="0"/>
      <w:marBottom w:val="0"/>
      <w:divBdr>
        <w:top w:val="none" w:sz="0" w:space="0" w:color="auto"/>
        <w:left w:val="none" w:sz="0" w:space="0" w:color="auto"/>
        <w:bottom w:val="none" w:sz="0" w:space="0" w:color="auto"/>
        <w:right w:val="none" w:sz="0" w:space="0" w:color="auto"/>
      </w:divBdr>
    </w:div>
    <w:div w:id="923954952">
      <w:bodyDiv w:val="1"/>
      <w:marLeft w:val="0"/>
      <w:marRight w:val="0"/>
      <w:marTop w:val="0"/>
      <w:marBottom w:val="0"/>
      <w:divBdr>
        <w:top w:val="none" w:sz="0" w:space="0" w:color="auto"/>
        <w:left w:val="none" w:sz="0" w:space="0" w:color="auto"/>
        <w:bottom w:val="none" w:sz="0" w:space="0" w:color="auto"/>
        <w:right w:val="none" w:sz="0" w:space="0" w:color="auto"/>
      </w:divBdr>
    </w:div>
    <w:div w:id="171653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tland.police.uk/advice-and-information/domestic-abuse/disclosure-scheme-for-domestic-abuse-scotland/making-an-application-about-your-partner/?view=Standar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cotland.police.uk/advice-and-information/domestic-abuse/disclosure-scheme-for-domestic-abuse-scotlan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cotland.police.uk/spa-media/ymzlwhwj/joint-protocol-between-police-scotland-and-copfs-in-partnership-challenging-domestic-abuse.pdf?view=Standar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tland.police.uk/what-s-happening/news/2020/october/dsdas-5th-anniversary-2020/" TargetMode="External"/><Relationship Id="rId5" Type="http://schemas.openxmlformats.org/officeDocument/2006/relationships/numbering" Target="numbering.xml"/><Relationship Id="rId15" Type="http://schemas.openxmlformats.org/officeDocument/2006/relationships/hyperlink" Target="https://www.scotland.police.uk/secureforms/disclosu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tland.police.uk/advice-and-information/domestic-abuse/disclosure-scheme-for-domestic-abuse-scotland/asking-on-behalf-of-someone-else/?view=Standar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Andrew.Tickell@gcu.ac.uk" TargetMode="External"/><Relationship Id="rId1" Type="http://schemas.openxmlformats.org/officeDocument/2006/relationships/hyperlink" Target="mailto:Lesley.McMillan@gc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32837B15B0B746853F44D34D75CD92" ma:contentTypeVersion="15" ma:contentTypeDescription="Create a new document." ma:contentTypeScope="" ma:versionID="397a1e16306d12c101f06dd15204bf4f">
  <xsd:schema xmlns:xsd="http://www.w3.org/2001/XMLSchema" xmlns:xs="http://www.w3.org/2001/XMLSchema" xmlns:p="http://schemas.microsoft.com/office/2006/metadata/properties" xmlns:ns3="551a8ab0-d522-484d-88df-9318181d895d" xmlns:ns4="8fd64c58-fea8-426e-a931-904e59582ff2" targetNamespace="http://schemas.microsoft.com/office/2006/metadata/properties" ma:root="true" ma:fieldsID="301064148b47472ce49aaf2dd959e48f" ns3:_="" ns4:_="">
    <xsd:import namespace="551a8ab0-d522-484d-88df-9318181d895d"/>
    <xsd:import namespace="8fd64c58-fea8-426e-a931-904e59582f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a8ab0-d522-484d-88df-9318181d8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d64c58-fea8-426e-a931-904e59582f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51a8ab0-d522-484d-88df-9318181d89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BE0F3-57FD-4590-8CD5-E87D5ED8D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a8ab0-d522-484d-88df-9318181d895d"/>
    <ds:schemaRef ds:uri="8fd64c58-fea8-426e-a931-904e59582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FB669C-ECCF-47F3-A420-24653F4A883E}">
  <ds:schemaRefs>
    <ds:schemaRef ds:uri="http://schemas.microsoft.com/office/2006/metadata/properties"/>
    <ds:schemaRef ds:uri="http://schemas.microsoft.com/office/infopath/2007/PartnerControls"/>
    <ds:schemaRef ds:uri="551a8ab0-d522-484d-88df-9318181d895d"/>
  </ds:schemaRefs>
</ds:datastoreItem>
</file>

<file path=customXml/itemProps3.xml><?xml version="1.0" encoding="utf-8"?>
<ds:datastoreItem xmlns:ds="http://schemas.openxmlformats.org/officeDocument/2006/customXml" ds:itemID="{3567A8F9-B7C2-4F45-B01A-9D9421653B31}">
  <ds:schemaRefs>
    <ds:schemaRef ds:uri="http://schemas.microsoft.com/sharepoint/v3/contenttype/forms"/>
  </ds:schemaRefs>
</ds:datastoreItem>
</file>

<file path=customXml/itemProps4.xml><?xml version="1.0" encoding="utf-8"?>
<ds:datastoreItem xmlns:ds="http://schemas.openxmlformats.org/officeDocument/2006/customXml" ds:itemID="{A31A3D81-4B45-4015-97AF-042CECFCE8DB}">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11027</Words>
  <Characters>62859</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Tickell</dc:creator>
  <cp:keywords/>
  <dc:description/>
  <cp:lastModifiedBy>Rosemary Hunter</cp:lastModifiedBy>
  <cp:revision>188</cp:revision>
  <cp:lastPrinted>2023-03-20T14:06:00Z</cp:lastPrinted>
  <dcterms:created xsi:type="dcterms:W3CDTF">2024-01-15T20:52:00Z</dcterms:created>
  <dcterms:modified xsi:type="dcterms:W3CDTF">2024-05-04T14:17:00Z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0x010100E032837B15B0B746853F44D34D75CD92</vt:lpwstr>
  </property>
  <property fmtid="{D5CDD505-2E9C-101B-9397-08002B2CF9AE}" pid="3" name="GrammarlyDocumentId">
    <vt:lpwstr>a0b6ce159d77d5ced848c180770d7ceb320bde2d96835805b4ae3d5e6084e25d</vt:lpwstr>
  </property>
</Properties>
</file>