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26B50" w14:textId="34AA3A42" w:rsidR="00C65BEF" w:rsidRPr="00401625" w:rsidRDefault="00CB2BF7" w:rsidP="00401625">
      <w:pPr>
        <w:pStyle w:val="Title"/>
      </w:pPr>
      <w:r w:rsidRPr="00401625">
        <w:t>Exploring</w:t>
      </w:r>
      <w:r w:rsidR="003B3C06" w:rsidRPr="00401625">
        <w:t xml:space="preserve"> the </w:t>
      </w:r>
      <w:r w:rsidR="002B2AFB" w:rsidRPr="00401625">
        <w:t>O</w:t>
      </w:r>
      <w:r w:rsidR="003B3C06" w:rsidRPr="00401625">
        <w:t xml:space="preserve">utcomes of </w:t>
      </w:r>
      <w:r w:rsidR="002B2AFB" w:rsidRPr="00401625">
        <w:t>D</w:t>
      </w:r>
      <w:r w:rsidR="003B3C06" w:rsidRPr="00401625">
        <w:t xml:space="preserve">ivergent </w:t>
      </w:r>
      <w:r w:rsidR="002B2AFB" w:rsidRPr="00401625">
        <w:t>A</w:t>
      </w:r>
      <w:r w:rsidRPr="00401625">
        <w:t xml:space="preserve">pproaches to the </w:t>
      </w:r>
      <w:r w:rsidR="002B2AFB" w:rsidRPr="00401625">
        <w:t>P</w:t>
      </w:r>
      <w:r w:rsidR="003B3C06" w:rsidRPr="00401625">
        <w:t>olicy</w:t>
      </w:r>
      <w:r w:rsidR="002B2AFB" w:rsidRPr="00401625">
        <w:t xml:space="preserve"> M</w:t>
      </w:r>
      <w:r w:rsidR="003B3C06" w:rsidRPr="00401625">
        <w:t xml:space="preserve">aking </w:t>
      </w:r>
      <w:r w:rsidR="002B2AFB" w:rsidRPr="00401625">
        <w:t>P</w:t>
      </w:r>
      <w:r w:rsidR="003B3C06" w:rsidRPr="00401625">
        <w:t>rocess</w:t>
      </w:r>
      <w:r w:rsidR="00DE3B34" w:rsidRPr="00401625">
        <w:t xml:space="preserve">: Domestic </w:t>
      </w:r>
      <w:r w:rsidR="002B2AFB" w:rsidRPr="00401625">
        <w:t>V</w:t>
      </w:r>
      <w:r w:rsidR="00DE3B34" w:rsidRPr="00401625">
        <w:t xml:space="preserve">iolence </w:t>
      </w:r>
      <w:r w:rsidR="002B2AFB" w:rsidRPr="00401625">
        <w:t>D</w:t>
      </w:r>
      <w:r w:rsidR="00DE3B34" w:rsidRPr="00401625">
        <w:t xml:space="preserve">isclosure </w:t>
      </w:r>
      <w:r w:rsidR="002B2AFB" w:rsidRPr="00401625">
        <w:t>S</w:t>
      </w:r>
      <w:r w:rsidR="00DE3B34" w:rsidRPr="00401625">
        <w:t xml:space="preserve">chemes </w:t>
      </w:r>
      <w:r w:rsidR="0038724E" w:rsidRPr="00401625">
        <w:t xml:space="preserve">and </w:t>
      </w:r>
      <w:r w:rsidR="002B2AFB" w:rsidRPr="00401625">
        <w:t>P</w:t>
      </w:r>
      <w:r w:rsidR="0038724E" w:rsidRPr="00401625">
        <w:t xml:space="preserve">erpetrator </w:t>
      </w:r>
      <w:r w:rsidR="002B2AFB" w:rsidRPr="00401625">
        <w:t>R</w:t>
      </w:r>
      <w:r w:rsidR="0038724E" w:rsidRPr="00401625">
        <w:t xml:space="preserve">egisters </w:t>
      </w:r>
      <w:r w:rsidR="00DE3B34" w:rsidRPr="00401625">
        <w:t>in Australia</w:t>
      </w:r>
    </w:p>
    <w:p w14:paraId="1BD38336" w14:textId="77777777" w:rsidR="005F6151" w:rsidRDefault="005F6151" w:rsidP="005F6151">
      <w:pPr>
        <w:spacing w:line="360" w:lineRule="auto"/>
        <w:jc w:val="both"/>
        <w:rPr>
          <w:rFonts w:cstheme="minorHAnsi"/>
          <w:b/>
          <w:bCs/>
        </w:rPr>
      </w:pPr>
    </w:p>
    <w:p w14:paraId="68A0060B" w14:textId="23BC85CC" w:rsidR="001028A7" w:rsidRPr="005F6151" w:rsidRDefault="00445B62" w:rsidP="00F23C4D">
      <w:pPr>
        <w:spacing w:line="360" w:lineRule="auto"/>
        <w:rPr>
          <w:rFonts w:cstheme="minorHAnsi"/>
          <w:b/>
          <w:bCs/>
        </w:rPr>
      </w:pPr>
      <w:r w:rsidRPr="00445B62">
        <w:rPr>
          <w:rFonts w:cstheme="minorHAnsi"/>
          <w:b/>
          <w:bCs/>
        </w:rPr>
        <w:t>Kate Fitz-Gibbon</w:t>
      </w:r>
      <w:r w:rsidR="00A57D66">
        <w:rPr>
          <w:rFonts w:cstheme="minorHAnsi"/>
          <w:b/>
          <w:bCs/>
        </w:rPr>
        <w:t>,</w:t>
      </w:r>
      <w:r w:rsidR="00D918F5">
        <w:rPr>
          <w:rStyle w:val="FootnoteReference"/>
          <w:rFonts w:cstheme="minorHAnsi"/>
          <w:b/>
          <w:bCs/>
        </w:rPr>
        <w:footnoteReference w:customMarkFollows="1" w:id="1"/>
        <w:t>*</w:t>
      </w:r>
      <w:r w:rsidR="00A57D66">
        <w:rPr>
          <w:rFonts w:cstheme="minorHAnsi"/>
          <w:b/>
          <w:bCs/>
        </w:rPr>
        <w:t xml:space="preserve"> </w:t>
      </w:r>
      <w:r w:rsidR="005E4796" w:rsidRPr="005E4796">
        <w:rPr>
          <w:rFonts w:cstheme="minorHAnsi"/>
          <w:b/>
          <w:bCs/>
          <w:lang w:val="en-GB"/>
        </w:rPr>
        <w:t>Sandra Walklate</w:t>
      </w:r>
      <w:r w:rsidR="00A57D66">
        <w:rPr>
          <w:rStyle w:val="FootnoteReference"/>
          <w:rFonts w:cstheme="minorHAnsi"/>
          <w:b/>
          <w:bCs/>
          <w:lang w:val="en-GB"/>
        </w:rPr>
        <w:footnoteReference w:customMarkFollows="1" w:id="2"/>
        <w:t>**</w:t>
      </w:r>
      <w:r w:rsidR="00F23C4D">
        <w:rPr>
          <w:rFonts w:cstheme="minorHAnsi"/>
          <w:b/>
          <w:bCs/>
          <w:lang w:val="en-GB"/>
        </w:rPr>
        <w:t xml:space="preserve"> and </w:t>
      </w:r>
      <w:r w:rsidR="001028A7" w:rsidRPr="001028A7">
        <w:rPr>
          <w:rFonts w:cstheme="minorHAnsi"/>
          <w:b/>
          <w:bCs/>
          <w:lang w:val="en-GB"/>
        </w:rPr>
        <w:t>Ellen Reeves</w:t>
      </w:r>
      <w:r w:rsidR="00F23C4D">
        <w:rPr>
          <w:rStyle w:val="FootnoteReference"/>
          <w:rFonts w:cstheme="minorHAnsi"/>
          <w:b/>
          <w:bCs/>
          <w:lang w:val="en-GB"/>
        </w:rPr>
        <w:footnoteReference w:customMarkFollows="1" w:id="3"/>
        <w:t>***</w:t>
      </w:r>
    </w:p>
    <w:p w14:paraId="582F4465" w14:textId="285FCC7B" w:rsidR="00DE3B34" w:rsidRDefault="00DE3B34" w:rsidP="005F6151">
      <w:pPr>
        <w:spacing w:line="360" w:lineRule="auto"/>
        <w:jc w:val="both"/>
        <w:rPr>
          <w:rFonts w:cstheme="minorHAnsi"/>
        </w:rPr>
      </w:pPr>
    </w:p>
    <w:p w14:paraId="5DCA1398" w14:textId="4CF525CC" w:rsidR="003F4FFF" w:rsidRPr="003213FA" w:rsidRDefault="003F4FFF" w:rsidP="003213FA">
      <w:pPr>
        <w:pStyle w:val="Heading1"/>
      </w:pPr>
      <w:r w:rsidRPr="003213FA">
        <w:t>Abstract</w:t>
      </w:r>
    </w:p>
    <w:p w14:paraId="39A9FDDF" w14:textId="00ECC2C1" w:rsidR="00907B75" w:rsidRPr="005F6151" w:rsidRDefault="00DE3B34" w:rsidP="005F6151">
      <w:pPr>
        <w:spacing w:line="360" w:lineRule="auto"/>
        <w:jc w:val="both"/>
        <w:rPr>
          <w:rFonts w:cstheme="minorHAnsi"/>
        </w:rPr>
      </w:pPr>
      <w:r w:rsidRPr="005F6151">
        <w:rPr>
          <w:rFonts w:cstheme="minorHAnsi"/>
        </w:rPr>
        <w:t xml:space="preserve">In April 2021 an Australian Government Inquiry recommended the </w:t>
      </w:r>
      <w:r w:rsidR="001A5603" w:rsidRPr="005F6151">
        <w:rPr>
          <w:rFonts w:cstheme="minorHAnsi"/>
        </w:rPr>
        <w:t>Australia</w:t>
      </w:r>
      <w:r w:rsidR="005D7DF9" w:rsidRPr="005F6151">
        <w:rPr>
          <w:rFonts w:cstheme="minorHAnsi"/>
        </w:rPr>
        <w:t>n</w:t>
      </w:r>
      <w:r w:rsidR="001A5603" w:rsidRPr="005F6151">
        <w:rPr>
          <w:rFonts w:cstheme="minorHAnsi"/>
        </w:rPr>
        <w:t xml:space="preserve"> government </w:t>
      </w:r>
      <w:r w:rsidR="00567806" w:rsidRPr="005F6151">
        <w:rPr>
          <w:rFonts w:cstheme="minorHAnsi"/>
        </w:rPr>
        <w:t xml:space="preserve">commission research to </w:t>
      </w:r>
      <w:r w:rsidR="001A5603" w:rsidRPr="005F6151">
        <w:rPr>
          <w:rFonts w:cstheme="minorHAnsi"/>
        </w:rPr>
        <w:t>explore the</w:t>
      </w:r>
      <w:r w:rsidR="001E72F0" w:rsidRPr="005F6151">
        <w:rPr>
          <w:rFonts w:cstheme="minorHAnsi"/>
        </w:rPr>
        <w:t xml:space="preserve"> benefits</w:t>
      </w:r>
      <w:r w:rsidR="001A5603" w:rsidRPr="005F6151">
        <w:rPr>
          <w:rFonts w:cstheme="minorHAnsi"/>
        </w:rPr>
        <w:t xml:space="preserve"> and risks of the </w:t>
      </w:r>
      <w:r w:rsidRPr="005F6151">
        <w:rPr>
          <w:rFonts w:cstheme="minorHAnsi"/>
        </w:rPr>
        <w:t>introduction</w:t>
      </w:r>
      <w:r w:rsidR="00916DD8" w:rsidRPr="005F6151">
        <w:rPr>
          <w:rFonts w:cstheme="minorHAnsi"/>
        </w:rPr>
        <w:t xml:space="preserve"> of</w:t>
      </w:r>
      <w:r w:rsidRPr="005F6151">
        <w:rPr>
          <w:rFonts w:cstheme="minorHAnsi"/>
        </w:rPr>
        <w:t xml:space="preserve"> a public</w:t>
      </w:r>
      <w:r w:rsidR="00907B75" w:rsidRPr="005F6151">
        <w:rPr>
          <w:rFonts w:cstheme="minorHAnsi"/>
        </w:rPr>
        <w:t xml:space="preserve">ly accessible </w:t>
      </w:r>
      <w:r w:rsidRPr="005F6151">
        <w:rPr>
          <w:rFonts w:cstheme="minorHAnsi"/>
        </w:rPr>
        <w:t xml:space="preserve">register of </w:t>
      </w:r>
      <w:r w:rsidR="00907B75" w:rsidRPr="005F6151">
        <w:rPr>
          <w:rFonts w:cstheme="minorHAnsi"/>
        </w:rPr>
        <w:t xml:space="preserve">convicted domestic, family and sexual violence </w:t>
      </w:r>
      <w:r w:rsidRPr="005F6151">
        <w:rPr>
          <w:rFonts w:cstheme="minorHAnsi"/>
        </w:rPr>
        <w:t xml:space="preserve">perpetrators. </w:t>
      </w:r>
      <w:r w:rsidR="00907B75" w:rsidRPr="005F6151">
        <w:rPr>
          <w:rFonts w:cstheme="minorHAnsi"/>
        </w:rPr>
        <w:t>At the time of the Inquiry’s recommendation</w:t>
      </w:r>
      <w:r w:rsidR="00C6233D">
        <w:rPr>
          <w:rFonts w:cstheme="minorHAnsi"/>
        </w:rPr>
        <w:t>,</w:t>
      </w:r>
      <w:r w:rsidR="00907B75" w:rsidRPr="005F6151">
        <w:rPr>
          <w:rFonts w:cstheme="minorHAnsi"/>
        </w:rPr>
        <w:t xml:space="preserve"> only one Australian jurisdiction ha</w:t>
      </w:r>
      <w:r w:rsidR="00C15720">
        <w:rPr>
          <w:rFonts w:cstheme="minorHAnsi"/>
        </w:rPr>
        <w:t>d</w:t>
      </w:r>
      <w:r w:rsidR="00907B75" w:rsidRPr="005F6151">
        <w:rPr>
          <w:rFonts w:cstheme="minorHAnsi"/>
        </w:rPr>
        <w:t xml:space="preserve"> a domestic violence disclosure scheme</w:t>
      </w:r>
      <w:r w:rsidR="00815216" w:rsidRPr="005F6151">
        <w:rPr>
          <w:rFonts w:cstheme="minorHAnsi"/>
        </w:rPr>
        <w:t xml:space="preserve"> (DVDS)</w:t>
      </w:r>
      <w:r w:rsidR="00907B75" w:rsidRPr="005F6151">
        <w:rPr>
          <w:rFonts w:cstheme="minorHAnsi"/>
        </w:rPr>
        <w:t xml:space="preserve"> </w:t>
      </w:r>
      <w:r w:rsidR="00EA14E7" w:rsidRPr="005F6151">
        <w:rPr>
          <w:rFonts w:cstheme="minorHAnsi"/>
        </w:rPr>
        <w:t xml:space="preserve">in operation </w:t>
      </w:r>
      <w:r w:rsidR="00907B75" w:rsidRPr="005F6151">
        <w:rPr>
          <w:rFonts w:cstheme="minorHAnsi"/>
        </w:rPr>
        <w:t xml:space="preserve">and no state </w:t>
      </w:r>
      <w:r w:rsidR="00592C22">
        <w:rPr>
          <w:rFonts w:cstheme="minorHAnsi"/>
        </w:rPr>
        <w:t>ha</w:t>
      </w:r>
      <w:r w:rsidR="00C15720">
        <w:rPr>
          <w:rFonts w:cstheme="minorHAnsi"/>
        </w:rPr>
        <w:t>d</w:t>
      </w:r>
      <w:r w:rsidR="00592C22" w:rsidRPr="005F6151">
        <w:rPr>
          <w:rFonts w:cstheme="minorHAnsi"/>
        </w:rPr>
        <w:t xml:space="preserve"> </w:t>
      </w:r>
      <w:r w:rsidR="00907B75" w:rsidRPr="005F6151">
        <w:rPr>
          <w:rFonts w:cstheme="minorHAnsi"/>
        </w:rPr>
        <w:t xml:space="preserve">a publicly accessible sex offender register. </w:t>
      </w:r>
      <w:r w:rsidR="00ED1020" w:rsidRPr="005F6151">
        <w:rPr>
          <w:rFonts w:cstheme="minorHAnsi"/>
        </w:rPr>
        <w:t>A public register</w:t>
      </w:r>
      <w:r w:rsidR="00907B75" w:rsidRPr="005F6151">
        <w:rPr>
          <w:rFonts w:cstheme="minorHAnsi"/>
        </w:rPr>
        <w:t xml:space="preserve">, if implemented, would represent a significant shift in the approach taken to </w:t>
      </w:r>
      <w:r w:rsidR="0038724E" w:rsidRPr="005F6151">
        <w:rPr>
          <w:rFonts w:cstheme="minorHAnsi"/>
        </w:rPr>
        <w:t xml:space="preserve">achieving </w:t>
      </w:r>
      <w:r w:rsidR="00907B75" w:rsidRPr="005F6151">
        <w:rPr>
          <w:rFonts w:cstheme="minorHAnsi"/>
        </w:rPr>
        <w:t>perpetrator accountability</w:t>
      </w:r>
      <w:r w:rsidR="00916DD8" w:rsidRPr="005F6151">
        <w:rPr>
          <w:rFonts w:cstheme="minorHAnsi"/>
        </w:rPr>
        <w:t xml:space="preserve"> </w:t>
      </w:r>
      <w:r w:rsidR="0038724E" w:rsidRPr="005F6151">
        <w:rPr>
          <w:rFonts w:cstheme="minorHAnsi"/>
        </w:rPr>
        <w:t>and better ensuring</w:t>
      </w:r>
      <w:r w:rsidR="00916DD8" w:rsidRPr="005F6151">
        <w:rPr>
          <w:rFonts w:cstheme="minorHAnsi"/>
        </w:rPr>
        <w:t xml:space="preserve"> women’s safety</w:t>
      </w:r>
      <w:r w:rsidR="00907B75" w:rsidRPr="005F6151">
        <w:rPr>
          <w:rFonts w:cstheme="minorHAnsi"/>
        </w:rPr>
        <w:t>. This article trac</w:t>
      </w:r>
      <w:r w:rsidR="00EB2EFD" w:rsidRPr="005F6151">
        <w:rPr>
          <w:rFonts w:cstheme="minorHAnsi"/>
        </w:rPr>
        <w:t>e</w:t>
      </w:r>
      <w:r w:rsidR="00907B75" w:rsidRPr="005F6151">
        <w:rPr>
          <w:rFonts w:cstheme="minorHAnsi"/>
        </w:rPr>
        <w:t xml:space="preserve">s the decade leading up to this recommendation and the significant variance in policy and practice across Australian state and territory jurisdictions. </w:t>
      </w:r>
      <w:r w:rsidR="006C3607" w:rsidRPr="005F6151">
        <w:rPr>
          <w:rFonts w:cstheme="minorHAnsi"/>
        </w:rPr>
        <w:t xml:space="preserve">To do so, it critically analyses the outcomes of two major </w:t>
      </w:r>
      <w:r w:rsidR="00B271F4">
        <w:rPr>
          <w:rFonts w:cstheme="minorHAnsi"/>
        </w:rPr>
        <w:t>state-level</w:t>
      </w:r>
      <w:r w:rsidR="006C3607" w:rsidRPr="005F6151">
        <w:rPr>
          <w:rFonts w:cstheme="minorHAnsi"/>
        </w:rPr>
        <w:t xml:space="preserve"> inquiries, which did not recommend the introduction of a </w:t>
      </w:r>
      <w:r w:rsidR="00815216" w:rsidRPr="005F6151">
        <w:rPr>
          <w:rFonts w:cstheme="minorHAnsi"/>
        </w:rPr>
        <w:t>DVDS</w:t>
      </w:r>
      <w:r w:rsidR="006C3607" w:rsidRPr="005F6151">
        <w:rPr>
          <w:rFonts w:cstheme="minorHAnsi"/>
        </w:rPr>
        <w:t xml:space="preserve"> or a public offender register. These case studies are presented alongside a contrasting case study of two other Australian states which</w:t>
      </w:r>
      <w:r w:rsidR="00645B5F" w:rsidRPr="005F6151">
        <w:rPr>
          <w:rFonts w:cstheme="minorHAnsi"/>
        </w:rPr>
        <w:t xml:space="preserve">, following the introduction of </w:t>
      </w:r>
      <w:r w:rsidR="00184EBE">
        <w:rPr>
          <w:rFonts w:cstheme="minorHAnsi"/>
        </w:rPr>
        <w:t xml:space="preserve">a </w:t>
      </w:r>
      <w:r w:rsidR="00645B5F" w:rsidRPr="005F6151">
        <w:rPr>
          <w:rFonts w:cstheme="minorHAnsi"/>
        </w:rPr>
        <w:t>DVDS in England and Wales,</w:t>
      </w:r>
      <w:r w:rsidR="006C3607" w:rsidRPr="005F6151">
        <w:rPr>
          <w:rFonts w:cstheme="minorHAnsi"/>
        </w:rPr>
        <w:t xml:space="preserve"> have adopted</w:t>
      </w:r>
      <w:r w:rsidR="003F21F1" w:rsidRPr="005F6151">
        <w:rPr>
          <w:rFonts w:cstheme="minorHAnsi"/>
        </w:rPr>
        <w:t xml:space="preserve"> </w:t>
      </w:r>
      <w:r w:rsidR="00184EBE">
        <w:rPr>
          <w:rFonts w:cstheme="minorHAnsi"/>
        </w:rPr>
        <w:t xml:space="preserve">a </w:t>
      </w:r>
      <w:r w:rsidR="003F21F1" w:rsidRPr="005F6151">
        <w:rPr>
          <w:rFonts w:cstheme="minorHAnsi"/>
        </w:rPr>
        <w:t>DVDS</w:t>
      </w:r>
      <w:r w:rsidR="006C3607" w:rsidRPr="005F6151">
        <w:rPr>
          <w:rFonts w:cstheme="minorHAnsi"/>
        </w:rPr>
        <w:t xml:space="preserve"> with the state</w:t>
      </w:r>
      <w:r w:rsidR="00843021" w:rsidRPr="005F6151">
        <w:rPr>
          <w:rFonts w:cstheme="minorHAnsi"/>
        </w:rPr>
        <w:t>d</w:t>
      </w:r>
      <w:r w:rsidR="006C3607" w:rsidRPr="005F6151">
        <w:rPr>
          <w:rFonts w:cstheme="minorHAnsi"/>
        </w:rPr>
        <w:t xml:space="preserve"> objective of improving women’s safety through the provision of greater information about perpetrator histories and risk. The analysis </w:t>
      </w:r>
      <w:r w:rsidR="00E957ED" w:rsidRPr="005F6151">
        <w:rPr>
          <w:rFonts w:cstheme="minorHAnsi"/>
        </w:rPr>
        <w:t xml:space="preserve">draws together these case studies to </w:t>
      </w:r>
      <w:r w:rsidR="006C3607" w:rsidRPr="005F6151">
        <w:rPr>
          <w:rFonts w:cstheme="minorHAnsi"/>
        </w:rPr>
        <w:t xml:space="preserve">question how the </w:t>
      </w:r>
      <w:r w:rsidR="0009120A">
        <w:rPr>
          <w:rFonts w:cstheme="minorHAnsi"/>
        </w:rPr>
        <w:t>national-level</w:t>
      </w:r>
      <w:r w:rsidR="006C3607" w:rsidRPr="005F6151">
        <w:rPr>
          <w:rFonts w:cstheme="minorHAnsi"/>
        </w:rPr>
        <w:t xml:space="preserve"> inquiry arrived at its recommendation </w:t>
      </w:r>
      <w:r w:rsidR="00E957ED" w:rsidRPr="005F6151">
        <w:rPr>
          <w:rFonts w:cstheme="minorHAnsi"/>
        </w:rPr>
        <w:t xml:space="preserve">in </w:t>
      </w:r>
      <w:r w:rsidR="00E9661B" w:rsidRPr="005F6151">
        <w:rPr>
          <w:rFonts w:cstheme="minorHAnsi"/>
        </w:rPr>
        <w:t>the absence of either</w:t>
      </w:r>
      <w:r w:rsidR="00E957ED" w:rsidRPr="005F6151">
        <w:rPr>
          <w:rFonts w:cstheme="minorHAnsi"/>
        </w:rPr>
        <w:t xml:space="preserve"> the effectiveness of DVDS</w:t>
      </w:r>
      <w:r w:rsidR="00184EBE">
        <w:rPr>
          <w:rFonts w:cstheme="minorHAnsi"/>
        </w:rPr>
        <w:t>s</w:t>
      </w:r>
      <w:r w:rsidR="00562A9B">
        <w:rPr>
          <w:rFonts w:cstheme="minorHAnsi"/>
        </w:rPr>
        <w:t xml:space="preserve"> being established</w:t>
      </w:r>
      <w:r w:rsidR="00E9661B" w:rsidRPr="005F6151">
        <w:rPr>
          <w:rFonts w:cstheme="minorHAnsi"/>
        </w:rPr>
        <w:t xml:space="preserve"> </w:t>
      </w:r>
      <w:r w:rsidR="006C3607" w:rsidRPr="005F6151">
        <w:rPr>
          <w:rFonts w:cstheme="minorHAnsi"/>
        </w:rPr>
        <w:t xml:space="preserve">or </w:t>
      </w:r>
      <w:r w:rsidR="00E957ED" w:rsidRPr="005F6151">
        <w:rPr>
          <w:rFonts w:cstheme="minorHAnsi"/>
        </w:rPr>
        <w:t xml:space="preserve">clear advocacy in support of </w:t>
      </w:r>
      <w:r w:rsidR="00E9661B" w:rsidRPr="005F6151">
        <w:rPr>
          <w:rFonts w:cstheme="minorHAnsi"/>
        </w:rPr>
        <w:t>a public regi</w:t>
      </w:r>
      <w:r w:rsidR="0029070A" w:rsidRPr="005F6151">
        <w:rPr>
          <w:rFonts w:cstheme="minorHAnsi"/>
        </w:rPr>
        <w:t>st</w:t>
      </w:r>
      <w:r w:rsidR="00E9661B" w:rsidRPr="005F6151">
        <w:rPr>
          <w:rFonts w:cstheme="minorHAnsi"/>
        </w:rPr>
        <w:t>ry</w:t>
      </w:r>
      <w:r w:rsidR="00E957ED" w:rsidRPr="005F6151">
        <w:rPr>
          <w:rFonts w:cstheme="minorHAnsi"/>
        </w:rPr>
        <w:t xml:space="preserve"> model</w:t>
      </w:r>
      <w:r w:rsidR="00E9661B" w:rsidRPr="005F6151">
        <w:rPr>
          <w:rFonts w:cstheme="minorHAnsi"/>
        </w:rPr>
        <w:t xml:space="preserve"> in Australia</w:t>
      </w:r>
      <w:r w:rsidR="00E957ED" w:rsidRPr="005F6151">
        <w:rPr>
          <w:rFonts w:cstheme="minorHAnsi"/>
        </w:rPr>
        <w:t xml:space="preserve">. </w:t>
      </w:r>
      <w:r w:rsidR="009A285F" w:rsidRPr="005F6151">
        <w:rPr>
          <w:rFonts w:cstheme="minorHAnsi"/>
        </w:rPr>
        <w:t>Th</w:t>
      </w:r>
      <w:r w:rsidR="00E9661B" w:rsidRPr="005F6151">
        <w:rPr>
          <w:rFonts w:cstheme="minorHAnsi"/>
        </w:rPr>
        <w:t>is</w:t>
      </w:r>
      <w:r w:rsidR="009A285F" w:rsidRPr="005F6151">
        <w:rPr>
          <w:rFonts w:cstheme="minorHAnsi"/>
        </w:rPr>
        <w:t xml:space="preserve"> Australian experience presents valuable learning on the </w:t>
      </w:r>
      <w:r w:rsidR="008042DA">
        <w:rPr>
          <w:rFonts w:cstheme="minorHAnsi"/>
        </w:rPr>
        <w:t>policy-making</w:t>
      </w:r>
      <w:r w:rsidR="009A285F" w:rsidRPr="005F6151">
        <w:rPr>
          <w:rFonts w:cstheme="minorHAnsi"/>
        </w:rPr>
        <w:t xml:space="preserve"> process and the shifting reliance o</w:t>
      </w:r>
      <w:r w:rsidR="00640C90" w:rsidRPr="005F6151">
        <w:rPr>
          <w:rFonts w:cstheme="minorHAnsi"/>
        </w:rPr>
        <w:t>n</w:t>
      </w:r>
      <w:r w:rsidR="009A285F" w:rsidRPr="005F6151">
        <w:rPr>
          <w:rFonts w:cstheme="minorHAnsi"/>
        </w:rPr>
        <w:t xml:space="preserve"> </w:t>
      </w:r>
      <w:r w:rsidR="00843021" w:rsidRPr="005F6151">
        <w:rPr>
          <w:rFonts w:cstheme="minorHAnsi"/>
        </w:rPr>
        <w:t>evidence-based</w:t>
      </w:r>
      <w:r w:rsidR="009A285F" w:rsidRPr="005F6151">
        <w:rPr>
          <w:rFonts w:cstheme="minorHAnsi"/>
        </w:rPr>
        <w:t xml:space="preserve"> reform</w:t>
      </w:r>
      <w:r w:rsidR="00640C90" w:rsidRPr="005F6151">
        <w:rPr>
          <w:rFonts w:cstheme="minorHAnsi"/>
        </w:rPr>
        <w:t xml:space="preserve"> in lieu of publicly favoured punitive responses to domestic, family and sexual violence. </w:t>
      </w:r>
      <w:r w:rsidR="00732E53" w:rsidRPr="005F6151">
        <w:rPr>
          <w:rFonts w:cstheme="minorHAnsi"/>
        </w:rPr>
        <w:t>The article calls for a return to principle</w:t>
      </w:r>
      <w:r w:rsidR="00E02E43" w:rsidRPr="005F6151">
        <w:rPr>
          <w:rFonts w:cstheme="minorHAnsi"/>
        </w:rPr>
        <w:t>d</w:t>
      </w:r>
      <w:r w:rsidR="00732E53" w:rsidRPr="005F6151">
        <w:rPr>
          <w:rFonts w:cstheme="minorHAnsi"/>
        </w:rPr>
        <w:t xml:space="preserve"> policy making processes, underpinned by a commitment to delivering policy and practice that is seamless, accessible, fair and effective.  </w:t>
      </w:r>
    </w:p>
    <w:p w14:paraId="5DA9A1F9" w14:textId="25C5C9E8" w:rsidR="00797A70" w:rsidRPr="005F6151" w:rsidRDefault="00F656B0" w:rsidP="009436CC">
      <w:pPr>
        <w:pStyle w:val="Heading1"/>
      </w:pPr>
      <w:r w:rsidRPr="005F6151">
        <w:lastRenderedPageBreak/>
        <w:t xml:space="preserve">Introduction </w:t>
      </w:r>
    </w:p>
    <w:p w14:paraId="4C462129" w14:textId="77777777" w:rsidR="00E90391" w:rsidRDefault="00E90391" w:rsidP="005F6151">
      <w:pPr>
        <w:spacing w:line="360" w:lineRule="auto"/>
        <w:jc w:val="both"/>
        <w:rPr>
          <w:rFonts w:cstheme="minorHAnsi"/>
        </w:rPr>
      </w:pPr>
    </w:p>
    <w:p w14:paraId="667181B7" w14:textId="2D7DC047" w:rsidR="00941334" w:rsidRPr="005F6151" w:rsidRDefault="00941334" w:rsidP="005F6151">
      <w:pPr>
        <w:spacing w:line="360" w:lineRule="auto"/>
        <w:jc w:val="both"/>
        <w:rPr>
          <w:rFonts w:cstheme="minorHAnsi"/>
          <w:color w:val="FF0000"/>
        </w:rPr>
      </w:pPr>
      <w:r w:rsidRPr="005F6151">
        <w:rPr>
          <w:rFonts w:cstheme="minorHAnsi"/>
        </w:rPr>
        <w:t xml:space="preserve">In </w:t>
      </w:r>
      <w:r w:rsidR="006C792C" w:rsidRPr="005F6151">
        <w:rPr>
          <w:rFonts w:cstheme="minorHAnsi"/>
        </w:rPr>
        <w:t>April 2021,</w:t>
      </w:r>
      <w:r w:rsidRPr="005F6151">
        <w:rPr>
          <w:rFonts w:cstheme="minorHAnsi"/>
        </w:rPr>
        <w:t xml:space="preserve"> an Australian Government Inquiry recommended the </w:t>
      </w:r>
      <w:r w:rsidR="00247535" w:rsidRPr="005F6151">
        <w:rPr>
          <w:rFonts w:cstheme="minorHAnsi"/>
        </w:rPr>
        <w:t>Commonwealth</w:t>
      </w:r>
      <w:r w:rsidR="005D7DF9" w:rsidRPr="005F6151">
        <w:rPr>
          <w:rFonts w:cstheme="minorHAnsi"/>
        </w:rPr>
        <w:t xml:space="preserve"> </w:t>
      </w:r>
      <w:r w:rsidR="00F66620">
        <w:rPr>
          <w:rFonts w:cstheme="minorHAnsi"/>
        </w:rPr>
        <w:t>G</w:t>
      </w:r>
      <w:r w:rsidR="005D7DF9" w:rsidRPr="005F6151">
        <w:rPr>
          <w:rFonts w:cstheme="minorHAnsi"/>
        </w:rPr>
        <w:t xml:space="preserve">overnment </w:t>
      </w:r>
      <w:r w:rsidR="00BF29BE" w:rsidRPr="005F6151">
        <w:rPr>
          <w:rFonts w:cstheme="minorHAnsi"/>
        </w:rPr>
        <w:t xml:space="preserve">commission research to </w:t>
      </w:r>
      <w:r w:rsidR="005D7DF9" w:rsidRPr="005F6151">
        <w:rPr>
          <w:rFonts w:cstheme="minorHAnsi"/>
        </w:rPr>
        <w:t xml:space="preserve">explore the </w:t>
      </w:r>
      <w:r w:rsidR="00FD1416" w:rsidRPr="005F6151">
        <w:rPr>
          <w:rFonts w:cstheme="minorHAnsi"/>
        </w:rPr>
        <w:t xml:space="preserve">benefits </w:t>
      </w:r>
      <w:r w:rsidR="005D7DF9" w:rsidRPr="005F6151">
        <w:rPr>
          <w:rFonts w:cstheme="minorHAnsi"/>
        </w:rPr>
        <w:t>and risks of the introduction of a</w:t>
      </w:r>
      <w:r w:rsidRPr="005F6151">
        <w:rPr>
          <w:rFonts w:cstheme="minorHAnsi"/>
        </w:rPr>
        <w:t xml:space="preserve"> regis</w:t>
      </w:r>
      <w:r w:rsidR="006C792C" w:rsidRPr="005F6151">
        <w:rPr>
          <w:rFonts w:cstheme="minorHAnsi"/>
        </w:rPr>
        <w:t xml:space="preserve">ter of convicted domestic and </w:t>
      </w:r>
      <w:r w:rsidRPr="005F6151">
        <w:rPr>
          <w:rFonts w:cstheme="minorHAnsi"/>
        </w:rPr>
        <w:t xml:space="preserve">family </w:t>
      </w:r>
      <w:r w:rsidR="006C792C" w:rsidRPr="005F6151">
        <w:rPr>
          <w:rFonts w:cstheme="minorHAnsi"/>
        </w:rPr>
        <w:t xml:space="preserve">violence (DFV) </w:t>
      </w:r>
      <w:r w:rsidRPr="005F6151">
        <w:rPr>
          <w:rFonts w:cstheme="minorHAnsi"/>
        </w:rPr>
        <w:t>perpetrators</w:t>
      </w:r>
      <w:r w:rsidR="00C077B1" w:rsidRPr="005F6151">
        <w:rPr>
          <w:rFonts w:cstheme="minorHAnsi"/>
        </w:rPr>
        <w:t xml:space="preserve"> (</w:t>
      </w:r>
      <w:r w:rsidR="006510B1" w:rsidRPr="005F6151">
        <w:rPr>
          <w:rFonts w:cstheme="minorHAnsi"/>
        </w:rPr>
        <w:t>House of Representatives Standing Committee on Social Policy and Legal Affairs, 2021</w:t>
      </w:r>
      <w:r w:rsidR="00C077B1" w:rsidRPr="005F6151">
        <w:rPr>
          <w:rFonts w:cstheme="minorHAnsi"/>
        </w:rPr>
        <w:t>)</w:t>
      </w:r>
      <w:r w:rsidRPr="005F6151">
        <w:rPr>
          <w:rFonts w:cstheme="minorHAnsi"/>
        </w:rPr>
        <w:t xml:space="preserve">. </w:t>
      </w:r>
      <w:r w:rsidR="005D7DF9" w:rsidRPr="005F6151">
        <w:rPr>
          <w:rFonts w:cstheme="minorHAnsi"/>
        </w:rPr>
        <w:t>At the time of the Inquiry’s recommendation</w:t>
      </w:r>
      <w:r w:rsidR="00DA3BF4">
        <w:rPr>
          <w:rFonts w:cstheme="minorHAnsi"/>
        </w:rPr>
        <w:t>,</w:t>
      </w:r>
      <w:r w:rsidR="005D7DF9" w:rsidRPr="005F6151">
        <w:rPr>
          <w:rFonts w:cstheme="minorHAnsi"/>
        </w:rPr>
        <w:t xml:space="preserve"> only one Australian jurisdiction ha</w:t>
      </w:r>
      <w:r w:rsidR="006A1F74">
        <w:rPr>
          <w:rFonts w:cstheme="minorHAnsi"/>
        </w:rPr>
        <w:t>d</w:t>
      </w:r>
      <w:r w:rsidR="005D7DF9" w:rsidRPr="005F6151">
        <w:rPr>
          <w:rFonts w:cstheme="minorHAnsi"/>
        </w:rPr>
        <w:t xml:space="preserve"> </w:t>
      </w:r>
      <w:r w:rsidR="006C792C" w:rsidRPr="005F6151">
        <w:rPr>
          <w:rFonts w:cstheme="minorHAnsi"/>
        </w:rPr>
        <w:t>a</w:t>
      </w:r>
      <w:r w:rsidR="005D7DF9" w:rsidRPr="005F6151">
        <w:rPr>
          <w:rFonts w:cstheme="minorHAnsi"/>
        </w:rPr>
        <w:t xml:space="preserve"> domestic violence disclosure scheme (DVDS) </w:t>
      </w:r>
      <w:r w:rsidR="006C792C" w:rsidRPr="005F6151">
        <w:rPr>
          <w:rFonts w:cstheme="minorHAnsi"/>
        </w:rPr>
        <w:t xml:space="preserve">in operation </w:t>
      </w:r>
      <w:r w:rsidR="005D7DF9" w:rsidRPr="005F6151">
        <w:rPr>
          <w:rFonts w:cstheme="minorHAnsi"/>
        </w:rPr>
        <w:t>and no</w:t>
      </w:r>
      <w:r w:rsidR="00FC5772" w:rsidRPr="005F6151">
        <w:rPr>
          <w:rFonts w:cstheme="minorHAnsi"/>
        </w:rPr>
        <w:t xml:space="preserve"> Australian </w:t>
      </w:r>
      <w:r w:rsidR="005D7DF9" w:rsidRPr="005F6151">
        <w:rPr>
          <w:rFonts w:cstheme="minorHAnsi"/>
        </w:rPr>
        <w:t>state</w:t>
      </w:r>
      <w:r w:rsidR="00FC5772" w:rsidRPr="005F6151">
        <w:rPr>
          <w:rFonts w:cstheme="minorHAnsi"/>
        </w:rPr>
        <w:t xml:space="preserve"> or territory</w:t>
      </w:r>
      <w:r w:rsidR="00D0236F" w:rsidRPr="005F6151">
        <w:rPr>
          <w:rFonts w:cstheme="minorHAnsi"/>
        </w:rPr>
        <w:t xml:space="preserve"> ha</w:t>
      </w:r>
      <w:r w:rsidR="006A1F74">
        <w:rPr>
          <w:rFonts w:cstheme="minorHAnsi"/>
        </w:rPr>
        <w:t>d</w:t>
      </w:r>
      <w:r w:rsidR="00D0236F" w:rsidRPr="005F6151">
        <w:rPr>
          <w:rFonts w:cstheme="minorHAnsi"/>
        </w:rPr>
        <w:t xml:space="preserve"> a publicly accessible domestic violence perpetrator</w:t>
      </w:r>
      <w:r w:rsidR="005D7DF9" w:rsidRPr="005F6151">
        <w:rPr>
          <w:rFonts w:cstheme="minorHAnsi"/>
        </w:rPr>
        <w:t xml:space="preserve"> register. A public register</w:t>
      </w:r>
      <w:r w:rsidRPr="005F6151">
        <w:rPr>
          <w:rFonts w:cstheme="minorHAnsi"/>
        </w:rPr>
        <w:t>, if implemented, would represent a significant shift in the approach taken to achieving perpetrator accountability and better ensuring women’s safety</w:t>
      </w:r>
      <w:r w:rsidR="00464D17" w:rsidRPr="005F6151">
        <w:rPr>
          <w:rFonts w:cstheme="minorHAnsi"/>
        </w:rPr>
        <w:t xml:space="preserve"> in Australia</w:t>
      </w:r>
      <w:r w:rsidRPr="005F6151">
        <w:rPr>
          <w:rFonts w:cstheme="minorHAnsi"/>
        </w:rPr>
        <w:t xml:space="preserve">. </w:t>
      </w:r>
      <w:r w:rsidR="001F1D33" w:rsidRPr="005F6151">
        <w:rPr>
          <w:rFonts w:cstheme="minorHAnsi"/>
        </w:rPr>
        <w:t xml:space="preserve">Beyond representing a stark departure from current </w:t>
      </w:r>
      <w:r w:rsidR="006C792C" w:rsidRPr="005F6151">
        <w:rPr>
          <w:rFonts w:cstheme="minorHAnsi"/>
        </w:rPr>
        <w:t>DFV</w:t>
      </w:r>
      <w:r w:rsidR="001F1D33" w:rsidRPr="005F6151">
        <w:rPr>
          <w:rFonts w:cstheme="minorHAnsi"/>
        </w:rPr>
        <w:t xml:space="preserve"> policies and practices, this recommendation </w:t>
      </w:r>
      <w:r w:rsidR="00C008EE" w:rsidRPr="005F6151">
        <w:rPr>
          <w:rFonts w:cstheme="minorHAnsi"/>
        </w:rPr>
        <w:t xml:space="preserve">also presents an interesting case study through which to examine recent trends in the </w:t>
      </w:r>
      <w:r w:rsidR="00A81A56">
        <w:rPr>
          <w:rFonts w:cstheme="minorHAnsi"/>
        </w:rPr>
        <w:t>policy-making</w:t>
      </w:r>
      <w:r w:rsidR="00C008EE" w:rsidRPr="005F6151">
        <w:rPr>
          <w:rFonts w:cstheme="minorHAnsi"/>
        </w:rPr>
        <w:t xml:space="preserve"> process </w:t>
      </w:r>
      <w:r w:rsidR="00E46A0C" w:rsidRPr="005F6151">
        <w:rPr>
          <w:rFonts w:cstheme="minorHAnsi"/>
        </w:rPr>
        <w:t xml:space="preserve">for </w:t>
      </w:r>
      <w:r w:rsidR="00EF48EB" w:rsidRPr="005F6151">
        <w:rPr>
          <w:rFonts w:cstheme="minorHAnsi"/>
        </w:rPr>
        <w:t>DFV</w:t>
      </w:r>
      <w:r w:rsidR="00E46A0C" w:rsidRPr="005F6151">
        <w:rPr>
          <w:rFonts w:cstheme="minorHAnsi"/>
        </w:rPr>
        <w:t xml:space="preserve"> </w:t>
      </w:r>
      <w:r w:rsidR="00C008EE" w:rsidRPr="005F6151">
        <w:rPr>
          <w:rFonts w:cstheme="minorHAnsi"/>
        </w:rPr>
        <w:t xml:space="preserve">in Australia. </w:t>
      </w:r>
      <w:r w:rsidR="00865035" w:rsidRPr="005F6151">
        <w:rPr>
          <w:rFonts w:cstheme="minorHAnsi"/>
        </w:rPr>
        <w:t xml:space="preserve"> </w:t>
      </w:r>
    </w:p>
    <w:p w14:paraId="5EDF0FD1" w14:textId="2E6E9E9E" w:rsidR="00941334" w:rsidRPr="005F6151" w:rsidRDefault="00941334" w:rsidP="005F6151">
      <w:pPr>
        <w:spacing w:line="360" w:lineRule="auto"/>
        <w:jc w:val="both"/>
        <w:rPr>
          <w:rFonts w:cstheme="minorHAnsi"/>
        </w:rPr>
      </w:pPr>
    </w:p>
    <w:p w14:paraId="2D42CAD1" w14:textId="77A65A87" w:rsidR="002F2E2A" w:rsidRPr="005F6151" w:rsidRDefault="003C7D6F" w:rsidP="005F6151">
      <w:pPr>
        <w:spacing w:line="360" w:lineRule="auto"/>
        <w:jc w:val="both"/>
        <w:rPr>
          <w:rFonts w:cstheme="minorHAnsi"/>
        </w:rPr>
      </w:pPr>
      <w:r w:rsidRPr="005F6151">
        <w:rPr>
          <w:rFonts w:cstheme="minorHAnsi"/>
        </w:rPr>
        <w:t xml:space="preserve">The merits and limits of DVDS have been scrutinised elsewhere (see, inter alia, </w:t>
      </w:r>
      <w:r w:rsidR="00485614" w:rsidRPr="005F6151">
        <w:rPr>
          <w:rFonts w:cstheme="minorHAnsi"/>
        </w:rPr>
        <w:t xml:space="preserve">Duggan, 2019; </w:t>
      </w:r>
      <w:r w:rsidR="00A93BEE" w:rsidRPr="005F6151">
        <w:rPr>
          <w:rFonts w:cstheme="minorHAnsi"/>
        </w:rPr>
        <w:t xml:space="preserve">Duggan &amp; Grace, 2018; Fitz-Gibbon &amp; Walklate, 2017; </w:t>
      </w:r>
      <w:r w:rsidR="00C70991" w:rsidRPr="005F6151">
        <w:rPr>
          <w:rFonts w:cstheme="minorHAnsi"/>
        </w:rPr>
        <w:t xml:space="preserve">Greene &amp; O’Leary, 2018; </w:t>
      </w:r>
      <w:proofErr w:type="spellStart"/>
      <w:r w:rsidR="00523F0C" w:rsidRPr="005F6151">
        <w:rPr>
          <w:rFonts w:cstheme="minorHAnsi"/>
        </w:rPr>
        <w:t>Hadjimatheou</w:t>
      </w:r>
      <w:proofErr w:type="spellEnd"/>
      <w:r w:rsidR="00523F0C" w:rsidRPr="005F6151">
        <w:rPr>
          <w:rFonts w:cstheme="minorHAnsi"/>
        </w:rPr>
        <w:t>, 2022</w:t>
      </w:r>
      <w:r w:rsidRPr="005F6151">
        <w:rPr>
          <w:rFonts w:cstheme="minorHAnsi"/>
        </w:rPr>
        <w:t>), as have the risks and benefits of public registers</w:t>
      </w:r>
      <w:r w:rsidR="00EB60F2" w:rsidRPr="005F6151">
        <w:rPr>
          <w:rFonts w:cstheme="minorHAnsi"/>
        </w:rPr>
        <w:t xml:space="preserve"> for </w:t>
      </w:r>
      <w:r w:rsidR="00203C0D" w:rsidRPr="005F6151">
        <w:rPr>
          <w:rFonts w:cstheme="minorHAnsi"/>
        </w:rPr>
        <w:t>DFV</w:t>
      </w:r>
      <w:r w:rsidR="00EB60F2" w:rsidRPr="005F6151">
        <w:rPr>
          <w:rFonts w:cstheme="minorHAnsi"/>
        </w:rPr>
        <w:t xml:space="preserve"> offenders</w:t>
      </w:r>
      <w:r w:rsidRPr="005F6151">
        <w:rPr>
          <w:rFonts w:cstheme="minorHAnsi"/>
        </w:rPr>
        <w:t xml:space="preserve"> (</w:t>
      </w:r>
      <w:r w:rsidR="00E11DE8" w:rsidRPr="005F6151">
        <w:rPr>
          <w:rFonts w:cstheme="minorHAnsi"/>
        </w:rPr>
        <w:t>Young, 2011</w:t>
      </w:r>
      <w:r w:rsidRPr="005F6151">
        <w:rPr>
          <w:rFonts w:cstheme="minorHAnsi"/>
        </w:rPr>
        <w:t>)</w:t>
      </w:r>
      <w:r w:rsidR="007F42B3" w:rsidRPr="005F6151">
        <w:rPr>
          <w:rFonts w:cstheme="minorHAnsi"/>
        </w:rPr>
        <w:t>.</w:t>
      </w:r>
      <w:r w:rsidRPr="005F6151">
        <w:rPr>
          <w:rFonts w:cstheme="minorHAnsi"/>
        </w:rPr>
        <w:t xml:space="preserve"> </w:t>
      </w:r>
      <w:r w:rsidR="007F42B3" w:rsidRPr="005F6151">
        <w:rPr>
          <w:rFonts w:cstheme="minorHAnsi"/>
        </w:rPr>
        <w:t>W</w:t>
      </w:r>
      <w:r w:rsidRPr="005F6151">
        <w:rPr>
          <w:rFonts w:cstheme="minorHAnsi"/>
        </w:rPr>
        <w:t xml:space="preserve">hat this article seeks to do </w:t>
      </w:r>
      <w:r w:rsidR="00DA7AB7" w:rsidRPr="005F6151">
        <w:rPr>
          <w:rFonts w:cstheme="minorHAnsi"/>
        </w:rPr>
        <w:t xml:space="preserve">is to </w:t>
      </w:r>
      <w:r w:rsidRPr="005F6151">
        <w:rPr>
          <w:rFonts w:cstheme="minorHAnsi"/>
        </w:rPr>
        <w:t xml:space="preserve">contribute to </w:t>
      </w:r>
      <w:r w:rsidR="0081743F">
        <w:rPr>
          <w:rFonts w:cstheme="minorHAnsi"/>
        </w:rPr>
        <w:t xml:space="preserve">a </w:t>
      </w:r>
      <w:r w:rsidRPr="005F6151">
        <w:rPr>
          <w:rFonts w:cstheme="minorHAnsi"/>
        </w:rPr>
        <w:t xml:space="preserve">better understanding </w:t>
      </w:r>
      <w:r w:rsidR="0081743F">
        <w:rPr>
          <w:rFonts w:cstheme="minorHAnsi"/>
        </w:rPr>
        <w:t xml:space="preserve">of </w:t>
      </w:r>
      <w:r w:rsidRPr="005F6151">
        <w:rPr>
          <w:rFonts w:cstheme="minorHAnsi"/>
        </w:rPr>
        <w:t xml:space="preserve">the </w:t>
      </w:r>
      <w:r w:rsidR="00A81A56">
        <w:rPr>
          <w:rFonts w:cstheme="minorHAnsi"/>
          <w:i/>
          <w:iCs/>
        </w:rPr>
        <w:t>policy-making</w:t>
      </w:r>
      <w:r w:rsidRPr="005F6151">
        <w:rPr>
          <w:rFonts w:cstheme="minorHAnsi"/>
          <w:i/>
          <w:iCs/>
        </w:rPr>
        <w:t xml:space="preserve"> process</w:t>
      </w:r>
      <w:r w:rsidR="00645B5F" w:rsidRPr="005F6151">
        <w:rPr>
          <w:rFonts w:cstheme="minorHAnsi"/>
        </w:rPr>
        <w:t xml:space="preserve"> in Australia</w:t>
      </w:r>
      <w:r w:rsidR="00A81A56">
        <w:rPr>
          <w:rFonts w:cstheme="minorHAnsi"/>
        </w:rPr>
        <w:t>,</w:t>
      </w:r>
      <w:r w:rsidRPr="005F6151">
        <w:rPr>
          <w:rFonts w:cstheme="minorHAnsi"/>
        </w:rPr>
        <w:t xml:space="preserve"> utilising </w:t>
      </w:r>
      <w:r w:rsidR="00DD34DE" w:rsidRPr="005F6151">
        <w:rPr>
          <w:rFonts w:cstheme="minorHAnsi"/>
        </w:rPr>
        <w:t>the DVDS and perpetrator registers</w:t>
      </w:r>
      <w:r w:rsidRPr="005F6151">
        <w:rPr>
          <w:rFonts w:cstheme="minorHAnsi"/>
        </w:rPr>
        <w:t xml:space="preserve"> as case study examples. </w:t>
      </w:r>
      <w:r w:rsidR="00DA7AB7" w:rsidRPr="005F6151">
        <w:rPr>
          <w:rFonts w:cstheme="minorHAnsi"/>
        </w:rPr>
        <w:t xml:space="preserve">In doing so, it builds on previous analysis by Walklate and Fitz-Gibbon (2018) on the violence(s) of </w:t>
      </w:r>
      <w:r w:rsidR="00E971C4">
        <w:rPr>
          <w:rFonts w:cstheme="minorHAnsi"/>
        </w:rPr>
        <w:t>‘</w:t>
      </w:r>
      <w:r w:rsidR="00DA7AB7" w:rsidRPr="005F6151">
        <w:rPr>
          <w:rFonts w:cstheme="minorHAnsi"/>
        </w:rPr>
        <w:t>northern theorising</w:t>
      </w:r>
      <w:r w:rsidR="00E971C4">
        <w:rPr>
          <w:rFonts w:cstheme="minorHAnsi"/>
        </w:rPr>
        <w:t>’</w:t>
      </w:r>
      <w:r w:rsidR="00DA7AB7" w:rsidRPr="005F6151">
        <w:rPr>
          <w:rFonts w:cstheme="minorHAnsi"/>
        </w:rPr>
        <w:t xml:space="preserve"> and the policy transfer process in relation to violence against women</w:t>
      </w:r>
      <w:r w:rsidR="0000555D">
        <w:rPr>
          <w:rFonts w:cstheme="minorHAnsi"/>
        </w:rPr>
        <w:t xml:space="preserve"> in the global south</w:t>
      </w:r>
      <w:r w:rsidR="00DA7AB7" w:rsidRPr="005F6151">
        <w:rPr>
          <w:rFonts w:cstheme="minorHAnsi"/>
        </w:rPr>
        <w:t xml:space="preserve">. </w:t>
      </w:r>
    </w:p>
    <w:p w14:paraId="1621F5C7" w14:textId="77777777" w:rsidR="002F2E2A" w:rsidRPr="005F6151" w:rsidRDefault="002F2E2A" w:rsidP="005F6151">
      <w:pPr>
        <w:spacing w:line="360" w:lineRule="auto"/>
        <w:jc w:val="both"/>
        <w:rPr>
          <w:rFonts w:cstheme="minorHAnsi"/>
        </w:rPr>
      </w:pPr>
    </w:p>
    <w:p w14:paraId="25052B9F" w14:textId="55A56748" w:rsidR="00745E6D" w:rsidRPr="005F6151" w:rsidRDefault="003C7D6F" w:rsidP="005F6151">
      <w:pPr>
        <w:spacing w:line="360" w:lineRule="auto"/>
        <w:jc w:val="both"/>
        <w:rPr>
          <w:rFonts w:cstheme="minorHAnsi"/>
        </w:rPr>
      </w:pPr>
      <w:r w:rsidRPr="005F6151">
        <w:rPr>
          <w:rFonts w:cstheme="minorHAnsi"/>
        </w:rPr>
        <w:t>Specifically, t</w:t>
      </w:r>
      <w:r w:rsidR="00941334" w:rsidRPr="005F6151">
        <w:rPr>
          <w:rFonts w:cstheme="minorHAnsi"/>
        </w:rPr>
        <w:t>his article traces the decade leading up to th</w:t>
      </w:r>
      <w:r w:rsidR="00645B5F" w:rsidRPr="005F6151">
        <w:rPr>
          <w:rFonts w:cstheme="minorHAnsi"/>
        </w:rPr>
        <w:t>e</w:t>
      </w:r>
      <w:r w:rsidR="00941334" w:rsidRPr="005F6151">
        <w:rPr>
          <w:rFonts w:cstheme="minorHAnsi"/>
        </w:rPr>
        <w:t xml:space="preserve"> recommendation </w:t>
      </w:r>
      <w:r w:rsidR="00645B5F" w:rsidRPr="005F6151">
        <w:rPr>
          <w:rFonts w:cstheme="minorHAnsi"/>
        </w:rPr>
        <w:t xml:space="preserve">cited above </w:t>
      </w:r>
      <w:r w:rsidR="00941334" w:rsidRPr="005F6151">
        <w:rPr>
          <w:rFonts w:cstheme="minorHAnsi"/>
        </w:rPr>
        <w:t xml:space="preserve">and the significant variance in policy and practice across Australian state and territory jurisdictions. To do so, it </w:t>
      </w:r>
      <w:r w:rsidR="00220104" w:rsidRPr="005F6151">
        <w:rPr>
          <w:rFonts w:cstheme="minorHAnsi"/>
        </w:rPr>
        <w:t>offers a critical analysis of</w:t>
      </w:r>
      <w:r w:rsidR="00941334" w:rsidRPr="005F6151">
        <w:rPr>
          <w:rFonts w:cstheme="minorHAnsi"/>
        </w:rPr>
        <w:t xml:space="preserve"> the outcomes of two major </w:t>
      </w:r>
      <w:r w:rsidR="00C85D66">
        <w:rPr>
          <w:rFonts w:cstheme="minorHAnsi"/>
        </w:rPr>
        <w:t>state-level</w:t>
      </w:r>
      <w:r w:rsidR="00941334" w:rsidRPr="005F6151">
        <w:rPr>
          <w:rFonts w:cstheme="minorHAnsi"/>
        </w:rPr>
        <w:t xml:space="preserve"> inquiries, which did not recommend the introduction of a DVDS or a public offender register. These case studies are presented alongside a contrasting case study of two other Australian states </w:t>
      </w:r>
      <w:r w:rsidR="008C6845">
        <w:rPr>
          <w:rFonts w:cstheme="minorHAnsi"/>
        </w:rPr>
        <w:t>which</w:t>
      </w:r>
      <w:r w:rsidR="007F42B3" w:rsidRPr="005F6151">
        <w:rPr>
          <w:rFonts w:cstheme="minorHAnsi"/>
        </w:rPr>
        <w:t>,</w:t>
      </w:r>
      <w:r w:rsidR="00941334" w:rsidRPr="005F6151">
        <w:rPr>
          <w:rFonts w:cstheme="minorHAnsi"/>
        </w:rPr>
        <w:t xml:space="preserve"> </w:t>
      </w:r>
      <w:r w:rsidR="007241B8" w:rsidRPr="005F6151">
        <w:rPr>
          <w:rFonts w:cstheme="minorHAnsi"/>
        </w:rPr>
        <w:t>in the same five-year period</w:t>
      </w:r>
      <w:r w:rsidR="007F42B3" w:rsidRPr="005F6151">
        <w:rPr>
          <w:rFonts w:cstheme="minorHAnsi"/>
        </w:rPr>
        <w:t>,</w:t>
      </w:r>
      <w:r w:rsidR="00941334" w:rsidRPr="005F6151">
        <w:rPr>
          <w:rFonts w:cstheme="minorHAnsi"/>
        </w:rPr>
        <w:t xml:space="preserve"> adopted </w:t>
      </w:r>
      <w:r w:rsidR="00C85D66">
        <w:rPr>
          <w:rFonts w:cstheme="minorHAnsi"/>
        </w:rPr>
        <w:t xml:space="preserve">a </w:t>
      </w:r>
      <w:r w:rsidR="00941334" w:rsidRPr="005F6151">
        <w:rPr>
          <w:rFonts w:cstheme="minorHAnsi"/>
        </w:rPr>
        <w:t>DVDS with the stated objective of improving women’s safety through the provision of greater information about perpetrator histories and risk. The analysis draws together these case studies to question how the</w:t>
      </w:r>
      <w:r w:rsidR="00220104" w:rsidRPr="005F6151">
        <w:rPr>
          <w:rFonts w:cstheme="minorHAnsi"/>
        </w:rPr>
        <w:t xml:space="preserve"> </w:t>
      </w:r>
      <w:r w:rsidR="00A749A0">
        <w:rPr>
          <w:rFonts w:cstheme="minorHAnsi"/>
        </w:rPr>
        <w:t>national-level</w:t>
      </w:r>
      <w:r w:rsidR="00941334" w:rsidRPr="005F6151">
        <w:rPr>
          <w:rFonts w:cstheme="minorHAnsi"/>
        </w:rPr>
        <w:t xml:space="preserve"> inquir</w:t>
      </w:r>
      <w:r w:rsidR="00D07F44">
        <w:rPr>
          <w:rFonts w:cstheme="minorHAnsi"/>
        </w:rPr>
        <w:t>y</w:t>
      </w:r>
      <w:r w:rsidR="00941334" w:rsidRPr="005F6151">
        <w:rPr>
          <w:rFonts w:cstheme="minorHAnsi"/>
        </w:rPr>
        <w:t xml:space="preserve"> arrived at </w:t>
      </w:r>
      <w:r w:rsidR="00D07F44">
        <w:rPr>
          <w:rFonts w:cstheme="minorHAnsi"/>
        </w:rPr>
        <w:t>its</w:t>
      </w:r>
      <w:r w:rsidR="00941334" w:rsidRPr="005F6151">
        <w:rPr>
          <w:rFonts w:cstheme="minorHAnsi"/>
        </w:rPr>
        <w:t xml:space="preserve"> recommendation in light of the relative lack of evidence of the effectiveness of DVDS</w:t>
      </w:r>
      <w:r w:rsidR="00A749A0">
        <w:rPr>
          <w:rFonts w:cstheme="minorHAnsi"/>
        </w:rPr>
        <w:t>s</w:t>
      </w:r>
      <w:r w:rsidR="00941334" w:rsidRPr="005F6151">
        <w:rPr>
          <w:rFonts w:cstheme="minorHAnsi"/>
        </w:rPr>
        <w:t xml:space="preserve"> in Australia</w:t>
      </w:r>
      <w:r w:rsidR="006B6CFD" w:rsidRPr="005F6151">
        <w:rPr>
          <w:rFonts w:cstheme="minorHAnsi"/>
        </w:rPr>
        <w:t xml:space="preserve"> or elsewhere,</w:t>
      </w:r>
      <w:r w:rsidR="00941334" w:rsidRPr="005F6151">
        <w:rPr>
          <w:rFonts w:cstheme="minorHAnsi"/>
        </w:rPr>
        <w:t xml:space="preserve"> </w:t>
      </w:r>
      <w:r w:rsidR="006B6CFD" w:rsidRPr="005F6151">
        <w:rPr>
          <w:rFonts w:cstheme="minorHAnsi"/>
        </w:rPr>
        <w:t xml:space="preserve">and the </w:t>
      </w:r>
      <w:r w:rsidR="006B6CFD" w:rsidRPr="005F6151">
        <w:rPr>
          <w:rFonts w:cstheme="minorHAnsi"/>
        </w:rPr>
        <w:lastRenderedPageBreak/>
        <w:t>limited</w:t>
      </w:r>
      <w:r w:rsidR="00941334" w:rsidRPr="005F6151">
        <w:rPr>
          <w:rFonts w:cstheme="minorHAnsi"/>
        </w:rPr>
        <w:t xml:space="preserve"> advocacy in support of this</w:t>
      </w:r>
      <w:r w:rsidR="00220104" w:rsidRPr="005F6151">
        <w:rPr>
          <w:rFonts w:cstheme="minorHAnsi"/>
        </w:rPr>
        <w:t xml:space="preserve"> policy</w:t>
      </w:r>
      <w:r w:rsidR="00941334" w:rsidRPr="005F6151">
        <w:rPr>
          <w:rFonts w:cstheme="minorHAnsi"/>
        </w:rPr>
        <w:t xml:space="preserve">.  The Australian experience presents valuable learning on the policy making process and the shifting reliance on evidence-based reform in lieu of publicly favoured punitive responses to domestic, family and sexual violence. </w:t>
      </w:r>
      <w:r w:rsidR="00566393" w:rsidRPr="005F6151">
        <w:rPr>
          <w:rFonts w:cstheme="minorHAnsi"/>
        </w:rPr>
        <w:t>The discussion and conclusion call for a retur</w:t>
      </w:r>
      <w:r w:rsidR="00220104" w:rsidRPr="005F6151">
        <w:rPr>
          <w:rFonts w:cstheme="minorHAnsi"/>
        </w:rPr>
        <w:t>n</w:t>
      </w:r>
      <w:r w:rsidR="00566393" w:rsidRPr="005F6151">
        <w:rPr>
          <w:rFonts w:cstheme="minorHAnsi"/>
        </w:rPr>
        <w:t xml:space="preserve"> to </w:t>
      </w:r>
      <w:r w:rsidR="00220104" w:rsidRPr="005F6151">
        <w:rPr>
          <w:rFonts w:cstheme="minorHAnsi"/>
        </w:rPr>
        <w:t xml:space="preserve">a </w:t>
      </w:r>
      <w:r w:rsidR="00566393" w:rsidRPr="005F6151">
        <w:rPr>
          <w:rFonts w:cstheme="minorHAnsi"/>
        </w:rPr>
        <w:t>principle</w:t>
      </w:r>
      <w:r w:rsidR="00D94D2F" w:rsidRPr="005F6151">
        <w:rPr>
          <w:rFonts w:cstheme="minorHAnsi"/>
        </w:rPr>
        <w:t>d</w:t>
      </w:r>
      <w:r w:rsidR="00566393" w:rsidRPr="005F6151">
        <w:rPr>
          <w:rFonts w:cstheme="minorHAnsi"/>
        </w:rPr>
        <w:t xml:space="preserve"> policy making processes, underpinned by a commitment to delivering policy and practice that is seamless, accessible, fair and effective</w:t>
      </w:r>
      <w:r w:rsidR="00F969A6" w:rsidRPr="005F6151">
        <w:rPr>
          <w:rFonts w:cstheme="minorHAnsi"/>
        </w:rPr>
        <w:t xml:space="preserve">. Put </w:t>
      </w:r>
      <w:r w:rsidR="00E9661B" w:rsidRPr="005F6151">
        <w:rPr>
          <w:rFonts w:cstheme="minorHAnsi"/>
        </w:rPr>
        <w:t xml:space="preserve">more </w:t>
      </w:r>
      <w:r w:rsidR="00F969A6" w:rsidRPr="005F6151">
        <w:rPr>
          <w:rFonts w:cstheme="minorHAnsi"/>
        </w:rPr>
        <w:t>simply</w:t>
      </w:r>
      <w:r w:rsidR="00E9661B" w:rsidRPr="005F6151">
        <w:rPr>
          <w:rFonts w:cstheme="minorHAnsi"/>
        </w:rPr>
        <w:t xml:space="preserve"> and </w:t>
      </w:r>
      <w:r w:rsidR="00B441C0" w:rsidRPr="005F6151">
        <w:rPr>
          <w:rFonts w:cstheme="minorHAnsi"/>
        </w:rPr>
        <w:t>succinctly</w:t>
      </w:r>
      <w:r w:rsidR="00F969A6" w:rsidRPr="005F6151">
        <w:rPr>
          <w:rFonts w:cstheme="minorHAnsi"/>
        </w:rPr>
        <w:t>;</w:t>
      </w:r>
      <w:r w:rsidR="00B441C0" w:rsidRPr="005F6151">
        <w:rPr>
          <w:rFonts w:cstheme="minorHAnsi"/>
        </w:rPr>
        <w:t xml:space="preserve"> in order for policies to work they need to be</w:t>
      </w:r>
      <w:r w:rsidR="00F969A6" w:rsidRPr="005F6151">
        <w:rPr>
          <w:rFonts w:cstheme="minorHAnsi"/>
        </w:rPr>
        <w:t xml:space="preserve"> evidence-based.</w:t>
      </w:r>
    </w:p>
    <w:p w14:paraId="5934CD1D" w14:textId="77777777" w:rsidR="00941334" w:rsidRPr="005F6151" w:rsidRDefault="00941334" w:rsidP="005F6151">
      <w:pPr>
        <w:spacing w:line="360" w:lineRule="auto"/>
        <w:jc w:val="both"/>
        <w:rPr>
          <w:rFonts w:cstheme="minorHAnsi"/>
          <w:b/>
          <w:bCs/>
        </w:rPr>
      </w:pPr>
    </w:p>
    <w:p w14:paraId="579B6C51" w14:textId="392A8BFB" w:rsidR="00A7239F" w:rsidRPr="005F6151" w:rsidRDefault="00A7239F" w:rsidP="00AB1CF0">
      <w:pPr>
        <w:pStyle w:val="Heading1"/>
      </w:pPr>
      <w:r w:rsidRPr="005F6151">
        <w:t xml:space="preserve">Domestic and family violence policy in Australia </w:t>
      </w:r>
    </w:p>
    <w:p w14:paraId="75B14A56" w14:textId="77777777" w:rsidR="00E90391" w:rsidRDefault="00E90391" w:rsidP="005F6151">
      <w:pPr>
        <w:spacing w:line="360" w:lineRule="auto"/>
        <w:jc w:val="both"/>
        <w:rPr>
          <w:rFonts w:cstheme="minorHAnsi"/>
          <w:color w:val="000000" w:themeColor="text1"/>
        </w:rPr>
      </w:pPr>
    </w:p>
    <w:p w14:paraId="58FD7F55" w14:textId="746E57A5" w:rsidR="0001295E" w:rsidRPr="005F6151" w:rsidRDefault="00E74FFD" w:rsidP="005F6151">
      <w:pPr>
        <w:spacing w:line="360" w:lineRule="auto"/>
        <w:jc w:val="both"/>
        <w:rPr>
          <w:rFonts w:cstheme="minorHAnsi"/>
        </w:rPr>
      </w:pPr>
      <w:r w:rsidRPr="005F6151">
        <w:rPr>
          <w:rFonts w:cstheme="minorHAnsi"/>
          <w:color w:val="000000" w:themeColor="text1"/>
        </w:rPr>
        <w:t>The last decade has seen unprecedented policy attention paid to</w:t>
      </w:r>
      <w:r w:rsidR="00A50464" w:rsidRPr="005F6151">
        <w:rPr>
          <w:rFonts w:cstheme="minorHAnsi"/>
          <w:color w:val="000000" w:themeColor="text1"/>
        </w:rPr>
        <w:t xml:space="preserve"> the issue of</w:t>
      </w:r>
      <w:r w:rsidRPr="005F6151">
        <w:rPr>
          <w:rFonts w:cstheme="minorHAnsi"/>
          <w:color w:val="000000" w:themeColor="text1"/>
        </w:rPr>
        <w:t xml:space="preserve"> DFV in Australia</w:t>
      </w:r>
      <w:r w:rsidR="00C6584D" w:rsidRPr="005F6151">
        <w:rPr>
          <w:rFonts w:cstheme="minorHAnsi"/>
          <w:color w:val="000000" w:themeColor="text1"/>
        </w:rPr>
        <w:t xml:space="preserve"> (Fitz-Gibbon, 2021)</w:t>
      </w:r>
      <w:r w:rsidRPr="005F6151">
        <w:rPr>
          <w:rFonts w:cstheme="minorHAnsi"/>
          <w:color w:val="000000" w:themeColor="text1"/>
        </w:rPr>
        <w:t xml:space="preserve">. </w:t>
      </w:r>
      <w:r w:rsidR="009E39C3" w:rsidRPr="005F6151">
        <w:rPr>
          <w:rFonts w:cstheme="minorHAnsi"/>
          <w:color w:val="000000" w:themeColor="text1"/>
        </w:rPr>
        <w:t xml:space="preserve">Importantly, </w:t>
      </w:r>
      <w:r w:rsidR="00664CC5" w:rsidRPr="005F6151">
        <w:rPr>
          <w:rFonts w:cstheme="minorHAnsi"/>
          <w:color w:val="000000" w:themeColor="text1"/>
        </w:rPr>
        <w:t xml:space="preserve">the policy approach appears to have consolidated the previously observed tension </w:t>
      </w:r>
      <w:r w:rsidR="00E24DDA" w:rsidRPr="005F6151">
        <w:rPr>
          <w:rFonts w:cstheme="minorHAnsi"/>
          <w:color w:val="000000" w:themeColor="text1"/>
        </w:rPr>
        <w:t>between a gendered and</w:t>
      </w:r>
      <w:r w:rsidR="0073158F">
        <w:rPr>
          <w:rFonts w:cstheme="minorHAnsi"/>
          <w:color w:val="000000" w:themeColor="text1"/>
        </w:rPr>
        <w:t xml:space="preserve"> no</w:t>
      </w:r>
      <w:r w:rsidR="00E24DDA" w:rsidRPr="005F6151">
        <w:rPr>
          <w:rFonts w:cstheme="minorHAnsi"/>
          <w:color w:val="000000" w:themeColor="text1"/>
        </w:rPr>
        <w:t>n</w:t>
      </w:r>
      <w:r w:rsidR="0073158F">
        <w:rPr>
          <w:rFonts w:cstheme="minorHAnsi"/>
          <w:color w:val="000000" w:themeColor="text1"/>
        </w:rPr>
        <w:t>-</w:t>
      </w:r>
      <w:r w:rsidR="00E24DDA" w:rsidRPr="005F6151">
        <w:rPr>
          <w:rFonts w:cstheme="minorHAnsi"/>
          <w:color w:val="000000" w:themeColor="text1"/>
        </w:rPr>
        <w:t xml:space="preserve">gendered framing of DFV (Murray &amp; Powell, 2009), at least at the federal level. </w:t>
      </w:r>
      <w:r w:rsidR="00BE415B" w:rsidRPr="005F6151">
        <w:rPr>
          <w:rFonts w:cstheme="minorHAnsi"/>
          <w:color w:val="000000" w:themeColor="text1"/>
        </w:rPr>
        <w:t xml:space="preserve">There has been extensive activity </w:t>
      </w:r>
      <w:r w:rsidR="001A6B1E" w:rsidRPr="005F6151">
        <w:rPr>
          <w:rFonts w:cstheme="minorHAnsi"/>
          <w:color w:val="000000" w:themeColor="text1"/>
        </w:rPr>
        <w:t xml:space="preserve">nationally </w:t>
      </w:r>
      <w:r w:rsidR="00624534" w:rsidRPr="005F6151">
        <w:rPr>
          <w:rFonts w:cstheme="minorHAnsi"/>
          <w:color w:val="000000" w:themeColor="text1"/>
        </w:rPr>
        <w:t xml:space="preserve">as part of the commitment to deliver </w:t>
      </w:r>
      <w:r w:rsidR="001A6B1E" w:rsidRPr="005F6151">
        <w:rPr>
          <w:rFonts w:cstheme="minorHAnsi"/>
          <w:color w:val="000000" w:themeColor="text1"/>
        </w:rPr>
        <w:t xml:space="preserve">Australia’s first </w:t>
      </w:r>
      <w:r w:rsidR="007E6CF5" w:rsidRPr="005F6151">
        <w:rPr>
          <w:rFonts w:cstheme="minorHAnsi"/>
          <w:i/>
          <w:color w:val="000000" w:themeColor="text1"/>
        </w:rPr>
        <w:t>National</w:t>
      </w:r>
      <w:r w:rsidR="001A6B1E" w:rsidRPr="005F6151">
        <w:rPr>
          <w:rFonts w:cstheme="minorHAnsi"/>
          <w:i/>
          <w:color w:val="000000" w:themeColor="text1"/>
        </w:rPr>
        <w:t xml:space="preserve"> Plan to Reduce Violence against Women and </w:t>
      </w:r>
      <w:r w:rsidR="007E6CF5" w:rsidRPr="005F6151">
        <w:rPr>
          <w:rFonts w:cstheme="minorHAnsi"/>
          <w:i/>
          <w:color w:val="000000" w:themeColor="text1"/>
        </w:rPr>
        <w:t>their Children 2010-2022</w:t>
      </w:r>
      <w:r w:rsidR="007E6CF5" w:rsidRPr="005F6151">
        <w:rPr>
          <w:rFonts w:cstheme="minorHAnsi"/>
          <w:color w:val="000000" w:themeColor="text1"/>
        </w:rPr>
        <w:t xml:space="preserve"> (COAG</w:t>
      </w:r>
      <w:r w:rsidR="001A6B1E" w:rsidRPr="005F6151">
        <w:rPr>
          <w:rFonts w:cstheme="minorHAnsi"/>
          <w:color w:val="000000" w:themeColor="text1"/>
        </w:rPr>
        <w:t>,</w:t>
      </w:r>
      <w:r w:rsidR="00834845" w:rsidRPr="005F6151">
        <w:rPr>
          <w:rFonts w:cstheme="minorHAnsi"/>
          <w:color w:val="000000" w:themeColor="text1"/>
        </w:rPr>
        <w:t xml:space="preserve"> 2010) and </w:t>
      </w:r>
      <w:r w:rsidR="00A60307" w:rsidRPr="005F6151">
        <w:rPr>
          <w:rFonts w:cstheme="minorHAnsi"/>
          <w:color w:val="000000" w:themeColor="text1"/>
        </w:rPr>
        <w:t>the</w:t>
      </w:r>
      <w:r w:rsidR="00624534" w:rsidRPr="005F6151">
        <w:rPr>
          <w:rFonts w:cstheme="minorHAnsi"/>
          <w:color w:val="000000" w:themeColor="text1"/>
        </w:rPr>
        <w:t xml:space="preserve"> areas of action</w:t>
      </w:r>
      <w:r w:rsidR="00A60307" w:rsidRPr="005F6151">
        <w:rPr>
          <w:rFonts w:cstheme="minorHAnsi"/>
          <w:color w:val="000000" w:themeColor="text1"/>
        </w:rPr>
        <w:t xml:space="preserve"> </w:t>
      </w:r>
      <w:r w:rsidR="00624534" w:rsidRPr="005F6151">
        <w:rPr>
          <w:rFonts w:cstheme="minorHAnsi"/>
          <w:color w:val="000000" w:themeColor="text1"/>
        </w:rPr>
        <w:t>established by the</w:t>
      </w:r>
      <w:r w:rsidR="00A60307" w:rsidRPr="005F6151">
        <w:rPr>
          <w:rFonts w:cstheme="minorHAnsi"/>
          <w:color w:val="000000" w:themeColor="text1"/>
        </w:rPr>
        <w:t xml:space="preserve"> Council of Australian Governments (COAG) advisory panel on </w:t>
      </w:r>
      <w:r w:rsidR="00381093">
        <w:rPr>
          <w:rFonts w:cstheme="minorHAnsi"/>
          <w:color w:val="000000" w:themeColor="text1"/>
        </w:rPr>
        <w:t xml:space="preserve">reducing </w:t>
      </w:r>
      <w:r w:rsidR="00A60307" w:rsidRPr="005F6151">
        <w:rPr>
          <w:rFonts w:cstheme="minorHAnsi"/>
          <w:color w:val="000000" w:themeColor="text1"/>
        </w:rPr>
        <w:t xml:space="preserve">violence against women (see </w:t>
      </w:r>
      <w:r w:rsidR="00A60307" w:rsidRPr="00E06F30">
        <w:rPr>
          <w:rFonts w:cstheme="minorHAnsi"/>
          <w:color w:val="000000" w:themeColor="text1"/>
        </w:rPr>
        <w:t>COAG,</w:t>
      </w:r>
      <w:r w:rsidR="00624534" w:rsidRPr="00E06F30">
        <w:rPr>
          <w:rFonts w:cstheme="minorHAnsi"/>
          <w:color w:val="000000" w:themeColor="text1"/>
        </w:rPr>
        <w:t xml:space="preserve"> 2016</w:t>
      </w:r>
      <w:r w:rsidR="00624534" w:rsidRPr="005F6151">
        <w:rPr>
          <w:rFonts w:cstheme="minorHAnsi"/>
          <w:color w:val="000000" w:themeColor="text1"/>
        </w:rPr>
        <w:t xml:space="preserve">). </w:t>
      </w:r>
      <w:r w:rsidR="00054F3F" w:rsidRPr="005F6151">
        <w:rPr>
          <w:rFonts w:cstheme="minorHAnsi"/>
          <w:color w:val="000000" w:themeColor="text1"/>
        </w:rPr>
        <w:t xml:space="preserve">States and </w:t>
      </w:r>
      <w:r w:rsidR="009F7DBA" w:rsidRPr="005F6151">
        <w:rPr>
          <w:rFonts w:cstheme="minorHAnsi"/>
          <w:color w:val="000000" w:themeColor="text1"/>
        </w:rPr>
        <w:t>territories</w:t>
      </w:r>
      <w:r w:rsidR="00054F3F" w:rsidRPr="005F6151">
        <w:rPr>
          <w:rFonts w:cstheme="minorHAnsi"/>
          <w:color w:val="000000" w:themeColor="text1"/>
        </w:rPr>
        <w:t xml:space="preserve"> have played a large </w:t>
      </w:r>
      <w:r w:rsidR="009F7DBA" w:rsidRPr="005F6151">
        <w:rPr>
          <w:rFonts w:cstheme="minorHAnsi"/>
          <w:color w:val="000000" w:themeColor="text1"/>
        </w:rPr>
        <w:t xml:space="preserve">role in the policy and law reform project – indeed, </w:t>
      </w:r>
      <w:r w:rsidR="00FF2EEB" w:rsidRPr="005F6151">
        <w:rPr>
          <w:rFonts w:cstheme="minorHAnsi"/>
          <w:color w:val="000000" w:themeColor="text1"/>
        </w:rPr>
        <w:t>r</w:t>
      </w:r>
      <w:r w:rsidR="00293739" w:rsidRPr="005F6151">
        <w:rPr>
          <w:rFonts w:cstheme="minorHAnsi"/>
          <w:color w:val="000000" w:themeColor="text1"/>
        </w:rPr>
        <w:t xml:space="preserve">eflecting on the role of federalism in feminist DFV policy making, </w:t>
      </w:r>
      <w:r w:rsidR="009634B9" w:rsidRPr="005F6151">
        <w:rPr>
          <w:rFonts w:cstheme="minorHAnsi"/>
          <w:color w:val="000000" w:themeColor="text1"/>
        </w:rPr>
        <w:t>Chappell and Costello (2011:</w:t>
      </w:r>
      <w:r w:rsidR="00293739" w:rsidRPr="005F6151">
        <w:rPr>
          <w:rFonts w:cstheme="minorHAnsi"/>
          <w:color w:val="000000" w:themeColor="text1"/>
        </w:rPr>
        <w:t xml:space="preserve"> 645) observed that Australian ‘state</w:t>
      </w:r>
      <w:r w:rsidR="00FF2EEB" w:rsidRPr="005F6151">
        <w:rPr>
          <w:rFonts w:cstheme="minorHAnsi"/>
          <w:color w:val="000000" w:themeColor="text1"/>
        </w:rPr>
        <w:t>s</w:t>
      </w:r>
      <w:r w:rsidR="00293739" w:rsidRPr="005F6151">
        <w:rPr>
          <w:rFonts w:cstheme="minorHAnsi"/>
          <w:color w:val="000000" w:themeColor="text1"/>
        </w:rPr>
        <w:t xml:space="preserve"> and territories have maintained policy capacity in relation to violence against women and have used it to develop some innovative approaches to the problem – both in terms of law and policy reform’. </w:t>
      </w:r>
      <w:r w:rsidR="00E7386E" w:rsidRPr="005F6151">
        <w:rPr>
          <w:rFonts w:cstheme="minorHAnsi"/>
          <w:color w:val="000000" w:themeColor="text1"/>
        </w:rPr>
        <w:t>In addition, over this period, there have</w:t>
      </w:r>
      <w:r w:rsidR="00624534" w:rsidRPr="005F6151">
        <w:rPr>
          <w:rFonts w:cstheme="minorHAnsi"/>
          <w:color w:val="000000" w:themeColor="text1"/>
        </w:rPr>
        <w:t xml:space="preserve"> been numerous inquiries </w:t>
      </w:r>
      <w:r w:rsidR="00E7386E" w:rsidRPr="005F6151">
        <w:rPr>
          <w:rFonts w:cstheme="minorHAnsi"/>
          <w:color w:val="000000" w:themeColor="text1"/>
        </w:rPr>
        <w:t xml:space="preserve">held </w:t>
      </w:r>
      <w:r w:rsidR="00624534" w:rsidRPr="005F6151">
        <w:rPr>
          <w:rFonts w:cstheme="minorHAnsi"/>
          <w:color w:val="000000" w:themeColor="text1"/>
        </w:rPr>
        <w:t xml:space="preserve">at the national </w:t>
      </w:r>
      <w:r w:rsidR="00E7386E" w:rsidRPr="005F6151">
        <w:rPr>
          <w:rFonts w:cstheme="minorHAnsi"/>
          <w:color w:val="000000" w:themeColor="text1"/>
        </w:rPr>
        <w:t>and state levels to examine policy and practice responses to, and the prevention of</w:t>
      </w:r>
      <w:r w:rsidR="00D94D2F" w:rsidRPr="005F6151">
        <w:rPr>
          <w:rFonts w:cstheme="minorHAnsi"/>
          <w:color w:val="000000" w:themeColor="text1"/>
        </w:rPr>
        <w:t>,</w:t>
      </w:r>
      <w:r w:rsidR="00E7386E" w:rsidRPr="005F6151">
        <w:rPr>
          <w:rFonts w:cstheme="minorHAnsi"/>
          <w:color w:val="000000" w:themeColor="text1"/>
        </w:rPr>
        <w:t xml:space="preserve"> different forms of DFV. These inquiries have varied significantly </w:t>
      </w:r>
      <w:r w:rsidR="000131D1" w:rsidRPr="005F6151">
        <w:rPr>
          <w:rFonts w:cstheme="minorHAnsi"/>
          <w:color w:val="000000" w:themeColor="text1"/>
        </w:rPr>
        <w:t xml:space="preserve">in </w:t>
      </w:r>
      <w:r w:rsidR="00E7386E" w:rsidRPr="005F6151">
        <w:rPr>
          <w:rFonts w:cstheme="minorHAnsi"/>
          <w:color w:val="000000" w:themeColor="text1"/>
        </w:rPr>
        <w:t>breadth and depth</w:t>
      </w:r>
      <w:r w:rsidR="00F969A6" w:rsidRPr="005F6151">
        <w:rPr>
          <w:rFonts w:cstheme="minorHAnsi"/>
          <w:color w:val="000000" w:themeColor="text1"/>
        </w:rPr>
        <w:t>. F</w:t>
      </w:r>
      <w:r w:rsidR="00E7386E" w:rsidRPr="005F6151">
        <w:rPr>
          <w:rFonts w:cstheme="minorHAnsi"/>
          <w:color w:val="000000" w:themeColor="text1"/>
        </w:rPr>
        <w:t>or example</w:t>
      </w:r>
      <w:r w:rsidR="00642A45" w:rsidRPr="005F6151">
        <w:rPr>
          <w:rFonts w:cstheme="minorHAnsi"/>
          <w:color w:val="000000" w:themeColor="text1"/>
        </w:rPr>
        <w:t>,</w:t>
      </w:r>
      <w:r w:rsidR="00E7386E" w:rsidRPr="005F6151">
        <w:rPr>
          <w:rFonts w:cstheme="minorHAnsi"/>
          <w:color w:val="000000" w:themeColor="text1"/>
        </w:rPr>
        <w:t xml:space="preserve"> the</w:t>
      </w:r>
      <w:r w:rsidR="00624534" w:rsidRPr="005F6151">
        <w:rPr>
          <w:rFonts w:cstheme="minorHAnsi"/>
          <w:color w:val="000000" w:themeColor="text1"/>
        </w:rPr>
        <w:t xml:space="preserve"> </w:t>
      </w:r>
      <w:r w:rsidR="00E7386E" w:rsidRPr="005F6151">
        <w:rPr>
          <w:rFonts w:cstheme="minorHAnsi"/>
          <w:color w:val="000000" w:themeColor="text1"/>
        </w:rPr>
        <w:t xml:space="preserve">2020-2021 Australian Government Inquiry into Domestic, Family and Sexual Violence was established </w:t>
      </w:r>
      <w:r w:rsidR="00642A45" w:rsidRPr="005F6151">
        <w:rPr>
          <w:rFonts w:cstheme="minorHAnsi"/>
          <w:color w:val="000000" w:themeColor="text1"/>
        </w:rPr>
        <w:t>as a parliament</w:t>
      </w:r>
      <w:r w:rsidR="007F42B3" w:rsidRPr="005F6151">
        <w:rPr>
          <w:rFonts w:cstheme="minorHAnsi"/>
          <w:color w:val="000000" w:themeColor="text1"/>
        </w:rPr>
        <w:t>ary</w:t>
      </w:r>
      <w:r w:rsidR="00642A45" w:rsidRPr="005F6151">
        <w:rPr>
          <w:rFonts w:cstheme="minorHAnsi"/>
          <w:color w:val="000000" w:themeColor="text1"/>
        </w:rPr>
        <w:t xml:space="preserve"> inquiry </w:t>
      </w:r>
      <w:r w:rsidR="00E7386E" w:rsidRPr="005F6151">
        <w:rPr>
          <w:rFonts w:cstheme="minorHAnsi"/>
          <w:color w:val="000000" w:themeColor="text1"/>
        </w:rPr>
        <w:t xml:space="preserve">with </w:t>
      </w:r>
      <w:r w:rsidR="00346C91" w:rsidRPr="005F6151">
        <w:rPr>
          <w:rFonts w:cstheme="minorHAnsi"/>
          <w:color w:val="000000" w:themeColor="text1"/>
        </w:rPr>
        <w:t xml:space="preserve">extremely </w:t>
      </w:r>
      <w:r w:rsidR="00346C91" w:rsidRPr="005F6151">
        <w:rPr>
          <w:rFonts w:cstheme="minorHAnsi"/>
        </w:rPr>
        <w:t>broad Terms of Reference</w:t>
      </w:r>
      <w:r w:rsidR="00671474" w:rsidRPr="005F6151">
        <w:rPr>
          <w:rFonts w:cstheme="minorHAnsi"/>
        </w:rPr>
        <w:t xml:space="preserve"> (for discussion</w:t>
      </w:r>
      <w:r w:rsidR="006C1E10" w:rsidRPr="005F6151">
        <w:rPr>
          <w:rFonts w:cstheme="minorHAnsi"/>
        </w:rPr>
        <w:t xml:space="preserve"> on the role of Terms of Refe</w:t>
      </w:r>
      <w:r w:rsidR="00764D69" w:rsidRPr="005F6151">
        <w:rPr>
          <w:rFonts w:cstheme="minorHAnsi"/>
        </w:rPr>
        <w:t>re</w:t>
      </w:r>
      <w:r w:rsidR="006C1E10" w:rsidRPr="005F6151">
        <w:rPr>
          <w:rFonts w:cstheme="minorHAnsi"/>
        </w:rPr>
        <w:t>nce</w:t>
      </w:r>
      <w:r w:rsidR="00EC6F1B" w:rsidRPr="005F6151">
        <w:rPr>
          <w:rFonts w:cstheme="minorHAnsi"/>
        </w:rPr>
        <w:t xml:space="preserve"> in feminist law reform</w:t>
      </w:r>
      <w:r w:rsidR="006C1E10" w:rsidRPr="005F6151">
        <w:rPr>
          <w:rFonts w:cstheme="minorHAnsi"/>
        </w:rPr>
        <w:t xml:space="preserve">, </w:t>
      </w:r>
      <w:r w:rsidR="001269ED" w:rsidRPr="005F6151">
        <w:rPr>
          <w:rFonts w:cstheme="minorHAnsi"/>
        </w:rPr>
        <w:t xml:space="preserve">see </w:t>
      </w:r>
      <w:proofErr w:type="spellStart"/>
      <w:r w:rsidR="001269ED" w:rsidRPr="005F6151">
        <w:rPr>
          <w:rFonts w:cstheme="minorHAnsi"/>
        </w:rPr>
        <w:t>Graycar</w:t>
      </w:r>
      <w:proofErr w:type="spellEnd"/>
      <w:r w:rsidR="001269ED" w:rsidRPr="005F6151">
        <w:rPr>
          <w:rFonts w:cstheme="minorHAnsi"/>
        </w:rPr>
        <w:t xml:space="preserve"> </w:t>
      </w:r>
      <w:r w:rsidR="004939BB">
        <w:rPr>
          <w:rFonts w:cstheme="minorHAnsi"/>
        </w:rPr>
        <w:t>&amp;</w:t>
      </w:r>
      <w:r w:rsidR="001269ED" w:rsidRPr="005F6151">
        <w:rPr>
          <w:rFonts w:cstheme="minorHAnsi"/>
        </w:rPr>
        <w:t xml:space="preserve"> Morgan, 2005</w:t>
      </w:r>
      <w:r w:rsidR="00300DF2" w:rsidRPr="005F6151">
        <w:rPr>
          <w:rFonts w:cstheme="minorHAnsi"/>
        </w:rPr>
        <w:t>; Wangmann, 2022</w:t>
      </w:r>
      <w:r w:rsidR="001269ED" w:rsidRPr="005F6151">
        <w:rPr>
          <w:rFonts w:cstheme="minorHAnsi"/>
        </w:rPr>
        <w:t>)</w:t>
      </w:r>
      <w:r w:rsidR="00FC3393" w:rsidRPr="005F6151">
        <w:rPr>
          <w:rFonts w:cstheme="minorHAnsi"/>
        </w:rPr>
        <w:t xml:space="preserve">. </w:t>
      </w:r>
      <w:r w:rsidR="007D4A2A" w:rsidRPr="005F6151">
        <w:rPr>
          <w:rFonts w:cstheme="minorHAnsi"/>
        </w:rPr>
        <w:t>Likewise,</w:t>
      </w:r>
      <w:r w:rsidR="00FC3393" w:rsidRPr="005F6151">
        <w:rPr>
          <w:rFonts w:cstheme="minorHAnsi"/>
        </w:rPr>
        <w:t xml:space="preserve"> at the state level, the 2015 Special Taskforce </w:t>
      </w:r>
      <w:r w:rsidR="007D4A2A" w:rsidRPr="005F6151">
        <w:rPr>
          <w:rFonts w:cstheme="minorHAnsi"/>
        </w:rPr>
        <w:t>on Domestic and Family Violence in Queensland (</w:t>
      </w:r>
      <w:r w:rsidR="00307CE2" w:rsidRPr="005F6151">
        <w:rPr>
          <w:rFonts w:cstheme="minorHAnsi"/>
        </w:rPr>
        <w:t>2014-</w:t>
      </w:r>
      <w:r w:rsidR="007D4A2A" w:rsidRPr="005F6151">
        <w:rPr>
          <w:rFonts w:cstheme="minorHAnsi"/>
        </w:rPr>
        <w:t>2015) was set up with the broad mandate to report on ‘on how the system could be improved and future incidents of DFV could be prevented’</w:t>
      </w:r>
      <w:r w:rsidR="00F969A6" w:rsidRPr="005F6151">
        <w:rPr>
          <w:rFonts w:cstheme="minorHAnsi"/>
        </w:rPr>
        <w:t>. T</w:t>
      </w:r>
      <w:r w:rsidR="00307CE2" w:rsidRPr="005F6151">
        <w:rPr>
          <w:rFonts w:cstheme="minorHAnsi"/>
        </w:rPr>
        <w:t>he Victorian Royal Commission into Family Violence (</w:t>
      </w:r>
      <w:r w:rsidR="00DD142A" w:rsidRPr="005F6151">
        <w:rPr>
          <w:rFonts w:cstheme="minorHAnsi"/>
        </w:rPr>
        <w:t xml:space="preserve">RCFV, </w:t>
      </w:r>
      <w:r w:rsidR="00307CE2" w:rsidRPr="005F6151">
        <w:rPr>
          <w:rFonts w:cstheme="minorHAnsi"/>
        </w:rPr>
        <w:t xml:space="preserve">2015-2016) </w:t>
      </w:r>
      <w:r w:rsidR="003441E1" w:rsidRPr="005F6151">
        <w:rPr>
          <w:rFonts w:cstheme="minorHAnsi"/>
        </w:rPr>
        <w:t xml:space="preserve">Terms of Reference contained a mandate to inquire into and report on how response efforts across the whole system could be improved, and how </w:t>
      </w:r>
      <w:r w:rsidR="00BD2532" w:rsidRPr="005F6151">
        <w:rPr>
          <w:rFonts w:cstheme="minorHAnsi"/>
        </w:rPr>
        <w:t>DFV</w:t>
      </w:r>
      <w:r w:rsidR="003441E1" w:rsidRPr="005F6151">
        <w:rPr>
          <w:rFonts w:cstheme="minorHAnsi"/>
        </w:rPr>
        <w:t xml:space="preserve"> could be eliminated.</w:t>
      </w:r>
    </w:p>
    <w:p w14:paraId="09357A7B" w14:textId="77777777" w:rsidR="0001295E" w:rsidRPr="005F6151" w:rsidRDefault="0001295E" w:rsidP="005F6151">
      <w:pPr>
        <w:spacing w:line="360" w:lineRule="auto"/>
        <w:jc w:val="both"/>
        <w:rPr>
          <w:rFonts w:cstheme="minorHAnsi"/>
        </w:rPr>
      </w:pPr>
    </w:p>
    <w:p w14:paraId="76C533CA" w14:textId="613902CC" w:rsidR="000906EF" w:rsidRPr="005F6151" w:rsidRDefault="0001295E" w:rsidP="005F6151">
      <w:pPr>
        <w:spacing w:line="360" w:lineRule="auto"/>
        <w:jc w:val="both"/>
        <w:rPr>
          <w:rFonts w:cstheme="minorHAnsi"/>
          <w:color w:val="000000" w:themeColor="text1"/>
        </w:rPr>
      </w:pPr>
      <w:r w:rsidRPr="005F6151">
        <w:rPr>
          <w:rFonts w:cstheme="minorHAnsi"/>
        </w:rPr>
        <w:t>In contrast, o</w:t>
      </w:r>
      <w:r w:rsidR="00E7386E" w:rsidRPr="005F6151">
        <w:rPr>
          <w:rFonts w:cstheme="minorHAnsi"/>
        </w:rPr>
        <w:t>ther Inquiries</w:t>
      </w:r>
      <w:r w:rsidRPr="005F6151">
        <w:rPr>
          <w:rFonts w:cstheme="minorHAnsi"/>
        </w:rPr>
        <w:t xml:space="preserve"> at both the national and state level</w:t>
      </w:r>
      <w:r w:rsidR="00E7386E" w:rsidRPr="005F6151">
        <w:rPr>
          <w:rFonts w:cstheme="minorHAnsi"/>
        </w:rPr>
        <w:t xml:space="preserve"> have sought to examine specific points of the system (for example, the </w:t>
      </w:r>
      <w:r w:rsidR="000131D1" w:rsidRPr="005F6151">
        <w:rPr>
          <w:rFonts w:cstheme="minorHAnsi"/>
        </w:rPr>
        <w:t>Joint Select Committee on Australia’s Family Law System, 2021</w:t>
      </w:r>
      <w:r w:rsidR="00E7386E" w:rsidRPr="005F6151">
        <w:rPr>
          <w:rFonts w:cstheme="minorHAnsi"/>
        </w:rPr>
        <w:t xml:space="preserve">) or the merits of individual approaches to reform (for example, </w:t>
      </w:r>
      <w:r w:rsidR="00EE74C4" w:rsidRPr="005F6151">
        <w:rPr>
          <w:rFonts w:cstheme="minorHAnsi"/>
        </w:rPr>
        <w:t>the NSW Joint Select Committee on Coercive Control</w:t>
      </w:r>
      <w:r w:rsidR="00DA2E67" w:rsidRPr="005F6151">
        <w:rPr>
          <w:rFonts w:cstheme="minorHAnsi"/>
        </w:rPr>
        <w:t>, 2021</w:t>
      </w:r>
      <w:r w:rsidR="00E7386E" w:rsidRPr="005F6151">
        <w:rPr>
          <w:rFonts w:cstheme="minorHAnsi"/>
        </w:rPr>
        <w:t xml:space="preserve">). </w:t>
      </w:r>
      <w:r w:rsidR="000045AA" w:rsidRPr="005F6151">
        <w:rPr>
          <w:rFonts w:cstheme="minorHAnsi"/>
        </w:rPr>
        <w:t>M</w:t>
      </w:r>
      <w:r w:rsidR="00A07845" w:rsidRPr="005F6151">
        <w:rPr>
          <w:rFonts w:cstheme="minorHAnsi"/>
        </w:rPr>
        <w:t>ost recently, consultation efforts</w:t>
      </w:r>
      <w:r w:rsidR="000045AA" w:rsidRPr="005F6151">
        <w:rPr>
          <w:rFonts w:cstheme="minorHAnsi"/>
        </w:rPr>
        <w:t xml:space="preserve"> conducted to inform</w:t>
      </w:r>
      <w:r w:rsidR="00A07845" w:rsidRPr="005F6151">
        <w:rPr>
          <w:rFonts w:cstheme="minorHAnsi"/>
        </w:rPr>
        <w:t xml:space="preserve"> the next National Plan to end Violence </w:t>
      </w:r>
      <w:r w:rsidR="00581C8F">
        <w:rPr>
          <w:rFonts w:cstheme="minorHAnsi"/>
        </w:rPr>
        <w:t>A</w:t>
      </w:r>
      <w:r w:rsidR="00A07845" w:rsidRPr="005F6151">
        <w:rPr>
          <w:rFonts w:cstheme="minorHAnsi"/>
        </w:rPr>
        <w:t>gainst Women and Children</w:t>
      </w:r>
      <w:r w:rsidR="000045AA" w:rsidRPr="005F6151">
        <w:rPr>
          <w:rFonts w:cstheme="minorHAnsi"/>
        </w:rPr>
        <w:t xml:space="preserve"> have provided detailed documentation of the policy and practice reform </w:t>
      </w:r>
      <w:r w:rsidR="00E152C7" w:rsidRPr="005F6151">
        <w:rPr>
          <w:rFonts w:cstheme="minorHAnsi"/>
        </w:rPr>
        <w:t xml:space="preserve">views </w:t>
      </w:r>
      <w:r w:rsidR="000045AA" w:rsidRPr="005F6151">
        <w:rPr>
          <w:rFonts w:cstheme="minorHAnsi"/>
        </w:rPr>
        <w:t>of</w:t>
      </w:r>
      <w:r w:rsidR="00E152C7" w:rsidRPr="005F6151">
        <w:rPr>
          <w:rFonts w:cstheme="minorHAnsi"/>
        </w:rPr>
        <w:t xml:space="preserve"> over 500</w:t>
      </w:r>
      <w:r w:rsidR="000045AA" w:rsidRPr="005F6151">
        <w:rPr>
          <w:rFonts w:cstheme="minorHAnsi"/>
        </w:rPr>
        <w:t xml:space="preserve"> stakeholders and victim-survivors</w:t>
      </w:r>
      <w:r w:rsidR="003045E0">
        <w:rPr>
          <w:rFonts w:cstheme="minorHAnsi"/>
        </w:rPr>
        <w:t>’</w:t>
      </w:r>
      <w:r w:rsidR="000045AA" w:rsidRPr="005F6151">
        <w:rPr>
          <w:rFonts w:cstheme="minorHAnsi"/>
        </w:rPr>
        <w:t xml:space="preserve"> advocates across Australia</w:t>
      </w:r>
      <w:r w:rsidR="00A07845" w:rsidRPr="005F6151">
        <w:rPr>
          <w:rFonts w:cstheme="minorHAnsi"/>
        </w:rPr>
        <w:t xml:space="preserve"> (Fitz-Gibbon et al., 2022a, 2022b).</w:t>
      </w:r>
      <w:r w:rsidR="00F969A6" w:rsidRPr="005F6151">
        <w:rPr>
          <w:rFonts w:cstheme="minorHAnsi"/>
          <w:color w:val="000000" w:themeColor="text1"/>
        </w:rPr>
        <w:t xml:space="preserve"> </w:t>
      </w:r>
      <w:r w:rsidR="00471562" w:rsidRPr="005F6151">
        <w:rPr>
          <w:rFonts w:cstheme="minorHAnsi"/>
          <w:color w:val="000000" w:themeColor="text1"/>
        </w:rPr>
        <w:t>T</w:t>
      </w:r>
      <w:r w:rsidR="00BE415B" w:rsidRPr="005F6151">
        <w:rPr>
          <w:rFonts w:cstheme="minorHAnsi"/>
          <w:color w:val="000000" w:themeColor="text1"/>
        </w:rPr>
        <w:t xml:space="preserve">he commitment to raising </w:t>
      </w:r>
      <w:r w:rsidR="00471562" w:rsidRPr="005F6151">
        <w:rPr>
          <w:rFonts w:cstheme="minorHAnsi"/>
          <w:color w:val="000000" w:themeColor="text1"/>
        </w:rPr>
        <w:t xml:space="preserve">awareness </w:t>
      </w:r>
      <w:r w:rsidR="00F969A6" w:rsidRPr="005F6151">
        <w:rPr>
          <w:rFonts w:cstheme="minorHAnsi"/>
          <w:color w:val="000000" w:themeColor="text1"/>
        </w:rPr>
        <w:t>in</w:t>
      </w:r>
      <w:r w:rsidR="00471562" w:rsidRPr="005F6151">
        <w:rPr>
          <w:rFonts w:cstheme="minorHAnsi"/>
          <w:color w:val="000000" w:themeColor="text1"/>
        </w:rPr>
        <w:t xml:space="preserve"> this</w:t>
      </w:r>
      <w:r w:rsidR="00BE415B" w:rsidRPr="005F6151">
        <w:rPr>
          <w:rFonts w:cstheme="minorHAnsi"/>
          <w:color w:val="000000" w:themeColor="text1"/>
        </w:rPr>
        <w:t xml:space="preserve"> area has</w:t>
      </w:r>
      <w:r w:rsidR="00E850C7" w:rsidRPr="005F6151">
        <w:rPr>
          <w:rFonts w:cstheme="minorHAnsi"/>
          <w:color w:val="000000" w:themeColor="text1"/>
        </w:rPr>
        <w:t xml:space="preserve"> also</w:t>
      </w:r>
      <w:r w:rsidR="00BE415B" w:rsidRPr="005F6151">
        <w:rPr>
          <w:rFonts w:cstheme="minorHAnsi"/>
          <w:color w:val="000000" w:themeColor="text1"/>
        </w:rPr>
        <w:t xml:space="preserve"> been demonstrated nationally through the appointment of two victim-survivors of violence against women and children to the </w:t>
      </w:r>
      <w:r w:rsidR="00AD0135" w:rsidRPr="005F6151">
        <w:rPr>
          <w:rFonts w:cstheme="minorHAnsi"/>
          <w:color w:val="000000" w:themeColor="text1"/>
        </w:rPr>
        <w:t>high-profile</w:t>
      </w:r>
      <w:r w:rsidR="00BE415B" w:rsidRPr="005F6151">
        <w:rPr>
          <w:rFonts w:cstheme="minorHAnsi"/>
          <w:color w:val="000000" w:themeColor="text1"/>
        </w:rPr>
        <w:t xml:space="preserve"> position of Australian of the Year. Rosie Batty was appointed in 2015, and Grace Tame was appointed in 2021</w:t>
      </w:r>
      <w:r w:rsidR="00AD0135" w:rsidRPr="005F6151">
        <w:rPr>
          <w:rFonts w:cstheme="minorHAnsi"/>
          <w:color w:val="000000" w:themeColor="text1"/>
        </w:rPr>
        <w:t xml:space="preserve"> (on the </w:t>
      </w:r>
      <w:r w:rsidR="0025178E" w:rsidRPr="005F6151">
        <w:rPr>
          <w:rFonts w:cstheme="minorHAnsi"/>
          <w:color w:val="000000" w:themeColor="text1"/>
        </w:rPr>
        <w:t>influence</w:t>
      </w:r>
      <w:r w:rsidR="00AD0135" w:rsidRPr="005F6151">
        <w:rPr>
          <w:rFonts w:cstheme="minorHAnsi"/>
          <w:color w:val="000000" w:themeColor="text1"/>
        </w:rPr>
        <w:t xml:space="preserve"> of victim-survivors</w:t>
      </w:r>
      <w:r w:rsidR="005930D5" w:rsidRPr="005F6151">
        <w:rPr>
          <w:rFonts w:cstheme="minorHAnsi"/>
          <w:color w:val="000000" w:themeColor="text1"/>
        </w:rPr>
        <w:t xml:space="preserve"> in shaping policy, see </w:t>
      </w:r>
      <w:proofErr w:type="spellStart"/>
      <w:r w:rsidR="005930D5" w:rsidRPr="005F6151">
        <w:rPr>
          <w:rFonts w:cstheme="minorHAnsi"/>
          <w:color w:val="000000" w:themeColor="text1"/>
        </w:rPr>
        <w:t>Whei</w:t>
      </w:r>
      <w:r w:rsidR="00AD0135" w:rsidRPr="005F6151">
        <w:rPr>
          <w:rFonts w:cstheme="minorHAnsi"/>
          <w:color w:val="000000" w:themeColor="text1"/>
        </w:rPr>
        <w:t>l</w:t>
      </w:r>
      <w:r w:rsidR="00E850C7" w:rsidRPr="005F6151">
        <w:rPr>
          <w:rFonts w:cstheme="minorHAnsi"/>
          <w:color w:val="000000" w:themeColor="text1"/>
        </w:rPr>
        <w:t>don</w:t>
      </w:r>
      <w:proofErr w:type="spellEnd"/>
      <w:r w:rsidR="00E850C7" w:rsidRPr="005F6151">
        <w:rPr>
          <w:rFonts w:cstheme="minorHAnsi"/>
          <w:color w:val="000000" w:themeColor="text1"/>
        </w:rPr>
        <w:t>, True, Flynn &amp; Wild, 202</w:t>
      </w:r>
      <w:r w:rsidR="0025178E" w:rsidRPr="005F6151">
        <w:rPr>
          <w:rFonts w:cstheme="minorHAnsi"/>
          <w:color w:val="000000" w:themeColor="text1"/>
        </w:rPr>
        <w:t>2</w:t>
      </w:r>
      <w:r w:rsidR="00AD0135" w:rsidRPr="005F6151">
        <w:rPr>
          <w:rFonts w:cstheme="minorHAnsi"/>
          <w:color w:val="000000" w:themeColor="text1"/>
        </w:rPr>
        <w:t>)</w:t>
      </w:r>
      <w:r w:rsidR="00BE415B" w:rsidRPr="005F6151">
        <w:rPr>
          <w:rFonts w:cstheme="minorHAnsi"/>
          <w:color w:val="000000" w:themeColor="text1"/>
        </w:rPr>
        <w:t xml:space="preserve">.  </w:t>
      </w:r>
    </w:p>
    <w:p w14:paraId="60DF018C" w14:textId="77777777" w:rsidR="005A507F" w:rsidRPr="005F6151" w:rsidRDefault="005A507F" w:rsidP="005F6151">
      <w:pPr>
        <w:spacing w:line="360" w:lineRule="auto"/>
        <w:jc w:val="both"/>
        <w:rPr>
          <w:rFonts w:cstheme="minorHAnsi"/>
          <w:color w:val="000000" w:themeColor="text1"/>
        </w:rPr>
      </w:pPr>
    </w:p>
    <w:p w14:paraId="1F299FA4" w14:textId="570A36E2" w:rsidR="0016279D" w:rsidRPr="005F6151" w:rsidRDefault="005A507F" w:rsidP="005F6151">
      <w:pPr>
        <w:spacing w:line="360" w:lineRule="auto"/>
        <w:jc w:val="both"/>
        <w:rPr>
          <w:rFonts w:cstheme="minorHAnsi"/>
          <w:color w:val="FF0000"/>
        </w:rPr>
      </w:pPr>
      <w:r w:rsidRPr="005F6151">
        <w:rPr>
          <w:rFonts w:cstheme="minorHAnsi"/>
          <w:color w:val="000000" w:themeColor="text1"/>
        </w:rPr>
        <w:t xml:space="preserve">A plethora of reform agendas </w:t>
      </w:r>
      <w:r w:rsidR="00602D70" w:rsidRPr="005F6151">
        <w:rPr>
          <w:rFonts w:cstheme="minorHAnsi"/>
          <w:color w:val="000000" w:themeColor="text1"/>
        </w:rPr>
        <w:t xml:space="preserve">have emerged as a result of these commissions of inquiry. </w:t>
      </w:r>
      <w:r w:rsidR="00602D70" w:rsidRPr="005F6151">
        <w:rPr>
          <w:rFonts w:cstheme="minorHAnsi"/>
        </w:rPr>
        <w:t xml:space="preserve">In this unprecedented period of policy attention, there has however been </w:t>
      </w:r>
      <w:r w:rsidR="00186928" w:rsidRPr="005F6151">
        <w:rPr>
          <w:rFonts w:cstheme="minorHAnsi"/>
        </w:rPr>
        <w:t>relatively</w:t>
      </w:r>
      <w:r w:rsidR="003A41DF" w:rsidRPr="005F6151">
        <w:rPr>
          <w:rFonts w:cstheme="minorHAnsi"/>
        </w:rPr>
        <w:t xml:space="preserve"> </w:t>
      </w:r>
      <w:r w:rsidR="00602D70" w:rsidRPr="005F6151">
        <w:rPr>
          <w:rFonts w:cstheme="minorHAnsi"/>
        </w:rPr>
        <w:t xml:space="preserve">limited examination of the </w:t>
      </w:r>
      <w:r w:rsidR="003A41DF" w:rsidRPr="005F6151">
        <w:rPr>
          <w:rFonts w:cstheme="minorHAnsi"/>
        </w:rPr>
        <w:t>policy</w:t>
      </w:r>
      <w:r w:rsidR="00602D70" w:rsidRPr="005F6151">
        <w:rPr>
          <w:rFonts w:cstheme="minorHAnsi"/>
        </w:rPr>
        <w:t xml:space="preserve"> making process in and of itself. </w:t>
      </w:r>
      <w:r w:rsidR="00D22A1C" w:rsidRPr="005F6151">
        <w:rPr>
          <w:rFonts w:cstheme="minorHAnsi"/>
        </w:rPr>
        <w:t>W</w:t>
      </w:r>
      <w:r w:rsidR="00602D70" w:rsidRPr="005F6151">
        <w:rPr>
          <w:rFonts w:cstheme="minorHAnsi"/>
        </w:rPr>
        <w:t>hile there</w:t>
      </w:r>
      <w:r w:rsidR="00186928" w:rsidRPr="005F6151">
        <w:rPr>
          <w:rFonts w:cstheme="minorHAnsi"/>
        </w:rPr>
        <w:t xml:space="preserve"> has been </w:t>
      </w:r>
      <w:r w:rsidR="00241D63" w:rsidRPr="005F6151">
        <w:rPr>
          <w:rFonts w:cstheme="minorHAnsi"/>
        </w:rPr>
        <w:t>substantive commentary and research</w:t>
      </w:r>
      <w:r w:rsidR="00186928" w:rsidRPr="005F6151">
        <w:rPr>
          <w:rFonts w:cstheme="minorHAnsi"/>
        </w:rPr>
        <w:t xml:space="preserve"> o</w:t>
      </w:r>
      <w:r w:rsidR="00602D70" w:rsidRPr="005F6151">
        <w:rPr>
          <w:rFonts w:cstheme="minorHAnsi"/>
        </w:rPr>
        <w:t>n</w:t>
      </w:r>
      <w:r w:rsidR="00186928" w:rsidRPr="005F6151">
        <w:rPr>
          <w:rFonts w:cstheme="minorHAnsi"/>
        </w:rPr>
        <w:t xml:space="preserve"> </w:t>
      </w:r>
      <w:r w:rsidR="00602D70" w:rsidRPr="005F6151">
        <w:rPr>
          <w:rFonts w:cstheme="minorHAnsi"/>
        </w:rPr>
        <w:t xml:space="preserve">the merits or otherwise of specific approaches to reform there has been less scholarly interest in the process through which these recommendations and policy </w:t>
      </w:r>
      <w:r w:rsidR="00B0292D" w:rsidRPr="005F6151">
        <w:rPr>
          <w:rFonts w:cstheme="minorHAnsi"/>
        </w:rPr>
        <w:t>come</w:t>
      </w:r>
      <w:r w:rsidR="00602D70" w:rsidRPr="005F6151">
        <w:rPr>
          <w:rFonts w:cstheme="minorHAnsi"/>
        </w:rPr>
        <w:t xml:space="preserve"> to be. It is this point of the policy </w:t>
      </w:r>
      <w:r w:rsidR="00656B3B" w:rsidRPr="005F6151">
        <w:rPr>
          <w:rFonts w:cstheme="minorHAnsi"/>
        </w:rPr>
        <w:t>making process that</w:t>
      </w:r>
      <w:r w:rsidR="00220104" w:rsidRPr="005F6151">
        <w:rPr>
          <w:rFonts w:cstheme="minorHAnsi"/>
        </w:rPr>
        <w:t xml:space="preserve"> is the focus of</w:t>
      </w:r>
      <w:r w:rsidR="00656B3B" w:rsidRPr="005F6151">
        <w:rPr>
          <w:rFonts w:cstheme="minorHAnsi"/>
        </w:rPr>
        <w:t xml:space="preserve"> this paper. In doing so, we seek to build on the work of </w:t>
      </w:r>
      <w:proofErr w:type="spellStart"/>
      <w:r w:rsidR="00656B3B" w:rsidRPr="005F6151">
        <w:rPr>
          <w:rFonts w:cstheme="minorHAnsi"/>
        </w:rPr>
        <w:t>Graycar</w:t>
      </w:r>
      <w:proofErr w:type="spellEnd"/>
      <w:r w:rsidR="00656B3B" w:rsidRPr="005F6151">
        <w:rPr>
          <w:rFonts w:cstheme="minorHAnsi"/>
        </w:rPr>
        <w:t xml:space="preserve"> and Morgan (</w:t>
      </w:r>
      <w:r w:rsidR="00A80ED0" w:rsidRPr="005F6151">
        <w:rPr>
          <w:rFonts w:cstheme="minorHAnsi"/>
        </w:rPr>
        <w:t>200</w:t>
      </w:r>
      <w:r w:rsidR="004C4DDE" w:rsidRPr="005F6151">
        <w:rPr>
          <w:rFonts w:cstheme="minorHAnsi"/>
        </w:rPr>
        <w:t>5</w:t>
      </w:r>
      <w:r w:rsidR="00656B3B" w:rsidRPr="005F6151">
        <w:rPr>
          <w:rFonts w:cstheme="minorHAnsi"/>
        </w:rPr>
        <w:t xml:space="preserve">), </w:t>
      </w:r>
      <w:proofErr w:type="spellStart"/>
      <w:r w:rsidR="00656B3B" w:rsidRPr="005F6151">
        <w:rPr>
          <w:rFonts w:cstheme="minorHAnsi"/>
        </w:rPr>
        <w:t>Naffine</w:t>
      </w:r>
      <w:proofErr w:type="spellEnd"/>
      <w:r w:rsidR="00656B3B" w:rsidRPr="005F6151">
        <w:rPr>
          <w:rFonts w:cstheme="minorHAnsi"/>
        </w:rPr>
        <w:t xml:space="preserve"> (</w:t>
      </w:r>
      <w:r w:rsidR="00C75514" w:rsidRPr="005F6151">
        <w:rPr>
          <w:rFonts w:cstheme="minorHAnsi"/>
        </w:rPr>
        <w:t>2019</w:t>
      </w:r>
      <w:r w:rsidR="00656B3B" w:rsidRPr="005F6151">
        <w:rPr>
          <w:rFonts w:cstheme="minorHAnsi"/>
        </w:rPr>
        <w:t xml:space="preserve">), </w:t>
      </w:r>
      <w:r w:rsidR="00A80ED0" w:rsidRPr="005F6151">
        <w:rPr>
          <w:rFonts w:cstheme="minorHAnsi"/>
        </w:rPr>
        <w:t xml:space="preserve">Quilter (2020) </w:t>
      </w:r>
      <w:r w:rsidR="00656B3B" w:rsidRPr="005F6151">
        <w:rPr>
          <w:rFonts w:cstheme="minorHAnsi"/>
        </w:rPr>
        <w:t xml:space="preserve">and other feminist scholars and criminologists who have drawn attention to the gendered processes of reform and law making, and in turn, their gendered impacts. </w:t>
      </w:r>
      <w:r w:rsidR="00AB5417" w:rsidRPr="005F6151">
        <w:rPr>
          <w:rFonts w:cstheme="minorHAnsi"/>
        </w:rPr>
        <w:t xml:space="preserve">Specifically, we utilise </w:t>
      </w:r>
      <w:r w:rsidR="00260FD4" w:rsidRPr="005F6151">
        <w:rPr>
          <w:rFonts w:cstheme="minorHAnsi"/>
        </w:rPr>
        <w:t>McNamara and colleagues’ (20</w:t>
      </w:r>
      <w:r w:rsidR="003F21DD" w:rsidRPr="005F6151">
        <w:rPr>
          <w:rFonts w:cstheme="minorHAnsi"/>
        </w:rPr>
        <w:t>19</w:t>
      </w:r>
      <w:r w:rsidR="00260FD4" w:rsidRPr="005F6151">
        <w:rPr>
          <w:rFonts w:cstheme="minorHAnsi"/>
        </w:rPr>
        <w:t xml:space="preserve">) </w:t>
      </w:r>
      <w:r w:rsidR="00AB5417" w:rsidRPr="005F6151">
        <w:rPr>
          <w:rFonts w:cstheme="minorHAnsi"/>
        </w:rPr>
        <w:t xml:space="preserve">typology of processes of criminalisation as a starting point from which to examine the range of </w:t>
      </w:r>
      <w:r w:rsidR="003F546E" w:rsidRPr="005F6151">
        <w:rPr>
          <w:rFonts w:cstheme="minorHAnsi"/>
        </w:rPr>
        <w:t>DFV</w:t>
      </w:r>
      <w:r w:rsidR="00AB5417" w:rsidRPr="005F6151">
        <w:rPr>
          <w:rFonts w:cstheme="minorHAnsi"/>
        </w:rPr>
        <w:t xml:space="preserve"> policy making processes. </w:t>
      </w:r>
      <w:r w:rsidR="00260FD4" w:rsidRPr="005F6151">
        <w:rPr>
          <w:rFonts w:cstheme="minorHAnsi"/>
        </w:rPr>
        <w:t>McNamara et al. (20</w:t>
      </w:r>
      <w:r w:rsidR="003F21DD" w:rsidRPr="005F6151">
        <w:rPr>
          <w:rFonts w:cstheme="minorHAnsi"/>
        </w:rPr>
        <w:t>19</w:t>
      </w:r>
      <w:r w:rsidR="00260FD4" w:rsidRPr="005F6151">
        <w:rPr>
          <w:rFonts w:cstheme="minorHAnsi"/>
        </w:rPr>
        <w:t xml:space="preserve">) </w:t>
      </w:r>
      <w:r w:rsidR="00F61B4E" w:rsidRPr="005F6151">
        <w:rPr>
          <w:rFonts w:cstheme="minorHAnsi"/>
        </w:rPr>
        <w:t xml:space="preserve">propose six categories of process – (1) </w:t>
      </w:r>
      <w:r w:rsidR="00A720E2">
        <w:rPr>
          <w:rFonts w:cstheme="minorHAnsi"/>
        </w:rPr>
        <w:t>judge-made</w:t>
      </w:r>
      <w:r w:rsidR="00F61B4E" w:rsidRPr="005F6151">
        <w:rPr>
          <w:rFonts w:cstheme="minorHAnsi"/>
        </w:rPr>
        <w:t xml:space="preserve">, (2) single-stage executive </w:t>
      </w:r>
      <w:r w:rsidR="00BE7223" w:rsidRPr="005F6151">
        <w:rPr>
          <w:rFonts w:cstheme="minorHAnsi"/>
        </w:rPr>
        <w:t>driven/</w:t>
      </w:r>
      <w:r w:rsidR="00F61B4E" w:rsidRPr="005F6151">
        <w:rPr>
          <w:rFonts w:cstheme="minorHAnsi"/>
        </w:rPr>
        <w:t xml:space="preserve">controlled, (3) internal government agency initiative, (4) mandatory statutory review, (5) government appointed inquiry/review, and (6) independent review by standing commission/committee. </w:t>
      </w:r>
    </w:p>
    <w:p w14:paraId="54F218B6" w14:textId="77777777" w:rsidR="0016279D" w:rsidRPr="005F6151" w:rsidRDefault="0016279D" w:rsidP="005F6151">
      <w:pPr>
        <w:spacing w:line="360" w:lineRule="auto"/>
        <w:jc w:val="both"/>
        <w:rPr>
          <w:rFonts w:cstheme="minorHAnsi"/>
        </w:rPr>
      </w:pPr>
    </w:p>
    <w:p w14:paraId="1780AF92" w14:textId="60C53087" w:rsidR="001559FC" w:rsidRPr="005F6151" w:rsidRDefault="004552DA" w:rsidP="005F6151">
      <w:pPr>
        <w:spacing w:line="360" w:lineRule="auto"/>
        <w:jc w:val="both"/>
        <w:rPr>
          <w:rFonts w:cstheme="minorHAnsi"/>
        </w:rPr>
      </w:pPr>
      <w:r w:rsidRPr="005F6151">
        <w:rPr>
          <w:rFonts w:cstheme="minorHAnsi"/>
        </w:rPr>
        <w:t xml:space="preserve">Building on this typology, </w:t>
      </w:r>
      <w:r w:rsidR="00F61B4E" w:rsidRPr="005F6151">
        <w:rPr>
          <w:rFonts w:cstheme="minorHAnsi"/>
        </w:rPr>
        <w:t>Quilter</w:t>
      </w:r>
      <w:r w:rsidRPr="005F6151">
        <w:rPr>
          <w:rFonts w:cstheme="minorHAnsi"/>
        </w:rPr>
        <w:t xml:space="preserve"> (2020)</w:t>
      </w:r>
      <w:r w:rsidR="00F61B4E" w:rsidRPr="005F6151">
        <w:rPr>
          <w:rFonts w:cstheme="minorHAnsi"/>
        </w:rPr>
        <w:t xml:space="preserve"> uses these categories to </w:t>
      </w:r>
      <w:r w:rsidR="00487ECA" w:rsidRPr="005F6151">
        <w:rPr>
          <w:rFonts w:cstheme="minorHAnsi"/>
        </w:rPr>
        <w:t>consider</w:t>
      </w:r>
      <w:r w:rsidR="00F61B4E" w:rsidRPr="005F6151">
        <w:rPr>
          <w:rFonts w:cstheme="minorHAnsi"/>
        </w:rPr>
        <w:t xml:space="preserve"> </w:t>
      </w:r>
      <w:r w:rsidR="000E3065" w:rsidRPr="005F6151">
        <w:rPr>
          <w:rFonts w:cstheme="minorHAnsi"/>
        </w:rPr>
        <w:t xml:space="preserve">the </w:t>
      </w:r>
      <w:r w:rsidR="00F61B4E" w:rsidRPr="005F6151">
        <w:rPr>
          <w:rFonts w:cstheme="minorHAnsi"/>
        </w:rPr>
        <w:t>criminalis</w:t>
      </w:r>
      <w:r w:rsidR="00840F33" w:rsidRPr="005F6151">
        <w:rPr>
          <w:rFonts w:cstheme="minorHAnsi"/>
        </w:rPr>
        <w:t>ation</w:t>
      </w:r>
      <w:r w:rsidR="000E3065" w:rsidRPr="005F6151">
        <w:rPr>
          <w:rFonts w:cstheme="minorHAnsi"/>
        </w:rPr>
        <w:t xml:space="preserve"> of non-physical </w:t>
      </w:r>
      <w:r w:rsidR="00516D89" w:rsidRPr="005F6151">
        <w:rPr>
          <w:rFonts w:cstheme="minorHAnsi"/>
        </w:rPr>
        <w:t xml:space="preserve">forms of </w:t>
      </w:r>
      <w:r w:rsidR="007B297E" w:rsidRPr="005F6151">
        <w:rPr>
          <w:rFonts w:cstheme="minorHAnsi"/>
        </w:rPr>
        <w:t>DFV</w:t>
      </w:r>
      <w:r w:rsidR="00516D89" w:rsidRPr="005F6151">
        <w:rPr>
          <w:rFonts w:cstheme="minorHAnsi"/>
        </w:rPr>
        <w:t>.</w:t>
      </w:r>
      <w:r w:rsidR="000E7BB4" w:rsidRPr="005F6151">
        <w:rPr>
          <w:rFonts w:cstheme="minorHAnsi"/>
        </w:rPr>
        <w:t xml:space="preserve"> We</w:t>
      </w:r>
      <w:r w:rsidR="00E9349C" w:rsidRPr="005F6151">
        <w:rPr>
          <w:rFonts w:cstheme="minorHAnsi"/>
        </w:rPr>
        <w:t xml:space="preserve"> refer heavily to Quilter’s work </w:t>
      </w:r>
      <w:r w:rsidR="00747308" w:rsidRPr="005F6151">
        <w:rPr>
          <w:rFonts w:cstheme="minorHAnsi"/>
        </w:rPr>
        <w:t xml:space="preserve">and the proposed typology </w:t>
      </w:r>
      <w:r w:rsidR="00E9349C" w:rsidRPr="005F6151">
        <w:rPr>
          <w:rFonts w:cstheme="minorHAnsi"/>
        </w:rPr>
        <w:t>in this article</w:t>
      </w:r>
      <w:r w:rsidR="0045169F" w:rsidRPr="005F6151">
        <w:rPr>
          <w:rFonts w:cstheme="minorHAnsi"/>
        </w:rPr>
        <w:t xml:space="preserve"> </w:t>
      </w:r>
      <w:r w:rsidR="00F61B4E" w:rsidRPr="005F6151">
        <w:rPr>
          <w:rFonts w:cstheme="minorHAnsi"/>
        </w:rPr>
        <w:t xml:space="preserve">to </w:t>
      </w:r>
      <w:r w:rsidR="003F4211" w:rsidRPr="005F6151">
        <w:rPr>
          <w:rFonts w:cstheme="minorHAnsi"/>
        </w:rPr>
        <w:t>examin</w:t>
      </w:r>
      <w:r w:rsidR="00855F3A" w:rsidRPr="005F6151">
        <w:rPr>
          <w:rFonts w:cstheme="minorHAnsi"/>
        </w:rPr>
        <w:t>e</w:t>
      </w:r>
      <w:r w:rsidR="00F61B4E" w:rsidRPr="005F6151">
        <w:rPr>
          <w:rFonts w:cstheme="minorHAnsi"/>
        </w:rPr>
        <w:t xml:space="preserve"> processes by which reforms</w:t>
      </w:r>
      <w:r w:rsidR="003F4211" w:rsidRPr="005F6151">
        <w:rPr>
          <w:rFonts w:cstheme="minorHAnsi"/>
        </w:rPr>
        <w:t xml:space="preserve"> beyond the criminal law</w:t>
      </w:r>
      <w:r w:rsidR="00F61B4E" w:rsidRPr="005F6151">
        <w:rPr>
          <w:rFonts w:cstheme="minorHAnsi"/>
        </w:rPr>
        <w:t xml:space="preserve">, </w:t>
      </w:r>
      <w:r w:rsidR="008A122A" w:rsidRPr="005F6151">
        <w:rPr>
          <w:rFonts w:cstheme="minorHAnsi"/>
        </w:rPr>
        <w:t xml:space="preserve">namely </w:t>
      </w:r>
      <w:r w:rsidR="00F61B4E" w:rsidRPr="005F6151">
        <w:rPr>
          <w:rFonts w:cstheme="minorHAnsi"/>
        </w:rPr>
        <w:t xml:space="preserve">the DVDS and perpetrator </w:t>
      </w:r>
      <w:r w:rsidR="00F61B4E" w:rsidRPr="005F6151">
        <w:rPr>
          <w:rFonts w:cstheme="minorHAnsi"/>
        </w:rPr>
        <w:lastRenderedPageBreak/>
        <w:t xml:space="preserve">registers, have come to surface in recent years. </w:t>
      </w:r>
      <w:r w:rsidR="008A122A" w:rsidRPr="005F6151">
        <w:rPr>
          <w:rFonts w:cstheme="minorHAnsi"/>
        </w:rPr>
        <w:t>In doing so, we</w:t>
      </w:r>
      <w:r w:rsidR="0043144F" w:rsidRPr="005F6151">
        <w:rPr>
          <w:rFonts w:cstheme="minorHAnsi"/>
        </w:rPr>
        <w:t xml:space="preserve"> specifically</w:t>
      </w:r>
      <w:r w:rsidR="008A122A" w:rsidRPr="005F6151">
        <w:rPr>
          <w:rFonts w:cstheme="minorHAnsi"/>
        </w:rPr>
        <w:t xml:space="preserve"> scrutinise</w:t>
      </w:r>
      <w:r w:rsidR="0043144F" w:rsidRPr="005F6151">
        <w:rPr>
          <w:rFonts w:cstheme="minorHAnsi"/>
        </w:rPr>
        <w:t xml:space="preserve"> the relevance of</w:t>
      </w:r>
      <w:r w:rsidR="008A122A" w:rsidRPr="005F6151">
        <w:rPr>
          <w:rFonts w:cstheme="minorHAnsi"/>
        </w:rPr>
        <w:t xml:space="preserve"> </w:t>
      </w:r>
      <w:r w:rsidR="0073353E" w:rsidRPr="005F6151">
        <w:rPr>
          <w:rFonts w:cstheme="minorHAnsi"/>
        </w:rPr>
        <w:t xml:space="preserve">three </w:t>
      </w:r>
      <w:r w:rsidR="008A122A" w:rsidRPr="005F6151">
        <w:rPr>
          <w:rFonts w:cstheme="minorHAnsi"/>
        </w:rPr>
        <w:t>of the six processes</w:t>
      </w:r>
      <w:r w:rsidR="00855F3A" w:rsidRPr="005F6151">
        <w:rPr>
          <w:rFonts w:cstheme="minorHAnsi"/>
        </w:rPr>
        <w:t xml:space="preserve"> </w:t>
      </w:r>
      <w:r w:rsidR="0073353E" w:rsidRPr="005F6151">
        <w:rPr>
          <w:rFonts w:cstheme="minorHAnsi"/>
        </w:rPr>
        <w:t>(</w:t>
      </w:r>
      <w:r w:rsidR="00487ECA" w:rsidRPr="005F6151">
        <w:rPr>
          <w:rFonts w:cstheme="minorHAnsi"/>
        </w:rPr>
        <w:t>s</w:t>
      </w:r>
      <w:r w:rsidR="00E96B94" w:rsidRPr="005F6151">
        <w:rPr>
          <w:rFonts w:cstheme="minorHAnsi"/>
        </w:rPr>
        <w:t xml:space="preserve">ingle-stage executive driven; </w:t>
      </w:r>
      <w:r w:rsidR="00570BD9" w:rsidRPr="005F6151">
        <w:rPr>
          <w:rFonts w:cstheme="minorHAnsi"/>
        </w:rPr>
        <w:t>internal government agency initiative; and independent review by standing commission/committee</w:t>
      </w:r>
      <w:r w:rsidR="007740CD" w:rsidRPr="005F6151">
        <w:rPr>
          <w:rFonts w:cstheme="minorHAnsi"/>
        </w:rPr>
        <w:t xml:space="preserve">) </w:t>
      </w:r>
      <w:r w:rsidR="00855F3A" w:rsidRPr="005F6151">
        <w:rPr>
          <w:rFonts w:cstheme="minorHAnsi"/>
        </w:rPr>
        <w:t xml:space="preserve">outlined by </w:t>
      </w:r>
      <w:r w:rsidR="007740CD" w:rsidRPr="005F6151">
        <w:rPr>
          <w:rFonts w:cstheme="minorHAnsi"/>
        </w:rPr>
        <w:t>McNamara et al. (20</w:t>
      </w:r>
      <w:r w:rsidR="003F21DD" w:rsidRPr="005F6151">
        <w:rPr>
          <w:rFonts w:cstheme="minorHAnsi"/>
        </w:rPr>
        <w:t>19</w:t>
      </w:r>
      <w:r w:rsidR="007740CD" w:rsidRPr="005F6151">
        <w:rPr>
          <w:rFonts w:cstheme="minorHAnsi"/>
        </w:rPr>
        <w:t xml:space="preserve">) and </w:t>
      </w:r>
      <w:r w:rsidR="00855F3A" w:rsidRPr="005F6151">
        <w:rPr>
          <w:rFonts w:cstheme="minorHAnsi"/>
        </w:rPr>
        <w:t>Quilter (2020)</w:t>
      </w:r>
      <w:r w:rsidR="008A122A" w:rsidRPr="005F6151">
        <w:rPr>
          <w:rFonts w:cstheme="minorHAnsi"/>
        </w:rPr>
        <w:t xml:space="preserve">, and </w:t>
      </w:r>
      <w:r w:rsidR="001559FC" w:rsidRPr="005F6151">
        <w:rPr>
          <w:rFonts w:cstheme="minorHAnsi"/>
        </w:rPr>
        <w:t xml:space="preserve">critically examine the merits </w:t>
      </w:r>
      <w:r w:rsidR="00A25638" w:rsidRPr="005F6151">
        <w:rPr>
          <w:rFonts w:cstheme="minorHAnsi"/>
        </w:rPr>
        <w:t xml:space="preserve">by which different </w:t>
      </w:r>
      <w:r w:rsidR="003366E9" w:rsidRPr="005F6151">
        <w:rPr>
          <w:rFonts w:cstheme="minorHAnsi"/>
        </w:rPr>
        <w:t xml:space="preserve">policy making </w:t>
      </w:r>
      <w:r w:rsidR="00A25638" w:rsidRPr="005F6151">
        <w:rPr>
          <w:rFonts w:cstheme="minorHAnsi"/>
        </w:rPr>
        <w:t xml:space="preserve">processes </w:t>
      </w:r>
      <w:r w:rsidR="00DD51FC" w:rsidRPr="005F6151">
        <w:rPr>
          <w:rFonts w:cstheme="minorHAnsi"/>
        </w:rPr>
        <w:t>have given</w:t>
      </w:r>
      <w:r w:rsidR="001B4814" w:rsidRPr="005F6151">
        <w:rPr>
          <w:rFonts w:cstheme="minorHAnsi"/>
        </w:rPr>
        <w:t xml:space="preserve"> rise to </w:t>
      </w:r>
      <w:r w:rsidR="00A25638" w:rsidRPr="005F6151">
        <w:rPr>
          <w:rFonts w:cstheme="minorHAnsi"/>
        </w:rPr>
        <w:t>significantly different</w:t>
      </w:r>
      <w:r w:rsidR="00DC3412" w:rsidRPr="005F6151">
        <w:rPr>
          <w:rFonts w:cstheme="minorHAnsi"/>
        </w:rPr>
        <w:t xml:space="preserve"> D</w:t>
      </w:r>
      <w:r w:rsidR="003A3CF7" w:rsidRPr="005F6151">
        <w:rPr>
          <w:rFonts w:cstheme="minorHAnsi"/>
        </w:rPr>
        <w:t>F</w:t>
      </w:r>
      <w:r w:rsidR="00DC3412" w:rsidRPr="005F6151">
        <w:rPr>
          <w:rFonts w:cstheme="minorHAnsi"/>
        </w:rPr>
        <w:t>V policy directions</w:t>
      </w:r>
      <w:r w:rsidR="001B4814" w:rsidRPr="005F6151">
        <w:rPr>
          <w:rFonts w:cstheme="minorHAnsi"/>
        </w:rPr>
        <w:t xml:space="preserve"> across Australia</w:t>
      </w:r>
      <w:r w:rsidR="00DC3412" w:rsidRPr="005F6151">
        <w:rPr>
          <w:rFonts w:cstheme="minorHAnsi"/>
        </w:rPr>
        <w:t>n states and territories</w:t>
      </w:r>
      <w:r w:rsidR="000C143F" w:rsidRPr="005F6151">
        <w:rPr>
          <w:rFonts w:cstheme="minorHAnsi"/>
        </w:rPr>
        <w:t xml:space="preserve"> in recent years. </w:t>
      </w:r>
    </w:p>
    <w:p w14:paraId="2CBADFE0" w14:textId="77777777" w:rsidR="00A7239F" w:rsidRPr="005F6151" w:rsidRDefault="00A7239F" w:rsidP="005F6151">
      <w:pPr>
        <w:spacing w:line="360" w:lineRule="auto"/>
        <w:jc w:val="both"/>
        <w:rPr>
          <w:rFonts w:cstheme="minorHAnsi"/>
          <w:b/>
          <w:bCs/>
        </w:rPr>
      </w:pPr>
    </w:p>
    <w:p w14:paraId="591B4590" w14:textId="77777777" w:rsidR="00F56C16" w:rsidRPr="005F6151" w:rsidRDefault="00F56C16" w:rsidP="00C77CEF">
      <w:pPr>
        <w:pStyle w:val="Heading1"/>
      </w:pPr>
      <w:r w:rsidRPr="005F6151">
        <w:t>Policy making as a response to victim-survivor driven advocacy: The English experience</w:t>
      </w:r>
    </w:p>
    <w:p w14:paraId="7E86C6F6" w14:textId="77777777" w:rsidR="00E90391" w:rsidRDefault="00E90391" w:rsidP="002531E1">
      <w:pPr>
        <w:spacing w:line="360" w:lineRule="auto"/>
        <w:jc w:val="both"/>
        <w:rPr>
          <w:rFonts w:cstheme="minorHAnsi"/>
        </w:rPr>
      </w:pPr>
    </w:p>
    <w:p w14:paraId="5ED97B73" w14:textId="0BB6CA97" w:rsidR="00EC3307" w:rsidRPr="005F6151" w:rsidRDefault="00855F3A" w:rsidP="002531E1">
      <w:pPr>
        <w:spacing w:line="360" w:lineRule="auto"/>
        <w:jc w:val="both"/>
        <w:rPr>
          <w:rFonts w:cstheme="minorHAnsi"/>
        </w:rPr>
      </w:pPr>
      <w:r w:rsidRPr="005F6151">
        <w:rPr>
          <w:rFonts w:cstheme="minorHAnsi"/>
        </w:rPr>
        <w:t>In order to set the scene</w:t>
      </w:r>
      <w:r w:rsidR="00481CDC" w:rsidRPr="005F6151">
        <w:rPr>
          <w:rFonts w:cstheme="minorHAnsi"/>
        </w:rPr>
        <w:t>,</w:t>
      </w:r>
      <w:r w:rsidRPr="005F6151">
        <w:rPr>
          <w:rFonts w:cstheme="minorHAnsi"/>
        </w:rPr>
        <w:t xml:space="preserve"> i</w:t>
      </w:r>
      <w:r w:rsidR="00F56C16" w:rsidRPr="005F6151">
        <w:rPr>
          <w:rFonts w:cstheme="minorHAnsi"/>
        </w:rPr>
        <w:t xml:space="preserve">t is helpful to first step outside of the Australian context </w:t>
      </w:r>
      <w:r w:rsidRPr="005F6151">
        <w:rPr>
          <w:rFonts w:cstheme="minorHAnsi"/>
        </w:rPr>
        <w:t xml:space="preserve">and </w:t>
      </w:r>
      <w:r w:rsidR="00F56C16" w:rsidRPr="005F6151">
        <w:rPr>
          <w:rFonts w:cstheme="minorHAnsi"/>
        </w:rPr>
        <w:t>examin</w:t>
      </w:r>
      <w:r w:rsidRPr="005F6151">
        <w:rPr>
          <w:rFonts w:cstheme="minorHAnsi"/>
        </w:rPr>
        <w:t>e</w:t>
      </w:r>
      <w:r w:rsidR="00F56C16" w:rsidRPr="005F6151">
        <w:rPr>
          <w:rFonts w:cstheme="minorHAnsi"/>
        </w:rPr>
        <w:t xml:space="preserve"> how the DVDS first came to be developed and introduced in England and Wales</w:t>
      </w:r>
      <w:r w:rsidRPr="005F6151">
        <w:rPr>
          <w:rFonts w:cstheme="minorHAnsi"/>
        </w:rPr>
        <w:t>. Arguably this was a</w:t>
      </w:r>
      <w:r w:rsidR="006656BB" w:rsidRPr="005F6151">
        <w:rPr>
          <w:rFonts w:cstheme="minorHAnsi"/>
        </w:rPr>
        <w:t xml:space="preserve"> process which clearly demonstrates one</w:t>
      </w:r>
      <w:r w:rsidR="00F56C16" w:rsidRPr="005F6151">
        <w:rPr>
          <w:rFonts w:cstheme="minorHAnsi"/>
        </w:rPr>
        <w:t xml:space="preserve"> of </w:t>
      </w:r>
      <w:r w:rsidR="00602838" w:rsidRPr="005F6151">
        <w:rPr>
          <w:rFonts w:cstheme="minorHAnsi"/>
        </w:rPr>
        <w:t>McNamara et al</w:t>
      </w:r>
      <w:r w:rsidR="00A25FEC" w:rsidRPr="005F6151">
        <w:rPr>
          <w:rFonts w:cstheme="minorHAnsi"/>
        </w:rPr>
        <w:t>.</w:t>
      </w:r>
      <w:r w:rsidR="00602838" w:rsidRPr="005F6151">
        <w:rPr>
          <w:rFonts w:cstheme="minorHAnsi"/>
        </w:rPr>
        <w:t xml:space="preserve">’s </w:t>
      </w:r>
      <w:r w:rsidR="00F56C16" w:rsidRPr="005F6151">
        <w:rPr>
          <w:rFonts w:cstheme="minorHAnsi"/>
        </w:rPr>
        <w:t>(20</w:t>
      </w:r>
      <w:r w:rsidR="002D5612" w:rsidRPr="005F6151">
        <w:rPr>
          <w:rFonts w:cstheme="minorHAnsi"/>
        </w:rPr>
        <w:t>19</w:t>
      </w:r>
      <w:r w:rsidR="00F56C16" w:rsidRPr="005F6151">
        <w:rPr>
          <w:rFonts w:cstheme="minorHAnsi"/>
        </w:rPr>
        <w:t>) typologies</w:t>
      </w:r>
      <w:r w:rsidR="00982AC5" w:rsidRPr="005F6151">
        <w:rPr>
          <w:rFonts w:cstheme="minorHAnsi"/>
        </w:rPr>
        <w:t xml:space="preserve"> </w:t>
      </w:r>
      <w:r w:rsidR="00F56C16" w:rsidRPr="005F6151">
        <w:rPr>
          <w:rFonts w:cstheme="minorHAnsi"/>
        </w:rPr>
        <w:t>– single stage, executive controlled reform</w:t>
      </w:r>
      <w:r w:rsidR="00EC3307" w:rsidRPr="005F6151">
        <w:rPr>
          <w:rFonts w:cstheme="minorHAnsi"/>
        </w:rPr>
        <w:t>, which Quilter describes as tending to be</w:t>
      </w:r>
      <w:r w:rsidR="002531E1">
        <w:rPr>
          <w:rFonts w:cstheme="minorHAnsi"/>
        </w:rPr>
        <w:t xml:space="preserve"> ‘</w:t>
      </w:r>
      <w:r w:rsidR="00EC3307" w:rsidRPr="005F6151">
        <w:rPr>
          <w:rFonts w:cstheme="minorHAnsi"/>
        </w:rPr>
        <w:t>fast and driven by Cabinet with limited or no opportunity for consultation or independent input</w:t>
      </w:r>
      <w:r w:rsidR="002531E1">
        <w:rPr>
          <w:rFonts w:cstheme="minorHAnsi"/>
        </w:rPr>
        <w:t>’</w:t>
      </w:r>
      <w:r w:rsidR="00EC3307" w:rsidRPr="005F6151">
        <w:rPr>
          <w:rFonts w:cstheme="minorHAnsi"/>
        </w:rPr>
        <w:t xml:space="preserve"> (2020: 112)</w:t>
      </w:r>
      <w:r w:rsidR="002531E1">
        <w:rPr>
          <w:rFonts w:cstheme="minorHAnsi"/>
        </w:rPr>
        <w:t>.</w:t>
      </w:r>
    </w:p>
    <w:p w14:paraId="3797DBA2" w14:textId="77777777" w:rsidR="00EC3307" w:rsidRPr="005F6151" w:rsidRDefault="00EC3307" w:rsidP="005F6151">
      <w:pPr>
        <w:spacing w:line="360" w:lineRule="auto"/>
        <w:jc w:val="both"/>
        <w:rPr>
          <w:rFonts w:cstheme="minorHAnsi"/>
        </w:rPr>
      </w:pPr>
    </w:p>
    <w:p w14:paraId="23614C23" w14:textId="1357D436" w:rsidR="00432E87" w:rsidRPr="005F6151" w:rsidRDefault="00005B19" w:rsidP="005F6151">
      <w:pPr>
        <w:spacing w:line="360" w:lineRule="auto"/>
        <w:jc w:val="both"/>
        <w:rPr>
          <w:rFonts w:cstheme="minorHAnsi"/>
        </w:rPr>
      </w:pPr>
      <w:r w:rsidRPr="005F6151">
        <w:rPr>
          <w:rFonts w:cstheme="minorHAnsi"/>
        </w:rPr>
        <w:t>Noting that this approach to policy or law making typically gives rise to reactive, knee</w:t>
      </w:r>
      <w:r w:rsidR="00A25FEC" w:rsidRPr="005F6151">
        <w:rPr>
          <w:rFonts w:cstheme="minorHAnsi"/>
        </w:rPr>
        <w:t>-</w:t>
      </w:r>
      <w:r w:rsidRPr="005F6151">
        <w:rPr>
          <w:rFonts w:cstheme="minorHAnsi"/>
        </w:rPr>
        <w:t xml:space="preserve">jerk and punitive criminal justice policies, Quilter (2020: 113) cites, among other examples, the rise of serious sex offender schemes. </w:t>
      </w:r>
      <w:r w:rsidR="008A3945" w:rsidRPr="005F6151">
        <w:rPr>
          <w:rFonts w:cstheme="minorHAnsi"/>
        </w:rPr>
        <w:t>She explains that often such speedy reforms arise in response to</w:t>
      </w:r>
      <w:r w:rsidR="00567AA1" w:rsidRPr="005F6151">
        <w:rPr>
          <w:rFonts w:cstheme="minorHAnsi"/>
        </w:rPr>
        <w:t xml:space="preserve"> ‘tragic’</w:t>
      </w:r>
      <w:r w:rsidR="008A3945" w:rsidRPr="005F6151">
        <w:rPr>
          <w:rFonts w:cstheme="minorHAnsi"/>
        </w:rPr>
        <w:t xml:space="preserve"> acts of fatal violence</w:t>
      </w:r>
      <w:r w:rsidR="00093A2D" w:rsidRPr="005F6151">
        <w:rPr>
          <w:rFonts w:cstheme="minorHAnsi"/>
        </w:rPr>
        <w:t xml:space="preserve"> (such as intimate partner homicides or the killing of a child)</w:t>
      </w:r>
      <w:r w:rsidR="008A3945" w:rsidRPr="005F6151">
        <w:rPr>
          <w:rFonts w:cstheme="minorHAnsi"/>
        </w:rPr>
        <w:t xml:space="preserve"> or as a specific response to readily ‘demonised groups’ </w:t>
      </w:r>
      <w:r w:rsidR="00093A2D" w:rsidRPr="005F6151">
        <w:rPr>
          <w:rFonts w:cstheme="minorHAnsi"/>
        </w:rPr>
        <w:t>(</w:t>
      </w:r>
      <w:r w:rsidR="008A3945" w:rsidRPr="005F6151">
        <w:rPr>
          <w:rFonts w:cstheme="minorHAnsi"/>
        </w:rPr>
        <w:t>such</w:t>
      </w:r>
      <w:r w:rsidR="00093A2D" w:rsidRPr="005F6151">
        <w:rPr>
          <w:rFonts w:cstheme="minorHAnsi"/>
        </w:rPr>
        <w:t xml:space="preserve"> as terrorists or gang </w:t>
      </w:r>
      <w:r w:rsidR="00DA42CB" w:rsidRPr="005F6151">
        <w:rPr>
          <w:rFonts w:cstheme="minorHAnsi"/>
        </w:rPr>
        <w:t>members) (</w:t>
      </w:r>
      <w:r w:rsidR="00093A2D" w:rsidRPr="005F6151">
        <w:rPr>
          <w:rFonts w:cstheme="minorHAnsi"/>
        </w:rPr>
        <w:t>Quilter, 2020: 113)</w:t>
      </w:r>
      <w:r w:rsidR="00DA42CB" w:rsidRPr="005F6151">
        <w:rPr>
          <w:rFonts w:cstheme="minorHAnsi"/>
        </w:rPr>
        <w:t xml:space="preserve">. </w:t>
      </w:r>
      <w:r w:rsidR="008A3945" w:rsidRPr="005F6151">
        <w:rPr>
          <w:rFonts w:cstheme="minorHAnsi"/>
        </w:rPr>
        <w:t>Here,</w:t>
      </w:r>
      <w:r w:rsidR="00567AA1" w:rsidRPr="005F6151">
        <w:rPr>
          <w:rFonts w:cstheme="minorHAnsi"/>
        </w:rPr>
        <w:t xml:space="preserve"> </w:t>
      </w:r>
      <w:r w:rsidR="0041408A" w:rsidRPr="005F6151">
        <w:rPr>
          <w:rFonts w:cstheme="minorHAnsi"/>
        </w:rPr>
        <w:t>‘quick fix’ legislation is readily introduced</w:t>
      </w:r>
      <w:r w:rsidR="008A3945" w:rsidRPr="005F6151">
        <w:rPr>
          <w:rFonts w:cstheme="minorHAnsi"/>
        </w:rPr>
        <w:t xml:space="preserve"> by Parliament</w:t>
      </w:r>
      <w:r w:rsidR="0041408A" w:rsidRPr="005F6151">
        <w:rPr>
          <w:rFonts w:cstheme="minorHAnsi"/>
        </w:rPr>
        <w:t xml:space="preserve"> </w:t>
      </w:r>
      <w:r w:rsidR="008A3945" w:rsidRPr="005F6151">
        <w:rPr>
          <w:rFonts w:cstheme="minorHAnsi"/>
        </w:rPr>
        <w:t xml:space="preserve">to curry favour </w:t>
      </w:r>
      <w:r w:rsidR="0041408A" w:rsidRPr="005F6151">
        <w:rPr>
          <w:rFonts w:cstheme="minorHAnsi"/>
        </w:rPr>
        <w:t xml:space="preserve">in response to a </w:t>
      </w:r>
      <w:r w:rsidR="008A3945" w:rsidRPr="005F6151">
        <w:rPr>
          <w:rFonts w:cstheme="minorHAnsi"/>
        </w:rPr>
        <w:t xml:space="preserve">clear community identified tragedy or threat (Quilter, 2020: 113). </w:t>
      </w:r>
      <w:r w:rsidR="00432E87" w:rsidRPr="005F6151">
        <w:rPr>
          <w:rFonts w:cstheme="minorHAnsi"/>
        </w:rPr>
        <w:t xml:space="preserve"> One of the earliest examples of ‘quick fix’ legislation (also an early example of a victim-named law; a theme that is returned to below) is Megan’s Law. </w:t>
      </w:r>
    </w:p>
    <w:p w14:paraId="502FC8C4" w14:textId="77777777" w:rsidR="00432E87" w:rsidRPr="005F6151" w:rsidRDefault="00432E87" w:rsidP="005F6151">
      <w:pPr>
        <w:spacing w:line="360" w:lineRule="auto"/>
        <w:jc w:val="both"/>
        <w:rPr>
          <w:rFonts w:cstheme="minorHAnsi"/>
        </w:rPr>
      </w:pPr>
    </w:p>
    <w:p w14:paraId="03BF09D7" w14:textId="600A20C8" w:rsidR="00432E87" w:rsidRPr="005F6151" w:rsidRDefault="00432E87" w:rsidP="005F6151">
      <w:pPr>
        <w:spacing w:line="360" w:lineRule="auto"/>
        <w:jc w:val="both"/>
        <w:rPr>
          <w:rFonts w:cstheme="minorHAnsi"/>
        </w:rPr>
      </w:pPr>
      <w:r w:rsidRPr="005F6151">
        <w:rPr>
          <w:rFonts w:cstheme="minorHAnsi"/>
        </w:rPr>
        <w:t>Megan’s Law was first passed in New Jersey (U</w:t>
      </w:r>
      <w:r w:rsidR="00F0671C">
        <w:rPr>
          <w:rFonts w:cstheme="minorHAnsi"/>
        </w:rPr>
        <w:t>SA</w:t>
      </w:r>
      <w:r w:rsidRPr="005F6151">
        <w:rPr>
          <w:rFonts w:cstheme="minorHAnsi"/>
        </w:rPr>
        <w:t xml:space="preserve">) in 1994 following the rape and murder of seven-year-old Megan Kanka by a known child sex offender who lived next door. After she was killed Megan’s parents spoke publicly about the belief that they would have been able to prevent their daughter’s killing had they known about the offender’s prior convictions for sexual offences. The legislation was federally ratified in 1996 as an amendment to the existing </w:t>
      </w:r>
      <w:r w:rsidRPr="005F6151">
        <w:rPr>
          <w:rFonts w:cstheme="minorHAnsi"/>
          <w:i/>
        </w:rPr>
        <w:t>Jacob Wetterling Crimes Against Children and Sexually Violent Offender Registration Act</w:t>
      </w:r>
      <w:r w:rsidRPr="005F6151">
        <w:rPr>
          <w:rFonts w:cstheme="minorHAnsi"/>
        </w:rPr>
        <w:t xml:space="preserve"> of 1994. Megan’s Law requires </w:t>
      </w:r>
      <w:r w:rsidRPr="005F6151">
        <w:rPr>
          <w:rFonts w:cstheme="minorHAnsi"/>
        </w:rPr>
        <w:lastRenderedPageBreak/>
        <w:t>convicted sex offenders to register with the police who then share their information (e.g. their home address) with the local community. The objective of the legislation is to deter future offending by reminding sex offenders that they are being monitored, and to encourage vigilance within the community. Despite varying iterations of what are more broadly known as sex offender registration and notification (SORN) laws across the US</w:t>
      </w:r>
      <w:r w:rsidR="009C6402">
        <w:rPr>
          <w:rFonts w:cstheme="minorHAnsi"/>
        </w:rPr>
        <w:t>A</w:t>
      </w:r>
      <w:r w:rsidRPr="005F6151">
        <w:rPr>
          <w:rFonts w:cstheme="minorHAnsi"/>
        </w:rPr>
        <w:t>, Megan’s Law has come to be used as the ‘umbrella term’ (Simpson, 1999). What the various iterations of Megan’s Law have in common is the lack of evidence to support the proclaimed deterrent effect (</w:t>
      </w:r>
      <w:proofErr w:type="spellStart"/>
      <w:r w:rsidRPr="005F6151">
        <w:rPr>
          <w:rFonts w:cstheme="minorHAnsi"/>
        </w:rPr>
        <w:t>Zgoba</w:t>
      </w:r>
      <w:proofErr w:type="spellEnd"/>
      <w:r w:rsidRPr="005F6151">
        <w:rPr>
          <w:rFonts w:cstheme="minorHAnsi"/>
        </w:rPr>
        <w:t xml:space="preserve">, Jennings </w:t>
      </w:r>
      <w:r w:rsidR="004939BB">
        <w:rPr>
          <w:rFonts w:cstheme="minorHAnsi"/>
        </w:rPr>
        <w:t>&amp;</w:t>
      </w:r>
      <w:r w:rsidRPr="005F6151">
        <w:rPr>
          <w:rFonts w:cstheme="minorHAnsi"/>
        </w:rPr>
        <w:t xml:space="preserve"> Salerno, 2018). </w:t>
      </w:r>
    </w:p>
    <w:p w14:paraId="52E9408A" w14:textId="77777777" w:rsidR="00432E87" w:rsidRPr="005F6151" w:rsidRDefault="00432E87" w:rsidP="005F6151">
      <w:pPr>
        <w:spacing w:line="360" w:lineRule="auto"/>
        <w:jc w:val="both"/>
        <w:rPr>
          <w:rFonts w:cstheme="minorHAnsi"/>
        </w:rPr>
      </w:pPr>
    </w:p>
    <w:p w14:paraId="67FD51B3" w14:textId="16A05B3D" w:rsidR="00432E87" w:rsidRPr="005F6151" w:rsidRDefault="00432E87" w:rsidP="00071082">
      <w:pPr>
        <w:spacing w:line="360" w:lineRule="auto"/>
        <w:jc w:val="both"/>
        <w:rPr>
          <w:rFonts w:cstheme="minorHAnsi"/>
        </w:rPr>
      </w:pPr>
      <w:r w:rsidRPr="005F6151">
        <w:rPr>
          <w:rFonts w:cstheme="minorHAnsi"/>
        </w:rPr>
        <w:t xml:space="preserve">The campaign to introduce ‘Megan’s Law’ gained significant popularity and it is noteworthy that there were no legislative hearings which considered the impacts that a law of this scope may have on the affected sex offenders and/or the public (Dugan, 2001). As Quilter </w:t>
      </w:r>
      <w:r w:rsidR="002B2AFB" w:rsidRPr="005F6151">
        <w:rPr>
          <w:rFonts w:cstheme="minorHAnsi"/>
        </w:rPr>
        <w:t xml:space="preserve">highlights, </w:t>
      </w:r>
      <w:r w:rsidR="00007357">
        <w:rPr>
          <w:rFonts w:cstheme="minorHAnsi"/>
        </w:rPr>
        <w:t>this</w:t>
      </w:r>
      <w:r w:rsidRPr="005F6151">
        <w:rPr>
          <w:rFonts w:cstheme="minorHAnsi"/>
        </w:rPr>
        <w:t xml:space="preserve"> is a typical feature of reforms </w:t>
      </w:r>
      <w:r w:rsidR="00CA6AB8">
        <w:rPr>
          <w:rFonts w:cstheme="minorHAnsi"/>
        </w:rPr>
        <w:t>that</w:t>
      </w:r>
      <w:r w:rsidR="00CA6AB8" w:rsidRPr="005F6151">
        <w:rPr>
          <w:rFonts w:cstheme="minorHAnsi"/>
        </w:rPr>
        <w:t xml:space="preserve"> </w:t>
      </w:r>
      <w:r w:rsidRPr="005F6151">
        <w:rPr>
          <w:rFonts w:cstheme="minorHAnsi"/>
        </w:rPr>
        <w:t xml:space="preserve">result from individual cases whereby the ‘speed’ with which the reforms are introduced </w:t>
      </w:r>
      <w:r w:rsidR="00335332">
        <w:rPr>
          <w:rFonts w:cstheme="minorHAnsi"/>
        </w:rPr>
        <w:t>i</w:t>
      </w:r>
      <w:r w:rsidRPr="005F6151">
        <w:rPr>
          <w:rFonts w:cstheme="minorHAnsi"/>
        </w:rPr>
        <w:t>s used symbolically by government to i</w:t>
      </w:r>
      <w:r w:rsidR="00007357">
        <w:rPr>
          <w:rFonts w:cstheme="minorHAnsi"/>
        </w:rPr>
        <w:t>mply</w:t>
      </w:r>
      <w:r w:rsidR="00071082">
        <w:rPr>
          <w:rFonts w:cstheme="minorHAnsi"/>
        </w:rPr>
        <w:t xml:space="preserve"> </w:t>
      </w:r>
      <w:r w:rsidR="005749E8">
        <w:rPr>
          <w:rFonts w:cstheme="minorHAnsi"/>
        </w:rPr>
        <w:t>that it ‘</w:t>
      </w:r>
      <w:r w:rsidRPr="005F6151">
        <w:rPr>
          <w:rFonts w:cstheme="minorHAnsi"/>
        </w:rPr>
        <w:t xml:space="preserve">is taking community concerns seriously, means business and is </w:t>
      </w:r>
      <w:r w:rsidR="00AA4962">
        <w:rPr>
          <w:rFonts w:cstheme="minorHAnsi"/>
        </w:rPr>
        <w:t>“</w:t>
      </w:r>
      <w:r w:rsidRPr="005F6151">
        <w:rPr>
          <w:rFonts w:cstheme="minorHAnsi"/>
        </w:rPr>
        <w:t>in control</w:t>
      </w:r>
      <w:r w:rsidR="00AA4962">
        <w:rPr>
          <w:rFonts w:cstheme="minorHAnsi"/>
        </w:rPr>
        <w:t>”</w:t>
      </w:r>
      <w:r w:rsidRPr="005F6151">
        <w:rPr>
          <w:rFonts w:cstheme="minorHAnsi"/>
        </w:rPr>
        <w:t xml:space="preserve"> of the problem – rather than what </w:t>
      </w:r>
      <w:r w:rsidR="00F6206F">
        <w:rPr>
          <w:rFonts w:cstheme="minorHAnsi"/>
        </w:rPr>
        <w:t>it</w:t>
      </w:r>
      <w:r w:rsidR="00F6206F" w:rsidRPr="005F6151">
        <w:rPr>
          <w:rFonts w:cstheme="minorHAnsi"/>
        </w:rPr>
        <w:t xml:space="preserve"> </w:t>
      </w:r>
      <w:r w:rsidRPr="005F6151">
        <w:rPr>
          <w:rFonts w:cstheme="minorHAnsi"/>
        </w:rPr>
        <w:t xml:space="preserve">often does signify: a lack of understanding of the complexity of the legal and social issues and a willingness to make law </w:t>
      </w:r>
      <w:r w:rsidR="00AA4962">
        <w:rPr>
          <w:rFonts w:cstheme="minorHAnsi"/>
        </w:rPr>
        <w:t>“</w:t>
      </w:r>
      <w:r w:rsidRPr="005F6151">
        <w:rPr>
          <w:rFonts w:cstheme="minorHAnsi"/>
        </w:rPr>
        <w:t>on the run</w:t>
      </w:r>
      <w:r w:rsidR="00AA4962">
        <w:rPr>
          <w:rFonts w:cstheme="minorHAnsi"/>
        </w:rPr>
        <w:t>”’</w:t>
      </w:r>
      <w:r w:rsidRPr="005F6151">
        <w:rPr>
          <w:rFonts w:cstheme="minorHAnsi"/>
        </w:rPr>
        <w:t xml:space="preserve"> (Quilter, 2020: 114)</w:t>
      </w:r>
      <w:r w:rsidR="00AA4962">
        <w:rPr>
          <w:rFonts w:cstheme="minorHAnsi"/>
        </w:rPr>
        <w:t>.</w:t>
      </w:r>
    </w:p>
    <w:p w14:paraId="7C341CF0" w14:textId="77777777" w:rsidR="00432E87" w:rsidRPr="005F6151" w:rsidRDefault="00432E87" w:rsidP="005F6151">
      <w:pPr>
        <w:spacing w:line="360" w:lineRule="auto"/>
        <w:jc w:val="both"/>
        <w:rPr>
          <w:rFonts w:cstheme="minorHAnsi"/>
        </w:rPr>
      </w:pPr>
    </w:p>
    <w:p w14:paraId="7647117B" w14:textId="3461E819" w:rsidR="00432E87" w:rsidRPr="005F6151" w:rsidRDefault="00432E87" w:rsidP="005F6151">
      <w:pPr>
        <w:spacing w:line="360" w:lineRule="auto"/>
        <w:jc w:val="both"/>
        <w:rPr>
          <w:rFonts w:cstheme="minorHAnsi"/>
        </w:rPr>
      </w:pPr>
      <w:r w:rsidRPr="005F6151">
        <w:rPr>
          <w:rFonts w:cstheme="minorHAnsi"/>
        </w:rPr>
        <w:t xml:space="preserve">Representing a similar instance of single stage reform, and mirroring Megan’s Law, the 2000 </w:t>
      </w:r>
      <w:r w:rsidR="00A25FEC" w:rsidRPr="005F6151">
        <w:rPr>
          <w:rFonts w:cstheme="minorHAnsi"/>
        </w:rPr>
        <w:t>abduction</w:t>
      </w:r>
      <w:r w:rsidRPr="005F6151">
        <w:rPr>
          <w:rFonts w:cstheme="minorHAnsi"/>
        </w:rPr>
        <w:t xml:space="preserve"> and murder of eight-year-old Sarah Payne by a convicted sex offender, led to a campaign by Sarah’s parents in partnership with </w:t>
      </w:r>
      <w:r w:rsidR="00BF671C">
        <w:rPr>
          <w:rFonts w:cstheme="minorHAnsi"/>
        </w:rPr>
        <w:t xml:space="preserve">the </w:t>
      </w:r>
      <w:r w:rsidRPr="00BF671C">
        <w:rPr>
          <w:rFonts w:cstheme="minorHAnsi"/>
          <w:i/>
          <w:iCs/>
        </w:rPr>
        <w:t>News of the World</w:t>
      </w:r>
      <w:r w:rsidRPr="005F6151">
        <w:rPr>
          <w:rFonts w:cstheme="minorHAnsi"/>
        </w:rPr>
        <w:t xml:space="preserve"> </w:t>
      </w:r>
      <w:r w:rsidR="00BF671C">
        <w:rPr>
          <w:rFonts w:cstheme="minorHAnsi"/>
        </w:rPr>
        <w:t xml:space="preserve">newspaper </w:t>
      </w:r>
      <w:r w:rsidRPr="005F6151">
        <w:rPr>
          <w:rFonts w:cstheme="minorHAnsi"/>
        </w:rPr>
        <w:t xml:space="preserve">for the introduction of a child sexual offender disclosure scheme in England and Wales (Lipscombe, 2012). The law reform campaign, referred to as ‘For Sarah’, focused on the need for parents to be able to request access to information about child sex offenders that live in their area. While the government initially spoke out against the introduction of ‘Sarah’s Law’ (BBC News, 2001), the media campaign ignited significant public disquiet and demands for the </w:t>
      </w:r>
      <w:r w:rsidR="00C63729">
        <w:rPr>
          <w:rFonts w:cstheme="minorHAnsi"/>
        </w:rPr>
        <w:t>g</w:t>
      </w:r>
      <w:r w:rsidRPr="005F6151">
        <w:rPr>
          <w:rFonts w:cstheme="minorHAnsi"/>
        </w:rPr>
        <w:t>overnment to enact a version of Megan’s Law (Dugan, 2001). The eventual UK legislation differs somewhat from the publicly accessible US version</w:t>
      </w:r>
      <w:r w:rsidR="00DB093A" w:rsidRPr="005F6151">
        <w:rPr>
          <w:rFonts w:cstheme="minorHAnsi"/>
        </w:rPr>
        <w:t>. I</w:t>
      </w:r>
      <w:r w:rsidRPr="005F6151">
        <w:rPr>
          <w:rFonts w:cstheme="minorHAnsi"/>
        </w:rPr>
        <w:t>t does not provide access to the name and address of local sex offenders</w:t>
      </w:r>
      <w:r w:rsidR="00F748C1">
        <w:rPr>
          <w:rFonts w:cstheme="minorHAnsi"/>
        </w:rPr>
        <w:t>;</w:t>
      </w:r>
      <w:r w:rsidRPr="005F6151">
        <w:rPr>
          <w:rFonts w:cstheme="minorHAnsi"/>
        </w:rPr>
        <w:t xml:space="preserve"> rather it provides a scheme through which members of the public can ask the police whether an individual (a neighbour or family friend, for example) is a convicted sex offender (Dugan, 2001; Lipscombe, 2012). The only notable similarity is that the law is named after an individual victim. </w:t>
      </w:r>
      <w:r w:rsidR="007A25B7">
        <w:rPr>
          <w:rFonts w:cstheme="minorHAnsi"/>
        </w:rPr>
        <w:t>‘</w:t>
      </w:r>
      <w:r w:rsidRPr="005F6151">
        <w:rPr>
          <w:rFonts w:cstheme="minorHAnsi"/>
        </w:rPr>
        <w:t>Sarah’s Law</w:t>
      </w:r>
      <w:r w:rsidR="007A25B7">
        <w:rPr>
          <w:rFonts w:cstheme="minorHAnsi"/>
        </w:rPr>
        <w:t>’</w:t>
      </w:r>
      <w:r w:rsidRPr="005F6151">
        <w:rPr>
          <w:rFonts w:cstheme="minorHAnsi"/>
        </w:rPr>
        <w:t xml:space="preserve"> was introduced </w:t>
      </w:r>
      <w:r w:rsidRPr="005F6151">
        <w:rPr>
          <w:rFonts w:cstheme="minorHAnsi"/>
        </w:rPr>
        <w:lastRenderedPageBreak/>
        <w:t xml:space="preserve">as a pilot in 2008 and in August 2010 the Home Office rolled the scheme out across all 43 police areas in England and Wales. </w:t>
      </w:r>
    </w:p>
    <w:p w14:paraId="1F7683E9" w14:textId="77777777" w:rsidR="00432E87" w:rsidRPr="005F6151" w:rsidRDefault="00432E87" w:rsidP="005F6151">
      <w:pPr>
        <w:spacing w:line="360" w:lineRule="auto"/>
        <w:jc w:val="both"/>
        <w:rPr>
          <w:rFonts w:cstheme="minorHAnsi"/>
        </w:rPr>
      </w:pPr>
    </w:p>
    <w:p w14:paraId="2FBF88ED" w14:textId="38FDB7D5" w:rsidR="00567AA1" w:rsidRPr="005F6151" w:rsidRDefault="00220104" w:rsidP="005F6151">
      <w:pPr>
        <w:spacing w:line="360" w:lineRule="auto"/>
        <w:jc w:val="both"/>
        <w:rPr>
          <w:rFonts w:cstheme="minorHAnsi"/>
        </w:rPr>
      </w:pPr>
      <w:r w:rsidRPr="005F6151">
        <w:rPr>
          <w:rFonts w:cstheme="minorHAnsi"/>
        </w:rPr>
        <w:t>It is important to note that t</w:t>
      </w:r>
      <w:r w:rsidR="00855F3A" w:rsidRPr="005F6151">
        <w:rPr>
          <w:rFonts w:cstheme="minorHAnsi"/>
        </w:rPr>
        <w:t>his kind of reactive policy response in England and Wales</w:t>
      </w:r>
      <w:r w:rsidR="000623C1" w:rsidRPr="005F6151">
        <w:rPr>
          <w:rFonts w:cstheme="minorHAnsi"/>
        </w:rPr>
        <w:t xml:space="preserve"> did not emerge in a vacuum</w:t>
      </w:r>
      <w:r w:rsidR="00855F3A" w:rsidRPr="005F6151">
        <w:rPr>
          <w:rFonts w:cstheme="minorHAnsi"/>
        </w:rPr>
        <w:t>. Rhodes (1997) ha</w:t>
      </w:r>
      <w:r w:rsidR="00FD5A04" w:rsidRPr="005F6151">
        <w:rPr>
          <w:rFonts w:cstheme="minorHAnsi"/>
        </w:rPr>
        <w:t>s</w:t>
      </w:r>
      <w:r w:rsidR="00855F3A" w:rsidRPr="005F6151">
        <w:rPr>
          <w:rFonts w:cstheme="minorHAnsi"/>
        </w:rPr>
        <w:t xml:space="preserve"> commented on the shift from Government to governance in the policy making process</w:t>
      </w:r>
      <w:r w:rsidR="00746C1D" w:rsidRPr="005F6151">
        <w:rPr>
          <w:rFonts w:cstheme="minorHAnsi"/>
        </w:rPr>
        <w:t xml:space="preserve"> in which intra-organisational networks (public, private and voluntary sectors) had an increasingly diffuse and opaque influence on the policy process by the early 1990s and nowhere was this more apparent than in relation to victims of crime</w:t>
      </w:r>
      <w:r w:rsidR="000827EF" w:rsidRPr="005F6151">
        <w:rPr>
          <w:rFonts w:cstheme="minorHAnsi"/>
        </w:rPr>
        <w:t xml:space="preserve"> (Walklate</w:t>
      </w:r>
      <w:r w:rsidR="008C20D5">
        <w:rPr>
          <w:rFonts w:cstheme="minorHAnsi"/>
        </w:rPr>
        <w:t>,</w:t>
      </w:r>
      <w:r w:rsidR="000827EF" w:rsidRPr="005F6151">
        <w:rPr>
          <w:rFonts w:cstheme="minorHAnsi"/>
        </w:rPr>
        <w:t xml:space="preserve"> 2001)</w:t>
      </w:r>
      <w:r w:rsidR="00746C1D" w:rsidRPr="005F6151">
        <w:rPr>
          <w:rFonts w:cstheme="minorHAnsi"/>
        </w:rPr>
        <w:t xml:space="preserve">. </w:t>
      </w:r>
      <w:r w:rsidR="00B9237C" w:rsidRPr="005F6151">
        <w:rPr>
          <w:rFonts w:cstheme="minorHAnsi"/>
        </w:rPr>
        <w:t>B</w:t>
      </w:r>
      <w:r w:rsidR="00746C1D" w:rsidRPr="005F6151">
        <w:rPr>
          <w:rFonts w:cstheme="minorHAnsi"/>
        </w:rPr>
        <w:t>y the early twenty-first century such processes were increasingly less opaque</w:t>
      </w:r>
      <w:r w:rsidR="00325BDD" w:rsidRPr="005F6151">
        <w:rPr>
          <w:rFonts w:cstheme="minorHAnsi"/>
        </w:rPr>
        <w:t>,</w:t>
      </w:r>
      <w:r w:rsidR="000827EF" w:rsidRPr="005F6151">
        <w:rPr>
          <w:rFonts w:cstheme="minorHAnsi"/>
        </w:rPr>
        <w:t xml:space="preserve"> and this shift was</w:t>
      </w:r>
      <w:r w:rsidR="00746C1D" w:rsidRPr="005F6151">
        <w:rPr>
          <w:rFonts w:cstheme="minorHAnsi"/>
        </w:rPr>
        <w:t xml:space="preserve"> associated with an increasing policy commitment to rebalancing the criminal justice system away from the offender toward the victim</w:t>
      </w:r>
      <w:r w:rsidR="00325BDD" w:rsidRPr="005F6151">
        <w:rPr>
          <w:rFonts w:cstheme="minorHAnsi"/>
        </w:rPr>
        <w:t>-survivor</w:t>
      </w:r>
      <w:r w:rsidR="00746C1D" w:rsidRPr="005F6151">
        <w:rPr>
          <w:rFonts w:cstheme="minorHAnsi"/>
        </w:rPr>
        <w:t xml:space="preserve">. </w:t>
      </w:r>
      <w:r w:rsidR="00B9237C" w:rsidRPr="005F6151">
        <w:rPr>
          <w:rFonts w:cstheme="minorHAnsi"/>
        </w:rPr>
        <w:t>Characterised by Walklate (2012) as courting compassion, this move also invoked victim-survivors as victims’ champions</w:t>
      </w:r>
      <w:r w:rsidR="00325BDD" w:rsidRPr="005F6151">
        <w:rPr>
          <w:rFonts w:cstheme="minorHAnsi"/>
        </w:rPr>
        <w:t>.</w:t>
      </w:r>
      <w:r w:rsidR="00B9237C" w:rsidRPr="005F6151">
        <w:rPr>
          <w:rFonts w:cstheme="minorHAnsi"/>
        </w:rPr>
        <w:t xml:space="preserve"> </w:t>
      </w:r>
      <w:r w:rsidR="00325BDD" w:rsidRPr="005F6151">
        <w:rPr>
          <w:rFonts w:cstheme="minorHAnsi"/>
        </w:rPr>
        <w:t xml:space="preserve">For example, </w:t>
      </w:r>
      <w:r w:rsidR="00B9237C" w:rsidRPr="005F6151">
        <w:rPr>
          <w:rFonts w:cstheme="minorHAnsi"/>
        </w:rPr>
        <w:t>Sara Payne was appointed to th</w:t>
      </w:r>
      <w:r w:rsidR="008B2CEA" w:rsidRPr="005F6151">
        <w:rPr>
          <w:rFonts w:cstheme="minorHAnsi"/>
        </w:rPr>
        <w:t>e</w:t>
      </w:r>
      <w:r w:rsidR="00B9237C" w:rsidRPr="005F6151">
        <w:rPr>
          <w:rFonts w:cstheme="minorHAnsi"/>
        </w:rPr>
        <w:t xml:space="preserve"> role</w:t>
      </w:r>
      <w:r w:rsidR="008B2CEA" w:rsidRPr="005F6151">
        <w:rPr>
          <w:rFonts w:cstheme="minorHAnsi"/>
        </w:rPr>
        <w:t xml:space="preserve"> of </w:t>
      </w:r>
      <w:r w:rsidR="00845D20" w:rsidRPr="005F6151">
        <w:rPr>
          <w:rFonts w:cstheme="minorHAnsi"/>
        </w:rPr>
        <w:t>v</w:t>
      </w:r>
      <w:r w:rsidR="008B2CEA" w:rsidRPr="005F6151">
        <w:rPr>
          <w:rFonts w:cstheme="minorHAnsi"/>
        </w:rPr>
        <w:t xml:space="preserve">ictims’ </w:t>
      </w:r>
      <w:r w:rsidR="00FC0B44" w:rsidRPr="005F6151">
        <w:rPr>
          <w:rFonts w:cstheme="minorHAnsi"/>
        </w:rPr>
        <w:t xml:space="preserve">champion </w:t>
      </w:r>
      <w:r w:rsidR="00B9237C" w:rsidRPr="005F6151">
        <w:rPr>
          <w:rFonts w:cstheme="minorHAnsi"/>
        </w:rPr>
        <w:t xml:space="preserve">in </w:t>
      </w:r>
      <w:r w:rsidR="00325BDD" w:rsidRPr="005F6151">
        <w:rPr>
          <w:rFonts w:cstheme="minorHAnsi"/>
        </w:rPr>
        <w:t xml:space="preserve">January </w:t>
      </w:r>
      <w:r w:rsidR="00B9237C" w:rsidRPr="005F6151">
        <w:rPr>
          <w:rFonts w:cstheme="minorHAnsi"/>
        </w:rPr>
        <w:t>200</w:t>
      </w:r>
      <w:r w:rsidR="00325BDD" w:rsidRPr="005F6151">
        <w:rPr>
          <w:rFonts w:cstheme="minorHAnsi"/>
        </w:rPr>
        <w:t xml:space="preserve">9 in recognition of her significant advocacy following the </w:t>
      </w:r>
      <w:r w:rsidR="00572C37" w:rsidRPr="005F6151">
        <w:rPr>
          <w:rFonts w:cstheme="minorHAnsi"/>
        </w:rPr>
        <w:t xml:space="preserve">abduction and </w:t>
      </w:r>
      <w:r w:rsidR="00325BDD" w:rsidRPr="005F6151">
        <w:rPr>
          <w:rFonts w:cstheme="minorHAnsi"/>
        </w:rPr>
        <w:t xml:space="preserve">murder of her </w:t>
      </w:r>
      <w:r w:rsidRPr="005F6151">
        <w:rPr>
          <w:rFonts w:cstheme="minorHAnsi"/>
        </w:rPr>
        <w:t>eight-year-old</w:t>
      </w:r>
      <w:r w:rsidR="00572C37" w:rsidRPr="005F6151">
        <w:rPr>
          <w:rFonts w:cstheme="minorHAnsi"/>
        </w:rPr>
        <w:t xml:space="preserve"> </w:t>
      </w:r>
      <w:r w:rsidR="00325BDD" w:rsidRPr="005F6151">
        <w:rPr>
          <w:rFonts w:cstheme="minorHAnsi"/>
        </w:rPr>
        <w:t>daughter</w:t>
      </w:r>
      <w:r w:rsidR="00572C37" w:rsidRPr="005F6151">
        <w:rPr>
          <w:rFonts w:cstheme="minorHAnsi"/>
        </w:rPr>
        <w:t>, Sarah.</w:t>
      </w:r>
      <w:r w:rsidR="00325BDD" w:rsidRPr="005F6151">
        <w:rPr>
          <w:rFonts w:cstheme="minorHAnsi"/>
        </w:rPr>
        <w:t xml:space="preserve"> </w:t>
      </w:r>
      <w:r w:rsidR="00E268CB" w:rsidRPr="005F6151">
        <w:rPr>
          <w:rFonts w:cstheme="minorHAnsi"/>
        </w:rPr>
        <w:t>The shift towards ‘courting compassion</w:t>
      </w:r>
      <w:r w:rsidR="002A7C8F">
        <w:rPr>
          <w:rFonts w:cstheme="minorHAnsi"/>
        </w:rPr>
        <w:t>’</w:t>
      </w:r>
      <w:r w:rsidR="00E268CB" w:rsidRPr="005F6151">
        <w:rPr>
          <w:rFonts w:cstheme="minorHAnsi"/>
        </w:rPr>
        <w:t xml:space="preserve">, as Walklate describes, also had </w:t>
      </w:r>
      <w:r w:rsidR="000827EF" w:rsidRPr="005F6151">
        <w:rPr>
          <w:rFonts w:cstheme="minorHAnsi"/>
        </w:rPr>
        <w:t>evident</w:t>
      </w:r>
      <w:r w:rsidR="003D55D9" w:rsidRPr="005F6151">
        <w:rPr>
          <w:rFonts w:cstheme="minorHAnsi"/>
        </w:rPr>
        <w:t xml:space="preserve"> links </w:t>
      </w:r>
      <w:r w:rsidR="000827EF" w:rsidRPr="005F6151">
        <w:rPr>
          <w:rFonts w:cstheme="minorHAnsi"/>
        </w:rPr>
        <w:t>with</w:t>
      </w:r>
      <w:r w:rsidR="003D55D9" w:rsidRPr="005F6151">
        <w:rPr>
          <w:rFonts w:cstheme="minorHAnsi"/>
        </w:rPr>
        <w:t xml:space="preserve"> compassionate conservatism laid bare by Norman and Ganesh (2006).</w:t>
      </w:r>
      <w:r w:rsidR="001A0E41" w:rsidRPr="005F6151">
        <w:rPr>
          <w:rFonts w:cstheme="minorHAnsi"/>
        </w:rPr>
        <w:t xml:space="preserve"> </w:t>
      </w:r>
      <w:r w:rsidR="00FD49C8">
        <w:rPr>
          <w:rFonts w:cstheme="minorHAnsi"/>
        </w:rPr>
        <w:t>It is</w:t>
      </w:r>
      <w:r w:rsidR="001A0E41" w:rsidRPr="005F6151">
        <w:rPr>
          <w:rFonts w:cstheme="minorHAnsi"/>
        </w:rPr>
        <w:t xml:space="preserve"> within these political and policy processes that the grip on making policy on the back of individual suffering has its roots and these roots were </w:t>
      </w:r>
      <w:r w:rsidRPr="005F6151">
        <w:rPr>
          <w:rFonts w:cstheme="minorHAnsi"/>
        </w:rPr>
        <w:t>deep</w:t>
      </w:r>
      <w:r w:rsidR="001A0E41" w:rsidRPr="005F6151">
        <w:rPr>
          <w:rFonts w:cstheme="minorHAnsi"/>
        </w:rPr>
        <w:t xml:space="preserve"> by the time of the </w:t>
      </w:r>
      <w:r w:rsidR="000827EF" w:rsidRPr="005F6151">
        <w:rPr>
          <w:rFonts w:cstheme="minorHAnsi"/>
        </w:rPr>
        <w:t>killing</w:t>
      </w:r>
      <w:r w:rsidR="001A0E41" w:rsidRPr="005F6151">
        <w:rPr>
          <w:rFonts w:cstheme="minorHAnsi"/>
        </w:rPr>
        <w:t xml:space="preserve"> of Clare Wood.</w:t>
      </w:r>
    </w:p>
    <w:p w14:paraId="33FED35D" w14:textId="413DA03E" w:rsidR="00005B19" w:rsidRPr="005F6151" w:rsidRDefault="00005B19" w:rsidP="005F6151">
      <w:pPr>
        <w:spacing w:line="360" w:lineRule="auto"/>
        <w:jc w:val="both"/>
        <w:rPr>
          <w:rFonts w:cstheme="minorHAnsi"/>
        </w:rPr>
      </w:pPr>
    </w:p>
    <w:p w14:paraId="3CB854CE" w14:textId="02DE921F" w:rsidR="00C12702" w:rsidRPr="005F6151" w:rsidRDefault="00452C32" w:rsidP="005F6151">
      <w:pPr>
        <w:spacing w:line="360" w:lineRule="auto"/>
        <w:jc w:val="both"/>
        <w:rPr>
          <w:rFonts w:cstheme="minorHAnsi"/>
        </w:rPr>
      </w:pPr>
      <w:r w:rsidRPr="005F6151">
        <w:rPr>
          <w:rFonts w:cstheme="minorHAnsi"/>
        </w:rPr>
        <w:t xml:space="preserve">The 2009 killing of Clare Wood by her estranged partner, George Appleton, attracted significant media attention across England and Wales, not least because of the attention it directed at police failings in the </w:t>
      </w:r>
      <w:r w:rsidR="00D94D2F" w:rsidRPr="005F6151">
        <w:rPr>
          <w:rFonts w:cstheme="minorHAnsi"/>
        </w:rPr>
        <w:t xml:space="preserve">investigation </w:t>
      </w:r>
      <w:r w:rsidRPr="005F6151">
        <w:rPr>
          <w:rFonts w:cstheme="minorHAnsi"/>
        </w:rPr>
        <w:t>of domestic abuse allegations</w:t>
      </w:r>
      <w:r w:rsidR="00F22C58" w:rsidRPr="005F6151">
        <w:rPr>
          <w:rFonts w:cstheme="minorHAnsi"/>
        </w:rPr>
        <w:t xml:space="preserve"> (see further, </w:t>
      </w:r>
      <w:r w:rsidR="006F5C89" w:rsidRPr="005F6151">
        <w:rPr>
          <w:rFonts w:cstheme="minorHAnsi"/>
        </w:rPr>
        <w:t>Independen</w:t>
      </w:r>
      <w:r w:rsidR="00B80C65" w:rsidRPr="005F6151">
        <w:rPr>
          <w:rFonts w:cstheme="minorHAnsi"/>
        </w:rPr>
        <w:t>t Police Complaints Commission</w:t>
      </w:r>
      <w:r w:rsidR="006F5C89" w:rsidRPr="005F6151">
        <w:rPr>
          <w:rFonts w:cstheme="minorHAnsi"/>
        </w:rPr>
        <w:t>, 2010</w:t>
      </w:r>
      <w:r w:rsidR="00F22C58" w:rsidRPr="005F6151">
        <w:rPr>
          <w:rFonts w:cstheme="minorHAnsi"/>
        </w:rPr>
        <w:t>),</w:t>
      </w:r>
      <w:r w:rsidRPr="005F6151">
        <w:rPr>
          <w:rFonts w:cstheme="minorHAnsi"/>
        </w:rPr>
        <w:t xml:space="preserve"> but also due to the national reform campaign which followed</w:t>
      </w:r>
      <w:r w:rsidR="005B57A5">
        <w:rPr>
          <w:rFonts w:cstheme="minorHAnsi"/>
        </w:rPr>
        <w:t>,</w:t>
      </w:r>
      <w:r w:rsidRPr="005F6151">
        <w:rPr>
          <w:rFonts w:cstheme="minorHAnsi"/>
        </w:rPr>
        <w:t xml:space="preserve"> led by Clare’s father, Michael Brown. </w:t>
      </w:r>
      <w:r w:rsidR="00F56C16" w:rsidRPr="005F6151">
        <w:rPr>
          <w:rFonts w:cstheme="minorHAnsi"/>
        </w:rPr>
        <w:t xml:space="preserve">Clare’s father was steadfast in the belief that </w:t>
      </w:r>
      <w:r w:rsidR="00422FA3" w:rsidRPr="005F6151">
        <w:rPr>
          <w:rFonts w:cstheme="minorHAnsi"/>
        </w:rPr>
        <w:t>if a DVDS had been in place prior to his daughter’s killing, she would have had the information needed to secure her safety, preventing her death</w:t>
      </w:r>
      <w:r w:rsidR="00F56C16" w:rsidRPr="005F6151">
        <w:rPr>
          <w:rFonts w:cstheme="minorHAnsi"/>
        </w:rPr>
        <w:t>.</w:t>
      </w:r>
      <w:r w:rsidR="00F22C58" w:rsidRPr="005F6151">
        <w:rPr>
          <w:rFonts w:cstheme="minorHAnsi"/>
        </w:rPr>
        <w:t xml:space="preserve"> </w:t>
      </w:r>
      <w:r w:rsidR="00F56C16" w:rsidRPr="005F6151">
        <w:rPr>
          <w:rFonts w:cstheme="minorHAnsi"/>
        </w:rPr>
        <w:t>The campaign</w:t>
      </w:r>
      <w:r w:rsidR="00F22C58" w:rsidRPr="005F6151">
        <w:rPr>
          <w:rFonts w:cstheme="minorHAnsi"/>
        </w:rPr>
        <w:t xml:space="preserve"> for Clare’s Law – the first </w:t>
      </w:r>
      <w:r w:rsidR="00481CDC" w:rsidRPr="005F6151">
        <w:rPr>
          <w:rFonts w:cstheme="minorHAnsi"/>
        </w:rPr>
        <w:t>DVDS</w:t>
      </w:r>
      <w:r w:rsidR="00F22C58" w:rsidRPr="005F6151">
        <w:rPr>
          <w:rFonts w:cstheme="minorHAnsi"/>
        </w:rPr>
        <w:t xml:space="preserve"> worldwide</w:t>
      </w:r>
      <w:r w:rsidR="001C1980">
        <w:rPr>
          <w:rFonts w:cstheme="minorHAnsi"/>
        </w:rPr>
        <w:t xml:space="preserve"> – </w:t>
      </w:r>
      <w:r w:rsidR="0031399B" w:rsidRPr="005F6151">
        <w:rPr>
          <w:rFonts w:cstheme="minorHAnsi"/>
        </w:rPr>
        <w:t>was</w:t>
      </w:r>
      <w:r w:rsidR="001C1980">
        <w:rPr>
          <w:rFonts w:cstheme="minorHAnsi"/>
        </w:rPr>
        <w:t xml:space="preserve"> </w:t>
      </w:r>
      <w:r w:rsidR="00F56C16" w:rsidRPr="005F6151">
        <w:rPr>
          <w:rFonts w:cstheme="minorHAnsi"/>
        </w:rPr>
        <w:t xml:space="preserve">largely spearheaded by </w:t>
      </w:r>
      <w:r w:rsidR="0031399B" w:rsidRPr="005F6151">
        <w:rPr>
          <w:rFonts w:cstheme="minorHAnsi"/>
        </w:rPr>
        <w:t>Brown</w:t>
      </w:r>
      <w:r w:rsidR="00DB09B2" w:rsidRPr="005F6151">
        <w:rPr>
          <w:rFonts w:cstheme="minorHAnsi"/>
        </w:rPr>
        <w:t xml:space="preserve"> in what Grace (2015: 26) has since referred to as a ‘PR success’. </w:t>
      </w:r>
      <w:r w:rsidR="002F6194" w:rsidRPr="005F6151">
        <w:rPr>
          <w:rFonts w:cstheme="minorHAnsi"/>
        </w:rPr>
        <w:t>Indeed, in less than two year</w:t>
      </w:r>
      <w:r w:rsidR="00CD4E09" w:rsidRPr="005F6151">
        <w:rPr>
          <w:rFonts w:cstheme="minorHAnsi"/>
        </w:rPr>
        <w:t>s</w:t>
      </w:r>
      <w:r w:rsidR="002F6194" w:rsidRPr="005F6151">
        <w:rPr>
          <w:rFonts w:cstheme="minorHAnsi"/>
        </w:rPr>
        <w:t xml:space="preserve"> the campaign</w:t>
      </w:r>
      <w:r w:rsidR="00C557CF" w:rsidRPr="005F6151">
        <w:rPr>
          <w:rFonts w:cstheme="minorHAnsi"/>
        </w:rPr>
        <w:t xml:space="preserve"> gathered</w:t>
      </w:r>
      <w:r w:rsidR="002F6194" w:rsidRPr="005F6151">
        <w:rPr>
          <w:rFonts w:cstheme="minorHAnsi"/>
        </w:rPr>
        <w:t xml:space="preserve"> such</w:t>
      </w:r>
      <w:r w:rsidR="00C557CF" w:rsidRPr="005F6151">
        <w:rPr>
          <w:rFonts w:cstheme="minorHAnsi"/>
        </w:rPr>
        <w:t xml:space="preserve"> significant momentum </w:t>
      </w:r>
      <w:r w:rsidR="005829DE" w:rsidRPr="005F6151">
        <w:rPr>
          <w:rFonts w:cstheme="minorHAnsi"/>
        </w:rPr>
        <w:t xml:space="preserve">it </w:t>
      </w:r>
      <w:r w:rsidR="00F56C16" w:rsidRPr="005F6151">
        <w:rPr>
          <w:rFonts w:cstheme="minorHAnsi"/>
        </w:rPr>
        <w:t>succeeded in the introduction of a DVDS pilot in 2011, which was later</w:t>
      </w:r>
      <w:r w:rsidR="00F56C16" w:rsidRPr="005F6151">
        <w:rPr>
          <w:rFonts w:cstheme="minorHAnsi"/>
          <w:lang w:val="en-US"/>
        </w:rPr>
        <w:t xml:space="preserve"> rolled out across England and Wales in March 2014</w:t>
      </w:r>
      <w:r w:rsidR="006061B4" w:rsidRPr="005F6151">
        <w:rPr>
          <w:rFonts w:cstheme="minorHAnsi"/>
          <w:lang w:val="en-US"/>
        </w:rPr>
        <w:t xml:space="preserve">. </w:t>
      </w:r>
      <w:r w:rsidR="00C12702" w:rsidRPr="005F6151">
        <w:rPr>
          <w:rFonts w:cstheme="minorHAnsi"/>
          <w:color w:val="FF0000"/>
          <w:lang w:val="en-US"/>
        </w:rPr>
        <w:t xml:space="preserve"> </w:t>
      </w:r>
    </w:p>
    <w:p w14:paraId="62EBEEFD" w14:textId="77777777" w:rsidR="00C12702" w:rsidRPr="005F6151" w:rsidRDefault="00C12702" w:rsidP="005F6151">
      <w:pPr>
        <w:spacing w:line="360" w:lineRule="auto"/>
        <w:jc w:val="both"/>
        <w:rPr>
          <w:rFonts w:cstheme="minorHAnsi"/>
          <w:lang w:val="en-US"/>
        </w:rPr>
      </w:pPr>
    </w:p>
    <w:p w14:paraId="6FF1607F" w14:textId="3ED2818C" w:rsidR="00F56C16" w:rsidRPr="005F6151" w:rsidRDefault="00D37A36" w:rsidP="00C8191E">
      <w:pPr>
        <w:spacing w:line="360" w:lineRule="auto"/>
        <w:jc w:val="both"/>
        <w:rPr>
          <w:rFonts w:cstheme="minorHAnsi"/>
          <w:lang w:val="en-US"/>
        </w:rPr>
      </w:pPr>
      <w:r w:rsidRPr="005F6151">
        <w:rPr>
          <w:rFonts w:cstheme="minorHAnsi"/>
          <w:lang w:val="en-US"/>
        </w:rPr>
        <w:lastRenderedPageBreak/>
        <w:t xml:space="preserve">Still </w:t>
      </w:r>
      <w:r w:rsidR="00F56C16" w:rsidRPr="005F6151">
        <w:rPr>
          <w:rFonts w:cstheme="minorHAnsi"/>
          <w:lang w:val="en-US"/>
        </w:rPr>
        <w:t xml:space="preserve">referred to </w:t>
      </w:r>
      <w:r w:rsidR="00F00276" w:rsidRPr="005F6151">
        <w:rPr>
          <w:rFonts w:cstheme="minorHAnsi"/>
          <w:lang w:val="en-US"/>
        </w:rPr>
        <w:t xml:space="preserve">in England and Wales </w:t>
      </w:r>
      <w:r w:rsidR="00F56C16" w:rsidRPr="005F6151">
        <w:rPr>
          <w:rFonts w:cstheme="minorHAnsi"/>
          <w:lang w:val="en-US"/>
        </w:rPr>
        <w:t>as ‘Clare’s Law’</w:t>
      </w:r>
      <w:r w:rsidRPr="005F6151">
        <w:rPr>
          <w:rFonts w:cstheme="minorHAnsi"/>
          <w:lang w:val="en-US"/>
        </w:rPr>
        <w:t xml:space="preserve"> the scheme did not come about through a process of assessing the evidence</w:t>
      </w:r>
      <w:r w:rsidR="00664514" w:rsidRPr="005F6151">
        <w:rPr>
          <w:rFonts w:cstheme="minorHAnsi"/>
          <w:lang w:val="en-US"/>
        </w:rPr>
        <w:t>-based</w:t>
      </w:r>
      <w:r w:rsidRPr="005F6151">
        <w:rPr>
          <w:rFonts w:cstheme="minorHAnsi"/>
          <w:lang w:val="en-US"/>
        </w:rPr>
        <w:t xml:space="preserve"> need </w:t>
      </w:r>
      <w:r w:rsidR="00B4512E" w:rsidRPr="005F6151">
        <w:rPr>
          <w:rFonts w:cstheme="minorHAnsi"/>
          <w:lang w:val="en-US"/>
        </w:rPr>
        <w:t>for</w:t>
      </w:r>
      <w:r w:rsidR="007B569F">
        <w:rPr>
          <w:rFonts w:cstheme="minorHAnsi"/>
          <w:lang w:val="en-US"/>
        </w:rPr>
        <w:t>,</w:t>
      </w:r>
      <w:r w:rsidR="00B4512E" w:rsidRPr="005F6151">
        <w:rPr>
          <w:rFonts w:cstheme="minorHAnsi"/>
          <w:lang w:val="en-US"/>
        </w:rPr>
        <w:t xml:space="preserve"> </w:t>
      </w:r>
      <w:r w:rsidRPr="005F6151">
        <w:rPr>
          <w:rFonts w:cstheme="minorHAnsi"/>
          <w:lang w:val="en-US"/>
        </w:rPr>
        <w:t>nor</w:t>
      </w:r>
      <w:r w:rsidR="00B4512E" w:rsidRPr="005F6151">
        <w:rPr>
          <w:rFonts w:cstheme="minorHAnsi"/>
          <w:lang w:val="en-US"/>
        </w:rPr>
        <w:t xml:space="preserve"> the</w:t>
      </w:r>
      <w:r w:rsidRPr="005F6151">
        <w:rPr>
          <w:rFonts w:cstheme="minorHAnsi"/>
          <w:lang w:val="en-US"/>
        </w:rPr>
        <w:t xml:space="preserve"> effectiveness of</w:t>
      </w:r>
      <w:r w:rsidR="00A527FB">
        <w:rPr>
          <w:rFonts w:cstheme="minorHAnsi"/>
          <w:lang w:val="en-US"/>
        </w:rPr>
        <w:t>,</w:t>
      </w:r>
      <w:r w:rsidRPr="005F6151">
        <w:rPr>
          <w:rFonts w:cstheme="minorHAnsi"/>
          <w:lang w:val="en-US"/>
        </w:rPr>
        <w:t xml:space="preserve"> such an approach</w:t>
      </w:r>
      <w:r w:rsidR="00B4512E" w:rsidRPr="005F6151">
        <w:rPr>
          <w:rFonts w:cstheme="minorHAnsi"/>
          <w:lang w:val="en-US"/>
        </w:rPr>
        <w:t>. Nevertheless</w:t>
      </w:r>
      <w:r w:rsidR="003466B3" w:rsidRPr="005F6151">
        <w:rPr>
          <w:rFonts w:cstheme="minorHAnsi"/>
          <w:lang w:val="en-US"/>
        </w:rPr>
        <w:t>,</w:t>
      </w:r>
      <w:r w:rsidRPr="005F6151">
        <w:rPr>
          <w:rFonts w:cstheme="minorHAnsi"/>
          <w:lang w:val="en-US"/>
        </w:rPr>
        <w:t xml:space="preserve"> </w:t>
      </w:r>
      <w:r w:rsidR="00F56C16" w:rsidRPr="005F6151">
        <w:rPr>
          <w:rFonts w:cstheme="minorHAnsi"/>
          <w:lang w:val="en-US"/>
        </w:rPr>
        <w:t xml:space="preserve">the very existence of the DVDS in England and Wales, in and of itself has since been used by </w:t>
      </w:r>
      <w:r w:rsidR="00C60E02" w:rsidRPr="005F6151">
        <w:rPr>
          <w:rFonts w:cstheme="minorHAnsi"/>
          <w:lang w:val="en-US"/>
        </w:rPr>
        <w:t>several</w:t>
      </w:r>
      <w:r w:rsidR="00F56C16" w:rsidRPr="005F6151">
        <w:rPr>
          <w:rFonts w:cstheme="minorHAnsi"/>
          <w:lang w:val="en-US"/>
        </w:rPr>
        <w:t xml:space="preserve"> countries</w:t>
      </w:r>
      <w:r w:rsidR="000827EF" w:rsidRPr="005F6151">
        <w:rPr>
          <w:rFonts w:cstheme="minorHAnsi"/>
          <w:lang w:val="en-US"/>
        </w:rPr>
        <w:t>,</w:t>
      </w:r>
      <w:r w:rsidR="00F56C16" w:rsidRPr="005F6151">
        <w:rPr>
          <w:rFonts w:cstheme="minorHAnsi"/>
          <w:lang w:val="en-US"/>
        </w:rPr>
        <w:t xml:space="preserve"> including Scotland and New Zealand</w:t>
      </w:r>
      <w:r w:rsidR="000827EF" w:rsidRPr="005F6151">
        <w:rPr>
          <w:rFonts w:cstheme="minorHAnsi"/>
          <w:lang w:val="en-US"/>
        </w:rPr>
        <w:t>,</w:t>
      </w:r>
      <w:r w:rsidR="00B4512E" w:rsidRPr="005F6151">
        <w:rPr>
          <w:rFonts w:cstheme="minorHAnsi"/>
          <w:lang w:val="en-US"/>
        </w:rPr>
        <w:t xml:space="preserve"> as</w:t>
      </w:r>
      <w:r w:rsidR="00F56C16" w:rsidRPr="005F6151">
        <w:rPr>
          <w:rFonts w:cstheme="minorHAnsi"/>
          <w:lang w:val="en-US"/>
        </w:rPr>
        <w:t xml:space="preserve"> evidence of the need for such a scheme</w:t>
      </w:r>
      <w:r w:rsidR="005E09C2">
        <w:rPr>
          <w:rFonts w:cstheme="minorHAnsi"/>
          <w:lang w:val="en-US"/>
        </w:rPr>
        <w:t>,</w:t>
      </w:r>
      <w:r w:rsidR="00B4512E" w:rsidRPr="005F6151">
        <w:rPr>
          <w:rFonts w:cstheme="minorHAnsi"/>
          <w:lang w:val="en-US"/>
        </w:rPr>
        <w:t xml:space="preserve"> despite the highly </w:t>
      </w:r>
      <w:proofErr w:type="spellStart"/>
      <w:r w:rsidR="00B4512E" w:rsidRPr="005F6151">
        <w:rPr>
          <w:rFonts w:cstheme="minorHAnsi"/>
          <w:lang w:val="en-US"/>
        </w:rPr>
        <w:t>politicised</w:t>
      </w:r>
      <w:proofErr w:type="spellEnd"/>
      <w:r w:rsidR="00B4512E" w:rsidRPr="005F6151">
        <w:rPr>
          <w:rFonts w:cstheme="minorHAnsi"/>
          <w:lang w:val="en-US"/>
        </w:rPr>
        <w:t xml:space="preserve"> and knee-jerk policy process out of which it grew</w:t>
      </w:r>
      <w:r w:rsidR="00F56C16" w:rsidRPr="005F6151">
        <w:rPr>
          <w:rFonts w:cstheme="minorHAnsi"/>
          <w:lang w:val="en-US"/>
        </w:rPr>
        <w:t xml:space="preserve">. </w:t>
      </w:r>
      <w:r w:rsidR="00F00276" w:rsidRPr="005F6151">
        <w:rPr>
          <w:rFonts w:cstheme="minorHAnsi"/>
          <w:lang w:val="en-US"/>
        </w:rPr>
        <w:t>Such is the lure of comparative policy glancing</w:t>
      </w:r>
      <w:r w:rsidR="00804D8A">
        <w:rPr>
          <w:rFonts w:cstheme="minorHAnsi"/>
          <w:lang w:val="en-US"/>
        </w:rPr>
        <w:t>,</w:t>
      </w:r>
      <w:r w:rsidR="00F00276" w:rsidRPr="005F6151">
        <w:rPr>
          <w:rFonts w:cstheme="minorHAnsi"/>
          <w:lang w:val="en-US"/>
        </w:rPr>
        <w:t xml:space="preserve"> whereby countries often look to their comparable </w:t>
      </w:r>
      <w:proofErr w:type="spellStart"/>
      <w:r w:rsidR="00F00276" w:rsidRPr="005F6151">
        <w:rPr>
          <w:rFonts w:cstheme="minorHAnsi"/>
          <w:lang w:val="en-US"/>
        </w:rPr>
        <w:t>neighbours</w:t>
      </w:r>
      <w:proofErr w:type="spellEnd"/>
      <w:r w:rsidR="00F00276" w:rsidRPr="005F6151">
        <w:rPr>
          <w:rFonts w:cstheme="minorHAnsi"/>
          <w:lang w:val="en-US"/>
        </w:rPr>
        <w:t xml:space="preserve"> for </w:t>
      </w:r>
      <w:r w:rsidR="00B55DC0" w:rsidRPr="005F6151">
        <w:rPr>
          <w:rFonts w:cstheme="minorHAnsi"/>
          <w:lang w:val="en-US"/>
        </w:rPr>
        <w:t>ideas on adaptable policies and reforms</w:t>
      </w:r>
      <w:r w:rsidR="00B4512E" w:rsidRPr="005F6151">
        <w:rPr>
          <w:rFonts w:cstheme="minorHAnsi"/>
          <w:lang w:val="en-US"/>
        </w:rPr>
        <w:t xml:space="preserve"> rather than looking in depth</w:t>
      </w:r>
      <w:r w:rsidR="00984A07" w:rsidRPr="005F6151">
        <w:rPr>
          <w:rFonts w:cstheme="minorHAnsi"/>
          <w:lang w:val="en-US"/>
        </w:rPr>
        <w:t xml:space="preserve"> </w:t>
      </w:r>
      <w:r w:rsidR="00C10810" w:rsidRPr="005F6151">
        <w:rPr>
          <w:rFonts w:cstheme="minorHAnsi"/>
          <w:lang w:val="en-US"/>
        </w:rPr>
        <w:t>for</w:t>
      </w:r>
      <w:r w:rsidR="00984A07" w:rsidRPr="005F6151">
        <w:rPr>
          <w:rFonts w:cstheme="minorHAnsi"/>
          <w:lang w:val="en-US"/>
        </w:rPr>
        <w:t xml:space="preserve"> evidence of their impact in practice</w:t>
      </w:r>
      <w:r w:rsidR="00B55DC0" w:rsidRPr="005F6151">
        <w:rPr>
          <w:rFonts w:cstheme="minorHAnsi"/>
          <w:lang w:val="en-US"/>
        </w:rPr>
        <w:t>.</w:t>
      </w:r>
      <w:r w:rsidR="00F00276" w:rsidRPr="005F6151">
        <w:rPr>
          <w:rFonts w:cstheme="minorHAnsi"/>
          <w:lang w:val="en-US"/>
        </w:rPr>
        <w:t xml:space="preserve"> </w:t>
      </w:r>
      <w:r w:rsidR="00B55DC0" w:rsidRPr="005F6151">
        <w:rPr>
          <w:rFonts w:cstheme="minorHAnsi"/>
          <w:lang w:val="en-US"/>
        </w:rPr>
        <w:t>In the case of Clare’s Law,</w:t>
      </w:r>
      <w:r w:rsidR="00F00276" w:rsidRPr="005F6151">
        <w:rPr>
          <w:rFonts w:cstheme="minorHAnsi"/>
          <w:lang w:val="en-US"/>
        </w:rPr>
        <w:t xml:space="preserve"> </w:t>
      </w:r>
      <w:r w:rsidR="00B55DC0" w:rsidRPr="005F6151">
        <w:rPr>
          <w:rFonts w:cstheme="minorHAnsi"/>
          <w:lang w:val="en-US"/>
        </w:rPr>
        <w:t>a</w:t>
      </w:r>
      <w:r w:rsidR="00F56C16" w:rsidRPr="005F6151">
        <w:rPr>
          <w:rFonts w:cstheme="minorHAnsi"/>
          <w:lang w:val="en-US"/>
        </w:rPr>
        <w:t>s noted by Walklate and Fitz-Gibbon (2018)</w:t>
      </w:r>
      <w:r w:rsidR="00F22A5A" w:rsidRPr="005F6151">
        <w:rPr>
          <w:rFonts w:cstheme="minorHAnsi"/>
          <w:lang w:val="en-US"/>
        </w:rPr>
        <w:t>, in the years that followed</w:t>
      </w:r>
      <w:r w:rsidR="00F56C16" w:rsidRPr="005F6151">
        <w:rPr>
          <w:rFonts w:cstheme="minorHAnsi"/>
          <w:lang w:val="en-US"/>
        </w:rPr>
        <w:t xml:space="preserve"> the scheme travelled</w:t>
      </w:r>
      <w:r w:rsidR="00C8191E">
        <w:rPr>
          <w:rFonts w:cstheme="minorHAnsi"/>
          <w:lang w:val="en-US"/>
        </w:rPr>
        <w:t xml:space="preserve"> ‘</w:t>
      </w:r>
      <w:r w:rsidR="00F56C16" w:rsidRPr="005F6151">
        <w:rPr>
          <w:rFonts w:cstheme="minorHAnsi"/>
          <w:lang w:val="en-US"/>
        </w:rPr>
        <w:t>in the absence of any supporting evidence as to its efficacy …</w:t>
      </w:r>
      <w:r w:rsidR="00F56C16" w:rsidRPr="005F6151">
        <w:rPr>
          <w:rFonts w:cstheme="minorHAnsi"/>
        </w:rPr>
        <w:t xml:space="preserve"> </w:t>
      </w:r>
      <w:r w:rsidR="00C8191E">
        <w:rPr>
          <w:rFonts w:cstheme="minorHAnsi"/>
        </w:rPr>
        <w:t>[E]</w:t>
      </w:r>
      <w:proofErr w:type="spellStart"/>
      <w:r w:rsidR="00F56C16" w:rsidRPr="005F6151">
        <w:rPr>
          <w:rFonts w:cstheme="minorHAnsi"/>
          <w:lang w:val="en-US"/>
        </w:rPr>
        <w:t>vidence</w:t>
      </w:r>
      <w:proofErr w:type="spellEnd"/>
      <w:r w:rsidR="00F56C16" w:rsidRPr="005F6151">
        <w:rPr>
          <w:rFonts w:cstheme="minorHAnsi"/>
          <w:lang w:val="en-US"/>
        </w:rPr>
        <w:t xml:space="preserve"> of implementation has been substituted and represented as evidence of positive impact. The question remains: why might exporting without a license </w:t>
      </w:r>
      <w:r w:rsidR="00784E27" w:rsidRPr="005F6151">
        <w:rPr>
          <w:rFonts w:cstheme="minorHAnsi"/>
          <w:lang w:val="en-US"/>
        </w:rPr>
        <w:t xml:space="preserve">… </w:t>
      </w:r>
      <w:r w:rsidR="00F56C16" w:rsidRPr="005F6151">
        <w:rPr>
          <w:rFonts w:cstheme="minorHAnsi"/>
          <w:lang w:val="en-US"/>
        </w:rPr>
        <w:t>be problematic?</w:t>
      </w:r>
      <w:r w:rsidR="00593E4E">
        <w:rPr>
          <w:rFonts w:cstheme="minorHAnsi"/>
          <w:lang w:val="en-US"/>
        </w:rPr>
        <w:t>’</w:t>
      </w:r>
    </w:p>
    <w:p w14:paraId="1A0FE126" w14:textId="09DE6005" w:rsidR="00F56C16" w:rsidRPr="005F6151" w:rsidRDefault="00F56C16" w:rsidP="005F6151">
      <w:pPr>
        <w:spacing w:line="360" w:lineRule="auto"/>
        <w:jc w:val="both"/>
        <w:rPr>
          <w:rFonts w:cstheme="minorHAnsi"/>
        </w:rPr>
      </w:pPr>
    </w:p>
    <w:p w14:paraId="6E3D2FC4" w14:textId="368D759E" w:rsidR="00F56C16" w:rsidRPr="005F6151" w:rsidRDefault="00C262FB" w:rsidP="005F6151">
      <w:pPr>
        <w:spacing w:line="360" w:lineRule="auto"/>
        <w:jc w:val="both"/>
        <w:rPr>
          <w:rFonts w:cstheme="minorHAnsi"/>
        </w:rPr>
      </w:pPr>
      <w:r w:rsidRPr="005F6151">
        <w:rPr>
          <w:rFonts w:cstheme="minorHAnsi"/>
        </w:rPr>
        <w:t xml:space="preserve">As intimated above, </w:t>
      </w:r>
      <w:r w:rsidR="00097858" w:rsidRPr="005F6151">
        <w:rPr>
          <w:rFonts w:cstheme="minorHAnsi"/>
        </w:rPr>
        <w:t>t</w:t>
      </w:r>
      <w:r w:rsidR="00F56C16" w:rsidRPr="005F6151">
        <w:rPr>
          <w:rFonts w:cstheme="minorHAnsi"/>
        </w:rPr>
        <w:t xml:space="preserve">he </w:t>
      </w:r>
      <w:r w:rsidR="00BF61F9">
        <w:rPr>
          <w:rFonts w:cstheme="minorHAnsi"/>
        </w:rPr>
        <w:t>policy-making</w:t>
      </w:r>
      <w:r w:rsidR="00F56C16" w:rsidRPr="005F6151">
        <w:rPr>
          <w:rFonts w:cstheme="minorHAnsi"/>
        </w:rPr>
        <w:t xml:space="preserve"> process by which Clare’s Law was introduced in England and Wales</w:t>
      </w:r>
      <w:r w:rsidRPr="005F6151">
        <w:rPr>
          <w:rFonts w:cstheme="minorHAnsi"/>
        </w:rPr>
        <w:t xml:space="preserve"> gelled well with the</w:t>
      </w:r>
      <w:r w:rsidR="00220104" w:rsidRPr="005F6151">
        <w:rPr>
          <w:rFonts w:cstheme="minorHAnsi"/>
        </w:rPr>
        <w:t xml:space="preserve"> already </w:t>
      </w:r>
      <w:r w:rsidR="003466B3" w:rsidRPr="005F6151">
        <w:rPr>
          <w:rFonts w:cstheme="minorHAnsi"/>
        </w:rPr>
        <w:t>existing</w:t>
      </w:r>
      <w:r w:rsidRPr="005F6151">
        <w:rPr>
          <w:rFonts w:cstheme="minorHAnsi"/>
        </w:rPr>
        <w:t xml:space="preserve"> politicisation of compassion. </w:t>
      </w:r>
      <w:r w:rsidR="000827EF" w:rsidRPr="005F6151">
        <w:rPr>
          <w:rFonts w:cstheme="minorHAnsi"/>
        </w:rPr>
        <w:t>However,</w:t>
      </w:r>
      <w:r w:rsidRPr="005F6151">
        <w:rPr>
          <w:rFonts w:cstheme="minorHAnsi"/>
        </w:rPr>
        <w:t xml:space="preserve"> it was also</w:t>
      </w:r>
      <w:r w:rsidR="00F56C16" w:rsidRPr="005F6151">
        <w:rPr>
          <w:rFonts w:cstheme="minorHAnsi"/>
        </w:rPr>
        <w:t xml:space="preserve"> </w:t>
      </w:r>
      <w:r w:rsidRPr="005F6151">
        <w:rPr>
          <w:rFonts w:cstheme="minorHAnsi"/>
        </w:rPr>
        <w:t>a further</w:t>
      </w:r>
      <w:r w:rsidR="00F56C16" w:rsidRPr="005F6151">
        <w:rPr>
          <w:rFonts w:cstheme="minorHAnsi"/>
        </w:rPr>
        <w:t xml:space="preserve"> example of the emergence of ‘named’ laws </w:t>
      </w:r>
      <w:r w:rsidRPr="005F6151">
        <w:rPr>
          <w:rFonts w:cstheme="minorHAnsi"/>
        </w:rPr>
        <w:t>in relation to</w:t>
      </w:r>
      <w:r w:rsidR="00F56C16" w:rsidRPr="005F6151">
        <w:rPr>
          <w:rFonts w:cstheme="minorHAnsi"/>
        </w:rPr>
        <w:t xml:space="preserve"> gender-based violence</w:t>
      </w:r>
      <w:r w:rsidR="00E709D2" w:rsidRPr="005F6151">
        <w:rPr>
          <w:rFonts w:cstheme="minorHAnsi"/>
        </w:rPr>
        <w:t xml:space="preserve"> more broadly, and policy processes that are reactive to individual cases, ‘single stage, executive controlled’ as Quilter (2020: 112) </w:t>
      </w:r>
      <w:r w:rsidR="006122F8" w:rsidRPr="005F6151">
        <w:rPr>
          <w:rFonts w:cstheme="minorHAnsi"/>
        </w:rPr>
        <w:t>observes</w:t>
      </w:r>
      <w:r w:rsidR="00F56C16" w:rsidRPr="005F6151">
        <w:rPr>
          <w:rFonts w:cstheme="minorHAnsi"/>
        </w:rPr>
        <w:t>. The efficacy of this approach to policy</w:t>
      </w:r>
      <w:r w:rsidR="00BF61F9">
        <w:rPr>
          <w:rFonts w:cstheme="minorHAnsi"/>
        </w:rPr>
        <w:t>-</w:t>
      </w:r>
      <w:r w:rsidR="00F56C16" w:rsidRPr="005F6151">
        <w:rPr>
          <w:rFonts w:cstheme="minorHAnsi"/>
        </w:rPr>
        <w:t xml:space="preserve">making has been subjected to some scholarly analysis with critics arguing there is a tendency for such laws to reinforce ‘a persistent and troubling image of the crime victim as young, white, female, and middle </w:t>
      </w:r>
      <w:proofErr w:type="spellStart"/>
      <w:r w:rsidR="00F56C16" w:rsidRPr="005F6151">
        <w:rPr>
          <w:rFonts w:cstheme="minorHAnsi"/>
        </w:rPr>
        <w:t>class’</w:t>
      </w:r>
      <w:proofErr w:type="spellEnd"/>
      <w:r w:rsidR="00F56C16" w:rsidRPr="005F6151">
        <w:rPr>
          <w:rFonts w:cstheme="minorHAnsi"/>
        </w:rPr>
        <w:t xml:space="preserve"> (Wood, 2005</w:t>
      </w:r>
      <w:r w:rsidR="00A25FEC" w:rsidRPr="005F6151">
        <w:rPr>
          <w:rFonts w:cstheme="minorHAnsi"/>
        </w:rPr>
        <w:t>:</w:t>
      </w:r>
      <w:r w:rsidR="00F56C16" w:rsidRPr="005F6151">
        <w:rPr>
          <w:rFonts w:cstheme="minorHAnsi"/>
        </w:rPr>
        <w:t xml:space="preserve"> 1).</w:t>
      </w:r>
      <w:r w:rsidR="005C4799" w:rsidRPr="005F6151">
        <w:rPr>
          <w:rFonts w:cstheme="minorHAnsi"/>
        </w:rPr>
        <w:t xml:space="preserve"> Such naming results in processes of individualisation </w:t>
      </w:r>
      <w:r w:rsidR="000B36C8" w:rsidRPr="005F6151">
        <w:rPr>
          <w:rFonts w:cstheme="minorHAnsi"/>
        </w:rPr>
        <w:t>and</w:t>
      </w:r>
      <w:r w:rsidR="0029070A" w:rsidRPr="005F6151">
        <w:rPr>
          <w:rFonts w:cstheme="minorHAnsi"/>
        </w:rPr>
        <w:t xml:space="preserve"> the</w:t>
      </w:r>
      <w:r w:rsidR="000B36C8" w:rsidRPr="005F6151">
        <w:rPr>
          <w:rFonts w:cstheme="minorHAnsi"/>
        </w:rPr>
        <w:t xml:space="preserve"> individuali</w:t>
      </w:r>
      <w:r w:rsidR="002A477D" w:rsidRPr="005F6151">
        <w:rPr>
          <w:rFonts w:cstheme="minorHAnsi"/>
        </w:rPr>
        <w:t>s</w:t>
      </w:r>
      <w:r w:rsidR="0029070A" w:rsidRPr="005F6151">
        <w:rPr>
          <w:rFonts w:cstheme="minorHAnsi"/>
        </w:rPr>
        <w:t>ation of</w:t>
      </w:r>
      <w:r w:rsidR="000B36C8" w:rsidRPr="005F6151">
        <w:rPr>
          <w:rFonts w:cstheme="minorHAnsi"/>
        </w:rPr>
        <w:t xml:space="preserve"> crime(s)</w:t>
      </w:r>
      <w:r w:rsidR="0029070A" w:rsidRPr="005F6151">
        <w:rPr>
          <w:rFonts w:cstheme="minorHAnsi"/>
        </w:rPr>
        <w:t>. Yet many suc</w:t>
      </w:r>
      <w:r w:rsidR="00B441C0" w:rsidRPr="005F6151">
        <w:rPr>
          <w:rFonts w:cstheme="minorHAnsi"/>
        </w:rPr>
        <w:t>h</w:t>
      </w:r>
      <w:r w:rsidR="0029070A" w:rsidRPr="005F6151">
        <w:rPr>
          <w:rFonts w:cstheme="minorHAnsi"/>
        </w:rPr>
        <w:t xml:space="preserve"> crime</w:t>
      </w:r>
      <w:r w:rsidR="00B441C0" w:rsidRPr="005F6151">
        <w:rPr>
          <w:rFonts w:cstheme="minorHAnsi"/>
        </w:rPr>
        <w:t>s</w:t>
      </w:r>
      <w:r w:rsidR="000B36C8" w:rsidRPr="005F6151">
        <w:rPr>
          <w:rFonts w:cstheme="minorHAnsi"/>
        </w:rPr>
        <w:t xml:space="preserve"> are collectively experienced over and through time by all women</w:t>
      </w:r>
      <w:r w:rsidR="007A59E7">
        <w:rPr>
          <w:rFonts w:cstheme="minorHAnsi"/>
        </w:rPr>
        <w:t>,</w:t>
      </w:r>
      <w:r w:rsidR="000B36C8" w:rsidRPr="005F6151">
        <w:rPr>
          <w:rFonts w:cstheme="minorHAnsi"/>
        </w:rPr>
        <w:t xml:space="preserve"> </w:t>
      </w:r>
      <w:r w:rsidR="0029070A" w:rsidRPr="005F6151">
        <w:rPr>
          <w:rFonts w:cstheme="minorHAnsi"/>
        </w:rPr>
        <w:t xml:space="preserve">albeit </w:t>
      </w:r>
      <w:r w:rsidR="000B36C8" w:rsidRPr="005F6151">
        <w:rPr>
          <w:rFonts w:cstheme="minorHAnsi"/>
        </w:rPr>
        <w:t>mediated and compounded by a wide range of socio-economic and structural variables. These concerns about individualis</w:t>
      </w:r>
      <w:r w:rsidR="000827EF" w:rsidRPr="005F6151">
        <w:rPr>
          <w:rFonts w:cstheme="minorHAnsi"/>
        </w:rPr>
        <w:t>ed</w:t>
      </w:r>
      <w:r w:rsidR="000B36C8" w:rsidRPr="005F6151">
        <w:rPr>
          <w:rFonts w:cstheme="minorHAnsi"/>
        </w:rPr>
        <w:t xml:space="preserve"> naming were raised</w:t>
      </w:r>
      <w:r w:rsidR="00F56C16" w:rsidRPr="005F6151">
        <w:rPr>
          <w:rFonts w:cstheme="minorHAnsi"/>
        </w:rPr>
        <w:t xml:space="preserve"> nearly a decade prior to the introduction of Clare’s Law</w:t>
      </w:r>
      <w:r w:rsidR="000B36C8" w:rsidRPr="005F6151">
        <w:rPr>
          <w:rFonts w:cstheme="minorHAnsi"/>
        </w:rPr>
        <w:t xml:space="preserve"> and its advocacy</w:t>
      </w:r>
      <w:r w:rsidR="00F56C16" w:rsidRPr="005F6151">
        <w:rPr>
          <w:rFonts w:cstheme="minorHAnsi"/>
        </w:rPr>
        <w:t>,</w:t>
      </w:r>
      <w:r w:rsidR="000B36C8" w:rsidRPr="005F6151">
        <w:rPr>
          <w:rFonts w:cstheme="minorHAnsi"/>
        </w:rPr>
        <w:t xml:space="preserve"> but nonetheless</w:t>
      </w:r>
      <w:r w:rsidR="0023759E">
        <w:rPr>
          <w:rFonts w:cstheme="minorHAnsi"/>
        </w:rPr>
        <w:t>,</w:t>
      </w:r>
      <w:r w:rsidR="000B36C8" w:rsidRPr="005F6151">
        <w:rPr>
          <w:rFonts w:cstheme="minorHAnsi"/>
        </w:rPr>
        <w:t xml:space="preserve"> clearly neatly</w:t>
      </w:r>
      <w:r w:rsidR="00F56C16" w:rsidRPr="005F6151">
        <w:rPr>
          <w:rFonts w:cstheme="minorHAnsi"/>
        </w:rPr>
        <w:t xml:space="preserve"> map onto the case utilised as the springboard for this </w:t>
      </w:r>
      <w:r w:rsidR="0031087D" w:rsidRPr="005F6151">
        <w:rPr>
          <w:rFonts w:cstheme="minorHAnsi"/>
        </w:rPr>
        <w:t>policy in England and Wales</w:t>
      </w:r>
      <w:r w:rsidR="00F56C16" w:rsidRPr="005F6151">
        <w:rPr>
          <w:rFonts w:cstheme="minorHAnsi"/>
        </w:rPr>
        <w:t xml:space="preserve">. </w:t>
      </w:r>
    </w:p>
    <w:p w14:paraId="3C5E5E8D" w14:textId="77777777" w:rsidR="00F56C16" w:rsidRPr="005F6151" w:rsidRDefault="00F56C16" w:rsidP="005F6151">
      <w:pPr>
        <w:spacing w:line="360" w:lineRule="auto"/>
        <w:jc w:val="both"/>
        <w:rPr>
          <w:rFonts w:cstheme="minorHAnsi"/>
        </w:rPr>
      </w:pPr>
    </w:p>
    <w:p w14:paraId="6D888D79" w14:textId="6FACE81E" w:rsidR="00420D49" w:rsidRPr="005F6151" w:rsidRDefault="00F56C16" w:rsidP="005F6151">
      <w:pPr>
        <w:spacing w:line="360" w:lineRule="auto"/>
        <w:jc w:val="both"/>
        <w:rPr>
          <w:rFonts w:cstheme="minorHAnsi"/>
        </w:rPr>
      </w:pPr>
      <w:r w:rsidRPr="005F6151">
        <w:rPr>
          <w:rFonts w:cstheme="minorHAnsi"/>
        </w:rPr>
        <w:t>The introduction of ‘na</w:t>
      </w:r>
      <w:r w:rsidR="00F01468" w:rsidRPr="005F6151">
        <w:rPr>
          <w:rFonts w:cstheme="minorHAnsi"/>
        </w:rPr>
        <w:t>med’ laws has occurred to varying</w:t>
      </w:r>
      <w:r w:rsidRPr="005F6151">
        <w:rPr>
          <w:rFonts w:cstheme="minorHAnsi"/>
        </w:rPr>
        <w:t xml:space="preserve"> degrees in the UK, US</w:t>
      </w:r>
      <w:r w:rsidR="00765A24">
        <w:rPr>
          <w:rFonts w:cstheme="minorHAnsi"/>
        </w:rPr>
        <w:t>A</w:t>
      </w:r>
      <w:r w:rsidRPr="005F6151">
        <w:rPr>
          <w:rFonts w:cstheme="minorHAnsi"/>
        </w:rPr>
        <w:t xml:space="preserve"> and Canada in recent decades alongside the rise of feminist strategies to improve responses to different forms of violence against women and children. Indeed, the process of naming a law or a policy has been viewed as an important feminist strategy</w:t>
      </w:r>
      <w:r w:rsidR="000501AE" w:rsidRPr="005F6151">
        <w:rPr>
          <w:rFonts w:cstheme="minorHAnsi"/>
        </w:rPr>
        <w:t xml:space="preserve"> (</w:t>
      </w:r>
      <w:r w:rsidR="000623C1" w:rsidRPr="005F6151">
        <w:rPr>
          <w:rFonts w:cstheme="minorHAnsi"/>
        </w:rPr>
        <w:t>Collins, 2001</w:t>
      </w:r>
      <w:r w:rsidR="000501AE" w:rsidRPr="005F6151">
        <w:rPr>
          <w:rFonts w:cstheme="minorHAnsi"/>
        </w:rPr>
        <w:t>)</w:t>
      </w:r>
      <w:r w:rsidRPr="005F6151">
        <w:rPr>
          <w:rFonts w:cstheme="minorHAnsi"/>
        </w:rPr>
        <w:t>, particularly in the evolution of justice system responses to different forms of violence against women.</w:t>
      </w:r>
      <w:r w:rsidR="002C6DD4" w:rsidRPr="005F6151">
        <w:rPr>
          <w:rFonts w:cstheme="minorHAnsi"/>
        </w:rPr>
        <w:t xml:space="preserve"> Indeed, early second wave feminist </w:t>
      </w:r>
      <w:r w:rsidR="002C6DD4" w:rsidRPr="005F6151">
        <w:rPr>
          <w:rFonts w:cstheme="minorHAnsi"/>
        </w:rPr>
        <w:lastRenderedPageBreak/>
        <w:t>campaigns were concerned with naming collective experiences of such violence(s) as violence</w:t>
      </w:r>
      <w:r w:rsidR="00BA0FEE">
        <w:rPr>
          <w:rFonts w:cstheme="minorHAnsi"/>
        </w:rPr>
        <w:t>,</w:t>
      </w:r>
      <w:r w:rsidR="002C6DD4" w:rsidRPr="005F6151">
        <w:rPr>
          <w:rFonts w:cstheme="minorHAnsi"/>
        </w:rPr>
        <w:t xml:space="preserve"> in order to secure improved justice responses to such experiences and to challenge the then dominant individuali</w:t>
      </w:r>
      <w:r w:rsidR="00DE7DA5" w:rsidRPr="005F6151">
        <w:rPr>
          <w:rFonts w:cstheme="minorHAnsi"/>
        </w:rPr>
        <w:t>s</w:t>
      </w:r>
      <w:r w:rsidR="002C6DD4" w:rsidRPr="005F6151">
        <w:rPr>
          <w:rFonts w:cstheme="minorHAnsi"/>
        </w:rPr>
        <w:t>ing</w:t>
      </w:r>
      <w:r w:rsidR="00733792">
        <w:rPr>
          <w:rFonts w:cstheme="minorHAnsi"/>
        </w:rPr>
        <w:t>,</w:t>
      </w:r>
      <w:r w:rsidR="002C6DD4" w:rsidRPr="005F6151">
        <w:rPr>
          <w:rFonts w:cstheme="minorHAnsi"/>
        </w:rPr>
        <w:t xml:space="preserve"> </w:t>
      </w:r>
      <w:r w:rsidR="0029070A" w:rsidRPr="005F6151">
        <w:rPr>
          <w:rFonts w:cstheme="minorHAnsi"/>
        </w:rPr>
        <w:t>stereotypical</w:t>
      </w:r>
      <w:r w:rsidR="002C6DD4" w:rsidRPr="005F6151">
        <w:rPr>
          <w:rFonts w:cstheme="minorHAnsi"/>
        </w:rPr>
        <w:t xml:space="preserve"> responses associated with</w:t>
      </w:r>
      <w:r w:rsidR="00BC62B5">
        <w:rPr>
          <w:rFonts w:cstheme="minorHAnsi"/>
        </w:rPr>
        <w:t>,</w:t>
      </w:r>
      <w:r w:rsidR="002C6DD4" w:rsidRPr="005F6151">
        <w:rPr>
          <w:rFonts w:cstheme="minorHAnsi"/>
        </w:rPr>
        <w:t xml:space="preserve"> for example</w:t>
      </w:r>
      <w:r w:rsidR="00BC62B5">
        <w:rPr>
          <w:rFonts w:cstheme="minorHAnsi"/>
        </w:rPr>
        <w:t>,</w:t>
      </w:r>
      <w:r w:rsidR="002C6DD4" w:rsidRPr="005F6151">
        <w:rPr>
          <w:rFonts w:cstheme="minorHAnsi"/>
        </w:rPr>
        <w:t xml:space="preserve"> victim precipitation: ‘she asked for it’. Yet as compassionate conservatism took more of a hold especially in the </w:t>
      </w:r>
      <w:r w:rsidR="00F80C8C">
        <w:rPr>
          <w:rFonts w:cstheme="minorHAnsi"/>
        </w:rPr>
        <w:t>USA</w:t>
      </w:r>
      <w:r w:rsidR="002C6DD4" w:rsidRPr="005F6151">
        <w:rPr>
          <w:rFonts w:cstheme="minorHAnsi"/>
        </w:rPr>
        <w:t>, there came with</w:t>
      </w:r>
      <w:r w:rsidR="000827EF" w:rsidRPr="005F6151">
        <w:rPr>
          <w:rFonts w:cstheme="minorHAnsi"/>
        </w:rPr>
        <w:t xml:space="preserve"> it</w:t>
      </w:r>
      <w:r w:rsidR="002C6DD4" w:rsidRPr="005F6151">
        <w:rPr>
          <w:rFonts w:cstheme="minorHAnsi"/>
        </w:rPr>
        <w:t xml:space="preserve"> a punitive turn in which naming laws after individual victims captured political and policy processes.</w:t>
      </w:r>
      <w:r w:rsidR="0031295B" w:rsidRPr="005F6151">
        <w:rPr>
          <w:rFonts w:cstheme="minorHAnsi"/>
        </w:rPr>
        <w:t xml:space="preserve"> </w:t>
      </w:r>
    </w:p>
    <w:p w14:paraId="17340BDA" w14:textId="77777777" w:rsidR="00420D49" w:rsidRPr="005F6151" w:rsidRDefault="00420D49" w:rsidP="005F6151">
      <w:pPr>
        <w:spacing w:line="360" w:lineRule="auto"/>
        <w:jc w:val="both"/>
        <w:rPr>
          <w:rFonts w:cstheme="minorHAnsi"/>
        </w:rPr>
      </w:pPr>
    </w:p>
    <w:p w14:paraId="2ED51312" w14:textId="6CC3DEBA" w:rsidR="00F56C16" w:rsidRPr="005F6151" w:rsidRDefault="00F56C16" w:rsidP="005F6151">
      <w:pPr>
        <w:spacing w:line="360" w:lineRule="auto"/>
        <w:jc w:val="both"/>
        <w:rPr>
          <w:rFonts w:cstheme="minorHAnsi"/>
        </w:rPr>
      </w:pPr>
      <w:r w:rsidRPr="005F6151">
        <w:rPr>
          <w:rFonts w:cstheme="minorHAnsi"/>
        </w:rPr>
        <w:t xml:space="preserve">Linking back to Clare’s Law and the focus of this paper, there is a concern that </w:t>
      </w:r>
      <w:r w:rsidR="0031295B" w:rsidRPr="005F6151">
        <w:rPr>
          <w:rFonts w:cstheme="minorHAnsi"/>
        </w:rPr>
        <w:t xml:space="preserve">policies introduced through ‘single-staged, executive controlled’ processes, often on the back of </w:t>
      </w:r>
      <w:r w:rsidRPr="005F6151">
        <w:rPr>
          <w:rFonts w:cstheme="minorHAnsi"/>
        </w:rPr>
        <w:t>campaigns which seek to introduce a</w:t>
      </w:r>
      <w:r w:rsidR="00FB7AD8" w:rsidRPr="005F6151">
        <w:rPr>
          <w:rFonts w:cstheme="minorHAnsi"/>
        </w:rPr>
        <w:t xml:space="preserve"> policy </w:t>
      </w:r>
      <w:r w:rsidRPr="005F6151">
        <w:rPr>
          <w:rFonts w:cstheme="minorHAnsi"/>
        </w:rPr>
        <w:t>named after an individual victim</w:t>
      </w:r>
      <w:r w:rsidR="0031295B" w:rsidRPr="005F6151">
        <w:rPr>
          <w:rFonts w:cstheme="minorHAnsi"/>
        </w:rPr>
        <w:t>,</w:t>
      </w:r>
      <w:r w:rsidRPr="005F6151">
        <w:rPr>
          <w:rFonts w:cstheme="minorHAnsi"/>
        </w:rPr>
        <w:t xml:space="preserve"> preclude opportunities for meaningful consultation and debate against </w:t>
      </w:r>
      <w:r w:rsidR="00FB7AD8" w:rsidRPr="005F6151">
        <w:rPr>
          <w:rFonts w:cstheme="minorHAnsi"/>
        </w:rPr>
        <w:t xml:space="preserve">its </w:t>
      </w:r>
      <w:r w:rsidRPr="005F6151">
        <w:rPr>
          <w:rFonts w:cstheme="minorHAnsi"/>
        </w:rPr>
        <w:t>introduction. This is particularly apparent in the case of family</w:t>
      </w:r>
      <w:r w:rsidR="00F80C8C">
        <w:rPr>
          <w:rFonts w:cstheme="minorHAnsi"/>
        </w:rPr>
        <w:t>-</w:t>
      </w:r>
      <w:r w:rsidRPr="005F6151">
        <w:rPr>
          <w:rFonts w:cstheme="minorHAnsi"/>
        </w:rPr>
        <w:t xml:space="preserve">led law reform campaigns which follow the high profile killing of an individual, as in the case Clare’s Law in the UK. In these cases, a significant concern emerges that the policy making process becomes about therapeutic grieving for the victim </w:t>
      </w:r>
      <w:r w:rsidR="000228D4" w:rsidRPr="005F6151">
        <w:rPr>
          <w:rFonts w:cstheme="minorHAnsi"/>
        </w:rPr>
        <w:t>and a symbolism of the wrong committed against them</w:t>
      </w:r>
      <w:r w:rsidR="006122F8" w:rsidRPr="005F6151">
        <w:rPr>
          <w:rFonts w:cstheme="minorHAnsi"/>
        </w:rPr>
        <w:t>,</w:t>
      </w:r>
      <w:r w:rsidR="000228D4" w:rsidRPr="005F6151">
        <w:rPr>
          <w:rFonts w:cstheme="minorHAnsi"/>
        </w:rPr>
        <w:t xml:space="preserve"> </w:t>
      </w:r>
      <w:r w:rsidRPr="005F6151">
        <w:rPr>
          <w:rFonts w:cstheme="minorHAnsi"/>
        </w:rPr>
        <w:t xml:space="preserve">as opposed to an evidence-based reflection of what would be effective in preventing future violence. </w:t>
      </w:r>
      <w:r w:rsidR="00676DE8" w:rsidRPr="005F6151">
        <w:rPr>
          <w:rFonts w:cstheme="minorHAnsi"/>
        </w:rPr>
        <w:t>In contrast</w:t>
      </w:r>
      <w:r w:rsidR="00AC0BEC" w:rsidRPr="005F6151">
        <w:rPr>
          <w:rFonts w:cstheme="minorHAnsi"/>
        </w:rPr>
        <w:t xml:space="preserve"> to this knee-jerk, politicised policy process</w:t>
      </w:r>
      <w:r w:rsidR="00676DE8" w:rsidRPr="005F6151">
        <w:rPr>
          <w:rFonts w:cstheme="minorHAnsi"/>
        </w:rPr>
        <w:t xml:space="preserve">, we turn now to the depth of </w:t>
      </w:r>
      <w:r w:rsidR="00DC3722" w:rsidRPr="005F6151">
        <w:rPr>
          <w:rFonts w:cstheme="minorHAnsi"/>
        </w:rPr>
        <w:t xml:space="preserve">the </w:t>
      </w:r>
      <w:r w:rsidR="006D5B3C" w:rsidRPr="005F6151">
        <w:rPr>
          <w:rFonts w:cstheme="minorHAnsi"/>
        </w:rPr>
        <w:t xml:space="preserve">reform </w:t>
      </w:r>
      <w:r w:rsidR="00676DE8" w:rsidRPr="005F6151">
        <w:rPr>
          <w:rFonts w:cstheme="minorHAnsi"/>
        </w:rPr>
        <w:t>process that occurs whe</w:t>
      </w:r>
      <w:r w:rsidR="000D79A3">
        <w:rPr>
          <w:rFonts w:cstheme="minorHAnsi"/>
        </w:rPr>
        <w:t>n</w:t>
      </w:r>
      <w:r w:rsidR="00676DE8" w:rsidRPr="005F6151">
        <w:rPr>
          <w:rFonts w:cstheme="minorHAnsi"/>
        </w:rPr>
        <w:t xml:space="preserve"> policies are considered and introduced via </w:t>
      </w:r>
      <w:r w:rsidR="001C1286" w:rsidRPr="005F6151">
        <w:rPr>
          <w:rFonts w:cstheme="minorHAnsi"/>
        </w:rPr>
        <w:t>McNamara et al.’s</w:t>
      </w:r>
      <w:r w:rsidR="003C63F1" w:rsidRPr="005F6151">
        <w:rPr>
          <w:rFonts w:cstheme="minorHAnsi"/>
        </w:rPr>
        <w:t xml:space="preserve"> (2019)</w:t>
      </w:r>
      <w:r w:rsidR="001C1286" w:rsidRPr="005F6151">
        <w:rPr>
          <w:rFonts w:cstheme="minorHAnsi"/>
        </w:rPr>
        <w:t xml:space="preserve"> </w:t>
      </w:r>
      <w:r w:rsidR="00676DE8" w:rsidRPr="005F6151">
        <w:rPr>
          <w:rFonts w:cstheme="minorHAnsi"/>
        </w:rPr>
        <w:t xml:space="preserve">sixth category of process: </w:t>
      </w:r>
      <w:r w:rsidR="00A44E4B" w:rsidRPr="005F6151">
        <w:rPr>
          <w:rFonts w:cstheme="minorHAnsi"/>
        </w:rPr>
        <w:t>independent</w:t>
      </w:r>
      <w:r w:rsidR="00676DE8" w:rsidRPr="005F6151">
        <w:rPr>
          <w:rFonts w:cstheme="minorHAnsi"/>
        </w:rPr>
        <w:t xml:space="preserve"> review by standing commission/committee. </w:t>
      </w:r>
    </w:p>
    <w:p w14:paraId="35EF34A5" w14:textId="77777777" w:rsidR="00B57B29" w:rsidRPr="005F6151" w:rsidRDefault="00B57B29" w:rsidP="005F6151">
      <w:pPr>
        <w:spacing w:line="360" w:lineRule="auto"/>
        <w:jc w:val="both"/>
        <w:rPr>
          <w:rFonts w:cstheme="minorHAnsi"/>
        </w:rPr>
      </w:pPr>
    </w:p>
    <w:p w14:paraId="30B64066" w14:textId="3BE465E9" w:rsidR="00A23ABE" w:rsidRPr="005F6151" w:rsidRDefault="00A23ABE" w:rsidP="000D79A3">
      <w:pPr>
        <w:pStyle w:val="Heading1"/>
      </w:pPr>
      <w:r w:rsidRPr="005F6151">
        <w:t>Policy making by</w:t>
      </w:r>
      <w:r w:rsidR="00B516A4" w:rsidRPr="005F6151">
        <w:t xml:space="preserve"> whole of system</w:t>
      </w:r>
      <w:r w:rsidRPr="005F6151">
        <w:t xml:space="preserve"> </w:t>
      </w:r>
      <w:r w:rsidR="00B516A4" w:rsidRPr="005F6151">
        <w:t>inquiry</w:t>
      </w:r>
      <w:r w:rsidRPr="005F6151">
        <w:t xml:space="preserve">: The Victorian and Queensland experience </w:t>
      </w:r>
    </w:p>
    <w:p w14:paraId="29F86F45" w14:textId="77777777" w:rsidR="000D79A3" w:rsidRDefault="000D79A3" w:rsidP="005F6151">
      <w:pPr>
        <w:spacing w:line="360" w:lineRule="auto"/>
        <w:jc w:val="both"/>
        <w:rPr>
          <w:rFonts w:cstheme="minorHAnsi"/>
        </w:rPr>
      </w:pPr>
    </w:p>
    <w:p w14:paraId="57CE35AB" w14:textId="573A8A9B" w:rsidR="00C324F1" w:rsidRPr="005F6151" w:rsidRDefault="00FF6A88" w:rsidP="005F6151">
      <w:pPr>
        <w:spacing w:line="360" w:lineRule="auto"/>
        <w:jc w:val="both"/>
        <w:rPr>
          <w:rFonts w:cstheme="minorHAnsi"/>
        </w:rPr>
      </w:pPr>
      <w:r w:rsidRPr="005F6151">
        <w:rPr>
          <w:rFonts w:cstheme="minorHAnsi"/>
        </w:rPr>
        <w:t xml:space="preserve">Quilter defines the category of independent review by commission/committee </w:t>
      </w:r>
      <w:r w:rsidR="00C324F1" w:rsidRPr="005F6151">
        <w:rPr>
          <w:rFonts w:cstheme="minorHAnsi"/>
        </w:rPr>
        <w:t>as</w:t>
      </w:r>
      <w:r w:rsidR="002B4220">
        <w:rPr>
          <w:rFonts w:cstheme="minorHAnsi"/>
        </w:rPr>
        <w:t xml:space="preserve"> ‘</w:t>
      </w:r>
      <w:r w:rsidR="00C324F1" w:rsidRPr="005F6151">
        <w:rPr>
          <w:rFonts w:cstheme="minorHAnsi"/>
        </w:rPr>
        <w:t xml:space="preserve">a process sometimes characterised as “textbook” or “best practice”, which has as a </w:t>
      </w:r>
      <w:r w:rsidR="002B4220">
        <w:rPr>
          <w:rFonts w:cstheme="minorHAnsi"/>
        </w:rPr>
        <w:t>“</w:t>
      </w:r>
      <w:r w:rsidR="00C324F1" w:rsidRPr="005F6151">
        <w:rPr>
          <w:rFonts w:cstheme="minorHAnsi"/>
        </w:rPr>
        <w:t>centrepiece</w:t>
      </w:r>
      <w:r w:rsidR="002B4220">
        <w:rPr>
          <w:rFonts w:cstheme="minorHAnsi"/>
        </w:rPr>
        <w:t>”</w:t>
      </w:r>
      <w:r w:rsidR="00C324F1" w:rsidRPr="005F6151">
        <w:rPr>
          <w:rFonts w:cstheme="minorHAnsi"/>
        </w:rPr>
        <w:t xml:space="preserve"> research undertaken by an expert organisation that is (relatively) independent of government</w:t>
      </w:r>
      <w:r w:rsidR="00595511" w:rsidRPr="005F6151">
        <w:rPr>
          <w:rFonts w:cstheme="minorHAnsi"/>
        </w:rPr>
        <w:t xml:space="preserve"> (2020</w:t>
      </w:r>
      <w:r w:rsidR="00F079F9" w:rsidRPr="005F6151">
        <w:rPr>
          <w:rFonts w:cstheme="minorHAnsi"/>
        </w:rPr>
        <w:t>:</w:t>
      </w:r>
      <w:r w:rsidR="00595511" w:rsidRPr="005F6151">
        <w:rPr>
          <w:rFonts w:cstheme="minorHAnsi"/>
        </w:rPr>
        <w:t xml:space="preserve"> </w:t>
      </w:r>
      <w:r w:rsidR="00C324F1" w:rsidRPr="005F6151">
        <w:rPr>
          <w:rFonts w:cstheme="minorHAnsi"/>
        </w:rPr>
        <w:t>113)</w:t>
      </w:r>
      <w:r w:rsidR="00A701A1">
        <w:rPr>
          <w:rFonts w:cstheme="minorHAnsi"/>
        </w:rPr>
        <w:t xml:space="preserve">. </w:t>
      </w:r>
      <w:r w:rsidR="00C324F1" w:rsidRPr="005F6151">
        <w:rPr>
          <w:rFonts w:cstheme="minorHAnsi"/>
        </w:rPr>
        <w:t xml:space="preserve">The </w:t>
      </w:r>
      <w:r w:rsidR="00554816" w:rsidRPr="005F6151">
        <w:rPr>
          <w:rFonts w:cstheme="minorHAnsi"/>
        </w:rPr>
        <w:t>RCFV</w:t>
      </w:r>
      <w:r w:rsidR="00F079F9" w:rsidRPr="005F6151">
        <w:rPr>
          <w:rFonts w:cstheme="minorHAnsi"/>
        </w:rPr>
        <w:t>, which</w:t>
      </w:r>
      <w:r w:rsidR="00297813" w:rsidRPr="005F6151">
        <w:rPr>
          <w:rFonts w:cstheme="minorHAnsi"/>
        </w:rPr>
        <w:t xml:space="preserve"> was</w:t>
      </w:r>
      <w:r w:rsidR="00C324F1" w:rsidRPr="005F6151">
        <w:rPr>
          <w:rFonts w:cstheme="minorHAnsi"/>
        </w:rPr>
        <w:t xml:space="preserve"> established in </w:t>
      </w:r>
      <w:r w:rsidR="00554816" w:rsidRPr="005F6151">
        <w:rPr>
          <w:rFonts w:cstheme="minorHAnsi"/>
        </w:rPr>
        <w:t>February 2015 and completed in March 2016, maps well onto Quilter’s description of an independent review by commission/committee</w:t>
      </w:r>
      <w:r w:rsidR="007F10CA" w:rsidRPr="005F6151">
        <w:rPr>
          <w:rFonts w:cstheme="minorHAnsi"/>
        </w:rPr>
        <w:t xml:space="preserve"> (see also McNamara et al.</w:t>
      </w:r>
      <w:r w:rsidR="00E11534">
        <w:rPr>
          <w:rFonts w:cstheme="minorHAnsi"/>
        </w:rPr>
        <w:t>,</w:t>
      </w:r>
      <w:r w:rsidR="007F10CA" w:rsidRPr="005F6151">
        <w:rPr>
          <w:rFonts w:cstheme="minorHAnsi"/>
        </w:rPr>
        <w:t xml:space="preserve"> 20</w:t>
      </w:r>
      <w:r w:rsidR="00541D42" w:rsidRPr="005F6151">
        <w:rPr>
          <w:rFonts w:cstheme="minorHAnsi"/>
        </w:rPr>
        <w:t>19</w:t>
      </w:r>
      <w:r w:rsidR="007F10CA" w:rsidRPr="005F6151">
        <w:rPr>
          <w:rFonts w:cstheme="minorHAnsi"/>
        </w:rPr>
        <w:t>)</w:t>
      </w:r>
      <w:r w:rsidR="00554816" w:rsidRPr="005F6151">
        <w:rPr>
          <w:rFonts w:cstheme="minorHAnsi"/>
        </w:rPr>
        <w:t xml:space="preserve">. The RCFV was </w:t>
      </w:r>
      <w:r w:rsidR="00AC3104">
        <w:rPr>
          <w:rFonts w:cstheme="minorHAnsi"/>
        </w:rPr>
        <w:t>initiated with the</w:t>
      </w:r>
      <w:r w:rsidR="00554816" w:rsidRPr="005F6151">
        <w:rPr>
          <w:rFonts w:cstheme="minorHAnsi"/>
        </w:rPr>
        <w:t xml:space="preserve"> appointment of a Commissioner and two Deputy Commissioner</w:t>
      </w:r>
      <w:r w:rsidR="00F079F9" w:rsidRPr="005F6151">
        <w:rPr>
          <w:rFonts w:cstheme="minorHAnsi"/>
        </w:rPr>
        <w:t>s</w:t>
      </w:r>
      <w:r w:rsidR="00554816" w:rsidRPr="005F6151">
        <w:rPr>
          <w:rFonts w:cstheme="minorHAnsi"/>
        </w:rPr>
        <w:t xml:space="preserve"> to conduct an independent commission of inquiry into what </w:t>
      </w:r>
      <w:r w:rsidR="00AC0BEC" w:rsidRPr="005F6151">
        <w:rPr>
          <w:rFonts w:cstheme="minorHAnsi"/>
        </w:rPr>
        <w:t>was</w:t>
      </w:r>
      <w:r w:rsidR="00554816" w:rsidRPr="005F6151">
        <w:rPr>
          <w:rFonts w:cstheme="minorHAnsi"/>
        </w:rPr>
        <w:t xml:space="preserve"> needed to disrupt the prevalence of, and substantially improve responses to</w:t>
      </w:r>
      <w:r w:rsidR="00F079F9" w:rsidRPr="005F6151">
        <w:rPr>
          <w:rFonts w:cstheme="minorHAnsi"/>
        </w:rPr>
        <w:t>,</w:t>
      </w:r>
      <w:r w:rsidR="00554816" w:rsidRPr="005F6151">
        <w:rPr>
          <w:rFonts w:cstheme="minorHAnsi"/>
        </w:rPr>
        <w:t xml:space="preserve"> family violence among all communities and in all geographic locations across the state. </w:t>
      </w:r>
      <w:r w:rsidR="0083235B" w:rsidRPr="005F6151">
        <w:rPr>
          <w:rFonts w:cstheme="minorHAnsi"/>
        </w:rPr>
        <w:t xml:space="preserve">Just over a year later, in March 2016 the RCFV handed down its Final Report, containing 227 recommendations proposing a whole of system </w:t>
      </w:r>
      <w:r w:rsidR="0083235B" w:rsidRPr="005F6151">
        <w:rPr>
          <w:rFonts w:cstheme="minorHAnsi"/>
        </w:rPr>
        <w:lastRenderedPageBreak/>
        <w:t>transformation of responses to, and the prevention of</w:t>
      </w:r>
      <w:r w:rsidR="00FD392E">
        <w:rPr>
          <w:rFonts w:cstheme="minorHAnsi"/>
        </w:rPr>
        <w:t>,</w:t>
      </w:r>
      <w:r w:rsidR="0083235B" w:rsidRPr="005F6151">
        <w:rPr>
          <w:rFonts w:cstheme="minorHAnsi"/>
        </w:rPr>
        <w:t xml:space="preserve"> all forms of family violence state-wide. The Report, and its road map for reform, represents arguably the most significant exploration of family violence prevention, early intervention</w:t>
      </w:r>
      <w:r w:rsidR="006122F8" w:rsidRPr="005F6151">
        <w:rPr>
          <w:rFonts w:cstheme="minorHAnsi"/>
        </w:rPr>
        <w:t>,</w:t>
      </w:r>
      <w:r w:rsidR="0083235B" w:rsidRPr="005F6151">
        <w:rPr>
          <w:rFonts w:cstheme="minorHAnsi"/>
        </w:rPr>
        <w:t xml:space="preserve"> and responses in Australia and internationally. </w:t>
      </w:r>
      <w:r w:rsidR="00F905BD" w:rsidRPr="005F6151">
        <w:rPr>
          <w:rFonts w:cstheme="minorHAnsi"/>
        </w:rPr>
        <w:t xml:space="preserve">The Commission’s final report drew on </w:t>
      </w:r>
      <w:r w:rsidR="003438F5" w:rsidRPr="005F6151">
        <w:rPr>
          <w:rFonts w:cstheme="minorHAnsi"/>
        </w:rPr>
        <w:t xml:space="preserve">its consideration of over 1,000 written submissions, as well as the findings from 44 group sessions attended by approximately 850 people, </w:t>
      </w:r>
      <w:r w:rsidR="006A5011" w:rsidRPr="005F6151">
        <w:rPr>
          <w:rFonts w:cstheme="minorHAnsi"/>
        </w:rPr>
        <w:t>and</w:t>
      </w:r>
      <w:r w:rsidR="003438F5" w:rsidRPr="005F6151">
        <w:rPr>
          <w:rFonts w:cstheme="minorHAnsi"/>
        </w:rPr>
        <w:t xml:space="preserve"> 25 days of public hearings during which 220 witnesses provided evidence to the Commission (RCFV, 2016).</w:t>
      </w:r>
      <w:r w:rsidR="00B722EB" w:rsidRPr="005F6151">
        <w:rPr>
          <w:rFonts w:cstheme="minorHAnsi"/>
        </w:rPr>
        <w:t xml:space="preserve"> The resulting recommendations set the blueprint for ‘a complete transformation’ of responses to, and the prevention of, family violence state</w:t>
      </w:r>
      <w:r w:rsidR="008F6364" w:rsidRPr="005F6151">
        <w:rPr>
          <w:rFonts w:cstheme="minorHAnsi"/>
        </w:rPr>
        <w:t>-</w:t>
      </w:r>
      <w:r w:rsidR="00B722EB" w:rsidRPr="005F6151">
        <w:rPr>
          <w:rFonts w:cstheme="minorHAnsi"/>
        </w:rPr>
        <w:t xml:space="preserve">wide (Fitz-Gibbon, </w:t>
      </w:r>
      <w:r w:rsidR="009B14AC" w:rsidRPr="005F6151">
        <w:rPr>
          <w:rFonts w:cstheme="minorHAnsi"/>
        </w:rPr>
        <w:t>2016)</w:t>
      </w:r>
      <w:r w:rsidR="00B722EB" w:rsidRPr="005F6151">
        <w:rPr>
          <w:rFonts w:cstheme="minorHAnsi"/>
        </w:rPr>
        <w:t xml:space="preserve">. </w:t>
      </w:r>
    </w:p>
    <w:p w14:paraId="11EB38D9" w14:textId="77777777" w:rsidR="00D27C9E" w:rsidRPr="005F6151" w:rsidRDefault="00D27C9E" w:rsidP="005F6151">
      <w:pPr>
        <w:spacing w:line="360" w:lineRule="auto"/>
        <w:jc w:val="both"/>
        <w:rPr>
          <w:rFonts w:cstheme="minorHAnsi"/>
        </w:rPr>
      </w:pPr>
    </w:p>
    <w:p w14:paraId="61504D5F" w14:textId="47164451" w:rsidR="00F97698" w:rsidRPr="005F6151" w:rsidRDefault="00D27C9E" w:rsidP="00281BF9">
      <w:pPr>
        <w:spacing w:line="360" w:lineRule="auto"/>
        <w:jc w:val="both"/>
        <w:rPr>
          <w:rFonts w:cstheme="minorHAnsi"/>
        </w:rPr>
      </w:pPr>
      <w:r w:rsidRPr="005F6151">
        <w:rPr>
          <w:rFonts w:cstheme="minorHAnsi"/>
        </w:rPr>
        <w:t xml:space="preserve">The Commission’s final report spanned seven volumes as well as a Summary and Recommendations report. </w:t>
      </w:r>
      <w:r w:rsidR="00F97698" w:rsidRPr="005F6151">
        <w:rPr>
          <w:rFonts w:cstheme="minorHAnsi"/>
        </w:rPr>
        <w:t>Consideration of the merits of a DVDS appear</w:t>
      </w:r>
      <w:r w:rsidR="007A503F">
        <w:rPr>
          <w:rFonts w:cstheme="minorHAnsi"/>
        </w:rPr>
        <w:t>s</w:t>
      </w:r>
      <w:r w:rsidR="00F97698" w:rsidRPr="005F6151">
        <w:rPr>
          <w:rFonts w:cstheme="minorHAnsi"/>
        </w:rPr>
        <w:t xml:space="preserve"> in Volume 1 of the Commission’s report and </w:t>
      </w:r>
      <w:r w:rsidR="007A503F">
        <w:rPr>
          <w:rFonts w:cstheme="minorHAnsi"/>
        </w:rPr>
        <w:t>is</w:t>
      </w:r>
      <w:r w:rsidR="00F97698" w:rsidRPr="005F6151">
        <w:rPr>
          <w:rFonts w:cstheme="minorHAnsi"/>
        </w:rPr>
        <w:t xml:space="preserve"> given one page</w:t>
      </w:r>
      <w:r w:rsidR="000F4A62" w:rsidRPr="005F6151">
        <w:rPr>
          <w:rFonts w:cstheme="minorHAnsi"/>
        </w:rPr>
        <w:t>, which is primarily dedicated to a summary review of the NSW pilot scheme (further details on this pilot are provided in the second half of this paper)</w:t>
      </w:r>
      <w:r w:rsidR="00F97698" w:rsidRPr="005F6151">
        <w:rPr>
          <w:rFonts w:cstheme="minorHAnsi"/>
        </w:rPr>
        <w:t xml:space="preserve">. </w:t>
      </w:r>
      <w:r w:rsidR="00FD0575" w:rsidRPr="005F6151">
        <w:rPr>
          <w:rFonts w:cstheme="minorHAnsi"/>
        </w:rPr>
        <w:t xml:space="preserve">The </w:t>
      </w:r>
      <w:r w:rsidR="000F4A62" w:rsidRPr="005F6151">
        <w:rPr>
          <w:rFonts w:cstheme="minorHAnsi"/>
        </w:rPr>
        <w:t xml:space="preserve">RCFV </w:t>
      </w:r>
      <w:r w:rsidR="000248CE" w:rsidRPr="005F6151">
        <w:rPr>
          <w:rFonts w:cstheme="minorHAnsi"/>
        </w:rPr>
        <w:t>notes that Victoria P</w:t>
      </w:r>
      <w:r w:rsidR="00F97698" w:rsidRPr="005F6151">
        <w:rPr>
          <w:rFonts w:cstheme="minorHAnsi"/>
        </w:rPr>
        <w:t>olice, the state-wide police service responsible for responding to famil</w:t>
      </w:r>
      <w:r w:rsidR="00FD0575" w:rsidRPr="005F6151">
        <w:rPr>
          <w:rFonts w:cstheme="minorHAnsi"/>
        </w:rPr>
        <w:t>y violence incidents, supported consideration of</w:t>
      </w:r>
      <w:r w:rsidR="00F97698" w:rsidRPr="005F6151">
        <w:rPr>
          <w:rFonts w:cstheme="minorHAnsi"/>
        </w:rPr>
        <w:t xml:space="preserve"> the introduction of a DVDS </w:t>
      </w:r>
      <w:r w:rsidR="00B17C62" w:rsidRPr="005F6151">
        <w:rPr>
          <w:rFonts w:cstheme="minorHAnsi"/>
        </w:rPr>
        <w:t>in their submission to the commission, stating</w:t>
      </w:r>
      <w:r w:rsidR="00F97698" w:rsidRPr="005F6151">
        <w:rPr>
          <w:rFonts w:cstheme="minorHAnsi"/>
        </w:rPr>
        <w:t xml:space="preserve">: </w:t>
      </w:r>
      <w:r w:rsidR="00281BF9">
        <w:rPr>
          <w:rFonts w:cstheme="minorHAnsi"/>
        </w:rPr>
        <w:t>‘</w:t>
      </w:r>
      <w:r w:rsidR="00F97698" w:rsidRPr="005F6151">
        <w:rPr>
          <w:rFonts w:cstheme="minorHAnsi"/>
        </w:rPr>
        <w:t xml:space="preserve">the Royal Commission may consider a legislative regime based on the English </w:t>
      </w:r>
      <w:r w:rsidR="00281BF9">
        <w:rPr>
          <w:rFonts w:cstheme="minorHAnsi"/>
        </w:rPr>
        <w:t>“</w:t>
      </w:r>
      <w:r w:rsidR="00F97698" w:rsidRPr="005F6151">
        <w:rPr>
          <w:rFonts w:cstheme="minorHAnsi"/>
        </w:rPr>
        <w:t>Clare’s Law</w:t>
      </w:r>
      <w:r w:rsidR="00281BF9">
        <w:rPr>
          <w:rFonts w:cstheme="minorHAnsi"/>
        </w:rPr>
        <w:t>”</w:t>
      </w:r>
      <w:r w:rsidR="00F97698" w:rsidRPr="005F6151">
        <w:rPr>
          <w:rFonts w:cstheme="minorHAnsi"/>
        </w:rPr>
        <w:t xml:space="preserve"> ... </w:t>
      </w:r>
      <w:r w:rsidR="00281BF9">
        <w:rPr>
          <w:rFonts w:cstheme="minorHAnsi"/>
        </w:rPr>
        <w:t>[S]</w:t>
      </w:r>
      <w:proofErr w:type="spellStart"/>
      <w:r w:rsidR="00F97698" w:rsidRPr="005F6151">
        <w:rPr>
          <w:rFonts w:cstheme="minorHAnsi"/>
        </w:rPr>
        <w:t>uch</w:t>
      </w:r>
      <w:proofErr w:type="spellEnd"/>
      <w:r w:rsidR="00F97698" w:rsidRPr="005F6151">
        <w:rPr>
          <w:rFonts w:cstheme="minorHAnsi"/>
        </w:rPr>
        <w:t xml:space="preserve"> an initiative could break the all too common pattern of perpetrators harming successive partners and avoid exposing unwitting adults and children to known perpetrators of family violence</w:t>
      </w:r>
      <w:r w:rsidR="00281BF9">
        <w:rPr>
          <w:rFonts w:cstheme="minorHAnsi"/>
        </w:rPr>
        <w:t>’</w:t>
      </w:r>
      <w:r w:rsidR="00F97698" w:rsidRPr="005F6151">
        <w:rPr>
          <w:rFonts w:cstheme="minorHAnsi"/>
        </w:rPr>
        <w:t xml:space="preserve"> (RCFV, 2016, Volume </w:t>
      </w:r>
      <w:r w:rsidR="00B23432" w:rsidRPr="005F6151">
        <w:rPr>
          <w:rFonts w:cstheme="minorHAnsi"/>
        </w:rPr>
        <w:t>1</w:t>
      </w:r>
      <w:r w:rsidR="00281BF9">
        <w:rPr>
          <w:rFonts w:cstheme="minorHAnsi"/>
        </w:rPr>
        <w:t>:</w:t>
      </w:r>
      <w:r w:rsidR="00F97698" w:rsidRPr="005F6151">
        <w:rPr>
          <w:rFonts w:cstheme="minorHAnsi"/>
        </w:rPr>
        <w:t xml:space="preserve"> 115)</w:t>
      </w:r>
      <w:r w:rsidR="00281BF9">
        <w:rPr>
          <w:rFonts w:cstheme="minorHAnsi"/>
        </w:rPr>
        <w:t>.</w:t>
      </w:r>
    </w:p>
    <w:p w14:paraId="1CEDB891" w14:textId="77777777" w:rsidR="00C324F1" w:rsidRPr="005F6151" w:rsidRDefault="00C324F1" w:rsidP="005F6151">
      <w:pPr>
        <w:spacing w:line="360" w:lineRule="auto"/>
        <w:jc w:val="both"/>
        <w:rPr>
          <w:rFonts w:cstheme="minorHAnsi"/>
        </w:rPr>
      </w:pPr>
    </w:p>
    <w:p w14:paraId="12660FE0" w14:textId="3957D30C" w:rsidR="00F97698" w:rsidRPr="005F6151" w:rsidRDefault="00532848" w:rsidP="005F6151">
      <w:pPr>
        <w:spacing w:line="360" w:lineRule="auto"/>
        <w:jc w:val="both"/>
        <w:rPr>
          <w:rFonts w:cstheme="minorHAnsi"/>
        </w:rPr>
      </w:pPr>
      <w:r w:rsidRPr="005F6151">
        <w:rPr>
          <w:rFonts w:cstheme="minorHAnsi"/>
        </w:rPr>
        <w:t>While they are</w:t>
      </w:r>
      <w:r w:rsidR="00FD0575" w:rsidRPr="005F6151">
        <w:rPr>
          <w:rFonts w:cstheme="minorHAnsi"/>
        </w:rPr>
        <w:t xml:space="preserve"> not referred to in the Final Report, </w:t>
      </w:r>
      <w:r w:rsidR="00BA2033" w:rsidRPr="005F6151">
        <w:rPr>
          <w:rFonts w:cstheme="minorHAnsi"/>
        </w:rPr>
        <w:t>there was at least one other submission provided by a community organisation which likewise recommended the merits of a Victoria</w:t>
      </w:r>
      <w:r w:rsidR="00023376" w:rsidRPr="005F6151">
        <w:rPr>
          <w:rFonts w:cstheme="minorHAnsi"/>
        </w:rPr>
        <w:t xml:space="preserve">n </w:t>
      </w:r>
      <w:r w:rsidR="00BA2033" w:rsidRPr="005F6151">
        <w:rPr>
          <w:rFonts w:cstheme="minorHAnsi"/>
        </w:rPr>
        <w:t xml:space="preserve">DVDS be considered as part of the Commission’s process. </w:t>
      </w:r>
      <w:r w:rsidR="00023376" w:rsidRPr="005F6151">
        <w:rPr>
          <w:rFonts w:cstheme="minorHAnsi"/>
        </w:rPr>
        <w:t xml:space="preserve">Perhaps in the clearest indication of </w:t>
      </w:r>
      <w:r w:rsidR="00AC0BEC" w:rsidRPr="005F6151">
        <w:rPr>
          <w:rFonts w:cstheme="minorHAnsi"/>
        </w:rPr>
        <w:t xml:space="preserve">a </w:t>
      </w:r>
      <w:r w:rsidR="00023376" w:rsidRPr="005F6151">
        <w:rPr>
          <w:rFonts w:cstheme="minorHAnsi"/>
        </w:rPr>
        <w:t>lack</w:t>
      </w:r>
      <w:r w:rsidR="00AC0BEC" w:rsidRPr="005F6151">
        <w:rPr>
          <w:rFonts w:cstheme="minorHAnsi"/>
        </w:rPr>
        <w:t xml:space="preserve"> of </w:t>
      </w:r>
      <w:r w:rsidR="00804C5B" w:rsidRPr="005F6151">
        <w:rPr>
          <w:rFonts w:cstheme="minorHAnsi"/>
        </w:rPr>
        <w:t>interest in its implementation in Victoria</w:t>
      </w:r>
      <w:r w:rsidR="00023376" w:rsidRPr="005F6151">
        <w:rPr>
          <w:rFonts w:cstheme="minorHAnsi"/>
        </w:rPr>
        <w:t>, the final report of the Royal Commission – despite totalling 2,082 pages – does not tease out the merits of a DVDS</w:t>
      </w:r>
      <w:r w:rsidR="00771497" w:rsidRPr="005F6151">
        <w:rPr>
          <w:rFonts w:cstheme="minorHAnsi"/>
        </w:rPr>
        <w:t xml:space="preserve"> beyond the one</w:t>
      </w:r>
      <w:r w:rsidR="00653F1A" w:rsidRPr="005F6151">
        <w:rPr>
          <w:rFonts w:cstheme="minorHAnsi"/>
        </w:rPr>
        <w:t>-</w:t>
      </w:r>
      <w:r w:rsidR="00771497" w:rsidRPr="005F6151">
        <w:rPr>
          <w:rFonts w:cstheme="minorHAnsi"/>
        </w:rPr>
        <w:t>page summary</w:t>
      </w:r>
      <w:r w:rsidR="000864DF" w:rsidRPr="005F6151">
        <w:rPr>
          <w:rFonts w:cstheme="minorHAnsi"/>
        </w:rPr>
        <w:t>. A</w:t>
      </w:r>
      <w:r w:rsidR="00023376" w:rsidRPr="005F6151">
        <w:rPr>
          <w:rFonts w:cstheme="minorHAnsi"/>
        </w:rPr>
        <w:t xml:space="preserve">mong the Commission’s 227 recommendations, there are no recommendations which </w:t>
      </w:r>
      <w:r w:rsidR="00641219" w:rsidRPr="005F6151">
        <w:rPr>
          <w:rFonts w:cstheme="minorHAnsi"/>
        </w:rPr>
        <w:t xml:space="preserve">propose a DVDS or a similarly structured scheme. </w:t>
      </w:r>
    </w:p>
    <w:p w14:paraId="7ACFD688" w14:textId="77777777" w:rsidR="00F97698" w:rsidRPr="005F6151" w:rsidRDefault="00F97698" w:rsidP="005F6151">
      <w:pPr>
        <w:spacing w:line="360" w:lineRule="auto"/>
        <w:jc w:val="both"/>
        <w:rPr>
          <w:rFonts w:cstheme="minorHAnsi"/>
          <w:color w:val="FF0000"/>
        </w:rPr>
      </w:pPr>
    </w:p>
    <w:p w14:paraId="63D8CC28" w14:textId="33B5F944" w:rsidR="00927CEE" w:rsidRPr="005F6151" w:rsidRDefault="00927CEE" w:rsidP="005F6151">
      <w:pPr>
        <w:spacing w:line="360" w:lineRule="auto"/>
        <w:jc w:val="both"/>
        <w:rPr>
          <w:rFonts w:cstheme="minorHAnsi"/>
          <w:color w:val="FF0000"/>
        </w:rPr>
      </w:pPr>
      <w:r w:rsidRPr="005F6151">
        <w:rPr>
          <w:rFonts w:cstheme="minorHAnsi"/>
        </w:rPr>
        <w:t xml:space="preserve">One year prior to the </w:t>
      </w:r>
      <w:r w:rsidR="00024348">
        <w:rPr>
          <w:rFonts w:cstheme="minorHAnsi"/>
        </w:rPr>
        <w:t xml:space="preserve">release of the </w:t>
      </w:r>
      <w:r w:rsidRPr="005F6151">
        <w:rPr>
          <w:rFonts w:cstheme="minorHAnsi"/>
        </w:rPr>
        <w:t xml:space="preserve">Victorian Royal Commission’s final report, the Special Taskforce </w:t>
      </w:r>
      <w:r w:rsidR="00AA08D6" w:rsidRPr="005F6151">
        <w:rPr>
          <w:rFonts w:cstheme="minorHAnsi"/>
        </w:rPr>
        <w:t>on Domestic and Family Violence in Queensland (2015</w:t>
      </w:r>
      <w:r w:rsidR="009151DC">
        <w:rPr>
          <w:rFonts w:cstheme="minorHAnsi"/>
        </w:rPr>
        <w:t>a</w:t>
      </w:r>
      <w:r w:rsidR="00AA08D6" w:rsidRPr="005F6151">
        <w:rPr>
          <w:rFonts w:cstheme="minorHAnsi"/>
        </w:rPr>
        <w:t>, hereinafter Special Taskforce) likewise also stopped short of recommending the introduction of a DVDS</w:t>
      </w:r>
      <w:r w:rsidR="00743668" w:rsidRPr="005F6151">
        <w:rPr>
          <w:rFonts w:cstheme="minorHAnsi"/>
        </w:rPr>
        <w:t xml:space="preserve"> and similarly paid limited attention to </w:t>
      </w:r>
      <w:r w:rsidR="00743668" w:rsidRPr="005F6151">
        <w:rPr>
          <w:rFonts w:cstheme="minorHAnsi"/>
        </w:rPr>
        <w:lastRenderedPageBreak/>
        <w:t xml:space="preserve">the merits of such a scheme throughout </w:t>
      </w:r>
      <w:r w:rsidR="00516CDD">
        <w:rPr>
          <w:rFonts w:cstheme="minorHAnsi"/>
        </w:rPr>
        <w:t>its</w:t>
      </w:r>
      <w:r w:rsidR="00743668" w:rsidRPr="005F6151">
        <w:rPr>
          <w:rFonts w:cstheme="minorHAnsi"/>
        </w:rPr>
        <w:t xml:space="preserve"> state-wide inquiry</w:t>
      </w:r>
      <w:r w:rsidR="00AA08D6" w:rsidRPr="005F6151">
        <w:rPr>
          <w:rFonts w:cstheme="minorHAnsi"/>
        </w:rPr>
        <w:t>.</w:t>
      </w:r>
      <w:r w:rsidR="00743668" w:rsidRPr="005F6151">
        <w:rPr>
          <w:rFonts w:cstheme="minorHAnsi"/>
        </w:rPr>
        <w:t xml:space="preserve"> The Queensland Special Taskforce was established in September 2014 with the broad remit to examine how the whole of </w:t>
      </w:r>
      <w:r w:rsidR="00A6156C">
        <w:rPr>
          <w:rFonts w:cstheme="minorHAnsi"/>
        </w:rPr>
        <w:t xml:space="preserve">the </w:t>
      </w:r>
      <w:r w:rsidR="007A4B47" w:rsidRPr="005F6151">
        <w:rPr>
          <w:rFonts w:cstheme="minorHAnsi"/>
        </w:rPr>
        <w:t>DFV</w:t>
      </w:r>
      <w:r w:rsidR="00743668" w:rsidRPr="005F6151">
        <w:rPr>
          <w:rFonts w:cstheme="minorHAnsi"/>
        </w:rPr>
        <w:t xml:space="preserve"> ‘system could be improved and future incidents o</w:t>
      </w:r>
      <w:r w:rsidR="00516CDD">
        <w:rPr>
          <w:rFonts w:cstheme="minorHAnsi"/>
        </w:rPr>
        <w:t>f</w:t>
      </w:r>
      <w:r w:rsidR="00743668" w:rsidRPr="005F6151">
        <w:rPr>
          <w:rFonts w:cstheme="minorHAnsi"/>
        </w:rPr>
        <w:t xml:space="preserve"> DFV could be prevented’.</w:t>
      </w:r>
      <w:r w:rsidR="00AA08D6" w:rsidRPr="005F6151">
        <w:rPr>
          <w:rFonts w:cstheme="minorHAnsi"/>
        </w:rPr>
        <w:t xml:space="preserve"> </w:t>
      </w:r>
      <w:r w:rsidR="00743668" w:rsidRPr="005F6151">
        <w:rPr>
          <w:rFonts w:cstheme="minorHAnsi"/>
        </w:rPr>
        <w:t xml:space="preserve">In order to collect its evidence, the Taskforce received written submissions, held an online survey, organised focus groups, roundtables and individual meetings, conducted field visits, and attended two summits with leading DFV experts from across the state. </w:t>
      </w:r>
    </w:p>
    <w:p w14:paraId="7D182AEC" w14:textId="77777777" w:rsidR="00DB1246" w:rsidRPr="005F6151" w:rsidRDefault="00DB1246" w:rsidP="005F6151">
      <w:pPr>
        <w:spacing w:line="360" w:lineRule="auto"/>
        <w:jc w:val="both"/>
        <w:rPr>
          <w:rFonts w:cstheme="minorHAnsi"/>
          <w:color w:val="FF0000"/>
        </w:rPr>
      </w:pPr>
    </w:p>
    <w:p w14:paraId="2333AC3A" w14:textId="672879B2" w:rsidR="00DB1246" w:rsidRPr="005F6151" w:rsidRDefault="00DB1246" w:rsidP="005F6151">
      <w:pPr>
        <w:spacing w:line="360" w:lineRule="auto"/>
        <w:jc w:val="both"/>
        <w:rPr>
          <w:rFonts w:cstheme="minorHAnsi"/>
        </w:rPr>
      </w:pPr>
      <w:r w:rsidRPr="005F6151">
        <w:rPr>
          <w:rFonts w:cstheme="minorHAnsi"/>
        </w:rPr>
        <w:t xml:space="preserve">In addition to the publication of a comprehensive final report, </w:t>
      </w:r>
      <w:r w:rsidRPr="005F6151">
        <w:rPr>
          <w:rFonts w:cstheme="minorHAnsi"/>
          <w:i/>
        </w:rPr>
        <w:t>Not Now, Not Ever</w:t>
      </w:r>
      <w:r w:rsidRPr="005F6151">
        <w:rPr>
          <w:rFonts w:cstheme="minorHAnsi"/>
        </w:rPr>
        <w:t xml:space="preserve"> (</w:t>
      </w:r>
      <w:r w:rsidR="002E5CD8" w:rsidRPr="005F6151">
        <w:rPr>
          <w:rFonts w:cstheme="minorHAnsi"/>
        </w:rPr>
        <w:t xml:space="preserve">Special Taskforce, </w:t>
      </w:r>
      <w:r w:rsidRPr="005F6151">
        <w:rPr>
          <w:rFonts w:cstheme="minorHAnsi"/>
        </w:rPr>
        <w:t>2015</w:t>
      </w:r>
      <w:r w:rsidR="009151DC">
        <w:rPr>
          <w:rFonts w:cstheme="minorHAnsi"/>
        </w:rPr>
        <w:t>a</w:t>
      </w:r>
      <w:r w:rsidRPr="005F6151">
        <w:rPr>
          <w:rFonts w:cstheme="minorHAnsi"/>
        </w:rPr>
        <w:t xml:space="preserve">), the Taskforce also published outputs </w:t>
      </w:r>
      <w:r w:rsidR="00EB2802">
        <w:rPr>
          <w:rFonts w:cstheme="minorHAnsi"/>
        </w:rPr>
        <w:t>throughout</w:t>
      </w:r>
      <w:r w:rsidRPr="005F6151">
        <w:rPr>
          <w:rFonts w:cstheme="minorHAnsi"/>
        </w:rPr>
        <w:t xml:space="preserve"> their Inquiry including </w:t>
      </w:r>
      <w:r w:rsidRPr="005F6151">
        <w:rPr>
          <w:rFonts w:cstheme="minorHAnsi"/>
          <w:i/>
        </w:rPr>
        <w:t xml:space="preserve">Our Journal </w:t>
      </w:r>
      <w:r w:rsidRPr="005F6151">
        <w:rPr>
          <w:rFonts w:cstheme="minorHAnsi"/>
        </w:rPr>
        <w:t>(</w:t>
      </w:r>
      <w:r w:rsidR="002E5CD8" w:rsidRPr="005F6151">
        <w:rPr>
          <w:rFonts w:cstheme="minorHAnsi"/>
        </w:rPr>
        <w:t>Special Task</w:t>
      </w:r>
      <w:r w:rsidR="003E7064">
        <w:rPr>
          <w:rFonts w:cstheme="minorHAnsi"/>
        </w:rPr>
        <w:t>f</w:t>
      </w:r>
      <w:r w:rsidR="002E5CD8" w:rsidRPr="005F6151">
        <w:rPr>
          <w:rFonts w:cstheme="minorHAnsi"/>
        </w:rPr>
        <w:t xml:space="preserve">orce, </w:t>
      </w:r>
      <w:r w:rsidRPr="005F6151">
        <w:rPr>
          <w:rFonts w:cstheme="minorHAnsi"/>
        </w:rPr>
        <w:t>2014</w:t>
      </w:r>
      <w:r w:rsidR="002E5CD8" w:rsidRPr="005F6151">
        <w:rPr>
          <w:rFonts w:cstheme="minorHAnsi"/>
        </w:rPr>
        <w:t>a</w:t>
      </w:r>
      <w:r w:rsidRPr="005F6151">
        <w:rPr>
          <w:rFonts w:cstheme="minorHAnsi"/>
        </w:rPr>
        <w:t>) presenting the stories of victim-survivors who engaged with the Taskforce</w:t>
      </w:r>
      <w:r w:rsidR="002E5CD8" w:rsidRPr="005F6151">
        <w:rPr>
          <w:rFonts w:cstheme="minorHAnsi"/>
        </w:rPr>
        <w:t xml:space="preserve">; </w:t>
      </w:r>
      <w:r w:rsidR="002E5CD8" w:rsidRPr="005F6151">
        <w:rPr>
          <w:rFonts w:cstheme="minorHAnsi"/>
          <w:i/>
        </w:rPr>
        <w:t>Tell the Taskforce (</w:t>
      </w:r>
      <w:r w:rsidR="002E5CD8" w:rsidRPr="005F6151">
        <w:rPr>
          <w:rFonts w:cstheme="minorHAnsi"/>
        </w:rPr>
        <w:t xml:space="preserve">Special </w:t>
      </w:r>
      <w:r w:rsidR="00B330F9" w:rsidRPr="005F6151">
        <w:rPr>
          <w:rFonts w:cstheme="minorHAnsi"/>
        </w:rPr>
        <w:t>Taskf</w:t>
      </w:r>
      <w:r w:rsidR="002E5CD8" w:rsidRPr="005F6151">
        <w:rPr>
          <w:rFonts w:cstheme="minorHAnsi"/>
        </w:rPr>
        <w:t xml:space="preserve">orce, 2014b), a report analysis </w:t>
      </w:r>
      <w:r w:rsidR="00326426">
        <w:rPr>
          <w:rFonts w:cstheme="minorHAnsi"/>
        </w:rPr>
        <w:t xml:space="preserve">based on </w:t>
      </w:r>
      <w:r w:rsidR="002E5CD8" w:rsidRPr="005F6151">
        <w:rPr>
          <w:rFonts w:cstheme="minorHAnsi"/>
        </w:rPr>
        <w:t>information received through a whole</w:t>
      </w:r>
      <w:r w:rsidR="009E4371">
        <w:rPr>
          <w:rFonts w:cstheme="minorHAnsi"/>
        </w:rPr>
        <w:t>-</w:t>
      </w:r>
      <w:r w:rsidR="002E5CD8" w:rsidRPr="005F6151">
        <w:rPr>
          <w:rFonts w:cstheme="minorHAnsi"/>
        </w:rPr>
        <w:t>of</w:t>
      </w:r>
      <w:r w:rsidR="009E4371">
        <w:rPr>
          <w:rFonts w:cstheme="minorHAnsi"/>
        </w:rPr>
        <w:t>-</w:t>
      </w:r>
      <w:r w:rsidR="002E5CD8" w:rsidRPr="005F6151">
        <w:rPr>
          <w:rFonts w:cstheme="minorHAnsi"/>
        </w:rPr>
        <w:t xml:space="preserve">community survey for those responsible for supporting individuals impacted by DFV, </w:t>
      </w:r>
      <w:r w:rsidR="00CB03FD" w:rsidRPr="005F6151">
        <w:rPr>
          <w:rFonts w:cstheme="minorHAnsi"/>
        </w:rPr>
        <w:t xml:space="preserve">and a Research </w:t>
      </w:r>
      <w:r w:rsidR="003E7064">
        <w:rPr>
          <w:rFonts w:cstheme="minorHAnsi"/>
        </w:rPr>
        <w:t>R</w:t>
      </w:r>
      <w:r w:rsidR="00CB03FD" w:rsidRPr="005F6151">
        <w:rPr>
          <w:rFonts w:cstheme="minorHAnsi"/>
        </w:rPr>
        <w:t xml:space="preserve">eport (Special Taskforce, </w:t>
      </w:r>
      <w:r w:rsidR="00210457" w:rsidRPr="005F6151">
        <w:rPr>
          <w:rFonts w:cstheme="minorHAnsi"/>
        </w:rPr>
        <w:t>2015b</w:t>
      </w:r>
      <w:r w:rsidR="00CB03FD" w:rsidRPr="005F6151">
        <w:rPr>
          <w:rFonts w:cstheme="minorHAnsi"/>
        </w:rPr>
        <w:t xml:space="preserve">) presenting the findings from a series of focus groups conducted with community groups. </w:t>
      </w:r>
      <w:r w:rsidR="00990395" w:rsidRPr="005F6151">
        <w:rPr>
          <w:rFonts w:cstheme="minorHAnsi"/>
        </w:rPr>
        <w:t>None of these outputs – despite bringing together the key findings and reform options advanced through a</w:t>
      </w:r>
      <w:r w:rsidR="0013313B">
        <w:rPr>
          <w:rFonts w:cstheme="minorHAnsi"/>
        </w:rPr>
        <w:t>n</w:t>
      </w:r>
      <w:r w:rsidR="00990395" w:rsidRPr="005F6151">
        <w:rPr>
          <w:rFonts w:cstheme="minorHAnsi"/>
        </w:rPr>
        <w:t xml:space="preserve"> extensive </w:t>
      </w:r>
      <w:r w:rsidR="0013313B" w:rsidRPr="005F6151">
        <w:rPr>
          <w:rFonts w:cstheme="minorHAnsi"/>
        </w:rPr>
        <w:t xml:space="preserve">state-wide </w:t>
      </w:r>
      <w:r w:rsidR="00990395" w:rsidRPr="005F6151">
        <w:rPr>
          <w:rFonts w:cstheme="minorHAnsi"/>
        </w:rPr>
        <w:t>consultation process</w:t>
      </w:r>
      <w:r w:rsidR="00F079F9" w:rsidRPr="005F6151">
        <w:rPr>
          <w:rFonts w:cstheme="minorHAnsi"/>
        </w:rPr>
        <w:t xml:space="preserve"> –</w:t>
      </w:r>
      <w:r w:rsidR="00990395" w:rsidRPr="005F6151">
        <w:rPr>
          <w:rFonts w:cstheme="minorHAnsi"/>
        </w:rPr>
        <w:t xml:space="preserve"> mention either the DVDS or a public register at all. </w:t>
      </w:r>
      <w:r w:rsidR="00EE1B59" w:rsidRPr="005F6151">
        <w:rPr>
          <w:rFonts w:cstheme="minorHAnsi"/>
        </w:rPr>
        <w:t>Reflecting the absence of this policy option from the consultation undertaken, w</w:t>
      </w:r>
      <w:r w:rsidR="00690D78" w:rsidRPr="005F6151">
        <w:rPr>
          <w:rFonts w:cstheme="minorHAnsi"/>
        </w:rPr>
        <w:t xml:space="preserve">hile the Special Taskforce made 140 recommendations in its final report, none refer to the need to introduce </w:t>
      </w:r>
      <w:r w:rsidR="00F079F9" w:rsidRPr="005F6151">
        <w:rPr>
          <w:rFonts w:cstheme="minorHAnsi"/>
        </w:rPr>
        <w:t xml:space="preserve">– </w:t>
      </w:r>
      <w:r w:rsidR="00690D78" w:rsidRPr="005F6151">
        <w:rPr>
          <w:rFonts w:cstheme="minorHAnsi"/>
        </w:rPr>
        <w:t xml:space="preserve">nor explore the merits of </w:t>
      </w:r>
      <w:r w:rsidR="00F079F9" w:rsidRPr="005F6151">
        <w:rPr>
          <w:rFonts w:cstheme="minorHAnsi"/>
        </w:rPr>
        <w:t xml:space="preserve">– </w:t>
      </w:r>
      <w:r w:rsidR="00690D78" w:rsidRPr="005F6151">
        <w:rPr>
          <w:rFonts w:cstheme="minorHAnsi"/>
        </w:rPr>
        <w:t>a</w:t>
      </w:r>
      <w:r w:rsidR="00F079F9" w:rsidRPr="005F6151">
        <w:rPr>
          <w:rFonts w:cstheme="minorHAnsi"/>
        </w:rPr>
        <w:t xml:space="preserve"> </w:t>
      </w:r>
      <w:r w:rsidR="00690D78" w:rsidRPr="005F6151">
        <w:rPr>
          <w:rFonts w:cstheme="minorHAnsi"/>
        </w:rPr>
        <w:t xml:space="preserve">DVDS or a public register. </w:t>
      </w:r>
    </w:p>
    <w:p w14:paraId="3FA8B61B" w14:textId="465EFBB5" w:rsidR="007E603E" w:rsidRPr="005F6151" w:rsidRDefault="007E603E" w:rsidP="005F6151">
      <w:pPr>
        <w:spacing w:line="360" w:lineRule="auto"/>
        <w:jc w:val="both"/>
        <w:rPr>
          <w:rFonts w:cstheme="minorHAnsi"/>
          <w:color w:val="FF0000"/>
        </w:rPr>
      </w:pPr>
    </w:p>
    <w:p w14:paraId="44EB16AF" w14:textId="1DD4B20A" w:rsidR="007E603E" w:rsidRPr="005F6151" w:rsidRDefault="001D0F35" w:rsidP="005F6151">
      <w:pPr>
        <w:spacing w:line="360" w:lineRule="auto"/>
        <w:jc w:val="both"/>
        <w:rPr>
          <w:rFonts w:cstheme="minorHAnsi"/>
        </w:rPr>
      </w:pPr>
      <w:r w:rsidRPr="005F6151">
        <w:rPr>
          <w:rFonts w:cstheme="minorHAnsi"/>
        </w:rPr>
        <w:t xml:space="preserve">These two </w:t>
      </w:r>
      <w:r w:rsidR="00AC0BEC" w:rsidRPr="005F6151">
        <w:rPr>
          <w:rFonts w:cstheme="minorHAnsi"/>
        </w:rPr>
        <w:t xml:space="preserve">commissions </w:t>
      </w:r>
      <w:r w:rsidR="00653F1A" w:rsidRPr="005F6151">
        <w:rPr>
          <w:rFonts w:cstheme="minorHAnsi"/>
        </w:rPr>
        <w:t xml:space="preserve">of inquiry </w:t>
      </w:r>
      <w:r w:rsidR="00AC0BEC" w:rsidRPr="005F6151">
        <w:rPr>
          <w:rFonts w:cstheme="minorHAnsi"/>
        </w:rPr>
        <w:t>arguably represent a ‘deep dive’ approach t</w:t>
      </w:r>
      <w:r w:rsidR="008A0EE5" w:rsidRPr="005F6151">
        <w:rPr>
          <w:rFonts w:cstheme="minorHAnsi"/>
        </w:rPr>
        <w:t xml:space="preserve">o building an </w:t>
      </w:r>
      <w:r w:rsidR="006122F8" w:rsidRPr="005F6151">
        <w:rPr>
          <w:rFonts w:cstheme="minorHAnsi"/>
        </w:rPr>
        <w:t>evidence-based</w:t>
      </w:r>
      <w:r w:rsidR="00AC0BEC" w:rsidRPr="005F6151">
        <w:rPr>
          <w:rFonts w:cstheme="minorHAnsi"/>
        </w:rPr>
        <w:t xml:space="preserve"> understanding </w:t>
      </w:r>
      <w:r w:rsidR="008541AE" w:rsidRPr="005F6151">
        <w:rPr>
          <w:rFonts w:cstheme="minorHAnsi"/>
        </w:rPr>
        <w:t xml:space="preserve">of </w:t>
      </w:r>
      <w:r w:rsidR="00AC0BEC" w:rsidRPr="005F6151">
        <w:rPr>
          <w:rFonts w:cstheme="minorHAnsi"/>
        </w:rPr>
        <w:t>what may or may not be effective in relation to policy</w:t>
      </w:r>
      <w:r w:rsidR="00EC74E2" w:rsidRPr="005F6151">
        <w:rPr>
          <w:rFonts w:cstheme="minorHAnsi"/>
        </w:rPr>
        <w:t xml:space="preserve"> responses to DFV</w:t>
      </w:r>
      <w:r w:rsidR="00AC0BEC" w:rsidRPr="005F6151">
        <w:rPr>
          <w:rFonts w:cstheme="minorHAnsi"/>
        </w:rPr>
        <w:t xml:space="preserve"> rather than a k</w:t>
      </w:r>
      <w:r w:rsidR="00EC74E2" w:rsidRPr="005F6151">
        <w:rPr>
          <w:rFonts w:cstheme="minorHAnsi"/>
        </w:rPr>
        <w:t>n</w:t>
      </w:r>
      <w:r w:rsidR="00AC0BEC" w:rsidRPr="005F6151">
        <w:rPr>
          <w:rFonts w:cstheme="minorHAnsi"/>
        </w:rPr>
        <w:t>ee-jerk or single event approach</w:t>
      </w:r>
      <w:r w:rsidR="005F6798" w:rsidRPr="005F6151">
        <w:rPr>
          <w:rFonts w:cstheme="minorHAnsi"/>
        </w:rPr>
        <w:t xml:space="preserve">. Neither </w:t>
      </w:r>
      <w:r w:rsidR="008905DE">
        <w:rPr>
          <w:rFonts w:cstheme="minorHAnsi"/>
        </w:rPr>
        <w:t>offers</w:t>
      </w:r>
      <w:r w:rsidR="008905DE" w:rsidRPr="005F6151">
        <w:rPr>
          <w:rFonts w:cstheme="minorHAnsi"/>
        </w:rPr>
        <w:t xml:space="preserve"> </w:t>
      </w:r>
      <w:r w:rsidR="005F6798" w:rsidRPr="005F6151">
        <w:rPr>
          <w:rFonts w:cstheme="minorHAnsi"/>
        </w:rPr>
        <w:t>any</w:t>
      </w:r>
      <w:r w:rsidR="00313382" w:rsidRPr="005F6151">
        <w:rPr>
          <w:rFonts w:cstheme="minorHAnsi"/>
        </w:rPr>
        <w:t xml:space="preserve"> substantive insights</w:t>
      </w:r>
      <w:r w:rsidR="005F6798" w:rsidRPr="005F6151">
        <w:rPr>
          <w:rFonts w:cstheme="minorHAnsi"/>
        </w:rPr>
        <w:t xml:space="preserve"> on DVDS and indeed </w:t>
      </w:r>
      <w:r w:rsidR="00DA04F8" w:rsidRPr="005F6151">
        <w:rPr>
          <w:rFonts w:cstheme="minorHAnsi"/>
        </w:rPr>
        <w:t xml:space="preserve">they </w:t>
      </w:r>
      <w:r w:rsidR="005F6798" w:rsidRPr="005F6151">
        <w:rPr>
          <w:rFonts w:cstheme="minorHAnsi"/>
        </w:rPr>
        <w:t>are notable for the absence of any serious consideration given to this kind of reform.</w:t>
      </w:r>
      <w:r w:rsidR="00237A41" w:rsidRPr="005F6151">
        <w:rPr>
          <w:rFonts w:cstheme="minorHAnsi"/>
        </w:rPr>
        <w:t xml:space="preserve"> This is particularly </w:t>
      </w:r>
      <w:r w:rsidR="0029070A" w:rsidRPr="005F6151">
        <w:rPr>
          <w:rFonts w:cstheme="minorHAnsi"/>
        </w:rPr>
        <w:t>worthy of comment</w:t>
      </w:r>
      <w:r w:rsidR="00237A41" w:rsidRPr="005F6151">
        <w:rPr>
          <w:rFonts w:cstheme="minorHAnsi"/>
        </w:rPr>
        <w:t xml:space="preserve"> given both</w:t>
      </w:r>
      <w:r w:rsidR="005F6798" w:rsidRPr="005F6151">
        <w:rPr>
          <w:rFonts w:cstheme="minorHAnsi"/>
        </w:rPr>
        <w:t xml:space="preserve"> commissions</w:t>
      </w:r>
      <w:r w:rsidR="00F35EA9" w:rsidRPr="005F6151">
        <w:rPr>
          <w:rFonts w:cstheme="minorHAnsi"/>
        </w:rPr>
        <w:t xml:space="preserve"> of inquiry</w:t>
      </w:r>
      <w:r w:rsidR="005F6798" w:rsidRPr="005F6151">
        <w:rPr>
          <w:rFonts w:cstheme="minorHAnsi"/>
        </w:rPr>
        <w:t xml:space="preserve"> </w:t>
      </w:r>
      <w:r w:rsidR="00237A41" w:rsidRPr="005F6151">
        <w:rPr>
          <w:rFonts w:cstheme="minorHAnsi"/>
        </w:rPr>
        <w:t xml:space="preserve">occurred within </w:t>
      </w:r>
      <w:r w:rsidR="00F35EA9" w:rsidRPr="005F6151">
        <w:rPr>
          <w:rFonts w:cstheme="minorHAnsi"/>
        </w:rPr>
        <w:t>24</w:t>
      </w:r>
      <w:r w:rsidR="00237A41" w:rsidRPr="005F6151">
        <w:rPr>
          <w:rFonts w:cstheme="minorHAnsi"/>
        </w:rPr>
        <w:t xml:space="preserve"> months of the introduction of the DVDS in England and </w:t>
      </w:r>
      <w:r w:rsidR="006122F8" w:rsidRPr="005F6151">
        <w:rPr>
          <w:rFonts w:cstheme="minorHAnsi"/>
        </w:rPr>
        <w:t>Wales and</w:t>
      </w:r>
      <w:r w:rsidR="005F6798" w:rsidRPr="005F6151">
        <w:rPr>
          <w:rFonts w:cstheme="minorHAnsi"/>
        </w:rPr>
        <w:t xml:space="preserve"> were </w:t>
      </w:r>
      <w:r w:rsidR="00237A41" w:rsidRPr="005F6151">
        <w:rPr>
          <w:rFonts w:cstheme="minorHAnsi"/>
        </w:rPr>
        <w:t>thus</w:t>
      </w:r>
      <w:r w:rsidR="005F6798" w:rsidRPr="005F6151">
        <w:rPr>
          <w:rFonts w:cstheme="minorHAnsi"/>
        </w:rPr>
        <w:t xml:space="preserve"> working</w:t>
      </w:r>
      <w:r w:rsidR="00237A41" w:rsidRPr="005F6151">
        <w:rPr>
          <w:rFonts w:cstheme="minorHAnsi"/>
        </w:rPr>
        <w:t xml:space="preserve"> at a time when the campaign for Clare’s Law was in full swing across the UK.</w:t>
      </w:r>
      <w:r w:rsidR="000827EF" w:rsidRPr="005F6151">
        <w:rPr>
          <w:rFonts w:cstheme="minorHAnsi"/>
        </w:rPr>
        <w:t xml:space="preserve"> </w:t>
      </w:r>
      <w:r w:rsidR="0029070A" w:rsidRPr="005F6151">
        <w:rPr>
          <w:rFonts w:cstheme="minorHAnsi"/>
        </w:rPr>
        <w:t>Moreover,</w:t>
      </w:r>
      <w:r w:rsidR="000827EF" w:rsidRPr="005F6151">
        <w:rPr>
          <w:rFonts w:cstheme="minorHAnsi"/>
        </w:rPr>
        <w:t xml:space="preserve"> the </w:t>
      </w:r>
      <w:r w:rsidR="00BD28C7" w:rsidRPr="005F6151">
        <w:rPr>
          <w:rFonts w:cstheme="minorHAnsi"/>
        </w:rPr>
        <w:t>Royal C</w:t>
      </w:r>
      <w:r w:rsidR="000827EF" w:rsidRPr="005F6151">
        <w:rPr>
          <w:rFonts w:cstheme="minorHAnsi"/>
        </w:rPr>
        <w:t>ommission in Victoria</w:t>
      </w:r>
      <w:r w:rsidR="006122F8" w:rsidRPr="005F6151">
        <w:rPr>
          <w:rFonts w:cstheme="minorHAnsi"/>
        </w:rPr>
        <w:t>,</w:t>
      </w:r>
      <w:r w:rsidR="000827EF" w:rsidRPr="005F6151">
        <w:rPr>
          <w:rFonts w:cstheme="minorHAnsi"/>
        </w:rPr>
        <w:t xml:space="preserve"> placed great emphasis on the importance of </w:t>
      </w:r>
      <w:r w:rsidR="00AD1902" w:rsidRPr="005F6151">
        <w:rPr>
          <w:rFonts w:cstheme="minorHAnsi"/>
        </w:rPr>
        <w:t xml:space="preserve">robust information sharing protocols across all agencies engaged with </w:t>
      </w:r>
      <w:r w:rsidR="00DB47B4" w:rsidRPr="005F6151">
        <w:rPr>
          <w:rFonts w:cstheme="minorHAnsi"/>
        </w:rPr>
        <w:t>DFV</w:t>
      </w:r>
      <w:r w:rsidR="00F5214D" w:rsidRPr="005F6151">
        <w:rPr>
          <w:rFonts w:cstheme="minorHAnsi"/>
        </w:rPr>
        <w:t xml:space="preserve"> (McCulloch et al, </w:t>
      </w:r>
      <w:r w:rsidR="003C26AE" w:rsidRPr="005F6151">
        <w:rPr>
          <w:rFonts w:cstheme="minorHAnsi"/>
        </w:rPr>
        <w:t>2020</w:t>
      </w:r>
      <w:r w:rsidR="00B60809" w:rsidRPr="005F6151">
        <w:rPr>
          <w:rFonts w:cstheme="minorHAnsi"/>
        </w:rPr>
        <w:t>)</w:t>
      </w:r>
      <w:r w:rsidR="00F5214D" w:rsidRPr="005F6151">
        <w:rPr>
          <w:rFonts w:cstheme="minorHAnsi"/>
        </w:rPr>
        <w:t>,</w:t>
      </w:r>
      <w:r w:rsidR="00AD1902" w:rsidRPr="005F6151">
        <w:rPr>
          <w:rFonts w:cstheme="minorHAnsi"/>
        </w:rPr>
        <w:t xml:space="preserve"> and of course</w:t>
      </w:r>
      <w:r w:rsidR="00FA3D33">
        <w:rPr>
          <w:rFonts w:cstheme="minorHAnsi"/>
        </w:rPr>
        <w:t>,</w:t>
      </w:r>
      <w:r w:rsidR="00AD1902" w:rsidRPr="005F6151">
        <w:rPr>
          <w:rFonts w:cstheme="minorHAnsi"/>
        </w:rPr>
        <w:t xml:space="preserve"> both DVDS and public </w:t>
      </w:r>
      <w:r w:rsidR="007E4775" w:rsidRPr="005F6151">
        <w:rPr>
          <w:rFonts w:cstheme="minorHAnsi"/>
        </w:rPr>
        <w:t xml:space="preserve">offender </w:t>
      </w:r>
      <w:r w:rsidR="00AD1902" w:rsidRPr="005F6151">
        <w:rPr>
          <w:rFonts w:cstheme="minorHAnsi"/>
        </w:rPr>
        <w:t>registers rest on an assumption of quality</w:t>
      </w:r>
      <w:r w:rsidR="007E4775" w:rsidRPr="005F6151">
        <w:rPr>
          <w:rFonts w:cstheme="minorHAnsi"/>
        </w:rPr>
        <w:t>, effective</w:t>
      </w:r>
      <w:r w:rsidR="00AD1902" w:rsidRPr="005F6151">
        <w:rPr>
          <w:rFonts w:cstheme="minorHAnsi"/>
        </w:rPr>
        <w:t xml:space="preserve"> and timely information sharing</w:t>
      </w:r>
      <w:r w:rsidR="002238FD" w:rsidRPr="005F6151">
        <w:rPr>
          <w:rFonts w:cstheme="minorHAnsi"/>
        </w:rPr>
        <w:t xml:space="preserve"> (Walklate &amp; Fitz-Gibbon, 2023)</w:t>
      </w:r>
      <w:r w:rsidR="00AD1902" w:rsidRPr="005F6151">
        <w:rPr>
          <w:rFonts w:cstheme="minorHAnsi"/>
        </w:rPr>
        <w:t xml:space="preserve">. </w:t>
      </w:r>
      <w:r w:rsidR="0029070A" w:rsidRPr="005F6151">
        <w:rPr>
          <w:rFonts w:cstheme="minorHAnsi"/>
        </w:rPr>
        <w:t>So,</w:t>
      </w:r>
      <w:r w:rsidR="00AD1902" w:rsidRPr="005F6151">
        <w:rPr>
          <w:rFonts w:cstheme="minorHAnsi"/>
        </w:rPr>
        <w:t xml:space="preserve"> the </w:t>
      </w:r>
      <w:r w:rsidR="0029070A" w:rsidRPr="005F6151">
        <w:rPr>
          <w:rFonts w:cstheme="minorHAnsi"/>
        </w:rPr>
        <w:t>quiet</w:t>
      </w:r>
      <w:r w:rsidR="00AD1902" w:rsidRPr="005F6151">
        <w:rPr>
          <w:rFonts w:cstheme="minorHAnsi"/>
        </w:rPr>
        <w:t xml:space="preserve"> </w:t>
      </w:r>
      <w:r w:rsidR="00E15847" w:rsidRPr="005F6151">
        <w:rPr>
          <w:rFonts w:cstheme="minorHAnsi"/>
        </w:rPr>
        <w:t>disinterest in a</w:t>
      </w:r>
      <w:r w:rsidR="00AD1902" w:rsidRPr="005F6151">
        <w:rPr>
          <w:rFonts w:cstheme="minorHAnsi"/>
        </w:rPr>
        <w:t xml:space="preserve"> DVDS in </w:t>
      </w:r>
      <w:r w:rsidR="00245586" w:rsidRPr="005F6151">
        <w:rPr>
          <w:rFonts w:cstheme="minorHAnsi"/>
        </w:rPr>
        <w:t xml:space="preserve">Victoria is </w:t>
      </w:r>
      <w:r w:rsidR="00AD1902" w:rsidRPr="005F6151">
        <w:rPr>
          <w:rFonts w:cstheme="minorHAnsi"/>
        </w:rPr>
        <w:t xml:space="preserve">especially </w:t>
      </w:r>
      <w:r w:rsidR="0029070A" w:rsidRPr="005F6151">
        <w:rPr>
          <w:rFonts w:cstheme="minorHAnsi"/>
        </w:rPr>
        <w:t>noteworthy</w:t>
      </w:r>
      <w:r w:rsidR="00AD1902" w:rsidRPr="005F6151">
        <w:rPr>
          <w:rFonts w:cstheme="minorHAnsi"/>
        </w:rPr>
        <w:t>.</w:t>
      </w:r>
      <w:r w:rsidR="00237A41" w:rsidRPr="005F6151">
        <w:rPr>
          <w:rFonts w:cstheme="minorHAnsi"/>
        </w:rPr>
        <w:t xml:space="preserve"> </w:t>
      </w:r>
      <w:r w:rsidR="0029070A" w:rsidRPr="005F6151">
        <w:rPr>
          <w:rFonts w:cstheme="minorHAnsi"/>
        </w:rPr>
        <w:t>However,</w:t>
      </w:r>
      <w:r w:rsidR="00AD1902" w:rsidRPr="005F6151">
        <w:rPr>
          <w:rFonts w:cstheme="minorHAnsi"/>
        </w:rPr>
        <w:t xml:space="preserve"> the</w:t>
      </w:r>
      <w:r w:rsidR="00237A41" w:rsidRPr="005F6151">
        <w:rPr>
          <w:rFonts w:cstheme="minorHAnsi"/>
        </w:rPr>
        <w:t xml:space="preserve"> timing</w:t>
      </w:r>
      <w:r w:rsidR="00AD1902" w:rsidRPr="005F6151">
        <w:rPr>
          <w:rFonts w:cstheme="minorHAnsi"/>
        </w:rPr>
        <w:t xml:space="preserve"> of these commissions,</w:t>
      </w:r>
      <w:r w:rsidR="00237A41" w:rsidRPr="005F6151">
        <w:rPr>
          <w:rFonts w:cstheme="minorHAnsi"/>
        </w:rPr>
        <w:t xml:space="preserve"> alongside the demonstrated undertaking of a concerted and in-depth </w:t>
      </w:r>
      <w:r w:rsidR="00237A41" w:rsidRPr="005F6151">
        <w:rPr>
          <w:rFonts w:cstheme="minorHAnsi"/>
        </w:rPr>
        <w:lastRenderedPageBreak/>
        <w:t xml:space="preserve">consultation process ahead of the reform agendas being set in </w:t>
      </w:r>
      <w:r w:rsidR="00AD1902" w:rsidRPr="005F6151">
        <w:rPr>
          <w:rFonts w:cstheme="minorHAnsi"/>
        </w:rPr>
        <w:t>either Victoria</w:t>
      </w:r>
      <w:r w:rsidR="00237A41" w:rsidRPr="005F6151">
        <w:rPr>
          <w:rFonts w:cstheme="minorHAnsi"/>
        </w:rPr>
        <w:t xml:space="preserve"> </w:t>
      </w:r>
      <w:r w:rsidR="00AD1902" w:rsidRPr="005F6151">
        <w:rPr>
          <w:rFonts w:cstheme="minorHAnsi"/>
        </w:rPr>
        <w:t xml:space="preserve">or </w:t>
      </w:r>
      <w:r w:rsidR="00237A41" w:rsidRPr="005F6151">
        <w:rPr>
          <w:rFonts w:cstheme="minorHAnsi"/>
        </w:rPr>
        <w:t>Queensland</w:t>
      </w:r>
      <w:r w:rsidR="00AD1902" w:rsidRPr="005F6151">
        <w:rPr>
          <w:rFonts w:cstheme="minorHAnsi"/>
        </w:rPr>
        <w:t>,</w:t>
      </w:r>
      <w:r w:rsidR="00237A41" w:rsidRPr="005F6151">
        <w:rPr>
          <w:rFonts w:cstheme="minorHAnsi"/>
        </w:rPr>
        <w:t xml:space="preserve"> underlies the value of independent review by commissions, as categorised</w:t>
      </w:r>
      <w:r w:rsidR="00817F38" w:rsidRPr="005F6151">
        <w:rPr>
          <w:rFonts w:cstheme="minorHAnsi"/>
        </w:rPr>
        <w:t xml:space="preserve"> by </w:t>
      </w:r>
      <w:r w:rsidR="00D94F97" w:rsidRPr="005F6151">
        <w:rPr>
          <w:rFonts w:cstheme="minorHAnsi"/>
        </w:rPr>
        <w:t>McNamara and colleagues</w:t>
      </w:r>
      <w:r w:rsidR="00817F38" w:rsidRPr="005F6151">
        <w:rPr>
          <w:rFonts w:cstheme="minorHAnsi"/>
        </w:rPr>
        <w:t xml:space="preserve">. In these examples, </w:t>
      </w:r>
      <w:r w:rsidR="00685325" w:rsidRPr="005F6151">
        <w:rPr>
          <w:rFonts w:cstheme="minorHAnsi"/>
        </w:rPr>
        <w:t xml:space="preserve">both </w:t>
      </w:r>
      <w:r w:rsidR="00817F38" w:rsidRPr="005F6151">
        <w:rPr>
          <w:rFonts w:cstheme="minorHAnsi"/>
        </w:rPr>
        <w:t xml:space="preserve">were centred </w:t>
      </w:r>
      <w:r w:rsidR="00015A69">
        <w:rPr>
          <w:rFonts w:cstheme="minorHAnsi"/>
        </w:rPr>
        <w:t>on</w:t>
      </w:r>
      <w:r w:rsidR="00015A69" w:rsidRPr="005F6151">
        <w:rPr>
          <w:rFonts w:cstheme="minorHAnsi"/>
        </w:rPr>
        <w:t xml:space="preserve"> </w:t>
      </w:r>
      <w:r w:rsidR="00237A41" w:rsidRPr="005F6151">
        <w:rPr>
          <w:rFonts w:cstheme="minorHAnsi"/>
        </w:rPr>
        <w:t>extensive consultation</w:t>
      </w:r>
      <w:r w:rsidR="00817F38" w:rsidRPr="005F6151">
        <w:rPr>
          <w:rFonts w:cstheme="minorHAnsi"/>
        </w:rPr>
        <w:t xml:space="preserve"> and in-depth inquiry</w:t>
      </w:r>
      <w:r w:rsidR="005F6798" w:rsidRPr="005F6151">
        <w:rPr>
          <w:rFonts w:cstheme="minorHAnsi"/>
        </w:rPr>
        <w:t>. In doing so they</w:t>
      </w:r>
      <w:r w:rsidR="00817F38" w:rsidRPr="005F6151">
        <w:rPr>
          <w:rFonts w:cstheme="minorHAnsi"/>
        </w:rPr>
        <w:t xml:space="preserve"> demonstrate the value of ‘slow, evidence-based pace of change’ in moving away from policies that are reactive and/or emotionally driven (Quilter, 2020: 116). Quilter (2020: 116) notes, somewhat hesitantly, that there may be value in the reactive law reform processes</w:t>
      </w:r>
      <w:r w:rsidR="00E10B65">
        <w:rPr>
          <w:rFonts w:cstheme="minorHAnsi"/>
        </w:rPr>
        <w:t>,</w:t>
      </w:r>
      <w:r w:rsidR="00817F38" w:rsidRPr="005F6151">
        <w:rPr>
          <w:rFonts w:cstheme="minorHAnsi"/>
        </w:rPr>
        <w:t xml:space="preserve"> which c</w:t>
      </w:r>
      <w:r w:rsidR="00E10B65">
        <w:rPr>
          <w:rFonts w:cstheme="minorHAnsi"/>
        </w:rPr>
        <w:t>an</w:t>
      </w:r>
      <w:r w:rsidR="00817F38" w:rsidRPr="005F6151">
        <w:rPr>
          <w:rFonts w:cstheme="minorHAnsi"/>
        </w:rPr>
        <w:t xml:space="preserve"> demonstrate to the public the urgency required to address a social problem</w:t>
      </w:r>
      <w:r w:rsidR="005F6798" w:rsidRPr="005F6151">
        <w:rPr>
          <w:rFonts w:cstheme="minorHAnsi"/>
        </w:rPr>
        <w:t>. However,</w:t>
      </w:r>
      <w:r w:rsidR="00817F38" w:rsidRPr="005F6151">
        <w:rPr>
          <w:rFonts w:cstheme="minorHAnsi"/>
        </w:rPr>
        <w:t xml:space="preserve"> what </w:t>
      </w:r>
      <w:r w:rsidR="00421CEA" w:rsidRPr="005F6151">
        <w:rPr>
          <w:rFonts w:cstheme="minorHAnsi"/>
        </w:rPr>
        <w:t>was evident through both the Victorian Royal Commission and the Queensland Taskforce was an increase in community awareness of the problem of DFV and sustained media attention upon the commissions of inquir</w:t>
      </w:r>
      <w:r w:rsidR="00617FDD">
        <w:rPr>
          <w:rFonts w:cstheme="minorHAnsi"/>
        </w:rPr>
        <w:t>y</w:t>
      </w:r>
      <w:r w:rsidR="00421CEA" w:rsidRPr="005F6151">
        <w:rPr>
          <w:rFonts w:cstheme="minorHAnsi"/>
        </w:rPr>
        <w:t>, their findings</w:t>
      </w:r>
      <w:r w:rsidR="005F6798" w:rsidRPr="005F6151">
        <w:rPr>
          <w:rFonts w:cstheme="minorHAnsi"/>
        </w:rPr>
        <w:t>,</w:t>
      </w:r>
      <w:r w:rsidR="00421CEA" w:rsidRPr="005F6151">
        <w:rPr>
          <w:rFonts w:cstheme="minorHAnsi"/>
        </w:rPr>
        <w:t xml:space="preserve"> and subsequent reform agendas. </w:t>
      </w:r>
      <w:r w:rsidR="001648E1" w:rsidRPr="005F6151">
        <w:rPr>
          <w:rFonts w:cstheme="minorHAnsi"/>
        </w:rPr>
        <w:t>T</w:t>
      </w:r>
      <w:r w:rsidR="00AD1902" w:rsidRPr="005F6151">
        <w:rPr>
          <w:rFonts w:cstheme="minorHAnsi"/>
        </w:rPr>
        <w:t>his was</w:t>
      </w:r>
      <w:r w:rsidR="001648E1" w:rsidRPr="005F6151">
        <w:rPr>
          <w:rFonts w:cstheme="minorHAnsi"/>
        </w:rPr>
        <w:t xml:space="preserve"> achieved</w:t>
      </w:r>
      <w:r w:rsidR="00FB7AD8" w:rsidRPr="005F6151">
        <w:rPr>
          <w:rFonts w:cstheme="minorHAnsi"/>
        </w:rPr>
        <w:t>,</w:t>
      </w:r>
      <w:r w:rsidR="00AD1902" w:rsidRPr="005F6151">
        <w:rPr>
          <w:rFonts w:cstheme="minorHAnsi"/>
        </w:rPr>
        <w:t xml:space="preserve"> and </w:t>
      </w:r>
      <w:r w:rsidR="001648E1" w:rsidRPr="005F6151">
        <w:rPr>
          <w:rFonts w:cstheme="minorHAnsi"/>
        </w:rPr>
        <w:t>the public’s attention</w:t>
      </w:r>
      <w:r w:rsidR="00AD1902" w:rsidRPr="005F6151">
        <w:rPr>
          <w:rFonts w:cstheme="minorHAnsi"/>
        </w:rPr>
        <w:t xml:space="preserve"> was captured</w:t>
      </w:r>
      <w:r w:rsidR="00617FDD">
        <w:rPr>
          <w:rFonts w:cstheme="minorHAnsi"/>
        </w:rPr>
        <w:t>,</w:t>
      </w:r>
      <w:r w:rsidR="001648E1" w:rsidRPr="005F6151">
        <w:rPr>
          <w:rFonts w:cstheme="minorHAnsi"/>
        </w:rPr>
        <w:t xml:space="preserve"> without falling into the trap of favouring populist reform. </w:t>
      </w:r>
    </w:p>
    <w:p w14:paraId="6233EEEB" w14:textId="77777777" w:rsidR="00E410FC" w:rsidRPr="005F6151" w:rsidRDefault="00E410FC" w:rsidP="005F6151">
      <w:pPr>
        <w:spacing w:line="360" w:lineRule="auto"/>
        <w:jc w:val="both"/>
        <w:rPr>
          <w:rFonts w:cstheme="minorHAnsi"/>
        </w:rPr>
      </w:pPr>
    </w:p>
    <w:p w14:paraId="789D76E1" w14:textId="1766B621" w:rsidR="00E410FC" w:rsidRPr="005F6151" w:rsidRDefault="00E410FC" w:rsidP="008F3244">
      <w:pPr>
        <w:spacing w:line="360" w:lineRule="auto"/>
        <w:jc w:val="both"/>
        <w:rPr>
          <w:rFonts w:cstheme="minorHAnsi"/>
          <w:color w:val="FF0000"/>
        </w:rPr>
      </w:pPr>
      <w:r w:rsidRPr="005F6151">
        <w:rPr>
          <w:rFonts w:cstheme="minorHAnsi"/>
        </w:rPr>
        <w:t>It is important to note that in Queensland</w:t>
      </w:r>
      <w:r w:rsidR="008E49C4">
        <w:rPr>
          <w:rFonts w:cstheme="minorHAnsi"/>
        </w:rPr>
        <w:t>,</w:t>
      </w:r>
      <w:r w:rsidRPr="005F6151">
        <w:rPr>
          <w:rFonts w:cstheme="minorHAnsi"/>
        </w:rPr>
        <w:t xml:space="preserve"> prior to the work of the </w:t>
      </w:r>
      <w:r w:rsidRPr="005F6151">
        <w:rPr>
          <w:rFonts w:cstheme="minorHAnsi"/>
          <w:i/>
        </w:rPr>
        <w:t xml:space="preserve">Not Now, Not ever </w:t>
      </w:r>
      <w:r w:rsidR="002842E5">
        <w:rPr>
          <w:rFonts w:cstheme="minorHAnsi"/>
        </w:rPr>
        <w:t>T</w:t>
      </w:r>
      <w:r w:rsidRPr="005F6151">
        <w:rPr>
          <w:rFonts w:cstheme="minorHAnsi"/>
        </w:rPr>
        <w:t>askforce, the Queensland Law Reform Commission</w:t>
      </w:r>
      <w:r w:rsidR="00FF0C61">
        <w:rPr>
          <w:rFonts w:cstheme="minorHAnsi"/>
        </w:rPr>
        <w:t xml:space="preserve"> (QLRC)</w:t>
      </w:r>
      <w:r w:rsidRPr="005F6151">
        <w:rPr>
          <w:rFonts w:cstheme="minorHAnsi"/>
        </w:rPr>
        <w:t xml:space="preserve"> (</w:t>
      </w:r>
      <w:r w:rsidRPr="00FF0C61">
        <w:rPr>
          <w:rFonts w:cstheme="minorHAnsi"/>
        </w:rPr>
        <w:t>2017</w:t>
      </w:r>
      <w:r w:rsidRPr="005F6151">
        <w:rPr>
          <w:rFonts w:cstheme="minorHAnsi"/>
        </w:rPr>
        <w:t xml:space="preserve">) conducted a specific inquiry into the merits of a DVDS. </w:t>
      </w:r>
      <w:r w:rsidR="00C11C7A" w:rsidRPr="005F6151">
        <w:rPr>
          <w:rFonts w:cstheme="minorHAnsi"/>
        </w:rPr>
        <w:t xml:space="preserve">Representing another example of </w:t>
      </w:r>
      <w:r w:rsidR="00CF1E46" w:rsidRPr="005F6151">
        <w:rPr>
          <w:rFonts w:cstheme="minorHAnsi"/>
          <w:bCs/>
        </w:rPr>
        <w:t xml:space="preserve">policy making by </w:t>
      </w:r>
      <w:r w:rsidR="00551A7E">
        <w:rPr>
          <w:rFonts w:cstheme="minorHAnsi"/>
          <w:bCs/>
        </w:rPr>
        <w:t xml:space="preserve">a </w:t>
      </w:r>
      <w:r w:rsidR="00CF1E46" w:rsidRPr="005F6151">
        <w:rPr>
          <w:rFonts w:cstheme="minorHAnsi"/>
          <w:bCs/>
        </w:rPr>
        <w:t>whole of system inquiry</w:t>
      </w:r>
      <w:r w:rsidR="00551A7E">
        <w:rPr>
          <w:rFonts w:cstheme="minorHAnsi"/>
          <w:bCs/>
        </w:rPr>
        <w:t>,</w:t>
      </w:r>
      <w:r w:rsidR="00CF1E46" w:rsidRPr="005F6151">
        <w:rPr>
          <w:rFonts w:cstheme="minorHAnsi"/>
          <w:bCs/>
        </w:rPr>
        <w:t xml:space="preserve"> the focused nature of the QLRC’s inquiry is notable</w:t>
      </w:r>
      <w:r w:rsidR="007A440D" w:rsidRPr="005F6151">
        <w:rPr>
          <w:rFonts w:cstheme="minorHAnsi"/>
          <w:bCs/>
        </w:rPr>
        <w:t xml:space="preserve"> as it provides an example of how this approach to law reform can be undertaken with a narrow but principled focus. </w:t>
      </w:r>
      <w:r w:rsidR="005748DA" w:rsidRPr="005F6151">
        <w:rPr>
          <w:rFonts w:cstheme="minorHAnsi"/>
          <w:bCs/>
        </w:rPr>
        <w:t>The Inquiry’s TO</w:t>
      </w:r>
      <w:r w:rsidR="00CD04A1">
        <w:rPr>
          <w:rFonts w:cstheme="minorHAnsi"/>
          <w:bCs/>
        </w:rPr>
        <w:t>R</w:t>
      </w:r>
      <w:r w:rsidR="005748DA" w:rsidRPr="005F6151">
        <w:rPr>
          <w:rFonts w:cstheme="minorHAnsi"/>
          <w:bCs/>
        </w:rPr>
        <w:t xml:space="preserve"> in</w:t>
      </w:r>
      <w:r w:rsidR="00CD04A1">
        <w:rPr>
          <w:rFonts w:cstheme="minorHAnsi"/>
          <w:bCs/>
        </w:rPr>
        <w:t>volved</w:t>
      </w:r>
      <w:r w:rsidR="005748DA" w:rsidRPr="005F6151">
        <w:rPr>
          <w:rFonts w:cstheme="minorHAnsi"/>
          <w:bCs/>
        </w:rPr>
        <w:t xml:space="preserve"> a singular focus on DVDS:</w:t>
      </w:r>
      <w:r w:rsidR="004B37DF">
        <w:rPr>
          <w:rFonts w:cstheme="minorHAnsi"/>
          <w:bCs/>
        </w:rPr>
        <w:t xml:space="preserve"> ‘</w:t>
      </w:r>
      <w:r w:rsidR="005748DA" w:rsidRPr="005F6151">
        <w:rPr>
          <w:rFonts w:cstheme="minorHAnsi"/>
          <w:bCs/>
        </w:rPr>
        <w:t>The Attorney-General asked the Commission to review and investigate whether or not to introduce a DVDS in Queensland and, if so, to consider a number of specific matters relevant to any proposed scheme</w:t>
      </w:r>
      <w:r w:rsidR="004B37DF">
        <w:rPr>
          <w:rFonts w:cstheme="minorHAnsi"/>
          <w:bCs/>
        </w:rPr>
        <w:t>’</w:t>
      </w:r>
      <w:r w:rsidR="005748DA" w:rsidRPr="005F6151">
        <w:rPr>
          <w:rFonts w:cstheme="minorHAnsi"/>
          <w:bCs/>
        </w:rPr>
        <w:t xml:space="preserve"> (QLRC, 2017: </w:t>
      </w:r>
      <w:proofErr w:type="spellStart"/>
      <w:r w:rsidR="005748DA" w:rsidRPr="005F6151">
        <w:rPr>
          <w:rFonts w:cstheme="minorHAnsi"/>
          <w:bCs/>
        </w:rPr>
        <w:t>i</w:t>
      </w:r>
      <w:proofErr w:type="spellEnd"/>
      <w:r w:rsidR="005748DA" w:rsidRPr="005F6151">
        <w:rPr>
          <w:rFonts w:cstheme="minorHAnsi"/>
          <w:bCs/>
        </w:rPr>
        <w:t>)</w:t>
      </w:r>
      <w:r w:rsidR="004B37DF">
        <w:rPr>
          <w:rFonts w:cstheme="minorHAnsi"/>
          <w:bCs/>
        </w:rPr>
        <w:t xml:space="preserve">. </w:t>
      </w:r>
      <w:r w:rsidR="00CC0999" w:rsidRPr="005F6151">
        <w:rPr>
          <w:rFonts w:cstheme="minorHAnsi"/>
          <w:bCs/>
        </w:rPr>
        <w:t xml:space="preserve">In contrast to the RCFV and the work of the </w:t>
      </w:r>
      <w:r w:rsidR="00CC0999" w:rsidRPr="005F6151">
        <w:rPr>
          <w:rFonts w:cstheme="minorHAnsi"/>
          <w:bCs/>
          <w:i/>
          <w:iCs/>
        </w:rPr>
        <w:t>Not Now, Not Ever</w:t>
      </w:r>
      <w:r w:rsidR="00CC0999" w:rsidRPr="005F6151">
        <w:rPr>
          <w:rFonts w:cstheme="minorHAnsi"/>
          <w:bCs/>
        </w:rPr>
        <w:t xml:space="preserve"> </w:t>
      </w:r>
      <w:r w:rsidR="004B37DF">
        <w:rPr>
          <w:rFonts w:cstheme="minorHAnsi"/>
          <w:bCs/>
        </w:rPr>
        <w:t>T</w:t>
      </w:r>
      <w:r w:rsidR="00CC0999" w:rsidRPr="005F6151">
        <w:rPr>
          <w:rFonts w:cstheme="minorHAnsi"/>
          <w:bCs/>
        </w:rPr>
        <w:t xml:space="preserve">askforce which were both conducted at scale, the QLRC’s inquiry into DVDS was </w:t>
      </w:r>
      <w:r w:rsidR="00D672D6" w:rsidRPr="005F6151">
        <w:rPr>
          <w:rFonts w:cstheme="minorHAnsi"/>
          <w:bCs/>
        </w:rPr>
        <w:t xml:space="preserve">similarly independent but </w:t>
      </w:r>
      <w:r w:rsidR="00CC0999" w:rsidRPr="005F6151">
        <w:rPr>
          <w:rFonts w:cstheme="minorHAnsi"/>
          <w:bCs/>
        </w:rPr>
        <w:t xml:space="preserve">focused </w:t>
      </w:r>
      <w:r w:rsidR="00D672D6" w:rsidRPr="005F6151">
        <w:rPr>
          <w:rFonts w:cstheme="minorHAnsi"/>
          <w:bCs/>
        </w:rPr>
        <w:t xml:space="preserve">on the merits of a single policy </w:t>
      </w:r>
      <w:r w:rsidR="00CC0999" w:rsidRPr="005F6151">
        <w:rPr>
          <w:rFonts w:cstheme="minorHAnsi"/>
          <w:bCs/>
        </w:rPr>
        <w:t>from the outset</w:t>
      </w:r>
      <w:r w:rsidR="00D672D6" w:rsidRPr="005F6151">
        <w:rPr>
          <w:rFonts w:cstheme="minorHAnsi"/>
          <w:bCs/>
        </w:rPr>
        <w:t xml:space="preserve">. </w:t>
      </w:r>
      <w:r w:rsidR="00AA67D4" w:rsidRPr="005F6151">
        <w:rPr>
          <w:rFonts w:cstheme="minorHAnsi"/>
          <w:bCs/>
        </w:rPr>
        <w:t xml:space="preserve">This is not to suggest that the Commission’s findings were not detailed – the final report spanned 185 pages </w:t>
      </w:r>
      <w:r w:rsidR="00E845D3" w:rsidRPr="005F6151">
        <w:rPr>
          <w:rFonts w:cstheme="minorHAnsi"/>
          <w:bCs/>
        </w:rPr>
        <w:t xml:space="preserve">and reflected the views presented across 45 submissions provided to the Inquiry and consultation meetings conducted with over 130 individuals and sector representatives (QLRC, 2017: ii). </w:t>
      </w:r>
      <w:r w:rsidR="00D25430" w:rsidRPr="005F6151">
        <w:rPr>
          <w:rFonts w:cstheme="minorHAnsi"/>
          <w:bCs/>
        </w:rPr>
        <w:t xml:space="preserve">The QLRC Inquiry (2017) represents one of the only singularly focused reviews of the merits of a DVDS in Australia and internationally. </w:t>
      </w:r>
      <w:r w:rsidR="003466B3" w:rsidRPr="005F6151">
        <w:rPr>
          <w:rFonts w:cstheme="minorHAnsi"/>
          <w:bCs/>
        </w:rPr>
        <w:t>Stating</w:t>
      </w:r>
      <w:r w:rsidR="00D25430" w:rsidRPr="005F6151">
        <w:rPr>
          <w:rFonts w:cstheme="minorHAnsi"/>
          <w:bCs/>
        </w:rPr>
        <w:t xml:space="preserve"> that the majority of submissions received opposed the introduction of a DVDS scheme, the Commission concluded that</w:t>
      </w:r>
      <w:r w:rsidR="008F3244">
        <w:rPr>
          <w:rFonts w:cstheme="minorHAnsi"/>
          <w:bCs/>
        </w:rPr>
        <w:t xml:space="preserve"> ‘</w:t>
      </w:r>
      <w:r w:rsidR="007A41DA" w:rsidRPr="005F6151">
        <w:rPr>
          <w:rFonts w:cstheme="minorHAnsi"/>
          <w:bCs/>
        </w:rPr>
        <w:t>a DVDS is unlikely to strengthen Queensland’s response to domestic and family violence. Any potential benefits of a DVDS in Queensland are limited, and are outweighed by the potential risks and disadvantages of such a scheme</w:t>
      </w:r>
      <w:r w:rsidR="008F3244">
        <w:rPr>
          <w:rFonts w:cstheme="minorHAnsi"/>
          <w:bCs/>
        </w:rPr>
        <w:t>’</w:t>
      </w:r>
      <w:r w:rsidR="007A41DA" w:rsidRPr="005F6151">
        <w:rPr>
          <w:rFonts w:cstheme="minorHAnsi"/>
          <w:bCs/>
        </w:rPr>
        <w:t xml:space="preserve"> (QLRC, 2017: iv)</w:t>
      </w:r>
      <w:r w:rsidR="008F3244">
        <w:rPr>
          <w:rFonts w:cstheme="minorHAnsi"/>
          <w:bCs/>
        </w:rPr>
        <w:t>.</w:t>
      </w:r>
    </w:p>
    <w:p w14:paraId="2D3363B8" w14:textId="77777777" w:rsidR="00A23ABE" w:rsidRPr="005F6151" w:rsidRDefault="00A23ABE" w:rsidP="005F6151">
      <w:pPr>
        <w:spacing w:line="360" w:lineRule="auto"/>
        <w:jc w:val="both"/>
        <w:rPr>
          <w:rFonts w:cstheme="minorHAnsi"/>
          <w:b/>
          <w:bCs/>
        </w:rPr>
      </w:pPr>
    </w:p>
    <w:p w14:paraId="6E0B1A8A" w14:textId="5AB6DDAE" w:rsidR="005F65C1" w:rsidRPr="005F6151" w:rsidRDefault="00A5215F" w:rsidP="008F3244">
      <w:pPr>
        <w:pStyle w:val="Heading1"/>
      </w:pPr>
      <w:r w:rsidRPr="005F6151">
        <w:t xml:space="preserve">Policy making in </w:t>
      </w:r>
      <w:r w:rsidR="00CD3360" w:rsidRPr="005F6151">
        <w:t xml:space="preserve">reactive </w:t>
      </w:r>
      <w:r w:rsidRPr="005F6151">
        <w:t>response to international practice</w:t>
      </w:r>
      <w:r w:rsidR="00477958" w:rsidRPr="005F6151">
        <w:t xml:space="preserve">: </w:t>
      </w:r>
      <w:r w:rsidR="002C578C" w:rsidRPr="005F6151">
        <w:t>The d</w:t>
      </w:r>
      <w:r w:rsidR="00477958" w:rsidRPr="005F6151">
        <w:t>omes</w:t>
      </w:r>
      <w:r w:rsidR="002C578C" w:rsidRPr="005F6151">
        <w:t xml:space="preserve">tic violence disclosure scheme </w:t>
      </w:r>
      <w:r w:rsidR="00477958" w:rsidRPr="005F6151">
        <w:t xml:space="preserve">in </w:t>
      </w:r>
      <w:r w:rsidR="00E82CA1" w:rsidRPr="005F6151">
        <w:t xml:space="preserve">South </w:t>
      </w:r>
      <w:r w:rsidR="00477958" w:rsidRPr="005F6151">
        <w:t>Australia</w:t>
      </w:r>
    </w:p>
    <w:p w14:paraId="0C827188" w14:textId="77777777" w:rsidR="008F3244" w:rsidRDefault="008F3244" w:rsidP="005F6151">
      <w:pPr>
        <w:spacing w:line="360" w:lineRule="auto"/>
        <w:jc w:val="both"/>
        <w:rPr>
          <w:rFonts w:cstheme="minorHAnsi"/>
        </w:rPr>
      </w:pPr>
    </w:p>
    <w:p w14:paraId="74A339F4" w14:textId="6028D3BC" w:rsidR="005F65C1" w:rsidRPr="005F6151" w:rsidRDefault="005F65C1" w:rsidP="005F6151">
      <w:pPr>
        <w:spacing w:line="360" w:lineRule="auto"/>
        <w:jc w:val="both"/>
        <w:rPr>
          <w:rFonts w:cstheme="minorHAnsi"/>
        </w:rPr>
      </w:pPr>
      <w:r w:rsidRPr="005F6151">
        <w:rPr>
          <w:rFonts w:cstheme="minorHAnsi"/>
        </w:rPr>
        <w:t xml:space="preserve">Only two state jurisdictions </w:t>
      </w:r>
      <w:r w:rsidR="00F01468" w:rsidRPr="005F6151">
        <w:rPr>
          <w:rFonts w:cstheme="minorHAnsi"/>
        </w:rPr>
        <w:t xml:space="preserve">in Australia </w:t>
      </w:r>
      <w:r w:rsidRPr="005F6151">
        <w:rPr>
          <w:rFonts w:cstheme="minorHAnsi"/>
        </w:rPr>
        <w:t>have</w:t>
      </w:r>
      <w:r w:rsidR="00706853" w:rsidRPr="005F6151">
        <w:rPr>
          <w:rFonts w:cstheme="minorHAnsi"/>
        </w:rPr>
        <w:t xml:space="preserve"> to date</w:t>
      </w:r>
      <w:r w:rsidRPr="005F6151">
        <w:rPr>
          <w:rFonts w:cstheme="minorHAnsi"/>
        </w:rPr>
        <w:t xml:space="preserve"> introduced a DVDS – New South Wales (NSW) and South Australia (SA). In the case of NSW, the scheme </w:t>
      </w:r>
      <w:r w:rsidR="00060863" w:rsidRPr="005F6151">
        <w:rPr>
          <w:rFonts w:cstheme="minorHAnsi"/>
        </w:rPr>
        <w:t>w</w:t>
      </w:r>
      <w:r w:rsidRPr="005F6151">
        <w:rPr>
          <w:rFonts w:cstheme="minorHAnsi"/>
        </w:rPr>
        <w:t>as piloted and has since been abandoned</w:t>
      </w:r>
      <w:r w:rsidR="00621BAD">
        <w:rPr>
          <w:rFonts w:cstheme="minorHAnsi"/>
        </w:rPr>
        <w:t>. I</w:t>
      </w:r>
      <w:r w:rsidRPr="005F6151">
        <w:rPr>
          <w:rFonts w:cstheme="minorHAnsi"/>
        </w:rPr>
        <w:t xml:space="preserve">n sharp contrast, in SA the scheme has progressed through the pilot phase and received additional funding </w:t>
      </w:r>
      <w:r w:rsidR="00F53BCC" w:rsidRPr="005F6151">
        <w:rPr>
          <w:rFonts w:cstheme="minorHAnsi"/>
        </w:rPr>
        <w:t xml:space="preserve">and support </w:t>
      </w:r>
      <w:r w:rsidRPr="005F6151">
        <w:rPr>
          <w:rFonts w:cstheme="minorHAnsi"/>
        </w:rPr>
        <w:t>from the</w:t>
      </w:r>
      <w:r w:rsidR="00F53BCC" w:rsidRPr="005F6151">
        <w:rPr>
          <w:rFonts w:cstheme="minorHAnsi"/>
        </w:rPr>
        <w:t xml:space="preserve"> state</w:t>
      </w:r>
      <w:r w:rsidRPr="005F6151">
        <w:rPr>
          <w:rFonts w:cstheme="minorHAnsi"/>
        </w:rPr>
        <w:t xml:space="preserve"> </w:t>
      </w:r>
      <w:r w:rsidR="00F53BCC" w:rsidRPr="005F6151">
        <w:rPr>
          <w:rFonts w:cstheme="minorHAnsi"/>
        </w:rPr>
        <w:t>g</w:t>
      </w:r>
      <w:r w:rsidRPr="005F6151">
        <w:rPr>
          <w:rFonts w:cstheme="minorHAnsi"/>
        </w:rPr>
        <w:t xml:space="preserve">overnment. This section of the article traces the introduction of the DVDS in each Australian jurisdiction, documenting the ways in which international practice was used as evidence </w:t>
      </w:r>
      <w:r w:rsidR="00060863" w:rsidRPr="005F6151">
        <w:rPr>
          <w:rFonts w:cstheme="minorHAnsi"/>
        </w:rPr>
        <w:t xml:space="preserve">of effective operation </w:t>
      </w:r>
      <w:r w:rsidR="0041787A" w:rsidRPr="005F6151">
        <w:rPr>
          <w:rFonts w:cstheme="minorHAnsi"/>
        </w:rPr>
        <w:t xml:space="preserve">and </w:t>
      </w:r>
      <w:r w:rsidR="00706853" w:rsidRPr="005F6151">
        <w:rPr>
          <w:rFonts w:cstheme="minorHAnsi"/>
        </w:rPr>
        <w:t xml:space="preserve">of the </w:t>
      </w:r>
      <w:r w:rsidR="0041787A" w:rsidRPr="005F6151">
        <w:rPr>
          <w:rFonts w:cstheme="minorHAnsi"/>
        </w:rPr>
        <w:t xml:space="preserve">need </w:t>
      </w:r>
      <w:r w:rsidRPr="005F6151">
        <w:rPr>
          <w:rFonts w:cstheme="minorHAnsi"/>
        </w:rPr>
        <w:t>to inform policy making in the Australian context.</w:t>
      </w:r>
    </w:p>
    <w:p w14:paraId="2635E1C6" w14:textId="7C23380D" w:rsidR="001559FC" w:rsidRPr="005F6151" w:rsidRDefault="001559FC" w:rsidP="005F6151">
      <w:pPr>
        <w:spacing w:line="360" w:lineRule="auto"/>
        <w:jc w:val="both"/>
        <w:rPr>
          <w:rFonts w:cstheme="minorHAnsi"/>
          <w:color w:val="FF0000"/>
        </w:rPr>
      </w:pPr>
    </w:p>
    <w:p w14:paraId="2AD6EE6A" w14:textId="61EC5CCC" w:rsidR="00FF7B22" w:rsidRPr="005F6151" w:rsidRDefault="001559FC" w:rsidP="005F6151">
      <w:pPr>
        <w:spacing w:line="360" w:lineRule="auto"/>
        <w:jc w:val="both"/>
        <w:rPr>
          <w:rFonts w:cstheme="minorHAnsi"/>
        </w:rPr>
      </w:pPr>
      <w:r w:rsidRPr="005F6151">
        <w:rPr>
          <w:rFonts w:cstheme="minorHAnsi"/>
        </w:rPr>
        <w:t xml:space="preserve">It is not unusual for Australia to look beyond its borders to seek inspiration at the least, </w:t>
      </w:r>
      <w:r w:rsidR="00A86634" w:rsidRPr="005F6151">
        <w:rPr>
          <w:rFonts w:cstheme="minorHAnsi"/>
        </w:rPr>
        <w:t>to</w:t>
      </w:r>
      <w:r w:rsidRPr="005F6151">
        <w:rPr>
          <w:rFonts w:cstheme="minorHAnsi"/>
        </w:rPr>
        <w:t xml:space="preserve"> </w:t>
      </w:r>
      <w:r w:rsidR="00706853" w:rsidRPr="005F6151">
        <w:rPr>
          <w:rFonts w:cstheme="minorHAnsi"/>
        </w:rPr>
        <w:t xml:space="preserve">inform </w:t>
      </w:r>
      <w:r w:rsidR="00EB530E" w:rsidRPr="005F6151">
        <w:rPr>
          <w:rFonts w:cstheme="minorHAnsi"/>
        </w:rPr>
        <w:t>the development</w:t>
      </w:r>
      <w:r w:rsidR="00DE29AF" w:rsidRPr="005F6151">
        <w:rPr>
          <w:rFonts w:cstheme="minorHAnsi"/>
        </w:rPr>
        <w:t xml:space="preserve"> and implementation</w:t>
      </w:r>
      <w:r w:rsidR="00EB530E" w:rsidRPr="005F6151">
        <w:rPr>
          <w:rFonts w:cstheme="minorHAnsi"/>
        </w:rPr>
        <w:t xml:space="preserve"> of new </w:t>
      </w:r>
      <w:r w:rsidRPr="005F6151">
        <w:rPr>
          <w:rFonts w:cstheme="minorHAnsi"/>
        </w:rPr>
        <w:t>polic</w:t>
      </w:r>
      <w:r w:rsidR="00EB530E" w:rsidRPr="005F6151">
        <w:rPr>
          <w:rFonts w:cstheme="minorHAnsi"/>
        </w:rPr>
        <w:t xml:space="preserve">ies </w:t>
      </w:r>
      <w:r w:rsidRPr="005F6151">
        <w:rPr>
          <w:rFonts w:cstheme="minorHAnsi"/>
        </w:rPr>
        <w:t xml:space="preserve">in the field of violence against women (on this, see further, Walklate and Fitz-Gibbon, 2018). </w:t>
      </w:r>
      <w:proofErr w:type="spellStart"/>
      <w:r w:rsidRPr="005F6151">
        <w:rPr>
          <w:rFonts w:cstheme="minorHAnsi"/>
        </w:rPr>
        <w:t>Goodmark</w:t>
      </w:r>
      <w:proofErr w:type="spellEnd"/>
      <w:r w:rsidRPr="005F6151">
        <w:rPr>
          <w:rFonts w:cstheme="minorHAnsi"/>
        </w:rPr>
        <w:t xml:space="preserve"> (2015) refers to the frequency with which policies on violence against women have been transferred from one country to another – typically without consideration given to </w:t>
      </w:r>
      <w:r w:rsidR="00B324C3">
        <w:rPr>
          <w:rFonts w:cstheme="minorHAnsi"/>
        </w:rPr>
        <w:t>context-specific</w:t>
      </w:r>
      <w:r w:rsidRPr="005F6151">
        <w:rPr>
          <w:rFonts w:cstheme="minorHAnsi"/>
        </w:rPr>
        <w:t xml:space="preserve"> factors – as ‘exporting without a license’. </w:t>
      </w:r>
      <w:r w:rsidR="003274DF" w:rsidRPr="005F6151">
        <w:rPr>
          <w:rFonts w:cstheme="minorHAnsi"/>
        </w:rPr>
        <w:t xml:space="preserve">The tendency to do so is </w:t>
      </w:r>
      <w:r w:rsidR="006122F8" w:rsidRPr="005F6151">
        <w:rPr>
          <w:rFonts w:cstheme="minorHAnsi"/>
        </w:rPr>
        <w:t>clear</w:t>
      </w:r>
      <w:r w:rsidR="003274DF" w:rsidRPr="005F6151">
        <w:rPr>
          <w:rFonts w:cstheme="minorHAnsi"/>
        </w:rPr>
        <w:t xml:space="preserve"> in the beginnings of the DVDS in</w:t>
      </w:r>
      <w:r w:rsidR="002C578C" w:rsidRPr="005F6151">
        <w:rPr>
          <w:rFonts w:cstheme="minorHAnsi"/>
        </w:rPr>
        <w:t xml:space="preserve"> both Australian jurisdictions, which mimic many of the emotive and reactive justifications utilised upon the Scheme’s introduction in England and Wales. Indeed, at the time of the scheme’s design</w:t>
      </w:r>
      <w:r w:rsidR="00FF7B22" w:rsidRPr="005F6151">
        <w:rPr>
          <w:rFonts w:cstheme="minorHAnsi"/>
        </w:rPr>
        <w:t xml:space="preserve"> and introduction in SA</w:t>
      </w:r>
      <w:r w:rsidR="002C578C" w:rsidRPr="005F6151">
        <w:rPr>
          <w:rFonts w:cstheme="minorHAnsi"/>
        </w:rPr>
        <w:t xml:space="preserve"> in 2018, the then </w:t>
      </w:r>
      <w:r w:rsidR="00FF7B22" w:rsidRPr="005F6151">
        <w:rPr>
          <w:rFonts w:cstheme="minorHAnsi"/>
        </w:rPr>
        <w:t xml:space="preserve">SA </w:t>
      </w:r>
      <w:r w:rsidR="002C578C" w:rsidRPr="005F6151">
        <w:rPr>
          <w:rFonts w:cstheme="minorHAnsi"/>
        </w:rPr>
        <w:t xml:space="preserve">Attorney-General </w:t>
      </w:r>
      <w:r w:rsidR="00FF7B22" w:rsidRPr="005F6151">
        <w:rPr>
          <w:rFonts w:cstheme="minorHAnsi"/>
        </w:rPr>
        <w:t>was quoted</w:t>
      </w:r>
      <w:r w:rsidR="00DE6581">
        <w:rPr>
          <w:rFonts w:cstheme="minorHAnsi"/>
        </w:rPr>
        <w:t>- as saying that</w:t>
      </w:r>
      <w:r w:rsidR="00FF7B22" w:rsidRPr="005F6151">
        <w:rPr>
          <w:rFonts w:cstheme="minorHAnsi"/>
        </w:rPr>
        <w:t xml:space="preserve">: </w:t>
      </w:r>
    </w:p>
    <w:p w14:paraId="5A8BE29B" w14:textId="77777777" w:rsidR="00FF7B22" w:rsidRPr="005F6151" w:rsidRDefault="00FF7B22" w:rsidP="005F6151">
      <w:pPr>
        <w:spacing w:line="360" w:lineRule="auto"/>
        <w:jc w:val="both"/>
        <w:rPr>
          <w:rFonts w:cstheme="minorHAnsi"/>
        </w:rPr>
      </w:pPr>
    </w:p>
    <w:p w14:paraId="43813424" w14:textId="33184142" w:rsidR="00FF7B22" w:rsidRPr="005F6151" w:rsidRDefault="00FF7B22" w:rsidP="005F6151">
      <w:pPr>
        <w:spacing w:line="360" w:lineRule="auto"/>
        <w:ind w:left="720"/>
        <w:jc w:val="both"/>
        <w:rPr>
          <w:rFonts w:cstheme="minorHAnsi"/>
        </w:rPr>
      </w:pPr>
      <w:r w:rsidRPr="005F6151">
        <w:rPr>
          <w:rFonts w:cstheme="minorHAnsi"/>
        </w:rPr>
        <w:t xml:space="preserve">she regularly read </w:t>
      </w:r>
      <w:r w:rsidR="00D85E49">
        <w:rPr>
          <w:rFonts w:cstheme="minorHAnsi"/>
        </w:rPr>
        <w:t>‘</w:t>
      </w:r>
      <w:r w:rsidRPr="005F6151">
        <w:rPr>
          <w:rFonts w:cstheme="minorHAnsi"/>
        </w:rPr>
        <w:t>traumatic</w:t>
      </w:r>
      <w:r w:rsidR="00D85E49">
        <w:rPr>
          <w:rFonts w:cstheme="minorHAnsi"/>
        </w:rPr>
        <w:t>’</w:t>
      </w:r>
      <w:r w:rsidRPr="005F6151">
        <w:rPr>
          <w:rFonts w:cstheme="minorHAnsi"/>
        </w:rPr>
        <w:t xml:space="preserve"> Coroner’s reports about murders that followed an </w:t>
      </w:r>
      <w:r w:rsidR="00990708">
        <w:rPr>
          <w:rFonts w:cstheme="minorHAnsi"/>
        </w:rPr>
        <w:t>‘</w:t>
      </w:r>
      <w:r w:rsidRPr="005F6151">
        <w:rPr>
          <w:rFonts w:cstheme="minorHAnsi"/>
        </w:rPr>
        <w:t>extraordinary amount</w:t>
      </w:r>
      <w:r w:rsidR="00990708">
        <w:rPr>
          <w:rFonts w:cstheme="minorHAnsi"/>
        </w:rPr>
        <w:t>’</w:t>
      </w:r>
      <w:r w:rsidRPr="005F6151">
        <w:rPr>
          <w:rFonts w:cstheme="minorHAnsi"/>
        </w:rPr>
        <w:t xml:space="preserve"> of concerning behaviour by an abuser. </w:t>
      </w:r>
      <w:r w:rsidR="00D85E49">
        <w:rPr>
          <w:rFonts w:cstheme="minorHAnsi"/>
        </w:rPr>
        <w:t>‘</w:t>
      </w:r>
      <w:r w:rsidRPr="005F6151">
        <w:rPr>
          <w:rFonts w:cstheme="minorHAnsi"/>
        </w:rPr>
        <w:t>Every time I finish these reports I think to myself how could we better inform these people in this situation to be able to deal with this before they got to this stage?</w:t>
      </w:r>
      <w:r w:rsidR="00990708">
        <w:rPr>
          <w:rFonts w:cstheme="minorHAnsi"/>
        </w:rPr>
        <w:t>’</w:t>
      </w:r>
      <w:r w:rsidRPr="005F6151">
        <w:rPr>
          <w:rFonts w:cstheme="minorHAnsi"/>
        </w:rPr>
        <w:t xml:space="preserve"> (Novak, 2018)</w:t>
      </w:r>
    </w:p>
    <w:p w14:paraId="14B947EE" w14:textId="77777777" w:rsidR="00FF7B22" w:rsidRPr="005F6151" w:rsidRDefault="00FF7B22" w:rsidP="005F6151">
      <w:pPr>
        <w:spacing w:line="360" w:lineRule="auto"/>
        <w:jc w:val="both"/>
        <w:rPr>
          <w:rFonts w:cstheme="minorHAnsi"/>
        </w:rPr>
      </w:pPr>
    </w:p>
    <w:p w14:paraId="2EBA004E" w14:textId="7624E597" w:rsidR="00622AD4" w:rsidRPr="005F6151" w:rsidRDefault="0036232F" w:rsidP="005F6151">
      <w:pPr>
        <w:spacing w:line="360" w:lineRule="auto"/>
        <w:jc w:val="both"/>
        <w:rPr>
          <w:rFonts w:cstheme="minorHAnsi"/>
        </w:rPr>
      </w:pPr>
      <w:r w:rsidRPr="005F6151">
        <w:rPr>
          <w:rFonts w:cstheme="minorHAnsi"/>
        </w:rPr>
        <w:t xml:space="preserve">The scheme, which was first introduced as a pilot in 2018 and later received </w:t>
      </w:r>
      <w:r w:rsidR="00FE32D3" w:rsidRPr="005F6151">
        <w:rPr>
          <w:rFonts w:cstheme="minorHAnsi"/>
        </w:rPr>
        <w:t>extended funding</w:t>
      </w:r>
      <w:r w:rsidR="006728B8" w:rsidRPr="005F6151">
        <w:rPr>
          <w:rFonts w:cstheme="minorHAnsi"/>
        </w:rPr>
        <w:t xml:space="preserve"> under the activities of the Fourth Action Plan</w:t>
      </w:r>
      <w:r w:rsidR="00591D13" w:rsidRPr="005F6151">
        <w:rPr>
          <w:rFonts w:cstheme="minorHAnsi"/>
        </w:rPr>
        <w:t xml:space="preserve"> of the National Plan to Reduce Violence against Women and the</w:t>
      </w:r>
      <w:r w:rsidR="00990708">
        <w:rPr>
          <w:rFonts w:cstheme="minorHAnsi"/>
        </w:rPr>
        <w:t>ir</w:t>
      </w:r>
      <w:r w:rsidR="00591D13" w:rsidRPr="005F6151">
        <w:rPr>
          <w:rFonts w:cstheme="minorHAnsi"/>
        </w:rPr>
        <w:t xml:space="preserve"> Children 2010-2022</w:t>
      </w:r>
      <w:r w:rsidR="006728B8" w:rsidRPr="005F6151">
        <w:rPr>
          <w:rFonts w:cstheme="minorHAnsi"/>
        </w:rPr>
        <w:t xml:space="preserve"> </w:t>
      </w:r>
      <w:r w:rsidR="006728B8" w:rsidRPr="009C20BD">
        <w:rPr>
          <w:rFonts w:cstheme="minorHAnsi"/>
        </w:rPr>
        <w:t>(D</w:t>
      </w:r>
      <w:r w:rsidR="009C20BD" w:rsidRPr="009C20BD">
        <w:rPr>
          <w:rFonts w:cstheme="minorHAnsi"/>
        </w:rPr>
        <w:t xml:space="preserve">epartment of </w:t>
      </w:r>
      <w:r w:rsidR="006728B8" w:rsidRPr="009C20BD">
        <w:rPr>
          <w:rFonts w:cstheme="minorHAnsi"/>
        </w:rPr>
        <w:t>S</w:t>
      </w:r>
      <w:r w:rsidR="009C20BD" w:rsidRPr="009C20BD">
        <w:rPr>
          <w:rFonts w:cstheme="minorHAnsi"/>
        </w:rPr>
        <w:t xml:space="preserve">ocial </w:t>
      </w:r>
      <w:r w:rsidR="006728B8" w:rsidRPr="009C20BD">
        <w:rPr>
          <w:rFonts w:cstheme="minorHAnsi"/>
        </w:rPr>
        <w:t>S</w:t>
      </w:r>
      <w:r w:rsidR="009C20BD" w:rsidRPr="009C20BD">
        <w:rPr>
          <w:rFonts w:cstheme="minorHAnsi"/>
        </w:rPr>
        <w:t>ervices</w:t>
      </w:r>
      <w:r w:rsidR="006728B8" w:rsidRPr="009C20BD">
        <w:rPr>
          <w:rFonts w:cstheme="minorHAnsi"/>
        </w:rPr>
        <w:t>, 201</w:t>
      </w:r>
      <w:r w:rsidR="00312A6D" w:rsidRPr="009C20BD">
        <w:rPr>
          <w:rFonts w:cstheme="minorHAnsi"/>
        </w:rPr>
        <w:t>9</w:t>
      </w:r>
      <w:r w:rsidR="006728B8" w:rsidRPr="005F6151">
        <w:rPr>
          <w:rFonts w:cstheme="minorHAnsi"/>
        </w:rPr>
        <w:t>)</w:t>
      </w:r>
      <w:r w:rsidR="00FE32D3" w:rsidRPr="005F6151">
        <w:rPr>
          <w:rFonts w:cstheme="minorHAnsi"/>
        </w:rPr>
        <w:t>, has</w:t>
      </w:r>
      <w:r w:rsidRPr="005F6151">
        <w:rPr>
          <w:rFonts w:cstheme="minorHAnsi"/>
        </w:rPr>
        <w:t xml:space="preserve"> not </w:t>
      </w:r>
      <w:r w:rsidR="00FE32D3" w:rsidRPr="005F6151">
        <w:rPr>
          <w:rFonts w:cstheme="minorHAnsi"/>
        </w:rPr>
        <w:t xml:space="preserve">been </w:t>
      </w:r>
      <w:r w:rsidRPr="005F6151">
        <w:rPr>
          <w:rFonts w:cstheme="minorHAnsi"/>
        </w:rPr>
        <w:t>the subject of any</w:t>
      </w:r>
      <w:r w:rsidR="00FE32D3" w:rsidRPr="005F6151">
        <w:rPr>
          <w:rFonts w:cstheme="minorHAnsi"/>
        </w:rPr>
        <w:t xml:space="preserve"> state</w:t>
      </w:r>
      <w:r w:rsidR="00070B03">
        <w:rPr>
          <w:rFonts w:cstheme="minorHAnsi"/>
        </w:rPr>
        <w:t>-</w:t>
      </w:r>
      <w:r w:rsidR="00FE32D3" w:rsidRPr="005F6151">
        <w:rPr>
          <w:rFonts w:cstheme="minorHAnsi"/>
        </w:rPr>
        <w:t>specific</w:t>
      </w:r>
      <w:r w:rsidRPr="005F6151">
        <w:rPr>
          <w:rFonts w:cstheme="minorHAnsi"/>
        </w:rPr>
        <w:t xml:space="preserve"> public consultation process, commission of inquiry</w:t>
      </w:r>
      <w:r w:rsidR="00070B03">
        <w:rPr>
          <w:rFonts w:cstheme="minorHAnsi"/>
        </w:rPr>
        <w:t xml:space="preserve"> </w:t>
      </w:r>
      <w:r w:rsidRPr="005F6151">
        <w:rPr>
          <w:rFonts w:cstheme="minorHAnsi"/>
        </w:rPr>
        <w:t xml:space="preserve">or discussion paper. </w:t>
      </w:r>
      <w:r w:rsidR="00624A56" w:rsidRPr="005F6151">
        <w:rPr>
          <w:rFonts w:cstheme="minorHAnsi"/>
        </w:rPr>
        <w:t xml:space="preserve">To this end, </w:t>
      </w:r>
      <w:r w:rsidR="00624A56" w:rsidRPr="005F6151">
        <w:rPr>
          <w:rFonts w:cstheme="minorHAnsi"/>
        </w:rPr>
        <w:lastRenderedPageBreak/>
        <w:t xml:space="preserve">the process through which the DVDS was implemented in SA most closely resembles </w:t>
      </w:r>
      <w:r w:rsidR="001A2A19" w:rsidRPr="005F6151">
        <w:rPr>
          <w:rFonts w:cstheme="minorHAnsi"/>
        </w:rPr>
        <w:t>an</w:t>
      </w:r>
      <w:r w:rsidR="00624A56" w:rsidRPr="005F6151">
        <w:rPr>
          <w:rFonts w:cstheme="minorHAnsi"/>
        </w:rPr>
        <w:t xml:space="preserve"> ‘internal government agency initiative’, a process by which</w:t>
      </w:r>
      <w:r w:rsidR="00070B03">
        <w:rPr>
          <w:rFonts w:cstheme="minorHAnsi"/>
        </w:rPr>
        <w:t xml:space="preserve"> ‘</w:t>
      </w:r>
      <w:r w:rsidR="00624A56" w:rsidRPr="005F6151">
        <w:rPr>
          <w:rFonts w:cstheme="minorHAnsi"/>
        </w:rPr>
        <w:t>Legislative changes that have their origins in the discussions and workings of government departments</w:t>
      </w:r>
      <w:r w:rsidR="00BE33AC">
        <w:rPr>
          <w:rFonts w:cstheme="minorHAnsi"/>
        </w:rPr>
        <w:t xml:space="preserve"> …</w:t>
      </w:r>
      <w:r w:rsidR="00624A56" w:rsidRPr="005F6151">
        <w:rPr>
          <w:rFonts w:cstheme="minorHAnsi"/>
        </w:rPr>
        <w:t xml:space="preserve"> typically proceed o</w:t>
      </w:r>
      <w:r w:rsidR="00D8478F" w:rsidRPr="005F6151">
        <w:rPr>
          <w:rFonts w:cstheme="minorHAnsi"/>
        </w:rPr>
        <w:t>n</w:t>
      </w:r>
      <w:r w:rsidR="00624A56" w:rsidRPr="005F6151">
        <w:rPr>
          <w:rFonts w:cstheme="minorHAnsi"/>
        </w:rPr>
        <w:t xml:space="preserve"> the basis of internal deliberation, with little or no external consultation</w:t>
      </w:r>
      <w:r w:rsidR="00502501">
        <w:rPr>
          <w:rFonts w:cstheme="minorHAnsi"/>
        </w:rPr>
        <w:t>’</w:t>
      </w:r>
      <w:r w:rsidR="005F2884" w:rsidRPr="005F6151">
        <w:rPr>
          <w:rFonts w:cstheme="minorHAnsi"/>
        </w:rPr>
        <w:t xml:space="preserve"> </w:t>
      </w:r>
      <w:r w:rsidR="001A2A19" w:rsidRPr="005F6151">
        <w:rPr>
          <w:rFonts w:cstheme="minorHAnsi"/>
        </w:rPr>
        <w:t>(Quilter, 2020: 113)</w:t>
      </w:r>
      <w:r w:rsidR="00502501">
        <w:rPr>
          <w:rFonts w:cstheme="minorHAnsi"/>
        </w:rPr>
        <w:t xml:space="preserve">. </w:t>
      </w:r>
      <w:r w:rsidR="00FE32D3" w:rsidRPr="005F6151">
        <w:rPr>
          <w:rFonts w:cstheme="minorHAnsi"/>
        </w:rPr>
        <w:t xml:space="preserve">While the uptake of the scheme – utilised by just over 1,000 applicants in the first three years (Department of Human Services, 2021) </w:t>
      </w:r>
      <w:r w:rsidR="000B721C" w:rsidRPr="005F6151">
        <w:rPr>
          <w:rFonts w:cstheme="minorHAnsi"/>
        </w:rPr>
        <w:t>–</w:t>
      </w:r>
      <w:r w:rsidR="00FE32D3" w:rsidRPr="005F6151">
        <w:rPr>
          <w:rFonts w:cstheme="minorHAnsi"/>
        </w:rPr>
        <w:t xml:space="preserve"> </w:t>
      </w:r>
      <w:r w:rsidR="00CC20AD" w:rsidRPr="005F6151">
        <w:rPr>
          <w:rFonts w:cstheme="minorHAnsi"/>
        </w:rPr>
        <w:t xml:space="preserve">has been used as evidence of its effectiveness in improving women’s safety, it is notable that </w:t>
      </w:r>
      <w:r w:rsidR="00821AAE" w:rsidRPr="005F6151">
        <w:rPr>
          <w:rFonts w:cstheme="minorHAnsi"/>
        </w:rPr>
        <w:t>there is an apparent</w:t>
      </w:r>
      <w:r w:rsidR="00CC20AD" w:rsidRPr="005F6151">
        <w:rPr>
          <w:rFonts w:cstheme="minorHAnsi"/>
        </w:rPr>
        <w:t xml:space="preserve"> lack of evidence </w:t>
      </w:r>
      <w:r w:rsidR="00622AD4" w:rsidRPr="005F6151">
        <w:rPr>
          <w:rFonts w:cstheme="minorHAnsi"/>
        </w:rPr>
        <w:t xml:space="preserve">supporting </w:t>
      </w:r>
      <w:r w:rsidR="00821AAE" w:rsidRPr="005F6151">
        <w:rPr>
          <w:rFonts w:cstheme="minorHAnsi"/>
        </w:rPr>
        <w:t>the ongoing practice of this scheme in SA.</w:t>
      </w:r>
      <w:r w:rsidR="00706853" w:rsidRPr="005F6151">
        <w:rPr>
          <w:rFonts w:cstheme="minorHAnsi"/>
        </w:rPr>
        <w:t xml:space="preserve"> </w:t>
      </w:r>
    </w:p>
    <w:p w14:paraId="1616F977" w14:textId="77777777" w:rsidR="00622AD4" w:rsidRPr="005F6151" w:rsidRDefault="00622AD4" w:rsidP="005F6151">
      <w:pPr>
        <w:spacing w:line="360" w:lineRule="auto"/>
        <w:ind w:left="283"/>
        <w:jc w:val="both"/>
        <w:rPr>
          <w:rFonts w:cstheme="minorHAnsi"/>
        </w:rPr>
      </w:pPr>
    </w:p>
    <w:p w14:paraId="5C38A5C3" w14:textId="636F5791" w:rsidR="00821AAE" w:rsidRPr="005F6151" w:rsidRDefault="00706853" w:rsidP="005F6151">
      <w:pPr>
        <w:spacing w:line="360" w:lineRule="auto"/>
        <w:jc w:val="both"/>
        <w:rPr>
          <w:rFonts w:cstheme="minorHAnsi"/>
        </w:rPr>
      </w:pPr>
      <w:r w:rsidRPr="005F6151">
        <w:rPr>
          <w:rFonts w:cstheme="minorHAnsi"/>
        </w:rPr>
        <w:t>In contrast</w:t>
      </w:r>
      <w:r w:rsidR="008541AE" w:rsidRPr="005F6151">
        <w:rPr>
          <w:rFonts w:cstheme="minorHAnsi"/>
        </w:rPr>
        <w:t>,</w:t>
      </w:r>
      <w:r w:rsidRPr="005F6151">
        <w:rPr>
          <w:rFonts w:cstheme="minorHAnsi"/>
        </w:rPr>
        <w:t xml:space="preserve"> the pilot </w:t>
      </w:r>
      <w:r w:rsidR="00D607EA" w:rsidRPr="005F6151">
        <w:rPr>
          <w:rFonts w:cstheme="minorHAnsi"/>
        </w:rPr>
        <w:t xml:space="preserve">DVDS </w:t>
      </w:r>
      <w:r w:rsidRPr="005F6151">
        <w:rPr>
          <w:rFonts w:cstheme="minorHAnsi"/>
        </w:rPr>
        <w:t xml:space="preserve">scheme introduced in </w:t>
      </w:r>
      <w:r w:rsidR="000C5209" w:rsidRPr="005F6151">
        <w:rPr>
          <w:rFonts w:cstheme="minorHAnsi"/>
        </w:rPr>
        <w:t xml:space="preserve">NSW </w:t>
      </w:r>
      <w:r w:rsidR="00CF4047" w:rsidRPr="005F6151">
        <w:rPr>
          <w:rFonts w:cstheme="minorHAnsi"/>
        </w:rPr>
        <w:t xml:space="preserve">in </w:t>
      </w:r>
      <w:r w:rsidR="005B2907" w:rsidRPr="005F6151">
        <w:rPr>
          <w:rFonts w:cstheme="minorHAnsi"/>
        </w:rPr>
        <w:t>2016</w:t>
      </w:r>
      <w:r w:rsidR="00E91C39" w:rsidRPr="005F6151">
        <w:rPr>
          <w:rFonts w:cstheme="minorHAnsi"/>
        </w:rPr>
        <w:t xml:space="preserve"> </w:t>
      </w:r>
      <w:r w:rsidRPr="005F6151">
        <w:rPr>
          <w:rFonts w:cstheme="minorHAnsi"/>
        </w:rPr>
        <w:t>was accompanied by</w:t>
      </w:r>
      <w:r w:rsidR="009A313D" w:rsidRPr="005F6151">
        <w:rPr>
          <w:rFonts w:cstheme="minorHAnsi"/>
        </w:rPr>
        <w:t xml:space="preserve"> an</w:t>
      </w:r>
      <w:r w:rsidRPr="005F6151">
        <w:rPr>
          <w:rFonts w:cstheme="minorHAnsi"/>
        </w:rPr>
        <w:t xml:space="preserve"> evaluation. </w:t>
      </w:r>
      <w:r w:rsidR="001922CB" w:rsidRPr="005F6151">
        <w:rPr>
          <w:rFonts w:cstheme="minorHAnsi"/>
        </w:rPr>
        <w:t>That evaluation offered a detailed assessment as to the potential barriers to the scheme ranging from implementation ‘teething problems’ to lack of knowledge on the part of police officers about t</w:t>
      </w:r>
      <w:r w:rsidR="00E91C39" w:rsidRPr="005F6151">
        <w:rPr>
          <w:rFonts w:cstheme="minorHAnsi"/>
        </w:rPr>
        <w:t>he scheme.</w:t>
      </w:r>
      <w:r w:rsidR="001922CB" w:rsidRPr="005F6151">
        <w:rPr>
          <w:rFonts w:cstheme="minorHAnsi"/>
        </w:rPr>
        <w:t xml:space="preserve"> </w:t>
      </w:r>
      <w:r w:rsidR="00E91C39" w:rsidRPr="005F6151">
        <w:rPr>
          <w:rFonts w:cstheme="minorHAnsi"/>
        </w:rPr>
        <w:t>P</w:t>
      </w:r>
      <w:r w:rsidR="001922CB" w:rsidRPr="005F6151">
        <w:rPr>
          <w:rFonts w:cstheme="minorHAnsi"/>
        </w:rPr>
        <w:t>erhaps most tellingly</w:t>
      </w:r>
      <w:r w:rsidR="00E91C39" w:rsidRPr="005F6151">
        <w:rPr>
          <w:rFonts w:cstheme="minorHAnsi"/>
        </w:rPr>
        <w:t xml:space="preserve"> the evaluation </w:t>
      </w:r>
      <w:r w:rsidR="00471C9A">
        <w:rPr>
          <w:rFonts w:cstheme="minorHAnsi"/>
        </w:rPr>
        <w:t>brought</w:t>
      </w:r>
      <w:r w:rsidR="00471C9A" w:rsidRPr="005F6151">
        <w:rPr>
          <w:rFonts w:cstheme="minorHAnsi"/>
        </w:rPr>
        <w:t xml:space="preserve"> </w:t>
      </w:r>
      <w:r w:rsidR="00E91C39" w:rsidRPr="005F6151">
        <w:rPr>
          <w:rFonts w:cstheme="minorHAnsi"/>
        </w:rPr>
        <w:t>to the fore</w:t>
      </w:r>
      <w:r w:rsidR="001922CB" w:rsidRPr="005F6151">
        <w:rPr>
          <w:rFonts w:cstheme="minorHAnsi"/>
        </w:rPr>
        <w:t xml:space="preserve"> the challenges faced by ‘hard to reach’ communities</w:t>
      </w:r>
      <w:r w:rsidR="00A549A0" w:rsidRPr="005F6151">
        <w:rPr>
          <w:rFonts w:cstheme="minorHAnsi"/>
        </w:rPr>
        <w:t>,</w:t>
      </w:r>
      <w:r w:rsidR="001922CB" w:rsidRPr="005F6151">
        <w:rPr>
          <w:rFonts w:cstheme="minorHAnsi"/>
        </w:rPr>
        <w:t xml:space="preserve"> including</w:t>
      </w:r>
      <w:r w:rsidR="00A549A0" w:rsidRPr="005F6151">
        <w:rPr>
          <w:rFonts w:cstheme="minorHAnsi"/>
        </w:rPr>
        <w:t xml:space="preserve"> First Nations</w:t>
      </w:r>
      <w:r w:rsidR="001922CB" w:rsidRPr="005F6151">
        <w:rPr>
          <w:rFonts w:cstheme="minorHAnsi"/>
        </w:rPr>
        <w:t xml:space="preserve"> communities</w:t>
      </w:r>
      <w:r w:rsidR="00A549A0" w:rsidRPr="005F6151">
        <w:rPr>
          <w:rFonts w:cstheme="minorHAnsi"/>
        </w:rPr>
        <w:t xml:space="preserve"> (Urbis, 2018)</w:t>
      </w:r>
      <w:r w:rsidR="001922CB" w:rsidRPr="005F6151">
        <w:rPr>
          <w:rFonts w:cstheme="minorHAnsi"/>
        </w:rPr>
        <w:t xml:space="preserve">. It is a moot point </w:t>
      </w:r>
      <w:r w:rsidR="006122F8" w:rsidRPr="005F6151">
        <w:rPr>
          <w:rFonts w:cstheme="minorHAnsi"/>
        </w:rPr>
        <w:t>whether</w:t>
      </w:r>
      <w:r w:rsidR="001922CB" w:rsidRPr="005F6151">
        <w:rPr>
          <w:rFonts w:cstheme="minorHAnsi"/>
        </w:rPr>
        <w:t xml:space="preserve"> this evaluation was critical to the </w:t>
      </w:r>
      <w:r w:rsidR="00253601" w:rsidRPr="005F6151">
        <w:rPr>
          <w:rFonts w:cstheme="minorHAnsi"/>
        </w:rPr>
        <w:t xml:space="preserve">government’s decision to discontinue the </w:t>
      </w:r>
      <w:r w:rsidR="001922CB" w:rsidRPr="005F6151">
        <w:rPr>
          <w:rFonts w:cstheme="minorHAnsi"/>
        </w:rPr>
        <w:t>scheme</w:t>
      </w:r>
      <w:r w:rsidR="00253601" w:rsidRPr="005F6151">
        <w:rPr>
          <w:rFonts w:cstheme="minorHAnsi"/>
        </w:rPr>
        <w:t xml:space="preserve">, </w:t>
      </w:r>
      <w:r w:rsidR="00C2731D" w:rsidRPr="005F6151">
        <w:rPr>
          <w:rFonts w:cstheme="minorHAnsi"/>
        </w:rPr>
        <w:t xml:space="preserve">however, </w:t>
      </w:r>
      <w:r w:rsidR="001922CB" w:rsidRPr="005F6151">
        <w:rPr>
          <w:rFonts w:cstheme="minorHAnsi"/>
        </w:rPr>
        <w:t xml:space="preserve">perhaps what </w:t>
      </w:r>
      <w:r w:rsidR="00FB02E4">
        <w:rPr>
          <w:rFonts w:cstheme="minorHAnsi"/>
        </w:rPr>
        <w:t>were</w:t>
      </w:r>
      <w:r w:rsidR="009A5550" w:rsidRPr="005F6151">
        <w:rPr>
          <w:rFonts w:cstheme="minorHAnsi"/>
        </w:rPr>
        <w:t xml:space="preserve"> </w:t>
      </w:r>
      <w:r w:rsidR="001922CB" w:rsidRPr="005F6151">
        <w:rPr>
          <w:rFonts w:cstheme="minorHAnsi"/>
        </w:rPr>
        <w:t>rather less moot w</w:t>
      </w:r>
      <w:r w:rsidR="003342A2">
        <w:rPr>
          <w:rFonts w:cstheme="minorHAnsi"/>
        </w:rPr>
        <w:t>ere</w:t>
      </w:r>
      <w:r w:rsidR="001922CB" w:rsidRPr="005F6151">
        <w:rPr>
          <w:rFonts w:cstheme="minorHAnsi"/>
        </w:rPr>
        <w:t xml:space="preserve"> the economic costs involved in its operation (Urbis, 2018).</w:t>
      </w:r>
      <w:r w:rsidR="00821AAE" w:rsidRPr="005F6151">
        <w:rPr>
          <w:rFonts w:cstheme="minorHAnsi"/>
        </w:rPr>
        <w:t xml:space="preserve"> Wangmann (2016: 324) </w:t>
      </w:r>
      <w:r w:rsidR="007F4751">
        <w:rPr>
          <w:rFonts w:cstheme="minorHAnsi"/>
        </w:rPr>
        <w:t xml:space="preserve">has </w:t>
      </w:r>
      <w:r w:rsidR="00821AAE" w:rsidRPr="005F6151">
        <w:rPr>
          <w:rFonts w:cstheme="minorHAnsi"/>
        </w:rPr>
        <w:t>point</w:t>
      </w:r>
      <w:r w:rsidR="007F4751">
        <w:rPr>
          <w:rFonts w:cstheme="minorHAnsi"/>
        </w:rPr>
        <w:t>ed</w:t>
      </w:r>
      <w:r w:rsidR="00821AAE" w:rsidRPr="005F6151">
        <w:rPr>
          <w:rFonts w:cstheme="minorHAnsi"/>
        </w:rPr>
        <w:t xml:space="preserve"> out that:</w:t>
      </w:r>
    </w:p>
    <w:p w14:paraId="64564AE6" w14:textId="77777777" w:rsidR="00477AC5" w:rsidRPr="005F6151" w:rsidRDefault="00477AC5" w:rsidP="005F6151">
      <w:pPr>
        <w:spacing w:line="360" w:lineRule="auto"/>
        <w:ind w:left="283"/>
        <w:jc w:val="both"/>
        <w:rPr>
          <w:rFonts w:cstheme="minorHAnsi"/>
        </w:rPr>
      </w:pPr>
    </w:p>
    <w:p w14:paraId="77B17C57" w14:textId="579EA18D" w:rsidR="00821AAE" w:rsidRPr="005F6151" w:rsidRDefault="00821AAE" w:rsidP="005F6151">
      <w:pPr>
        <w:spacing w:line="360" w:lineRule="auto"/>
        <w:ind w:left="720"/>
        <w:jc w:val="both"/>
        <w:rPr>
          <w:rFonts w:cstheme="minorHAnsi"/>
        </w:rPr>
      </w:pPr>
      <w:r w:rsidRPr="005F6151">
        <w:rPr>
          <w:rFonts w:cstheme="minorHAnsi"/>
        </w:rPr>
        <w:t>in terms of reducing domestic violence</w:t>
      </w:r>
      <w:r w:rsidR="00A47945">
        <w:rPr>
          <w:rFonts w:cstheme="minorHAnsi"/>
        </w:rPr>
        <w:t>,</w:t>
      </w:r>
      <w:r w:rsidRPr="005F6151">
        <w:rPr>
          <w:rFonts w:cstheme="minorHAnsi"/>
        </w:rPr>
        <w:t xml:space="preserve"> </w:t>
      </w:r>
      <w:r w:rsidR="00A86634" w:rsidRPr="005F6151">
        <w:rPr>
          <w:rFonts w:cstheme="minorHAnsi"/>
        </w:rPr>
        <w:t xml:space="preserve">it </w:t>
      </w:r>
      <w:r w:rsidRPr="005F6151">
        <w:rPr>
          <w:rFonts w:cstheme="minorHAnsi"/>
        </w:rPr>
        <w:t>is unlikely to make any difference for the vast bulk of women experiencing violence from their intimate partners. DVDSs shift the focus away from the structural requirements that are needed to ensure safety, for example</w:t>
      </w:r>
      <w:r w:rsidR="00EA2573">
        <w:rPr>
          <w:rFonts w:cstheme="minorHAnsi"/>
        </w:rPr>
        <w:t>,</w:t>
      </w:r>
      <w:r w:rsidRPr="005F6151">
        <w:rPr>
          <w:rFonts w:cstheme="minorHAnsi"/>
        </w:rPr>
        <w:t xml:space="preserve"> improving police consistency in responding to domestic violence, and ensuring that accommodation, counselling and legal services are able to meet demand. It is unfortunate that DVDSs are being rolled out without evidence that indicates they enhance women’s safety.</w:t>
      </w:r>
    </w:p>
    <w:p w14:paraId="36102035" w14:textId="77777777" w:rsidR="00477AC5" w:rsidRPr="005F6151" w:rsidRDefault="00477AC5" w:rsidP="005F6151">
      <w:pPr>
        <w:spacing w:line="360" w:lineRule="auto"/>
        <w:ind w:left="907"/>
        <w:jc w:val="both"/>
        <w:rPr>
          <w:rFonts w:cstheme="minorHAnsi"/>
        </w:rPr>
      </w:pPr>
    </w:p>
    <w:p w14:paraId="17C473E3" w14:textId="72EC4086" w:rsidR="006118EE" w:rsidRPr="005F6151" w:rsidRDefault="00821AAE" w:rsidP="005F6151">
      <w:pPr>
        <w:spacing w:line="360" w:lineRule="auto"/>
        <w:jc w:val="both"/>
        <w:rPr>
          <w:rFonts w:cstheme="minorHAnsi"/>
          <w:b/>
          <w:bCs/>
        </w:rPr>
      </w:pPr>
      <w:r w:rsidRPr="005F6151">
        <w:rPr>
          <w:rFonts w:cstheme="minorHAnsi"/>
        </w:rPr>
        <w:t>To date</w:t>
      </w:r>
      <w:r w:rsidR="00EA2573">
        <w:rPr>
          <w:rFonts w:cstheme="minorHAnsi"/>
        </w:rPr>
        <w:t>,</w:t>
      </w:r>
      <w:r w:rsidRPr="005F6151">
        <w:rPr>
          <w:rFonts w:cstheme="minorHAnsi"/>
        </w:rPr>
        <w:t xml:space="preserve"> there has been minimal evidence collected on </w:t>
      </w:r>
      <w:r w:rsidR="00EA2573">
        <w:rPr>
          <w:rFonts w:cstheme="minorHAnsi"/>
        </w:rPr>
        <w:t>practitioners'</w:t>
      </w:r>
      <w:r w:rsidR="00EA2573" w:rsidRPr="005F6151">
        <w:rPr>
          <w:rFonts w:cstheme="minorHAnsi"/>
        </w:rPr>
        <w:t xml:space="preserve"> </w:t>
      </w:r>
      <w:r w:rsidRPr="005F6151">
        <w:rPr>
          <w:rFonts w:cstheme="minorHAnsi"/>
        </w:rPr>
        <w:t>and/or victim-survivors’ experiences of either administering or accessing</w:t>
      </w:r>
      <w:r w:rsidR="00212C41" w:rsidRPr="005F6151">
        <w:rPr>
          <w:rFonts w:cstheme="minorHAnsi"/>
        </w:rPr>
        <w:t xml:space="preserve"> the</w:t>
      </w:r>
      <w:r w:rsidRPr="005F6151">
        <w:rPr>
          <w:rFonts w:cstheme="minorHAnsi"/>
        </w:rPr>
        <w:t xml:space="preserve"> DVDS in SA and elsewhere more generally</w:t>
      </w:r>
      <w:r w:rsidR="009A5550" w:rsidRPr="005F6151">
        <w:rPr>
          <w:rFonts w:cstheme="minorHAnsi"/>
        </w:rPr>
        <w:t xml:space="preserve"> (</w:t>
      </w:r>
      <w:r w:rsidR="00414401" w:rsidRPr="005F6151">
        <w:rPr>
          <w:rFonts w:cstheme="minorHAnsi"/>
        </w:rPr>
        <w:t xml:space="preserve">with </w:t>
      </w:r>
      <w:r w:rsidR="00CA6C6A" w:rsidRPr="005F6151">
        <w:rPr>
          <w:rFonts w:cstheme="minorHAnsi"/>
        </w:rPr>
        <w:t xml:space="preserve">the </w:t>
      </w:r>
      <w:r w:rsidR="00414401" w:rsidRPr="005F6151">
        <w:rPr>
          <w:rFonts w:cstheme="minorHAnsi"/>
        </w:rPr>
        <w:t xml:space="preserve">exception of the work of </w:t>
      </w:r>
      <w:r w:rsidR="009A5550" w:rsidRPr="005F6151">
        <w:rPr>
          <w:rFonts w:cstheme="minorHAnsi"/>
        </w:rPr>
        <w:t>Barlow et al</w:t>
      </w:r>
      <w:r w:rsidR="000B721C" w:rsidRPr="005F6151">
        <w:rPr>
          <w:rFonts w:cstheme="minorHAnsi"/>
        </w:rPr>
        <w:t>.</w:t>
      </w:r>
      <w:r w:rsidR="009A5550" w:rsidRPr="005F6151">
        <w:rPr>
          <w:rFonts w:cstheme="minorHAnsi"/>
        </w:rPr>
        <w:t xml:space="preserve"> </w:t>
      </w:r>
      <w:r w:rsidR="008527EA">
        <w:rPr>
          <w:rFonts w:cstheme="minorHAnsi"/>
        </w:rPr>
        <w:t>(</w:t>
      </w:r>
      <w:r w:rsidR="009A5550" w:rsidRPr="005F6151">
        <w:rPr>
          <w:rFonts w:cstheme="minorHAnsi"/>
        </w:rPr>
        <w:t>202</w:t>
      </w:r>
      <w:r w:rsidR="004265EF" w:rsidRPr="005F6151">
        <w:rPr>
          <w:rFonts w:cstheme="minorHAnsi"/>
        </w:rPr>
        <w:t>1</w:t>
      </w:r>
      <w:r w:rsidR="008527EA">
        <w:rPr>
          <w:rFonts w:cstheme="minorHAnsi"/>
        </w:rPr>
        <w:t>)</w:t>
      </w:r>
      <w:r w:rsidR="00414401" w:rsidRPr="005F6151">
        <w:rPr>
          <w:rFonts w:cstheme="minorHAnsi"/>
        </w:rPr>
        <w:t xml:space="preserve"> in England and Wales</w:t>
      </w:r>
      <w:r w:rsidR="001D22B1" w:rsidRPr="005F6151">
        <w:rPr>
          <w:rFonts w:cstheme="minorHAnsi"/>
        </w:rPr>
        <w:t>, and the small number of victim-survivor views presented in the Urbis (2018) evaluation in NSW</w:t>
      </w:r>
      <w:r w:rsidR="009A5550" w:rsidRPr="005F6151">
        <w:rPr>
          <w:rFonts w:cstheme="minorHAnsi"/>
        </w:rPr>
        <w:t>)</w:t>
      </w:r>
      <w:r w:rsidRPr="005F6151">
        <w:rPr>
          <w:rFonts w:cstheme="minorHAnsi"/>
        </w:rPr>
        <w:t>.</w:t>
      </w:r>
      <w:r w:rsidR="00B42787" w:rsidRPr="005F6151">
        <w:rPr>
          <w:rFonts w:cstheme="minorHAnsi"/>
        </w:rPr>
        <w:t xml:space="preserve"> Nevertheless</w:t>
      </w:r>
      <w:r w:rsidR="009A5550" w:rsidRPr="005F6151">
        <w:rPr>
          <w:rFonts w:cstheme="minorHAnsi"/>
        </w:rPr>
        <w:t>,</w:t>
      </w:r>
      <w:r w:rsidR="00B42787" w:rsidRPr="005F6151">
        <w:rPr>
          <w:rFonts w:cstheme="minorHAnsi"/>
        </w:rPr>
        <w:t xml:space="preserve"> this reactive policy response</w:t>
      </w:r>
      <w:r w:rsidR="00D52DCA">
        <w:rPr>
          <w:rFonts w:cstheme="minorHAnsi"/>
        </w:rPr>
        <w:t>,</w:t>
      </w:r>
      <w:r w:rsidR="00B42787" w:rsidRPr="005F6151">
        <w:rPr>
          <w:rFonts w:cstheme="minorHAnsi"/>
        </w:rPr>
        <w:t xml:space="preserve"> in the light of international developments</w:t>
      </w:r>
      <w:r w:rsidR="00D52DCA">
        <w:rPr>
          <w:rFonts w:cstheme="minorHAnsi"/>
        </w:rPr>
        <w:t>,</w:t>
      </w:r>
      <w:r w:rsidR="00B42787" w:rsidRPr="005F6151">
        <w:rPr>
          <w:rFonts w:cstheme="minorHAnsi"/>
        </w:rPr>
        <w:t xml:space="preserve"> appears to have remained robust in </w:t>
      </w:r>
      <w:r w:rsidR="009179F8" w:rsidRPr="005F6151">
        <w:rPr>
          <w:rFonts w:cstheme="minorHAnsi"/>
        </w:rPr>
        <w:t xml:space="preserve">SA </w:t>
      </w:r>
      <w:r w:rsidR="009179F8" w:rsidRPr="005F6151">
        <w:rPr>
          <w:rFonts w:cstheme="minorHAnsi"/>
        </w:rPr>
        <w:lastRenderedPageBreak/>
        <w:t>and to have garnered significant support among local specialist practitioners</w:t>
      </w:r>
      <w:r w:rsidR="00B42787" w:rsidRPr="005F6151">
        <w:rPr>
          <w:rFonts w:cstheme="minorHAnsi"/>
        </w:rPr>
        <w:t>. This is a point that will be returned to in the conclusion.</w:t>
      </w:r>
    </w:p>
    <w:p w14:paraId="09AB9D76" w14:textId="77777777" w:rsidR="006118EE" w:rsidRPr="005F6151" w:rsidRDefault="006118EE" w:rsidP="005F6151">
      <w:pPr>
        <w:spacing w:line="360" w:lineRule="auto"/>
        <w:jc w:val="both"/>
        <w:rPr>
          <w:rFonts w:cstheme="minorHAnsi"/>
          <w:b/>
          <w:bCs/>
        </w:rPr>
      </w:pPr>
    </w:p>
    <w:p w14:paraId="09387611" w14:textId="2527A839" w:rsidR="003869F4" w:rsidRPr="005F6151" w:rsidRDefault="003869F4" w:rsidP="0088636C">
      <w:pPr>
        <w:pStyle w:val="Heading1"/>
      </w:pPr>
      <w:r w:rsidRPr="005F6151">
        <w:t xml:space="preserve">Policy </w:t>
      </w:r>
      <w:r w:rsidR="00477958" w:rsidRPr="005F6151">
        <w:t xml:space="preserve">recommendations </w:t>
      </w:r>
      <w:r w:rsidRPr="005F6151">
        <w:t xml:space="preserve">in </w:t>
      </w:r>
      <w:r w:rsidR="002524DF" w:rsidRPr="005F6151">
        <w:t xml:space="preserve">the </w:t>
      </w:r>
      <w:r w:rsidR="00CF31FD" w:rsidRPr="005F6151">
        <w:t>absence</w:t>
      </w:r>
      <w:r w:rsidRPr="005F6151">
        <w:t xml:space="preserve"> of evidence </w:t>
      </w:r>
      <w:r w:rsidR="009A5550" w:rsidRPr="005F6151">
        <w:t>and/or</w:t>
      </w:r>
      <w:r w:rsidRPr="005F6151">
        <w:t xml:space="preserve"> sustained advocacy</w:t>
      </w:r>
      <w:r w:rsidR="00477958" w:rsidRPr="005F6151">
        <w:t>: Perpetrator registers in Australia</w:t>
      </w:r>
    </w:p>
    <w:p w14:paraId="6E0B99EF" w14:textId="77777777" w:rsidR="0088636C" w:rsidRDefault="0088636C" w:rsidP="005F6151">
      <w:pPr>
        <w:spacing w:line="360" w:lineRule="auto"/>
        <w:jc w:val="both"/>
        <w:rPr>
          <w:rFonts w:cstheme="minorHAnsi"/>
        </w:rPr>
      </w:pPr>
    </w:p>
    <w:p w14:paraId="710B9230" w14:textId="22067D8F" w:rsidR="001C499B" w:rsidRPr="005F6151" w:rsidRDefault="008C3381" w:rsidP="005F6151">
      <w:pPr>
        <w:spacing w:line="360" w:lineRule="auto"/>
        <w:jc w:val="both"/>
        <w:rPr>
          <w:rFonts w:cstheme="minorHAnsi"/>
        </w:rPr>
      </w:pPr>
      <w:r w:rsidRPr="005F6151">
        <w:rPr>
          <w:rFonts w:cstheme="minorHAnsi"/>
        </w:rPr>
        <w:t>Here we return to the</w:t>
      </w:r>
      <w:r w:rsidR="00211E85" w:rsidRPr="005F6151">
        <w:rPr>
          <w:rFonts w:cstheme="minorHAnsi"/>
        </w:rPr>
        <w:t xml:space="preserve"> aforementioned</w:t>
      </w:r>
      <w:r w:rsidRPr="005F6151">
        <w:rPr>
          <w:rFonts w:cstheme="minorHAnsi"/>
        </w:rPr>
        <w:t xml:space="preserve"> ‘Indepen</w:t>
      </w:r>
      <w:r w:rsidR="008E0021" w:rsidRPr="005F6151">
        <w:rPr>
          <w:rFonts w:cstheme="minorHAnsi"/>
        </w:rPr>
        <w:t>dent review by standing commission/committee’</w:t>
      </w:r>
      <w:r w:rsidR="00211E85" w:rsidRPr="005F6151">
        <w:rPr>
          <w:rFonts w:cstheme="minorHAnsi"/>
        </w:rPr>
        <w:t xml:space="preserve"> law reform process</w:t>
      </w:r>
      <w:r w:rsidR="00C75FAE" w:rsidRPr="005F6151">
        <w:rPr>
          <w:rFonts w:cstheme="minorHAnsi"/>
        </w:rPr>
        <w:t xml:space="preserve">. </w:t>
      </w:r>
      <w:r w:rsidR="00F61B1D" w:rsidRPr="005F6151">
        <w:rPr>
          <w:rFonts w:cstheme="minorHAnsi"/>
        </w:rPr>
        <w:t>Whilst Q</w:t>
      </w:r>
      <w:r w:rsidR="00D647B5" w:rsidRPr="005F6151">
        <w:rPr>
          <w:rFonts w:cstheme="minorHAnsi"/>
        </w:rPr>
        <w:t>uilter (2020) emphasises this process as conducted by an expert organisation, a return to the original typology as set out by</w:t>
      </w:r>
      <w:r w:rsidR="00C75FAE" w:rsidRPr="005F6151">
        <w:rPr>
          <w:rFonts w:cstheme="minorHAnsi"/>
        </w:rPr>
        <w:t xml:space="preserve"> McNamara et al. (20</w:t>
      </w:r>
      <w:r w:rsidR="00541D42" w:rsidRPr="005F6151">
        <w:rPr>
          <w:rFonts w:cstheme="minorHAnsi"/>
        </w:rPr>
        <w:t>19</w:t>
      </w:r>
      <w:r w:rsidR="00C75FAE" w:rsidRPr="005F6151">
        <w:rPr>
          <w:rFonts w:cstheme="minorHAnsi"/>
        </w:rPr>
        <w:t xml:space="preserve">: 393) </w:t>
      </w:r>
      <w:r w:rsidR="00D647B5" w:rsidRPr="005F6151">
        <w:rPr>
          <w:rFonts w:cstheme="minorHAnsi"/>
        </w:rPr>
        <w:t>reminds us that this can</w:t>
      </w:r>
      <w:r w:rsidR="001C499B" w:rsidRPr="005F6151">
        <w:rPr>
          <w:rFonts w:cstheme="minorHAnsi"/>
        </w:rPr>
        <w:t>:</w:t>
      </w:r>
    </w:p>
    <w:p w14:paraId="65F1F645" w14:textId="77777777" w:rsidR="001C499B" w:rsidRPr="005F6151" w:rsidRDefault="001C499B" w:rsidP="005F6151">
      <w:pPr>
        <w:spacing w:line="360" w:lineRule="auto"/>
        <w:jc w:val="both"/>
        <w:rPr>
          <w:rFonts w:cstheme="minorHAnsi"/>
        </w:rPr>
      </w:pPr>
    </w:p>
    <w:p w14:paraId="0D808E85" w14:textId="75701187" w:rsidR="001C499B" w:rsidRPr="005F6151" w:rsidRDefault="002F4CEF" w:rsidP="005F6151">
      <w:pPr>
        <w:spacing w:line="360" w:lineRule="auto"/>
        <w:ind w:left="720"/>
        <w:jc w:val="both"/>
        <w:rPr>
          <w:rFonts w:cstheme="minorHAnsi"/>
        </w:rPr>
      </w:pPr>
      <w:r w:rsidRPr="005F6151">
        <w:rPr>
          <w:rFonts w:cstheme="minorHAnsi"/>
        </w:rPr>
        <w:t>e</w:t>
      </w:r>
      <w:r w:rsidR="001C499B" w:rsidRPr="005F6151">
        <w:rPr>
          <w:rFonts w:cstheme="minorHAnsi"/>
        </w:rPr>
        <w:t>n</w:t>
      </w:r>
      <w:r w:rsidRPr="005F6151">
        <w:rPr>
          <w:rFonts w:cstheme="minorHAnsi"/>
        </w:rPr>
        <w:t>compass standing committees that have inquiry functions, such as parliamentary committees. Commissions or committees associated with this process enjoy a high degree of formal (often statutory) independence, which typically gives their recommendations a</w:t>
      </w:r>
      <w:r w:rsidR="0044145B" w:rsidRPr="005F6151">
        <w:rPr>
          <w:rFonts w:cstheme="minorHAnsi"/>
        </w:rPr>
        <w:t>n</w:t>
      </w:r>
      <w:r w:rsidRPr="005F6151">
        <w:rPr>
          <w:rFonts w:cstheme="minorHAnsi"/>
        </w:rPr>
        <w:t xml:space="preserve"> additional ‘arm</w:t>
      </w:r>
      <w:r w:rsidR="00930C52" w:rsidRPr="005F6151">
        <w:rPr>
          <w:rFonts w:cstheme="minorHAnsi"/>
        </w:rPr>
        <w:t>’</w:t>
      </w:r>
      <w:r w:rsidRPr="005F6151">
        <w:rPr>
          <w:rFonts w:cstheme="minorHAnsi"/>
        </w:rPr>
        <w:t>s-length</w:t>
      </w:r>
      <w:r w:rsidR="001C499B" w:rsidRPr="005F6151">
        <w:rPr>
          <w:rFonts w:cstheme="minorHAnsi"/>
        </w:rPr>
        <w:t>’ authority.</w:t>
      </w:r>
      <w:r w:rsidR="008E0021" w:rsidRPr="005F6151">
        <w:rPr>
          <w:rFonts w:cstheme="minorHAnsi"/>
        </w:rPr>
        <w:t xml:space="preserve"> </w:t>
      </w:r>
    </w:p>
    <w:p w14:paraId="30C22342" w14:textId="77777777" w:rsidR="001C499B" w:rsidRPr="005F6151" w:rsidRDefault="001C499B" w:rsidP="005F6151">
      <w:pPr>
        <w:spacing w:line="360" w:lineRule="auto"/>
        <w:jc w:val="both"/>
        <w:rPr>
          <w:rFonts w:cstheme="minorHAnsi"/>
        </w:rPr>
      </w:pPr>
    </w:p>
    <w:p w14:paraId="1C86CC5A" w14:textId="1DBA7F9C" w:rsidR="004703FC" w:rsidRPr="005F6151" w:rsidRDefault="003564E4" w:rsidP="005F6151">
      <w:pPr>
        <w:spacing w:line="360" w:lineRule="auto"/>
        <w:jc w:val="both"/>
        <w:rPr>
          <w:rFonts w:cstheme="minorHAnsi"/>
        </w:rPr>
      </w:pPr>
      <w:r w:rsidRPr="005F6151">
        <w:rPr>
          <w:rFonts w:cstheme="minorHAnsi"/>
        </w:rPr>
        <w:t>T</w:t>
      </w:r>
      <w:r w:rsidR="00AE7AF4" w:rsidRPr="005F6151">
        <w:rPr>
          <w:rFonts w:cstheme="minorHAnsi"/>
        </w:rPr>
        <w:t xml:space="preserve">his category of law reform process has been discussed in relation to the Victorian and Queensland examples, </w:t>
      </w:r>
      <w:r w:rsidRPr="005F6151">
        <w:rPr>
          <w:rFonts w:cstheme="minorHAnsi"/>
        </w:rPr>
        <w:t xml:space="preserve">however, </w:t>
      </w:r>
      <w:r w:rsidR="007D77BB" w:rsidRPr="005F6151">
        <w:rPr>
          <w:rFonts w:cstheme="minorHAnsi"/>
        </w:rPr>
        <w:t xml:space="preserve">we consider the national inquiry separately here given </w:t>
      </w:r>
      <w:r w:rsidR="00A16E9C" w:rsidRPr="005F6151">
        <w:rPr>
          <w:rFonts w:cstheme="minorHAnsi"/>
        </w:rPr>
        <w:t xml:space="preserve">the questionable basis </w:t>
      </w:r>
      <w:r w:rsidR="008B7360" w:rsidRPr="005F6151">
        <w:rPr>
          <w:rFonts w:cstheme="minorHAnsi"/>
        </w:rPr>
        <w:t>o</w:t>
      </w:r>
      <w:r w:rsidR="00A16E9C" w:rsidRPr="005F6151">
        <w:rPr>
          <w:rFonts w:cstheme="minorHAnsi"/>
        </w:rPr>
        <w:t>n which it made a recommendation for a public register</w:t>
      </w:r>
      <w:r w:rsidR="008B7360" w:rsidRPr="005F6151">
        <w:rPr>
          <w:rFonts w:cstheme="minorHAnsi"/>
        </w:rPr>
        <w:t xml:space="preserve">. This example </w:t>
      </w:r>
      <w:r w:rsidR="004703FC" w:rsidRPr="005F6151">
        <w:rPr>
          <w:rFonts w:cstheme="minorHAnsi"/>
        </w:rPr>
        <w:t>has connections to</w:t>
      </w:r>
      <w:r w:rsidR="00773665" w:rsidRPr="005F6151">
        <w:rPr>
          <w:rFonts w:cstheme="minorHAnsi"/>
        </w:rPr>
        <w:t xml:space="preserve"> </w:t>
      </w:r>
      <w:r w:rsidR="00F43F1A" w:rsidRPr="005F6151">
        <w:rPr>
          <w:rFonts w:cstheme="minorHAnsi"/>
        </w:rPr>
        <w:t xml:space="preserve">aspects of </w:t>
      </w:r>
      <w:r w:rsidR="003275FD" w:rsidRPr="005F6151">
        <w:rPr>
          <w:rFonts w:cstheme="minorHAnsi"/>
        </w:rPr>
        <w:t>other law reform processes</w:t>
      </w:r>
      <w:r w:rsidR="00353D9C" w:rsidRPr="005F6151">
        <w:rPr>
          <w:rFonts w:cstheme="minorHAnsi"/>
        </w:rPr>
        <w:t xml:space="preserve"> such as single-stage executive driven and internal government agency</w:t>
      </w:r>
      <w:r w:rsidR="00076297" w:rsidRPr="005F6151">
        <w:rPr>
          <w:rFonts w:cstheme="minorHAnsi"/>
        </w:rPr>
        <w:t xml:space="preserve"> processes.</w:t>
      </w:r>
    </w:p>
    <w:p w14:paraId="13BA0962" w14:textId="65C898A4" w:rsidR="00A6542D" w:rsidRPr="005F6151" w:rsidRDefault="00A6542D" w:rsidP="005F6151">
      <w:pPr>
        <w:spacing w:line="360" w:lineRule="auto"/>
        <w:jc w:val="both"/>
        <w:rPr>
          <w:rFonts w:cstheme="minorHAnsi"/>
        </w:rPr>
      </w:pPr>
    </w:p>
    <w:p w14:paraId="14E0D30E" w14:textId="57C902A0" w:rsidR="005D7DF9" w:rsidRPr="00C9503D" w:rsidRDefault="00C65C75" w:rsidP="00C9503D">
      <w:pPr>
        <w:spacing w:line="360" w:lineRule="auto"/>
        <w:jc w:val="both"/>
        <w:rPr>
          <w:rFonts w:cstheme="minorHAnsi"/>
          <w:color w:val="FF0000"/>
        </w:rPr>
      </w:pPr>
      <w:r w:rsidRPr="005F6151">
        <w:rPr>
          <w:rFonts w:cstheme="minorHAnsi"/>
        </w:rPr>
        <w:t>In June 2020</w:t>
      </w:r>
      <w:r w:rsidR="001A71C5" w:rsidRPr="005F6151">
        <w:rPr>
          <w:rFonts w:cstheme="minorHAnsi"/>
        </w:rPr>
        <w:t>,</w:t>
      </w:r>
      <w:r w:rsidRPr="005F6151">
        <w:rPr>
          <w:rFonts w:cstheme="minorHAnsi"/>
        </w:rPr>
        <w:t xml:space="preserve"> the </w:t>
      </w:r>
      <w:r w:rsidR="009E4439" w:rsidRPr="005F6151">
        <w:rPr>
          <w:rFonts w:cstheme="minorHAnsi"/>
        </w:rPr>
        <w:t>Minister</w:t>
      </w:r>
      <w:r w:rsidRPr="005F6151">
        <w:rPr>
          <w:rFonts w:cstheme="minorHAnsi"/>
        </w:rPr>
        <w:t xml:space="preserve"> for Women</w:t>
      </w:r>
      <w:r w:rsidR="00212003" w:rsidRPr="005F6151">
        <w:rPr>
          <w:rFonts w:cstheme="minorHAnsi"/>
        </w:rPr>
        <w:t xml:space="preserve"> referred</w:t>
      </w:r>
      <w:r w:rsidRPr="005F6151">
        <w:rPr>
          <w:rFonts w:cstheme="minorHAnsi"/>
        </w:rPr>
        <w:t xml:space="preserve"> an Inquiry into family, domestic and sexual violence t</w:t>
      </w:r>
      <w:r w:rsidR="00CA6C6A" w:rsidRPr="005F6151">
        <w:rPr>
          <w:rFonts w:cstheme="minorHAnsi"/>
        </w:rPr>
        <w:t>o</w:t>
      </w:r>
      <w:r w:rsidRPr="005F6151">
        <w:rPr>
          <w:rFonts w:cstheme="minorHAnsi"/>
        </w:rPr>
        <w:t xml:space="preserve"> the House </w:t>
      </w:r>
      <w:r w:rsidR="008B3D26" w:rsidRPr="005F6151">
        <w:rPr>
          <w:rFonts w:cstheme="minorHAnsi"/>
        </w:rPr>
        <w:t>of Representatives S</w:t>
      </w:r>
      <w:r w:rsidRPr="005F6151">
        <w:rPr>
          <w:rFonts w:cstheme="minorHAnsi"/>
        </w:rPr>
        <w:t>tanding Committee on Social Policy and Legal Affairs</w:t>
      </w:r>
      <w:r w:rsidR="00A6542D" w:rsidRPr="005F6151">
        <w:rPr>
          <w:rFonts w:cstheme="minorHAnsi"/>
        </w:rPr>
        <w:t xml:space="preserve">. </w:t>
      </w:r>
      <w:r w:rsidR="00C102B0" w:rsidRPr="005F6151">
        <w:rPr>
          <w:rFonts w:cstheme="minorHAnsi"/>
          <w:color w:val="000000" w:themeColor="text1"/>
        </w:rPr>
        <w:t>Running for less than a year, t</w:t>
      </w:r>
      <w:r w:rsidR="00B1176F" w:rsidRPr="005F6151">
        <w:rPr>
          <w:rFonts w:cstheme="minorHAnsi"/>
          <w:color w:val="000000" w:themeColor="text1"/>
        </w:rPr>
        <w:t>he Inquiry reported in March 2021</w:t>
      </w:r>
      <w:r w:rsidR="00912129">
        <w:rPr>
          <w:rFonts w:cstheme="minorHAnsi"/>
          <w:color w:val="000000" w:themeColor="text1"/>
        </w:rPr>
        <w:t>,</w:t>
      </w:r>
      <w:r w:rsidR="00B1176F" w:rsidRPr="005F6151">
        <w:rPr>
          <w:rFonts w:cstheme="minorHAnsi"/>
          <w:color w:val="000000" w:themeColor="text1"/>
        </w:rPr>
        <w:t xml:space="preserve"> making 88 recommendations to achieve ‘a more coordinated and comprehensive approach’ to domestic, family and sexual violence in Australia (Parliament of Australia, 2021).</w:t>
      </w:r>
      <w:r w:rsidR="00173073" w:rsidRPr="005F6151">
        <w:rPr>
          <w:rFonts w:cstheme="minorHAnsi"/>
          <w:color w:val="000000" w:themeColor="text1"/>
        </w:rPr>
        <w:t xml:space="preserve"> </w:t>
      </w:r>
      <w:r w:rsidR="005D7DF9" w:rsidRPr="005F6151">
        <w:rPr>
          <w:rFonts w:cstheme="minorHAnsi"/>
        </w:rPr>
        <w:t xml:space="preserve">Among the recommendations, Recommendation 83 may be easy to skip </w:t>
      </w:r>
      <w:r w:rsidR="00FA5537" w:rsidRPr="005F6151">
        <w:rPr>
          <w:rFonts w:cstheme="minorHAnsi"/>
        </w:rPr>
        <w:t xml:space="preserve">over </w:t>
      </w:r>
      <w:r w:rsidR="005D7DF9" w:rsidRPr="005F6151">
        <w:rPr>
          <w:rFonts w:cstheme="minorHAnsi"/>
        </w:rPr>
        <w:t>– pa</w:t>
      </w:r>
      <w:r w:rsidR="00FA5537" w:rsidRPr="005F6151">
        <w:rPr>
          <w:rFonts w:cstheme="minorHAnsi"/>
        </w:rPr>
        <w:t xml:space="preserve">rticularly given it does not </w:t>
      </w:r>
      <w:r w:rsidR="006122F8" w:rsidRPr="005F6151">
        <w:rPr>
          <w:rFonts w:cstheme="minorHAnsi"/>
        </w:rPr>
        <w:t>link</w:t>
      </w:r>
      <w:r w:rsidR="005D7DF9" w:rsidRPr="005F6151">
        <w:rPr>
          <w:rFonts w:cstheme="minorHAnsi"/>
        </w:rPr>
        <w:t xml:space="preserve"> back to any policy or practice recommendations that emerged strongly through written submissions or verbal evidence provided during the Inquiry. The Recommendation states:</w:t>
      </w:r>
      <w:r w:rsidR="00C9503D">
        <w:rPr>
          <w:rFonts w:cstheme="minorHAnsi"/>
          <w:color w:val="FF0000"/>
        </w:rPr>
        <w:t xml:space="preserve"> </w:t>
      </w:r>
      <w:r w:rsidR="00C9503D" w:rsidRPr="0099341A">
        <w:rPr>
          <w:rFonts w:cstheme="minorHAnsi"/>
        </w:rPr>
        <w:t>‘</w:t>
      </w:r>
      <w:r w:rsidR="005D7DF9" w:rsidRPr="005F6151">
        <w:rPr>
          <w:rFonts w:cstheme="minorHAnsi"/>
        </w:rPr>
        <w:t xml:space="preserve">The Committee recommends that the Department of Social Services commission research on the potential benefits and risks to victim-survivor safety of the </w:t>
      </w:r>
      <w:r w:rsidR="005D7DF9" w:rsidRPr="005F6151">
        <w:rPr>
          <w:rFonts w:cstheme="minorHAnsi"/>
        </w:rPr>
        <w:lastRenderedPageBreak/>
        <w:t>establishment of a publicly accessible register of convicted family, domestic and sexual violence offenders</w:t>
      </w:r>
      <w:r w:rsidR="0099341A">
        <w:rPr>
          <w:rFonts w:cstheme="minorHAnsi"/>
        </w:rPr>
        <w:t>’</w:t>
      </w:r>
      <w:r w:rsidR="005D7DF9" w:rsidRPr="005F6151">
        <w:rPr>
          <w:rFonts w:cstheme="minorHAnsi"/>
        </w:rPr>
        <w:t xml:space="preserve"> (House of Representatives Standing Committee on Social Policy and Legal Affairs, 2021</w:t>
      </w:r>
      <w:r w:rsidR="000B721C" w:rsidRPr="005F6151">
        <w:rPr>
          <w:rFonts w:cstheme="minorHAnsi"/>
        </w:rPr>
        <w:t>:</w:t>
      </w:r>
      <w:r w:rsidR="005D7DF9" w:rsidRPr="005F6151">
        <w:rPr>
          <w:rFonts w:cstheme="minorHAnsi"/>
        </w:rPr>
        <w:t xml:space="preserve"> xliv)</w:t>
      </w:r>
      <w:r w:rsidR="0099341A">
        <w:rPr>
          <w:rFonts w:cstheme="minorHAnsi"/>
        </w:rPr>
        <w:t>.</w:t>
      </w:r>
    </w:p>
    <w:p w14:paraId="040B73A3" w14:textId="465FF028" w:rsidR="005D7DF9" w:rsidRPr="005F6151" w:rsidRDefault="005D7DF9" w:rsidP="005F6151">
      <w:pPr>
        <w:spacing w:line="360" w:lineRule="auto"/>
        <w:jc w:val="both"/>
        <w:rPr>
          <w:rFonts w:cstheme="minorHAnsi"/>
        </w:rPr>
      </w:pPr>
    </w:p>
    <w:p w14:paraId="2E762DFF" w14:textId="03428DF5" w:rsidR="00CF5F55" w:rsidRPr="005F6151" w:rsidRDefault="00CF5F55" w:rsidP="005F6151">
      <w:pPr>
        <w:spacing w:line="360" w:lineRule="auto"/>
        <w:jc w:val="both"/>
        <w:rPr>
          <w:rFonts w:cstheme="minorHAnsi"/>
        </w:rPr>
      </w:pPr>
      <w:r w:rsidRPr="005F6151">
        <w:rPr>
          <w:rFonts w:cstheme="minorHAnsi"/>
        </w:rPr>
        <w:t>The background justifi</w:t>
      </w:r>
      <w:r w:rsidR="00DD662C" w:rsidRPr="005F6151">
        <w:rPr>
          <w:rFonts w:cstheme="minorHAnsi"/>
        </w:rPr>
        <w:t>cation</w:t>
      </w:r>
      <w:r w:rsidR="00064C34">
        <w:rPr>
          <w:rFonts w:cstheme="minorHAnsi"/>
        </w:rPr>
        <w:t xml:space="preserve"> </w:t>
      </w:r>
      <w:r w:rsidR="00064C34" w:rsidRPr="005F6151">
        <w:rPr>
          <w:rFonts w:cstheme="minorHAnsi"/>
        </w:rPr>
        <w:t>provided for this recommendation</w:t>
      </w:r>
      <w:r w:rsidR="00DD662C" w:rsidRPr="005F6151">
        <w:rPr>
          <w:rFonts w:cstheme="minorHAnsi"/>
        </w:rPr>
        <w:t xml:space="preserve">, while brief, </w:t>
      </w:r>
      <w:r w:rsidRPr="005F6151">
        <w:rPr>
          <w:rFonts w:cstheme="minorHAnsi"/>
        </w:rPr>
        <w:t>includes:</w:t>
      </w:r>
    </w:p>
    <w:p w14:paraId="5A932715" w14:textId="7894B4E8" w:rsidR="00CF5F55" w:rsidRPr="005F6151" w:rsidRDefault="00CF5F55" w:rsidP="005F6151">
      <w:pPr>
        <w:spacing w:line="360" w:lineRule="auto"/>
        <w:jc w:val="both"/>
        <w:rPr>
          <w:rFonts w:cstheme="minorHAnsi"/>
        </w:rPr>
      </w:pPr>
    </w:p>
    <w:p w14:paraId="0306A844" w14:textId="2CEAAFD7" w:rsidR="00CF5F55" w:rsidRPr="005F6151" w:rsidRDefault="00CF5F55" w:rsidP="005F6151">
      <w:pPr>
        <w:spacing w:line="360" w:lineRule="auto"/>
        <w:ind w:left="720"/>
        <w:jc w:val="both"/>
        <w:rPr>
          <w:rFonts w:cstheme="minorHAnsi"/>
        </w:rPr>
      </w:pPr>
      <w:r w:rsidRPr="005F6151">
        <w:rPr>
          <w:rFonts w:cstheme="minorHAnsi"/>
        </w:rPr>
        <w:t xml:space="preserve">Acknowledging that FDSV is rarely a </w:t>
      </w:r>
      <w:r w:rsidR="00E46E55" w:rsidRPr="005F6151">
        <w:rPr>
          <w:rFonts w:cstheme="minorHAnsi"/>
        </w:rPr>
        <w:t>one-off</w:t>
      </w:r>
      <w:r w:rsidRPr="005F6151">
        <w:rPr>
          <w:rFonts w:cstheme="minorHAnsi"/>
        </w:rPr>
        <w:t xml:space="preserve"> event, the Committee is of the view that there may be merit in the introduction of a register of convicted FDSV offenders, similar to the proposed National Public Register of Child Sex Offenders.</w:t>
      </w:r>
    </w:p>
    <w:p w14:paraId="201EBA56" w14:textId="77777777" w:rsidR="00CF5F55" w:rsidRPr="005F6151" w:rsidRDefault="00CF5F55" w:rsidP="005F6151">
      <w:pPr>
        <w:spacing w:line="360" w:lineRule="auto"/>
        <w:ind w:left="1440"/>
        <w:jc w:val="both"/>
        <w:rPr>
          <w:rFonts w:cstheme="minorHAnsi"/>
        </w:rPr>
      </w:pPr>
    </w:p>
    <w:p w14:paraId="3171ECC8" w14:textId="55DF2FAF" w:rsidR="00CF5F55" w:rsidRPr="005F6151" w:rsidRDefault="00CF5F55" w:rsidP="005F6151">
      <w:pPr>
        <w:spacing w:line="360" w:lineRule="auto"/>
        <w:ind w:left="720"/>
        <w:jc w:val="both"/>
        <w:rPr>
          <w:rFonts w:cstheme="minorHAnsi"/>
        </w:rPr>
      </w:pPr>
      <w:r w:rsidRPr="005F6151">
        <w:rPr>
          <w:rFonts w:cstheme="minorHAnsi"/>
        </w:rPr>
        <w:t>The Committee acknowledges that this matter was not raised in detail in evidence to this inquiry, and wishes to see research undertaken on whether such a register would contribute to increased safety for victim-survivors and their families.</w:t>
      </w:r>
    </w:p>
    <w:p w14:paraId="6E35407C" w14:textId="77777777" w:rsidR="00CF5F55" w:rsidRPr="005F6151" w:rsidRDefault="00CF5F55" w:rsidP="005F6151">
      <w:pPr>
        <w:spacing w:line="360" w:lineRule="auto"/>
        <w:ind w:left="1440"/>
        <w:jc w:val="both"/>
        <w:rPr>
          <w:rFonts w:cstheme="minorHAnsi"/>
        </w:rPr>
      </w:pPr>
    </w:p>
    <w:p w14:paraId="7BED2DF3" w14:textId="4DFA5406" w:rsidR="00CF5F55" w:rsidRPr="005F6151" w:rsidRDefault="00CF5F55" w:rsidP="005F6151">
      <w:pPr>
        <w:spacing w:line="360" w:lineRule="auto"/>
        <w:ind w:left="720"/>
        <w:jc w:val="both"/>
        <w:rPr>
          <w:rFonts w:cstheme="minorHAnsi"/>
        </w:rPr>
      </w:pPr>
      <w:r w:rsidRPr="005F6151">
        <w:rPr>
          <w:rFonts w:cstheme="minorHAnsi"/>
        </w:rPr>
        <w:t>The Committee emphasises that careful consideration would be required to determine the parameters under which a register would operate, and that extensive consultation, including with law associations and representatives of victim-survivors, should inform the development of any proposal. (House of Representatives Standing Committee on Social Policy and Legal Affairs, 2021</w:t>
      </w:r>
      <w:r w:rsidR="000B721C" w:rsidRPr="005F6151">
        <w:rPr>
          <w:rFonts w:cstheme="minorHAnsi"/>
        </w:rPr>
        <w:t>:</w:t>
      </w:r>
      <w:r w:rsidRPr="005F6151">
        <w:rPr>
          <w:rFonts w:cstheme="minorHAnsi"/>
        </w:rPr>
        <w:t xml:space="preserve"> 343-44) </w:t>
      </w:r>
    </w:p>
    <w:p w14:paraId="2BC67C20" w14:textId="77777777" w:rsidR="00CF5F55" w:rsidRPr="005F6151" w:rsidRDefault="00CF5F55" w:rsidP="005F6151">
      <w:pPr>
        <w:spacing w:line="360" w:lineRule="auto"/>
        <w:jc w:val="both"/>
        <w:rPr>
          <w:rFonts w:cstheme="minorHAnsi"/>
          <w:color w:val="FF0000"/>
        </w:rPr>
      </w:pPr>
    </w:p>
    <w:p w14:paraId="27F680EC" w14:textId="121DBC2C" w:rsidR="000B293F" w:rsidRPr="005F6151" w:rsidRDefault="00CF5F55" w:rsidP="005F6151">
      <w:pPr>
        <w:spacing w:line="360" w:lineRule="auto"/>
        <w:jc w:val="both"/>
        <w:rPr>
          <w:rFonts w:cstheme="minorHAnsi"/>
        </w:rPr>
      </w:pPr>
      <w:r w:rsidRPr="005F6151">
        <w:rPr>
          <w:rFonts w:cstheme="minorHAnsi"/>
        </w:rPr>
        <w:t>These short paragraphs represent the only mentions of a public register within the body of the 471-page final report. It is also notable that there is only one submission</w:t>
      </w:r>
      <w:r w:rsidR="003674E1" w:rsidRPr="005F6151">
        <w:rPr>
          <w:rFonts w:cstheme="minorHAnsi"/>
        </w:rPr>
        <w:t xml:space="preserve"> (Submission 158: Feminist Legal Clinic Inc.)</w:t>
      </w:r>
      <w:r w:rsidRPr="005F6151">
        <w:rPr>
          <w:rFonts w:cstheme="minorHAnsi"/>
        </w:rPr>
        <w:t xml:space="preserve"> </w:t>
      </w:r>
      <w:r w:rsidR="006E7F29" w:rsidRPr="005F6151">
        <w:rPr>
          <w:rFonts w:cstheme="minorHAnsi"/>
        </w:rPr>
        <w:t xml:space="preserve">– among the 298 submissions and 55 supplementary submissions received </w:t>
      </w:r>
      <w:r w:rsidR="00930C52" w:rsidRPr="005F6151">
        <w:rPr>
          <w:rFonts w:cstheme="minorHAnsi"/>
        </w:rPr>
        <w:t>–</w:t>
      </w:r>
      <w:r w:rsidR="006E7F29" w:rsidRPr="005F6151">
        <w:rPr>
          <w:rFonts w:cstheme="minorHAnsi"/>
        </w:rPr>
        <w:t xml:space="preserve"> </w:t>
      </w:r>
      <w:r w:rsidRPr="005F6151">
        <w:rPr>
          <w:rFonts w:cstheme="minorHAnsi"/>
        </w:rPr>
        <w:t xml:space="preserve">that recommends this approach for consideration. In making the above brief remarks on the need to </w:t>
      </w:r>
      <w:r w:rsidR="00CA6C6A" w:rsidRPr="005F6151">
        <w:rPr>
          <w:rFonts w:cstheme="minorHAnsi"/>
        </w:rPr>
        <w:t>commission research on</w:t>
      </w:r>
      <w:r w:rsidRPr="005F6151">
        <w:rPr>
          <w:rFonts w:cstheme="minorHAnsi"/>
        </w:rPr>
        <w:t xml:space="preserve"> the</w:t>
      </w:r>
      <w:r w:rsidR="00F67C2A" w:rsidRPr="005F6151">
        <w:rPr>
          <w:rFonts w:cstheme="minorHAnsi"/>
        </w:rPr>
        <w:t xml:space="preserve"> benefits</w:t>
      </w:r>
      <w:r w:rsidRPr="005F6151">
        <w:rPr>
          <w:rFonts w:cstheme="minorHAnsi"/>
        </w:rPr>
        <w:t xml:space="preserve"> </w:t>
      </w:r>
      <w:r w:rsidR="008B3D26" w:rsidRPr="005F6151">
        <w:rPr>
          <w:rFonts w:cstheme="minorHAnsi"/>
        </w:rPr>
        <w:t xml:space="preserve">and risks </w:t>
      </w:r>
      <w:r w:rsidRPr="005F6151">
        <w:rPr>
          <w:rFonts w:cstheme="minorHAnsi"/>
        </w:rPr>
        <w:t xml:space="preserve">of a public register for </w:t>
      </w:r>
      <w:r w:rsidR="00F137CB" w:rsidRPr="005F6151">
        <w:rPr>
          <w:rFonts w:cstheme="minorHAnsi"/>
        </w:rPr>
        <w:t>DFV</w:t>
      </w:r>
      <w:r w:rsidRPr="005F6151">
        <w:rPr>
          <w:rFonts w:cstheme="minorHAnsi"/>
        </w:rPr>
        <w:t xml:space="preserve"> offenders, the Inquiry did not cite any relevant research or practitioner evidence which points to the merits or otherwise of such an approach. </w:t>
      </w:r>
      <w:r w:rsidR="0074519B" w:rsidRPr="005F6151">
        <w:rPr>
          <w:rFonts w:cstheme="minorHAnsi"/>
        </w:rPr>
        <w:t xml:space="preserve">Nor did the inquiry refer to the </w:t>
      </w:r>
      <w:r w:rsidR="00BB0BCB" w:rsidRPr="005F6151">
        <w:rPr>
          <w:rFonts w:cstheme="minorHAnsi"/>
        </w:rPr>
        <w:t>DVDS</w:t>
      </w:r>
      <w:r w:rsidR="0074519B" w:rsidRPr="005F6151">
        <w:rPr>
          <w:rFonts w:cstheme="minorHAnsi"/>
        </w:rPr>
        <w:t xml:space="preserve"> underway in </w:t>
      </w:r>
      <w:r w:rsidR="008858C0" w:rsidRPr="005F6151">
        <w:rPr>
          <w:rFonts w:cstheme="minorHAnsi"/>
        </w:rPr>
        <w:t>SA</w:t>
      </w:r>
      <w:r w:rsidR="0074519B" w:rsidRPr="005F6151">
        <w:rPr>
          <w:rFonts w:cstheme="minorHAnsi"/>
        </w:rPr>
        <w:t xml:space="preserve"> or the scheme recently piloted – at the time of the Inquiry’s report – in NSW</w:t>
      </w:r>
      <w:r w:rsidR="00826068" w:rsidRPr="005F6151">
        <w:rPr>
          <w:rFonts w:cstheme="minorHAnsi"/>
        </w:rPr>
        <w:t>.</w:t>
      </w:r>
      <w:r w:rsidR="005D54D0" w:rsidRPr="005F6151">
        <w:rPr>
          <w:rFonts w:cstheme="minorHAnsi"/>
        </w:rPr>
        <w:t xml:space="preserve"> </w:t>
      </w:r>
      <w:r w:rsidR="0074519B" w:rsidRPr="005F6151">
        <w:rPr>
          <w:rFonts w:cstheme="minorHAnsi"/>
        </w:rPr>
        <w:t xml:space="preserve">Despite both representing schemes of similar </w:t>
      </w:r>
      <w:r w:rsidR="0035340D">
        <w:rPr>
          <w:rFonts w:cstheme="minorHAnsi"/>
        </w:rPr>
        <w:t>approach</w:t>
      </w:r>
      <w:r w:rsidR="0074519B" w:rsidRPr="005F6151">
        <w:rPr>
          <w:rFonts w:cstheme="minorHAnsi"/>
        </w:rPr>
        <w:t xml:space="preserve"> and scope, the connection between the two is absent from the Report and Inquiry process</w:t>
      </w:r>
      <w:r w:rsidR="00826068" w:rsidRPr="005F6151">
        <w:rPr>
          <w:rFonts w:cstheme="minorHAnsi"/>
        </w:rPr>
        <w:t xml:space="preserve">, although it is important to note that DVDS were only referred to in one submission </w:t>
      </w:r>
      <w:r w:rsidR="00826068" w:rsidRPr="005F6151">
        <w:rPr>
          <w:rFonts w:cstheme="minorHAnsi"/>
        </w:rPr>
        <w:lastRenderedPageBreak/>
        <w:t>(Submission 22: Australian Local Government Association) and one public hearing (by South Australia police)</w:t>
      </w:r>
      <w:r w:rsidR="0074519B" w:rsidRPr="005F6151">
        <w:rPr>
          <w:rFonts w:cstheme="minorHAnsi"/>
        </w:rPr>
        <w:t xml:space="preserve">. </w:t>
      </w:r>
    </w:p>
    <w:p w14:paraId="18E29B95" w14:textId="77777777" w:rsidR="000B293F" w:rsidRPr="005F6151" w:rsidRDefault="000B293F" w:rsidP="005F6151">
      <w:pPr>
        <w:spacing w:line="360" w:lineRule="auto"/>
        <w:jc w:val="both"/>
        <w:rPr>
          <w:rFonts w:cstheme="minorHAnsi"/>
        </w:rPr>
      </w:pPr>
    </w:p>
    <w:p w14:paraId="16B89E20" w14:textId="5BD4C454" w:rsidR="00824104" w:rsidRPr="005F6151" w:rsidRDefault="00D22E51" w:rsidP="005F6151">
      <w:pPr>
        <w:spacing w:line="360" w:lineRule="auto"/>
        <w:jc w:val="both"/>
        <w:rPr>
          <w:rFonts w:cstheme="minorHAnsi"/>
          <w:color w:val="000000" w:themeColor="text1"/>
        </w:rPr>
      </w:pPr>
      <w:r w:rsidRPr="005F6151">
        <w:rPr>
          <w:rFonts w:cstheme="minorHAnsi"/>
        </w:rPr>
        <w:t xml:space="preserve">The inclusion of this recommendation </w:t>
      </w:r>
      <w:r w:rsidR="007F2921">
        <w:rPr>
          <w:rFonts w:cstheme="minorHAnsi"/>
        </w:rPr>
        <w:t>provides</w:t>
      </w:r>
      <w:r w:rsidRPr="005F6151">
        <w:rPr>
          <w:rFonts w:cstheme="minorHAnsi"/>
        </w:rPr>
        <w:t xml:space="preserve"> an interesting point of discussion.</w:t>
      </w:r>
      <w:r w:rsidR="007A086E" w:rsidRPr="005F6151">
        <w:rPr>
          <w:rFonts w:cstheme="minorHAnsi"/>
        </w:rPr>
        <w:t xml:space="preserve"> Feminist researchers have</w:t>
      </w:r>
      <w:r w:rsidR="00446470" w:rsidRPr="005F6151">
        <w:rPr>
          <w:rFonts w:cstheme="minorHAnsi"/>
        </w:rPr>
        <w:t xml:space="preserve"> long</w:t>
      </w:r>
      <w:r w:rsidR="006A7EE7" w:rsidRPr="005F6151">
        <w:rPr>
          <w:rFonts w:cstheme="minorHAnsi"/>
        </w:rPr>
        <w:t xml:space="preserve"> </w:t>
      </w:r>
      <w:r w:rsidR="007A086E" w:rsidRPr="005F6151">
        <w:rPr>
          <w:rFonts w:cstheme="minorHAnsi"/>
        </w:rPr>
        <w:t xml:space="preserve">observed the influence of Father’s Rights Groups </w:t>
      </w:r>
      <w:r w:rsidR="004F4E28" w:rsidRPr="005F6151">
        <w:rPr>
          <w:rFonts w:cstheme="minorHAnsi"/>
        </w:rPr>
        <w:t xml:space="preserve">on family law reform </w:t>
      </w:r>
      <w:r w:rsidR="00CC1C84" w:rsidRPr="005F6151">
        <w:rPr>
          <w:rFonts w:cstheme="minorHAnsi"/>
        </w:rPr>
        <w:t xml:space="preserve">in Australia </w:t>
      </w:r>
      <w:r w:rsidR="004F4E28" w:rsidRPr="005F6151">
        <w:rPr>
          <w:rFonts w:cstheme="minorHAnsi"/>
        </w:rPr>
        <w:t>(see, for example</w:t>
      </w:r>
      <w:r w:rsidR="00D25109">
        <w:rPr>
          <w:rFonts w:cstheme="minorHAnsi"/>
        </w:rPr>
        <w:t>,</w:t>
      </w:r>
      <w:r w:rsidR="004F4E28" w:rsidRPr="005F6151">
        <w:rPr>
          <w:rFonts w:cstheme="minorHAnsi"/>
        </w:rPr>
        <w:t xml:space="preserve"> </w:t>
      </w:r>
      <w:proofErr w:type="spellStart"/>
      <w:r w:rsidR="004F4E28" w:rsidRPr="005F6151">
        <w:rPr>
          <w:rFonts w:cstheme="minorHAnsi"/>
        </w:rPr>
        <w:t>Graycar</w:t>
      </w:r>
      <w:proofErr w:type="spellEnd"/>
      <w:r w:rsidR="004F4E28" w:rsidRPr="005F6151">
        <w:rPr>
          <w:rFonts w:cstheme="minorHAnsi"/>
        </w:rPr>
        <w:t xml:space="preserve">, 2000). </w:t>
      </w:r>
      <w:r w:rsidR="00D6765E" w:rsidRPr="005F6151">
        <w:rPr>
          <w:rFonts w:cstheme="minorHAnsi"/>
        </w:rPr>
        <w:t>These group</w:t>
      </w:r>
      <w:r w:rsidR="001115D7" w:rsidRPr="005F6151">
        <w:rPr>
          <w:rFonts w:cstheme="minorHAnsi"/>
        </w:rPr>
        <w:t>s</w:t>
      </w:r>
      <w:r w:rsidR="00D6765E" w:rsidRPr="005F6151">
        <w:rPr>
          <w:rFonts w:cstheme="minorHAnsi"/>
        </w:rPr>
        <w:t xml:space="preserve"> have always </w:t>
      </w:r>
      <w:r w:rsidR="00123EA8">
        <w:rPr>
          <w:rFonts w:cstheme="minorHAnsi"/>
        </w:rPr>
        <w:t xml:space="preserve">been </w:t>
      </w:r>
      <w:r w:rsidR="00D6765E" w:rsidRPr="005F6151">
        <w:rPr>
          <w:rFonts w:cstheme="minorHAnsi"/>
        </w:rPr>
        <w:t xml:space="preserve">and continue to be vocal in </w:t>
      </w:r>
      <w:r w:rsidR="001115D7" w:rsidRPr="005F6151">
        <w:rPr>
          <w:rFonts w:cstheme="minorHAnsi"/>
        </w:rPr>
        <w:t>family-related law reform inquiries. Thus, despite the fact that</w:t>
      </w:r>
      <w:r w:rsidR="00E36661" w:rsidRPr="005F6151">
        <w:rPr>
          <w:rFonts w:cstheme="minorHAnsi"/>
        </w:rPr>
        <w:t xml:space="preserve"> changes to family law in 1996 and 2006 were largely the result of political pressure placed on the government by Father’s Rights Groups</w:t>
      </w:r>
      <w:r w:rsidR="00664BCA" w:rsidRPr="005F6151">
        <w:rPr>
          <w:rFonts w:cstheme="minorHAnsi"/>
        </w:rPr>
        <w:t xml:space="preserve"> (including acts of terrorism) </w:t>
      </w:r>
      <w:r w:rsidR="0010390A" w:rsidRPr="005F6151">
        <w:rPr>
          <w:rFonts w:cstheme="minorHAnsi"/>
        </w:rPr>
        <w:t xml:space="preserve">and a change of (conservative) government, the </w:t>
      </w:r>
      <w:r w:rsidR="00313CF6">
        <w:rPr>
          <w:rFonts w:cstheme="minorHAnsi"/>
        </w:rPr>
        <w:t>groups'</w:t>
      </w:r>
      <w:r w:rsidR="00313CF6" w:rsidRPr="005F6151">
        <w:rPr>
          <w:rFonts w:cstheme="minorHAnsi"/>
        </w:rPr>
        <w:t xml:space="preserve"> </w:t>
      </w:r>
      <w:r w:rsidR="0010390A" w:rsidRPr="005F6151">
        <w:rPr>
          <w:rFonts w:cstheme="minorHAnsi"/>
        </w:rPr>
        <w:t>concerns are at least well document</w:t>
      </w:r>
      <w:r w:rsidR="00F9294E" w:rsidRPr="005F6151">
        <w:rPr>
          <w:rFonts w:cstheme="minorHAnsi"/>
        </w:rPr>
        <w:t>ed</w:t>
      </w:r>
      <w:r w:rsidR="0010390A" w:rsidRPr="005F6151">
        <w:rPr>
          <w:rFonts w:cstheme="minorHAnsi"/>
        </w:rPr>
        <w:t xml:space="preserve"> across various family law inquiries</w:t>
      </w:r>
      <w:r w:rsidR="006A7EE7" w:rsidRPr="005F6151">
        <w:rPr>
          <w:rFonts w:cstheme="minorHAnsi"/>
        </w:rPr>
        <w:t xml:space="preserve"> – offering a basis for why reforms were recommended. </w:t>
      </w:r>
      <w:r w:rsidR="00CD0881" w:rsidRPr="005F6151">
        <w:rPr>
          <w:rFonts w:cstheme="minorHAnsi"/>
        </w:rPr>
        <w:t>The same cannot be said of the recent recommendation to</w:t>
      </w:r>
      <w:r w:rsidR="00824104" w:rsidRPr="005F6151">
        <w:rPr>
          <w:rFonts w:cstheme="minorHAnsi"/>
        </w:rPr>
        <w:t xml:space="preserve"> commission research to</w:t>
      </w:r>
      <w:r w:rsidR="00CD0881" w:rsidRPr="005F6151">
        <w:rPr>
          <w:rFonts w:cstheme="minorHAnsi"/>
        </w:rPr>
        <w:t xml:space="preserve"> explore the merits </w:t>
      </w:r>
      <w:r w:rsidR="00D2638B" w:rsidRPr="005F6151">
        <w:rPr>
          <w:rFonts w:cstheme="minorHAnsi"/>
        </w:rPr>
        <w:t xml:space="preserve">and risks </w:t>
      </w:r>
      <w:r w:rsidR="00CD0881" w:rsidRPr="005F6151">
        <w:rPr>
          <w:rFonts w:cstheme="minorHAnsi"/>
        </w:rPr>
        <w:t xml:space="preserve">of a </w:t>
      </w:r>
      <w:r w:rsidR="00824104" w:rsidRPr="005F6151">
        <w:rPr>
          <w:rFonts w:cstheme="minorHAnsi"/>
        </w:rPr>
        <w:t xml:space="preserve">DFV </w:t>
      </w:r>
      <w:r w:rsidR="00CD0881" w:rsidRPr="005F6151">
        <w:rPr>
          <w:rFonts w:cstheme="minorHAnsi"/>
        </w:rPr>
        <w:t>public</w:t>
      </w:r>
      <w:r w:rsidR="00824104" w:rsidRPr="005F6151">
        <w:rPr>
          <w:rFonts w:cstheme="minorHAnsi"/>
        </w:rPr>
        <w:t xml:space="preserve"> offender</w:t>
      </w:r>
      <w:r w:rsidR="00CD0881" w:rsidRPr="005F6151">
        <w:rPr>
          <w:rFonts w:cstheme="minorHAnsi"/>
        </w:rPr>
        <w:t xml:space="preserve"> register. </w:t>
      </w:r>
      <w:r w:rsidR="00C4289E" w:rsidRPr="005F6151">
        <w:rPr>
          <w:rFonts w:cstheme="minorHAnsi"/>
        </w:rPr>
        <w:t xml:space="preserve">The sixth category of law reform process is often associated with </w:t>
      </w:r>
      <w:r w:rsidR="00241900" w:rsidRPr="005F6151">
        <w:rPr>
          <w:rFonts w:cstheme="minorHAnsi"/>
        </w:rPr>
        <w:t xml:space="preserve">a slow, considered and evidence-based </w:t>
      </w:r>
      <w:r w:rsidR="0082593A" w:rsidRPr="005F6151">
        <w:rPr>
          <w:rFonts w:cstheme="minorHAnsi"/>
        </w:rPr>
        <w:t>consideration of the issue at hand</w:t>
      </w:r>
      <w:r w:rsidR="000003BD" w:rsidRPr="005F6151">
        <w:rPr>
          <w:rFonts w:cstheme="minorHAnsi"/>
        </w:rPr>
        <w:t xml:space="preserve">, with recommendations born out of submissions, expert testimony and </w:t>
      </w:r>
      <w:r w:rsidR="00517BA2" w:rsidRPr="005F6151">
        <w:rPr>
          <w:rFonts w:cstheme="minorHAnsi"/>
        </w:rPr>
        <w:t xml:space="preserve">research. </w:t>
      </w:r>
      <w:r w:rsidR="00535DA0" w:rsidRPr="005F6151">
        <w:rPr>
          <w:rFonts w:cstheme="minorHAnsi"/>
        </w:rPr>
        <w:t>What does it mean when commissions</w:t>
      </w:r>
      <w:r w:rsidR="00E61793" w:rsidRPr="005F6151">
        <w:rPr>
          <w:rFonts w:cstheme="minorHAnsi"/>
        </w:rPr>
        <w:t xml:space="preserve"> or committees</w:t>
      </w:r>
      <w:r w:rsidR="00535DA0" w:rsidRPr="005F6151">
        <w:rPr>
          <w:rFonts w:cstheme="minorHAnsi"/>
        </w:rPr>
        <w:t xml:space="preserve"> make recommendations</w:t>
      </w:r>
      <w:r w:rsidR="00D26F80" w:rsidRPr="005F6151">
        <w:rPr>
          <w:rFonts w:cstheme="minorHAnsi"/>
        </w:rPr>
        <w:t xml:space="preserve"> disconnected from such evidence?</w:t>
      </w:r>
      <w:r w:rsidR="000D1298" w:rsidRPr="005F6151">
        <w:rPr>
          <w:rFonts w:cstheme="minorHAnsi"/>
        </w:rPr>
        <w:t xml:space="preserve"> </w:t>
      </w:r>
      <w:r w:rsidR="00A051BE" w:rsidRPr="005F6151">
        <w:rPr>
          <w:rFonts w:cstheme="minorHAnsi"/>
        </w:rPr>
        <w:t xml:space="preserve">Morgan (2012) reminds us of the importance of </w:t>
      </w:r>
      <w:r w:rsidR="00E61FF1" w:rsidRPr="005F6151">
        <w:rPr>
          <w:rFonts w:cstheme="minorHAnsi"/>
        </w:rPr>
        <w:t xml:space="preserve">social context in law reform processes – yet, the extent to which this recommendation reflects the social context of </w:t>
      </w:r>
      <w:r w:rsidR="00117268" w:rsidRPr="005F6151">
        <w:rPr>
          <w:rFonts w:cstheme="minorHAnsi"/>
        </w:rPr>
        <w:t>DFV</w:t>
      </w:r>
      <w:r w:rsidR="00E61FF1" w:rsidRPr="005F6151">
        <w:rPr>
          <w:rFonts w:cstheme="minorHAnsi"/>
        </w:rPr>
        <w:t xml:space="preserve"> is </w:t>
      </w:r>
      <w:r w:rsidR="0043010E" w:rsidRPr="005F6151">
        <w:rPr>
          <w:rFonts w:cstheme="minorHAnsi"/>
        </w:rPr>
        <w:t>questionabl</w:t>
      </w:r>
      <w:r w:rsidR="001E0221" w:rsidRPr="005F6151">
        <w:rPr>
          <w:rFonts w:cstheme="minorHAnsi"/>
        </w:rPr>
        <w:t>e</w:t>
      </w:r>
      <w:r w:rsidR="0043010E" w:rsidRPr="005F6151">
        <w:rPr>
          <w:rFonts w:cstheme="minorHAnsi"/>
        </w:rPr>
        <w:t xml:space="preserve"> due to the fact that it was not widely raised in submissions to the </w:t>
      </w:r>
      <w:r w:rsidR="00824104" w:rsidRPr="005F6151">
        <w:rPr>
          <w:rFonts w:cstheme="minorHAnsi"/>
        </w:rPr>
        <w:t>inquiry</w:t>
      </w:r>
      <w:r w:rsidR="0043010E" w:rsidRPr="005F6151">
        <w:rPr>
          <w:rFonts w:cstheme="minorHAnsi"/>
        </w:rPr>
        <w:t xml:space="preserve">. </w:t>
      </w:r>
      <w:r w:rsidR="00C627FA" w:rsidRPr="005F6151">
        <w:rPr>
          <w:rFonts w:cstheme="minorHAnsi"/>
          <w:color w:val="000000" w:themeColor="text1"/>
        </w:rPr>
        <w:t xml:space="preserve">The recommendation itself speaks to the early observations of </w:t>
      </w:r>
      <w:proofErr w:type="spellStart"/>
      <w:r w:rsidR="00C627FA" w:rsidRPr="005F6151">
        <w:rPr>
          <w:rFonts w:cstheme="minorHAnsi"/>
          <w:color w:val="000000" w:themeColor="text1"/>
        </w:rPr>
        <w:t>Graycar</w:t>
      </w:r>
      <w:proofErr w:type="spellEnd"/>
      <w:r w:rsidR="00C627FA" w:rsidRPr="005F6151">
        <w:rPr>
          <w:rFonts w:cstheme="minorHAnsi"/>
          <w:color w:val="000000" w:themeColor="text1"/>
        </w:rPr>
        <w:t xml:space="preserve"> and Morgan (2005: 403) on the over-reliance on recommendations for legislative change in Australian law reform inquiries – a focus that often comes ‘at the expense of other ways of engaging with change’. </w:t>
      </w:r>
      <w:r w:rsidR="006A0671" w:rsidRPr="005F6151">
        <w:rPr>
          <w:rFonts w:cstheme="minorHAnsi"/>
          <w:color w:val="000000" w:themeColor="text1"/>
        </w:rPr>
        <w:t>This does not</w:t>
      </w:r>
      <w:r w:rsidR="00761B27" w:rsidRPr="005F6151">
        <w:rPr>
          <w:rFonts w:cstheme="minorHAnsi"/>
          <w:color w:val="000000" w:themeColor="text1"/>
        </w:rPr>
        <w:t>, however,</w:t>
      </w:r>
      <w:r w:rsidR="006A0671" w:rsidRPr="005F6151">
        <w:rPr>
          <w:rFonts w:cstheme="minorHAnsi"/>
          <w:color w:val="000000" w:themeColor="text1"/>
        </w:rPr>
        <w:t xml:space="preserve"> explain why the recommendation was made despite its absence in submissions. </w:t>
      </w:r>
    </w:p>
    <w:p w14:paraId="0F94FFF9" w14:textId="77777777" w:rsidR="00824104" w:rsidRPr="005F6151" w:rsidRDefault="00824104" w:rsidP="005F6151">
      <w:pPr>
        <w:spacing w:line="360" w:lineRule="auto"/>
        <w:jc w:val="both"/>
        <w:rPr>
          <w:rFonts w:cstheme="minorHAnsi"/>
          <w:color w:val="000000" w:themeColor="text1"/>
        </w:rPr>
      </w:pPr>
    </w:p>
    <w:p w14:paraId="1723C91D" w14:textId="5F6FBF47" w:rsidR="0022591F" w:rsidRPr="005F6151" w:rsidRDefault="00C53129" w:rsidP="005F6151">
      <w:pPr>
        <w:spacing w:line="360" w:lineRule="auto"/>
        <w:jc w:val="both"/>
        <w:rPr>
          <w:rFonts w:cstheme="minorHAnsi"/>
          <w:color w:val="000000" w:themeColor="text1"/>
        </w:rPr>
      </w:pPr>
      <w:r w:rsidRPr="004723CA">
        <w:rPr>
          <w:rFonts w:cstheme="minorHAnsi"/>
          <w:lang w:val="fr-FR"/>
        </w:rPr>
        <w:t xml:space="preserve">As </w:t>
      </w:r>
      <w:proofErr w:type="spellStart"/>
      <w:r w:rsidRPr="004723CA">
        <w:rPr>
          <w:rFonts w:cstheme="minorHAnsi"/>
          <w:lang w:val="fr-FR"/>
        </w:rPr>
        <w:t>above</w:t>
      </w:r>
      <w:proofErr w:type="spellEnd"/>
      <w:r w:rsidRPr="004723CA">
        <w:rPr>
          <w:rFonts w:cstheme="minorHAnsi"/>
          <w:lang w:val="fr-FR"/>
        </w:rPr>
        <w:t xml:space="preserve">, McNamara et al. </w:t>
      </w:r>
      <w:r w:rsidRPr="005F6151">
        <w:rPr>
          <w:rFonts w:cstheme="minorHAnsi"/>
        </w:rPr>
        <w:t>(20</w:t>
      </w:r>
      <w:r w:rsidR="00541D42" w:rsidRPr="005F6151">
        <w:rPr>
          <w:rFonts w:cstheme="minorHAnsi"/>
        </w:rPr>
        <w:t>19</w:t>
      </w:r>
      <w:r w:rsidRPr="005F6151">
        <w:rPr>
          <w:rFonts w:cstheme="minorHAnsi"/>
        </w:rPr>
        <w:t xml:space="preserve">) describe parliamentary committees as </w:t>
      </w:r>
      <w:r w:rsidR="0044145B" w:rsidRPr="005F6151">
        <w:rPr>
          <w:rFonts w:cstheme="minorHAnsi"/>
        </w:rPr>
        <w:t>having an ‘arm’s length’</w:t>
      </w:r>
      <w:r w:rsidR="00075CFF">
        <w:rPr>
          <w:rFonts w:cstheme="minorHAnsi"/>
        </w:rPr>
        <w:t xml:space="preserve"> </w:t>
      </w:r>
      <w:r w:rsidR="0044145B" w:rsidRPr="005F6151">
        <w:rPr>
          <w:rFonts w:cstheme="minorHAnsi"/>
        </w:rPr>
        <w:t>f</w:t>
      </w:r>
      <w:r w:rsidR="00075CFF">
        <w:rPr>
          <w:rFonts w:cstheme="minorHAnsi"/>
        </w:rPr>
        <w:t>rom</w:t>
      </w:r>
      <w:r w:rsidR="0044145B" w:rsidRPr="005F6151">
        <w:rPr>
          <w:rFonts w:cstheme="minorHAnsi"/>
        </w:rPr>
        <w:t xml:space="preserve"> authority</w:t>
      </w:r>
      <w:r w:rsidR="006B439F" w:rsidRPr="005F6151">
        <w:rPr>
          <w:rFonts w:cstheme="minorHAnsi"/>
        </w:rPr>
        <w:t xml:space="preserve"> and a ‘high’ degree of independence from government. However, </w:t>
      </w:r>
      <w:r w:rsidR="00D62A86" w:rsidRPr="005F6151">
        <w:rPr>
          <w:rFonts w:cstheme="minorHAnsi"/>
        </w:rPr>
        <w:t xml:space="preserve">it may be that this degree of independence is lesser than that of, for example, a Royal Commission. </w:t>
      </w:r>
      <w:r w:rsidR="00117268" w:rsidRPr="005F6151">
        <w:rPr>
          <w:rFonts w:cstheme="minorHAnsi"/>
        </w:rPr>
        <w:t>Whilst this may</w:t>
      </w:r>
      <w:r w:rsidR="00D359DB">
        <w:rPr>
          <w:rFonts w:cstheme="minorHAnsi"/>
        </w:rPr>
        <w:t>, in theory,</w:t>
      </w:r>
      <w:r w:rsidR="00856549" w:rsidRPr="005F6151">
        <w:rPr>
          <w:rFonts w:cstheme="minorHAnsi"/>
        </w:rPr>
        <w:t xml:space="preserve"> help us understand where recommendation 83 came from</w:t>
      </w:r>
      <w:r w:rsidR="00117268" w:rsidRPr="005F6151">
        <w:rPr>
          <w:rFonts w:cstheme="minorHAnsi"/>
        </w:rPr>
        <w:t xml:space="preserve">, </w:t>
      </w:r>
      <w:r w:rsidR="00F21083" w:rsidRPr="005F6151">
        <w:rPr>
          <w:rFonts w:cstheme="minorHAnsi"/>
        </w:rPr>
        <w:t xml:space="preserve">the recommendation was in no way </w:t>
      </w:r>
      <w:r w:rsidR="00FE77DE" w:rsidRPr="005F6151">
        <w:rPr>
          <w:rFonts w:cstheme="minorHAnsi"/>
        </w:rPr>
        <w:t xml:space="preserve">harnessed by the then-government in the </w:t>
      </w:r>
      <w:r w:rsidR="00137609">
        <w:rPr>
          <w:rFonts w:cstheme="minorHAnsi"/>
        </w:rPr>
        <w:t>lead-up</w:t>
      </w:r>
      <w:r w:rsidR="00FE77DE" w:rsidRPr="005F6151">
        <w:rPr>
          <w:rFonts w:cstheme="minorHAnsi"/>
        </w:rPr>
        <w:t xml:space="preserve"> to the 2022 federal election, nor was it</w:t>
      </w:r>
      <w:r w:rsidR="006D296B" w:rsidRPr="005F6151">
        <w:rPr>
          <w:rFonts w:cstheme="minorHAnsi"/>
        </w:rPr>
        <w:t xml:space="preserve"> widely discussed in the media. </w:t>
      </w:r>
      <w:r w:rsidR="00824104" w:rsidRPr="005F6151">
        <w:rPr>
          <w:rFonts w:cstheme="minorHAnsi"/>
        </w:rPr>
        <w:t>To this end, t</w:t>
      </w:r>
      <w:r w:rsidR="00304AB0" w:rsidRPr="005F6151">
        <w:rPr>
          <w:rFonts w:cstheme="minorHAnsi"/>
        </w:rPr>
        <w:t xml:space="preserve">he recommendation’s origins remain </w:t>
      </w:r>
      <w:r w:rsidR="00D43175" w:rsidRPr="005F6151">
        <w:rPr>
          <w:rFonts w:cstheme="minorHAnsi"/>
        </w:rPr>
        <w:t>somewhat of a</w:t>
      </w:r>
      <w:r w:rsidR="00304AB0" w:rsidRPr="005F6151">
        <w:rPr>
          <w:rFonts w:cstheme="minorHAnsi"/>
        </w:rPr>
        <w:t xml:space="preserve"> mystery</w:t>
      </w:r>
      <w:r w:rsidR="005C3586" w:rsidRPr="005F6151">
        <w:rPr>
          <w:rFonts w:cstheme="minorHAnsi"/>
        </w:rPr>
        <w:t>.</w:t>
      </w:r>
      <w:r w:rsidR="00304AB0" w:rsidRPr="005F6151">
        <w:rPr>
          <w:rFonts w:cstheme="minorHAnsi"/>
        </w:rPr>
        <w:t xml:space="preserve"> </w:t>
      </w:r>
      <w:r w:rsidR="00BD3CE8" w:rsidRPr="005F6151">
        <w:rPr>
          <w:rFonts w:cstheme="minorHAnsi"/>
          <w:color w:val="000000" w:themeColor="text1"/>
        </w:rPr>
        <w:t xml:space="preserve"> </w:t>
      </w:r>
      <w:r w:rsidR="005C3586" w:rsidRPr="005F6151">
        <w:rPr>
          <w:rFonts w:cstheme="minorHAnsi"/>
          <w:color w:val="000000" w:themeColor="text1"/>
        </w:rPr>
        <w:t>H</w:t>
      </w:r>
      <w:r w:rsidR="00BD3CE8" w:rsidRPr="005F6151">
        <w:rPr>
          <w:rFonts w:cstheme="minorHAnsi"/>
          <w:color w:val="000000" w:themeColor="text1"/>
        </w:rPr>
        <w:t>owever, it does still represent another process through which policy reform has emerged in Australia – and in the authors</w:t>
      </w:r>
      <w:r w:rsidR="00A86634" w:rsidRPr="005F6151">
        <w:rPr>
          <w:rFonts w:cstheme="minorHAnsi"/>
          <w:color w:val="000000" w:themeColor="text1"/>
        </w:rPr>
        <w:t>’</w:t>
      </w:r>
      <w:r w:rsidR="00BD3CE8" w:rsidRPr="005F6151">
        <w:rPr>
          <w:rFonts w:cstheme="minorHAnsi"/>
          <w:color w:val="000000" w:themeColor="text1"/>
        </w:rPr>
        <w:t xml:space="preserve"> views, perhaps the most worrying approach whereby </w:t>
      </w:r>
      <w:r w:rsidR="00137609">
        <w:rPr>
          <w:rFonts w:cstheme="minorHAnsi"/>
          <w:color w:val="000000" w:themeColor="text1"/>
        </w:rPr>
        <w:t>instead of</w:t>
      </w:r>
      <w:r w:rsidR="00BD3CE8" w:rsidRPr="005F6151">
        <w:rPr>
          <w:rFonts w:cstheme="minorHAnsi"/>
          <w:color w:val="000000" w:themeColor="text1"/>
        </w:rPr>
        <w:t xml:space="preserve"> </w:t>
      </w:r>
      <w:r w:rsidR="00BD3CE8" w:rsidRPr="005F6151">
        <w:rPr>
          <w:rFonts w:cstheme="minorHAnsi"/>
          <w:color w:val="000000" w:themeColor="text1"/>
        </w:rPr>
        <w:lastRenderedPageBreak/>
        <w:t xml:space="preserve">evidence </w:t>
      </w:r>
      <w:r w:rsidR="008C7056" w:rsidRPr="005F6151">
        <w:rPr>
          <w:rFonts w:cstheme="minorHAnsi"/>
          <w:color w:val="000000" w:themeColor="text1"/>
        </w:rPr>
        <w:t>and/or</w:t>
      </w:r>
      <w:r w:rsidR="00BD3CE8" w:rsidRPr="005F6151">
        <w:rPr>
          <w:rFonts w:cstheme="minorHAnsi"/>
          <w:color w:val="000000" w:themeColor="text1"/>
        </w:rPr>
        <w:t xml:space="preserve"> </w:t>
      </w:r>
      <w:r w:rsidR="00E34B9C" w:rsidRPr="005F6151">
        <w:rPr>
          <w:rFonts w:cstheme="minorHAnsi"/>
          <w:color w:val="000000" w:themeColor="text1"/>
        </w:rPr>
        <w:t>advocacy</w:t>
      </w:r>
      <w:r w:rsidR="00137609">
        <w:rPr>
          <w:rFonts w:cstheme="minorHAnsi"/>
          <w:color w:val="000000" w:themeColor="text1"/>
        </w:rPr>
        <w:t>,</w:t>
      </w:r>
      <w:r w:rsidR="00E34B9C" w:rsidRPr="005F6151">
        <w:rPr>
          <w:rFonts w:cstheme="minorHAnsi"/>
          <w:color w:val="000000" w:themeColor="text1"/>
        </w:rPr>
        <w:t xml:space="preserve"> punitive approaches to addressing forms of </w:t>
      </w:r>
      <w:r w:rsidR="00B42787" w:rsidRPr="005F6151">
        <w:rPr>
          <w:rFonts w:cstheme="minorHAnsi"/>
          <w:color w:val="000000" w:themeColor="text1"/>
        </w:rPr>
        <w:t>gender-based</w:t>
      </w:r>
      <w:r w:rsidR="00E34B9C" w:rsidRPr="005F6151">
        <w:rPr>
          <w:rFonts w:cstheme="minorHAnsi"/>
          <w:color w:val="000000" w:themeColor="text1"/>
        </w:rPr>
        <w:t xml:space="preserve"> violence can gain traction. </w:t>
      </w:r>
      <w:r w:rsidR="005C3586" w:rsidRPr="005F6151">
        <w:rPr>
          <w:rFonts w:cstheme="minorHAnsi"/>
          <w:color w:val="000000" w:themeColor="text1"/>
        </w:rPr>
        <w:t xml:space="preserve">Moreover, </w:t>
      </w:r>
      <w:r w:rsidR="002376D4" w:rsidRPr="005F6151">
        <w:rPr>
          <w:rFonts w:cstheme="minorHAnsi"/>
          <w:color w:val="000000" w:themeColor="text1"/>
        </w:rPr>
        <w:t>McNamara and colleagues</w:t>
      </w:r>
      <w:r w:rsidR="005C3586" w:rsidRPr="005F6151">
        <w:rPr>
          <w:rFonts w:cstheme="minorHAnsi"/>
          <w:color w:val="000000" w:themeColor="text1"/>
        </w:rPr>
        <w:t xml:space="preserve"> (2019: 393)</w:t>
      </w:r>
      <w:r w:rsidR="002376D4" w:rsidRPr="005F6151">
        <w:rPr>
          <w:rFonts w:cstheme="minorHAnsi"/>
          <w:color w:val="000000" w:themeColor="text1"/>
        </w:rPr>
        <w:t xml:space="preserve"> ‘resisted the urge to produce a more fine-</w:t>
      </w:r>
      <w:r w:rsidR="00C7179B" w:rsidRPr="005F6151">
        <w:rPr>
          <w:rFonts w:cstheme="minorHAnsi"/>
          <w:color w:val="000000" w:themeColor="text1"/>
        </w:rPr>
        <w:t>grained</w:t>
      </w:r>
      <w:r w:rsidR="002376D4" w:rsidRPr="005F6151">
        <w:rPr>
          <w:rFonts w:cstheme="minorHAnsi"/>
          <w:color w:val="000000" w:themeColor="text1"/>
        </w:rPr>
        <w:t xml:space="preserve"> typology</w:t>
      </w:r>
      <w:r w:rsidR="00C7179B" w:rsidRPr="005F6151">
        <w:rPr>
          <w:rFonts w:cstheme="minorHAnsi"/>
          <w:color w:val="000000" w:themeColor="text1"/>
        </w:rPr>
        <w:t xml:space="preserve"> with a larger number of categories’ </w:t>
      </w:r>
      <w:r w:rsidR="007D7E7D" w:rsidRPr="005F6151">
        <w:rPr>
          <w:rFonts w:cstheme="minorHAnsi"/>
          <w:color w:val="000000" w:themeColor="text1"/>
        </w:rPr>
        <w:t>and this</w:t>
      </w:r>
      <w:r w:rsidR="00BB208F" w:rsidRPr="005F6151">
        <w:rPr>
          <w:rFonts w:cstheme="minorHAnsi"/>
          <w:color w:val="000000" w:themeColor="text1"/>
        </w:rPr>
        <w:t xml:space="preserve"> example highlights some of the limitations of using a </w:t>
      </w:r>
      <w:r w:rsidR="00330190" w:rsidRPr="005F6151">
        <w:rPr>
          <w:rFonts w:cstheme="minorHAnsi"/>
          <w:color w:val="000000" w:themeColor="text1"/>
        </w:rPr>
        <w:t>more broadly developed</w:t>
      </w:r>
      <w:r w:rsidR="00342F1C" w:rsidRPr="005F6151">
        <w:rPr>
          <w:rFonts w:cstheme="minorHAnsi"/>
          <w:color w:val="000000" w:themeColor="text1"/>
        </w:rPr>
        <w:t xml:space="preserve"> typology. </w:t>
      </w:r>
      <w:r w:rsidR="00C176C7" w:rsidRPr="005F6151">
        <w:rPr>
          <w:rFonts w:cstheme="minorHAnsi"/>
          <w:color w:val="000000" w:themeColor="text1"/>
        </w:rPr>
        <w:t>Recommendation 83 may be an anomaly of course</w:t>
      </w:r>
      <w:r w:rsidR="00824104" w:rsidRPr="005F6151">
        <w:rPr>
          <w:rFonts w:cstheme="minorHAnsi"/>
          <w:color w:val="000000" w:themeColor="text1"/>
        </w:rPr>
        <w:t>.</w:t>
      </w:r>
      <w:r w:rsidR="00E45E05" w:rsidRPr="005F6151">
        <w:rPr>
          <w:rFonts w:cstheme="minorHAnsi"/>
          <w:color w:val="000000" w:themeColor="text1"/>
        </w:rPr>
        <w:t xml:space="preserve"> However, it is worth observing the practices of future standing committees and the processes through which they make recommendations for reform</w:t>
      </w:r>
      <w:r w:rsidR="005C3586" w:rsidRPr="005F6151">
        <w:rPr>
          <w:rFonts w:cstheme="minorHAnsi"/>
          <w:color w:val="000000" w:themeColor="text1"/>
        </w:rPr>
        <w:t xml:space="preserve"> to see whether this is the case</w:t>
      </w:r>
      <w:r w:rsidR="00E45E05" w:rsidRPr="005F6151">
        <w:rPr>
          <w:rFonts w:cstheme="minorHAnsi"/>
          <w:color w:val="000000" w:themeColor="text1"/>
        </w:rPr>
        <w:t xml:space="preserve">. </w:t>
      </w:r>
    </w:p>
    <w:p w14:paraId="333E4381" w14:textId="77777777" w:rsidR="00E45E05" w:rsidRPr="005F6151" w:rsidRDefault="00E45E05" w:rsidP="005F6151">
      <w:pPr>
        <w:spacing w:line="360" w:lineRule="auto"/>
        <w:jc w:val="both"/>
        <w:rPr>
          <w:rFonts w:cstheme="minorHAnsi"/>
          <w:color w:val="000000" w:themeColor="text1"/>
        </w:rPr>
      </w:pPr>
    </w:p>
    <w:p w14:paraId="7640F674" w14:textId="18343A5E" w:rsidR="00C44033" w:rsidRPr="005F6151" w:rsidRDefault="008C7056" w:rsidP="005F6151">
      <w:pPr>
        <w:spacing w:line="360" w:lineRule="auto"/>
        <w:jc w:val="both"/>
        <w:rPr>
          <w:rFonts w:cstheme="minorHAnsi"/>
          <w:color w:val="000000" w:themeColor="text1"/>
        </w:rPr>
      </w:pPr>
      <w:r w:rsidRPr="005F6151">
        <w:rPr>
          <w:rFonts w:cstheme="minorHAnsi"/>
          <w:color w:val="000000" w:themeColor="text1"/>
        </w:rPr>
        <w:t>It remains to be seen whether or not a policy champion for this approach</w:t>
      </w:r>
      <w:r w:rsidR="00FB119A" w:rsidRPr="005F6151">
        <w:rPr>
          <w:rFonts w:cstheme="minorHAnsi"/>
          <w:color w:val="000000" w:themeColor="text1"/>
        </w:rPr>
        <w:t xml:space="preserve"> (Bainbridge, 2021)</w:t>
      </w:r>
      <w:r w:rsidR="009A5550" w:rsidRPr="005F6151">
        <w:rPr>
          <w:rFonts w:cstheme="minorHAnsi"/>
          <w:color w:val="000000" w:themeColor="text1"/>
        </w:rPr>
        <w:t xml:space="preserve"> will </w:t>
      </w:r>
      <w:r w:rsidR="00D630A0" w:rsidRPr="005F6151">
        <w:rPr>
          <w:rFonts w:cstheme="minorHAnsi"/>
          <w:color w:val="000000" w:themeColor="text1"/>
        </w:rPr>
        <w:t>emerge,</w:t>
      </w:r>
      <w:r w:rsidR="00FB119A" w:rsidRPr="005F6151">
        <w:rPr>
          <w:rFonts w:cstheme="minorHAnsi"/>
          <w:color w:val="000000" w:themeColor="text1"/>
        </w:rPr>
        <w:t xml:space="preserve"> but</w:t>
      </w:r>
      <w:r w:rsidRPr="005F6151">
        <w:rPr>
          <w:rFonts w:cstheme="minorHAnsi"/>
          <w:color w:val="000000" w:themeColor="text1"/>
        </w:rPr>
        <w:t xml:space="preserve"> </w:t>
      </w:r>
      <w:r w:rsidR="00FB119A" w:rsidRPr="005F6151">
        <w:rPr>
          <w:rFonts w:cstheme="minorHAnsi"/>
          <w:color w:val="000000" w:themeColor="text1"/>
        </w:rPr>
        <w:t>i</w:t>
      </w:r>
      <w:r w:rsidR="00E34B9C" w:rsidRPr="005F6151">
        <w:rPr>
          <w:rFonts w:cstheme="minorHAnsi"/>
          <w:color w:val="000000" w:themeColor="text1"/>
        </w:rPr>
        <w:t xml:space="preserve">t is notable that in the period of time </w:t>
      </w:r>
      <w:r w:rsidR="00E46E55" w:rsidRPr="005F6151">
        <w:rPr>
          <w:rFonts w:cstheme="minorHAnsi"/>
          <w:color w:val="000000" w:themeColor="text1"/>
        </w:rPr>
        <w:t>since the Inquiry’s report</w:t>
      </w:r>
      <w:r w:rsidR="00FE6858">
        <w:rPr>
          <w:rFonts w:cstheme="minorHAnsi"/>
          <w:color w:val="000000" w:themeColor="text1"/>
        </w:rPr>
        <w:t>,</w:t>
      </w:r>
      <w:r w:rsidR="00E46E55" w:rsidRPr="005F6151">
        <w:rPr>
          <w:rFonts w:cstheme="minorHAnsi"/>
          <w:color w:val="000000" w:themeColor="text1"/>
        </w:rPr>
        <w:t xml:space="preserve"> several countries have moved to introduce </w:t>
      </w:r>
      <w:r w:rsidR="00CB6EE6">
        <w:rPr>
          <w:rFonts w:cstheme="minorHAnsi"/>
          <w:color w:val="000000" w:themeColor="text1"/>
        </w:rPr>
        <w:t xml:space="preserve">similar </w:t>
      </w:r>
      <w:r w:rsidR="00E46E55" w:rsidRPr="005F6151">
        <w:rPr>
          <w:rFonts w:cstheme="minorHAnsi"/>
          <w:color w:val="000000" w:themeColor="text1"/>
        </w:rPr>
        <w:t xml:space="preserve">schemes. </w:t>
      </w:r>
      <w:r w:rsidR="00C44033" w:rsidRPr="005F6151">
        <w:rPr>
          <w:rFonts w:cstheme="minorHAnsi"/>
          <w:color w:val="000000" w:themeColor="text1"/>
        </w:rPr>
        <w:t>For example, in England</w:t>
      </w:r>
      <w:r w:rsidR="00FE6858">
        <w:rPr>
          <w:rFonts w:cstheme="minorHAnsi"/>
          <w:color w:val="000000" w:themeColor="text1"/>
        </w:rPr>
        <w:t>,</w:t>
      </w:r>
      <w:r w:rsidR="000A45AC" w:rsidRPr="005F6151">
        <w:rPr>
          <w:rFonts w:cstheme="minorHAnsi"/>
          <w:color w:val="000000" w:themeColor="text1"/>
        </w:rPr>
        <w:t xml:space="preserve"> members of parliament have committed to the introduction of</w:t>
      </w:r>
      <w:r w:rsidR="00C44033" w:rsidRPr="005F6151">
        <w:rPr>
          <w:rFonts w:cstheme="minorHAnsi"/>
          <w:color w:val="000000" w:themeColor="text1"/>
        </w:rPr>
        <w:t xml:space="preserve"> </w:t>
      </w:r>
      <w:r w:rsidR="005004EA" w:rsidRPr="005F6151">
        <w:rPr>
          <w:rFonts w:cstheme="minorHAnsi"/>
          <w:color w:val="000000" w:themeColor="text1"/>
        </w:rPr>
        <w:t>a high-risk domestic abuser register, modelled o</w:t>
      </w:r>
      <w:r w:rsidR="00094FEA">
        <w:rPr>
          <w:rFonts w:cstheme="minorHAnsi"/>
          <w:color w:val="000000" w:themeColor="text1"/>
        </w:rPr>
        <w:t>n</w:t>
      </w:r>
      <w:r w:rsidR="005004EA" w:rsidRPr="005F6151">
        <w:rPr>
          <w:rFonts w:cstheme="minorHAnsi"/>
          <w:color w:val="000000" w:themeColor="text1"/>
        </w:rPr>
        <w:t xml:space="preserve"> </w:t>
      </w:r>
      <w:r w:rsidR="00930C52" w:rsidRPr="005F6151">
        <w:rPr>
          <w:rFonts w:cstheme="minorHAnsi"/>
          <w:color w:val="000000" w:themeColor="text1"/>
        </w:rPr>
        <w:t xml:space="preserve">the </w:t>
      </w:r>
      <w:r w:rsidR="005004EA" w:rsidRPr="005F6151">
        <w:rPr>
          <w:rFonts w:cstheme="minorHAnsi"/>
          <w:color w:val="000000" w:themeColor="text1"/>
        </w:rPr>
        <w:t>sexual offender register</w:t>
      </w:r>
      <w:r w:rsidR="008B3D26" w:rsidRPr="005F6151">
        <w:rPr>
          <w:rFonts w:cstheme="minorHAnsi"/>
          <w:color w:val="000000" w:themeColor="text1"/>
        </w:rPr>
        <w:t xml:space="preserve"> (</w:t>
      </w:r>
      <w:r w:rsidR="00FB7AD8" w:rsidRPr="005F6151">
        <w:rPr>
          <w:rFonts w:cstheme="minorHAnsi"/>
          <w:color w:val="000000" w:themeColor="text1"/>
        </w:rPr>
        <w:t>UK Government, 2023</w:t>
      </w:r>
      <w:r w:rsidR="008B3D26" w:rsidRPr="005F6151">
        <w:rPr>
          <w:rFonts w:cstheme="minorHAnsi"/>
          <w:color w:val="000000" w:themeColor="text1"/>
        </w:rPr>
        <w:t>)</w:t>
      </w:r>
      <w:r w:rsidR="005004EA" w:rsidRPr="005F6151">
        <w:rPr>
          <w:rFonts w:cstheme="minorHAnsi"/>
          <w:color w:val="000000" w:themeColor="text1"/>
        </w:rPr>
        <w:t xml:space="preserve">. </w:t>
      </w:r>
      <w:r w:rsidR="000A45AC" w:rsidRPr="005F6151">
        <w:rPr>
          <w:rFonts w:cstheme="minorHAnsi"/>
          <w:color w:val="000000" w:themeColor="text1"/>
        </w:rPr>
        <w:t>Th</w:t>
      </w:r>
      <w:r w:rsidR="00B42787" w:rsidRPr="005F6151">
        <w:rPr>
          <w:rFonts w:cstheme="minorHAnsi"/>
          <w:color w:val="000000" w:themeColor="text1"/>
        </w:rPr>
        <w:t>is</w:t>
      </w:r>
      <w:r w:rsidR="000A45AC" w:rsidRPr="005F6151">
        <w:rPr>
          <w:rFonts w:cstheme="minorHAnsi"/>
          <w:color w:val="000000" w:themeColor="text1"/>
        </w:rPr>
        <w:t xml:space="preserve"> register would require convicted offenders to advise police of changes to their relationship status, including arrangements with new intimate partners and any children. </w:t>
      </w:r>
      <w:r w:rsidR="00C44033" w:rsidRPr="005F6151">
        <w:rPr>
          <w:rFonts w:cstheme="minorHAnsi"/>
          <w:color w:val="000000" w:themeColor="text1"/>
        </w:rPr>
        <w:t xml:space="preserve">There are </w:t>
      </w:r>
      <w:r w:rsidR="005004EA" w:rsidRPr="005F6151">
        <w:rPr>
          <w:rFonts w:cstheme="minorHAnsi"/>
          <w:color w:val="000000" w:themeColor="text1"/>
        </w:rPr>
        <w:t xml:space="preserve">also </w:t>
      </w:r>
      <w:r w:rsidR="00C44033" w:rsidRPr="005F6151">
        <w:rPr>
          <w:rFonts w:cstheme="minorHAnsi"/>
          <w:color w:val="000000" w:themeColor="text1"/>
        </w:rPr>
        <w:t xml:space="preserve">numerous examples of such registers across the </w:t>
      </w:r>
      <w:r w:rsidR="00652B58">
        <w:rPr>
          <w:rFonts w:cstheme="minorHAnsi"/>
          <w:color w:val="000000" w:themeColor="text1"/>
        </w:rPr>
        <w:t>USA</w:t>
      </w:r>
      <w:r w:rsidR="00F9684C" w:rsidRPr="005F6151">
        <w:rPr>
          <w:rFonts w:cstheme="minorHAnsi"/>
          <w:color w:val="000000" w:themeColor="text1"/>
        </w:rPr>
        <w:t xml:space="preserve">. </w:t>
      </w:r>
    </w:p>
    <w:p w14:paraId="39076F29" w14:textId="77777777" w:rsidR="00E46E55" w:rsidRPr="005F6151" w:rsidRDefault="00E46E55" w:rsidP="005F6151">
      <w:pPr>
        <w:spacing w:line="360" w:lineRule="auto"/>
        <w:jc w:val="both"/>
        <w:rPr>
          <w:rFonts w:cstheme="minorHAnsi"/>
          <w:color w:val="000000" w:themeColor="text1"/>
        </w:rPr>
      </w:pPr>
    </w:p>
    <w:p w14:paraId="78877C3E" w14:textId="4618BD4F" w:rsidR="00FB119A" w:rsidRPr="005F6151" w:rsidRDefault="00E46E55" w:rsidP="005F6151">
      <w:pPr>
        <w:spacing w:line="360" w:lineRule="auto"/>
        <w:jc w:val="both"/>
        <w:rPr>
          <w:rFonts w:cstheme="minorHAnsi"/>
          <w:b/>
          <w:bCs/>
        </w:rPr>
      </w:pPr>
      <w:r w:rsidRPr="005F6151">
        <w:rPr>
          <w:rFonts w:cstheme="minorHAnsi"/>
          <w:color w:val="000000" w:themeColor="text1"/>
        </w:rPr>
        <w:t>While we do not in any way</w:t>
      </w:r>
      <w:r w:rsidR="000A45AC" w:rsidRPr="005F6151">
        <w:rPr>
          <w:rFonts w:cstheme="minorHAnsi"/>
          <w:color w:val="000000" w:themeColor="text1"/>
        </w:rPr>
        <w:t xml:space="preserve"> suggest that international policy movement is tied to the Australian Inquiry’s</w:t>
      </w:r>
      <w:r w:rsidRPr="005F6151">
        <w:rPr>
          <w:rFonts w:cstheme="minorHAnsi"/>
          <w:color w:val="000000" w:themeColor="text1"/>
        </w:rPr>
        <w:t xml:space="preserve"> recommendation, </w:t>
      </w:r>
      <w:r w:rsidR="000A45AC" w:rsidRPr="005F6151">
        <w:rPr>
          <w:rFonts w:cstheme="minorHAnsi"/>
          <w:color w:val="000000" w:themeColor="text1"/>
        </w:rPr>
        <w:t>g</w:t>
      </w:r>
      <w:r w:rsidR="00E34B9C" w:rsidRPr="005F6151">
        <w:rPr>
          <w:rFonts w:cstheme="minorHAnsi"/>
          <w:color w:val="000000" w:themeColor="text1"/>
        </w:rPr>
        <w:t>iven the emergence of like</w:t>
      </w:r>
      <w:r w:rsidR="00652B58">
        <w:rPr>
          <w:rFonts w:cstheme="minorHAnsi"/>
          <w:color w:val="000000" w:themeColor="text1"/>
        </w:rPr>
        <w:t xml:space="preserve"> </w:t>
      </w:r>
      <w:r w:rsidR="00E34B9C" w:rsidRPr="005F6151">
        <w:rPr>
          <w:rFonts w:cstheme="minorHAnsi"/>
          <w:color w:val="000000" w:themeColor="text1"/>
        </w:rPr>
        <w:t>policies in countries</w:t>
      </w:r>
      <w:r w:rsidR="002748A8" w:rsidRPr="005F6151">
        <w:rPr>
          <w:rFonts w:cstheme="minorHAnsi"/>
          <w:color w:val="000000" w:themeColor="text1"/>
        </w:rPr>
        <w:t xml:space="preserve"> with comparable jur</w:t>
      </w:r>
      <w:r w:rsidR="007F5BA4" w:rsidRPr="005F6151">
        <w:rPr>
          <w:rFonts w:cstheme="minorHAnsi"/>
          <w:color w:val="000000" w:themeColor="text1"/>
        </w:rPr>
        <w:t>i</w:t>
      </w:r>
      <w:r w:rsidR="008604F4" w:rsidRPr="005F6151">
        <w:rPr>
          <w:rFonts w:cstheme="minorHAnsi"/>
          <w:color w:val="000000" w:themeColor="text1"/>
        </w:rPr>
        <w:t>s</w:t>
      </w:r>
      <w:r w:rsidR="002748A8" w:rsidRPr="005F6151">
        <w:rPr>
          <w:rFonts w:cstheme="minorHAnsi"/>
          <w:color w:val="000000" w:themeColor="text1"/>
        </w:rPr>
        <w:t>dictions</w:t>
      </w:r>
      <w:r w:rsidR="00E34B9C" w:rsidRPr="005F6151">
        <w:rPr>
          <w:rFonts w:cstheme="minorHAnsi"/>
          <w:color w:val="000000" w:themeColor="text1"/>
        </w:rPr>
        <w:t xml:space="preserve">, there is a risk that in time the recommendation itself may become misunderstood as evidence of the merits of the scheme and the need for its consideration in Australia. </w:t>
      </w:r>
    </w:p>
    <w:p w14:paraId="3C90F7E9" w14:textId="77777777" w:rsidR="00FB119A" w:rsidRPr="005F6151" w:rsidRDefault="00FB119A" w:rsidP="005F6151">
      <w:pPr>
        <w:spacing w:line="360" w:lineRule="auto"/>
        <w:jc w:val="both"/>
        <w:rPr>
          <w:rFonts w:cstheme="minorHAnsi"/>
          <w:b/>
          <w:bCs/>
        </w:rPr>
      </w:pPr>
    </w:p>
    <w:p w14:paraId="6046B880" w14:textId="60675FFB" w:rsidR="006D3055" w:rsidRPr="005F6151" w:rsidRDefault="004B26C9" w:rsidP="001C7961">
      <w:pPr>
        <w:pStyle w:val="Heading1"/>
      </w:pPr>
      <w:r w:rsidRPr="005F6151">
        <w:t>Conclusion</w:t>
      </w:r>
      <w:r w:rsidR="004855FF" w:rsidRPr="005F6151">
        <w:t xml:space="preserve">: </w:t>
      </w:r>
      <w:r w:rsidR="00C4622D" w:rsidRPr="005F6151">
        <w:t>R</w:t>
      </w:r>
      <w:r w:rsidRPr="005F6151">
        <w:t xml:space="preserve">eturning to a principled approach to reform </w:t>
      </w:r>
    </w:p>
    <w:p w14:paraId="5A53995C" w14:textId="77777777" w:rsidR="001C7961" w:rsidRDefault="001C7961" w:rsidP="005F6151">
      <w:pPr>
        <w:spacing w:line="360" w:lineRule="auto"/>
        <w:jc w:val="both"/>
        <w:rPr>
          <w:rFonts w:cstheme="minorHAnsi"/>
          <w:color w:val="000000" w:themeColor="text1"/>
        </w:rPr>
      </w:pPr>
    </w:p>
    <w:p w14:paraId="3BCED9A8" w14:textId="1653DE25" w:rsidR="004B26C9" w:rsidRPr="005F6151" w:rsidRDefault="008E2EE5" w:rsidP="005F6151">
      <w:pPr>
        <w:spacing w:line="360" w:lineRule="auto"/>
        <w:jc w:val="both"/>
        <w:rPr>
          <w:rFonts w:cstheme="minorHAnsi"/>
          <w:color w:val="000000" w:themeColor="text1"/>
        </w:rPr>
      </w:pPr>
      <w:r w:rsidRPr="005F6151">
        <w:rPr>
          <w:rFonts w:cstheme="minorHAnsi"/>
          <w:color w:val="000000" w:themeColor="text1"/>
        </w:rPr>
        <w:t>In 2010 the Au</w:t>
      </w:r>
      <w:r w:rsidR="009C5501" w:rsidRPr="005F6151">
        <w:rPr>
          <w:rFonts w:cstheme="minorHAnsi"/>
          <w:color w:val="000000" w:themeColor="text1"/>
        </w:rPr>
        <w:t>stralian Law Reform Commission</w:t>
      </w:r>
      <w:r w:rsidR="001235BA" w:rsidRPr="005F6151">
        <w:rPr>
          <w:rFonts w:cstheme="minorHAnsi"/>
          <w:color w:val="000000" w:themeColor="text1"/>
        </w:rPr>
        <w:t xml:space="preserve"> (ALRC)</w:t>
      </w:r>
      <w:r w:rsidR="009C5501" w:rsidRPr="005F6151">
        <w:rPr>
          <w:rFonts w:cstheme="minorHAnsi"/>
          <w:color w:val="000000" w:themeColor="text1"/>
        </w:rPr>
        <w:t xml:space="preserve"> </w:t>
      </w:r>
      <w:r w:rsidR="008B3D26" w:rsidRPr="005F6151">
        <w:rPr>
          <w:rFonts w:cstheme="minorHAnsi"/>
          <w:color w:val="000000" w:themeColor="text1"/>
        </w:rPr>
        <w:t>and</w:t>
      </w:r>
      <w:r w:rsidR="009C5501" w:rsidRPr="005F6151">
        <w:rPr>
          <w:rFonts w:cstheme="minorHAnsi"/>
          <w:color w:val="000000" w:themeColor="text1"/>
        </w:rPr>
        <w:t xml:space="preserve"> the New South Wales Law Reform Commission</w:t>
      </w:r>
      <w:r w:rsidR="001235BA" w:rsidRPr="005F6151">
        <w:rPr>
          <w:rFonts w:cstheme="minorHAnsi"/>
          <w:color w:val="000000" w:themeColor="text1"/>
        </w:rPr>
        <w:t xml:space="preserve"> (NSWLRC)</w:t>
      </w:r>
      <w:r w:rsidR="009C5501" w:rsidRPr="005F6151">
        <w:rPr>
          <w:rFonts w:cstheme="minorHAnsi"/>
          <w:color w:val="000000" w:themeColor="text1"/>
        </w:rPr>
        <w:t xml:space="preserve"> released</w:t>
      </w:r>
      <w:r w:rsidR="001C7961">
        <w:rPr>
          <w:rFonts w:cstheme="minorHAnsi"/>
          <w:color w:val="000000" w:themeColor="text1"/>
        </w:rPr>
        <w:t xml:space="preserve"> a joint report on</w:t>
      </w:r>
      <w:r w:rsidR="009C5501" w:rsidRPr="005F6151">
        <w:rPr>
          <w:rFonts w:cstheme="minorHAnsi"/>
          <w:color w:val="000000" w:themeColor="text1"/>
        </w:rPr>
        <w:t xml:space="preserve"> </w:t>
      </w:r>
      <w:r w:rsidR="009C5501" w:rsidRPr="001C7961">
        <w:rPr>
          <w:rFonts w:cstheme="minorHAnsi"/>
          <w:i/>
          <w:iCs/>
          <w:color w:val="000000" w:themeColor="text1"/>
        </w:rPr>
        <w:t>Family Violence – A National Legal Response</w:t>
      </w:r>
      <w:r w:rsidR="009C5501" w:rsidRPr="005F6151">
        <w:rPr>
          <w:rFonts w:cstheme="minorHAnsi"/>
          <w:color w:val="000000" w:themeColor="text1"/>
        </w:rPr>
        <w:t xml:space="preserve">. While that Report and the recommendations contained within </w:t>
      </w:r>
      <w:r w:rsidR="00565DF3">
        <w:rPr>
          <w:rFonts w:cstheme="minorHAnsi"/>
          <w:color w:val="000000" w:themeColor="text1"/>
        </w:rPr>
        <w:t xml:space="preserve">it </w:t>
      </w:r>
      <w:r w:rsidR="009C5501" w:rsidRPr="005F6151">
        <w:rPr>
          <w:rFonts w:cstheme="minorHAnsi"/>
          <w:color w:val="000000" w:themeColor="text1"/>
        </w:rPr>
        <w:t>were focused largely on improving legal system responses to all forms of family violence, the Commission</w:t>
      </w:r>
      <w:r w:rsidR="00E51BC3">
        <w:rPr>
          <w:rFonts w:cstheme="minorHAnsi"/>
          <w:color w:val="000000" w:themeColor="text1"/>
        </w:rPr>
        <w:t>s</w:t>
      </w:r>
      <w:r w:rsidR="009C5501" w:rsidRPr="005F6151">
        <w:rPr>
          <w:rFonts w:cstheme="minorHAnsi"/>
          <w:color w:val="000000" w:themeColor="text1"/>
        </w:rPr>
        <w:t xml:space="preserve"> did set </w:t>
      </w:r>
      <w:r w:rsidR="00FB119A" w:rsidRPr="005F6151">
        <w:rPr>
          <w:rFonts w:cstheme="minorHAnsi"/>
          <w:color w:val="000000" w:themeColor="text1"/>
        </w:rPr>
        <w:t>out</w:t>
      </w:r>
      <w:r w:rsidR="009C5501" w:rsidRPr="005F6151">
        <w:rPr>
          <w:rFonts w:cstheme="minorHAnsi"/>
          <w:color w:val="000000" w:themeColor="text1"/>
        </w:rPr>
        <w:t xml:space="preserve"> </w:t>
      </w:r>
      <w:r w:rsidR="00AF5419" w:rsidRPr="005F6151">
        <w:rPr>
          <w:rFonts w:cstheme="minorHAnsi"/>
          <w:color w:val="000000" w:themeColor="text1"/>
        </w:rPr>
        <w:t xml:space="preserve">four </w:t>
      </w:r>
      <w:r w:rsidR="009C5501" w:rsidRPr="005F6151">
        <w:rPr>
          <w:rFonts w:cstheme="minorHAnsi"/>
          <w:color w:val="000000" w:themeColor="text1"/>
        </w:rPr>
        <w:t xml:space="preserve">principles of reform, which they had used to underpin all recommendations made in their </w:t>
      </w:r>
      <w:r w:rsidR="00565DF3">
        <w:rPr>
          <w:rFonts w:cstheme="minorHAnsi"/>
          <w:color w:val="000000" w:themeColor="text1"/>
        </w:rPr>
        <w:t>r</w:t>
      </w:r>
      <w:r w:rsidR="009C5501" w:rsidRPr="005F6151">
        <w:rPr>
          <w:rFonts w:cstheme="minorHAnsi"/>
          <w:color w:val="000000" w:themeColor="text1"/>
        </w:rPr>
        <w:t>eport. While it is not within the scope of this paper to examine the recommendations of the ALRC/NSWLRC Repo</w:t>
      </w:r>
      <w:r w:rsidR="00D95638" w:rsidRPr="005F6151">
        <w:rPr>
          <w:rFonts w:cstheme="minorHAnsi"/>
          <w:color w:val="000000" w:themeColor="text1"/>
        </w:rPr>
        <w:t>rt, the</w:t>
      </w:r>
      <w:r w:rsidR="00FB119A" w:rsidRPr="005F6151">
        <w:rPr>
          <w:rFonts w:cstheme="minorHAnsi"/>
          <w:color w:val="000000" w:themeColor="text1"/>
        </w:rPr>
        <w:t>se</w:t>
      </w:r>
      <w:r w:rsidR="00D95638" w:rsidRPr="005F6151">
        <w:rPr>
          <w:rFonts w:cstheme="minorHAnsi"/>
          <w:color w:val="000000" w:themeColor="text1"/>
        </w:rPr>
        <w:t xml:space="preserve"> principles provide a </w:t>
      </w:r>
      <w:r w:rsidR="009C5501" w:rsidRPr="005F6151">
        <w:rPr>
          <w:rFonts w:cstheme="minorHAnsi"/>
          <w:color w:val="000000" w:themeColor="text1"/>
        </w:rPr>
        <w:t xml:space="preserve">sound framework </w:t>
      </w:r>
      <w:r w:rsidR="00ED157B">
        <w:rPr>
          <w:rFonts w:cstheme="minorHAnsi"/>
          <w:color w:val="000000" w:themeColor="text1"/>
        </w:rPr>
        <w:t>on</w:t>
      </w:r>
      <w:r w:rsidR="009C5501" w:rsidRPr="005F6151">
        <w:rPr>
          <w:rFonts w:cstheme="minorHAnsi"/>
          <w:color w:val="000000" w:themeColor="text1"/>
        </w:rPr>
        <w:t xml:space="preserve"> which we argue Australian </w:t>
      </w:r>
      <w:r w:rsidR="00F0342C">
        <w:rPr>
          <w:rFonts w:cstheme="minorHAnsi"/>
          <w:color w:val="000000" w:themeColor="text1"/>
        </w:rPr>
        <w:t>policymakers</w:t>
      </w:r>
      <w:r w:rsidR="009C5501" w:rsidRPr="005F6151">
        <w:rPr>
          <w:rFonts w:cstheme="minorHAnsi"/>
          <w:color w:val="000000" w:themeColor="text1"/>
        </w:rPr>
        <w:t xml:space="preserve"> should </w:t>
      </w:r>
      <w:r w:rsidR="00CA6C6A" w:rsidRPr="005F6151">
        <w:rPr>
          <w:rFonts w:cstheme="minorHAnsi"/>
          <w:color w:val="000000" w:themeColor="text1"/>
        </w:rPr>
        <w:t>reflect</w:t>
      </w:r>
      <w:r w:rsidR="00ED157B">
        <w:rPr>
          <w:rFonts w:cstheme="minorHAnsi"/>
          <w:color w:val="000000" w:themeColor="text1"/>
        </w:rPr>
        <w:t>,</w:t>
      </w:r>
      <w:r w:rsidR="00CA6C6A" w:rsidRPr="005F6151">
        <w:rPr>
          <w:rFonts w:cstheme="minorHAnsi"/>
          <w:color w:val="000000" w:themeColor="text1"/>
        </w:rPr>
        <w:t xml:space="preserve"> </w:t>
      </w:r>
      <w:r w:rsidR="00FB119A" w:rsidRPr="005F6151">
        <w:rPr>
          <w:rFonts w:cstheme="minorHAnsi"/>
          <w:color w:val="000000" w:themeColor="text1"/>
        </w:rPr>
        <w:t>since there is evidence that</w:t>
      </w:r>
      <w:r w:rsidR="009C5501" w:rsidRPr="005F6151">
        <w:rPr>
          <w:rFonts w:cstheme="minorHAnsi"/>
          <w:color w:val="000000" w:themeColor="text1"/>
        </w:rPr>
        <w:t xml:space="preserve"> they progress efforts to improve responses to family violence. </w:t>
      </w:r>
      <w:r w:rsidR="00A42BFF" w:rsidRPr="005F6151">
        <w:rPr>
          <w:rFonts w:cstheme="minorHAnsi"/>
          <w:color w:val="000000" w:themeColor="text1"/>
        </w:rPr>
        <w:t xml:space="preserve">Over </w:t>
      </w:r>
      <w:r w:rsidR="00ED157B">
        <w:rPr>
          <w:rFonts w:cstheme="minorHAnsi"/>
          <w:color w:val="000000" w:themeColor="text1"/>
        </w:rPr>
        <w:t>15</w:t>
      </w:r>
      <w:r w:rsidR="00A42BFF" w:rsidRPr="005F6151">
        <w:rPr>
          <w:rFonts w:cstheme="minorHAnsi"/>
          <w:color w:val="000000" w:themeColor="text1"/>
        </w:rPr>
        <w:t xml:space="preserve"> years later, and a</w:t>
      </w:r>
      <w:r w:rsidR="005E71DB">
        <w:rPr>
          <w:rFonts w:cstheme="minorHAnsi"/>
          <w:color w:val="000000" w:themeColor="text1"/>
        </w:rPr>
        <w:t>t a</w:t>
      </w:r>
      <w:r w:rsidR="00A42BFF" w:rsidRPr="005F6151">
        <w:rPr>
          <w:rFonts w:cstheme="minorHAnsi"/>
          <w:color w:val="000000" w:themeColor="text1"/>
        </w:rPr>
        <w:t xml:space="preserve"> time when the last decade in Australia has</w:t>
      </w:r>
      <w:r w:rsidR="00FB119A" w:rsidRPr="005F6151">
        <w:rPr>
          <w:rFonts w:cstheme="minorHAnsi"/>
          <w:color w:val="000000" w:themeColor="text1"/>
        </w:rPr>
        <w:t xml:space="preserve"> witnessed</w:t>
      </w:r>
      <w:r w:rsidR="00A42BFF" w:rsidRPr="005F6151">
        <w:rPr>
          <w:rFonts w:cstheme="minorHAnsi"/>
          <w:color w:val="000000" w:themeColor="text1"/>
        </w:rPr>
        <w:t xml:space="preserve"> an </w:t>
      </w:r>
      <w:r w:rsidR="008A470B" w:rsidRPr="005F6151">
        <w:rPr>
          <w:rFonts w:cstheme="minorHAnsi"/>
          <w:color w:val="000000" w:themeColor="text1"/>
        </w:rPr>
        <w:t>extraordinary</w:t>
      </w:r>
      <w:r w:rsidR="00A42BFF" w:rsidRPr="005F6151">
        <w:rPr>
          <w:rFonts w:cstheme="minorHAnsi"/>
          <w:color w:val="000000" w:themeColor="text1"/>
        </w:rPr>
        <w:t xml:space="preserve"> amount </w:t>
      </w:r>
      <w:r w:rsidR="00A42BFF" w:rsidRPr="005F6151">
        <w:rPr>
          <w:rFonts w:cstheme="minorHAnsi"/>
          <w:color w:val="000000" w:themeColor="text1"/>
        </w:rPr>
        <w:lastRenderedPageBreak/>
        <w:t xml:space="preserve">of reform activity, we argue there is a need to return to </w:t>
      </w:r>
      <w:r w:rsidR="00AF5419" w:rsidRPr="005F6151">
        <w:rPr>
          <w:rFonts w:cstheme="minorHAnsi"/>
          <w:color w:val="000000" w:themeColor="text1"/>
        </w:rPr>
        <w:t>each of those four principles – seamlessness, accessibility, fairness</w:t>
      </w:r>
      <w:r w:rsidR="00951E15">
        <w:rPr>
          <w:rFonts w:cstheme="minorHAnsi"/>
          <w:color w:val="000000" w:themeColor="text1"/>
        </w:rPr>
        <w:t>,</w:t>
      </w:r>
      <w:r w:rsidR="00AF5419" w:rsidRPr="005F6151">
        <w:rPr>
          <w:rFonts w:cstheme="minorHAnsi"/>
          <w:color w:val="000000" w:themeColor="text1"/>
        </w:rPr>
        <w:t xml:space="preserve"> and effectiveness –</w:t>
      </w:r>
      <w:r w:rsidR="00A42BFF" w:rsidRPr="005F6151">
        <w:rPr>
          <w:rFonts w:cstheme="minorHAnsi"/>
          <w:color w:val="000000" w:themeColor="text1"/>
        </w:rPr>
        <w:t xml:space="preserve"> </w:t>
      </w:r>
      <w:r w:rsidR="00FB119A" w:rsidRPr="005F6151">
        <w:rPr>
          <w:rFonts w:cstheme="minorHAnsi"/>
          <w:color w:val="000000" w:themeColor="text1"/>
        </w:rPr>
        <w:t>in</w:t>
      </w:r>
      <w:r w:rsidR="00AF5419" w:rsidRPr="005F6151">
        <w:rPr>
          <w:rFonts w:cstheme="minorHAnsi"/>
          <w:color w:val="000000" w:themeColor="text1"/>
        </w:rPr>
        <w:t xml:space="preserve"> </w:t>
      </w:r>
      <w:r w:rsidR="00A42BFF" w:rsidRPr="005F6151">
        <w:rPr>
          <w:rFonts w:cstheme="minorHAnsi"/>
          <w:color w:val="000000" w:themeColor="text1"/>
        </w:rPr>
        <w:t>support</w:t>
      </w:r>
      <w:r w:rsidR="00FB119A" w:rsidRPr="005F6151">
        <w:rPr>
          <w:rFonts w:cstheme="minorHAnsi"/>
          <w:color w:val="000000" w:themeColor="text1"/>
        </w:rPr>
        <w:t xml:space="preserve"> of </w:t>
      </w:r>
      <w:r w:rsidR="00A42BFF" w:rsidRPr="005F6151">
        <w:rPr>
          <w:rFonts w:cstheme="minorHAnsi"/>
          <w:color w:val="000000" w:themeColor="text1"/>
        </w:rPr>
        <w:t xml:space="preserve">a </w:t>
      </w:r>
      <w:r w:rsidR="00AF5419" w:rsidRPr="005F6151">
        <w:rPr>
          <w:rFonts w:cstheme="minorHAnsi"/>
          <w:color w:val="000000" w:themeColor="text1"/>
        </w:rPr>
        <w:t>move away</w:t>
      </w:r>
      <w:r w:rsidR="00A42BFF" w:rsidRPr="005F6151">
        <w:rPr>
          <w:rFonts w:cstheme="minorHAnsi"/>
          <w:color w:val="000000" w:themeColor="text1"/>
        </w:rPr>
        <w:t xml:space="preserve"> from </w:t>
      </w:r>
      <w:r w:rsidR="009A5550" w:rsidRPr="005F6151">
        <w:rPr>
          <w:rFonts w:cstheme="minorHAnsi"/>
          <w:color w:val="000000" w:themeColor="text1"/>
        </w:rPr>
        <w:t>some of the problematic consequences of</w:t>
      </w:r>
      <w:r w:rsidR="00FB119A" w:rsidRPr="005F6151">
        <w:rPr>
          <w:rFonts w:cstheme="minorHAnsi"/>
          <w:color w:val="000000" w:themeColor="text1"/>
        </w:rPr>
        <w:t xml:space="preserve"> </w:t>
      </w:r>
      <w:r w:rsidR="00210281" w:rsidRPr="005F6151">
        <w:rPr>
          <w:rFonts w:cstheme="minorHAnsi"/>
          <w:color w:val="000000" w:themeColor="text1"/>
        </w:rPr>
        <w:t xml:space="preserve">the </w:t>
      </w:r>
      <w:r w:rsidR="00FB119A" w:rsidRPr="005F6151">
        <w:rPr>
          <w:rFonts w:cstheme="minorHAnsi"/>
          <w:color w:val="000000" w:themeColor="text1"/>
        </w:rPr>
        <w:t>kind</w:t>
      </w:r>
      <w:r w:rsidR="009A5550" w:rsidRPr="005F6151">
        <w:rPr>
          <w:rFonts w:cstheme="minorHAnsi"/>
          <w:color w:val="000000" w:themeColor="text1"/>
        </w:rPr>
        <w:t>s</w:t>
      </w:r>
      <w:r w:rsidR="00FB119A" w:rsidRPr="005F6151">
        <w:rPr>
          <w:rFonts w:cstheme="minorHAnsi"/>
          <w:color w:val="000000" w:themeColor="text1"/>
        </w:rPr>
        <w:t xml:space="preserve"> of policy</w:t>
      </w:r>
      <w:r w:rsidR="00951E15">
        <w:rPr>
          <w:rFonts w:cstheme="minorHAnsi"/>
          <w:color w:val="000000" w:themeColor="text1"/>
        </w:rPr>
        <w:t>-</w:t>
      </w:r>
      <w:r w:rsidR="00FB119A" w:rsidRPr="005F6151">
        <w:rPr>
          <w:rFonts w:cstheme="minorHAnsi"/>
          <w:color w:val="000000" w:themeColor="text1"/>
        </w:rPr>
        <w:t xml:space="preserve">making </w:t>
      </w:r>
      <w:r w:rsidR="009A5550" w:rsidRPr="005F6151">
        <w:rPr>
          <w:rFonts w:cstheme="minorHAnsi"/>
          <w:color w:val="000000" w:themeColor="text1"/>
        </w:rPr>
        <w:t xml:space="preserve">and policy transfer </w:t>
      </w:r>
      <w:r w:rsidR="00FB119A" w:rsidRPr="005F6151">
        <w:rPr>
          <w:rFonts w:cstheme="minorHAnsi"/>
          <w:color w:val="000000" w:themeColor="text1"/>
        </w:rPr>
        <w:t xml:space="preserve">processes </w:t>
      </w:r>
      <w:r w:rsidR="00210281" w:rsidRPr="005F6151">
        <w:rPr>
          <w:rFonts w:cstheme="minorHAnsi"/>
          <w:color w:val="000000" w:themeColor="text1"/>
        </w:rPr>
        <w:t xml:space="preserve">that are </w:t>
      </w:r>
      <w:r w:rsidR="00FB119A" w:rsidRPr="005F6151">
        <w:rPr>
          <w:rFonts w:cstheme="minorHAnsi"/>
          <w:color w:val="000000" w:themeColor="text1"/>
        </w:rPr>
        <w:t xml:space="preserve">outlined by </w:t>
      </w:r>
      <w:r w:rsidR="00FC79F5" w:rsidRPr="005F6151">
        <w:rPr>
          <w:rFonts w:cstheme="minorHAnsi"/>
          <w:color w:val="000000" w:themeColor="text1"/>
        </w:rPr>
        <w:t xml:space="preserve">McNamara et al. (2019), </w:t>
      </w:r>
      <w:r w:rsidR="00FB119A" w:rsidRPr="005F6151">
        <w:rPr>
          <w:rFonts w:cstheme="minorHAnsi"/>
          <w:color w:val="000000" w:themeColor="text1"/>
        </w:rPr>
        <w:t>Quilter (2020)</w:t>
      </w:r>
      <w:r w:rsidR="009A5550" w:rsidRPr="005F6151">
        <w:rPr>
          <w:rFonts w:cstheme="minorHAnsi"/>
          <w:color w:val="000000" w:themeColor="text1"/>
        </w:rPr>
        <w:t xml:space="preserve"> and </w:t>
      </w:r>
      <w:proofErr w:type="spellStart"/>
      <w:r w:rsidR="009A5550" w:rsidRPr="005F6151">
        <w:rPr>
          <w:rFonts w:cstheme="minorHAnsi"/>
          <w:color w:val="000000" w:themeColor="text1"/>
        </w:rPr>
        <w:t>Goodmark</w:t>
      </w:r>
      <w:proofErr w:type="spellEnd"/>
      <w:r w:rsidR="009A5550" w:rsidRPr="005F6151">
        <w:rPr>
          <w:rFonts w:cstheme="minorHAnsi"/>
          <w:color w:val="000000" w:themeColor="text1"/>
        </w:rPr>
        <w:t xml:space="preserve"> (2015)</w:t>
      </w:r>
      <w:r w:rsidR="008F749F">
        <w:rPr>
          <w:rFonts w:cstheme="minorHAnsi"/>
          <w:color w:val="000000" w:themeColor="text1"/>
        </w:rPr>
        <w:t>,</w:t>
      </w:r>
      <w:r w:rsidR="009A5550" w:rsidRPr="005F6151">
        <w:rPr>
          <w:rFonts w:cstheme="minorHAnsi"/>
          <w:color w:val="000000" w:themeColor="text1"/>
        </w:rPr>
        <w:t xml:space="preserve"> amongst others. </w:t>
      </w:r>
      <w:r w:rsidR="0066274E" w:rsidRPr="005F6151">
        <w:rPr>
          <w:rFonts w:cstheme="minorHAnsi"/>
          <w:color w:val="000000" w:themeColor="text1"/>
        </w:rPr>
        <w:t xml:space="preserve">In the absence of adherence to these principles, as this paper has illustrated, policies </w:t>
      </w:r>
      <w:r w:rsidR="00705EB0" w:rsidRPr="005F6151">
        <w:rPr>
          <w:rFonts w:cstheme="minorHAnsi"/>
          <w:color w:val="000000" w:themeColor="text1"/>
        </w:rPr>
        <w:t xml:space="preserve">introduced to improve </w:t>
      </w:r>
      <w:r w:rsidR="00A32F1D" w:rsidRPr="005F6151">
        <w:rPr>
          <w:rFonts w:cstheme="minorHAnsi"/>
          <w:color w:val="000000" w:themeColor="text1"/>
        </w:rPr>
        <w:t>responses</w:t>
      </w:r>
      <w:r w:rsidR="00705EB0" w:rsidRPr="005F6151">
        <w:rPr>
          <w:rFonts w:cstheme="minorHAnsi"/>
          <w:color w:val="000000" w:themeColor="text1"/>
        </w:rPr>
        <w:t xml:space="preserve"> to </w:t>
      </w:r>
      <w:r w:rsidR="00353572" w:rsidRPr="005F6151">
        <w:rPr>
          <w:rFonts w:cstheme="minorHAnsi"/>
          <w:color w:val="000000" w:themeColor="text1"/>
        </w:rPr>
        <w:t>DFV</w:t>
      </w:r>
      <w:r w:rsidR="00705EB0" w:rsidRPr="005F6151">
        <w:rPr>
          <w:rFonts w:cstheme="minorHAnsi"/>
          <w:color w:val="000000" w:themeColor="text1"/>
        </w:rPr>
        <w:t xml:space="preserve"> </w:t>
      </w:r>
      <w:r w:rsidR="0066274E" w:rsidRPr="005F6151">
        <w:rPr>
          <w:rFonts w:cstheme="minorHAnsi"/>
          <w:color w:val="000000" w:themeColor="text1"/>
        </w:rPr>
        <w:t>remain incoherent and inconsistent</w:t>
      </w:r>
      <w:r w:rsidR="008F749F">
        <w:rPr>
          <w:rFonts w:cstheme="minorHAnsi"/>
          <w:color w:val="000000" w:themeColor="text1"/>
        </w:rPr>
        <w:t>,</w:t>
      </w:r>
      <w:r w:rsidR="0066274E" w:rsidRPr="005F6151">
        <w:rPr>
          <w:rFonts w:cstheme="minorHAnsi"/>
          <w:color w:val="000000" w:themeColor="text1"/>
        </w:rPr>
        <w:t xml:space="preserve"> both at the national and the local level. </w:t>
      </w:r>
    </w:p>
    <w:p w14:paraId="5684DE0D" w14:textId="43C230AF" w:rsidR="0066274E" w:rsidRPr="005F6151" w:rsidRDefault="0066274E" w:rsidP="005F6151">
      <w:pPr>
        <w:spacing w:line="360" w:lineRule="auto"/>
        <w:jc w:val="both"/>
        <w:rPr>
          <w:rFonts w:cstheme="minorHAnsi"/>
          <w:color w:val="000000" w:themeColor="text1"/>
        </w:rPr>
      </w:pPr>
    </w:p>
    <w:p w14:paraId="0BD28B49" w14:textId="2B08114C" w:rsidR="0066274E" w:rsidRPr="005F6151" w:rsidRDefault="0066274E" w:rsidP="005F6151">
      <w:pPr>
        <w:spacing w:line="360" w:lineRule="auto"/>
        <w:jc w:val="both"/>
        <w:rPr>
          <w:rFonts w:cstheme="minorHAnsi"/>
          <w:color w:val="000000" w:themeColor="text1"/>
        </w:rPr>
      </w:pPr>
      <w:r w:rsidRPr="005F6151">
        <w:rPr>
          <w:rFonts w:cstheme="minorHAnsi"/>
          <w:color w:val="000000" w:themeColor="text1"/>
        </w:rPr>
        <w:t xml:space="preserve">Deploying </w:t>
      </w:r>
      <w:r w:rsidR="00FC79F5" w:rsidRPr="005F6151">
        <w:rPr>
          <w:rFonts w:cstheme="minorHAnsi"/>
          <w:color w:val="000000" w:themeColor="text1"/>
        </w:rPr>
        <w:t xml:space="preserve">McNamara and colleagues’ </w:t>
      </w:r>
      <w:r w:rsidRPr="005F6151">
        <w:rPr>
          <w:rFonts w:cstheme="minorHAnsi"/>
          <w:color w:val="000000" w:themeColor="text1"/>
        </w:rPr>
        <w:t>model to this policy landscape has cast much light on the unevenness of this landscape</w:t>
      </w:r>
      <w:r w:rsidR="00112D24">
        <w:rPr>
          <w:rFonts w:cstheme="minorHAnsi"/>
          <w:color w:val="000000" w:themeColor="text1"/>
        </w:rPr>
        <w:t>,</w:t>
      </w:r>
      <w:r w:rsidRPr="005F6151">
        <w:rPr>
          <w:rFonts w:cstheme="minorHAnsi"/>
          <w:color w:val="000000" w:themeColor="text1"/>
        </w:rPr>
        <w:t xml:space="preserve"> some of which is directly attributable to the mode through which these policies have been introduced and developed. Interestingly, despite the rapidity with which much information flows around the globe in the twenty-first century</w:t>
      </w:r>
      <w:r w:rsidR="00112D24">
        <w:rPr>
          <w:rFonts w:cstheme="minorHAnsi"/>
          <w:color w:val="000000" w:themeColor="text1"/>
        </w:rPr>
        <w:t>,</w:t>
      </w:r>
      <w:r w:rsidRPr="005F6151">
        <w:rPr>
          <w:rFonts w:cstheme="minorHAnsi"/>
          <w:color w:val="000000" w:themeColor="text1"/>
        </w:rPr>
        <w:t xml:space="preserve"> </w:t>
      </w:r>
      <w:r w:rsidR="009F7FB1" w:rsidRPr="005F6151">
        <w:rPr>
          <w:rFonts w:cstheme="minorHAnsi"/>
          <w:color w:val="000000" w:themeColor="text1"/>
        </w:rPr>
        <w:t>few</w:t>
      </w:r>
      <w:r w:rsidRPr="005F6151">
        <w:rPr>
          <w:rFonts w:cstheme="minorHAnsi"/>
          <w:color w:val="000000" w:themeColor="text1"/>
        </w:rPr>
        <w:t xml:space="preserve"> state</w:t>
      </w:r>
      <w:r w:rsidR="009F7FB1" w:rsidRPr="005F6151">
        <w:rPr>
          <w:rFonts w:cstheme="minorHAnsi"/>
          <w:color w:val="000000" w:themeColor="text1"/>
        </w:rPr>
        <w:t>s</w:t>
      </w:r>
      <w:r w:rsidRPr="005F6151">
        <w:rPr>
          <w:rFonts w:cstheme="minorHAnsi"/>
          <w:color w:val="000000" w:themeColor="text1"/>
        </w:rPr>
        <w:t xml:space="preserve"> in Australia ha</w:t>
      </w:r>
      <w:r w:rsidR="009F7FB1" w:rsidRPr="005F6151">
        <w:rPr>
          <w:rFonts w:cstheme="minorHAnsi"/>
          <w:color w:val="000000" w:themeColor="text1"/>
        </w:rPr>
        <w:t>ve</w:t>
      </w:r>
      <w:r w:rsidRPr="005F6151">
        <w:rPr>
          <w:rFonts w:cstheme="minorHAnsi"/>
          <w:color w:val="000000" w:themeColor="text1"/>
        </w:rPr>
        <w:t xml:space="preserve"> taken</w:t>
      </w:r>
      <w:r w:rsidR="00B441C0" w:rsidRPr="005F6151">
        <w:rPr>
          <w:rFonts w:cstheme="minorHAnsi"/>
          <w:color w:val="000000" w:themeColor="text1"/>
        </w:rPr>
        <w:t xml:space="preserve"> up</w:t>
      </w:r>
      <w:r w:rsidRPr="005F6151">
        <w:rPr>
          <w:rFonts w:cstheme="minorHAnsi"/>
          <w:color w:val="000000" w:themeColor="text1"/>
        </w:rPr>
        <w:t xml:space="preserve"> the reins of DVDS as</w:t>
      </w:r>
      <w:r w:rsidR="007A6320" w:rsidRPr="005F6151">
        <w:rPr>
          <w:rFonts w:cstheme="minorHAnsi"/>
          <w:color w:val="000000" w:themeColor="text1"/>
        </w:rPr>
        <w:t xml:space="preserve"> a constituent element in </w:t>
      </w:r>
      <w:r w:rsidR="00112D24">
        <w:rPr>
          <w:rFonts w:cstheme="minorHAnsi"/>
          <w:color w:val="000000" w:themeColor="text1"/>
        </w:rPr>
        <w:t>their</w:t>
      </w:r>
      <w:r w:rsidR="00112D24" w:rsidRPr="005F6151">
        <w:rPr>
          <w:rFonts w:cstheme="minorHAnsi"/>
          <w:color w:val="000000" w:themeColor="text1"/>
        </w:rPr>
        <w:t xml:space="preserve"> </w:t>
      </w:r>
      <w:r w:rsidR="007A6320" w:rsidRPr="005F6151">
        <w:rPr>
          <w:rFonts w:cstheme="minorHAnsi"/>
          <w:color w:val="000000" w:themeColor="text1"/>
        </w:rPr>
        <w:t xml:space="preserve">portfolio of responses to </w:t>
      </w:r>
      <w:r w:rsidR="00931263" w:rsidRPr="005F6151">
        <w:rPr>
          <w:rFonts w:cstheme="minorHAnsi"/>
          <w:color w:val="000000" w:themeColor="text1"/>
        </w:rPr>
        <w:t>DFV</w:t>
      </w:r>
      <w:r w:rsidR="007A6320" w:rsidRPr="005F6151">
        <w:rPr>
          <w:rFonts w:cstheme="minorHAnsi"/>
          <w:color w:val="000000" w:themeColor="text1"/>
        </w:rPr>
        <w:t>. This is interesting in and of itself and worthy of further investigation.</w:t>
      </w:r>
      <w:r w:rsidR="00B441C0" w:rsidRPr="005F6151">
        <w:rPr>
          <w:rFonts w:cstheme="minorHAnsi"/>
          <w:color w:val="000000" w:themeColor="text1"/>
        </w:rPr>
        <w:t xml:space="preserve"> As was intimated above</w:t>
      </w:r>
      <w:r w:rsidR="008B3D26" w:rsidRPr="005F6151">
        <w:rPr>
          <w:rFonts w:cstheme="minorHAnsi"/>
          <w:color w:val="000000" w:themeColor="text1"/>
        </w:rPr>
        <w:t>,</w:t>
      </w:r>
      <w:r w:rsidR="00B441C0" w:rsidRPr="005F6151">
        <w:rPr>
          <w:rFonts w:cstheme="minorHAnsi"/>
          <w:color w:val="000000" w:themeColor="text1"/>
        </w:rPr>
        <w:t xml:space="preserve"> why this has occurred remains less than clear though it is important to note that the DVDS scheme in place </w:t>
      </w:r>
      <w:r w:rsidR="005C3586" w:rsidRPr="005F6151">
        <w:rPr>
          <w:rFonts w:cstheme="minorHAnsi"/>
          <w:color w:val="000000" w:themeColor="text1"/>
        </w:rPr>
        <w:t>in South Australia</w:t>
      </w:r>
      <w:r w:rsidR="00B441C0" w:rsidRPr="005F6151">
        <w:rPr>
          <w:rFonts w:cstheme="minorHAnsi"/>
          <w:color w:val="000000" w:themeColor="text1"/>
        </w:rPr>
        <w:t xml:space="preserve"> </w:t>
      </w:r>
      <w:r w:rsidR="008A5CAB" w:rsidRPr="005F6151">
        <w:rPr>
          <w:rFonts w:cstheme="minorHAnsi"/>
          <w:color w:val="000000" w:themeColor="text1"/>
        </w:rPr>
        <w:t xml:space="preserve">includes a partnership approach between the specialist </w:t>
      </w:r>
      <w:r w:rsidR="00B441C0" w:rsidRPr="005F6151">
        <w:rPr>
          <w:rFonts w:cstheme="minorHAnsi"/>
          <w:color w:val="000000" w:themeColor="text1"/>
        </w:rPr>
        <w:t xml:space="preserve">support agency </w:t>
      </w:r>
      <w:r w:rsidR="008A5CAB" w:rsidRPr="005F6151">
        <w:rPr>
          <w:rFonts w:cstheme="minorHAnsi"/>
          <w:color w:val="000000" w:themeColor="text1"/>
        </w:rPr>
        <w:t>and the</w:t>
      </w:r>
      <w:r w:rsidR="00B441C0" w:rsidRPr="005F6151">
        <w:rPr>
          <w:rFonts w:cstheme="minorHAnsi"/>
          <w:color w:val="000000" w:themeColor="text1"/>
        </w:rPr>
        <w:t xml:space="preserve"> police</w:t>
      </w:r>
      <w:r w:rsidR="00196FAC" w:rsidRPr="005F6151">
        <w:rPr>
          <w:rFonts w:cstheme="minorHAnsi"/>
          <w:color w:val="000000" w:themeColor="text1"/>
        </w:rPr>
        <w:t xml:space="preserve"> which adds some different nuance to the policy </w:t>
      </w:r>
      <w:r w:rsidR="00C3630F" w:rsidRPr="005F6151">
        <w:rPr>
          <w:rFonts w:cstheme="minorHAnsi"/>
          <w:color w:val="000000" w:themeColor="text1"/>
        </w:rPr>
        <w:t xml:space="preserve">design </w:t>
      </w:r>
      <w:r w:rsidR="00196FAC" w:rsidRPr="005F6151">
        <w:rPr>
          <w:rFonts w:cstheme="minorHAnsi"/>
          <w:color w:val="000000" w:themeColor="text1"/>
        </w:rPr>
        <w:t>process.</w:t>
      </w:r>
      <w:r w:rsidR="007A6320" w:rsidRPr="005F6151">
        <w:rPr>
          <w:rFonts w:cstheme="minorHAnsi"/>
          <w:color w:val="000000" w:themeColor="text1"/>
        </w:rPr>
        <w:t xml:space="preserve"> Moreover, whilst Australia has not been immune to campaigns to name laws after individuals, the impact of this</w:t>
      </w:r>
      <w:r w:rsidR="0013337B" w:rsidRPr="005F6151">
        <w:rPr>
          <w:rFonts w:cstheme="minorHAnsi"/>
          <w:color w:val="000000" w:themeColor="text1"/>
        </w:rPr>
        <w:t xml:space="preserve"> ‘courting compassion’</w:t>
      </w:r>
      <w:r w:rsidR="007A6320" w:rsidRPr="005F6151">
        <w:rPr>
          <w:rFonts w:cstheme="minorHAnsi"/>
          <w:color w:val="000000" w:themeColor="text1"/>
        </w:rPr>
        <w:t xml:space="preserve"> agenda seems to vary from state to state. At the same time </w:t>
      </w:r>
      <w:r w:rsidR="00196FAC" w:rsidRPr="005F6151">
        <w:rPr>
          <w:rFonts w:cstheme="minorHAnsi"/>
          <w:color w:val="000000" w:themeColor="text1"/>
        </w:rPr>
        <w:t>in Australia</w:t>
      </w:r>
      <w:r w:rsidR="007A6320" w:rsidRPr="005F6151">
        <w:rPr>
          <w:rFonts w:cstheme="minorHAnsi"/>
          <w:color w:val="000000" w:themeColor="text1"/>
        </w:rPr>
        <w:t>, as elsewhere</w:t>
      </w:r>
      <w:r w:rsidR="00042AA6">
        <w:rPr>
          <w:rFonts w:cstheme="minorHAnsi"/>
          <w:color w:val="000000" w:themeColor="text1"/>
        </w:rPr>
        <w:t>,</w:t>
      </w:r>
      <w:r w:rsidR="007A6320" w:rsidRPr="005F6151">
        <w:rPr>
          <w:rFonts w:cstheme="minorHAnsi"/>
          <w:color w:val="000000" w:themeColor="text1"/>
        </w:rPr>
        <w:t xml:space="preserve"> the intransigence of</w:t>
      </w:r>
      <w:r w:rsidR="00196FAC" w:rsidRPr="005F6151">
        <w:rPr>
          <w:rFonts w:cstheme="minorHAnsi"/>
          <w:color w:val="000000" w:themeColor="text1"/>
        </w:rPr>
        <w:t xml:space="preserve"> being able to</w:t>
      </w:r>
      <w:r w:rsidR="007A6320" w:rsidRPr="005F6151">
        <w:rPr>
          <w:rFonts w:cstheme="minorHAnsi"/>
          <w:color w:val="000000" w:themeColor="text1"/>
        </w:rPr>
        <w:t xml:space="preserve"> devis</w:t>
      </w:r>
      <w:r w:rsidR="00196FAC" w:rsidRPr="005F6151">
        <w:rPr>
          <w:rFonts w:cstheme="minorHAnsi"/>
          <w:color w:val="000000" w:themeColor="text1"/>
        </w:rPr>
        <w:t>e and implement</w:t>
      </w:r>
      <w:r w:rsidR="007A6320" w:rsidRPr="005F6151">
        <w:rPr>
          <w:rFonts w:cstheme="minorHAnsi"/>
          <w:color w:val="000000" w:themeColor="text1"/>
        </w:rPr>
        <w:t xml:space="preserve"> appropriate and meaningful policy responses fit for purpose for </w:t>
      </w:r>
      <w:r w:rsidR="00F06218" w:rsidRPr="005F6151">
        <w:rPr>
          <w:rFonts w:cstheme="minorHAnsi"/>
          <w:color w:val="000000" w:themeColor="text1"/>
        </w:rPr>
        <w:t>First Na</w:t>
      </w:r>
      <w:r w:rsidR="007D5A52" w:rsidRPr="005F6151">
        <w:rPr>
          <w:rFonts w:cstheme="minorHAnsi"/>
          <w:color w:val="000000" w:themeColor="text1"/>
        </w:rPr>
        <w:t>tions</w:t>
      </w:r>
      <w:r w:rsidR="007A6320" w:rsidRPr="005F6151">
        <w:rPr>
          <w:rFonts w:cstheme="minorHAnsi"/>
          <w:color w:val="000000" w:themeColor="text1"/>
        </w:rPr>
        <w:t xml:space="preserve"> women and other marginalised </w:t>
      </w:r>
      <w:r w:rsidR="00C50047" w:rsidRPr="005F6151">
        <w:rPr>
          <w:rFonts w:cstheme="minorHAnsi"/>
          <w:color w:val="000000" w:themeColor="text1"/>
        </w:rPr>
        <w:t xml:space="preserve">community </w:t>
      </w:r>
      <w:r w:rsidR="007A6320" w:rsidRPr="005F6151">
        <w:rPr>
          <w:rFonts w:cstheme="minorHAnsi"/>
          <w:color w:val="000000" w:themeColor="text1"/>
        </w:rPr>
        <w:t>groups remains (see</w:t>
      </w:r>
      <w:r w:rsidR="00850B99">
        <w:rPr>
          <w:rFonts w:cstheme="minorHAnsi"/>
          <w:color w:val="000000" w:themeColor="text1"/>
        </w:rPr>
        <w:t>,</w:t>
      </w:r>
      <w:r w:rsidR="007A6320" w:rsidRPr="005F6151">
        <w:rPr>
          <w:rFonts w:cstheme="minorHAnsi"/>
          <w:color w:val="000000" w:themeColor="text1"/>
        </w:rPr>
        <w:t xml:space="preserve"> inter alia</w:t>
      </w:r>
      <w:r w:rsidR="00850B99">
        <w:rPr>
          <w:rFonts w:cstheme="minorHAnsi"/>
          <w:color w:val="000000" w:themeColor="text1"/>
        </w:rPr>
        <w:t>,</w:t>
      </w:r>
      <w:r w:rsidR="007A6320" w:rsidRPr="005F6151">
        <w:rPr>
          <w:rFonts w:cstheme="minorHAnsi"/>
          <w:color w:val="000000" w:themeColor="text1"/>
        </w:rPr>
        <w:t xml:space="preserve"> Stubbs </w:t>
      </w:r>
      <w:r w:rsidR="000A456A">
        <w:rPr>
          <w:rFonts w:cstheme="minorHAnsi"/>
          <w:color w:val="000000" w:themeColor="text1"/>
        </w:rPr>
        <w:t>&amp;</w:t>
      </w:r>
      <w:r w:rsidR="007A6320" w:rsidRPr="005F6151">
        <w:rPr>
          <w:rFonts w:cstheme="minorHAnsi"/>
          <w:color w:val="000000" w:themeColor="text1"/>
        </w:rPr>
        <w:t xml:space="preserve"> Wangmann, 2015). </w:t>
      </w:r>
      <w:r w:rsidR="00196FAC" w:rsidRPr="005F6151">
        <w:rPr>
          <w:rFonts w:cstheme="minorHAnsi"/>
          <w:color w:val="000000" w:themeColor="text1"/>
        </w:rPr>
        <w:t>Thus,</w:t>
      </w:r>
      <w:r w:rsidR="007A6320" w:rsidRPr="005F6151">
        <w:rPr>
          <w:rFonts w:cstheme="minorHAnsi"/>
          <w:color w:val="000000" w:themeColor="text1"/>
        </w:rPr>
        <w:t xml:space="preserve"> in some respects</w:t>
      </w:r>
      <w:r w:rsidR="00E638DE" w:rsidRPr="005F6151">
        <w:rPr>
          <w:rFonts w:cstheme="minorHAnsi"/>
          <w:color w:val="000000" w:themeColor="text1"/>
        </w:rPr>
        <w:t>, through the provision of a policy case study, this paper</w:t>
      </w:r>
      <w:r w:rsidR="007A6320" w:rsidRPr="005F6151">
        <w:rPr>
          <w:rFonts w:cstheme="minorHAnsi"/>
          <w:color w:val="000000" w:themeColor="text1"/>
        </w:rPr>
        <w:t xml:space="preserve"> </w:t>
      </w:r>
      <w:r w:rsidR="00E638DE" w:rsidRPr="005F6151">
        <w:rPr>
          <w:rFonts w:cstheme="minorHAnsi"/>
          <w:color w:val="000000" w:themeColor="text1"/>
        </w:rPr>
        <w:t xml:space="preserve">adds </w:t>
      </w:r>
      <w:r w:rsidR="007A6320" w:rsidRPr="005F6151">
        <w:rPr>
          <w:rFonts w:cstheme="minorHAnsi"/>
          <w:color w:val="000000" w:themeColor="text1"/>
        </w:rPr>
        <w:t xml:space="preserve">some nuance to </w:t>
      </w:r>
      <w:r w:rsidR="00155DB8" w:rsidRPr="005F6151">
        <w:rPr>
          <w:rFonts w:cstheme="minorHAnsi"/>
          <w:color w:val="000000" w:themeColor="text1"/>
        </w:rPr>
        <w:t xml:space="preserve">McNamara and colleagues’ </w:t>
      </w:r>
      <w:r w:rsidR="003E46B0">
        <w:rPr>
          <w:rFonts w:cstheme="minorHAnsi"/>
          <w:color w:val="000000" w:themeColor="text1"/>
        </w:rPr>
        <w:t xml:space="preserve">(2019) </w:t>
      </w:r>
      <w:r w:rsidR="007A6320" w:rsidRPr="005F6151">
        <w:rPr>
          <w:rFonts w:cstheme="minorHAnsi"/>
          <w:color w:val="000000" w:themeColor="text1"/>
        </w:rPr>
        <w:t>model</w:t>
      </w:r>
      <w:r w:rsidR="00E638DE" w:rsidRPr="005F6151">
        <w:rPr>
          <w:rFonts w:cstheme="minorHAnsi"/>
          <w:color w:val="000000" w:themeColor="text1"/>
        </w:rPr>
        <w:t xml:space="preserve"> of understanding differences in the </w:t>
      </w:r>
      <w:r w:rsidR="007E3D31">
        <w:rPr>
          <w:rFonts w:cstheme="minorHAnsi"/>
          <w:color w:val="000000" w:themeColor="text1"/>
        </w:rPr>
        <w:t>policy-making</w:t>
      </w:r>
      <w:r w:rsidR="00E638DE" w:rsidRPr="005F6151">
        <w:rPr>
          <w:rFonts w:cstheme="minorHAnsi"/>
          <w:color w:val="000000" w:themeColor="text1"/>
        </w:rPr>
        <w:t xml:space="preserve"> process.</w:t>
      </w:r>
      <w:r w:rsidR="00196FAC" w:rsidRPr="005F6151">
        <w:rPr>
          <w:rFonts w:cstheme="minorHAnsi"/>
          <w:color w:val="000000" w:themeColor="text1"/>
        </w:rPr>
        <w:t xml:space="preserve"> </w:t>
      </w:r>
      <w:r w:rsidR="00CA4A2F" w:rsidRPr="005F6151">
        <w:rPr>
          <w:rFonts w:cstheme="minorHAnsi"/>
          <w:color w:val="000000" w:themeColor="text1"/>
        </w:rPr>
        <w:t>It</w:t>
      </w:r>
      <w:r w:rsidR="00196FAC" w:rsidRPr="005F6151">
        <w:rPr>
          <w:rFonts w:cstheme="minorHAnsi"/>
          <w:color w:val="000000" w:themeColor="text1"/>
        </w:rPr>
        <w:t xml:space="preserve"> is also important to note the</w:t>
      </w:r>
      <w:r w:rsidR="007A6320" w:rsidRPr="005F6151">
        <w:rPr>
          <w:rFonts w:cstheme="minorHAnsi"/>
          <w:color w:val="000000" w:themeColor="text1"/>
        </w:rPr>
        <w:t xml:space="preserve"> echo</w:t>
      </w:r>
      <w:r w:rsidR="00196FAC" w:rsidRPr="005F6151">
        <w:rPr>
          <w:rFonts w:cstheme="minorHAnsi"/>
          <w:color w:val="000000" w:themeColor="text1"/>
        </w:rPr>
        <w:t>es of</w:t>
      </w:r>
      <w:r w:rsidR="007A6320" w:rsidRPr="005F6151">
        <w:rPr>
          <w:rFonts w:cstheme="minorHAnsi"/>
          <w:color w:val="000000" w:themeColor="text1"/>
        </w:rPr>
        <w:t xml:space="preserve"> earlier literature on the policy process</w:t>
      </w:r>
      <w:r w:rsidR="00CA30D4" w:rsidRPr="005F6151">
        <w:rPr>
          <w:rFonts w:cstheme="minorHAnsi"/>
          <w:color w:val="000000" w:themeColor="text1"/>
        </w:rPr>
        <w:t xml:space="preserve"> drawing attention to</w:t>
      </w:r>
      <w:r w:rsidR="004265EF" w:rsidRPr="005F6151">
        <w:rPr>
          <w:rFonts w:cstheme="minorHAnsi"/>
          <w:color w:val="000000" w:themeColor="text1"/>
        </w:rPr>
        <w:t xml:space="preserve"> the role and influence of</w:t>
      </w:r>
      <w:r w:rsidR="00CA30D4" w:rsidRPr="005F6151">
        <w:rPr>
          <w:rFonts w:cstheme="minorHAnsi"/>
          <w:color w:val="000000" w:themeColor="text1"/>
        </w:rPr>
        <w:t xml:space="preserve"> policy networks, policy levels, and/or the impact of policy champions (</w:t>
      </w:r>
      <w:r w:rsidR="00A30F1E" w:rsidRPr="005F6151">
        <w:rPr>
          <w:rFonts w:cstheme="minorHAnsi"/>
          <w:color w:val="000000" w:themeColor="text1"/>
        </w:rPr>
        <w:t xml:space="preserve">see, inter alia, </w:t>
      </w:r>
      <w:r w:rsidR="00CA30D4" w:rsidRPr="005F6151">
        <w:rPr>
          <w:rFonts w:cstheme="minorHAnsi"/>
          <w:color w:val="000000" w:themeColor="text1"/>
        </w:rPr>
        <w:t xml:space="preserve">Jones </w:t>
      </w:r>
      <w:r w:rsidR="00850B99">
        <w:rPr>
          <w:rFonts w:cstheme="minorHAnsi"/>
          <w:color w:val="000000" w:themeColor="text1"/>
        </w:rPr>
        <w:t>&amp;</w:t>
      </w:r>
      <w:r w:rsidR="00CA30D4" w:rsidRPr="005F6151">
        <w:rPr>
          <w:rFonts w:cstheme="minorHAnsi"/>
          <w:color w:val="000000" w:themeColor="text1"/>
        </w:rPr>
        <w:t xml:space="preserve"> Newburn, 2006)</w:t>
      </w:r>
      <w:r w:rsidR="004265EF" w:rsidRPr="005F6151">
        <w:rPr>
          <w:rFonts w:cstheme="minorHAnsi"/>
          <w:color w:val="000000" w:themeColor="text1"/>
        </w:rPr>
        <w:t>.</w:t>
      </w:r>
      <w:r w:rsidR="005C3586" w:rsidRPr="005F6151">
        <w:rPr>
          <w:rFonts w:cstheme="minorHAnsi"/>
          <w:color w:val="000000" w:themeColor="text1"/>
        </w:rPr>
        <w:t xml:space="preserve"> Comparative policy glancing remains ripe for further </w:t>
      </w:r>
      <w:r w:rsidR="00F9684C" w:rsidRPr="005F6151">
        <w:rPr>
          <w:rFonts w:cstheme="minorHAnsi"/>
          <w:color w:val="000000" w:themeColor="text1"/>
        </w:rPr>
        <w:t>excavation</w:t>
      </w:r>
      <w:r w:rsidR="005C3586" w:rsidRPr="005F6151">
        <w:rPr>
          <w:rFonts w:cstheme="minorHAnsi"/>
          <w:color w:val="000000" w:themeColor="text1"/>
        </w:rPr>
        <w:t>.</w:t>
      </w:r>
    </w:p>
    <w:p w14:paraId="0B5DAF32" w14:textId="7B1D5149" w:rsidR="004265EF" w:rsidRPr="005F6151" w:rsidRDefault="004265EF" w:rsidP="005F6151">
      <w:pPr>
        <w:spacing w:line="360" w:lineRule="auto"/>
        <w:jc w:val="both"/>
        <w:rPr>
          <w:rFonts w:cstheme="minorHAnsi"/>
          <w:color w:val="000000" w:themeColor="text1"/>
        </w:rPr>
      </w:pPr>
    </w:p>
    <w:p w14:paraId="2EC4448C" w14:textId="28C17F64" w:rsidR="004265EF" w:rsidRPr="005F6151" w:rsidRDefault="00196FAC" w:rsidP="005F6151">
      <w:pPr>
        <w:spacing w:line="360" w:lineRule="auto"/>
        <w:jc w:val="both"/>
        <w:rPr>
          <w:rFonts w:cstheme="minorHAnsi"/>
          <w:color w:val="FF0000"/>
        </w:rPr>
      </w:pPr>
      <w:r w:rsidRPr="005F6151">
        <w:rPr>
          <w:rFonts w:cstheme="minorHAnsi"/>
          <w:color w:val="000000" w:themeColor="text1"/>
        </w:rPr>
        <w:t>Of course,</w:t>
      </w:r>
      <w:r w:rsidR="004265EF" w:rsidRPr="005F6151">
        <w:rPr>
          <w:rFonts w:cstheme="minorHAnsi"/>
          <w:color w:val="000000" w:themeColor="text1"/>
        </w:rPr>
        <w:t xml:space="preserve"> in all of the above</w:t>
      </w:r>
      <w:r w:rsidR="0089621C">
        <w:rPr>
          <w:rFonts w:cstheme="minorHAnsi"/>
          <w:color w:val="000000" w:themeColor="text1"/>
        </w:rPr>
        <w:t>,</w:t>
      </w:r>
      <w:r w:rsidR="004265EF" w:rsidRPr="005F6151">
        <w:rPr>
          <w:rFonts w:cstheme="minorHAnsi"/>
          <w:color w:val="000000" w:themeColor="text1"/>
        </w:rPr>
        <w:t xml:space="preserve"> some voices are heard more than others</w:t>
      </w:r>
      <w:r w:rsidR="00F27E19" w:rsidRPr="005F6151">
        <w:rPr>
          <w:rFonts w:cstheme="minorHAnsi"/>
          <w:color w:val="000000" w:themeColor="text1"/>
        </w:rPr>
        <w:t>,</w:t>
      </w:r>
      <w:r w:rsidR="004265EF" w:rsidRPr="005F6151">
        <w:rPr>
          <w:rFonts w:cstheme="minorHAnsi"/>
          <w:color w:val="000000" w:themeColor="text1"/>
        </w:rPr>
        <w:t xml:space="preserve"> some</w:t>
      </w:r>
      <w:r w:rsidRPr="005F6151">
        <w:rPr>
          <w:rFonts w:cstheme="minorHAnsi"/>
          <w:color w:val="000000" w:themeColor="text1"/>
        </w:rPr>
        <w:t xml:space="preserve"> voices</w:t>
      </w:r>
      <w:r w:rsidR="004265EF" w:rsidRPr="005F6151">
        <w:rPr>
          <w:rFonts w:cstheme="minorHAnsi"/>
          <w:color w:val="000000" w:themeColor="text1"/>
        </w:rPr>
        <w:t xml:space="preserve"> are silenced</w:t>
      </w:r>
      <w:r w:rsidR="00F27E19" w:rsidRPr="005F6151">
        <w:rPr>
          <w:rFonts w:cstheme="minorHAnsi"/>
          <w:color w:val="000000" w:themeColor="text1"/>
        </w:rPr>
        <w:t>,</w:t>
      </w:r>
      <w:r w:rsidR="004265EF" w:rsidRPr="005F6151">
        <w:rPr>
          <w:rFonts w:cstheme="minorHAnsi"/>
          <w:color w:val="000000" w:themeColor="text1"/>
        </w:rPr>
        <w:t xml:space="preserve"> some </w:t>
      </w:r>
      <w:r w:rsidRPr="005F6151">
        <w:rPr>
          <w:rFonts w:cstheme="minorHAnsi"/>
          <w:color w:val="000000" w:themeColor="text1"/>
        </w:rPr>
        <w:t xml:space="preserve">voices </w:t>
      </w:r>
      <w:r w:rsidR="004265EF" w:rsidRPr="005F6151">
        <w:rPr>
          <w:rFonts w:cstheme="minorHAnsi"/>
          <w:color w:val="000000" w:themeColor="text1"/>
        </w:rPr>
        <w:t>remain hidden</w:t>
      </w:r>
      <w:r w:rsidR="0089621C">
        <w:rPr>
          <w:rFonts w:cstheme="minorHAnsi"/>
          <w:color w:val="000000" w:themeColor="text1"/>
        </w:rPr>
        <w:t>,</w:t>
      </w:r>
      <w:r w:rsidR="00F27E19" w:rsidRPr="005F6151">
        <w:rPr>
          <w:rFonts w:cstheme="minorHAnsi"/>
          <w:color w:val="000000" w:themeColor="text1"/>
        </w:rPr>
        <w:t xml:space="preserve"> and sometimes </w:t>
      </w:r>
      <w:r w:rsidR="0049565A" w:rsidRPr="005F6151">
        <w:rPr>
          <w:rFonts w:cstheme="minorHAnsi"/>
          <w:color w:val="000000" w:themeColor="text1"/>
        </w:rPr>
        <w:t>particularly</w:t>
      </w:r>
      <w:r w:rsidR="0045246B" w:rsidRPr="005F6151">
        <w:rPr>
          <w:rFonts w:cstheme="minorHAnsi"/>
          <w:color w:val="000000" w:themeColor="text1"/>
        </w:rPr>
        <w:t xml:space="preserve"> prominent voices may </w:t>
      </w:r>
      <w:r w:rsidR="00F27E19" w:rsidRPr="005F6151">
        <w:rPr>
          <w:rFonts w:cstheme="minorHAnsi"/>
          <w:color w:val="000000" w:themeColor="text1"/>
        </w:rPr>
        <w:t>claim to speak on behalf of others.</w:t>
      </w:r>
      <w:r w:rsidR="00C918E0" w:rsidRPr="005F6151">
        <w:rPr>
          <w:rFonts w:cstheme="minorHAnsi"/>
          <w:color w:val="000000" w:themeColor="text1"/>
        </w:rPr>
        <w:t xml:space="preserve"> It is notable that in </w:t>
      </w:r>
      <w:r w:rsidR="00FF56C6" w:rsidRPr="005F6151">
        <w:rPr>
          <w:rFonts w:cstheme="minorHAnsi"/>
          <w:color w:val="000000" w:themeColor="text1"/>
        </w:rPr>
        <w:t>Australia</w:t>
      </w:r>
      <w:r w:rsidR="00C918E0" w:rsidRPr="005F6151">
        <w:rPr>
          <w:rFonts w:cstheme="minorHAnsi"/>
          <w:color w:val="000000" w:themeColor="text1"/>
        </w:rPr>
        <w:t xml:space="preserve">, like in many </w:t>
      </w:r>
      <w:r w:rsidR="00FF56C6" w:rsidRPr="005F6151">
        <w:rPr>
          <w:rFonts w:cstheme="minorHAnsi"/>
          <w:color w:val="000000" w:themeColor="text1"/>
        </w:rPr>
        <w:t>jurisdictions</w:t>
      </w:r>
      <w:r w:rsidR="00C918E0" w:rsidRPr="005F6151">
        <w:rPr>
          <w:rFonts w:cstheme="minorHAnsi"/>
          <w:color w:val="000000" w:themeColor="text1"/>
        </w:rPr>
        <w:t xml:space="preserve"> globally, there has been a concerted effort in recent years to more </w:t>
      </w:r>
      <w:r w:rsidR="00FF56C6" w:rsidRPr="005F6151">
        <w:rPr>
          <w:rFonts w:cstheme="minorHAnsi"/>
          <w:color w:val="000000" w:themeColor="text1"/>
        </w:rPr>
        <w:t>explicitly</w:t>
      </w:r>
      <w:r w:rsidR="00C918E0" w:rsidRPr="005F6151">
        <w:rPr>
          <w:rFonts w:cstheme="minorHAnsi"/>
          <w:color w:val="000000" w:themeColor="text1"/>
        </w:rPr>
        <w:t xml:space="preserve"> ensure the voices of lived experience</w:t>
      </w:r>
      <w:r w:rsidR="00930C52" w:rsidRPr="005F6151">
        <w:rPr>
          <w:rFonts w:cstheme="minorHAnsi"/>
          <w:color w:val="000000" w:themeColor="text1"/>
        </w:rPr>
        <w:t>s</w:t>
      </w:r>
      <w:r w:rsidR="00C918E0" w:rsidRPr="005F6151">
        <w:rPr>
          <w:rFonts w:cstheme="minorHAnsi"/>
          <w:color w:val="000000" w:themeColor="text1"/>
        </w:rPr>
        <w:t xml:space="preserve"> are </w:t>
      </w:r>
      <w:r w:rsidR="00C918E0" w:rsidRPr="005F6151">
        <w:rPr>
          <w:rFonts w:cstheme="minorHAnsi"/>
          <w:color w:val="000000" w:themeColor="text1"/>
        </w:rPr>
        <w:lastRenderedPageBreak/>
        <w:t xml:space="preserve">included in the </w:t>
      </w:r>
      <w:r w:rsidR="007E3D31">
        <w:rPr>
          <w:rFonts w:cstheme="minorHAnsi"/>
          <w:color w:val="000000" w:themeColor="text1"/>
        </w:rPr>
        <w:t>policy-making</w:t>
      </w:r>
      <w:r w:rsidR="00C918E0" w:rsidRPr="005F6151">
        <w:rPr>
          <w:rFonts w:cstheme="minorHAnsi"/>
          <w:color w:val="000000" w:themeColor="text1"/>
        </w:rPr>
        <w:t xml:space="preserve"> process (Fitz-Gibbon et al., 2022</w:t>
      </w:r>
      <w:r w:rsidR="00654C01" w:rsidRPr="005F6151">
        <w:rPr>
          <w:rFonts w:cstheme="minorHAnsi"/>
          <w:color w:val="000000" w:themeColor="text1"/>
        </w:rPr>
        <w:t>b</w:t>
      </w:r>
      <w:r w:rsidR="00C918E0" w:rsidRPr="005F6151">
        <w:rPr>
          <w:rFonts w:cstheme="minorHAnsi"/>
          <w:color w:val="000000" w:themeColor="text1"/>
        </w:rPr>
        <w:t>).</w:t>
      </w:r>
      <w:r w:rsidR="00F27E19" w:rsidRPr="005F6151">
        <w:rPr>
          <w:rFonts w:cstheme="minorHAnsi"/>
          <w:color w:val="000000" w:themeColor="text1"/>
        </w:rPr>
        <w:t xml:space="preserve"> </w:t>
      </w:r>
      <w:r w:rsidR="008A5CAB" w:rsidRPr="005F6151">
        <w:rPr>
          <w:rFonts w:cstheme="minorHAnsi"/>
          <w:color w:val="000000" w:themeColor="text1"/>
        </w:rPr>
        <w:t>For</w:t>
      </w:r>
      <w:r w:rsidR="00F27E19" w:rsidRPr="005F6151">
        <w:rPr>
          <w:rFonts w:cstheme="minorHAnsi"/>
          <w:color w:val="000000" w:themeColor="text1"/>
        </w:rPr>
        <w:t xml:space="preserve"> the policies under consideration here</w:t>
      </w:r>
      <w:r w:rsidR="00A16305" w:rsidRPr="005F6151">
        <w:rPr>
          <w:rFonts w:cstheme="minorHAnsi"/>
          <w:color w:val="000000" w:themeColor="text1"/>
        </w:rPr>
        <w:t xml:space="preserve">, </w:t>
      </w:r>
      <w:r w:rsidR="000315BC" w:rsidRPr="005F6151">
        <w:rPr>
          <w:rFonts w:cstheme="minorHAnsi"/>
          <w:color w:val="000000" w:themeColor="text1"/>
        </w:rPr>
        <w:t>the impacts of their uptake are reflected in</w:t>
      </w:r>
      <w:r w:rsidR="00F27E19" w:rsidRPr="005F6151">
        <w:rPr>
          <w:rFonts w:cstheme="minorHAnsi"/>
          <w:color w:val="000000" w:themeColor="text1"/>
        </w:rPr>
        <w:t xml:space="preserve"> the patchy and uneven articulation </w:t>
      </w:r>
      <w:r w:rsidR="00587E18" w:rsidRPr="005F6151">
        <w:rPr>
          <w:rFonts w:cstheme="minorHAnsi"/>
          <w:color w:val="000000" w:themeColor="text1"/>
        </w:rPr>
        <w:t xml:space="preserve">of the merits of this policy approach </w:t>
      </w:r>
      <w:r w:rsidR="00F27E19" w:rsidRPr="005F6151">
        <w:rPr>
          <w:rFonts w:cstheme="minorHAnsi"/>
          <w:color w:val="000000" w:themeColor="text1"/>
        </w:rPr>
        <w:t>across Australia</w:t>
      </w:r>
      <w:r w:rsidR="00B55124" w:rsidRPr="005F6151">
        <w:rPr>
          <w:rFonts w:cstheme="minorHAnsi"/>
          <w:color w:val="000000" w:themeColor="text1"/>
        </w:rPr>
        <w:t xml:space="preserve">n states and </w:t>
      </w:r>
      <w:r w:rsidR="002659A1" w:rsidRPr="005F6151">
        <w:rPr>
          <w:rFonts w:cstheme="minorHAnsi"/>
          <w:color w:val="000000" w:themeColor="text1"/>
        </w:rPr>
        <w:t>territories</w:t>
      </w:r>
      <w:r w:rsidR="00F27E19" w:rsidRPr="005F6151">
        <w:rPr>
          <w:rFonts w:cstheme="minorHAnsi"/>
          <w:color w:val="000000" w:themeColor="text1"/>
        </w:rPr>
        <w:t>. The tendency for policy agendas to proceed as if they represent what women</w:t>
      </w:r>
      <w:r w:rsidR="00877BD7" w:rsidRPr="005F6151">
        <w:rPr>
          <w:rFonts w:cstheme="minorHAnsi"/>
          <w:color w:val="000000" w:themeColor="text1"/>
        </w:rPr>
        <w:t xml:space="preserve"> victim-survivors</w:t>
      </w:r>
      <w:r w:rsidR="00F27E19" w:rsidRPr="005F6151">
        <w:rPr>
          <w:rFonts w:cstheme="minorHAnsi"/>
          <w:color w:val="000000" w:themeColor="text1"/>
        </w:rPr>
        <w:t xml:space="preserve"> may want </w:t>
      </w:r>
      <w:r w:rsidR="005C3586" w:rsidRPr="005F6151">
        <w:rPr>
          <w:rFonts w:cstheme="minorHAnsi"/>
          <w:color w:val="000000" w:themeColor="text1"/>
        </w:rPr>
        <w:t>to</w:t>
      </w:r>
      <w:r w:rsidR="00F27E19" w:rsidRPr="005F6151">
        <w:rPr>
          <w:rFonts w:cstheme="minorHAnsi"/>
          <w:color w:val="000000" w:themeColor="text1"/>
        </w:rPr>
        <w:t xml:space="preserve"> ensure their safety is arguably the most disturbing feature of </w:t>
      </w:r>
      <w:r w:rsidRPr="005F6151">
        <w:rPr>
          <w:rFonts w:cstheme="minorHAnsi"/>
          <w:color w:val="000000" w:themeColor="text1"/>
        </w:rPr>
        <w:t>some of the claims made in this particular</w:t>
      </w:r>
      <w:r w:rsidR="00F27E19" w:rsidRPr="005F6151">
        <w:rPr>
          <w:rFonts w:cstheme="minorHAnsi"/>
          <w:color w:val="000000" w:themeColor="text1"/>
        </w:rPr>
        <w:t xml:space="preserve"> policy landscape. This is the case</w:t>
      </w:r>
      <w:r w:rsidRPr="005F6151">
        <w:rPr>
          <w:rFonts w:cstheme="minorHAnsi"/>
          <w:color w:val="000000" w:themeColor="text1"/>
        </w:rPr>
        <w:t xml:space="preserve"> across </w:t>
      </w:r>
      <w:r w:rsidR="009F7FB1" w:rsidRPr="005F6151">
        <w:rPr>
          <w:rFonts w:cstheme="minorHAnsi"/>
          <w:color w:val="000000" w:themeColor="text1"/>
        </w:rPr>
        <w:t>several</w:t>
      </w:r>
      <w:r w:rsidRPr="005F6151">
        <w:rPr>
          <w:rFonts w:cstheme="minorHAnsi"/>
          <w:color w:val="000000" w:themeColor="text1"/>
        </w:rPr>
        <w:t xml:space="preserve"> states </w:t>
      </w:r>
      <w:r w:rsidR="009D59D7" w:rsidRPr="005F6151">
        <w:rPr>
          <w:rFonts w:cstheme="minorHAnsi"/>
          <w:color w:val="000000" w:themeColor="text1"/>
        </w:rPr>
        <w:t xml:space="preserve">and territories </w:t>
      </w:r>
      <w:r w:rsidRPr="005F6151">
        <w:rPr>
          <w:rFonts w:cstheme="minorHAnsi"/>
          <w:color w:val="000000" w:themeColor="text1"/>
        </w:rPr>
        <w:t>in Australia</w:t>
      </w:r>
      <w:r w:rsidR="00F27E19" w:rsidRPr="005F6151">
        <w:rPr>
          <w:rFonts w:cstheme="minorHAnsi"/>
          <w:color w:val="000000" w:themeColor="text1"/>
        </w:rPr>
        <w:t xml:space="preserve"> </w:t>
      </w:r>
      <w:r w:rsidR="005C3586" w:rsidRPr="005F6151">
        <w:rPr>
          <w:rFonts w:cstheme="minorHAnsi"/>
          <w:color w:val="000000" w:themeColor="text1"/>
        </w:rPr>
        <w:t>except for</w:t>
      </w:r>
      <w:r w:rsidR="00F27E19" w:rsidRPr="005F6151">
        <w:rPr>
          <w:rFonts w:cstheme="minorHAnsi"/>
          <w:color w:val="000000" w:themeColor="text1"/>
        </w:rPr>
        <w:t xml:space="preserve"> those that have spent time, money</w:t>
      </w:r>
      <w:r w:rsidR="006A2AEF">
        <w:rPr>
          <w:rFonts w:cstheme="minorHAnsi"/>
          <w:color w:val="000000" w:themeColor="text1"/>
        </w:rPr>
        <w:t>,</w:t>
      </w:r>
      <w:r w:rsidR="00F27E19" w:rsidRPr="005F6151">
        <w:rPr>
          <w:rFonts w:cstheme="minorHAnsi"/>
          <w:color w:val="000000" w:themeColor="text1"/>
        </w:rPr>
        <w:t xml:space="preserve"> and energy on the Royal Co</w:t>
      </w:r>
      <w:r w:rsidR="007F5BA4" w:rsidRPr="005F6151">
        <w:rPr>
          <w:rFonts w:cstheme="minorHAnsi"/>
          <w:color w:val="000000" w:themeColor="text1"/>
        </w:rPr>
        <w:t>m</w:t>
      </w:r>
      <w:r w:rsidR="00F27E19" w:rsidRPr="005F6151">
        <w:rPr>
          <w:rFonts w:cstheme="minorHAnsi"/>
          <w:color w:val="000000" w:themeColor="text1"/>
        </w:rPr>
        <w:t>mission/Inquiry model. In both Queensland and Victoria</w:t>
      </w:r>
      <w:r w:rsidR="008418B9" w:rsidRPr="005F6151">
        <w:rPr>
          <w:rFonts w:cstheme="minorHAnsi"/>
          <w:color w:val="000000" w:themeColor="text1"/>
        </w:rPr>
        <w:t>,</w:t>
      </w:r>
      <w:r w:rsidR="00F27E19" w:rsidRPr="005F6151">
        <w:rPr>
          <w:rFonts w:cstheme="minorHAnsi"/>
          <w:color w:val="000000" w:themeColor="text1"/>
        </w:rPr>
        <w:t xml:space="preserve"> the steps taken to remain accountable to victim-survivor voices </w:t>
      </w:r>
      <w:r w:rsidR="009E53D4">
        <w:rPr>
          <w:rFonts w:cstheme="minorHAnsi"/>
          <w:color w:val="000000" w:themeColor="text1"/>
        </w:rPr>
        <w:t>are</w:t>
      </w:r>
      <w:r w:rsidR="00F27E19" w:rsidRPr="005F6151">
        <w:rPr>
          <w:rFonts w:cstheme="minorHAnsi"/>
          <w:color w:val="000000" w:themeColor="text1"/>
        </w:rPr>
        <w:t xml:space="preserve"> to be celebrated alongside the</w:t>
      </w:r>
      <w:r w:rsidR="00C13BA8" w:rsidRPr="005F6151">
        <w:rPr>
          <w:rFonts w:cstheme="minorHAnsi"/>
          <w:color w:val="000000" w:themeColor="text1"/>
        </w:rPr>
        <w:t xml:space="preserve"> motivation to </w:t>
      </w:r>
      <w:r w:rsidR="00D44148" w:rsidRPr="005F6151">
        <w:rPr>
          <w:rFonts w:cstheme="minorHAnsi"/>
          <w:color w:val="000000" w:themeColor="text1"/>
        </w:rPr>
        <w:t xml:space="preserve">ensure </w:t>
      </w:r>
      <w:r w:rsidR="00C13BA8" w:rsidRPr="005F6151">
        <w:rPr>
          <w:rFonts w:cstheme="minorHAnsi"/>
          <w:color w:val="000000" w:themeColor="text1"/>
        </w:rPr>
        <w:t xml:space="preserve">the </w:t>
      </w:r>
      <w:r w:rsidR="00D44148" w:rsidRPr="005F6151">
        <w:rPr>
          <w:rFonts w:cstheme="minorHAnsi"/>
          <w:color w:val="000000" w:themeColor="text1"/>
        </w:rPr>
        <w:t xml:space="preserve">perpetrator is kept </w:t>
      </w:r>
      <w:r w:rsidR="00C13BA8" w:rsidRPr="005F6151">
        <w:rPr>
          <w:rFonts w:cstheme="minorHAnsi"/>
          <w:color w:val="000000" w:themeColor="text1"/>
        </w:rPr>
        <w:t>in view</w:t>
      </w:r>
      <w:r w:rsidR="00D44148" w:rsidRPr="005F6151">
        <w:rPr>
          <w:rFonts w:cstheme="minorHAnsi"/>
          <w:color w:val="000000" w:themeColor="text1"/>
        </w:rPr>
        <w:t xml:space="preserve"> and accountability is upheld at each point of the system</w:t>
      </w:r>
      <w:r w:rsidR="00C13BA8" w:rsidRPr="005F6151">
        <w:rPr>
          <w:rFonts w:cstheme="minorHAnsi"/>
          <w:color w:val="000000" w:themeColor="text1"/>
        </w:rPr>
        <w:t>.</w:t>
      </w:r>
      <w:r w:rsidR="00CC7465" w:rsidRPr="005F6151">
        <w:rPr>
          <w:rFonts w:cstheme="minorHAnsi"/>
          <w:color w:val="000000" w:themeColor="text1"/>
        </w:rPr>
        <w:t xml:space="preserve"> </w:t>
      </w:r>
      <w:r w:rsidR="00ED0F31" w:rsidRPr="005F6151">
        <w:rPr>
          <w:rFonts w:cstheme="minorHAnsi"/>
          <w:color w:val="000000" w:themeColor="text1"/>
        </w:rPr>
        <w:t>This approach lends itself to the observations of Morgan (2012</w:t>
      </w:r>
      <w:r w:rsidR="00FF62F5" w:rsidRPr="005F6151">
        <w:rPr>
          <w:rFonts w:cstheme="minorHAnsi"/>
          <w:color w:val="000000" w:themeColor="text1"/>
        </w:rPr>
        <w:t>: 352</w:t>
      </w:r>
      <w:r w:rsidR="00ED0F31" w:rsidRPr="005F6151">
        <w:rPr>
          <w:rFonts w:cstheme="minorHAnsi"/>
          <w:color w:val="000000" w:themeColor="text1"/>
        </w:rPr>
        <w:t xml:space="preserve">), who </w:t>
      </w:r>
      <w:r w:rsidR="00092810" w:rsidRPr="005F6151">
        <w:rPr>
          <w:rFonts w:cstheme="minorHAnsi"/>
          <w:color w:val="000000" w:themeColor="text1"/>
        </w:rPr>
        <w:t>p</w:t>
      </w:r>
      <w:r w:rsidR="00ED0F31" w:rsidRPr="005F6151">
        <w:rPr>
          <w:rFonts w:cstheme="minorHAnsi"/>
          <w:color w:val="000000" w:themeColor="text1"/>
        </w:rPr>
        <w:t xml:space="preserve">ut forth the argument that </w:t>
      </w:r>
      <w:r w:rsidR="00092810" w:rsidRPr="005F6151">
        <w:rPr>
          <w:rFonts w:cstheme="minorHAnsi"/>
          <w:color w:val="000000" w:themeColor="text1"/>
        </w:rPr>
        <w:t>‘when law reform … is driven</w:t>
      </w:r>
      <w:r w:rsidR="007D0678" w:rsidRPr="005F6151">
        <w:rPr>
          <w:rFonts w:cstheme="minorHAnsi"/>
          <w:color w:val="000000" w:themeColor="text1"/>
        </w:rPr>
        <w:t xml:space="preserve"> by </w:t>
      </w:r>
      <w:r w:rsidR="007D00C1" w:rsidRPr="005F6151">
        <w:rPr>
          <w:rFonts w:cstheme="minorHAnsi"/>
          <w:color w:val="000000" w:themeColor="text1"/>
        </w:rPr>
        <w:t xml:space="preserve">the </w:t>
      </w:r>
      <w:r w:rsidR="007D0678" w:rsidRPr="005F6151">
        <w:rPr>
          <w:rFonts w:cstheme="minorHAnsi"/>
          <w:color w:val="000000" w:themeColor="text1"/>
        </w:rPr>
        <w:t xml:space="preserve">social context in which the legal </w:t>
      </w:r>
      <w:r w:rsidR="00FF62F5" w:rsidRPr="005F6151">
        <w:rPr>
          <w:rFonts w:cstheme="minorHAnsi"/>
          <w:color w:val="000000" w:themeColor="text1"/>
        </w:rPr>
        <w:t>phenomenon</w:t>
      </w:r>
      <w:r w:rsidR="007D0678" w:rsidRPr="005F6151">
        <w:rPr>
          <w:rFonts w:cstheme="minorHAnsi"/>
          <w:color w:val="000000" w:themeColor="text1"/>
        </w:rPr>
        <w:t xml:space="preserve"> of interest occurs, one is more likely to get </w:t>
      </w:r>
      <w:r w:rsidR="00FF62F5" w:rsidRPr="005F6151">
        <w:rPr>
          <w:rFonts w:cstheme="minorHAnsi"/>
          <w:color w:val="000000" w:themeColor="text1"/>
        </w:rPr>
        <w:t>progressive legal change’</w:t>
      </w:r>
      <w:r w:rsidR="00A44626" w:rsidRPr="005F6151">
        <w:rPr>
          <w:rFonts w:cstheme="minorHAnsi"/>
          <w:color w:val="000000" w:themeColor="text1"/>
        </w:rPr>
        <w:t>, as well as the principles set forth in the ALRC and NSWLRC report</w:t>
      </w:r>
      <w:r w:rsidR="00821F0E">
        <w:rPr>
          <w:rFonts w:cstheme="minorHAnsi"/>
          <w:color w:val="000000" w:themeColor="text1"/>
        </w:rPr>
        <w:t xml:space="preserve"> (2010)</w:t>
      </w:r>
      <w:r w:rsidR="00A44626" w:rsidRPr="005F6151">
        <w:rPr>
          <w:rFonts w:cstheme="minorHAnsi"/>
          <w:color w:val="000000" w:themeColor="text1"/>
        </w:rPr>
        <w:t xml:space="preserve">. This </w:t>
      </w:r>
      <w:r w:rsidR="00C13BA8" w:rsidRPr="005F6151">
        <w:rPr>
          <w:rFonts w:cstheme="minorHAnsi"/>
          <w:color w:val="000000" w:themeColor="text1"/>
        </w:rPr>
        <w:t>is a model</w:t>
      </w:r>
      <w:r w:rsidR="00930C52" w:rsidRPr="005F6151">
        <w:rPr>
          <w:rFonts w:cstheme="minorHAnsi"/>
          <w:color w:val="000000" w:themeColor="text1"/>
        </w:rPr>
        <w:t xml:space="preserve"> that</w:t>
      </w:r>
      <w:r w:rsidR="00C13BA8" w:rsidRPr="005F6151">
        <w:rPr>
          <w:rFonts w:cstheme="minorHAnsi"/>
          <w:color w:val="000000" w:themeColor="text1"/>
        </w:rPr>
        <w:t>, if transferred to other jurisdictions across the globe</w:t>
      </w:r>
      <w:r w:rsidRPr="005F6151">
        <w:rPr>
          <w:rFonts w:cstheme="minorHAnsi"/>
          <w:color w:val="000000" w:themeColor="text1"/>
        </w:rPr>
        <w:t>,</w:t>
      </w:r>
      <w:r w:rsidR="00C13BA8" w:rsidRPr="005F6151">
        <w:rPr>
          <w:rFonts w:cstheme="minorHAnsi"/>
          <w:color w:val="000000" w:themeColor="text1"/>
        </w:rPr>
        <w:t xml:space="preserve"> may well</w:t>
      </w:r>
      <w:r w:rsidRPr="005F6151">
        <w:rPr>
          <w:rFonts w:cstheme="minorHAnsi"/>
          <w:color w:val="000000" w:themeColor="text1"/>
        </w:rPr>
        <w:t xml:space="preserve"> travel better if the aim is to </w:t>
      </w:r>
      <w:r w:rsidR="009F25E3" w:rsidRPr="005F6151">
        <w:rPr>
          <w:rFonts w:cstheme="minorHAnsi"/>
          <w:color w:val="000000" w:themeColor="text1"/>
        </w:rPr>
        <w:t xml:space="preserve">design and </w:t>
      </w:r>
      <w:r w:rsidR="006937B2" w:rsidRPr="005F6151">
        <w:rPr>
          <w:rFonts w:cstheme="minorHAnsi"/>
          <w:color w:val="000000" w:themeColor="text1"/>
        </w:rPr>
        <w:t>implement</w:t>
      </w:r>
      <w:r w:rsidR="009F25E3" w:rsidRPr="005F6151">
        <w:rPr>
          <w:rFonts w:cstheme="minorHAnsi"/>
          <w:color w:val="000000" w:themeColor="text1"/>
        </w:rPr>
        <w:t xml:space="preserve"> a </w:t>
      </w:r>
      <w:r w:rsidR="000E4317" w:rsidRPr="005F6151">
        <w:rPr>
          <w:rFonts w:cstheme="minorHAnsi"/>
          <w:color w:val="000000" w:themeColor="text1"/>
        </w:rPr>
        <w:t>response</w:t>
      </w:r>
      <w:r w:rsidR="009F25E3" w:rsidRPr="005F6151">
        <w:rPr>
          <w:rFonts w:cstheme="minorHAnsi"/>
          <w:color w:val="000000" w:themeColor="text1"/>
        </w:rPr>
        <w:t xml:space="preserve"> system</w:t>
      </w:r>
      <w:r w:rsidRPr="005F6151">
        <w:rPr>
          <w:rFonts w:cstheme="minorHAnsi"/>
          <w:color w:val="000000" w:themeColor="text1"/>
        </w:rPr>
        <w:t xml:space="preserve"> of benefit</w:t>
      </w:r>
      <w:r w:rsidR="00C13BA8" w:rsidRPr="005F6151">
        <w:rPr>
          <w:rFonts w:cstheme="minorHAnsi"/>
          <w:color w:val="000000" w:themeColor="text1"/>
        </w:rPr>
        <w:t xml:space="preserve"> to those</w:t>
      </w:r>
      <w:r w:rsidR="006937B2" w:rsidRPr="005F6151">
        <w:rPr>
          <w:rFonts w:cstheme="minorHAnsi"/>
          <w:color w:val="000000" w:themeColor="text1"/>
        </w:rPr>
        <w:t xml:space="preserve"> victim-survivors</w:t>
      </w:r>
      <w:r w:rsidR="00C13BA8" w:rsidRPr="005F6151">
        <w:rPr>
          <w:rFonts w:cstheme="minorHAnsi"/>
          <w:color w:val="000000" w:themeColor="text1"/>
        </w:rPr>
        <w:t xml:space="preserve"> seeking safety from men’s violence(s).</w:t>
      </w:r>
    </w:p>
    <w:p w14:paraId="0A6D1579" w14:textId="77777777" w:rsidR="004B26C9" w:rsidRPr="005F6151" w:rsidRDefault="004B26C9" w:rsidP="005F6151">
      <w:pPr>
        <w:spacing w:line="360" w:lineRule="auto"/>
        <w:jc w:val="both"/>
        <w:rPr>
          <w:rFonts w:cstheme="minorHAnsi"/>
          <w:color w:val="FF0000"/>
        </w:rPr>
      </w:pPr>
    </w:p>
    <w:p w14:paraId="018958C7" w14:textId="77777777" w:rsidR="005F61D2" w:rsidRPr="005F6151" w:rsidRDefault="000C520B" w:rsidP="00821F0E">
      <w:pPr>
        <w:pStyle w:val="Heading1"/>
      </w:pPr>
      <w:r w:rsidRPr="005F6151">
        <w:t xml:space="preserve">References </w:t>
      </w:r>
    </w:p>
    <w:p w14:paraId="0EB5154B" w14:textId="333BD9B6" w:rsidR="00162563" w:rsidRPr="005F6151" w:rsidRDefault="00162563" w:rsidP="005F6151">
      <w:pPr>
        <w:spacing w:line="360" w:lineRule="auto"/>
        <w:ind w:left="720" w:hanging="720"/>
        <w:jc w:val="both"/>
        <w:rPr>
          <w:rFonts w:cstheme="minorHAnsi"/>
        </w:rPr>
      </w:pPr>
      <w:r w:rsidRPr="005F6151">
        <w:rPr>
          <w:rFonts w:cstheme="minorHAnsi"/>
        </w:rPr>
        <w:t>Australian Law Reform Commission and New South Wales Law Reform Commission. (2010)</w:t>
      </w:r>
      <w:r w:rsidR="00BC1299">
        <w:rPr>
          <w:rFonts w:cstheme="minorHAnsi"/>
        </w:rPr>
        <w:t>.</w:t>
      </w:r>
      <w:r w:rsidRPr="005F6151">
        <w:rPr>
          <w:rFonts w:cstheme="minorHAnsi"/>
        </w:rPr>
        <w:t xml:space="preserve"> </w:t>
      </w:r>
      <w:r w:rsidRPr="005F6151">
        <w:rPr>
          <w:rFonts w:cstheme="minorHAnsi"/>
          <w:i/>
        </w:rPr>
        <w:t xml:space="preserve">Family </w:t>
      </w:r>
      <w:r w:rsidR="00C81ADD">
        <w:rPr>
          <w:rFonts w:cstheme="minorHAnsi"/>
          <w:i/>
        </w:rPr>
        <w:t>V</w:t>
      </w:r>
      <w:r w:rsidRPr="005F6151">
        <w:rPr>
          <w:rFonts w:cstheme="minorHAnsi"/>
          <w:i/>
        </w:rPr>
        <w:t xml:space="preserve">iolence – A National Legal Response, </w:t>
      </w:r>
      <w:r w:rsidRPr="005F6151">
        <w:rPr>
          <w:rFonts w:cstheme="minorHAnsi"/>
        </w:rPr>
        <w:t xml:space="preserve">ALRC Report 114. </w:t>
      </w:r>
      <w:r w:rsidR="00D029A9">
        <w:rPr>
          <w:rFonts w:cstheme="minorHAnsi"/>
        </w:rPr>
        <w:t xml:space="preserve">ALRC, </w:t>
      </w:r>
      <w:r w:rsidRPr="005F6151">
        <w:rPr>
          <w:rFonts w:cstheme="minorHAnsi"/>
        </w:rPr>
        <w:t xml:space="preserve">Canberra. </w:t>
      </w:r>
    </w:p>
    <w:p w14:paraId="35B540E7" w14:textId="1B11CC6F" w:rsidR="00FB119A" w:rsidRPr="005F6151" w:rsidRDefault="00FB119A" w:rsidP="005F6151">
      <w:pPr>
        <w:spacing w:line="360" w:lineRule="auto"/>
        <w:ind w:left="720" w:hanging="720"/>
        <w:jc w:val="both"/>
        <w:rPr>
          <w:rFonts w:cstheme="minorHAnsi"/>
          <w:color w:val="333333"/>
          <w:shd w:val="clear" w:color="auto" w:fill="FFFFFF"/>
        </w:rPr>
      </w:pPr>
      <w:r w:rsidRPr="005F6151">
        <w:rPr>
          <w:rFonts w:cstheme="minorHAnsi"/>
          <w:color w:val="333333"/>
          <w:shd w:val="clear" w:color="auto" w:fill="FFFFFF"/>
        </w:rPr>
        <w:t>Bainbridge, L. (2021)</w:t>
      </w:r>
      <w:r w:rsidR="00B629AF">
        <w:rPr>
          <w:rFonts w:cstheme="minorHAnsi"/>
          <w:color w:val="333333"/>
          <w:shd w:val="clear" w:color="auto" w:fill="FFFFFF"/>
        </w:rPr>
        <w:t>.</w:t>
      </w:r>
      <w:r w:rsidRPr="005F6151">
        <w:rPr>
          <w:rFonts w:cstheme="minorHAnsi"/>
          <w:color w:val="333333"/>
          <w:shd w:val="clear" w:color="auto" w:fill="FFFFFF"/>
        </w:rPr>
        <w:t xml:space="preserve"> Police and Crime Commissioners: </w:t>
      </w:r>
      <w:r w:rsidR="00594E08">
        <w:rPr>
          <w:rFonts w:cstheme="minorHAnsi"/>
          <w:color w:val="333333"/>
          <w:shd w:val="clear" w:color="auto" w:fill="FFFFFF"/>
        </w:rPr>
        <w:t>N</w:t>
      </w:r>
      <w:r w:rsidRPr="005F6151">
        <w:rPr>
          <w:rFonts w:cstheme="minorHAnsi"/>
          <w:color w:val="333333"/>
          <w:shd w:val="clear" w:color="auto" w:fill="FFFFFF"/>
        </w:rPr>
        <w:t>ew agents of crime and justice policy transfer? </w:t>
      </w:r>
      <w:r w:rsidRPr="00984B70">
        <w:rPr>
          <w:rFonts w:cstheme="minorHAnsi"/>
          <w:i/>
          <w:iCs/>
          <w:color w:val="333333"/>
          <w:shd w:val="clear" w:color="auto" w:fill="FFFFFF"/>
        </w:rPr>
        <w:t>Policing and Society</w:t>
      </w:r>
      <w:r w:rsidRPr="005F6151">
        <w:rPr>
          <w:rFonts w:cstheme="minorHAnsi"/>
          <w:color w:val="333333"/>
          <w:shd w:val="clear" w:color="auto" w:fill="FFFFFF"/>
        </w:rPr>
        <w:t>, 31</w:t>
      </w:r>
      <w:r w:rsidR="00404A40">
        <w:rPr>
          <w:rFonts w:cstheme="minorHAnsi"/>
          <w:color w:val="333333"/>
          <w:shd w:val="clear" w:color="auto" w:fill="FFFFFF"/>
        </w:rPr>
        <w:t>(</w:t>
      </w:r>
      <w:r w:rsidRPr="005F6151">
        <w:rPr>
          <w:rFonts w:cstheme="minorHAnsi"/>
          <w:color w:val="333333"/>
          <w:shd w:val="clear" w:color="auto" w:fill="FFFFFF"/>
        </w:rPr>
        <w:t>6</w:t>
      </w:r>
      <w:r w:rsidR="00404A40">
        <w:rPr>
          <w:rFonts w:cstheme="minorHAnsi"/>
          <w:color w:val="333333"/>
          <w:shd w:val="clear" w:color="auto" w:fill="FFFFFF"/>
        </w:rPr>
        <w:t>),</w:t>
      </w:r>
      <w:r w:rsidRPr="005F6151">
        <w:rPr>
          <w:rFonts w:cstheme="minorHAnsi"/>
          <w:color w:val="333333"/>
          <w:shd w:val="clear" w:color="auto" w:fill="FFFFFF"/>
        </w:rPr>
        <w:t> 721-734</w:t>
      </w:r>
      <w:r w:rsidR="00404A40">
        <w:rPr>
          <w:rFonts w:cstheme="minorHAnsi"/>
          <w:color w:val="333333"/>
          <w:shd w:val="clear" w:color="auto" w:fill="FFFFFF"/>
        </w:rPr>
        <w:t>.</w:t>
      </w:r>
      <w:r w:rsidR="00404A40" w:rsidRPr="005F6151">
        <w:rPr>
          <w:rFonts w:cstheme="minorHAnsi"/>
          <w:color w:val="333333"/>
          <w:shd w:val="clear" w:color="auto" w:fill="FFFFFF"/>
        </w:rPr>
        <w:t xml:space="preserve"> </w:t>
      </w:r>
    </w:p>
    <w:p w14:paraId="087C9A08" w14:textId="0B3A3EDB" w:rsidR="009A5550" w:rsidRPr="005F6151" w:rsidRDefault="009A5550" w:rsidP="005F6151">
      <w:pPr>
        <w:spacing w:line="360" w:lineRule="auto"/>
        <w:ind w:left="720" w:hanging="720"/>
        <w:jc w:val="both"/>
        <w:rPr>
          <w:rFonts w:cstheme="minorHAnsi"/>
          <w:color w:val="333333"/>
          <w:shd w:val="clear" w:color="auto" w:fill="FFFFFF"/>
          <w:lang w:val="en-GB"/>
        </w:rPr>
      </w:pPr>
      <w:r w:rsidRPr="005F6151">
        <w:rPr>
          <w:rFonts w:cstheme="minorHAnsi"/>
          <w:color w:val="333333"/>
          <w:shd w:val="clear" w:color="auto" w:fill="FFFFFF"/>
        </w:rPr>
        <w:t>Barlow</w:t>
      </w:r>
      <w:r w:rsidR="00B97135" w:rsidRPr="005F6151">
        <w:rPr>
          <w:rFonts w:cstheme="minorHAnsi"/>
          <w:color w:val="333333"/>
          <w:shd w:val="clear" w:color="auto" w:fill="FFFFFF"/>
        </w:rPr>
        <w:t>, C.</w:t>
      </w:r>
      <w:r w:rsidR="00404A40">
        <w:rPr>
          <w:rFonts w:cstheme="minorHAnsi"/>
          <w:color w:val="333333"/>
          <w:shd w:val="clear" w:color="auto" w:fill="FFFFFF"/>
        </w:rPr>
        <w:t>,</w:t>
      </w:r>
      <w:r w:rsidR="00B97135" w:rsidRPr="005F6151">
        <w:rPr>
          <w:rFonts w:cstheme="minorHAnsi"/>
          <w:color w:val="333333"/>
          <w:shd w:val="clear" w:color="auto" w:fill="FFFFFF"/>
        </w:rPr>
        <w:t xml:space="preserve"> </w:t>
      </w:r>
      <w:proofErr w:type="spellStart"/>
      <w:r w:rsidR="00B97135" w:rsidRPr="005F6151">
        <w:rPr>
          <w:rFonts w:cstheme="minorHAnsi"/>
          <w:color w:val="333333"/>
          <w:shd w:val="clear" w:color="auto" w:fill="FFFFFF"/>
        </w:rPr>
        <w:t>Rehehan</w:t>
      </w:r>
      <w:proofErr w:type="spellEnd"/>
      <w:r w:rsidR="00B97135" w:rsidRPr="005F6151">
        <w:rPr>
          <w:rFonts w:cstheme="minorHAnsi"/>
          <w:color w:val="333333"/>
          <w:shd w:val="clear" w:color="auto" w:fill="FFFFFF"/>
        </w:rPr>
        <w:t>, N</w:t>
      </w:r>
      <w:r w:rsidR="00196FAC" w:rsidRPr="005F6151">
        <w:rPr>
          <w:rFonts w:cstheme="minorHAnsi"/>
          <w:color w:val="333333"/>
          <w:shd w:val="clear" w:color="auto" w:fill="FFFFFF"/>
        </w:rPr>
        <w:t>.</w:t>
      </w:r>
      <w:r w:rsidR="00B97135" w:rsidRPr="005F6151">
        <w:rPr>
          <w:rFonts w:cstheme="minorHAnsi"/>
          <w:color w:val="333333"/>
          <w:shd w:val="clear" w:color="auto" w:fill="FFFFFF"/>
        </w:rPr>
        <w:t xml:space="preserve"> </w:t>
      </w:r>
      <w:r w:rsidR="00984B70">
        <w:rPr>
          <w:rFonts w:cstheme="minorHAnsi"/>
          <w:color w:val="333333"/>
          <w:shd w:val="clear" w:color="auto" w:fill="FFFFFF"/>
        </w:rPr>
        <w:t>&amp;</w:t>
      </w:r>
      <w:r w:rsidR="00B97135" w:rsidRPr="005F6151">
        <w:rPr>
          <w:rFonts w:cstheme="minorHAnsi"/>
          <w:color w:val="333333"/>
          <w:shd w:val="clear" w:color="auto" w:fill="FFFFFF"/>
        </w:rPr>
        <w:t xml:space="preserve"> Walklate, S. </w:t>
      </w:r>
      <w:r w:rsidRPr="005F6151">
        <w:rPr>
          <w:rFonts w:cstheme="minorHAnsi"/>
          <w:color w:val="333333"/>
          <w:shd w:val="clear" w:color="auto" w:fill="FFFFFF"/>
        </w:rPr>
        <w:t xml:space="preserve"> </w:t>
      </w:r>
      <w:r w:rsidR="00B97135" w:rsidRPr="005F6151">
        <w:rPr>
          <w:rFonts w:cstheme="minorHAnsi"/>
          <w:color w:val="333333"/>
          <w:shd w:val="clear" w:color="auto" w:fill="FFFFFF"/>
        </w:rPr>
        <w:t>(</w:t>
      </w:r>
      <w:r w:rsidRPr="005F6151">
        <w:rPr>
          <w:rFonts w:cstheme="minorHAnsi"/>
          <w:color w:val="333333"/>
          <w:shd w:val="clear" w:color="auto" w:fill="FFFFFF"/>
        </w:rPr>
        <w:t>202</w:t>
      </w:r>
      <w:r w:rsidR="004265EF" w:rsidRPr="005F6151">
        <w:rPr>
          <w:rFonts w:cstheme="minorHAnsi"/>
          <w:color w:val="333333"/>
          <w:shd w:val="clear" w:color="auto" w:fill="FFFFFF"/>
        </w:rPr>
        <w:t>1</w:t>
      </w:r>
      <w:r w:rsidR="00B97135" w:rsidRPr="005F6151">
        <w:rPr>
          <w:rFonts w:cstheme="minorHAnsi"/>
          <w:color w:val="333333"/>
          <w:shd w:val="clear" w:color="auto" w:fill="FFFFFF"/>
        </w:rPr>
        <w:t>)</w:t>
      </w:r>
      <w:r w:rsidR="00404A40">
        <w:rPr>
          <w:rFonts w:cstheme="minorHAnsi"/>
          <w:color w:val="333333"/>
          <w:shd w:val="clear" w:color="auto" w:fill="FFFFFF"/>
        </w:rPr>
        <w:t>.</w:t>
      </w:r>
      <w:r w:rsidR="00B97135" w:rsidRPr="005F6151">
        <w:rPr>
          <w:rFonts w:cstheme="minorHAnsi"/>
          <w:color w:val="333333"/>
          <w:shd w:val="clear" w:color="auto" w:fill="FFFFFF"/>
          <w:lang w:val="en-GB"/>
        </w:rPr>
        <w:t xml:space="preserve"> Clare’s Law</w:t>
      </w:r>
      <w:r w:rsidR="00404A40">
        <w:rPr>
          <w:rFonts w:cstheme="minorHAnsi"/>
          <w:color w:val="333333"/>
          <w:shd w:val="clear" w:color="auto" w:fill="FFFFFF"/>
          <w:lang w:val="en-GB"/>
        </w:rPr>
        <w:t xml:space="preserve"> </w:t>
      </w:r>
      <w:r w:rsidR="00594E08">
        <w:rPr>
          <w:rFonts w:cstheme="minorHAnsi"/>
          <w:color w:val="333333"/>
          <w:shd w:val="clear" w:color="auto" w:fill="FFFFFF"/>
          <w:lang w:val="en-GB"/>
        </w:rPr>
        <w:t>and</w:t>
      </w:r>
      <w:r w:rsidR="00B97135" w:rsidRPr="005F6151">
        <w:rPr>
          <w:rFonts w:cstheme="minorHAnsi"/>
          <w:color w:val="333333"/>
          <w:shd w:val="clear" w:color="auto" w:fill="FFFFFF"/>
          <w:lang w:val="en-GB"/>
        </w:rPr>
        <w:t xml:space="preserve"> Domestic Violence Disclosure Schemes:</w:t>
      </w:r>
      <w:r w:rsidR="00BE6C65" w:rsidRPr="005F6151">
        <w:rPr>
          <w:rFonts w:cstheme="minorHAnsi"/>
          <w:color w:val="333333"/>
          <w:shd w:val="clear" w:color="auto" w:fill="FFFFFF"/>
          <w:lang w:val="en-GB"/>
        </w:rPr>
        <w:t xml:space="preserve"> </w:t>
      </w:r>
      <w:r w:rsidR="00B97135" w:rsidRPr="005F6151">
        <w:rPr>
          <w:rFonts w:cstheme="minorHAnsi"/>
          <w:color w:val="333333"/>
          <w:shd w:val="clear" w:color="auto" w:fill="FFFFFF"/>
          <w:lang w:val="en-GB"/>
        </w:rPr>
        <w:t>Victim-Survivor Perspectives Project Repor</w:t>
      </w:r>
      <w:r w:rsidR="004265EF" w:rsidRPr="005F6151">
        <w:rPr>
          <w:rFonts w:cstheme="minorHAnsi"/>
          <w:color w:val="333333"/>
          <w:shd w:val="clear" w:color="auto" w:fill="FFFFFF"/>
          <w:lang w:val="en-GB"/>
        </w:rPr>
        <w:t>t</w:t>
      </w:r>
      <w:r w:rsidR="00E51A75">
        <w:rPr>
          <w:rFonts w:cstheme="minorHAnsi"/>
          <w:color w:val="333333"/>
          <w:shd w:val="clear" w:color="auto" w:fill="FFFFFF"/>
          <w:lang w:val="en-GB"/>
        </w:rPr>
        <w:t>.</w:t>
      </w:r>
      <w:r w:rsidR="00D816EB">
        <w:rPr>
          <w:rFonts w:cstheme="minorHAnsi"/>
          <w:color w:val="333333"/>
          <w:shd w:val="clear" w:color="auto" w:fill="FFFFFF"/>
          <w:lang w:val="en-GB"/>
        </w:rPr>
        <w:t xml:space="preserve"> </w:t>
      </w:r>
      <w:r w:rsidR="00077CF6">
        <w:rPr>
          <w:rFonts w:cstheme="minorHAnsi"/>
          <w:color w:val="333333"/>
          <w:shd w:val="clear" w:color="auto" w:fill="FFFFFF"/>
          <w:lang w:val="en-GB"/>
        </w:rPr>
        <w:t>University of Central Lancashire, Preston.</w:t>
      </w:r>
    </w:p>
    <w:p w14:paraId="50FEA7E8" w14:textId="283C3269" w:rsidR="001C37E9" w:rsidRPr="005F6151" w:rsidRDefault="001C37E9" w:rsidP="005F6151">
      <w:pPr>
        <w:spacing w:line="360" w:lineRule="auto"/>
        <w:ind w:left="720" w:hanging="720"/>
        <w:jc w:val="both"/>
        <w:rPr>
          <w:rFonts w:cstheme="minorHAnsi"/>
          <w:color w:val="FF0000"/>
        </w:rPr>
      </w:pPr>
      <w:r w:rsidRPr="005F6151">
        <w:rPr>
          <w:rFonts w:cstheme="minorHAnsi"/>
        </w:rPr>
        <w:t>BBC News. (2001)</w:t>
      </w:r>
      <w:r w:rsidR="00E51A75">
        <w:rPr>
          <w:rFonts w:cstheme="minorHAnsi"/>
        </w:rPr>
        <w:t>.</w:t>
      </w:r>
      <w:r w:rsidRPr="005F6151">
        <w:rPr>
          <w:rFonts w:cstheme="minorHAnsi"/>
        </w:rPr>
        <w:t xml:space="preserve"> Sarah’s Law “unworkable”. </w:t>
      </w:r>
      <w:r w:rsidRPr="00984B70">
        <w:rPr>
          <w:rFonts w:cstheme="minorHAnsi"/>
          <w:i/>
          <w:iCs/>
        </w:rPr>
        <w:t>BBC News</w:t>
      </w:r>
      <w:r w:rsidRPr="005F6151">
        <w:rPr>
          <w:rFonts w:cstheme="minorHAnsi"/>
        </w:rPr>
        <w:t xml:space="preserve">, 13 December. </w:t>
      </w:r>
      <w:r w:rsidR="00882E4A">
        <w:rPr>
          <w:rFonts w:cstheme="minorHAnsi"/>
        </w:rPr>
        <w:t>Available</w:t>
      </w:r>
      <w:r w:rsidRPr="005F6151">
        <w:rPr>
          <w:rFonts w:cstheme="minorHAnsi"/>
        </w:rPr>
        <w:t xml:space="preserve"> from: </w:t>
      </w:r>
      <w:hyperlink r:id="rId8" w:history="1">
        <w:r w:rsidRPr="005F6151">
          <w:rPr>
            <w:rStyle w:val="Hyperlink"/>
            <w:rFonts w:cstheme="minorHAnsi"/>
          </w:rPr>
          <w:t>http://news.bbc.co.uk/2/hi/uk_news/england/1707659.stm</w:t>
        </w:r>
      </w:hyperlink>
      <w:r w:rsidRPr="005F6151">
        <w:rPr>
          <w:rFonts w:cstheme="minorHAnsi"/>
          <w:color w:val="FF0000"/>
        </w:rPr>
        <w:t xml:space="preserve"> </w:t>
      </w:r>
    </w:p>
    <w:p w14:paraId="56043FB7" w14:textId="1AA7491C" w:rsidR="003F0921" w:rsidRPr="005F6151" w:rsidRDefault="003F0921" w:rsidP="005F6151">
      <w:pPr>
        <w:spacing w:line="360" w:lineRule="auto"/>
        <w:ind w:left="720" w:hanging="720"/>
        <w:jc w:val="both"/>
        <w:rPr>
          <w:rFonts w:cstheme="minorHAnsi"/>
        </w:rPr>
      </w:pPr>
      <w:r w:rsidRPr="005F6151">
        <w:rPr>
          <w:rFonts w:cstheme="minorHAnsi"/>
        </w:rPr>
        <w:t>Chappell, L</w:t>
      </w:r>
      <w:r w:rsidR="00E51A75">
        <w:rPr>
          <w:rFonts w:cstheme="minorHAnsi"/>
        </w:rPr>
        <w:t>.</w:t>
      </w:r>
      <w:r w:rsidRPr="005F6151">
        <w:rPr>
          <w:rFonts w:cstheme="minorHAnsi"/>
        </w:rPr>
        <w:t xml:space="preserve"> &amp; Costello, M. (2011). Australian federalism and domestic violence policy-making. </w:t>
      </w:r>
      <w:r w:rsidRPr="005F6151">
        <w:rPr>
          <w:rFonts w:cstheme="minorHAnsi"/>
          <w:i/>
          <w:iCs/>
        </w:rPr>
        <w:t>Australian Journal of Political Science</w:t>
      </w:r>
      <w:r w:rsidRPr="005F6151">
        <w:rPr>
          <w:rFonts w:cstheme="minorHAnsi"/>
        </w:rPr>
        <w:t xml:space="preserve">, 46(4), 633-650. </w:t>
      </w:r>
    </w:p>
    <w:p w14:paraId="774162B0" w14:textId="548A1D3E" w:rsidR="000623C1" w:rsidRPr="005F6151" w:rsidRDefault="000623C1" w:rsidP="005F6151">
      <w:pPr>
        <w:spacing w:line="360" w:lineRule="auto"/>
        <w:ind w:left="720" w:hanging="720"/>
        <w:jc w:val="both"/>
        <w:rPr>
          <w:rFonts w:cstheme="minorHAnsi"/>
        </w:rPr>
      </w:pPr>
      <w:r w:rsidRPr="005F6151">
        <w:rPr>
          <w:rFonts w:cstheme="minorHAnsi"/>
        </w:rPr>
        <w:t>Collins, P</w:t>
      </w:r>
      <w:r w:rsidR="00984B70">
        <w:rPr>
          <w:rFonts w:cstheme="minorHAnsi"/>
        </w:rPr>
        <w:t>.</w:t>
      </w:r>
      <w:r w:rsidRPr="005F6151">
        <w:rPr>
          <w:rFonts w:cstheme="minorHAnsi"/>
        </w:rPr>
        <w:t xml:space="preserve"> (2001)</w:t>
      </w:r>
      <w:r w:rsidR="00984B70">
        <w:rPr>
          <w:rFonts w:cstheme="minorHAnsi"/>
        </w:rPr>
        <w:t>.</w:t>
      </w:r>
      <w:r w:rsidRPr="005F6151">
        <w:rPr>
          <w:rFonts w:cstheme="minorHAnsi"/>
        </w:rPr>
        <w:t xml:space="preserve"> What’s in a name? Womanism, Black feminism and beyond.</w:t>
      </w:r>
      <w:r w:rsidR="00F9684C" w:rsidRPr="005F6151">
        <w:rPr>
          <w:rFonts w:cstheme="minorHAnsi"/>
        </w:rPr>
        <w:t xml:space="preserve"> </w:t>
      </w:r>
      <w:r w:rsidRPr="00984B70">
        <w:rPr>
          <w:rFonts w:cstheme="minorHAnsi"/>
          <w:i/>
          <w:iCs/>
        </w:rPr>
        <w:t>The Black Scholar</w:t>
      </w:r>
      <w:r w:rsidR="00984B70">
        <w:rPr>
          <w:rFonts w:cstheme="minorHAnsi"/>
        </w:rPr>
        <w:t>,</w:t>
      </w:r>
      <w:r w:rsidRPr="005F6151">
        <w:rPr>
          <w:rFonts w:cstheme="minorHAnsi"/>
        </w:rPr>
        <w:t xml:space="preserve"> 26</w:t>
      </w:r>
      <w:r w:rsidR="00A17AF6">
        <w:rPr>
          <w:rFonts w:cstheme="minorHAnsi"/>
        </w:rPr>
        <w:t>(</w:t>
      </w:r>
      <w:r w:rsidRPr="005F6151">
        <w:rPr>
          <w:rFonts w:cstheme="minorHAnsi"/>
        </w:rPr>
        <w:t>1)</w:t>
      </w:r>
      <w:r w:rsidR="00A17AF6">
        <w:rPr>
          <w:rFonts w:cstheme="minorHAnsi"/>
        </w:rPr>
        <w:t xml:space="preserve">, </w:t>
      </w:r>
      <w:r w:rsidRPr="005F6151">
        <w:rPr>
          <w:rFonts w:cstheme="minorHAnsi"/>
        </w:rPr>
        <w:t>9-21</w:t>
      </w:r>
      <w:r w:rsidR="008A5CAB" w:rsidRPr="005F6151">
        <w:rPr>
          <w:rFonts w:cstheme="minorHAnsi"/>
        </w:rPr>
        <w:t xml:space="preserve">. </w:t>
      </w:r>
    </w:p>
    <w:p w14:paraId="0F5FD2C9" w14:textId="3ABA1613" w:rsidR="00FD5DDA" w:rsidRPr="005F6151" w:rsidRDefault="00FD5DDA" w:rsidP="005F6151">
      <w:pPr>
        <w:spacing w:line="360" w:lineRule="auto"/>
        <w:ind w:left="720" w:hanging="720"/>
        <w:jc w:val="both"/>
        <w:rPr>
          <w:rFonts w:cstheme="minorHAnsi"/>
        </w:rPr>
      </w:pPr>
      <w:r w:rsidRPr="005F6151">
        <w:rPr>
          <w:rFonts w:cstheme="minorHAnsi"/>
        </w:rPr>
        <w:lastRenderedPageBreak/>
        <w:t>Council of Australian Governments (COAG)</w:t>
      </w:r>
      <w:r w:rsidR="00A17AF6">
        <w:rPr>
          <w:rFonts w:cstheme="minorHAnsi"/>
        </w:rPr>
        <w:t>.</w:t>
      </w:r>
      <w:r w:rsidRPr="005F6151">
        <w:rPr>
          <w:rFonts w:cstheme="minorHAnsi"/>
        </w:rPr>
        <w:t xml:space="preserve"> (2010). </w:t>
      </w:r>
      <w:r w:rsidRPr="00F95705">
        <w:rPr>
          <w:rFonts w:cstheme="minorHAnsi"/>
          <w:i/>
          <w:iCs/>
        </w:rPr>
        <w:t>The National Plan to Reduce Violence against Women and their Children 2010-2022</w:t>
      </w:r>
      <w:r w:rsidRPr="005F6151">
        <w:rPr>
          <w:rFonts w:cstheme="minorHAnsi"/>
        </w:rPr>
        <w:t>. Australian Government</w:t>
      </w:r>
      <w:r w:rsidR="00F95705">
        <w:rPr>
          <w:rFonts w:cstheme="minorHAnsi"/>
        </w:rPr>
        <w:t>, Canberra</w:t>
      </w:r>
      <w:r w:rsidRPr="005F6151">
        <w:rPr>
          <w:rFonts w:cstheme="minorHAnsi"/>
        </w:rPr>
        <w:t xml:space="preserve">. </w:t>
      </w:r>
      <w:r w:rsidR="00882E4A">
        <w:rPr>
          <w:rFonts w:cstheme="minorHAnsi"/>
        </w:rPr>
        <w:t>Available</w:t>
      </w:r>
      <w:r w:rsidRPr="005F6151">
        <w:rPr>
          <w:rFonts w:cstheme="minorHAnsi"/>
        </w:rPr>
        <w:t xml:space="preserve"> from: </w:t>
      </w:r>
      <w:hyperlink r:id="rId9" w:history="1">
        <w:r w:rsidRPr="005F6151">
          <w:rPr>
            <w:rStyle w:val="Hyperlink"/>
            <w:rFonts w:cstheme="minorHAnsi"/>
          </w:rPr>
          <w:t>https://www.pmc.gov.au/office-women/womens-safety/national-plan-reduce-violence-against-women-and-their-children-2010-2022</w:t>
        </w:r>
      </w:hyperlink>
    </w:p>
    <w:p w14:paraId="4ED3657C" w14:textId="2F84BD0A" w:rsidR="005525A7" w:rsidRPr="002D0C48" w:rsidRDefault="005525A7" w:rsidP="005F6151">
      <w:pPr>
        <w:spacing w:line="360" w:lineRule="auto"/>
        <w:ind w:left="720" w:hanging="720"/>
        <w:jc w:val="both"/>
        <w:rPr>
          <w:rFonts w:cstheme="minorHAnsi"/>
        </w:rPr>
      </w:pPr>
      <w:r>
        <w:rPr>
          <w:rFonts w:cstheme="minorHAnsi"/>
        </w:rPr>
        <w:t xml:space="preserve">COAG Advisory Panel on Reducing Violence Against Women and Their Children. (2016). </w:t>
      </w:r>
      <w:r w:rsidR="002D0C48">
        <w:rPr>
          <w:rFonts w:cstheme="minorHAnsi"/>
          <w:i/>
          <w:iCs/>
        </w:rPr>
        <w:t>Final Report</w:t>
      </w:r>
      <w:r w:rsidR="002D0C48">
        <w:rPr>
          <w:rFonts w:cstheme="minorHAnsi"/>
        </w:rPr>
        <w:t xml:space="preserve">. Australian Government, Canberra. </w:t>
      </w:r>
    </w:p>
    <w:p w14:paraId="03562900" w14:textId="0B0EB8C7" w:rsidR="00FE3DAB" w:rsidRPr="005F6151" w:rsidRDefault="00FE3DAB" w:rsidP="005F6151">
      <w:pPr>
        <w:spacing w:line="360" w:lineRule="auto"/>
        <w:ind w:left="720" w:hanging="720"/>
        <w:jc w:val="both"/>
        <w:rPr>
          <w:rFonts w:cstheme="minorHAnsi"/>
        </w:rPr>
      </w:pPr>
      <w:r w:rsidRPr="005F6151">
        <w:rPr>
          <w:rFonts w:cstheme="minorHAnsi"/>
        </w:rPr>
        <w:t>Department of Human Services</w:t>
      </w:r>
      <w:r w:rsidR="00A17AF6">
        <w:rPr>
          <w:rFonts w:cstheme="minorHAnsi"/>
        </w:rPr>
        <w:t>.</w:t>
      </w:r>
      <w:r w:rsidRPr="005F6151">
        <w:rPr>
          <w:rFonts w:cstheme="minorHAnsi"/>
        </w:rPr>
        <w:t xml:space="preserve"> (2021)</w:t>
      </w:r>
      <w:r w:rsidR="00A17AF6">
        <w:rPr>
          <w:rFonts w:cstheme="minorHAnsi"/>
        </w:rPr>
        <w:t>.</w:t>
      </w:r>
      <w:r w:rsidRPr="005F6151">
        <w:rPr>
          <w:rFonts w:cstheme="minorHAnsi"/>
        </w:rPr>
        <w:t xml:space="preserve"> Domestic violence disclosure scheme records milestone. </w:t>
      </w:r>
      <w:r w:rsidRPr="005F6151">
        <w:rPr>
          <w:rFonts w:cstheme="minorHAnsi"/>
          <w:i/>
        </w:rPr>
        <w:t>Media Release</w:t>
      </w:r>
      <w:r w:rsidRPr="005F6151">
        <w:rPr>
          <w:rFonts w:cstheme="minorHAnsi"/>
        </w:rPr>
        <w:t xml:space="preserve">, 11 May, Government of South Australia, Adelaide. Available from: </w:t>
      </w:r>
      <w:hyperlink r:id="rId10" w:history="1">
        <w:r w:rsidRPr="005F6151">
          <w:rPr>
            <w:rStyle w:val="Hyperlink"/>
            <w:rFonts w:cstheme="minorHAnsi"/>
          </w:rPr>
          <w:t>https://dhs.sa.gov.au/news/archives/media-releases-2021/domestic-violence-disclosure-scheme-records-milestone</w:t>
        </w:r>
      </w:hyperlink>
      <w:r w:rsidRPr="005F6151">
        <w:rPr>
          <w:rFonts w:cstheme="minorHAnsi"/>
        </w:rPr>
        <w:t xml:space="preserve"> </w:t>
      </w:r>
    </w:p>
    <w:p w14:paraId="7C84F370" w14:textId="622BEB23" w:rsidR="0098185E" w:rsidRPr="005F6151" w:rsidRDefault="0098185E" w:rsidP="005F6151">
      <w:pPr>
        <w:spacing w:line="360" w:lineRule="auto"/>
        <w:ind w:left="720" w:hanging="720"/>
        <w:jc w:val="both"/>
        <w:rPr>
          <w:rFonts w:cstheme="minorHAnsi"/>
        </w:rPr>
      </w:pPr>
      <w:r w:rsidRPr="005F6151">
        <w:rPr>
          <w:rFonts w:cstheme="minorHAnsi"/>
        </w:rPr>
        <w:t xml:space="preserve">Department of Social Services. (2019). </w:t>
      </w:r>
      <w:r w:rsidRPr="00882E4A">
        <w:rPr>
          <w:rFonts w:cstheme="minorHAnsi"/>
          <w:i/>
          <w:iCs/>
        </w:rPr>
        <w:t>The Fourth Action Plan 2019-2022</w:t>
      </w:r>
      <w:r w:rsidRPr="005F6151">
        <w:rPr>
          <w:rFonts w:cstheme="minorHAnsi"/>
        </w:rPr>
        <w:t xml:space="preserve">. Australian Government, Canberra. Available from:  </w:t>
      </w:r>
      <w:hyperlink r:id="rId11" w:history="1">
        <w:r w:rsidRPr="005F6151">
          <w:rPr>
            <w:rStyle w:val="Hyperlink"/>
            <w:rFonts w:cstheme="minorHAnsi"/>
          </w:rPr>
          <w:t>https://plan4womenssafety.dss.gov.au/initiative/extension-of-the-domestic-violence-disclosure-scheme-trial/</w:t>
        </w:r>
      </w:hyperlink>
      <w:r w:rsidRPr="005F6151">
        <w:rPr>
          <w:rFonts w:cstheme="minorHAnsi"/>
        </w:rPr>
        <w:t xml:space="preserve"> </w:t>
      </w:r>
    </w:p>
    <w:p w14:paraId="134DEB70" w14:textId="03A84BB8" w:rsidR="009C4CD1" w:rsidRPr="005F6151" w:rsidRDefault="009C4CD1" w:rsidP="005F6151">
      <w:pPr>
        <w:spacing w:line="360" w:lineRule="auto"/>
        <w:ind w:left="720" w:hanging="720"/>
        <w:jc w:val="both"/>
        <w:rPr>
          <w:rFonts w:cstheme="minorHAnsi"/>
        </w:rPr>
      </w:pPr>
      <w:r w:rsidRPr="005F6151">
        <w:rPr>
          <w:rFonts w:cstheme="minorHAnsi"/>
        </w:rPr>
        <w:t>Dugan, M. J. (2001)</w:t>
      </w:r>
      <w:r w:rsidR="00C56AC0">
        <w:rPr>
          <w:rFonts w:cstheme="minorHAnsi"/>
        </w:rPr>
        <w:t>.</w:t>
      </w:r>
      <w:r w:rsidRPr="005F6151">
        <w:rPr>
          <w:rFonts w:cstheme="minorHAnsi"/>
        </w:rPr>
        <w:t xml:space="preserve"> Megan's </w:t>
      </w:r>
      <w:r w:rsidR="008B540D">
        <w:rPr>
          <w:rFonts w:cstheme="minorHAnsi"/>
        </w:rPr>
        <w:t>L</w:t>
      </w:r>
      <w:r w:rsidRPr="005F6151">
        <w:rPr>
          <w:rFonts w:cstheme="minorHAnsi"/>
        </w:rPr>
        <w:t xml:space="preserve">aw or Sarah’s </w:t>
      </w:r>
      <w:r w:rsidR="008B540D">
        <w:rPr>
          <w:rFonts w:cstheme="minorHAnsi"/>
        </w:rPr>
        <w:t>L</w:t>
      </w:r>
      <w:r w:rsidRPr="005F6151">
        <w:rPr>
          <w:rFonts w:cstheme="minorHAnsi"/>
        </w:rPr>
        <w:t>aw</w:t>
      </w:r>
      <w:r w:rsidR="008B540D">
        <w:rPr>
          <w:rFonts w:cstheme="minorHAnsi"/>
        </w:rPr>
        <w:t>:</w:t>
      </w:r>
      <w:r w:rsidRPr="005F6151">
        <w:rPr>
          <w:rFonts w:cstheme="minorHAnsi"/>
        </w:rPr>
        <w:t xml:space="preserve"> </w:t>
      </w:r>
      <w:r w:rsidR="008B540D">
        <w:rPr>
          <w:rFonts w:cstheme="minorHAnsi"/>
        </w:rPr>
        <w:t>A</w:t>
      </w:r>
      <w:r w:rsidRPr="005F6151">
        <w:rPr>
          <w:rFonts w:cstheme="minorHAnsi"/>
        </w:rPr>
        <w:t xml:space="preserve"> comparative analysis of public notification statutes in the </w:t>
      </w:r>
      <w:r w:rsidR="008B3D26" w:rsidRPr="005F6151">
        <w:rPr>
          <w:rFonts w:cstheme="minorHAnsi"/>
        </w:rPr>
        <w:t xml:space="preserve">United States </w:t>
      </w:r>
      <w:r w:rsidRPr="005F6151">
        <w:rPr>
          <w:rFonts w:cstheme="minorHAnsi"/>
        </w:rPr>
        <w:t xml:space="preserve">and England. </w:t>
      </w:r>
      <w:r w:rsidRPr="00C56AC0">
        <w:rPr>
          <w:rFonts w:cstheme="minorHAnsi"/>
          <w:i/>
          <w:iCs/>
        </w:rPr>
        <w:t>Loyola of Los Angeles International and Comparative Law Review</w:t>
      </w:r>
      <w:r w:rsidRPr="005F6151">
        <w:rPr>
          <w:rFonts w:cstheme="minorHAnsi"/>
        </w:rPr>
        <w:t>, 23(4)</w:t>
      </w:r>
      <w:r w:rsidR="00C56AC0">
        <w:rPr>
          <w:rFonts w:cstheme="minorHAnsi"/>
        </w:rPr>
        <w:t xml:space="preserve">, </w:t>
      </w:r>
      <w:r w:rsidR="002E199C">
        <w:rPr>
          <w:rFonts w:cstheme="minorHAnsi"/>
        </w:rPr>
        <w:t>617-644.</w:t>
      </w:r>
    </w:p>
    <w:p w14:paraId="52C22449" w14:textId="51E5456A" w:rsidR="00781146" w:rsidRPr="005F6151" w:rsidRDefault="00781146" w:rsidP="005F6151">
      <w:pPr>
        <w:spacing w:line="360" w:lineRule="auto"/>
        <w:ind w:left="720" w:hanging="720"/>
        <w:jc w:val="both"/>
        <w:rPr>
          <w:rFonts w:cstheme="minorHAnsi"/>
        </w:rPr>
      </w:pPr>
      <w:r w:rsidRPr="005F6151">
        <w:rPr>
          <w:rFonts w:cstheme="minorHAnsi"/>
        </w:rPr>
        <w:t xml:space="preserve">Duggan, M. (2019). Reflections on the domestic violence disclosure scheme (England and Wales). </w:t>
      </w:r>
      <w:r w:rsidRPr="003E6F02">
        <w:rPr>
          <w:rFonts w:cstheme="minorHAnsi"/>
          <w:i/>
          <w:iCs/>
        </w:rPr>
        <w:t xml:space="preserve">Journal of </w:t>
      </w:r>
      <w:r w:rsidR="005A1B2D">
        <w:rPr>
          <w:rFonts w:cstheme="minorHAnsi"/>
          <w:i/>
          <w:iCs/>
        </w:rPr>
        <w:t>G</w:t>
      </w:r>
      <w:r w:rsidRPr="003E6F02">
        <w:rPr>
          <w:rFonts w:cstheme="minorHAnsi"/>
          <w:i/>
          <w:iCs/>
        </w:rPr>
        <w:t>ender-</w:t>
      </w:r>
      <w:r w:rsidR="005A1B2D">
        <w:rPr>
          <w:rFonts w:cstheme="minorHAnsi"/>
          <w:i/>
          <w:iCs/>
        </w:rPr>
        <w:t>B</w:t>
      </w:r>
      <w:r w:rsidRPr="003E6F02">
        <w:rPr>
          <w:rFonts w:cstheme="minorHAnsi"/>
          <w:i/>
          <w:iCs/>
        </w:rPr>
        <w:t xml:space="preserve">ased </w:t>
      </w:r>
      <w:r w:rsidR="005A1B2D">
        <w:rPr>
          <w:rFonts w:cstheme="minorHAnsi"/>
          <w:i/>
          <w:iCs/>
        </w:rPr>
        <w:t>V</w:t>
      </w:r>
      <w:r w:rsidRPr="003E6F02">
        <w:rPr>
          <w:rFonts w:cstheme="minorHAnsi"/>
          <w:i/>
          <w:iCs/>
        </w:rPr>
        <w:t>iolence</w:t>
      </w:r>
      <w:r w:rsidRPr="005F6151">
        <w:rPr>
          <w:rFonts w:cstheme="minorHAnsi"/>
        </w:rPr>
        <w:t>, 3(2), 249-257.</w:t>
      </w:r>
    </w:p>
    <w:p w14:paraId="2C1EC4AE" w14:textId="63A4C88D" w:rsidR="00511881" w:rsidRPr="005F6151" w:rsidRDefault="00A93BEE" w:rsidP="005F6151">
      <w:pPr>
        <w:spacing w:line="360" w:lineRule="auto"/>
        <w:ind w:left="720" w:hanging="720"/>
        <w:jc w:val="both"/>
        <w:rPr>
          <w:rFonts w:cstheme="minorHAnsi"/>
        </w:rPr>
      </w:pPr>
      <w:r w:rsidRPr="005F6151">
        <w:rPr>
          <w:rFonts w:cstheme="minorHAnsi"/>
        </w:rPr>
        <w:t xml:space="preserve">Duggan, M. &amp; Grace, J. (2018). Assessing vulnerabilities in the domestic violence disclosure scheme. </w:t>
      </w:r>
      <w:r w:rsidRPr="003E6F02">
        <w:rPr>
          <w:rFonts w:cstheme="minorHAnsi"/>
          <w:i/>
          <w:iCs/>
        </w:rPr>
        <w:t xml:space="preserve">Child and </w:t>
      </w:r>
      <w:r w:rsidR="003E6F02" w:rsidRPr="003E6F02">
        <w:rPr>
          <w:rFonts w:cstheme="minorHAnsi"/>
          <w:i/>
          <w:iCs/>
        </w:rPr>
        <w:t>Family Law Quarterly</w:t>
      </w:r>
      <w:r w:rsidRPr="005F6151">
        <w:rPr>
          <w:rFonts w:cstheme="minorHAnsi"/>
        </w:rPr>
        <w:t>, 30(2), 145-166.</w:t>
      </w:r>
    </w:p>
    <w:p w14:paraId="38315D47" w14:textId="6453CF7C" w:rsidR="00511881" w:rsidRPr="005F6151" w:rsidRDefault="00511881" w:rsidP="005F6151">
      <w:pPr>
        <w:spacing w:line="360" w:lineRule="auto"/>
        <w:ind w:left="720" w:hanging="720"/>
        <w:jc w:val="both"/>
        <w:rPr>
          <w:rFonts w:cstheme="minorHAnsi"/>
        </w:rPr>
      </w:pPr>
      <w:r w:rsidRPr="005F6151">
        <w:rPr>
          <w:rFonts w:cstheme="minorHAnsi"/>
        </w:rPr>
        <w:t>Fitz-Gibbon, K. (2016)</w:t>
      </w:r>
      <w:r w:rsidR="003E6F02">
        <w:rPr>
          <w:rFonts w:cstheme="minorHAnsi"/>
        </w:rPr>
        <w:t>.</w:t>
      </w:r>
      <w:r w:rsidRPr="005F6151">
        <w:rPr>
          <w:rFonts w:cstheme="minorHAnsi"/>
        </w:rPr>
        <w:t xml:space="preserve"> Royal Commission calls for complete overhaul of Victoria’s family violence services and responses. </w:t>
      </w:r>
      <w:r w:rsidRPr="005F6151">
        <w:rPr>
          <w:rFonts w:cstheme="minorHAnsi"/>
          <w:i/>
        </w:rPr>
        <w:t xml:space="preserve">The Conversation, </w:t>
      </w:r>
      <w:r w:rsidRPr="005F6151">
        <w:rPr>
          <w:rFonts w:cstheme="minorHAnsi"/>
        </w:rPr>
        <w:t xml:space="preserve">30 March. </w:t>
      </w:r>
      <w:r w:rsidR="003D4958">
        <w:rPr>
          <w:rFonts w:cstheme="minorHAnsi"/>
        </w:rPr>
        <w:t>Available</w:t>
      </w:r>
      <w:r w:rsidRPr="005F6151">
        <w:rPr>
          <w:rFonts w:cstheme="minorHAnsi"/>
        </w:rPr>
        <w:t xml:space="preserve"> from: </w:t>
      </w:r>
      <w:hyperlink r:id="rId12" w:history="1">
        <w:r w:rsidRPr="005F6151">
          <w:rPr>
            <w:rStyle w:val="Hyperlink"/>
            <w:rFonts w:cstheme="minorHAnsi"/>
          </w:rPr>
          <w:t>https://theconversation.com/royal-commission-calls-for-complete-overhaul-of-victorias-family-violence-services-and-responses-56034</w:t>
        </w:r>
      </w:hyperlink>
      <w:r w:rsidRPr="005F6151">
        <w:rPr>
          <w:rFonts w:cstheme="minorHAnsi"/>
        </w:rPr>
        <w:t xml:space="preserve"> </w:t>
      </w:r>
    </w:p>
    <w:p w14:paraId="30A30F2D" w14:textId="66679B99" w:rsidR="002A52DF" w:rsidRPr="005F6151" w:rsidRDefault="002A52DF" w:rsidP="005F6151">
      <w:pPr>
        <w:spacing w:line="360" w:lineRule="auto"/>
        <w:ind w:left="720" w:hanging="720"/>
        <w:jc w:val="both"/>
        <w:rPr>
          <w:rFonts w:cstheme="minorHAnsi"/>
        </w:rPr>
      </w:pPr>
      <w:r w:rsidRPr="005F6151">
        <w:rPr>
          <w:rFonts w:cstheme="minorHAnsi"/>
        </w:rPr>
        <w:t>Fitz-Gibbon, K. (2021)</w:t>
      </w:r>
      <w:r w:rsidR="003E6F02">
        <w:rPr>
          <w:rFonts w:cstheme="minorHAnsi"/>
        </w:rPr>
        <w:t>.</w:t>
      </w:r>
      <w:r w:rsidRPr="005F6151">
        <w:rPr>
          <w:rFonts w:cstheme="minorHAnsi"/>
        </w:rPr>
        <w:t xml:space="preserve"> </w:t>
      </w:r>
      <w:r w:rsidRPr="006145AB">
        <w:rPr>
          <w:rFonts w:cstheme="minorHAnsi"/>
          <w:i/>
          <w:iCs/>
        </w:rPr>
        <w:t xml:space="preserve">Our </w:t>
      </w:r>
      <w:r w:rsidR="003D4958">
        <w:rPr>
          <w:rFonts w:cstheme="minorHAnsi"/>
          <w:i/>
          <w:iCs/>
        </w:rPr>
        <w:t>N</w:t>
      </w:r>
      <w:r w:rsidRPr="006145AB">
        <w:rPr>
          <w:rFonts w:cstheme="minorHAnsi"/>
          <w:i/>
          <w:iCs/>
        </w:rPr>
        <w:t xml:space="preserve">ational </w:t>
      </w:r>
      <w:r w:rsidR="003D4958">
        <w:rPr>
          <w:rFonts w:cstheme="minorHAnsi"/>
          <w:i/>
          <w:iCs/>
        </w:rPr>
        <w:t>S</w:t>
      </w:r>
      <w:r w:rsidRPr="006145AB">
        <w:rPr>
          <w:rFonts w:cstheme="minorHAnsi"/>
          <w:i/>
          <w:iCs/>
        </w:rPr>
        <w:t xml:space="preserve">hame: </w:t>
      </w:r>
      <w:r w:rsidR="003D4958">
        <w:rPr>
          <w:rFonts w:cstheme="minorHAnsi"/>
          <w:i/>
          <w:iCs/>
        </w:rPr>
        <w:t>V</w:t>
      </w:r>
      <w:r w:rsidRPr="006145AB">
        <w:rPr>
          <w:rFonts w:cstheme="minorHAnsi"/>
          <w:i/>
          <w:iCs/>
        </w:rPr>
        <w:t xml:space="preserve">iolence </w:t>
      </w:r>
      <w:r w:rsidR="003D4958">
        <w:rPr>
          <w:rFonts w:cstheme="minorHAnsi"/>
          <w:i/>
          <w:iCs/>
        </w:rPr>
        <w:t>Ag</w:t>
      </w:r>
      <w:r w:rsidRPr="006145AB">
        <w:rPr>
          <w:rFonts w:cstheme="minorHAnsi"/>
          <w:i/>
          <w:iCs/>
        </w:rPr>
        <w:t xml:space="preserve">ainst </w:t>
      </w:r>
      <w:r w:rsidR="003D4958">
        <w:rPr>
          <w:rFonts w:cstheme="minorHAnsi"/>
          <w:i/>
          <w:iCs/>
        </w:rPr>
        <w:t>W</w:t>
      </w:r>
      <w:r w:rsidRPr="006145AB">
        <w:rPr>
          <w:rFonts w:cstheme="minorHAnsi"/>
          <w:i/>
          <w:iCs/>
        </w:rPr>
        <w:t>omen</w:t>
      </w:r>
      <w:r w:rsidRPr="005F6151">
        <w:rPr>
          <w:rFonts w:cstheme="minorHAnsi"/>
        </w:rPr>
        <w:t xml:space="preserve">. Monash University Press, Melbourne. </w:t>
      </w:r>
    </w:p>
    <w:p w14:paraId="7BFAA449" w14:textId="0FDD860E" w:rsidR="00B10B37" w:rsidRPr="005F6151" w:rsidRDefault="00B10B37" w:rsidP="005F6151">
      <w:pPr>
        <w:spacing w:line="360" w:lineRule="auto"/>
        <w:ind w:left="720" w:hanging="720"/>
        <w:jc w:val="both"/>
        <w:rPr>
          <w:rFonts w:cstheme="minorHAnsi"/>
          <w:color w:val="000000" w:themeColor="text1"/>
        </w:rPr>
      </w:pPr>
      <w:r w:rsidRPr="005F6151">
        <w:rPr>
          <w:rFonts w:cstheme="minorHAnsi"/>
          <w:color w:val="000000" w:themeColor="text1"/>
        </w:rPr>
        <w:t>Fitz-Gibbon, K., Meyer, S., Gelb, K., McGowan, J., Wild, S., Batty, R., Segrave, M., Maher, J</w:t>
      </w:r>
      <w:r w:rsidR="00516DDC">
        <w:rPr>
          <w:rFonts w:cstheme="minorHAnsi"/>
          <w:color w:val="000000" w:themeColor="text1"/>
        </w:rPr>
        <w:t>.</w:t>
      </w:r>
      <w:r w:rsidRPr="005F6151">
        <w:rPr>
          <w:rFonts w:cstheme="minorHAnsi"/>
          <w:color w:val="000000" w:themeColor="text1"/>
        </w:rPr>
        <w:t xml:space="preserve">M., Pfitzner, N., McCulloch, J., Flynn, A., </w:t>
      </w:r>
      <w:proofErr w:type="spellStart"/>
      <w:r w:rsidRPr="005F6151">
        <w:rPr>
          <w:rFonts w:cstheme="minorHAnsi"/>
          <w:color w:val="000000" w:themeColor="text1"/>
        </w:rPr>
        <w:t>Wheildon</w:t>
      </w:r>
      <w:proofErr w:type="spellEnd"/>
      <w:r w:rsidRPr="005F6151">
        <w:rPr>
          <w:rFonts w:cstheme="minorHAnsi"/>
          <w:color w:val="000000" w:themeColor="text1"/>
        </w:rPr>
        <w:t xml:space="preserve">, L. </w:t>
      </w:r>
      <w:r w:rsidR="00516DDC">
        <w:rPr>
          <w:rFonts w:cstheme="minorHAnsi"/>
          <w:color w:val="000000" w:themeColor="text1"/>
        </w:rPr>
        <w:t>&amp;</w:t>
      </w:r>
      <w:r w:rsidRPr="005F6151">
        <w:rPr>
          <w:rFonts w:cstheme="minorHAnsi"/>
          <w:color w:val="000000" w:themeColor="text1"/>
        </w:rPr>
        <w:t xml:space="preserve"> Thorburn, J. (2022</w:t>
      </w:r>
      <w:r w:rsidR="00517304" w:rsidRPr="005F6151">
        <w:rPr>
          <w:rFonts w:cstheme="minorHAnsi"/>
          <w:color w:val="000000" w:themeColor="text1"/>
        </w:rPr>
        <w:t>a</w:t>
      </w:r>
      <w:r w:rsidRPr="005F6151">
        <w:rPr>
          <w:rFonts w:cstheme="minorHAnsi"/>
          <w:color w:val="000000" w:themeColor="text1"/>
        </w:rPr>
        <w:t>)</w:t>
      </w:r>
      <w:r w:rsidR="006145AB">
        <w:rPr>
          <w:rFonts w:cstheme="minorHAnsi"/>
          <w:color w:val="000000" w:themeColor="text1"/>
        </w:rPr>
        <w:t>.</w:t>
      </w:r>
      <w:r w:rsidRPr="005F6151">
        <w:rPr>
          <w:rFonts w:cstheme="minorHAnsi"/>
          <w:color w:val="000000" w:themeColor="text1"/>
        </w:rPr>
        <w:t xml:space="preserve"> </w:t>
      </w:r>
      <w:r w:rsidRPr="006145AB">
        <w:rPr>
          <w:rFonts w:cstheme="minorHAnsi"/>
          <w:i/>
          <w:iCs/>
          <w:color w:val="000000" w:themeColor="text1"/>
        </w:rPr>
        <w:t>National Plan Stakeholder Consultation: Final Report</w:t>
      </w:r>
      <w:r w:rsidRPr="005F6151">
        <w:rPr>
          <w:rFonts w:cstheme="minorHAnsi"/>
          <w:color w:val="000000" w:themeColor="text1"/>
        </w:rPr>
        <w:t xml:space="preserve">. Monash University, </w:t>
      </w:r>
      <w:r w:rsidR="00516DDC">
        <w:rPr>
          <w:rFonts w:cstheme="minorHAnsi"/>
          <w:color w:val="000000" w:themeColor="text1"/>
        </w:rPr>
        <w:t>Melbourne</w:t>
      </w:r>
      <w:r w:rsidR="006145AB">
        <w:rPr>
          <w:rFonts w:cstheme="minorHAnsi"/>
          <w:color w:val="000000" w:themeColor="text1"/>
        </w:rPr>
        <w:t>.</w:t>
      </w:r>
    </w:p>
    <w:p w14:paraId="786F5822" w14:textId="57E25DDF" w:rsidR="00FD1DB9" w:rsidRPr="005F6151" w:rsidRDefault="00FD1DB9" w:rsidP="005F6151">
      <w:pPr>
        <w:spacing w:line="360" w:lineRule="auto"/>
        <w:ind w:left="720" w:hanging="720"/>
        <w:jc w:val="both"/>
        <w:rPr>
          <w:rFonts w:cstheme="minorHAnsi"/>
          <w:color w:val="000000" w:themeColor="text1"/>
        </w:rPr>
      </w:pPr>
      <w:r w:rsidRPr="005F6151">
        <w:rPr>
          <w:rFonts w:cstheme="minorHAnsi"/>
          <w:color w:val="000000" w:themeColor="text1"/>
        </w:rPr>
        <w:lastRenderedPageBreak/>
        <w:t>Fitz-Gibbon, K., Reeves, E., Gelb, K., McGowan, J., Segrave, M., Meyer, S. &amp; Maher, J.M. (2022</w:t>
      </w:r>
      <w:r w:rsidR="00517304" w:rsidRPr="005F6151">
        <w:rPr>
          <w:rFonts w:cstheme="minorHAnsi"/>
          <w:color w:val="000000" w:themeColor="text1"/>
        </w:rPr>
        <w:t>b</w:t>
      </w:r>
      <w:r w:rsidRPr="005F6151">
        <w:rPr>
          <w:rFonts w:cstheme="minorHAnsi"/>
          <w:color w:val="000000" w:themeColor="text1"/>
        </w:rPr>
        <w:t xml:space="preserve">). </w:t>
      </w:r>
      <w:r w:rsidRPr="006145AB">
        <w:rPr>
          <w:rFonts w:cstheme="minorHAnsi"/>
          <w:i/>
          <w:iCs/>
          <w:color w:val="000000" w:themeColor="text1"/>
        </w:rPr>
        <w:t>National Plan Victim-Survivor Advocates Consultation Final Report</w:t>
      </w:r>
      <w:r w:rsidR="006145AB">
        <w:rPr>
          <w:rFonts w:cstheme="minorHAnsi"/>
          <w:color w:val="000000" w:themeColor="text1"/>
        </w:rPr>
        <w:t>.</w:t>
      </w:r>
      <w:r w:rsidRPr="005F6151">
        <w:rPr>
          <w:rFonts w:cstheme="minorHAnsi"/>
          <w:color w:val="000000" w:themeColor="text1"/>
        </w:rPr>
        <w:t xml:space="preserve"> Monash University, </w:t>
      </w:r>
      <w:r w:rsidR="005D314F">
        <w:rPr>
          <w:rFonts w:cstheme="minorHAnsi"/>
          <w:color w:val="000000" w:themeColor="text1"/>
        </w:rPr>
        <w:t>Melbourne</w:t>
      </w:r>
      <w:r w:rsidR="006145AB">
        <w:rPr>
          <w:rFonts w:cstheme="minorHAnsi"/>
          <w:color w:val="000000" w:themeColor="text1"/>
        </w:rPr>
        <w:t>.</w:t>
      </w:r>
    </w:p>
    <w:p w14:paraId="2317D408" w14:textId="6403D122" w:rsidR="002A52DF" w:rsidRPr="005F6151" w:rsidRDefault="002A52DF" w:rsidP="005F6151">
      <w:pPr>
        <w:spacing w:line="360" w:lineRule="auto"/>
        <w:ind w:left="720" w:hanging="720"/>
        <w:jc w:val="both"/>
        <w:rPr>
          <w:rFonts w:cstheme="minorHAnsi"/>
        </w:rPr>
      </w:pPr>
      <w:r w:rsidRPr="005F6151">
        <w:rPr>
          <w:rFonts w:cstheme="minorHAnsi"/>
        </w:rPr>
        <w:t>Fitz-Gibbon</w:t>
      </w:r>
      <w:r w:rsidR="006145AB">
        <w:rPr>
          <w:rFonts w:cstheme="minorHAnsi"/>
        </w:rPr>
        <w:t>,</w:t>
      </w:r>
      <w:r w:rsidRPr="005F6151">
        <w:rPr>
          <w:rFonts w:cstheme="minorHAnsi"/>
        </w:rPr>
        <w:t xml:space="preserve"> K</w:t>
      </w:r>
      <w:r w:rsidR="006145AB">
        <w:rPr>
          <w:rFonts w:cstheme="minorHAnsi"/>
        </w:rPr>
        <w:t>.</w:t>
      </w:r>
      <w:r w:rsidRPr="005F6151">
        <w:rPr>
          <w:rFonts w:cstheme="minorHAnsi"/>
        </w:rPr>
        <w:t xml:space="preserve"> </w:t>
      </w:r>
      <w:r w:rsidR="00416B85">
        <w:rPr>
          <w:rFonts w:cstheme="minorHAnsi"/>
        </w:rPr>
        <w:t>&amp;</w:t>
      </w:r>
      <w:r w:rsidRPr="005F6151">
        <w:rPr>
          <w:rFonts w:cstheme="minorHAnsi"/>
        </w:rPr>
        <w:t xml:space="preserve"> Walklate</w:t>
      </w:r>
      <w:r w:rsidR="00416B85">
        <w:rPr>
          <w:rFonts w:cstheme="minorHAnsi"/>
        </w:rPr>
        <w:t>,</w:t>
      </w:r>
      <w:r w:rsidRPr="005F6151">
        <w:rPr>
          <w:rFonts w:cstheme="minorHAnsi"/>
        </w:rPr>
        <w:t xml:space="preserve"> S</w:t>
      </w:r>
      <w:r w:rsidR="00416B85">
        <w:rPr>
          <w:rFonts w:cstheme="minorHAnsi"/>
        </w:rPr>
        <w:t>.</w:t>
      </w:r>
      <w:r w:rsidRPr="005F6151">
        <w:rPr>
          <w:rFonts w:cstheme="minorHAnsi"/>
        </w:rPr>
        <w:t xml:space="preserve"> (2017)</w:t>
      </w:r>
      <w:r w:rsidR="00416B85">
        <w:rPr>
          <w:rFonts w:cstheme="minorHAnsi"/>
        </w:rPr>
        <w:t>.</w:t>
      </w:r>
      <w:r w:rsidRPr="005F6151">
        <w:rPr>
          <w:rFonts w:cstheme="minorHAnsi"/>
        </w:rPr>
        <w:t xml:space="preserve"> The </w:t>
      </w:r>
      <w:r w:rsidR="005D314F">
        <w:rPr>
          <w:rFonts w:cstheme="minorHAnsi"/>
        </w:rPr>
        <w:t>e</w:t>
      </w:r>
      <w:r w:rsidRPr="005F6151">
        <w:rPr>
          <w:rFonts w:cstheme="minorHAnsi"/>
        </w:rPr>
        <w:t xml:space="preserve">fficacy of Clare’s Law in </w:t>
      </w:r>
      <w:r w:rsidR="005D314F">
        <w:rPr>
          <w:rFonts w:cstheme="minorHAnsi"/>
        </w:rPr>
        <w:t>d</w:t>
      </w:r>
      <w:r w:rsidRPr="005F6151">
        <w:rPr>
          <w:rFonts w:cstheme="minorHAnsi"/>
        </w:rPr>
        <w:t xml:space="preserve">omestic </w:t>
      </w:r>
      <w:r w:rsidR="005D314F">
        <w:rPr>
          <w:rFonts w:cstheme="minorHAnsi"/>
        </w:rPr>
        <w:t>v</w:t>
      </w:r>
      <w:r w:rsidRPr="005F6151">
        <w:rPr>
          <w:rFonts w:cstheme="minorHAnsi"/>
        </w:rPr>
        <w:t xml:space="preserve">iolence </w:t>
      </w:r>
      <w:r w:rsidR="005D314F">
        <w:rPr>
          <w:rFonts w:cstheme="minorHAnsi"/>
        </w:rPr>
        <w:t>l</w:t>
      </w:r>
      <w:r w:rsidRPr="005F6151">
        <w:rPr>
          <w:rFonts w:cstheme="minorHAnsi"/>
        </w:rPr>
        <w:t xml:space="preserve">aw </w:t>
      </w:r>
      <w:r w:rsidR="005D314F">
        <w:rPr>
          <w:rFonts w:cstheme="minorHAnsi"/>
        </w:rPr>
        <w:t>r</w:t>
      </w:r>
      <w:r w:rsidRPr="005F6151">
        <w:rPr>
          <w:rFonts w:cstheme="minorHAnsi"/>
        </w:rPr>
        <w:t>eform in England and Wales</w:t>
      </w:r>
      <w:r w:rsidR="00416B85">
        <w:rPr>
          <w:rFonts w:cstheme="minorHAnsi"/>
        </w:rPr>
        <w:t>.</w:t>
      </w:r>
      <w:r w:rsidRPr="005F6151">
        <w:rPr>
          <w:rFonts w:cstheme="minorHAnsi"/>
        </w:rPr>
        <w:t xml:space="preserve"> </w:t>
      </w:r>
      <w:r w:rsidRPr="00416B85">
        <w:rPr>
          <w:rFonts w:cstheme="minorHAnsi"/>
          <w:i/>
          <w:iCs/>
        </w:rPr>
        <w:t>Criminology and Criminal Justice</w:t>
      </w:r>
      <w:r w:rsidR="00416B85">
        <w:rPr>
          <w:rFonts w:cstheme="minorHAnsi"/>
        </w:rPr>
        <w:t>,</w:t>
      </w:r>
      <w:r w:rsidRPr="005F6151">
        <w:rPr>
          <w:rFonts w:cstheme="minorHAnsi"/>
        </w:rPr>
        <w:t xml:space="preserve"> 17(3)</w:t>
      </w:r>
      <w:r w:rsidR="00416B85">
        <w:rPr>
          <w:rFonts w:cstheme="minorHAnsi"/>
        </w:rPr>
        <w:t>,</w:t>
      </w:r>
      <w:r w:rsidRPr="005F6151">
        <w:rPr>
          <w:rFonts w:cstheme="minorHAnsi"/>
        </w:rPr>
        <w:t xml:space="preserve"> 284-300. </w:t>
      </w:r>
    </w:p>
    <w:p w14:paraId="5A396158" w14:textId="2BC33B04" w:rsidR="006B1298" w:rsidRDefault="006B1298" w:rsidP="005F6151">
      <w:pPr>
        <w:spacing w:line="360" w:lineRule="auto"/>
        <w:ind w:left="720" w:hanging="720"/>
        <w:jc w:val="both"/>
        <w:rPr>
          <w:rFonts w:cstheme="minorHAnsi"/>
        </w:rPr>
      </w:pPr>
      <w:proofErr w:type="spellStart"/>
      <w:r w:rsidRPr="00196023">
        <w:rPr>
          <w:rFonts w:cstheme="minorHAnsi"/>
        </w:rPr>
        <w:t>Goodmark</w:t>
      </w:r>
      <w:proofErr w:type="spellEnd"/>
      <w:r w:rsidRPr="00196023">
        <w:rPr>
          <w:rFonts w:cstheme="minorHAnsi"/>
        </w:rPr>
        <w:t>, L. (2015). Exporting without license: The American attempt to end intimate partner abuse worldwide. </w:t>
      </w:r>
      <w:r w:rsidR="00D2184E" w:rsidRPr="00196023">
        <w:rPr>
          <w:rFonts w:cstheme="minorHAnsi"/>
        </w:rPr>
        <w:t xml:space="preserve">In </w:t>
      </w:r>
      <w:r w:rsidR="00196023" w:rsidRPr="00196023">
        <w:rPr>
          <w:rFonts w:cstheme="minorHAnsi"/>
        </w:rPr>
        <w:t xml:space="preserve">R. Goel and L. </w:t>
      </w:r>
      <w:proofErr w:type="spellStart"/>
      <w:r w:rsidR="00196023" w:rsidRPr="00196023">
        <w:rPr>
          <w:rFonts w:cstheme="minorHAnsi"/>
        </w:rPr>
        <w:t>Goodmark</w:t>
      </w:r>
      <w:proofErr w:type="spellEnd"/>
      <w:r w:rsidR="00196023" w:rsidRPr="00196023">
        <w:rPr>
          <w:rFonts w:cstheme="minorHAnsi"/>
        </w:rPr>
        <w:t xml:space="preserve"> (eds). </w:t>
      </w:r>
      <w:r w:rsidRPr="00196023">
        <w:rPr>
          <w:rFonts w:cstheme="minorHAnsi"/>
          <w:i/>
          <w:iCs/>
        </w:rPr>
        <w:t xml:space="preserve">Comparative </w:t>
      </w:r>
      <w:r w:rsidR="00D2098E">
        <w:rPr>
          <w:rFonts w:cstheme="minorHAnsi"/>
          <w:i/>
          <w:iCs/>
        </w:rPr>
        <w:t>P</w:t>
      </w:r>
      <w:r w:rsidRPr="00196023">
        <w:rPr>
          <w:rFonts w:cstheme="minorHAnsi"/>
          <w:i/>
          <w:iCs/>
        </w:rPr>
        <w:t xml:space="preserve">erspectives on </w:t>
      </w:r>
      <w:r w:rsidR="00D2098E">
        <w:rPr>
          <w:rFonts w:cstheme="minorHAnsi"/>
          <w:i/>
          <w:iCs/>
        </w:rPr>
        <w:t>G</w:t>
      </w:r>
      <w:r w:rsidRPr="00196023">
        <w:rPr>
          <w:rFonts w:cstheme="minorHAnsi"/>
          <w:i/>
          <w:iCs/>
        </w:rPr>
        <w:t xml:space="preserve">ender </w:t>
      </w:r>
      <w:r w:rsidR="00D2098E">
        <w:rPr>
          <w:rFonts w:cstheme="minorHAnsi"/>
          <w:i/>
          <w:iCs/>
        </w:rPr>
        <w:t>V</w:t>
      </w:r>
      <w:r w:rsidRPr="00196023">
        <w:rPr>
          <w:rFonts w:cstheme="minorHAnsi"/>
          <w:i/>
          <w:iCs/>
        </w:rPr>
        <w:t xml:space="preserve">iolence: Lessons from </w:t>
      </w:r>
      <w:r w:rsidR="00D2098E">
        <w:rPr>
          <w:rFonts w:cstheme="minorHAnsi"/>
          <w:i/>
          <w:iCs/>
        </w:rPr>
        <w:t>E</w:t>
      </w:r>
      <w:r w:rsidRPr="00196023">
        <w:rPr>
          <w:rFonts w:cstheme="minorHAnsi"/>
          <w:i/>
          <w:iCs/>
        </w:rPr>
        <w:t xml:space="preserve">fforts </w:t>
      </w:r>
      <w:r w:rsidR="00D2098E">
        <w:rPr>
          <w:rFonts w:cstheme="minorHAnsi"/>
          <w:i/>
          <w:iCs/>
        </w:rPr>
        <w:t>W</w:t>
      </w:r>
      <w:r w:rsidRPr="00196023">
        <w:rPr>
          <w:rFonts w:cstheme="minorHAnsi"/>
          <w:i/>
          <w:iCs/>
        </w:rPr>
        <w:t>orldwide</w:t>
      </w:r>
      <w:r w:rsidR="006504E9">
        <w:rPr>
          <w:rFonts w:cstheme="minorHAnsi"/>
          <w:i/>
          <w:iCs/>
        </w:rPr>
        <w:t xml:space="preserve">. </w:t>
      </w:r>
      <w:r w:rsidR="001C0389">
        <w:rPr>
          <w:rFonts w:cstheme="minorHAnsi"/>
        </w:rPr>
        <w:t>Oxford Academic</w:t>
      </w:r>
      <w:r w:rsidR="00196023">
        <w:rPr>
          <w:rFonts w:cstheme="minorHAnsi"/>
        </w:rPr>
        <w:t xml:space="preserve">, </w:t>
      </w:r>
      <w:r w:rsidR="00D2098E">
        <w:rPr>
          <w:rFonts w:cstheme="minorHAnsi"/>
        </w:rPr>
        <w:t xml:space="preserve">Oxford, </w:t>
      </w:r>
      <w:r w:rsidR="00196023">
        <w:rPr>
          <w:rFonts w:cstheme="minorHAnsi"/>
        </w:rPr>
        <w:t>pp</w:t>
      </w:r>
      <w:r w:rsidR="00C85CA3">
        <w:rPr>
          <w:rFonts w:cstheme="minorHAnsi"/>
        </w:rPr>
        <w:t>.</w:t>
      </w:r>
      <w:r w:rsidR="00196023">
        <w:rPr>
          <w:rFonts w:cstheme="minorHAnsi"/>
        </w:rPr>
        <w:t xml:space="preserve"> </w:t>
      </w:r>
      <w:r w:rsidRPr="00196023">
        <w:rPr>
          <w:rFonts w:cstheme="minorHAnsi"/>
        </w:rPr>
        <w:t>3-14.</w:t>
      </w:r>
      <w:r w:rsidR="00163B97" w:rsidRPr="00196023">
        <w:rPr>
          <w:rFonts w:cstheme="minorHAnsi"/>
        </w:rPr>
        <w:t xml:space="preserve"> </w:t>
      </w:r>
    </w:p>
    <w:p w14:paraId="7C893006" w14:textId="41259A1F" w:rsidR="00362ABB" w:rsidRPr="005F6151" w:rsidRDefault="00362ABB" w:rsidP="005F6151">
      <w:pPr>
        <w:spacing w:line="360" w:lineRule="auto"/>
        <w:ind w:left="720" w:hanging="720"/>
        <w:jc w:val="both"/>
        <w:rPr>
          <w:rFonts w:cstheme="minorHAnsi"/>
        </w:rPr>
      </w:pPr>
      <w:r w:rsidRPr="005F6151">
        <w:rPr>
          <w:rFonts w:cstheme="minorHAnsi"/>
        </w:rPr>
        <w:t>Grace</w:t>
      </w:r>
      <w:r w:rsidR="00336F8C">
        <w:rPr>
          <w:rFonts w:cstheme="minorHAnsi"/>
        </w:rPr>
        <w:t>,</w:t>
      </w:r>
      <w:r w:rsidRPr="005F6151">
        <w:rPr>
          <w:rFonts w:cstheme="minorHAnsi"/>
        </w:rPr>
        <w:t xml:space="preserve"> J</w:t>
      </w:r>
      <w:r w:rsidR="00336F8C">
        <w:rPr>
          <w:rFonts w:cstheme="minorHAnsi"/>
        </w:rPr>
        <w:t>.</w:t>
      </w:r>
      <w:r w:rsidRPr="005F6151">
        <w:rPr>
          <w:rFonts w:cstheme="minorHAnsi"/>
        </w:rPr>
        <w:t xml:space="preserve"> (2015)</w:t>
      </w:r>
      <w:r w:rsidR="00336F8C">
        <w:rPr>
          <w:rFonts w:cstheme="minorHAnsi"/>
        </w:rPr>
        <w:t>.</w:t>
      </w:r>
      <w:r w:rsidRPr="005F6151">
        <w:rPr>
          <w:rFonts w:cstheme="minorHAnsi"/>
        </w:rPr>
        <w:t xml:space="preserve"> Clare’s Law, or the national domestic violence disclosure scheme: The contested legalities of criminality information sharing. </w:t>
      </w:r>
      <w:r w:rsidRPr="00336F8C">
        <w:rPr>
          <w:rFonts w:cstheme="minorHAnsi"/>
          <w:i/>
          <w:iCs/>
        </w:rPr>
        <w:t>Journal of Criminal Law</w:t>
      </w:r>
      <w:r w:rsidR="00336F8C">
        <w:rPr>
          <w:rFonts w:cstheme="minorHAnsi"/>
          <w:i/>
          <w:iCs/>
        </w:rPr>
        <w:t>,</w:t>
      </w:r>
      <w:r w:rsidRPr="005F6151">
        <w:rPr>
          <w:rFonts w:cstheme="minorHAnsi"/>
        </w:rPr>
        <w:t xml:space="preserve"> 79(1)</w:t>
      </w:r>
      <w:r w:rsidR="00336F8C">
        <w:rPr>
          <w:rFonts w:cstheme="minorHAnsi"/>
        </w:rPr>
        <w:t>,</w:t>
      </w:r>
      <w:r w:rsidRPr="005F6151">
        <w:rPr>
          <w:rFonts w:cstheme="minorHAnsi"/>
        </w:rPr>
        <w:t xml:space="preserve"> 36–45.</w:t>
      </w:r>
    </w:p>
    <w:p w14:paraId="329AF3B8" w14:textId="1A696F15" w:rsidR="000F2E84" w:rsidRPr="005F6151" w:rsidRDefault="000F2E84" w:rsidP="005F6151">
      <w:pPr>
        <w:spacing w:line="360" w:lineRule="auto"/>
        <w:ind w:left="720" w:hanging="720"/>
        <w:jc w:val="both"/>
        <w:rPr>
          <w:rFonts w:cstheme="minorHAnsi"/>
        </w:rPr>
      </w:pPr>
      <w:proofErr w:type="spellStart"/>
      <w:r w:rsidRPr="005F6151">
        <w:rPr>
          <w:rFonts w:cstheme="minorHAnsi"/>
        </w:rPr>
        <w:t>Graycar</w:t>
      </w:r>
      <w:proofErr w:type="spellEnd"/>
      <w:r w:rsidRPr="005F6151">
        <w:rPr>
          <w:rFonts w:cstheme="minorHAnsi"/>
        </w:rPr>
        <w:t xml:space="preserve">, R. (2000). Law reform by frozen chook: Family law for the new </w:t>
      </w:r>
      <w:r w:rsidR="00562C21" w:rsidRPr="005F6151">
        <w:rPr>
          <w:rFonts w:cstheme="minorHAnsi"/>
        </w:rPr>
        <w:t>millennium</w:t>
      </w:r>
      <w:r w:rsidRPr="005F6151">
        <w:rPr>
          <w:rFonts w:cstheme="minorHAnsi"/>
        </w:rPr>
        <w:t>?</w:t>
      </w:r>
      <w:r w:rsidR="00562C21" w:rsidRPr="005F6151">
        <w:rPr>
          <w:rFonts w:cstheme="minorHAnsi"/>
        </w:rPr>
        <w:t xml:space="preserve"> </w:t>
      </w:r>
      <w:r w:rsidR="00562C21" w:rsidRPr="005F6151">
        <w:rPr>
          <w:rFonts w:cstheme="minorHAnsi"/>
          <w:i/>
          <w:iCs/>
        </w:rPr>
        <w:t xml:space="preserve">Melbourne University Law Review, </w:t>
      </w:r>
      <w:r w:rsidR="00562C21" w:rsidRPr="005F6151">
        <w:rPr>
          <w:rFonts w:cstheme="minorHAnsi"/>
        </w:rPr>
        <w:t xml:space="preserve">24(3), 737-755. </w:t>
      </w:r>
    </w:p>
    <w:p w14:paraId="66A9A93B" w14:textId="2D4C0E36" w:rsidR="00B443DA" w:rsidRPr="005F6151" w:rsidRDefault="00A80ED0" w:rsidP="005F6151">
      <w:pPr>
        <w:spacing w:line="360" w:lineRule="auto"/>
        <w:ind w:left="720" w:hanging="720"/>
        <w:jc w:val="both"/>
        <w:rPr>
          <w:rFonts w:cstheme="minorHAnsi"/>
          <w:i/>
        </w:rPr>
      </w:pPr>
      <w:proofErr w:type="spellStart"/>
      <w:r w:rsidRPr="005F6151">
        <w:rPr>
          <w:rFonts w:cstheme="minorHAnsi"/>
        </w:rPr>
        <w:t>Graycar</w:t>
      </w:r>
      <w:proofErr w:type="spellEnd"/>
      <w:r w:rsidRPr="005F6151">
        <w:rPr>
          <w:rFonts w:cstheme="minorHAnsi"/>
        </w:rPr>
        <w:t>, R. &amp; Morgan, J. (200</w:t>
      </w:r>
      <w:r w:rsidR="00B443DA" w:rsidRPr="005F6151">
        <w:rPr>
          <w:rFonts w:cstheme="minorHAnsi"/>
        </w:rPr>
        <w:t>5</w:t>
      </w:r>
      <w:r w:rsidRPr="005F6151">
        <w:rPr>
          <w:rFonts w:cstheme="minorHAnsi"/>
        </w:rPr>
        <w:t xml:space="preserve">) </w:t>
      </w:r>
      <w:r w:rsidR="00B443DA" w:rsidRPr="005F6151">
        <w:rPr>
          <w:rFonts w:cstheme="minorHAnsi"/>
        </w:rPr>
        <w:t xml:space="preserve">Law </w:t>
      </w:r>
      <w:r w:rsidR="00E845DD">
        <w:rPr>
          <w:rFonts w:cstheme="minorHAnsi"/>
        </w:rPr>
        <w:t>r</w:t>
      </w:r>
      <w:r w:rsidR="00B443DA" w:rsidRPr="005F6151">
        <w:rPr>
          <w:rFonts w:cstheme="minorHAnsi"/>
        </w:rPr>
        <w:t xml:space="preserve">eform: What’s in It for </w:t>
      </w:r>
      <w:r w:rsidR="00E845DD">
        <w:rPr>
          <w:rFonts w:cstheme="minorHAnsi"/>
        </w:rPr>
        <w:t>w</w:t>
      </w:r>
      <w:r w:rsidR="00B443DA" w:rsidRPr="005F6151">
        <w:rPr>
          <w:rFonts w:cstheme="minorHAnsi"/>
        </w:rPr>
        <w:t xml:space="preserve">omen? </w:t>
      </w:r>
      <w:r w:rsidR="00B443DA" w:rsidRPr="0044291D">
        <w:rPr>
          <w:rFonts w:cstheme="minorHAnsi"/>
          <w:i/>
          <w:iCs/>
        </w:rPr>
        <w:t>Windsor Yearbook of Access to Justice</w:t>
      </w:r>
      <w:r w:rsidR="00B443DA" w:rsidRPr="005F6151">
        <w:rPr>
          <w:rFonts w:cstheme="minorHAnsi"/>
        </w:rPr>
        <w:t>, 23</w:t>
      </w:r>
      <w:r w:rsidR="005F058B">
        <w:rPr>
          <w:rFonts w:cstheme="minorHAnsi"/>
        </w:rPr>
        <w:t>(2)</w:t>
      </w:r>
      <w:r w:rsidR="00E845DD">
        <w:rPr>
          <w:rFonts w:cstheme="minorHAnsi"/>
        </w:rPr>
        <w:t>,</w:t>
      </w:r>
      <w:r w:rsidR="00B443DA" w:rsidRPr="005F6151">
        <w:rPr>
          <w:rFonts w:cstheme="minorHAnsi"/>
        </w:rPr>
        <w:t xml:space="preserve"> 393</w:t>
      </w:r>
      <w:r w:rsidR="00E845DD">
        <w:rPr>
          <w:rFonts w:cstheme="minorHAnsi"/>
        </w:rPr>
        <w:t>-</w:t>
      </w:r>
      <w:r w:rsidR="005F058B">
        <w:rPr>
          <w:rFonts w:cstheme="minorHAnsi"/>
        </w:rPr>
        <w:t>419</w:t>
      </w:r>
      <w:r w:rsidR="00B443DA" w:rsidRPr="005F6151">
        <w:rPr>
          <w:rFonts w:cstheme="minorHAnsi"/>
        </w:rPr>
        <w:t>.</w:t>
      </w:r>
      <w:r w:rsidR="00B443DA" w:rsidRPr="005F6151">
        <w:rPr>
          <w:rFonts w:cstheme="minorHAnsi"/>
          <w:i/>
        </w:rPr>
        <w:t xml:space="preserve"> </w:t>
      </w:r>
    </w:p>
    <w:p w14:paraId="2487B2E9" w14:textId="75B57B77" w:rsidR="00A80ED0" w:rsidRPr="005F6151" w:rsidRDefault="00E0745B" w:rsidP="005F6151">
      <w:pPr>
        <w:spacing w:line="360" w:lineRule="auto"/>
        <w:ind w:left="720" w:hanging="720"/>
        <w:jc w:val="both"/>
        <w:rPr>
          <w:rFonts w:cstheme="minorHAnsi"/>
        </w:rPr>
      </w:pPr>
      <w:r w:rsidRPr="005F6151">
        <w:rPr>
          <w:rFonts w:cstheme="minorHAnsi"/>
        </w:rPr>
        <w:t xml:space="preserve">Greene, E. &amp; O'Leary, J. (2018). Domestic violence disclosure schemes: Effective law reform or continued assertion of patriarchal power? </w:t>
      </w:r>
      <w:r w:rsidRPr="005F6151">
        <w:rPr>
          <w:rFonts w:cstheme="minorHAnsi"/>
          <w:i/>
        </w:rPr>
        <w:t xml:space="preserve">Bond </w:t>
      </w:r>
      <w:r w:rsidR="005F058B">
        <w:rPr>
          <w:rFonts w:cstheme="minorHAnsi"/>
          <w:i/>
        </w:rPr>
        <w:t>L</w:t>
      </w:r>
      <w:r w:rsidRPr="005F6151">
        <w:rPr>
          <w:rFonts w:cstheme="minorHAnsi"/>
          <w:i/>
        </w:rPr>
        <w:t xml:space="preserve">aw </w:t>
      </w:r>
      <w:r w:rsidR="005F058B">
        <w:rPr>
          <w:rFonts w:cstheme="minorHAnsi"/>
          <w:i/>
        </w:rPr>
        <w:t>R</w:t>
      </w:r>
      <w:r w:rsidRPr="005F6151">
        <w:rPr>
          <w:rFonts w:cstheme="minorHAnsi"/>
          <w:i/>
        </w:rPr>
        <w:t>eview</w:t>
      </w:r>
      <w:r w:rsidRPr="005F6151">
        <w:rPr>
          <w:rFonts w:cstheme="minorHAnsi"/>
        </w:rPr>
        <w:t>, 30(1), 55-82.</w:t>
      </w:r>
    </w:p>
    <w:p w14:paraId="39035B71" w14:textId="0809580F" w:rsidR="00523F0C" w:rsidRPr="005F6151" w:rsidRDefault="00523F0C" w:rsidP="005F6151">
      <w:pPr>
        <w:spacing w:line="360" w:lineRule="auto"/>
        <w:ind w:left="720" w:hanging="720"/>
        <w:jc w:val="both"/>
        <w:rPr>
          <w:rFonts w:cstheme="minorHAnsi"/>
        </w:rPr>
      </w:pPr>
      <w:proofErr w:type="spellStart"/>
      <w:r w:rsidRPr="005F6151">
        <w:rPr>
          <w:rFonts w:cstheme="minorHAnsi"/>
        </w:rPr>
        <w:t>Hadjimatheou</w:t>
      </w:r>
      <w:proofErr w:type="spellEnd"/>
      <w:r w:rsidRPr="005F6151">
        <w:rPr>
          <w:rFonts w:cstheme="minorHAnsi"/>
        </w:rPr>
        <w:t xml:space="preserve">, K. (2022). ‘Social Care </w:t>
      </w:r>
      <w:r w:rsidR="00767207">
        <w:rPr>
          <w:rFonts w:cstheme="minorHAnsi"/>
        </w:rPr>
        <w:t>t</w:t>
      </w:r>
      <w:r w:rsidRPr="005F6151">
        <w:rPr>
          <w:rFonts w:cstheme="minorHAnsi"/>
        </w:rPr>
        <w:t xml:space="preserve">old me I </w:t>
      </w:r>
      <w:r w:rsidR="00767207">
        <w:rPr>
          <w:rFonts w:cstheme="minorHAnsi"/>
        </w:rPr>
        <w:t>h</w:t>
      </w:r>
      <w:r w:rsidRPr="005F6151">
        <w:rPr>
          <w:rFonts w:cstheme="minorHAnsi"/>
        </w:rPr>
        <w:t xml:space="preserve">ad to’: Empowerment And </w:t>
      </w:r>
      <w:proofErr w:type="spellStart"/>
      <w:r w:rsidR="00767207">
        <w:rPr>
          <w:rFonts w:cstheme="minorHAnsi"/>
        </w:rPr>
        <w:t>r</w:t>
      </w:r>
      <w:r w:rsidRPr="005F6151">
        <w:rPr>
          <w:rFonts w:cstheme="minorHAnsi"/>
        </w:rPr>
        <w:t>esponsibilization</w:t>
      </w:r>
      <w:proofErr w:type="spellEnd"/>
      <w:r w:rsidRPr="005F6151">
        <w:rPr>
          <w:rFonts w:cstheme="minorHAnsi"/>
        </w:rPr>
        <w:t xml:space="preserve"> in </w:t>
      </w:r>
      <w:r w:rsidR="00767207">
        <w:rPr>
          <w:rFonts w:cstheme="minorHAnsi"/>
        </w:rPr>
        <w:t>t</w:t>
      </w:r>
      <w:r w:rsidRPr="005F6151">
        <w:rPr>
          <w:rFonts w:cstheme="minorHAnsi"/>
        </w:rPr>
        <w:t xml:space="preserve">he </w:t>
      </w:r>
      <w:r w:rsidR="00767207">
        <w:rPr>
          <w:rFonts w:cstheme="minorHAnsi"/>
        </w:rPr>
        <w:t>d</w:t>
      </w:r>
      <w:r w:rsidRPr="005F6151">
        <w:rPr>
          <w:rFonts w:cstheme="minorHAnsi"/>
        </w:rPr>
        <w:t xml:space="preserve">omestic </w:t>
      </w:r>
      <w:r w:rsidR="00767207">
        <w:rPr>
          <w:rFonts w:cstheme="minorHAnsi"/>
        </w:rPr>
        <w:t>v</w:t>
      </w:r>
      <w:r w:rsidRPr="005F6151">
        <w:rPr>
          <w:rFonts w:cstheme="minorHAnsi"/>
        </w:rPr>
        <w:t xml:space="preserve">iolence </w:t>
      </w:r>
      <w:r w:rsidR="00767207">
        <w:rPr>
          <w:rFonts w:cstheme="minorHAnsi"/>
        </w:rPr>
        <w:t>d</w:t>
      </w:r>
      <w:r w:rsidRPr="005F6151">
        <w:rPr>
          <w:rFonts w:cstheme="minorHAnsi"/>
        </w:rPr>
        <w:t xml:space="preserve">isclosure </w:t>
      </w:r>
      <w:r w:rsidR="00767207">
        <w:rPr>
          <w:rFonts w:cstheme="minorHAnsi"/>
        </w:rPr>
        <w:t>s</w:t>
      </w:r>
      <w:r w:rsidRPr="005F6151">
        <w:rPr>
          <w:rFonts w:cstheme="minorHAnsi"/>
        </w:rPr>
        <w:t xml:space="preserve">cheme. </w:t>
      </w:r>
      <w:r w:rsidRPr="0044291D">
        <w:rPr>
          <w:rFonts w:cstheme="minorHAnsi"/>
          <w:i/>
          <w:iCs/>
        </w:rPr>
        <w:t>The British Journal of Criminology</w:t>
      </w:r>
      <w:r w:rsidRPr="005F6151">
        <w:rPr>
          <w:rFonts w:cstheme="minorHAnsi"/>
        </w:rPr>
        <w:t>, 62(2), 320-336.</w:t>
      </w:r>
    </w:p>
    <w:p w14:paraId="2E28FEA4" w14:textId="7D4B2434" w:rsidR="0062277A" w:rsidRPr="005F6151" w:rsidRDefault="00670232" w:rsidP="005F6151">
      <w:pPr>
        <w:spacing w:line="360" w:lineRule="auto"/>
        <w:ind w:left="720" w:hanging="720"/>
        <w:jc w:val="both"/>
        <w:rPr>
          <w:rFonts w:cstheme="minorHAnsi"/>
        </w:rPr>
      </w:pPr>
      <w:r w:rsidRPr="005F6151">
        <w:rPr>
          <w:rFonts w:cstheme="minorHAnsi"/>
        </w:rPr>
        <w:t>House of Representatives Standing Committee on Social Policy and Legal Affairs. (2021)</w:t>
      </w:r>
      <w:r w:rsidR="0044291D">
        <w:rPr>
          <w:rFonts w:cstheme="minorHAnsi"/>
        </w:rPr>
        <w:t>.</w:t>
      </w:r>
      <w:r w:rsidRPr="005F6151">
        <w:rPr>
          <w:rFonts w:cstheme="minorHAnsi"/>
        </w:rPr>
        <w:t xml:space="preserve"> </w:t>
      </w:r>
      <w:r w:rsidRPr="0044291D">
        <w:rPr>
          <w:rFonts w:cstheme="minorHAnsi"/>
          <w:i/>
          <w:iCs/>
        </w:rPr>
        <w:t>Inquiry int</w:t>
      </w:r>
      <w:r w:rsidR="009533E3">
        <w:rPr>
          <w:rFonts w:cstheme="minorHAnsi"/>
          <w:i/>
          <w:iCs/>
        </w:rPr>
        <w:t>o F</w:t>
      </w:r>
      <w:r w:rsidRPr="0044291D">
        <w:rPr>
          <w:rFonts w:cstheme="minorHAnsi"/>
          <w:i/>
          <w:iCs/>
        </w:rPr>
        <w:t xml:space="preserve">amily, </w:t>
      </w:r>
      <w:r w:rsidR="009533E3">
        <w:rPr>
          <w:rFonts w:cstheme="minorHAnsi"/>
          <w:i/>
          <w:iCs/>
        </w:rPr>
        <w:t>D</w:t>
      </w:r>
      <w:r w:rsidRPr="0044291D">
        <w:rPr>
          <w:rFonts w:cstheme="minorHAnsi"/>
          <w:i/>
          <w:iCs/>
        </w:rPr>
        <w:t xml:space="preserve">omestic and </w:t>
      </w:r>
      <w:r w:rsidR="009533E3">
        <w:rPr>
          <w:rFonts w:cstheme="minorHAnsi"/>
          <w:i/>
          <w:iCs/>
        </w:rPr>
        <w:t>S</w:t>
      </w:r>
      <w:r w:rsidRPr="0044291D">
        <w:rPr>
          <w:rFonts w:cstheme="minorHAnsi"/>
          <w:i/>
          <w:iCs/>
        </w:rPr>
        <w:t xml:space="preserve">exual </w:t>
      </w:r>
      <w:r w:rsidR="009533E3">
        <w:rPr>
          <w:rFonts w:cstheme="minorHAnsi"/>
          <w:i/>
          <w:iCs/>
        </w:rPr>
        <w:t>V</w:t>
      </w:r>
      <w:r w:rsidRPr="0044291D">
        <w:rPr>
          <w:rFonts w:cstheme="minorHAnsi"/>
          <w:i/>
          <w:iCs/>
        </w:rPr>
        <w:t>iolence</w:t>
      </w:r>
      <w:r w:rsidRPr="005F6151">
        <w:rPr>
          <w:rFonts w:cstheme="minorHAnsi"/>
        </w:rPr>
        <w:t xml:space="preserve">. Parliament of Australia, Canberra. </w:t>
      </w:r>
    </w:p>
    <w:p w14:paraId="6C1E18D4" w14:textId="0AB7C37F" w:rsidR="00537533" w:rsidRPr="005F6151" w:rsidRDefault="00537533" w:rsidP="005F6151">
      <w:pPr>
        <w:spacing w:line="360" w:lineRule="auto"/>
        <w:ind w:left="720" w:hanging="720"/>
        <w:jc w:val="both"/>
        <w:rPr>
          <w:rFonts w:cstheme="minorHAnsi"/>
        </w:rPr>
      </w:pPr>
      <w:r w:rsidRPr="005F6151">
        <w:rPr>
          <w:rFonts w:cstheme="minorHAnsi"/>
        </w:rPr>
        <w:t>Joint Select Committee on Australia’s Family Law System. (2021)</w:t>
      </w:r>
      <w:r w:rsidR="0044291D">
        <w:rPr>
          <w:rFonts w:cstheme="minorHAnsi"/>
        </w:rPr>
        <w:t>.</w:t>
      </w:r>
      <w:r w:rsidRPr="005F6151">
        <w:rPr>
          <w:rFonts w:cstheme="minorHAnsi"/>
        </w:rPr>
        <w:t xml:space="preserve"> </w:t>
      </w:r>
      <w:r w:rsidRPr="005F6151">
        <w:rPr>
          <w:rFonts w:cstheme="minorHAnsi"/>
          <w:i/>
        </w:rPr>
        <w:t>Joint Select Committee on Australia’s Family Law System: Final Report</w:t>
      </w:r>
      <w:r w:rsidRPr="005F6151">
        <w:rPr>
          <w:rFonts w:cstheme="minorHAnsi"/>
        </w:rPr>
        <w:t xml:space="preserve">. Commonwealth of Australia, Canberra. Available at: </w:t>
      </w:r>
      <w:hyperlink r:id="rId13" w:history="1">
        <w:r w:rsidRPr="005F6151">
          <w:rPr>
            <w:rStyle w:val="Hyperlink"/>
            <w:rFonts w:cstheme="minorHAnsi"/>
          </w:rPr>
          <w:t>https://parlinfo.aph.gov.au/parlInfo/download/committees/reportjnt/024777/toc_pdf/Finalreport.pdf;fileType=application%2Fpdf</w:t>
        </w:r>
      </w:hyperlink>
      <w:r w:rsidRPr="005F6151">
        <w:rPr>
          <w:rFonts w:cstheme="minorHAnsi"/>
        </w:rPr>
        <w:t xml:space="preserve"> </w:t>
      </w:r>
    </w:p>
    <w:p w14:paraId="2AA471A7" w14:textId="245E3A2B" w:rsidR="00B7137C" w:rsidRPr="005F6151" w:rsidRDefault="00B7137C" w:rsidP="005F6151">
      <w:pPr>
        <w:spacing w:line="360" w:lineRule="auto"/>
        <w:ind w:left="720" w:hanging="720"/>
        <w:jc w:val="both"/>
        <w:rPr>
          <w:rFonts w:cstheme="minorHAnsi"/>
        </w:rPr>
      </w:pPr>
      <w:r w:rsidRPr="005F6151">
        <w:rPr>
          <w:rFonts w:cstheme="minorHAnsi"/>
        </w:rPr>
        <w:t>Joint Select Committee on Coercive Control. (2021)</w:t>
      </w:r>
      <w:r w:rsidR="00461107">
        <w:rPr>
          <w:rFonts w:cstheme="minorHAnsi"/>
        </w:rPr>
        <w:t>.</w:t>
      </w:r>
      <w:r w:rsidRPr="005F6151">
        <w:rPr>
          <w:rFonts w:cstheme="minorHAnsi"/>
        </w:rPr>
        <w:t xml:space="preserve"> </w:t>
      </w:r>
      <w:r w:rsidRPr="005F6151">
        <w:rPr>
          <w:rFonts w:cstheme="minorHAnsi"/>
          <w:i/>
        </w:rPr>
        <w:t xml:space="preserve">Coercive </w:t>
      </w:r>
      <w:r w:rsidR="006B3C78">
        <w:rPr>
          <w:rFonts w:cstheme="minorHAnsi"/>
          <w:i/>
        </w:rPr>
        <w:t>C</w:t>
      </w:r>
      <w:r w:rsidRPr="005F6151">
        <w:rPr>
          <w:rFonts w:cstheme="minorHAnsi"/>
          <w:i/>
        </w:rPr>
        <w:t xml:space="preserve">ontrol in </w:t>
      </w:r>
      <w:r w:rsidR="006B3C78">
        <w:rPr>
          <w:rFonts w:cstheme="minorHAnsi"/>
          <w:i/>
        </w:rPr>
        <w:t>D</w:t>
      </w:r>
      <w:r w:rsidRPr="005F6151">
        <w:rPr>
          <w:rFonts w:cstheme="minorHAnsi"/>
          <w:i/>
        </w:rPr>
        <w:t xml:space="preserve">omestic </w:t>
      </w:r>
      <w:r w:rsidR="006B3C78">
        <w:rPr>
          <w:rFonts w:cstheme="minorHAnsi"/>
          <w:i/>
        </w:rPr>
        <w:t>R</w:t>
      </w:r>
      <w:r w:rsidRPr="005F6151">
        <w:rPr>
          <w:rFonts w:cstheme="minorHAnsi"/>
          <w:i/>
        </w:rPr>
        <w:t>elationships</w:t>
      </w:r>
      <w:r w:rsidR="006B3C78">
        <w:rPr>
          <w:rFonts w:cstheme="minorHAnsi"/>
          <w:iCs/>
        </w:rPr>
        <w:t>,</w:t>
      </w:r>
      <w:r w:rsidRPr="005F6151">
        <w:rPr>
          <w:rFonts w:cstheme="minorHAnsi"/>
          <w:i/>
        </w:rPr>
        <w:t xml:space="preserve"> </w:t>
      </w:r>
      <w:r w:rsidRPr="005F6151">
        <w:rPr>
          <w:rFonts w:cstheme="minorHAnsi"/>
        </w:rPr>
        <w:t xml:space="preserve">Report 1/57 – June. Parliament of New South Wales, Sydney. Available at: </w:t>
      </w:r>
      <w:hyperlink r:id="rId14" w:history="1">
        <w:r w:rsidRPr="005F6151">
          <w:rPr>
            <w:rStyle w:val="Hyperlink"/>
            <w:rFonts w:cstheme="minorHAnsi"/>
          </w:rPr>
          <w:t>https://www.parliament.nsw.gov.au/ladocs/inquiries/2626/Report%20-%20coercive%20control%20in%20domestic%20relationships.pdf</w:t>
        </w:r>
      </w:hyperlink>
      <w:r w:rsidRPr="005F6151">
        <w:rPr>
          <w:rFonts w:cstheme="minorHAnsi"/>
        </w:rPr>
        <w:t xml:space="preserve"> </w:t>
      </w:r>
    </w:p>
    <w:p w14:paraId="66D74472" w14:textId="6C0489C5" w:rsidR="00CA30D4" w:rsidRPr="005F6151" w:rsidRDefault="00CA30D4" w:rsidP="005F6151">
      <w:pPr>
        <w:spacing w:line="360" w:lineRule="auto"/>
        <w:ind w:left="720" w:hanging="720"/>
        <w:jc w:val="both"/>
        <w:rPr>
          <w:rFonts w:cstheme="minorHAnsi"/>
        </w:rPr>
      </w:pPr>
      <w:r w:rsidRPr="005F6151">
        <w:rPr>
          <w:rFonts w:cstheme="minorHAnsi"/>
        </w:rPr>
        <w:t>Jones,</w:t>
      </w:r>
      <w:r w:rsidR="00DA3183">
        <w:rPr>
          <w:rFonts w:cstheme="minorHAnsi"/>
        </w:rPr>
        <w:t xml:space="preserve"> T. &amp;</w:t>
      </w:r>
      <w:r w:rsidRPr="005F6151">
        <w:rPr>
          <w:rFonts w:cstheme="minorHAnsi"/>
        </w:rPr>
        <w:t xml:space="preserve"> Newburn, T</w:t>
      </w:r>
      <w:r w:rsidR="00461107">
        <w:rPr>
          <w:rFonts w:cstheme="minorHAnsi"/>
        </w:rPr>
        <w:t>.</w:t>
      </w:r>
      <w:r w:rsidRPr="005F6151">
        <w:rPr>
          <w:rFonts w:cstheme="minorHAnsi"/>
        </w:rPr>
        <w:t xml:space="preserve"> (2006</w:t>
      </w:r>
      <w:r w:rsidRPr="00461107">
        <w:rPr>
          <w:rFonts w:cstheme="minorHAnsi"/>
        </w:rPr>
        <w:t>)</w:t>
      </w:r>
      <w:r w:rsidR="00461107" w:rsidRPr="00461107">
        <w:rPr>
          <w:rFonts w:cstheme="minorHAnsi"/>
          <w:i/>
          <w:iCs/>
        </w:rPr>
        <w:t>.</w:t>
      </w:r>
      <w:r w:rsidRPr="00461107">
        <w:rPr>
          <w:rFonts w:cstheme="minorHAnsi"/>
          <w:i/>
          <w:iCs/>
        </w:rPr>
        <w:t xml:space="preserve"> </w:t>
      </w:r>
      <w:r w:rsidR="00B97135" w:rsidRPr="00461107">
        <w:rPr>
          <w:rFonts w:cstheme="minorHAnsi"/>
          <w:i/>
          <w:iCs/>
        </w:rPr>
        <w:t>Policy Transfer and Criminal Justice</w:t>
      </w:r>
      <w:r w:rsidR="00B97135" w:rsidRPr="005F6151">
        <w:rPr>
          <w:rFonts w:cstheme="minorHAnsi"/>
        </w:rPr>
        <w:t>. Open University Press</w:t>
      </w:r>
      <w:r w:rsidR="006B3C78">
        <w:rPr>
          <w:rFonts w:cstheme="minorHAnsi"/>
        </w:rPr>
        <w:t>, Maidenhead</w:t>
      </w:r>
      <w:r w:rsidR="00B97135" w:rsidRPr="005F6151">
        <w:rPr>
          <w:rFonts w:cstheme="minorHAnsi"/>
        </w:rPr>
        <w:t>.</w:t>
      </w:r>
    </w:p>
    <w:p w14:paraId="31C832C4" w14:textId="0842E2D8" w:rsidR="009C4CD1" w:rsidRPr="005F6151" w:rsidRDefault="009C4CD1" w:rsidP="005F6151">
      <w:pPr>
        <w:spacing w:line="360" w:lineRule="auto"/>
        <w:ind w:left="720" w:hanging="720"/>
        <w:jc w:val="both"/>
        <w:rPr>
          <w:rFonts w:cstheme="minorHAnsi"/>
        </w:rPr>
      </w:pPr>
      <w:r w:rsidRPr="005F6151">
        <w:rPr>
          <w:rFonts w:cstheme="minorHAnsi"/>
        </w:rPr>
        <w:lastRenderedPageBreak/>
        <w:t>Lipscombe, S. (2012</w:t>
      </w:r>
      <w:r w:rsidR="006B3C78">
        <w:rPr>
          <w:rFonts w:cstheme="minorHAnsi"/>
        </w:rPr>
        <w:t>)</w:t>
      </w:r>
      <w:r w:rsidR="00DA3183">
        <w:rPr>
          <w:rFonts w:cstheme="minorHAnsi"/>
        </w:rPr>
        <w:t>.</w:t>
      </w:r>
      <w:r w:rsidRPr="005F6151">
        <w:rPr>
          <w:rFonts w:cstheme="minorHAnsi"/>
        </w:rPr>
        <w:t xml:space="preserve"> </w:t>
      </w:r>
      <w:r w:rsidRPr="006B3C78">
        <w:rPr>
          <w:rFonts w:cstheme="minorHAnsi"/>
          <w:i/>
          <w:iCs/>
        </w:rPr>
        <w:t xml:space="preserve">Sarah’s </w:t>
      </w:r>
      <w:r w:rsidR="006B3C78" w:rsidRPr="006B3C78">
        <w:rPr>
          <w:rFonts w:cstheme="minorHAnsi"/>
          <w:i/>
          <w:iCs/>
        </w:rPr>
        <w:t>L</w:t>
      </w:r>
      <w:r w:rsidRPr="006B3C78">
        <w:rPr>
          <w:rFonts w:cstheme="minorHAnsi"/>
          <w:i/>
          <w:iCs/>
        </w:rPr>
        <w:t xml:space="preserve">aw: </w:t>
      </w:r>
      <w:r w:rsidR="006B3C78" w:rsidRPr="006B3C78">
        <w:rPr>
          <w:rFonts w:cstheme="minorHAnsi"/>
          <w:i/>
          <w:iCs/>
        </w:rPr>
        <w:t>T</w:t>
      </w:r>
      <w:r w:rsidRPr="006B3C78">
        <w:rPr>
          <w:rFonts w:cstheme="minorHAnsi"/>
          <w:i/>
          <w:iCs/>
        </w:rPr>
        <w:t xml:space="preserve">he </w:t>
      </w:r>
      <w:r w:rsidR="006B3C78" w:rsidRPr="006B3C78">
        <w:rPr>
          <w:rFonts w:cstheme="minorHAnsi"/>
          <w:i/>
          <w:iCs/>
        </w:rPr>
        <w:t>C</w:t>
      </w:r>
      <w:r w:rsidRPr="006B3C78">
        <w:rPr>
          <w:rFonts w:cstheme="minorHAnsi"/>
          <w:i/>
          <w:iCs/>
        </w:rPr>
        <w:t xml:space="preserve">hild </w:t>
      </w:r>
      <w:r w:rsidR="006B3C78" w:rsidRPr="006B3C78">
        <w:rPr>
          <w:rFonts w:cstheme="minorHAnsi"/>
          <w:i/>
          <w:iCs/>
        </w:rPr>
        <w:t>S</w:t>
      </w:r>
      <w:r w:rsidRPr="006B3C78">
        <w:rPr>
          <w:rFonts w:cstheme="minorHAnsi"/>
          <w:i/>
          <w:iCs/>
        </w:rPr>
        <w:t>ex</w:t>
      </w:r>
      <w:r w:rsidR="006B3C78" w:rsidRPr="006B3C78">
        <w:rPr>
          <w:rFonts w:cstheme="minorHAnsi"/>
          <w:i/>
          <w:iCs/>
        </w:rPr>
        <w:t xml:space="preserve"> O</w:t>
      </w:r>
      <w:r w:rsidRPr="006B3C78">
        <w:rPr>
          <w:rFonts w:cstheme="minorHAnsi"/>
          <w:i/>
          <w:iCs/>
        </w:rPr>
        <w:t xml:space="preserve">ffender </w:t>
      </w:r>
      <w:r w:rsidR="006B3C78" w:rsidRPr="006B3C78">
        <w:rPr>
          <w:rFonts w:cstheme="minorHAnsi"/>
          <w:i/>
          <w:iCs/>
        </w:rPr>
        <w:t>D</w:t>
      </w:r>
      <w:r w:rsidRPr="006B3C78">
        <w:rPr>
          <w:rFonts w:cstheme="minorHAnsi"/>
          <w:i/>
          <w:iCs/>
        </w:rPr>
        <w:t xml:space="preserve">isclosure </w:t>
      </w:r>
      <w:r w:rsidR="006B3C78" w:rsidRPr="006B3C78">
        <w:rPr>
          <w:rFonts w:cstheme="minorHAnsi"/>
          <w:i/>
          <w:iCs/>
        </w:rPr>
        <w:t>S</w:t>
      </w:r>
      <w:r w:rsidRPr="006B3C78">
        <w:rPr>
          <w:rFonts w:cstheme="minorHAnsi"/>
          <w:i/>
          <w:iCs/>
        </w:rPr>
        <w:t>cheme</w:t>
      </w:r>
      <w:r w:rsidR="006B3C78">
        <w:rPr>
          <w:rFonts w:cstheme="minorHAnsi"/>
        </w:rPr>
        <w:t>,</w:t>
      </w:r>
      <w:r w:rsidRPr="005F6151">
        <w:rPr>
          <w:rFonts w:cstheme="minorHAnsi"/>
        </w:rPr>
        <w:t xml:space="preserve"> SN/HA/1692</w:t>
      </w:r>
      <w:r w:rsidR="006B3C78">
        <w:rPr>
          <w:rFonts w:cstheme="minorHAnsi"/>
        </w:rPr>
        <w:t xml:space="preserve">. </w:t>
      </w:r>
      <w:r w:rsidRPr="005F6151">
        <w:rPr>
          <w:rFonts w:cstheme="minorHAnsi"/>
        </w:rPr>
        <w:t xml:space="preserve">House of Commons Library, 6 March. </w:t>
      </w:r>
    </w:p>
    <w:p w14:paraId="1F9BAB03" w14:textId="504D4478" w:rsidR="004D43E1" w:rsidRPr="005F6151" w:rsidRDefault="004D43E1" w:rsidP="005F6151">
      <w:pPr>
        <w:spacing w:line="360" w:lineRule="auto"/>
        <w:ind w:left="720" w:hanging="720"/>
        <w:jc w:val="both"/>
        <w:rPr>
          <w:rFonts w:cstheme="minorHAnsi"/>
        </w:rPr>
      </w:pPr>
      <w:r w:rsidRPr="005F6151">
        <w:rPr>
          <w:rFonts w:cstheme="minorHAnsi"/>
        </w:rPr>
        <w:t>McCulloch J., Maher, J.</w:t>
      </w:r>
      <w:r w:rsidR="00E80B38">
        <w:rPr>
          <w:rFonts w:cstheme="minorHAnsi"/>
        </w:rPr>
        <w:t>M.</w:t>
      </w:r>
      <w:r w:rsidRPr="005F6151">
        <w:rPr>
          <w:rFonts w:cstheme="minorHAnsi"/>
        </w:rPr>
        <w:t xml:space="preserve">, Fitz-Gibbon, K., Segrave, M., </w:t>
      </w:r>
      <w:proofErr w:type="spellStart"/>
      <w:r w:rsidRPr="005F6151">
        <w:rPr>
          <w:rFonts w:cstheme="minorHAnsi"/>
        </w:rPr>
        <w:t>Benier</w:t>
      </w:r>
      <w:proofErr w:type="spellEnd"/>
      <w:r w:rsidRPr="005F6151">
        <w:rPr>
          <w:rFonts w:cstheme="minorHAnsi"/>
        </w:rPr>
        <w:t>, K., Burns, K., McGowan, J.</w:t>
      </w:r>
      <w:r w:rsidR="00DF63F8">
        <w:rPr>
          <w:rFonts w:cstheme="minorHAnsi"/>
        </w:rPr>
        <w:t xml:space="preserve"> &amp;</w:t>
      </w:r>
      <w:r w:rsidRPr="005F6151">
        <w:rPr>
          <w:rFonts w:cstheme="minorHAnsi"/>
        </w:rPr>
        <w:t xml:space="preserve"> Pfitzner</w:t>
      </w:r>
      <w:r w:rsidR="00E80B38">
        <w:rPr>
          <w:rFonts w:cstheme="minorHAnsi"/>
        </w:rPr>
        <w:t>, N.</w:t>
      </w:r>
      <w:r w:rsidRPr="005F6151">
        <w:rPr>
          <w:rFonts w:cstheme="minorHAnsi"/>
        </w:rPr>
        <w:t xml:space="preserve"> (2020)</w:t>
      </w:r>
      <w:r w:rsidR="00DF63F8">
        <w:rPr>
          <w:rFonts w:cstheme="minorHAnsi"/>
        </w:rPr>
        <w:t>.</w:t>
      </w:r>
      <w:r w:rsidRPr="005F6151">
        <w:rPr>
          <w:rFonts w:cstheme="minorHAnsi"/>
        </w:rPr>
        <w:t xml:space="preserve"> </w:t>
      </w:r>
      <w:r w:rsidRPr="00DF63F8">
        <w:rPr>
          <w:rFonts w:cstheme="minorHAnsi"/>
          <w:i/>
          <w:iCs/>
        </w:rPr>
        <w:t>Review of the Family Violence Information Sharing Scheme Final Report</w:t>
      </w:r>
      <w:r w:rsidRPr="005F6151">
        <w:rPr>
          <w:rFonts w:cstheme="minorHAnsi"/>
        </w:rPr>
        <w:t>. Monash Gender and Family Violence Prevention Centre, Monash University</w:t>
      </w:r>
      <w:r w:rsidR="00E80B38">
        <w:rPr>
          <w:rFonts w:cstheme="minorHAnsi"/>
        </w:rPr>
        <w:t>, Melbourne</w:t>
      </w:r>
      <w:r w:rsidRPr="005F6151">
        <w:rPr>
          <w:rFonts w:cstheme="minorHAnsi"/>
        </w:rPr>
        <w:t xml:space="preserve">. </w:t>
      </w:r>
    </w:p>
    <w:p w14:paraId="6D313FCB" w14:textId="3F488B3B" w:rsidR="000E4D49" w:rsidRPr="005F6151" w:rsidRDefault="000E4D49" w:rsidP="005F6151">
      <w:pPr>
        <w:spacing w:line="360" w:lineRule="auto"/>
        <w:ind w:left="720" w:hanging="720"/>
        <w:jc w:val="both"/>
        <w:rPr>
          <w:rFonts w:cstheme="minorHAnsi"/>
        </w:rPr>
      </w:pPr>
      <w:r w:rsidRPr="005F6151">
        <w:rPr>
          <w:rFonts w:cstheme="minorHAnsi"/>
        </w:rPr>
        <w:t>McNamara, L., Quilter, J., Hogg, R., Loug</w:t>
      </w:r>
      <w:r w:rsidR="00BB6362" w:rsidRPr="005F6151">
        <w:rPr>
          <w:rFonts w:cstheme="minorHAnsi"/>
        </w:rPr>
        <w:t>hn</w:t>
      </w:r>
      <w:r w:rsidRPr="005F6151">
        <w:rPr>
          <w:rFonts w:cstheme="minorHAnsi"/>
        </w:rPr>
        <w:t>an, A., Douglas, H., Brown, D. &amp; Farmer, L. (20</w:t>
      </w:r>
      <w:r w:rsidR="002A56E3" w:rsidRPr="005F6151">
        <w:rPr>
          <w:rFonts w:cstheme="minorHAnsi"/>
        </w:rPr>
        <w:t xml:space="preserve">19). Understanding </w:t>
      </w:r>
      <w:r w:rsidR="002A56E3" w:rsidRPr="005F6151">
        <w:rPr>
          <w:rFonts w:cstheme="minorHAnsi"/>
          <w:i/>
          <w:iCs/>
        </w:rPr>
        <w:t>processes</w:t>
      </w:r>
      <w:r w:rsidR="002A56E3" w:rsidRPr="005F6151">
        <w:rPr>
          <w:rFonts w:cstheme="minorHAnsi"/>
        </w:rPr>
        <w:t xml:space="preserve"> of criminalisation: Insights from an Australian study of criminal law-making</w:t>
      </w:r>
      <w:r w:rsidR="00BB6362" w:rsidRPr="005F6151">
        <w:rPr>
          <w:rFonts w:cstheme="minorHAnsi"/>
        </w:rPr>
        <w:t xml:space="preserve">. </w:t>
      </w:r>
      <w:r w:rsidR="00BB6362" w:rsidRPr="005F6151">
        <w:rPr>
          <w:rFonts w:cstheme="minorHAnsi"/>
          <w:i/>
          <w:iCs/>
        </w:rPr>
        <w:t>Criminology &amp; Criminal Justice</w:t>
      </w:r>
      <w:r w:rsidR="00BB6362" w:rsidRPr="005F6151">
        <w:rPr>
          <w:rFonts w:cstheme="minorHAnsi"/>
        </w:rPr>
        <w:t xml:space="preserve">, 21(3), 387-407. </w:t>
      </w:r>
    </w:p>
    <w:p w14:paraId="4DFD3379" w14:textId="2E477877" w:rsidR="006C1C70" w:rsidRPr="005F6151" w:rsidRDefault="006C1C70" w:rsidP="005F6151">
      <w:pPr>
        <w:spacing w:line="360" w:lineRule="auto"/>
        <w:ind w:left="720" w:hanging="720"/>
        <w:jc w:val="both"/>
        <w:rPr>
          <w:rFonts w:cstheme="minorHAnsi"/>
        </w:rPr>
      </w:pPr>
      <w:r w:rsidRPr="005F6151">
        <w:rPr>
          <w:rFonts w:cstheme="minorHAnsi"/>
        </w:rPr>
        <w:t xml:space="preserve">Morgan, J. (2012). Homicide law reform and gender: Configuring violence. </w:t>
      </w:r>
      <w:r w:rsidR="008A4FBB" w:rsidRPr="005F6151">
        <w:rPr>
          <w:rFonts w:cstheme="minorHAnsi"/>
          <w:i/>
          <w:iCs/>
        </w:rPr>
        <w:t>Australian and New Zealand Journal of Criminology</w:t>
      </w:r>
      <w:r w:rsidR="00F22BE1" w:rsidRPr="005F6151">
        <w:rPr>
          <w:rFonts w:cstheme="minorHAnsi"/>
        </w:rPr>
        <w:t xml:space="preserve">, 45(3), 351-366. </w:t>
      </w:r>
    </w:p>
    <w:p w14:paraId="4722654C" w14:textId="53277B32" w:rsidR="00026900" w:rsidRPr="005F6151" w:rsidRDefault="00026900" w:rsidP="005F6151">
      <w:pPr>
        <w:spacing w:line="360" w:lineRule="auto"/>
        <w:ind w:left="720" w:hanging="720"/>
        <w:jc w:val="both"/>
        <w:rPr>
          <w:rFonts w:cstheme="minorHAnsi"/>
        </w:rPr>
      </w:pPr>
      <w:r w:rsidRPr="005F6151">
        <w:rPr>
          <w:rFonts w:cstheme="minorHAnsi"/>
        </w:rPr>
        <w:t>Murray, S.</w:t>
      </w:r>
      <w:r w:rsidR="000F4F7B" w:rsidRPr="005F6151">
        <w:rPr>
          <w:rFonts w:cstheme="minorHAnsi"/>
        </w:rPr>
        <w:t xml:space="preserve"> &amp; Powell, A. (2009). </w:t>
      </w:r>
      <w:r w:rsidR="00F128C8">
        <w:rPr>
          <w:rFonts w:cstheme="minorHAnsi"/>
        </w:rPr>
        <w:t>‘</w:t>
      </w:r>
      <w:r w:rsidR="000F4F7B" w:rsidRPr="005F6151">
        <w:rPr>
          <w:rFonts w:cstheme="minorHAnsi"/>
        </w:rPr>
        <w:t>What’s the problem?</w:t>
      </w:r>
      <w:r w:rsidR="00F128C8">
        <w:rPr>
          <w:rFonts w:cstheme="minorHAnsi"/>
        </w:rPr>
        <w:t>’</w:t>
      </w:r>
      <w:r w:rsidR="000F4F7B" w:rsidRPr="005F6151">
        <w:rPr>
          <w:rFonts w:cstheme="minorHAnsi"/>
        </w:rPr>
        <w:t xml:space="preserve">: Australian </w:t>
      </w:r>
      <w:r w:rsidR="00F128C8">
        <w:rPr>
          <w:rFonts w:cstheme="minorHAnsi"/>
        </w:rPr>
        <w:t>p</w:t>
      </w:r>
      <w:r w:rsidR="000F4F7B" w:rsidRPr="005F6151">
        <w:rPr>
          <w:rFonts w:cstheme="minorHAnsi"/>
        </w:rPr>
        <w:t xml:space="preserve">ublic </w:t>
      </w:r>
      <w:r w:rsidR="00F128C8">
        <w:rPr>
          <w:rFonts w:cstheme="minorHAnsi"/>
        </w:rPr>
        <w:t>p</w:t>
      </w:r>
      <w:r w:rsidR="000F4F7B" w:rsidRPr="005F6151">
        <w:rPr>
          <w:rFonts w:cstheme="minorHAnsi"/>
        </w:rPr>
        <w:t xml:space="preserve">olicy </w:t>
      </w:r>
      <w:r w:rsidR="00F128C8">
        <w:rPr>
          <w:rFonts w:cstheme="minorHAnsi"/>
        </w:rPr>
        <w:t>c</w:t>
      </w:r>
      <w:r w:rsidR="000F4F7B" w:rsidRPr="005F6151">
        <w:rPr>
          <w:rFonts w:cstheme="minorHAnsi"/>
        </w:rPr>
        <w:t xml:space="preserve">onstructions of </w:t>
      </w:r>
      <w:r w:rsidR="00F128C8">
        <w:rPr>
          <w:rFonts w:cstheme="minorHAnsi"/>
        </w:rPr>
        <w:t>d</w:t>
      </w:r>
      <w:r w:rsidR="000F4F7B" w:rsidRPr="005F6151">
        <w:rPr>
          <w:rFonts w:cstheme="minorHAnsi"/>
        </w:rPr>
        <w:t xml:space="preserve">omestic and </w:t>
      </w:r>
      <w:r w:rsidR="00F128C8">
        <w:rPr>
          <w:rFonts w:cstheme="minorHAnsi"/>
        </w:rPr>
        <w:t>f</w:t>
      </w:r>
      <w:r w:rsidR="000F4F7B" w:rsidRPr="005F6151">
        <w:rPr>
          <w:rFonts w:cstheme="minorHAnsi"/>
        </w:rPr>
        <w:t xml:space="preserve">amily </w:t>
      </w:r>
      <w:r w:rsidR="00F128C8">
        <w:rPr>
          <w:rFonts w:cstheme="minorHAnsi"/>
        </w:rPr>
        <w:t>v</w:t>
      </w:r>
      <w:r w:rsidR="000F4F7B" w:rsidRPr="005F6151">
        <w:rPr>
          <w:rFonts w:cstheme="minorHAnsi"/>
        </w:rPr>
        <w:t xml:space="preserve">iolence. </w:t>
      </w:r>
      <w:r w:rsidR="000F4F7B" w:rsidRPr="005F6151">
        <w:rPr>
          <w:rFonts w:cstheme="minorHAnsi"/>
          <w:i/>
          <w:iCs/>
        </w:rPr>
        <w:t>Violence Against Women</w:t>
      </w:r>
      <w:r w:rsidR="003B1BEB" w:rsidRPr="005F6151">
        <w:rPr>
          <w:rFonts w:cstheme="minorHAnsi"/>
        </w:rPr>
        <w:t xml:space="preserve">, 15(5), 532-552. </w:t>
      </w:r>
    </w:p>
    <w:p w14:paraId="1C0229A0" w14:textId="33E5E9D5" w:rsidR="00852C65" w:rsidRPr="005F6151" w:rsidRDefault="00727F78" w:rsidP="005F6151">
      <w:pPr>
        <w:spacing w:line="360" w:lineRule="auto"/>
        <w:ind w:left="720" w:hanging="720"/>
        <w:jc w:val="both"/>
        <w:rPr>
          <w:rFonts w:cstheme="minorHAnsi"/>
        </w:rPr>
      </w:pPr>
      <w:proofErr w:type="spellStart"/>
      <w:r w:rsidRPr="005F6151">
        <w:rPr>
          <w:rFonts w:cstheme="minorHAnsi"/>
        </w:rPr>
        <w:t>Naffine</w:t>
      </w:r>
      <w:proofErr w:type="spellEnd"/>
      <w:r w:rsidRPr="005F6151">
        <w:rPr>
          <w:rFonts w:cstheme="minorHAnsi"/>
        </w:rPr>
        <w:t xml:space="preserve">, N. (2019) </w:t>
      </w:r>
      <w:r w:rsidRPr="005F6151">
        <w:rPr>
          <w:rFonts w:cstheme="minorHAnsi"/>
          <w:i/>
        </w:rPr>
        <w:t>Crim</w:t>
      </w:r>
      <w:r w:rsidR="00654E7E">
        <w:rPr>
          <w:rFonts w:cstheme="minorHAnsi"/>
          <w:i/>
        </w:rPr>
        <w:t>inal</w:t>
      </w:r>
      <w:r w:rsidRPr="005F6151">
        <w:rPr>
          <w:rFonts w:cstheme="minorHAnsi"/>
          <w:i/>
        </w:rPr>
        <w:t xml:space="preserve"> Law and the Man Problem. </w:t>
      </w:r>
      <w:r w:rsidRPr="005F6151">
        <w:rPr>
          <w:rFonts w:cstheme="minorHAnsi"/>
        </w:rPr>
        <w:t>Bloomsbury Publishing</w:t>
      </w:r>
      <w:r w:rsidR="00443327">
        <w:rPr>
          <w:rFonts w:cstheme="minorHAnsi"/>
        </w:rPr>
        <w:t>, London</w:t>
      </w:r>
      <w:r w:rsidRPr="005F6151">
        <w:rPr>
          <w:rFonts w:cstheme="minorHAnsi"/>
        </w:rPr>
        <w:t xml:space="preserve">. </w:t>
      </w:r>
    </w:p>
    <w:p w14:paraId="3F1AAC0F" w14:textId="038F7DF5" w:rsidR="001A0E41" w:rsidRPr="005F6151" w:rsidRDefault="001A0E41" w:rsidP="005F6151">
      <w:pPr>
        <w:spacing w:line="360" w:lineRule="auto"/>
        <w:ind w:left="720" w:hanging="720"/>
        <w:jc w:val="both"/>
        <w:rPr>
          <w:rFonts w:cstheme="minorHAnsi"/>
        </w:rPr>
      </w:pPr>
      <w:r w:rsidRPr="005F6151">
        <w:rPr>
          <w:rFonts w:cstheme="minorHAnsi"/>
          <w:lang w:val="en-GB"/>
        </w:rPr>
        <w:t xml:space="preserve">Norman, J. </w:t>
      </w:r>
      <w:r w:rsidR="0015209A">
        <w:rPr>
          <w:rFonts w:cstheme="minorHAnsi"/>
          <w:lang w:val="en-GB"/>
        </w:rPr>
        <w:t>&amp;</w:t>
      </w:r>
      <w:r w:rsidRPr="005F6151">
        <w:rPr>
          <w:rFonts w:cstheme="minorHAnsi"/>
          <w:lang w:val="en-GB"/>
        </w:rPr>
        <w:t xml:space="preserve"> Ganesh, J. (2006)</w:t>
      </w:r>
      <w:r w:rsidR="0015209A">
        <w:rPr>
          <w:rFonts w:cstheme="minorHAnsi"/>
          <w:lang w:val="en-GB"/>
        </w:rPr>
        <w:t>.</w:t>
      </w:r>
      <w:r w:rsidRPr="005F6151">
        <w:rPr>
          <w:rFonts w:cstheme="minorHAnsi"/>
          <w:lang w:val="en-GB"/>
        </w:rPr>
        <w:t xml:space="preserve"> </w:t>
      </w:r>
      <w:r w:rsidRPr="005F6151">
        <w:rPr>
          <w:rFonts w:cstheme="minorHAnsi"/>
          <w:i/>
          <w:iCs/>
          <w:lang w:val="en-GB"/>
        </w:rPr>
        <w:t>Compassionate Conservatism</w:t>
      </w:r>
      <w:r w:rsidR="00443327">
        <w:rPr>
          <w:rFonts w:cstheme="minorHAnsi"/>
          <w:lang w:val="en-GB"/>
        </w:rPr>
        <w:t>.</w:t>
      </w:r>
      <w:r w:rsidRPr="005F6151">
        <w:rPr>
          <w:rFonts w:cstheme="minorHAnsi"/>
          <w:lang w:val="en-GB"/>
        </w:rPr>
        <w:t xml:space="preserve"> The Policy</w:t>
      </w:r>
      <w:r w:rsidR="00852C65" w:rsidRPr="005F6151">
        <w:rPr>
          <w:rFonts w:cstheme="minorHAnsi"/>
          <w:lang w:val="en-GB"/>
        </w:rPr>
        <w:t xml:space="preserve"> </w:t>
      </w:r>
      <w:r w:rsidRPr="005F6151">
        <w:rPr>
          <w:rFonts w:cstheme="minorHAnsi"/>
          <w:lang w:val="en-GB"/>
        </w:rPr>
        <w:t>Exchange</w:t>
      </w:r>
      <w:r w:rsidR="00443327">
        <w:rPr>
          <w:rFonts w:cstheme="minorHAnsi"/>
          <w:lang w:val="en-GB"/>
        </w:rPr>
        <w:t>, London</w:t>
      </w:r>
      <w:r w:rsidR="00852C65" w:rsidRPr="005F6151">
        <w:rPr>
          <w:rFonts w:cstheme="minorHAnsi"/>
          <w:lang w:val="en-GB"/>
        </w:rPr>
        <w:t xml:space="preserve">. </w:t>
      </w:r>
    </w:p>
    <w:p w14:paraId="43F92225" w14:textId="4DD27D99" w:rsidR="00CD3360" w:rsidRPr="005F6151" w:rsidRDefault="00CD3360" w:rsidP="005F6151">
      <w:pPr>
        <w:spacing w:line="360" w:lineRule="auto"/>
        <w:ind w:left="720" w:hanging="720"/>
        <w:jc w:val="both"/>
        <w:rPr>
          <w:rFonts w:cstheme="minorHAnsi"/>
        </w:rPr>
      </w:pPr>
      <w:r w:rsidRPr="005F6151">
        <w:rPr>
          <w:rFonts w:cstheme="minorHAnsi"/>
        </w:rPr>
        <w:t>Novak, L. (2018)</w:t>
      </w:r>
      <w:r w:rsidR="0015209A">
        <w:rPr>
          <w:rFonts w:cstheme="minorHAnsi"/>
        </w:rPr>
        <w:t>.</w:t>
      </w:r>
      <w:r w:rsidRPr="005F6151">
        <w:rPr>
          <w:rFonts w:cstheme="minorHAnsi"/>
        </w:rPr>
        <w:t xml:space="preserve"> Domestic violence: </w:t>
      </w:r>
      <w:r w:rsidR="00443327">
        <w:rPr>
          <w:rFonts w:cstheme="minorHAnsi"/>
        </w:rPr>
        <w:t>S</w:t>
      </w:r>
      <w:r w:rsidRPr="005F6151">
        <w:rPr>
          <w:rFonts w:cstheme="minorHAnsi"/>
        </w:rPr>
        <w:t xml:space="preserve">cheme allowing people </w:t>
      </w:r>
      <w:r w:rsidR="0015209A">
        <w:rPr>
          <w:rFonts w:cstheme="minorHAnsi"/>
        </w:rPr>
        <w:t xml:space="preserve">to </w:t>
      </w:r>
      <w:r w:rsidRPr="005F6151">
        <w:rPr>
          <w:rFonts w:cstheme="minorHAnsi"/>
        </w:rPr>
        <w:t xml:space="preserve">ask for details of partner’s criminal history to launch in South Australia on October 2. </w:t>
      </w:r>
      <w:r w:rsidRPr="005F6151">
        <w:rPr>
          <w:rFonts w:cstheme="minorHAnsi"/>
          <w:i/>
        </w:rPr>
        <w:t xml:space="preserve">The Advertiser, </w:t>
      </w:r>
      <w:r w:rsidRPr="005F6151">
        <w:rPr>
          <w:rFonts w:cstheme="minorHAnsi"/>
        </w:rPr>
        <w:t xml:space="preserve">27 September. Available at: </w:t>
      </w:r>
      <w:hyperlink r:id="rId15" w:history="1">
        <w:r w:rsidRPr="005F6151">
          <w:rPr>
            <w:rStyle w:val="Hyperlink"/>
            <w:rFonts w:cstheme="minorHAnsi"/>
          </w:rPr>
          <w:t>https://www.adelaidenow.com.au/news/law-order/domestic-violence-scheme-allowing-people-ask-for-details-of-partners-criminal-history-to-launch-in-south-australia-on-october-2/news-story/5e2f7a44e523f598307b765c2f8d0b77</w:t>
        </w:r>
      </w:hyperlink>
      <w:r w:rsidRPr="005F6151">
        <w:rPr>
          <w:rFonts w:cstheme="minorHAnsi"/>
        </w:rPr>
        <w:t xml:space="preserve"> </w:t>
      </w:r>
    </w:p>
    <w:p w14:paraId="07E9A65C" w14:textId="7561235D" w:rsidR="00173073" w:rsidRPr="005F6151" w:rsidRDefault="00173073" w:rsidP="005F6151">
      <w:pPr>
        <w:spacing w:line="360" w:lineRule="auto"/>
        <w:ind w:left="720" w:hanging="720"/>
        <w:jc w:val="both"/>
        <w:rPr>
          <w:rFonts w:cstheme="minorHAnsi"/>
        </w:rPr>
      </w:pPr>
      <w:r w:rsidRPr="005F6151">
        <w:rPr>
          <w:rFonts w:cstheme="minorHAnsi"/>
        </w:rPr>
        <w:t>Parliament of Australia. (2021)</w:t>
      </w:r>
      <w:r w:rsidR="00595DEC">
        <w:rPr>
          <w:rFonts w:cstheme="minorHAnsi"/>
        </w:rPr>
        <w:t>.</w:t>
      </w:r>
      <w:r w:rsidRPr="005F6151">
        <w:rPr>
          <w:rFonts w:cstheme="minorHAnsi"/>
        </w:rPr>
        <w:t xml:space="preserve"> A strong national response to family, domestic and sexual violence. </w:t>
      </w:r>
      <w:r w:rsidRPr="005F6151">
        <w:rPr>
          <w:rFonts w:cstheme="minorHAnsi"/>
          <w:i/>
        </w:rPr>
        <w:t>Media Release</w:t>
      </w:r>
      <w:r w:rsidRPr="005F6151">
        <w:rPr>
          <w:rFonts w:cstheme="minorHAnsi"/>
        </w:rPr>
        <w:t xml:space="preserve">, 1 April. Available at: </w:t>
      </w:r>
      <w:hyperlink r:id="rId16" w:history="1">
        <w:r w:rsidRPr="005F6151">
          <w:rPr>
            <w:rStyle w:val="Hyperlink"/>
            <w:rFonts w:cstheme="minorHAnsi"/>
          </w:rPr>
          <w:t>https://www.aph.gov.au/About_Parliament/House_of_Representatives/About_the_House_News/Media_Releases/A_stronger_national_response_to_family</w:t>
        </w:r>
      </w:hyperlink>
      <w:r w:rsidRPr="005F6151">
        <w:rPr>
          <w:rFonts w:cstheme="minorHAnsi"/>
        </w:rPr>
        <w:t xml:space="preserve"> </w:t>
      </w:r>
    </w:p>
    <w:p w14:paraId="4D041B71" w14:textId="4B12E542" w:rsidR="004F09B0" w:rsidRPr="0016120E" w:rsidRDefault="004F09B0" w:rsidP="005F6151">
      <w:pPr>
        <w:spacing w:line="360" w:lineRule="auto"/>
        <w:ind w:left="720" w:hanging="720"/>
        <w:jc w:val="both"/>
        <w:rPr>
          <w:rFonts w:cstheme="minorHAnsi"/>
        </w:rPr>
      </w:pPr>
      <w:r>
        <w:rPr>
          <w:rFonts w:cstheme="minorHAnsi"/>
        </w:rPr>
        <w:t>Queensland Law Reform Commission</w:t>
      </w:r>
      <w:r w:rsidR="00E21CC6">
        <w:rPr>
          <w:rFonts w:cstheme="minorHAnsi"/>
        </w:rPr>
        <w:t xml:space="preserve"> (QLRC)</w:t>
      </w:r>
      <w:r w:rsidR="002F28E0">
        <w:rPr>
          <w:rFonts w:cstheme="minorHAnsi"/>
        </w:rPr>
        <w:t xml:space="preserve">. (2017). </w:t>
      </w:r>
      <w:r w:rsidR="002F28E0" w:rsidRPr="0016120E">
        <w:rPr>
          <w:rFonts w:cstheme="minorHAnsi"/>
          <w:i/>
          <w:iCs/>
        </w:rPr>
        <w:t>Domestic Violence Disclosure Scheme: Report</w:t>
      </w:r>
      <w:r w:rsidR="0016120E">
        <w:rPr>
          <w:rFonts w:cstheme="minorHAnsi"/>
          <w:i/>
          <w:iCs/>
        </w:rPr>
        <w:t xml:space="preserve">. </w:t>
      </w:r>
      <w:r w:rsidR="008A7E40">
        <w:rPr>
          <w:rFonts w:cstheme="minorHAnsi"/>
        </w:rPr>
        <w:t>QLRC, Brisbane</w:t>
      </w:r>
      <w:r w:rsidR="0016120E">
        <w:rPr>
          <w:rFonts w:cstheme="minorHAnsi"/>
        </w:rPr>
        <w:t xml:space="preserve">. </w:t>
      </w:r>
    </w:p>
    <w:p w14:paraId="7F2248FB" w14:textId="7BBBBFE6" w:rsidR="001B2A9A" w:rsidRPr="005F6151" w:rsidRDefault="001B2A9A" w:rsidP="005F6151">
      <w:pPr>
        <w:spacing w:line="360" w:lineRule="auto"/>
        <w:ind w:left="720" w:hanging="720"/>
        <w:jc w:val="both"/>
        <w:rPr>
          <w:rFonts w:cstheme="minorHAnsi"/>
        </w:rPr>
      </w:pPr>
      <w:r w:rsidRPr="005F6151">
        <w:rPr>
          <w:rFonts w:cstheme="minorHAnsi"/>
        </w:rPr>
        <w:t>Quilter, J. (2020)</w:t>
      </w:r>
      <w:r w:rsidR="00595DEC">
        <w:rPr>
          <w:rFonts w:cstheme="minorHAnsi"/>
        </w:rPr>
        <w:t>.</w:t>
      </w:r>
      <w:r w:rsidRPr="005F6151">
        <w:rPr>
          <w:rFonts w:cstheme="minorHAnsi"/>
        </w:rPr>
        <w:t xml:space="preserve"> Evaluating </w:t>
      </w:r>
      <w:r w:rsidR="008A7E40">
        <w:rPr>
          <w:rFonts w:cstheme="minorHAnsi"/>
        </w:rPr>
        <w:t>c</w:t>
      </w:r>
      <w:r w:rsidRPr="005F6151">
        <w:rPr>
          <w:rFonts w:cstheme="minorHAnsi"/>
        </w:rPr>
        <w:t xml:space="preserve">riminalisation as a </w:t>
      </w:r>
      <w:r w:rsidR="008A7E40">
        <w:rPr>
          <w:rFonts w:cstheme="minorHAnsi"/>
        </w:rPr>
        <w:t>s</w:t>
      </w:r>
      <w:r w:rsidRPr="005F6151">
        <w:rPr>
          <w:rFonts w:cstheme="minorHAnsi"/>
        </w:rPr>
        <w:t xml:space="preserve">trategy in </w:t>
      </w:r>
      <w:r w:rsidR="008A7E40">
        <w:rPr>
          <w:rFonts w:cstheme="minorHAnsi"/>
        </w:rPr>
        <w:t>r</w:t>
      </w:r>
      <w:r w:rsidRPr="005F6151">
        <w:rPr>
          <w:rFonts w:cstheme="minorHAnsi"/>
        </w:rPr>
        <w:t xml:space="preserve">elation to </w:t>
      </w:r>
      <w:r w:rsidR="008A7E40">
        <w:rPr>
          <w:rFonts w:cstheme="minorHAnsi"/>
        </w:rPr>
        <w:t>n</w:t>
      </w:r>
      <w:r w:rsidRPr="005F6151">
        <w:rPr>
          <w:rFonts w:cstheme="minorHAnsi"/>
        </w:rPr>
        <w:t>on-</w:t>
      </w:r>
      <w:r w:rsidR="008A7E40">
        <w:rPr>
          <w:rFonts w:cstheme="minorHAnsi"/>
        </w:rPr>
        <w:t>p</w:t>
      </w:r>
      <w:r w:rsidRPr="005F6151">
        <w:rPr>
          <w:rFonts w:cstheme="minorHAnsi"/>
        </w:rPr>
        <w:t xml:space="preserve">hysical </w:t>
      </w:r>
      <w:r w:rsidR="008A7E40">
        <w:rPr>
          <w:rFonts w:cstheme="minorHAnsi"/>
        </w:rPr>
        <w:t>f</w:t>
      </w:r>
      <w:r w:rsidRPr="005F6151">
        <w:rPr>
          <w:rFonts w:cstheme="minorHAnsi"/>
        </w:rPr>
        <w:t xml:space="preserve">amily </w:t>
      </w:r>
      <w:r w:rsidR="008A7E40">
        <w:rPr>
          <w:rFonts w:cstheme="minorHAnsi"/>
        </w:rPr>
        <w:t>v</w:t>
      </w:r>
      <w:r w:rsidRPr="005F6151">
        <w:rPr>
          <w:rFonts w:cstheme="minorHAnsi"/>
        </w:rPr>
        <w:t>iolence. In P. McGorrery &amp; M. McMahon. (eds.)</w:t>
      </w:r>
      <w:r w:rsidR="008A7E40">
        <w:rPr>
          <w:rFonts w:cstheme="minorHAnsi"/>
        </w:rPr>
        <w:t>.</w:t>
      </w:r>
      <w:r w:rsidRPr="005F6151">
        <w:rPr>
          <w:rFonts w:cstheme="minorHAnsi"/>
        </w:rPr>
        <w:t xml:space="preserve"> </w:t>
      </w:r>
      <w:r w:rsidRPr="005F6151">
        <w:rPr>
          <w:rFonts w:cstheme="minorHAnsi"/>
          <w:i/>
        </w:rPr>
        <w:t xml:space="preserve">Criminalising Coercive Control: Family Violence and the Criminal Law. </w:t>
      </w:r>
      <w:r w:rsidRPr="005F6151">
        <w:rPr>
          <w:rFonts w:cstheme="minorHAnsi"/>
        </w:rPr>
        <w:t xml:space="preserve">Springer, </w:t>
      </w:r>
      <w:r w:rsidR="00B32337">
        <w:rPr>
          <w:rFonts w:cstheme="minorHAnsi"/>
        </w:rPr>
        <w:t xml:space="preserve">Singapore, </w:t>
      </w:r>
      <w:r w:rsidRPr="005F6151">
        <w:rPr>
          <w:rFonts w:cstheme="minorHAnsi"/>
        </w:rPr>
        <w:t>pp</w:t>
      </w:r>
      <w:r w:rsidR="00C85CA3">
        <w:rPr>
          <w:rFonts w:cstheme="minorHAnsi"/>
        </w:rPr>
        <w:t>.</w:t>
      </w:r>
      <w:r w:rsidR="00595DEC">
        <w:rPr>
          <w:rFonts w:cstheme="minorHAnsi"/>
        </w:rPr>
        <w:t xml:space="preserve"> </w:t>
      </w:r>
      <w:r w:rsidRPr="005F6151">
        <w:rPr>
          <w:rFonts w:cstheme="minorHAnsi"/>
        </w:rPr>
        <w:t xml:space="preserve">111-131. </w:t>
      </w:r>
    </w:p>
    <w:p w14:paraId="31EC69AF" w14:textId="667E8923" w:rsidR="001A0E41" w:rsidRPr="005F6151" w:rsidRDefault="001A0E41" w:rsidP="005F6151">
      <w:pPr>
        <w:spacing w:line="360" w:lineRule="auto"/>
        <w:ind w:left="720" w:hanging="720"/>
        <w:jc w:val="both"/>
        <w:rPr>
          <w:rFonts w:cstheme="minorHAnsi"/>
        </w:rPr>
      </w:pPr>
      <w:r w:rsidRPr="005F6151">
        <w:rPr>
          <w:rFonts w:cstheme="minorHAnsi"/>
        </w:rPr>
        <w:t>Rhodes, R.W. (1997)</w:t>
      </w:r>
      <w:r w:rsidR="001C0389">
        <w:rPr>
          <w:rFonts w:cstheme="minorHAnsi"/>
        </w:rPr>
        <w:t>.</w:t>
      </w:r>
      <w:r w:rsidRPr="005F6151">
        <w:rPr>
          <w:rFonts w:cstheme="minorHAnsi"/>
        </w:rPr>
        <w:t xml:space="preserve"> </w:t>
      </w:r>
      <w:r w:rsidRPr="001C0389">
        <w:rPr>
          <w:rFonts w:cstheme="minorHAnsi"/>
          <w:i/>
          <w:iCs/>
        </w:rPr>
        <w:t>Understanding Governance</w:t>
      </w:r>
      <w:r w:rsidRPr="005F6151">
        <w:rPr>
          <w:rFonts w:cstheme="minorHAnsi"/>
        </w:rPr>
        <w:t xml:space="preserve">. </w:t>
      </w:r>
      <w:r w:rsidR="00E96A7D" w:rsidRPr="005F6151">
        <w:rPr>
          <w:rFonts w:cstheme="minorHAnsi"/>
        </w:rPr>
        <w:t>Open University Press</w:t>
      </w:r>
      <w:r w:rsidR="00B32337">
        <w:rPr>
          <w:rFonts w:cstheme="minorHAnsi"/>
        </w:rPr>
        <w:t>, Buckingham</w:t>
      </w:r>
      <w:r w:rsidR="00E96A7D" w:rsidRPr="005F6151">
        <w:rPr>
          <w:rFonts w:cstheme="minorHAnsi"/>
        </w:rPr>
        <w:t>.</w:t>
      </w:r>
    </w:p>
    <w:p w14:paraId="53022FDD" w14:textId="799AE703" w:rsidR="0038766F" w:rsidRPr="005F6151" w:rsidRDefault="0038766F" w:rsidP="005F6151">
      <w:pPr>
        <w:spacing w:line="360" w:lineRule="auto"/>
        <w:ind w:left="720" w:hanging="720"/>
        <w:jc w:val="both"/>
        <w:rPr>
          <w:rFonts w:cstheme="minorHAnsi"/>
        </w:rPr>
      </w:pPr>
      <w:r w:rsidRPr="005F6151">
        <w:rPr>
          <w:rFonts w:cstheme="minorHAnsi"/>
        </w:rPr>
        <w:t>Royal Commission into Family Violence</w:t>
      </w:r>
      <w:r w:rsidR="00FF2BE2">
        <w:rPr>
          <w:rFonts w:cstheme="minorHAnsi"/>
        </w:rPr>
        <w:t xml:space="preserve"> (RCFV)</w:t>
      </w:r>
      <w:r w:rsidRPr="005F6151">
        <w:rPr>
          <w:rFonts w:cstheme="minorHAnsi"/>
        </w:rPr>
        <w:t>. (2016)</w:t>
      </w:r>
      <w:r w:rsidR="00D646C4">
        <w:rPr>
          <w:rFonts w:cstheme="minorHAnsi"/>
        </w:rPr>
        <w:t>.</w:t>
      </w:r>
      <w:r w:rsidRPr="005F6151">
        <w:rPr>
          <w:rFonts w:cstheme="minorHAnsi"/>
        </w:rPr>
        <w:t xml:space="preserve"> </w:t>
      </w:r>
      <w:r w:rsidRPr="00D646C4">
        <w:rPr>
          <w:rFonts w:cstheme="minorHAnsi"/>
          <w:i/>
          <w:iCs/>
        </w:rPr>
        <w:t>Report and Recommendations</w:t>
      </w:r>
      <w:r w:rsidRPr="005F6151">
        <w:rPr>
          <w:rFonts w:cstheme="minorHAnsi"/>
        </w:rPr>
        <w:t xml:space="preserve">. State of Victoria, </w:t>
      </w:r>
      <w:r w:rsidR="00EC7E65">
        <w:rPr>
          <w:rFonts w:cstheme="minorHAnsi"/>
        </w:rPr>
        <w:t>Melbourne</w:t>
      </w:r>
      <w:r w:rsidRPr="005F6151">
        <w:rPr>
          <w:rFonts w:cstheme="minorHAnsi"/>
        </w:rPr>
        <w:t xml:space="preserve">. </w:t>
      </w:r>
    </w:p>
    <w:p w14:paraId="6E43F462" w14:textId="7C0AC72A" w:rsidR="001F00D7" w:rsidRPr="005F6151" w:rsidRDefault="001F00D7" w:rsidP="005F6151">
      <w:pPr>
        <w:spacing w:line="360" w:lineRule="auto"/>
        <w:ind w:left="720" w:hanging="720"/>
        <w:jc w:val="both"/>
        <w:rPr>
          <w:rFonts w:cstheme="minorHAnsi"/>
        </w:rPr>
      </w:pPr>
      <w:r w:rsidRPr="005F6151">
        <w:rPr>
          <w:rFonts w:cstheme="minorHAnsi"/>
        </w:rPr>
        <w:lastRenderedPageBreak/>
        <w:t>Simpson, R. (1999)</w:t>
      </w:r>
      <w:r w:rsidR="00D646C4">
        <w:rPr>
          <w:rFonts w:cstheme="minorHAnsi"/>
        </w:rPr>
        <w:t>.</w:t>
      </w:r>
      <w:r w:rsidRPr="005F6151">
        <w:rPr>
          <w:rFonts w:cstheme="minorHAnsi"/>
        </w:rPr>
        <w:t xml:space="preserve"> </w:t>
      </w:r>
      <w:r w:rsidR="00EC7E65">
        <w:rPr>
          <w:rFonts w:cstheme="minorHAnsi"/>
        </w:rPr>
        <w:t>‘</w:t>
      </w:r>
      <w:r w:rsidRPr="00EC7E65">
        <w:rPr>
          <w:rFonts w:cstheme="minorHAnsi"/>
          <w:i/>
          <w:iCs/>
        </w:rPr>
        <w:t>Megan’s Law</w:t>
      </w:r>
      <w:r w:rsidR="00EC7E65" w:rsidRPr="00EC7E65">
        <w:rPr>
          <w:rFonts w:cstheme="minorHAnsi"/>
          <w:i/>
          <w:iCs/>
        </w:rPr>
        <w:t>’</w:t>
      </w:r>
      <w:r w:rsidRPr="00EC7E65">
        <w:rPr>
          <w:rFonts w:cstheme="minorHAnsi"/>
          <w:i/>
          <w:iCs/>
        </w:rPr>
        <w:t xml:space="preserve"> and </w:t>
      </w:r>
      <w:r w:rsidR="00EC7E65" w:rsidRPr="00EC7E65">
        <w:rPr>
          <w:rFonts w:cstheme="minorHAnsi"/>
          <w:i/>
          <w:iCs/>
        </w:rPr>
        <w:t>O</w:t>
      </w:r>
      <w:r w:rsidRPr="00EC7E65">
        <w:rPr>
          <w:rFonts w:cstheme="minorHAnsi"/>
          <w:i/>
          <w:iCs/>
        </w:rPr>
        <w:t xml:space="preserve">ther </w:t>
      </w:r>
      <w:r w:rsidR="00EC7E65" w:rsidRPr="00EC7E65">
        <w:rPr>
          <w:rFonts w:cstheme="minorHAnsi"/>
          <w:i/>
          <w:iCs/>
        </w:rPr>
        <w:t>F</w:t>
      </w:r>
      <w:r w:rsidRPr="00EC7E65">
        <w:rPr>
          <w:rFonts w:cstheme="minorHAnsi"/>
          <w:i/>
          <w:iCs/>
        </w:rPr>
        <w:t xml:space="preserve">orms of </w:t>
      </w:r>
      <w:r w:rsidR="00EC7E65" w:rsidRPr="00EC7E65">
        <w:rPr>
          <w:rFonts w:cstheme="minorHAnsi"/>
          <w:i/>
          <w:iCs/>
        </w:rPr>
        <w:t>S</w:t>
      </w:r>
      <w:r w:rsidRPr="00EC7E65">
        <w:rPr>
          <w:rFonts w:cstheme="minorHAnsi"/>
          <w:i/>
          <w:iCs/>
        </w:rPr>
        <w:t>ex-</w:t>
      </w:r>
      <w:r w:rsidR="00EC7E65" w:rsidRPr="00EC7E65">
        <w:rPr>
          <w:rFonts w:cstheme="minorHAnsi"/>
          <w:i/>
          <w:iCs/>
        </w:rPr>
        <w:t>O</w:t>
      </w:r>
      <w:r w:rsidRPr="00EC7E65">
        <w:rPr>
          <w:rFonts w:cstheme="minorHAnsi"/>
          <w:i/>
          <w:iCs/>
        </w:rPr>
        <w:t xml:space="preserve">ffender </w:t>
      </w:r>
      <w:r w:rsidR="00EC7E65" w:rsidRPr="00EC7E65">
        <w:rPr>
          <w:rFonts w:cstheme="minorHAnsi"/>
          <w:i/>
          <w:iCs/>
        </w:rPr>
        <w:t>R</w:t>
      </w:r>
      <w:r w:rsidRPr="00EC7E65">
        <w:rPr>
          <w:rFonts w:cstheme="minorHAnsi"/>
          <w:i/>
          <w:iCs/>
        </w:rPr>
        <w:t>egistration</w:t>
      </w:r>
      <w:r w:rsidR="00B5507F">
        <w:rPr>
          <w:rFonts w:cstheme="minorHAnsi"/>
        </w:rPr>
        <w:t>,</w:t>
      </w:r>
      <w:r w:rsidRPr="005F6151">
        <w:rPr>
          <w:rFonts w:cstheme="minorHAnsi"/>
        </w:rPr>
        <w:t xml:space="preserve"> Briefing Paper No 22/99</w:t>
      </w:r>
      <w:r w:rsidR="00B5507F">
        <w:rPr>
          <w:rFonts w:cstheme="minorHAnsi"/>
        </w:rPr>
        <w:t xml:space="preserve">. </w:t>
      </w:r>
      <w:r w:rsidRPr="005F6151">
        <w:rPr>
          <w:rFonts w:cstheme="minorHAnsi"/>
        </w:rPr>
        <w:t xml:space="preserve">NSW Parliamentary Library Research Service, </w:t>
      </w:r>
      <w:r w:rsidR="00B5507F">
        <w:rPr>
          <w:rFonts w:cstheme="minorHAnsi"/>
        </w:rPr>
        <w:t>Sydney</w:t>
      </w:r>
      <w:r w:rsidRPr="005F6151">
        <w:rPr>
          <w:rFonts w:cstheme="minorHAnsi"/>
        </w:rPr>
        <w:t xml:space="preserve">. </w:t>
      </w:r>
    </w:p>
    <w:p w14:paraId="5C6DB6C8" w14:textId="55B1E798" w:rsidR="00DB1246" w:rsidRPr="005F6151" w:rsidRDefault="00DB1246" w:rsidP="005F6151">
      <w:pPr>
        <w:spacing w:line="360" w:lineRule="auto"/>
        <w:ind w:left="720" w:hanging="720"/>
        <w:jc w:val="both"/>
        <w:rPr>
          <w:rFonts w:cstheme="minorHAnsi"/>
        </w:rPr>
      </w:pPr>
      <w:r w:rsidRPr="005F6151">
        <w:rPr>
          <w:rFonts w:cstheme="minorHAnsi"/>
        </w:rPr>
        <w:t>Special Taskforce on Domestic and Family Violence in Queensland. (2014</w:t>
      </w:r>
      <w:r w:rsidR="000935FC" w:rsidRPr="005F6151">
        <w:rPr>
          <w:rFonts w:cstheme="minorHAnsi"/>
        </w:rPr>
        <w:t>a</w:t>
      </w:r>
      <w:r w:rsidRPr="005F6151">
        <w:rPr>
          <w:rFonts w:cstheme="minorHAnsi"/>
        </w:rPr>
        <w:t xml:space="preserve">). </w:t>
      </w:r>
      <w:r w:rsidRPr="005F6151">
        <w:rPr>
          <w:rFonts w:cstheme="minorHAnsi"/>
          <w:i/>
        </w:rPr>
        <w:t xml:space="preserve">Our Journal: A </w:t>
      </w:r>
      <w:r w:rsidR="00B5507F">
        <w:rPr>
          <w:rFonts w:cstheme="minorHAnsi"/>
          <w:i/>
        </w:rPr>
        <w:t>C</w:t>
      </w:r>
      <w:r w:rsidRPr="005F6151">
        <w:rPr>
          <w:rFonts w:cstheme="minorHAnsi"/>
          <w:i/>
        </w:rPr>
        <w:t xml:space="preserve">ollection of </w:t>
      </w:r>
      <w:r w:rsidR="00B5507F">
        <w:rPr>
          <w:rFonts w:cstheme="minorHAnsi"/>
          <w:i/>
        </w:rPr>
        <w:t>P</w:t>
      </w:r>
      <w:r w:rsidRPr="005F6151">
        <w:rPr>
          <w:rFonts w:cstheme="minorHAnsi"/>
          <w:i/>
        </w:rPr>
        <w:t xml:space="preserve">ersonal </w:t>
      </w:r>
      <w:r w:rsidR="00B5507F">
        <w:rPr>
          <w:rFonts w:cstheme="minorHAnsi"/>
          <w:i/>
        </w:rPr>
        <w:t>T</w:t>
      </w:r>
      <w:r w:rsidRPr="005F6151">
        <w:rPr>
          <w:rFonts w:cstheme="minorHAnsi"/>
          <w:i/>
        </w:rPr>
        <w:t xml:space="preserve">houghts </w:t>
      </w:r>
      <w:r w:rsidR="00B5507F">
        <w:rPr>
          <w:rFonts w:cstheme="minorHAnsi"/>
          <w:i/>
        </w:rPr>
        <w:t>A</w:t>
      </w:r>
      <w:r w:rsidRPr="005F6151">
        <w:rPr>
          <w:rFonts w:cstheme="minorHAnsi"/>
          <w:i/>
        </w:rPr>
        <w:t xml:space="preserve">bout </w:t>
      </w:r>
      <w:r w:rsidR="00B5507F">
        <w:rPr>
          <w:rFonts w:cstheme="minorHAnsi"/>
          <w:i/>
        </w:rPr>
        <w:t>D</w:t>
      </w:r>
      <w:r w:rsidRPr="005F6151">
        <w:rPr>
          <w:rFonts w:cstheme="minorHAnsi"/>
          <w:i/>
        </w:rPr>
        <w:t xml:space="preserve">omestic </w:t>
      </w:r>
      <w:r w:rsidR="00B5507F">
        <w:rPr>
          <w:rFonts w:cstheme="minorHAnsi"/>
          <w:i/>
        </w:rPr>
        <w:t>V</w:t>
      </w:r>
      <w:r w:rsidRPr="005F6151">
        <w:rPr>
          <w:rFonts w:cstheme="minorHAnsi"/>
          <w:i/>
        </w:rPr>
        <w:t xml:space="preserve">iolence. </w:t>
      </w:r>
      <w:r w:rsidR="00B5507F">
        <w:rPr>
          <w:rFonts w:cstheme="minorHAnsi"/>
        </w:rPr>
        <w:t>Brisbane</w:t>
      </w:r>
      <w:r w:rsidRPr="005F6151">
        <w:rPr>
          <w:rFonts w:cstheme="minorHAnsi"/>
        </w:rPr>
        <w:t>.</w:t>
      </w:r>
      <w:r w:rsidR="001D56D6" w:rsidRPr="005F6151">
        <w:rPr>
          <w:rFonts w:cstheme="minorHAnsi"/>
        </w:rPr>
        <w:t xml:space="preserve"> Available at: </w:t>
      </w:r>
      <w:hyperlink r:id="rId17" w:history="1">
        <w:r w:rsidR="001D56D6" w:rsidRPr="005F6151">
          <w:rPr>
            <w:rStyle w:val="Hyperlink"/>
            <w:rFonts w:cstheme="minorHAnsi"/>
          </w:rPr>
          <w:t>https://www.publications.qld.gov.au/dataset/end-dfv-special-taskforce/resource/c84dd574-7849-4d75-a7db-b479ad3fce1d</w:t>
        </w:r>
      </w:hyperlink>
      <w:r w:rsidR="001D56D6" w:rsidRPr="005F6151">
        <w:rPr>
          <w:rFonts w:cstheme="minorHAnsi"/>
        </w:rPr>
        <w:t xml:space="preserve"> </w:t>
      </w:r>
    </w:p>
    <w:p w14:paraId="51811CB0" w14:textId="08FB678E" w:rsidR="000935FC" w:rsidRPr="005F6151" w:rsidRDefault="000935FC" w:rsidP="005F6151">
      <w:pPr>
        <w:spacing w:line="360" w:lineRule="auto"/>
        <w:ind w:left="720" w:hanging="720"/>
        <w:jc w:val="both"/>
        <w:rPr>
          <w:rFonts w:cstheme="minorHAnsi"/>
        </w:rPr>
      </w:pPr>
      <w:r w:rsidRPr="005F6151">
        <w:rPr>
          <w:rFonts w:cstheme="minorHAnsi"/>
        </w:rPr>
        <w:t xml:space="preserve">Special Taskforce on Domestic and Family Violence in Queensland. (2014b). </w:t>
      </w:r>
      <w:r w:rsidRPr="005F6151">
        <w:rPr>
          <w:rFonts w:cstheme="minorHAnsi"/>
          <w:i/>
        </w:rPr>
        <w:t xml:space="preserve">Tell the Taskforce: Domestic and </w:t>
      </w:r>
      <w:r w:rsidR="00AE0A52">
        <w:rPr>
          <w:rFonts w:cstheme="minorHAnsi"/>
          <w:i/>
        </w:rPr>
        <w:t>F</w:t>
      </w:r>
      <w:r w:rsidRPr="005F6151">
        <w:rPr>
          <w:rFonts w:cstheme="minorHAnsi"/>
          <w:i/>
        </w:rPr>
        <w:t xml:space="preserve">amily </w:t>
      </w:r>
      <w:r w:rsidR="00AE0A52">
        <w:rPr>
          <w:rFonts w:cstheme="minorHAnsi"/>
          <w:i/>
        </w:rPr>
        <w:t>Vi</w:t>
      </w:r>
      <w:r w:rsidRPr="005F6151">
        <w:rPr>
          <w:rFonts w:cstheme="minorHAnsi"/>
          <w:i/>
        </w:rPr>
        <w:t xml:space="preserve">olence </w:t>
      </w:r>
      <w:r w:rsidR="00AE0A52">
        <w:rPr>
          <w:rFonts w:cstheme="minorHAnsi"/>
          <w:i/>
        </w:rPr>
        <w:t>S</w:t>
      </w:r>
      <w:r w:rsidRPr="005F6151">
        <w:rPr>
          <w:rFonts w:cstheme="minorHAnsi"/>
          <w:i/>
        </w:rPr>
        <w:t xml:space="preserve">urvey. </w:t>
      </w:r>
      <w:r w:rsidR="00AE0A52">
        <w:rPr>
          <w:rFonts w:cstheme="minorHAnsi"/>
        </w:rPr>
        <w:t>Brisbane</w:t>
      </w:r>
      <w:r w:rsidRPr="005F6151">
        <w:rPr>
          <w:rFonts w:cstheme="minorHAnsi"/>
        </w:rPr>
        <w:t xml:space="preserve">. Available at: </w:t>
      </w:r>
      <w:hyperlink r:id="rId18" w:history="1">
        <w:r w:rsidRPr="005F6151">
          <w:rPr>
            <w:rStyle w:val="Hyperlink"/>
            <w:rFonts w:cstheme="minorHAnsi"/>
          </w:rPr>
          <w:t>https://www.publications.qld.gov.au/dataset/end-dfv-special-taskforce/resource/43a23783-00f4-4e2d-ab3c-f37b558f27fb</w:t>
        </w:r>
      </w:hyperlink>
      <w:r w:rsidRPr="005F6151">
        <w:rPr>
          <w:rFonts w:cstheme="minorHAnsi"/>
        </w:rPr>
        <w:t xml:space="preserve"> </w:t>
      </w:r>
    </w:p>
    <w:p w14:paraId="418D5C49" w14:textId="73AC7D44" w:rsidR="000C520B" w:rsidRPr="005F6151" w:rsidRDefault="005F61D2" w:rsidP="005F6151">
      <w:pPr>
        <w:spacing w:line="360" w:lineRule="auto"/>
        <w:ind w:left="720" w:hanging="720"/>
        <w:jc w:val="both"/>
        <w:rPr>
          <w:rFonts w:cstheme="minorHAnsi"/>
        </w:rPr>
      </w:pPr>
      <w:r w:rsidRPr="005F6151">
        <w:rPr>
          <w:rFonts w:cstheme="minorHAnsi"/>
        </w:rPr>
        <w:t>Special Taskforce on Domestic and Family Violence in Queensland. (2015</w:t>
      </w:r>
      <w:r w:rsidR="00354A92">
        <w:rPr>
          <w:rFonts w:cstheme="minorHAnsi"/>
        </w:rPr>
        <w:t>a</w:t>
      </w:r>
      <w:r w:rsidRPr="005F6151">
        <w:rPr>
          <w:rFonts w:cstheme="minorHAnsi"/>
        </w:rPr>
        <w:t xml:space="preserve">). </w:t>
      </w:r>
      <w:r w:rsidRPr="005F6151">
        <w:rPr>
          <w:rFonts w:cstheme="minorHAnsi"/>
          <w:i/>
        </w:rPr>
        <w:t xml:space="preserve">Not </w:t>
      </w:r>
      <w:r w:rsidR="00AE0A52">
        <w:rPr>
          <w:rFonts w:cstheme="minorHAnsi"/>
          <w:i/>
        </w:rPr>
        <w:t>N</w:t>
      </w:r>
      <w:r w:rsidRPr="005F6151">
        <w:rPr>
          <w:rFonts w:cstheme="minorHAnsi"/>
          <w:i/>
        </w:rPr>
        <w:t xml:space="preserve">ow, </w:t>
      </w:r>
      <w:r w:rsidR="00AE0A52">
        <w:rPr>
          <w:rFonts w:cstheme="minorHAnsi"/>
          <w:i/>
        </w:rPr>
        <w:t>N</w:t>
      </w:r>
      <w:r w:rsidRPr="005F6151">
        <w:rPr>
          <w:rFonts w:cstheme="minorHAnsi"/>
          <w:i/>
        </w:rPr>
        <w:t xml:space="preserve">ot </w:t>
      </w:r>
      <w:r w:rsidR="00AE0A52">
        <w:rPr>
          <w:rFonts w:cstheme="minorHAnsi"/>
          <w:i/>
        </w:rPr>
        <w:t>E</w:t>
      </w:r>
      <w:r w:rsidRPr="005F6151">
        <w:rPr>
          <w:rFonts w:cstheme="minorHAnsi"/>
          <w:i/>
        </w:rPr>
        <w:t>ver: Putting an</w:t>
      </w:r>
      <w:r w:rsidR="00AE0A52">
        <w:rPr>
          <w:rFonts w:cstheme="minorHAnsi"/>
          <w:i/>
        </w:rPr>
        <w:t xml:space="preserve"> E</w:t>
      </w:r>
      <w:r w:rsidRPr="005F6151">
        <w:rPr>
          <w:rFonts w:cstheme="minorHAnsi"/>
          <w:i/>
        </w:rPr>
        <w:t xml:space="preserve">nd to </w:t>
      </w:r>
      <w:r w:rsidR="00AE0A52">
        <w:rPr>
          <w:rFonts w:cstheme="minorHAnsi"/>
          <w:i/>
        </w:rPr>
        <w:t>D</w:t>
      </w:r>
      <w:r w:rsidRPr="005F6151">
        <w:rPr>
          <w:rFonts w:cstheme="minorHAnsi"/>
          <w:i/>
        </w:rPr>
        <w:t xml:space="preserve">omestic and </w:t>
      </w:r>
      <w:r w:rsidR="00AE0A52">
        <w:rPr>
          <w:rFonts w:cstheme="minorHAnsi"/>
          <w:i/>
        </w:rPr>
        <w:t>F</w:t>
      </w:r>
      <w:r w:rsidRPr="005F6151">
        <w:rPr>
          <w:rFonts w:cstheme="minorHAnsi"/>
          <w:i/>
        </w:rPr>
        <w:t xml:space="preserve">amily </w:t>
      </w:r>
      <w:r w:rsidR="00AE0A52">
        <w:rPr>
          <w:rFonts w:cstheme="minorHAnsi"/>
          <w:i/>
        </w:rPr>
        <w:t>V</w:t>
      </w:r>
      <w:r w:rsidRPr="005F6151">
        <w:rPr>
          <w:rFonts w:cstheme="minorHAnsi"/>
          <w:i/>
        </w:rPr>
        <w:t>iolence in Queensland</w:t>
      </w:r>
      <w:r w:rsidRPr="005F6151">
        <w:rPr>
          <w:rFonts w:cstheme="minorHAnsi"/>
        </w:rPr>
        <w:t xml:space="preserve">. </w:t>
      </w:r>
      <w:r w:rsidR="00AE0A52">
        <w:rPr>
          <w:rFonts w:cstheme="minorHAnsi"/>
        </w:rPr>
        <w:t>Brisbane</w:t>
      </w:r>
      <w:r w:rsidRPr="005F6151">
        <w:rPr>
          <w:rFonts w:cstheme="minorHAnsi"/>
        </w:rPr>
        <w:t xml:space="preserve">. </w:t>
      </w:r>
    </w:p>
    <w:p w14:paraId="2164BE4F" w14:textId="3A28C9BB" w:rsidR="004152E8" w:rsidRPr="005F6151" w:rsidRDefault="00CB1D32" w:rsidP="005F6151">
      <w:pPr>
        <w:spacing w:line="360" w:lineRule="auto"/>
        <w:ind w:left="720" w:hanging="720"/>
        <w:contextualSpacing/>
        <w:jc w:val="both"/>
        <w:rPr>
          <w:rFonts w:cstheme="minorHAnsi"/>
        </w:rPr>
      </w:pPr>
      <w:r w:rsidRPr="005F6151">
        <w:rPr>
          <w:rFonts w:cstheme="minorHAnsi"/>
        </w:rPr>
        <w:t xml:space="preserve">Special Taskforce on Domestic and Family Violence in Queensland. (2015b). </w:t>
      </w:r>
      <w:r w:rsidRPr="00D761CC">
        <w:rPr>
          <w:rFonts w:cstheme="minorHAnsi"/>
          <w:i/>
          <w:iCs/>
        </w:rPr>
        <w:t xml:space="preserve">Appendix 4: Research </w:t>
      </w:r>
      <w:r w:rsidR="00D761CC" w:rsidRPr="00D761CC">
        <w:rPr>
          <w:rFonts w:cstheme="minorHAnsi"/>
          <w:i/>
          <w:iCs/>
        </w:rPr>
        <w:t>R</w:t>
      </w:r>
      <w:r w:rsidRPr="00D761CC">
        <w:rPr>
          <w:rFonts w:cstheme="minorHAnsi"/>
          <w:i/>
          <w:iCs/>
        </w:rPr>
        <w:t xml:space="preserve">eport on </w:t>
      </w:r>
      <w:r w:rsidR="00D761CC" w:rsidRPr="00D761CC">
        <w:rPr>
          <w:rFonts w:cstheme="minorHAnsi"/>
          <w:i/>
          <w:iCs/>
        </w:rPr>
        <w:t>C</w:t>
      </w:r>
      <w:r w:rsidRPr="00D761CC">
        <w:rPr>
          <w:rFonts w:cstheme="minorHAnsi"/>
          <w:i/>
          <w:iCs/>
        </w:rPr>
        <w:t xml:space="preserve">ommunity </w:t>
      </w:r>
      <w:r w:rsidR="00D761CC" w:rsidRPr="00D761CC">
        <w:rPr>
          <w:rFonts w:cstheme="minorHAnsi"/>
          <w:i/>
          <w:iCs/>
        </w:rPr>
        <w:t>F</w:t>
      </w:r>
      <w:r w:rsidRPr="00D761CC">
        <w:rPr>
          <w:rFonts w:cstheme="minorHAnsi"/>
          <w:i/>
          <w:iCs/>
        </w:rPr>
        <w:t xml:space="preserve">ocus </w:t>
      </w:r>
      <w:r w:rsidR="00D761CC" w:rsidRPr="00D761CC">
        <w:rPr>
          <w:rFonts w:cstheme="minorHAnsi"/>
          <w:i/>
          <w:iCs/>
        </w:rPr>
        <w:t>G</w:t>
      </w:r>
      <w:r w:rsidRPr="00D761CC">
        <w:rPr>
          <w:rFonts w:cstheme="minorHAnsi"/>
          <w:i/>
          <w:iCs/>
        </w:rPr>
        <w:t xml:space="preserve">roups </w:t>
      </w:r>
      <w:r w:rsidR="00D761CC" w:rsidRPr="00D761CC">
        <w:rPr>
          <w:rFonts w:cstheme="minorHAnsi"/>
          <w:i/>
          <w:iCs/>
        </w:rPr>
        <w:t>P</w:t>
      </w:r>
      <w:r w:rsidRPr="00D761CC">
        <w:rPr>
          <w:rFonts w:cstheme="minorHAnsi"/>
          <w:i/>
          <w:iCs/>
        </w:rPr>
        <w:t>repared by Enhance Research</w:t>
      </w:r>
      <w:r w:rsidRPr="005F6151">
        <w:rPr>
          <w:rFonts w:cstheme="minorHAnsi"/>
        </w:rPr>
        <w:t xml:space="preserve">. </w:t>
      </w:r>
      <w:r w:rsidR="00D761CC">
        <w:rPr>
          <w:rFonts w:cstheme="minorHAnsi"/>
        </w:rPr>
        <w:t>Brisbane</w:t>
      </w:r>
      <w:r w:rsidRPr="005F6151">
        <w:rPr>
          <w:rFonts w:cstheme="minorHAnsi"/>
        </w:rPr>
        <w:t>. Available at</w:t>
      </w:r>
      <w:r w:rsidR="00806733" w:rsidRPr="005F6151">
        <w:rPr>
          <w:rFonts w:cstheme="minorHAnsi"/>
        </w:rPr>
        <w:t xml:space="preserve">: </w:t>
      </w:r>
      <w:r w:rsidR="00806733" w:rsidRPr="005F6151">
        <w:rPr>
          <w:rStyle w:val="Hyperlink"/>
          <w:rFonts w:cstheme="minorHAnsi"/>
        </w:rPr>
        <w:t>https://www.publications.qld.gov.au/dataset/not-now-not-ever/resource/83902eed-447e-4976-971b-844dddd29651</w:t>
      </w:r>
      <w:r w:rsidR="00806733" w:rsidRPr="005F6151">
        <w:rPr>
          <w:rFonts w:cstheme="minorHAnsi"/>
        </w:rPr>
        <w:t xml:space="preserve"> </w:t>
      </w:r>
    </w:p>
    <w:p w14:paraId="3C911C66" w14:textId="6CBDC447" w:rsidR="00F9684C" w:rsidRPr="005F6151" w:rsidRDefault="004265EF" w:rsidP="005F6151">
      <w:pPr>
        <w:spacing w:line="480" w:lineRule="auto"/>
        <w:ind w:left="720" w:hanging="720"/>
        <w:contextualSpacing/>
        <w:jc w:val="both"/>
        <w:rPr>
          <w:rFonts w:eastAsia="Calibri" w:cstheme="minorHAnsi"/>
          <w:lang w:val="en-GB"/>
        </w:rPr>
      </w:pPr>
      <w:r w:rsidRPr="005F6151">
        <w:rPr>
          <w:rFonts w:cstheme="minorHAnsi"/>
        </w:rPr>
        <w:t xml:space="preserve">Stubbs, J. </w:t>
      </w:r>
      <w:r w:rsidR="00D761CC">
        <w:rPr>
          <w:rFonts w:cstheme="minorHAnsi"/>
        </w:rPr>
        <w:t>&amp;</w:t>
      </w:r>
      <w:r w:rsidRPr="005F6151">
        <w:rPr>
          <w:rFonts w:cstheme="minorHAnsi"/>
        </w:rPr>
        <w:t xml:space="preserve"> Wangmann, J. (2015)</w:t>
      </w:r>
      <w:r w:rsidR="00EF3F94">
        <w:rPr>
          <w:rFonts w:cstheme="minorHAnsi"/>
        </w:rPr>
        <w:t>.</w:t>
      </w:r>
      <w:r w:rsidRPr="005F6151">
        <w:rPr>
          <w:rFonts w:eastAsia="Times New Roman" w:cstheme="minorHAnsi"/>
          <w:color w:val="000000" w:themeColor="text1"/>
          <w:shd w:val="clear" w:color="auto" w:fill="FFFFFF"/>
          <w:lang w:val="en-GB" w:eastAsia="en-GB"/>
        </w:rPr>
        <w:t xml:space="preserve"> </w:t>
      </w:r>
      <w:r w:rsidRPr="005F6151">
        <w:rPr>
          <w:rFonts w:cstheme="minorHAnsi"/>
          <w:lang w:val="en-GB"/>
        </w:rPr>
        <w:t xml:space="preserve">Competing conceptions of victims of domestic violence within legal processes. In D. Wilson </w:t>
      </w:r>
      <w:r w:rsidR="00EF3F94">
        <w:rPr>
          <w:rFonts w:cstheme="minorHAnsi"/>
          <w:lang w:val="en-GB"/>
        </w:rPr>
        <w:t>&amp;</w:t>
      </w:r>
      <w:r w:rsidRPr="005F6151">
        <w:rPr>
          <w:rFonts w:cstheme="minorHAnsi"/>
          <w:lang w:val="en-GB"/>
        </w:rPr>
        <w:t xml:space="preserve"> S. Ross (eds)</w:t>
      </w:r>
      <w:r w:rsidR="00EF3F94">
        <w:rPr>
          <w:rFonts w:cstheme="minorHAnsi"/>
          <w:lang w:val="en-GB"/>
        </w:rPr>
        <w:t>.</w:t>
      </w:r>
      <w:r w:rsidRPr="005F6151">
        <w:rPr>
          <w:rFonts w:cstheme="minorHAnsi"/>
          <w:lang w:val="en-GB"/>
        </w:rPr>
        <w:t xml:space="preserve"> </w:t>
      </w:r>
      <w:r w:rsidRPr="005F6151">
        <w:rPr>
          <w:rFonts w:cstheme="minorHAnsi"/>
          <w:i/>
          <w:iCs/>
          <w:lang w:val="en-GB"/>
        </w:rPr>
        <w:t>Crime, Victims and Policy</w:t>
      </w:r>
      <w:r w:rsidR="00D761CC">
        <w:rPr>
          <w:rFonts w:cstheme="minorHAnsi"/>
          <w:lang w:val="en-GB"/>
        </w:rPr>
        <w:t xml:space="preserve">. </w:t>
      </w:r>
      <w:r w:rsidRPr="005F6151">
        <w:rPr>
          <w:rFonts w:cstheme="minorHAnsi"/>
          <w:lang w:val="en-GB"/>
        </w:rPr>
        <w:t>Palgrave-MacMillan</w:t>
      </w:r>
      <w:r w:rsidR="00EF3F94">
        <w:rPr>
          <w:rFonts w:cstheme="minorHAnsi"/>
          <w:lang w:val="en-GB"/>
        </w:rPr>
        <w:t>,</w:t>
      </w:r>
      <w:r w:rsidRPr="005F6151">
        <w:rPr>
          <w:rFonts w:cstheme="minorHAnsi"/>
          <w:lang w:val="en-GB"/>
        </w:rPr>
        <w:t xml:space="preserve"> </w:t>
      </w:r>
      <w:r w:rsidR="00D761CC">
        <w:rPr>
          <w:rFonts w:cstheme="minorHAnsi"/>
          <w:lang w:val="en-GB"/>
        </w:rPr>
        <w:t xml:space="preserve">London, </w:t>
      </w:r>
      <w:r w:rsidRPr="005F6151">
        <w:rPr>
          <w:rFonts w:cstheme="minorHAnsi"/>
          <w:lang w:val="en-GB"/>
        </w:rPr>
        <w:t>pp</w:t>
      </w:r>
      <w:r w:rsidR="00C85CA3">
        <w:rPr>
          <w:rFonts w:cstheme="minorHAnsi"/>
          <w:lang w:val="en-GB"/>
        </w:rPr>
        <w:t>.</w:t>
      </w:r>
      <w:r w:rsidRPr="005F6151">
        <w:rPr>
          <w:rFonts w:cstheme="minorHAnsi"/>
          <w:lang w:val="en-GB"/>
        </w:rPr>
        <w:t xml:space="preserve"> 107-132</w:t>
      </w:r>
      <w:r w:rsidR="00C134A2">
        <w:rPr>
          <w:rFonts w:cstheme="minorHAnsi"/>
          <w:lang w:val="en-GB"/>
        </w:rPr>
        <w:t>.</w:t>
      </w:r>
    </w:p>
    <w:p w14:paraId="6E920750" w14:textId="11B97082" w:rsidR="00FB7AD8" w:rsidRPr="005F6151" w:rsidRDefault="00FB7AD8" w:rsidP="005F6151">
      <w:pPr>
        <w:spacing w:line="480" w:lineRule="auto"/>
        <w:ind w:left="720" w:hanging="720"/>
        <w:contextualSpacing/>
        <w:jc w:val="both"/>
        <w:rPr>
          <w:rFonts w:eastAsia="Calibri" w:cstheme="minorHAnsi"/>
          <w:lang w:val="en-GB"/>
        </w:rPr>
      </w:pPr>
      <w:r w:rsidRPr="005F6151">
        <w:rPr>
          <w:rFonts w:eastAsia="Calibri" w:cstheme="minorHAnsi"/>
          <w:lang w:val="en-GB"/>
        </w:rPr>
        <w:t>UK Government. (2023)</w:t>
      </w:r>
      <w:r w:rsidR="00D761CC">
        <w:rPr>
          <w:rFonts w:eastAsia="Calibri" w:cstheme="minorHAnsi"/>
          <w:lang w:val="en-GB"/>
        </w:rPr>
        <w:t>.</w:t>
      </w:r>
      <w:r w:rsidRPr="005F6151">
        <w:rPr>
          <w:rFonts w:eastAsia="Calibri" w:cstheme="minorHAnsi"/>
          <w:lang w:val="en-GB"/>
        </w:rPr>
        <w:t xml:space="preserve"> Domestic abusers face crackdown in raft of new measures. </w:t>
      </w:r>
      <w:r w:rsidRPr="005F6151">
        <w:rPr>
          <w:rFonts w:eastAsia="Calibri" w:cstheme="minorHAnsi"/>
          <w:i/>
          <w:iCs/>
          <w:lang w:val="en-GB"/>
        </w:rPr>
        <w:t>News Story</w:t>
      </w:r>
      <w:r w:rsidRPr="005F6151">
        <w:rPr>
          <w:rFonts w:eastAsia="Calibri" w:cstheme="minorHAnsi"/>
          <w:lang w:val="en-GB"/>
        </w:rPr>
        <w:t xml:space="preserve">, 20 February. </w:t>
      </w:r>
      <w:hyperlink r:id="rId19" w:history="1">
        <w:r w:rsidRPr="005F6151">
          <w:rPr>
            <w:rStyle w:val="Hyperlink"/>
            <w:rFonts w:eastAsia="Calibri" w:cstheme="minorHAnsi"/>
            <w:lang w:val="en-GB"/>
          </w:rPr>
          <w:t>https://www.gov.uk/government/news/domestic-abusers-face-crackdown-in-raft-of-new-measures</w:t>
        </w:r>
      </w:hyperlink>
      <w:r w:rsidRPr="005F6151">
        <w:rPr>
          <w:rFonts w:eastAsia="Calibri" w:cstheme="minorHAnsi"/>
          <w:lang w:val="en-GB"/>
        </w:rPr>
        <w:t xml:space="preserve"> </w:t>
      </w:r>
    </w:p>
    <w:p w14:paraId="248AF88C" w14:textId="5F2BDDB0" w:rsidR="004152E8" w:rsidRPr="005F6151" w:rsidRDefault="00B42787" w:rsidP="005F6151">
      <w:pPr>
        <w:spacing w:line="480" w:lineRule="auto"/>
        <w:ind w:left="720" w:hanging="720"/>
        <w:contextualSpacing/>
        <w:jc w:val="both"/>
        <w:rPr>
          <w:rFonts w:eastAsia="Calibri" w:cstheme="minorHAnsi"/>
          <w:lang w:val="en-GB"/>
        </w:rPr>
      </w:pPr>
      <w:r w:rsidRPr="005F6151">
        <w:rPr>
          <w:rFonts w:eastAsia="Calibri" w:cstheme="minorHAnsi"/>
          <w:lang w:val="en-GB"/>
        </w:rPr>
        <w:t>Urbis</w:t>
      </w:r>
      <w:r w:rsidR="00C134A2">
        <w:rPr>
          <w:rFonts w:eastAsia="Calibri" w:cstheme="minorHAnsi"/>
          <w:lang w:val="en-GB"/>
        </w:rPr>
        <w:t>.</w:t>
      </w:r>
      <w:r w:rsidRPr="005F6151">
        <w:rPr>
          <w:rFonts w:eastAsia="Calibri" w:cstheme="minorHAnsi"/>
          <w:lang w:val="en-GB"/>
        </w:rPr>
        <w:t xml:space="preserve"> (2018)</w:t>
      </w:r>
      <w:r w:rsidR="00C134A2">
        <w:rPr>
          <w:rFonts w:eastAsia="Calibri" w:cstheme="minorHAnsi"/>
          <w:lang w:val="en-GB"/>
        </w:rPr>
        <w:t>.</w:t>
      </w:r>
      <w:r w:rsidRPr="005F6151">
        <w:rPr>
          <w:rFonts w:eastAsia="Calibri" w:cstheme="minorHAnsi"/>
          <w:lang w:val="en-GB"/>
        </w:rPr>
        <w:t xml:space="preserve"> </w:t>
      </w:r>
      <w:r w:rsidRPr="002C65A7">
        <w:rPr>
          <w:rFonts w:eastAsia="Calibri" w:cstheme="minorHAnsi"/>
          <w:i/>
          <w:iCs/>
          <w:lang w:val="en-GB"/>
        </w:rPr>
        <w:t>New South Wales Domestic Violence Disclosure Scheme Evaluation</w:t>
      </w:r>
      <w:r w:rsidRPr="005F6151">
        <w:rPr>
          <w:rFonts w:eastAsia="Calibri" w:cstheme="minorHAnsi"/>
          <w:lang w:val="en-GB"/>
        </w:rPr>
        <w:t xml:space="preserve">. </w:t>
      </w:r>
      <w:r w:rsidR="00C134A2">
        <w:rPr>
          <w:rFonts w:eastAsia="Calibri" w:cstheme="minorHAnsi"/>
          <w:lang w:val="en-GB"/>
        </w:rPr>
        <w:t xml:space="preserve">Available at: </w:t>
      </w:r>
      <w:hyperlink r:id="rId20" w:history="1">
        <w:r w:rsidR="002C65A7" w:rsidRPr="002D3A67">
          <w:rPr>
            <w:rStyle w:val="Hyperlink"/>
            <w:rFonts w:eastAsia="Calibri" w:cstheme="minorHAnsi"/>
            <w:lang w:val="en-GB"/>
          </w:rPr>
          <w:t>www.urbis.com.au</w:t>
        </w:r>
      </w:hyperlink>
    </w:p>
    <w:p w14:paraId="3333316A" w14:textId="081B46E1" w:rsidR="004152E8" w:rsidRPr="005F6151" w:rsidRDefault="00267CFF" w:rsidP="005F6151">
      <w:pPr>
        <w:spacing w:line="480" w:lineRule="auto"/>
        <w:ind w:left="720" w:hanging="720"/>
        <w:contextualSpacing/>
        <w:jc w:val="both"/>
        <w:rPr>
          <w:rFonts w:cstheme="minorHAnsi"/>
        </w:rPr>
      </w:pPr>
      <w:r w:rsidRPr="005F6151">
        <w:rPr>
          <w:rFonts w:cstheme="minorHAnsi"/>
        </w:rPr>
        <w:t>Wangmann, J. (2016)</w:t>
      </w:r>
      <w:r w:rsidR="002C65A7">
        <w:rPr>
          <w:rFonts w:cstheme="minorHAnsi"/>
        </w:rPr>
        <w:t>.</w:t>
      </w:r>
      <w:r w:rsidRPr="005F6151">
        <w:rPr>
          <w:rFonts w:cstheme="minorHAnsi"/>
        </w:rPr>
        <w:t xml:space="preserve"> Has he been violent before? Domestic violence disclosure schemes. </w:t>
      </w:r>
      <w:r w:rsidRPr="00CA3A72">
        <w:rPr>
          <w:rFonts w:cstheme="minorHAnsi"/>
          <w:i/>
          <w:iCs/>
        </w:rPr>
        <w:t>Alternative Law Journal</w:t>
      </w:r>
      <w:r w:rsidRPr="005F6151">
        <w:rPr>
          <w:rFonts w:cstheme="minorHAnsi"/>
        </w:rPr>
        <w:t>, 41(4)</w:t>
      </w:r>
      <w:r w:rsidR="00CA3A72">
        <w:rPr>
          <w:rFonts w:cstheme="minorHAnsi"/>
        </w:rPr>
        <w:t>,</w:t>
      </w:r>
      <w:r w:rsidRPr="005F6151">
        <w:rPr>
          <w:rFonts w:cstheme="minorHAnsi"/>
        </w:rPr>
        <w:t xml:space="preserve"> 230-234</w:t>
      </w:r>
      <w:r w:rsidR="002C65A7">
        <w:rPr>
          <w:rFonts w:cstheme="minorHAnsi"/>
        </w:rPr>
        <w:t>.</w:t>
      </w:r>
    </w:p>
    <w:p w14:paraId="4C1BE992" w14:textId="73926770" w:rsidR="004152E8" w:rsidRPr="005F6151" w:rsidRDefault="000B52F2" w:rsidP="005F6151">
      <w:pPr>
        <w:spacing w:line="480" w:lineRule="auto"/>
        <w:ind w:left="720" w:hanging="720"/>
        <w:contextualSpacing/>
        <w:jc w:val="both"/>
        <w:rPr>
          <w:rFonts w:cstheme="minorHAnsi"/>
        </w:rPr>
      </w:pPr>
      <w:r w:rsidRPr="005F6151">
        <w:rPr>
          <w:rFonts w:cstheme="minorHAnsi"/>
        </w:rPr>
        <w:lastRenderedPageBreak/>
        <w:t xml:space="preserve">Wangmann, J. (2022). Law reform processes and criminalising coercive control. </w:t>
      </w:r>
      <w:r w:rsidRPr="005F6151">
        <w:rPr>
          <w:rFonts w:cstheme="minorHAnsi"/>
          <w:i/>
          <w:iCs/>
        </w:rPr>
        <w:t>Australian Feminist Law Journal</w:t>
      </w:r>
      <w:r w:rsidRPr="005F6151">
        <w:rPr>
          <w:rFonts w:cstheme="minorHAnsi"/>
        </w:rPr>
        <w:t xml:space="preserve">, </w:t>
      </w:r>
      <w:r w:rsidR="00FA45BB" w:rsidRPr="005F6151">
        <w:rPr>
          <w:rFonts w:cstheme="minorHAnsi"/>
        </w:rPr>
        <w:t xml:space="preserve">48(1), </w:t>
      </w:r>
      <w:r w:rsidR="00026900" w:rsidRPr="005F6151">
        <w:rPr>
          <w:rFonts w:cstheme="minorHAnsi"/>
        </w:rPr>
        <w:t xml:space="preserve">57-86. </w:t>
      </w:r>
    </w:p>
    <w:p w14:paraId="51FB1758" w14:textId="471FBD05" w:rsidR="004152E8" w:rsidRPr="005F6151" w:rsidRDefault="00267CFF" w:rsidP="005F6151">
      <w:pPr>
        <w:spacing w:line="480" w:lineRule="auto"/>
        <w:ind w:left="720" w:hanging="720"/>
        <w:contextualSpacing/>
        <w:jc w:val="both"/>
        <w:rPr>
          <w:rFonts w:cstheme="minorHAnsi"/>
        </w:rPr>
      </w:pPr>
      <w:r w:rsidRPr="005F6151">
        <w:rPr>
          <w:rFonts w:cstheme="minorHAnsi"/>
        </w:rPr>
        <w:t>Walklate, S. (2001)</w:t>
      </w:r>
      <w:r w:rsidR="00CA3A72">
        <w:rPr>
          <w:rFonts w:cstheme="minorHAnsi"/>
        </w:rPr>
        <w:t>.</w:t>
      </w:r>
      <w:r w:rsidRPr="005F6151">
        <w:rPr>
          <w:rFonts w:cstheme="minorHAnsi"/>
        </w:rPr>
        <w:t xml:space="preserve"> The </w:t>
      </w:r>
      <w:r w:rsidR="00CA3A72">
        <w:rPr>
          <w:rFonts w:cstheme="minorHAnsi"/>
        </w:rPr>
        <w:t>victims'</w:t>
      </w:r>
      <w:r w:rsidRPr="005F6151">
        <w:rPr>
          <w:rFonts w:cstheme="minorHAnsi"/>
        </w:rPr>
        <w:t xml:space="preserve"> lobby. In M. Ryan, S. Savage </w:t>
      </w:r>
      <w:r w:rsidR="00CA3A72">
        <w:rPr>
          <w:rFonts w:cstheme="minorHAnsi"/>
        </w:rPr>
        <w:t>&amp;</w:t>
      </w:r>
      <w:r w:rsidRPr="005F6151">
        <w:rPr>
          <w:rFonts w:cstheme="minorHAnsi"/>
        </w:rPr>
        <w:t xml:space="preserve"> D. Wall (eds</w:t>
      </w:r>
      <w:r w:rsidRPr="00CA3A72">
        <w:rPr>
          <w:rFonts w:cstheme="minorHAnsi"/>
          <w:i/>
          <w:iCs/>
        </w:rPr>
        <w:t>)</w:t>
      </w:r>
      <w:r w:rsidR="00CA3A72" w:rsidRPr="00CA3A72">
        <w:rPr>
          <w:rFonts w:cstheme="minorHAnsi"/>
          <w:i/>
          <w:iCs/>
        </w:rPr>
        <w:t>.</w:t>
      </w:r>
      <w:r w:rsidRPr="00CA3A72">
        <w:rPr>
          <w:rFonts w:cstheme="minorHAnsi"/>
          <w:i/>
          <w:iCs/>
        </w:rPr>
        <w:t xml:space="preserve"> Policy Networks in Criminal Justice</w:t>
      </w:r>
      <w:r w:rsidRPr="005F6151">
        <w:rPr>
          <w:rFonts w:cstheme="minorHAnsi"/>
        </w:rPr>
        <w:t>. Macmillan</w:t>
      </w:r>
      <w:r w:rsidR="00CA3A72">
        <w:rPr>
          <w:rFonts w:cstheme="minorHAnsi"/>
        </w:rPr>
        <w:t xml:space="preserve">, </w:t>
      </w:r>
      <w:r w:rsidR="00BD6E69">
        <w:rPr>
          <w:rFonts w:cstheme="minorHAnsi"/>
        </w:rPr>
        <w:t xml:space="preserve">London, </w:t>
      </w:r>
      <w:r w:rsidRPr="005F6151">
        <w:rPr>
          <w:rFonts w:cstheme="minorHAnsi"/>
        </w:rPr>
        <w:t>pp</w:t>
      </w:r>
      <w:r w:rsidR="00C85CA3">
        <w:rPr>
          <w:rFonts w:cstheme="minorHAnsi"/>
        </w:rPr>
        <w:t>.</w:t>
      </w:r>
      <w:r w:rsidRPr="005F6151">
        <w:rPr>
          <w:rFonts w:cstheme="minorHAnsi"/>
        </w:rPr>
        <w:t xml:space="preserve"> 201-217</w:t>
      </w:r>
      <w:r w:rsidR="00CA3A72">
        <w:rPr>
          <w:rFonts w:cstheme="minorHAnsi"/>
        </w:rPr>
        <w:t>.</w:t>
      </w:r>
    </w:p>
    <w:p w14:paraId="05C2EC1E" w14:textId="60AC376E" w:rsidR="00E96A7D" w:rsidRPr="005F6151" w:rsidRDefault="00E96A7D" w:rsidP="005F6151">
      <w:pPr>
        <w:spacing w:line="480" w:lineRule="auto"/>
        <w:ind w:left="720" w:hanging="720"/>
        <w:contextualSpacing/>
        <w:jc w:val="both"/>
        <w:rPr>
          <w:rFonts w:cstheme="minorHAnsi"/>
        </w:rPr>
      </w:pPr>
      <w:r w:rsidRPr="005F6151">
        <w:rPr>
          <w:rFonts w:cstheme="minorHAnsi"/>
          <w:color w:val="1C1D1E"/>
          <w:shd w:val="clear" w:color="auto" w:fill="FFFFFF"/>
        </w:rPr>
        <w:t>Walklate, S. (2012)</w:t>
      </w:r>
      <w:r w:rsidR="00CA3A72">
        <w:rPr>
          <w:rFonts w:cstheme="minorHAnsi"/>
          <w:color w:val="1C1D1E"/>
          <w:shd w:val="clear" w:color="auto" w:fill="FFFFFF"/>
        </w:rPr>
        <w:t>.</w:t>
      </w:r>
      <w:r w:rsidRPr="005F6151">
        <w:rPr>
          <w:rFonts w:cstheme="minorHAnsi"/>
          <w:color w:val="1C1D1E"/>
          <w:shd w:val="clear" w:color="auto" w:fill="FFFFFF"/>
        </w:rPr>
        <w:t xml:space="preserve"> Courting </w:t>
      </w:r>
      <w:r w:rsidR="00BD6E69">
        <w:rPr>
          <w:rFonts w:cstheme="minorHAnsi"/>
          <w:color w:val="1C1D1E"/>
          <w:shd w:val="clear" w:color="auto" w:fill="FFFFFF"/>
        </w:rPr>
        <w:t>c</w:t>
      </w:r>
      <w:r w:rsidRPr="005F6151">
        <w:rPr>
          <w:rFonts w:cstheme="minorHAnsi"/>
          <w:color w:val="1C1D1E"/>
          <w:shd w:val="clear" w:color="auto" w:fill="FFFFFF"/>
        </w:rPr>
        <w:t xml:space="preserve">ompassion. </w:t>
      </w:r>
      <w:r w:rsidRPr="00CA3A72">
        <w:rPr>
          <w:rFonts w:cstheme="minorHAnsi"/>
          <w:i/>
          <w:iCs/>
          <w:color w:val="1C1D1E"/>
          <w:shd w:val="clear" w:color="auto" w:fill="FFFFFF"/>
        </w:rPr>
        <w:t>Howard Journal of Criminal Justice</w:t>
      </w:r>
      <w:r w:rsidRPr="005F6151">
        <w:rPr>
          <w:rFonts w:cstheme="minorHAnsi"/>
          <w:color w:val="1C1D1E"/>
          <w:shd w:val="clear" w:color="auto" w:fill="FFFFFF"/>
        </w:rPr>
        <w:t>, 51</w:t>
      </w:r>
      <w:r w:rsidR="00CA3A72">
        <w:rPr>
          <w:rFonts w:cstheme="minorHAnsi"/>
          <w:color w:val="1C1D1E"/>
          <w:shd w:val="clear" w:color="auto" w:fill="FFFFFF"/>
        </w:rPr>
        <w:t xml:space="preserve">, </w:t>
      </w:r>
      <w:r w:rsidRPr="005F6151">
        <w:rPr>
          <w:rFonts w:cstheme="minorHAnsi"/>
          <w:color w:val="1C1D1E"/>
          <w:shd w:val="clear" w:color="auto" w:fill="FFFFFF"/>
        </w:rPr>
        <w:t>109-121.</w:t>
      </w:r>
    </w:p>
    <w:p w14:paraId="07FAFBFF" w14:textId="719531C8" w:rsidR="004152E8" w:rsidRPr="005F6151" w:rsidRDefault="00075313" w:rsidP="005F6151">
      <w:pPr>
        <w:autoSpaceDE w:val="0"/>
        <w:autoSpaceDN w:val="0"/>
        <w:adjustRightInd w:val="0"/>
        <w:spacing w:line="360" w:lineRule="auto"/>
        <w:ind w:left="720" w:hanging="720"/>
        <w:contextualSpacing/>
        <w:jc w:val="both"/>
        <w:rPr>
          <w:rFonts w:cstheme="minorHAnsi"/>
        </w:rPr>
      </w:pPr>
      <w:r w:rsidRPr="005F6151">
        <w:rPr>
          <w:rFonts w:cstheme="minorHAnsi"/>
        </w:rPr>
        <w:t xml:space="preserve">Walklate, S. </w:t>
      </w:r>
      <w:r w:rsidR="00A77A69">
        <w:rPr>
          <w:rFonts w:cstheme="minorHAnsi"/>
        </w:rPr>
        <w:t>&amp;</w:t>
      </w:r>
      <w:r w:rsidRPr="005F6151">
        <w:rPr>
          <w:rFonts w:cstheme="minorHAnsi"/>
        </w:rPr>
        <w:t xml:space="preserve"> Fitz-Gibbon, K. (2018)</w:t>
      </w:r>
      <w:r w:rsidR="00A77A69">
        <w:rPr>
          <w:rFonts w:cstheme="minorHAnsi"/>
        </w:rPr>
        <w:t>.</w:t>
      </w:r>
      <w:r w:rsidRPr="005F6151">
        <w:rPr>
          <w:rFonts w:cstheme="minorHAnsi"/>
        </w:rPr>
        <w:t xml:space="preserve"> Criminology and the violence(s) of </w:t>
      </w:r>
      <w:r w:rsidR="00A17975">
        <w:rPr>
          <w:rFonts w:cstheme="minorHAnsi"/>
        </w:rPr>
        <w:t>n</w:t>
      </w:r>
      <w:r w:rsidRPr="005F6151">
        <w:rPr>
          <w:rFonts w:cstheme="minorHAnsi"/>
        </w:rPr>
        <w:t xml:space="preserve">orthern </w:t>
      </w:r>
      <w:r w:rsidR="00A17975">
        <w:rPr>
          <w:rFonts w:cstheme="minorHAnsi"/>
        </w:rPr>
        <w:t>t</w:t>
      </w:r>
      <w:r w:rsidRPr="005F6151">
        <w:rPr>
          <w:rFonts w:cstheme="minorHAnsi"/>
        </w:rPr>
        <w:t xml:space="preserve">heorizing: A critical examination of policy transfer in relation to violence against women from the global </w:t>
      </w:r>
      <w:r w:rsidR="00A17975">
        <w:rPr>
          <w:rFonts w:cstheme="minorHAnsi"/>
        </w:rPr>
        <w:t>n</w:t>
      </w:r>
      <w:r w:rsidRPr="005F6151">
        <w:rPr>
          <w:rFonts w:cstheme="minorHAnsi"/>
        </w:rPr>
        <w:t xml:space="preserve">orth to the global </w:t>
      </w:r>
      <w:r w:rsidR="00A17975">
        <w:rPr>
          <w:rFonts w:cstheme="minorHAnsi"/>
        </w:rPr>
        <w:t>s</w:t>
      </w:r>
      <w:r w:rsidRPr="005F6151">
        <w:rPr>
          <w:rFonts w:cstheme="minorHAnsi"/>
        </w:rPr>
        <w:t>outh</w:t>
      </w:r>
      <w:r w:rsidR="00A77A69">
        <w:rPr>
          <w:rFonts w:cstheme="minorHAnsi"/>
        </w:rPr>
        <w:t>. I</w:t>
      </w:r>
      <w:r w:rsidRPr="005F6151">
        <w:rPr>
          <w:rFonts w:cstheme="minorHAnsi"/>
        </w:rPr>
        <w:t xml:space="preserve">n </w:t>
      </w:r>
      <w:r w:rsidR="00B567B9">
        <w:rPr>
          <w:rFonts w:cstheme="minorHAnsi"/>
        </w:rPr>
        <w:t xml:space="preserve">K. </w:t>
      </w:r>
      <w:r w:rsidRPr="005F6151">
        <w:rPr>
          <w:rFonts w:cstheme="minorHAnsi"/>
        </w:rPr>
        <w:t xml:space="preserve">Carrington, </w:t>
      </w:r>
      <w:r w:rsidR="00B567B9">
        <w:rPr>
          <w:rFonts w:cstheme="minorHAnsi"/>
        </w:rPr>
        <w:t xml:space="preserve">R. </w:t>
      </w:r>
      <w:r w:rsidRPr="005F6151">
        <w:rPr>
          <w:rFonts w:cstheme="minorHAnsi"/>
        </w:rPr>
        <w:t xml:space="preserve">Hogg, </w:t>
      </w:r>
      <w:r w:rsidR="00B567B9">
        <w:rPr>
          <w:rFonts w:cstheme="minorHAnsi"/>
        </w:rPr>
        <w:t xml:space="preserve">J. </w:t>
      </w:r>
      <w:r w:rsidRPr="005F6151">
        <w:rPr>
          <w:rFonts w:cstheme="minorHAnsi"/>
        </w:rPr>
        <w:t>Scott</w:t>
      </w:r>
      <w:r w:rsidR="00B567B9">
        <w:rPr>
          <w:rFonts w:cstheme="minorHAnsi"/>
        </w:rPr>
        <w:t xml:space="preserve"> </w:t>
      </w:r>
      <w:r w:rsidR="00A77A69">
        <w:rPr>
          <w:rFonts w:cstheme="minorHAnsi"/>
        </w:rPr>
        <w:t>&amp;</w:t>
      </w:r>
      <w:r w:rsidRPr="005F6151">
        <w:rPr>
          <w:rFonts w:cstheme="minorHAnsi"/>
        </w:rPr>
        <w:t xml:space="preserve"> </w:t>
      </w:r>
      <w:r w:rsidR="00B567B9">
        <w:rPr>
          <w:rFonts w:cstheme="minorHAnsi"/>
        </w:rPr>
        <w:t xml:space="preserve">M. </w:t>
      </w:r>
      <w:proofErr w:type="spellStart"/>
      <w:r w:rsidRPr="005F6151">
        <w:rPr>
          <w:rFonts w:cstheme="minorHAnsi"/>
        </w:rPr>
        <w:t>Sozzo</w:t>
      </w:r>
      <w:proofErr w:type="spellEnd"/>
      <w:r w:rsidR="00B567B9">
        <w:rPr>
          <w:rFonts w:cstheme="minorHAnsi"/>
        </w:rPr>
        <w:t xml:space="preserve"> </w:t>
      </w:r>
      <w:r w:rsidRPr="005F6151">
        <w:rPr>
          <w:rFonts w:cstheme="minorHAnsi"/>
        </w:rPr>
        <w:t>(eds.)</w:t>
      </w:r>
      <w:r w:rsidR="00A17975">
        <w:rPr>
          <w:rFonts w:cstheme="minorHAnsi"/>
        </w:rPr>
        <w:t>.</w:t>
      </w:r>
      <w:r w:rsidRPr="005F6151">
        <w:rPr>
          <w:rFonts w:cstheme="minorHAnsi"/>
        </w:rPr>
        <w:t xml:space="preserve"> </w:t>
      </w:r>
      <w:r w:rsidRPr="00A77A69">
        <w:rPr>
          <w:rFonts w:cstheme="minorHAnsi"/>
          <w:i/>
          <w:iCs/>
        </w:rPr>
        <w:t>The Palgrave Handbook of Criminology and the Global South</w:t>
      </w:r>
      <w:r w:rsidR="00A77A69">
        <w:rPr>
          <w:rFonts w:cstheme="minorHAnsi"/>
        </w:rPr>
        <w:t xml:space="preserve">. </w:t>
      </w:r>
      <w:r w:rsidRPr="005F6151">
        <w:rPr>
          <w:rFonts w:cstheme="minorHAnsi"/>
        </w:rPr>
        <w:t>Palgrave</w:t>
      </w:r>
      <w:r w:rsidR="008A2807">
        <w:rPr>
          <w:rFonts w:cstheme="minorHAnsi"/>
        </w:rPr>
        <w:t>-MacMillan, Cham</w:t>
      </w:r>
      <w:r w:rsidRPr="005F6151">
        <w:rPr>
          <w:rFonts w:cstheme="minorHAnsi"/>
        </w:rPr>
        <w:t>, pp</w:t>
      </w:r>
      <w:r w:rsidR="008A2807">
        <w:rPr>
          <w:rFonts w:cstheme="minorHAnsi"/>
        </w:rPr>
        <w:t>.</w:t>
      </w:r>
      <w:r w:rsidRPr="005F6151">
        <w:rPr>
          <w:rFonts w:cstheme="minorHAnsi"/>
        </w:rPr>
        <w:t xml:space="preserve"> 847-865. </w:t>
      </w:r>
    </w:p>
    <w:p w14:paraId="7B36FFA9" w14:textId="6728A0F7" w:rsidR="004152E8" w:rsidRPr="00A77A69" w:rsidRDefault="004152E8" w:rsidP="005F6151">
      <w:pPr>
        <w:autoSpaceDE w:val="0"/>
        <w:autoSpaceDN w:val="0"/>
        <w:adjustRightInd w:val="0"/>
        <w:spacing w:line="360" w:lineRule="auto"/>
        <w:ind w:left="720" w:hanging="720"/>
        <w:contextualSpacing/>
        <w:jc w:val="both"/>
        <w:rPr>
          <w:rFonts w:eastAsia="Times New Roman" w:cstheme="minorHAnsi"/>
          <w:lang w:val="en-US"/>
        </w:rPr>
      </w:pPr>
      <w:r w:rsidRPr="00A77A69">
        <w:rPr>
          <w:rFonts w:eastAsia="Times New Roman" w:cstheme="minorHAnsi"/>
          <w:lang w:val="en-US"/>
        </w:rPr>
        <w:t xml:space="preserve">Walklate, S. </w:t>
      </w:r>
      <w:r w:rsidR="00A77A69">
        <w:rPr>
          <w:rFonts w:eastAsia="Times New Roman" w:cstheme="minorHAnsi"/>
          <w:lang w:val="en-US"/>
        </w:rPr>
        <w:t>&amp;</w:t>
      </w:r>
      <w:r w:rsidRPr="00A77A69">
        <w:rPr>
          <w:rFonts w:eastAsia="Times New Roman" w:cstheme="minorHAnsi"/>
          <w:lang w:val="en-US"/>
        </w:rPr>
        <w:t xml:space="preserve"> Fitz-Gibbon, K. (2023)</w:t>
      </w:r>
      <w:r w:rsidR="00A77A69">
        <w:rPr>
          <w:rFonts w:eastAsia="Times New Roman" w:cstheme="minorHAnsi"/>
          <w:lang w:val="en-US"/>
        </w:rPr>
        <w:t>.</w:t>
      </w:r>
      <w:r w:rsidRPr="00A77A69">
        <w:rPr>
          <w:rFonts w:eastAsia="Times New Roman" w:cstheme="minorHAnsi"/>
          <w:lang w:val="en-US"/>
        </w:rPr>
        <w:t xml:space="preserve"> Domestic violence disclosure schemes: </w:t>
      </w:r>
      <w:r w:rsidR="008A2807">
        <w:rPr>
          <w:rFonts w:eastAsia="Times New Roman" w:cstheme="minorHAnsi"/>
          <w:lang w:val="en-US"/>
        </w:rPr>
        <w:t>T</w:t>
      </w:r>
      <w:r w:rsidRPr="00A77A69">
        <w:rPr>
          <w:rFonts w:eastAsia="Times New Roman" w:cstheme="minorHAnsi"/>
          <w:lang w:val="en-US"/>
        </w:rPr>
        <w:t xml:space="preserve">he opportunities and limits of technology and information sharing. In B. Harris </w:t>
      </w:r>
      <w:r w:rsidR="00A77A69">
        <w:rPr>
          <w:rFonts w:eastAsia="Times New Roman" w:cstheme="minorHAnsi"/>
          <w:lang w:val="en-US"/>
        </w:rPr>
        <w:t>&amp;</w:t>
      </w:r>
      <w:r w:rsidRPr="00A77A69">
        <w:rPr>
          <w:rFonts w:eastAsia="Times New Roman" w:cstheme="minorHAnsi"/>
          <w:lang w:val="en-US"/>
        </w:rPr>
        <w:t xml:space="preserve"> D. Woodlock (eds.)</w:t>
      </w:r>
      <w:r w:rsidR="00B567B9">
        <w:rPr>
          <w:rFonts w:eastAsia="Times New Roman" w:cstheme="minorHAnsi"/>
          <w:lang w:val="en-US"/>
        </w:rPr>
        <w:t>.</w:t>
      </w:r>
      <w:r w:rsidRPr="00A77A69">
        <w:rPr>
          <w:rFonts w:eastAsia="Times New Roman" w:cstheme="minorHAnsi"/>
          <w:lang w:val="en-US"/>
        </w:rPr>
        <w:t> </w:t>
      </w:r>
      <w:r w:rsidRPr="00A77A69">
        <w:rPr>
          <w:rFonts w:eastAsia="Times New Roman" w:cstheme="minorHAnsi"/>
          <w:i/>
          <w:iCs/>
          <w:lang w:val="en-US"/>
        </w:rPr>
        <w:t xml:space="preserve">Technology and Domestic and Family Violence: </w:t>
      </w:r>
      <w:proofErr w:type="spellStart"/>
      <w:r w:rsidRPr="00A77A69">
        <w:rPr>
          <w:rFonts w:eastAsia="Times New Roman" w:cstheme="minorHAnsi"/>
          <w:i/>
          <w:iCs/>
          <w:lang w:val="en-US"/>
        </w:rPr>
        <w:t>Victimisation</w:t>
      </w:r>
      <w:proofErr w:type="spellEnd"/>
      <w:r w:rsidRPr="00A77A69">
        <w:rPr>
          <w:rFonts w:eastAsia="Times New Roman" w:cstheme="minorHAnsi"/>
          <w:i/>
          <w:iCs/>
          <w:lang w:val="en-US"/>
        </w:rPr>
        <w:t>, Perpetration and Responses.</w:t>
      </w:r>
      <w:r w:rsidRPr="00A77A69">
        <w:rPr>
          <w:rFonts w:eastAsia="Times New Roman" w:cstheme="minorHAnsi"/>
          <w:lang w:val="en-US"/>
        </w:rPr>
        <w:t xml:space="preserve"> Routledge, </w:t>
      </w:r>
      <w:r w:rsidR="00FE5121">
        <w:rPr>
          <w:rFonts w:eastAsia="Times New Roman" w:cstheme="minorHAnsi"/>
          <w:lang w:val="en-US"/>
        </w:rPr>
        <w:t xml:space="preserve">Abingdon, </w:t>
      </w:r>
      <w:r w:rsidRPr="00A77A69">
        <w:rPr>
          <w:rFonts w:eastAsia="Times New Roman" w:cstheme="minorHAnsi"/>
          <w:lang w:val="en-US"/>
        </w:rPr>
        <w:t>pp</w:t>
      </w:r>
      <w:r w:rsidR="00FE5121">
        <w:rPr>
          <w:rFonts w:eastAsia="Times New Roman" w:cstheme="minorHAnsi"/>
          <w:lang w:val="en-US"/>
        </w:rPr>
        <w:t>.</w:t>
      </w:r>
      <w:r w:rsidR="00A77A69">
        <w:rPr>
          <w:rFonts w:eastAsia="Times New Roman" w:cstheme="minorHAnsi"/>
          <w:lang w:val="en-US"/>
        </w:rPr>
        <w:t xml:space="preserve"> </w:t>
      </w:r>
      <w:r w:rsidRPr="00A77A69">
        <w:rPr>
          <w:rFonts w:eastAsia="Times New Roman" w:cstheme="minorHAnsi"/>
          <w:lang w:val="en-US"/>
        </w:rPr>
        <w:t>163-173.</w:t>
      </w:r>
    </w:p>
    <w:p w14:paraId="24A95C0F" w14:textId="7CB90505" w:rsidR="00F84346" w:rsidRPr="005F6151" w:rsidRDefault="00F84346" w:rsidP="005F6151">
      <w:pPr>
        <w:autoSpaceDE w:val="0"/>
        <w:autoSpaceDN w:val="0"/>
        <w:adjustRightInd w:val="0"/>
        <w:spacing w:line="360" w:lineRule="auto"/>
        <w:ind w:left="720" w:hanging="720"/>
        <w:contextualSpacing/>
        <w:jc w:val="both"/>
        <w:rPr>
          <w:rFonts w:cstheme="minorHAnsi"/>
          <w:color w:val="000000" w:themeColor="text1"/>
        </w:rPr>
      </w:pPr>
      <w:proofErr w:type="spellStart"/>
      <w:r w:rsidRPr="005F6151">
        <w:rPr>
          <w:rFonts w:cstheme="minorHAnsi"/>
          <w:color w:val="000000" w:themeColor="text1"/>
        </w:rPr>
        <w:t>Wheildon</w:t>
      </w:r>
      <w:proofErr w:type="spellEnd"/>
      <w:r w:rsidR="00A77A69">
        <w:rPr>
          <w:rFonts w:cstheme="minorHAnsi"/>
          <w:color w:val="000000" w:themeColor="text1"/>
        </w:rPr>
        <w:t>,</w:t>
      </w:r>
      <w:r w:rsidRPr="005F6151">
        <w:rPr>
          <w:rFonts w:cstheme="minorHAnsi"/>
          <w:color w:val="000000" w:themeColor="text1"/>
        </w:rPr>
        <w:t xml:space="preserve"> L</w:t>
      </w:r>
      <w:r w:rsidR="00A77A69">
        <w:rPr>
          <w:rFonts w:cstheme="minorHAnsi"/>
          <w:color w:val="000000" w:themeColor="text1"/>
        </w:rPr>
        <w:t>.</w:t>
      </w:r>
      <w:r w:rsidRPr="005F6151">
        <w:rPr>
          <w:rFonts w:cstheme="minorHAnsi"/>
          <w:color w:val="000000" w:themeColor="text1"/>
        </w:rPr>
        <w:t>J</w:t>
      </w:r>
      <w:r w:rsidR="00A77A69">
        <w:rPr>
          <w:rFonts w:cstheme="minorHAnsi"/>
          <w:color w:val="000000" w:themeColor="text1"/>
        </w:rPr>
        <w:t>.</w:t>
      </w:r>
      <w:r w:rsidRPr="005F6151">
        <w:rPr>
          <w:rFonts w:cstheme="minorHAnsi"/>
          <w:color w:val="000000" w:themeColor="text1"/>
        </w:rPr>
        <w:t>, True</w:t>
      </w:r>
      <w:r w:rsidR="00A77A69">
        <w:rPr>
          <w:rFonts w:cstheme="minorHAnsi"/>
          <w:color w:val="000000" w:themeColor="text1"/>
        </w:rPr>
        <w:t>,</w:t>
      </w:r>
      <w:r w:rsidRPr="005F6151">
        <w:rPr>
          <w:rFonts w:cstheme="minorHAnsi"/>
          <w:color w:val="000000" w:themeColor="text1"/>
        </w:rPr>
        <w:t xml:space="preserve"> J</w:t>
      </w:r>
      <w:r w:rsidR="00A77A69">
        <w:rPr>
          <w:rFonts w:cstheme="minorHAnsi"/>
          <w:color w:val="000000" w:themeColor="text1"/>
        </w:rPr>
        <w:t>.</w:t>
      </w:r>
      <w:r w:rsidRPr="005F6151">
        <w:rPr>
          <w:rFonts w:cstheme="minorHAnsi"/>
          <w:color w:val="000000" w:themeColor="text1"/>
        </w:rPr>
        <w:t>, Flynn</w:t>
      </w:r>
      <w:r w:rsidR="00A77A69">
        <w:rPr>
          <w:rFonts w:cstheme="minorHAnsi"/>
          <w:color w:val="000000" w:themeColor="text1"/>
        </w:rPr>
        <w:t>,</w:t>
      </w:r>
      <w:r w:rsidRPr="005F6151">
        <w:rPr>
          <w:rFonts w:cstheme="minorHAnsi"/>
          <w:color w:val="000000" w:themeColor="text1"/>
        </w:rPr>
        <w:t xml:space="preserve"> A</w:t>
      </w:r>
      <w:r w:rsidR="00A77A69">
        <w:rPr>
          <w:rFonts w:cstheme="minorHAnsi"/>
          <w:color w:val="000000" w:themeColor="text1"/>
        </w:rPr>
        <w:t>.</w:t>
      </w:r>
      <w:r w:rsidRPr="005F6151">
        <w:rPr>
          <w:rFonts w:cstheme="minorHAnsi"/>
          <w:color w:val="000000" w:themeColor="text1"/>
        </w:rPr>
        <w:t xml:space="preserve"> </w:t>
      </w:r>
      <w:r w:rsidR="00A77A69">
        <w:rPr>
          <w:rFonts w:cstheme="minorHAnsi"/>
          <w:color w:val="000000" w:themeColor="text1"/>
        </w:rPr>
        <w:t>&amp;</w:t>
      </w:r>
      <w:r w:rsidRPr="005F6151">
        <w:rPr>
          <w:rFonts w:cstheme="minorHAnsi"/>
          <w:color w:val="000000" w:themeColor="text1"/>
        </w:rPr>
        <w:t xml:space="preserve"> Wild, A. (2022)</w:t>
      </w:r>
      <w:r w:rsidR="00A77A69">
        <w:rPr>
          <w:rFonts w:cstheme="minorHAnsi"/>
          <w:color w:val="000000" w:themeColor="text1"/>
        </w:rPr>
        <w:t>.</w:t>
      </w:r>
      <w:r w:rsidRPr="005F6151">
        <w:rPr>
          <w:rFonts w:cstheme="minorHAnsi"/>
          <w:color w:val="000000" w:themeColor="text1"/>
        </w:rPr>
        <w:t xml:space="preserve"> The Batty </w:t>
      </w:r>
      <w:r w:rsidR="00C85CA3">
        <w:rPr>
          <w:rFonts w:cstheme="minorHAnsi"/>
          <w:color w:val="000000" w:themeColor="text1"/>
        </w:rPr>
        <w:t>ef</w:t>
      </w:r>
      <w:r w:rsidRPr="005F6151">
        <w:rPr>
          <w:rFonts w:cstheme="minorHAnsi"/>
          <w:color w:val="000000" w:themeColor="text1"/>
        </w:rPr>
        <w:t>fect: Victim-</w:t>
      </w:r>
      <w:r w:rsidR="00C85CA3">
        <w:rPr>
          <w:rFonts w:cstheme="minorHAnsi"/>
          <w:color w:val="000000" w:themeColor="text1"/>
        </w:rPr>
        <w:t>s</w:t>
      </w:r>
      <w:r w:rsidRPr="005F6151">
        <w:rPr>
          <w:rFonts w:cstheme="minorHAnsi"/>
          <w:color w:val="000000" w:themeColor="text1"/>
        </w:rPr>
        <w:t xml:space="preserve">urvivors and </w:t>
      </w:r>
      <w:r w:rsidR="00C85CA3">
        <w:rPr>
          <w:rFonts w:cstheme="minorHAnsi"/>
          <w:color w:val="000000" w:themeColor="text1"/>
        </w:rPr>
        <w:t>d</w:t>
      </w:r>
      <w:r w:rsidRPr="005F6151">
        <w:rPr>
          <w:rFonts w:cstheme="minorHAnsi"/>
          <w:color w:val="000000" w:themeColor="text1"/>
        </w:rPr>
        <w:t xml:space="preserve">omestic and </w:t>
      </w:r>
      <w:r w:rsidR="00C85CA3">
        <w:rPr>
          <w:rFonts w:cstheme="minorHAnsi"/>
          <w:color w:val="000000" w:themeColor="text1"/>
        </w:rPr>
        <w:t>f</w:t>
      </w:r>
      <w:r w:rsidRPr="005F6151">
        <w:rPr>
          <w:rFonts w:cstheme="minorHAnsi"/>
          <w:color w:val="000000" w:themeColor="text1"/>
        </w:rPr>
        <w:t xml:space="preserve">amily </w:t>
      </w:r>
      <w:r w:rsidR="00C85CA3">
        <w:rPr>
          <w:rFonts w:cstheme="minorHAnsi"/>
          <w:color w:val="000000" w:themeColor="text1"/>
        </w:rPr>
        <w:t>v</w:t>
      </w:r>
      <w:r w:rsidRPr="005F6151">
        <w:rPr>
          <w:rFonts w:cstheme="minorHAnsi"/>
          <w:color w:val="000000" w:themeColor="text1"/>
        </w:rPr>
        <w:t xml:space="preserve">iolence </w:t>
      </w:r>
      <w:r w:rsidR="00C85CA3">
        <w:rPr>
          <w:rFonts w:cstheme="minorHAnsi"/>
          <w:color w:val="000000" w:themeColor="text1"/>
        </w:rPr>
        <w:t>p</w:t>
      </w:r>
      <w:r w:rsidRPr="005F6151">
        <w:rPr>
          <w:rFonts w:cstheme="minorHAnsi"/>
          <w:color w:val="000000" w:themeColor="text1"/>
        </w:rPr>
        <w:t xml:space="preserve">olicy </w:t>
      </w:r>
      <w:r w:rsidR="00C85CA3">
        <w:rPr>
          <w:rFonts w:cstheme="minorHAnsi"/>
          <w:color w:val="000000" w:themeColor="text1"/>
        </w:rPr>
        <w:t>c</w:t>
      </w:r>
      <w:r w:rsidRPr="005F6151">
        <w:rPr>
          <w:rFonts w:cstheme="minorHAnsi"/>
          <w:color w:val="000000" w:themeColor="text1"/>
        </w:rPr>
        <w:t xml:space="preserve">hange. </w:t>
      </w:r>
      <w:r w:rsidRPr="002B3A15">
        <w:rPr>
          <w:rFonts w:cstheme="minorHAnsi"/>
          <w:i/>
          <w:iCs/>
          <w:color w:val="000000" w:themeColor="text1"/>
        </w:rPr>
        <w:t>Violence Against Women</w:t>
      </w:r>
      <w:r w:rsidR="00C85CA3">
        <w:rPr>
          <w:rFonts w:cstheme="minorHAnsi"/>
          <w:color w:val="000000" w:themeColor="text1"/>
        </w:rPr>
        <w:t>,</w:t>
      </w:r>
      <w:r w:rsidRPr="005F6151">
        <w:rPr>
          <w:rFonts w:cstheme="minorHAnsi"/>
          <w:color w:val="000000" w:themeColor="text1"/>
        </w:rPr>
        <w:t xml:space="preserve"> 28(6-7)</w:t>
      </w:r>
      <w:r w:rsidR="002B3A15">
        <w:rPr>
          <w:rFonts w:cstheme="minorHAnsi"/>
          <w:color w:val="000000" w:themeColor="text1"/>
        </w:rPr>
        <w:t>,</w:t>
      </w:r>
      <w:r w:rsidRPr="005F6151">
        <w:rPr>
          <w:rFonts w:cstheme="minorHAnsi"/>
          <w:color w:val="000000" w:themeColor="text1"/>
        </w:rPr>
        <w:t xml:space="preserve"> 1684-1707.</w:t>
      </w:r>
    </w:p>
    <w:p w14:paraId="7D5D33B8" w14:textId="0C8294B0" w:rsidR="001F00D7" w:rsidRPr="005F6151" w:rsidRDefault="001F00D7" w:rsidP="005F6151">
      <w:pPr>
        <w:autoSpaceDE w:val="0"/>
        <w:autoSpaceDN w:val="0"/>
        <w:adjustRightInd w:val="0"/>
        <w:spacing w:line="360" w:lineRule="auto"/>
        <w:ind w:left="720" w:hanging="720"/>
        <w:contextualSpacing/>
        <w:jc w:val="both"/>
        <w:rPr>
          <w:rFonts w:cstheme="minorHAnsi"/>
        </w:rPr>
      </w:pPr>
      <w:r w:rsidRPr="005F6151">
        <w:rPr>
          <w:rFonts w:cstheme="minorHAnsi"/>
          <w:iCs/>
        </w:rPr>
        <w:t>Wood, J.K. (2005)</w:t>
      </w:r>
      <w:r w:rsidR="002B3A15">
        <w:rPr>
          <w:rFonts w:cstheme="minorHAnsi"/>
          <w:iCs/>
        </w:rPr>
        <w:t>.</w:t>
      </w:r>
      <w:r w:rsidRPr="005F6151">
        <w:rPr>
          <w:rFonts w:cstheme="minorHAnsi"/>
          <w:iCs/>
        </w:rPr>
        <w:t xml:space="preserve"> Whose </w:t>
      </w:r>
      <w:r w:rsidR="00C85CA3">
        <w:rPr>
          <w:rFonts w:cstheme="minorHAnsi"/>
          <w:iCs/>
        </w:rPr>
        <w:t>n</w:t>
      </w:r>
      <w:r w:rsidRPr="005F6151">
        <w:rPr>
          <w:rFonts w:cstheme="minorHAnsi"/>
          <w:iCs/>
        </w:rPr>
        <w:t xml:space="preserve">ame? Crime </w:t>
      </w:r>
      <w:r w:rsidR="00C85CA3">
        <w:rPr>
          <w:rFonts w:cstheme="minorHAnsi"/>
          <w:iCs/>
        </w:rPr>
        <w:t>v</w:t>
      </w:r>
      <w:r w:rsidRPr="005F6151">
        <w:rPr>
          <w:rFonts w:cstheme="minorHAnsi"/>
          <w:iCs/>
        </w:rPr>
        <w:t xml:space="preserve">ictim </w:t>
      </w:r>
      <w:r w:rsidR="00C85CA3">
        <w:rPr>
          <w:rFonts w:cstheme="minorHAnsi"/>
          <w:iCs/>
        </w:rPr>
        <w:t>p</w:t>
      </w:r>
      <w:r w:rsidRPr="005F6151">
        <w:rPr>
          <w:rFonts w:cstheme="minorHAnsi"/>
          <w:iCs/>
        </w:rPr>
        <w:t xml:space="preserve">olicy and the </w:t>
      </w:r>
      <w:r w:rsidR="00C85CA3">
        <w:rPr>
          <w:rFonts w:cstheme="minorHAnsi"/>
          <w:iCs/>
        </w:rPr>
        <w:t>p</w:t>
      </w:r>
      <w:r w:rsidRPr="005F6151">
        <w:rPr>
          <w:rFonts w:cstheme="minorHAnsi"/>
          <w:iCs/>
        </w:rPr>
        <w:t xml:space="preserve">unishing </w:t>
      </w:r>
      <w:r w:rsidR="00C85CA3">
        <w:rPr>
          <w:rFonts w:cstheme="minorHAnsi"/>
          <w:iCs/>
        </w:rPr>
        <w:t>p</w:t>
      </w:r>
      <w:r w:rsidRPr="005F6151">
        <w:rPr>
          <w:rFonts w:cstheme="minorHAnsi"/>
          <w:iCs/>
        </w:rPr>
        <w:t xml:space="preserve">ower of </w:t>
      </w:r>
      <w:r w:rsidR="00C85CA3">
        <w:rPr>
          <w:rFonts w:cstheme="minorHAnsi"/>
          <w:iCs/>
        </w:rPr>
        <w:t>pr</w:t>
      </w:r>
      <w:r w:rsidRPr="005F6151">
        <w:rPr>
          <w:rFonts w:cstheme="minorHAnsi"/>
          <w:iCs/>
        </w:rPr>
        <w:t xml:space="preserve">otection. </w:t>
      </w:r>
      <w:r w:rsidRPr="005F6151">
        <w:rPr>
          <w:rFonts w:cstheme="minorHAnsi"/>
          <w:i/>
          <w:iCs/>
        </w:rPr>
        <w:t xml:space="preserve">NWSA Journal, </w:t>
      </w:r>
      <w:r w:rsidRPr="005F6151">
        <w:rPr>
          <w:rFonts w:cstheme="minorHAnsi"/>
          <w:iCs/>
        </w:rPr>
        <w:t>17(3)</w:t>
      </w:r>
      <w:r w:rsidR="002B3A15">
        <w:rPr>
          <w:rFonts w:cstheme="minorHAnsi"/>
          <w:iCs/>
        </w:rPr>
        <w:t>,</w:t>
      </w:r>
      <w:r w:rsidRPr="005F6151">
        <w:rPr>
          <w:rFonts w:cstheme="minorHAnsi"/>
          <w:iCs/>
        </w:rPr>
        <w:t xml:space="preserve"> 1-17. </w:t>
      </w:r>
    </w:p>
    <w:p w14:paraId="0B0559E1" w14:textId="7A709CAB" w:rsidR="00693319" w:rsidRPr="005F6151" w:rsidRDefault="00693319" w:rsidP="005F6151">
      <w:pPr>
        <w:autoSpaceDE w:val="0"/>
        <w:autoSpaceDN w:val="0"/>
        <w:adjustRightInd w:val="0"/>
        <w:spacing w:line="360" w:lineRule="auto"/>
        <w:ind w:left="720" w:hanging="720"/>
        <w:contextualSpacing/>
        <w:jc w:val="both"/>
        <w:rPr>
          <w:rFonts w:cstheme="minorHAnsi"/>
        </w:rPr>
      </w:pPr>
      <w:r w:rsidRPr="005F6151">
        <w:rPr>
          <w:rFonts w:cstheme="minorHAnsi"/>
        </w:rPr>
        <w:t xml:space="preserve">Young, J.Y. (2011). Three strikes and you're in: Why the states need domestic violence databases. </w:t>
      </w:r>
      <w:r w:rsidRPr="002B3A15">
        <w:rPr>
          <w:rFonts w:cstheme="minorHAnsi"/>
          <w:i/>
          <w:iCs/>
        </w:rPr>
        <w:t>Texas Law Review</w:t>
      </w:r>
      <w:r w:rsidRPr="005F6151">
        <w:rPr>
          <w:rFonts w:cstheme="minorHAnsi"/>
        </w:rPr>
        <w:t>, 90, 771</w:t>
      </w:r>
      <w:r w:rsidR="00054CF4">
        <w:rPr>
          <w:rFonts w:cstheme="minorHAnsi"/>
        </w:rPr>
        <w:t>-795</w:t>
      </w:r>
      <w:r w:rsidRPr="005F6151">
        <w:rPr>
          <w:rFonts w:cstheme="minorHAnsi"/>
        </w:rPr>
        <w:t>.</w:t>
      </w:r>
    </w:p>
    <w:p w14:paraId="053CF8F5" w14:textId="3AA6F601" w:rsidR="001A3768" w:rsidRPr="005F6151" w:rsidRDefault="001A3768" w:rsidP="005F6151">
      <w:pPr>
        <w:autoSpaceDE w:val="0"/>
        <w:autoSpaceDN w:val="0"/>
        <w:adjustRightInd w:val="0"/>
        <w:spacing w:line="360" w:lineRule="auto"/>
        <w:ind w:left="720" w:hanging="720"/>
        <w:contextualSpacing/>
        <w:jc w:val="both"/>
        <w:rPr>
          <w:rFonts w:cstheme="minorHAnsi"/>
        </w:rPr>
      </w:pPr>
      <w:proofErr w:type="spellStart"/>
      <w:r w:rsidRPr="005F6151">
        <w:rPr>
          <w:rFonts w:cstheme="minorHAnsi"/>
        </w:rPr>
        <w:t>Z</w:t>
      </w:r>
      <w:r w:rsidR="00EF056D" w:rsidRPr="005F6151">
        <w:rPr>
          <w:rFonts w:cstheme="minorHAnsi"/>
        </w:rPr>
        <w:t>goba</w:t>
      </w:r>
      <w:proofErr w:type="spellEnd"/>
      <w:r w:rsidR="00EF056D" w:rsidRPr="005F6151">
        <w:rPr>
          <w:rFonts w:cstheme="minorHAnsi"/>
        </w:rPr>
        <w:t>, K</w:t>
      </w:r>
      <w:r w:rsidR="008B242D">
        <w:rPr>
          <w:rFonts w:cstheme="minorHAnsi"/>
        </w:rPr>
        <w:t>.</w:t>
      </w:r>
      <w:r w:rsidR="00EF056D" w:rsidRPr="005F6151">
        <w:rPr>
          <w:rFonts w:cstheme="minorHAnsi"/>
        </w:rPr>
        <w:t>M</w:t>
      </w:r>
      <w:r w:rsidR="008B242D">
        <w:rPr>
          <w:rFonts w:cstheme="minorHAnsi"/>
        </w:rPr>
        <w:t>.</w:t>
      </w:r>
      <w:r w:rsidR="00EF056D" w:rsidRPr="005F6151">
        <w:rPr>
          <w:rFonts w:cstheme="minorHAnsi"/>
        </w:rPr>
        <w:t>, Jennings, W</w:t>
      </w:r>
      <w:r w:rsidR="008B242D">
        <w:rPr>
          <w:rFonts w:cstheme="minorHAnsi"/>
        </w:rPr>
        <w:t>.</w:t>
      </w:r>
      <w:r w:rsidR="00EF056D" w:rsidRPr="005F6151">
        <w:rPr>
          <w:rFonts w:cstheme="minorHAnsi"/>
        </w:rPr>
        <w:t>G</w:t>
      </w:r>
      <w:r w:rsidR="008B242D">
        <w:rPr>
          <w:rFonts w:cstheme="minorHAnsi"/>
        </w:rPr>
        <w:t>.</w:t>
      </w:r>
      <w:r w:rsidR="00EF056D" w:rsidRPr="005F6151">
        <w:rPr>
          <w:rFonts w:cstheme="minorHAnsi"/>
        </w:rPr>
        <w:t xml:space="preserve"> &amp; </w:t>
      </w:r>
      <w:r w:rsidR="006333EC" w:rsidRPr="005F6151">
        <w:rPr>
          <w:rFonts w:cstheme="minorHAnsi"/>
        </w:rPr>
        <w:t>Salerno, L</w:t>
      </w:r>
      <w:r w:rsidR="008B242D">
        <w:rPr>
          <w:rFonts w:cstheme="minorHAnsi"/>
        </w:rPr>
        <w:t>.</w:t>
      </w:r>
      <w:r w:rsidR="006333EC" w:rsidRPr="005F6151">
        <w:rPr>
          <w:rFonts w:cstheme="minorHAnsi"/>
        </w:rPr>
        <w:t>M. (2018). Megan’s Law 20 years later</w:t>
      </w:r>
      <w:r w:rsidR="000D3595" w:rsidRPr="005F6151">
        <w:rPr>
          <w:rFonts w:cstheme="minorHAnsi"/>
        </w:rPr>
        <w:t xml:space="preserve">: An empirical analysis and policy review. </w:t>
      </w:r>
      <w:r w:rsidR="000D3595" w:rsidRPr="005F6151">
        <w:rPr>
          <w:rFonts w:cstheme="minorHAnsi"/>
          <w:i/>
          <w:iCs/>
        </w:rPr>
        <w:t xml:space="preserve">Criminal </w:t>
      </w:r>
      <w:r w:rsidR="008B242D">
        <w:rPr>
          <w:rFonts w:cstheme="minorHAnsi"/>
          <w:i/>
          <w:iCs/>
        </w:rPr>
        <w:t>J</w:t>
      </w:r>
      <w:r w:rsidR="000D3595" w:rsidRPr="005F6151">
        <w:rPr>
          <w:rFonts w:cstheme="minorHAnsi"/>
          <w:i/>
          <w:iCs/>
        </w:rPr>
        <w:t xml:space="preserve">ustice and </w:t>
      </w:r>
      <w:r w:rsidR="008B242D">
        <w:rPr>
          <w:rFonts w:cstheme="minorHAnsi"/>
          <w:i/>
          <w:iCs/>
        </w:rPr>
        <w:t>B</w:t>
      </w:r>
      <w:r w:rsidR="000D3595" w:rsidRPr="005F6151">
        <w:rPr>
          <w:rFonts w:cstheme="minorHAnsi"/>
          <w:i/>
          <w:iCs/>
        </w:rPr>
        <w:t>ehaviour</w:t>
      </w:r>
      <w:r w:rsidR="004F637F" w:rsidRPr="005F6151">
        <w:rPr>
          <w:rFonts w:cstheme="minorHAnsi"/>
          <w:i/>
          <w:iCs/>
        </w:rPr>
        <w:t>,</w:t>
      </w:r>
      <w:r w:rsidR="004F637F" w:rsidRPr="005F6151">
        <w:rPr>
          <w:rFonts w:cstheme="minorHAnsi"/>
        </w:rPr>
        <w:t xml:space="preserve"> 45(7)</w:t>
      </w:r>
      <w:r w:rsidR="00657E95">
        <w:rPr>
          <w:rFonts w:cstheme="minorHAnsi"/>
        </w:rPr>
        <w:t xml:space="preserve">, </w:t>
      </w:r>
      <w:r w:rsidR="004F637F" w:rsidRPr="005F6151">
        <w:rPr>
          <w:rFonts w:cstheme="minorHAnsi"/>
        </w:rPr>
        <w:t>1028-1046.</w:t>
      </w:r>
    </w:p>
    <w:sectPr w:rsidR="001A3768" w:rsidRPr="005F6151" w:rsidSect="008B40C5">
      <w:headerReference w:type="even" r:id="rId21"/>
      <w:headerReference w:type="default" r:id="rId22"/>
      <w:footerReference w:type="even" r:id="rId23"/>
      <w:footerReference w:type="default" r:id="rId24"/>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85581" w14:textId="77777777" w:rsidR="008B40C5" w:rsidRDefault="008B40C5" w:rsidP="00B54E41">
      <w:r>
        <w:separator/>
      </w:r>
    </w:p>
  </w:endnote>
  <w:endnote w:type="continuationSeparator" w:id="0">
    <w:p w14:paraId="367BD03A" w14:textId="77777777" w:rsidR="008B40C5" w:rsidRDefault="008B40C5" w:rsidP="00B5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3516268"/>
      <w:docPartObj>
        <w:docPartGallery w:val="Page Numbers (Bottom of Page)"/>
        <w:docPartUnique/>
      </w:docPartObj>
    </w:sdtPr>
    <w:sdtEndPr>
      <w:rPr>
        <w:noProof/>
        <w:sz w:val="22"/>
        <w:szCs w:val="22"/>
      </w:rPr>
    </w:sdtEndPr>
    <w:sdtContent>
      <w:p w14:paraId="7460B5B7" w14:textId="5F06D276" w:rsidR="003A1BEE" w:rsidRDefault="003A1BEE">
        <w:pPr>
          <w:pStyle w:val="Footer"/>
          <w:jc w:val="center"/>
        </w:pPr>
        <w:r>
          <w:t>________________________________________________________________________________</w:t>
        </w:r>
      </w:p>
      <w:p w14:paraId="29FB0274" w14:textId="77777777" w:rsidR="003A1BEE" w:rsidRDefault="003A1BEE">
        <w:pPr>
          <w:pStyle w:val="Footer"/>
          <w:jc w:val="center"/>
        </w:pPr>
      </w:p>
      <w:p w14:paraId="21C3818D" w14:textId="64282D5A" w:rsidR="003A1BEE" w:rsidRPr="003A1BEE" w:rsidRDefault="003A1BEE">
        <w:pPr>
          <w:pStyle w:val="Footer"/>
          <w:jc w:val="center"/>
          <w:rPr>
            <w:sz w:val="22"/>
            <w:szCs w:val="22"/>
          </w:rPr>
        </w:pPr>
        <w:r w:rsidRPr="003A1BEE">
          <w:rPr>
            <w:sz w:val="22"/>
            <w:szCs w:val="22"/>
          </w:rPr>
          <w:fldChar w:fldCharType="begin"/>
        </w:r>
        <w:r w:rsidRPr="003A1BEE">
          <w:rPr>
            <w:sz w:val="22"/>
            <w:szCs w:val="22"/>
          </w:rPr>
          <w:instrText xml:space="preserve"> PAGE   \* MERGEFORMAT </w:instrText>
        </w:r>
        <w:r w:rsidRPr="003A1BEE">
          <w:rPr>
            <w:sz w:val="22"/>
            <w:szCs w:val="22"/>
          </w:rPr>
          <w:fldChar w:fldCharType="separate"/>
        </w:r>
        <w:r w:rsidRPr="003A1BEE">
          <w:rPr>
            <w:noProof/>
            <w:sz w:val="22"/>
            <w:szCs w:val="22"/>
          </w:rPr>
          <w:t>2</w:t>
        </w:r>
        <w:r w:rsidRPr="003A1BEE">
          <w:rPr>
            <w:noProof/>
            <w:sz w:val="22"/>
            <w:szCs w:val="22"/>
          </w:rPr>
          <w:fldChar w:fldCharType="end"/>
        </w:r>
      </w:p>
    </w:sdtContent>
  </w:sdt>
  <w:p w14:paraId="42CBF9DA" w14:textId="77777777" w:rsidR="00C65BEF" w:rsidRDefault="00C65BEF" w:rsidP="00B54E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931803"/>
      <w:docPartObj>
        <w:docPartGallery w:val="Page Numbers (Bottom of Page)"/>
        <w:docPartUnique/>
      </w:docPartObj>
    </w:sdtPr>
    <w:sdtEndPr>
      <w:rPr>
        <w:noProof/>
      </w:rPr>
    </w:sdtEndPr>
    <w:sdtContent>
      <w:p w14:paraId="7C973905" w14:textId="479BB710" w:rsidR="002E51C2" w:rsidRDefault="002E51C2">
        <w:pPr>
          <w:pStyle w:val="Footer"/>
          <w:jc w:val="center"/>
        </w:pPr>
        <w:r>
          <w:t>________________________________________________________________________________</w:t>
        </w:r>
      </w:p>
      <w:p w14:paraId="364F0172" w14:textId="77777777" w:rsidR="002E51C2" w:rsidRDefault="002E51C2">
        <w:pPr>
          <w:pStyle w:val="Footer"/>
          <w:jc w:val="center"/>
        </w:pPr>
      </w:p>
      <w:p w14:paraId="62FC535F" w14:textId="5FA5F43A" w:rsidR="002E51C2" w:rsidRDefault="002E51C2">
        <w:pPr>
          <w:pStyle w:val="Footer"/>
          <w:jc w:val="center"/>
        </w:pPr>
        <w:r w:rsidRPr="002E51C2">
          <w:rPr>
            <w:sz w:val="22"/>
            <w:szCs w:val="22"/>
          </w:rPr>
          <w:fldChar w:fldCharType="begin"/>
        </w:r>
        <w:r w:rsidRPr="002E51C2">
          <w:rPr>
            <w:sz w:val="22"/>
            <w:szCs w:val="22"/>
          </w:rPr>
          <w:instrText xml:space="preserve"> PAGE   \* MERGEFORMAT </w:instrText>
        </w:r>
        <w:r w:rsidRPr="002E51C2">
          <w:rPr>
            <w:sz w:val="22"/>
            <w:szCs w:val="22"/>
          </w:rPr>
          <w:fldChar w:fldCharType="separate"/>
        </w:r>
        <w:r w:rsidRPr="002E51C2">
          <w:rPr>
            <w:noProof/>
            <w:sz w:val="22"/>
            <w:szCs w:val="22"/>
          </w:rPr>
          <w:t>2</w:t>
        </w:r>
        <w:r w:rsidRPr="002E51C2">
          <w:rPr>
            <w:noProof/>
            <w:sz w:val="22"/>
            <w:szCs w:val="22"/>
          </w:rPr>
          <w:fldChar w:fldCharType="end"/>
        </w:r>
      </w:p>
    </w:sdtContent>
  </w:sdt>
  <w:p w14:paraId="1A24E2A3" w14:textId="77777777" w:rsidR="00C65BEF" w:rsidRDefault="00C65BEF" w:rsidP="00B54E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A5FBC" w14:textId="77777777" w:rsidR="008B40C5" w:rsidRDefault="008B40C5" w:rsidP="00B54E41">
      <w:r>
        <w:separator/>
      </w:r>
    </w:p>
  </w:footnote>
  <w:footnote w:type="continuationSeparator" w:id="0">
    <w:p w14:paraId="6BFB071A" w14:textId="77777777" w:rsidR="008B40C5" w:rsidRDefault="008B40C5" w:rsidP="00B54E41">
      <w:r>
        <w:continuationSeparator/>
      </w:r>
    </w:p>
  </w:footnote>
  <w:footnote w:id="1">
    <w:p w14:paraId="5FC557E5" w14:textId="72FDCD53" w:rsidR="00D918F5" w:rsidRPr="00D918F5" w:rsidRDefault="00D918F5">
      <w:pPr>
        <w:pStyle w:val="FootnoteText"/>
        <w:rPr>
          <w:lang w:val="en-GB"/>
        </w:rPr>
      </w:pPr>
      <w:r>
        <w:rPr>
          <w:rStyle w:val="FootnoteReference"/>
        </w:rPr>
        <w:t>*</w:t>
      </w:r>
      <w:r>
        <w:t xml:space="preserve"> </w:t>
      </w:r>
      <w:r>
        <w:rPr>
          <w:lang w:val="en-GB"/>
        </w:rPr>
        <w:t xml:space="preserve">Professor, </w:t>
      </w:r>
      <w:r w:rsidR="00030D5E">
        <w:rPr>
          <w:lang w:val="en-GB"/>
        </w:rPr>
        <w:t xml:space="preserve">Faculty of Business and Economics, </w:t>
      </w:r>
      <w:r>
        <w:rPr>
          <w:lang w:val="en-GB"/>
        </w:rPr>
        <w:t>Monash University</w:t>
      </w:r>
      <w:r w:rsidR="00030D5E">
        <w:rPr>
          <w:lang w:val="en-GB"/>
        </w:rPr>
        <w:t>, Australia</w:t>
      </w:r>
      <w:r>
        <w:rPr>
          <w:lang w:val="en-GB"/>
        </w:rPr>
        <w:t xml:space="preserve">. Email: </w:t>
      </w:r>
      <w:hyperlink r:id="rId1" w:history="1">
        <w:r w:rsidR="00454D02" w:rsidRPr="00186389">
          <w:rPr>
            <w:rStyle w:val="Hyperlink"/>
            <w:lang w:val="en-GB"/>
          </w:rPr>
          <w:t>Kate.FitzGibbon@monash.edu</w:t>
        </w:r>
      </w:hyperlink>
      <w:r w:rsidR="00454D02">
        <w:rPr>
          <w:lang w:val="en-GB"/>
        </w:rPr>
        <w:t xml:space="preserve">. </w:t>
      </w:r>
    </w:p>
  </w:footnote>
  <w:footnote w:id="2">
    <w:p w14:paraId="6602708F" w14:textId="4C86D1AE" w:rsidR="00A57D66" w:rsidRPr="00A57D66" w:rsidRDefault="00A57D66">
      <w:pPr>
        <w:pStyle w:val="FootnoteText"/>
        <w:rPr>
          <w:lang w:val="en-GB"/>
        </w:rPr>
      </w:pPr>
      <w:r>
        <w:rPr>
          <w:rStyle w:val="FootnoteReference"/>
        </w:rPr>
        <w:t>**</w:t>
      </w:r>
      <w:r>
        <w:t xml:space="preserve"> </w:t>
      </w:r>
      <w:r>
        <w:rPr>
          <w:lang w:val="en-GB"/>
        </w:rPr>
        <w:t xml:space="preserve">Professor, </w:t>
      </w:r>
      <w:r w:rsidR="001A59C7">
        <w:rPr>
          <w:lang w:val="en-GB"/>
        </w:rPr>
        <w:t xml:space="preserve">Department of Sociology, Social Policy and Criminology, University of Liverpool, UK. Email: </w:t>
      </w:r>
      <w:hyperlink r:id="rId2" w:history="1">
        <w:r w:rsidR="00F23C4D" w:rsidRPr="00186389">
          <w:rPr>
            <w:rStyle w:val="Hyperlink"/>
            <w:lang w:val="en-GB"/>
          </w:rPr>
          <w:t>s.l.walklate@liverpool.ac.uk</w:t>
        </w:r>
      </w:hyperlink>
      <w:r w:rsidR="00F23C4D">
        <w:rPr>
          <w:lang w:val="en-GB"/>
        </w:rPr>
        <w:t xml:space="preserve">. </w:t>
      </w:r>
    </w:p>
  </w:footnote>
  <w:footnote w:id="3">
    <w:p w14:paraId="0978D0A9" w14:textId="2EEE7E53" w:rsidR="00F23C4D" w:rsidRPr="00F23C4D" w:rsidRDefault="00F23C4D">
      <w:pPr>
        <w:pStyle w:val="FootnoteText"/>
        <w:rPr>
          <w:lang w:val="en-GB"/>
        </w:rPr>
      </w:pPr>
      <w:r>
        <w:rPr>
          <w:rStyle w:val="FootnoteReference"/>
        </w:rPr>
        <w:t>***</w:t>
      </w:r>
      <w:r>
        <w:t xml:space="preserve"> </w:t>
      </w:r>
      <w:r w:rsidR="00567DB6">
        <w:rPr>
          <w:lang w:val="en-GB"/>
        </w:rPr>
        <w:t xml:space="preserve">Lecturer, </w:t>
      </w:r>
      <w:r w:rsidR="003213FA">
        <w:rPr>
          <w:lang w:val="en-GB"/>
        </w:rPr>
        <w:t xml:space="preserve">Department of Sociology, Social Policy and Criminology, University of Liverpool, UK. Email: </w:t>
      </w:r>
      <w:hyperlink r:id="rId3" w:history="1">
        <w:r w:rsidR="003213FA" w:rsidRPr="00186389">
          <w:rPr>
            <w:rStyle w:val="Hyperlink"/>
            <w:lang w:val="en-GB"/>
          </w:rPr>
          <w:t>Ellen.Reeves@liverpool.ac.uk</w:t>
        </w:r>
      </w:hyperlink>
      <w:r w:rsidR="003213FA">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734F0" w14:textId="77777777" w:rsidR="003A1BEE" w:rsidRDefault="00E474E5" w:rsidP="003A1BEE">
    <w:pPr>
      <w:pStyle w:val="Header"/>
      <w:tabs>
        <w:tab w:val="clear" w:pos="9026"/>
        <w:tab w:val="right" w:pos="9498"/>
      </w:tabs>
      <w:rPr>
        <w:sz w:val="22"/>
        <w:szCs w:val="22"/>
      </w:rPr>
    </w:pPr>
    <w:r>
      <w:rPr>
        <w:sz w:val="22"/>
        <w:szCs w:val="22"/>
      </w:rPr>
      <w:t>Fitz-Gibbon, Walklate and Reeves</w:t>
    </w:r>
    <w:r>
      <w:rPr>
        <w:sz w:val="22"/>
        <w:szCs w:val="22"/>
      </w:rPr>
      <w:tab/>
    </w:r>
    <w:r>
      <w:rPr>
        <w:sz w:val="22"/>
        <w:szCs w:val="22"/>
      </w:rPr>
      <w:tab/>
    </w:r>
    <w:r w:rsidR="003A1BEE">
      <w:rPr>
        <w:sz w:val="22"/>
        <w:szCs w:val="22"/>
      </w:rPr>
      <w:t>Divergent Approaches to the Policy Making Process</w:t>
    </w:r>
  </w:p>
  <w:p w14:paraId="2514F1CC" w14:textId="5AE2BAEF" w:rsidR="002E51C2" w:rsidRPr="00E474E5" w:rsidRDefault="003A1BEE" w:rsidP="003A1BEE">
    <w:pPr>
      <w:pStyle w:val="Header"/>
      <w:tabs>
        <w:tab w:val="clear" w:pos="9026"/>
        <w:tab w:val="right" w:pos="9498"/>
      </w:tabs>
      <w:rPr>
        <w:sz w:val="22"/>
        <w:szCs w:val="22"/>
      </w:rPr>
    </w:pPr>
    <w:r>
      <w:rPr>
        <w:sz w:val="22"/>
        <w:szCs w:val="22"/>
      </w:rPr>
      <w:t>_______________________________________________________________________________________</w:t>
    </w:r>
    <w:r w:rsidR="00A8259D">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47A3B" w14:textId="3E8C4D09" w:rsidR="002E51C2" w:rsidRDefault="002E51C2" w:rsidP="003A1BEE">
    <w:pPr>
      <w:pStyle w:val="Header"/>
      <w:tabs>
        <w:tab w:val="clear" w:pos="9026"/>
        <w:tab w:val="right" w:pos="9498"/>
      </w:tabs>
      <w:rPr>
        <w:sz w:val="22"/>
        <w:szCs w:val="22"/>
      </w:rPr>
    </w:pPr>
    <w:proofErr w:type="spellStart"/>
    <w:r>
      <w:rPr>
        <w:i/>
        <w:iCs/>
        <w:sz w:val="22"/>
        <w:szCs w:val="22"/>
      </w:rPr>
      <w:t>feminists@law</w:t>
    </w:r>
    <w:proofErr w:type="spellEnd"/>
    <w:r>
      <w:rPr>
        <w:sz w:val="22"/>
        <w:szCs w:val="22"/>
      </w:rPr>
      <w:tab/>
    </w:r>
    <w:r>
      <w:rPr>
        <w:sz w:val="22"/>
        <w:szCs w:val="22"/>
      </w:rPr>
      <w:tab/>
      <w:t>Vol 13, No 1 (2024)</w:t>
    </w:r>
  </w:p>
  <w:p w14:paraId="2C715B01" w14:textId="1EB448B1" w:rsidR="002E51C2" w:rsidRPr="002E51C2" w:rsidRDefault="002E51C2">
    <w:pPr>
      <w:pStyle w:val="Header"/>
      <w:rPr>
        <w:sz w:val="22"/>
        <w:szCs w:val="22"/>
      </w:rPr>
    </w:pPr>
    <w:r>
      <w:rPr>
        <w:sz w:val="22"/>
        <w:szCs w:val="22"/>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EE6675"/>
    <w:multiLevelType w:val="multilevel"/>
    <w:tmpl w:val="D1AA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37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81"/>
    <w:rsid w:val="000003BD"/>
    <w:rsid w:val="000045AA"/>
    <w:rsid w:val="00005194"/>
    <w:rsid w:val="0000555D"/>
    <w:rsid w:val="00005B19"/>
    <w:rsid w:val="00006EA8"/>
    <w:rsid w:val="00007357"/>
    <w:rsid w:val="0001295E"/>
    <w:rsid w:val="000131D1"/>
    <w:rsid w:val="00015A69"/>
    <w:rsid w:val="000228D4"/>
    <w:rsid w:val="00022EA0"/>
    <w:rsid w:val="0002329E"/>
    <w:rsid w:val="00023376"/>
    <w:rsid w:val="00024348"/>
    <w:rsid w:val="000248CE"/>
    <w:rsid w:val="00026900"/>
    <w:rsid w:val="00030D5E"/>
    <w:rsid w:val="000315BC"/>
    <w:rsid w:val="00033FF9"/>
    <w:rsid w:val="00035A63"/>
    <w:rsid w:val="00042AA6"/>
    <w:rsid w:val="000501AE"/>
    <w:rsid w:val="00050B71"/>
    <w:rsid w:val="00054CF4"/>
    <w:rsid w:val="00054F3F"/>
    <w:rsid w:val="000603D5"/>
    <w:rsid w:val="00060863"/>
    <w:rsid w:val="000623C1"/>
    <w:rsid w:val="000640ED"/>
    <w:rsid w:val="00064C34"/>
    <w:rsid w:val="00064E2F"/>
    <w:rsid w:val="00066199"/>
    <w:rsid w:val="00067AFF"/>
    <w:rsid w:val="00070B03"/>
    <w:rsid w:val="00071082"/>
    <w:rsid w:val="00071500"/>
    <w:rsid w:val="00075313"/>
    <w:rsid w:val="00075CFF"/>
    <w:rsid w:val="00076297"/>
    <w:rsid w:val="00077CF6"/>
    <w:rsid w:val="0008137B"/>
    <w:rsid w:val="000827EF"/>
    <w:rsid w:val="00083D31"/>
    <w:rsid w:val="000864DF"/>
    <w:rsid w:val="00087204"/>
    <w:rsid w:val="000906EF"/>
    <w:rsid w:val="0009120A"/>
    <w:rsid w:val="00092810"/>
    <w:rsid w:val="000935FC"/>
    <w:rsid w:val="00093A2D"/>
    <w:rsid w:val="00094028"/>
    <w:rsid w:val="00094FEA"/>
    <w:rsid w:val="000966F4"/>
    <w:rsid w:val="00097858"/>
    <w:rsid w:val="000A456A"/>
    <w:rsid w:val="000A45AC"/>
    <w:rsid w:val="000A773F"/>
    <w:rsid w:val="000B1F5D"/>
    <w:rsid w:val="000B293F"/>
    <w:rsid w:val="000B36C8"/>
    <w:rsid w:val="000B3E4C"/>
    <w:rsid w:val="000B44AD"/>
    <w:rsid w:val="000B52F2"/>
    <w:rsid w:val="000B721C"/>
    <w:rsid w:val="000C143F"/>
    <w:rsid w:val="000C4F1C"/>
    <w:rsid w:val="000C5209"/>
    <w:rsid w:val="000C520B"/>
    <w:rsid w:val="000C726E"/>
    <w:rsid w:val="000C7AFA"/>
    <w:rsid w:val="000D1298"/>
    <w:rsid w:val="000D3595"/>
    <w:rsid w:val="000D79A3"/>
    <w:rsid w:val="000E3065"/>
    <w:rsid w:val="000E4317"/>
    <w:rsid w:val="000E4D49"/>
    <w:rsid w:val="000E7BB4"/>
    <w:rsid w:val="000F2E84"/>
    <w:rsid w:val="000F4A62"/>
    <w:rsid w:val="000F4F7B"/>
    <w:rsid w:val="000F683D"/>
    <w:rsid w:val="001028A7"/>
    <w:rsid w:val="00103296"/>
    <w:rsid w:val="0010390A"/>
    <w:rsid w:val="0010642F"/>
    <w:rsid w:val="001076F2"/>
    <w:rsid w:val="001115D7"/>
    <w:rsid w:val="00112D24"/>
    <w:rsid w:val="00113900"/>
    <w:rsid w:val="00117268"/>
    <w:rsid w:val="00121B59"/>
    <w:rsid w:val="001233BD"/>
    <w:rsid w:val="001235BA"/>
    <w:rsid w:val="00123EA8"/>
    <w:rsid w:val="00126008"/>
    <w:rsid w:val="001269ED"/>
    <w:rsid w:val="001279A1"/>
    <w:rsid w:val="0013313B"/>
    <w:rsid w:val="0013337B"/>
    <w:rsid w:val="001374F7"/>
    <w:rsid w:val="00137609"/>
    <w:rsid w:val="00137B3C"/>
    <w:rsid w:val="00140A62"/>
    <w:rsid w:val="00147587"/>
    <w:rsid w:val="00147BCE"/>
    <w:rsid w:val="001503D0"/>
    <w:rsid w:val="0015133C"/>
    <w:rsid w:val="0015209A"/>
    <w:rsid w:val="00152799"/>
    <w:rsid w:val="00153CBC"/>
    <w:rsid w:val="001559FC"/>
    <w:rsid w:val="00155DB8"/>
    <w:rsid w:val="001609E4"/>
    <w:rsid w:val="0016120E"/>
    <w:rsid w:val="00162563"/>
    <w:rsid w:val="0016279D"/>
    <w:rsid w:val="00163B97"/>
    <w:rsid w:val="001648E1"/>
    <w:rsid w:val="00173073"/>
    <w:rsid w:val="00184EBE"/>
    <w:rsid w:val="00186928"/>
    <w:rsid w:val="001869F9"/>
    <w:rsid w:val="001922CB"/>
    <w:rsid w:val="00192452"/>
    <w:rsid w:val="00193556"/>
    <w:rsid w:val="00196023"/>
    <w:rsid w:val="00196FAC"/>
    <w:rsid w:val="001A0E41"/>
    <w:rsid w:val="001A2A19"/>
    <w:rsid w:val="001A3768"/>
    <w:rsid w:val="001A5603"/>
    <w:rsid w:val="001A59C7"/>
    <w:rsid w:val="001A6B1E"/>
    <w:rsid w:val="001A6B43"/>
    <w:rsid w:val="001A71C5"/>
    <w:rsid w:val="001B11FA"/>
    <w:rsid w:val="001B1B45"/>
    <w:rsid w:val="001B2A9A"/>
    <w:rsid w:val="001B4814"/>
    <w:rsid w:val="001C0389"/>
    <w:rsid w:val="001C0B00"/>
    <w:rsid w:val="001C1286"/>
    <w:rsid w:val="001C1980"/>
    <w:rsid w:val="001C37E9"/>
    <w:rsid w:val="001C499B"/>
    <w:rsid w:val="001C7398"/>
    <w:rsid w:val="001C7961"/>
    <w:rsid w:val="001D0F35"/>
    <w:rsid w:val="001D22B1"/>
    <w:rsid w:val="001D25BE"/>
    <w:rsid w:val="001D56D6"/>
    <w:rsid w:val="001E0221"/>
    <w:rsid w:val="001E1918"/>
    <w:rsid w:val="001E55D9"/>
    <w:rsid w:val="001E5C16"/>
    <w:rsid w:val="001E6E8A"/>
    <w:rsid w:val="001E72F0"/>
    <w:rsid w:val="001F00D7"/>
    <w:rsid w:val="001F1D33"/>
    <w:rsid w:val="001F7804"/>
    <w:rsid w:val="00200888"/>
    <w:rsid w:val="002011C3"/>
    <w:rsid w:val="00201718"/>
    <w:rsid w:val="00203B8E"/>
    <w:rsid w:val="00203C0D"/>
    <w:rsid w:val="00210281"/>
    <w:rsid w:val="00210457"/>
    <w:rsid w:val="00211A88"/>
    <w:rsid w:val="00211E85"/>
    <w:rsid w:val="00212003"/>
    <w:rsid w:val="00212C41"/>
    <w:rsid w:val="00216EB7"/>
    <w:rsid w:val="00220104"/>
    <w:rsid w:val="002238FD"/>
    <w:rsid w:val="00224893"/>
    <w:rsid w:val="0022591F"/>
    <w:rsid w:val="0023145C"/>
    <w:rsid w:val="0023198D"/>
    <w:rsid w:val="0023759E"/>
    <w:rsid w:val="002376D4"/>
    <w:rsid w:val="00237A41"/>
    <w:rsid w:val="00237AFE"/>
    <w:rsid w:val="002405BB"/>
    <w:rsid w:val="00241900"/>
    <w:rsid w:val="00241D63"/>
    <w:rsid w:val="00245586"/>
    <w:rsid w:val="00247535"/>
    <w:rsid w:val="00250B95"/>
    <w:rsid w:val="0025178E"/>
    <w:rsid w:val="002524DF"/>
    <w:rsid w:val="002531E1"/>
    <w:rsid w:val="00253601"/>
    <w:rsid w:val="00254493"/>
    <w:rsid w:val="002567D4"/>
    <w:rsid w:val="00260FD4"/>
    <w:rsid w:val="0026378A"/>
    <w:rsid w:val="002659A1"/>
    <w:rsid w:val="00266521"/>
    <w:rsid w:val="0026720E"/>
    <w:rsid w:val="00267CFF"/>
    <w:rsid w:val="002748A8"/>
    <w:rsid w:val="002764E6"/>
    <w:rsid w:val="00281BF9"/>
    <w:rsid w:val="002842E5"/>
    <w:rsid w:val="00287AF7"/>
    <w:rsid w:val="0029070A"/>
    <w:rsid w:val="002920B1"/>
    <w:rsid w:val="002925C7"/>
    <w:rsid w:val="00292721"/>
    <w:rsid w:val="00293739"/>
    <w:rsid w:val="00297813"/>
    <w:rsid w:val="002A477D"/>
    <w:rsid w:val="002A52DF"/>
    <w:rsid w:val="002A56E3"/>
    <w:rsid w:val="002A7C8F"/>
    <w:rsid w:val="002B0AF3"/>
    <w:rsid w:val="002B2AFB"/>
    <w:rsid w:val="002B3A15"/>
    <w:rsid w:val="002B3CD7"/>
    <w:rsid w:val="002B4220"/>
    <w:rsid w:val="002C559C"/>
    <w:rsid w:val="002C578C"/>
    <w:rsid w:val="002C59D4"/>
    <w:rsid w:val="002C65A7"/>
    <w:rsid w:val="002C6DD4"/>
    <w:rsid w:val="002D0C48"/>
    <w:rsid w:val="002D29C8"/>
    <w:rsid w:val="002D5612"/>
    <w:rsid w:val="002E18B3"/>
    <w:rsid w:val="002E199C"/>
    <w:rsid w:val="002E2738"/>
    <w:rsid w:val="002E51C2"/>
    <w:rsid w:val="002E5CD8"/>
    <w:rsid w:val="002E781E"/>
    <w:rsid w:val="002F1065"/>
    <w:rsid w:val="002F11CF"/>
    <w:rsid w:val="002F1431"/>
    <w:rsid w:val="002F28E0"/>
    <w:rsid w:val="002F2E2A"/>
    <w:rsid w:val="002F2F24"/>
    <w:rsid w:val="002F4CEF"/>
    <w:rsid w:val="002F6194"/>
    <w:rsid w:val="00300DF2"/>
    <w:rsid w:val="003041A0"/>
    <w:rsid w:val="003045E0"/>
    <w:rsid w:val="00304AB0"/>
    <w:rsid w:val="00304F28"/>
    <w:rsid w:val="00307522"/>
    <w:rsid w:val="00307CE2"/>
    <w:rsid w:val="003105F3"/>
    <w:rsid w:val="00310611"/>
    <w:rsid w:val="0031087D"/>
    <w:rsid w:val="0031295B"/>
    <w:rsid w:val="00312A6D"/>
    <w:rsid w:val="00313382"/>
    <w:rsid w:val="00313785"/>
    <w:rsid w:val="0031399B"/>
    <w:rsid w:val="00313CF6"/>
    <w:rsid w:val="0031452B"/>
    <w:rsid w:val="00314B9E"/>
    <w:rsid w:val="003213FA"/>
    <w:rsid w:val="00325BDD"/>
    <w:rsid w:val="00326426"/>
    <w:rsid w:val="003265B3"/>
    <w:rsid w:val="003274DF"/>
    <w:rsid w:val="003275FD"/>
    <w:rsid w:val="00330190"/>
    <w:rsid w:val="00330319"/>
    <w:rsid w:val="003342A2"/>
    <w:rsid w:val="00334FE9"/>
    <w:rsid w:val="00335332"/>
    <w:rsid w:val="003366E9"/>
    <w:rsid w:val="0033695B"/>
    <w:rsid w:val="00336F8C"/>
    <w:rsid w:val="00342F1C"/>
    <w:rsid w:val="003438F5"/>
    <w:rsid w:val="003441E1"/>
    <w:rsid w:val="00344E6E"/>
    <w:rsid w:val="003458CE"/>
    <w:rsid w:val="003466B3"/>
    <w:rsid w:val="00346C91"/>
    <w:rsid w:val="0035340D"/>
    <w:rsid w:val="00353572"/>
    <w:rsid w:val="00353D9C"/>
    <w:rsid w:val="00354A92"/>
    <w:rsid w:val="003564E4"/>
    <w:rsid w:val="00360ECB"/>
    <w:rsid w:val="003615FB"/>
    <w:rsid w:val="00361753"/>
    <w:rsid w:val="0036232F"/>
    <w:rsid w:val="00362ABB"/>
    <w:rsid w:val="003674E1"/>
    <w:rsid w:val="003729DB"/>
    <w:rsid w:val="0037334D"/>
    <w:rsid w:val="00377416"/>
    <w:rsid w:val="00381093"/>
    <w:rsid w:val="00381EEF"/>
    <w:rsid w:val="0038611D"/>
    <w:rsid w:val="003869F4"/>
    <w:rsid w:val="0038724E"/>
    <w:rsid w:val="0038766F"/>
    <w:rsid w:val="00390CA9"/>
    <w:rsid w:val="003A140F"/>
    <w:rsid w:val="003A1BEE"/>
    <w:rsid w:val="003A38C0"/>
    <w:rsid w:val="003A3B77"/>
    <w:rsid w:val="003A3CF7"/>
    <w:rsid w:val="003A41DF"/>
    <w:rsid w:val="003A785C"/>
    <w:rsid w:val="003B0E3E"/>
    <w:rsid w:val="003B1BEB"/>
    <w:rsid w:val="003B25AD"/>
    <w:rsid w:val="003B3C06"/>
    <w:rsid w:val="003B5899"/>
    <w:rsid w:val="003C26AE"/>
    <w:rsid w:val="003C63F1"/>
    <w:rsid w:val="003C7D6F"/>
    <w:rsid w:val="003D44AF"/>
    <w:rsid w:val="003D4958"/>
    <w:rsid w:val="003D55D9"/>
    <w:rsid w:val="003D6754"/>
    <w:rsid w:val="003D7A50"/>
    <w:rsid w:val="003E30D4"/>
    <w:rsid w:val="003E46B0"/>
    <w:rsid w:val="003E6F02"/>
    <w:rsid w:val="003E7064"/>
    <w:rsid w:val="003F0921"/>
    <w:rsid w:val="003F21DD"/>
    <w:rsid w:val="003F21F1"/>
    <w:rsid w:val="003F2B42"/>
    <w:rsid w:val="003F4211"/>
    <w:rsid w:val="003F4FFF"/>
    <w:rsid w:val="003F546E"/>
    <w:rsid w:val="004015DF"/>
    <w:rsid w:val="00401625"/>
    <w:rsid w:val="00404A40"/>
    <w:rsid w:val="0041408A"/>
    <w:rsid w:val="00414401"/>
    <w:rsid w:val="00414F9C"/>
    <w:rsid w:val="004152E8"/>
    <w:rsid w:val="00416B85"/>
    <w:rsid w:val="0041787A"/>
    <w:rsid w:val="00420D49"/>
    <w:rsid w:val="00421CEA"/>
    <w:rsid w:val="00422411"/>
    <w:rsid w:val="00422FA3"/>
    <w:rsid w:val="004265EF"/>
    <w:rsid w:val="00427CF8"/>
    <w:rsid w:val="0043010E"/>
    <w:rsid w:val="0043144F"/>
    <w:rsid w:val="00432E87"/>
    <w:rsid w:val="0044145B"/>
    <w:rsid w:val="0044291D"/>
    <w:rsid w:val="004430C9"/>
    <w:rsid w:val="00443327"/>
    <w:rsid w:val="00445B62"/>
    <w:rsid w:val="00446470"/>
    <w:rsid w:val="0045169F"/>
    <w:rsid w:val="0045246B"/>
    <w:rsid w:val="00452C32"/>
    <w:rsid w:val="00454D02"/>
    <w:rsid w:val="004552DA"/>
    <w:rsid w:val="00461107"/>
    <w:rsid w:val="00461202"/>
    <w:rsid w:val="00464D17"/>
    <w:rsid w:val="00467C45"/>
    <w:rsid w:val="004703FC"/>
    <w:rsid w:val="00471562"/>
    <w:rsid w:val="00471C9A"/>
    <w:rsid w:val="004723CA"/>
    <w:rsid w:val="00477958"/>
    <w:rsid w:val="00477AC5"/>
    <w:rsid w:val="00481CDC"/>
    <w:rsid w:val="004855FF"/>
    <w:rsid w:val="00485614"/>
    <w:rsid w:val="004866A4"/>
    <w:rsid w:val="00487ECA"/>
    <w:rsid w:val="0049181F"/>
    <w:rsid w:val="004939BB"/>
    <w:rsid w:val="0049565A"/>
    <w:rsid w:val="004A5FF3"/>
    <w:rsid w:val="004B155D"/>
    <w:rsid w:val="004B26C9"/>
    <w:rsid w:val="004B37DF"/>
    <w:rsid w:val="004B701A"/>
    <w:rsid w:val="004C25F3"/>
    <w:rsid w:val="004C4DDE"/>
    <w:rsid w:val="004D1444"/>
    <w:rsid w:val="004D43E1"/>
    <w:rsid w:val="004D5A92"/>
    <w:rsid w:val="004D6174"/>
    <w:rsid w:val="004E7C07"/>
    <w:rsid w:val="004F09B0"/>
    <w:rsid w:val="004F0EB1"/>
    <w:rsid w:val="004F4E28"/>
    <w:rsid w:val="004F5245"/>
    <w:rsid w:val="004F637F"/>
    <w:rsid w:val="005004EA"/>
    <w:rsid w:val="0050105E"/>
    <w:rsid w:val="00501189"/>
    <w:rsid w:val="00502501"/>
    <w:rsid w:val="00511881"/>
    <w:rsid w:val="00512D81"/>
    <w:rsid w:val="005140E6"/>
    <w:rsid w:val="00516CDD"/>
    <w:rsid w:val="00516D89"/>
    <w:rsid w:val="00516DDC"/>
    <w:rsid w:val="00517304"/>
    <w:rsid w:val="00517BA2"/>
    <w:rsid w:val="005207BF"/>
    <w:rsid w:val="00523F0C"/>
    <w:rsid w:val="0053275B"/>
    <w:rsid w:val="00532848"/>
    <w:rsid w:val="0053434C"/>
    <w:rsid w:val="00535DA0"/>
    <w:rsid w:val="00537533"/>
    <w:rsid w:val="005419B7"/>
    <w:rsid w:val="00541D42"/>
    <w:rsid w:val="00551A7E"/>
    <w:rsid w:val="005525A7"/>
    <w:rsid w:val="00554194"/>
    <w:rsid w:val="00554816"/>
    <w:rsid w:val="00555918"/>
    <w:rsid w:val="00556332"/>
    <w:rsid w:val="00562A9B"/>
    <w:rsid w:val="00562C21"/>
    <w:rsid w:val="0056423B"/>
    <w:rsid w:val="00565DF3"/>
    <w:rsid w:val="00566393"/>
    <w:rsid w:val="00567806"/>
    <w:rsid w:val="00567AA1"/>
    <w:rsid w:val="00567DB6"/>
    <w:rsid w:val="00570BD9"/>
    <w:rsid w:val="00572C37"/>
    <w:rsid w:val="00572FBC"/>
    <w:rsid w:val="005748DA"/>
    <w:rsid w:val="005749E8"/>
    <w:rsid w:val="00581C8F"/>
    <w:rsid w:val="005829DE"/>
    <w:rsid w:val="00587E18"/>
    <w:rsid w:val="00591D13"/>
    <w:rsid w:val="00592C22"/>
    <w:rsid w:val="005930D5"/>
    <w:rsid w:val="00593E4E"/>
    <w:rsid w:val="00594E08"/>
    <w:rsid w:val="00595511"/>
    <w:rsid w:val="00595DEC"/>
    <w:rsid w:val="00596CBE"/>
    <w:rsid w:val="0059734E"/>
    <w:rsid w:val="005A1B2D"/>
    <w:rsid w:val="005A507F"/>
    <w:rsid w:val="005A5A59"/>
    <w:rsid w:val="005B2907"/>
    <w:rsid w:val="005B371E"/>
    <w:rsid w:val="005B57A5"/>
    <w:rsid w:val="005B7639"/>
    <w:rsid w:val="005C3586"/>
    <w:rsid w:val="005C4799"/>
    <w:rsid w:val="005C7C56"/>
    <w:rsid w:val="005D314F"/>
    <w:rsid w:val="005D54D0"/>
    <w:rsid w:val="005D7DF9"/>
    <w:rsid w:val="005E016F"/>
    <w:rsid w:val="005E09C2"/>
    <w:rsid w:val="005E4796"/>
    <w:rsid w:val="005E57DC"/>
    <w:rsid w:val="005E71DB"/>
    <w:rsid w:val="005F058B"/>
    <w:rsid w:val="005F1B7B"/>
    <w:rsid w:val="005F1DFF"/>
    <w:rsid w:val="005F2884"/>
    <w:rsid w:val="005F5153"/>
    <w:rsid w:val="005F6151"/>
    <w:rsid w:val="005F61D2"/>
    <w:rsid w:val="005F65C1"/>
    <w:rsid w:val="005F6798"/>
    <w:rsid w:val="00602838"/>
    <w:rsid w:val="00602D70"/>
    <w:rsid w:val="00603CCA"/>
    <w:rsid w:val="00603E64"/>
    <w:rsid w:val="00605B02"/>
    <w:rsid w:val="006061B4"/>
    <w:rsid w:val="006118EE"/>
    <w:rsid w:val="00611C80"/>
    <w:rsid w:val="006122F8"/>
    <w:rsid w:val="006145AB"/>
    <w:rsid w:val="00617119"/>
    <w:rsid w:val="00617FDD"/>
    <w:rsid w:val="00621BAD"/>
    <w:rsid w:val="0062277A"/>
    <w:rsid w:val="00622AD4"/>
    <w:rsid w:val="00624534"/>
    <w:rsid w:val="00624A56"/>
    <w:rsid w:val="006264D8"/>
    <w:rsid w:val="00626F56"/>
    <w:rsid w:val="006322F1"/>
    <w:rsid w:val="006333EC"/>
    <w:rsid w:val="00636607"/>
    <w:rsid w:val="00640C90"/>
    <w:rsid w:val="00641219"/>
    <w:rsid w:val="00642A45"/>
    <w:rsid w:val="00645B5F"/>
    <w:rsid w:val="00646357"/>
    <w:rsid w:val="0064696C"/>
    <w:rsid w:val="006504E9"/>
    <w:rsid w:val="006510B1"/>
    <w:rsid w:val="00652B58"/>
    <w:rsid w:val="0065383F"/>
    <w:rsid w:val="00653F1A"/>
    <w:rsid w:val="00654C01"/>
    <w:rsid w:val="00654E7E"/>
    <w:rsid w:val="00655359"/>
    <w:rsid w:val="00656B3B"/>
    <w:rsid w:val="006571D2"/>
    <w:rsid w:val="00657E95"/>
    <w:rsid w:val="00660881"/>
    <w:rsid w:val="0066274E"/>
    <w:rsid w:val="00663CB9"/>
    <w:rsid w:val="00664514"/>
    <w:rsid w:val="00664BCA"/>
    <w:rsid w:val="00664CC5"/>
    <w:rsid w:val="006656BB"/>
    <w:rsid w:val="00666A5D"/>
    <w:rsid w:val="00670232"/>
    <w:rsid w:val="00671474"/>
    <w:rsid w:val="006728B8"/>
    <w:rsid w:val="006749EA"/>
    <w:rsid w:val="00675ABC"/>
    <w:rsid w:val="00675C87"/>
    <w:rsid w:val="00676DE8"/>
    <w:rsid w:val="00685325"/>
    <w:rsid w:val="00690494"/>
    <w:rsid w:val="00690D78"/>
    <w:rsid w:val="00693319"/>
    <w:rsid w:val="006937B2"/>
    <w:rsid w:val="006A0671"/>
    <w:rsid w:val="006A0F62"/>
    <w:rsid w:val="006A1F74"/>
    <w:rsid w:val="006A2AEF"/>
    <w:rsid w:val="006A324C"/>
    <w:rsid w:val="006A3D02"/>
    <w:rsid w:val="006A5011"/>
    <w:rsid w:val="006A55CC"/>
    <w:rsid w:val="006A66BF"/>
    <w:rsid w:val="006A67AC"/>
    <w:rsid w:val="006A6EEE"/>
    <w:rsid w:val="006A7EE7"/>
    <w:rsid w:val="006B1298"/>
    <w:rsid w:val="006B1659"/>
    <w:rsid w:val="006B1901"/>
    <w:rsid w:val="006B3C78"/>
    <w:rsid w:val="006B439F"/>
    <w:rsid w:val="006B6CFD"/>
    <w:rsid w:val="006B6EA8"/>
    <w:rsid w:val="006C1C70"/>
    <w:rsid w:val="006C1E10"/>
    <w:rsid w:val="006C3607"/>
    <w:rsid w:val="006C792C"/>
    <w:rsid w:val="006D17EE"/>
    <w:rsid w:val="006D296B"/>
    <w:rsid w:val="006D3055"/>
    <w:rsid w:val="006D5870"/>
    <w:rsid w:val="006D5B3C"/>
    <w:rsid w:val="006E2266"/>
    <w:rsid w:val="006E645C"/>
    <w:rsid w:val="006E7F29"/>
    <w:rsid w:val="006F0E11"/>
    <w:rsid w:val="006F0ECA"/>
    <w:rsid w:val="006F4F13"/>
    <w:rsid w:val="006F5C89"/>
    <w:rsid w:val="00705EB0"/>
    <w:rsid w:val="00706853"/>
    <w:rsid w:val="00707095"/>
    <w:rsid w:val="00713742"/>
    <w:rsid w:val="00720971"/>
    <w:rsid w:val="007212A0"/>
    <w:rsid w:val="007241B8"/>
    <w:rsid w:val="00727F78"/>
    <w:rsid w:val="0073158F"/>
    <w:rsid w:val="00731E82"/>
    <w:rsid w:val="00732AAD"/>
    <w:rsid w:val="00732E53"/>
    <w:rsid w:val="0073353E"/>
    <w:rsid w:val="007336EB"/>
    <w:rsid w:val="00733792"/>
    <w:rsid w:val="00743668"/>
    <w:rsid w:val="0074519B"/>
    <w:rsid w:val="00745E6D"/>
    <w:rsid w:val="00746481"/>
    <w:rsid w:val="00746C1D"/>
    <w:rsid w:val="00747308"/>
    <w:rsid w:val="0075251C"/>
    <w:rsid w:val="007555E6"/>
    <w:rsid w:val="007557CE"/>
    <w:rsid w:val="00756938"/>
    <w:rsid w:val="00761B27"/>
    <w:rsid w:val="00764D69"/>
    <w:rsid w:val="00765A24"/>
    <w:rsid w:val="00767207"/>
    <w:rsid w:val="00771497"/>
    <w:rsid w:val="00771745"/>
    <w:rsid w:val="00773665"/>
    <w:rsid w:val="007740CD"/>
    <w:rsid w:val="007746C9"/>
    <w:rsid w:val="00775E1E"/>
    <w:rsid w:val="00777F91"/>
    <w:rsid w:val="00781146"/>
    <w:rsid w:val="00784E27"/>
    <w:rsid w:val="0079756C"/>
    <w:rsid w:val="00797A70"/>
    <w:rsid w:val="00797EB1"/>
    <w:rsid w:val="007A086E"/>
    <w:rsid w:val="007A09E2"/>
    <w:rsid w:val="007A2252"/>
    <w:rsid w:val="007A25B7"/>
    <w:rsid w:val="007A41DA"/>
    <w:rsid w:val="007A440D"/>
    <w:rsid w:val="007A4B47"/>
    <w:rsid w:val="007A503F"/>
    <w:rsid w:val="007A59E7"/>
    <w:rsid w:val="007A5BE6"/>
    <w:rsid w:val="007A6320"/>
    <w:rsid w:val="007A791E"/>
    <w:rsid w:val="007B297E"/>
    <w:rsid w:val="007B4037"/>
    <w:rsid w:val="007B569F"/>
    <w:rsid w:val="007B7C4D"/>
    <w:rsid w:val="007C0031"/>
    <w:rsid w:val="007C0864"/>
    <w:rsid w:val="007C5B42"/>
    <w:rsid w:val="007D00C1"/>
    <w:rsid w:val="007D0678"/>
    <w:rsid w:val="007D23E0"/>
    <w:rsid w:val="007D4A2A"/>
    <w:rsid w:val="007D591A"/>
    <w:rsid w:val="007D5A52"/>
    <w:rsid w:val="007D6022"/>
    <w:rsid w:val="007D77BB"/>
    <w:rsid w:val="007D7E7D"/>
    <w:rsid w:val="007E3D31"/>
    <w:rsid w:val="007E4039"/>
    <w:rsid w:val="007E4775"/>
    <w:rsid w:val="007E47E9"/>
    <w:rsid w:val="007E5701"/>
    <w:rsid w:val="007E603E"/>
    <w:rsid w:val="007E6CF5"/>
    <w:rsid w:val="007F10CA"/>
    <w:rsid w:val="007F2921"/>
    <w:rsid w:val="007F2D1C"/>
    <w:rsid w:val="007F3B63"/>
    <w:rsid w:val="007F3CDC"/>
    <w:rsid w:val="007F42B3"/>
    <w:rsid w:val="007F4751"/>
    <w:rsid w:val="007F59FC"/>
    <w:rsid w:val="007F5BA4"/>
    <w:rsid w:val="008042DA"/>
    <w:rsid w:val="00804C5B"/>
    <w:rsid w:val="00804D8A"/>
    <w:rsid w:val="008050AC"/>
    <w:rsid w:val="00805256"/>
    <w:rsid w:val="00805D30"/>
    <w:rsid w:val="00806733"/>
    <w:rsid w:val="00815216"/>
    <w:rsid w:val="0081743F"/>
    <w:rsid w:val="00817F38"/>
    <w:rsid w:val="00821AAE"/>
    <w:rsid w:val="00821F0E"/>
    <w:rsid w:val="0082246C"/>
    <w:rsid w:val="00823992"/>
    <w:rsid w:val="00824104"/>
    <w:rsid w:val="00825697"/>
    <w:rsid w:val="0082593A"/>
    <w:rsid w:val="00826068"/>
    <w:rsid w:val="0083235B"/>
    <w:rsid w:val="00834845"/>
    <w:rsid w:val="00834BFB"/>
    <w:rsid w:val="00840F33"/>
    <w:rsid w:val="008418B9"/>
    <w:rsid w:val="00843021"/>
    <w:rsid w:val="00845D20"/>
    <w:rsid w:val="00850B99"/>
    <w:rsid w:val="0085115D"/>
    <w:rsid w:val="008527CE"/>
    <w:rsid w:val="008527EA"/>
    <w:rsid w:val="00852C65"/>
    <w:rsid w:val="00853312"/>
    <w:rsid w:val="008541AE"/>
    <w:rsid w:val="00855F3A"/>
    <w:rsid w:val="008562B6"/>
    <w:rsid w:val="00856549"/>
    <w:rsid w:val="0086007B"/>
    <w:rsid w:val="008604F4"/>
    <w:rsid w:val="00862B31"/>
    <w:rsid w:val="00865035"/>
    <w:rsid w:val="00871032"/>
    <w:rsid w:val="0087129E"/>
    <w:rsid w:val="008732C6"/>
    <w:rsid w:val="008734D5"/>
    <w:rsid w:val="00876144"/>
    <w:rsid w:val="00877BD7"/>
    <w:rsid w:val="00882E4A"/>
    <w:rsid w:val="008858C0"/>
    <w:rsid w:val="0088636C"/>
    <w:rsid w:val="008905DE"/>
    <w:rsid w:val="0089621C"/>
    <w:rsid w:val="008A0EE5"/>
    <w:rsid w:val="008A122A"/>
    <w:rsid w:val="008A2641"/>
    <w:rsid w:val="008A2807"/>
    <w:rsid w:val="008A3945"/>
    <w:rsid w:val="008A470B"/>
    <w:rsid w:val="008A4FBB"/>
    <w:rsid w:val="008A5CAB"/>
    <w:rsid w:val="008A7B9D"/>
    <w:rsid w:val="008A7E40"/>
    <w:rsid w:val="008B1EC3"/>
    <w:rsid w:val="008B242D"/>
    <w:rsid w:val="008B2CEA"/>
    <w:rsid w:val="008B3D26"/>
    <w:rsid w:val="008B40C5"/>
    <w:rsid w:val="008B540D"/>
    <w:rsid w:val="008B5D15"/>
    <w:rsid w:val="008B7360"/>
    <w:rsid w:val="008B7610"/>
    <w:rsid w:val="008C20D5"/>
    <w:rsid w:val="008C3381"/>
    <w:rsid w:val="008C4CB0"/>
    <w:rsid w:val="008C6845"/>
    <w:rsid w:val="008C7056"/>
    <w:rsid w:val="008D088A"/>
    <w:rsid w:val="008D73C0"/>
    <w:rsid w:val="008E0021"/>
    <w:rsid w:val="008E1FEA"/>
    <w:rsid w:val="008E2EE5"/>
    <w:rsid w:val="008E49C4"/>
    <w:rsid w:val="008E7002"/>
    <w:rsid w:val="008F0151"/>
    <w:rsid w:val="008F0158"/>
    <w:rsid w:val="008F131C"/>
    <w:rsid w:val="008F233F"/>
    <w:rsid w:val="008F3244"/>
    <w:rsid w:val="008F4E87"/>
    <w:rsid w:val="008F6364"/>
    <w:rsid w:val="008F749F"/>
    <w:rsid w:val="008F7BAD"/>
    <w:rsid w:val="00900FF6"/>
    <w:rsid w:val="00907B75"/>
    <w:rsid w:val="00907FE1"/>
    <w:rsid w:val="00912129"/>
    <w:rsid w:val="009151DC"/>
    <w:rsid w:val="00916DD8"/>
    <w:rsid w:val="0091727A"/>
    <w:rsid w:val="009179F8"/>
    <w:rsid w:val="00920273"/>
    <w:rsid w:val="00922949"/>
    <w:rsid w:val="00922EE0"/>
    <w:rsid w:val="00924990"/>
    <w:rsid w:val="00925B7E"/>
    <w:rsid w:val="00927CEE"/>
    <w:rsid w:val="009302AA"/>
    <w:rsid w:val="00930C52"/>
    <w:rsid w:val="00931263"/>
    <w:rsid w:val="00937A39"/>
    <w:rsid w:val="0094048F"/>
    <w:rsid w:val="00941334"/>
    <w:rsid w:val="009436CC"/>
    <w:rsid w:val="00951E15"/>
    <w:rsid w:val="009531C6"/>
    <w:rsid w:val="009533E3"/>
    <w:rsid w:val="00956875"/>
    <w:rsid w:val="009634B9"/>
    <w:rsid w:val="00963F04"/>
    <w:rsid w:val="0097191A"/>
    <w:rsid w:val="00973980"/>
    <w:rsid w:val="00977CBC"/>
    <w:rsid w:val="0098185E"/>
    <w:rsid w:val="00982AC5"/>
    <w:rsid w:val="00984099"/>
    <w:rsid w:val="00984A07"/>
    <w:rsid w:val="00984B70"/>
    <w:rsid w:val="009850DE"/>
    <w:rsid w:val="009856B0"/>
    <w:rsid w:val="00986C93"/>
    <w:rsid w:val="009875B7"/>
    <w:rsid w:val="009879BF"/>
    <w:rsid w:val="00990395"/>
    <w:rsid w:val="00990708"/>
    <w:rsid w:val="0099341A"/>
    <w:rsid w:val="009947F4"/>
    <w:rsid w:val="00994D5B"/>
    <w:rsid w:val="009A285F"/>
    <w:rsid w:val="009A303D"/>
    <w:rsid w:val="009A313D"/>
    <w:rsid w:val="009A5550"/>
    <w:rsid w:val="009A6C4F"/>
    <w:rsid w:val="009A7C3B"/>
    <w:rsid w:val="009B14AC"/>
    <w:rsid w:val="009B3B20"/>
    <w:rsid w:val="009B7CD9"/>
    <w:rsid w:val="009C0F0D"/>
    <w:rsid w:val="009C20BD"/>
    <w:rsid w:val="009C4CD1"/>
    <w:rsid w:val="009C5501"/>
    <w:rsid w:val="009C6402"/>
    <w:rsid w:val="009D2827"/>
    <w:rsid w:val="009D2A7C"/>
    <w:rsid w:val="009D59AD"/>
    <w:rsid w:val="009D59D7"/>
    <w:rsid w:val="009D5A40"/>
    <w:rsid w:val="009D7A48"/>
    <w:rsid w:val="009E077F"/>
    <w:rsid w:val="009E39C3"/>
    <w:rsid w:val="009E4371"/>
    <w:rsid w:val="009E4439"/>
    <w:rsid w:val="009E53D4"/>
    <w:rsid w:val="009E79DB"/>
    <w:rsid w:val="009F1393"/>
    <w:rsid w:val="009F1B2D"/>
    <w:rsid w:val="009F25E3"/>
    <w:rsid w:val="009F7DBA"/>
    <w:rsid w:val="009F7FB1"/>
    <w:rsid w:val="00A02AA3"/>
    <w:rsid w:val="00A04804"/>
    <w:rsid w:val="00A051BE"/>
    <w:rsid w:val="00A06279"/>
    <w:rsid w:val="00A0712C"/>
    <w:rsid w:val="00A07845"/>
    <w:rsid w:val="00A16305"/>
    <w:rsid w:val="00A16E9C"/>
    <w:rsid w:val="00A17975"/>
    <w:rsid w:val="00A17AF6"/>
    <w:rsid w:val="00A23ABE"/>
    <w:rsid w:val="00A2538A"/>
    <w:rsid w:val="00A25638"/>
    <w:rsid w:val="00A25FEC"/>
    <w:rsid w:val="00A30F1E"/>
    <w:rsid w:val="00A32F1D"/>
    <w:rsid w:val="00A376B1"/>
    <w:rsid w:val="00A42BFF"/>
    <w:rsid w:val="00A44626"/>
    <w:rsid w:val="00A44E4B"/>
    <w:rsid w:val="00A47945"/>
    <w:rsid w:val="00A47B40"/>
    <w:rsid w:val="00A47C3C"/>
    <w:rsid w:val="00A502CB"/>
    <w:rsid w:val="00A50464"/>
    <w:rsid w:val="00A5215F"/>
    <w:rsid w:val="00A527FB"/>
    <w:rsid w:val="00A530B4"/>
    <w:rsid w:val="00A549A0"/>
    <w:rsid w:val="00A54C56"/>
    <w:rsid w:val="00A566D8"/>
    <w:rsid w:val="00A56EE6"/>
    <w:rsid w:val="00A5776E"/>
    <w:rsid w:val="00A57D66"/>
    <w:rsid w:val="00A60307"/>
    <w:rsid w:val="00A60CEC"/>
    <w:rsid w:val="00A6156C"/>
    <w:rsid w:val="00A64DC8"/>
    <w:rsid w:val="00A6542D"/>
    <w:rsid w:val="00A67BB5"/>
    <w:rsid w:val="00A701A1"/>
    <w:rsid w:val="00A720E2"/>
    <w:rsid w:val="00A7239F"/>
    <w:rsid w:val="00A749A0"/>
    <w:rsid w:val="00A7574E"/>
    <w:rsid w:val="00A7681C"/>
    <w:rsid w:val="00A77A69"/>
    <w:rsid w:val="00A80ED0"/>
    <w:rsid w:val="00A810DC"/>
    <w:rsid w:val="00A81A56"/>
    <w:rsid w:val="00A81E13"/>
    <w:rsid w:val="00A8259D"/>
    <w:rsid w:val="00A846CE"/>
    <w:rsid w:val="00A848C5"/>
    <w:rsid w:val="00A86634"/>
    <w:rsid w:val="00A93BEE"/>
    <w:rsid w:val="00A94696"/>
    <w:rsid w:val="00A94970"/>
    <w:rsid w:val="00AA028E"/>
    <w:rsid w:val="00AA08D6"/>
    <w:rsid w:val="00AA346B"/>
    <w:rsid w:val="00AA494C"/>
    <w:rsid w:val="00AA4962"/>
    <w:rsid w:val="00AA6620"/>
    <w:rsid w:val="00AA67D4"/>
    <w:rsid w:val="00AB1CF0"/>
    <w:rsid w:val="00AB4620"/>
    <w:rsid w:val="00AB5417"/>
    <w:rsid w:val="00AB58A5"/>
    <w:rsid w:val="00AB5BB8"/>
    <w:rsid w:val="00AB7F91"/>
    <w:rsid w:val="00AC0BEC"/>
    <w:rsid w:val="00AC2E30"/>
    <w:rsid w:val="00AC3104"/>
    <w:rsid w:val="00AD0135"/>
    <w:rsid w:val="00AD1477"/>
    <w:rsid w:val="00AD1902"/>
    <w:rsid w:val="00AD4CAB"/>
    <w:rsid w:val="00AD7750"/>
    <w:rsid w:val="00AE0A52"/>
    <w:rsid w:val="00AE4790"/>
    <w:rsid w:val="00AE7AF4"/>
    <w:rsid w:val="00AE7E57"/>
    <w:rsid w:val="00AF5419"/>
    <w:rsid w:val="00B00D24"/>
    <w:rsid w:val="00B01130"/>
    <w:rsid w:val="00B0202A"/>
    <w:rsid w:val="00B0263D"/>
    <w:rsid w:val="00B0292D"/>
    <w:rsid w:val="00B073B5"/>
    <w:rsid w:val="00B10B37"/>
    <w:rsid w:val="00B10EDB"/>
    <w:rsid w:val="00B1176F"/>
    <w:rsid w:val="00B15A31"/>
    <w:rsid w:val="00B17C62"/>
    <w:rsid w:val="00B21941"/>
    <w:rsid w:val="00B22696"/>
    <w:rsid w:val="00B23432"/>
    <w:rsid w:val="00B271F4"/>
    <w:rsid w:val="00B30665"/>
    <w:rsid w:val="00B32337"/>
    <w:rsid w:val="00B324C3"/>
    <w:rsid w:val="00B330F9"/>
    <w:rsid w:val="00B36CC7"/>
    <w:rsid w:val="00B41B08"/>
    <w:rsid w:val="00B42787"/>
    <w:rsid w:val="00B43E5C"/>
    <w:rsid w:val="00B441C0"/>
    <w:rsid w:val="00B443DA"/>
    <w:rsid w:val="00B4512E"/>
    <w:rsid w:val="00B516A4"/>
    <w:rsid w:val="00B53A9E"/>
    <w:rsid w:val="00B548A1"/>
    <w:rsid w:val="00B54E41"/>
    <w:rsid w:val="00B5507F"/>
    <w:rsid w:val="00B55124"/>
    <w:rsid w:val="00B55DC0"/>
    <w:rsid w:val="00B567B9"/>
    <w:rsid w:val="00B57B29"/>
    <w:rsid w:val="00B57D2B"/>
    <w:rsid w:val="00B60809"/>
    <w:rsid w:val="00B629AF"/>
    <w:rsid w:val="00B6640D"/>
    <w:rsid w:val="00B702D8"/>
    <w:rsid w:val="00B7137C"/>
    <w:rsid w:val="00B71F25"/>
    <w:rsid w:val="00B722EB"/>
    <w:rsid w:val="00B8017B"/>
    <w:rsid w:val="00B80C65"/>
    <w:rsid w:val="00B8390E"/>
    <w:rsid w:val="00B90F5F"/>
    <w:rsid w:val="00B90FCD"/>
    <w:rsid w:val="00B9237C"/>
    <w:rsid w:val="00B946C4"/>
    <w:rsid w:val="00B95EE1"/>
    <w:rsid w:val="00B97135"/>
    <w:rsid w:val="00BA0FEE"/>
    <w:rsid w:val="00BA2033"/>
    <w:rsid w:val="00BA49A9"/>
    <w:rsid w:val="00BB0BCB"/>
    <w:rsid w:val="00BB208F"/>
    <w:rsid w:val="00BB49AE"/>
    <w:rsid w:val="00BB55DA"/>
    <w:rsid w:val="00BB6362"/>
    <w:rsid w:val="00BC0C06"/>
    <w:rsid w:val="00BC1299"/>
    <w:rsid w:val="00BC62B5"/>
    <w:rsid w:val="00BD2532"/>
    <w:rsid w:val="00BD28C7"/>
    <w:rsid w:val="00BD3CE8"/>
    <w:rsid w:val="00BD6E69"/>
    <w:rsid w:val="00BE2D37"/>
    <w:rsid w:val="00BE33AC"/>
    <w:rsid w:val="00BE415B"/>
    <w:rsid w:val="00BE6C65"/>
    <w:rsid w:val="00BE7223"/>
    <w:rsid w:val="00BF0B4C"/>
    <w:rsid w:val="00BF29BE"/>
    <w:rsid w:val="00BF2B78"/>
    <w:rsid w:val="00BF61F9"/>
    <w:rsid w:val="00BF671C"/>
    <w:rsid w:val="00C008EE"/>
    <w:rsid w:val="00C00BA0"/>
    <w:rsid w:val="00C01663"/>
    <w:rsid w:val="00C03544"/>
    <w:rsid w:val="00C049A9"/>
    <w:rsid w:val="00C077B1"/>
    <w:rsid w:val="00C07C8A"/>
    <w:rsid w:val="00C102B0"/>
    <w:rsid w:val="00C10810"/>
    <w:rsid w:val="00C11C7A"/>
    <w:rsid w:val="00C11E50"/>
    <w:rsid w:val="00C12702"/>
    <w:rsid w:val="00C134A2"/>
    <w:rsid w:val="00C13BA8"/>
    <w:rsid w:val="00C15720"/>
    <w:rsid w:val="00C176C7"/>
    <w:rsid w:val="00C20882"/>
    <w:rsid w:val="00C22310"/>
    <w:rsid w:val="00C226B6"/>
    <w:rsid w:val="00C23E4B"/>
    <w:rsid w:val="00C2415A"/>
    <w:rsid w:val="00C248D9"/>
    <w:rsid w:val="00C262FB"/>
    <w:rsid w:val="00C2731D"/>
    <w:rsid w:val="00C27DBD"/>
    <w:rsid w:val="00C31195"/>
    <w:rsid w:val="00C324F1"/>
    <w:rsid w:val="00C353DC"/>
    <w:rsid w:val="00C3630F"/>
    <w:rsid w:val="00C4289E"/>
    <w:rsid w:val="00C44033"/>
    <w:rsid w:val="00C4622D"/>
    <w:rsid w:val="00C4691E"/>
    <w:rsid w:val="00C50047"/>
    <w:rsid w:val="00C51A0A"/>
    <w:rsid w:val="00C5215C"/>
    <w:rsid w:val="00C53129"/>
    <w:rsid w:val="00C5429D"/>
    <w:rsid w:val="00C54B33"/>
    <w:rsid w:val="00C557CF"/>
    <w:rsid w:val="00C56AC0"/>
    <w:rsid w:val="00C576F3"/>
    <w:rsid w:val="00C60E02"/>
    <w:rsid w:val="00C6233D"/>
    <w:rsid w:val="00C627FA"/>
    <w:rsid w:val="00C63729"/>
    <w:rsid w:val="00C6584D"/>
    <w:rsid w:val="00C65BEF"/>
    <w:rsid w:val="00C65C75"/>
    <w:rsid w:val="00C703B6"/>
    <w:rsid w:val="00C70991"/>
    <w:rsid w:val="00C7179B"/>
    <w:rsid w:val="00C75514"/>
    <w:rsid w:val="00C75FAE"/>
    <w:rsid w:val="00C77CEF"/>
    <w:rsid w:val="00C8191E"/>
    <w:rsid w:val="00C81ADD"/>
    <w:rsid w:val="00C81D8D"/>
    <w:rsid w:val="00C8230D"/>
    <w:rsid w:val="00C85CA3"/>
    <w:rsid w:val="00C85D66"/>
    <w:rsid w:val="00C85F5F"/>
    <w:rsid w:val="00C918E0"/>
    <w:rsid w:val="00C94295"/>
    <w:rsid w:val="00C94B85"/>
    <w:rsid w:val="00C94DFA"/>
    <w:rsid w:val="00C9503D"/>
    <w:rsid w:val="00CA1A61"/>
    <w:rsid w:val="00CA30D4"/>
    <w:rsid w:val="00CA3A72"/>
    <w:rsid w:val="00CA4A2F"/>
    <w:rsid w:val="00CA6AB8"/>
    <w:rsid w:val="00CA6C6A"/>
    <w:rsid w:val="00CB03FD"/>
    <w:rsid w:val="00CB1D32"/>
    <w:rsid w:val="00CB2BF7"/>
    <w:rsid w:val="00CB6536"/>
    <w:rsid w:val="00CB6AB3"/>
    <w:rsid w:val="00CB6EE6"/>
    <w:rsid w:val="00CC0999"/>
    <w:rsid w:val="00CC1C84"/>
    <w:rsid w:val="00CC20AD"/>
    <w:rsid w:val="00CC7465"/>
    <w:rsid w:val="00CD04A1"/>
    <w:rsid w:val="00CD0881"/>
    <w:rsid w:val="00CD18C4"/>
    <w:rsid w:val="00CD3360"/>
    <w:rsid w:val="00CD3C9C"/>
    <w:rsid w:val="00CD4E09"/>
    <w:rsid w:val="00CD7235"/>
    <w:rsid w:val="00CD7EFA"/>
    <w:rsid w:val="00CE0DC8"/>
    <w:rsid w:val="00CE2E89"/>
    <w:rsid w:val="00CE5297"/>
    <w:rsid w:val="00CE6A3B"/>
    <w:rsid w:val="00CF1E46"/>
    <w:rsid w:val="00CF31FD"/>
    <w:rsid w:val="00CF3941"/>
    <w:rsid w:val="00CF4047"/>
    <w:rsid w:val="00CF45D9"/>
    <w:rsid w:val="00CF5F55"/>
    <w:rsid w:val="00D0236F"/>
    <w:rsid w:val="00D0253E"/>
    <w:rsid w:val="00D029A9"/>
    <w:rsid w:val="00D05460"/>
    <w:rsid w:val="00D06EF9"/>
    <w:rsid w:val="00D071A3"/>
    <w:rsid w:val="00D07F44"/>
    <w:rsid w:val="00D10D1B"/>
    <w:rsid w:val="00D20315"/>
    <w:rsid w:val="00D20585"/>
    <w:rsid w:val="00D2098E"/>
    <w:rsid w:val="00D2184E"/>
    <w:rsid w:val="00D22A1C"/>
    <w:rsid w:val="00D22E51"/>
    <w:rsid w:val="00D25109"/>
    <w:rsid w:val="00D25430"/>
    <w:rsid w:val="00D2638B"/>
    <w:rsid w:val="00D26F80"/>
    <w:rsid w:val="00D27C9E"/>
    <w:rsid w:val="00D3299C"/>
    <w:rsid w:val="00D32D1F"/>
    <w:rsid w:val="00D359DB"/>
    <w:rsid w:val="00D379A9"/>
    <w:rsid w:val="00D37A36"/>
    <w:rsid w:val="00D43175"/>
    <w:rsid w:val="00D44148"/>
    <w:rsid w:val="00D51AFD"/>
    <w:rsid w:val="00D52DCA"/>
    <w:rsid w:val="00D607EA"/>
    <w:rsid w:val="00D60F06"/>
    <w:rsid w:val="00D62A86"/>
    <w:rsid w:val="00D630A0"/>
    <w:rsid w:val="00D6442A"/>
    <w:rsid w:val="00D646C4"/>
    <w:rsid w:val="00D647B5"/>
    <w:rsid w:val="00D65CAA"/>
    <w:rsid w:val="00D672D6"/>
    <w:rsid w:val="00D6765E"/>
    <w:rsid w:val="00D7018B"/>
    <w:rsid w:val="00D7207F"/>
    <w:rsid w:val="00D733DD"/>
    <w:rsid w:val="00D761CC"/>
    <w:rsid w:val="00D76E46"/>
    <w:rsid w:val="00D816EB"/>
    <w:rsid w:val="00D8478F"/>
    <w:rsid w:val="00D85E49"/>
    <w:rsid w:val="00D86E1B"/>
    <w:rsid w:val="00D87472"/>
    <w:rsid w:val="00D918F5"/>
    <w:rsid w:val="00D94D2F"/>
    <w:rsid w:val="00D94F97"/>
    <w:rsid w:val="00D95638"/>
    <w:rsid w:val="00D973E9"/>
    <w:rsid w:val="00DA04F8"/>
    <w:rsid w:val="00DA09B1"/>
    <w:rsid w:val="00DA2E67"/>
    <w:rsid w:val="00DA3183"/>
    <w:rsid w:val="00DA3BF4"/>
    <w:rsid w:val="00DA42CB"/>
    <w:rsid w:val="00DA4DCD"/>
    <w:rsid w:val="00DA7AB7"/>
    <w:rsid w:val="00DB093A"/>
    <w:rsid w:val="00DB09B2"/>
    <w:rsid w:val="00DB1246"/>
    <w:rsid w:val="00DB47B4"/>
    <w:rsid w:val="00DC3412"/>
    <w:rsid w:val="00DC3722"/>
    <w:rsid w:val="00DC63CB"/>
    <w:rsid w:val="00DC7AD5"/>
    <w:rsid w:val="00DD0C93"/>
    <w:rsid w:val="00DD142A"/>
    <w:rsid w:val="00DD22D2"/>
    <w:rsid w:val="00DD34DE"/>
    <w:rsid w:val="00DD50E6"/>
    <w:rsid w:val="00DD51FC"/>
    <w:rsid w:val="00DD662C"/>
    <w:rsid w:val="00DE29AF"/>
    <w:rsid w:val="00DE3B34"/>
    <w:rsid w:val="00DE6581"/>
    <w:rsid w:val="00DE7DA5"/>
    <w:rsid w:val="00DF0E9B"/>
    <w:rsid w:val="00DF2BF3"/>
    <w:rsid w:val="00DF32A4"/>
    <w:rsid w:val="00DF63F8"/>
    <w:rsid w:val="00E00773"/>
    <w:rsid w:val="00E02565"/>
    <w:rsid w:val="00E02E43"/>
    <w:rsid w:val="00E04E69"/>
    <w:rsid w:val="00E06F30"/>
    <w:rsid w:val="00E070F7"/>
    <w:rsid w:val="00E0745B"/>
    <w:rsid w:val="00E10B65"/>
    <w:rsid w:val="00E11534"/>
    <w:rsid w:val="00E11DE8"/>
    <w:rsid w:val="00E126CC"/>
    <w:rsid w:val="00E152C7"/>
    <w:rsid w:val="00E15847"/>
    <w:rsid w:val="00E1771D"/>
    <w:rsid w:val="00E21CC6"/>
    <w:rsid w:val="00E22A83"/>
    <w:rsid w:val="00E24DDA"/>
    <w:rsid w:val="00E25F8F"/>
    <w:rsid w:val="00E268CB"/>
    <w:rsid w:val="00E27B31"/>
    <w:rsid w:val="00E31AE4"/>
    <w:rsid w:val="00E34B9C"/>
    <w:rsid w:val="00E36661"/>
    <w:rsid w:val="00E369E1"/>
    <w:rsid w:val="00E37A1A"/>
    <w:rsid w:val="00E37D8E"/>
    <w:rsid w:val="00E410FC"/>
    <w:rsid w:val="00E42E0C"/>
    <w:rsid w:val="00E45288"/>
    <w:rsid w:val="00E45E05"/>
    <w:rsid w:val="00E46A0C"/>
    <w:rsid w:val="00E46E55"/>
    <w:rsid w:val="00E474E5"/>
    <w:rsid w:val="00E51548"/>
    <w:rsid w:val="00E51A75"/>
    <w:rsid w:val="00E51BC3"/>
    <w:rsid w:val="00E533E1"/>
    <w:rsid w:val="00E61793"/>
    <w:rsid w:val="00E61FF1"/>
    <w:rsid w:val="00E638DE"/>
    <w:rsid w:val="00E647CF"/>
    <w:rsid w:val="00E65379"/>
    <w:rsid w:val="00E65682"/>
    <w:rsid w:val="00E709A7"/>
    <w:rsid w:val="00E709D2"/>
    <w:rsid w:val="00E72B93"/>
    <w:rsid w:val="00E7386E"/>
    <w:rsid w:val="00E73DA9"/>
    <w:rsid w:val="00E74FFD"/>
    <w:rsid w:val="00E75ED9"/>
    <w:rsid w:val="00E80B38"/>
    <w:rsid w:val="00E82CA1"/>
    <w:rsid w:val="00E845D3"/>
    <w:rsid w:val="00E845DD"/>
    <w:rsid w:val="00E84D8C"/>
    <w:rsid w:val="00E850C7"/>
    <w:rsid w:val="00E90391"/>
    <w:rsid w:val="00E91C39"/>
    <w:rsid w:val="00E9349C"/>
    <w:rsid w:val="00E957ED"/>
    <w:rsid w:val="00E9661B"/>
    <w:rsid w:val="00E96A7D"/>
    <w:rsid w:val="00E96B94"/>
    <w:rsid w:val="00E971C4"/>
    <w:rsid w:val="00EA14E7"/>
    <w:rsid w:val="00EA2573"/>
    <w:rsid w:val="00EA730A"/>
    <w:rsid w:val="00EB2802"/>
    <w:rsid w:val="00EB2EFD"/>
    <w:rsid w:val="00EB530E"/>
    <w:rsid w:val="00EB60F2"/>
    <w:rsid w:val="00EB66FC"/>
    <w:rsid w:val="00EC20CF"/>
    <w:rsid w:val="00EC3307"/>
    <w:rsid w:val="00EC3C5D"/>
    <w:rsid w:val="00EC4E2E"/>
    <w:rsid w:val="00EC6F1B"/>
    <w:rsid w:val="00EC74E2"/>
    <w:rsid w:val="00EC7E65"/>
    <w:rsid w:val="00ED0F31"/>
    <w:rsid w:val="00ED1020"/>
    <w:rsid w:val="00ED157B"/>
    <w:rsid w:val="00EE1B59"/>
    <w:rsid w:val="00EE32A8"/>
    <w:rsid w:val="00EE69DD"/>
    <w:rsid w:val="00EE74C4"/>
    <w:rsid w:val="00EF056D"/>
    <w:rsid w:val="00EF0B67"/>
    <w:rsid w:val="00EF0EBE"/>
    <w:rsid w:val="00EF1B21"/>
    <w:rsid w:val="00EF2029"/>
    <w:rsid w:val="00EF33A5"/>
    <w:rsid w:val="00EF3F94"/>
    <w:rsid w:val="00EF48EB"/>
    <w:rsid w:val="00F00276"/>
    <w:rsid w:val="00F01468"/>
    <w:rsid w:val="00F02666"/>
    <w:rsid w:val="00F0342C"/>
    <w:rsid w:val="00F06218"/>
    <w:rsid w:val="00F0671C"/>
    <w:rsid w:val="00F079F9"/>
    <w:rsid w:val="00F1178F"/>
    <w:rsid w:val="00F11F1D"/>
    <w:rsid w:val="00F128C8"/>
    <w:rsid w:val="00F137CB"/>
    <w:rsid w:val="00F21083"/>
    <w:rsid w:val="00F22A5A"/>
    <w:rsid w:val="00F22BE1"/>
    <w:rsid w:val="00F22C58"/>
    <w:rsid w:val="00F23C4D"/>
    <w:rsid w:val="00F27E19"/>
    <w:rsid w:val="00F35EA9"/>
    <w:rsid w:val="00F36298"/>
    <w:rsid w:val="00F40BEC"/>
    <w:rsid w:val="00F43F1A"/>
    <w:rsid w:val="00F505D4"/>
    <w:rsid w:val="00F50ADC"/>
    <w:rsid w:val="00F5214D"/>
    <w:rsid w:val="00F53BCC"/>
    <w:rsid w:val="00F56C16"/>
    <w:rsid w:val="00F56D33"/>
    <w:rsid w:val="00F61B1D"/>
    <w:rsid w:val="00F61B4E"/>
    <w:rsid w:val="00F6206F"/>
    <w:rsid w:val="00F656B0"/>
    <w:rsid w:val="00F66620"/>
    <w:rsid w:val="00F67C2A"/>
    <w:rsid w:val="00F67CB4"/>
    <w:rsid w:val="00F70970"/>
    <w:rsid w:val="00F748C1"/>
    <w:rsid w:val="00F748DA"/>
    <w:rsid w:val="00F772A5"/>
    <w:rsid w:val="00F80C8C"/>
    <w:rsid w:val="00F84346"/>
    <w:rsid w:val="00F905BD"/>
    <w:rsid w:val="00F9231B"/>
    <w:rsid w:val="00F9294E"/>
    <w:rsid w:val="00F94F29"/>
    <w:rsid w:val="00F95705"/>
    <w:rsid w:val="00F95A61"/>
    <w:rsid w:val="00F9684C"/>
    <w:rsid w:val="00F969A6"/>
    <w:rsid w:val="00F97698"/>
    <w:rsid w:val="00FA2B43"/>
    <w:rsid w:val="00FA3D33"/>
    <w:rsid w:val="00FA45BB"/>
    <w:rsid w:val="00FA4F1B"/>
    <w:rsid w:val="00FA5537"/>
    <w:rsid w:val="00FB02E4"/>
    <w:rsid w:val="00FB119A"/>
    <w:rsid w:val="00FB7AD8"/>
    <w:rsid w:val="00FC0B44"/>
    <w:rsid w:val="00FC10A2"/>
    <w:rsid w:val="00FC3393"/>
    <w:rsid w:val="00FC5772"/>
    <w:rsid w:val="00FC6310"/>
    <w:rsid w:val="00FC6DC2"/>
    <w:rsid w:val="00FC79F5"/>
    <w:rsid w:val="00FD0575"/>
    <w:rsid w:val="00FD070E"/>
    <w:rsid w:val="00FD1416"/>
    <w:rsid w:val="00FD1DB9"/>
    <w:rsid w:val="00FD2261"/>
    <w:rsid w:val="00FD2E78"/>
    <w:rsid w:val="00FD392E"/>
    <w:rsid w:val="00FD49C8"/>
    <w:rsid w:val="00FD5A04"/>
    <w:rsid w:val="00FD5DDA"/>
    <w:rsid w:val="00FD6065"/>
    <w:rsid w:val="00FD7C4F"/>
    <w:rsid w:val="00FE07F2"/>
    <w:rsid w:val="00FE2957"/>
    <w:rsid w:val="00FE303C"/>
    <w:rsid w:val="00FE32D3"/>
    <w:rsid w:val="00FE3DAB"/>
    <w:rsid w:val="00FE5121"/>
    <w:rsid w:val="00FE58B1"/>
    <w:rsid w:val="00FE6858"/>
    <w:rsid w:val="00FE6A69"/>
    <w:rsid w:val="00FE77DE"/>
    <w:rsid w:val="00FF0C61"/>
    <w:rsid w:val="00FF2BE2"/>
    <w:rsid w:val="00FF2EEB"/>
    <w:rsid w:val="00FF37A1"/>
    <w:rsid w:val="00FF56C6"/>
    <w:rsid w:val="00FF62F5"/>
    <w:rsid w:val="00FF6A88"/>
    <w:rsid w:val="00FF7B2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41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3FA"/>
    <w:pPr>
      <w:spacing w:line="360" w:lineRule="auto"/>
      <w:jc w:val="both"/>
      <w:outlineLvl w:val="0"/>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4E41"/>
    <w:pPr>
      <w:tabs>
        <w:tab w:val="center" w:pos="4513"/>
        <w:tab w:val="right" w:pos="9026"/>
      </w:tabs>
    </w:pPr>
  </w:style>
  <w:style w:type="character" w:customStyle="1" w:styleId="FooterChar">
    <w:name w:val="Footer Char"/>
    <w:basedOn w:val="DefaultParagraphFont"/>
    <w:link w:val="Footer"/>
    <w:uiPriority w:val="99"/>
    <w:rsid w:val="00B54E41"/>
  </w:style>
  <w:style w:type="character" w:styleId="PageNumber">
    <w:name w:val="page number"/>
    <w:basedOn w:val="DefaultParagraphFont"/>
    <w:uiPriority w:val="99"/>
    <w:semiHidden/>
    <w:unhideWhenUsed/>
    <w:rsid w:val="00B54E41"/>
  </w:style>
  <w:style w:type="character" w:styleId="Hyperlink">
    <w:name w:val="Hyperlink"/>
    <w:basedOn w:val="DefaultParagraphFont"/>
    <w:uiPriority w:val="99"/>
    <w:unhideWhenUsed/>
    <w:rsid w:val="00922949"/>
    <w:rPr>
      <w:color w:val="0563C1" w:themeColor="hyperlink"/>
      <w:u w:val="single"/>
    </w:rPr>
  </w:style>
  <w:style w:type="character" w:customStyle="1" w:styleId="UnresolvedMention1">
    <w:name w:val="Unresolved Mention1"/>
    <w:basedOn w:val="DefaultParagraphFont"/>
    <w:uiPriority w:val="99"/>
    <w:semiHidden/>
    <w:unhideWhenUsed/>
    <w:rsid w:val="00922949"/>
    <w:rPr>
      <w:color w:val="605E5C"/>
      <w:shd w:val="clear" w:color="auto" w:fill="E1DFDD"/>
    </w:rPr>
  </w:style>
  <w:style w:type="character" w:styleId="CommentReference">
    <w:name w:val="annotation reference"/>
    <w:basedOn w:val="DefaultParagraphFont"/>
    <w:uiPriority w:val="99"/>
    <w:semiHidden/>
    <w:unhideWhenUsed/>
    <w:rsid w:val="00A06279"/>
    <w:rPr>
      <w:sz w:val="16"/>
      <w:szCs w:val="16"/>
    </w:rPr>
  </w:style>
  <w:style w:type="paragraph" w:styleId="CommentText">
    <w:name w:val="annotation text"/>
    <w:basedOn w:val="Normal"/>
    <w:link w:val="CommentTextChar"/>
    <w:uiPriority w:val="99"/>
    <w:unhideWhenUsed/>
    <w:rsid w:val="00A06279"/>
    <w:rPr>
      <w:sz w:val="20"/>
      <w:szCs w:val="20"/>
    </w:rPr>
  </w:style>
  <w:style w:type="character" w:customStyle="1" w:styleId="CommentTextChar">
    <w:name w:val="Comment Text Char"/>
    <w:basedOn w:val="DefaultParagraphFont"/>
    <w:link w:val="CommentText"/>
    <w:uiPriority w:val="99"/>
    <w:rsid w:val="00A06279"/>
    <w:rPr>
      <w:sz w:val="20"/>
      <w:szCs w:val="20"/>
    </w:rPr>
  </w:style>
  <w:style w:type="paragraph" w:styleId="CommentSubject">
    <w:name w:val="annotation subject"/>
    <w:basedOn w:val="CommentText"/>
    <w:next w:val="CommentText"/>
    <w:link w:val="CommentSubjectChar"/>
    <w:uiPriority w:val="99"/>
    <w:semiHidden/>
    <w:unhideWhenUsed/>
    <w:rsid w:val="00A06279"/>
    <w:rPr>
      <w:b/>
      <w:bCs/>
    </w:rPr>
  </w:style>
  <w:style w:type="character" w:customStyle="1" w:styleId="CommentSubjectChar">
    <w:name w:val="Comment Subject Char"/>
    <w:basedOn w:val="CommentTextChar"/>
    <w:link w:val="CommentSubject"/>
    <w:uiPriority w:val="99"/>
    <w:semiHidden/>
    <w:rsid w:val="00A06279"/>
    <w:rPr>
      <w:b/>
      <w:bCs/>
      <w:sz w:val="20"/>
      <w:szCs w:val="20"/>
    </w:rPr>
  </w:style>
  <w:style w:type="paragraph" w:styleId="BalloonText">
    <w:name w:val="Balloon Text"/>
    <w:basedOn w:val="Normal"/>
    <w:link w:val="BalloonTextChar"/>
    <w:uiPriority w:val="99"/>
    <w:semiHidden/>
    <w:unhideWhenUsed/>
    <w:rsid w:val="00C5429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429D"/>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37533"/>
    <w:rPr>
      <w:color w:val="954F72" w:themeColor="followedHyperlink"/>
      <w:u w:val="single"/>
    </w:rPr>
  </w:style>
  <w:style w:type="paragraph" w:styleId="Revision">
    <w:name w:val="Revision"/>
    <w:hidden/>
    <w:uiPriority w:val="99"/>
    <w:semiHidden/>
    <w:rsid w:val="0097191A"/>
  </w:style>
  <w:style w:type="paragraph" w:styleId="Header">
    <w:name w:val="header"/>
    <w:basedOn w:val="Normal"/>
    <w:link w:val="HeaderChar"/>
    <w:uiPriority w:val="99"/>
    <w:unhideWhenUsed/>
    <w:rsid w:val="00E02E43"/>
    <w:pPr>
      <w:tabs>
        <w:tab w:val="center" w:pos="4513"/>
        <w:tab w:val="right" w:pos="9026"/>
      </w:tabs>
    </w:pPr>
  </w:style>
  <w:style w:type="character" w:customStyle="1" w:styleId="HeaderChar">
    <w:name w:val="Header Char"/>
    <w:basedOn w:val="DefaultParagraphFont"/>
    <w:link w:val="Header"/>
    <w:uiPriority w:val="99"/>
    <w:rsid w:val="00E02E43"/>
  </w:style>
  <w:style w:type="character" w:customStyle="1" w:styleId="apple-converted-space">
    <w:name w:val="apple-converted-space"/>
    <w:basedOn w:val="DefaultParagraphFont"/>
    <w:rsid w:val="004152E8"/>
  </w:style>
  <w:style w:type="character" w:styleId="Emphasis">
    <w:name w:val="Emphasis"/>
    <w:basedOn w:val="DefaultParagraphFont"/>
    <w:uiPriority w:val="20"/>
    <w:qFormat/>
    <w:rsid w:val="004152E8"/>
    <w:rPr>
      <w:i/>
      <w:iCs/>
    </w:rPr>
  </w:style>
  <w:style w:type="character" w:styleId="UnresolvedMention">
    <w:name w:val="Unresolved Mention"/>
    <w:basedOn w:val="DefaultParagraphFont"/>
    <w:uiPriority w:val="99"/>
    <w:rsid w:val="00FB7AD8"/>
    <w:rPr>
      <w:color w:val="605E5C"/>
      <w:shd w:val="clear" w:color="auto" w:fill="E1DFDD"/>
    </w:rPr>
  </w:style>
  <w:style w:type="paragraph" w:styleId="Title">
    <w:name w:val="Title"/>
    <w:basedOn w:val="Normal"/>
    <w:next w:val="Normal"/>
    <w:link w:val="TitleChar"/>
    <w:uiPriority w:val="10"/>
    <w:qFormat/>
    <w:rsid w:val="00401625"/>
    <w:pPr>
      <w:spacing w:line="360" w:lineRule="auto"/>
      <w:jc w:val="both"/>
    </w:pPr>
    <w:rPr>
      <w:rFonts w:cstheme="minorHAnsi"/>
      <w:b/>
      <w:bCs/>
      <w:sz w:val="28"/>
      <w:szCs w:val="28"/>
    </w:rPr>
  </w:style>
  <w:style w:type="character" w:customStyle="1" w:styleId="TitleChar">
    <w:name w:val="Title Char"/>
    <w:basedOn w:val="DefaultParagraphFont"/>
    <w:link w:val="Title"/>
    <w:uiPriority w:val="10"/>
    <w:rsid w:val="00401625"/>
    <w:rPr>
      <w:rFonts w:cstheme="minorHAnsi"/>
      <w:b/>
      <w:bCs/>
      <w:sz w:val="28"/>
      <w:szCs w:val="28"/>
    </w:rPr>
  </w:style>
  <w:style w:type="paragraph" w:styleId="FootnoteText">
    <w:name w:val="footnote text"/>
    <w:basedOn w:val="Normal"/>
    <w:link w:val="FootnoteTextChar"/>
    <w:uiPriority w:val="99"/>
    <w:semiHidden/>
    <w:unhideWhenUsed/>
    <w:rsid w:val="00D918F5"/>
    <w:rPr>
      <w:sz w:val="20"/>
      <w:szCs w:val="20"/>
    </w:rPr>
  </w:style>
  <w:style w:type="character" w:customStyle="1" w:styleId="FootnoteTextChar">
    <w:name w:val="Footnote Text Char"/>
    <w:basedOn w:val="DefaultParagraphFont"/>
    <w:link w:val="FootnoteText"/>
    <w:uiPriority w:val="99"/>
    <w:semiHidden/>
    <w:rsid w:val="00D918F5"/>
    <w:rPr>
      <w:sz w:val="20"/>
      <w:szCs w:val="20"/>
    </w:rPr>
  </w:style>
  <w:style w:type="character" w:styleId="FootnoteReference">
    <w:name w:val="footnote reference"/>
    <w:basedOn w:val="DefaultParagraphFont"/>
    <w:uiPriority w:val="99"/>
    <w:semiHidden/>
    <w:unhideWhenUsed/>
    <w:rsid w:val="00D918F5"/>
    <w:rPr>
      <w:vertAlign w:val="superscript"/>
    </w:rPr>
  </w:style>
  <w:style w:type="character" w:customStyle="1" w:styleId="Heading1Char">
    <w:name w:val="Heading 1 Char"/>
    <w:basedOn w:val="DefaultParagraphFont"/>
    <w:link w:val="Heading1"/>
    <w:uiPriority w:val="9"/>
    <w:rsid w:val="003213FA"/>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282114">
      <w:bodyDiv w:val="1"/>
      <w:marLeft w:val="0"/>
      <w:marRight w:val="0"/>
      <w:marTop w:val="0"/>
      <w:marBottom w:val="0"/>
      <w:divBdr>
        <w:top w:val="none" w:sz="0" w:space="0" w:color="auto"/>
        <w:left w:val="none" w:sz="0" w:space="0" w:color="auto"/>
        <w:bottom w:val="none" w:sz="0" w:space="0" w:color="auto"/>
        <w:right w:val="none" w:sz="0" w:space="0" w:color="auto"/>
      </w:divBdr>
    </w:div>
    <w:div w:id="699622750">
      <w:bodyDiv w:val="1"/>
      <w:marLeft w:val="0"/>
      <w:marRight w:val="0"/>
      <w:marTop w:val="0"/>
      <w:marBottom w:val="0"/>
      <w:divBdr>
        <w:top w:val="none" w:sz="0" w:space="0" w:color="auto"/>
        <w:left w:val="none" w:sz="0" w:space="0" w:color="auto"/>
        <w:bottom w:val="none" w:sz="0" w:space="0" w:color="auto"/>
        <w:right w:val="none" w:sz="0" w:space="0" w:color="auto"/>
      </w:divBdr>
    </w:div>
    <w:div w:id="7361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www.urbis.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hyperlink" Target="https://www.gov.uk/government/news/domestic-abusers-face-crackdown-in-raft-of-new-measure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Ellen.Reeves@liverpool.ac.uk" TargetMode="External"/><Relationship Id="rId2" Type="http://schemas.openxmlformats.org/officeDocument/2006/relationships/hyperlink" Target="mailto:s.l.walklate@liverpool.ac.uk" TargetMode="External"/><Relationship Id="rId1" Type="http://schemas.openxmlformats.org/officeDocument/2006/relationships/hyperlink" Target="mailto:Kate.FitzGibbon@monas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6DAD-2674-6947-BB8B-FAD37EFEF529}">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9145</Words>
  <Characters>52129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2024-03-17T20:52:00Z</dcterms:created>
  <dcterms:modified xsi:type="dcterms:W3CDTF">2024-05-04T16:05:00Z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168e2af4dd001386ba5c3d3f059aa72f4f37dc81f8a917827bfa54ceba9fc330</vt:lpwstr>
  </property>
</Properties>
</file>