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4DC8E" w14:textId="59C50D76" w:rsidR="0097324D" w:rsidRPr="00A52F50" w:rsidRDefault="00843E80" w:rsidP="00A52F50">
      <w:pPr>
        <w:pStyle w:val="Heading1"/>
      </w:pPr>
      <w:r w:rsidRPr="00A52F50">
        <w:t>‘</w:t>
      </w:r>
      <w:r w:rsidR="00E552B2" w:rsidRPr="00A52F50">
        <w:t xml:space="preserve">We </w:t>
      </w:r>
      <w:r w:rsidR="00197E22" w:rsidRPr="00A52F50">
        <w:t>A</w:t>
      </w:r>
      <w:r w:rsidR="00E552B2" w:rsidRPr="00A52F50">
        <w:t xml:space="preserve">re </w:t>
      </w:r>
      <w:r w:rsidR="00197E22" w:rsidRPr="00A52F50">
        <w:t>N</w:t>
      </w:r>
      <w:r w:rsidR="00E552B2" w:rsidRPr="00A52F50">
        <w:t xml:space="preserve">ot </w:t>
      </w:r>
      <w:r w:rsidR="00197E22" w:rsidRPr="00A52F50">
        <w:t>L</w:t>
      </w:r>
      <w:r w:rsidR="00E552B2" w:rsidRPr="00A52F50">
        <w:t>eaving the Istanbul Convention’:</w:t>
      </w:r>
      <w:r w:rsidR="00623B18" w:rsidRPr="00A52F50">
        <w:t xml:space="preserve"> </w:t>
      </w:r>
      <w:r w:rsidR="00E552B2" w:rsidRPr="00A52F50">
        <w:t>D</w:t>
      </w:r>
      <w:r w:rsidR="00B054CC" w:rsidRPr="00A52F50">
        <w:t xml:space="preserve">isappearance of Istanbul Convention </w:t>
      </w:r>
      <w:r w:rsidR="00B3793F" w:rsidRPr="00A52F50">
        <w:t xml:space="preserve">from Türkiye </w:t>
      </w:r>
      <w:r w:rsidR="00E552B2" w:rsidRPr="00A52F50">
        <w:t>and</w:t>
      </w:r>
      <w:r w:rsidR="00F0658F" w:rsidRPr="00A52F50">
        <w:t xml:space="preserve"> presence of</w:t>
      </w:r>
      <w:r w:rsidR="00E552B2" w:rsidRPr="00A52F50">
        <w:t xml:space="preserve"> </w:t>
      </w:r>
      <w:r w:rsidR="001229D8" w:rsidRPr="00A52F50">
        <w:t>unlikely</w:t>
      </w:r>
      <w:r w:rsidR="00E552B2" w:rsidRPr="00A52F50">
        <w:t xml:space="preserve"> feminist legal spaces</w:t>
      </w:r>
      <w:r w:rsidR="00B3793F" w:rsidRPr="00A52F50">
        <w:t xml:space="preserve"> in international law-making</w:t>
      </w:r>
    </w:p>
    <w:p w14:paraId="51CA6F95" w14:textId="77777777" w:rsidR="002942DE" w:rsidRPr="00F65CC5" w:rsidRDefault="002942DE" w:rsidP="007933F6">
      <w:pPr>
        <w:jc w:val="both"/>
        <w:rPr>
          <w:rFonts w:asciiTheme="minorHAnsi" w:hAnsiTheme="minorHAnsi" w:cstheme="minorHAnsi"/>
        </w:rPr>
      </w:pPr>
    </w:p>
    <w:p w14:paraId="7A94F564" w14:textId="721BB626" w:rsidR="00205222" w:rsidRPr="00AD506A" w:rsidRDefault="00850B91" w:rsidP="00850B91">
      <w:pPr>
        <w:jc w:val="both"/>
        <w:rPr>
          <w:rFonts w:asciiTheme="minorHAnsi" w:hAnsiTheme="minorHAnsi" w:cstheme="minorHAnsi"/>
          <w:b/>
          <w:bCs/>
        </w:rPr>
      </w:pPr>
      <w:r w:rsidRPr="00850B91">
        <w:rPr>
          <w:rFonts w:asciiTheme="minorHAnsi" w:hAnsiTheme="minorHAnsi" w:cstheme="minorHAnsi"/>
          <w:b/>
          <w:bCs/>
        </w:rPr>
        <w:t>Elif Ceylan Özsoy</w:t>
      </w:r>
      <w:r w:rsidR="006F1301">
        <w:rPr>
          <w:rStyle w:val="FootnoteReference"/>
          <w:rFonts w:asciiTheme="minorHAnsi" w:hAnsiTheme="minorHAnsi" w:cstheme="minorHAnsi"/>
          <w:b/>
          <w:bCs/>
        </w:rPr>
        <w:footnoteReference w:customMarkFollows="1" w:id="1"/>
        <w:t>*</w:t>
      </w:r>
      <w:r w:rsidR="00E37184">
        <w:rPr>
          <w:rFonts w:asciiTheme="minorHAnsi" w:hAnsiTheme="minorHAnsi" w:cstheme="minorHAnsi"/>
          <w:b/>
          <w:bCs/>
        </w:rPr>
        <w:t xml:space="preserve"> and </w:t>
      </w:r>
      <w:r w:rsidR="00121600">
        <w:rPr>
          <w:rFonts w:asciiTheme="minorHAnsi" w:hAnsiTheme="minorHAnsi" w:cstheme="minorHAnsi"/>
          <w:b/>
          <w:bCs/>
        </w:rPr>
        <w:t xml:space="preserve">Cavidan </w:t>
      </w:r>
      <w:proofErr w:type="spellStart"/>
      <w:r w:rsidR="00E4421E">
        <w:rPr>
          <w:rFonts w:asciiTheme="minorHAnsi" w:hAnsiTheme="minorHAnsi" w:cstheme="minorHAnsi"/>
          <w:b/>
          <w:bCs/>
        </w:rPr>
        <w:t>Soykan</w:t>
      </w:r>
      <w:proofErr w:type="spellEnd"/>
      <w:r w:rsidR="006F1301">
        <w:rPr>
          <w:rStyle w:val="FootnoteReference"/>
          <w:rFonts w:asciiTheme="minorHAnsi" w:hAnsiTheme="minorHAnsi" w:cstheme="minorHAnsi"/>
          <w:b/>
          <w:bCs/>
        </w:rPr>
        <w:footnoteReference w:customMarkFollows="1" w:id="2"/>
        <w:t>**</w:t>
      </w:r>
    </w:p>
    <w:p w14:paraId="3945174E" w14:textId="5211BEE2" w:rsidR="00637A01" w:rsidRDefault="00637A01" w:rsidP="007933F6">
      <w:pPr>
        <w:jc w:val="both"/>
        <w:rPr>
          <w:rFonts w:asciiTheme="minorHAnsi" w:hAnsiTheme="minorHAnsi" w:cstheme="minorHAnsi"/>
          <w:b/>
          <w:bCs/>
        </w:rPr>
      </w:pPr>
    </w:p>
    <w:p w14:paraId="795EDF88" w14:textId="77777777" w:rsidR="006C0ACF" w:rsidRDefault="006C0ACF" w:rsidP="007933F6">
      <w:pPr>
        <w:jc w:val="both"/>
        <w:rPr>
          <w:rFonts w:asciiTheme="minorHAnsi" w:hAnsiTheme="minorHAnsi" w:cstheme="minorHAnsi"/>
          <w:b/>
          <w:bCs/>
        </w:rPr>
      </w:pPr>
    </w:p>
    <w:p w14:paraId="036C9D44" w14:textId="618D00A7" w:rsidR="00E6524F" w:rsidRPr="00A52F50" w:rsidRDefault="00E6524F" w:rsidP="00A52F50">
      <w:pPr>
        <w:pStyle w:val="Heading2"/>
      </w:pPr>
      <w:r w:rsidRPr="00A52F50">
        <w:t xml:space="preserve">Abstract </w:t>
      </w:r>
    </w:p>
    <w:p w14:paraId="56B10EAE" w14:textId="77777777" w:rsidR="006C0ACF" w:rsidRDefault="006C0ACF" w:rsidP="007933F6">
      <w:pPr>
        <w:jc w:val="both"/>
        <w:rPr>
          <w:rFonts w:asciiTheme="minorHAnsi" w:hAnsiTheme="minorHAnsi" w:cstheme="minorHAnsi"/>
        </w:rPr>
      </w:pPr>
    </w:p>
    <w:p w14:paraId="102A1A39" w14:textId="6C2EB3B5" w:rsidR="00643643" w:rsidRPr="00F65CC5" w:rsidRDefault="6F39BF36" w:rsidP="007933F6">
      <w:pPr>
        <w:jc w:val="both"/>
        <w:rPr>
          <w:rFonts w:asciiTheme="minorHAnsi" w:hAnsiTheme="minorHAnsi" w:cstheme="minorHAnsi"/>
        </w:rPr>
      </w:pPr>
      <w:r w:rsidRPr="00F65CC5">
        <w:rPr>
          <w:rFonts w:asciiTheme="minorHAnsi" w:hAnsiTheme="minorHAnsi" w:cstheme="minorHAnsi"/>
        </w:rPr>
        <w:t>Internati</w:t>
      </w:r>
      <w:r w:rsidR="6AF777F3" w:rsidRPr="00F65CC5">
        <w:rPr>
          <w:rFonts w:asciiTheme="minorHAnsi" w:hAnsiTheme="minorHAnsi" w:cstheme="minorHAnsi"/>
        </w:rPr>
        <w:t>onal law is typically</w:t>
      </w:r>
      <w:r w:rsidRPr="00F65CC5">
        <w:rPr>
          <w:rFonts w:asciiTheme="minorHAnsi" w:hAnsiTheme="minorHAnsi" w:cstheme="minorHAnsi"/>
        </w:rPr>
        <w:t xml:space="preserve"> a State-centric space</w:t>
      </w:r>
      <w:r w:rsidR="0A1502F4" w:rsidRPr="00F65CC5">
        <w:rPr>
          <w:rFonts w:asciiTheme="minorHAnsi" w:hAnsiTheme="minorHAnsi" w:cstheme="minorHAnsi"/>
        </w:rPr>
        <w:t>,</w:t>
      </w:r>
      <w:r w:rsidRPr="00F65CC5">
        <w:rPr>
          <w:rFonts w:asciiTheme="minorHAnsi" w:hAnsiTheme="minorHAnsi" w:cstheme="minorHAnsi"/>
        </w:rPr>
        <w:t xml:space="preserve"> consisting of a body of positive laws made</w:t>
      </w:r>
      <w:r w:rsidR="004E4DDA">
        <w:rPr>
          <w:rFonts w:asciiTheme="minorHAnsi" w:hAnsiTheme="minorHAnsi" w:cstheme="minorHAnsi"/>
        </w:rPr>
        <w:t xml:space="preserve"> </w:t>
      </w:r>
      <w:r w:rsidRPr="00F65CC5">
        <w:rPr>
          <w:rFonts w:asciiTheme="minorHAnsi" w:hAnsiTheme="minorHAnsi" w:cstheme="minorHAnsi"/>
        </w:rPr>
        <w:t>by sovereign States.</w:t>
      </w:r>
      <w:r w:rsidR="4A5FB1C1" w:rsidRPr="00F65CC5">
        <w:rPr>
          <w:rFonts w:asciiTheme="minorHAnsi" w:hAnsiTheme="minorHAnsi" w:cstheme="minorHAnsi"/>
        </w:rPr>
        <w:t xml:space="preserve"> Law and </w:t>
      </w:r>
      <w:r w:rsidR="152465E3" w:rsidRPr="00F65CC5">
        <w:rPr>
          <w:rFonts w:asciiTheme="minorHAnsi" w:hAnsiTheme="minorHAnsi" w:cstheme="minorHAnsi"/>
        </w:rPr>
        <w:t xml:space="preserve">the </w:t>
      </w:r>
      <w:r w:rsidR="4A5FB1C1" w:rsidRPr="00F65CC5">
        <w:rPr>
          <w:rFonts w:asciiTheme="minorHAnsi" w:hAnsiTheme="minorHAnsi" w:cstheme="minorHAnsi"/>
        </w:rPr>
        <w:t xml:space="preserve">production of </w:t>
      </w:r>
      <w:r w:rsidR="5212D3B8" w:rsidRPr="00F65CC5">
        <w:rPr>
          <w:rFonts w:asciiTheme="minorHAnsi" w:hAnsiTheme="minorHAnsi" w:cstheme="minorHAnsi"/>
        </w:rPr>
        <w:t>law</w:t>
      </w:r>
      <w:r w:rsidR="0833CE84" w:rsidRPr="00F65CC5">
        <w:rPr>
          <w:rFonts w:asciiTheme="minorHAnsi" w:hAnsiTheme="minorHAnsi" w:cstheme="minorHAnsi"/>
        </w:rPr>
        <w:t>s</w:t>
      </w:r>
      <w:r w:rsidR="5212D3B8" w:rsidRPr="00F65CC5">
        <w:rPr>
          <w:rFonts w:asciiTheme="minorHAnsi" w:hAnsiTheme="minorHAnsi" w:cstheme="minorHAnsi"/>
        </w:rPr>
        <w:t xml:space="preserve"> are dominated </w:t>
      </w:r>
      <w:r w:rsidR="3952DCBA" w:rsidRPr="00F65CC5">
        <w:rPr>
          <w:rFonts w:asciiTheme="minorHAnsi" w:hAnsiTheme="minorHAnsi" w:cstheme="minorHAnsi"/>
        </w:rPr>
        <w:t xml:space="preserve">by vertical and linear </w:t>
      </w:r>
      <w:r w:rsidR="5212D3B8" w:rsidRPr="00F65CC5">
        <w:rPr>
          <w:rFonts w:asciiTheme="minorHAnsi" w:hAnsiTheme="minorHAnsi" w:cstheme="minorHAnsi"/>
        </w:rPr>
        <w:t>legal</w:t>
      </w:r>
      <w:r w:rsidR="18639FFD" w:rsidRPr="00F65CC5">
        <w:rPr>
          <w:rFonts w:asciiTheme="minorHAnsi" w:hAnsiTheme="minorHAnsi" w:cstheme="minorHAnsi"/>
        </w:rPr>
        <w:t xml:space="preserve"> spaces</w:t>
      </w:r>
      <w:r w:rsidR="0021418F">
        <w:rPr>
          <w:rFonts w:asciiTheme="minorHAnsi" w:hAnsiTheme="minorHAnsi" w:cstheme="minorHAnsi"/>
        </w:rPr>
        <w:t xml:space="preserve">, </w:t>
      </w:r>
      <w:r w:rsidRPr="00F65CC5">
        <w:rPr>
          <w:rFonts w:asciiTheme="minorHAnsi" w:hAnsiTheme="minorHAnsi" w:cstheme="minorHAnsi"/>
        </w:rPr>
        <w:t>governed by</w:t>
      </w:r>
      <w:r w:rsidR="1E08B156" w:rsidRPr="00F65CC5">
        <w:rPr>
          <w:rFonts w:asciiTheme="minorHAnsi" w:hAnsiTheme="minorHAnsi" w:cstheme="minorHAnsi"/>
        </w:rPr>
        <w:t xml:space="preserve"> a</w:t>
      </w:r>
      <w:r w:rsidRPr="00F65CC5">
        <w:rPr>
          <w:rFonts w:asciiTheme="minorHAnsi" w:hAnsiTheme="minorHAnsi" w:cstheme="minorHAnsi"/>
        </w:rPr>
        <w:t xml:space="preserve"> </w:t>
      </w:r>
      <w:r w:rsidR="3952DCBA" w:rsidRPr="00F65CC5">
        <w:rPr>
          <w:rFonts w:asciiTheme="minorHAnsi" w:hAnsiTheme="minorHAnsi" w:cstheme="minorHAnsi"/>
        </w:rPr>
        <w:t xml:space="preserve">hierarchical </w:t>
      </w:r>
      <w:r w:rsidRPr="00F65CC5">
        <w:rPr>
          <w:rFonts w:asciiTheme="minorHAnsi" w:hAnsiTheme="minorHAnsi" w:cstheme="minorHAnsi"/>
        </w:rPr>
        <w:t>normative order</w:t>
      </w:r>
      <w:r w:rsidR="2E40A0C1" w:rsidRPr="00F65CC5">
        <w:rPr>
          <w:rFonts w:asciiTheme="minorHAnsi" w:hAnsiTheme="minorHAnsi" w:cstheme="minorHAnsi"/>
        </w:rPr>
        <w:t>,</w:t>
      </w:r>
      <w:r w:rsidRPr="00F65CC5">
        <w:rPr>
          <w:rFonts w:asciiTheme="minorHAnsi" w:hAnsiTheme="minorHAnsi" w:cstheme="minorHAnsi"/>
        </w:rPr>
        <w:t xml:space="preserve"> whose single author is the </w:t>
      </w:r>
      <w:r w:rsidR="00F1645F">
        <w:rPr>
          <w:rFonts w:asciiTheme="minorHAnsi" w:hAnsiTheme="minorHAnsi" w:cstheme="minorHAnsi"/>
        </w:rPr>
        <w:t>S</w:t>
      </w:r>
      <w:r w:rsidRPr="00F65CC5">
        <w:rPr>
          <w:rFonts w:asciiTheme="minorHAnsi" w:hAnsiTheme="minorHAnsi" w:cstheme="minorHAnsi"/>
        </w:rPr>
        <w:t xml:space="preserve">tate. Feminist engagements with law </w:t>
      </w:r>
      <w:r w:rsidR="3952DCBA" w:rsidRPr="00F65CC5">
        <w:rPr>
          <w:rFonts w:asciiTheme="minorHAnsi" w:hAnsiTheme="minorHAnsi" w:cstheme="minorHAnsi"/>
        </w:rPr>
        <w:t>can sometimes be reduced to interactions with the laws made within those vertical legal</w:t>
      </w:r>
      <w:r w:rsidR="1E08B156" w:rsidRPr="00F65CC5">
        <w:rPr>
          <w:rFonts w:asciiTheme="minorHAnsi" w:hAnsiTheme="minorHAnsi" w:cstheme="minorHAnsi"/>
        </w:rPr>
        <w:t xml:space="preserve"> spaces</w:t>
      </w:r>
      <w:r w:rsidR="26EB4EAE" w:rsidRPr="00F65CC5">
        <w:rPr>
          <w:rFonts w:asciiTheme="minorHAnsi" w:hAnsiTheme="minorHAnsi" w:cstheme="minorHAnsi"/>
        </w:rPr>
        <w:t xml:space="preserve"> </w:t>
      </w:r>
      <w:r w:rsidR="00D046F8">
        <w:rPr>
          <w:rFonts w:asciiTheme="minorHAnsi" w:hAnsiTheme="minorHAnsi" w:cstheme="minorHAnsi"/>
        </w:rPr>
        <w:t>and pertain</w:t>
      </w:r>
      <w:r w:rsidR="26EB4EAE" w:rsidRPr="00F65CC5">
        <w:rPr>
          <w:rFonts w:asciiTheme="minorHAnsi" w:hAnsiTheme="minorHAnsi" w:cstheme="minorHAnsi"/>
        </w:rPr>
        <w:t xml:space="preserve"> t</w:t>
      </w:r>
      <w:r w:rsidR="66184FA2" w:rsidRPr="00F65CC5">
        <w:rPr>
          <w:rFonts w:asciiTheme="minorHAnsi" w:hAnsiTheme="minorHAnsi" w:cstheme="minorHAnsi"/>
        </w:rPr>
        <w:t>o</w:t>
      </w:r>
      <w:r w:rsidR="26EB4EAE" w:rsidRPr="00F65CC5">
        <w:rPr>
          <w:rFonts w:asciiTheme="minorHAnsi" w:hAnsiTheme="minorHAnsi" w:cstheme="minorHAnsi"/>
        </w:rPr>
        <w:t xml:space="preserve"> </w:t>
      </w:r>
      <w:r w:rsidR="633E282B" w:rsidRPr="00F65CC5">
        <w:rPr>
          <w:rFonts w:asciiTheme="minorHAnsi" w:hAnsiTheme="minorHAnsi" w:cstheme="minorHAnsi"/>
        </w:rPr>
        <w:t xml:space="preserve">demanding </w:t>
      </w:r>
      <w:r w:rsidR="26EB4EAE" w:rsidRPr="00F65CC5">
        <w:rPr>
          <w:rFonts w:asciiTheme="minorHAnsi" w:hAnsiTheme="minorHAnsi" w:cstheme="minorHAnsi"/>
        </w:rPr>
        <w:t>new rights</w:t>
      </w:r>
      <w:r w:rsidR="3952DCBA" w:rsidRPr="00F65CC5">
        <w:rPr>
          <w:rFonts w:asciiTheme="minorHAnsi" w:hAnsiTheme="minorHAnsi" w:cstheme="minorHAnsi"/>
        </w:rPr>
        <w:t>.</w:t>
      </w:r>
      <w:r w:rsidR="633E282B" w:rsidRPr="00F65CC5">
        <w:rPr>
          <w:rFonts w:asciiTheme="minorHAnsi" w:hAnsiTheme="minorHAnsi" w:cstheme="minorHAnsi"/>
        </w:rPr>
        <w:t xml:space="preserve"> As pointed out by Margaret Davies</w:t>
      </w:r>
      <w:r w:rsidR="00F723B5">
        <w:rPr>
          <w:rFonts w:asciiTheme="minorHAnsi" w:hAnsiTheme="minorHAnsi" w:cstheme="minorHAnsi"/>
        </w:rPr>
        <w:t>,</w:t>
      </w:r>
      <w:r w:rsidR="28ACAD1B" w:rsidRPr="00F65CC5">
        <w:rPr>
          <w:rFonts w:asciiTheme="minorHAnsi" w:hAnsiTheme="minorHAnsi" w:cstheme="minorHAnsi"/>
        </w:rPr>
        <w:t xml:space="preserve"> </w:t>
      </w:r>
      <w:r w:rsidR="00F723B5">
        <w:rPr>
          <w:rFonts w:asciiTheme="minorHAnsi" w:hAnsiTheme="minorHAnsi" w:cstheme="minorHAnsi"/>
        </w:rPr>
        <w:t xml:space="preserve">an </w:t>
      </w:r>
      <w:r w:rsidR="2B3631C8" w:rsidRPr="00F65CC5">
        <w:rPr>
          <w:rFonts w:asciiTheme="minorHAnsi" w:hAnsiTheme="minorHAnsi" w:cstheme="minorHAnsi"/>
        </w:rPr>
        <w:t>absence of</w:t>
      </w:r>
      <w:r w:rsidR="633E282B" w:rsidRPr="00F65CC5">
        <w:rPr>
          <w:rFonts w:asciiTheme="minorHAnsi" w:hAnsiTheme="minorHAnsi" w:cstheme="minorHAnsi"/>
        </w:rPr>
        <w:t xml:space="preserve"> </w:t>
      </w:r>
      <w:r w:rsidR="2B3631C8" w:rsidRPr="00F65CC5">
        <w:rPr>
          <w:rFonts w:asciiTheme="minorHAnsi" w:hAnsiTheme="minorHAnsi" w:cstheme="minorHAnsi"/>
        </w:rPr>
        <w:t>f</w:t>
      </w:r>
      <w:r w:rsidR="633E282B" w:rsidRPr="00F65CC5">
        <w:rPr>
          <w:rFonts w:asciiTheme="minorHAnsi" w:hAnsiTheme="minorHAnsi" w:cstheme="minorHAnsi"/>
        </w:rPr>
        <w:t xml:space="preserve">eminist legal </w:t>
      </w:r>
      <w:r w:rsidR="2B3631C8" w:rsidRPr="00F65CC5">
        <w:rPr>
          <w:rFonts w:asciiTheme="minorHAnsi" w:hAnsiTheme="minorHAnsi" w:cstheme="minorHAnsi"/>
        </w:rPr>
        <w:t>spaces is presumed when feminis</w:t>
      </w:r>
      <w:r w:rsidR="76FAF294" w:rsidRPr="00F65CC5">
        <w:rPr>
          <w:rFonts w:asciiTheme="minorHAnsi" w:hAnsiTheme="minorHAnsi" w:cstheme="minorHAnsi"/>
        </w:rPr>
        <w:t>t analys</w:t>
      </w:r>
      <w:r w:rsidR="00E33F0C">
        <w:rPr>
          <w:rFonts w:asciiTheme="minorHAnsi" w:hAnsiTheme="minorHAnsi" w:cstheme="minorHAnsi"/>
        </w:rPr>
        <w:t>es</w:t>
      </w:r>
      <w:r w:rsidR="76FAF294" w:rsidRPr="00F65CC5">
        <w:rPr>
          <w:rFonts w:asciiTheme="minorHAnsi" w:hAnsiTheme="minorHAnsi" w:cstheme="minorHAnsi"/>
        </w:rPr>
        <w:t xml:space="preserve"> of law </w:t>
      </w:r>
      <w:r w:rsidR="00352409">
        <w:rPr>
          <w:rFonts w:asciiTheme="minorHAnsi" w:hAnsiTheme="minorHAnsi" w:cstheme="minorHAnsi"/>
        </w:rPr>
        <w:t>are</w:t>
      </w:r>
      <w:r w:rsidR="76FAF294" w:rsidRPr="00F65CC5">
        <w:rPr>
          <w:rFonts w:asciiTheme="minorHAnsi" w:hAnsiTheme="minorHAnsi" w:cstheme="minorHAnsi"/>
        </w:rPr>
        <w:t xml:space="preserve"> made</w:t>
      </w:r>
      <w:r w:rsidR="2B3631C8" w:rsidRPr="00F65CC5">
        <w:rPr>
          <w:rFonts w:asciiTheme="minorHAnsi" w:hAnsiTheme="minorHAnsi" w:cstheme="minorHAnsi"/>
        </w:rPr>
        <w:t xml:space="preserve">. </w:t>
      </w:r>
      <w:r w:rsidR="3952DCBA" w:rsidRPr="00F65CC5">
        <w:rPr>
          <w:rFonts w:asciiTheme="minorHAnsi" w:hAnsiTheme="minorHAnsi" w:cstheme="minorHAnsi"/>
        </w:rPr>
        <w:t xml:space="preserve">In this article, we investigate feminist legal spaces that </w:t>
      </w:r>
      <w:r w:rsidR="633E282B" w:rsidRPr="00F65CC5">
        <w:rPr>
          <w:rFonts w:asciiTheme="minorHAnsi" w:hAnsiTheme="minorHAnsi" w:cstheme="minorHAnsi"/>
        </w:rPr>
        <w:t xml:space="preserve">are part of </w:t>
      </w:r>
      <w:r w:rsidR="786DF7C7" w:rsidRPr="00F65CC5">
        <w:rPr>
          <w:rFonts w:asciiTheme="minorHAnsi" w:hAnsiTheme="minorHAnsi" w:cstheme="minorHAnsi"/>
        </w:rPr>
        <w:t xml:space="preserve">the </w:t>
      </w:r>
      <w:r w:rsidR="633E282B" w:rsidRPr="00F65CC5">
        <w:rPr>
          <w:rFonts w:asciiTheme="minorHAnsi" w:hAnsiTheme="minorHAnsi" w:cstheme="minorHAnsi"/>
        </w:rPr>
        <w:t>legal realm</w:t>
      </w:r>
      <w:r w:rsidR="00352409">
        <w:rPr>
          <w:rFonts w:asciiTheme="minorHAnsi" w:hAnsiTheme="minorHAnsi" w:cstheme="minorHAnsi"/>
        </w:rPr>
        <w:t>,</w:t>
      </w:r>
      <w:r w:rsidR="633E282B" w:rsidRPr="00F65CC5">
        <w:rPr>
          <w:rFonts w:asciiTheme="minorHAnsi" w:hAnsiTheme="minorHAnsi" w:cstheme="minorHAnsi"/>
        </w:rPr>
        <w:t xml:space="preserve"> but </w:t>
      </w:r>
      <w:r w:rsidR="2B3631C8" w:rsidRPr="00F65CC5">
        <w:rPr>
          <w:rFonts w:asciiTheme="minorHAnsi" w:hAnsiTheme="minorHAnsi" w:cstheme="minorHAnsi"/>
        </w:rPr>
        <w:t>not an extension of</w:t>
      </w:r>
      <w:r w:rsidR="633E282B" w:rsidRPr="00F65CC5">
        <w:rPr>
          <w:rFonts w:asciiTheme="minorHAnsi" w:hAnsiTheme="minorHAnsi" w:cstheme="minorHAnsi"/>
        </w:rPr>
        <w:t xml:space="preserve"> vertical normativity.</w:t>
      </w:r>
      <w:r w:rsidR="7AA66E37" w:rsidRPr="00F65CC5">
        <w:rPr>
          <w:rFonts w:asciiTheme="minorHAnsi" w:hAnsiTheme="minorHAnsi" w:cstheme="minorHAnsi"/>
        </w:rPr>
        <w:t xml:space="preserve"> F</w:t>
      </w:r>
      <w:r w:rsidR="2B3631C8" w:rsidRPr="00F65CC5">
        <w:rPr>
          <w:rFonts w:asciiTheme="minorHAnsi" w:hAnsiTheme="minorHAnsi" w:cstheme="minorHAnsi"/>
        </w:rPr>
        <w:t>eminist legal spaces co-constitute law</w:t>
      </w:r>
      <w:r w:rsidR="00722FAF">
        <w:rPr>
          <w:rFonts w:asciiTheme="minorHAnsi" w:hAnsiTheme="minorHAnsi" w:cstheme="minorHAnsi"/>
        </w:rPr>
        <w:t>,</w:t>
      </w:r>
      <w:r w:rsidR="2B3631C8" w:rsidRPr="00F65CC5">
        <w:rPr>
          <w:rFonts w:asciiTheme="minorHAnsi" w:hAnsiTheme="minorHAnsi" w:cstheme="minorHAnsi"/>
        </w:rPr>
        <w:t xml:space="preserve"> along with different scales of law</w:t>
      </w:r>
      <w:r w:rsidR="00722FAF">
        <w:rPr>
          <w:rFonts w:asciiTheme="minorHAnsi" w:hAnsiTheme="minorHAnsi" w:cstheme="minorHAnsi"/>
        </w:rPr>
        <w:t>,</w:t>
      </w:r>
      <w:r w:rsidR="2B3631C8" w:rsidRPr="00F65CC5">
        <w:rPr>
          <w:rFonts w:asciiTheme="minorHAnsi" w:hAnsiTheme="minorHAnsi" w:cstheme="minorHAnsi"/>
        </w:rPr>
        <w:t xml:space="preserve"> including vertical State law. </w:t>
      </w:r>
      <w:r w:rsidR="0AC79E08" w:rsidRPr="00F65CC5">
        <w:rPr>
          <w:rFonts w:asciiTheme="minorHAnsi" w:hAnsiTheme="minorHAnsi" w:cstheme="minorHAnsi"/>
        </w:rPr>
        <w:t>T</w:t>
      </w:r>
      <w:r w:rsidR="6953477F" w:rsidRPr="00F65CC5">
        <w:rPr>
          <w:rFonts w:asciiTheme="minorHAnsi" w:hAnsiTheme="minorHAnsi" w:cstheme="minorHAnsi"/>
        </w:rPr>
        <w:t>he</w:t>
      </w:r>
      <w:r w:rsidR="0AC79E08" w:rsidRPr="00F65CC5">
        <w:rPr>
          <w:rFonts w:asciiTheme="minorHAnsi" w:hAnsiTheme="minorHAnsi" w:cstheme="minorHAnsi"/>
        </w:rPr>
        <w:t>refore</w:t>
      </w:r>
      <w:r w:rsidR="546437C2" w:rsidRPr="00F65CC5">
        <w:rPr>
          <w:rFonts w:asciiTheme="minorHAnsi" w:hAnsiTheme="minorHAnsi" w:cstheme="minorHAnsi"/>
        </w:rPr>
        <w:t>,</w:t>
      </w:r>
      <w:r w:rsidR="0AC79E08" w:rsidRPr="00F65CC5">
        <w:rPr>
          <w:rFonts w:asciiTheme="minorHAnsi" w:hAnsiTheme="minorHAnsi" w:cstheme="minorHAnsi"/>
        </w:rPr>
        <w:t xml:space="preserve"> those feminist spaces</w:t>
      </w:r>
      <w:r w:rsidR="5DCEB964" w:rsidRPr="00F65CC5">
        <w:rPr>
          <w:rFonts w:asciiTheme="minorHAnsi" w:hAnsiTheme="minorHAnsi" w:cstheme="minorHAnsi"/>
        </w:rPr>
        <w:t xml:space="preserve"> create</w:t>
      </w:r>
      <w:r w:rsidR="0AC79E08" w:rsidRPr="00F65CC5">
        <w:rPr>
          <w:rFonts w:asciiTheme="minorHAnsi" w:hAnsiTheme="minorHAnsi" w:cstheme="minorHAnsi"/>
        </w:rPr>
        <w:t xml:space="preserve"> </w:t>
      </w:r>
      <w:r w:rsidR="2A5B55AD" w:rsidRPr="00F65CC5">
        <w:rPr>
          <w:rFonts w:asciiTheme="minorHAnsi" w:hAnsiTheme="minorHAnsi" w:cstheme="minorHAnsi"/>
        </w:rPr>
        <w:t xml:space="preserve">feminist </w:t>
      </w:r>
      <w:r w:rsidR="27EACF7B" w:rsidRPr="00F65CC5">
        <w:rPr>
          <w:rFonts w:asciiTheme="minorHAnsi" w:hAnsiTheme="minorHAnsi" w:cstheme="minorHAnsi"/>
        </w:rPr>
        <w:t>legality,</w:t>
      </w:r>
      <w:r w:rsidR="5DCEB964" w:rsidRPr="00F65CC5">
        <w:rPr>
          <w:rFonts w:asciiTheme="minorHAnsi" w:hAnsiTheme="minorHAnsi" w:cstheme="minorHAnsi"/>
        </w:rPr>
        <w:t xml:space="preserve"> and they</w:t>
      </w:r>
      <w:r w:rsidR="2B3631C8" w:rsidRPr="00F65CC5">
        <w:rPr>
          <w:rFonts w:asciiTheme="minorHAnsi" w:hAnsiTheme="minorHAnsi" w:cstheme="minorHAnsi"/>
        </w:rPr>
        <w:t xml:space="preserve"> </w:t>
      </w:r>
      <w:r w:rsidR="3952DCBA" w:rsidRPr="00F65CC5">
        <w:rPr>
          <w:rFonts w:asciiTheme="minorHAnsi" w:hAnsiTheme="minorHAnsi" w:cstheme="minorHAnsi"/>
        </w:rPr>
        <w:t xml:space="preserve">are </w:t>
      </w:r>
      <w:r w:rsidR="270FD200" w:rsidRPr="00F65CC5">
        <w:rPr>
          <w:rFonts w:asciiTheme="minorHAnsi" w:hAnsiTheme="minorHAnsi" w:cstheme="minorHAnsi"/>
        </w:rPr>
        <w:t xml:space="preserve">not visible when looked </w:t>
      </w:r>
      <w:r w:rsidR="5895AF46" w:rsidRPr="00F65CC5">
        <w:rPr>
          <w:rFonts w:asciiTheme="minorHAnsi" w:hAnsiTheme="minorHAnsi" w:cstheme="minorHAnsi"/>
        </w:rPr>
        <w:t xml:space="preserve">at through </w:t>
      </w:r>
      <w:r w:rsidR="270FD200" w:rsidRPr="00F65CC5">
        <w:rPr>
          <w:rFonts w:asciiTheme="minorHAnsi" w:hAnsiTheme="minorHAnsi" w:cstheme="minorHAnsi"/>
        </w:rPr>
        <w:t>vertical and linear lenses.</w:t>
      </w:r>
      <w:r w:rsidR="26EB4EAE" w:rsidRPr="00F65CC5">
        <w:rPr>
          <w:rFonts w:asciiTheme="minorHAnsi" w:hAnsiTheme="minorHAnsi" w:cstheme="minorHAnsi"/>
        </w:rPr>
        <w:t xml:space="preserve"> </w:t>
      </w:r>
      <w:r w:rsidR="6F623BE0" w:rsidRPr="00F65CC5">
        <w:rPr>
          <w:rFonts w:asciiTheme="minorHAnsi" w:hAnsiTheme="minorHAnsi" w:cstheme="minorHAnsi"/>
        </w:rPr>
        <w:t>In this article</w:t>
      </w:r>
      <w:r w:rsidR="001461AD">
        <w:rPr>
          <w:rFonts w:asciiTheme="minorHAnsi" w:hAnsiTheme="minorHAnsi" w:cstheme="minorHAnsi"/>
        </w:rPr>
        <w:t>,</w:t>
      </w:r>
      <w:r w:rsidR="6F623BE0" w:rsidRPr="00F65CC5">
        <w:rPr>
          <w:rFonts w:asciiTheme="minorHAnsi" w:hAnsiTheme="minorHAnsi" w:cstheme="minorHAnsi"/>
        </w:rPr>
        <w:t xml:space="preserve"> we p</w:t>
      </w:r>
      <w:r w:rsidR="2270682A" w:rsidRPr="00F65CC5">
        <w:rPr>
          <w:rFonts w:asciiTheme="minorHAnsi" w:hAnsiTheme="minorHAnsi" w:cstheme="minorHAnsi"/>
        </w:rPr>
        <w:t>ut our untraditional lenses on</w:t>
      </w:r>
      <w:r w:rsidR="61244BCF" w:rsidRPr="00F65CC5">
        <w:rPr>
          <w:rFonts w:asciiTheme="minorHAnsi" w:hAnsiTheme="minorHAnsi" w:cstheme="minorHAnsi"/>
        </w:rPr>
        <w:t xml:space="preserve">, decentralising </w:t>
      </w:r>
      <w:r w:rsidR="002E5791">
        <w:rPr>
          <w:rFonts w:asciiTheme="minorHAnsi" w:hAnsiTheme="minorHAnsi" w:cstheme="minorHAnsi"/>
        </w:rPr>
        <w:t>the</w:t>
      </w:r>
      <w:r w:rsidR="786DF7C7" w:rsidRPr="00F65CC5">
        <w:rPr>
          <w:rFonts w:asciiTheme="minorHAnsi" w:hAnsiTheme="minorHAnsi" w:cstheme="minorHAnsi"/>
        </w:rPr>
        <w:t xml:space="preserve"> </w:t>
      </w:r>
      <w:r w:rsidR="61244BCF" w:rsidRPr="00F65CC5">
        <w:rPr>
          <w:rFonts w:asciiTheme="minorHAnsi" w:hAnsiTheme="minorHAnsi" w:cstheme="minorHAnsi"/>
        </w:rPr>
        <w:t>vertical sight of law</w:t>
      </w:r>
      <w:r w:rsidR="786DF7C7" w:rsidRPr="00F65CC5">
        <w:rPr>
          <w:rFonts w:asciiTheme="minorHAnsi" w:hAnsiTheme="minorHAnsi" w:cstheme="minorHAnsi"/>
        </w:rPr>
        <w:t xml:space="preserve"> while</w:t>
      </w:r>
      <w:r w:rsidR="6F623BE0" w:rsidRPr="00F65CC5">
        <w:rPr>
          <w:rFonts w:asciiTheme="minorHAnsi" w:hAnsiTheme="minorHAnsi" w:cstheme="minorHAnsi"/>
        </w:rPr>
        <w:t xml:space="preserve"> aiming to find feminist legal spaces within </w:t>
      </w:r>
      <w:r w:rsidR="5BA3E263" w:rsidRPr="00F65CC5">
        <w:rPr>
          <w:rFonts w:asciiTheme="minorHAnsi" w:hAnsiTheme="minorHAnsi" w:cstheme="minorHAnsi"/>
        </w:rPr>
        <w:t xml:space="preserve">the </w:t>
      </w:r>
      <w:r w:rsidR="6F623BE0" w:rsidRPr="00F65CC5">
        <w:rPr>
          <w:rFonts w:asciiTheme="minorHAnsi" w:hAnsiTheme="minorHAnsi" w:cstheme="minorHAnsi"/>
        </w:rPr>
        <w:t>feminist resistance</w:t>
      </w:r>
      <w:r w:rsidR="78D9F693" w:rsidRPr="00F65CC5">
        <w:rPr>
          <w:rFonts w:asciiTheme="minorHAnsi" w:hAnsiTheme="minorHAnsi" w:cstheme="minorHAnsi"/>
        </w:rPr>
        <w:t xml:space="preserve"> </w:t>
      </w:r>
      <w:r w:rsidR="4722DFEE" w:rsidRPr="00F65CC5">
        <w:rPr>
          <w:rFonts w:asciiTheme="minorHAnsi" w:hAnsiTheme="minorHAnsi" w:cstheme="minorHAnsi"/>
        </w:rPr>
        <w:t>against</w:t>
      </w:r>
      <w:r w:rsidR="006F27A2" w:rsidRPr="00F65CC5">
        <w:rPr>
          <w:rFonts w:asciiTheme="minorHAnsi" w:hAnsiTheme="minorHAnsi" w:cstheme="minorHAnsi"/>
        </w:rPr>
        <w:t xml:space="preserve"> </w:t>
      </w:r>
      <w:r w:rsidR="6F623BE0" w:rsidRPr="00F65CC5">
        <w:rPr>
          <w:rFonts w:asciiTheme="minorHAnsi" w:hAnsiTheme="minorHAnsi" w:cstheme="minorHAnsi"/>
        </w:rPr>
        <w:t>T</w:t>
      </w:r>
      <w:r w:rsidR="6F4BDEC3" w:rsidRPr="00F65CC5">
        <w:rPr>
          <w:rFonts w:asciiTheme="minorHAnsi" w:hAnsiTheme="minorHAnsi" w:cstheme="minorHAnsi"/>
        </w:rPr>
        <w:t>ü</w:t>
      </w:r>
      <w:r w:rsidR="6F623BE0" w:rsidRPr="00F65CC5">
        <w:rPr>
          <w:rFonts w:asciiTheme="minorHAnsi" w:hAnsiTheme="minorHAnsi" w:cstheme="minorHAnsi"/>
        </w:rPr>
        <w:t xml:space="preserve">rkiye’s withdrawal from </w:t>
      </w:r>
      <w:r w:rsidR="27CCC222" w:rsidRPr="00F65CC5">
        <w:rPr>
          <w:rFonts w:asciiTheme="minorHAnsi" w:hAnsiTheme="minorHAnsi" w:cstheme="minorHAnsi"/>
        </w:rPr>
        <w:t xml:space="preserve">the </w:t>
      </w:r>
      <w:r w:rsidR="6F623BE0" w:rsidRPr="00F65CC5">
        <w:rPr>
          <w:rFonts w:asciiTheme="minorHAnsi" w:hAnsiTheme="minorHAnsi" w:cstheme="minorHAnsi"/>
        </w:rPr>
        <w:t xml:space="preserve">Istanbul Convention. </w:t>
      </w:r>
      <w:r w:rsidR="7F0D7753" w:rsidRPr="00F65CC5">
        <w:rPr>
          <w:rFonts w:asciiTheme="minorHAnsi" w:hAnsiTheme="minorHAnsi" w:cstheme="minorHAnsi"/>
        </w:rPr>
        <w:t xml:space="preserve">With this aim, </w:t>
      </w:r>
      <w:r w:rsidR="270FD200" w:rsidRPr="00F65CC5">
        <w:rPr>
          <w:rFonts w:asciiTheme="minorHAnsi" w:hAnsiTheme="minorHAnsi" w:cstheme="minorHAnsi"/>
        </w:rPr>
        <w:t>we interviewed</w:t>
      </w:r>
      <w:r w:rsidR="224DA9BD" w:rsidRPr="00F65CC5">
        <w:rPr>
          <w:rFonts w:asciiTheme="minorHAnsi" w:hAnsiTheme="minorHAnsi" w:cstheme="minorHAnsi"/>
        </w:rPr>
        <w:t xml:space="preserve"> eight</w:t>
      </w:r>
      <w:r w:rsidR="005F2A44" w:rsidRPr="00F65CC5">
        <w:rPr>
          <w:rFonts w:asciiTheme="minorHAnsi" w:hAnsiTheme="minorHAnsi" w:cstheme="minorHAnsi"/>
        </w:rPr>
        <w:t xml:space="preserve"> </w:t>
      </w:r>
      <w:r w:rsidR="270FD200" w:rsidRPr="00F65CC5">
        <w:rPr>
          <w:rFonts w:asciiTheme="minorHAnsi" w:hAnsiTheme="minorHAnsi" w:cstheme="minorHAnsi"/>
        </w:rPr>
        <w:t>activists who resisted Türkiye’s withdrawal from the Istanbul Convention</w:t>
      </w:r>
      <w:r w:rsidR="42F690D1" w:rsidRPr="00F65CC5">
        <w:rPr>
          <w:rFonts w:asciiTheme="minorHAnsi" w:hAnsiTheme="minorHAnsi" w:cstheme="minorHAnsi"/>
        </w:rPr>
        <w:t xml:space="preserve">. </w:t>
      </w:r>
      <w:r w:rsidR="4E0DE36B" w:rsidRPr="00F65CC5">
        <w:rPr>
          <w:rFonts w:asciiTheme="minorHAnsi" w:hAnsiTheme="minorHAnsi" w:cstheme="minorHAnsi"/>
        </w:rPr>
        <w:t xml:space="preserve">Considering law as a non-vertical space, we examined the interviews through a combined reading of Zoe Pearson’s </w:t>
      </w:r>
      <w:r w:rsidR="00051669">
        <w:rPr>
          <w:rFonts w:asciiTheme="minorHAnsi" w:hAnsiTheme="minorHAnsi" w:cstheme="minorHAnsi"/>
        </w:rPr>
        <w:t>‘</w:t>
      </w:r>
      <w:r w:rsidR="4E0DE36B" w:rsidRPr="00F65CC5">
        <w:rPr>
          <w:rFonts w:asciiTheme="minorHAnsi" w:hAnsiTheme="minorHAnsi" w:cstheme="minorHAnsi"/>
        </w:rPr>
        <w:t>unlikely</w:t>
      </w:r>
      <w:r w:rsidR="00051669">
        <w:rPr>
          <w:rFonts w:asciiTheme="minorHAnsi" w:hAnsiTheme="minorHAnsi" w:cstheme="minorHAnsi"/>
        </w:rPr>
        <w:t>’</w:t>
      </w:r>
      <w:r w:rsidR="4E0DE36B" w:rsidRPr="00F65CC5">
        <w:rPr>
          <w:rFonts w:asciiTheme="minorHAnsi" w:hAnsiTheme="minorHAnsi" w:cstheme="minorHAnsi"/>
        </w:rPr>
        <w:t xml:space="preserve">, Sally Engle Merry’s </w:t>
      </w:r>
      <w:r w:rsidR="00051669">
        <w:rPr>
          <w:rFonts w:asciiTheme="minorHAnsi" w:hAnsiTheme="minorHAnsi" w:cstheme="minorHAnsi"/>
        </w:rPr>
        <w:t>‘</w:t>
      </w:r>
      <w:r w:rsidR="4E0DE36B" w:rsidRPr="00F65CC5">
        <w:rPr>
          <w:rFonts w:asciiTheme="minorHAnsi" w:hAnsiTheme="minorHAnsi" w:cstheme="minorHAnsi"/>
        </w:rPr>
        <w:t>hybrid</w:t>
      </w:r>
      <w:r w:rsidR="00051669">
        <w:rPr>
          <w:rFonts w:asciiTheme="minorHAnsi" w:hAnsiTheme="minorHAnsi" w:cstheme="minorHAnsi"/>
        </w:rPr>
        <w:t>’,</w:t>
      </w:r>
      <w:r w:rsidR="4E0DE36B" w:rsidRPr="00F65CC5">
        <w:rPr>
          <w:rFonts w:asciiTheme="minorHAnsi" w:hAnsiTheme="minorHAnsi" w:cstheme="minorHAnsi"/>
        </w:rPr>
        <w:t xml:space="preserve"> and Margaret Davies’ </w:t>
      </w:r>
      <w:r w:rsidR="00051669">
        <w:rPr>
          <w:rFonts w:asciiTheme="minorHAnsi" w:hAnsiTheme="minorHAnsi" w:cstheme="minorHAnsi"/>
        </w:rPr>
        <w:t>‘</w:t>
      </w:r>
      <w:r w:rsidR="4E0DE36B" w:rsidRPr="00F65CC5">
        <w:rPr>
          <w:rFonts w:asciiTheme="minorHAnsi" w:hAnsiTheme="minorHAnsi" w:cstheme="minorHAnsi"/>
        </w:rPr>
        <w:t>horizontal</w:t>
      </w:r>
      <w:r w:rsidR="00051669">
        <w:rPr>
          <w:rFonts w:asciiTheme="minorHAnsi" w:hAnsiTheme="minorHAnsi" w:cstheme="minorHAnsi"/>
        </w:rPr>
        <w:t>’</w:t>
      </w:r>
      <w:r w:rsidR="4E0DE36B" w:rsidRPr="00F65CC5">
        <w:rPr>
          <w:rFonts w:asciiTheme="minorHAnsi" w:hAnsiTheme="minorHAnsi" w:cstheme="minorHAnsi"/>
        </w:rPr>
        <w:t xml:space="preserve"> </w:t>
      </w:r>
      <w:r w:rsidR="00A77069">
        <w:rPr>
          <w:rFonts w:asciiTheme="minorHAnsi" w:hAnsiTheme="minorHAnsi" w:cstheme="minorHAnsi"/>
        </w:rPr>
        <w:t xml:space="preserve">or ‘flat’ </w:t>
      </w:r>
      <w:r w:rsidR="00F1645F">
        <w:rPr>
          <w:rFonts w:asciiTheme="minorHAnsi" w:hAnsiTheme="minorHAnsi" w:cstheme="minorHAnsi"/>
        </w:rPr>
        <w:t xml:space="preserve">analyses of </w:t>
      </w:r>
      <w:r w:rsidR="4E0DE36B" w:rsidRPr="00F65CC5">
        <w:rPr>
          <w:rFonts w:asciiTheme="minorHAnsi" w:hAnsiTheme="minorHAnsi" w:cstheme="minorHAnsi"/>
        </w:rPr>
        <w:t>legal spaces</w:t>
      </w:r>
      <w:r w:rsidR="5B3219D1" w:rsidRPr="00F65CC5">
        <w:rPr>
          <w:rFonts w:asciiTheme="minorHAnsi" w:hAnsiTheme="minorHAnsi" w:cstheme="minorHAnsi"/>
        </w:rPr>
        <w:t>. Following their analyses, we deprioritise vertical legalities</w:t>
      </w:r>
      <w:r w:rsidR="002D669A">
        <w:rPr>
          <w:rFonts w:asciiTheme="minorHAnsi" w:hAnsiTheme="minorHAnsi" w:cstheme="minorHAnsi"/>
        </w:rPr>
        <w:t xml:space="preserve">, </w:t>
      </w:r>
      <w:r w:rsidR="5B3219D1" w:rsidRPr="00F65CC5">
        <w:rPr>
          <w:rFonts w:asciiTheme="minorHAnsi" w:hAnsiTheme="minorHAnsi" w:cstheme="minorHAnsi"/>
        </w:rPr>
        <w:t>focus</w:t>
      </w:r>
      <w:r w:rsidR="786DF7C7" w:rsidRPr="00F65CC5">
        <w:rPr>
          <w:rFonts w:asciiTheme="minorHAnsi" w:hAnsiTheme="minorHAnsi" w:cstheme="minorHAnsi"/>
        </w:rPr>
        <w:t>sing</w:t>
      </w:r>
      <w:r w:rsidR="5B3219D1" w:rsidRPr="00F65CC5">
        <w:rPr>
          <w:rFonts w:asciiTheme="minorHAnsi" w:hAnsiTheme="minorHAnsi" w:cstheme="minorHAnsi"/>
        </w:rPr>
        <w:t xml:space="preserve"> </w:t>
      </w:r>
      <w:r w:rsidR="002D669A">
        <w:rPr>
          <w:rFonts w:asciiTheme="minorHAnsi" w:hAnsiTheme="minorHAnsi" w:cstheme="minorHAnsi"/>
        </w:rPr>
        <w:t xml:space="preserve">instead </w:t>
      </w:r>
      <w:r w:rsidR="5B3219D1" w:rsidRPr="00F65CC5">
        <w:rPr>
          <w:rFonts w:asciiTheme="minorHAnsi" w:hAnsiTheme="minorHAnsi" w:cstheme="minorHAnsi"/>
        </w:rPr>
        <w:t xml:space="preserve">on the middle, sideways, backwards, around, hybrid, horizontal, </w:t>
      </w:r>
      <w:r w:rsidR="00C73320" w:rsidRPr="00F65CC5">
        <w:rPr>
          <w:rFonts w:asciiTheme="minorHAnsi" w:hAnsiTheme="minorHAnsi" w:cstheme="minorHAnsi"/>
        </w:rPr>
        <w:t>unexpected,</w:t>
      </w:r>
      <w:r w:rsidR="5B3219D1" w:rsidRPr="00F65CC5">
        <w:rPr>
          <w:rFonts w:asciiTheme="minorHAnsi" w:hAnsiTheme="minorHAnsi" w:cstheme="minorHAnsi"/>
        </w:rPr>
        <w:t xml:space="preserve"> and unpopular spaces of international law-making.</w:t>
      </w:r>
      <w:r w:rsidR="4E0DE36B" w:rsidRPr="00F65CC5">
        <w:rPr>
          <w:rFonts w:asciiTheme="minorHAnsi" w:hAnsiTheme="minorHAnsi" w:cstheme="minorHAnsi"/>
        </w:rPr>
        <w:t xml:space="preserve"> </w:t>
      </w:r>
      <w:r w:rsidR="5BFBE8B9" w:rsidRPr="00F65CC5">
        <w:rPr>
          <w:rFonts w:asciiTheme="minorHAnsi" w:hAnsiTheme="minorHAnsi" w:cstheme="minorHAnsi"/>
        </w:rPr>
        <w:t>In the example of resistance against T</w:t>
      </w:r>
      <w:r w:rsidR="7813E432" w:rsidRPr="00F65CC5">
        <w:rPr>
          <w:rFonts w:asciiTheme="minorHAnsi" w:hAnsiTheme="minorHAnsi" w:cstheme="minorHAnsi"/>
        </w:rPr>
        <w:t>ü</w:t>
      </w:r>
      <w:r w:rsidR="5BFBE8B9" w:rsidRPr="00F65CC5">
        <w:rPr>
          <w:rFonts w:asciiTheme="minorHAnsi" w:hAnsiTheme="minorHAnsi" w:cstheme="minorHAnsi"/>
        </w:rPr>
        <w:t xml:space="preserve">rkiye’s withdrawal from </w:t>
      </w:r>
      <w:r w:rsidR="4599927F" w:rsidRPr="00F65CC5">
        <w:rPr>
          <w:rFonts w:asciiTheme="minorHAnsi" w:hAnsiTheme="minorHAnsi" w:cstheme="minorHAnsi"/>
        </w:rPr>
        <w:t xml:space="preserve">the </w:t>
      </w:r>
      <w:r w:rsidR="5BFBE8B9" w:rsidRPr="00F65CC5">
        <w:rPr>
          <w:rFonts w:asciiTheme="minorHAnsi" w:hAnsiTheme="minorHAnsi" w:cstheme="minorHAnsi"/>
        </w:rPr>
        <w:t>Istanbul Convention</w:t>
      </w:r>
      <w:r w:rsidR="4599927F" w:rsidRPr="00F65CC5">
        <w:rPr>
          <w:rFonts w:asciiTheme="minorHAnsi" w:hAnsiTheme="minorHAnsi" w:cstheme="minorHAnsi"/>
        </w:rPr>
        <w:t>,</w:t>
      </w:r>
      <w:r w:rsidR="5BFBE8B9" w:rsidRPr="00F65CC5">
        <w:rPr>
          <w:rFonts w:asciiTheme="minorHAnsi" w:hAnsiTheme="minorHAnsi" w:cstheme="minorHAnsi"/>
        </w:rPr>
        <w:t xml:space="preserve"> </w:t>
      </w:r>
      <w:r w:rsidR="5B3219D1" w:rsidRPr="00F65CC5">
        <w:rPr>
          <w:rFonts w:asciiTheme="minorHAnsi" w:hAnsiTheme="minorHAnsi" w:cstheme="minorHAnsi"/>
        </w:rPr>
        <w:t xml:space="preserve">we </w:t>
      </w:r>
      <w:r w:rsidR="45989C5D" w:rsidRPr="00F65CC5">
        <w:rPr>
          <w:rFonts w:asciiTheme="minorHAnsi" w:hAnsiTheme="minorHAnsi" w:cstheme="minorHAnsi"/>
        </w:rPr>
        <w:t>identified</w:t>
      </w:r>
      <w:r w:rsidR="5B3219D1" w:rsidRPr="00F65CC5">
        <w:rPr>
          <w:rFonts w:asciiTheme="minorHAnsi" w:hAnsiTheme="minorHAnsi" w:cstheme="minorHAnsi"/>
        </w:rPr>
        <w:t xml:space="preserve"> </w:t>
      </w:r>
      <w:r w:rsidR="5BFBE8B9" w:rsidRPr="00F65CC5">
        <w:rPr>
          <w:rFonts w:asciiTheme="minorHAnsi" w:hAnsiTheme="minorHAnsi" w:cstheme="minorHAnsi"/>
        </w:rPr>
        <w:t>f</w:t>
      </w:r>
      <w:r w:rsidR="61244BCF" w:rsidRPr="00F65CC5">
        <w:rPr>
          <w:rFonts w:asciiTheme="minorHAnsi" w:hAnsiTheme="minorHAnsi" w:cstheme="minorHAnsi"/>
        </w:rPr>
        <w:t>eminist legal</w:t>
      </w:r>
      <w:r w:rsidR="786DF7C7" w:rsidRPr="00F65CC5">
        <w:rPr>
          <w:rFonts w:asciiTheme="minorHAnsi" w:hAnsiTheme="minorHAnsi" w:cstheme="minorHAnsi"/>
        </w:rPr>
        <w:t xml:space="preserve"> spaces</w:t>
      </w:r>
      <w:r w:rsidR="61244BCF" w:rsidRPr="00F65CC5">
        <w:rPr>
          <w:rFonts w:asciiTheme="minorHAnsi" w:hAnsiTheme="minorHAnsi" w:cstheme="minorHAnsi"/>
        </w:rPr>
        <w:t xml:space="preserve"> in </w:t>
      </w:r>
      <w:r w:rsidR="5BFBE8B9" w:rsidRPr="00F65CC5">
        <w:rPr>
          <w:rFonts w:asciiTheme="minorHAnsi" w:hAnsiTheme="minorHAnsi" w:cstheme="minorHAnsi"/>
        </w:rPr>
        <w:t xml:space="preserve">the </w:t>
      </w:r>
      <w:r w:rsidR="431BF333" w:rsidRPr="00F65CC5">
        <w:rPr>
          <w:rFonts w:asciiTheme="minorHAnsi" w:hAnsiTheme="minorHAnsi" w:cstheme="minorHAnsi"/>
        </w:rPr>
        <w:t>activists</w:t>
      </w:r>
      <w:r w:rsidR="00B41B99">
        <w:rPr>
          <w:rFonts w:asciiTheme="minorHAnsi" w:hAnsiTheme="minorHAnsi" w:cstheme="minorHAnsi"/>
        </w:rPr>
        <w:t>’</w:t>
      </w:r>
      <w:r w:rsidR="431BF333" w:rsidRPr="00F65CC5">
        <w:rPr>
          <w:rFonts w:asciiTheme="minorHAnsi" w:hAnsiTheme="minorHAnsi" w:cstheme="minorHAnsi"/>
        </w:rPr>
        <w:t xml:space="preserve"> </w:t>
      </w:r>
      <w:r w:rsidR="5BFBE8B9" w:rsidRPr="00F65CC5">
        <w:rPr>
          <w:rFonts w:asciiTheme="minorHAnsi" w:hAnsiTheme="minorHAnsi" w:cstheme="minorHAnsi"/>
        </w:rPr>
        <w:t>words</w:t>
      </w:r>
      <w:r w:rsidR="4599927F" w:rsidRPr="00F65CC5">
        <w:rPr>
          <w:rFonts w:asciiTheme="minorHAnsi" w:hAnsiTheme="minorHAnsi" w:cstheme="minorHAnsi"/>
        </w:rPr>
        <w:t xml:space="preserve">, </w:t>
      </w:r>
      <w:r w:rsidR="5BFBE8B9" w:rsidRPr="00F65CC5">
        <w:rPr>
          <w:rFonts w:asciiTheme="minorHAnsi" w:hAnsiTheme="minorHAnsi" w:cstheme="minorHAnsi"/>
        </w:rPr>
        <w:t>emotions</w:t>
      </w:r>
      <w:r w:rsidR="084E594E" w:rsidRPr="00F65CC5">
        <w:rPr>
          <w:rFonts w:asciiTheme="minorHAnsi" w:hAnsiTheme="minorHAnsi" w:cstheme="minorHAnsi"/>
        </w:rPr>
        <w:t xml:space="preserve"> and </w:t>
      </w:r>
      <w:r w:rsidR="11D1D4C9" w:rsidRPr="00F65CC5">
        <w:rPr>
          <w:rFonts w:asciiTheme="minorHAnsi" w:hAnsiTheme="minorHAnsi" w:cstheme="minorHAnsi"/>
        </w:rPr>
        <w:t xml:space="preserve">campaign </w:t>
      </w:r>
      <w:r w:rsidR="084E594E" w:rsidRPr="00F65CC5">
        <w:rPr>
          <w:rFonts w:asciiTheme="minorHAnsi" w:hAnsiTheme="minorHAnsi" w:cstheme="minorHAnsi"/>
        </w:rPr>
        <w:t>slogans</w:t>
      </w:r>
      <w:r w:rsidR="23B71B1E" w:rsidRPr="00F65CC5">
        <w:rPr>
          <w:rFonts w:asciiTheme="minorHAnsi" w:hAnsiTheme="minorHAnsi" w:cstheme="minorHAnsi"/>
        </w:rPr>
        <w:t xml:space="preserve">, </w:t>
      </w:r>
      <w:r w:rsidR="47EA227B" w:rsidRPr="00F65CC5">
        <w:rPr>
          <w:rFonts w:asciiTheme="minorHAnsi" w:hAnsiTheme="minorHAnsi" w:cstheme="minorHAnsi"/>
        </w:rPr>
        <w:t xml:space="preserve">emerging from </w:t>
      </w:r>
      <w:r w:rsidR="47EA227B" w:rsidRPr="00580A4F">
        <w:rPr>
          <w:rFonts w:asciiTheme="minorHAnsi" w:hAnsiTheme="minorHAnsi" w:cstheme="minorHAnsi"/>
        </w:rPr>
        <w:t xml:space="preserve">the </w:t>
      </w:r>
      <w:r w:rsidR="61244BCF" w:rsidRPr="00580A4F">
        <w:rPr>
          <w:rFonts w:asciiTheme="minorHAnsi" w:hAnsiTheme="minorHAnsi" w:cstheme="minorHAnsi"/>
        </w:rPr>
        <w:t>land</w:t>
      </w:r>
      <w:r w:rsidR="6D06E3FA" w:rsidRPr="00F65CC5">
        <w:rPr>
          <w:rFonts w:asciiTheme="minorHAnsi" w:hAnsiTheme="minorHAnsi" w:cstheme="minorHAnsi"/>
        </w:rPr>
        <w:t xml:space="preserve"> and found on</w:t>
      </w:r>
      <w:r w:rsidR="0054172F" w:rsidRPr="00F65CC5">
        <w:rPr>
          <w:rFonts w:asciiTheme="minorHAnsi" w:hAnsiTheme="minorHAnsi" w:cstheme="minorHAnsi"/>
        </w:rPr>
        <w:t xml:space="preserve"> </w:t>
      </w:r>
      <w:r w:rsidR="61244BCF" w:rsidRPr="00F65CC5">
        <w:rPr>
          <w:rFonts w:asciiTheme="minorHAnsi" w:hAnsiTheme="minorHAnsi" w:cstheme="minorHAnsi"/>
        </w:rPr>
        <w:t>platforms and</w:t>
      </w:r>
      <w:r w:rsidR="5F31D138" w:rsidRPr="00F65CC5">
        <w:rPr>
          <w:rFonts w:asciiTheme="minorHAnsi" w:hAnsiTheme="minorHAnsi" w:cstheme="minorHAnsi"/>
        </w:rPr>
        <w:t xml:space="preserve"> in</w:t>
      </w:r>
      <w:r w:rsidR="006F27A2" w:rsidRPr="00F65CC5">
        <w:rPr>
          <w:rFonts w:asciiTheme="minorHAnsi" w:hAnsiTheme="minorHAnsi" w:cstheme="minorHAnsi"/>
        </w:rPr>
        <w:t xml:space="preserve"> </w:t>
      </w:r>
      <w:r w:rsidR="61244BCF" w:rsidRPr="00F65CC5">
        <w:rPr>
          <w:rFonts w:asciiTheme="minorHAnsi" w:hAnsiTheme="minorHAnsi" w:cstheme="minorHAnsi"/>
        </w:rPr>
        <w:t>courtrooms</w:t>
      </w:r>
      <w:r w:rsidR="5B3219D1" w:rsidRPr="00F65CC5">
        <w:rPr>
          <w:rFonts w:asciiTheme="minorHAnsi" w:hAnsiTheme="minorHAnsi" w:cstheme="minorHAnsi"/>
        </w:rPr>
        <w:t xml:space="preserve">. </w:t>
      </w:r>
      <w:r w:rsidR="5BFBE8B9" w:rsidRPr="00F65CC5">
        <w:rPr>
          <w:rFonts w:asciiTheme="minorHAnsi" w:hAnsiTheme="minorHAnsi" w:cstheme="minorHAnsi"/>
        </w:rPr>
        <w:t xml:space="preserve"> </w:t>
      </w:r>
    </w:p>
    <w:p w14:paraId="36C7AEDA" w14:textId="69F61456" w:rsidR="002D3B18" w:rsidRPr="00F65CC5" w:rsidRDefault="002D3B18" w:rsidP="007933F6">
      <w:pPr>
        <w:jc w:val="both"/>
        <w:rPr>
          <w:rFonts w:asciiTheme="minorHAnsi" w:hAnsiTheme="minorHAnsi" w:cstheme="minorHAnsi"/>
        </w:rPr>
      </w:pPr>
    </w:p>
    <w:p w14:paraId="697F9491" w14:textId="532216DF" w:rsidR="00876435" w:rsidRPr="00F65CC5" w:rsidRDefault="00876435" w:rsidP="007933F6">
      <w:pPr>
        <w:jc w:val="both"/>
        <w:rPr>
          <w:rFonts w:asciiTheme="minorHAnsi" w:hAnsiTheme="minorHAnsi" w:cstheme="minorHAnsi"/>
        </w:rPr>
      </w:pPr>
    </w:p>
    <w:p w14:paraId="280C3818" w14:textId="254BD96B" w:rsidR="00825E38" w:rsidRPr="00490969" w:rsidRDefault="00F6003C" w:rsidP="00A52F50">
      <w:pPr>
        <w:pStyle w:val="Heading2"/>
      </w:pPr>
      <w:r w:rsidRPr="00490969">
        <w:t>Introduc</w:t>
      </w:r>
      <w:r w:rsidR="00874F61" w:rsidRPr="00490969">
        <w:t>tion</w:t>
      </w:r>
    </w:p>
    <w:p w14:paraId="2C4860E8" w14:textId="77777777" w:rsidR="002E0607" w:rsidRPr="00F65CC5" w:rsidRDefault="002E0607" w:rsidP="007933F6">
      <w:pPr>
        <w:pStyle w:val="ListParagraph"/>
        <w:jc w:val="both"/>
        <w:rPr>
          <w:rFonts w:asciiTheme="minorHAnsi" w:hAnsiTheme="minorHAnsi" w:cstheme="minorHAnsi"/>
        </w:rPr>
      </w:pPr>
    </w:p>
    <w:p w14:paraId="2D803155" w14:textId="79BB5B95" w:rsidR="005F2A44" w:rsidRPr="00F65CC5" w:rsidRDefault="005F2A44" w:rsidP="007933F6">
      <w:pPr>
        <w:spacing w:line="259" w:lineRule="auto"/>
        <w:jc w:val="both"/>
        <w:rPr>
          <w:rFonts w:asciiTheme="minorHAnsi" w:hAnsiTheme="minorHAnsi" w:cstheme="minorHAnsi"/>
        </w:rPr>
      </w:pPr>
      <w:r w:rsidRPr="00F65CC5">
        <w:rPr>
          <w:rFonts w:asciiTheme="minorHAnsi" w:hAnsiTheme="minorHAnsi" w:cstheme="minorHAnsi"/>
        </w:rPr>
        <w:t>T</w:t>
      </w:r>
      <w:r w:rsidRPr="00F65CC5">
        <w:rPr>
          <w:rFonts w:asciiTheme="minorHAnsi" w:hAnsiTheme="minorHAnsi" w:cstheme="minorHAnsi"/>
          <w:lang w:val="tr-TR"/>
        </w:rPr>
        <w:t>ü</w:t>
      </w:r>
      <w:proofErr w:type="spellStart"/>
      <w:r w:rsidRPr="00F65CC5">
        <w:rPr>
          <w:rFonts w:asciiTheme="minorHAnsi" w:hAnsiTheme="minorHAnsi" w:cstheme="minorHAnsi"/>
        </w:rPr>
        <w:t>rkiye</w:t>
      </w:r>
      <w:proofErr w:type="spellEnd"/>
      <w:r w:rsidRPr="00F65CC5">
        <w:rPr>
          <w:rFonts w:asciiTheme="minorHAnsi" w:hAnsiTheme="minorHAnsi" w:cstheme="minorHAnsi"/>
        </w:rPr>
        <w:t xml:space="preserve"> denounced the Council of Europe Convention o</w:t>
      </w:r>
      <w:r w:rsidR="00876BEE">
        <w:rPr>
          <w:rFonts w:asciiTheme="minorHAnsi" w:hAnsiTheme="minorHAnsi" w:cstheme="minorHAnsi"/>
        </w:rPr>
        <w:t>n</w:t>
      </w:r>
      <w:r w:rsidRPr="00F65CC5">
        <w:rPr>
          <w:rFonts w:asciiTheme="minorHAnsi" w:hAnsiTheme="minorHAnsi" w:cstheme="minorHAnsi"/>
        </w:rPr>
        <w:t xml:space="preserve"> Violence against Women and Domestic Violence (the Istanbul Convention) on 20 March 2021.</w:t>
      </w:r>
      <w:r w:rsidR="00DA04B3" w:rsidRPr="00F65CC5">
        <w:rPr>
          <w:rStyle w:val="FootnoteReference"/>
          <w:rFonts w:asciiTheme="minorHAnsi" w:hAnsiTheme="minorHAnsi" w:cstheme="minorHAnsi"/>
        </w:rPr>
        <w:footnoteReference w:id="3"/>
      </w:r>
      <w:r w:rsidR="00686BAC" w:rsidRPr="00F65CC5">
        <w:rPr>
          <w:rFonts w:asciiTheme="minorHAnsi" w:hAnsiTheme="minorHAnsi" w:cstheme="minorHAnsi"/>
        </w:rPr>
        <w:t xml:space="preserve"> Ironically, </w:t>
      </w:r>
      <w:r w:rsidR="003F0565" w:rsidRPr="00F65CC5">
        <w:rPr>
          <w:rFonts w:asciiTheme="minorHAnsi" w:hAnsiTheme="minorHAnsi" w:cstheme="minorHAnsi"/>
        </w:rPr>
        <w:t>T</w:t>
      </w:r>
      <w:r w:rsidR="003F0565" w:rsidRPr="00F65CC5">
        <w:rPr>
          <w:rFonts w:asciiTheme="minorHAnsi" w:hAnsiTheme="minorHAnsi" w:cstheme="minorHAnsi"/>
          <w:lang w:val="tr-TR"/>
        </w:rPr>
        <w:t>ü</w:t>
      </w:r>
      <w:proofErr w:type="spellStart"/>
      <w:r w:rsidR="003F0565" w:rsidRPr="00F65CC5">
        <w:rPr>
          <w:rFonts w:asciiTheme="minorHAnsi" w:hAnsiTheme="minorHAnsi" w:cstheme="minorHAnsi"/>
        </w:rPr>
        <w:t>rkiye</w:t>
      </w:r>
      <w:proofErr w:type="spellEnd"/>
      <w:r w:rsidR="003F0565" w:rsidRPr="00F65CC5">
        <w:rPr>
          <w:rFonts w:asciiTheme="minorHAnsi" w:hAnsiTheme="minorHAnsi" w:cstheme="minorHAnsi"/>
        </w:rPr>
        <w:t xml:space="preserve"> pioneered the drafting of the Istanbul Convention and </w:t>
      </w:r>
      <w:bookmarkStart w:id="0" w:name="_Hlk183080778"/>
      <w:r w:rsidR="003F0565" w:rsidRPr="00F65CC5">
        <w:rPr>
          <w:rFonts w:asciiTheme="minorHAnsi" w:hAnsiTheme="minorHAnsi" w:cstheme="minorHAnsi"/>
        </w:rPr>
        <w:t>Recep Tayyip Erdogan</w:t>
      </w:r>
      <w:bookmarkEnd w:id="0"/>
      <w:r w:rsidR="00686BAC" w:rsidRPr="00F65CC5">
        <w:rPr>
          <w:rFonts w:asciiTheme="minorHAnsi" w:hAnsiTheme="minorHAnsi" w:cstheme="minorHAnsi"/>
        </w:rPr>
        <w:t xml:space="preserve">, the president of the </w:t>
      </w:r>
      <w:r w:rsidR="00EB584A">
        <w:rPr>
          <w:rFonts w:asciiTheme="minorHAnsi" w:hAnsiTheme="minorHAnsi" w:cstheme="minorHAnsi"/>
        </w:rPr>
        <w:t>R</w:t>
      </w:r>
      <w:r w:rsidR="00686BAC" w:rsidRPr="00F65CC5">
        <w:rPr>
          <w:rFonts w:asciiTheme="minorHAnsi" w:hAnsiTheme="minorHAnsi" w:cstheme="minorHAnsi"/>
        </w:rPr>
        <w:t>epublic of T</w:t>
      </w:r>
      <w:r w:rsidR="00686BAC" w:rsidRPr="00F65CC5">
        <w:rPr>
          <w:rFonts w:asciiTheme="minorHAnsi" w:hAnsiTheme="minorHAnsi" w:cstheme="minorHAnsi"/>
          <w:lang w:val="tr-TR"/>
        </w:rPr>
        <w:t>ü</w:t>
      </w:r>
      <w:proofErr w:type="spellStart"/>
      <w:r w:rsidR="00686BAC" w:rsidRPr="00F65CC5">
        <w:rPr>
          <w:rFonts w:asciiTheme="minorHAnsi" w:hAnsiTheme="minorHAnsi" w:cstheme="minorHAnsi"/>
        </w:rPr>
        <w:t>rkiye</w:t>
      </w:r>
      <w:proofErr w:type="spellEnd"/>
      <w:r w:rsidR="00686BAC" w:rsidRPr="00F65CC5">
        <w:rPr>
          <w:rFonts w:asciiTheme="minorHAnsi" w:hAnsiTheme="minorHAnsi" w:cstheme="minorHAnsi"/>
        </w:rPr>
        <w:t>,</w:t>
      </w:r>
      <w:r w:rsidR="003F0565" w:rsidRPr="00F65CC5">
        <w:rPr>
          <w:rFonts w:asciiTheme="minorHAnsi" w:hAnsiTheme="minorHAnsi" w:cstheme="minorHAnsi"/>
        </w:rPr>
        <w:t xml:space="preserve"> publicly </w:t>
      </w:r>
      <w:r w:rsidR="00DC0DD6">
        <w:rPr>
          <w:rFonts w:asciiTheme="minorHAnsi" w:hAnsiTheme="minorHAnsi" w:cstheme="minorHAnsi"/>
        </w:rPr>
        <w:t>acknowledged</w:t>
      </w:r>
      <w:r w:rsidR="003F0565" w:rsidRPr="00F65CC5">
        <w:rPr>
          <w:rFonts w:asciiTheme="minorHAnsi" w:hAnsiTheme="minorHAnsi" w:cstheme="minorHAnsi"/>
        </w:rPr>
        <w:t xml:space="preserve"> this leadership as follows: ‘Violence against </w:t>
      </w:r>
      <w:r w:rsidR="003F0565" w:rsidRPr="00F65CC5">
        <w:rPr>
          <w:rFonts w:asciiTheme="minorHAnsi" w:hAnsiTheme="minorHAnsi" w:cstheme="minorHAnsi"/>
        </w:rPr>
        <w:lastRenderedPageBreak/>
        <w:t xml:space="preserve">women is now a </w:t>
      </w:r>
      <w:r w:rsidR="00B969D7" w:rsidRPr="00F65CC5">
        <w:rPr>
          <w:rFonts w:asciiTheme="minorHAnsi" w:hAnsiTheme="minorHAnsi" w:cstheme="minorHAnsi"/>
        </w:rPr>
        <w:t>“</w:t>
      </w:r>
      <w:r w:rsidR="003F0565" w:rsidRPr="00F65CC5">
        <w:rPr>
          <w:rFonts w:asciiTheme="minorHAnsi" w:hAnsiTheme="minorHAnsi" w:cstheme="minorHAnsi"/>
        </w:rPr>
        <w:t>human rights violation</w:t>
      </w:r>
      <w:r w:rsidR="00B969D7" w:rsidRPr="00F65CC5">
        <w:rPr>
          <w:rFonts w:asciiTheme="minorHAnsi" w:hAnsiTheme="minorHAnsi" w:cstheme="minorHAnsi"/>
        </w:rPr>
        <w:t>”.</w:t>
      </w:r>
      <w:r w:rsidR="00B57218">
        <w:rPr>
          <w:rFonts w:asciiTheme="minorHAnsi" w:hAnsiTheme="minorHAnsi" w:cstheme="minorHAnsi"/>
        </w:rPr>
        <w:t xml:space="preserve"> </w:t>
      </w:r>
      <w:r w:rsidR="003F0565" w:rsidRPr="00F65CC5">
        <w:rPr>
          <w:rFonts w:asciiTheme="minorHAnsi" w:hAnsiTheme="minorHAnsi" w:cstheme="minorHAnsi"/>
        </w:rPr>
        <w:t>The Convention was prepared under the leadership of Turkey</w:t>
      </w:r>
      <w:r w:rsidR="00B3673F">
        <w:rPr>
          <w:rFonts w:asciiTheme="minorHAnsi" w:hAnsiTheme="minorHAnsi" w:cstheme="minorHAnsi"/>
        </w:rPr>
        <w:t>.</w:t>
      </w:r>
      <w:r w:rsidR="003F0565" w:rsidRPr="00F65CC5">
        <w:rPr>
          <w:rFonts w:asciiTheme="minorHAnsi" w:hAnsiTheme="minorHAnsi" w:cstheme="minorHAnsi"/>
        </w:rPr>
        <w:t>’</w:t>
      </w:r>
      <w:r w:rsidR="003F0565" w:rsidRPr="00F65CC5">
        <w:rPr>
          <w:rStyle w:val="FootnoteReference"/>
          <w:rFonts w:asciiTheme="minorHAnsi" w:hAnsiTheme="minorHAnsi" w:cstheme="minorHAnsi"/>
        </w:rPr>
        <w:footnoteReference w:id="4"/>
      </w:r>
      <w:r w:rsidR="003F0565" w:rsidRPr="00F65CC5">
        <w:rPr>
          <w:rFonts w:asciiTheme="minorHAnsi" w:hAnsiTheme="minorHAnsi" w:cstheme="minorHAnsi"/>
        </w:rPr>
        <w:t xml:space="preserve"> Türkiye experienced a handful of firsts in its relationship with the Istanbul Convention. Türkiye was the first State to both sign and ratify the Istanbul Convention and sadly the first State to denounce it.</w:t>
      </w:r>
      <w:r w:rsidR="003F0565" w:rsidRPr="00F65CC5">
        <w:rPr>
          <w:rStyle w:val="FootnoteReference"/>
          <w:rFonts w:asciiTheme="minorHAnsi" w:hAnsiTheme="minorHAnsi" w:cstheme="minorHAnsi"/>
        </w:rPr>
        <w:footnoteReference w:id="5"/>
      </w:r>
    </w:p>
    <w:p w14:paraId="2C859BC7" w14:textId="77777777" w:rsidR="005F2A44" w:rsidRPr="00F65CC5" w:rsidRDefault="005F2A44" w:rsidP="007933F6">
      <w:pPr>
        <w:spacing w:line="259" w:lineRule="auto"/>
        <w:jc w:val="both"/>
        <w:rPr>
          <w:rFonts w:asciiTheme="minorHAnsi" w:hAnsiTheme="minorHAnsi" w:cstheme="minorHAnsi"/>
        </w:rPr>
      </w:pPr>
    </w:p>
    <w:p w14:paraId="5A889CFC" w14:textId="6D110784" w:rsidR="006F27A2" w:rsidRDefault="1C7A6258" w:rsidP="007933F6">
      <w:pPr>
        <w:spacing w:line="259" w:lineRule="auto"/>
        <w:jc w:val="both"/>
        <w:rPr>
          <w:rFonts w:asciiTheme="minorHAnsi" w:hAnsiTheme="minorHAnsi" w:cstheme="minorHAnsi"/>
        </w:rPr>
      </w:pPr>
      <w:r w:rsidRPr="00F65CC5">
        <w:rPr>
          <w:rFonts w:asciiTheme="minorHAnsi" w:hAnsiTheme="minorHAnsi" w:cstheme="minorHAnsi"/>
        </w:rPr>
        <w:t xml:space="preserve">When </w:t>
      </w:r>
      <w:r w:rsidR="6A57CBE1" w:rsidRPr="00F65CC5">
        <w:rPr>
          <w:rFonts w:asciiTheme="minorHAnsi" w:hAnsiTheme="minorHAnsi" w:cstheme="minorHAnsi"/>
        </w:rPr>
        <w:t>Turk</w:t>
      </w:r>
      <w:r w:rsidR="46938078" w:rsidRPr="00F65CC5">
        <w:rPr>
          <w:rFonts w:asciiTheme="minorHAnsi" w:hAnsiTheme="minorHAnsi" w:cstheme="minorHAnsi"/>
        </w:rPr>
        <w:t xml:space="preserve">ish authorities expressed their </w:t>
      </w:r>
      <w:r w:rsidR="6A57CBE1" w:rsidRPr="00F65CC5">
        <w:rPr>
          <w:rFonts w:asciiTheme="minorHAnsi" w:hAnsiTheme="minorHAnsi" w:cstheme="minorHAnsi"/>
        </w:rPr>
        <w:t xml:space="preserve">intention to withdraw from the Istanbul Convention, feminist activists gathered around a platform called </w:t>
      </w:r>
      <w:r w:rsidR="006F27A2" w:rsidRPr="00F65CC5">
        <w:rPr>
          <w:rFonts w:asciiTheme="minorHAnsi" w:hAnsiTheme="minorHAnsi" w:cstheme="minorHAnsi"/>
        </w:rPr>
        <w:t>EŞİK</w:t>
      </w:r>
      <w:r w:rsidR="6A57CBE1" w:rsidRPr="00F65CC5">
        <w:rPr>
          <w:rFonts w:asciiTheme="minorHAnsi" w:hAnsiTheme="minorHAnsi" w:cstheme="minorHAnsi"/>
        </w:rPr>
        <w:t>.</w:t>
      </w:r>
      <w:r w:rsidR="00160317" w:rsidRPr="00F65CC5">
        <w:rPr>
          <w:rStyle w:val="FootnoteReference"/>
          <w:rFonts w:asciiTheme="minorHAnsi" w:hAnsiTheme="minorHAnsi" w:cstheme="minorHAnsi"/>
        </w:rPr>
        <w:footnoteReference w:id="6"/>
      </w:r>
      <w:r w:rsidR="6A57CBE1" w:rsidRPr="00F65CC5">
        <w:rPr>
          <w:rFonts w:asciiTheme="minorHAnsi" w:hAnsiTheme="minorHAnsi" w:cstheme="minorHAnsi"/>
        </w:rPr>
        <w:t xml:space="preserve"> This </w:t>
      </w:r>
      <w:r w:rsidR="05E677B7" w:rsidRPr="00F65CC5">
        <w:rPr>
          <w:rFonts w:asciiTheme="minorHAnsi" w:hAnsiTheme="minorHAnsi" w:cstheme="minorHAnsi"/>
        </w:rPr>
        <w:t>country</w:t>
      </w:r>
      <w:r w:rsidR="16934031" w:rsidRPr="00F65CC5">
        <w:rPr>
          <w:rFonts w:asciiTheme="minorHAnsi" w:hAnsiTheme="minorHAnsi" w:cstheme="minorHAnsi"/>
        </w:rPr>
        <w:t>-</w:t>
      </w:r>
      <w:r w:rsidR="05E677B7" w:rsidRPr="00F65CC5">
        <w:rPr>
          <w:rFonts w:asciiTheme="minorHAnsi" w:hAnsiTheme="minorHAnsi" w:cstheme="minorHAnsi"/>
        </w:rPr>
        <w:t xml:space="preserve">wide </w:t>
      </w:r>
      <w:r w:rsidR="6A57CBE1" w:rsidRPr="00F65CC5">
        <w:rPr>
          <w:rFonts w:asciiTheme="minorHAnsi" w:hAnsiTheme="minorHAnsi" w:cstheme="minorHAnsi"/>
        </w:rPr>
        <w:t>platform</w:t>
      </w:r>
      <w:r w:rsidR="00370702">
        <w:rPr>
          <w:rFonts w:asciiTheme="minorHAnsi" w:hAnsiTheme="minorHAnsi" w:cstheme="minorHAnsi"/>
        </w:rPr>
        <w:t>, which</w:t>
      </w:r>
      <w:r w:rsidR="05E677B7" w:rsidRPr="00F65CC5">
        <w:rPr>
          <w:rFonts w:asciiTheme="minorHAnsi" w:hAnsiTheme="minorHAnsi" w:cstheme="minorHAnsi"/>
        </w:rPr>
        <w:t xml:space="preserve"> consist</w:t>
      </w:r>
      <w:r w:rsidR="2C46498F" w:rsidRPr="00F65CC5">
        <w:rPr>
          <w:rFonts w:asciiTheme="minorHAnsi" w:hAnsiTheme="minorHAnsi" w:cstheme="minorHAnsi"/>
        </w:rPr>
        <w:t>ed</w:t>
      </w:r>
      <w:r w:rsidR="05E677B7" w:rsidRPr="00F65CC5">
        <w:rPr>
          <w:rFonts w:asciiTheme="minorHAnsi" w:hAnsiTheme="minorHAnsi" w:cstheme="minorHAnsi"/>
        </w:rPr>
        <w:t xml:space="preserve"> of various organisations and individual activists</w:t>
      </w:r>
      <w:r w:rsidR="00370702">
        <w:rPr>
          <w:rFonts w:asciiTheme="minorHAnsi" w:hAnsiTheme="minorHAnsi" w:cstheme="minorHAnsi"/>
        </w:rPr>
        <w:t>,</w:t>
      </w:r>
      <w:r w:rsidR="6A57CBE1" w:rsidRPr="00F65CC5">
        <w:rPr>
          <w:rFonts w:asciiTheme="minorHAnsi" w:hAnsiTheme="minorHAnsi" w:cstheme="minorHAnsi"/>
        </w:rPr>
        <w:t xml:space="preserve"> became the </w:t>
      </w:r>
      <w:r w:rsidR="05E677B7" w:rsidRPr="00F65CC5">
        <w:rPr>
          <w:rFonts w:asciiTheme="minorHAnsi" w:hAnsiTheme="minorHAnsi" w:cstheme="minorHAnsi"/>
        </w:rPr>
        <w:t xml:space="preserve">hub for resistance against </w:t>
      </w:r>
      <w:r w:rsidR="20045C14" w:rsidRPr="00F65CC5">
        <w:rPr>
          <w:rFonts w:asciiTheme="minorHAnsi" w:hAnsiTheme="minorHAnsi" w:cstheme="minorHAnsi"/>
        </w:rPr>
        <w:t xml:space="preserve">the proposed </w:t>
      </w:r>
      <w:r w:rsidR="05E677B7" w:rsidRPr="00F65CC5">
        <w:rPr>
          <w:rFonts w:asciiTheme="minorHAnsi" w:hAnsiTheme="minorHAnsi" w:cstheme="minorHAnsi"/>
        </w:rPr>
        <w:t>den</w:t>
      </w:r>
      <w:r w:rsidR="00665510">
        <w:rPr>
          <w:rFonts w:asciiTheme="minorHAnsi" w:hAnsiTheme="minorHAnsi" w:cstheme="minorHAnsi"/>
        </w:rPr>
        <w:t>unciation</w:t>
      </w:r>
      <w:r w:rsidR="05E677B7" w:rsidRPr="00F65CC5">
        <w:rPr>
          <w:rFonts w:asciiTheme="minorHAnsi" w:hAnsiTheme="minorHAnsi" w:cstheme="minorHAnsi"/>
        </w:rPr>
        <w:t xml:space="preserve"> of the Istanbul Convention. </w:t>
      </w:r>
      <w:r w:rsidR="6D399667" w:rsidRPr="00796DED">
        <w:rPr>
          <w:rFonts w:asciiTheme="minorHAnsi" w:hAnsiTheme="minorHAnsi" w:cstheme="minorHAnsi"/>
        </w:rPr>
        <w:t>There were more than 2</w:t>
      </w:r>
      <w:r w:rsidR="2B0301B8" w:rsidRPr="00796DED">
        <w:rPr>
          <w:rFonts w:asciiTheme="minorHAnsi" w:hAnsiTheme="minorHAnsi" w:cstheme="minorHAnsi"/>
        </w:rPr>
        <w:t>2</w:t>
      </w:r>
      <w:r w:rsidR="6D399667" w:rsidRPr="00796DED">
        <w:rPr>
          <w:rFonts w:asciiTheme="minorHAnsi" w:hAnsiTheme="minorHAnsi" w:cstheme="minorHAnsi"/>
        </w:rPr>
        <w:t xml:space="preserve">0 </w:t>
      </w:r>
      <w:r w:rsidR="00796DED" w:rsidRPr="00796DED">
        <w:rPr>
          <w:rFonts w:asciiTheme="minorHAnsi" w:hAnsiTheme="minorHAnsi" w:cstheme="minorHAnsi"/>
        </w:rPr>
        <w:t xml:space="preserve">legal </w:t>
      </w:r>
      <w:r w:rsidR="6D399667" w:rsidRPr="00796DED">
        <w:rPr>
          <w:rFonts w:asciiTheme="minorHAnsi" w:hAnsiTheme="minorHAnsi" w:cstheme="minorHAnsi"/>
        </w:rPr>
        <w:t xml:space="preserve">cases filed </w:t>
      </w:r>
      <w:r w:rsidR="00796DED" w:rsidRPr="00796DED">
        <w:rPr>
          <w:rFonts w:asciiTheme="minorHAnsi" w:hAnsiTheme="minorHAnsi" w:cstheme="minorHAnsi"/>
        </w:rPr>
        <w:t>in the administrative courts seeking a judicial review of the legality of</w:t>
      </w:r>
      <w:r w:rsidR="6D399667" w:rsidRPr="00796DED">
        <w:rPr>
          <w:rFonts w:asciiTheme="minorHAnsi" w:hAnsiTheme="minorHAnsi" w:cstheme="minorHAnsi"/>
        </w:rPr>
        <w:t xml:space="preserve"> the withdrawal decision,</w:t>
      </w:r>
      <w:r w:rsidR="003B47DF" w:rsidRPr="00796DED">
        <w:rPr>
          <w:rStyle w:val="FootnoteReference"/>
          <w:rFonts w:asciiTheme="minorHAnsi" w:hAnsiTheme="minorHAnsi" w:cstheme="minorHAnsi"/>
        </w:rPr>
        <w:footnoteReference w:id="7"/>
      </w:r>
      <w:r w:rsidR="6D399667" w:rsidRPr="00F65CC5">
        <w:rPr>
          <w:rFonts w:asciiTheme="minorHAnsi" w:hAnsiTheme="minorHAnsi" w:cstheme="minorHAnsi"/>
        </w:rPr>
        <w:t xml:space="preserve"> a</w:t>
      </w:r>
      <w:r w:rsidR="2F9E1F3D" w:rsidRPr="00F65CC5">
        <w:rPr>
          <w:rFonts w:asciiTheme="minorHAnsi" w:hAnsiTheme="minorHAnsi" w:cstheme="minorHAnsi"/>
        </w:rPr>
        <w:t>nd a</w:t>
      </w:r>
      <w:r w:rsidR="6D399667" w:rsidRPr="00F65CC5">
        <w:rPr>
          <w:rFonts w:asciiTheme="minorHAnsi" w:hAnsiTheme="minorHAnsi" w:cstheme="minorHAnsi"/>
        </w:rPr>
        <w:t xml:space="preserve"> </w:t>
      </w:r>
      <w:r w:rsidR="0054172F" w:rsidRPr="00F65CC5">
        <w:rPr>
          <w:rFonts w:asciiTheme="minorHAnsi" w:hAnsiTheme="minorHAnsi" w:cstheme="minorHAnsi"/>
        </w:rPr>
        <w:t xml:space="preserve">considerable </w:t>
      </w:r>
      <w:r w:rsidR="6D399667" w:rsidRPr="00F65CC5">
        <w:rPr>
          <w:rFonts w:asciiTheme="minorHAnsi" w:hAnsiTheme="minorHAnsi" w:cstheme="minorHAnsi"/>
        </w:rPr>
        <w:t>campaign was organised</w:t>
      </w:r>
      <w:r w:rsidR="0054172F" w:rsidRPr="00F65CC5">
        <w:rPr>
          <w:rFonts w:asciiTheme="minorHAnsi" w:hAnsiTheme="minorHAnsi" w:cstheme="minorHAnsi"/>
        </w:rPr>
        <w:t>.</w:t>
      </w:r>
      <w:r w:rsidR="00C72762" w:rsidRPr="00F65CC5">
        <w:rPr>
          <w:rStyle w:val="FootnoteReference"/>
          <w:rFonts w:asciiTheme="minorHAnsi" w:hAnsiTheme="minorHAnsi" w:cstheme="minorHAnsi"/>
        </w:rPr>
        <w:footnoteReference w:id="8"/>
      </w:r>
      <w:r w:rsidR="6D399667" w:rsidRPr="00F65CC5">
        <w:rPr>
          <w:rFonts w:asciiTheme="minorHAnsi" w:hAnsiTheme="minorHAnsi" w:cstheme="minorHAnsi"/>
        </w:rPr>
        <w:t xml:space="preserve"> </w:t>
      </w:r>
      <w:r w:rsidR="05E677B7" w:rsidRPr="00F65CC5">
        <w:rPr>
          <w:rFonts w:asciiTheme="minorHAnsi" w:hAnsiTheme="minorHAnsi" w:cstheme="minorHAnsi"/>
        </w:rPr>
        <w:t xml:space="preserve">This article is a product of interviews we conducted with eight of those </w:t>
      </w:r>
      <w:r w:rsidR="006F27A2" w:rsidRPr="00F65CC5">
        <w:rPr>
          <w:rFonts w:asciiTheme="minorHAnsi" w:hAnsiTheme="minorHAnsi" w:cstheme="minorHAnsi"/>
        </w:rPr>
        <w:t>EŞİK</w:t>
      </w:r>
      <w:r w:rsidR="05E677B7" w:rsidRPr="00F65CC5">
        <w:rPr>
          <w:rFonts w:asciiTheme="minorHAnsi" w:hAnsiTheme="minorHAnsi" w:cstheme="minorHAnsi"/>
        </w:rPr>
        <w:t xml:space="preserve"> activists</w:t>
      </w:r>
      <w:r w:rsidRPr="00F65CC5">
        <w:rPr>
          <w:rFonts w:asciiTheme="minorHAnsi" w:hAnsiTheme="minorHAnsi" w:cstheme="minorHAnsi"/>
        </w:rPr>
        <w:t>.</w:t>
      </w:r>
      <w:r w:rsidR="75F337D2" w:rsidRPr="00F65CC5">
        <w:rPr>
          <w:rFonts w:asciiTheme="minorHAnsi" w:hAnsiTheme="minorHAnsi" w:cstheme="minorHAnsi"/>
        </w:rPr>
        <w:t xml:space="preserve"> </w:t>
      </w:r>
      <w:r w:rsidR="3CE46586" w:rsidRPr="00F65CC5">
        <w:rPr>
          <w:rFonts w:asciiTheme="minorHAnsi" w:hAnsiTheme="minorHAnsi" w:cstheme="minorHAnsi"/>
        </w:rPr>
        <w:t xml:space="preserve"> </w:t>
      </w:r>
    </w:p>
    <w:p w14:paraId="5B233645" w14:textId="77777777" w:rsidR="007933F6" w:rsidRPr="00F65CC5" w:rsidRDefault="007933F6" w:rsidP="007933F6">
      <w:pPr>
        <w:spacing w:line="259" w:lineRule="auto"/>
        <w:jc w:val="both"/>
        <w:rPr>
          <w:rFonts w:asciiTheme="minorHAnsi" w:hAnsiTheme="minorHAnsi" w:cstheme="minorHAnsi"/>
        </w:rPr>
      </w:pPr>
    </w:p>
    <w:p w14:paraId="4BC0C5A8" w14:textId="35A6804E" w:rsidR="004A5E1A" w:rsidRPr="00F65CC5" w:rsidRDefault="529CBE5D" w:rsidP="007933F6">
      <w:pPr>
        <w:spacing w:line="259" w:lineRule="auto"/>
        <w:jc w:val="both"/>
        <w:rPr>
          <w:rFonts w:asciiTheme="minorHAnsi" w:hAnsiTheme="minorHAnsi" w:cstheme="minorHAnsi"/>
        </w:rPr>
      </w:pPr>
      <w:r w:rsidRPr="00F65CC5">
        <w:rPr>
          <w:rFonts w:asciiTheme="minorHAnsi" w:hAnsiTheme="minorHAnsi" w:cstheme="minorHAnsi"/>
        </w:rPr>
        <w:t>At first glance, those c</w:t>
      </w:r>
      <w:r w:rsidR="3CE46586" w:rsidRPr="00F65CC5">
        <w:rPr>
          <w:rFonts w:asciiTheme="minorHAnsi" w:hAnsiTheme="minorHAnsi" w:cstheme="minorHAnsi"/>
        </w:rPr>
        <w:t>ases</w:t>
      </w:r>
      <w:r w:rsidR="006F27A2" w:rsidRPr="00F65CC5">
        <w:rPr>
          <w:rFonts w:asciiTheme="minorHAnsi" w:hAnsiTheme="minorHAnsi" w:cstheme="minorHAnsi"/>
        </w:rPr>
        <w:t xml:space="preserve"> and </w:t>
      </w:r>
      <w:r w:rsidR="00594B92">
        <w:rPr>
          <w:rFonts w:asciiTheme="minorHAnsi" w:hAnsiTheme="minorHAnsi" w:cstheme="minorHAnsi"/>
        </w:rPr>
        <w:t>campaigns</w:t>
      </w:r>
      <w:r w:rsidR="3CE46586" w:rsidRPr="00F65CC5">
        <w:rPr>
          <w:rFonts w:asciiTheme="minorHAnsi" w:hAnsiTheme="minorHAnsi" w:cstheme="minorHAnsi"/>
        </w:rPr>
        <w:t xml:space="preserve"> could be seen as feminists engaging with </w:t>
      </w:r>
      <w:r w:rsidR="20045C14" w:rsidRPr="00F65CC5">
        <w:rPr>
          <w:rFonts w:asciiTheme="minorHAnsi" w:hAnsiTheme="minorHAnsi" w:cstheme="minorHAnsi"/>
        </w:rPr>
        <w:t xml:space="preserve">the </w:t>
      </w:r>
      <w:r w:rsidR="3CE46586" w:rsidRPr="00F65CC5">
        <w:rPr>
          <w:rFonts w:asciiTheme="minorHAnsi" w:hAnsiTheme="minorHAnsi" w:cstheme="minorHAnsi"/>
        </w:rPr>
        <w:t xml:space="preserve">State </w:t>
      </w:r>
      <w:r w:rsidR="00B523CF" w:rsidRPr="00F65CC5">
        <w:rPr>
          <w:rFonts w:asciiTheme="minorHAnsi" w:hAnsiTheme="minorHAnsi" w:cstheme="minorHAnsi"/>
        </w:rPr>
        <w:t>to</w:t>
      </w:r>
      <w:r w:rsidR="3CE46586" w:rsidRPr="00F65CC5">
        <w:rPr>
          <w:rFonts w:asciiTheme="minorHAnsi" w:hAnsiTheme="minorHAnsi" w:cstheme="minorHAnsi"/>
        </w:rPr>
        <w:t xml:space="preserve"> reform the </w:t>
      </w:r>
      <w:r w:rsidR="2F9E1F3D" w:rsidRPr="00F65CC5">
        <w:rPr>
          <w:rFonts w:asciiTheme="minorHAnsi" w:hAnsiTheme="minorHAnsi" w:cstheme="minorHAnsi"/>
        </w:rPr>
        <w:t>law</w:t>
      </w:r>
      <w:r w:rsidRPr="00F65CC5">
        <w:rPr>
          <w:rFonts w:asciiTheme="minorHAnsi" w:hAnsiTheme="minorHAnsi" w:cstheme="minorHAnsi"/>
        </w:rPr>
        <w:t>.</w:t>
      </w:r>
      <w:r w:rsidR="3CE46586" w:rsidRPr="00F65CC5">
        <w:rPr>
          <w:rFonts w:asciiTheme="minorHAnsi" w:hAnsiTheme="minorHAnsi" w:cstheme="minorHAnsi"/>
        </w:rPr>
        <w:t xml:space="preserve"> </w:t>
      </w:r>
      <w:r w:rsidRPr="00F65CC5">
        <w:rPr>
          <w:rFonts w:asciiTheme="minorHAnsi" w:hAnsiTheme="minorHAnsi" w:cstheme="minorHAnsi"/>
        </w:rPr>
        <w:t>H</w:t>
      </w:r>
      <w:r w:rsidR="3CE46586" w:rsidRPr="00F65CC5">
        <w:rPr>
          <w:rFonts w:asciiTheme="minorHAnsi" w:hAnsiTheme="minorHAnsi" w:cstheme="minorHAnsi"/>
        </w:rPr>
        <w:t>owever</w:t>
      </w:r>
      <w:r w:rsidR="0054172F" w:rsidRPr="00F65CC5">
        <w:rPr>
          <w:rFonts w:asciiTheme="minorHAnsi" w:hAnsiTheme="minorHAnsi" w:cstheme="minorHAnsi"/>
        </w:rPr>
        <w:t>,</w:t>
      </w:r>
      <w:r w:rsidR="3CE46586" w:rsidRPr="00F65CC5">
        <w:rPr>
          <w:rFonts w:asciiTheme="minorHAnsi" w:hAnsiTheme="minorHAnsi" w:cstheme="minorHAnsi"/>
        </w:rPr>
        <w:t xml:space="preserve"> reading the interviews through </w:t>
      </w:r>
      <w:r w:rsidR="00B523CF" w:rsidRPr="00F65CC5">
        <w:rPr>
          <w:rFonts w:asciiTheme="minorHAnsi" w:hAnsiTheme="minorHAnsi" w:cstheme="minorHAnsi"/>
        </w:rPr>
        <w:t xml:space="preserve">the </w:t>
      </w:r>
      <w:r w:rsidR="0054172F" w:rsidRPr="00F65CC5">
        <w:rPr>
          <w:rFonts w:asciiTheme="minorHAnsi" w:hAnsiTheme="minorHAnsi" w:cstheme="minorHAnsi"/>
        </w:rPr>
        <w:t>theor</w:t>
      </w:r>
      <w:r w:rsidR="00B523CF" w:rsidRPr="00F65CC5">
        <w:rPr>
          <w:rFonts w:asciiTheme="minorHAnsi" w:hAnsiTheme="minorHAnsi" w:cstheme="minorHAnsi"/>
        </w:rPr>
        <w:t>etical lenses</w:t>
      </w:r>
      <w:r w:rsidR="0054172F" w:rsidRPr="00F65CC5">
        <w:rPr>
          <w:rFonts w:asciiTheme="minorHAnsi" w:hAnsiTheme="minorHAnsi" w:cstheme="minorHAnsi"/>
        </w:rPr>
        <w:t xml:space="preserve"> of </w:t>
      </w:r>
      <w:r w:rsidRPr="00F65CC5">
        <w:rPr>
          <w:rFonts w:asciiTheme="minorHAnsi" w:hAnsiTheme="minorHAnsi" w:cstheme="minorHAnsi"/>
        </w:rPr>
        <w:t xml:space="preserve">Sally </w:t>
      </w:r>
      <w:r w:rsidR="00594B92">
        <w:rPr>
          <w:rFonts w:asciiTheme="minorHAnsi" w:hAnsiTheme="minorHAnsi" w:cstheme="minorHAnsi"/>
        </w:rPr>
        <w:t xml:space="preserve">Engle </w:t>
      </w:r>
      <w:r w:rsidR="3CE46586" w:rsidRPr="00F65CC5">
        <w:rPr>
          <w:rFonts w:asciiTheme="minorHAnsi" w:hAnsiTheme="minorHAnsi" w:cstheme="minorHAnsi"/>
        </w:rPr>
        <w:t>Merry,</w:t>
      </w:r>
      <w:r w:rsidR="63C2338D" w:rsidRPr="00F65CC5">
        <w:rPr>
          <w:rFonts w:asciiTheme="minorHAnsi" w:hAnsiTheme="minorHAnsi" w:cstheme="minorHAnsi"/>
        </w:rPr>
        <w:t xml:space="preserve"> </w:t>
      </w:r>
      <w:r w:rsidRPr="00F65CC5">
        <w:rPr>
          <w:rFonts w:asciiTheme="minorHAnsi" w:hAnsiTheme="minorHAnsi" w:cstheme="minorHAnsi"/>
        </w:rPr>
        <w:t xml:space="preserve">Margaret </w:t>
      </w:r>
      <w:r w:rsidR="3CE46586" w:rsidRPr="00F65CC5">
        <w:rPr>
          <w:rFonts w:asciiTheme="minorHAnsi" w:hAnsiTheme="minorHAnsi" w:cstheme="minorHAnsi"/>
        </w:rPr>
        <w:t xml:space="preserve">Davies and </w:t>
      </w:r>
      <w:r w:rsidRPr="00F65CC5">
        <w:rPr>
          <w:rFonts w:asciiTheme="minorHAnsi" w:hAnsiTheme="minorHAnsi" w:cstheme="minorHAnsi"/>
        </w:rPr>
        <w:t xml:space="preserve">Zoe </w:t>
      </w:r>
      <w:r w:rsidR="3CE46586" w:rsidRPr="00F65CC5">
        <w:rPr>
          <w:rFonts w:asciiTheme="minorHAnsi" w:hAnsiTheme="minorHAnsi" w:cstheme="minorHAnsi"/>
        </w:rPr>
        <w:t>Pearson showed us</w:t>
      </w:r>
      <w:r w:rsidRPr="00F65CC5">
        <w:rPr>
          <w:rFonts w:asciiTheme="minorHAnsi" w:hAnsiTheme="minorHAnsi" w:cstheme="minorHAnsi"/>
        </w:rPr>
        <w:t xml:space="preserve"> that our </w:t>
      </w:r>
      <w:r w:rsidR="00B523CF" w:rsidRPr="00F65CC5">
        <w:rPr>
          <w:rFonts w:asciiTheme="minorHAnsi" w:hAnsiTheme="minorHAnsi" w:cstheme="minorHAnsi"/>
        </w:rPr>
        <w:t>interviewees</w:t>
      </w:r>
      <w:r w:rsidRPr="00F65CC5">
        <w:rPr>
          <w:rFonts w:asciiTheme="minorHAnsi" w:hAnsiTheme="minorHAnsi" w:cstheme="minorHAnsi"/>
        </w:rPr>
        <w:t xml:space="preserve"> </w:t>
      </w:r>
      <w:r w:rsidR="0054172F" w:rsidRPr="00F65CC5">
        <w:rPr>
          <w:rFonts w:asciiTheme="minorHAnsi" w:hAnsiTheme="minorHAnsi" w:cstheme="minorHAnsi"/>
        </w:rPr>
        <w:t xml:space="preserve">were </w:t>
      </w:r>
      <w:r w:rsidR="5FC86EBF" w:rsidRPr="0098431F">
        <w:rPr>
          <w:rFonts w:asciiTheme="minorHAnsi" w:hAnsiTheme="minorHAnsi" w:cstheme="minorHAnsi"/>
          <w:i/>
          <w:iCs/>
        </w:rPr>
        <w:t>creat</w:t>
      </w:r>
      <w:r w:rsidR="0054172F" w:rsidRPr="0098431F">
        <w:rPr>
          <w:rFonts w:asciiTheme="minorHAnsi" w:hAnsiTheme="minorHAnsi" w:cstheme="minorHAnsi"/>
          <w:i/>
          <w:iCs/>
        </w:rPr>
        <w:t>ing</w:t>
      </w:r>
      <w:r w:rsidR="5FC86EBF" w:rsidRPr="00F65CC5">
        <w:rPr>
          <w:rFonts w:asciiTheme="minorHAnsi" w:hAnsiTheme="minorHAnsi" w:cstheme="minorHAnsi"/>
        </w:rPr>
        <w:t xml:space="preserve"> feminist legal spaces and </w:t>
      </w:r>
      <w:r w:rsidR="00690A39">
        <w:rPr>
          <w:rFonts w:asciiTheme="minorHAnsi" w:hAnsiTheme="minorHAnsi" w:cstheme="minorHAnsi"/>
        </w:rPr>
        <w:t xml:space="preserve">that </w:t>
      </w:r>
      <w:r w:rsidR="5FC86EBF" w:rsidRPr="00F65CC5">
        <w:rPr>
          <w:rFonts w:asciiTheme="minorHAnsi" w:hAnsiTheme="minorHAnsi" w:cstheme="minorHAnsi"/>
        </w:rPr>
        <w:t xml:space="preserve">they </w:t>
      </w:r>
      <w:r w:rsidRPr="00F65CC5">
        <w:rPr>
          <w:rFonts w:asciiTheme="minorHAnsi" w:hAnsiTheme="minorHAnsi" w:cstheme="minorHAnsi"/>
        </w:rPr>
        <w:t>d</w:t>
      </w:r>
      <w:r w:rsidR="5FC86EBF" w:rsidRPr="00F65CC5">
        <w:rPr>
          <w:rFonts w:asciiTheme="minorHAnsi" w:hAnsiTheme="minorHAnsi" w:cstheme="minorHAnsi"/>
        </w:rPr>
        <w:t>id</w:t>
      </w:r>
      <w:r w:rsidRPr="00F65CC5">
        <w:rPr>
          <w:rFonts w:asciiTheme="minorHAnsi" w:hAnsiTheme="minorHAnsi" w:cstheme="minorHAnsi"/>
        </w:rPr>
        <w:t xml:space="preserve"> not </w:t>
      </w:r>
      <w:r w:rsidR="5FC86EBF" w:rsidRPr="00F65CC5">
        <w:rPr>
          <w:rFonts w:asciiTheme="minorHAnsi" w:hAnsiTheme="minorHAnsi" w:cstheme="minorHAnsi"/>
        </w:rPr>
        <w:t>assume law as a single space.</w:t>
      </w:r>
      <w:r w:rsidR="0093430E" w:rsidRPr="00F65CC5">
        <w:rPr>
          <w:rStyle w:val="FootnoteReference"/>
          <w:rFonts w:asciiTheme="minorHAnsi" w:hAnsiTheme="minorHAnsi" w:cstheme="minorHAnsi"/>
        </w:rPr>
        <w:footnoteReference w:id="9"/>
      </w:r>
      <w:r w:rsidR="76CC70DE" w:rsidRPr="00F65CC5">
        <w:rPr>
          <w:rFonts w:asciiTheme="minorHAnsi" w:hAnsiTheme="minorHAnsi" w:cstheme="minorHAnsi"/>
        </w:rPr>
        <w:t xml:space="preserve"> </w:t>
      </w:r>
      <w:r w:rsidR="27781965" w:rsidRPr="00F65CC5">
        <w:rPr>
          <w:rFonts w:asciiTheme="minorHAnsi" w:hAnsiTheme="minorHAnsi" w:cstheme="minorHAnsi"/>
        </w:rPr>
        <w:t xml:space="preserve">This article contributes to </w:t>
      </w:r>
      <w:r w:rsidR="3569842F" w:rsidRPr="00F65CC5">
        <w:rPr>
          <w:rFonts w:asciiTheme="minorHAnsi" w:hAnsiTheme="minorHAnsi" w:cstheme="minorHAnsi"/>
        </w:rPr>
        <w:t>feminist legal scholarship</w:t>
      </w:r>
      <w:r w:rsidR="01F27A97" w:rsidRPr="00F65CC5">
        <w:rPr>
          <w:rFonts w:asciiTheme="minorHAnsi" w:hAnsiTheme="minorHAnsi" w:cstheme="minorHAnsi"/>
        </w:rPr>
        <w:t xml:space="preserve"> </w:t>
      </w:r>
      <w:r w:rsidR="00001E78">
        <w:rPr>
          <w:rFonts w:asciiTheme="minorHAnsi" w:hAnsiTheme="minorHAnsi" w:cstheme="minorHAnsi"/>
        </w:rPr>
        <w:t xml:space="preserve">by </w:t>
      </w:r>
      <w:r w:rsidR="0E822AB2" w:rsidRPr="00F65CC5">
        <w:rPr>
          <w:rFonts w:asciiTheme="minorHAnsi" w:hAnsiTheme="minorHAnsi" w:cstheme="minorHAnsi"/>
        </w:rPr>
        <w:t xml:space="preserve">analysing the </w:t>
      </w:r>
      <w:r w:rsidR="01F27A97" w:rsidRPr="00F65CC5">
        <w:rPr>
          <w:rFonts w:asciiTheme="minorHAnsi" w:hAnsiTheme="minorHAnsi" w:cstheme="minorHAnsi"/>
        </w:rPr>
        <w:t xml:space="preserve">empirical feminist knowledge </w:t>
      </w:r>
      <w:r w:rsidR="0E822AB2" w:rsidRPr="00F65CC5">
        <w:rPr>
          <w:rFonts w:asciiTheme="minorHAnsi" w:hAnsiTheme="minorHAnsi" w:cstheme="minorHAnsi"/>
        </w:rPr>
        <w:t xml:space="preserve">collected via </w:t>
      </w:r>
      <w:r w:rsidR="00001E78">
        <w:rPr>
          <w:rFonts w:asciiTheme="minorHAnsi" w:hAnsiTheme="minorHAnsi" w:cstheme="minorHAnsi"/>
        </w:rPr>
        <w:t xml:space="preserve">our </w:t>
      </w:r>
      <w:r w:rsidR="0E822AB2" w:rsidRPr="00F65CC5">
        <w:rPr>
          <w:rFonts w:asciiTheme="minorHAnsi" w:hAnsiTheme="minorHAnsi" w:cstheme="minorHAnsi"/>
        </w:rPr>
        <w:t>interviews through</w:t>
      </w:r>
      <w:r w:rsidR="6965670C" w:rsidRPr="00F65CC5">
        <w:rPr>
          <w:rFonts w:asciiTheme="minorHAnsi" w:hAnsiTheme="minorHAnsi" w:cstheme="minorHAnsi"/>
        </w:rPr>
        <w:t xml:space="preserve"> </w:t>
      </w:r>
      <w:r w:rsidR="0E822AB2" w:rsidRPr="00F65CC5">
        <w:rPr>
          <w:rFonts w:asciiTheme="minorHAnsi" w:hAnsiTheme="minorHAnsi" w:cstheme="minorHAnsi"/>
        </w:rPr>
        <w:t xml:space="preserve">a </w:t>
      </w:r>
      <w:r w:rsidR="6965670C" w:rsidRPr="00F65CC5">
        <w:rPr>
          <w:rFonts w:asciiTheme="minorHAnsi" w:hAnsiTheme="minorHAnsi" w:cstheme="minorHAnsi"/>
        </w:rPr>
        <w:t xml:space="preserve">combined reading of </w:t>
      </w:r>
      <w:r w:rsidR="113981F1" w:rsidRPr="00F65CC5">
        <w:rPr>
          <w:rFonts w:asciiTheme="minorHAnsi" w:hAnsiTheme="minorHAnsi" w:cstheme="minorHAnsi"/>
        </w:rPr>
        <w:t xml:space="preserve">Sally Engle Merry’s </w:t>
      </w:r>
      <w:r w:rsidR="00D67B41">
        <w:rPr>
          <w:rFonts w:asciiTheme="minorHAnsi" w:hAnsiTheme="minorHAnsi" w:cstheme="minorHAnsi"/>
        </w:rPr>
        <w:t>‘</w:t>
      </w:r>
      <w:r w:rsidR="113981F1" w:rsidRPr="00F65CC5">
        <w:rPr>
          <w:rFonts w:asciiTheme="minorHAnsi" w:hAnsiTheme="minorHAnsi" w:cstheme="minorHAnsi"/>
        </w:rPr>
        <w:t>hybrid space</w:t>
      </w:r>
      <w:r w:rsidR="00D67B41">
        <w:rPr>
          <w:rFonts w:asciiTheme="minorHAnsi" w:hAnsiTheme="minorHAnsi" w:cstheme="minorHAnsi"/>
        </w:rPr>
        <w:t>’</w:t>
      </w:r>
      <w:r w:rsidR="113981F1" w:rsidRPr="00F65CC5">
        <w:rPr>
          <w:rFonts w:asciiTheme="minorHAnsi" w:hAnsiTheme="minorHAnsi" w:cstheme="minorHAnsi"/>
        </w:rPr>
        <w:t>, Margaret Davies</w:t>
      </w:r>
      <w:r w:rsidR="00001E78">
        <w:rPr>
          <w:rFonts w:asciiTheme="minorHAnsi" w:hAnsiTheme="minorHAnsi" w:cstheme="minorHAnsi"/>
        </w:rPr>
        <w:t>’</w:t>
      </w:r>
      <w:r w:rsidR="113981F1" w:rsidRPr="00F65CC5">
        <w:rPr>
          <w:rFonts w:asciiTheme="minorHAnsi" w:hAnsiTheme="minorHAnsi" w:cstheme="minorHAnsi"/>
        </w:rPr>
        <w:t xml:space="preserve"> </w:t>
      </w:r>
      <w:r w:rsidR="00D67B41">
        <w:rPr>
          <w:rFonts w:asciiTheme="minorHAnsi" w:hAnsiTheme="minorHAnsi" w:cstheme="minorHAnsi"/>
        </w:rPr>
        <w:t>‘</w:t>
      </w:r>
      <w:r w:rsidR="113981F1" w:rsidRPr="00F65CC5">
        <w:rPr>
          <w:rFonts w:asciiTheme="minorHAnsi" w:hAnsiTheme="minorHAnsi" w:cstheme="minorHAnsi"/>
        </w:rPr>
        <w:t>flat law</w:t>
      </w:r>
      <w:r w:rsidR="00D67B41">
        <w:rPr>
          <w:rFonts w:asciiTheme="minorHAnsi" w:hAnsiTheme="minorHAnsi" w:cstheme="minorHAnsi"/>
        </w:rPr>
        <w:t>’</w:t>
      </w:r>
      <w:r w:rsidR="113981F1" w:rsidRPr="00F65CC5">
        <w:rPr>
          <w:rFonts w:asciiTheme="minorHAnsi" w:hAnsiTheme="minorHAnsi" w:cstheme="minorHAnsi"/>
        </w:rPr>
        <w:t xml:space="preserve"> and Zoe Pearson’s </w:t>
      </w:r>
      <w:r w:rsidR="00D67B41">
        <w:rPr>
          <w:rFonts w:asciiTheme="minorHAnsi" w:hAnsiTheme="minorHAnsi" w:cstheme="minorHAnsi"/>
        </w:rPr>
        <w:t>‘</w:t>
      </w:r>
      <w:r w:rsidR="113981F1" w:rsidRPr="00F65CC5">
        <w:rPr>
          <w:rFonts w:asciiTheme="minorHAnsi" w:hAnsiTheme="minorHAnsi" w:cstheme="minorHAnsi"/>
        </w:rPr>
        <w:t>unlikely spaces</w:t>
      </w:r>
      <w:r w:rsidR="00D67B41">
        <w:rPr>
          <w:rFonts w:asciiTheme="minorHAnsi" w:hAnsiTheme="minorHAnsi" w:cstheme="minorHAnsi"/>
        </w:rPr>
        <w:t>’</w:t>
      </w:r>
      <w:r w:rsidR="113981F1" w:rsidRPr="00F65CC5">
        <w:rPr>
          <w:rFonts w:asciiTheme="minorHAnsi" w:hAnsiTheme="minorHAnsi" w:cstheme="minorHAnsi"/>
        </w:rPr>
        <w:t>.</w:t>
      </w:r>
      <w:r w:rsidR="00EF1299" w:rsidRPr="00F65CC5">
        <w:rPr>
          <w:rStyle w:val="FootnoteReference"/>
          <w:rFonts w:asciiTheme="minorHAnsi" w:hAnsiTheme="minorHAnsi" w:cstheme="minorHAnsi"/>
        </w:rPr>
        <w:footnoteReference w:id="10"/>
      </w:r>
      <w:r w:rsidR="113981F1" w:rsidRPr="00F65CC5">
        <w:rPr>
          <w:rFonts w:asciiTheme="minorHAnsi" w:hAnsiTheme="minorHAnsi" w:cstheme="minorHAnsi"/>
        </w:rPr>
        <w:t xml:space="preserve"> </w:t>
      </w:r>
      <w:r w:rsidR="008D7FC8" w:rsidRPr="00F65CC5">
        <w:rPr>
          <w:rFonts w:asciiTheme="minorHAnsi" w:hAnsiTheme="minorHAnsi" w:cstheme="minorHAnsi"/>
        </w:rPr>
        <w:t>W</w:t>
      </w:r>
      <w:r w:rsidR="27781965" w:rsidRPr="00F65CC5">
        <w:rPr>
          <w:rFonts w:asciiTheme="minorHAnsi" w:hAnsiTheme="minorHAnsi" w:cstheme="minorHAnsi"/>
        </w:rPr>
        <w:t xml:space="preserve">e </w:t>
      </w:r>
      <w:r w:rsidR="006F27A2" w:rsidRPr="00F65CC5">
        <w:rPr>
          <w:rFonts w:asciiTheme="minorHAnsi" w:hAnsiTheme="minorHAnsi" w:cstheme="minorHAnsi"/>
        </w:rPr>
        <w:t>argue</w:t>
      </w:r>
      <w:r w:rsidR="27781965" w:rsidRPr="00F65CC5">
        <w:rPr>
          <w:rFonts w:asciiTheme="minorHAnsi" w:hAnsiTheme="minorHAnsi" w:cstheme="minorHAnsi"/>
        </w:rPr>
        <w:t xml:space="preserve"> that feminist resistance against the disappearance of </w:t>
      </w:r>
      <w:r w:rsidR="02494DA9" w:rsidRPr="00F65CC5">
        <w:rPr>
          <w:rFonts w:asciiTheme="minorHAnsi" w:hAnsiTheme="minorHAnsi" w:cstheme="minorHAnsi"/>
        </w:rPr>
        <w:t xml:space="preserve">the </w:t>
      </w:r>
      <w:r w:rsidR="27781965" w:rsidRPr="00F65CC5">
        <w:rPr>
          <w:rFonts w:asciiTheme="minorHAnsi" w:hAnsiTheme="minorHAnsi" w:cstheme="minorHAnsi"/>
        </w:rPr>
        <w:t xml:space="preserve">Istanbul Convention in Türkiye </w:t>
      </w:r>
      <w:r w:rsidR="55BCFA69" w:rsidRPr="00F65CC5">
        <w:rPr>
          <w:rFonts w:asciiTheme="minorHAnsi" w:hAnsiTheme="minorHAnsi" w:cstheme="minorHAnsi"/>
        </w:rPr>
        <w:t>bring</w:t>
      </w:r>
      <w:r w:rsidR="01F27A97" w:rsidRPr="00F65CC5">
        <w:rPr>
          <w:rFonts w:asciiTheme="minorHAnsi" w:hAnsiTheme="minorHAnsi" w:cstheme="minorHAnsi"/>
        </w:rPr>
        <w:t>s</w:t>
      </w:r>
      <w:r w:rsidR="55BCFA69" w:rsidRPr="00F65CC5">
        <w:rPr>
          <w:rFonts w:asciiTheme="minorHAnsi" w:hAnsiTheme="minorHAnsi" w:cstheme="minorHAnsi"/>
        </w:rPr>
        <w:t xml:space="preserve"> about</w:t>
      </w:r>
      <w:r w:rsidR="27781965" w:rsidRPr="00F65CC5">
        <w:rPr>
          <w:rFonts w:asciiTheme="minorHAnsi" w:hAnsiTheme="minorHAnsi" w:cstheme="minorHAnsi"/>
        </w:rPr>
        <w:t xml:space="preserve"> feminist legal space</w:t>
      </w:r>
      <w:r w:rsidR="55BCFA69" w:rsidRPr="00F65CC5">
        <w:rPr>
          <w:rFonts w:asciiTheme="minorHAnsi" w:hAnsiTheme="minorHAnsi" w:cstheme="minorHAnsi"/>
        </w:rPr>
        <w:t>s</w:t>
      </w:r>
      <w:r w:rsidR="27781965" w:rsidRPr="00F65CC5">
        <w:rPr>
          <w:rFonts w:asciiTheme="minorHAnsi" w:hAnsiTheme="minorHAnsi" w:cstheme="minorHAnsi"/>
        </w:rPr>
        <w:t xml:space="preserve"> that</w:t>
      </w:r>
      <w:r w:rsidR="006F27A2" w:rsidRPr="00F65CC5">
        <w:rPr>
          <w:rFonts w:asciiTheme="minorHAnsi" w:hAnsiTheme="minorHAnsi" w:cstheme="minorHAnsi"/>
        </w:rPr>
        <w:t xml:space="preserve"> </w:t>
      </w:r>
      <w:r w:rsidR="00C73320" w:rsidRPr="00F65CC5">
        <w:rPr>
          <w:rFonts w:asciiTheme="minorHAnsi" w:hAnsiTheme="minorHAnsi" w:cstheme="minorHAnsi"/>
        </w:rPr>
        <w:t>are</w:t>
      </w:r>
      <w:r w:rsidR="004A5E1A" w:rsidRPr="00F65CC5">
        <w:rPr>
          <w:rFonts w:asciiTheme="minorHAnsi" w:hAnsiTheme="minorHAnsi" w:cstheme="minorHAnsi"/>
        </w:rPr>
        <w:t xml:space="preserve"> not visible</w:t>
      </w:r>
      <w:r w:rsidR="006F27A2" w:rsidRPr="00F65CC5">
        <w:rPr>
          <w:rFonts w:asciiTheme="minorHAnsi" w:hAnsiTheme="minorHAnsi" w:cstheme="minorHAnsi"/>
        </w:rPr>
        <w:t xml:space="preserve"> within the </w:t>
      </w:r>
      <w:r w:rsidR="004A5E1A" w:rsidRPr="00F65CC5">
        <w:rPr>
          <w:rFonts w:asciiTheme="minorHAnsi" w:hAnsiTheme="minorHAnsi" w:cstheme="minorHAnsi"/>
        </w:rPr>
        <w:t xml:space="preserve">top-bottom </w:t>
      </w:r>
      <w:r w:rsidR="00636722">
        <w:rPr>
          <w:rFonts w:asciiTheme="minorHAnsi" w:hAnsiTheme="minorHAnsi" w:cstheme="minorHAnsi"/>
        </w:rPr>
        <w:t xml:space="preserve">and </w:t>
      </w:r>
      <w:r w:rsidR="00D731CB" w:rsidRPr="00F65CC5">
        <w:rPr>
          <w:rFonts w:asciiTheme="minorHAnsi" w:hAnsiTheme="minorHAnsi" w:cstheme="minorHAnsi"/>
        </w:rPr>
        <w:t xml:space="preserve">vice versa </w:t>
      </w:r>
      <w:r w:rsidR="006F27A2" w:rsidRPr="00F65CC5">
        <w:rPr>
          <w:rFonts w:asciiTheme="minorHAnsi" w:hAnsiTheme="minorHAnsi" w:cstheme="minorHAnsi"/>
        </w:rPr>
        <w:t>vertica</w:t>
      </w:r>
      <w:r w:rsidR="004A5E1A" w:rsidRPr="00F65CC5">
        <w:rPr>
          <w:rFonts w:asciiTheme="minorHAnsi" w:hAnsiTheme="minorHAnsi" w:cstheme="minorHAnsi"/>
        </w:rPr>
        <w:t>l</w:t>
      </w:r>
      <w:r w:rsidR="006F27A2" w:rsidRPr="00F65CC5">
        <w:rPr>
          <w:rFonts w:asciiTheme="minorHAnsi" w:hAnsiTheme="minorHAnsi" w:cstheme="minorHAnsi"/>
        </w:rPr>
        <w:t xml:space="preserve"> </w:t>
      </w:r>
      <w:r w:rsidR="004A5E1A" w:rsidRPr="00F65CC5">
        <w:rPr>
          <w:rFonts w:asciiTheme="minorHAnsi" w:hAnsiTheme="minorHAnsi" w:cstheme="minorHAnsi"/>
        </w:rPr>
        <w:t xml:space="preserve">space </w:t>
      </w:r>
      <w:r w:rsidR="006F27A2" w:rsidRPr="00F65CC5">
        <w:rPr>
          <w:rFonts w:asciiTheme="minorHAnsi" w:hAnsiTheme="minorHAnsi" w:cstheme="minorHAnsi"/>
        </w:rPr>
        <w:t>of State</w:t>
      </w:r>
      <w:r w:rsidR="004A5E1A" w:rsidRPr="00F65CC5">
        <w:rPr>
          <w:rFonts w:asciiTheme="minorHAnsi" w:hAnsiTheme="minorHAnsi" w:cstheme="minorHAnsi"/>
        </w:rPr>
        <w:t xml:space="preserve">-centric </w:t>
      </w:r>
      <w:r w:rsidR="006F27A2" w:rsidRPr="00F65CC5">
        <w:rPr>
          <w:rFonts w:asciiTheme="minorHAnsi" w:hAnsiTheme="minorHAnsi" w:cstheme="minorHAnsi"/>
        </w:rPr>
        <w:t>law.</w:t>
      </w:r>
      <w:r w:rsidR="0026454C">
        <w:rPr>
          <w:rStyle w:val="FootnoteReference"/>
          <w:rFonts w:asciiTheme="minorHAnsi" w:hAnsiTheme="minorHAnsi" w:cstheme="minorHAnsi"/>
        </w:rPr>
        <w:footnoteReference w:id="11"/>
      </w:r>
      <w:r w:rsidR="006F27A2" w:rsidRPr="00F65CC5">
        <w:rPr>
          <w:rFonts w:asciiTheme="minorHAnsi" w:hAnsiTheme="minorHAnsi" w:cstheme="minorHAnsi"/>
        </w:rPr>
        <w:t xml:space="preserve"> </w:t>
      </w:r>
      <w:r w:rsidR="004A5E1A" w:rsidRPr="00F65CC5">
        <w:rPr>
          <w:rFonts w:asciiTheme="minorHAnsi" w:hAnsiTheme="minorHAnsi" w:cstheme="minorHAnsi"/>
        </w:rPr>
        <w:t xml:space="preserve">Empirical feminist </w:t>
      </w:r>
      <w:r w:rsidR="008D7FC8" w:rsidRPr="00F65CC5">
        <w:rPr>
          <w:rFonts w:asciiTheme="minorHAnsi" w:hAnsiTheme="minorHAnsi" w:cstheme="minorHAnsi"/>
        </w:rPr>
        <w:t xml:space="preserve">knowledge obtained through interviews led us to discover that the campaign and cases were beyond interactions with State law. </w:t>
      </w:r>
    </w:p>
    <w:p w14:paraId="7C085E4B" w14:textId="77777777" w:rsidR="00F4493D" w:rsidRDefault="00F4493D" w:rsidP="007933F6">
      <w:pPr>
        <w:spacing w:line="259" w:lineRule="auto"/>
        <w:jc w:val="both"/>
        <w:rPr>
          <w:rFonts w:asciiTheme="minorHAnsi" w:hAnsiTheme="minorHAnsi" w:cstheme="minorHAnsi"/>
        </w:rPr>
      </w:pPr>
    </w:p>
    <w:p w14:paraId="798BF927" w14:textId="17060C45" w:rsidR="008D7FC8" w:rsidRPr="00F65CC5" w:rsidRDefault="008D7FC8" w:rsidP="007933F6">
      <w:pPr>
        <w:spacing w:line="259" w:lineRule="auto"/>
        <w:jc w:val="both"/>
        <w:rPr>
          <w:rFonts w:asciiTheme="minorHAnsi" w:hAnsiTheme="minorHAnsi" w:cstheme="minorHAnsi"/>
        </w:rPr>
      </w:pPr>
      <w:r w:rsidRPr="00F65CC5">
        <w:rPr>
          <w:rFonts w:asciiTheme="minorHAnsi" w:hAnsiTheme="minorHAnsi" w:cstheme="minorHAnsi"/>
        </w:rPr>
        <w:t xml:space="preserve">Our theoretical reading on </w:t>
      </w:r>
      <w:r w:rsidR="004A5E1A" w:rsidRPr="00F65CC5">
        <w:rPr>
          <w:rFonts w:asciiTheme="minorHAnsi" w:hAnsiTheme="minorHAnsi" w:cstheme="minorHAnsi"/>
        </w:rPr>
        <w:t xml:space="preserve">non-vertical spaces </w:t>
      </w:r>
      <w:r w:rsidRPr="00F65CC5">
        <w:rPr>
          <w:rFonts w:asciiTheme="minorHAnsi" w:hAnsiTheme="minorHAnsi" w:cstheme="minorHAnsi"/>
        </w:rPr>
        <w:t>allowed us to locate feminist legal spaces in</w:t>
      </w:r>
      <w:r w:rsidR="27781965" w:rsidRPr="00F65CC5">
        <w:rPr>
          <w:rFonts w:asciiTheme="minorHAnsi" w:hAnsiTheme="minorHAnsi" w:cstheme="minorHAnsi"/>
        </w:rPr>
        <w:t xml:space="preserve"> unlikely, hybrid</w:t>
      </w:r>
      <w:r w:rsidR="009E5C89">
        <w:rPr>
          <w:rFonts w:asciiTheme="minorHAnsi" w:hAnsiTheme="minorHAnsi" w:cstheme="minorHAnsi"/>
        </w:rPr>
        <w:t xml:space="preserve"> and </w:t>
      </w:r>
      <w:r w:rsidR="27781965" w:rsidRPr="00F65CC5">
        <w:rPr>
          <w:rFonts w:asciiTheme="minorHAnsi" w:hAnsiTheme="minorHAnsi" w:cstheme="minorHAnsi"/>
        </w:rPr>
        <w:t>horizontal</w:t>
      </w:r>
      <w:r w:rsidR="55BCFA69" w:rsidRPr="00F65CC5">
        <w:rPr>
          <w:rFonts w:asciiTheme="minorHAnsi" w:hAnsiTheme="minorHAnsi" w:cstheme="minorHAnsi"/>
        </w:rPr>
        <w:t xml:space="preserve"> locations</w:t>
      </w:r>
      <w:r w:rsidR="27781965" w:rsidRPr="00F65CC5">
        <w:rPr>
          <w:rFonts w:asciiTheme="minorHAnsi" w:hAnsiTheme="minorHAnsi" w:cstheme="minorHAnsi"/>
        </w:rPr>
        <w:t xml:space="preserve"> that are in a non-linear order </w:t>
      </w:r>
      <w:r w:rsidR="0054172F" w:rsidRPr="00F65CC5">
        <w:rPr>
          <w:rFonts w:asciiTheme="minorHAnsi" w:hAnsiTheme="minorHAnsi" w:cstheme="minorHAnsi"/>
        </w:rPr>
        <w:t xml:space="preserve">and </w:t>
      </w:r>
      <w:r w:rsidR="27781965" w:rsidRPr="00F65CC5">
        <w:rPr>
          <w:rFonts w:asciiTheme="minorHAnsi" w:hAnsiTheme="minorHAnsi" w:cstheme="minorHAnsi"/>
        </w:rPr>
        <w:t xml:space="preserve">created by feminist </w:t>
      </w:r>
      <w:r w:rsidR="27781965" w:rsidRPr="00F65CC5">
        <w:rPr>
          <w:rFonts w:asciiTheme="minorHAnsi" w:hAnsiTheme="minorHAnsi" w:cstheme="minorHAnsi"/>
        </w:rPr>
        <w:lastRenderedPageBreak/>
        <w:t>activism</w:t>
      </w:r>
      <w:r w:rsidR="55BCFA69" w:rsidRPr="00F65CC5">
        <w:rPr>
          <w:rFonts w:asciiTheme="minorHAnsi" w:hAnsiTheme="minorHAnsi" w:cstheme="minorHAnsi"/>
        </w:rPr>
        <w:t xml:space="preserve"> within the intersection of various scales of legalities.</w:t>
      </w:r>
      <w:r w:rsidR="00AD4A23" w:rsidRPr="00F65CC5">
        <w:rPr>
          <w:rStyle w:val="FootnoteReference"/>
          <w:rFonts w:asciiTheme="minorHAnsi" w:hAnsiTheme="minorHAnsi" w:cstheme="minorHAnsi"/>
        </w:rPr>
        <w:footnoteReference w:id="12"/>
      </w:r>
      <w:r w:rsidR="006F27A2" w:rsidRPr="00F65CC5">
        <w:rPr>
          <w:rFonts w:asciiTheme="minorHAnsi" w:hAnsiTheme="minorHAnsi" w:cstheme="minorHAnsi"/>
        </w:rPr>
        <w:t xml:space="preserve"> </w:t>
      </w:r>
      <w:r w:rsidRPr="00F65CC5">
        <w:rPr>
          <w:rFonts w:asciiTheme="minorHAnsi" w:hAnsiTheme="minorHAnsi" w:cstheme="minorHAnsi"/>
        </w:rPr>
        <w:t>Those feminist legal spaces would otherwise be mislocated as reform feminism.</w:t>
      </w:r>
      <w:r w:rsidR="007A3CB2" w:rsidRPr="00F65CC5">
        <w:rPr>
          <w:rStyle w:val="FootnoteReference"/>
          <w:rFonts w:asciiTheme="minorHAnsi" w:hAnsiTheme="minorHAnsi" w:cstheme="minorHAnsi"/>
        </w:rPr>
        <w:footnoteReference w:id="13"/>
      </w:r>
      <w:r w:rsidRPr="00F65CC5">
        <w:rPr>
          <w:rFonts w:asciiTheme="minorHAnsi" w:hAnsiTheme="minorHAnsi" w:cstheme="minorHAnsi"/>
        </w:rPr>
        <w:t xml:space="preserve"> </w:t>
      </w:r>
      <w:r w:rsidR="0020225F">
        <w:rPr>
          <w:rFonts w:asciiTheme="minorHAnsi" w:hAnsiTheme="minorHAnsi" w:cstheme="minorHAnsi"/>
        </w:rPr>
        <w:t>Different to</w:t>
      </w:r>
      <w:r w:rsidR="007A3CB2" w:rsidRPr="00F65CC5">
        <w:rPr>
          <w:rFonts w:asciiTheme="minorHAnsi" w:hAnsiTheme="minorHAnsi" w:cstheme="minorHAnsi"/>
        </w:rPr>
        <w:t xml:space="preserve"> reformism, feminist legal spaces</w:t>
      </w:r>
      <w:r w:rsidR="00D731CB" w:rsidRPr="00F65CC5">
        <w:rPr>
          <w:rFonts w:asciiTheme="minorHAnsi" w:hAnsiTheme="minorHAnsi" w:cstheme="minorHAnsi"/>
        </w:rPr>
        <w:t xml:space="preserve"> </w:t>
      </w:r>
      <w:r w:rsidR="002E5A4B">
        <w:rPr>
          <w:rFonts w:asciiTheme="minorHAnsi" w:hAnsiTheme="minorHAnsi" w:cstheme="minorHAnsi"/>
        </w:rPr>
        <w:t xml:space="preserve">do </w:t>
      </w:r>
      <w:r w:rsidR="00D731CB" w:rsidRPr="00F65CC5">
        <w:rPr>
          <w:rFonts w:asciiTheme="minorHAnsi" w:hAnsiTheme="minorHAnsi" w:cstheme="minorHAnsi"/>
        </w:rPr>
        <w:t>not only attempt to improve vertical patriarchal State-centric law,</w:t>
      </w:r>
      <w:r w:rsidR="007A3CB2" w:rsidRPr="00F65CC5">
        <w:rPr>
          <w:rFonts w:asciiTheme="minorHAnsi" w:hAnsiTheme="minorHAnsi" w:cstheme="minorHAnsi"/>
        </w:rPr>
        <w:t xml:space="preserve"> nor solely aim to include feminist demands within the limits of vertical legal spaces.</w:t>
      </w:r>
      <w:r w:rsidR="00D731CB" w:rsidRPr="00F65CC5">
        <w:rPr>
          <w:rFonts w:asciiTheme="minorHAnsi" w:hAnsiTheme="minorHAnsi" w:cstheme="minorHAnsi"/>
        </w:rPr>
        <w:t xml:space="preserve"> </w:t>
      </w:r>
      <w:r w:rsidR="007A3CB2" w:rsidRPr="00F65CC5">
        <w:rPr>
          <w:rFonts w:asciiTheme="minorHAnsi" w:hAnsiTheme="minorHAnsi" w:cstheme="minorHAnsi"/>
        </w:rPr>
        <w:t>T</w:t>
      </w:r>
      <w:r w:rsidRPr="00F65CC5">
        <w:rPr>
          <w:rFonts w:asciiTheme="minorHAnsi" w:hAnsiTheme="minorHAnsi" w:cstheme="minorHAnsi"/>
        </w:rPr>
        <w:t>h</w:t>
      </w:r>
      <w:r w:rsidR="00D731CB" w:rsidRPr="00F65CC5">
        <w:rPr>
          <w:rFonts w:asciiTheme="minorHAnsi" w:hAnsiTheme="minorHAnsi" w:cstheme="minorHAnsi"/>
        </w:rPr>
        <w:t>ey</w:t>
      </w:r>
      <w:r w:rsidRPr="00F65CC5">
        <w:rPr>
          <w:rFonts w:asciiTheme="minorHAnsi" w:hAnsiTheme="minorHAnsi" w:cstheme="minorHAnsi"/>
        </w:rPr>
        <w:t xml:space="preserve"> host feminist legality and challenge the core foundations of </w:t>
      </w:r>
      <w:r w:rsidR="00D731CB" w:rsidRPr="00F65CC5">
        <w:rPr>
          <w:rFonts w:asciiTheme="minorHAnsi" w:hAnsiTheme="minorHAnsi" w:cstheme="minorHAnsi"/>
        </w:rPr>
        <w:t xml:space="preserve">these </w:t>
      </w:r>
      <w:r w:rsidRPr="00F65CC5">
        <w:rPr>
          <w:rFonts w:asciiTheme="minorHAnsi" w:hAnsiTheme="minorHAnsi" w:cstheme="minorHAnsi"/>
        </w:rPr>
        <w:t>legal norms. Feminist legality could be defined as a feminist conception of law. In other words, according to feminist legality what makes law lawful is its adherence to feminist legal approaches. They could be found in unusual spaces such as emotions, words,</w:t>
      </w:r>
      <w:r w:rsidR="00D731CB" w:rsidRPr="00F65CC5">
        <w:rPr>
          <w:rFonts w:asciiTheme="minorHAnsi" w:hAnsiTheme="minorHAnsi" w:cstheme="minorHAnsi"/>
        </w:rPr>
        <w:t xml:space="preserve"> </w:t>
      </w:r>
      <w:r w:rsidRPr="00F65CC5">
        <w:rPr>
          <w:rFonts w:asciiTheme="minorHAnsi" w:hAnsiTheme="minorHAnsi" w:cstheme="minorHAnsi"/>
        </w:rPr>
        <w:t>slogans, and land.</w:t>
      </w:r>
      <w:r w:rsidR="00D731CB" w:rsidRPr="00F65CC5">
        <w:rPr>
          <w:rFonts w:asciiTheme="minorHAnsi" w:hAnsiTheme="minorHAnsi" w:cstheme="minorHAnsi"/>
        </w:rPr>
        <w:t xml:space="preserve"> </w:t>
      </w:r>
      <w:r w:rsidRPr="00F65CC5">
        <w:rPr>
          <w:rFonts w:asciiTheme="minorHAnsi" w:hAnsiTheme="minorHAnsi" w:cstheme="minorHAnsi"/>
        </w:rPr>
        <w:t xml:space="preserve">For </w:t>
      </w:r>
      <w:r w:rsidR="00194889" w:rsidRPr="00F65CC5">
        <w:rPr>
          <w:rFonts w:asciiTheme="minorHAnsi" w:hAnsiTheme="minorHAnsi" w:cstheme="minorHAnsi"/>
        </w:rPr>
        <w:t>example,</w:t>
      </w:r>
      <w:r w:rsidRPr="00F65CC5">
        <w:rPr>
          <w:rFonts w:asciiTheme="minorHAnsi" w:hAnsiTheme="minorHAnsi" w:cstheme="minorHAnsi"/>
        </w:rPr>
        <w:t xml:space="preserve"> the land could be the source of an international Convention rather than the interaction of States</w:t>
      </w:r>
      <w:r w:rsidR="00194889">
        <w:rPr>
          <w:rFonts w:asciiTheme="minorHAnsi" w:hAnsiTheme="minorHAnsi" w:cstheme="minorHAnsi"/>
        </w:rPr>
        <w:t>;</w:t>
      </w:r>
      <w:r w:rsidRPr="00F65CC5">
        <w:rPr>
          <w:rFonts w:asciiTheme="minorHAnsi" w:hAnsiTheme="minorHAnsi" w:cstheme="minorHAnsi"/>
        </w:rPr>
        <w:t xml:space="preserve"> feminists could stay with a Convention while the State leaves </w:t>
      </w:r>
      <w:r w:rsidR="008E2D0D" w:rsidRPr="00F65CC5">
        <w:rPr>
          <w:rFonts w:asciiTheme="minorHAnsi" w:hAnsiTheme="minorHAnsi" w:cstheme="minorHAnsi"/>
        </w:rPr>
        <w:t>it,</w:t>
      </w:r>
      <w:r w:rsidR="00D731CB" w:rsidRPr="00F65CC5">
        <w:rPr>
          <w:rFonts w:asciiTheme="minorHAnsi" w:hAnsiTheme="minorHAnsi" w:cstheme="minorHAnsi"/>
        </w:rPr>
        <w:t xml:space="preserve"> and </w:t>
      </w:r>
      <w:r w:rsidRPr="00F65CC5">
        <w:rPr>
          <w:rFonts w:asciiTheme="minorHAnsi" w:hAnsiTheme="minorHAnsi" w:cstheme="minorHAnsi"/>
        </w:rPr>
        <w:t>the courtroom could host feminist legalities. F</w:t>
      </w:r>
      <w:r w:rsidR="55BCFA69" w:rsidRPr="00F65CC5">
        <w:rPr>
          <w:rFonts w:asciiTheme="minorHAnsi" w:hAnsiTheme="minorHAnsi" w:cstheme="minorHAnsi"/>
        </w:rPr>
        <w:t xml:space="preserve">eminist legal spaces do not </w:t>
      </w:r>
      <w:r w:rsidR="00D731CB" w:rsidRPr="00F65CC5">
        <w:rPr>
          <w:rFonts w:asciiTheme="minorHAnsi" w:hAnsiTheme="minorHAnsi" w:cstheme="minorHAnsi"/>
        </w:rPr>
        <w:t>sync with the vertical State-centric law</w:t>
      </w:r>
      <w:r w:rsidR="008E2D0D">
        <w:rPr>
          <w:rFonts w:asciiTheme="minorHAnsi" w:hAnsiTheme="minorHAnsi" w:cstheme="minorHAnsi"/>
        </w:rPr>
        <w:t xml:space="preserve"> </w:t>
      </w:r>
      <w:r w:rsidR="00C73320" w:rsidRPr="00F65CC5">
        <w:rPr>
          <w:rFonts w:asciiTheme="minorHAnsi" w:hAnsiTheme="minorHAnsi" w:cstheme="minorHAnsi"/>
        </w:rPr>
        <w:t>and do</w:t>
      </w:r>
      <w:r w:rsidR="00D731CB" w:rsidRPr="00F65CC5">
        <w:rPr>
          <w:rFonts w:asciiTheme="minorHAnsi" w:hAnsiTheme="minorHAnsi" w:cstheme="minorHAnsi"/>
        </w:rPr>
        <w:t xml:space="preserve"> not follow its rhythms. Those spaces not </w:t>
      </w:r>
      <w:r w:rsidR="55BCFA69" w:rsidRPr="00F65CC5">
        <w:rPr>
          <w:rFonts w:asciiTheme="minorHAnsi" w:hAnsiTheme="minorHAnsi" w:cstheme="minorHAnsi"/>
        </w:rPr>
        <w:t>only encompass progression by expanding rights</w:t>
      </w:r>
      <w:r w:rsidR="004D6440">
        <w:rPr>
          <w:rFonts w:asciiTheme="minorHAnsi" w:hAnsiTheme="minorHAnsi" w:cstheme="minorHAnsi"/>
        </w:rPr>
        <w:t>. T</w:t>
      </w:r>
      <w:r w:rsidR="00574862" w:rsidRPr="00F65CC5">
        <w:rPr>
          <w:rFonts w:asciiTheme="minorHAnsi" w:hAnsiTheme="minorHAnsi" w:cstheme="minorHAnsi"/>
        </w:rPr>
        <w:t>hey</w:t>
      </w:r>
      <w:r w:rsidR="55BCFA69" w:rsidRPr="00F65CC5">
        <w:rPr>
          <w:rFonts w:asciiTheme="minorHAnsi" w:hAnsiTheme="minorHAnsi" w:cstheme="minorHAnsi"/>
        </w:rPr>
        <w:t xml:space="preserve"> are </w:t>
      </w:r>
      <w:r w:rsidR="00227912" w:rsidRPr="00F65CC5">
        <w:rPr>
          <w:rFonts w:asciiTheme="minorHAnsi" w:hAnsiTheme="minorHAnsi" w:cstheme="minorHAnsi"/>
        </w:rPr>
        <w:t xml:space="preserve">also </w:t>
      </w:r>
      <w:r w:rsidR="55BCFA69" w:rsidRPr="00F65CC5">
        <w:rPr>
          <w:rFonts w:asciiTheme="minorHAnsi" w:hAnsiTheme="minorHAnsi" w:cstheme="minorHAnsi"/>
        </w:rPr>
        <w:t xml:space="preserve">versatile and fluid spaces </w:t>
      </w:r>
      <w:r w:rsidR="00E23835">
        <w:rPr>
          <w:rFonts w:asciiTheme="minorHAnsi" w:hAnsiTheme="minorHAnsi" w:cstheme="minorHAnsi"/>
        </w:rPr>
        <w:t>that</w:t>
      </w:r>
      <w:r w:rsidR="55BCFA69" w:rsidRPr="00F65CC5">
        <w:rPr>
          <w:rFonts w:asciiTheme="minorHAnsi" w:hAnsiTheme="minorHAnsi" w:cstheme="minorHAnsi"/>
        </w:rPr>
        <w:t xml:space="preserve"> include </w:t>
      </w:r>
      <w:r w:rsidR="00E23835">
        <w:rPr>
          <w:rFonts w:asciiTheme="minorHAnsi" w:hAnsiTheme="minorHAnsi" w:cstheme="minorHAnsi"/>
        </w:rPr>
        <w:t>multi-directional</w:t>
      </w:r>
      <w:r w:rsidR="55BCFA69" w:rsidRPr="00F65CC5">
        <w:rPr>
          <w:rFonts w:asciiTheme="minorHAnsi" w:hAnsiTheme="minorHAnsi" w:cstheme="minorHAnsi"/>
        </w:rPr>
        <w:t xml:space="preserve"> engagements with existing rights, loss of rights and future of rights.</w:t>
      </w:r>
      <w:r w:rsidR="00AD4A23" w:rsidRPr="00F65CC5">
        <w:rPr>
          <w:rStyle w:val="FootnoteReference"/>
          <w:rFonts w:asciiTheme="minorHAnsi" w:hAnsiTheme="minorHAnsi" w:cstheme="minorHAnsi"/>
        </w:rPr>
        <w:footnoteReference w:id="14"/>
      </w:r>
      <w:r w:rsidR="55BCFA69" w:rsidRPr="00F65CC5">
        <w:rPr>
          <w:rFonts w:asciiTheme="minorHAnsi" w:hAnsiTheme="minorHAnsi" w:cstheme="minorHAnsi"/>
        </w:rPr>
        <w:t xml:space="preserve"> </w:t>
      </w:r>
      <w:r w:rsidR="00D731CB" w:rsidRPr="00F65CC5">
        <w:rPr>
          <w:rFonts w:asciiTheme="minorHAnsi" w:hAnsiTheme="minorHAnsi" w:cstheme="minorHAnsi"/>
        </w:rPr>
        <w:t>Accordingly, w</w:t>
      </w:r>
      <w:r w:rsidR="55BCFA69" w:rsidRPr="00F65CC5">
        <w:rPr>
          <w:rFonts w:asciiTheme="minorHAnsi" w:hAnsiTheme="minorHAnsi" w:cstheme="minorHAnsi"/>
        </w:rPr>
        <w:t>e are not examining feminist law-making or feminist legalities in relation to granting new rights to women</w:t>
      </w:r>
      <w:r w:rsidR="00B114A2">
        <w:rPr>
          <w:rFonts w:asciiTheme="minorHAnsi" w:hAnsiTheme="minorHAnsi" w:cstheme="minorHAnsi"/>
        </w:rPr>
        <w:t>. O</w:t>
      </w:r>
      <w:r w:rsidR="55BCFA69" w:rsidRPr="00F65CC5">
        <w:rPr>
          <w:rFonts w:asciiTheme="minorHAnsi" w:hAnsiTheme="minorHAnsi" w:cstheme="minorHAnsi"/>
        </w:rPr>
        <w:t>n the contrary</w:t>
      </w:r>
      <w:r w:rsidR="00B114A2">
        <w:rPr>
          <w:rFonts w:asciiTheme="minorHAnsi" w:hAnsiTheme="minorHAnsi" w:cstheme="minorHAnsi"/>
        </w:rPr>
        <w:t>,</w:t>
      </w:r>
      <w:r w:rsidR="55BCFA69" w:rsidRPr="00F65CC5">
        <w:rPr>
          <w:rFonts w:asciiTheme="minorHAnsi" w:hAnsiTheme="minorHAnsi" w:cstheme="minorHAnsi"/>
        </w:rPr>
        <w:t xml:space="preserve"> we are examining the emergence of feminist law</w:t>
      </w:r>
      <w:r w:rsidR="00B114A2">
        <w:rPr>
          <w:rFonts w:asciiTheme="minorHAnsi" w:hAnsiTheme="minorHAnsi" w:cstheme="minorHAnsi"/>
        </w:rPr>
        <w:t>-</w:t>
      </w:r>
      <w:r w:rsidR="55BCFA69" w:rsidRPr="00F65CC5">
        <w:rPr>
          <w:rFonts w:asciiTheme="minorHAnsi" w:hAnsiTheme="minorHAnsi" w:cstheme="minorHAnsi"/>
        </w:rPr>
        <w:t xml:space="preserve">making and feminist legal spaces when the opposite </w:t>
      </w:r>
      <w:r w:rsidR="00574862" w:rsidRPr="00F65CC5">
        <w:rPr>
          <w:rFonts w:asciiTheme="minorHAnsi" w:hAnsiTheme="minorHAnsi" w:cstheme="minorHAnsi"/>
        </w:rPr>
        <w:t>happens</w:t>
      </w:r>
      <w:r w:rsidR="00F84904">
        <w:rPr>
          <w:rFonts w:asciiTheme="minorHAnsi" w:hAnsiTheme="minorHAnsi" w:cstheme="minorHAnsi"/>
        </w:rPr>
        <w:t>;</w:t>
      </w:r>
      <w:r w:rsidR="55BCFA69" w:rsidRPr="00F65CC5">
        <w:rPr>
          <w:rFonts w:asciiTheme="minorHAnsi" w:hAnsiTheme="minorHAnsi" w:cstheme="minorHAnsi"/>
        </w:rPr>
        <w:t xml:space="preserve"> when rights are taken away from women. </w:t>
      </w:r>
      <w:r w:rsidRPr="00F65CC5">
        <w:rPr>
          <w:rFonts w:asciiTheme="minorHAnsi" w:hAnsiTheme="minorHAnsi" w:cstheme="minorHAnsi"/>
        </w:rPr>
        <w:t xml:space="preserve">We flatten out our understanding of legality to enter spaces of feminist resistance against </w:t>
      </w:r>
      <w:r w:rsidR="00A33A3F">
        <w:rPr>
          <w:rFonts w:asciiTheme="minorHAnsi" w:hAnsiTheme="minorHAnsi" w:cstheme="minorHAnsi"/>
        </w:rPr>
        <w:t xml:space="preserve">the </w:t>
      </w:r>
      <w:r w:rsidRPr="00F65CC5">
        <w:rPr>
          <w:rFonts w:asciiTheme="minorHAnsi" w:hAnsiTheme="minorHAnsi" w:cstheme="minorHAnsi"/>
        </w:rPr>
        <w:t>loss of rights and investigate new possibilities and pathways for feminist engagements with international law.</w:t>
      </w:r>
    </w:p>
    <w:p w14:paraId="109A5FB2" w14:textId="77777777" w:rsidR="00AF5DAB" w:rsidRPr="00A33A3F" w:rsidRDefault="00AF5DAB" w:rsidP="007933F6">
      <w:pPr>
        <w:jc w:val="both"/>
        <w:rPr>
          <w:rFonts w:asciiTheme="minorHAnsi" w:hAnsiTheme="minorHAnsi" w:cstheme="minorHAnsi"/>
        </w:rPr>
      </w:pPr>
    </w:p>
    <w:p w14:paraId="7D81BAC5" w14:textId="3537C01A" w:rsidR="001C6499" w:rsidRPr="00F65CC5" w:rsidRDefault="2A37E418" w:rsidP="007933F6">
      <w:pPr>
        <w:spacing w:line="259" w:lineRule="auto"/>
        <w:jc w:val="both"/>
        <w:rPr>
          <w:rFonts w:asciiTheme="minorHAnsi" w:hAnsiTheme="minorHAnsi" w:cstheme="minorHAnsi"/>
        </w:rPr>
      </w:pPr>
      <w:r w:rsidRPr="00F65CC5">
        <w:rPr>
          <w:rFonts w:asciiTheme="minorHAnsi" w:hAnsiTheme="minorHAnsi" w:cstheme="minorHAnsi"/>
          <w:lang w:val="en-US"/>
        </w:rPr>
        <w:t xml:space="preserve">In the first section we discuss </w:t>
      </w:r>
      <w:r w:rsidR="56D80802" w:rsidRPr="00F65CC5">
        <w:rPr>
          <w:rFonts w:asciiTheme="minorHAnsi" w:hAnsiTheme="minorHAnsi" w:cstheme="minorHAnsi"/>
          <w:lang w:val="en-US"/>
        </w:rPr>
        <w:t xml:space="preserve">the theoretical foundations of </w:t>
      </w:r>
      <w:r w:rsidRPr="00F65CC5">
        <w:rPr>
          <w:rFonts w:asciiTheme="minorHAnsi" w:hAnsiTheme="minorHAnsi" w:cstheme="minorHAnsi"/>
          <w:lang w:val="en-US"/>
        </w:rPr>
        <w:t>feminist legal spaces</w:t>
      </w:r>
      <w:r w:rsidR="00382C17">
        <w:rPr>
          <w:rFonts w:asciiTheme="minorHAnsi" w:hAnsiTheme="minorHAnsi" w:cstheme="minorHAnsi"/>
          <w:lang w:val="en-US"/>
        </w:rPr>
        <w:t>,</w:t>
      </w:r>
      <w:r w:rsidRPr="00F65CC5">
        <w:rPr>
          <w:rFonts w:asciiTheme="minorHAnsi" w:hAnsiTheme="minorHAnsi" w:cstheme="minorHAnsi"/>
          <w:lang w:val="en-US"/>
        </w:rPr>
        <w:t xml:space="preserve"> referring to </w:t>
      </w:r>
      <w:r w:rsidRPr="00F65CC5">
        <w:rPr>
          <w:rFonts w:asciiTheme="minorHAnsi" w:hAnsiTheme="minorHAnsi" w:cstheme="minorHAnsi"/>
        </w:rPr>
        <w:t>Sally Engle Merry’s hybrid space, Margaret Davies</w:t>
      </w:r>
      <w:r w:rsidR="00A33A3F">
        <w:rPr>
          <w:rFonts w:asciiTheme="minorHAnsi" w:hAnsiTheme="minorHAnsi" w:cstheme="minorHAnsi"/>
        </w:rPr>
        <w:t>’</w:t>
      </w:r>
      <w:r w:rsidRPr="00F65CC5">
        <w:rPr>
          <w:rFonts w:asciiTheme="minorHAnsi" w:hAnsiTheme="minorHAnsi" w:cstheme="minorHAnsi"/>
        </w:rPr>
        <w:t xml:space="preserve"> flat law and Zoe Pearson’s unlikely spaces</w:t>
      </w:r>
      <w:r w:rsidR="00E939B6" w:rsidRPr="00F65CC5">
        <w:rPr>
          <w:rFonts w:asciiTheme="minorHAnsi" w:hAnsiTheme="minorHAnsi" w:cstheme="minorHAnsi"/>
        </w:rPr>
        <w:t xml:space="preserve"> and our methodology</w:t>
      </w:r>
      <w:r w:rsidRPr="00F65CC5">
        <w:rPr>
          <w:rFonts w:asciiTheme="minorHAnsi" w:hAnsiTheme="minorHAnsi" w:cstheme="minorHAnsi"/>
        </w:rPr>
        <w:t>.</w:t>
      </w:r>
      <w:r w:rsidR="00F1167E" w:rsidRPr="00F65CC5">
        <w:rPr>
          <w:rStyle w:val="FootnoteReference"/>
          <w:rFonts w:asciiTheme="minorHAnsi" w:hAnsiTheme="minorHAnsi" w:cstheme="minorHAnsi"/>
          <w:color w:val="7030A0"/>
        </w:rPr>
        <w:footnoteReference w:id="15"/>
      </w:r>
      <w:r w:rsidR="56D80802" w:rsidRPr="00F65CC5">
        <w:rPr>
          <w:rFonts w:asciiTheme="minorHAnsi" w:hAnsiTheme="minorHAnsi" w:cstheme="minorHAnsi"/>
        </w:rPr>
        <w:t xml:space="preserve"> Using this combined theoretical approach</w:t>
      </w:r>
      <w:r w:rsidR="069F3A62" w:rsidRPr="00F65CC5">
        <w:rPr>
          <w:rFonts w:asciiTheme="minorHAnsi" w:hAnsiTheme="minorHAnsi" w:cstheme="minorHAnsi"/>
        </w:rPr>
        <w:t>,</w:t>
      </w:r>
      <w:r w:rsidR="56D80802" w:rsidRPr="00F65CC5">
        <w:rPr>
          <w:rFonts w:asciiTheme="minorHAnsi" w:hAnsiTheme="minorHAnsi" w:cstheme="minorHAnsi"/>
        </w:rPr>
        <w:t xml:space="preserve"> we analyse our interviews and </w:t>
      </w:r>
      <w:r w:rsidR="5E476759" w:rsidRPr="00F65CC5">
        <w:rPr>
          <w:rFonts w:asciiTheme="minorHAnsi" w:hAnsiTheme="minorHAnsi" w:cstheme="minorHAnsi"/>
        </w:rPr>
        <w:t>identify</w:t>
      </w:r>
      <w:r w:rsidR="56D80802" w:rsidRPr="00F65CC5">
        <w:rPr>
          <w:rFonts w:asciiTheme="minorHAnsi" w:hAnsiTheme="minorHAnsi" w:cstheme="minorHAnsi"/>
        </w:rPr>
        <w:t xml:space="preserve"> the feminist legal spaces created by the feminist resistance against T</w:t>
      </w:r>
      <w:r w:rsidR="006F27A2" w:rsidRPr="00F65CC5">
        <w:rPr>
          <w:rFonts w:asciiTheme="minorHAnsi" w:hAnsiTheme="minorHAnsi" w:cstheme="minorHAnsi"/>
          <w:lang w:val="tr-TR"/>
        </w:rPr>
        <w:t>ü</w:t>
      </w:r>
      <w:proofErr w:type="spellStart"/>
      <w:r w:rsidR="56D80802" w:rsidRPr="00F65CC5">
        <w:rPr>
          <w:rFonts w:asciiTheme="minorHAnsi" w:hAnsiTheme="minorHAnsi" w:cstheme="minorHAnsi"/>
        </w:rPr>
        <w:t>rkiye’s</w:t>
      </w:r>
      <w:proofErr w:type="spellEnd"/>
      <w:r w:rsidR="56D80802" w:rsidRPr="00F65CC5">
        <w:rPr>
          <w:rFonts w:asciiTheme="minorHAnsi" w:hAnsiTheme="minorHAnsi" w:cstheme="minorHAnsi"/>
        </w:rPr>
        <w:t xml:space="preserve"> withdrawal from the Istanbul Convention. The second section </w:t>
      </w:r>
      <w:r w:rsidR="5E476759" w:rsidRPr="00F65CC5">
        <w:rPr>
          <w:rFonts w:asciiTheme="minorHAnsi" w:hAnsiTheme="minorHAnsi" w:cstheme="minorHAnsi"/>
        </w:rPr>
        <w:t xml:space="preserve">analyses </w:t>
      </w:r>
      <w:r w:rsidR="56D80802" w:rsidRPr="00F65CC5">
        <w:rPr>
          <w:rFonts w:asciiTheme="minorHAnsi" w:hAnsiTheme="minorHAnsi" w:cstheme="minorHAnsi"/>
        </w:rPr>
        <w:t>the courtroom as a feminist legal space.</w:t>
      </w:r>
      <w:r w:rsidR="00D03F2D" w:rsidRPr="00F65CC5">
        <w:rPr>
          <w:rFonts w:asciiTheme="minorHAnsi" w:hAnsiTheme="minorHAnsi" w:cstheme="minorHAnsi"/>
        </w:rPr>
        <w:t xml:space="preserve"> </w:t>
      </w:r>
      <w:r w:rsidR="56D80802" w:rsidRPr="00F65CC5">
        <w:rPr>
          <w:rFonts w:asciiTheme="minorHAnsi" w:hAnsiTheme="minorHAnsi" w:cstheme="minorHAnsi"/>
        </w:rPr>
        <w:t>In the courtroom</w:t>
      </w:r>
      <w:r w:rsidR="00D0245F">
        <w:rPr>
          <w:rFonts w:asciiTheme="minorHAnsi" w:hAnsiTheme="minorHAnsi" w:cstheme="minorHAnsi"/>
        </w:rPr>
        <w:t>,</w:t>
      </w:r>
      <w:r w:rsidR="56D80802" w:rsidRPr="00F65CC5">
        <w:rPr>
          <w:rFonts w:asciiTheme="minorHAnsi" w:hAnsiTheme="minorHAnsi" w:cstheme="minorHAnsi"/>
        </w:rPr>
        <w:t xml:space="preserve"> activists felt powerful</w:t>
      </w:r>
      <w:r w:rsidR="73E059D1" w:rsidRPr="00F65CC5">
        <w:rPr>
          <w:rFonts w:asciiTheme="minorHAnsi" w:hAnsiTheme="minorHAnsi" w:cstheme="minorHAnsi"/>
        </w:rPr>
        <w:t xml:space="preserve"> </w:t>
      </w:r>
      <w:r w:rsidR="003F21BC">
        <w:rPr>
          <w:rFonts w:asciiTheme="minorHAnsi" w:hAnsiTheme="minorHAnsi" w:cstheme="minorHAnsi"/>
        </w:rPr>
        <w:t xml:space="preserve">– </w:t>
      </w:r>
      <w:r w:rsidR="73E059D1" w:rsidRPr="00F65CC5">
        <w:rPr>
          <w:rFonts w:asciiTheme="minorHAnsi" w:hAnsiTheme="minorHAnsi" w:cstheme="minorHAnsi"/>
        </w:rPr>
        <w:t>albeit temporarily</w:t>
      </w:r>
      <w:r w:rsidR="00D0245F">
        <w:rPr>
          <w:rFonts w:asciiTheme="minorHAnsi" w:hAnsiTheme="minorHAnsi" w:cstheme="minorHAnsi"/>
        </w:rPr>
        <w:t xml:space="preserve"> </w:t>
      </w:r>
      <w:r w:rsidR="003F21BC">
        <w:rPr>
          <w:rFonts w:asciiTheme="minorHAnsi" w:hAnsiTheme="minorHAnsi" w:cstheme="minorHAnsi"/>
        </w:rPr>
        <w:t>–</w:t>
      </w:r>
      <w:r w:rsidR="73E059D1" w:rsidRPr="00F65CC5">
        <w:rPr>
          <w:rFonts w:asciiTheme="minorHAnsi" w:hAnsiTheme="minorHAnsi" w:cstheme="minorHAnsi"/>
        </w:rPr>
        <w:t xml:space="preserve"> </w:t>
      </w:r>
      <w:r w:rsidR="56D80802" w:rsidRPr="00F65CC5">
        <w:rPr>
          <w:rFonts w:asciiTheme="minorHAnsi" w:hAnsiTheme="minorHAnsi" w:cstheme="minorHAnsi"/>
        </w:rPr>
        <w:t>a</w:t>
      </w:r>
      <w:r w:rsidR="6F1EB6EC" w:rsidRPr="00F65CC5">
        <w:rPr>
          <w:rFonts w:asciiTheme="minorHAnsi" w:hAnsiTheme="minorHAnsi" w:cstheme="minorHAnsi"/>
        </w:rPr>
        <w:t>nd were able to create</w:t>
      </w:r>
      <w:r w:rsidR="56D80802" w:rsidRPr="00F65CC5">
        <w:rPr>
          <w:rFonts w:asciiTheme="minorHAnsi" w:hAnsiTheme="minorHAnsi" w:cstheme="minorHAnsi"/>
        </w:rPr>
        <w:t xml:space="preserve"> feminist legal space</w:t>
      </w:r>
      <w:r w:rsidR="0615784A" w:rsidRPr="00F65CC5">
        <w:rPr>
          <w:rFonts w:asciiTheme="minorHAnsi" w:hAnsiTheme="minorHAnsi" w:cstheme="minorHAnsi"/>
        </w:rPr>
        <w:t>s</w:t>
      </w:r>
      <w:r w:rsidR="56D80802" w:rsidRPr="00F65CC5">
        <w:rPr>
          <w:rFonts w:asciiTheme="minorHAnsi" w:hAnsiTheme="minorHAnsi" w:cstheme="minorHAnsi"/>
        </w:rPr>
        <w:t xml:space="preserve"> where feminist legalities and vertical legalities were in</w:t>
      </w:r>
      <w:r w:rsidR="002D4B2B">
        <w:rPr>
          <w:rFonts w:asciiTheme="minorHAnsi" w:hAnsiTheme="minorHAnsi" w:cstheme="minorHAnsi"/>
        </w:rPr>
        <w:t xml:space="preserve"> </w:t>
      </w:r>
      <w:r w:rsidR="56D80802" w:rsidRPr="00F65CC5">
        <w:rPr>
          <w:rFonts w:asciiTheme="minorHAnsi" w:hAnsiTheme="minorHAnsi" w:cstheme="minorHAnsi"/>
        </w:rPr>
        <w:t xml:space="preserve">constant </w:t>
      </w:r>
      <w:r w:rsidR="002D4B2B">
        <w:rPr>
          <w:rFonts w:asciiTheme="minorHAnsi" w:hAnsiTheme="minorHAnsi" w:cstheme="minorHAnsi"/>
        </w:rPr>
        <w:t>conflict</w:t>
      </w:r>
      <w:r w:rsidR="56D80802" w:rsidRPr="00F65CC5">
        <w:rPr>
          <w:rFonts w:asciiTheme="minorHAnsi" w:hAnsiTheme="minorHAnsi" w:cstheme="minorHAnsi"/>
        </w:rPr>
        <w:t xml:space="preserve"> and conversation</w:t>
      </w:r>
      <w:r w:rsidR="5E476759" w:rsidRPr="00F65CC5">
        <w:rPr>
          <w:rFonts w:asciiTheme="minorHAnsi" w:hAnsiTheme="minorHAnsi" w:cstheme="minorHAnsi"/>
        </w:rPr>
        <w:t>.</w:t>
      </w:r>
      <w:r w:rsidR="253A3F07" w:rsidRPr="00F65CC5">
        <w:rPr>
          <w:rFonts w:asciiTheme="minorHAnsi" w:hAnsiTheme="minorHAnsi" w:cstheme="minorHAnsi"/>
        </w:rPr>
        <w:t xml:space="preserve"> </w:t>
      </w:r>
      <w:r w:rsidR="5E476759" w:rsidRPr="00F65CC5">
        <w:rPr>
          <w:rFonts w:asciiTheme="minorHAnsi" w:hAnsiTheme="minorHAnsi" w:cstheme="minorHAnsi"/>
        </w:rPr>
        <w:t xml:space="preserve">They were not operating solely on the vertical legality of </w:t>
      </w:r>
      <w:r w:rsidR="00564ECD" w:rsidRPr="00F65CC5">
        <w:rPr>
          <w:rFonts w:asciiTheme="minorHAnsi" w:hAnsiTheme="minorHAnsi" w:cstheme="minorHAnsi"/>
        </w:rPr>
        <w:t>States</w:t>
      </w:r>
      <w:r w:rsidR="00564ECD">
        <w:rPr>
          <w:rFonts w:asciiTheme="minorHAnsi" w:hAnsiTheme="minorHAnsi" w:cstheme="minorHAnsi"/>
        </w:rPr>
        <w:t xml:space="preserve"> but</w:t>
      </w:r>
      <w:r w:rsidR="5E476759" w:rsidRPr="00F65CC5">
        <w:rPr>
          <w:rFonts w:asciiTheme="minorHAnsi" w:hAnsiTheme="minorHAnsi" w:cstheme="minorHAnsi"/>
        </w:rPr>
        <w:t xml:space="preserve"> providing their account of law</w:t>
      </w:r>
      <w:r w:rsidR="00A62777">
        <w:rPr>
          <w:rFonts w:asciiTheme="minorHAnsi" w:hAnsiTheme="minorHAnsi" w:cstheme="minorHAnsi"/>
        </w:rPr>
        <w:t xml:space="preserve"> </w:t>
      </w:r>
      <w:r w:rsidR="003F21BC">
        <w:rPr>
          <w:rFonts w:asciiTheme="minorHAnsi" w:hAnsiTheme="minorHAnsi" w:cstheme="minorHAnsi"/>
        </w:rPr>
        <w:t>–</w:t>
      </w:r>
      <w:r w:rsidR="00A62777">
        <w:rPr>
          <w:rFonts w:asciiTheme="minorHAnsi" w:hAnsiTheme="minorHAnsi" w:cstheme="minorHAnsi"/>
        </w:rPr>
        <w:t xml:space="preserve"> </w:t>
      </w:r>
      <w:r w:rsidR="5E476759" w:rsidRPr="00F65CC5">
        <w:rPr>
          <w:rFonts w:asciiTheme="minorHAnsi" w:hAnsiTheme="minorHAnsi" w:cstheme="minorHAnsi"/>
        </w:rPr>
        <w:t>feminist legality</w:t>
      </w:r>
      <w:r w:rsidR="00A62777">
        <w:rPr>
          <w:rFonts w:asciiTheme="minorHAnsi" w:hAnsiTheme="minorHAnsi" w:cstheme="minorHAnsi"/>
        </w:rPr>
        <w:t xml:space="preserve"> </w:t>
      </w:r>
      <w:r w:rsidR="003F21BC">
        <w:rPr>
          <w:rFonts w:asciiTheme="minorHAnsi" w:hAnsiTheme="minorHAnsi" w:cstheme="minorHAnsi"/>
        </w:rPr>
        <w:t>–</w:t>
      </w:r>
      <w:r w:rsidR="5E476759" w:rsidRPr="00F65CC5">
        <w:rPr>
          <w:rFonts w:asciiTheme="minorHAnsi" w:hAnsiTheme="minorHAnsi" w:cstheme="minorHAnsi"/>
        </w:rPr>
        <w:t xml:space="preserve"> </w:t>
      </w:r>
      <w:r w:rsidR="003F21BC">
        <w:rPr>
          <w:rFonts w:asciiTheme="minorHAnsi" w:hAnsiTheme="minorHAnsi" w:cstheme="minorHAnsi"/>
        </w:rPr>
        <w:t>i</w:t>
      </w:r>
      <w:r w:rsidR="5E476759" w:rsidRPr="00F65CC5">
        <w:rPr>
          <w:rFonts w:asciiTheme="minorHAnsi" w:hAnsiTheme="minorHAnsi" w:cstheme="minorHAnsi"/>
        </w:rPr>
        <w:t xml:space="preserve">n a space they created with their resistance. </w:t>
      </w:r>
      <w:r w:rsidR="56D80802" w:rsidRPr="00F65CC5">
        <w:rPr>
          <w:rFonts w:asciiTheme="minorHAnsi" w:hAnsiTheme="minorHAnsi" w:cstheme="minorHAnsi"/>
        </w:rPr>
        <w:t>In the third section</w:t>
      </w:r>
      <w:r w:rsidR="07E5A2D4" w:rsidRPr="00F65CC5">
        <w:rPr>
          <w:rFonts w:asciiTheme="minorHAnsi" w:hAnsiTheme="minorHAnsi" w:cstheme="minorHAnsi"/>
        </w:rPr>
        <w:t>,</w:t>
      </w:r>
      <w:r w:rsidR="00D03F2D" w:rsidRPr="00F65CC5">
        <w:rPr>
          <w:rFonts w:asciiTheme="minorHAnsi" w:hAnsiTheme="minorHAnsi" w:cstheme="minorHAnsi"/>
        </w:rPr>
        <w:t xml:space="preserve"> </w:t>
      </w:r>
      <w:r w:rsidR="77168B9E" w:rsidRPr="00F65CC5">
        <w:rPr>
          <w:rFonts w:asciiTheme="minorHAnsi" w:hAnsiTheme="minorHAnsi" w:cstheme="minorHAnsi"/>
          <w:lang w:val="en-US"/>
        </w:rPr>
        <w:t>we</w:t>
      </w:r>
      <w:r w:rsidR="56D80802" w:rsidRPr="00F65CC5">
        <w:rPr>
          <w:rFonts w:asciiTheme="minorHAnsi" w:hAnsiTheme="minorHAnsi" w:cstheme="minorHAnsi"/>
        </w:rPr>
        <w:t xml:space="preserve"> discuss</w:t>
      </w:r>
      <w:r w:rsidR="00D03F2D" w:rsidRPr="00F65CC5">
        <w:rPr>
          <w:rFonts w:asciiTheme="minorHAnsi" w:hAnsiTheme="minorHAnsi" w:cstheme="minorHAnsi"/>
        </w:rPr>
        <w:t xml:space="preserve"> </w:t>
      </w:r>
      <w:r w:rsidR="7A38994C" w:rsidRPr="00F65CC5">
        <w:rPr>
          <w:rFonts w:asciiTheme="minorHAnsi" w:hAnsiTheme="minorHAnsi" w:cstheme="minorHAnsi"/>
        </w:rPr>
        <w:t xml:space="preserve">the </w:t>
      </w:r>
      <w:r w:rsidR="56D80802" w:rsidRPr="00F65CC5">
        <w:rPr>
          <w:rFonts w:asciiTheme="minorHAnsi" w:hAnsiTheme="minorHAnsi" w:cstheme="minorHAnsi"/>
        </w:rPr>
        <w:t xml:space="preserve">feminist critiques </w:t>
      </w:r>
      <w:r w:rsidR="4C98DF13" w:rsidRPr="00F65CC5">
        <w:rPr>
          <w:rFonts w:asciiTheme="minorHAnsi" w:hAnsiTheme="minorHAnsi" w:cstheme="minorHAnsi"/>
        </w:rPr>
        <w:t>of</w:t>
      </w:r>
      <w:r w:rsidR="56D80802" w:rsidRPr="00F65CC5">
        <w:rPr>
          <w:rFonts w:asciiTheme="minorHAnsi" w:hAnsiTheme="minorHAnsi" w:cstheme="minorHAnsi"/>
        </w:rPr>
        <w:t xml:space="preserve"> international law</w:t>
      </w:r>
      <w:r w:rsidR="092D2CB1" w:rsidRPr="00F65CC5">
        <w:rPr>
          <w:rFonts w:asciiTheme="minorHAnsi" w:hAnsiTheme="minorHAnsi" w:cstheme="minorHAnsi"/>
        </w:rPr>
        <w:t xml:space="preserve"> mentioned</w:t>
      </w:r>
      <w:r w:rsidR="00D03F2D" w:rsidRPr="00F65CC5">
        <w:rPr>
          <w:rFonts w:asciiTheme="minorHAnsi" w:hAnsiTheme="minorHAnsi" w:cstheme="minorHAnsi"/>
          <w:lang w:val="en-US"/>
        </w:rPr>
        <w:t xml:space="preserve"> </w:t>
      </w:r>
      <w:r w:rsidR="092D2CB1" w:rsidRPr="00F65CC5">
        <w:rPr>
          <w:rFonts w:asciiTheme="minorHAnsi" w:hAnsiTheme="minorHAnsi" w:cstheme="minorHAnsi"/>
        </w:rPr>
        <w:t xml:space="preserve">in </w:t>
      </w:r>
      <w:r w:rsidR="56C50B21" w:rsidRPr="00F65CC5">
        <w:rPr>
          <w:rFonts w:asciiTheme="minorHAnsi" w:hAnsiTheme="minorHAnsi" w:cstheme="minorHAnsi"/>
        </w:rPr>
        <w:t>our</w:t>
      </w:r>
      <w:r w:rsidR="00D03F2D" w:rsidRPr="00F65CC5">
        <w:rPr>
          <w:rFonts w:asciiTheme="minorHAnsi" w:hAnsiTheme="minorHAnsi" w:cstheme="minorHAnsi"/>
        </w:rPr>
        <w:t xml:space="preserve"> </w:t>
      </w:r>
      <w:r w:rsidR="092D2CB1" w:rsidRPr="00F65CC5">
        <w:rPr>
          <w:rFonts w:asciiTheme="minorHAnsi" w:hAnsiTheme="minorHAnsi" w:cstheme="minorHAnsi"/>
        </w:rPr>
        <w:t xml:space="preserve">interviews </w:t>
      </w:r>
      <w:r w:rsidR="00D03F2D" w:rsidRPr="00F65CC5">
        <w:rPr>
          <w:rFonts w:asciiTheme="minorHAnsi" w:hAnsiTheme="minorHAnsi" w:cstheme="minorHAnsi"/>
        </w:rPr>
        <w:t>and</w:t>
      </w:r>
      <w:r w:rsidR="092D2CB1" w:rsidRPr="00F65CC5">
        <w:rPr>
          <w:rFonts w:asciiTheme="minorHAnsi" w:hAnsiTheme="minorHAnsi" w:cstheme="minorHAnsi"/>
        </w:rPr>
        <w:t xml:space="preserve"> reflected in their slogans</w:t>
      </w:r>
      <w:r w:rsidR="4D0F320F" w:rsidRPr="00F65CC5">
        <w:rPr>
          <w:rFonts w:asciiTheme="minorHAnsi" w:hAnsiTheme="minorHAnsi" w:cstheme="minorHAnsi"/>
        </w:rPr>
        <w:t>.</w:t>
      </w:r>
      <w:r w:rsidR="439EB336" w:rsidRPr="00F65CC5">
        <w:rPr>
          <w:rFonts w:asciiTheme="minorHAnsi" w:hAnsiTheme="minorHAnsi" w:cstheme="minorHAnsi"/>
        </w:rPr>
        <w:t xml:space="preserve"> Taking these slogans as </w:t>
      </w:r>
      <w:r w:rsidR="68C7944B" w:rsidRPr="00F65CC5">
        <w:rPr>
          <w:rFonts w:asciiTheme="minorHAnsi" w:hAnsiTheme="minorHAnsi" w:cstheme="minorHAnsi"/>
        </w:rPr>
        <w:t>feminist legal spaces, we analyse feminist legality present</w:t>
      </w:r>
      <w:r w:rsidR="54BE52A2" w:rsidRPr="00F65CC5">
        <w:rPr>
          <w:rFonts w:asciiTheme="minorHAnsi" w:hAnsiTheme="minorHAnsi" w:cstheme="minorHAnsi"/>
        </w:rPr>
        <w:t xml:space="preserve"> in these slogans</w:t>
      </w:r>
      <w:r w:rsidR="00EB2B56">
        <w:rPr>
          <w:rFonts w:asciiTheme="minorHAnsi" w:hAnsiTheme="minorHAnsi" w:cstheme="minorHAnsi"/>
        </w:rPr>
        <w:t>,</w:t>
      </w:r>
      <w:r w:rsidR="54BE52A2" w:rsidRPr="00F65CC5">
        <w:rPr>
          <w:rFonts w:asciiTheme="minorHAnsi" w:hAnsiTheme="minorHAnsi" w:cstheme="minorHAnsi"/>
        </w:rPr>
        <w:t xml:space="preserve"> such as staying in the Convention while the State le</w:t>
      </w:r>
      <w:r w:rsidR="0970E703" w:rsidRPr="00F65CC5">
        <w:rPr>
          <w:rFonts w:asciiTheme="minorHAnsi" w:hAnsiTheme="minorHAnsi" w:cstheme="minorHAnsi"/>
        </w:rPr>
        <w:t xml:space="preserve">aves </w:t>
      </w:r>
      <w:r w:rsidR="54BE52A2" w:rsidRPr="00F65CC5">
        <w:rPr>
          <w:rFonts w:asciiTheme="minorHAnsi" w:hAnsiTheme="minorHAnsi" w:cstheme="minorHAnsi"/>
        </w:rPr>
        <w:t>it.</w:t>
      </w:r>
      <w:r w:rsidR="56D80802" w:rsidRPr="00F65CC5">
        <w:rPr>
          <w:rFonts w:asciiTheme="minorHAnsi" w:hAnsiTheme="minorHAnsi" w:cstheme="minorHAnsi"/>
        </w:rPr>
        <w:t xml:space="preserve"> In the final section,</w:t>
      </w:r>
      <w:r w:rsidR="00D03F2D" w:rsidRPr="00F65CC5">
        <w:rPr>
          <w:rFonts w:asciiTheme="minorHAnsi" w:hAnsiTheme="minorHAnsi" w:cstheme="minorHAnsi"/>
        </w:rPr>
        <w:t xml:space="preserve"> </w:t>
      </w:r>
      <w:r w:rsidR="3EB7013C" w:rsidRPr="00F65CC5">
        <w:rPr>
          <w:rFonts w:asciiTheme="minorHAnsi" w:hAnsiTheme="minorHAnsi" w:cstheme="minorHAnsi"/>
        </w:rPr>
        <w:t>f</w:t>
      </w:r>
      <w:r w:rsidR="4984540E" w:rsidRPr="00F65CC5">
        <w:rPr>
          <w:rFonts w:asciiTheme="minorHAnsi" w:hAnsiTheme="minorHAnsi" w:cstheme="minorHAnsi"/>
        </w:rPr>
        <w:t>ocusing</w:t>
      </w:r>
      <w:r w:rsidR="081FDA2F" w:rsidRPr="00F65CC5">
        <w:rPr>
          <w:rFonts w:asciiTheme="minorHAnsi" w:hAnsiTheme="minorHAnsi" w:cstheme="minorHAnsi"/>
        </w:rPr>
        <w:t xml:space="preserve"> on our interviewees’ description of the land as a source of law</w:t>
      </w:r>
      <w:r w:rsidR="4984540E" w:rsidRPr="00F65CC5">
        <w:rPr>
          <w:rFonts w:asciiTheme="minorHAnsi" w:hAnsiTheme="minorHAnsi" w:cstheme="minorHAnsi"/>
        </w:rPr>
        <w:t>,</w:t>
      </w:r>
      <w:r w:rsidR="0D45DD32" w:rsidRPr="00F65CC5">
        <w:rPr>
          <w:rFonts w:asciiTheme="minorHAnsi" w:hAnsiTheme="minorHAnsi" w:cstheme="minorHAnsi"/>
        </w:rPr>
        <w:t xml:space="preserve"> </w:t>
      </w:r>
      <w:r w:rsidR="56D80802" w:rsidRPr="00F65CC5">
        <w:rPr>
          <w:rFonts w:asciiTheme="minorHAnsi" w:hAnsiTheme="minorHAnsi" w:cstheme="minorHAnsi"/>
        </w:rPr>
        <w:t xml:space="preserve">we analyse the land as an unlikely feminist legal </w:t>
      </w:r>
      <w:r w:rsidR="56D80802" w:rsidRPr="00F65CC5">
        <w:rPr>
          <w:rFonts w:asciiTheme="minorHAnsi" w:hAnsiTheme="minorHAnsi" w:cstheme="minorHAnsi"/>
        </w:rPr>
        <w:lastRenderedPageBreak/>
        <w:t>space</w:t>
      </w:r>
      <w:r w:rsidR="07E5A2D4" w:rsidRPr="00F65CC5">
        <w:rPr>
          <w:rFonts w:asciiTheme="minorHAnsi" w:hAnsiTheme="minorHAnsi" w:cstheme="minorHAnsi"/>
        </w:rPr>
        <w:t xml:space="preserve">. </w:t>
      </w:r>
      <w:r w:rsidR="30D46F7F" w:rsidRPr="00F65CC5">
        <w:rPr>
          <w:rFonts w:asciiTheme="minorHAnsi" w:hAnsiTheme="minorHAnsi" w:cstheme="minorHAnsi"/>
        </w:rPr>
        <w:t xml:space="preserve">According to the </w:t>
      </w:r>
      <w:r w:rsidR="00560C77">
        <w:rPr>
          <w:rFonts w:asciiTheme="minorHAnsi" w:hAnsiTheme="minorHAnsi" w:cstheme="minorHAnsi"/>
        </w:rPr>
        <w:t>activists</w:t>
      </w:r>
      <w:r w:rsidR="30D46F7F" w:rsidRPr="00F65CC5">
        <w:rPr>
          <w:rFonts w:asciiTheme="minorHAnsi" w:hAnsiTheme="minorHAnsi" w:cstheme="minorHAnsi"/>
        </w:rPr>
        <w:t xml:space="preserve"> we interviewed, </w:t>
      </w:r>
      <w:r w:rsidR="4984540E" w:rsidRPr="00F65CC5">
        <w:rPr>
          <w:rFonts w:asciiTheme="minorHAnsi" w:hAnsiTheme="minorHAnsi" w:cstheme="minorHAnsi"/>
        </w:rPr>
        <w:t xml:space="preserve">instead of States </w:t>
      </w:r>
      <w:r w:rsidR="00467BE6">
        <w:rPr>
          <w:rFonts w:asciiTheme="minorHAnsi" w:hAnsiTheme="minorHAnsi" w:cstheme="minorHAnsi"/>
        </w:rPr>
        <w:t>being</w:t>
      </w:r>
      <w:r w:rsidR="4984540E" w:rsidRPr="00F65CC5">
        <w:rPr>
          <w:rFonts w:asciiTheme="minorHAnsi" w:hAnsiTheme="minorHAnsi" w:cstheme="minorHAnsi"/>
        </w:rPr>
        <w:t xml:space="preserve"> </w:t>
      </w:r>
      <w:r w:rsidR="00246F79">
        <w:rPr>
          <w:rFonts w:asciiTheme="minorHAnsi" w:hAnsiTheme="minorHAnsi" w:cstheme="minorHAnsi"/>
        </w:rPr>
        <w:t xml:space="preserve">the </w:t>
      </w:r>
      <w:r w:rsidR="4984540E" w:rsidRPr="00F65CC5">
        <w:rPr>
          <w:rFonts w:asciiTheme="minorHAnsi" w:hAnsiTheme="minorHAnsi" w:cstheme="minorHAnsi"/>
        </w:rPr>
        <w:t>sole makers of laws,</w:t>
      </w:r>
      <w:r w:rsidR="07E5A2D4" w:rsidRPr="00F65CC5">
        <w:rPr>
          <w:rFonts w:asciiTheme="minorHAnsi" w:hAnsiTheme="minorHAnsi" w:cstheme="minorHAnsi"/>
        </w:rPr>
        <w:t xml:space="preserve"> </w:t>
      </w:r>
      <w:r w:rsidR="6F92C06B" w:rsidRPr="00F65CC5">
        <w:rPr>
          <w:rFonts w:asciiTheme="minorHAnsi" w:hAnsiTheme="minorHAnsi" w:cstheme="minorHAnsi"/>
        </w:rPr>
        <w:t xml:space="preserve">they identified </w:t>
      </w:r>
      <w:r w:rsidR="56D80802" w:rsidRPr="00F65CC5">
        <w:rPr>
          <w:rFonts w:asciiTheme="minorHAnsi" w:hAnsiTheme="minorHAnsi" w:cstheme="minorHAnsi"/>
        </w:rPr>
        <w:t xml:space="preserve">their land as the </w:t>
      </w:r>
      <w:r w:rsidR="07E5A2D4" w:rsidRPr="00F65CC5">
        <w:rPr>
          <w:rFonts w:asciiTheme="minorHAnsi" w:hAnsiTheme="minorHAnsi" w:cstheme="minorHAnsi"/>
        </w:rPr>
        <w:t>author</w:t>
      </w:r>
      <w:r w:rsidR="56D80802" w:rsidRPr="00F65CC5">
        <w:rPr>
          <w:rFonts w:asciiTheme="minorHAnsi" w:hAnsiTheme="minorHAnsi" w:cstheme="minorHAnsi"/>
        </w:rPr>
        <w:t xml:space="preserve"> of the </w:t>
      </w:r>
      <w:r w:rsidR="07E5A2D4" w:rsidRPr="00F65CC5">
        <w:rPr>
          <w:rFonts w:asciiTheme="minorHAnsi" w:hAnsiTheme="minorHAnsi" w:cstheme="minorHAnsi"/>
        </w:rPr>
        <w:t xml:space="preserve">Istanbul </w:t>
      </w:r>
      <w:r w:rsidR="56D80802" w:rsidRPr="00F65CC5">
        <w:rPr>
          <w:rFonts w:asciiTheme="minorHAnsi" w:hAnsiTheme="minorHAnsi" w:cstheme="minorHAnsi"/>
        </w:rPr>
        <w:t xml:space="preserve">Convention. </w:t>
      </w:r>
    </w:p>
    <w:p w14:paraId="58543164" w14:textId="41525FAC" w:rsidR="00CB07AF" w:rsidRDefault="00CB07AF" w:rsidP="00580A4F">
      <w:pPr>
        <w:jc w:val="both"/>
        <w:rPr>
          <w:rFonts w:asciiTheme="minorHAnsi" w:hAnsiTheme="minorHAnsi" w:cstheme="minorHAnsi"/>
        </w:rPr>
      </w:pPr>
    </w:p>
    <w:p w14:paraId="3557BF4E" w14:textId="77777777" w:rsidR="00AC50E4" w:rsidRPr="00580A4F" w:rsidRDefault="00AC50E4" w:rsidP="00580A4F">
      <w:pPr>
        <w:jc w:val="both"/>
        <w:rPr>
          <w:rFonts w:asciiTheme="minorHAnsi" w:hAnsiTheme="minorHAnsi" w:cstheme="minorHAnsi"/>
          <w:b/>
          <w:bCs/>
        </w:rPr>
      </w:pPr>
    </w:p>
    <w:p w14:paraId="26D39075" w14:textId="49A7E3C9" w:rsidR="00F1167E" w:rsidRPr="00C037E7" w:rsidRDefault="00F1167E" w:rsidP="00A52F50">
      <w:pPr>
        <w:pStyle w:val="Heading2"/>
      </w:pPr>
      <w:r w:rsidRPr="00C037E7">
        <w:t xml:space="preserve">Feminist </w:t>
      </w:r>
      <w:r w:rsidR="00AC50E4" w:rsidRPr="00C037E7">
        <w:t>l</w:t>
      </w:r>
      <w:r w:rsidRPr="00C037E7">
        <w:t>egal spaces and T</w:t>
      </w:r>
      <w:r w:rsidRPr="00C037E7">
        <w:rPr>
          <w:lang w:val="tr-TR"/>
        </w:rPr>
        <w:t>ü</w:t>
      </w:r>
      <w:proofErr w:type="spellStart"/>
      <w:r w:rsidRPr="00C037E7">
        <w:t>rkiye’s</w:t>
      </w:r>
      <w:proofErr w:type="spellEnd"/>
      <w:r w:rsidRPr="00C037E7">
        <w:t xml:space="preserve"> withdrawal from the Istanbul Convention</w:t>
      </w:r>
    </w:p>
    <w:p w14:paraId="3C3091B5" w14:textId="77777777" w:rsidR="00E939B6" w:rsidRPr="00F65CC5" w:rsidRDefault="00E939B6" w:rsidP="007933F6">
      <w:pPr>
        <w:spacing w:line="259" w:lineRule="auto"/>
        <w:jc w:val="both"/>
        <w:rPr>
          <w:rFonts w:asciiTheme="minorHAnsi" w:hAnsiTheme="minorHAnsi" w:cstheme="minorHAnsi"/>
          <w:lang w:val="en-US"/>
        </w:rPr>
      </w:pPr>
    </w:p>
    <w:p w14:paraId="348643CB" w14:textId="1FAF4294" w:rsidR="00F660D5" w:rsidRPr="00F65CC5" w:rsidRDefault="00AA3519" w:rsidP="007933F6">
      <w:pPr>
        <w:jc w:val="both"/>
        <w:rPr>
          <w:rFonts w:asciiTheme="minorHAnsi" w:hAnsiTheme="minorHAnsi" w:cstheme="minorHAnsi"/>
        </w:rPr>
      </w:pPr>
      <w:r>
        <w:rPr>
          <w:rFonts w:asciiTheme="minorHAnsi" w:hAnsiTheme="minorHAnsi" w:cstheme="minorHAnsi"/>
        </w:rPr>
        <w:t xml:space="preserve">As mentioned, </w:t>
      </w:r>
      <w:r w:rsidR="4196F8BC" w:rsidRPr="00F65CC5">
        <w:rPr>
          <w:rFonts w:asciiTheme="minorHAnsi" w:hAnsiTheme="minorHAnsi" w:cstheme="minorHAnsi"/>
        </w:rPr>
        <w:t>T</w:t>
      </w:r>
      <w:r w:rsidR="4196F8BC" w:rsidRPr="00F65CC5">
        <w:rPr>
          <w:rFonts w:asciiTheme="minorHAnsi" w:hAnsiTheme="minorHAnsi" w:cstheme="minorHAnsi"/>
          <w:lang w:val="tr-TR"/>
        </w:rPr>
        <w:t>ü</w:t>
      </w:r>
      <w:proofErr w:type="spellStart"/>
      <w:r w:rsidR="4196F8BC" w:rsidRPr="00F65CC5">
        <w:rPr>
          <w:rFonts w:asciiTheme="minorHAnsi" w:hAnsiTheme="minorHAnsi" w:cstheme="minorHAnsi"/>
        </w:rPr>
        <w:t>rkiye</w:t>
      </w:r>
      <w:proofErr w:type="spellEnd"/>
      <w:r w:rsidR="4196F8BC" w:rsidRPr="00F65CC5">
        <w:rPr>
          <w:rFonts w:asciiTheme="minorHAnsi" w:hAnsiTheme="minorHAnsi" w:cstheme="minorHAnsi"/>
        </w:rPr>
        <w:t xml:space="preserve"> denounced the Istanbul Convention on 20 March 202</w:t>
      </w:r>
      <w:r w:rsidR="4DC34209" w:rsidRPr="00F65CC5">
        <w:rPr>
          <w:rFonts w:asciiTheme="minorHAnsi" w:hAnsiTheme="minorHAnsi" w:cstheme="minorHAnsi"/>
        </w:rPr>
        <w:t>1</w:t>
      </w:r>
      <w:r w:rsidR="3EB7013C" w:rsidRPr="00F65CC5">
        <w:rPr>
          <w:rFonts w:asciiTheme="minorHAnsi" w:hAnsiTheme="minorHAnsi" w:cstheme="minorHAnsi"/>
        </w:rPr>
        <w:t xml:space="preserve"> through </w:t>
      </w:r>
      <w:r w:rsidR="4196F8BC" w:rsidRPr="00F65CC5">
        <w:rPr>
          <w:rFonts w:asciiTheme="minorHAnsi" w:hAnsiTheme="minorHAnsi" w:cstheme="minorHAnsi"/>
        </w:rPr>
        <w:t>a presidential decision made by Recep Tayyip Erdo</w:t>
      </w:r>
      <w:r w:rsidR="4196F8BC" w:rsidRPr="00F65CC5">
        <w:rPr>
          <w:rFonts w:asciiTheme="minorHAnsi" w:hAnsiTheme="minorHAnsi" w:cstheme="minorHAnsi"/>
          <w:lang w:val="tr-TR"/>
        </w:rPr>
        <w:t>ğ</w:t>
      </w:r>
      <w:r w:rsidR="4196F8BC" w:rsidRPr="00F65CC5">
        <w:rPr>
          <w:rFonts w:asciiTheme="minorHAnsi" w:hAnsiTheme="minorHAnsi" w:cstheme="minorHAnsi"/>
        </w:rPr>
        <w:t xml:space="preserve">an. </w:t>
      </w:r>
      <w:r w:rsidR="5F889FAD" w:rsidRPr="00F65CC5">
        <w:rPr>
          <w:rFonts w:asciiTheme="minorHAnsi" w:hAnsiTheme="minorHAnsi" w:cstheme="minorHAnsi"/>
        </w:rPr>
        <w:t xml:space="preserve">There were two main reasons </w:t>
      </w:r>
      <w:r w:rsidR="00373232">
        <w:rPr>
          <w:rFonts w:asciiTheme="minorHAnsi" w:hAnsiTheme="minorHAnsi" w:cstheme="minorHAnsi"/>
        </w:rPr>
        <w:t xml:space="preserve">given </w:t>
      </w:r>
      <w:r w:rsidR="5F889FAD" w:rsidRPr="00F65CC5">
        <w:rPr>
          <w:rFonts w:asciiTheme="minorHAnsi" w:hAnsiTheme="minorHAnsi" w:cstheme="minorHAnsi"/>
        </w:rPr>
        <w:t>for this withdrawal.</w:t>
      </w:r>
      <w:r w:rsidR="0A19B6CA" w:rsidRPr="00F65CC5">
        <w:rPr>
          <w:rFonts w:asciiTheme="minorHAnsi" w:hAnsiTheme="minorHAnsi" w:cstheme="minorHAnsi"/>
        </w:rPr>
        <w:t xml:space="preserve"> The first was</w:t>
      </w:r>
      <w:r w:rsidR="494CDB44" w:rsidRPr="00F65CC5">
        <w:rPr>
          <w:rFonts w:asciiTheme="minorHAnsi" w:hAnsiTheme="minorHAnsi" w:cstheme="minorHAnsi"/>
        </w:rPr>
        <w:t xml:space="preserve"> </w:t>
      </w:r>
      <w:r w:rsidR="5F889FAD" w:rsidRPr="00F65CC5">
        <w:rPr>
          <w:rFonts w:asciiTheme="minorHAnsi" w:hAnsiTheme="minorHAnsi" w:cstheme="minorHAnsi"/>
        </w:rPr>
        <w:t xml:space="preserve">the Istanbul </w:t>
      </w:r>
      <w:r w:rsidR="3E0DD0FC" w:rsidRPr="00F65CC5">
        <w:rPr>
          <w:rFonts w:asciiTheme="minorHAnsi" w:hAnsiTheme="minorHAnsi" w:cstheme="minorHAnsi"/>
        </w:rPr>
        <w:t xml:space="preserve">Convention’s </w:t>
      </w:r>
      <w:r w:rsidR="00FB557C" w:rsidRPr="00F65CC5">
        <w:rPr>
          <w:rFonts w:asciiTheme="minorHAnsi" w:hAnsiTheme="minorHAnsi" w:cstheme="minorHAnsi"/>
        </w:rPr>
        <w:t xml:space="preserve">approach to </w:t>
      </w:r>
      <w:r w:rsidR="3E0DD0FC" w:rsidRPr="00F65CC5">
        <w:rPr>
          <w:rFonts w:asciiTheme="minorHAnsi" w:hAnsiTheme="minorHAnsi" w:cstheme="minorHAnsi"/>
        </w:rPr>
        <w:t>gender</w:t>
      </w:r>
      <w:r w:rsidR="0D9E5A18" w:rsidRPr="00F65CC5">
        <w:rPr>
          <w:rFonts w:asciiTheme="minorHAnsi" w:hAnsiTheme="minorHAnsi" w:cstheme="minorHAnsi"/>
        </w:rPr>
        <w:t xml:space="preserve"> </w:t>
      </w:r>
      <w:r w:rsidR="4772E4B1" w:rsidRPr="00F65CC5">
        <w:rPr>
          <w:rFonts w:asciiTheme="minorHAnsi" w:hAnsiTheme="minorHAnsi" w:cstheme="minorHAnsi"/>
        </w:rPr>
        <w:t>which</w:t>
      </w:r>
      <w:r w:rsidR="0D9E5A18" w:rsidRPr="00F65CC5">
        <w:rPr>
          <w:rFonts w:asciiTheme="minorHAnsi" w:hAnsiTheme="minorHAnsi" w:cstheme="minorHAnsi"/>
        </w:rPr>
        <w:t xml:space="preserve"> explicitly protects sexual orientation and gender identity.</w:t>
      </w:r>
      <w:r w:rsidR="00E91153" w:rsidRPr="00F65CC5">
        <w:rPr>
          <w:rStyle w:val="FootnoteReference"/>
          <w:rFonts w:asciiTheme="minorHAnsi" w:hAnsiTheme="minorHAnsi" w:cstheme="minorHAnsi"/>
        </w:rPr>
        <w:footnoteReference w:id="16"/>
      </w:r>
      <w:r w:rsidR="3E0DD0FC" w:rsidRPr="00F65CC5">
        <w:rPr>
          <w:rFonts w:asciiTheme="minorHAnsi" w:hAnsiTheme="minorHAnsi" w:cstheme="minorHAnsi"/>
        </w:rPr>
        <w:t xml:space="preserve"> </w:t>
      </w:r>
      <w:r w:rsidR="5D7F218D" w:rsidRPr="00F65CC5">
        <w:rPr>
          <w:rFonts w:asciiTheme="minorHAnsi" w:hAnsiTheme="minorHAnsi" w:cstheme="minorHAnsi"/>
        </w:rPr>
        <w:t>The s</w:t>
      </w:r>
      <w:r w:rsidR="0D9E5A18" w:rsidRPr="00F65CC5">
        <w:rPr>
          <w:rFonts w:asciiTheme="minorHAnsi" w:hAnsiTheme="minorHAnsi" w:cstheme="minorHAnsi"/>
        </w:rPr>
        <w:t>econd</w:t>
      </w:r>
      <w:r w:rsidR="4CE6081B" w:rsidRPr="00F65CC5">
        <w:rPr>
          <w:rFonts w:asciiTheme="minorHAnsi" w:hAnsiTheme="minorHAnsi" w:cstheme="minorHAnsi"/>
        </w:rPr>
        <w:t xml:space="preserve"> </w:t>
      </w:r>
      <w:r w:rsidR="00E2107C">
        <w:rPr>
          <w:rFonts w:asciiTheme="minorHAnsi" w:hAnsiTheme="minorHAnsi" w:cstheme="minorHAnsi"/>
        </w:rPr>
        <w:t xml:space="preserve">was that </w:t>
      </w:r>
      <w:r w:rsidR="4CE6081B" w:rsidRPr="00F65CC5">
        <w:rPr>
          <w:rFonts w:asciiTheme="minorHAnsi" w:hAnsiTheme="minorHAnsi" w:cstheme="minorHAnsi"/>
        </w:rPr>
        <w:t>the Istanbul</w:t>
      </w:r>
      <w:r w:rsidR="0D9E5A18" w:rsidRPr="00F65CC5">
        <w:rPr>
          <w:rFonts w:asciiTheme="minorHAnsi" w:hAnsiTheme="minorHAnsi" w:cstheme="minorHAnsi"/>
        </w:rPr>
        <w:t xml:space="preserve"> </w:t>
      </w:r>
      <w:r w:rsidR="3E0DD0FC" w:rsidRPr="00F65CC5">
        <w:rPr>
          <w:rFonts w:asciiTheme="minorHAnsi" w:hAnsiTheme="minorHAnsi" w:cstheme="minorHAnsi"/>
        </w:rPr>
        <w:t>Convention</w:t>
      </w:r>
      <w:r w:rsidR="0D9E5A18" w:rsidRPr="00F65CC5">
        <w:rPr>
          <w:rFonts w:asciiTheme="minorHAnsi" w:hAnsiTheme="minorHAnsi" w:cstheme="minorHAnsi"/>
        </w:rPr>
        <w:t xml:space="preserve"> </w:t>
      </w:r>
      <w:r w:rsidR="00E2107C">
        <w:rPr>
          <w:rFonts w:asciiTheme="minorHAnsi" w:hAnsiTheme="minorHAnsi" w:cstheme="minorHAnsi"/>
        </w:rPr>
        <w:t>undermined</w:t>
      </w:r>
      <w:r w:rsidR="4CE6081B" w:rsidRPr="00F65CC5">
        <w:rPr>
          <w:rFonts w:asciiTheme="minorHAnsi" w:hAnsiTheme="minorHAnsi" w:cstheme="minorHAnsi"/>
        </w:rPr>
        <w:t xml:space="preserve"> </w:t>
      </w:r>
      <w:r w:rsidR="3E0DD0FC" w:rsidRPr="00F65CC5">
        <w:rPr>
          <w:rFonts w:asciiTheme="minorHAnsi" w:hAnsiTheme="minorHAnsi" w:cstheme="minorHAnsi"/>
        </w:rPr>
        <w:t>Turkish culture and family values.</w:t>
      </w:r>
      <w:r w:rsidR="002E7E28" w:rsidRPr="00F65CC5">
        <w:rPr>
          <w:rStyle w:val="FootnoteReference"/>
          <w:rFonts w:asciiTheme="minorHAnsi" w:hAnsiTheme="minorHAnsi" w:cstheme="minorHAnsi"/>
        </w:rPr>
        <w:footnoteReference w:id="17"/>
      </w:r>
      <w:r w:rsidR="3E0DD0FC" w:rsidRPr="00F65CC5">
        <w:rPr>
          <w:rFonts w:asciiTheme="minorHAnsi" w:hAnsiTheme="minorHAnsi" w:cstheme="minorHAnsi"/>
        </w:rPr>
        <w:t xml:space="preserve"> </w:t>
      </w:r>
      <w:r w:rsidR="0D9E5A18" w:rsidRPr="00F65CC5">
        <w:rPr>
          <w:rFonts w:asciiTheme="minorHAnsi" w:hAnsiTheme="minorHAnsi" w:cstheme="minorHAnsi"/>
        </w:rPr>
        <w:t xml:space="preserve">The Istanbul </w:t>
      </w:r>
      <w:r w:rsidR="3E0DD0FC" w:rsidRPr="00F65CC5">
        <w:rPr>
          <w:rFonts w:asciiTheme="minorHAnsi" w:hAnsiTheme="minorHAnsi" w:cstheme="minorHAnsi"/>
        </w:rPr>
        <w:t>Convention’s inclusion of sexual orientation</w:t>
      </w:r>
      <w:r w:rsidR="00E35CC2">
        <w:rPr>
          <w:rFonts w:asciiTheme="minorHAnsi" w:hAnsiTheme="minorHAnsi" w:cstheme="minorHAnsi"/>
        </w:rPr>
        <w:t xml:space="preserve"> and </w:t>
      </w:r>
      <w:r w:rsidR="6AC51B52" w:rsidRPr="00F65CC5">
        <w:rPr>
          <w:rFonts w:asciiTheme="minorHAnsi" w:hAnsiTheme="minorHAnsi" w:cstheme="minorHAnsi"/>
        </w:rPr>
        <w:t>gender identity</w:t>
      </w:r>
      <w:r w:rsidR="00E35CC2">
        <w:rPr>
          <w:rFonts w:asciiTheme="minorHAnsi" w:hAnsiTheme="minorHAnsi" w:cstheme="minorHAnsi"/>
        </w:rPr>
        <w:t>,</w:t>
      </w:r>
      <w:r w:rsidR="3E0DD0FC" w:rsidRPr="00F65CC5">
        <w:rPr>
          <w:rFonts w:asciiTheme="minorHAnsi" w:hAnsiTheme="minorHAnsi" w:cstheme="minorHAnsi"/>
        </w:rPr>
        <w:t xml:space="preserve"> and</w:t>
      </w:r>
      <w:r w:rsidR="0D9E5A18" w:rsidRPr="00F65CC5">
        <w:rPr>
          <w:rFonts w:asciiTheme="minorHAnsi" w:hAnsiTheme="minorHAnsi" w:cstheme="minorHAnsi"/>
        </w:rPr>
        <w:t xml:space="preserve"> its comprehensive intersectional protection for violence against women and domestic violence also received similar reactions from</w:t>
      </w:r>
      <w:r w:rsidR="3EB7013C" w:rsidRPr="00F65CC5">
        <w:rPr>
          <w:rFonts w:asciiTheme="minorHAnsi" w:hAnsiTheme="minorHAnsi" w:cstheme="minorHAnsi"/>
        </w:rPr>
        <w:t xml:space="preserve"> several other Council of Europe countrie</w:t>
      </w:r>
      <w:r w:rsidR="0D9E5A18" w:rsidRPr="00F65CC5">
        <w:rPr>
          <w:rFonts w:asciiTheme="minorHAnsi" w:hAnsiTheme="minorHAnsi" w:cstheme="minorHAnsi"/>
        </w:rPr>
        <w:t>s</w:t>
      </w:r>
      <w:r w:rsidR="3EB7013C" w:rsidRPr="00F65CC5">
        <w:rPr>
          <w:rFonts w:asciiTheme="minorHAnsi" w:hAnsiTheme="minorHAnsi" w:cstheme="minorHAnsi"/>
        </w:rPr>
        <w:t>.</w:t>
      </w:r>
      <w:r w:rsidR="6AC51B52" w:rsidRPr="00F65CC5">
        <w:rPr>
          <w:rFonts w:asciiTheme="minorHAnsi" w:hAnsiTheme="minorHAnsi" w:cstheme="minorHAnsi"/>
        </w:rPr>
        <w:t xml:space="preserve"> Th</w:t>
      </w:r>
      <w:r w:rsidR="00110B99">
        <w:rPr>
          <w:rFonts w:asciiTheme="minorHAnsi" w:hAnsiTheme="minorHAnsi" w:cstheme="minorHAnsi"/>
        </w:rPr>
        <w:t>e Convention’s</w:t>
      </w:r>
      <w:r w:rsidR="008453F1" w:rsidRPr="00F65CC5">
        <w:rPr>
          <w:rFonts w:asciiTheme="minorHAnsi" w:hAnsiTheme="minorHAnsi" w:cstheme="minorHAnsi"/>
        </w:rPr>
        <w:t xml:space="preserve"> </w:t>
      </w:r>
      <w:r w:rsidR="007058CD">
        <w:rPr>
          <w:rFonts w:asciiTheme="minorHAnsi" w:hAnsiTheme="minorHAnsi" w:cstheme="minorHAnsi"/>
        </w:rPr>
        <w:t xml:space="preserve">approach </w:t>
      </w:r>
      <w:r w:rsidR="008453F1" w:rsidRPr="00F65CC5">
        <w:rPr>
          <w:rFonts w:asciiTheme="minorHAnsi" w:hAnsiTheme="minorHAnsi" w:cstheme="minorHAnsi"/>
        </w:rPr>
        <w:t>is</w:t>
      </w:r>
      <w:r w:rsidR="6AC51B52" w:rsidRPr="00F65CC5">
        <w:rPr>
          <w:rFonts w:asciiTheme="minorHAnsi" w:hAnsiTheme="minorHAnsi" w:cstheme="minorHAnsi"/>
        </w:rPr>
        <w:t xml:space="preserve"> often </w:t>
      </w:r>
      <w:r w:rsidR="00FB557C" w:rsidRPr="00F65CC5">
        <w:rPr>
          <w:rFonts w:asciiTheme="minorHAnsi" w:hAnsiTheme="minorHAnsi" w:cstheme="minorHAnsi"/>
        </w:rPr>
        <w:t>labelled</w:t>
      </w:r>
      <w:r w:rsidR="6AC51B52" w:rsidRPr="00F65CC5">
        <w:rPr>
          <w:rFonts w:asciiTheme="minorHAnsi" w:hAnsiTheme="minorHAnsi" w:cstheme="minorHAnsi"/>
        </w:rPr>
        <w:t xml:space="preserve"> as </w:t>
      </w:r>
      <w:r w:rsidR="007058CD">
        <w:rPr>
          <w:rFonts w:asciiTheme="minorHAnsi" w:hAnsiTheme="minorHAnsi" w:cstheme="minorHAnsi"/>
        </w:rPr>
        <w:t xml:space="preserve">so-called </w:t>
      </w:r>
      <w:r w:rsidR="00FB557C" w:rsidRPr="00F65CC5">
        <w:rPr>
          <w:rFonts w:asciiTheme="minorHAnsi" w:hAnsiTheme="minorHAnsi" w:cstheme="minorHAnsi"/>
        </w:rPr>
        <w:t>‘</w:t>
      </w:r>
      <w:r w:rsidR="6AC51B52" w:rsidRPr="00F65CC5">
        <w:rPr>
          <w:rFonts w:asciiTheme="minorHAnsi" w:hAnsiTheme="minorHAnsi" w:cstheme="minorHAnsi"/>
        </w:rPr>
        <w:t>gender ideology</w:t>
      </w:r>
      <w:r w:rsidR="00FB557C" w:rsidRPr="00F65CC5">
        <w:rPr>
          <w:rFonts w:asciiTheme="minorHAnsi" w:hAnsiTheme="minorHAnsi" w:cstheme="minorHAnsi"/>
        </w:rPr>
        <w:t>’</w:t>
      </w:r>
      <w:r w:rsidR="008D571F">
        <w:rPr>
          <w:rFonts w:asciiTheme="minorHAnsi" w:hAnsiTheme="minorHAnsi" w:cstheme="minorHAnsi"/>
        </w:rPr>
        <w:t>,</w:t>
      </w:r>
      <w:r w:rsidR="6AC51B52" w:rsidRPr="00F65CC5">
        <w:rPr>
          <w:rFonts w:asciiTheme="minorHAnsi" w:hAnsiTheme="minorHAnsi" w:cstheme="minorHAnsi"/>
        </w:rPr>
        <w:t xml:space="preserve"> that is</w:t>
      </w:r>
      <w:r w:rsidR="005446C1" w:rsidRPr="00F65CC5">
        <w:rPr>
          <w:rFonts w:asciiTheme="minorHAnsi" w:hAnsiTheme="minorHAnsi" w:cstheme="minorHAnsi"/>
        </w:rPr>
        <w:t>,</w:t>
      </w:r>
      <w:r w:rsidR="008D571F">
        <w:rPr>
          <w:rFonts w:asciiTheme="minorHAnsi" w:hAnsiTheme="minorHAnsi" w:cstheme="minorHAnsi"/>
        </w:rPr>
        <w:t xml:space="preserve"> </w:t>
      </w:r>
      <w:r w:rsidR="005446C1" w:rsidRPr="00F65CC5">
        <w:rPr>
          <w:rFonts w:asciiTheme="minorHAnsi" w:hAnsiTheme="minorHAnsi" w:cstheme="minorHAnsi"/>
        </w:rPr>
        <w:t xml:space="preserve">according to </w:t>
      </w:r>
      <w:r w:rsidR="008D571F">
        <w:rPr>
          <w:rFonts w:asciiTheme="minorHAnsi" w:hAnsiTheme="minorHAnsi" w:cstheme="minorHAnsi"/>
        </w:rPr>
        <w:t>proponents,</w:t>
      </w:r>
      <w:r w:rsidR="6AC51B52" w:rsidRPr="00F65CC5">
        <w:rPr>
          <w:rFonts w:asciiTheme="minorHAnsi" w:hAnsiTheme="minorHAnsi" w:cstheme="minorHAnsi"/>
        </w:rPr>
        <w:t xml:space="preserve"> harmful for national cultures</w:t>
      </w:r>
      <w:r w:rsidR="57031DA9" w:rsidRPr="00F65CC5">
        <w:rPr>
          <w:rFonts w:asciiTheme="minorHAnsi" w:hAnsiTheme="minorHAnsi" w:cstheme="minorHAnsi"/>
        </w:rPr>
        <w:t xml:space="preserve"> </w:t>
      </w:r>
      <w:r w:rsidR="7B075DBB" w:rsidRPr="00F65CC5">
        <w:rPr>
          <w:rFonts w:asciiTheme="minorHAnsi" w:hAnsiTheme="minorHAnsi" w:cstheme="minorHAnsi"/>
        </w:rPr>
        <w:t>as it</w:t>
      </w:r>
      <w:r w:rsidR="57031DA9" w:rsidRPr="00F65CC5">
        <w:rPr>
          <w:rFonts w:asciiTheme="minorHAnsi" w:hAnsiTheme="minorHAnsi" w:cstheme="minorHAnsi"/>
        </w:rPr>
        <w:t xml:space="preserve"> </w:t>
      </w:r>
      <w:r w:rsidR="00D03F2D" w:rsidRPr="00F65CC5">
        <w:rPr>
          <w:rFonts w:asciiTheme="minorHAnsi" w:hAnsiTheme="minorHAnsi" w:cstheme="minorHAnsi"/>
        </w:rPr>
        <w:t>undermines</w:t>
      </w:r>
      <w:r w:rsidR="57031DA9" w:rsidRPr="00F65CC5">
        <w:rPr>
          <w:rFonts w:asciiTheme="minorHAnsi" w:hAnsiTheme="minorHAnsi" w:cstheme="minorHAnsi"/>
        </w:rPr>
        <w:t xml:space="preserve"> the ideal </w:t>
      </w:r>
      <w:r w:rsidR="57031DA9" w:rsidRPr="0011117F">
        <w:rPr>
          <w:rFonts w:asciiTheme="minorHAnsi" w:hAnsiTheme="minorHAnsi" w:cstheme="minorHAnsi"/>
        </w:rPr>
        <w:t xml:space="preserve">of </w:t>
      </w:r>
      <w:r w:rsidR="0011117F">
        <w:rPr>
          <w:rFonts w:asciiTheme="minorHAnsi" w:hAnsiTheme="minorHAnsi" w:cstheme="minorHAnsi"/>
        </w:rPr>
        <w:t>‘a</w:t>
      </w:r>
      <w:r w:rsidR="005B1876" w:rsidRPr="0011117F">
        <w:rPr>
          <w:rFonts w:asciiTheme="minorHAnsi" w:hAnsiTheme="minorHAnsi" w:cstheme="minorHAnsi"/>
        </w:rPr>
        <w:t xml:space="preserve"> return to a</w:t>
      </w:r>
      <w:r w:rsidR="0011117F" w:rsidRPr="0011117F">
        <w:rPr>
          <w:rFonts w:asciiTheme="minorHAnsi" w:hAnsiTheme="minorHAnsi" w:cstheme="minorHAnsi"/>
        </w:rPr>
        <w:t xml:space="preserve"> patriarchal dream-order’</w:t>
      </w:r>
      <w:r w:rsidR="57031DA9" w:rsidRPr="00F65CC5">
        <w:rPr>
          <w:rFonts w:asciiTheme="minorHAnsi" w:hAnsiTheme="minorHAnsi" w:cstheme="minorHAnsi"/>
        </w:rPr>
        <w:t>.</w:t>
      </w:r>
      <w:r w:rsidR="00073565" w:rsidRPr="00F65CC5">
        <w:rPr>
          <w:rStyle w:val="FootnoteReference"/>
          <w:rFonts w:asciiTheme="minorHAnsi" w:hAnsiTheme="minorHAnsi" w:cstheme="minorHAnsi"/>
        </w:rPr>
        <w:footnoteReference w:id="18"/>
      </w:r>
      <w:r w:rsidR="57031DA9" w:rsidRPr="00F65CC5">
        <w:rPr>
          <w:rFonts w:asciiTheme="minorHAnsi" w:hAnsiTheme="minorHAnsi" w:cstheme="minorHAnsi"/>
        </w:rPr>
        <w:t xml:space="preserve"> </w:t>
      </w:r>
      <w:r w:rsidR="01B322A4" w:rsidRPr="00F65CC5">
        <w:rPr>
          <w:rFonts w:asciiTheme="minorHAnsi" w:hAnsiTheme="minorHAnsi" w:cstheme="minorHAnsi"/>
        </w:rPr>
        <w:t>Opposition to the Istanbul Convention became a proxy for a gender war in Europe.</w:t>
      </w:r>
      <w:r w:rsidR="00CC60DE" w:rsidRPr="00F65CC5">
        <w:rPr>
          <w:rStyle w:val="FootnoteReference"/>
          <w:rFonts w:asciiTheme="minorHAnsi" w:hAnsiTheme="minorHAnsi" w:cstheme="minorHAnsi"/>
        </w:rPr>
        <w:footnoteReference w:id="19"/>
      </w:r>
      <w:r w:rsidR="01B322A4" w:rsidRPr="00F65CC5">
        <w:rPr>
          <w:rFonts w:asciiTheme="minorHAnsi" w:hAnsiTheme="minorHAnsi" w:cstheme="minorHAnsi"/>
        </w:rPr>
        <w:t xml:space="preserve"> </w:t>
      </w:r>
      <w:r w:rsidR="3EB7013C" w:rsidRPr="00F65CC5">
        <w:rPr>
          <w:rFonts w:asciiTheme="minorHAnsi" w:hAnsiTheme="minorHAnsi" w:cstheme="minorHAnsi"/>
        </w:rPr>
        <w:t xml:space="preserve">The </w:t>
      </w:r>
      <w:r w:rsidR="006666C8">
        <w:rPr>
          <w:rFonts w:asciiTheme="minorHAnsi" w:hAnsiTheme="minorHAnsi" w:cstheme="minorHAnsi"/>
        </w:rPr>
        <w:t xml:space="preserve">Istanbul </w:t>
      </w:r>
      <w:r w:rsidR="3EB7013C" w:rsidRPr="00F65CC5">
        <w:rPr>
          <w:rFonts w:asciiTheme="minorHAnsi" w:hAnsiTheme="minorHAnsi" w:cstheme="minorHAnsi"/>
        </w:rPr>
        <w:t>Convention was either challenged or blocked by constitutional mechanisms. Bulgaria’s ratification of the Convention has been found unconstitutional by the Bulgarian Supreme Court, identifying the term gender in the text of the Convention as vague and ambiguous and therefore incompatible with legal certainty.</w:t>
      </w:r>
      <w:r w:rsidR="00F660D5" w:rsidRPr="00F65CC5">
        <w:rPr>
          <w:rStyle w:val="FootnoteReference"/>
          <w:rFonts w:asciiTheme="minorHAnsi" w:hAnsiTheme="minorHAnsi" w:cstheme="minorHAnsi"/>
        </w:rPr>
        <w:footnoteReference w:id="20"/>
      </w:r>
      <w:r w:rsidR="3EB7013C" w:rsidRPr="00F65CC5">
        <w:rPr>
          <w:rFonts w:asciiTheme="minorHAnsi" w:hAnsiTheme="minorHAnsi" w:cstheme="minorHAnsi"/>
        </w:rPr>
        <w:t xml:space="preserve"> Poland expressed its intention to withdraw from the Convention and, like Bulgaria, took the Convention to the Polish Constitutional Court; the judgment is yet to be delivered.</w:t>
      </w:r>
      <w:r w:rsidR="00F660D5" w:rsidRPr="00F65CC5">
        <w:rPr>
          <w:rStyle w:val="FootnoteReference"/>
          <w:rFonts w:asciiTheme="minorHAnsi" w:hAnsiTheme="minorHAnsi" w:cstheme="minorHAnsi"/>
        </w:rPr>
        <w:footnoteReference w:id="21"/>
      </w:r>
      <w:r w:rsidR="3EB7013C" w:rsidRPr="00F65CC5">
        <w:rPr>
          <w:rFonts w:asciiTheme="minorHAnsi" w:hAnsiTheme="minorHAnsi" w:cstheme="minorHAnsi"/>
        </w:rPr>
        <w:t xml:space="preserve"> </w:t>
      </w:r>
      <w:r w:rsidR="0049394A">
        <w:rPr>
          <w:rFonts w:asciiTheme="minorHAnsi" w:hAnsiTheme="minorHAnsi" w:cstheme="minorHAnsi"/>
        </w:rPr>
        <w:t xml:space="preserve">The </w:t>
      </w:r>
      <w:r w:rsidR="3EB7013C" w:rsidRPr="00F65CC5">
        <w:rPr>
          <w:rFonts w:asciiTheme="minorHAnsi" w:hAnsiTheme="minorHAnsi" w:cstheme="minorHAnsi"/>
        </w:rPr>
        <w:t xml:space="preserve">Hungarian Parliament refused to ratify the Convention because it could bring illegal immigration and </w:t>
      </w:r>
      <w:r w:rsidR="00FB557C" w:rsidRPr="00F65CC5">
        <w:rPr>
          <w:rFonts w:asciiTheme="minorHAnsi" w:hAnsiTheme="minorHAnsi" w:cstheme="minorHAnsi"/>
        </w:rPr>
        <w:t>‘</w:t>
      </w:r>
      <w:r w:rsidR="3EB7013C" w:rsidRPr="00F65CC5">
        <w:rPr>
          <w:rFonts w:asciiTheme="minorHAnsi" w:hAnsiTheme="minorHAnsi" w:cstheme="minorHAnsi"/>
        </w:rPr>
        <w:t>gender ideology</w:t>
      </w:r>
      <w:r w:rsidR="00FB557C" w:rsidRPr="00F65CC5">
        <w:rPr>
          <w:rFonts w:asciiTheme="minorHAnsi" w:hAnsiTheme="minorHAnsi" w:cstheme="minorHAnsi"/>
        </w:rPr>
        <w:t>’</w:t>
      </w:r>
      <w:r w:rsidR="3EB7013C" w:rsidRPr="00F65CC5">
        <w:rPr>
          <w:rFonts w:asciiTheme="minorHAnsi" w:hAnsiTheme="minorHAnsi" w:cstheme="minorHAnsi"/>
        </w:rPr>
        <w:t xml:space="preserve"> to the country.</w:t>
      </w:r>
      <w:r w:rsidR="00CC60DE" w:rsidRPr="00F65CC5">
        <w:rPr>
          <w:rStyle w:val="FootnoteReference"/>
          <w:rFonts w:asciiTheme="minorHAnsi" w:hAnsiTheme="minorHAnsi" w:cstheme="minorHAnsi"/>
        </w:rPr>
        <w:footnoteReference w:id="22"/>
      </w:r>
      <w:r w:rsidR="4CE6081B" w:rsidRPr="00F65CC5">
        <w:rPr>
          <w:rFonts w:asciiTheme="minorHAnsi" w:hAnsiTheme="minorHAnsi" w:cstheme="minorHAnsi"/>
        </w:rPr>
        <w:t xml:space="preserve"> </w:t>
      </w:r>
      <w:r w:rsidR="6ED5ED80" w:rsidRPr="00F65CC5">
        <w:rPr>
          <w:rFonts w:asciiTheme="minorHAnsi" w:hAnsiTheme="minorHAnsi" w:cstheme="minorHAnsi"/>
        </w:rPr>
        <w:t>The UK ratified the Convention</w:t>
      </w:r>
      <w:r w:rsidR="000421B3">
        <w:rPr>
          <w:rFonts w:asciiTheme="minorHAnsi" w:hAnsiTheme="minorHAnsi" w:cstheme="minorHAnsi"/>
        </w:rPr>
        <w:t>, with reservation,</w:t>
      </w:r>
      <w:r w:rsidR="6ED5ED80" w:rsidRPr="00F65CC5">
        <w:rPr>
          <w:rFonts w:asciiTheme="minorHAnsi" w:hAnsiTheme="minorHAnsi" w:cstheme="minorHAnsi"/>
        </w:rPr>
        <w:t xml:space="preserve"> </w:t>
      </w:r>
      <w:r w:rsidR="00D258C7">
        <w:rPr>
          <w:rFonts w:asciiTheme="minorHAnsi" w:hAnsiTheme="minorHAnsi" w:cstheme="minorHAnsi"/>
        </w:rPr>
        <w:t>in 2022</w:t>
      </w:r>
      <w:r w:rsidR="00727955">
        <w:rPr>
          <w:rFonts w:asciiTheme="minorHAnsi" w:hAnsiTheme="minorHAnsi" w:cstheme="minorHAnsi"/>
        </w:rPr>
        <w:t>,</w:t>
      </w:r>
      <w:r w:rsidR="00D258C7">
        <w:rPr>
          <w:rFonts w:asciiTheme="minorHAnsi" w:hAnsiTheme="minorHAnsi" w:cstheme="minorHAnsi"/>
        </w:rPr>
        <w:t xml:space="preserve"> </w:t>
      </w:r>
      <w:r w:rsidR="6ED5ED80" w:rsidRPr="00F65CC5">
        <w:rPr>
          <w:rFonts w:asciiTheme="minorHAnsi" w:hAnsiTheme="minorHAnsi" w:cstheme="minorHAnsi"/>
        </w:rPr>
        <w:t>ten years af</w:t>
      </w:r>
      <w:r w:rsidR="000421B3">
        <w:rPr>
          <w:rFonts w:asciiTheme="minorHAnsi" w:hAnsiTheme="minorHAnsi" w:cstheme="minorHAnsi"/>
        </w:rPr>
        <w:t>ter signing it</w:t>
      </w:r>
      <w:r w:rsidR="3EB7013C" w:rsidRPr="00F65CC5">
        <w:rPr>
          <w:rFonts w:asciiTheme="minorHAnsi" w:hAnsiTheme="minorHAnsi" w:cstheme="minorHAnsi"/>
        </w:rPr>
        <w:t>.</w:t>
      </w:r>
      <w:r w:rsidR="00F660D5" w:rsidRPr="00F65CC5">
        <w:rPr>
          <w:rStyle w:val="FootnoteReference"/>
          <w:rFonts w:asciiTheme="minorHAnsi" w:hAnsiTheme="minorHAnsi" w:cstheme="minorHAnsi"/>
        </w:rPr>
        <w:footnoteReference w:id="23"/>
      </w:r>
      <w:r w:rsidR="3EB7013C" w:rsidRPr="00F65CC5">
        <w:rPr>
          <w:rFonts w:asciiTheme="minorHAnsi" w:hAnsiTheme="minorHAnsi" w:cstheme="minorHAnsi"/>
        </w:rPr>
        <w:t xml:space="preserve"> In </w:t>
      </w:r>
      <w:r w:rsidR="6ED5ED80" w:rsidRPr="00F65CC5">
        <w:rPr>
          <w:rFonts w:asciiTheme="minorHAnsi" w:hAnsiTheme="minorHAnsi" w:cstheme="minorHAnsi"/>
        </w:rPr>
        <w:t>most of these</w:t>
      </w:r>
      <w:r w:rsidR="3EB7013C" w:rsidRPr="00F65CC5">
        <w:rPr>
          <w:rFonts w:asciiTheme="minorHAnsi" w:hAnsiTheme="minorHAnsi" w:cstheme="minorHAnsi"/>
        </w:rPr>
        <w:t xml:space="preserve"> </w:t>
      </w:r>
      <w:r w:rsidR="3EB7013C" w:rsidRPr="00F65CC5">
        <w:rPr>
          <w:rFonts w:asciiTheme="minorHAnsi" w:hAnsiTheme="minorHAnsi" w:cstheme="minorHAnsi"/>
        </w:rPr>
        <w:lastRenderedPageBreak/>
        <w:t>countries</w:t>
      </w:r>
      <w:r w:rsidR="001A2400">
        <w:rPr>
          <w:rFonts w:asciiTheme="minorHAnsi" w:hAnsiTheme="minorHAnsi" w:cstheme="minorHAnsi"/>
        </w:rPr>
        <w:t>,</w:t>
      </w:r>
      <w:r w:rsidR="3EB7013C" w:rsidRPr="00F65CC5">
        <w:rPr>
          <w:rFonts w:asciiTheme="minorHAnsi" w:hAnsiTheme="minorHAnsi" w:cstheme="minorHAnsi"/>
        </w:rPr>
        <w:t xml:space="preserve"> feminist movements demonstrated a strong resistance against the </w:t>
      </w:r>
      <w:r w:rsidR="001A2400">
        <w:rPr>
          <w:rFonts w:asciiTheme="minorHAnsi" w:hAnsiTheme="minorHAnsi" w:cstheme="minorHAnsi"/>
        </w:rPr>
        <w:t>State-wielded</w:t>
      </w:r>
      <w:r w:rsidR="3EB7013C" w:rsidRPr="00F65CC5">
        <w:rPr>
          <w:rFonts w:asciiTheme="minorHAnsi" w:hAnsiTheme="minorHAnsi" w:cstheme="minorHAnsi"/>
        </w:rPr>
        <w:t xml:space="preserve"> attacks toward the Istanbul Convention.</w:t>
      </w:r>
      <w:r w:rsidR="00F660D5" w:rsidRPr="00F65CC5">
        <w:rPr>
          <w:rStyle w:val="FootnoteReference"/>
          <w:rFonts w:asciiTheme="minorHAnsi" w:hAnsiTheme="minorHAnsi" w:cstheme="minorHAnsi"/>
        </w:rPr>
        <w:footnoteReference w:id="24"/>
      </w:r>
      <w:r w:rsidR="5F889FAD" w:rsidRPr="00F65CC5">
        <w:rPr>
          <w:rFonts w:asciiTheme="minorHAnsi" w:hAnsiTheme="minorHAnsi" w:cstheme="minorHAnsi"/>
        </w:rPr>
        <w:t xml:space="preserve"> Acknowledging that this is a wider regional trend, in this article we focus on the feminist resistance that took place in T</w:t>
      </w:r>
      <w:r w:rsidR="5F889FAD" w:rsidRPr="00F65CC5">
        <w:rPr>
          <w:rFonts w:asciiTheme="minorHAnsi" w:hAnsiTheme="minorHAnsi" w:cstheme="minorHAnsi"/>
          <w:lang w:val="tr-TR"/>
        </w:rPr>
        <w:t>ü</w:t>
      </w:r>
      <w:proofErr w:type="spellStart"/>
      <w:r w:rsidR="5F889FAD" w:rsidRPr="00F65CC5">
        <w:rPr>
          <w:rFonts w:asciiTheme="minorHAnsi" w:hAnsiTheme="minorHAnsi" w:cstheme="minorHAnsi"/>
        </w:rPr>
        <w:t>rkiye</w:t>
      </w:r>
      <w:proofErr w:type="spellEnd"/>
      <w:r w:rsidR="4CE6081B" w:rsidRPr="00F65CC5">
        <w:rPr>
          <w:rFonts w:asciiTheme="minorHAnsi" w:hAnsiTheme="minorHAnsi" w:cstheme="minorHAnsi"/>
        </w:rPr>
        <w:t xml:space="preserve"> pioneered by a feminist campaign and more than 2</w:t>
      </w:r>
      <w:r w:rsidR="76CC70DE" w:rsidRPr="00F65CC5">
        <w:rPr>
          <w:rFonts w:asciiTheme="minorHAnsi" w:hAnsiTheme="minorHAnsi" w:cstheme="minorHAnsi"/>
        </w:rPr>
        <w:t>2</w:t>
      </w:r>
      <w:r w:rsidR="4CE6081B" w:rsidRPr="00F65CC5">
        <w:rPr>
          <w:rFonts w:asciiTheme="minorHAnsi" w:hAnsiTheme="minorHAnsi" w:cstheme="minorHAnsi"/>
        </w:rPr>
        <w:t>0 cases brought against the withdrawal decision</w:t>
      </w:r>
      <w:r w:rsidR="5F889FAD" w:rsidRPr="00F65CC5">
        <w:rPr>
          <w:rFonts w:asciiTheme="minorHAnsi" w:hAnsiTheme="minorHAnsi" w:cstheme="minorHAnsi"/>
        </w:rPr>
        <w:t xml:space="preserve">. </w:t>
      </w:r>
    </w:p>
    <w:p w14:paraId="04C261CF" w14:textId="77777777" w:rsidR="00F660D5" w:rsidRPr="005F7DDB" w:rsidRDefault="00F660D5" w:rsidP="005F7DDB">
      <w:pPr>
        <w:jc w:val="both"/>
        <w:rPr>
          <w:rFonts w:asciiTheme="minorHAnsi" w:hAnsiTheme="minorHAnsi" w:cstheme="minorHAnsi"/>
        </w:rPr>
      </w:pPr>
    </w:p>
    <w:p w14:paraId="04F1BB85" w14:textId="7ACA9302" w:rsidR="00643643" w:rsidRPr="00F65CC5" w:rsidRDefault="4196F8BC" w:rsidP="00B03F45">
      <w:pPr>
        <w:pStyle w:val="ListParagraph"/>
        <w:ind w:left="0"/>
        <w:jc w:val="both"/>
        <w:rPr>
          <w:rFonts w:asciiTheme="minorHAnsi" w:hAnsiTheme="minorHAnsi" w:cstheme="minorHAnsi"/>
        </w:rPr>
      </w:pPr>
      <w:r w:rsidRPr="00F65CC5">
        <w:rPr>
          <w:rFonts w:asciiTheme="minorHAnsi" w:hAnsiTheme="minorHAnsi" w:cstheme="minorHAnsi"/>
        </w:rPr>
        <w:t xml:space="preserve">Since its foundation in 1923 </w:t>
      </w:r>
      <w:r w:rsidR="003A43B9">
        <w:rPr>
          <w:rFonts w:asciiTheme="minorHAnsi" w:hAnsiTheme="minorHAnsi" w:cstheme="minorHAnsi"/>
        </w:rPr>
        <w:t>and</w:t>
      </w:r>
      <w:r w:rsidR="00F37476">
        <w:rPr>
          <w:rFonts w:asciiTheme="minorHAnsi" w:hAnsiTheme="minorHAnsi" w:cstheme="minorHAnsi"/>
        </w:rPr>
        <w:t xml:space="preserve"> </w:t>
      </w:r>
      <w:r w:rsidRPr="00F65CC5">
        <w:rPr>
          <w:rFonts w:asciiTheme="minorHAnsi" w:hAnsiTheme="minorHAnsi" w:cstheme="minorHAnsi"/>
        </w:rPr>
        <w:t>until 2017, T</w:t>
      </w:r>
      <w:r w:rsidRPr="00F65CC5">
        <w:rPr>
          <w:rFonts w:asciiTheme="minorHAnsi" w:hAnsiTheme="minorHAnsi" w:cstheme="minorHAnsi"/>
          <w:lang w:val="tr-TR"/>
        </w:rPr>
        <w:t>ü</w:t>
      </w:r>
      <w:proofErr w:type="spellStart"/>
      <w:r w:rsidRPr="00F65CC5">
        <w:rPr>
          <w:rFonts w:asciiTheme="minorHAnsi" w:hAnsiTheme="minorHAnsi" w:cstheme="minorHAnsi"/>
        </w:rPr>
        <w:t>rkiye</w:t>
      </w:r>
      <w:proofErr w:type="spellEnd"/>
      <w:r w:rsidRPr="00F65CC5">
        <w:rPr>
          <w:rFonts w:asciiTheme="minorHAnsi" w:hAnsiTheme="minorHAnsi" w:cstheme="minorHAnsi"/>
        </w:rPr>
        <w:t xml:space="preserve"> </w:t>
      </w:r>
      <w:r w:rsidR="003A43B9">
        <w:rPr>
          <w:rFonts w:asciiTheme="minorHAnsi" w:hAnsiTheme="minorHAnsi" w:cstheme="minorHAnsi"/>
        </w:rPr>
        <w:t xml:space="preserve">was </w:t>
      </w:r>
      <w:r w:rsidRPr="00F65CC5">
        <w:rPr>
          <w:rFonts w:asciiTheme="minorHAnsi" w:hAnsiTheme="minorHAnsi" w:cstheme="minorHAnsi"/>
        </w:rPr>
        <w:t>governed by a parliamentary democracy. Following a referendum in April 2017</w:t>
      </w:r>
      <w:r w:rsidR="003A43B9">
        <w:rPr>
          <w:rFonts w:asciiTheme="minorHAnsi" w:hAnsiTheme="minorHAnsi" w:cstheme="minorHAnsi"/>
        </w:rPr>
        <w:t>,</w:t>
      </w:r>
      <w:r w:rsidRPr="00F65CC5">
        <w:rPr>
          <w:rFonts w:asciiTheme="minorHAnsi" w:hAnsiTheme="minorHAnsi" w:cstheme="minorHAnsi"/>
        </w:rPr>
        <w:t xml:space="preserve"> T</w:t>
      </w:r>
      <w:r w:rsidRPr="00F65CC5">
        <w:rPr>
          <w:rFonts w:asciiTheme="minorHAnsi" w:hAnsiTheme="minorHAnsi" w:cstheme="minorHAnsi"/>
          <w:lang w:val="tr-TR"/>
        </w:rPr>
        <w:t>ü</w:t>
      </w:r>
      <w:proofErr w:type="spellStart"/>
      <w:r w:rsidRPr="00F65CC5">
        <w:rPr>
          <w:rFonts w:asciiTheme="minorHAnsi" w:hAnsiTheme="minorHAnsi" w:cstheme="minorHAnsi"/>
        </w:rPr>
        <w:t>rkiye</w:t>
      </w:r>
      <w:proofErr w:type="spellEnd"/>
      <w:r w:rsidRPr="00F65CC5">
        <w:rPr>
          <w:rFonts w:asciiTheme="minorHAnsi" w:hAnsiTheme="minorHAnsi" w:cstheme="minorHAnsi"/>
        </w:rPr>
        <w:t xml:space="preserve"> adopted a presidential system.</w:t>
      </w:r>
      <w:r w:rsidR="00643643" w:rsidRPr="00F65CC5">
        <w:rPr>
          <w:rStyle w:val="FootnoteReference"/>
          <w:rFonts w:asciiTheme="minorHAnsi" w:hAnsiTheme="minorHAnsi" w:cstheme="minorHAnsi"/>
        </w:rPr>
        <w:footnoteReference w:id="25"/>
      </w:r>
      <w:r w:rsidRPr="00F65CC5">
        <w:rPr>
          <w:rFonts w:asciiTheme="minorHAnsi" w:hAnsiTheme="minorHAnsi" w:cstheme="minorHAnsi"/>
        </w:rPr>
        <w:t xml:space="preserve"> </w:t>
      </w:r>
      <w:r w:rsidR="0052648B">
        <w:rPr>
          <w:rFonts w:asciiTheme="minorHAnsi" w:hAnsiTheme="minorHAnsi" w:cstheme="minorHAnsi"/>
        </w:rPr>
        <w:t>Before</w:t>
      </w:r>
      <w:r w:rsidRPr="00F65CC5">
        <w:rPr>
          <w:rFonts w:asciiTheme="minorHAnsi" w:hAnsiTheme="minorHAnsi" w:cstheme="minorHAnsi"/>
        </w:rPr>
        <w:t xml:space="preserve"> th</w:t>
      </w:r>
      <w:r w:rsidR="0052648B">
        <w:rPr>
          <w:rFonts w:asciiTheme="minorHAnsi" w:hAnsiTheme="minorHAnsi" w:cstheme="minorHAnsi"/>
        </w:rPr>
        <w:t>is</w:t>
      </w:r>
      <w:r w:rsidRPr="00F65CC5">
        <w:rPr>
          <w:rFonts w:asciiTheme="minorHAnsi" w:hAnsiTheme="minorHAnsi" w:cstheme="minorHAnsi"/>
        </w:rPr>
        <w:t xml:space="preserve"> change, the president played a symbolic and neutral role in the political governance of the country.</w:t>
      </w:r>
      <w:r w:rsidR="00643643" w:rsidRPr="00F65CC5">
        <w:rPr>
          <w:rStyle w:val="FootnoteReference"/>
          <w:rFonts w:asciiTheme="minorHAnsi" w:hAnsiTheme="minorHAnsi" w:cstheme="minorHAnsi"/>
        </w:rPr>
        <w:footnoteReference w:id="26"/>
      </w:r>
      <w:r w:rsidRPr="00F65CC5">
        <w:rPr>
          <w:rFonts w:asciiTheme="minorHAnsi" w:hAnsiTheme="minorHAnsi" w:cstheme="minorHAnsi"/>
        </w:rPr>
        <w:t xml:space="preserve"> After April 2017, the president became a political figure, aligned to a political party with highly increased executive powers, which some refer to as a one-man rule.</w:t>
      </w:r>
      <w:r w:rsidR="00643643" w:rsidRPr="00F65CC5">
        <w:rPr>
          <w:rStyle w:val="FootnoteReference"/>
          <w:rFonts w:asciiTheme="minorHAnsi" w:hAnsiTheme="minorHAnsi" w:cstheme="minorHAnsi"/>
        </w:rPr>
        <w:footnoteReference w:id="27"/>
      </w:r>
      <w:r w:rsidRPr="00F65CC5">
        <w:rPr>
          <w:rFonts w:asciiTheme="minorHAnsi" w:hAnsiTheme="minorHAnsi" w:cstheme="minorHAnsi"/>
        </w:rPr>
        <w:t xml:space="preserve"> </w:t>
      </w:r>
      <w:r w:rsidR="30DF56C6" w:rsidRPr="00F65CC5">
        <w:rPr>
          <w:rFonts w:asciiTheme="minorHAnsi" w:hAnsiTheme="minorHAnsi" w:cstheme="minorHAnsi"/>
        </w:rPr>
        <w:t xml:space="preserve">The Istanbul Convention was ratified </w:t>
      </w:r>
      <w:r w:rsidR="003265FB">
        <w:rPr>
          <w:rFonts w:asciiTheme="minorHAnsi" w:hAnsiTheme="minorHAnsi" w:cstheme="minorHAnsi"/>
        </w:rPr>
        <w:t xml:space="preserve">in 2011 </w:t>
      </w:r>
      <w:r w:rsidR="30DF56C6" w:rsidRPr="00F65CC5">
        <w:rPr>
          <w:rFonts w:asciiTheme="minorHAnsi" w:hAnsiTheme="minorHAnsi" w:cstheme="minorHAnsi"/>
        </w:rPr>
        <w:t>through a parliamentary vot</w:t>
      </w:r>
      <w:r w:rsidR="003265FB">
        <w:rPr>
          <w:rFonts w:asciiTheme="minorHAnsi" w:hAnsiTheme="minorHAnsi" w:cstheme="minorHAnsi"/>
        </w:rPr>
        <w:t>e</w:t>
      </w:r>
      <w:r w:rsidR="30DF56C6" w:rsidRPr="00F65CC5">
        <w:rPr>
          <w:rFonts w:asciiTheme="minorHAnsi" w:hAnsiTheme="minorHAnsi" w:cstheme="minorHAnsi"/>
        </w:rPr>
        <w:t xml:space="preserve"> of 263 accept</w:t>
      </w:r>
      <w:r w:rsidR="00DA7359">
        <w:rPr>
          <w:rFonts w:asciiTheme="minorHAnsi" w:hAnsiTheme="minorHAnsi" w:cstheme="minorHAnsi"/>
        </w:rPr>
        <w:t>ances</w:t>
      </w:r>
      <w:r w:rsidR="003265FB">
        <w:rPr>
          <w:rFonts w:asciiTheme="minorHAnsi" w:hAnsiTheme="minorHAnsi" w:cstheme="minorHAnsi"/>
        </w:rPr>
        <w:t xml:space="preserve"> and</w:t>
      </w:r>
      <w:r w:rsidR="30DF56C6" w:rsidRPr="00F65CC5">
        <w:rPr>
          <w:rFonts w:asciiTheme="minorHAnsi" w:hAnsiTheme="minorHAnsi" w:cstheme="minorHAnsi"/>
        </w:rPr>
        <w:t xml:space="preserve"> 1 abstention</w:t>
      </w:r>
      <w:r w:rsidRPr="00F65CC5">
        <w:rPr>
          <w:rFonts w:asciiTheme="minorHAnsi" w:hAnsiTheme="minorHAnsi" w:cstheme="minorHAnsi"/>
        </w:rPr>
        <w:t>.</w:t>
      </w:r>
      <w:r w:rsidR="00643643" w:rsidRPr="00F65CC5">
        <w:rPr>
          <w:rStyle w:val="FootnoteReference"/>
          <w:rFonts w:asciiTheme="minorHAnsi" w:hAnsiTheme="minorHAnsi" w:cstheme="minorHAnsi"/>
        </w:rPr>
        <w:footnoteReference w:id="28"/>
      </w:r>
      <w:r w:rsidRPr="00F65CC5">
        <w:rPr>
          <w:rFonts w:asciiTheme="minorHAnsi" w:hAnsiTheme="minorHAnsi" w:cstheme="minorHAnsi"/>
        </w:rPr>
        <w:t xml:space="preserve"> Recep Tayyip Erdogan denounced the Istanbul Convention in 2021 </w:t>
      </w:r>
      <w:r w:rsidR="00C72510">
        <w:rPr>
          <w:rFonts w:asciiTheme="minorHAnsi" w:hAnsiTheme="minorHAnsi" w:cstheme="minorHAnsi"/>
        </w:rPr>
        <w:t xml:space="preserve">via a presidential </w:t>
      </w:r>
      <w:r w:rsidR="003204A8">
        <w:rPr>
          <w:rFonts w:asciiTheme="minorHAnsi" w:hAnsiTheme="minorHAnsi" w:cstheme="minorHAnsi"/>
        </w:rPr>
        <w:t xml:space="preserve">decree, </w:t>
      </w:r>
      <w:r w:rsidRPr="00F65CC5">
        <w:rPr>
          <w:rFonts w:asciiTheme="minorHAnsi" w:hAnsiTheme="minorHAnsi" w:cstheme="minorHAnsi"/>
        </w:rPr>
        <w:t>without passing the decision through the parliament.</w:t>
      </w:r>
      <w:r w:rsidR="00643643" w:rsidRPr="00F65CC5">
        <w:rPr>
          <w:rStyle w:val="FootnoteReference"/>
          <w:rFonts w:asciiTheme="minorHAnsi" w:hAnsiTheme="minorHAnsi" w:cstheme="minorHAnsi"/>
        </w:rPr>
        <w:footnoteReference w:id="29"/>
      </w:r>
      <w:r w:rsidRPr="00F65CC5">
        <w:rPr>
          <w:rFonts w:asciiTheme="minorHAnsi" w:hAnsiTheme="minorHAnsi" w:cstheme="minorHAnsi"/>
        </w:rPr>
        <w:t xml:space="preserve"> He was ironically the </w:t>
      </w:r>
      <w:r w:rsidR="00D770F5">
        <w:rPr>
          <w:rFonts w:asciiTheme="minorHAnsi" w:hAnsiTheme="minorHAnsi" w:cstheme="minorHAnsi"/>
        </w:rPr>
        <w:t>P</w:t>
      </w:r>
      <w:r w:rsidRPr="00F65CC5">
        <w:rPr>
          <w:rFonts w:asciiTheme="minorHAnsi" w:hAnsiTheme="minorHAnsi" w:cstheme="minorHAnsi"/>
        </w:rPr>
        <w:t xml:space="preserve">rime </w:t>
      </w:r>
      <w:r w:rsidR="00D770F5">
        <w:rPr>
          <w:rFonts w:asciiTheme="minorHAnsi" w:hAnsiTheme="minorHAnsi" w:cstheme="minorHAnsi"/>
        </w:rPr>
        <w:t>M</w:t>
      </w:r>
      <w:r w:rsidRPr="00F65CC5">
        <w:rPr>
          <w:rFonts w:asciiTheme="minorHAnsi" w:hAnsiTheme="minorHAnsi" w:cstheme="minorHAnsi"/>
        </w:rPr>
        <w:t>inister when T</w:t>
      </w:r>
      <w:r w:rsidRPr="00F65CC5">
        <w:rPr>
          <w:rFonts w:asciiTheme="minorHAnsi" w:hAnsiTheme="minorHAnsi" w:cstheme="minorHAnsi"/>
          <w:lang w:val="tr-TR"/>
        </w:rPr>
        <w:t>ü</w:t>
      </w:r>
      <w:proofErr w:type="spellStart"/>
      <w:r w:rsidRPr="00F65CC5">
        <w:rPr>
          <w:rFonts w:asciiTheme="minorHAnsi" w:hAnsiTheme="minorHAnsi" w:cstheme="minorHAnsi"/>
        </w:rPr>
        <w:t>rkiye</w:t>
      </w:r>
      <w:proofErr w:type="spellEnd"/>
      <w:r w:rsidRPr="00F65CC5">
        <w:rPr>
          <w:rFonts w:asciiTheme="minorHAnsi" w:hAnsiTheme="minorHAnsi" w:cstheme="minorHAnsi"/>
        </w:rPr>
        <w:t xml:space="preserve"> ratified the Istanbul Convention. The procedure that </w:t>
      </w:r>
      <w:r w:rsidR="194B5AC3" w:rsidRPr="00F65CC5">
        <w:rPr>
          <w:rFonts w:asciiTheme="minorHAnsi" w:hAnsiTheme="minorHAnsi" w:cstheme="minorHAnsi"/>
        </w:rPr>
        <w:t xml:space="preserve">was </w:t>
      </w:r>
      <w:r w:rsidRPr="00F65CC5">
        <w:rPr>
          <w:rFonts w:asciiTheme="minorHAnsi" w:hAnsiTheme="minorHAnsi" w:cstheme="minorHAnsi"/>
        </w:rPr>
        <w:t xml:space="preserve">followed </w:t>
      </w:r>
      <w:r w:rsidR="194B5AC3" w:rsidRPr="00F65CC5">
        <w:rPr>
          <w:rFonts w:asciiTheme="minorHAnsi" w:hAnsiTheme="minorHAnsi" w:cstheme="minorHAnsi"/>
        </w:rPr>
        <w:t>for the</w:t>
      </w:r>
      <w:r w:rsidRPr="00F65CC5">
        <w:rPr>
          <w:rFonts w:asciiTheme="minorHAnsi" w:hAnsiTheme="minorHAnsi" w:cstheme="minorHAnsi"/>
        </w:rPr>
        <w:t xml:space="preserve"> den</w:t>
      </w:r>
      <w:r w:rsidR="00275636">
        <w:rPr>
          <w:rFonts w:asciiTheme="minorHAnsi" w:hAnsiTheme="minorHAnsi" w:cstheme="minorHAnsi"/>
        </w:rPr>
        <w:t>unciation</w:t>
      </w:r>
      <w:r w:rsidRPr="00F65CC5">
        <w:rPr>
          <w:rFonts w:asciiTheme="minorHAnsi" w:hAnsiTheme="minorHAnsi" w:cstheme="minorHAnsi"/>
        </w:rPr>
        <w:t xml:space="preserve"> of the Convention did not include parliamentary consent. This triggered a constitutional cris</w:t>
      </w:r>
      <w:r w:rsidR="194B5AC3" w:rsidRPr="00F65CC5">
        <w:rPr>
          <w:rFonts w:asciiTheme="minorHAnsi" w:hAnsiTheme="minorHAnsi" w:cstheme="minorHAnsi"/>
        </w:rPr>
        <w:t>i</w:t>
      </w:r>
      <w:r w:rsidRPr="00F65CC5">
        <w:rPr>
          <w:rFonts w:asciiTheme="minorHAnsi" w:hAnsiTheme="minorHAnsi" w:cstheme="minorHAnsi"/>
        </w:rPr>
        <w:t>s in T</w:t>
      </w:r>
      <w:r w:rsidRPr="00F65CC5">
        <w:rPr>
          <w:rFonts w:asciiTheme="minorHAnsi" w:hAnsiTheme="minorHAnsi" w:cstheme="minorHAnsi"/>
          <w:lang w:val="tr-TR"/>
        </w:rPr>
        <w:t>ü</w:t>
      </w:r>
      <w:proofErr w:type="spellStart"/>
      <w:r w:rsidRPr="00F65CC5">
        <w:rPr>
          <w:rFonts w:asciiTheme="minorHAnsi" w:hAnsiTheme="minorHAnsi" w:cstheme="minorHAnsi"/>
        </w:rPr>
        <w:t>rkiye</w:t>
      </w:r>
      <w:proofErr w:type="spellEnd"/>
      <w:r w:rsidR="00F60994">
        <w:rPr>
          <w:rFonts w:asciiTheme="minorHAnsi" w:hAnsiTheme="minorHAnsi" w:cstheme="minorHAnsi"/>
        </w:rPr>
        <w:t>,</w:t>
      </w:r>
      <w:r w:rsidRPr="00F65CC5">
        <w:rPr>
          <w:rFonts w:asciiTheme="minorHAnsi" w:hAnsiTheme="minorHAnsi" w:cstheme="minorHAnsi"/>
        </w:rPr>
        <w:t xml:space="preserve"> as this decision-making process contradicts the public law principle of parallelism of form (and legitimacy). This </w:t>
      </w:r>
      <w:r w:rsidR="006C0ADE">
        <w:rPr>
          <w:rFonts w:asciiTheme="minorHAnsi" w:hAnsiTheme="minorHAnsi" w:cstheme="minorHAnsi"/>
        </w:rPr>
        <w:t xml:space="preserve">principle </w:t>
      </w:r>
      <w:r w:rsidRPr="00F65CC5">
        <w:rPr>
          <w:rFonts w:asciiTheme="minorHAnsi" w:hAnsiTheme="minorHAnsi" w:cstheme="minorHAnsi"/>
        </w:rPr>
        <w:t xml:space="preserve">means the same procedure should apply </w:t>
      </w:r>
      <w:r w:rsidR="6F3E8B63" w:rsidRPr="00F65CC5">
        <w:rPr>
          <w:rFonts w:asciiTheme="minorHAnsi" w:hAnsiTheme="minorHAnsi" w:cstheme="minorHAnsi"/>
        </w:rPr>
        <w:t xml:space="preserve">when </w:t>
      </w:r>
      <w:r w:rsidRPr="00F65CC5">
        <w:rPr>
          <w:rFonts w:asciiTheme="minorHAnsi" w:hAnsiTheme="minorHAnsi" w:cstheme="minorHAnsi"/>
        </w:rPr>
        <w:t>entering and withdrawing from Conventions.</w:t>
      </w:r>
      <w:r w:rsidR="00643643" w:rsidRPr="00F65CC5">
        <w:rPr>
          <w:rStyle w:val="FootnoteReference"/>
          <w:rFonts w:asciiTheme="minorHAnsi" w:hAnsiTheme="minorHAnsi" w:cstheme="minorHAnsi"/>
        </w:rPr>
        <w:footnoteReference w:id="30"/>
      </w:r>
      <w:r w:rsidRPr="00F65CC5">
        <w:rPr>
          <w:rFonts w:asciiTheme="minorHAnsi" w:hAnsiTheme="minorHAnsi" w:cstheme="minorHAnsi"/>
        </w:rPr>
        <w:t xml:space="preserve"> Therefore</w:t>
      </w:r>
      <w:r w:rsidR="642CDFCD" w:rsidRPr="00F65CC5">
        <w:rPr>
          <w:rFonts w:asciiTheme="minorHAnsi" w:hAnsiTheme="minorHAnsi" w:cstheme="minorHAnsi"/>
        </w:rPr>
        <w:t xml:space="preserve">, </w:t>
      </w:r>
      <w:r w:rsidRPr="00F65CC5">
        <w:rPr>
          <w:rFonts w:asciiTheme="minorHAnsi" w:hAnsiTheme="minorHAnsi" w:cstheme="minorHAnsi"/>
        </w:rPr>
        <w:t>without the consent of the parliament, many argu</w:t>
      </w:r>
      <w:r w:rsidR="194B5AC3" w:rsidRPr="00F65CC5">
        <w:rPr>
          <w:rFonts w:asciiTheme="minorHAnsi" w:hAnsiTheme="minorHAnsi" w:cstheme="minorHAnsi"/>
        </w:rPr>
        <w:t>e</w:t>
      </w:r>
      <w:r w:rsidRPr="00F65CC5">
        <w:rPr>
          <w:rFonts w:asciiTheme="minorHAnsi" w:hAnsiTheme="minorHAnsi" w:cstheme="minorHAnsi"/>
        </w:rPr>
        <w:t xml:space="preserve"> that the presidential decision was unconstitutional</w:t>
      </w:r>
      <w:r w:rsidR="46640C42" w:rsidRPr="00F65CC5">
        <w:rPr>
          <w:rFonts w:asciiTheme="minorHAnsi" w:hAnsiTheme="minorHAnsi" w:cstheme="minorHAnsi"/>
        </w:rPr>
        <w:t xml:space="preserve"> and invalid</w:t>
      </w:r>
      <w:r w:rsidRPr="00F65CC5">
        <w:rPr>
          <w:rFonts w:asciiTheme="minorHAnsi" w:hAnsiTheme="minorHAnsi" w:cstheme="minorHAnsi"/>
        </w:rPr>
        <w:t>.</w:t>
      </w:r>
      <w:r w:rsidR="00643643" w:rsidRPr="00F65CC5">
        <w:rPr>
          <w:rStyle w:val="FootnoteReference"/>
          <w:rFonts w:asciiTheme="minorHAnsi" w:hAnsiTheme="minorHAnsi" w:cstheme="minorHAnsi"/>
        </w:rPr>
        <w:footnoteReference w:id="31"/>
      </w:r>
      <w:r w:rsidRPr="00F65CC5">
        <w:rPr>
          <w:rFonts w:asciiTheme="minorHAnsi" w:hAnsiTheme="minorHAnsi" w:cstheme="minorHAnsi"/>
        </w:rPr>
        <w:t xml:space="preserve"> </w:t>
      </w:r>
    </w:p>
    <w:p w14:paraId="12356B6D" w14:textId="77777777" w:rsidR="005F7DDB" w:rsidRDefault="005F7DDB" w:rsidP="007933F6">
      <w:pPr>
        <w:spacing w:line="259" w:lineRule="auto"/>
        <w:jc w:val="both"/>
        <w:rPr>
          <w:rFonts w:asciiTheme="minorHAnsi" w:hAnsiTheme="minorHAnsi" w:cstheme="minorHAnsi"/>
          <w:lang w:val="en-US"/>
        </w:rPr>
      </w:pPr>
    </w:p>
    <w:p w14:paraId="371FE2B4" w14:textId="46DC4B20" w:rsidR="006214AF" w:rsidRPr="00F65CC5" w:rsidRDefault="006214AF" w:rsidP="007933F6">
      <w:pPr>
        <w:spacing w:line="259" w:lineRule="auto"/>
        <w:jc w:val="both"/>
        <w:rPr>
          <w:rFonts w:asciiTheme="minorHAnsi" w:hAnsiTheme="minorHAnsi" w:cstheme="minorHAnsi"/>
          <w:lang w:val="en-US"/>
        </w:rPr>
      </w:pPr>
      <w:r w:rsidRPr="00F65CC5">
        <w:rPr>
          <w:rFonts w:asciiTheme="minorHAnsi" w:hAnsiTheme="minorHAnsi" w:cstheme="minorHAnsi"/>
          <w:lang w:val="en-US"/>
        </w:rPr>
        <w:t xml:space="preserve">This article is part of a broader research project that focuses on the establishment and the working mechanisms of feminist resistance, </w:t>
      </w:r>
      <w:proofErr w:type="spellStart"/>
      <w:r w:rsidRPr="00F65CC5">
        <w:rPr>
          <w:rFonts w:asciiTheme="minorHAnsi" w:hAnsiTheme="minorHAnsi" w:cstheme="minorHAnsi"/>
          <w:lang w:val="en-US"/>
        </w:rPr>
        <w:t>organised</w:t>
      </w:r>
      <w:proofErr w:type="spellEnd"/>
      <w:r w:rsidRPr="00F65CC5">
        <w:rPr>
          <w:rFonts w:asciiTheme="minorHAnsi" w:hAnsiTheme="minorHAnsi" w:cstheme="minorHAnsi"/>
          <w:lang w:val="en-US"/>
        </w:rPr>
        <w:t xml:space="preserve"> before and after </w:t>
      </w:r>
      <w:r w:rsidR="0074463C" w:rsidRPr="00F65CC5">
        <w:rPr>
          <w:rFonts w:asciiTheme="minorHAnsi" w:hAnsiTheme="minorHAnsi" w:cstheme="minorHAnsi"/>
        </w:rPr>
        <w:t>T</w:t>
      </w:r>
      <w:r w:rsidR="0074463C" w:rsidRPr="00F65CC5">
        <w:rPr>
          <w:rFonts w:asciiTheme="minorHAnsi" w:hAnsiTheme="minorHAnsi" w:cstheme="minorHAnsi"/>
          <w:lang w:val="tr-TR"/>
        </w:rPr>
        <w:t>ü</w:t>
      </w:r>
      <w:proofErr w:type="spellStart"/>
      <w:r w:rsidR="0074463C" w:rsidRPr="00F65CC5">
        <w:rPr>
          <w:rFonts w:asciiTheme="minorHAnsi" w:hAnsiTheme="minorHAnsi" w:cstheme="minorHAnsi"/>
        </w:rPr>
        <w:t>rkiye</w:t>
      </w:r>
      <w:proofErr w:type="spellEnd"/>
      <w:r w:rsidRPr="00F65CC5">
        <w:rPr>
          <w:rFonts w:asciiTheme="minorHAnsi" w:hAnsiTheme="minorHAnsi" w:cstheme="minorHAnsi"/>
          <w:lang w:val="en-US"/>
        </w:rPr>
        <w:t>’s unlawful withdrawal from the Istanbul Convention</w:t>
      </w:r>
      <w:r w:rsidRPr="00796DED">
        <w:rPr>
          <w:rFonts w:asciiTheme="minorHAnsi" w:hAnsiTheme="minorHAnsi" w:cstheme="minorHAnsi"/>
          <w:lang w:val="en-US"/>
        </w:rPr>
        <w:t xml:space="preserve">. </w:t>
      </w:r>
      <w:r w:rsidR="00AE433F" w:rsidRPr="00796DED">
        <w:rPr>
          <w:rFonts w:asciiTheme="minorHAnsi" w:hAnsiTheme="minorHAnsi" w:cstheme="minorHAnsi"/>
          <w:lang w:val="en-US"/>
        </w:rPr>
        <w:t>P</w:t>
      </w:r>
      <w:r w:rsidR="0019737D" w:rsidRPr="00796DED">
        <w:rPr>
          <w:rFonts w:asciiTheme="minorHAnsi" w:hAnsiTheme="minorHAnsi" w:cstheme="minorHAnsi"/>
          <w:lang w:val="en-US"/>
        </w:rPr>
        <w:t xml:space="preserve">art of this research is presented in this article. This </w:t>
      </w:r>
      <w:r w:rsidR="00796DED" w:rsidRPr="00796DED">
        <w:rPr>
          <w:rFonts w:asciiTheme="minorHAnsi" w:hAnsiTheme="minorHAnsi" w:cstheme="minorHAnsi"/>
          <w:lang w:val="en-US"/>
        </w:rPr>
        <w:t>article</w:t>
      </w:r>
      <w:r w:rsidR="0019737D" w:rsidRPr="00796DED">
        <w:rPr>
          <w:rFonts w:asciiTheme="minorHAnsi" w:hAnsiTheme="minorHAnsi" w:cstheme="minorHAnsi"/>
          <w:lang w:val="en-US"/>
        </w:rPr>
        <w:t xml:space="preserve"> </w:t>
      </w:r>
      <w:r w:rsidRPr="00796DED">
        <w:rPr>
          <w:rFonts w:asciiTheme="minorHAnsi" w:hAnsiTheme="minorHAnsi" w:cstheme="minorHAnsi"/>
          <w:lang w:val="en-US"/>
        </w:rPr>
        <w:t>look</w:t>
      </w:r>
      <w:r w:rsidR="00796DED" w:rsidRPr="00796DED">
        <w:rPr>
          <w:rFonts w:asciiTheme="minorHAnsi" w:hAnsiTheme="minorHAnsi" w:cstheme="minorHAnsi"/>
          <w:lang w:val="en-US"/>
        </w:rPr>
        <w:t>s</w:t>
      </w:r>
      <w:r w:rsidRPr="00796DED">
        <w:rPr>
          <w:rFonts w:asciiTheme="minorHAnsi" w:hAnsiTheme="minorHAnsi" w:cstheme="minorHAnsi"/>
          <w:lang w:val="en-US"/>
        </w:rPr>
        <w:t xml:space="preserve"> at the withdrawal and the political attacks against the Convention itself and its social significance by </w:t>
      </w:r>
      <w:proofErr w:type="spellStart"/>
      <w:r w:rsidRPr="00796DED">
        <w:rPr>
          <w:rFonts w:asciiTheme="minorHAnsi" w:hAnsiTheme="minorHAnsi" w:cstheme="minorHAnsi"/>
          <w:lang w:val="en-US"/>
        </w:rPr>
        <w:t>analysing</w:t>
      </w:r>
      <w:proofErr w:type="spellEnd"/>
      <w:r w:rsidRPr="00796DED">
        <w:rPr>
          <w:rFonts w:asciiTheme="minorHAnsi" w:hAnsiTheme="minorHAnsi" w:cstheme="minorHAnsi"/>
          <w:lang w:val="en-US"/>
        </w:rPr>
        <w:t xml:space="preserve"> this process as a feminist resistance. The interview phase</w:t>
      </w:r>
      <w:r w:rsidR="0029626D" w:rsidRPr="00796DED">
        <w:rPr>
          <w:rFonts w:asciiTheme="minorHAnsi" w:hAnsiTheme="minorHAnsi" w:cstheme="minorHAnsi"/>
          <w:lang w:val="en-US"/>
        </w:rPr>
        <w:t xml:space="preserve"> is part of the broader research and</w:t>
      </w:r>
      <w:r w:rsidRPr="00796DED">
        <w:rPr>
          <w:rFonts w:asciiTheme="minorHAnsi" w:hAnsiTheme="minorHAnsi" w:cstheme="minorHAnsi"/>
          <w:lang w:val="en-US"/>
        </w:rPr>
        <w:t xml:space="preserve"> started</w:t>
      </w:r>
      <w:r w:rsidRPr="00F65CC5">
        <w:rPr>
          <w:rFonts w:asciiTheme="minorHAnsi" w:hAnsiTheme="minorHAnsi" w:cstheme="minorHAnsi"/>
          <w:lang w:val="en-US"/>
        </w:rPr>
        <w:t xml:space="preserve"> in early March 2022</w:t>
      </w:r>
      <w:r w:rsidR="0029626D">
        <w:rPr>
          <w:rFonts w:asciiTheme="minorHAnsi" w:hAnsiTheme="minorHAnsi" w:cstheme="minorHAnsi"/>
          <w:lang w:val="en-US"/>
        </w:rPr>
        <w:t>,</w:t>
      </w:r>
      <w:r w:rsidRPr="00F65CC5">
        <w:rPr>
          <w:rFonts w:asciiTheme="minorHAnsi" w:hAnsiTheme="minorHAnsi" w:cstheme="minorHAnsi"/>
          <w:lang w:val="en-US"/>
        </w:rPr>
        <w:t xml:space="preserve"> continued during the hearings held at the Dan</w:t>
      </w:r>
      <w:r w:rsidRPr="00F65CC5">
        <w:rPr>
          <w:rFonts w:asciiTheme="minorHAnsi" w:hAnsiTheme="minorHAnsi" w:cstheme="minorHAnsi"/>
          <w:lang w:val="tr-TR"/>
        </w:rPr>
        <w:t>ış</w:t>
      </w:r>
      <w:proofErr w:type="spellStart"/>
      <w:r w:rsidRPr="00F65CC5">
        <w:rPr>
          <w:rFonts w:asciiTheme="minorHAnsi" w:hAnsiTheme="minorHAnsi" w:cstheme="minorHAnsi"/>
          <w:lang w:val="en-US"/>
        </w:rPr>
        <w:t>tay</w:t>
      </w:r>
      <w:proofErr w:type="spellEnd"/>
      <w:r w:rsidRPr="00F65CC5">
        <w:rPr>
          <w:rFonts w:asciiTheme="minorHAnsi" w:hAnsiTheme="minorHAnsi" w:cstheme="minorHAnsi"/>
          <w:lang w:val="en-US"/>
        </w:rPr>
        <w:t xml:space="preserve"> (Council of State, the highest administrative court) in Ankara and co</w:t>
      </w:r>
      <w:r w:rsidR="00C11285">
        <w:rPr>
          <w:rFonts w:asciiTheme="minorHAnsi" w:hAnsiTheme="minorHAnsi" w:cstheme="minorHAnsi"/>
          <w:lang w:val="en-US"/>
        </w:rPr>
        <w:t>nclud</w:t>
      </w:r>
      <w:r w:rsidRPr="00F65CC5">
        <w:rPr>
          <w:rFonts w:asciiTheme="minorHAnsi" w:hAnsiTheme="minorHAnsi" w:cstheme="minorHAnsi"/>
          <w:lang w:val="en-US"/>
        </w:rPr>
        <w:t xml:space="preserve">ed in November 2022. We had access to direct information from within the </w:t>
      </w:r>
      <w:r w:rsidR="00BB5334">
        <w:rPr>
          <w:rFonts w:asciiTheme="minorHAnsi" w:hAnsiTheme="minorHAnsi" w:cstheme="minorHAnsi"/>
          <w:lang w:val="en-US"/>
        </w:rPr>
        <w:t>c</w:t>
      </w:r>
      <w:r w:rsidRPr="00F65CC5">
        <w:rPr>
          <w:rFonts w:asciiTheme="minorHAnsi" w:hAnsiTheme="minorHAnsi" w:cstheme="minorHAnsi"/>
          <w:lang w:val="en-US"/>
        </w:rPr>
        <w:t>ourtroom.</w:t>
      </w:r>
      <w:r w:rsidRPr="00F65CC5">
        <w:rPr>
          <w:rStyle w:val="FootnoteReference"/>
          <w:rFonts w:asciiTheme="minorHAnsi" w:hAnsiTheme="minorHAnsi" w:cstheme="minorHAnsi"/>
        </w:rPr>
        <w:footnoteReference w:id="32"/>
      </w:r>
      <w:r w:rsidRPr="00F65CC5">
        <w:rPr>
          <w:rFonts w:asciiTheme="minorHAnsi" w:hAnsiTheme="minorHAnsi" w:cstheme="minorHAnsi"/>
        </w:rPr>
        <w:t xml:space="preserve"> This article draws empirical knowledge</w:t>
      </w:r>
      <w:r w:rsidRPr="00F65CC5">
        <w:rPr>
          <w:rFonts w:asciiTheme="minorHAnsi" w:hAnsiTheme="minorHAnsi" w:cstheme="minorHAnsi"/>
          <w:lang w:val="en-US"/>
        </w:rPr>
        <w:t xml:space="preserve"> from questions that focused on</w:t>
      </w:r>
      <w:r w:rsidRPr="00F65CC5">
        <w:rPr>
          <w:rFonts w:asciiTheme="minorHAnsi" w:hAnsiTheme="minorHAnsi" w:cstheme="minorHAnsi"/>
        </w:rPr>
        <w:t xml:space="preserve"> three themes</w:t>
      </w:r>
      <w:r w:rsidR="001F1A1C">
        <w:rPr>
          <w:rFonts w:asciiTheme="minorHAnsi" w:hAnsiTheme="minorHAnsi" w:cstheme="minorHAnsi"/>
        </w:rPr>
        <w:t>:</w:t>
      </w:r>
      <w:r w:rsidRPr="00F65CC5">
        <w:rPr>
          <w:rFonts w:asciiTheme="minorHAnsi" w:hAnsiTheme="minorHAnsi" w:cstheme="minorHAnsi"/>
        </w:rPr>
        <w:t xml:space="preserve"> the slogans used in the campaign</w:t>
      </w:r>
      <w:r w:rsidR="00A61A43">
        <w:rPr>
          <w:rFonts w:asciiTheme="minorHAnsi" w:hAnsiTheme="minorHAnsi" w:cstheme="minorHAnsi"/>
        </w:rPr>
        <w:t>;</w:t>
      </w:r>
      <w:r w:rsidRPr="00F65CC5">
        <w:rPr>
          <w:rFonts w:asciiTheme="minorHAnsi" w:hAnsiTheme="minorHAnsi" w:cstheme="minorHAnsi"/>
        </w:rPr>
        <w:t xml:space="preserve"> </w:t>
      </w:r>
      <w:r w:rsidRPr="00F65CC5">
        <w:rPr>
          <w:rFonts w:asciiTheme="minorHAnsi" w:hAnsiTheme="minorHAnsi" w:cstheme="minorHAnsi"/>
          <w:lang w:val="en-US"/>
        </w:rPr>
        <w:t>the 220+ legal cases that were brought against the withdrawal decision</w:t>
      </w:r>
      <w:r w:rsidR="00A61A43">
        <w:rPr>
          <w:rFonts w:asciiTheme="minorHAnsi" w:hAnsiTheme="minorHAnsi" w:cstheme="minorHAnsi"/>
          <w:lang w:val="en-US"/>
        </w:rPr>
        <w:t>;</w:t>
      </w:r>
      <w:r w:rsidRPr="00F65CC5">
        <w:rPr>
          <w:rFonts w:asciiTheme="minorHAnsi" w:hAnsiTheme="minorHAnsi" w:cstheme="minorHAnsi"/>
          <w:lang w:val="en-US"/>
        </w:rPr>
        <w:t xml:space="preserve"> and how the interviewees perceived feminist engagements with law in the context of the disappearance of the Convention in 2022. We conducted online</w:t>
      </w:r>
      <w:r w:rsidR="00383461">
        <w:rPr>
          <w:rFonts w:asciiTheme="minorHAnsi" w:hAnsiTheme="minorHAnsi" w:cstheme="minorHAnsi"/>
          <w:lang w:val="en-US"/>
        </w:rPr>
        <w:t>,</w:t>
      </w:r>
      <w:r w:rsidRPr="00F65CC5">
        <w:rPr>
          <w:rFonts w:asciiTheme="minorHAnsi" w:hAnsiTheme="minorHAnsi" w:cstheme="minorHAnsi"/>
          <w:lang w:val="en-US"/>
        </w:rPr>
        <w:t xml:space="preserve"> in-depth interviews </w:t>
      </w:r>
      <w:r w:rsidR="00725B06">
        <w:rPr>
          <w:rFonts w:asciiTheme="minorHAnsi" w:hAnsiTheme="minorHAnsi" w:cstheme="minorHAnsi"/>
          <w:lang w:val="en-US"/>
        </w:rPr>
        <w:t>for</w:t>
      </w:r>
      <w:r w:rsidRPr="00F65CC5">
        <w:rPr>
          <w:rFonts w:asciiTheme="minorHAnsi" w:hAnsiTheme="minorHAnsi" w:cstheme="minorHAnsi"/>
          <w:lang w:val="en-US"/>
        </w:rPr>
        <w:t xml:space="preserve"> at least </w:t>
      </w:r>
      <w:r w:rsidR="00227640">
        <w:rPr>
          <w:rFonts w:asciiTheme="minorHAnsi" w:hAnsiTheme="minorHAnsi" w:cstheme="minorHAnsi"/>
          <w:lang w:val="en-US"/>
        </w:rPr>
        <w:t>one-hour</w:t>
      </w:r>
      <w:r w:rsidRPr="00F65CC5">
        <w:rPr>
          <w:rFonts w:asciiTheme="minorHAnsi" w:hAnsiTheme="minorHAnsi" w:cstheme="minorHAnsi"/>
          <w:lang w:val="en-US"/>
        </w:rPr>
        <w:t xml:space="preserve"> </w:t>
      </w:r>
      <w:r w:rsidR="000E6C0D">
        <w:rPr>
          <w:rFonts w:asciiTheme="minorHAnsi" w:hAnsiTheme="minorHAnsi" w:cstheme="minorHAnsi"/>
          <w:lang w:val="en-US"/>
        </w:rPr>
        <w:t>duration</w:t>
      </w:r>
      <w:r w:rsidRPr="00F65CC5">
        <w:rPr>
          <w:rFonts w:asciiTheme="minorHAnsi" w:hAnsiTheme="minorHAnsi" w:cstheme="minorHAnsi"/>
          <w:lang w:val="en-US"/>
        </w:rPr>
        <w:t xml:space="preserve"> with eight activists involved in the campaigns against the withdrawal process. We chose our</w:t>
      </w:r>
      <w:r w:rsidR="00717969">
        <w:rPr>
          <w:rFonts w:asciiTheme="minorHAnsi" w:hAnsiTheme="minorHAnsi" w:cstheme="minorHAnsi"/>
          <w:lang w:val="en-US"/>
        </w:rPr>
        <w:t xml:space="preserve"> </w:t>
      </w:r>
      <w:r w:rsidRPr="00F65CC5">
        <w:rPr>
          <w:rFonts w:asciiTheme="minorHAnsi" w:hAnsiTheme="minorHAnsi" w:cstheme="minorHAnsi"/>
          <w:lang w:val="en-US"/>
        </w:rPr>
        <w:t xml:space="preserve">interviewees from different political, social, and religious backgrounds and political groups. While </w:t>
      </w:r>
      <w:r w:rsidR="00C22BDD">
        <w:rPr>
          <w:rFonts w:asciiTheme="minorHAnsi" w:hAnsiTheme="minorHAnsi" w:cstheme="minorHAnsi"/>
          <w:lang w:val="en-US"/>
        </w:rPr>
        <w:t xml:space="preserve">seven </w:t>
      </w:r>
      <w:r w:rsidRPr="00F65CC5">
        <w:rPr>
          <w:rFonts w:asciiTheme="minorHAnsi" w:hAnsiTheme="minorHAnsi" w:cstheme="minorHAnsi"/>
          <w:lang w:val="en-US"/>
        </w:rPr>
        <w:t>identified as feminist</w:t>
      </w:r>
      <w:r w:rsidR="00C22BDD">
        <w:rPr>
          <w:rFonts w:asciiTheme="minorHAnsi" w:hAnsiTheme="minorHAnsi" w:cstheme="minorHAnsi"/>
          <w:lang w:val="en-US"/>
        </w:rPr>
        <w:t>s</w:t>
      </w:r>
      <w:r w:rsidRPr="00F65CC5">
        <w:rPr>
          <w:rFonts w:asciiTheme="minorHAnsi" w:hAnsiTheme="minorHAnsi" w:cstheme="minorHAnsi"/>
          <w:lang w:val="en-US"/>
        </w:rPr>
        <w:t>, one of the participants underlined that her political group does not use and accept the term ‘feminist’. Despite th</w:t>
      </w:r>
      <w:r w:rsidR="00C22BDD">
        <w:rPr>
          <w:rFonts w:asciiTheme="minorHAnsi" w:hAnsiTheme="minorHAnsi" w:cstheme="minorHAnsi"/>
          <w:lang w:val="en-US"/>
        </w:rPr>
        <w:t>is,</w:t>
      </w:r>
      <w:r w:rsidRPr="00F65CC5">
        <w:rPr>
          <w:rFonts w:asciiTheme="minorHAnsi" w:hAnsiTheme="minorHAnsi" w:cstheme="minorHAnsi"/>
          <w:lang w:val="en-US"/>
        </w:rPr>
        <w:t xml:space="preserve"> they participated in a </w:t>
      </w:r>
      <w:r w:rsidR="00C22BDD">
        <w:rPr>
          <w:rFonts w:asciiTheme="minorHAnsi" w:hAnsiTheme="minorHAnsi" w:cstheme="minorHAnsi"/>
          <w:lang w:val="en-US"/>
        </w:rPr>
        <w:t>feminist-led</w:t>
      </w:r>
      <w:r w:rsidRPr="00F65CC5">
        <w:rPr>
          <w:rFonts w:asciiTheme="minorHAnsi" w:hAnsiTheme="minorHAnsi" w:cstheme="minorHAnsi"/>
          <w:lang w:val="en-US"/>
        </w:rPr>
        <w:t xml:space="preserve"> platform. We interviewed two journalists, four lawyers, one former civil servant (who was unlawfully sacked from her position by a decree during the State of Emergency (2016-2018)), one political scientist and </w:t>
      </w:r>
      <w:r w:rsidR="00C22BDD">
        <w:rPr>
          <w:rFonts w:asciiTheme="minorHAnsi" w:hAnsiTheme="minorHAnsi" w:cstheme="minorHAnsi"/>
          <w:lang w:val="en-US"/>
        </w:rPr>
        <w:t xml:space="preserve">a </w:t>
      </w:r>
      <w:r w:rsidRPr="00F65CC5">
        <w:rPr>
          <w:rFonts w:asciiTheme="minorHAnsi" w:hAnsiTheme="minorHAnsi" w:cstheme="minorHAnsi"/>
          <w:lang w:val="en-US"/>
        </w:rPr>
        <w:t xml:space="preserve">columnist in </w:t>
      </w:r>
      <w:r w:rsidR="00C22BDD">
        <w:rPr>
          <w:rFonts w:asciiTheme="minorHAnsi" w:hAnsiTheme="minorHAnsi" w:cstheme="minorHAnsi"/>
          <w:lang w:val="en-US"/>
        </w:rPr>
        <w:t xml:space="preserve">the </w:t>
      </w:r>
      <w:r w:rsidRPr="00F65CC5">
        <w:rPr>
          <w:rFonts w:asciiTheme="minorHAnsi" w:hAnsiTheme="minorHAnsi" w:cstheme="minorHAnsi"/>
          <w:lang w:val="en-US"/>
        </w:rPr>
        <w:t>media. One of the journalists is from a socialist media provider that reports on the intersection of class and women’s issues</w:t>
      </w:r>
      <w:r w:rsidR="005204C3">
        <w:rPr>
          <w:rFonts w:asciiTheme="minorHAnsi" w:hAnsiTheme="minorHAnsi" w:cstheme="minorHAnsi"/>
          <w:lang w:val="en-US"/>
        </w:rPr>
        <w:t>. T</w:t>
      </w:r>
      <w:r w:rsidRPr="00F65CC5">
        <w:rPr>
          <w:rFonts w:asciiTheme="minorHAnsi" w:hAnsiTheme="minorHAnsi" w:cstheme="minorHAnsi"/>
          <w:lang w:val="en-US"/>
        </w:rPr>
        <w:t xml:space="preserve">he other </w:t>
      </w:r>
      <w:proofErr w:type="spellStart"/>
      <w:r w:rsidRPr="00F65CC5">
        <w:rPr>
          <w:rFonts w:asciiTheme="minorHAnsi" w:hAnsiTheme="minorHAnsi" w:cstheme="minorHAnsi"/>
          <w:lang w:val="en-US"/>
        </w:rPr>
        <w:t>specialises</w:t>
      </w:r>
      <w:proofErr w:type="spellEnd"/>
      <w:r w:rsidRPr="00F65CC5">
        <w:rPr>
          <w:rFonts w:asciiTheme="minorHAnsi" w:hAnsiTheme="minorHAnsi" w:cstheme="minorHAnsi"/>
          <w:lang w:val="en-US"/>
        </w:rPr>
        <w:t xml:space="preserve"> in feminist and LGBTIQ+ centered news</w:t>
      </w:r>
      <w:r w:rsidR="005204C3">
        <w:rPr>
          <w:rFonts w:asciiTheme="minorHAnsi" w:hAnsiTheme="minorHAnsi" w:cstheme="minorHAnsi"/>
          <w:lang w:val="en-US"/>
        </w:rPr>
        <w:t xml:space="preserve">. Both journalists </w:t>
      </w:r>
      <w:r w:rsidRPr="00F65CC5">
        <w:rPr>
          <w:rFonts w:asciiTheme="minorHAnsi" w:hAnsiTheme="minorHAnsi" w:cstheme="minorHAnsi"/>
          <w:lang w:val="en-US"/>
        </w:rPr>
        <w:t xml:space="preserve">consistently reported on this campaign. Seven of the interviewees are cis-gendered women and one of them is a trans woman. In terms of geographical coverage, four interviewees are based in Istanbul, two in Ankara, one in </w:t>
      </w:r>
      <w:proofErr w:type="spellStart"/>
      <w:r w:rsidRPr="00F65CC5">
        <w:rPr>
          <w:rFonts w:asciiTheme="minorHAnsi" w:hAnsiTheme="minorHAnsi" w:cstheme="minorHAnsi"/>
          <w:lang w:val="en-US"/>
        </w:rPr>
        <w:t>Mugla</w:t>
      </w:r>
      <w:proofErr w:type="spellEnd"/>
      <w:r w:rsidRPr="00F65CC5">
        <w:rPr>
          <w:rFonts w:asciiTheme="minorHAnsi" w:hAnsiTheme="minorHAnsi" w:cstheme="minorHAnsi"/>
          <w:lang w:val="en-US"/>
        </w:rPr>
        <w:t xml:space="preserve">, one in </w:t>
      </w:r>
      <w:proofErr w:type="spellStart"/>
      <w:r w:rsidRPr="00F65CC5">
        <w:rPr>
          <w:rFonts w:asciiTheme="minorHAnsi" w:hAnsiTheme="minorHAnsi" w:cstheme="minorHAnsi"/>
          <w:lang w:val="en-US"/>
        </w:rPr>
        <w:t>Canakkale</w:t>
      </w:r>
      <w:proofErr w:type="spellEnd"/>
      <w:r w:rsidRPr="00F65CC5">
        <w:rPr>
          <w:rFonts w:asciiTheme="minorHAnsi" w:hAnsiTheme="minorHAnsi" w:cstheme="minorHAnsi"/>
          <w:lang w:val="en-US"/>
        </w:rPr>
        <w:t xml:space="preserve"> and one in Diyarbakir. Although nearly all our participants </w:t>
      </w:r>
      <w:r w:rsidR="000A59D9">
        <w:rPr>
          <w:rFonts w:asciiTheme="minorHAnsi" w:hAnsiTheme="minorHAnsi" w:cstheme="minorHAnsi"/>
          <w:lang w:val="en-US"/>
        </w:rPr>
        <w:t>asked</w:t>
      </w:r>
      <w:r w:rsidRPr="00F65CC5">
        <w:rPr>
          <w:rFonts w:asciiTheme="minorHAnsi" w:hAnsiTheme="minorHAnsi" w:cstheme="minorHAnsi"/>
          <w:lang w:val="en-US"/>
        </w:rPr>
        <w:t xml:space="preserve"> us to use their names in the article, we </w:t>
      </w:r>
      <w:proofErr w:type="spellStart"/>
      <w:r w:rsidRPr="00F65CC5">
        <w:rPr>
          <w:rFonts w:asciiTheme="minorHAnsi" w:hAnsiTheme="minorHAnsi" w:cstheme="minorHAnsi"/>
          <w:lang w:val="en-US"/>
        </w:rPr>
        <w:t>anonymised</w:t>
      </w:r>
      <w:proofErr w:type="spellEnd"/>
      <w:r w:rsidRPr="00F65CC5">
        <w:rPr>
          <w:rFonts w:asciiTheme="minorHAnsi" w:hAnsiTheme="minorHAnsi" w:cstheme="minorHAnsi"/>
          <w:lang w:val="en-US"/>
        </w:rPr>
        <w:t xml:space="preserve"> our respondents for ethical reasons.</w:t>
      </w:r>
      <w:r w:rsidR="00CA7517">
        <w:rPr>
          <w:rStyle w:val="FootnoteReference"/>
          <w:rFonts w:asciiTheme="minorHAnsi" w:hAnsiTheme="minorHAnsi" w:cstheme="minorHAnsi"/>
          <w:lang w:val="en-US"/>
        </w:rPr>
        <w:footnoteReference w:id="33"/>
      </w:r>
    </w:p>
    <w:p w14:paraId="687E94E4" w14:textId="77777777" w:rsidR="00354234" w:rsidRPr="00F65CC5" w:rsidRDefault="00354234" w:rsidP="007933F6">
      <w:pPr>
        <w:jc w:val="both"/>
        <w:rPr>
          <w:rFonts w:asciiTheme="minorHAnsi" w:hAnsiTheme="minorHAnsi" w:cstheme="minorHAnsi"/>
        </w:rPr>
      </w:pPr>
    </w:p>
    <w:p w14:paraId="73BDF3EF" w14:textId="1DCE644C" w:rsidR="00C14389" w:rsidRPr="00F65CC5" w:rsidRDefault="00354234" w:rsidP="007933F6">
      <w:pPr>
        <w:jc w:val="both"/>
        <w:rPr>
          <w:rFonts w:asciiTheme="minorHAnsi" w:hAnsiTheme="minorHAnsi" w:cstheme="minorHAnsi"/>
        </w:rPr>
      </w:pPr>
      <w:r w:rsidRPr="00F65CC5">
        <w:rPr>
          <w:rFonts w:asciiTheme="minorHAnsi" w:hAnsiTheme="minorHAnsi" w:cstheme="minorHAnsi"/>
        </w:rPr>
        <w:lastRenderedPageBreak/>
        <w:t>As mentioned earlier, i</w:t>
      </w:r>
      <w:r w:rsidR="11A155A5" w:rsidRPr="00F65CC5">
        <w:rPr>
          <w:rFonts w:asciiTheme="minorHAnsi" w:hAnsiTheme="minorHAnsi" w:cstheme="minorHAnsi"/>
        </w:rPr>
        <w:t>n T</w:t>
      </w:r>
      <w:r w:rsidR="1B8C6B34" w:rsidRPr="00F65CC5">
        <w:rPr>
          <w:rFonts w:asciiTheme="minorHAnsi" w:hAnsiTheme="minorHAnsi" w:cstheme="minorHAnsi"/>
        </w:rPr>
        <w:t>ü</w:t>
      </w:r>
      <w:r w:rsidR="11A155A5" w:rsidRPr="00F65CC5">
        <w:rPr>
          <w:rFonts w:asciiTheme="minorHAnsi" w:hAnsiTheme="minorHAnsi" w:cstheme="minorHAnsi"/>
        </w:rPr>
        <w:t>rkiye more than 220 cases ha</w:t>
      </w:r>
      <w:r w:rsidR="76717AFD" w:rsidRPr="00F65CC5">
        <w:rPr>
          <w:rFonts w:asciiTheme="minorHAnsi" w:hAnsiTheme="minorHAnsi" w:cstheme="minorHAnsi"/>
        </w:rPr>
        <w:t>ve</w:t>
      </w:r>
      <w:r w:rsidR="11A155A5" w:rsidRPr="00F65CC5">
        <w:rPr>
          <w:rFonts w:asciiTheme="minorHAnsi" w:hAnsiTheme="minorHAnsi" w:cstheme="minorHAnsi"/>
        </w:rPr>
        <w:t xml:space="preserve"> been brought before the court arguing that </w:t>
      </w:r>
      <w:r w:rsidR="008B21E9">
        <w:rPr>
          <w:rFonts w:asciiTheme="minorHAnsi" w:hAnsiTheme="minorHAnsi" w:cstheme="minorHAnsi"/>
        </w:rPr>
        <w:t>President</w:t>
      </w:r>
      <w:r w:rsidR="11A155A5" w:rsidRPr="00F65CC5">
        <w:rPr>
          <w:rFonts w:asciiTheme="minorHAnsi" w:hAnsiTheme="minorHAnsi" w:cstheme="minorHAnsi"/>
        </w:rPr>
        <w:t xml:space="preserve"> </w:t>
      </w:r>
      <w:r w:rsidR="38A8B72F" w:rsidRPr="00F65CC5">
        <w:rPr>
          <w:rFonts w:asciiTheme="minorHAnsi" w:hAnsiTheme="minorHAnsi" w:cstheme="minorHAnsi"/>
        </w:rPr>
        <w:t xml:space="preserve">Recep Tayyip </w:t>
      </w:r>
      <w:r w:rsidR="11A155A5" w:rsidRPr="00F65CC5">
        <w:rPr>
          <w:rFonts w:asciiTheme="minorHAnsi" w:hAnsiTheme="minorHAnsi" w:cstheme="minorHAnsi"/>
        </w:rPr>
        <w:t>Erdogan’s decision to withdraw from the Convention was unconstitutional</w:t>
      </w:r>
      <w:r w:rsidR="20C6FD15" w:rsidRPr="00F65CC5">
        <w:rPr>
          <w:rFonts w:asciiTheme="minorHAnsi" w:hAnsiTheme="minorHAnsi" w:cstheme="minorHAnsi"/>
        </w:rPr>
        <w:t>, unlawful</w:t>
      </w:r>
      <w:r w:rsidR="182106C6" w:rsidRPr="00F65CC5">
        <w:rPr>
          <w:rFonts w:asciiTheme="minorHAnsi" w:hAnsiTheme="minorHAnsi" w:cstheme="minorHAnsi"/>
        </w:rPr>
        <w:t>, and</w:t>
      </w:r>
      <w:r w:rsidR="00E939B6" w:rsidRPr="00F65CC5">
        <w:rPr>
          <w:rFonts w:asciiTheme="minorHAnsi" w:hAnsiTheme="minorHAnsi" w:cstheme="minorHAnsi"/>
        </w:rPr>
        <w:t xml:space="preserve"> </w:t>
      </w:r>
      <w:r w:rsidR="11A155A5" w:rsidRPr="00F65CC5">
        <w:rPr>
          <w:rFonts w:asciiTheme="minorHAnsi" w:hAnsiTheme="minorHAnsi" w:cstheme="minorHAnsi"/>
        </w:rPr>
        <w:t xml:space="preserve">therefore </w:t>
      </w:r>
      <w:r w:rsidR="3D1AE653" w:rsidRPr="00F65CC5">
        <w:rPr>
          <w:rFonts w:asciiTheme="minorHAnsi" w:hAnsiTheme="minorHAnsi" w:cstheme="minorHAnsi"/>
        </w:rPr>
        <w:t>in</w:t>
      </w:r>
      <w:r w:rsidR="11A155A5" w:rsidRPr="00F65CC5">
        <w:rPr>
          <w:rFonts w:asciiTheme="minorHAnsi" w:hAnsiTheme="minorHAnsi" w:cstheme="minorHAnsi"/>
        </w:rPr>
        <w:t>valid.</w:t>
      </w:r>
      <w:r w:rsidR="005C08B4" w:rsidRPr="00F65CC5">
        <w:rPr>
          <w:rStyle w:val="FootnoteReference"/>
          <w:rFonts w:asciiTheme="minorHAnsi" w:hAnsiTheme="minorHAnsi" w:cstheme="minorHAnsi"/>
        </w:rPr>
        <w:footnoteReference w:id="34"/>
      </w:r>
      <w:r w:rsidR="11A155A5" w:rsidRPr="00F65CC5">
        <w:rPr>
          <w:rFonts w:asciiTheme="minorHAnsi" w:hAnsiTheme="minorHAnsi" w:cstheme="minorHAnsi"/>
        </w:rPr>
        <w:t xml:space="preserve"> </w:t>
      </w:r>
      <w:r w:rsidR="7A0F5576" w:rsidRPr="00F65CC5">
        <w:rPr>
          <w:rFonts w:asciiTheme="minorHAnsi" w:hAnsiTheme="minorHAnsi" w:cstheme="minorHAnsi"/>
        </w:rPr>
        <w:t xml:space="preserve">While these cases </w:t>
      </w:r>
      <w:r w:rsidR="430BEA52" w:rsidRPr="00F65CC5">
        <w:rPr>
          <w:rFonts w:asciiTheme="minorHAnsi" w:hAnsiTheme="minorHAnsi" w:cstheme="minorHAnsi"/>
        </w:rPr>
        <w:t>challenged</w:t>
      </w:r>
      <w:r w:rsidR="7A0F5576" w:rsidRPr="00F65CC5">
        <w:rPr>
          <w:rFonts w:asciiTheme="minorHAnsi" w:hAnsiTheme="minorHAnsi" w:cstheme="minorHAnsi"/>
        </w:rPr>
        <w:t xml:space="preserve"> the legality of Erdogan’s decision </w:t>
      </w:r>
      <w:r w:rsidR="2D2DAD02" w:rsidRPr="00F65CC5">
        <w:rPr>
          <w:rFonts w:asciiTheme="minorHAnsi" w:hAnsiTheme="minorHAnsi" w:cstheme="minorHAnsi"/>
        </w:rPr>
        <w:t xml:space="preserve">in its </w:t>
      </w:r>
      <w:r w:rsidR="7A0F5576" w:rsidRPr="00F65CC5">
        <w:rPr>
          <w:rFonts w:asciiTheme="minorHAnsi" w:hAnsiTheme="minorHAnsi" w:cstheme="minorHAnsi"/>
        </w:rPr>
        <w:t>vertical</w:t>
      </w:r>
      <w:r w:rsidR="2D2DAD02" w:rsidRPr="00F65CC5">
        <w:rPr>
          <w:rFonts w:asciiTheme="minorHAnsi" w:hAnsiTheme="minorHAnsi" w:cstheme="minorHAnsi"/>
        </w:rPr>
        <w:t xml:space="preserve"> </w:t>
      </w:r>
      <w:r w:rsidR="7A0F5576" w:rsidRPr="00F65CC5">
        <w:rPr>
          <w:rFonts w:asciiTheme="minorHAnsi" w:hAnsiTheme="minorHAnsi" w:cstheme="minorHAnsi"/>
        </w:rPr>
        <w:t>and State</w:t>
      </w:r>
      <w:r w:rsidR="2D2DAD02" w:rsidRPr="00F65CC5">
        <w:rPr>
          <w:rFonts w:asciiTheme="minorHAnsi" w:hAnsiTheme="minorHAnsi" w:cstheme="minorHAnsi"/>
        </w:rPr>
        <w:t>-</w:t>
      </w:r>
      <w:r w:rsidR="7A0F5576" w:rsidRPr="00F65CC5">
        <w:rPr>
          <w:rFonts w:asciiTheme="minorHAnsi" w:hAnsiTheme="minorHAnsi" w:cstheme="minorHAnsi"/>
        </w:rPr>
        <w:t xml:space="preserve">centric </w:t>
      </w:r>
      <w:r w:rsidR="2D2DAD02" w:rsidRPr="00F65CC5">
        <w:rPr>
          <w:rFonts w:asciiTheme="minorHAnsi" w:hAnsiTheme="minorHAnsi" w:cstheme="minorHAnsi"/>
        </w:rPr>
        <w:t>meaning</w:t>
      </w:r>
      <w:r w:rsidR="7A0F5576" w:rsidRPr="00F65CC5">
        <w:rPr>
          <w:rFonts w:asciiTheme="minorHAnsi" w:hAnsiTheme="minorHAnsi" w:cstheme="minorHAnsi"/>
        </w:rPr>
        <w:t>, they</w:t>
      </w:r>
      <w:r w:rsidR="20C6FD15" w:rsidRPr="00F65CC5">
        <w:rPr>
          <w:rFonts w:asciiTheme="minorHAnsi" w:hAnsiTheme="minorHAnsi" w:cstheme="minorHAnsi"/>
        </w:rPr>
        <w:t xml:space="preserve"> also called into question the foundations of this vertical order through its nonconformity with </w:t>
      </w:r>
      <w:r w:rsidR="7A0F5576" w:rsidRPr="00F65CC5">
        <w:rPr>
          <w:rFonts w:asciiTheme="minorHAnsi" w:hAnsiTheme="minorHAnsi" w:cstheme="minorHAnsi"/>
        </w:rPr>
        <w:t>feminist legality.</w:t>
      </w:r>
      <w:r w:rsidR="2D87BE30" w:rsidRPr="00F65CC5">
        <w:rPr>
          <w:rFonts w:asciiTheme="minorHAnsi" w:hAnsiTheme="minorHAnsi" w:cstheme="minorHAnsi"/>
        </w:rPr>
        <w:t xml:space="preserve"> The term legality is defined as </w:t>
      </w:r>
      <w:r w:rsidR="38523640" w:rsidRPr="00F65CC5">
        <w:rPr>
          <w:rFonts w:asciiTheme="minorHAnsi" w:hAnsiTheme="minorHAnsi" w:cstheme="minorHAnsi"/>
        </w:rPr>
        <w:t>what makes things legal</w:t>
      </w:r>
      <w:r w:rsidR="009A1DE8">
        <w:rPr>
          <w:rFonts w:asciiTheme="minorHAnsi" w:hAnsiTheme="minorHAnsi" w:cstheme="minorHAnsi"/>
        </w:rPr>
        <w:t>,</w:t>
      </w:r>
      <w:r w:rsidR="38523640" w:rsidRPr="00F65CC5">
        <w:rPr>
          <w:rFonts w:asciiTheme="minorHAnsi" w:hAnsiTheme="minorHAnsi" w:cstheme="minorHAnsi"/>
        </w:rPr>
        <w:t xml:space="preserve"> or </w:t>
      </w:r>
      <w:r w:rsidR="009A1DE8">
        <w:rPr>
          <w:rFonts w:asciiTheme="minorHAnsi" w:hAnsiTheme="minorHAnsi" w:cstheme="minorHAnsi"/>
        </w:rPr>
        <w:t xml:space="preserve">the </w:t>
      </w:r>
      <w:r w:rsidR="20C6FD15" w:rsidRPr="00F65CC5">
        <w:rPr>
          <w:rFonts w:asciiTheme="minorHAnsi" w:hAnsiTheme="minorHAnsi" w:cstheme="minorHAnsi"/>
        </w:rPr>
        <w:t xml:space="preserve">state of </w:t>
      </w:r>
      <w:r w:rsidR="38523640" w:rsidRPr="00F65CC5">
        <w:rPr>
          <w:rFonts w:asciiTheme="minorHAnsi" w:hAnsiTheme="minorHAnsi" w:cstheme="minorHAnsi"/>
        </w:rPr>
        <w:t>being in accordance with law</w:t>
      </w:r>
      <w:r w:rsidR="2D87BE30" w:rsidRPr="00F65CC5">
        <w:rPr>
          <w:rFonts w:asciiTheme="minorHAnsi" w:hAnsiTheme="minorHAnsi" w:cstheme="minorHAnsi"/>
        </w:rPr>
        <w:t>.</w:t>
      </w:r>
      <w:r w:rsidR="00DF6023" w:rsidRPr="00F65CC5">
        <w:rPr>
          <w:rStyle w:val="FootnoteReference"/>
          <w:rFonts w:asciiTheme="minorHAnsi" w:hAnsiTheme="minorHAnsi" w:cstheme="minorHAnsi"/>
        </w:rPr>
        <w:footnoteReference w:id="35"/>
      </w:r>
      <w:r w:rsidR="45B19F59" w:rsidRPr="00F65CC5">
        <w:rPr>
          <w:rFonts w:asciiTheme="minorHAnsi" w:hAnsiTheme="minorHAnsi" w:cstheme="minorHAnsi"/>
        </w:rPr>
        <w:t xml:space="preserve"> </w:t>
      </w:r>
      <w:r w:rsidR="2D87BE30" w:rsidRPr="00F65CC5">
        <w:rPr>
          <w:rFonts w:asciiTheme="minorHAnsi" w:hAnsiTheme="minorHAnsi" w:cstheme="minorHAnsi"/>
        </w:rPr>
        <w:t>We use feminist legality as being in conformity with feminist</w:t>
      </w:r>
      <w:r w:rsidR="45B19F59" w:rsidRPr="00F65CC5">
        <w:rPr>
          <w:rFonts w:asciiTheme="minorHAnsi" w:hAnsiTheme="minorHAnsi" w:cstheme="minorHAnsi"/>
        </w:rPr>
        <w:t xml:space="preserve"> approaches</w:t>
      </w:r>
      <w:r w:rsidR="003459F2" w:rsidRPr="00F65CC5">
        <w:rPr>
          <w:rFonts w:asciiTheme="minorHAnsi" w:hAnsiTheme="minorHAnsi" w:cstheme="minorHAnsi"/>
        </w:rPr>
        <w:t xml:space="preserve"> to law</w:t>
      </w:r>
      <w:r w:rsidR="00455AF9">
        <w:rPr>
          <w:rFonts w:asciiTheme="minorHAnsi" w:hAnsiTheme="minorHAnsi" w:cstheme="minorHAnsi"/>
        </w:rPr>
        <w:t>;</w:t>
      </w:r>
      <w:r w:rsidR="006A557E" w:rsidRPr="00F65CC5">
        <w:rPr>
          <w:rFonts w:asciiTheme="minorHAnsi" w:hAnsiTheme="minorHAnsi" w:cstheme="minorHAnsi"/>
        </w:rPr>
        <w:t xml:space="preserve"> </w:t>
      </w:r>
      <w:r w:rsidR="00455AF9">
        <w:rPr>
          <w:rFonts w:asciiTheme="minorHAnsi" w:hAnsiTheme="minorHAnsi" w:cstheme="minorHAnsi"/>
        </w:rPr>
        <w:t>i</w:t>
      </w:r>
      <w:r w:rsidR="006A557E" w:rsidRPr="00F65CC5">
        <w:rPr>
          <w:rFonts w:asciiTheme="minorHAnsi" w:hAnsiTheme="minorHAnsi" w:cstheme="minorHAnsi"/>
        </w:rPr>
        <w:t>n other words, a form of</w:t>
      </w:r>
      <w:r w:rsidR="7DCBEC09" w:rsidRPr="00F65CC5">
        <w:rPr>
          <w:rFonts w:asciiTheme="minorHAnsi" w:hAnsiTheme="minorHAnsi" w:cstheme="minorHAnsi"/>
        </w:rPr>
        <w:t xml:space="preserve"> </w:t>
      </w:r>
      <w:r w:rsidR="006A557E" w:rsidRPr="00F65CC5">
        <w:rPr>
          <w:rFonts w:asciiTheme="minorHAnsi" w:hAnsiTheme="minorHAnsi" w:cstheme="minorHAnsi"/>
        </w:rPr>
        <w:t xml:space="preserve">legality that is in accordance with </w:t>
      </w:r>
      <w:r w:rsidR="00806588" w:rsidRPr="00F65CC5">
        <w:rPr>
          <w:rFonts w:asciiTheme="minorHAnsi" w:hAnsiTheme="minorHAnsi" w:cstheme="minorHAnsi"/>
        </w:rPr>
        <w:t>legal vision</w:t>
      </w:r>
      <w:r w:rsidR="00BA53B0" w:rsidRPr="00F65CC5">
        <w:rPr>
          <w:rFonts w:asciiTheme="minorHAnsi" w:hAnsiTheme="minorHAnsi" w:cstheme="minorHAnsi"/>
        </w:rPr>
        <w:t>s that</w:t>
      </w:r>
      <w:r w:rsidR="00806588" w:rsidRPr="00F65CC5">
        <w:rPr>
          <w:rFonts w:asciiTheme="minorHAnsi" w:hAnsiTheme="minorHAnsi" w:cstheme="minorHAnsi"/>
        </w:rPr>
        <w:t xml:space="preserve"> feminist</w:t>
      </w:r>
      <w:r w:rsidR="00F36333" w:rsidRPr="00F65CC5">
        <w:rPr>
          <w:rFonts w:asciiTheme="minorHAnsi" w:hAnsiTheme="minorHAnsi" w:cstheme="minorHAnsi"/>
        </w:rPr>
        <w:t>s from different strands of feminism</w:t>
      </w:r>
      <w:r w:rsidR="00806588" w:rsidRPr="00F65CC5">
        <w:rPr>
          <w:rFonts w:asciiTheme="minorHAnsi" w:hAnsiTheme="minorHAnsi" w:cstheme="minorHAnsi"/>
        </w:rPr>
        <w:t xml:space="preserve"> p</w:t>
      </w:r>
      <w:r w:rsidR="005A7555" w:rsidRPr="00F65CC5">
        <w:rPr>
          <w:rFonts w:asciiTheme="minorHAnsi" w:hAnsiTheme="minorHAnsi" w:cstheme="minorHAnsi"/>
        </w:rPr>
        <w:t>ropose on</w:t>
      </w:r>
      <w:r w:rsidR="00806588" w:rsidRPr="00F65CC5">
        <w:rPr>
          <w:rFonts w:asciiTheme="minorHAnsi" w:hAnsiTheme="minorHAnsi" w:cstheme="minorHAnsi"/>
        </w:rPr>
        <w:t xml:space="preserve"> how the law should be to meet feminist idea</w:t>
      </w:r>
      <w:r w:rsidR="005A7555" w:rsidRPr="00F65CC5">
        <w:rPr>
          <w:rFonts w:asciiTheme="minorHAnsi" w:hAnsiTheme="minorHAnsi" w:cstheme="minorHAnsi"/>
        </w:rPr>
        <w:t>s</w:t>
      </w:r>
      <w:r w:rsidR="006A557E" w:rsidRPr="00F65CC5">
        <w:rPr>
          <w:rFonts w:asciiTheme="minorHAnsi" w:hAnsiTheme="minorHAnsi" w:cstheme="minorHAnsi"/>
        </w:rPr>
        <w:t>.</w:t>
      </w:r>
      <w:r w:rsidR="00BA53B0" w:rsidRPr="00F65CC5">
        <w:rPr>
          <w:rFonts w:asciiTheme="minorHAnsi" w:hAnsiTheme="minorHAnsi" w:cstheme="minorHAnsi"/>
        </w:rPr>
        <w:t xml:space="preserve"> </w:t>
      </w:r>
      <w:r w:rsidR="00F36333" w:rsidRPr="00F65CC5">
        <w:rPr>
          <w:rFonts w:asciiTheme="minorHAnsi" w:hAnsiTheme="minorHAnsi" w:cstheme="minorHAnsi"/>
        </w:rPr>
        <w:t>In this regard</w:t>
      </w:r>
      <w:r w:rsidR="000B6D8D">
        <w:rPr>
          <w:rFonts w:asciiTheme="minorHAnsi" w:hAnsiTheme="minorHAnsi" w:cstheme="minorHAnsi"/>
        </w:rPr>
        <w:t>,</w:t>
      </w:r>
      <w:r w:rsidR="00F36333" w:rsidRPr="00F65CC5">
        <w:rPr>
          <w:rFonts w:asciiTheme="minorHAnsi" w:hAnsiTheme="minorHAnsi" w:cstheme="minorHAnsi"/>
        </w:rPr>
        <w:t xml:space="preserve"> f</w:t>
      </w:r>
      <w:r w:rsidR="00BA53B0" w:rsidRPr="00F65CC5">
        <w:rPr>
          <w:rFonts w:asciiTheme="minorHAnsi" w:hAnsiTheme="minorHAnsi" w:cstheme="minorHAnsi"/>
        </w:rPr>
        <w:t xml:space="preserve">eminist </w:t>
      </w:r>
      <w:r w:rsidR="003459F2" w:rsidRPr="00F65CC5">
        <w:rPr>
          <w:rFonts w:asciiTheme="minorHAnsi" w:hAnsiTheme="minorHAnsi" w:cstheme="minorHAnsi"/>
        </w:rPr>
        <w:t>approaches to law</w:t>
      </w:r>
      <w:r w:rsidR="00F36333" w:rsidRPr="00F65CC5">
        <w:rPr>
          <w:rFonts w:asciiTheme="minorHAnsi" w:hAnsiTheme="minorHAnsi" w:cstheme="minorHAnsi"/>
        </w:rPr>
        <w:t xml:space="preserve"> represent various feminist engagements with law.</w:t>
      </w:r>
      <w:r w:rsidR="00DD1431" w:rsidRPr="00F65CC5">
        <w:rPr>
          <w:rStyle w:val="FootnoteReference"/>
          <w:rFonts w:asciiTheme="minorHAnsi" w:hAnsiTheme="minorHAnsi" w:cstheme="minorHAnsi"/>
        </w:rPr>
        <w:footnoteReference w:id="36"/>
      </w:r>
      <w:r w:rsidR="00BA53B0" w:rsidRPr="00F65CC5">
        <w:rPr>
          <w:rFonts w:asciiTheme="minorHAnsi" w:hAnsiTheme="minorHAnsi" w:cstheme="minorHAnsi"/>
        </w:rPr>
        <w:t xml:space="preserve"> </w:t>
      </w:r>
      <w:r w:rsidR="00F36333" w:rsidRPr="00F65CC5">
        <w:rPr>
          <w:rFonts w:asciiTheme="minorHAnsi" w:hAnsiTheme="minorHAnsi" w:cstheme="minorHAnsi"/>
        </w:rPr>
        <w:t>Th</w:t>
      </w:r>
      <w:r w:rsidR="00D30BF4" w:rsidRPr="00F65CC5">
        <w:rPr>
          <w:rFonts w:asciiTheme="minorHAnsi" w:hAnsiTheme="minorHAnsi" w:cstheme="minorHAnsi"/>
        </w:rPr>
        <w:t>erefore</w:t>
      </w:r>
      <w:r w:rsidR="005A7555" w:rsidRPr="00F65CC5">
        <w:rPr>
          <w:rFonts w:asciiTheme="minorHAnsi" w:hAnsiTheme="minorHAnsi" w:cstheme="minorHAnsi"/>
        </w:rPr>
        <w:t>,</w:t>
      </w:r>
      <w:r w:rsidR="00D30BF4" w:rsidRPr="00F65CC5">
        <w:rPr>
          <w:rFonts w:asciiTheme="minorHAnsi" w:hAnsiTheme="minorHAnsi" w:cstheme="minorHAnsi"/>
        </w:rPr>
        <w:t xml:space="preserve"> </w:t>
      </w:r>
      <w:r w:rsidR="00F36333" w:rsidRPr="00F65CC5">
        <w:rPr>
          <w:rFonts w:asciiTheme="minorHAnsi" w:hAnsiTheme="minorHAnsi" w:cstheme="minorHAnsi"/>
        </w:rPr>
        <w:t xml:space="preserve">feminist legality </w:t>
      </w:r>
      <w:r w:rsidR="00D30BF4" w:rsidRPr="00F65CC5">
        <w:rPr>
          <w:rFonts w:asciiTheme="minorHAnsi" w:hAnsiTheme="minorHAnsi" w:cstheme="minorHAnsi"/>
        </w:rPr>
        <w:t xml:space="preserve">is </w:t>
      </w:r>
      <w:r w:rsidR="00F36333" w:rsidRPr="00F65CC5">
        <w:rPr>
          <w:rFonts w:asciiTheme="minorHAnsi" w:hAnsiTheme="minorHAnsi" w:cstheme="minorHAnsi"/>
        </w:rPr>
        <w:t xml:space="preserve">where </w:t>
      </w:r>
      <w:r w:rsidR="00D30BF4" w:rsidRPr="00F65CC5">
        <w:rPr>
          <w:rFonts w:asciiTheme="minorHAnsi" w:hAnsiTheme="minorHAnsi" w:cstheme="minorHAnsi"/>
        </w:rPr>
        <w:t xml:space="preserve">legality is dictated according to </w:t>
      </w:r>
      <w:r w:rsidR="00F36333" w:rsidRPr="00F65CC5">
        <w:rPr>
          <w:rFonts w:asciiTheme="minorHAnsi" w:hAnsiTheme="minorHAnsi" w:cstheme="minorHAnsi"/>
        </w:rPr>
        <w:t>feminist understandings of law</w:t>
      </w:r>
      <w:r w:rsidR="00D30BF4" w:rsidRPr="00F65CC5">
        <w:rPr>
          <w:rFonts w:asciiTheme="minorHAnsi" w:hAnsiTheme="minorHAnsi" w:cstheme="minorHAnsi"/>
        </w:rPr>
        <w:t>.</w:t>
      </w:r>
      <w:r w:rsidR="00F36333" w:rsidRPr="00F65CC5">
        <w:rPr>
          <w:rFonts w:asciiTheme="minorHAnsi" w:hAnsiTheme="minorHAnsi" w:cstheme="minorHAnsi"/>
        </w:rPr>
        <w:t xml:space="preserve"> </w:t>
      </w:r>
      <w:r w:rsidR="7DCBEC09" w:rsidRPr="00F65CC5">
        <w:rPr>
          <w:rFonts w:asciiTheme="minorHAnsi" w:hAnsiTheme="minorHAnsi" w:cstheme="minorHAnsi"/>
        </w:rPr>
        <w:t>Deeming law</w:t>
      </w:r>
      <w:r w:rsidR="2DC9B05A" w:rsidRPr="00F65CC5">
        <w:rPr>
          <w:rFonts w:asciiTheme="minorHAnsi" w:hAnsiTheme="minorHAnsi" w:cstheme="minorHAnsi"/>
        </w:rPr>
        <w:t xml:space="preserve"> to </w:t>
      </w:r>
      <w:r w:rsidR="7DCBEC09" w:rsidRPr="00F65CC5">
        <w:rPr>
          <w:rFonts w:asciiTheme="minorHAnsi" w:hAnsiTheme="minorHAnsi" w:cstheme="minorHAnsi"/>
        </w:rPr>
        <w:t>embody multiple spaces beyond its positive and vertical scale</w:t>
      </w:r>
      <w:r w:rsidR="20C6FD15" w:rsidRPr="00F65CC5">
        <w:rPr>
          <w:rFonts w:asciiTheme="minorHAnsi" w:hAnsiTheme="minorHAnsi" w:cstheme="minorHAnsi"/>
        </w:rPr>
        <w:t>, feminist legality is the legal order that exist</w:t>
      </w:r>
      <w:r w:rsidR="6C9A3F34" w:rsidRPr="00F65CC5">
        <w:rPr>
          <w:rFonts w:asciiTheme="minorHAnsi" w:hAnsiTheme="minorHAnsi" w:cstheme="minorHAnsi"/>
        </w:rPr>
        <w:t>s</w:t>
      </w:r>
      <w:r w:rsidR="20C6FD15" w:rsidRPr="00F65CC5">
        <w:rPr>
          <w:rFonts w:asciiTheme="minorHAnsi" w:hAnsiTheme="minorHAnsi" w:cstheme="minorHAnsi"/>
        </w:rPr>
        <w:t xml:space="preserve"> in feminist legal spaces.</w:t>
      </w:r>
      <w:r w:rsidR="0E8B0E17" w:rsidRPr="00F65CC5">
        <w:rPr>
          <w:rFonts w:asciiTheme="minorHAnsi" w:hAnsiTheme="minorHAnsi" w:cstheme="minorHAnsi"/>
        </w:rPr>
        <w:t xml:space="preserve"> </w:t>
      </w:r>
    </w:p>
    <w:p w14:paraId="7D9A5858" w14:textId="5C86746C" w:rsidR="006214AF" w:rsidRPr="00F65CC5" w:rsidRDefault="006214AF" w:rsidP="007933F6">
      <w:pPr>
        <w:jc w:val="both"/>
        <w:rPr>
          <w:rFonts w:asciiTheme="minorHAnsi" w:hAnsiTheme="minorHAnsi" w:cstheme="minorHAnsi"/>
        </w:rPr>
      </w:pPr>
    </w:p>
    <w:p w14:paraId="35F46FE1" w14:textId="00E17F1B" w:rsidR="00C14389" w:rsidRPr="00F65CC5" w:rsidRDefault="2D87BE30" w:rsidP="007933F6">
      <w:pPr>
        <w:jc w:val="both"/>
        <w:rPr>
          <w:rFonts w:asciiTheme="minorHAnsi" w:hAnsiTheme="minorHAnsi" w:cstheme="minorHAnsi"/>
        </w:rPr>
      </w:pPr>
      <w:r w:rsidRPr="00F65CC5">
        <w:rPr>
          <w:rFonts w:asciiTheme="minorHAnsi" w:hAnsiTheme="minorHAnsi" w:cstheme="minorHAnsi"/>
        </w:rPr>
        <w:t>Margaret Davies’ discussion on flat law and feminism provides us with a tool to recognise a flattened space of law. She argues that constraining engagements with law to positivist and vertical boundaries assume</w:t>
      </w:r>
      <w:r w:rsidR="00EB3047">
        <w:rPr>
          <w:rFonts w:asciiTheme="minorHAnsi" w:hAnsiTheme="minorHAnsi" w:cstheme="minorHAnsi"/>
        </w:rPr>
        <w:t>s</w:t>
      </w:r>
      <w:r w:rsidRPr="00F65CC5">
        <w:rPr>
          <w:rFonts w:asciiTheme="minorHAnsi" w:hAnsiTheme="minorHAnsi" w:cstheme="minorHAnsi"/>
        </w:rPr>
        <w:t xml:space="preserve"> </w:t>
      </w:r>
      <w:r w:rsidR="00911FB1">
        <w:rPr>
          <w:rFonts w:asciiTheme="minorHAnsi" w:hAnsiTheme="minorHAnsi" w:cstheme="minorHAnsi"/>
        </w:rPr>
        <w:t xml:space="preserve">a </w:t>
      </w:r>
      <w:r w:rsidRPr="00F65CC5">
        <w:rPr>
          <w:rFonts w:asciiTheme="minorHAnsi" w:hAnsiTheme="minorHAnsi" w:cstheme="minorHAnsi"/>
        </w:rPr>
        <w:t>colonial, hierarchical and thus patriarchal legal reality. Davies critiques the vertically limited definition of law</w:t>
      </w:r>
      <w:r w:rsidR="00911FB1">
        <w:rPr>
          <w:rFonts w:asciiTheme="minorHAnsi" w:hAnsiTheme="minorHAnsi" w:cstheme="minorHAnsi"/>
        </w:rPr>
        <w:t>,</w:t>
      </w:r>
      <w:r w:rsidRPr="00F65CC5">
        <w:rPr>
          <w:rFonts w:asciiTheme="minorHAnsi" w:hAnsiTheme="minorHAnsi" w:cstheme="minorHAnsi"/>
        </w:rPr>
        <w:t xml:space="preserve"> observing that ‘the entry point for feminist legal analysis is constituted by a denial of other possible legal spaces</w:t>
      </w:r>
      <w:r w:rsidR="00EB3047">
        <w:rPr>
          <w:rFonts w:asciiTheme="minorHAnsi" w:hAnsiTheme="minorHAnsi" w:cstheme="minorHAnsi"/>
        </w:rPr>
        <w:t>’</w:t>
      </w:r>
      <w:r w:rsidRPr="00F65CC5">
        <w:rPr>
          <w:rFonts w:asciiTheme="minorHAnsi" w:hAnsiTheme="minorHAnsi" w:cstheme="minorHAnsi"/>
        </w:rPr>
        <w:t>.</w:t>
      </w:r>
      <w:r w:rsidR="00485C29" w:rsidRPr="00F65CC5">
        <w:rPr>
          <w:rStyle w:val="FootnoteReference"/>
          <w:rFonts w:asciiTheme="minorHAnsi" w:hAnsiTheme="minorHAnsi" w:cstheme="minorHAnsi"/>
        </w:rPr>
        <w:footnoteReference w:id="37"/>
      </w:r>
      <w:r w:rsidR="41BA47FF" w:rsidRPr="00F65CC5">
        <w:rPr>
          <w:rFonts w:asciiTheme="minorHAnsi" w:hAnsiTheme="minorHAnsi" w:cstheme="minorHAnsi"/>
        </w:rPr>
        <w:t xml:space="preserve"> These cases brought against Erdogan’s withdrawal were </w:t>
      </w:r>
      <w:r w:rsidR="73CC06B1" w:rsidRPr="00F65CC5">
        <w:rPr>
          <w:rFonts w:asciiTheme="minorHAnsi" w:hAnsiTheme="minorHAnsi" w:cstheme="minorHAnsi"/>
        </w:rPr>
        <w:t>one of the outcomes of the</w:t>
      </w:r>
      <w:r w:rsidR="41BA47FF" w:rsidRPr="00F65CC5">
        <w:rPr>
          <w:rFonts w:asciiTheme="minorHAnsi" w:hAnsiTheme="minorHAnsi" w:cstheme="minorHAnsi"/>
        </w:rPr>
        <w:t xml:space="preserve"> feminist campaign</w:t>
      </w:r>
      <w:r w:rsidR="73CC06B1" w:rsidRPr="00F65CC5">
        <w:rPr>
          <w:rFonts w:asciiTheme="minorHAnsi" w:hAnsiTheme="minorHAnsi" w:cstheme="minorHAnsi"/>
        </w:rPr>
        <w:t xml:space="preserve"> </w:t>
      </w:r>
      <w:r w:rsidR="3D1AE653" w:rsidRPr="00F65CC5">
        <w:rPr>
          <w:rFonts w:asciiTheme="minorHAnsi" w:hAnsiTheme="minorHAnsi" w:cstheme="minorHAnsi"/>
        </w:rPr>
        <w:t>against the den</w:t>
      </w:r>
      <w:r w:rsidR="00EB3047">
        <w:rPr>
          <w:rFonts w:asciiTheme="minorHAnsi" w:hAnsiTheme="minorHAnsi" w:cstheme="minorHAnsi"/>
        </w:rPr>
        <w:t>unciation</w:t>
      </w:r>
      <w:r w:rsidR="3D1AE653" w:rsidRPr="00F65CC5">
        <w:rPr>
          <w:rFonts w:asciiTheme="minorHAnsi" w:hAnsiTheme="minorHAnsi" w:cstheme="minorHAnsi"/>
        </w:rPr>
        <w:t xml:space="preserve"> of the Convention</w:t>
      </w:r>
      <w:r w:rsidR="73CC06B1" w:rsidRPr="00F65CC5">
        <w:rPr>
          <w:rFonts w:asciiTheme="minorHAnsi" w:hAnsiTheme="minorHAnsi" w:cstheme="minorHAnsi"/>
        </w:rPr>
        <w:t>.</w:t>
      </w:r>
      <w:r w:rsidR="09DF0306" w:rsidRPr="00F65CC5">
        <w:rPr>
          <w:rFonts w:asciiTheme="minorHAnsi" w:hAnsiTheme="minorHAnsi" w:cstheme="minorHAnsi"/>
        </w:rPr>
        <w:t xml:space="preserve"> The </w:t>
      </w:r>
      <w:r w:rsidR="00FD0407" w:rsidRPr="00F65CC5">
        <w:rPr>
          <w:rFonts w:asciiTheme="minorHAnsi" w:hAnsiTheme="minorHAnsi" w:cstheme="minorHAnsi"/>
        </w:rPr>
        <w:t>campaign</w:t>
      </w:r>
      <w:r w:rsidR="3D1AE653" w:rsidRPr="00F65CC5">
        <w:rPr>
          <w:rFonts w:asciiTheme="minorHAnsi" w:hAnsiTheme="minorHAnsi" w:cstheme="minorHAnsi"/>
        </w:rPr>
        <w:t xml:space="preserve"> centred around the sentiment that even if the State leaves the Convention, we</w:t>
      </w:r>
      <w:r w:rsidR="624A16BC" w:rsidRPr="00F65CC5">
        <w:rPr>
          <w:rFonts w:asciiTheme="minorHAnsi" w:hAnsiTheme="minorHAnsi" w:cstheme="minorHAnsi"/>
        </w:rPr>
        <w:t xml:space="preserve"> </w:t>
      </w:r>
      <w:r w:rsidR="3D1AE653" w:rsidRPr="00F65CC5">
        <w:rPr>
          <w:rFonts w:asciiTheme="minorHAnsi" w:hAnsiTheme="minorHAnsi" w:cstheme="minorHAnsi"/>
        </w:rPr>
        <w:t>(feminists) will not leave it. This was demonstrated with the slogans</w:t>
      </w:r>
      <w:r w:rsidR="6C9B958C" w:rsidRPr="00F65CC5">
        <w:rPr>
          <w:rFonts w:asciiTheme="minorHAnsi" w:hAnsiTheme="minorHAnsi" w:cstheme="minorHAnsi"/>
        </w:rPr>
        <w:t>:</w:t>
      </w:r>
      <w:r w:rsidR="76717AFD" w:rsidRPr="00F65CC5">
        <w:rPr>
          <w:rFonts w:asciiTheme="minorHAnsi" w:hAnsiTheme="minorHAnsi" w:cstheme="minorHAnsi"/>
        </w:rPr>
        <w:t xml:space="preserve"> </w:t>
      </w:r>
      <w:r w:rsidR="6C9B958C" w:rsidRPr="00F65CC5">
        <w:rPr>
          <w:rFonts w:asciiTheme="minorHAnsi" w:hAnsiTheme="minorHAnsi" w:cstheme="minorHAnsi"/>
        </w:rPr>
        <w:t>‘</w:t>
      </w:r>
      <w:r w:rsidR="6DC0368F" w:rsidRPr="00F65CC5">
        <w:rPr>
          <w:rFonts w:asciiTheme="minorHAnsi" w:hAnsiTheme="minorHAnsi" w:cstheme="minorHAnsi"/>
        </w:rPr>
        <w:t>T</w:t>
      </w:r>
      <w:r w:rsidR="6C9B958C" w:rsidRPr="00F65CC5">
        <w:rPr>
          <w:rFonts w:asciiTheme="minorHAnsi" w:hAnsiTheme="minorHAnsi" w:cstheme="minorHAnsi"/>
        </w:rPr>
        <w:t>he Istanbul Convention</w:t>
      </w:r>
      <w:r w:rsidR="6DC0368F" w:rsidRPr="00F65CC5">
        <w:rPr>
          <w:rFonts w:asciiTheme="minorHAnsi" w:hAnsiTheme="minorHAnsi" w:cstheme="minorHAnsi"/>
        </w:rPr>
        <w:t xml:space="preserve"> is still in force</w:t>
      </w:r>
      <w:r w:rsidR="6C9B958C" w:rsidRPr="00F65CC5">
        <w:rPr>
          <w:rFonts w:asciiTheme="minorHAnsi" w:hAnsiTheme="minorHAnsi" w:cstheme="minorHAnsi"/>
        </w:rPr>
        <w:t>’</w:t>
      </w:r>
      <w:r w:rsidR="00016F88">
        <w:rPr>
          <w:rFonts w:asciiTheme="minorHAnsi" w:hAnsiTheme="minorHAnsi" w:cstheme="minorHAnsi"/>
        </w:rPr>
        <w:t>,</w:t>
      </w:r>
      <w:r w:rsidR="00B65BF3" w:rsidRPr="00F65CC5">
        <w:rPr>
          <w:rStyle w:val="FootnoteReference"/>
          <w:rFonts w:asciiTheme="minorHAnsi" w:hAnsiTheme="minorHAnsi" w:cstheme="minorHAnsi"/>
        </w:rPr>
        <w:footnoteReference w:id="38"/>
      </w:r>
      <w:r w:rsidR="6C9B958C" w:rsidRPr="00F65CC5">
        <w:rPr>
          <w:rFonts w:asciiTheme="minorHAnsi" w:hAnsiTheme="minorHAnsi" w:cstheme="minorHAnsi"/>
        </w:rPr>
        <w:t xml:space="preserve"> ‘We </w:t>
      </w:r>
      <w:r w:rsidR="6DC0368F" w:rsidRPr="00F65CC5">
        <w:rPr>
          <w:rFonts w:asciiTheme="minorHAnsi" w:hAnsiTheme="minorHAnsi" w:cstheme="minorHAnsi"/>
        </w:rPr>
        <w:t>do not</w:t>
      </w:r>
      <w:r w:rsidR="6C9B958C" w:rsidRPr="00F65CC5">
        <w:rPr>
          <w:rFonts w:asciiTheme="minorHAnsi" w:hAnsiTheme="minorHAnsi" w:cstheme="minorHAnsi"/>
        </w:rPr>
        <w:t xml:space="preserve"> Give Up </w:t>
      </w:r>
      <w:r w:rsidR="5686949B" w:rsidRPr="00F65CC5">
        <w:rPr>
          <w:rFonts w:asciiTheme="minorHAnsi" w:hAnsiTheme="minorHAnsi" w:cstheme="minorHAnsi"/>
        </w:rPr>
        <w:t xml:space="preserve">on </w:t>
      </w:r>
      <w:r w:rsidR="6C9B958C" w:rsidRPr="00F65CC5">
        <w:rPr>
          <w:rFonts w:asciiTheme="minorHAnsi" w:hAnsiTheme="minorHAnsi" w:cstheme="minorHAnsi"/>
        </w:rPr>
        <w:t>the Istanbul Convention’</w:t>
      </w:r>
      <w:r w:rsidR="00016F88">
        <w:rPr>
          <w:rFonts w:asciiTheme="minorHAnsi" w:hAnsiTheme="minorHAnsi" w:cstheme="minorHAnsi"/>
        </w:rPr>
        <w:t>,</w:t>
      </w:r>
      <w:r w:rsidR="00B65BF3" w:rsidRPr="00F65CC5">
        <w:rPr>
          <w:rStyle w:val="FootnoteReference"/>
          <w:rFonts w:asciiTheme="minorHAnsi" w:hAnsiTheme="minorHAnsi" w:cstheme="minorHAnsi"/>
        </w:rPr>
        <w:footnoteReference w:id="39"/>
      </w:r>
      <w:r w:rsidR="00016F88">
        <w:rPr>
          <w:rFonts w:asciiTheme="minorHAnsi" w:hAnsiTheme="minorHAnsi" w:cstheme="minorHAnsi"/>
        </w:rPr>
        <w:t xml:space="preserve"> </w:t>
      </w:r>
      <w:r w:rsidR="4FE113BB" w:rsidRPr="00F65CC5">
        <w:rPr>
          <w:rFonts w:asciiTheme="minorHAnsi" w:hAnsiTheme="minorHAnsi" w:cstheme="minorHAnsi"/>
        </w:rPr>
        <w:t>‘We Give Up NOT A WORD of the Istanbul Convention’.</w:t>
      </w:r>
      <w:r w:rsidR="009F4691" w:rsidRPr="00F65CC5">
        <w:rPr>
          <w:rStyle w:val="FootnoteReference"/>
          <w:rFonts w:asciiTheme="minorHAnsi" w:hAnsiTheme="minorHAnsi" w:cstheme="minorHAnsi"/>
        </w:rPr>
        <w:footnoteReference w:id="40"/>
      </w:r>
      <w:r w:rsidR="4FE113BB" w:rsidRPr="00F65CC5">
        <w:rPr>
          <w:rFonts w:asciiTheme="minorHAnsi" w:hAnsiTheme="minorHAnsi" w:cstheme="minorHAnsi"/>
        </w:rPr>
        <w:t xml:space="preserve">  Feminists’ refusal to accept th</w:t>
      </w:r>
      <w:r w:rsidR="18A4FD48" w:rsidRPr="00F65CC5">
        <w:rPr>
          <w:rFonts w:asciiTheme="minorHAnsi" w:hAnsiTheme="minorHAnsi" w:cstheme="minorHAnsi"/>
        </w:rPr>
        <w:t>e</w:t>
      </w:r>
      <w:r w:rsidR="4FE113BB" w:rsidRPr="00F65CC5">
        <w:rPr>
          <w:rFonts w:asciiTheme="minorHAnsi" w:hAnsiTheme="minorHAnsi" w:cstheme="minorHAnsi"/>
        </w:rPr>
        <w:t xml:space="preserve"> withdrawal</w:t>
      </w:r>
      <w:r w:rsidR="31994593" w:rsidRPr="00F65CC5">
        <w:rPr>
          <w:rFonts w:asciiTheme="minorHAnsi" w:hAnsiTheme="minorHAnsi" w:cstheme="minorHAnsi"/>
        </w:rPr>
        <w:t xml:space="preserve"> </w:t>
      </w:r>
      <w:r w:rsidR="4FE113BB" w:rsidRPr="00F65CC5">
        <w:rPr>
          <w:rFonts w:asciiTheme="minorHAnsi" w:hAnsiTheme="minorHAnsi" w:cstheme="minorHAnsi"/>
        </w:rPr>
        <w:t>decisio</w:t>
      </w:r>
      <w:r w:rsidR="07BDC45F" w:rsidRPr="00F65CC5">
        <w:rPr>
          <w:rFonts w:asciiTheme="minorHAnsi" w:hAnsiTheme="minorHAnsi" w:cstheme="minorHAnsi"/>
        </w:rPr>
        <w:t>n</w:t>
      </w:r>
      <w:r w:rsidR="4FE113BB" w:rsidRPr="00F65CC5">
        <w:rPr>
          <w:rFonts w:asciiTheme="minorHAnsi" w:hAnsiTheme="minorHAnsi" w:cstheme="minorHAnsi"/>
        </w:rPr>
        <w:t xml:space="preserve"> </w:t>
      </w:r>
      <w:r w:rsidR="31994593" w:rsidRPr="00F65CC5">
        <w:rPr>
          <w:rFonts w:asciiTheme="minorHAnsi" w:hAnsiTheme="minorHAnsi" w:cstheme="minorHAnsi"/>
        </w:rPr>
        <w:t xml:space="preserve">expresses a vital critique </w:t>
      </w:r>
      <w:r w:rsidR="006B0A0D">
        <w:rPr>
          <w:rFonts w:asciiTheme="minorHAnsi" w:hAnsiTheme="minorHAnsi" w:cstheme="minorHAnsi"/>
        </w:rPr>
        <w:t>of</w:t>
      </w:r>
      <w:r w:rsidR="31994593" w:rsidRPr="00F65CC5">
        <w:rPr>
          <w:rFonts w:asciiTheme="minorHAnsi" w:hAnsiTheme="minorHAnsi" w:cstheme="minorHAnsi"/>
        </w:rPr>
        <w:t xml:space="preserve"> </w:t>
      </w:r>
      <w:r w:rsidR="006B0A0D">
        <w:rPr>
          <w:rFonts w:asciiTheme="minorHAnsi" w:hAnsiTheme="minorHAnsi" w:cstheme="minorHAnsi"/>
        </w:rPr>
        <w:t xml:space="preserve">the </w:t>
      </w:r>
      <w:r w:rsidR="31994593" w:rsidRPr="00F65CC5">
        <w:rPr>
          <w:rFonts w:asciiTheme="minorHAnsi" w:hAnsiTheme="minorHAnsi" w:cstheme="minorHAnsi"/>
        </w:rPr>
        <w:t>vertical</w:t>
      </w:r>
      <w:r w:rsidR="71B971FD" w:rsidRPr="00F65CC5">
        <w:rPr>
          <w:rFonts w:asciiTheme="minorHAnsi" w:hAnsiTheme="minorHAnsi" w:cstheme="minorHAnsi"/>
        </w:rPr>
        <w:t xml:space="preserve">, </w:t>
      </w:r>
      <w:r w:rsidR="31994593" w:rsidRPr="00F65CC5">
        <w:rPr>
          <w:rFonts w:asciiTheme="minorHAnsi" w:hAnsiTheme="minorHAnsi" w:cstheme="minorHAnsi"/>
        </w:rPr>
        <w:t xml:space="preserve">state-centric order of </w:t>
      </w:r>
      <w:r w:rsidR="4FE113BB" w:rsidRPr="00F65CC5">
        <w:rPr>
          <w:rFonts w:asciiTheme="minorHAnsi" w:hAnsiTheme="minorHAnsi" w:cstheme="minorHAnsi"/>
        </w:rPr>
        <w:t xml:space="preserve">international </w:t>
      </w:r>
      <w:r w:rsidR="31994593" w:rsidRPr="00F65CC5">
        <w:rPr>
          <w:rFonts w:asciiTheme="minorHAnsi" w:hAnsiTheme="minorHAnsi" w:cstheme="minorHAnsi"/>
        </w:rPr>
        <w:t xml:space="preserve">law. </w:t>
      </w:r>
      <w:r w:rsidR="02ADC37E" w:rsidRPr="00F65CC5">
        <w:rPr>
          <w:rFonts w:asciiTheme="minorHAnsi" w:hAnsiTheme="minorHAnsi" w:cstheme="minorHAnsi"/>
        </w:rPr>
        <w:t>It</w:t>
      </w:r>
      <w:r w:rsidR="564765A8" w:rsidRPr="00F65CC5">
        <w:rPr>
          <w:rFonts w:asciiTheme="minorHAnsi" w:hAnsiTheme="minorHAnsi" w:cstheme="minorHAnsi"/>
        </w:rPr>
        <w:t xml:space="preserve"> is a predicament that breaks the vertical hierarchies of law-making by </w:t>
      </w:r>
      <w:r w:rsidR="71B971FD" w:rsidRPr="00F65CC5">
        <w:rPr>
          <w:rFonts w:asciiTheme="minorHAnsi" w:hAnsiTheme="minorHAnsi" w:cstheme="minorHAnsi"/>
        </w:rPr>
        <w:t>demonstrating</w:t>
      </w:r>
      <w:r w:rsidR="564765A8" w:rsidRPr="00F65CC5">
        <w:rPr>
          <w:rFonts w:asciiTheme="minorHAnsi" w:hAnsiTheme="minorHAnsi" w:cstheme="minorHAnsi"/>
        </w:rPr>
        <w:t xml:space="preserve"> different scales of law</w:t>
      </w:r>
      <w:r w:rsidR="5686949B" w:rsidRPr="00F65CC5">
        <w:rPr>
          <w:rFonts w:asciiTheme="minorHAnsi" w:hAnsiTheme="minorHAnsi" w:cstheme="minorHAnsi"/>
        </w:rPr>
        <w:t xml:space="preserve"> and law</w:t>
      </w:r>
      <w:r w:rsidR="564765A8" w:rsidRPr="00F65CC5">
        <w:rPr>
          <w:rFonts w:asciiTheme="minorHAnsi" w:hAnsiTheme="minorHAnsi" w:cstheme="minorHAnsi"/>
        </w:rPr>
        <w:t xml:space="preserve">-making. </w:t>
      </w:r>
      <w:r w:rsidR="71B971FD" w:rsidRPr="00F65CC5">
        <w:rPr>
          <w:rFonts w:asciiTheme="minorHAnsi" w:hAnsiTheme="minorHAnsi" w:cstheme="minorHAnsi"/>
        </w:rPr>
        <w:t>This approach recognises</w:t>
      </w:r>
      <w:r w:rsidR="564765A8" w:rsidRPr="00F65CC5">
        <w:rPr>
          <w:rFonts w:asciiTheme="minorHAnsi" w:hAnsiTheme="minorHAnsi" w:cstheme="minorHAnsi"/>
        </w:rPr>
        <w:t xml:space="preserve"> </w:t>
      </w:r>
      <w:r w:rsidR="71B971FD" w:rsidRPr="00F65CC5">
        <w:rPr>
          <w:rFonts w:asciiTheme="minorHAnsi" w:hAnsiTheme="minorHAnsi" w:cstheme="minorHAnsi"/>
        </w:rPr>
        <w:t xml:space="preserve">feminists as actors </w:t>
      </w:r>
      <w:r w:rsidR="4FE113BB" w:rsidRPr="00F65CC5">
        <w:rPr>
          <w:rFonts w:asciiTheme="minorHAnsi" w:hAnsiTheme="minorHAnsi" w:cstheme="minorHAnsi"/>
        </w:rPr>
        <w:t>within these</w:t>
      </w:r>
      <w:r w:rsidR="71B971FD" w:rsidRPr="00F65CC5">
        <w:rPr>
          <w:rFonts w:asciiTheme="minorHAnsi" w:hAnsiTheme="minorHAnsi" w:cstheme="minorHAnsi"/>
        </w:rPr>
        <w:t xml:space="preserve"> law-makin</w:t>
      </w:r>
      <w:r w:rsidR="52586D58" w:rsidRPr="00F65CC5">
        <w:rPr>
          <w:rFonts w:asciiTheme="minorHAnsi" w:hAnsiTheme="minorHAnsi" w:cstheme="minorHAnsi"/>
        </w:rPr>
        <w:t>g</w:t>
      </w:r>
      <w:r w:rsidR="4FE113BB" w:rsidRPr="00F65CC5">
        <w:rPr>
          <w:rFonts w:asciiTheme="minorHAnsi" w:hAnsiTheme="minorHAnsi" w:cstheme="minorHAnsi"/>
        </w:rPr>
        <w:t xml:space="preserve"> processes</w:t>
      </w:r>
      <w:r w:rsidR="00BE6795">
        <w:rPr>
          <w:rFonts w:asciiTheme="minorHAnsi" w:hAnsiTheme="minorHAnsi" w:cstheme="minorHAnsi"/>
        </w:rPr>
        <w:t>,</w:t>
      </w:r>
      <w:r w:rsidR="4FE113BB" w:rsidRPr="00F65CC5">
        <w:rPr>
          <w:rFonts w:asciiTheme="minorHAnsi" w:hAnsiTheme="minorHAnsi" w:cstheme="minorHAnsi"/>
        </w:rPr>
        <w:t xml:space="preserve"> </w:t>
      </w:r>
      <w:r w:rsidR="6996623B" w:rsidRPr="00F65CC5">
        <w:rPr>
          <w:rFonts w:asciiTheme="minorHAnsi" w:hAnsiTheme="minorHAnsi" w:cstheme="minorHAnsi"/>
        </w:rPr>
        <w:t xml:space="preserve">who </w:t>
      </w:r>
      <w:r w:rsidR="4FE113BB" w:rsidRPr="00F65CC5">
        <w:rPr>
          <w:rFonts w:asciiTheme="minorHAnsi" w:hAnsiTheme="minorHAnsi" w:cstheme="minorHAnsi"/>
        </w:rPr>
        <w:t>ha</w:t>
      </w:r>
      <w:r w:rsidR="1924936B" w:rsidRPr="00F65CC5">
        <w:rPr>
          <w:rFonts w:asciiTheme="minorHAnsi" w:hAnsiTheme="minorHAnsi" w:cstheme="minorHAnsi"/>
        </w:rPr>
        <w:t>ve</w:t>
      </w:r>
      <w:r w:rsidR="4FE113BB" w:rsidRPr="00F65CC5">
        <w:rPr>
          <w:rFonts w:asciiTheme="minorHAnsi" w:hAnsiTheme="minorHAnsi" w:cstheme="minorHAnsi"/>
        </w:rPr>
        <w:t xml:space="preserve"> power to reject decisions made on the State</w:t>
      </w:r>
      <w:r w:rsidR="624A16BC" w:rsidRPr="00F65CC5">
        <w:rPr>
          <w:rFonts w:asciiTheme="minorHAnsi" w:hAnsiTheme="minorHAnsi" w:cstheme="minorHAnsi"/>
        </w:rPr>
        <w:t>-centric dimension</w:t>
      </w:r>
      <w:r w:rsidR="4FE113BB" w:rsidRPr="00F65CC5">
        <w:rPr>
          <w:rFonts w:asciiTheme="minorHAnsi" w:hAnsiTheme="minorHAnsi" w:cstheme="minorHAnsi"/>
        </w:rPr>
        <w:t xml:space="preserve"> of international law</w:t>
      </w:r>
      <w:r w:rsidR="78786124" w:rsidRPr="00F65CC5">
        <w:rPr>
          <w:rFonts w:asciiTheme="minorHAnsi" w:hAnsiTheme="minorHAnsi" w:cstheme="minorHAnsi"/>
        </w:rPr>
        <w:t xml:space="preserve">. </w:t>
      </w:r>
      <w:r w:rsidR="73CC06B1" w:rsidRPr="00F65CC5">
        <w:rPr>
          <w:rFonts w:asciiTheme="minorHAnsi" w:hAnsiTheme="minorHAnsi" w:cstheme="minorHAnsi"/>
        </w:rPr>
        <w:t>The slogans manifest a feminist legality where</w:t>
      </w:r>
      <w:r w:rsidR="004D4B3E">
        <w:rPr>
          <w:rFonts w:asciiTheme="minorHAnsi" w:hAnsiTheme="minorHAnsi" w:cstheme="minorHAnsi"/>
        </w:rPr>
        <w:t>by</w:t>
      </w:r>
      <w:r w:rsidR="73CC06B1" w:rsidRPr="00F65CC5">
        <w:rPr>
          <w:rFonts w:asciiTheme="minorHAnsi" w:hAnsiTheme="minorHAnsi" w:cstheme="minorHAnsi"/>
        </w:rPr>
        <w:t xml:space="preserve"> t</w:t>
      </w:r>
      <w:r w:rsidR="78786124" w:rsidRPr="00F65CC5">
        <w:rPr>
          <w:rFonts w:asciiTheme="minorHAnsi" w:hAnsiTheme="minorHAnsi" w:cstheme="minorHAnsi"/>
        </w:rPr>
        <w:t>he</w:t>
      </w:r>
      <w:r w:rsidR="624A16BC" w:rsidRPr="00F65CC5">
        <w:rPr>
          <w:rFonts w:asciiTheme="minorHAnsi" w:hAnsiTheme="minorHAnsi" w:cstheme="minorHAnsi"/>
        </w:rPr>
        <w:t xml:space="preserve"> feminists</w:t>
      </w:r>
      <w:r w:rsidR="78786124" w:rsidRPr="00F65CC5">
        <w:rPr>
          <w:rFonts w:asciiTheme="minorHAnsi" w:hAnsiTheme="minorHAnsi" w:cstheme="minorHAnsi"/>
        </w:rPr>
        <w:t xml:space="preserve"> stay with the Convention while the </w:t>
      </w:r>
      <w:r w:rsidR="004D4B3E">
        <w:rPr>
          <w:rFonts w:asciiTheme="minorHAnsi" w:hAnsiTheme="minorHAnsi" w:cstheme="minorHAnsi"/>
        </w:rPr>
        <w:t>S</w:t>
      </w:r>
      <w:r w:rsidR="78786124" w:rsidRPr="00F65CC5">
        <w:rPr>
          <w:rFonts w:asciiTheme="minorHAnsi" w:hAnsiTheme="minorHAnsi" w:cstheme="minorHAnsi"/>
        </w:rPr>
        <w:t>tate leaves it</w:t>
      </w:r>
      <w:r w:rsidR="73CC06B1" w:rsidRPr="00F65CC5">
        <w:rPr>
          <w:rFonts w:asciiTheme="minorHAnsi" w:hAnsiTheme="minorHAnsi" w:cstheme="minorHAnsi"/>
        </w:rPr>
        <w:t>.</w:t>
      </w:r>
      <w:r w:rsidR="52DB6046" w:rsidRPr="00F65CC5">
        <w:rPr>
          <w:rFonts w:asciiTheme="minorHAnsi" w:hAnsiTheme="minorHAnsi" w:cstheme="minorHAnsi"/>
        </w:rPr>
        <w:t xml:space="preserve"> </w:t>
      </w:r>
      <w:r w:rsidR="54F5A2E8" w:rsidRPr="00F65CC5">
        <w:rPr>
          <w:rFonts w:asciiTheme="minorHAnsi" w:hAnsiTheme="minorHAnsi" w:cstheme="minorHAnsi"/>
        </w:rPr>
        <w:t>Thus,</w:t>
      </w:r>
      <w:r w:rsidR="71B971FD" w:rsidRPr="00F65CC5">
        <w:rPr>
          <w:rFonts w:asciiTheme="minorHAnsi" w:hAnsiTheme="minorHAnsi" w:cstheme="minorHAnsi"/>
        </w:rPr>
        <w:t xml:space="preserve"> </w:t>
      </w:r>
      <w:r w:rsidR="78786124" w:rsidRPr="00F65CC5">
        <w:rPr>
          <w:rFonts w:asciiTheme="minorHAnsi" w:hAnsiTheme="minorHAnsi" w:cstheme="minorHAnsi"/>
        </w:rPr>
        <w:t>these campaigns</w:t>
      </w:r>
      <w:r w:rsidR="1D46D3E7" w:rsidRPr="00F65CC5">
        <w:rPr>
          <w:rFonts w:asciiTheme="minorHAnsi" w:hAnsiTheme="minorHAnsi" w:cstheme="minorHAnsi"/>
        </w:rPr>
        <w:t xml:space="preserve"> and cases</w:t>
      </w:r>
      <w:r w:rsidR="78786124" w:rsidRPr="00F65CC5">
        <w:rPr>
          <w:rFonts w:asciiTheme="minorHAnsi" w:hAnsiTheme="minorHAnsi" w:cstheme="minorHAnsi"/>
        </w:rPr>
        <w:t xml:space="preserve"> </w:t>
      </w:r>
      <w:r w:rsidR="71B971FD" w:rsidRPr="00F65CC5">
        <w:rPr>
          <w:rFonts w:asciiTheme="minorHAnsi" w:hAnsiTheme="minorHAnsi" w:cstheme="minorHAnsi"/>
        </w:rPr>
        <w:t>observ</w:t>
      </w:r>
      <w:r w:rsidR="52586D58" w:rsidRPr="00F65CC5">
        <w:rPr>
          <w:rFonts w:asciiTheme="minorHAnsi" w:hAnsiTheme="minorHAnsi" w:cstheme="minorHAnsi"/>
        </w:rPr>
        <w:t>e</w:t>
      </w:r>
      <w:r w:rsidR="71B971FD" w:rsidRPr="00F65CC5">
        <w:rPr>
          <w:rFonts w:asciiTheme="minorHAnsi" w:hAnsiTheme="minorHAnsi" w:cstheme="minorHAnsi"/>
        </w:rPr>
        <w:t xml:space="preserve"> broader </w:t>
      </w:r>
      <w:r w:rsidR="52586D58" w:rsidRPr="00F65CC5">
        <w:rPr>
          <w:rFonts w:asciiTheme="minorHAnsi" w:hAnsiTheme="minorHAnsi" w:cstheme="minorHAnsi"/>
        </w:rPr>
        <w:t xml:space="preserve">and multiple </w:t>
      </w:r>
      <w:r w:rsidR="71B971FD" w:rsidRPr="00F65CC5">
        <w:rPr>
          <w:rFonts w:asciiTheme="minorHAnsi" w:hAnsiTheme="minorHAnsi" w:cstheme="minorHAnsi"/>
        </w:rPr>
        <w:t>legal</w:t>
      </w:r>
      <w:r w:rsidR="78786124" w:rsidRPr="00F65CC5">
        <w:rPr>
          <w:rFonts w:asciiTheme="minorHAnsi" w:hAnsiTheme="minorHAnsi" w:cstheme="minorHAnsi"/>
        </w:rPr>
        <w:t>ities</w:t>
      </w:r>
      <w:r w:rsidR="71B971FD" w:rsidRPr="00F65CC5">
        <w:rPr>
          <w:rFonts w:asciiTheme="minorHAnsi" w:hAnsiTheme="minorHAnsi" w:cstheme="minorHAnsi"/>
        </w:rPr>
        <w:t xml:space="preserve"> </w:t>
      </w:r>
      <w:r w:rsidR="00BE6795">
        <w:rPr>
          <w:rFonts w:asciiTheme="minorHAnsi" w:hAnsiTheme="minorHAnsi" w:cstheme="minorHAnsi"/>
        </w:rPr>
        <w:t>that</w:t>
      </w:r>
      <w:r w:rsidR="71B971FD" w:rsidRPr="00F65CC5">
        <w:rPr>
          <w:rFonts w:asciiTheme="minorHAnsi" w:hAnsiTheme="minorHAnsi" w:cstheme="minorHAnsi"/>
        </w:rPr>
        <w:t xml:space="preserve"> are not </w:t>
      </w:r>
      <w:r w:rsidR="52586D58" w:rsidRPr="00F65CC5">
        <w:rPr>
          <w:rFonts w:asciiTheme="minorHAnsi" w:hAnsiTheme="minorHAnsi" w:cstheme="minorHAnsi"/>
        </w:rPr>
        <w:t xml:space="preserve">necessarily </w:t>
      </w:r>
      <w:r w:rsidR="71B971FD" w:rsidRPr="00F65CC5">
        <w:rPr>
          <w:rFonts w:asciiTheme="minorHAnsi" w:hAnsiTheme="minorHAnsi" w:cstheme="minorHAnsi"/>
        </w:rPr>
        <w:t xml:space="preserve">state-centric, nor operate </w:t>
      </w:r>
      <w:r w:rsidR="54F5A2E8" w:rsidRPr="00F65CC5">
        <w:rPr>
          <w:rFonts w:asciiTheme="minorHAnsi" w:hAnsiTheme="minorHAnsi" w:cstheme="minorHAnsi"/>
        </w:rPr>
        <w:t>through</w:t>
      </w:r>
      <w:r w:rsidR="71B971FD" w:rsidRPr="00F65CC5">
        <w:rPr>
          <w:rFonts w:asciiTheme="minorHAnsi" w:hAnsiTheme="minorHAnsi" w:cstheme="minorHAnsi"/>
        </w:rPr>
        <w:t xml:space="preserve"> binaries such as national-international, public-private etc.</w:t>
      </w:r>
      <w:r w:rsidR="2F51DDEB" w:rsidRPr="00F65CC5">
        <w:rPr>
          <w:rFonts w:asciiTheme="minorHAnsi" w:hAnsiTheme="minorHAnsi" w:cstheme="minorHAnsi"/>
        </w:rPr>
        <w:t xml:space="preserve"> </w:t>
      </w:r>
      <w:r w:rsidR="20643B3A" w:rsidRPr="00F65CC5">
        <w:rPr>
          <w:rFonts w:asciiTheme="minorHAnsi" w:hAnsiTheme="minorHAnsi" w:cstheme="minorHAnsi"/>
        </w:rPr>
        <w:t>For example</w:t>
      </w:r>
      <w:r w:rsidR="76BE7AF0" w:rsidRPr="00F65CC5">
        <w:rPr>
          <w:rFonts w:asciiTheme="minorHAnsi" w:hAnsiTheme="minorHAnsi" w:cstheme="minorHAnsi"/>
        </w:rPr>
        <w:t>,</w:t>
      </w:r>
      <w:r w:rsidR="70B5C5DB" w:rsidRPr="00F65CC5">
        <w:rPr>
          <w:rFonts w:asciiTheme="minorHAnsi" w:hAnsiTheme="minorHAnsi" w:cstheme="minorHAnsi"/>
        </w:rPr>
        <w:t xml:space="preserve"> </w:t>
      </w:r>
      <w:r w:rsidR="13F73357" w:rsidRPr="00F65CC5">
        <w:rPr>
          <w:rFonts w:asciiTheme="minorHAnsi" w:hAnsiTheme="minorHAnsi" w:cstheme="minorHAnsi"/>
        </w:rPr>
        <w:t>Katherine Brickell and Dana Cuomo discuss</w:t>
      </w:r>
      <w:r w:rsidR="4DD9B0B9" w:rsidRPr="00F65CC5">
        <w:rPr>
          <w:rFonts w:asciiTheme="minorHAnsi" w:hAnsiTheme="minorHAnsi" w:cstheme="minorHAnsi"/>
        </w:rPr>
        <w:t xml:space="preserve"> space</w:t>
      </w:r>
      <w:r w:rsidR="00AB35C6">
        <w:rPr>
          <w:rFonts w:asciiTheme="minorHAnsi" w:hAnsiTheme="minorHAnsi" w:cstheme="minorHAnsi"/>
        </w:rPr>
        <w:t>s</w:t>
      </w:r>
      <w:r w:rsidR="4DD9B0B9" w:rsidRPr="00F65CC5">
        <w:rPr>
          <w:rFonts w:asciiTheme="minorHAnsi" w:hAnsiTheme="minorHAnsi" w:cstheme="minorHAnsi"/>
        </w:rPr>
        <w:t xml:space="preserve"> of resistance as part of the international order.</w:t>
      </w:r>
      <w:r w:rsidR="00B30747" w:rsidRPr="00F65CC5">
        <w:rPr>
          <w:rStyle w:val="FootnoteReference"/>
          <w:rFonts w:asciiTheme="minorHAnsi" w:hAnsiTheme="minorHAnsi" w:cstheme="minorHAnsi"/>
        </w:rPr>
        <w:footnoteReference w:id="41"/>
      </w:r>
      <w:r w:rsidR="4DD9B0B9" w:rsidRPr="00F65CC5">
        <w:rPr>
          <w:rFonts w:asciiTheme="minorHAnsi" w:hAnsiTheme="minorHAnsi" w:cstheme="minorHAnsi"/>
        </w:rPr>
        <w:t xml:space="preserve"> They analyse feminist </w:t>
      </w:r>
      <w:proofErr w:type="spellStart"/>
      <w:r w:rsidR="4DD9B0B9" w:rsidRPr="00F65CC5">
        <w:rPr>
          <w:rFonts w:asciiTheme="minorHAnsi" w:hAnsiTheme="minorHAnsi" w:cstheme="minorHAnsi"/>
        </w:rPr>
        <w:t>geolegality</w:t>
      </w:r>
      <w:proofErr w:type="spellEnd"/>
      <w:r w:rsidR="4DD9B0B9" w:rsidRPr="00F65CC5">
        <w:rPr>
          <w:rFonts w:asciiTheme="minorHAnsi" w:hAnsiTheme="minorHAnsi" w:cstheme="minorHAnsi"/>
        </w:rPr>
        <w:t xml:space="preserve"> by </w:t>
      </w:r>
      <w:r w:rsidR="00E4065A">
        <w:rPr>
          <w:rFonts w:asciiTheme="minorHAnsi" w:hAnsiTheme="minorHAnsi" w:cstheme="minorHAnsi"/>
        </w:rPr>
        <w:t>observing</w:t>
      </w:r>
      <w:r w:rsidR="13F73357" w:rsidRPr="00F65CC5">
        <w:rPr>
          <w:rFonts w:asciiTheme="minorHAnsi" w:hAnsiTheme="minorHAnsi" w:cstheme="minorHAnsi"/>
        </w:rPr>
        <w:t xml:space="preserve"> ‘the complexity of the legal arena as a space of domination, but also as a means of resistance by which women and other socially </w:t>
      </w:r>
      <w:r w:rsidR="13F73357" w:rsidRPr="00F65CC5">
        <w:rPr>
          <w:rFonts w:asciiTheme="minorHAnsi" w:hAnsiTheme="minorHAnsi" w:cstheme="minorHAnsi"/>
        </w:rPr>
        <w:lastRenderedPageBreak/>
        <w:t xml:space="preserve">marginalized people </w:t>
      </w:r>
      <w:r w:rsidR="78009F4C" w:rsidRPr="00F65CC5">
        <w:rPr>
          <w:rFonts w:asciiTheme="minorHAnsi" w:hAnsiTheme="minorHAnsi" w:cstheme="minorHAnsi"/>
        </w:rPr>
        <w:t>strive for</w:t>
      </w:r>
      <w:r w:rsidR="13F73357" w:rsidRPr="00F65CC5">
        <w:rPr>
          <w:rFonts w:asciiTheme="minorHAnsi" w:hAnsiTheme="minorHAnsi" w:cstheme="minorHAnsi"/>
        </w:rPr>
        <w:t xml:space="preserve"> transformation</w:t>
      </w:r>
      <w:r w:rsidR="004A787D">
        <w:rPr>
          <w:rFonts w:asciiTheme="minorHAnsi" w:hAnsiTheme="minorHAnsi" w:cstheme="minorHAnsi"/>
        </w:rPr>
        <w:t>’</w:t>
      </w:r>
      <w:r w:rsidR="13F73357" w:rsidRPr="00F65CC5">
        <w:rPr>
          <w:rFonts w:asciiTheme="minorHAnsi" w:hAnsiTheme="minorHAnsi" w:cstheme="minorHAnsi"/>
        </w:rPr>
        <w:t>.</w:t>
      </w:r>
      <w:r w:rsidR="00C55429" w:rsidRPr="00F65CC5">
        <w:rPr>
          <w:rStyle w:val="FootnoteReference"/>
          <w:rFonts w:asciiTheme="minorHAnsi" w:hAnsiTheme="minorHAnsi" w:cstheme="minorHAnsi"/>
        </w:rPr>
        <w:footnoteReference w:id="42"/>
      </w:r>
      <w:r w:rsidR="13F73357" w:rsidRPr="00F65CC5">
        <w:rPr>
          <w:rFonts w:asciiTheme="minorHAnsi" w:hAnsiTheme="minorHAnsi" w:cstheme="minorHAnsi"/>
        </w:rPr>
        <w:t xml:space="preserve"> </w:t>
      </w:r>
      <w:r w:rsidR="78786124" w:rsidRPr="00F65CC5">
        <w:rPr>
          <w:rFonts w:asciiTheme="minorHAnsi" w:hAnsiTheme="minorHAnsi" w:cstheme="minorHAnsi"/>
        </w:rPr>
        <w:t>Zoe Pearson</w:t>
      </w:r>
      <w:r w:rsidR="00AB35C6">
        <w:rPr>
          <w:rFonts w:asciiTheme="minorHAnsi" w:hAnsiTheme="minorHAnsi" w:cstheme="minorHAnsi"/>
        </w:rPr>
        <w:t>,</w:t>
      </w:r>
      <w:r w:rsidR="78786124" w:rsidRPr="00F65CC5">
        <w:rPr>
          <w:rFonts w:asciiTheme="minorHAnsi" w:hAnsiTheme="minorHAnsi" w:cstheme="minorHAnsi"/>
        </w:rPr>
        <w:t xml:space="preserve"> in her </w:t>
      </w:r>
      <w:r w:rsidR="54F5A2E8" w:rsidRPr="00F65CC5">
        <w:rPr>
          <w:rFonts w:asciiTheme="minorHAnsi" w:hAnsiTheme="minorHAnsi" w:cstheme="minorHAnsi"/>
        </w:rPr>
        <w:t>analysis of</w:t>
      </w:r>
      <w:r w:rsidR="78786124" w:rsidRPr="00F65CC5">
        <w:rPr>
          <w:rFonts w:asciiTheme="minorHAnsi" w:hAnsiTheme="minorHAnsi" w:cstheme="minorHAnsi"/>
        </w:rPr>
        <w:t xml:space="preserve"> international law as a space, talks about ‘concepts </w:t>
      </w:r>
      <w:r w:rsidR="4960EC63" w:rsidRPr="00F65CC5">
        <w:rPr>
          <w:rFonts w:asciiTheme="minorHAnsi" w:hAnsiTheme="minorHAnsi" w:cstheme="minorHAnsi"/>
        </w:rPr>
        <w:t>of space</w:t>
      </w:r>
      <w:r w:rsidR="78786124" w:rsidRPr="00F65CC5">
        <w:rPr>
          <w:rFonts w:asciiTheme="minorHAnsi" w:hAnsiTheme="minorHAnsi" w:cstheme="minorHAnsi"/>
        </w:rPr>
        <w:t xml:space="preserve"> to  encourage  exploration  of the unlikely spaces where international law may indeed be found, but which are not visible on traditional maps</w:t>
      </w:r>
      <w:r w:rsidR="00627628">
        <w:rPr>
          <w:rFonts w:asciiTheme="minorHAnsi" w:hAnsiTheme="minorHAnsi" w:cstheme="minorHAnsi"/>
        </w:rPr>
        <w:t xml:space="preserve"> </w:t>
      </w:r>
      <w:r w:rsidR="78786124" w:rsidRPr="00F65CC5">
        <w:rPr>
          <w:rFonts w:asciiTheme="minorHAnsi" w:hAnsiTheme="minorHAnsi" w:cstheme="minorHAnsi"/>
        </w:rPr>
        <w:t>of  international law</w:t>
      </w:r>
      <w:r w:rsidR="00EB7C60">
        <w:rPr>
          <w:rFonts w:asciiTheme="minorHAnsi" w:hAnsiTheme="minorHAnsi" w:cstheme="minorHAnsi"/>
        </w:rPr>
        <w:t>’</w:t>
      </w:r>
      <w:r w:rsidR="78786124" w:rsidRPr="00F65CC5">
        <w:rPr>
          <w:rFonts w:asciiTheme="minorHAnsi" w:hAnsiTheme="minorHAnsi" w:cstheme="minorHAnsi"/>
        </w:rPr>
        <w:t>.</w:t>
      </w:r>
      <w:r w:rsidR="005C158A" w:rsidRPr="00F65CC5">
        <w:rPr>
          <w:rStyle w:val="FootnoteReference"/>
          <w:rFonts w:asciiTheme="minorHAnsi" w:hAnsiTheme="minorHAnsi" w:cstheme="minorHAnsi"/>
        </w:rPr>
        <w:footnoteReference w:id="43"/>
      </w:r>
      <w:r w:rsidR="78786124" w:rsidRPr="00F65CC5">
        <w:rPr>
          <w:rFonts w:asciiTheme="minorHAnsi" w:hAnsiTheme="minorHAnsi" w:cstheme="minorHAnsi"/>
        </w:rPr>
        <w:t xml:space="preserve"> </w:t>
      </w:r>
      <w:r w:rsidR="29244E27" w:rsidRPr="00F65CC5">
        <w:rPr>
          <w:rFonts w:asciiTheme="minorHAnsi" w:hAnsiTheme="minorHAnsi" w:cstheme="minorHAnsi"/>
        </w:rPr>
        <w:t>We argue that f</w:t>
      </w:r>
      <w:r w:rsidR="78786124" w:rsidRPr="00F65CC5">
        <w:rPr>
          <w:rFonts w:asciiTheme="minorHAnsi" w:hAnsiTheme="minorHAnsi" w:cstheme="minorHAnsi"/>
        </w:rPr>
        <w:t>eminist resistance in T</w:t>
      </w:r>
      <w:r w:rsidR="33136ABC" w:rsidRPr="00F65CC5">
        <w:rPr>
          <w:rFonts w:asciiTheme="minorHAnsi" w:hAnsiTheme="minorHAnsi" w:cstheme="minorHAnsi"/>
          <w:lang w:val="tr-TR"/>
        </w:rPr>
        <w:t>ü</w:t>
      </w:r>
      <w:proofErr w:type="spellStart"/>
      <w:r w:rsidR="78786124" w:rsidRPr="00F65CC5">
        <w:rPr>
          <w:rFonts w:asciiTheme="minorHAnsi" w:hAnsiTheme="minorHAnsi" w:cstheme="minorHAnsi"/>
        </w:rPr>
        <w:t>rkiye</w:t>
      </w:r>
      <w:proofErr w:type="spellEnd"/>
      <w:r w:rsidR="78786124" w:rsidRPr="00F65CC5">
        <w:rPr>
          <w:rFonts w:asciiTheme="minorHAnsi" w:hAnsiTheme="minorHAnsi" w:cstheme="minorHAnsi"/>
        </w:rPr>
        <w:t xml:space="preserve"> </w:t>
      </w:r>
      <w:r w:rsidR="29244E27" w:rsidRPr="00F65CC5">
        <w:rPr>
          <w:rFonts w:asciiTheme="minorHAnsi" w:hAnsiTheme="minorHAnsi" w:cstheme="minorHAnsi"/>
        </w:rPr>
        <w:t>against the State’s withdrawal from Istanbul Convention displays one of those ‘unlikely spaces’</w:t>
      </w:r>
      <w:r w:rsidR="28BCE441" w:rsidRPr="00F65CC5">
        <w:rPr>
          <w:rFonts w:asciiTheme="minorHAnsi" w:hAnsiTheme="minorHAnsi" w:cstheme="minorHAnsi"/>
        </w:rPr>
        <w:t>.</w:t>
      </w:r>
      <w:r w:rsidR="00227E5B" w:rsidRPr="00F65CC5">
        <w:rPr>
          <w:rStyle w:val="FootnoteReference"/>
          <w:rFonts w:asciiTheme="minorHAnsi" w:hAnsiTheme="minorHAnsi" w:cstheme="minorHAnsi"/>
        </w:rPr>
        <w:footnoteReference w:id="44"/>
      </w:r>
      <w:r w:rsidR="28BCE441" w:rsidRPr="00F65CC5">
        <w:rPr>
          <w:rFonts w:asciiTheme="minorHAnsi" w:hAnsiTheme="minorHAnsi" w:cstheme="minorHAnsi"/>
        </w:rPr>
        <w:t xml:space="preserve"> It is an</w:t>
      </w:r>
      <w:r w:rsidR="2EF22BFF" w:rsidRPr="00F65CC5">
        <w:rPr>
          <w:rFonts w:asciiTheme="minorHAnsi" w:hAnsiTheme="minorHAnsi" w:cstheme="minorHAnsi"/>
        </w:rPr>
        <w:t xml:space="preserve"> </w:t>
      </w:r>
      <w:r w:rsidR="28BCE441" w:rsidRPr="00F65CC5">
        <w:rPr>
          <w:rFonts w:asciiTheme="minorHAnsi" w:hAnsiTheme="minorHAnsi" w:cstheme="minorHAnsi"/>
        </w:rPr>
        <w:t>unlikely feminist legal space</w:t>
      </w:r>
      <w:r w:rsidR="00433F0E">
        <w:rPr>
          <w:rFonts w:asciiTheme="minorHAnsi" w:hAnsiTheme="minorHAnsi" w:cstheme="minorHAnsi"/>
        </w:rPr>
        <w:t>,</w:t>
      </w:r>
      <w:r w:rsidR="1F9B9DEA" w:rsidRPr="00F65CC5">
        <w:rPr>
          <w:rFonts w:asciiTheme="minorHAnsi" w:hAnsiTheme="minorHAnsi" w:cstheme="minorHAnsi"/>
        </w:rPr>
        <w:t xml:space="preserve"> </w:t>
      </w:r>
      <w:r w:rsidR="28BCE441" w:rsidRPr="00F65CC5">
        <w:rPr>
          <w:rFonts w:asciiTheme="minorHAnsi" w:hAnsiTheme="minorHAnsi" w:cstheme="minorHAnsi"/>
        </w:rPr>
        <w:t xml:space="preserve">which exists in non-vertical </w:t>
      </w:r>
      <w:r w:rsidR="2EF22BFF" w:rsidRPr="00F65CC5">
        <w:rPr>
          <w:rFonts w:asciiTheme="minorHAnsi" w:hAnsiTheme="minorHAnsi" w:cstheme="minorHAnsi"/>
        </w:rPr>
        <w:t>spaces</w:t>
      </w:r>
      <w:r w:rsidR="28BCE441" w:rsidRPr="00F65CC5">
        <w:rPr>
          <w:rFonts w:asciiTheme="minorHAnsi" w:hAnsiTheme="minorHAnsi" w:cstheme="minorHAnsi"/>
        </w:rPr>
        <w:t xml:space="preserve"> of law</w:t>
      </w:r>
      <w:r w:rsidR="29244E27" w:rsidRPr="00F65CC5">
        <w:rPr>
          <w:rFonts w:asciiTheme="minorHAnsi" w:hAnsiTheme="minorHAnsi" w:cstheme="minorHAnsi"/>
        </w:rPr>
        <w:t>.</w:t>
      </w:r>
      <w:r w:rsidR="005C158A" w:rsidRPr="00F65CC5">
        <w:rPr>
          <w:rStyle w:val="FootnoteReference"/>
          <w:rFonts w:asciiTheme="minorHAnsi" w:hAnsiTheme="minorHAnsi" w:cstheme="minorHAnsi"/>
        </w:rPr>
        <w:footnoteReference w:id="45"/>
      </w:r>
    </w:p>
    <w:p w14:paraId="516ACA2D" w14:textId="77777777" w:rsidR="00EC382C" w:rsidRPr="00F65CC5" w:rsidRDefault="00EC382C" w:rsidP="007933F6">
      <w:pPr>
        <w:jc w:val="both"/>
        <w:rPr>
          <w:rFonts w:asciiTheme="minorHAnsi" w:hAnsiTheme="minorHAnsi" w:cstheme="minorHAnsi"/>
        </w:rPr>
      </w:pPr>
    </w:p>
    <w:p w14:paraId="6518B691" w14:textId="1A8B93FF" w:rsidR="005C158A" w:rsidRPr="00F65CC5" w:rsidRDefault="00C16D98" w:rsidP="007933F6">
      <w:pPr>
        <w:ind w:left="851" w:right="1417"/>
        <w:jc w:val="both"/>
        <w:rPr>
          <w:rFonts w:asciiTheme="minorHAnsi" w:hAnsiTheme="minorHAnsi" w:cstheme="minorHAnsi"/>
        </w:rPr>
      </w:pPr>
      <w:r w:rsidRPr="00F65CC5">
        <w:rPr>
          <w:rFonts w:asciiTheme="minorHAnsi" w:hAnsiTheme="minorHAnsi" w:cstheme="minorHAnsi"/>
        </w:rPr>
        <w:t>[Feminist and post-colonial]</w:t>
      </w:r>
      <w:r w:rsidR="00F63038" w:rsidRPr="00F65CC5">
        <w:rPr>
          <w:rFonts w:asciiTheme="minorHAnsi" w:hAnsiTheme="minorHAnsi" w:cstheme="minorHAnsi"/>
        </w:rPr>
        <w:t xml:space="preserve"> critiques provide us with an opportunity to see that spaces within the terrain of international law are not static, linear and ordered, but rather complex, fluid and uncertain, evolving continuously along with the interactions of the different actors present, and emphasising varying sites of legal and non-legal regulation.</w:t>
      </w:r>
      <w:r w:rsidR="0006398B" w:rsidRPr="00F65CC5">
        <w:rPr>
          <w:rStyle w:val="FootnoteReference"/>
          <w:rFonts w:asciiTheme="minorHAnsi" w:hAnsiTheme="minorHAnsi" w:cstheme="minorHAnsi"/>
        </w:rPr>
        <w:footnoteReference w:id="46"/>
      </w:r>
    </w:p>
    <w:p w14:paraId="5BA08758" w14:textId="77777777" w:rsidR="00CC6E99" w:rsidRPr="00F65CC5" w:rsidRDefault="00CC6E99" w:rsidP="007933F6">
      <w:pPr>
        <w:jc w:val="both"/>
        <w:rPr>
          <w:rFonts w:asciiTheme="minorHAnsi" w:hAnsiTheme="minorHAnsi" w:cstheme="minorHAnsi"/>
        </w:rPr>
      </w:pPr>
    </w:p>
    <w:p w14:paraId="7B5CC51F" w14:textId="3F14BE4D" w:rsidR="00584FF6" w:rsidRPr="00F65CC5" w:rsidRDefault="579112C3" w:rsidP="007933F6">
      <w:pPr>
        <w:jc w:val="both"/>
        <w:rPr>
          <w:rFonts w:asciiTheme="minorHAnsi" w:hAnsiTheme="minorHAnsi" w:cstheme="minorHAnsi"/>
          <w:color w:val="7030A0"/>
        </w:rPr>
      </w:pPr>
      <w:r w:rsidRPr="00F65CC5">
        <w:rPr>
          <w:rFonts w:asciiTheme="minorHAnsi" w:hAnsiTheme="minorHAnsi" w:cstheme="minorHAnsi"/>
        </w:rPr>
        <w:t>Deeming</w:t>
      </w:r>
      <w:r w:rsidR="7B7284B1" w:rsidRPr="00F65CC5">
        <w:rPr>
          <w:rFonts w:asciiTheme="minorHAnsi" w:hAnsiTheme="minorHAnsi" w:cstheme="minorHAnsi"/>
        </w:rPr>
        <w:t xml:space="preserve"> law as co</w:t>
      </w:r>
      <w:r w:rsidRPr="00F65CC5">
        <w:rPr>
          <w:rFonts w:asciiTheme="minorHAnsi" w:hAnsiTheme="minorHAnsi" w:cstheme="minorHAnsi"/>
        </w:rPr>
        <w:t>mposed</w:t>
      </w:r>
      <w:r w:rsidR="7B7284B1" w:rsidRPr="00F65CC5">
        <w:rPr>
          <w:rFonts w:asciiTheme="minorHAnsi" w:hAnsiTheme="minorHAnsi" w:cstheme="minorHAnsi"/>
        </w:rPr>
        <w:t xml:space="preserve"> of various legal spaces allows this article </w:t>
      </w:r>
      <w:r w:rsidR="5A4DDCC7" w:rsidRPr="00F65CC5">
        <w:rPr>
          <w:rFonts w:asciiTheme="minorHAnsi" w:hAnsiTheme="minorHAnsi" w:cstheme="minorHAnsi"/>
        </w:rPr>
        <w:t xml:space="preserve">to uncover </w:t>
      </w:r>
      <w:r w:rsidR="7B7284B1" w:rsidRPr="00F65CC5">
        <w:rPr>
          <w:rFonts w:asciiTheme="minorHAnsi" w:hAnsiTheme="minorHAnsi" w:cstheme="minorHAnsi"/>
        </w:rPr>
        <w:t>feminist legal space</w:t>
      </w:r>
      <w:r w:rsidR="5A4DDCC7" w:rsidRPr="00F65CC5">
        <w:rPr>
          <w:rFonts w:asciiTheme="minorHAnsi" w:hAnsiTheme="minorHAnsi" w:cstheme="minorHAnsi"/>
        </w:rPr>
        <w:t>s</w:t>
      </w:r>
      <w:r w:rsidR="7B7284B1" w:rsidRPr="00F65CC5">
        <w:rPr>
          <w:rFonts w:asciiTheme="minorHAnsi" w:hAnsiTheme="minorHAnsi" w:cstheme="minorHAnsi"/>
        </w:rPr>
        <w:t xml:space="preserve"> created by the feminist activism in </w:t>
      </w:r>
      <w:r w:rsidR="6419F585" w:rsidRPr="00F65CC5">
        <w:rPr>
          <w:rFonts w:asciiTheme="minorHAnsi" w:hAnsiTheme="minorHAnsi" w:cstheme="minorHAnsi"/>
        </w:rPr>
        <w:t>Türkiye</w:t>
      </w:r>
      <w:r w:rsidR="5A4DDCC7" w:rsidRPr="00F65CC5">
        <w:rPr>
          <w:rFonts w:asciiTheme="minorHAnsi" w:hAnsiTheme="minorHAnsi" w:cstheme="minorHAnsi"/>
        </w:rPr>
        <w:t xml:space="preserve"> which </w:t>
      </w:r>
      <w:r w:rsidR="003E18FC">
        <w:rPr>
          <w:rFonts w:asciiTheme="minorHAnsi" w:hAnsiTheme="minorHAnsi" w:cstheme="minorHAnsi"/>
        </w:rPr>
        <w:t>are</w:t>
      </w:r>
      <w:r w:rsidR="5A4DDCC7" w:rsidRPr="00F65CC5">
        <w:rPr>
          <w:rFonts w:asciiTheme="minorHAnsi" w:hAnsiTheme="minorHAnsi" w:cstheme="minorHAnsi"/>
        </w:rPr>
        <w:t xml:space="preserve"> not linear, not vertical nor </w:t>
      </w:r>
      <w:r w:rsidR="00C45051">
        <w:rPr>
          <w:rFonts w:asciiTheme="minorHAnsi" w:hAnsiTheme="minorHAnsi" w:cstheme="minorHAnsi"/>
        </w:rPr>
        <w:t>S</w:t>
      </w:r>
      <w:r w:rsidR="00271E89">
        <w:rPr>
          <w:rFonts w:asciiTheme="minorHAnsi" w:hAnsiTheme="minorHAnsi" w:cstheme="minorHAnsi"/>
        </w:rPr>
        <w:t>tate-centric</w:t>
      </w:r>
      <w:r w:rsidR="2505C018" w:rsidRPr="00F65CC5">
        <w:rPr>
          <w:rFonts w:asciiTheme="minorHAnsi" w:hAnsiTheme="minorHAnsi" w:cstheme="minorHAnsi"/>
        </w:rPr>
        <w:t>.</w:t>
      </w:r>
      <w:r w:rsidR="08B1446E" w:rsidRPr="00F65CC5">
        <w:rPr>
          <w:rFonts w:asciiTheme="minorHAnsi" w:hAnsiTheme="minorHAnsi" w:cstheme="minorHAnsi"/>
        </w:rPr>
        <w:t xml:space="preserve"> </w:t>
      </w:r>
      <w:r w:rsidR="70B5C5DB" w:rsidRPr="00F65CC5">
        <w:rPr>
          <w:rFonts w:asciiTheme="minorHAnsi" w:hAnsiTheme="minorHAnsi" w:cstheme="minorHAnsi"/>
        </w:rPr>
        <w:t>Th</w:t>
      </w:r>
      <w:r w:rsidR="0972C20A" w:rsidRPr="00F65CC5">
        <w:rPr>
          <w:rFonts w:asciiTheme="minorHAnsi" w:hAnsiTheme="minorHAnsi" w:cstheme="minorHAnsi"/>
        </w:rPr>
        <w:t xml:space="preserve">ese </w:t>
      </w:r>
      <w:r w:rsidR="70B5C5DB" w:rsidRPr="00F65CC5">
        <w:rPr>
          <w:rFonts w:asciiTheme="minorHAnsi" w:hAnsiTheme="minorHAnsi" w:cstheme="minorHAnsi"/>
        </w:rPr>
        <w:t>feminist space</w:t>
      </w:r>
      <w:r w:rsidR="0972C20A" w:rsidRPr="00F65CC5">
        <w:rPr>
          <w:rFonts w:asciiTheme="minorHAnsi" w:hAnsiTheme="minorHAnsi" w:cstheme="minorHAnsi"/>
        </w:rPr>
        <w:t>s</w:t>
      </w:r>
      <w:r w:rsidR="70B5C5DB" w:rsidRPr="00F65CC5">
        <w:rPr>
          <w:rFonts w:asciiTheme="minorHAnsi" w:hAnsiTheme="minorHAnsi" w:cstheme="minorHAnsi"/>
        </w:rPr>
        <w:t xml:space="preserve"> </w:t>
      </w:r>
      <w:r w:rsidR="0972C20A" w:rsidRPr="00F65CC5">
        <w:rPr>
          <w:rFonts w:asciiTheme="minorHAnsi" w:hAnsiTheme="minorHAnsi" w:cstheme="minorHAnsi"/>
        </w:rPr>
        <w:t>are</w:t>
      </w:r>
      <w:r w:rsidR="70B5C5DB" w:rsidRPr="00F65CC5">
        <w:rPr>
          <w:rFonts w:asciiTheme="minorHAnsi" w:hAnsiTheme="minorHAnsi" w:cstheme="minorHAnsi"/>
        </w:rPr>
        <w:t xml:space="preserve"> governed by feminist legality</w:t>
      </w:r>
      <w:r w:rsidR="73CC06B1" w:rsidRPr="00F65CC5">
        <w:rPr>
          <w:rFonts w:asciiTheme="minorHAnsi" w:hAnsiTheme="minorHAnsi" w:cstheme="minorHAnsi"/>
        </w:rPr>
        <w:t>.</w:t>
      </w:r>
      <w:r w:rsidR="190938B6" w:rsidRPr="00F65CC5">
        <w:rPr>
          <w:rFonts w:asciiTheme="minorHAnsi" w:hAnsiTheme="minorHAnsi" w:cstheme="minorHAnsi"/>
        </w:rPr>
        <w:t xml:space="preserve"> In th</w:t>
      </w:r>
      <w:r w:rsidR="0972C20A" w:rsidRPr="00F65CC5">
        <w:rPr>
          <w:rFonts w:asciiTheme="minorHAnsi" w:hAnsiTheme="minorHAnsi" w:cstheme="minorHAnsi"/>
        </w:rPr>
        <w:t>ese</w:t>
      </w:r>
      <w:r w:rsidR="190938B6" w:rsidRPr="00F65CC5">
        <w:rPr>
          <w:rFonts w:asciiTheme="minorHAnsi" w:hAnsiTheme="minorHAnsi" w:cstheme="minorHAnsi"/>
        </w:rPr>
        <w:t xml:space="preserve"> space</w:t>
      </w:r>
      <w:r w:rsidR="0972C20A" w:rsidRPr="00F65CC5">
        <w:rPr>
          <w:rFonts w:asciiTheme="minorHAnsi" w:hAnsiTheme="minorHAnsi" w:cstheme="minorHAnsi"/>
        </w:rPr>
        <w:t>s</w:t>
      </w:r>
      <w:r w:rsidR="190938B6" w:rsidRPr="00F65CC5">
        <w:rPr>
          <w:rFonts w:asciiTheme="minorHAnsi" w:hAnsiTheme="minorHAnsi" w:cstheme="minorHAnsi"/>
        </w:rPr>
        <w:t xml:space="preserve"> what is in accordance</w:t>
      </w:r>
      <w:r w:rsidR="70B5C5DB" w:rsidRPr="00F65CC5">
        <w:rPr>
          <w:rFonts w:asciiTheme="minorHAnsi" w:hAnsiTheme="minorHAnsi" w:cstheme="minorHAnsi"/>
        </w:rPr>
        <w:t xml:space="preserve"> </w:t>
      </w:r>
      <w:r w:rsidR="190938B6" w:rsidRPr="00F65CC5">
        <w:rPr>
          <w:rFonts w:asciiTheme="minorHAnsi" w:hAnsiTheme="minorHAnsi" w:cstheme="minorHAnsi"/>
        </w:rPr>
        <w:t>with law is in accordance with</w:t>
      </w:r>
      <w:r w:rsidR="70B5C5DB" w:rsidRPr="00F65CC5">
        <w:rPr>
          <w:rFonts w:asciiTheme="minorHAnsi" w:hAnsiTheme="minorHAnsi" w:cstheme="minorHAnsi"/>
        </w:rPr>
        <w:t xml:space="preserve"> feminist legal </w:t>
      </w:r>
      <w:r w:rsidR="0972C20A" w:rsidRPr="00F65CC5">
        <w:rPr>
          <w:rFonts w:asciiTheme="minorHAnsi" w:hAnsiTheme="minorHAnsi" w:cstheme="minorHAnsi"/>
        </w:rPr>
        <w:t>approaches</w:t>
      </w:r>
      <w:r w:rsidR="70B5C5DB" w:rsidRPr="00F65CC5">
        <w:rPr>
          <w:rFonts w:asciiTheme="minorHAnsi" w:hAnsiTheme="minorHAnsi" w:cstheme="minorHAnsi"/>
        </w:rPr>
        <w:t>.</w:t>
      </w:r>
      <w:r w:rsidR="0220AC60" w:rsidRPr="00F65CC5">
        <w:rPr>
          <w:rFonts w:asciiTheme="minorHAnsi" w:hAnsiTheme="minorHAnsi" w:cstheme="minorHAnsi"/>
        </w:rPr>
        <w:t xml:space="preserve"> One could also call it feminist law-making or feminist law.</w:t>
      </w:r>
      <w:r w:rsidR="483FF30A" w:rsidRPr="00F65CC5">
        <w:rPr>
          <w:rFonts w:asciiTheme="minorHAnsi" w:hAnsiTheme="minorHAnsi" w:cstheme="minorHAnsi"/>
        </w:rPr>
        <w:t xml:space="preserve"> </w:t>
      </w:r>
      <w:r w:rsidR="0855E379" w:rsidRPr="00F65CC5">
        <w:rPr>
          <w:rFonts w:asciiTheme="minorHAnsi" w:hAnsiTheme="minorHAnsi" w:cstheme="minorHAnsi"/>
        </w:rPr>
        <w:t>W</w:t>
      </w:r>
      <w:r w:rsidR="0220AC60" w:rsidRPr="00F65CC5">
        <w:rPr>
          <w:rFonts w:asciiTheme="minorHAnsi" w:hAnsiTheme="minorHAnsi" w:cstheme="minorHAnsi"/>
        </w:rPr>
        <w:t xml:space="preserve">e call </w:t>
      </w:r>
      <w:r w:rsidR="00271E89">
        <w:rPr>
          <w:rFonts w:asciiTheme="minorHAnsi" w:hAnsiTheme="minorHAnsi" w:cstheme="minorHAnsi"/>
        </w:rPr>
        <w:t>these</w:t>
      </w:r>
      <w:r w:rsidR="405E26D4" w:rsidRPr="00F65CC5">
        <w:rPr>
          <w:rFonts w:asciiTheme="minorHAnsi" w:hAnsiTheme="minorHAnsi" w:cstheme="minorHAnsi"/>
        </w:rPr>
        <w:t xml:space="preserve"> </w:t>
      </w:r>
      <w:r w:rsidR="0220AC60" w:rsidRPr="00F65CC5">
        <w:rPr>
          <w:rFonts w:asciiTheme="minorHAnsi" w:hAnsiTheme="minorHAnsi" w:cstheme="minorHAnsi"/>
        </w:rPr>
        <w:t xml:space="preserve">feminist legal spaces that host feminist legalities. </w:t>
      </w:r>
      <w:r w:rsidR="08B1446E" w:rsidRPr="00F65CC5">
        <w:rPr>
          <w:rFonts w:asciiTheme="minorHAnsi" w:hAnsiTheme="minorHAnsi" w:cstheme="minorHAnsi"/>
        </w:rPr>
        <w:t xml:space="preserve">Taking </w:t>
      </w:r>
      <w:r w:rsidR="54F5A2E8" w:rsidRPr="00F65CC5">
        <w:rPr>
          <w:rFonts w:asciiTheme="minorHAnsi" w:hAnsiTheme="minorHAnsi" w:cstheme="minorHAnsi"/>
        </w:rPr>
        <w:t xml:space="preserve">inspiration </w:t>
      </w:r>
      <w:r w:rsidR="56E64759" w:rsidRPr="00F65CC5">
        <w:rPr>
          <w:rFonts w:asciiTheme="minorHAnsi" w:hAnsiTheme="minorHAnsi" w:cstheme="minorHAnsi"/>
        </w:rPr>
        <w:t>from Zoe Pearson</w:t>
      </w:r>
      <w:r w:rsidR="08B1446E" w:rsidRPr="00F65CC5">
        <w:rPr>
          <w:rFonts w:asciiTheme="minorHAnsi" w:hAnsiTheme="minorHAnsi" w:cstheme="minorHAnsi"/>
        </w:rPr>
        <w:t xml:space="preserve">, this article will </w:t>
      </w:r>
      <w:r w:rsidR="13F73357" w:rsidRPr="00F65CC5">
        <w:rPr>
          <w:rFonts w:asciiTheme="minorHAnsi" w:hAnsiTheme="minorHAnsi" w:cstheme="minorHAnsi"/>
        </w:rPr>
        <w:t>consider law as a space</w:t>
      </w:r>
      <w:r w:rsidR="54F5A2E8" w:rsidRPr="00F65CC5">
        <w:rPr>
          <w:rFonts w:asciiTheme="minorHAnsi" w:hAnsiTheme="minorHAnsi" w:cstheme="minorHAnsi"/>
        </w:rPr>
        <w:t>,</w:t>
      </w:r>
      <w:r w:rsidR="13F73357" w:rsidRPr="00F65CC5">
        <w:rPr>
          <w:rFonts w:asciiTheme="minorHAnsi" w:hAnsiTheme="minorHAnsi" w:cstheme="minorHAnsi"/>
        </w:rPr>
        <w:t xml:space="preserve"> and </w:t>
      </w:r>
      <w:r w:rsidR="5B2F50D7" w:rsidRPr="00F65CC5">
        <w:rPr>
          <w:rFonts w:asciiTheme="minorHAnsi" w:hAnsiTheme="minorHAnsi" w:cstheme="minorHAnsi"/>
        </w:rPr>
        <w:t>to discover those ‘unlikely spaces’ we will combine</w:t>
      </w:r>
      <w:r w:rsidR="5A4DDCC7" w:rsidRPr="00F65CC5">
        <w:rPr>
          <w:rFonts w:asciiTheme="minorHAnsi" w:hAnsiTheme="minorHAnsi" w:cstheme="minorHAnsi"/>
        </w:rPr>
        <w:t xml:space="preserve"> Sally Engle Merry’s vernacularisation theory and </w:t>
      </w:r>
      <w:r w:rsidR="4EBBD404" w:rsidRPr="00F65CC5">
        <w:rPr>
          <w:rFonts w:asciiTheme="minorHAnsi" w:hAnsiTheme="minorHAnsi" w:cstheme="minorHAnsi"/>
        </w:rPr>
        <w:t>Margaret</w:t>
      </w:r>
      <w:r w:rsidR="5A4DDCC7" w:rsidRPr="00F65CC5">
        <w:rPr>
          <w:rFonts w:asciiTheme="minorHAnsi" w:hAnsiTheme="minorHAnsi" w:cstheme="minorHAnsi"/>
        </w:rPr>
        <w:t xml:space="preserve"> Davies’ analyses on </w:t>
      </w:r>
      <w:r w:rsidR="54F5A2E8" w:rsidRPr="00F65CC5">
        <w:rPr>
          <w:rFonts w:asciiTheme="minorHAnsi" w:hAnsiTheme="minorHAnsi" w:cstheme="minorHAnsi"/>
        </w:rPr>
        <w:t xml:space="preserve">the subject of </w:t>
      </w:r>
      <w:r w:rsidR="2C8D0BEE" w:rsidRPr="00F65CC5">
        <w:rPr>
          <w:rFonts w:asciiTheme="minorHAnsi" w:hAnsiTheme="minorHAnsi" w:cstheme="minorHAnsi"/>
        </w:rPr>
        <w:t>flat law</w:t>
      </w:r>
      <w:r w:rsidR="08B1446E" w:rsidRPr="00F65CC5">
        <w:rPr>
          <w:rFonts w:asciiTheme="minorHAnsi" w:hAnsiTheme="minorHAnsi" w:cstheme="minorHAnsi"/>
        </w:rPr>
        <w:t>.</w:t>
      </w:r>
      <w:r w:rsidR="005453BB" w:rsidRPr="00F65CC5">
        <w:rPr>
          <w:rStyle w:val="FootnoteReference"/>
          <w:rFonts w:asciiTheme="minorHAnsi" w:hAnsiTheme="minorHAnsi" w:cstheme="minorHAnsi"/>
        </w:rPr>
        <w:footnoteReference w:id="47"/>
      </w:r>
      <w:r w:rsidR="08B1446E" w:rsidRPr="00F65CC5">
        <w:rPr>
          <w:rFonts w:asciiTheme="minorHAnsi" w:hAnsiTheme="minorHAnsi" w:cstheme="minorHAnsi"/>
        </w:rPr>
        <w:t xml:space="preserve"> Both Merry and Davies</w:t>
      </w:r>
      <w:r w:rsidR="5A4DDCC7" w:rsidRPr="00F65CC5">
        <w:rPr>
          <w:rFonts w:asciiTheme="minorHAnsi" w:hAnsiTheme="minorHAnsi" w:cstheme="minorHAnsi"/>
        </w:rPr>
        <w:t xml:space="preserve"> further</w:t>
      </w:r>
      <w:r w:rsidR="5AEE5013" w:rsidRPr="00F65CC5">
        <w:rPr>
          <w:rFonts w:asciiTheme="minorHAnsi" w:hAnsiTheme="minorHAnsi" w:cstheme="minorHAnsi"/>
        </w:rPr>
        <w:t xml:space="preserve"> expand our understanding of feminist legal spaces by going beyond the limitations posed by vertical legalities</w:t>
      </w:r>
      <w:r w:rsidR="2CEBA99C" w:rsidRPr="00F65CC5">
        <w:rPr>
          <w:rFonts w:asciiTheme="minorHAnsi" w:hAnsiTheme="minorHAnsi" w:cstheme="minorHAnsi"/>
        </w:rPr>
        <w:t>,</w:t>
      </w:r>
      <w:r w:rsidR="5AEE5013" w:rsidRPr="00F65CC5">
        <w:rPr>
          <w:rFonts w:asciiTheme="minorHAnsi" w:hAnsiTheme="minorHAnsi" w:cstheme="minorHAnsi"/>
        </w:rPr>
        <w:t xml:space="preserve"> </w:t>
      </w:r>
      <w:r w:rsidR="008F6172">
        <w:rPr>
          <w:rFonts w:asciiTheme="minorHAnsi" w:hAnsiTheme="minorHAnsi" w:cstheme="minorHAnsi"/>
        </w:rPr>
        <w:t>which</w:t>
      </w:r>
      <w:r w:rsidR="5AEE5013" w:rsidRPr="00F65CC5">
        <w:rPr>
          <w:rFonts w:asciiTheme="minorHAnsi" w:hAnsiTheme="minorHAnsi" w:cstheme="minorHAnsi"/>
        </w:rPr>
        <w:t xml:space="preserve"> are either top-down or bottom-up</w:t>
      </w:r>
      <w:r w:rsidR="008F6172">
        <w:rPr>
          <w:rFonts w:asciiTheme="minorHAnsi" w:hAnsiTheme="minorHAnsi" w:cstheme="minorHAnsi"/>
        </w:rPr>
        <w:t>,</w:t>
      </w:r>
      <w:r w:rsidR="17A49C4C" w:rsidRPr="00F65CC5">
        <w:rPr>
          <w:rFonts w:asciiTheme="minorHAnsi" w:hAnsiTheme="minorHAnsi" w:cstheme="minorHAnsi"/>
        </w:rPr>
        <w:t xml:space="preserve"> and provide us with a</w:t>
      </w:r>
      <w:r w:rsidR="71443A2F" w:rsidRPr="00F65CC5">
        <w:rPr>
          <w:rFonts w:asciiTheme="minorHAnsi" w:hAnsiTheme="minorHAnsi" w:cstheme="minorHAnsi"/>
        </w:rPr>
        <w:t xml:space="preserve"> </w:t>
      </w:r>
      <w:r w:rsidR="17A49C4C" w:rsidRPr="00F65CC5">
        <w:rPr>
          <w:rFonts w:asciiTheme="minorHAnsi" w:hAnsiTheme="minorHAnsi" w:cstheme="minorHAnsi"/>
        </w:rPr>
        <w:t>method to discover non-vertical legalities</w:t>
      </w:r>
      <w:r w:rsidR="5AEE5013" w:rsidRPr="00F65CC5">
        <w:rPr>
          <w:rFonts w:asciiTheme="minorHAnsi" w:hAnsiTheme="minorHAnsi" w:cstheme="minorHAnsi"/>
        </w:rPr>
        <w:t>.</w:t>
      </w:r>
      <w:r w:rsidR="00B70608" w:rsidRPr="00F65CC5">
        <w:rPr>
          <w:rStyle w:val="FootnoteReference"/>
          <w:rFonts w:asciiTheme="minorHAnsi" w:hAnsiTheme="minorHAnsi" w:cstheme="minorHAnsi"/>
        </w:rPr>
        <w:footnoteReference w:id="48"/>
      </w:r>
      <w:r w:rsidR="5AEE5013" w:rsidRPr="00F65CC5">
        <w:rPr>
          <w:rFonts w:asciiTheme="minorHAnsi" w:hAnsiTheme="minorHAnsi" w:cstheme="minorHAnsi"/>
        </w:rPr>
        <w:t xml:space="preserve"> </w:t>
      </w:r>
    </w:p>
    <w:p w14:paraId="785615A4" w14:textId="77777777" w:rsidR="00847B6C" w:rsidRPr="00F65CC5" w:rsidRDefault="00847B6C" w:rsidP="007933F6">
      <w:pPr>
        <w:ind w:right="-52"/>
        <w:jc w:val="both"/>
        <w:rPr>
          <w:rFonts w:asciiTheme="minorHAnsi" w:hAnsiTheme="minorHAnsi" w:cstheme="minorHAnsi"/>
        </w:rPr>
      </w:pPr>
    </w:p>
    <w:p w14:paraId="5AF280E1" w14:textId="14FA9C64" w:rsidR="00FB1017" w:rsidRPr="00F65CC5" w:rsidRDefault="74AD5ACE" w:rsidP="007933F6">
      <w:pPr>
        <w:ind w:right="89"/>
        <w:jc w:val="both"/>
        <w:rPr>
          <w:rFonts w:asciiTheme="minorHAnsi" w:hAnsiTheme="minorHAnsi" w:cstheme="minorHAnsi"/>
        </w:rPr>
      </w:pPr>
      <w:r w:rsidRPr="00F65CC5">
        <w:rPr>
          <w:rFonts w:asciiTheme="minorHAnsi" w:hAnsiTheme="minorHAnsi" w:cstheme="minorHAnsi"/>
        </w:rPr>
        <w:t>Sally Engle Merry in her well</w:t>
      </w:r>
      <w:r w:rsidR="49064B38" w:rsidRPr="00F65CC5">
        <w:rPr>
          <w:rFonts w:asciiTheme="minorHAnsi" w:hAnsiTheme="minorHAnsi" w:cstheme="minorHAnsi"/>
        </w:rPr>
        <w:t>-</w:t>
      </w:r>
      <w:r w:rsidRPr="00F65CC5">
        <w:rPr>
          <w:rFonts w:asciiTheme="minorHAnsi" w:hAnsiTheme="minorHAnsi" w:cstheme="minorHAnsi"/>
        </w:rPr>
        <w:t xml:space="preserve">known theory, ‘vernacularisation of transnational human rights’, sees </w:t>
      </w:r>
      <w:r w:rsidR="0012067D">
        <w:rPr>
          <w:rFonts w:asciiTheme="minorHAnsi" w:hAnsiTheme="minorHAnsi" w:cstheme="minorHAnsi"/>
        </w:rPr>
        <w:t xml:space="preserve">local </w:t>
      </w:r>
      <w:r w:rsidRPr="00F65CC5">
        <w:rPr>
          <w:rFonts w:asciiTheme="minorHAnsi" w:hAnsiTheme="minorHAnsi" w:cstheme="minorHAnsi"/>
        </w:rPr>
        <w:t>activist</w:t>
      </w:r>
      <w:r w:rsidR="0012067D">
        <w:rPr>
          <w:rFonts w:asciiTheme="minorHAnsi" w:hAnsiTheme="minorHAnsi" w:cstheme="minorHAnsi"/>
        </w:rPr>
        <w:t>s</w:t>
      </w:r>
      <w:r w:rsidRPr="00F65CC5">
        <w:rPr>
          <w:rFonts w:asciiTheme="minorHAnsi" w:hAnsiTheme="minorHAnsi" w:cstheme="minorHAnsi"/>
        </w:rPr>
        <w:t xml:space="preserve"> — while problematising the duality of local and global — as the people in the middle between international law and domestic situations.</w:t>
      </w:r>
      <w:r w:rsidR="007F47D9" w:rsidRPr="00F65CC5">
        <w:rPr>
          <w:rStyle w:val="FootnoteReference"/>
          <w:rFonts w:asciiTheme="minorHAnsi" w:hAnsiTheme="minorHAnsi" w:cstheme="minorHAnsi"/>
        </w:rPr>
        <w:footnoteReference w:id="49"/>
      </w:r>
      <w:r w:rsidRPr="00F65CC5">
        <w:rPr>
          <w:rFonts w:asciiTheme="minorHAnsi" w:hAnsiTheme="minorHAnsi" w:cstheme="minorHAnsi"/>
        </w:rPr>
        <w:t xml:space="preserve"> </w:t>
      </w:r>
      <w:r w:rsidR="775035D7" w:rsidRPr="00F65CC5">
        <w:rPr>
          <w:rFonts w:asciiTheme="minorHAnsi" w:hAnsiTheme="minorHAnsi" w:cstheme="minorHAnsi"/>
        </w:rPr>
        <w:t>The third space hybridity in Merry</w:t>
      </w:r>
      <w:r w:rsidR="087D1259" w:rsidRPr="00F65CC5">
        <w:rPr>
          <w:rFonts w:asciiTheme="minorHAnsi" w:hAnsiTheme="minorHAnsi" w:cstheme="minorHAnsi"/>
        </w:rPr>
        <w:t>‘s theory</w:t>
      </w:r>
      <w:r w:rsidR="775035D7" w:rsidRPr="00F65CC5">
        <w:rPr>
          <w:rFonts w:asciiTheme="minorHAnsi" w:hAnsiTheme="minorHAnsi" w:cstheme="minorHAnsi"/>
        </w:rPr>
        <w:t xml:space="preserve"> challenges the binary in which subject formation is trapped between universal</w:t>
      </w:r>
      <w:r w:rsidR="008E7DDD">
        <w:rPr>
          <w:rFonts w:asciiTheme="minorHAnsi" w:hAnsiTheme="minorHAnsi" w:cstheme="minorHAnsi"/>
        </w:rPr>
        <w:t>ity</w:t>
      </w:r>
      <w:r w:rsidR="775035D7" w:rsidRPr="00F65CC5">
        <w:rPr>
          <w:rFonts w:asciiTheme="minorHAnsi" w:hAnsiTheme="minorHAnsi" w:cstheme="minorHAnsi"/>
        </w:rPr>
        <w:t xml:space="preserve"> and culture</w:t>
      </w:r>
      <w:r w:rsidR="03DE1D89" w:rsidRPr="00F65CC5">
        <w:rPr>
          <w:rFonts w:asciiTheme="minorHAnsi" w:hAnsiTheme="minorHAnsi" w:cstheme="minorHAnsi"/>
        </w:rPr>
        <w:t>, or local and international</w:t>
      </w:r>
      <w:r w:rsidR="775035D7" w:rsidRPr="00F65CC5">
        <w:rPr>
          <w:rFonts w:asciiTheme="minorHAnsi" w:hAnsiTheme="minorHAnsi" w:cstheme="minorHAnsi"/>
        </w:rPr>
        <w:t xml:space="preserve"> crisis. </w:t>
      </w:r>
      <w:r w:rsidR="00FB1017" w:rsidRPr="00F65CC5">
        <w:rPr>
          <w:rStyle w:val="FootnoteReference"/>
          <w:rFonts w:asciiTheme="minorHAnsi" w:hAnsiTheme="minorHAnsi" w:cstheme="minorHAnsi"/>
        </w:rPr>
        <w:footnoteReference w:id="50"/>
      </w:r>
      <w:r w:rsidR="775035D7" w:rsidRPr="00F65CC5">
        <w:rPr>
          <w:rFonts w:asciiTheme="minorHAnsi" w:hAnsiTheme="minorHAnsi" w:cstheme="minorHAnsi"/>
        </w:rPr>
        <w:t xml:space="preserve"> Vernacular theory refers</w:t>
      </w:r>
      <w:r w:rsidR="54F5A2E8" w:rsidRPr="00F65CC5">
        <w:rPr>
          <w:rFonts w:asciiTheme="minorHAnsi" w:hAnsiTheme="minorHAnsi" w:cstheme="minorHAnsi"/>
        </w:rPr>
        <w:t xml:space="preserve"> to</w:t>
      </w:r>
      <w:r w:rsidR="775035D7" w:rsidRPr="00F65CC5">
        <w:rPr>
          <w:rFonts w:asciiTheme="minorHAnsi" w:hAnsiTheme="minorHAnsi" w:cstheme="minorHAnsi"/>
        </w:rPr>
        <w:t xml:space="preserve"> the reception, transformation or rejection of global rules by local realities and communities.</w:t>
      </w:r>
      <w:r w:rsidR="00FB1017" w:rsidRPr="00F65CC5">
        <w:rPr>
          <w:rStyle w:val="FootnoteReference"/>
          <w:rFonts w:asciiTheme="minorHAnsi" w:hAnsiTheme="minorHAnsi" w:cstheme="minorHAnsi"/>
        </w:rPr>
        <w:footnoteReference w:id="51"/>
      </w:r>
      <w:r w:rsidR="775035D7" w:rsidRPr="00F65CC5">
        <w:rPr>
          <w:rFonts w:asciiTheme="minorHAnsi" w:hAnsiTheme="minorHAnsi" w:cstheme="minorHAnsi"/>
        </w:rPr>
        <w:t xml:space="preserve"> In other words, ‘vernacularisation means the localization or indigenization of transnational’.</w:t>
      </w:r>
      <w:r w:rsidR="00FB1017" w:rsidRPr="00F65CC5">
        <w:rPr>
          <w:rStyle w:val="FootnoteReference"/>
          <w:rFonts w:asciiTheme="minorHAnsi" w:hAnsiTheme="minorHAnsi" w:cstheme="minorHAnsi"/>
        </w:rPr>
        <w:footnoteReference w:id="52"/>
      </w:r>
      <w:r w:rsidR="775035D7" w:rsidRPr="00F65CC5">
        <w:rPr>
          <w:rFonts w:asciiTheme="minorHAnsi" w:hAnsiTheme="minorHAnsi" w:cstheme="minorHAnsi"/>
        </w:rPr>
        <w:t xml:space="preserve"> </w:t>
      </w:r>
      <w:r w:rsidR="0512F093" w:rsidRPr="00F65CC5">
        <w:rPr>
          <w:rFonts w:asciiTheme="minorHAnsi" w:hAnsiTheme="minorHAnsi" w:cstheme="minorHAnsi"/>
        </w:rPr>
        <w:t>Although t</w:t>
      </w:r>
      <w:r w:rsidR="775035D7" w:rsidRPr="00F65CC5">
        <w:rPr>
          <w:rFonts w:asciiTheme="minorHAnsi" w:hAnsiTheme="minorHAnsi" w:cstheme="minorHAnsi"/>
        </w:rPr>
        <w:t>his is generally assumed to have happened from transnational to local</w:t>
      </w:r>
      <w:r w:rsidR="4D2A6E59" w:rsidRPr="00F65CC5">
        <w:rPr>
          <w:rFonts w:asciiTheme="minorHAnsi" w:hAnsiTheme="minorHAnsi" w:cstheme="minorHAnsi"/>
        </w:rPr>
        <w:t>,</w:t>
      </w:r>
      <w:r w:rsidR="775035D7" w:rsidRPr="00F65CC5">
        <w:rPr>
          <w:rFonts w:asciiTheme="minorHAnsi" w:hAnsiTheme="minorHAnsi" w:cstheme="minorHAnsi"/>
        </w:rPr>
        <w:t xml:space="preserve"> with the activists translating the international to local</w:t>
      </w:r>
      <w:r w:rsidR="0512F093" w:rsidRPr="00F65CC5">
        <w:rPr>
          <w:rFonts w:asciiTheme="minorHAnsi" w:hAnsiTheme="minorHAnsi" w:cstheme="minorHAnsi"/>
        </w:rPr>
        <w:t xml:space="preserve"> or local to international, what Merry identifies </w:t>
      </w:r>
      <w:r w:rsidR="0512F093" w:rsidRPr="00F65CC5">
        <w:rPr>
          <w:rFonts w:asciiTheme="minorHAnsi" w:hAnsiTheme="minorHAnsi" w:cstheme="minorHAnsi"/>
        </w:rPr>
        <w:lastRenderedPageBreak/>
        <w:t>as the middle is an obscure space which is generated through</w:t>
      </w:r>
      <w:r w:rsidR="775035D7" w:rsidRPr="00F65CC5">
        <w:rPr>
          <w:rFonts w:asciiTheme="minorHAnsi" w:hAnsiTheme="minorHAnsi" w:cstheme="minorHAnsi"/>
        </w:rPr>
        <w:t xml:space="preserve"> contact</w:t>
      </w:r>
      <w:r w:rsidR="0512F093" w:rsidRPr="00F65CC5">
        <w:rPr>
          <w:rFonts w:asciiTheme="minorHAnsi" w:hAnsiTheme="minorHAnsi" w:cstheme="minorHAnsi"/>
        </w:rPr>
        <w:t xml:space="preserve"> and resistance. It is</w:t>
      </w:r>
      <w:r w:rsidR="775035D7" w:rsidRPr="00F65CC5">
        <w:rPr>
          <w:rFonts w:asciiTheme="minorHAnsi" w:hAnsiTheme="minorHAnsi" w:cstheme="minorHAnsi"/>
        </w:rPr>
        <w:t xml:space="preserve"> a hybrid</w:t>
      </w:r>
      <w:r w:rsidR="02D56F83" w:rsidRPr="00F65CC5">
        <w:rPr>
          <w:rFonts w:asciiTheme="minorHAnsi" w:hAnsiTheme="minorHAnsi" w:cstheme="minorHAnsi"/>
        </w:rPr>
        <w:t xml:space="preserve"> place</w:t>
      </w:r>
      <w:r w:rsidR="0512F093" w:rsidRPr="00F65CC5">
        <w:rPr>
          <w:rFonts w:asciiTheme="minorHAnsi" w:hAnsiTheme="minorHAnsi" w:cstheme="minorHAnsi"/>
        </w:rPr>
        <w:t>,</w:t>
      </w:r>
      <w:r w:rsidR="6A908747" w:rsidRPr="00F65CC5">
        <w:rPr>
          <w:rFonts w:asciiTheme="minorHAnsi" w:hAnsiTheme="minorHAnsi" w:cstheme="minorHAnsi"/>
        </w:rPr>
        <w:t xml:space="preserve"> </w:t>
      </w:r>
      <w:r w:rsidR="1B3D4C78" w:rsidRPr="00F65CC5">
        <w:rPr>
          <w:rFonts w:asciiTheme="minorHAnsi" w:hAnsiTheme="minorHAnsi" w:cstheme="minorHAnsi"/>
        </w:rPr>
        <w:t>where</w:t>
      </w:r>
      <w:r w:rsidR="6A908747" w:rsidRPr="00F65CC5">
        <w:rPr>
          <w:rFonts w:asciiTheme="minorHAnsi" w:hAnsiTheme="minorHAnsi" w:cstheme="minorHAnsi"/>
        </w:rPr>
        <w:t xml:space="preserve"> negotiation occurs in a transformative way.</w:t>
      </w:r>
    </w:p>
    <w:p w14:paraId="59DE19DF" w14:textId="77777777" w:rsidR="00FB1017" w:rsidRPr="00F65CC5" w:rsidRDefault="00FB1017" w:rsidP="007933F6">
      <w:pPr>
        <w:ind w:right="798"/>
        <w:jc w:val="both"/>
        <w:rPr>
          <w:rFonts w:asciiTheme="minorHAnsi" w:hAnsiTheme="minorHAnsi" w:cstheme="minorHAnsi"/>
        </w:rPr>
      </w:pPr>
    </w:p>
    <w:p w14:paraId="38935954" w14:textId="77777777" w:rsidR="00FB1017" w:rsidRPr="00F65CC5" w:rsidRDefault="00FB1017" w:rsidP="007933F6">
      <w:pPr>
        <w:ind w:left="851" w:right="1417"/>
        <w:jc w:val="both"/>
        <w:rPr>
          <w:rFonts w:asciiTheme="minorHAnsi" w:hAnsiTheme="minorHAnsi" w:cstheme="minorHAnsi"/>
        </w:rPr>
      </w:pPr>
      <w:r w:rsidRPr="00F65CC5">
        <w:rPr>
          <w:rFonts w:asciiTheme="minorHAnsi" w:hAnsiTheme="minorHAnsi" w:cstheme="minorHAnsi"/>
        </w:rPr>
        <w:t>Thus, rather than offering local interpretations of abstract and universal rights principles, vernacular rights cultures work to transform and shape transnational imaginaries, principles, and practices of rights. Transnational practices and principles of rights thus reflect a history of struggle that is both local and transnational.</w:t>
      </w:r>
      <w:r w:rsidRPr="00F65CC5">
        <w:rPr>
          <w:rStyle w:val="FootnoteReference"/>
          <w:rFonts w:asciiTheme="minorHAnsi" w:hAnsiTheme="minorHAnsi" w:cstheme="minorHAnsi"/>
        </w:rPr>
        <w:footnoteReference w:id="53"/>
      </w:r>
      <w:r w:rsidRPr="00F65CC5">
        <w:rPr>
          <w:rFonts w:asciiTheme="minorHAnsi" w:hAnsiTheme="minorHAnsi" w:cstheme="minorHAnsi"/>
        </w:rPr>
        <w:t xml:space="preserve"> </w:t>
      </w:r>
    </w:p>
    <w:p w14:paraId="07D6B2C7" w14:textId="77777777" w:rsidR="00FB1017" w:rsidRPr="00F65CC5" w:rsidRDefault="00FB1017" w:rsidP="007933F6">
      <w:pPr>
        <w:ind w:left="851" w:right="1417"/>
        <w:jc w:val="both"/>
        <w:rPr>
          <w:rFonts w:asciiTheme="minorHAnsi" w:hAnsiTheme="minorHAnsi" w:cstheme="minorHAnsi"/>
        </w:rPr>
      </w:pPr>
    </w:p>
    <w:p w14:paraId="529525CD" w14:textId="2DB246F3" w:rsidR="00FB1017" w:rsidRPr="00F65CC5" w:rsidRDefault="4D8A8030" w:rsidP="007933F6">
      <w:pPr>
        <w:ind w:right="-52"/>
        <w:jc w:val="both"/>
        <w:rPr>
          <w:rFonts w:asciiTheme="minorHAnsi" w:hAnsiTheme="minorHAnsi" w:cstheme="minorHAnsi"/>
        </w:rPr>
      </w:pPr>
      <w:r w:rsidRPr="00F65CC5">
        <w:rPr>
          <w:rFonts w:asciiTheme="minorHAnsi" w:hAnsiTheme="minorHAnsi" w:cstheme="minorHAnsi"/>
        </w:rPr>
        <w:t>Opposed to a</w:t>
      </w:r>
      <w:r w:rsidR="775035D7" w:rsidRPr="00F65CC5">
        <w:rPr>
          <w:rFonts w:asciiTheme="minorHAnsi" w:hAnsiTheme="minorHAnsi" w:cstheme="minorHAnsi"/>
        </w:rPr>
        <w:t xml:space="preserve"> top-down or bottom-up linear understanding of law-making, vernacularisation of rights creates a space that does not belong to </w:t>
      </w:r>
      <w:r w:rsidR="54F5A2E8" w:rsidRPr="00F65CC5">
        <w:rPr>
          <w:rFonts w:asciiTheme="minorHAnsi" w:hAnsiTheme="minorHAnsi" w:cstheme="minorHAnsi"/>
        </w:rPr>
        <w:t xml:space="preserve">the </w:t>
      </w:r>
      <w:r w:rsidR="775035D7" w:rsidRPr="00F65CC5">
        <w:rPr>
          <w:rFonts w:asciiTheme="minorHAnsi" w:hAnsiTheme="minorHAnsi" w:cstheme="minorHAnsi"/>
        </w:rPr>
        <w:t>local or international</w:t>
      </w:r>
      <w:r w:rsidR="4A6CC628" w:rsidRPr="00F65CC5">
        <w:rPr>
          <w:rFonts w:asciiTheme="minorHAnsi" w:hAnsiTheme="minorHAnsi" w:cstheme="minorHAnsi"/>
        </w:rPr>
        <w:t>,</w:t>
      </w:r>
      <w:r w:rsidR="775035D7" w:rsidRPr="00F65CC5">
        <w:rPr>
          <w:rFonts w:asciiTheme="minorHAnsi" w:hAnsiTheme="minorHAnsi" w:cstheme="minorHAnsi"/>
        </w:rPr>
        <w:t xml:space="preserve"> and this space </w:t>
      </w:r>
      <w:r w:rsidR="3C921D8F" w:rsidRPr="00F65CC5">
        <w:rPr>
          <w:rFonts w:asciiTheme="minorHAnsi" w:hAnsiTheme="minorHAnsi" w:cstheme="minorHAnsi"/>
        </w:rPr>
        <w:t xml:space="preserve">can </w:t>
      </w:r>
      <w:r w:rsidR="775035D7" w:rsidRPr="00F65CC5">
        <w:rPr>
          <w:rFonts w:asciiTheme="minorHAnsi" w:hAnsiTheme="minorHAnsi" w:cstheme="minorHAnsi"/>
        </w:rPr>
        <w:t xml:space="preserve">emerge through resistance and activism. This space is safeguarded by the people in the middle, </w:t>
      </w:r>
      <w:r w:rsidR="54F5A2E8" w:rsidRPr="00F65CC5">
        <w:rPr>
          <w:rFonts w:asciiTheme="minorHAnsi" w:hAnsiTheme="minorHAnsi" w:cstheme="minorHAnsi"/>
        </w:rPr>
        <w:t xml:space="preserve">the activists, who are the </w:t>
      </w:r>
      <w:r w:rsidR="775035D7" w:rsidRPr="00F65CC5">
        <w:rPr>
          <w:rFonts w:asciiTheme="minorHAnsi" w:hAnsiTheme="minorHAnsi" w:cstheme="minorHAnsi"/>
        </w:rPr>
        <w:t>translators of local to transnational and vice versa. This space is transformative</w:t>
      </w:r>
      <w:r w:rsidR="61EF12F1" w:rsidRPr="00F65CC5">
        <w:rPr>
          <w:rFonts w:asciiTheme="minorHAnsi" w:hAnsiTheme="minorHAnsi" w:cstheme="minorHAnsi"/>
        </w:rPr>
        <w:t>,</w:t>
      </w:r>
      <w:r w:rsidR="775035D7" w:rsidRPr="00F65CC5">
        <w:rPr>
          <w:rFonts w:asciiTheme="minorHAnsi" w:hAnsiTheme="minorHAnsi" w:cstheme="minorHAnsi"/>
        </w:rPr>
        <w:t xml:space="preserve"> enabl</w:t>
      </w:r>
      <w:r w:rsidR="54F5A2E8" w:rsidRPr="00F65CC5">
        <w:rPr>
          <w:rFonts w:asciiTheme="minorHAnsi" w:hAnsiTheme="minorHAnsi" w:cstheme="minorHAnsi"/>
        </w:rPr>
        <w:t>ing</w:t>
      </w:r>
      <w:r w:rsidR="775035D7" w:rsidRPr="00F65CC5">
        <w:rPr>
          <w:rFonts w:asciiTheme="minorHAnsi" w:hAnsiTheme="minorHAnsi" w:cstheme="minorHAnsi"/>
        </w:rPr>
        <w:t xml:space="preserve"> possibilities and </w:t>
      </w:r>
      <w:r w:rsidR="54F5A2E8" w:rsidRPr="00F65CC5">
        <w:rPr>
          <w:rFonts w:asciiTheme="minorHAnsi" w:hAnsiTheme="minorHAnsi" w:cstheme="minorHAnsi"/>
        </w:rPr>
        <w:t xml:space="preserve">the </w:t>
      </w:r>
      <w:r w:rsidR="775035D7" w:rsidRPr="00F65CC5">
        <w:rPr>
          <w:rFonts w:asciiTheme="minorHAnsi" w:hAnsiTheme="minorHAnsi" w:cstheme="minorHAnsi"/>
        </w:rPr>
        <w:t>new to emerge.</w:t>
      </w:r>
      <w:r w:rsidR="00FB1017" w:rsidRPr="00F65CC5">
        <w:rPr>
          <w:rStyle w:val="FootnoteReference"/>
          <w:rFonts w:asciiTheme="minorHAnsi" w:hAnsiTheme="minorHAnsi" w:cstheme="minorHAnsi"/>
        </w:rPr>
        <w:footnoteReference w:id="54"/>
      </w:r>
      <w:r w:rsidR="775035D7" w:rsidRPr="00F65CC5">
        <w:rPr>
          <w:rFonts w:asciiTheme="minorHAnsi" w:hAnsiTheme="minorHAnsi" w:cstheme="minorHAnsi"/>
        </w:rPr>
        <w:t xml:space="preserve"> </w:t>
      </w:r>
    </w:p>
    <w:p w14:paraId="23B11154" w14:textId="77777777" w:rsidR="00FB1017" w:rsidRPr="00F65CC5" w:rsidRDefault="00FB1017" w:rsidP="007933F6">
      <w:pPr>
        <w:ind w:right="-52"/>
        <w:jc w:val="both"/>
        <w:rPr>
          <w:rFonts w:asciiTheme="minorHAnsi" w:hAnsiTheme="minorHAnsi" w:cstheme="minorHAnsi"/>
        </w:rPr>
      </w:pPr>
    </w:p>
    <w:p w14:paraId="62AEA3BB" w14:textId="0E4A0DED" w:rsidR="00BD4346" w:rsidRPr="00F65CC5" w:rsidRDefault="74AD5ACE" w:rsidP="007933F6">
      <w:pPr>
        <w:ind w:right="-52"/>
        <w:jc w:val="both"/>
        <w:rPr>
          <w:rFonts w:asciiTheme="minorHAnsi" w:hAnsiTheme="minorHAnsi" w:cstheme="minorHAnsi"/>
        </w:rPr>
      </w:pPr>
      <w:r w:rsidRPr="00F65CC5">
        <w:rPr>
          <w:rFonts w:asciiTheme="minorHAnsi" w:hAnsiTheme="minorHAnsi" w:cstheme="minorHAnsi"/>
        </w:rPr>
        <w:t>The activists in the ‘middle’ translate international law and apply it to local situations where the violation occurs</w:t>
      </w:r>
      <w:r w:rsidR="32544D7A" w:rsidRPr="00F65CC5">
        <w:rPr>
          <w:rFonts w:asciiTheme="minorHAnsi" w:hAnsiTheme="minorHAnsi" w:cstheme="minorHAnsi"/>
        </w:rPr>
        <w:t>,</w:t>
      </w:r>
      <w:r w:rsidR="54F5A2E8" w:rsidRPr="00F65CC5">
        <w:rPr>
          <w:rFonts w:asciiTheme="minorHAnsi" w:hAnsiTheme="minorHAnsi" w:cstheme="minorHAnsi"/>
        </w:rPr>
        <w:t xml:space="preserve"> while </w:t>
      </w:r>
      <w:r w:rsidRPr="00F65CC5">
        <w:rPr>
          <w:rFonts w:asciiTheme="minorHAnsi" w:hAnsiTheme="minorHAnsi" w:cstheme="minorHAnsi"/>
        </w:rPr>
        <w:t>also translat</w:t>
      </w:r>
      <w:r w:rsidR="54F5A2E8" w:rsidRPr="00F65CC5">
        <w:rPr>
          <w:rFonts w:asciiTheme="minorHAnsi" w:hAnsiTheme="minorHAnsi" w:cstheme="minorHAnsi"/>
        </w:rPr>
        <w:t>ing</w:t>
      </w:r>
      <w:r w:rsidRPr="00F65CC5">
        <w:rPr>
          <w:rFonts w:asciiTheme="minorHAnsi" w:hAnsiTheme="minorHAnsi" w:cstheme="minorHAnsi"/>
        </w:rPr>
        <w:t xml:space="preserve"> local demands of legal recognition</w:t>
      </w:r>
      <w:r w:rsidR="00D03F2D" w:rsidRPr="00F65CC5">
        <w:rPr>
          <w:rFonts w:asciiTheme="minorHAnsi" w:hAnsiTheme="minorHAnsi" w:cstheme="minorHAnsi"/>
        </w:rPr>
        <w:t xml:space="preserve"> </w:t>
      </w:r>
      <w:r w:rsidRPr="00F65CC5">
        <w:rPr>
          <w:rFonts w:asciiTheme="minorHAnsi" w:hAnsiTheme="minorHAnsi" w:cstheme="minorHAnsi"/>
        </w:rPr>
        <w:t>to international law.</w:t>
      </w:r>
      <w:r w:rsidR="007F47D9" w:rsidRPr="00F65CC5">
        <w:rPr>
          <w:rStyle w:val="FootnoteReference"/>
          <w:rFonts w:asciiTheme="minorHAnsi" w:hAnsiTheme="minorHAnsi" w:cstheme="minorHAnsi"/>
        </w:rPr>
        <w:footnoteReference w:id="55"/>
      </w:r>
      <w:r w:rsidRPr="00F65CC5">
        <w:rPr>
          <w:rFonts w:asciiTheme="minorHAnsi" w:hAnsiTheme="minorHAnsi" w:cstheme="minorHAnsi"/>
        </w:rPr>
        <w:t xml:space="preserve"> They deal with the conflict and contradictions arising from international law-making.</w:t>
      </w:r>
      <w:r w:rsidR="007F47D9" w:rsidRPr="00F65CC5">
        <w:rPr>
          <w:rStyle w:val="FootnoteReference"/>
          <w:rFonts w:asciiTheme="minorHAnsi" w:hAnsiTheme="minorHAnsi" w:cstheme="minorHAnsi"/>
        </w:rPr>
        <w:footnoteReference w:id="56"/>
      </w:r>
      <w:r w:rsidRPr="00F65CC5">
        <w:rPr>
          <w:rFonts w:asciiTheme="minorHAnsi" w:hAnsiTheme="minorHAnsi" w:cstheme="minorHAnsi"/>
        </w:rPr>
        <w:t xml:space="preserve"> They become the negotiators between international law and people in the domestic jurisdiction who will benefit </w:t>
      </w:r>
      <w:r w:rsidR="029CA059" w:rsidRPr="00F65CC5">
        <w:rPr>
          <w:rFonts w:asciiTheme="minorHAnsi" w:hAnsiTheme="minorHAnsi" w:cstheme="minorHAnsi"/>
        </w:rPr>
        <w:t xml:space="preserve">from </w:t>
      </w:r>
      <w:r w:rsidRPr="00F65CC5">
        <w:rPr>
          <w:rFonts w:asciiTheme="minorHAnsi" w:hAnsiTheme="minorHAnsi" w:cstheme="minorHAnsi"/>
        </w:rPr>
        <w:t>the international law’s provisions.</w:t>
      </w:r>
      <w:r w:rsidR="007F47D9" w:rsidRPr="00F65CC5">
        <w:rPr>
          <w:rStyle w:val="FootnoteReference"/>
          <w:rFonts w:asciiTheme="minorHAnsi" w:hAnsiTheme="minorHAnsi" w:cstheme="minorHAnsi"/>
        </w:rPr>
        <w:footnoteReference w:id="57"/>
      </w:r>
      <w:r w:rsidR="11D31A22" w:rsidRPr="00F65CC5">
        <w:rPr>
          <w:rFonts w:asciiTheme="minorHAnsi" w:hAnsiTheme="minorHAnsi" w:cstheme="minorHAnsi"/>
        </w:rPr>
        <w:t xml:space="preserve"> </w:t>
      </w:r>
      <w:r w:rsidRPr="00F65CC5">
        <w:rPr>
          <w:rFonts w:asciiTheme="minorHAnsi" w:hAnsiTheme="minorHAnsi" w:cstheme="minorHAnsi"/>
        </w:rPr>
        <w:t>The translators re-make the law within the local</w:t>
      </w:r>
      <w:r w:rsidR="7FF4A3D5" w:rsidRPr="00F65CC5">
        <w:rPr>
          <w:rFonts w:asciiTheme="minorHAnsi" w:hAnsiTheme="minorHAnsi" w:cstheme="minorHAnsi"/>
        </w:rPr>
        <w:t>,</w:t>
      </w:r>
      <w:r w:rsidR="0E334668" w:rsidRPr="00F65CC5">
        <w:rPr>
          <w:rFonts w:asciiTheme="minorHAnsi" w:hAnsiTheme="minorHAnsi" w:cstheme="minorHAnsi"/>
        </w:rPr>
        <w:t xml:space="preserve"> but the hybrid space they created</w:t>
      </w:r>
      <w:r w:rsidR="3B8E5026" w:rsidRPr="00F65CC5">
        <w:rPr>
          <w:rFonts w:asciiTheme="minorHAnsi" w:hAnsiTheme="minorHAnsi" w:cstheme="minorHAnsi"/>
        </w:rPr>
        <w:t xml:space="preserve"> through</w:t>
      </w:r>
      <w:r w:rsidR="0E334668" w:rsidRPr="00F65CC5">
        <w:rPr>
          <w:rFonts w:asciiTheme="minorHAnsi" w:hAnsiTheme="minorHAnsi" w:cstheme="minorHAnsi"/>
        </w:rPr>
        <w:t xml:space="preserve"> resistance cannot be located within the local or international</w:t>
      </w:r>
      <w:r w:rsidR="008F73FB">
        <w:rPr>
          <w:rFonts w:asciiTheme="minorHAnsi" w:hAnsiTheme="minorHAnsi" w:cstheme="minorHAnsi"/>
        </w:rPr>
        <w:t>;</w:t>
      </w:r>
      <w:r w:rsidR="7D1372B7" w:rsidRPr="00F65CC5">
        <w:rPr>
          <w:rFonts w:asciiTheme="minorHAnsi" w:hAnsiTheme="minorHAnsi" w:cstheme="minorHAnsi"/>
        </w:rPr>
        <w:t xml:space="preserve"> rather</w:t>
      </w:r>
      <w:r w:rsidR="008F73FB">
        <w:rPr>
          <w:rFonts w:asciiTheme="minorHAnsi" w:hAnsiTheme="minorHAnsi" w:cstheme="minorHAnsi"/>
        </w:rPr>
        <w:t>,</w:t>
      </w:r>
      <w:r w:rsidR="0E334668" w:rsidRPr="00F65CC5">
        <w:rPr>
          <w:rFonts w:asciiTheme="minorHAnsi" w:hAnsiTheme="minorHAnsi" w:cstheme="minorHAnsi"/>
        </w:rPr>
        <w:t xml:space="preserve"> it is neither</w:t>
      </w:r>
      <w:r w:rsidRPr="00F65CC5">
        <w:rPr>
          <w:rFonts w:asciiTheme="minorHAnsi" w:hAnsiTheme="minorHAnsi" w:cstheme="minorHAnsi"/>
        </w:rPr>
        <w:t>.</w:t>
      </w:r>
      <w:r w:rsidR="007F47D9" w:rsidRPr="00F65CC5">
        <w:rPr>
          <w:rStyle w:val="FootnoteReference"/>
          <w:rFonts w:asciiTheme="minorHAnsi" w:hAnsiTheme="minorHAnsi" w:cstheme="minorHAnsi"/>
        </w:rPr>
        <w:footnoteReference w:id="58"/>
      </w:r>
      <w:r w:rsidRPr="00F65CC5">
        <w:rPr>
          <w:rFonts w:asciiTheme="minorHAnsi" w:hAnsiTheme="minorHAnsi" w:cstheme="minorHAnsi"/>
        </w:rPr>
        <w:t xml:space="preserve"> It is a feminist translation of micropolitical situations that reproduce the international law in the vernacular.</w:t>
      </w:r>
      <w:r w:rsidR="007F47D9" w:rsidRPr="00F65CC5">
        <w:rPr>
          <w:rStyle w:val="FootnoteReference"/>
          <w:rFonts w:asciiTheme="minorHAnsi" w:hAnsiTheme="minorHAnsi" w:cstheme="minorHAnsi"/>
        </w:rPr>
        <w:footnoteReference w:id="59"/>
      </w:r>
      <w:r w:rsidRPr="00F65CC5">
        <w:rPr>
          <w:rFonts w:asciiTheme="minorHAnsi" w:hAnsiTheme="minorHAnsi" w:cstheme="minorHAnsi"/>
        </w:rPr>
        <w:t xml:space="preserve"> Instead of a </w:t>
      </w:r>
      <w:r w:rsidR="008F73FB">
        <w:rPr>
          <w:rFonts w:asciiTheme="minorHAnsi" w:hAnsiTheme="minorHAnsi" w:cstheme="minorHAnsi"/>
        </w:rPr>
        <w:t>one-way</w:t>
      </w:r>
      <w:r w:rsidRPr="00F65CC5">
        <w:rPr>
          <w:rFonts w:asciiTheme="minorHAnsi" w:hAnsiTheme="minorHAnsi" w:cstheme="minorHAnsi"/>
        </w:rPr>
        <w:t xml:space="preserve"> and vertical stream translation, it is </w:t>
      </w:r>
      <w:r w:rsidR="1CF05FAD" w:rsidRPr="00F65CC5">
        <w:rPr>
          <w:rFonts w:asciiTheme="minorHAnsi" w:hAnsiTheme="minorHAnsi" w:cstheme="minorHAnsi"/>
        </w:rPr>
        <w:t xml:space="preserve">a </w:t>
      </w:r>
      <w:r w:rsidRPr="00F65CC5">
        <w:rPr>
          <w:rFonts w:asciiTheme="minorHAnsi" w:hAnsiTheme="minorHAnsi" w:cstheme="minorHAnsi"/>
        </w:rPr>
        <w:t xml:space="preserve">remaking of human rights in </w:t>
      </w:r>
      <w:r w:rsidR="70EE4334" w:rsidRPr="00F65CC5">
        <w:rPr>
          <w:rFonts w:asciiTheme="minorHAnsi" w:hAnsiTheme="minorHAnsi" w:cstheme="minorHAnsi"/>
        </w:rPr>
        <w:t>a</w:t>
      </w:r>
      <w:r w:rsidRPr="00F65CC5">
        <w:rPr>
          <w:rFonts w:asciiTheme="minorHAnsi" w:hAnsiTheme="minorHAnsi" w:cstheme="minorHAnsi"/>
        </w:rPr>
        <w:t xml:space="preserve"> </w:t>
      </w:r>
      <w:r w:rsidR="0E334668" w:rsidRPr="00F65CC5">
        <w:rPr>
          <w:rFonts w:asciiTheme="minorHAnsi" w:hAnsiTheme="minorHAnsi" w:cstheme="minorHAnsi"/>
        </w:rPr>
        <w:t>feminist legal space</w:t>
      </w:r>
      <w:r w:rsidR="7DDE6152" w:rsidRPr="00F65CC5">
        <w:rPr>
          <w:rFonts w:asciiTheme="minorHAnsi" w:hAnsiTheme="minorHAnsi" w:cstheme="minorHAnsi"/>
        </w:rPr>
        <w:t>.</w:t>
      </w:r>
      <w:r w:rsidRPr="00F65CC5">
        <w:rPr>
          <w:rFonts w:asciiTheme="minorHAnsi" w:hAnsiTheme="minorHAnsi" w:cstheme="minorHAnsi"/>
        </w:rPr>
        <w:t xml:space="preserve"> This remaking is done within a hybrid space.</w:t>
      </w:r>
      <w:r w:rsidR="007F47D9" w:rsidRPr="00F65CC5">
        <w:rPr>
          <w:rStyle w:val="FootnoteReference"/>
          <w:rFonts w:asciiTheme="minorHAnsi" w:hAnsiTheme="minorHAnsi" w:cstheme="minorHAnsi"/>
        </w:rPr>
        <w:footnoteReference w:id="60"/>
      </w:r>
      <w:r w:rsidRPr="00F65CC5">
        <w:rPr>
          <w:rFonts w:asciiTheme="minorHAnsi" w:hAnsiTheme="minorHAnsi" w:cstheme="minorHAnsi"/>
        </w:rPr>
        <w:t xml:space="preserve"> The hybrid space is one of the unlikely spaces where feminist law-making can be observed. A hybrid space emerges where there is resistance against the dominant culture. Feminist resistance therefore creates this hybrid space by challenging the State, international law and their local and international patriarchal allies. </w:t>
      </w:r>
      <w:r w:rsidR="2C8D0BEE" w:rsidRPr="00F65CC5">
        <w:rPr>
          <w:rFonts w:asciiTheme="minorHAnsi" w:hAnsiTheme="minorHAnsi" w:cstheme="minorHAnsi"/>
        </w:rPr>
        <w:t xml:space="preserve">This hybrid space is transformative and obscures the top-bottom, bottom-up binary direction of law-making by not adhering to </w:t>
      </w:r>
      <w:r w:rsidR="201DFF1B" w:rsidRPr="00F65CC5">
        <w:rPr>
          <w:rFonts w:asciiTheme="minorHAnsi" w:hAnsiTheme="minorHAnsi" w:cstheme="minorHAnsi"/>
        </w:rPr>
        <w:t xml:space="preserve">a </w:t>
      </w:r>
      <w:r w:rsidR="2C8D0BEE" w:rsidRPr="00F65CC5">
        <w:rPr>
          <w:rFonts w:asciiTheme="minorHAnsi" w:hAnsiTheme="minorHAnsi" w:cstheme="minorHAnsi"/>
        </w:rPr>
        <w:t>singular, vertical space of law.</w:t>
      </w:r>
    </w:p>
    <w:p w14:paraId="0A6450C2" w14:textId="457AE83C" w:rsidR="00101F49" w:rsidRPr="00F65CC5" w:rsidRDefault="00101F49" w:rsidP="007933F6">
      <w:pPr>
        <w:ind w:right="-52"/>
        <w:jc w:val="both"/>
        <w:rPr>
          <w:rFonts w:asciiTheme="minorHAnsi" w:hAnsiTheme="minorHAnsi" w:cstheme="minorHAnsi"/>
        </w:rPr>
      </w:pPr>
    </w:p>
    <w:p w14:paraId="22449E89" w14:textId="2B954400" w:rsidR="00190293" w:rsidRDefault="184AF5B3" w:rsidP="007933F6">
      <w:pPr>
        <w:jc w:val="both"/>
        <w:rPr>
          <w:rFonts w:asciiTheme="minorHAnsi" w:hAnsiTheme="minorHAnsi" w:cstheme="minorHAnsi"/>
        </w:rPr>
      </w:pPr>
      <w:r w:rsidRPr="00F65CC5">
        <w:rPr>
          <w:rFonts w:asciiTheme="minorHAnsi" w:hAnsiTheme="minorHAnsi" w:cstheme="minorHAnsi"/>
        </w:rPr>
        <w:t>At this point</w:t>
      </w:r>
      <w:r w:rsidR="00DD4F0D">
        <w:rPr>
          <w:rFonts w:asciiTheme="minorHAnsi" w:hAnsiTheme="minorHAnsi" w:cstheme="minorHAnsi"/>
        </w:rPr>
        <w:t>,</w:t>
      </w:r>
      <w:r w:rsidRPr="00F65CC5">
        <w:rPr>
          <w:rFonts w:asciiTheme="minorHAnsi" w:hAnsiTheme="minorHAnsi" w:cstheme="minorHAnsi"/>
        </w:rPr>
        <w:t xml:space="preserve"> Merry and Davies’ approaches share a similar view that challenges the positive and formal limitations of law that constrain legality to a State-centric space. While Merry critiques the linear law-making mechanisms, Davies analyses the broader legal spaces that are horizontal. In other words, Merry identifies the space between international and national legal spaces, </w:t>
      </w:r>
      <w:r w:rsidR="00F9584F">
        <w:rPr>
          <w:rFonts w:asciiTheme="minorHAnsi" w:hAnsiTheme="minorHAnsi" w:cstheme="minorHAnsi"/>
        </w:rPr>
        <w:t xml:space="preserve">while </w:t>
      </w:r>
      <w:r w:rsidRPr="00F65CC5">
        <w:rPr>
          <w:rFonts w:asciiTheme="minorHAnsi" w:hAnsiTheme="minorHAnsi" w:cstheme="minorHAnsi"/>
        </w:rPr>
        <w:t>Davies determines horizontal</w:t>
      </w:r>
      <w:r w:rsidR="03E662F2" w:rsidRPr="00F65CC5">
        <w:rPr>
          <w:rFonts w:asciiTheme="minorHAnsi" w:hAnsiTheme="minorHAnsi" w:cstheme="minorHAnsi"/>
        </w:rPr>
        <w:t>,</w:t>
      </w:r>
      <w:r w:rsidRPr="00F65CC5">
        <w:rPr>
          <w:rFonts w:asciiTheme="minorHAnsi" w:hAnsiTheme="minorHAnsi" w:cstheme="minorHAnsi"/>
        </w:rPr>
        <w:t xml:space="preserve"> sideway</w:t>
      </w:r>
      <w:r w:rsidR="4CC845D2" w:rsidRPr="00F65CC5">
        <w:rPr>
          <w:rFonts w:asciiTheme="minorHAnsi" w:hAnsiTheme="minorHAnsi" w:cstheme="minorHAnsi"/>
        </w:rPr>
        <w:t>s and</w:t>
      </w:r>
      <w:r w:rsidRPr="00F65CC5">
        <w:rPr>
          <w:rFonts w:asciiTheme="minorHAnsi" w:hAnsiTheme="minorHAnsi" w:cstheme="minorHAnsi"/>
        </w:rPr>
        <w:t xml:space="preserve"> </w:t>
      </w:r>
      <w:r w:rsidR="00F9584F">
        <w:rPr>
          <w:rFonts w:asciiTheme="minorHAnsi" w:hAnsiTheme="minorHAnsi" w:cstheme="minorHAnsi"/>
        </w:rPr>
        <w:t>flattened-out</w:t>
      </w:r>
      <w:r w:rsidRPr="00F65CC5">
        <w:rPr>
          <w:rFonts w:asciiTheme="minorHAnsi" w:hAnsiTheme="minorHAnsi" w:cstheme="minorHAnsi"/>
        </w:rPr>
        <w:t xml:space="preserve"> legal spaces. Legal spaces are multiple and non-vertical.  Merry and Davies</w:t>
      </w:r>
      <w:r w:rsidR="34AFCD24" w:rsidRPr="00F65CC5">
        <w:rPr>
          <w:rFonts w:asciiTheme="minorHAnsi" w:hAnsiTheme="minorHAnsi" w:cstheme="minorHAnsi"/>
        </w:rPr>
        <w:t>’</w:t>
      </w:r>
      <w:r w:rsidRPr="00F65CC5">
        <w:rPr>
          <w:rFonts w:asciiTheme="minorHAnsi" w:hAnsiTheme="minorHAnsi" w:cstheme="minorHAnsi"/>
        </w:rPr>
        <w:t xml:space="preserve"> understanding of legal spaces could </w:t>
      </w:r>
      <w:r w:rsidRPr="00F65CC5">
        <w:rPr>
          <w:rFonts w:asciiTheme="minorHAnsi" w:hAnsiTheme="minorHAnsi" w:cstheme="minorHAnsi"/>
        </w:rPr>
        <w:lastRenderedPageBreak/>
        <w:t>be further expanded through Sabine Muller-Mall’s trifold analyses of legal spaces whose interconnection produces law. According to Muller-Mall</w:t>
      </w:r>
      <w:r w:rsidR="387726CB" w:rsidRPr="00F65CC5">
        <w:rPr>
          <w:rFonts w:asciiTheme="minorHAnsi" w:hAnsiTheme="minorHAnsi" w:cstheme="minorHAnsi"/>
        </w:rPr>
        <w:t>,</w:t>
      </w:r>
      <w:r w:rsidRPr="00F65CC5">
        <w:rPr>
          <w:rFonts w:asciiTheme="minorHAnsi" w:hAnsiTheme="minorHAnsi" w:cstheme="minorHAnsi"/>
        </w:rPr>
        <w:t xml:space="preserve"> the first space is the space of legal norms, the second is the space of judicial </w:t>
      </w:r>
      <w:r w:rsidR="41898C1C" w:rsidRPr="00F65CC5">
        <w:rPr>
          <w:rFonts w:asciiTheme="minorHAnsi" w:hAnsiTheme="minorHAnsi" w:cstheme="minorHAnsi"/>
        </w:rPr>
        <w:t>decisions,</w:t>
      </w:r>
      <w:r w:rsidRPr="00F65CC5">
        <w:rPr>
          <w:rFonts w:asciiTheme="minorHAnsi" w:hAnsiTheme="minorHAnsi" w:cstheme="minorHAnsi"/>
        </w:rPr>
        <w:t xml:space="preserve"> and the third is the space of legal thinking.  The interconnection among these spaces produces law as a ‘hybrid, relational and dynamic </w:t>
      </w:r>
      <w:r w:rsidR="34AFCD24" w:rsidRPr="00F65CC5">
        <w:rPr>
          <w:rFonts w:asciiTheme="minorHAnsi" w:hAnsiTheme="minorHAnsi" w:cstheme="minorHAnsi"/>
        </w:rPr>
        <w:t>constellation</w:t>
      </w:r>
      <w:r w:rsidRPr="00F65CC5">
        <w:rPr>
          <w:rFonts w:asciiTheme="minorHAnsi" w:hAnsiTheme="minorHAnsi" w:cstheme="minorHAnsi"/>
        </w:rPr>
        <w:t>’.</w:t>
      </w:r>
      <w:r w:rsidR="00B42CC5">
        <w:rPr>
          <w:rStyle w:val="FootnoteReference"/>
          <w:rFonts w:asciiTheme="minorHAnsi" w:hAnsiTheme="minorHAnsi" w:cstheme="minorHAnsi"/>
        </w:rPr>
        <w:footnoteReference w:id="61"/>
      </w:r>
      <w:r w:rsidRPr="00F65CC5">
        <w:rPr>
          <w:rFonts w:asciiTheme="minorHAnsi" w:hAnsiTheme="minorHAnsi" w:cstheme="minorHAnsi"/>
        </w:rPr>
        <w:t xml:space="preserve"> </w:t>
      </w:r>
      <w:r w:rsidR="34AFCD24" w:rsidRPr="00F65CC5">
        <w:rPr>
          <w:rFonts w:asciiTheme="minorHAnsi" w:hAnsiTheme="minorHAnsi" w:cstheme="minorHAnsi"/>
        </w:rPr>
        <w:t>Therefore,</w:t>
      </w:r>
      <w:r w:rsidRPr="00F65CC5">
        <w:rPr>
          <w:rFonts w:asciiTheme="minorHAnsi" w:hAnsiTheme="minorHAnsi" w:cstheme="minorHAnsi"/>
        </w:rPr>
        <w:t xml:space="preserve"> feminist legal engagements with law do not only include engagements with formal and linear mechanisms of law but </w:t>
      </w:r>
      <w:r w:rsidR="002709C6">
        <w:rPr>
          <w:rFonts w:asciiTheme="minorHAnsi" w:hAnsiTheme="minorHAnsi" w:cstheme="minorHAnsi"/>
        </w:rPr>
        <w:t>also encompass</w:t>
      </w:r>
      <w:r w:rsidRPr="00F65CC5">
        <w:rPr>
          <w:rFonts w:asciiTheme="minorHAnsi" w:hAnsiTheme="minorHAnsi" w:cstheme="minorHAnsi"/>
        </w:rPr>
        <w:t xml:space="preserve"> a form of law-making hidden in unlikely, horizontal, hybrid spaces of feminist </w:t>
      </w:r>
      <w:r w:rsidR="00930D69" w:rsidRPr="00F65CC5">
        <w:rPr>
          <w:rFonts w:asciiTheme="minorHAnsi" w:hAnsiTheme="minorHAnsi" w:cstheme="minorHAnsi"/>
        </w:rPr>
        <w:t>resistance</w:t>
      </w:r>
      <w:r w:rsidR="00930D69">
        <w:rPr>
          <w:rFonts w:asciiTheme="minorHAnsi" w:hAnsiTheme="minorHAnsi" w:cstheme="minorHAnsi"/>
        </w:rPr>
        <w:t>,</w:t>
      </w:r>
      <w:r w:rsidRPr="00F65CC5">
        <w:rPr>
          <w:rFonts w:asciiTheme="minorHAnsi" w:hAnsiTheme="minorHAnsi" w:cstheme="minorHAnsi"/>
        </w:rPr>
        <w:t xml:space="preserve"> as can be found in feminist activism in Türkiye against the State’s withdrawal from </w:t>
      </w:r>
      <w:r w:rsidR="7C38700A" w:rsidRPr="00F65CC5">
        <w:rPr>
          <w:rFonts w:asciiTheme="minorHAnsi" w:hAnsiTheme="minorHAnsi" w:cstheme="minorHAnsi"/>
        </w:rPr>
        <w:t xml:space="preserve">the </w:t>
      </w:r>
      <w:r w:rsidRPr="00F65CC5">
        <w:rPr>
          <w:rFonts w:asciiTheme="minorHAnsi" w:hAnsiTheme="minorHAnsi" w:cstheme="minorHAnsi"/>
        </w:rPr>
        <w:t>Istanbul Convention. This approach of recognising other possible legal spaces could also be observed in Catherine O’Rou</w:t>
      </w:r>
      <w:r w:rsidR="34AFCD24" w:rsidRPr="00F65CC5">
        <w:rPr>
          <w:rFonts w:asciiTheme="minorHAnsi" w:hAnsiTheme="minorHAnsi" w:cstheme="minorHAnsi"/>
        </w:rPr>
        <w:t>r</w:t>
      </w:r>
      <w:r w:rsidRPr="00F65CC5">
        <w:rPr>
          <w:rFonts w:asciiTheme="minorHAnsi" w:hAnsiTheme="minorHAnsi" w:cstheme="minorHAnsi"/>
        </w:rPr>
        <w:t>ke’s analys</w:t>
      </w:r>
      <w:r w:rsidR="00F8086F">
        <w:rPr>
          <w:rFonts w:asciiTheme="minorHAnsi" w:hAnsiTheme="minorHAnsi" w:cstheme="minorHAnsi"/>
        </w:rPr>
        <w:t>i</w:t>
      </w:r>
      <w:r w:rsidRPr="00F65CC5">
        <w:rPr>
          <w:rFonts w:asciiTheme="minorHAnsi" w:hAnsiTheme="minorHAnsi" w:cstheme="minorHAnsi"/>
        </w:rPr>
        <w:t>s of feminist campaigning.</w:t>
      </w:r>
      <w:r w:rsidR="00B271E9" w:rsidRPr="00F65CC5">
        <w:rPr>
          <w:rStyle w:val="FootnoteReference"/>
          <w:rFonts w:asciiTheme="minorHAnsi" w:hAnsiTheme="minorHAnsi" w:cstheme="minorHAnsi"/>
        </w:rPr>
        <w:footnoteReference w:id="62"/>
      </w:r>
      <w:r w:rsidRPr="00F65CC5">
        <w:rPr>
          <w:rFonts w:asciiTheme="minorHAnsi" w:hAnsiTheme="minorHAnsi" w:cstheme="minorHAnsi"/>
        </w:rPr>
        <w:t xml:space="preserve"> </w:t>
      </w:r>
      <w:r w:rsidR="34AFCD24" w:rsidRPr="00F65CC5">
        <w:rPr>
          <w:rFonts w:asciiTheme="minorHAnsi" w:hAnsiTheme="minorHAnsi" w:cstheme="minorHAnsi"/>
        </w:rPr>
        <w:t>O’Rourke</w:t>
      </w:r>
      <w:r w:rsidRPr="00F65CC5">
        <w:rPr>
          <w:rFonts w:asciiTheme="minorHAnsi" w:hAnsiTheme="minorHAnsi" w:cstheme="minorHAnsi"/>
        </w:rPr>
        <w:t xml:space="preserve"> identified three different strands of feminist engagement with international law</w:t>
      </w:r>
      <w:r w:rsidR="34AFCD24" w:rsidRPr="00F65CC5">
        <w:rPr>
          <w:rFonts w:asciiTheme="minorHAnsi" w:hAnsiTheme="minorHAnsi" w:cstheme="minorHAnsi"/>
        </w:rPr>
        <w:t>,</w:t>
      </w:r>
      <w:r w:rsidRPr="00F65CC5">
        <w:rPr>
          <w:rFonts w:asciiTheme="minorHAnsi" w:hAnsiTheme="minorHAnsi" w:cstheme="minorHAnsi"/>
        </w:rPr>
        <w:t xml:space="preserve"> analysing the feminist campaign for the implementation of </w:t>
      </w:r>
      <w:r w:rsidR="004238A2">
        <w:rPr>
          <w:rFonts w:asciiTheme="minorHAnsi" w:hAnsiTheme="minorHAnsi" w:cstheme="minorHAnsi"/>
        </w:rPr>
        <w:t xml:space="preserve">the </w:t>
      </w:r>
      <w:r w:rsidRPr="00F65CC5">
        <w:rPr>
          <w:rFonts w:asciiTheme="minorHAnsi" w:hAnsiTheme="minorHAnsi" w:cstheme="minorHAnsi"/>
        </w:rPr>
        <w:t>United Nations Security Council Resolution 1325 on Women, Peace and Security</w:t>
      </w:r>
      <w:r w:rsidR="00F8086F">
        <w:rPr>
          <w:rFonts w:asciiTheme="minorHAnsi" w:hAnsiTheme="minorHAnsi" w:cstheme="minorHAnsi"/>
        </w:rPr>
        <w:t xml:space="preserve"> (2000)</w:t>
      </w:r>
      <w:r w:rsidRPr="00F65CC5">
        <w:rPr>
          <w:rFonts w:asciiTheme="minorHAnsi" w:hAnsiTheme="minorHAnsi" w:cstheme="minorHAnsi"/>
        </w:rPr>
        <w:t xml:space="preserve"> in Northern Ireland. In her analys</w:t>
      </w:r>
      <w:r w:rsidR="00F8086F">
        <w:rPr>
          <w:rFonts w:asciiTheme="minorHAnsi" w:hAnsiTheme="minorHAnsi" w:cstheme="minorHAnsi"/>
        </w:rPr>
        <w:t>i</w:t>
      </w:r>
      <w:r w:rsidRPr="00F65CC5">
        <w:rPr>
          <w:rFonts w:asciiTheme="minorHAnsi" w:hAnsiTheme="minorHAnsi" w:cstheme="minorHAnsi"/>
        </w:rPr>
        <w:t>s</w:t>
      </w:r>
      <w:r w:rsidR="00F8086F">
        <w:rPr>
          <w:rFonts w:asciiTheme="minorHAnsi" w:hAnsiTheme="minorHAnsi" w:cstheme="minorHAnsi"/>
        </w:rPr>
        <w:t>,</w:t>
      </w:r>
      <w:r w:rsidR="34AFCD24" w:rsidRPr="00F65CC5">
        <w:rPr>
          <w:rFonts w:asciiTheme="minorHAnsi" w:hAnsiTheme="minorHAnsi" w:cstheme="minorHAnsi"/>
        </w:rPr>
        <w:t xml:space="preserve"> ‘</w:t>
      </w:r>
      <w:r w:rsidRPr="00F65CC5">
        <w:rPr>
          <w:rFonts w:asciiTheme="minorHAnsi" w:hAnsiTheme="minorHAnsi" w:cstheme="minorHAnsi"/>
        </w:rPr>
        <w:t>[</w:t>
      </w:r>
      <w:proofErr w:type="spellStart"/>
      <w:r w:rsidRPr="00F65CC5">
        <w:rPr>
          <w:rFonts w:asciiTheme="minorHAnsi" w:hAnsiTheme="minorHAnsi" w:cstheme="minorHAnsi"/>
        </w:rPr>
        <w:t>i</w:t>
      </w:r>
      <w:proofErr w:type="spellEnd"/>
      <w:r w:rsidRPr="00F65CC5">
        <w:rPr>
          <w:rFonts w:asciiTheme="minorHAnsi" w:hAnsiTheme="minorHAnsi" w:cstheme="minorHAnsi"/>
        </w:rPr>
        <w:t>]</w:t>
      </w:r>
      <w:proofErr w:type="spellStart"/>
      <w:r w:rsidRPr="00F65CC5">
        <w:rPr>
          <w:rFonts w:asciiTheme="minorHAnsi" w:hAnsiTheme="minorHAnsi" w:cstheme="minorHAnsi"/>
        </w:rPr>
        <w:t>nternational</w:t>
      </w:r>
      <w:proofErr w:type="spellEnd"/>
      <w:r w:rsidRPr="00F65CC5">
        <w:rPr>
          <w:rFonts w:asciiTheme="minorHAnsi" w:hAnsiTheme="minorHAnsi" w:cstheme="minorHAnsi"/>
        </w:rPr>
        <w:t xml:space="preserve"> law is understood, first, as a system of rules to which states are bound; second, as an avenue for the articulation of shared feminist values; and</w:t>
      </w:r>
      <w:r w:rsidR="006644AB">
        <w:rPr>
          <w:rFonts w:asciiTheme="minorHAnsi" w:hAnsiTheme="minorHAnsi" w:cstheme="minorHAnsi"/>
        </w:rPr>
        <w:t xml:space="preserve"> </w:t>
      </w:r>
      <w:r w:rsidRPr="00F65CC5">
        <w:rPr>
          <w:rFonts w:asciiTheme="minorHAnsi" w:hAnsiTheme="minorHAnsi" w:cstheme="minorHAnsi"/>
        </w:rPr>
        <w:t xml:space="preserve">third, as a political tool to advance feminist demands.’ </w:t>
      </w:r>
      <w:r w:rsidR="00B271E9" w:rsidRPr="00F65CC5">
        <w:rPr>
          <w:rStyle w:val="FootnoteReference"/>
          <w:rFonts w:asciiTheme="minorHAnsi" w:hAnsiTheme="minorHAnsi" w:cstheme="minorHAnsi"/>
        </w:rPr>
        <w:footnoteReference w:id="63"/>
      </w:r>
      <w:r w:rsidRPr="00F65CC5">
        <w:rPr>
          <w:rFonts w:asciiTheme="minorHAnsi" w:hAnsiTheme="minorHAnsi" w:cstheme="minorHAnsi"/>
        </w:rPr>
        <w:t xml:space="preserve"> She in sum reads feminist engagement with law </w:t>
      </w:r>
      <w:r w:rsidR="34AFCD24" w:rsidRPr="00F65CC5">
        <w:rPr>
          <w:rFonts w:asciiTheme="minorHAnsi" w:hAnsiTheme="minorHAnsi" w:cstheme="minorHAnsi"/>
        </w:rPr>
        <w:t xml:space="preserve">as </w:t>
      </w:r>
      <w:r w:rsidRPr="00F65CC5">
        <w:rPr>
          <w:rFonts w:asciiTheme="minorHAnsi" w:hAnsiTheme="minorHAnsi" w:cstheme="minorHAnsi"/>
        </w:rPr>
        <w:t>not limited to positive law and vertical legalities.</w:t>
      </w:r>
      <w:r w:rsidR="00B271E9" w:rsidRPr="00F65CC5">
        <w:rPr>
          <w:rStyle w:val="FootnoteReference"/>
          <w:rFonts w:asciiTheme="minorHAnsi" w:hAnsiTheme="minorHAnsi" w:cstheme="minorHAnsi"/>
        </w:rPr>
        <w:footnoteReference w:id="64"/>
      </w:r>
      <w:r w:rsidRPr="00F65CC5">
        <w:rPr>
          <w:rFonts w:asciiTheme="minorHAnsi" w:hAnsiTheme="minorHAnsi" w:cstheme="minorHAnsi"/>
        </w:rPr>
        <w:t xml:space="preserve"> These three features </w:t>
      </w:r>
      <w:r w:rsidR="34AFCD24" w:rsidRPr="00F65CC5">
        <w:rPr>
          <w:rFonts w:asciiTheme="minorHAnsi" w:hAnsiTheme="minorHAnsi" w:cstheme="minorHAnsi"/>
        </w:rPr>
        <w:t>O’Rourke</w:t>
      </w:r>
      <w:r w:rsidRPr="00F65CC5">
        <w:rPr>
          <w:rFonts w:asciiTheme="minorHAnsi" w:hAnsiTheme="minorHAnsi" w:cstheme="minorHAnsi"/>
        </w:rPr>
        <w:t xml:space="preserve"> identifies are omnipresent in the campaign against Türkiye’s withdrawal from the Istanbul Convention. </w:t>
      </w:r>
      <w:r w:rsidR="00B95132">
        <w:rPr>
          <w:rFonts w:asciiTheme="minorHAnsi" w:hAnsiTheme="minorHAnsi" w:cstheme="minorHAnsi"/>
        </w:rPr>
        <w:t>F</w:t>
      </w:r>
      <w:r w:rsidRPr="00F65CC5">
        <w:rPr>
          <w:rFonts w:asciiTheme="minorHAnsi" w:hAnsiTheme="minorHAnsi" w:cstheme="minorHAnsi"/>
        </w:rPr>
        <w:t>eminist engagement with law is not restricted to positive law as binding rules</w:t>
      </w:r>
      <w:r w:rsidR="00C7233B">
        <w:rPr>
          <w:rFonts w:asciiTheme="minorHAnsi" w:hAnsiTheme="minorHAnsi" w:cstheme="minorHAnsi"/>
        </w:rPr>
        <w:t>,</w:t>
      </w:r>
      <w:r w:rsidRPr="00F65CC5">
        <w:rPr>
          <w:rFonts w:asciiTheme="minorHAnsi" w:hAnsiTheme="minorHAnsi" w:cstheme="minorHAnsi"/>
        </w:rPr>
        <w:t xml:space="preserve"> but also embodies </w:t>
      </w:r>
      <w:r w:rsidR="00C7233B">
        <w:rPr>
          <w:rFonts w:asciiTheme="minorHAnsi" w:hAnsiTheme="minorHAnsi" w:cstheme="minorHAnsi"/>
        </w:rPr>
        <w:t xml:space="preserve">the </w:t>
      </w:r>
      <w:r w:rsidRPr="00F65CC5">
        <w:rPr>
          <w:rFonts w:asciiTheme="minorHAnsi" w:hAnsiTheme="minorHAnsi" w:cstheme="minorHAnsi"/>
        </w:rPr>
        <w:t xml:space="preserve">creation of intersectional and global feminist values and a political tool to realise feminist demands. </w:t>
      </w:r>
    </w:p>
    <w:p w14:paraId="57BB7C32" w14:textId="77777777" w:rsidR="00190293" w:rsidRDefault="00190293" w:rsidP="007933F6">
      <w:pPr>
        <w:jc w:val="both"/>
        <w:rPr>
          <w:rFonts w:asciiTheme="minorHAnsi" w:hAnsiTheme="minorHAnsi" w:cstheme="minorHAnsi"/>
        </w:rPr>
      </w:pPr>
    </w:p>
    <w:p w14:paraId="722E0BDD" w14:textId="70BC2FE6" w:rsidR="00603772" w:rsidRDefault="184AF5B3" w:rsidP="007933F6">
      <w:pPr>
        <w:jc w:val="both"/>
        <w:rPr>
          <w:rFonts w:asciiTheme="minorHAnsi" w:hAnsiTheme="minorHAnsi" w:cstheme="minorHAnsi"/>
        </w:rPr>
      </w:pPr>
      <w:r w:rsidRPr="00F65CC5">
        <w:rPr>
          <w:rFonts w:asciiTheme="minorHAnsi" w:hAnsiTheme="minorHAnsi" w:cstheme="minorHAnsi"/>
        </w:rPr>
        <w:t xml:space="preserve">Returning to </w:t>
      </w:r>
      <w:r w:rsidR="00190293">
        <w:rPr>
          <w:rFonts w:asciiTheme="minorHAnsi" w:hAnsiTheme="minorHAnsi" w:cstheme="minorHAnsi"/>
        </w:rPr>
        <w:t>Davies'</w:t>
      </w:r>
      <w:r w:rsidRPr="00F65CC5">
        <w:rPr>
          <w:rFonts w:asciiTheme="minorHAnsi" w:hAnsiTheme="minorHAnsi" w:cstheme="minorHAnsi"/>
        </w:rPr>
        <w:t xml:space="preserve"> critique that asserts ‘the entry point for feminist legal analysis is constituted by a denial of other possible legal spaces</w:t>
      </w:r>
      <w:r w:rsidR="00486064">
        <w:rPr>
          <w:rFonts w:asciiTheme="minorHAnsi" w:hAnsiTheme="minorHAnsi" w:cstheme="minorHAnsi"/>
        </w:rPr>
        <w:t>’</w:t>
      </w:r>
      <w:r w:rsidR="00190293">
        <w:rPr>
          <w:rFonts w:asciiTheme="minorHAnsi" w:hAnsiTheme="minorHAnsi" w:cstheme="minorHAnsi"/>
        </w:rPr>
        <w:t>,</w:t>
      </w:r>
      <w:r w:rsidRPr="00F65CC5">
        <w:rPr>
          <w:rFonts w:asciiTheme="minorHAnsi" w:hAnsiTheme="minorHAnsi" w:cstheme="minorHAnsi"/>
        </w:rPr>
        <w:t xml:space="preserve"> our entry point for feminist legal analysis is the recognition and exploration of other possible legal spaces </w:t>
      </w:r>
      <w:r w:rsidR="57A9AF2C" w:rsidRPr="00F65CC5">
        <w:rPr>
          <w:rFonts w:asciiTheme="minorHAnsi" w:hAnsiTheme="minorHAnsi" w:cstheme="minorHAnsi"/>
        </w:rPr>
        <w:t>where</w:t>
      </w:r>
      <w:r w:rsidRPr="00F65CC5">
        <w:rPr>
          <w:rFonts w:asciiTheme="minorHAnsi" w:hAnsiTheme="minorHAnsi" w:cstheme="minorHAnsi"/>
        </w:rPr>
        <w:t xml:space="preserve"> feminist law-making takes place.</w:t>
      </w:r>
      <w:r w:rsidR="00443A24">
        <w:rPr>
          <w:rStyle w:val="FootnoteReference"/>
          <w:rFonts w:asciiTheme="minorHAnsi" w:hAnsiTheme="minorHAnsi" w:cstheme="minorHAnsi"/>
        </w:rPr>
        <w:footnoteReference w:id="65"/>
      </w:r>
      <w:r w:rsidRPr="00F65CC5">
        <w:rPr>
          <w:rFonts w:asciiTheme="minorHAnsi" w:hAnsiTheme="minorHAnsi" w:cstheme="minorHAnsi"/>
        </w:rPr>
        <w:t xml:space="preserve"> </w:t>
      </w:r>
      <w:r w:rsidR="00486064">
        <w:rPr>
          <w:rFonts w:asciiTheme="minorHAnsi" w:hAnsiTheme="minorHAnsi" w:cstheme="minorHAnsi"/>
        </w:rPr>
        <w:t>With</w:t>
      </w:r>
      <w:r w:rsidRPr="00F65CC5">
        <w:rPr>
          <w:rFonts w:asciiTheme="minorHAnsi" w:hAnsiTheme="minorHAnsi" w:cstheme="minorHAnsi"/>
        </w:rPr>
        <w:t xml:space="preserve"> that aim</w:t>
      </w:r>
      <w:r w:rsidR="00082729">
        <w:rPr>
          <w:rFonts w:asciiTheme="minorHAnsi" w:hAnsiTheme="minorHAnsi" w:cstheme="minorHAnsi"/>
        </w:rPr>
        <w:t>,</w:t>
      </w:r>
      <w:r w:rsidRPr="00F65CC5">
        <w:rPr>
          <w:rFonts w:asciiTheme="minorHAnsi" w:hAnsiTheme="minorHAnsi" w:cstheme="minorHAnsi"/>
        </w:rPr>
        <w:t xml:space="preserve"> we focus on unlikely, horizontal and hybrid spaces that emerged as a resistance to the disappearance of the Istanbul Convention and illustrate feminist legal spatiality. We will neglect and de-centralise vertical and traditional lenses to detect those places that are not visible if our vision of international </w:t>
      </w:r>
      <w:r w:rsidR="34AFCD24" w:rsidRPr="00F65CC5">
        <w:rPr>
          <w:rFonts w:asciiTheme="minorHAnsi" w:hAnsiTheme="minorHAnsi" w:cstheme="minorHAnsi"/>
        </w:rPr>
        <w:t>law-making</w:t>
      </w:r>
      <w:r w:rsidRPr="00F65CC5">
        <w:rPr>
          <w:rFonts w:asciiTheme="minorHAnsi" w:hAnsiTheme="minorHAnsi" w:cstheme="minorHAnsi"/>
        </w:rPr>
        <w:t xml:space="preserve"> is limited to vertical</w:t>
      </w:r>
      <w:r w:rsidR="007670DA">
        <w:rPr>
          <w:rFonts w:asciiTheme="minorHAnsi" w:hAnsiTheme="minorHAnsi" w:cstheme="minorHAnsi"/>
        </w:rPr>
        <w:t>,</w:t>
      </w:r>
      <w:r w:rsidRPr="00F65CC5">
        <w:rPr>
          <w:rFonts w:asciiTheme="minorHAnsi" w:hAnsiTheme="minorHAnsi" w:cstheme="minorHAnsi"/>
        </w:rPr>
        <w:t xml:space="preserve"> </w:t>
      </w:r>
      <w:r w:rsidR="007670DA">
        <w:rPr>
          <w:rFonts w:asciiTheme="minorHAnsi" w:hAnsiTheme="minorHAnsi" w:cstheme="minorHAnsi"/>
        </w:rPr>
        <w:t>S</w:t>
      </w:r>
      <w:r w:rsidRPr="00F65CC5">
        <w:rPr>
          <w:rFonts w:asciiTheme="minorHAnsi" w:hAnsiTheme="minorHAnsi" w:cstheme="minorHAnsi"/>
        </w:rPr>
        <w:t>tate</w:t>
      </w:r>
      <w:r w:rsidR="611E687A" w:rsidRPr="00F65CC5">
        <w:rPr>
          <w:rFonts w:asciiTheme="minorHAnsi" w:hAnsiTheme="minorHAnsi" w:cstheme="minorHAnsi"/>
        </w:rPr>
        <w:t>-centric</w:t>
      </w:r>
      <w:r w:rsidRPr="00F65CC5">
        <w:rPr>
          <w:rFonts w:asciiTheme="minorHAnsi" w:hAnsiTheme="minorHAnsi" w:cstheme="minorHAnsi"/>
        </w:rPr>
        <w:t xml:space="preserve"> law. </w:t>
      </w:r>
      <w:r w:rsidR="0FFFBEB1" w:rsidRPr="00F65CC5">
        <w:rPr>
          <w:rFonts w:asciiTheme="minorHAnsi" w:hAnsiTheme="minorHAnsi" w:cstheme="minorHAnsi"/>
        </w:rPr>
        <w:t>If we</w:t>
      </w:r>
      <w:r w:rsidRPr="00F65CC5">
        <w:rPr>
          <w:rFonts w:asciiTheme="minorHAnsi" w:hAnsiTheme="minorHAnsi" w:cstheme="minorHAnsi"/>
        </w:rPr>
        <w:t xml:space="preserve"> again re</w:t>
      </w:r>
      <w:r w:rsidR="0FFFBEB1" w:rsidRPr="00F65CC5">
        <w:rPr>
          <w:rFonts w:asciiTheme="minorHAnsi" w:hAnsiTheme="minorHAnsi" w:cstheme="minorHAnsi"/>
        </w:rPr>
        <w:t xml:space="preserve">turn to </w:t>
      </w:r>
      <w:r w:rsidR="0B658ACD" w:rsidRPr="00F65CC5">
        <w:rPr>
          <w:rFonts w:asciiTheme="minorHAnsi" w:hAnsiTheme="minorHAnsi" w:cstheme="minorHAnsi"/>
        </w:rPr>
        <w:t>Davies</w:t>
      </w:r>
      <w:r w:rsidR="0FFFBEB1" w:rsidRPr="00F65CC5">
        <w:rPr>
          <w:rFonts w:asciiTheme="minorHAnsi" w:hAnsiTheme="minorHAnsi" w:cstheme="minorHAnsi"/>
        </w:rPr>
        <w:t xml:space="preserve">’ flat law, it </w:t>
      </w:r>
      <w:r w:rsidR="2C8D0BEE" w:rsidRPr="00F65CC5">
        <w:rPr>
          <w:rFonts w:asciiTheme="minorHAnsi" w:hAnsiTheme="minorHAnsi" w:cstheme="minorHAnsi"/>
        </w:rPr>
        <w:t>‘names and prioritises the multiple locations, manifestations and interpretative possibilities of law</w:t>
      </w:r>
      <w:r w:rsidR="007670DA">
        <w:rPr>
          <w:rFonts w:asciiTheme="minorHAnsi" w:hAnsiTheme="minorHAnsi" w:cstheme="minorHAnsi"/>
        </w:rPr>
        <w:t>’</w:t>
      </w:r>
      <w:r w:rsidR="0FFFBEB1" w:rsidRPr="00F65CC5">
        <w:rPr>
          <w:rFonts w:asciiTheme="minorHAnsi" w:hAnsiTheme="minorHAnsi" w:cstheme="minorHAnsi"/>
        </w:rPr>
        <w:t>.</w:t>
      </w:r>
      <w:r w:rsidR="005C78DD" w:rsidRPr="00F65CC5">
        <w:rPr>
          <w:rStyle w:val="FootnoteReference"/>
          <w:rFonts w:asciiTheme="minorHAnsi" w:hAnsiTheme="minorHAnsi" w:cstheme="minorHAnsi"/>
        </w:rPr>
        <w:footnoteReference w:id="66"/>
      </w:r>
      <w:r w:rsidR="2C8D0BEE" w:rsidRPr="00F65CC5">
        <w:rPr>
          <w:rFonts w:asciiTheme="minorHAnsi" w:hAnsiTheme="minorHAnsi" w:cstheme="minorHAnsi"/>
        </w:rPr>
        <w:t xml:space="preserve"> </w:t>
      </w:r>
      <w:r w:rsidR="0FFFBEB1" w:rsidRPr="00F65CC5">
        <w:rPr>
          <w:rFonts w:asciiTheme="minorHAnsi" w:hAnsiTheme="minorHAnsi" w:cstheme="minorHAnsi"/>
        </w:rPr>
        <w:t xml:space="preserve">According to </w:t>
      </w:r>
      <w:r w:rsidR="34AFCD24" w:rsidRPr="00F65CC5">
        <w:rPr>
          <w:rFonts w:asciiTheme="minorHAnsi" w:hAnsiTheme="minorHAnsi" w:cstheme="minorHAnsi"/>
        </w:rPr>
        <w:t xml:space="preserve">Davies, </w:t>
      </w:r>
      <w:r w:rsidR="0FFFBEB1" w:rsidRPr="00F65CC5">
        <w:rPr>
          <w:rFonts w:asciiTheme="minorHAnsi" w:hAnsiTheme="minorHAnsi" w:cstheme="minorHAnsi"/>
        </w:rPr>
        <w:t>flat law i</w:t>
      </w:r>
      <w:r w:rsidR="2C8D0BEE" w:rsidRPr="00F65CC5">
        <w:rPr>
          <w:rFonts w:asciiTheme="minorHAnsi" w:hAnsiTheme="minorHAnsi" w:cstheme="minorHAnsi"/>
        </w:rPr>
        <w:t>s an intrinsic, inseparable part of vertical state law.</w:t>
      </w:r>
      <w:r w:rsidR="005C78DD" w:rsidRPr="00F65CC5">
        <w:rPr>
          <w:rStyle w:val="FootnoteReference"/>
          <w:rFonts w:asciiTheme="minorHAnsi" w:hAnsiTheme="minorHAnsi" w:cstheme="minorHAnsi"/>
        </w:rPr>
        <w:footnoteReference w:id="67"/>
      </w:r>
      <w:r w:rsidR="0FFFBEB1" w:rsidRPr="00F65CC5">
        <w:rPr>
          <w:rFonts w:asciiTheme="minorHAnsi" w:hAnsiTheme="minorHAnsi" w:cstheme="minorHAnsi"/>
        </w:rPr>
        <w:t xml:space="preserve"> </w:t>
      </w:r>
      <w:r w:rsidR="202267BC" w:rsidRPr="00F65CC5">
        <w:rPr>
          <w:rFonts w:asciiTheme="minorHAnsi" w:hAnsiTheme="minorHAnsi" w:cstheme="minorHAnsi"/>
        </w:rPr>
        <w:t xml:space="preserve">The vertical </w:t>
      </w:r>
      <w:r w:rsidR="5749B93E" w:rsidRPr="00F65CC5">
        <w:rPr>
          <w:rFonts w:asciiTheme="minorHAnsi" w:hAnsiTheme="minorHAnsi" w:cstheme="minorHAnsi"/>
        </w:rPr>
        <w:t xml:space="preserve">legal </w:t>
      </w:r>
      <w:r w:rsidR="202267BC" w:rsidRPr="00F65CC5">
        <w:rPr>
          <w:rFonts w:asciiTheme="minorHAnsi" w:hAnsiTheme="minorHAnsi" w:cstheme="minorHAnsi"/>
        </w:rPr>
        <w:t xml:space="preserve">order </w:t>
      </w:r>
      <w:r w:rsidR="38668421" w:rsidRPr="00F65CC5">
        <w:rPr>
          <w:rFonts w:asciiTheme="minorHAnsi" w:hAnsiTheme="minorHAnsi" w:cstheme="minorHAnsi"/>
        </w:rPr>
        <w:t>clouds the</w:t>
      </w:r>
      <w:r w:rsidR="202267BC" w:rsidRPr="00F65CC5">
        <w:rPr>
          <w:rFonts w:asciiTheme="minorHAnsi" w:hAnsiTheme="minorHAnsi" w:cstheme="minorHAnsi"/>
        </w:rPr>
        <w:t xml:space="preserve"> landscape</w:t>
      </w:r>
      <w:r w:rsidR="5749B93E" w:rsidRPr="00F65CC5">
        <w:rPr>
          <w:rFonts w:asciiTheme="minorHAnsi" w:hAnsiTheme="minorHAnsi" w:cstheme="minorHAnsi"/>
        </w:rPr>
        <w:t>s</w:t>
      </w:r>
      <w:r w:rsidR="202267BC" w:rsidRPr="00F65CC5">
        <w:rPr>
          <w:rFonts w:asciiTheme="minorHAnsi" w:hAnsiTheme="minorHAnsi" w:cstheme="minorHAnsi"/>
        </w:rPr>
        <w:t xml:space="preserve"> of different </w:t>
      </w:r>
      <w:proofErr w:type="spellStart"/>
      <w:r w:rsidR="202267BC" w:rsidRPr="00F65CC5">
        <w:rPr>
          <w:rFonts w:asciiTheme="minorHAnsi" w:hAnsiTheme="minorHAnsi" w:cstheme="minorHAnsi"/>
        </w:rPr>
        <w:t>normativities</w:t>
      </w:r>
      <w:proofErr w:type="spellEnd"/>
      <w:r w:rsidR="202267BC" w:rsidRPr="00F65CC5">
        <w:rPr>
          <w:rFonts w:asciiTheme="minorHAnsi" w:hAnsiTheme="minorHAnsi" w:cstheme="minorHAnsi"/>
        </w:rPr>
        <w:t xml:space="preserve"> and legal spaces. </w:t>
      </w:r>
      <w:r w:rsidR="73EDB407" w:rsidRPr="00F65CC5">
        <w:rPr>
          <w:rFonts w:asciiTheme="minorHAnsi" w:hAnsiTheme="minorHAnsi" w:cstheme="minorHAnsi"/>
        </w:rPr>
        <w:t>Davies sees these non-vertical spaces of law as ‘state law expressed, constructed and transmitted by relationships by people</w:t>
      </w:r>
      <w:r w:rsidR="00435EAE">
        <w:rPr>
          <w:rFonts w:asciiTheme="minorHAnsi" w:hAnsiTheme="minorHAnsi" w:cstheme="minorHAnsi"/>
        </w:rPr>
        <w:t>’</w:t>
      </w:r>
      <w:r w:rsidR="003C5ADC">
        <w:rPr>
          <w:rFonts w:asciiTheme="minorHAnsi" w:hAnsiTheme="minorHAnsi" w:cstheme="minorHAnsi"/>
        </w:rPr>
        <w:t>.</w:t>
      </w:r>
      <w:r w:rsidR="003C5ADC">
        <w:rPr>
          <w:rStyle w:val="FootnoteReference"/>
          <w:rFonts w:asciiTheme="minorHAnsi" w:hAnsiTheme="minorHAnsi" w:cstheme="minorHAnsi"/>
        </w:rPr>
        <w:footnoteReference w:id="68"/>
      </w:r>
      <w:r w:rsidR="73EDB407" w:rsidRPr="00F65CC5">
        <w:rPr>
          <w:rFonts w:asciiTheme="minorHAnsi" w:hAnsiTheme="minorHAnsi" w:cstheme="minorHAnsi"/>
        </w:rPr>
        <w:t xml:space="preserve"> Similar to hybrid spaces, it is a space </w:t>
      </w:r>
      <w:r w:rsidR="00435EAE">
        <w:rPr>
          <w:rFonts w:asciiTheme="minorHAnsi" w:hAnsiTheme="minorHAnsi" w:cstheme="minorHAnsi"/>
        </w:rPr>
        <w:t>where</w:t>
      </w:r>
      <w:r w:rsidR="73EDB407" w:rsidRPr="00F65CC5">
        <w:rPr>
          <w:rFonts w:asciiTheme="minorHAnsi" w:hAnsiTheme="minorHAnsi" w:cstheme="minorHAnsi"/>
        </w:rPr>
        <w:t xml:space="preserve"> laws are remade in an alternative horizontal legality.</w:t>
      </w:r>
      <w:r w:rsidR="00FD150F" w:rsidRPr="00F65CC5">
        <w:rPr>
          <w:rStyle w:val="FootnoteReference"/>
          <w:rFonts w:asciiTheme="minorHAnsi" w:hAnsiTheme="minorHAnsi" w:cstheme="minorHAnsi"/>
        </w:rPr>
        <w:footnoteReference w:id="69"/>
      </w:r>
      <w:r w:rsidR="73EDB407" w:rsidRPr="00F65CC5">
        <w:rPr>
          <w:rFonts w:asciiTheme="minorHAnsi" w:hAnsiTheme="minorHAnsi" w:cstheme="minorHAnsi"/>
        </w:rPr>
        <w:t xml:space="preserve"> </w:t>
      </w:r>
      <w:r w:rsidR="6B0C1B64" w:rsidRPr="00F65CC5">
        <w:rPr>
          <w:rFonts w:asciiTheme="minorHAnsi" w:hAnsiTheme="minorHAnsi" w:cstheme="minorHAnsi"/>
        </w:rPr>
        <w:t xml:space="preserve">This article attempts to make </w:t>
      </w:r>
      <w:r w:rsidR="73EDB407" w:rsidRPr="00F65CC5">
        <w:rPr>
          <w:rFonts w:asciiTheme="minorHAnsi" w:hAnsiTheme="minorHAnsi" w:cstheme="minorHAnsi"/>
        </w:rPr>
        <w:t>these alternative</w:t>
      </w:r>
      <w:r w:rsidR="6B0C1B64" w:rsidRPr="00F65CC5">
        <w:rPr>
          <w:rFonts w:asciiTheme="minorHAnsi" w:hAnsiTheme="minorHAnsi" w:cstheme="minorHAnsi"/>
        </w:rPr>
        <w:t xml:space="preserve"> feminist legal spaces visible.</w:t>
      </w:r>
      <w:r w:rsidRPr="00F65CC5">
        <w:rPr>
          <w:rFonts w:asciiTheme="minorHAnsi" w:hAnsiTheme="minorHAnsi" w:cstheme="minorHAnsi"/>
        </w:rPr>
        <w:t xml:space="preserve"> </w:t>
      </w:r>
      <w:r w:rsidR="6B0C1B64" w:rsidRPr="00F65CC5">
        <w:rPr>
          <w:rFonts w:asciiTheme="minorHAnsi" w:hAnsiTheme="minorHAnsi" w:cstheme="minorHAnsi"/>
        </w:rPr>
        <w:t>Pearson maps them out as unlikely space</w:t>
      </w:r>
      <w:r w:rsidR="73EDB407" w:rsidRPr="00F65CC5">
        <w:rPr>
          <w:rFonts w:asciiTheme="minorHAnsi" w:hAnsiTheme="minorHAnsi" w:cstheme="minorHAnsi"/>
        </w:rPr>
        <w:t>s</w:t>
      </w:r>
      <w:r w:rsidR="6B0C1B64" w:rsidRPr="00F65CC5">
        <w:rPr>
          <w:rFonts w:asciiTheme="minorHAnsi" w:hAnsiTheme="minorHAnsi" w:cstheme="minorHAnsi"/>
        </w:rPr>
        <w:t xml:space="preserve">, </w:t>
      </w:r>
      <w:r w:rsidR="2E6A53CB" w:rsidRPr="00F65CC5">
        <w:rPr>
          <w:rFonts w:asciiTheme="minorHAnsi" w:hAnsiTheme="minorHAnsi" w:cstheme="minorHAnsi"/>
        </w:rPr>
        <w:t>Merry ca</w:t>
      </w:r>
      <w:r w:rsidR="3DC6AD39" w:rsidRPr="00F65CC5">
        <w:rPr>
          <w:rFonts w:asciiTheme="minorHAnsi" w:hAnsiTheme="minorHAnsi" w:cstheme="minorHAnsi"/>
        </w:rPr>
        <w:t xml:space="preserve">lls these spaces hybrid, Davies </w:t>
      </w:r>
      <w:r w:rsidR="2E6A53CB" w:rsidRPr="00F65CC5">
        <w:rPr>
          <w:rFonts w:asciiTheme="minorHAnsi" w:hAnsiTheme="minorHAnsi" w:cstheme="minorHAnsi"/>
        </w:rPr>
        <w:t>identifies them as horizontal</w:t>
      </w:r>
      <w:r w:rsidR="3DC6AD39" w:rsidRPr="00F65CC5">
        <w:rPr>
          <w:rFonts w:asciiTheme="minorHAnsi" w:hAnsiTheme="minorHAnsi" w:cstheme="minorHAnsi"/>
        </w:rPr>
        <w:t>, flat</w:t>
      </w:r>
      <w:r w:rsidR="73EDB407" w:rsidRPr="00F65CC5">
        <w:rPr>
          <w:rFonts w:asciiTheme="minorHAnsi" w:hAnsiTheme="minorHAnsi" w:cstheme="minorHAnsi"/>
        </w:rPr>
        <w:t>ten</w:t>
      </w:r>
      <w:r w:rsidR="2F245E95" w:rsidRPr="00F65CC5">
        <w:rPr>
          <w:rFonts w:asciiTheme="minorHAnsi" w:hAnsiTheme="minorHAnsi" w:cstheme="minorHAnsi"/>
        </w:rPr>
        <w:t>ed</w:t>
      </w:r>
      <w:r w:rsidR="73EDB407" w:rsidRPr="00F65CC5">
        <w:rPr>
          <w:rFonts w:asciiTheme="minorHAnsi" w:hAnsiTheme="minorHAnsi" w:cstheme="minorHAnsi"/>
        </w:rPr>
        <w:t xml:space="preserve"> out</w:t>
      </w:r>
      <w:r w:rsidR="3DC6AD39" w:rsidRPr="00F65CC5">
        <w:rPr>
          <w:rFonts w:asciiTheme="minorHAnsi" w:hAnsiTheme="minorHAnsi" w:cstheme="minorHAnsi"/>
        </w:rPr>
        <w:t xml:space="preserve"> legal spaces</w:t>
      </w:r>
      <w:r w:rsidR="2E6A53CB" w:rsidRPr="00F65CC5">
        <w:rPr>
          <w:rFonts w:asciiTheme="minorHAnsi" w:hAnsiTheme="minorHAnsi" w:cstheme="minorHAnsi"/>
        </w:rPr>
        <w:t>.</w:t>
      </w:r>
      <w:r w:rsidR="001A3E56" w:rsidRPr="00F65CC5">
        <w:rPr>
          <w:rStyle w:val="FootnoteReference"/>
          <w:rFonts w:asciiTheme="minorHAnsi" w:hAnsiTheme="minorHAnsi" w:cstheme="minorHAnsi"/>
        </w:rPr>
        <w:footnoteReference w:id="70"/>
      </w:r>
      <w:r w:rsidR="29E3DAD9" w:rsidRPr="00F65CC5">
        <w:rPr>
          <w:rFonts w:asciiTheme="minorHAnsi" w:hAnsiTheme="minorHAnsi" w:cstheme="minorHAnsi"/>
        </w:rPr>
        <w:t xml:space="preserve"> </w:t>
      </w:r>
      <w:r w:rsidR="33DAA2C5" w:rsidRPr="00F65CC5">
        <w:rPr>
          <w:rFonts w:asciiTheme="minorHAnsi" w:hAnsiTheme="minorHAnsi" w:cstheme="minorHAnsi"/>
        </w:rPr>
        <w:t xml:space="preserve">Merry’s vernacularisation </w:t>
      </w:r>
      <w:r w:rsidR="0777CBDE" w:rsidRPr="00F65CC5">
        <w:rPr>
          <w:rFonts w:asciiTheme="minorHAnsi" w:hAnsiTheme="minorHAnsi" w:cstheme="minorHAnsi"/>
        </w:rPr>
        <w:t xml:space="preserve">finds this </w:t>
      </w:r>
      <w:r w:rsidR="0777CBDE" w:rsidRPr="00F65CC5">
        <w:rPr>
          <w:rFonts w:asciiTheme="minorHAnsi" w:hAnsiTheme="minorHAnsi" w:cstheme="minorHAnsi"/>
        </w:rPr>
        <w:lastRenderedPageBreak/>
        <w:t xml:space="preserve">space within local activism </w:t>
      </w:r>
      <w:r w:rsidR="6B0C1B64" w:rsidRPr="00F65CC5">
        <w:rPr>
          <w:rFonts w:asciiTheme="minorHAnsi" w:hAnsiTheme="minorHAnsi" w:cstheme="minorHAnsi"/>
        </w:rPr>
        <w:t xml:space="preserve">that </w:t>
      </w:r>
      <w:r w:rsidR="34AFCD24" w:rsidRPr="00F65CC5">
        <w:rPr>
          <w:rFonts w:asciiTheme="minorHAnsi" w:hAnsiTheme="minorHAnsi" w:cstheme="minorHAnsi"/>
        </w:rPr>
        <w:t xml:space="preserve">is </w:t>
      </w:r>
      <w:r w:rsidR="6B0C1B64" w:rsidRPr="00F65CC5">
        <w:rPr>
          <w:rFonts w:asciiTheme="minorHAnsi" w:hAnsiTheme="minorHAnsi" w:cstheme="minorHAnsi"/>
        </w:rPr>
        <w:t>neither</w:t>
      </w:r>
      <w:r w:rsidR="3DC6AD39" w:rsidRPr="00F65CC5">
        <w:rPr>
          <w:rFonts w:asciiTheme="minorHAnsi" w:hAnsiTheme="minorHAnsi" w:cstheme="minorHAnsi"/>
        </w:rPr>
        <w:t xml:space="preserve"> international nor</w:t>
      </w:r>
      <w:r w:rsidR="33DAA2C5" w:rsidRPr="00F65CC5">
        <w:rPr>
          <w:rFonts w:asciiTheme="minorHAnsi" w:hAnsiTheme="minorHAnsi" w:cstheme="minorHAnsi"/>
        </w:rPr>
        <w:t xml:space="preserve"> national.</w:t>
      </w:r>
      <w:r w:rsidR="00B20F29" w:rsidRPr="00F65CC5">
        <w:rPr>
          <w:rStyle w:val="FootnoteReference"/>
          <w:rFonts w:asciiTheme="minorHAnsi" w:hAnsiTheme="minorHAnsi" w:cstheme="minorHAnsi"/>
        </w:rPr>
        <w:footnoteReference w:id="71"/>
      </w:r>
      <w:r w:rsidR="33DAA2C5" w:rsidRPr="00F65CC5">
        <w:rPr>
          <w:rFonts w:asciiTheme="minorHAnsi" w:hAnsiTheme="minorHAnsi" w:cstheme="minorHAnsi"/>
        </w:rPr>
        <w:t xml:space="preserve"> </w:t>
      </w:r>
      <w:r w:rsidR="4031AFC8" w:rsidRPr="00F65CC5">
        <w:rPr>
          <w:rFonts w:asciiTheme="minorHAnsi" w:hAnsiTheme="minorHAnsi" w:cstheme="minorHAnsi"/>
        </w:rPr>
        <w:t xml:space="preserve">This approach also tackles the binary delimitation of law between national and international. </w:t>
      </w:r>
      <w:r w:rsidR="33DAA2C5" w:rsidRPr="00F65CC5">
        <w:rPr>
          <w:rFonts w:asciiTheme="minorHAnsi" w:hAnsiTheme="minorHAnsi" w:cstheme="minorHAnsi"/>
        </w:rPr>
        <w:t>Follow</w:t>
      </w:r>
      <w:r w:rsidR="3DC6AD39" w:rsidRPr="00F65CC5">
        <w:rPr>
          <w:rFonts w:asciiTheme="minorHAnsi" w:hAnsiTheme="minorHAnsi" w:cstheme="minorHAnsi"/>
        </w:rPr>
        <w:t>ing her analysis, local activism</w:t>
      </w:r>
      <w:r w:rsidR="33DAA2C5" w:rsidRPr="00F65CC5">
        <w:rPr>
          <w:rFonts w:asciiTheme="minorHAnsi" w:hAnsiTheme="minorHAnsi" w:cstheme="minorHAnsi"/>
        </w:rPr>
        <w:t xml:space="preserve"> </w:t>
      </w:r>
      <w:r w:rsidR="7746EAD1" w:rsidRPr="00F65CC5">
        <w:rPr>
          <w:rFonts w:asciiTheme="minorHAnsi" w:hAnsiTheme="minorHAnsi" w:cstheme="minorHAnsi"/>
        </w:rPr>
        <w:t xml:space="preserve">that </w:t>
      </w:r>
      <w:r w:rsidR="3DC6AD39" w:rsidRPr="00F65CC5">
        <w:rPr>
          <w:rFonts w:asciiTheme="minorHAnsi" w:hAnsiTheme="minorHAnsi" w:cstheme="minorHAnsi"/>
        </w:rPr>
        <w:t>do</w:t>
      </w:r>
      <w:r w:rsidR="34AFCD24" w:rsidRPr="00F65CC5">
        <w:rPr>
          <w:rFonts w:asciiTheme="minorHAnsi" w:hAnsiTheme="minorHAnsi" w:cstheme="minorHAnsi"/>
        </w:rPr>
        <w:t>es</w:t>
      </w:r>
      <w:r w:rsidR="3DC6AD39" w:rsidRPr="00F65CC5">
        <w:rPr>
          <w:rFonts w:asciiTheme="minorHAnsi" w:hAnsiTheme="minorHAnsi" w:cstheme="minorHAnsi"/>
        </w:rPr>
        <w:t xml:space="preserve"> not adhere to </w:t>
      </w:r>
      <w:r w:rsidR="4031AFC8" w:rsidRPr="00F65CC5">
        <w:rPr>
          <w:rFonts w:asciiTheme="minorHAnsi" w:hAnsiTheme="minorHAnsi" w:cstheme="minorHAnsi"/>
        </w:rPr>
        <w:t xml:space="preserve">this </w:t>
      </w:r>
      <w:r w:rsidR="3DC6AD39" w:rsidRPr="00F65CC5">
        <w:rPr>
          <w:rFonts w:asciiTheme="minorHAnsi" w:hAnsiTheme="minorHAnsi" w:cstheme="minorHAnsi"/>
        </w:rPr>
        <w:t xml:space="preserve">vertical </w:t>
      </w:r>
      <w:r w:rsidR="4031AFC8" w:rsidRPr="00F65CC5">
        <w:rPr>
          <w:rFonts w:asciiTheme="minorHAnsi" w:hAnsiTheme="minorHAnsi" w:cstheme="minorHAnsi"/>
        </w:rPr>
        <w:t xml:space="preserve">and binary </w:t>
      </w:r>
      <w:r w:rsidR="3DC6AD39" w:rsidRPr="00F65CC5">
        <w:rPr>
          <w:rFonts w:asciiTheme="minorHAnsi" w:hAnsiTheme="minorHAnsi" w:cstheme="minorHAnsi"/>
        </w:rPr>
        <w:t xml:space="preserve">hierarchy but </w:t>
      </w:r>
      <w:r w:rsidR="6F089A73" w:rsidRPr="00F65CC5">
        <w:rPr>
          <w:rFonts w:asciiTheme="minorHAnsi" w:hAnsiTheme="minorHAnsi" w:cstheme="minorHAnsi"/>
        </w:rPr>
        <w:t xml:space="preserve">takes </w:t>
      </w:r>
      <w:r w:rsidR="33DAA2C5" w:rsidRPr="00F65CC5">
        <w:rPr>
          <w:rFonts w:asciiTheme="minorHAnsi" w:hAnsiTheme="minorHAnsi" w:cstheme="minorHAnsi"/>
        </w:rPr>
        <w:t xml:space="preserve">part in law-making </w:t>
      </w:r>
      <w:r w:rsidR="7746EAD1" w:rsidRPr="00F65CC5">
        <w:rPr>
          <w:rFonts w:asciiTheme="minorHAnsi" w:hAnsiTheme="minorHAnsi" w:cstheme="minorHAnsi"/>
        </w:rPr>
        <w:t>create</w:t>
      </w:r>
      <w:r w:rsidR="34AFCD24" w:rsidRPr="00F65CC5">
        <w:rPr>
          <w:rFonts w:asciiTheme="minorHAnsi" w:hAnsiTheme="minorHAnsi" w:cstheme="minorHAnsi"/>
        </w:rPr>
        <w:t>s</w:t>
      </w:r>
      <w:r w:rsidR="7746EAD1" w:rsidRPr="00F65CC5">
        <w:rPr>
          <w:rFonts w:asciiTheme="minorHAnsi" w:hAnsiTheme="minorHAnsi" w:cstheme="minorHAnsi"/>
        </w:rPr>
        <w:t xml:space="preserve"> </w:t>
      </w:r>
      <w:r w:rsidR="33DAA2C5" w:rsidRPr="00F65CC5">
        <w:rPr>
          <w:rFonts w:asciiTheme="minorHAnsi" w:hAnsiTheme="minorHAnsi" w:cstheme="minorHAnsi"/>
        </w:rPr>
        <w:t>a hybrid space. Davies’ horizontal lens surpasses the vertical order by expanding our vision to the surroundings of this vertical legality</w:t>
      </w:r>
      <w:r w:rsidR="056E0211" w:rsidRPr="00F65CC5">
        <w:rPr>
          <w:rFonts w:asciiTheme="minorHAnsi" w:hAnsiTheme="minorHAnsi" w:cstheme="minorHAnsi"/>
        </w:rPr>
        <w:t xml:space="preserve"> by dra</w:t>
      </w:r>
      <w:r w:rsidR="3DC6AD39" w:rsidRPr="00F65CC5">
        <w:rPr>
          <w:rFonts w:asciiTheme="minorHAnsi" w:hAnsiTheme="minorHAnsi" w:cstheme="minorHAnsi"/>
        </w:rPr>
        <w:t>wing our attention to flat law</w:t>
      </w:r>
      <w:r w:rsidR="056E0211" w:rsidRPr="00F65CC5">
        <w:rPr>
          <w:rFonts w:asciiTheme="minorHAnsi" w:hAnsiTheme="minorHAnsi" w:cstheme="minorHAnsi"/>
        </w:rPr>
        <w:t xml:space="preserve"> ‘based on relationships of actual proximity or contiguity</w:t>
      </w:r>
      <w:r w:rsidR="00EA489A">
        <w:rPr>
          <w:rFonts w:asciiTheme="minorHAnsi" w:hAnsiTheme="minorHAnsi" w:cstheme="minorHAnsi"/>
        </w:rPr>
        <w:t>’</w:t>
      </w:r>
      <w:r w:rsidR="056E0211" w:rsidRPr="00F65CC5">
        <w:rPr>
          <w:rFonts w:asciiTheme="minorHAnsi" w:hAnsiTheme="minorHAnsi" w:cstheme="minorHAnsi"/>
        </w:rPr>
        <w:t>.</w:t>
      </w:r>
      <w:r w:rsidR="00B52405" w:rsidRPr="00F65CC5">
        <w:rPr>
          <w:rStyle w:val="FootnoteReference"/>
          <w:rFonts w:asciiTheme="minorHAnsi" w:hAnsiTheme="minorHAnsi" w:cstheme="minorHAnsi"/>
        </w:rPr>
        <w:footnoteReference w:id="72"/>
      </w:r>
      <w:r w:rsidR="0777CBDE" w:rsidRPr="00F65CC5">
        <w:rPr>
          <w:rFonts w:asciiTheme="minorHAnsi" w:hAnsiTheme="minorHAnsi" w:cstheme="minorHAnsi"/>
        </w:rPr>
        <w:t xml:space="preserve"> </w:t>
      </w:r>
      <w:r w:rsidR="00EF1299" w:rsidRPr="00F65CC5">
        <w:rPr>
          <w:rFonts w:asciiTheme="minorHAnsi" w:hAnsiTheme="minorHAnsi" w:cstheme="minorHAnsi"/>
        </w:rPr>
        <w:t xml:space="preserve">Pearson talks about the unlikely spaces </w:t>
      </w:r>
      <w:r w:rsidR="00AE0660" w:rsidRPr="00F65CC5">
        <w:rPr>
          <w:rFonts w:asciiTheme="minorHAnsi" w:hAnsiTheme="minorHAnsi" w:cstheme="minorHAnsi"/>
        </w:rPr>
        <w:t>where</w:t>
      </w:r>
      <w:r w:rsidR="00EF1299" w:rsidRPr="00F65CC5">
        <w:rPr>
          <w:rFonts w:asciiTheme="minorHAnsi" w:hAnsiTheme="minorHAnsi" w:cstheme="minorHAnsi"/>
        </w:rPr>
        <w:t xml:space="preserve"> we would not imagine finding law.</w:t>
      </w:r>
      <w:r w:rsidR="00EF1299" w:rsidRPr="00F65CC5">
        <w:rPr>
          <w:rStyle w:val="FootnoteReference"/>
          <w:rFonts w:asciiTheme="minorHAnsi" w:hAnsiTheme="minorHAnsi" w:cstheme="minorHAnsi"/>
        </w:rPr>
        <w:footnoteReference w:id="73"/>
      </w:r>
      <w:r w:rsidR="00EF1299" w:rsidRPr="00F65CC5">
        <w:rPr>
          <w:rFonts w:asciiTheme="minorHAnsi" w:hAnsiTheme="minorHAnsi" w:cstheme="minorHAnsi"/>
        </w:rPr>
        <w:t xml:space="preserve"> A mixed reading of these theories provide us with a theoretical framework that stipulates law as consisting of various legal spaces, beyond vertical top-down, bottom-up binary legality. </w:t>
      </w:r>
    </w:p>
    <w:p w14:paraId="288F44B7" w14:textId="77777777" w:rsidR="00603772" w:rsidRDefault="00603772" w:rsidP="007933F6">
      <w:pPr>
        <w:jc w:val="both"/>
        <w:rPr>
          <w:rFonts w:asciiTheme="minorHAnsi" w:hAnsiTheme="minorHAnsi" w:cstheme="minorHAnsi"/>
        </w:rPr>
      </w:pPr>
    </w:p>
    <w:p w14:paraId="18916F7B" w14:textId="28BD8CE0" w:rsidR="00CB07AF" w:rsidRDefault="008612AE" w:rsidP="007933F6">
      <w:pPr>
        <w:jc w:val="both"/>
        <w:rPr>
          <w:rFonts w:asciiTheme="minorHAnsi" w:hAnsiTheme="minorHAnsi" w:cstheme="minorHAnsi"/>
        </w:rPr>
      </w:pPr>
      <w:r w:rsidRPr="00F65CC5">
        <w:rPr>
          <w:rFonts w:asciiTheme="minorHAnsi" w:hAnsiTheme="minorHAnsi" w:cstheme="minorHAnsi"/>
        </w:rPr>
        <w:t xml:space="preserve">This section </w:t>
      </w:r>
      <w:r w:rsidR="00603772">
        <w:rPr>
          <w:rFonts w:asciiTheme="minorHAnsi" w:hAnsiTheme="minorHAnsi" w:cstheme="minorHAnsi"/>
        </w:rPr>
        <w:t>has laid</w:t>
      </w:r>
      <w:r w:rsidRPr="00F65CC5">
        <w:rPr>
          <w:rFonts w:asciiTheme="minorHAnsi" w:hAnsiTheme="minorHAnsi" w:cstheme="minorHAnsi"/>
        </w:rPr>
        <w:t xml:space="preserve"> out the theoretical </w:t>
      </w:r>
      <w:r w:rsidR="00A21E44" w:rsidRPr="00F65CC5">
        <w:rPr>
          <w:rFonts w:asciiTheme="minorHAnsi" w:hAnsiTheme="minorHAnsi" w:cstheme="minorHAnsi"/>
        </w:rPr>
        <w:t>lens</w:t>
      </w:r>
      <w:r w:rsidRPr="00F65CC5">
        <w:rPr>
          <w:rFonts w:asciiTheme="minorHAnsi" w:hAnsiTheme="minorHAnsi" w:cstheme="minorHAnsi"/>
        </w:rPr>
        <w:t xml:space="preserve"> for the article. </w:t>
      </w:r>
      <w:r w:rsidR="00CE1051" w:rsidRPr="00F65CC5">
        <w:rPr>
          <w:rFonts w:asciiTheme="minorHAnsi" w:hAnsiTheme="minorHAnsi" w:cstheme="minorHAnsi"/>
        </w:rPr>
        <w:t>Doing so</w:t>
      </w:r>
      <w:r w:rsidRPr="00F65CC5">
        <w:rPr>
          <w:rFonts w:asciiTheme="minorHAnsi" w:hAnsiTheme="minorHAnsi" w:cstheme="minorHAnsi"/>
        </w:rPr>
        <w:t xml:space="preserve"> </w:t>
      </w:r>
      <w:r w:rsidR="00603772">
        <w:rPr>
          <w:rFonts w:asciiTheme="minorHAnsi" w:hAnsiTheme="minorHAnsi" w:cstheme="minorHAnsi"/>
        </w:rPr>
        <w:t>has allowed</w:t>
      </w:r>
      <w:r w:rsidR="00EF1299" w:rsidRPr="00F65CC5">
        <w:rPr>
          <w:rFonts w:asciiTheme="minorHAnsi" w:hAnsiTheme="minorHAnsi" w:cstheme="minorHAnsi"/>
        </w:rPr>
        <w:t xml:space="preserve"> us to locate feminist legality in spaces that are in the middle, sideways, around, within</w:t>
      </w:r>
      <w:r w:rsidR="00602512">
        <w:rPr>
          <w:rFonts w:asciiTheme="minorHAnsi" w:hAnsiTheme="minorHAnsi" w:cstheme="minorHAnsi"/>
        </w:rPr>
        <w:t>,</w:t>
      </w:r>
      <w:r w:rsidR="00EF1299" w:rsidRPr="00F65CC5">
        <w:rPr>
          <w:rFonts w:asciiTheme="minorHAnsi" w:hAnsiTheme="minorHAnsi" w:cstheme="minorHAnsi"/>
        </w:rPr>
        <w:t xml:space="preserve"> or in unexpected spaces to</w:t>
      </w:r>
      <w:r w:rsidR="00602512">
        <w:rPr>
          <w:rFonts w:asciiTheme="minorHAnsi" w:hAnsiTheme="minorHAnsi" w:cstheme="minorHAnsi"/>
        </w:rPr>
        <w:t xml:space="preserve"> a</w:t>
      </w:r>
      <w:r w:rsidR="00EF1299" w:rsidRPr="00F65CC5">
        <w:rPr>
          <w:rFonts w:asciiTheme="minorHAnsi" w:hAnsiTheme="minorHAnsi" w:cstheme="minorHAnsi"/>
        </w:rPr>
        <w:t xml:space="preserve"> normative and vertical legal order that regards </w:t>
      </w:r>
      <w:r w:rsidR="00602512">
        <w:rPr>
          <w:rFonts w:asciiTheme="minorHAnsi" w:hAnsiTheme="minorHAnsi" w:cstheme="minorHAnsi"/>
        </w:rPr>
        <w:t xml:space="preserve">the </w:t>
      </w:r>
      <w:r w:rsidR="00EF1299" w:rsidRPr="00F65CC5">
        <w:rPr>
          <w:rFonts w:asciiTheme="minorHAnsi" w:hAnsiTheme="minorHAnsi" w:cstheme="minorHAnsi"/>
        </w:rPr>
        <w:t>State as the superior author of law.</w:t>
      </w:r>
      <w:r w:rsidRPr="00F65CC5">
        <w:rPr>
          <w:rFonts w:asciiTheme="minorHAnsi" w:hAnsiTheme="minorHAnsi" w:cstheme="minorHAnsi"/>
        </w:rPr>
        <w:t xml:space="preserve"> </w:t>
      </w:r>
      <w:r w:rsidR="00A21E44" w:rsidRPr="00F65CC5">
        <w:rPr>
          <w:rFonts w:asciiTheme="minorHAnsi" w:hAnsiTheme="minorHAnsi" w:cstheme="minorHAnsi"/>
        </w:rPr>
        <w:t xml:space="preserve">In the following section, we employ this theoretical framework to examine the cases brought against the denunciation of the Istanbul Convention and to evaluate the insights provided by our interviewees on these cases and their experiences in the courtroom. </w:t>
      </w:r>
      <w:r w:rsidR="00075135" w:rsidRPr="00F65CC5">
        <w:rPr>
          <w:rFonts w:asciiTheme="minorHAnsi" w:hAnsiTheme="minorHAnsi" w:cstheme="minorHAnsi"/>
        </w:rPr>
        <w:t xml:space="preserve">It was this method that brought feminist legalities to the forefront of our </w:t>
      </w:r>
      <w:r w:rsidR="002277B1">
        <w:rPr>
          <w:rFonts w:asciiTheme="minorHAnsi" w:hAnsiTheme="minorHAnsi" w:cstheme="minorHAnsi"/>
        </w:rPr>
        <w:t>analysis</w:t>
      </w:r>
      <w:r w:rsidR="00075135" w:rsidRPr="00F65CC5">
        <w:rPr>
          <w:rFonts w:asciiTheme="minorHAnsi" w:hAnsiTheme="minorHAnsi" w:cstheme="minorHAnsi"/>
        </w:rPr>
        <w:t>.</w:t>
      </w:r>
    </w:p>
    <w:p w14:paraId="65808E26" w14:textId="77777777" w:rsidR="0055462E" w:rsidRPr="00F65CC5" w:rsidRDefault="0055462E" w:rsidP="007933F6">
      <w:pPr>
        <w:jc w:val="both"/>
        <w:rPr>
          <w:rFonts w:asciiTheme="minorHAnsi" w:hAnsiTheme="minorHAnsi" w:cstheme="minorHAnsi"/>
          <w:b/>
          <w:lang w:val="en-US"/>
        </w:rPr>
      </w:pPr>
    </w:p>
    <w:p w14:paraId="1B13F037" w14:textId="56449A7C" w:rsidR="00FB0C2D" w:rsidRPr="00F65CC5" w:rsidRDefault="00FB0C2D" w:rsidP="007933F6">
      <w:pPr>
        <w:jc w:val="both"/>
        <w:rPr>
          <w:rFonts w:asciiTheme="minorHAnsi" w:hAnsiTheme="minorHAnsi" w:cstheme="minorHAnsi"/>
        </w:rPr>
      </w:pPr>
    </w:p>
    <w:p w14:paraId="1B27532D" w14:textId="4CCC0350" w:rsidR="004638B2" w:rsidRPr="00C037E7" w:rsidRDefault="00CB07AF" w:rsidP="00A52F50">
      <w:pPr>
        <w:pStyle w:val="Heading2"/>
      </w:pPr>
      <w:r w:rsidRPr="00C037E7">
        <w:t>Cases against the withdrawal</w:t>
      </w:r>
      <w:r w:rsidR="00A52F50">
        <w:t>,</w:t>
      </w:r>
      <w:r w:rsidRPr="00C037E7">
        <w:t xml:space="preserve"> thinking of the </w:t>
      </w:r>
      <w:r w:rsidR="00B47C26" w:rsidRPr="00C037E7">
        <w:t>c</w:t>
      </w:r>
      <w:r w:rsidR="00E76A7C" w:rsidRPr="00C037E7">
        <w:t>ourtroom</w:t>
      </w:r>
      <w:r w:rsidRPr="00C037E7">
        <w:t xml:space="preserve"> as a space of hybridity </w:t>
      </w:r>
    </w:p>
    <w:p w14:paraId="78AD7C72" w14:textId="77777777" w:rsidR="00E76A7C" w:rsidRDefault="00E76A7C" w:rsidP="007933F6">
      <w:pPr>
        <w:jc w:val="both"/>
        <w:rPr>
          <w:rFonts w:asciiTheme="minorHAnsi" w:hAnsiTheme="minorHAnsi" w:cstheme="minorHAnsi"/>
        </w:rPr>
      </w:pPr>
    </w:p>
    <w:p w14:paraId="466B0B47" w14:textId="49E01E96" w:rsidR="00E76A7C" w:rsidRDefault="00E76A7C" w:rsidP="007933F6">
      <w:pPr>
        <w:jc w:val="both"/>
        <w:rPr>
          <w:rFonts w:asciiTheme="minorHAnsi" w:hAnsiTheme="minorHAnsi" w:cstheme="minorHAnsi"/>
        </w:rPr>
      </w:pPr>
      <w:r w:rsidRPr="00F65CC5">
        <w:rPr>
          <w:rFonts w:asciiTheme="minorHAnsi" w:hAnsiTheme="minorHAnsi" w:cstheme="minorHAnsi"/>
        </w:rPr>
        <w:t xml:space="preserve">In this section we focus on the 220+ cases brought against the withdrawal decision. Our interviewees found the court hearings empowering. Almost all of them described the atmosphere as feminist. Reading their experiences in the </w:t>
      </w:r>
      <w:r w:rsidR="009E08DA">
        <w:rPr>
          <w:rFonts w:asciiTheme="minorHAnsi" w:hAnsiTheme="minorHAnsi" w:cstheme="minorHAnsi"/>
        </w:rPr>
        <w:t>courtroom</w:t>
      </w:r>
      <w:r w:rsidRPr="00F65CC5">
        <w:rPr>
          <w:rFonts w:asciiTheme="minorHAnsi" w:hAnsiTheme="minorHAnsi" w:cstheme="minorHAnsi"/>
        </w:rPr>
        <w:t xml:space="preserve"> through the combined theoretical lens provided by Merry, Davies and Pearson, we argue that feminists created a feminist legal space in these </w:t>
      </w:r>
      <w:r w:rsidR="009E08DA">
        <w:rPr>
          <w:rFonts w:asciiTheme="minorHAnsi" w:hAnsiTheme="minorHAnsi" w:cstheme="minorHAnsi"/>
        </w:rPr>
        <w:t>courtrooms</w:t>
      </w:r>
      <w:r w:rsidRPr="00F65CC5">
        <w:rPr>
          <w:rFonts w:asciiTheme="minorHAnsi" w:hAnsiTheme="minorHAnsi" w:cstheme="minorHAnsi"/>
        </w:rPr>
        <w:t xml:space="preserve"> where they experienced the presence of feminist legality</w:t>
      </w:r>
    </w:p>
    <w:p w14:paraId="77013207" w14:textId="77777777" w:rsidR="00E76A7C" w:rsidRDefault="00E76A7C" w:rsidP="007933F6">
      <w:pPr>
        <w:jc w:val="both"/>
        <w:rPr>
          <w:rFonts w:asciiTheme="minorHAnsi" w:hAnsiTheme="minorHAnsi" w:cstheme="minorHAnsi"/>
        </w:rPr>
      </w:pPr>
    </w:p>
    <w:p w14:paraId="42B03BF8" w14:textId="63CD2617" w:rsidR="00604666" w:rsidRPr="00F65CC5" w:rsidRDefault="003B4EE8" w:rsidP="007933F6">
      <w:pPr>
        <w:jc w:val="both"/>
        <w:rPr>
          <w:rFonts w:asciiTheme="minorHAnsi" w:hAnsiTheme="minorHAnsi" w:cstheme="minorHAnsi"/>
        </w:rPr>
      </w:pPr>
      <w:r w:rsidRPr="00F65CC5">
        <w:rPr>
          <w:rFonts w:asciiTheme="minorHAnsi" w:hAnsiTheme="minorHAnsi" w:cstheme="minorHAnsi"/>
        </w:rPr>
        <w:t>Entering</w:t>
      </w:r>
      <w:r w:rsidR="0E8B0E17" w:rsidRPr="00F65CC5">
        <w:rPr>
          <w:rFonts w:asciiTheme="minorHAnsi" w:hAnsiTheme="minorHAnsi" w:cstheme="minorHAnsi"/>
        </w:rPr>
        <w:t xml:space="preserve"> and withdrawing from international treaties happen</w:t>
      </w:r>
      <w:r w:rsidR="00530E9A">
        <w:rPr>
          <w:rFonts w:asciiTheme="minorHAnsi" w:hAnsiTheme="minorHAnsi" w:cstheme="minorHAnsi"/>
        </w:rPr>
        <w:t>s</w:t>
      </w:r>
      <w:r w:rsidR="0E8B0E17" w:rsidRPr="00F65CC5">
        <w:rPr>
          <w:rFonts w:asciiTheme="minorHAnsi" w:hAnsiTheme="minorHAnsi" w:cstheme="minorHAnsi"/>
        </w:rPr>
        <w:t xml:space="preserve"> between State</w:t>
      </w:r>
      <w:r w:rsidR="0074386A">
        <w:rPr>
          <w:rFonts w:asciiTheme="minorHAnsi" w:hAnsiTheme="minorHAnsi" w:cstheme="minorHAnsi"/>
        </w:rPr>
        <w:t>s</w:t>
      </w:r>
      <w:r w:rsidR="0E8B0E17" w:rsidRPr="00F65CC5">
        <w:rPr>
          <w:rFonts w:asciiTheme="minorHAnsi" w:hAnsiTheme="minorHAnsi" w:cstheme="minorHAnsi"/>
        </w:rPr>
        <w:t xml:space="preserve"> and international institutions. The hierarchal and patriarchal design of international law creates State-centric spaces. It is a vertical process meaning that international law takes place between international institutions and State</w:t>
      </w:r>
      <w:r w:rsidR="00361389">
        <w:rPr>
          <w:rFonts w:asciiTheme="minorHAnsi" w:hAnsiTheme="minorHAnsi" w:cstheme="minorHAnsi"/>
        </w:rPr>
        <w:t>s</w:t>
      </w:r>
      <w:r w:rsidR="0E8B0E17" w:rsidRPr="00F65CC5">
        <w:rPr>
          <w:rFonts w:asciiTheme="minorHAnsi" w:hAnsiTheme="minorHAnsi" w:cstheme="minorHAnsi"/>
        </w:rPr>
        <w:t xml:space="preserve">. </w:t>
      </w:r>
      <w:r w:rsidR="00361389" w:rsidRPr="00F65CC5">
        <w:rPr>
          <w:rFonts w:asciiTheme="minorHAnsi" w:hAnsiTheme="minorHAnsi" w:cstheme="minorHAnsi"/>
        </w:rPr>
        <w:t>Consequently</w:t>
      </w:r>
      <w:r w:rsidR="12686A14" w:rsidRPr="00F65CC5">
        <w:rPr>
          <w:rFonts w:asciiTheme="minorHAnsi" w:hAnsiTheme="minorHAnsi" w:cstheme="minorHAnsi"/>
        </w:rPr>
        <w:t>,</w:t>
      </w:r>
      <w:r w:rsidR="0E8B0E17" w:rsidRPr="00F65CC5">
        <w:rPr>
          <w:rFonts w:asciiTheme="minorHAnsi" w:hAnsiTheme="minorHAnsi" w:cstheme="minorHAnsi"/>
        </w:rPr>
        <w:t xml:space="preserve"> its legality is limited to the international law that governs entry and withdrawal from treaties. Verticality is constrained to hierarchical engagement with law where States dictate the creation of, participation </w:t>
      </w:r>
      <w:r w:rsidR="00AE0660" w:rsidRPr="00F65CC5">
        <w:rPr>
          <w:rFonts w:asciiTheme="minorHAnsi" w:hAnsiTheme="minorHAnsi" w:cstheme="minorHAnsi"/>
        </w:rPr>
        <w:t>in</w:t>
      </w:r>
      <w:r w:rsidR="00361389">
        <w:rPr>
          <w:rFonts w:asciiTheme="minorHAnsi" w:hAnsiTheme="minorHAnsi" w:cstheme="minorHAnsi"/>
        </w:rPr>
        <w:t>,</w:t>
      </w:r>
      <w:r w:rsidR="0E8B0E17" w:rsidRPr="00F65CC5">
        <w:rPr>
          <w:rFonts w:asciiTheme="minorHAnsi" w:hAnsiTheme="minorHAnsi" w:cstheme="minorHAnsi"/>
        </w:rPr>
        <w:t xml:space="preserve"> and retraction of</w:t>
      </w:r>
      <w:r w:rsidR="00361389">
        <w:rPr>
          <w:rFonts w:asciiTheme="minorHAnsi" w:hAnsiTheme="minorHAnsi" w:cstheme="minorHAnsi"/>
        </w:rPr>
        <w:t>,</w:t>
      </w:r>
      <w:r w:rsidR="0E8B0E17" w:rsidRPr="00F65CC5">
        <w:rPr>
          <w:rFonts w:asciiTheme="minorHAnsi" w:hAnsiTheme="minorHAnsi" w:cstheme="minorHAnsi"/>
        </w:rPr>
        <w:t xml:space="preserve"> international treaties. This assumes law as a singular space dominated by States that operates top down without reciprocity and delivered to the people. The vertical law is a denial of other laws and legal spaces. What is called law could only emerge from State action.</w:t>
      </w:r>
    </w:p>
    <w:p w14:paraId="34138429" w14:textId="77777777" w:rsidR="00361389" w:rsidRDefault="00361389" w:rsidP="007933F6">
      <w:pPr>
        <w:ind w:right="-52"/>
        <w:jc w:val="both"/>
        <w:rPr>
          <w:rFonts w:asciiTheme="minorHAnsi" w:hAnsiTheme="minorHAnsi" w:cstheme="minorHAnsi"/>
        </w:rPr>
      </w:pPr>
    </w:p>
    <w:p w14:paraId="58236A69" w14:textId="39A1D144"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 xml:space="preserve">When States </w:t>
      </w:r>
      <w:r w:rsidR="00361389" w:rsidRPr="00F65CC5">
        <w:rPr>
          <w:rFonts w:asciiTheme="minorHAnsi" w:hAnsiTheme="minorHAnsi" w:cstheme="minorHAnsi"/>
        </w:rPr>
        <w:t>enter</w:t>
      </w:r>
      <w:r w:rsidRPr="00F65CC5">
        <w:rPr>
          <w:rFonts w:asciiTheme="minorHAnsi" w:hAnsiTheme="minorHAnsi" w:cstheme="minorHAnsi"/>
        </w:rPr>
        <w:t xml:space="preserve"> a </w:t>
      </w:r>
      <w:r w:rsidR="00717969" w:rsidRPr="00F65CC5">
        <w:rPr>
          <w:rFonts w:asciiTheme="minorHAnsi" w:hAnsiTheme="minorHAnsi" w:cstheme="minorHAnsi"/>
        </w:rPr>
        <w:t>Convention,</w:t>
      </w:r>
      <w:r w:rsidRPr="00F65CC5">
        <w:rPr>
          <w:rFonts w:asciiTheme="minorHAnsi" w:hAnsiTheme="minorHAnsi" w:cstheme="minorHAnsi"/>
        </w:rPr>
        <w:t xml:space="preserve"> it is generally assumed that the Convention will change State behaviour within their territories and have a top-down </w:t>
      </w:r>
      <w:r w:rsidR="004D6405">
        <w:rPr>
          <w:rFonts w:asciiTheme="minorHAnsi" w:hAnsiTheme="minorHAnsi" w:cstheme="minorHAnsi"/>
        </w:rPr>
        <w:t>e</w:t>
      </w:r>
      <w:r w:rsidRPr="00F65CC5">
        <w:rPr>
          <w:rFonts w:asciiTheme="minorHAnsi" w:hAnsiTheme="minorHAnsi" w:cstheme="minorHAnsi"/>
        </w:rPr>
        <w:t xml:space="preserve">ffect. As aforementioned, Erdogan withdrew from the Istanbul Convention without the consent of the parliament. The </w:t>
      </w:r>
      <w:r w:rsidR="00E35339">
        <w:rPr>
          <w:rFonts w:asciiTheme="minorHAnsi" w:hAnsiTheme="minorHAnsi" w:cstheme="minorHAnsi"/>
        </w:rPr>
        <w:t xml:space="preserve">claimed </w:t>
      </w:r>
      <w:r w:rsidRPr="00F65CC5">
        <w:rPr>
          <w:rFonts w:asciiTheme="minorHAnsi" w:hAnsiTheme="minorHAnsi" w:cstheme="minorHAnsi"/>
        </w:rPr>
        <w:t xml:space="preserve">unconstitutionality of the procedure followed when leaving the Convention </w:t>
      </w:r>
      <w:r w:rsidR="00E35339">
        <w:rPr>
          <w:rFonts w:asciiTheme="minorHAnsi" w:hAnsiTheme="minorHAnsi" w:cstheme="minorHAnsi"/>
        </w:rPr>
        <w:t>was</w:t>
      </w:r>
      <w:r w:rsidRPr="00F65CC5">
        <w:rPr>
          <w:rFonts w:asciiTheme="minorHAnsi" w:hAnsiTheme="minorHAnsi" w:cstheme="minorHAnsi"/>
        </w:rPr>
        <w:t xml:space="preserve"> legally challenged at </w:t>
      </w:r>
      <w:proofErr w:type="spellStart"/>
      <w:r w:rsidRPr="00F65CC5">
        <w:rPr>
          <w:rFonts w:asciiTheme="minorHAnsi" w:hAnsiTheme="minorHAnsi" w:cstheme="minorHAnsi"/>
        </w:rPr>
        <w:t>Danıştay</w:t>
      </w:r>
      <w:proofErr w:type="spellEnd"/>
      <w:r w:rsidRPr="00F65CC5">
        <w:rPr>
          <w:rFonts w:asciiTheme="minorHAnsi" w:hAnsiTheme="minorHAnsi" w:cstheme="minorHAnsi"/>
        </w:rPr>
        <w:t xml:space="preserve"> (the highest administrative court). There are 2</w:t>
      </w:r>
      <w:r w:rsidR="000567DF" w:rsidRPr="00F65CC5">
        <w:rPr>
          <w:rFonts w:asciiTheme="minorHAnsi" w:hAnsiTheme="minorHAnsi" w:cstheme="minorHAnsi"/>
        </w:rPr>
        <w:t>2</w:t>
      </w:r>
      <w:r w:rsidRPr="00F65CC5">
        <w:rPr>
          <w:rFonts w:asciiTheme="minorHAnsi" w:hAnsiTheme="minorHAnsi" w:cstheme="minorHAnsi"/>
        </w:rPr>
        <w:t xml:space="preserve">0+ cases brought against </w:t>
      </w:r>
      <w:r w:rsidRPr="00F65CC5">
        <w:rPr>
          <w:rFonts w:asciiTheme="minorHAnsi" w:hAnsiTheme="minorHAnsi" w:cstheme="minorHAnsi"/>
        </w:rPr>
        <w:lastRenderedPageBreak/>
        <w:t xml:space="preserve">Erdogan’s withdrawal from </w:t>
      </w:r>
      <w:r w:rsidR="00AE0660" w:rsidRPr="00F65CC5">
        <w:rPr>
          <w:rFonts w:asciiTheme="minorHAnsi" w:hAnsiTheme="minorHAnsi" w:cstheme="minorHAnsi"/>
        </w:rPr>
        <w:t xml:space="preserve">the </w:t>
      </w:r>
      <w:r w:rsidRPr="00F65CC5">
        <w:rPr>
          <w:rFonts w:asciiTheme="minorHAnsi" w:hAnsiTheme="minorHAnsi" w:cstheme="minorHAnsi"/>
        </w:rPr>
        <w:t xml:space="preserve">Istanbul Convention by feminist associations, political parties and Bars around the country. This article will not go into </w:t>
      </w:r>
      <w:r w:rsidR="00AE0660" w:rsidRPr="00F65CC5">
        <w:rPr>
          <w:rFonts w:asciiTheme="minorHAnsi" w:hAnsiTheme="minorHAnsi" w:cstheme="minorHAnsi"/>
        </w:rPr>
        <w:t xml:space="preserve">vertical </w:t>
      </w:r>
      <w:r w:rsidRPr="00F65CC5">
        <w:rPr>
          <w:rFonts w:asciiTheme="minorHAnsi" w:hAnsiTheme="minorHAnsi" w:cstheme="minorHAnsi"/>
        </w:rPr>
        <w:t>legal details about the constitutional crisis this withdrawal created in Türkiye</w:t>
      </w:r>
      <w:r w:rsidR="00792AFC">
        <w:rPr>
          <w:rFonts w:asciiTheme="minorHAnsi" w:hAnsiTheme="minorHAnsi" w:cstheme="minorHAnsi"/>
        </w:rPr>
        <w:t>. H</w:t>
      </w:r>
      <w:r w:rsidRPr="00F65CC5">
        <w:rPr>
          <w:rFonts w:asciiTheme="minorHAnsi" w:hAnsiTheme="minorHAnsi" w:cstheme="minorHAnsi"/>
        </w:rPr>
        <w:t>owever</w:t>
      </w:r>
      <w:r w:rsidR="00792AFC">
        <w:rPr>
          <w:rFonts w:asciiTheme="minorHAnsi" w:hAnsiTheme="minorHAnsi" w:cstheme="minorHAnsi"/>
        </w:rPr>
        <w:t>,</w:t>
      </w:r>
      <w:r w:rsidRPr="00F65CC5">
        <w:rPr>
          <w:rFonts w:asciiTheme="minorHAnsi" w:hAnsiTheme="minorHAnsi" w:cstheme="minorHAnsi"/>
        </w:rPr>
        <w:t xml:space="preserve"> one of the interviewees, a member of EŞİK, criticised the Convention for not being clear on the procedure </w:t>
      </w:r>
      <w:r w:rsidR="00995AFC">
        <w:rPr>
          <w:rFonts w:asciiTheme="minorHAnsi" w:hAnsiTheme="minorHAnsi" w:cstheme="minorHAnsi"/>
        </w:rPr>
        <w:t>for</w:t>
      </w:r>
      <w:r w:rsidRPr="00F65CC5">
        <w:rPr>
          <w:rFonts w:asciiTheme="minorHAnsi" w:hAnsiTheme="minorHAnsi" w:cstheme="minorHAnsi"/>
        </w:rPr>
        <w:t xml:space="preserve"> leaving </w:t>
      </w:r>
      <w:r w:rsidR="00E35339">
        <w:rPr>
          <w:rFonts w:asciiTheme="minorHAnsi" w:hAnsiTheme="minorHAnsi" w:cstheme="minorHAnsi"/>
        </w:rPr>
        <w:t>it</w:t>
      </w:r>
      <w:r w:rsidRPr="00F65CC5">
        <w:rPr>
          <w:rFonts w:asciiTheme="minorHAnsi" w:hAnsiTheme="minorHAnsi" w:cstheme="minorHAnsi"/>
        </w:rPr>
        <w:t>.</w:t>
      </w:r>
      <w:r w:rsidRPr="00F65CC5">
        <w:rPr>
          <w:rStyle w:val="FootnoteReference"/>
          <w:rFonts w:asciiTheme="minorHAnsi" w:hAnsiTheme="minorHAnsi" w:cstheme="minorHAnsi"/>
        </w:rPr>
        <w:footnoteReference w:id="74"/>
      </w:r>
      <w:r w:rsidRPr="00F65CC5">
        <w:rPr>
          <w:rFonts w:asciiTheme="minorHAnsi" w:hAnsiTheme="minorHAnsi" w:cstheme="minorHAnsi"/>
        </w:rPr>
        <w:t xml:space="preserve"> Another interviewee pointed this </w:t>
      </w:r>
      <w:r w:rsidR="00995AFC">
        <w:rPr>
          <w:rFonts w:asciiTheme="minorHAnsi" w:hAnsiTheme="minorHAnsi" w:cstheme="minorHAnsi"/>
        </w:rPr>
        <w:t xml:space="preserve">out </w:t>
      </w:r>
      <w:r w:rsidRPr="00F65CC5">
        <w:rPr>
          <w:rFonts w:asciiTheme="minorHAnsi" w:hAnsiTheme="minorHAnsi" w:cstheme="minorHAnsi"/>
        </w:rPr>
        <w:t>as a weakness of the Istanbul Convention</w:t>
      </w:r>
      <w:r w:rsidR="00995AFC">
        <w:rPr>
          <w:rFonts w:asciiTheme="minorHAnsi" w:hAnsiTheme="minorHAnsi" w:cstheme="minorHAnsi"/>
        </w:rPr>
        <w:t>, in</w:t>
      </w:r>
      <w:r w:rsidRPr="00F65CC5">
        <w:rPr>
          <w:rFonts w:asciiTheme="minorHAnsi" w:hAnsiTheme="minorHAnsi" w:cstheme="minorHAnsi"/>
        </w:rPr>
        <w:t xml:space="preserve"> that it leaves the withdrawal procedure to the States’ domestic constitutional arrangements.</w:t>
      </w:r>
      <w:r w:rsidR="00ED193D" w:rsidRPr="00F65CC5">
        <w:rPr>
          <w:rStyle w:val="FootnoteReference"/>
          <w:rFonts w:asciiTheme="minorHAnsi" w:hAnsiTheme="minorHAnsi" w:cstheme="minorHAnsi"/>
        </w:rPr>
        <w:footnoteReference w:id="75"/>
      </w:r>
      <w:r w:rsidRPr="00F65CC5">
        <w:rPr>
          <w:rFonts w:asciiTheme="minorHAnsi" w:hAnsiTheme="minorHAnsi" w:cstheme="minorHAnsi"/>
        </w:rPr>
        <w:t xml:space="preserve"> There is not an international platform that these unconstitutional withdrawals can be taken to.</w:t>
      </w:r>
      <w:r w:rsidR="00ED193D" w:rsidRPr="00F65CC5">
        <w:rPr>
          <w:rStyle w:val="FootnoteReference"/>
          <w:rFonts w:asciiTheme="minorHAnsi" w:hAnsiTheme="minorHAnsi" w:cstheme="minorHAnsi"/>
        </w:rPr>
        <w:footnoteReference w:id="76"/>
      </w:r>
      <w:r w:rsidR="00A356F7">
        <w:rPr>
          <w:rFonts w:asciiTheme="minorHAnsi" w:hAnsiTheme="minorHAnsi" w:cstheme="minorHAnsi"/>
        </w:rPr>
        <w:t xml:space="preserve"> </w:t>
      </w:r>
      <w:r w:rsidRPr="00F65CC5">
        <w:rPr>
          <w:rFonts w:asciiTheme="minorHAnsi" w:hAnsiTheme="minorHAnsi" w:cstheme="minorHAnsi"/>
        </w:rPr>
        <w:t xml:space="preserve">The cases brought against Erdogan’s decision to leave the Convention, compelled feminists to participate in these State-only mechanisms. </w:t>
      </w:r>
    </w:p>
    <w:p w14:paraId="61B61FED" w14:textId="77777777" w:rsidR="00CB07AF" w:rsidRPr="00F65CC5" w:rsidRDefault="00CB07AF" w:rsidP="007933F6">
      <w:pPr>
        <w:ind w:right="-52"/>
        <w:jc w:val="both"/>
        <w:rPr>
          <w:rFonts w:asciiTheme="minorHAnsi" w:hAnsiTheme="minorHAnsi" w:cstheme="minorHAnsi"/>
        </w:rPr>
      </w:pPr>
    </w:p>
    <w:p w14:paraId="2C62A35F" w14:textId="06A8FCBB" w:rsidR="00ED193D" w:rsidRPr="00F65CC5" w:rsidRDefault="00CB07AF" w:rsidP="007933F6">
      <w:pPr>
        <w:ind w:right="-52"/>
        <w:jc w:val="both"/>
        <w:rPr>
          <w:rFonts w:asciiTheme="minorHAnsi" w:hAnsiTheme="minorHAnsi" w:cstheme="minorHAnsi"/>
        </w:rPr>
      </w:pPr>
      <w:r w:rsidRPr="00F65CC5">
        <w:rPr>
          <w:rFonts w:asciiTheme="minorHAnsi" w:hAnsiTheme="minorHAnsi" w:cstheme="minorHAnsi"/>
        </w:rPr>
        <w:t xml:space="preserve">The cases arguing that Erdogan’s withdrawal is unconstitutional took place at </w:t>
      </w:r>
      <w:proofErr w:type="spellStart"/>
      <w:r w:rsidRPr="00F65CC5">
        <w:rPr>
          <w:rFonts w:asciiTheme="minorHAnsi" w:hAnsiTheme="minorHAnsi" w:cstheme="minorHAnsi"/>
        </w:rPr>
        <w:t>Danıştay</w:t>
      </w:r>
      <w:proofErr w:type="spellEnd"/>
      <w:r w:rsidRPr="00F65CC5">
        <w:rPr>
          <w:rFonts w:asciiTheme="minorHAnsi" w:hAnsiTheme="minorHAnsi" w:cstheme="minorHAnsi"/>
        </w:rPr>
        <w:t xml:space="preserve"> in the capital city Ankara. The first hearing </w:t>
      </w:r>
      <w:r w:rsidR="00AE0660" w:rsidRPr="00F65CC5">
        <w:rPr>
          <w:rFonts w:asciiTheme="minorHAnsi" w:hAnsiTheme="minorHAnsi" w:cstheme="minorHAnsi"/>
        </w:rPr>
        <w:t>(</w:t>
      </w:r>
      <w:r w:rsidRPr="00F65CC5">
        <w:rPr>
          <w:rFonts w:asciiTheme="minorHAnsi" w:hAnsiTheme="minorHAnsi" w:cstheme="minorHAnsi"/>
        </w:rPr>
        <w:t>whe</w:t>
      </w:r>
      <w:r w:rsidR="00AE0660" w:rsidRPr="00F65CC5">
        <w:rPr>
          <w:rFonts w:asciiTheme="minorHAnsi" w:hAnsiTheme="minorHAnsi" w:cstheme="minorHAnsi"/>
        </w:rPr>
        <w:t>n</w:t>
      </w:r>
      <w:r w:rsidRPr="00F65CC5">
        <w:rPr>
          <w:rFonts w:asciiTheme="minorHAnsi" w:hAnsiTheme="minorHAnsi" w:cstheme="minorHAnsi"/>
        </w:rPr>
        <w:t xml:space="preserve"> the </w:t>
      </w:r>
      <w:proofErr w:type="spellStart"/>
      <w:r w:rsidRPr="00F65CC5">
        <w:rPr>
          <w:rFonts w:asciiTheme="minorHAnsi" w:hAnsiTheme="minorHAnsi" w:cstheme="minorHAnsi"/>
        </w:rPr>
        <w:t>Danıştay</w:t>
      </w:r>
      <w:proofErr w:type="spellEnd"/>
      <w:r w:rsidRPr="00F65CC5">
        <w:rPr>
          <w:rFonts w:asciiTheme="minorHAnsi" w:hAnsiTheme="minorHAnsi" w:cstheme="minorHAnsi"/>
        </w:rPr>
        <w:t xml:space="preserve"> Prosecutor also submitted his opinion stating that the withdrawal was unlawful</w:t>
      </w:r>
      <w:r w:rsidR="00AE0660" w:rsidRPr="00F65CC5">
        <w:rPr>
          <w:rFonts w:asciiTheme="minorHAnsi" w:hAnsiTheme="minorHAnsi" w:cstheme="minorHAnsi"/>
        </w:rPr>
        <w:t>)</w:t>
      </w:r>
      <w:r w:rsidRPr="00F65CC5">
        <w:rPr>
          <w:rFonts w:asciiTheme="minorHAnsi" w:hAnsiTheme="minorHAnsi" w:cstheme="minorHAnsi"/>
        </w:rPr>
        <w:t xml:space="preserve"> was held on 28 April 2022. After this </w:t>
      </w:r>
      <w:r w:rsidR="00AE0660" w:rsidRPr="00F65CC5">
        <w:rPr>
          <w:rFonts w:asciiTheme="minorHAnsi" w:hAnsiTheme="minorHAnsi" w:cstheme="minorHAnsi"/>
        </w:rPr>
        <w:t>hearing</w:t>
      </w:r>
      <w:r w:rsidRPr="00F65CC5">
        <w:rPr>
          <w:rFonts w:asciiTheme="minorHAnsi" w:hAnsiTheme="minorHAnsi" w:cstheme="minorHAnsi"/>
        </w:rPr>
        <w:t xml:space="preserve"> the </w:t>
      </w:r>
      <w:r w:rsidR="00AE0660" w:rsidRPr="00F65CC5">
        <w:rPr>
          <w:rFonts w:asciiTheme="minorHAnsi" w:hAnsiTheme="minorHAnsi" w:cstheme="minorHAnsi"/>
        </w:rPr>
        <w:t>subsequent</w:t>
      </w:r>
      <w:r w:rsidRPr="00F65CC5">
        <w:rPr>
          <w:rFonts w:asciiTheme="minorHAnsi" w:hAnsiTheme="minorHAnsi" w:cstheme="minorHAnsi"/>
        </w:rPr>
        <w:t xml:space="preserve"> hearings were scheduled to be held in June on three different days.</w:t>
      </w:r>
      <w:r w:rsidRPr="00F65CC5">
        <w:rPr>
          <w:rStyle w:val="FootnoteReference"/>
          <w:rFonts w:asciiTheme="minorHAnsi" w:hAnsiTheme="minorHAnsi" w:cstheme="minorHAnsi"/>
        </w:rPr>
        <w:footnoteReference w:id="77"/>
      </w:r>
      <w:r w:rsidRPr="00F65CC5">
        <w:rPr>
          <w:rFonts w:asciiTheme="minorHAnsi" w:hAnsiTheme="minorHAnsi" w:cstheme="minorHAnsi"/>
        </w:rPr>
        <w:t xml:space="preserve"> All hearings were attended by a historic crowd of women’s, LGBTIQ</w:t>
      </w:r>
      <w:r w:rsidRPr="00F65CC5">
        <w:rPr>
          <w:rFonts w:asciiTheme="minorHAnsi" w:hAnsiTheme="minorHAnsi" w:cstheme="minorHAnsi"/>
          <w:lang w:val="en-US"/>
        </w:rPr>
        <w:t>+ and human rights associations</w:t>
      </w:r>
      <w:r w:rsidRPr="00F65CC5">
        <w:rPr>
          <w:rFonts w:asciiTheme="minorHAnsi" w:hAnsiTheme="minorHAnsi" w:cstheme="minorHAnsi"/>
        </w:rPr>
        <w:t xml:space="preserve"> that also included nearly one thousand lawyers representing those who brought the cases.  In our interviews feminist activists talked about the two hearings that took place on 13 and 17 June</w:t>
      </w:r>
      <w:r w:rsidR="00AE0660" w:rsidRPr="00F65CC5">
        <w:rPr>
          <w:rFonts w:asciiTheme="minorHAnsi" w:hAnsiTheme="minorHAnsi" w:cstheme="minorHAnsi"/>
        </w:rPr>
        <w:t xml:space="preserve"> 2022</w:t>
      </w:r>
      <w:r w:rsidRPr="00F65CC5">
        <w:rPr>
          <w:rFonts w:asciiTheme="minorHAnsi" w:hAnsiTheme="minorHAnsi" w:cstheme="minorHAnsi"/>
        </w:rPr>
        <w:t xml:space="preserve">. </w:t>
      </w:r>
    </w:p>
    <w:p w14:paraId="4F02C5E5" w14:textId="77777777" w:rsidR="00ED193D" w:rsidRPr="00F65CC5" w:rsidRDefault="00ED193D" w:rsidP="007933F6">
      <w:pPr>
        <w:ind w:right="-52"/>
        <w:jc w:val="both"/>
        <w:rPr>
          <w:rFonts w:asciiTheme="minorHAnsi" w:hAnsiTheme="minorHAnsi" w:cstheme="minorHAnsi"/>
        </w:rPr>
      </w:pPr>
    </w:p>
    <w:p w14:paraId="7CBFBD26" w14:textId="1BF43647" w:rsidR="008553DC" w:rsidRDefault="00CB07AF" w:rsidP="007933F6">
      <w:pPr>
        <w:ind w:right="-52"/>
        <w:jc w:val="both"/>
        <w:rPr>
          <w:rFonts w:asciiTheme="minorHAnsi" w:hAnsiTheme="minorHAnsi" w:cstheme="minorHAnsi"/>
        </w:rPr>
      </w:pPr>
      <w:r w:rsidRPr="00F65CC5">
        <w:rPr>
          <w:rFonts w:asciiTheme="minorHAnsi" w:hAnsiTheme="minorHAnsi" w:cstheme="minorHAnsi"/>
        </w:rPr>
        <w:t>Melinda Morgan defines courtrooms as legal spaces where</w:t>
      </w:r>
    </w:p>
    <w:p w14:paraId="2F608B0E" w14:textId="77777777" w:rsidR="008553DC" w:rsidRDefault="008553DC" w:rsidP="008553DC">
      <w:pPr>
        <w:ind w:right="-52" w:firstLine="720"/>
        <w:jc w:val="both"/>
        <w:rPr>
          <w:rFonts w:asciiTheme="minorHAnsi" w:hAnsiTheme="minorHAnsi" w:cstheme="minorHAnsi"/>
        </w:rPr>
      </w:pPr>
    </w:p>
    <w:p w14:paraId="73FEA8A8" w14:textId="77777777" w:rsidR="008553DC" w:rsidRDefault="00CB07AF" w:rsidP="005868C7">
      <w:pPr>
        <w:ind w:left="720" w:right="1417"/>
        <w:jc w:val="both"/>
        <w:rPr>
          <w:rFonts w:asciiTheme="minorHAnsi" w:hAnsiTheme="minorHAnsi" w:cstheme="minorHAnsi"/>
        </w:rPr>
      </w:pPr>
      <w:r w:rsidRPr="00F65CC5">
        <w:rPr>
          <w:rFonts w:asciiTheme="minorHAnsi" w:hAnsiTheme="minorHAnsi" w:cstheme="minorHAnsi"/>
        </w:rPr>
        <w:t>[p]</w:t>
      </w:r>
      <w:proofErr w:type="spellStart"/>
      <w:r w:rsidRPr="00F65CC5">
        <w:rPr>
          <w:rFonts w:asciiTheme="minorHAnsi" w:hAnsiTheme="minorHAnsi" w:cstheme="minorHAnsi"/>
        </w:rPr>
        <w:t>arties</w:t>
      </w:r>
      <w:proofErr w:type="spellEnd"/>
      <w:r w:rsidRPr="00F65CC5">
        <w:rPr>
          <w:rFonts w:asciiTheme="minorHAnsi" w:hAnsiTheme="minorHAnsi" w:cstheme="minorHAnsi"/>
        </w:rPr>
        <w:t xml:space="preserve"> enter to manifest legal realities that in turn order the world. In this way, these spaces of law are portals through which legal meanings are channelled out into the social world in ways that contours and configures the material world. When access is denied, the search for justice may be truncated and desired interventions blocked.</w:t>
      </w:r>
      <w:r w:rsidRPr="00F65CC5">
        <w:rPr>
          <w:rStyle w:val="FootnoteReference"/>
          <w:rFonts w:asciiTheme="minorHAnsi" w:hAnsiTheme="minorHAnsi" w:cstheme="minorHAnsi"/>
        </w:rPr>
        <w:footnoteReference w:id="78"/>
      </w:r>
      <w:r w:rsidRPr="00F65CC5">
        <w:rPr>
          <w:rFonts w:asciiTheme="minorHAnsi" w:hAnsiTheme="minorHAnsi" w:cstheme="minorHAnsi"/>
        </w:rPr>
        <w:t xml:space="preserve"> </w:t>
      </w:r>
    </w:p>
    <w:p w14:paraId="0F0C5703" w14:textId="77777777" w:rsidR="008553DC" w:rsidRDefault="008553DC" w:rsidP="008553DC">
      <w:pPr>
        <w:ind w:right="-52"/>
        <w:jc w:val="both"/>
        <w:rPr>
          <w:rFonts w:asciiTheme="minorHAnsi" w:hAnsiTheme="minorHAnsi" w:cstheme="minorHAnsi"/>
        </w:rPr>
      </w:pPr>
    </w:p>
    <w:p w14:paraId="37ACDB58" w14:textId="26011DD3" w:rsidR="008C667B" w:rsidRPr="00F65CC5" w:rsidRDefault="00CB07AF" w:rsidP="008553DC">
      <w:pPr>
        <w:ind w:right="-52"/>
        <w:jc w:val="both"/>
        <w:rPr>
          <w:rFonts w:asciiTheme="minorHAnsi" w:hAnsiTheme="minorHAnsi" w:cstheme="minorHAnsi"/>
        </w:rPr>
      </w:pPr>
      <w:r w:rsidRPr="00F65CC5">
        <w:rPr>
          <w:rFonts w:asciiTheme="minorHAnsi" w:hAnsiTheme="minorHAnsi" w:cstheme="minorHAnsi"/>
        </w:rPr>
        <w:t>In these hearings the opposite was happening</w:t>
      </w:r>
      <w:r w:rsidR="00EC0270">
        <w:rPr>
          <w:rFonts w:asciiTheme="minorHAnsi" w:hAnsiTheme="minorHAnsi" w:cstheme="minorHAnsi"/>
        </w:rPr>
        <w:t>.</w:t>
      </w:r>
      <w:r w:rsidRPr="00F65CC5">
        <w:rPr>
          <w:rFonts w:asciiTheme="minorHAnsi" w:hAnsiTheme="minorHAnsi" w:cstheme="minorHAnsi"/>
        </w:rPr>
        <w:t xml:space="preserve"> </w:t>
      </w:r>
      <w:r w:rsidR="00EC0270">
        <w:rPr>
          <w:rFonts w:asciiTheme="minorHAnsi" w:hAnsiTheme="minorHAnsi" w:cstheme="minorHAnsi"/>
        </w:rPr>
        <w:t>T</w:t>
      </w:r>
      <w:r w:rsidRPr="00F65CC5">
        <w:rPr>
          <w:rFonts w:asciiTheme="minorHAnsi" w:hAnsiTheme="minorHAnsi" w:cstheme="minorHAnsi"/>
        </w:rPr>
        <w:t>he feminist legal reality was channelled into the state’s legal space.</w:t>
      </w:r>
      <w:r w:rsidR="008C667B" w:rsidRPr="00F65CC5">
        <w:rPr>
          <w:rFonts w:asciiTheme="minorHAnsi" w:hAnsiTheme="minorHAnsi" w:cstheme="minorHAnsi"/>
        </w:rPr>
        <w:t xml:space="preserve"> Feminist understanding</w:t>
      </w:r>
      <w:r w:rsidR="0019737D">
        <w:rPr>
          <w:rFonts w:asciiTheme="minorHAnsi" w:hAnsiTheme="minorHAnsi" w:cstheme="minorHAnsi"/>
        </w:rPr>
        <w:t>s</w:t>
      </w:r>
      <w:r w:rsidR="008C667B" w:rsidRPr="00F65CC5">
        <w:rPr>
          <w:rFonts w:asciiTheme="minorHAnsi" w:hAnsiTheme="minorHAnsi" w:cstheme="minorHAnsi"/>
        </w:rPr>
        <w:t xml:space="preserve"> of law manifested </w:t>
      </w:r>
      <w:r w:rsidR="00796DED">
        <w:rPr>
          <w:rFonts w:asciiTheme="minorHAnsi" w:hAnsiTheme="minorHAnsi" w:cstheme="minorHAnsi"/>
        </w:rPr>
        <w:t>themselves</w:t>
      </w:r>
      <w:r w:rsidR="008C667B" w:rsidRPr="00F65CC5">
        <w:rPr>
          <w:rFonts w:asciiTheme="minorHAnsi" w:hAnsiTheme="minorHAnsi" w:cstheme="minorHAnsi"/>
        </w:rPr>
        <w:t xml:space="preserve"> in the courtroom by challenging the vertical constraints of the law. </w:t>
      </w:r>
      <w:r w:rsidRPr="00F65CC5">
        <w:rPr>
          <w:rFonts w:asciiTheme="minorHAnsi" w:hAnsiTheme="minorHAnsi" w:cstheme="minorHAnsi"/>
        </w:rPr>
        <w:t xml:space="preserve">In a way by channelling in, feminists were flattening out the vertical law. Feminists were talking to international law, </w:t>
      </w:r>
      <w:r w:rsidR="00F42786">
        <w:rPr>
          <w:rFonts w:asciiTheme="minorHAnsi" w:hAnsiTheme="minorHAnsi" w:cstheme="minorHAnsi"/>
        </w:rPr>
        <w:t xml:space="preserve">to </w:t>
      </w:r>
      <w:r w:rsidRPr="00F65CC5">
        <w:rPr>
          <w:rFonts w:asciiTheme="minorHAnsi" w:hAnsiTheme="minorHAnsi" w:cstheme="minorHAnsi"/>
        </w:rPr>
        <w:t xml:space="preserve">the </w:t>
      </w:r>
      <w:r w:rsidR="00F42786">
        <w:rPr>
          <w:rFonts w:asciiTheme="minorHAnsi" w:hAnsiTheme="minorHAnsi" w:cstheme="minorHAnsi"/>
        </w:rPr>
        <w:t>S</w:t>
      </w:r>
      <w:r w:rsidRPr="00F65CC5">
        <w:rPr>
          <w:rFonts w:asciiTheme="minorHAnsi" w:hAnsiTheme="minorHAnsi" w:cstheme="minorHAnsi"/>
        </w:rPr>
        <w:t>tate</w:t>
      </w:r>
      <w:r w:rsidR="00F42786">
        <w:rPr>
          <w:rFonts w:asciiTheme="minorHAnsi" w:hAnsiTheme="minorHAnsi" w:cstheme="minorHAnsi"/>
        </w:rPr>
        <w:t>,</w:t>
      </w:r>
      <w:r w:rsidRPr="00F65CC5">
        <w:rPr>
          <w:rFonts w:asciiTheme="minorHAnsi" w:hAnsiTheme="minorHAnsi" w:cstheme="minorHAnsi"/>
        </w:rPr>
        <w:t xml:space="preserve"> and among themselves</w:t>
      </w:r>
      <w:r w:rsidR="00F42786">
        <w:rPr>
          <w:rFonts w:asciiTheme="minorHAnsi" w:hAnsiTheme="minorHAnsi" w:cstheme="minorHAnsi"/>
        </w:rPr>
        <w:t>,</w:t>
      </w:r>
      <w:r w:rsidRPr="00F65CC5">
        <w:rPr>
          <w:rFonts w:asciiTheme="minorHAnsi" w:hAnsiTheme="minorHAnsi" w:cstheme="minorHAnsi"/>
        </w:rPr>
        <w:t xml:space="preserve"> to create the unlikely</w:t>
      </w:r>
      <w:r w:rsidR="00F42786">
        <w:rPr>
          <w:rFonts w:asciiTheme="minorHAnsi" w:hAnsiTheme="minorHAnsi" w:cstheme="minorHAnsi"/>
        </w:rPr>
        <w:t xml:space="preserve"> and</w:t>
      </w:r>
      <w:r w:rsidRPr="00F65CC5">
        <w:rPr>
          <w:rFonts w:asciiTheme="minorHAnsi" w:hAnsiTheme="minorHAnsi" w:cstheme="minorHAnsi"/>
        </w:rPr>
        <w:t xml:space="preserve"> unusual space for feminist legality. </w:t>
      </w:r>
    </w:p>
    <w:p w14:paraId="0B160699" w14:textId="77777777" w:rsidR="008C667B" w:rsidRPr="00F65CC5" w:rsidRDefault="008C667B" w:rsidP="007933F6">
      <w:pPr>
        <w:ind w:right="-52"/>
        <w:jc w:val="both"/>
        <w:rPr>
          <w:rFonts w:asciiTheme="minorHAnsi" w:hAnsiTheme="minorHAnsi" w:cstheme="minorHAnsi"/>
        </w:rPr>
      </w:pPr>
    </w:p>
    <w:p w14:paraId="04E01653" w14:textId="26F2D0B7" w:rsidR="008C667B" w:rsidRPr="00F65CC5" w:rsidRDefault="008C667B" w:rsidP="007933F6">
      <w:pPr>
        <w:ind w:right="-52"/>
        <w:jc w:val="both"/>
        <w:rPr>
          <w:rFonts w:asciiTheme="minorHAnsi" w:hAnsiTheme="minorHAnsi" w:cstheme="minorHAnsi"/>
        </w:rPr>
      </w:pPr>
      <w:r w:rsidRPr="00F65CC5">
        <w:rPr>
          <w:rFonts w:asciiTheme="minorHAnsi" w:hAnsiTheme="minorHAnsi" w:cstheme="minorHAnsi"/>
        </w:rPr>
        <w:t xml:space="preserve">Most of the interviewees talked about the emotional side of the courtroom. As a space of resistance most of them talked about emotions. This also challenges the patriarchal legal spaces where emotions are not regarded as </w:t>
      </w:r>
      <w:r w:rsidR="00A31CA4">
        <w:rPr>
          <w:rFonts w:asciiTheme="minorHAnsi" w:hAnsiTheme="minorHAnsi" w:cstheme="minorHAnsi"/>
        </w:rPr>
        <w:t xml:space="preserve">a </w:t>
      </w:r>
      <w:r w:rsidRPr="00F65CC5">
        <w:rPr>
          <w:rFonts w:asciiTheme="minorHAnsi" w:hAnsiTheme="minorHAnsi" w:cstheme="minorHAnsi"/>
        </w:rPr>
        <w:t xml:space="preserve">legitimate source of law. </w:t>
      </w:r>
      <w:r w:rsidR="003B3D38">
        <w:rPr>
          <w:rFonts w:asciiTheme="minorHAnsi" w:hAnsiTheme="minorHAnsi" w:cstheme="minorHAnsi"/>
        </w:rPr>
        <w:t>L</w:t>
      </w:r>
      <w:r w:rsidRPr="00F65CC5">
        <w:rPr>
          <w:rFonts w:asciiTheme="minorHAnsi" w:hAnsiTheme="minorHAnsi" w:cstheme="minorHAnsi"/>
        </w:rPr>
        <w:t>egal spaces are expected to be reasonable, insensible and rational within the vertical arrangements of law.</w:t>
      </w:r>
      <w:r w:rsidRPr="00F65CC5">
        <w:rPr>
          <w:rStyle w:val="FootnoteReference"/>
          <w:rFonts w:asciiTheme="minorHAnsi" w:hAnsiTheme="minorHAnsi" w:cstheme="minorHAnsi"/>
        </w:rPr>
        <w:footnoteReference w:id="79"/>
      </w:r>
      <w:r w:rsidRPr="00F65CC5">
        <w:rPr>
          <w:rFonts w:asciiTheme="minorHAnsi" w:hAnsiTheme="minorHAnsi" w:cstheme="minorHAnsi"/>
        </w:rPr>
        <w:t xml:space="preserve"> </w:t>
      </w:r>
      <w:r w:rsidRPr="00F65CC5">
        <w:rPr>
          <w:rFonts w:asciiTheme="minorHAnsi" w:hAnsiTheme="minorHAnsi" w:cstheme="minorHAnsi"/>
        </w:rPr>
        <w:lastRenderedPageBreak/>
        <w:t xml:space="preserve">Emotions do not belong to legal spaces; they have long been affiliated to women and </w:t>
      </w:r>
      <w:r w:rsidR="00EF1A50">
        <w:rPr>
          <w:rFonts w:asciiTheme="minorHAnsi" w:hAnsiTheme="minorHAnsi" w:cstheme="minorHAnsi"/>
        </w:rPr>
        <w:t xml:space="preserve">the </w:t>
      </w:r>
      <w:r w:rsidRPr="00F65CC5">
        <w:rPr>
          <w:rFonts w:asciiTheme="minorHAnsi" w:hAnsiTheme="minorHAnsi" w:cstheme="minorHAnsi"/>
        </w:rPr>
        <w:t>private sphere</w:t>
      </w:r>
      <w:r w:rsidR="00AE0660" w:rsidRPr="00F65CC5">
        <w:rPr>
          <w:rFonts w:asciiTheme="minorHAnsi" w:hAnsiTheme="minorHAnsi" w:cstheme="minorHAnsi"/>
        </w:rPr>
        <w:t>,</w:t>
      </w:r>
      <w:r w:rsidRPr="00F65CC5">
        <w:rPr>
          <w:rFonts w:asciiTheme="minorHAnsi" w:hAnsiTheme="minorHAnsi" w:cstheme="minorHAnsi"/>
        </w:rPr>
        <w:t xml:space="preserve"> where </w:t>
      </w:r>
      <w:r w:rsidR="00AE0660" w:rsidRPr="00F65CC5">
        <w:rPr>
          <w:rFonts w:asciiTheme="minorHAnsi" w:hAnsiTheme="minorHAnsi" w:cstheme="minorHAnsi"/>
        </w:rPr>
        <w:t xml:space="preserve">the </w:t>
      </w:r>
      <w:r w:rsidRPr="00F65CC5">
        <w:rPr>
          <w:rFonts w:asciiTheme="minorHAnsi" w:hAnsiTheme="minorHAnsi" w:cstheme="minorHAnsi"/>
        </w:rPr>
        <w:t>majority of gender-based violence take place.</w:t>
      </w:r>
      <w:r w:rsidRPr="00F65CC5">
        <w:rPr>
          <w:rStyle w:val="FootnoteReference"/>
          <w:rFonts w:asciiTheme="minorHAnsi" w:hAnsiTheme="minorHAnsi" w:cstheme="minorHAnsi"/>
        </w:rPr>
        <w:footnoteReference w:id="80"/>
      </w:r>
      <w:r w:rsidRPr="00F65CC5">
        <w:rPr>
          <w:rFonts w:asciiTheme="minorHAnsi" w:hAnsiTheme="minorHAnsi" w:cstheme="minorHAnsi"/>
        </w:rPr>
        <w:t xml:space="preserve"> Law has been identified with reason as opposed to emotions.</w:t>
      </w:r>
      <w:r w:rsidRPr="00F65CC5">
        <w:rPr>
          <w:rStyle w:val="FootnoteReference"/>
          <w:rFonts w:asciiTheme="minorHAnsi" w:hAnsiTheme="minorHAnsi" w:cstheme="minorHAnsi"/>
        </w:rPr>
        <w:footnoteReference w:id="81"/>
      </w:r>
      <w:r w:rsidRPr="00F65CC5">
        <w:rPr>
          <w:rFonts w:asciiTheme="minorHAnsi" w:hAnsiTheme="minorHAnsi" w:cstheme="minorHAnsi"/>
        </w:rPr>
        <w:t xml:space="preserve"> Linda </w:t>
      </w:r>
      <w:proofErr w:type="spellStart"/>
      <w:r w:rsidRPr="00F65CC5">
        <w:rPr>
          <w:rFonts w:asciiTheme="minorHAnsi" w:hAnsiTheme="minorHAnsi" w:cstheme="minorHAnsi"/>
        </w:rPr>
        <w:t>Åhäll</w:t>
      </w:r>
      <w:proofErr w:type="spellEnd"/>
      <w:r w:rsidRPr="00F65CC5">
        <w:rPr>
          <w:rFonts w:asciiTheme="minorHAnsi" w:hAnsiTheme="minorHAnsi" w:cstheme="minorHAnsi"/>
        </w:rPr>
        <w:t xml:space="preserve"> reminds us that ‘much of feminist scholarship has worked to problematize binaries such as emotion/reason, mind/body, and domestic/international</w:t>
      </w:r>
      <w:r w:rsidR="00BB2BCE">
        <w:rPr>
          <w:rFonts w:asciiTheme="minorHAnsi" w:hAnsiTheme="minorHAnsi" w:cstheme="minorHAnsi"/>
        </w:rPr>
        <w:t>’.</w:t>
      </w:r>
      <w:r w:rsidR="001C3B5B">
        <w:rPr>
          <w:rStyle w:val="FootnoteReference"/>
          <w:rFonts w:asciiTheme="minorHAnsi" w:hAnsiTheme="minorHAnsi" w:cstheme="minorHAnsi"/>
        </w:rPr>
        <w:footnoteReference w:id="82"/>
      </w:r>
      <w:r w:rsidRPr="00F65CC5">
        <w:rPr>
          <w:rFonts w:asciiTheme="minorHAnsi" w:hAnsiTheme="minorHAnsi" w:cstheme="minorHAnsi"/>
        </w:rPr>
        <w:t xml:space="preserve"> In that courtroom, we can find feminist legal spaces in the unlikely presence of emotions. </w:t>
      </w:r>
    </w:p>
    <w:p w14:paraId="23C528F9" w14:textId="77777777" w:rsidR="008C667B" w:rsidRPr="00F65CC5" w:rsidRDefault="008C667B" w:rsidP="007933F6">
      <w:pPr>
        <w:ind w:right="-52"/>
        <w:jc w:val="both"/>
        <w:rPr>
          <w:rFonts w:asciiTheme="minorHAnsi" w:hAnsiTheme="minorHAnsi" w:cstheme="minorHAnsi"/>
        </w:rPr>
      </w:pPr>
      <w:r w:rsidRPr="00F65CC5">
        <w:rPr>
          <w:rFonts w:asciiTheme="minorHAnsi" w:hAnsiTheme="minorHAnsi" w:cstheme="minorHAnsi"/>
        </w:rPr>
        <w:t xml:space="preserve"> </w:t>
      </w:r>
    </w:p>
    <w:p w14:paraId="5DC1A27C" w14:textId="24AB74A0" w:rsidR="008C667B" w:rsidRPr="00F65CC5" w:rsidRDefault="008C667B" w:rsidP="007933F6">
      <w:pPr>
        <w:ind w:right="-52"/>
        <w:jc w:val="both"/>
        <w:rPr>
          <w:rFonts w:asciiTheme="minorHAnsi" w:hAnsiTheme="minorHAnsi" w:cstheme="minorHAnsi"/>
        </w:rPr>
      </w:pPr>
      <w:r w:rsidRPr="00F65CC5">
        <w:rPr>
          <w:rFonts w:asciiTheme="minorHAnsi" w:hAnsiTheme="minorHAnsi" w:cstheme="minorHAnsi"/>
        </w:rPr>
        <w:t>In these hearings feminist lawyers and activists expressed emotions from anger to sadness and happiness to hope. The lawyers read out loud the names of the women who were murdered. Without prior arrangement all feminist attendees stood in silence.</w:t>
      </w:r>
      <w:r w:rsidRPr="00F65CC5">
        <w:rPr>
          <w:rStyle w:val="FootnoteReference"/>
          <w:rFonts w:asciiTheme="minorHAnsi" w:hAnsiTheme="minorHAnsi" w:cstheme="minorHAnsi"/>
        </w:rPr>
        <w:footnoteReference w:id="83"/>
      </w:r>
      <w:r w:rsidRPr="00F65CC5">
        <w:rPr>
          <w:rFonts w:asciiTheme="minorHAnsi" w:hAnsiTheme="minorHAnsi" w:cstheme="minorHAnsi"/>
        </w:rPr>
        <w:t xml:space="preserve"> There were lawyers who had been victim</w:t>
      </w:r>
      <w:r w:rsidR="00AE0660" w:rsidRPr="00F65CC5">
        <w:rPr>
          <w:rFonts w:asciiTheme="minorHAnsi" w:hAnsiTheme="minorHAnsi" w:cstheme="minorHAnsi"/>
        </w:rPr>
        <w:t>s</w:t>
      </w:r>
      <w:r w:rsidRPr="00F65CC5">
        <w:rPr>
          <w:rFonts w:asciiTheme="minorHAnsi" w:hAnsiTheme="minorHAnsi" w:cstheme="minorHAnsi"/>
        </w:rPr>
        <w:t xml:space="preserve"> of gender-based violence themselves and they talked about their own experience. It was ‘traumatic’ according to one of the interviewees to hear in detail about stories of cis and trans women who were murdered, raped and sexually assaulted.</w:t>
      </w:r>
      <w:r w:rsidRPr="00F65CC5">
        <w:rPr>
          <w:rStyle w:val="FootnoteReference"/>
          <w:rFonts w:asciiTheme="minorHAnsi" w:hAnsiTheme="minorHAnsi" w:cstheme="minorHAnsi"/>
        </w:rPr>
        <w:footnoteReference w:id="84"/>
      </w:r>
      <w:r w:rsidRPr="00F65CC5">
        <w:rPr>
          <w:rFonts w:asciiTheme="minorHAnsi" w:hAnsiTheme="minorHAnsi" w:cstheme="minorHAnsi"/>
        </w:rPr>
        <w:t xml:space="preserve"> The </w:t>
      </w:r>
      <w:r w:rsidR="00E5366A">
        <w:rPr>
          <w:rFonts w:asciiTheme="minorHAnsi" w:hAnsiTheme="minorHAnsi" w:cstheme="minorHAnsi"/>
        </w:rPr>
        <w:t xml:space="preserve">same interviewee stated that </w:t>
      </w:r>
      <w:r w:rsidRPr="00F65CC5">
        <w:rPr>
          <w:rFonts w:asciiTheme="minorHAnsi" w:hAnsiTheme="minorHAnsi" w:cstheme="minorHAnsi"/>
        </w:rPr>
        <w:t xml:space="preserve">feminists in the space listened to the stories with applause. Feminists in that courtroom did not feel lonely. The </w:t>
      </w:r>
      <w:r w:rsidR="00215792">
        <w:rPr>
          <w:rFonts w:asciiTheme="minorHAnsi" w:hAnsiTheme="minorHAnsi" w:cstheme="minorHAnsi"/>
        </w:rPr>
        <w:t>c</w:t>
      </w:r>
      <w:r w:rsidRPr="00F65CC5">
        <w:rPr>
          <w:rFonts w:asciiTheme="minorHAnsi" w:hAnsiTheme="minorHAnsi" w:cstheme="minorHAnsi"/>
        </w:rPr>
        <w:t>ourt hearing was about international law</w:t>
      </w:r>
      <w:r w:rsidR="00A53772">
        <w:rPr>
          <w:rFonts w:asciiTheme="minorHAnsi" w:hAnsiTheme="minorHAnsi" w:cstheme="minorHAnsi"/>
        </w:rPr>
        <w:t>,</w:t>
      </w:r>
      <w:r w:rsidRPr="00F65CC5">
        <w:rPr>
          <w:rFonts w:asciiTheme="minorHAnsi" w:hAnsiTheme="minorHAnsi" w:cstheme="minorHAnsi"/>
        </w:rPr>
        <w:t xml:space="preserve"> and they spoke the language of emotions and experiences of gender-based violence. The vertical hierarchies of international law do not accept that emotions and experiences have a space in law.</w:t>
      </w:r>
      <w:r w:rsidRPr="00F65CC5">
        <w:rPr>
          <w:rStyle w:val="FootnoteReference"/>
          <w:rFonts w:asciiTheme="minorHAnsi" w:hAnsiTheme="minorHAnsi" w:cstheme="minorHAnsi"/>
        </w:rPr>
        <w:footnoteReference w:id="85"/>
      </w:r>
      <w:r w:rsidRPr="00F65CC5">
        <w:rPr>
          <w:rFonts w:asciiTheme="minorHAnsi" w:hAnsiTheme="minorHAnsi" w:cstheme="minorHAnsi"/>
        </w:rPr>
        <w:t xml:space="preserve"> In those unlikely moments of feminist legality, emotions and experiences became the law. </w:t>
      </w:r>
    </w:p>
    <w:p w14:paraId="1A63E1F4" w14:textId="77777777" w:rsidR="008C667B" w:rsidRPr="00F65CC5" w:rsidRDefault="008C667B" w:rsidP="007933F6">
      <w:pPr>
        <w:ind w:right="-52"/>
        <w:jc w:val="both"/>
        <w:rPr>
          <w:rFonts w:asciiTheme="minorHAnsi" w:hAnsiTheme="minorHAnsi" w:cstheme="minorHAnsi"/>
        </w:rPr>
      </w:pPr>
    </w:p>
    <w:p w14:paraId="22F3A283" w14:textId="20CFD435"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 xml:space="preserve">The creation of space started with the physical space of the court room. The Istanbul Convention hearings were held in big conference halls. It was unusual for the </w:t>
      </w:r>
      <w:r w:rsidR="0062598C">
        <w:rPr>
          <w:rFonts w:asciiTheme="minorHAnsi" w:hAnsiTheme="minorHAnsi" w:cstheme="minorHAnsi"/>
        </w:rPr>
        <w:t>c</w:t>
      </w:r>
      <w:r w:rsidRPr="00F65CC5">
        <w:rPr>
          <w:rFonts w:asciiTheme="minorHAnsi" w:hAnsiTheme="minorHAnsi" w:cstheme="minorHAnsi"/>
        </w:rPr>
        <w:t xml:space="preserve">ourt to hold hearings in that space. The court first offered a small courtroom which would not accommodate </w:t>
      </w:r>
      <w:r w:rsidR="00AE0660" w:rsidRPr="00F65CC5">
        <w:rPr>
          <w:rFonts w:asciiTheme="minorHAnsi" w:hAnsiTheme="minorHAnsi" w:cstheme="minorHAnsi"/>
        </w:rPr>
        <w:t xml:space="preserve">the </w:t>
      </w:r>
      <w:r w:rsidRPr="00F65CC5">
        <w:rPr>
          <w:rFonts w:asciiTheme="minorHAnsi" w:hAnsiTheme="minorHAnsi" w:cstheme="minorHAnsi"/>
        </w:rPr>
        <w:t xml:space="preserve">hundreds of feminists </w:t>
      </w:r>
      <w:r w:rsidR="00AE0660" w:rsidRPr="00F65CC5">
        <w:rPr>
          <w:rFonts w:asciiTheme="minorHAnsi" w:hAnsiTheme="minorHAnsi" w:cstheme="minorHAnsi"/>
        </w:rPr>
        <w:t xml:space="preserve">who </w:t>
      </w:r>
      <w:r w:rsidRPr="00F65CC5">
        <w:rPr>
          <w:rFonts w:asciiTheme="minorHAnsi" w:hAnsiTheme="minorHAnsi" w:cstheme="minorHAnsi"/>
        </w:rPr>
        <w:t>attend</w:t>
      </w:r>
      <w:r w:rsidR="00AE0660" w:rsidRPr="00F65CC5">
        <w:rPr>
          <w:rFonts w:asciiTheme="minorHAnsi" w:hAnsiTheme="minorHAnsi" w:cstheme="minorHAnsi"/>
        </w:rPr>
        <w:t>ed</w:t>
      </w:r>
      <w:r w:rsidRPr="00F65CC5">
        <w:rPr>
          <w:rFonts w:asciiTheme="minorHAnsi" w:hAnsiTheme="minorHAnsi" w:cstheme="minorHAnsi"/>
        </w:rPr>
        <w:t xml:space="preserve"> the hearing</w:t>
      </w:r>
      <w:r w:rsidR="00AE0660" w:rsidRPr="00F65CC5">
        <w:rPr>
          <w:rFonts w:asciiTheme="minorHAnsi" w:hAnsiTheme="minorHAnsi" w:cstheme="minorHAnsi"/>
        </w:rPr>
        <w:t>, coming</w:t>
      </w:r>
      <w:r w:rsidRPr="00F65CC5">
        <w:rPr>
          <w:rFonts w:asciiTheme="minorHAnsi" w:hAnsiTheme="minorHAnsi" w:cstheme="minorHAnsi"/>
        </w:rPr>
        <w:t xml:space="preserve"> from all over the country. One of the interviewees said that several different feminist groups were there on that day.</w:t>
      </w:r>
      <w:r w:rsidRPr="00F65CC5">
        <w:rPr>
          <w:rStyle w:val="FootnoteReference"/>
          <w:rFonts w:asciiTheme="minorHAnsi" w:hAnsiTheme="minorHAnsi" w:cstheme="minorHAnsi"/>
        </w:rPr>
        <w:footnoteReference w:id="86"/>
      </w:r>
      <w:r w:rsidRPr="00F65CC5">
        <w:rPr>
          <w:rFonts w:asciiTheme="minorHAnsi" w:hAnsiTheme="minorHAnsi" w:cstheme="minorHAnsi"/>
        </w:rPr>
        <w:t xml:space="preserve"> All these feminist groups strongly objected to the </w:t>
      </w:r>
      <w:r w:rsidR="00215792">
        <w:rPr>
          <w:rFonts w:asciiTheme="minorHAnsi" w:hAnsiTheme="minorHAnsi" w:cstheme="minorHAnsi"/>
        </w:rPr>
        <w:t>c</w:t>
      </w:r>
      <w:r w:rsidRPr="00F65CC5">
        <w:rPr>
          <w:rFonts w:asciiTheme="minorHAnsi" w:hAnsiTheme="minorHAnsi" w:cstheme="minorHAnsi"/>
        </w:rPr>
        <w:t>ourt’s initial decision to have the hearings in a small space.</w:t>
      </w:r>
      <w:r w:rsidRPr="00F65CC5">
        <w:rPr>
          <w:rStyle w:val="FootnoteReference"/>
          <w:rFonts w:asciiTheme="minorHAnsi" w:hAnsiTheme="minorHAnsi" w:cstheme="minorHAnsi"/>
        </w:rPr>
        <w:footnoteReference w:id="87"/>
      </w:r>
      <w:r w:rsidRPr="00F65CC5">
        <w:rPr>
          <w:rFonts w:asciiTheme="minorHAnsi" w:hAnsiTheme="minorHAnsi" w:cstheme="minorHAnsi"/>
        </w:rPr>
        <w:t xml:space="preserve"> </w:t>
      </w:r>
    </w:p>
    <w:p w14:paraId="77AE4624" w14:textId="77777777" w:rsidR="00CB07AF" w:rsidRPr="00F65CC5" w:rsidRDefault="00CB07AF" w:rsidP="007933F6">
      <w:pPr>
        <w:ind w:right="-52"/>
        <w:jc w:val="both"/>
        <w:rPr>
          <w:rFonts w:asciiTheme="minorHAnsi" w:hAnsiTheme="minorHAnsi" w:cstheme="minorHAnsi"/>
        </w:rPr>
      </w:pPr>
    </w:p>
    <w:p w14:paraId="73C5C903" w14:textId="133F436F"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 xml:space="preserve">The </w:t>
      </w:r>
      <w:r w:rsidR="00215792">
        <w:rPr>
          <w:rFonts w:asciiTheme="minorHAnsi" w:hAnsiTheme="minorHAnsi" w:cstheme="minorHAnsi"/>
        </w:rPr>
        <w:t>c</w:t>
      </w:r>
      <w:r w:rsidRPr="00F65CC5">
        <w:rPr>
          <w:rFonts w:asciiTheme="minorHAnsi" w:hAnsiTheme="minorHAnsi" w:cstheme="minorHAnsi"/>
        </w:rPr>
        <w:t xml:space="preserve">ourt finally agreed to hear the cases in the conference room where all women waiting outside the </w:t>
      </w:r>
      <w:r w:rsidR="00215792">
        <w:rPr>
          <w:rFonts w:asciiTheme="minorHAnsi" w:hAnsiTheme="minorHAnsi" w:cstheme="minorHAnsi"/>
        </w:rPr>
        <w:t>c</w:t>
      </w:r>
      <w:r w:rsidRPr="00F65CC5">
        <w:rPr>
          <w:rFonts w:asciiTheme="minorHAnsi" w:hAnsiTheme="minorHAnsi" w:cstheme="minorHAnsi"/>
        </w:rPr>
        <w:t xml:space="preserve">ourthouse could attend. This can symbolically be read as safeguarding the physical conditions for creating feminist legal space. For a feminist legality to emerge, we must ensure no feminists are excluded from the space. The courtroom becomes a </w:t>
      </w:r>
      <w:r w:rsidR="009F5DF1" w:rsidRPr="00F65CC5">
        <w:rPr>
          <w:rFonts w:asciiTheme="minorHAnsi" w:hAnsiTheme="minorHAnsi" w:cstheme="minorHAnsi"/>
        </w:rPr>
        <w:t>hybrid space</w:t>
      </w:r>
      <w:r w:rsidRPr="00F65CC5">
        <w:rPr>
          <w:rFonts w:asciiTheme="minorHAnsi" w:hAnsiTheme="minorHAnsi" w:cstheme="minorHAnsi"/>
        </w:rPr>
        <w:t xml:space="preserve"> with feminists compelling the highest administrative court in the country to expand its space. The room is physically a hybrid of a conference hall and a courtroom and to accommodate all feminists expanded its capacity. The usual space where the hearings take place c</w:t>
      </w:r>
      <w:r w:rsidR="009F5DF1" w:rsidRPr="00F65CC5">
        <w:rPr>
          <w:rFonts w:asciiTheme="minorHAnsi" w:hAnsiTheme="minorHAnsi" w:cstheme="minorHAnsi"/>
        </w:rPr>
        <w:t>ould not</w:t>
      </w:r>
      <w:r w:rsidRPr="00F65CC5">
        <w:rPr>
          <w:rFonts w:asciiTheme="minorHAnsi" w:hAnsiTheme="minorHAnsi" w:cstheme="minorHAnsi"/>
        </w:rPr>
        <w:t xml:space="preserve"> fit all </w:t>
      </w:r>
      <w:r w:rsidR="009F5DF1" w:rsidRPr="00F65CC5">
        <w:rPr>
          <w:rFonts w:asciiTheme="minorHAnsi" w:hAnsiTheme="minorHAnsi" w:cstheme="minorHAnsi"/>
        </w:rPr>
        <w:t xml:space="preserve">the </w:t>
      </w:r>
      <w:r w:rsidRPr="00F65CC5">
        <w:rPr>
          <w:rFonts w:asciiTheme="minorHAnsi" w:hAnsiTheme="minorHAnsi" w:cstheme="minorHAnsi"/>
        </w:rPr>
        <w:t xml:space="preserve">feminists waiting outside </w:t>
      </w:r>
      <w:r w:rsidR="009F5DF1" w:rsidRPr="00F65CC5">
        <w:rPr>
          <w:rFonts w:asciiTheme="minorHAnsi" w:hAnsiTheme="minorHAnsi" w:cstheme="minorHAnsi"/>
        </w:rPr>
        <w:t>of</w:t>
      </w:r>
      <w:r w:rsidRPr="00F65CC5">
        <w:rPr>
          <w:rFonts w:asciiTheme="minorHAnsi" w:hAnsiTheme="minorHAnsi" w:cstheme="minorHAnsi"/>
        </w:rPr>
        <w:t xml:space="preserve"> it. This is again symbolically manifesting the limits of vertical legal spaces. An interviewee told us that the president of the </w:t>
      </w:r>
      <w:r w:rsidR="0094115F">
        <w:rPr>
          <w:rFonts w:asciiTheme="minorHAnsi" w:hAnsiTheme="minorHAnsi" w:cstheme="minorHAnsi"/>
        </w:rPr>
        <w:t>c</w:t>
      </w:r>
      <w:r w:rsidRPr="00F65CC5">
        <w:rPr>
          <w:rFonts w:asciiTheme="minorHAnsi" w:hAnsiTheme="minorHAnsi" w:cstheme="minorHAnsi"/>
        </w:rPr>
        <w:t xml:space="preserve">ourt admitted that he had never </w:t>
      </w:r>
      <w:r w:rsidRPr="00F65CC5">
        <w:rPr>
          <w:rFonts w:asciiTheme="minorHAnsi" w:hAnsiTheme="minorHAnsi" w:cstheme="minorHAnsi"/>
        </w:rPr>
        <w:lastRenderedPageBreak/>
        <w:t>seen such a crowded hearing</w:t>
      </w:r>
      <w:r w:rsidR="00670FF2">
        <w:rPr>
          <w:rFonts w:asciiTheme="minorHAnsi" w:hAnsiTheme="minorHAnsi" w:cstheme="minorHAnsi"/>
        </w:rPr>
        <w:t>;</w:t>
      </w:r>
      <w:r w:rsidRPr="00F65CC5">
        <w:rPr>
          <w:rFonts w:asciiTheme="minorHAnsi" w:hAnsiTheme="minorHAnsi" w:cstheme="minorHAnsi"/>
        </w:rPr>
        <w:t xml:space="preserve"> it was a first in </w:t>
      </w:r>
      <w:proofErr w:type="spellStart"/>
      <w:r w:rsidRPr="00F65CC5">
        <w:rPr>
          <w:rFonts w:asciiTheme="minorHAnsi" w:hAnsiTheme="minorHAnsi" w:cstheme="minorHAnsi"/>
        </w:rPr>
        <w:t>Danıştay’s</w:t>
      </w:r>
      <w:proofErr w:type="spellEnd"/>
      <w:r w:rsidRPr="00F65CC5">
        <w:rPr>
          <w:rFonts w:asciiTheme="minorHAnsi" w:hAnsiTheme="minorHAnsi" w:cstheme="minorHAnsi"/>
        </w:rPr>
        <w:t xml:space="preserve"> history.</w:t>
      </w:r>
      <w:r w:rsidRPr="00F65CC5">
        <w:rPr>
          <w:rStyle w:val="FootnoteReference"/>
          <w:rFonts w:asciiTheme="minorHAnsi" w:hAnsiTheme="minorHAnsi" w:cstheme="minorHAnsi"/>
        </w:rPr>
        <w:footnoteReference w:id="88"/>
      </w:r>
      <w:r w:rsidRPr="00F65CC5">
        <w:rPr>
          <w:rFonts w:asciiTheme="minorHAnsi" w:hAnsiTheme="minorHAnsi" w:cstheme="minorHAnsi"/>
        </w:rPr>
        <w:t xml:space="preserve"> The hearing was not one of the usual ones, it was unusual. To discover a feminist unlikely legal space, we need the unusual instead of the usual and traditional. This unusual could start with people, walls and rooms. One of the interviewees shared an anecdote where the police tried to shut the door of the courtroom</w:t>
      </w:r>
      <w:r w:rsidR="00B42CC6">
        <w:rPr>
          <w:rFonts w:asciiTheme="minorHAnsi" w:hAnsiTheme="minorHAnsi" w:cstheme="minorHAnsi"/>
        </w:rPr>
        <w:t>,</w:t>
      </w:r>
      <w:r w:rsidRPr="00F65CC5">
        <w:rPr>
          <w:rFonts w:asciiTheme="minorHAnsi" w:hAnsiTheme="minorHAnsi" w:cstheme="minorHAnsi"/>
        </w:rPr>
        <w:t xml:space="preserve"> and the feminists inside physically resisted to keep the door open for the feminists waiting to </w:t>
      </w:r>
      <w:r w:rsidR="009F5DF1" w:rsidRPr="00F65CC5">
        <w:rPr>
          <w:rFonts w:asciiTheme="minorHAnsi" w:hAnsiTheme="minorHAnsi" w:cstheme="minorHAnsi"/>
        </w:rPr>
        <w:t>enter</w:t>
      </w:r>
      <w:r w:rsidRPr="00F65CC5">
        <w:rPr>
          <w:rFonts w:asciiTheme="minorHAnsi" w:hAnsiTheme="minorHAnsi" w:cstheme="minorHAnsi"/>
        </w:rPr>
        <w:t xml:space="preserve"> the room. She said: ‘we were determined not to leave even one single feminist sister behind’</w:t>
      </w:r>
      <w:r w:rsidR="00B42CC6">
        <w:rPr>
          <w:rFonts w:asciiTheme="minorHAnsi" w:hAnsiTheme="minorHAnsi" w:cstheme="minorHAnsi"/>
        </w:rPr>
        <w:t>.</w:t>
      </w:r>
      <w:r w:rsidRPr="00F65CC5">
        <w:rPr>
          <w:rStyle w:val="FootnoteReference"/>
          <w:rFonts w:asciiTheme="minorHAnsi" w:hAnsiTheme="minorHAnsi" w:cstheme="minorHAnsi"/>
        </w:rPr>
        <w:footnoteReference w:id="89"/>
      </w:r>
      <w:r w:rsidRPr="00F65CC5">
        <w:rPr>
          <w:rFonts w:asciiTheme="minorHAnsi" w:hAnsiTheme="minorHAnsi" w:cstheme="minorHAnsi"/>
        </w:rPr>
        <w:t xml:space="preserve"> She continued with saying that they collectively leaned on the open door to keep it open while the lawyers were negotiating. The police behaviour was unilinear</w:t>
      </w:r>
      <w:r w:rsidR="0009608D">
        <w:rPr>
          <w:rFonts w:asciiTheme="minorHAnsi" w:hAnsiTheme="minorHAnsi" w:cstheme="minorHAnsi"/>
        </w:rPr>
        <w:t>. T</w:t>
      </w:r>
      <w:r w:rsidRPr="00F65CC5">
        <w:rPr>
          <w:rFonts w:asciiTheme="minorHAnsi" w:hAnsiTheme="minorHAnsi" w:cstheme="minorHAnsi"/>
        </w:rPr>
        <w:t xml:space="preserve">hey would let some in then close the door unexpectedly causing some feminists </w:t>
      </w:r>
      <w:r w:rsidR="009F5DF1" w:rsidRPr="00F65CC5">
        <w:rPr>
          <w:rFonts w:asciiTheme="minorHAnsi" w:hAnsiTheme="minorHAnsi" w:cstheme="minorHAnsi"/>
        </w:rPr>
        <w:t xml:space="preserve">to become </w:t>
      </w:r>
      <w:r w:rsidRPr="00F65CC5">
        <w:rPr>
          <w:rFonts w:asciiTheme="minorHAnsi" w:hAnsiTheme="minorHAnsi" w:cstheme="minorHAnsi"/>
        </w:rPr>
        <w:t>physically stuck between the doors.</w:t>
      </w:r>
      <w:r w:rsidRPr="00F65CC5">
        <w:rPr>
          <w:rStyle w:val="FootnoteReference"/>
          <w:rFonts w:asciiTheme="minorHAnsi" w:hAnsiTheme="minorHAnsi" w:cstheme="minorHAnsi"/>
        </w:rPr>
        <w:footnoteReference w:id="90"/>
      </w:r>
      <w:r w:rsidRPr="00F65CC5">
        <w:rPr>
          <w:rFonts w:asciiTheme="minorHAnsi" w:hAnsiTheme="minorHAnsi" w:cstheme="minorHAnsi"/>
        </w:rPr>
        <w:t xml:space="preserve"> This again resembles feminist legal struggles within the international and national vertical </w:t>
      </w:r>
      <w:r w:rsidR="00935B9A">
        <w:rPr>
          <w:rFonts w:asciiTheme="minorHAnsi" w:hAnsiTheme="minorHAnsi" w:cstheme="minorHAnsi"/>
        </w:rPr>
        <w:t>S</w:t>
      </w:r>
      <w:r w:rsidRPr="00F65CC5">
        <w:rPr>
          <w:rFonts w:asciiTheme="minorHAnsi" w:hAnsiTheme="minorHAnsi" w:cstheme="minorHAnsi"/>
        </w:rPr>
        <w:t>tate-centric spaces</w:t>
      </w:r>
      <w:r w:rsidR="00935B9A">
        <w:rPr>
          <w:rFonts w:asciiTheme="minorHAnsi" w:hAnsiTheme="minorHAnsi" w:cstheme="minorHAnsi"/>
        </w:rPr>
        <w:t xml:space="preserve"> with s</w:t>
      </w:r>
      <w:r w:rsidRPr="00F65CC5">
        <w:rPr>
          <w:rFonts w:asciiTheme="minorHAnsi" w:hAnsiTheme="minorHAnsi" w:cstheme="minorHAnsi"/>
        </w:rPr>
        <w:t xml:space="preserve">ome demands entering into the realm of law, </w:t>
      </w:r>
      <w:r w:rsidR="00F45FFF">
        <w:rPr>
          <w:rFonts w:asciiTheme="minorHAnsi" w:hAnsiTheme="minorHAnsi" w:cstheme="minorHAnsi"/>
        </w:rPr>
        <w:t xml:space="preserve">while </w:t>
      </w:r>
      <w:r w:rsidRPr="00F65CC5">
        <w:rPr>
          <w:rFonts w:asciiTheme="minorHAnsi" w:hAnsiTheme="minorHAnsi" w:cstheme="minorHAnsi"/>
        </w:rPr>
        <w:t xml:space="preserve">some </w:t>
      </w:r>
      <w:r w:rsidR="00F45FFF">
        <w:rPr>
          <w:rFonts w:asciiTheme="minorHAnsi" w:hAnsiTheme="minorHAnsi" w:cstheme="minorHAnsi"/>
        </w:rPr>
        <w:t xml:space="preserve">are </w:t>
      </w:r>
      <w:r w:rsidRPr="00F65CC5">
        <w:rPr>
          <w:rFonts w:asciiTheme="minorHAnsi" w:hAnsiTheme="minorHAnsi" w:cstheme="minorHAnsi"/>
        </w:rPr>
        <w:t>denied. In the end</w:t>
      </w:r>
      <w:r w:rsidR="00F45FFF">
        <w:rPr>
          <w:rFonts w:asciiTheme="minorHAnsi" w:hAnsiTheme="minorHAnsi" w:cstheme="minorHAnsi"/>
        </w:rPr>
        <w:t>,</w:t>
      </w:r>
      <w:r w:rsidRPr="00F65CC5">
        <w:rPr>
          <w:rFonts w:asciiTheme="minorHAnsi" w:hAnsiTheme="minorHAnsi" w:cstheme="minorHAnsi"/>
        </w:rPr>
        <w:t xml:space="preserve"> all feminists were in the hall. Recalling Davies’s analysis that posits ‘the entry point for feminist legal analysis is constituted by a denial of other possible legal spaces’</w:t>
      </w:r>
      <w:r w:rsidR="00495A1D">
        <w:rPr>
          <w:rFonts w:asciiTheme="minorHAnsi" w:hAnsiTheme="minorHAnsi" w:cstheme="minorHAnsi"/>
        </w:rPr>
        <w:t>,</w:t>
      </w:r>
      <w:r w:rsidRPr="00F65CC5">
        <w:rPr>
          <w:rStyle w:val="FootnoteReference"/>
          <w:rFonts w:asciiTheme="minorHAnsi" w:hAnsiTheme="minorHAnsi" w:cstheme="minorHAnsi"/>
        </w:rPr>
        <w:footnoteReference w:id="91"/>
      </w:r>
      <w:r w:rsidRPr="00F65CC5">
        <w:rPr>
          <w:rFonts w:asciiTheme="minorHAnsi" w:hAnsiTheme="minorHAnsi" w:cstheme="minorHAnsi"/>
        </w:rPr>
        <w:t xml:space="preserve"> feminist activists began the hearing maintaining that n</w:t>
      </w:r>
      <w:r w:rsidR="009F5DF1" w:rsidRPr="00F65CC5">
        <w:rPr>
          <w:rFonts w:asciiTheme="minorHAnsi" w:hAnsiTheme="minorHAnsi" w:cstheme="minorHAnsi"/>
        </w:rPr>
        <w:t>o-</w:t>
      </w:r>
      <w:r w:rsidRPr="00F65CC5">
        <w:rPr>
          <w:rFonts w:asciiTheme="minorHAnsi" w:hAnsiTheme="minorHAnsi" w:cstheme="minorHAnsi"/>
        </w:rPr>
        <w:t xml:space="preserve">one was left out, no one was denied a space. </w:t>
      </w:r>
    </w:p>
    <w:p w14:paraId="05BD74B3" w14:textId="77777777" w:rsidR="00CB07AF" w:rsidRPr="00F65CC5" w:rsidRDefault="00CB07AF" w:rsidP="007933F6">
      <w:pPr>
        <w:ind w:right="-52"/>
        <w:jc w:val="both"/>
        <w:rPr>
          <w:rFonts w:asciiTheme="minorHAnsi" w:hAnsiTheme="minorHAnsi" w:cstheme="minorHAnsi"/>
        </w:rPr>
      </w:pPr>
    </w:p>
    <w:p w14:paraId="5032AD33" w14:textId="3F9297D4"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A number of interviewees mentioned the politeness of the judges towards them.</w:t>
      </w:r>
      <w:r w:rsidRPr="00F65CC5">
        <w:rPr>
          <w:rStyle w:val="FootnoteReference"/>
          <w:rFonts w:asciiTheme="minorHAnsi" w:hAnsiTheme="minorHAnsi" w:cstheme="minorHAnsi"/>
        </w:rPr>
        <w:footnoteReference w:id="92"/>
      </w:r>
      <w:r w:rsidRPr="00F65CC5">
        <w:rPr>
          <w:rFonts w:asciiTheme="minorHAnsi" w:hAnsiTheme="minorHAnsi" w:cstheme="minorHAnsi"/>
        </w:rPr>
        <w:t xml:space="preserve"> According to them, the politeness was an outcome of feminist power in the </w:t>
      </w:r>
      <w:r w:rsidR="00D23B8D">
        <w:rPr>
          <w:rFonts w:asciiTheme="minorHAnsi" w:hAnsiTheme="minorHAnsi" w:cstheme="minorHAnsi"/>
        </w:rPr>
        <w:t>c</w:t>
      </w:r>
      <w:r w:rsidRPr="00F65CC5">
        <w:rPr>
          <w:rFonts w:asciiTheme="minorHAnsi" w:hAnsiTheme="minorHAnsi" w:cstheme="minorHAnsi"/>
        </w:rPr>
        <w:t xml:space="preserve">ourtroom. In one of the interviewees’ words: </w:t>
      </w:r>
    </w:p>
    <w:p w14:paraId="432B63E1" w14:textId="77777777" w:rsidR="00CB07AF" w:rsidRPr="00F65CC5" w:rsidRDefault="00CB07AF" w:rsidP="007933F6">
      <w:pPr>
        <w:ind w:right="-52"/>
        <w:jc w:val="both"/>
        <w:rPr>
          <w:rFonts w:asciiTheme="minorHAnsi" w:hAnsiTheme="minorHAnsi" w:cstheme="minorHAnsi"/>
        </w:rPr>
      </w:pPr>
    </w:p>
    <w:p w14:paraId="72A38D38" w14:textId="66378FD6" w:rsidR="00CB07AF" w:rsidRPr="00F65CC5" w:rsidRDefault="00CB07AF" w:rsidP="007933F6">
      <w:pPr>
        <w:ind w:left="851" w:right="1417"/>
        <w:jc w:val="both"/>
        <w:rPr>
          <w:rFonts w:asciiTheme="minorHAnsi" w:hAnsiTheme="minorHAnsi" w:cstheme="minorHAnsi"/>
        </w:rPr>
      </w:pPr>
      <w:r w:rsidRPr="00F65CC5">
        <w:rPr>
          <w:rFonts w:asciiTheme="minorHAnsi" w:hAnsiTheme="minorHAnsi" w:cstheme="minorHAnsi"/>
        </w:rPr>
        <w:t xml:space="preserve">The will of </w:t>
      </w:r>
      <w:r w:rsidR="00AB6A0F">
        <w:rPr>
          <w:rFonts w:asciiTheme="minorHAnsi" w:hAnsiTheme="minorHAnsi" w:cstheme="minorHAnsi"/>
        </w:rPr>
        <w:t xml:space="preserve">the </w:t>
      </w:r>
      <w:r w:rsidRPr="00F65CC5">
        <w:rPr>
          <w:rFonts w:asciiTheme="minorHAnsi" w:hAnsiTheme="minorHAnsi" w:cstheme="minorHAnsi"/>
        </w:rPr>
        <w:t>feminist movement was so powerful in the courtroom. Although it was performative judges were polite</w:t>
      </w:r>
      <w:r w:rsidR="003D3656">
        <w:rPr>
          <w:rFonts w:asciiTheme="minorHAnsi" w:hAnsiTheme="minorHAnsi" w:cstheme="minorHAnsi"/>
        </w:rPr>
        <w:t>,</w:t>
      </w:r>
      <w:r w:rsidRPr="00F65CC5">
        <w:rPr>
          <w:rFonts w:asciiTheme="minorHAnsi" w:hAnsiTheme="minorHAnsi" w:cstheme="minorHAnsi"/>
        </w:rPr>
        <w:t xml:space="preserve"> compelled by the feminist will in that space.</w:t>
      </w:r>
      <w:r w:rsidR="003D3656">
        <w:rPr>
          <w:rStyle w:val="FootnoteReference"/>
          <w:rFonts w:asciiTheme="minorHAnsi" w:hAnsiTheme="minorHAnsi" w:cstheme="minorHAnsi"/>
        </w:rPr>
        <w:footnoteReference w:id="93"/>
      </w:r>
      <w:r w:rsidRPr="00F65CC5">
        <w:rPr>
          <w:rFonts w:asciiTheme="minorHAnsi" w:hAnsiTheme="minorHAnsi" w:cstheme="minorHAnsi"/>
        </w:rPr>
        <w:t xml:space="preserve"> </w:t>
      </w:r>
    </w:p>
    <w:p w14:paraId="076D9F6C" w14:textId="77777777" w:rsidR="00CB07AF" w:rsidRPr="00F65CC5" w:rsidRDefault="00CB07AF" w:rsidP="007933F6">
      <w:pPr>
        <w:ind w:right="-52"/>
        <w:jc w:val="both"/>
        <w:rPr>
          <w:rFonts w:asciiTheme="minorHAnsi" w:hAnsiTheme="minorHAnsi" w:cstheme="minorHAnsi"/>
        </w:rPr>
      </w:pPr>
    </w:p>
    <w:p w14:paraId="1389B24D" w14:textId="63A7780B"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Another interviewee confirms the feminist legality created in that courtroom by sharing their observation that even conservative political party representatives were using feminist terminology and lexicon.</w:t>
      </w:r>
      <w:r w:rsidRPr="00F65CC5">
        <w:rPr>
          <w:rStyle w:val="FootnoteReference"/>
          <w:rFonts w:asciiTheme="minorHAnsi" w:hAnsiTheme="minorHAnsi" w:cstheme="minorHAnsi"/>
        </w:rPr>
        <w:footnoteReference w:id="94"/>
      </w:r>
      <w:r w:rsidRPr="00F65CC5">
        <w:rPr>
          <w:rFonts w:asciiTheme="minorHAnsi" w:hAnsiTheme="minorHAnsi" w:cstheme="minorHAnsi"/>
        </w:rPr>
        <w:t xml:space="preserve"> An anecdote she shared was that a male lawyer, president of a bar association, wanted to be one of the speakers in defence of </w:t>
      </w:r>
      <w:r w:rsidR="009F5DF1" w:rsidRPr="00F65CC5">
        <w:rPr>
          <w:rFonts w:asciiTheme="minorHAnsi" w:hAnsiTheme="minorHAnsi" w:cstheme="minorHAnsi"/>
        </w:rPr>
        <w:t xml:space="preserve">the </w:t>
      </w:r>
      <w:r w:rsidRPr="00F65CC5">
        <w:rPr>
          <w:rFonts w:asciiTheme="minorHAnsi" w:hAnsiTheme="minorHAnsi" w:cstheme="minorHAnsi"/>
        </w:rPr>
        <w:t>Istanbul Convention</w:t>
      </w:r>
      <w:r w:rsidR="00424BA7">
        <w:rPr>
          <w:rFonts w:asciiTheme="minorHAnsi" w:hAnsiTheme="minorHAnsi" w:cstheme="minorHAnsi"/>
        </w:rPr>
        <w:t>. H</w:t>
      </w:r>
      <w:r w:rsidRPr="00F65CC5">
        <w:rPr>
          <w:rFonts w:asciiTheme="minorHAnsi" w:hAnsiTheme="minorHAnsi" w:cstheme="minorHAnsi"/>
        </w:rPr>
        <w:t>owever</w:t>
      </w:r>
      <w:r w:rsidR="00424BA7">
        <w:rPr>
          <w:rFonts w:asciiTheme="minorHAnsi" w:hAnsiTheme="minorHAnsi" w:cstheme="minorHAnsi"/>
        </w:rPr>
        <w:t>,</w:t>
      </w:r>
      <w:r w:rsidRPr="00F65CC5">
        <w:rPr>
          <w:rFonts w:asciiTheme="minorHAnsi" w:hAnsiTheme="minorHAnsi" w:cstheme="minorHAnsi"/>
        </w:rPr>
        <w:t xml:space="preserve"> feminist lawyers objected</w:t>
      </w:r>
      <w:r w:rsidR="009F5DF1" w:rsidRPr="00F65CC5">
        <w:rPr>
          <w:rFonts w:asciiTheme="minorHAnsi" w:hAnsiTheme="minorHAnsi" w:cstheme="minorHAnsi"/>
        </w:rPr>
        <w:t>,</w:t>
      </w:r>
      <w:r w:rsidRPr="00F65CC5">
        <w:rPr>
          <w:rFonts w:asciiTheme="minorHAnsi" w:hAnsiTheme="minorHAnsi" w:cstheme="minorHAnsi"/>
        </w:rPr>
        <w:t xml:space="preserve"> arguing that it would be taking </w:t>
      </w:r>
      <w:r w:rsidR="009F5DF1" w:rsidRPr="00F65CC5">
        <w:rPr>
          <w:rFonts w:asciiTheme="minorHAnsi" w:hAnsiTheme="minorHAnsi" w:cstheme="minorHAnsi"/>
        </w:rPr>
        <w:t>away</w:t>
      </w:r>
      <w:r w:rsidRPr="00F65CC5">
        <w:rPr>
          <w:rFonts w:asciiTheme="minorHAnsi" w:hAnsiTheme="minorHAnsi" w:cstheme="minorHAnsi"/>
        </w:rPr>
        <w:t xml:space="preserve"> space from women. The conservative party representatives supported this decision. She said that </w:t>
      </w:r>
      <w:r w:rsidR="009F5DF1" w:rsidRPr="00F65CC5">
        <w:rPr>
          <w:rFonts w:asciiTheme="minorHAnsi" w:hAnsiTheme="minorHAnsi" w:cstheme="minorHAnsi"/>
        </w:rPr>
        <w:t xml:space="preserve">the </w:t>
      </w:r>
      <w:r w:rsidRPr="00F65CC5">
        <w:rPr>
          <w:rFonts w:asciiTheme="minorHAnsi" w:hAnsiTheme="minorHAnsi" w:cstheme="minorHAnsi"/>
        </w:rPr>
        <w:t>‘feminist language and politics that were used in that space were impressive’</w:t>
      </w:r>
      <w:r w:rsidR="0040329C">
        <w:rPr>
          <w:rFonts w:asciiTheme="minorHAnsi" w:hAnsiTheme="minorHAnsi" w:cstheme="minorHAnsi"/>
        </w:rPr>
        <w:t>.</w:t>
      </w:r>
      <w:r w:rsidRPr="00F65CC5">
        <w:rPr>
          <w:rStyle w:val="FootnoteReference"/>
          <w:rFonts w:asciiTheme="minorHAnsi" w:hAnsiTheme="minorHAnsi" w:cstheme="minorHAnsi"/>
        </w:rPr>
        <w:footnoteReference w:id="95"/>
      </w:r>
      <w:r w:rsidRPr="00F65CC5">
        <w:rPr>
          <w:rFonts w:asciiTheme="minorHAnsi" w:hAnsiTheme="minorHAnsi" w:cstheme="minorHAnsi"/>
        </w:rPr>
        <w:t xml:space="preserve"> Özlem </w:t>
      </w:r>
      <w:proofErr w:type="spellStart"/>
      <w:r w:rsidRPr="00F65CC5">
        <w:rPr>
          <w:rFonts w:asciiTheme="minorHAnsi" w:hAnsiTheme="minorHAnsi" w:cstheme="minorHAnsi"/>
        </w:rPr>
        <w:t>Altıok</w:t>
      </w:r>
      <w:proofErr w:type="spellEnd"/>
      <w:r w:rsidRPr="00F65CC5">
        <w:rPr>
          <w:rFonts w:asciiTheme="minorHAnsi" w:hAnsiTheme="minorHAnsi" w:cstheme="minorHAnsi"/>
        </w:rPr>
        <w:t xml:space="preserve"> argues that feminists were giving a lecture to the judges about feminist law during the hearing.</w:t>
      </w:r>
      <w:r w:rsidRPr="00F65CC5">
        <w:rPr>
          <w:rStyle w:val="FootnoteReference"/>
          <w:rFonts w:asciiTheme="minorHAnsi" w:hAnsiTheme="minorHAnsi" w:cstheme="minorHAnsi"/>
        </w:rPr>
        <w:footnoteReference w:id="96"/>
      </w:r>
      <w:r w:rsidRPr="00F65CC5">
        <w:rPr>
          <w:rFonts w:asciiTheme="minorHAnsi" w:hAnsiTheme="minorHAnsi" w:cstheme="minorHAnsi"/>
        </w:rPr>
        <w:t xml:space="preserve"> We could think of that court room (hall) as a </w:t>
      </w:r>
      <w:r w:rsidR="001E5C6B" w:rsidRPr="00F65CC5">
        <w:rPr>
          <w:rFonts w:asciiTheme="minorHAnsi" w:hAnsiTheme="minorHAnsi" w:cstheme="minorHAnsi"/>
        </w:rPr>
        <w:t>hybrid space</w:t>
      </w:r>
      <w:r w:rsidRPr="00F65CC5">
        <w:rPr>
          <w:rFonts w:asciiTheme="minorHAnsi" w:hAnsiTheme="minorHAnsi" w:cstheme="minorHAnsi"/>
        </w:rPr>
        <w:t>, a feminist legal space where State, international law, feminists</w:t>
      </w:r>
      <w:r w:rsidR="001E5C6B" w:rsidRPr="00F65CC5">
        <w:rPr>
          <w:rFonts w:asciiTheme="minorHAnsi" w:hAnsiTheme="minorHAnsi" w:cstheme="minorHAnsi"/>
        </w:rPr>
        <w:t xml:space="preserve"> and </w:t>
      </w:r>
      <w:r w:rsidRPr="00F65CC5">
        <w:rPr>
          <w:rFonts w:asciiTheme="minorHAnsi" w:hAnsiTheme="minorHAnsi" w:cstheme="minorHAnsi"/>
        </w:rPr>
        <w:t>lawyers engage</w:t>
      </w:r>
      <w:r w:rsidR="00CC2A3A">
        <w:rPr>
          <w:rFonts w:asciiTheme="minorHAnsi" w:hAnsiTheme="minorHAnsi" w:cstheme="minorHAnsi"/>
        </w:rPr>
        <w:t>d</w:t>
      </w:r>
      <w:r w:rsidRPr="00F65CC5">
        <w:rPr>
          <w:rFonts w:asciiTheme="minorHAnsi" w:hAnsiTheme="minorHAnsi" w:cstheme="minorHAnsi"/>
        </w:rPr>
        <w:t xml:space="preserve"> with one another, and feminist principles were not dismissed. This coincides with another interviewee’s observations. She described </w:t>
      </w:r>
      <w:r w:rsidRPr="00F65CC5">
        <w:rPr>
          <w:rFonts w:asciiTheme="minorHAnsi" w:hAnsiTheme="minorHAnsi" w:cstheme="minorHAnsi"/>
        </w:rPr>
        <w:lastRenderedPageBreak/>
        <w:t xml:space="preserve">that </w:t>
      </w:r>
      <w:r w:rsidR="001E5C6B" w:rsidRPr="00F65CC5">
        <w:rPr>
          <w:rFonts w:asciiTheme="minorHAnsi" w:hAnsiTheme="minorHAnsi" w:cstheme="minorHAnsi"/>
        </w:rPr>
        <w:t xml:space="preserve">the </w:t>
      </w:r>
      <w:r w:rsidRPr="00F65CC5">
        <w:rPr>
          <w:rFonts w:asciiTheme="minorHAnsi" w:hAnsiTheme="minorHAnsi" w:cstheme="minorHAnsi"/>
        </w:rPr>
        <w:t>courtroom was a space where they felt free.</w:t>
      </w:r>
      <w:r w:rsidRPr="00F65CC5">
        <w:rPr>
          <w:rStyle w:val="FootnoteReference"/>
          <w:rFonts w:asciiTheme="minorHAnsi" w:hAnsiTheme="minorHAnsi" w:cstheme="minorHAnsi"/>
        </w:rPr>
        <w:footnoteReference w:id="97"/>
      </w:r>
      <w:r w:rsidRPr="00F65CC5">
        <w:rPr>
          <w:rFonts w:asciiTheme="minorHAnsi" w:hAnsiTheme="minorHAnsi" w:cstheme="minorHAnsi"/>
        </w:rPr>
        <w:t xml:space="preserve"> She continued</w:t>
      </w:r>
      <w:r w:rsidR="001E5C6B" w:rsidRPr="00F65CC5">
        <w:rPr>
          <w:rFonts w:asciiTheme="minorHAnsi" w:hAnsiTheme="minorHAnsi" w:cstheme="minorHAnsi"/>
        </w:rPr>
        <w:t>,</w:t>
      </w:r>
      <w:r w:rsidRPr="00F65CC5">
        <w:rPr>
          <w:rFonts w:asciiTheme="minorHAnsi" w:hAnsiTheme="minorHAnsi" w:cstheme="minorHAnsi"/>
        </w:rPr>
        <w:t xml:space="preserve"> stating that the court allowed the activists to go crazy (as in pushing the boundaries) under the control of the </w:t>
      </w:r>
      <w:r w:rsidR="00D23B8D">
        <w:rPr>
          <w:rFonts w:asciiTheme="minorHAnsi" w:hAnsiTheme="minorHAnsi" w:cstheme="minorHAnsi"/>
        </w:rPr>
        <w:t>c</w:t>
      </w:r>
      <w:r w:rsidRPr="00F65CC5">
        <w:rPr>
          <w:rFonts w:asciiTheme="minorHAnsi" w:hAnsiTheme="minorHAnsi" w:cstheme="minorHAnsi"/>
        </w:rPr>
        <w:t>ourt</w:t>
      </w:r>
      <w:r w:rsidR="008D3D33">
        <w:rPr>
          <w:rFonts w:asciiTheme="minorHAnsi" w:hAnsiTheme="minorHAnsi" w:cstheme="minorHAnsi"/>
        </w:rPr>
        <w:t>. She</w:t>
      </w:r>
      <w:r w:rsidRPr="00F65CC5">
        <w:rPr>
          <w:rFonts w:asciiTheme="minorHAnsi" w:hAnsiTheme="minorHAnsi" w:cstheme="minorHAnsi"/>
        </w:rPr>
        <w:t xml:space="preserve"> described the court experience as ‘controlled madness’.</w:t>
      </w:r>
      <w:r w:rsidRPr="00F65CC5">
        <w:rPr>
          <w:rStyle w:val="FootnoteReference"/>
          <w:rFonts w:asciiTheme="minorHAnsi" w:hAnsiTheme="minorHAnsi" w:cstheme="minorHAnsi"/>
        </w:rPr>
        <w:footnoteReference w:id="98"/>
      </w:r>
      <w:r w:rsidR="00040DD7">
        <w:rPr>
          <w:rFonts w:asciiTheme="minorHAnsi" w:hAnsiTheme="minorHAnsi" w:cstheme="minorHAnsi"/>
        </w:rPr>
        <w:t xml:space="preserve"> </w:t>
      </w:r>
      <w:r w:rsidRPr="00F65CC5">
        <w:rPr>
          <w:rFonts w:asciiTheme="minorHAnsi" w:hAnsiTheme="minorHAnsi" w:cstheme="minorHAnsi"/>
        </w:rPr>
        <w:t xml:space="preserve">Although it is primarily a feminist intervention to </w:t>
      </w:r>
      <w:r w:rsidR="008D3D33">
        <w:rPr>
          <w:rFonts w:asciiTheme="minorHAnsi" w:hAnsiTheme="minorHAnsi" w:cstheme="minorHAnsi"/>
        </w:rPr>
        <w:t>S</w:t>
      </w:r>
      <w:r w:rsidRPr="00F65CC5">
        <w:rPr>
          <w:rFonts w:asciiTheme="minorHAnsi" w:hAnsiTheme="minorHAnsi" w:cstheme="minorHAnsi"/>
        </w:rPr>
        <w:t>tate</w:t>
      </w:r>
      <w:r w:rsidR="00CA3233">
        <w:rPr>
          <w:rFonts w:asciiTheme="minorHAnsi" w:hAnsiTheme="minorHAnsi" w:cstheme="minorHAnsi"/>
        </w:rPr>
        <w:t xml:space="preserve"> </w:t>
      </w:r>
      <w:r w:rsidRPr="00F65CC5">
        <w:rPr>
          <w:rFonts w:asciiTheme="minorHAnsi" w:hAnsiTheme="minorHAnsi" w:cstheme="minorHAnsi"/>
        </w:rPr>
        <w:t>law, the vertical law also intervenes into the feminist legal space. There is a constant battle between vertical and non-vertical spaces of law.</w:t>
      </w:r>
    </w:p>
    <w:p w14:paraId="2489F310" w14:textId="77777777" w:rsidR="00CB07AF" w:rsidRPr="00F65CC5" w:rsidRDefault="00CB07AF" w:rsidP="007933F6">
      <w:pPr>
        <w:ind w:right="-52"/>
        <w:jc w:val="both"/>
        <w:rPr>
          <w:rFonts w:asciiTheme="minorHAnsi" w:hAnsiTheme="minorHAnsi" w:cstheme="minorHAnsi"/>
        </w:rPr>
      </w:pPr>
    </w:p>
    <w:p w14:paraId="5B3E8467" w14:textId="03D009A1"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Three of our interviewees confirmed that the judges were polite until they heard lesbian, gay, bisexual, trans, queer, intersex, plus words spelled out in the courtroom. They interfered by warning the lawyers of time constraints whenever LGBTIQ+ subjects or themes were mentioned. The judges were noticeably i</w:t>
      </w:r>
      <w:r w:rsidR="000E7B7B">
        <w:rPr>
          <w:rFonts w:asciiTheme="minorHAnsi" w:hAnsiTheme="minorHAnsi" w:cstheme="minorHAnsi"/>
        </w:rPr>
        <w:t>m</w:t>
      </w:r>
      <w:r w:rsidRPr="00F65CC5">
        <w:rPr>
          <w:rFonts w:asciiTheme="minorHAnsi" w:hAnsiTheme="minorHAnsi" w:cstheme="minorHAnsi"/>
        </w:rPr>
        <w:t>patient according to three of the interviewees.</w:t>
      </w:r>
      <w:r w:rsidRPr="00F65CC5">
        <w:rPr>
          <w:rStyle w:val="FootnoteReference"/>
          <w:rFonts w:asciiTheme="minorHAnsi" w:hAnsiTheme="minorHAnsi" w:cstheme="minorHAnsi"/>
        </w:rPr>
        <w:footnoteReference w:id="99"/>
      </w:r>
      <w:r w:rsidRPr="00F65CC5">
        <w:rPr>
          <w:rFonts w:asciiTheme="minorHAnsi" w:hAnsiTheme="minorHAnsi" w:cstheme="minorHAnsi"/>
        </w:rPr>
        <w:t xml:space="preserve"> The politeness was discontinued for LGBTIQ+. This perhaps manifests the vulnerability of the movement when it comes to LGBTIQ+ rights. As aforementioned</w:t>
      </w:r>
      <w:r w:rsidR="00877C73">
        <w:rPr>
          <w:rFonts w:asciiTheme="minorHAnsi" w:hAnsiTheme="minorHAnsi" w:cstheme="minorHAnsi"/>
        </w:rPr>
        <w:t>,</w:t>
      </w:r>
      <w:r w:rsidRPr="00F65CC5">
        <w:rPr>
          <w:rFonts w:asciiTheme="minorHAnsi" w:hAnsiTheme="minorHAnsi" w:cstheme="minorHAnsi"/>
        </w:rPr>
        <w:t xml:space="preserve"> some C</w:t>
      </w:r>
      <w:r w:rsidR="00877C73">
        <w:rPr>
          <w:rFonts w:asciiTheme="minorHAnsi" w:hAnsiTheme="minorHAnsi" w:cstheme="minorHAnsi"/>
        </w:rPr>
        <w:t>ouncil of Europe</w:t>
      </w:r>
      <w:r w:rsidRPr="00F65CC5">
        <w:rPr>
          <w:rFonts w:asciiTheme="minorHAnsi" w:hAnsiTheme="minorHAnsi" w:cstheme="minorHAnsi"/>
        </w:rPr>
        <w:t xml:space="preserve"> countries did not ratify the Convention arguing that it aims to spread ‘gender ideology’.</w:t>
      </w:r>
      <w:r w:rsidRPr="00F65CC5">
        <w:rPr>
          <w:rStyle w:val="FootnoteReference"/>
          <w:rFonts w:asciiTheme="minorHAnsi" w:hAnsiTheme="minorHAnsi" w:cstheme="minorHAnsi"/>
        </w:rPr>
        <w:footnoteReference w:id="100"/>
      </w:r>
      <w:r w:rsidRPr="00F65CC5">
        <w:rPr>
          <w:rFonts w:asciiTheme="minorHAnsi" w:hAnsiTheme="minorHAnsi" w:cstheme="minorHAnsi"/>
        </w:rPr>
        <w:t xml:space="preserve"> </w:t>
      </w:r>
      <w:r w:rsidR="005E3938" w:rsidRPr="00F65CC5">
        <w:rPr>
          <w:rFonts w:asciiTheme="minorHAnsi" w:hAnsiTheme="minorHAnsi" w:cstheme="minorHAnsi"/>
        </w:rPr>
        <w:t>As mentioned earlier some C</w:t>
      </w:r>
      <w:r w:rsidR="00535109">
        <w:rPr>
          <w:rFonts w:asciiTheme="minorHAnsi" w:hAnsiTheme="minorHAnsi" w:cstheme="minorHAnsi"/>
        </w:rPr>
        <w:t xml:space="preserve">ouncil of </w:t>
      </w:r>
      <w:r w:rsidR="005E3938" w:rsidRPr="00F65CC5">
        <w:rPr>
          <w:rFonts w:asciiTheme="minorHAnsi" w:hAnsiTheme="minorHAnsi" w:cstheme="minorHAnsi"/>
        </w:rPr>
        <w:t>E</w:t>
      </w:r>
      <w:r w:rsidR="00535109">
        <w:rPr>
          <w:rFonts w:asciiTheme="minorHAnsi" w:hAnsiTheme="minorHAnsi" w:cstheme="minorHAnsi"/>
        </w:rPr>
        <w:t>urope</w:t>
      </w:r>
      <w:r w:rsidR="005E3938" w:rsidRPr="00F65CC5">
        <w:rPr>
          <w:rFonts w:asciiTheme="minorHAnsi" w:hAnsiTheme="minorHAnsi" w:cstheme="minorHAnsi"/>
        </w:rPr>
        <w:t xml:space="preserve"> States use ‘gender ideology’ </w:t>
      </w:r>
      <w:r w:rsidR="00B31657" w:rsidRPr="00F65CC5">
        <w:rPr>
          <w:rFonts w:asciiTheme="minorHAnsi" w:hAnsiTheme="minorHAnsi" w:cstheme="minorHAnsi"/>
        </w:rPr>
        <w:t>in a negative way</w:t>
      </w:r>
      <w:r w:rsidR="005E3938" w:rsidRPr="00F65CC5">
        <w:rPr>
          <w:rFonts w:asciiTheme="minorHAnsi" w:hAnsiTheme="minorHAnsi" w:cstheme="minorHAnsi"/>
        </w:rPr>
        <w:t xml:space="preserve"> that </w:t>
      </w:r>
      <w:r w:rsidR="00535109">
        <w:rPr>
          <w:rFonts w:asciiTheme="minorHAnsi" w:hAnsiTheme="minorHAnsi" w:cstheme="minorHAnsi"/>
        </w:rPr>
        <w:t>signals</w:t>
      </w:r>
      <w:r w:rsidR="005E3938" w:rsidRPr="00F65CC5">
        <w:rPr>
          <w:rFonts w:asciiTheme="minorHAnsi" w:hAnsiTheme="minorHAnsi" w:cstheme="minorHAnsi"/>
        </w:rPr>
        <w:t xml:space="preserve"> danger to their nation and family values. </w:t>
      </w:r>
      <w:r w:rsidR="00B31657" w:rsidRPr="00F65CC5">
        <w:rPr>
          <w:rFonts w:asciiTheme="minorHAnsi" w:hAnsiTheme="minorHAnsi" w:cstheme="minorHAnsi"/>
        </w:rPr>
        <w:t xml:space="preserve">Under the name of gender ideology, </w:t>
      </w:r>
      <w:r w:rsidRPr="00F65CC5">
        <w:rPr>
          <w:rFonts w:asciiTheme="minorHAnsi" w:hAnsiTheme="minorHAnsi" w:cstheme="minorHAnsi"/>
        </w:rPr>
        <w:t>they re</w:t>
      </w:r>
      <w:r w:rsidR="008453F1" w:rsidRPr="00F65CC5">
        <w:rPr>
          <w:rFonts w:asciiTheme="minorHAnsi" w:hAnsiTheme="minorHAnsi" w:cstheme="minorHAnsi"/>
        </w:rPr>
        <w:t xml:space="preserve">fuse </w:t>
      </w:r>
      <w:r w:rsidRPr="00F65CC5">
        <w:rPr>
          <w:rFonts w:asciiTheme="minorHAnsi" w:hAnsiTheme="minorHAnsi" w:cstheme="minorHAnsi"/>
        </w:rPr>
        <w:t>the intersectional approach of the Convention that clearly extends protection to sexual orientation, gender identity and immigrants. For example, the UK ratified the Convention in 2022</w:t>
      </w:r>
      <w:r w:rsidR="001E5C6B" w:rsidRPr="00F65CC5">
        <w:rPr>
          <w:rFonts w:asciiTheme="minorHAnsi" w:hAnsiTheme="minorHAnsi" w:cstheme="minorHAnsi"/>
        </w:rPr>
        <w:t>,</w:t>
      </w:r>
      <w:r w:rsidRPr="00F65CC5">
        <w:rPr>
          <w:rFonts w:asciiTheme="minorHAnsi" w:hAnsiTheme="minorHAnsi" w:cstheme="minorHAnsi"/>
        </w:rPr>
        <w:t xml:space="preserve"> 10 years after signing it</w:t>
      </w:r>
      <w:r w:rsidR="000F1EC9">
        <w:rPr>
          <w:rFonts w:asciiTheme="minorHAnsi" w:hAnsiTheme="minorHAnsi" w:cstheme="minorHAnsi"/>
        </w:rPr>
        <w:t>,</w:t>
      </w:r>
      <w:r w:rsidRPr="00F65CC5">
        <w:rPr>
          <w:rFonts w:asciiTheme="minorHAnsi" w:hAnsiTheme="minorHAnsi" w:cstheme="minorHAnsi"/>
        </w:rPr>
        <w:t xml:space="preserve"> with a reservation to article 59 aiming to leave immigrant women outside the protection of the Convention.</w:t>
      </w:r>
      <w:r w:rsidRPr="00F65CC5">
        <w:rPr>
          <w:rStyle w:val="FootnoteReference"/>
          <w:rFonts w:asciiTheme="minorHAnsi" w:hAnsiTheme="minorHAnsi" w:cstheme="minorHAnsi"/>
        </w:rPr>
        <w:footnoteReference w:id="101"/>
      </w:r>
      <w:r w:rsidRPr="00F65CC5">
        <w:rPr>
          <w:rFonts w:asciiTheme="minorHAnsi" w:hAnsiTheme="minorHAnsi" w:cstheme="minorHAnsi"/>
        </w:rPr>
        <w:t xml:space="preserve"> The </w:t>
      </w:r>
      <w:r w:rsidR="001E5C6B" w:rsidRPr="00F65CC5">
        <w:rPr>
          <w:rFonts w:asciiTheme="minorHAnsi" w:hAnsiTheme="minorHAnsi" w:cstheme="minorHAnsi"/>
        </w:rPr>
        <w:t>co</w:t>
      </w:r>
      <w:r w:rsidR="00B856A9">
        <w:rPr>
          <w:rFonts w:asciiTheme="minorHAnsi" w:hAnsiTheme="minorHAnsi" w:cstheme="minorHAnsi"/>
        </w:rPr>
        <w:t>nflict</w:t>
      </w:r>
      <w:r w:rsidRPr="00F65CC5">
        <w:rPr>
          <w:rFonts w:asciiTheme="minorHAnsi" w:hAnsiTheme="minorHAnsi" w:cstheme="minorHAnsi"/>
        </w:rPr>
        <w:t xml:space="preserve"> between different spaces of law sometimes materialise</w:t>
      </w:r>
      <w:r w:rsidR="001E5C6B" w:rsidRPr="00F65CC5">
        <w:rPr>
          <w:rFonts w:asciiTheme="minorHAnsi" w:hAnsiTheme="minorHAnsi" w:cstheme="minorHAnsi"/>
        </w:rPr>
        <w:t>s</w:t>
      </w:r>
      <w:r w:rsidRPr="00F65CC5">
        <w:rPr>
          <w:rFonts w:asciiTheme="minorHAnsi" w:hAnsiTheme="minorHAnsi" w:cstheme="minorHAnsi"/>
        </w:rPr>
        <w:t xml:space="preserve"> itself in forms of interventions</w:t>
      </w:r>
      <w:r w:rsidR="001E5C6B" w:rsidRPr="00F65CC5">
        <w:rPr>
          <w:rFonts w:asciiTheme="minorHAnsi" w:hAnsiTheme="minorHAnsi" w:cstheme="minorHAnsi"/>
        </w:rPr>
        <w:t>,</w:t>
      </w:r>
      <w:r w:rsidRPr="00F65CC5">
        <w:rPr>
          <w:rFonts w:asciiTheme="minorHAnsi" w:hAnsiTheme="minorHAnsi" w:cstheme="minorHAnsi"/>
        </w:rPr>
        <w:t xml:space="preserve"> aiming to </w:t>
      </w:r>
      <w:proofErr w:type="spellStart"/>
      <w:r w:rsidRPr="00F65CC5">
        <w:rPr>
          <w:rFonts w:asciiTheme="minorHAnsi" w:hAnsiTheme="minorHAnsi" w:cstheme="minorHAnsi"/>
        </w:rPr>
        <w:t>verticalise</w:t>
      </w:r>
      <w:proofErr w:type="spellEnd"/>
      <w:r w:rsidRPr="00F65CC5">
        <w:rPr>
          <w:rFonts w:asciiTheme="minorHAnsi" w:hAnsiTheme="minorHAnsi" w:cstheme="minorHAnsi"/>
        </w:rPr>
        <w:t xml:space="preserve"> the protection by bringing restrictions and exclusions</w:t>
      </w:r>
      <w:r w:rsidR="00B856A9">
        <w:rPr>
          <w:rFonts w:asciiTheme="minorHAnsi" w:hAnsiTheme="minorHAnsi" w:cstheme="minorHAnsi"/>
        </w:rPr>
        <w:t>,</w:t>
      </w:r>
      <w:r w:rsidRPr="00F65CC5">
        <w:rPr>
          <w:rFonts w:asciiTheme="minorHAnsi" w:hAnsiTheme="minorHAnsi" w:cstheme="minorHAnsi"/>
        </w:rPr>
        <w:t xml:space="preserve"> whilst feminist legal space</w:t>
      </w:r>
      <w:r w:rsidR="001E5C6B" w:rsidRPr="00F65CC5">
        <w:rPr>
          <w:rFonts w:asciiTheme="minorHAnsi" w:hAnsiTheme="minorHAnsi" w:cstheme="minorHAnsi"/>
        </w:rPr>
        <w:t>s</w:t>
      </w:r>
      <w:r w:rsidRPr="00F65CC5">
        <w:rPr>
          <w:rFonts w:asciiTheme="minorHAnsi" w:hAnsiTheme="minorHAnsi" w:cstheme="minorHAnsi"/>
        </w:rPr>
        <w:t xml:space="preserve"> attempt to flat</w:t>
      </w:r>
      <w:r w:rsidR="001E5C6B" w:rsidRPr="00F65CC5">
        <w:rPr>
          <w:rFonts w:asciiTheme="minorHAnsi" w:hAnsiTheme="minorHAnsi" w:cstheme="minorHAnsi"/>
        </w:rPr>
        <w:t>ten</w:t>
      </w:r>
      <w:r w:rsidRPr="00F65CC5">
        <w:rPr>
          <w:rFonts w:asciiTheme="minorHAnsi" w:hAnsiTheme="minorHAnsi" w:cstheme="minorHAnsi"/>
        </w:rPr>
        <w:t xml:space="preserve"> out the protection</w:t>
      </w:r>
      <w:r w:rsidR="00FD5087" w:rsidRPr="00F65CC5">
        <w:rPr>
          <w:rFonts w:asciiTheme="minorHAnsi" w:hAnsiTheme="minorHAnsi" w:cstheme="minorHAnsi"/>
        </w:rPr>
        <w:t xml:space="preserve"> with inclusion</w:t>
      </w:r>
      <w:r w:rsidRPr="00F65CC5">
        <w:rPr>
          <w:rFonts w:asciiTheme="minorHAnsi" w:hAnsiTheme="minorHAnsi" w:cstheme="minorHAnsi"/>
        </w:rPr>
        <w:t xml:space="preserve">.  </w:t>
      </w:r>
    </w:p>
    <w:p w14:paraId="086A4A39" w14:textId="77777777" w:rsidR="00CB07AF" w:rsidRPr="00F65CC5" w:rsidRDefault="00CB07AF" w:rsidP="007933F6">
      <w:pPr>
        <w:ind w:right="-52"/>
        <w:jc w:val="both"/>
        <w:rPr>
          <w:rFonts w:asciiTheme="minorHAnsi" w:hAnsiTheme="minorHAnsi" w:cstheme="minorHAnsi"/>
        </w:rPr>
      </w:pPr>
    </w:p>
    <w:p w14:paraId="644BEEC7" w14:textId="099FF4C3"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 xml:space="preserve">If we return to Türkiye’s withdrawal from the Convention, at the beginning of the withdrawal process, all activists we interviewed criticised the Convention for being shy and </w:t>
      </w:r>
      <w:r w:rsidR="0068435C">
        <w:rPr>
          <w:rFonts w:asciiTheme="minorHAnsi" w:hAnsiTheme="minorHAnsi" w:cstheme="minorHAnsi"/>
        </w:rPr>
        <w:t>in</w:t>
      </w:r>
      <w:r w:rsidRPr="00F65CC5">
        <w:rPr>
          <w:rFonts w:asciiTheme="minorHAnsi" w:hAnsiTheme="minorHAnsi" w:cstheme="minorHAnsi"/>
        </w:rPr>
        <w:t xml:space="preserve">sufficient in terms of protection afforded for LBGTIQ+ and the fact that the Convention </w:t>
      </w:r>
      <w:r w:rsidR="008D51B1">
        <w:rPr>
          <w:rFonts w:asciiTheme="minorHAnsi" w:hAnsiTheme="minorHAnsi" w:cstheme="minorHAnsi"/>
        </w:rPr>
        <w:t xml:space="preserve">is </w:t>
      </w:r>
      <w:r w:rsidRPr="00F65CC5">
        <w:rPr>
          <w:rFonts w:asciiTheme="minorHAnsi" w:hAnsiTheme="minorHAnsi" w:cstheme="minorHAnsi"/>
        </w:rPr>
        <w:t>predicate</w:t>
      </w:r>
      <w:r w:rsidR="008D51B1">
        <w:rPr>
          <w:rFonts w:asciiTheme="minorHAnsi" w:hAnsiTheme="minorHAnsi" w:cstheme="minorHAnsi"/>
        </w:rPr>
        <w:t>d</w:t>
      </w:r>
      <w:r w:rsidRPr="00F65CC5">
        <w:rPr>
          <w:rFonts w:asciiTheme="minorHAnsi" w:hAnsiTheme="minorHAnsi" w:cstheme="minorHAnsi"/>
        </w:rPr>
        <w:t xml:space="preserve"> on gender binarism. Türkiye utilised the anti-discrimination clause that protects sexual orientation and gender identity to divide the women’s movement. The aim was to gain support of some women by arguing that the domestic law that solely protects heterosexual and cis gendered women was adequate.</w:t>
      </w:r>
      <w:r w:rsidRPr="00F65CC5">
        <w:rPr>
          <w:rStyle w:val="FootnoteReference"/>
          <w:rFonts w:asciiTheme="minorHAnsi" w:hAnsiTheme="minorHAnsi" w:cstheme="minorHAnsi"/>
        </w:rPr>
        <w:footnoteReference w:id="102"/>
      </w:r>
      <w:r w:rsidRPr="00F65CC5">
        <w:rPr>
          <w:rFonts w:asciiTheme="minorHAnsi" w:hAnsiTheme="minorHAnsi" w:cstheme="minorHAnsi"/>
        </w:rPr>
        <w:t xml:space="preserve"> The women in that courtroom rejected leav</w:t>
      </w:r>
      <w:r w:rsidR="001E5C6B" w:rsidRPr="00F65CC5">
        <w:rPr>
          <w:rFonts w:asciiTheme="minorHAnsi" w:hAnsiTheme="minorHAnsi" w:cstheme="minorHAnsi"/>
        </w:rPr>
        <w:t>ing</w:t>
      </w:r>
      <w:r w:rsidRPr="00F65CC5">
        <w:rPr>
          <w:rFonts w:asciiTheme="minorHAnsi" w:hAnsiTheme="minorHAnsi" w:cstheme="minorHAnsi"/>
        </w:rPr>
        <w:t xml:space="preserve"> LGBTIQ+ and non-binary people outside the Convention’s protection and outside the feminist legality.  The lawyers told the stories of trans murders despite the interventions by the judges. One of the interviewees, a trans-feminist activist, expressed clearly that</w:t>
      </w:r>
      <w:r w:rsidR="00782504">
        <w:rPr>
          <w:rFonts w:asciiTheme="minorHAnsi" w:hAnsiTheme="minorHAnsi" w:cstheme="minorHAnsi"/>
        </w:rPr>
        <w:t xml:space="preserve">, </w:t>
      </w:r>
      <w:r w:rsidRPr="00F65CC5">
        <w:rPr>
          <w:rFonts w:asciiTheme="minorHAnsi" w:hAnsiTheme="minorHAnsi" w:cstheme="minorHAnsi"/>
        </w:rPr>
        <w:t>‘I generally feel lonely in the courtrooms, in that one I did not’.</w:t>
      </w:r>
      <w:r w:rsidR="00782504">
        <w:rPr>
          <w:rStyle w:val="FootnoteReference"/>
          <w:rFonts w:asciiTheme="minorHAnsi" w:hAnsiTheme="minorHAnsi" w:cstheme="minorHAnsi"/>
        </w:rPr>
        <w:footnoteReference w:id="103"/>
      </w:r>
      <w:r w:rsidRPr="00F65CC5">
        <w:rPr>
          <w:rFonts w:asciiTheme="minorHAnsi" w:hAnsiTheme="minorHAnsi" w:cstheme="minorHAnsi"/>
        </w:rPr>
        <w:t xml:space="preserve"> Feminist legality found in the hybrid, middle, sideways, around, unexpected and unpopular spaces of vertical legalities does not feel lonely and does not leave anyone behind. The hybridity of the space encompassed </w:t>
      </w:r>
      <w:r w:rsidR="005919EB">
        <w:rPr>
          <w:rFonts w:asciiTheme="minorHAnsi" w:hAnsiTheme="minorHAnsi" w:cstheme="minorHAnsi"/>
        </w:rPr>
        <w:t xml:space="preserve">all </w:t>
      </w:r>
      <w:r w:rsidRPr="00F65CC5">
        <w:rPr>
          <w:rFonts w:asciiTheme="minorHAnsi" w:hAnsiTheme="minorHAnsi" w:cstheme="minorHAnsi"/>
        </w:rPr>
        <w:t xml:space="preserve">sexual orientations and </w:t>
      </w:r>
      <w:r w:rsidRPr="00F65CC5">
        <w:rPr>
          <w:rFonts w:asciiTheme="minorHAnsi" w:hAnsiTheme="minorHAnsi" w:cstheme="minorHAnsi"/>
        </w:rPr>
        <w:lastRenderedPageBreak/>
        <w:t xml:space="preserve">gender identities. The same interviewee told us that a representative of </w:t>
      </w:r>
      <w:r w:rsidR="000A503F">
        <w:rPr>
          <w:rFonts w:asciiTheme="minorHAnsi" w:hAnsiTheme="minorHAnsi" w:cstheme="minorHAnsi"/>
        </w:rPr>
        <w:t xml:space="preserve">a </w:t>
      </w:r>
      <w:r w:rsidRPr="00F65CC5">
        <w:rPr>
          <w:rFonts w:asciiTheme="minorHAnsi" w:hAnsiTheme="minorHAnsi" w:cstheme="minorHAnsi"/>
        </w:rPr>
        <w:t>political party known for their transphobic and homophobic policies smiled at them and they exchanged greetings during the hearings.</w:t>
      </w:r>
      <w:r w:rsidRPr="00F65CC5">
        <w:rPr>
          <w:rStyle w:val="FootnoteReference"/>
          <w:rFonts w:asciiTheme="minorHAnsi" w:hAnsiTheme="minorHAnsi" w:cstheme="minorHAnsi"/>
        </w:rPr>
        <w:footnoteReference w:id="104"/>
      </w:r>
      <w:r w:rsidRPr="00F65CC5">
        <w:rPr>
          <w:rFonts w:asciiTheme="minorHAnsi" w:hAnsiTheme="minorHAnsi" w:cstheme="minorHAnsi"/>
        </w:rPr>
        <w:t xml:space="preserve"> They were in the same space, on the same side. Another interviewee described the court room as a feminist manifestation of T</w:t>
      </w:r>
      <w:r w:rsidRPr="00F65CC5">
        <w:rPr>
          <w:rFonts w:asciiTheme="minorHAnsi" w:hAnsiTheme="minorHAnsi" w:cstheme="minorHAnsi"/>
          <w:lang w:val="tr-TR"/>
        </w:rPr>
        <w:t>ü</w:t>
      </w:r>
      <w:proofErr w:type="spellStart"/>
      <w:r w:rsidRPr="00F65CC5">
        <w:rPr>
          <w:rFonts w:asciiTheme="minorHAnsi" w:hAnsiTheme="minorHAnsi" w:cstheme="minorHAnsi"/>
        </w:rPr>
        <w:t>rkiye</w:t>
      </w:r>
      <w:proofErr w:type="spellEnd"/>
      <w:r w:rsidRPr="00F65CC5">
        <w:rPr>
          <w:rFonts w:asciiTheme="minorHAnsi" w:hAnsiTheme="minorHAnsi" w:cstheme="minorHAnsi"/>
        </w:rPr>
        <w:t xml:space="preserve"> where no one was discriminated based on their sexual orientation and gender identity.</w:t>
      </w:r>
      <w:r w:rsidRPr="00F65CC5">
        <w:rPr>
          <w:rStyle w:val="FootnoteReference"/>
          <w:rFonts w:asciiTheme="minorHAnsi" w:hAnsiTheme="minorHAnsi" w:cstheme="minorHAnsi"/>
        </w:rPr>
        <w:footnoteReference w:id="105"/>
      </w:r>
      <w:r w:rsidRPr="00F65CC5">
        <w:rPr>
          <w:rFonts w:asciiTheme="minorHAnsi" w:hAnsiTheme="minorHAnsi" w:cstheme="minorHAnsi"/>
        </w:rPr>
        <w:t xml:space="preserve"> </w:t>
      </w:r>
    </w:p>
    <w:p w14:paraId="5014311E" w14:textId="77777777" w:rsidR="00CB07AF" w:rsidRPr="00F65CC5" w:rsidRDefault="00CB07AF" w:rsidP="007933F6">
      <w:pPr>
        <w:ind w:right="-52"/>
        <w:jc w:val="both"/>
        <w:rPr>
          <w:rFonts w:asciiTheme="minorHAnsi" w:hAnsiTheme="minorHAnsi" w:cstheme="minorHAnsi"/>
        </w:rPr>
      </w:pPr>
    </w:p>
    <w:p w14:paraId="31AD2A29" w14:textId="667FB6FA" w:rsidR="00CB07AF" w:rsidRPr="00F65CC5" w:rsidRDefault="00CB07AF" w:rsidP="007933F6">
      <w:pPr>
        <w:ind w:right="-52"/>
        <w:jc w:val="both"/>
        <w:rPr>
          <w:rFonts w:asciiTheme="minorHAnsi" w:hAnsiTheme="minorHAnsi" w:cstheme="minorHAnsi"/>
        </w:rPr>
      </w:pPr>
      <w:r w:rsidRPr="00F65CC5">
        <w:rPr>
          <w:rFonts w:asciiTheme="minorHAnsi" w:hAnsiTheme="minorHAnsi" w:cstheme="minorHAnsi"/>
        </w:rPr>
        <w:t xml:space="preserve">The space created by the feminists in that courtroom was in constant negotiation with vertical law. When the vertical hierarchies took over, the feminists needed to re-establish feminist legality. The space was </w:t>
      </w:r>
      <w:r w:rsidR="001E5C6B" w:rsidRPr="00F65CC5">
        <w:rPr>
          <w:rFonts w:asciiTheme="minorHAnsi" w:hAnsiTheme="minorHAnsi" w:cstheme="minorHAnsi"/>
        </w:rPr>
        <w:t>unilinear,</w:t>
      </w:r>
      <w:r w:rsidRPr="00F65CC5">
        <w:rPr>
          <w:rFonts w:asciiTheme="minorHAnsi" w:hAnsiTheme="minorHAnsi" w:cstheme="minorHAnsi"/>
        </w:rPr>
        <w:t xml:space="preserve"> and the activists were reminded of vertical legalities many times. There were moments of feminist legality. This space of hybridity left feminist activists with a sense of empowerment. Almost all our participants commented on how powerful they felt, how freeing the experience of being in that court room</w:t>
      </w:r>
      <w:r w:rsidR="001E5C6B" w:rsidRPr="00F65CC5">
        <w:rPr>
          <w:rFonts w:asciiTheme="minorHAnsi" w:hAnsiTheme="minorHAnsi" w:cstheme="minorHAnsi"/>
        </w:rPr>
        <w:t xml:space="preserve"> was</w:t>
      </w:r>
      <w:r w:rsidRPr="00F65CC5">
        <w:rPr>
          <w:rFonts w:asciiTheme="minorHAnsi" w:hAnsiTheme="minorHAnsi" w:cstheme="minorHAnsi"/>
        </w:rPr>
        <w:t xml:space="preserve">. The interviewees described the courthouse as follows: </w:t>
      </w:r>
    </w:p>
    <w:p w14:paraId="5B372DB3" w14:textId="77777777" w:rsidR="00CB07AF" w:rsidRPr="00F65CC5" w:rsidRDefault="00CB07AF" w:rsidP="007933F6">
      <w:pPr>
        <w:ind w:left="851" w:right="-52"/>
        <w:jc w:val="both"/>
        <w:rPr>
          <w:rFonts w:asciiTheme="minorHAnsi" w:hAnsiTheme="minorHAnsi" w:cstheme="minorHAnsi"/>
        </w:rPr>
      </w:pPr>
      <w:r w:rsidRPr="00F65CC5">
        <w:rPr>
          <w:rFonts w:asciiTheme="minorHAnsi" w:hAnsiTheme="minorHAnsi" w:cstheme="minorHAnsi"/>
        </w:rPr>
        <w:t xml:space="preserve"> </w:t>
      </w:r>
    </w:p>
    <w:p w14:paraId="6EE11ED1" w14:textId="2F3630B0" w:rsidR="00CB07AF" w:rsidRPr="00F65CC5" w:rsidRDefault="00CB07AF" w:rsidP="007933F6">
      <w:pPr>
        <w:ind w:left="851" w:right="1417"/>
        <w:jc w:val="both"/>
        <w:rPr>
          <w:rFonts w:asciiTheme="minorHAnsi" w:hAnsiTheme="minorHAnsi" w:cstheme="minorHAnsi"/>
        </w:rPr>
      </w:pPr>
      <w:r w:rsidRPr="00F65CC5">
        <w:rPr>
          <w:rFonts w:asciiTheme="minorHAnsi" w:hAnsiTheme="minorHAnsi" w:cstheme="minorHAnsi"/>
        </w:rPr>
        <w:t xml:space="preserve">The courtroom was full of feminists who knew one way or another </w:t>
      </w:r>
      <w:r w:rsidR="001E5C6B" w:rsidRPr="00F65CC5">
        <w:rPr>
          <w:rFonts w:asciiTheme="minorHAnsi" w:hAnsiTheme="minorHAnsi" w:cstheme="minorHAnsi"/>
        </w:rPr>
        <w:t xml:space="preserve">the </w:t>
      </w:r>
      <w:r w:rsidRPr="00F65CC5">
        <w:rPr>
          <w:rFonts w:asciiTheme="minorHAnsi" w:hAnsiTheme="minorHAnsi" w:cstheme="minorHAnsi"/>
        </w:rPr>
        <w:t>Istanbul Convention will be in force. There was a collective consciousness of defending their rights and pushing for accountability… It was beyond the Convention. We were reminded of our own strength.</w:t>
      </w:r>
      <w:r w:rsidRPr="00F65CC5">
        <w:rPr>
          <w:rStyle w:val="FootnoteReference"/>
          <w:rFonts w:asciiTheme="minorHAnsi" w:hAnsiTheme="minorHAnsi" w:cstheme="minorHAnsi"/>
        </w:rPr>
        <w:footnoteReference w:id="106"/>
      </w:r>
    </w:p>
    <w:p w14:paraId="4D681C41" w14:textId="77777777" w:rsidR="00CB07AF" w:rsidRPr="00F65CC5" w:rsidRDefault="00CB07AF" w:rsidP="007933F6">
      <w:pPr>
        <w:ind w:left="851" w:right="1417"/>
        <w:jc w:val="both"/>
        <w:rPr>
          <w:rFonts w:asciiTheme="minorHAnsi" w:hAnsiTheme="minorHAnsi" w:cstheme="minorHAnsi"/>
        </w:rPr>
      </w:pPr>
    </w:p>
    <w:p w14:paraId="2E10CBD8" w14:textId="1C3835CC" w:rsidR="00CB07AF" w:rsidRPr="00F65CC5" w:rsidRDefault="00CB07AF" w:rsidP="007933F6">
      <w:pPr>
        <w:ind w:left="851" w:right="1417"/>
        <w:jc w:val="both"/>
        <w:rPr>
          <w:rFonts w:asciiTheme="minorHAnsi" w:hAnsiTheme="minorHAnsi" w:cstheme="minorHAnsi"/>
        </w:rPr>
      </w:pPr>
      <w:r w:rsidRPr="00F65CC5">
        <w:rPr>
          <w:rFonts w:asciiTheme="minorHAnsi" w:hAnsiTheme="minorHAnsi" w:cstheme="minorHAnsi"/>
        </w:rPr>
        <w:t xml:space="preserve">It was such a powerful space. We all knew that regardless of the outcome we will not give up. We knew if the </w:t>
      </w:r>
      <w:r w:rsidR="0094115F">
        <w:rPr>
          <w:rFonts w:asciiTheme="minorHAnsi" w:hAnsiTheme="minorHAnsi" w:cstheme="minorHAnsi"/>
        </w:rPr>
        <w:t>c</w:t>
      </w:r>
      <w:r w:rsidRPr="00F65CC5">
        <w:rPr>
          <w:rFonts w:asciiTheme="minorHAnsi" w:hAnsiTheme="minorHAnsi" w:cstheme="minorHAnsi"/>
        </w:rPr>
        <w:t>ourt decided to ask the Parliament they would approve Erdogan’s withdrawal decision. It did not matter.</w:t>
      </w:r>
      <w:r w:rsidRPr="00F65CC5">
        <w:rPr>
          <w:rStyle w:val="FootnoteReference"/>
          <w:rFonts w:asciiTheme="minorHAnsi" w:hAnsiTheme="minorHAnsi" w:cstheme="minorHAnsi"/>
        </w:rPr>
        <w:footnoteReference w:id="107"/>
      </w:r>
    </w:p>
    <w:p w14:paraId="5568FC54" w14:textId="543BEC1F" w:rsidR="00CB07AF" w:rsidRPr="00F65CC5" w:rsidRDefault="00CB07AF" w:rsidP="007933F6">
      <w:pPr>
        <w:ind w:right="-52"/>
        <w:jc w:val="both"/>
        <w:rPr>
          <w:rFonts w:asciiTheme="minorHAnsi" w:hAnsiTheme="minorHAnsi" w:cstheme="minorHAnsi"/>
        </w:rPr>
      </w:pPr>
    </w:p>
    <w:p w14:paraId="598E260C" w14:textId="33DA9FBE" w:rsidR="00216387" w:rsidRPr="00F65CC5" w:rsidRDefault="00216387" w:rsidP="007933F6">
      <w:pPr>
        <w:ind w:right="-52"/>
        <w:jc w:val="both"/>
        <w:rPr>
          <w:rFonts w:asciiTheme="minorHAnsi" w:hAnsiTheme="minorHAnsi" w:cstheme="minorHAnsi"/>
        </w:rPr>
      </w:pPr>
      <w:r w:rsidRPr="00F65CC5">
        <w:rPr>
          <w:rFonts w:asciiTheme="minorHAnsi" w:hAnsiTheme="minorHAnsi" w:cstheme="minorHAnsi"/>
        </w:rPr>
        <w:t xml:space="preserve">This section examined the formation of feminist spaces through the lens of the legal cases filed in response to the decision to withdraw. The interviews revealed that the courtroom became a hybrid space where the conditions for the emergence of feminist legalities were upheld through the presence of emotions and a collective feminist will. Notwithstanding the </w:t>
      </w:r>
      <w:r w:rsidR="00751416">
        <w:rPr>
          <w:rFonts w:asciiTheme="minorHAnsi" w:hAnsiTheme="minorHAnsi" w:cstheme="minorHAnsi"/>
        </w:rPr>
        <w:t>C</w:t>
      </w:r>
      <w:r w:rsidRPr="00F65CC5">
        <w:rPr>
          <w:rFonts w:asciiTheme="minorHAnsi" w:hAnsiTheme="minorHAnsi" w:cstheme="minorHAnsi"/>
        </w:rPr>
        <w:t>ourt's decision on the matter at the vertical legal level, the feminist movement continued to adhere to the tenets of the Istanbul Convention. The recognition of</w:t>
      </w:r>
      <w:r w:rsidR="002819BE" w:rsidRPr="00F65CC5">
        <w:rPr>
          <w:rFonts w:asciiTheme="minorHAnsi" w:hAnsiTheme="minorHAnsi" w:cstheme="minorHAnsi"/>
        </w:rPr>
        <w:t xml:space="preserve"> unlikely horizontal spatiality of law</w:t>
      </w:r>
      <w:r w:rsidRPr="00F65CC5">
        <w:rPr>
          <w:rFonts w:asciiTheme="minorHAnsi" w:hAnsiTheme="minorHAnsi" w:cstheme="minorHAnsi"/>
        </w:rPr>
        <w:t xml:space="preserve"> made this possible. </w:t>
      </w:r>
    </w:p>
    <w:p w14:paraId="7BBE7026" w14:textId="77777777" w:rsidR="00D97F4F" w:rsidRDefault="00D97F4F" w:rsidP="007933F6">
      <w:pPr>
        <w:ind w:right="-52"/>
        <w:jc w:val="both"/>
        <w:rPr>
          <w:rFonts w:asciiTheme="minorHAnsi" w:hAnsiTheme="minorHAnsi" w:cstheme="minorHAnsi"/>
        </w:rPr>
      </w:pPr>
    </w:p>
    <w:p w14:paraId="20E77A4A" w14:textId="06EE36F1" w:rsidR="00FB0C2D" w:rsidRPr="00F65CC5" w:rsidRDefault="00E004BD" w:rsidP="007933F6">
      <w:pPr>
        <w:ind w:right="-52"/>
        <w:jc w:val="both"/>
        <w:rPr>
          <w:rFonts w:asciiTheme="minorHAnsi" w:hAnsiTheme="minorHAnsi" w:cstheme="minorHAnsi"/>
        </w:rPr>
      </w:pPr>
      <w:r w:rsidRPr="00F65CC5">
        <w:rPr>
          <w:rFonts w:asciiTheme="minorHAnsi" w:hAnsiTheme="minorHAnsi" w:cstheme="minorHAnsi"/>
        </w:rPr>
        <w:t xml:space="preserve"> </w:t>
      </w:r>
    </w:p>
    <w:p w14:paraId="4F54B8A6" w14:textId="7D362EF7" w:rsidR="00790A2D" w:rsidRPr="00A52F50" w:rsidRDefault="00B93BCE" w:rsidP="00CD0833">
      <w:pPr>
        <w:pStyle w:val="Heading2"/>
      </w:pPr>
      <w:r w:rsidRPr="00A52F50">
        <w:t xml:space="preserve">Flattening out the vertical: </w:t>
      </w:r>
      <w:r w:rsidR="00CD0833">
        <w:t xml:space="preserve">The </w:t>
      </w:r>
      <w:r w:rsidR="00F36A4F" w:rsidRPr="00A52F50">
        <w:t>State gives up</w:t>
      </w:r>
      <w:r w:rsidR="00D97F4F" w:rsidRPr="00A52F50">
        <w:t xml:space="preserve"> </w:t>
      </w:r>
      <w:r w:rsidR="00CD0833">
        <w:t>but</w:t>
      </w:r>
      <w:r w:rsidR="00F36A4F" w:rsidRPr="00A52F50">
        <w:t xml:space="preserve"> </w:t>
      </w:r>
      <w:r w:rsidR="00B1258C" w:rsidRPr="00A52F50">
        <w:t>‘</w:t>
      </w:r>
      <w:r w:rsidR="00F36A4F" w:rsidRPr="00A52F50">
        <w:t xml:space="preserve">We </w:t>
      </w:r>
      <w:r w:rsidR="00A73E8F" w:rsidRPr="00A52F50">
        <w:t>D</w:t>
      </w:r>
      <w:r w:rsidR="00F36A4F" w:rsidRPr="00A52F50">
        <w:t xml:space="preserve">o </w:t>
      </w:r>
      <w:r w:rsidR="00A73E8F" w:rsidRPr="00A52F50">
        <w:t>N</w:t>
      </w:r>
      <w:r w:rsidR="00F36A4F" w:rsidRPr="00A52F50">
        <w:t xml:space="preserve">ot </w:t>
      </w:r>
      <w:r w:rsidR="00A73E8F" w:rsidRPr="00A52F50">
        <w:t>G</w:t>
      </w:r>
      <w:r w:rsidR="00F36A4F" w:rsidRPr="00A52F50">
        <w:t xml:space="preserve">ive </w:t>
      </w:r>
      <w:r w:rsidR="00A73E8F" w:rsidRPr="00A52F50">
        <w:t>U</w:t>
      </w:r>
      <w:r w:rsidR="00F36A4F" w:rsidRPr="00A52F50">
        <w:t xml:space="preserve">p </w:t>
      </w:r>
      <w:r w:rsidR="00B84F7A" w:rsidRPr="00A52F50">
        <w:t xml:space="preserve">on </w:t>
      </w:r>
      <w:r w:rsidR="00F36A4F" w:rsidRPr="00A52F50">
        <w:t>the Istanbul Convention’</w:t>
      </w:r>
      <w:r w:rsidR="00F36A4F" w:rsidRPr="00D97F4F">
        <w:rPr>
          <w:rStyle w:val="FootnoteReference"/>
        </w:rPr>
        <w:footnoteReference w:id="108"/>
      </w:r>
    </w:p>
    <w:p w14:paraId="238BCCD7" w14:textId="77777777" w:rsidR="00D97F4F" w:rsidRDefault="00D97F4F" w:rsidP="00D97F4F">
      <w:pPr>
        <w:ind w:right="-52"/>
        <w:jc w:val="both"/>
        <w:rPr>
          <w:rFonts w:asciiTheme="minorHAnsi" w:hAnsiTheme="minorHAnsi" w:cstheme="minorHAnsi"/>
        </w:rPr>
      </w:pPr>
    </w:p>
    <w:p w14:paraId="3B8AA13A" w14:textId="1F1F5305" w:rsidR="00B1258C" w:rsidRPr="00F65CC5" w:rsidRDefault="00390E3C" w:rsidP="00D97F4F">
      <w:pPr>
        <w:ind w:right="-52"/>
        <w:jc w:val="both"/>
        <w:rPr>
          <w:rFonts w:asciiTheme="minorHAnsi" w:hAnsiTheme="minorHAnsi" w:cstheme="minorHAnsi"/>
        </w:rPr>
      </w:pPr>
      <w:r w:rsidRPr="00F65CC5">
        <w:rPr>
          <w:rFonts w:asciiTheme="minorHAnsi" w:hAnsiTheme="minorHAnsi" w:cstheme="minorHAnsi"/>
        </w:rPr>
        <w:t>The vertical legalities of law</w:t>
      </w:r>
      <w:r w:rsidR="00DB7691" w:rsidRPr="00F65CC5">
        <w:rPr>
          <w:rFonts w:asciiTheme="minorHAnsi" w:hAnsiTheme="minorHAnsi" w:cstheme="minorHAnsi"/>
        </w:rPr>
        <w:t>-making</w:t>
      </w:r>
      <w:r w:rsidRPr="00F65CC5">
        <w:rPr>
          <w:rFonts w:asciiTheme="minorHAnsi" w:hAnsiTheme="minorHAnsi" w:cstheme="minorHAnsi"/>
        </w:rPr>
        <w:t xml:space="preserve"> operate through State centric</w:t>
      </w:r>
      <w:r w:rsidR="00C76642">
        <w:rPr>
          <w:rFonts w:asciiTheme="minorHAnsi" w:hAnsiTheme="minorHAnsi" w:cstheme="minorHAnsi"/>
        </w:rPr>
        <w:t>,</w:t>
      </w:r>
      <w:r w:rsidRPr="00F65CC5">
        <w:rPr>
          <w:rFonts w:asciiTheme="minorHAnsi" w:hAnsiTheme="minorHAnsi" w:cstheme="minorHAnsi"/>
        </w:rPr>
        <w:t xml:space="preserve"> top-down,</w:t>
      </w:r>
      <w:r w:rsidR="00E61721" w:rsidRPr="00F65CC5">
        <w:rPr>
          <w:rFonts w:asciiTheme="minorHAnsi" w:hAnsiTheme="minorHAnsi" w:cstheme="minorHAnsi"/>
        </w:rPr>
        <w:t xml:space="preserve"> </w:t>
      </w:r>
      <w:r w:rsidRPr="00F65CC5">
        <w:rPr>
          <w:rFonts w:asciiTheme="minorHAnsi" w:hAnsiTheme="minorHAnsi" w:cstheme="minorHAnsi"/>
        </w:rPr>
        <w:t xml:space="preserve">bottom-up spaces. </w:t>
      </w:r>
      <w:r w:rsidR="00116193" w:rsidRPr="00F65CC5">
        <w:rPr>
          <w:rFonts w:asciiTheme="minorHAnsi" w:hAnsiTheme="minorHAnsi" w:cstheme="minorHAnsi"/>
        </w:rPr>
        <w:t>Via the</w:t>
      </w:r>
      <w:r w:rsidR="00FE18F3" w:rsidRPr="00F65CC5">
        <w:rPr>
          <w:rFonts w:asciiTheme="minorHAnsi" w:hAnsiTheme="minorHAnsi" w:cstheme="minorHAnsi"/>
        </w:rPr>
        <w:t xml:space="preserve"> decisions of States individuals benefit or los</w:t>
      </w:r>
      <w:r w:rsidR="00116193" w:rsidRPr="00F65CC5">
        <w:rPr>
          <w:rFonts w:asciiTheme="minorHAnsi" w:hAnsiTheme="minorHAnsi" w:cstheme="minorHAnsi"/>
        </w:rPr>
        <w:t>e</w:t>
      </w:r>
      <w:r w:rsidR="00FE18F3" w:rsidRPr="00F65CC5">
        <w:rPr>
          <w:rFonts w:asciiTheme="minorHAnsi" w:hAnsiTheme="minorHAnsi" w:cstheme="minorHAnsi"/>
        </w:rPr>
        <w:t xml:space="preserve"> rights </w:t>
      </w:r>
      <w:r w:rsidR="00116193" w:rsidRPr="00F65CC5">
        <w:rPr>
          <w:rFonts w:asciiTheme="minorHAnsi" w:hAnsiTheme="minorHAnsi" w:cstheme="minorHAnsi"/>
        </w:rPr>
        <w:t xml:space="preserve">that </w:t>
      </w:r>
      <w:r w:rsidR="00FE18F3" w:rsidRPr="00F65CC5">
        <w:rPr>
          <w:rFonts w:asciiTheme="minorHAnsi" w:hAnsiTheme="minorHAnsi" w:cstheme="minorHAnsi"/>
        </w:rPr>
        <w:t>com</w:t>
      </w:r>
      <w:r w:rsidR="00116193" w:rsidRPr="00F65CC5">
        <w:rPr>
          <w:rFonts w:asciiTheme="minorHAnsi" w:hAnsiTheme="minorHAnsi" w:cstheme="minorHAnsi"/>
        </w:rPr>
        <w:t>e</w:t>
      </w:r>
      <w:r w:rsidR="00FE18F3" w:rsidRPr="00F65CC5">
        <w:rPr>
          <w:rFonts w:asciiTheme="minorHAnsi" w:hAnsiTheme="minorHAnsi" w:cstheme="minorHAnsi"/>
        </w:rPr>
        <w:t xml:space="preserve"> from international Conventions. Individuals</w:t>
      </w:r>
      <w:r w:rsidR="00FD5087" w:rsidRPr="00F65CC5">
        <w:rPr>
          <w:rFonts w:asciiTheme="minorHAnsi" w:hAnsiTheme="minorHAnsi" w:cstheme="minorHAnsi"/>
        </w:rPr>
        <w:t xml:space="preserve"> or groups</w:t>
      </w:r>
      <w:r w:rsidR="00FE18F3" w:rsidRPr="00F65CC5">
        <w:rPr>
          <w:rFonts w:asciiTheme="minorHAnsi" w:hAnsiTheme="minorHAnsi" w:cstheme="minorHAnsi"/>
        </w:rPr>
        <w:t xml:space="preserve"> cannot make a decision to become a </w:t>
      </w:r>
      <w:r w:rsidR="00FE18F3" w:rsidRPr="00F65CC5">
        <w:rPr>
          <w:rFonts w:asciiTheme="minorHAnsi" w:hAnsiTheme="minorHAnsi" w:cstheme="minorHAnsi"/>
        </w:rPr>
        <w:lastRenderedPageBreak/>
        <w:t xml:space="preserve">beneficiary of a </w:t>
      </w:r>
      <w:r w:rsidR="00AF3090" w:rsidRPr="00F65CC5">
        <w:rPr>
          <w:rFonts w:asciiTheme="minorHAnsi" w:hAnsiTheme="minorHAnsi" w:cstheme="minorHAnsi"/>
        </w:rPr>
        <w:t>Convention or</w:t>
      </w:r>
      <w:r w:rsidR="00FD5087" w:rsidRPr="00F65CC5">
        <w:rPr>
          <w:rFonts w:asciiTheme="minorHAnsi" w:hAnsiTheme="minorHAnsi" w:cstheme="minorHAnsi"/>
        </w:rPr>
        <w:t xml:space="preserve"> decide </w:t>
      </w:r>
      <w:r w:rsidR="00D03F2D" w:rsidRPr="00F65CC5">
        <w:rPr>
          <w:rFonts w:asciiTheme="minorHAnsi" w:hAnsiTheme="minorHAnsi" w:cstheme="minorHAnsi"/>
        </w:rPr>
        <w:t>not to</w:t>
      </w:r>
      <w:r w:rsidR="00FE18F3" w:rsidRPr="00F65CC5">
        <w:rPr>
          <w:rFonts w:asciiTheme="minorHAnsi" w:hAnsiTheme="minorHAnsi" w:cstheme="minorHAnsi"/>
        </w:rPr>
        <w:t xml:space="preserve"> leav</w:t>
      </w:r>
      <w:r w:rsidR="00116193" w:rsidRPr="00F65CC5">
        <w:rPr>
          <w:rFonts w:asciiTheme="minorHAnsi" w:hAnsiTheme="minorHAnsi" w:cstheme="minorHAnsi"/>
        </w:rPr>
        <w:t>e</w:t>
      </w:r>
      <w:r w:rsidR="00FE18F3" w:rsidRPr="00F65CC5">
        <w:rPr>
          <w:rFonts w:asciiTheme="minorHAnsi" w:hAnsiTheme="minorHAnsi" w:cstheme="minorHAnsi"/>
        </w:rPr>
        <w:t xml:space="preserve"> it. </w:t>
      </w:r>
      <w:r w:rsidR="00FB4B91" w:rsidRPr="00F65CC5">
        <w:rPr>
          <w:rFonts w:asciiTheme="minorHAnsi" w:hAnsiTheme="minorHAnsi" w:cstheme="minorHAnsi"/>
        </w:rPr>
        <w:t xml:space="preserve">The campaign slogans were: </w:t>
      </w:r>
      <w:r w:rsidR="00630887" w:rsidRPr="00F65CC5">
        <w:rPr>
          <w:rFonts w:asciiTheme="minorHAnsi" w:hAnsiTheme="minorHAnsi" w:cstheme="minorHAnsi"/>
        </w:rPr>
        <w:t xml:space="preserve">‘We Will Never Give Up the Istanbul Convention’, ‘Istanbul Convention is </w:t>
      </w:r>
      <w:r w:rsidR="00116193" w:rsidRPr="00F65CC5">
        <w:rPr>
          <w:rFonts w:asciiTheme="minorHAnsi" w:hAnsiTheme="minorHAnsi" w:cstheme="minorHAnsi"/>
        </w:rPr>
        <w:t>O</w:t>
      </w:r>
      <w:r w:rsidR="00630887" w:rsidRPr="00F65CC5">
        <w:rPr>
          <w:rFonts w:asciiTheme="minorHAnsi" w:hAnsiTheme="minorHAnsi" w:cstheme="minorHAnsi"/>
        </w:rPr>
        <w:t xml:space="preserve">urs. We are not </w:t>
      </w:r>
      <w:r w:rsidR="00116193" w:rsidRPr="00F65CC5">
        <w:rPr>
          <w:rFonts w:asciiTheme="minorHAnsi" w:hAnsiTheme="minorHAnsi" w:cstheme="minorHAnsi"/>
        </w:rPr>
        <w:t>G</w:t>
      </w:r>
      <w:r w:rsidR="00630887" w:rsidRPr="00F65CC5">
        <w:rPr>
          <w:rFonts w:asciiTheme="minorHAnsi" w:hAnsiTheme="minorHAnsi" w:cstheme="minorHAnsi"/>
        </w:rPr>
        <w:t>iving it Up!’</w:t>
      </w:r>
      <w:r w:rsidR="00630887" w:rsidRPr="00F65CC5">
        <w:rPr>
          <w:rStyle w:val="FootnoteReference"/>
          <w:rFonts w:asciiTheme="minorHAnsi" w:hAnsiTheme="minorHAnsi" w:cstheme="minorHAnsi"/>
        </w:rPr>
        <w:footnoteReference w:id="109"/>
      </w:r>
      <w:r w:rsidR="00FB4B91" w:rsidRPr="00F65CC5">
        <w:rPr>
          <w:rFonts w:asciiTheme="minorHAnsi" w:hAnsiTheme="minorHAnsi" w:cstheme="minorHAnsi"/>
        </w:rPr>
        <w:t xml:space="preserve"> </w:t>
      </w:r>
      <w:r w:rsidRPr="00F65CC5">
        <w:rPr>
          <w:rFonts w:asciiTheme="minorHAnsi" w:hAnsiTheme="minorHAnsi" w:cstheme="minorHAnsi"/>
        </w:rPr>
        <w:t>The slogan</w:t>
      </w:r>
      <w:r w:rsidR="00FB4B91" w:rsidRPr="00F65CC5">
        <w:rPr>
          <w:rFonts w:asciiTheme="minorHAnsi" w:hAnsiTheme="minorHAnsi" w:cstheme="minorHAnsi"/>
        </w:rPr>
        <w:t>s</w:t>
      </w:r>
      <w:r w:rsidRPr="00F65CC5">
        <w:rPr>
          <w:rFonts w:asciiTheme="minorHAnsi" w:hAnsiTheme="minorHAnsi" w:cstheme="minorHAnsi"/>
        </w:rPr>
        <w:t xml:space="preserve"> of the feminist resistance</w:t>
      </w:r>
      <w:r w:rsidR="00E61721" w:rsidRPr="00F65CC5">
        <w:rPr>
          <w:rFonts w:asciiTheme="minorHAnsi" w:hAnsiTheme="minorHAnsi" w:cstheme="minorHAnsi"/>
        </w:rPr>
        <w:t xml:space="preserve"> in </w:t>
      </w:r>
      <w:r w:rsidR="00957EE0" w:rsidRPr="00F65CC5">
        <w:rPr>
          <w:rFonts w:asciiTheme="minorHAnsi" w:hAnsiTheme="minorHAnsi" w:cstheme="minorHAnsi"/>
        </w:rPr>
        <w:t>Türkiye</w:t>
      </w:r>
      <w:r w:rsidR="00E61721" w:rsidRPr="00F65CC5">
        <w:rPr>
          <w:rFonts w:asciiTheme="minorHAnsi" w:hAnsiTheme="minorHAnsi" w:cstheme="minorHAnsi"/>
        </w:rPr>
        <w:t xml:space="preserve"> bring</w:t>
      </w:r>
      <w:r w:rsidR="00FB4B91" w:rsidRPr="00F65CC5">
        <w:rPr>
          <w:rFonts w:asciiTheme="minorHAnsi" w:hAnsiTheme="minorHAnsi" w:cstheme="minorHAnsi"/>
        </w:rPr>
        <w:t xml:space="preserve"> </w:t>
      </w:r>
      <w:r w:rsidR="00E61721" w:rsidRPr="00F65CC5">
        <w:rPr>
          <w:rFonts w:asciiTheme="minorHAnsi" w:hAnsiTheme="minorHAnsi" w:cstheme="minorHAnsi"/>
        </w:rPr>
        <w:t>a fundamental critique to th</w:t>
      </w:r>
      <w:r w:rsidR="005536A4" w:rsidRPr="00F65CC5">
        <w:rPr>
          <w:rFonts w:asciiTheme="minorHAnsi" w:hAnsiTheme="minorHAnsi" w:cstheme="minorHAnsi"/>
        </w:rPr>
        <w:t xml:space="preserve">e vertical </w:t>
      </w:r>
      <w:r w:rsidR="00E61721" w:rsidRPr="00F65CC5">
        <w:rPr>
          <w:rFonts w:asciiTheme="minorHAnsi" w:hAnsiTheme="minorHAnsi" w:cstheme="minorHAnsi"/>
        </w:rPr>
        <w:t>legality by indicating that even</w:t>
      </w:r>
      <w:r w:rsidR="00957EE0" w:rsidRPr="00F65CC5">
        <w:rPr>
          <w:rFonts w:asciiTheme="minorHAnsi" w:hAnsiTheme="minorHAnsi" w:cstheme="minorHAnsi"/>
        </w:rPr>
        <w:t xml:space="preserve"> if</w:t>
      </w:r>
      <w:r w:rsidR="00E61721" w:rsidRPr="00F65CC5">
        <w:rPr>
          <w:rFonts w:asciiTheme="minorHAnsi" w:hAnsiTheme="minorHAnsi" w:cstheme="minorHAnsi"/>
        </w:rPr>
        <w:t xml:space="preserve"> the State leaves the Convention, they</w:t>
      </w:r>
      <w:r w:rsidR="00A274AF" w:rsidRPr="00F65CC5">
        <w:rPr>
          <w:rFonts w:asciiTheme="minorHAnsi" w:hAnsiTheme="minorHAnsi" w:cstheme="minorHAnsi"/>
        </w:rPr>
        <w:t xml:space="preserve"> </w:t>
      </w:r>
      <w:r w:rsidR="0082196D" w:rsidRPr="00F65CC5">
        <w:rPr>
          <w:rFonts w:asciiTheme="minorHAnsi" w:hAnsiTheme="minorHAnsi" w:cstheme="minorHAnsi"/>
        </w:rPr>
        <w:t>(feminists)</w:t>
      </w:r>
      <w:r w:rsidR="00E61721" w:rsidRPr="00F65CC5">
        <w:rPr>
          <w:rFonts w:asciiTheme="minorHAnsi" w:hAnsiTheme="minorHAnsi" w:cstheme="minorHAnsi"/>
        </w:rPr>
        <w:t xml:space="preserve"> will not. Th</w:t>
      </w:r>
      <w:r w:rsidR="00FB4B91" w:rsidRPr="00F65CC5">
        <w:rPr>
          <w:rFonts w:asciiTheme="minorHAnsi" w:hAnsiTheme="minorHAnsi" w:cstheme="minorHAnsi"/>
        </w:rPr>
        <w:t>ese</w:t>
      </w:r>
      <w:r w:rsidR="00E61721" w:rsidRPr="00F65CC5">
        <w:rPr>
          <w:rFonts w:asciiTheme="minorHAnsi" w:hAnsiTheme="minorHAnsi" w:cstheme="minorHAnsi"/>
        </w:rPr>
        <w:t xml:space="preserve"> slogan</w:t>
      </w:r>
      <w:r w:rsidR="00FB4B91" w:rsidRPr="00F65CC5">
        <w:rPr>
          <w:rFonts w:asciiTheme="minorHAnsi" w:hAnsiTheme="minorHAnsi" w:cstheme="minorHAnsi"/>
        </w:rPr>
        <w:t>s</w:t>
      </w:r>
      <w:r w:rsidR="00E61721" w:rsidRPr="00F65CC5">
        <w:rPr>
          <w:rFonts w:asciiTheme="minorHAnsi" w:hAnsiTheme="minorHAnsi" w:cstheme="minorHAnsi"/>
        </w:rPr>
        <w:t xml:space="preserve"> </w:t>
      </w:r>
      <w:r w:rsidR="00FB4B91" w:rsidRPr="00F65CC5">
        <w:rPr>
          <w:rFonts w:asciiTheme="minorHAnsi" w:hAnsiTheme="minorHAnsi" w:cstheme="minorHAnsi"/>
        </w:rPr>
        <w:t>are</w:t>
      </w:r>
      <w:r w:rsidR="00957EE0" w:rsidRPr="00F65CC5">
        <w:rPr>
          <w:rFonts w:asciiTheme="minorHAnsi" w:hAnsiTheme="minorHAnsi" w:cstheme="minorHAnsi"/>
        </w:rPr>
        <w:t xml:space="preserve"> </w:t>
      </w:r>
      <w:r w:rsidR="00C85F91" w:rsidRPr="00F65CC5">
        <w:rPr>
          <w:rFonts w:asciiTheme="minorHAnsi" w:hAnsiTheme="minorHAnsi" w:cstheme="minorHAnsi"/>
        </w:rPr>
        <w:t>base</w:t>
      </w:r>
      <w:r w:rsidR="00957EE0" w:rsidRPr="00F65CC5">
        <w:rPr>
          <w:rFonts w:asciiTheme="minorHAnsi" w:hAnsiTheme="minorHAnsi" w:cstheme="minorHAnsi"/>
        </w:rPr>
        <w:t>d</w:t>
      </w:r>
      <w:r w:rsidR="00C85F91" w:rsidRPr="00F65CC5">
        <w:rPr>
          <w:rFonts w:asciiTheme="minorHAnsi" w:hAnsiTheme="minorHAnsi" w:cstheme="minorHAnsi"/>
        </w:rPr>
        <w:t xml:space="preserve"> on the premise </w:t>
      </w:r>
      <w:r w:rsidR="002932A3" w:rsidRPr="00F65CC5">
        <w:rPr>
          <w:rFonts w:asciiTheme="minorHAnsi" w:hAnsiTheme="minorHAnsi" w:cstheme="minorHAnsi"/>
        </w:rPr>
        <w:t>that there are spaces of law</w:t>
      </w:r>
      <w:r w:rsidR="00C85F91" w:rsidRPr="00F65CC5">
        <w:rPr>
          <w:rFonts w:asciiTheme="minorHAnsi" w:hAnsiTheme="minorHAnsi" w:cstheme="minorHAnsi"/>
        </w:rPr>
        <w:t xml:space="preserve"> </w:t>
      </w:r>
      <w:r w:rsidR="00AF156E" w:rsidRPr="00F65CC5">
        <w:rPr>
          <w:rFonts w:asciiTheme="minorHAnsi" w:hAnsiTheme="minorHAnsi" w:cstheme="minorHAnsi"/>
        </w:rPr>
        <w:t xml:space="preserve">where </w:t>
      </w:r>
      <w:r w:rsidR="00957EE0" w:rsidRPr="00F65CC5">
        <w:rPr>
          <w:rFonts w:asciiTheme="minorHAnsi" w:hAnsiTheme="minorHAnsi" w:cstheme="minorHAnsi"/>
        </w:rPr>
        <w:t xml:space="preserve">the </w:t>
      </w:r>
      <w:r w:rsidR="002932A3" w:rsidRPr="00F65CC5">
        <w:rPr>
          <w:rFonts w:asciiTheme="minorHAnsi" w:hAnsiTheme="minorHAnsi" w:cstheme="minorHAnsi"/>
        </w:rPr>
        <w:t>State is not the single author.</w:t>
      </w:r>
      <w:r w:rsidR="00086ABC" w:rsidRPr="00F65CC5">
        <w:rPr>
          <w:rFonts w:asciiTheme="minorHAnsi" w:hAnsiTheme="minorHAnsi" w:cstheme="minorHAnsi"/>
        </w:rPr>
        <w:t xml:space="preserve"> Th</w:t>
      </w:r>
      <w:r w:rsidR="00FB4B91" w:rsidRPr="00F65CC5">
        <w:rPr>
          <w:rFonts w:asciiTheme="minorHAnsi" w:hAnsiTheme="minorHAnsi" w:cstheme="minorHAnsi"/>
        </w:rPr>
        <w:t>ese</w:t>
      </w:r>
      <w:r w:rsidR="00C9465D" w:rsidRPr="00F65CC5">
        <w:rPr>
          <w:rFonts w:asciiTheme="minorHAnsi" w:hAnsiTheme="minorHAnsi" w:cstheme="minorHAnsi"/>
        </w:rPr>
        <w:t xml:space="preserve"> feminist</w:t>
      </w:r>
      <w:r w:rsidR="00086ABC" w:rsidRPr="00F65CC5">
        <w:rPr>
          <w:rFonts w:asciiTheme="minorHAnsi" w:hAnsiTheme="minorHAnsi" w:cstheme="minorHAnsi"/>
        </w:rPr>
        <w:t xml:space="preserve"> </w:t>
      </w:r>
      <w:r w:rsidR="00C85F91" w:rsidRPr="00F65CC5">
        <w:rPr>
          <w:rFonts w:asciiTheme="minorHAnsi" w:hAnsiTheme="minorHAnsi" w:cstheme="minorHAnsi"/>
        </w:rPr>
        <w:t>slogan</w:t>
      </w:r>
      <w:r w:rsidR="00FB4B91" w:rsidRPr="00F65CC5">
        <w:rPr>
          <w:rFonts w:asciiTheme="minorHAnsi" w:hAnsiTheme="minorHAnsi" w:cstheme="minorHAnsi"/>
        </w:rPr>
        <w:t>s</w:t>
      </w:r>
      <w:r w:rsidR="00C85F91" w:rsidRPr="00F65CC5">
        <w:rPr>
          <w:rFonts w:asciiTheme="minorHAnsi" w:hAnsiTheme="minorHAnsi" w:cstheme="minorHAnsi"/>
        </w:rPr>
        <w:t xml:space="preserve"> </w:t>
      </w:r>
      <w:r w:rsidR="00FB4B91" w:rsidRPr="00F65CC5">
        <w:rPr>
          <w:rFonts w:asciiTheme="minorHAnsi" w:hAnsiTheme="minorHAnsi" w:cstheme="minorHAnsi"/>
        </w:rPr>
        <w:t>are</w:t>
      </w:r>
      <w:r w:rsidR="00C85F91" w:rsidRPr="00F65CC5">
        <w:rPr>
          <w:rFonts w:asciiTheme="minorHAnsi" w:hAnsiTheme="minorHAnsi" w:cstheme="minorHAnsi"/>
        </w:rPr>
        <w:t xml:space="preserve"> in a way</w:t>
      </w:r>
      <w:r w:rsidR="00D03F2D" w:rsidRPr="00F65CC5">
        <w:rPr>
          <w:rFonts w:asciiTheme="minorHAnsi" w:hAnsiTheme="minorHAnsi" w:cstheme="minorHAnsi"/>
        </w:rPr>
        <w:t xml:space="preserve"> a</w:t>
      </w:r>
      <w:r w:rsidR="00C85F91" w:rsidRPr="00F65CC5">
        <w:rPr>
          <w:rFonts w:asciiTheme="minorHAnsi" w:hAnsiTheme="minorHAnsi" w:cstheme="minorHAnsi"/>
        </w:rPr>
        <w:t xml:space="preserve"> declaration of feminist legal spaces</w:t>
      </w:r>
      <w:r w:rsidR="00F27F25" w:rsidRPr="00F65CC5">
        <w:rPr>
          <w:rFonts w:asciiTheme="minorHAnsi" w:hAnsiTheme="minorHAnsi" w:cstheme="minorHAnsi"/>
        </w:rPr>
        <w:t xml:space="preserve"> and feminist legalities</w:t>
      </w:r>
      <w:r w:rsidR="00C85F91" w:rsidRPr="00F65CC5">
        <w:rPr>
          <w:rFonts w:asciiTheme="minorHAnsi" w:hAnsiTheme="minorHAnsi" w:cstheme="minorHAnsi"/>
        </w:rPr>
        <w:t>.</w:t>
      </w:r>
      <w:r w:rsidR="00B1258C" w:rsidRPr="00F65CC5">
        <w:rPr>
          <w:rFonts w:asciiTheme="minorHAnsi" w:hAnsiTheme="minorHAnsi" w:cstheme="minorHAnsi"/>
        </w:rPr>
        <w:t xml:space="preserve"> The feminists in </w:t>
      </w:r>
      <w:r w:rsidR="00BE4316" w:rsidRPr="00F65CC5">
        <w:rPr>
          <w:rFonts w:asciiTheme="minorHAnsi" w:hAnsiTheme="minorHAnsi" w:cstheme="minorHAnsi"/>
        </w:rPr>
        <w:t>Türkiye</w:t>
      </w:r>
      <w:r w:rsidR="00B1258C" w:rsidRPr="00F65CC5">
        <w:rPr>
          <w:rFonts w:asciiTheme="minorHAnsi" w:hAnsiTheme="minorHAnsi" w:cstheme="minorHAnsi"/>
        </w:rPr>
        <w:t xml:space="preserve"> collectively expressed that they are not withdrawing from the Istanbul Convention</w:t>
      </w:r>
      <w:r w:rsidR="00CE6EED">
        <w:rPr>
          <w:rFonts w:asciiTheme="minorHAnsi" w:hAnsiTheme="minorHAnsi" w:cstheme="minorHAnsi"/>
        </w:rPr>
        <w:t>, m</w:t>
      </w:r>
      <w:r w:rsidR="00B1258C" w:rsidRPr="00F65CC5">
        <w:rPr>
          <w:rFonts w:asciiTheme="minorHAnsi" w:hAnsiTheme="minorHAnsi" w:cstheme="minorHAnsi"/>
        </w:rPr>
        <w:t xml:space="preserve">eaning that even </w:t>
      </w:r>
      <w:r w:rsidR="00BE4316" w:rsidRPr="00F65CC5">
        <w:rPr>
          <w:rFonts w:asciiTheme="minorHAnsi" w:hAnsiTheme="minorHAnsi" w:cstheme="minorHAnsi"/>
        </w:rPr>
        <w:t xml:space="preserve">if the </w:t>
      </w:r>
      <w:r w:rsidR="00B1258C" w:rsidRPr="00F65CC5">
        <w:rPr>
          <w:rFonts w:asciiTheme="minorHAnsi" w:hAnsiTheme="minorHAnsi" w:cstheme="minorHAnsi"/>
        </w:rPr>
        <w:t xml:space="preserve">State leaves, </w:t>
      </w:r>
      <w:r w:rsidR="00D03F2D" w:rsidRPr="00F65CC5">
        <w:rPr>
          <w:rFonts w:asciiTheme="minorHAnsi" w:hAnsiTheme="minorHAnsi" w:cstheme="minorHAnsi"/>
        </w:rPr>
        <w:t>they</w:t>
      </w:r>
      <w:r w:rsidR="00B1258C" w:rsidRPr="00F65CC5">
        <w:rPr>
          <w:rFonts w:asciiTheme="minorHAnsi" w:hAnsiTheme="minorHAnsi" w:cstheme="minorHAnsi"/>
        </w:rPr>
        <w:t xml:space="preserve"> will not. This led feminists in </w:t>
      </w:r>
      <w:r w:rsidR="00BE4316" w:rsidRPr="00F65CC5">
        <w:rPr>
          <w:rFonts w:asciiTheme="minorHAnsi" w:hAnsiTheme="minorHAnsi" w:cstheme="minorHAnsi"/>
        </w:rPr>
        <w:t>Türkiye</w:t>
      </w:r>
      <w:r w:rsidR="00B1258C" w:rsidRPr="00F65CC5">
        <w:rPr>
          <w:rFonts w:asciiTheme="minorHAnsi" w:hAnsiTheme="minorHAnsi" w:cstheme="minorHAnsi"/>
        </w:rPr>
        <w:t xml:space="preserve"> </w:t>
      </w:r>
      <w:r w:rsidR="00914A1C" w:rsidRPr="00F65CC5">
        <w:rPr>
          <w:rFonts w:asciiTheme="minorHAnsi" w:hAnsiTheme="minorHAnsi" w:cstheme="minorHAnsi"/>
        </w:rPr>
        <w:t xml:space="preserve">themselves </w:t>
      </w:r>
      <w:r w:rsidR="00B1258C" w:rsidRPr="00F65CC5">
        <w:rPr>
          <w:rFonts w:asciiTheme="minorHAnsi" w:hAnsiTheme="minorHAnsi" w:cstheme="minorHAnsi"/>
        </w:rPr>
        <w:t xml:space="preserve">to denounce the </w:t>
      </w:r>
      <w:r w:rsidR="003125D4" w:rsidRPr="00F65CC5">
        <w:rPr>
          <w:rFonts w:asciiTheme="minorHAnsi" w:hAnsiTheme="minorHAnsi" w:cstheme="minorHAnsi"/>
        </w:rPr>
        <w:t>denunciation</w:t>
      </w:r>
      <w:r w:rsidR="00B1258C" w:rsidRPr="00F65CC5">
        <w:rPr>
          <w:rFonts w:asciiTheme="minorHAnsi" w:hAnsiTheme="minorHAnsi" w:cstheme="minorHAnsi"/>
        </w:rPr>
        <w:t xml:space="preserve"> of the Convention. This was both a </w:t>
      </w:r>
      <w:r w:rsidR="00D670E1" w:rsidRPr="00F65CC5">
        <w:rPr>
          <w:rFonts w:asciiTheme="minorHAnsi" w:hAnsiTheme="minorHAnsi" w:cstheme="minorHAnsi"/>
        </w:rPr>
        <w:t>formal</w:t>
      </w:r>
      <w:r w:rsidR="00B1258C" w:rsidRPr="00F65CC5">
        <w:rPr>
          <w:rFonts w:asciiTheme="minorHAnsi" w:hAnsiTheme="minorHAnsi" w:cstheme="minorHAnsi"/>
        </w:rPr>
        <w:t xml:space="preserve"> and a feminist objection to the whole process. In this </w:t>
      </w:r>
      <w:r w:rsidR="00FE18F3" w:rsidRPr="00F65CC5">
        <w:rPr>
          <w:rFonts w:asciiTheme="minorHAnsi" w:hAnsiTheme="minorHAnsi" w:cstheme="minorHAnsi"/>
        </w:rPr>
        <w:t xml:space="preserve">section we evaluate the </w:t>
      </w:r>
      <w:r w:rsidR="00B1258C" w:rsidRPr="00F65CC5">
        <w:rPr>
          <w:rFonts w:asciiTheme="minorHAnsi" w:hAnsiTheme="minorHAnsi" w:cstheme="minorHAnsi"/>
        </w:rPr>
        <w:t>feminist legality</w:t>
      </w:r>
      <w:r w:rsidR="00FE18F3" w:rsidRPr="00F65CC5">
        <w:rPr>
          <w:rFonts w:asciiTheme="minorHAnsi" w:hAnsiTheme="minorHAnsi" w:cstheme="minorHAnsi"/>
        </w:rPr>
        <w:t xml:space="preserve"> communicated by these slogans. We consider these slogans as feminist legal spaces where the feminist resistance flattened the vertical legality by declaring that it is possible not to leave the Convention </w:t>
      </w:r>
      <w:r w:rsidR="007B34E8" w:rsidRPr="00F65CC5">
        <w:rPr>
          <w:rFonts w:asciiTheme="minorHAnsi" w:hAnsiTheme="minorHAnsi" w:cstheme="minorHAnsi"/>
        </w:rPr>
        <w:t>when the State leaves it. By doing so they assumed horizontal pathways in international law and a feminist legality which is not constrain</w:t>
      </w:r>
      <w:r w:rsidR="00D670E1" w:rsidRPr="00F65CC5">
        <w:rPr>
          <w:rFonts w:asciiTheme="minorHAnsi" w:hAnsiTheme="minorHAnsi" w:cstheme="minorHAnsi"/>
        </w:rPr>
        <w:t>ed</w:t>
      </w:r>
      <w:r w:rsidR="007B34E8" w:rsidRPr="00F65CC5">
        <w:rPr>
          <w:rFonts w:asciiTheme="minorHAnsi" w:hAnsiTheme="minorHAnsi" w:cstheme="minorHAnsi"/>
        </w:rPr>
        <w:t xml:space="preserve"> by State behaviour. </w:t>
      </w:r>
    </w:p>
    <w:p w14:paraId="0078DE83" w14:textId="77777777" w:rsidR="00BE4316" w:rsidRPr="00F65CC5" w:rsidRDefault="00BE4316" w:rsidP="007933F6">
      <w:pPr>
        <w:ind w:right="-52"/>
        <w:jc w:val="both"/>
        <w:rPr>
          <w:rFonts w:asciiTheme="minorHAnsi" w:hAnsiTheme="minorHAnsi" w:cstheme="minorHAnsi"/>
        </w:rPr>
      </w:pPr>
    </w:p>
    <w:p w14:paraId="1D60231D" w14:textId="57365F0A" w:rsidR="00901994" w:rsidRPr="00F65CC5" w:rsidRDefault="00BE4316" w:rsidP="007933F6">
      <w:pPr>
        <w:ind w:right="-52"/>
        <w:jc w:val="both"/>
        <w:rPr>
          <w:rFonts w:asciiTheme="minorHAnsi" w:hAnsiTheme="minorHAnsi" w:cstheme="minorHAnsi"/>
        </w:rPr>
      </w:pPr>
      <w:r w:rsidRPr="00F65CC5">
        <w:rPr>
          <w:rFonts w:asciiTheme="minorHAnsi" w:hAnsiTheme="minorHAnsi" w:cstheme="minorHAnsi"/>
        </w:rPr>
        <w:t>The m</w:t>
      </w:r>
      <w:r w:rsidR="008A762A" w:rsidRPr="00F65CC5">
        <w:rPr>
          <w:rFonts w:asciiTheme="minorHAnsi" w:hAnsiTheme="minorHAnsi" w:cstheme="minorHAnsi"/>
        </w:rPr>
        <w:t xml:space="preserve">ajority of the interviewees stated that they knew </w:t>
      </w:r>
      <w:r w:rsidR="00473786" w:rsidRPr="00F65CC5">
        <w:rPr>
          <w:rFonts w:asciiTheme="minorHAnsi" w:hAnsiTheme="minorHAnsi" w:cstheme="minorHAnsi"/>
        </w:rPr>
        <w:t xml:space="preserve">that </w:t>
      </w:r>
      <w:r w:rsidR="008A762A" w:rsidRPr="00F65CC5">
        <w:rPr>
          <w:rFonts w:asciiTheme="minorHAnsi" w:hAnsiTheme="minorHAnsi" w:cstheme="minorHAnsi"/>
        </w:rPr>
        <w:t xml:space="preserve">the vertical </w:t>
      </w:r>
      <w:r w:rsidR="00853125" w:rsidRPr="00F65CC5">
        <w:rPr>
          <w:rFonts w:asciiTheme="minorHAnsi" w:hAnsiTheme="minorHAnsi" w:cstheme="minorHAnsi"/>
        </w:rPr>
        <w:t>spaces</w:t>
      </w:r>
      <w:r w:rsidR="008A762A" w:rsidRPr="00F65CC5">
        <w:rPr>
          <w:rFonts w:asciiTheme="minorHAnsi" w:hAnsiTheme="minorHAnsi" w:cstheme="minorHAnsi"/>
        </w:rPr>
        <w:t xml:space="preserve"> of law would find this withdrawal legal</w:t>
      </w:r>
      <w:r w:rsidR="00C85F91" w:rsidRPr="00F65CC5">
        <w:rPr>
          <w:rFonts w:asciiTheme="minorHAnsi" w:hAnsiTheme="minorHAnsi" w:cstheme="minorHAnsi"/>
        </w:rPr>
        <w:t xml:space="preserve"> by identifying </w:t>
      </w:r>
      <w:r w:rsidR="00BC26EA">
        <w:rPr>
          <w:rFonts w:asciiTheme="minorHAnsi" w:hAnsiTheme="minorHAnsi" w:cstheme="minorHAnsi"/>
        </w:rPr>
        <w:t xml:space="preserve">the </w:t>
      </w:r>
      <w:r w:rsidR="00C85F91" w:rsidRPr="00F65CC5">
        <w:rPr>
          <w:rFonts w:asciiTheme="minorHAnsi" w:hAnsiTheme="minorHAnsi" w:cstheme="minorHAnsi"/>
        </w:rPr>
        <w:t xml:space="preserve">State as the only legitimate </w:t>
      </w:r>
      <w:r w:rsidR="00473786" w:rsidRPr="00F65CC5">
        <w:rPr>
          <w:rFonts w:asciiTheme="minorHAnsi" w:hAnsiTheme="minorHAnsi" w:cstheme="minorHAnsi"/>
        </w:rPr>
        <w:t>entity to make the choice about the Convention.</w:t>
      </w:r>
      <w:r w:rsidR="008A762A" w:rsidRPr="00F65CC5">
        <w:rPr>
          <w:rFonts w:asciiTheme="minorHAnsi" w:hAnsiTheme="minorHAnsi" w:cstheme="minorHAnsi"/>
        </w:rPr>
        <w:t xml:space="preserve"> </w:t>
      </w:r>
      <w:r w:rsidR="00473786" w:rsidRPr="00F65CC5">
        <w:rPr>
          <w:rFonts w:asciiTheme="minorHAnsi" w:hAnsiTheme="minorHAnsi" w:cstheme="minorHAnsi"/>
        </w:rPr>
        <w:t xml:space="preserve">Their </w:t>
      </w:r>
      <w:r w:rsidR="00791719" w:rsidRPr="00F65CC5">
        <w:rPr>
          <w:rFonts w:asciiTheme="minorHAnsi" w:hAnsiTheme="minorHAnsi" w:cstheme="minorHAnsi"/>
        </w:rPr>
        <w:t>point was that feminists will neve</w:t>
      </w:r>
      <w:r w:rsidR="00473786" w:rsidRPr="00F65CC5">
        <w:rPr>
          <w:rFonts w:asciiTheme="minorHAnsi" w:hAnsiTheme="minorHAnsi" w:cstheme="minorHAnsi"/>
        </w:rPr>
        <w:t>r give up regardless of what happens within the vertical limits of law</w:t>
      </w:r>
      <w:r w:rsidR="00791719" w:rsidRPr="00F65CC5">
        <w:rPr>
          <w:rFonts w:asciiTheme="minorHAnsi" w:hAnsiTheme="minorHAnsi" w:cstheme="minorHAnsi"/>
        </w:rPr>
        <w:t>.</w:t>
      </w:r>
      <w:r w:rsidR="00791719" w:rsidRPr="00F65CC5">
        <w:rPr>
          <w:rStyle w:val="FootnoteReference"/>
          <w:rFonts w:asciiTheme="minorHAnsi" w:hAnsiTheme="minorHAnsi" w:cstheme="minorHAnsi"/>
        </w:rPr>
        <w:footnoteReference w:id="110"/>
      </w:r>
      <w:r w:rsidR="008A762A" w:rsidRPr="00F65CC5">
        <w:rPr>
          <w:rFonts w:asciiTheme="minorHAnsi" w:hAnsiTheme="minorHAnsi" w:cstheme="minorHAnsi"/>
        </w:rPr>
        <w:t xml:space="preserve"> </w:t>
      </w:r>
      <w:r w:rsidR="00FB7A1F" w:rsidRPr="00F65CC5">
        <w:rPr>
          <w:rFonts w:asciiTheme="minorHAnsi" w:hAnsiTheme="minorHAnsi" w:cstheme="minorHAnsi"/>
        </w:rPr>
        <w:t>This approach manifests that the feminist resistance i</w:t>
      </w:r>
      <w:r w:rsidR="00B9056F" w:rsidRPr="00F65CC5">
        <w:rPr>
          <w:rFonts w:asciiTheme="minorHAnsi" w:hAnsiTheme="minorHAnsi" w:cstheme="minorHAnsi"/>
        </w:rPr>
        <w:t>n</w:t>
      </w:r>
      <w:r w:rsidR="00FB7A1F" w:rsidRPr="00F65CC5">
        <w:rPr>
          <w:rFonts w:asciiTheme="minorHAnsi" w:hAnsiTheme="minorHAnsi" w:cstheme="minorHAnsi"/>
        </w:rPr>
        <w:t xml:space="preserve"> T</w:t>
      </w:r>
      <w:r w:rsidR="00D50712" w:rsidRPr="00F65CC5">
        <w:rPr>
          <w:rFonts w:asciiTheme="minorHAnsi" w:hAnsiTheme="minorHAnsi" w:cstheme="minorHAnsi"/>
          <w:lang w:val="tr-TR"/>
        </w:rPr>
        <w:t>ü</w:t>
      </w:r>
      <w:proofErr w:type="spellStart"/>
      <w:r w:rsidR="00FB7A1F" w:rsidRPr="00F65CC5">
        <w:rPr>
          <w:rFonts w:asciiTheme="minorHAnsi" w:hAnsiTheme="minorHAnsi" w:cstheme="minorHAnsi"/>
        </w:rPr>
        <w:t>rkiye</w:t>
      </w:r>
      <w:proofErr w:type="spellEnd"/>
      <w:r w:rsidR="00FB7A1F" w:rsidRPr="00F65CC5">
        <w:rPr>
          <w:rFonts w:asciiTheme="minorHAnsi" w:hAnsiTheme="minorHAnsi" w:cstheme="minorHAnsi"/>
        </w:rPr>
        <w:t xml:space="preserve"> start</w:t>
      </w:r>
      <w:r w:rsidR="00B9056F" w:rsidRPr="00F65CC5">
        <w:rPr>
          <w:rFonts w:asciiTheme="minorHAnsi" w:hAnsiTheme="minorHAnsi" w:cstheme="minorHAnsi"/>
        </w:rPr>
        <w:t>s</w:t>
      </w:r>
      <w:r w:rsidR="00FB7A1F" w:rsidRPr="00F65CC5">
        <w:rPr>
          <w:rFonts w:asciiTheme="minorHAnsi" w:hAnsiTheme="minorHAnsi" w:cstheme="minorHAnsi"/>
        </w:rPr>
        <w:t xml:space="preserve"> from a point of recognition of other legal spaces rather than denying them</w:t>
      </w:r>
      <w:r w:rsidR="00B83CA6">
        <w:rPr>
          <w:rFonts w:asciiTheme="minorHAnsi" w:hAnsiTheme="minorHAnsi" w:cstheme="minorHAnsi"/>
        </w:rPr>
        <w:t>,</w:t>
      </w:r>
      <w:r w:rsidR="00FB7A1F" w:rsidRPr="00F65CC5">
        <w:rPr>
          <w:rFonts w:asciiTheme="minorHAnsi" w:hAnsiTheme="minorHAnsi" w:cstheme="minorHAnsi"/>
        </w:rPr>
        <w:t xml:space="preserve"> as argued by Davies.</w:t>
      </w:r>
      <w:r w:rsidR="00FB7A1F" w:rsidRPr="00F65CC5">
        <w:rPr>
          <w:rStyle w:val="FootnoteReference"/>
          <w:rFonts w:asciiTheme="minorHAnsi" w:hAnsiTheme="minorHAnsi" w:cstheme="minorHAnsi"/>
        </w:rPr>
        <w:footnoteReference w:id="111"/>
      </w:r>
      <w:r w:rsidR="00473786" w:rsidRPr="00F65CC5">
        <w:rPr>
          <w:rFonts w:asciiTheme="minorHAnsi" w:hAnsiTheme="minorHAnsi" w:cstheme="minorHAnsi"/>
        </w:rPr>
        <w:t xml:space="preserve"> </w:t>
      </w:r>
      <w:r w:rsidR="00734B6A" w:rsidRPr="00F65CC5">
        <w:rPr>
          <w:rFonts w:asciiTheme="minorHAnsi" w:hAnsiTheme="minorHAnsi" w:cstheme="minorHAnsi"/>
        </w:rPr>
        <w:t xml:space="preserve">The activists we </w:t>
      </w:r>
      <w:r w:rsidR="009102D2" w:rsidRPr="00F65CC5">
        <w:rPr>
          <w:rFonts w:asciiTheme="minorHAnsi" w:hAnsiTheme="minorHAnsi" w:cstheme="minorHAnsi"/>
        </w:rPr>
        <w:t xml:space="preserve">interviewed </w:t>
      </w:r>
      <w:r w:rsidR="00734B6A" w:rsidRPr="00F65CC5">
        <w:rPr>
          <w:rFonts w:asciiTheme="minorHAnsi" w:hAnsiTheme="minorHAnsi" w:cstheme="minorHAnsi"/>
        </w:rPr>
        <w:t>did not take law</w:t>
      </w:r>
      <w:r w:rsidR="00FD5AE3">
        <w:rPr>
          <w:rFonts w:asciiTheme="minorHAnsi" w:hAnsiTheme="minorHAnsi" w:cstheme="minorHAnsi"/>
        </w:rPr>
        <w:t xml:space="preserve"> to be</w:t>
      </w:r>
      <w:r w:rsidR="00734B6A" w:rsidRPr="00F65CC5">
        <w:rPr>
          <w:rFonts w:asciiTheme="minorHAnsi" w:hAnsiTheme="minorHAnsi" w:cstheme="minorHAnsi"/>
        </w:rPr>
        <w:t xml:space="preserve"> limited to </w:t>
      </w:r>
      <w:r w:rsidR="00390E3C" w:rsidRPr="00F65CC5">
        <w:rPr>
          <w:rFonts w:asciiTheme="minorHAnsi" w:hAnsiTheme="minorHAnsi" w:cstheme="minorHAnsi"/>
        </w:rPr>
        <w:t>this</w:t>
      </w:r>
      <w:r w:rsidR="00734B6A" w:rsidRPr="00F65CC5">
        <w:rPr>
          <w:rFonts w:asciiTheme="minorHAnsi" w:hAnsiTheme="minorHAnsi" w:cstheme="minorHAnsi"/>
        </w:rPr>
        <w:t xml:space="preserve"> vertical and linear space. In almost all interviews we heard a critique of law </w:t>
      </w:r>
      <w:r w:rsidR="00E1201F" w:rsidRPr="00F65CC5">
        <w:rPr>
          <w:rFonts w:asciiTheme="minorHAnsi" w:hAnsiTheme="minorHAnsi" w:cstheme="minorHAnsi"/>
        </w:rPr>
        <w:t>and</w:t>
      </w:r>
      <w:r w:rsidR="00734B6A" w:rsidRPr="00F65CC5">
        <w:rPr>
          <w:rFonts w:asciiTheme="minorHAnsi" w:hAnsiTheme="minorHAnsi" w:cstheme="minorHAnsi"/>
        </w:rPr>
        <w:t xml:space="preserve"> its singular verticality. </w:t>
      </w:r>
      <w:r w:rsidR="00901994" w:rsidRPr="00F65CC5">
        <w:rPr>
          <w:rFonts w:asciiTheme="minorHAnsi" w:hAnsiTheme="minorHAnsi" w:cstheme="minorHAnsi"/>
        </w:rPr>
        <w:t>One of the interviewe</w:t>
      </w:r>
      <w:r w:rsidR="000C3820" w:rsidRPr="00F65CC5">
        <w:rPr>
          <w:rFonts w:asciiTheme="minorHAnsi" w:hAnsiTheme="minorHAnsi" w:cstheme="minorHAnsi"/>
        </w:rPr>
        <w:t>es</w:t>
      </w:r>
      <w:r w:rsidR="00F62C08" w:rsidRPr="00F65CC5">
        <w:rPr>
          <w:rFonts w:asciiTheme="minorHAnsi" w:hAnsiTheme="minorHAnsi" w:cstheme="minorHAnsi"/>
        </w:rPr>
        <w:t xml:space="preserve"> </w:t>
      </w:r>
      <w:r w:rsidR="00096643" w:rsidRPr="00F65CC5">
        <w:rPr>
          <w:rFonts w:asciiTheme="minorHAnsi" w:hAnsiTheme="minorHAnsi" w:cstheme="minorHAnsi"/>
        </w:rPr>
        <w:t xml:space="preserve">stated </w:t>
      </w:r>
      <w:r w:rsidR="00601721" w:rsidRPr="00F65CC5">
        <w:rPr>
          <w:rFonts w:asciiTheme="minorHAnsi" w:hAnsiTheme="minorHAnsi" w:cstheme="minorHAnsi"/>
        </w:rPr>
        <w:t xml:space="preserve">that </w:t>
      </w:r>
      <w:r w:rsidR="00F62C08" w:rsidRPr="00F65CC5">
        <w:rPr>
          <w:rFonts w:asciiTheme="minorHAnsi" w:hAnsiTheme="minorHAnsi" w:cstheme="minorHAnsi"/>
        </w:rPr>
        <w:t>the</w:t>
      </w:r>
      <w:r w:rsidR="00601721" w:rsidRPr="00F65CC5">
        <w:rPr>
          <w:rFonts w:asciiTheme="minorHAnsi" w:hAnsiTheme="minorHAnsi" w:cstheme="minorHAnsi"/>
        </w:rPr>
        <w:t>re is a</w:t>
      </w:r>
      <w:r w:rsidR="00F62C08" w:rsidRPr="00F65CC5">
        <w:rPr>
          <w:rFonts w:asciiTheme="minorHAnsi" w:hAnsiTheme="minorHAnsi" w:cstheme="minorHAnsi"/>
        </w:rPr>
        <w:t xml:space="preserve"> need for</w:t>
      </w:r>
      <w:r w:rsidR="00901994" w:rsidRPr="00F65CC5">
        <w:rPr>
          <w:rFonts w:asciiTheme="minorHAnsi" w:hAnsiTheme="minorHAnsi" w:cstheme="minorHAnsi"/>
        </w:rPr>
        <w:t xml:space="preserve"> </w:t>
      </w:r>
      <w:r w:rsidR="00F62C08" w:rsidRPr="00F65CC5">
        <w:rPr>
          <w:rFonts w:asciiTheme="minorHAnsi" w:hAnsiTheme="minorHAnsi" w:cstheme="minorHAnsi"/>
        </w:rPr>
        <w:t>decentralisation of vertical law</w:t>
      </w:r>
      <w:r w:rsidR="00AE0352" w:rsidRPr="00F65CC5">
        <w:rPr>
          <w:rFonts w:asciiTheme="minorHAnsi" w:hAnsiTheme="minorHAnsi" w:cstheme="minorHAnsi"/>
        </w:rPr>
        <w:t xml:space="preserve"> when thinking about addressing violence against women</w:t>
      </w:r>
      <w:r w:rsidR="00601721" w:rsidRPr="00F65CC5">
        <w:rPr>
          <w:rFonts w:asciiTheme="minorHAnsi" w:hAnsiTheme="minorHAnsi" w:cstheme="minorHAnsi"/>
        </w:rPr>
        <w:t>.</w:t>
      </w:r>
      <w:r w:rsidR="004357F3" w:rsidRPr="00F65CC5">
        <w:rPr>
          <w:rStyle w:val="FootnoteReference"/>
          <w:rFonts w:asciiTheme="minorHAnsi" w:hAnsiTheme="minorHAnsi" w:cstheme="minorHAnsi"/>
        </w:rPr>
        <w:footnoteReference w:id="112"/>
      </w:r>
      <w:r w:rsidR="00601721" w:rsidRPr="00F65CC5">
        <w:rPr>
          <w:rFonts w:asciiTheme="minorHAnsi" w:hAnsiTheme="minorHAnsi" w:cstheme="minorHAnsi"/>
        </w:rPr>
        <w:t xml:space="preserve"> Even the Istanbul Convention itself </w:t>
      </w:r>
      <w:r w:rsidR="00790A2D" w:rsidRPr="00F65CC5">
        <w:rPr>
          <w:rFonts w:asciiTheme="minorHAnsi" w:hAnsiTheme="minorHAnsi" w:cstheme="minorHAnsi"/>
        </w:rPr>
        <w:t>recognise</w:t>
      </w:r>
      <w:r w:rsidR="000F3CDA">
        <w:rPr>
          <w:rFonts w:asciiTheme="minorHAnsi" w:hAnsiTheme="minorHAnsi" w:cstheme="minorHAnsi"/>
        </w:rPr>
        <w:t>s</w:t>
      </w:r>
      <w:r w:rsidR="00790A2D" w:rsidRPr="00F65CC5">
        <w:rPr>
          <w:rFonts w:asciiTheme="minorHAnsi" w:hAnsiTheme="minorHAnsi" w:cstheme="minorHAnsi"/>
        </w:rPr>
        <w:t xml:space="preserve"> a</w:t>
      </w:r>
      <w:r w:rsidR="00B9056F" w:rsidRPr="00F65CC5">
        <w:rPr>
          <w:rFonts w:asciiTheme="minorHAnsi" w:hAnsiTheme="minorHAnsi" w:cstheme="minorHAnsi"/>
        </w:rPr>
        <w:t xml:space="preserve"> holistic</w:t>
      </w:r>
      <w:r w:rsidR="00790A2D" w:rsidRPr="00F65CC5">
        <w:rPr>
          <w:rFonts w:asciiTheme="minorHAnsi" w:hAnsiTheme="minorHAnsi" w:cstheme="minorHAnsi"/>
        </w:rPr>
        <w:t xml:space="preserve"> spatiality of law</w:t>
      </w:r>
      <w:r w:rsidR="00D421BC">
        <w:rPr>
          <w:rFonts w:asciiTheme="minorHAnsi" w:hAnsiTheme="minorHAnsi" w:cstheme="minorHAnsi"/>
        </w:rPr>
        <w:t>.</w:t>
      </w:r>
      <w:r w:rsidR="00A34B9B" w:rsidRPr="00F65CC5">
        <w:rPr>
          <w:rFonts w:asciiTheme="minorHAnsi" w:hAnsiTheme="minorHAnsi" w:cstheme="minorHAnsi"/>
        </w:rPr>
        <w:t xml:space="preserve"> </w:t>
      </w:r>
      <w:r w:rsidR="00D421BC">
        <w:rPr>
          <w:rFonts w:asciiTheme="minorHAnsi" w:hAnsiTheme="minorHAnsi" w:cstheme="minorHAnsi"/>
        </w:rPr>
        <w:t>I</w:t>
      </w:r>
      <w:r w:rsidR="00901994" w:rsidRPr="00F65CC5">
        <w:rPr>
          <w:rFonts w:asciiTheme="minorHAnsi" w:hAnsiTheme="minorHAnsi" w:cstheme="minorHAnsi"/>
        </w:rPr>
        <w:t xml:space="preserve">n the words of </w:t>
      </w:r>
      <w:r w:rsidR="005852F3">
        <w:rPr>
          <w:rFonts w:asciiTheme="minorHAnsi" w:hAnsiTheme="minorHAnsi" w:cstheme="minorHAnsi"/>
        </w:rPr>
        <w:t>the</w:t>
      </w:r>
      <w:r w:rsidR="00901994" w:rsidRPr="00F65CC5">
        <w:rPr>
          <w:rFonts w:asciiTheme="minorHAnsi" w:hAnsiTheme="minorHAnsi" w:cstheme="minorHAnsi"/>
        </w:rPr>
        <w:t xml:space="preserve"> interviewe</w:t>
      </w:r>
      <w:r w:rsidR="00A34B9B" w:rsidRPr="00F65CC5">
        <w:rPr>
          <w:rFonts w:asciiTheme="minorHAnsi" w:hAnsiTheme="minorHAnsi" w:cstheme="minorHAnsi"/>
        </w:rPr>
        <w:t>e:</w:t>
      </w:r>
    </w:p>
    <w:p w14:paraId="6933237B" w14:textId="77777777" w:rsidR="00B6732F" w:rsidRPr="00F65CC5" w:rsidRDefault="00B6732F" w:rsidP="007933F6">
      <w:pPr>
        <w:ind w:right="-52"/>
        <w:jc w:val="both"/>
        <w:rPr>
          <w:rFonts w:asciiTheme="minorHAnsi" w:hAnsiTheme="minorHAnsi" w:cstheme="minorHAnsi"/>
        </w:rPr>
      </w:pPr>
    </w:p>
    <w:p w14:paraId="0C2FD79F" w14:textId="27241F9B" w:rsidR="00901994" w:rsidRPr="00F65CC5" w:rsidRDefault="00901994" w:rsidP="007933F6">
      <w:pPr>
        <w:ind w:left="851" w:right="1417"/>
        <w:jc w:val="both"/>
        <w:rPr>
          <w:rFonts w:asciiTheme="minorHAnsi" w:hAnsiTheme="minorHAnsi" w:cstheme="minorHAnsi"/>
        </w:rPr>
      </w:pPr>
      <w:r w:rsidRPr="00F65CC5">
        <w:rPr>
          <w:rFonts w:asciiTheme="minorHAnsi" w:hAnsiTheme="minorHAnsi" w:cstheme="minorHAnsi"/>
        </w:rPr>
        <w:t>the most important novelty of the Convention is that the Convention does not buy into the belief that if we have a well-functioning criminal law system, if we persecute the perpetrators effectively the violence against women would be solved. In this way the Convention does not restrain violence against women with criminal law and law in general.</w:t>
      </w:r>
      <w:r w:rsidR="004357F3" w:rsidRPr="00F65CC5">
        <w:rPr>
          <w:rStyle w:val="FootnoteReference"/>
          <w:rFonts w:asciiTheme="minorHAnsi" w:hAnsiTheme="minorHAnsi" w:cstheme="minorHAnsi"/>
        </w:rPr>
        <w:footnoteReference w:id="113"/>
      </w:r>
    </w:p>
    <w:p w14:paraId="4B6C2B0C" w14:textId="77777777" w:rsidR="00FF3603" w:rsidRPr="00F65CC5" w:rsidRDefault="00FF3603" w:rsidP="007933F6">
      <w:pPr>
        <w:ind w:right="-52"/>
        <w:jc w:val="both"/>
        <w:rPr>
          <w:rFonts w:asciiTheme="minorHAnsi" w:hAnsiTheme="minorHAnsi" w:cstheme="minorHAnsi"/>
        </w:rPr>
      </w:pPr>
    </w:p>
    <w:p w14:paraId="23841681" w14:textId="2C41404E" w:rsidR="00901994" w:rsidRPr="00F65CC5" w:rsidRDefault="00473786" w:rsidP="007933F6">
      <w:pPr>
        <w:ind w:right="-52"/>
        <w:jc w:val="both"/>
        <w:rPr>
          <w:rFonts w:asciiTheme="minorHAnsi" w:hAnsiTheme="minorHAnsi" w:cstheme="minorHAnsi"/>
        </w:rPr>
      </w:pPr>
      <w:r w:rsidRPr="00F65CC5">
        <w:rPr>
          <w:rFonts w:asciiTheme="minorHAnsi" w:hAnsiTheme="minorHAnsi" w:cstheme="minorHAnsi"/>
        </w:rPr>
        <w:t>Following her comments, we discuss</w:t>
      </w:r>
      <w:r w:rsidR="00B83094">
        <w:rPr>
          <w:rFonts w:asciiTheme="minorHAnsi" w:hAnsiTheme="minorHAnsi" w:cstheme="minorHAnsi"/>
        </w:rPr>
        <w:t>ed</w:t>
      </w:r>
      <w:r w:rsidRPr="00F65CC5">
        <w:rPr>
          <w:rFonts w:asciiTheme="minorHAnsi" w:hAnsiTheme="minorHAnsi" w:cstheme="minorHAnsi"/>
        </w:rPr>
        <w:t xml:space="preserve"> that even though </w:t>
      </w:r>
      <w:r w:rsidR="00B83094">
        <w:rPr>
          <w:rFonts w:asciiTheme="minorHAnsi" w:hAnsiTheme="minorHAnsi" w:cstheme="minorHAnsi"/>
        </w:rPr>
        <w:t xml:space="preserve">the </w:t>
      </w:r>
      <w:r w:rsidRPr="00F65CC5">
        <w:rPr>
          <w:rFonts w:asciiTheme="minorHAnsi" w:hAnsiTheme="minorHAnsi" w:cstheme="minorHAnsi"/>
        </w:rPr>
        <w:t xml:space="preserve">text of a Convention recognises different spaces of law or takes the law in a broader sense, the procedures of ratification and withdrawal in international </w:t>
      </w:r>
      <w:r w:rsidR="00BE4316" w:rsidRPr="00F65CC5">
        <w:rPr>
          <w:rFonts w:asciiTheme="minorHAnsi" w:hAnsiTheme="minorHAnsi" w:cstheme="minorHAnsi"/>
        </w:rPr>
        <w:t>law-making</w:t>
      </w:r>
      <w:r w:rsidRPr="00F65CC5">
        <w:rPr>
          <w:rFonts w:asciiTheme="minorHAnsi" w:hAnsiTheme="minorHAnsi" w:cstheme="minorHAnsi"/>
        </w:rPr>
        <w:t xml:space="preserve"> </w:t>
      </w:r>
      <w:r w:rsidR="00010134">
        <w:rPr>
          <w:rFonts w:asciiTheme="minorHAnsi" w:hAnsiTheme="minorHAnsi" w:cstheme="minorHAnsi"/>
        </w:rPr>
        <w:t>are</w:t>
      </w:r>
      <w:r w:rsidRPr="00F65CC5">
        <w:rPr>
          <w:rFonts w:asciiTheme="minorHAnsi" w:hAnsiTheme="minorHAnsi" w:cstheme="minorHAnsi"/>
        </w:rPr>
        <w:t xml:space="preserve"> strictly vertical and do not treat different spaces of law </w:t>
      </w:r>
      <w:r w:rsidR="00BE4316" w:rsidRPr="00F65CC5">
        <w:rPr>
          <w:rFonts w:asciiTheme="minorHAnsi" w:hAnsiTheme="minorHAnsi" w:cstheme="minorHAnsi"/>
        </w:rPr>
        <w:t xml:space="preserve">as </w:t>
      </w:r>
      <w:r w:rsidRPr="00F65CC5">
        <w:rPr>
          <w:rFonts w:asciiTheme="minorHAnsi" w:hAnsiTheme="minorHAnsi" w:cstheme="minorHAnsi"/>
        </w:rPr>
        <w:t xml:space="preserve">equal. </w:t>
      </w:r>
      <w:r w:rsidR="008B5224" w:rsidRPr="00F65CC5">
        <w:rPr>
          <w:rFonts w:asciiTheme="minorHAnsi" w:hAnsiTheme="minorHAnsi" w:cstheme="minorHAnsi"/>
        </w:rPr>
        <w:t>In addition to this, w</w:t>
      </w:r>
      <w:r w:rsidR="00AE0352" w:rsidRPr="00F65CC5">
        <w:rPr>
          <w:rFonts w:asciiTheme="minorHAnsi" w:hAnsiTheme="minorHAnsi" w:cstheme="minorHAnsi"/>
        </w:rPr>
        <w:t xml:space="preserve">e heard </w:t>
      </w:r>
      <w:r w:rsidR="00D670E1" w:rsidRPr="00F65CC5">
        <w:rPr>
          <w:rFonts w:asciiTheme="minorHAnsi" w:hAnsiTheme="minorHAnsi" w:cstheme="minorHAnsi"/>
        </w:rPr>
        <w:t xml:space="preserve">further </w:t>
      </w:r>
      <w:r w:rsidR="00AE0352" w:rsidRPr="00F65CC5">
        <w:rPr>
          <w:rFonts w:asciiTheme="minorHAnsi" w:hAnsiTheme="minorHAnsi" w:cstheme="minorHAnsi"/>
        </w:rPr>
        <w:t xml:space="preserve">critiques </w:t>
      </w:r>
      <w:r w:rsidR="00D670E1" w:rsidRPr="00F65CC5">
        <w:rPr>
          <w:rFonts w:asciiTheme="minorHAnsi" w:hAnsiTheme="minorHAnsi" w:cstheme="minorHAnsi"/>
        </w:rPr>
        <w:t xml:space="preserve">of </w:t>
      </w:r>
      <w:r w:rsidR="00AE0352" w:rsidRPr="00F65CC5">
        <w:rPr>
          <w:rFonts w:asciiTheme="minorHAnsi" w:hAnsiTheme="minorHAnsi" w:cstheme="minorHAnsi"/>
        </w:rPr>
        <w:t xml:space="preserve">law and international law-making during the interviews. </w:t>
      </w:r>
      <w:r w:rsidR="00D670E1" w:rsidRPr="00F65CC5">
        <w:rPr>
          <w:rFonts w:asciiTheme="minorHAnsi" w:hAnsiTheme="minorHAnsi" w:cstheme="minorHAnsi"/>
        </w:rPr>
        <w:t>The</w:t>
      </w:r>
      <w:r w:rsidR="00AE0352" w:rsidRPr="00F65CC5">
        <w:rPr>
          <w:rFonts w:asciiTheme="minorHAnsi" w:hAnsiTheme="minorHAnsi" w:cstheme="minorHAnsi"/>
        </w:rPr>
        <w:t xml:space="preserve"> </w:t>
      </w:r>
      <w:r w:rsidR="00D670E1" w:rsidRPr="00F65CC5">
        <w:rPr>
          <w:rFonts w:asciiTheme="minorHAnsi" w:hAnsiTheme="minorHAnsi" w:cstheme="minorHAnsi"/>
        </w:rPr>
        <w:t>interviewees</w:t>
      </w:r>
      <w:r w:rsidR="00AE0352" w:rsidRPr="00F65CC5">
        <w:rPr>
          <w:rFonts w:asciiTheme="minorHAnsi" w:hAnsiTheme="minorHAnsi" w:cstheme="minorHAnsi"/>
        </w:rPr>
        <w:t xml:space="preserve"> used the terms </w:t>
      </w:r>
      <w:r w:rsidR="002F7F32">
        <w:rPr>
          <w:rFonts w:asciiTheme="minorHAnsi" w:hAnsiTheme="minorHAnsi" w:cstheme="minorHAnsi"/>
        </w:rPr>
        <w:t>‘</w:t>
      </w:r>
      <w:r w:rsidR="0082196D" w:rsidRPr="00F65CC5">
        <w:rPr>
          <w:rFonts w:asciiTheme="minorHAnsi" w:hAnsiTheme="minorHAnsi" w:cstheme="minorHAnsi"/>
        </w:rPr>
        <w:t>shallow</w:t>
      </w:r>
      <w:r w:rsidR="002F7F32">
        <w:rPr>
          <w:rFonts w:asciiTheme="minorHAnsi" w:hAnsiTheme="minorHAnsi" w:cstheme="minorHAnsi"/>
        </w:rPr>
        <w:t>’</w:t>
      </w:r>
      <w:r w:rsidR="00D670E1" w:rsidRPr="00F65CC5">
        <w:rPr>
          <w:rFonts w:asciiTheme="minorHAnsi" w:hAnsiTheme="minorHAnsi" w:cstheme="minorHAnsi"/>
        </w:rPr>
        <w:t xml:space="preserve"> and </w:t>
      </w:r>
      <w:r w:rsidR="002F7F32">
        <w:rPr>
          <w:rFonts w:asciiTheme="minorHAnsi" w:hAnsiTheme="minorHAnsi" w:cstheme="minorHAnsi"/>
        </w:rPr>
        <w:t>‘</w:t>
      </w:r>
      <w:r w:rsidR="00AE0352" w:rsidRPr="00F65CC5">
        <w:rPr>
          <w:rFonts w:asciiTheme="minorHAnsi" w:hAnsiTheme="minorHAnsi" w:cstheme="minorHAnsi"/>
        </w:rPr>
        <w:t>inconsistent</w:t>
      </w:r>
      <w:r w:rsidR="002F7F32">
        <w:rPr>
          <w:rFonts w:asciiTheme="minorHAnsi" w:hAnsiTheme="minorHAnsi" w:cstheme="minorHAnsi"/>
        </w:rPr>
        <w:t>’</w:t>
      </w:r>
      <w:r w:rsidR="00AE0352" w:rsidRPr="00F65CC5">
        <w:rPr>
          <w:rFonts w:asciiTheme="minorHAnsi" w:hAnsiTheme="minorHAnsi" w:cstheme="minorHAnsi"/>
        </w:rPr>
        <w:t xml:space="preserve"> when describing international law.</w:t>
      </w:r>
      <w:r w:rsidR="00BE4316" w:rsidRPr="00F65CC5">
        <w:rPr>
          <w:rFonts w:asciiTheme="minorHAnsi" w:hAnsiTheme="minorHAnsi" w:cstheme="minorHAnsi"/>
        </w:rPr>
        <w:t xml:space="preserve"> </w:t>
      </w:r>
      <w:r w:rsidR="009B4683" w:rsidRPr="00F65CC5">
        <w:rPr>
          <w:rFonts w:asciiTheme="minorHAnsi" w:hAnsiTheme="minorHAnsi" w:cstheme="minorHAnsi"/>
        </w:rPr>
        <w:t xml:space="preserve">Three of the </w:t>
      </w:r>
      <w:r w:rsidR="00FF3603" w:rsidRPr="00F65CC5">
        <w:rPr>
          <w:rFonts w:asciiTheme="minorHAnsi" w:hAnsiTheme="minorHAnsi" w:cstheme="minorHAnsi"/>
        </w:rPr>
        <w:t>activist</w:t>
      </w:r>
      <w:r w:rsidR="009B4683" w:rsidRPr="00F65CC5">
        <w:rPr>
          <w:rFonts w:asciiTheme="minorHAnsi" w:hAnsiTheme="minorHAnsi" w:cstheme="minorHAnsi"/>
        </w:rPr>
        <w:t>s</w:t>
      </w:r>
      <w:r w:rsidR="00FF3603" w:rsidRPr="00F65CC5">
        <w:rPr>
          <w:rFonts w:asciiTheme="minorHAnsi" w:hAnsiTheme="minorHAnsi" w:cstheme="minorHAnsi"/>
        </w:rPr>
        <w:t xml:space="preserve"> mentioned that their resistance to the den</w:t>
      </w:r>
      <w:r w:rsidR="002D6213">
        <w:rPr>
          <w:rFonts w:asciiTheme="minorHAnsi" w:hAnsiTheme="minorHAnsi" w:cstheme="minorHAnsi"/>
        </w:rPr>
        <w:t>unciation</w:t>
      </w:r>
      <w:r w:rsidR="00FF3603" w:rsidRPr="00F65CC5">
        <w:rPr>
          <w:rFonts w:asciiTheme="minorHAnsi" w:hAnsiTheme="minorHAnsi" w:cstheme="minorHAnsi"/>
        </w:rPr>
        <w:t xml:space="preserve"> of the Istanbul Convention was not because the Convention was so efficient or </w:t>
      </w:r>
      <w:r w:rsidR="00FF3603" w:rsidRPr="00F65CC5">
        <w:rPr>
          <w:rFonts w:asciiTheme="minorHAnsi" w:hAnsiTheme="minorHAnsi" w:cstheme="minorHAnsi"/>
        </w:rPr>
        <w:lastRenderedPageBreak/>
        <w:t>effective</w:t>
      </w:r>
      <w:r w:rsidR="0035595C">
        <w:rPr>
          <w:rFonts w:asciiTheme="minorHAnsi" w:hAnsiTheme="minorHAnsi" w:cstheme="minorHAnsi"/>
        </w:rPr>
        <w:t>. I</w:t>
      </w:r>
      <w:r w:rsidR="009B4683" w:rsidRPr="00F65CC5">
        <w:rPr>
          <w:rFonts w:asciiTheme="minorHAnsi" w:hAnsiTheme="minorHAnsi" w:cstheme="minorHAnsi"/>
        </w:rPr>
        <w:t>ndeed</w:t>
      </w:r>
      <w:r w:rsidR="0035595C">
        <w:rPr>
          <w:rFonts w:asciiTheme="minorHAnsi" w:hAnsiTheme="minorHAnsi" w:cstheme="minorHAnsi"/>
        </w:rPr>
        <w:t>, they noted that</w:t>
      </w:r>
      <w:r w:rsidR="009B4683" w:rsidRPr="00F65CC5">
        <w:rPr>
          <w:rFonts w:asciiTheme="minorHAnsi" w:hAnsiTheme="minorHAnsi" w:cstheme="minorHAnsi"/>
        </w:rPr>
        <w:t xml:space="preserve"> </w:t>
      </w:r>
      <w:r w:rsidR="005D7646" w:rsidRPr="00F65CC5">
        <w:rPr>
          <w:rFonts w:asciiTheme="minorHAnsi" w:hAnsiTheme="minorHAnsi" w:cstheme="minorHAnsi"/>
        </w:rPr>
        <w:t xml:space="preserve">when in force </w:t>
      </w:r>
      <w:r w:rsidR="00CE48E6">
        <w:rPr>
          <w:rFonts w:asciiTheme="minorHAnsi" w:hAnsiTheme="minorHAnsi" w:cstheme="minorHAnsi"/>
        </w:rPr>
        <w:t xml:space="preserve">the Convention </w:t>
      </w:r>
      <w:r w:rsidR="005D7646" w:rsidRPr="00F65CC5">
        <w:rPr>
          <w:rFonts w:asciiTheme="minorHAnsi" w:hAnsiTheme="minorHAnsi" w:cstheme="minorHAnsi"/>
        </w:rPr>
        <w:t>was not adequate</w:t>
      </w:r>
      <w:r w:rsidR="00CE48E6">
        <w:rPr>
          <w:rFonts w:asciiTheme="minorHAnsi" w:hAnsiTheme="minorHAnsi" w:cstheme="minorHAnsi"/>
        </w:rPr>
        <w:t xml:space="preserve">, with </w:t>
      </w:r>
      <w:r w:rsidR="005D7646" w:rsidRPr="00F65CC5">
        <w:rPr>
          <w:rFonts w:asciiTheme="minorHAnsi" w:hAnsiTheme="minorHAnsi" w:cstheme="minorHAnsi"/>
        </w:rPr>
        <w:t xml:space="preserve">some judges not </w:t>
      </w:r>
      <w:r w:rsidR="00D670E1" w:rsidRPr="00F65CC5">
        <w:rPr>
          <w:rFonts w:asciiTheme="minorHAnsi" w:hAnsiTheme="minorHAnsi" w:cstheme="minorHAnsi"/>
        </w:rPr>
        <w:t xml:space="preserve">even </w:t>
      </w:r>
      <w:r w:rsidR="005D7646" w:rsidRPr="00F65CC5">
        <w:rPr>
          <w:rFonts w:asciiTheme="minorHAnsi" w:hAnsiTheme="minorHAnsi" w:cstheme="minorHAnsi"/>
        </w:rPr>
        <w:t>know</w:t>
      </w:r>
      <w:r w:rsidR="00CE48E6">
        <w:rPr>
          <w:rFonts w:asciiTheme="minorHAnsi" w:hAnsiTheme="minorHAnsi" w:cstheme="minorHAnsi"/>
        </w:rPr>
        <w:t>ing</w:t>
      </w:r>
      <w:r w:rsidR="005D7646" w:rsidRPr="00F65CC5">
        <w:rPr>
          <w:rFonts w:asciiTheme="minorHAnsi" w:hAnsiTheme="minorHAnsi" w:cstheme="minorHAnsi"/>
        </w:rPr>
        <w:t xml:space="preserve"> anything about</w:t>
      </w:r>
      <w:r w:rsidR="00F36A4F" w:rsidRPr="00F65CC5">
        <w:rPr>
          <w:rFonts w:asciiTheme="minorHAnsi" w:hAnsiTheme="minorHAnsi" w:cstheme="minorHAnsi"/>
        </w:rPr>
        <w:t xml:space="preserve"> it</w:t>
      </w:r>
      <w:r w:rsidR="005D7646" w:rsidRPr="00F65CC5">
        <w:rPr>
          <w:rFonts w:asciiTheme="minorHAnsi" w:hAnsiTheme="minorHAnsi" w:cstheme="minorHAnsi"/>
        </w:rPr>
        <w:t>.</w:t>
      </w:r>
      <w:r w:rsidR="005D7646" w:rsidRPr="00F65CC5">
        <w:rPr>
          <w:rStyle w:val="FootnoteReference"/>
          <w:rFonts w:asciiTheme="minorHAnsi" w:hAnsiTheme="minorHAnsi" w:cstheme="minorHAnsi"/>
        </w:rPr>
        <w:footnoteReference w:id="114"/>
      </w:r>
      <w:r w:rsidR="005D7646" w:rsidRPr="00F65CC5">
        <w:rPr>
          <w:rFonts w:asciiTheme="minorHAnsi" w:hAnsiTheme="minorHAnsi" w:cstheme="minorHAnsi"/>
        </w:rPr>
        <w:t xml:space="preserve"> </w:t>
      </w:r>
      <w:r w:rsidR="00F27F75" w:rsidRPr="00F65CC5">
        <w:rPr>
          <w:rFonts w:asciiTheme="minorHAnsi" w:hAnsiTheme="minorHAnsi" w:cstheme="minorHAnsi"/>
        </w:rPr>
        <w:t xml:space="preserve">They reminded us that the </w:t>
      </w:r>
      <w:r w:rsidR="006D7562" w:rsidRPr="00F65CC5">
        <w:rPr>
          <w:rFonts w:asciiTheme="minorHAnsi" w:hAnsiTheme="minorHAnsi" w:cstheme="minorHAnsi"/>
        </w:rPr>
        <w:t xml:space="preserve">United Nations </w:t>
      </w:r>
      <w:r w:rsidR="00F27F75" w:rsidRPr="00F65CC5">
        <w:rPr>
          <w:rFonts w:asciiTheme="minorHAnsi" w:hAnsiTheme="minorHAnsi" w:cstheme="minorHAnsi"/>
        </w:rPr>
        <w:t>C</w:t>
      </w:r>
      <w:r w:rsidR="006D7562" w:rsidRPr="00F65CC5">
        <w:rPr>
          <w:rFonts w:asciiTheme="minorHAnsi" w:hAnsiTheme="minorHAnsi" w:cstheme="minorHAnsi"/>
        </w:rPr>
        <w:t xml:space="preserve">onvention on </w:t>
      </w:r>
      <w:r w:rsidR="00E703AD">
        <w:rPr>
          <w:rFonts w:asciiTheme="minorHAnsi" w:hAnsiTheme="minorHAnsi" w:cstheme="minorHAnsi"/>
        </w:rPr>
        <w:t xml:space="preserve">the </w:t>
      </w:r>
      <w:r w:rsidR="006D7562" w:rsidRPr="00F65CC5">
        <w:rPr>
          <w:rFonts w:asciiTheme="minorHAnsi" w:hAnsiTheme="minorHAnsi" w:cstheme="minorHAnsi"/>
        </w:rPr>
        <w:t>Eliminati</w:t>
      </w:r>
      <w:r w:rsidR="00E703AD">
        <w:rPr>
          <w:rFonts w:asciiTheme="minorHAnsi" w:hAnsiTheme="minorHAnsi" w:cstheme="minorHAnsi"/>
        </w:rPr>
        <w:t>on of All Forms of</w:t>
      </w:r>
      <w:r w:rsidR="006D7562" w:rsidRPr="00F65CC5">
        <w:rPr>
          <w:rFonts w:asciiTheme="minorHAnsi" w:hAnsiTheme="minorHAnsi" w:cstheme="minorHAnsi"/>
        </w:rPr>
        <w:t xml:space="preserve"> </w:t>
      </w:r>
      <w:r w:rsidR="00F27F75" w:rsidRPr="00F65CC5">
        <w:rPr>
          <w:rFonts w:asciiTheme="minorHAnsi" w:hAnsiTheme="minorHAnsi" w:cstheme="minorHAnsi"/>
        </w:rPr>
        <w:t>D</w:t>
      </w:r>
      <w:r w:rsidR="006D7562" w:rsidRPr="00F65CC5">
        <w:rPr>
          <w:rFonts w:asciiTheme="minorHAnsi" w:hAnsiTheme="minorHAnsi" w:cstheme="minorHAnsi"/>
        </w:rPr>
        <w:t xml:space="preserve">iscrimination Against </w:t>
      </w:r>
      <w:r w:rsidR="00F27F75" w:rsidRPr="00F65CC5">
        <w:rPr>
          <w:rFonts w:asciiTheme="minorHAnsi" w:hAnsiTheme="minorHAnsi" w:cstheme="minorHAnsi"/>
        </w:rPr>
        <w:t>W</w:t>
      </w:r>
      <w:r w:rsidR="006D7562" w:rsidRPr="00F65CC5">
        <w:rPr>
          <w:rFonts w:asciiTheme="minorHAnsi" w:hAnsiTheme="minorHAnsi" w:cstheme="minorHAnsi"/>
        </w:rPr>
        <w:t xml:space="preserve">omen </w:t>
      </w:r>
      <w:r w:rsidR="00F27F75" w:rsidRPr="00F65CC5">
        <w:rPr>
          <w:rFonts w:asciiTheme="minorHAnsi" w:hAnsiTheme="minorHAnsi" w:cstheme="minorHAnsi"/>
        </w:rPr>
        <w:t xml:space="preserve">is still in force. </w:t>
      </w:r>
      <w:r w:rsidR="001C6870" w:rsidRPr="00F65CC5">
        <w:rPr>
          <w:rFonts w:asciiTheme="minorHAnsi" w:hAnsiTheme="minorHAnsi" w:cstheme="minorHAnsi"/>
        </w:rPr>
        <w:t>There was an agreement among the activists that the feminist resistance embodied a greater critique than the Istanbul Convention’s situation in T</w:t>
      </w:r>
      <w:r w:rsidR="00324A5A" w:rsidRPr="00F65CC5">
        <w:rPr>
          <w:rFonts w:asciiTheme="minorHAnsi" w:hAnsiTheme="minorHAnsi" w:cstheme="minorHAnsi"/>
          <w:lang w:val="tr-TR"/>
        </w:rPr>
        <w:t>ü</w:t>
      </w:r>
      <w:proofErr w:type="spellStart"/>
      <w:r w:rsidR="001C6870" w:rsidRPr="00F65CC5">
        <w:rPr>
          <w:rFonts w:asciiTheme="minorHAnsi" w:hAnsiTheme="minorHAnsi" w:cstheme="minorHAnsi"/>
        </w:rPr>
        <w:t>rkiye</w:t>
      </w:r>
      <w:proofErr w:type="spellEnd"/>
      <w:r w:rsidR="001C6870" w:rsidRPr="00F65CC5">
        <w:rPr>
          <w:rFonts w:asciiTheme="minorHAnsi" w:hAnsiTheme="minorHAnsi" w:cstheme="minorHAnsi"/>
        </w:rPr>
        <w:t>.</w:t>
      </w:r>
      <w:r w:rsidR="001C6870" w:rsidRPr="00F65CC5">
        <w:rPr>
          <w:rStyle w:val="FootnoteReference"/>
          <w:rFonts w:asciiTheme="minorHAnsi" w:hAnsiTheme="minorHAnsi" w:cstheme="minorHAnsi"/>
        </w:rPr>
        <w:footnoteReference w:id="115"/>
      </w:r>
      <w:r w:rsidR="001C6870" w:rsidRPr="00F65CC5">
        <w:rPr>
          <w:rFonts w:asciiTheme="minorHAnsi" w:hAnsiTheme="minorHAnsi" w:cstheme="minorHAnsi"/>
        </w:rPr>
        <w:t xml:space="preserve"> </w:t>
      </w:r>
      <w:r w:rsidR="00DF7F40" w:rsidRPr="00F65CC5">
        <w:rPr>
          <w:rFonts w:asciiTheme="minorHAnsi" w:hAnsiTheme="minorHAnsi" w:cstheme="minorHAnsi"/>
        </w:rPr>
        <w:t>This might sound odd as the campaign was designed to save the Istanbul Convention</w:t>
      </w:r>
      <w:r w:rsidR="00E13250">
        <w:rPr>
          <w:rFonts w:asciiTheme="minorHAnsi" w:hAnsiTheme="minorHAnsi" w:cstheme="minorHAnsi"/>
        </w:rPr>
        <w:t>. H</w:t>
      </w:r>
      <w:r w:rsidR="001C6870" w:rsidRPr="00F65CC5">
        <w:rPr>
          <w:rFonts w:asciiTheme="minorHAnsi" w:hAnsiTheme="minorHAnsi" w:cstheme="minorHAnsi"/>
        </w:rPr>
        <w:t>owever</w:t>
      </w:r>
      <w:r w:rsidR="00E13250">
        <w:rPr>
          <w:rFonts w:asciiTheme="minorHAnsi" w:hAnsiTheme="minorHAnsi" w:cstheme="minorHAnsi"/>
        </w:rPr>
        <w:t>,</w:t>
      </w:r>
      <w:r w:rsidR="001C6870" w:rsidRPr="00F65CC5">
        <w:rPr>
          <w:rFonts w:asciiTheme="minorHAnsi" w:hAnsiTheme="minorHAnsi" w:cstheme="minorHAnsi"/>
        </w:rPr>
        <w:t xml:space="preserve"> it also acknowledges that even maintaining the Convention would not be the solution</w:t>
      </w:r>
      <w:r w:rsidR="005D7646" w:rsidRPr="00F65CC5">
        <w:rPr>
          <w:rFonts w:asciiTheme="minorHAnsi" w:hAnsiTheme="minorHAnsi" w:cstheme="minorHAnsi"/>
        </w:rPr>
        <w:t>. T</w:t>
      </w:r>
      <w:r w:rsidR="00F249A8" w:rsidRPr="00F65CC5">
        <w:rPr>
          <w:rFonts w:asciiTheme="minorHAnsi" w:hAnsiTheme="minorHAnsi" w:cstheme="minorHAnsi"/>
        </w:rPr>
        <w:t>he feminist resistance was also about resisting how laws are made and taken away.</w:t>
      </w:r>
      <w:r w:rsidR="00F249A8" w:rsidRPr="00F65CC5">
        <w:rPr>
          <w:rStyle w:val="FootnoteReference"/>
          <w:rFonts w:asciiTheme="minorHAnsi" w:hAnsiTheme="minorHAnsi" w:cstheme="minorHAnsi"/>
        </w:rPr>
        <w:footnoteReference w:id="116"/>
      </w:r>
      <w:r w:rsidR="005D7646" w:rsidRPr="00F65CC5">
        <w:rPr>
          <w:rFonts w:asciiTheme="minorHAnsi" w:hAnsiTheme="minorHAnsi" w:cstheme="minorHAnsi"/>
        </w:rPr>
        <w:t xml:space="preserve"> </w:t>
      </w:r>
      <w:r w:rsidR="00642B5B" w:rsidRPr="00F65CC5">
        <w:rPr>
          <w:rFonts w:asciiTheme="minorHAnsi" w:hAnsiTheme="minorHAnsi" w:cstheme="minorHAnsi"/>
        </w:rPr>
        <w:t>An interviewee mentioned that if T</w:t>
      </w:r>
      <w:r w:rsidR="00005CFD" w:rsidRPr="00F65CC5">
        <w:rPr>
          <w:rFonts w:asciiTheme="minorHAnsi" w:hAnsiTheme="minorHAnsi" w:cstheme="minorHAnsi"/>
        </w:rPr>
        <w:t>ü</w:t>
      </w:r>
      <w:r w:rsidR="00642B5B" w:rsidRPr="00F65CC5">
        <w:rPr>
          <w:rFonts w:asciiTheme="minorHAnsi" w:hAnsiTheme="minorHAnsi" w:cstheme="minorHAnsi"/>
        </w:rPr>
        <w:t xml:space="preserve">rkiye </w:t>
      </w:r>
      <w:r w:rsidR="00D65294" w:rsidRPr="00F65CC5">
        <w:rPr>
          <w:rFonts w:asciiTheme="minorHAnsi" w:hAnsiTheme="minorHAnsi" w:cstheme="minorHAnsi"/>
        </w:rPr>
        <w:t>can</w:t>
      </w:r>
      <w:r w:rsidR="00642B5B" w:rsidRPr="00F65CC5">
        <w:rPr>
          <w:rFonts w:asciiTheme="minorHAnsi" w:hAnsiTheme="minorHAnsi" w:cstheme="minorHAnsi"/>
        </w:rPr>
        <w:t xml:space="preserve"> withdraw from the Istanbul Convention with a presiden</w:t>
      </w:r>
      <w:r w:rsidR="007F1EAF">
        <w:rPr>
          <w:rFonts w:asciiTheme="minorHAnsi" w:hAnsiTheme="minorHAnsi" w:cstheme="minorHAnsi"/>
        </w:rPr>
        <w:t>tial</w:t>
      </w:r>
      <w:r w:rsidR="00642B5B" w:rsidRPr="00F65CC5">
        <w:rPr>
          <w:rFonts w:asciiTheme="minorHAnsi" w:hAnsiTheme="minorHAnsi" w:cstheme="minorHAnsi"/>
        </w:rPr>
        <w:t xml:space="preserve"> decree, this would put all international conventions at the same risk of withdrawal without parliamentary consent.</w:t>
      </w:r>
      <w:r w:rsidR="00642B5B" w:rsidRPr="00F65CC5">
        <w:rPr>
          <w:rStyle w:val="FootnoteReference"/>
          <w:rFonts w:asciiTheme="minorHAnsi" w:hAnsiTheme="minorHAnsi" w:cstheme="minorHAnsi"/>
        </w:rPr>
        <w:footnoteReference w:id="117"/>
      </w:r>
      <w:r w:rsidR="00D65294" w:rsidRPr="00F65CC5">
        <w:rPr>
          <w:rFonts w:asciiTheme="minorHAnsi" w:hAnsiTheme="minorHAnsi" w:cstheme="minorHAnsi"/>
        </w:rPr>
        <w:t xml:space="preserve"> Another interviewee described the similar possibility that this would open the gateway for T</w:t>
      </w:r>
      <w:r w:rsidR="00005CFD" w:rsidRPr="00F65CC5">
        <w:rPr>
          <w:rFonts w:asciiTheme="minorHAnsi" w:hAnsiTheme="minorHAnsi" w:cstheme="minorHAnsi"/>
        </w:rPr>
        <w:t>ü</w:t>
      </w:r>
      <w:r w:rsidR="00D65294" w:rsidRPr="00F65CC5">
        <w:rPr>
          <w:rFonts w:asciiTheme="minorHAnsi" w:hAnsiTheme="minorHAnsi" w:cstheme="minorHAnsi"/>
        </w:rPr>
        <w:t>rkiye to leave any human rights convention, which makes them fearful about human rights protection in general.</w:t>
      </w:r>
      <w:r w:rsidR="00B24831" w:rsidRPr="00F65CC5">
        <w:rPr>
          <w:rStyle w:val="FootnoteReference"/>
          <w:rFonts w:asciiTheme="minorHAnsi" w:hAnsiTheme="minorHAnsi" w:cstheme="minorHAnsi"/>
        </w:rPr>
        <w:footnoteReference w:id="118"/>
      </w:r>
      <w:r w:rsidR="00D65294" w:rsidRPr="00F65CC5">
        <w:rPr>
          <w:rFonts w:asciiTheme="minorHAnsi" w:hAnsiTheme="minorHAnsi" w:cstheme="minorHAnsi"/>
        </w:rPr>
        <w:t xml:space="preserve"> Thus, t</w:t>
      </w:r>
      <w:r w:rsidR="00FF3603" w:rsidRPr="00F65CC5">
        <w:rPr>
          <w:rFonts w:asciiTheme="minorHAnsi" w:hAnsiTheme="minorHAnsi" w:cstheme="minorHAnsi"/>
        </w:rPr>
        <w:t xml:space="preserve">he most crucial aspect of </w:t>
      </w:r>
      <w:r w:rsidR="00F27F75" w:rsidRPr="00F65CC5">
        <w:rPr>
          <w:rFonts w:asciiTheme="minorHAnsi" w:hAnsiTheme="minorHAnsi" w:cstheme="minorHAnsi"/>
        </w:rPr>
        <w:t xml:space="preserve">their campaign </w:t>
      </w:r>
      <w:r w:rsidR="00FF3603" w:rsidRPr="00F65CC5">
        <w:rPr>
          <w:rFonts w:asciiTheme="minorHAnsi" w:hAnsiTheme="minorHAnsi" w:cstheme="minorHAnsi"/>
        </w:rPr>
        <w:t xml:space="preserve">was against the State’s ability to leave a </w:t>
      </w:r>
      <w:r w:rsidR="00D65294" w:rsidRPr="00F65CC5">
        <w:rPr>
          <w:rFonts w:asciiTheme="minorHAnsi" w:hAnsiTheme="minorHAnsi" w:cstheme="minorHAnsi"/>
        </w:rPr>
        <w:t xml:space="preserve">human rights </w:t>
      </w:r>
      <w:r w:rsidR="00FF3603" w:rsidRPr="00F65CC5">
        <w:rPr>
          <w:rFonts w:asciiTheme="minorHAnsi" w:hAnsiTheme="minorHAnsi" w:cstheme="minorHAnsi"/>
        </w:rPr>
        <w:t>Convention overnight.</w:t>
      </w:r>
      <w:r w:rsidR="00FF3603" w:rsidRPr="00F65CC5">
        <w:rPr>
          <w:rStyle w:val="FootnoteReference"/>
          <w:rFonts w:asciiTheme="minorHAnsi" w:hAnsiTheme="minorHAnsi" w:cstheme="minorHAnsi"/>
        </w:rPr>
        <w:footnoteReference w:id="119"/>
      </w:r>
      <w:r w:rsidR="005D7646" w:rsidRPr="00F65CC5">
        <w:rPr>
          <w:rFonts w:asciiTheme="minorHAnsi" w:hAnsiTheme="minorHAnsi" w:cstheme="minorHAnsi"/>
        </w:rPr>
        <w:t xml:space="preserve"> </w:t>
      </w:r>
      <w:r w:rsidR="00F36A4F" w:rsidRPr="00F65CC5">
        <w:rPr>
          <w:rFonts w:asciiTheme="minorHAnsi" w:hAnsiTheme="minorHAnsi" w:cstheme="minorHAnsi"/>
        </w:rPr>
        <w:t>Most</w:t>
      </w:r>
      <w:r w:rsidR="00584658" w:rsidRPr="00F65CC5">
        <w:rPr>
          <w:rFonts w:asciiTheme="minorHAnsi" w:hAnsiTheme="minorHAnsi" w:cstheme="minorHAnsi"/>
        </w:rPr>
        <w:t xml:space="preserve"> argued that this </w:t>
      </w:r>
      <w:r w:rsidR="00AA5856">
        <w:rPr>
          <w:rFonts w:asciiTheme="minorHAnsi" w:hAnsiTheme="minorHAnsi" w:cstheme="minorHAnsi"/>
        </w:rPr>
        <w:t>highlights</w:t>
      </w:r>
      <w:r w:rsidR="00584658" w:rsidRPr="00F65CC5">
        <w:rPr>
          <w:rFonts w:asciiTheme="minorHAnsi" w:hAnsiTheme="minorHAnsi" w:cstheme="minorHAnsi"/>
        </w:rPr>
        <w:t xml:space="preserve"> a</w:t>
      </w:r>
      <w:r w:rsidR="005D7646" w:rsidRPr="00F65CC5">
        <w:rPr>
          <w:rFonts w:asciiTheme="minorHAnsi" w:hAnsiTheme="minorHAnsi" w:cstheme="minorHAnsi"/>
        </w:rPr>
        <w:t xml:space="preserve"> deeper</w:t>
      </w:r>
      <w:r w:rsidR="00E1520C" w:rsidRPr="00F65CC5">
        <w:rPr>
          <w:rFonts w:asciiTheme="minorHAnsi" w:hAnsiTheme="minorHAnsi" w:cstheme="minorHAnsi"/>
        </w:rPr>
        <w:t xml:space="preserve"> </w:t>
      </w:r>
      <w:r w:rsidR="005D7646" w:rsidRPr="00F65CC5">
        <w:rPr>
          <w:rFonts w:asciiTheme="minorHAnsi" w:hAnsiTheme="minorHAnsi" w:cstheme="minorHAnsi"/>
        </w:rPr>
        <w:t>pitfall</w:t>
      </w:r>
      <w:r w:rsidR="00584658" w:rsidRPr="00F65CC5">
        <w:rPr>
          <w:rFonts w:asciiTheme="minorHAnsi" w:hAnsiTheme="minorHAnsi" w:cstheme="minorHAnsi"/>
        </w:rPr>
        <w:t xml:space="preserve"> </w:t>
      </w:r>
      <w:r w:rsidR="00BE4316" w:rsidRPr="00F65CC5">
        <w:rPr>
          <w:rFonts w:asciiTheme="minorHAnsi" w:hAnsiTheme="minorHAnsi" w:cstheme="minorHAnsi"/>
        </w:rPr>
        <w:t>of</w:t>
      </w:r>
      <w:r w:rsidR="00584658" w:rsidRPr="00F65CC5">
        <w:rPr>
          <w:rFonts w:asciiTheme="minorHAnsi" w:hAnsiTheme="minorHAnsi" w:cstheme="minorHAnsi"/>
        </w:rPr>
        <w:t xml:space="preserve"> international law</w:t>
      </w:r>
      <w:r w:rsidR="00AA5856">
        <w:rPr>
          <w:rFonts w:asciiTheme="minorHAnsi" w:hAnsiTheme="minorHAnsi" w:cstheme="minorHAnsi"/>
        </w:rPr>
        <w:t>-</w:t>
      </w:r>
      <w:r w:rsidR="00584658" w:rsidRPr="00F65CC5">
        <w:rPr>
          <w:rFonts w:asciiTheme="minorHAnsi" w:hAnsiTheme="minorHAnsi" w:cstheme="minorHAnsi"/>
        </w:rPr>
        <w:t>making</w:t>
      </w:r>
      <w:r w:rsidR="00AA5856">
        <w:rPr>
          <w:rFonts w:asciiTheme="minorHAnsi" w:hAnsiTheme="minorHAnsi" w:cstheme="minorHAnsi"/>
        </w:rPr>
        <w:t>,</w:t>
      </w:r>
      <w:r w:rsidR="00D65294" w:rsidRPr="00F65CC5">
        <w:rPr>
          <w:rFonts w:asciiTheme="minorHAnsi" w:hAnsiTheme="minorHAnsi" w:cstheme="minorHAnsi"/>
        </w:rPr>
        <w:t xml:space="preserve"> especially for women’s and LGBTI</w:t>
      </w:r>
      <w:r w:rsidR="002E18E0" w:rsidRPr="00F65CC5">
        <w:rPr>
          <w:rFonts w:asciiTheme="minorHAnsi" w:hAnsiTheme="minorHAnsi" w:cstheme="minorHAnsi"/>
        </w:rPr>
        <w:t>Q</w:t>
      </w:r>
      <w:r w:rsidR="00D65294" w:rsidRPr="00F65CC5">
        <w:rPr>
          <w:rFonts w:asciiTheme="minorHAnsi" w:hAnsiTheme="minorHAnsi" w:cstheme="minorHAnsi"/>
        </w:rPr>
        <w:t>+ rights</w:t>
      </w:r>
      <w:r w:rsidR="00FC3465">
        <w:rPr>
          <w:rFonts w:asciiTheme="minorHAnsi" w:hAnsiTheme="minorHAnsi" w:cstheme="minorHAnsi"/>
        </w:rPr>
        <w:t>,</w:t>
      </w:r>
      <w:r w:rsidR="00EA009C" w:rsidRPr="00F65CC5">
        <w:rPr>
          <w:rFonts w:asciiTheme="minorHAnsi" w:hAnsiTheme="minorHAnsi" w:cstheme="minorHAnsi"/>
        </w:rPr>
        <w:t xml:space="preserve"> as international protection is </w:t>
      </w:r>
      <w:r w:rsidR="00E12C22" w:rsidRPr="00F65CC5">
        <w:rPr>
          <w:rFonts w:asciiTheme="minorHAnsi" w:hAnsiTheme="minorHAnsi" w:cstheme="minorHAnsi"/>
        </w:rPr>
        <w:t>fundamental</w:t>
      </w:r>
      <w:r w:rsidR="00EA009C" w:rsidRPr="00F65CC5">
        <w:rPr>
          <w:rFonts w:asciiTheme="minorHAnsi" w:hAnsiTheme="minorHAnsi" w:cstheme="minorHAnsi"/>
        </w:rPr>
        <w:t xml:space="preserve"> for these groups</w:t>
      </w:r>
      <w:r w:rsidR="00584658" w:rsidRPr="00F65CC5">
        <w:rPr>
          <w:rFonts w:asciiTheme="minorHAnsi" w:hAnsiTheme="minorHAnsi" w:cstheme="minorHAnsi"/>
        </w:rPr>
        <w:t>.</w:t>
      </w:r>
      <w:r w:rsidR="00F27F75" w:rsidRPr="00F65CC5">
        <w:rPr>
          <w:rStyle w:val="FootnoteReference"/>
          <w:rFonts w:asciiTheme="minorHAnsi" w:hAnsiTheme="minorHAnsi" w:cstheme="minorHAnsi"/>
        </w:rPr>
        <w:footnoteReference w:id="120"/>
      </w:r>
    </w:p>
    <w:p w14:paraId="5BB97E09" w14:textId="77777777" w:rsidR="003F10DE" w:rsidRPr="00F65CC5" w:rsidRDefault="003F10DE" w:rsidP="007933F6">
      <w:pPr>
        <w:jc w:val="both"/>
        <w:rPr>
          <w:rFonts w:asciiTheme="minorHAnsi" w:hAnsiTheme="minorHAnsi" w:cstheme="minorHAnsi"/>
        </w:rPr>
      </w:pPr>
    </w:p>
    <w:p w14:paraId="5B9D450D" w14:textId="2DEC44D0" w:rsidR="00437C35" w:rsidRPr="00F65CC5" w:rsidRDefault="006E49B4" w:rsidP="007933F6">
      <w:pPr>
        <w:jc w:val="both"/>
        <w:rPr>
          <w:rFonts w:asciiTheme="minorHAnsi" w:hAnsiTheme="minorHAnsi" w:cstheme="minorHAnsi"/>
        </w:rPr>
      </w:pPr>
      <w:r w:rsidRPr="00F65CC5">
        <w:rPr>
          <w:rFonts w:asciiTheme="minorHAnsi" w:hAnsiTheme="minorHAnsi" w:cstheme="minorHAnsi"/>
        </w:rPr>
        <w:t xml:space="preserve">Another aspect that came to light in the interviews </w:t>
      </w:r>
      <w:r w:rsidR="00917D5F">
        <w:rPr>
          <w:rFonts w:asciiTheme="minorHAnsi" w:hAnsiTheme="minorHAnsi" w:cstheme="minorHAnsi"/>
        </w:rPr>
        <w:t>wa</w:t>
      </w:r>
      <w:r w:rsidRPr="00F65CC5">
        <w:rPr>
          <w:rFonts w:asciiTheme="minorHAnsi" w:hAnsiTheme="minorHAnsi" w:cstheme="minorHAnsi"/>
        </w:rPr>
        <w:t>s that the</w:t>
      </w:r>
      <w:r w:rsidR="0066703B" w:rsidRPr="00F65CC5">
        <w:rPr>
          <w:rFonts w:asciiTheme="minorHAnsi" w:hAnsiTheme="minorHAnsi" w:cstheme="minorHAnsi"/>
        </w:rPr>
        <w:t xml:space="preserve"> vertical</w:t>
      </w:r>
      <w:r w:rsidRPr="00F65CC5">
        <w:rPr>
          <w:rFonts w:asciiTheme="minorHAnsi" w:hAnsiTheme="minorHAnsi" w:cstheme="minorHAnsi"/>
        </w:rPr>
        <w:t xml:space="preserve"> operation of international law</w:t>
      </w:r>
      <w:r w:rsidR="0066703B" w:rsidRPr="00F65CC5">
        <w:rPr>
          <w:rFonts w:asciiTheme="minorHAnsi" w:hAnsiTheme="minorHAnsi" w:cstheme="minorHAnsi"/>
        </w:rPr>
        <w:t xml:space="preserve"> became more visible when T</w:t>
      </w:r>
      <w:r w:rsidR="0066703B" w:rsidRPr="00F65CC5">
        <w:rPr>
          <w:rFonts w:asciiTheme="minorHAnsi" w:hAnsiTheme="minorHAnsi" w:cstheme="minorHAnsi"/>
          <w:lang w:val="tr-TR"/>
        </w:rPr>
        <w:t>ü</w:t>
      </w:r>
      <w:proofErr w:type="spellStart"/>
      <w:r w:rsidR="0066703B" w:rsidRPr="00F65CC5">
        <w:rPr>
          <w:rFonts w:asciiTheme="minorHAnsi" w:hAnsiTheme="minorHAnsi" w:cstheme="minorHAnsi"/>
        </w:rPr>
        <w:t>rkiye</w:t>
      </w:r>
      <w:proofErr w:type="spellEnd"/>
      <w:r w:rsidR="0066703B" w:rsidRPr="00F65CC5">
        <w:rPr>
          <w:rFonts w:asciiTheme="minorHAnsi" w:hAnsiTheme="minorHAnsi" w:cstheme="minorHAnsi"/>
        </w:rPr>
        <w:t xml:space="preserve"> decided to leave </w:t>
      </w:r>
      <w:r w:rsidR="00D1106D" w:rsidRPr="00F65CC5">
        <w:rPr>
          <w:rFonts w:asciiTheme="minorHAnsi" w:hAnsiTheme="minorHAnsi" w:cstheme="minorHAnsi"/>
        </w:rPr>
        <w:t>the Convention</w:t>
      </w:r>
      <w:r w:rsidR="0066703B" w:rsidRPr="00F65CC5">
        <w:rPr>
          <w:rFonts w:asciiTheme="minorHAnsi" w:hAnsiTheme="minorHAnsi" w:cstheme="minorHAnsi"/>
        </w:rPr>
        <w:t xml:space="preserve">. </w:t>
      </w:r>
      <w:r w:rsidR="00625B52" w:rsidRPr="00F65CC5">
        <w:rPr>
          <w:rFonts w:asciiTheme="minorHAnsi" w:hAnsiTheme="minorHAnsi" w:cstheme="minorHAnsi"/>
        </w:rPr>
        <w:t xml:space="preserve">Feminist activists were aware </w:t>
      </w:r>
      <w:r w:rsidRPr="00F65CC5">
        <w:rPr>
          <w:rFonts w:asciiTheme="minorHAnsi" w:hAnsiTheme="minorHAnsi" w:cstheme="minorHAnsi"/>
        </w:rPr>
        <w:t>that</w:t>
      </w:r>
      <w:r w:rsidR="00625B52" w:rsidRPr="00F65CC5">
        <w:rPr>
          <w:rFonts w:asciiTheme="minorHAnsi" w:hAnsiTheme="minorHAnsi" w:cstheme="minorHAnsi"/>
        </w:rPr>
        <w:t xml:space="preserve"> international law</w:t>
      </w:r>
      <w:r w:rsidRPr="00F65CC5">
        <w:rPr>
          <w:rFonts w:asciiTheme="minorHAnsi" w:hAnsiTheme="minorHAnsi" w:cstheme="minorHAnsi"/>
        </w:rPr>
        <w:t xml:space="preserve"> would not </w:t>
      </w:r>
      <w:r w:rsidR="00D1106D" w:rsidRPr="00F65CC5">
        <w:rPr>
          <w:rFonts w:asciiTheme="minorHAnsi" w:hAnsiTheme="minorHAnsi" w:cstheme="minorHAnsi"/>
        </w:rPr>
        <w:t>easily</w:t>
      </w:r>
      <w:r w:rsidR="00625B52" w:rsidRPr="00F65CC5">
        <w:rPr>
          <w:rFonts w:asciiTheme="minorHAnsi" w:hAnsiTheme="minorHAnsi" w:cstheme="minorHAnsi"/>
        </w:rPr>
        <w:t xml:space="preserve"> </w:t>
      </w:r>
      <w:r w:rsidRPr="00F65CC5">
        <w:rPr>
          <w:rFonts w:asciiTheme="minorHAnsi" w:hAnsiTheme="minorHAnsi" w:cstheme="minorHAnsi"/>
        </w:rPr>
        <w:t xml:space="preserve">challenge </w:t>
      </w:r>
      <w:r w:rsidR="00625B52" w:rsidRPr="00F65CC5">
        <w:rPr>
          <w:rFonts w:asciiTheme="minorHAnsi" w:hAnsiTheme="minorHAnsi" w:cstheme="minorHAnsi"/>
        </w:rPr>
        <w:t>the behaviour of the State</w:t>
      </w:r>
      <w:r w:rsidRPr="00F65CC5">
        <w:rPr>
          <w:rFonts w:asciiTheme="minorHAnsi" w:hAnsiTheme="minorHAnsi" w:cstheme="minorHAnsi"/>
        </w:rPr>
        <w:t xml:space="preserve"> when it c</w:t>
      </w:r>
      <w:r w:rsidR="00532FB6">
        <w:rPr>
          <w:rFonts w:asciiTheme="minorHAnsi" w:hAnsiTheme="minorHAnsi" w:cstheme="minorHAnsi"/>
        </w:rPr>
        <w:t>a</w:t>
      </w:r>
      <w:r w:rsidRPr="00F65CC5">
        <w:rPr>
          <w:rFonts w:asciiTheme="minorHAnsi" w:hAnsiTheme="minorHAnsi" w:cstheme="minorHAnsi"/>
        </w:rPr>
        <w:t>me to treaty ratifications and denouncements</w:t>
      </w:r>
      <w:r w:rsidR="00625B52" w:rsidRPr="00F65CC5">
        <w:rPr>
          <w:rFonts w:asciiTheme="minorHAnsi" w:hAnsiTheme="minorHAnsi" w:cstheme="minorHAnsi"/>
        </w:rPr>
        <w:t>. It is a State</w:t>
      </w:r>
      <w:r w:rsidR="00540BF0">
        <w:rPr>
          <w:rFonts w:asciiTheme="minorHAnsi" w:hAnsiTheme="minorHAnsi" w:cstheme="minorHAnsi"/>
        </w:rPr>
        <w:t>-</w:t>
      </w:r>
      <w:r w:rsidR="00625B52" w:rsidRPr="00F65CC5">
        <w:rPr>
          <w:rFonts w:asciiTheme="minorHAnsi" w:hAnsiTheme="minorHAnsi" w:cstheme="minorHAnsi"/>
        </w:rPr>
        <w:t>centric system that favours vertical legalities of States</w:t>
      </w:r>
      <w:r w:rsidRPr="00F65CC5">
        <w:rPr>
          <w:rFonts w:asciiTheme="minorHAnsi" w:hAnsiTheme="minorHAnsi" w:cstheme="minorHAnsi"/>
        </w:rPr>
        <w:t xml:space="preserve">. This understanding of law </w:t>
      </w:r>
      <w:r w:rsidR="00625B52" w:rsidRPr="00F65CC5">
        <w:rPr>
          <w:rFonts w:asciiTheme="minorHAnsi" w:hAnsiTheme="minorHAnsi" w:cstheme="minorHAnsi"/>
        </w:rPr>
        <w:t>tends to undermine feminist legal</w:t>
      </w:r>
      <w:r w:rsidR="000B6B57" w:rsidRPr="00F65CC5">
        <w:rPr>
          <w:rFonts w:asciiTheme="minorHAnsi" w:hAnsiTheme="minorHAnsi" w:cstheme="minorHAnsi"/>
        </w:rPr>
        <w:t>ities</w:t>
      </w:r>
      <w:r w:rsidR="00A37E63" w:rsidRPr="00F65CC5">
        <w:rPr>
          <w:rFonts w:asciiTheme="minorHAnsi" w:hAnsiTheme="minorHAnsi" w:cstheme="minorHAnsi"/>
        </w:rPr>
        <w:t>,</w:t>
      </w:r>
      <w:r w:rsidRPr="00F65CC5">
        <w:rPr>
          <w:rFonts w:asciiTheme="minorHAnsi" w:hAnsiTheme="minorHAnsi" w:cstheme="minorHAnsi"/>
        </w:rPr>
        <w:t xml:space="preserve"> </w:t>
      </w:r>
      <w:r w:rsidR="00D670E1" w:rsidRPr="00F65CC5">
        <w:rPr>
          <w:rFonts w:asciiTheme="minorHAnsi" w:hAnsiTheme="minorHAnsi" w:cstheme="minorHAnsi"/>
        </w:rPr>
        <w:t>creating</w:t>
      </w:r>
      <w:r w:rsidRPr="00F65CC5">
        <w:rPr>
          <w:rFonts w:asciiTheme="minorHAnsi" w:hAnsiTheme="minorHAnsi" w:cstheme="minorHAnsi"/>
        </w:rPr>
        <w:t xml:space="preserve"> inconsistencies within th</w:t>
      </w:r>
      <w:r w:rsidR="004F0326" w:rsidRPr="00F65CC5">
        <w:rPr>
          <w:rFonts w:asciiTheme="minorHAnsi" w:hAnsiTheme="minorHAnsi" w:cstheme="minorHAnsi"/>
        </w:rPr>
        <w:t>e very vertical system they rely on</w:t>
      </w:r>
      <w:r w:rsidR="00625B52" w:rsidRPr="00F65CC5">
        <w:rPr>
          <w:rFonts w:asciiTheme="minorHAnsi" w:hAnsiTheme="minorHAnsi" w:cstheme="minorHAnsi"/>
        </w:rPr>
        <w:t xml:space="preserve">. </w:t>
      </w:r>
      <w:r w:rsidR="00D115FF" w:rsidRPr="00F65CC5">
        <w:rPr>
          <w:rFonts w:asciiTheme="minorHAnsi" w:hAnsiTheme="minorHAnsi" w:cstheme="minorHAnsi"/>
        </w:rPr>
        <w:t>Two feminist</w:t>
      </w:r>
      <w:r w:rsidR="008F065C" w:rsidRPr="00F65CC5">
        <w:rPr>
          <w:rFonts w:asciiTheme="minorHAnsi" w:hAnsiTheme="minorHAnsi" w:cstheme="minorHAnsi"/>
        </w:rPr>
        <w:t xml:space="preserve"> activist</w:t>
      </w:r>
      <w:r w:rsidR="00D115FF" w:rsidRPr="00F65CC5">
        <w:rPr>
          <w:rFonts w:asciiTheme="minorHAnsi" w:hAnsiTheme="minorHAnsi" w:cstheme="minorHAnsi"/>
        </w:rPr>
        <w:t>s</w:t>
      </w:r>
      <w:r w:rsidR="008F065C" w:rsidRPr="00F65CC5">
        <w:rPr>
          <w:rFonts w:asciiTheme="minorHAnsi" w:hAnsiTheme="minorHAnsi" w:cstheme="minorHAnsi"/>
        </w:rPr>
        <w:t xml:space="preserve"> </w:t>
      </w:r>
      <w:r w:rsidR="00423FC4" w:rsidRPr="00F65CC5">
        <w:rPr>
          <w:rFonts w:asciiTheme="minorHAnsi" w:hAnsiTheme="minorHAnsi" w:cstheme="minorHAnsi"/>
        </w:rPr>
        <w:t>criticised the international legal system for</w:t>
      </w:r>
      <w:r w:rsidR="00D115FF" w:rsidRPr="00F65CC5">
        <w:rPr>
          <w:rFonts w:asciiTheme="minorHAnsi" w:hAnsiTheme="minorHAnsi" w:cstheme="minorHAnsi"/>
        </w:rPr>
        <w:t xml:space="preserve"> </w:t>
      </w:r>
      <w:r w:rsidR="0018652F" w:rsidRPr="00F65CC5">
        <w:rPr>
          <w:rFonts w:asciiTheme="minorHAnsi" w:hAnsiTheme="minorHAnsi" w:cstheme="minorHAnsi"/>
        </w:rPr>
        <w:t xml:space="preserve">its </w:t>
      </w:r>
      <w:r w:rsidR="00D115FF" w:rsidRPr="00F65CC5">
        <w:rPr>
          <w:rFonts w:asciiTheme="minorHAnsi" w:hAnsiTheme="minorHAnsi" w:cstheme="minorHAnsi"/>
        </w:rPr>
        <w:t xml:space="preserve">inconsistent </w:t>
      </w:r>
      <w:r w:rsidR="00423FC4" w:rsidRPr="00F65CC5">
        <w:rPr>
          <w:rFonts w:asciiTheme="minorHAnsi" w:hAnsiTheme="minorHAnsi" w:cstheme="minorHAnsi"/>
        </w:rPr>
        <w:t>govern</w:t>
      </w:r>
      <w:r w:rsidR="00D115FF" w:rsidRPr="00F65CC5">
        <w:rPr>
          <w:rFonts w:asciiTheme="minorHAnsi" w:hAnsiTheme="minorHAnsi" w:cstheme="minorHAnsi"/>
        </w:rPr>
        <w:t>ance of</w:t>
      </w:r>
      <w:r w:rsidR="00423FC4" w:rsidRPr="00F65CC5">
        <w:rPr>
          <w:rFonts w:asciiTheme="minorHAnsi" w:hAnsiTheme="minorHAnsi" w:cstheme="minorHAnsi"/>
        </w:rPr>
        <w:t xml:space="preserve"> withdrawals and </w:t>
      </w:r>
      <w:r w:rsidR="0082196D" w:rsidRPr="00F65CC5">
        <w:rPr>
          <w:rFonts w:asciiTheme="minorHAnsi" w:hAnsiTheme="minorHAnsi" w:cstheme="minorHAnsi"/>
        </w:rPr>
        <w:t xml:space="preserve">treaty </w:t>
      </w:r>
      <w:r w:rsidR="00423FC4" w:rsidRPr="00F65CC5">
        <w:rPr>
          <w:rFonts w:asciiTheme="minorHAnsi" w:hAnsiTheme="minorHAnsi" w:cstheme="minorHAnsi"/>
        </w:rPr>
        <w:t>reservations</w:t>
      </w:r>
      <w:r w:rsidR="00D115FF" w:rsidRPr="00F65CC5">
        <w:rPr>
          <w:rFonts w:asciiTheme="minorHAnsi" w:hAnsiTheme="minorHAnsi" w:cstheme="minorHAnsi"/>
        </w:rPr>
        <w:t xml:space="preserve"> in their interviews</w:t>
      </w:r>
      <w:r w:rsidR="00423FC4" w:rsidRPr="00F65CC5">
        <w:rPr>
          <w:rFonts w:asciiTheme="minorHAnsi" w:hAnsiTheme="minorHAnsi" w:cstheme="minorHAnsi"/>
        </w:rPr>
        <w:t>.</w:t>
      </w:r>
      <w:r w:rsidR="0079542B" w:rsidRPr="00F65CC5">
        <w:rPr>
          <w:rStyle w:val="FootnoteReference"/>
          <w:rFonts w:asciiTheme="minorHAnsi" w:hAnsiTheme="minorHAnsi" w:cstheme="minorHAnsi"/>
        </w:rPr>
        <w:footnoteReference w:id="121"/>
      </w:r>
      <w:r w:rsidR="00423FC4" w:rsidRPr="00F65CC5">
        <w:rPr>
          <w:rFonts w:asciiTheme="minorHAnsi" w:hAnsiTheme="minorHAnsi" w:cstheme="minorHAnsi"/>
        </w:rPr>
        <w:t xml:space="preserve"> </w:t>
      </w:r>
      <w:r w:rsidR="00D115FF" w:rsidRPr="00F65CC5">
        <w:rPr>
          <w:rFonts w:asciiTheme="minorHAnsi" w:hAnsiTheme="minorHAnsi" w:cstheme="minorHAnsi"/>
        </w:rPr>
        <w:t xml:space="preserve">They pointed out </w:t>
      </w:r>
      <w:r w:rsidR="00694F46" w:rsidRPr="00F65CC5">
        <w:rPr>
          <w:rFonts w:asciiTheme="minorHAnsi" w:hAnsiTheme="minorHAnsi" w:cstheme="minorHAnsi"/>
        </w:rPr>
        <w:t>the</w:t>
      </w:r>
      <w:r w:rsidR="00D440C3" w:rsidRPr="00F65CC5">
        <w:rPr>
          <w:rFonts w:asciiTheme="minorHAnsi" w:hAnsiTheme="minorHAnsi" w:cstheme="minorHAnsi"/>
        </w:rPr>
        <w:t xml:space="preserve"> Venice Commission</w:t>
      </w:r>
      <w:r w:rsidR="000172B3" w:rsidRPr="00F65CC5">
        <w:rPr>
          <w:rFonts w:asciiTheme="minorHAnsi" w:hAnsiTheme="minorHAnsi" w:cstheme="minorHAnsi"/>
        </w:rPr>
        <w:t>’s</w:t>
      </w:r>
      <w:r w:rsidR="00D440C3" w:rsidRPr="00F65CC5">
        <w:rPr>
          <w:rFonts w:asciiTheme="minorHAnsi" w:hAnsiTheme="minorHAnsi" w:cstheme="minorHAnsi"/>
        </w:rPr>
        <w:t xml:space="preserve"> </w:t>
      </w:r>
      <w:r w:rsidR="009F1B62" w:rsidRPr="00F65CC5">
        <w:rPr>
          <w:rFonts w:asciiTheme="minorHAnsi" w:hAnsiTheme="minorHAnsi" w:cstheme="minorHAnsi"/>
        </w:rPr>
        <w:t>immediate approval</w:t>
      </w:r>
      <w:r w:rsidR="000172B3" w:rsidRPr="00F65CC5">
        <w:rPr>
          <w:rFonts w:asciiTheme="minorHAnsi" w:hAnsiTheme="minorHAnsi" w:cstheme="minorHAnsi"/>
        </w:rPr>
        <w:t xml:space="preserve"> </w:t>
      </w:r>
      <w:r w:rsidR="009F1B62" w:rsidRPr="00F65CC5">
        <w:rPr>
          <w:rFonts w:asciiTheme="minorHAnsi" w:hAnsiTheme="minorHAnsi" w:cstheme="minorHAnsi"/>
        </w:rPr>
        <w:t>of</w:t>
      </w:r>
      <w:r w:rsidR="00D440C3" w:rsidRPr="00F65CC5">
        <w:rPr>
          <w:rFonts w:asciiTheme="minorHAnsi" w:hAnsiTheme="minorHAnsi" w:cstheme="minorHAnsi"/>
        </w:rPr>
        <w:t xml:space="preserve"> Erdogan’s decision to withdraw</w:t>
      </w:r>
      <w:r w:rsidR="000172B3" w:rsidRPr="00F65CC5">
        <w:rPr>
          <w:rFonts w:asciiTheme="minorHAnsi" w:hAnsiTheme="minorHAnsi" w:cstheme="minorHAnsi"/>
        </w:rPr>
        <w:t xml:space="preserve"> </w:t>
      </w:r>
      <w:r w:rsidR="009F1B62" w:rsidRPr="00F65CC5">
        <w:rPr>
          <w:rFonts w:asciiTheme="minorHAnsi" w:hAnsiTheme="minorHAnsi" w:cstheme="minorHAnsi"/>
        </w:rPr>
        <w:t>without waiting for the outcomes of the Court cases brought against that decision.</w:t>
      </w:r>
      <w:r w:rsidRPr="00F65CC5">
        <w:rPr>
          <w:rStyle w:val="FootnoteReference"/>
          <w:rFonts w:asciiTheme="minorHAnsi" w:hAnsiTheme="minorHAnsi" w:cstheme="minorHAnsi"/>
        </w:rPr>
        <w:footnoteReference w:id="122"/>
      </w:r>
      <w:r w:rsidR="009F1B62" w:rsidRPr="00F65CC5">
        <w:rPr>
          <w:rFonts w:asciiTheme="minorHAnsi" w:hAnsiTheme="minorHAnsi" w:cstheme="minorHAnsi"/>
        </w:rPr>
        <w:t xml:space="preserve"> </w:t>
      </w:r>
      <w:r w:rsidRPr="00F65CC5">
        <w:rPr>
          <w:rFonts w:asciiTheme="minorHAnsi" w:hAnsiTheme="minorHAnsi" w:cstheme="minorHAnsi"/>
        </w:rPr>
        <w:t>An interviewee mentioned that the C</w:t>
      </w:r>
      <w:r w:rsidR="000E5168">
        <w:rPr>
          <w:rFonts w:asciiTheme="minorHAnsi" w:hAnsiTheme="minorHAnsi" w:cstheme="minorHAnsi"/>
        </w:rPr>
        <w:t xml:space="preserve">ouncil </w:t>
      </w:r>
      <w:r w:rsidRPr="00F65CC5">
        <w:rPr>
          <w:rFonts w:asciiTheme="minorHAnsi" w:hAnsiTheme="minorHAnsi" w:cstheme="minorHAnsi"/>
        </w:rPr>
        <w:t>o</w:t>
      </w:r>
      <w:r w:rsidR="000E5168">
        <w:rPr>
          <w:rFonts w:asciiTheme="minorHAnsi" w:hAnsiTheme="minorHAnsi" w:cstheme="minorHAnsi"/>
        </w:rPr>
        <w:t xml:space="preserve">f </w:t>
      </w:r>
      <w:r w:rsidRPr="00F65CC5">
        <w:rPr>
          <w:rFonts w:asciiTheme="minorHAnsi" w:hAnsiTheme="minorHAnsi" w:cstheme="minorHAnsi"/>
        </w:rPr>
        <w:t>E</w:t>
      </w:r>
      <w:r w:rsidR="000E5168">
        <w:rPr>
          <w:rFonts w:asciiTheme="minorHAnsi" w:hAnsiTheme="minorHAnsi" w:cstheme="minorHAnsi"/>
        </w:rPr>
        <w:t>urope</w:t>
      </w:r>
      <w:r w:rsidRPr="00F65CC5">
        <w:rPr>
          <w:rFonts w:asciiTheme="minorHAnsi" w:hAnsiTheme="minorHAnsi" w:cstheme="minorHAnsi"/>
        </w:rPr>
        <w:t xml:space="preserve"> recorded that the withdrawal decision was valid from 1 July 2021</w:t>
      </w:r>
      <w:r w:rsidR="00F16D31">
        <w:rPr>
          <w:rFonts w:asciiTheme="minorHAnsi" w:hAnsiTheme="minorHAnsi" w:cstheme="minorHAnsi"/>
        </w:rPr>
        <w:t>,</w:t>
      </w:r>
      <w:r w:rsidRPr="00F65CC5">
        <w:rPr>
          <w:rFonts w:asciiTheme="minorHAnsi" w:hAnsiTheme="minorHAnsi" w:cstheme="minorHAnsi"/>
        </w:rPr>
        <w:t xml:space="preserve"> </w:t>
      </w:r>
      <w:r w:rsidR="00EA2DF9" w:rsidRPr="00F65CC5">
        <w:rPr>
          <w:rFonts w:asciiTheme="minorHAnsi" w:hAnsiTheme="minorHAnsi" w:cstheme="minorHAnsi"/>
        </w:rPr>
        <w:t>while</w:t>
      </w:r>
      <w:r w:rsidRPr="00F65CC5">
        <w:rPr>
          <w:rFonts w:asciiTheme="minorHAnsi" w:hAnsiTheme="minorHAnsi" w:cstheme="minorHAnsi"/>
        </w:rPr>
        <w:t xml:space="preserve"> the first hearing </w:t>
      </w:r>
      <w:r w:rsidR="00D050AB" w:rsidRPr="00F65CC5">
        <w:rPr>
          <w:rFonts w:asciiTheme="minorHAnsi" w:hAnsiTheme="minorHAnsi" w:cstheme="minorHAnsi"/>
        </w:rPr>
        <w:t xml:space="preserve">only </w:t>
      </w:r>
      <w:r w:rsidRPr="00F65CC5">
        <w:rPr>
          <w:rFonts w:asciiTheme="minorHAnsi" w:hAnsiTheme="minorHAnsi" w:cstheme="minorHAnsi"/>
        </w:rPr>
        <w:t xml:space="preserve">took place in </w:t>
      </w:r>
      <w:r w:rsidR="00E87FC9" w:rsidRPr="00F65CC5">
        <w:rPr>
          <w:rFonts w:asciiTheme="minorHAnsi" w:hAnsiTheme="minorHAnsi" w:cstheme="minorHAnsi"/>
        </w:rPr>
        <w:t xml:space="preserve">April </w:t>
      </w:r>
      <w:r w:rsidRPr="00F65CC5">
        <w:rPr>
          <w:rFonts w:asciiTheme="minorHAnsi" w:hAnsiTheme="minorHAnsi" w:cstheme="minorHAnsi"/>
        </w:rPr>
        <w:t>2022.</w:t>
      </w:r>
      <w:r w:rsidRPr="00F65CC5">
        <w:rPr>
          <w:rStyle w:val="FootnoteReference"/>
          <w:rFonts w:asciiTheme="minorHAnsi" w:hAnsiTheme="minorHAnsi" w:cstheme="minorHAnsi"/>
        </w:rPr>
        <w:footnoteReference w:id="123"/>
      </w:r>
      <w:r w:rsidRPr="00F65CC5">
        <w:rPr>
          <w:rFonts w:asciiTheme="minorHAnsi" w:hAnsiTheme="minorHAnsi" w:cstheme="minorHAnsi"/>
        </w:rPr>
        <w:t xml:space="preserve"> </w:t>
      </w:r>
      <w:r w:rsidR="009F1B62" w:rsidRPr="00F65CC5">
        <w:rPr>
          <w:rFonts w:asciiTheme="minorHAnsi" w:hAnsiTheme="minorHAnsi" w:cstheme="minorHAnsi"/>
        </w:rPr>
        <w:t>The vertical legality of State-centric international law might not even recognise judicial legal spaces such as courts.</w:t>
      </w:r>
      <w:r w:rsidR="00DC0993" w:rsidRPr="00F65CC5">
        <w:rPr>
          <w:rStyle w:val="FootnoteReference"/>
          <w:rFonts w:asciiTheme="minorHAnsi" w:hAnsiTheme="minorHAnsi" w:cstheme="minorHAnsi"/>
        </w:rPr>
        <w:footnoteReference w:id="124"/>
      </w:r>
      <w:r w:rsidR="009F1B62" w:rsidRPr="00F65CC5">
        <w:rPr>
          <w:rFonts w:asciiTheme="minorHAnsi" w:hAnsiTheme="minorHAnsi" w:cstheme="minorHAnsi"/>
        </w:rPr>
        <w:t xml:space="preserve"> By not questioning the undemocratic constitutional arrangements and outcome of the </w:t>
      </w:r>
      <w:r w:rsidR="00657382">
        <w:rPr>
          <w:rFonts w:asciiTheme="minorHAnsi" w:hAnsiTheme="minorHAnsi" w:cstheme="minorHAnsi"/>
        </w:rPr>
        <w:t>c</w:t>
      </w:r>
      <w:r w:rsidR="009F1B62" w:rsidRPr="00F65CC5">
        <w:rPr>
          <w:rFonts w:asciiTheme="minorHAnsi" w:hAnsiTheme="minorHAnsi" w:cstheme="minorHAnsi"/>
        </w:rPr>
        <w:t xml:space="preserve">ourt cases, they legitimised the withdrawal decision </w:t>
      </w:r>
      <w:r w:rsidR="00E65A24" w:rsidRPr="00F65CC5">
        <w:rPr>
          <w:rFonts w:asciiTheme="minorHAnsi" w:hAnsiTheme="minorHAnsi" w:cstheme="minorHAnsi"/>
        </w:rPr>
        <w:t>although it was still a matter of judicial review</w:t>
      </w:r>
      <w:r w:rsidR="009F1B62" w:rsidRPr="00F65CC5">
        <w:rPr>
          <w:rFonts w:asciiTheme="minorHAnsi" w:hAnsiTheme="minorHAnsi" w:cstheme="minorHAnsi"/>
        </w:rPr>
        <w:t>.</w:t>
      </w:r>
      <w:r w:rsidR="009F1B62" w:rsidRPr="00F65CC5">
        <w:rPr>
          <w:rStyle w:val="FootnoteReference"/>
          <w:rFonts w:asciiTheme="minorHAnsi" w:hAnsiTheme="minorHAnsi" w:cstheme="minorHAnsi"/>
        </w:rPr>
        <w:footnoteReference w:id="125"/>
      </w:r>
      <w:r w:rsidR="009F1B62" w:rsidRPr="00F65CC5">
        <w:rPr>
          <w:rFonts w:asciiTheme="minorHAnsi" w:hAnsiTheme="minorHAnsi" w:cstheme="minorHAnsi"/>
        </w:rPr>
        <w:t xml:space="preserve"> </w:t>
      </w:r>
      <w:r w:rsidR="00901994" w:rsidRPr="00F65CC5">
        <w:rPr>
          <w:rFonts w:asciiTheme="minorHAnsi" w:hAnsiTheme="minorHAnsi" w:cstheme="minorHAnsi"/>
        </w:rPr>
        <w:t xml:space="preserve">The Venice Commission of the </w:t>
      </w:r>
      <w:r w:rsidR="00CD1D0B" w:rsidRPr="00F65CC5">
        <w:rPr>
          <w:rFonts w:asciiTheme="minorHAnsi" w:hAnsiTheme="minorHAnsi" w:cstheme="minorHAnsi"/>
        </w:rPr>
        <w:t>C</w:t>
      </w:r>
      <w:r w:rsidR="00901994" w:rsidRPr="00F65CC5">
        <w:rPr>
          <w:rFonts w:asciiTheme="minorHAnsi" w:hAnsiTheme="minorHAnsi" w:cstheme="minorHAnsi"/>
        </w:rPr>
        <w:t xml:space="preserve">ouncil of Europe </w:t>
      </w:r>
      <w:r w:rsidR="00051D18" w:rsidRPr="00F65CC5">
        <w:rPr>
          <w:rFonts w:asciiTheme="minorHAnsi" w:hAnsiTheme="minorHAnsi" w:cstheme="minorHAnsi"/>
        </w:rPr>
        <w:t xml:space="preserve">adopted a lenient approach to withdrawals from </w:t>
      </w:r>
      <w:r w:rsidR="00CD1D0B" w:rsidRPr="00F65CC5">
        <w:rPr>
          <w:rFonts w:asciiTheme="minorHAnsi" w:hAnsiTheme="minorHAnsi" w:cstheme="minorHAnsi"/>
        </w:rPr>
        <w:t>its</w:t>
      </w:r>
      <w:r w:rsidR="00051D18" w:rsidRPr="00F65CC5">
        <w:rPr>
          <w:rFonts w:asciiTheme="minorHAnsi" w:hAnsiTheme="minorHAnsi" w:cstheme="minorHAnsi"/>
        </w:rPr>
        <w:t xml:space="preserve"> conventions</w:t>
      </w:r>
      <w:r w:rsidR="006442D7" w:rsidRPr="00F65CC5">
        <w:rPr>
          <w:rFonts w:asciiTheme="minorHAnsi" w:hAnsiTheme="minorHAnsi" w:cstheme="minorHAnsi"/>
        </w:rPr>
        <w:t xml:space="preserve">. </w:t>
      </w:r>
      <w:r w:rsidR="004C32F1" w:rsidRPr="00F65CC5">
        <w:rPr>
          <w:rFonts w:asciiTheme="minorHAnsi" w:hAnsiTheme="minorHAnsi" w:cstheme="minorHAnsi"/>
        </w:rPr>
        <w:t xml:space="preserve">As mentioned above, </w:t>
      </w:r>
      <w:r w:rsidR="002F4663">
        <w:rPr>
          <w:rFonts w:asciiTheme="minorHAnsi" w:hAnsiTheme="minorHAnsi" w:cstheme="minorHAnsi"/>
        </w:rPr>
        <w:t xml:space="preserve">the </w:t>
      </w:r>
      <w:r w:rsidR="004C32F1" w:rsidRPr="00F65CC5">
        <w:rPr>
          <w:rFonts w:asciiTheme="minorHAnsi" w:hAnsiTheme="minorHAnsi" w:cstheme="minorHAnsi"/>
        </w:rPr>
        <w:t xml:space="preserve">Istanbul Convention is a site of </w:t>
      </w:r>
      <w:r w:rsidR="00E73655" w:rsidRPr="00F65CC5">
        <w:rPr>
          <w:rFonts w:asciiTheme="minorHAnsi" w:hAnsiTheme="minorHAnsi" w:cstheme="minorHAnsi"/>
        </w:rPr>
        <w:t>feminist co</w:t>
      </w:r>
      <w:r w:rsidR="00290D4B">
        <w:rPr>
          <w:rFonts w:asciiTheme="minorHAnsi" w:hAnsiTheme="minorHAnsi" w:cstheme="minorHAnsi"/>
        </w:rPr>
        <w:t>nflict</w:t>
      </w:r>
      <w:r w:rsidR="00E73655" w:rsidRPr="00F65CC5">
        <w:rPr>
          <w:rFonts w:asciiTheme="minorHAnsi" w:hAnsiTheme="minorHAnsi" w:cstheme="minorHAnsi"/>
        </w:rPr>
        <w:t xml:space="preserve"> within several other C</w:t>
      </w:r>
      <w:r w:rsidR="00290D4B">
        <w:rPr>
          <w:rFonts w:asciiTheme="minorHAnsi" w:hAnsiTheme="minorHAnsi" w:cstheme="minorHAnsi"/>
        </w:rPr>
        <w:t xml:space="preserve">ouncil </w:t>
      </w:r>
      <w:r w:rsidR="00E73655" w:rsidRPr="00F65CC5">
        <w:rPr>
          <w:rFonts w:asciiTheme="minorHAnsi" w:hAnsiTheme="minorHAnsi" w:cstheme="minorHAnsi"/>
        </w:rPr>
        <w:t>o</w:t>
      </w:r>
      <w:r w:rsidR="00290D4B">
        <w:rPr>
          <w:rFonts w:asciiTheme="minorHAnsi" w:hAnsiTheme="minorHAnsi" w:cstheme="minorHAnsi"/>
        </w:rPr>
        <w:t xml:space="preserve">f </w:t>
      </w:r>
      <w:r w:rsidR="00E73655" w:rsidRPr="00F65CC5">
        <w:rPr>
          <w:rFonts w:asciiTheme="minorHAnsi" w:hAnsiTheme="minorHAnsi" w:cstheme="minorHAnsi"/>
        </w:rPr>
        <w:t>E</w:t>
      </w:r>
      <w:r w:rsidR="00290D4B">
        <w:rPr>
          <w:rFonts w:asciiTheme="minorHAnsi" w:hAnsiTheme="minorHAnsi" w:cstheme="minorHAnsi"/>
        </w:rPr>
        <w:t>urope</w:t>
      </w:r>
      <w:r w:rsidR="00E73655" w:rsidRPr="00F65CC5">
        <w:rPr>
          <w:rFonts w:asciiTheme="minorHAnsi" w:hAnsiTheme="minorHAnsi" w:cstheme="minorHAnsi"/>
        </w:rPr>
        <w:t xml:space="preserve"> countries. By choosing to follow </w:t>
      </w:r>
      <w:r w:rsidR="008679A9" w:rsidRPr="00F65CC5">
        <w:rPr>
          <w:rFonts w:asciiTheme="minorHAnsi" w:hAnsiTheme="minorHAnsi" w:cstheme="minorHAnsi"/>
        </w:rPr>
        <w:t>strictly vertical</w:t>
      </w:r>
      <w:r w:rsidR="00E73655" w:rsidRPr="00F65CC5">
        <w:rPr>
          <w:rFonts w:asciiTheme="minorHAnsi" w:hAnsiTheme="minorHAnsi" w:cstheme="minorHAnsi"/>
        </w:rPr>
        <w:t xml:space="preserve"> </w:t>
      </w:r>
      <w:r w:rsidR="00E73655" w:rsidRPr="00F65CC5">
        <w:rPr>
          <w:rFonts w:asciiTheme="minorHAnsi" w:hAnsiTheme="minorHAnsi" w:cstheme="minorHAnsi"/>
        </w:rPr>
        <w:lastRenderedPageBreak/>
        <w:t>interpretation</w:t>
      </w:r>
      <w:r w:rsidR="00D670E1" w:rsidRPr="00F65CC5">
        <w:rPr>
          <w:rFonts w:asciiTheme="minorHAnsi" w:hAnsiTheme="minorHAnsi" w:cstheme="minorHAnsi"/>
        </w:rPr>
        <w:t>s</w:t>
      </w:r>
      <w:r w:rsidR="00E73655" w:rsidRPr="00F65CC5">
        <w:rPr>
          <w:rFonts w:asciiTheme="minorHAnsi" w:hAnsiTheme="minorHAnsi" w:cstheme="minorHAnsi"/>
        </w:rPr>
        <w:t xml:space="preserve"> of international law, the Venice Commission </w:t>
      </w:r>
      <w:r w:rsidR="00507A2B" w:rsidRPr="00F65CC5">
        <w:rPr>
          <w:rFonts w:asciiTheme="minorHAnsi" w:hAnsiTheme="minorHAnsi" w:cstheme="minorHAnsi"/>
        </w:rPr>
        <w:t>chose to be an observer of State behaviour.</w:t>
      </w:r>
      <w:r w:rsidR="002874F3" w:rsidRPr="00F65CC5">
        <w:rPr>
          <w:rStyle w:val="FootnoteReference"/>
          <w:rFonts w:asciiTheme="minorHAnsi" w:hAnsiTheme="minorHAnsi" w:cstheme="minorHAnsi"/>
        </w:rPr>
        <w:footnoteReference w:id="126"/>
      </w:r>
      <w:r w:rsidR="00507A2B" w:rsidRPr="00F65CC5">
        <w:rPr>
          <w:rFonts w:asciiTheme="minorHAnsi" w:hAnsiTheme="minorHAnsi" w:cstheme="minorHAnsi"/>
        </w:rPr>
        <w:t xml:space="preserve"> </w:t>
      </w:r>
      <w:r w:rsidR="00BF1757" w:rsidRPr="00F65CC5">
        <w:rPr>
          <w:rFonts w:asciiTheme="minorHAnsi" w:hAnsiTheme="minorHAnsi" w:cstheme="minorHAnsi"/>
        </w:rPr>
        <w:t xml:space="preserve">One of the interviewees </w:t>
      </w:r>
      <w:r w:rsidR="00B54C9B" w:rsidRPr="00F65CC5">
        <w:rPr>
          <w:rFonts w:asciiTheme="minorHAnsi" w:hAnsiTheme="minorHAnsi" w:cstheme="minorHAnsi"/>
        </w:rPr>
        <w:t>mentioned their call to the Council of Europe</w:t>
      </w:r>
      <w:r w:rsidR="00B54C9B" w:rsidRPr="00F65CC5">
        <w:rPr>
          <w:rStyle w:val="FootnoteReference"/>
          <w:rFonts w:asciiTheme="minorHAnsi" w:hAnsiTheme="minorHAnsi" w:cstheme="minorHAnsi"/>
        </w:rPr>
        <w:footnoteReference w:id="127"/>
      </w:r>
      <w:r w:rsidR="00B54C9B" w:rsidRPr="00F65CC5">
        <w:rPr>
          <w:rFonts w:asciiTheme="minorHAnsi" w:hAnsiTheme="minorHAnsi" w:cstheme="minorHAnsi"/>
        </w:rPr>
        <w:t xml:space="preserve"> and </w:t>
      </w:r>
      <w:r w:rsidR="00BF1757" w:rsidRPr="00F65CC5">
        <w:rPr>
          <w:rFonts w:asciiTheme="minorHAnsi" w:hAnsiTheme="minorHAnsi" w:cstheme="minorHAnsi"/>
        </w:rPr>
        <w:t xml:space="preserve">described </w:t>
      </w:r>
      <w:r w:rsidR="00B54C9B" w:rsidRPr="00F65CC5">
        <w:rPr>
          <w:rFonts w:asciiTheme="minorHAnsi" w:hAnsiTheme="minorHAnsi" w:cstheme="minorHAnsi"/>
        </w:rPr>
        <w:t>their</w:t>
      </w:r>
      <w:r w:rsidR="008E03BA" w:rsidRPr="00F65CC5">
        <w:rPr>
          <w:rFonts w:asciiTheme="minorHAnsi" w:hAnsiTheme="minorHAnsi" w:cstheme="minorHAnsi"/>
        </w:rPr>
        <w:t xml:space="preserve"> reaction</w:t>
      </w:r>
      <w:r w:rsidR="00D670E1" w:rsidRPr="00F65CC5">
        <w:rPr>
          <w:rFonts w:asciiTheme="minorHAnsi" w:hAnsiTheme="minorHAnsi" w:cstheme="minorHAnsi"/>
        </w:rPr>
        <w:t>,</w:t>
      </w:r>
      <w:r w:rsidR="00B54C9B" w:rsidRPr="00F65CC5">
        <w:rPr>
          <w:rFonts w:asciiTheme="minorHAnsi" w:hAnsiTheme="minorHAnsi" w:cstheme="minorHAnsi"/>
        </w:rPr>
        <w:t xml:space="preserve"> especially the Venice </w:t>
      </w:r>
      <w:r w:rsidR="00BF1757" w:rsidRPr="00F65CC5">
        <w:rPr>
          <w:rFonts w:asciiTheme="minorHAnsi" w:hAnsiTheme="minorHAnsi" w:cstheme="minorHAnsi"/>
        </w:rPr>
        <w:t>Commission’s engagement</w:t>
      </w:r>
      <w:r w:rsidRPr="00F65CC5">
        <w:rPr>
          <w:rFonts w:asciiTheme="minorHAnsi" w:hAnsiTheme="minorHAnsi" w:cstheme="minorHAnsi"/>
        </w:rPr>
        <w:t xml:space="preserve"> with the Istanbul Convention</w:t>
      </w:r>
      <w:r w:rsidR="008E03BA" w:rsidRPr="00F65CC5">
        <w:rPr>
          <w:rFonts w:asciiTheme="minorHAnsi" w:hAnsiTheme="minorHAnsi" w:cstheme="minorHAnsi"/>
        </w:rPr>
        <w:t>’s withdrawal by T</w:t>
      </w:r>
      <w:r w:rsidR="00F3133E" w:rsidRPr="00F65CC5">
        <w:rPr>
          <w:rFonts w:asciiTheme="minorHAnsi" w:hAnsiTheme="minorHAnsi" w:cstheme="minorHAnsi"/>
          <w:lang w:val="tr-TR"/>
        </w:rPr>
        <w:t>ü</w:t>
      </w:r>
      <w:proofErr w:type="spellStart"/>
      <w:r w:rsidR="008E03BA" w:rsidRPr="00F65CC5">
        <w:rPr>
          <w:rFonts w:asciiTheme="minorHAnsi" w:hAnsiTheme="minorHAnsi" w:cstheme="minorHAnsi"/>
        </w:rPr>
        <w:t>rkiye</w:t>
      </w:r>
      <w:proofErr w:type="spellEnd"/>
      <w:r w:rsidR="00D670E1" w:rsidRPr="00F65CC5">
        <w:rPr>
          <w:rFonts w:asciiTheme="minorHAnsi" w:hAnsiTheme="minorHAnsi" w:cstheme="minorHAnsi"/>
        </w:rPr>
        <w:t>,</w:t>
      </w:r>
      <w:r w:rsidR="00BF1757" w:rsidRPr="00F65CC5">
        <w:rPr>
          <w:rFonts w:asciiTheme="minorHAnsi" w:hAnsiTheme="minorHAnsi" w:cstheme="minorHAnsi"/>
        </w:rPr>
        <w:t xml:space="preserve"> as ‘</w:t>
      </w:r>
      <w:r w:rsidR="0082196D" w:rsidRPr="00F65CC5">
        <w:rPr>
          <w:rFonts w:asciiTheme="minorHAnsi" w:hAnsiTheme="minorHAnsi" w:cstheme="minorHAnsi"/>
        </w:rPr>
        <w:t>shallow</w:t>
      </w:r>
      <w:r w:rsidR="00BF1757" w:rsidRPr="00F65CC5">
        <w:rPr>
          <w:rFonts w:asciiTheme="minorHAnsi" w:hAnsiTheme="minorHAnsi" w:cstheme="minorHAnsi"/>
        </w:rPr>
        <w:t>’.</w:t>
      </w:r>
      <w:r w:rsidR="00BF1757" w:rsidRPr="00F65CC5">
        <w:rPr>
          <w:rStyle w:val="FootnoteReference"/>
          <w:rFonts w:asciiTheme="minorHAnsi" w:hAnsiTheme="minorHAnsi" w:cstheme="minorHAnsi"/>
        </w:rPr>
        <w:footnoteReference w:id="128"/>
      </w:r>
      <w:r w:rsidR="00BF1757" w:rsidRPr="00F65CC5">
        <w:rPr>
          <w:rFonts w:asciiTheme="minorHAnsi" w:hAnsiTheme="minorHAnsi" w:cstheme="minorHAnsi"/>
        </w:rPr>
        <w:t xml:space="preserve"> </w:t>
      </w:r>
      <w:r w:rsidR="00CD1D0B" w:rsidRPr="00F65CC5">
        <w:rPr>
          <w:rFonts w:asciiTheme="minorHAnsi" w:hAnsiTheme="minorHAnsi" w:cstheme="minorHAnsi"/>
        </w:rPr>
        <w:t>According to them, the</w:t>
      </w:r>
      <w:r w:rsidR="00E65A24" w:rsidRPr="00F65CC5">
        <w:rPr>
          <w:rFonts w:asciiTheme="minorHAnsi" w:hAnsiTheme="minorHAnsi" w:cstheme="minorHAnsi"/>
        </w:rPr>
        <w:t xml:space="preserve"> Venice Commission performed a flat, vertical spatiality of law where even within the </w:t>
      </w:r>
      <w:r w:rsidR="00AC3BDC" w:rsidRPr="00F65CC5">
        <w:rPr>
          <w:rFonts w:asciiTheme="minorHAnsi" w:hAnsiTheme="minorHAnsi" w:cstheme="minorHAnsi"/>
        </w:rPr>
        <w:t xml:space="preserve">limits of this </w:t>
      </w:r>
      <w:r w:rsidR="00CD1D0B" w:rsidRPr="00F65CC5">
        <w:rPr>
          <w:rFonts w:asciiTheme="minorHAnsi" w:hAnsiTheme="minorHAnsi" w:cstheme="minorHAnsi"/>
        </w:rPr>
        <w:t>State-centric space</w:t>
      </w:r>
      <w:r w:rsidR="00AC3BDC" w:rsidRPr="00F65CC5">
        <w:rPr>
          <w:rFonts w:asciiTheme="minorHAnsi" w:hAnsiTheme="minorHAnsi" w:cstheme="minorHAnsi"/>
        </w:rPr>
        <w:t xml:space="preserve"> another interpretation was an option</w:t>
      </w:r>
      <w:r w:rsidR="006064B5">
        <w:rPr>
          <w:rFonts w:asciiTheme="minorHAnsi" w:hAnsiTheme="minorHAnsi" w:cstheme="minorHAnsi"/>
        </w:rPr>
        <w:t>,</w:t>
      </w:r>
      <w:r w:rsidR="00AC3BDC" w:rsidRPr="00F65CC5">
        <w:rPr>
          <w:rFonts w:asciiTheme="minorHAnsi" w:hAnsiTheme="minorHAnsi" w:cstheme="minorHAnsi"/>
        </w:rPr>
        <w:t xml:space="preserve"> as discussed by Başak </w:t>
      </w:r>
      <w:proofErr w:type="spellStart"/>
      <w:r w:rsidR="00AC3BDC" w:rsidRPr="00F65CC5">
        <w:rPr>
          <w:rFonts w:asciiTheme="minorHAnsi" w:hAnsiTheme="minorHAnsi" w:cstheme="minorHAnsi"/>
        </w:rPr>
        <w:t>Çal</w:t>
      </w:r>
      <w:r w:rsidR="00675E42" w:rsidRPr="00F65CC5">
        <w:rPr>
          <w:rFonts w:asciiTheme="minorHAnsi" w:hAnsiTheme="minorHAnsi" w:cstheme="minorHAnsi"/>
        </w:rPr>
        <w:t>ı</w:t>
      </w:r>
      <w:proofErr w:type="spellEnd"/>
      <w:r w:rsidR="00AC3BDC" w:rsidRPr="00F65CC5">
        <w:rPr>
          <w:rFonts w:asciiTheme="minorHAnsi" w:hAnsiTheme="minorHAnsi" w:cstheme="minorHAnsi"/>
        </w:rPr>
        <w:t xml:space="preserve"> and Laurence Helfer</w:t>
      </w:r>
      <w:r w:rsidR="00E65A24" w:rsidRPr="00F65CC5">
        <w:rPr>
          <w:rFonts w:asciiTheme="minorHAnsi" w:hAnsiTheme="minorHAnsi" w:cstheme="minorHAnsi"/>
        </w:rPr>
        <w:t>.</w:t>
      </w:r>
      <w:r w:rsidR="00AC3BDC" w:rsidRPr="00F65CC5">
        <w:rPr>
          <w:rStyle w:val="FootnoteReference"/>
          <w:rFonts w:asciiTheme="minorHAnsi" w:hAnsiTheme="minorHAnsi" w:cstheme="minorHAnsi"/>
        </w:rPr>
        <w:footnoteReference w:id="129"/>
      </w:r>
      <w:r w:rsidR="00C30BAA" w:rsidRPr="00F65CC5">
        <w:rPr>
          <w:rFonts w:asciiTheme="minorHAnsi" w:hAnsiTheme="minorHAnsi" w:cstheme="minorHAnsi"/>
        </w:rPr>
        <w:t xml:space="preserve"> They argue</w:t>
      </w:r>
      <w:r w:rsidR="00FB7FC6" w:rsidRPr="00F65CC5">
        <w:rPr>
          <w:rFonts w:asciiTheme="minorHAnsi" w:hAnsiTheme="minorHAnsi" w:cstheme="minorHAnsi"/>
        </w:rPr>
        <w:t>d</w:t>
      </w:r>
      <w:r w:rsidR="00C30BAA" w:rsidRPr="00F65CC5">
        <w:rPr>
          <w:rFonts w:asciiTheme="minorHAnsi" w:hAnsiTheme="minorHAnsi" w:cstheme="minorHAnsi"/>
        </w:rPr>
        <w:t xml:space="preserve"> that it is possible to </w:t>
      </w:r>
      <w:r w:rsidR="00437C35" w:rsidRPr="00F65CC5">
        <w:rPr>
          <w:rFonts w:asciiTheme="minorHAnsi" w:hAnsiTheme="minorHAnsi" w:cstheme="minorHAnsi"/>
        </w:rPr>
        <w:t>impose a special procedure for</w:t>
      </w:r>
      <w:r w:rsidR="00C30BAA" w:rsidRPr="00F65CC5">
        <w:rPr>
          <w:rFonts w:asciiTheme="minorHAnsi" w:hAnsiTheme="minorHAnsi" w:cstheme="minorHAnsi"/>
        </w:rPr>
        <w:t xml:space="preserve"> withdrawals from Conventions about human rights and gender</w:t>
      </w:r>
      <w:r w:rsidR="00437C35" w:rsidRPr="00F65CC5">
        <w:rPr>
          <w:rFonts w:asciiTheme="minorHAnsi" w:hAnsiTheme="minorHAnsi" w:cstheme="minorHAnsi"/>
        </w:rPr>
        <w:t xml:space="preserve"> </w:t>
      </w:r>
      <w:r w:rsidR="00C30BAA" w:rsidRPr="00F65CC5">
        <w:rPr>
          <w:rFonts w:asciiTheme="minorHAnsi" w:hAnsiTheme="minorHAnsi" w:cstheme="minorHAnsi"/>
        </w:rPr>
        <w:t xml:space="preserve">in international law </w:t>
      </w:r>
      <w:r w:rsidR="00CD1D0B" w:rsidRPr="00F65CC5">
        <w:rPr>
          <w:rFonts w:asciiTheme="minorHAnsi" w:hAnsiTheme="minorHAnsi" w:cstheme="minorHAnsi"/>
        </w:rPr>
        <w:t xml:space="preserve">as </w:t>
      </w:r>
      <w:r w:rsidR="00437C35" w:rsidRPr="00F65CC5">
        <w:rPr>
          <w:rFonts w:asciiTheme="minorHAnsi" w:hAnsiTheme="minorHAnsi" w:cstheme="minorHAnsi"/>
        </w:rPr>
        <w:t>laid out in</w:t>
      </w:r>
      <w:r w:rsidR="00E83CF9" w:rsidRPr="00F65CC5">
        <w:rPr>
          <w:rFonts w:asciiTheme="minorHAnsi" w:hAnsiTheme="minorHAnsi" w:cstheme="minorHAnsi"/>
        </w:rPr>
        <w:t xml:space="preserve"> the</w:t>
      </w:r>
      <w:r w:rsidR="00CB3720" w:rsidRPr="00F65CC5">
        <w:rPr>
          <w:rFonts w:asciiTheme="minorHAnsi" w:hAnsiTheme="minorHAnsi" w:cstheme="minorHAnsi"/>
        </w:rPr>
        <w:t xml:space="preserve"> Inter-American Court of Human Rights</w:t>
      </w:r>
      <w:r w:rsidR="00F2158D">
        <w:rPr>
          <w:rFonts w:asciiTheme="minorHAnsi" w:hAnsiTheme="minorHAnsi" w:cstheme="minorHAnsi"/>
        </w:rPr>
        <w:t xml:space="preserve"> </w:t>
      </w:r>
      <w:r w:rsidR="00CB3720" w:rsidRPr="00F65CC5">
        <w:rPr>
          <w:rFonts w:asciiTheme="minorHAnsi" w:hAnsiTheme="minorHAnsi" w:cstheme="minorHAnsi"/>
        </w:rPr>
        <w:t>(</w:t>
      </w:r>
      <w:r w:rsidR="00437C35" w:rsidRPr="00F65CC5">
        <w:rPr>
          <w:rFonts w:asciiTheme="minorHAnsi" w:hAnsiTheme="minorHAnsi" w:cstheme="minorHAnsi"/>
        </w:rPr>
        <w:t>IACHR</w:t>
      </w:r>
      <w:r w:rsidR="00CB3720" w:rsidRPr="00F65CC5">
        <w:rPr>
          <w:rFonts w:asciiTheme="minorHAnsi" w:hAnsiTheme="minorHAnsi" w:cstheme="minorHAnsi"/>
        </w:rPr>
        <w:t>)</w:t>
      </w:r>
      <w:r w:rsidR="00437C35" w:rsidRPr="00F65CC5">
        <w:rPr>
          <w:rFonts w:asciiTheme="minorHAnsi" w:hAnsiTheme="minorHAnsi" w:cstheme="minorHAnsi"/>
        </w:rPr>
        <w:t xml:space="preserve">’s advisory opinion: </w:t>
      </w:r>
    </w:p>
    <w:p w14:paraId="27158982" w14:textId="77777777" w:rsidR="00437C35" w:rsidRPr="00F65CC5" w:rsidRDefault="00437C35" w:rsidP="007933F6">
      <w:pPr>
        <w:jc w:val="both"/>
        <w:rPr>
          <w:rFonts w:asciiTheme="minorHAnsi" w:hAnsiTheme="minorHAnsi" w:cstheme="minorHAnsi"/>
        </w:rPr>
      </w:pPr>
    </w:p>
    <w:p w14:paraId="659E7C8D" w14:textId="64E5FC03" w:rsidR="0084194B" w:rsidRPr="00F65CC5" w:rsidRDefault="00AC40BB" w:rsidP="007933F6">
      <w:pPr>
        <w:ind w:left="851" w:right="1417"/>
        <w:jc w:val="both"/>
        <w:rPr>
          <w:rFonts w:asciiTheme="minorHAnsi" w:hAnsiTheme="minorHAnsi" w:cstheme="minorHAnsi"/>
        </w:rPr>
      </w:pPr>
      <w:r w:rsidRPr="00F65CC5">
        <w:rPr>
          <w:rFonts w:asciiTheme="minorHAnsi" w:hAnsiTheme="minorHAnsi" w:cstheme="minorHAnsi"/>
        </w:rPr>
        <w:t>64.</w:t>
      </w:r>
      <w:r w:rsidR="00841964" w:rsidRPr="00F65CC5">
        <w:rPr>
          <w:rFonts w:asciiTheme="minorHAnsi" w:hAnsiTheme="minorHAnsi" w:cstheme="minorHAnsi"/>
        </w:rPr>
        <w:t xml:space="preserve"> </w:t>
      </w:r>
      <w:r w:rsidR="00437C35" w:rsidRPr="00F65CC5">
        <w:rPr>
          <w:rFonts w:asciiTheme="minorHAnsi" w:hAnsiTheme="minorHAnsi" w:cstheme="minorHAnsi"/>
        </w:rPr>
        <w:t>The  Court emphasizes  that,</w:t>
      </w:r>
      <w:r w:rsidR="00661638" w:rsidRPr="00F65CC5">
        <w:rPr>
          <w:rFonts w:asciiTheme="minorHAnsi" w:hAnsiTheme="minorHAnsi" w:cstheme="minorHAnsi"/>
        </w:rPr>
        <w:t xml:space="preserve"> </w:t>
      </w:r>
      <w:r w:rsidR="00437C35" w:rsidRPr="00F65CC5">
        <w:rPr>
          <w:rFonts w:asciiTheme="minorHAnsi" w:hAnsiTheme="minorHAnsi" w:cstheme="minorHAnsi"/>
        </w:rPr>
        <w:t>regardless  of the different  domestic procedures  for denouncing treaties</w:t>
      </w:r>
      <w:r w:rsidR="00661638" w:rsidRPr="00F65CC5">
        <w:rPr>
          <w:rFonts w:asciiTheme="minorHAnsi" w:hAnsiTheme="minorHAnsi" w:cstheme="minorHAnsi"/>
        </w:rPr>
        <w:t xml:space="preserve"> </w:t>
      </w:r>
      <w:r w:rsidR="00437C35" w:rsidRPr="00F65CC5">
        <w:rPr>
          <w:rFonts w:asciiTheme="minorHAnsi" w:hAnsiTheme="minorHAnsi" w:cstheme="minorHAnsi"/>
        </w:rPr>
        <w:t>in the region, the denunciation of a human right treaty -</w:t>
      </w:r>
      <w:r w:rsidR="009A751A">
        <w:rPr>
          <w:rFonts w:asciiTheme="minorHAnsi" w:hAnsiTheme="minorHAnsi" w:cstheme="minorHAnsi"/>
        </w:rPr>
        <w:t xml:space="preserve"> </w:t>
      </w:r>
      <w:r w:rsidR="00437C35" w:rsidRPr="00F65CC5">
        <w:rPr>
          <w:rFonts w:asciiTheme="minorHAnsi" w:hAnsiTheme="minorHAnsi" w:cstheme="minorHAnsi"/>
        </w:rPr>
        <w:t>particularly one that  establishes  a  jurisdictional  system  for  the</w:t>
      </w:r>
      <w:r w:rsidR="00661638" w:rsidRPr="00F65CC5">
        <w:rPr>
          <w:rFonts w:asciiTheme="minorHAnsi" w:hAnsiTheme="minorHAnsi" w:cstheme="minorHAnsi"/>
        </w:rPr>
        <w:t xml:space="preserve"> </w:t>
      </w:r>
      <w:r w:rsidR="00437C35" w:rsidRPr="00F65CC5">
        <w:rPr>
          <w:rFonts w:asciiTheme="minorHAnsi" w:hAnsiTheme="minorHAnsi" w:cstheme="minorHAnsi"/>
        </w:rPr>
        <w:t>protection  of  human  rights,</w:t>
      </w:r>
      <w:r w:rsidR="00661638" w:rsidRPr="00F65CC5">
        <w:rPr>
          <w:rFonts w:asciiTheme="minorHAnsi" w:hAnsiTheme="minorHAnsi" w:cstheme="minorHAnsi"/>
        </w:rPr>
        <w:t xml:space="preserve"> </w:t>
      </w:r>
      <w:r w:rsidR="00437C35" w:rsidRPr="00F65CC5">
        <w:rPr>
          <w:rFonts w:asciiTheme="minorHAnsi" w:hAnsiTheme="minorHAnsi" w:cstheme="minorHAnsi"/>
        </w:rPr>
        <w:t>such  as  the American</w:t>
      </w:r>
      <w:r w:rsidR="00661638" w:rsidRPr="00F65CC5">
        <w:rPr>
          <w:rFonts w:asciiTheme="minorHAnsi" w:hAnsiTheme="minorHAnsi" w:cstheme="minorHAnsi"/>
        </w:rPr>
        <w:t xml:space="preserve"> </w:t>
      </w:r>
      <w:r w:rsidR="00437C35" w:rsidRPr="00F65CC5">
        <w:rPr>
          <w:rFonts w:asciiTheme="minorHAnsi" w:hAnsiTheme="minorHAnsi" w:cstheme="minorHAnsi"/>
        </w:rPr>
        <w:t>Convention -</w:t>
      </w:r>
      <w:r w:rsidR="009A751A">
        <w:rPr>
          <w:rFonts w:asciiTheme="minorHAnsi" w:hAnsiTheme="minorHAnsi" w:cstheme="minorHAnsi"/>
        </w:rPr>
        <w:t xml:space="preserve"> </w:t>
      </w:r>
      <w:r w:rsidR="00437C35" w:rsidRPr="00F65CC5">
        <w:rPr>
          <w:rFonts w:asciiTheme="minorHAnsi" w:hAnsiTheme="minorHAnsi" w:cstheme="minorHAnsi"/>
        </w:rPr>
        <w:t>must be subject to a pluralistic, public and transparent debate within the States, as it is a matter of great public interest because it</w:t>
      </w:r>
      <w:r w:rsidR="00661638" w:rsidRPr="00F65CC5">
        <w:rPr>
          <w:rFonts w:asciiTheme="minorHAnsi" w:hAnsiTheme="minorHAnsi" w:cstheme="minorHAnsi"/>
        </w:rPr>
        <w:t xml:space="preserve"> </w:t>
      </w:r>
      <w:r w:rsidR="00437C35" w:rsidRPr="00F65CC5">
        <w:rPr>
          <w:rFonts w:asciiTheme="minorHAnsi" w:hAnsiTheme="minorHAnsi" w:cstheme="minorHAnsi"/>
        </w:rPr>
        <w:t>implies a possible curtailment of rights and, in turn, of access to international justice. In this regard, the Court considers it pertinent to have recourse to the principle of parallelism</w:t>
      </w:r>
      <w:r w:rsidR="00661638" w:rsidRPr="00F65CC5">
        <w:rPr>
          <w:rFonts w:asciiTheme="minorHAnsi" w:hAnsiTheme="minorHAnsi" w:cstheme="minorHAnsi"/>
        </w:rPr>
        <w:t xml:space="preserve"> </w:t>
      </w:r>
      <w:r w:rsidR="00437C35" w:rsidRPr="00F65CC5">
        <w:rPr>
          <w:rFonts w:asciiTheme="minorHAnsi" w:hAnsiTheme="minorHAnsi" w:cstheme="minorHAnsi"/>
        </w:rPr>
        <w:t>of forms, which implies that if a State has established a constitutional procedure for assuming</w:t>
      </w:r>
      <w:r w:rsidR="00661638" w:rsidRPr="00F65CC5">
        <w:rPr>
          <w:rFonts w:asciiTheme="minorHAnsi" w:hAnsiTheme="minorHAnsi" w:cstheme="minorHAnsi"/>
        </w:rPr>
        <w:t xml:space="preserve"> </w:t>
      </w:r>
      <w:r w:rsidR="00437C35" w:rsidRPr="00F65CC5">
        <w:rPr>
          <w:rFonts w:asciiTheme="minorHAnsi" w:hAnsiTheme="minorHAnsi" w:cstheme="minorHAnsi"/>
        </w:rPr>
        <w:t>international obligations it would be appropriate to follow a similar procedure when it seeks</w:t>
      </w:r>
      <w:r w:rsidR="00661638" w:rsidRPr="00F65CC5">
        <w:rPr>
          <w:rFonts w:asciiTheme="minorHAnsi" w:hAnsiTheme="minorHAnsi" w:cstheme="minorHAnsi"/>
        </w:rPr>
        <w:t xml:space="preserve"> </w:t>
      </w:r>
      <w:r w:rsidR="00437C35" w:rsidRPr="00F65CC5">
        <w:rPr>
          <w:rFonts w:asciiTheme="minorHAnsi" w:hAnsiTheme="minorHAnsi" w:cstheme="minorHAnsi"/>
        </w:rPr>
        <w:t xml:space="preserve">to extricate itself from those obligations, in order to guarantee such public debate. </w:t>
      </w:r>
      <w:r w:rsidRPr="00F65CC5">
        <w:rPr>
          <w:rStyle w:val="FootnoteReference"/>
          <w:rFonts w:asciiTheme="minorHAnsi" w:hAnsiTheme="minorHAnsi" w:cstheme="minorHAnsi"/>
        </w:rPr>
        <w:footnoteReference w:id="130"/>
      </w:r>
    </w:p>
    <w:p w14:paraId="52CF8986" w14:textId="77777777" w:rsidR="0084194B" w:rsidRPr="00F65CC5" w:rsidRDefault="0084194B" w:rsidP="007933F6">
      <w:pPr>
        <w:jc w:val="both"/>
        <w:rPr>
          <w:rFonts w:asciiTheme="minorHAnsi" w:hAnsiTheme="minorHAnsi" w:cstheme="minorHAnsi"/>
        </w:rPr>
      </w:pPr>
    </w:p>
    <w:p w14:paraId="6F2005FE" w14:textId="77777777" w:rsidR="00843316" w:rsidRDefault="000939E2" w:rsidP="007933F6">
      <w:pPr>
        <w:jc w:val="both"/>
        <w:rPr>
          <w:rFonts w:asciiTheme="minorHAnsi" w:hAnsiTheme="minorHAnsi" w:cstheme="minorHAnsi"/>
        </w:rPr>
      </w:pPr>
      <w:r w:rsidRPr="00F65CC5">
        <w:rPr>
          <w:rFonts w:asciiTheme="minorHAnsi" w:hAnsiTheme="minorHAnsi" w:cstheme="minorHAnsi"/>
        </w:rPr>
        <w:t xml:space="preserve">In line with IACHR’s opinion two interviewees identified that international law did not have effective deterrence mechanisms pertaining to States that withdraw their commitment </w:t>
      </w:r>
      <w:r w:rsidR="00E41DF9">
        <w:rPr>
          <w:rFonts w:asciiTheme="minorHAnsi" w:hAnsiTheme="minorHAnsi" w:cstheme="minorHAnsi"/>
        </w:rPr>
        <w:t>to</w:t>
      </w:r>
      <w:r w:rsidRPr="00F65CC5">
        <w:rPr>
          <w:rFonts w:asciiTheme="minorHAnsi" w:hAnsiTheme="minorHAnsi" w:cstheme="minorHAnsi"/>
        </w:rPr>
        <w:t xml:space="preserve"> protecti</w:t>
      </w:r>
      <w:r w:rsidR="007507BB" w:rsidRPr="00F65CC5">
        <w:rPr>
          <w:rFonts w:asciiTheme="minorHAnsi" w:hAnsiTheme="minorHAnsi" w:cstheme="minorHAnsi"/>
        </w:rPr>
        <w:t>ng</w:t>
      </w:r>
      <w:r w:rsidRPr="00F65CC5">
        <w:rPr>
          <w:rFonts w:asciiTheme="minorHAnsi" w:hAnsiTheme="minorHAnsi" w:cstheme="minorHAnsi"/>
        </w:rPr>
        <w:t xml:space="preserve"> </w:t>
      </w:r>
      <w:r w:rsidR="00E41DF9">
        <w:rPr>
          <w:rFonts w:asciiTheme="minorHAnsi" w:hAnsiTheme="minorHAnsi" w:cstheme="minorHAnsi"/>
        </w:rPr>
        <w:t xml:space="preserve">the </w:t>
      </w:r>
      <w:r w:rsidRPr="00F65CC5">
        <w:rPr>
          <w:rFonts w:asciiTheme="minorHAnsi" w:hAnsiTheme="minorHAnsi" w:cstheme="minorHAnsi"/>
        </w:rPr>
        <w:t>lives and rights of humans.</w:t>
      </w:r>
      <w:r w:rsidR="009500E1" w:rsidRPr="00F65CC5">
        <w:rPr>
          <w:rStyle w:val="FootnoteReference"/>
          <w:rFonts w:asciiTheme="minorHAnsi" w:hAnsiTheme="minorHAnsi" w:cstheme="minorHAnsi"/>
        </w:rPr>
        <w:footnoteReference w:id="131"/>
      </w:r>
      <w:r w:rsidR="003F69FB" w:rsidRPr="00F65CC5">
        <w:rPr>
          <w:rFonts w:asciiTheme="minorHAnsi" w:hAnsiTheme="minorHAnsi" w:cstheme="minorHAnsi"/>
        </w:rPr>
        <w:t xml:space="preserve"> </w:t>
      </w:r>
      <w:r w:rsidR="00567026" w:rsidRPr="00F65CC5">
        <w:rPr>
          <w:rFonts w:asciiTheme="minorHAnsi" w:hAnsiTheme="minorHAnsi" w:cstheme="minorHAnsi"/>
        </w:rPr>
        <w:t>One activist mentioned that reservations to international treaties about women’s rights and gender are also very flexibl</w:t>
      </w:r>
      <w:r w:rsidR="00523D43" w:rsidRPr="00F65CC5">
        <w:rPr>
          <w:rFonts w:asciiTheme="minorHAnsi" w:hAnsiTheme="minorHAnsi" w:cstheme="minorHAnsi"/>
        </w:rPr>
        <w:t>e.</w:t>
      </w:r>
      <w:r w:rsidR="00B638BA" w:rsidRPr="00F65CC5">
        <w:rPr>
          <w:rStyle w:val="FootnoteReference"/>
          <w:rFonts w:asciiTheme="minorHAnsi" w:hAnsiTheme="minorHAnsi" w:cstheme="minorHAnsi"/>
        </w:rPr>
        <w:footnoteReference w:id="132"/>
      </w:r>
      <w:r w:rsidR="00523D43" w:rsidRPr="00F65CC5">
        <w:rPr>
          <w:rFonts w:asciiTheme="minorHAnsi" w:hAnsiTheme="minorHAnsi" w:cstheme="minorHAnsi"/>
        </w:rPr>
        <w:t xml:space="preserve"> A</w:t>
      </w:r>
      <w:r w:rsidR="007507BB" w:rsidRPr="00F65CC5">
        <w:rPr>
          <w:rFonts w:asciiTheme="minorHAnsi" w:hAnsiTheme="minorHAnsi" w:cstheme="minorHAnsi"/>
        </w:rPr>
        <w:t>ccept</w:t>
      </w:r>
      <w:r w:rsidR="00523D43" w:rsidRPr="00F65CC5">
        <w:rPr>
          <w:rFonts w:asciiTheme="minorHAnsi" w:hAnsiTheme="minorHAnsi" w:cstheme="minorHAnsi"/>
        </w:rPr>
        <w:t>ance of</w:t>
      </w:r>
      <w:r w:rsidR="00567026" w:rsidRPr="00F65CC5">
        <w:rPr>
          <w:rFonts w:asciiTheme="minorHAnsi" w:hAnsiTheme="minorHAnsi" w:cstheme="minorHAnsi"/>
        </w:rPr>
        <w:t xml:space="preserve"> State consents with </w:t>
      </w:r>
      <w:r w:rsidR="007507BB" w:rsidRPr="00F65CC5">
        <w:rPr>
          <w:rFonts w:asciiTheme="minorHAnsi" w:hAnsiTheme="minorHAnsi" w:cstheme="minorHAnsi"/>
        </w:rPr>
        <w:t xml:space="preserve">fundamental </w:t>
      </w:r>
      <w:r w:rsidR="00567026" w:rsidRPr="00F65CC5">
        <w:rPr>
          <w:rFonts w:asciiTheme="minorHAnsi" w:hAnsiTheme="minorHAnsi" w:cstheme="minorHAnsi"/>
        </w:rPr>
        <w:t>reservations</w:t>
      </w:r>
      <w:r w:rsidR="007507BB" w:rsidRPr="00F65CC5">
        <w:rPr>
          <w:rFonts w:asciiTheme="minorHAnsi" w:hAnsiTheme="minorHAnsi" w:cstheme="minorHAnsi"/>
        </w:rPr>
        <w:t xml:space="preserve"> </w:t>
      </w:r>
      <w:r w:rsidR="00523D43" w:rsidRPr="00F65CC5">
        <w:rPr>
          <w:rFonts w:asciiTheme="minorHAnsi" w:hAnsiTheme="minorHAnsi" w:cstheme="minorHAnsi"/>
        </w:rPr>
        <w:t xml:space="preserve">to Conventions </w:t>
      </w:r>
      <w:r w:rsidR="007507BB" w:rsidRPr="00F65CC5">
        <w:rPr>
          <w:rFonts w:asciiTheme="minorHAnsi" w:hAnsiTheme="minorHAnsi" w:cstheme="minorHAnsi"/>
        </w:rPr>
        <w:t>renders State</w:t>
      </w:r>
      <w:r w:rsidR="00843316">
        <w:rPr>
          <w:rFonts w:asciiTheme="minorHAnsi" w:hAnsiTheme="minorHAnsi" w:cstheme="minorHAnsi"/>
        </w:rPr>
        <w:t>s</w:t>
      </w:r>
      <w:r w:rsidR="007507BB" w:rsidRPr="00F65CC5">
        <w:rPr>
          <w:rFonts w:asciiTheme="minorHAnsi" w:hAnsiTheme="minorHAnsi" w:cstheme="minorHAnsi"/>
        </w:rPr>
        <w:t>’ adherence to international protection regimes</w:t>
      </w:r>
      <w:r w:rsidR="00567026" w:rsidRPr="00F65CC5">
        <w:rPr>
          <w:rFonts w:asciiTheme="minorHAnsi" w:hAnsiTheme="minorHAnsi" w:cstheme="minorHAnsi"/>
        </w:rPr>
        <w:t xml:space="preserve"> perfunctory and performative.</w:t>
      </w:r>
      <w:r w:rsidR="00FF1D14" w:rsidRPr="00F65CC5">
        <w:rPr>
          <w:rStyle w:val="FootnoteReference"/>
          <w:rFonts w:asciiTheme="minorHAnsi" w:hAnsiTheme="minorHAnsi" w:cstheme="minorHAnsi"/>
        </w:rPr>
        <w:footnoteReference w:id="133"/>
      </w:r>
      <w:r w:rsidR="00567026" w:rsidRPr="00F65CC5">
        <w:rPr>
          <w:rFonts w:asciiTheme="minorHAnsi" w:hAnsiTheme="minorHAnsi" w:cstheme="minorHAnsi"/>
        </w:rPr>
        <w:t xml:space="preserve"> </w:t>
      </w:r>
    </w:p>
    <w:p w14:paraId="3070909A" w14:textId="77777777" w:rsidR="00843316" w:rsidRDefault="00843316" w:rsidP="007933F6">
      <w:pPr>
        <w:jc w:val="both"/>
        <w:rPr>
          <w:rFonts w:asciiTheme="minorHAnsi" w:hAnsiTheme="minorHAnsi" w:cstheme="minorHAnsi"/>
        </w:rPr>
      </w:pPr>
    </w:p>
    <w:p w14:paraId="2EA4C70C" w14:textId="0C4E80E3" w:rsidR="009C7066" w:rsidRPr="00F65CC5" w:rsidRDefault="007D0138" w:rsidP="007933F6">
      <w:pPr>
        <w:jc w:val="both"/>
        <w:rPr>
          <w:rFonts w:asciiTheme="minorHAnsi" w:hAnsiTheme="minorHAnsi" w:cstheme="minorHAnsi"/>
        </w:rPr>
      </w:pPr>
      <w:r w:rsidRPr="00F65CC5">
        <w:rPr>
          <w:rFonts w:asciiTheme="minorHAnsi" w:hAnsiTheme="minorHAnsi" w:cstheme="minorHAnsi"/>
        </w:rPr>
        <w:t xml:space="preserve">Another critique </w:t>
      </w:r>
      <w:r w:rsidR="00335812" w:rsidRPr="00F65CC5">
        <w:rPr>
          <w:rFonts w:asciiTheme="minorHAnsi" w:hAnsiTheme="minorHAnsi" w:cstheme="minorHAnsi"/>
        </w:rPr>
        <w:t xml:space="preserve">of </w:t>
      </w:r>
      <w:r w:rsidRPr="00F65CC5">
        <w:rPr>
          <w:rFonts w:asciiTheme="minorHAnsi" w:hAnsiTheme="minorHAnsi" w:cstheme="minorHAnsi"/>
        </w:rPr>
        <w:t>the inconsistency of international law</w:t>
      </w:r>
      <w:r w:rsidR="00335812" w:rsidRPr="00F65CC5">
        <w:rPr>
          <w:rFonts w:asciiTheme="minorHAnsi" w:hAnsiTheme="minorHAnsi" w:cstheme="minorHAnsi"/>
        </w:rPr>
        <w:t xml:space="preserve"> — </w:t>
      </w:r>
      <w:r w:rsidR="008F6B62" w:rsidRPr="00F65CC5">
        <w:rPr>
          <w:rFonts w:asciiTheme="minorHAnsi" w:hAnsiTheme="minorHAnsi" w:cstheme="minorHAnsi"/>
        </w:rPr>
        <w:t xml:space="preserve">mentioned in almost all </w:t>
      </w:r>
      <w:r w:rsidR="00B70B25" w:rsidRPr="00F65CC5">
        <w:rPr>
          <w:rFonts w:asciiTheme="minorHAnsi" w:hAnsiTheme="minorHAnsi" w:cstheme="minorHAnsi"/>
        </w:rPr>
        <w:t>interviews</w:t>
      </w:r>
      <w:r w:rsidR="00CA0434">
        <w:rPr>
          <w:rFonts w:asciiTheme="minorHAnsi" w:hAnsiTheme="minorHAnsi" w:cstheme="minorHAnsi"/>
        </w:rPr>
        <w:t xml:space="preserve"> </w:t>
      </w:r>
      <w:r w:rsidR="00335812" w:rsidRPr="00F65CC5">
        <w:rPr>
          <w:rFonts w:asciiTheme="minorHAnsi" w:hAnsiTheme="minorHAnsi" w:cstheme="minorHAnsi"/>
        </w:rPr>
        <w:t>—</w:t>
      </w:r>
      <w:r w:rsidR="00CA0434">
        <w:rPr>
          <w:rFonts w:asciiTheme="minorHAnsi" w:hAnsiTheme="minorHAnsi" w:cstheme="minorHAnsi"/>
        </w:rPr>
        <w:t xml:space="preserve"> </w:t>
      </w:r>
      <w:r w:rsidR="00E6050D" w:rsidRPr="00F65CC5">
        <w:rPr>
          <w:rFonts w:asciiTheme="minorHAnsi" w:hAnsiTheme="minorHAnsi" w:cstheme="minorHAnsi"/>
        </w:rPr>
        <w:t>is that</w:t>
      </w:r>
      <w:r w:rsidR="008F6B62" w:rsidRPr="00F65CC5">
        <w:rPr>
          <w:rFonts w:asciiTheme="minorHAnsi" w:hAnsiTheme="minorHAnsi" w:cstheme="minorHAnsi"/>
        </w:rPr>
        <w:t xml:space="preserve"> entering into and leaving the Convention did not follow the same </w:t>
      </w:r>
      <w:r w:rsidR="008F6B62" w:rsidRPr="00F65CC5">
        <w:rPr>
          <w:rFonts w:asciiTheme="minorHAnsi" w:hAnsiTheme="minorHAnsi" w:cstheme="minorHAnsi"/>
        </w:rPr>
        <w:lastRenderedPageBreak/>
        <w:t xml:space="preserve">procedure </w:t>
      </w:r>
      <w:r w:rsidR="00CA0434">
        <w:rPr>
          <w:rFonts w:asciiTheme="minorHAnsi" w:hAnsiTheme="minorHAnsi" w:cstheme="minorHAnsi"/>
        </w:rPr>
        <w:t>and</w:t>
      </w:r>
      <w:r w:rsidR="008F6B62" w:rsidRPr="00F65CC5">
        <w:rPr>
          <w:rFonts w:asciiTheme="minorHAnsi" w:hAnsiTheme="minorHAnsi" w:cstheme="minorHAnsi"/>
        </w:rPr>
        <w:t xml:space="preserve"> was not in</w:t>
      </w:r>
      <w:r w:rsidR="00CA0434">
        <w:rPr>
          <w:rFonts w:asciiTheme="minorHAnsi" w:hAnsiTheme="minorHAnsi" w:cstheme="minorHAnsi"/>
        </w:rPr>
        <w:t xml:space="preserve"> </w:t>
      </w:r>
      <w:r w:rsidR="008F6B62" w:rsidRPr="00F65CC5">
        <w:rPr>
          <w:rFonts w:asciiTheme="minorHAnsi" w:hAnsiTheme="minorHAnsi" w:cstheme="minorHAnsi"/>
        </w:rPr>
        <w:t xml:space="preserve">conformity with the principle of parallelism of form. This principle guarantees that States follow similar procedures when ratifying and denouncing human rights Conventions. </w:t>
      </w:r>
      <w:r w:rsidR="0082196D" w:rsidRPr="00F65CC5">
        <w:rPr>
          <w:rFonts w:asciiTheme="minorHAnsi" w:hAnsiTheme="minorHAnsi" w:cstheme="minorHAnsi"/>
        </w:rPr>
        <w:t xml:space="preserve">In the case of </w:t>
      </w:r>
      <w:r w:rsidR="00D670E1" w:rsidRPr="00F65CC5">
        <w:rPr>
          <w:rFonts w:asciiTheme="minorHAnsi" w:hAnsiTheme="minorHAnsi" w:cstheme="minorHAnsi"/>
        </w:rPr>
        <w:t xml:space="preserve">the </w:t>
      </w:r>
      <w:r w:rsidR="0082196D" w:rsidRPr="00F65CC5">
        <w:rPr>
          <w:rFonts w:asciiTheme="minorHAnsi" w:hAnsiTheme="minorHAnsi" w:cstheme="minorHAnsi"/>
        </w:rPr>
        <w:t>Istanbul Convention</w:t>
      </w:r>
      <w:r w:rsidR="00D670E1" w:rsidRPr="00F65CC5">
        <w:rPr>
          <w:rFonts w:asciiTheme="minorHAnsi" w:hAnsiTheme="minorHAnsi" w:cstheme="minorHAnsi"/>
        </w:rPr>
        <w:t>,</w:t>
      </w:r>
      <w:r w:rsidR="0082196D" w:rsidRPr="00F65CC5">
        <w:rPr>
          <w:rFonts w:asciiTheme="minorHAnsi" w:hAnsiTheme="minorHAnsi" w:cstheme="minorHAnsi"/>
        </w:rPr>
        <w:t xml:space="preserve"> it was ratified by parliament </w:t>
      </w:r>
      <w:r w:rsidR="00D670E1" w:rsidRPr="00F65CC5">
        <w:rPr>
          <w:rFonts w:asciiTheme="minorHAnsi" w:hAnsiTheme="minorHAnsi" w:cstheme="minorHAnsi"/>
        </w:rPr>
        <w:t>but</w:t>
      </w:r>
      <w:r w:rsidR="0082196D" w:rsidRPr="00F65CC5">
        <w:rPr>
          <w:rFonts w:asciiTheme="minorHAnsi" w:hAnsiTheme="minorHAnsi" w:cstheme="minorHAnsi"/>
        </w:rPr>
        <w:t xml:space="preserve"> denounced by</w:t>
      </w:r>
      <w:r w:rsidR="00D670E1" w:rsidRPr="00F65CC5">
        <w:rPr>
          <w:rFonts w:asciiTheme="minorHAnsi" w:hAnsiTheme="minorHAnsi" w:cstheme="minorHAnsi"/>
        </w:rPr>
        <w:t xml:space="preserve"> a</w:t>
      </w:r>
      <w:r w:rsidR="0082196D" w:rsidRPr="00F65CC5">
        <w:rPr>
          <w:rFonts w:asciiTheme="minorHAnsi" w:hAnsiTheme="minorHAnsi" w:cstheme="minorHAnsi"/>
        </w:rPr>
        <w:t xml:space="preserve"> president. </w:t>
      </w:r>
      <w:r w:rsidR="008F6B62" w:rsidRPr="00F65CC5">
        <w:rPr>
          <w:rFonts w:asciiTheme="minorHAnsi" w:hAnsiTheme="minorHAnsi" w:cstheme="minorHAnsi"/>
        </w:rPr>
        <w:t>This was one of the main legal arguments made by the feminists at the Istanbul Convention</w:t>
      </w:r>
      <w:r w:rsidR="00C20D1B" w:rsidRPr="00F65CC5">
        <w:rPr>
          <w:rFonts w:asciiTheme="minorHAnsi" w:hAnsiTheme="minorHAnsi" w:cstheme="minorHAnsi"/>
        </w:rPr>
        <w:t xml:space="preserve"> hearings in front of the </w:t>
      </w:r>
      <w:r w:rsidR="00EB1574" w:rsidRPr="00F65CC5">
        <w:rPr>
          <w:rFonts w:asciiTheme="minorHAnsi" w:hAnsiTheme="minorHAnsi" w:cstheme="minorHAnsi"/>
          <w:lang w:val="en-US"/>
        </w:rPr>
        <w:t>Dan</w:t>
      </w:r>
      <w:r w:rsidR="00EB1574" w:rsidRPr="00F65CC5">
        <w:rPr>
          <w:rFonts w:asciiTheme="minorHAnsi" w:hAnsiTheme="minorHAnsi" w:cstheme="minorHAnsi"/>
          <w:lang w:val="tr-TR"/>
        </w:rPr>
        <w:t>ış</w:t>
      </w:r>
      <w:proofErr w:type="spellStart"/>
      <w:r w:rsidR="00EB1574" w:rsidRPr="00F65CC5">
        <w:rPr>
          <w:rFonts w:asciiTheme="minorHAnsi" w:hAnsiTheme="minorHAnsi" w:cstheme="minorHAnsi"/>
          <w:lang w:val="en-US"/>
        </w:rPr>
        <w:t>tay</w:t>
      </w:r>
      <w:proofErr w:type="spellEnd"/>
      <w:r w:rsidR="008F6B62" w:rsidRPr="00F65CC5">
        <w:rPr>
          <w:rFonts w:asciiTheme="minorHAnsi" w:hAnsiTheme="minorHAnsi" w:cstheme="minorHAnsi"/>
        </w:rPr>
        <w:t xml:space="preserve">. </w:t>
      </w:r>
      <w:r w:rsidR="0082196D" w:rsidRPr="00F65CC5">
        <w:rPr>
          <w:rFonts w:asciiTheme="minorHAnsi" w:hAnsiTheme="minorHAnsi" w:cstheme="minorHAnsi"/>
        </w:rPr>
        <w:t xml:space="preserve">An interviewee maintained that this </w:t>
      </w:r>
      <w:r w:rsidR="00471D49" w:rsidRPr="00F65CC5">
        <w:rPr>
          <w:rFonts w:asciiTheme="minorHAnsi" w:hAnsiTheme="minorHAnsi" w:cstheme="minorHAnsi"/>
        </w:rPr>
        <w:t>was</w:t>
      </w:r>
      <w:r w:rsidR="0082196D" w:rsidRPr="00F65CC5">
        <w:rPr>
          <w:rFonts w:asciiTheme="minorHAnsi" w:hAnsiTheme="minorHAnsi" w:cstheme="minorHAnsi"/>
        </w:rPr>
        <w:t xml:space="preserve"> not </w:t>
      </w:r>
      <w:r w:rsidR="00471D49" w:rsidRPr="00F65CC5">
        <w:rPr>
          <w:rFonts w:asciiTheme="minorHAnsi" w:hAnsiTheme="minorHAnsi" w:cstheme="minorHAnsi"/>
        </w:rPr>
        <w:t>solely</w:t>
      </w:r>
      <w:r w:rsidR="0082196D" w:rsidRPr="00F65CC5">
        <w:rPr>
          <w:rFonts w:asciiTheme="minorHAnsi" w:hAnsiTheme="minorHAnsi" w:cstheme="minorHAnsi"/>
        </w:rPr>
        <w:t xml:space="preserve"> about </w:t>
      </w:r>
      <w:r w:rsidR="0056114E">
        <w:rPr>
          <w:rFonts w:asciiTheme="minorHAnsi" w:hAnsiTheme="minorHAnsi" w:cstheme="minorHAnsi"/>
        </w:rPr>
        <w:t xml:space="preserve">the </w:t>
      </w:r>
      <w:r w:rsidR="0082196D" w:rsidRPr="00F65CC5">
        <w:rPr>
          <w:rFonts w:asciiTheme="minorHAnsi" w:hAnsiTheme="minorHAnsi" w:cstheme="minorHAnsi"/>
        </w:rPr>
        <w:t xml:space="preserve">Istanbul Convention, but also </w:t>
      </w:r>
      <w:r w:rsidR="005F258A" w:rsidRPr="00F65CC5">
        <w:rPr>
          <w:rFonts w:asciiTheme="minorHAnsi" w:hAnsiTheme="minorHAnsi" w:cstheme="minorHAnsi"/>
        </w:rPr>
        <w:t xml:space="preserve">implies </w:t>
      </w:r>
      <w:r w:rsidR="0082196D" w:rsidRPr="00F65CC5">
        <w:rPr>
          <w:rFonts w:asciiTheme="minorHAnsi" w:hAnsiTheme="minorHAnsi" w:cstheme="minorHAnsi"/>
        </w:rPr>
        <w:t xml:space="preserve">a </w:t>
      </w:r>
      <w:r w:rsidR="00C31EA9" w:rsidRPr="00F65CC5">
        <w:rPr>
          <w:rFonts w:asciiTheme="minorHAnsi" w:hAnsiTheme="minorHAnsi" w:cstheme="minorHAnsi"/>
        </w:rPr>
        <w:t>crisis of international</w:t>
      </w:r>
      <w:r w:rsidR="00985E92">
        <w:rPr>
          <w:rFonts w:asciiTheme="minorHAnsi" w:hAnsiTheme="minorHAnsi" w:cstheme="minorHAnsi"/>
        </w:rPr>
        <w:t xml:space="preserve"> </w:t>
      </w:r>
      <w:r w:rsidR="00C31EA9" w:rsidRPr="00F65CC5">
        <w:rPr>
          <w:rFonts w:asciiTheme="minorHAnsi" w:hAnsiTheme="minorHAnsi" w:cstheme="minorHAnsi"/>
        </w:rPr>
        <w:t>law</w:t>
      </w:r>
      <w:r w:rsidR="0082196D" w:rsidRPr="00F65CC5">
        <w:rPr>
          <w:rFonts w:asciiTheme="minorHAnsi" w:hAnsiTheme="minorHAnsi" w:cstheme="minorHAnsi"/>
        </w:rPr>
        <w:t>.</w:t>
      </w:r>
      <w:r w:rsidR="0082196D" w:rsidRPr="00F65CC5">
        <w:rPr>
          <w:rStyle w:val="FootnoteReference"/>
          <w:rFonts w:asciiTheme="minorHAnsi" w:hAnsiTheme="minorHAnsi" w:cstheme="minorHAnsi"/>
        </w:rPr>
        <w:footnoteReference w:id="134"/>
      </w:r>
      <w:r w:rsidR="0082196D" w:rsidRPr="00F65CC5">
        <w:rPr>
          <w:rFonts w:asciiTheme="minorHAnsi" w:hAnsiTheme="minorHAnsi" w:cstheme="minorHAnsi"/>
        </w:rPr>
        <w:t xml:space="preserve"> </w:t>
      </w:r>
      <w:r w:rsidR="006E4AB1" w:rsidRPr="006E4AB1">
        <w:rPr>
          <w:rFonts w:asciiTheme="minorHAnsi" w:hAnsiTheme="minorHAnsi" w:cstheme="minorHAnsi"/>
        </w:rPr>
        <w:t>It exposes the binary foundations of international law, which is limited to a national-international binarism. This binarism also governs the ratification-withdrawal processes.</w:t>
      </w:r>
      <w:r w:rsidR="006E4AB1" w:rsidRPr="006E4AB1">
        <w:t xml:space="preserve"> </w:t>
      </w:r>
      <w:r w:rsidR="0082196D" w:rsidRPr="00F65CC5">
        <w:rPr>
          <w:rFonts w:asciiTheme="minorHAnsi" w:hAnsiTheme="minorHAnsi" w:cstheme="minorHAnsi"/>
        </w:rPr>
        <w:t xml:space="preserve">Following this logic, who withdraws from the Convention is tied to the question of who entered into the Convention and who made it. </w:t>
      </w:r>
      <w:r w:rsidR="009C7066" w:rsidRPr="00F65CC5">
        <w:rPr>
          <w:rFonts w:asciiTheme="minorHAnsi" w:hAnsiTheme="minorHAnsi" w:cstheme="minorHAnsi"/>
        </w:rPr>
        <w:t>The following section employs a non-vertical lens to examine th</w:t>
      </w:r>
      <w:r w:rsidR="00A44880" w:rsidRPr="00F65CC5">
        <w:rPr>
          <w:rFonts w:asciiTheme="minorHAnsi" w:hAnsiTheme="minorHAnsi" w:cstheme="minorHAnsi"/>
        </w:rPr>
        <w:t>is</w:t>
      </w:r>
      <w:r w:rsidR="009C7066" w:rsidRPr="00F65CC5">
        <w:rPr>
          <w:rFonts w:asciiTheme="minorHAnsi" w:hAnsiTheme="minorHAnsi" w:cstheme="minorHAnsi"/>
        </w:rPr>
        <w:t xml:space="preserve"> process of</w:t>
      </w:r>
      <w:r w:rsidR="00A44880" w:rsidRPr="00F65CC5">
        <w:rPr>
          <w:rFonts w:asciiTheme="minorHAnsi" w:hAnsiTheme="minorHAnsi" w:cstheme="minorHAnsi"/>
        </w:rPr>
        <w:t xml:space="preserve"> State</w:t>
      </w:r>
      <w:r w:rsidR="001F3410">
        <w:rPr>
          <w:rFonts w:asciiTheme="minorHAnsi" w:hAnsiTheme="minorHAnsi" w:cstheme="minorHAnsi"/>
        </w:rPr>
        <w:t>-</w:t>
      </w:r>
      <w:r w:rsidR="00A44880" w:rsidRPr="00F65CC5">
        <w:rPr>
          <w:rFonts w:asciiTheme="minorHAnsi" w:hAnsiTheme="minorHAnsi" w:cstheme="minorHAnsi"/>
        </w:rPr>
        <w:t>centric</w:t>
      </w:r>
      <w:r w:rsidR="009C7066" w:rsidRPr="00F65CC5">
        <w:rPr>
          <w:rFonts w:asciiTheme="minorHAnsi" w:hAnsiTheme="minorHAnsi" w:cstheme="minorHAnsi"/>
        </w:rPr>
        <w:t xml:space="preserve"> law-making. This </w:t>
      </w:r>
      <w:r w:rsidR="00467517" w:rsidRPr="00F65CC5">
        <w:rPr>
          <w:rFonts w:asciiTheme="minorHAnsi" w:hAnsiTheme="minorHAnsi" w:cstheme="minorHAnsi"/>
        </w:rPr>
        <w:t>raises</w:t>
      </w:r>
      <w:r w:rsidR="009C7066" w:rsidRPr="00F65CC5">
        <w:rPr>
          <w:rFonts w:asciiTheme="minorHAnsi" w:hAnsiTheme="minorHAnsi" w:cstheme="minorHAnsi"/>
        </w:rPr>
        <w:t xml:space="preserve"> the question of whether withdrawal is even </w:t>
      </w:r>
      <w:r w:rsidR="00467517" w:rsidRPr="00F65CC5">
        <w:rPr>
          <w:rFonts w:asciiTheme="minorHAnsi" w:hAnsiTheme="minorHAnsi" w:cstheme="minorHAnsi"/>
        </w:rPr>
        <w:t>a possibility</w:t>
      </w:r>
      <w:r w:rsidR="00A44880" w:rsidRPr="00F65CC5">
        <w:rPr>
          <w:rFonts w:asciiTheme="minorHAnsi" w:hAnsiTheme="minorHAnsi" w:cstheme="minorHAnsi"/>
        </w:rPr>
        <w:t>,</w:t>
      </w:r>
      <w:r w:rsidR="009C7066" w:rsidRPr="00F65CC5">
        <w:rPr>
          <w:rFonts w:asciiTheme="minorHAnsi" w:hAnsiTheme="minorHAnsi" w:cstheme="minorHAnsi"/>
        </w:rPr>
        <w:t xml:space="preserve"> when we analyse who made the law and where it was made</w:t>
      </w:r>
      <w:r w:rsidR="00FB2A88">
        <w:rPr>
          <w:rFonts w:asciiTheme="minorHAnsi" w:hAnsiTheme="minorHAnsi" w:cstheme="minorHAnsi"/>
        </w:rPr>
        <w:t>,</w:t>
      </w:r>
      <w:r w:rsidR="009C7066" w:rsidRPr="00F65CC5">
        <w:rPr>
          <w:rFonts w:asciiTheme="minorHAnsi" w:hAnsiTheme="minorHAnsi" w:cstheme="minorHAnsi"/>
        </w:rPr>
        <w:t xml:space="preserve"> </w:t>
      </w:r>
      <w:r w:rsidR="00587C1B" w:rsidRPr="00F65CC5">
        <w:rPr>
          <w:rFonts w:asciiTheme="minorHAnsi" w:hAnsiTheme="minorHAnsi" w:cstheme="minorHAnsi"/>
        </w:rPr>
        <w:t>deprioritising</w:t>
      </w:r>
      <w:r w:rsidR="009C7066" w:rsidRPr="00F65CC5">
        <w:rPr>
          <w:rFonts w:asciiTheme="minorHAnsi" w:hAnsiTheme="minorHAnsi" w:cstheme="minorHAnsi"/>
        </w:rPr>
        <w:t xml:space="preserve"> the vertical legal p</w:t>
      </w:r>
      <w:r w:rsidR="00467517" w:rsidRPr="00F65CC5">
        <w:rPr>
          <w:rFonts w:asciiTheme="minorHAnsi" w:hAnsiTheme="minorHAnsi" w:cstheme="minorHAnsi"/>
        </w:rPr>
        <w:t>a</w:t>
      </w:r>
      <w:r w:rsidR="009C7066" w:rsidRPr="00F65CC5">
        <w:rPr>
          <w:rFonts w:asciiTheme="minorHAnsi" w:hAnsiTheme="minorHAnsi" w:cstheme="minorHAnsi"/>
        </w:rPr>
        <w:t>r</w:t>
      </w:r>
      <w:r w:rsidR="00467517" w:rsidRPr="00F65CC5">
        <w:rPr>
          <w:rFonts w:asciiTheme="minorHAnsi" w:hAnsiTheme="minorHAnsi" w:cstheme="minorHAnsi"/>
        </w:rPr>
        <w:t>adigms</w:t>
      </w:r>
      <w:r w:rsidR="009C7066" w:rsidRPr="00F65CC5">
        <w:rPr>
          <w:rFonts w:asciiTheme="minorHAnsi" w:hAnsiTheme="minorHAnsi" w:cstheme="minorHAnsi"/>
        </w:rPr>
        <w:t xml:space="preserve"> of law-making. </w:t>
      </w:r>
    </w:p>
    <w:p w14:paraId="404BEBB7" w14:textId="2925F237" w:rsidR="00FB0C2D" w:rsidRDefault="00FB0C2D" w:rsidP="007933F6">
      <w:pPr>
        <w:jc w:val="both"/>
        <w:rPr>
          <w:rFonts w:asciiTheme="minorHAnsi" w:hAnsiTheme="minorHAnsi" w:cstheme="minorHAnsi"/>
        </w:rPr>
      </w:pPr>
    </w:p>
    <w:p w14:paraId="1866066C" w14:textId="77777777" w:rsidR="007111EE" w:rsidRPr="00F65CC5" w:rsidRDefault="007111EE" w:rsidP="007933F6">
      <w:pPr>
        <w:jc w:val="both"/>
        <w:rPr>
          <w:rFonts w:asciiTheme="minorHAnsi" w:hAnsiTheme="minorHAnsi" w:cstheme="minorHAnsi"/>
        </w:rPr>
      </w:pPr>
    </w:p>
    <w:p w14:paraId="0C7B3017" w14:textId="387B0E2B" w:rsidR="00616416" w:rsidRPr="00CD0833" w:rsidRDefault="003F27F2" w:rsidP="007111EE">
      <w:pPr>
        <w:pStyle w:val="Heading2"/>
      </w:pPr>
      <w:r w:rsidRPr="00CD0833">
        <w:t xml:space="preserve">The </w:t>
      </w:r>
      <w:r w:rsidR="009E529F" w:rsidRPr="00CD0833">
        <w:t>u</w:t>
      </w:r>
      <w:r w:rsidR="00B93BCE" w:rsidRPr="00CD0833">
        <w:t xml:space="preserve">nlikely </w:t>
      </w:r>
      <w:r w:rsidR="009E529F" w:rsidRPr="00CD0833">
        <w:t>s</w:t>
      </w:r>
      <w:r w:rsidRPr="00CD0833">
        <w:t xml:space="preserve">pace where laws are made: </w:t>
      </w:r>
      <w:proofErr w:type="spellStart"/>
      <w:r w:rsidR="00616416" w:rsidRPr="00CD0833">
        <w:t>Opuz</w:t>
      </w:r>
      <w:proofErr w:type="spellEnd"/>
      <w:r w:rsidR="00616416" w:rsidRPr="00CD0833">
        <w:t xml:space="preserve"> was from our land</w:t>
      </w:r>
      <w:r w:rsidR="007D1C5B" w:rsidRPr="00CD0833">
        <w:t>,</w:t>
      </w:r>
      <w:r w:rsidR="00616416" w:rsidRPr="00CD0833">
        <w:t xml:space="preserve"> </w:t>
      </w:r>
      <w:proofErr w:type="spellStart"/>
      <w:r w:rsidR="00616416" w:rsidRPr="00CD0833">
        <w:t>Diyarbak</w:t>
      </w:r>
      <w:r w:rsidR="00F40EE1" w:rsidRPr="00CD0833">
        <w:t>ı</w:t>
      </w:r>
      <w:r w:rsidR="00616416" w:rsidRPr="00CD0833">
        <w:t>r</w:t>
      </w:r>
      <w:proofErr w:type="spellEnd"/>
    </w:p>
    <w:p w14:paraId="04675DDA" w14:textId="4E60A71E" w:rsidR="007B34E8" w:rsidRPr="00F65CC5" w:rsidRDefault="007B34E8" w:rsidP="007933F6">
      <w:pPr>
        <w:jc w:val="both"/>
        <w:rPr>
          <w:rFonts w:asciiTheme="minorHAnsi" w:hAnsiTheme="minorHAnsi" w:cstheme="minorHAnsi"/>
          <w:b/>
          <w:bCs/>
        </w:rPr>
      </w:pPr>
    </w:p>
    <w:p w14:paraId="1E0CA684" w14:textId="4F7A3BF3" w:rsidR="000A7B1B" w:rsidRPr="00F65CC5" w:rsidRDefault="007B34E8" w:rsidP="007933F6">
      <w:pPr>
        <w:ind w:right="-52"/>
        <w:jc w:val="both"/>
        <w:rPr>
          <w:rFonts w:asciiTheme="minorHAnsi" w:hAnsiTheme="minorHAnsi" w:cstheme="minorHAnsi"/>
        </w:rPr>
      </w:pPr>
      <w:r w:rsidRPr="00F65CC5">
        <w:rPr>
          <w:rFonts w:asciiTheme="minorHAnsi" w:hAnsiTheme="minorHAnsi" w:cstheme="minorHAnsi"/>
        </w:rPr>
        <w:t xml:space="preserve">This section discusses law-making in international law from the feminist perspective of our interviewees. </w:t>
      </w:r>
      <w:r w:rsidR="009D224C" w:rsidRPr="00F65CC5">
        <w:rPr>
          <w:rFonts w:asciiTheme="minorHAnsi" w:hAnsiTheme="minorHAnsi" w:cstheme="minorHAnsi"/>
        </w:rPr>
        <w:t xml:space="preserve">In vertical legality, </w:t>
      </w:r>
      <w:r w:rsidR="00886FC8">
        <w:rPr>
          <w:rFonts w:asciiTheme="minorHAnsi" w:hAnsiTheme="minorHAnsi" w:cstheme="minorHAnsi"/>
        </w:rPr>
        <w:t>C</w:t>
      </w:r>
      <w:r w:rsidR="009D224C" w:rsidRPr="00F65CC5">
        <w:rPr>
          <w:rFonts w:asciiTheme="minorHAnsi" w:hAnsiTheme="minorHAnsi" w:cstheme="minorHAnsi"/>
        </w:rPr>
        <w:t xml:space="preserve">onventions are made by States and brought to </w:t>
      </w:r>
      <w:r w:rsidR="00D670E1" w:rsidRPr="00F65CC5">
        <w:rPr>
          <w:rFonts w:asciiTheme="minorHAnsi" w:hAnsiTheme="minorHAnsi" w:cstheme="minorHAnsi"/>
        </w:rPr>
        <w:t xml:space="preserve">the </w:t>
      </w:r>
      <w:r w:rsidR="009D224C" w:rsidRPr="00F65CC5">
        <w:rPr>
          <w:rFonts w:asciiTheme="minorHAnsi" w:hAnsiTheme="minorHAnsi" w:cstheme="minorHAnsi"/>
        </w:rPr>
        <w:t xml:space="preserve">national sphere. Our interviewees brought a feminist legal approach to this formation of international law by questioning the origins of international norms. According to the feminist legality they proposed, the emergence of the Istanbul Convention could be traced back to their land when Nahide </w:t>
      </w:r>
      <w:proofErr w:type="spellStart"/>
      <w:r w:rsidR="009D224C" w:rsidRPr="00F65CC5">
        <w:rPr>
          <w:rFonts w:asciiTheme="minorHAnsi" w:hAnsiTheme="minorHAnsi" w:cstheme="minorHAnsi"/>
        </w:rPr>
        <w:t>Opuz</w:t>
      </w:r>
      <w:proofErr w:type="spellEnd"/>
      <w:r w:rsidR="009D224C" w:rsidRPr="00F65CC5">
        <w:rPr>
          <w:rFonts w:asciiTheme="minorHAnsi" w:hAnsiTheme="minorHAnsi" w:cstheme="minorHAnsi"/>
        </w:rPr>
        <w:t xml:space="preserve"> complain</w:t>
      </w:r>
      <w:r w:rsidR="00D670E1" w:rsidRPr="00F65CC5">
        <w:rPr>
          <w:rFonts w:asciiTheme="minorHAnsi" w:hAnsiTheme="minorHAnsi" w:cstheme="minorHAnsi"/>
        </w:rPr>
        <w:t>ed</w:t>
      </w:r>
      <w:r w:rsidR="009D224C" w:rsidRPr="00F65CC5">
        <w:rPr>
          <w:rFonts w:asciiTheme="minorHAnsi" w:hAnsiTheme="minorHAnsi" w:cstheme="minorHAnsi"/>
        </w:rPr>
        <w:t xml:space="preserve"> about </w:t>
      </w:r>
      <w:r w:rsidR="00D670E1" w:rsidRPr="00F65CC5">
        <w:rPr>
          <w:rFonts w:asciiTheme="minorHAnsi" w:hAnsiTheme="minorHAnsi" w:cstheme="minorHAnsi"/>
        </w:rPr>
        <w:t>gender-based</w:t>
      </w:r>
      <w:r w:rsidR="009D224C" w:rsidRPr="00F65CC5">
        <w:rPr>
          <w:rFonts w:asciiTheme="minorHAnsi" w:hAnsiTheme="minorHAnsi" w:cstheme="minorHAnsi"/>
        </w:rPr>
        <w:t xml:space="preserve"> violence</w:t>
      </w:r>
      <w:r w:rsidR="007F44FF">
        <w:rPr>
          <w:rFonts w:asciiTheme="minorHAnsi" w:hAnsiTheme="minorHAnsi" w:cstheme="minorHAnsi"/>
        </w:rPr>
        <w:t>,</w:t>
      </w:r>
      <w:r w:rsidR="00855DD8" w:rsidRPr="00F65CC5">
        <w:rPr>
          <w:rFonts w:asciiTheme="minorHAnsi" w:hAnsiTheme="minorHAnsi" w:cstheme="minorHAnsi"/>
        </w:rPr>
        <w:t xml:space="preserve"> as her case was </w:t>
      </w:r>
      <w:r w:rsidR="000A7B1B" w:rsidRPr="00F65CC5">
        <w:rPr>
          <w:rFonts w:asciiTheme="minorHAnsi" w:hAnsiTheme="minorHAnsi" w:cstheme="minorHAnsi"/>
        </w:rPr>
        <w:t xml:space="preserve">a catalyst for the Istanbul Convention. </w:t>
      </w:r>
      <w:r w:rsidR="00913434" w:rsidRPr="00F65CC5">
        <w:rPr>
          <w:rFonts w:asciiTheme="minorHAnsi" w:hAnsiTheme="minorHAnsi" w:cstheme="minorHAnsi"/>
        </w:rPr>
        <w:t xml:space="preserve">The </w:t>
      </w:r>
      <w:r w:rsidR="000A7B1B" w:rsidRPr="00F65CC5">
        <w:rPr>
          <w:rFonts w:asciiTheme="minorHAnsi" w:hAnsiTheme="minorHAnsi" w:cstheme="minorHAnsi"/>
        </w:rPr>
        <w:t>Convention</w:t>
      </w:r>
      <w:r w:rsidR="00D670E1" w:rsidRPr="00F65CC5">
        <w:rPr>
          <w:rFonts w:asciiTheme="minorHAnsi" w:hAnsiTheme="minorHAnsi" w:cstheme="minorHAnsi"/>
        </w:rPr>
        <w:t>’</w:t>
      </w:r>
      <w:r w:rsidR="000A7B1B" w:rsidRPr="00F65CC5">
        <w:rPr>
          <w:rFonts w:asciiTheme="minorHAnsi" w:hAnsiTheme="minorHAnsi" w:cstheme="minorHAnsi"/>
        </w:rPr>
        <w:t>s draf</w:t>
      </w:r>
      <w:r w:rsidR="00335812" w:rsidRPr="00F65CC5">
        <w:rPr>
          <w:rFonts w:asciiTheme="minorHAnsi" w:hAnsiTheme="minorHAnsi" w:cstheme="minorHAnsi"/>
        </w:rPr>
        <w:t xml:space="preserve">t </w:t>
      </w:r>
      <w:r w:rsidR="000A7B1B" w:rsidRPr="00F65CC5">
        <w:rPr>
          <w:rFonts w:asciiTheme="minorHAnsi" w:hAnsiTheme="minorHAnsi" w:cstheme="minorHAnsi"/>
        </w:rPr>
        <w:t xml:space="preserve">minutes </w:t>
      </w:r>
      <w:r w:rsidR="00913434" w:rsidRPr="00F65CC5">
        <w:rPr>
          <w:rFonts w:asciiTheme="minorHAnsi" w:hAnsiTheme="minorHAnsi" w:cstheme="minorHAnsi"/>
        </w:rPr>
        <w:t xml:space="preserve">on the Council of Europe’s website </w:t>
      </w:r>
      <w:r w:rsidR="000A7B1B" w:rsidRPr="00F65CC5">
        <w:rPr>
          <w:rFonts w:asciiTheme="minorHAnsi" w:hAnsiTheme="minorHAnsi" w:cstheme="minorHAnsi"/>
        </w:rPr>
        <w:t xml:space="preserve">clearly identify </w:t>
      </w:r>
      <w:r w:rsidR="00D670E1" w:rsidRPr="00F65CC5">
        <w:rPr>
          <w:rFonts w:asciiTheme="minorHAnsi" w:hAnsiTheme="minorHAnsi" w:cstheme="minorHAnsi"/>
        </w:rPr>
        <w:t xml:space="preserve">the </w:t>
      </w:r>
      <w:proofErr w:type="spellStart"/>
      <w:r w:rsidR="000A7B1B" w:rsidRPr="00F65CC5">
        <w:rPr>
          <w:rFonts w:asciiTheme="minorHAnsi" w:hAnsiTheme="minorHAnsi" w:cstheme="minorHAnsi"/>
          <w:i/>
          <w:iCs/>
        </w:rPr>
        <w:t>Opuz</w:t>
      </w:r>
      <w:proofErr w:type="spellEnd"/>
      <w:r w:rsidR="000A7B1B" w:rsidRPr="00F65CC5">
        <w:rPr>
          <w:rFonts w:asciiTheme="minorHAnsi" w:hAnsiTheme="minorHAnsi" w:cstheme="minorHAnsi"/>
          <w:i/>
          <w:iCs/>
        </w:rPr>
        <w:t xml:space="preserve"> v </w:t>
      </w:r>
      <w:r w:rsidR="002166DD" w:rsidRPr="00F65CC5">
        <w:rPr>
          <w:rFonts w:asciiTheme="minorHAnsi" w:hAnsiTheme="minorHAnsi" w:cstheme="minorHAnsi"/>
          <w:bCs/>
          <w:i/>
          <w:iCs/>
        </w:rPr>
        <w:t>Türkiye</w:t>
      </w:r>
      <w:r w:rsidR="00CE6749" w:rsidRPr="00BB571A">
        <w:rPr>
          <w:rStyle w:val="FootnoteReference"/>
          <w:rFonts w:asciiTheme="minorHAnsi" w:hAnsiTheme="minorHAnsi" w:cstheme="minorHAnsi"/>
          <w:bCs/>
        </w:rPr>
        <w:footnoteReference w:id="135"/>
      </w:r>
      <w:r w:rsidR="000A7B1B" w:rsidRPr="00BB571A">
        <w:rPr>
          <w:rFonts w:asciiTheme="minorHAnsi" w:hAnsiTheme="minorHAnsi" w:cstheme="minorHAnsi"/>
        </w:rPr>
        <w:t xml:space="preserve"> j</w:t>
      </w:r>
      <w:r w:rsidR="000A7B1B" w:rsidRPr="00F65CC5">
        <w:rPr>
          <w:rFonts w:asciiTheme="minorHAnsi" w:hAnsiTheme="minorHAnsi" w:cstheme="minorHAnsi"/>
        </w:rPr>
        <w:t xml:space="preserve">udgment as the inspiration for creating </w:t>
      </w:r>
      <w:r w:rsidR="00913434" w:rsidRPr="00F65CC5">
        <w:rPr>
          <w:rFonts w:asciiTheme="minorHAnsi" w:hAnsiTheme="minorHAnsi" w:cstheme="minorHAnsi"/>
        </w:rPr>
        <w:t xml:space="preserve">the </w:t>
      </w:r>
      <w:r w:rsidR="000A7B1B" w:rsidRPr="00F65CC5">
        <w:rPr>
          <w:rFonts w:asciiTheme="minorHAnsi" w:hAnsiTheme="minorHAnsi" w:cstheme="minorHAnsi"/>
        </w:rPr>
        <w:t xml:space="preserve">Istanbul Convention. </w:t>
      </w:r>
      <w:r w:rsidR="002166DD" w:rsidRPr="00F65CC5">
        <w:rPr>
          <w:rFonts w:asciiTheme="minorHAnsi" w:hAnsiTheme="minorHAnsi" w:cstheme="minorHAnsi"/>
        </w:rPr>
        <w:t>T</w:t>
      </w:r>
      <w:r w:rsidR="002166DD" w:rsidRPr="00F65CC5">
        <w:rPr>
          <w:rFonts w:asciiTheme="minorHAnsi" w:hAnsiTheme="minorHAnsi" w:cstheme="minorHAnsi"/>
          <w:bCs/>
        </w:rPr>
        <w:t>ürkiye</w:t>
      </w:r>
      <w:r w:rsidR="00BB571A">
        <w:rPr>
          <w:rFonts w:asciiTheme="minorHAnsi" w:hAnsiTheme="minorHAnsi" w:cstheme="minorHAnsi"/>
          <w:bCs/>
        </w:rPr>
        <w:t>,</w:t>
      </w:r>
      <w:r w:rsidR="000A7B1B" w:rsidRPr="00F65CC5">
        <w:rPr>
          <w:rFonts w:asciiTheme="minorHAnsi" w:hAnsiTheme="minorHAnsi" w:cstheme="minorHAnsi"/>
        </w:rPr>
        <w:t xml:space="preserve"> as the name of the Convention suggests</w:t>
      </w:r>
      <w:r w:rsidR="00BB571A">
        <w:rPr>
          <w:rFonts w:asciiTheme="minorHAnsi" w:hAnsiTheme="minorHAnsi" w:cstheme="minorHAnsi"/>
        </w:rPr>
        <w:t>,</w:t>
      </w:r>
      <w:r w:rsidR="000A7B1B" w:rsidRPr="00F65CC5">
        <w:rPr>
          <w:rFonts w:asciiTheme="minorHAnsi" w:hAnsiTheme="minorHAnsi" w:cstheme="minorHAnsi"/>
        </w:rPr>
        <w:t xml:space="preserve"> was a leading State in the preparation of the Convention, which launched in May 2011</w:t>
      </w:r>
      <w:r w:rsidR="00595B87">
        <w:rPr>
          <w:rFonts w:asciiTheme="minorHAnsi" w:hAnsiTheme="minorHAnsi" w:cstheme="minorHAnsi"/>
        </w:rPr>
        <w:t>,</w:t>
      </w:r>
      <w:r w:rsidR="000A7B1B" w:rsidRPr="00F65CC5">
        <w:rPr>
          <w:rFonts w:asciiTheme="minorHAnsi" w:hAnsiTheme="minorHAnsi" w:cstheme="minorHAnsi"/>
        </w:rPr>
        <w:t xml:space="preserve"> with </w:t>
      </w:r>
      <w:r w:rsidR="00335812" w:rsidRPr="00F65CC5">
        <w:rPr>
          <w:rFonts w:asciiTheme="minorHAnsi" w:hAnsiTheme="minorHAnsi" w:cstheme="minorHAnsi"/>
        </w:rPr>
        <w:t>T</w:t>
      </w:r>
      <w:r w:rsidR="00335812" w:rsidRPr="00F65CC5">
        <w:rPr>
          <w:rFonts w:asciiTheme="minorHAnsi" w:hAnsiTheme="minorHAnsi" w:cstheme="minorHAnsi"/>
          <w:bCs/>
        </w:rPr>
        <w:t>ürkiye</w:t>
      </w:r>
      <w:r w:rsidR="000A7B1B" w:rsidRPr="00F65CC5">
        <w:rPr>
          <w:rFonts w:asciiTheme="minorHAnsi" w:hAnsiTheme="minorHAnsi" w:cstheme="minorHAnsi"/>
        </w:rPr>
        <w:t xml:space="preserve"> being one of the first States to</w:t>
      </w:r>
      <w:r w:rsidR="005B2625" w:rsidRPr="00F65CC5">
        <w:rPr>
          <w:rFonts w:asciiTheme="minorHAnsi" w:hAnsiTheme="minorHAnsi" w:cstheme="minorHAnsi"/>
        </w:rPr>
        <w:t xml:space="preserve"> sign it</w:t>
      </w:r>
      <w:r w:rsidR="000A7B1B" w:rsidRPr="00F65CC5">
        <w:rPr>
          <w:rFonts w:asciiTheme="minorHAnsi" w:hAnsiTheme="minorHAnsi" w:cstheme="minorHAnsi"/>
        </w:rPr>
        <w:t>.</w:t>
      </w:r>
      <w:r w:rsidR="005B2625" w:rsidRPr="00F65CC5">
        <w:rPr>
          <w:rFonts w:asciiTheme="minorHAnsi" w:hAnsiTheme="minorHAnsi" w:cstheme="minorHAnsi"/>
        </w:rPr>
        <w:t xml:space="preserve"> The</w:t>
      </w:r>
      <w:r w:rsidR="000A7B1B" w:rsidRPr="00F65CC5">
        <w:rPr>
          <w:rFonts w:asciiTheme="minorHAnsi" w:hAnsiTheme="minorHAnsi" w:cstheme="minorHAnsi"/>
        </w:rPr>
        <w:t xml:space="preserve"> </w:t>
      </w:r>
      <w:proofErr w:type="spellStart"/>
      <w:r w:rsidR="000A7B1B" w:rsidRPr="00F65CC5">
        <w:rPr>
          <w:rFonts w:asciiTheme="minorHAnsi" w:hAnsiTheme="minorHAnsi" w:cstheme="minorHAnsi"/>
          <w:i/>
          <w:iCs/>
        </w:rPr>
        <w:t>Opuz</w:t>
      </w:r>
      <w:proofErr w:type="spellEnd"/>
      <w:r w:rsidR="000A7B1B" w:rsidRPr="00F65CC5">
        <w:rPr>
          <w:rFonts w:asciiTheme="minorHAnsi" w:hAnsiTheme="minorHAnsi" w:cstheme="minorHAnsi"/>
          <w:i/>
          <w:iCs/>
        </w:rPr>
        <w:t xml:space="preserve"> v </w:t>
      </w:r>
      <w:r w:rsidR="002166DD" w:rsidRPr="00F65CC5">
        <w:rPr>
          <w:rFonts w:asciiTheme="minorHAnsi" w:hAnsiTheme="minorHAnsi" w:cstheme="minorHAnsi"/>
          <w:i/>
          <w:iCs/>
        </w:rPr>
        <w:t>T</w:t>
      </w:r>
      <w:r w:rsidR="002166DD" w:rsidRPr="00F65CC5">
        <w:rPr>
          <w:rFonts w:asciiTheme="minorHAnsi" w:hAnsiTheme="minorHAnsi" w:cstheme="minorHAnsi"/>
          <w:bCs/>
          <w:i/>
          <w:iCs/>
        </w:rPr>
        <w:t>ürkiye</w:t>
      </w:r>
      <w:r w:rsidR="000A7B1B" w:rsidRPr="00F65CC5">
        <w:rPr>
          <w:rFonts w:asciiTheme="minorHAnsi" w:hAnsiTheme="minorHAnsi" w:cstheme="minorHAnsi"/>
        </w:rPr>
        <w:t xml:space="preserve"> judgment of the European Court of Human Rights in 2009 had been ground-breaking with regards to the recognition of gender-based violence as a form of torture</w:t>
      </w:r>
      <w:r w:rsidR="00913434" w:rsidRPr="00F65CC5">
        <w:rPr>
          <w:rFonts w:asciiTheme="minorHAnsi" w:hAnsiTheme="minorHAnsi" w:cstheme="minorHAnsi"/>
        </w:rPr>
        <w:t xml:space="preserve"> and t</w:t>
      </w:r>
      <w:r w:rsidR="000A7B1B" w:rsidRPr="00F65CC5">
        <w:rPr>
          <w:rFonts w:asciiTheme="minorHAnsi" w:hAnsiTheme="minorHAnsi" w:cstheme="minorHAnsi"/>
        </w:rPr>
        <w:t>he discriminatory passiv</w:t>
      </w:r>
      <w:r w:rsidR="001D36D1">
        <w:rPr>
          <w:rFonts w:asciiTheme="minorHAnsi" w:hAnsiTheme="minorHAnsi" w:cstheme="minorHAnsi"/>
        </w:rPr>
        <w:t>ity</w:t>
      </w:r>
      <w:r w:rsidR="000A7B1B" w:rsidRPr="00F65CC5">
        <w:rPr>
          <w:rFonts w:asciiTheme="minorHAnsi" w:hAnsiTheme="minorHAnsi" w:cstheme="minorHAnsi"/>
        </w:rPr>
        <w:t xml:space="preserve"> of the Turkish authorities when it c</w:t>
      </w:r>
      <w:r w:rsidR="00B000FB">
        <w:rPr>
          <w:rFonts w:asciiTheme="minorHAnsi" w:hAnsiTheme="minorHAnsi" w:cstheme="minorHAnsi"/>
        </w:rPr>
        <w:t>ame</w:t>
      </w:r>
      <w:r w:rsidR="000A7B1B" w:rsidRPr="00F65CC5">
        <w:rPr>
          <w:rFonts w:asciiTheme="minorHAnsi" w:hAnsiTheme="minorHAnsi" w:cstheme="minorHAnsi"/>
        </w:rPr>
        <w:t xml:space="preserve"> to protecting women from violence</w:t>
      </w:r>
      <w:r w:rsidR="00913434" w:rsidRPr="00F65CC5">
        <w:rPr>
          <w:rFonts w:asciiTheme="minorHAnsi" w:hAnsiTheme="minorHAnsi" w:cstheme="minorHAnsi"/>
        </w:rPr>
        <w:t xml:space="preserve">. </w:t>
      </w:r>
    </w:p>
    <w:p w14:paraId="665CD5A4" w14:textId="77777777" w:rsidR="000A7B1B" w:rsidRPr="00F65CC5" w:rsidRDefault="000A7B1B" w:rsidP="007933F6">
      <w:pPr>
        <w:jc w:val="both"/>
        <w:rPr>
          <w:rFonts w:asciiTheme="minorHAnsi" w:hAnsiTheme="minorHAnsi" w:cstheme="minorHAnsi"/>
        </w:rPr>
      </w:pPr>
    </w:p>
    <w:p w14:paraId="127CDD8E" w14:textId="026F328D" w:rsidR="000A7B1B" w:rsidRPr="00F65CC5" w:rsidRDefault="000A7B1B" w:rsidP="007933F6">
      <w:pPr>
        <w:ind w:left="851" w:right="1417"/>
        <w:jc w:val="both"/>
        <w:rPr>
          <w:rFonts w:asciiTheme="minorHAnsi" w:hAnsiTheme="minorHAnsi" w:cstheme="minorHAnsi"/>
        </w:rPr>
      </w:pPr>
      <w:r w:rsidRPr="00F65CC5">
        <w:rPr>
          <w:rFonts w:asciiTheme="minorHAnsi" w:hAnsiTheme="minorHAnsi" w:cstheme="minorHAnsi"/>
        </w:rPr>
        <w:t xml:space="preserve">198. …the Court considers that the applicant has been able to show, supported by unchallenged statistical information, the existence of a </w:t>
      </w:r>
      <w:r w:rsidRPr="00D36CAF">
        <w:rPr>
          <w:rFonts w:asciiTheme="minorHAnsi" w:hAnsiTheme="minorHAnsi" w:cstheme="minorHAnsi"/>
          <w:i/>
          <w:iCs/>
        </w:rPr>
        <w:t>prima facie</w:t>
      </w:r>
      <w:r w:rsidRPr="00F65CC5">
        <w:rPr>
          <w:rFonts w:asciiTheme="minorHAnsi" w:hAnsiTheme="minorHAnsi" w:cstheme="minorHAnsi"/>
        </w:rPr>
        <w:t xml:space="preserve"> indication that domestic violence affected mainly women and that the general and discriminatory judicial passivity in Turkey created a climate that was conducive to domestic violence.</w:t>
      </w:r>
    </w:p>
    <w:p w14:paraId="2855F65D" w14:textId="77777777" w:rsidR="0096267B" w:rsidRPr="00F65CC5" w:rsidRDefault="0096267B" w:rsidP="007933F6">
      <w:pPr>
        <w:ind w:right="798"/>
        <w:jc w:val="both"/>
        <w:rPr>
          <w:rFonts w:asciiTheme="minorHAnsi" w:hAnsiTheme="minorHAnsi" w:cstheme="minorHAnsi"/>
        </w:rPr>
      </w:pPr>
    </w:p>
    <w:p w14:paraId="258ABED8" w14:textId="46A2E419" w:rsidR="008B18D1" w:rsidRPr="00F65CC5" w:rsidRDefault="003F27F2" w:rsidP="007933F6">
      <w:pPr>
        <w:ind w:right="798"/>
        <w:jc w:val="both"/>
        <w:rPr>
          <w:rFonts w:asciiTheme="minorHAnsi" w:hAnsiTheme="minorHAnsi" w:cstheme="minorHAnsi"/>
          <w:bCs/>
        </w:rPr>
      </w:pPr>
      <w:r w:rsidRPr="00F65CC5">
        <w:rPr>
          <w:rFonts w:asciiTheme="minorHAnsi" w:hAnsiTheme="minorHAnsi" w:cstheme="minorHAnsi"/>
          <w:bCs/>
        </w:rPr>
        <w:t xml:space="preserve">Our </w:t>
      </w:r>
      <w:r w:rsidR="00704A51" w:rsidRPr="00F65CC5">
        <w:rPr>
          <w:rFonts w:asciiTheme="minorHAnsi" w:hAnsiTheme="minorHAnsi" w:cstheme="minorHAnsi"/>
          <w:bCs/>
        </w:rPr>
        <w:t>interviewees</w:t>
      </w:r>
      <w:r w:rsidRPr="00F65CC5">
        <w:rPr>
          <w:rFonts w:asciiTheme="minorHAnsi" w:hAnsiTheme="minorHAnsi" w:cstheme="minorHAnsi"/>
          <w:bCs/>
        </w:rPr>
        <w:t xml:space="preserve"> also recognised </w:t>
      </w:r>
      <w:proofErr w:type="spellStart"/>
      <w:r w:rsidR="008B18D1" w:rsidRPr="00F65CC5">
        <w:rPr>
          <w:rFonts w:asciiTheme="minorHAnsi" w:hAnsiTheme="minorHAnsi" w:cstheme="minorHAnsi"/>
          <w:bCs/>
          <w:i/>
          <w:iCs/>
        </w:rPr>
        <w:t>Opuz</w:t>
      </w:r>
      <w:proofErr w:type="spellEnd"/>
      <w:r w:rsidR="008B18D1" w:rsidRPr="00F65CC5">
        <w:rPr>
          <w:rFonts w:asciiTheme="minorHAnsi" w:hAnsiTheme="minorHAnsi" w:cstheme="minorHAnsi"/>
          <w:bCs/>
        </w:rPr>
        <w:t xml:space="preserve"> </w:t>
      </w:r>
      <w:r w:rsidRPr="00F65CC5">
        <w:rPr>
          <w:rFonts w:asciiTheme="minorHAnsi" w:hAnsiTheme="minorHAnsi" w:cstheme="minorHAnsi"/>
          <w:bCs/>
        </w:rPr>
        <w:t xml:space="preserve">as the starting point for the Convention. It </w:t>
      </w:r>
      <w:r w:rsidR="008B18D1" w:rsidRPr="00F65CC5">
        <w:rPr>
          <w:rFonts w:asciiTheme="minorHAnsi" w:hAnsiTheme="minorHAnsi" w:cstheme="minorHAnsi"/>
          <w:bCs/>
        </w:rPr>
        <w:t xml:space="preserve">was mentioned in the interviews as the creator of the Convention: </w:t>
      </w:r>
    </w:p>
    <w:p w14:paraId="56CF9621" w14:textId="4E837F52" w:rsidR="008B18D1" w:rsidRPr="00F65CC5" w:rsidRDefault="008B18D1" w:rsidP="007933F6">
      <w:pPr>
        <w:ind w:right="798"/>
        <w:jc w:val="both"/>
        <w:rPr>
          <w:rFonts w:asciiTheme="minorHAnsi" w:hAnsiTheme="minorHAnsi" w:cstheme="minorHAnsi"/>
          <w:bCs/>
        </w:rPr>
      </w:pPr>
      <w:r w:rsidRPr="00F65CC5">
        <w:rPr>
          <w:rFonts w:asciiTheme="minorHAnsi" w:hAnsiTheme="minorHAnsi" w:cstheme="minorHAnsi"/>
          <w:bCs/>
        </w:rPr>
        <w:t xml:space="preserve">        </w:t>
      </w:r>
    </w:p>
    <w:p w14:paraId="74BF536A" w14:textId="4EF62366" w:rsidR="008B18D1" w:rsidRPr="00F65CC5" w:rsidRDefault="008B18D1" w:rsidP="007933F6">
      <w:pPr>
        <w:ind w:left="851" w:right="1417"/>
        <w:jc w:val="both"/>
        <w:rPr>
          <w:rFonts w:asciiTheme="minorHAnsi" w:hAnsiTheme="minorHAnsi" w:cstheme="minorHAnsi"/>
          <w:bCs/>
        </w:rPr>
      </w:pPr>
      <w:r w:rsidRPr="00F65CC5">
        <w:rPr>
          <w:rFonts w:asciiTheme="minorHAnsi" w:hAnsiTheme="minorHAnsi" w:cstheme="minorHAnsi"/>
          <w:bCs/>
        </w:rPr>
        <w:lastRenderedPageBreak/>
        <w:t>When T</w:t>
      </w:r>
      <w:r w:rsidR="00A7177D" w:rsidRPr="00F65CC5">
        <w:rPr>
          <w:rFonts w:asciiTheme="minorHAnsi" w:hAnsiTheme="minorHAnsi" w:cstheme="minorHAnsi"/>
          <w:bCs/>
        </w:rPr>
        <w:t>ü</w:t>
      </w:r>
      <w:r w:rsidRPr="00F65CC5">
        <w:rPr>
          <w:rFonts w:asciiTheme="minorHAnsi" w:hAnsiTheme="minorHAnsi" w:cstheme="minorHAnsi"/>
          <w:bCs/>
        </w:rPr>
        <w:t xml:space="preserve">rkiye was found in violation of the Convention by the ECtHR, </w:t>
      </w:r>
      <w:r w:rsidR="005B2625" w:rsidRPr="00F65CC5">
        <w:rPr>
          <w:rFonts w:asciiTheme="minorHAnsi" w:hAnsiTheme="minorHAnsi" w:cstheme="minorHAnsi"/>
          <w:bCs/>
        </w:rPr>
        <w:t xml:space="preserve">the </w:t>
      </w:r>
      <w:r w:rsidRPr="00F65CC5">
        <w:rPr>
          <w:rFonts w:asciiTheme="minorHAnsi" w:hAnsiTheme="minorHAnsi" w:cstheme="minorHAnsi"/>
          <w:bCs/>
        </w:rPr>
        <w:t>prime minister of the time …in general the government decided to deal with this issue</w:t>
      </w:r>
      <w:r w:rsidR="004C789C">
        <w:rPr>
          <w:rFonts w:asciiTheme="minorHAnsi" w:hAnsiTheme="minorHAnsi" w:cstheme="minorHAnsi"/>
          <w:bCs/>
        </w:rPr>
        <w:t>.</w:t>
      </w:r>
      <w:r w:rsidR="00E653D0" w:rsidRPr="00F65CC5">
        <w:rPr>
          <w:rStyle w:val="FootnoteReference"/>
          <w:rFonts w:asciiTheme="minorHAnsi" w:hAnsiTheme="minorHAnsi" w:cstheme="minorHAnsi"/>
          <w:bCs/>
        </w:rPr>
        <w:footnoteReference w:id="136"/>
      </w:r>
    </w:p>
    <w:p w14:paraId="6AF00B22" w14:textId="77777777" w:rsidR="008B18D1" w:rsidRPr="00F65CC5" w:rsidRDefault="008B18D1" w:rsidP="007933F6">
      <w:pPr>
        <w:ind w:left="851" w:right="1417"/>
        <w:jc w:val="both"/>
        <w:rPr>
          <w:rFonts w:asciiTheme="minorHAnsi" w:hAnsiTheme="minorHAnsi" w:cstheme="minorHAnsi"/>
          <w:bCs/>
        </w:rPr>
      </w:pPr>
    </w:p>
    <w:p w14:paraId="15E7FA7C" w14:textId="6665831A" w:rsidR="008B18D1" w:rsidRPr="00F65CC5" w:rsidRDefault="008B18D1" w:rsidP="007933F6">
      <w:pPr>
        <w:ind w:left="851" w:right="1417"/>
        <w:jc w:val="both"/>
        <w:rPr>
          <w:rFonts w:asciiTheme="minorHAnsi" w:hAnsiTheme="minorHAnsi" w:cstheme="minorHAnsi"/>
          <w:bCs/>
        </w:rPr>
      </w:pPr>
      <w:r w:rsidRPr="00F65CC5">
        <w:rPr>
          <w:rFonts w:asciiTheme="minorHAnsi" w:hAnsiTheme="minorHAnsi" w:cstheme="minorHAnsi"/>
          <w:bCs/>
        </w:rPr>
        <w:t xml:space="preserve">The Istanbul Convention was shaped by </w:t>
      </w:r>
      <w:r w:rsidR="004C789C">
        <w:rPr>
          <w:rFonts w:asciiTheme="minorHAnsi" w:hAnsiTheme="minorHAnsi" w:cstheme="minorHAnsi"/>
          <w:bCs/>
        </w:rPr>
        <w:t xml:space="preserve">the </w:t>
      </w:r>
      <w:r w:rsidRPr="00F65CC5">
        <w:rPr>
          <w:rFonts w:asciiTheme="minorHAnsi" w:hAnsiTheme="minorHAnsi" w:cstheme="minorHAnsi"/>
          <w:bCs/>
        </w:rPr>
        <w:t xml:space="preserve">Nahide </w:t>
      </w:r>
      <w:proofErr w:type="spellStart"/>
      <w:r w:rsidRPr="00F65CC5">
        <w:rPr>
          <w:rFonts w:asciiTheme="minorHAnsi" w:hAnsiTheme="minorHAnsi" w:cstheme="minorHAnsi"/>
          <w:bCs/>
        </w:rPr>
        <w:t>Opuz</w:t>
      </w:r>
      <w:proofErr w:type="spellEnd"/>
      <w:r w:rsidRPr="00F65CC5">
        <w:rPr>
          <w:rFonts w:asciiTheme="minorHAnsi" w:hAnsiTheme="minorHAnsi" w:cstheme="minorHAnsi"/>
          <w:bCs/>
        </w:rPr>
        <w:t xml:space="preserve"> judgment.</w:t>
      </w:r>
      <w:r w:rsidR="00246733">
        <w:rPr>
          <w:rFonts w:asciiTheme="minorHAnsi" w:hAnsiTheme="minorHAnsi" w:cstheme="minorHAnsi"/>
          <w:bCs/>
        </w:rPr>
        <w:t xml:space="preserve"> </w:t>
      </w:r>
      <w:r w:rsidRPr="00F65CC5">
        <w:rPr>
          <w:rFonts w:asciiTheme="minorHAnsi" w:hAnsiTheme="minorHAnsi" w:cstheme="minorHAnsi"/>
          <w:bCs/>
        </w:rPr>
        <w:t>They have taken the reasoning of the judgment through which T</w:t>
      </w:r>
      <w:r w:rsidR="00A7177D" w:rsidRPr="00F65CC5">
        <w:rPr>
          <w:rFonts w:asciiTheme="minorHAnsi" w:hAnsiTheme="minorHAnsi" w:cstheme="minorHAnsi"/>
          <w:bCs/>
        </w:rPr>
        <w:t>ü</w:t>
      </w:r>
      <w:r w:rsidRPr="00F65CC5">
        <w:rPr>
          <w:rFonts w:asciiTheme="minorHAnsi" w:hAnsiTheme="minorHAnsi" w:cstheme="minorHAnsi"/>
          <w:bCs/>
        </w:rPr>
        <w:t>rkiye was found in breach of ECHR for its failure to protect women from domestic violence and turned it into an international Convention</w:t>
      </w:r>
      <w:r w:rsidR="00246733">
        <w:rPr>
          <w:rFonts w:asciiTheme="minorHAnsi" w:hAnsiTheme="minorHAnsi" w:cstheme="minorHAnsi"/>
          <w:bCs/>
        </w:rPr>
        <w:t>.</w:t>
      </w:r>
      <w:r w:rsidR="00E653D0" w:rsidRPr="00F65CC5">
        <w:rPr>
          <w:rStyle w:val="FootnoteReference"/>
          <w:rFonts w:asciiTheme="minorHAnsi" w:hAnsiTheme="minorHAnsi" w:cstheme="minorHAnsi"/>
          <w:bCs/>
        </w:rPr>
        <w:footnoteReference w:id="137"/>
      </w:r>
    </w:p>
    <w:p w14:paraId="7F812682" w14:textId="77777777" w:rsidR="008B18D1" w:rsidRPr="00F65CC5" w:rsidRDefault="008B18D1" w:rsidP="007933F6">
      <w:pPr>
        <w:ind w:left="851" w:right="1417"/>
        <w:jc w:val="both"/>
        <w:rPr>
          <w:rFonts w:asciiTheme="minorHAnsi" w:hAnsiTheme="minorHAnsi" w:cstheme="minorHAnsi"/>
          <w:bCs/>
        </w:rPr>
      </w:pPr>
    </w:p>
    <w:p w14:paraId="18AF43AA" w14:textId="38CD17CD" w:rsidR="008B18D1" w:rsidRPr="00F65CC5" w:rsidRDefault="008B18D1" w:rsidP="007933F6">
      <w:pPr>
        <w:ind w:left="851" w:right="1417"/>
        <w:jc w:val="both"/>
        <w:rPr>
          <w:rFonts w:asciiTheme="minorHAnsi" w:hAnsiTheme="minorHAnsi" w:cstheme="minorHAnsi"/>
          <w:bCs/>
        </w:rPr>
      </w:pPr>
      <w:r w:rsidRPr="00F65CC5">
        <w:rPr>
          <w:rFonts w:asciiTheme="minorHAnsi" w:hAnsiTheme="minorHAnsi" w:cstheme="minorHAnsi"/>
          <w:bCs/>
        </w:rPr>
        <w:t>In 2008 violence against women increased by 1400</w:t>
      </w:r>
      <w:r w:rsidR="00335812" w:rsidRPr="00F65CC5">
        <w:rPr>
          <w:rFonts w:asciiTheme="minorHAnsi" w:hAnsiTheme="minorHAnsi" w:cstheme="minorHAnsi"/>
          <w:bCs/>
        </w:rPr>
        <w:t>%</w:t>
      </w:r>
      <w:r w:rsidRPr="00F65CC5">
        <w:rPr>
          <w:rFonts w:asciiTheme="minorHAnsi" w:hAnsiTheme="minorHAnsi" w:cstheme="minorHAnsi"/>
          <w:bCs/>
        </w:rPr>
        <w:t xml:space="preserve"> over the past 10 years in T</w:t>
      </w:r>
      <w:r w:rsidR="005B29FB" w:rsidRPr="00F65CC5">
        <w:rPr>
          <w:rFonts w:asciiTheme="minorHAnsi" w:hAnsiTheme="minorHAnsi" w:cstheme="minorHAnsi"/>
        </w:rPr>
        <w:t>ü</w:t>
      </w:r>
      <w:r w:rsidRPr="00F65CC5">
        <w:rPr>
          <w:rFonts w:asciiTheme="minorHAnsi" w:hAnsiTheme="minorHAnsi" w:cstheme="minorHAnsi"/>
          <w:bCs/>
        </w:rPr>
        <w:t xml:space="preserve">rkiye. A year later </w:t>
      </w:r>
      <w:proofErr w:type="spellStart"/>
      <w:r w:rsidRPr="00F65CC5">
        <w:rPr>
          <w:rFonts w:asciiTheme="minorHAnsi" w:hAnsiTheme="minorHAnsi" w:cstheme="minorHAnsi"/>
          <w:bCs/>
          <w:i/>
          <w:iCs/>
        </w:rPr>
        <w:t>Opuz</w:t>
      </w:r>
      <w:proofErr w:type="spellEnd"/>
      <w:r w:rsidRPr="00F65CC5">
        <w:rPr>
          <w:rFonts w:asciiTheme="minorHAnsi" w:hAnsiTheme="minorHAnsi" w:cstheme="minorHAnsi"/>
          <w:bCs/>
          <w:i/>
          <w:iCs/>
        </w:rPr>
        <w:t xml:space="preserve"> v T</w:t>
      </w:r>
      <w:r w:rsidR="002B6157" w:rsidRPr="00F65CC5">
        <w:rPr>
          <w:rFonts w:asciiTheme="minorHAnsi" w:hAnsiTheme="minorHAnsi" w:cstheme="minorHAnsi"/>
          <w:bCs/>
          <w:i/>
          <w:iCs/>
        </w:rPr>
        <w:t>ü</w:t>
      </w:r>
      <w:r w:rsidRPr="00F65CC5">
        <w:rPr>
          <w:rFonts w:asciiTheme="minorHAnsi" w:hAnsiTheme="minorHAnsi" w:cstheme="minorHAnsi"/>
          <w:bCs/>
          <w:i/>
          <w:iCs/>
        </w:rPr>
        <w:t>rkiye</w:t>
      </w:r>
      <w:r w:rsidRPr="00F65CC5">
        <w:rPr>
          <w:rFonts w:asciiTheme="minorHAnsi" w:hAnsiTheme="minorHAnsi" w:cstheme="minorHAnsi"/>
          <w:bCs/>
        </w:rPr>
        <w:t xml:space="preserve"> judgment was delivered and in 2011 Istanbul Convention was opened for signature</w:t>
      </w:r>
      <w:r w:rsidR="00564A4A">
        <w:rPr>
          <w:rFonts w:asciiTheme="minorHAnsi" w:hAnsiTheme="minorHAnsi" w:cstheme="minorHAnsi"/>
          <w:bCs/>
        </w:rPr>
        <w:t>.</w:t>
      </w:r>
      <w:r w:rsidR="00E653D0" w:rsidRPr="00F65CC5">
        <w:rPr>
          <w:rStyle w:val="FootnoteReference"/>
          <w:rFonts w:asciiTheme="minorHAnsi" w:hAnsiTheme="minorHAnsi" w:cstheme="minorHAnsi"/>
          <w:bCs/>
        </w:rPr>
        <w:footnoteReference w:id="138"/>
      </w:r>
    </w:p>
    <w:p w14:paraId="0226CCC8" w14:textId="77777777" w:rsidR="008B18D1" w:rsidRPr="00F65CC5" w:rsidRDefault="008B18D1" w:rsidP="007933F6">
      <w:pPr>
        <w:ind w:left="567" w:right="798"/>
        <w:jc w:val="both"/>
        <w:rPr>
          <w:rFonts w:asciiTheme="minorHAnsi" w:hAnsiTheme="minorHAnsi" w:cstheme="minorHAnsi"/>
        </w:rPr>
      </w:pPr>
    </w:p>
    <w:p w14:paraId="5F648FA1" w14:textId="613CFAF1" w:rsidR="00A01E94" w:rsidRPr="00F65CC5" w:rsidRDefault="005328E4" w:rsidP="007933F6">
      <w:pPr>
        <w:ind w:right="-52"/>
        <w:jc w:val="both"/>
        <w:rPr>
          <w:rFonts w:asciiTheme="minorHAnsi" w:hAnsiTheme="minorHAnsi" w:cstheme="minorHAnsi"/>
        </w:rPr>
      </w:pPr>
      <w:r w:rsidRPr="00F65CC5">
        <w:rPr>
          <w:rFonts w:asciiTheme="minorHAnsi" w:hAnsiTheme="minorHAnsi" w:cstheme="minorHAnsi"/>
        </w:rPr>
        <w:t>T</w:t>
      </w:r>
      <w:r w:rsidR="002B6157" w:rsidRPr="00F65CC5">
        <w:rPr>
          <w:rFonts w:asciiTheme="minorHAnsi" w:hAnsiTheme="minorHAnsi" w:cstheme="minorHAnsi"/>
          <w:lang w:val="tr-TR"/>
        </w:rPr>
        <w:t>ü</w:t>
      </w:r>
      <w:proofErr w:type="spellStart"/>
      <w:r w:rsidRPr="00F65CC5">
        <w:rPr>
          <w:rFonts w:asciiTheme="minorHAnsi" w:hAnsiTheme="minorHAnsi" w:cstheme="minorHAnsi"/>
        </w:rPr>
        <w:t>rkiye</w:t>
      </w:r>
      <w:r w:rsidR="00FD6F99" w:rsidRPr="00F65CC5">
        <w:rPr>
          <w:rFonts w:asciiTheme="minorHAnsi" w:hAnsiTheme="minorHAnsi" w:cstheme="minorHAnsi"/>
        </w:rPr>
        <w:t>’s</w:t>
      </w:r>
      <w:proofErr w:type="spellEnd"/>
      <w:r w:rsidRPr="00F65CC5">
        <w:rPr>
          <w:rFonts w:asciiTheme="minorHAnsi" w:hAnsiTheme="minorHAnsi" w:cstheme="minorHAnsi"/>
        </w:rPr>
        <w:t xml:space="preserve"> passiv</w:t>
      </w:r>
      <w:r w:rsidR="00FD6F99" w:rsidRPr="00F65CC5">
        <w:rPr>
          <w:rFonts w:asciiTheme="minorHAnsi" w:hAnsiTheme="minorHAnsi" w:cstheme="minorHAnsi"/>
        </w:rPr>
        <w:t>ity regarding</w:t>
      </w:r>
      <w:r w:rsidRPr="00F65CC5">
        <w:rPr>
          <w:rFonts w:asciiTheme="minorHAnsi" w:hAnsiTheme="minorHAnsi" w:cstheme="minorHAnsi"/>
        </w:rPr>
        <w:t xml:space="preserve"> combatting violence against </w:t>
      </w:r>
      <w:r w:rsidR="00FD6F99" w:rsidRPr="00F65CC5">
        <w:rPr>
          <w:rFonts w:asciiTheme="minorHAnsi" w:hAnsiTheme="minorHAnsi" w:cstheme="minorHAnsi"/>
        </w:rPr>
        <w:t>women led to the emergence of the Convention.</w:t>
      </w:r>
      <w:r w:rsidRPr="00F65CC5">
        <w:rPr>
          <w:rFonts w:asciiTheme="minorHAnsi" w:hAnsiTheme="minorHAnsi" w:cstheme="minorHAnsi"/>
        </w:rPr>
        <w:t xml:space="preserve"> </w:t>
      </w:r>
      <w:r w:rsidR="00FD6F99" w:rsidRPr="00F65CC5">
        <w:rPr>
          <w:rFonts w:asciiTheme="minorHAnsi" w:hAnsiTheme="minorHAnsi" w:cstheme="minorHAnsi"/>
        </w:rPr>
        <w:t>T</w:t>
      </w:r>
      <w:r w:rsidRPr="00F65CC5">
        <w:rPr>
          <w:rFonts w:asciiTheme="minorHAnsi" w:hAnsiTheme="minorHAnsi" w:cstheme="minorHAnsi"/>
        </w:rPr>
        <w:t>he Convention was drafted as a response to th</w:t>
      </w:r>
      <w:r w:rsidR="005B2625" w:rsidRPr="00F65CC5">
        <w:rPr>
          <w:rFonts w:asciiTheme="minorHAnsi" w:hAnsiTheme="minorHAnsi" w:cstheme="minorHAnsi"/>
        </w:rPr>
        <w:t>e</w:t>
      </w:r>
      <w:r w:rsidRPr="00F65CC5">
        <w:rPr>
          <w:rFonts w:asciiTheme="minorHAnsi" w:hAnsiTheme="minorHAnsi" w:cstheme="minorHAnsi"/>
        </w:rPr>
        <w:t xml:space="preserve"> inacti</w:t>
      </w:r>
      <w:r w:rsidR="00564A4A">
        <w:rPr>
          <w:rFonts w:asciiTheme="minorHAnsi" w:hAnsiTheme="minorHAnsi" w:cstheme="minorHAnsi"/>
        </w:rPr>
        <w:t>on</w:t>
      </w:r>
      <w:r w:rsidR="00821BAC" w:rsidRPr="00F65CC5">
        <w:rPr>
          <w:rFonts w:asciiTheme="minorHAnsi" w:hAnsiTheme="minorHAnsi" w:cstheme="minorHAnsi"/>
        </w:rPr>
        <w:t xml:space="preserve"> </w:t>
      </w:r>
      <w:r w:rsidR="00FD6F99" w:rsidRPr="00F65CC5">
        <w:rPr>
          <w:rFonts w:asciiTheme="minorHAnsi" w:hAnsiTheme="minorHAnsi" w:cstheme="minorHAnsi"/>
        </w:rPr>
        <w:t xml:space="preserve">of </w:t>
      </w:r>
      <w:r w:rsidRPr="00F65CC5">
        <w:rPr>
          <w:rFonts w:asciiTheme="minorHAnsi" w:hAnsiTheme="minorHAnsi" w:cstheme="minorHAnsi"/>
        </w:rPr>
        <w:t>T</w:t>
      </w:r>
      <w:r w:rsidR="00A7177D" w:rsidRPr="00F65CC5">
        <w:rPr>
          <w:rFonts w:asciiTheme="minorHAnsi" w:hAnsiTheme="minorHAnsi" w:cstheme="minorHAnsi"/>
        </w:rPr>
        <w:t>ü</w:t>
      </w:r>
      <w:r w:rsidRPr="00F65CC5">
        <w:rPr>
          <w:rFonts w:asciiTheme="minorHAnsi" w:hAnsiTheme="minorHAnsi" w:cstheme="minorHAnsi"/>
        </w:rPr>
        <w:t>rkiye</w:t>
      </w:r>
      <w:r w:rsidR="00821BAC" w:rsidRPr="00F65CC5">
        <w:rPr>
          <w:rFonts w:asciiTheme="minorHAnsi" w:hAnsiTheme="minorHAnsi" w:cstheme="minorHAnsi"/>
        </w:rPr>
        <w:t xml:space="preserve"> to protect women’s lives</w:t>
      </w:r>
      <w:r w:rsidR="00FD6F99" w:rsidRPr="00F65CC5">
        <w:rPr>
          <w:rFonts w:asciiTheme="minorHAnsi" w:hAnsiTheme="minorHAnsi" w:cstheme="minorHAnsi"/>
        </w:rPr>
        <w:t>.</w:t>
      </w:r>
      <w:r w:rsidRPr="00F65CC5">
        <w:rPr>
          <w:rFonts w:asciiTheme="minorHAnsi" w:hAnsiTheme="minorHAnsi" w:cstheme="minorHAnsi"/>
        </w:rPr>
        <w:t xml:space="preserve"> </w:t>
      </w:r>
      <w:r w:rsidR="00D35773" w:rsidRPr="00F65CC5">
        <w:rPr>
          <w:rFonts w:asciiTheme="minorHAnsi" w:hAnsiTheme="minorHAnsi" w:cstheme="minorHAnsi"/>
        </w:rPr>
        <w:t>The making of the law stem</w:t>
      </w:r>
      <w:r w:rsidR="00335812" w:rsidRPr="00F65CC5">
        <w:rPr>
          <w:rFonts w:asciiTheme="minorHAnsi" w:hAnsiTheme="minorHAnsi" w:cstheme="minorHAnsi"/>
        </w:rPr>
        <w:t>med</w:t>
      </w:r>
      <w:r w:rsidR="00D35773" w:rsidRPr="00F65CC5">
        <w:rPr>
          <w:rFonts w:asciiTheme="minorHAnsi" w:hAnsiTheme="minorHAnsi" w:cstheme="minorHAnsi"/>
        </w:rPr>
        <w:t xml:space="preserve"> from what happened to Nahide </w:t>
      </w:r>
      <w:proofErr w:type="spellStart"/>
      <w:r w:rsidR="00D35773" w:rsidRPr="00F65CC5">
        <w:rPr>
          <w:rFonts w:asciiTheme="minorHAnsi" w:hAnsiTheme="minorHAnsi" w:cstheme="minorHAnsi"/>
        </w:rPr>
        <w:t>Opuz</w:t>
      </w:r>
      <w:proofErr w:type="spellEnd"/>
      <w:r w:rsidR="00D35773" w:rsidRPr="00F65CC5">
        <w:rPr>
          <w:rFonts w:asciiTheme="minorHAnsi" w:hAnsiTheme="minorHAnsi" w:cstheme="minorHAnsi"/>
        </w:rPr>
        <w:t xml:space="preserve"> in T</w:t>
      </w:r>
      <w:r w:rsidR="00F40EE1" w:rsidRPr="00F65CC5">
        <w:rPr>
          <w:rFonts w:asciiTheme="minorHAnsi" w:hAnsiTheme="minorHAnsi" w:cstheme="minorHAnsi"/>
        </w:rPr>
        <w:t>ü</w:t>
      </w:r>
      <w:r w:rsidR="00D35773" w:rsidRPr="00F65CC5">
        <w:rPr>
          <w:rFonts w:asciiTheme="minorHAnsi" w:hAnsiTheme="minorHAnsi" w:cstheme="minorHAnsi"/>
        </w:rPr>
        <w:t xml:space="preserve">rkiye. The interviewees were seeing withdrawal as a continuation and consolidation of </w:t>
      </w:r>
      <w:r w:rsidR="0055011E">
        <w:rPr>
          <w:rFonts w:asciiTheme="minorHAnsi" w:hAnsiTheme="minorHAnsi" w:cstheme="minorHAnsi"/>
        </w:rPr>
        <w:t xml:space="preserve">the </w:t>
      </w:r>
      <w:r w:rsidR="00D35773" w:rsidRPr="00F65CC5">
        <w:rPr>
          <w:rFonts w:asciiTheme="minorHAnsi" w:hAnsiTheme="minorHAnsi" w:cstheme="minorHAnsi"/>
        </w:rPr>
        <w:t xml:space="preserve">State’s behaviour </w:t>
      </w:r>
      <w:r w:rsidR="0055011E">
        <w:rPr>
          <w:rFonts w:asciiTheme="minorHAnsi" w:hAnsiTheme="minorHAnsi" w:cstheme="minorHAnsi"/>
        </w:rPr>
        <w:t>toward</w:t>
      </w:r>
      <w:r w:rsidR="00D35773" w:rsidRPr="00F65CC5">
        <w:rPr>
          <w:rFonts w:asciiTheme="minorHAnsi" w:hAnsiTheme="minorHAnsi" w:cstheme="minorHAnsi"/>
        </w:rPr>
        <w:t xml:space="preserve"> Nahide </w:t>
      </w:r>
      <w:proofErr w:type="spellStart"/>
      <w:r w:rsidR="00D35773" w:rsidRPr="00F65CC5">
        <w:rPr>
          <w:rFonts w:asciiTheme="minorHAnsi" w:hAnsiTheme="minorHAnsi" w:cstheme="minorHAnsi"/>
        </w:rPr>
        <w:t>Opuz</w:t>
      </w:r>
      <w:proofErr w:type="spellEnd"/>
      <w:r w:rsidR="00D35773" w:rsidRPr="00F65CC5">
        <w:rPr>
          <w:rFonts w:asciiTheme="minorHAnsi" w:hAnsiTheme="minorHAnsi" w:cstheme="minorHAnsi"/>
        </w:rPr>
        <w:t xml:space="preserve"> and many other women who were not protected by T</w:t>
      </w:r>
      <w:r w:rsidR="00F40EE1" w:rsidRPr="00F65CC5">
        <w:rPr>
          <w:rFonts w:asciiTheme="minorHAnsi" w:hAnsiTheme="minorHAnsi" w:cstheme="minorHAnsi"/>
        </w:rPr>
        <w:t>ü</w:t>
      </w:r>
      <w:r w:rsidR="00D35773" w:rsidRPr="00F65CC5">
        <w:rPr>
          <w:rFonts w:asciiTheme="minorHAnsi" w:hAnsiTheme="minorHAnsi" w:cstheme="minorHAnsi"/>
        </w:rPr>
        <w:t xml:space="preserve">rkiye. </w:t>
      </w:r>
      <w:r w:rsidR="008B18D1" w:rsidRPr="00F65CC5">
        <w:rPr>
          <w:rFonts w:asciiTheme="minorHAnsi" w:hAnsiTheme="minorHAnsi" w:cstheme="minorHAnsi"/>
        </w:rPr>
        <w:t>An interviewee</w:t>
      </w:r>
      <w:r w:rsidR="008B18D1" w:rsidRPr="00F65CC5">
        <w:rPr>
          <w:rStyle w:val="FootnoteReference"/>
          <w:rFonts w:asciiTheme="minorHAnsi" w:hAnsiTheme="minorHAnsi" w:cstheme="minorHAnsi"/>
        </w:rPr>
        <w:footnoteReference w:id="139"/>
      </w:r>
      <w:r w:rsidR="008B18D1" w:rsidRPr="00F65CC5">
        <w:rPr>
          <w:rFonts w:asciiTheme="minorHAnsi" w:hAnsiTheme="minorHAnsi" w:cstheme="minorHAnsi"/>
        </w:rPr>
        <w:t xml:space="preserve"> underlined that Nahide </w:t>
      </w:r>
      <w:proofErr w:type="spellStart"/>
      <w:r w:rsidR="008B18D1" w:rsidRPr="00F65CC5">
        <w:rPr>
          <w:rFonts w:asciiTheme="minorHAnsi" w:hAnsiTheme="minorHAnsi" w:cstheme="minorHAnsi"/>
        </w:rPr>
        <w:t>Opuz</w:t>
      </w:r>
      <w:proofErr w:type="spellEnd"/>
      <w:r w:rsidR="000E73A5">
        <w:rPr>
          <w:rFonts w:asciiTheme="minorHAnsi" w:hAnsiTheme="minorHAnsi" w:cstheme="minorHAnsi"/>
        </w:rPr>
        <w:t>,</w:t>
      </w:r>
      <w:r w:rsidR="008B18D1" w:rsidRPr="00F65CC5">
        <w:rPr>
          <w:rFonts w:asciiTheme="minorHAnsi" w:hAnsiTheme="minorHAnsi" w:cstheme="minorHAnsi"/>
        </w:rPr>
        <w:t xml:space="preserve"> who complain</w:t>
      </w:r>
      <w:r w:rsidR="009D322E" w:rsidRPr="00F65CC5">
        <w:rPr>
          <w:rFonts w:asciiTheme="minorHAnsi" w:hAnsiTheme="minorHAnsi" w:cstheme="minorHAnsi"/>
        </w:rPr>
        <w:t>ed</w:t>
      </w:r>
      <w:r w:rsidR="008B18D1" w:rsidRPr="00F65CC5">
        <w:rPr>
          <w:rFonts w:asciiTheme="minorHAnsi" w:hAnsiTheme="minorHAnsi" w:cstheme="minorHAnsi"/>
        </w:rPr>
        <w:t xml:space="preserve"> about T</w:t>
      </w:r>
      <w:r w:rsidR="00F40EE1" w:rsidRPr="00F65CC5">
        <w:rPr>
          <w:rFonts w:asciiTheme="minorHAnsi" w:hAnsiTheme="minorHAnsi" w:cstheme="minorHAnsi"/>
        </w:rPr>
        <w:t>ü</w:t>
      </w:r>
      <w:r w:rsidR="008B18D1" w:rsidRPr="00F65CC5">
        <w:rPr>
          <w:rFonts w:asciiTheme="minorHAnsi" w:hAnsiTheme="minorHAnsi" w:cstheme="minorHAnsi"/>
        </w:rPr>
        <w:t>rkiye</w:t>
      </w:r>
      <w:r w:rsidR="000E73A5">
        <w:rPr>
          <w:rFonts w:asciiTheme="minorHAnsi" w:hAnsiTheme="minorHAnsi" w:cstheme="minorHAnsi"/>
        </w:rPr>
        <w:t>,</w:t>
      </w:r>
      <w:r w:rsidR="008B18D1" w:rsidRPr="00F65CC5">
        <w:rPr>
          <w:rFonts w:asciiTheme="minorHAnsi" w:hAnsiTheme="minorHAnsi" w:cstheme="minorHAnsi"/>
        </w:rPr>
        <w:t xml:space="preserve"> was from their land, </w:t>
      </w:r>
      <w:proofErr w:type="spellStart"/>
      <w:r w:rsidR="008B18D1" w:rsidRPr="00F65CC5">
        <w:rPr>
          <w:rFonts w:asciiTheme="minorHAnsi" w:hAnsiTheme="minorHAnsi" w:cstheme="minorHAnsi"/>
        </w:rPr>
        <w:t>Diyarbak</w:t>
      </w:r>
      <w:r w:rsidR="00F40EE1" w:rsidRPr="00F65CC5">
        <w:rPr>
          <w:rFonts w:asciiTheme="minorHAnsi" w:hAnsiTheme="minorHAnsi" w:cstheme="minorHAnsi"/>
        </w:rPr>
        <w:t>ı</w:t>
      </w:r>
      <w:r w:rsidR="008B18D1" w:rsidRPr="00F65CC5">
        <w:rPr>
          <w:rFonts w:asciiTheme="minorHAnsi" w:hAnsiTheme="minorHAnsi" w:cstheme="minorHAnsi"/>
        </w:rPr>
        <w:t>r</w:t>
      </w:r>
      <w:proofErr w:type="spellEnd"/>
      <w:r w:rsidR="000E73A5">
        <w:rPr>
          <w:rFonts w:asciiTheme="minorHAnsi" w:hAnsiTheme="minorHAnsi" w:cstheme="minorHAnsi"/>
        </w:rPr>
        <w:t>. T</w:t>
      </w:r>
      <w:r w:rsidR="008B18D1" w:rsidRPr="00F65CC5">
        <w:rPr>
          <w:rFonts w:asciiTheme="minorHAnsi" w:hAnsiTheme="minorHAnsi" w:cstheme="minorHAnsi"/>
        </w:rPr>
        <w:t xml:space="preserve">he Convention, thus, came out from </w:t>
      </w:r>
      <w:r w:rsidR="00FA1C93" w:rsidRPr="00F65CC5">
        <w:rPr>
          <w:rFonts w:asciiTheme="minorHAnsi" w:hAnsiTheme="minorHAnsi" w:cstheme="minorHAnsi"/>
        </w:rPr>
        <w:t>‘</w:t>
      </w:r>
      <w:r w:rsidR="008B18D1" w:rsidRPr="00F65CC5">
        <w:rPr>
          <w:rFonts w:asciiTheme="minorHAnsi" w:hAnsiTheme="minorHAnsi" w:cstheme="minorHAnsi"/>
        </w:rPr>
        <w:t>our land</w:t>
      </w:r>
      <w:r w:rsidR="00FA1C93" w:rsidRPr="00F65CC5">
        <w:rPr>
          <w:rFonts w:asciiTheme="minorHAnsi" w:hAnsiTheme="minorHAnsi" w:cstheme="minorHAnsi"/>
        </w:rPr>
        <w:t>’</w:t>
      </w:r>
      <w:r w:rsidR="008B18D1" w:rsidRPr="00F65CC5">
        <w:rPr>
          <w:rFonts w:asciiTheme="minorHAnsi" w:hAnsiTheme="minorHAnsi" w:cstheme="minorHAnsi"/>
        </w:rPr>
        <w:t xml:space="preserve"> she said. The land of </w:t>
      </w:r>
      <w:proofErr w:type="spellStart"/>
      <w:r w:rsidR="008B18D1" w:rsidRPr="00F65CC5">
        <w:rPr>
          <w:rFonts w:asciiTheme="minorHAnsi" w:hAnsiTheme="minorHAnsi" w:cstheme="minorHAnsi"/>
        </w:rPr>
        <w:t>Diyarbak</w:t>
      </w:r>
      <w:r w:rsidR="00F40EE1" w:rsidRPr="00F65CC5">
        <w:rPr>
          <w:rFonts w:asciiTheme="minorHAnsi" w:hAnsiTheme="minorHAnsi" w:cstheme="minorHAnsi"/>
        </w:rPr>
        <w:t>ı</w:t>
      </w:r>
      <w:r w:rsidR="008B18D1" w:rsidRPr="00F65CC5">
        <w:rPr>
          <w:rFonts w:asciiTheme="minorHAnsi" w:hAnsiTheme="minorHAnsi" w:cstheme="minorHAnsi"/>
        </w:rPr>
        <w:t>r</w:t>
      </w:r>
      <w:proofErr w:type="spellEnd"/>
      <w:r w:rsidR="008B18D1" w:rsidRPr="00F65CC5">
        <w:rPr>
          <w:rFonts w:asciiTheme="minorHAnsi" w:hAnsiTheme="minorHAnsi" w:cstheme="minorHAnsi"/>
        </w:rPr>
        <w:t xml:space="preserve"> is the space where the Convention flourished.</w:t>
      </w:r>
      <w:r w:rsidR="008E5D0C" w:rsidRPr="00F65CC5">
        <w:rPr>
          <w:rFonts w:asciiTheme="minorHAnsi" w:hAnsiTheme="minorHAnsi" w:cstheme="minorHAnsi"/>
        </w:rPr>
        <w:t xml:space="preserve"> One of the arguments for the withdrawal was that a Convention made in the </w:t>
      </w:r>
      <w:r w:rsidR="00354F37">
        <w:rPr>
          <w:rFonts w:asciiTheme="minorHAnsi" w:hAnsiTheme="minorHAnsi" w:cstheme="minorHAnsi"/>
        </w:rPr>
        <w:t>W</w:t>
      </w:r>
      <w:r w:rsidR="008E5D0C" w:rsidRPr="00F65CC5">
        <w:rPr>
          <w:rFonts w:asciiTheme="minorHAnsi" w:hAnsiTheme="minorHAnsi" w:cstheme="minorHAnsi"/>
        </w:rPr>
        <w:t>est could not solve gender</w:t>
      </w:r>
      <w:r w:rsidR="007F6CE1" w:rsidRPr="00F65CC5">
        <w:rPr>
          <w:rFonts w:asciiTheme="minorHAnsi" w:hAnsiTheme="minorHAnsi" w:cstheme="minorHAnsi"/>
        </w:rPr>
        <w:t>-</w:t>
      </w:r>
      <w:r w:rsidR="008E5D0C" w:rsidRPr="00F65CC5">
        <w:rPr>
          <w:rFonts w:asciiTheme="minorHAnsi" w:hAnsiTheme="minorHAnsi" w:cstheme="minorHAnsi"/>
        </w:rPr>
        <w:t>based violence in T</w:t>
      </w:r>
      <w:r w:rsidR="00F40EE1" w:rsidRPr="00F65CC5">
        <w:rPr>
          <w:rFonts w:asciiTheme="minorHAnsi" w:hAnsiTheme="minorHAnsi" w:cstheme="minorHAnsi"/>
        </w:rPr>
        <w:t>ü</w:t>
      </w:r>
      <w:r w:rsidR="008E5D0C" w:rsidRPr="00F65CC5">
        <w:rPr>
          <w:rFonts w:asciiTheme="minorHAnsi" w:hAnsiTheme="minorHAnsi" w:cstheme="minorHAnsi"/>
        </w:rPr>
        <w:t>rkiye.</w:t>
      </w:r>
      <w:r w:rsidR="008E5D0C" w:rsidRPr="00F65CC5">
        <w:rPr>
          <w:rStyle w:val="FootnoteReference"/>
          <w:rFonts w:asciiTheme="minorHAnsi" w:hAnsiTheme="minorHAnsi" w:cstheme="minorHAnsi"/>
        </w:rPr>
        <w:footnoteReference w:id="140"/>
      </w:r>
      <w:r w:rsidR="008B18D1" w:rsidRPr="00F65CC5">
        <w:rPr>
          <w:rFonts w:asciiTheme="minorHAnsi" w:hAnsiTheme="minorHAnsi" w:cstheme="minorHAnsi"/>
        </w:rPr>
        <w:t xml:space="preserve"> </w:t>
      </w:r>
      <w:r w:rsidR="007F6CE1" w:rsidRPr="00F65CC5">
        <w:rPr>
          <w:rFonts w:asciiTheme="minorHAnsi" w:hAnsiTheme="minorHAnsi" w:cstheme="minorHAnsi"/>
        </w:rPr>
        <w:t xml:space="preserve">The pretext for denouncing </w:t>
      </w:r>
      <w:r w:rsidR="005B2625" w:rsidRPr="00F65CC5">
        <w:rPr>
          <w:rFonts w:asciiTheme="minorHAnsi" w:hAnsiTheme="minorHAnsi" w:cstheme="minorHAnsi"/>
        </w:rPr>
        <w:t xml:space="preserve">the </w:t>
      </w:r>
      <w:r w:rsidR="007F6CE1" w:rsidRPr="00F65CC5">
        <w:rPr>
          <w:rFonts w:asciiTheme="minorHAnsi" w:hAnsiTheme="minorHAnsi" w:cstheme="minorHAnsi"/>
        </w:rPr>
        <w:t xml:space="preserve">Istanbul </w:t>
      </w:r>
      <w:r w:rsidR="002D7826" w:rsidRPr="00F65CC5">
        <w:rPr>
          <w:rFonts w:asciiTheme="minorHAnsi" w:hAnsiTheme="minorHAnsi" w:cstheme="minorHAnsi"/>
        </w:rPr>
        <w:t>C</w:t>
      </w:r>
      <w:r w:rsidR="007F6CE1" w:rsidRPr="00F65CC5">
        <w:rPr>
          <w:rFonts w:asciiTheme="minorHAnsi" w:hAnsiTheme="minorHAnsi" w:cstheme="minorHAnsi"/>
        </w:rPr>
        <w:t>onvention was that it was made by external</w:t>
      </w:r>
      <w:r w:rsidR="00CB0B6E" w:rsidRPr="00F65CC5">
        <w:rPr>
          <w:rFonts w:asciiTheme="minorHAnsi" w:hAnsiTheme="minorHAnsi" w:cstheme="minorHAnsi"/>
        </w:rPr>
        <w:t xml:space="preserve"> foreign</w:t>
      </w:r>
      <w:r w:rsidR="007F6CE1" w:rsidRPr="00F65CC5">
        <w:rPr>
          <w:rFonts w:asciiTheme="minorHAnsi" w:hAnsiTheme="minorHAnsi" w:cstheme="minorHAnsi"/>
        </w:rPr>
        <w:t xml:space="preserve"> powers. </w:t>
      </w:r>
      <w:r w:rsidR="00CB0B6E" w:rsidRPr="00F65CC5">
        <w:rPr>
          <w:rFonts w:asciiTheme="minorHAnsi" w:hAnsiTheme="minorHAnsi" w:cstheme="minorHAnsi"/>
        </w:rPr>
        <w:t xml:space="preserve">As aforementioned, </w:t>
      </w:r>
      <w:r w:rsidR="007C2E6C" w:rsidRPr="00F65CC5">
        <w:rPr>
          <w:rFonts w:asciiTheme="minorHAnsi" w:hAnsiTheme="minorHAnsi" w:cstheme="minorHAnsi"/>
        </w:rPr>
        <w:t>one of the feminist activists</w:t>
      </w:r>
      <w:r w:rsidR="008E5D0C" w:rsidRPr="00F65CC5">
        <w:rPr>
          <w:rFonts w:asciiTheme="minorHAnsi" w:hAnsiTheme="minorHAnsi" w:cstheme="minorHAnsi"/>
        </w:rPr>
        <w:t xml:space="preserve"> stressed that the Convention was from their land</w:t>
      </w:r>
      <w:r w:rsidR="007F6CE1" w:rsidRPr="00F65CC5">
        <w:rPr>
          <w:rFonts w:asciiTheme="minorHAnsi" w:hAnsiTheme="minorHAnsi" w:cstheme="minorHAnsi"/>
        </w:rPr>
        <w:t>, it did not come from abroad</w:t>
      </w:r>
      <w:r w:rsidR="00853E84">
        <w:rPr>
          <w:rFonts w:asciiTheme="minorHAnsi" w:hAnsiTheme="minorHAnsi" w:cstheme="minorHAnsi"/>
        </w:rPr>
        <w:t>,</w:t>
      </w:r>
      <w:r w:rsidR="007F6CE1" w:rsidRPr="00F65CC5">
        <w:rPr>
          <w:rFonts w:asciiTheme="minorHAnsi" w:hAnsiTheme="minorHAnsi" w:cstheme="minorHAnsi"/>
        </w:rPr>
        <w:t xml:space="preserve"> </w:t>
      </w:r>
      <w:r w:rsidR="008E5D0C" w:rsidRPr="00F65CC5">
        <w:rPr>
          <w:rFonts w:asciiTheme="minorHAnsi" w:hAnsiTheme="minorHAnsi" w:cstheme="minorHAnsi"/>
        </w:rPr>
        <w:t>and it belonged to their geography.</w:t>
      </w:r>
      <w:r w:rsidR="008E5D0C" w:rsidRPr="00F65CC5">
        <w:rPr>
          <w:rStyle w:val="FootnoteReference"/>
          <w:rFonts w:asciiTheme="minorHAnsi" w:hAnsiTheme="minorHAnsi" w:cstheme="minorHAnsi"/>
        </w:rPr>
        <w:footnoteReference w:id="141"/>
      </w:r>
      <w:r w:rsidR="008E5D0C" w:rsidRPr="00F65CC5">
        <w:rPr>
          <w:rFonts w:asciiTheme="minorHAnsi" w:hAnsiTheme="minorHAnsi" w:cstheme="minorHAnsi"/>
        </w:rPr>
        <w:t xml:space="preserve"> </w:t>
      </w:r>
      <w:r w:rsidR="001F69D4" w:rsidRPr="00F65CC5">
        <w:rPr>
          <w:rFonts w:asciiTheme="minorHAnsi" w:hAnsiTheme="minorHAnsi" w:cstheme="minorHAnsi"/>
        </w:rPr>
        <w:t xml:space="preserve">This makes it ambiguous who made the Convention, where it originated from, where it travels from and where it travels to. </w:t>
      </w:r>
      <w:r w:rsidR="00A01E94" w:rsidRPr="00F65CC5">
        <w:rPr>
          <w:rFonts w:asciiTheme="minorHAnsi" w:hAnsiTheme="minorHAnsi" w:cstheme="minorHAnsi"/>
        </w:rPr>
        <w:t xml:space="preserve">Positive law dictates that Conventions are made among the States at international level. </w:t>
      </w:r>
      <w:r w:rsidR="001F69D4" w:rsidRPr="00F65CC5">
        <w:rPr>
          <w:rFonts w:asciiTheme="minorHAnsi" w:hAnsiTheme="minorHAnsi" w:cstheme="minorHAnsi"/>
        </w:rPr>
        <w:t>Our interviews propose a different way of looking at this dynamic and hierarchy among domestic and international legal spaces</w:t>
      </w:r>
      <w:r w:rsidR="00A55C4A">
        <w:rPr>
          <w:rFonts w:asciiTheme="minorHAnsi" w:hAnsiTheme="minorHAnsi" w:cstheme="minorHAnsi"/>
        </w:rPr>
        <w:t>,</w:t>
      </w:r>
      <w:r w:rsidR="007C2E6C" w:rsidRPr="00F65CC5">
        <w:rPr>
          <w:rFonts w:asciiTheme="minorHAnsi" w:hAnsiTheme="minorHAnsi" w:cstheme="minorHAnsi"/>
        </w:rPr>
        <w:t xml:space="preserve"> </w:t>
      </w:r>
      <w:r w:rsidR="00A55C4A">
        <w:rPr>
          <w:rFonts w:asciiTheme="minorHAnsi" w:hAnsiTheme="minorHAnsi" w:cstheme="minorHAnsi"/>
        </w:rPr>
        <w:t>f</w:t>
      </w:r>
      <w:r w:rsidR="00CB0B6E" w:rsidRPr="00F65CC5">
        <w:rPr>
          <w:rFonts w:asciiTheme="minorHAnsi" w:hAnsiTheme="minorHAnsi" w:cstheme="minorHAnsi"/>
        </w:rPr>
        <w:t>irst</w:t>
      </w:r>
      <w:r w:rsidR="00734B68">
        <w:rPr>
          <w:rFonts w:asciiTheme="minorHAnsi" w:hAnsiTheme="minorHAnsi" w:cstheme="minorHAnsi"/>
        </w:rPr>
        <w:t>ly</w:t>
      </w:r>
      <w:r w:rsidR="00853E84">
        <w:rPr>
          <w:rFonts w:asciiTheme="minorHAnsi" w:hAnsiTheme="minorHAnsi" w:cstheme="minorHAnsi"/>
        </w:rPr>
        <w:t>,</w:t>
      </w:r>
      <w:r w:rsidR="00CB0B6E" w:rsidRPr="00F65CC5">
        <w:rPr>
          <w:rFonts w:asciiTheme="minorHAnsi" w:hAnsiTheme="minorHAnsi" w:cstheme="minorHAnsi"/>
        </w:rPr>
        <w:t xml:space="preserve"> by questioning the vertical procedure of entering Conventions</w:t>
      </w:r>
      <w:r w:rsidR="00012DB6">
        <w:rPr>
          <w:rFonts w:asciiTheme="minorHAnsi" w:hAnsiTheme="minorHAnsi" w:cstheme="minorHAnsi"/>
        </w:rPr>
        <w:t>, and s</w:t>
      </w:r>
      <w:r w:rsidR="00390828" w:rsidRPr="00F65CC5">
        <w:rPr>
          <w:rFonts w:asciiTheme="minorHAnsi" w:hAnsiTheme="minorHAnsi" w:cstheme="minorHAnsi"/>
        </w:rPr>
        <w:t>econdly</w:t>
      </w:r>
      <w:r w:rsidR="00734B68">
        <w:rPr>
          <w:rFonts w:asciiTheme="minorHAnsi" w:hAnsiTheme="minorHAnsi" w:cstheme="minorHAnsi"/>
        </w:rPr>
        <w:t>,</w:t>
      </w:r>
      <w:r w:rsidR="00390828" w:rsidRPr="00F65CC5">
        <w:rPr>
          <w:rFonts w:asciiTheme="minorHAnsi" w:hAnsiTheme="minorHAnsi" w:cstheme="minorHAnsi"/>
        </w:rPr>
        <w:t xml:space="preserve"> o</w:t>
      </w:r>
      <w:r w:rsidR="00CB0B6E" w:rsidRPr="00F65CC5">
        <w:rPr>
          <w:rFonts w:asciiTheme="minorHAnsi" w:hAnsiTheme="minorHAnsi" w:cstheme="minorHAnsi"/>
        </w:rPr>
        <w:t>ne of the interviewees cast doubt on where the Convention c</w:t>
      </w:r>
      <w:r w:rsidR="00012DB6">
        <w:rPr>
          <w:rFonts w:asciiTheme="minorHAnsi" w:hAnsiTheme="minorHAnsi" w:cstheme="minorHAnsi"/>
        </w:rPr>
        <w:t>ame</w:t>
      </w:r>
      <w:r w:rsidR="00CB0B6E" w:rsidRPr="00F65CC5">
        <w:rPr>
          <w:rFonts w:asciiTheme="minorHAnsi" w:hAnsiTheme="minorHAnsi" w:cstheme="minorHAnsi"/>
        </w:rPr>
        <w:t xml:space="preserve"> into being by decentring the State-centric verticality of treaty making. In their interpretation, the Convention emerged when Nahide </w:t>
      </w:r>
      <w:proofErr w:type="spellStart"/>
      <w:r w:rsidR="00CB0B6E" w:rsidRPr="00F65CC5">
        <w:rPr>
          <w:rFonts w:asciiTheme="minorHAnsi" w:hAnsiTheme="minorHAnsi" w:cstheme="minorHAnsi"/>
        </w:rPr>
        <w:t>Opuz</w:t>
      </w:r>
      <w:proofErr w:type="spellEnd"/>
      <w:r w:rsidR="00CB0B6E" w:rsidRPr="00F65CC5">
        <w:rPr>
          <w:rFonts w:asciiTheme="minorHAnsi" w:hAnsiTheme="minorHAnsi" w:cstheme="minorHAnsi"/>
        </w:rPr>
        <w:t xml:space="preserve"> objected to what happened to her, on their land. The Convention was drafted as a response to the un</w:t>
      </w:r>
      <w:r w:rsidR="00DD0D19">
        <w:rPr>
          <w:rFonts w:asciiTheme="minorHAnsi" w:hAnsiTheme="minorHAnsi" w:cstheme="minorHAnsi"/>
        </w:rPr>
        <w:t>hindered</w:t>
      </w:r>
      <w:r w:rsidR="00CB0B6E" w:rsidRPr="00F65CC5">
        <w:rPr>
          <w:rFonts w:asciiTheme="minorHAnsi" w:hAnsiTheme="minorHAnsi" w:cstheme="minorHAnsi"/>
        </w:rPr>
        <w:t xml:space="preserve"> gender</w:t>
      </w:r>
      <w:r w:rsidR="0019354F" w:rsidRPr="00F65CC5">
        <w:rPr>
          <w:rFonts w:asciiTheme="minorHAnsi" w:hAnsiTheme="minorHAnsi" w:cstheme="minorHAnsi"/>
        </w:rPr>
        <w:t>-</w:t>
      </w:r>
      <w:r w:rsidR="00CB0B6E" w:rsidRPr="00F65CC5">
        <w:rPr>
          <w:rFonts w:asciiTheme="minorHAnsi" w:hAnsiTheme="minorHAnsi" w:cstheme="minorHAnsi"/>
        </w:rPr>
        <w:t xml:space="preserve">based violence </w:t>
      </w:r>
      <w:r w:rsidR="00734B68">
        <w:rPr>
          <w:rFonts w:asciiTheme="minorHAnsi" w:hAnsiTheme="minorHAnsi" w:cstheme="minorHAnsi"/>
        </w:rPr>
        <w:t xml:space="preserve">that </w:t>
      </w:r>
      <w:r w:rsidR="00CB0B6E" w:rsidRPr="00F65CC5">
        <w:rPr>
          <w:rFonts w:asciiTheme="minorHAnsi" w:hAnsiTheme="minorHAnsi" w:cstheme="minorHAnsi"/>
        </w:rPr>
        <w:t>happened in T</w:t>
      </w:r>
      <w:r w:rsidR="00F40EE1" w:rsidRPr="00F65CC5">
        <w:rPr>
          <w:rFonts w:asciiTheme="minorHAnsi" w:hAnsiTheme="minorHAnsi" w:cstheme="minorHAnsi"/>
        </w:rPr>
        <w:t>ü</w:t>
      </w:r>
      <w:r w:rsidR="00CB0B6E" w:rsidRPr="00F65CC5">
        <w:rPr>
          <w:rFonts w:asciiTheme="minorHAnsi" w:hAnsiTheme="minorHAnsi" w:cstheme="minorHAnsi"/>
        </w:rPr>
        <w:t>rkiye.</w:t>
      </w:r>
      <w:r w:rsidR="0019354F" w:rsidRPr="00F65CC5">
        <w:rPr>
          <w:rFonts w:asciiTheme="minorHAnsi" w:hAnsiTheme="minorHAnsi" w:cstheme="minorHAnsi"/>
        </w:rPr>
        <w:t xml:space="preserve"> </w:t>
      </w:r>
      <w:r w:rsidR="00CB0B6E" w:rsidRPr="00F65CC5">
        <w:rPr>
          <w:rFonts w:asciiTheme="minorHAnsi" w:hAnsiTheme="minorHAnsi" w:cstheme="minorHAnsi"/>
        </w:rPr>
        <w:t xml:space="preserve">It belonged </w:t>
      </w:r>
      <w:r w:rsidR="0022775E" w:rsidRPr="00F65CC5">
        <w:rPr>
          <w:rFonts w:asciiTheme="minorHAnsi" w:hAnsiTheme="minorHAnsi" w:cstheme="minorHAnsi"/>
        </w:rPr>
        <w:t xml:space="preserve">to </w:t>
      </w:r>
      <w:r w:rsidR="00CB0B6E" w:rsidRPr="00F65CC5">
        <w:rPr>
          <w:rFonts w:asciiTheme="minorHAnsi" w:hAnsiTheme="minorHAnsi" w:cstheme="minorHAnsi"/>
        </w:rPr>
        <w:t>and emerged from th</w:t>
      </w:r>
      <w:r w:rsidR="00CE6749" w:rsidRPr="00F65CC5">
        <w:rPr>
          <w:rFonts w:asciiTheme="minorHAnsi" w:hAnsiTheme="minorHAnsi" w:cstheme="minorHAnsi"/>
        </w:rPr>
        <w:t>is land</w:t>
      </w:r>
      <w:r w:rsidR="00CB0B6E" w:rsidRPr="00F65CC5">
        <w:rPr>
          <w:rFonts w:asciiTheme="minorHAnsi" w:hAnsiTheme="minorHAnsi" w:cstheme="minorHAnsi"/>
        </w:rPr>
        <w:t xml:space="preserve"> </w:t>
      </w:r>
    </w:p>
    <w:p w14:paraId="4F8D15AC" w14:textId="5E8A3976" w:rsidR="009306CB" w:rsidRPr="00F65CC5" w:rsidRDefault="009306CB" w:rsidP="007933F6">
      <w:pPr>
        <w:ind w:right="-52"/>
        <w:jc w:val="both"/>
        <w:rPr>
          <w:rFonts w:asciiTheme="minorHAnsi" w:hAnsiTheme="minorHAnsi" w:cstheme="minorHAnsi"/>
        </w:rPr>
      </w:pPr>
    </w:p>
    <w:p w14:paraId="0BBE455A" w14:textId="74BD5538" w:rsidR="00DF26ED" w:rsidRPr="00F65CC5" w:rsidRDefault="00D86E4E" w:rsidP="007933F6">
      <w:pPr>
        <w:ind w:right="-52"/>
        <w:jc w:val="both"/>
        <w:rPr>
          <w:rFonts w:asciiTheme="minorHAnsi" w:hAnsiTheme="minorHAnsi" w:cstheme="minorHAnsi"/>
        </w:rPr>
      </w:pPr>
      <w:r w:rsidRPr="00F65CC5">
        <w:rPr>
          <w:rFonts w:asciiTheme="minorHAnsi" w:hAnsiTheme="minorHAnsi" w:cstheme="minorHAnsi"/>
        </w:rPr>
        <w:t xml:space="preserve">It was important that </w:t>
      </w:r>
      <w:proofErr w:type="spellStart"/>
      <w:r w:rsidRPr="00F65CC5">
        <w:rPr>
          <w:rFonts w:asciiTheme="minorHAnsi" w:hAnsiTheme="minorHAnsi" w:cstheme="minorHAnsi"/>
          <w:i/>
          <w:iCs/>
        </w:rPr>
        <w:t>Opuz</w:t>
      </w:r>
      <w:proofErr w:type="spellEnd"/>
      <w:r w:rsidRPr="00F65CC5">
        <w:rPr>
          <w:rFonts w:asciiTheme="minorHAnsi" w:hAnsiTheme="minorHAnsi" w:cstheme="minorHAnsi"/>
        </w:rPr>
        <w:t xml:space="preserve"> </w:t>
      </w:r>
      <w:r w:rsidR="00481407" w:rsidRPr="00F65CC5">
        <w:rPr>
          <w:rFonts w:asciiTheme="minorHAnsi" w:hAnsiTheme="minorHAnsi" w:cstheme="minorHAnsi"/>
        </w:rPr>
        <w:t xml:space="preserve">led to the </w:t>
      </w:r>
      <w:r w:rsidR="00340720" w:rsidRPr="00F65CC5">
        <w:rPr>
          <w:rFonts w:asciiTheme="minorHAnsi" w:hAnsiTheme="minorHAnsi" w:cstheme="minorHAnsi"/>
        </w:rPr>
        <w:t xml:space="preserve">creation of the </w:t>
      </w:r>
      <w:r w:rsidR="00481407" w:rsidRPr="00F65CC5">
        <w:rPr>
          <w:rFonts w:asciiTheme="minorHAnsi" w:hAnsiTheme="minorHAnsi" w:cstheme="minorHAnsi"/>
        </w:rPr>
        <w:t>Convention</w:t>
      </w:r>
      <w:r w:rsidR="00BD6BE2" w:rsidRPr="00F65CC5">
        <w:rPr>
          <w:rFonts w:asciiTheme="minorHAnsi" w:hAnsiTheme="minorHAnsi" w:cstheme="minorHAnsi"/>
        </w:rPr>
        <w:t xml:space="preserve"> from the vernacular standpoint.</w:t>
      </w:r>
      <w:r w:rsidR="00340720" w:rsidRPr="00F65CC5">
        <w:rPr>
          <w:rFonts w:asciiTheme="minorHAnsi" w:hAnsiTheme="minorHAnsi" w:cstheme="minorHAnsi"/>
        </w:rPr>
        <w:t xml:space="preserve"> The violence took place in the land of Diyarbakir</w:t>
      </w:r>
      <w:r w:rsidR="00031055">
        <w:rPr>
          <w:rFonts w:asciiTheme="minorHAnsi" w:hAnsiTheme="minorHAnsi" w:cstheme="minorHAnsi"/>
        </w:rPr>
        <w:t>,</w:t>
      </w:r>
      <w:r w:rsidR="00340720" w:rsidRPr="00F65CC5">
        <w:rPr>
          <w:rFonts w:asciiTheme="minorHAnsi" w:hAnsiTheme="minorHAnsi" w:cstheme="minorHAnsi"/>
        </w:rPr>
        <w:t xml:space="preserve"> a Kurdish city in T</w:t>
      </w:r>
      <w:r w:rsidR="00F40EE1" w:rsidRPr="00F65CC5">
        <w:rPr>
          <w:rFonts w:asciiTheme="minorHAnsi" w:hAnsiTheme="minorHAnsi" w:cstheme="minorHAnsi"/>
        </w:rPr>
        <w:t>ürkiye</w:t>
      </w:r>
      <w:r w:rsidR="00031055">
        <w:rPr>
          <w:rFonts w:asciiTheme="minorHAnsi" w:hAnsiTheme="minorHAnsi" w:cstheme="minorHAnsi"/>
        </w:rPr>
        <w:t>,</w:t>
      </w:r>
      <w:r w:rsidR="00340720" w:rsidRPr="00F65CC5">
        <w:rPr>
          <w:rFonts w:asciiTheme="minorHAnsi" w:hAnsiTheme="minorHAnsi" w:cstheme="minorHAnsi"/>
        </w:rPr>
        <w:t xml:space="preserve"> and the </w:t>
      </w:r>
      <w:r w:rsidR="00340720" w:rsidRPr="00F65CC5">
        <w:rPr>
          <w:rFonts w:asciiTheme="minorHAnsi" w:hAnsiTheme="minorHAnsi" w:cstheme="minorHAnsi"/>
        </w:rPr>
        <w:lastRenderedPageBreak/>
        <w:t>Convention also emerged from the violence that took place in Diyarbakir.</w:t>
      </w:r>
      <w:r w:rsidR="00BD6BE2" w:rsidRPr="00F65CC5">
        <w:rPr>
          <w:rFonts w:asciiTheme="minorHAnsi" w:hAnsiTheme="minorHAnsi" w:cstheme="minorHAnsi"/>
        </w:rPr>
        <w:t xml:space="preserve"> </w:t>
      </w:r>
      <w:r w:rsidR="00335812" w:rsidRPr="00F65CC5">
        <w:rPr>
          <w:rFonts w:asciiTheme="minorHAnsi" w:hAnsiTheme="minorHAnsi" w:cstheme="minorHAnsi"/>
        </w:rPr>
        <w:t>Therefore,</w:t>
      </w:r>
      <w:r w:rsidR="00340720" w:rsidRPr="00F65CC5">
        <w:rPr>
          <w:rFonts w:asciiTheme="minorHAnsi" w:hAnsiTheme="minorHAnsi" w:cstheme="minorHAnsi"/>
        </w:rPr>
        <w:t xml:space="preserve"> the</w:t>
      </w:r>
      <w:r w:rsidR="00481407" w:rsidRPr="00F65CC5">
        <w:rPr>
          <w:rFonts w:asciiTheme="minorHAnsi" w:hAnsiTheme="minorHAnsi" w:cstheme="minorHAnsi"/>
        </w:rPr>
        <w:t xml:space="preserve"> defence of the Convention is not only resistance to </w:t>
      </w:r>
      <w:r w:rsidR="0006608F" w:rsidRPr="00F65CC5">
        <w:rPr>
          <w:rFonts w:asciiTheme="minorHAnsi" w:hAnsiTheme="minorHAnsi" w:cstheme="minorHAnsi"/>
        </w:rPr>
        <w:t>withdrawal,</w:t>
      </w:r>
      <w:r w:rsidR="00481407" w:rsidRPr="00F65CC5">
        <w:rPr>
          <w:rFonts w:asciiTheme="minorHAnsi" w:hAnsiTheme="minorHAnsi" w:cstheme="minorHAnsi"/>
        </w:rPr>
        <w:t xml:space="preserve"> but </w:t>
      </w:r>
      <w:r w:rsidR="00BD6BE2" w:rsidRPr="00F65CC5">
        <w:rPr>
          <w:rFonts w:asciiTheme="minorHAnsi" w:hAnsiTheme="minorHAnsi" w:cstheme="minorHAnsi"/>
        </w:rPr>
        <w:t xml:space="preserve">it is also </w:t>
      </w:r>
      <w:r w:rsidR="00481407" w:rsidRPr="00F65CC5">
        <w:rPr>
          <w:rFonts w:asciiTheme="minorHAnsi" w:hAnsiTheme="minorHAnsi" w:cstheme="minorHAnsi"/>
        </w:rPr>
        <w:t xml:space="preserve">a </w:t>
      </w:r>
      <w:r w:rsidR="00CB5C31" w:rsidRPr="00F65CC5">
        <w:rPr>
          <w:rFonts w:asciiTheme="minorHAnsi" w:hAnsiTheme="minorHAnsi" w:cstheme="minorHAnsi"/>
        </w:rPr>
        <w:t>continuous</w:t>
      </w:r>
      <w:r w:rsidR="00481407" w:rsidRPr="00F65CC5">
        <w:rPr>
          <w:rFonts w:asciiTheme="minorHAnsi" w:hAnsiTheme="minorHAnsi" w:cstheme="minorHAnsi"/>
        </w:rPr>
        <w:t xml:space="preserve"> </w:t>
      </w:r>
      <w:r w:rsidR="0006608F">
        <w:rPr>
          <w:rFonts w:asciiTheme="minorHAnsi" w:hAnsiTheme="minorHAnsi" w:cstheme="minorHAnsi"/>
        </w:rPr>
        <w:t>fight</w:t>
      </w:r>
      <w:r w:rsidR="00BD6BE2" w:rsidRPr="00F65CC5">
        <w:rPr>
          <w:rFonts w:asciiTheme="minorHAnsi" w:hAnsiTheme="minorHAnsi" w:cstheme="minorHAnsi"/>
        </w:rPr>
        <w:t xml:space="preserve"> against</w:t>
      </w:r>
      <w:r w:rsidR="00481407" w:rsidRPr="00F65CC5">
        <w:rPr>
          <w:rFonts w:asciiTheme="minorHAnsi" w:hAnsiTheme="minorHAnsi" w:cstheme="minorHAnsi"/>
        </w:rPr>
        <w:t xml:space="preserve"> </w:t>
      </w:r>
      <w:r w:rsidR="00BD6BE2" w:rsidRPr="00F65CC5">
        <w:rPr>
          <w:rFonts w:asciiTheme="minorHAnsi" w:hAnsiTheme="minorHAnsi" w:cstheme="minorHAnsi"/>
        </w:rPr>
        <w:t>gender</w:t>
      </w:r>
      <w:r w:rsidR="006E4AB1">
        <w:rPr>
          <w:rFonts w:asciiTheme="minorHAnsi" w:hAnsiTheme="minorHAnsi" w:cstheme="minorHAnsi"/>
        </w:rPr>
        <w:t>-</w:t>
      </w:r>
      <w:r w:rsidR="00BD6BE2" w:rsidRPr="00F65CC5">
        <w:rPr>
          <w:rFonts w:asciiTheme="minorHAnsi" w:hAnsiTheme="minorHAnsi" w:cstheme="minorHAnsi"/>
        </w:rPr>
        <w:t xml:space="preserve">based violence </w:t>
      </w:r>
      <w:r w:rsidR="00F80D27" w:rsidRPr="00F65CC5">
        <w:rPr>
          <w:rFonts w:asciiTheme="minorHAnsi" w:hAnsiTheme="minorHAnsi" w:cstheme="minorHAnsi"/>
        </w:rPr>
        <w:t>that</w:t>
      </w:r>
      <w:r w:rsidR="00340720" w:rsidRPr="00F65CC5">
        <w:rPr>
          <w:rFonts w:asciiTheme="minorHAnsi" w:hAnsiTheme="minorHAnsi" w:cstheme="minorHAnsi"/>
        </w:rPr>
        <w:t xml:space="preserve"> created the Convention in the first place</w:t>
      </w:r>
      <w:r w:rsidR="00BD6BE2" w:rsidRPr="00F65CC5">
        <w:rPr>
          <w:rFonts w:asciiTheme="minorHAnsi" w:hAnsiTheme="minorHAnsi" w:cstheme="minorHAnsi"/>
        </w:rPr>
        <w:t>.</w:t>
      </w:r>
      <w:r w:rsidR="00390828" w:rsidRPr="00F65CC5">
        <w:rPr>
          <w:rFonts w:asciiTheme="minorHAnsi" w:hAnsiTheme="minorHAnsi" w:cstheme="minorHAnsi"/>
        </w:rPr>
        <w:t xml:space="preserve"> This was also expressed via the slogans like ‘Istanbul Convention is </w:t>
      </w:r>
      <w:r w:rsidR="00A36EB4">
        <w:rPr>
          <w:rFonts w:asciiTheme="minorHAnsi" w:hAnsiTheme="minorHAnsi" w:cstheme="minorHAnsi"/>
        </w:rPr>
        <w:t>O</w:t>
      </w:r>
      <w:r w:rsidR="00390828" w:rsidRPr="00F65CC5">
        <w:rPr>
          <w:rFonts w:asciiTheme="minorHAnsi" w:hAnsiTheme="minorHAnsi" w:cstheme="minorHAnsi"/>
        </w:rPr>
        <w:t>urs’</w:t>
      </w:r>
      <w:r w:rsidR="0091095A">
        <w:rPr>
          <w:rFonts w:asciiTheme="minorHAnsi" w:hAnsiTheme="minorHAnsi" w:cstheme="minorHAnsi"/>
        </w:rPr>
        <w:t>,</w:t>
      </w:r>
      <w:r w:rsidR="00390828" w:rsidRPr="00F65CC5">
        <w:rPr>
          <w:rFonts w:asciiTheme="minorHAnsi" w:hAnsiTheme="minorHAnsi" w:cstheme="minorHAnsi"/>
        </w:rPr>
        <w:t xml:space="preserve"> implying that </w:t>
      </w:r>
      <w:r w:rsidR="00DF3BE4" w:rsidRPr="00F65CC5">
        <w:rPr>
          <w:rFonts w:asciiTheme="minorHAnsi" w:hAnsiTheme="minorHAnsi" w:cstheme="minorHAnsi"/>
        </w:rPr>
        <w:t>contrary to</w:t>
      </w:r>
      <w:r w:rsidR="00390828" w:rsidRPr="00F65CC5">
        <w:rPr>
          <w:rFonts w:asciiTheme="minorHAnsi" w:hAnsiTheme="minorHAnsi" w:cstheme="minorHAnsi"/>
        </w:rPr>
        <w:t xml:space="preserve"> the vertical understanding of law, the Convention </w:t>
      </w:r>
      <w:r w:rsidR="00CB5C31" w:rsidRPr="00F65CC5">
        <w:rPr>
          <w:rFonts w:asciiTheme="minorHAnsi" w:hAnsiTheme="minorHAnsi" w:cstheme="minorHAnsi"/>
        </w:rPr>
        <w:t>was not made</w:t>
      </w:r>
      <w:r w:rsidR="00390828" w:rsidRPr="00F65CC5">
        <w:rPr>
          <w:rFonts w:asciiTheme="minorHAnsi" w:hAnsiTheme="minorHAnsi" w:cstheme="minorHAnsi"/>
        </w:rPr>
        <w:t xml:space="preserve"> abroad</w:t>
      </w:r>
      <w:r w:rsidR="0091095A">
        <w:rPr>
          <w:rFonts w:asciiTheme="minorHAnsi" w:hAnsiTheme="minorHAnsi" w:cstheme="minorHAnsi"/>
        </w:rPr>
        <w:t>,</w:t>
      </w:r>
      <w:r w:rsidR="00390828" w:rsidRPr="00F65CC5">
        <w:rPr>
          <w:rFonts w:asciiTheme="minorHAnsi" w:hAnsiTheme="minorHAnsi" w:cstheme="minorHAnsi"/>
        </w:rPr>
        <w:t xml:space="preserve"> then travelled to T</w:t>
      </w:r>
      <w:r w:rsidR="00DF3BE4" w:rsidRPr="00F65CC5">
        <w:rPr>
          <w:rFonts w:asciiTheme="minorHAnsi" w:hAnsiTheme="minorHAnsi" w:cstheme="minorHAnsi"/>
        </w:rPr>
        <w:t>ü</w:t>
      </w:r>
      <w:r w:rsidR="00390828" w:rsidRPr="00F65CC5">
        <w:rPr>
          <w:rFonts w:asciiTheme="minorHAnsi" w:hAnsiTheme="minorHAnsi" w:cstheme="minorHAnsi"/>
        </w:rPr>
        <w:t>rkiye. It was ‘ours’</w:t>
      </w:r>
      <w:r w:rsidR="005B2625" w:rsidRPr="00F65CC5">
        <w:rPr>
          <w:rFonts w:asciiTheme="minorHAnsi" w:hAnsiTheme="minorHAnsi" w:cstheme="minorHAnsi"/>
        </w:rPr>
        <w:t xml:space="preserve">, it </w:t>
      </w:r>
      <w:r w:rsidR="00390828" w:rsidRPr="00F65CC5">
        <w:rPr>
          <w:rFonts w:asciiTheme="minorHAnsi" w:hAnsiTheme="minorHAnsi" w:cstheme="minorHAnsi"/>
        </w:rPr>
        <w:t>emerged from the land of Diyarbakir</w:t>
      </w:r>
      <w:r w:rsidR="00DF3BE4" w:rsidRPr="00F65CC5">
        <w:rPr>
          <w:rFonts w:asciiTheme="minorHAnsi" w:hAnsiTheme="minorHAnsi" w:cstheme="minorHAnsi"/>
        </w:rPr>
        <w:t>,</w:t>
      </w:r>
      <w:r w:rsidR="00390828" w:rsidRPr="00F65CC5">
        <w:rPr>
          <w:rFonts w:asciiTheme="minorHAnsi" w:hAnsiTheme="minorHAnsi" w:cstheme="minorHAnsi"/>
        </w:rPr>
        <w:t xml:space="preserve"> created in </w:t>
      </w:r>
      <w:r w:rsidR="005B2625" w:rsidRPr="00F65CC5">
        <w:rPr>
          <w:rFonts w:asciiTheme="minorHAnsi" w:hAnsiTheme="minorHAnsi" w:cstheme="minorHAnsi"/>
        </w:rPr>
        <w:t>a</w:t>
      </w:r>
      <w:r w:rsidR="00390828" w:rsidRPr="00F65CC5">
        <w:rPr>
          <w:rFonts w:asciiTheme="minorHAnsi" w:hAnsiTheme="minorHAnsi" w:cstheme="minorHAnsi"/>
        </w:rPr>
        <w:t xml:space="preserve"> moment of </w:t>
      </w:r>
      <w:r w:rsidR="00DF3BE4" w:rsidRPr="00F65CC5">
        <w:rPr>
          <w:rFonts w:asciiTheme="minorHAnsi" w:hAnsiTheme="minorHAnsi" w:cstheme="minorHAnsi"/>
        </w:rPr>
        <w:t>gender</w:t>
      </w:r>
      <w:r w:rsidR="00CB5C31" w:rsidRPr="00F65CC5">
        <w:rPr>
          <w:rFonts w:asciiTheme="minorHAnsi" w:hAnsiTheme="minorHAnsi" w:cstheme="minorHAnsi"/>
        </w:rPr>
        <w:t>-</w:t>
      </w:r>
      <w:r w:rsidR="00DF3BE4" w:rsidRPr="00F65CC5">
        <w:rPr>
          <w:rFonts w:asciiTheme="minorHAnsi" w:hAnsiTheme="minorHAnsi" w:cstheme="minorHAnsi"/>
        </w:rPr>
        <w:t xml:space="preserve">based </w:t>
      </w:r>
      <w:r w:rsidR="00390828" w:rsidRPr="00F65CC5">
        <w:rPr>
          <w:rFonts w:asciiTheme="minorHAnsi" w:hAnsiTheme="minorHAnsi" w:cstheme="minorHAnsi"/>
        </w:rPr>
        <w:t xml:space="preserve">violence against Nahide </w:t>
      </w:r>
      <w:proofErr w:type="spellStart"/>
      <w:r w:rsidR="00390828" w:rsidRPr="00F65CC5">
        <w:rPr>
          <w:rFonts w:asciiTheme="minorHAnsi" w:hAnsiTheme="minorHAnsi" w:cstheme="minorHAnsi"/>
        </w:rPr>
        <w:t>Opuz</w:t>
      </w:r>
      <w:proofErr w:type="spellEnd"/>
      <w:r w:rsidR="00DF3BE4" w:rsidRPr="00F65CC5">
        <w:rPr>
          <w:rFonts w:asciiTheme="minorHAnsi" w:hAnsiTheme="minorHAnsi" w:cstheme="minorHAnsi"/>
        </w:rPr>
        <w:t xml:space="preserve"> and her mother</w:t>
      </w:r>
      <w:r w:rsidR="00390828" w:rsidRPr="00F65CC5">
        <w:rPr>
          <w:rFonts w:asciiTheme="minorHAnsi" w:hAnsiTheme="minorHAnsi" w:cstheme="minorHAnsi"/>
        </w:rPr>
        <w:t>.</w:t>
      </w:r>
    </w:p>
    <w:p w14:paraId="0071F47C" w14:textId="77777777" w:rsidR="00DF26ED" w:rsidRPr="00F65CC5" w:rsidRDefault="00DF26ED" w:rsidP="007933F6">
      <w:pPr>
        <w:ind w:right="-52"/>
        <w:jc w:val="both"/>
        <w:rPr>
          <w:rFonts w:asciiTheme="minorHAnsi" w:hAnsiTheme="minorHAnsi" w:cstheme="minorHAnsi"/>
        </w:rPr>
      </w:pPr>
    </w:p>
    <w:p w14:paraId="6C98619D" w14:textId="458E0F0C" w:rsidR="00AA1E06" w:rsidRPr="00F65CC5" w:rsidRDefault="00D3477C" w:rsidP="007933F6">
      <w:pPr>
        <w:ind w:right="-52"/>
        <w:jc w:val="both"/>
        <w:rPr>
          <w:rFonts w:asciiTheme="minorHAnsi" w:hAnsiTheme="minorHAnsi" w:cstheme="minorHAnsi"/>
        </w:rPr>
      </w:pPr>
      <w:r w:rsidRPr="00F65CC5">
        <w:rPr>
          <w:rFonts w:asciiTheme="minorHAnsi" w:hAnsiTheme="minorHAnsi" w:cstheme="minorHAnsi"/>
        </w:rPr>
        <w:t>Thinking about space and hybridity</w:t>
      </w:r>
      <w:r w:rsidR="00100B1B">
        <w:rPr>
          <w:rFonts w:asciiTheme="minorHAnsi" w:hAnsiTheme="minorHAnsi" w:cstheme="minorHAnsi"/>
        </w:rPr>
        <w:t>,</w:t>
      </w:r>
      <w:r w:rsidR="00680CC6" w:rsidRPr="00F65CC5">
        <w:rPr>
          <w:rFonts w:asciiTheme="minorHAnsi" w:hAnsiTheme="minorHAnsi" w:cstheme="minorHAnsi"/>
        </w:rPr>
        <w:t xml:space="preserve"> in the interviews we were told that the campaign against the withdrawal created</w:t>
      </w:r>
      <w:r w:rsidRPr="00F65CC5">
        <w:rPr>
          <w:rFonts w:asciiTheme="minorHAnsi" w:hAnsiTheme="minorHAnsi" w:cstheme="minorHAnsi"/>
        </w:rPr>
        <w:t xml:space="preserve"> </w:t>
      </w:r>
      <w:r w:rsidR="00680CC6" w:rsidRPr="00F65CC5">
        <w:rPr>
          <w:rFonts w:asciiTheme="minorHAnsi" w:hAnsiTheme="minorHAnsi" w:cstheme="minorHAnsi"/>
        </w:rPr>
        <w:t xml:space="preserve">a space where Kurdish and Turkish women </w:t>
      </w:r>
      <w:r w:rsidR="00340720" w:rsidRPr="00F65CC5">
        <w:rPr>
          <w:rFonts w:asciiTheme="minorHAnsi" w:hAnsiTheme="minorHAnsi" w:cstheme="minorHAnsi"/>
        </w:rPr>
        <w:t xml:space="preserve">worked </w:t>
      </w:r>
      <w:r w:rsidR="00680CC6" w:rsidRPr="00F65CC5">
        <w:rPr>
          <w:rFonts w:asciiTheme="minorHAnsi" w:hAnsiTheme="minorHAnsi" w:cstheme="minorHAnsi"/>
        </w:rPr>
        <w:t xml:space="preserve">together. It was not one helping the other, it was a joint resistance. The campaign was led through a flat </w:t>
      </w:r>
      <w:r w:rsidR="003B414A" w:rsidRPr="00F65CC5">
        <w:rPr>
          <w:rFonts w:asciiTheme="minorHAnsi" w:hAnsiTheme="minorHAnsi" w:cstheme="minorHAnsi"/>
        </w:rPr>
        <w:t>organisation</w:t>
      </w:r>
      <w:r w:rsidR="00746F1F">
        <w:rPr>
          <w:rFonts w:asciiTheme="minorHAnsi" w:hAnsiTheme="minorHAnsi" w:cstheme="minorHAnsi"/>
        </w:rPr>
        <w:t>,</w:t>
      </w:r>
      <w:r w:rsidR="003B414A" w:rsidRPr="00F65CC5">
        <w:rPr>
          <w:rFonts w:asciiTheme="minorHAnsi" w:hAnsiTheme="minorHAnsi" w:cstheme="minorHAnsi"/>
        </w:rPr>
        <w:t xml:space="preserve"> E</w:t>
      </w:r>
      <w:r w:rsidR="00F40EE1" w:rsidRPr="00F65CC5">
        <w:rPr>
          <w:rFonts w:asciiTheme="minorHAnsi" w:hAnsiTheme="minorHAnsi" w:cstheme="minorHAnsi"/>
        </w:rPr>
        <w:t>Şİ</w:t>
      </w:r>
      <w:r w:rsidR="003B414A" w:rsidRPr="00F65CC5">
        <w:rPr>
          <w:rFonts w:asciiTheme="minorHAnsi" w:hAnsiTheme="minorHAnsi" w:cstheme="minorHAnsi"/>
        </w:rPr>
        <w:t>K, the campaign</w:t>
      </w:r>
      <w:r w:rsidR="00A53A95" w:rsidRPr="00F65CC5">
        <w:rPr>
          <w:rFonts w:asciiTheme="minorHAnsi" w:hAnsiTheme="minorHAnsi" w:cstheme="minorHAnsi"/>
        </w:rPr>
        <w:t>’s</w:t>
      </w:r>
      <w:r w:rsidR="003B414A" w:rsidRPr="00F65CC5">
        <w:rPr>
          <w:rFonts w:asciiTheme="minorHAnsi" w:hAnsiTheme="minorHAnsi" w:cstheme="minorHAnsi"/>
        </w:rPr>
        <w:t xml:space="preserve"> umbrella organisation</w:t>
      </w:r>
      <w:r w:rsidR="005B2625" w:rsidRPr="00F65CC5">
        <w:rPr>
          <w:rFonts w:asciiTheme="minorHAnsi" w:hAnsiTheme="minorHAnsi" w:cstheme="minorHAnsi"/>
        </w:rPr>
        <w:t>,</w:t>
      </w:r>
      <w:r w:rsidR="003B414A" w:rsidRPr="00F65CC5">
        <w:rPr>
          <w:rFonts w:asciiTheme="minorHAnsi" w:hAnsiTheme="minorHAnsi" w:cstheme="minorHAnsi"/>
        </w:rPr>
        <w:t xml:space="preserve"> </w:t>
      </w:r>
      <w:r w:rsidR="00335812" w:rsidRPr="00F65CC5">
        <w:rPr>
          <w:rFonts w:asciiTheme="minorHAnsi" w:hAnsiTheme="minorHAnsi" w:cstheme="minorHAnsi"/>
        </w:rPr>
        <w:t>where</w:t>
      </w:r>
      <w:r w:rsidR="003B414A" w:rsidRPr="00F65CC5">
        <w:rPr>
          <w:rFonts w:asciiTheme="minorHAnsi" w:hAnsiTheme="minorHAnsi" w:cstheme="minorHAnsi"/>
        </w:rPr>
        <w:t xml:space="preserve"> decision making is</w:t>
      </w:r>
      <w:r w:rsidR="00680CC6" w:rsidRPr="00F65CC5">
        <w:rPr>
          <w:rFonts w:asciiTheme="minorHAnsi" w:hAnsiTheme="minorHAnsi" w:cstheme="minorHAnsi"/>
        </w:rPr>
        <w:t xml:space="preserve"> strictly </w:t>
      </w:r>
      <w:r w:rsidR="00A53A95" w:rsidRPr="00F65CC5">
        <w:rPr>
          <w:rFonts w:asciiTheme="minorHAnsi" w:hAnsiTheme="minorHAnsi" w:cstheme="minorHAnsi"/>
        </w:rPr>
        <w:t>dependent</w:t>
      </w:r>
      <w:r w:rsidR="00680CC6" w:rsidRPr="00F65CC5">
        <w:rPr>
          <w:rFonts w:asciiTheme="minorHAnsi" w:hAnsiTheme="minorHAnsi" w:cstheme="minorHAnsi"/>
        </w:rPr>
        <w:t xml:space="preserve"> on consensus. </w:t>
      </w:r>
      <w:r w:rsidR="005B2625" w:rsidRPr="00F65CC5">
        <w:rPr>
          <w:rFonts w:asciiTheme="minorHAnsi" w:hAnsiTheme="minorHAnsi" w:cstheme="minorHAnsi"/>
        </w:rPr>
        <w:t>A f</w:t>
      </w:r>
      <w:r w:rsidR="003B414A" w:rsidRPr="00F65CC5">
        <w:rPr>
          <w:rFonts w:asciiTheme="minorHAnsi" w:hAnsiTheme="minorHAnsi" w:cstheme="minorHAnsi"/>
        </w:rPr>
        <w:t>eminist struggle to challenge international law has a long history</w:t>
      </w:r>
      <w:r w:rsidR="009764FA">
        <w:rPr>
          <w:rFonts w:asciiTheme="minorHAnsi" w:hAnsiTheme="minorHAnsi" w:cstheme="minorHAnsi"/>
        </w:rPr>
        <w:t>. H</w:t>
      </w:r>
      <w:r w:rsidR="003B414A" w:rsidRPr="00F65CC5">
        <w:rPr>
          <w:rFonts w:asciiTheme="minorHAnsi" w:hAnsiTheme="minorHAnsi" w:cstheme="minorHAnsi"/>
        </w:rPr>
        <w:t>owever</w:t>
      </w:r>
      <w:r w:rsidR="009764FA">
        <w:rPr>
          <w:rFonts w:asciiTheme="minorHAnsi" w:hAnsiTheme="minorHAnsi" w:cstheme="minorHAnsi"/>
        </w:rPr>
        <w:t>,</w:t>
      </w:r>
      <w:r w:rsidR="00680CC6" w:rsidRPr="00F65CC5">
        <w:rPr>
          <w:rFonts w:asciiTheme="minorHAnsi" w:hAnsiTheme="minorHAnsi" w:cstheme="minorHAnsi"/>
        </w:rPr>
        <w:t xml:space="preserve"> </w:t>
      </w:r>
      <w:r w:rsidR="009E084E" w:rsidRPr="00F65CC5">
        <w:rPr>
          <w:rFonts w:asciiTheme="minorHAnsi" w:hAnsiTheme="minorHAnsi" w:cstheme="minorHAnsi"/>
        </w:rPr>
        <w:t>t</w:t>
      </w:r>
      <w:r w:rsidR="003B414A" w:rsidRPr="00F65CC5">
        <w:rPr>
          <w:rFonts w:asciiTheme="minorHAnsi" w:hAnsiTheme="minorHAnsi" w:cstheme="minorHAnsi"/>
        </w:rPr>
        <w:t xml:space="preserve">he Istanbul Convention’s seeds were sown in </w:t>
      </w:r>
      <w:proofErr w:type="spellStart"/>
      <w:r w:rsidR="003B414A" w:rsidRPr="00F65CC5">
        <w:rPr>
          <w:rFonts w:asciiTheme="minorHAnsi" w:hAnsiTheme="minorHAnsi" w:cstheme="minorHAnsi"/>
        </w:rPr>
        <w:t>Diyarbak</w:t>
      </w:r>
      <w:r w:rsidR="00F40EE1" w:rsidRPr="00F65CC5">
        <w:rPr>
          <w:rFonts w:asciiTheme="minorHAnsi" w:hAnsiTheme="minorHAnsi" w:cstheme="minorHAnsi"/>
        </w:rPr>
        <w:t>ı</w:t>
      </w:r>
      <w:r w:rsidR="003B414A" w:rsidRPr="00F65CC5">
        <w:rPr>
          <w:rFonts w:asciiTheme="minorHAnsi" w:hAnsiTheme="minorHAnsi" w:cstheme="minorHAnsi"/>
        </w:rPr>
        <w:t>r</w:t>
      </w:r>
      <w:proofErr w:type="spellEnd"/>
      <w:r w:rsidR="00B77136" w:rsidRPr="00F65CC5">
        <w:rPr>
          <w:rFonts w:asciiTheme="minorHAnsi" w:hAnsiTheme="minorHAnsi" w:cstheme="minorHAnsi"/>
        </w:rPr>
        <w:t>.</w:t>
      </w:r>
      <w:r w:rsidR="003B414A" w:rsidRPr="00F65CC5">
        <w:rPr>
          <w:rFonts w:asciiTheme="minorHAnsi" w:hAnsiTheme="minorHAnsi" w:cstheme="minorHAnsi"/>
        </w:rPr>
        <w:t xml:space="preserve"> </w:t>
      </w:r>
      <w:r w:rsidR="00B77136" w:rsidRPr="00F65CC5">
        <w:rPr>
          <w:rFonts w:asciiTheme="minorHAnsi" w:hAnsiTheme="minorHAnsi" w:cstheme="minorHAnsi"/>
        </w:rPr>
        <w:t>W</w:t>
      </w:r>
      <w:r w:rsidR="003B414A" w:rsidRPr="00F65CC5">
        <w:rPr>
          <w:rFonts w:asciiTheme="minorHAnsi" w:hAnsiTheme="minorHAnsi" w:cstheme="minorHAnsi"/>
        </w:rPr>
        <w:t>hen the Convention disappear</w:t>
      </w:r>
      <w:r w:rsidR="009E084E" w:rsidRPr="00F65CC5">
        <w:rPr>
          <w:rFonts w:asciiTheme="minorHAnsi" w:hAnsiTheme="minorHAnsi" w:cstheme="minorHAnsi"/>
        </w:rPr>
        <w:t>ed</w:t>
      </w:r>
      <w:r w:rsidR="00B77136" w:rsidRPr="00F65CC5">
        <w:rPr>
          <w:rFonts w:asciiTheme="minorHAnsi" w:hAnsiTheme="minorHAnsi" w:cstheme="minorHAnsi"/>
        </w:rPr>
        <w:t>,</w:t>
      </w:r>
      <w:r w:rsidR="003B414A" w:rsidRPr="00F65CC5">
        <w:rPr>
          <w:rFonts w:asciiTheme="minorHAnsi" w:hAnsiTheme="minorHAnsi" w:cstheme="minorHAnsi"/>
        </w:rPr>
        <w:t xml:space="preserve"> E</w:t>
      </w:r>
      <w:r w:rsidR="00F40EE1" w:rsidRPr="00F65CC5">
        <w:rPr>
          <w:rFonts w:asciiTheme="minorHAnsi" w:hAnsiTheme="minorHAnsi" w:cstheme="minorHAnsi"/>
        </w:rPr>
        <w:t>Şİ</w:t>
      </w:r>
      <w:r w:rsidR="003B414A" w:rsidRPr="00F65CC5">
        <w:rPr>
          <w:rFonts w:asciiTheme="minorHAnsi" w:hAnsiTheme="minorHAnsi" w:cstheme="minorHAnsi"/>
        </w:rPr>
        <w:t xml:space="preserve">K became a space where </w:t>
      </w:r>
      <w:r w:rsidR="009E084E" w:rsidRPr="00F65CC5">
        <w:rPr>
          <w:rFonts w:asciiTheme="minorHAnsi" w:hAnsiTheme="minorHAnsi" w:cstheme="minorHAnsi"/>
        </w:rPr>
        <w:t>diverse</w:t>
      </w:r>
      <w:r w:rsidR="003B414A" w:rsidRPr="00F65CC5">
        <w:rPr>
          <w:rFonts w:asciiTheme="minorHAnsi" w:hAnsiTheme="minorHAnsi" w:cstheme="minorHAnsi"/>
        </w:rPr>
        <w:t xml:space="preserve"> feminist critique</w:t>
      </w:r>
      <w:r w:rsidR="005B2625" w:rsidRPr="00F65CC5">
        <w:rPr>
          <w:rFonts w:asciiTheme="minorHAnsi" w:hAnsiTheme="minorHAnsi" w:cstheme="minorHAnsi"/>
        </w:rPr>
        <w:t>s</w:t>
      </w:r>
      <w:r w:rsidR="003B414A" w:rsidRPr="00F65CC5">
        <w:rPr>
          <w:rFonts w:asciiTheme="minorHAnsi" w:hAnsiTheme="minorHAnsi" w:cstheme="minorHAnsi"/>
        </w:rPr>
        <w:t xml:space="preserve"> </w:t>
      </w:r>
      <w:r w:rsidR="005B2625" w:rsidRPr="00F65CC5">
        <w:rPr>
          <w:rFonts w:asciiTheme="minorHAnsi" w:hAnsiTheme="minorHAnsi" w:cstheme="minorHAnsi"/>
        </w:rPr>
        <w:t>of</w:t>
      </w:r>
      <w:r w:rsidR="003B414A" w:rsidRPr="00F65CC5">
        <w:rPr>
          <w:rFonts w:asciiTheme="minorHAnsi" w:hAnsiTheme="minorHAnsi" w:cstheme="minorHAnsi"/>
        </w:rPr>
        <w:t xml:space="preserve"> law</w:t>
      </w:r>
      <w:r w:rsidR="009E084E" w:rsidRPr="00F65CC5">
        <w:rPr>
          <w:rFonts w:asciiTheme="minorHAnsi" w:hAnsiTheme="minorHAnsi" w:cstheme="minorHAnsi"/>
        </w:rPr>
        <w:t xml:space="preserve">, </w:t>
      </w:r>
      <w:r w:rsidR="00E80906" w:rsidRPr="00F65CC5">
        <w:rPr>
          <w:rFonts w:asciiTheme="minorHAnsi" w:hAnsiTheme="minorHAnsi" w:cstheme="minorHAnsi"/>
        </w:rPr>
        <w:t xml:space="preserve">from </w:t>
      </w:r>
      <w:r w:rsidR="009E084E" w:rsidRPr="00F65CC5">
        <w:rPr>
          <w:rFonts w:asciiTheme="minorHAnsi" w:hAnsiTheme="minorHAnsi" w:cstheme="minorHAnsi"/>
        </w:rPr>
        <w:t>different an</w:t>
      </w:r>
      <w:r w:rsidR="00AA1E06" w:rsidRPr="00F65CC5">
        <w:rPr>
          <w:rFonts w:asciiTheme="minorHAnsi" w:hAnsiTheme="minorHAnsi" w:cstheme="minorHAnsi"/>
        </w:rPr>
        <w:t>d</w:t>
      </w:r>
      <w:r w:rsidR="009E084E" w:rsidRPr="00F65CC5">
        <w:rPr>
          <w:rFonts w:asciiTheme="minorHAnsi" w:hAnsiTheme="minorHAnsi" w:cstheme="minorHAnsi"/>
        </w:rPr>
        <w:t xml:space="preserve"> conflicting </w:t>
      </w:r>
      <w:r w:rsidR="00AA1E06" w:rsidRPr="00F65CC5">
        <w:rPr>
          <w:rFonts w:asciiTheme="minorHAnsi" w:hAnsiTheme="minorHAnsi" w:cstheme="minorHAnsi"/>
        </w:rPr>
        <w:t>geographies of feminisms</w:t>
      </w:r>
      <w:r w:rsidR="003315BE">
        <w:rPr>
          <w:rFonts w:asciiTheme="minorHAnsi" w:hAnsiTheme="minorHAnsi" w:cstheme="minorHAnsi"/>
        </w:rPr>
        <w:t>,</w:t>
      </w:r>
      <w:r w:rsidR="003B414A" w:rsidRPr="00F65CC5">
        <w:rPr>
          <w:rFonts w:asciiTheme="minorHAnsi" w:hAnsiTheme="minorHAnsi" w:cstheme="minorHAnsi"/>
        </w:rPr>
        <w:t xml:space="preserve"> </w:t>
      </w:r>
      <w:r w:rsidR="009E084E" w:rsidRPr="00F65CC5">
        <w:rPr>
          <w:rFonts w:asciiTheme="minorHAnsi" w:hAnsiTheme="minorHAnsi" w:cstheme="minorHAnsi"/>
        </w:rPr>
        <w:t>found a space</w:t>
      </w:r>
      <w:r w:rsidR="003B414A" w:rsidRPr="00F65CC5">
        <w:rPr>
          <w:rFonts w:asciiTheme="minorHAnsi" w:hAnsiTheme="minorHAnsi" w:cstheme="minorHAnsi"/>
        </w:rPr>
        <w:t xml:space="preserve"> to generate </w:t>
      </w:r>
      <w:r w:rsidR="009E084E" w:rsidRPr="00F65CC5">
        <w:rPr>
          <w:rFonts w:asciiTheme="minorHAnsi" w:hAnsiTheme="minorHAnsi" w:cstheme="minorHAnsi"/>
        </w:rPr>
        <w:t>the hybrid</w:t>
      </w:r>
      <w:r w:rsidR="000124C3">
        <w:rPr>
          <w:rFonts w:asciiTheme="minorHAnsi" w:hAnsiTheme="minorHAnsi" w:cstheme="minorHAnsi"/>
        </w:rPr>
        <w:t>:</w:t>
      </w:r>
    </w:p>
    <w:p w14:paraId="5D704685" w14:textId="4758B2B2" w:rsidR="00F70264" w:rsidRPr="00F65CC5" w:rsidRDefault="00F70264" w:rsidP="007933F6">
      <w:pPr>
        <w:ind w:right="798"/>
        <w:jc w:val="both"/>
        <w:rPr>
          <w:rFonts w:asciiTheme="minorHAnsi" w:hAnsiTheme="minorHAnsi" w:cstheme="minorHAnsi"/>
        </w:rPr>
      </w:pPr>
    </w:p>
    <w:p w14:paraId="00AFA313" w14:textId="2E895DA7" w:rsidR="00AA1E06" w:rsidRPr="00F65CC5" w:rsidRDefault="00AA1E06" w:rsidP="007933F6">
      <w:pPr>
        <w:ind w:left="851" w:right="1417"/>
        <w:jc w:val="both"/>
        <w:rPr>
          <w:rFonts w:asciiTheme="minorHAnsi" w:hAnsiTheme="minorHAnsi" w:cstheme="minorHAnsi"/>
        </w:rPr>
      </w:pPr>
      <w:r w:rsidRPr="00F65CC5">
        <w:rPr>
          <w:rFonts w:asciiTheme="minorHAnsi" w:hAnsiTheme="minorHAnsi" w:cstheme="minorHAnsi"/>
        </w:rPr>
        <w:t>One of the most important achievements of this process was in my view that this resistance carried T</w:t>
      </w:r>
      <w:r w:rsidR="00755D62" w:rsidRPr="00F65CC5">
        <w:rPr>
          <w:rFonts w:asciiTheme="minorHAnsi" w:hAnsiTheme="minorHAnsi" w:cstheme="minorHAnsi"/>
        </w:rPr>
        <w:t>ü</w:t>
      </w:r>
      <w:r w:rsidRPr="00F65CC5">
        <w:rPr>
          <w:rFonts w:asciiTheme="minorHAnsi" w:hAnsiTheme="minorHAnsi" w:cstheme="minorHAnsi"/>
        </w:rPr>
        <w:t xml:space="preserve">rkiye and </w:t>
      </w:r>
      <w:proofErr w:type="spellStart"/>
      <w:r w:rsidRPr="00F65CC5">
        <w:rPr>
          <w:rFonts w:asciiTheme="minorHAnsi" w:hAnsiTheme="minorHAnsi" w:cstheme="minorHAnsi"/>
        </w:rPr>
        <w:t>K</w:t>
      </w:r>
      <w:r w:rsidR="00855DD8" w:rsidRPr="00F65CC5">
        <w:rPr>
          <w:rFonts w:asciiTheme="minorHAnsi" w:hAnsiTheme="minorHAnsi" w:cstheme="minorHAnsi"/>
        </w:rPr>
        <w:t>ü</w:t>
      </w:r>
      <w:r w:rsidRPr="00F65CC5">
        <w:rPr>
          <w:rFonts w:asciiTheme="minorHAnsi" w:hAnsiTheme="minorHAnsi" w:cstheme="minorHAnsi"/>
        </w:rPr>
        <w:t>rdistan</w:t>
      </w:r>
      <w:r w:rsidR="003E1C16" w:rsidRPr="00F65CC5">
        <w:rPr>
          <w:rFonts w:asciiTheme="minorHAnsi" w:hAnsiTheme="minorHAnsi" w:cstheme="minorHAnsi"/>
        </w:rPr>
        <w:t>’s</w:t>
      </w:r>
      <w:proofErr w:type="spellEnd"/>
      <w:r w:rsidRPr="00F65CC5">
        <w:rPr>
          <w:rFonts w:asciiTheme="minorHAnsi" w:hAnsiTheme="minorHAnsi" w:cstheme="minorHAnsi"/>
        </w:rPr>
        <w:t xml:space="preserve"> women’s movement to a shared space. Despite our differences, we managed to enhance the shared values and good…despite our different perspectives and disagreements on certain issues… for the first time we were in such a close contact, perhaps not face to face but online</w:t>
      </w:r>
      <w:r w:rsidR="000124C3">
        <w:rPr>
          <w:rFonts w:asciiTheme="minorHAnsi" w:hAnsiTheme="minorHAnsi" w:cstheme="minorHAnsi"/>
        </w:rPr>
        <w:t>.</w:t>
      </w:r>
      <w:r w:rsidR="002214D1" w:rsidRPr="00F65CC5">
        <w:rPr>
          <w:rStyle w:val="FootnoteReference"/>
          <w:rFonts w:asciiTheme="minorHAnsi" w:hAnsiTheme="minorHAnsi" w:cstheme="minorHAnsi"/>
        </w:rPr>
        <w:footnoteReference w:id="142"/>
      </w:r>
    </w:p>
    <w:p w14:paraId="15C18A21" w14:textId="77777777" w:rsidR="00F70264" w:rsidRPr="00F65CC5" w:rsidRDefault="00F70264" w:rsidP="007933F6">
      <w:pPr>
        <w:ind w:left="851" w:right="1417"/>
        <w:jc w:val="both"/>
        <w:rPr>
          <w:rFonts w:asciiTheme="minorHAnsi" w:hAnsiTheme="minorHAnsi" w:cstheme="minorHAnsi"/>
          <w:bCs/>
        </w:rPr>
      </w:pPr>
    </w:p>
    <w:p w14:paraId="6C87989C" w14:textId="1DBB400A" w:rsidR="00122D78" w:rsidRPr="00F65CC5" w:rsidRDefault="00FE45D4" w:rsidP="0049360F">
      <w:pPr>
        <w:jc w:val="both"/>
        <w:rPr>
          <w:rFonts w:asciiTheme="minorHAnsi" w:hAnsiTheme="minorHAnsi" w:cstheme="minorHAnsi"/>
        </w:rPr>
      </w:pPr>
      <w:r w:rsidRPr="00F65CC5">
        <w:rPr>
          <w:rFonts w:asciiTheme="minorHAnsi" w:hAnsiTheme="minorHAnsi" w:cstheme="minorHAnsi"/>
          <w:bCs/>
        </w:rPr>
        <w:t xml:space="preserve">From the land </w:t>
      </w:r>
      <w:r w:rsidR="00E15DBE">
        <w:rPr>
          <w:rFonts w:asciiTheme="minorHAnsi" w:hAnsiTheme="minorHAnsi" w:cstheme="minorHAnsi"/>
          <w:bCs/>
        </w:rPr>
        <w:t>from which</w:t>
      </w:r>
      <w:r w:rsidR="00D425D3">
        <w:rPr>
          <w:rFonts w:asciiTheme="minorHAnsi" w:hAnsiTheme="minorHAnsi" w:cstheme="minorHAnsi"/>
          <w:bCs/>
        </w:rPr>
        <w:t xml:space="preserve"> </w:t>
      </w:r>
      <w:r w:rsidRPr="00F65CC5">
        <w:rPr>
          <w:rFonts w:asciiTheme="minorHAnsi" w:hAnsiTheme="minorHAnsi" w:cstheme="minorHAnsi"/>
          <w:bCs/>
        </w:rPr>
        <w:t xml:space="preserve">the Convention emerged and </w:t>
      </w:r>
      <w:r w:rsidR="008F38EE" w:rsidRPr="00F65CC5">
        <w:rPr>
          <w:rFonts w:asciiTheme="minorHAnsi" w:hAnsiTheme="minorHAnsi" w:cstheme="minorHAnsi"/>
          <w:bCs/>
        </w:rPr>
        <w:t xml:space="preserve">the </w:t>
      </w:r>
      <w:r w:rsidRPr="00F65CC5">
        <w:rPr>
          <w:rFonts w:asciiTheme="minorHAnsi" w:hAnsiTheme="minorHAnsi" w:cstheme="minorHAnsi"/>
          <w:bCs/>
        </w:rPr>
        <w:t xml:space="preserve">jurisdiction </w:t>
      </w:r>
      <w:r w:rsidR="00D425D3">
        <w:rPr>
          <w:rFonts w:asciiTheme="minorHAnsi" w:hAnsiTheme="minorHAnsi" w:cstheme="minorHAnsi"/>
          <w:bCs/>
        </w:rPr>
        <w:t xml:space="preserve">in which </w:t>
      </w:r>
      <w:r w:rsidRPr="00F65CC5">
        <w:rPr>
          <w:rFonts w:asciiTheme="minorHAnsi" w:hAnsiTheme="minorHAnsi" w:cstheme="minorHAnsi"/>
          <w:bCs/>
        </w:rPr>
        <w:t xml:space="preserve">the Convention is no longer a law, the hybrid space of resistance </w:t>
      </w:r>
      <w:r w:rsidR="0028656D" w:rsidRPr="00F65CC5">
        <w:rPr>
          <w:rFonts w:asciiTheme="minorHAnsi" w:hAnsiTheme="minorHAnsi" w:cstheme="minorHAnsi"/>
          <w:bCs/>
        </w:rPr>
        <w:t>did not leave the Convention</w:t>
      </w:r>
      <w:r w:rsidR="00580B2D">
        <w:rPr>
          <w:rFonts w:asciiTheme="minorHAnsi" w:hAnsiTheme="minorHAnsi" w:cstheme="minorHAnsi"/>
          <w:bCs/>
        </w:rPr>
        <w:t>,</w:t>
      </w:r>
      <w:r w:rsidRPr="00F65CC5">
        <w:rPr>
          <w:rFonts w:asciiTheme="minorHAnsi" w:hAnsiTheme="minorHAnsi" w:cstheme="minorHAnsi"/>
          <w:bCs/>
        </w:rPr>
        <w:t xml:space="preserve"> as </w:t>
      </w:r>
      <w:r w:rsidR="0028656D" w:rsidRPr="00F65CC5">
        <w:rPr>
          <w:rFonts w:asciiTheme="minorHAnsi" w:hAnsiTheme="minorHAnsi" w:cstheme="minorHAnsi"/>
          <w:bCs/>
        </w:rPr>
        <w:t xml:space="preserve">it would mean leaving </w:t>
      </w:r>
      <w:r w:rsidRPr="00F65CC5">
        <w:rPr>
          <w:rFonts w:asciiTheme="minorHAnsi" w:hAnsiTheme="minorHAnsi" w:cstheme="minorHAnsi"/>
          <w:bCs/>
        </w:rPr>
        <w:t xml:space="preserve">a space where women are kept alive. The Convention as a piece of legislation translated </w:t>
      </w:r>
      <w:r w:rsidR="006F23A4" w:rsidRPr="00F65CC5">
        <w:rPr>
          <w:rFonts w:asciiTheme="minorHAnsi" w:hAnsiTheme="minorHAnsi" w:cstheme="minorHAnsi"/>
          <w:bCs/>
        </w:rPr>
        <w:t xml:space="preserve">into a space where women are kept alive. The feminist denial of the withdrawal </w:t>
      </w:r>
      <w:r w:rsidR="00BE451C" w:rsidRPr="00F65CC5">
        <w:rPr>
          <w:rFonts w:asciiTheme="minorHAnsi" w:hAnsiTheme="minorHAnsi" w:cstheme="minorHAnsi"/>
          <w:bCs/>
        </w:rPr>
        <w:t xml:space="preserve">has </w:t>
      </w:r>
      <w:r w:rsidR="006F23A4" w:rsidRPr="00F65CC5">
        <w:rPr>
          <w:rFonts w:asciiTheme="minorHAnsi" w:hAnsiTheme="minorHAnsi" w:cstheme="minorHAnsi"/>
          <w:bCs/>
        </w:rPr>
        <w:t>become</w:t>
      </w:r>
      <w:r w:rsidR="00BE451C" w:rsidRPr="00F65CC5">
        <w:rPr>
          <w:rFonts w:asciiTheme="minorHAnsi" w:hAnsiTheme="minorHAnsi" w:cstheme="minorHAnsi"/>
          <w:bCs/>
        </w:rPr>
        <w:t xml:space="preserve"> the</w:t>
      </w:r>
      <w:r w:rsidR="006F23A4" w:rsidRPr="00F65CC5">
        <w:rPr>
          <w:rFonts w:asciiTheme="minorHAnsi" w:hAnsiTheme="minorHAnsi" w:cstheme="minorHAnsi"/>
          <w:bCs/>
        </w:rPr>
        <w:t xml:space="preserve"> defence of </w:t>
      </w:r>
      <w:r w:rsidR="00BE451C" w:rsidRPr="00F65CC5">
        <w:rPr>
          <w:rFonts w:asciiTheme="minorHAnsi" w:hAnsiTheme="minorHAnsi" w:cstheme="minorHAnsi"/>
          <w:bCs/>
        </w:rPr>
        <w:t xml:space="preserve">women’s </w:t>
      </w:r>
      <w:r w:rsidR="006F23A4" w:rsidRPr="00F65CC5">
        <w:rPr>
          <w:rFonts w:asciiTheme="minorHAnsi" w:hAnsiTheme="minorHAnsi" w:cstheme="minorHAnsi"/>
          <w:bCs/>
        </w:rPr>
        <w:t>lives. E</w:t>
      </w:r>
      <w:r w:rsidR="00F40EE1" w:rsidRPr="00F65CC5">
        <w:rPr>
          <w:rFonts w:asciiTheme="minorHAnsi" w:hAnsiTheme="minorHAnsi" w:cstheme="minorHAnsi"/>
          <w:bCs/>
        </w:rPr>
        <w:t>Şİ</w:t>
      </w:r>
      <w:r w:rsidR="006F23A4" w:rsidRPr="00F65CC5">
        <w:rPr>
          <w:rFonts w:asciiTheme="minorHAnsi" w:hAnsiTheme="minorHAnsi" w:cstheme="minorHAnsi"/>
          <w:bCs/>
        </w:rPr>
        <w:t>K’s prominent slogan</w:t>
      </w:r>
      <w:r w:rsidR="005C7F66">
        <w:rPr>
          <w:rFonts w:asciiTheme="minorHAnsi" w:hAnsiTheme="minorHAnsi" w:cstheme="minorHAnsi"/>
          <w:bCs/>
        </w:rPr>
        <w:t>,</w:t>
      </w:r>
      <w:r w:rsidR="006F23A4" w:rsidRPr="00F65CC5">
        <w:rPr>
          <w:rFonts w:asciiTheme="minorHAnsi" w:hAnsiTheme="minorHAnsi" w:cstheme="minorHAnsi"/>
          <w:bCs/>
        </w:rPr>
        <w:t xml:space="preserve"> </w:t>
      </w:r>
      <w:r w:rsidR="006F23A4" w:rsidRPr="00F65CC5">
        <w:rPr>
          <w:rFonts w:asciiTheme="minorHAnsi" w:hAnsiTheme="minorHAnsi" w:cstheme="minorHAnsi"/>
          <w:b/>
          <w:bCs/>
        </w:rPr>
        <w:t>‘</w:t>
      </w:r>
      <w:r w:rsidR="006F23A4" w:rsidRPr="00F65CC5">
        <w:rPr>
          <w:rFonts w:asciiTheme="minorHAnsi" w:hAnsiTheme="minorHAnsi" w:cstheme="minorHAnsi"/>
        </w:rPr>
        <w:t>The Istanbul Convention Keeps Us Alive’</w:t>
      </w:r>
      <w:r w:rsidR="005C7F66">
        <w:rPr>
          <w:rFonts w:asciiTheme="minorHAnsi" w:hAnsiTheme="minorHAnsi" w:cstheme="minorHAnsi"/>
        </w:rPr>
        <w:t>,</w:t>
      </w:r>
      <w:r w:rsidR="006F23A4" w:rsidRPr="00F65CC5">
        <w:rPr>
          <w:rFonts w:asciiTheme="minorHAnsi" w:hAnsiTheme="minorHAnsi" w:cstheme="minorHAnsi"/>
        </w:rPr>
        <w:t xml:space="preserve"> promises a hybrid reframing of </w:t>
      </w:r>
      <w:r w:rsidR="00293721">
        <w:rPr>
          <w:rFonts w:asciiTheme="minorHAnsi" w:hAnsiTheme="minorHAnsi" w:cstheme="minorHAnsi"/>
        </w:rPr>
        <w:t xml:space="preserve">the </w:t>
      </w:r>
      <w:r w:rsidR="006F23A4" w:rsidRPr="00F65CC5">
        <w:rPr>
          <w:rFonts w:asciiTheme="minorHAnsi" w:hAnsiTheme="minorHAnsi" w:cstheme="minorHAnsi"/>
        </w:rPr>
        <w:t>right to life</w:t>
      </w:r>
      <w:r w:rsidR="002C2667" w:rsidRPr="00F65CC5">
        <w:rPr>
          <w:rFonts w:asciiTheme="minorHAnsi" w:hAnsiTheme="minorHAnsi" w:cstheme="minorHAnsi"/>
        </w:rPr>
        <w:t>.</w:t>
      </w:r>
      <w:r w:rsidR="006F23A4" w:rsidRPr="00F65CC5">
        <w:rPr>
          <w:rFonts w:asciiTheme="minorHAnsi" w:hAnsiTheme="minorHAnsi" w:cstheme="minorHAnsi"/>
        </w:rPr>
        <w:t xml:space="preserve"> The space </w:t>
      </w:r>
      <w:r w:rsidR="00E06CC2" w:rsidRPr="00F65CC5">
        <w:rPr>
          <w:rFonts w:asciiTheme="minorHAnsi" w:hAnsiTheme="minorHAnsi" w:cstheme="minorHAnsi"/>
        </w:rPr>
        <w:t>T</w:t>
      </w:r>
      <w:r w:rsidR="007E7128" w:rsidRPr="00F65CC5">
        <w:rPr>
          <w:rFonts w:asciiTheme="minorHAnsi" w:hAnsiTheme="minorHAnsi" w:cstheme="minorHAnsi"/>
        </w:rPr>
        <w:t>ü</w:t>
      </w:r>
      <w:r w:rsidR="00E06CC2" w:rsidRPr="00F65CC5">
        <w:rPr>
          <w:rFonts w:asciiTheme="minorHAnsi" w:hAnsiTheme="minorHAnsi" w:cstheme="minorHAnsi"/>
        </w:rPr>
        <w:t>rkiye</w:t>
      </w:r>
      <w:r w:rsidR="006F23A4" w:rsidRPr="00F65CC5">
        <w:rPr>
          <w:rFonts w:asciiTheme="minorHAnsi" w:hAnsiTheme="minorHAnsi" w:cstheme="minorHAnsi"/>
        </w:rPr>
        <w:t xml:space="preserve"> left but feminists stayed</w:t>
      </w:r>
      <w:r w:rsidR="005C7F66">
        <w:rPr>
          <w:rFonts w:asciiTheme="minorHAnsi" w:hAnsiTheme="minorHAnsi" w:cstheme="minorHAnsi"/>
        </w:rPr>
        <w:t xml:space="preserve"> in</w:t>
      </w:r>
      <w:r w:rsidR="001B2D06">
        <w:rPr>
          <w:rFonts w:asciiTheme="minorHAnsi" w:hAnsiTheme="minorHAnsi" w:cstheme="minorHAnsi"/>
        </w:rPr>
        <w:t>,</w:t>
      </w:r>
      <w:r w:rsidR="00647E08" w:rsidRPr="00F65CC5">
        <w:rPr>
          <w:rFonts w:asciiTheme="minorHAnsi" w:hAnsiTheme="minorHAnsi" w:cstheme="minorHAnsi"/>
        </w:rPr>
        <w:t xml:space="preserve"> is</w:t>
      </w:r>
      <w:r w:rsidR="006F23A4" w:rsidRPr="00F65CC5">
        <w:rPr>
          <w:rFonts w:asciiTheme="minorHAnsi" w:hAnsiTheme="minorHAnsi" w:cstheme="minorHAnsi"/>
          <w:b/>
          <w:bCs/>
        </w:rPr>
        <w:t xml:space="preserve"> </w:t>
      </w:r>
      <w:r w:rsidR="00647E08" w:rsidRPr="00F65CC5">
        <w:rPr>
          <w:rFonts w:asciiTheme="minorHAnsi" w:hAnsiTheme="minorHAnsi" w:cstheme="minorHAnsi"/>
          <w:bCs/>
        </w:rPr>
        <w:t>t</w:t>
      </w:r>
      <w:r w:rsidR="00BE769D" w:rsidRPr="00F65CC5">
        <w:rPr>
          <w:rFonts w:asciiTheme="minorHAnsi" w:hAnsiTheme="minorHAnsi" w:cstheme="minorHAnsi"/>
          <w:bCs/>
        </w:rPr>
        <w:t xml:space="preserve">he </w:t>
      </w:r>
      <w:r w:rsidR="00F45604" w:rsidRPr="00F65CC5">
        <w:rPr>
          <w:rFonts w:asciiTheme="minorHAnsi" w:hAnsiTheme="minorHAnsi" w:cstheme="minorHAnsi"/>
          <w:bCs/>
        </w:rPr>
        <w:t xml:space="preserve">unlikely feminist legal </w:t>
      </w:r>
      <w:r w:rsidR="00D3477C" w:rsidRPr="00F65CC5">
        <w:rPr>
          <w:rFonts w:asciiTheme="minorHAnsi" w:hAnsiTheme="minorHAnsi" w:cstheme="minorHAnsi"/>
          <w:bCs/>
        </w:rPr>
        <w:t xml:space="preserve">space where </w:t>
      </w:r>
      <w:r w:rsidR="00780A4B">
        <w:rPr>
          <w:rFonts w:asciiTheme="minorHAnsi" w:hAnsiTheme="minorHAnsi" w:cstheme="minorHAnsi"/>
          <w:bCs/>
        </w:rPr>
        <w:t xml:space="preserve">the </w:t>
      </w:r>
      <w:r w:rsidR="00D3477C" w:rsidRPr="00F65CC5">
        <w:rPr>
          <w:rFonts w:asciiTheme="minorHAnsi" w:hAnsiTheme="minorHAnsi" w:cstheme="minorHAnsi"/>
          <w:bCs/>
        </w:rPr>
        <w:t xml:space="preserve">lives </w:t>
      </w:r>
      <w:r w:rsidR="00BE769D" w:rsidRPr="00F65CC5">
        <w:rPr>
          <w:rFonts w:asciiTheme="minorHAnsi" w:hAnsiTheme="minorHAnsi" w:cstheme="minorHAnsi"/>
          <w:bCs/>
        </w:rPr>
        <w:t>of women are possible.</w:t>
      </w:r>
      <w:r w:rsidR="00EF32F8" w:rsidRPr="00F65CC5">
        <w:rPr>
          <w:rFonts w:asciiTheme="minorHAnsi" w:hAnsiTheme="minorHAnsi" w:cstheme="minorHAnsi"/>
          <w:bCs/>
        </w:rPr>
        <w:t xml:space="preserve"> </w:t>
      </w:r>
      <w:r w:rsidR="00122D78" w:rsidRPr="00F65CC5">
        <w:rPr>
          <w:rFonts w:asciiTheme="minorHAnsi" w:hAnsiTheme="minorHAnsi" w:cstheme="minorHAnsi"/>
        </w:rPr>
        <w:t xml:space="preserve">The slogans of the campaign </w:t>
      </w:r>
      <w:r w:rsidR="00F45604" w:rsidRPr="00F65CC5">
        <w:rPr>
          <w:rFonts w:asciiTheme="minorHAnsi" w:hAnsiTheme="minorHAnsi" w:cstheme="minorHAnsi"/>
        </w:rPr>
        <w:t xml:space="preserve">challenge the fundamental operation of </w:t>
      </w:r>
      <w:r w:rsidR="00122D78" w:rsidRPr="00F65CC5">
        <w:rPr>
          <w:rFonts w:asciiTheme="minorHAnsi" w:hAnsiTheme="minorHAnsi" w:cstheme="minorHAnsi"/>
        </w:rPr>
        <w:t>international law.</w:t>
      </w:r>
      <w:r w:rsidR="00CB6F7E" w:rsidRPr="00F65CC5">
        <w:rPr>
          <w:rFonts w:asciiTheme="minorHAnsi" w:hAnsiTheme="minorHAnsi" w:cstheme="minorHAnsi"/>
        </w:rPr>
        <w:t xml:space="preserve"> We could interpret this slogan as a</w:t>
      </w:r>
      <w:r w:rsidR="00A3215E" w:rsidRPr="00F65CC5">
        <w:rPr>
          <w:rFonts w:asciiTheme="minorHAnsi" w:hAnsiTheme="minorHAnsi" w:cstheme="minorHAnsi"/>
        </w:rPr>
        <w:t xml:space="preserve"> claim </w:t>
      </w:r>
      <w:r w:rsidR="002A3675" w:rsidRPr="00F65CC5">
        <w:rPr>
          <w:rFonts w:asciiTheme="minorHAnsi" w:hAnsiTheme="minorHAnsi" w:cstheme="minorHAnsi"/>
        </w:rPr>
        <w:t>for the</w:t>
      </w:r>
      <w:r w:rsidR="00CB6F7E" w:rsidRPr="00F65CC5">
        <w:rPr>
          <w:rFonts w:asciiTheme="minorHAnsi" w:hAnsiTheme="minorHAnsi" w:cstheme="minorHAnsi"/>
        </w:rPr>
        <w:t xml:space="preserve"> </w:t>
      </w:r>
      <w:r w:rsidR="00F45604" w:rsidRPr="00F65CC5">
        <w:rPr>
          <w:rFonts w:asciiTheme="minorHAnsi" w:hAnsiTheme="minorHAnsi" w:cstheme="minorHAnsi"/>
        </w:rPr>
        <w:t>r</w:t>
      </w:r>
      <w:r w:rsidR="00CB6F7E" w:rsidRPr="00F65CC5">
        <w:rPr>
          <w:rFonts w:asciiTheme="minorHAnsi" w:hAnsiTheme="minorHAnsi" w:cstheme="minorHAnsi"/>
        </w:rPr>
        <w:t xml:space="preserve">ight to life in </w:t>
      </w:r>
      <w:r w:rsidR="001B2D06">
        <w:rPr>
          <w:rFonts w:asciiTheme="minorHAnsi" w:hAnsiTheme="minorHAnsi" w:cstheme="minorHAnsi"/>
        </w:rPr>
        <w:t xml:space="preserve">the </w:t>
      </w:r>
      <w:r w:rsidR="00CB6F7E" w:rsidRPr="00F65CC5">
        <w:rPr>
          <w:rFonts w:asciiTheme="minorHAnsi" w:hAnsiTheme="minorHAnsi" w:cstheme="minorHAnsi"/>
        </w:rPr>
        <w:t xml:space="preserve">private sphere </w:t>
      </w:r>
      <w:r w:rsidR="001B2D06">
        <w:rPr>
          <w:rFonts w:asciiTheme="minorHAnsi" w:hAnsiTheme="minorHAnsi" w:cstheme="minorHAnsi"/>
        </w:rPr>
        <w:t>for</w:t>
      </w:r>
      <w:r w:rsidR="00CB6F7E" w:rsidRPr="00F65CC5">
        <w:rPr>
          <w:rFonts w:asciiTheme="minorHAnsi" w:hAnsiTheme="minorHAnsi" w:cstheme="minorHAnsi"/>
        </w:rPr>
        <w:t xml:space="preserve"> women</w:t>
      </w:r>
      <w:r w:rsidR="00780A4B">
        <w:rPr>
          <w:rFonts w:asciiTheme="minorHAnsi" w:hAnsiTheme="minorHAnsi" w:cstheme="minorHAnsi"/>
        </w:rPr>
        <w:t>,</w:t>
      </w:r>
      <w:r w:rsidR="00F167B6" w:rsidRPr="00F65CC5">
        <w:rPr>
          <w:rFonts w:asciiTheme="minorHAnsi" w:hAnsiTheme="minorHAnsi" w:cstheme="minorHAnsi"/>
        </w:rPr>
        <w:t xml:space="preserve"> and</w:t>
      </w:r>
      <w:r w:rsidR="00CB6F7E" w:rsidRPr="00F65CC5">
        <w:rPr>
          <w:rFonts w:asciiTheme="minorHAnsi" w:hAnsiTheme="minorHAnsi" w:cstheme="minorHAnsi"/>
        </w:rPr>
        <w:t xml:space="preserve"> States’ obligations to </w:t>
      </w:r>
      <w:r w:rsidR="000027D0" w:rsidRPr="00F65CC5">
        <w:rPr>
          <w:rFonts w:asciiTheme="minorHAnsi" w:hAnsiTheme="minorHAnsi" w:cstheme="minorHAnsi"/>
        </w:rPr>
        <w:t xml:space="preserve">protect </w:t>
      </w:r>
      <w:r w:rsidR="006D2EC3">
        <w:rPr>
          <w:rFonts w:asciiTheme="minorHAnsi" w:hAnsiTheme="minorHAnsi" w:cstheme="minorHAnsi"/>
        </w:rPr>
        <w:t xml:space="preserve">the </w:t>
      </w:r>
      <w:r w:rsidR="000027D0" w:rsidRPr="00F65CC5">
        <w:rPr>
          <w:rFonts w:asciiTheme="minorHAnsi" w:hAnsiTheme="minorHAnsi" w:cstheme="minorHAnsi"/>
        </w:rPr>
        <w:t xml:space="preserve">lives of women from </w:t>
      </w:r>
      <w:r w:rsidR="006D2EC3">
        <w:rPr>
          <w:rFonts w:asciiTheme="minorHAnsi" w:hAnsiTheme="minorHAnsi" w:cstheme="minorHAnsi"/>
        </w:rPr>
        <w:t xml:space="preserve">the </w:t>
      </w:r>
      <w:r w:rsidR="000027D0" w:rsidRPr="00F65CC5">
        <w:rPr>
          <w:rFonts w:asciiTheme="minorHAnsi" w:hAnsiTheme="minorHAnsi" w:cstheme="minorHAnsi"/>
        </w:rPr>
        <w:t xml:space="preserve">criminal acts of their partners </w:t>
      </w:r>
      <w:r w:rsidR="005B3C8A" w:rsidRPr="00F65CC5">
        <w:rPr>
          <w:rFonts w:asciiTheme="minorHAnsi" w:hAnsiTheme="minorHAnsi" w:cstheme="minorHAnsi"/>
        </w:rPr>
        <w:t>and/</w:t>
      </w:r>
      <w:r w:rsidR="000027D0" w:rsidRPr="00F65CC5">
        <w:rPr>
          <w:rFonts w:asciiTheme="minorHAnsi" w:hAnsiTheme="minorHAnsi" w:cstheme="minorHAnsi"/>
        </w:rPr>
        <w:t>o</w:t>
      </w:r>
      <w:r w:rsidR="00615B5C" w:rsidRPr="00F65CC5">
        <w:rPr>
          <w:rFonts w:asciiTheme="minorHAnsi" w:hAnsiTheme="minorHAnsi" w:cstheme="minorHAnsi"/>
        </w:rPr>
        <w:t>r</w:t>
      </w:r>
      <w:r w:rsidR="000027D0" w:rsidRPr="00F65CC5">
        <w:rPr>
          <w:rFonts w:asciiTheme="minorHAnsi" w:hAnsiTheme="minorHAnsi" w:cstheme="minorHAnsi"/>
        </w:rPr>
        <w:t xml:space="preserve"> family members. In the end</w:t>
      </w:r>
      <w:r w:rsidR="006D2EC3">
        <w:rPr>
          <w:rFonts w:asciiTheme="minorHAnsi" w:hAnsiTheme="minorHAnsi" w:cstheme="minorHAnsi"/>
        </w:rPr>
        <w:t>,</w:t>
      </w:r>
      <w:r w:rsidR="00CB6F7E" w:rsidRPr="00F65CC5">
        <w:rPr>
          <w:rFonts w:asciiTheme="minorHAnsi" w:hAnsiTheme="minorHAnsi" w:cstheme="minorHAnsi"/>
        </w:rPr>
        <w:t xml:space="preserve"> </w:t>
      </w:r>
      <w:r w:rsidR="00F45604" w:rsidRPr="00F65CC5">
        <w:rPr>
          <w:rFonts w:asciiTheme="minorHAnsi" w:hAnsiTheme="minorHAnsi" w:cstheme="minorHAnsi"/>
        </w:rPr>
        <w:t>w</w:t>
      </w:r>
      <w:r w:rsidR="00122D78" w:rsidRPr="00F65CC5">
        <w:rPr>
          <w:rFonts w:asciiTheme="minorHAnsi" w:hAnsiTheme="minorHAnsi" w:cstheme="minorHAnsi"/>
        </w:rPr>
        <w:t>omen’s right to life require</w:t>
      </w:r>
      <w:r w:rsidR="006D2EC3">
        <w:rPr>
          <w:rFonts w:asciiTheme="minorHAnsi" w:hAnsiTheme="minorHAnsi" w:cstheme="minorHAnsi"/>
        </w:rPr>
        <w:t>s</w:t>
      </w:r>
      <w:r w:rsidR="00122D78" w:rsidRPr="00F65CC5">
        <w:rPr>
          <w:rFonts w:asciiTheme="minorHAnsi" w:hAnsiTheme="minorHAnsi" w:cstheme="minorHAnsi"/>
        </w:rPr>
        <w:t xml:space="preserve"> specific protection regimes</w:t>
      </w:r>
      <w:r w:rsidR="0011469C" w:rsidRPr="00F65CC5">
        <w:rPr>
          <w:rFonts w:asciiTheme="minorHAnsi" w:hAnsiTheme="minorHAnsi" w:cstheme="minorHAnsi"/>
        </w:rPr>
        <w:t xml:space="preserve"> and the Istanbul Convention extensively regulates </w:t>
      </w:r>
      <w:r w:rsidR="00122D78" w:rsidRPr="00F65CC5">
        <w:rPr>
          <w:rFonts w:asciiTheme="minorHAnsi" w:hAnsiTheme="minorHAnsi" w:cstheme="minorHAnsi"/>
        </w:rPr>
        <w:t xml:space="preserve">how to effectively protect a woman’s life. </w:t>
      </w:r>
      <w:r w:rsidR="00E06CC2" w:rsidRPr="00F65CC5">
        <w:rPr>
          <w:rFonts w:asciiTheme="minorHAnsi" w:hAnsiTheme="minorHAnsi" w:cstheme="minorHAnsi"/>
        </w:rPr>
        <w:t xml:space="preserve">Two of the interviewees talked about the fact that even </w:t>
      </w:r>
      <w:r w:rsidR="00CA38B7">
        <w:rPr>
          <w:rFonts w:asciiTheme="minorHAnsi" w:hAnsiTheme="minorHAnsi" w:cstheme="minorHAnsi"/>
        </w:rPr>
        <w:t xml:space="preserve">though </w:t>
      </w:r>
      <w:r w:rsidR="00E06CC2" w:rsidRPr="00F65CC5">
        <w:rPr>
          <w:rFonts w:asciiTheme="minorHAnsi" w:hAnsiTheme="minorHAnsi" w:cstheme="minorHAnsi"/>
        </w:rPr>
        <w:t>the Convention is removed by law, feminists are now equipped with and aware of this knowledge on how to combat violence against women and how to keep women alive.</w:t>
      </w:r>
      <w:r w:rsidR="00E06CC2" w:rsidRPr="00F65CC5">
        <w:rPr>
          <w:rStyle w:val="FootnoteReference"/>
          <w:rFonts w:asciiTheme="minorHAnsi" w:hAnsiTheme="minorHAnsi" w:cstheme="minorHAnsi"/>
        </w:rPr>
        <w:footnoteReference w:id="143"/>
      </w:r>
      <w:r w:rsidR="00E06CC2" w:rsidRPr="00F65CC5">
        <w:rPr>
          <w:rFonts w:asciiTheme="minorHAnsi" w:hAnsiTheme="minorHAnsi" w:cstheme="minorHAnsi"/>
        </w:rPr>
        <w:t xml:space="preserve"> </w:t>
      </w:r>
      <w:r w:rsidR="001F69D4" w:rsidRPr="00F65CC5">
        <w:rPr>
          <w:rFonts w:asciiTheme="minorHAnsi" w:hAnsiTheme="minorHAnsi" w:cstheme="minorHAnsi"/>
        </w:rPr>
        <w:t>The</w:t>
      </w:r>
      <w:r w:rsidR="00F45604" w:rsidRPr="00F65CC5">
        <w:rPr>
          <w:rFonts w:asciiTheme="minorHAnsi" w:hAnsiTheme="minorHAnsi" w:cstheme="minorHAnsi"/>
        </w:rPr>
        <w:t>y said that the</w:t>
      </w:r>
      <w:r w:rsidR="001F69D4" w:rsidRPr="00F65CC5">
        <w:rPr>
          <w:rFonts w:asciiTheme="minorHAnsi" w:hAnsiTheme="minorHAnsi" w:cstheme="minorHAnsi"/>
        </w:rPr>
        <w:t xml:space="preserve"> removal cannot take this knowledge</w:t>
      </w:r>
      <w:r w:rsidR="0028656D" w:rsidRPr="00F65CC5">
        <w:rPr>
          <w:rFonts w:asciiTheme="minorHAnsi" w:hAnsiTheme="minorHAnsi" w:cstheme="minorHAnsi"/>
        </w:rPr>
        <w:t xml:space="preserve"> </w:t>
      </w:r>
      <w:r w:rsidR="001F69D4" w:rsidRPr="00F65CC5">
        <w:rPr>
          <w:rFonts w:asciiTheme="minorHAnsi" w:hAnsiTheme="minorHAnsi" w:cstheme="minorHAnsi"/>
        </w:rPr>
        <w:t xml:space="preserve">from women. </w:t>
      </w:r>
      <w:r w:rsidR="00F45604" w:rsidRPr="00F65CC5">
        <w:rPr>
          <w:rFonts w:asciiTheme="minorHAnsi" w:hAnsiTheme="minorHAnsi" w:cstheme="minorHAnsi"/>
        </w:rPr>
        <w:t>Although t</w:t>
      </w:r>
      <w:r w:rsidR="001F69D4" w:rsidRPr="00F65CC5">
        <w:rPr>
          <w:rFonts w:asciiTheme="minorHAnsi" w:hAnsiTheme="minorHAnsi" w:cstheme="minorHAnsi"/>
        </w:rPr>
        <w:t>he Convention can be removed from vertical legal spaces</w:t>
      </w:r>
      <w:r w:rsidR="00F45604" w:rsidRPr="00F65CC5">
        <w:rPr>
          <w:rFonts w:asciiTheme="minorHAnsi" w:hAnsiTheme="minorHAnsi" w:cstheme="minorHAnsi"/>
        </w:rPr>
        <w:t>,</w:t>
      </w:r>
      <w:r w:rsidR="001F69D4" w:rsidRPr="00F65CC5">
        <w:rPr>
          <w:rFonts w:asciiTheme="minorHAnsi" w:hAnsiTheme="minorHAnsi" w:cstheme="minorHAnsi"/>
        </w:rPr>
        <w:t xml:space="preserve"> its</w:t>
      </w:r>
      <w:r w:rsidR="007B34E8" w:rsidRPr="00F65CC5">
        <w:rPr>
          <w:rFonts w:asciiTheme="minorHAnsi" w:hAnsiTheme="minorHAnsi" w:cstheme="minorHAnsi"/>
        </w:rPr>
        <w:t xml:space="preserve"> knowledge </w:t>
      </w:r>
      <w:r w:rsidR="001F69D4" w:rsidRPr="00F65CC5">
        <w:rPr>
          <w:rFonts w:asciiTheme="minorHAnsi" w:hAnsiTheme="minorHAnsi" w:cstheme="minorHAnsi"/>
        </w:rPr>
        <w:t xml:space="preserve">cannot be undone within the non-vertical spaces of law. </w:t>
      </w:r>
      <w:r w:rsidR="0083288B" w:rsidRPr="00F65CC5">
        <w:rPr>
          <w:rFonts w:asciiTheme="minorHAnsi" w:hAnsiTheme="minorHAnsi" w:cstheme="minorHAnsi"/>
        </w:rPr>
        <w:t>In this sense</w:t>
      </w:r>
      <w:r w:rsidR="007B141B">
        <w:rPr>
          <w:rFonts w:asciiTheme="minorHAnsi" w:hAnsiTheme="minorHAnsi" w:cstheme="minorHAnsi"/>
        </w:rPr>
        <w:t>,</w:t>
      </w:r>
      <w:r w:rsidR="0083288B" w:rsidRPr="00F65CC5">
        <w:rPr>
          <w:rFonts w:asciiTheme="minorHAnsi" w:hAnsiTheme="minorHAnsi" w:cstheme="minorHAnsi"/>
        </w:rPr>
        <w:t xml:space="preserve"> the Convention still exists in feminist legal spaces. </w:t>
      </w:r>
      <w:r w:rsidR="00E06CC2" w:rsidRPr="00F65CC5">
        <w:rPr>
          <w:rFonts w:asciiTheme="minorHAnsi" w:hAnsiTheme="minorHAnsi" w:cstheme="minorHAnsi"/>
        </w:rPr>
        <w:t>This correlates with Merry’s concept of local legal consciousness</w:t>
      </w:r>
      <w:r w:rsidR="000D2756" w:rsidRPr="00F65CC5">
        <w:rPr>
          <w:rFonts w:asciiTheme="minorHAnsi" w:hAnsiTheme="minorHAnsi" w:cstheme="minorHAnsi"/>
        </w:rPr>
        <w:t xml:space="preserve"> by giving power to the activists in the local </w:t>
      </w:r>
      <w:r w:rsidR="00BB5E0F" w:rsidRPr="00F65CC5">
        <w:rPr>
          <w:rFonts w:asciiTheme="minorHAnsi" w:hAnsiTheme="minorHAnsi" w:cstheme="minorHAnsi"/>
        </w:rPr>
        <w:t>regardless of the status of the Convention</w:t>
      </w:r>
      <w:r w:rsidR="00D947B2" w:rsidRPr="00F65CC5">
        <w:rPr>
          <w:rFonts w:asciiTheme="minorHAnsi" w:hAnsiTheme="minorHAnsi" w:cstheme="minorHAnsi"/>
        </w:rPr>
        <w:t>.</w:t>
      </w:r>
      <w:r w:rsidR="00CB5DA1" w:rsidRPr="00F65CC5">
        <w:rPr>
          <w:rFonts w:asciiTheme="minorHAnsi" w:hAnsiTheme="minorHAnsi" w:cstheme="minorHAnsi"/>
        </w:rPr>
        <w:t xml:space="preserve"> </w:t>
      </w:r>
      <w:r w:rsidR="007B141B" w:rsidRPr="00F65CC5">
        <w:rPr>
          <w:rFonts w:asciiTheme="minorHAnsi" w:hAnsiTheme="minorHAnsi" w:cstheme="minorHAnsi"/>
        </w:rPr>
        <w:t>Even though</w:t>
      </w:r>
      <w:r w:rsidR="00BB5E0F" w:rsidRPr="00F65CC5">
        <w:rPr>
          <w:rFonts w:asciiTheme="minorHAnsi" w:hAnsiTheme="minorHAnsi" w:cstheme="minorHAnsi"/>
        </w:rPr>
        <w:t xml:space="preserve"> </w:t>
      </w:r>
      <w:r w:rsidR="00D947B2" w:rsidRPr="00F65CC5">
        <w:rPr>
          <w:rFonts w:asciiTheme="minorHAnsi" w:hAnsiTheme="minorHAnsi" w:cstheme="minorHAnsi"/>
        </w:rPr>
        <w:t xml:space="preserve">the Convention </w:t>
      </w:r>
      <w:r w:rsidR="00BB5E0F" w:rsidRPr="00F65CC5">
        <w:rPr>
          <w:rFonts w:asciiTheme="minorHAnsi" w:hAnsiTheme="minorHAnsi" w:cstheme="minorHAnsi"/>
        </w:rPr>
        <w:t>is not</w:t>
      </w:r>
      <w:r w:rsidR="00CB5DA1" w:rsidRPr="00F65CC5">
        <w:rPr>
          <w:rFonts w:asciiTheme="minorHAnsi" w:hAnsiTheme="minorHAnsi" w:cstheme="minorHAnsi"/>
        </w:rPr>
        <w:t xml:space="preserve"> in force </w:t>
      </w:r>
      <w:r w:rsidR="002B428A" w:rsidRPr="00F65CC5">
        <w:rPr>
          <w:rFonts w:asciiTheme="minorHAnsi" w:hAnsiTheme="minorHAnsi" w:cstheme="minorHAnsi"/>
        </w:rPr>
        <w:t>in vertical legal space</w:t>
      </w:r>
      <w:r w:rsidR="00EB1574" w:rsidRPr="00F65CC5">
        <w:rPr>
          <w:rFonts w:asciiTheme="minorHAnsi" w:hAnsiTheme="minorHAnsi" w:cstheme="minorHAnsi"/>
        </w:rPr>
        <w:t>s</w:t>
      </w:r>
      <w:r w:rsidR="002B428A" w:rsidRPr="00F65CC5">
        <w:rPr>
          <w:rFonts w:asciiTheme="minorHAnsi" w:hAnsiTheme="minorHAnsi" w:cstheme="minorHAnsi"/>
        </w:rPr>
        <w:t xml:space="preserve"> </w:t>
      </w:r>
      <w:r w:rsidR="00CB5DA1" w:rsidRPr="00F65CC5">
        <w:rPr>
          <w:rFonts w:asciiTheme="minorHAnsi" w:hAnsiTheme="minorHAnsi" w:cstheme="minorHAnsi"/>
        </w:rPr>
        <w:lastRenderedPageBreak/>
        <w:t>anymore,</w:t>
      </w:r>
      <w:r w:rsidR="00BB5E0F" w:rsidRPr="00F65CC5">
        <w:rPr>
          <w:rFonts w:asciiTheme="minorHAnsi" w:hAnsiTheme="minorHAnsi" w:cstheme="minorHAnsi"/>
        </w:rPr>
        <w:t xml:space="preserve"> it </w:t>
      </w:r>
      <w:r w:rsidR="0028656D" w:rsidRPr="00F65CC5">
        <w:rPr>
          <w:rFonts w:asciiTheme="minorHAnsi" w:hAnsiTheme="minorHAnsi" w:cstheme="minorHAnsi"/>
        </w:rPr>
        <w:t xml:space="preserve">created a feminist legality, </w:t>
      </w:r>
      <w:r w:rsidR="00F91A34" w:rsidRPr="00F65CC5">
        <w:rPr>
          <w:rFonts w:asciiTheme="minorHAnsi" w:hAnsiTheme="minorHAnsi" w:cstheme="minorHAnsi"/>
        </w:rPr>
        <w:t>became</w:t>
      </w:r>
      <w:r w:rsidR="0028656D" w:rsidRPr="00F65CC5">
        <w:rPr>
          <w:rFonts w:asciiTheme="minorHAnsi" w:hAnsiTheme="minorHAnsi" w:cstheme="minorHAnsi"/>
        </w:rPr>
        <w:t xml:space="preserve"> </w:t>
      </w:r>
      <w:r w:rsidR="00BB5E0F" w:rsidRPr="00F65CC5">
        <w:rPr>
          <w:rFonts w:asciiTheme="minorHAnsi" w:hAnsiTheme="minorHAnsi" w:cstheme="minorHAnsi"/>
        </w:rPr>
        <w:t>part of the hybrid consciousness</w:t>
      </w:r>
      <w:r w:rsidR="007B141B">
        <w:rPr>
          <w:rFonts w:asciiTheme="minorHAnsi" w:hAnsiTheme="minorHAnsi" w:cstheme="minorHAnsi"/>
        </w:rPr>
        <w:t>,</w:t>
      </w:r>
      <w:r w:rsidR="00FA757B" w:rsidRPr="00F65CC5">
        <w:rPr>
          <w:rFonts w:asciiTheme="minorHAnsi" w:hAnsiTheme="minorHAnsi" w:cstheme="minorHAnsi"/>
        </w:rPr>
        <w:t xml:space="preserve"> and</w:t>
      </w:r>
      <w:r w:rsidR="00EB1574" w:rsidRPr="00F65CC5">
        <w:rPr>
          <w:rFonts w:asciiTheme="minorHAnsi" w:hAnsiTheme="minorHAnsi" w:cstheme="minorHAnsi"/>
        </w:rPr>
        <w:t xml:space="preserve"> still</w:t>
      </w:r>
      <w:r w:rsidR="00F91A34" w:rsidRPr="00F65CC5">
        <w:rPr>
          <w:rFonts w:asciiTheme="minorHAnsi" w:hAnsiTheme="minorHAnsi" w:cstheme="minorHAnsi"/>
        </w:rPr>
        <w:t xml:space="preserve"> </w:t>
      </w:r>
      <w:r w:rsidR="00FA757B" w:rsidRPr="00F65CC5">
        <w:rPr>
          <w:rFonts w:asciiTheme="minorHAnsi" w:hAnsiTheme="minorHAnsi" w:cstheme="minorHAnsi"/>
        </w:rPr>
        <w:t xml:space="preserve">exists in </w:t>
      </w:r>
      <w:r w:rsidR="00D26372" w:rsidRPr="00F65CC5">
        <w:rPr>
          <w:rFonts w:asciiTheme="minorHAnsi" w:hAnsiTheme="minorHAnsi" w:cstheme="minorHAnsi"/>
        </w:rPr>
        <w:t>unlikely horizontal spaces of law</w:t>
      </w:r>
      <w:r w:rsidR="00BB5E0F" w:rsidRPr="00F65CC5">
        <w:rPr>
          <w:rFonts w:asciiTheme="minorHAnsi" w:hAnsiTheme="minorHAnsi" w:cstheme="minorHAnsi"/>
        </w:rPr>
        <w:t>.</w:t>
      </w:r>
      <w:r w:rsidR="009A6479" w:rsidRPr="00F65CC5">
        <w:rPr>
          <w:rFonts w:asciiTheme="minorHAnsi" w:hAnsiTheme="minorHAnsi" w:cstheme="minorHAnsi"/>
        </w:rPr>
        <w:t xml:space="preserve"> </w:t>
      </w:r>
      <w:r w:rsidR="00595974" w:rsidRPr="00F65CC5">
        <w:rPr>
          <w:rFonts w:asciiTheme="minorHAnsi" w:hAnsiTheme="minorHAnsi" w:cstheme="minorHAnsi"/>
        </w:rPr>
        <w:t xml:space="preserve"> </w:t>
      </w:r>
    </w:p>
    <w:p w14:paraId="72C88286" w14:textId="77777777" w:rsidR="00201C8D" w:rsidRPr="00F65CC5" w:rsidRDefault="00201C8D" w:rsidP="007933F6">
      <w:pPr>
        <w:ind w:right="798"/>
        <w:jc w:val="both"/>
        <w:rPr>
          <w:rFonts w:asciiTheme="minorHAnsi" w:hAnsiTheme="minorHAnsi" w:cstheme="minorHAnsi"/>
        </w:rPr>
      </w:pPr>
    </w:p>
    <w:p w14:paraId="0BE4E6AC" w14:textId="77777777" w:rsidR="008B3946" w:rsidRPr="00F65CC5" w:rsidRDefault="008B3946" w:rsidP="007933F6">
      <w:pPr>
        <w:ind w:right="-52"/>
        <w:jc w:val="both"/>
        <w:rPr>
          <w:rFonts w:asciiTheme="minorHAnsi" w:hAnsiTheme="minorHAnsi" w:cstheme="minorHAnsi"/>
        </w:rPr>
      </w:pPr>
    </w:p>
    <w:p w14:paraId="08B3482B" w14:textId="7E61DE67" w:rsidR="006B0FA6" w:rsidRPr="00490969" w:rsidRDefault="004648BD" w:rsidP="0049360F">
      <w:pPr>
        <w:pStyle w:val="Heading2"/>
      </w:pPr>
      <w:r w:rsidRPr="00490969">
        <w:t>Conclusion</w:t>
      </w:r>
    </w:p>
    <w:p w14:paraId="64A2ACB2" w14:textId="77777777" w:rsidR="00691850" w:rsidRPr="00F65CC5" w:rsidRDefault="00691850" w:rsidP="007933F6">
      <w:pPr>
        <w:ind w:right="-52"/>
        <w:jc w:val="both"/>
        <w:rPr>
          <w:rFonts w:asciiTheme="minorHAnsi" w:hAnsiTheme="minorHAnsi" w:cstheme="minorHAnsi"/>
        </w:rPr>
      </w:pPr>
    </w:p>
    <w:p w14:paraId="4569AEFB" w14:textId="0F8848D4" w:rsidR="00D04FB8" w:rsidRPr="00F65CC5" w:rsidRDefault="00C36430" w:rsidP="007933F6">
      <w:pPr>
        <w:ind w:right="-52"/>
        <w:jc w:val="both"/>
        <w:rPr>
          <w:rFonts w:asciiTheme="minorHAnsi" w:hAnsiTheme="minorHAnsi" w:cstheme="minorHAnsi"/>
        </w:rPr>
      </w:pPr>
      <w:r w:rsidRPr="00F65CC5">
        <w:rPr>
          <w:rFonts w:asciiTheme="minorHAnsi" w:hAnsiTheme="minorHAnsi" w:cstheme="minorHAnsi"/>
        </w:rPr>
        <w:t>Türkiye’s withdrawal from the Istanbul Convention met with feminist resistance. Drawing from the empirical knowledge obtained through interviews made with eight activists, this article argued that there are feminist legal spaces that co-constitute vertical State</w:t>
      </w:r>
      <w:r w:rsidR="0013355D">
        <w:rPr>
          <w:rFonts w:asciiTheme="minorHAnsi" w:hAnsiTheme="minorHAnsi" w:cstheme="minorHAnsi"/>
        </w:rPr>
        <w:t>-</w:t>
      </w:r>
      <w:r w:rsidRPr="00F65CC5">
        <w:rPr>
          <w:rFonts w:asciiTheme="minorHAnsi" w:hAnsiTheme="minorHAnsi" w:cstheme="minorHAnsi"/>
        </w:rPr>
        <w:t xml:space="preserve">centric positive law. These feminist legal spaces host feminist legalities, feminist accounts of law, and their presence is not dependent on </w:t>
      </w:r>
      <w:r w:rsidR="00D04FB8" w:rsidRPr="00F65CC5">
        <w:rPr>
          <w:rFonts w:asciiTheme="minorHAnsi" w:hAnsiTheme="minorHAnsi" w:cstheme="minorHAnsi"/>
        </w:rPr>
        <w:t xml:space="preserve">the </w:t>
      </w:r>
      <w:r w:rsidRPr="00F65CC5">
        <w:rPr>
          <w:rFonts w:asciiTheme="minorHAnsi" w:hAnsiTheme="minorHAnsi" w:cstheme="minorHAnsi"/>
        </w:rPr>
        <w:t>creat</w:t>
      </w:r>
      <w:r w:rsidR="00D04FB8" w:rsidRPr="00F65CC5">
        <w:rPr>
          <w:rFonts w:asciiTheme="minorHAnsi" w:hAnsiTheme="minorHAnsi" w:cstheme="minorHAnsi"/>
        </w:rPr>
        <w:t>ion</w:t>
      </w:r>
      <w:r w:rsidRPr="00F65CC5">
        <w:rPr>
          <w:rFonts w:asciiTheme="minorHAnsi" w:hAnsiTheme="minorHAnsi" w:cstheme="minorHAnsi"/>
        </w:rPr>
        <w:t xml:space="preserve"> of new rights</w:t>
      </w:r>
      <w:r w:rsidR="00DF0010" w:rsidRPr="00F65CC5">
        <w:rPr>
          <w:rFonts w:asciiTheme="minorHAnsi" w:hAnsiTheme="minorHAnsi" w:cstheme="minorHAnsi"/>
        </w:rPr>
        <w:t>. Feminist legal spaces c</w:t>
      </w:r>
      <w:r w:rsidR="00D04FB8" w:rsidRPr="00F65CC5">
        <w:rPr>
          <w:rFonts w:asciiTheme="minorHAnsi" w:hAnsiTheme="minorHAnsi" w:cstheme="minorHAnsi"/>
        </w:rPr>
        <w:t>an</w:t>
      </w:r>
      <w:r w:rsidR="00DF0010" w:rsidRPr="00F65CC5">
        <w:rPr>
          <w:rFonts w:asciiTheme="minorHAnsi" w:hAnsiTheme="minorHAnsi" w:cstheme="minorHAnsi"/>
        </w:rPr>
        <w:t xml:space="preserve"> emerge</w:t>
      </w:r>
      <w:r w:rsidRPr="00F65CC5">
        <w:rPr>
          <w:rFonts w:asciiTheme="minorHAnsi" w:hAnsiTheme="minorHAnsi" w:cstheme="minorHAnsi"/>
        </w:rPr>
        <w:t xml:space="preserve"> when rights are taken away. This means that feminist law-making is not constrain</w:t>
      </w:r>
      <w:r w:rsidR="00D04FB8" w:rsidRPr="00F65CC5">
        <w:rPr>
          <w:rFonts w:asciiTheme="minorHAnsi" w:hAnsiTheme="minorHAnsi" w:cstheme="minorHAnsi"/>
        </w:rPr>
        <w:t>ed to</w:t>
      </w:r>
      <w:r w:rsidRPr="00F65CC5">
        <w:rPr>
          <w:rFonts w:asciiTheme="minorHAnsi" w:hAnsiTheme="minorHAnsi" w:cstheme="minorHAnsi"/>
        </w:rPr>
        <w:t xml:space="preserve"> reforming the State centric laws. In th</w:t>
      </w:r>
      <w:r w:rsidR="00D04FB8" w:rsidRPr="00F65CC5">
        <w:rPr>
          <w:rFonts w:asciiTheme="minorHAnsi" w:hAnsiTheme="minorHAnsi" w:cstheme="minorHAnsi"/>
        </w:rPr>
        <w:t>is</w:t>
      </w:r>
      <w:r w:rsidRPr="00F65CC5">
        <w:rPr>
          <w:rFonts w:asciiTheme="minorHAnsi" w:hAnsiTheme="minorHAnsi" w:cstheme="minorHAnsi"/>
        </w:rPr>
        <w:t xml:space="preserve"> regard, our interviews showed us that law making in feminist legal spaces</w:t>
      </w:r>
      <w:r w:rsidR="00DF0010" w:rsidRPr="00F65CC5">
        <w:rPr>
          <w:rFonts w:asciiTheme="minorHAnsi" w:hAnsiTheme="minorHAnsi" w:cstheme="minorHAnsi"/>
        </w:rPr>
        <w:t xml:space="preserve"> co-constitute</w:t>
      </w:r>
      <w:r w:rsidR="00F2079C">
        <w:rPr>
          <w:rFonts w:asciiTheme="minorHAnsi" w:hAnsiTheme="minorHAnsi" w:cstheme="minorHAnsi"/>
        </w:rPr>
        <w:t>s</w:t>
      </w:r>
      <w:r w:rsidR="00DF0010" w:rsidRPr="00F65CC5">
        <w:rPr>
          <w:rFonts w:asciiTheme="minorHAnsi" w:hAnsiTheme="minorHAnsi" w:cstheme="minorHAnsi"/>
        </w:rPr>
        <w:t xml:space="preserve"> vertical state law but does not follow its </w:t>
      </w:r>
      <w:r w:rsidR="00464B0D" w:rsidRPr="00F65CC5">
        <w:rPr>
          <w:rFonts w:asciiTheme="minorHAnsi" w:hAnsiTheme="minorHAnsi" w:cstheme="minorHAnsi"/>
        </w:rPr>
        <w:t>rhythm</w:t>
      </w:r>
      <w:r w:rsidR="00C31E25" w:rsidRPr="00F65CC5">
        <w:rPr>
          <w:rFonts w:asciiTheme="minorHAnsi" w:hAnsiTheme="minorHAnsi" w:cstheme="minorHAnsi"/>
        </w:rPr>
        <w:t xml:space="preserve"> and form</w:t>
      </w:r>
      <w:r w:rsidRPr="00F65CC5">
        <w:rPr>
          <w:rFonts w:asciiTheme="minorHAnsi" w:hAnsiTheme="minorHAnsi" w:cstheme="minorHAnsi"/>
        </w:rPr>
        <w:t xml:space="preserve">. </w:t>
      </w:r>
      <w:r w:rsidR="00C31E25" w:rsidRPr="00F65CC5">
        <w:rPr>
          <w:rFonts w:asciiTheme="minorHAnsi" w:hAnsiTheme="minorHAnsi" w:cstheme="minorHAnsi"/>
        </w:rPr>
        <w:t xml:space="preserve"> </w:t>
      </w:r>
    </w:p>
    <w:p w14:paraId="71584FFC" w14:textId="1456C74C" w:rsidR="00C31E25" w:rsidRPr="00F65CC5" w:rsidRDefault="00C31E25" w:rsidP="007933F6">
      <w:pPr>
        <w:ind w:right="-52"/>
        <w:jc w:val="both"/>
        <w:rPr>
          <w:rFonts w:asciiTheme="minorHAnsi" w:hAnsiTheme="minorHAnsi" w:cstheme="minorHAnsi"/>
        </w:rPr>
      </w:pPr>
      <w:r w:rsidRPr="00F65CC5">
        <w:rPr>
          <w:rFonts w:asciiTheme="minorHAnsi" w:hAnsiTheme="minorHAnsi" w:cstheme="minorHAnsi"/>
        </w:rPr>
        <w:t xml:space="preserve">Our interviewees’ perception of law helped us to identify </w:t>
      </w:r>
      <w:r w:rsidR="00D04FB8" w:rsidRPr="00F65CC5">
        <w:rPr>
          <w:rFonts w:asciiTheme="minorHAnsi" w:hAnsiTheme="minorHAnsi" w:cstheme="minorHAnsi"/>
        </w:rPr>
        <w:t>several</w:t>
      </w:r>
      <w:r w:rsidRPr="00F65CC5">
        <w:rPr>
          <w:rFonts w:asciiTheme="minorHAnsi" w:hAnsiTheme="minorHAnsi" w:cstheme="minorHAnsi"/>
        </w:rPr>
        <w:t xml:space="preserve"> feminist legal spaces within the feminist resistance against Türkiye’s withdrawal from the Istanbul Convention. </w:t>
      </w:r>
      <w:r w:rsidR="00075D41" w:rsidRPr="00F65CC5">
        <w:rPr>
          <w:rFonts w:asciiTheme="minorHAnsi" w:hAnsiTheme="minorHAnsi" w:cstheme="minorHAnsi"/>
        </w:rPr>
        <w:t xml:space="preserve">Unless vertical legalities are deprioritised, feminist activism could be mislocated within the likely, binary, and vertical space of State-centric law. </w:t>
      </w:r>
      <w:r w:rsidR="00DF0010" w:rsidRPr="00F65CC5">
        <w:rPr>
          <w:rFonts w:asciiTheme="minorHAnsi" w:hAnsiTheme="minorHAnsi" w:cstheme="minorHAnsi"/>
        </w:rPr>
        <w:t>These feminist legal spaces became visible in the interviews when we applied a combined reading of Zoe Pearson’s unlikely, Sally Engle Merry’s hybrid and Margaret Davies’s horizontal spaces.</w:t>
      </w:r>
      <w:r w:rsidRPr="00F65CC5">
        <w:rPr>
          <w:rFonts w:asciiTheme="minorHAnsi" w:hAnsiTheme="minorHAnsi" w:cstheme="minorHAnsi"/>
        </w:rPr>
        <w:t xml:space="preserve"> </w:t>
      </w:r>
      <w:r w:rsidR="003E107F">
        <w:rPr>
          <w:rFonts w:asciiTheme="minorHAnsi" w:hAnsiTheme="minorHAnsi" w:cstheme="minorHAnsi"/>
        </w:rPr>
        <w:t>By</w:t>
      </w:r>
      <w:r w:rsidRPr="00F65CC5">
        <w:rPr>
          <w:rFonts w:asciiTheme="minorHAnsi" w:hAnsiTheme="minorHAnsi" w:cstheme="minorHAnsi"/>
        </w:rPr>
        <w:t xml:space="preserve"> applying their feminist lenses, we decent</w:t>
      </w:r>
      <w:r w:rsidR="00754CD6">
        <w:rPr>
          <w:rFonts w:asciiTheme="minorHAnsi" w:hAnsiTheme="minorHAnsi" w:cstheme="minorHAnsi"/>
        </w:rPr>
        <w:t>red</w:t>
      </w:r>
      <w:r w:rsidRPr="00F65CC5">
        <w:rPr>
          <w:rFonts w:asciiTheme="minorHAnsi" w:hAnsiTheme="minorHAnsi" w:cstheme="minorHAnsi"/>
        </w:rPr>
        <w:t xml:space="preserve"> vertical and State-centric spaces in our analysis. This meant neglecting the vertical and binary</w:t>
      </w:r>
      <w:r w:rsidR="00754CD6">
        <w:rPr>
          <w:rFonts w:asciiTheme="minorHAnsi" w:hAnsiTheme="minorHAnsi" w:cstheme="minorHAnsi"/>
        </w:rPr>
        <w:t>,</w:t>
      </w:r>
      <w:r w:rsidRPr="00F65CC5">
        <w:rPr>
          <w:rFonts w:asciiTheme="minorHAnsi" w:hAnsiTheme="minorHAnsi" w:cstheme="minorHAnsi"/>
        </w:rPr>
        <w:t xml:space="preserve"> top-down, bottom-up spatiality of state law and aiming our attention at the middle, sideways, backwards, around, hybrid, horizontal, unexpected and unpopular spaces of international law-making. Instead of the linear, ordered space of law, we looked at </w:t>
      </w:r>
      <w:r w:rsidR="00467427">
        <w:rPr>
          <w:rFonts w:asciiTheme="minorHAnsi" w:hAnsiTheme="minorHAnsi" w:cstheme="minorHAnsi"/>
        </w:rPr>
        <w:t xml:space="preserve">the </w:t>
      </w:r>
      <w:r w:rsidRPr="00F65CC5">
        <w:rPr>
          <w:rFonts w:asciiTheme="minorHAnsi" w:hAnsiTheme="minorHAnsi" w:cstheme="minorHAnsi"/>
        </w:rPr>
        <w:t>disappearance of rights. Rather than the claims for new rights we looked at the space where established rights are taken away. Instead of focusing on national</w:t>
      </w:r>
      <w:r w:rsidR="00C4493F">
        <w:rPr>
          <w:rFonts w:asciiTheme="minorHAnsi" w:hAnsiTheme="minorHAnsi" w:cstheme="minorHAnsi"/>
        </w:rPr>
        <w:t>-</w:t>
      </w:r>
      <w:r w:rsidRPr="00F65CC5">
        <w:rPr>
          <w:rFonts w:asciiTheme="minorHAnsi" w:hAnsiTheme="minorHAnsi" w:cstheme="minorHAnsi"/>
        </w:rPr>
        <w:t xml:space="preserve">international </w:t>
      </w:r>
      <w:r w:rsidR="00C4493F" w:rsidRPr="00F65CC5">
        <w:rPr>
          <w:rFonts w:asciiTheme="minorHAnsi" w:hAnsiTheme="minorHAnsi" w:cstheme="minorHAnsi"/>
        </w:rPr>
        <w:t>verticality</w:t>
      </w:r>
      <w:r w:rsidR="00C4493F">
        <w:rPr>
          <w:rFonts w:asciiTheme="minorHAnsi" w:hAnsiTheme="minorHAnsi" w:cstheme="minorHAnsi"/>
        </w:rPr>
        <w:t>,</w:t>
      </w:r>
      <w:r w:rsidRPr="00F65CC5">
        <w:rPr>
          <w:rFonts w:asciiTheme="minorHAnsi" w:hAnsiTheme="minorHAnsi" w:cstheme="minorHAnsi"/>
        </w:rPr>
        <w:t xml:space="preserve"> we looked at the land and feminist campaign</w:t>
      </w:r>
      <w:r w:rsidR="00D04FB8" w:rsidRPr="00F65CC5">
        <w:rPr>
          <w:rFonts w:asciiTheme="minorHAnsi" w:hAnsiTheme="minorHAnsi" w:cstheme="minorHAnsi"/>
        </w:rPr>
        <w:t>s</w:t>
      </w:r>
      <w:r w:rsidRPr="00F65CC5">
        <w:rPr>
          <w:rFonts w:asciiTheme="minorHAnsi" w:hAnsiTheme="minorHAnsi" w:cstheme="minorHAnsi"/>
        </w:rPr>
        <w:t xml:space="preserve">. Instead of legal norms and hierarchies we looked at words, </w:t>
      </w:r>
      <w:r w:rsidR="00D04FB8" w:rsidRPr="00F65CC5">
        <w:rPr>
          <w:rFonts w:asciiTheme="minorHAnsi" w:hAnsiTheme="minorHAnsi" w:cstheme="minorHAnsi"/>
        </w:rPr>
        <w:t>emotions,</w:t>
      </w:r>
      <w:r w:rsidRPr="00F65CC5">
        <w:rPr>
          <w:rFonts w:asciiTheme="minorHAnsi" w:hAnsiTheme="minorHAnsi" w:cstheme="minorHAnsi"/>
        </w:rPr>
        <w:t xml:space="preserve"> and slogans. This </w:t>
      </w:r>
      <w:r w:rsidR="00D04FB8" w:rsidRPr="00F65CC5">
        <w:rPr>
          <w:rFonts w:asciiTheme="minorHAnsi" w:hAnsiTheme="minorHAnsi" w:cstheme="minorHAnsi"/>
        </w:rPr>
        <w:t>analytical</w:t>
      </w:r>
      <w:r w:rsidRPr="00F65CC5">
        <w:rPr>
          <w:rFonts w:asciiTheme="minorHAnsi" w:hAnsiTheme="minorHAnsi" w:cstheme="minorHAnsi"/>
        </w:rPr>
        <w:t xml:space="preserve"> </w:t>
      </w:r>
      <w:r w:rsidR="00D04FB8" w:rsidRPr="00F65CC5">
        <w:rPr>
          <w:rFonts w:asciiTheme="minorHAnsi" w:hAnsiTheme="minorHAnsi" w:cstheme="minorHAnsi"/>
        </w:rPr>
        <w:t xml:space="preserve">approach </w:t>
      </w:r>
      <w:r w:rsidRPr="00F65CC5">
        <w:rPr>
          <w:rFonts w:asciiTheme="minorHAnsi" w:hAnsiTheme="minorHAnsi" w:cstheme="minorHAnsi"/>
        </w:rPr>
        <w:t xml:space="preserve">allowed us to locate feminist legal spaces </w:t>
      </w:r>
      <w:r w:rsidR="00D04FB8" w:rsidRPr="00F65CC5">
        <w:rPr>
          <w:rFonts w:asciiTheme="minorHAnsi" w:hAnsiTheme="minorHAnsi" w:cstheme="minorHAnsi"/>
        </w:rPr>
        <w:t xml:space="preserve">that might otherwise be missed or mistaken for reformism. </w:t>
      </w:r>
    </w:p>
    <w:p w14:paraId="7134ADFF" w14:textId="77777777" w:rsidR="00D04FB8" w:rsidRPr="00F65CC5" w:rsidRDefault="00D04FB8" w:rsidP="007933F6">
      <w:pPr>
        <w:ind w:right="-52"/>
        <w:jc w:val="both"/>
        <w:rPr>
          <w:rFonts w:asciiTheme="minorHAnsi" w:hAnsiTheme="minorHAnsi" w:cstheme="minorHAnsi"/>
        </w:rPr>
      </w:pPr>
    </w:p>
    <w:p w14:paraId="5010E31D" w14:textId="14ECEF95" w:rsidR="00D04FB8" w:rsidRPr="00F65CC5" w:rsidRDefault="003B261C" w:rsidP="007933F6">
      <w:pPr>
        <w:ind w:right="-52"/>
        <w:jc w:val="both"/>
        <w:rPr>
          <w:rFonts w:asciiTheme="minorHAnsi" w:hAnsiTheme="minorHAnsi" w:cstheme="minorHAnsi"/>
        </w:rPr>
      </w:pPr>
      <w:r w:rsidRPr="00F65CC5">
        <w:rPr>
          <w:rFonts w:asciiTheme="minorHAnsi" w:hAnsiTheme="minorHAnsi" w:cstheme="minorHAnsi"/>
        </w:rPr>
        <w:t xml:space="preserve">These unlikely feminist spaces manifested that the term legality is not </w:t>
      </w:r>
      <w:r w:rsidR="00D04FB8" w:rsidRPr="00F65CC5">
        <w:rPr>
          <w:rFonts w:asciiTheme="minorHAnsi" w:hAnsiTheme="minorHAnsi" w:cstheme="minorHAnsi"/>
        </w:rPr>
        <w:t>limited</w:t>
      </w:r>
      <w:r w:rsidRPr="00F65CC5">
        <w:rPr>
          <w:rFonts w:asciiTheme="minorHAnsi" w:hAnsiTheme="minorHAnsi" w:cstheme="minorHAnsi"/>
        </w:rPr>
        <w:t xml:space="preserve"> </w:t>
      </w:r>
      <w:r w:rsidR="00D04FB8" w:rsidRPr="00F65CC5">
        <w:rPr>
          <w:rFonts w:asciiTheme="minorHAnsi" w:hAnsiTheme="minorHAnsi" w:cstheme="minorHAnsi"/>
        </w:rPr>
        <w:t xml:space="preserve">to a likely </w:t>
      </w:r>
      <w:r w:rsidRPr="00F65CC5">
        <w:rPr>
          <w:rFonts w:asciiTheme="minorHAnsi" w:hAnsiTheme="minorHAnsi" w:cstheme="minorHAnsi"/>
        </w:rPr>
        <w:t xml:space="preserve">vertical meaning but </w:t>
      </w:r>
      <w:r w:rsidR="00D04FB8" w:rsidRPr="00F65CC5">
        <w:rPr>
          <w:rFonts w:asciiTheme="minorHAnsi" w:hAnsiTheme="minorHAnsi" w:cstheme="minorHAnsi"/>
        </w:rPr>
        <w:t xml:space="preserve">also </w:t>
      </w:r>
      <w:r w:rsidRPr="00F65CC5">
        <w:rPr>
          <w:rFonts w:asciiTheme="minorHAnsi" w:hAnsiTheme="minorHAnsi" w:cstheme="minorHAnsi"/>
        </w:rPr>
        <w:t>embodies feminist legality.</w:t>
      </w:r>
      <w:r w:rsidR="00201C8D" w:rsidRPr="00F65CC5">
        <w:rPr>
          <w:rFonts w:asciiTheme="minorHAnsi" w:hAnsiTheme="minorHAnsi" w:cstheme="minorHAnsi"/>
        </w:rPr>
        <w:t xml:space="preserve"> </w:t>
      </w:r>
      <w:r w:rsidR="00C36430" w:rsidRPr="00F65CC5">
        <w:rPr>
          <w:rFonts w:asciiTheme="minorHAnsi" w:hAnsiTheme="minorHAnsi" w:cstheme="minorHAnsi"/>
        </w:rPr>
        <w:t>Feminist legality exists in feminist legal spaces and distinguishes what is lawful from</w:t>
      </w:r>
      <w:r w:rsidRPr="00F65CC5">
        <w:rPr>
          <w:rFonts w:asciiTheme="minorHAnsi" w:hAnsiTheme="minorHAnsi" w:cstheme="minorHAnsi"/>
        </w:rPr>
        <w:t xml:space="preserve"> </w:t>
      </w:r>
      <w:r w:rsidR="00DF0010" w:rsidRPr="00F65CC5">
        <w:rPr>
          <w:rFonts w:asciiTheme="minorHAnsi" w:hAnsiTheme="minorHAnsi" w:cstheme="minorHAnsi"/>
        </w:rPr>
        <w:t xml:space="preserve">what is </w:t>
      </w:r>
      <w:r w:rsidR="00C36430" w:rsidRPr="00F65CC5">
        <w:rPr>
          <w:rFonts w:asciiTheme="minorHAnsi" w:hAnsiTheme="minorHAnsi" w:cstheme="minorHAnsi"/>
        </w:rPr>
        <w:t xml:space="preserve">unlawful based on feminist legal approaches. </w:t>
      </w:r>
      <w:r w:rsidR="00F978A0" w:rsidRPr="00F65CC5">
        <w:rPr>
          <w:rFonts w:asciiTheme="minorHAnsi" w:hAnsiTheme="minorHAnsi" w:cstheme="minorHAnsi"/>
        </w:rPr>
        <w:t xml:space="preserve">By shouting ‘We </w:t>
      </w:r>
      <w:r w:rsidR="00A36EB4">
        <w:rPr>
          <w:rFonts w:asciiTheme="minorHAnsi" w:hAnsiTheme="minorHAnsi" w:cstheme="minorHAnsi"/>
        </w:rPr>
        <w:t>D</w:t>
      </w:r>
      <w:r w:rsidR="00F978A0" w:rsidRPr="00F65CC5">
        <w:rPr>
          <w:rFonts w:asciiTheme="minorHAnsi" w:hAnsiTheme="minorHAnsi" w:cstheme="minorHAnsi"/>
        </w:rPr>
        <w:t xml:space="preserve">o </w:t>
      </w:r>
      <w:r w:rsidR="00A36EB4">
        <w:rPr>
          <w:rFonts w:asciiTheme="minorHAnsi" w:hAnsiTheme="minorHAnsi" w:cstheme="minorHAnsi"/>
        </w:rPr>
        <w:t>N</w:t>
      </w:r>
      <w:r w:rsidR="00F978A0" w:rsidRPr="00F65CC5">
        <w:rPr>
          <w:rFonts w:asciiTheme="minorHAnsi" w:hAnsiTheme="minorHAnsi" w:cstheme="minorHAnsi"/>
        </w:rPr>
        <w:t xml:space="preserve">ot </w:t>
      </w:r>
      <w:r w:rsidR="00A36EB4">
        <w:rPr>
          <w:rFonts w:asciiTheme="minorHAnsi" w:hAnsiTheme="minorHAnsi" w:cstheme="minorHAnsi"/>
        </w:rPr>
        <w:t>G</w:t>
      </w:r>
      <w:r w:rsidR="00F978A0" w:rsidRPr="00F65CC5">
        <w:rPr>
          <w:rFonts w:asciiTheme="minorHAnsi" w:hAnsiTheme="minorHAnsi" w:cstheme="minorHAnsi"/>
        </w:rPr>
        <w:t xml:space="preserve">ive </w:t>
      </w:r>
      <w:r w:rsidR="00A36EB4">
        <w:rPr>
          <w:rFonts w:asciiTheme="minorHAnsi" w:hAnsiTheme="minorHAnsi" w:cstheme="minorHAnsi"/>
        </w:rPr>
        <w:t>U</w:t>
      </w:r>
      <w:r w:rsidR="00F978A0" w:rsidRPr="00F65CC5">
        <w:rPr>
          <w:rFonts w:asciiTheme="minorHAnsi" w:hAnsiTheme="minorHAnsi" w:cstheme="minorHAnsi"/>
        </w:rPr>
        <w:t xml:space="preserve">p </w:t>
      </w:r>
      <w:r w:rsidR="00803E54" w:rsidRPr="00F65CC5">
        <w:rPr>
          <w:rFonts w:asciiTheme="minorHAnsi" w:hAnsiTheme="minorHAnsi" w:cstheme="minorHAnsi"/>
        </w:rPr>
        <w:t xml:space="preserve">on </w:t>
      </w:r>
      <w:r w:rsidR="00F978A0" w:rsidRPr="00F65CC5">
        <w:rPr>
          <w:rFonts w:asciiTheme="minorHAnsi" w:hAnsiTheme="minorHAnsi" w:cstheme="minorHAnsi"/>
        </w:rPr>
        <w:t>the Istanbul Convention’</w:t>
      </w:r>
      <w:r w:rsidR="001900A2">
        <w:rPr>
          <w:rFonts w:asciiTheme="minorHAnsi" w:hAnsiTheme="minorHAnsi" w:cstheme="minorHAnsi"/>
        </w:rPr>
        <w:t>,</w:t>
      </w:r>
      <w:r w:rsidR="00F978A0" w:rsidRPr="00F65CC5">
        <w:rPr>
          <w:rFonts w:asciiTheme="minorHAnsi" w:hAnsiTheme="minorHAnsi" w:cstheme="minorHAnsi"/>
        </w:rPr>
        <w:t xml:space="preserve"> the feminists</w:t>
      </w:r>
      <w:r w:rsidR="00201C8D" w:rsidRPr="00F65CC5">
        <w:rPr>
          <w:rFonts w:asciiTheme="minorHAnsi" w:hAnsiTheme="minorHAnsi" w:cstheme="minorHAnsi"/>
        </w:rPr>
        <w:t xml:space="preserve"> </w:t>
      </w:r>
      <w:r w:rsidR="00F978A0" w:rsidRPr="00F65CC5">
        <w:rPr>
          <w:rFonts w:asciiTheme="minorHAnsi" w:hAnsiTheme="minorHAnsi" w:cstheme="minorHAnsi"/>
        </w:rPr>
        <w:t xml:space="preserve">created a feminist legal space in which it is possible </w:t>
      </w:r>
      <w:r w:rsidR="00201C8D" w:rsidRPr="00F65CC5">
        <w:rPr>
          <w:rFonts w:asciiTheme="minorHAnsi" w:hAnsiTheme="minorHAnsi" w:cstheme="minorHAnsi"/>
        </w:rPr>
        <w:t xml:space="preserve">and lawful </w:t>
      </w:r>
      <w:r w:rsidR="00F978A0" w:rsidRPr="00F65CC5">
        <w:rPr>
          <w:rFonts w:asciiTheme="minorHAnsi" w:hAnsiTheme="minorHAnsi" w:cstheme="minorHAnsi"/>
        </w:rPr>
        <w:t xml:space="preserve">for feminists to stay with the Convention even though </w:t>
      </w:r>
      <w:r w:rsidR="00B65D19">
        <w:rPr>
          <w:rFonts w:asciiTheme="minorHAnsi" w:hAnsiTheme="minorHAnsi" w:cstheme="minorHAnsi"/>
        </w:rPr>
        <w:t xml:space="preserve">the </w:t>
      </w:r>
      <w:r w:rsidR="00F978A0" w:rsidRPr="00F65CC5">
        <w:rPr>
          <w:rFonts w:asciiTheme="minorHAnsi" w:hAnsiTheme="minorHAnsi" w:cstheme="minorHAnsi"/>
        </w:rPr>
        <w:t xml:space="preserve">State leaves it. Through </w:t>
      </w:r>
      <w:r w:rsidR="00D04FB8" w:rsidRPr="00F65CC5">
        <w:rPr>
          <w:rFonts w:asciiTheme="minorHAnsi" w:hAnsiTheme="minorHAnsi" w:cstheme="minorHAnsi"/>
        </w:rPr>
        <w:t>the</w:t>
      </w:r>
      <w:r w:rsidR="00F978A0" w:rsidRPr="00F65CC5">
        <w:rPr>
          <w:rFonts w:asciiTheme="minorHAnsi" w:hAnsiTheme="minorHAnsi" w:cstheme="minorHAnsi"/>
        </w:rPr>
        <w:t xml:space="preserve"> slogan ‘The Istanbul Convention Keeps Us Alive’ activists convey that they </w:t>
      </w:r>
      <w:r w:rsidR="00D04FB8" w:rsidRPr="00F65CC5">
        <w:rPr>
          <w:rFonts w:asciiTheme="minorHAnsi" w:hAnsiTheme="minorHAnsi" w:cstheme="minorHAnsi"/>
        </w:rPr>
        <w:t xml:space="preserve">stayed </w:t>
      </w:r>
      <w:r w:rsidR="00F978A0" w:rsidRPr="00F65CC5">
        <w:rPr>
          <w:rFonts w:asciiTheme="minorHAnsi" w:hAnsiTheme="minorHAnsi" w:cstheme="minorHAnsi"/>
        </w:rPr>
        <w:t>within the feminist legal space where</w:t>
      </w:r>
      <w:r w:rsidR="005F76AB">
        <w:rPr>
          <w:rFonts w:asciiTheme="minorHAnsi" w:hAnsiTheme="minorHAnsi" w:cstheme="minorHAnsi"/>
        </w:rPr>
        <w:t xml:space="preserve"> the</w:t>
      </w:r>
      <w:r w:rsidR="00F978A0" w:rsidRPr="00F65CC5">
        <w:rPr>
          <w:rFonts w:asciiTheme="minorHAnsi" w:hAnsiTheme="minorHAnsi" w:cstheme="minorHAnsi"/>
        </w:rPr>
        <w:t xml:space="preserve"> lives of women are possible. </w:t>
      </w:r>
    </w:p>
    <w:p w14:paraId="30772FD9" w14:textId="77777777" w:rsidR="00D04FB8" w:rsidRPr="00F65CC5" w:rsidRDefault="00D04FB8" w:rsidP="007933F6">
      <w:pPr>
        <w:ind w:right="-52"/>
        <w:jc w:val="both"/>
        <w:rPr>
          <w:rFonts w:asciiTheme="minorHAnsi" w:hAnsiTheme="minorHAnsi" w:cstheme="minorHAnsi"/>
        </w:rPr>
      </w:pPr>
    </w:p>
    <w:p w14:paraId="5D546EC7" w14:textId="1DEBF2BD" w:rsidR="003130E5" w:rsidRDefault="00F978A0" w:rsidP="007933F6">
      <w:pPr>
        <w:ind w:right="-52"/>
        <w:jc w:val="both"/>
        <w:rPr>
          <w:rFonts w:asciiTheme="minorHAnsi" w:hAnsiTheme="minorHAnsi" w:cstheme="minorHAnsi"/>
        </w:rPr>
      </w:pPr>
      <w:r w:rsidRPr="00F65CC5">
        <w:rPr>
          <w:rFonts w:asciiTheme="minorHAnsi" w:hAnsiTheme="minorHAnsi" w:cstheme="minorHAnsi"/>
        </w:rPr>
        <w:t xml:space="preserve">When we </w:t>
      </w:r>
      <w:r w:rsidR="00355C8D" w:rsidRPr="00F65CC5">
        <w:rPr>
          <w:rFonts w:asciiTheme="minorHAnsi" w:hAnsiTheme="minorHAnsi" w:cstheme="minorHAnsi"/>
        </w:rPr>
        <w:t xml:space="preserve">deprioritised </w:t>
      </w:r>
      <w:r w:rsidRPr="00F65CC5">
        <w:rPr>
          <w:rFonts w:asciiTheme="minorHAnsi" w:hAnsiTheme="minorHAnsi" w:cstheme="minorHAnsi"/>
        </w:rPr>
        <w:t xml:space="preserve">the vertical legality </w:t>
      </w:r>
      <w:r w:rsidR="00C31E25" w:rsidRPr="00F65CC5">
        <w:rPr>
          <w:rFonts w:asciiTheme="minorHAnsi" w:hAnsiTheme="minorHAnsi" w:cstheme="minorHAnsi"/>
        </w:rPr>
        <w:t xml:space="preserve">expressed in binary </w:t>
      </w:r>
      <w:r w:rsidRPr="00F65CC5">
        <w:rPr>
          <w:rFonts w:asciiTheme="minorHAnsi" w:hAnsiTheme="minorHAnsi" w:cstheme="minorHAnsi"/>
        </w:rPr>
        <w:t>national</w:t>
      </w:r>
      <w:r w:rsidR="00C31E25" w:rsidRPr="00F65CC5">
        <w:rPr>
          <w:rFonts w:asciiTheme="minorHAnsi" w:hAnsiTheme="minorHAnsi" w:cstheme="minorHAnsi"/>
        </w:rPr>
        <w:t>-</w:t>
      </w:r>
      <w:r w:rsidRPr="00F65CC5">
        <w:rPr>
          <w:rFonts w:asciiTheme="minorHAnsi" w:hAnsiTheme="minorHAnsi" w:cstheme="minorHAnsi"/>
        </w:rPr>
        <w:t>international law, we could identify land as a feminist legal space from which the Istanbul Convention emerged. Interviewe</w:t>
      </w:r>
      <w:r w:rsidR="00927F68" w:rsidRPr="00F65CC5">
        <w:rPr>
          <w:rFonts w:asciiTheme="minorHAnsi" w:hAnsiTheme="minorHAnsi" w:cstheme="minorHAnsi"/>
        </w:rPr>
        <w:t>es</w:t>
      </w:r>
      <w:r w:rsidRPr="00F65CC5">
        <w:rPr>
          <w:rFonts w:asciiTheme="minorHAnsi" w:hAnsiTheme="minorHAnsi" w:cstheme="minorHAnsi"/>
        </w:rPr>
        <w:t xml:space="preserve"> claimed </w:t>
      </w:r>
      <w:r w:rsidR="00927F68" w:rsidRPr="00F65CC5">
        <w:rPr>
          <w:rFonts w:asciiTheme="minorHAnsi" w:hAnsiTheme="minorHAnsi" w:cstheme="minorHAnsi"/>
        </w:rPr>
        <w:t xml:space="preserve">that </w:t>
      </w:r>
      <w:r w:rsidRPr="00F65CC5">
        <w:rPr>
          <w:rFonts w:asciiTheme="minorHAnsi" w:hAnsiTheme="minorHAnsi" w:cstheme="minorHAnsi"/>
        </w:rPr>
        <w:t xml:space="preserve">the Istanbul Convention </w:t>
      </w:r>
      <w:r w:rsidR="0016539F" w:rsidRPr="00F65CC5">
        <w:rPr>
          <w:rFonts w:asciiTheme="minorHAnsi" w:hAnsiTheme="minorHAnsi" w:cstheme="minorHAnsi"/>
        </w:rPr>
        <w:t xml:space="preserve">is </w:t>
      </w:r>
      <w:r w:rsidRPr="00F65CC5">
        <w:rPr>
          <w:rFonts w:asciiTheme="minorHAnsi" w:hAnsiTheme="minorHAnsi" w:cstheme="minorHAnsi"/>
        </w:rPr>
        <w:t xml:space="preserve">local, vernacular, from their land where Nahide </w:t>
      </w:r>
      <w:proofErr w:type="spellStart"/>
      <w:r w:rsidRPr="00F65CC5">
        <w:rPr>
          <w:rFonts w:asciiTheme="minorHAnsi" w:hAnsiTheme="minorHAnsi" w:cstheme="minorHAnsi"/>
        </w:rPr>
        <w:t>Opuz</w:t>
      </w:r>
      <w:proofErr w:type="spellEnd"/>
      <w:r w:rsidRPr="00F65CC5">
        <w:rPr>
          <w:rFonts w:asciiTheme="minorHAnsi" w:hAnsiTheme="minorHAnsi" w:cstheme="minorHAnsi"/>
        </w:rPr>
        <w:t xml:space="preserve"> was not protected by </w:t>
      </w:r>
      <w:r w:rsidR="00AF36B4">
        <w:rPr>
          <w:rFonts w:asciiTheme="minorHAnsi" w:hAnsiTheme="minorHAnsi" w:cstheme="minorHAnsi"/>
        </w:rPr>
        <w:t xml:space="preserve">the </w:t>
      </w:r>
      <w:r w:rsidRPr="00F65CC5">
        <w:rPr>
          <w:rFonts w:asciiTheme="minorHAnsi" w:hAnsiTheme="minorHAnsi" w:cstheme="minorHAnsi"/>
        </w:rPr>
        <w:t xml:space="preserve">discriminatory judicial passivity of the </w:t>
      </w:r>
      <w:r w:rsidR="00842070" w:rsidRPr="00F65CC5">
        <w:rPr>
          <w:rFonts w:asciiTheme="minorHAnsi" w:hAnsiTheme="minorHAnsi" w:cstheme="minorHAnsi"/>
        </w:rPr>
        <w:t xml:space="preserve">Turkish </w:t>
      </w:r>
      <w:r w:rsidRPr="00F65CC5">
        <w:rPr>
          <w:rFonts w:asciiTheme="minorHAnsi" w:hAnsiTheme="minorHAnsi" w:cstheme="minorHAnsi"/>
        </w:rPr>
        <w:t>Stat</w:t>
      </w:r>
      <w:r w:rsidR="00842070" w:rsidRPr="00F65CC5">
        <w:rPr>
          <w:rFonts w:asciiTheme="minorHAnsi" w:hAnsiTheme="minorHAnsi" w:cstheme="minorHAnsi"/>
        </w:rPr>
        <w:t>e</w:t>
      </w:r>
      <w:r w:rsidRPr="00F65CC5">
        <w:rPr>
          <w:rFonts w:asciiTheme="minorHAnsi" w:hAnsiTheme="minorHAnsi" w:cstheme="minorHAnsi"/>
        </w:rPr>
        <w:t>. In addition to</w:t>
      </w:r>
      <w:r w:rsidR="00E83CF9" w:rsidRPr="00F65CC5">
        <w:rPr>
          <w:rFonts w:asciiTheme="minorHAnsi" w:hAnsiTheme="minorHAnsi" w:cstheme="minorHAnsi"/>
        </w:rPr>
        <w:t xml:space="preserve"> vertical</w:t>
      </w:r>
      <w:r w:rsidRPr="00F65CC5">
        <w:rPr>
          <w:rFonts w:asciiTheme="minorHAnsi" w:hAnsiTheme="minorHAnsi" w:cstheme="minorHAnsi"/>
        </w:rPr>
        <w:t xml:space="preserve"> </w:t>
      </w:r>
      <w:r w:rsidR="000C4958" w:rsidRPr="00F65CC5">
        <w:rPr>
          <w:rFonts w:asciiTheme="minorHAnsi" w:hAnsiTheme="minorHAnsi" w:cstheme="minorHAnsi"/>
        </w:rPr>
        <w:t xml:space="preserve">legal </w:t>
      </w:r>
      <w:r w:rsidRPr="00F65CC5">
        <w:rPr>
          <w:rFonts w:asciiTheme="minorHAnsi" w:hAnsiTheme="minorHAnsi" w:cstheme="minorHAnsi"/>
        </w:rPr>
        <w:t xml:space="preserve">norms, </w:t>
      </w:r>
      <w:r w:rsidR="00355C8D" w:rsidRPr="00F65CC5">
        <w:rPr>
          <w:rFonts w:asciiTheme="minorHAnsi" w:hAnsiTheme="minorHAnsi" w:cstheme="minorHAnsi"/>
        </w:rPr>
        <w:t>emotions</w:t>
      </w:r>
      <w:r w:rsidR="00201C8D" w:rsidRPr="00F65CC5">
        <w:rPr>
          <w:rFonts w:asciiTheme="minorHAnsi" w:hAnsiTheme="minorHAnsi" w:cstheme="minorHAnsi"/>
        </w:rPr>
        <w:t>, solidarity</w:t>
      </w:r>
      <w:r w:rsidRPr="00F65CC5">
        <w:rPr>
          <w:rFonts w:asciiTheme="minorHAnsi" w:hAnsiTheme="minorHAnsi" w:cstheme="minorHAnsi"/>
        </w:rPr>
        <w:t xml:space="preserve"> and experience</w:t>
      </w:r>
      <w:r w:rsidR="00201C8D" w:rsidRPr="00F65CC5">
        <w:rPr>
          <w:rFonts w:asciiTheme="minorHAnsi" w:hAnsiTheme="minorHAnsi" w:cstheme="minorHAnsi"/>
        </w:rPr>
        <w:t>s</w:t>
      </w:r>
      <w:r w:rsidRPr="00F65CC5">
        <w:rPr>
          <w:rFonts w:asciiTheme="minorHAnsi" w:hAnsiTheme="minorHAnsi" w:cstheme="minorHAnsi"/>
        </w:rPr>
        <w:t xml:space="preserve"> of gender-based violence became the legitimate source of legality in the courtroom. The feminist principles and language were dominant in the feminist legal space created in th</w:t>
      </w:r>
      <w:r w:rsidR="000C4958" w:rsidRPr="00F65CC5">
        <w:rPr>
          <w:rFonts w:asciiTheme="minorHAnsi" w:hAnsiTheme="minorHAnsi" w:cstheme="minorHAnsi"/>
        </w:rPr>
        <w:t>at</w:t>
      </w:r>
      <w:r w:rsidR="00E83CF9" w:rsidRPr="00F65CC5">
        <w:rPr>
          <w:rFonts w:asciiTheme="minorHAnsi" w:hAnsiTheme="minorHAnsi" w:cstheme="minorHAnsi"/>
        </w:rPr>
        <w:t xml:space="preserve"> courtroom</w:t>
      </w:r>
      <w:r w:rsidRPr="00F65CC5">
        <w:rPr>
          <w:rFonts w:asciiTheme="minorHAnsi" w:hAnsiTheme="minorHAnsi" w:cstheme="minorHAnsi"/>
        </w:rPr>
        <w:t xml:space="preserve">. The walls of </w:t>
      </w:r>
      <w:r w:rsidRPr="00F65CC5">
        <w:rPr>
          <w:rFonts w:asciiTheme="minorHAnsi" w:hAnsiTheme="minorHAnsi" w:cstheme="minorHAnsi"/>
        </w:rPr>
        <w:lastRenderedPageBreak/>
        <w:t xml:space="preserve">the room expanded </w:t>
      </w:r>
      <w:r w:rsidR="00ED4A6C" w:rsidRPr="00F65CC5">
        <w:rPr>
          <w:rFonts w:asciiTheme="minorHAnsi" w:hAnsiTheme="minorHAnsi" w:cstheme="minorHAnsi"/>
        </w:rPr>
        <w:t xml:space="preserve">in order </w:t>
      </w:r>
      <w:r w:rsidRPr="00F65CC5">
        <w:rPr>
          <w:rFonts w:asciiTheme="minorHAnsi" w:hAnsiTheme="minorHAnsi" w:cstheme="minorHAnsi"/>
        </w:rPr>
        <w:t xml:space="preserve">not to leave </w:t>
      </w:r>
      <w:r w:rsidR="00335711" w:rsidRPr="00F65CC5">
        <w:rPr>
          <w:rFonts w:asciiTheme="minorHAnsi" w:hAnsiTheme="minorHAnsi" w:cstheme="minorHAnsi"/>
        </w:rPr>
        <w:t>anyone</w:t>
      </w:r>
      <w:r w:rsidR="006A4950">
        <w:rPr>
          <w:rFonts w:asciiTheme="minorHAnsi" w:hAnsiTheme="minorHAnsi" w:cstheme="minorHAnsi"/>
        </w:rPr>
        <w:t>,</w:t>
      </w:r>
      <w:r w:rsidR="00A20D15" w:rsidRPr="00F65CC5">
        <w:rPr>
          <w:rFonts w:asciiTheme="minorHAnsi" w:hAnsiTheme="minorHAnsi" w:cstheme="minorHAnsi"/>
        </w:rPr>
        <w:t xml:space="preserve"> </w:t>
      </w:r>
      <w:r w:rsidR="00ED4A6C" w:rsidRPr="00F65CC5">
        <w:rPr>
          <w:rFonts w:asciiTheme="minorHAnsi" w:hAnsiTheme="minorHAnsi" w:cstheme="minorHAnsi"/>
        </w:rPr>
        <w:t xml:space="preserve">any </w:t>
      </w:r>
      <w:r w:rsidRPr="00F65CC5">
        <w:rPr>
          <w:rFonts w:asciiTheme="minorHAnsi" w:hAnsiTheme="minorHAnsi" w:cstheme="minorHAnsi"/>
        </w:rPr>
        <w:t>sister</w:t>
      </w:r>
      <w:r w:rsidR="006A4950">
        <w:rPr>
          <w:rFonts w:asciiTheme="minorHAnsi" w:hAnsiTheme="minorHAnsi" w:cstheme="minorHAnsi"/>
        </w:rPr>
        <w:t>,</w:t>
      </w:r>
      <w:r w:rsidRPr="00F65CC5">
        <w:rPr>
          <w:rFonts w:asciiTheme="minorHAnsi" w:hAnsiTheme="minorHAnsi" w:cstheme="minorHAnsi"/>
        </w:rPr>
        <w:t xml:space="preserve"> behind. Women in the courtroom felt powerful and free</w:t>
      </w:r>
      <w:r w:rsidR="005E05E5" w:rsidRPr="00F65CC5">
        <w:rPr>
          <w:rFonts w:asciiTheme="minorHAnsi" w:hAnsiTheme="minorHAnsi" w:cstheme="minorHAnsi"/>
        </w:rPr>
        <w:t>. T</w:t>
      </w:r>
      <w:r w:rsidRPr="00F65CC5">
        <w:rPr>
          <w:rFonts w:asciiTheme="minorHAnsi" w:hAnsiTheme="minorHAnsi" w:cstheme="minorHAnsi"/>
        </w:rPr>
        <w:t>hey underst</w:t>
      </w:r>
      <w:r w:rsidR="00FB366D">
        <w:rPr>
          <w:rFonts w:asciiTheme="minorHAnsi" w:hAnsiTheme="minorHAnsi" w:cstheme="minorHAnsi"/>
        </w:rPr>
        <w:t>ood</w:t>
      </w:r>
      <w:r w:rsidR="00A67B20" w:rsidRPr="00F65CC5">
        <w:rPr>
          <w:rFonts w:asciiTheme="minorHAnsi" w:hAnsiTheme="minorHAnsi" w:cstheme="minorHAnsi"/>
        </w:rPr>
        <w:t xml:space="preserve"> </w:t>
      </w:r>
      <w:r w:rsidR="00F10DBB" w:rsidRPr="00F65CC5">
        <w:rPr>
          <w:rFonts w:asciiTheme="minorHAnsi" w:hAnsiTheme="minorHAnsi" w:cstheme="minorHAnsi"/>
        </w:rPr>
        <w:t xml:space="preserve">and </w:t>
      </w:r>
      <w:r w:rsidR="00A67B20" w:rsidRPr="00F65CC5">
        <w:rPr>
          <w:rFonts w:asciiTheme="minorHAnsi" w:hAnsiTheme="minorHAnsi" w:cstheme="minorHAnsi"/>
        </w:rPr>
        <w:t>experienc</w:t>
      </w:r>
      <w:r w:rsidR="00F10DBB" w:rsidRPr="00F65CC5">
        <w:rPr>
          <w:rFonts w:asciiTheme="minorHAnsi" w:hAnsiTheme="minorHAnsi" w:cstheme="minorHAnsi"/>
        </w:rPr>
        <w:t>e</w:t>
      </w:r>
      <w:r w:rsidR="00FB366D">
        <w:rPr>
          <w:rFonts w:asciiTheme="minorHAnsi" w:hAnsiTheme="minorHAnsi" w:cstheme="minorHAnsi"/>
        </w:rPr>
        <w:t>d</w:t>
      </w:r>
      <w:r w:rsidR="00A67B20" w:rsidRPr="00F65CC5">
        <w:rPr>
          <w:rFonts w:asciiTheme="minorHAnsi" w:hAnsiTheme="minorHAnsi" w:cstheme="minorHAnsi"/>
        </w:rPr>
        <w:t xml:space="preserve"> l</w:t>
      </w:r>
      <w:r w:rsidRPr="00F65CC5">
        <w:rPr>
          <w:rFonts w:asciiTheme="minorHAnsi" w:hAnsiTheme="minorHAnsi" w:cstheme="minorHAnsi"/>
        </w:rPr>
        <w:t xml:space="preserve">aw beyond its vertical space, </w:t>
      </w:r>
      <w:r w:rsidR="00FB366D">
        <w:rPr>
          <w:rFonts w:asciiTheme="minorHAnsi" w:hAnsiTheme="minorHAnsi" w:cstheme="minorHAnsi"/>
        </w:rPr>
        <w:t xml:space="preserve">so that </w:t>
      </w:r>
      <w:r w:rsidRPr="00F65CC5">
        <w:rPr>
          <w:rFonts w:asciiTheme="minorHAnsi" w:hAnsiTheme="minorHAnsi" w:cstheme="minorHAnsi"/>
        </w:rPr>
        <w:t xml:space="preserve">whatever the vertical </w:t>
      </w:r>
      <w:r w:rsidR="001F6996">
        <w:rPr>
          <w:rFonts w:asciiTheme="minorHAnsi" w:hAnsiTheme="minorHAnsi" w:cstheme="minorHAnsi"/>
        </w:rPr>
        <w:t>S</w:t>
      </w:r>
      <w:r w:rsidRPr="00F65CC5">
        <w:rPr>
          <w:rFonts w:asciiTheme="minorHAnsi" w:hAnsiTheme="minorHAnsi" w:cstheme="minorHAnsi"/>
        </w:rPr>
        <w:t>tate law decide</w:t>
      </w:r>
      <w:r w:rsidR="00FF5EF3">
        <w:rPr>
          <w:rFonts w:asciiTheme="minorHAnsi" w:hAnsiTheme="minorHAnsi" w:cstheme="minorHAnsi"/>
        </w:rPr>
        <w:t>d</w:t>
      </w:r>
      <w:r w:rsidRPr="00F65CC5">
        <w:rPr>
          <w:rFonts w:asciiTheme="minorHAnsi" w:hAnsiTheme="minorHAnsi" w:cstheme="minorHAnsi"/>
        </w:rPr>
        <w:t xml:space="preserve"> did not matter</w:t>
      </w:r>
      <w:r w:rsidR="00600B61" w:rsidRPr="00F65CC5">
        <w:rPr>
          <w:rFonts w:asciiTheme="minorHAnsi" w:hAnsiTheme="minorHAnsi" w:cstheme="minorHAnsi"/>
        </w:rPr>
        <w:t>.</w:t>
      </w:r>
      <w:r w:rsidRPr="00F65CC5">
        <w:rPr>
          <w:rFonts w:asciiTheme="minorHAnsi" w:hAnsiTheme="minorHAnsi" w:cstheme="minorHAnsi"/>
        </w:rPr>
        <w:t xml:space="preserve"> </w:t>
      </w:r>
      <w:r w:rsidR="00600B61" w:rsidRPr="00F65CC5">
        <w:rPr>
          <w:rFonts w:asciiTheme="minorHAnsi" w:hAnsiTheme="minorHAnsi" w:cstheme="minorHAnsi"/>
        </w:rPr>
        <w:t>T</w:t>
      </w:r>
      <w:r w:rsidRPr="00F65CC5">
        <w:rPr>
          <w:rFonts w:asciiTheme="minorHAnsi" w:hAnsiTheme="minorHAnsi" w:cstheme="minorHAnsi"/>
        </w:rPr>
        <w:t xml:space="preserve">he feminists </w:t>
      </w:r>
      <w:r w:rsidR="00A67B20" w:rsidRPr="00F65CC5">
        <w:rPr>
          <w:rFonts w:asciiTheme="minorHAnsi" w:hAnsiTheme="minorHAnsi" w:cstheme="minorHAnsi"/>
        </w:rPr>
        <w:t xml:space="preserve">maintained the norms of </w:t>
      </w:r>
      <w:r w:rsidRPr="00F65CC5">
        <w:rPr>
          <w:rFonts w:asciiTheme="minorHAnsi" w:hAnsiTheme="minorHAnsi" w:cstheme="minorHAnsi"/>
        </w:rPr>
        <w:t xml:space="preserve">protecting </w:t>
      </w:r>
      <w:r w:rsidR="00231398">
        <w:rPr>
          <w:rFonts w:asciiTheme="minorHAnsi" w:hAnsiTheme="minorHAnsi" w:cstheme="minorHAnsi"/>
        </w:rPr>
        <w:t xml:space="preserve">the </w:t>
      </w:r>
      <w:r w:rsidRPr="00F65CC5">
        <w:rPr>
          <w:rFonts w:asciiTheme="minorHAnsi" w:hAnsiTheme="minorHAnsi" w:cstheme="minorHAnsi"/>
        </w:rPr>
        <w:t>lives of women and this could not be withdrawn from feminist legal space</w:t>
      </w:r>
      <w:r w:rsidR="00A67B20" w:rsidRPr="00F65CC5">
        <w:rPr>
          <w:rFonts w:asciiTheme="minorHAnsi" w:hAnsiTheme="minorHAnsi" w:cstheme="minorHAnsi"/>
        </w:rPr>
        <w:t>s.</w:t>
      </w:r>
      <w:r w:rsidR="00FF5EF3">
        <w:rPr>
          <w:rFonts w:asciiTheme="minorHAnsi" w:hAnsiTheme="minorHAnsi" w:cstheme="minorHAnsi"/>
        </w:rPr>
        <w:t xml:space="preserve"> In the end</w:t>
      </w:r>
      <w:r w:rsidR="00A67B20" w:rsidRPr="00F65CC5">
        <w:rPr>
          <w:rFonts w:asciiTheme="minorHAnsi" w:hAnsiTheme="minorHAnsi" w:cstheme="minorHAnsi"/>
        </w:rPr>
        <w:t>, t</w:t>
      </w:r>
      <w:r w:rsidR="00704C3B" w:rsidRPr="00F65CC5">
        <w:rPr>
          <w:rFonts w:asciiTheme="minorHAnsi" w:hAnsiTheme="minorHAnsi" w:cstheme="minorHAnsi"/>
        </w:rPr>
        <w:t xml:space="preserve">he feminists did not leave the Istanbul Convention even though the cases were lost and the Turkish State officially denounced it. </w:t>
      </w:r>
    </w:p>
    <w:p w14:paraId="21758F31" w14:textId="77777777" w:rsidR="003130E5" w:rsidRDefault="003130E5" w:rsidP="007933F6">
      <w:pPr>
        <w:ind w:right="-52"/>
        <w:jc w:val="both"/>
        <w:rPr>
          <w:rFonts w:asciiTheme="minorHAnsi" w:hAnsiTheme="minorHAnsi" w:cstheme="minorHAnsi"/>
        </w:rPr>
      </w:pPr>
    </w:p>
    <w:p w14:paraId="3C017D5D" w14:textId="77777777" w:rsidR="00F23789" w:rsidRPr="00F23789" w:rsidRDefault="00F23789" w:rsidP="007933F6">
      <w:pPr>
        <w:ind w:right="-52"/>
        <w:jc w:val="both"/>
        <w:rPr>
          <w:rFonts w:asciiTheme="minorHAnsi" w:hAnsiTheme="minorHAnsi" w:cstheme="minorHAnsi"/>
          <w:b/>
          <w:bCs/>
        </w:rPr>
      </w:pPr>
    </w:p>
    <w:p w14:paraId="12EB19FA" w14:textId="423A733A" w:rsidR="003130E5" w:rsidRPr="00F65CC5" w:rsidRDefault="003130E5" w:rsidP="007933F6">
      <w:pPr>
        <w:ind w:right="-52"/>
        <w:jc w:val="both"/>
        <w:rPr>
          <w:rFonts w:asciiTheme="minorHAnsi" w:hAnsiTheme="minorHAnsi" w:cstheme="minorHAnsi"/>
        </w:rPr>
      </w:pPr>
    </w:p>
    <w:sectPr w:rsidR="003130E5" w:rsidRPr="00F65CC5" w:rsidSect="00B97534">
      <w:headerReference w:type="even" r:id="rId8"/>
      <w:headerReference w:type="default" r:id="rId9"/>
      <w:footerReference w:type="even" r:id="rId10"/>
      <w:footerReference w:type="default" r:id="rId11"/>
      <w:pgSz w:w="11900" w:h="16840"/>
      <w:pgMar w:top="1440" w:right="138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52694" w14:textId="77777777" w:rsidR="0012745E" w:rsidRDefault="0012745E">
      <w:r>
        <w:separator/>
      </w:r>
    </w:p>
  </w:endnote>
  <w:endnote w:type="continuationSeparator" w:id="0">
    <w:p w14:paraId="056DB8A0" w14:textId="77777777" w:rsidR="0012745E" w:rsidRDefault="0012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Ex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718682"/>
      <w:docPartObj>
        <w:docPartGallery w:val="Page Numbers (Bottom of Page)"/>
        <w:docPartUnique/>
      </w:docPartObj>
    </w:sdtPr>
    <w:sdtEndPr>
      <w:rPr>
        <w:noProof/>
        <w:sz w:val="22"/>
        <w:szCs w:val="22"/>
      </w:rPr>
    </w:sdtEndPr>
    <w:sdtContent>
      <w:p w14:paraId="5227E2ED" w14:textId="0A0ECB70" w:rsidR="00971F6A" w:rsidRDefault="00971F6A">
        <w:pPr>
          <w:pStyle w:val="Footer"/>
          <w:jc w:val="center"/>
          <w:rPr>
            <w:sz w:val="22"/>
            <w:szCs w:val="22"/>
          </w:rPr>
        </w:pPr>
        <w:r>
          <w:rPr>
            <w:sz w:val="22"/>
            <w:szCs w:val="22"/>
          </w:rPr>
          <w:t>__________________________________________________________________________________</w:t>
        </w:r>
      </w:p>
      <w:p w14:paraId="561985E6" w14:textId="77777777" w:rsidR="00971F6A" w:rsidRPr="00971F6A" w:rsidRDefault="00971F6A">
        <w:pPr>
          <w:pStyle w:val="Footer"/>
          <w:jc w:val="center"/>
          <w:rPr>
            <w:sz w:val="22"/>
            <w:szCs w:val="22"/>
          </w:rPr>
        </w:pPr>
      </w:p>
      <w:p w14:paraId="61C92420" w14:textId="361EAEE2" w:rsidR="00971F6A" w:rsidRPr="00433200" w:rsidRDefault="00971F6A">
        <w:pPr>
          <w:pStyle w:val="Footer"/>
          <w:jc w:val="center"/>
          <w:rPr>
            <w:sz w:val="22"/>
            <w:szCs w:val="22"/>
          </w:rPr>
        </w:pPr>
        <w:r w:rsidRPr="00433200">
          <w:rPr>
            <w:sz w:val="22"/>
            <w:szCs w:val="22"/>
          </w:rPr>
          <w:fldChar w:fldCharType="begin"/>
        </w:r>
        <w:r w:rsidRPr="00433200">
          <w:rPr>
            <w:sz w:val="22"/>
            <w:szCs w:val="22"/>
          </w:rPr>
          <w:instrText xml:space="preserve"> PAGE   \* MERGEFORMAT </w:instrText>
        </w:r>
        <w:r w:rsidRPr="00433200">
          <w:rPr>
            <w:sz w:val="22"/>
            <w:szCs w:val="22"/>
          </w:rPr>
          <w:fldChar w:fldCharType="separate"/>
        </w:r>
        <w:r w:rsidRPr="00433200">
          <w:rPr>
            <w:noProof/>
            <w:sz w:val="22"/>
            <w:szCs w:val="22"/>
          </w:rPr>
          <w:t>2</w:t>
        </w:r>
        <w:r w:rsidRPr="00433200">
          <w:rPr>
            <w:noProof/>
            <w:sz w:val="22"/>
            <w:szCs w:val="22"/>
          </w:rPr>
          <w:fldChar w:fldCharType="end"/>
        </w:r>
      </w:p>
    </w:sdtContent>
  </w:sdt>
  <w:p w14:paraId="007DCAF3" w14:textId="77777777" w:rsidR="00557834" w:rsidRDefault="00557834" w:rsidP="003C5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683212"/>
      <w:docPartObj>
        <w:docPartGallery w:val="Page Numbers (Bottom of Page)"/>
        <w:docPartUnique/>
      </w:docPartObj>
    </w:sdtPr>
    <w:sdtEndPr>
      <w:rPr>
        <w:noProof/>
        <w:sz w:val="22"/>
        <w:szCs w:val="22"/>
      </w:rPr>
    </w:sdtEndPr>
    <w:sdtContent>
      <w:p w14:paraId="1BECC6FF" w14:textId="79A3F6B4" w:rsidR="00B97534" w:rsidRDefault="00191D79">
        <w:pPr>
          <w:pStyle w:val="Footer"/>
          <w:jc w:val="center"/>
          <w:rPr>
            <w:sz w:val="22"/>
            <w:szCs w:val="22"/>
          </w:rPr>
        </w:pPr>
        <w:r>
          <w:rPr>
            <w:sz w:val="22"/>
            <w:szCs w:val="22"/>
          </w:rPr>
          <w:t>__________________________________________________________________________________</w:t>
        </w:r>
      </w:p>
      <w:p w14:paraId="52471F79" w14:textId="77777777" w:rsidR="00191D79" w:rsidRPr="00191D79" w:rsidRDefault="00191D79">
        <w:pPr>
          <w:pStyle w:val="Footer"/>
          <w:jc w:val="center"/>
          <w:rPr>
            <w:sz w:val="22"/>
            <w:szCs w:val="22"/>
          </w:rPr>
        </w:pPr>
      </w:p>
      <w:p w14:paraId="53005D1D" w14:textId="78241955" w:rsidR="00B97534" w:rsidRPr="00433200" w:rsidRDefault="00B97534">
        <w:pPr>
          <w:pStyle w:val="Footer"/>
          <w:jc w:val="center"/>
          <w:rPr>
            <w:sz w:val="22"/>
            <w:szCs w:val="22"/>
          </w:rPr>
        </w:pPr>
        <w:r w:rsidRPr="00433200">
          <w:rPr>
            <w:sz w:val="22"/>
            <w:szCs w:val="22"/>
          </w:rPr>
          <w:fldChar w:fldCharType="begin"/>
        </w:r>
        <w:r w:rsidRPr="00433200">
          <w:rPr>
            <w:sz w:val="22"/>
            <w:szCs w:val="22"/>
          </w:rPr>
          <w:instrText xml:space="preserve"> PAGE   \* MERGEFORMAT </w:instrText>
        </w:r>
        <w:r w:rsidRPr="00433200">
          <w:rPr>
            <w:sz w:val="22"/>
            <w:szCs w:val="22"/>
          </w:rPr>
          <w:fldChar w:fldCharType="separate"/>
        </w:r>
        <w:r w:rsidRPr="00433200">
          <w:rPr>
            <w:noProof/>
            <w:sz w:val="22"/>
            <w:szCs w:val="22"/>
          </w:rPr>
          <w:t>2</w:t>
        </w:r>
        <w:r w:rsidRPr="00433200">
          <w:rPr>
            <w:noProof/>
            <w:sz w:val="22"/>
            <w:szCs w:val="22"/>
          </w:rPr>
          <w:fldChar w:fldCharType="end"/>
        </w:r>
      </w:p>
    </w:sdtContent>
  </w:sdt>
  <w:p w14:paraId="7DAF9889" w14:textId="77777777" w:rsidR="00557834" w:rsidRDefault="00557834" w:rsidP="003C5D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AA0A2" w14:textId="77777777" w:rsidR="0012745E" w:rsidRDefault="0012745E" w:rsidP="0076005F">
      <w:r>
        <w:separator/>
      </w:r>
    </w:p>
  </w:footnote>
  <w:footnote w:type="continuationSeparator" w:id="0">
    <w:p w14:paraId="5EA98119" w14:textId="77777777" w:rsidR="0012745E" w:rsidRDefault="0012745E" w:rsidP="0076005F">
      <w:r>
        <w:continuationSeparator/>
      </w:r>
    </w:p>
  </w:footnote>
  <w:footnote w:id="1">
    <w:p w14:paraId="5CB506E2" w14:textId="4B367A7A" w:rsidR="006F1301" w:rsidRDefault="006F1301" w:rsidP="006F1301">
      <w:pPr>
        <w:pStyle w:val="FootnoteText"/>
      </w:pPr>
      <w:r>
        <w:rPr>
          <w:rStyle w:val="FootnoteReference"/>
        </w:rPr>
        <w:t>*</w:t>
      </w:r>
      <w:r>
        <w:t xml:space="preserve"> </w:t>
      </w:r>
      <w:r w:rsidR="00601895">
        <w:t xml:space="preserve">Lecturer in Law, University of Exeter, UK; email </w:t>
      </w:r>
      <w:hyperlink r:id="rId1" w:history="1">
        <w:r w:rsidR="00601895" w:rsidRPr="00592852">
          <w:rPr>
            <w:rStyle w:val="Hyperlink"/>
          </w:rPr>
          <w:t>e.c.ozsoy2@exeter.ac.uk</w:t>
        </w:r>
      </w:hyperlink>
      <w:r w:rsidR="00601895">
        <w:t xml:space="preserve">. </w:t>
      </w:r>
    </w:p>
  </w:footnote>
  <w:footnote w:id="2">
    <w:p w14:paraId="7270C27B" w14:textId="73D8C672" w:rsidR="006F1301" w:rsidRDefault="006F1301">
      <w:pPr>
        <w:pStyle w:val="FootnoteText"/>
      </w:pPr>
      <w:r>
        <w:rPr>
          <w:rStyle w:val="FootnoteReference"/>
        </w:rPr>
        <w:t>**</w:t>
      </w:r>
      <w:r>
        <w:t xml:space="preserve"> </w:t>
      </w:r>
      <w:r w:rsidR="00D11A38">
        <w:t>Honorary Fellow, Keele University, UK.</w:t>
      </w:r>
      <w:r w:rsidR="00433200">
        <w:t xml:space="preserve"> </w:t>
      </w:r>
      <w:r w:rsidR="00433200" w:rsidRPr="00F23789">
        <w:rPr>
          <w:rFonts w:asciiTheme="minorHAnsi" w:hAnsiTheme="minorHAnsi" w:cstheme="minorHAnsi"/>
        </w:rPr>
        <w:t xml:space="preserve">We would like to thank all our interviewees for their time and trust in us. We are grateful for their activism and contribution to our research by sharing their experience and knowledge. We would also like to thank Lucie Akerman, </w:t>
      </w:r>
      <w:proofErr w:type="spellStart"/>
      <w:r w:rsidR="00433200" w:rsidRPr="00F23789">
        <w:rPr>
          <w:rFonts w:asciiTheme="minorHAnsi" w:hAnsiTheme="minorHAnsi" w:cstheme="minorHAnsi"/>
        </w:rPr>
        <w:t>Xianan</w:t>
      </w:r>
      <w:proofErr w:type="spellEnd"/>
      <w:r w:rsidR="00433200" w:rsidRPr="00F23789">
        <w:rPr>
          <w:rFonts w:asciiTheme="minorHAnsi" w:hAnsiTheme="minorHAnsi" w:cstheme="minorHAnsi"/>
        </w:rPr>
        <w:t xml:space="preserve"> Jin, Shubranshu Mishra, Catherine Owen and Karen Scott for sparing their time to read our article and for their caring and critical comments.</w:t>
      </w:r>
    </w:p>
  </w:footnote>
  <w:footnote w:id="3">
    <w:p w14:paraId="07C257FD" w14:textId="4CD96B38" w:rsidR="00DA04B3" w:rsidRDefault="00DA04B3" w:rsidP="00DA04B3">
      <w:pPr>
        <w:pStyle w:val="FootnoteText"/>
      </w:pPr>
      <w:r>
        <w:rPr>
          <w:rStyle w:val="FootnoteReference"/>
        </w:rPr>
        <w:footnoteRef/>
      </w:r>
      <w:r>
        <w:t xml:space="preserve"> Official Gazette </w:t>
      </w:r>
      <w:r w:rsidR="00106C3A">
        <w:t xml:space="preserve">of </w:t>
      </w:r>
      <w:r w:rsidR="00604719" w:rsidRPr="00604719">
        <w:t>T</w:t>
      </w:r>
      <w:r w:rsidR="00604719" w:rsidRPr="00604719">
        <w:rPr>
          <w:lang w:val="tr-TR"/>
        </w:rPr>
        <w:t>ü</w:t>
      </w:r>
      <w:proofErr w:type="spellStart"/>
      <w:r w:rsidR="00604719" w:rsidRPr="00604719">
        <w:t>rkiye</w:t>
      </w:r>
      <w:proofErr w:type="spellEnd"/>
      <w:r w:rsidR="00604719">
        <w:t xml:space="preserve"> </w:t>
      </w:r>
      <w:r w:rsidR="004A7960">
        <w:t xml:space="preserve">(20 March 2021), </w:t>
      </w:r>
      <w:r w:rsidR="00604719">
        <w:t>No</w:t>
      </w:r>
      <w:r>
        <w:t>: 31429</w:t>
      </w:r>
      <w:r w:rsidR="004A7960">
        <w:t xml:space="preserve">, p </w:t>
      </w:r>
      <w:r>
        <w:t>268</w:t>
      </w:r>
      <w:r w:rsidR="004A7960">
        <w:t xml:space="preserve">. Available at: </w:t>
      </w:r>
      <w:hyperlink r:id="rId2" w:history="1">
        <w:r w:rsidR="0009208A" w:rsidRPr="00592852">
          <w:rPr>
            <w:rStyle w:val="Hyperlink"/>
          </w:rPr>
          <w:t>https://www.resmigazete.gov.tr/eskiler/2021/03/20210320.pdf</w:t>
        </w:r>
      </w:hyperlink>
      <w:r>
        <w:t xml:space="preserve"> accessed 6 June 2023.</w:t>
      </w:r>
      <w:r w:rsidR="00CA0DED">
        <w:t xml:space="preserve"> Note, all translations from Turkish to English </w:t>
      </w:r>
      <w:r w:rsidR="00974682">
        <w:t xml:space="preserve">for the purposes of this article have been done by the authors. </w:t>
      </w:r>
    </w:p>
  </w:footnote>
  <w:footnote w:id="4">
    <w:p w14:paraId="04E883D5" w14:textId="6E3496B5" w:rsidR="003F0565" w:rsidRPr="0022275D" w:rsidRDefault="003F0565" w:rsidP="003F0565">
      <w:pPr>
        <w:pStyle w:val="FootnoteText"/>
      </w:pPr>
      <w:r w:rsidRPr="0022275D">
        <w:rPr>
          <w:rStyle w:val="FootnoteReference"/>
        </w:rPr>
        <w:footnoteRef/>
      </w:r>
      <w:r w:rsidRPr="0022275D">
        <w:t xml:space="preserve"> </w:t>
      </w:r>
      <w:r w:rsidR="00C30F88">
        <w:t>See</w:t>
      </w:r>
      <w:r w:rsidR="002C2103">
        <w:t xml:space="preserve"> public post </w:t>
      </w:r>
      <w:r w:rsidR="006B3EB8">
        <w:t xml:space="preserve">by </w:t>
      </w:r>
      <w:r w:rsidR="006B3EB8" w:rsidRPr="006B3EB8">
        <w:t xml:space="preserve">Recep Tayyip Erdogan </w:t>
      </w:r>
      <w:r w:rsidR="00333F32">
        <w:t>on social media platform Twitter (no</w:t>
      </w:r>
      <w:r w:rsidR="006B3EB8">
        <w:t>w</w:t>
      </w:r>
      <w:r w:rsidR="00333F32">
        <w:t xml:space="preserve"> known as</w:t>
      </w:r>
      <w:r w:rsidR="002C2103">
        <w:t xml:space="preserve"> </w:t>
      </w:r>
      <w:r w:rsidR="00333F32">
        <w:t>X</w:t>
      </w:r>
      <w:r w:rsidR="002C2103">
        <w:t>)</w:t>
      </w:r>
      <w:r w:rsidR="00333F32">
        <w:t xml:space="preserve"> </w:t>
      </w:r>
      <w:r w:rsidR="006B3EB8">
        <w:t>on 3 June 2011</w:t>
      </w:r>
      <w:r w:rsidR="00974682">
        <w:t>, available at</w:t>
      </w:r>
      <w:r w:rsidR="00333F32">
        <w:t xml:space="preserve"> </w:t>
      </w:r>
      <w:hyperlink r:id="rId3" w:history="1">
        <w:r w:rsidR="006B3EB8" w:rsidRPr="003067D5">
          <w:rPr>
            <w:rStyle w:val="Hyperlink"/>
          </w:rPr>
          <w:t>https://twitter.com/RTErdogan/status/76645089455247361</w:t>
        </w:r>
      </w:hyperlink>
      <w:r w:rsidRPr="0022275D">
        <w:t xml:space="preserve"> accessed 24 Dec 2022 at 20:27. </w:t>
      </w:r>
      <w:r w:rsidR="00C42EEC">
        <w:t>The Istanbul Convention</w:t>
      </w:r>
      <w:r w:rsidR="00444863" w:rsidRPr="0022275D">
        <w:t xml:space="preserve"> was opened for signature in May 2011 and </w:t>
      </w:r>
      <w:r w:rsidR="00277033">
        <w:t xml:space="preserve">entered </w:t>
      </w:r>
      <w:r w:rsidR="00444863" w:rsidRPr="0022275D">
        <w:t xml:space="preserve">into force in </w:t>
      </w:r>
      <w:r w:rsidR="004A3CBA">
        <w:t xml:space="preserve">August </w:t>
      </w:r>
      <w:r w:rsidR="00444863" w:rsidRPr="0022275D">
        <w:t>2014.</w:t>
      </w:r>
      <w:r w:rsidR="00BA18B5">
        <w:t xml:space="preserve"> See further: </w:t>
      </w:r>
      <w:hyperlink r:id="rId4" w:history="1">
        <w:r w:rsidR="007801C9" w:rsidRPr="00174B29">
          <w:rPr>
            <w:rStyle w:val="Hyperlink"/>
          </w:rPr>
          <w:t>https://www.coe.int/en/web/conventions/full-list?module=treaty-detail&amp;treatynum=210</w:t>
        </w:r>
      </w:hyperlink>
      <w:r w:rsidR="007801C9">
        <w:t xml:space="preserve"> accessed 8 August 2023.</w:t>
      </w:r>
    </w:p>
  </w:footnote>
  <w:footnote w:id="5">
    <w:p w14:paraId="5B67755B" w14:textId="042D2534" w:rsidR="003F0565" w:rsidRPr="0022275D" w:rsidRDefault="003F0565" w:rsidP="003F0565">
      <w:pPr>
        <w:pStyle w:val="FootnoteText"/>
      </w:pPr>
      <w:r w:rsidRPr="0022275D">
        <w:rPr>
          <w:rStyle w:val="FootnoteReference"/>
        </w:rPr>
        <w:footnoteRef/>
      </w:r>
      <w:r w:rsidRPr="0022275D">
        <w:t xml:space="preserve"> </w:t>
      </w:r>
      <w:proofErr w:type="spellStart"/>
      <w:r w:rsidRPr="0022275D">
        <w:t>İlayda</w:t>
      </w:r>
      <w:proofErr w:type="spellEnd"/>
      <w:r w:rsidRPr="0022275D">
        <w:t xml:space="preserve"> </w:t>
      </w:r>
      <w:proofErr w:type="spellStart"/>
      <w:r w:rsidRPr="0022275D">
        <w:t>Eskitaşçıoğlu</w:t>
      </w:r>
      <w:proofErr w:type="spellEnd"/>
      <w:r w:rsidRPr="0022275D">
        <w:t>, ‘Turkey’s Withdrawal from the Istanbul Convention</w:t>
      </w:r>
      <w:r w:rsidR="00E1725E">
        <w:t xml:space="preserve">: </w:t>
      </w:r>
      <w:r w:rsidRPr="0022275D">
        <w:t>A Sudden Presidential Decision in the Dead of the Night and an Alarming Setback</w:t>
      </w:r>
      <w:r w:rsidR="00EB2751">
        <w:t>’,</w:t>
      </w:r>
      <w:r w:rsidR="007E59B7">
        <w:t xml:space="preserve"> </w:t>
      </w:r>
      <w:proofErr w:type="spellStart"/>
      <w:r w:rsidRPr="007E59B7">
        <w:rPr>
          <w:i/>
          <w:iCs/>
        </w:rPr>
        <w:t>Völkerrechtsblog</w:t>
      </w:r>
      <w:proofErr w:type="spellEnd"/>
      <w:r w:rsidR="001017BF" w:rsidRPr="007E59B7">
        <w:rPr>
          <w:i/>
          <w:iCs/>
        </w:rPr>
        <w:t xml:space="preserve"> on International Law and </w:t>
      </w:r>
      <w:r w:rsidR="007E59B7" w:rsidRPr="007E59B7">
        <w:rPr>
          <w:i/>
          <w:iCs/>
        </w:rPr>
        <w:t>International Legal Thought</w:t>
      </w:r>
      <w:r w:rsidRPr="0022275D">
        <w:t>,</w:t>
      </w:r>
      <w:r w:rsidR="007E59B7">
        <w:t xml:space="preserve"> </w:t>
      </w:r>
      <w:r w:rsidR="00EB2751">
        <w:t xml:space="preserve">27 March 2022, </w:t>
      </w:r>
      <w:r w:rsidR="007E59B7">
        <w:t>available at</w:t>
      </w:r>
      <w:r>
        <w:t xml:space="preserve"> </w:t>
      </w:r>
      <w:hyperlink r:id="rId5" w:history="1">
        <w:r w:rsidRPr="0022275D">
          <w:rPr>
            <w:rStyle w:val="Hyperlink"/>
          </w:rPr>
          <w:t>https://voelkerrechtsblog.org/de/turkeys-withdrawal-from-the-istanbul-convention/</w:t>
        </w:r>
      </w:hyperlink>
      <w:r w:rsidRPr="0022275D">
        <w:t xml:space="preserve"> accessed</w:t>
      </w:r>
      <w:r>
        <w:t xml:space="preserve"> 24 Dec 2022.</w:t>
      </w:r>
    </w:p>
  </w:footnote>
  <w:footnote w:id="6">
    <w:p w14:paraId="6DBA1935" w14:textId="0B91BDA7" w:rsidR="00160317" w:rsidRDefault="00160317">
      <w:pPr>
        <w:pStyle w:val="FootnoteText"/>
      </w:pPr>
      <w:r>
        <w:rPr>
          <w:rStyle w:val="FootnoteReference"/>
        </w:rPr>
        <w:footnoteRef/>
      </w:r>
      <w:r>
        <w:t xml:space="preserve"> </w:t>
      </w:r>
      <w:hyperlink r:id="rId6" w:history="1">
        <w:r w:rsidR="007E59B7" w:rsidRPr="003067D5">
          <w:rPr>
            <w:rStyle w:val="Hyperlink"/>
          </w:rPr>
          <w:t>https://esikplatform.net</w:t>
        </w:r>
      </w:hyperlink>
      <w:r w:rsidR="007E59B7">
        <w:t xml:space="preserve"> </w:t>
      </w:r>
      <w:r w:rsidR="00103942">
        <w:t>accessed 13 April 2023.</w:t>
      </w:r>
    </w:p>
  </w:footnote>
  <w:footnote w:id="7">
    <w:p w14:paraId="4ABDF493" w14:textId="0AE72D0E" w:rsidR="003B47DF" w:rsidRDefault="003B47DF">
      <w:pPr>
        <w:pStyle w:val="FootnoteText"/>
      </w:pPr>
      <w:r>
        <w:rPr>
          <w:rStyle w:val="FootnoteReference"/>
        </w:rPr>
        <w:footnoteRef/>
      </w:r>
      <w:r>
        <w:t xml:space="preserve"> </w:t>
      </w:r>
      <w:r w:rsidR="00277033">
        <w:t>For more information</w:t>
      </w:r>
      <w:r w:rsidR="00BB6C97">
        <w:t>, see</w:t>
      </w:r>
      <w:r w:rsidR="00AB7EE6">
        <w:t xml:space="preserve"> the day-to-day chronology </w:t>
      </w:r>
      <w:r w:rsidR="00B32437">
        <w:t>compiled</w:t>
      </w:r>
      <w:r w:rsidR="00AB7EE6">
        <w:t xml:space="preserve"> by</w:t>
      </w:r>
      <w:r w:rsidR="00AB7EE6" w:rsidRPr="00AB7EE6">
        <w:rPr>
          <w:rFonts w:ascii="Exo" w:hAnsi="Exo"/>
          <w:color w:val="191614"/>
          <w:sz w:val="26"/>
          <w:szCs w:val="26"/>
          <w:shd w:val="clear" w:color="auto" w:fill="F7F7F7"/>
        </w:rPr>
        <w:t xml:space="preserve"> </w:t>
      </w:r>
      <w:r w:rsidR="00AB7EE6" w:rsidRPr="00AB7EE6">
        <w:t>Women for Women’s Human Rights (WWHR) – New Ways Association</w:t>
      </w:r>
      <w:r w:rsidR="007643A2">
        <w:t>, available at</w:t>
      </w:r>
      <w:r w:rsidR="00277033">
        <w:t xml:space="preserve"> </w:t>
      </w:r>
      <w:hyperlink r:id="rId7" w:history="1">
        <w:r w:rsidR="006F4F7E" w:rsidRPr="003067D5">
          <w:rPr>
            <w:rStyle w:val="Hyperlink"/>
          </w:rPr>
          <w:t>https://istanbulsozlesmesi.org/day-to-day-chronology/</w:t>
        </w:r>
      </w:hyperlink>
      <w:r w:rsidR="006F4F7E">
        <w:t xml:space="preserve"> </w:t>
      </w:r>
      <w:r w:rsidR="00277033">
        <w:t>accessed 2 June 2023.</w:t>
      </w:r>
    </w:p>
  </w:footnote>
  <w:footnote w:id="8">
    <w:p w14:paraId="463EDCFA" w14:textId="141C7225" w:rsidR="00C72762" w:rsidRDefault="00C72762">
      <w:pPr>
        <w:pStyle w:val="FootnoteText"/>
      </w:pPr>
      <w:r>
        <w:rPr>
          <w:rStyle w:val="FootnoteReference"/>
        </w:rPr>
        <w:footnoteRef/>
      </w:r>
      <w:r w:rsidR="007643A2">
        <w:t xml:space="preserve"> For further detail, see </w:t>
      </w:r>
      <w:r w:rsidR="007643A2" w:rsidRPr="007643A2">
        <w:t>EŞİK</w:t>
      </w:r>
      <w:r w:rsidR="007643A2">
        <w:t xml:space="preserve"> platform, available at</w:t>
      </w:r>
      <w:r>
        <w:t xml:space="preserve"> </w:t>
      </w:r>
      <w:hyperlink r:id="rId8" w:history="1">
        <w:r w:rsidR="00103942" w:rsidRPr="00E93E75">
          <w:rPr>
            <w:rStyle w:val="Hyperlink"/>
          </w:rPr>
          <w:t>https://esikplatform.net/kategori/istanbul-sozlesmesi-basin-aciklamalari/72142/istanbulsozlesmesi10yasinda/</w:t>
        </w:r>
      </w:hyperlink>
      <w:r w:rsidR="00103942">
        <w:t xml:space="preserve"> accessed 13 April 2023.</w:t>
      </w:r>
    </w:p>
  </w:footnote>
  <w:footnote w:id="9">
    <w:p w14:paraId="426E52C1" w14:textId="659027F6" w:rsidR="0093430E" w:rsidRDefault="0093430E">
      <w:pPr>
        <w:pStyle w:val="FootnoteText"/>
      </w:pPr>
      <w:r>
        <w:rPr>
          <w:rStyle w:val="FootnoteReference"/>
        </w:rPr>
        <w:footnoteRef/>
      </w:r>
      <w:r>
        <w:t xml:space="preserve"> </w:t>
      </w:r>
      <w:r w:rsidRPr="0022275D">
        <w:t xml:space="preserve">Sally Engle Merry, ‘Transnational Human Rights and Local Activism: Mapping the Middle’ (2006) </w:t>
      </w:r>
      <w:r w:rsidRPr="002B6BF7">
        <w:rPr>
          <w:i/>
          <w:iCs/>
        </w:rPr>
        <w:t xml:space="preserve">American </w:t>
      </w:r>
      <w:r w:rsidR="001654D7" w:rsidRPr="002B6BF7">
        <w:rPr>
          <w:i/>
          <w:iCs/>
        </w:rPr>
        <w:t>Anthropologist</w:t>
      </w:r>
      <w:r w:rsidR="002B6BF7">
        <w:t xml:space="preserve"> </w:t>
      </w:r>
      <w:r w:rsidRPr="0022275D">
        <w:t>108, 38-51</w:t>
      </w:r>
      <w:r>
        <w:t>;</w:t>
      </w:r>
      <w:r w:rsidRPr="00885282">
        <w:t xml:space="preserve"> </w:t>
      </w:r>
      <w:r>
        <w:t>Margaret Davies, ‘Feminism and Flat Law’ (2008</w:t>
      </w:r>
      <w:r w:rsidRPr="002B4DFD">
        <w:t>)</w:t>
      </w:r>
      <w:r w:rsidRPr="00D73178">
        <w:rPr>
          <w:i/>
          <w:iCs/>
        </w:rPr>
        <w:t xml:space="preserve"> Feminist Legal Studies</w:t>
      </w:r>
      <w:r w:rsidR="00D73178">
        <w:t xml:space="preserve"> </w:t>
      </w:r>
      <w:r w:rsidRPr="00723DDF">
        <w:t>16, 281</w:t>
      </w:r>
      <w:r w:rsidR="00162F05">
        <w:t>-</w:t>
      </w:r>
      <w:r w:rsidRPr="00723DDF">
        <w:t>304</w:t>
      </w:r>
      <w:r>
        <w:t>;</w:t>
      </w:r>
      <w:r w:rsidRPr="0093430E">
        <w:t xml:space="preserve"> </w:t>
      </w:r>
      <w:r>
        <w:t>Zoe Pearson, ‘Spaces of International Law’</w:t>
      </w:r>
      <w:r w:rsidRPr="0006398B">
        <w:t xml:space="preserve"> </w:t>
      </w:r>
      <w:r>
        <w:t xml:space="preserve">(2008) </w:t>
      </w:r>
      <w:r w:rsidRPr="00D73178">
        <w:rPr>
          <w:i/>
          <w:iCs/>
        </w:rPr>
        <w:t>Griffith Law Review</w:t>
      </w:r>
      <w:r w:rsidRPr="0006398B">
        <w:t xml:space="preserve"> 17</w:t>
      </w:r>
      <w:r w:rsidR="00D73178">
        <w:t>,</w:t>
      </w:r>
      <w:r w:rsidRPr="0006398B">
        <w:t xml:space="preserve"> 489</w:t>
      </w:r>
      <w:r w:rsidR="00162F05">
        <w:t>-</w:t>
      </w:r>
      <w:r w:rsidRPr="0006398B">
        <w:t>514</w:t>
      </w:r>
      <w:r>
        <w:t xml:space="preserve">. </w:t>
      </w:r>
    </w:p>
  </w:footnote>
  <w:footnote w:id="10">
    <w:p w14:paraId="7DCA4B86" w14:textId="439AF7C0" w:rsidR="00EF1299" w:rsidRDefault="00EF1299" w:rsidP="00EF1299">
      <w:pPr>
        <w:pStyle w:val="FootnoteText"/>
      </w:pPr>
      <w:r>
        <w:rPr>
          <w:rStyle w:val="FootnoteReference"/>
        </w:rPr>
        <w:footnoteRef/>
      </w:r>
      <w:r>
        <w:t xml:space="preserve"> </w:t>
      </w:r>
      <w:r w:rsidR="006E4F0E">
        <w:t>Ibid.</w:t>
      </w:r>
    </w:p>
  </w:footnote>
  <w:footnote w:id="11">
    <w:p w14:paraId="4F94F186" w14:textId="2DE0D594" w:rsidR="0026454C" w:rsidRDefault="0026454C">
      <w:pPr>
        <w:pStyle w:val="FootnoteText"/>
      </w:pPr>
      <w:r>
        <w:rPr>
          <w:rStyle w:val="FootnoteReference"/>
        </w:rPr>
        <w:footnoteRef/>
      </w:r>
      <w:r>
        <w:t xml:space="preserve"> On this configuration of law in the international context, see further</w:t>
      </w:r>
      <w:r w:rsidR="00465363">
        <w:t xml:space="preserve">, </w:t>
      </w:r>
      <w:r w:rsidRPr="0026454C">
        <w:t xml:space="preserve">Jacob Katz Cogan, ‘A History of International Law in the Vernacular’ (2020) </w:t>
      </w:r>
      <w:r w:rsidRPr="0026454C">
        <w:rPr>
          <w:i/>
          <w:iCs/>
        </w:rPr>
        <w:t>Journal of the History of International Law</w:t>
      </w:r>
      <w:r w:rsidRPr="0026454C">
        <w:t xml:space="preserve"> 22, 205-217.</w:t>
      </w:r>
    </w:p>
  </w:footnote>
  <w:footnote w:id="12">
    <w:p w14:paraId="2FE05D19" w14:textId="3220B8FA" w:rsidR="00AD4A23" w:rsidRDefault="00AD4A23" w:rsidP="00AD4A23">
      <w:pPr>
        <w:pStyle w:val="FootnoteText"/>
      </w:pPr>
      <w:r>
        <w:rPr>
          <w:rStyle w:val="FootnoteReference"/>
        </w:rPr>
        <w:footnoteRef/>
      </w:r>
      <w:r>
        <w:t xml:space="preserve"> Katherine Brickell and Dana Cuomo</w:t>
      </w:r>
      <w:r w:rsidR="000D458B">
        <w:t>, ‘</w:t>
      </w:r>
      <w:r>
        <w:t xml:space="preserve">Feminist </w:t>
      </w:r>
      <w:proofErr w:type="spellStart"/>
      <w:r>
        <w:t>Geolegality</w:t>
      </w:r>
      <w:proofErr w:type="spellEnd"/>
      <w:r w:rsidR="000706FC">
        <w:t>’</w:t>
      </w:r>
      <w:r>
        <w:t xml:space="preserve"> (201</w:t>
      </w:r>
      <w:r w:rsidR="000706FC">
        <w:t>9</w:t>
      </w:r>
      <w:r>
        <w:t xml:space="preserve">) </w:t>
      </w:r>
      <w:r w:rsidRPr="006E4F0E">
        <w:rPr>
          <w:i/>
          <w:iCs/>
        </w:rPr>
        <w:t>Progress in Human Geography</w:t>
      </w:r>
      <w:r w:rsidR="006E4F0E">
        <w:t xml:space="preserve"> </w:t>
      </w:r>
      <w:r>
        <w:t>43,</w:t>
      </w:r>
      <w:r w:rsidR="000706FC">
        <w:t xml:space="preserve"> 104-122.</w:t>
      </w:r>
    </w:p>
  </w:footnote>
  <w:footnote w:id="13">
    <w:p w14:paraId="0E0206CD" w14:textId="1AEE5DB2" w:rsidR="007A3CB2" w:rsidRDefault="007A3CB2">
      <w:pPr>
        <w:pStyle w:val="FootnoteText"/>
      </w:pPr>
      <w:r>
        <w:rPr>
          <w:rStyle w:val="FootnoteReference"/>
        </w:rPr>
        <w:footnoteRef/>
      </w:r>
      <w:r>
        <w:t xml:space="preserve"> </w:t>
      </w:r>
      <w:r w:rsidRPr="0040798B">
        <w:t>Hilary Charlesworth, ‘Feminist Critiques of International Law and Their</w:t>
      </w:r>
      <w:r>
        <w:t xml:space="preserve"> </w:t>
      </w:r>
      <w:r w:rsidRPr="0040798B">
        <w:t>Critics’ (1995)</w:t>
      </w:r>
      <w:r>
        <w:t xml:space="preserve"> 13</w:t>
      </w:r>
      <w:r w:rsidRPr="0040798B">
        <w:t xml:space="preserve"> </w:t>
      </w:r>
      <w:r w:rsidRPr="00017AFC">
        <w:rPr>
          <w:i/>
          <w:iCs/>
        </w:rPr>
        <w:t>Third World Legal Stu</w:t>
      </w:r>
      <w:r w:rsidR="00017AFC">
        <w:rPr>
          <w:i/>
          <w:iCs/>
        </w:rPr>
        <w:t>dies</w:t>
      </w:r>
      <w:r w:rsidR="00017AFC">
        <w:t xml:space="preserve"> </w:t>
      </w:r>
      <w:r w:rsidRPr="0040798B">
        <w:t>Article 1</w:t>
      </w:r>
      <w:r>
        <w:t xml:space="preserve">; Drucilla Cornell, </w:t>
      </w:r>
      <w:r w:rsidRPr="00E05135">
        <w:t>‘The Philosophy of the Limit: Systems Theory and Feminist Legal Reform’ (1991</w:t>
      </w:r>
      <w:r>
        <w:t>–</w:t>
      </w:r>
      <w:r w:rsidRPr="00E05135">
        <w:t xml:space="preserve">1992) </w:t>
      </w:r>
      <w:r w:rsidRPr="00523ED8">
        <w:rPr>
          <w:i/>
          <w:iCs/>
        </w:rPr>
        <w:t>New Engl</w:t>
      </w:r>
      <w:r w:rsidR="00523ED8" w:rsidRPr="00523ED8">
        <w:rPr>
          <w:i/>
          <w:iCs/>
        </w:rPr>
        <w:t>and</w:t>
      </w:r>
      <w:r w:rsidRPr="00523ED8">
        <w:rPr>
          <w:i/>
          <w:iCs/>
        </w:rPr>
        <w:t xml:space="preserve"> L</w:t>
      </w:r>
      <w:r w:rsidR="00523ED8" w:rsidRPr="00523ED8">
        <w:rPr>
          <w:i/>
          <w:iCs/>
        </w:rPr>
        <w:t>aw</w:t>
      </w:r>
      <w:r w:rsidRPr="00523ED8">
        <w:rPr>
          <w:i/>
          <w:iCs/>
        </w:rPr>
        <w:t xml:space="preserve"> Rev</w:t>
      </w:r>
      <w:r w:rsidR="00523ED8" w:rsidRPr="00523ED8">
        <w:rPr>
          <w:i/>
          <w:iCs/>
        </w:rPr>
        <w:t>iew</w:t>
      </w:r>
      <w:r w:rsidRPr="00E05135">
        <w:t xml:space="preserve"> </w:t>
      </w:r>
      <w:r w:rsidR="00701B8D">
        <w:t xml:space="preserve">26, </w:t>
      </w:r>
      <w:r w:rsidRPr="00E05135">
        <w:t>783</w:t>
      </w:r>
      <w:r w:rsidR="00741FDD">
        <w:t>-</w:t>
      </w:r>
      <w:r w:rsidR="00624F08">
        <w:t>804;</w:t>
      </w:r>
      <w:r>
        <w:t xml:space="preserve"> Elena </w:t>
      </w:r>
      <w:proofErr w:type="spellStart"/>
      <w:r>
        <w:t>Louzidou</w:t>
      </w:r>
      <w:proofErr w:type="spellEnd"/>
      <w:r>
        <w:t xml:space="preserve">, </w:t>
      </w:r>
      <w:r w:rsidRPr="0094070F">
        <w:rPr>
          <w:i/>
          <w:iCs/>
        </w:rPr>
        <w:t>Judith Butler: Ethics, Law, Politics</w:t>
      </w:r>
      <w:r>
        <w:t xml:space="preserve"> (</w:t>
      </w:r>
      <w:r w:rsidR="00624F08">
        <w:t>Routledge</w:t>
      </w:r>
      <w:r w:rsidR="004C0949">
        <w:t xml:space="preserve"> 2007</w:t>
      </w:r>
      <w:r>
        <w:t>) 19.</w:t>
      </w:r>
    </w:p>
  </w:footnote>
  <w:footnote w:id="14">
    <w:p w14:paraId="72C35D7B" w14:textId="5803B3BE" w:rsidR="00AD4A23" w:rsidRDefault="00AD4A23" w:rsidP="00AD4A23">
      <w:pPr>
        <w:pStyle w:val="FootnoteText"/>
      </w:pPr>
      <w:r>
        <w:rPr>
          <w:rStyle w:val="FootnoteReference"/>
        </w:rPr>
        <w:footnoteRef/>
      </w:r>
      <w:r>
        <w:t xml:space="preserve"> </w:t>
      </w:r>
      <w:r w:rsidRPr="00653CE7">
        <w:t xml:space="preserve">Sari </w:t>
      </w:r>
      <w:proofErr w:type="spellStart"/>
      <w:r w:rsidRPr="00653CE7">
        <w:t>Kouvo</w:t>
      </w:r>
      <w:proofErr w:type="spellEnd"/>
      <w:r w:rsidRPr="00653CE7">
        <w:t xml:space="preserve"> and Zoe Pearson ‘</w:t>
      </w:r>
      <w:r>
        <w:t>Introduction</w:t>
      </w:r>
      <w:r w:rsidRPr="00653CE7">
        <w:t xml:space="preserve">’ in Sari </w:t>
      </w:r>
      <w:proofErr w:type="spellStart"/>
      <w:r w:rsidRPr="00653CE7">
        <w:t>Kouvo</w:t>
      </w:r>
      <w:proofErr w:type="spellEnd"/>
      <w:r w:rsidRPr="00653CE7">
        <w:t xml:space="preserve"> and Zoe Pearson (eds), </w:t>
      </w:r>
      <w:r w:rsidRPr="002F6655">
        <w:rPr>
          <w:i/>
          <w:iCs/>
        </w:rPr>
        <w:t>Feminist Perspectives on Contemporary International Law: Between Resistance and Compliance?</w:t>
      </w:r>
      <w:r w:rsidRPr="00653CE7">
        <w:t xml:space="preserve"> (Hart Publishing</w:t>
      </w:r>
      <w:r w:rsidR="003F52B9">
        <w:t xml:space="preserve"> 2014</w:t>
      </w:r>
      <w:r w:rsidRPr="00653CE7">
        <w:t>)</w:t>
      </w:r>
      <w:r w:rsidR="003E323B">
        <w:t>.</w:t>
      </w:r>
    </w:p>
  </w:footnote>
  <w:footnote w:id="15">
    <w:p w14:paraId="3FCBCB46" w14:textId="05C29BD5" w:rsidR="00F1167E" w:rsidRDefault="00F1167E" w:rsidP="00F1167E">
      <w:pPr>
        <w:pStyle w:val="FootnoteText"/>
      </w:pPr>
      <w:r>
        <w:rPr>
          <w:rStyle w:val="FootnoteReference"/>
        </w:rPr>
        <w:footnoteRef/>
      </w:r>
      <w:r>
        <w:t xml:space="preserve"> </w:t>
      </w:r>
      <w:r w:rsidR="000C4DA7">
        <w:t xml:space="preserve">Merry, </w:t>
      </w:r>
      <w:r w:rsidR="00074D0D">
        <w:t>Davies and Pearson</w:t>
      </w:r>
      <w:r w:rsidR="005C7FC0">
        <w:t xml:space="preserve"> (</w:t>
      </w:r>
      <w:r w:rsidR="00074D0D">
        <w:t>n 7</w:t>
      </w:r>
      <w:r w:rsidR="005C7FC0">
        <w:t>)</w:t>
      </w:r>
      <w:r w:rsidR="00074D0D">
        <w:t>.</w:t>
      </w:r>
      <w:r>
        <w:t xml:space="preserve"> </w:t>
      </w:r>
    </w:p>
  </w:footnote>
  <w:footnote w:id="16">
    <w:p w14:paraId="3766B4A9" w14:textId="1FEC6411" w:rsidR="00E91153" w:rsidRDefault="00E91153">
      <w:pPr>
        <w:pStyle w:val="FootnoteText"/>
      </w:pPr>
      <w:r>
        <w:rPr>
          <w:rStyle w:val="FootnoteReference"/>
        </w:rPr>
        <w:footnoteRef/>
      </w:r>
      <w:r>
        <w:t xml:space="preserve"> </w:t>
      </w:r>
      <w:r w:rsidR="003E45AF">
        <w:t>H</w:t>
      </w:r>
      <w:r w:rsidR="003E45AF" w:rsidRPr="00A74C2E">
        <w:t xml:space="preserve">ayrunnisa </w:t>
      </w:r>
      <w:proofErr w:type="spellStart"/>
      <w:r w:rsidR="003E45AF">
        <w:t>Dokuyucu</w:t>
      </w:r>
      <w:proofErr w:type="spellEnd"/>
      <w:r w:rsidR="003E45AF">
        <w:t xml:space="preserve"> Solak,</w:t>
      </w:r>
      <w:r w:rsidR="003E45AF" w:rsidRPr="00A74C2E">
        <w:t xml:space="preserve"> </w:t>
      </w:r>
      <w:r w:rsidR="00AF198A">
        <w:t>‘</w:t>
      </w:r>
      <w:r w:rsidR="003E45AF" w:rsidRPr="00A74C2E">
        <w:t>Gender Tendencies</w:t>
      </w:r>
      <w:r w:rsidR="003E45AF">
        <w:t xml:space="preserve"> </w:t>
      </w:r>
      <w:r w:rsidR="003E45AF" w:rsidRPr="00A74C2E">
        <w:t>of Conservative Women in the Context of the Istanbul Convention</w:t>
      </w:r>
      <w:r w:rsidR="003E45AF">
        <w:t>’</w:t>
      </w:r>
      <w:r w:rsidR="00E07DC5">
        <w:t xml:space="preserve"> </w:t>
      </w:r>
      <w:r w:rsidR="003E45AF">
        <w:t>(2022)</w:t>
      </w:r>
      <w:r w:rsidR="00E07DC5">
        <w:t xml:space="preserve"> </w:t>
      </w:r>
      <w:proofErr w:type="spellStart"/>
      <w:r w:rsidR="003E45AF" w:rsidRPr="00E07DC5">
        <w:rPr>
          <w:i/>
          <w:iCs/>
        </w:rPr>
        <w:t>Şırnak</w:t>
      </w:r>
      <w:proofErr w:type="spellEnd"/>
      <w:r w:rsidR="003E45AF" w:rsidRPr="00E07DC5">
        <w:rPr>
          <w:i/>
          <w:iCs/>
        </w:rPr>
        <w:t xml:space="preserve"> </w:t>
      </w:r>
      <w:proofErr w:type="spellStart"/>
      <w:r w:rsidR="003E45AF" w:rsidRPr="00E07DC5">
        <w:rPr>
          <w:i/>
          <w:iCs/>
        </w:rPr>
        <w:t>Üniversitesi</w:t>
      </w:r>
      <w:proofErr w:type="spellEnd"/>
      <w:r w:rsidR="003E45AF" w:rsidRPr="00E07DC5">
        <w:rPr>
          <w:i/>
          <w:iCs/>
        </w:rPr>
        <w:t xml:space="preserve"> </w:t>
      </w:r>
      <w:proofErr w:type="spellStart"/>
      <w:r w:rsidR="003E45AF" w:rsidRPr="00E07DC5">
        <w:rPr>
          <w:i/>
          <w:iCs/>
        </w:rPr>
        <w:t>İlahiyat</w:t>
      </w:r>
      <w:proofErr w:type="spellEnd"/>
      <w:r w:rsidR="003E45AF" w:rsidRPr="00E07DC5">
        <w:rPr>
          <w:i/>
          <w:iCs/>
        </w:rPr>
        <w:t xml:space="preserve"> </w:t>
      </w:r>
      <w:proofErr w:type="spellStart"/>
      <w:r w:rsidR="003E45AF" w:rsidRPr="00E07DC5">
        <w:rPr>
          <w:i/>
          <w:iCs/>
        </w:rPr>
        <w:t>Fakültesi</w:t>
      </w:r>
      <w:proofErr w:type="spellEnd"/>
      <w:r w:rsidR="003E45AF" w:rsidRPr="00E07DC5">
        <w:rPr>
          <w:i/>
          <w:iCs/>
        </w:rPr>
        <w:t xml:space="preserve"> </w:t>
      </w:r>
      <w:proofErr w:type="spellStart"/>
      <w:r w:rsidR="003E45AF" w:rsidRPr="00E07DC5">
        <w:rPr>
          <w:i/>
          <w:iCs/>
        </w:rPr>
        <w:t>Dergisi</w:t>
      </w:r>
      <w:proofErr w:type="spellEnd"/>
      <w:r w:rsidR="003E45AF" w:rsidRPr="00E07DC5">
        <w:rPr>
          <w:i/>
          <w:iCs/>
        </w:rPr>
        <w:t xml:space="preserve"> –</w:t>
      </w:r>
      <w:proofErr w:type="spellStart"/>
      <w:r w:rsidR="003E45AF" w:rsidRPr="00E07DC5">
        <w:rPr>
          <w:i/>
          <w:iCs/>
        </w:rPr>
        <w:t>Şırnak</w:t>
      </w:r>
      <w:proofErr w:type="spellEnd"/>
      <w:r w:rsidR="003E45AF" w:rsidRPr="00E07DC5">
        <w:rPr>
          <w:i/>
          <w:iCs/>
        </w:rPr>
        <w:t xml:space="preserve"> University Journal of Divinity Faculty</w:t>
      </w:r>
      <w:r w:rsidR="003E45AF">
        <w:t xml:space="preserve"> 28,</w:t>
      </w:r>
      <w:r w:rsidR="003E45AF" w:rsidRPr="00A74C2E">
        <w:t xml:space="preserve"> 125-152</w:t>
      </w:r>
      <w:r w:rsidR="00F5370B">
        <w:t>.</w:t>
      </w:r>
    </w:p>
  </w:footnote>
  <w:footnote w:id="17">
    <w:p w14:paraId="416B7FC3" w14:textId="48C966FD" w:rsidR="005B5EF2" w:rsidRDefault="002E7E28">
      <w:pPr>
        <w:pStyle w:val="FootnoteText"/>
      </w:pPr>
      <w:r>
        <w:rPr>
          <w:rStyle w:val="FootnoteReference"/>
        </w:rPr>
        <w:footnoteRef/>
      </w:r>
      <w:r w:rsidR="005B5EF2">
        <w:t xml:space="preserve"> </w:t>
      </w:r>
      <w:r w:rsidR="00F5370B">
        <w:t>Ibid.</w:t>
      </w:r>
    </w:p>
  </w:footnote>
  <w:footnote w:id="18">
    <w:p w14:paraId="4F576D8A" w14:textId="7D370201" w:rsidR="00073565" w:rsidRDefault="00073565">
      <w:pPr>
        <w:pStyle w:val="FootnoteText"/>
      </w:pPr>
      <w:r>
        <w:rPr>
          <w:rStyle w:val="FootnoteReference"/>
        </w:rPr>
        <w:footnoteRef/>
      </w:r>
      <w:r>
        <w:t xml:space="preserve"> Judith Butler,</w:t>
      </w:r>
      <w:r w:rsidR="00184F46">
        <w:t xml:space="preserve"> </w:t>
      </w:r>
      <w:r w:rsidRPr="003C5DE1">
        <w:rPr>
          <w:i/>
          <w:iCs/>
        </w:rPr>
        <w:t>Who</w:t>
      </w:r>
      <w:r w:rsidR="004F634B">
        <w:rPr>
          <w:i/>
          <w:iCs/>
        </w:rPr>
        <w:t>’</w:t>
      </w:r>
      <w:r w:rsidRPr="003C5DE1">
        <w:rPr>
          <w:i/>
          <w:iCs/>
        </w:rPr>
        <w:t>s Afraid of Gender</w:t>
      </w:r>
      <w:r w:rsidR="00BF51EC">
        <w:rPr>
          <w:i/>
          <w:iCs/>
        </w:rPr>
        <w:t xml:space="preserve">? </w:t>
      </w:r>
      <w:r w:rsidR="00BF51EC">
        <w:t>(</w:t>
      </w:r>
      <w:r>
        <w:t xml:space="preserve">Allen Lane </w:t>
      </w:r>
      <w:r w:rsidR="004F634B">
        <w:t>2004</w:t>
      </w:r>
      <w:r>
        <w:t>)</w:t>
      </w:r>
      <w:r w:rsidR="00184F46">
        <w:t xml:space="preserve"> </w:t>
      </w:r>
      <w:r>
        <w:t>7.</w:t>
      </w:r>
      <w:r w:rsidR="0011117F">
        <w:t xml:space="preserve"> Butler further qualifies that this dr</w:t>
      </w:r>
      <w:r w:rsidR="005B5F08">
        <w:t>eam-order may never have existed</w:t>
      </w:r>
      <w:r w:rsidR="009A4216">
        <w:t xml:space="preserve">, but rather, is one that occupies </w:t>
      </w:r>
      <w:r w:rsidR="0010760A">
        <w:t xml:space="preserve">the place of ‘history’ or ‘nature’ as an order that only a strong state can restore. </w:t>
      </w:r>
    </w:p>
  </w:footnote>
  <w:footnote w:id="19">
    <w:p w14:paraId="4AAF4380" w14:textId="56FA2C32" w:rsidR="00CC60DE" w:rsidRDefault="00CC60DE" w:rsidP="00CC60DE">
      <w:pPr>
        <w:pStyle w:val="FootnoteText"/>
      </w:pPr>
      <w:r>
        <w:rPr>
          <w:rStyle w:val="FootnoteReference"/>
        </w:rPr>
        <w:footnoteRef/>
      </w:r>
      <w:r>
        <w:t xml:space="preserve"> </w:t>
      </w:r>
      <w:r w:rsidRPr="0022275D">
        <w:t xml:space="preserve">Andrea Krizsán and Conny </w:t>
      </w:r>
      <w:proofErr w:type="spellStart"/>
      <w:r w:rsidRPr="0022275D">
        <w:t>Roggeband</w:t>
      </w:r>
      <w:proofErr w:type="spellEnd"/>
      <w:r w:rsidRPr="0022275D">
        <w:t xml:space="preserve">, </w:t>
      </w:r>
      <w:r w:rsidRPr="0022275D">
        <w:rPr>
          <w:i/>
          <w:iCs/>
        </w:rPr>
        <w:t>Politicizing Gender and Democracy in the Context of the Istanbul Convention</w:t>
      </w:r>
      <w:r w:rsidRPr="0022275D">
        <w:t xml:space="preserve"> </w:t>
      </w:r>
      <w:r>
        <w:t>(</w:t>
      </w:r>
      <w:r w:rsidRPr="00307D35">
        <w:t>Palgrave Pivot</w:t>
      </w:r>
      <w:r w:rsidR="0029749D">
        <w:t xml:space="preserve"> 2021</w:t>
      </w:r>
      <w:r>
        <w:t xml:space="preserve">) </w:t>
      </w:r>
      <w:r w:rsidRPr="0022275D">
        <w:t>223.</w:t>
      </w:r>
    </w:p>
  </w:footnote>
  <w:footnote w:id="20">
    <w:p w14:paraId="0F805BA8" w14:textId="0B6B039B" w:rsidR="00EF5E84" w:rsidRPr="00FE274A" w:rsidRDefault="00F660D5" w:rsidP="00EF5E84">
      <w:pPr>
        <w:pStyle w:val="FootnoteText"/>
        <w:rPr>
          <w:b/>
          <w:bCs/>
        </w:rPr>
      </w:pPr>
      <w:r w:rsidRPr="0022275D">
        <w:rPr>
          <w:rStyle w:val="FootnoteReference"/>
        </w:rPr>
        <w:footnoteRef/>
      </w:r>
      <w:r w:rsidRPr="0022275D">
        <w:t xml:space="preserve"> </w:t>
      </w:r>
      <w:proofErr w:type="spellStart"/>
      <w:r w:rsidRPr="0022275D">
        <w:t>Ruzla</w:t>
      </w:r>
      <w:proofErr w:type="spellEnd"/>
      <w:r w:rsidRPr="0022275D">
        <w:t xml:space="preserve"> </w:t>
      </w:r>
      <w:proofErr w:type="spellStart"/>
      <w:r w:rsidRPr="0022275D">
        <w:t>Smilova</w:t>
      </w:r>
      <w:proofErr w:type="spellEnd"/>
      <w:r w:rsidRPr="0022275D">
        <w:t>,</w:t>
      </w:r>
      <w:r w:rsidR="008A610A">
        <w:t xml:space="preserve"> </w:t>
      </w:r>
      <w:r w:rsidR="00EF5E84">
        <w:t>‘</w:t>
      </w:r>
      <w:r w:rsidR="00EF5E84" w:rsidRPr="00EF5E84">
        <w:t xml:space="preserve">Promoting </w:t>
      </w:r>
      <w:r w:rsidR="0029749D">
        <w:t>“</w:t>
      </w:r>
      <w:r w:rsidR="00EF5E84" w:rsidRPr="00EF5E84">
        <w:t>Gender Ideology</w:t>
      </w:r>
      <w:r w:rsidR="0029749D">
        <w:t>”</w:t>
      </w:r>
      <w:r w:rsidR="00EF5E84" w:rsidRPr="00EF5E84">
        <w:t>: Constitutional Court of Bulgaria Declares Istanbul Convention Unconstitutional</w:t>
      </w:r>
      <w:r w:rsidR="00EF5E84">
        <w:t>’</w:t>
      </w:r>
      <w:r w:rsidR="0029749D">
        <w:t>,</w:t>
      </w:r>
      <w:r w:rsidR="00FE274A">
        <w:t xml:space="preserve"> </w:t>
      </w:r>
      <w:r w:rsidR="00FE274A">
        <w:rPr>
          <w:i/>
          <w:iCs/>
        </w:rPr>
        <w:t xml:space="preserve">Oxford Human Rights Hub Blog, </w:t>
      </w:r>
      <w:r w:rsidR="0029749D">
        <w:t xml:space="preserve">22 August 2018, </w:t>
      </w:r>
      <w:r w:rsidR="00FE274A">
        <w:t>available at</w:t>
      </w:r>
    </w:p>
    <w:p w14:paraId="2A1FD993" w14:textId="66318CEA" w:rsidR="00F660D5" w:rsidRPr="0022275D" w:rsidRDefault="00F660D5" w:rsidP="00F660D5">
      <w:pPr>
        <w:pStyle w:val="FootnoteText"/>
      </w:pPr>
      <w:hyperlink r:id="rId9" w:history="1">
        <w:r w:rsidRPr="0022275D">
          <w:rPr>
            <w:rStyle w:val="Hyperlink"/>
          </w:rPr>
          <w:t>https://ohrh.law.ox.ac.uk/promoting-gender-ideology-constitutional-court-of-bulgaria-declares-istanbul-convention-unconstitutional/</w:t>
        </w:r>
      </w:hyperlink>
      <w:r w:rsidRPr="0022275D">
        <w:t xml:space="preserve"> accessed 4 May 2022</w:t>
      </w:r>
      <w:r w:rsidR="007105F2">
        <w:t>.</w:t>
      </w:r>
    </w:p>
  </w:footnote>
  <w:footnote w:id="21">
    <w:p w14:paraId="59398B15" w14:textId="7585C3F0" w:rsidR="00605C98" w:rsidRPr="00CF4977" w:rsidRDefault="00F660D5" w:rsidP="00605C98">
      <w:pPr>
        <w:pStyle w:val="FootnoteText"/>
      </w:pPr>
      <w:r w:rsidRPr="0022275D">
        <w:rPr>
          <w:rStyle w:val="FootnoteReference"/>
        </w:rPr>
        <w:footnoteRef/>
      </w:r>
      <w:r w:rsidRPr="0022275D">
        <w:t xml:space="preserve"> </w:t>
      </w:r>
      <w:r w:rsidR="00D93451">
        <w:t xml:space="preserve">European Parliament, </w:t>
      </w:r>
      <w:r w:rsidR="00CF4977">
        <w:t>‘</w:t>
      </w:r>
      <w:r w:rsidR="00605C98" w:rsidRPr="00605C98">
        <w:t>Answer given by Ms Dalli on behalf of the European Commission</w:t>
      </w:r>
      <w:r w:rsidR="00CF4977">
        <w:t>’</w:t>
      </w:r>
      <w:r w:rsidR="007105F2">
        <w:t>,</w:t>
      </w:r>
      <w:r w:rsidR="00605C98">
        <w:t xml:space="preserve"> </w:t>
      </w:r>
      <w:r w:rsidR="00CF4977" w:rsidRPr="00CF4977">
        <w:rPr>
          <w:i/>
          <w:iCs/>
        </w:rPr>
        <w:t>Parliamentary question - E-002075/2021</w:t>
      </w:r>
      <w:r w:rsidR="00113779">
        <w:t xml:space="preserve">, </w:t>
      </w:r>
      <w:r w:rsidR="007105F2">
        <w:t xml:space="preserve">20 July 2017, </w:t>
      </w:r>
      <w:r w:rsidR="00113779">
        <w:t>available at</w:t>
      </w:r>
    </w:p>
    <w:p w14:paraId="22EAAEE7" w14:textId="3F09D963" w:rsidR="00F660D5" w:rsidRPr="0022275D" w:rsidRDefault="00605C98" w:rsidP="00F660D5">
      <w:pPr>
        <w:pStyle w:val="FootnoteText"/>
      </w:pPr>
      <w:hyperlink r:id="rId10" w:history="1">
        <w:r w:rsidRPr="003067D5">
          <w:rPr>
            <w:rStyle w:val="Hyperlink"/>
          </w:rPr>
          <w:t>https://www.europarl.europa.eu/doceo/document/E-9-2021-002075-ASW_EN.html</w:t>
        </w:r>
      </w:hyperlink>
      <w:r w:rsidR="00F660D5" w:rsidRPr="0022275D">
        <w:t xml:space="preserve"> accessed 4 May 2022</w:t>
      </w:r>
      <w:r w:rsidR="00F660D5">
        <w:t>;</w:t>
      </w:r>
      <w:r w:rsidR="00F660D5" w:rsidRPr="00B1072B">
        <w:t xml:space="preserve"> </w:t>
      </w:r>
      <w:r w:rsidR="007105F2">
        <w:t xml:space="preserve">Radosveta </w:t>
      </w:r>
      <w:proofErr w:type="spellStart"/>
      <w:r w:rsidR="00F660D5" w:rsidRPr="00B1072B">
        <w:t>Vassileva</w:t>
      </w:r>
      <w:proofErr w:type="spellEnd"/>
      <w:r w:rsidR="00F660D5" w:rsidRPr="00B1072B">
        <w:t xml:space="preserve">, </w:t>
      </w:r>
      <w:r w:rsidR="00B22F1F">
        <w:t>‘</w:t>
      </w:r>
      <w:r w:rsidR="00F660D5" w:rsidRPr="00B1072B">
        <w:t>A Perfect Storm: The Extraordinary Constitutional Attack against the Istanbul Convention in Bulgaria</w:t>
      </w:r>
      <w:r w:rsidR="00B22F1F">
        <w:t>’</w:t>
      </w:r>
      <w:r w:rsidR="00F660D5" w:rsidRPr="00B1072B">
        <w:t xml:space="preserve"> (2022)</w:t>
      </w:r>
      <w:r w:rsidR="00B22F1F">
        <w:t xml:space="preserve"> </w:t>
      </w:r>
      <w:proofErr w:type="spellStart"/>
      <w:r w:rsidR="00F660D5" w:rsidRPr="00B22F1F">
        <w:rPr>
          <w:i/>
          <w:iCs/>
        </w:rPr>
        <w:t>Osteuropa</w:t>
      </w:r>
      <w:proofErr w:type="spellEnd"/>
      <w:r w:rsidR="00F660D5" w:rsidRPr="00B22F1F">
        <w:rPr>
          <w:i/>
          <w:iCs/>
        </w:rPr>
        <w:t xml:space="preserve"> Recht</w:t>
      </w:r>
      <w:r w:rsidR="00B22F1F">
        <w:t xml:space="preserve"> </w:t>
      </w:r>
      <w:r w:rsidR="007105F2">
        <w:t xml:space="preserve">68, </w:t>
      </w:r>
      <w:r w:rsidR="00F660D5" w:rsidRPr="00B1072B">
        <w:t>78-96</w:t>
      </w:r>
      <w:r w:rsidR="00F660D5">
        <w:t>.</w:t>
      </w:r>
    </w:p>
  </w:footnote>
  <w:footnote w:id="22">
    <w:p w14:paraId="511A759B" w14:textId="6A1CCFF6" w:rsidR="000922AD" w:rsidRPr="00DD7993" w:rsidRDefault="00CC60DE" w:rsidP="000922AD">
      <w:pPr>
        <w:pStyle w:val="FootnoteText"/>
      </w:pPr>
      <w:r w:rsidRPr="0022275D">
        <w:rPr>
          <w:rStyle w:val="FootnoteReference"/>
        </w:rPr>
        <w:footnoteRef/>
      </w:r>
      <w:r w:rsidR="000922AD">
        <w:t xml:space="preserve"> European Parliament,</w:t>
      </w:r>
      <w:r w:rsidR="000922AD">
        <w:rPr>
          <w:rFonts w:ascii="Georgia" w:eastAsia="Times New Roman" w:hAnsi="Georgia" w:cs="Times New Roman"/>
          <w:color w:val="1E1E1F"/>
          <w:kern w:val="36"/>
          <w:sz w:val="48"/>
          <w:szCs w:val="48"/>
          <w:lang w:eastAsia="en-GB"/>
        </w:rPr>
        <w:t xml:space="preserve"> </w:t>
      </w:r>
      <w:r w:rsidR="000922AD">
        <w:t>‘R</w:t>
      </w:r>
      <w:r w:rsidR="000922AD" w:rsidRPr="000922AD">
        <w:t>efusal of the Hungarian Parliament to ratify the Istanbul Convention</w:t>
      </w:r>
      <w:r w:rsidR="000922AD">
        <w:t>’</w:t>
      </w:r>
      <w:r w:rsidR="007105F2">
        <w:t>,</w:t>
      </w:r>
      <w:r w:rsidR="000F1568">
        <w:t xml:space="preserve"> </w:t>
      </w:r>
      <w:r w:rsidR="000F1568" w:rsidRPr="000F1568">
        <w:rPr>
          <w:i/>
          <w:iCs/>
        </w:rPr>
        <w:t>Parliamentary question - E-002981</w:t>
      </w:r>
      <w:r w:rsidR="00DD7993">
        <w:rPr>
          <w:i/>
          <w:iCs/>
        </w:rPr>
        <w:t xml:space="preserve">, </w:t>
      </w:r>
      <w:r w:rsidR="007105F2">
        <w:t xml:space="preserve">14 May 2020, </w:t>
      </w:r>
      <w:r w:rsidR="00DD7993">
        <w:t>available at</w:t>
      </w:r>
    </w:p>
    <w:p w14:paraId="7E9B56F0" w14:textId="6999618B" w:rsidR="00CC60DE" w:rsidRPr="0022275D" w:rsidRDefault="00CC60DE" w:rsidP="00CC60DE">
      <w:pPr>
        <w:pStyle w:val="FootnoteText"/>
      </w:pPr>
      <w:hyperlink r:id="rId11" w:history="1">
        <w:r w:rsidRPr="0022275D">
          <w:rPr>
            <w:rStyle w:val="Hyperlink"/>
          </w:rPr>
          <w:t>https://www.europarl.europa.eu/doceo/document/E-9-2020-002981_EN.html</w:t>
        </w:r>
      </w:hyperlink>
      <w:r w:rsidRPr="0022275D">
        <w:t xml:space="preserve"> accessed 4 May 2022. </w:t>
      </w:r>
    </w:p>
  </w:footnote>
  <w:footnote w:id="23">
    <w:p w14:paraId="3E73974E" w14:textId="1F837DDA" w:rsidR="00F660D5" w:rsidRPr="0022275D" w:rsidRDefault="00F660D5" w:rsidP="00F660D5">
      <w:pPr>
        <w:pStyle w:val="FootnoteText"/>
      </w:pPr>
      <w:r w:rsidRPr="0022275D">
        <w:rPr>
          <w:rStyle w:val="FootnoteReference"/>
        </w:rPr>
        <w:footnoteRef/>
      </w:r>
      <w:r w:rsidR="00BF4905">
        <w:t xml:space="preserve"> Council of Europe, Treaty Office, ‘</w:t>
      </w:r>
      <w:r w:rsidR="00C502D6" w:rsidRPr="00C502D6">
        <w:t>Reservations and Declarations for Treaty No.210 - Council of Europe Convention on preventing and combating violence against women and domestic violence (CETS No. 210)</w:t>
      </w:r>
      <w:r w:rsidR="00C502D6">
        <w:t>’</w:t>
      </w:r>
      <w:r w:rsidR="007105F2">
        <w:t>,</w:t>
      </w:r>
      <w:r w:rsidR="00C502D6">
        <w:t xml:space="preserve"> </w:t>
      </w:r>
      <w:r w:rsidR="00601299">
        <w:t>1  Nov 2022, available at</w:t>
      </w:r>
      <w:r w:rsidR="00CC60DE">
        <w:t xml:space="preserve"> </w:t>
      </w:r>
      <w:hyperlink r:id="rId12" w:history="1">
        <w:r w:rsidR="00601299" w:rsidRPr="003067D5">
          <w:rPr>
            <w:rStyle w:val="Hyperlink"/>
          </w:rPr>
          <w:t xml:space="preserve">https://www.coe.int/en/web/conventions/full-list?module=declarations-by </w:t>
        </w:r>
        <w:proofErr w:type="spellStart"/>
        <w:r w:rsidR="00601299" w:rsidRPr="003067D5">
          <w:rPr>
            <w:rStyle w:val="Hyperlink"/>
          </w:rPr>
          <w:t>treaty&amp;numSte</w:t>
        </w:r>
        <w:proofErr w:type="spellEnd"/>
        <w:r w:rsidR="00601299" w:rsidRPr="003067D5">
          <w:rPr>
            <w:rStyle w:val="Hyperlink"/>
          </w:rPr>
          <w:t>=210&amp;codeNature=2&amp;codePays=UK</w:t>
        </w:r>
      </w:hyperlink>
      <w:r w:rsidR="00CC60DE">
        <w:t xml:space="preserve"> accessed 1 April 2024. </w:t>
      </w:r>
    </w:p>
  </w:footnote>
  <w:footnote w:id="24">
    <w:p w14:paraId="1DA278F2" w14:textId="045812E6" w:rsidR="00F660D5" w:rsidRPr="0022275D" w:rsidRDefault="00F660D5" w:rsidP="00F660D5">
      <w:pPr>
        <w:pStyle w:val="FootnoteText"/>
      </w:pPr>
      <w:r w:rsidRPr="0022275D">
        <w:rPr>
          <w:rStyle w:val="FootnoteReference"/>
        </w:rPr>
        <w:footnoteRef/>
      </w:r>
      <w:r w:rsidRPr="0022275D">
        <w:t xml:space="preserve"> </w:t>
      </w:r>
      <w:r>
        <w:t xml:space="preserve">Elise </w:t>
      </w:r>
      <w:proofErr w:type="spellStart"/>
      <w:r>
        <w:t>K</w:t>
      </w:r>
      <w:r w:rsidRPr="00B54C9B">
        <w:t>etelaars</w:t>
      </w:r>
      <w:proofErr w:type="spellEnd"/>
      <w:r w:rsidRPr="00B54C9B">
        <w:t>,</w:t>
      </w:r>
      <w:r>
        <w:t xml:space="preserve"> ‘</w:t>
      </w:r>
      <w:r w:rsidRPr="00B54C9B">
        <w:t xml:space="preserve">Geographical </w:t>
      </w:r>
      <w:r w:rsidR="005246EA">
        <w:t>V</w:t>
      </w:r>
      <w:r w:rsidRPr="00B54C9B">
        <w:t>alue</w:t>
      </w:r>
      <w:r w:rsidR="005246EA">
        <w:t xml:space="preserve"> S</w:t>
      </w:r>
      <w:r w:rsidRPr="00B54C9B">
        <w:t xml:space="preserve">paces and </w:t>
      </w:r>
      <w:r w:rsidR="005246EA">
        <w:t>G</w:t>
      </w:r>
      <w:r w:rsidRPr="00B54C9B">
        <w:t xml:space="preserve">ender </w:t>
      </w:r>
      <w:r w:rsidR="005246EA">
        <w:t>N</w:t>
      </w:r>
      <w:r w:rsidRPr="00B54C9B">
        <w:t xml:space="preserve">orms in </w:t>
      </w:r>
      <w:r w:rsidR="005246EA">
        <w:t>P</w:t>
      </w:r>
      <w:r w:rsidRPr="00B54C9B">
        <w:t xml:space="preserve">ost-Maidan Ukraine: The </w:t>
      </w:r>
      <w:r w:rsidR="005246EA">
        <w:t>F</w:t>
      </w:r>
      <w:r w:rsidRPr="00B54C9B">
        <w:t xml:space="preserve">ailed </w:t>
      </w:r>
      <w:r w:rsidR="005246EA">
        <w:t>R</w:t>
      </w:r>
      <w:r w:rsidRPr="00B54C9B">
        <w:t>atification of the Istanbul Convention</w:t>
      </w:r>
      <w:r>
        <w:t>’</w:t>
      </w:r>
      <w:r w:rsidR="00226780">
        <w:t xml:space="preserve"> </w:t>
      </w:r>
      <w:r>
        <w:t>(2019)</w:t>
      </w:r>
      <w:r w:rsidRPr="00B54C9B">
        <w:t xml:space="preserve"> </w:t>
      </w:r>
      <w:r w:rsidRPr="00226780">
        <w:rPr>
          <w:i/>
          <w:iCs/>
        </w:rPr>
        <w:t>Review of International Studies</w:t>
      </w:r>
      <w:r w:rsidRPr="00B54C9B">
        <w:t xml:space="preserve"> 45, 731-747</w:t>
      </w:r>
      <w:r>
        <w:t xml:space="preserve">; </w:t>
      </w:r>
      <w:r w:rsidRPr="00307D35">
        <w:t xml:space="preserve">Cemre </w:t>
      </w:r>
      <w:proofErr w:type="spellStart"/>
      <w:r w:rsidRPr="00307D35">
        <w:t>Baytok</w:t>
      </w:r>
      <w:proofErr w:type="spellEnd"/>
      <w:r>
        <w:t>,</w:t>
      </w:r>
      <w:r w:rsidRPr="00307D35">
        <w:t xml:space="preserve"> </w:t>
      </w:r>
      <w:r>
        <w:t>‘</w:t>
      </w:r>
      <w:r w:rsidRPr="00307D35">
        <w:t>The Istanbul Convention, Gender Politics and Beyond: Poland and Turkey</w:t>
      </w:r>
      <w:r>
        <w:t>’</w:t>
      </w:r>
      <w:r w:rsidR="00A1385A">
        <w:t xml:space="preserve"> (2021)</w:t>
      </w:r>
      <w:r w:rsidR="00E745DB">
        <w:t xml:space="preserve"> </w:t>
      </w:r>
      <w:r w:rsidRPr="004806EC">
        <w:rPr>
          <w:i/>
          <w:iCs/>
        </w:rPr>
        <w:t xml:space="preserve">Hafiza Adalet </w:t>
      </w:r>
      <w:proofErr w:type="spellStart"/>
      <w:r w:rsidRPr="004806EC">
        <w:rPr>
          <w:i/>
          <w:iCs/>
        </w:rPr>
        <w:t>Merkezi</w:t>
      </w:r>
      <w:proofErr w:type="spellEnd"/>
      <w:r w:rsidR="007F6A6E" w:rsidRPr="004806EC">
        <w:rPr>
          <w:i/>
          <w:iCs/>
        </w:rPr>
        <w:t xml:space="preserve"> </w:t>
      </w:r>
      <w:proofErr w:type="spellStart"/>
      <w:r w:rsidR="007F6A6E" w:rsidRPr="004806EC">
        <w:rPr>
          <w:i/>
          <w:iCs/>
        </w:rPr>
        <w:t>e.V</w:t>
      </w:r>
      <w:proofErr w:type="spellEnd"/>
      <w:r w:rsidR="00F126A8">
        <w:t>,</w:t>
      </w:r>
      <w:r w:rsidR="007F6A6E">
        <w:t xml:space="preserve"> available at </w:t>
      </w:r>
      <w:hyperlink r:id="rId13" w:history="1">
        <w:r w:rsidR="00916675" w:rsidRPr="003067D5">
          <w:rPr>
            <w:rStyle w:val="Hyperlink"/>
          </w:rPr>
          <w:t>https://aramizda.org.tr/wp-content/uploads/2021/09/012-The-IstanbulConventionGenderPoliticsandBeyond.pdf</w:t>
        </w:r>
      </w:hyperlink>
      <w:r w:rsidR="00916675">
        <w:t xml:space="preserve"> accessed 6 June 2023</w:t>
      </w:r>
      <w:r>
        <w:t>;</w:t>
      </w:r>
      <w:r w:rsidRPr="00307D35">
        <w:t xml:space="preserve"> Marianna </w:t>
      </w:r>
      <w:proofErr w:type="spellStart"/>
      <w:r w:rsidRPr="00307D35">
        <w:t>Szczygielska</w:t>
      </w:r>
      <w:proofErr w:type="spellEnd"/>
      <w:r>
        <w:t>, ‘</w:t>
      </w:r>
      <w:r w:rsidRPr="00307D35">
        <w:t>“Good Change” And Better Activism: Feminist Responses To Backsliding Gender Policies In Poland</w:t>
      </w:r>
      <w:r>
        <w:t>’ i</w:t>
      </w:r>
      <w:r w:rsidRPr="00307D35">
        <w:t xml:space="preserve">n </w:t>
      </w:r>
      <w:r>
        <w:t xml:space="preserve">Andrea </w:t>
      </w:r>
      <w:r w:rsidRPr="00307D35">
        <w:t>Krizsán</w:t>
      </w:r>
      <w:r>
        <w:t xml:space="preserve"> </w:t>
      </w:r>
      <w:r w:rsidRPr="00307D35">
        <w:t xml:space="preserve">and </w:t>
      </w:r>
      <w:r>
        <w:t xml:space="preserve">Conny </w:t>
      </w:r>
      <w:proofErr w:type="spellStart"/>
      <w:r w:rsidRPr="00307D35">
        <w:t>Roggeband</w:t>
      </w:r>
      <w:proofErr w:type="spellEnd"/>
      <w:r>
        <w:t xml:space="preserve"> (eds)</w:t>
      </w:r>
      <w:r w:rsidR="00F90A77">
        <w:t>,</w:t>
      </w:r>
      <w:r w:rsidRPr="00307D35">
        <w:t xml:space="preserve"> </w:t>
      </w:r>
      <w:r w:rsidRPr="00307D35">
        <w:rPr>
          <w:i/>
          <w:iCs/>
        </w:rPr>
        <w:t xml:space="preserve">Gendering Democratic Backsliding in Central and Eastern Europe. A comparative </w:t>
      </w:r>
      <w:r w:rsidR="00BF144B">
        <w:rPr>
          <w:i/>
          <w:iCs/>
        </w:rPr>
        <w:t xml:space="preserve">agenda </w:t>
      </w:r>
      <w:r>
        <w:t>(</w:t>
      </w:r>
      <w:r w:rsidRPr="00307D35">
        <w:t xml:space="preserve">Central European </w:t>
      </w:r>
      <w:r w:rsidR="00BF144B" w:rsidRPr="00307D35">
        <w:t>Univ</w:t>
      </w:r>
      <w:r w:rsidR="00BF144B">
        <w:t>ersity</w:t>
      </w:r>
      <w:r w:rsidRPr="00307D35">
        <w:t xml:space="preserve"> Press</w:t>
      </w:r>
      <w:r w:rsidR="00F126A8">
        <w:t xml:space="preserve"> </w:t>
      </w:r>
      <w:r w:rsidR="00D30574">
        <w:t>2019</w:t>
      </w:r>
      <w:r>
        <w:t>)</w:t>
      </w:r>
      <w:r w:rsidR="002947CC">
        <w:t xml:space="preserve"> 120-140</w:t>
      </w:r>
      <w:r w:rsidR="00FC5223">
        <w:t xml:space="preserve">; </w:t>
      </w:r>
      <w:r w:rsidRPr="00307D35">
        <w:t>Anna Gwiazda</w:t>
      </w:r>
      <w:r w:rsidR="00D30574">
        <w:t xml:space="preserve"> and</w:t>
      </w:r>
      <w:r w:rsidRPr="00307D35">
        <w:t xml:space="preserve"> Liana </w:t>
      </w:r>
      <w:proofErr w:type="spellStart"/>
      <w:r w:rsidRPr="00307D35">
        <w:t>Minkova</w:t>
      </w:r>
      <w:proofErr w:type="spellEnd"/>
      <w:r>
        <w:t>,‘</w:t>
      </w:r>
      <w:r w:rsidRPr="00307D35">
        <w:t>Gendered Advocacy Coalitions and the Istanbul Convention: A Comparative Analysis of Bulgaria and Poland</w:t>
      </w:r>
      <w:r>
        <w:t>’</w:t>
      </w:r>
      <w:r w:rsidRPr="00307D35">
        <w:t xml:space="preserve"> </w:t>
      </w:r>
      <w:r>
        <w:t>(202</w:t>
      </w:r>
      <w:r w:rsidR="00A02B69">
        <w:t>4</w:t>
      </w:r>
      <w:r>
        <w:t xml:space="preserve">) </w:t>
      </w:r>
      <w:r w:rsidRPr="00FC5223">
        <w:rPr>
          <w:i/>
          <w:iCs/>
        </w:rPr>
        <w:t>International Feminist Journal of Politics</w:t>
      </w:r>
      <w:r w:rsidR="00FC5223">
        <w:rPr>
          <w:i/>
          <w:iCs/>
        </w:rPr>
        <w:t xml:space="preserve"> </w:t>
      </w:r>
      <w:r w:rsidR="00D30574">
        <w:t xml:space="preserve">26, </w:t>
      </w:r>
      <w:r w:rsidR="001E4DD8">
        <w:t>31-53</w:t>
      </w:r>
      <w:r>
        <w:t>;</w:t>
      </w:r>
      <w:r w:rsidR="001E4DD8">
        <w:t xml:space="preserve"> </w:t>
      </w:r>
      <w:r w:rsidRPr="00307D35">
        <w:t>Krizsán</w:t>
      </w:r>
      <w:r w:rsidR="00A02B69">
        <w:t xml:space="preserve"> and</w:t>
      </w:r>
      <w:r w:rsidR="009122F5">
        <w:t xml:space="preserve"> </w:t>
      </w:r>
      <w:proofErr w:type="spellStart"/>
      <w:r w:rsidRPr="00307D35">
        <w:t>Roggeb</w:t>
      </w:r>
      <w:r>
        <w:t>and</w:t>
      </w:r>
      <w:proofErr w:type="spellEnd"/>
      <w:r w:rsidR="005C7FC0">
        <w:t xml:space="preserve"> (</w:t>
      </w:r>
      <w:r w:rsidR="009122F5">
        <w:t>n 17</w:t>
      </w:r>
      <w:r w:rsidR="005C7FC0">
        <w:t>)</w:t>
      </w:r>
      <w:r w:rsidR="009122F5">
        <w:t>.</w:t>
      </w:r>
      <w:r>
        <w:t xml:space="preserve"> </w:t>
      </w:r>
    </w:p>
  </w:footnote>
  <w:footnote w:id="25">
    <w:p w14:paraId="637F1A5D" w14:textId="3542C682" w:rsidR="00522CA0" w:rsidRPr="0022275D" w:rsidRDefault="00522CA0" w:rsidP="00643643">
      <w:pPr>
        <w:pStyle w:val="FootnoteText"/>
      </w:pPr>
      <w:r w:rsidRPr="0022275D">
        <w:rPr>
          <w:rStyle w:val="FootnoteReference"/>
        </w:rPr>
        <w:footnoteRef/>
      </w:r>
      <w:r w:rsidRPr="0022275D">
        <w:t xml:space="preserve"> Ceren Zeynep Pirim, ‘The Legal Effects of the New Presidential System on Turkey’s Treaty-Making Practice’ (2022) </w:t>
      </w:r>
      <w:r w:rsidRPr="00B10247">
        <w:rPr>
          <w:i/>
          <w:iCs/>
        </w:rPr>
        <w:t>European Journal of International Law</w:t>
      </w:r>
      <w:r w:rsidR="00B10247">
        <w:t xml:space="preserve"> </w:t>
      </w:r>
      <w:r w:rsidRPr="0022275D">
        <w:t>33, 579–606.</w:t>
      </w:r>
    </w:p>
  </w:footnote>
  <w:footnote w:id="26">
    <w:p w14:paraId="1E2357BA" w14:textId="6F447BE2" w:rsidR="00522CA0" w:rsidRPr="0022275D" w:rsidRDefault="00522CA0" w:rsidP="00643643">
      <w:pPr>
        <w:pStyle w:val="FootnoteText"/>
      </w:pPr>
      <w:r w:rsidRPr="0022275D">
        <w:rPr>
          <w:rStyle w:val="FootnoteReference"/>
        </w:rPr>
        <w:footnoteRef/>
      </w:r>
      <w:r w:rsidRPr="0022275D">
        <w:t xml:space="preserve"> </w:t>
      </w:r>
      <w:r w:rsidR="002439D7">
        <w:t>Ibid.</w:t>
      </w:r>
    </w:p>
  </w:footnote>
  <w:footnote w:id="27">
    <w:p w14:paraId="4CE92A4D" w14:textId="56B13BC3" w:rsidR="00522CA0" w:rsidRPr="0022275D" w:rsidRDefault="00522CA0" w:rsidP="00643643">
      <w:pPr>
        <w:pStyle w:val="FootnoteText"/>
      </w:pPr>
      <w:r w:rsidRPr="0022275D">
        <w:rPr>
          <w:rStyle w:val="FootnoteReference"/>
        </w:rPr>
        <w:footnoteRef/>
      </w:r>
      <w:r w:rsidRPr="0022275D">
        <w:t xml:space="preserve"> Nicole Pope, ‘Turkey: Marching Towards One-Man Rule’</w:t>
      </w:r>
      <w:r w:rsidR="009723C6">
        <w:t xml:space="preserve"> </w:t>
      </w:r>
      <w:r w:rsidRPr="0022275D">
        <w:t>(2017)</w:t>
      </w:r>
      <w:r>
        <w:t xml:space="preserve"> </w:t>
      </w:r>
      <w:r w:rsidRPr="002439D7">
        <w:rPr>
          <w:i/>
          <w:iCs/>
        </w:rPr>
        <w:t>Journal of International Affairs</w:t>
      </w:r>
      <w:r w:rsidR="002439D7">
        <w:t xml:space="preserve"> </w:t>
      </w:r>
      <w:r w:rsidRPr="0022275D">
        <w:t xml:space="preserve">71, </w:t>
      </w:r>
      <w:r w:rsidR="00331600">
        <w:t>17-30</w:t>
      </w:r>
      <w:r w:rsidRPr="0022275D">
        <w:t>;</w:t>
      </w:r>
      <w:r>
        <w:t xml:space="preserve"> </w:t>
      </w:r>
      <w:r w:rsidRPr="0022275D">
        <w:t xml:space="preserve">Burak </w:t>
      </w:r>
      <w:proofErr w:type="spellStart"/>
      <w:r w:rsidRPr="0022275D">
        <w:t>Bekdil</w:t>
      </w:r>
      <w:proofErr w:type="spellEnd"/>
      <w:r w:rsidRPr="0022275D">
        <w:t xml:space="preserve">, ‘Dateline: Erdoğan's One-Man Islamist Show’ (2016) </w:t>
      </w:r>
      <w:r w:rsidRPr="00A02E75">
        <w:rPr>
          <w:i/>
          <w:iCs/>
        </w:rPr>
        <w:t>Middle East Quarterly</w:t>
      </w:r>
      <w:r w:rsidR="00A02E75">
        <w:t xml:space="preserve"> </w:t>
      </w:r>
      <w:r w:rsidRPr="0022275D">
        <w:t>23</w:t>
      </w:r>
      <w:r w:rsidR="00A02E75">
        <w:t xml:space="preserve">, </w:t>
      </w:r>
      <w:r w:rsidRPr="0022275D">
        <w:t>1-8; A</w:t>
      </w:r>
      <w:r w:rsidR="008220F9">
        <w:t xml:space="preserve"> </w:t>
      </w:r>
      <w:r w:rsidRPr="0022275D">
        <w:t>Ekber Do</w:t>
      </w:r>
      <w:r w:rsidRPr="0022275D">
        <w:rPr>
          <w:lang w:val="tr-TR"/>
        </w:rPr>
        <w:t>ğ</w:t>
      </w:r>
      <w:proofErr w:type="spellStart"/>
      <w:r w:rsidRPr="0022275D">
        <w:t>an</w:t>
      </w:r>
      <w:proofErr w:type="spellEnd"/>
      <w:r w:rsidRPr="0022275D">
        <w:t xml:space="preserve">, ‘The </w:t>
      </w:r>
      <w:r w:rsidR="008220F9">
        <w:t>C</w:t>
      </w:r>
      <w:r w:rsidRPr="0022275D">
        <w:t xml:space="preserve">onstruction of Erdogan </w:t>
      </w:r>
      <w:r w:rsidR="008220F9">
        <w:t>A</w:t>
      </w:r>
      <w:r w:rsidRPr="0022275D">
        <w:t xml:space="preserve">utocracy: </w:t>
      </w:r>
      <w:r w:rsidR="008220F9">
        <w:t>B</w:t>
      </w:r>
      <w:r w:rsidRPr="0022275D">
        <w:t xml:space="preserve">alancing </w:t>
      </w:r>
      <w:r w:rsidR="008220F9">
        <w:t>H</w:t>
      </w:r>
      <w:r w:rsidRPr="0022275D">
        <w:t xml:space="preserve">egemonic </w:t>
      </w:r>
      <w:r w:rsidR="008220F9">
        <w:t>C</w:t>
      </w:r>
      <w:r w:rsidRPr="0022275D">
        <w:t xml:space="preserve">risis with </w:t>
      </w:r>
      <w:r w:rsidR="008220F9">
        <w:t>P</w:t>
      </w:r>
      <w:r w:rsidRPr="0022275D">
        <w:t xml:space="preserve">romises of </w:t>
      </w:r>
      <w:r w:rsidR="008220F9">
        <w:t>A</w:t>
      </w:r>
      <w:r w:rsidRPr="0022275D">
        <w:t xml:space="preserve">ccumulation </w:t>
      </w:r>
      <w:r w:rsidR="008220F9">
        <w:t>R</w:t>
      </w:r>
      <w:r w:rsidRPr="0022275D">
        <w:t xml:space="preserve">egime’ </w:t>
      </w:r>
      <w:r w:rsidR="008220F9">
        <w:t>(20</w:t>
      </w:r>
      <w:r w:rsidR="00A0284E">
        <w:t>20</w:t>
      </w:r>
      <w:r w:rsidR="008220F9">
        <w:t xml:space="preserve">) </w:t>
      </w:r>
      <w:r w:rsidRPr="00CB706D">
        <w:rPr>
          <w:i/>
          <w:iCs/>
        </w:rPr>
        <w:t>Journal of Socialist Theory</w:t>
      </w:r>
      <w:r w:rsidR="00CB706D">
        <w:t xml:space="preserve"> </w:t>
      </w:r>
      <w:r w:rsidRPr="0022275D">
        <w:t>48</w:t>
      </w:r>
      <w:r w:rsidR="00CB706D">
        <w:t xml:space="preserve">, </w:t>
      </w:r>
      <w:r w:rsidRPr="0022275D">
        <w:t xml:space="preserve">95-111. </w:t>
      </w:r>
    </w:p>
  </w:footnote>
  <w:footnote w:id="28">
    <w:p w14:paraId="28089A80" w14:textId="194DD049" w:rsidR="00522CA0" w:rsidRPr="0022275D" w:rsidRDefault="00522CA0" w:rsidP="00643643">
      <w:pPr>
        <w:pStyle w:val="FootnoteText"/>
      </w:pPr>
      <w:r w:rsidRPr="0022275D">
        <w:rPr>
          <w:rStyle w:val="FootnoteReference"/>
        </w:rPr>
        <w:footnoteRef/>
      </w:r>
      <w:r>
        <w:t xml:space="preserve"> Turkish Parliament 24</w:t>
      </w:r>
      <w:r w:rsidRPr="00373F55">
        <w:rPr>
          <w:vertAlign w:val="superscript"/>
        </w:rPr>
        <w:t>th</w:t>
      </w:r>
      <w:r>
        <w:t xml:space="preserve"> legislative year, 23</w:t>
      </w:r>
      <w:r w:rsidRPr="00373F55">
        <w:rPr>
          <w:vertAlign w:val="superscript"/>
        </w:rPr>
        <w:t>rd</w:t>
      </w:r>
      <w:r>
        <w:t xml:space="preserve"> session on 24 November 2011</w:t>
      </w:r>
      <w:r w:rsidR="00EF37F9">
        <w:t>, p 58,</w:t>
      </w:r>
      <w:r w:rsidR="00B738C2">
        <w:t xml:space="preserve"> available at </w:t>
      </w:r>
      <w:hyperlink r:id="rId14" w:anchor="_ftn3" w:history="1">
        <w:r w:rsidR="00A0284E" w:rsidRPr="00592852">
          <w:rPr>
            <w:rStyle w:val="Hyperlink"/>
          </w:rPr>
          <w:t>https://cdn.tbmm.gov.tr/TbmmWeb/Tutanak20230120/24/2/23/132b7a41-d758-4e0a-8945-c4ea1822aa18.html#_ftn3</w:t>
        </w:r>
      </w:hyperlink>
      <w:r>
        <w:t xml:space="preserve"> accessed 6 June 2023. </w:t>
      </w:r>
    </w:p>
  </w:footnote>
  <w:footnote w:id="29">
    <w:p w14:paraId="6D1BE1C3" w14:textId="776B2C94" w:rsidR="00522CA0" w:rsidRPr="0022275D" w:rsidRDefault="00522CA0" w:rsidP="00643643">
      <w:pPr>
        <w:pStyle w:val="FootnoteText"/>
      </w:pPr>
      <w:r w:rsidRPr="0022275D">
        <w:rPr>
          <w:rStyle w:val="FootnoteReference"/>
        </w:rPr>
        <w:footnoteRef/>
      </w:r>
      <w:r w:rsidRPr="0022275D">
        <w:t xml:space="preserve"> </w:t>
      </w:r>
      <w:r>
        <w:t xml:space="preserve">Official Gazette </w:t>
      </w:r>
      <w:r w:rsidR="00EF37F9">
        <w:t xml:space="preserve">of </w:t>
      </w:r>
      <w:r w:rsidR="0019648E" w:rsidRPr="0019648E">
        <w:t>T</w:t>
      </w:r>
      <w:r w:rsidR="0019648E" w:rsidRPr="0019648E">
        <w:rPr>
          <w:lang w:val="tr-TR"/>
        </w:rPr>
        <w:t>ü</w:t>
      </w:r>
      <w:proofErr w:type="spellStart"/>
      <w:r w:rsidR="0019648E" w:rsidRPr="0019648E">
        <w:t>rkiye</w:t>
      </w:r>
      <w:proofErr w:type="spellEnd"/>
      <w:r w:rsidR="005C7FC0">
        <w:t xml:space="preserve"> (</w:t>
      </w:r>
      <w:r w:rsidR="00C97111">
        <w:t>n 1</w:t>
      </w:r>
      <w:r w:rsidR="005C7FC0">
        <w:t>)</w:t>
      </w:r>
      <w:r>
        <w:t>.</w:t>
      </w:r>
    </w:p>
  </w:footnote>
  <w:footnote w:id="30">
    <w:p w14:paraId="72BD9379" w14:textId="02438C8E" w:rsidR="00522CA0" w:rsidRPr="0022275D" w:rsidRDefault="00522CA0" w:rsidP="003F1903">
      <w:pPr>
        <w:pStyle w:val="FootnoteText"/>
      </w:pPr>
      <w:r w:rsidRPr="0022275D">
        <w:rPr>
          <w:rStyle w:val="FootnoteReference"/>
        </w:rPr>
        <w:footnoteRef/>
      </w:r>
      <w:r w:rsidRPr="0022275D">
        <w:t xml:space="preserve"> </w:t>
      </w:r>
      <w:r>
        <w:t>Basak Cali, ‘</w:t>
      </w:r>
      <w:r w:rsidRPr="002874F3">
        <w:t>Withdrawal from the Istanbul Convention by Turkey: A Testing Problem for the Council of Europe</w:t>
      </w:r>
      <w:r>
        <w:t>’</w:t>
      </w:r>
      <w:r w:rsidR="00352F9C">
        <w:t>,</w:t>
      </w:r>
      <w:r>
        <w:t xml:space="preserve"> </w:t>
      </w:r>
      <w:proofErr w:type="spellStart"/>
      <w:r w:rsidRPr="003F1903">
        <w:rPr>
          <w:i/>
          <w:iCs/>
        </w:rPr>
        <w:t>EJIL:Talk</w:t>
      </w:r>
      <w:proofErr w:type="spellEnd"/>
      <w:r w:rsidRPr="003F1903">
        <w:rPr>
          <w:i/>
          <w:iCs/>
        </w:rPr>
        <w:t>!</w:t>
      </w:r>
      <w:r w:rsidR="003F1903" w:rsidRPr="003F1903">
        <w:rPr>
          <w:i/>
          <w:iCs/>
        </w:rPr>
        <w:t>: Blog of the European Journal of International Law</w:t>
      </w:r>
      <w:r w:rsidR="003F1903">
        <w:t xml:space="preserve">, </w:t>
      </w:r>
      <w:r w:rsidR="00352F9C">
        <w:t xml:space="preserve">21 March 2021, </w:t>
      </w:r>
      <w:r w:rsidR="003F1903">
        <w:t>a</w:t>
      </w:r>
      <w:r w:rsidR="00287A79">
        <w:t xml:space="preserve">vailable at </w:t>
      </w:r>
      <w:hyperlink r:id="rId15" w:history="1">
        <w:r w:rsidRPr="00192B15">
          <w:rPr>
            <w:rStyle w:val="Hyperlink"/>
          </w:rPr>
          <w:t>https://www.ejiltalk.org/withdrawal-from-the-istanbul-convention-by-turkey-a-testing-problem-for-the-council-of-europe/</w:t>
        </w:r>
      </w:hyperlink>
      <w:r>
        <w:t xml:space="preserve"> accessed 6 June 2023;</w:t>
      </w:r>
      <w:r w:rsidRPr="002874F3">
        <w:t xml:space="preserve"> </w:t>
      </w:r>
      <w:r>
        <w:t>E</w:t>
      </w:r>
      <w:r w:rsidRPr="002874F3">
        <w:t xml:space="preserve">uropean Commission </w:t>
      </w:r>
      <w:r w:rsidR="00352F9C">
        <w:t>f</w:t>
      </w:r>
      <w:r w:rsidRPr="002874F3">
        <w:t>or Democracy Through Law</w:t>
      </w:r>
      <w:r w:rsidR="00163A76">
        <w:t xml:space="preserve"> </w:t>
      </w:r>
      <w:r w:rsidRPr="002874F3">
        <w:t>(Venice Commission)</w:t>
      </w:r>
      <w:r w:rsidR="00352F9C">
        <w:t>,</w:t>
      </w:r>
      <w:r>
        <w:t xml:space="preserve"> </w:t>
      </w:r>
      <w:r w:rsidRPr="002874F3">
        <w:rPr>
          <w:i/>
          <w:iCs/>
        </w:rPr>
        <w:t>Report on The Domestic Procedures Of Ratification And Denunciation Of International Treaties</w:t>
      </w:r>
      <w:r>
        <w:t xml:space="preserve"> (</w:t>
      </w:r>
      <w:r w:rsidRPr="002874F3">
        <w:t>Opinion</w:t>
      </w:r>
      <w:r>
        <w:t xml:space="preserve"> </w:t>
      </w:r>
      <w:r w:rsidRPr="002874F3">
        <w:t>No. 1045/2021</w:t>
      </w:r>
      <w:r>
        <w:t xml:space="preserve"> a</w:t>
      </w:r>
      <w:r w:rsidRPr="002874F3">
        <w:t>dopted</w:t>
      </w:r>
      <w:r>
        <w:t xml:space="preserve"> </w:t>
      </w:r>
      <w:r w:rsidRPr="002874F3">
        <w:t>by the Venice Commission</w:t>
      </w:r>
      <w:r>
        <w:t xml:space="preserve"> </w:t>
      </w:r>
      <w:r w:rsidRPr="002874F3">
        <w:t>at its 130</w:t>
      </w:r>
      <w:r w:rsidRPr="002874F3">
        <w:rPr>
          <w:vertAlign w:val="superscript"/>
        </w:rPr>
        <w:t>th</w:t>
      </w:r>
      <w:r>
        <w:t xml:space="preserve"> </w:t>
      </w:r>
      <w:r w:rsidRPr="002874F3">
        <w:t>Plenary Session</w:t>
      </w:r>
      <w:r>
        <w:t xml:space="preserve"> </w:t>
      </w:r>
      <w:r w:rsidRPr="002874F3">
        <w:t>18-19 March 2022)</w:t>
      </w:r>
      <w:r w:rsidR="00163A76">
        <w:t xml:space="preserve"> available at</w:t>
      </w:r>
      <w:r>
        <w:t xml:space="preserve"> </w:t>
      </w:r>
      <w:hyperlink r:id="rId16" w:history="1">
        <w:r w:rsidRPr="00192B15">
          <w:rPr>
            <w:rStyle w:val="Hyperlink"/>
          </w:rPr>
          <w:t>https://www.venice.coe.int/webforms/documents/default.aspx?pdffile=CDL-AD(2022)001-e</w:t>
        </w:r>
      </w:hyperlink>
      <w:r>
        <w:t xml:space="preserve"> accessed 6 June 2023 p 25-26. </w:t>
      </w:r>
    </w:p>
  </w:footnote>
  <w:footnote w:id="31">
    <w:p w14:paraId="6DCF82A4" w14:textId="565BBC2B" w:rsidR="00522CA0" w:rsidRPr="0022275D" w:rsidRDefault="00522CA0" w:rsidP="002874F3">
      <w:pPr>
        <w:pStyle w:val="FootnoteText"/>
      </w:pPr>
      <w:r w:rsidRPr="0022275D">
        <w:rPr>
          <w:rStyle w:val="FootnoteReference"/>
        </w:rPr>
        <w:footnoteRef/>
      </w:r>
      <w:r w:rsidRPr="0022275D">
        <w:t xml:space="preserve"> </w:t>
      </w:r>
      <w:r w:rsidR="00163A76">
        <w:t xml:space="preserve">See further, </w:t>
      </w:r>
      <w:r w:rsidRPr="002874F3">
        <w:t xml:space="preserve">EŞİK -Women's Platform for Equality, </w:t>
      </w:r>
      <w:r w:rsidR="00163A76">
        <w:t xml:space="preserve">available at </w:t>
      </w:r>
      <w:hyperlink r:id="rId17" w:history="1">
        <w:r w:rsidR="00163A76" w:rsidRPr="003067D5">
          <w:rPr>
            <w:rStyle w:val="Hyperlink"/>
          </w:rPr>
          <w:t>https://esikplatform.net/?fbclid=IwAR3vMbZqYrvaZO8Ls0Bc7W0f3M71aiJUEJErUpQZw8cnFfBKkxwCLxPRUWY</w:t>
        </w:r>
      </w:hyperlink>
      <w:r>
        <w:t xml:space="preserve"> accessed 6 June 2023; </w:t>
      </w:r>
      <w:r w:rsidRPr="002874F3">
        <w:t>Margaret Grieve</w:t>
      </w:r>
      <w:r>
        <w:t>,</w:t>
      </w:r>
      <w:r w:rsidRPr="002874F3">
        <w:t xml:space="preserve"> </w:t>
      </w:r>
      <w:r w:rsidRPr="00163A76">
        <w:rPr>
          <w:i/>
          <w:iCs/>
        </w:rPr>
        <w:t>Turkey’s Withdrawal from the Istanbul Convention</w:t>
      </w:r>
      <w:r w:rsidR="00163A76" w:rsidRPr="00163A76">
        <w:rPr>
          <w:i/>
          <w:iCs/>
        </w:rPr>
        <w:t>:</w:t>
      </w:r>
      <w:r w:rsidRPr="00163A76">
        <w:rPr>
          <w:i/>
          <w:iCs/>
        </w:rPr>
        <w:t xml:space="preserve"> A Step Backward for Women’s Human Rights</w:t>
      </w:r>
      <w:r>
        <w:t xml:space="preserve"> (</w:t>
      </w:r>
      <w:r w:rsidR="00163A76">
        <w:t xml:space="preserve">2021) </w:t>
      </w:r>
      <w:r w:rsidR="00D6187C">
        <w:t>available at</w:t>
      </w:r>
      <w:r w:rsidRPr="002874F3">
        <w:t xml:space="preserve"> </w:t>
      </w:r>
      <w:hyperlink r:id="rId18" w:history="1">
        <w:r w:rsidRPr="00192B15">
          <w:rPr>
            <w:rStyle w:val="Hyperlink"/>
          </w:rPr>
          <w:t>https://www.theadvocatesforhumanrights.org/res/byid/9110</w:t>
        </w:r>
      </w:hyperlink>
      <w:r>
        <w:t xml:space="preserve"> accessed 6 June 2023</w:t>
      </w:r>
      <w:r w:rsidR="00D6187C">
        <w:t>;</w:t>
      </w:r>
      <w:r w:rsidRPr="0022275D">
        <w:t xml:space="preserve"> </w:t>
      </w:r>
      <w:proofErr w:type="spellStart"/>
      <w:r w:rsidRPr="0022275D">
        <w:t>Eskitaşçıoğlu</w:t>
      </w:r>
      <w:proofErr w:type="spellEnd"/>
      <w:r w:rsidR="000967B0">
        <w:t xml:space="preserve"> (</w:t>
      </w:r>
      <w:r w:rsidR="00DA7FF4">
        <w:t>n 1</w:t>
      </w:r>
      <w:r w:rsidR="000967B0">
        <w:t>)</w:t>
      </w:r>
      <w:r w:rsidR="00DA7FF4">
        <w:t xml:space="preserve">; </w:t>
      </w:r>
      <w:r>
        <w:t>Cali</w:t>
      </w:r>
      <w:r w:rsidR="000967B0">
        <w:t xml:space="preserve"> (</w:t>
      </w:r>
      <w:r w:rsidR="00DA7FF4">
        <w:t>n 28</w:t>
      </w:r>
      <w:r w:rsidR="000967B0">
        <w:t>)</w:t>
      </w:r>
      <w:r>
        <w:t>;</w:t>
      </w:r>
      <w:r w:rsidRPr="00B54C9B">
        <w:t xml:space="preserve"> Özlem </w:t>
      </w:r>
      <w:proofErr w:type="spellStart"/>
      <w:r w:rsidRPr="00B54C9B">
        <w:t>Altiok</w:t>
      </w:r>
      <w:proofErr w:type="spellEnd"/>
      <w:r>
        <w:t>,</w:t>
      </w:r>
      <w:r w:rsidRPr="00B54C9B">
        <w:t xml:space="preserve"> </w:t>
      </w:r>
      <w:r w:rsidR="00B44A98">
        <w:t>‘</w:t>
      </w:r>
      <w:r w:rsidRPr="00B54C9B">
        <w:t xml:space="preserve">From Zoom to the </w:t>
      </w:r>
      <w:r w:rsidR="000967B0">
        <w:t>C</w:t>
      </w:r>
      <w:r w:rsidRPr="00B54C9B">
        <w:t xml:space="preserve">ourtroom: The </w:t>
      </w:r>
      <w:r w:rsidR="000967B0">
        <w:t>O</w:t>
      </w:r>
      <w:r w:rsidRPr="00B54C9B">
        <w:t xml:space="preserve">ngoing </w:t>
      </w:r>
      <w:r w:rsidR="000967B0">
        <w:t>S</w:t>
      </w:r>
      <w:r w:rsidRPr="00B54C9B">
        <w:t xml:space="preserve">truggle for </w:t>
      </w:r>
      <w:r w:rsidR="000967B0">
        <w:t>W</w:t>
      </w:r>
      <w:r w:rsidRPr="00B54C9B">
        <w:t xml:space="preserve">omen’s </w:t>
      </w:r>
      <w:r w:rsidR="000967B0">
        <w:t>R</w:t>
      </w:r>
      <w:r w:rsidRPr="00B54C9B">
        <w:t>ights in Turkey</w:t>
      </w:r>
      <w:r w:rsidR="00B44A98">
        <w:t>’</w:t>
      </w:r>
      <w:r w:rsidR="000967B0">
        <w:t>,</w:t>
      </w:r>
      <w:r w:rsidR="00DB2D57">
        <w:t xml:space="preserve"> </w:t>
      </w:r>
      <w:r w:rsidRPr="000967B0">
        <w:rPr>
          <w:i/>
          <w:iCs/>
        </w:rPr>
        <w:t xml:space="preserve">Transforming Society </w:t>
      </w:r>
      <w:r w:rsidR="00DB2D57" w:rsidRPr="000967B0">
        <w:rPr>
          <w:i/>
          <w:iCs/>
        </w:rPr>
        <w:t>blog</w:t>
      </w:r>
      <w:r w:rsidR="00DB2D57">
        <w:t xml:space="preserve">, </w:t>
      </w:r>
      <w:r w:rsidR="000967B0">
        <w:t xml:space="preserve">1 July 2021, </w:t>
      </w:r>
      <w:r w:rsidR="00DB2D57">
        <w:t>available at</w:t>
      </w:r>
      <w:r>
        <w:t xml:space="preserve"> </w:t>
      </w:r>
      <w:hyperlink r:id="rId19" w:history="1">
        <w:r w:rsidRPr="00192B15">
          <w:rPr>
            <w:rStyle w:val="Hyperlink"/>
          </w:rPr>
          <w:t>https://www.transformingsociety.co.uk/2022/07/01/from-zoom-to-the-courtroom-the-ongoing-struggle-for-womens-rights-in-turkey/</w:t>
        </w:r>
      </w:hyperlink>
      <w:r>
        <w:t xml:space="preserve"> accessed 6 June 2023.</w:t>
      </w:r>
    </w:p>
  </w:footnote>
  <w:footnote w:id="32">
    <w:p w14:paraId="5D48F6D2" w14:textId="31BDA543" w:rsidR="006214AF" w:rsidRDefault="006214AF" w:rsidP="006214AF">
      <w:pPr>
        <w:pStyle w:val="FootnoteText"/>
      </w:pPr>
      <w:r>
        <w:rPr>
          <w:rStyle w:val="FootnoteReference"/>
        </w:rPr>
        <w:footnoteRef/>
      </w:r>
      <w:r w:rsidR="005B548D">
        <w:t>The information was posted live on social media platforms and was</w:t>
      </w:r>
      <w:r w:rsidR="00256994">
        <w:t xml:space="preserve"> also</w:t>
      </w:r>
      <w:r w:rsidR="005B548D">
        <w:t xml:space="preserve"> available through announcements on ESIK’s website</w:t>
      </w:r>
      <w:r w:rsidR="00717969">
        <w:t>, available here</w:t>
      </w:r>
      <w:r>
        <w:t xml:space="preserve"> </w:t>
      </w:r>
      <w:hyperlink r:id="rId20" w:history="1">
        <w:r w:rsidR="005B548D" w:rsidRPr="00FF57EE">
          <w:rPr>
            <w:rStyle w:val="Hyperlink"/>
          </w:rPr>
          <w:t>https://esikplatform.net/kategori/istanbul-sozlesmesi</w:t>
        </w:r>
      </w:hyperlink>
      <w:r w:rsidR="005B548D">
        <w:t xml:space="preserve"> </w:t>
      </w:r>
      <w:r>
        <w:t>accessed 13 April 2023.</w:t>
      </w:r>
    </w:p>
  </w:footnote>
  <w:footnote w:id="33">
    <w:p w14:paraId="641DA538" w14:textId="2B9FCC40" w:rsidR="00CA7517" w:rsidRDefault="00CA7517">
      <w:pPr>
        <w:pStyle w:val="FootnoteText"/>
      </w:pPr>
      <w:r w:rsidRPr="00717969">
        <w:rPr>
          <w:rStyle w:val="FootnoteReference"/>
        </w:rPr>
        <w:footnoteRef/>
      </w:r>
      <w:r w:rsidRPr="00717969">
        <w:t xml:space="preserve"> </w:t>
      </w:r>
      <w:r w:rsidR="005B548D" w:rsidRPr="00717969">
        <w:t>O</w:t>
      </w:r>
      <w:r w:rsidR="005B548D" w:rsidRPr="005B548D">
        <w:t>ur participants are publicly known for their involvement in the Istanbul Convention cases, and their participation in this project was considered low-risk.</w:t>
      </w:r>
      <w:r w:rsidR="00B77E03">
        <w:t xml:space="preserve"> </w:t>
      </w:r>
      <w:r w:rsidR="005B548D" w:rsidRPr="005B548D">
        <w:t xml:space="preserve">We selected our </w:t>
      </w:r>
      <w:r w:rsidR="00595255">
        <w:t>participants</w:t>
      </w:r>
      <w:r w:rsidR="005B548D" w:rsidRPr="005B548D">
        <w:t xml:space="preserve"> from among the many activists who have publicly expressed their ideas about their involvement in the Istanbul Convention cases on TV, YouTube, websites and social media. We shared our detailed consent form and interview questions with the participants before arranging an interview date. They participated in the interviews after reading the consent form and interview questions. We discussed the consent form at the beginning of each interview and obtained their informed consent before the interview began. The consent form covered information including but not limited to: the aims of the project, the planned academic outcomes</w:t>
      </w:r>
      <w:r w:rsidR="00595255">
        <w:t xml:space="preserve">, </w:t>
      </w:r>
      <w:r w:rsidR="005B548D" w:rsidRPr="005B548D">
        <w:t>the participants' right to withdraw from the project</w:t>
      </w:r>
      <w:r w:rsidR="00595255">
        <w:t xml:space="preserve"> and the fact that the project is not funded by any institution including universities</w:t>
      </w:r>
      <w:r w:rsidR="005B548D" w:rsidRPr="005B548D">
        <w:t xml:space="preserve">. Participants agreed to be named in the project, but we took the decision to anonymise them to maintain their unidentifiability </w:t>
      </w:r>
      <w:r w:rsidR="00595255">
        <w:t>and</w:t>
      </w:r>
      <w:r w:rsidR="005B548D" w:rsidRPr="005B548D">
        <w:t xml:space="preserve"> further reduce risk.</w:t>
      </w:r>
    </w:p>
  </w:footnote>
  <w:footnote w:id="34">
    <w:p w14:paraId="66BA149D" w14:textId="04FBD513" w:rsidR="00522CA0" w:rsidRDefault="00522CA0">
      <w:pPr>
        <w:pStyle w:val="FootnoteText"/>
      </w:pPr>
      <w:r>
        <w:rPr>
          <w:rStyle w:val="FootnoteReference"/>
        </w:rPr>
        <w:footnoteRef/>
      </w:r>
      <w:r>
        <w:t xml:space="preserve"> </w:t>
      </w:r>
      <w:r w:rsidR="007A093E">
        <w:t>See further</w:t>
      </w:r>
      <w:r w:rsidR="00A37FC0">
        <w:t xml:space="preserve"> </w:t>
      </w:r>
      <w:r w:rsidR="00A37FC0" w:rsidRPr="00A37FC0">
        <w:t>EŞİK</w:t>
      </w:r>
      <w:r w:rsidR="00A37FC0">
        <w:t xml:space="preserve"> platform, available at</w:t>
      </w:r>
      <w:r w:rsidR="00A37FC0" w:rsidRPr="00A37FC0">
        <w:t xml:space="preserve"> </w:t>
      </w:r>
      <w:hyperlink r:id="rId21" w:history="1">
        <w:r w:rsidR="00A37FC0" w:rsidRPr="003067D5">
          <w:rPr>
            <w:rStyle w:val="Hyperlink"/>
          </w:rPr>
          <w:t>https://esikplatform.net/kategori/istanbul-sozlesmesi-basin-aciklamalari/73943/istanbul-sozlesmesi-icin-temyizler-suruyor/</w:t>
        </w:r>
      </w:hyperlink>
      <w:r>
        <w:t xml:space="preserve"> accessed 7 April 2023.</w:t>
      </w:r>
    </w:p>
  </w:footnote>
  <w:footnote w:id="35">
    <w:p w14:paraId="627704E0" w14:textId="0EC84800" w:rsidR="00DF6023" w:rsidRDefault="00DF6023">
      <w:pPr>
        <w:pStyle w:val="FootnoteText"/>
      </w:pPr>
      <w:r>
        <w:rPr>
          <w:rStyle w:val="FootnoteReference"/>
        </w:rPr>
        <w:footnoteRef/>
      </w:r>
      <w:r>
        <w:t xml:space="preserve"> </w:t>
      </w:r>
      <w:r w:rsidR="00A37FC0">
        <w:t xml:space="preserve">See further The </w:t>
      </w:r>
      <w:r>
        <w:t xml:space="preserve">Law </w:t>
      </w:r>
      <w:r w:rsidR="00A37FC0">
        <w:t>D</w:t>
      </w:r>
      <w:r>
        <w:t xml:space="preserve">ictionary </w:t>
      </w:r>
      <w:r w:rsidR="00A37FC0">
        <w:t xml:space="preserve">entry for ‘legality’, available </w:t>
      </w:r>
      <w:r w:rsidR="0066304C">
        <w:t>at</w:t>
      </w:r>
      <w:r w:rsidR="007D20B1">
        <w:t xml:space="preserve"> </w:t>
      </w:r>
      <w:hyperlink r:id="rId22" w:history="1">
        <w:r w:rsidR="007D20B1" w:rsidRPr="006F0F00">
          <w:rPr>
            <w:rStyle w:val="Hyperlink"/>
          </w:rPr>
          <w:t>https://thelawdictionary.org/legality/</w:t>
        </w:r>
      </w:hyperlink>
      <w:r w:rsidR="007D20B1">
        <w:t xml:space="preserve"> </w:t>
      </w:r>
      <w:r w:rsidR="00FA72AE">
        <w:t>a</w:t>
      </w:r>
      <w:r w:rsidR="0066304C">
        <w:t>ccessed 7 April 2023.</w:t>
      </w:r>
    </w:p>
  </w:footnote>
  <w:footnote w:id="36">
    <w:p w14:paraId="1AB5B3D9" w14:textId="583A7EBC" w:rsidR="00DD1431" w:rsidRDefault="00DD1431">
      <w:pPr>
        <w:pStyle w:val="FootnoteText"/>
      </w:pPr>
      <w:r>
        <w:rPr>
          <w:rStyle w:val="FootnoteReference"/>
        </w:rPr>
        <w:footnoteRef/>
      </w:r>
      <w:r>
        <w:t xml:space="preserve"> Elif Ceylan </w:t>
      </w:r>
      <w:proofErr w:type="spellStart"/>
      <w:r>
        <w:t>Ozsoy</w:t>
      </w:r>
      <w:proofErr w:type="spellEnd"/>
      <w:r>
        <w:t>, ‘</w:t>
      </w:r>
      <w:r w:rsidRPr="00DD1431">
        <w:t xml:space="preserve">Critical </w:t>
      </w:r>
      <w:r w:rsidR="00EB7C60">
        <w:t>F</w:t>
      </w:r>
      <w:r w:rsidRPr="00DD1431">
        <w:t xml:space="preserve">eminist </w:t>
      </w:r>
      <w:r w:rsidR="00EB7C60">
        <w:t>L</w:t>
      </w:r>
      <w:r w:rsidRPr="00DD1431">
        <w:t xml:space="preserve">aw-making: Imitative Spaces and Improvised Coalitions' (2023) </w:t>
      </w:r>
      <w:r w:rsidRPr="006A7F09">
        <w:rPr>
          <w:i/>
          <w:iCs/>
        </w:rPr>
        <w:t>Australian Feminist Law Journal</w:t>
      </w:r>
      <w:r w:rsidR="006A7F09">
        <w:t xml:space="preserve"> </w:t>
      </w:r>
      <w:r w:rsidRPr="00DD1431">
        <w:t>48</w:t>
      </w:r>
      <w:r w:rsidR="006A7F09">
        <w:t xml:space="preserve">, </w:t>
      </w:r>
      <w:r w:rsidRPr="00DD1431">
        <w:t xml:space="preserve">265-294.  </w:t>
      </w:r>
    </w:p>
  </w:footnote>
  <w:footnote w:id="37">
    <w:p w14:paraId="7F0BC253" w14:textId="4EA3233A" w:rsidR="00485C29" w:rsidRDefault="00485C29" w:rsidP="00485C29">
      <w:pPr>
        <w:pStyle w:val="FootnoteText"/>
      </w:pPr>
      <w:r>
        <w:rPr>
          <w:rStyle w:val="FootnoteReference"/>
        </w:rPr>
        <w:footnoteRef/>
      </w:r>
      <w:r w:rsidR="00F46623">
        <w:t xml:space="preserve"> </w:t>
      </w:r>
      <w:r>
        <w:t>Davies</w:t>
      </w:r>
      <w:r w:rsidR="00CC6572">
        <w:t xml:space="preserve"> (</w:t>
      </w:r>
      <w:r w:rsidR="00F46623">
        <w:t>n 7</w:t>
      </w:r>
      <w:r w:rsidR="00CC6572">
        <w:t>)</w:t>
      </w:r>
      <w:r w:rsidR="00AB63C0">
        <w:t xml:space="preserve"> </w:t>
      </w:r>
      <w:r w:rsidR="00BA42CE">
        <w:t>286.</w:t>
      </w:r>
      <w:r w:rsidR="000A6473">
        <w:t xml:space="preserve"> </w:t>
      </w:r>
    </w:p>
  </w:footnote>
  <w:footnote w:id="38">
    <w:p w14:paraId="4184BFEB" w14:textId="5FBA5D40" w:rsidR="00522CA0" w:rsidRDefault="00522CA0">
      <w:pPr>
        <w:pStyle w:val="FootnoteText"/>
      </w:pPr>
      <w:r>
        <w:rPr>
          <w:rStyle w:val="FootnoteReference"/>
        </w:rPr>
        <w:footnoteRef/>
      </w:r>
      <w:r>
        <w:t xml:space="preserve"> </w:t>
      </w:r>
      <w:r w:rsidR="00913EC7" w:rsidRPr="00913EC7">
        <w:t xml:space="preserve">See further EŞİK platform, available at </w:t>
      </w:r>
      <w:hyperlink r:id="rId23" w:history="1">
        <w:r w:rsidRPr="00E93E75">
          <w:rPr>
            <w:rStyle w:val="Hyperlink"/>
          </w:rPr>
          <w:t>https://esikplatform.net/kategori/istanbul-sozlesmesi-basin-aciklamalari/72142/istanbulsozlesmesi10yasinda/</w:t>
        </w:r>
      </w:hyperlink>
      <w:r>
        <w:t xml:space="preserve"> accessed 13 April 2023.</w:t>
      </w:r>
    </w:p>
  </w:footnote>
  <w:footnote w:id="39">
    <w:p w14:paraId="12488DD0" w14:textId="0B9CE32A" w:rsidR="00522CA0" w:rsidRDefault="00522CA0">
      <w:pPr>
        <w:pStyle w:val="FootnoteText"/>
      </w:pPr>
      <w:r>
        <w:rPr>
          <w:rStyle w:val="FootnoteReference"/>
        </w:rPr>
        <w:footnoteRef/>
      </w:r>
      <w:r>
        <w:t xml:space="preserve"> </w:t>
      </w:r>
      <w:r w:rsidR="00913EC7" w:rsidRPr="00913EC7">
        <w:t xml:space="preserve">See </w:t>
      </w:r>
      <w:r w:rsidR="00F67AC0">
        <w:t>further, ibid.</w:t>
      </w:r>
    </w:p>
  </w:footnote>
  <w:footnote w:id="40">
    <w:p w14:paraId="118C75A0" w14:textId="1D3F30BF" w:rsidR="00522CA0" w:rsidRDefault="00522CA0">
      <w:pPr>
        <w:pStyle w:val="FootnoteText"/>
      </w:pPr>
      <w:r>
        <w:rPr>
          <w:rStyle w:val="FootnoteReference"/>
        </w:rPr>
        <w:footnoteRef/>
      </w:r>
      <w:r w:rsidR="00913EC7">
        <w:t xml:space="preserve"> </w:t>
      </w:r>
      <w:r w:rsidR="00913EC7" w:rsidRPr="00913EC7">
        <w:t>See further</w:t>
      </w:r>
      <w:r w:rsidR="00F67AC0">
        <w:t>, ibid</w:t>
      </w:r>
      <w:r>
        <w:t xml:space="preserve">. </w:t>
      </w:r>
    </w:p>
  </w:footnote>
  <w:footnote w:id="41">
    <w:p w14:paraId="01B1C3EA" w14:textId="35E9F4C9" w:rsidR="00522CA0" w:rsidRDefault="00522CA0">
      <w:pPr>
        <w:pStyle w:val="FootnoteText"/>
      </w:pPr>
      <w:r>
        <w:rPr>
          <w:rStyle w:val="FootnoteReference"/>
        </w:rPr>
        <w:footnoteRef/>
      </w:r>
      <w:r>
        <w:t xml:space="preserve"> Brickell and Cuomo</w:t>
      </w:r>
      <w:r w:rsidR="00CC6572">
        <w:t xml:space="preserve"> (</w:t>
      </w:r>
      <w:r w:rsidR="00AB63C0">
        <w:t>n 10</w:t>
      </w:r>
      <w:r w:rsidR="00CC6572">
        <w:t>)</w:t>
      </w:r>
      <w:r w:rsidRPr="0022275D">
        <w:t>.</w:t>
      </w:r>
    </w:p>
  </w:footnote>
  <w:footnote w:id="42">
    <w:p w14:paraId="22887AD3" w14:textId="3C6AEFCB" w:rsidR="00522CA0" w:rsidRDefault="00522CA0" w:rsidP="00C55429">
      <w:pPr>
        <w:pStyle w:val="FootnoteText"/>
      </w:pPr>
      <w:r>
        <w:rPr>
          <w:rStyle w:val="FootnoteReference"/>
        </w:rPr>
        <w:footnoteRef/>
      </w:r>
      <w:r>
        <w:t xml:space="preserve"> </w:t>
      </w:r>
      <w:r w:rsidR="00741A02">
        <w:t>Ibid.</w:t>
      </w:r>
    </w:p>
  </w:footnote>
  <w:footnote w:id="43">
    <w:p w14:paraId="4B285D11" w14:textId="638B4461" w:rsidR="00522CA0" w:rsidRDefault="00522CA0">
      <w:pPr>
        <w:pStyle w:val="FootnoteText"/>
      </w:pPr>
      <w:r>
        <w:rPr>
          <w:rStyle w:val="FootnoteReference"/>
        </w:rPr>
        <w:footnoteRef/>
      </w:r>
      <w:r>
        <w:t xml:space="preserve"> Pearson</w:t>
      </w:r>
      <w:r w:rsidR="00CC6572">
        <w:t xml:space="preserve"> (</w:t>
      </w:r>
      <w:r w:rsidR="00741A02">
        <w:t>n 7</w:t>
      </w:r>
      <w:r w:rsidR="00CC6572">
        <w:t xml:space="preserve">) </w:t>
      </w:r>
      <w:r w:rsidR="00216A13">
        <w:t>491</w:t>
      </w:r>
      <w:r>
        <w:t xml:space="preserve">. </w:t>
      </w:r>
    </w:p>
  </w:footnote>
  <w:footnote w:id="44">
    <w:p w14:paraId="45B35F79" w14:textId="7B360639" w:rsidR="00522CA0" w:rsidRDefault="00522CA0">
      <w:pPr>
        <w:pStyle w:val="FootnoteText"/>
      </w:pPr>
      <w:r>
        <w:rPr>
          <w:rStyle w:val="FootnoteReference"/>
        </w:rPr>
        <w:footnoteRef/>
      </w:r>
      <w:r>
        <w:t xml:space="preserve"> </w:t>
      </w:r>
      <w:r w:rsidR="0081482D">
        <w:t>Ibid</w:t>
      </w:r>
      <w:r>
        <w:t>.</w:t>
      </w:r>
    </w:p>
  </w:footnote>
  <w:footnote w:id="45">
    <w:p w14:paraId="5FC13089" w14:textId="6B74E086" w:rsidR="00522CA0" w:rsidRDefault="00522CA0">
      <w:pPr>
        <w:pStyle w:val="FootnoteText"/>
      </w:pPr>
      <w:r>
        <w:rPr>
          <w:rStyle w:val="FootnoteReference"/>
        </w:rPr>
        <w:footnoteRef/>
      </w:r>
      <w:r>
        <w:t xml:space="preserve"> </w:t>
      </w:r>
      <w:r w:rsidR="0081482D">
        <w:t>Ibid</w:t>
      </w:r>
      <w:r>
        <w:t xml:space="preserve">; </w:t>
      </w:r>
      <w:r w:rsidRPr="005C158A">
        <w:t>Zoe Pearson</w:t>
      </w:r>
      <w:r w:rsidR="006F7C9F">
        <w:t>,</w:t>
      </w:r>
      <w:r>
        <w:t xml:space="preserve"> ‘</w:t>
      </w:r>
      <w:r w:rsidRPr="005C158A">
        <w:t>Non-Governmental Organizations and the International Criminal Court: Changing Landscapes of International Law</w:t>
      </w:r>
      <w:r>
        <w:t>’</w:t>
      </w:r>
      <w:r w:rsidRPr="005C158A">
        <w:t xml:space="preserve"> </w:t>
      </w:r>
      <w:r w:rsidR="006F7C9F" w:rsidRPr="005C158A">
        <w:t xml:space="preserve">(2006) </w:t>
      </w:r>
      <w:r w:rsidRPr="0081482D">
        <w:rPr>
          <w:i/>
          <w:iCs/>
        </w:rPr>
        <w:t>Cornell International Law Journal</w:t>
      </w:r>
      <w:r w:rsidR="0081482D">
        <w:t xml:space="preserve"> </w:t>
      </w:r>
      <w:r w:rsidRPr="005C158A">
        <w:t>39</w:t>
      </w:r>
      <w:r w:rsidR="000616CF">
        <w:t xml:space="preserve">, </w:t>
      </w:r>
      <w:r w:rsidRPr="005C158A">
        <w:t>Article 2.</w:t>
      </w:r>
    </w:p>
  </w:footnote>
  <w:footnote w:id="46">
    <w:p w14:paraId="16A5C493" w14:textId="5B331401" w:rsidR="00522CA0" w:rsidRDefault="00522CA0">
      <w:pPr>
        <w:pStyle w:val="FootnoteText"/>
      </w:pPr>
      <w:r>
        <w:rPr>
          <w:rStyle w:val="FootnoteReference"/>
        </w:rPr>
        <w:footnoteRef/>
      </w:r>
      <w:r>
        <w:t xml:space="preserve"> </w:t>
      </w:r>
      <w:r w:rsidR="000C2CC8">
        <w:t>Pearson</w:t>
      </w:r>
      <w:r w:rsidR="00CC6572">
        <w:t xml:space="preserve"> (</w:t>
      </w:r>
      <w:r w:rsidR="000C2CC8">
        <w:t>n 7</w:t>
      </w:r>
      <w:r w:rsidR="00CC6572">
        <w:t>)</w:t>
      </w:r>
      <w:r w:rsidR="000C2CC8">
        <w:t>.</w:t>
      </w:r>
    </w:p>
  </w:footnote>
  <w:footnote w:id="47">
    <w:p w14:paraId="07A6F6E9" w14:textId="5D0FF36C" w:rsidR="00522CA0" w:rsidRDefault="00522CA0">
      <w:pPr>
        <w:pStyle w:val="FootnoteText"/>
      </w:pPr>
      <w:r>
        <w:rPr>
          <w:rStyle w:val="FootnoteReference"/>
        </w:rPr>
        <w:footnoteRef/>
      </w:r>
      <w:r>
        <w:t xml:space="preserve"> </w:t>
      </w:r>
      <w:r w:rsidR="000C2CC8">
        <w:t>Merry</w:t>
      </w:r>
      <w:r w:rsidR="00CC6572">
        <w:t xml:space="preserve"> (</w:t>
      </w:r>
      <w:r w:rsidR="00B54E8E">
        <w:t>n 7</w:t>
      </w:r>
      <w:r w:rsidR="00CC6572">
        <w:t>)</w:t>
      </w:r>
      <w:r w:rsidR="00B54E8E">
        <w:t>; Davies</w:t>
      </w:r>
      <w:r w:rsidR="00CC6572">
        <w:t xml:space="preserve"> (</w:t>
      </w:r>
      <w:r w:rsidR="00B54E8E">
        <w:t>n 7</w:t>
      </w:r>
      <w:r w:rsidR="00CC6572">
        <w:t>)</w:t>
      </w:r>
      <w:r>
        <w:t>.</w:t>
      </w:r>
    </w:p>
  </w:footnote>
  <w:footnote w:id="48">
    <w:p w14:paraId="7030FEC2" w14:textId="788A5160" w:rsidR="00522CA0" w:rsidRDefault="00522CA0">
      <w:pPr>
        <w:pStyle w:val="FootnoteText"/>
      </w:pPr>
      <w:r>
        <w:rPr>
          <w:rStyle w:val="FootnoteReference"/>
        </w:rPr>
        <w:footnoteRef/>
      </w:r>
      <w:r w:rsidR="00A3148E">
        <w:t xml:space="preserve"> Ibid</w:t>
      </w:r>
      <w:r>
        <w:t>.</w:t>
      </w:r>
    </w:p>
  </w:footnote>
  <w:footnote w:id="49">
    <w:p w14:paraId="73E0EF80" w14:textId="1458DE5F" w:rsidR="00522CA0" w:rsidRPr="0022275D" w:rsidRDefault="00522CA0" w:rsidP="007F47D9">
      <w:pPr>
        <w:pStyle w:val="FootnoteText"/>
      </w:pPr>
      <w:r w:rsidRPr="0022275D">
        <w:rPr>
          <w:rStyle w:val="FootnoteReference"/>
        </w:rPr>
        <w:footnoteRef/>
      </w:r>
      <w:r w:rsidRPr="0022275D">
        <w:t xml:space="preserve"> </w:t>
      </w:r>
      <w:r w:rsidR="00A3148E">
        <w:t>Merry</w:t>
      </w:r>
      <w:r w:rsidR="00CC6572">
        <w:t xml:space="preserve"> (</w:t>
      </w:r>
      <w:r w:rsidR="00A3148E">
        <w:t>n 7</w:t>
      </w:r>
      <w:r w:rsidR="00CC6572">
        <w:t>)</w:t>
      </w:r>
      <w:r w:rsidR="00A3148E">
        <w:t>.</w:t>
      </w:r>
    </w:p>
  </w:footnote>
  <w:footnote w:id="50">
    <w:p w14:paraId="03A17C18" w14:textId="24E99763" w:rsidR="00522CA0" w:rsidRDefault="00522CA0" w:rsidP="00FB1017">
      <w:pPr>
        <w:pStyle w:val="FootnoteText"/>
      </w:pPr>
      <w:r>
        <w:rPr>
          <w:rStyle w:val="FootnoteReference"/>
        </w:rPr>
        <w:footnoteRef/>
      </w:r>
      <w:r>
        <w:t xml:space="preserve"> </w:t>
      </w:r>
      <w:r w:rsidR="00A3148E">
        <w:t>Ibid</w:t>
      </w:r>
      <w:r w:rsidRPr="0022275D">
        <w:t>.</w:t>
      </w:r>
    </w:p>
  </w:footnote>
  <w:footnote w:id="51">
    <w:p w14:paraId="6522677A" w14:textId="048189C9" w:rsidR="00522CA0" w:rsidRDefault="00522CA0" w:rsidP="00FB1017">
      <w:pPr>
        <w:pStyle w:val="FootnoteText"/>
      </w:pPr>
      <w:r>
        <w:rPr>
          <w:rStyle w:val="FootnoteReference"/>
        </w:rPr>
        <w:footnoteRef/>
      </w:r>
      <w:r>
        <w:t xml:space="preserve"> </w:t>
      </w:r>
      <w:r w:rsidRPr="0022275D">
        <w:t>Daniel M Goldstein, ‘Whose Vernacular? Translating Human Rights in Local Contexts’ in Mark Goodale (ed)</w:t>
      </w:r>
      <w:r w:rsidR="0018558C">
        <w:t>,</w:t>
      </w:r>
      <w:r w:rsidRPr="0022275D">
        <w:t xml:space="preserve"> </w:t>
      </w:r>
      <w:r w:rsidRPr="0022275D">
        <w:rPr>
          <w:i/>
          <w:iCs/>
        </w:rPr>
        <w:t>Human Rights at the Crossroads</w:t>
      </w:r>
      <w:r w:rsidRPr="0022275D">
        <w:t xml:space="preserve"> (OUP</w:t>
      </w:r>
      <w:r w:rsidR="003E47BD">
        <w:t xml:space="preserve"> 2013</w:t>
      </w:r>
      <w:r w:rsidRPr="0022275D">
        <w:t>)</w:t>
      </w:r>
      <w:r w:rsidR="00AA0578">
        <w:t xml:space="preserve"> 110-121.</w:t>
      </w:r>
    </w:p>
  </w:footnote>
  <w:footnote w:id="52">
    <w:p w14:paraId="73E8AD73" w14:textId="0821FA38" w:rsidR="00522CA0" w:rsidRPr="0022275D" w:rsidRDefault="00522CA0" w:rsidP="00FB1017">
      <w:pPr>
        <w:pStyle w:val="FootnoteText"/>
      </w:pPr>
      <w:r w:rsidRPr="0022275D">
        <w:rPr>
          <w:rStyle w:val="FootnoteReference"/>
        </w:rPr>
        <w:footnoteRef/>
      </w:r>
      <w:r w:rsidRPr="0022275D">
        <w:t xml:space="preserve"> </w:t>
      </w:r>
      <w:r w:rsidR="00AA0578">
        <w:t>Ibid</w:t>
      </w:r>
      <w:r w:rsidR="00F11B4B">
        <w:t>.</w:t>
      </w:r>
      <w:r w:rsidR="000528E9">
        <w:t>111</w:t>
      </w:r>
      <w:r w:rsidRPr="0022275D">
        <w:t>.</w:t>
      </w:r>
    </w:p>
  </w:footnote>
  <w:footnote w:id="53">
    <w:p w14:paraId="405317D4" w14:textId="380A202B" w:rsidR="00522CA0" w:rsidRPr="0022275D" w:rsidRDefault="00522CA0" w:rsidP="00FB1017">
      <w:pPr>
        <w:pStyle w:val="FootnoteText"/>
      </w:pPr>
      <w:r w:rsidRPr="0022275D">
        <w:rPr>
          <w:rStyle w:val="FootnoteReference"/>
        </w:rPr>
        <w:footnoteRef/>
      </w:r>
      <w:r w:rsidRPr="0022275D">
        <w:t xml:space="preserve"> Robin Frederick Dunford </w:t>
      </w:r>
      <w:r w:rsidR="00ED7E4B">
        <w:t>and</w:t>
      </w:r>
      <w:r w:rsidRPr="0022275D">
        <w:t xml:space="preserve"> Sumi Madhok, ‘Vernacular </w:t>
      </w:r>
      <w:r w:rsidR="00852A3F">
        <w:t>R</w:t>
      </w:r>
      <w:r w:rsidRPr="0022275D">
        <w:t xml:space="preserve">ights </w:t>
      </w:r>
      <w:r w:rsidR="00852A3F">
        <w:t>C</w:t>
      </w:r>
      <w:r w:rsidRPr="0022275D">
        <w:t xml:space="preserve">ultures and the </w:t>
      </w:r>
      <w:r w:rsidR="00852A3F">
        <w:t>“</w:t>
      </w:r>
      <w:r w:rsidRPr="0022275D">
        <w:t>Right to Have Rights</w:t>
      </w:r>
      <w:r w:rsidR="00852A3F">
        <w:t>”</w:t>
      </w:r>
      <w:r w:rsidRPr="0022275D">
        <w:t xml:space="preserve">’ (2015) </w:t>
      </w:r>
      <w:r w:rsidRPr="00ED7E4B">
        <w:rPr>
          <w:i/>
          <w:iCs/>
        </w:rPr>
        <w:t>Citizenship Studies</w:t>
      </w:r>
      <w:r w:rsidRPr="0022275D">
        <w:t xml:space="preserve"> 19, 605-</w:t>
      </w:r>
      <w:r w:rsidR="005454B4">
        <w:t>617</w:t>
      </w:r>
      <w:r w:rsidR="0022616A">
        <w:t>, 614</w:t>
      </w:r>
      <w:r w:rsidRPr="0022275D">
        <w:t>.</w:t>
      </w:r>
    </w:p>
  </w:footnote>
  <w:footnote w:id="54">
    <w:p w14:paraId="4EC5EE04" w14:textId="59EC0830" w:rsidR="00522CA0" w:rsidRDefault="00522CA0" w:rsidP="00FB1017">
      <w:pPr>
        <w:pStyle w:val="FootnoteText"/>
      </w:pPr>
      <w:r>
        <w:rPr>
          <w:rStyle w:val="FootnoteReference"/>
        </w:rPr>
        <w:footnoteRef/>
      </w:r>
      <w:r>
        <w:t xml:space="preserve"> </w:t>
      </w:r>
      <w:r w:rsidRPr="00A60BFF">
        <w:t>Charlesworth</w:t>
      </w:r>
      <w:r w:rsidR="0022616A">
        <w:t xml:space="preserve"> </w:t>
      </w:r>
      <w:r w:rsidR="00CC6572">
        <w:t>(</w:t>
      </w:r>
      <w:r w:rsidR="0022616A">
        <w:t>n 11</w:t>
      </w:r>
      <w:r w:rsidR="00CC6572">
        <w:t>)</w:t>
      </w:r>
      <w:r>
        <w:t>.</w:t>
      </w:r>
    </w:p>
  </w:footnote>
  <w:footnote w:id="55">
    <w:p w14:paraId="1751060D" w14:textId="1F9D2A44" w:rsidR="00522CA0" w:rsidRPr="0022275D" w:rsidRDefault="00522CA0" w:rsidP="007F47D9">
      <w:pPr>
        <w:pStyle w:val="FootnoteText"/>
      </w:pPr>
      <w:r w:rsidRPr="0022275D">
        <w:rPr>
          <w:rStyle w:val="FootnoteReference"/>
        </w:rPr>
        <w:footnoteRef/>
      </w:r>
      <w:r w:rsidRPr="0022275D">
        <w:t xml:space="preserve"> Merry</w:t>
      </w:r>
      <w:r w:rsidR="00CC6572">
        <w:t xml:space="preserve"> (</w:t>
      </w:r>
      <w:r w:rsidR="0022616A">
        <w:t>n 7</w:t>
      </w:r>
      <w:r w:rsidR="00CC6572">
        <w:t>)</w:t>
      </w:r>
      <w:r w:rsidRPr="0022275D">
        <w:t>.</w:t>
      </w:r>
    </w:p>
  </w:footnote>
  <w:footnote w:id="56">
    <w:p w14:paraId="1A61E0A4" w14:textId="245C3271" w:rsidR="00522CA0" w:rsidRPr="0022275D" w:rsidRDefault="00522CA0" w:rsidP="007F47D9">
      <w:pPr>
        <w:pStyle w:val="FootnoteText"/>
      </w:pPr>
      <w:r w:rsidRPr="0022275D">
        <w:rPr>
          <w:rStyle w:val="FootnoteReference"/>
        </w:rPr>
        <w:footnoteRef/>
      </w:r>
      <w:r w:rsidRPr="0022275D">
        <w:t xml:space="preserve"> </w:t>
      </w:r>
      <w:r w:rsidR="0022616A">
        <w:t>Ibid</w:t>
      </w:r>
      <w:r w:rsidRPr="0022275D">
        <w:t>.</w:t>
      </w:r>
    </w:p>
  </w:footnote>
  <w:footnote w:id="57">
    <w:p w14:paraId="37F3A4BB" w14:textId="64325BD1" w:rsidR="00522CA0" w:rsidRPr="0022275D" w:rsidRDefault="00522CA0" w:rsidP="007F47D9">
      <w:pPr>
        <w:pStyle w:val="FootnoteText"/>
      </w:pPr>
      <w:r w:rsidRPr="0022275D">
        <w:rPr>
          <w:rStyle w:val="FootnoteReference"/>
        </w:rPr>
        <w:footnoteRef/>
      </w:r>
      <w:r w:rsidRPr="0022275D">
        <w:t xml:space="preserve"> </w:t>
      </w:r>
      <w:r w:rsidR="0022616A">
        <w:t>Ibid</w:t>
      </w:r>
      <w:r w:rsidRPr="0022275D">
        <w:t>.</w:t>
      </w:r>
    </w:p>
  </w:footnote>
  <w:footnote w:id="58">
    <w:p w14:paraId="190379C5" w14:textId="05A51C79" w:rsidR="00522CA0" w:rsidRPr="0022275D" w:rsidRDefault="00522CA0" w:rsidP="007F47D9">
      <w:pPr>
        <w:pStyle w:val="FootnoteText"/>
      </w:pPr>
      <w:r w:rsidRPr="0022275D">
        <w:rPr>
          <w:rStyle w:val="FootnoteReference"/>
        </w:rPr>
        <w:footnoteRef/>
      </w:r>
      <w:r w:rsidRPr="0022275D">
        <w:t xml:space="preserve"> </w:t>
      </w:r>
      <w:r w:rsidR="0022616A">
        <w:t>Ibid</w:t>
      </w:r>
      <w:r w:rsidRPr="0022275D">
        <w:t>.</w:t>
      </w:r>
    </w:p>
  </w:footnote>
  <w:footnote w:id="59">
    <w:p w14:paraId="35633A42" w14:textId="747EFF00" w:rsidR="00522CA0" w:rsidRDefault="00522CA0" w:rsidP="007F47D9">
      <w:pPr>
        <w:pStyle w:val="FootnoteText"/>
      </w:pPr>
      <w:r>
        <w:rPr>
          <w:rStyle w:val="FootnoteReference"/>
        </w:rPr>
        <w:footnoteRef/>
      </w:r>
      <w:r>
        <w:t xml:space="preserve"> </w:t>
      </w:r>
      <w:r w:rsidRPr="00D56495">
        <w:t>Natalya Lusty</w:t>
      </w:r>
      <w:r>
        <w:t>, ‘</w:t>
      </w:r>
      <w:r w:rsidRPr="00D56495">
        <w:t xml:space="preserve">Riot </w:t>
      </w:r>
      <w:proofErr w:type="spellStart"/>
      <w:r w:rsidRPr="00D56495">
        <w:t>Grrrl</w:t>
      </w:r>
      <w:proofErr w:type="spellEnd"/>
      <w:r w:rsidRPr="00D56495">
        <w:t xml:space="preserve"> Manifestos and Radical Vernacular Feminism</w:t>
      </w:r>
      <w:r>
        <w:t>’</w:t>
      </w:r>
      <w:r w:rsidR="0022616A">
        <w:t xml:space="preserve"> </w:t>
      </w:r>
      <w:r>
        <w:t>(2017)</w:t>
      </w:r>
      <w:r w:rsidRPr="00D56495">
        <w:t xml:space="preserve"> </w:t>
      </w:r>
      <w:r w:rsidRPr="0022616A">
        <w:rPr>
          <w:i/>
          <w:iCs/>
        </w:rPr>
        <w:t>Australian Feminist</w:t>
      </w:r>
      <w:r w:rsidR="0022616A">
        <w:rPr>
          <w:i/>
          <w:iCs/>
        </w:rPr>
        <w:t xml:space="preserve"> </w:t>
      </w:r>
      <w:r w:rsidRPr="0022616A">
        <w:rPr>
          <w:i/>
          <w:iCs/>
        </w:rPr>
        <w:t>Studies</w:t>
      </w:r>
      <w:r w:rsidR="0022616A">
        <w:t xml:space="preserve"> </w:t>
      </w:r>
      <w:r>
        <w:t>32, 219–239.</w:t>
      </w:r>
    </w:p>
  </w:footnote>
  <w:footnote w:id="60">
    <w:p w14:paraId="3ABEB897" w14:textId="7AED03AF" w:rsidR="00522CA0" w:rsidRPr="0022275D" w:rsidRDefault="00522CA0" w:rsidP="007F47D9">
      <w:pPr>
        <w:pStyle w:val="FootnoteText"/>
      </w:pPr>
      <w:r w:rsidRPr="0022275D">
        <w:rPr>
          <w:rStyle w:val="FootnoteReference"/>
        </w:rPr>
        <w:footnoteRef/>
      </w:r>
      <w:r w:rsidRPr="0022275D">
        <w:t xml:space="preserve"> </w:t>
      </w:r>
      <w:r w:rsidR="0022616A">
        <w:t>M</w:t>
      </w:r>
      <w:r w:rsidRPr="0022275D">
        <w:t>erry</w:t>
      </w:r>
      <w:r w:rsidR="00CC6572">
        <w:t xml:space="preserve"> (</w:t>
      </w:r>
      <w:r w:rsidR="0022616A">
        <w:t>n 7</w:t>
      </w:r>
      <w:r w:rsidR="00CC6572">
        <w:t>)</w:t>
      </w:r>
      <w:r w:rsidRPr="0022275D">
        <w:t>.</w:t>
      </w:r>
    </w:p>
  </w:footnote>
  <w:footnote w:id="61">
    <w:p w14:paraId="393446C3" w14:textId="3BD030AC" w:rsidR="00B42CC5" w:rsidRDefault="00B42CC5">
      <w:pPr>
        <w:pStyle w:val="FootnoteText"/>
      </w:pPr>
      <w:r>
        <w:rPr>
          <w:rStyle w:val="FootnoteReference"/>
        </w:rPr>
        <w:footnoteRef/>
      </w:r>
      <w:r>
        <w:t xml:space="preserve"> </w:t>
      </w:r>
      <w:r w:rsidR="005454B4">
        <w:t xml:space="preserve">Sabine </w:t>
      </w:r>
      <w:r w:rsidR="005454B4" w:rsidRPr="005454B4">
        <w:t>Müller-Mall, </w:t>
      </w:r>
      <w:r w:rsidR="005454B4" w:rsidRPr="005454B4">
        <w:rPr>
          <w:i/>
          <w:iCs/>
        </w:rPr>
        <w:t>Legal Spaces: Towards a Topological Thinking of Law</w:t>
      </w:r>
      <w:r w:rsidR="005454B4" w:rsidRPr="005454B4">
        <w:t> (</w:t>
      </w:r>
      <w:r w:rsidR="00670552">
        <w:t>Springe</w:t>
      </w:r>
      <w:r w:rsidR="0022616A">
        <w:t>r</w:t>
      </w:r>
      <w:r w:rsidR="00FD601C">
        <w:t xml:space="preserve"> 2013</w:t>
      </w:r>
      <w:r w:rsidR="005454B4" w:rsidRPr="005454B4">
        <w:t>)</w:t>
      </w:r>
      <w:r w:rsidR="00796DED">
        <w:t xml:space="preserve"> </w:t>
      </w:r>
      <w:r w:rsidR="00670552">
        <w:t>49</w:t>
      </w:r>
      <w:r w:rsidR="005454B4" w:rsidRPr="005454B4">
        <w:t>.</w:t>
      </w:r>
    </w:p>
  </w:footnote>
  <w:footnote w:id="62">
    <w:p w14:paraId="53090726" w14:textId="2A68B8A0" w:rsidR="00B271E9" w:rsidRDefault="00B271E9">
      <w:pPr>
        <w:pStyle w:val="FootnoteText"/>
      </w:pPr>
      <w:r>
        <w:rPr>
          <w:rStyle w:val="FootnoteReference"/>
        </w:rPr>
        <w:footnoteRef/>
      </w:r>
      <w:r>
        <w:t xml:space="preserve"> </w:t>
      </w:r>
      <w:r w:rsidR="000B6121">
        <w:t>Catherine O’Rourke, ‘</w:t>
      </w:r>
      <w:r w:rsidR="000B6121" w:rsidRPr="000B6121">
        <w:t xml:space="preserve">Feminist Strategy in International Law: Understanding </w:t>
      </w:r>
      <w:r w:rsidR="00FD601C">
        <w:t>i</w:t>
      </w:r>
      <w:r w:rsidR="000B6121" w:rsidRPr="000B6121">
        <w:t>ts Legal, Normative and Political Dimensions</w:t>
      </w:r>
      <w:r w:rsidR="000B6121">
        <w:t xml:space="preserve">’ (2017) </w:t>
      </w:r>
      <w:r w:rsidR="000B6121" w:rsidRPr="0022616A">
        <w:rPr>
          <w:i/>
          <w:iCs/>
        </w:rPr>
        <w:t xml:space="preserve">European Journal of International </w:t>
      </w:r>
      <w:r w:rsidR="000B6121" w:rsidRPr="000B6121">
        <w:t>28</w:t>
      </w:r>
      <w:r w:rsidR="000528E9">
        <w:t>,</w:t>
      </w:r>
      <w:r w:rsidR="003F06BA">
        <w:t xml:space="preserve"> </w:t>
      </w:r>
      <w:r w:rsidR="000528E9">
        <w:t>1</w:t>
      </w:r>
      <w:r w:rsidR="00474189">
        <w:t>019-1045</w:t>
      </w:r>
      <w:r w:rsidR="000B6121">
        <w:t>.</w:t>
      </w:r>
    </w:p>
  </w:footnote>
  <w:footnote w:id="63">
    <w:p w14:paraId="183FF6D6" w14:textId="6FE9B7C2" w:rsidR="00B271E9" w:rsidRDefault="00B271E9">
      <w:pPr>
        <w:pStyle w:val="FootnoteText"/>
      </w:pPr>
      <w:r>
        <w:rPr>
          <w:rStyle w:val="FootnoteReference"/>
        </w:rPr>
        <w:footnoteRef/>
      </w:r>
      <w:r w:rsidR="003F06BA">
        <w:t xml:space="preserve"> Ibid</w:t>
      </w:r>
      <w:r w:rsidR="000B6121">
        <w:t>.</w:t>
      </w:r>
    </w:p>
  </w:footnote>
  <w:footnote w:id="64">
    <w:p w14:paraId="15695840" w14:textId="69DFF37E" w:rsidR="00B271E9" w:rsidRDefault="00B271E9">
      <w:pPr>
        <w:pStyle w:val="FootnoteText"/>
      </w:pPr>
      <w:r>
        <w:rPr>
          <w:rStyle w:val="FootnoteReference"/>
        </w:rPr>
        <w:footnoteRef/>
      </w:r>
      <w:r>
        <w:t xml:space="preserve"> </w:t>
      </w:r>
      <w:r w:rsidR="003F06BA">
        <w:t>Ibid.</w:t>
      </w:r>
    </w:p>
  </w:footnote>
  <w:footnote w:id="65">
    <w:p w14:paraId="6F0F33DB" w14:textId="5873309C" w:rsidR="00443A24" w:rsidRDefault="00443A24">
      <w:pPr>
        <w:pStyle w:val="FootnoteText"/>
      </w:pPr>
      <w:r>
        <w:rPr>
          <w:rStyle w:val="FootnoteReference"/>
        </w:rPr>
        <w:footnoteRef/>
      </w:r>
      <w:r>
        <w:t xml:space="preserve"> </w:t>
      </w:r>
      <w:r w:rsidR="007D18E3">
        <w:t>Davies</w:t>
      </w:r>
      <w:r w:rsidR="00CC6572">
        <w:t xml:space="preserve"> (</w:t>
      </w:r>
      <w:r w:rsidR="007D18E3">
        <w:t>n 9</w:t>
      </w:r>
      <w:r w:rsidR="00CC6572">
        <w:t xml:space="preserve">) </w:t>
      </w:r>
      <w:r w:rsidR="007D18E3">
        <w:t>286.</w:t>
      </w:r>
    </w:p>
  </w:footnote>
  <w:footnote w:id="66">
    <w:p w14:paraId="7F433D25" w14:textId="297098AB" w:rsidR="00522CA0" w:rsidRDefault="00522CA0">
      <w:pPr>
        <w:pStyle w:val="FootnoteText"/>
      </w:pPr>
      <w:r>
        <w:rPr>
          <w:rStyle w:val="FootnoteReference"/>
        </w:rPr>
        <w:footnoteRef/>
      </w:r>
      <w:r>
        <w:t xml:space="preserve"> </w:t>
      </w:r>
      <w:r w:rsidR="007D18E3">
        <w:t>Ibid, 289.</w:t>
      </w:r>
    </w:p>
  </w:footnote>
  <w:footnote w:id="67">
    <w:p w14:paraId="1F94ED15" w14:textId="7516EC20" w:rsidR="00522CA0" w:rsidRDefault="00522CA0">
      <w:pPr>
        <w:pStyle w:val="FootnoteText"/>
      </w:pPr>
      <w:r>
        <w:rPr>
          <w:rStyle w:val="FootnoteReference"/>
        </w:rPr>
        <w:footnoteRef/>
      </w:r>
      <w:r w:rsidR="00F07C06">
        <w:t xml:space="preserve"> Ibid</w:t>
      </w:r>
      <w:r>
        <w:t>.</w:t>
      </w:r>
    </w:p>
  </w:footnote>
  <w:footnote w:id="68">
    <w:p w14:paraId="472DCAA0" w14:textId="1326E1FB" w:rsidR="003C5ADC" w:rsidRDefault="003C5ADC">
      <w:pPr>
        <w:pStyle w:val="FootnoteText"/>
      </w:pPr>
      <w:r>
        <w:rPr>
          <w:rStyle w:val="FootnoteReference"/>
        </w:rPr>
        <w:footnoteRef/>
      </w:r>
      <w:r>
        <w:t xml:space="preserve"> </w:t>
      </w:r>
      <w:r w:rsidR="00F07C06">
        <w:t xml:space="preserve">Ibid, </w:t>
      </w:r>
      <w:r w:rsidR="0019573A">
        <w:t>289.</w:t>
      </w:r>
    </w:p>
  </w:footnote>
  <w:footnote w:id="69">
    <w:p w14:paraId="40301DB8" w14:textId="7EF86A3C" w:rsidR="00522CA0" w:rsidRDefault="00522CA0">
      <w:pPr>
        <w:pStyle w:val="FootnoteText"/>
      </w:pPr>
      <w:r>
        <w:rPr>
          <w:rStyle w:val="FootnoteReference"/>
        </w:rPr>
        <w:footnoteRef/>
      </w:r>
      <w:r>
        <w:t xml:space="preserve"> </w:t>
      </w:r>
      <w:r w:rsidR="00F07C06">
        <w:t>Ibid</w:t>
      </w:r>
      <w:r>
        <w:t>.</w:t>
      </w:r>
    </w:p>
  </w:footnote>
  <w:footnote w:id="70">
    <w:p w14:paraId="3DC4EFD7" w14:textId="7A0386C6" w:rsidR="00522CA0" w:rsidRDefault="00522CA0">
      <w:pPr>
        <w:pStyle w:val="FootnoteText"/>
      </w:pPr>
      <w:r>
        <w:rPr>
          <w:rStyle w:val="FootnoteReference"/>
        </w:rPr>
        <w:footnoteRef/>
      </w:r>
      <w:r>
        <w:t xml:space="preserve"> </w:t>
      </w:r>
      <w:r w:rsidRPr="0022275D">
        <w:t>Merry</w:t>
      </w:r>
      <w:r w:rsidR="00CC6572">
        <w:t xml:space="preserve"> (</w:t>
      </w:r>
      <w:r w:rsidR="00F07C06">
        <w:t>n 7</w:t>
      </w:r>
      <w:r w:rsidR="00CC6572">
        <w:t>)</w:t>
      </w:r>
      <w:r>
        <w:t>;</w:t>
      </w:r>
      <w:r w:rsidRPr="00885282">
        <w:t xml:space="preserve"> </w:t>
      </w:r>
      <w:r>
        <w:t>Davies</w:t>
      </w:r>
      <w:r w:rsidR="00CC6572">
        <w:t xml:space="preserve"> (</w:t>
      </w:r>
      <w:r w:rsidR="00F07C06">
        <w:t>n 7</w:t>
      </w:r>
      <w:r w:rsidR="00CC6572">
        <w:t>)</w:t>
      </w:r>
      <w:r>
        <w:t>.</w:t>
      </w:r>
    </w:p>
  </w:footnote>
  <w:footnote w:id="71">
    <w:p w14:paraId="66670FBC" w14:textId="09BD9465" w:rsidR="00522CA0" w:rsidRDefault="00522CA0">
      <w:pPr>
        <w:pStyle w:val="FootnoteText"/>
      </w:pPr>
      <w:r>
        <w:rPr>
          <w:rStyle w:val="FootnoteReference"/>
        </w:rPr>
        <w:footnoteRef/>
      </w:r>
      <w:r>
        <w:t xml:space="preserve"> </w:t>
      </w:r>
      <w:r w:rsidR="00F07C06">
        <w:t>Merry, ibid.</w:t>
      </w:r>
    </w:p>
  </w:footnote>
  <w:footnote w:id="72">
    <w:p w14:paraId="068A7003" w14:textId="42842426" w:rsidR="00522CA0" w:rsidRDefault="00522CA0">
      <w:pPr>
        <w:pStyle w:val="FootnoteText"/>
      </w:pPr>
      <w:r>
        <w:rPr>
          <w:rStyle w:val="FootnoteReference"/>
        </w:rPr>
        <w:footnoteRef/>
      </w:r>
      <w:r>
        <w:t xml:space="preserve"> Davies</w:t>
      </w:r>
      <w:r w:rsidR="00CC6572">
        <w:t xml:space="preserve"> (</w:t>
      </w:r>
      <w:r w:rsidR="00F07C06">
        <w:t>n 7</w:t>
      </w:r>
      <w:r w:rsidR="00CC6572">
        <w:t>)</w:t>
      </w:r>
      <w:r w:rsidR="00B43302">
        <w:t xml:space="preserve"> </w:t>
      </w:r>
      <w:r w:rsidRPr="00723DDF">
        <w:t>281–</w:t>
      </w:r>
      <w:r w:rsidR="0019573A">
        <w:t>282</w:t>
      </w:r>
      <w:r>
        <w:t>.</w:t>
      </w:r>
    </w:p>
  </w:footnote>
  <w:footnote w:id="73">
    <w:p w14:paraId="15FA75DF" w14:textId="7BDC45A5" w:rsidR="00EF1299" w:rsidRDefault="00EF1299" w:rsidP="00EF1299">
      <w:pPr>
        <w:pStyle w:val="FootnoteText"/>
      </w:pPr>
      <w:r>
        <w:rPr>
          <w:rStyle w:val="FootnoteReference"/>
        </w:rPr>
        <w:footnoteRef/>
      </w:r>
      <w:r>
        <w:t xml:space="preserve"> Pearson</w:t>
      </w:r>
      <w:r w:rsidR="00CC6572">
        <w:t xml:space="preserve"> (</w:t>
      </w:r>
      <w:r w:rsidR="00F07C06">
        <w:t>n 7</w:t>
      </w:r>
      <w:r w:rsidR="00CC6572">
        <w:t>)</w:t>
      </w:r>
      <w:r w:rsidR="00F07C06">
        <w:t>.</w:t>
      </w:r>
    </w:p>
  </w:footnote>
  <w:footnote w:id="74">
    <w:p w14:paraId="4BFF5CEB" w14:textId="77777777" w:rsidR="00CB07AF" w:rsidRDefault="00CB07AF" w:rsidP="00CB07AF">
      <w:pPr>
        <w:pStyle w:val="FootnoteText"/>
      </w:pPr>
      <w:r>
        <w:rPr>
          <w:rStyle w:val="FootnoteReference"/>
        </w:rPr>
        <w:footnoteRef/>
      </w:r>
      <w:r>
        <w:t xml:space="preserve"> Interview 4.</w:t>
      </w:r>
    </w:p>
  </w:footnote>
  <w:footnote w:id="75">
    <w:p w14:paraId="65AE2521" w14:textId="7F0188C6" w:rsidR="00ED193D" w:rsidRDefault="00ED193D">
      <w:pPr>
        <w:pStyle w:val="FootnoteText"/>
      </w:pPr>
      <w:r>
        <w:rPr>
          <w:rStyle w:val="FootnoteReference"/>
        </w:rPr>
        <w:footnoteRef/>
      </w:r>
      <w:r>
        <w:t xml:space="preserve"> </w:t>
      </w:r>
      <w:r w:rsidR="00992833">
        <w:t>Interview 5.</w:t>
      </w:r>
    </w:p>
  </w:footnote>
  <w:footnote w:id="76">
    <w:p w14:paraId="5E29BEDC" w14:textId="1E8C2B38" w:rsidR="00ED193D" w:rsidRDefault="00ED193D">
      <w:pPr>
        <w:pStyle w:val="FootnoteText"/>
      </w:pPr>
      <w:r>
        <w:rPr>
          <w:rStyle w:val="FootnoteReference"/>
        </w:rPr>
        <w:footnoteRef/>
      </w:r>
      <w:r>
        <w:t xml:space="preserve"> </w:t>
      </w:r>
      <w:r w:rsidR="00992833">
        <w:t>Interview 5.</w:t>
      </w:r>
    </w:p>
  </w:footnote>
  <w:footnote w:id="77">
    <w:p w14:paraId="1E9C6FE0" w14:textId="36CA8D22" w:rsidR="00CB07AF" w:rsidRDefault="00CB07AF" w:rsidP="00CB07AF">
      <w:pPr>
        <w:pStyle w:val="FootnoteText"/>
      </w:pPr>
      <w:r>
        <w:rPr>
          <w:rStyle w:val="FootnoteReference"/>
        </w:rPr>
        <w:footnoteRef/>
      </w:r>
      <w:r>
        <w:t xml:space="preserve"> </w:t>
      </w:r>
      <w:r w:rsidR="008146D9">
        <w:t xml:space="preserve">See </w:t>
      </w:r>
      <w:r w:rsidR="00F93787">
        <w:t xml:space="preserve">the </w:t>
      </w:r>
      <w:r w:rsidR="008146D9">
        <w:t xml:space="preserve">day-to-day chronology compiled by </w:t>
      </w:r>
      <w:r w:rsidR="008146D9" w:rsidRPr="008146D9">
        <w:t>Women for Women’s Human Rights (WWHR) – New Ways Association</w:t>
      </w:r>
      <w:r w:rsidR="00612343">
        <w:t xml:space="preserve"> (</w:t>
      </w:r>
      <w:r w:rsidR="00B32437">
        <w:t>n 5</w:t>
      </w:r>
      <w:r w:rsidR="00612343">
        <w:t>)</w:t>
      </w:r>
      <w:r>
        <w:t>.</w:t>
      </w:r>
    </w:p>
  </w:footnote>
  <w:footnote w:id="78">
    <w:p w14:paraId="727CA94E" w14:textId="39758676" w:rsidR="00CB07AF" w:rsidRDefault="00CB07AF" w:rsidP="00CB07AF">
      <w:pPr>
        <w:pStyle w:val="FootnoteText"/>
      </w:pPr>
      <w:r>
        <w:rPr>
          <w:rStyle w:val="FootnoteReference"/>
        </w:rPr>
        <w:footnoteRef/>
      </w:r>
      <w:r>
        <w:t xml:space="preserve"> Melinda Morgan, ‘</w:t>
      </w:r>
      <w:r w:rsidRPr="00E85095">
        <w:t xml:space="preserve">Rules of </w:t>
      </w:r>
      <w:r w:rsidR="00F93787">
        <w:t>E</w:t>
      </w:r>
      <w:r w:rsidRPr="00E85095">
        <w:t xml:space="preserve">ngagement: The </w:t>
      </w:r>
      <w:r w:rsidR="00F93787">
        <w:t>S</w:t>
      </w:r>
      <w:r w:rsidRPr="00E85095">
        <w:t>patiality</w:t>
      </w:r>
      <w:r>
        <w:t xml:space="preserve"> </w:t>
      </w:r>
      <w:r w:rsidRPr="00E85095">
        <w:t xml:space="preserve">of </w:t>
      </w:r>
      <w:r w:rsidR="00F93787">
        <w:t>J</w:t>
      </w:r>
      <w:r w:rsidRPr="00E85095">
        <w:t xml:space="preserve">udicial </w:t>
      </w:r>
      <w:r w:rsidR="00F93787">
        <w:t>R</w:t>
      </w:r>
      <w:r w:rsidRPr="00E85095">
        <w:t>eview</w:t>
      </w:r>
      <w:r>
        <w:t>’ i</w:t>
      </w:r>
      <w:r w:rsidRPr="00E85095">
        <w:t>n</w:t>
      </w:r>
      <w:r>
        <w:t xml:space="preserve"> </w:t>
      </w:r>
      <w:r w:rsidRPr="00E85095">
        <w:t>I</w:t>
      </w:r>
      <w:r>
        <w:t>rus</w:t>
      </w:r>
      <w:r w:rsidRPr="00E85095">
        <w:t xml:space="preserve"> Braverman, N</w:t>
      </w:r>
      <w:r>
        <w:t>icholas</w:t>
      </w:r>
      <w:r w:rsidRPr="00E85095">
        <w:t xml:space="preserve"> </w:t>
      </w:r>
      <w:proofErr w:type="spellStart"/>
      <w:r w:rsidRPr="00E85095">
        <w:t>Blomley</w:t>
      </w:r>
      <w:proofErr w:type="spellEnd"/>
      <w:r w:rsidRPr="00E85095">
        <w:t>, D</w:t>
      </w:r>
      <w:r>
        <w:t>avid</w:t>
      </w:r>
      <w:r w:rsidRPr="00E85095">
        <w:t xml:space="preserve"> Delaney, and A</w:t>
      </w:r>
      <w:r>
        <w:t>lexandre</w:t>
      </w:r>
      <w:r w:rsidRPr="00E85095">
        <w:t xml:space="preserve"> Kedar</w:t>
      </w:r>
      <w:r w:rsidR="006C721C">
        <w:t xml:space="preserve"> </w:t>
      </w:r>
      <w:r>
        <w:t>(eds)</w:t>
      </w:r>
      <w:r w:rsidR="006C721C">
        <w:t>,</w:t>
      </w:r>
      <w:r w:rsidRPr="00E85095">
        <w:rPr>
          <w:i/>
          <w:iCs/>
        </w:rPr>
        <w:t xml:space="preserve"> The </w:t>
      </w:r>
      <w:r w:rsidR="00F93787">
        <w:rPr>
          <w:i/>
          <w:iCs/>
        </w:rPr>
        <w:t>E</w:t>
      </w:r>
      <w:r w:rsidRPr="00E85095">
        <w:rPr>
          <w:i/>
          <w:iCs/>
        </w:rPr>
        <w:t xml:space="preserve">xpanding </w:t>
      </w:r>
      <w:r w:rsidR="00F93787">
        <w:rPr>
          <w:i/>
          <w:iCs/>
        </w:rPr>
        <w:t>S</w:t>
      </w:r>
      <w:r w:rsidRPr="00E85095">
        <w:rPr>
          <w:i/>
          <w:iCs/>
        </w:rPr>
        <w:t xml:space="preserve">paces of </w:t>
      </w:r>
      <w:r w:rsidR="00F93787">
        <w:rPr>
          <w:i/>
          <w:iCs/>
        </w:rPr>
        <w:t>L</w:t>
      </w:r>
      <w:r w:rsidRPr="00E85095">
        <w:rPr>
          <w:i/>
          <w:iCs/>
        </w:rPr>
        <w:t>aw</w:t>
      </w:r>
      <w:r>
        <w:t xml:space="preserve"> (</w:t>
      </w:r>
      <w:r w:rsidRPr="00E85095">
        <w:t>Stanford University Press</w:t>
      </w:r>
      <w:r w:rsidR="00F93787">
        <w:t xml:space="preserve"> 2014</w:t>
      </w:r>
      <w:r>
        <w:t>)</w:t>
      </w:r>
      <w:r w:rsidR="00796DED">
        <w:t xml:space="preserve"> </w:t>
      </w:r>
      <w:r w:rsidR="007032F3">
        <w:t xml:space="preserve">215-238, </w:t>
      </w:r>
      <w:r w:rsidR="00670552">
        <w:t>234</w:t>
      </w:r>
      <w:r w:rsidRPr="00E85095">
        <w:t>.</w:t>
      </w:r>
    </w:p>
  </w:footnote>
  <w:footnote w:id="79">
    <w:p w14:paraId="12365F9E" w14:textId="2C1C39F0" w:rsidR="008C667B" w:rsidRDefault="008C667B" w:rsidP="008C667B">
      <w:pPr>
        <w:pStyle w:val="FootnoteText"/>
      </w:pPr>
      <w:r>
        <w:rPr>
          <w:rStyle w:val="FootnoteReference"/>
        </w:rPr>
        <w:footnoteRef/>
      </w:r>
      <w:r>
        <w:t xml:space="preserve"> </w:t>
      </w:r>
      <w:r w:rsidRPr="00F90351">
        <w:t xml:space="preserve">Kathryn Abrams </w:t>
      </w:r>
      <w:r w:rsidR="00EB4C3F">
        <w:t>and</w:t>
      </w:r>
      <w:r w:rsidRPr="00F90351">
        <w:t xml:space="preserve"> Hila Keren</w:t>
      </w:r>
      <w:r w:rsidR="00020FAB">
        <w:t>,</w:t>
      </w:r>
      <w:r>
        <w:t xml:space="preserve"> </w:t>
      </w:r>
      <w:r w:rsidRPr="00F90351">
        <w:t>'Who's Afraid of Law and the Emotions</w:t>
      </w:r>
      <w:r w:rsidR="0032367C">
        <w:t>?</w:t>
      </w:r>
      <w:r w:rsidRPr="00F90351">
        <w:t xml:space="preserve">' </w:t>
      </w:r>
      <w:r w:rsidR="00020FAB">
        <w:t>(</w:t>
      </w:r>
      <w:r w:rsidR="009C5248">
        <w:t>2010</w:t>
      </w:r>
      <w:r w:rsidR="00020FAB">
        <w:t>)</w:t>
      </w:r>
      <w:r w:rsidRPr="00F90351">
        <w:t xml:space="preserve"> </w:t>
      </w:r>
      <w:r w:rsidRPr="00A84374">
        <w:rPr>
          <w:i/>
          <w:iCs/>
        </w:rPr>
        <w:t>Minn</w:t>
      </w:r>
      <w:r w:rsidR="00A84374" w:rsidRPr="00A84374">
        <w:rPr>
          <w:i/>
          <w:iCs/>
        </w:rPr>
        <w:t>esota</w:t>
      </w:r>
      <w:r w:rsidRPr="00A84374">
        <w:rPr>
          <w:i/>
          <w:iCs/>
        </w:rPr>
        <w:t xml:space="preserve"> L</w:t>
      </w:r>
      <w:r w:rsidR="00A84374" w:rsidRPr="00A84374">
        <w:rPr>
          <w:i/>
          <w:iCs/>
        </w:rPr>
        <w:t xml:space="preserve">aw </w:t>
      </w:r>
      <w:r w:rsidRPr="00A84374">
        <w:rPr>
          <w:i/>
          <w:iCs/>
        </w:rPr>
        <w:t>Rev</w:t>
      </w:r>
      <w:r w:rsidR="00A84374" w:rsidRPr="00A84374">
        <w:rPr>
          <w:i/>
          <w:iCs/>
        </w:rPr>
        <w:t>iew</w:t>
      </w:r>
      <w:r w:rsidR="006D2A84">
        <w:rPr>
          <w:i/>
          <w:iCs/>
        </w:rPr>
        <w:t xml:space="preserve"> </w:t>
      </w:r>
      <w:r w:rsidR="00CF5690">
        <w:t xml:space="preserve">94, </w:t>
      </w:r>
      <w:r w:rsidR="006D2A84">
        <w:t>1997-2073</w:t>
      </w:r>
      <w:r>
        <w:t>;</w:t>
      </w:r>
      <w:r w:rsidRPr="004D0D3E">
        <w:t xml:space="preserve"> </w:t>
      </w:r>
      <w:r>
        <w:t xml:space="preserve">Susan </w:t>
      </w:r>
      <w:r w:rsidRPr="004D0D3E">
        <w:t xml:space="preserve">Bandes, </w:t>
      </w:r>
      <w:r w:rsidRPr="004D0D3E">
        <w:rPr>
          <w:i/>
          <w:iCs/>
        </w:rPr>
        <w:t xml:space="preserve">The </w:t>
      </w:r>
      <w:r w:rsidR="0032367C">
        <w:rPr>
          <w:i/>
          <w:iCs/>
        </w:rPr>
        <w:t>P</w:t>
      </w:r>
      <w:r w:rsidRPr="004D0D3E">
        <w:rPr>
          <w:i/>
          <w:iCs/>
        </w:rPr>
        <w:t xml:space="preserve">assions </w:t>
      </w:r>
      <w:r w:rsidR="0032367C">
        <w:rPr>
          <w:i/>
          <w:iCs/>
        </w:rPr>
        <w:t>of L</w:t>
      </w:r>
      <w:r w:rsidRPr="004D0D3E">
        <w:rPr>
          <w:i/>
          <w:iCs/>
        </w:rPr>
        <w:t>aw</w:t>
      </w:r>
      <w:r w:rsidRPr="004D0D3E">
        <w:t xml:space="preserve"> </w:t>
      </w:r>
      <w:r>
        <w:t>(</w:t>
      </w:r>
      <w:r w:rsidRPr="004D0D3E">
        <w:t>NYU Press</w:t>
      </w:r>
      <w:r w:rsidR="0032367C">
        <w:t xml:space="preserve"> 2000</w:t>
      </w:r>
      <w:r>
        <w:t>);</w:t>
      </w:r>
      <w:r w:rsidR="00B138AF">
        <w:t xml:space="preserve"> </w:t>
      </w:r>
      <w:r w:rsidRPr="004D0D3E">
        <w:t xml:space="preserve">Linda </w:t>
      </w:r>
      <w:proofErr w:type="spellStart"/>
      <w:r w:rsidRPr="004D0D3E">
        <w:t>Åhäll</w:t>
      </w:r>
      <w:proofErr w:type="spellEnd"/>
      <w:r w:rsidR="00EB4C3F">
        <w:t xml:space="preserve">, </w:t>
      </w:r>
      <w:r w:rsidR="0032367C">
        <w:t>‘</w:t>
      </w:r>
      <w:r w:rsidRPr="004D0D3E">
        <w:t>Affect as Methodology: Feminism and the Politics of Emotion</w:t>
      </w:r>
      <w:r w:rsidR="0032367C">
        <w:t>’</w:t>
      </w:r>
      <w:r w:rsidR="00EB4C3F">
        <w:t xml:space="preserve"> (2018) </w:t>
      </w:r>
      <w:r w:rsidRPr="00CA33C0">
        <w:rPr>
          <w:i/>
          <w:iCs/>
        </w:rPr>
        <w:t>International Political Sociology</w:t>
      </w:r>
      <w:r w:rsidR="00EB4C3F">
        <w:t xml:space="preserve"> </w:t>
      </w:r>
      <w:r w:rsidR="00BB2BCE">
        <w:t xml:space="preserve">12, </w:t>
      </w:r>
      <w:r w:rsidRPr="004D0D3E">
        <w:t>36–52</w:t>
      </w:r>
      <w:r w:rsidR="00EB4C3F">
        <w:t>.</w:t>
      </w:r>
    </w:p>
  </w:footnote>
  <w:footnote w:id="80">
    <w:p w14:paraId="4AFEFC4D" w14:textId="7923FD62" w:rsidR="008C667B" w:rsidRDefault="008C667B" w:rsidP="008C667B">
      <w:pPr>
        <w:pStyle w:val="FootnoteText"/>
      </w:pPr>
      <w:r>
        <w:rPr>
          <w:rStyle w:val="FootnoteReference"/>
        </w:rPr>
        <w:footnoteRef/>
      </w:r>
      <w:r>
        <w:t xml:space="preserve"> </w:t>
      </w:r>
      <w:proofErr w:type="spellStart"/>
      <w:r w:rsidRPr="004D0D3E">
        <w:t>Åhäll</w:t>
      </w:r>
      <w:proofErr w:type="spellEnd"/>
      <w:r w:rsidR="00CA33C0">
        <w:t>, ibid</w:t>
      </w:r>
      <w:r>
        <w:t>.</w:t>
      </w:r>
    </w:p>
  </w:footnote>
  <w:footnote w:id="81">
    <w:p w14:paraId="3321EFE3" w14:textId="4023A9A9" w:rsidR="008C667B" w:rsidRDefault="008C667B" w:rsidP="008C667B">
      <w:pPr>
        <w:pStyle w:val="FootnoteText"/>
      </w:pPr>
      <w:r>
        <w:rPr>
          <w:rStyle w:val="FootnoteReference"/>
        </w:rPr>
        <w:footnoteRef/>
      </w:r>
      <w:r>
        <w:t xml:space="preserve"> </w:t>
      </w:r>
      <w:r w:rsidR="00CA33C0">
        <w:t>Ibid.</w:t>
      </w:r>
    </w:p>
  </w:footnote>
  <w:footnote w:id="82">
    <w:p w14:paraId="5BC6AE64" w14:textId="40100201" w:rsidR="001C3B5B" w:rsidRDefault="001C3B5B">
      <w:pPr>
        <w:pStyle w:val="FootnoteText"/>
      </w:pPr>
      <w:r>
        <w:rPr>
          <w:rStyle w:val="FootnoteReference"/>
        </w:rPr>
        <w:footnoteRef/>
      </w:r>
      <w:r>
        <w:t xml:space="preserve"> </w:t>
      </w:r>
      <w:r w:rsidR="003855EE">
        <w:t xml:space="preserve">Ibid, </w:t>
      </w:r>
      <w:r w:rsidR="00C269DA" w:rsidRPr="004D0D3E">
        <w:t>36–</w:t>
      </w:r>
      <w:r w:rsidR="00D73D87">
        <w:t>37</w:t>
      </w:r>
      <w:r w:rsidR="003855EE">
        <w:t>.</w:t>
      </w:r>
    </w:p>
  </w:footnote>
  <w:footnote w:id="83">
    <w:p w14:paraId="37FCB01B" w14:textId="77777777" w:rsidR="008C667B" w:rsidRDefault="008C667B" w:rsidP="008C667B">
      <w:pPr>
        <w:pStyle w:val="FootnoteText"/>
      </w:pPr>
      <w:r>
        <w:rPr>
          <w:rStyle w:val="FootnoteReference"/>
        </w:rPr>
        <w:footnoteRef/>
      </w:r>
      <w:r>
        <w:t xml:space="preserve"> Interview 4.</w:t>
      </w:r>
    </w:p>
  </w:footnote>
  <w:footnote w:id="84">
    <w:p w14:paraId="73FCD113" w14:textId="77777777" w:rsidR="008C667B" w:rsidRDefault="008C667B" w:rsidP="008C667B">
      <w:pPr>
        <w:pStyle w:val="FootnoteText"/>
      </w:pPr>
      <w:r>
        <w:rPr>
          <w:rStyle w:val="FootnoteReference"/>
        </w:rPr>
        <w:footnoteRef/>
      </w:r>
      <w:r>
        <w:t xml:space="preserve"> Interview 7.</w:t>
      </w:r>
    </w:p>
  </w:footnote>
  <w:footnote w:id="85">
    <w:p w14:paraId="44EDBADE" w14:textId="1E826FAC" w:rsidR="008C667B" w:rsidRDefault="008C667B" w:rsidP="008C667B">
      <w:pPr>
        <w:pStyle w:val="FootnoteText"/>
      </w:pPr>
      <w:r>
        <w:rPr>
          <w:rStyle w:val="FootnoteReference"/>
        </w:rPr>
        <w:footnoteRef/>
      </w:r>
      <w:r>
        <w:t xml:space="preserve"> </w:t>
      </w:r>
      <w:r w:rsidRPr="00F90351">
        <w:t xml:space="preserve">Abrams </w:t>
      </w:r>
      <w:r w:rsidR="003855EE">
        <w:t xml:space="preserve">and </w:t>
      </w:r>
      <w:r w:rsidRPr="00F90351">
        <w:t>Keren</w:t>
      </w:r>
      <w:r w:rsidR="00612343">
        <w:t xml:space="preserve"> (</w:t>
      </w:r>
      <w:r w:rsidR="003855EE">
        <w:t xml:space="preserve">n </w:t>
      </w:r>
      <w:r w:rsidR="00B54990">
        <w:t>77</w:t>
      </w:r>
      <w:r w:rsidR="00612343">
        <w:t>)</w:t>
      </w:r>
      <w:r w:rsidR="00B54990">
        <w:t>; Bandes</w:t>
      </w:r>
      <w:r w:rsidR="00612343">
        <w:t xml:space="preserve"> (</w:t>
      </w:r>
      <w:r w:rsidR="00B54990">
        <w:t>n 77</w:t>
      </w:r>
      <w:r w:rsidR="00612343">
        <w:t>)</w:t>
      </w:r>
      <w:r w:rsidR="00B54990">
        <w:t>.</w:t>
      </w:r>
    </w:p>
  </w:footnote>
  <w:footnote w:id="86">
    <w:p w14:paraId="337819BC" w14:textId="77777777" w:rsidR="00CB07AF" w:rsidRDefault="00CB07AF" w:rsidP="00CB07AF">
      <w:pPr>
        <w:pStyle w:val="FootnoteText"/>
      </w:pPr>
      <w:r>
        <w:rPr>
          <w:rStyle w:val="FootnoteReference"/>
        </w:rPr>
        <w:footnoteRef/>
      </w:r>
      <w:r>
        <w:t xml:space="preserve"> Interview 1.</w:t>
      </w:r>
    </w:p>
  </w:footnote>
  <w:footnote w:id="87">
    <w:p w14:paraId="218019A4" w14:textId="77777777" w:rsidR="00CB07AF" w:rsidRDefault="00CB07AF" w:rsidP="00CB07AF">
      <w:pPr>
        <w:pStyle w:val="FootnoteText"/>
      </w:pPr>
      <w:r>
        <w:rPr>
          <w:rStyle w:val="FootnoteReference"/>
        </w:rPr>
        <w:footnoteRef/>
      </w:r>
      <w:r>
        <w:t xml:space="preserve"> Interview 7.</w:t>
      </w:r>
    </w:p>
  </w:footnote>
  <w:footnote w:id="88">
    <w:p w14:paraId="0E43617A" w14:textId="7E4AF93C" w:rsidR="006F5CCA" w:rsidRPr="006F5CCA" w:rsidRDefault="00CB07AF" w:rsidP="006F5CCA">
      <w:pPr>
        <w:pStyle w:val="FootnoteText"/>
      </w:pPr>
      <w:r>
        <w:rPr>
          <w:rStyle w:val="FootnoteReference"/>
        </w:rPr>
        <w:footnoteRef/>
      </w:r>
      <w:r>
        <w:t xml:space="preserve"> Interview 7;</w:t>
      </w:r>
      <w:r w:rsidRPr="00A74F71">
        <w:t xml:space="preserve"> </w:t>
      </w:r>
      <w:r w:rsidR="00B32E93">
        <w:t xml:space="preserve">see further, </w:t>
      </w:r>
      <w:r w:rsidR="001D505A">
        <w:t>Union of Turkish Bar Associations</w:t>
      </w:r>
      <w:r w:rsidR="006F5CCA">
        <w:t xml:space="preserve"> announcement, </w:t>
      </w:r>
      <w:r w:rsidR="00C30739">
        <w:t>‘</w:t>
      </w:r>
      <w:r w:rsidR="006F5CCA" w:rsidRPr="006F5CCA">
        <w:t>We Were at the Most Crowded Council of State Hearing in History: We Are Not Abandoning the Istanbul Convention</w:t>
      </w:r>
      <w:r w:rsidR="00C30739">
        <w:t>’,</w:t>
      </w:r>
      <w:r w:rsidR="006F5CCA">
        <w:t xml:space="preserve"> 28 April 2022</w:t>
      </w:r>
      <w:r w:rsidR="00C30739">
        <w:t>,</w:t>
      </w:r>
      <w:r w:rsidR="006F5CCA">
        <w:t xml:space="preserve"> available at</w:t>
      </w:r>
    </w:p>
    <w:p w14:paraId="4A6461F9" w14:textId="005016A4" w:rsidR="00CB07AF" w:rsidRDefault="006F5CCA" w:rsidP="00CB07AF">
      <w:pPr>
        <w:pStyle w:val="FootnoteText"/>
      </w:pPr>
      <w:hyperlink r:id="rId24" w:history="1">
        <w:r w:rsidRPr="003067D5">
          <w:rPr>
            <w:rStyle w:val="Hyperlink"/>
          </w:rPr>
          <w:t>https://www.barobirlik.org.tr/Haberler/tarihin-en-kalabalik-danistay-durusmasindaydik-istanbul-sozlesmesi-nden-vazgecmiyoruz-82654</w:t>
        </w:r>
      </w:hyperlink>
      <w:r w:rsidR="00CB07AF">
        <w:t xml:space="preserve"> </w:t>
      </w:r>
      <w:r w:rsidR="005A2C48">
        <w:t xml:space="preserve">accessed </w:t>
      </w:r>
      <w:r w:rsidR="00F67AC0">
        <w:t>13 April 2023.</w:t>
      </w:r>
    </w:p>
  </w:footnote>
  <w:footnote w:id="89">
    <w:p w14:paraId="080F6C8B" w14:textId="77777777" w:rsidR="00CB07AF" w:rsidRDefault="00CB07AF" w:rsidP="00CB07AF">
      <w:pPr>
        <w:pStyle w:val="FootnoteText"/>
      </w:pPr>
      <w:r>
        <w:rPr>
          <w:rStyle w:val="FootnoteReference"/>
        </w:rPr>
        <w:footnoteRef/>
      </w:r>
      <w:r>
        <w:t xml:space="preserve"> Interview 5.</w:t>
      </w:r>
    </w:p>
  </w:footnote>
  <w:footnote w:id="90">
    <w:p w14:paraId="52C3D73A" w14:textId="77777777" w:rsidR="00CB07AF" w:rsidRDefault="00CB07AF" w:rsidP="00CB07AF">
      <w:pPr>
        <w:pStyle w:val="FootnoteText"/>
      </w:pPr>
      <w:r>
        <w:rPr>
          <w:rStyle w:val="FootnoteReference"/>
        </w:rPr>
        <w:footnoteRef/>
      </w:r>
      <w:r>
        <w:t xml:space="preserve"> Interview 5.</w:t>
      </w:r>
    </w:p>
  </w:footnote>
  <w:footnote w:id="91">
    <w:p w14:paraId="3E24B7E4" w14:textId="21351D2D" w:rsidR="00CB07AF" w:rsidRDefault="00CB07AF" w:rsidP="00CB07AF">
      <w:pPr>
        <w:pStyle w:val="FootnoteText"/>
      </w:pPr>
      <w:r>
        <w:rPr>
          <w:rStyle w:val="FootnoteReference"/>
        </w:rPr>
        <w:footnoteRef/>
      </w:r>
      <w:r>
        <w:t xml:space="preserve"> Davies</w:t>
      </w:r>
      <w:r w:rsidR="00612343">
        <w:t xml:space="preserve"> (</w:t>
      </w:r>
      <w:r w:rsidR="00664BA4">
        <w:t>n 7</w:t>
      </w:r>
      <w:r w:rsidR="00612343">
        <w:t>)</w:t>
      </w:r>
      <w:r w:rsidR="00664BA4">
        <w:t xml:space="preserve"> </w:t>
      </w:r>
      <w:r w:rsidR="00A74501">
        <w:t>286</w:t>
      </w:r>
      <w:r>
        <w:t>.</w:t>
      </w:r>
    </w:p>
  </w:footnote>
  <w:footnote w:id="92">
    <w:p w14:paraId="21AF8E48" w14:textId="77777777" w:rsidR="00CB07AF" w:rsidRDefault="00CB07AF" w:rsidP="00CB07AF">
      <w:pPr>
        <w:pStyle w:val="FootnoteText"/>
      </w:pPr>
      <w:r>
        <w:rPr>
          <w:rStyle w:val="FootnoteReference"/>
        </w:rPr>
        <w:footnoteRef/>
      </w:r>
      <w:r>
        <w:t xml:space="preserve"> Interview 7; interview 3; interview 1.</w:t>
      </w:r>
    </w:p>
  </w:footnote>
  <w:footnote w:id="93">
    <w:p w14:paraId="7C9604A4" w14:textId="381B3406" w:rsidR="003D3656" w:rsidRDefault="003D3656">
      <w:pPr>
        <w:pStyle w:val="FootnoteText"/>
      </w:pPr>
      <w:r>
        <w:rPr>
          <w:rStyle w:val="FootnoteReference"/>
        </w:rPr>
        <w:footnoteRef/>
      </w:r>
      <w:r>
        <w:t xml:space="preserve"> </w:t>
      </w:r>
      <w:r w:rsidR="004C3B96">
        <w:t>Interview 2.</w:t>
      </w:r>
    </w:p>
  </w:footnote>
  <w:footnote w:id="94">
    <w:p w14:paraId="66F21B93" w14:textId="77777777" w:rsidR="00CB07AF" w:rsidRDefault="00CB07AF" w:rsidP="00CB07AF">
      <w:pPr>
        <w:pStyle w:val="FootnoteText"/>
      </w:pPr>
      <w:r>
        <w:rPr>
          <w:rStyle w:val="FootnoteReference"/>
        </w:rPr>
        <w:footnoteRef/>
      </w:r>
      <w:r>
        <w:t xml:space="preserve"> Interview 2.</w:t>
      </w:r>
    </w:p>
  </w:footnote>
  <w:footnote w:id="95">
    <w:p w14:paraId="7118B1D0" w14:textId="77777777" w:rsidR="00CB07AF" w:rsidRDefault="00CB07AF" w:rsidP="00CB07AF">
      <w:pPr>
        <w:pStyle w:val="FootnoteText"/>
      </w:pPr>
      <w:r>
        <w:rPr>
          <w:rStyle w:val="FootnoteReference"/>
        </w:rPr>
        <w:footnoteRef/>
      </w:r>
      <w:r>
        <w:t xml:space="preserve"> Interview 2.</w:t>
      </w:r>
    </w:p>
  </w:footnote>
  <w:footnote w:id="96">
    <w:p w14:paraId="5B6A697A" w14:textId="32FBEB51" w:rsidR="00CB07AF" w:rsidRDefault="00CB07AF" w:rsidP="00CB07AF">
      <w:pPr>
        <w:pStyle w:val="FootnoteText"/>
      </w:pPr>
      <w:r>
        <w:rPr>
          <w:rStyle w:val="FootnoteReference"/>
        </w:rPr>
        <w:footnoteRef/>
      </w:r>
      <w:r>
        <w:t xml:space="preserve"> </w:t>
      </w:r>
      <w:proofErr w:type="spellStart"/>
      <w:r w:rsidRPr="00B54C9B">
        <w:t>Alt</w:t>
      </w:r>
      <w:r>
        <w:t>ı</w:t>
      </w:r>
      <w:r w:rsidRPr="00B54C9B">
        <w:t>ok</w:t>
      </w:r>
      <w:proofErr w:type="spellEnd"/>
      <w:r w:rsidR="00612343">
        <w:t xml:space="preserve"> (</w:t>
      </w:r>
      <w:r w:rsidR="00B44A98">
        <w:t>n</w:t>
      </w:r>
      <w:r w:rsidR="00612343">
        <w:t xml:space="preserve"> </w:t>
      </w:r>
      <w:r w:rsidR="00B44A98">
        <w:t>28</w:t>
      </w:r>
      <w:r w:rsidR="00612343">
        <w:t>)</w:t>
      </w:r>
      <w:r w:rsidR="00B44A98">
        <w:t>.</w:t>
      </w:r>
    </w:p>
  </w:footnote>
  <w:footnote w:id="97">
    <w:p w14:paraId="1C5D6356" w14:textId="77777777" w:rsidR="00CB07AF" w:rsidRDefault="00CB07AF" w:rsidP="00CB07AF">
      <w:pPr>
        <w:pStyle w:val="FootnoteText"/>
      </w:pPr>
      <w:r>
        <w:rPr>
          <w:rStyle w:val="FootnoteReference"/>
        </w:rPr>
        <w:footnoteRef/>
      </w:r>
      <w:r>
        <w:t xml:space="preserve"> Interview 1.</w:t>
      </w:r>
    </w:p>
  </w:footnote>
  <w:footnote w:id="98">
    <w:p w14:paraId="45B890F1" w14:textId="77777777" w:rsidR="00CB07AF" w:rsidRDefault="00CB07AF" w:rsidP="00CB07AF">
      <w:pPr>
        <w:pStyle w:val="FootnoteText"/>
      </w:pPr>
      <w:r>
        <w:rPr>
          <w:rStyle w:val="FootnoteReference"/>
        </w:rPr>
        <w:footnoteRef/>
      </w:r>
      <w:r>
        <w:t xml:space="preserve"> Interview 1.</w:t>
      </w:r>
    </w:p>
  </w:footnote>
  <w:footnote w:id="99">
    <w:p w14:paraId="549D37F4" w14:textId="77777777" w:rsidR="00CB07AF" w:rsidRDefault="00CB07AF" w:rsidP="00CB07AF">
      <w:pPr>
        <w:pStyle w:val="FootnoteText"/>
      </w:pPr>
      <w:r>
        <w:rPr>
          <w:rStyle w:val="FootnoteReference"/>
        </w:rPr>
        <w:footnoteRef/>
      </w:r>
      <w:r>
        <w:t xml:space="preserve"> Interview 7; interview 3; interview 2.</w:t>
      </w:r>
    </w:p>
  </w:footnote>
  <w:footnote w:id="100">
    <w:p w14:paraId="5DF938E9" w14:textId="3F34FB13" w:rsidR="00CB07AF" w:rsidRDefault="00CB07AF" w:rsidP="00CB07AF">
      <w:pPr>
        <w:pStyle w:val="FootnoteText"/>
      </w:pPr>
      <w:r>
        <w:rPr>
          <w:rStyle w:val="FootnoteReference"/>
        </w:rPr>
        <w:footnoteRef/>
      </w:r>
      <w:r>
        <w:t xml:space="preserve"> </w:t>
      </w:r>
      <w:r w:rsidRPr="007D1C0C">
        <w:t xml:space="preserve">Katarzyna </w:t>
      </w:r>
      <w:proofErr w:type="spellStart"/>
      <w:r w:rsidRPr="007D1C0C">
        <w:t>Sękowska</w:t>
      </w:r>
      <w:proofErr w:type="spellEnd"/>
      <w:r w:rsidRPr="007D1C0C">
        <w:t>-Kozłowska</w:t>
      </w:r>
      <w:r>
        <w:t>, ‘The Istanbul Convention in Poland Between the “</w:t>
      </w:r>
      <w:r w:rsidR="00227074">
        <w:t>W</w:t>
      </w:r>
      <w:r>
        <w:t xml:space="preserve">ar on </w:t>
      </w:r>
      <w:r w:rsidR="00227074">
        <w:t>G</w:t>
      </w:r>
      <w:r>
        <w:t xml:space="preserve">ender” and </w:t>
      </w:r>
      <w:r w:rsidR="00227074">
        <w:t>L</w:t>
      </w:r>
      <w:r>
        <w:t xml:space="preserve">egal </w:t>
      </w:r>
      <w:r w:rsidR="00227074">
        <w:t>R</w:t>
      </w:r>
      <w:r>
        <w:t xml:space="preserve">eform’ in </w:t>
      </w:r>
      <w:r w:rsidRPr="007D1C0C">
        <w:t xml:space="preserve">Johanna Niemi, Lourdes Peroni and Vladislava Stoyanova </w:t>
      </w:r>
      <w:r>
        <w:t>(eds</w:t>
      </w:r>
      <w:r w:rsidR="007306A6">
        <w:t>),</w:t>
      </w:r>
      <w:r>
        <w:t xml:space="preserve"> </w:t>
      </w:r>
      <w:r w:rsidRPr="007D1C0C">
        <w:rPr>
          <w:i/>
          <w:iCs/>
        </w:rPr>
        <w:t>International Law and Violence Against Women</w:t>
      </w:r>
      <w:r>
        <w:t xml:space="preserve"> (Routledge</w:t>
      </w:r>
      <w:r w:rsidR="00227074">
        <w:t xml:space="preserve"> 2020</w:t>
      </w:r>
      <w:r>
        <w:t>)</w:t>
      </w:r>
      <w:r w:rsidR="00482197">
        <w:t>, chapter 13,</w:t>
      </w:r>
      <w:r>
        <w:t xml:space="preserve"> 264.</w:t>
      </w:r>
    </w:p>
  </w:footnote>
  <w:footnote w:id="101">
    <w:p w14:paraId="1F92C23A" w14:textId="2555B86D" w:rsidR="009544FA" w:rsidRPr="009544FA" w:rsidRDefault="00CB07AF" w:rsidP="009544FA">
      <w:pPr>
        <w:pStyle w:val="FootnoteText"/>
      </w:pPr>
      <w:r>
        <w:rPr>
          <w:rStyle w:val="FootnoteReference"/>
        </w:rPr>
        <w:footnoteRef/>
      </w:r>
      <w:r>
        <w:t xml:space="preserve"> </w:t>
      </w:r>
      <w:r w:rsidR="001A7A20">
        <w:t>Charley Coleman</w:t>
      </w:r>
      <w:r w:rsidR="001A7A20" w:rsidRPr="009544FA">
        <w:rPr>
          <w:i/>
          <w:iCs/>
        </w:rPr>
        <w:t xml:space="preserve">, </w:t>
      </w:r>
      <w:r w:rsidR="006052B1">
        <w:rPr>
          <w:i/>
          <w:iCs/>
        </w:rPr>
        <w:t xml:space="preserve">The </w:t>
      </w:r>
      <w:r w:rsidR="009544FA" w:rsidRPr="009544FA">
        <w:rPr>
          <w:i/>
          <w:iCs/>
        </w:rPr>
        <w:t xml:space="preserve">Istanbul Convention: Preventing and </w:t>
      </w:r>
      <w:r w:rsidR="006052B1">
        <w:rPr>
          <w:i/>
          <w:iCs/>
        </w:rPr>
        <w:t>C</w:t>
      </w:r>
      <w:r w:rsidR="009544FA" w:rsidRPr="009544FA">
        <w:rPr>
          <w:i/>
          <w:iCs/>
        </w:rPr>
        <w:t xml:space="preserve">ombating </w:t>
      </w:r>
      <w:r w:rsidR="006052B1">
        <w:rPr>
          <w:i/>
          <w:iCs/>
        </w:rPr>
        <w:t>V</w:t>
      </w:r>
      <w:r w:rsidR="009544FA" w:rsidRPr="009544FA">
        <w:rPr>
          <w:i/>
          <w:iCs/>
        </w:rPr>
        <w:t xml:space="preserve">iolence against </w:t>
      </w:r>
      <w:r w:rsidR="006052B1">
        <w:rPr>
          <w:i/>
          <w:iCs/>
        </w:rPr>
        <w:t>W</w:t>
      </w:r>
      <w:r w:rsidR="009544FA" w:rsidRPr="009544FA">
        <w:rPr>
          <w:i/>
          <w:iCs/>
        </w:rPr>
        <w:t xml:space="preserve">omen and </w:t>
      </w:r>
      <w:r w:rsidR="006052B1">
        <w:rPr>
          <w:i/>
          <w:iCs/>
        </w:rPr>
        <w:t>D</w:t>
      </w:r>
      <w:r w:rsidR="009544FA" w:rsidRPr="009544FA">
        <w:rPr>
          <w:i/>
          <w:iCs/>
        </w:rPr>
        <w:t xml:space="preserve">omestic </w:t>
      </w:r>
      <w:r w:rsidR="006052B1">
        <w:rPr>
          <w:i/>
          <w:iCs/>
        </w:rPr>
        <w:t>V</w:t>
      </w:r>
      <w:r w:rsidR="009544FA" w:rsidRPr="009544FA">
        <w:rPr>
          <w:i/>
          <w:iCs/>
        </w:rPr>
        <w:t>iolence</w:t>
      </w:r>
      <w:r w:rsidR="006052B1">
        <w:t xml:space="preserve"> (</w:t>
      </w:r>
      <w:r w:rsidR="009544FA" w:rsidRPr="009544FA">
        <w:t>House of Lords Library</w:t>
      </w:r>
      <w:r w:rsidR="006052B1">
        <w:t xml:space="preserve"> 2022), </w:t>
      </w:r>
      <w:r w:rsidR="009544FA">
        <w:t>available at</w:t>
      </w:r>
    </w:p>
    <w:p w14:paraId="3D0936C9" w14:textId="26E3510A" w:rsidR="00CB07AF" w:rsidRDefault="009544FA" w:rsidP="00CB07AF">
      <w:pPr>
        <w:pStyle w:val="FootnoteText"/>
      </w:pPr>
      <w:hyperlink r:id="rId25" w:history="1">
        <w:r w:rsidRPr="003067D5">
          <w:rPr>
            <w:rStyle w:val="Hyperlink"/>
          </w:rPr>
          <w:t>https://lordslibrary.parliament.uk/istanbul-convention-preventing-and-combating-violence-against-women-and-domestic-violence/</w:t>
        </w:r>
      </w:hyperlink>
      <w:r w:rsidR="00CB07AF">
        <w:t xml:space="preserve"> accessed 2 June 2023</w:t>
      </w:r>
      <w:r w:rsidR="004D0ADB">
        <w:t>.</w:t>
      </w:r>
    </w:p>
  </w:footnote>
  <w:footnote w:id="102">
    <w:p w14:paraId="25878554" w14:textId="4E970FB2" w:rsidR="00CB07AF" w:rsidRDefault="00CB07AF" w:rsidP="00CB07AF">
      <w:pPr>
        <w:pStyle w:val="FootnoteText"/>
      </w:pPr>
      <w:r>
        <w:rPr>
          <w:rStyle w:val="FootnoteReference"/>
        </w:rPr>
        <w:footnoteRef/>
      </w:r>
      <w:r>
        <w:t xml:space="preserve"> Solak</w:t>
      </w:r>
      <w:r w:rsidR="000810DA">
        <w:t xml:space="preserve"> (</w:t>
      </w:r>
      <w:r w:rsidR="00CD54EA">
        <w:t>n 14</w:t>
      </w:r>
      <w:r w:rsidR="000810DA">
        <w:t>)</w:t>
      </w:r>
      <w:r w:rsidR="00134869">
        <w:t>.</w:t>
      </w:r>
    </w:p>
  </w:footnote>
  <w:footnote w:id="103">
    <w:p w14:paraId="36EB92F2" w14:textId="075B120E" w:rsidR="00782504" w:rsidRDefault="00782504">
      <w:pPr>
        <w:pStyle w:val="FootnoteText"/>
      </w:pPr>
      <w:r>
        <w:rPr>
          <w:rStyle w:val="FootnoteReference"/>
        </w:rPr>
        <w:footnoteRef/>
      </w:r>
      <w:r w:rsidR="006E4AB1">
        <w:t xml:space="preserve"> Interview 1.</w:t>
      </w:r>
    </w:p>
  </w:footnote>
  <w:footnote w:id="104">
    <w:p w14:paraId="5B12A5DB" w14:textId="77777777" w:rsidR="00CB07AF" w:rsidRDefault="00CB07AF" w:rsidP="00CB07AF">
      <w:pPr>
        <w:pStyle w:val="FootnoteText"/>
      </w:pPr>
      <w:r>
        <w:rPr>
          <w:rStyle w:val="FootnoteReference"/>
        </w:rPr>
        <w:footnoteRef/>
      </w:r>
      <w:r>
        <w:t xml:space="preserve"> Interview 1.</w:t>
      </w:r>
    </w:p>
  </w:footnote>
  <w:footnote w:id="105">
    <w:p w14:paraId="7571A131" w14:textId="77777777" w:rsidR="00CB07AF" w:rsidRDefault="00CB07AF" w:rsidP="00CB07AF">
      <w:pPr>
        <w:pStyle w:val="FootnoteText"/>
      </w:pPr>
      <w:r>
        <w:rPr>
          <w:rStyle w:val="FootnoteReference"/>
        </w:rPr>
        <w:footnoteRef/>
      </w:r>
      <w:r>
        <w:t xml:space="preserve"> Interview 4.</w:t>
      </w:r>
    </w:p>
  </w:footnote>
  <w:footnote w:id="106">
    <w:p w14:paraId="2341BE74" w14:textId="77777777" w:rsidR="00CB07AF" w:rsidRDefault="00CB07AF" w:rsidP="00CB07AF">
      <w:pPr>
        <w:pStyle w:val="FootnoteText"/>
      </w:pPr>
      <w:r>
        <w:rPr>
          <w:rStyle w:val="FootnoteReference"/>
        </w:rPr>
        <w:footnoteRef/>
      </w:r>
      <w:r>
        <w:t xml:space="preserve"> Interview 4.</w:t>
      </w:r>
    </w:p>
  </w:footnote>
  <w:footnote w:id="107">
    <w:p w14:paraId="2C34201D" w14:textId="43BB9D54" w:rsidR="00CB07AF" w:rsidRDefault="00CB07AF" w:rsidP="00CB07AF">
      <w:pPr>
        <w:pStyle w:val="FootnoteText"/>
      </w:pPr>
      <w:r>
        <w:rPr>
          <w:rStyle w:val="FootnoteReference"/>
        </w:rPr>
        <w:footnoteRef/>
      </w:r>
      <w:r>
        <w:t xml:space="preserve"> Interview 3;</w:t>
      </w:r>
      <w:r w:rsidR="00885854">
        <w:t xml:space="preserve"> </w:t>
      </w:r>
      <w:r>
        <w:t>interview 2.</w:t>
      </w:r>
    </w:p>
  </w:footnote>
  <w:footnote w:id="108">
    <w:p w14:paraId="60A14F8F" w14:textId="5A124A4B" w:rsidR="00522CA0" w:rsidRDefault="00522CA0" w:rsidP="00F36A4F">
      <w:pPr>
        <w:pStyle w:val="FootnoteText"/>
      </w:pPr>
      <w:r>
        <w:rPr>
          <w:rStyle w:val="FootnoteReference"/>
        </w:rPr>
        <w:footnoteRef/>
      </w:r>
      <w:r>
        <w:t xml:space="preserve"> </w:t>
      </w:r>
      <w:r w:rsidR="004D0ADB" w:rsidRPr="004D0ADB">
        <w:t xml:space="preserve">See further EŞİK platform, available at </w:t>
      </w:r>
      <w:hyperlink r:id="rId26" w:history="1">
        <w:r w:rsidRPr="00E93E75">
          <w:rPr>
            <w:rStyle w:val="Hyperlink"/>
          </w:rPr>
          <w:t>https://esikplatform.net/kategori/istanbul-sozlesmesi-basin-aciklamalari/72142/istanbulsozlesmesi10yasinda/</w:t>
        </w:r>
      </w:hyperlink>
      <w:r>
        <w:t xml:space="preserve"> accessed 13 April 2023.</w:t>
      </w:r>
    </w:p>
  </w:footnote>
  <w:footnote w:id="109">
    <w:p w14:paraId="7E074CC9" w14:textId="0C0E0452" w:rsidR="00630887" w:rsidRDefault="00630887" w:rsidP="00630887">
      <w:pPr>
        <w:pStyle w:val="FootnoteText"/>
      </w:pPr>
      <w:r>
        <w:rPr>
          <w:rStyle w:val="FootnoteReference"/>
        </w:rPr>
        <w:footnoteRef/>
      </w:r>
      <w:r w:rsidR="004D0ADB">
        <w:t xml:space="preserve"> Ibid</w:t>
      </w:r>
      <w:r>
        <w:t>.</w:t>
      </w:r>
    </w:p>
  </w:footnote>
  <w:footnote w:id="110">
    <w:p w14:paraId="3F8A5B7D" w14:textId="3A0A781D" w:rsidR="00522CA0" w:rsidRDefault="00522CA0">
      <w:pPr>
        <w:pStyle w:val="FootnoteText"/>
      </w:pPr>
      <w:r>
        <w:rPr>
          <w:rStyle w:val="FootnoteReference"/>
        </w:rPr>
        <w:footnoteRef/>
      </w:r>
      <w:r>
        <w:t xml:space="preserve"> </w:t>
      </w:r>
      <w:r w:rsidR="00287004">
        <w:t>Interview 1.</w:t>
      </w:r>
    </w:p>
  </w:footnote>
  <w:footnote w:id="111">
    <w:p w14:paraId="770F7D31" w14:textId="5C65F50F" w:rsidR="00522CA0" w:rsidRDefault="00522CA0" w:rsidP="00FB7A1F">
      <w:pPr>
        <w:pStyle w:val="FootnoteText"/>
      </w:pPr>
      <w:r>
        <w:rPr>
          <w:rStyle w:val="FootnoteReference"/>
        </w:rPr>
        <w:footnoteRef/>
      </w:r>
      <w:r>
        <w:t xml:space="preserve"> Davies</w:t>
      </w:r>
      <w:r w:rsidR="0009337A">
        <w:t xml:space="preserve"> (</w:t>
      </w:r>
      <w:r w:rsidR="0013024F">
        <w:t>n 7</w:t>
      </w:r>
      <w:r w:rsidR="0009337A">
        <w:t>)</w:t>
      </w:r>
      <w:r>
        <w:t>.</w:t>
      </w:r>
    </w:p>
  </w:footnote>
  <w:footnote w:id="112">
    <w:p w14:paraId="1934F1AB" w14:textId="71473FE6" w:rsidR="004357F3" w:rsidRDefault="004357F3">
      <w:pPr>
        <w:pStyle w:val="FootnoteText"/>
      </w:pPr>
      <w:r>
        <w:rPr>
          <w:rStyle w:val="FootnoteReference"/>
        </w:rPr>
        <w:footnoteRef/>
      </w:r>
      <w:r>
        <w:t xml:space="preserve"> </w:t>
      </w:r>
      <w:r w:rsidR="00287004">
        <w:t>Interview 2.</w:t>
      </w:r>
    </w:p>
  </w:footnote>
  <w:footnote w:id="113">
    <w:p w14:paraId="67270762" w14:textId="5D1A1E1B" w:rsidR="004357F3" w:rsidRDefault="004357F3">
      <w:pPr>
        <w:pStyle w:val="FootnoteText"/>
      </w:pPr>
      <w:r>
        <w:rPr>
          <w:rStyle w:val="FootnoteReference"/>
        </w:rPr>
        <w:footnoteRef/>
      </w:r>
      <w:r>
        <w:t xml:space="preserve"> </w:t>
      </w:r>
      <w:r w:rsidR="00287004">
        <w:t>Interview 2.</w:t>
      </w:r>
    </w:p>
  </w:footnote>
  <w:footnote w:id="114">
    <w:p w14:paraId="31264A86" w14:textId="362DA3C1" w:rsidR="00522CA0" w:rsidRDefault="00522CA0" w:rsidP="005D7646">
      <w:pPr>
        <w:pStyle w:val="FootnoteText"/>
      </w:pPr>
      <w:r>
        <w:rPr>
          <w:rStyle w:val="FootnoteReference"/>
        </w:rPr>
        <w:footnoteRef/>
      </w:r>
      <w:r>
        <w:t xml:space="preserve"> </w:t>
      </w:r>
      <w:r w:rsidR="00287004">
        <w:t>Interview 1</w:t>
      </w:r>
      <w:r w:rsidR="008E2930">
        <w:t>;</w:t>
      </w:r>
      <w:r w:rsidR="00671EBE">
        <w:t xml:space="preserve"> </w:t>
      </w:r>
      <w:r w:rsidR="00287004">
        <w:t>interview 3</w:t>
      </w:r>
      <w:r w:rsidR="006E4AB1">
        <w:t xml:space="preserve">; </w:t>
      </w:r>
      <w:r w:rsidR="00287004">
        <w:t>interview 5</w:t>
      </w:r>
      <w:r w:rsidR="006910E9">
        <w:t>.</w:t>
      </w:r>
    </w:p>
  </w:footnote>
  <w:footnote w:id="115">
    <w:p w14:paraId="4365D752" w14:textId="1A6DA1BD" w:rsidR="00522CA0" w:rsidRDefault="00522CA0">
      <w:pPr>
        <w:pStyle w:val="FootnoteText"/>
      </w:pPr>
      <w:r>
        <w:rPr>
          <w:rStyle w:val="FootnoteReference"/>
        </w:rPr>
        <w:footnoteRef/>
      </w:r>
      <w:r>
        <w:t xml:space="preserve"> </w:t>
      </w:r>
      <w:r w:rsidR="00287004">
        <w:t>Interview 1</w:t>
      </w:r>
      <w:r w:rsidR="008E2930">
        <w:t>;</w:t>
      </w:r>
      <w:r w:rsidR="00671EBE">
        <w:t xml:space="preserve"> </w:t>
      </w:r>
      <w:r w:rsidR="00287004">
        <w:t>interview 4</w:t>
      </w:r>
      <w:r w:rsidR="006E4AB1">
        <w:t>;</w:t>
      </w:r>
      <w:r w:rsidR="00671EBE">
        <w:t xml:space="preserve"> </w:t>
      </w:r>
      <w:r w:rsidR="00287004">
        <w:t>interview 5.</w:t>
      </w:r>
    </w:p>
  </w:footnote>
  <w:footnote w:id="116">
    <w:p w14:paraId="7F23F402" w14:textId="1DAC3402" w:rsidR="00522CA0" w:rsidRDefault="00522CA0">
      <w:pPr>
        <w:pStyle w:val="FootnoteText"/>
      </w:pPr>
      <w:r>
        <w:rPr>
          <w:rStyle w:val="FootnoteReference"/>
        </w:rPr>
        <w:footnoteRef/>
      </w:r>
      <w:r>
        <w:t xml:space="preserve"> </w:t>
      </w:r>
      <w:r w:rsidR="00287004">
        <w:t>Interview 5.</w:t>
      </w:r>
    </w:p>
  </w:footnote>
  <w:footnote w:id="117">
    <w:p w14:paraId="507A2485" w14:textId="19C4F547" w:rsidR="00522CA0" w:rsidRDefault="00522CA0">
      <w:pPr>
        <w:pStyle w:val="FootnoteText"/>
      </w:pPr>
      <w:r>
        <w:rPr>
          <w:rStyle w:val="FootnoteReference"/>
        </w:rPr>
        <w:footnoteRef/>
      </w:r>
      <w:r>
        <w:t xml:space="preserve"> </w:t>
      </w:r>
      <w:r w:rsidR="00287004">
        <w:t>Interview 4.</w:t>
      </w:r>
    </w:p>
  </w:footnote>
  <w:footnote w:id="118">
    <w:p w14:paraId="3041A111" w14:textId="2135430F" w:rsidR="00B24831" w:rsidRDefault="00B24831">
      <w:pPr>
        <w:pStyle w:val="FootnoteText"/>
      </w:pPr>
      <w:r>
        <w:rPr>
          <w:rStyle w:val="FootnoteReference"/>
        </w:rPr>
        <w:footnoteRef/>
      </w:r>
      <w:r>
        <w:t xml:space="preserve"> Interview 6.</w:t>
      </w:r>
    </w:p>
  </w:footnote>
  <w:footnote w:id="119">
    <w:p w14:paraId="4BA83EAD" w14:textId="65CEFF85" w:rsidR="00522CA0" w:rsidRDefault="00522CA0">
      <w:pPr>
        <w:pStyle w:val="FootnoteText"/>
      </w:pPr>
      <w:r>
        <w:rPr>
          <w:rStyle w:val="FootnoteReference"/>
        </w:rPr>
        <w:footnoteRef/>
      </w:r>
      <w:r>
        <w:t xml:space="preserve"> </w:t>
      </w:r>
      <w:r w:rsidR="00287004">
        <w:t>Interview 3</w:t>
      </w:r>
      <w:r w:rsidR="008E2930">
        <w:t>;</w:t>
      </w:r>
      <w:r w:rsidR="00671EBE">
        <w:t xml:space="preserve"> </w:t>
      </w:r>
      <w:r w:rsidR="00287004">
        <w:t>intervie</w:t>
      </w:r>
      <w:r w:rsidR="008F4DD8">
        <w:t>w</w:t>
      </w:r>
      <w:r w:rsidR="00287004">
        <w:t xml:space="preserve"> 1. </w:t>
      </w:r>
    </w:p>
  </w:footnote>
  <w:footnote w:id="120">
    <w:p w14:paraId="1D044B87" w14:textId="10FE6331" w:rsidR="00522CA0" w:rsidRDefault="00522CA0">
      <w:pPr>
        <w:pStyle w:val="FootnoteText"/>
      </w:pPr>
      <w:r>
        <w:rPr>
          <w:rStyle w:val="FootnoteReference"/>
        </w:rPr>
        <w:footnoteRef/>
      </w:r>
      <w:r>
        <w:t xml:space="preserve"> </w:t>
      </w:r>
      <w:r w:rsidR="00287004">
        <w:t>Interview 3</w:t>
      </w:r>
      <w:r w:rsidR="008E2930">
        <w:t>;</w:t>
      </w:r>
      <w:r w:rsidR="00671EBE">
        <w:t xml:space="preserve"> </w:t>
      </w:r>
      <w:r w:rsidR="007C3F5D">
        <w:t>interview 4;</w:t>
      </w:r>
      <w:r w:rsidR="004D40FD">
        <w:t xml:space="preserve"> </w:t>
      </w:r>
      <w:r w:rsidR="00287004">
        <w:t>interview 5</w:t>
      </w:r>
      <w:r w:rsidR="007C3F5D">
        <w:t>;</w:t>
      </w:r>
      <w:r w:rsidR="004D40FD">
        <w:t xml:space="preserve"> </w:t>
      </w:r>
      <w:r w:rsidR="007C3F5D">
        <w:t>interview 6;</w:t>
      </w:r>
      <w:r w:rsidR="002F34AC">
        <w:t xml:space="preserve"> </w:t>
      </w:r>
      <w:r w:rsidR="007C3F5D">
        <w:t>interview 7</w:t>
      </w:r>
      <w:r w:rsidR="00287004">
        <w:t>.</w:t>
      </w:r>
    </w:p>
  </w:footnote>
  <w:footnote w:id="121">
    <w:p w14:paraId="1DD452F8" w14:textId="436AC8E7" w:rsidR="00522CA0" w:rsidRDefault="00522CA0">
      <w:pPr>
        <w:pStyle w:val="FootnoteText"/>
      </w:pPr>
      <w:r>
        <w:rPr>
          <w:rStyle w:val="FootnoteReference"/>
        </w:rPr>
        <w:footnoteRef/>
      </w:r>
      <w:r>
        <w:t xml:space="preserve"> </w:t>
      </w:r>
      <w:r w:rsidR="005B7C9D">
        <w:t>Interview 5</w:t>
      </w:r>
      <w:r w:rsidR="00671EBE">
        <w:t>.</w:t>
      </w:r>
    </w:p>
  </w:footnote>
  <w:footnote w:id="122">
    <w:p w14:paraId="5D322278" w14:textId="72AA235A" w:rsidR="00522CA0" w:rsidRDefault="00522CA0">
      <w:pPr>
        <w:pStyle w:val="FootnoteText"/>
      </w:pPr>
      <w:r>
        <w:rPr>
          <w:rStyle w:val="FootnoteReference"/>
        </w:rPr>
        <w:footnoteRef/>
      </w:r>
      <w:r>
        <w:t xml:space="preserve"> </w:t>
      </w:r>
      <w:r w:rsidR="005B7C9D">
        <w:t>Interview 5</w:t>
      </w:r>
      <w:r w:rsidR="008E2930">
        <w:t>;</w:t>
      </w:r>
      <w:r w:rsidR="00671EBE">
        <w:t xml:space="preserve"> </w:t>
      </w:r>
      <w:r w:rsidR="005B7C9D">
        <w:t>interview 4.</w:t>
      </w:r>
    </w:p>
  </w:footnote>
  <w:footnote w:id="123">
    <w:p w14:paraId="0DFE50C9" w14:textId="283ABD07" w:rsidR="00522CA0" w:rsidRDefault="00522CA0" w:rsidP="006E49B4">
      <w:pPr>
        <w:pStyle w:val="FootnoteText"/>
      </w:pPr>
      <w:r>
        <w:rPr>
          <w:rStyle w:val="FootnoteReference"/>
        </w:rPr>
        <w:footnoteRef/>
      </w:r>
      <w:r>
        <w:t xml:space="preserve"> </w:t>
      </w:r>
      <w:r w:rsidR="005B7C9D">
        <w:t>Interview 4.</w:t>
      </w:r>
    </w:p>
  </w:footnote>
  <w:footnote w:id="124">
    <w:p w14:paraId="686205F8" w14:textId="3B6E3F4B" w:rsidR="00DC0993" w:rsidRDefault="00DC0993">
      <w:pPr>
        <w:pStyle w:val="FootnoteText"/>
      </w:pPr>
      <w:r>
        <w:rPr>
          <w:rStyle w:val="FootnoteReference"/>
        </w:rPr>
        <w:footnoteRef/>
      </w:r>
      <w:r>
        <w:t xml:space="preserve"> </w:t>
      </w:r>
      <w:r w:rsidR="003C3BD9" w:rsidRPr="003C3BD9">
        <w:t>See day-to-day chronology compiled by Women for Women’s Human Rights (WWHR) – New Ways Association</w:t>
      </w:r>
      <w:r w:rsidR="00DA1293">
        <w:t xml:space="preserve"> (</w:t>
      </w:r>
      <w:r w:rsidR="00AB7AED">
        <w:t>n 5</w:t>
      </w:r>
      <w:r w:rsidR="00DA1293">
        <w:t>)</w:t>
      </w:r>
      <w:r w:rsidR="00FE5891">
        <w:t>.</w:t>
      </w:r>
    </w:p>
  </w:footnote>
  <w:footnote w:id="125">
    <w:p w14:paraId="5A8A1A69" w14:textId="3EB568E0" w:rsidR="00522CA0" w:rsidRDefault="00522CA0" w:rsidP="009F1B62">
      <w:pPr>
        <w:pStyle w:val="FootnoteText"/>
      </w:pPr>
      <w:r>
        <w:rPr>
          <w:rStyle w:val="FootnoteReference"/>
        </w:rPr>
        <w:footnoteRef/>
      </w:r>
      <w:r w:rsidR="00AB7AED" w:rsidRPr="00AB7AED">
        <w:t>See further EŞİK platform</w:t>
      </w:r>
      <w:r w:rsidR="00830A72">
        <w:t xml:space="preserve"> (</w:t>
      </w:r>
      <w:r w:rsidR="00E34AAD">
        <w:t>n 106</w:t>
      </w:r>
      <w:r w:rsidR="00830A72">
        <w:t>)</w:t>
      </w:r>
      <w:r w:rsidR="00E34AAD">
        <w:t>.</w:t>
      </w:r>
    </w:p>
  </w:footnote>
  <w:footnote w:id="126">
    <w:p w14:paraId="11358656" w14:textId="5FB0233B" w:rsidR="00522CA0" w:rsidRDefault="00522CA0">
      <w:pPr>
        <w:pStyle w:val="FootnoteText"/>
      </w:pPr>
      <w:r>
        <w:rPr>
          <w:rStyle w:val="FootnoteReference"/>
        </w:rPr>
        <w:footnoteRef/>
      </w:r>
      <w:r>
        <w:t xml:space="preserve"> E</w:t>
      </w:r>
      <w:r w:rsidRPr="002874F3">
        <w:t xml:space="preserve">uropean Commission </w:t>
      </w:r>
      <w:r w:rsidR="00DD3C42">
        <w:t>f</w:t>
      </w:r>
      <w:r w:rsidRPr="002874F3">
        <w:t>or Democracy Through Law</w:t>
      </w:r>
      <w:r>
        <w:t xml:space="preserve"> </w:t>
      </w:r>
      <w:r w:rsidRPr="002874F3">
        <w:t>(Venice Commission)</w:t>
      </w:r>
      <w:r w:rsidR="00DD3C42">
        <w:t xml:space="preserve"> (</w:t>
      </w:r>
      <w:r w:rsidR="00E34AAD">
        <w:t>n 28</w:t>
      </w:r>
      <w:r w:rsidR="00DD3C42">
        <w:t>)</w:t>
      </w:r>
      <w:r w:rsidR="00E34AAD">
        <w:t>.</w:t>
      </w:r>
    </w:p>
  </w:footnote>
  <w:footnote w:id="127">
    <w:p w14:paraId="75CBE3E3" w14:textId="3E942041" w:rsidR="00522CA0" w:rsidRDefault="00522CA0">
      <w:pPr>
        <w:pStyle w:val="FootnoteText"/>
      </w:pPr>
      <w:r>
        <w:rPr>
          <w:rStyle w:val="FootnoteReference"/>
        </w:rPr>
        <w:footnoteRef/>
      </w:r>
      <w:r>
        <w:t xml:space="preserve"> </w:t>
      </w:r>
      <w:r w:rsidR="00565BB5" w:rsidRPr="00565BB5">
        <w:t>See further EŞİK platform</w:t>
      </w:r>
      <w:r w:rsidR="00565BB5">
        <w:t xml:space="preserve">, available at </w:t>
      </w:r>
      <w:hyperlink r:id="rId27" w:history="1">
        <w:r w:rsidR="00565BB5" w:rsidRPr="003067D5">
          <w:rPr>
            <w:rStyle w:val="Hyperlink"/>
          </w:rPr>
          <w:t>https://esikplatform.net/en/category/english/73874/urgent-appeal-to-the-council-of-europe</w:t>
        </w:r>
      </w:hyperlink>
      <w:r>
        <w:t xml:space="preserve"> accessed 30 December 2022.</w:t>
      </w:r>
    </w:p>
  </w:footnote>
  <w:footnote w:id="128">
    <w:p w14:paraId="469A126D" w14:textId="7D91646F" w:rsidR="00522CA0" w:rsidRDefault="00522CA0">
      <w:pPr>
        <w:pStyle w:val="FootnoteText"/>
      </w:pPr>
      <w:r>
        <w:rPr>
          <w:rStyle w:val="FootnoteReference"/>
        </w:rPr>
        <w:footnoteRef/>
      </w:r>
      <w:r>
        <w:t xml:space="preserve"> </w:t>
      </w:r>
      <w:r w:rsidR="005B7C9D">
        <w:t>Interview 5.</w:t>
      </w:r>
    </w:p>
  </w:footnote>
  <w:footnote w:id="129">
    <w:p w14:paraId="6AA8893D" w14:textId="6A42A268" w:rsidR="00522CA0" w:rsidRDefault="00522CA0">
      <w:pPr>
        <w:pStyle w:val="FootnoteText"/>
      </w:pPr>
      <w:r>
        <w:rPr>
          <w:rStyle w:val="FootnoteReference"/>
        </w:rPr>
        <w:footnoteRef/>
      </w:r>
      <w:r>
        <w:t xml:space="preserve"> B</w:t>
      </w:r>
      <w:r w:rsidRPr="00AC3BDC">
        <w:t xml:space="preserve">aşak </w:t>
      </w:r>
      <w:proofErr w:type="spellStart"/>
      <w:r w:rsidRPr="00AC3BDC">
        <w:t>Ça</w:t>
      </w:r>
      <w:r>
        <w:t>l</w:t>
      </w:r>
      <w:r w:rsidR="00C63B64">
        <w:t>i</w:t>
      </w:r>
      <w:proofErr w:type="spellEnd"/>
      <w:r w:rsidRPr="00AC3BDC">
        <w:t xml:space="preserve"> and Laurence Helfer</w:t>
      </w:r>
      <w:r>
        <w:t xml:space="preserve">, </w:t>
      </w:r>
      <w:r w:rsidR="000B15DE">
        <w:t>‘</w:t>
      </w:r>
      <w:r w:rsidRPr="00AC3BDC">
        <w:t>The Gender of Treaty Withdrawal: Lessons from the Istanbul Convention</w:t>
      </w:r>
      <w:r w:rsidR="000B15DE">
        <w:t>’</w:t>
      </w:r>
      <w:r w:rsidR="00DD3C42">
        <w:t>,</w:t>
      </w:r>
      <w:r w:rsidR="000B15DE">
        <w:t xml:space="preserve"> </w:t>
      </w:r>
      <w:proofErr w:type="spellStart"/>
      <w:r w:rsidR="00C63B64" w:rsidRPr="00C63B64">
        <w:rPr>
          <w:i/>
          <w:iCs/>
        </w:rPr>
        <w:t>EJIL:Talk</w:t>
      </w:r>
      <w:proofErr w:type="spellEnd"/>
      <w:r w:rsidR="00C63B64" w:rsidRPr="00C63B64">
        <w:rPr>
          <w:i/>
          <w:iCs/>
        </w:rPr>
        <w:t xml:space="preserve">!: </w:t>
      </w:r>
      <w:r w:rsidR="00C63B64" w:rsidRPr="003F1903">
        <w:rPr>
          <w:i/>
          <w:iCs/>
        </w:rPr>
        <w:t>Blog of the European Journal of International Law</w:t>
      </w:r>
      <w:r w:rsidR="00C63B64" w:rsidRPr="00C63B64">
        <w:t xml:space="preserve">, </w:t>
      </w:r>
      <w:r w:rsidR="00DD3C42">
        <w:t xml:space="preserve">28 November 2022, </w:t>
      </w:r>
      <w:r w:rsidR="00C63B64" w:rsidRPr="00C63B64">
        <w:t>available at</w:t>
      </w:r>
      <w:r>
        <w:t xml:space="preserve"> </w:t>
      </w:r>
      <w:hyperlink r:id="rId28" w:history="1">
        <w:r w:rsidRPr="00192B15">
          <w:rPr>
            <w:rStyle w:val="Hyperlink"/>
          </w:rPr>
          <w:t>https://www.ejiltalk.org/the-gender-of-treaty-withdrawal-lessons-from-the-istanbul-convention/</w:t>
        </w:r>
      </w:hyperlink>
      <w:r>
        <w:t xml:space="preserve"> accessed 14 April 2023. </w:t>
      </w:r>
    </w:p>
  </w:footnote>
  <w:footnote w:id="130">
    <w:p w14:paraId="643B05E3" w14:textId="2F20C82E" w:rsidR="00522CA0" w:rsidRDefault="00522CA0" w:rsidP="00A345E9">
      <w:pPr>
        <w:pStyle w:val="FootnoteText"/>
      </w:pPr>
      <w:r>
        <w:rPr>
          <w:rStyle w:val="FootnoteReference"/>
        </w:rPr>
        <w:footnoteRef/>
      </w:r>
      <w:r w:rsidR="00A345E9" w:rsidRPr="00A345E9">
        <w:rPr>
          <w:i/>
          <w:iCs/>
        </w:rPr>
        <w:t>The Obligations in Matters of Human Rights of a State That Has Denounced the American Convention on Human Rights and The Charter of the Organization of American States</w:t>
      </w:r>
      <w:r w:rsidR="00A345E9">
        <w:t>,</w:t>
      </w:r>
      <w:r w:rsidR="00A26643">
        <w:t xml:space="preserve"> </w:t>
      </w:r>
      <w:r w:rsidR="00A345E9">
        <w:t>Advisory Opinion OC-26/20, the Inter-American Court of Human Rights</w:t>
      </w:r>
      <w:r w:rsidR="005F109C">
        <w:t xml:space="preserve"> </w:t>
      </w:r>
      <w:r w:rsidR="00A345E9">
        <w:t>(IACHR)</w:t>
      </w:r>
      <w:r w:rsidR="005F109C">
        <w:t>,</w:t>
      </w:r>
      <w:r w:rsidR="00A345E9">
        <w:t xml:space="preserve"> 9 November 2020</w:t>
      </w:r>
      <w:r w:rsidR="005F109C">
        <w:t>,</w:t>
      </w:r>
      <w:r w:rsidR="00A345E9">
        <w:t xml:space="preserve"> </w:t>
      </w:r>
      <w:r w:rsidR="00313977">
        <w:t xml:space="preserve">available at </w:t>
      </w:r>
      <w:hyperlink r:id="rId29" w:history="1">
        <w:r w:rsidR="00313977" w:rsidRPr="003067D5">
          <w:rPr>
            <w:rStyle w:val="Hyperlink"/>
          </w:rPr>
          <w:t>https://www.corteidh.or.cr/docs/opiniones/seriea_26_eng.pdf</w:t>
        </w:r>
      </w:hyperlink>
      <w:r>
        <w:t xml:space="preserve"> </w:t>
      </w:r>
      <w:r w:rsidR="00A345E9">
        <w:t>accessed 5 May 2023</w:t>
      </w:r>
    </w:p>
  </w:footnote>
  <w:footnote w:id="131">
    <w:p w14:paraId="29C51962" w14:textId="27FDF9C8" w:rsidR="00522CA0" w:rsidRDefault="00522CA0">
      <w:pPr>
        <w:pStyle w:val="FootnoteText"/>
      </w:pPr>
      <w:r>
        <w:rPr>
          <w:rStyle w:val="FootnoteReference"/>
        </w:rPr>
        <w:footnoteRef/>
      </w:r>
      <w:r>
        <w:t xml:space="preserve"> </w:t>
      </w:r>
      <w:r w:rsidR="005B7C9D">
        <w:t>Interview 1</w:t>
      </w:r>
      <w:r w:rsidR="008E2930">
        <w:t>;</w:t>
      </w:r>
      <w:r w:rsidR="00671EBE">
        <w:t xml:space="preserve"> </w:t>
      </w:r>
      <w:r w:rsidR="005B7C9D">
        <w:t xml:space="preserve">interview 5. </w:t>
      </w:r>
    </w:p>
  </w:footnote>
  <w:footnote w:id="132">
    <w:p w14:paraId="0C37C67B" w14:textId="5C831865" w:rsidR="00522CA0" w:rsidRDefault="00522CA0">
      <w:pPr>
        <w:pStyle w:val="FootnoteText"/>
      </w:pPr>
      <w:r>
        <w:rPr>
          <w:rStyle w:val="FootnoteReference"/>
        </w:rPr>
        <w:footnoteRef/>
      </w:r>
      <w:r>
        <w:t xml:space="preserve"> </w:t>
      </w:r>
      <w:r w:rsidR="005B7C9D">
        <w:t>Interview</w:t>
      </w:r>
      <w:r w:rsidR="00871116">
        <w:t xml:space="preserve"> </w:t>
      </w:r>
      <w:r w:rsidR="005B7C9D">
        <w:t>5.</w:t>
      </w:r>
    </w:p>
  </w:footnote>
  <w:footnote w:id="133">
    <w:p w14:paraId="16F58117" w14:textId="700BCF0F" w:rsidR="00522CA0" w:rsidRDefault="00522CA0">
      <w:pPr>
        <w:pStyle w:val="FootnoteText"/>
      </w:pPr>
      <w:r>
        <w:rPr>
          <w:rStyle w:val="FootnoteReference"/>
        </w:rPr>
        <w:footnoteRef/>
      </w:r>
      <w:r w:rsidR="005B7C9D">
        <w:t xml:space="preserve"> Interview 4.</w:t>
      </w:r>
    </w:p>
  </w:footnote>
  <w:footnote w:id="134">
    <w:p w14:paraId="0815D158" w14:textId="51456EE7" w:rsidR="00522CA0" w:rsidRDefault="00522CA0">
      <w:pPr>
        <w:pStyle w:val="FootnoteText"/>
      </w:pPr>
      <w:r>
        <w:rPr>
          <w:rStyle w:val="FootnoteReference"/>
        </w:rPr>
        <w:footnoteRef/>
      </w:r>
      <w:r>
        <w:t xml:space="preserve"> </w:t>
      </w:r>
      <w:r w:rsidR="005B7C9D">
        <w:t>Interview 1.</w:t>
      </w:r>
    </w:p>
  </w:footnote>
  <w:footnote w:id="135">
    <w:p w14:paraId="22DF52FC" w14:textId="0E538384" w:rsidR="00CE6749" w:rsidRDefault="00CE6749">
      <w:pPr>
        <w:pStyle w:val="FootnoteText"/>
      </w:pPr>
      <w:r>
        <w:rPr>
          <w:rStyle w:val="FootnoteReference"/>
        </w:rPr>
        <w:footnoteRef/>
      </w:r>
      <w:proofErr w:type="spellStart"/>
      <w:r w:rsidR="00E83CF9" w:rsidRPr="008351C9">
        <w:rPr>
          <w:i/>
          <w:iCs/>
        </w:rPr>
        <w:t>Opuz</w:t>
      </w:r>
      <w:proofErr w:type="spellEnd"/>
      <w:r w:rsidR="00E83CF9" w:rsidRPr="008351C9">
        <w:rPr>
          <w:i/>
          <w:iCs/>
        </w:rPr>
        <w:t xml:space="preserve"> v Turkey</w:t>
      </w:r>
      <w:r w:rsidR="00E83CF9" w:rsidRPr="008351C9">
        <w:t xml:space="preserve"> App </w:t>
      </w:r>
      <w:r w:rsidR="00E83CF9">
        <w:t>n</w:t>
      </w:r>
      <w:r w:rsidR="00E83CF9" w:rsidRPr="008351C9">
        <w:t>o 33401/02 09</w:t>
      </w:r>
      <w:r w:rsidR="00E83CF9">
        <w:t xml:space="preserve"> (ECHR, September </w:t>
      </w:r>
      <w:r w:rsidR="00E83CF9" w:rsidRPr="008351C9">
        <w:t>2009</w:t>
      </w:r>
      <w:r w:rsidR="00E83CF9">
        <w:t>).</w:t>
      </w:r>
    </w:p>
  </w:footnote>
  <w:footnote w:id="136">
    <w:p w14:paraId="0F7942F7" w14:textId="2B809501" w:rsidR="00522CA0" w:rsidRDefault="00522CA0">
      <w:pPr>
        <w:pStyle w:val="FootnoteText"/>
      </w:pPr>
      <w:r>
        <w:rPr>
          <w:rStyle w:val="FootnoteReference"/>
        </w:rPr>
        <w:footnoteRef/>
      </w:r>
      <w:r>
        <w:t xml:space="preserve"> </w:t>
      </w:r>
      <w:r w:rsidR="002E1B21">
        <w:t>Interview 4.</w:t>
      </w:r>
    </w:p>
  </w:footnote>
  <w:footnote w:id="137">
    <w:p w14:paraId="300DAF3F" w14:textId="194B8D09" w:rsidR="00522CA0" w:rsidRDefault="00522CA0">
      <w:pPr>
        <w:pStyle w:val="FootnoteText"/>
      </w:pPr>
      <w:r>
        <w:rPr>
          <w:rStyle w:val="FootnoteReference"/>
        </w:rPr>
        <w:footnoteRef/>
      </w:r>
      <w:r>
        <w:t xml:space="preserve"> </w:t>
      </w:r>
      <w:r w:rsidR="002E1B21">
        <w:t>Interview 1.</w:t>
      </w:r>
    </w:p>
  </w:footnote>
  <w:footnote w:id="138">
    <w:p w14:paraId="3E6782A6" w14:textId="5E85F462" w:rsidR="00522CA0" w:rsidRDefault="00522CA0">
      <w:pPr>
        <w:pStyle w:val="FootnoteText"/>
      </w:pPr>
      <w:r>
        <w:rPr>
          <w:rStyle w:val="FootnoteReference"/>
        </w:rPr>
        <w:footnoteRef/>
      </w:r>
      <w:r>
        <w:t xml:space="preserve"> </w:t>
      </w:r>
      <w:r w:rsidR="002E1B21">
        <w:t>Interview</w:t>
      </w:r>
      <w:r w:rsidR="00871116">
        <w:t xml:space="preserve"> </w:t>
      </w:r>
      <w:r w:rsidR="002E1B21">
        <w:t>7.</w:t>
      </w:r>
    </w:p>
  </w:footnote>
  <w:footnote w:id="139">
    <w:p w14:paraId="6D01B26C" w14:textId="6AD4A54E" w:rsidR="00522CA0" w:rsidRDefault="00522CA0" w:rsidP="008B18D1">
      <w:pPr>
        <w:pStyle w:val="FootnoteText"/>
      </w:pPr>
      <w:r>
        <w:rPr>
          <w:rStyle w:val="FootnoteReference"/>
        </w:rPr>
        <w:footnoteRef/>
      </w:r>
      <w:r>
        <w:t xml:space="preserve"> </w:t>
      </w:r>
      <w:r w:rsidR="002E1B21">
        <w:t>Interview 8.</w:t>
      </w:r>
    </w:p>
  </w:footnote>
  <w:footnote w:id="140">
    <w:p w14:paraId="6432A023" w14:textId="044CA84F" w:rsidR="00522CA0" w:rsidRDefault="00522CA0">
      <w:pPr>
        <w:pStyle w:val="FootnoteText"/>
      </w:pPr>
      <w:r>
        <w:rPr>
          <w:rStyle w:val="FootnoteReference"/>
        </w:rPr>
        <w:footnoteRef/>
      </w:r>
      <w:r>
        <w:t xml:space="preserve"> Solak</w:t>
      </w:r>
      <w:r w:rsidR="007F3655">
        <w:t xml:space="preserve"> </w:t>
      </w:r>
      <w:r w:rsidR="00DA1293">
        <w:t>(</w:t>
      </w:r>
      <w:r w:rsidR="007F3655">
        <w:t xml:space="preserve">n </w:t>
      </w:r>
      <w:r w:rsidR="008A4CBE">
        <w:t>100</w:t>
      </w:r>
      <w:r w:rsidR="00DA1293">
        <w:t>)</w:t>
      </w:r>
      <w:r>
        <w:t xml:space="preserve">; Gizem </w:t>
      </w:r>
      <w:r w:rsidRPr="00867994">
        <w:t>G</w:t>
      </w:r>
      <w:r>
        <w:t>ü</w:t>
      </w:r>
      <w:r w:rsidRPr="00867994">
        <w:t>ney,</w:t>
      </w:r>
      <w:r>
        <w:t xml:space="preserve"> ‘</w:t>
      </w:r>
      <w:r w:rsidRPr="00867994">
        <w:t>One Step Forward, Two Steps Back: An Analysis of Turkey’s Implementation of the Istanbul Convention in Addressing Gender-Based Domestic Violence</w:t>
      </w:r>
      <w:r w:rsidR="008A4CBE">
        <w:t>,</w:t>
      </w:r>
      <w:r>
        <w:t xml:space="preserve">’ </w:t>
      </w:r>
      <w:r w:rsidR="008A4CBE">
        <w:t>i</w:t>
      </w:r>
      <w:r>
        <w:t>n Gizem</w:t>
      </w:r>
      <w:r w:rsidRPr="00867994">
        <w:t xml:space="preserve"> G</w:t>
      </w:r>
      <w:r>
        <w:t>ü</w:t>
      </w:r>
      <w:r w:rsidRPr="00867994">
        <w:t xml:space="preserve">ney, </w:t>
      </w:r>
      <w:r>
        <w:t>D</w:t>
      </w:r>
      <w:r w:rsidR="007D0959">
        <w:t xml:space="preserve">avid </w:t>
      </w:r>
      <w:r w:rsidRPr="00867994">
        <w:t xml:space="preserve">Davies, </w:t>
      </w:r>
      <w:r>
        <w:t xml:space="preserve">Po-Han </w:t>
      </w:r>
      <w:r w:rsidRPr="00867994">
        <w:t>Lee (eds)</w:t>
      </w:r>
      <w:r w:rsidR="004866E5">
        <w:t>,</w:t>
      </w:r>
      <w:r w:rsidRPr="00867994">
        <w:t xml:space="preserve"> </w:t>
      </w:r>
      <w:r w:rsidRPr="00867994">
        <w:rPr>
          <w:i/>
          <w:iCs/>
        </w:rPr>
        <w:t>Towards Gender Equality in Law</w:t>
      </w:r>
      <w:r w:rsidR="0076281C">
        <w:rPr>
          <w:i/>
          <w:iCs/>
        </w:rPr>
        <w:t>:</w:t>
      </w:r>
      <w:r>
        <w:t xml:space="preserve"> </w:t>
      </w:r>
      <w:r w:rsidR="0076281C" w:rsidRPr="0076281C">
        <w:rPr>
          <w:i/>
          <w:iCs/>
        </w:rPr>
        <w:t>An Analysis of State Failures from a Global Perspective</w:t>
      </w:r>
      <w:r w:rsidR="0076281C" w:rsidRPr="0076281C">
        <w:t xml:space="preserve"> </w:t>
      </w:r>
      <w:r>
        <w:t>(</w:t>
      </w:r>
      <w:r w:rsidR="004866E5">
        <w:t xml:space="preserve">2022; </w:t>
      </w:r>
      <w:r w:rsidRPr="00867994">
        <w:t>Palgrave Macmillan</w:t>
      </w:r>
      <w:r>
        <w:t>)</w:t>
      </w:r>
      <w:r w:rsidR="007D0959">
        <w:t xml:space="preserve"> </w:t>
      </w:r>
      <w:r w:rsidR="00D550BF">
        <w:t>133-152.</w:t>
      </w:r>
    </w:p>
  </w:footnote>
  <w:footnote w:id="141">
    <w:p w14:paraId="5B5754BE" w14:textId="31F003E8" w:rsidR="00522CA0" w:rsidRDefault="00522CA0">
      <w:pPr>
        <w:pStyle w:val="FootnoteText"/>
      </w:pPr>
      <w:r>
        <w:rPr>
          <w:rStyle w:val="FootnoteReference"/>
        </w:rPr>
        <w:footnoteRef/>
      </w:r>
      <w:r>
        <w:t xml:space="preserve"> </w:t>
      </w:r>
      <w:r w:rsidR="008524B8">
        <w:t>Interview 8.</w:t>
      </w:r>
    </w:p>
  </w:footnote>
  <w:footnote w:id="142">
    <w:p w14:paraId="740ECA24" w14:textId="499E5C9D" w:rsidR="00522CA0" w:rsidRDefault="00522CA0">
      <w:pPr>
        <w:pStyle w:val="FootnoteText"/>
      </w:pPr>
      <w:r>
        <w:rPr>
          <w:rStyle w:val="FootnoteReference"/>
        </w:rPr>
        <w:footnoteRef/>
      </w:r>
      <w:r>
        <w:t xml:space="preserve"> </w:t>
      </w:r>
      <w:r w:rsidR="005056B0">
        <w:t>Interview 8.</w:t>
      </w:r>
    </w:p>
  </w:footnote>
  <w:footnote w:id="143">
    <w:p w14:paraId="73C118BF" w14:textId="0954FD95" w:rsidR="00522CA0" w:rsidRDefault="00522CA0">
      <w:pPr>
        <w:pStyle w:val="FootnoteText"/>
      </w:pPr>
      <w:r>
        <w:rPr>
          <w:rStyle w:val="FootnoteReference"/>
        </w:rPr>
        <w:footnoteRef/>
      </w:r>
      <w:r>
        <w:t xml:space="preserve"> </w:t>
      </w:r>
      <w:r w:rsidR="005056B0">
        <w:t>Interview 8;</w:t>
      </w:r>
      <w:r w:rsidR="005056B0" w:rsidRPr="005056B0">
        <w:t xml:space="preserve"> </w:t>
      </w:r>
      <w:r w:rsidR="005056B0">
        <w:t>interview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5319" w14:textId="711DA159" w:rsidR="00B97534" w:rsidRDefault="0015367C">
    <w:pPr>
      <w:pStyle w:val="Header"/>
      <w:rPr>
        <w:sz w:val="22"/>
        <w:szCs w:val="22"/>
      </w:rPr>
    </w:pPr>
    <w:r>
      <w:rPr>
        <w:sz w:val="22"/>
        <w:szCs w:val="22"/>
      </w:rPr>
      <w:t xml:space="preserve">Elif Ceylan </w:t>
    </w:r>
    <w:r w:rsidR="00684F71">
      <w:rPr>
        <w:rFonts w:cs="Times New Roman"/>
        <w:sz w:val="22"/>
        <w:szCs w:val="22"/>
      </w:rPr>
      <w:t>Ö</w:t>
    </w:r>
    <w:r>
      <w:rPr>
        <w:sz w:val="22"/>
        <w:szCs w:val="22"/>
      </w:rPr>
      <w:t xml:space="preserve">zsoy and Cavidan </w:t>
    </w:r>
    <w:proofErr w:type="spellStart"/>
    <w:r>
      <w:rPr>
        <w:sz w:val="22"/>
        <w:szCs w:val="22"/>
      </w:rPr>
      <w:t>Soykan</w:t>
    </w:r>
    <w:proofErr w:type="spellEnd"/>
    <w:r w:rsidR="00684F71">
      <w:rPr>
        <w:sz w:val="22"/>
        <w:szCs w:val="22"/>
      </w:rPr>
      <w:tab/>
    </w:r>
    <w:r w:rsidR="00684F71">
      <w:rPr>
        <w:sz w:val="22"/>
        <w:szCs w:val="22"/>
      </w:rPr>
      <w:tab/>
    </w:r>
    <w:r w:rsidR="00AC691B">
      <w:rPr>
        <w:sz w:val="22"/>
        <w:szCs w:val="22"/>
      </w:rPr>
      <w:t>‘We are not leaving the Istanbul Convention’</w:t>
    </w:r>
  </w:p>
  <w:p w14:paraId="0C24CEBB" w14:textId="72959FBA" w:rsidR="00AC691B" w:rsidRPr="0015367C" w:rsidRDefault="00AC691B">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DF96" w14:textId="4119BF9D" w:rsidR="00637A01" w:rsidRDefault="00637A01">
    <w:pPr>
      <w:pStyle w:val="Header"/>
      <w:rPr>
        <w:rFonts w:cs="Times New Roman"/>
        <w:sz w:val="22"/>
        <w:szCs w:val="22"/>
      </w:rPr>
    </w:pPr>
    <w:proofErr w:type="spellStart"/>
    <w:r w:rsidRPr="00D34109">
      <w:rPr>
        <w:rFonts w:cs="Times New Roman"/>
        <w:i/>
        <w:iCs/>
        <w:sz w:val="22"/>
        <w:szCs w:val="22"/>
      </w:rPr>
      <w:t>feminists@law</w:t>
    </w:r>
    <w:proofErr w:type="spellEnd"/>
    <w:r w:rsidR="00A14C63" w:rsidRPr="00D34109">
      <w:rPr>
        <w:rFonts w:cs="Times New Roman"/>
        <w:i/>
        <w:iCs/>
        <w:sz w:val="22"/>
        <w:szCs w:val="22"/>
      </w:rPr>
      <w:tab/>
    </w:r>
    <w:r w:rsidR="00C2536A">
      <w:rPr>
        <w:rFonts w:cs="Times New Roman"/>
        <w:i/>
        <w:iCs/>
        <w:sz w:val="22"/>
        <w:szCs w:val="22"/>
      </w:rPr>
      <w:tab/>
    </w:r>
    <w:r w:rsidR="00D34109" w:rsidRPr="00D34109">
      <w:rPr>
        <w:rFonts w:cs="Times New Roman"/>
        <w:sz w:val="22"/>
        <w:szCs w:val="22"/>
      </w:rPr>
      <w:t xml:space="preserve">Vol 13, No </w:t>
    </w:r>
    <w:r w:rsidR="00121F2B">
      <w:rPr>
        <w:rFonts w:cs="Times New Roman"/>
        <w:sz w:val="22"/>
        <w:szCs w:val="22"/>
      </w:rPr>
      <w:t>2</w:t>
    </w:r>
    <w:r w:rsidR="00D34109" w:rsidRPr="00D34109">
      <w:rPr>
        <w:rFonts w:cs="Times New Roman"/>
        <w:sz w:val="22"/>
        <w:szCs w:val="22"/>
      </w:rPr>
      <w:t xml:space="preserve"> (202</w:t>
    </w:r>
    <w:r w:rsidR="00B97534">
      <w:rPr>
        <w:rFonts w:cs="Times New Roman"/>
        <w:sz w:val="22"/>
        <w:szCs w:val="22"/>
      </w:rPr>
      <w:t>5</w:t>
    </w:r>
    <w:r w:rsidR="00D34109" w:rsidRPr="00D34109">
      <w:rPr>
        <w:rFonts w:cs="Times New Roman"/>
        <w:sz w:val="22"/>
        <w:szCs w:val="22"/>
      </w:rPr>
      <w:t>)</w:t>
    </w:r>
  </w:p>
  <w:p w14:paraId="7D13233A" w14:textId="0A04A3E4" w:rsidR="00B97534" w:rsidRPr="00D34109" w:rsidRDefault="00B97534">
    <w:pPr>
      <w:pStyle w:val="Header"/>
      <w:rPr>
        <w:rFonts w:cs="Times New Roman"/>
        <w:sz w:val="22"/>
        <w:szCs w:val="22"/>
      </w:rPr>
    </w:pPr>
    <w:r>
      <w:rPr>
        <w:rFonts w:cs="Times New Roman"/>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C42"/>
    <w:multiLevelType w:val="hybridMultilevel"/>
    <w:tmpl w:val="80FCD7BC"/>
    <w:lvl w:ilvl="0" w:tplc="1694A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6286E"/>
    <w:multiLevelType w:val="hybridMultilevel"/>
    <w:tmpl w:val="43BE3044"/>
    <w:lvl w:ilvl="0" w:tplc="1694A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84927"/>
    <w:multiLevelType w:val="hybridMultilevel"/>
    <w:tmpl w:val="BA9A3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23282"/>
    <w:multiLevelType w:val="hybridMultilevel"/>
    <w:tmpl w:val="50A09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460B61"/>
    <w:multiLevelType w:val="hybridMultilevel"/>
    <w:tmpl w:val="BA9A3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03AF1"/>
    <w:multiLevelType w:val="hybridMultilevel"/>
    <w:tmpl w:val="50A09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E53BF1"/>
    <w:multiLevelType w:val="hybridMultilevel"/>
    <w:tmpl w:val="5CD8640C"/>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3C1D79"/>
    <w:multiLevelType w:val="hybridMultilevel"/>
    <w:tmpl w:val="BDCA62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853E1"/>
    <w:multiLevelType w:val="hybridMultilevel"/>
    <w:tmpl w:val="19B6CB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76692"/>
    <w:multiLevelType w:val="hybridMultilevel"/>
    <w:tmpl w:val="BA9A3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770C1"/>
    <w:multiLevelType w:val="hybridMultilevel"/>
    <w:tmpl w:val="8162F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065EC"/>
    <w:multiLevelType w:val="hybridMultilevel"/>
    <w:tmpl w:val="BA9A3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4143C2"/>
    <w:multiLevelType w:val="multilevel"/>
    <w:tmpl w:val="9CB8D1C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EB0BCB"/>
    <w:multiLevelType w:val="hybridMultilevel"/>
    <w:tmpl w:val="31F4CC02"/>
    <w:lvl w:ilvl="0" w:tplc="C6380C8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F667EB"/>
    <w:multiLevelType w:val="hybridMultilevel"/>
    <w:tmpl w:val="6682127E"/>
    <w:lvl w:ilvl="0" w:tplc="11CAE3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B4EA8"/>
    <w:multiLevelType w:val="hybridMultilevel"/>
    <w:tmpl w:val="82E4D97E"/>
    <w:lvl w:ilvl="0" w:tplc="1694A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615A7"/>
    <w:multiLevelType w:val="hybridMultilevel"/>
    <w:tmpl w:val="50A09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B95933"/>
    <w:multiLevelType w:val="hybridMultilevel"/>
    <w:tmpl w:val="50A09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A30DBE"/>
    <w:multiLevelType w:val="hybridMultilevel"/>
    <w:tmpl w:val="FD9E2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205081">
    <w:abstractNumId w:val="15"/>
  </w:num>
  <w:num w:numId="2" w16cid:durableId="1840390020">
    <w:abstractNumId w:val="1"/>
  </w:num>
  <w:num w:numId="3" w16cid:durableId="580407909">
    <w:abstractNumId w:val="0"/>
  </w:num>
  <w:num w:numId="4" w16cid:durableId="17702473">
    <w:abstractNumId w:val="16"/>
  </w:num>
  <w:num w:numId="5" w16cid:durableId="2121487964">
    <w:abstractNumId w:val="10"/>
  </w:num>
  <w:num w:numId="6" w16cid:durableId="1794403120">
    <w:abstractNumId w:val="8"/>
  </w:num>
  <w:num w:numId="7" w16cid:durableId="351348953">
    <w:abstractNumId w:val="9"/>
  </w:num>
  <w:num w:numId="8" w16cid:durableId="941844169">
    <w:abstractNumId w:val="12"/>
  </w:num>
  <w:num w:numId="9" w16cid:durableId="431165910">
    <w:abstractNumId w:val="4"/>
  </w:num>
  <w:num w:numId="10" w16cid:durableId="862404724">
    <w:abstractNumId w:val="11"/>
  </w:num>
  <w:num w:numId="11" w16cid:durableId="1790585072">
    <w:abstractNumId w:val="6"/>
  </w:num>
  <w:num w:numId="12" w16cid:durableId="1287927439">
    <w:abstractNumId w:val="7"/>
  </w:num>
  <w:num w:numId="13" w16cid:durableId="82453528">
    <w:abstractNumId w:val="18"/>
  </w:num>
  <w:num w:numId="14" w16cid:durableId="1819302897">
    <w:abstractNumId w:val="2"/>
  </w:num>
  <w:num w:numId="15" w16cid:durableId="1427311541">
    <w:abstractNumId w:val="3"/>
  </w:num>
  <w:num w:numId="16" w16cid:durableId="917324176">
    <w:abstractNumId w:val="17"/>
  </w:num>
  <w:num w:numId="17" w16cid:durableId="2021542382">
    <w:abstractNumId w:val="5"/>
  </w:num>
  <w:num w:numId="18" w16cid:durableId="1395196933">
    <w:abstractNumId w:val="14"/>
  </w:num>
  <w:num w:numId="19" w16cid:durableId="195167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5A"/>
    <w:rsid w:val="00000FC4"/>
    <w:rsid w:val="00001E78"/>
    <w:rsid w:val="000027D0"/>
    <w:rsid w:val="0000464C"/>
    <w:rsid w:val="00005CFD"/>
    <w:rsid w:val="00010134"/>
    <w:rsid w:val="0001112D"/>
    <w:rsid w:val="000124C3"/>
    <w:rsid w:val="00012DB6"/>
    <w:rsid w:val="000164C2"/>
    <w:rsid w:val="00016F88"/>
    <w:rsid w:val="000172B3"/>
    <w:rsid w:val="000178B1"/>
    <w:rsid w:val="00017AFC"/>
    <w:rsid w:val="00020FAB"/>
    <w:rsid w:val="00021638"/>
    <w:rsid w:val="00022639"/>
    <w:rsid w:val="00024879"/>
    <w:rsid w:val="0002492B"/>
    <w:rsid w:val="00025A35"/>
    <w:rsid w:val="00026132"/>
    <w:rsid w:val="000269EB"/>
    <w:rsid w:val="00026D15"/>
    <w:rsid w:val="00027856"/>
    <w:rsid w:val="00031055"/>
    <w:rsid w:val="0003117A"/>
    <w:rsid w:val="00032620"/>
    <w:rsid w:val="000327EE"/>
    <w:rsid w:val="000341F6"/>
    <w:rsid w:val="00034325"/>
    <w:rsid w:val="00035B85"/>
    <w:rsid w:val="00040DD7"/>
    <w:rsid w:val="000421B3"/>
    <w:rsid w:val="00042A02"/>
    <w:rsid w:val="000439CE"/>
    <w:rsid w:val="00043B42"/>
    <w:rsid w:val="00045D15"/>
    <w:rsid w:val="00050999"/>
    <w:rsid w:val="00051669"/>
    <w:rsid w:val="000518F0"/>
    <w:rsid w:val="00051D18"/>
    <w:rsid w:val="0005275F"/>
    <w:rsid w:val="000528E9"/>
    <w:rsid w:val="00052E70"/>
    <w:rsid w:val="000537F0"/>
    <w:rsid w:val="00055086"/>
    <w:rsid w:val="000552C9"/>
    <w:rsid w:val="000567DF"/>
    <w:rsid w:val="000616CF"/>
    <w:rsid w:val="00062602"/>
    <w:rsid w:val="000637F5"/>
    <w:rsid w:val="0006398B"/>
    <w:rsid w:val="00063E73"/>
    <w:rsid w:val="000642A5"/>
    <w:rsid w:val="00064A2A"/>
    <w:rsid w:val="0006608F"/>
    <w:rsid w:val="000706FC"/>
    <w:rsid w:val="0007127A"/>
    <w:rsid w:val="00072652"/>
    <w:rsid w:val="000731F4"/>
    <w:rsid w:val="00073565"/>
    <w:rsid w:val="0007486E"/>
    <w:rsid w:val="00074D0D"/>
    <w:rsid w:val="00074D95"/>
    <w:rsid w:val="00075135"/>
    <w:rsid w:val="000757D5"/>
    <w:rsid w:val="00075973"/>
    <w:rsid w:val="00075D41"/>
    <w:rsid w:val="00076E96"/>
    <w:rsid w:val="00077402"/>
    <w:rsid w:val="00080361"/>
    <w:rsid w:val="000810DA"/>
    <w:rsid w:val="00082092"/>
    <w:rsid w:val="00082729"/>
    <w:rsid w:val="00082B12"/>
    <w:rsid w:val="000850C9"/>
    <w:rsid w:val="00085A29"/>
    <w:rsid w:val="000864A8"/>
    <w:rsid w:val="00086ABC"/>
    <w:rsid w:val="00086C7C"/>
    <w:rsid w:val="000874F5"/>
    <w:rsid w:val="0008777F"/>
    <w:rsid w:val="00090904"/>
    <w:rsid w:val="00091554"/>
    <w:rsid w:val="0009208A"/>
    <w:rsid w:val="000922AD"/>
    <w:rsid w:val="00092D31"/>
    <w:rsid w:val="0009337A"/>
    <w:rsid w:val="000939E2"/>
    <w:rsid w:val="000951FB"/>
    <w:rsid w:val="0009608D"/>
    <w:rsid w:val="000965E0"/>
    <w:rsid w:val="00096643"/>
    <w:rsid w:val="000967B0"/>
    <w:rsid w:val="000970DC"/>
    <w:rsid w:val="00097166"/>
    <w:rsid w:val="000A402B"/>
    <w:rsid w:val="000A503F"/>
    <w:rsid w:val="000A59D9"/>
    <w:rsid w:val="000A6473"/>
    <w:rsid w:val="000A67A2"/>
    <w:rsid w:val="000A7B1B"/>
    <w:rsid w:val="000B15DE"/>
    <w:rsid w:val="000B4D7A"/>
    <w:rsid w:val="000B59EA"/>
    <w:rsid w:val="000B6121"/>
    <w:rsid w:val="000B6B57"/>
    <w:rsid w:val="000B6D8D"/>
    <w:rsid w:val="000B778B"/>
    <w:rsid w:val="000C0305"/>
    <w:rsid w:val="000C0321"/>
    <w:rsid w:val="000C0B1F"/>
    <w:rsid w:val="000C2CC8"/>
    <w:rsid w:val="000C3820"/>
    <w:rsid w:val="000C45AC"/>
    <w:rsid w:val="000C4958"/>
    <w:rsid w:val="000C4DA7"/>
    <w:rsid w:val="000C5E92"/>
    <w:rsid w:val="000D21B9"/>
    <w:rsid w:val="000D2756"/>
    <w:rsid w:val="000D35EC"/>
    <w:rsid w:val="000D3E1F"/>
    <w:rsid w:val="000D458B"/>
    <w:rsid w:val="000D7016"/>
    <w:rsid w:val="000D778C"/>
    <w:rsid w:val="000D7C23"/>
    <w:rsid w:val="000E0366"/>
    <w:rsid w:val="000E2953"/>
    <w:rsid w:val="000E33A6"/>
    <w:rsid w:val="000E5168"/>
    <w:rsid w:val="000E5959"/>
    <w:rsid w:val="000E62B3"/>
    <w:rsid w:val="000E6C0D"/>
    <w:rsid w:val="000E73A5"/>
    <w:rsid w:val="000E77B9"/>
    <w:rsid w:val="000E7AE6"/>
    <w:rsid w:val="000E7B7B"/>
    <w:rsid w:val="000F1385"/>
    <w:rsid w:val="000F1568"/>
    <w:rsid w:val="000F1BA3"/>
    <w:rsid w:val="000F1EC9"/>
    <w:rsid w:val="000F212F"/>
    <w:rsid w:val="000F3CDA"/>
    <w:rsid w:val="000F6073"/>
    <w:rsid w:val="000F6DCF"/>
    <w:rsid w:val="001008A8"/>
    <w:rsid w:val="00100B1B"/>
    <w:rsid w:val="001017BF"/>
    <w:rsid w:val="00101F49"/>
    <w:rsid w:val="00103054"/>
    <w:rsid w:val="00103942"/>
    <w:rsid w:val="0010689E"/>
    <w:rsid w:val="00106C3A"/>
    <w:rsid w:val="0010760A"/>
    <w:rsid w:val="00107652"/>
    <w:rsid w:val="001076E6"/>
    <w:rsid w:val="00107AF5"/>
    <w:rsid w:val="00107D0C"/>
    <w:rsid w:val="00110B99"/>
    <w:rsid w:val="0011117F"/>
    <w:rsid w:val="001114DB"/>
    <w:rsid w:val="00112C08"/>
    <w:rsid w:val="00113779"/>
    <w:rsid w:val="0011380C"/>
    <w:rsid w:val="0011469C"/>
    <w:rsid w:val="00116193"/>
    <w:rsid w:val="001202AB"/>
    <w:rsid w:val="0012067D"/>
    <w:rsid w:val="00120D99"/>
    <w:rsid w:val="00121600"/>
    <w:rsid w:val="00121F2B"/>
    <w:rsid w:val="001229D8"/>
    <w:rsid w:val="00122D78"/>
    <w:rsid w:val="001234DD"/>
    <w:rsid w:val="00124FBE"/>
    <w:rsid w:val="001252BE"/>
    <w:rsid w:val="0012745E"/>
    <w:rsid w:val="00127CDB"/>
    <w:rsid w:val="0013024F"/>
    <w:rsid w:val="0013103E"/>
    <w:rsid w:val="00131F8B"/>
    <w:rsid w:val="001328F3"/>
    <w:rsid w:val="00132C0C"/>
    <w:rsid w:val="0013355D"/>
    <w:rsid w:val="0013423A"/>
    <w:rsid w:val="00134869"/>
    <w:rsid w:val="001364A3"/>
    <w:rsid w:val="00136EAB"/>
    <w:rsid w:val="00137057"/>
    <w:rsid w:val="00137B29"/>
    <w:rsid w:val="00140374"/>
    <w:rsid w:val="00142171"/>
    <w:rsid w:val="001424E1"/>
    <w:rsid w:val="0014350B"/>
    <w:rsid w:val="001444BB"/>
    <w:rsid w:val="00145310"/>
    <w:rsid w:val="001461AD"/>
    <w:rsid w:val="00146968"/>
    <w:rsid w:val="0014777B"/>
    <w:rsid w:val="00147D66"/>
    <w:rsid w:val="0015028E"/>
    <w:rsid w:val="00151500"/>
    <w:rsid w:val="00151B64"/>
    <w:rsid w:val="00151E6F"/>
    <w:rsid w:val="00152121"/>
    <w:rsid w:val="001528D9"/>
    <w:rsid w:val="0015367C"/>
    <w:rsid w:val="00160317"/>
    <w:rsid w:val="001610E2"/>
    <w:rsid w:val="00162F05"/>
    <w:rsid w:val="00163A76"/>
    <w:rsid w:val="0016539F"/>
    <w:rsid w:val="001654D7"/>
    <w:rsid w:val="00165C2D"/>
    <w:rsid w:val="00166059"/>
    <w:rsid w:val="001668B9"/>
    <w:rsid w:val="00166E4A"/>
    <w:rsid w:val="001719DD"/>
    <w:rsid w:val="0017251E"/>
    <w:rsid w:val="00173AF3"/>
    <w:rsid w:val="00174321"/>
    <w:rsid w:val="00175261"/>
    <w:rsid w:val="00175E7A"/>
    <w:rsid w:val="00176920"/>
    <w:rsid w:val="001803FE"/>
    <w:rsid w:val="00182646"/>
    <w:rsid w:val="00183E87"/>
    <w:rsid w:val="00183F55"/>
    <w:rsid w:val="001842C7"/>
    <w:rsid w:val="00184406"/>
    <w:rsid w:val="00184F46"/>
    <w:rsid w:val="0018558C"/>
    <w:rsid w:val="0018652F"/>
    <w:rsid w:val="001866DE"/>
    <w:rsid w:val="001874B5"/>
    <w:rsid w:val="0018773C"/>
    <w:rsid w:val="00187C87"/>
    <w:rsid w:val="001900A2"/>
    <w:rsid w:val="00190293"/>
    <w:rsid w:val="00190DE5"/>
    <w:rsid w:val="00191D79"/>
    <w:rsid w:val="001929F1"/>
    <w:rsid w:val="00193365"/>
    <w:rsid w:val="0019354F"/>
    <w:rsid w:val="00194889"/>
    <w:rsid w:val="00195244"/>
    <w:rsid w:val="001953D3"/>
    <w:rsid w:val="0019573A"/>
    <w:rsid w:val="0019590E"/>
    <w:rsid w:val="0019648E"/>
    <w:rsid w:val="00196CAC"/>
    <w:rsid w:val="0019737D"/>
    <w:rsid w:val="00197E22"/>
    <w:rsid w:val="001A0305"/>
    <w:rsid w:val="001A0F77"/>
    <w:rsid w:val="001A137B"/>
    <w:rsid w:val="001A1409"/>
    <w:rsid w:val="001A1951"/>
    <w:rsid w:val="001A2400"/>
    <w:rsid w:val="001A248F"/>
    <w:rsid w:val="001A3E56"/>
    <w:rsid w:val="001A45AB"/>
    <w:rsid w:val="001A7A20"/>
    <w:rsid w:val="001B1211"/>
    <w:rsid w:val="001B1C84"/>
    <w:rsid w:val="001B1E5A"/>
    <w:rsid w:val="001B1F0D"/>
    <w:rsid w:val="001B2D06"/>
    <w:rsid w:val="001B3530"/>
    <w:rsid w:val="001B4828"/>
    <w:rsid w:val="001B5A96"/>
    <w:rsid w:val="001B65EE"/>
    <w:rsid w:val="001B75DA"/>
    <w:rsid w:val="001C102B"/>
    <w:rsid w:val="001C1480"/>
    <w:rsid w:val="001C2E50"/>
    <w:rsid w:val="001C3B5B"/>
    <w:rsid w:val="001C43BA"/>
    <w:rsid w:val="001C4444"/>
    <w:rsid w:val="001C4852"/>
    <w:rsid w:val="001C577F"/>
    <w:rsid w:val="001C5EB9"/>
    <w:rsid w:val="001C6499"/>
    <w:rsid w:val="001C6870"/>
    <w:rsid w:val="001D1360"/>
    <w:rsid w:val="001D15CE"/>
    <w:rsid w:val="001D1D2B"/>
    <w:rsid w:val="001D247F"/>
    <w:rsid w:val="001D28CF"/>
    <w:rsid w:val="001D2BD5"/>
    <w:rsid w:val="001D313C"/>
    <w:rsid w:val="001D36D1"/>
    <w:rsid w:val="001D505A"/>
    <w:rsid w:val="001D5A13"/>
    <w:rsid w:val="001D5DB1"/>
    <w:rsid w:val="001D7F8F"/>
    <w:rsid w:val="001E2C59"/>
    <w:rsid w:val="001E4DD8"/>
    <w:rsid w:val="001E5C6B"/>
    <w:rsid w:val="001E5F87"/>
    <w:rsid w:val="001E7EC8"/>
    <w:rsid w:val="001F0F8F"/>
    <w:rsid w:val="001F1A1C"/>
    <w:rsid w:val="001F234E"/>
    <w:rsid w:val="001F2D73"/>
    <w:rsid w:val="001F30E0"/>
    <w:rsid w:val="001F3410"/>
    <w:rsid w:val="001F3491"/>
    <w:rsid w:val="001F3644"/>
    <w:rsid w:val="001F503E"/>
    <w:rsid w:val="001F5D0A"/>
    <w:rsid w:val="001F5D1A"/>
    <w:rsid w:val="001F62EF"/>
    <w:rsid w:val="001F6996"/>
    <w:rsid w:val="001F69D4"/>
    <w:rsid w:val="001F76BB"/>
    <w:rsid w:val="002015EF"/>
    <w:rsid w:val="00201C8D"/>
    <w:rsid w:val="0020225F"/>
    <w:rsid w:val="00203D06"/>
    <w:rsid w:val="00203FF9"/>
    <w:rsid w:val="00204D20"/>
    <w:rsid w:val="00205222"/>
    <w:rsid w:val="00205A35"/>
    <w:rsid w:val="00207936"/>
    <w:rsid w:val="00210D5F"/>
    <w:rsid w:val="002135E9"/>
    <w:rsid w:val="0021418F"/>
    <w:rsid w:val="00215131"/>
    <w:rsid w:val="002151F4"/>
    <w:rsid w:val="00215792"/>
    <w:rsid w:val="00216387"/>
    <w:rsid w:val="002166DD"/>
    <w:rsid w:val="00216A13"/>
    <w:rsid w:val="002214D1"/>
    <w:rsid w:val="00221513"/>
    <w:rsid w:val="002216EA"/>
    <w:rsid w:val="00222656"/>
    <w:rsid w:val="0022275D"/>
    <w:rsid w:val="00223760"/>
    <w:rsid w:val="00223ADA"/>
    <w:rsid w:val="00224A44"/>
    <w:rsid w:val="0022514C"/>
    <w:rsid w:val="002255C7"/>
    <w:rsid w:val="0022599E"/>
    <w:rsid w:val="0022615E"/>
    <w:rsid w:val="0022616A"/>
    <w:rsid w:val="00226780"/>
    <w:rsid w:val="00227074"/>
    <w:rsid w:val="00227640"/>
    <w:rsid w:val="0022775E"/>
    <w:rsid w:val="002277B1"/>
    <w:rsid w:val="00227912"/>
    <w:rsid w:val="00227E5B"/>
    <w:rsid w:val="00230C4A"/>
    <w:rsid w:val="00231398"/>
    <w:rsid w:val="00234C40"/>
    <w:rsid w:val="002359EE"/>
    <w:rsid w:val="00235AC9"/>
    <w:rsid w:val="0023663D"/>
    <w:rsid w:val="00236AA9"/>
    <w:rsid w:val="00240FE1"/>
    <w:rsid w:val="002416A3"/>
    <w:rsid w:val="00242CE8"/>
    <w:rsid w:val="002439D7"/>
    <w:rsid w:val="00245472"/>
    <w:rsid w:val="00245C65"/>
    <w:rsid w:val="0024654D"/>
    <w:rsid w:val="00246733"/>
    <w:rsid w:val="00246F79"/>
    <w:rsid w:val="00251535"/>
    <w:rsid w:val="002520DA"/>
    <w:rsid w:val="00252CC3"/>
    <w:rsid w:val="00254BAE"/>
    <w:rsid w:val="00256994"/>
    <w:rsid w:val="0025721A"/>
    <w:rsid w:val="002572D3"/>
    <w:rsid w:val="00262BC2"/>
    <w:rsid w:val="002641A3"/>
    <w:rsid w:val="002643D4"/>
    <w:rsid w:val="0026454C"/>
    <w:rsid w:val="002658E5"/>
    <w:rsid w:val="002709C6"/>
    <w:rsid w:val="00271E89"/>
    <w:rsid w:val="00275636"/>
    <w:rsid w:val="002759B1"/>
    <w:rsid w:val="00275B3F"/>
    <w:rsid w:val="00275DFA"/>
    <w:rsid w:val="00276F13"/>
    <w:rsid w:val="00277033"/>
    <w:rsid w:val="002779AB"/>
    <w:rsid w:val="002801F8"/>
    <w:rsid w:val="00280FFD"/>
    <w:rsid w:val="002818A6"/>
    <w:rsid w:val="002819BE"/>
    <w:rsid w:val="0028473F"/>
    <w:rsid w:val="00284C4C"/>
    <w:rsid w:val="0028505F"/>
    <w:rsid w:val="0028656D"/>
    <w:rsid w:val="00287004"/>
    <w:rsid w:val="002874F3"/>
    <w:rsid w:val="00287A79"/>
    <w:rsid w:val="00287FE1"/>
    <w:rsid w:val="00290140"/>
    <w:rsid w:val="00290246"/>
    <w:rsid w:val="00290D4B"/>
    <w:rsid w:val="002932A3"/>
    <w:rsid w:val="00293721"/>
    <w:rsid w:val="00293B40"/>
    <w:rsid w:val="002942DE"/>
    <w:rsid w:val="002947CC"/>
    <w:rsid w:val="0029626D"/>
    <w:rsid w:val="0029688B"/>
    <w:rsid w:val="002968BB"/>
    <w:rsid w:val="00296FF3"/>
    <w:rsid w:val="0029749D"/>
    <w:rsid w:val="00297EFE"/>
    <w:rsid w:val="002A05E6"/>
    <w:rsid w:val="002A2602"/>
    <w:rsid w:val="002A27DA"/>
    <w:rsid w:val="002A3675"/>
    <w:rsid w:val="002A4273"/>
    <w:rsid w:val="002A45EF"/>
    <w:rsid w:val="002A532E"/>
    <w:rsid w:val="002A661D"/>
    <w:rsid w:val="002A7E4E"/>
    <w:rsid w:val="002B2C07"/>
    <w:rsid w:val="002B428A"/>
    <w:rsid w:val="002B4DFD"/>
    <w:rsid w:val="002B6157"/>
    <w:rsid w:val="002B6B10"/>
    <w:rsid w:val="002B6BF7"/>
    <w:rsid w:val="002C04B4"/>
    <w:rsid w:val="002C2103"/>
    <w:rsid w:val="002C2667"/>
    <w:rsid w:val="002C2B4C"/>
    <w:rsid w:val="002C6DA6"/>
    <w:rsid w:val="002C7B5C"/>
    <w:rsid w:val="002D0C09"/>
    <w:rsid w:val="002D3B18"/>
    <w:rsid w:val="002D4B2B"/>
    <w:rsid w:val="002D5848"/>
    <w:rsid w:val="002D6213"/>
    <w:rsid w:val="002D669A"/>
    <w:rsid w:val="002D7826"/>
    <w:rsid w:val="002E0607"/>
    <w:rsid w:val="002E18E0"/>
    <w:rsid w:val="002E1B21"/>
    <w:rsid w:val="002E5791"/>
    <w:rsid w:val="002E585B"/>
    <w:rsid w:val="002E5A4B"/>
    <w:rsid w:val="002E65A8"/>
    <w:rsid w:val="002E6A02"/>
    <w:rsid w:val="002E6AC7"/>
    <w:rsid w:val="002E6FCE"/>
    <w:rsid w:val="002E7264"/>
    <w:rsid w:val="002E7803"/>
    <w:rsid w:val="002E7E28"/>
    <w:rsid w:val="002F131E"/>
    <w:rsid w:val="002F1C50"/>
    <w:rsid w:val="002F1E48"/>
    <w:rsid w:val="002F34AC"/>
    <w:rsid w:val="002F4506"/>
    <w:rsid w:val="002F4663"/>
    <w:rsid w:val="002F6655"/>
    <w:rsid w:val="002F7580"/>
    <w:rsid w:val="002F76EE"/>
    <w:rsid w:val="002F7F32"/>
    <w:rsid w:val="003000D2"/>
    <w:rsid w:val="00301BAE"/>
    <w:rsid w:val="00301CCF"/>
    <w:rsid w:val="00302803"/>
    <w:rsid w:val="003064B6"/>
    <w:rsid w:val="00307597"/>
    <w:rsid w:val="00307D35"/>
    <w:rsid w:val="00310A10"/>
    <w:rsid w:val="003114C7"/>
    <w:rsid w:val="003118DA"/>
    <w:rsid w:val="00312335"/>
    <w:rsid w:val="003125D4"/>
    <w:rsid w:val="003130E5"/>
    <w:rsid w:val="00313977"/>
    <w:rsid w:val="00314951"/>
    <w:rsid w:val="00315982"/>
    <w:rsid w:val="00316D8F"/>
    <w:rsid w:val="00316DD7"/>
    <w:rsid w:val="003204A8"/>
    <w:rsid w:val="00320E62"/>
    <w:rsid w:val="00321985"/>
    <w:rsid w:val="00322956"/>
    <w:rsid w:val="0032367C"/>
    <w:rsid w:val="00324A5A"/>
    <w:rsid w:val="00324DCE"/>
    <w:rsid w:val="003258FA"/>
    <w:rsid w:val="00326480"/>
    <w:rsid w:val="003265FB"/>
    <w:rsid w:val="003266FA"/>
    <w:rsid w:val="00327AD0"/>
    <w:rsid w:val="00330BB5"/>
    <w:rsid w:val="003315BE"/>
    <w:rsid w:val="00331600"/>
    <w:rsid w:val="00332D31"/>
    <w:rsid w:val="00333F32"/>
    <w:rsid w:val="00334D6F"/>
    <w:rsid w:val="00335711"/>
    <w:rsid w:val="00335812"/>
    <w:rsid w:val="00336E65"/>
    <w:rsid w:val="00337A28"/>
    <w:rsid w:val="00337EF9"/>
    <w:rsid w:val="00340720"/>
    <w:rsid w:val="00341377"/>
    <w:rsid w:val="003426F3"/>
    <w:rsid w:val="00344E3F"/>
    <w:rsid w:val="00345570"/>
    <w:rsid w:val="003458BE"/>
    <w:rsid w:val="003459F2"/>
    <w:rsid w:val="00346073"/>
    <w:rsid w:val="003460A4"/>
    <w:rsid w:val="00347286"/>
    <w:rsid w:val="003521D7"/>
    <w:rsid w:val="00352409"/>
    <w:rsid w:val="00352F78"/>
    <w:rsid w:val="00352F9C"/>
    <w:rsid w:val="0035355E"/>
    <w:rsid w:val="0035360C"/>
    <w:rsid w:val="00353624"/>
    <w:rsid w:val="0035394C"/>
    <w:rsid w:val="0035420B"/>
    <w:rsid w:val="00354234"/>
    <w:rsid w:val="00354F37"/>
    <w:rsid w:val="0035595C"/>
    <w:rsid w:val="00355C8D"/>
    <w:rsid w:val="003565D6"/>
    <w:rsid w:val="00356834"/>
    <w:rsid w:val="00357637"/>
    <w:rsid w:val="00357AEF"/>
    <w:rsid w:val="003605D0"/>
    <w:rsid w:val="00361389"/>
    <w:rsid w:val="00361A87"/>
    <w:rsid w:val="00361DF0"/>
    <w:rsid w:val="003638F1"/>
    <w:rsid w:val="00365607"/>
    <w:rsid w:val="00370702"/>
    <w:rsid w:val="003711E4"/>
    <w:rsid w:val="0037127D"/>
    <w:rsid w:val="0037181E"/>
    <w:rsid w:val="00373232"/>
    <w:rsid w:val="003737DD"/>
    <w:rsid w:val="003739B6"/>
    <w:rsid w:val="00373F55"/>
    <w:rsid w:val="00374C5A"/>
    <w:rsid w:val="00375988"/>
    <w:rsid w:val="003778BB"/>
    <w:rsid w:val="003779A3"/>
    <w:rsid w:val="003823C6"/>
    <w:rsid w:val="00382C17"/>
    <w:rsid w:val="00383461"/>
    <w:rsid w:val="00383538"/>
    <w:rsid w:val="00384459"/>
    <w:rsid w:val="00384DB6"/>
    <w:rsid w:val="003855EE"/>
    <w:rsid w:val="00385D1F"/>
    <w:rsid w:val="00386161"/>
    <w:rsid w:val="00390828"/>
    <w:rsid w:val="00390E3C"/>
    <w:rsid w:val="003913EC"/>
    <w:rsid w:val="00391CE3"/>
    <w:rsid w:val="00393231"/>
    <w:rsid w:val="00393466"/>
    <w:rsid w:val="00394686"/>
    <w:rsid w:val="003946B1"/>
    <w:rsid w:val="0039646C"/>
    <w:rsid w:val="003A1B48"/>
    <w:rsid w:val="003A2832"/>
    <w:rsid w:val="003A43B9"/>
    <w:rsid w:val="003A5C5A"/>
    <w:rsid w:val="003B0488"/>
    <w:rsid w:val="003B0926"/>
    <w:rsid w:val="003B0B33"/>
    <w:rsid w:val="003B0F57"/>
    <w:rsid w:val="003B24FD"/>
    <w:rsid w:val="003B261C"/>
    <w:rsid w:val="003B3D38"/>
    <w:rsid w:val="003B414A"/>
    <w:rsid w:val="003B47DF"/>
    <w:rsid w:val="003B4EE8"/>
    <w:rsid w:val="003B50A5"/>
    <w:rsid w:val="003B7240"/>
    <w:rsid w:val="003C04EF"/>
    <w:rsid w:val="003C0D2C"/>
    <w:rsid w:val="003C2F3C"/>
    <w:rsid w:val="003C30E9"/>
    <w:rsid w:val="003C3BD9"/>
    <w:rsid w:val="003C3DC1"/>
    <w:rsid w:val="003C4A65"/>
    <w:rsid w:val="003C5ADC"/>
    <w:rsid w:val="003C5DE1"/>
    <w:rsid w:val="003C72C8"/>
    <w:rsid w:val="003C7BD0"/>
    <w:rsid w:val="003C7BF5"/>
    <w:rsid w:val="003D114E"/>
    <w:rsid w:val="003D199C"/>
    <w:rsid w:val="003D363C"/>
    <w:rsid w:val="003D3656"/>
    <w:rsid w:val="003D40EB"/>
    <w:rsid w:val="003D5A84"/>
    <w:rsid w:val="003D5B6D"/>
    <w:rsid w:val="003E0325"/>
    <w:rsid w:val="003E08B5"/>
    <w:rsid w:val="003E107F"/>
    <w:rsid w:val="003E1439"/>
    <w:rsid w:val="003E18FC"/>
    <w:rsid w:val="003E1C16"/>
    <w:rsid w:val="003E323B"/>
    <w:rsid w:val="003E3679"/>
    <w:rsid w:val="003E45AF"/>
    <w:rsid w:val="003E47BD"/>
    <w:rsid w:val="003E5B6B"/>
    <w:rsid w:val="003E69FB"/>
    <w:rsid w:val="003F0565"/>
    <w:rsid w:val="003F06BA"/>
    <w:rsid w:val="003F10DE"/>
    <w:rsid w:val="003F1903"/>
    <w:rsid w:val="003F21BC"/>
    <w:rsid w:val="003F262F"/>
    <w:rsid w:val="003F27F2"/>
    <w:rsid w:val="003F2CF1"/>
    <w:rsid w:val="003F2DBF"/>
    <w:rsid w:val="003F4F40"/>
    <w:rsid w:val="003F52B9"/>
    <w:rsid w:val="003F57D7"/>
    <w:rsid w:val="003F69FB"/>
    <w:rsid w:val="003F72BC"/>
    <w:rsid w:val="003F7BFD"/>
    <w:rsid w:val="00400550"/>
    <w:rsid w:val="00401C34"/>
    <w:rsid w:val="00402C6C"/>
    <w:rsid w:val="0040329C"/>
    <w:rsid w:val="00403727"/>
    <w:rsid w:val="00405117"/>
    <w:rsid w:val="00407468"/>
    <w:rsid w:val="0041008F"/>
    <w:rsid w:val="004100C9"/>
    <w:rsid w:val="0041362A"/>
    <w:rsid w:val="004163EC"/>
    <w:rsid w:val="0042092D"/>
    <w:rsid w:val="00421984"/>
    <w:rsid w:val="004238A2"/>
    <w:rsid w:val="00423FC4"/>
    <w:rsid w:val="0042471C"/>
    <w:rsid w:val="00424BA7"/>
    <w:rsid w:val="004259CA"/>
    <w:rsid w:val="004261C3"/>
    <w:rsid w:val="00430050"/>
    <w:rsid w:val="004319A6"/>
    <w:rsid w:val="00433200"/>
    <w:rsid w:val="00433F0E"/>
    <w:rsid w:val="00434C9B"/>
    <w:rsid w:val="00434F7C"/>
    <w:rsid w:val="004357F3"/>
    <w:rsid w:val="00435EAE"/>
    <w:rsid w:val="00437C35"/>
    <w:rsid w:val="004400B7"/>
    <w:rsid w:val="00441830"/>
    <w:rsid w:val="00443A24"/>
    <w:rsid w:val="00443BD2"/>
    <w:rsid w:val="00443DF9"/>
    <w:rsid w:val="004442FD"/>
    <w:rsid w:val="00444863"/>
    <w:rsid w:val="00444FE7"/>
    <w:rsid w:val="00445092"/>
    <w:rsid w:val="004452C7"/>
    <w:rsid w:val="00445EEE"/>
    <w:rsid w:val="0044708E"/>
    <w:rsid w:val="00447950"/>
    <w:rsid w:val="004513C3"/>
    <w:rsid w:val="004554D5"/>
    <w:rsid w:val="00455562"/>
    <w:rsid w:val="00455AF9"/>
    <w:rsid w:val="00455DF1"/>
    <w:rsid w:val="00460596"/>
    <w:rsid w:val="00460C19"/>
    <w:rsid w:val="00461CAA"/>
    <w:rsid w:val="00462BF6"/>
    <w:rsid w:val="004638B2"/>
    <w:rsid w:val="00463D84"/>
    <w:rsid w:val="004648BD"/>
    <w:rsid w:val="00464A87"/>
    <w:rsid w:val="00464B0D"/>
    <w:rsid w:val="00465035"/>
    <w:rsid w:val="00465363"/>
    <w:rsid w:val="00467427"/>
    <w:rsid w:val="00467517"/>
    <w:rsid w:val="00467BE6"/>
    <w:rsid w:val="00471D49"/>
    <w:rsid w:val="00472A03"/>
    <w:rsid w:val="004734D2"/>
    <w:rsid w:val="00473786"/>
    <w:rsid w:val="00473E3E"/>
    <w:rsid w:val="0047407E"/>
    <w:rsid w:val="00474189"/>
    <w:rsid w:val="00475DF5"/>
    <w:rsid w:val="00476904"/>
    <w:rsid w:val="004776C9"/>
    <w:rsid w:val="004806EC"/>
    <w:rsid w:val="0048104E"/>
    <w:rsid w:val="00481407"/>
    <w:rsid w:val="00481C9A"/>
    <w:rsid w:val="00482197"/>
    <w:rsid w:val="0048362D"/>
    <w:rsid w:val="0048417B"/>
    <w:rsid w:val="00485C29"/>
    <w:rsid w:val="00486064"/>
    <w:rsid w:val="004866E5"/>
    <w:rsid w:val="00486969"/>
    <w:rsid w:val="00490969"/>
    <w:rsid w:val="004910AD"/>
    <w:rsid w:val="004915B5"/>
    <w:rsid w:val="00491614"/>
    <w:rsid w:val="00491797"/>
    <w:rsid w:val="004929D6"/>
    <w:rsid w:val="004934FE"/>
    <w:rsid w:val="0049360F"/>
    <w:rsid w:val="0049394A"/>
    <w:rsid w:val="004948A8"/>
    <w:rsid w:val="004950C0"/>
    <w:rsid w:val="0049559C"/>
    <w:rsid w:val="00495A1D"/>
    <w:rsid w:val="00495D8B"/>
    <w:rsid w:val="004971C7"/>
    <w:rsid w:val="004A24F8"/>
    <w:rsid w:val="004A313A"/>
    <w:rsid w:val="004A35FE"/>
    <w:rsid w:val="004A3836"/>
    <w:rsid w:val="004A3CBA"/>
    <w:rsid w:val="004A5E1A"/>
    <w:rsid w:val="004A6843"/>
    <w:rsid w:val="004A776B"/>
    <w:rsid w:val="004A77D4"/>
    <w:rsid w:val="004A787D"/>
    <w:rsid w:val="004A7960"/>
    <w:rsid w:val="004B088F"/>
    <w:rsid w:val="004B1012"/>
    <w:rsid w:val="004B270D"/>
    <w:rsid w:val="004B49D9"/>
    <w:rsid w:val="004B5139"/>
    <w:rsid w:val="004B513D"/>
    <w:rsid w:val="004B56BB"/>
    <w:rsid w:val="004C0949"/>
    <w:rsid w:val="004C1611"/>
    <w:rsid w:val="004C2BFA"/>
    <w:rsid w:val="004C325F"/>
    <w:rsid w:val="004C32F1"/>
    <w:rsid w:val="004C3B96"/>
    <w:rsid w:val="004C3ED6"/>
    <w:rsid w:val="004C4061"/>
    <w:rsid w:val="004C6160"/>
    <w:rsid w:val="004C789C"/>
    <w:rsid w:val="004D0ADB"/>
    <w:rsid w:val="004D0B09"/>
    <w:rsid w:val="004D0D3E"/>
    <w:rsid w:val="004D2D58"/>
    <w:rsid w:val="004D3191"/>
    <w:rsid w:val="004D361D"/>
    <w:rsid w:val="004D3A4F"/>
    <w:rsid w:val="004D4025"/>
    <w:rsid w:val="004D40FD"/>
    <w:rsid w:val="004D462D"/>
    <w:rsid w:val="004D4B3E"/>
    <w:rsid w:val="004D5278"/>
    <w:rsid w:val="004D6405"/>
    <w:rsid w:val="004D6440"/>
    <w:rsid w:val="004D6597"/>
    <w:rsid w:val="004D7358"/>
    <w:rsid w:val="004E0EFA"/>
    <w:rsid w:val="004E1ED7"/>
    <w:rsid w:val="004E27AB"/>
    <w:rsid w:val="004E2AFD"/>
    <w:rsid w:val="004E4DDA"/>
    <w:rsid w:val="004E4EE1"/>
    <w:rsid w:val="004F0326"/>
    <w:rsid w:val="004F0676"/>
    <w:rsid w:val="004F0DC4"/>
    <w:rsid w:val="004F1EAE"/>
    <w:rsid w:val="004F3601"/>
    <w:rsid w:val="004F634B"/>
    <w:rsid w:val="004F6815"/>
    <w:rsid w:val="004F7007"/>
    <w:rsid w:val="004F7BA3"/>
    <w:rsid w:val="00501441"/>
    <w:rsid w:val="00501461"/>
    <w:rsid w:val="00501C4D"/>
    <w:rsid w:val="00502704"/>
    <w:rsid w:val="00502D07"/>
    <w:rsid w:val="00503216"/>
    <w:rsid w:val="0050359A"/>
    <w:rsid w:val="005056B0"/>
    <w:rsid w:val="00507366"/>
    <w:rsid w:val="005078C7"/>
    <w:rsid w:val="00507A2B"/>
    <w:rsid w:val="005105E0"/>
    <w:rsid w:val="00511E5C"/>
    <w:rsid w:val="005127C3"/>
    <w:rsid w:val="00512AA2"/>
    <w:rsid w:val="0051302E"/>
    <w:rsid w:val="00513BD9"/>
    <w:rsid w:val="0051406C"/>
    <w:rsid w:val="005151AA"/>
    <w:rsid w:val="005168FE"/>
    <w:rsid w:val="005204C3"/>
    <w:rsid w:val="0052215F"/>
    <w:rsid w:val="00522CA0"/>
    <w:rsid w:val="00523CD8"/>
    <w:rsid w:val="00523D43"/>
    <w:rsid w:val="00523ED8"/>
    <w:rsid w:val="0052409D"/>
    <w:rsid w:val="005246EA"/>
    <w:rsid w:val="0052544A"/>
    <w:rsid w:val="0052648B"/>
    <w:rsid w:val="00526598"/>
    <w:rsid w:val="00527EC3"/>
    <w:rsid w:val="00530E9A"/>
    <w:rsid w:val="005312CA"/>
    <w:rsid w:val="005313FB"/>
    <w:rsid w:val="00531DA6"/>
    <w:rsid w:val="005328E4"/>
    <w:rsid w:val="00532FB6"/>
    <w:rsid w:val="00534F39"/>
    <w:rsid w:val="00534F85"/>
    <w:rsid w:val="00535109"/>
    <w:rsid w:val="00535915"/>
    <w:rsid w:val="0053748B"/>
    <w:rsid w:val="00537767"/>
    <w:rsid w:val="00540BF0"/>
    <w:rsid w:val="0054172F"/>
    <w:rsid w:val="005431A3"/>
    <w:rsid w:val="005440CF"/>
    <w:rsid w:val="005446C1"/>
    <w:rsid w:val="005453BB"/>
    <w:rsid w:val="005454B4"/>
    <w:rsid w:val="00547085"/>
    <w:rsid w:val="0054740B"/>
    <w:rsid w:val="0055011E"/>
    <w:rsid w:val="00550D7C"/>
    <w:rsid w:val="00551497"/>
    <w:rsid w:val="005536A4"/>
    <w:rsid w:val="0055462E"/>
    <w:rsid w:val="00554907"/>
    <w:rsid w:val="005551F8"/>
    <w:rsid w:val="00555C78"/>
    <w:rsid w:val="005563CF"/>
    <w:rsid w:val="005568D4"/>
    <w:rsid w:val="00557834"/>
    <w:rsid w:val="00557960"/>
    <w:rsid w:val="00560153"/>
    <w:rsid w:val="00560313"/>
    <w:rsid w:val="00560842"/>
    <w:rsid w:val="00560C77"/>
    <w:rsid w:val="0056114E"/>
    <w:rsid w:val="0056287E"/>
    <w:rsid w:val="00564506"/>
    <w:rsid w:val="00564A4A"/>
    <w:rsid w:val="00564D62"/>
    <w:rsid w:val="00564ECD"/>
    <w:rsid w:val="00565BB5"/>
    <w:rsid w:val="00567026"/>
    <w:rsid w:val="00571EFA"/>
    <w:rsid w:val="0057303C"/>
    <w:rsid w:val="00573448"/>
    <w:rsid w:val="00574353"/>
    <w:rsid w:val="00574862"/>
    <w:rsid w:val="00574D16"/>
    <w:rsid w:val="00576DCA"/>
    <w:rsid w:val="00576EA0"/>
    <w:rsid w:val="00580A4F"/>
    <w:rsid w:val="00580B2D"/>
    <w:rsid w:val="00581AF8"/>
    <w:rsid w:val="00583F6B"/>
    <w:rsid w:val="00584658"/>
    <w:rsid w:val="00584FF6"/>
    <w:rsid w:val="005852F3"/>
    <w:rsid w:val="005868C7"/>
    <w:rsid w:val="00586AFB"/>
    <w:rsid w:val="00586BFD"/>
    <w:rsid w:val="00587C1B"/>
    <w:rsid w:val="005919EB"/>
    <w:rsid w:val="0059487E"/>
    <w:rsid w:val="00594B92"/>
    <w:rsid w:val="00595255"/>
    <w:rsid w:val="005952D7"/>
    <w:rsid w:val="005956AF"/>
    <w:rsid w:val="00595974"/>
    <w:rsid w:val="00595B87"/>
    <w:rsid w:val="00596869"/>
    <w:rsid w:val="00596AAF"/>
    <w:rsid w:val="0059759F"/>
    <w:rsid w:val="005976D9"/>
    <w:rsid w:val="00597BB7"/>
    <w:rsid w:val="005A06AA"/>
    <w:rsid w:val="005A1661"/>
    <w:rsid w:val="005A1EC6"/>
    <w:rsid w:val="005A24F9"/>
    <w:rsid w:val="005A2C48"/>
    <w:rsid w:val="005A310C"/>
    <w:rsid w:val="005A3ECA"/>
    <w:rsid w:val="005A57EA"/>
    <w:rsid w:val="005A5F90"/>
    <w:rsid w:val="005A68B8"/>
    <w:rsid w:val="005A6BA5"/>
    <w:rsid w:val="005A7555"/>
    <w:rsid w:val="005B1876"/>
    <w:rsid w:val="005B2625"/>
    <w:rsid w:val="005B29FB"/>
    <w:rsid w:val="005B3C8A"/>
    <w:rsid w:val="005B4F56"/>
    <w:rsid w:val="005B548D"/>
    <w:rsid w:val="005B5EF2"/>
    <w:rsid w:val="005B5F08"/>
    <w:rsid w:val="005B6DDC"/>
    <w:rsid w:val="005B7A0A"/>
    <w:rsid w:val="005B7C9D"/>
    <w:rsid w:val="005C08B4"/>
    <w:rsid w:val="005C0D47"/>
    <w:rsid w:val="005C158A"/>
    <w:rsid w:val="005C177B"/>
    <w:rsid w:val="005C2F5F"/>
    <w:rsid w:val="005C3DC4"/>
    <w:rsid w:val="005C64F1"/>
    <w:rsid w:val="005C78DD"/>
    <w:rsid w:val="005C7F66"/>
    <w:rsid w:val="005C7FC0"/>
    <w:rsid w:val="005D1FEF"/>
    <w:rsid w:val="005D2E9F"/>
    <w:rsid w:val="005D3A49"/>
    <w:rsid w:val="005D3DEA"/>
    <w:rsid w:val="005D43DA"/>
    <w:rsid w:val="005D48B8"/>
    <w:rsid w:val="005D5731"/>
    <w:rsid w:val="005D7198"/>
    <w:rsid w:val="005D7646"/>
    <w:rsid w:val="005E0155"/>
    <w:rsid w:val="005E05E5"/>
    <w:rsid w:val="005E061F"/>
    <w:rsid w:val="005E2731"/>
    <w:rsid w:val="005E3938"/>
    <w:rsid w:val="005E3AA6"/>
    <w:rsid w:val="005E3F6A"/>
    <w:rsid w:val="005E45B5"/>
    <w:rsid w:val="005E4680"/>
    <w:rsid w:val="005E47D3"/>
    <w:rsid w:val="005E4A39"/>
    <w:rsid w:val="005E5B23"/>
    <w:rsid w:val="005E6365"/>
    <w:rsid w:val="005E7A88"/>
    <w:rsid w:val="005F109C"/>
    <w:rsid w:val="005F1791"/>
    <w:rsid w:val="005F258A"/>
    <w:rsid w:val="005F2A44"/>
    <w:rsid w:val="005F4647"/>
    <w:rsid w:val="005F4934"/>
    <w:rsid w:val="005F5BED"/>
    <w:rsid w:val="005F5C43"/>
    <w:rsid w:val="005F7698"/>
    <w:rsid w:val="005F76AB"/>
    <w:rsid w:val="005F7DDB"/>
    <w:rsid w:val="00600B61"/>
    <w:rsid w:val="00601299"/>
    <w:rsid w:val="00601721"/>
    <w:rsid w:val="00601895"/>
    <w:rsid w:val="00602209"/>
    <w:rsid w:val="00602512"/>
    <w:rsid w:val="006026EA"/>
    <w:rsid w:val="00603772"/>
    <w:rsid w:val="00603D74"/>
    <w:rsid w:val="00604666"/>
    <w:rsid w:val="00604719"/>
    <w:rsid w:val="006048B7"/>
    <w:rsid w:val="00604A97"/>
    <w:rsid w:val="006052B1"/>
    <w:rsid w:val="00605C98"/>
    <w:rsid w:val="00605D8E"/>
    <w:rsid w:val="00605F90"/>
    <w:rsid w:val="006064B5"/>
    <w:rsid w:val="00606953"/>
    <w:rsid w:val="006101EA"/>
    <w:rsid w:val="00612343"/>
    <w:rsid w:val="00615B5C"/>
    <w:rsid w:val="00616416"/>
    <w:rsid w:val="00616B5A"/>
    <w:rsid w:val="00617FA3"/>
    <w:rsid w:val="00621353"/>
    <w:rsid w:val="006214AF"/>
    <w:rsid w:val="00623806"/>
    <w:rsid w:val="00623931"/>
    <w:rsid w:val="00623B18"/>
    <w:rsid w:val="00624F08"/>
    <w:rsid w:val="006258F8"/>
    <w:rsid w:val="0062598C"/>
    <w:rsid w:val="00625B52"/>
    <w:rsid w:val="006260D8"/>
    <w:rsid w:val="00626C08"/>
    <w:rsid w:val="00627178"/>
    <w:rsid w:val="00627628"/>
    <w:rsid w:val="00630887"/>
    <w:rsid w:val="0063150A"/>
    <w:rsid w:val="006321DA"/>
    <w:rsid w:val="00632F08"/>
    <w:rsid w:val="00636722"/>
    <w:rsid w:val="00637A01"/>
    <w:rsid w:val="00640083"/>
    <w:rsid w:val="00640B77"/>
    <w:rsid w:val="0064166C"/>
    <w:rsid w:val="0064297F"/>
    <w:rsid w:val="00642B5B"/>
    <w:rsid w:val="00643643"/>
    <w:rsid w:val="006442D7"/>
    <w:rsid w:val="006445ED"/>
    <w:rsid w:val="00646779"/>
    <w:rsid w:val="00647E08"/>
    <w:rsid w:val="006516DB"/>
    <w:rsid w:val="00653CE7"/>
    <w:rsid w:val="00654A31"/>
    <w:rsid w:val="00655BAB"/>
    <w:rsid w:val="00657130"/>
    <w:rsid w:val="0065736F"/>
    <w:rsid w:val="00657382"/>
    <w:rsid w:val="00661638"/>
    <w:rsid w:val="00662E06"/>
    <w:rsid w:val="0066304C"/>
    <w:rsid w:val="006644AB"/>
    <w:rsid w:val="00664BA4"/>
    <w:rsid w:val="00665510"/>
    <w:rsid w:val="006666C8"/>
    <w:rsid w:val="0066703B"/>
    <w:rsid w:val="0066786B"/>
    <w:rsid w:val="00670552"/>
    <w:rsid w:val="00670FF2"/>
    <w:rsid w:val="006711D3"/>
    <w:rsid w:val="00671EBE"/>
    <w:rsid w:val="0067204D"/>
    <w:rsid w:val="006739E5"/>
    <w:rsid w:val="006741A7"/>
    <w:rsid w:val="00675E42"/>
    <w:rsid w:val="0067617B"/>
    <w:rsid w:val="0067786E"/>
    <w:rsid w:val="00680CC6"/>
    <w:rsid w:val="006810A9"/>
    <w:rsid w:val="006826E0"/>
    <w:rsid w:val="00682B1D"/>
    <w:rsid w:val="0068435C"/>
    <w:rsid w:val="006847BF"/>
    <w:rsid w:val="00684F71"/>
    <w:rsid w:val="00685605"/>
    <w:rsid w:val="0068664B"/>
    <w:rsid w:val="00686BAC"/>
    <w:rsid w:val="006872D0"/>
    <w:rsid w:val="00690A39"/>
    <w:rsid w:val="006910E9"/>
    <w:rsid w:val="00691850"/>
    <w:rsid w:val="006918DE"/>
    <w:rsid w:val="0069216E"/>
    <w:rsid w:val="00694F46"/>
    <w:rsid w:val="006961BA"/>
    <w:rsid w:val="00696202"/>
    <w:rsid w:val="006A08BC"/>
    <w:rsid w:val="006A2367"/>
    <w:rsid w:val="006A3712"/>
    <w:rsid w:val="006A3B0D"/>
    <w:rsid w:val="006A4557"/>
    <w:rsid w:val="006A4950"/>
    <w:rsid w:val="006A5364"/>
    <w:rsid w:val="006A557E"/>
    <w:rsid w:val="006A71CB"/>
    <w:rsid w:val="006A7A80"/>
    <w:rsid w:val="006A7F09"/>
    <w:rsid w:val="006B0A0D"/>
    <w:rsid w:val="006B0FA6"/>
    <w:rsid w:val="006B1874"/>
    <w:rsid w:val="006B1A59"/>
    <w:rsid w:val="006B2768"/>
    <w:rsid w:val="006B289C"/>
    <w:rsid w:val="006B3EB8"/>
    <w:rsid w:val="006B4D34"/>
    <w:rsid w:val="006B68C0"/>
    <w:rsid w:val="006C082C"/>
    <w:rsid w:val="006C0ACF"/>
    <w:rsid w:val="006C0ADE"/>
    <w:rsid w:val="006C1DB1"/>
    <w:rsid w:val="006C3D41"/>
    <w:rsid w:val="006C5890"/>
    <w:rsid w:val="006C721C"/>
    <w:rsid w:val="006C770D"/>
    <w:rsid w:val="006C7E86"/>
    <w:rsid w:val="006D0EDA"/>
    <w:rsid w:val="006D103D"/>
    <w:rsid w:val="006D1253"/>
    <w:rsid w:val="006D1BB9"/>
    <w:rsid w:val="006D20C1"/>
    <w:rsid w:val="006D2A84"/>
    <w:rsid w:val="006D2EC3"/>
    <w:rsid w:val="006D7562"/>
    <w:rsid w:val="006D75FC"/>
    <w:rsid w:val="006D7D52"/>
    <w:rsid w:val="006E1E51"/>
    <w:rsid w:val="006E2BFB"/>
    <w:rsid w:val="006E49B4"/>
    <w:rsid w:val="006E4AB1"/>
    <w:rsid w:val="006E4F0E"/>
    <w:rsid w:val="006E5EDE"/>
    <w:rsid w:val="006E639C"/>
    <w:rsid w:val="006F1197"/>
    <w:rsid w:val="006F1301"/>
    <w:rsid w:val="006F147B"/>
    <w:rsid w:val="006F23A4"/>
    <w:rsid w:val="006F27A2"/>
    <w:rsid w:val="006F2883"/>
    <w:rsid w:val="006F2BB5"/>
    <w:rsid w:val="006F3600"/>
    <w:rsid w:val="006F4F7E"/>
    <w:rsid w:val="006F5CCA"/>
    <w:rsid w:val="006F5CF4"/>
    <w:rsid w:val="006F74E7"/>
    <w:rsid w:val="006F7C9F"/>
    <w:rsid w:val="00701B8D"/>
    <w:rsid w:val="007032F3"/>
    <w:rsid w:val="00703C00"/>
    <w:rsid w:val="00704368"/>
    <w:rsid w:val="00704A51"/>
    <w:rsid w:val="00704C3B"/>
    <w:rsid w:val="007058CD"/>
    <w:rsid w:val="00705950"/>
    <w:rsid w:val="00705BF0"/>
    <w:rsid w:val="0070727F"/>
    <w:rsid w:val="007101BC"/>
    <w:rsid w:val="007105F2"/>
    <w:rsid w:val="00710EF0"/>
    <w:rsid w:val="007111EE"/>
    <w:rsid w:val="00712D89"/>
    <w:rsid w:val="00713CDE"/>
    <w:rsid w:val="007151DB"/>
    <w:rsid w:val="00715D58"/>
    <w:rsid w:val="00715E9C"/>
    <w:rsid w:val="00717969"/>
    <w:rsid w:val="0072013C"/>
    <w:rsid w:val="0072101F"/>
    <w:rsid w:val="007225D0"/>
    <w:rsid w:val="00722FAF"/>
    <w:rsid w:val="00723DDF"/>
    <w:rsid w:val="0072457A"/>
    <w:rsid w:val="007246A7"/>
    <w:rsid w:val="00724E55"/>
    <w:rsid w:val="00725236"/>
    <w:rsid w:val="00725309"/>
    <w:rsid w:val="00725B06"/>
    <w:rsid w:val="0072600C"/>
    <w:rsid w:val="00727955"/>
    <w:rsid w:val="00727DCD"/>
    <w:rsid w:val="007306A6"/>
    <w:rsid w:val="0073089C"/>
    <w:rsid w:val="00730971"/>
    <w:rsid w:val="00730AD8"/>
    <w:rsid w:val="00731B6A"/>
    <w:rsid w:val="007335B9"/>
    <w:rsid w:val="007345F8"/>
    <w:rsid w:val="007347B3"/>
    <w:rsid w:val="00734B68"/>
    <w:rsid w:val="00734B6A"/>
    <w:rsid w:val="00735521"/>
    <w:rsid w:val="00735849"/>
    <w:rsid w:val="00736A70"/>
    <w:rsid w:val="00737DF8"/>
    <w:rsid w:val="00740C1F"/>
    <w:rsid w:val="00741933"/>
    <w:rsid w:val="00741A02"/>
    <w:rsid w:val="00741E2D"/>
    <w:rsid w:val="00741FDD"/>
    <w:rsid w:val="007421A4"/>
    <w:rsid w:val="00742E26"/>
    <w:rsid w:val="0074386A"/>
    <w:rsid w:val="007444FC"/>
    <w:rsid w:val="0074463C"/>
    <w:rsid w:val="00744D59"/>
    <w:rsid w:val="00745D61"/>
    <w:rsid w:val="00746F1F"/>
    <w:rsid w:val="007507BB"/>
    <w:rsid w:val="00751416"/>
    <w:rsid w:val="0075178F"/>
    <w:rsid w:val="00752745"/>
    <w:rsid w:val="0075403F"/>
    <w:rsid w:val="00754AC1"/>
    <w:rsid w:val="00754CD6"/>
    <w:rsid w:val="00755D62"/>
    <w:rsid w:val="0076005F"/>
    <w:rsid w:val="007600CC"/>
    <w:rsid w:val="0076281C"/>
    <w:rsid w:val="00763FBF"/>
    <w:rsid w:val="007643A2"/>
    <w:rsid w:val="0076575E"/>
    <w:rsid w:val="00766041"/>
    <w:rsid w:val="00766DF8"/>
    <w:rsid w:val="007670DA"/>
    <w:rsid w:val="00770B21"/>
    <w:rsid w:val="00773668"/>
    <w:rsid w:val="00774083"/>
    <w:rsid w:val="007763B4"/>
    <w:rsid w:val="00777533"/>
    <w:rsid w:val="00777D92"/>
    <w:rsid w:val="007801C9"/>
    <w:rsid w:val="00780308"/>
    <w:rsid w:val="00780A4B"/>
    <w:rsid w:val="00780D2F"/>
    <w:rsid w:val="00781943"/>
    <w:rsid w:val="00782504"/>
    <w:rsid w:val="007825DA"/>
    <w:rsid w:val="007837E3"/>
    <w:rsid w:val="00784520"/>
    <w:rsid w:val="00784C7B"/>
    <w:rsid w:val="007903FC"/>
    <w:rsid w:val="00790A2D"/>
    <w:rsid w:val="00791719"/>
    <w:rsid w:val="007921BE"/>
    <w:rsid w:val="00792AFC"/>
    <w:rsid w:val="007933F6"/>
    <w:rsid w:val="0079542B"/>
    <w:rsid w:val="00796DED"/>
    <w:rsid w:val="00796F71"/>
    <w:rsid w:val="0079721B"/>
    <w:rsid w:val="00797256"/>
    <w:rsid w:val="0079728D"/>
    <w:rsid w:val="007A05B9"/>
    <w:rsid w:val="007A093E"/>
    <w:rsid w:val="007A2C60"/>
    <w:rsid w:val="007A3CB2"/>
    <w:rsid w:val="007A4497"/>
    <w:rsid w:val="007A52D0"/>
    <w:rsid w:val="007B141B"/>
    <w:rsid w:val="007B2DCF"/>
    <w:rsid w:val="007B34E8"/>
    <w:rsid w:val="007B3C93"/>
    <w:rsid w:val="007B5127"/>
    <w:rsid w:val="007B6367"/>
    <w:rsid w:val="007B740D"/>
    <w:rsid w:val="007C07EF"/>
    <w:rsid w:val="007C13FF"/>
    <w:rsid w:val="007C17D5"/>
    <w:rsid w:val="007C2486"/>
    <w:rsid w:val="007C2C6B"/>
    <w:rsid w:val="007C2E41"/>
    <w:rsid w:val="007C2E6C"/>
    <w:rsid w:val="007C3B0A"/>
    <w:rsid w:val="007C3F5D"/>
    <w:rsid w:val="007C6830"/>
    <w:rsid w:val="007D0138"/>
    <w:rsid w:val="007D0959"/>
    <w:rsid w:val="007D158E"/>
    <w:rsid w:val="007D18E3"/>
    <w:rsid w:val="007D1C0C"/>
    <w:rsid w:val="007D1C5B"/>
    <w:rsid w:val="007D1FC6"/>
    <w:rsid w:val="007D20B1"/>
    <w:rsid w:val="007D3910"/>
    <w:rsid w:val="007D3992"/>
    <w:rsid w:val="007D4B1D"/>
    <w:rsid w:val="007D4F7C"/>
    <w:rsid w:val="007D5548"/>
    <w:rsid w:val="007E02F1"/>
    <w:rsid w:val="007E153E"/>
    <w:rsid w:val="007E20DB"/>
    <w:rsid w:val="007E2C9A"/>
    <w:rsid w:val="007E34CA"/>
    <w:rsid w:val="007E3EF2"/>
    <w:rsid w:val="007E46C5"/>
    <w:rsid w:val="007E587D"/>
    <w:rsid w:val="007E59B7"/>
    <w:rsid w:val="007E7128"/>
    <w:rsid w:val="007F1EAF"/>
    <w:rsid w:val="007F3526"/>
    <w:rsid w:val="007F3655"/>
    <w:rsid w:val="007F3674"/>
    <w:rsid w:val="007F44FF"/>
    <w:rsid w:val="007F47D9"/>
    <w:rsid w:val="007F4AE7"/>
    <w:rsid w:val="007F5F4E"/>
    <w:rsid w:val="007F6812"/>
    <w:rsid w:val="007F6A2E"/>
    <w:rsid w:val="007F6A6E"/>
    <w:rsid w:val="007F6CE1"/>
    <w:rsid w:val="00800C75"/>
    <w:rsid w:val="00800DA6"/>
    <w:rsid w:val="00803E54"/>
    <w:rsid w:val="00804F3F"/>
    <w:rsid w:val="008052FD"/>
    <w:rsid w:val="00806075"/>
    <w:rsid w:val="00806588"/>
    <w:rsid w:val="00806686"/>
    <w:rsid w:val="00806BF8"/>
    <w:rsid w:val="00806C60"/>
    <w:rsid w:val="008073D2"/>
    <w:rsid w:val="00807909"/>
    <w:rsid w:val="0081104E"/>
    <w:rsid w:val="0081125F"/>
    <w:rsid w:val="00811ED6"/>
    <w:rsid w:val="0081339A"/>
    <w:rsid w:val="00814594"/>
    <w:rsid w:val="008146D9"/>
    <w:rsid w:val="0081482D"/>
    <w:rsid w:val="00816E5E"/>
    <w:rsid w:val="00817601"/>
    <w:rsid w:val="00820700"/>
    <w:rsid w:val="0082196D"/>
    <w:rsid w:val="00821BAC"/>
    <w:rsid w:val="008220F9"/>
    <w:rsid w:val="0082310B"/>
    <w:rsid w:val="00824DFD"/>
    <w:rsid w:val="00825E38"/>
    <w:rsid w:val="00825FF7"/>
    <w:rsid w:val="00826898"/>
    <w:rsid w:val="0082693B"/>
    <w:rsid w:val="00827740"/>
    <w:rsid w:val="00830A72"/>
    <w:rsid w:val="00831269"/>
    <w:rsid w:val="008315C3"/>
    <w:rsid w:val="0083288B"/>
    <w:rsid w:val="00832FBE"/>
    <w:rsid w:val="00836BBB"/>
    <w:rsid w:val="0084004C"/>
    <w:rsid w:val="0084194B"/>
    <w:rsid w:val="00841964"/>
    <w:rsid w:val="00842070"/>
    <w:rsid w:val="00842FA3"/>
    <w:rsid w:val="00843316"/>
    <w:rsid w:val="00843E80"/>
    <w:rsid w:val="00843EBC"/>
    <w:rsid w:val="008444B5"/>
    <w:rsid w:val="008453F1"/>
    <w:rsid w:val="008457D3"/>
    <w:rsid w:val="00845A91"/>
    <w:rsid w:val="00845CB8"/>
    <w:rsid w:val="00847111"/>
    <w:rsid w:val="00847818"/>
    <w:rsid w:val="00847B6C"/>
    <w:rsid w:val="00850B91"/>
    <w:rsid w:val="00851583"/>
    <w:rsid w:val="008524B8"/>
    <w:rsid w:val="00852A3F"/>
    <w:rsid w:val="00852A44"/>
    <w:rsid w:val="00852C9D"/>
    <w:rsid w:val="00853125"/>
    <w:rsid w:val="0085357E"/>
    <w:rsid w:val="00853D83"/>
    <w:rsid w:val="00853E84"/>
    <w:rsid w:val="008549A3"/>
    <w:rsid w:val="008553DC"/>
    <w:rsid w:val="00855DD8"/>
    <w:rsid w:val="008612AE"/>
    <w:rsid w:val="008621F8"/>
    <w:rsid w:val="008621FC"/>
    <w:rsid w:val="008623A3"/>
    <w:rsid w:val="00863306"/>
    <w:rsid w:val="00863BEE"/>
    <w:rsid w:val="008671E0"/>
    <w:rsid w:val="0086785B"/>
    <w:rsid w:val="00867994"/>
    <w:rsid w:val="008679A9"/>
    <w:rsid w:val="00871046"/>
    <w:rsid w:val="00871116"/>
    <w:rsid w:val="00871202"/>
    <w:rsid w:val="00872BBD"/>
    <w:rsid w:val="00873052"/>
    <w:rsid w:val="00873583"/>
    <w:rsid w:val="00874884"/>
    <w:rsid w:val="00874E73"/>
    <w:rsid w:val="00874F61"/>
    <w:rsid w:val="008758DD"/>
    <w:rsid w:val="00876174"/>
    <w:rsid w:val="00876435"/>
    <w:rsid w:val="00876BEE"/>
    <w:rsid w:val="00877C73"/>
    <w:rsid w:val="00880575"/>
    <w:rsid w:val="00884181"/>
    <w:rsid w:val="00885282"/>
    <w:rsid w:val="0088567B"/>
    <w:rsid w:val="00885854"/>
    <w:rsid w:val="00886FC8"/>
    <w:rsid w:val="00887B1D"/>
    <w:rsid w:val="00890937"/>
    <w:rsid w:val="00892A00"/>
    <w:rsid w:val="00894592"/>
    <w:rsid w:val="00895357"/>
    <w:rsid w:val="008A12DA"/>
    <w:rsid w:val="008A1EFD"/>
    <w:rsid w:val="008A32D5"/>
    <w:rsid w:val="008A3CE4"/>
    <w:rsid w:val="008A4CBE"/>
    <w:rsid w:val="008A4FA1"/>
    <w:rsid w:val="008A5387"/>
    <w:rsid w:val="008A610A"/>
    <w:rsid w:val="008A762A"/>
    <w:rsid w:val="008A7F5E"/>
    <w:rsid w:val="008B02B5"/>
    <w:rsid w:val="008B0AE1"/>
    <w:rsid w:val="008B18D1"/>
    <w:rsid w:val="008B21E9"/>
    <w:rsid w:val="008B2757"/>
    <w:rsid w:val="008B29F6"/>
    <w:rsid w:val="008B3946"/>
    <w:rsid w:val="008B3B97"/>
    <w:rsid w:val="008B48AF"/>
    <w:rsid w:val="008B5224"/>
    <w:rsid w:val="008B55C5"/>
    <w:rsid w:val="008B5C79"/>
    <w:rsid w:val="008B5F99"/>
    <w:rsid w:val="008C1254"/>
    <w:rsid w:val="008C588B"/>
    <w:rsid w:val="008C63C9"/>
    <w:rsid w:val="008C667B"/>
    <w:rsid w:val="008C695A"/>
    <w:rsid w:val="008C6BFD"/>
    <w:rsid w:val="008C729C"/>
    <w:rsid w:val="008C7FC4"/>
    <w:rsid w:val="008D23BE"/>
    <w:rsid w:val="008D3D33"/>
    <w:rsid w:val="008D4058"/>
    <w:rsid w:val="008D4B0A"/>
    <w:rsid w:val="008D51B1"/>
    <w:rsid w:val="008D571F"/>
    <w:rsid w:val="008D7FC8"/>
    <w:rsid w:val="008E03BA"/>
    <w:rsid w:val="008E1382"/>
    <w:rsid w:val="008E2930"/>
    <w:rsid w:val="008E2D0D"/>
    <w:rsid w:val="008E3967"/>
    <w:rsid w:val="008E4195"/>
    <w:rsid w:val="008E448F"/>
    <w:rsid w:val="008E4701"/>
    <w:rsid w:val="008E5D0C"/>
    <w:rsid w:val="008E6209"/>
    <w:rsid w:val="008E6804"/>
    <w:rsid w:val="008E6CC8"/>
    <w:rsid w:val="008E7AF9"/>
    <w:rsid w:val="008E7DDD"/>
    <w:rsid w:val="008F065C"/>
    <w:rsid w:val="008F100A"/>
    <w:rsid w:val="008F38EE"/>
    <w:rsid w:val="008F3C75"/>
    <w:rsid w:val="008F432E"/>
    <w:rsid w:val="008F4DD8"/>
    <w:rsid w:val="008F5F76"/>
    <w:rsid w:val="008F6172"/>
    <w:rsid w:val="008F6B62"/>
    <w:rsid w:val="008F6C8C"/>
    <w:rsid w:val="008F6F8C"/>
    <w:rsid w:val="008F73FB"/>
    <w:rsid w:val="008F78CA"/>
    <w:rsid w:val="009005F0"/>
    <w:rsid w:val="00901994"/>
    <w:rsid w:val="009059CE"/>
    <w:rsid w:val="0090696D"/>
    <w:rsid w:val="00907951"/>
    <w:rsid w:val="00910020"/>
    <w:rsid w:val="009102D2"/>
    <w:rsid w:val="0091095A"/>
    <w:rsid w:val="00911FB1"/>
    <w:rsid w:val="009122F5"/>
    <w:rsid w:val="00913434"/>
    <w:rsid w:val="00913EC7"/>
    <w:rsid w:val="00914A1C"/>
    <w:rsid w:val="00914F5D"/>
    <w:rsid w:val="00916675"/>
    <w:rsid w:val="00917D5F"/>
    <w:rsid w:val="009218AD"/>
    <w:rsid w:val="009247FD"/>
    <w:rsid w:val="00925CCB"/>
    <w:rsid w:val="00927642"/>
    <w:rsid w:val="00927F68"/>
    <w:rsid w:val="009306CB"/>
    <w:rsid w:val="00930C7B"/>
    <w:rsid w:val="00930D69"/>
    <w:rsid w:val="00931B2E"/>
    <w:rsid w:val="00932D6D"/>
    <w:rsid w:val="0093430E"/>
    <w:rsid w:val="00935B9A"/>
    <w:rsid w:val="00936233"/>
    <w:rsid w:val="00936CEA"/>
    <w:rsid w:val="00936D0D"/>
    <w:rsid w:val="0093750D"/>
    <w:rsid w:val="00937D99"/>
    <w:rsid w:val="0094115F"/>
    <w:rsid w:val="009413CA"/>
    <w:rsid w:val="00942CED"/>
    <w:rsid w:val="009459A7"/>
    <w:rsid w:val="00945AE7"/>
    <w:rsid w:val="00945BCC"/>
    <w:rsid w:val="009500E1"/>
    <w:rsid w:val="009543C9"/>
    <w:rsid w:val="009544FA"/>
    <w:rsid w:val="00954C10"/>
    <w:rsid w:val="00957EE0"/>
    <w:rsid w:val="00961278"/>
    <w:rsid w:val="0096135A"/>
    <w:rsid w:val="00961945"/>
    <w:rsid w:val="00962414"/>
    <w:rsid w:val="0096267B"/>
    <w:rsid w:val="009641EB"/>
    <w:rsid w:val="00964A88"/>
    <w:rsid w:val="00966A40"/>
    <w:rsid w:val="00967238"/>
    <w:rsid w:val="009707DE"/>
    <w:rsid w:val="009712D8"/>
    <w:rsid w:val="00971F6A"/>
    <w:rsid w:val="009723C6"/>
    <w:rsid w:val="00972A54"/>
    <w:rsid w:val="0097324D"/>
    <w:rsid w:val="00974130"/>
    <w:rsid w:val="00974682"/>
    <w:rsid w:val="009762E2"/>
    <w:rsid w:val="009764FA"/>
    <w:rsid w:val="009767B8"/>
    <w:rsid w:val="0098431F"/>
    <w:rsid w:val="009849B5"/>
    <w:rsid w:val="00985660"/>
    <w:rsid w:val="00985E92"/>
    <w:rsid w:val="009901ED"/>
    <w:rsid w:val="009906D5"/>
    <w:rsid w:val="00990E91"/>
    <w:rsid w:val="00991410"/>
    <w:rsid w:val="00992833"/>
    <w:rsid w:val="0099326C"/>
    <w:rsid w:val="00995AFC"/>
    <w:rsid w:val="00995F77"/>
    <w:rsid w:val="00996B7E"/>
    <w:rsid w:val="00997339"/>
    <w:rsid w:val="009A1DE8"/>
    <w:rsid w:val="009A2BED"/>
    <w:rsid w:val="009A2C1A"/>
    <w:rsid w:val="009A3F0C"/>
    <w:rsid w:val="009A4216"/>
    <w:rsid w:val="009A538A"/>
    <w:rsid w:val="009A5828"/>
    <w:rsid w:val="009A618F"/>
    <w:rsid w:val="009A6479"/>
    <w:rsid w:val="009A6A11"/>
    <w:rsid w:val="009A6BAD"/>
    <w:rsid w:val="009A751A"/>
    <w:rsid w:val="009B055F"/>
    <w:rsid w:val="009B06FC"/>
    <w:rsid w:val="009B0764"/>
    <w:rsid w:val="009B0910"/>
    <w:rsid w:val="009B112E"/>
    <w:rsid w:val="009B25FD"/>
    <w:rsid w:val="009B4683"/>
    <w:rsid w:val="009B4FCF"/>
    <w:rsid w:val="009B562F"/>
    <w:rsid w:val="009B566D"/>
    <w:rsid w:val="009B7F24"/>
    <w:rsid w:val="009B7FFD"/>
    <w:rsid w:val="009C029B"/>
    <w:rsid w:val="009C05A7"/>
    <w:rsid w:val="009C0603"/>
    <w:rsid w:val="009C1742"/>
    <w:rsid w:val="009C2688"/>
    <w:rsid w:val="009C296D"/>
    <w:rsid w:val="009C2FB2"/>
    <w:rsid w:val="009C2FD5"/>
    <w:rsid w:val="009C3E4E"/>
    <w:rsid w:val="009C5248"/>
    <w:rsid w:val="009C624A"/>
    <w:rsid w:val="009C7066"/>
    <w:rsid w:val="009C7A8D"/>
    <w:rsid w:val="009D09EF"/>
    <w:rsid w:val="009D1EA2"/>
    <w:rsid w:val="009D224C"/>
    <w:rsid w:val="009D2FB4"/>
    <w:rsid w:val="009D322E"/>
    <w:rsid w:val="009D32A9"/>
    <w:rsid w:val="009D4A74"/>
    <w:rsid w:val="009D6BC2"/>
    <w:rsid w:val="009D7E84"/>
    <w:rsid w:val="009E07C4"/>
    <w:rsid w:val="009E084E"/>
    <w:rsid w:val="009E08DA"/>
    <w:rsid w:val="009E113F"/>
    <w:rsid w:val="009E1D19"/>
    <w:rsid w:val="009E4ABF"/>
    <w:rsid w:val="009E4EF4"/>
    <w:rsid w:val="009E529F"/>
    <w:rsid w:val="009E5C89"/>
    <w:rsid w:val="009E6F2C"/>
    <w:rsid w:val="009F0B8D"/>
    <w:rsid w:val="009F1B62"/>
    <w:rsid w:val="009F2DD2"/>
    <w:rsid w:val="009F3C07"/>
    <w:rsid w:val="009F4682"/>
    <w:rsid w:val="009F4691"/>
    <w:rsid w:val="009F5C29"/>
    <w:rsid w:val="009F5DF1"/>
    <w:rsid w:val="009F6614"/>
    <w:rsid w:val="00A0067C"/>
    <w:rsid w:val="00A00E3B"/>
    <w:rsid w:val="00A01E94"/>
    <w:rsid w:val="00A0284E"/>
    <w:rsid w:val="00A02B69"/>
    <w:rsid w:val="00A02E75"/>
    <w:rsid w:val="00A053C3"/>
    <w:rsid w:val="00A06017"/>
    <w:rsid w:val="00A070B0"/>
    <w:rsid w:val="00A07584"/>
    <w:rsid w:val="00A11E55"/>
    <w:rsid w:val="00A12F98"/>
    <w:rsid w:val="00A1385A"/>
    <w:rsid w:val="00A14C63"/>
    <w:rsid w:val="00A20CD9"/>
    <w:rsid w:val="00A20D15"/>
    <w:rsid w:val="00A20D46"/>
    <w:rsid w:val="00A20E65"/>
    <w:rsid w:val="00A21E44"/>
    <w:rsid w:val="00A2437A"/>
    <w:rsid w:val="00A2516D"/>
    <w:rsid w:val="00A26643"/>
    <w:rsid w:val="00A27474"/>
    <w:rsid w:val="00A274AF"/>
    <w:rsid w:val="00A2787A"/>
    <w:rsid w:val="00A27CA5"/>
    <w:rsid w:val="00A30AED"/>
    <w:rsid w:val="00A3148E"/>
    <w:rsid w:val="00A31CA4"/>
    <w:rsid w:val="00A3215E"/>
    <w:rsid w:val="00A328C1"/>
    <w:rsid w:val="00A32FE9"/>
    <w:rsid w:val="00A337D9"/>
    <w:rsid w:val="00A33A3F"/>
    <w:rsid w:val="00A345E9"/>
    <w:rsid w:val="00A34B9B"/>
    <w:rsid w:val="00A3559A"/>
    <w:rsid w:val="00A356F7"/>
    <w:rsid w:val="00A35C67"/>
    <w:rsid w:val="00A35CDD"/>
    <w:rsid w:val="00A36EB4"/>
    <w:rsid w:val="00A37E63"/>
    <w:rsid w:val="00A37FC0"/>
    <w:rsid w:val="00A419B6"/>
    <w:rsid w:val="00A436C0"/>
    <w:rsid w:val="00A44880"/>
    <w:rsid w:val="00A4534D"/>
    <w:rsid w:val="00A45C64"/>
    <w:rsid w:val="00A46490"/>
    <w:rsid w:val="00A46D57"/>
    <w:rsid w:val="00A52679"/>
    <w:rsid w:val="00A52C13"/>
    <w:rsid w:val="00A52F50"/>
    <w:rsid w:val="00A53772"/>
    <w:rsid w:val="00A53A95"/>
    <w:rsid w:val="00A544E7"/>
    <w:rsid w:val="00A55C4A"/>
    <w:rsid w:val="00A5646A"/>
    <w:rsid w:val="00A56579"/>
    <w:rsid w:val="00A60BFF"/>
    <w:rsid w:val="00A61A43"/>
    <w:rsid w:val="00A61C01"/>
    <w:rsid w:val="00A62777"/>
    <w:rsid w:val="00A629C2"/>
    <w:rsid w:val="00A6330C"/>
    <w:rsid w:val="00A63ADC"/>
    <w:rsid w:val="00A64475"/>
    <w:rsid w:val="00A655D8"/>
    <w:rsid w:val="00A678C6"/>
    <w:rsid w:val="00A67B20"/>
    <w:rsid w:val="00A71026"/>
    <w:rsid w:val="00A7177D"/>
    <w:rsid w:val="00A72C5D"/>
    <w:rsid w:val="00A72E06"/>
    <w:rsid w:val="00A7359B"/>
    <w:rsid w:val="00A73B12"/>
    <w:rsid w:val="00A73E8F"/>
    <w:rsid w:val="00A73EE8"/>
    <w:rsid w:val="00A74501"/>
    <w:rsid w:val="00A746B4"/>
    <w:rsid w:val="00A74C2E"/>
    <w:rsid w:val="00A74F71"/>
    <w:rsid w:val="00A76B1A"/>
    <w:rsid w:val="00A77069"/>
    <w:rsid w:val="00A777F7"/>
    <w:rsid w:val="00A77951"/>
    <w:rsid w:val="00A80D0B"/>
    <w:rsid w:val="00A83FBA"/>
    <w:rsid w:val="00A84374"/>
    <w:rsid w:val="00A86899"/>
    <w:rsid w:val="00A87B05"/>
    <w:rsid w:val="00A90684"/>
    <w:rsid w:val="00A915F4"/>
    <w:rsid w:val="00A91EB5"/>
    <w:rsid w:val="00A9383F"/>
    <w:rsid w:val="00A93B7C"/>
    <w:rsid w:val="00A93DC4"/>
    <w:rsid w:val="00A955C9"/>
    <w:rsid w:val="00A95AA7"/>
    <w:rsid w:val="00A96886"/>
    <w:rsid w:val="00A96993"/>
    <w:rsid w:val="00AA02EB"/>
    <w:rsid w:val="00AA0578"/>
    <w:rsid w:val="00AA0E9A"/>
    <w:rsid w:val="00AA1816"/>
    <w:rsid w:val="00AA1E06"/>
    <w:rsid w:val="00AA1FB8"/>
    <w:rsid w:val="00AA2675"/>
    <w:rsid w:val="00AA2B72"/>
    <w:rsid w:val="00AA3454"/>
    <w:rsid w:val="00AA3519"/>
    <w:rsid w:val="00AA5856"/>
    <w:rsid w:val="00AA679E"/>
    <w:rsid w:val="00AA6D78"/>
    <w:rsid w:val="00AA7FFE"/>
    <w:rsid w:val="00AB0A35"/>
    <w:rsid w:val="00AB0FD0"/>
    <w:rsid w:val="00AB35C6"/>
    <w:rsid w:val="00AB35D0"/>
    <w:rsid w:val="00AB37BE"/>
    <w:rsid w:val="00AB5583"/>
    <w:rsid w:val="00AB63C0"/>
    <w:rsid w:val="00AB6A0F"/>
    <w:rsid w:val="00AB73C8"/>
    <w:rsid w:val="00AB7AED"/>
    <w:rsid w:val="00AB7DE5"/>
    <w:rsid w:val="00AB7EE6"/>
    <w:rsid w:val="00AC0A91"/>
    <w:rsid w:val="00AC3BDC"/>
    <w:rsid w:val="00AC40BB"/>
    <w:rsid w:val="00AC50E4"/>
    <w:rsid w:val="00AC56B3"/>
    <w:rsid w:val="00AC691B"/>
    <w:rsid w:val="00AC6D78"/>
    <w:rsid w:val="00AC6F46"/>
    <w:rsid w:val="00AC7BA1"/>
    <w:rsid w:val="00AC7C75"/>
    <w:rsid w:val="00AD06F6"/>
    <w:rsid w:val="00AD0EBB"/>
    <w:rsid w:val="00AD12AB"/>
    <w:rsid w:val="00AD17CA"/>
    <w:rsid w:val="00AD190A"/>
    <w:rsid w:val="00AD222E"/>
    <w:rsid w:val="00AD294C"/>
    <w:rsid w:val="00AD3818"/>
    <w:rsid w:val="00AD4A23"/>
    <w:rsid w:val="00AD506A"/>
    <w:rsid w:val="00AD604A"/>
    <w:rsid w:val="00AD734E"/>
    <w:rsid w:val="00AE0352"/>
    <w:rsid w:val="00AE0660"/>
    <w:rsid w:val="00AE06CD"/>
    <w:rsid w:val="00AE0E9C"/>
    <w:rsid w:val="00AE1731"/>
    <w:rsid w:val="00AE2728"/>
    <w:rsid w:val="00AE2C16"/>
    <w:rsid w:val="00AE3A58"/>
    <w:rsid w:val="00AE433F"/>
    <w:rsid w:val="00AE54C0"/>
    <w:rsid w:val="00AE5740"/>
    <w:rsid w:val="00AE5E34"/>
    <w:rsid w:val="00AE74BA"/>
    <w:rsid w:val="00AE7644"/>
    <w:rsid w:val="00AF03D8"/>
    <w:rsid w:val="00AF062B"/>
    <w:rsid w:val="00AF156E"/>
    <w:rsid w:val="00AF198A"/>
    <w:rsid w:val="00AF3090"/>
    <w:rsid w:val="00AF36B4"/>
    <w:rsid w:val="00AF540F"/>
    <w:rsid w:val="00AF5DAB"/>
    <w:rsid w:val="00B000FB"/>
    <w:rsid w:val="00B01479"/>
    <w:rsid w:val="00B0196F"/>
    <w:rsid w:val="00B038BA"/>
    <w:rsid w:val="00B03A96"/>
    <w:rsid w:val="00B03F45"/>
    <w:rsid w:val="00B042AF"/>
    <w:rsid w:val="00B054CC"/>
    <w:rsid w:val="00B06199"/>
    <w:rsid w:val="00B069C4"/>
    <w:rsid w:val="00B0730D"/>
    <w:rsid w:val="00B10247"/>
    <w:rsid w:val="00B1072B"/>
    <w:rsid w:val="00B114A2"/>
    <w:rsid w:val="00B1258C"/>
    <w:rsid w:val="00B12E0A"/>
    <w:rsid w:val="00B138AF"/>
    <w:rsid w:val="00B13E07"/>
    <w:rsid w:val="00B14CD0"/>
    <w:rsid w:val="00B14DA2"/>
    <w:rsid w:val="00B15D2C"/>
    <w:rsid w:val="00B165A8"/>
    <w:rsid w:val="00B17B69"/>
    <w:rsid w:val="00B20F29"/>
    <w:rsid w:val="00B216A5"/>
    <w:rsid w:val="00B2231C"/>
    <w:rsid w:val="00B22F1F"/>
    <w:rsid w:val="00B23A19"/>
    <w:rsid w:val="00B24219"/>
    <w:rsid w:val="00B24831"/>
    <w:rsid w:val="00B271E9"/>
    <w:rsid w:val="00B30747"/>
    <w:rsid w:val="00B30760"/>
    <w:rsid w:val="00B31657"/>
    <w:rsid w:val="00B3187F"/>
    <w:rsid w:val="00B32437"/>
    <w:rsid w:val="00B32E93"/>
    <w:rsid w:val="00B352B0"/>
    <w:rsid w:val="00B359D4"/>
    <w:rsid w:val="00B35F33"/>
    <w:rsid w:val="00B360D6"/>
    <w:rsid w:val="00B3642A"/>
    <w:rsid w:val="00B3673F"/>
    <w:rsid w:val="00B36BE8"/>
    <w:rsid w:val="00B3793F"/>
    <w:rsid w:val="00B41B99"/>
    <w:rsid w:val="00B42295"/>
    <w:rsid w:val="00B426C6"/>
    <w:rsid w:val="00B428B2"/>
    <w:rsid w:val="00B42CC5"/>
    <w:rsid w:val="00B42CC6"/>
    <w:rsid w:val="00B43302"/>
    <w:rsid w:val="00B44072"/>
    <w:rsid w:val="00B44A98"/>
    <w:rsid w:val="00B46CAF"/>
    <w:rsid w:val="00B470C0"/>
    <w:rsid w:val="00B473EF"/>
    <w:rsid w:val="00B47AD5"/>
    <w:rsid w:val="00B47C26"/>
    <w:rsid w:val="00B47CA9"/>
    <w:rsid w:val="00B47D86"/>
    <w:rsid w:val="00B52050"/>
    <w:rsid w:val="00B523CF"/>
    <w:rsid w:val="00B52405"/>
    <w:rsid w:val="00B529FB"/>
    <w:rsid w:val="00B54990"/>
    <w:rsid w:val="00B54BE6"/>
    <w:rsid w:val="00B54C9B"/>
    <w:rsid w:val="00B54E8E"/>
    <w:rsid w:val="00B550A7"/>
    <w:rsid w:val="00B57218"/>
    <w:rsid w:val="00B620E8"/>
    <w:rsid w:val="00B638BA"/>
    <w:rsid w:val="00B64E39"/>
    <w:rsid w:val="00B65726"/>
    <w:rsid w:val="00B65BF3"/>
    <w:rsid w:val="00B65D19"/>
    <w:rsid w:val="00B66EDA"/>
    <w:rsid w:val="00B6732F"/>
    <w:rsid w:val="00B70608"/>
    <w:rsid w:val="00B70B25"/>
    <w:rsid w:val="00B70BE5"/>
    <w:rsid w:val="00B72379"/>
    <w:rsid w:val="00B73794"/>
    <w:rsid w:val="00B738C2"/>
    <w:rsid w:val="00B74A3B"/>
    <w:rsid w:val="00B75704"/>
    <w:rsid w:val="00B768E0"/>
    <w:rsid w:val="00B76D05"/>
    <w:rsid w:val="00B77136"/>
    <w:rsid w:val="00B77E03"/>
    <w:rsid w:val="00B77E47"/>
    <w:rsid w:val="00B81427"/>
    <w:rsid w:val="00B82F24"/>
    <w:rsid w:val="00B83094"/>
    <w:rsid w:val="00B83CA6"/>
    <w:rsid w:val="00B84F7A"/>
    <w:rsid w:val="00B856A9"/>
    <w:rsid w:val="00B86A9E"/>
    <w:rsid w:val="00B87A02"/>
    <w:rsid w:val="00B9056F"/>
    <w:rsid w:val="00B91A9F"/>
    <w:rsid w:val="00B93BCE"/>
    <w:rsid w:val="00B940ED"/>
    <w:rsid w:val="00B94107"/>
    <w:rsid w:val="00B95132"/>
    <w:rsid w:val="00B9587B"/>
    <w:rsid w:val="00B969D7"/>
    <w:rsid w:val="00B97534"/>
    <w:rsid w:val="00B97BEE"/>
    <w:rsid w:val="00BA18B5"/>
    <w:rsid w:val="00BA2D73"/>
    <w:rsid w:val="00BA3618"/>
    <w:rsid w:val="00BA3D4D"/>
    <w:rsid w:val="00BA42CE"/>
    <w:rsid w:val="00BA4502"/>
    <w:rsid w:val="00BA52E4"/>
    <w:rsid w:val="00BA53B0"/>
    <w:rsid w:val="00BA60D8"/>
    <w:rsid w:val="00BA6AAB"/>
    <w:rsid w:val="00BA7A6C"/>
    <w:rsid w:val="00BB0769"/>
    <w:rsid w:val="00BB0BF3"/>
    <w:rsid w:val="00BB0CF1"/>
    <w:rsid w:val="00BB0D20"/>
    <w:rsid w:val="00BB2BCE"/>
    <w:rsid w:val="00BB408C"/>
    <w:rsid w:val="00BB4C2A"/>
    <w:rsid w:val="00BB5334"/>
    <w:rsid w:val="00BB571A"/>
    <w:rsid w:val="00BB5814"/>
    <w:rsid w:val="00BB5E0F"/>
    <w:rsid w:val="00BB674E"/>
    <w:rsid w:val="00BB6C97"/>
    <w:rsid w:val="00BB71E8"/>
    <w:rsid w:val="00BB7A96"/>
    <w:rsid w:val="00BB7C46"/>
    <w:rsid w:val="00BC0984"/>
    <w:rsid w:val="00BC10C3"/>
    <w:rsid w:val="00BC16CE"/>
    <w:rsid w:val="00BC26EA"/>
    <w:rsid w:val="00BC3B44"/>
    <w:rsid w:val="00BC47C9"/>
    <w:rsid w:val="00BC4B6E"/>
    <w:rsid w:val="00BC4D7C"/>
    <w:rsid w:val="00BC67BF"/>
    <w:rsid w:val="00BD345A"/>
    <w:rsid w:val="00BD4346"/>
    <w:rsid w:val="00BD43B6"/>
    <w:rsid w:val="00BD5AE6"/>
    <w:rsid w:val="00BD6BE2"/>
    <w:rsid w:val="00BD79DA"/>
    <w:rsid w:val="00BE0191"/>
    <w:rsid w:val="00BE0319"/>
    <w:rsid w:val="00BE1DED"/>
    <w:rsid w:val="00BE30AD"/>
    <w:rsid w:val="00BE4316"/>
    <w:rsid w:val="00BE451C"/>
    <w:rsid w:val="00BE64DE"/>
    <w:rsid w:val="00BE66B8"/>
    <w:rsid w:val="00BE6795"/>
    <w:rsid w:val="00BE6959"/>
    <w:rsid w:val="00BE7350"/>
    <w:rsid w:val="00BE769D"/>
    <w:rsid w:val="00BE7818"/>
    <w:rsid w:val="00BE7E0A"/>
    <w:rsid w:val="00BF03D0"/>
    <w:rsid w:val="00BF144B"/>
    <w:rsid w:val="00BF153C"/>
    <w:rsid w:val="00BF1757"/>
    <w:rsid w:val="00BF2879"/>
    <w:rsid w:val="00BF4905"/>
    <w:rsid w:val="00BF4E0F"/>
    <w:rsid w:val="00BF51EC"/>
    <w:rsid w:val="00BF550C"/>
    <w:rsid w:val="00BF588B"/>
    <w:rsid w:val="00BF6DDB"/>
    <w:rsid w:val="00BF7358"/>
    <w:rsid w:val="00C001DC"/>
    <w:rsid w:val="00C00499"/>
    <w:rsid w:val="00C037E7"/>
    <w:rsid w:val="00C0388F"/>
    <w:rsid w:val="00C041AE"/>
    <w:rsid w:val="00C041BB"/>
    <w:rsid w:val="00C04BC6"/>
    <w:rsid w:val="00C04FF2"/>
    <w:rsid w:val="00C055CE"/>
    <w:rsid w:val="00C069AD"/>
    <w:rsid w:val="00C06CF8"/>
    <w:rsid w:val="00C11285"/>
    <w:rsid w:val="00C13628"/>
    <w:rsid w:val="00C14389"/>
    <w:rsid w:val="00C15A43"/>
    <w:rsid w:val="00C16D98"/>
    <w:rsid w:val="00C1731F"/>
    <w:rsid w:val="00C201C5"/>
    <w:rsid w:val="00C208EC"/>
    <w:rsid w:val="00C20D1B"/>
    <w:rsid w:val="00C2140F"/>
    <w:rsid w:val="00C21B57"/>
    <w:rsid w:val="00C22BDD"/>
    <w:rsid w:val="00C233D1"/>
    <w:rsid w:val="00C23507"/>
    <w:rsid w:val="00C2536A"/>
    <w:rsid w:val="00C25471"/>
    <w:rsid w:val="00C269DA"/>
    <w:rsid w:val="00C26C64"/>
    <w:rsid w:val="00C27602"/>
    <w:rsid w:val="00C27EDB"/>
    <w:rsid w:val="00C30739"/>
    <w:rsid w:val="00C30BAA"/>
    <w:rsid w:val="00C30F88"/>
    <w:rsid w:val="00C313D9"/>
    <w:rsid w:val="00C31688"/>
    <w:rsid w:val="00C31E25"/>
    <w:rsid w:val="00C31EA9"/>
    <w:rsid w:val="00C329D9"/>
    <w:rsid w:val="00C338AB"/>
    <w:rsid w:val="00C36430"/>
    <w:rsid w:val="00C36FBE"/>
    <w:rsid w:val="00C37B71"/>
    <w:rsid w:val="00C42EEC"/>
    <w:rsid w:val="00C43D9A"/>
    <w:rsid w:val="00C4445C"/>
    <w:rsid w:val="00C445BF"/>
    <w:rsid w:val="00C4493F"/>
    <w:rsid w:val="00C44C8F"/>
    <w:rsid w:val="00C44CAB"/>
    <w:rsid w:val="00C45051"/>
    <w:rsid w:val="00C452AC"/>
    <w:rsid w:val="00C46EA3"/>
    <w:rsid w:val="00C47CD4"/>
    <w:rsid w:val="00C502D6"/>
    <w:rsid w:val="00C5122D"/>
    <w:rsid w:val="00C51A1B"/>
    <w:rsid w:val="00C5424E"/>
    <w:rsid w:val="00C5473B"/>
    <w:rsid w:val="00C55429"/>
    <w:rsid w:val="00C55B18"/>
    <w:rsid w:val="00C56B6C"/>
    <w:rsid w:val="00C60751"/>
    <w:rsid w:val="00C60DD2"/>
    <w:rsid w:val="00C61BAD"/>
    <w:rsid w:val="00C626FC"/>
    <w:rsid w:val="00C62722"/>
    <w:rsid w:val="00C62D7A"/>
    <w:rsid w:val="00C63B64"/>
    <w:rsid w:val="00C64917"/>
    <w:rsid w:val="00C6600C"/>
    <w:rsid w:val="00C661BF"/>
    <w:rsid w:val="00C67153"/>
    <w:rsid w:val="00C6764E"/>
    <w:rsid w:val="00C7066C"/>
    <w:rsid w:val="00C716A4"/>
    <w:rsid w:val="00C71F87"/>
    <w:rsid w:val="00C7233B"/>
    <w:rsid w:val="00C72510"/>
    <w:rsid w:val="00C72762"/>
    <w:rsid w:val="00C72EAC"/>
    <w:rsid w:val="00C73320"/>
    <w:rsid w:val="00C76642"/>
    <w:rsid w:val="00C80070"/>
    <w:rsid w:val="00C80BFB"/>
    <w:rsid w:val="00C8152E"/>
    <w:rsid w:val="00C834F7"/>
    <w:rsid w:val="00C83C79"/>
    <w:rsid w:val="00C8488B"/>
    <w:rsid w:val="00C85EC1"/>
    <w:rsid w:val="00C85F0D"/>
    <w:rsid w:val="00C85F91"/>
    <w:rsid w:val="00C91CEC"/>
    <w:rsid w:val="00C93449"/>
    <w:rsid w:val="00C9465D"/>
    <w:rsid w:val="00C96089"/>
    <w:rsid w:val="00C97111"/>
    <w:rsid w:val="00CA0434"/>
    <w:rsid w:val="00CA0DED"/>
    <w:rsid w:val="00CA240A"/>
    <w:rsid w:val="00CA3233"/>
    <w:rsid w:val="00CA33C0"/>
    <w:rsid w:val="00CA38B7"/>
    <w:rsid w:val="00CA6E20"/>
    <w:rsid w:val="00CA7517"/>
    <w:rsid w:val="00CA76BC"/>
    <w:rsid w:val="00CB07AF"/>
    <w:rsid w:val="00CB096E"/>
    <w:rsid w:val="00CB0B6E"/>
    <w:rsid w:val="00CB2926"/>
    <w:rsid w:val="00CB2A5F"/>
    <w:rsid w:val="00CB3720"/>
    <w:rsid w:val="00CB3A98"/>
    <w:rsid w:val="00CB5C31"/>
    <w:rsid w:val="00CB5DA1"/>
    <w:rsid w:val="00CB6093"/>
    <w:rsid w:val="00CB6F7E"/>
    <w:rsid w:val="00CB706D"/>
    <w:rsid w:val="00CB77A1"/>
    <w:rsid w:val="00CC12BE"/>
    <w:rsid w:val="00CC2A3A"/>
    <w:rsid w:val="00CC34CD"/>
    <w:rsid w:val="00CC4968"/>
    <w:rsid w:val="00CC4F8D"/>
    <w:rsid w:val="00CC60DE"/>
    <w:rsid w:val="00CC6522"/>
    <w:rsid w:val="00CC6572"/>
    <w:rsid w:val="00CC6909"/>
    <w:rsid w:val="00CC6E22"/>
    <w:rsid w:val="00CC6E99"/>
    <w:rsid w:val="00CD0833"/>
    <w:rsid w:val="00CD1D0B"/>
    <w:rsid w:val="00CD2767"/>
    <w:rsid w:val="00CD54EA"/>
    <w:rsid w:val="00CD6AD2"/>
    <w:rsid w:val="00CE1051"/>
    <w:rsid w:val="00CE113C"/>
    <w:rsid w:val="00CE128F"/>
    <w:rsid w:val="00CE29E9"/>
    <w:rsid w:val="00CE4410"/>
    <w:rsid w:val="00CE48E6"/>
    <w:rsid w:val="00CE49A2"/>
    <w:rsid w:val="00CE5308"/>
    <w:rsid w:val="00CE54E0"/>
    <w:rsid w:val="00CE6749"/>
    <w:rsid w:val="00CE6E66"/>
    <w:rsid w:val="00CE6EED"/>
    <w:rsid w:val="00CF1A90"/>
    <w:rsid w:val="00CF267B"/>
    <w:rsid w:val="00CF2BCB"/>
    <w:rsid w:val="00CF41DD"/>
    <w:rsid w:val="00CF440F"/>
    <w:rsid w:val="00CF4977"/>
    <w:rsid w:val="00CF5690"/>
    <w:rsid w:val="00CF5D7B"/>
    <w:rsid w:val="00CF63CB"/>
    <w:rsid w:val="00CF6D89"/>
    <w:rsid w:val="00CF7DE3"/>
    <w:rsid w:val="00D0031E"/>
    <w:rsid w:val="00D0245F"/>
    <w:rsid w:val="00D03F2D"/>
    <w:rsid w:val="00D046F8"/>
    <w:rsid w:val="00D04FB8"/>
    <w:rsid w:val="00D050AB"/>
    <w:rsid w:val="00D05BEB"/>
    <w:rsid w:val="00D108D9"/>
    <w:rsid w:val="00D10DF8"/>
    <w:rsid w:val="00D1103D"/>
    <w:rsid w:val="00D1106D"/>
    <w:rsid w:val="00D115FF"/>
    <w:rsid w:val="00D11A38"/>
    <w:rsid w:val="00D12530"/>
    <w:rsid w:val="00D127C8"/>
    <w:rsid w:val="00D12F25"/>
    <w:rsid w:val="00D135F1"/>
    <w:rsid w:val="00D14E89"/>
    <w:rsid w:val="00D15FA3"/>
    <w:rsid w:val="00D1659E"/>
    <w:rsid w:val="00D20CBF"/>
    <w:rsid w:val="00D229BF"/>
    <w:rsid w:val="00D230FD"/>
    <w:rsid w:val="00D231DD"/>
    <w:rsid w:val="00D2330E"/>
    <w:rsid w:val="00D23B8D"/>
    <w:rsid w:val="00D240F5"/>
    <w:rsid w:val="00D258C7"/>
    <w:rsid w:val="00D2634C"/>
    <w:rsid w:val="00D26372"/>
    <w:rsid w:val="00D30336"/>
    <w:rsid w:val="00D30574"/>
    <w:rsid w:val="00D30BF4"/>
    <w:rsid w:val="00D31C0A"/>
    <w:rsid w:val="00D32C0C"/>
    <w:rsid w:val="00D32FC3"/>
    <w:rsid w:val="00D34109"/>
    <w:rsid w:val="00D3477C"/>
    <w:rsid w:val="00D347B1"/>
    <w:rsid w:val="00D35773"/>
    <w:rsid w:val="00D362EB"/>
    <w:rsid w:val="00D36CAF"/>
    <w:rsid w:val="00D36D84"/>
    <w:rsid w:val="00D421BC"/>
    <w:rsid w:val="00D425D3"/>
    <w:rsid w:val="00D440C3"/>
    <w:rsid w:val="00D44139"/>
    <w:rsid w:val="00D46B8F"/>
    <w:rsid w:val="00D46F41"/>
    <w:rsid w:val="00D46FA7"/>
    <w:rsid w:val="00D50528"/>
    <w:rsid w:val="00D50712"/>
    <w:rsid w:val="00D50802"/>
    <w:rsid w:val="00D514CE"/>
    <w:rsid w:val="00D5367D"/>
    <w:rsid w:val="00D54814"/>
    <w:rsid w:val="00D54D63"/>
    <w:rsid w:val="00D550BF"/>
    <w:rsid w:val="00D55865"/>
    <w:rsid w:val="00D56495"/>
    <w:rsid w:val="00D6187C"/>
    <w:rsid w:val="00D629E1"/>
    <w:rsid w:val="00D6408B"/>
    <w:rsid w:val="00D64B83"/>
    <w:rsid w:val="00D65294"/>
    <w:rsid w:val="00D6676D"/>
    <w:rsid w:val="00D670E1"/>
    <w:rsid w:val="00D6752F"/>
    <w:rsid w:val="00D67B41"/>
    <w:rsid w:val="00D7012A"/>
    <w:rsid w:val="00D70D0E"/>
    <w:rsid w:val="00D72148"/>
    <w:rsid w:val="00D73178"/>
    <w:rsid w:val="00D731CB"/>
    <w:rsid w:val="00D73D87"/>
    <w:rsid w:val="00D74E05"/>
    <w:rsid w:val="00D770F5"/>
    <w:rsid w:val="00D779FF"/>
    <w:rsid w:val="00D81C3E"/>
    <w:rsid w:val="00D83B07"/>
    <w:rsid w:val="00D84493"/>
    <w:rsid w:val="00D84DEF"/>
    <w:rsid w:val="00D8544D"/>
    <w:rsid w:val="00D86A52"/>
    <w:rsid w:val="00D86E4E"/>
    <w:rsid w:val="00D93451"/>
    <w:rsid w:val="00D93533"/>
    <w:rsid w:val="00D947B2"/>
    <w:rsid w:val="00D97569"/>
    <w:rsid w:val="00D97B23"/>
    <w:rsid w:val="00D97F4F"/>
    <w:rsid w:val="00DA0350"/>
    <w:rsid w:val="00DA04B3"/>
    <w:rsid w:val="00DA1293"/>
    <w:rsid w:val="00DA12B8"/>
    <w:rsid w:val="00DA26FC"/>
    <w:rsid w:val="00DA7359"/>
    <w:rsid w:val="00DA7383"/>
    <w:rsid w:val="00DA7FF4"/>
    <w:rsid w:val="00DB1B81"/>
    <w:rsid w:val="00DB29AC"/>
    <w:rsid w:val="00DB2D57"/>
    <w:rsid w:val="00DB3255"/>
    <w:rsid w:val="00DB402E"/>
    <w:rsid w:val="00DB4776"/>
    <w:rsid w:val="00DB4B8A"/>
    <w:rsid w:val="00DB4ED1"/>
    <w:rsid w:val="00DB5BFC"/>
    <w:rsid w:val="00DB68EF"/>
    <w:rsid w:val="00DB7691"/>
    <w:rsid w:val="00DC0993"/>
    <w:rsid w:val="00DC0B0E"/>
    <w:rsid w:val="00DC0DD6"/>
    <w:rsid w:val="00DC1772"/>
    <w:rsid w:val="00DC6748"/>
    <w:rsid w:val="00DC6B77"/>
    <w:rsid w:val="00DC745A"/>
    <w:rsid w:val="00DD092A"/>
    <w:rsid w:val="00DD09A0"/>
    <w:rsid w:val="00DD0D19"/>
    <w:rsid w:val="00DD1431"/>
    <w:rsid w:val="00DD174D"/>
    <w:rsid w:val="00DD2439"/>
    <w:rsid w:val="00DD33D5"/>
    <w:rsid w:val="00DD3C42"/>
    <w:rsid w:val="00DD4F0D"/>
    <w:rsid w:val="00DD518A"/>
    <w:rsid w:val="00DD5F78"/>
    <w:rsid w:val="00DD7993"/>
    <w:rsid w:val="00DE037C"/>
    <w:rsid w:val="00DE15ED"/>
    <w:rsid w:val="00DE175F"/>
    <w:rsid w:val="00DE533F"/>
    <w:rsid w:val="00DE57BB"/>
    <w:rsid w:val="00DE7614"/>
    <w:rsid w:val="00DF0010"/>
    <w:rsid w:val="00DF042B"/>
    <w:rsid w:val="00DF1A11"/>
    <w:rsid w:val="00DF26ED"/>
    <w:rsid w:val="00DF3BE4"/>
    <w:rsid w:val="00DF3FA5"/>
    <w:rsid w:val="00DF4E93"/>
    <w:rsid w:val="00DF5BB7"/>
    <w:rsid w:val="00DF6023"/>
    <w:rsid w:val="00DF692B"/>
    <w:rsid w:val="00DF7F40"/>
    <w:rsid w:val="00E004BD"/>
    <w:rsid w:val="00E013BA"/>
    <w:rsid w:val="00E03905"/>
    <w:rsid w:val="00E042D3"/>
    <w:rsid w:val="00E056BC"/>
    <w:rsid w:val="00E06929"/>
    <w:rsid w:val="00E06CC2"/>
    <w:rsid w:val="00E07C6C"/>
    <w:rsid w:val="00E07C6F"/>
    <w:rsid w:val="00E07DC5"/>
    <w:rsid w:val="00E10181"/>
    <w:rsid w:val="00E1201F"/>
    <w:rsid w:val="00E12B94"/>
    <w:rsid w:val="00E12C22"/>
    <w:rsid w:val="00E13250"/>
    <w:rsid w:val="00E1349C"/>
    <w:rsid w:val="00E1388E"/>
    <w:rsid w:val="00E142CA"/>
    <w:rsid w:val="00E148A2"/>
    <w:rsid w:val="00E14D01"/>
    <w:rsid w:val="00E1520C"/>
    <w:rsid w:val="00E15DBE"/>
    <w:rsid w:val="00E16C8B"/>
    <w:rsid w:val="00E1725E"/>
    <w:rsid w:val="00E17C3B"/>
    <w:rsid w:val="00E2107C"/>
    <w:rsid w:val="00E21730"/>
    <w:rsid w:val="00E23835"/>
    <w:rsid w:val="00E24F87"/>
    <w:rsid w:val="00E25677"/>
    <w:rsid w:val="00E2580F"/>
    <w:rsid w:val="00E30B1B"/>
    <w:rsid w:val="00E30D5E"/>
    <w:rsid w:val="00E323F4"/>
    <w:rsid w:val="00E3267C"/>
    <w:rsid w:val="00E33EAF"/>
    <w:rsid w:val="00E33F0C"/>
    <w:rsid w:val="00E34761"/>
    <w:rsid w:val="00E347F2"/>
    <w:rsid w:val="00E34AAD"/>
    <w:rsid w:val="00E35339"/>
    <w:rsid w:val="00E35CC2"/>
    <w:rsid w:val="00E37184"/>
    <w:rsid w:val="00E373BE"/>
    <w:rsid w:val="00E4065A"/>
    <w:rsid w:val="00E40D45"/>
    <w:rsid w:val="00E41C9C"/>
    <w:rsid w:val="00E41DF9"/>
    <w:rsid w:val="00E42A09"/>
    <w:rsid w:val="00E43597"/>
    <w:rsid w:val="00E4421E"/>
    <w:rsid w:val="00E45882"/>
    <w:rsid w:val="00E47D41"/>
    <w:rsid w:val="00E5001B"/>
    <w:rsid w:val="00E52C32"/>
    <w:rsid w:val="00E5303A"/>
    <w:rsid w:val="00E5366A"/>
    <w:rsid w:val="00E53D3A"/>
    <w:rsid w:val="00E53E09"/>
    <w:rsid w:val="00E545FA"/>
    <w:rsid w:val="00E552B2"/>
    <w:rsid w:val="00E56DCD"/>
    <w:rsid w:val="00E6050D"/>
    <w:rsid w:val="00E61721"/>
    <w:rsid w:val="00E6181B"/>
    <w:rsid w:val="00E62776"/>
    <w:rsid w:val="00E6364E"/>
    <w:rsid w:val="00E63D14"/>
    <w:rsid w:val="00E6524F"/>
    <w:rsid w:val="00E653D0"/>
    <w:rsid w:val="00E65A24"/>
    <w:rsid w:val="00E703AD"/>
    <w:rsid w:val="00E7112C"/>
    <w:rsid w:val="00E73655"/>
    <w:rsid w:val="00E73E19"/>
    <w:rsid w:val="00E745DB"/>
    <w:rsid w:val="00E74F12"/>
    <w:rsid w:val="00E75872"/>
    <w:rsid w:val="00E762A1"/>
    <w:rsid w:val="00E7641C"/>
    <w:rsid w:val="00E76A7C"/>
    <w:rsid w:val="00E80906"/>
    <w:rsid w:val="00E81CD0"/>
    <w:rsid w:val="00E82C2D"/>
    <w:rsid w:val="00E83CF9"/>
    <w:rsid w:val="00E85095"/>
    <w:rsid w:val="00E8663B"/>
    <w:rsid w:val="00E8777B"/>
    <w:rsid w:val="00E87FC9"/>
    <w:rsid w:val="00E91153"/>
    <w:rsid w:val="00E9313B"/>
    <w:rsid w:val="00E939B6"/>
    <w:rsid w:val="00E95193"/>
    <w:rsid w:val="00E9542F"/>
    <w:rsid w:val="00E96AB6"/>
    <w:rsid w:val="00E97FA7"/>
    <w:rsid w:val="00EA009C"/>
    <w:rsid w:val="00EA0B8A"/>
    <w:rsid w:val="00EA0E2A"/>
    <w:rsid w:val="00EA17B9"/>
    <w:rsid w:val="00EA1F8C"/>
    <w:rsid w:val="00EA2335"/>
    <w:rsid w:val="00EA2DF9"/>
    <w:rsid w:val="00EA489A"/>
    <w:rsid w:val="00EA7D86"/>
    <w:rsid w:val="00EB1574"/>
    <w:rsid w:val="00EB221D"/>
    <w:rsid w:val="00EB2751"/>
    <w:rsid w:val="00EB2B56"/>
    <w:rsid w:val="00EB2CAE"/>
    <w:rsid w:val="00EB3047"/>
    <w:rsid w:val="00EB3110"/>
    <w:rsid w:val="00EB3E9C"/>
    <w:rsid w:val="00EB4749"/>
    <w:rsid w:val="00EB4C3F"/>
    <w:rsid w:val="00EB5051"/>
    <w:rsid w:val="00EB5320"/>
    <w:rsid w:val="00EB584A"/>
    <w:rsid w:val="00EB5C1F"/>
    <w:rsid w:val="00EB64C5"/>
    <w:rsid w:val="00EB6E02"/>
    <w:rsid w:val="00EB712D"/>
    <w:rsid w:val="00EB7682"/>
    <w:rsid w:val="00EB7C60"/>
    <w:rsid w:val="00EC0270"/>
    <w:rsid w:val="00EC278F"/>
    <w:rsid w:val="00EC27BE"/>
    <w:rsid w:val="00EC382C"/>
    <w:rsid w:val="00EC4AE9"/>
    <w:rsid w:val="00EC5150"/>
    <w:rsid w:val="00EC5478"/>
    <w:rsid w:val="00EC5A91"/>
    <w:rsid w:val="00EC6050"/>
    <w:rsid w:val="00EC696F"/>
    <w:rsid w:val="00EC6C10"/>
    <w:rsid w:val="00ED0282"/>
    <w:rsid w:val="00ED10FF"/>
    <w:rsid w:val="00ED193D"/>
    <w:rsid w:val="00ED4766"/>
    <w:rsid w:val="00ED4A6C"/>
    <w:rsid w:val="00ED76A8"/>
    <w:rsid w:val="00ED7D19"/>
    <w:rsid w:val="00ED7E4B"/>
    <w:rsid w:val="00EE148E"/>
    <w:rsid w:val="00EE2C60"/>
    <w:rsid w:val="00EE3D4D"/>
    <w:rsid w:val="00EE63FD"/>
    <w:rsid w:val="00EE6610"/>
    <w:rsid w:val="00EE7AEC"/>
    <w:rsid w:val="00EE7CA4"/>
    <w:rsid w:val="00EE7F1E"/>
    <w:rsid w:val="00EF1299"/>
    <w:rsid w:val="00EF1A50"/>
    <w:rsid w:val="00EF1FAA"/>
    <w:rsid w:val="00EF237F"/>
    <w:rsid w:val="00EF2A60"/>
    <w:rsid w:val="00EF2CAD"/>
    <w:rsid w:val="00EF3113"/>
    <w:rsid w:val="00EF32F8"/>
    <w:rsid w:val="00EF37F9"/>
    <w:rsid w:val="00EF3E41"/>
    <w:rsid w:val="00EF47FB"/>
    <w:rsid w:val="00EF50E3"/>
    <w:rsid w:val="00EF5434"/>
    <w:rsid w:val="00EF5E84"/>
    <w:rsid w:val="00EF7C19"/>
    <w:rsid w:val="00F0058E"/>
    <w:rsid w:val="00F00673"/>
    <w:rsid w:val="00F032C2"/>
    <w:rsid w:val="00F055CA"/>
    <w:rsid w:val="00F06186"/>
    <w:rsid w:val="00F0658F"/>
    <w:rsid w:val="00F07C06"/>
    <w:rsid w:val="00F10D80"/>
    <w:rsid w:val="00F10DBB"/>
    <w:rsid w:val="00F10DD1"/>
    <w:rsid w:val="00F10DD6"/>
    <w:rsid w:val="00F1167E"/>
    <w:rsid w:val="00F11B4B"/>
    <w:rsid w:val="00F126A8"/>
    <w:rsid w:val="00F13198"/>
    <w:rsid w:val="00F13E95"/>
    <w:rsid w:val="00F148A9"/>
    <w:rsid w:val="00F14FF3"/>
    <w:rsid w:val="00F152B7"/>
    <w:rsid w:val="00F1645F"/>
    <w:rsid w:val="00F167B6"/>
    <w:rsid w:val="00F16D31"/>
    <w:rsid w:val="00F2079C"/>
    <w:rsid w:val="00F20F66"/>
    <w:rsid w:val="00F20FF6"/>
    <w:rsid w:val="00F2158D"/>
    <w:rsid w:val="00F2172E"/>
    <w:rsid w:val="00F2303C"/>
    <w:rsid w:val="00F2331F"/>
    <w:rsid w:val="00F23455"/>
    <w:rsid w:val="00F23789"/>
    <w:rsid w:val="00F249A8"/>
    <w:rsid w:val="00F2601E"/>
    <w:rsid w:val="00F26DEA"/>
    <w:rsid w:val="00F277C8"/>
    <w:rsid w:val="00F27F25"/>
    <w:rsid w:val="00F27F75"/>
    <w:rsid w:val="00F305F4"/>
    <w:rsid w:val="00F3094E"/>
    <w:rsid w:val="00F3133E"/>
    <w:rsid w:val="00F31DD4"/>
    <w:rsid w:val="00F34187"/>
    <w:rsid w:val="00F34622"/>
    <w:rsid w:val="00F34ED8"/>
    <w:rsid w:val="00F35A0D"/>
    <w:rsid w:val="00F36333"/>
    <w:rsid w:val="00F36A4F"/>
    <w:rsid w:val="00F37476"/>
    <w:rsid w:val="00F40717"/>
    <w:rsid w:val="00F40EE1"/>
    <w:rsid w:val="00F41369"/>
    <w:rsid w:val="00F42786"/>
    <w:rsid w:val="00F430F3"/>
    <w:rsid w:val="00F4493D"/>
    <w:rsid w:val="00F44F81"/>
    <w:rsid w:val="00F45604"/>
    <w:rsid w:val="00F45FFF"/>
    <w:rsid w:val="00F46623"/>
    <w:rsid w:val="00F46FBB"/>
    <w:rsid w:val="00F47A88"/>
    <w:rsid w:val="00F5040A"/>
    <w:rsid w:val="00F50955"/>
    <w:rsid w:val="00F50A85"/>
    <w:rsid w:val="00F520A9"/>
    <w:rsid w:val="00F530F1"/>
    <w:rsid w:val="00F5370B"/>
    <w:rsid w:val="00F537AF"/>
    <w:rsid w:val="00F53835"/>
    <w:rsid w:val="00F553DB"/>
    <w:rsid w:val="00F558DA"/>
    <w:rsid w:val="00F57A27"/>
    <w:rsid w:val="00F6003C"/>
    <w:rsid w:val="00F606C0"/>
    <w:rsid w:val="00F60994"/>
    <w:rsid w:val="00F60FB6"/>
    <w:rsid w:val="00F61BAB"/>
    <w:rsid w:val="00F62734"/>
    <w:rsid w:val="00F62C08"/>
    <w:rsid w:val="00F63038"/>
    <w:rsid w:val="00F642CD"/>
    <w:rsid w:val="00F65CC5"/>
    <w:rsid w:val="00F660D5"/>
    <w:rsid w:val="00F67AC0"/>
    <w:rsid w:val="00F70264"/>
    <w:rsid w:val="00F70B27"/>
    <w:rsid w:val="00F715EC"/>
    <w:rsid w:val="00F716C9"/>
    <w:rsid w:val="00F723B5"/>
    <w:rsid w:val="00F72783"/>
    <w:rsid w:val="00F7354E"/>
    <w:rsid w:val="00F7490B"/>
    <w:rsid w:val="00F76816"/>
    <w:rsid w:val="00F777C7"/>
    <w:rsid w:val="00F8086F"/>
    <w:rsid w:val="00F80D27"/>
    <w:rsid w:val="00F823EF"/>
    <w:rsid w:val="00F836B7"/>
    <w:rsid w:val="00F84280"/>
    <w:rsid w:val="00F8464B"/>
    <w:rsid w:val="00F84904"/>
    <w:rsid w:val="00F85849"/>
    <w:rsid w:val="00F87337"/>
    <w:rsid w:val="00F87380"/>
    <w:rsid w:val="00F874B5"/>
    <w:rsid w:val="00F90351"/>
    <w:rsid w:val="00F903B6"/>
    <w:rsid w:val="00F90A77"/>
    <w:rsid w:val="00F91A34"/>
    <w:rsid w:val="00F9255D"/>
    <w:rsid w:val="00F92711"/>
    <w:rsid w:val="00F93787"/>
    <w:rsid w:val="00F9584F"/>
    <w:rsid w:val="00F96763"/>
    <w:rsid w:val="00F978A0"/>
    <w:rsid w:val="00FA062B"/>
    <w:rsid w:val="00FA1C93"/>
    <w:rsid w:val="00FA1DF3"/>
    <w:rsid w:val="00FA2278"/>
    <w:rsid w:val="00FA3B5E"/>
    <w:rsid w:val="00FA4FB5"/>
    <w:rsid w:val="00FA6888"/>
    <w:rsid w:val="00FA72AE"/>
    <w:rsid w:val="00FA757B"/>
    <w:rsid w:val="00FB0742"/>
    <w:rsid w:val="00FB0A23"/>
    <w:rsid w:val="00FB0C2D"/>
    <w:rsid w:val="00FB1017"/>
    <w:rsid w:val="00FB1792"/>
    <w:rsid w:val="00FB19D7"/>
    <w:rsid w:val="00FB2A88"/>
    <w:rsid w:val="00FB366D"/>
    <w:rsid w:val="00FB4B91"/>
    <w:rsid w:val="00FB557C"/>
    <w:rsid w:val="00FB61F7"/>
    <w:rsid w:val="00FB7A1F"/>
    <w:rsid w:val="00FB7C4B"/>
    <w:rsid w:val="00FB7FC6"/>
    <w:rsid w:val="00FC20C3"/>
    <w:rsid w:val="00FC244C"/>
    <w:rsid w:val="00FC3465"/>
    <w:rsid w:val="00FC5223"/>
    <w:rsid w:val="00FC5ED6"/>
    <w:rsid w:val="00FC6F2B"/>
    <w:rsid w:val="00FC7B8D"/>
    <w:rsid w:val="00FD0407"/>
    <w:rsid w:val="00FD1392"/>
    <w:rsid w:val="00FD150F"/>
    <w:rsid w:val="00FD174D"/>
    <w:rsid w:val="00FD22E8"/>
    <w:rsid w:val="00FD286C"/>
    <w:rsid w:val="00FD5087"/>
    <w:rsid w:val="00FD54A2"/>
    <w:rsid w:val="00FD5665"/>
    <w:rsid w:val="00FD578F"/>
    <w:rsid w:val="00FD5AE3"/>
    <w:rsid w:val="00FD601C"/>
    <w:rsid w:val="00FD6445"/>
    <w:rsid w:val="00FD6F99"/>
    <w:rsid w:val="00FE1862"/>
    <w:rsid w:val="00FE18F3"/>
    <w:rsid w:val="00FE274A"/>
    <w:rsid w:val="00FE2FFC"/>
    <w:rsid w:val="00FE30C8"/>
    <w:rsid w:val="00FE45D4"/>
    <w:rsid w:val="00FE4C67"/>
    <w:rsid w:val="00FE5891"/>
    <w:rsid w:val="00FE5C3F"/>
    <w:rsid w:val="00FF14EE"/>
    <w:rsid w:val="00FF1694"/>
    <w:rsid w:val="00FF1D14"/>
    <w:rsid w:val="00FF25BB"/>
    <w:rsid w:val="00FF3603"/>
    <w:rsid w:val="00FF3C1F"/>
    <w:rsid w:val="00FF4904"/>
    <w:rsid w:val="00FF4BDC"/>
    <w:rsid w:val="00FF5348"/>
    <w:rsid w:val="00FF5EF3"/>
    <w:rsid w:val="00FF7786"/>
    <w:rsid w:val="011E7DE4"/>
    <w:rsid w:val="01B322A4"/>
    <w:rsid w:val="01F27A97"/>
    <w:rsid w:val="01F3B10D"/>
    <w:rsid w:val="0220AC60"/>
    <w:rsid w:val="02494DA9"/>
    <w:rsid w:val="02714445"/>
    <w:rsid w:val="029CA059"/>
    <w:rsid w:val="02ADC37E"/>
    <w:rsid w:val="02D56F83"/>
    <w:rsid w:val="03DE1D89"/>
    <w:rsid w:val="03E662F2"/>
    <w:rsid w:val="046F4703"/>
    <w:rsid w:val="0512F093"/>
    <w:rsid w:val="05538AE5"/>
    <w:rsid w:val="056E0211"/>
    <w:rsid w:val="05E677B7"/>
    <w:rsid w:val="0615784A"/>
    <w:rsid w:val="0627014D"/>
    <w:rsid w:val="06683996"/>
    <w:rsid w:val="069F3A62"/>
    <w:rsid w:val="06C72230"/>
    <w:rsid w:val="075532A9"/>
    <w:rsid w:val="0777CBDE"/>
    <w:rsid w:val="07A6E7C5"/>
    <w:rsid w:val="07BDC45F"/>
    <w:rsid w:val="07C89AEE"/>
    <w:rsid w:val="07E5A2D4"/>
    <w:rsid w:val="080409F7"/>
    <w:rsid w:val="081FDA2F"/>
    <w:rsid w:val="0833CE84"/>
    <w:rsid w:val="084E594E"/>
    <w:rsid w:val="0855E379"/>
    <w:rsid w:val="087D1259"/>
    <w:rsid w:val="0881825B"/>
    <w:rsid w:val="089E73F6"/>
    <w:rsid w:val="08B1446E"/>
    <w:rsid w:val="08B52CF9"/>
    <w:rsid w:val="08E8880B"/>
    <w:rsid w:val="092464CA"/>
    <w:rsid w:val="092D2CB1"/>
    <w:rsid w:val="0962113E"/>
    <w:rsid w:val="0970E703"/>
    <w:rsid w:val="0972C20A"/>
    <w:rsid w:val="09DF0306"/>
    <w:rsid w:val="0A1502F4"/>
    <w:rsid w:val="0A19B6CA"/>
    <w:rsid w:val="0AC79E08"/>
    <w:rsid w:val="0B131885"/>
    <w:rsid w:val="0B658ACD"/>
    <w:rsid w:val="0B816AF6"/>
    <w:rsid w:val="0C486DD0"/>
    <w:rsid w:val="0D45DD32"/>
    <w:rsid w:val="0D6709D2"/>
    <w:rsid w:val="0D9E5A18"/>
    <w:rsid w:val="0DAE2F93"/>
    <w:rsid w:val="0E334668"/>
    <w:rsid w:val="0E822AB2"/>
    <w:rsid w:val="0E8B0E17"/>
    <w:rsid w:val="0EA7B9DF"/>
    <w:rsid w:val="0ECAA543"/>
    <w:rsid w:val="0F93A64E"/>
    <w:rsid w:val="0FF5679A"/>
    <w:rsid w:val="0FFFBEB1"/>
    <w:rsid w:val="108C9440"/>
    <w:rsid w:val="112F76AF"/>
    <w:rsid w:val="113981F1"/>
    <w:rsid w:val="11A155A5"/>
    <w:rsid w:val="11D1D4C9"/>
    <w:rsid w:val="11D31A22"/>
    <w:rsid w:val="120B47E0"/>
    <w:rsid w:val="120F3C44"/>
    <w:rsid w:val="12686A14"/>
    <w:rsid w:val="13733E52"/>
    <w:rsid w:val="13F73357"/>
    <w:rsid w:val="14102C88"/>
    <w:rsid w:val="146C4270"/>
    <w:rsid w:val="14724250"/>
    <w:rsid w:val="14A7146A"/>
    <w:rsid w:val="152465E3"/>
    <w:rsid w:val="15303AC2"/>
    <w:rsid w:val="153DFD37"/>
    <w:rsid w:val="15C50481"/>
    <w:rsid w:val="16934031"/>
    <w:rsid w:val="17A49C4C"/>
    <w:rsid w:val="17C7CB2A"/>
    <w:rsid w:val="182106C6"/>
    <w:rsid w:val="18361D07"/>
    <w:rsid w:val="184AF5B3"/>
    <w:rsid w:val="1853DE26"/>
    <w:rsid w:val="18639FFD"/>
    <w:rsid w:val="1897A625"/>
    <w:rsid w:val="18A4FD48"/>
    <w:rsid w:val="190938B6"/>
    <w:rsid w:val="1924936B"/>
    <w:rsid w:val="194B5AC3"/>
    <w:rsid w:val="1A237537"/>
    <w:rsid w:val="1A337686"/>
    <w:rsid w:val="1AE1DCE8"/>
    <w:rsid w:val="1B0563EA"/>
    <w:rsid w:val="1B3D4C78"/>
    <w:rsid w:val="1B8B99BC"/>
    <w:rsid w:val="1B8C6B34"/>
    <w:rsid w:val="1C30F8A0"/>
    <w:rsid w:val="1C7A6258"/>
    <w:rsid w:val="1CC06D6E"/>
    <w:rsid w:val="1CF05FAD"/>
    <w:rsid w:val="1D3C5DF6"/>
    <w:rsid w:val="1D46D3E7"/>
    <w:rsid w:val="1D5B15F9"/>
    <w:rsid w:val="1E08B156"/>
    <w:rsid w:val="1E0DF9B7"/>
    <w:rsid w:val="1E272214"/>
    <w:rsid w:val="1E4AECB4"/>
    <w:rsid w:val="1E60BB77"/>
    <w:rsid w:val="1EF6E65A"/>
    <w:rsid w:val="1F745466"/>
    <w:rsid w:val="1F9B9DEA"/>
    <w:rsid w:val="1F9C762D"/>
    <w:rsid w:val="1FB1B79E"/>
    <w:rsid w:val="1FB58B74"/>
    <w:rsid w:val="1FEF6412"/>
    <w:rsid w:val="20045C14"/>
    <w:rsid w:val="201DFF1B"/>
    <w:rsid w:val="202267BC"/>
    <w:rsid w:val="20643B3A"/>
    <w:rsid w:val="2070CCF2"/>
    <w:rsid w:val="20C6FD15"/>
    <w:rsid w:val="21A06B59"/>
    <w:rsid w:val="220C9D53"/>
    <w:rsid w:val="222D4D94"/>
    <w:rsid w:val="224DA9BD"/>
    <w:rsid w:val="2270682A"/>
    <w:rsid w:val="22788774"/>
    <w:rsid w:val="230AE1B3"/>
    <w:rsid w:val="23142AD3"/>
    <w:rsid w:val="23342C9A"/>
    <w:rsid w:val="23B71B1E"/>
    <w:rsid w:val="241DC6BC"/>
    <w:rsid w:val="2475E90B"/>
    <w:rsid w:val="248E4797"/>
    <w:rsid w:val="2505C018"/>
    <w:rsid w:val="253A3F07"/>
    <w:rsid w:val="255B2F77"/>
    <w:rsid w:val="25885D7D"/>
    <w:rsid w:val="26EB4EAE"/>
    <w:rsid w:val="270FD200"/>
    <w:rsid w:val="2771AB76"/>
    <w:rsid w:val="27781965"/>
    <w:rsid w:val="27CCC222"/>
    <w:rsid w:val="27EACF7B"/>
    <w:rsid w:val="2885EA8E"/>
    <w:rsid w:val="28ACAD1B"/>
    <w:rsid w:val="28BCE441"/>
    <w:rsid w:val="29244E27"/>
    <w:rsid w:val="299F35C7"/>
    <w:rsid w:val="29E3DAD9"/>
    <w:rsid w:val="2A37E418"/>
    <w:rsid w:val="2A5B55AD"/>
    <w:rsid w:val="2A60145C"/>
    <w:rsid w:val="2B0301B8"/>
    <w:rsid w:val="2B2D6F75"/>
    <w:rsid w:val="2B3631C8"/>
    <w:rsid w:val="2B8B25DA"/>
    <w:rsid w:val="2B93FA94"/>
    <w:rsid w:val="2C46498F"/>
    <w:rsid w:val="2C8D0BEE"/>
    <w:rsid w:val="2CEBA99C"/>
    <w:rsid w:val="2D2DAD02"/>
    <w:rsid w:val="2D87BE30"/>
    <w:rsid w:val="2DC9B05A"/>
    <w:rsid w:val="2E26AC01"/>
    <w:rsid w:val="2E40A0C1"/>
    <w:rsid w:val="2E6A53CB"/>
    <w:rsid w:val="2ECBB54E"/>
    <w:rsid w:val="2EF22BFF"/>
    <w:rsid w:val="2F06D86E"/>
    <w:rsid w:val="2F245E95"/>
    <w:rsid w:val="2F35F525"/>
    <w:rsid w:val="2F51DDEB"/>
    <w:rsid w:val="2F9E1F3D"/>
    <w:rsid w:val="2FE15DE7"/>
    <w:rsid w:val="30D46F7F"/>
    <w:rsid w:val="30DF56C6"/>
    <w:rsid w:val="3183751B"/>
    <w:rsid w:val="31994593"/>
    <w:rsid w:val="319F8ADF"/>
    <w:rsid w:val="32544D7A"/>
    <w:rsid w:val="32E653CD"/>
    <w:rsid w:val="330B001D"/>
    <w:rsid w:val="33136ABC"/>
    <w:rsid w:val="33DAA2C5"/>
    <w:rsid w:val="340461C3"/>
    <w:rsid w:val="34A6D07E"/>
    <w:rsid w:val="34AFCD24"/>
    <w:rsid w:val="34DE9428"/>
    <w:rsid w:val="3569842F"/>
    <w:rsid w:val="36424D7D"/>
    <w:rsid w:val="36F6FDDE"/>
    <w:rsid w:val="38523640"/>
    <w:rsid w:val="38668421"/>
    <w:rsid w:val="387726CB"/>
    <w:rsid w:val="38A8B72F"/>
    <w:rsid w:val="38C4F99A"/>
    <w:rsid w:val="38F85C1D"/>
    <w:rsid w:val="3952DCBA"/>
    <w:rsid w:val="398D4D78"/>
    <w:rsid w:val="398E8700"/>
    <w:rsid w:val="3A942C7E"/>
    <w:rsid w:val="3AF1EAEF"/>
    <w:rsid w:val="3B716609"/>
    <w:rsid w:val="3B8E5026"/>
    <w:rsid w:val="3C380BFF"/>
    <w:rsid w:val="3C921D8F"/>
    <w:rsid w:val="3CA65E70"/>
    <w:rsid w:val="3CE46586"/>
    <w:rsid w:val="3D1AE653"/>
    <w:rsid w:val="3D9DF539"/>
    <w:rsid w:val="3DC6AD39"/>
    <w:rsid w:val="3DD3DC60"/>
    <w:rsid w:val="3E0DD0FC"/>
    <w:rsid w:val="3EB7013C"/>
    <w:rsid w:val="3F29800B"/>
    <w:rsid w:val="3F479BDA"/>
    <w:rsid w:val="4031AFC8"/>
    <w:rsid w:val="405E26D4"/>
    <w:rsid w:val="4089B3A3"/>
    <w:rsid w:val="41898C1C"/>
    <w:rsid w:val="4196F8BC"/>
    <w:rsid w:val="41BA47FF"/>
    <w:rsid w:val="42F690D1"/>
    <w:rsid w:val="430BEA52"/>
    <w:rsid w:val="431BF333"/>
    <w:rsid w:val="439EB336"/>
    <w:rsid w:val="43F7BB27"/>
    <w:rsid w:val="458C0AEB"/>
    <w:rsid w:val="45989C5D"/>
    <w:rsid w:val="4599927F"/>
    <w:rsid w:val="45B19F59"/>
    <w:rsid w:val="46640C42"/>
    <w:rsid w:val="46938078"/>
    <w:rsid w:val="4722DFEE"/>
    <w:rsid w:val="474C5F63"/>
    <w:rsid w:val="4772E4B1"/>
    <w:rsid w:val="47EA227B"/>
    <w:rsid w:val="483FF30A"/>
    <w:rsid w:val="48C3ABAD"/>
    <w:rsid w:val="49064B38"/>
    <w:rsid w:val="494CDB44"/>
    <w:rsid w:val="4960EC63"/>
    <w:rsid w:val="4984540E"/>
    <w:rsid w:val="49F0A0D9"/>
    <w:rsid w:val="4A536C36"/>
    <w:rsid w:val="4A5FB1C1"/>
    <w:rsid w:val="4A6B0001"/>
    <w:rsid w:val="4A6CC628"/>
    <w:rsid w:val="4AE3777B"/>
    <w:rsid w:val="4C53AF52"/>
    <w:rsid w:val="4C7A43DD"/>
    <w:rsid w:val="4C98DF13"/>
    <w:rsid w:val="4CC5810F"/>
    <w:rsid w:val="4CC845D2"/>
    <w:rsid w:val="4CE6081B"/>
    <w:rsid w:val="4D0F320F"/>
    <w:rsid w:val="4D2A6E59"/>
    <w:rsid w:val="4D8A8030"/>
    <w:rsid w:val="4D9D203A"/>
    <w:rsid w:val="4DC34209"/>
    <w:rsid w:val="4DD9B0B9"/>
    <w:rsid w:val="4E0DE36B"/>
    <w:rsid w:val="4EBBD404"/>
    <w:rsid w:val="4F32ED31"/>
    <w:rsid w:val="4FE113BB"/>
    <w:rsid w:val="5002B177"/>
    <w:rsid w:val="514B283F"/>
    <w:rsid w:val="515B1E80"/>
    <w:rsid w:val="51955ACA"/>
    <w:rsid w:val="5212D3B8"/>
    <w:rsid w:val="52586D58"/>
    <w:rsid w:val="525E7E1B"/>
    <w:rsid w:val="529CBE5D"/>
    <w:rsid w:val="52C72DC4"/>
    <w:rsid w:val="52DB6046"/>
    <w:rsid w:val="546437C2"/>
    <w:rsid w:val="54BE52A2"/>
    <w:rsid w:val="54E0F8EA"/>
    <w:rsid w:val="54E623E9"/>
    <w:rsid w:val="54F5A2E8"/>
    <w:rsid w:val="554008DB"/>
    <w:rsid w:val="55BCFA69"/>
    <w:rsid w:val="56278D2A"/>
    <w:rsid w:val="564765A8"/>
    <w:rsid w:val="5686949B"/>
    <w:rsid w:val="56C50B21"/>
    <w:rsid w:val="56D80802"/>
    <w:rsid w:val="56E64759"/>
    <w:rsid w:val="57031DA9"/>
    <w:rsid w:val="5749B93E"/>
    <w:rsid w:val="575C8EE0"/>
    <w:rsid w:val="579112C3"/>
    <w:rsid w:val="57A9AF2C"/>
    <w:rsid w:val="58142B12"/>
    <w:rsid w:val="581D6A9C"/>
    <w:rsid w:val="5895AF46"/>
    <w:rsid w:val="59BC7562"/>
    <w:rsid w:val="5A4DDCC7"/>
    <w:rsid w:val="5AEE5013"/>
    <w:rsid w:val="5B2F50D7"/>
    <w:rsid w:val="5B3219D1"/>
    <w:rsid w:val="5B503A6E"/>
    <w:rsid w:val="5BA3E263"/>
    <w:rsid w:val="5BFBE8B9"/>
    <w:rsid w:val="5C9C2A21"/>
    <w:rsid w:val="5CBF4AB6"/>
    <w:rsid w:val="5D7F218D"/>
    <w:rsid w:val="5DCEB964"/>
    <w:rsid w:val="5E476759"/>
    <w:rsid w:val="5F0B160B"/>
    <w:rsid w:val="5F31D138"/>
    <w:rsid w:val="5F390F49"/>
    <w:rsid w:val="5F59BFA5"/>
    <w:rsid w:val="5F889FAD"/>
    <w:rsid w:val="5FC86EBF"/>
    <w:rsid w:val="5FF6EB78"/>
    <w:rsid w:val="5FFFACE4"/>
    <w:rsid w:val="606C4480"/>
    <w:rsid w:val="611E687A"/>
    <w:rsid w:val="61244BCF"/>
    <w:rsid w:val="613C7435"/>
    <w:rsid w:val="6192BBD9"/>
    <w:rsid w:val="61EF12F1"/>
    <w:rsid w:val="624A16BC"/>
    <w:rsid w:val="6306327B"/>
    <w:rsid w:val="632E8C3A"/>
    <w:rsid w:val="633E282B"/>
    <w:rsid w:val="63C2338D"/>
    <w:rsid w:val="6419F585"/>
    <w:rsid w:val="641E5BEF"/>
    <w:rsid w:val="642CDFCD"/>
    <w:rsid w:val="650EAF4D"/>
    <w:rsid w:val="66184FA2"/>
    <w:rsid w:val="6669BCBF"/>
    <w:rsid w:val="673F6279"/>
    <w:rsid w:val="6845B514"/>
    <w:rsid w:val="68C7944B"/>
    <w:rsid w:val="690E830B"/>
    <w:rsid w:val="6953477F"/>
    <w:rsid w:val="6965670C"/>
    <w:rsid w:val="6996623B"/>
    <w:rsid w:val="69CA8DD7"/>
    <w:rsid w:val="69EF7790"/>
    <w:rsid w:val="6A57CBE1"/>
    <w:rsid w:val="6A908747"/>
    <w:rsid w:val="6AB240F2"/>
    <w:rsid w:val="6AC51B52"/>
    <w:rsid w:val="6ACBAA8D"/>
    <w:rsid w:val="6AF777F3"/>
    <w:rsid w:val="6B0C1B64"/>
    <w:rsid w:val="6C9A3F34"/>
    <w:rsid w:val="6C9B958C"/>
    <w:rsid w:val="6CF61EC1"/>
    <w:rsid w:val="6D06E3FA"/>
    <w:rsid w:val="6D399667"/>
    <w:rsid w:val="6DC0368F"/>
    <w:rsid w:val="6ED5ED80"/>
    <w:rsid w:val="6F089A73"/>
    <w:rsid w:val="6F1EB6EC"/>
    <w:rsid w:val="6F39BF36"/>
    <w:rsid w:val="6F3E8B63"/>
    <w:rsid w:val="6F4BD977"/>
    <w:rsid w:val="6F4BDEC3"/>
    <w:rsid w:val="6F623BE0"/>
    <w:rsid w:val="6F92C06B"/>
    <w:rsid w:val="6FD16C7C"/>
    <w:rsid w:val="70B5C5DB"/>
    <w:rsid w:val="70EE4334"/>
    <w:rsid w:val="713F634C"/>
    <w:rsid w:val="71443A2F"/>
    <w:rsid w:val="71B971FD"/>
    <w:rsid w:val="721A4DFB"/>
    <w:rsid w:val="72BD52D7"/>
    <w:rsid w:val="72FBDDFF"/>
    <w:rsid w:val="73603546"/>
    <w:rsid w:val="739DE1BA"/>
    <w:rsid w:val="73CC06B1"/>
    <w:rsid w:val="73E059D1"/>
    <w:rsid w:val="73EDB407"/>
    <w:rsid w:val="74101938"/>
    <w:rsid w:val="74AD5ACE"/>
    <w:rsid w:val="74AE57E4"/>
    <w:rsid w:val="7548C1E3"/>
    <w:rsid w:val="755B4EDD"/>
    <w:rsid w:val="75F337D2"/>
    <w:rsid w:val="76717AFD"/>
    <w:rsid w:val="76BE7AF0"/>
    <w:rsid w:val="76C2A87B"/>
    <w:rsid w:val="76CC70DE"/>
    <w:rsid w:val="76FAF294"/>
    <w:rsid w:val="77168B9E"/>
    <w:rsid w:val="7746EAD1"/>
    <w:rsid w:val="775035D7"/>
    <w:rsid w:val="78009F4C"/>
    <w:rsid w:val="7813E432"/>
    <w:rsid w:val="784CCEC6"/>
    <w:rsid w:val="786DF7C7"/>
    <w:rsid w:val="78786124"/>
    <w:rsid w:val="78D9F693"/>
    <w:rsid w:val="7A0F5576"/>
    <w:rsid w:val="7A38994C"/>
    <w:rsid w:val="7AA66E37"/>
    <w:rsid w:val="7ABF8B14"/>
    <w:rsid w:val="7B075DBB"/>
    <w:rsid w:val="7B7284B1"/>
    <w:rsid w:val="7B846F88"/>
    <w:rsid w:val="7B96199E"/>
    <w:rsid w:val="7C38700A"/>
    <w:rsid w:val="7C64351D"/>
    <w:rsid w:val="7D07178C"/>
    <w:rsid w:val="7D1372B7"/>
    <w:rsid w:val="7DCBEC09"/>
    <w:rsid w:val="7DDE6152"/>
    <w:rsid w:val="7F0D7753"/>
    <w:rsid w:val="7FF4A3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46E50D"/>
  <w15:docId w15:val="{291F851D-1BC8-4B41-B937-2F6EF78C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lif"/>
    <w:qFormat/>
    <w:rsid w:val="007B740D"/>
    <w:rPr>
      <w:rFonts w:ascii="Times New Roman" w:hAnsi="Times New Roman"/>
      <w:color w:val="000000" w:themeColor="text1"/>
    </w:rPr>
  </w:style>
  <w:style w:type="paragraph" w:styleId="Heading1">
    <w:name w:val="heading 1"/>
    <w:basedOn w:val="Normal"/>
    <w:next w:val="Normal"/>
    <w:link w:val="Heading1Char"/>
    <w:uiPriority w:val="9"/>
    <w:qFormat/>
    <w:rsid w:val="00A52F50"/>
    <w:pPr>
      <w:outlineLvl w:val="0"/>
    </w:pPr>
    <w:rPr>
      <w:rFonts w:asciiTheme="minorHAnsi" w:hAnsiTheme="minorHAnsi" w:cstheme="minorHAnsi"/>
      <w:b/>
      <w:bCs/>
      <w:sz w:val="28"/>
      <w:szCs w:val="28"/>
    </w:rPr>
  </w:style>
  <w:style w:type="paragraph" w:styleId="Heading2">
    <w:name w:val="heading 2"/>
    <w:basedOn w:val="Normal"/>
    <w:next w:val="Normal"/>
    <w:link w:val="Heading2Char"/>
    <w:uiPriority w:val="9"/>
    <w:unhideWhenUsed/>
    <w:qFormat/>
    <w:rsid w:val="00A52F50"/>
    <w:pPr>
      <w:jc w:val="both"/>
      <w:outlineLvl w:val="1"/>
    </w:pPr>
    <w:rPr>
      <w:rFonts w:asciiTheme="minorHAnsi" w:hAnsiTheme="minorHAnsi" w:cstheme="minorHAnsi"/>
      <w:b/>
      <w:bCs/>
    </w:rPr>
  </w:style>
  <w:style w:type="paragraph" w:styleId="Heading3">
    <w:name w:val="heading 3"/>
    <w:basedOn w:val="Normal"/>
    <w:next w:val="Normal"/>
    <w:link w:val="Heading3Char"/>
    <w:uiPriority w:val="9"/>
    <w:unhideWhenUsed/>
    <w:qFormat/>
    <w:rsid w:val="004555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F19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005F"/>
    <w:rPr>
      <w:sz w:val="20"/>
      <w:szCs w:val="20"/>
    </w:rPr>
  </w:style>
  <w:style w:type="character" w:customStyle="1" w:styleId="FootnoteTextChar">
    <w:name w:val="Footnote Text Char"/>
    <w:basedOn w:val="DefaultParagraphFont"/>
    <w:link w:val="FootnoteText"/>
    <w:uiPriority w:val="99"/>
    <w:rsid w:val="0076005F"/>
    <w:rPr>
      <w:rFonts w:ascii="Times New Roman" w:hAnsi="Times New Roman"/>
      <w:color w:val="000000" w:themeColor="text1"/>
      <w:sz w:val="20"/>
      <w:szCs w:val="20"/>
    </w:rPr>
  </w:style>
  <w:style w:type="character" w:styleId="FootnoteReference">
    <w:name w:val="footnote reference"/>
    <w:aliases w:val="4_G"/>
    <w:basedOn w:val="DefaultParagraphFont"/>
    <w:uiPriority w:val="99"/>
    <w:unhideWhenUsed/>
    <w:rsid w:val="0076005F"/>
    <w:rPr>
      <w:vertAlign w:val="superscript"/>
    </w:rPr>
  </w:style>
  <w:style w:type="character" w:styleId="Hyperlink">
    <w:name w:val="Hyperlink"/>
    <w:basedOn w:val="DefaultParagraphFont"/>
    <w:uiPriority w:val="99"/>
    <w:unhideWhenUsed/>
    <w:rsid w:val="007C2486"/>
    <w:rPr>
      <w:color w:val="0563C1" w:themeColor="hyperlink"/>
      <w:u w:val="single"/>
    </w:rPr>
  </w:style>
  <w:style w:type="character" w:customStyle="1" w:styleId="UnresolvedMention1">
    <w:name w:val="Unresolved Mention1"/>
    <w:basedOn w:val="DefaultParagraphFont"/>
    <w:uiPriority w:val="99"/>
    <w:semiHidden/>
    <w:unhideWhenUsed/>
    <w:rsid w:val="007C2486"/>
    <w:rPr>
      <w:color w:val="605E5C"/>
      <w:shd w:val="clear" w:color="auto" w:fill="E1DFDD"/>
    </w:rPr>
  </w:style>
  <w:style w:type="character" w:styleId="FollowedHyperlink">
    <w:name w:val="FollowedHyperlink"/>
    <w:basedOn w:val="DefaultParagraphFont"/>
    <w:uiPriority w:val="99"/>
    <w:semiHidden/>
    <w:unhideWhenUsed/>
    <w:rsid w:val="007C2486"/>
    <w:rPr>
      <w:color w:val="954F72" w:themeColor="followedHyperlink"/>
      <w:u w:val="single"/>
    </w:rPr>
  </w:style>
  <w:style w:type="paragraph" w:styleId="NoSpacing">
    <w:name w:val="No Spacing"/>
    <w:uiPriority w:val="1"/>
    <w:qFormat/>
    <w:rsid w:val="00D84DEF"/>
    <w:rPr>
      <w:rFonts w:ascii="Times New Roman" w:hAnsi="Times New Roman"/>
      <w:color w:val="000000" w:themeColor="text1"/>
    </w:rPr>
  </w:style>
  <w:style w:type="paragraph" w:styleId="ListParagraph">
    <w:name w:val="List Paragraph"/>
    <w:basedOn w:val="Normal"/>
    <w:uiPriority w:val="34"/>
    <w:qFormat/>
    <w:rsid w:val="00CB6F7E"/>
    <w:pPr>
      <w:ind w:left="720"/>
      <w:contextualSpacing/>
    </w:pPr>
  </w:style>
  <w:style w:type="paragraph" w:styleId="BalloonText">
    <w:name w:val="Balloon Text"/>
    <w:basedOn w:val="Normal"/>
    <w:link w:val="BalloonTextChar"/>
    <w:uiPriority w:val="99"/>
    <w:semiHidden/>
    <w:unhideWhenUsed/>
    <w:rsid w:val="00BB4C2A"/>
    <w:rPr>
      <w:rFonts w:ascii="Lucida Grande" w:hAnsi="Lucida Grande"/>
      <w:sz w:val="18"/>
      <w:szCs w:val="18"/>
    </w:rPr>
  </w:style>
  <w:style w:type="character" w:customStyle="1" w:styleId="BalloonTextChar">
    <w:name w:val="Balloon Text Char"/>
    <w:basedOn w:val="DefaultParagraphFont"/>
    <w:link w:val="BalloonText"/>
    <w:uiPriority w:val="99"/>
    <w:semiHidden/>
    <w:rsid w:val="00BB4C2A"/>
    <w:rPr>
      <w:rFonts w:ascii="Lucida Grande" w:hAnsi="Lucida Grande"/>
      <w:color w:val="000000" w:themeColor="text1"/>
      <w:sz w:val="18"/>
      <w:szCs w:val="18"/>
    </w:rPr>
  </w:style>
  <w:style w:type="character" w:styleId="CommentReference">
    <w:name w:val="annotation reference"/>
    <w:basedOn w:val="DefaultParagraphFont"/>
    <w:uiPriority w:val="99"/>
    <w:semiHidden/>
    <w:unhideWhenUsed/>
    <w:rsid w:val="00736A70"/>
    <w:rPr>
      <w:sz w:val="18"/>
      <w:szCs w:val="18"/>
    </w:rPr>
  </w:style>
  <w:style w:type="paragraph" w:styleId="CommentText">
    <w:name w:val="annotation text"/>
    <w:basedOn w:val="Normal"/>
    <w:link w:val="CommentTextChar"/>
    <w:uiPriority w:val="99"/>
    <w:unhideWhenUsed/>
    <w:rsid w:val="00736A70"/>
  </w:style>
  <w:style w:type="character" w:customStyle="1" w:styleId="CommentTextChar">
    <w:name w:val="Comment Text Char"/>
    <w:basedOn w:val="DefaultParagraphFont"/>
    <w:link w:val="CommentText"/>
    <w:uiPriority w:val="99"/>
    <w:rsid w:val="00736A70"/>
    <w:rPr>
      <w:rFonts w:ascii="Times New Roman" w:hAnsi="Times New Roman"/>
      <w:color w:val="000000" w:themeColor="text1"/>
    </w:rPr>
  </w:style>
  <w:style w:type="paragraph" w:styleId="CommentSubject">
    <w:name w:val="annotation subject"/>
    <w:basedOn w:val="CommentText"/>
    <w:next w:val="CommentText"/>
    <w:link w:val="CommentSubjectChar"/>
    <w:uiPriority w:val="99"/>
    <w:semiHidden/>
    <w:unhideWhenUsed/>
    <w:rsid w:val="00736A70"/>
    <w:rPr>
      <w:b/>
      <w:bCs/>
      <w:sz w:val="20"/>
      <w:szCs w:val="20"/>
    </w:rPr>
  </w:style>
  <w:style w:type="character" w:customStyle="1" w:styleId="CommentSubjectChar">
    <w:name w:val="Comment Subject Char"/>
    <w:basedOn w:val="CommentTextChar"/>
    <w:link w:val="CommentSubject"/>
    <w:uiPriority w:val="99"/>
    <w:semiHidden/>
    <w:rsid w:val="00736A70"/>
    <w:rPr>
      <w:rFonts w:ascii="Times New Roman" w:hAnsi="Times New Roman"/>
      <w:b/>
      <w:bCs/>
      <w:color w:val="000000" w:themeColor="text1"/>
      <w:sz w:val="20"/>
      <w:szCs w:val="20"/>
    </w:rPr>
  </w:style>
  <w:style w:type="paragraph" w:styleId="Revision">
    <w:name w:val="Revision"/>
    <w:hidden/>
    <w:uiPriority w:val="99"/>
    <w:semiHidden/>
    <w:rsid w:val="005B6DDC"/>
    <w:rPr>
      <w:rFonts w:ascii="Times New Roman" w:hAnsi="Times New Roman"/>
      <w:color w:val="000000" w:themeColor="text1"/>
    </w:rPr>
  </w:style>
  <w:style w:type="character" w:customStyle="1" w:styleId="UnresolvedMention2">
    <w:name w:val="Unresolved Mention2"/>
    <w:basedOn w:val="DefaultParagraphFont"/>
    <w:uiPriority w:val="99"/>
    <w:semiHidden/>
    <w:unhideWhenUsed/>
    <w:rsid w:val="00460596"/>
    <w:rPr>
      <w:color w:val="605E5C"/>
      <w:shd w:val="clear" w:color="auto" w:fill="E1DFDD"/>
    </w:rPr>
  </w:style>
  <w:style w:type="character" w:customStyle="1" w:styleId="Heading3Char">
    <w:name w:val="Heading 3 Char"/>
    <w:basedOn w:val="DefaultParagraphFont"/>
    <w:link w:val="Heading3"/>
    <w:uiPriority w:val="9"/>
    <w:rsid w:val="00455562"/>
    <w:rPr>
      <w:rFonts w:asciiTheme="majorHAnsi" w:eastAsiaTheme="majorEastAsia" w:hAnsiTheme="majorHAnsi" w:cstheme="majorBidi"/>
      <w:color w:val="1F3763" w:themeColor="accent1" w:themeShade="7F"/>
    </w:rPr>
  </w:style>
  <w:style w:type="character" w:customStyle="1" w:styleId="UnresolvedMention3">
    <w:name w:val="Unresolved Mention3"/>
    <w:basedOn w:val="DefaultParagraphFont"/>
    <w:uiPriority w:val="99"/>
    <w:semiHidden/>
    <w:unhideWhenUsed/>
    <w:rsid w:val="009F4691"/>
    <w:rPr>
      <w:color w:val="605E5C"/>
      <w:shd w:val="clear" w:color="auto" w:fill="E1DFDD"/>
    </w:rPr>
  </w:style>
  <w:style w:type="numbering" w:customStyle="1" w:styleId="CurrentList1">
    <w:name w:val="Current List1"/>
    <w:uiPriority w:val="99"/>
    <w:rsid w:val="00391CE3"/>
    <w:pPr>
      <w:numPr>
        <w:numId w:val="8"/>
      </w:numPr>
    </w:pPr>
  </w:style>
  <w:style w:type="character" w:customStyle="1" w:styleId="UnresolvedMention4">
    <w:name w:val="Unresolved Mention4"/>
    <w:basedOn w:val="DefaultParagraphFont"/>
    <w:uiPriority w:val="99"/>
    <w:semiHidden/>
    <w:unhideWhenUsed/>
    <w:rsid w:val="00AC3BDC"/>
    <w:rPr>
      <w:color w:val="605E5C"/>
      <w:shd w:val="clear" w:color="auto" w:fill="E1DFDD"/>
    </w:rPr>
  </w:style>
  <w:style w:type="character" w:styleId="UnresolvedMention">
    <w:name w:val="Unresolved Mention"/>
    <w:basedOn w:val="DefaultParagraphFont"/>
    <w:uiPriority w:val="99"/>
    <w:semiHidden/>
    <w:unhideWhenUsed/>
    <w:rsid w:val="00DC0993"/>
    <w:rPr>
      <w:color w:val="605E5C"/>
      <w:shd w:val="clear" w:color="auto" w:fill="E1DFDD"/>
    </w:rPr>
  </w:style>
  <w:style w:type="paragraph" w:styleId="Footer">
    <w:name w:val="footer"/>
    <w:basedOn w:val="Normal"/>
    <w:link w:val="FooterChar"/>
    <w:uiPriority w:val="99"/>
    <w:unhideWhenUsed/>
    <w:rsid w:val="00557834"/>
    <w:pPr>
      <w:tabs>
        <w:tab w:val="center" w:pos="4513"/>
        <w:tab w:val="right" w:pos="9026"/>
      </w:tabs>
    </w:pPr>
  </w:style>
  <w:style w:type="character" w:customStyle="1" w:styleId="FooterChar">
    <w:name w:val="Footer Char"/>
    <w:basedOn w:val="DefaultParagraphFont"/>
    <w:link w:val="Footer"/>
    <w:uiPriority w:val="99"/>
    <w:rsid w:val="00557834"/>
    <w:rPr>
      <w:rFonts w:ascii="Times New Roman" w:hAnsi="Times New Roman"/>
      <w:color w:val="000000" w:themeColor="text1"/>
    </w:rPr>
  </w:style>
  <w:style w:type="character" w:styleId="PageNumber">
    <w:name w:val="page number"/>
    <w:basedOn w:val="DefaultParagraphFont"/>
    <w:uiPriority w:val="99"/>
    <w:semiHidden/>
    <w:unhideWhenUsed/>
    <w:rsid w:val="00557834"/>
  </w:style>
  <w:style w:type="paragraph" w:styleId="Header">
    <w:name w:val="header"/>
    <w:basedOn w:val="Normal"/>
    <w:link w:val="HeaderChar"/>
    <w:uiPriority w:val="99"/>
    <w:unhideWhenUsed/>
    <w:rsid w:val="002A05E6"/>
    <w:pPr>
      <w:tabs>
        <w:tab w:val="center" w:pos="4513"/>
        <w:tab w:val="right" w:pos="9026"/>
      </w:tabs>
    </w:pPr>
  </w:style>
  <w:style w:type="character" w:customStyle="1" w:styleId="HeaderChar">
    <w:name w:val="Header Char"/>
    <w:basedOn w:val="DefaultParagraphFont"/>
    <w:link w:val="Header"/>
    <w:uiPriority w:val="99"/>
    <w:rsid w:val="002A05E6"/>
    <w:rPr>
      <w:rFonts w:ascii="Times New Roman" w:hAnsi="Times New Roman"/>
      <w:color w:val="000000" w:themeColor="text1"/>
    </w:rPr>
  </w:style>
  <w:style w:type="character" w:customStyle="1" w:styleId="Heading1Char">
    <w:name w:val="Heading 1 Char"/>
    <w:basedOn w:val="DefaultParagraphFont"/>
    <w:link w:val="Heading1"/>
    <w:uiPriority w:val="9"/>
    <w:rsid w:val="00A52F50"/>
    <w:rPr>
      <w:rFonts w:cstheme="minorHAnsi"/>
      <w:b/>
      <w:bCs/>
      <w:color w:val="000000" w:themeColor="text1"/>
      <w:sz w:val="28"/>
      <w:szCs w:val="28"/>
    </w:rPr>
  </w:style>
  <w:style w:type="character" w:customStyle="1" w:styleId="Heading4Char">
    <w:name w:val="Heading 4 Char"/>
    <w:basedOn w:val="DefaultParagraphFont"/>
    <w:link w:val="Heading4"/>
    <w:uiPriority w:val="9"/>
    <w:semiHidden/>
    <w:rsid w:val="003F1903"/>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A52F50"/>
    <w:rPr>
      <w:rFonts w:cs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455918">
      <w:bodyDiv w:val="1"/>
      <w:marLeft w:val="0"/>
      <w:marRight w:val="0"/>
      <w:marTop w:val="0"/>
      <w:marBottom w:val="0"/>
      <w:divBdr>
        <w:top w:val="none" w:sz="0" w:space="0" w:color="auto"/>
        <w:left w:val="none" w:sz="0" w:space="0" w:color="auto"/>
        <w:bottom w:val="none" w:sz="0" w:space="0" w:color="auto"/>
        <w:right w:val="none" w:sz="0" w:space="0" w:color="auto"/>
      </w:divBdr>
    </w:div>
    <w:div w:id="310720975">
      <w:bodyDiv w:val="1"/>
      <w:marLeft w:val="0"/>
      <w:marRight w:val="0"/>
      <w:marTop w:val="0"/>
      <w:marBottom w:val="0"/>
      <w:divBdr>
        <w:top w:val="none" w:sz="0" w:space="0" w:color="auto"/>
        <w:left w:val="none" w:sz="0" w:space="0" w:color="auto"/>
        <w:bottom w:val="none" w:sz="0" w:space="0" w:color="auto"/>
        <w:right w:val="none" w:sz="0" w:space="0" w:color="auto"/>
      </w:divBdr>
    </w:div>
    <w:div w:id="681980416">
      <w:bodyDiv w:val="1"/>
      <w:marLeft w:val="0"/>
      <w:marRight w:val="0"/>
      <w:marTop w:val="0"/>
      <w:marBottom w:val="0"/>
      <w:divBdr>
        <w:top w:val="none" w:sz="0" w:space="0" w:color="auto"/>
        <w:left w:val="none" w:sz="0" w:space="0" w:color="auto"/>
        <w:bottom w:val="none" w:sz="0" w:space="0" w:color="auto"/>
        <w:right w:val="none" w:sz="0" w:space="0" w:color="auto"/>
      </w:divBdr>
    </w:div>
    <w:div w:id="708452146">
      <w:bodyDiv w:val="1"/>
      <w:marLeft w:val="0"/>
      <w:marRight w:val="0"/>
      <w:marTop w:val="0"/>
      <w:marBottom w:val="0"/>
      <w:divBdr>
        <w:top w:val="none" w:sz="0" w:space="0" w:color="auto"/>
        <w:left w:val="none" w:sz="0" w:space="0" w:color="auto"/>
        <w:bottom w:val="none" w:sz="0" w:space="0" w:color="auto"/>
        <w:right w:val="none" w:sz="0" w:space="0" w:color="auto"/>
      </w:divBdr>
    </w:div>
    <w:div w:id="862935637">
      <w:bodyDiv w:val="1"/>
      <w:marLeft w:val="0"/>
      <w:marRight w:val="0"/>
      <w:marTop w:val="0"/>
      <w:marBottom w:val="0"/>
      <w:divBdr>
        <w:top w:val="none" w:sz="0" w:space="0" w:color="auto"/>
        <w:left w:val="none" w:sz="0" w:space="0" w:color="auto"/>
        <w:bottom w:val="none" w:sz="0" w:space="0" w:color="auto"/>
        <w:right w:val="none" w:sz="0" w:space="0" w:color="auto"/>
      </w:divBdr>
    </w:div>
    <w:div w:id="1231698538">
      <w:bodyDiv w:val="1"/>
      <w:marLeft w:val="0"/>
      <w:marRight w:val="0"/>
      <w:marTop w:val="0"/>
      <w:marBottom w:val="0"/>
      <w:divBdr>
        <w:top w:val="none" w:sz="0" w:space="0" w:color="auto"/>
        <w:left w:val="none" w:sz="0" w:space="0" w:color="auto"/>
        <w:bottom w:val="none" w:sz="0" w:space="0" w:color="auto"/>
        <w:right w:val="none" w:sz="0" w:space="0" w:color="auto"/>
      </w:divBdr>
    </w:div>
    <w:div w:id="1505709330">
      <w:bodyDiv w:val="1"/>
      <w:marLeft w:val="0"/>
      <w:marRight w:val="0"/>
      <w:marTop w:val="0"/>
      <w:marBottom w:val="0"/>
      <w:divBdr>
        <w:top w:val="none" w:sz="0" w:space="0" w:color="auto"/>
        <w:left w:val="none" w:sz="0" w:space="0" w:color="auto"/>
        <w:bottom w:val="none" w:sz="0" w:space="0" w:color="auto"/>
        <w:right w:val="none" w:sz="0" w:space="0" w:color="auto"/>
      </w:divBdr>
    </w:div>
    <w:div w:id="1528911958">
      <w:bodyDiv w:val="1"/>
      <w:marLeft w:val="0"/>
      <w:marRight w:val="0"/>
      <w:marTop w:val="0"/>
      <w:marBottom w:val="0"/>
      <w:divBdr>
        <w:top w:val="none" w:sz="0" w:space="0" w:color="auto"/>
        <w:left w:val="none" w:sz="0" w:space="0" w:color="auto"/>
        <w:bottom w:val="none" w:sz="0" w:space="0" w:color="auto"/>
        <w:right w:val="none" w:sz="0" w:space="0" w:color="auto"/>
      </w:divBdr>
    </w:div>
    <w:div w:id="1536045513">
      <w:bodyDiv w:val="1"/>
      <w:marLeft w:val="0"/>
      <w:marRight w:val="0"/>
      <w:marTop w:val="0"/>
      <w:marBottom w:val="0"/>
      <w:divBdr>
        <w:top w:val="none" w:sz="0" w:space="0" w:color="auto"/>
        <w:left w:val="none" w:sz="0" w:space="0" w:color="auto"/>
        <w:bottom w:val="none" w:sz="0" w:space="0" w:color="auto"/>
        <w:right w:val="none" w:sz="0" w:space="0" w:color="auto"/>
      </w:divBdr>
    </w:div>
    <w:div w:id="1650015245">
      <w:bodyDiv w:val="1"/>
      <w:marLeft w:val="0"/>
      <w:marRight w:val="0"/>
      <w:marTop w:val="0"/>
      <w:marBottom w:val="0"/>
      <w:divBdr>
        <w:top w:val="none" w:sz="0" w:space="0" w:color="auto"/>
        <w:left w:val="none" w:sz="0" w:space="0" w:color="auto"/>
        <w:bottom w:val="none" w:sz="0" w:space="0" w:color="auto"/>
        <w:right w:val="none" w:sz="0" w:space="0" w:color="auto"/>
      </w:divBdr>
    </w:div>
    <w:div w:id="1771007640">
      <w:bodyDiv w:val="1"/>
      <w:marLeft w:val="0"/>
      <w:marRight w:val="0"/>
      <w:marTop w:val="0"/>
      <w:marBottom w:val="0"/>
      <w:divBdr>
        <w:top w:val="none" w:sz="0" w:space="0" w:color="auto"/>
        <w:left w:val="none" w:sz="0" w:space="0" w:color="auto"/>
        <w:bottom w:val="none" w:sz="0" w:space="0" w:color="auto"/>
        <w:right w:val="none" w:sz="0" w:space="0" w:color="auto"/>
      </w:divBdr>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2089647619">
      <w:bodyDiv w:val="1"/>
      <w:marLeft w:val="0"/>
      <w:marRight w:val="0"/>
      <w:marTop w:val="0"/>
      <w:marBottom w:val="0"/>
      <w:divBdr>
        <w:top w:val="none" w:sz="0" w:space="0" w:color="auto"/>
        <w:left w:val="none" w:sz="0" w:space="0" w:color="auto"/>
        <w:bottom w:val="none" w:sz="0" w:space="0" w:color="auto"/>
        <w:right w:val="none" w:sz="0" w:space="0" w:color="auto"/>
      </w:divBdr>
    </w:div>
    <w:div w:id="2129735167">
      <w:bodyDiv w:val="1"/>
      <w:marLeft w:val="0"/>
      <w:marRight w:val="0"/>
      <w:marTop w:val="0"/>
      <w:marBottom w:val="0"/>
      <w:divBdr>
        <w:top w:val="none" w:sz="0" w:space="0" w:color="auto"/>
        <w:left w:val="none" w:sz="0" w:space="0" w:color="auto"/>
        <w:bottom w:val="none" w:sz="0" w:space="0" w:color="auto"/>
        <w:right w:val="none" w:sz="0" w:space="0" w:color="auto"/>
      </w:divBdr>
    </w:div>
    <w:div w:id="21316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sikplatform.net/kategori/istanbul-sozlesmesi-basin-aciklamalari/72142/istanbulsozlesmesi10yasinda/" TargetMode="External"/><Relationship Id="rId13" Type="http://schemas.openxmlformats.org/officeDocument/2006/relationships/hyperlink" Target="https://aramizda.org.tr/wp-content/uploads/2021/09/012-The-IstanbulConventionGenderPoliticsandBeyond.pdf" TargetMode="External"/><Relationship Id="rId18" Type="http://schemas.openxmlformats.org/officeDocument/2006/relationships/hyperlink" Target="https://www.theadvocatesforhumanrights.org/res/byid/9110" TargetMode="External"/><Relationship Id="rId26" Type="http://schemas.openxmlformats.org/officeDocument/2006/relationships/hyperlink" Target="https://esikplatform.net/kategori/istanbul-sozlesmesi-basin-aciklamalari/72142/istanbulsozlesmesi10yasinda/" TargetMode="External"/><Relationship Id="rId3" Type="http://schemas.openxmlformats.org/officeDocument/2006/relationships/hyperlink" Target="https://twitter.com/RTErdogan/status/76645089455247361" TargetMode="External"/><Relationship Id="rId21" Type="http://schemas.openxmlformats.org/officeDocument/2006/relationships/hyperlink" Target="https://esikplatform.net/kategori/istanbul-sozlesmesi-basin-aciklamalari/73943/istanbul-sozlesmesi-icin-temyizler-suruyor/" TargetMode="External"/><Relationship Id="rId7" Type="http://schemas.openxmlformats.org/officeDocument/2006/relationships/hyperlink" Target="https://istanbulsozlesmesi.org/day-to-day-chronology/" TargetMode="External"/><Relationship Id="rId12" Type="http://schemas.openxmlformats.org/officeDocument/2006/relationships/hyperlink" Target="https://www.coe.int/en/web/conventions/full-list?module=declarations-by%20treaty&amp;numSte=210&amp;codeNature=2&amp;codePays=UK" TargetMode="External"/><Relationship Id="rId17" Type="http://schemas.openxmlformats.org/officeDocument/2006/relationships/hyperlink" Target="https://esikplatform.net/?fbclid=IwAR3vMbZqYrvaZO8Ls0Bc7W0f3M71aiJUEJErUpQZw8cnFfBKkxwCLxPRUWY" TargetMode="External"/><Relationship Id="rId25" Type="http://schemas.openxmlformats.org/officeDocument/2006/relationships/hyperlink" Target="https://lordslibrary.parliament.uk/istanbul-convention-preventing-and-combating-violence-against-women-and-domestic-violence/" TargetMode="External"/><Relationship Id="rId2" Type="http://schemas.openxmlformats.org/officeDocument/2006/relationships/hyperlink" Target="https://www.resmigazete.gov.tr/eskiler/2021/03/20210320.pdf" TargetMode="External"/><Relationship Id="rId16" Type="http://schemas.openxmlformats.org/officeDocument/2006/relationships/hyperlink" Target="https://www.venice.coe.int/webforms/documents/default.aspx?pdffile=CDL-AD(2022)001-e" TargetMode="External"/><Relationship Id="rId20" Type="http://schemas.openxmlformats.org/officeDocument/2006/relationships/hyperlink" Target="https://esikplatform.net/kategori/istanbul-sozlesmesi" TargetMode="External"/><Relationship Id="rId29" Type="http://schemas.openxmlformats.org/officeDocument/2006/relationships/hyperlink" Target="https://www.corteidh.or.cr/docs/opiniones/seriea_26_eng.pdf" TargetMode="External"/><Relationship Id="rId1" Type="http://schemas.openxmlformats.org/officeDocument/2006/relationships/hyperlink" Target="mailto:e.c.ozsoy2@exeter.ac.uk" TargetMode="External"/><Relationship Id="rId6" Type="http://schemas.openxmlformats.org/officeDocument/2006/relationships/hyperlink" Target="https://esikplatform.net" TargetMode="External"/><Relationship Id="rId11" Type="http://schemas.openxmlformats.org/officeDocument/2006/relationships/hyperlink" Target="https://www.europarl.europa.eu/doceo/document/E-9-2020-002981_EN.html" TargetMode="External"/><Relationship Id="rId24" Type="http://schemas.openxmlformats.org/officeDocument/2006/relationships/hyperlink" Target="https://www.barobirlik.org.tr/Haberler/tarihin-en-kalabalik-danistay-durusmasindaydik-istanbul-sozlesmesi-nden-vazgecmiyoruz-82654" TargetMode="External"/><Relationship Id="rId5" Type="http://schemas.openxmlformats.org/officeDocument/2006/relationships/hyperlink" Target="https://voelkerrechtsblog.org/de/turkeys-withdrawal-from-the-istanbul-convention/" TargetMode="External"/><Relationship Id="rId15" Type="http://schemas.openxmlformats.org/officeDocument/2006/relationships/hyperlink" Target="https://www.ejiltalk.org/withdrawal-from-the-istanbul-convention-by-turkey-a-testing-problem-for-the-council-of-europe/" TargetMode="External"/><Relationship Id="rId23" Type="http://schemas.openxmlformats.org/officeDocument/2006/relationships/hyperlink" Target="https://esikplatform.net/kategori/istanbul-sozlesmesi-basin-aciklamalari/72142/istanbulsozlesmesi10yasinda/" TargetMode="External"/><Relationship Id="rId28" Type="http://schemas.openxmlformats.org/officeDocument/2006/relationships/hyperlink" Target="https://www.ejiltalk.org/the-gender-of-treaty-withdrawal-lessons-from-the-istanbul-convention/" TargetMode="External"/><Relationship Id="rId10" Type="http://schemas.openxmlformats.org/officeDocument/2006/relationships/hyperlink" Target="https://www.europarl.europa.eu/doceo/document/E-9-2021-002075-ASW_EN.html" TargetMode="External"/><Relationship Id="rId19" Type="http://schemas.openxmlformats.org/officeDocument/2006/relationships/hyperlink" Target="https://www.transformingsociety.co.uk/2022/07/01/from-zoom-to-the-courtroom-the-ongoing-struggle-for-womens-rights-in-turkey/" TargetMode="External"/><Relationship Id="rId4" Type="http://schemas.openxmlformats.org/officeDocument/2006/relationships/hyperlink" Target="https://www.coe.int/en/web/conventions/full-list?module=treaty-detail&amp;treatynum=210" TargetMode="External"/><Relationship Id="rId9" Type="http://schemas.openxmlformats.org/officeDocument/2006/relationships/hyperlink" Target="https://ohrh.law.ox.ac.uk/promoting-gender-ideology-constitutional-court-of-bulgaria-declares-istanbul-convention-unconstitutional/" TargetMode="External"/><Relationship Id="rId14" Type="http://schemas.openxmlformats.org/officeDocument/2006/relationships/hyperlink" Target="https://cdn.tbmm.gov.tr/TbmmWeb/Tutanak20230120/24/2/23/132b7a41-d758-4e0a-8945-c4ea1822aa18.html" TargetMode="External"/><Relationship Id="rId22" Type="http://schemas.openxmlformats.org/officeDocument/2006/relationships/hyperlink" Target="https://thelawdictionary.org/legality/" TargetMode="External"/><Relationship Id="rId27" Type="http://schemas.openxmlformats.org/officeDocument/2006/relationships/hyperlink" Target="https://esikplatform.net/en/category/english/73874/urgent-appeal-to-the-council-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8E610-7164-164E-B012-37D32B6261E5}">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120</TotalTime>
  <Pages>24</Pages>
  <Words>10505</Words>
  <Characters>54210</Characters>
  <Application>Microsoft Office Word</Application>
  <DocSecurity>0</DocSecurity>
  <Lines>1062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Ozsoy, Elif Ceylan</dc:creator>
  <cp:lastModifiedBy>Rosemary Hunter</cp:lastModifiedBy>
  <cp:revision>176</cp:revision>
  <cp:lastPrinted>2024-11-19T20:30:00Z</cp:lastPrinted>
  <dcterms:created xsi:type="dcterms:W3CDTF">2024-11-28T15:48:00Z</dcterms:created>
  <dcterms:modified xsi:type="dcterms:W3CDTF">2025-01-04T16:20:00Z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d1b86f7113414ad5b47b6c8d4072a06c1038ff07f07c16b9ca6a606c3e432eac</vt:lpwstr>
  </property>
</Properties>
</file>