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FA87E" w14:textId="3E8AFE68" w:rsidR="000E4580" w:rsidRPr="00F86C5E" w:rsidRDefault="00CD00D4" w:rsidP="00F86C5E">
      <w:pPr>
        <w:pStyle w:val="Heading1"/>
      </w:pPr>
      <w:r w:rsidRPr="00F86C5E">
        <w:t xml:space="preserve">The Golden Thread of </w:t>
      </w:r>
      <w:proofErr w:type="spellStart"/>
      <w:r w:rsidRPr="0061716B">
        <w:rPr>
          <w:i/>
          <w:iCs/>
        </w:rPr>
        <w:t>Woolmington</w:t>
      </w:r>
      <w:proofErr w:type="spellEnd"/>
      <w:r w:rsidR="00E5704A" w:rsidRPr="00F86C5E">
        <w:t xml:space="preserve"> –</w:t>
      </w:r>
      <w:r w:rsidRPr="00F86C5E">
        <w:t xml:space="preserve"> </w:t>
      </w:r>
      <w:r w:rsidR="008E451E" w:rsidRPr="00F86C5E">
        <w:t>A</w:t>
      </w:r>
      <w:r w:rsidRPr="00F86C5E">
        <w:t xml:space="preserve"> Domestic Yarn </w:t>
      </w:r>
      <w:r w:rsidR="008E451E" w:rsidRPr="00F86C5E">
        <w:t>T</w:t>
      </w:r>
      <w:r w:rsidRPr="00F86C5E">
        <w:t xml:space="preserve">hat </w:t>
      </w:r>
      <w:r w:rsidR="008E451E" w:rsidRPr="00F86C5E">
        <w:t>S</w:t>
      </w:r>
      <w:r w:rsidRPr="00F86C5E">
        <w:t xml:space="preserve">hould Never </w:t>
      </w:r>
      <w:r w:rsidR="008E451E" w:rsidRPr="00F86C5E">
        <w:t>H</w:t>
      </w:r>
      <w:r w:rsidRPr="00F86C5E">
        <w:t xml:space="preserve">ave </w:t>
      </w:r>
      <w:r w:rsidR="008E451E" w:rsidRPr="00F86C5E">
        <w:t>B</w:t>
      </w:r>
      <w:r w:rsidRPr="00F86C5E">
        <w:t>een Spun</w:t>
      </w:r>
    </w:p>
    <w:p w14:paraId="20899117" w14:textId="2E66036F" w:rsidR="00CD00D4" w:rsidRPr="00C95AE7" w:rsidRDefault="000E4580" w:rsidP="00CD00D4">
      <w:pPr>
        <w:spacing w:line="360" w:lineRule="auto"/>
        <w:rPr>
          <w:rFonts w:cstheme="minorHAnsi"/>
          <w:b/>
          <w:bCs/>
          <w:sz w:val="24"/>
          <w:szCs w:val="24"/>
        </w:rPr>
      </w:pPr>
      <w:r w:rsidRPr="00C95AE7">
        <w:rPr>
          <w:rFonts w:cstheme="minorHAnsi"/>
          <w:b/>
          <w:bCs/>
          <w:sz w:val="24"/>
          <w:szCs w:val="24"/>
        </w:rPr>
        <w:t>Karen Dyer</w:t>
      </w:r>
      <w:r w:rsidR="00CD00D4" w:rsidRPr="00C95AE7">
        <w:rPr>
          <w:rFonts w:cstheme="minorHAnsi"/>
          <w:b/>
          <w:bCs/>
          <w:sz w:val="24"/>
          <w:szCs w:val="24"/>
        </w:rPr>
        <w:t>*</w:t>
      </w:r>
    </w:p>
    <w:p w14:paraId="5C83266D" w14:textId="77777777" w:rsidR="00C95AE7" w:rsidRDefault="00C95AE7" w:rsidP="00EB152B">
      <w:pPr>
        <w:spacing w:line="360" w:lineRule="auto"/>
        <w:jc w:val="both"/>
        <w:rPr>
          <w:rFonts w:cstheme="minorHAnsi"/>
          <w:b/>
          <w:bCs/>
          <w:color w:val="333333"/>
          <w:sz w:val="24"/>
          <w:szCs w:val="24"/>
        </w:rPr>
      </w:pPr>
    </w:p>
    <w:p w14:paraId="1C0D874F" w14:textId="3727427E" w:rsidR="00A55DBC" w:rsidRPr="00F86C5E" w:rsidRDefault="00A55DBC" w:rsidP="00F86C5E">
      <w:pPr>
        <w:pStyle w:val="Heading2"/>
      </w:pPr>
      <w:r w:rsidRPr="00F86C5E">
        <w:t>Abstract</w:t>
      </w:r>
    </w:p>
    <w:p w14:paraId="7536E32D" w14:textId="59D186AB" w:rsidR="00CA5A1F" w:rsidRPr="00CA5A1F" w:rsidRDefault="00CA5A1F" w:rsidP="00CA5A1F">
      <w:pPr>
        <w:spacing w:line="360" w:lineRule="auto"/>
        <w:jc w:val="both"/>
        <w:rPr>
          <w:rFonts w:cstheme="minorHAnsi"/>
          <w:color w:val="333333"/>
          <w:sz w:val="24"/>
          <w:szCs w:val="24"/>
        </w:rPr>
      </w:pPr>
      <w:r w:rsidRPr="00CA5A1F">
        <w:rPr>
          <w:rFonts w:cstheme="minorHAnsi"/>
          <w:color w:val="333333"/>
          <w:sz w:val="24"/>
          <w:szCs w:val="24"/>
        </w:rPr>
        <w:t xml:space="preserve">The case of </w:t>
      </w:r>
      <w:proofErr w:type="spellStart"/>
      <w:r w:rsidRPr="00CA5A1F">
        <w:rPr>
          <w:rFonts w:cstheme="minorHAnsi"/>
          <w:i/>
          <w:iCs/>
          <w:color w:val="333333"/>
          <w:sz w:val="24"/>
          <w:szCs w:val="24"/>
        </w:rPr>
        <w:t>Woolmington</w:t>
      </w:r>
      <w:proofErr w:type="spellEnd"/>
      <w:r w:rsidRPr="00CA5A1F">
        <w:rPr>
          <w:rFonts w:cstheme="minorHAnsi"/>
          <w:i/>
          <w:iCs/>
          <w:color w:val="333333"/>
          <w:sz w:val="24"/>
          <w:szCs w:val="24"/>
        </w:rPr>
        <w:t xml:space="preserve"> v The Director of Public Prosecutions</w:t>
      </w:r>
      <w:r>
        <w:rPr>
          <w:rFonts w:cstheme="minorHAnsi"/>
          <w:i/>
          <w:iCs/>
          <w:color w:val="333333"/>
          <w:sz w:val="24"/>
          <w:szCs w:val="24"/>
        </w:rPr>
        <w:t xml:space="preserve"> </w:t>
      </w:r>
      <w:r w:rsidRPr="00CA5A1F">
        <w:rPr>
          <w:rFonts w:cstheme="minorHAnsi"/>
          <w:color w:val="333333"/>
          <w:sz w:val="24"/>
          <w:szCs w:val="24"/>
        </w:rPr>
        <w:t xml:space="preserve">[1935] </w:t>
      </w:r>
      <w:r>
        <w:rPr>
          <w:rFonts w:cstheme="minorHAnsi"/>
          <w:color w:val="333333"/>
          <w:sz w:val="24"/>
          <w:szCs w:val="24"/>
        </w:rPr>
        <w:t xml:space="preserve">1 </w:t>
      </w:r>
      <w:r w:rsidRPr="00CA5A1F">
        <w:rPr>
          <w:rFonts w:cstheme="minorHAnsi"/>
          <w:color w:val="333333"/>
          <w:sz w:val="24"/>
          <w:szCs w:val="24"/>
        </w:rPr>
        <w:t xml:space="preserve">AC 462 is renowned for Viscount Sankey’s ‘golden thread’ ruling, that the prosecution bears the burden of proof at trial. However, what is frequently overlooked is that this judgment arises from domestic violence. In this </w:t>
      </w:r>
      <w:r>
        <w:rPr>
          <w:rFonts w:cstheme="minorHAnsi"/>
          <w:color w:val="333333"/>
          <w:sz w:val="24"/>
          <w:szCs w:val="24"/>
        </w:rPr>
        <w:t>commentary</w:t>
      </w:r>
      <w:r w:rsidRPr="00CA5A1F">
        <w:rPr>
          <w:rFonts w:cstheme="minorHAnsi"/>
          <w:color w:val="333333"/>
          <w:sz w:val="24"/>
          <w:szCs w:val="24"/>
        </w:rPr>
        <w:t xml:space="preserve">, the facts of </w:t>
      </w:r>
      <w:proofErr w:type="spellStart"/>
      <w:r w:rsidRPr="00CA5A1F">
        <w:rPr>
          <w:rFonts w:cstheme="minorHAnsi"/>
          <w:i/>
          <w:iCs/>
          <w:color w:val="333333"/>
          <w:sz w:val="24"/>
          <w:szCs w:val="24"/>
        </w:rPr>
        <w:t>Woolmington</w:t>
      </w:r>
      <w:proofErr w:type="spellEnd"/>
      <w:r w:rsidRPr="00CA5A1F">
        <w:rPr>
          <w:rFonts w:cstheme="minorHAnsi"/>
          <w:color w:val="333333"/>
          <w:sz w:val="24"/>
          <w:szCs w:val="24"/>
        </w:rPr>
        <w:t xml:space="preserve"> will be investigated, and charted using a domestic abuse risk assessment form (DARA) which </w:t>
      </w:r>
      <w:r>
        <w:rPr>
          <w:rFonts w:cstheme="minorHAnsi"/>
          <w:color w:val="333333"/>
          <w:sz w:val="24"/>
          <w:szCs w:val="24"/>
        </w:rPr>
        <w:t>is</w:t>
      </w:r>
      <w:r w:rsidRPr="00CA5A1F">
        <w:rPr>
          <w:rFonts w:cstheme="minorHAnsi"/>
          <w:color w:val="333333"/>
          <w:sz w:val="24"/>
          <w:szCs w:val="24"/>
        </w:rPr>
        <w:t xml:space="preserve"> used by police to assess the potential risk to victims after an alleged domestic incident. It will be shown that there were numerous ‘red flags’ in </w:t>
      </w:r>
      <w:r w:rsidR="00A74D6B">
        <w:rPr>
          <w:rFonts w:cstheme="minorHAnsi"/>
          <w:color w:val="333333"/>
          <w:sz w:val="24"/>
          <w:szCs w:val="24"/>
        </w:rPr>
        <w:t xml:space="preserve">Reginald </w:t>
      </w:r>
      <w:proofErr w:type="spellStart"/>
      <w:r w:rsidRPr="00CA5A1F">
        <w:rPr>
          <w:rFonts w:cstheme="minorHAnsi"/>
          <w:color w:val="333333"/>
          <w:sz w:val="24"/>
          <w:szCs w:val="24"/>
        </w:rPr>
        <w:t>Woolmington’s</w:t>
      </w:r>
      <w:proofErr w:type="spellEnd"/>
      <w:r w:rsidRPr="00CA5A1F">
        <w:rPr>
          <w:rFonts w:cstheme="minorHAnsi"/>
          <w:color w:val="333333"/>
          <w:sz w:val="24"/>
          <w:szCs w:val="24"/>
        </w:rPr>
        <w:t xml:space="preserve"> behaviour towards Violet, his wife, which indicated that she was at risk of serious physical violence from her husband.</w:t>
      </w:r>
      <w:r w:rsidR="00A74D6B">
        <w:rPr>
          <w:rFonts w:cstheme="minorHAnsi"/>
          <w:color w:val="333333"/>
          <w:sz w:val="24"/>
          <w:szCs w:val="24"/>
        </w:rPr>
        <w:t xml:space="preserve"> </w:t>
      </w:r>
      <w:r w:rsidRPr="00CA5A1F">
        <w:rPr>
          <w:rFonts w:cstheme="minorHAnsi"/>
          <w:color w:val="333333"/>
          <w:sz w:val="24"/>
          <w:szCs w:val="24"/>
        </w:rPr>
        <w:t xml:space="preserve">The </w:t>
      </w:r>
      <w:r w:rsidR="00A74D6B">
        <w:rPr>
          <w:rFonts w:cstheme="minorHAnsi"/>
          <w:color w:val="333333"/>
          <w:sz w:val="24"/>
          <w:szCs w:val="24"/>
        </w:rPr>
        <w:t xml:space="preserve">commentary </w:t>
      </w:r>
      <w:r w:rsidRPr="00CA5A1F">
        <w:rPr>
          <w:rFonts w:cstheme="minorHAnsi"/>
          <w:color w:val="333333"/>
          <w:sz w:val="24"/>
          <w:szCs w:val="24"/>
        </w:rPr>
        <w:t xml:space="preserve">then </w:t>
      </w:r>
      <w:r w:rsidR="00D14C77">
        <w:rPr>
          <w:rFonts w:cstheme="minorHAnsi"/>
          <w:color w:val="333333"/>
          <w:sz w:val="24"/>
          <w:szCs w:val="24"/>
        </w:rPr>
        <w:t xml:space="preserve">reflects on the fact that </w:t>
      </w:r>
      <w:r w:rsidRPr="00CA5A1F">
        <w:rPr>
          <w:rFonts w:cstheme="minorHAnsi"/>
          <w:color w:val="333333"/>
          <w:sz w:val="24"/>
          <w:szCs w:val="24"/>
        </w:rPr>
        <w:t xml:space="preserve">such an important ruling </w:t>
      </w:r>
      <w:r w:rsidR="00D14C77">
        <w:rPr>
          <w:rFonts w:cstheme="minorHAnsi"/>
          <w:color w:val="333333"/>
          <w:sz w:val="24"/>
          <w:szCs w:val="24"/>
        </w:rPr>
        <w:t>is</w:t>
      </w:r>
      <w:r w:rsidRPr="00CA5A1F">
        <w:rPr>
          <w:rFonts w:cstheme="minorHAnsi"/>
          <w:color w:val="333333"/>
          <w:sz w:val="24"/>
          <w:szCs w:val="24"/>
        </w:rPr>
        <w:t xml:space="preserve"> named after </w:t>
      </w:r>
      <w:r w:rsidR="00A74D6B">
        <w:rPr>
          <w:rFonts w:cstheme="minorHAnsi"/>
          <w:color w:val="333333"/>
          <w:sz w:val="24"/>
          <w:szCs w:val="24"/>
        </w:rPr>
        <w:t xml:space="preserve">a </w:t>
      </w:r>
      <w:r w:rsidRPr="00CA5A1F">
        <w:rPr>
          <w:rFonts w:cstheme="minorHAnsi"/>
          <w:color w:val="333333"/>
          <w:sz w:val="24"/>
          <w:szCs w:val="24"/>
        </w:rPr>
        <w:t xml:space="preserve">domestic abuser. </w:t>
      </w:r>
    </w:p>
    <w:p w14:paraId="318D0A22" w14:textId="77777777" w:rsidR="00A55DBC" w:rsidRPr="00A55DBC" w:rsidRDefault="00A55DBC" w:rsidP="00EB152B">
      <w:pPr>
        <w:spacing w:line="360" w:lineRule="auto"/>
        <w:jc w:val="both"/>
        <w:rPr>
          <w:rFonts w:cstheme="minorHAnsi"/>
          <w:color w:val="333333"/>
          <w:sz w:val="24"/>
          <w:szCs w:val="24"/>
        </w:rPr>
      </w:pPr>
    </w:p>
    <w:p w14:paraId="208A2FE7" w14:textId="2E21A9FD" w:rsidR="00C95AE7" w:rsidRPr="00C95AE7" w:rsidRDefault="00C95AE7" w:rsidP="00F86C5E">
      <w:pPr>
        <w:pStyle w:val="Heading2"/>
      </w:pPr>
      <w:r w:rsidRPr="00C95AE7">
        <w:t>Introduction</w:t>
      </w:r>
    </w:p>
    <w:p w14:paraId="588FF4EC" w14:textId="02AC64D8" w:rsidR="00CD00D4" w:rsidRDefault="00CD00D4" w:rsidP="00EB152B">
      <w:pPr>
        <w:spacing w:line="360" w:lineRule="auto"/>
        <w:jc w:val="both"/>
        <w:rPr>
          <w:rFonts w:cstheme="minorHAnsi"/>
          <w:color w:val="323132"/>
          <w:sz w:val="24"/>
          <w:szCs w:val="24"/>
          <w:shd w:val="clear" w:color="auto" w:fill="FFFFFF"/>
        </w:rPr>
      </w:pPr>
      <w:r w:rsidRPr="00EA203A">
        <w:rPr>
          <w:rFonts w:cstheme="minorHAnsi"/>
          <w:color w:val="333333"/>
          <w:sz w:val="24"/>
          <w:szCs w:val="24"/>
        </w:rPr>
        <w:t>The ‘golden thread’ principle in English law,</w:t>
      </w:r>
      <w:r w:rsidRPr="00EA203A">
        <w:rPr>
          <w:rFonts w:cstheme="minorHAnsi"/>
          <w:color w:val="4D5156"/>
          <w:sz w:val="24"/>
          <w:szCs w:val="24"/>
          <w:shd w:val="clear" w:color="auto" w:fill="FFFFFF"/>
        </w:rPr>
        <w:t xml:space="preserve"> that ‘it is the duty of the prosecution to prove the prisoner’s guilt’, </w:t>
      </w:r>
      <w:r w:rsidR="00EB152B">
        <w:rPr>
          <w:rFonts w:cstheme="minorHAnsi"/>
          <w:color w:val="4D5156"/>
          <w:sz w:val="24"/>
          <w:szCs w:val="24"/>
          <w:shd w:val="clear" w:color="auto" w:fill="FFFFFF"/>
        </w:rPr>
        <w:t xml:space="preserve">arises from the </w:t>
      </w:r>
      <w:r w:rsidR="00730D07">
        <w:rPr>
          <w:rFonts w:cstheme="minorHAnsi"/>
          <w:color w:val="4D5156"/>
          <w:sz w:val="24"/>
          <w:szCs w:val="24"/>
          <w:shd w:val="clear" w:color="auto" w:fill="FFFFFF"/>
        </w:rPr>
        <w:t>important</w:t>
      </w:r>
      <w:r w:rsidR="00EB152B">
        <w:rPr>
          <w:rFonts w:cstheme="minorHAnsi"/>
          <w:color w:val="4D5156"/>
          <w:sz w:val="24"/>
          <w:szCs w:val="24"/>
          <w:shd w:val="clear" w:color="auto" w:fill="FFFFFF"/>
        </w:rPr>
        <w:t xml:space="preserve"> judgment of </w:t>
      </w:r>
      <w:r w:rsidRPr="00EA203A">
        <w:rPr>
          <w:rFonts w:cstheme="minorHAnsi"/>
          <w:color w:val="333333"/>
          <w:sz w:val="24"/>
          <w:szCs w:val="24"/>
        </w:rPr>
        <w:t xml:space="preserve"> Lord Sankey in </w:t>
      </w:r>
      <w:proofErr w:type="spellStart"/>
      <w:r w:rsidRPr="00EA203A">
        <w:rPr>
          <w:rFonts w:cstheme="minorHAnsi"/>
          <w:i/>
          <w:iCs/>
          <w:color w:val="333333"/>
          <w:sz w:val="24"/>
          <w:szCs w:val="24"/>
        </w:rPr>
        <w:t>Woolmington</w:t>
      </w:r>
      <w:proofErr w:type="spellEnd"/>
      <w:r w:rsidRPr="00EA203A">
        <w:rPr>
          <w:rFonts w:cstheme="minorHAnsi"/>
          <w:i/>
          <w:iCs/>
          <w:color w:val="333333"/>
          <w:sz w:val="24"/>
          <w:szCs w:val="24"/>
        </w:rPr>
        <w:t xml:space="preserve"> v </w:t>
      </w:r>
      <w:r>
        <w:rPr>
          <w:rFonts w:cstheme="minorHAnsi"/>
          <w:i/>
          <w:iCs/>
          <w:color w:val="333333"/>
          <w:sz w:val="24"/>
          <w:szCs w:val="24"/>
        </w:rPr>
        <w:t xml:space="preserve">The </w:t>
      </w:r>
      <w:r w:rsidRPr="00EA203A">
        <w:rPr>
          <w:rFonts w:cstheme="minorHAnsi"/>
          <w:i/>
          <w:iCs/>
          <w:color w:val="333333"/>
          <w:sz w:val="24"/>
          <w:szCs w:val="24"/>
        </w:rPr>
        <w:t>Director of Public Prosecutions</w:t>
      </w:r>
      <w:r w:rsidR="00EB152B">
        <w:rPr>
          <w:rFonts w:cstheme="minorHAnsi"/>
          <w:i/>
          <w:iCs/>
          <w:color w:val="333333"/>
          <w:sz w:val="24"/>
          <w:szCs w:val="24"/>
        </w:rPr>
        <w:t>.</w:t>
      </w:r>
      <w:r w:rsidR="00EB152B" w:rsidRPr="002B495F">
        <w:rPr>
          <w:rStyle w:val="FootnoteReference"/>
          <w:rFonts w:cstheme="minorHAnsi"/>
          <w:color w:val="333333"/>
          <w:sz w:val="24"/>
          <w:szCs w:val="24"/>
        </w:rPr>
        <w:footnoteReference w:id="1"/>
      </w:r>
      <w:r w:rsidRPr="00EA203A">
        <w:rPr>
          <w:rFonts w:cstheme="minorHAnsi"/>
          <w:color w:val="333333"/>
          <w:sz w:val="24"/>
          <w:szCs w:val="24"/>
        </w:rPr>
        <w:t xml:space="preserve"> </w:t>
      </w:r>
      <w:r>
        <w:rPr>
          <w:rFonts w:cstheme="minorHAnsi"/>
          <w:color w:val="333333"/>
          <w:sz w:val="24"/>
          <w:szCs w:val="24"/>
        </w:rPr>
        <w:t>T</w:t>
      </w:r>
      <w:r w:rsidRPr="00EA203A">
        <w:rPr>
          <w:rFonts w:cstheme="minorHAnsi"/>
          <w:color w:val="333333"/>
          <w:sz w:val="24"/>
          <w:szCs w:val="24"/>
        </w:rPr>
        <w:t>here is little question that </w:t>
      </w:r>
      <w:proofErr w:type="spellStart"/>
      <w:r w:rsidRPr="00EA203A">
        <w:rPr>
          <w:rFonts w:cstheme="minorHAnsi"/>
          <w:i/>
          <w:iCs/>
          <w:color w:val="333333"/>
          <w:sz w:val="24"/>
          <w:szCs w:val="24"/>
        </w:rPr>
        <w:t>Woolmington</w:t>
      </w:r>
      <w:proofErr w:type="spellEnd"/>
      <w:r>
        <w:rPr>
          <w:rFonts w:cstheme="minorHAnsi"/>
          <w:i/>
          <w:iCs/>
          <w:color w:val="333333"/>
          <w:sz w:val="24"/>
          <w:szCs w:val="24"/>
        </w:rPr>
        <w:t xml:space="preserve"> </w:t>
      </w:r>
      <w:r w:rsidRPr="00EA203A">
        <w:rPr>
          <w:rFonts w:cstheme="minorHAnsi"/>
          <w:color w:val="333333"/>
          <w:sz w:val="24"/>
          <w:szCs w:val="24"/>
        </w:rPr>
        <w:t>falls into a select band of caselaw of ‘international importance</w:t>
      </w:r>
      <w:r w:rsidR="00CE5DC7">
        <w:rPr>
          <w:rFonts w:cstheme="minorHAnsi"/>
          <w:color w:val="333333"/>
          <w:sz w:val="24"/>
          <w:szCs w:val="24"/>
        </w:rPr>
        <w:t>’</w:t>
      </w:r>
      <w:r w:rsidRPr="00BA3882">
        <w:rPr>
          <w:rFonts w:cstheme="minorHAnsi"/>
          <w:color w:val="333333"/>
          <w:sz w:val="24"/>
          <w:szCs w:val="24"/>
        </w:rPr>
        <w:t>,</w:t>
      </w:r>
      <w:r w:rsidR="00EB152B">
        <w:rPr>
          <w:rStyle w:val="FootnoteReference"/>
          <w:rFonts w:cstheme="minorHAnsi"/>
          <w:color w:val="333333"/>
          <w:sz w:val="24"/>
          <w:szCs w:val="24"/>
        </w:rPr>
        <w:footnoteReference w:id="2"/>
      </w:r>
      <w:r w:rsidR="00EB152B">
        <w:rPr>
          <w:rFonts w:cstheme="minorHAnsi"/>
          <w:color w:val="333333"/>
          <w:sz w:val="24"/>
          <w:szCs w:val="24"/>
        </w:rPr>
        <w:t xml:space="preserve"> </w:t>
      </w:r>
      <w:r w:rsidRPr="00EA203A">
        <w:rPr>
          <w:rFonts w:cstheme="minorHAnsi"/>
          <w:color w:val="333333"/>
          <w:sz w:val="24"/>
          <w:szCs w:val="24"/>
        </w:rPr>
        <w:t>and in respect of criminal law and evidence that it is the ‘leading case of the twentieth century</w:t>
      </w:r>
      <w:r w:rsidR="00CC358D">
        <w:rPr>
          <w:rFonts w:cstheme="minorHAnsi"/>
          <w:color w:val="333333"/>
          <w:sz w:val="24"/>
          <w:szCs w:val="24"/>
        </w:rPr>
        <w:t>’</w:t>
      </w:r>
      <w:r w:rsidRPr="00EA203A">
        <w:rPr>
          <w:rFonts w:cstheme="minorHAnsi"/>
          <w:color w:val="333333"/>
          <w:sz w:val="24"/>
          <w:szCs w:val="24"/>
        </w:rPr>
        <w:t>.</w:t>
      </w:r>
      <w:r w:rsidRPr="00EA203A">
        <w:rPr>
          <w:rStyle w:val="FootnoteReference"/>
          <w:rFonts w:cstheme="minorHAnsi"/>
          <w:color w:val="333333"/>
          <w:sz w:val="24"/>
          <w:szCs w:val="24"/>
        </w:rPr>
        <w:footnoteReference w:id="3"/>
      </w:r>
      <w:r w:rsidRPr="00EA203A">
        <w:rPr>
          <w:rFonts w:cstheme="minorHAnsi"/>
          <w:color w:val="333333"/>
          <w:sz w:val="24"/>
          <w:szCs w:val="24"/>
        </w:rPr>
        <w:t xml:space="preserve">  </w:t>
      </w:r>
      <w:r>
        <w:rPr>
          <w:rFonts w:cstheme="minorHAnsi"/>
          <w:color w:val="333333"/>
          <w:sz w:val="24"/>
          <w:szCs w:val="24"/>
        </w:rPr>
        <w:t xml:space="preserve">What is less acknowledged in respect </w:t>
      </w:r>
      <w:r w:rsidRPr="00F657DB">
        <w:rPr>
          <w:rFonts w:cstheme="minorHAnsi"/>
          <w:color w:val="333333"/>
          <w:sz w:val="24"/>
          <w:szCs w:val="24"/>
        </w:rPr>
        <w:t>of Lord Sankey’s</w:t>
      </w:r>
      <w:r>
        <w:rPr>
          <w:rFonts w:cstheme="minorHAnsi"/>
          <w:i/>
          <w:iCs/>
          <w:color w:val="333333"/>
          <w:sz w:val="24"/>
          <w:szCs w:val="24"/>
        </w:rPr>
        <w:t xml:space="preserve"> </w:t>
      </w:r>
      <w:r>
        <w:rPr>
          <w:rFonts w:cstheme="minorHAnsi"/>
          <w:color w:val="333333"/>
          <w:sz w:val="24"/>
          <w:szCs w:val="24"/>
        </w:rPr>
        <w:t>ruling is that the basis for the judgment arises from a</w:t>
      </w:r>
      <w:r w:rsidR="00F813E9">
        <w:rPr>
          <w:rFonts w:cstheme="minorHAnsi"/>
          <w:color w:val="333333"/>
          <w:sz w:val="24"/>
          <w:szCs w:val="24"/>
        </w:rPr>
        <w:t>n unremarkable</w:t>
      </w:r>
      <w:r w:rsidR="00FA7ED6">
        <w:rPr>
          <w:rFonts w:cstheme="minorHAnsi"/>
          <w:color w:val="333333"/>
          <w:sz w:val="24"/>
          <w:szCs w:val="24"/>
        </w:rPr>
        <w:t xml:space="preserve"> </w:t>
      </w:r>
      <w:r>
        <w:rPr>
          <w:rFonts w:cstheme="minorHAnsi"/>
          <w:color w:val="333333"/>
          <w:sz w:val="24"/>
          <w:szCs w:val="24"/>
        </w:rPr>
        <w:t>domestic homicide</w:t>
      </w:r>
      <w:r w:rsidR="00374F57">
        <w:rPr>
          <w:rFonts w:cstheme="minorHAnsi"/>
          <w:color w:val="333333"/>
          <w:sz w:val="24"/>
          <w:szCs w:val="24"/>
        </w:rPr>
        <w:t>.</w:t>
      </w:r>
      <w:r>
        <w:rPr>
          <w:rFonts w:cstheme="minorHAnsi"/>
          <w:color w:val="333333"/>
          <w:sz w:val="24"/>
          <w:szCs w:val="24"/>
        </w:rPr>
        <w:t xml:space="preserve"> </w:t>
      </w:r>
      <w:r>
        <w:rPr>
          <w:rFonts w:cstheme="minorHAnsi"/>
          <w:sz w:val="24"/>
          <w:szCs w:val="24"/>
        </w:rPr>
        <w:t>Whilst t</w:t>
      </w:r>
      <w:r w:rsidRPr="00EA203A">
        <w:rPr>
          <w:rFonts w:cstheme="minorHAnsi"/>
          <w:sz w:val="24"/>
          <w:szCs w:val="24"/>
        </w:rPr>
        <w:t xml:space="preserve">he outline case facts of </w:t>
      </w:r>
      <w:proofErr w:type="spellStart"/>
      <w:r w:rsidRPr="00F63B34">
        <w:rPr>
          <w:rFonts w:cstheme="minorHAnsi"/>
          <w:i/>
          <w:iCs/>
          <w:sz w:val="24"/>
          <w:szCs w:val="24"/>
        </w:rPr>
        <w:t>Woolmington</w:t>
      </w:r>
      <w:proofErr w:type="spellEnd"/>
      <w:r w:rsidRPr="00EA203A">
        <w:rPr>
          <w:rFonts w:cstheme="minorHAnsi"/>
          <w:sz w:val="24"/>
          <w:szCs w:val="24"/>
        </w:rPr>
        <w:t xml:space="preserve"> are generally well known</w:t>
      </w:r>
      <w:r w:rsidR="009358A6">
        <w:rPr>
          <w:rFonts w:cstheme="minorHAnsi"/>
          <w:sz w:val="24"/>
          <w:szCs w:val="24"/>
        </w:rPr>
        <w:t xml:space="preserve"> (</w:t>
      </w:r>
      <w:r w:rsidR="00374F57">
        <w:rPr>
          <w:rFonts w:cstheme="minorHAnsi"/>
          <w:color w:val="333333"/>
          <w:sz w:val="24"/>
          <w:szCs w:val="24"/>
        </w:rPr>
        <w:t xml:space="preserve">that Reginald </w:t>
      </w:r>
      <w:proofErr w:type="spellStart"/>
      <w:r w:rsidR="00374F57">
        <w:rPr>
          <w:rFonts w:cstheme="minorHAnsi"/>
          <w:color w:val="333333"/>
          <w:sz w:val="24"/>
          <w:szCs w:val="24"/>
        </w:rPr>
        <w:t>Woolmington</w:t>
      </w:r>
      <w:proofErr w:type="spellEnd"/>
      <w:r w:rsidR="00374F57">
        <w:rPr>
          <w:rFonts w:cstheme="minorHAnsi"/>
          <w:color w:val="333333"/>
          <w:sz w:val="24"/>
          <w:szCs w:val="24"/>
        </w:rPr>
        <w:t xml:space="preserve"> shot </w:t>
      </w:r>
      <w:r w:rsidR="00F813E9">
        <w:rPr>
          <w:rFonts w:cstheme="minorHAnsi"/>
          <w:color w:val="333333"/>
          <w:sz w:val="24"/>
          <w:szCs w:val="24"/>
        </w:rPr>
        <w:t xml:space="preserve">and killed </w:t>
      </w:r>
      <w:r w:rsidR="00374F57">
        <w:rPr>
          <w:rFonts w:cstheme="minorHAnsi"/>
          <w:color w:val="333333"/>
          <w:sz w:val="24"/>
          <w:szCs w:val="24"/>
        </w:rPr>
        <w:t>his wife Violet</w:t>
      </w:r>
      <w:r w:rsidR="009358A6">
        <w:rPr>
          <w:rFonts w:cstheme="minorHAnsi"/>
          <w:color w:val="333333"/>
          <w:sz w:val="24"/>
          <w:szCs w:val="24"/>
        </w:rPr>
        <w:t>)</w:t>
      </w:r>
      <w:r w:rsidR="00374F57" w:rsidRPr="00EA203A">
        <w:rPr>
          <w:rFonts w:cstheme="minorHAnsi"/>
          <w:sz w:val="24"/>
          <w:szCs w:val="24"/>
        </w:rPr>
        <w:t xml:space="preserve"> </w:t>
      </w:r>
      <w:r w:rsidRPr="00EA203A">
        <w:rPr>
          <w:rFonts w:cstheme="minorHAnsi"/>
          <w:sz w:val="24"/>
          <w:szCs w:val="24"/>
        </w:rPr>
        <w:t>there</w:t>
      </w:r>
      <w:r w:rsidR="009358A6">
        <w:rPr>
          <w:rFonts w:cstheme="minorHAnsi"/>
          <w:sz w:val="24"/>
          <w:szCs w:val="24"/>
        </w:rPr>
        <w:t xml:space="preserve"> remains substantial background </w:t>
      </w:r>
      <w:r w:rsidR="009358A6">
        <w:rPr>
          <w:rFonts w:cstheme="minorHAnsi"/>
          <w:sz w:val="24"/>
          <w:szCs w:val="24"/>
        </w:rPr>
        <w:lastRenderedPageBreak/>
        <w:t xml:space="preserve">evidence </w:t>
      </w:r>
      <w:r w:rsidRPr="00EA203A">
        <w:rPr>
          <w:rFonts w:cstheme="minorHAnsi"/>
          <w:sz w:val="24"/>
          <w:szCs w:val="24"/>
        </w:rPr>
        <w:t xml:space="preserve">that </w:t>
      </w:r>
      <w:r>
        <w:rPr>
          <w:rFonts w:cstheme="minorHAnsi"/>
          <w:sz w:val="24"/>
          <w:szCs w:val="24"/>
        </w:rPr>
        <w:t>w</w:t>
      </w:r>
      <w:r w:rsidR="009358A6">
        <w:rPr>
          <w:rFonts w:cstheme="minorHAnsi"/>
          <w:sz w:val="24"/>
          <w:szCs w:val="24"/>
        </w:rPr>
        <w:t xml:space="preserve">as </w:t>
      </w:r>
      <w:r w:rsidRPr="00EA203A">
        <w:rPr>
          <w:rFonts w:cstheme="minorHAnsi"/>
          <w:sz w:val="24"/>
          <w:szCs w:val="24"/>
        </w:rPr>
        <w:t xml:space="preserve">not </w:t>
      </w:r>
      <w:r w:rsidR="00F813E9">
        <w:rPr>
          <w:rFonts w:cstheme="minorHAnsi"/>
          <w:sz w:val="24"/>
          <w:szCs w:val="24"/>
        </w:rPr>
        <w:t>discussed</w:t>
      </w:r>
      <w:r>
        <w:rPr>
          <w:rFonts w:cstheme="minorHAnsi"/>
          <w:sz w:val="24"/>
          <w:szCs w:val="24"/>
        </w:rPr>
        <w:t xml:space="preserve"> in t</w:t>
      </w:r>
      <w:r w:rsidRPr="00EA203A">
        <w:rPr>
          <w:rFonts w:cstheme="minorHAnsi"/>
          <w:sz w:val="24"/>
          <w:szCs w:val="24"/>
        </w:rPr>
        <w:t>he House of Lords</w:t>
      </w:r>
      <w:r w:rsidR="00B334AE">
        <w:rPr>
          <w:rFonts w:cstheme="minorHAnsi"/>
          <w:sz w:val="24"/>
          <w:szCs w:val="24"/>
        </w:rPr>
        <w:t>’</w:t>
      </w:r>
      <w:r w:rsidRPr="00EA203A">
        <w:rPr>
          <w:rFonts w:cstheme="minorHAnsi"/>
          <w:sz w:val="24"/>
          <w:szCs w:val="24"/>
        </w:rPr>
        <w:t xml:space="preserve"> ruling </w:t>
      </w:r>
      <w:r w:rsidR="009358A6">
        <w:rPr>
          <w:rFonts w:cstheme="minorHAnsi"/>
          <w:sz w:val="24"/>
          <w:szCs w:val="24"/>
        </w:rPr>
        <w:t>and has only recently b</w:t>
      </w:r>
      <w:r w:rsidRPr="00EA203A">
        <w:rPr>
          <w:rFonts w:cstheme="minorHAnsi"/>
          <w:sz w:val="24"/>
          <w:szCs w:val="24"/>
        </w:rPr>
        <w:t xml:space="preserve">een </w:t>
      </w:r>
      <w:r w:rsidR="00F813E9">
        <w:rPr>
          <w:rFonts w:cstheme="minorHAnsi"/>
          <w:sz w:val="24"/>
          <w:szCs w:val="24"/>
        </w:rPr>
        <w:t>explored</w:t>
      </w:r>
      <w:r w:rsidRPr="00EA203A">
        <w:rPr>
          <w:rFonts w:cstheme="minorHAnsi"/>
          <w:sz w:val="24"/>
          <w:szCs w:val="24"/>
        </w:rPr>
        <w:t xml:space="preserve"> by authors.</w:t>
      </w:r>
      <w:r w:rsidRPr="00EA203A">
        <w:rPr>
          <w:rStyle w:val="FootnoteReference"/>
          <w:rFonts w:cstheme="minorHAnsi"/>
          <w:sz w:val="24"/>
          <w:szCs w:val="24"/>
        </w:rPr>
        <w:footnoteReference w:id="4"/>
      </w:r>
      <w:r w:rsidRPr="00EA203A">
        <w:rPr>
          <w:rFonts w:cstheme="minorHAnsi"/>
          <w:sz w:val="24"/>
          <w:szCs w:val="24"/>
        </w:rPr>
        <w:t xml:space="preserve"> </w:t>
      </w:r>
      <w:r>
        <w:rPr>
          <w:rFonts w:cstheme="minorHAnsi"/>
          <w:sz w:val="24"/>
          <w:szCs w:val="24"/>
        </w:rPr>
        <w:t xml:space="preserve"> </w:t>
      </w:r>
    </w:p>
    <w:p w14:paraId="53DCD3DD" w14:textId="4D65388A" w:rsidR="00094315" w:rsidRDefault="00B334AE" w:rsidP="00B334AE">
      <w:pPr>
        <w:spacing w:line="360" w:lineRule="auto"/>
        <w:ind w:firstLine="720"/>
        <w:jc w:val="both"/>
        <w:rPr>
          <w:rFonts w:cstheme="minorHAnsi"/>
          <w:color w:val="333333"/>
          <w:sz w:val="24"/>
          <w:szCs w:val="24"/>
        </w:rPr>
      </w:pPr>
      <w:r>
        <w:rPr>
          <w:rFonts w:cstheme="minorHAnsi"/>
          <w:color w:val="333333"/>
          <w:sz w:val="24"/>
          <w:szCs w:val="24"/>
        </w:rPr>
        <w:t>I</w:t>
      </w:r>
      <w:r w:rsidR="00CD00D4" w:rsidRPr="00EA203A">
        <w:rPr>
          <w:rFonts w:cstheme="minorHAnsi"/>
          <w:color w:val="333333"/>
          <w:sz w:val="24"/>
          <w:szCs w:val="24"/>
        </w:rPr>
        <w:t xml:space="preserve">n this </w:t>
      </w:r>
      <w:r w:rsidR="00C629BB">
        <w:rPr>
          <w:rFonts w:cstheme="minorHAnsi"/>
          <w:color w:val="333333"/>
          <w:sz w:val="24"/>
          <w:szCs w:val="24"/>
        </w:rPr>
        <w:t>commentary</w:t>
      </w:r>
      <w:r w:rsidR="00CD00D4" w:rsidRPr="00EA203A">
        <w:rPr>
          <w:rFonts w:cstheme="minorHAnsi"/>
          <w:color w:val="333333"/>
          <w:sz w:val="24"/>
          <w:szCs w:val="24"/>
        </w:rPr>
        <w:t xml:space="preserve">, the domestic saga behind </w:t>
      </w:r>
      <w:proofErr w:type="spellStart"/>
      <w:r w:rsidR="00CD00D4" w:rsidRPr="005E1DDF">
        <w:rPr>
          <w:rFonts w:cstheme="minorHAnsi"/>
          <w:i/>
          <w:iCs/>
          <w:color w:val="333333"/>
          <w:sz w:val="24"/>
          <w:szCs w:val="24"/>
        </w:rPr>
        <w:t>Woolmington</w:t>
      </w:r>
      <w:proofErr w:type="spellEnd"/>
      <w:r w:rsidR="00CD00D4" w:rsidRPr="00EA203A">
        <w:rPr>
          <w:rFonts w:cstheme="minorHAnsi"/>
          <w:color w:val="333333"/>
          <w:sz w:val="24"/>
          <w:szCs w:val="24"/>
        </w:rPr>
        <w:t xml:space="preserve"> will be investigated and charted using a </w:t>
      </w:r>
      <w:r w:rsidR="005F2BB3">
        <w:rPr>
          <w:rFonts w:cstheme="minorHAnsi"/>
          <w:color w:val="333333"/>
          <w:sz w:val="24"/>
          <w:szCs w:val="24"/>
        </w:rPr>
        <w:t xml:space="preserve">generic </w:t>
      </w:r>
      <w:r w:rsidR="00CD00D4" w:rsidRPr="00EA203A">
        <w:rPr>
          <w:rFonts w:cstheme="minorHAnsi"/>
          <w:color w:val="333333"/>
          <w:sz w:val="24"/>
          <w:szCs w:val="24"/>
        </w:rPr>
        <w:t>domestic abuse risk assessment form (DARA)</w:t>
      </w:r>
      <w:r w:rsidR="00242AF8">
        <w:rPr>
          <w:rFonts w:cstheme="minorHAnsi"/>
          <w:color w:val="333333"/>
          <w:sz w:val="24"/>
          <w:szCs w:val="24"/>
        </w:rPr>
        <w:t>.</w:t>
      </w:r>
      <w:r w:rsidR="00CD00D4">
        <w:rPr>
          <w:rStyle w:val="FootnoteReference"/>
          <w:rFonts w:cstheme="minorHAnsi"/>
          <w:color w:val="333333"/>
          <w:sz w:val="24"/>
          <w:szCs w:val="24"/>
        </w:rPr>
        <w:footnoteReference w:id="5"/>
      </w:r>
      <w:r w:rsidR="00CD00D4">
        <w:rPr>
          <w:rFonts w:cstheme="minorHAnsi"/>
          <w:color w:val="333333"/>
          <w:sz w:val="24"/>
          <w:szCs w:val="24"/>
        </w:rPr>
        <w:t xml:space="preserve"> DARAs are </w:t>
      </w:r>
      <w:r w:rsidR="00CD00D4" w:rsidRPr="00EA203A">
        <w:rPr>
          <w:rFonts w:cstheme="minorHAnsi"/>
          <w:color w:val="333333"/>
          <w:sz w:val="24"/>
          <w:szCs w:val="24"/>
        </w:rPr>
        <w:t xml:space="preserve">used by first responders </w:t>
      </w:r>
      <w:r w:rsidR="00CD00D4">
        <w:rPr>
          <w:rFonts w:cstheme="minorHAnsi"/>
          <w:color w:val="333333"/>
          <w:sz w:val="24"/>
          <w:szCs w:val="24"/>
        </w:rPr>
        <w:t xml:space="preserve">and investigators working for </w:t>
      </w:r>
      <w:r w:rsidR="00CD00D4" w:rsidRPr="00EA203A">
        <w:rPr>
          <w:rFonts w:cstheme="minorHAnsi"/>
          <w:color w:val="333333"/>
          <w:sz w:val="24"/>
          <w:szCs w:val="24"/>
        </w:rPr>
        <w:t>police forces across England and Wales</w:t>
      </w:r>
      <w:r w:rsidR="00CD00D4">
        <w:rPr>
          <w:rFonts w:cstheme="minorHAnsi"/>
          <w:color w:val="333333"/>
          <w:sz w:val="24"/>
          <w:szCs w:val="24"/>
        </w:rPr>
        <w:t xml:space="preserve">, </w:t>
      </w:r>
      <w:r w:rsidR="00CD00D4" w:rsidRPr="00EA203A">
        <w:rPr>
          <w:rFonts w:cstheme="minorHAnsi"/>
          <w:color w:val="333333"/>
          <w:sz w:val="24"/>
          <w:szCs w:val="24"/>
        </w:rPr>
        <w:t xml:space="preserve">to assess the potential risk to domestic </w:t>
      </w:r>
      <w:r w:rsidR="004D2EA5">
        <w:rPr>
          <w:rFonts w:cstheme="minorHAnsi"/>
          <w:color w:val="333333"/>
          <w:sz w:val="24"/>
          <w:szCs w:val="24"/>
        </w:rPr>
        <w:t xml:space="preserve">abuse </w:t>
      </w:r>
      <w:r w:rsidR="00CD00D4" w:rsidRPr="00EA203A">
        <w:rPr>
          <w:rFonts w:cstheme="minorHAnsi"/>
          <w:color w:val="333333"/>
          <w:sz w:val="24"/>
          <w:szCs w:val="24"/>
        </w:rPr>
        <w:t xml:space="preserve">victims after an alleged domestic </w:t>
      </w:r>
      <w:r w:rsidR="004D2EA5">
        <w:rPr>
          <w:rFonts w:cstheme="minorHAnsi"/>
          <w:color w:val="333333"/>
          <w:sz w:val="24"/>
          <w:szCs w:val="24"/>
        </w:rPr>
        <w:t xml:space="preserve">abuse </w:t>
      </w:r>
      <w:r w:rsidR="00CD00D4" w:rsidRPr="00EA203A">
        <w:rPr>
          <w:rFonts w:cstheme="minorHAnsi"/>
          <w:color w:val="333333"/>
          <w:sz w:val="24"/>
          <w:szCs w:val="24"/>
        </w:rPr>
        <w:t>incident. It will be seen that there were considerable ‘red flags’ in respect of</w:t>
      </w:r>
      <w:r w:rsidR="00CD00D4">
        <w:rPr>
          <w:rFonts w:cstheme="minorHAnsi"/>
          <w:color w:val="333333"/>
          <w:sz w:val="24"/>
          <w:szCs w:val="24"/>
        </w:rPr>
        <w:t xml:space="preserve"> </w:t>
      </w:r>
      <w:r w:rsidR="00374F57" w:rsidRPr="00374F57">
        <w:rPr>
          <w:rFonts w:cstheme="minorHAnsi"/>
          <w:color w:val="333333"/>
          <w:sz w:val="24"/>
          <w:szCs w:val="24"/>
        </w:rPr>
        <w:t>Reginald’s</w:t>
      </w:r>
      <w:r w:rsidR="00CD00D4" w:rsidRPr="00374F57">
        <w:rPr>
          <w:rFonts w:cstheme="minorHAnsi"/>
          <w:color w:val="333333"/>
          <w:sz w:val="24"/>
          <w:szCs w:val="24"/>
        </w:rPr>
        <w:t xml:space="preserve"> </w:t>
      </w:r>
      <w:r w:rsidR="00CD00D4" w:rsidRPr="00EA203A">
        <w:rPr>
          <w:rFonts w:cstheme="minorHAnsi"/>
          <w:color w:val="333333"/>
          <w:sz w:val="24"/>
          <w:szCs w:val="24"/>
        </w:rPr>
        <w:t xml:space="preserve">behaviour prior to </w:t>
      </w:r>
      <w:r w:rsidR="00B54031">
        <w:rPr>
          <w:rFonts w:cstheme="minorHAnsi"/>
          <w:color w:val="333333"/>
          <w:sz w:val="24"/>
          <w:szCs w:val="24"/>
        </w:rPr>
        <w:t xml:space="preserve">killing </w:t>
      </w:r>
      <w:r w:rsidR="00374F57">
        <w:rPr>
          <w:rFonts w:cstheme="minorHAnsi"/>
          <w:color w:val="333333"/>
          <w:sz w:val="24"/>
          <w:szCs w:val="24"/>
        </w:rPr>
        <w:t xml:space="preserve">Violet, </w:t>
      </w:r>
      <w:r w:rsidR="00CD00D4" w:rsidRPr="00EA203A">
        <w:rPr>
          <w:rFonts w:cstheme="minorHAnsi"/>
          <w:color w:val="333333"/>
          <w:sz w:val="24"/>
          <w:szCs w:val="24"/>
        </w:rPr>
        <w:t xml:space="preserve">which, </w:t>
      </w:r>
      <w:r w:rsidR="00CD00D4">
        <w:rPr>
          <w:rFonts w:cstheme="minorHAnsi"/>
          <w:color w:val="333333"/>
          <w:sz w:val="24"/>
          <w:szCs w:val="24"/>
        </w:rPr>
        <w:t>if occurring today</w:t>
      </w:r>
      <w:r w:rsidR="00CD00D4" w:rsidRPr="00EA203A">
        <w:rPr>
          <w:rFonts w:cstheme="minorHAnsi"/>
          <w:color w:val="333333"/>
          <w:sz w:val="24"/>
          <w:szCs w:val="24"/>
        </w:rPr>
        <w:t xml:space="preserve">, </w:t>
      </w:r>
      <w:r w:rsidR="00CD00D4">
        <w:rPr>
          <w:rFonts w:cstheme="minorHAnsi"/>
          <w:color w:val="333333"/>
          <w:sz w:val="24"/>
          <w:szCs w:val="24"/>
        </w:rPr>
        <w:t>should</w:t>
      </w:r>
      <w:r w:rsidR="00CD00D4" w:rsidRPr="00EA203A">
        <w:rPr>
          <w:rFonts w:cstheme="minorHAnsi"/>
          <w:color w:val="333333"/>
          <w:sz w:val="24"/>
          <w:szCs w:val="24"/>
        </w:rPr>
        <w:t xml:space="preserve"> alert</w:t>
      </w:r>
      <w:r w:rsidR="00CD00D4">
        <w:rPr>
          <w:rFonts w:cstheme="minorHAnsi"/>
          <w:color w:val="333333"/>
          <w:sz w:val="24"/>
          <w:szCs w:val="24"/>
        </w:rPr>
        <w:t xml:space="preserve"> police, social services and </w:t>
      </w:r>
      <w:r w:rsidR="00374F57">
        <w:rPr>
          <w:rFonts w:cstheme="minorHAnsi"/>
          <w:color w:val="333333"/>
          <w:sz w:val="24"/>
          <w:szCs w:val="24"/>
        </w:rPr>
        <w:t>Violet</w:t>
      </w:r>
      <w:r w:rsidR="00537282">
        <w:rPr>
          <w:rFonts w:cstheme="minorHAnsi"/>
          <w:color w:val="333333"/>
          <w:sz w:val="24"/>
          <w:szCs w:val="24"/>
        </w:rPr>
        <w:t xml:space="preserve"> herself, that</w:t>
      </w:r>
      <w:r w:rsidR="00986E74" w:rsidRPr="00EA203A">
        <w:rPr>
          <w:rFonts w:cstheme="minorHAnsi"/>
          <w:color w:val="333333"/>
          <w:sz w:val="24"/>
          <w:szCs w:val="24"/>
        </w:rPr>
        <w:t xml:space="preserve"> </w:t>
      </w:r>
      <w:r w:rsidR="00986E74" w:rsidRPr="003910EA">
        <w:rPr>
          <w:rFonts w:cstheme="minorHAnsi"/>
          <w:color w:val="333333"/>
          <w:sz w:val="24"/>
          <w:szCs w:val="24"/>
        </w:rPr>
        <w:t>the defendant</w:t>
      </w:r>
      <w:r w:rsidR="00986E74">
        <w:rPr>
          <w:rFonts w:cstheme="minorHAnsi"/>
          <w:i/>
          <w:iCs/>
          <w:color w:val="333333"/>
          <w:sz w:val="24"/>
          <w:szCs w:val="24"/>
        </w:rPr>
        <w:t xml:space="preserve"> </w:t>
      </w:r>
      <w:r w:rsidR="00986E74" w:rsidRPr="00EA203A">
        <w:rPr>
          <w:rFonts w:cstheme="minorHAnsi"/>
          <w:color w:val="333333"/>
          <w:sz w:val="24"/>
          <w:szCs w:val="24"/>
        </w:rPr>
        <w:t xml:space="preserve">was on course </w:t>
      </w:r>
      <w:r w:rsidR="004D2EA5">
        <w:rPr>
          <w:rFonts w:cstheme="minorHAnsi"/>
          <w:color w:val="333333"/>
          <w:sz w:val="24"/>
          <w:szCs w:val="24"/>
        </w:rPr>
        <w:t>to</w:t>
      </w:r>
      <w:r w:rsidR="00986E74" w:rsidRPr="00EA203A">
        <w:rPr>
          <w:rFonts w:cstheme="minorHAnsi"/>
          <w:color w:val="333333"/>
          <w:sz w:val="24"/>
          <w:szCs w:val="24"/>
        </w:rPr>
        <w:t xml:space="preserve"> </w:t>
      </w:r>
      <w:r w:rsidR="005C51CE">
        <w:rPr>
          <w:rFonts w:cstheme="minorHAnsi"/>
          <w:color w:val="333333"/>
          <w:sz w:val="24"/>
          <w:szCs w:val="24"/>
        </w:rPr>
        <w:t>murder.</w:t>
      </w:r>
      <w:r w:rsidR="00B660AB">
        <w:rPr>
          <w:rFonts w:cstheme="minorHAnsi"/>
          <w:color w:val="333333"/>
          <w:sz w:val="24"/>
          <w:szCs w:val="24"/>
        </w:rPr>
        <w:t xml:space="preserve"> </w:t>
      </w:r>
      <w:r w:rsidR="00B660AB" w:rsidRPr="00EA203A">
        <w:rPr>
          <w:rFonts w:cstheme="minorHAnsi"/>
          <w:color w:val="333333"/>
          <w:sz w:val="24"/>
          <w:szCs w:val="24"/>
        </w:rPr>
        <w:t xml:space="preserve">Further, regardless of the quality of </w:t>
      </w:r>
      <w:r w:rsidR="004436DB">
        <w:rPr>
          <w:rFonts w:cstheme="minorHAnsi"/>
          <w:color w:val="333333"/>
          <w:sz w:val="24"/>
          <w:szCs w:val="24"/>
        </w:rPr>
        <w:t xml:space="preserve">Lord Sankey’s </w:t>
      </w:r>
      <w:r w:rsidR="00B660AB" w:rsidRPr="00EA203A">
        <w:rPr>
          <w:rFonts w:cstheme="minorHAnsi"/>
          <w:color w:val="333333"/>
          <w:sz w:val="24"/>
          <w:szCs w:val="24"/>
        </w:rPr>
        <w:t xml:space="preserve">ruling, the ultimate lack </w:t>
      </w:r>
      <w:r w:rsidR="00B660AB">
        <w:rPr>
          <w:rFonts w:cstheme="minorHAnsi"/>
          <w:color w:val="333333"/>
          <w:sz w:val="24"/>
          <w:szCs w:val="24"/>
        </w:rPr>
        <w:t xml:space="preserve">of </w:t>
      </w:r>
      <w:r w:rsidR="00B660AB" w:rsidRPr="00EA203A">
        <w:rPr>
          <w:rFonts w:cstheme="minorHAnsi"/>
          <w:color w:val="333333"/>
          <w:sz w:val="24"/>
          <w:szCs w:val="24"/>
        </w:rPr>
        <w:t>justice for the victim</w:t>
      </w:r>
      <w:r w:rsidR="005C51CE">
        <w:rPr>
          <w:rFonts w:cstheme="minorHAnsi"/>
          <w:color w:val="333333"/>
          <w:sz w:val="24"/>
          <w:szCs w:val="24"/>
        </w:rPr>
        <w:t xml:space="preserve"> </w:t>
      </w:r>
      <w:r w:rsidR="00632408">
        <w:rPr>
          <w:rFonts w:cstheme="minorHAnsi"/>
          <w:color w:val="333333"/>
          <w:sz w:val="24"/>
          <w:szCs w:val="24"/>
        </w:rPr>
        <w:t>(</w:t>
      </w:r>
      <w:r w:rsidR="00094315">
        <w:rPr>
          <w:rFonts w:cstheme="minorHAnsi"/>
          <w:color w:val="333333"/>
          <w:sz w:val="24"/>
          <w:szCs w:val="24"/>
        </w:rPr>
        <w:t xml:space="preserve">a </w:t>
      </w:r>
      <w:r w:rsidR="005C51CE">
        <w:rPr>
          <w:rFonts w:cstheme="minorHAnsi"/>
          <w:color w:val="333333"/>
          <w:sz w:val="24"/>
          <w:szCs w:val="24"/>
        </w:rPr>
        <w:t>re-trial</w:t>
      </w:r>
      <w:r w:rsidR="00094315">
        <w:rPr>
          <w:rFonts w:cstheme="minorHAnsi"/>
          <w:color w:val="333333"/>
          <w:sz w:val="24"/>
          <w:szCs w:val="24"/>
        </w:rPr>
        <w:t xml:space="preserve"> was not a legal possibility at the time</w:t>
      </w:r>
      <w:r w:rsidR="005C51CE">
        <w:rPr>
          <w:rFonts w:cstheme="minorHAnsi"/>
          <w:color w:val="333333"/>
          <w:sz w:val="24"/>
          <w:szCs w:val="24"/>
        </w:rPr>
        <w:t xml:space="preserve"> nor was a su</w:t>
      </w:r>
      <w:r w:rsidR="009358A6">
        <w:rPr>
          <w:rFonts w:cstheme="minorHAnsi"/>
          <w:color w:val="333333"/>
          <w:sz w:val="24"/>
          <w:szCs w:val="24"/>
        </w:rPr>
        <w:t>b</w:t>
      </w:r>
      <w:r w:rsidR="005C51CE">
        <w:rPr>
          <w:rFonts w:cstheme="minorHAnsi"/>
          <w:color w:val="333333"/>
          <w:sz w:val="24"/>
          <w:szCs w:val="24"/>
        </w:rPr>
        <w:t>stitute verdict given</w:t>
      </w:r>
      <w:r w:rsidR="00632408">
        <w:rPr>
          <w:rFonts w:cstheme="minorHAnsi"/>
          <w:color w:val="333333"/>
          <w:sz w:val="24"/>
          <w:szCs w:val="24"/>
        </w:rPr>
        <w:t>)</w:t>
      </w:r>
      <w:r w:rsidR="005C51CE">
        <w:rPr>
          <w:rFonts w:cstheme="minorHAnsi"/>
          <w:color w:val="333333"/>
          <w:sz w:val="24"/>
          <w:szCs w:val="24"/>
        </w:rPr>
        <w:t xml:space="preserve"> </w:t>
      </w:r>
      <w:r w:rsidR="00B660AB" w:rsidRPr="00EA203A">
        <w:rPr>
          <w:rFonts w:cstheme="minorHAnsi"/>
          <w:color w:val="333333"/>
          <w:sz w:val="24"/>
          <w:szCs w:val="24"/>
        </w:rPr>
        <w:t>tarnishes</w:t>
      </w:r>
      <w:r w:rsidR="00632408">
        <w:rPr>
          <w:rFonts w:cstheme="minorHAnsi"/>
          <w:color w:val="333333"/>
          <w:sz w:val="24"/>
          <w:szCs w:val="24"/>
        </w:rPr>
        <w:t>,</w:t>
      </w:r>
      <w:r w:rsidR="00B660AB" w:rsidRPr="00EA203A">
        <w:rPr>
          <w:rFonts w:cstheme="minorHAnsi"/>
          <w:color w:val="333333"/>
          <w:sz w:val="24"/>
          <w:szCs w:val="24"/>
        </w:rPr>
        <w:t xml:space="preserve"> what for many</w:t>
      </w:r>
      <w:r w:rsidR="00632408">
        <w:rPr>
          <w:rFonts w:cstheme="minorHAnsi"/>
          <w:color w:val="333333"/>
          <w:sz w:val="24"/>
          <w:szCs w:val="24"/>
        </w:rPr>
        <w:t>,</w:t>
      </w:r>
      <w:r w:rsidR="00B660AB" w:rsidRPr="00EA203A">
        <w:rPr>
          <w:rFonts w:cstheme="minorHAnsi"/>
          <w:color w:val="333333"/>
          <w:sz w:val="24"/>
          <w:szCs w:val="24"/>
        </w:rPr>
        <w:t xml:space="preserve"> has been considered a ‘golden’ moment in </w:t>
      </w:r>
      <w:r w:rsidR="00094315">
        <w:rPr>
          <w:rFonts w:cstheme="minorHAnsi"/>
          <w:color w:val="333333"/>
          <w:sz w:val="24"/>
          <w:szCs w:val="24"/>
        </w:rPr>
        <w:t>English law</w:t>
      </w:r>
      <w:r w:rsidR="00B54031">
        <w:rPr>
          <w:rFonts w:cstheme="minorHAnsi"/>
          <w:color w:val="333333"/>
          <w:sz w:val="24"/>
          <w:szCs w:val="24"/>
        </w:rPr>
        <w:t xml:space="preserve">, </w:t>
      </w:r>
      <w:r w:rsidR="004436DB">
        <w:rPr>
          <w:rFonts w:cstheme="minorHAnsi"/>
          <w:color w:val="333333"/>
          <w:sz w:val="24"/>
          <w:szCs w:val="24"/>
        </w:rPr>
        <w:t>as</w:t>
      </w:r>
      <w:r w:rsidR="00B54031">
        <w:rPr>
          <w:rFonts w:cstheme="minorHAnsi"/>
          <w:color w:val="333333"/>
          <w:sz w:val="24"/>
          <w:szCs w:val="24"/>
        </w:rPr>
        <w:t xml:space="preserve"> it appears to indirectly condone violence against women and girls. </w:t>
      </w:r>
      <w:r w:rsidR="00B660AB" w:rsidRPr="00EA203A">
        <w:rPr>
          <w:rFonts w:cstheme="minorHAnsi"/>
          <w:color w:val="333333"/>
          <w:sz w:val="24"/>
          <w:szCs w:val="24"/>
        </w:rPr>
        <w:t xml:space="preserve">  </w:t>
      </w:r>
    </w:p>
    <w:p w14:paraId="58B2D0A8" w14:textId="0BD261AF" w:rsidR="00BA05F6" w:rsidRDefault="00BA05F6" w:rsidP="00073D4A">
      <w:pPr>
        <w:spacing w:line="360" w:lineRule="auto"/>
        <w:ind w:firstLine="720"/>
        <w:jc w:val="both"/>
        <w:rPr>
          <w:rFonts w:cstheme="minorHAnsi"/>
          <w:color w:val="333333"/>
          <w:sz w:val="24"/>
          <w:szCs w:val="24"/>
        </w:rPr>
      </w:pPr>
      <w:r>
        <w:rPr>
          <w:rFonts w:cstheme="minorHAnsi"/>
          <w:color w:val="333333"/>
          <w:sz w:val="24"/>
          <w:szCs w:val="24"/>
        </w:rPr>
        <w:t xml:space="preserve">This </w:t>
      </w:r>
      <w:r w:rsidR="00C629BB">
        <w:rPr>
          <w:rFonts w:cstheme="minorHAnsi"/>
          <w:color w:val="333333"/>
          <w:sz w:val="24"/>
          <w:szCs w:val="24"/>
        </w:rPr>
        <w:t>commentary</w:t>
      </w:r>
      <w:r>
        <w:rPr>
          <w:rFonts w:cstheme="minorHAnsi"/>
          <w:color w:val="333333"/>
          <w:sz w:val="24"/>
          <w:szCs w:val="24"/>
        </w:rPr>
        <w:t xml:space="preserve"> will start by </w:t>
      </w:r>
      <w:r w:rsidR="004436DB">
        <w:rPr>
          <w:rFonts w:cstheme="minorHAnsi"/>
          <w:color w:val="333333"/>
          <w:sz w:val="24"/>
          <w:szCs w:val="24"/>
        </w:rPr>
        <w:t xml:space="preserve">investigating </w:t>
      </w:r>
      <w:r>
        <w:rPr>
          <w:rFonts w:cstheme="minorHAnsi"/>
          <w:color w:val="333333"/>
          <w:sz w:val="24"/>
          <w:szCs w:val="24"/>
        </w:rPr>
        <w:t xml:space="preserve">domestic abuse </w:t>
      </w:r>
      <w:r w:rsidR="004436DB">
        <w:rPr>
          <w:rFonts w:cstheme="minorHAnsi"/>
          <w:color w:val="333333"/>
          <w:sz w:val="24"/>
          <w:szCs w:val="24"/>
        </w:rPr>
        <w:t xml:space="preserve">statistics </w:t>
      </w:r>
      <w:r>
        <w:rPr>
          <w:rFonts w:cstheme="minorHAnsi"/>
          <w:color w:val="333333"/>
          <w:sz w:val="24"/>
          <w:szCs w:val="24"/>
        </w:rPr>
        <w:t xml:space="preserve">and the </w:t>
      </w:r>
      <w:r w:rsidR="004436DB">
        <w:rPr>
          <w:rFonts w:cstheme="minorHAnsi"/>
          <w:color w:val="333333"/>
          <w:sz w:val="24"/>
          <w:szCs w:val="24"/>
        </w:rPr>
        <w:t xml:space="preserve">general </w:t>
      </w:r>
      <w:r>
        <w:rPr>
          <w:rFonts w:cstheme="minorHAnsi"/>
          <w:color w:val="333333"/>
          <w:sz w:val="24"/>
          <w:szCs w:val="24"/>
        </w:rPr>
        <w:t>process of</w:t>
      </w:r>
      <w:r w:rsidR="004436DB">
        <w:rPr>
          <w:rFonts w:cstheme="minorHAnsi"/>
          <w:color w:val="333333"/>
          <w:sz w:val="24"/>
          <w:szCs w:val="24"/>
        </w:rPr>
        <w:t xml:space="preserve"> completing</w:t>
      </w:r>
      <w:r>
        <w:rPr>
          <w:rFonts w:cstheme="minorHAnsi"/>
          <w:color w:val="333333"/>
          <w:sz w:val="24"/>
          <w:szCs w:val="24"/>
        </w:rPr>
        <w:t xml:space="preserve"> </w:t>
      </w:r>
      <w:r w:rsidR="004436DB">
        <w:rPr>
          <w:rFonts w:cstheme="minorHAnsi"/>
          <w:color w:val="333333"/>
          <w:sz w:val="24"/>
          <w:szCs w:val="24"/>
        </w:rPr>
        <w:t>DARAs,</w:t>
      </w:r>
      <w:r>
        <w:rPr>
          <w:rFonts w:cstheme="minorHAnsi"/>
          <w:color w:val="333333"/>
          <w:sz w:val="24"/>
          <w:szCs w:val="24"/>
        </w:rPr>
        <w:t xml:space="preserve"> before </w:t>
      </w:r>
      <w:r w:rsidR="004436DB">
        <w:rPr>
          <w:rFonts w:cstheme="minorHAnsi"/>
          <w:color w:val="333333"/>
          <w:sz w:val="24"/>
          <w:szCs w:val="24"/>
        </w:rPr>
        <w:t>analysing</w:t>
      </w:r>
      <w:r>
        <w:rPr>
          <w:rFonts w:cstheme="minorHAnsi"/>
          <w:color w:val="333333"/>
          <w:sz w:val="24"/>
          <w:szCs w:val="24"/>
        </w:rPr>
        <w:t xml:space="preserve"> the facts of </w:t>
      </w:r>
      <w:proofErr w:type="spellStart"/>
      <w:r w:rsidRPr="004123EC">
        <w:rPr>
          <w:rFonts w:cstheme="minorHAnsi"/>
          <w:i/>
          <w:iCs/>
          <w:color w:val="333333"/>
          <w:sz w:val="24"/>
          <w:szCs w:val="24"/>
        </w:rPr>
        <w:t>Woolmington</w:t>
      </w:r>
      <w:proofErr w:type="spellEnd"/>
      <w:r>
        <w:rPr>
          <w:rFonts w:cstheme="minorHAnsi"/>
          <w:color w:val="333333"/>
          <w:sz w:val="24"/>
          <w:szCs w:val="24"/>
        </w:rPr>
        <w:t xml:space="preserve"> itself. </w:t>
      </w:r>
    </w:p>
    <w:p w14:paraId="73527C42" w14:textId="77777777" w:rsidR="006F02BD" w:rsidRDefault="006F02BD" w:rsidP="00754A35">
      <w:pPr>
        <w:spacing w:line="360" w:lineRule="auto"/>
        <w:jc w:val="both"/>
        <w:rPr>
          <w:rFonts w:cstheme="minorHAnsi"/>
          <w:b/>
          <w:bCs/>
          <w:color w:val="333333"/>
          <w:sz w:val="24"/>
          <w:szCs w:val="24"/>
        </w:rPr>
      </w:pPr>
    </w:p>
    <w:p w14:paraId="1D363F03" w14:textId="5A40643E" w:rsidR="00754A35" w:rsidRPr="003910EA" w:rsidRDefault="00754A35" w:rsidP="00F86C5E">
      <w:pPr>
        <w:pStyle w:val="Heading2"/>
      </w:pPr>
      <w:r w:rsidRPr="003910EA">
        <w:t>Domestic Violence v Domestic Abuse</w:t>
      </w:r>
    </w:p>
    <w:p w14:paraId="3C59A3D0" w14:textId="1A22E05D" w:rsidR="00F845DF" w:rsidRPr="00626592" w:rsidRDefault="00754A35" w:rsidP="00626592">
      <w:pPr>
        <w:spacing w:line="360" w:lineRule="auto"/>
        <w:jc w:val="both"/>
        <w:rPr>
          <w:rFonts w:cstheme="minorHAnsi"/>
          <w:sz w:val="24"/>
          <w:szCs w:val="24"/>
        </w:rPr>
      </w:pPr>
      <w:r w:rsidRPr="004E6168">
        <w:rPr>
          <w:rFonts w:cstheme="minorHAnsi"/>
          <w:sz w:val="24"/>
          <w:szCs w:val="24"/>
        </w:rPr>
        <w:t>Domestic abuse is defined as a gender-based crime. Although it affect</w:t>
      </w:r>
      <w:r w:rsidR="006F02BD">
        <w:rPr>
          <w:rFonts w:cstheme="minorHAnsi"/>
          <w:sz w:val="24"/>
          <w:szCs w:val="24"/>
        </w:rPr>
        <w:t>s</w:t>
      </w:r>
      <w:r w:rsidRPr="004E6168">
        <w:rPr>
          <w:rFonts w:cstheme="minorHAnsi"/>
          <w:sz w:val="24"/>
          <w:szCs w:val="24"/>
        </w:rPr>
        <w:t xml:space="preserve"> all</w:t>
      </w:r>
      <w:r w:rsidR="00B71607">
        <w:rPr>
          <w:rFonts w:cstheme="minorHAnsi"/>
          <w:sz w:val="24"/>
          <w:szCs w:val="24"/>
        </w:rPr>
        <w:t xml:space="preserve"> genders</w:t>
      </w:r>
      <w:r w:rsidRPr="004E6168">
        <w:rPr>
          <w:rFonts w:cstheme="minorHAnsi"/>
          <w:sz w:val="24"/>
          <w:szCs w:val="24"/>
        </w:rPr>
        <w:t>, it affects women disproportionately. In 1992, the United Nations Committee on the Elimination of Discrimination against Women (CEDAW) passed the ‘historic’ General Recommendation No</w:t>
      </w:r>
      <w:r w:rsidR="00110D37">
        <w:rPr>
          <w:rFonts w:cstheme="minorHAnsi"/>
          <w:sz w:val="24"/>
          <w:szCs w:val="24"/>
        </w:rPr>
        <w:t xml:space="preserve"> </w:t>
      </w:r>
      <w:r w:rsidRPr="004E6168">
        <w:rPr>
          <w:rFonts w:cstheme="minorHAnsi"/>
          <w:sz w:val="24"/>
          <w:szCs w:val="24"/>
        </w:rPr>
        <w:t>19, which require</w:t>
      </w:r>
      <w:r w:rsidR="00626592">
        <w:rPr>
          <w:rFonts w:cstheme="minorHAnsi"/>
          <w:sz w:val="24"/>
          <w:szCs w:val="24"/>
        </w:rPr>
        <w:t>s</w:t>
      </w:r>
      <w:r w:rsidRPr="004E6168">
        <w:rPr>
          <w:rFonts w:cstheme="minorHAnsi"/>
          <w:sz w:val="24"/>
          <w:szCs w:val="24"/>
        </w:rPr>
        <w:t xml:space="preserve"> that ‘State</w:t>
      </w:r>
      <w:r w:rsidRPr="004E6168">
        <w:rPr>
          <w:sz w:val="24"/>
          <w:szCs w:val="24"/>
        </w:rPr>
        <w:t>s parties should take all legal and other measures that are necessary to provide effective protection of women against gender-based violence’.</w:t>
      </w:r>
      <w:r w:rsidR="009F187D" w:rsidRPr="00EA203A">
        <w:rPr>
          <w:rStyle w:val="FootnoteReference"/>
          <w:rFonts w:cstheme="minorHAnsi"/>
          <w:sz w:val="24"/>
          <w:szCs w:val="24"/>
          <w:shd w:val="clear" w:color="auto" w:fill="FFFFFF"/>
        </w:rPr>
        <w:footnoteReference w:id="6"/>
      </w:r>
      <w:r w:rsidR="006D485A">
        <w:rPr>
          <w:rFonts w:cstheme="minorHAnsi"/>
          <w:sz w:val="24"/>
          <w:szCs w:val="24"/>
          <w:shd w:val="clear" w:color="auto" w:fill="FFFFFF"/>
        </w:rPr>
        <w:t xml:space="preserve"> </w:t>
      </w:r>
      <w:r w:rsidR="00F845DF" w:rsidRPr="00EA203A">
        <w:rPr>
          <w:rFonts w:cstheme="minorHAnsi"/>
          <w:sz w:val="24"/>
          <w:szCs w:val="24"/>
          <w:shd w:val="clear" w:color="auto" w:fill="FFFFFF"/>
        </w:rPr>
        <w:t xml:space="preserve">Despite </w:t>
      </w:r>
      <w:r w:rsidR="00F845DF">
        <w:rPr>
          <w:rFonts w:cstheme="minorHAnsi"/>
          <w:sz w:val="24"/>
          <w:szCs w:val="24"/>
          <w:shd w:val="clear" w:color="auto" w:fill="FFFFFF"/>
        </w:rPr>
        <w:lastRenderedPageBreak/>
        <w:t>CEDAW’s work</w:t>
      </w:r>
      <w:r w:rsidR="00F845DF" w:rsidRPr="00EA203A">
        <w:rPr>
          <w:rFonts w:cstheme="minorHAnsi"/>
          <w:sz w:val="24"/>
          <w:szCs w:val="24"/>
          <w:shd w:val="clear" w:color="auto" w:fill="FFFFFF"/>
        </w:rPr>
        <w:t>,</w:t>
      </w:r>
      <w:r w:rsidR="00F845DF" w:rsidRPr="00EA203A">
        <w:rPr>
          <w:rFonts w:cstheme="minorHAnsi"/>
          <w:sz w:val="24"/>
          <w:szCs w:val="24"/>
        </w:rPr>
        <w:t xml:space="preserve"> violence against women </w:t>
      </w:r>
      <w:r w:rsidR="005A53F0">
        <w:rPr>
          <w:rFonts w:cstheme="minorHAnsi"/>
          <w:sz w:val="24"/>
          <w:szCs w:val="24"/>
        </w:rPr>
        <w:t>‘</w:t>
      </w:r>
      <w:r w:rsidR="005A53F0" w:rsidRPr="005A53F0">
        <w:rPr>
          <w:rFonts w:cstheme="minorHAnsi"/>
          <w:sz w:val="24"/>
          <w:szCs w:val="24"/>
        </w:rPr>
        <w:t>remains pervasive in all countries</w:t>
      </w:r>
      <w:r w:rsidR="00D8037A">
        <w:rPr>
          <w:rFonts w:cstheme="minorHAnsi"/>
          <w:sz w:val="24"/>
          <w:szCs w:val="24"/>
        </w:rPr>
        <w:t>’.</w:t>
      </w:r>
      <w:r w:rsidR="005A53F0">
        <w:rPr>
          <w:rStyle w:val="FootnoteReference"/>
          <w:rFonts w:cstheme="minorHAnsi"/>
          <w:sz w:val="24"/>
          <w:szCs w:val="24"/>
        </w:rPr>
        <w:footnoteReference w:id="7"/>
      </w:r>
      <w:r w:rsidR="00626592">
        <w:rPr>
          <w:rFonts w:cstheme="minorHAnsi"/>
          <w:sz w:val="24"/>
          <w:szCs w:val="24"/>
        </w:rPr>
        <w:t xml:space="preserve"> </w:t>
      </w:r>
      <w:r w:rsidR="004F530C">
        <w:rPr>
          <w:rFonts w:cstheme="minorHAnsi"/>
          <w:sz w:val="24"/>
          <w:szCs w:val="24"/>
        </w:rPr>
        <w:t xml:space="preserve">In England and Wales, </w:t>
      </w:r>
      <w:r w:rsidR="006D485A">
        <w:rPr>
          <w:rFonts w:cstheme="minorHAnsi"/>
          <w:sz w:val="24"/>
          <w:szCs w:val="24"/>
        </w:rPr>
        <w:t xml:space="preserve">the </w:t>
      </w:r>
      <w:r w:rsidR="00626592" w:rsidRPr="00EA203A">
        <w:rPr>
          <w:rFonts w:cstheme="minorHAnsi"/>
          <w:sz w:val="24"/>
          <w:szCs w:val="24"/>
        </w:rPr>
        <w:t>Office for National Statistics</w:t>
      </w:r>
      <w:r w:rsidR="00D8037A">
        <w:rPr>
          <w:rFonts w:cstheme="minorHAnsi"/>
          <w:sz w:val="24"/>
          <w:szCs w:val="24"/>
        </w:rPr>
        <w:t xml:space="preserve"> </w:t>
      </w:r>
      <w:r w:rsidR="004F530C">
        <w:rPr>
          <w:rFonts w:cstheme="minorHAnsi"/>
          <w:sz w:val="24"/>
          <w:szCs w:val="24"/>
        </w:rPr>
        <w:t>report</w:t>
      </w:r>
      <w:r w:rsidR="00F845DF" w:rsidRPr="00EA203A">
        <w:rPr>
          <w:rFonts w:cstheme="minorHAnsi"/>
          <w:sz w:val="24"/>
          <w:szCs w:val="24"/>
        </w:rPr>
        <w:t xml:space="preserve"> that </w:t>
      </w:r>
      <w:r w:rsidR="00F845DF" w:rsidRPr="00EA203A">
        <w:rPr>
          <w:rFonts w:cstheme="minorHAnsi"/>
          <w:color w:val="323132"/>
          <w:sz w:val="24"/>
          <w:szCs w:val="24"/>
        </w:rPr>
        <w:t>2.</w:t>
      </w:r>
      <w:r w:rsidR="00393F5A">
        <w:rPr>
          <w:rFonts w:cstheme="minorHAnsi"/>
          <w:color w:val="323132"/>
          <w:sz w:val="24"/>
          <w:szCs w:val="24"/>
        </w:rPr>
        <w:t>3</w:t>
      </w:r>
      <w:r w:rsidR="00F845DF" w:rsidRPr="00EA203A">
        <w:rPr>
          <w:rFonts w:cstheme="minorHAnsi"/>
          <w:color w:val="323132"/>
          <w:sz w:val="24"/>
          <w:szCs w:val="24"/>
        </w:rPr>
        <w:t xml:space="preserve"> million people aged 16 years and over</w:t>
      </w:r>
      <w:r w:rsidR="00CD3FB2">
        <w:rPr>
          <w:rFonts w:cstheme="minorHAnsi"/>
          <w:color w:val="323132"/>
          <w:sz w:val="24"/>
          <w:szCs w:val="24"/>
        </w:rPr>
        <w:t xml:space="preserve"> </w:t>
      </w:r>
      <w:r w:rsidR="00F845DF" w:rsidRPr="00EA203A">
        <w:rPr>
          <w:rFonts w:cstheme="minorHAnsi"/>
          <w:color w:val="323132"/>
          <w:sz w:val="24"/>
          <w:szCs w:val="24"/>
        </w:rPr>
        <w:t>experienced domestic abuse</w:t>
      </w:r>
      <w:r w:rsidR="00626592" w:rsidRPr="00626592">
        <w:rPr>
          <w:rFonts w:cstheme="minorHAnsi"/>
          <w:sz w:val="24"/>
          <w:szCs w:val="24"/>
        </w:rPr>
        <w:t xml:space="preserve"> </w:t>
      </w:r>
      <w:r w:rsidR="004F530C">
        <w:rPr>
          <w:rFonts w:cstheme="minorHAnsi"/>
          <w:sz w:val="24"/>
          <w:szCs w:val="24"/>
        </w:rPr>
        <w:t>i</w:t>
      </w:r>
      <w:r w:rsidR="00626592" w:rsidRPr="00EA203A">
        <w:rPr>
          <w:rFonts w:cstheme="minorHAnsi"/>
          <w:sz w:val="24"/>
          <w:szCs w:val="24"/>
        </w:rPr>
        <w:t xml:space="preserve">n the year ending March </w:t>
      </w:r>
      <w:r w:rsidR="00626592" w:rsidRPr="00393F5A">
        <w:rPr>
          <w:rFonts w:cstheme="minorHAnsi"/>
          <w:sz w:val="24"/>
          <w:szCs w:val="24"/>
        </w:rPr>
        <w:t>202</w:t>
      </w:r>
      <w:r w:rsidR="00393F5A" w:rsidRPr="00393F5A">
        <w:rPr>
          <w:rFonts w:cstheme="minorHAnsi"/>
          <w:sz w:val="24"/>
          <w:szCs w:val="24"/>
        </w:rPr>
        <w:t>4</w:t>
      </w:r>
      <w:r w:rsidR="006A2E55">
        <w:rPr>
          <w:rFonts w:cstheme="minorHAnsi"/>
          <w:color w:val="323132"/>
          <w:sz w:val="24"/>
          <w:szCs w:val="24"/>
        </w:rPr>
        <w:t xml:space="preserve">; </w:t>
      </w:r>
      <w:r w:rsidR="006D2DE6">
        <w:rPr>
          <w:rFonts w:cstheme="minorHAnsi"/>
          <w:color w:val="323132"/>
          <w:sz w:val="24"/>
          <w:szCs w:val="24"/>
        </w:rPr>
        <w:t>1.6 million of these were female.</w:t>
      </w:r>
      <w:r w:rsidR="00E35F22" w:rsidRPr="00EA203A">
        <w:rPr>
          <w:rStyle w:val="FootnoteReference"/>
          <w:rFonts w:cstheme="minorHAnsi"/>
          <w:color w:val="323132"/>
          <w:sz w:val="24"/>
          <w:szCs w:val="24"/>
        </w:rPr>
        <w:footnoteReference w:id="8"/>
      </w:r>
      <w:r w:rsidR="00E35F22" w:rsidRPr="00EA203A">
        <w:rPr>
          <w:rFonts w:cstheme="minorHAnsi"/>
          <w:color w:val="323132"/>
          <w:sz w:val="24"/>
          <w:szCs w:val="24"/>
        </w:rPr>
        <w:t xml:space="preserve"> </w:t>
      </w:r>
      <w:r w:rsidR="00F845DF" w:rsidRPr="00EA203A">
        <w:rPr>
          <w:rFonts w:cstheme="minorHAnsi"/>
          <w:color w:val="323132"/>
          <w:sz w:val="24"/>
          <w:szCs w:val="24"/>
        </w:rPr>
        <w:t xml:space="preserve"> </w:t>
      </w:r>
      <w:r w:rsidR="00F845DF">
        <w:rPr>
          <w:rFonts w:cstheme="minorHAnsi"/>
          <w:color w:val="323132"/>
          <w:sz w:val="24"/>
          <w:szCs w:val="24"/>
        </w:rPr>
        <w:t xml:space="preserve"> </w:t>
      </w:r>
      <w:r w:rsidR="006D2DE6">
        <w:rPr>
          <w:rFonts w:cstheme="minorHAnsi"/>
          <w:color w:val="323132"/>
          <w:sz w:val="24"/>
          <w:szCs w:val="24"/>
        </w:rPr>
        <w:t>A</w:t>
      </w:r>
      <w:r w:rsidR="00F845DF" w:rsidRPr="00EA203A">
        <w:rPr>
          <w:rFonts w:cstheme="minorHAnsi"/>
          <w:sz w:val="24"/>
          <w:szCs w:val="24"/>
        </w:rPr>
        <w:t xml:space="preserve">nalysis of homicides from </w:t>
      </w:r>
      <w:r w:rsidR="0001395A">
        <w:rPr>
          <w:rFonts w:cstheme="minorHAnsi"/>
          <w:sz w:val="24"/>
          <w:szCs w:val="24"/>
        </w:rPr>
        <w:t xml:space="preserve">the </w:t>
      </w:r>
      <w:r w:rsidR="00F845DF" w:rsidRPr="00EA203A">
        <w:rPr>
          <w:rFonts w:cstheme="minorHAnsi"/>
          <w:sz w:val="24"/>
          <w:szCs w:val="24"/>
        </w:rPr>
        <w:t>year ending March 202</w:t>
      </w:r>
      <w:r w:rsidR="00E35F22">
        <w:rPr>
          <w:rFonts w:cstheme="minorHAnsi"/>
          <w:sz w:val="24"/>
          <w:szCs w:val="24"/>
        </w:rPr>
        <w:t>1</w:t>
      </w:r>
      <w:r w:rsidR="00F845DF" w:rsidRPr="00EA203A">
        <w:rPr>
          <w:rFonts w:cstheme="minorHAnsi"/>
          <w:color w:val="323132"/>
          <w:sz w:val="24"/>
          <w:szCs w:val="24"/>
          <w:shd w:val="clear" w:color="auto" w:fill="FFFFFF"/>
        </w:rPr>
        <w:t xml:space="preserve"> to the year ending March 202</w:t>
      </w:r>
      <w:r w:rsidR="00E35F22">
        <w:rPr>
          <w:rFonts w:cstheme="minorHAnsi"/>
          <w:color w:val="323132"/>
          <w:sz w:val="24"/>
          <w:szCs w:val="24"/>
          <w:shd w:val="clear" w:color="auto" w:fill="FFFFFF"/>
        </w:rPr>
        <w:t>3</w:t>
      </w:r>
      <w:r w:rsidR="00F845DF" w:rsidRPr="00EA203A">
        <w:rPr>
          <w:rFonts w:cstheme="minorHAnsi"/>
          <w:color w:val="323132"/>
          <w:sz w:val="24"/>
          <w:szCs w:val="24"/>
          <w:shd w:val="clear" w:color="auto" w:fill="FFFFFF"/>
        </w:rPr>
        <w:t xml:space="preserve"> show</w:t>
      </w:r>
      <w:r w:rsidR="0001395A">
        <w:rPr>
          <w:rFonts w:cstheme="minorHAnsi"/>
          <w:color w:val="323132"/>
          <w:sz w:val="24"/>
          <w:szCs w:val="24"/>
          <w:shd w:val="clear" w:color="auto" w:fill="FFFFFF"/>
        </w:rPr>
        <w:t>s</w:t>
      </w:r>
      <w:r w:rsidR="00F845DF" w:rsidRPr="00EA203A">
        <w:rPr>
          <w:rFonts w:cstheme="minorHAnsi"/>
          <w:color w:val="323132"/>
          <w:sz w:val="24"/>
          <w:szCs w:val="24"/>
          <w:shd w:val="clear" w:color="auto" w:fill="FFFFFF"/>
        </w:rPr>
        <w:t xml:space="preserve"> that </w:t>
      </w:r>
      <w:r w:rsidR="00F06209">
        <w:rPr>
          <w:rFonts w:cstheme="minorHAnsi"/>
          <w:color w:val="323132"/>
          <w:sz w:val="24"/>
          <w:szCs w:val="24"/>
          <w:shd w:val="clear" w:color="auto" w:fill="FFFFFF"/>
        </w:rPr>
        <w:t>women</w:t>
      </w:r>
      <w:r w:rsidR="00F845DF" w:rsidRPr="00EA203A">
        <w:rPr>
          <w:rFonts w:cstheme="minorHAnsi"/>
          <w:color w:val="323132"/>
          <w:sz w:val="24"/>
          <w:szCs w:val="24"/>
          <w:shd w:val="clear" w:color="auto" w:fill="FFFFFF"/>
        </w:rPr>
        <w:t xml:space="preserve"> accounted for 6</w:t>
      </w:r>
      <w:r w:rsidR="00E35F22">
        <w:rPr>
          <w:rFonts w:cstheme="minorHAnsi"/>
          <w:color w:val="323132"/>
          <w:sz w:val="24"/>
          <w:szCs w:val="24"/>
          <w:shd w:val="clear" w:color="auto" w:fill="FFFFFF"/>
        </w:rPr>
        <w:t>5.4</w:t>
      </w:r>
      <w:r w:rsidR="00F845DF">
        <w:rPr>
          <w:rFonts w:cstheme="minorHAnsi"/>
          <w:color w:val="323132"/>
          <w:sz w:val="24"/>
          <w:szCs w:val="24"/>
          <w:shd w:val="clear" w:color="auto" w:fill="FFFFFF"/>
        </w:rPr>
        <w:t xml:space="preserve"> </w:t>
      </w:r>
      <w:r w:rsidR="00F845DF" w:rsidRPr="0001395A">
        <w:rPr>
          <w:rFonts w:cstheme="minorHAnsi"/>
          <w:color w:val="323132"/>
          <w:sz w:val="24"/>
          <w:szCs w:val="24"/>
          <w:shd w:val="clear" w:color="auto" w:fill="FFFFFF"/>
        </w:rPr>
        <w:t>per cent</w:t>
      </w:r>
      <w:r w:rsidR="00F845DF">
        <w:rPr>
          <w:rFonts w:cstheme="minorHAnsi"/>
          <w:color w:val="323132"/>
          <w:sz w:val="24"/>
          <w:szCs w:val="24"/>
          <w:shd w:val="clear" w:color="auto" w:fill="FFFFFF"/>
        </w:rPr>
        <w:t xml:space="preserve"> </w:t>
      </w:r>
      <w:r w:rsidR="00F845DF" w:rsidRPr="00EA203A">
        <w:rPr>
          <w:rFonts w:cstheme="minorHAnsi"/>
          <w:color w:val="323132"/>
          <w:sz w:val="24"/>
          <w:szCs w:val="24"/>
          <w:shd w:val="clear" w:color="auto" w:fill="FFFFFF"/>
        </w:rPr>
        <w:t>of domestic homicide victims</w:t>
      </w:r>
      <w:r w:rsidR="00F845DF">
        <w:rPr>
          <w:rFonts w:cstheme="minorHAnsi"/>
          <w:color w:val="323132"/>
          <w:sz w:val="24"/>
          <w:szCs w:val="24"/>
          <w:shd w:val="clear" w:color="auto" w:fill="FFFFFF"/>
        </w:rPr>
        <w:t xml:space="preserve"> in England and Wales</w:t>
      </w:r>
      <w:r w:rsidR="00F845DF" w:rsidRPr="00EA203A">
        <w:rPr>
          <w:rFonts w:cstheme="minorHAnsi"/>
          <w:color w:val="323132"/>
          <w:sz w:val="24"/>
          <w:szCs w:val="24"/>
          <w:shd w:val="clear" w:color="auto" w:fill="FFFFFF"/>
        </w:rPr>
        <w:t>.</w:t>
      </w:r>
      <w:r w:rsidR="00F845DF" w:rsidRPr="00EA203A">
        <w:rPr>
          <w:rStyle w:val="FootnoteReference"/>
          <w:rFonts w:cstheme="minorHAnsi"/>
          <w:color w:val="323132"/>
          <w:sz w:val="24"/>
          <w:szCs w:val="24"/>
          <w:shd w:val="clear" w:color="auto" w:fill="FFFFFF"/>
        </w:rPr>
        <w:footnoteReference w:id="9"/>
      </w:r>
      <w:r w:rsidR="00F845DF" w:rsidRPr="00EA203A">
        <w:rPr>
          <w:rFonts w:cstheme="minorHAnsi"/>
          <w:color w:val="323132"/>
          <w:sz w:val="24"/>
          <w:szCs w:val="24"/>
          <w:shd w:val="clear" w:color="auto" w:fill="FFFFFF"/>
        </w:rPr>
        <w:t xml:space="preserve">  </w:t>
      </w:r>
    </w:p>
    <w:p w14:paraId="7E48EC69" w14:textId="505D4F96" w:rsidR="00FC37C5" w:rsidRDefault="00FC2693" w:rsidP="007E334B">
      <w:pPr>
        <w:spacing w:line="360" w:lineRule="auto"/>
        <w:ind w:firstLine="720"/>
        <w:jc w:val="both"/>
        <w:rPr>
          <w:rFonts w:cstheme="minorHAnsi"/>
          <w:color w:val="333333"/>
          <w:sz w:val="24"/>
          <w:szCs w:val="24"/>
        </w:rPr>
      </w:pPr>
      <w:r w:rsidRPr="00EA203A">
        <w:rPr>
          <w:rFonts w:cstheme="minorHAnsi"/>
          <w:sz w:val="24"/>
          <w:szCs w:val="24"/>
        </w:rPr>
        <w:t>First response officers frequently attend domestic abuse incidents during their shifts</w:t>
      </w:r>
      <w:r w:rsidR="00DF5F67">
        <w:rPr>
          <w:rFonts w:cstheme="minorHAnsi"/>
          <w:sz w:val="24"/>
          <w:szCs w:val="24"/>
        </w:rPr>
        <w:t>.</w:t>
      </w:r>
      <w:r w:rsidR="00DF5F67" w:rsidRPr="00DF5F67">
        <w:rPr>
          <w:rFonts w:cstheme="minorHAnsi"/>
          <w:sz w:val="24"/>
          <w:szCs w:val="24"/>
        </w:rPr>
        <w:t xml:space="preserve"> </w:t>
      </w:r>
      <w:r w:rsidR="00DF5F67" w:rsidRPr="00EA203A">
        <w:rPr>
          <w:rFonts w:cstheme="minorHAnsi"/>
          <w:sz w:val="24"/>
          <w:szCs w:val="24"/>
        </w:rPr>
        <w:t xml:space="preserve">In 2009, a </w:t>
      </w:r>
      <w:r w:rsidR="00DF5F67">
        <w:rPr>
          <w:rFonts w:cstheme="minorHAnsi"/>
          <w:sz w:val="24"/>
          <w:szCs w:val="24"/>
        </w:rPr>
        <w:t>‘</w:t>
      </w:r>
      <w:r w:rsidR="00DF5F67" w:rsidRPr="00EA203A">
        <w:rPr>
          <w:rFonts w:cstheme="minorHAnsi"/>
          <w:sz w:val="24"/>
          <w:szCs w:val="24"/>
        </w:rPr>
        <w:t>DASH</w:t>
      </w:r>
      <w:r w:rsidR="00DF5F67">
        <w:rPr>
          <w:rFonts w:cstheme="minorHAnsi"/>
          <w:sz w:val="24"/>
          <w:szCs w:val="24"/>
        </w:rPr>
        <w:t>’</w:t>
      </w:r>
      <w:r w:rsidR="00DF5F67" w:rsidRPr="00EA203A">
        <w:rPr>
          <w:rFonts w:cstheme="minorHAnsi"/>
          <w:sz w:val="24"/>
          <w:szCs w:val="24"/>
        </w:rPr>
        <w:t xml:space="preserve"> </w:t>
      </w:r>
      <w:r w:rsidR="00FD1BAC" w:rsidRPr="00EA203A">
        <w:rPr>
          <w:rFonts w:cstheme="minorHAnsi"/>
          <w:sz w:val="24"/>
          <w:szCs w:val="24"/>
        </w:rPr>
        <w:t>(Domestic Abuse, Stalking and Harassment)</w:t>
      </w:r>
      <w:r w:rsidR="00FD1BAC">
        <w:rPr>
          <w:rFonts w:cstheme="minorHAnsi"/>
          <w:sz w:val="24"/>
          <w:szCs w:val="24"/>
        </w:rPr>
        <w:t xml:space="preserve"> </w:t>
      </w:r>
      <w:r w:rsidR="007E334B">
        <w:rPr>
          <w:rFonts w:cstheme="minorHAnsi"/>
          <w:sz w:val="24"/>
          <w:szCs w:val="24"/>
        </w:rPr>
        <w:t xml:space="preserve">risk assessment </w:t>
      </w:r>
      <w:r w:rsidR="00FD1BAC">
        <w:rPr>
          <w:rFonts w:cstheme="minorHAnsi"/>
          <w:sz w:val="24"/>
          <w:szCs w:val="24"/>
        </w:rPr>
        <w:t>checklist</w:t>
      </w:r>
      <w:r w:rsidR="00DF5F67" w:rsidRPr="00EA203A">
        <w:rPr>
          <w:rFonts w:cstheme="minorHAnsi"/>
          <w:sz w:val="24"/>
          <w:szCs w:val="24"/>
        </w:rPr>
        <w:t xml:space="preserve"> was endorsed by Police Chiefs in England and Wales</w:t>
      </w:r>
      <w:r w:rsidR="00DF5F67">
        <w:rPr>
          <w:rFonts w:cstheme="minorHAnsi"/>
          <w:sz w:val="24"/>
          <w:szCs w:val="24"/>
        </w:rPr>
        <w:t xml:space="preserve"> to guide first responders during their interactions with the victim</w:t>
      </w:r>
      <w:r w:rsidR="00DF5F67" w:rsidRPr="00EA203A">
        <w:rPr>
          <w:rFonts w:cstheme="minorHAnsi"/>
          <w:sz w:val="24"/>
          <w:szCs w:val="24"/>
        </w:rPr>
        <w:t xml:space="preserve">. Questions on the DASH </w:t>
      </w:r>
      <w:r w:rsidR="00514FEF">
        <w:rPr>
          <w:rFonts w:cstheme="minorHAnsi"/>
          <w:sz w:val="24"/>
          <w:szCs w:val="24"/>
        </w:rPr>
        <w:t>checklist</w:t>
      </w:r>
      <w:r w:rsidR="00DF5F67" w:rsidRPr="00EA203A">
        <w:rPr>
          <w:rFonts w:cstheme="minorHAnsi"/>
          <w:sz w:val="24"/>
          <w:szCs w:val="24"/>
        </w:rPr>
        <w:t xml:space="preserve"> cover a range of physical, emotional and financial </w:t>
      </w:r>
      <w:r w:rsidR="00514FEF">
        <w:rPr>
          <w:rFonts w:cstheme="minorHAnsi"/>
          <w:sz w:val="24"/>
          <w:szCs w:val="24"/>
        </w:rPr>
        <w:t>experiences</w:t>
      </w:r>
      <w:r w:rsidR="00DF5F67" w:rsidRPr="00EA203A">
        <w:rPr>
          <w:rFonts w:cstheme="minorHAnsi"/>
          <w:sz w:val="24"/>
          <w:szCs w:val="24"/>
        </w:rPr>
        <w:t xml:space="preserve"> which aim to create a detailed risk assessment. Subsequent investigations into the efficacy of the DASH </w:t>
      </w:r>
      <w:r w:rsidR="00514FEF">
        <w:rPr>
          <w:rFonts w:cstheme="minorHAnsi"/>
          <w:sz w:val="24"/>
          <w:szCs w:val="24"/>
        </w:rPr>
        <w:t>checklist</w:t>
      </w:r>
      <w:r w:rsidR="00DF5F67" w:rsidRPr="00EA203A">
        <w:rPr>
          <w:rFonts w:cstheme="minorHAnsi"/>
          <w:sz w:val="24"/>
          <w:szCs w:val="24"/>
        </w:rPr>
        <w:t xml:space="preserve">, particularly in respect of the investigation into, and grading of, a number of domestic </w:t>
      </w:r>
      <w:r w:rsidR="00350AC8">
        <w:rPr>
          <w:rFonts w:cstheme="minorHAnsi"/>
          <w:sz w:val="24"/>
          <w:szCs w:val="24"/>
        </w:rPr>
        <w:t xml:space="preserve">abuse </w:t>
      </w:r>
      <w:r w:rsidR="00514FEF">
        <w:rPr>
          <w:rFonts w:cstheme="minorHAnsi"/>
          <w:sz w:val="24"/>
          <w:szCs w:val="24"/>
        </w:rPr>
        <w:t>indicators</w:t>
      </w:r>
      <w:r w:rsidR="00DF5F67" w:rsidRPr="00EA203A">
        <w:rPr>
          <w:rFonts w:cstheme="minorHAnsi"/>
          <w:sz w:val="24"/>
          <w:szCs w:val="24"/>
        </w:rPr>
        <w:t xml:space="preserve">, has led the College of Policing </w:t>
      </w:r>
      <w:r w:rsidR="004F530C">
        <w:rPr>
          <w:rFonts w:cstheme="minorHAnsi"/>
          <w:sz w:val="24"/>
          <w:szCs w:val="24"/>
        </w:rPr>
        <w:t xml:space="preserve">to </w:t>
      </w:r>
      <w:r w:rsidR="00DF5F67" w:rsidRPr="00EA203A">
        <w:rPr>
          <w:rFonts w:cstheme="minorHAnsi"/>
          <w:sz w:val="24"/>
          <w:szCs w:val="24"/>
        </w:rPr>
        <w:t>approv</w:t>
      </w:r>
      <w:r w:rsidR="004F530C">
        <w:rPr>
          <w:rFonts w:cstheme="minorHAnsi"/>
          <w:sz w:val="24"/>
          <w:szCs w:val="24"/>
        </w:rPr>
        <w:t>e</w:t>
      </w:r>
      <w:r w:rsidR="00DF5F67" w:rsidRPr="00EA203A">
        <w:rPr>
          <w:rFonts w:cstheme="minorHAnsi"/>
          <w:sz w:val="24"/>
          <w:szCs w:val="24"/>
        </w:rPr>
        <w:t xml:space="preserve"> amendments to the form’s methodology</w:t>
      </w:r>
      <w:r w:rsidR="00350AC8">
        <w:rPr>
          <w:rFonts w:cstheme="minorHAnsi"/>
          <w:sz w:val="24"/>
          <w:szCs w:val="24"/>
        </w:rPr>
        <w:t>. I</w:t>
      </w:r>
      <w:r w:rsidR="00DF5F67" w:rsidRPr="00EA203A">
        <w:rPr>
          <w:rFonts w:cstheme="minorHAnsi"/>
          <w:sz w:val="24"/>
          <w:szCs w:val="24"/>
        </w:rPr>
        <w:t>t is now referred to as Domestic Abuse Risk Assessment (DARA). The new title aligns with t</w:t>
      </w:r>
      <w:r w:rsidR="00DF5F67" w:rsidRPr="00EA203A">
        <w:rPr>
          <w:rFonts w:cstheme="minorHAnsi"/>
          <w:color w:val="333333"/>
          <w:sz w:val="24"/>
          <w:szCs w:val="24"/>
        </w:rPr>
        <w:t>he passing of the Domestic Abuse Act 2021, which has changed the traditional term of ‘domestic violence’ to ‘domestic abuse’,</w:t>
      </w:r>
      <w:r w:rsidR="00151505">
        <w:rPr>
          <w:rFonts w:cstheme="minorHAnsi"/>
          <w:color w:val="333333"/>
          <w:sz w:val="24"/>
          <w:szCs w:val="24"/>
        </w:rPr>
        <w:t xml:space="preserve"> </w:t>
      </w:r>
      <w:r w:rsidR="00E310C4">
        <w:rPr>
          <w:rFonts w:cstheme="minorHAnsi"/>
          <w:color w:val="333333"/>
          <w:sz w:val="24"/>
          <w:szCs w:val="24"/>
        </w:rPr>
        <w:t xml:space="preserve">in that </w:t>
      </w:r>
      <w:r w:rsidR="00151505" w:rsidRPr="0041487A">
        <w:rPr>
          <w:rFonts w:cstheme="minorHAnsi"/>
          <w:color w:val="333333"/>
          <w:sz w:val="24"/>
          <w:szCs w:val="24"/>
        </w:rPr>
        <w:t xml:space="preserve">‘abuse’ captures aspects of </w:t>
      </w:r>
      <w:r w:rsidR="00E310C4">
        <w:rPr>
          <w:rFonts w:cstheme="minorHAnsi"/>
          <w:color w:val="333333"/>
          <w:sz w:val="24"/>
          <w:szCs w:val="24"/>
        </w:rPr>
        <w:t>coercive</w:t>
      </w:r>
      <w:r w:rsidR="00151505" w:rsidRPr="0041487A">
        <w:rPr>
          <w:rFonts w:cstheme="minorHAnsi"/>
          <w:color w:val="333333"/>
          <w:sz w:val="24"/>
          <w:szCs w:val="24"/>
        </w:rPr>
        <w:t xml:space="preserve"> control that are not ostensibly ‘violent’.</w:t>
      </w:r>
      <w:r w:rsidR="00B71607">
        <w:rPr>
          <w:rStyle w:val="FootnoteReference"/>
          <w:rFonts w:cstheme="minorHAnsi"/>
          <w:color w:val="333333"/>
          <w:sz w:val="24"/>
          <w:szCs w:val="24"/>
        </w:rPr>
        <w:footnoteReference w:id="10"/>
      </w:r>
      <w:r w:rsidR="006C6B6F">
        <w:rPr>
          <w:rFonts w:cstheme="minorHAnsi"/>
          <w:color w:val="333333"/>
          <w:sz w:val="24"/>
          <w:szCs w:val="24"/>
        </w:rPr>
        <w:t xml:space="preserve">  </w:t>
      </w:r>
      <w:r w:rsidR="00FC37C5">
        <w:rPr>
          <w:rFonts w:cstheme="minorHAnsi"/>
          <w:color w:val="333333"/>
          <w:sz w:val="24"/>
          <w:szCs w:val="24"/>
        </w:rPr>
        <w:t xml:space="preserve"> </w:t>
      </w:r>
    </w:p>
    <w:p w14:paraId="15CE739D" w14:textId="7DE4FB9F" w:rsidR="00953E62" w:rsidRDefault="00FC37C5" w:rsidP="00EC4BE3">
      <w:pPr>
        <w:spacing w:line="360" w:lineRule="auto"/>
        <w:ind w:firstLine="720"/>
        <w:jc w:val="both"/>
        <w:rPr>
          <w:rFonts w:cstheme="minorHAnsi"/>
          <w:sz w:val="24"/>
          <w:szCs w:val="24"/>
        </w:rPr>
      </w:pPr>
      <w:r w:rsidRPr="00EA203A">
        <w:rPr>
          <w:rFonts w:cstheme="minorHAnsi"/>
          <w:sz w:val="24"/>
          <w:szCs w:val="24"/>
        </w:rPr>
        <w:t xml:space="preserve">In </w:t>
      </w:r>
      <w:r w:rsidR="008107FA">
        <w:rPr>
          <w:rFonts w:cstheme="minorHAnsi"/>
          <w:sz w:val="24"/>
          <w:szCs w:val="24"/>
        </w:rPr>
        <w:t xml:space="preserve">addition to changing the title of the risk assessment, </w:t>
      </w:r>
      <w:r w:rsidRPr="00EA203A">
        <w:rPr>
          <w:rFonts w:cstheme="minorHAnsi"/>
          <w:sz w:val="24"/>
          <w:szCs w:val="24"/>
        </w:rPr>
        <w:t xml:space="preserve">DARA has changed the nature of </w:t>
      </w:r>
      <w:r>
        <w:rPr>
          <w:rFonts w:cstheme="minorHAnsi"/>
          <w:sz w:val="24"/>
          <w:szCs w:val="24"/>
        </w:rPr>
        <w:t xml:space="preserve">the </w:t>
      </w:r>
      <w:r w:rsidRPr="00EA203A">
        <w:rPr>
          <w:rFonts w:cstheme="minorHAnsi"/>
          <w:sz w:val="24"/>
          <w:szCs w:val="24"/>
        </w:rPr>
        <w:t>questioning</w:t>
      </w:r>
      <w:r w:rsidR="00B57271">
        <w:rPr>
          <w:rFonts w:cstheme="minorHAnsi"/>
          <w:sz w:val="24"/>
          <w:szCs w:val="24"/>
        </w:rPr>
        <w:t>.</w:t>
      </w:r>
      <w:r w:rsidRPr="00EA203A">
        <w:rPr>
          <w:rFonts w:cstheme="minorHAnsi"/>
          <w:sz w:val="24"/>
          <w:szCs w:val="24"/>
        </w:rPr>
        <w:t xml:space="preserve"> </w:t>
      </w:r>
      <w:r w:rsidR="00B57271">
        <w:rPr>
          <w:rFonts w:cstheme="minorHAnsi"/>
          <w:color w:val="333333"/>
          <w:sz w:val="24"/>
          <w:szCs w:val="24"/>
        </w:rPr>
        <w:t>The revised approach aims to improve the consistency of data collection and</w:t>
      </w:r>
      <w:r w:rsidR="00EC4BE3">
        <w:rPr>
          <w:rFonts w:cstheme="minorHAnsi"/>
          <w:color w:val="333333"/>
          <w:sz w:val="24"/>
          <w:szCs w:val="24"/>
        </w:rPr>
        <w:t>,</w:t>
      </w:r>
      <w:r w:rsidR="00B57271">
        <w:rPr>
          <w:rFonts w:cstheme="minorHAnsi"/>
          <w:color w:val="333333"/>
          <w:sz w:val="24"/>
          <w:szCs w:val="24"/>
        </w:rPr>
        <w:t xml:space="preserve"> crucially</w:t>
      </w:r>
      <w:r w:rsidR="00EC4BE3">
        <w:rPr>
          <w:rFonts w:cstheme="minorHAnsi"/>
          <w:color w:val="333333"/>
          <w:sz w:val="24"/>
          <w:szCs w:val="24"/>
        </w:rPr>
        <w:t>,</w:t>
      </w:r>
      <w:r w:rsidR="00B57271">
        <w:rPr>
          <w:rFonts w:cstheme="minorHAnsi"/>
          <w:color w:val="333333"/>
          <w:sz w:val="24"/>
          <w:szCs w:val="24"/>
        </w:rPr>
        <w:t xml:space="preserve"> to ensure that significant and dangerous </w:t>
      </w:r>
      <w:r w:rsidR="00B57271" w:rsidRPr="003E2E6B">
        <w:rPr>
          <w:rFonts w:cstheme="minorHAnsi"/>
          <w:i/>
          <w:iCs/>
          <w:color w:val="333333"/>
          <w:sz w:val="24"/>
          <w:szCs w:val="24"/>
        </w:rPr>
        <w:t>patterns</w:t>
      </w:r>
      <w:r w:rsidR="00B57271">
        <w:rPr>
          <w:rFonts w:cstheme="minorHAnsi"/>
          <w:color w:val="333333"/>
          <w:sz w:val="24"/>
          <w:szCs w:val="24"/>
        </w:rPr>
        <w:t xml:space="preserve"> of behaviour are captured. </w:t>
      </w:r>
      <w:r w:rsidR="00B57271">
        <w:rPr>
          <w:rFonts w:cstheme="minorHAnsi"/>
          <w:sz w:val="24"/>
          <w:szCs w:val="24"/>
        </w:rPr>
        <w:t>For</w:t>
      </w:r>
      <w:r w:rsidRPr="00EA203A">
        <w:rPr>
          <w:rFonts w:cstheme="minorHAnsi"/>
          <w:sz w:val="24"/>
          <w:szCs w:val="24"/>
        </w:rPr>
        <w:t xml:space="preserve"> example, </w:t>
      </w:r>
      <w:r w:rsidR="00B57271">
        <w:rPr>
          <w:rFonts w:cstheme="minorHAnsi"/>
          <w:sz w:val="24"/>
          <w:szCs w:val="24"/>
        </w:rPr>
        <w:t xml:space="preserve">a question on the </w:t>
      </w:r>
      <w:r w:rsidR="004436DB">
        <w:rPr>
          <w:rFonts w:cstheme="minorHAnsi"/>
          <w:sz w:val="24"/>
          <w:szCs w:val="24"/>
        </w:rPr>
        <w:t xml:space="preserve">previous </w:t>
      </w:r>
      <w:r w:rsidR="00B57271">
        <w:rPr>
          <w:rFonts w:cstheme="minorHAnsi"/>
          <w:sz w:val="24"/>
          <w:szCs w:val="24"/>
        </w:rPr>
        <w:t xml:space="preserve">DASH </w:t>
      </w:r>
      <w:r w:rsidR="002C46E6">
        <w:rPr>
          <w:rFonts w:cstheme="minorHAnsi"/>
          <w:sz w:val="24"/>
          <w:szCs w:val="24"/>
        </w:rPr>
        <w:t>checklist</w:t>
      </w:r>
      <w:r w:rsidR="00B57271">
        <w:rPr>
          <w:rFonts w:cstheme="minorHAnsi"/>
          <w:sz w:val="24"/>
          <w:szCs w:val="24"/>
        </w:rPr>
        <w:t xml:space="preserve">, </w:t>
      </w:r>
      <w:r>
        <w:rPr>
          <w:rFonts w:cstheme="minorHAnsi"/>
          <w:sz w:val="24"/>
          <w:szCs w:val="24"/>
        </w:rPr>
        <w:t>‘</w:t>
      </w:r>
      <w:r w:rsidRPr="00EA203A">
        <w:rPr>
          <w:rFonts w:cstheme="minorHAnsi"/>
          <w:sz w:val="24"/>
          <w:szCs w:val="24"/>
        </w:rPr>
        <w:t>has (…) ever attempted to strangle/choke/suffocate/drown you?</w:t>
      </w:r>
      <w:r>
        <w:rPr>
          <w:rFonts w:cstheme="minorHAnsi"/>
          <w:sz w:val="24"/>
          <w:szCs w:val="24"/>
        </w:rPr>
        <w:t>’</w:t>
      </w:r>
      <w:r w:rsidRPr="00EA203A">
        <w:rPr>
          <w:rFonts w:cstheme="minorHAnsi"/>
          <w:sz w:val="24"/>
          <w:szCs w:val="24"/>
        </w:rPr>
        <w:t xml:space="preserve"> </w:t>
      </w:r>
      <w:r w:rsidR="00B57271">
        <w:rPr>
          <w:rFonts w:cstheme="minorHAnsi"/>
          <w:sz w:val="24"/>
          <w:szCs w:val="24"/>
        </w:rPr>
        <w:t xml:space="preserve">has been altered </w:t>
      </w:r>
      <w:r w:rsidRPr="00EA203A">
        <w:rPr>
          <w:rFonts w:cstheme="minorHAnsi"/>
          <w:sz w:val="24"/>
          <w:szCs w:val="24"/>
        </w:rPr>
        <w:t xml:space="preserve">to </w:t>
      </w:r>
      <w:r>
        <w:rPr>
          <w:rFonts w:cstheme="minorHAnsi"/>
          <w:sz w:val="24"/>
          <w:szCs w:val="24"/>
        </w:rPr>
        <w:t>‘</w:t>
      </w:r>
      <w:r w:rsidRPr="00EA203A">
        <w:rPr>
          <w:rFonts w:cstheme="minorHAnsi"/>
          <w:sz w:val="24"/>
          <w:szCs w:val="24"/>
        </w:rPr>
        <w:t>how often does (…) strangle you or attempt to choke, suffocate, or drown you?</w:t>
      </w:r>
      <w:r>
        <w:rPr>
          <w:rFonts w:cstheme="minorHAnsi"/>
          <w:sz w:val="24"/>
          <w:szCs w:val="24"/>
        </w:rPr>
        <w:t>’</w:t>
      </w:r>
      <w:r w:rsidRPr="00EA203A">
        <w:rPr>
          <w:rFonts w:cstheme="minorHAnsi"/>
          <w:sz w:val="24"/>
          <w:szCs w:val="24"/>
        </w:rPr>
        <w:t xml:space="preserve"> The rationale behind these changes is to record the frequency of ‘sub-lethal violence’ and ensure that the overall potential risk is captured.</w:t>
      </w:r>
      <w:r w:rsidR="00B4700C">
        <w:rPr>
          <w:rStyle w:val="FootnoteReference"/>
          <w:rFonts w:cstheme="minorHAnsi"/>
          <w:sz w:val="24"/>
          <w:szCs w:val="24"/>
        </w:rPr>
        <w:footnoteReference w:id="11"/>
      </w:r>
      <w:r w:rsidRPr="00EA203A">
        <w:rPr>
          <w:rFonts w:cstheme="minorHAnsi"/>
          <w:sz w:val="24"/>
          <w:szCs w:val="24"/>
        </w:rPr>
        <w:t xml:space="preserve"> </w:t>
      </w:r>
      <w:r w:rsidR="00B57271">
        <w:rPr>
          <w:rFonts w:cstheme="minorHAnsi"/>
          <w:sz w:val="24"/>
          <w:szCs w:val="24"/>
        </w:rPr>
        <w:t xml:space="preserve"> This is crucial, not only for first</w:t>
      </w:r>
      <w:r w:rsidR="00856FB9">
        <w:rPr>
          <w:rFonts w:cstheme="minorHAnsi"/>
          <w:sz w:val="24"/>
          <w:szCs w:val="24"/>
        </w:rPr>
        <w:t xml:space="preserve">-time </w:t>
      </w:r>
      <w:r w:rsidR="00B57271">
        <w:rPr>
          <w:rFonts w:cstheme="minorHAnsi"/>
          <w:sz w:val="24"/>
          <w:szCs w:val="24"/>
        </w:rPr>
        <w:t>reports</w:t>
      </w:r>
      <w:r w:rsidR="00856FB9">
        <w:rPr>
          <w:rFonts w:cstheme="minorHAnsi"/>
          <w:sz w:val="24"/>
          <w:szCs w:val="24"/>
        </w:rPr>
        <w:t xml:space="preserve"> from victims</w:t>
      </w:r>
      <w:r w:rsidR="00B57271">
        <w:rPr>
          <w:rFonts w:cstheme="minorHAnsi"/>
          <w:sz w:val="24"/>
          <w:szCs w:val="24"/>
        </w:rPr>
        <w:t xml:space="preserve">, but also where incidents of domestic </w:t>
      </w:r>
      <w:r w:rsidR="00B57271">
        <w:rPr>
          <w:rFonts w:cstheme="minorHAnsi"/>
          <w:sz w:val="24"/>
          <w:szCs w:val="24"/>
        </w:rPr>
        <w:lastRenderedPageBreak/>
        <w:t xml:space="preserve">abuse have been recorded </w:t>
      </w:r>
      <w:r w:rsidR="004436DB">
        <w:rPr>
          <w:rFonts w:cstheme="minorHAnsi"/>
          <w:sz w:val="24"/>
          <w:szCs w:val="24"/>
        </w:rPr>
        <w:t>previously</w:t>
      </w:r>
      <w:r w:rsidR="00B57271">
        <w:rPr>
          <w:rFonts w:cstheme="minorHAnsi"/>
          <w:sz w:val="24"/>
          <w:szCs w:val="24"/>
        </w:rPr>
        <w:t>.</w:t>
      </w:r>
      <w:r w:rsidR="00850CB9">
        <w:rPr>
          <w:rFonts w:cstheme="minorHAnsi"/>
          <w:sz w:val="24"/>
          <w:szCs w:val="24"/>
        </w:rPr>
        <w:t xml:space="preserve"> </w:t>
      </w:r>
      <w:r w:rsidR="00B57271">
        <w:rPr>
          <w:rFonts w:cstheme="minorHAnsi"/>
          <w:sz w:val="24"/>
          <w:szCs w:val="24"/>
        </w:rPr>
        <w:t xml:space="preserve"> In such situations, </w:t>
      </w:r>
      <w:r w:rsidR="00FA49A2">
        <w:rPr>
          <w:rFonts w:cstheme="minorHAnsi"/>
          <w:sz w:val="24"/>
          <w:szCs w:val="24"/>
        </w:rPr>
        <w:t xml:space="preserve">the attending </w:t>
      </w:r>
      <w:r w:rsidR="00B57271">
        <w:rPr>
          <w:rFonts w:cstheme="minorHAnsi"/>
          <w:sz w:val="24"/>
          <w:szCs w:val="24"/>
        </w:rPr>
        <w:t xml:space="preserve">front-line officers may have been informed that there </w:t>
      </w:r>
      <w:r w:rsidR="004436DB">
        <w:rPr>
          <w:rFonts w:cstheme="minorHAnsi"/>
          <w:sz w:val="24"/>
          <w:szCs w:val="24"/>
        </w:rPr>
        <w:t>are</w:t>
      </w:r>
      <w:r w:rsidR="00B57271">
        <w:rPr>
          <w:rFonts w:cstheme="minorHAnsi"/>
          <w:sz w:val="24"/>
          <w:szCs w:val="24"/>
        </w:rPr>
        <w:t xml:space="preserve"> risk assessment</w:t>
      </w:r>
      <w:r w:rsidR="004436DB">
        <w:rPr>
          <w:rFonts w:cstheme="minorHAnsi"/>
          <w:sz w:val="24"/>
          <w:szCs w:val="24"/>
        </w:rPr>
        <w:t>s in place</w:t>
      </w:r>
      <w:r w:rsidR="00B57271">
        <w:rPr>
          <w:rFonts w:cstheme="minorHAnsi"/>
          <w:sz w:val="24"/>
          <w:szCs w:val="24"/>
        </w:rPr>
        <w:t xml:space="preserve">, but unless they have attended the same </w:t>
      </w:r>
      <w:r w:rsidR="00856FB9">
        <w:rPr>
          <w:rFonts w:cstheme="minorHAnsi"/>
          <w:sz w:val="24"/>
          <w:szCs w:val="24"/>
        </w:rPr>
        <w:t xml:space="preserve">victim, </w:t>
      </w:r>
      <w:r w:rsidR="00B57271">
        <w:rPr>
          <w:rFonts w:cstheme="minorHAnsi"/>
          <w:sz w:val="24"/>
          <w:szCs w:val="24"/>
        </w:rPr>
        <w:t xml:space="preserve">they are unlikely to know the full contents of the </w:t>
      </w:r>
      <w:r w:rsidR="00856FB9">
        <w:rPr>
          <w:rFonts w:cstheme="minorHAnsi"/>
          <w:sz w:val="24"/>
          <w:szCs w:val="24"/>
        </w:rPr>
        <w:t xml:space="preserve">previous reports. </w:t>
      </w:r>
    </w:p>
    <w:p w14:paraId="3F42E80E" w14:textId="0DD6205D" w:rsidR="00287599" w:rsidRPr="00EA203A" w:rsidRDefault="00287599" w:rsidP="00735482">
      <w:pPr>
        <w:spacing w:line="360" w:lineRule="auto"/>
        <w:ind w:firstLine="720"/>
        <w:jc w:val="both"/>
        <w:rPr>
          <w:rFonts w:cstheme="minorHAnsi"/>
          <w:sz w:val="24"/>
          <w:szCs w:val="24"/>
        </w:rPr>
      </w:pPr>
      <w:r w:rsidRPr="00EA203A">
        <w:rPr>
          <w:rFonts w:cstheme="minorHAnsi"/>
          <w:sz w:val="24"/>
          <w:szCs w:val="24"/>
        </w:rPr>
        <w:t xml:space="preserve">Once </w:t>
      </w:r>
      <w:r w:rsidR="004436DB">
        <w:rPr>
          <w:rFonts w:cstheme="minorHAnsi"/>
          <w:sz w:val="24"/>
          <w:szCs w:val="24"/>
        </w:rPr>
        <w:t xml:space="preserve">the DARA is </w:t>
      </w:r>
      <w:r w:rsidRPr="00EA203A">
        <w:rPr>
          <w:rFonts w:cstheme="minorHAnsi"/>
          <w:sz w:val="24"/>
          <w:szCs w:val="24"/>
        </w:rPr>
        <w:t xml:space="preserve">completed, the victim’s overall risk will be assessed as one of three categories, standard, medium </w:t>
      </w:r>
      <w:r w:rsidR="00735482">
        <w:rPr>
          <w:rFonts w:cstheme="minorHAnsi"/>
          <w:sz w:val="24"/>
          <w:szCs w:val="24"/>
        </w:rPr>
        <w:t>or</w:t>
      </w:r>
      <w:r w:rsidRPr="00EA203A">
        <w:rPr>
          <w:rFonts w:cstheme="minorHAnsi"/>
          <w:sz w:val="24"/>
          <w:szCs w:val="24"/>
        </w:rPr>
        <w:t xml:space="preserve"> high, where high risk means that at any time there </w:t>
      </w:r>
      <w:r w:rsidR="00632408">
        <w:rPr>
          <w:rFonts w:cstheme="minorHAnsi"/>
          <w:sz w:val="24"/>
          <w:szCs w:val="24"/>
        </w:rPr>
        <w:t xml:space="preserve">is a risk </w:t>
      </w:r>
      <w:r w:rsidR="00C45274">
        <w:rPr>
          <w:rFonts w:cstheme="minorHAnsi"/>
          <w:sz w:val="24"/>
          <w:szCs w:val="24"/>
        </w:rPr>
        <w:t xml:space="preserve">of an incident occurring that will lead to </w:t>
      </w:r>
      <w:r w:rsidRPr="00EA203A">
        <w:rPr>
          <w:rFonts w:cstheme="minorHAnsi"/>
          <w:sz w:val="24"/>
          <w:szCs w:val="24"/>
        </w:rPr>
        <w:t>serious injury or death.</w:t>
      </w:r>
      <w:r>
        <w:rPr>
          <w:rFonts w:cstheme="minorHAnsi"/>
          <w:sz w:val="24"/>
          <w:szCs w:val="24"/>
        </w:rPr>
        <w:t xml:space="preserve"> </w:t>
      </w:r>
      <w:r w:rsidR="00522A41">
        <w:rPr>
          <w:rFonts w:cstheme="minorHAnsi"/>
          <w:sz w:val="24"/>
          <w:szCs w:val="24"/>
        </w:rPr>
        <w:t>Forces adopt differing processes, but all risk assessments will be forwarded to the relevant Multi-</w:t>
      </w:r>
      <w:r w:rsidRPr="00EA203A">
        <w:rPr>
          <w:rFonts w:cstheme="minorHAnsi"/>
          <w:sz w:val="24"/>
          <w:szCs w:val="24"/>
        </w:rPr>
        <w:t>A</w:t>
      </w:r>
      <w:r w:rsidR="00522A41">
        <w:rPr>
          <w:rFonts w:cstheme="minorHAnsi"/>
          <w:sz w:val="24"/>
          <w:szCs w:val="24"/>
        </w:rPr>
        <w:t>gency Safeguarding Hub</w:t>
      </w:r>
      <w:r w:rsidRPr="00EA203A">
        <w:rPr>
          <w:rFonts w:cstheme="minorHAnsi"/>
          <w:sz w:val="24"/>
          <w:szCs w:val="24"/>
        </w:rPr>
        <w:t xml:space="preserve"> </w:t>
      </w:r>
      <w:r w:rsidR="00522A41">
        <w:rPr>
          <w:rFonts w:cstheme="minorHAnsi"/>
          <w:sz w:val="24"/>
          <w:szCs w:val="24"/>
        </w:rPr>
        <w:t xml:space="preserve">(MASH). The </w:t>
      </w:r>
      <w:r w:rsidRPr="00EA203A">
        <w:rPr>
          <w:rFonts w:cstheme="minorHAnsi"/>
          <w:sz w:val="24"/>
          <w:szCs w:val="24"/>
        </w:rPr>
        <w:t>grading of ‘standard’ does not rule out the potential for serious harm, and it is not unknown for officers to attend an</w:t>
      </w:r>
      <w:r w:rsidR="00522A41">
        <w:rPr>
          <w:rFonts w:cstheme="minorHAnsi"/>
          <w:sz w:val="24"/>
          <w:szCs w:val="24"/>
        </w:rPr>
        <w:t xml:space="preserve">d identify a </w:t>
      </w:r>
      <w:r w:rsidRPr="00EA203A">
        <w:rPr>
          <w:rFonts w:cstheme="minorHAnsi"/>
          <w:sz w:val="24"/>
          <w:szCs w:val="24"/>
        </w:rPr>
        <w:t xml:space="preserve">‘standard’ domestic incident </w:t>
      </w:r>
      <w:r w:rsidR="00522A41">
        <w:rPr>
          <w:rFonts w:cstheme="minorHAnsi"/>
          <w:sz w:val="24"/>
          <w:szCs w:val="24"/>
        </w:rPr>
        <w:t xml:space="preserve">only to re-attend the </w:t>
      </w:r>
      <w:r w:rsidR="007F3851">
        <w:rPr>
          <w:rFonts w:cstheme="minorHAnsi"/>
          <w:sz w:val="24"/>
          <w:szCs w:val="24"/>
        </w:rPr>
        <w:t xml:space="preserve">same </w:t>
      </w:r>
      <w:r w:rsidR="00522A41">
        <w:rPr>
          <w:rFonts w:cstheme="minorHAnsi"/>
          <w:sz w:val="24"/>
          <w:szCs w:val="24"/>
        </w:rPr>
        <w:t>address we</w:t>
      </w:r>
      <w:r w:rsidR="007F3851">
        <w:rPr>
          <w:rFonts w:cstheme="minorHAnsi"/>
          <w:sz w:val="24"/>
          <w:szCs w:val="24"/>
        </w:rPr>
        <w:t>e</w:t>
      </w:r>
      <w:r w:rsidR="00522A41">
        <w:rPr>
          <w:rFonts w:cstheme="minorHAnsi"/>
          <w:sz w:val="24"/>
          <w:szCs w:val="24"/>
        </w:rPr>
        <w:t>ks or months later</w:t>
      </w:r>
      <w:r w:rsidR="007F3851">
        <w:rPr>
          <w:rFonts w:cstheme="minorHAnsi"/>
          <w:sz w:val="24"/>
          <w:szCs w:val="24"/>
        </w:rPr>
        <w:t xml:space="preserve"> to investigate </w:t>
      </w:r>
      <w:r w:rsidRPr="00EA203A">
        <w:rPr>
          <w:rFonts w:cstheme="minorHAnsi"/>
          <w:sz w:val="24"/>
          <w:szCs w:val="24"/>
        </w:rPr>
        <w:t xml:space="preserve">a </w:t>
      </w:r>
      <w:r w:rsidR="007F3851">
        <w:rPr>
          <w:rFonts w:cstheme="minorHAnsi"/>
          <w:sz w:val="24"/>
          <w:szCs w:val="24"/>
        </w:rPr>
        <w:t xml:space="preserve">domestic </w:t>
      </w:r>
      <w:r w:rsidRPr="00EA203A">
        <w:rPr>
          <w:rFonts w:cstheme="minorHAnsi"/>
          <w:sz w:val="24"/>
          <w:szCs w:val="24"/>
        </w:rPr>
        <w:t>homicide.</w:t>
      </w:r>
      <w:r w:rsidR="00690BBE">
        <w:rPr>
          <w:rStyle w:val="FootnoteReference"/>
          <w:rFonts w:cstheme="minorHAnsi"/>
          <w:sz w:val="24"/>
          <w:szCs w:val="24"/>
        </w:rPr>
        <w:footnoteReference w:id="12"/>
      </w:r>
      <w:r w:rsidRPr="00EA203A">
        <w:rPr>
          <w:rFonts w:cstheme="minorHAnsi"/>
          <w:sz w:val="24"/>
          <w:szCs w:val="24"/>
        </w:rPr>
        <w:t xml:space="preserve">  A grading of ‘medium’ is more likely to provide victims with external support, but only those considered to be at ‘high-risk’ receive </w:t>
      </w:r>
      <w:r w:rsidR="007F3851">
        <w:rPr>
          <w:rFonts w:cstheme="minorHAnsi"/>
          <w:sz w:val="24"/>
          <w:szCs w:val="24"/>
        </w:rPr>
        <w:t xml:space="preserve">substantial </w:t>
      </w:r>
      <w:r w:rsidRPr="00EA203A">
        <w:rPr>
          <w:rFonts w:cstheme="minorHAnsi"/>
          <w:sz w:val="24"/>
          <w:szCs w:val="24"/>
        </w:rPr>
        <w:t xml:space="preserve">intervention strategies </w:t>
      </w:r>
      <w:r>
        <w:rPr>
          <w:rFonts w:cstheme="minorHAnsi"/>
          <w:sz w:val="24"/>
          <w:szCs w:val="24"/>
        </w:rPr>
        <w:t xml:space="preserve">to help </w:t>
      </w:r>
      <w:r w:rsidR="004414D4">
        <w:rPr>
          <w:rFonts w:cstheme="minorHAnsi"/>
          <w:sz w:val="24"/>
          <w:szCs w:val="24"/>
        </w:rPr>
        <w:t xml:space="preserve">promote </w:t>
      </w:r>
      <w:r>
        <w:rPr>
          <w:rFonts w:cstheme="minorHAnsi"/>
          <w:sz w:val="24"/>
          <w:szCs w:val="24"/>
        </w:rPr>
        <w:t>the victim</w:t>
      </w:r>
      <w:r w:rsidR="0077298C">
        <w:rPr>
          <w:rFonts w:cstheme="minorHAnsi"/>
          <w:sz w:val="24"/>
          <w:szCs w:val="24"/>
        </w:rPr>
        <w:t>’</w:t>
      </w:r>
      <w:r>
        <w:rPr>
          <w:rFonts w:cstheme="minorHAnsi"/>
          <w:sz w:val="24"/>
          <w:szCs w:val="24"/>
        </w:rPr>
        <w:t>s safe</w:t>
      </w:r>
      <w:r w:rsidR="0077298C">
        <w:rPr>
          <w:rFonts w:cstheme="minorHAnsi"/>
          <w:sz w:val="24"/>
          <w:szCs w:val="24"/>
        </w:rPr>
        <w:t>ty</w:t>
      </w:r>
      <w:r>
        <w:rPr>
          <w:rFonts w:cstheme="minorHAnsi"/>
          <w:sz w:val="24"/>
          <w:szCs w:val="24"/>
        </w:rPr>
        <w:t>.</w:t>
      </w:r>
      <w:r w:rsidR="00D97FBD">
        <w:rPr>
          <w:rStyle w:val="FootnoteReference"/>
          <w:rFonts w:cstheme="minorHAnsi"/>
          <w:sz w:val="24"/>
          <w:szCs w:val="24"/>
        </w:rPr>
        <w:footnoteReference w:id="13"/>
      </w:r>
    </w:p>
    <w:p w14:paraId="013AF846" w14:textId="720CA191" w:rsidR="0008675F" w:rsidRDefault="0008675F" w:rsidP="0077298C">
      <w:pPr>
        <w:spacing w:line="360" w:lineRule="auto"/>
        <w:ind w:firstLine="720"/>
        <w:jc w:val="both"/>
        <w:rPr>
          <w:rFonts w:cstheme="minorHAnsi"/>
          <w:sz w:val="24"/>
          <w:szCs w:val="24"/>
        </w:rPr>
      </w:pPr>
      <w:r w:rsidRPr="00EA203A">
        <w:rPr>
          <w:rFonts w:cstheme="minorHAnsi"/>
          <w:sz w:val="24"/>
          <w:szCs w:val="24"/>
        </w:rPr>
        <w:t>Despite interventions, the National Police Chiefs’ Council (NPCC) document that between April 2022 and March 2023 there were 80 intimate partner homicides.</w:t>
      </w:r>
      <w:r w:rsidRPr="00EA203A">
        <w:rPr>
          <w:rStyle w:val="FootnoteReference"/>
          <w:rFonts w:cstheme="minorHAnsi"/>
          <w:sz w:val="24"/>
          <w:szCs w:val="24"/>
        </w:rPr>
        <w:footnoteReference w:id="14"/>
      </w:r>
      <w:r>
        <w:rPr>
          <w:rFonts w:cstheme="minorHAnsi"/>
          <w:sz w:val="24"/>
          <w:szCs w:val="24"/>
        </w:rPr>
        <w:t xml:space="preserve"> </w:t>
      </w:r>
      <w:r w:rsidRPr="00EA203A">
        <w:rPr>
          <w:rFonts w:cstheme="minorHAnsi"/>
          <w:sz w:val="24"/>
          <w:szCs w:val="24"/>
        </w:rPr>
        <w:t>Significantly, 49</w:t>
      </w:r>
      <w:r>
        <w:rPr>
          <w:rFonts w:cstheme="minorHAnsi"/>
          <w:sz w:val="24"/>
          <w:szCs w:val="24"/>
        </w:rPr>
        <w:t xml:space="preserve"> </w:t>
      </w:r>
      <w:r w:rsidRPr="00753699">
        <w:rPr>
          <w:rFonts w:cstheme="minorHAnsi"/>
          <w:sz w:val="24"/>
          <w:szCs w:val="24"/>
        </w:rPr>
        <w:t>per cent</w:t>
      </w:r>
      <w:r w:rsidRPr="008E64C9">
        <w:rPr>
          <w:rFonts w:cstheme="minorHAnsi"/>
          <w:i/>
          <w:iCs/>
          <w:sz w:val="24"/>
          <w:szCs w:val="24"/>
        </w:rPr>
        <w:t xml:space="preserve"> </w:t>
      </w:r>
      <w:r w:rsidRPr="00EA203A">
        <w:rPr>
          <w:rFonts w:cstheme="minorHAnsi"/>
          <w:sz w:val="24"/>
          <w:szCs w:val="24"/>
        </w:rPr>
        <w:t xml:space="preserve">of suspects of domestic homicides committed from April </w:t>
      </w:r>
      <w:r w:rsidR="00753699">
        <w:rPr>
          <w:rFonts w:cstheme="minorHAnsi"/>
          <w:sz w:val="24"/>
          <w:szCs w:val="24"/>
        </w:rPr>
        <w:t>20</w:t>
      </w:r>
      <w:r w:rsidRPr="00EA203A">
        <w:rPr>
          <w:rFonts w:cstheme="minorHAnsi"/>
          <w:sz w:val="24"/>
          <w:szCs w:val="24"/>
        </w:rPr>
        <w:t xml:space="preserve">22 to March 2023 had been </w:t>
      </w:r>
      <w:r>
        <w:rPr>
          <w:rFonts w:cstheme="minorHAnsi"/>
          <w:sz w:val="24"/>
          <w:szCs w:val="24"/>
        </w:rPr>
        <w:t xml:space="preserve">previously </w:t>
      </w:r>
      <w:r w:rsidRPr="00EA203A">
        <w:rPr>
          <w:rFonts w:cstheme="minorHAnsi"/>
          <w:sz w:val="24"/>
          <w:szCs w:val="24"/>
        </w:rPr>
        <w:t xml:space="preserve">categorised by police as high-risk </w:t>
      </w:r>
      <w:r w:rsidR="006C1600">
        <w:rPr>
          <w:rFonts w:cstheme="minorHAnsi"/>
          <w:sz w:val="24"/>
          <w:szCs w:val="24"/>
        </w:rPr>
        <w:t>or serial domestic abuse offenders</w:t>
      </w:r>
      <w:r w:rsidRPr="00EA203A">
        <w:rPr>
          <w:rFonts w:cstheme="minorHAnsi"/>
          <w:sz w:val="24"/>
          <w:szCs w:val="24"/>
        </w:rPr>
        <w:t xml:space="preserve">, which raises questions regarding the efficacy of police </w:t>
      </w:r>
      <w:r w:rsidR="00604597">
        <w:rPr>
          <w:rFonts w:cstheme="minorHAnsi"/>
          <w:sz w:val="24"/>
          <w:szCs w:val="24"/>
        </w:rPr>
        <w:t xml:space="preserve">and MASH </w:t>
      </w:r>
      <w:r w:rsidRPr="00EA203A">
        <w:rPr>
          <w:rFonts w:cstheme="minorHAnsi"/>
          <w:sz w:val="24"/>
          <w:szCs w:val="24"/>
        </w:rPr>
        <w:t xml:space="preserve">management of such </w:t>
      </w:r>
      <w:r w:rsidR="006C1600">
        <w:rPr>
          <w:rFonts w:cstheme="minorHAnsi"/>
          <w:sz w:val="24"/>
          <w:szCs w:val="24"/>
        </w:rPr>
        <w:t>perpetrators</w:t>
      </w:r>
      <w:r w:rsidR="003E5FA7">
        <w:rPr>
          <w:rFonts w:cstheme="minorHAnsi"/>
          <w:sz w:val="24"/>
          <w:szCs w:val="24"/>
        </w:rPr>
        <w:t xml:space="preserve"> and </w:t>
      </w:r>
      <w:r w:rsidR="00604597">
        <w:rPr>
          <w:rFonts w:cstheme="minorHAnsi"/>
          <w:sz w:val="24"/>
          <w:szCs w:val="24"/>
        </w:rPr>
        <w:t>victims</w:t>
      </w:r>
      <w:r w:rsidRPr="00EA203A">
        <w:rPr>
          <w:rFonts w:cstheme="minorHAnsi"/>
          <w:sz w:val="24"/>
          <w:szCs w:val="24"/>
        </w:rPr>
        <w:t>. The remaining 51</w:t>
      </w:r>
      <w:r>
        <w:rPr>
          <w:rFonts w:cstheme="minorHAnsi"/>
          <w:sz w:val="24"/>
          <w:szCs w:val="24"/>
        </w:rPr>
        <w:t xml:space="preserve"> </w:t>
      </w:r>
      <w:r w:rsidRPr="00753699">
        <w:rPr>
          <w:rFonts w:cstheme="minorHAnsi"/>
          <w:sz w:val="24"/>
          <w:szCs w:val="24"/>
        </w:rPr>
        <w:t>per cent</w:t>
      </w:r>
      <w:r>
        <w:rPr>
          <w:rFonts w:cstheme="minorHAnsi"/>
          <w:sz w:val="24"/>
          <w:szCs w:val="24"/>
        </w:rPr>
        <w:t xml:space="preserve"> </w:t>
      </w:r>
      <w:r w:rsidRPr="00EA203A">
        <w:rPr>
          <w:rFonts w:cstheme="minorHAnsi"/>
          <w:sz w:val="24"/>
          <w:szCs w:val="24"/>
        </w:rPr>
        <w:t xml:space="preserve">of </w:t>
      </w:r>
      <w:r w:rsidR="006C1600">
        <w:rPr>
          <w:rFonts w:cstheme="minorHAnsi"/>
          <w:sz w:val="24"/>
          <w:szCs w:val="24"/>
        </w:rPr>
        <w:t>offenders</w:t>
      </w:r>
      <w:r w:rsidRPr="00EA203A">
        <w:rPr>
          <w:rFonts w:cstheme="minorHAnsi"/>
          <w:sz w:val="24"/>
          <w:szCs w:val="24"/>
        </w:rPr>
        <w:t xml:space="preserve"> were not known or had not been sufficiently flagged up as a serious potential threat to their partners. Regardless of the efficacy of risk</w:t>
      </w:r>
      <w:r w:rsidR="009272E0">
        <w:rPr>
          <w:rFonts w:cstheme="minorHAnsi"/>
          <w:sz w:val="24"/>
          <w:szCs w:val="24"/>
        </w:rPr>
        <w:t xml:space="preserve"> </w:t>
      </w:r>
      <w:r w:rsidRPr="00EA203A">
        <w:rPr>
          <w:rFonts w:cstheme="minorHAnsi"/>
          <w:sz w:val="24"/>
          <w:szCs w:val="24"/>
        </w:rPr>
        <w:t xml:space="preserve">assessment or intervention strategies, it is submitted that </w:t>
      </w:r>
      <w:r>
        <w:rPr>
          <w:rFonts w:cstheme="minorHAnsi"/>
          <w:sz w:val="24"/>
          <w:szCs w:val="24"/>
        </w:rPr>
        <w:t>from a reading of t</w:t>
      </w:r>
      <w:r w:rsidRPr="00EA203A">
        <w:rPr>
          <w:rFonts w:cstheme="minorHAnsi"/>
          <w:color w:val="333333"/>
          <w:sz w:val="24"/>
          <w:szCs w:val="24"/>
          <w:shd w:val="clear" w:color="auto" w:fill="FFFFFF"/>
        </w:rPr>
        <w:t xml:space="preserve">he basic </w:t>
      </w:r>
      <w:r>
        <w:rPr>
          <w:rFonts w:cstheme="minorHAnsi"/>
          <w:color w:val="333333"/>
          <w:sz w:val="24"/>
          <w:szCs w:val="24"/>
          <w:shd w:val="clear" w:color="auto" w:fill="FFFFFF"/>
        </w:rPr>
        <w:t xml:space="preserve">case facts </w:t>
      </w:r>
      <w:r w:rsidRPr="00EA203A">
        <w:rPr>
          <w:rFonts w:cstheme="minorHAnsi"/>
          <w:color w:val="333333"/>
          <w:sz w:val="24"/>
          <w:szCs w:val="24"/>
          <w:shd w:val="clear" w:color="auto" w:fill="FFFFFF"/>
        </w:rPr>
        <w:t xml:space="preserve">of </w:t>
      </w:r>
      <w:proofErr w:type="spellStart"/>
      <w:r w:rsidRPr="004D4933">
        <w:rPr>
          <w:rFonts w:cstheme="minorHAnsi"/>
          <w:i/>
          <w:iCs/>
          <w:color w:val="333333"/>
          <w:sz w:val="24"/>
          <w:szCs w:val="24"/>
          <w:shd w:val="clear" w:color="auto" w:fill="FFFFFF"/>
        </w:rPr>
        <w:t>Woolmington</w:t>
      </w:r>
      <w:proofErr w:type="spellEnd"/>
      <w:r w:rsidRPr="004D4933">
        <w:rPr>
          <w:rFonts w:cstheme="minorHAnsi"/>
          <w:i/>
          <w:iCs/>
          <w:color w:val="333333"/>
          <w:sz w:val="24"/>
          <w:szCs w:val="24"/>
          <w:shd w:val="clear" w:color="auto" w:fill="FFFFFF"/>
        </w:rPr>
        <w:t>,</w:t>
      </w:r>
      <w:r w:rsidRPr="00EA203A">
        <w:rPr>
          <w:rFonts w:cstheme="minorHAnsi"/>
          <w:color w:val="333333"/>
          <w:sz w:val="24"/>
          <w:szCs w:val="24"/>
          <w:shd w:val="clear" w:color="auto" w:fill="FFFFFF"/>
        </w:rPr>
        <w:t xml:space="preserve"> a number of risk factors </w:t>
      </w:r>
      <w:r w:rsidR="00C724D0">
        <w:rPr>
          <w:rFonts w:cstheme="minorHAnsi"/>
          <w:color w:val="333333"/>
          <w:sz w:val="24"/>
          <w:szCs w:val="24"/>
          <w:shd w:val="clear" w:color="auto" w:fill="FFFFFF"/>
        </w:rPr>
        <w:t>stand out</w:t>
      </w:r>
      <w:r>
        <w:rPr>
          <w:rFonts w:cstheme="minorHAnsi"/>
          <w:color w:val="333333"/>
          <w:sz w:val="24"/>
          <w:szCs w:val="24"/>
          <w:shd w:val="clear" w:color="auto" w:fill="FFFFFF"/>
        </w:rPr>
        <w:t>. H</w:t>
      </w:r>
      <w:r w:rsidRPr="00EA203A">
        <w:rPr>
          <w:rFonts w:cstheme="minorHAnsi"/>
          <w:sz w:val="24"/>
          <w:szCs w:val="24"/>
        </w:rPr>
        <w:t xml:space="preserve">ad </w:t>
      </w:r>
      <w:r w:rsidR="00C724D0">
        <w:rPr>
          <w:rFonts w:cstheme="minorHAnsi"/>
          <w:sz w:val="24"/>
          <w:szCs w:val="24"/>
        </w:rPr>
        <w:t xml:space="preserve">risk assessments been a standard operating procedure for 1930s policing and </w:t>
      </w:r>
      <w:r w:rsidRPr="00EA203A">
        <w:rPr>
          <w:rFonts w:cstheme="minorHAnsi"/>
          <w:sz w:val="24"/>
          <w:szCs w:val="24"/>
        </w:rPr>
        <w:t xml:space="preserve">a DARA been conducted with Violet, </w:t>
      </w:r>
      <w:r w:rsidR="008D388A">
        <w:rPr>
          <w:rFonts w:cstheme="minorHAnsi"/>
          <w:sz w:val="24"/>
          <w:szCs w:val="24"/>
        </w:rPr>
        <w:t>from the evidence of this case, Violet’s</w:t>
      </w:r>
      <w:r w:rsidRPr="00EA203A">
        <w:rPr>
          <w:rFonts w:cstheme="minorHAnsi"/>
          <w:sz w:val="24"/>
          <w:szCs w:val="24"/>
        </w:rPr>
        <w:t xml:space="preserve"> initial grading would have been considered at least medium</w:t>
      </w:r>
      <w:r w:rsidR="009272E0">
        <w:rPr>
          <w:rFonts w:cstheme="minorHAnsi"/>
          <w:sz w:val="24"/>
          <w:szCs w:val="24"/>
        </w:rPr>
        <w:t xml:space="preserve"> </w:t>
      </w:r>
      <w:r w:rsidRPr="00EA203A">
        <w:rPr>
          <w:rFonts w:cstheme="minorHAnsi"/>
          <w:sz w:val="24"/>
          <w:szCs w:val="24"/>
        </w:rPr>
        <w:t xml:space="preserve">risk </w:t>
      </w:r>
      <w:r w:rsidR="00C724D0">
        <w:rPr>
          <w:rFonts w:cstheme="minorHAnsi"/>
          <w:sz w:val="24"/>
          <w:szCs w:val="24"/>
        </w:rPr>
        <w:t xml:space="preserve">if not </w:t>
      </w:r>
      <w:r w:rsidRPr="00EA203A">
        <w:rPr>
          <w:rFonts w:cstheme="minorHAnsi"/>
          <w:sz w:val="24"/>
          <w:szCs w:val="24"/>
        </w:rPr>
        <w:t>high</w:t>
      </w:r>
      <w:r w:rsidR="009272E0">
        <w:rPr>
          <w:rFonts w:cstheme="minorHAnsi"/>
          <w:sz w:val="24"/>
          <w:szCs w:val="24"/>
        </w:rPr>
        <w:t xml:space="preserve"> </w:t>
      </w:r>
      <w:r w:rsidRPr="00EA203A">
        <w:rPr>
          <w:rFonts w:cstheme="minorHAnsi"/>
          <w:sz w:val="24"/>
          <w:szCs w:val="24"/>
        </w:rPr>
        <w:t xml:space="preserve">risk of serious injury from her husband. </w:t>
      </w:r>
    </w:p>
    <w:p w14:paraId="6AA15A16" w14:textId="251929DB" w:rsidR="00A94896" w:rsidRPr="004D4933" w:rsidRDefault="00A94896" w:rsidP="00E26BDD">
      <w:pPr>
        <w:pStyle w:val="Heading2"/>
        <w:rPr>
          <w:shd w:val="clear" w:color="auto" w:fill="FFFFFF"/>
        </w:rPr>
      </w:pPr>
      <w:r w:rsidRPr="004D4933">
        <w:rPr>
          <w:shd w:val="clear" w:color="auto" w:fill="FFFFFF"/>
        </w:rPr>
        <w:lastRenderedPageBreak/>
        <w:t xml:space="preserve">Investigating the Facts of </w:t>
      </w:r>
      <w:proofErr w:type="spellStart"/>
      <w:r w:rsidRPr="004D4933">
        <w:rPr>
          <w:i/>
          <w:iCs/>
          <w:shd w:val="clear" w:color="auto" w:fill="FFFFFF"/>
        </w:rPr>
        <w:t>Woolmington</w:t>
      </w:r>
      <w:proofErr w:type="spellEnd"/>
    </w:p>
    <w:p w14:paraId="4B09DBF4" w14:textId="36F3CD54" w:rsidR="00A94896" w:rsidRPr="00EA203A" w:rsidRDefault="00A94896" w:rsidP="008D385B">
      <w:pPr>
        <w:spacing w:line="360" w:lineRule="auto"/>
        <w:jc w:val="both"/>
        <w:rPr>
          <w:rFonts w:cstheme="minorHAnsi"/>
          <w:color w:val="333333"/>
          <w:sz w:val="24"/>
          <w:szCs w:val="24"/>
          <w:shd w:val="clear" w:color="auto" w:fill="FFFFFF"/>
        </w:rPr>
      </w:pPr>
      <w:r w:rsidRPr="00EA203A">
        <w:rPr>
          <w:rFonts w:cstheme="minorHAnsi"/>
          <w:color w:val="333333"/>
          <w:sz w:val="24"/>
          <w:szCs w:val="24"/>
          <w:shd w:val="clear" w:color="auto" w:fill="FFFFFF"/>
        </w:rPr>
        <w:t xml:space="preserve">Reginald </w:t>
      </w:r>
      <w:proofErr w:type="spellStart"/>
      <w:r w:rsidRPr="00EA203A">
        <w:rPr>
          <w:rFonts w:cstheme="minorHAnsi"/>
          <w:color w:val="333333"/>
          <w:sz w:val="24"/>
          <w:szCs w:val="24"/>
          <w:shd w:val="clear" w:color="auto" w:fill="FFFFFF"/>
        </w:rPr>
        <w:t>Woolmington</w:t>
      </w:r>
      <w:proofErr w:type="spellEnd"/>
      <w:r w:rsidRPr="00EA203A">
        <w:rPr>
          <w:rFonts w:cstheme="minorHAnsi"/>
          <w:color w:val="333333"/>
          <w:sz w:val="24"/>
          <w:szCs w:val="24"/>
          <w:shd w:val="clear" w:color="auto" w:fill="FFFFFF"/>
        </w:rPr>
        <w:t>, then aged 21, killed his 17</w:t>
      </w:r>
      <w:r w:rsidR="009272E0">
        <w:rPr>
          <w:rFonts w:cstheme="minorHAnsi"/>
          <w:color w:val="333333"/>
          <w:sz w:val="24"/>
          <w:szCs w:val="24"/>
          <w:shd w:val="clear" w:color="auto" w:fill="FFFFFF"/>
        </w:rPr>
        <w:t>-</w:t>
      </w:r>
      <w:r w:rsidRPr="00EA203A">
        <w:rPr>
          <w:rFonts w:cstheme="minorHAnsi"/>
          <w:color w:val="333333"/>
          <w:sz w:val="24"/>
          <w:szCs w:val="24"/>
          <w:shd w:val="clear" w:color="auto" w:fill="FFFFFF"/>
        </w:rPr>
        <w:t>year</w:t>
      </w:r>
      <w:r w:rsidR="009272E0">
        <w:rPr>
          <w:rFonts w:cstheme="minorHAnsi"/>
          <w:color w:val="333333"/>
          <w:sz w:val="24"/>
          <w:szCs w:val="24"/>
          <w:shd w:val="clear" w:color="auto" w:fill="FFFFFF"/>
        </w:rPr>
        <w:t>-</w:t>
      </w:r>
      <w:r w:rsidRPr="00EA203A">
        <w:rPr>
          <w:rFonts w:cstheme="minorHAnsi"/>
          <w:color w:val="333333"/>
          <w:sz w:val="24"/>
          <w:szCs w:val="24"/>
          <w:shd w:val="clear" w:color="auto" w:fill="FFFFFF"/>
        </w:rPr>
        <w:t xml:space="preserve">old wife, Violet, on 10 December 1934 in her mother’s house in </w:t>
      </w:r>
      <w:proofErr w:type="spellStart"/>
      <w:r w:rsidRPr="00EA203A">
        <w:rPr>
          <w:rFonts w:cstheme="minorHAnsi"/>
          <w:color w:val="333333"/>
          <w:sz w:val="24"/>
          <w:szCs w:val="24"/>
          <w:shd w:val="clear" w:color="auto" w:fill="FFFFFF"/>
        </w:rPr>
        <w:t>Milborne</w:t>
      </w:r>
      <w:proofErr w:type="spellEnd"/>
      <w:r w:rsidRPr="00EA203A">
        <w:rPr>
          <w:rFonts w:cstheme="minorHAnsi"/>
          <w:color w:val="333333"/>
          <w:sz w:val="24"/>
          <w:szCs w:val="24"/>
          <w:shd w:val="clear" w:color="auto" w:fill="FFFFFF"/>
        </w:rPr>
        <w:t xml:space="preserve"> Port, in </w:t>
      </w:r>
      <w:r w:rsidR="004F5A9E">
        <w:rPr>
          <w:rFonts w:cstheme="minorHAnsi"/>
          <w:color w:val="333333"/>
          <w:sz w:val="24"/>
          <w:szCs w:val="24"/>
          <w:shd w:val="clear" w:color="auto" w:fill="FFFFFF"/>
        </w:rPr>
        <w:t>Somerset</w:t>
      </w:r>
      <w:r w:rsidRPr="00EA203A">
        <w:rPr>
          <w:rFonts w:cstheme="minorHAnsi"/>
          <w:color w:val="333333"/>
          <w:sz w:val="24"/>
          <w:szCs w:val="24"/>
          <w:shd w:val="clear" w:color="auto" w:fill="FFFFFF"/>
        </w:rPr>
        <w:t>. They had been together since Violet was 15, and Reginald 18</w:t>
      </w:r>
      <w:r w:rsidR="00850CB9">
        <w:rPr>
          <w:rFonts w:cstheme="minorHAnsi"/>
          <w:color w:val="333333"/>
          <w:sz w:val="24"/>
          <w:szCs w:val="24"/>
          <w:shd w:val="clear" w:color="auto" w:fill="FFFFFF"/>
        </w:rPr>
        <w:t>. T</w:t>
      </w:r>
      <w:r w:rsidR="00C63A47">
        <w:rPr>
          <w:rFonts w:cstheme="minorHAnsi"/>
          <w:color w:val="333333"/>
          <w:sz w:val="24"/>
          <w:szCs w:val="24"/>
          <w:shd w:val="clear" w:color="auto" w:fill="FFFFFF"/>
        </w:rPr>
        <w:t>here are indications that the two had been in a sexual relationship for two years</w:t>
      </w:r>
      <w:r w:rsidR="00511CD9">
        <w:rPr>
          <w:rFonts w:cstheme="minorHAnsi"/>
          <w:color w:val="333333"/>
          <w:sz w:val="24"/>
          <w:szCs w:val="24"/>
          <w:shd w:val="clear" w:color="auto" w:fill="FFFFFF"/>
        </w:rPr>
        <w:t>,</w:t>
      </w:r>
      <w:r w:rsidR="00C63A47">
        <w:rPr>
          <w:rFonts w:cstheme="minorHAnsi"/>
          <w:color w:val="333333"/>
          <w:sz w:val="24"/>
          <w:szCs w:val="24"/>
          <w:shd w:val="clear" w:color="auto" w:fill="FFFFFF"/>
        </w:rPr>
        <w:t xml:space="preserve"> </w:t>
      </w:r>
      <w:r w:rsidR="00511CD9">
        <w:rPr>
          <w:rFonts w:cstheme="minorHAnsi"/>
          <w:color w:val="333333"/>
          <w:sz w:val="24"/>
          <w:szCs w:val="24"/>
          <w:shd w:val="clear" w:color="auto" w:fill="FFFFFF"/>
        </w:rPr>
        <w:t>and clear evidence that marriage was necessary because Violet was pregnant.</w:t>
      </w:r>
      <w:r w:rsidR="003E2684">
        <w:rPr>
          <w:rStyle w:val="FootnoteReference"/>
          <w:rFonts w:cstheme="minorHAnsi"/>
          <w:color w:val="333333"/>
          <w:sz w:val="24"/>
          <w:szCs w:val="24"/>
          <w:shd w:val="clear" w:color="auto" w:fill="FFFFFF"/>
        </w:rPr>
        <w:footnoteReference w:id="15"/>
      </w:r>
      <w:r w:rsidR="00850CB9">
        <w:rPr>
          <w:rFonts w:cstheme="minorHAnsi"/>
          <w:color w:val="333333"/>
          <w:sz w:val="24"/>
          <w:szCs w:val="24"/>
          <w:shd w:val="clear" w:color="auto" w:fill="FFFFFF"/>
        </w:rPr>
        <w:t xml:space="preserve"> </w:t>
      </w:r>
      <w:r w:rsidR="00C63A47">
        <w:rPr>
          <w:rFonts w:cstheme="minorHAnsi"/>
          <w:color w:val="333333"/>
          <w:sz w:val="24"/>
          <w:szCs w:val="24"/>
          <w:shd w:val="clear" w:color="auto" w:fill="FFFFFF"/>
        </w:rPr>
        <w:t>I</w:t>
      </w:r>
      <w:r>
        <w:rPr>
          <w:rFonts w:cstheme="minorHAnsi"/>
          <w:color w:val="333333"/>
          <w:sz w:val="24"/>
          <w:szCs w:val="24"/>
          <w:shd w:val="clear" w:color="auto" w:fill="FFFFFF"/>
        </w:rPr>
        <w:t xml:space="preserve">n contemporary times, </w:t>
      </w:r>
      <w:r w:rsidRPr="00EA203A">
        <w:rPr>
          <w:rFonts w:cstheme="minorHAnsi"/>
          <w:color w:val="333333"/>
          <w:sz w:val="24"/>
          <w:szCs w:val="24"/>
          <w:shd w:val="clear" w:color="auto" w:fill="FFFFFF"/>
        </w:rPr>
        <w:t>the age of the parties would raise concerns to front-line officers</w:t>
      </w:r>
      <w:r>
        <w:rPr>
          <w:rFonts w:cstheme="minorHAnsi"/>
          <w:color w:val="333333"/>
          <w:sz w:val="24"/>
          <w:szCs w:val="24"/>
          <w:shd w:val="clear" w:color="auto" w:fill="FFFFFF"/>
        </w:rPr>
        <w:t xml:space="preserve">, </w:t>
      </w:r>
      <w:r w:rsidR="003E2684">
        <w:rPr>
          <w:rFonts w:cstheme="minorHAnsi"/>
          <w:color w:val="333333"/>
          <w:sz w:val="24"/>
          <w:szCs w:val="24"/>
          <w:shd w:val="clear" w:color="auto" w:fill="FFFFFF"/>
        </w:rPr>
        <w:t>specifically</w:t>
      </w:r>
      <w:r w:rsidR="00850CB9">
        <w:rPr>
          <w:rFonts w:cstheme="minorHAnsi"/>
          <w:color w:val="333333"/>
          <w:sz w:val="24"/>
          <w:szCs w:val="24"/>
          <w:shd w:val="clear" w:color="auto" w:fill="FFFFFF"/>
        </w:rPr>
        <w:t xml:space="preserve"> as</w:t>
      </w:r>
      <w:r w:rsidR="008D385B">
        <w:rPr>
          <w:rFonts w:cstheme="minorHAnsi"/>
          <w:color w:val="333333"/>
          <w:sz w:val="24"/>
          <w:szCs w:val="24"/>
          <w:shd w:val="clear" w:color="auto" w:fill="FFFFFF"/>
        </w:rPr>
        <w:t xml:space="preserve"> statistics indicate </w:t>
      </w:r>
      <w:r w:rsidRPr="00EA203A">
        <w:rPr>
          <w:rFonts w:cstheme="minorHAnsi"/>
          <w:color w:val="333333"/>
          <w:sz w:val="24"/>
          <w:szCs w:val="24"/>
          <w:shd w:val="clear" w:color="auto" w:fill="FFFFFF"/>
        </w:rPr>
        <w:t xml:space="preserve">a higher percentage of people aged 16 to 19 years </w:t>
      </w:r>
      <w:r w:rsidR="008D385B">
        <w:rPr>
          <w:rFonts w:cstheme="minorHAnsi"/>
          <w:color w:val="333333"/>
          <w:sz w:val="24"/>
          <w:szCs w:val="24"/>
          <w:shd w:val="clear" w:color="auto" w:fill="FFFFFF"/>
        </w:rPr>
        <w:t>are</w:t>
      </w:r>
      <w:r w:rsidRPr="00EA203A">
        <w:rPr>
          <w:rFonts w:cstheme="minorHAnsi"/>
          <w:color w:val="333333"/>
          <w:sz w:val="24"/>
          <w:szCs w:val="24"/>
          <w:shd w:val="clear" w:color="auto" w:fill="FFFFFF"/>
        </w:rPr>
        <w:t xml:space="preserve"> victims of domestic abuse,</w:t>
      </w:r>
      <w:r w:rsidR="00850CB9">
        <w:rPr>
          <w:rFonts w:cstheme="minorHAnsi"/>
          <w:color w:val="333333"/>
          <w:sz w:val="24"/>
          <w:szCs w:val="24"/>
          <w:shd w:val="clear" w:color="auto" w:fill="FFFFFF"/>
        </w:rPr>
        <w:t xml:space="preserve"> compared to th</w:t>
      </w:r>
      <w:r w:rsidRPr="00EA203A">
        <w:rPr>
          <w:rFonts w:cstheme="minorHAnsi"/>
          <w:color w:val="333333"/>
          <w:sz w:val="24"/>
          <w:szCs w:val="24"/>
          <w:shd w:val="clear" w:color="auto" w:fill="FFFFFF"/>
        </w:rPr>
        <w:t>ose in an older age bands.</w:t>
      </w:r>
      <w:r w:rsidRPr="00EA203A">
        <w:rPr>
          <w:rStyle w:val="FootnoteReference"/>
          <w:rFonts w:cstheme="minorHAnsi"/>
          <w:color w:val="333333"/>
          <w:sz w:val="24"/>
          <w:szCs w:val="24"/>
          <w:shd w:val="clear" w:color="auto" w:fill="FFFFFF"/>
        </w:rPr>
        <w:footnoteReference w:id="16"/>
      </w:r>
    </w:p>
    <w:p w14:paraId="0C516010" w14:textId="57991A2A" w:rsidR="006C0EF2" w:rsidRPr="00EA203A" w:rsidRDefault="006C0EF2" w:rsidP="00C82AB0">
      <w:pPr>
        <w:spacing w:line="360" w:lineRule="auto"/>
        <w:ind w:firstLine="720"/>
        <w:jc w:val="both"/>
        <w:rPr>
          <w:rFonts w:cstheme="minorHAnsi"/>
          <w:color w:val="333333"/>
          <w:sz w:val="24"/>
          <w:szCs w:val="24"/>
          <w:shd w:val="clear" w:color="auto" w:fill="FFFFFF"/>
        </w:rPr>
      </w:pPr>
      <w:r w:rsidRPr="00EA203A">
        <w:rPr>
          <w:rFonts w:cstheme="minorHAnsi"/>
          <w:color w:val="333333"/>
          <w:sz w:val="24"/>
          <w:szCs w:val="24"/>
          <w:shd w:val="clear" w:color="auto" w:fill="FFFFFF"/>
        </w:rPr>
        <w:t xml:space="preserve">Although the age of majority at the time was 21, and </w:t>
      </w:r>
      <w:r w:rsidR="00850CB9">
        <w:rPr>
          <w:rFonts w:cstheme="minorHAnsi"/>
          <w:color w:val="333333"/>
          <w:sz w:val="24"/>
          <w:szCs w:val="24"/>
          <w:shd w:val="clear" w:color="auto" w:fill="FFFFFF"/>
        </w:rPr>
        <w:t xml:space="preserve">the </w:t>
      </w:r>
      <w:proofErr w:type="spellStart"/>
      <w:r w:rsidR="00850CB9">
        <w:rPr>
          <w:rFonts w:cstheme="minorHAnsi"/>
          <w:color w:val="333333"/>
          <w:sz w:val="24"/>
          <w:szCs w:val="24"/>
          <w:shd w:val="clear" w:color="auto" w:fill="FFFFFF"/>
        </w:rPr>
        <w:t>Woolmingtons</w:t>
      </w:r>
      <w:proofErr w:type="spellEnd"/>
      <w:r w:rsidRPr="00EA203A">
        <w:rPr>
          <w:rFonts w:cstheme="minorHAnsi"/>
          <w:color w:val="333333"/>
          <w:sz w:val="24"/>
          <w:szCs w:val="24"/>
          <w:shd w:val="clear" w:color="auto" w:fill="FFFFFF"/>
        </w:rPr>
        <w:t xml:space="preserve"> were ‘children’ in the eyes of the law, there is a r</w:t>
      </w:r>
      <w:r w:rsidR="00967182">
        <w:rPr>
          <w:rFonts w:cstheme="minorHAnsi"/>
          <w:color w:val="333333"/>
          <w:sz w:val="24"/>
          <w:szCs w:val="24"/>
          <w:shd w:val="clear" w:color="auto" w:fill="FFFFFF"/>
        </w:rPr>
        <w:t>elevant</w:t>
      </w:r>
      <w:r w:rsidRPr="00EA203A">
        <w:rPr>
          <w:rFonts w:cstheme="minorHAnsi"/>
          <w:color w:val="333333"/>
          <w:sz w:val="24"/>
          <w:szCs w:val="24"/>
          <w:shd w:val="clear" w:color="auto" w:fill="FFFFFF"/>
        </w:rPr>
        <w:t xml:space="preserve"> age</w:t>
      </w:r>
      <w:r w:rsidR="00552A15">
        <w:rPr>
          <w:rFonts w:cstheme="minorHAnsi"/>
          <w:color w:val="333333"/>
          <w:sz w:val="24"/>
          <w:szCs w:val="24"/>
          <w:shd w:val="clear" w:color="auto" w:fill="FFFFFF"/>
        </w:rPr>
        <w:t xml:space="preserve"> differential between the two. </w:t>
      </w:r>
      <w:r w:rsidR="00850CB9">
        <w:rPr>
          <w:rFonts w:cstheme="minorHAnsi"/>
          <w:color w:val="333333"/>
          <w:sz w:val="24"/>
          <w:szCs w:val="24"/>
          <w:shd w:val="clear" w:color="auto" w:fill="FFFFFF"/>
        </w:rPr>
        <w:t>Reginald</w:t>
      </w:r>
      <w:r w:rsidR="00552A15">
        <w:rPr>
          <w:rFonts w:cstheme="minorHAnsi"/>
          <w:color w:val="333333"/>
          <w:sz w:val="24"/>
          <w:szCs w:val="24"/>
          <w:shd w:val="clear" w:color="auto" w:fill="FFFFFF"/>
        </w:rPr>
        <w:t xml:space="preserve"> had </w:t>
      </w:r>
      <w:r w:rsidR="00511CD9">
        <w:rPr>
          <w:rFonts w:cstheme="minorHAnsi"/>
          <w:color w:val="333333"/>
          <w:sz w:val="24"/>
          <w:szCs w:val="24"/>
          <w:shd w:val="clear" w:color="auto" w:fill="FFFFFF"/>
        </w:rPr>
        <w:t xml:space="preserve">more life experience, working away from </w:t>
      </w:r>
      <w:r w:rsidR="004F5A9E">
        <w:rPr>
          <w:rFonts w:cstheme="minorHAnsi"/>
          <w:color w:val="333333"/>
          <w:sz w:val="24"/>
          <w:szCs w:val="24"/>
          <w:shd w:val="clear" w:color="auto" w:fill="FFFFFF"/>
        </w:rPr>
        <w:t xml:space="preserve">home </w:t>
      </w:r>
      <w:r w:rsidR="00511CD9">
        <w:rPr>
          <w:rFonts w:cstheme="minorHAnsi"/>
          <w:color w:val="333333"/>
          <w:sz w:val="24"/>
          <w:szCs w:val="24"/>
          <w:shd w:val="clear" w:color="auto" w:fill="FFFFFF"/>
        </w:rPr>
        <w:t>including time in the</w:t>
      </w:r>
      <w:r w:rsidR="00511CD9" w:rsidRPr="00511CD9">
        <w:rPr>
          <w:rFonts w:cstheme="minorHAnsi"/>
          <w:color w:val="333333"/>
          <w:sz w:val="24"/>
          <w:szCs w:val="24"/>
          <w:shd w:val="clear" w:color="auto" w:fill="FFFFFF"/>
        </w:rPr>
        <w:t xml:space="preserve"> Armed Forces</w:t>
      </w:r>
      <w:r w:rsidR="00511CD9">
        <w:rPr>
          <w:rFonts w:cstheme="minorHAnsi"/>
          <w:color w:val="333333"/>
          <w:sz w:val="24"/>
          <w:szCs w:val="24"/>
          <w:shd w:val="clear" w:color="auto" w:fill="FFFFFF"/>
        </w:rPr>
        <w:t xml:space="preserve"> and </w:t>
      </w:r>
      <w:r w:rsidR="004F5A9E">
        <w:rPr>
          <w:rFonts w:cstheme="minorHAnsi"/>
          <w:color w:val="333333"/>
          <w:sz w:val="24"/>
          <w:szCs w:val="24"/>
          <w:shd w:val="clear" w:color="auto" w:fill="FFFFFF"/>
        </w:rPr>
        <w:t xml:space="preserve">work </w:t>
      </w:r>
      <w:r w:rsidR="00511CD9">
        <w:rPr>
          <w:rFonts w:cstheme="minorHAnsi"/>
          <w:color w:val="333333"/>
          <w:sz w:val="24"/>
          <w:szCs w:val="24"/>
          <w:shd w:val="clear" w:color="auto" w:fill="FFFFFF"/>
        </w:rPr>
        <w:t>in Jersey.</w:t>
      </w:r>
      <w:r w:rsidR="00511CD9">
        <w:rPr>
          <w:rStyle w:val="FootnoteReference"/>
          <w:rFonts w:cstheme="minorHAnsi"/>
          <w:color w:val="333333"/>
          <w:sz w:val="24"/>
          <w:szCs w:val="24"/>
          <w:shd w:val="clear" w:color="auto" w:fill="FFFFFF"/>
        </w:rPr>
        <w:footnoteReference w:id="17"/>
      </w:r>
      <w:r w:rsidR="004F5A9E">
        <w:rPr>
          <w:rFonts w:cstheme="minorHAnsi"/>
          <w:color w:val="333333"/>
          <w:sz w:val="24"/>
          <w:szCs w:val="24"/>
          <w:shd w:val="clear" w:color="auto" w:fill="FFFFFF"/>
        </w:rPr>
        <w:t xml:space="preserve"> Further</w:t>
      </w:r>
      <w:r w:rsidRPr="00EA203A">
        <w:rPr>
          <w:rFonts w:cstheme="minorHAnsi"/>
          <w:color w:val="333333"/>
          <w:sz w:val="24"/>
          <w:szCs w:val="24"/>
          <w:shd w:val="clear" w:color="auto" w:fill="FFFFFF"/>
        </w:rPr>
        <w:t xml:space="preserve">, </w:t>
      </w:r>
      <w:r w:rsidR="002D178E">
        <w:rPr>
          <w:rFonts w:cstheme="minorHAnsi"/>
          <w:color w:val="333333"/>
          <w:sz w:val="24"/>
          <w:szCs w:val="24"/>
          <w:shd w:val="clear" w:color="auto" w:fill="FFFFFF"/>
        </w:rPr>
        <w:t>he</w:t>
      </w:r>
      <w:r w:rsidRPr="00EA203A">
        <w:rPr>
          <w:rFonts w:cstheme="minorHAnsi"/>
          <w:color w:val="333333"/>
          <w:sz w:val="24"/>
          <w:szCs w:val="24"/>
          <w:shd w:val="clear" w:color="auto" w:fill="FFFFFF"/>
        </w:rPr>
        <w:t xml:space="preserve"> was reportedly a</w:t>
      </w:r>
      <w:r w:rsidR="00717B84">
        <w:rPr>
          <w:rFonts w:cstheme="minorHAnsi"/>
          <w:color w:val="333333"/>
          <w:sz w:val="24"/>
          <w:szCs w:val="24"/>
          <w:shd w:val="clear" w:color="auto" w:fill="FFFFFF"/>
        </w:rPr>
        <w:t xml:space="preserve"> foot taller that Violet, </w:t>
      </w:r>
      <w:r w:rsidRPr="00EA203A">
        <w:rPr>
          <w:rFonts w:cstheme="minorHAnsi"/>
          <w:color w:val="333333"/>
          <w:sz w:val="24"/>
          <w:szCs w:val="24"/>
          <w:shd w:val="clear" w:color="auto" w:fill="FFFFFF"/>
        </w:rPr>
        <w:t>worked as a farm labourer</w:t>
      </w:r>
      <w:r w:rsidR="00717B84" w:rsidRPr="00717B84">
        <w:rPr>
          <w:rFonts w:cstheme="minorHAnsi"/>
          <w:color w:val="333333"/>
          <w:sz w:val="24"/>
          <w:szCs w:val="24"/>
          <w:shd w:val="clear" w:color="auto" w:fill="FFFFFF"/>
        </w:rPr>
        <w:t xml:space="preserve"> </w:t>
      </w:r>
      <w:r w:rsidR="00717B84">
        <w:rPr>
          <w:rFonts w:cstheme="minorHAnsi"/>
          <w:color w:val="333333"/>
          <w:sz w:val="24"/>
          <w:szCs w:val="24"/>
          <w:shd w:val="clear" w:color="auto" w:fill="FFFFFF"/>
        </w:rPr>
        <w:t xml:space="preserve">and </w:t>
      </w:r>
      <w:r w:rsidR="00717B84" w:rsidRPr="00EA203A">
        <w:rPr>
          <w:rFonts w:cstheme="minorHAnsi"/>
          <w:color w:val="333333"/>
          <w:sz w:val="24"/>
          <w:szCs w:val="24"/>
          <w:shd w:val="clear" w:color="auto" w:fill="FFFFFF"/>
        </w:rPr>
        <w:t>had taken part in boxing exhibitions</w:t>
      </w:r>
      <w:r w:rsidRPr="00EA203A">
        <w:rPr>
          <w:rFonts w:cstheme="minorHAnsi"/>
          <w:color w:val="333333"/>
          <w:sz w:val="24"/>
          <w:szCs w:val="24"/>
          <w:shd w:val="clear" w:color="auto" w:fill="FFFFFF"/>
        </w:rPr>
        <w:t>.</w:t>
      </w:r>
      <w:r w:rsidR="00717B84">
        <w:rPr>
          <w:rStyle w:val="FootnoteReference"/>
          <w:rFonts w:cstheme="minorHAnsi"/>
          <w:color w:val="333333"/>
          <w:sz w:val="24"/>
          <w:szCs w:val="24"/>
          <w:shd w:val="clear" w:color="auto" w:fill="FFFFFF"/>
        </w:rPr>
        <w:footnoteReference w:id="18"/>
      </w:r>
      <w:r w:rsidRPr="00EA203A">
        <w:rPr>
          <w:rFonts w:cstheme="minorHAnsi"/>
          <w:color w:val="333333"/>
          <w:sz w:val="24"/>
          <w:szCs w:val="24"/>
          <w:shd w:val="clear" w:color="auto" w:fill="FFFFFF"/>
        </w:rPr>
        <w:t xml:space="preserve"> No doubt he was physically strong, and it is likely that his physical strength was superior to his wife’s. Even if that may not have always been the case, in January 1934, Violet became pregnant with their son</w:t>
      </w:r>
      <w:r>
        <w:rPr>
          <w:rFonts w:cstheme="minorHAnsi"/>
          <w:color w:val="333333"/>
          <w:sz w:val="24"/>
          <w:szCs w:val="24"/>
          <w:shd w:val="clear" w:color="auto" w:fill="FFFFFF"/>
        </w:rPr>
        <w:t xml:space="preserve"> w</w:t>
      </w:r>
      <w:r w:rsidRPr="00EA203A">
        <w:rPr>
          <w:rFonts w:cstheme="minorHAnsi"/>
          <w:color w:val="333333"/>
          <w:sz w:val="24"/>
          <w:szCs w:val="24"/>
          <w:shd w:val="clear" w:color="auto" w:fill="FFFFFF"/>
        </w:rPr>
        <w:t xml:space="preserve">hich </w:t>
      </w:r>
      <w:r w:rsidR="00F760D0">
        <w:rPr>
          <w:rFonts w:cstheme="minorHAnsi"/>
          <w:color w:val="333333"/>
          <w:sz w:val="24"/>
          <w:szCs w:val="24"/>
          <w:shd w:val="clear" w:color="auto" w:fill="FFFFFF"/>
        </w:rPr>
        <w:t xml:space="preserve">was likely to impact </w:t>
      </w:r>
      <w:r w:rsidR="00683D19">
        <w:rPr>
          <w:rFonts w:cstheme="minorHAnsi"/>
          <w:color w:val="333333"/>
          <w:sz w:val="24"/>
          <w:szCs w:val="24"/>
          <w:shd w:val="clear" w:color="auto" w:fill="FFFFFF"/>
        </w:rPr>
        <w:t xml:space="preserve">on </w:t>
      </w:r>
      <w:r w:rsidR="004F5A9E">
        <w:rPr>
          <w:rFonts w:cstheme="minorHAnsi"/>
          <w:color w:val="333333"/>
          <w:sz w:val="24"/>
          <w:szCs w:val="24"/>
          <w:shd w:val="clear" w:color="auto" w:fill="FFFFFF"/>
        </w:rPr>
        <w:t>her physical strength.</w:t>
      </w:r>
      <w:r w:rsidR="00F760D0">
        <w:rPr>
          <w:rFonts w:cstheme="minorHAnsi"/>
          <w:color w:val="333333"/>
          <w:sz w:val="24"/>
          <w:szCs w:val="24"/>
          <w:shd w:val="clear" w:color="auto" w:fill="FFFFFF"/>
        </w:rPr>
        <w:t xml:space="preserve"> It is common for women in their first trimester of pregnancy to experience nausea and</w:t>
      </w:r>
      <w:r w:rsidR="00634DBD">
        <w:rPr>
          <w:rFonts w:cstheme="minorHAnsi"/>
          <w:color w:val="333333"/>
          <w:sz w:val="24"/>
          <w:szCs w:val="24"/>
          <w:shd w:val="clear" w:color="auto" w:fill="FFFFFF"/>
        </w:rPr>
        <w:t>/or</w:t>
      </w:r>
      <w:r w:rsidR="00F760D0">
        <w:rPr>
          <w:rFonts w:cstheme="minorHAnsi"/>
          <w:color w:val="333333"/>
          <w:sz w:val="24"/>
          <w:szCs w:val="24"/>
          <w:shd w:val="clear" w:color="auto" w:fill="FFFFFF"/>
        </w:rPr>
        <w:t xml:space="preserve"> fatigue</w:t>
      </w:r>
      <w:r w:rsidR="00683D19">
        <w:rPr>
          <w:rFonts w:cstheme="minorHAnsi"/>
          <w:color w:val="333333"/>
          <w:sz w:val="24"/>
          <w:szCs w:val="24"/>
          <w:shd w:val="clear" w:color="auto" w:fill="FFFFFF"/>
        </w:rPr>
        <w:t>;</w:t>
      </w:r>
      <w:r w:rsidR="00F760D0">
        <w:rPr>
          <w:rFonts w:cstheme="minorHAnsi"/>
          <w:color w:val="333333"/>
          <w:sz w:val="24"/>
          <w:szCs w:val="24"/>
          <w:shd w:val="clear" w:color="auto" w:fill="FFFFFF"/>
        </w:rPr>
        <w:t xml:space="preserve"> likewise</w:t>
      </w:r>
      <w:r w:rsidR="00683D19">
        <w:rPr>
          <w:rFonts w:cstheme="minorHAnsi"/>
          <w:color w:val="333333"/>
          <w:sz w:val="24"/>
          <w:szCs w:val="24"/>
          <w:shd w:val="clear" w:color="auto" w:fill="FFFFFF"/>
        </w:rPr>
        <w:t>,</w:t>
      </w:r>
      <w:r w:rsidR="00F760D0">
        <w:rPr>
          <w:rFonts w:cstheme="minorHAnsi"/>
          <w:color w:val="333333"/>
          <w:sz w:val="24"/>
          <w:szCs w:val="24"/>
          <w:shd w:val="clear" w:color="auto" w:fill="FFFFFF"/>
        </w:rPr>
        <w:t xml:space="preserve"> tiredness is common towards the end </w:t>
      </w:r>
      <w:r w:rsidR="00F760D0" w:rsidRPr="00F760D0">
        <w:rPr>
          <w:rFonts w:cstheme="minorHAnsi"/>
          <w:color w:val="333333"/>
          <w:sz w:val="24"/>
          <w:szCs w:val="24"/>
          <w:shd w:val="clear" w:color="auto" w:fill="FFFFFF"/>
        </w:rPr>
        <w:t>of pregnancy</w:t>
      </w:r>
      <w:r w:rsidR="00634DBD">
        <w:rPr>
          <w:rFonts w:cstheme="minorHAnsi"/>
          <w:color w:val="333333"/>
          <w:sz w:val="24"/>
          <w:szCs w:val="24"/>
          <w:shd w:val="clear" w:color="auto" w:fill="FFFFFF"/>
        </w:rPr>
        <w:t>. Crucially</w:t>
      </w:r>
      <w:r w:rsidRPr="00EA203A">
        <w:rPr>
          <w:rFonts w:cstheme="minorHAnsi"/>
          <w:color w:val="333333"/>
          <w:sz w:val="24"/>
          <w:szCs w:val="24"/>
          <w:shd w:val="clear" w:color="auto" w:fill="FFFFFF"/>
        </w:rPr>
        <w:t xml:space="preserve">, it is well-established that pregnancy </w:t>
      </w:r>
      <w:r w:rsidR="00BA05F6">
        <w:rPr>
          <w:rFonts w:cstheme="minorHAnsi"/>
          <w:color w:val="333333"/>
          <w:sz w:val="24"/>
          <w:szCs w:val="24"/>
          <w:shd w:val="clear" w:color="auto" w:fill="FFFFFF"/>
        </w:rPr>
        <w:t>can be</w:t>
      </w:r>
      <w:r w:rsidRPr="00EA203A">
        <w:rPr>
          <w:rFonts w:cstheme="minorHAnsi"/>
          <w:color w:val="333333"/>
          <w:sz w:val="24"/>
          <w:szCs w:val="24"/>
          <w:shd w:val="clear" w:color="auto" w:fill="FFFFFF"/>
        </w:rPr>
        <w:t xml:space="preserve"> the catalyst for domestic abuse.</w:t>
      </w:r>
      <w:r w:rsidRPr="00EA203A">
        <w:rPr>
          <w:rStyle w:val="FootnoteReference"/>
          <w:rFonts w:cstheme="minorHAnsi"/>
          <w:color w:val="333333"/>
          <w:sz w:val="24"/>
          <w:szCs w:val="24"/>
          <w:shd w:val="clear" w:color="auto" w:fill="FFFFFF"/>
        </w:rPr>
        <w:footnoteReference w:id="19"/>
      </w:r>
    </w:p>
    <w:p w14:paraId="07705981" w14:textId="3CE9EB5C" w:rsidR="00A20EFA" w:rsidRDefault="006C0EF2" w:rsidP="00970837">
      <w:pPr>
        <w:spacing w:line="360" w:lineRule="auto"/>
        <w:ind w:firstLine="720"/>
        <w:jc w:val="both"/>
        <w:rPr>
          <w:rFonts w:cstheme="minorHAnsi"/>
          <w:color w:val="333333"/>
          <w:sz w:val="24"/>
          <w:szCs w:val="24"/>
          <w:shd w:val="clear" w:color="auto" w:fill="FFFFFF"/>
        </w:rPr>
      </w:pPr>
      <w:r w:rsidRPr="00EA203A">
        <w:rPr>
          <w:rFonts w:cstheme="minorHAnsi"/>
          <w:color w:val="333333"/>
          <w:sz w:val="24"/>
          <w:szCs w:val="24"/>
          <w:shd w:val="clear" w:color="auto" w:fill="FFFFFF"/>
        </w:rPr>
        <w:t xml:space="preserve">It </w:t>
      </w:r>
      <w:r w:rsidR="00F93C94">
        <w:rPr>
          <w:rFonts w:cstheme="minorHAnsi"/>
          <w:color w:val="333333"/>
          <w:sz w:val="24"/>
          <w:szCs w:val="24"/>
          <w:shd w:val="clear" w:color="auto" w:fill="FFFFFF"/>
        </w:rPr>
        <w:t>is</w:t>
      </w:r>
      <w:r w:rsidRPr="00EA203A">
        <w:rPr>
          <w:rFonts w:cstheme="minorHAnsi"/>
          <w:color w:val="333333"/>
          <w:sz w:val="24"/>
          <w:szCs w:val="24"/>
          <w:shd w:val="clear" w:color="auto" w:fill="FFFFFF"/>
        </w:rPr>
        <w:t xml:space="preserve"> not</w:t>
      </w:r>
      <w:r w:rsidR="00F93C94">
        <w:rPr>
          <w:rFonts w:cstheme="minorHAnsi"/>
          <w:color w:val="333333"/>
          <w:sz w:val="24"/>
          <w:szCs w:val="24"/>
          <w:shd w:val="clear" w:color="auto" w:fill="FFFFFF"/>
        </w:rPr>
        <w:t xml:space="preserve"> </w:t>
      </w:r>
      <w:r w:rsidRPr="00EA203A">
        <w:rPr>
          <w:rFonts w:cstheme="minorHAnsi"/>
          <w:color w:val="333333"/>
          <w:sz w:val="24"/>
          <w:szCs w:val="24"/>
          <w:shd w:val="clear" w:color="auto" w:fill="FFFFFF"/>
        </w:rPr>
        <w:t xml:space="preserve">possible </w:t>
      </w:r>
      <w:r w:rsidR="00970837">
        <w:rPr>
          <w:rFonts w:cstheme="minorHAnsi"/>
          <w:color w:val="333333"/>
          <w:sz w:val="24"/>
          <w:szCs w:val="24"/>
          <w:shd w:val="clear" w:color="auto" w:fill="FFFFFF"/>
        </w:rPr>
        <w:t xml:space="preserve">to </w:t>
      </w:r>
      <w:r w:rsidRPr="00EA203A">
        <w:rPr>
          <w:rFonts w:cstheme="minorHAnsi"/>
          <w:color w:val="333333"/>
          <w:sz w:val="24"/>
          <w:szCs w:val="24"/>
          <w:shd w:val="clear" w:color="auto" w:fill="FFFFFF"/>
        </w:rPr>
        <w:t xml:space="preserve">discover if Violet was coerced into a sexual relationship with </w:t>
      </w:r>
      <w:r>
        <w:rPr>
          <w:rFonts w:cstheme="minorHAnsi"/>
          <w:color w:val="333333"/>
          <w:sz w:val="24"/>
          <w:szCs w:val="24"/>
          <w:shd w:val="clear" w:color="auto" w:fill="FFFFFF"/>
        </w:rPr>
        <w:t>the defendant</w:t>
      </w:r>
      <w:r w:rsidRPr="00EA203A">
        <w:rPr>
          <w:rFonts w:cstheme="minorHAnsi"/>
          <w:color w:val="333333"/>
          <w:sz w:val="24"/>
          <w:szCs w:val="24"/>
          <w:shd w:val="clear" w:color="auto" w:fill="FFFFFF"/>
        </w:rPr>
        <w:t xml:space="preserve">, but there are some indications that she was coerced into </w:t>
      </w:r>
      <w:r w:rsidR="00A4344A">
        <w:rPr>
          <w:rFonts w:cstheme="minorHAnsi"/>
          <w:color w:val="333333"/>
          <w:sz w:val="24"/>
          <w:szCs w:val="24"/>
          <w:shd w:val="clear" w:color="auto" w:fill="FFFFFF"/>
        </w:rPr>
        <w:t>marrying</w:t>
      </w:r>
      <w:r w:rsidRPr="00EA203A">
        <w:rPr>
          <w:rFonts w:cstheme="minorHAnsi"/>
          <w:color w:val="333333"/>
          <w:sz w:val="24"/>
          <w:szCs w:val="24"/>
          <w:shd w:val="clear" w:color="auto" w:fill="FFFFFF"/>
        </w:rPr>
        <w:t xml:space="preserve"> </w:t>
      </w:r>
      <w:r>
        <w:rPr>
          <w:rFonts w:cstheme="minorHAnsi"/>
          <w:color w:val="333333"/>
          <w:sz w:val="24"/>
          <w:szCs w:val="24"/>
          <w:shd w:val="clear" w:color="auto" w:fill="FFFFFF"/>
        </w:rPr>
        <w:t>him</w:t>
      </w:r>
      <w:r w:rsidR="00A735B5">
        <w:rPr>
          <w:rFonts w:cstheme="minorHAnsi"/>
          <w:color w:val="333333"/>
          <w:sz w:val="24"/>
          <w:szCs w:val="24"/>
          <w:shd w:val="clear" w:color="auto" w:fill="FFFFFF"/>
        </w:rPr>
        <w:t xml:space="preserve"> –</w:t>
      </w:r>
      <w:r w:rsidRPr="00EA203A">
        <w:rPr>
          <w:rFonts w:cstheme="minorHAnsi"/>
          <w:color w:val="333333"/>
          <w:sz w:val="24"/>
          <w:szCs w:val="24"/>
          <w:shd w:val="clear" w:color="auto" w:fill="FFFFFF"/>
        </w:rPr>
        <w:t xml:space="preserve"> potentially </w:t>
      </w:r>
      <w:r w:rsidR="00F93C94">
        <w:rPr>
          <w:rFonts w:cstheme="minorHAnsi"/>
          <w:color w:val="333333"/>
          <w:sz w:val="24"/>
          <w:szCs w:val="24"/>
          <w:shd w:val="clear" w:color="auto" w:fill="FFFFFF"/>
        </w:rPr>
        <w:t>by</w:t>
      </w:r>
      <w:r w:rsidRPr="00EA203A">
        <w:rPr>
          <w:rFonts w:cstheme="minorHAnsi"/>
          <w:color w:val="333333"/>
          <w:sz w:val="24"/>
          <w:szCs w:val="24"/>
          <w:shd w:val="clear" w:color="auto" w:fill="FFFFFF"/>
        </w:rPr>
        <w:t xml:space="preserve"> </w:t>
      </w:r>
      <w:r w:rsidR="00850CB9">
        <w:rPr>
          <w:rFonts w:cstheme="minorHAnsi"/>
          <w:color w:val="333333"/>
          <w:sz w:val="24"/>
          <w:szCs w:val="24"/>
          <w:shd w:val="clear" w:color="auto" w:fill="FFFFFF"/>
        </w:rPr>
        <w:t xml:space="preserve">her mother, </w:t>
      </w:r>
      <w:r w:rsidRPr="00EA203A">
        <w:rPr>
          <w:rFonts w:cstheme="minorHAnsi"/>
          <w:color w:val="333333"/>
          <w:sz w:val="24"/>
          <w:szCs w:val="24"/>
          <w:shd w:val="clear" w:color="auto" w:fill="FFFFFF"/>
        </w:rPr>
        <w:t xml:space="preserve">Lillian Smith, who was </w:t>
      </w:r>
      <w:r w:rsidR="00850CB9">
        <w:rPr>
          <w:rFonts w:cstheme="minorHAnsi"/>
          <w:color w:val="333333"/>
          <w:sz w:val="24"/>
          <w:szCs w:val="24"/>
          <w:shd w:val="clear" w:color="auto" w:fill="FFFFFF"/>
        </w:rPr>
        <w:t>dis</w:t>
      </w:r>
      <w:r w:rsidRPr="00EA203A">
        <w:rPr>
          <w:rFonts w:cstheme="minorHAnsi"/>
          <w:color w:val="333333"/>
          <w:sz w:val="24"/>
          <w:szCs w:val="24"/>
          <w:shd w:val="clear" w:color="auto" w:fill="FFFFFF"/>
        </w:rPr>
        <w:t xml:space="preserve">pleased that </w:t>
      </w:r>
      <w:r w:rsidR="00850CB9">
        <w:rPr>
          <w:rFonts w:cstheme="minorHAnsi"/>
          <w:color w:val="333333"/>
          <w:sz w:val="24"/>
          <w:szCs w:val="24"/>
          <w:shd w:val="clear" w:color="auto" w:fill="FFFFFF"/>
        </w:rPr>
        <w:t>Violet</w:t>
      </w:r>
      <w:r w:rsidRPr="00EA203A">
        <w:rPr>
          <w:rFonts w:cstheme="minorHAnsi"/>
          <w:color w:val="333333"/>
          <w:sz w:val="24"/>
          <w:szCs w:val="24"/>
          <w:shd w:val="clear" w:color="auto" w:fill="FFFFFF"/>
        </w:rPr>
        <w:t xml:space="preserve"> had become pregnant. </w:t>
      </w:r>
      <w:r w:rsidR="00A20EFA">
        <w:rPr>
          <w:rFonts w:cstheme="minorHAnsi"/>
          <w:color w:val="333333"/>
          <w:sz w:val="24"/>
          <w:szCs w:val="24"/>
          <w:shd w:val="clear" w:color="auto" w:fill="FFFFFF"/>
        </w:rPr>
        <w:lastRenderedPageBreak/>
        <w:t xml:space="preserve">Glover reports that at </w:t>
      </w:r>
      <w:proofErr w:type="spellStart"/>
      <w:r w:rsidR="00A20EFA">
        <w:rPr>
          <w:rFonts w:cstheme="minorHAnsi"/>
          <w:color w:val="333333"/>
          <w:sz w:val="24"/>
          <w:szCs w:val="24"/>
          <w:shd w:val="clear" w:color="auto" w:fill="FFFFFF"/>
        </w:rPr>
        <w:t>Woolmington’s</w:t>
      </w:r>
      <w:proofErr w:type="spellEnd"/>
      <w:r w:rsidR="00A20EFA">
        <w:rPr>
          <w:rFonts w:cstheme="minorHAnsi"/>
          <w:color w:val="333333"/>
          <w:sz w:val="24"/>
          <w:szCs w:val="24"/>
          <w:shd w:val="clear" w:color="auto" w:fill="FFFFFF"/>
        </w:rPr>
        <w:t xml:space="preserve"> first trial, Smith called </w:t>
      </w:r>
      <w:r w:rsidR="00A20EFA" w:rsidRPr="00A20EFA">
        <w:rPr>
          <w:rFonts w:cstheme="minorHAnsi"/>
          <w:color w:val="333333"/>
          <w:sz w:val="24"/>
          <w:szCs w:val="24"/>
          <w:shd w:val="clear" w:color="auto" w:fill="FFFFFF"/>
        </w:rPr>
        <w:t xml:space="preserve">the birth </w:t>
      </w:r>
      <w:r w:rsidR="00A20EFA">
        <w:rPr>
          <w:rFonts w:cstheme="minorHAnsi"/>
          <w:color w:val="333333"/>
          <w:sz w:val="24"/>
          <w:szCs w:val="24"/>
          <w:shd w:val="clear" w:color="auto" w:fill="FFFFFF"/>
        </w:rPr>
        <w:t xml:space="preserve">of her grandson </w:t>
      </w:r>
      <w:r w:rsidR="00A20EFA" w:rsidRPr="00A20EFA">
        <w:rPr>
          <w:rFonts w:cstheme="minorHAnsi"/>
          <w:color w:val="333333"/>
          <w:sz w:val="24"/>
          <w:szCs w:val="24"/>
          <w:shd w:val="clear" w:color="auto" w:fill="FFFFFF"/>
        </w:rPr>
        <w:t>‘a disgrace’</w:t>
      </w:r>
      <w:r w:rsidR="00A20EFA">
        <w:rPr>
          <w:rFonts w:cstheme="minorHAnsi"/>
          <w:color w:val="333333"/>
          <w:sz w:val="24"/>
          <w:szCs w:val="24"/>
          <w:shd w:val="clear" w:color="auto" w:fill="FFFFFF"/>
        </w:rPr>
        <w:t>.</w:t>
      </w:r>
      <w:r w:rsidR="00A20EFA">
        <w:rPr>
          <w:rStyle w:val="FootnoteReference"/>
          <w:rFonts w:cstheme="minorHAnsi"/>
          <w:color w:val="333333"/>
          <w:sz w:val="24"/>
          <w:szCs w:val="24"/>
          <w:shd w:val="clear" w:color="auto" w:fill="FFFFFF"/>
        </w:rPr>
        <w:footnoteReference w:id="20"/>
      </w:r>
    </w:p>
    <w:p w14:paraId="0E1128EA" w14:textId="0A61A184" w:rsidR="006C0EF2" w:rsidRPr="00333D1D" w:rsidRDefault="00850CB9" w:rsidP="00412DB9">
      <w:pPr>
        <w:spacing w:line="360" w:lineRule="auto"/>
        <w:ind w:firstLine="720"/>
        <w:jc w:val="both"/>
        <w:rPr>
          <w:rFonts w:cstheme="minorHAnsi"/>
          <w:color w:val="333333"/>
          <w:sz w:val="24"/>
          <w:szCs w:val="24"/>
          <w:shd w:val="clear" w:color="auto" w:fill="FFFFFF"/>
        </w:rPr>
      </w:pPr>
      <w:r>
        <w:rPr>
          <w:rFonts w:cstheme="minorHAnsi"/>
          <w:color w:val="333333"/>
          <w:sz w:val="24"/>
          <w:szCs w:val="24"/>
          <w:shd w:val="clear" w:color="auto" w:fill="FFFFFF"/>
        </w:rPr>
        <w:t>T</w:t>
      </w:r>
      <w:r w:rsidR="006C0EF2" w:rsidRPr="00EA203A">
        <w:rPr>
          <w:rFonts w:cstheme="minorHAnsi"/>
          <w:color w:val="333333"/>
          <w:sz w:val="24"/>
          <w:szCs w:val="24"/>
          <w:shd w:val="clear" w:color="auto" w:fill="FFFFFF"/>
        </w:rPr>
        <w:t xml:space="preserve">he couple were married on 25 August 1934, and went to live with </w:t>
      </w:r>
      <w:r>
        <w:rPr>
          <w:rFonts w:cstheme="minorHAnsi"/>
          <w:color w:val="333333"/>
          <w:sz w:val="24"/>
          <w:szCs w:val="24"/>
          <w:shd w:val="clear" w:color="auto" w:fill="FFFFFF"/>
        </w:rPr>
        <w:t>Reginald</w:t>
      </w:r>
      <w:r w:rsidR="006C0EF2" w:rsidRPr="00EA203A">
        <w:rPr>
          <w:rFonts w:cstheme="minorHAnsi"/>
          <w:color w:val="333333"/>
          <w:sz w:val="24"/>
          <w:szCs w:val="24"/>
          <w:shd w:val="clear" w:color="auto" w:fill="FFFFFF"/>
        </w:rPr>
        <w:t>’s parents</w:t>
      </w:r>
      <w:r>
        <w:rPr>
          <w:rFonts w:cstheme="minorHAnsi"/>
          <w:color w:val="333333"/>
          <w:sz w:val="24"/>
          <w:szCs w:val="24"/>
          <w:shd w:val="clear" w:color="auto" w:fill="FFFFFF"/>
        </w:rPr>
        <w:t>, in Oborne, Dorset</w:t>
      </w:r>
      <w:r w:rsidR="006C0EF2" w:rsidRPr="00EA203A">
        <w:rPr>
          <w:rFonts w:cstheme="minorHAnsi"/>
          <w:color w:val="333333"/>
          <w:sz w:val="24"/>
          <w:szCs w:val="24"/>
          <w:shd w:val="clear" w:color="auto" w:fill="FFFFFF"/>
        </w:rPr>
        <w:t xml:space="preserve">. Violet gave birth to a son on 14 October. This is when significant conflict between husband and wife is reported to have started. </w:t>
      </w:r>
      <w:r w:rsidR="00DF5037">
        <w:rPr>
          <w:rFonts w:cstheme="minorHAnsi"/>
          <w:color w:val="333333"/>
          <w:sz w:val="24"/>
          <w:szCs w:val="24"/>
          <w:shd w:val="clear" w:color="auto" w:fill="FFFFFF"/>
        </w:rPr>
        <w:t xml:space="preserve"> </w:t>
      </w:r>
      <w:r w:rsidR="006C0EF2" w:rsidRPr="00333D1D">
        <w:rPr>
          <w:rFonts w:cstheme="minorHAnsi"/>
          <w:color w:val="333333"/>
          <w:sz w:val="24"/>
          <w:szCs w:val="24"/>
          <w:shd w:val="clear" w:color="auto" w:fill="FFFFFF"/>
        </w:rPr>
        <w:t xml:space="preserve">At trial, Violet’s mother gave </w:t>
      </w:r>
      <w:r w:rsidR="00A4344A">
        <w:rPr>
          <w:rFonts w:cstheme="minorHAnsi"/>
          <w:color w:val="333333"/>
          <w:sz w:val="24"/>
          <w:szCs w:val="24"/>
          <w:shd w:val="clear" w:color="auto" w:fill="FFFFFF"/>
        </w:rPr>
        <w:t>details</w:t>
      </w:r>
      <w:r w:rsidR="006C0EF2" w:rsidRPr="00333D1D">
        <w:rPr>
          <w:rFonts w:cstheme="minorHAnsi"/>
          <w:color w:val="333333"/>
          <w:sz w:val="24"/>
          <w:szCs w:val="24"/>
          <w:shd w:val="clear" w:color="auto" w:fill="FFFFFF"/>
        </w:rPr>
        <w:t xml:space="preserve"> </w:t>
      </w:r>
      <w:r w:rsidR="00B1457C">
        <w:rPr>
          <w:rFonts w:cstheme="minorHAnsi"/>
          <w:color w:val="333333"/>
          <w:sz w:val="24"/>
          <w:szCs w:val="24"/>
          <w:shd w:val="clear" w:color="auto" w:fill="FFFFFF"/>
        </w:rPr>
        <w:t xml:space="preserve">of domestic abuse that Violet had </w:t>
      </w:r>
      <w:r w:rsidR="00A4344A">
        <w:rPr>
          <w:rFonts w:cstheme="minorHAnsi"/>
          <w:color w:val="333333"/>
          <w:sz w:val="24"/>
          <w:szCs w:val="24"/>
          <w:shd w:val="clear" w:color="auto" w:fill="FFFFFF"/>
        </w:rPr>
        <w:t xml:space="preserve">reported to her. </w:t>
      </w:r>
      <w:r w:rsidR="001126D8">
        <w:rPr>
          <w:rFonts w:cstheme="minorHAnsi"/>
          <w:color w:val="333333"/>
          <w:sz w:val="24"/>
          <w:szCs w:val="24"/>
          <w:shd w:val="clear" w:color="auto" w:fill="FFFFFF"/>
        </w:rPr>
        <w:t xml:space="preserve">This evidence was backed up by </w:t>
      </w:r>
      <w:r w:rsidR="00DF5037">
        <w:rPr>
          <w:rFonts w:cstheme="minorHAnsi"/>
          <w:color w:val="333333"/>
          <w:sz w:val="24"/>
          <w:szCs w:val="24"/>
          <w:shd w:val="clear" w:color="auto" w:fill="FFFFFF"/>
        </w:rPr>
        <w:t>the S</w:t>
      </w:r>
      <w:r w:rsidR="00DF5037" w:rsidRPr="00DF5037">
        <w:rPr>
          <w:rFonts w:cstheme="minorHAnsi"/>
          <w:color w:val="333333"/>
          <w:sz w:val="24"/>
          <w:szCs w:val="24"/>
          <w:shd w:val="clear" w:color="auto" w:fill="FFFFFF"/>
        </w:rPr>
        <w:t>herborne Police Court missionary, Albert Berryman</w:t>
      </w:r>
      <w:r w:rsidR="00DF5037">
        <w:rPr>
          <w:rFonts w:cstheme="minorHAnsi"/>
          <w:color w:val="333333"/>
          <w:sz w:val="24"/>
          <w:szCs w:val="24"/>
          <w:shd w:val="clear" w:color="auto" w:fill="FFFFFF"/>
        </w:rPr>
        <w:t>, who had spoken with Violet prior to her death</w:t>
      </w:r>
      <w:r w:rsidR="00794DE6">
        <w:rPr>
          <w:rFonts w:cstheme="minorHAnsi"/>
          <w:color w:val="333333"/>
          <w:sz w:val="24"/>
          <w:szCs w:val="24"/>
          <w:shd w:val="clear" w:color="auto" w:fill="FFFFFF"/>
        </w:rPr>
        <w:t>. Violet</w:t>
      </w:r>
      <w:r w:rsidR="00DF5037">
        <w:rPr>
          <w:rFonts w:cstheme="minorHAnsi"/>
          <w:color w:val="333333"/>
          <w:sz w:val="24"/>
          <w:szCs w:val="24"/>
          <w:shd w:val="clear" w:color="auto" w:fill="FFFFFF"/>
        </w:rPr>
        <w:t xml:space="preserve"> </w:t>
      </w:r>
      <w:r w:rsidR="00794DE6">
        <w:rPr>
          <w:rFonts w:cstheme="minorHAnsi"/>
          <w:color w:val="333333"/>
          <w:sz w:val="24"/>
          <w:szCs w:val="24"/>
          <w:shd w:val="clear" w:color="auto" w:fill="FFFFFF"/>
        </w:rPr>
        <w:t>disclosed to</w:t>
      </w:r>
      <w:r w:rsidR="00DF5037">
        <w:rPr>
          <w:rFonts w:cstheme="minorHAnsi"/>
          <w:color w:val="333333"/>
          <w:sz w:val="24"/>
          <w:szCs w:val="24"/>
          <w:shd w:val="clear" w:color="auto" w:fill="FFFFFF"/>
        </w:rPr>
        <w:t xml:space="preserve"> Berryman how </w:t>
      </w:r>
      <w:r w:rsidR="00794DE6">
        <w:rPr>
          <w:rFonts w:cstheme="minorHAnsi"/>
          <w:color w:val="333333"/>
          <w:sz w:val="24"/>
          <w:szCs w:val="24"/>
          <w:shd w:val="clear" w:color="auto" w:fill="FFFFFF"/>
        </w:rPr>
        <w:t>her husband</w:t>
      </w:r>
      <w:r w:rsidR="00DF5037">
        <w:rPr>
          <w:rFonts w:cstheme="minorHAnsi"/>
          <w:color w:val="333333"/>
          <w:sz w:val="24"/>
          <w:szCs w:val="24"/>
          <w:shd w:val="clear" w:color="auto" w:fill="FFFFFF"/>
        </w:rPr>
        <w:t xml:space="preserve"> had hit and imprisoned her.</w:t>
      </w:r>
      <w:r w:rsidR="00794DE6">
        <w:rPr>
          <w:rStyle w:val="FootnoteReference"/>
          <w:rFonts w:cstheme="minorHAnsi"/>
          <w:color w:val="333333"/>
          <w:sz w:val="24"/>
          <w:szCs w:val="24"/>
          <w:shd w:val="clear" w:color="auto" w:fill="FFFFFF"/>
        </w:rPr>
        <w:footnoteReference w:id="21"/>
      </w:r>
      <w:r w:rsidR="00412DB9">
        <w:rPr>
          <w:rFonts w:cstheme="minorHAnsi"/>
          <w:color w:val="333333"/>
          <w:sz w:val="24"/>
          <w:szCs w:val="24"/>
          <w:shd w:val="clear" w:color="auto" w:fill="FFFFFF"/>
        </w:rPr>
        <w:t xml:space="preserve"> </w:t>
      </w:r>
      <w:r w:rsidR="001126D8">
        <w:rPr>
          <w:rFonts w:cstheme="minorHAnsi"/>
          <w:color w:val="333333"/>
          <w:sz w:val="24"/>
          <w:szCs w:val="24"/>
          <w:shd w:val="clear" w:color="auto" w:fill="FFFFFF"/>
        </w:rPr>
        <w:t xml:space="preserve">In addition to </w:t>
      </w:r>
      <w:r w:rsidR="006C0EF2" w:rsidRPr="00333D1D">
        <w:rPr>
          <w:rFonts w:cstheme="minorHAnsi"/>
          <w:color w:val="333333"/>
          <w:sz w:val="24"/>
          <w:szCs w:val="24"/>
          <w:shd w:val="clear" w:color="auto" w:fill="FFFFFF"/>
        </w:rPr>
        <w:t xml:space="preserve">quarrelling, Violet </w:t>
      </w:r>
      <w:r w:rsidR="00A4344A">
        <w:rPr>
          <w:rFonts w:cstheme="minorHAnsi"/>
          <w:color w:val="333333"/>
          <w:sz w:val="24"/>
          <w:szCs w:val="24"/>
          <w:shd w:val="clear" w:color="auto" w:fill="FFFFFF"/>
        </w:rPr>
        <w:t xml:space="preserve">was </w:t>
      </w:r>
      <w:r w:rsidR="00DA352D">
        <w:rPr>
          <w:rFonts w:cstheme="minorHAnsi"/>
          <w:color w:val="333333"/>
          <w:sz w:val="24"/>
          <w:szCs w:val="24"/>
          <w:shd w:val="clear" w:color="auto" w:fill="FFFFFF"/>
        </w:rPr>
        <w:t xml:space="preserve">allegedly </w:t>
      </w:r>
      <w:r w:rsidR="00437CA5">
        <w:rPr>
          <w:rFonts w:cstheme="minorHAnsi"/>
          <w:color w:val="333333"/>
          <w:sz w:val="24"/>
          <w:szCs w:val="24"/>
          <w:shd w:val="clear" w:color="auto" w:fill="FFFFFF"/>
        </w:rPr>
        <w:t xml:space="preserve">frequently </w:t>
      </w:r>
      <w:r w:rsidR="006C0EF2" w:rsidRPr="00333D1D">
        <w:rPr>
          <w:rFonts w:cstheme="minorHAnsi"/>
          <w:color w:val="333333"/>
          <w:sz w:val="24"/>
          <w:szCs w:val="24"/>
          <w:shd w:val="clear" w:color="auto" w:fill="FFFFFF"/>
        </w:rPr>
        <w:t>hit across her face by her husband</w:t>
      </w:r>
      <w:r w:rsidR="00A4344A">
        <w:rPr>
          <w:rFonts w:cstheme="minorHAnsi"/>
          <w:color w:val="333333"/>
          <w:sz w:val="24"/>
          <w:szCs w:val="24"/>
          <w:shd w:val="clear" w:color="auto" w:fill="FFFFFF"/>
        </w:rPr>
        <w:t>;</w:t>
      </w:r>
      <w:r w:rsidR="006C0EF2" w:rsidRPr="00333D1D">
        <w:rPr>
          <w:rFonts w:cstheme="minorHAnsi"/>
          <w:color w:val="333333"/>
          <w:sz w:val="24"/>
          <w:szCs w:val="24"/>
          <w:shd w:val="clear" w:color="auto" w:fill="FFFFFF"/>
        </w:rPr>
        <w:t xml:space="preserve"> </w:t>
      </w:r>
      <w:r w:rsidR="00A4344A">
        <w:rPr>
          <w:rFonts w:cstheme="minorHAnsi"/>
          <w:color w:val="333333"/>
          <w:sz w:val="24"/>
          <w:szCs w:val="24"/>
          <w:shd w:val="clear" w:color="auto" w:fill="FFFFFF"/>
        </w:rPr>
        <w:t xml:space="preserve">he </w:t>
      </w:r>
      <w:r w:rsidR="006C0EF2" w:rsidRPr="00333D1D">
        <w:rPr>
          <w:rFonts w:cstheme="minorHAnsi"/>
          <w:color w:val="333333"/>
          <w:sz w:val="24"/>
          <w:szCs w:val="24"/>
          <w:shd w:val="clear" w:color="auto" w:fill="FFFFFF"/>
        </w:rPr>
        <w:t>had attempted to str</w:t>
      </w:r>
      <w:r w:rsidR="0037278B" w:rsidRPr="00333D1D">
        <w:rPr>
          <w:rFonts w:cstheme="minorHAnsi"/>
          <w:color w:val="333333"/>
          <w:sz w:val="24"/>
          <w:szCs w:val="24"/>
          <w:shd w:val="clear" w:color="auto" w:fill="FFFFFF"/>
        </w:rPr>
        <w:t>a</w:t>
      </w:r>
      <w:r w:rsidR="006C0EF2" w:rsidRPr="00333D1D">
        <w:rPr>
          <w:rFonts w:cstheme="minorHAnsi"/>
          <w:color w:val="333333"/>
          <w:sz w:val="24"/>
          <w:szCs w:val="24"/>
          <w:shd w:val="clear" w:color="auto" w:fill="FFFFFF"/>
        </w:rPr>
        <w:t xml:space="preserve">ngle </w:t>
      </w:r>
      <w:r w:rsidR="008F614C" w:rsidRPr="00333D1D">
        <w:rPr>
          <w:rFonts w:cstheme="minorHAnsi"/>
          <w:color w:val="333333"/>
          <w:sz w:val="24"/>
          <w:szCs w:val="24"/>
          <w:shd w:val="clear" w:color="auto" w:fill="FFFFFF"/>
        </w:rPr>
        <w:t>her,</w:t>
      </w:r>
      <w:r w:rsidR="006C0EF2" w:rsidRPr="00333D1D">
        <w:rPr>
          <w:rFonts w:cstheme="minorHAnsi"/>
          <w:color w:val="333333"/>
          <w:sz w:val="24"/>
          <w:szCs w:val="24"/>
          <w:shd w:val="clear" w:color="auto" w:fill="FFFFFF"/>
        </w:rPr>
        <w:t xml:space="preserve"> and he</w:t>
      </w:r>
      <w:r w:rsidR="005E1417">
        <w:rPr>
          <w:rFonts w:cstheme="minorHAnsi"/>
          <w:color w:val="333333"/>
          <w:sz w:val="24"/>
          <w:szCs w:val="24"/>
          <w:shd w:val="clear" w:color="auto" w:fill="FFFFFF"/>
        </w:rPr>
        <w:t xml:space="preserve"> had</w:t>
      </w:r>
      <w:r w:rsidR="006C0EF2" w:rsidRPr="00333D1D">
        <w:rPr>
          <w:rFonts w:cstheme="minorHAnsi"/>
          <w:color w:val="333333"/>
          <w:sz w:val="24"/>
          <w:szCs w:val="24"/>
          <w:shd w:val="clear" w:color="auto" w:fill="FFFFFF"/>
        </w:rPr>
        <w:t xml:space="preserve"> locked her in the house so that she could not even take their newborn son out for a walk.</w:t>
      </w:r>
      <w:r w:rsidR="00C35073">
        <w:rPr>
          <w:rStyle w:val="FootnoteReference"/>
          <w:rFonts w:cstheme="minorHAnsi"/>
          <w:color w:val="333333"/>
          <w:sz w:val="24"/>
          <w:szCs w:val="24"/>
          <w:shd w:val="clear" w:color="auto" w:fill="FFFFFF"/>
        </w:rPr>
        <w:footnoteReference w:id="22"/>
      </w:r>
      <w:r w:rsidR="006C0EF2" w:rsidRPr="00333D1D">
        <w:rPr>
          <w:rFonts w:cstheme="minorHAnsi"/>
          <w:color w:val="333333"/>
          <w:sz w:val="24"/>
          <w:szCs w:val="24"/>
          <w:shd w:val="clear" w:color="auto" w:fill="FFFFFF"/>
        </w:rPr>
        <w:t xml:space="preserve"> </w:t>
      </w:r>
      <w:r w:rsidR="0037278B" w:rsidRPr="00333D1D">
        <w:rPr>
          <w:rFonts w:cstheme="minorHAnsi"/>
          <w:color w:val="333333"/>
          <w:sz w:val="24"/>
          <w:szCs w:val="24"/>
          <w:shd w:val="clear" w:color="auto" w:fill="FFFFFF"/>
        </w:rPr>
        <w:t>During a DARA process t</w:t>
      </w:r>
      <w:r w:rsidR="006C0EF2" w:rsidRPr="00333D1D">
        <w:rPr>
          <w:rFonts w:cstheme="minorHAnsi"/>
          <w:color w:val="333333"/>
          <w:sz w:val="24"/>
          <w:szCs w:val="24"/>
          <w:shd w:val="clear" w:color="auto" w:fill="FFFFFF"/>
        </w:rPr>
        <w:t>oday</w:t>
      </w:r>
      <w:r w:rsidR="0037278B" w:rsidRPr="00333D1D">
        <w:rPr>
          <w:rFonts w:cstheme="minorHAnsi"/>
          <w:color w:val="333333"/>
          <w:sz w:val="24"/>
          <w:szCs w:val="24"/>
          <w:shd w:val="clear" w:color="auto" w:fill="FFFFFF"/>
        </w:rPr>
        <w:t xml:space="preserve">, </w:t>
      </w:r>
      <w:r w:rsidR="006C0EF2" w:rsidRPr="00333D1D">
        <w:rPr>
          <w:rFonts w:cstheme="minorHAnsi"/>
          <w:color w:val="333333"/>
          <w:sz w:val="24"/>
          <w:szCs w:val="24"/>
          <w:shd w:val="clear" w:color="auto" w:fill="FFFFFF"/>
        </w:rPr>
        <w:t>first responders</w:t>
      </w:r>
      <w:r w:rsidR="001B3CE6" w:rsidRPr="00333D1D">
        <w:rPr>
          <w:rFonts w:cstheme="minorHAnsi"/>
          <w:color w:val="333333"/>
          <w:sz w:val="24"/>
          <w:szCs w:val="24"/>
          <w:shd w:val="clear" w:color="auto" w:fill="FFFFFF"/>
        </w:rPr>
        <w:t xml:space="preserve"> would ask questions that cover this behaviour, such as ‘</w:t>
      </w:r>
      <w:r w:rsidR="00EA38D4" w:rsidRPr="00333D1D">
        <w:rPr>
          <w:sz w:val="24"/>
          <w:szCs w:val="24"/>
        </w:rPr>
        <w:t xml:space="preserve">how often does (…) control your daily activities </w:t>
      </w:r>
      <w:r w:rsidR="00A4344A">
        <w:rPr>
          <w:sz w:val="24"/>
          <w:szCs w:val="24"/>
        </w:rPr>
        <w:t>…</w:t>
      </w:r>
      <w:r w:rsidR="00EA38D4" w:rsidRPr="00333D1D">
        <w:rPr>
          <w:sz w:val="24"/>
          <w:szCs w:val="24"/>
        </w:rPr>
        <w:t>?;</w:t>
      </w:r>
      <w:r w:rsidR="00BA05F6">
        <w:rPr>
          <w:sz w:val="24"/>
          <w:szCs w:val="24"/>
        </w:rPr>
        <w:t xml:space="preserve"> </w:t>
      </w:r>
      <w:r w:rsidR="00525A4C">
        <w:rPr>
          <w:sz w:val="24"/>
          <w:szCs w:val="24"/>
        </w:rPr>
        <w:t>H</w:t>
      </w:r>
      <w:r w:rsidR="001B3CE6" w:rsidRPr="00333D1D">
        <w:rPr>
          <w:sz w:val="24"/>
          <w:szCs w:val="24"/>
        </w:rPr>
        <w:t>ow often does (…) use physical violence towards you such as pushing, slapping, punching or kicking?</w:t>
      </w:r>
      <w:r w:rsidR="00EA38D4" w:rsidRPr="00333D1D">
        <w:rPr>
          <w:sz w:val="24"/>
          <w:szCs w:val="24"/>
        </w:rPr>
        <w:t>;</w:t>
      </w:r>
      <w:r w:rsidR="006C0EF2" w:rsidRPr="00333D1D">
        <w:rPr>
          <w:rFonts w:cstheme="minorHAnsi"/>
          <w:color w:val="333333"/>
          <w:sz w:val="24"/>
          <w:szCs w:val="24"/>
          <w:shd w:val="clear" w:color="auto" w:fill="FFFFFF"/>
        </w:rPr>
        <w:t xml:space="preserve"> </w:t>
      </w:r>
      <w:r w:rsidR="00EA38D4" w:rsidRPr="00333D1D">
        <w:rPr>
          <w:sz w:val="24"/>
          <w:szCs w:val="24"/>
        </w:rPr>
        <w:t>Is the abuse you are experiencing from (…) getting worse?’</w:t>
      </w:r>
      <w:r w:rsidR="00EA38D4" w:rsidRPr="00333D1D">
        <w:rPr>
          <w:rStyle w:val="FootnoteReference"/>
          <w:sz w:val="24"/>
          <w:szCs w:val="24"/>
        </w:rPr>
        <w:footnoteReference w:id="23"/>
      </w:r>
      <w:r w:rsidR="00EA38D4" w:rsidRPr="00333D1D">
        <w:rPr>
          <w:sz w:val="24"/>
          <w:szCs w:val="24"/>
        </w:rPr>
        <w:t xml:space="preserve"> </w:t>
      </w:r>
      <w:r w:rsidR="004C42C5" w:rsidRPr="00333D1D">
        <w:rPr>
          <w:sz w:val="24"/>
          <w:szCs w:val="24"/>
        </w:rPr>
        <w:t>Choking or attempted s</w:t>
      </w:r>
      <w:r w:rsidR="00EA38D4" w:rsidRPr="00333D1D">
        <w:rPr>
          <w:sz w:val="24"/>
          <w:szCs w:val="24"/>
        </w:rPr>
        <w:t xml:space="preserve">trangulation is </w:t>
      </w:r>
      <w:r w:rsidR="004C42C5" w:rsidRPr="00333D1D">
        <w:rPr>
          <w:sz w:val="24"/>
          <w:szCs w:val="24"/>
        </w:rPr>
        <w:t>known to be a sub-lethal assault, and officers should be aware that this is an indicator of greater risk.</w:t>
      </w:r>
      <w:r w:rsidR="00C35073">
        <w:rPr>
          <w:rStyle w:val="FootnoteReference"/>
          <w:sz w:val="24"/>
          <w:szCs w:val="24"/>
        </w:rPr>
        <w:footnoteReference w:id="24"/>
      </w:r>
      <w:r w:rsidR="004C42C5" w:rsidRPr="00333D1D">
        <w:rPr>
          <w:sz w:val="24"/>
          <w:szCs w:val="24"/>
        </w:rPr>
        <w:t xml:space="preserve"> </w:t>
      </w:r>
      <w:r w:rsidR="005E1417">
        <w:rPr>
          <w:sz w:val="24"/>
          <w:szCs w:val="24"/>
        </w:rPr>
        <w:t xml:space="preserve">At this stage, a DARA would indicate </w:t>
      </w:r>
      <w:r w:rsidR="006C0EF2" w:rsidRPr="00333D1D">
        <w:rPr>
          <w:rFonts w:cstheme="minorHAnsi"/>
          <w:color w:val="333333"/>
          <w:sz w:val="24"/>
          <w:szCs w:val="24"/>
          <w:shd w:val="clear" w:color="auto" w:fill="FFFFFF"/>
        </w:rPr>
        <w:t xml:space="preserve">a grading of </w:t>
      </w:r>
      <w:r w:rsidR="0037278B" w:rsidRPr="00333D1D">
        <w:rPr>
          <w:rFonts w:cstheme="minorHAnsi"/>
          <w:color w:val="333333"/>
          <w:sz w:val="24"/>
          <w:szCs w:val="24"/>
          <w:shd w:val="clear" w:color="auto" w:fill="FFFFFF"/>
        </w:rPr>
        <w:t xml:space="preserve">at least </w:t>
      </w:r>
      <w:r w:rsidR="006C0EF2" w:rsidRPr="00333D1D">
        <w:rPr>
          <w:rFonts w:cstheme="minorHAnsi"/>
          <w:color w:val="333333"/>
          <w:sz w:val="24"/>
          <w:szCs w:val="24"/>
          <w:shd w:val="clear" w:color="auto" w:fill="FFFFFF"/>
        </w:rPr>
        <w:t>medium</w:t>
      </w:r>
      <w:r w:rsidR="003A7D7C">
        <w:rPr>
          <w:rFonts w:cstheme="minorHAnsi"/>
          <w:color w:val="333333"/>
          <w:sz w:val="24"/>
          <w:szCs w:val="24"/>
          <w:shd w:val="clear" w:color="auto" w:fill="FFFFFF"/>
        </w:rPr>
        <w:t xml:space="preserve"> </w:t>
      </w:r>
      <w:r w:rsidR="006C0EF2" w:rsidRPr="00333D1D">
        <w:rPr>
          <w:rFonts w:cstheme="minorHAnsi"/>
          <w:color w:val="333333"/>
          <w:sz w:val="24"/>
          <w:szCs w:val="24"/>
          <w:shd w:val="clear" w:color="auto" w:fill="FFFFFF"/>
        </w:rPr>
        <w:t>risk of physical harm to Violet</w:t>
      </w:r>
      <w:r w:rsidR="005E1417">
        <w:rPr>
          <w:rFonts w:cstheme="minorHAnsi"/>
          <w:color w:val="333333"/>
          <w:sz w:val="24"/>
          <w:szCs w:val="24"/>
          <w:shd w:val="clear" w:color="auto" w:fill="FFFFFF"/>
        </w:rPr>
        <w:t xml:space="preserve">. </w:t>
      </w:r>
      <w:r w:rsidR="00BA05F6">
        <w:rPr>
          <w:rFonts w:cstheme="minorHAnsi"/>
          <w:color w:val="333333"/>
          <w:sz w:val="24"/>
          <w:szCs w:val="24"/>
          <w:shd w:val="clear" w:color="auto" w:fill="FFFFFF"/>
        </w:rPr>
        <w:t>M</w:t>
      </w:r>
      <w:r w:rsidR="006C0EF2" w:rsidRPr="00333D1D">
        <w:rPr>
          <w:rFonts w:cstheme="minorHAnsi"/>
          <w:color w:val="333333"/>
          <w:sz w:val="24"/>
          <w:szCs w:val="24"/>
          <w:shd w:val="clear" w:color="auto" w:fill="FFFFFF"/>
        </w:rPr>
        <w:t xml:space="preserve">ore life-threatening </w:t>
      </w:r>
      <w:r w:rsidR="00BA05F6">
        <w:rPr>
          <w:rFonts w:cstheme="minorHAnsi"/>
          <w:color w:val="333333"/>
          <w:sz w:val="24"/>
          <w:szCs w:val="24"/>
          <w:shd w:val="clear" w:color="auto" w:fill="FFFFFF"/>
        </w:rPr>
        <w:t>events</w:t>
      </w:r>
      <w:r w:rsidR="006C0EF2" w:rsidRPr="00333D1D">
        <w:rPr>
          <w:rFonts w:cstheme="minorHAnsi"/>
          <w:color w:val="333333"/>
          <w:sz w:val="24"/>
          <w:szCs w:val="24"/>
          <w:shd w:val="clear" w:color="auto" w:fill="FFFFFF"/>
        </w:rPr>
        <w:t xml:space="preserve"> were to come. In November 1934, less than six weeks after the birth of their child, Violet managed to escape her parent</w:t>
      </w:r>
      <w:r w:rsidR="003A7D7C">
        <w:rPr>
          <w:rFonts w:cstheme="minorHAnsi"/>
          <w:color w:val="333333"/>
          <w:sz w:val="24"/>
          <w:szCs w:val="24"/>
          <w:shd w:val="clear" w:color="auto" w:fill="FFFFFF"/>
        </w:rPr>
        <w:t>s</w:t>
      </w:r>
      <w:r w:rsidR="006C0EF2" w:rsidRPr="00333D1D">
        <w:rPr>
          <w:rFonts w:cstheme="minorHAnsi"/>
          <w:color w:val="333333"/>
          <w:sz w:val="24"/>
          <w:szCs w:val="24"/>
          <w:shd w:val="clear" w:color="auto" w:fill="FFFFFF"/>
        </w:rPr>
        <w:t xml:space="preserve">-in-laws’ cottage and went </w:t>
      </w:r>
      <w:r w:rsidR="00BA05F6">
        <w:rPr>
          <w:rFonts w:cstheme="minorHAnsi"/>
          <w:color w:val="333333"/>
          <w:sz w:val="24"/>
          <w:szCs w:val="24"/>
          <w:shd w:val="clear" w:color="auto" w:fill="FFFFFF"/>
        </w:rPr>
        <w:t xml:space="preserve">to live with </w:t>
      </w:r>
      <w:r w:rsidR="006C0EF2" w:rsidRPr="00333D1D">
        <w:rPr>
          <w:rFonts w:cstheme="minorHAnsi"/>
          <w:color w:val="333333"/>
          <w:sz w:val="24"/>
          <w:szCs w:val="24"/>
          <w:shd w:val="clear" w:color="auto" w:fill="FFFFFF"/>
        </w:rPr>
        <w:t xml:space="preserve">her mother.  </w:t>
      </w:r>
    </w:p>
    <w:p w14:paraId="21C30AA4" w14:textId="46C24C95" w:rsidR="005A70CE" w:rsidRPr="00EA203A" w:rsidRDefault="00405D0D" w:rsidP="003A7D7C">
      <w:pPr>
        <w:spacing w:line="360" w:lineRule="auto"/>
        <w:ind w:firstLine="720"/>
        <w:jc w:val="both"/>
        <w:rPr>
          <w:rFonts w:cstheme="minorHAnsi"/>
          <w:color w:val="333333"/>
          <w:sz w:val="24"/>
          <w:szCs w:val="24"/>
          <w:shd w:val="clear" w:color="auto" w:fill="FFFFFF"/>
        </w:rPr>
      </w:pPr>
      <w:r>
        <w:rPr>
          <w:rFonts w:cstheme="minorHAnsi"/>
          <w:color w:val="333333"/>
          <w:sz w:val="24"/>
          <w:szCs w:val="24"/>
          <w:shd w:val="clear" w:color="auto" w:fill="FFFFFF"/>
        </w:rPr>
        <w:t>L</w:t>
      </w:r>
      <w:r w:rsidR="005A70CE" w:rsidRPr="00EA203A">
        <w:rPr>
          <w:rFonts w:cstheme="minorHAnsi"/>
          <w:color w:val="333333"/>
          <w:sz w:val="24"/>
          <w:szCs w:val="24"/>
          <w:shd w:val="clear" w:color="auto" w:fill="FFFFFF"/>
        </w:rPr>
        <w:t xml:space="preserve">eaving </w:t>
      </w:r>
      <w:r>
        <w:rPr>
          <w:rFonts w:cstheme="minorHAnsi"/>
          <w:color w:val="333333"/>
          <w:sz w:val="24"/>
          <w:szCs w:val="24"/>
          <w:shd w:val="clear" w:color="auto" w:fill="FFFFFF"/>
        </w:rPr>
        <w:t>a violent</w:t>
      </w:r>
      <w:r w:rsidR="005A70CE" w:rsidRPr="00EA203A">
        <w:rPr>
          <w:rFonts w:cstheme="minorHAnsi"/>
          <w:color w:val="333333"/>
          <w:sz w:val="24"/>
          <w:szCs w:val="24"/>
          <w:shd w:val="clear" w:color="auto" w:fill="FFFFFF"/>
        </w:rPr>
        <w:t xml:space="preserve"> partner is potentially the most dangerous </w:t>
      </w:r>
      <w:r w:rsidR="003A7D7C">
        <w:rPr>
          <w:rFonts w:cstheme="minorHAnsi"/>
          <w:color w:val="333333"/>
          <w:sz w:val="24"/>
          <w:szCs w:val="24"/>
          <w:shd w:val="clear" w:color="auto" w:fill="FFFFFF"/>
        </w:rPr>
        <w:t>time</w:t>
      </w:r>
      <w:r>
        <w:rPr>
          <w:rFonts w:cstheme="minorHAnsi"/>
          <w:color w:val="333333"/>
          <w:sz w:val="24"/>
          <w:szCs w:val="24"/>
          <w:shd w:val="clear" w:color="auto" w:fill="FFFFFF"/>
        </w:rPr>
        <w:t xml:space="preserve"> for those experiencing abuse</w:t>
      </w:r>
      <w:r w:rsidR="005A70CE" w:rsidRPr="00EA203A">
        <w:rPr>
          <w:rFonts w:cstheme="minorHAnsi"/>
          <w:color w:val="333333"/>
          <w:sz w:val="24"/>
          <w:szCs w:val="24"/>
          <w:shd w:val="clear" w:color="auto" w:fill="FFFFFF"/>
        </w:rPr>
        <w:t>.</w:t>
      </w:r>
      <w:r w:rsidR="001760FF">
        <w:rPr>
          <w:rFonts w:cstheme="minorHAnsi"/>
          <w:color w:val="333333"/>
          <w:sz w:val="24"/>
          <w:szCs w:val="24"/>
          <w:shd w:val="clear" w:color="auto" w:fill="FFFFFF"/>
        </w:rPr>
        <w:t xml:space="preserve"> </w:t>
      </w:r>
      <w:r w:rsidR="005A70CE" w:rsidRPr="00EA203A">
        <w:rPr>
          <w:rFonts w:cstheme="minorHAnsi"/>
          <w:color w:val="333333"/>
          <w:sz w:val="24"/>
          <w:szCs w:val="24"/>
          <w:shd w:val="clear" w:color="auto" w:fill="FFFFFF"/>
        </w:rPr>
        <w:t xml:space="preserve">Statistics vary year on year and across jurisdictions, but international statistics indicate that </w:t>
      </w:r>
      <w:r w:rsidR="005A70CE" w:rsidRPr="00EA203A">
        <w:rPr>
          <w:rFonts w:cstheme="minorHAnsi"/>
          <w:color w:val="000000"/>
          <w:sz w:val="24"/>
          <w:szCs w:val="24"/>
          <w:shd w:val="clear" w:color="auto" w:fill="FFFFFF"/>
        </w:rPr>
        <w:t xml:space="preserve">77 </w:t>
      </w:r>
      <w:r w:rsidR="005A70CE" w:rsidRPr="00A00F7B">
        <w:rPr>
          <w:rFonts w:cstheme="minorHAnsi"/>
          <w:color w:val="000000"/>
          <w:sz w:val="24"/>
          <w:szCs w:val="24"/>
          <w:shd w:val="clear" w:color="auto" w:fill="FFFFFF"/>
        </w:rPr>
        <w:t>per cent</w:t>
      </w:r>
      <w:r w:rsidR="005A70CE" w:rsidRPr="00EA203A">
        <w:rPr>
          <w:rFonts w:cstheme="minorHAnsi"/>
          <w:color w:val="000000"/>
          <w:sz w:val="24"/>
          <w:szCs w:val="24"/>
          <w:shd w:val="clear" w:color="auto" w:fill="FFFFFF"/>
        </w:rPr>
        <w:t xml:space="preserve"> of domestic homicides happen at separation and further</w:t>
      </w:r>
      <w:r w:rsidR="00A00F7B">
        <w:rPr>
          <w:rFonts w:cstheme="minorHAnsi"/>
          <w:color w:val="000000"/>
          <w:sz w:val="24"/>
          <w:szCs w:val="24"/>
          <w:shd w:val="clear" w:color="auto" w:fill="FFFFFF"/>
        </w:rPr>
        <w:t>,</w:t>
      </w:r>
      <w:r w:rsidR="005A70CE" w:rsidRPr="00EA203A">
        <w:rPr>
          <w:rFonts w:cstheme="minorHAnsi"/>
          <w:color w:val="000000"/>
          <w:sz w:val="24"/>
          <w:szCs w:val="24"/>
          <w:shd w:val="clear" w:color="auto" w:fill="FFFFFF"/>
        </w:rPr>
        <w:t xml:space="preserve"> that there is a ‘75 </w:t>
      </w:r>
      <w:r w:rsidR="005A70CE" w:rsidRPr="00A00F7B">
        <w:rPr>
          <w:rFonts w:cstheme="minorHAnsi"/>
          <w:color w:val="000000"/>
          <w:sz w:val="24"/>
          <w:szCs w:val="24"/>
          <w:shd w:val="clear" w:color="auto" w:fill="FFFFFF"/>
        </w:rPr>
        <w:t>per cent</w:t>
      </w:r>
      <w:r w:rsidR="005A70CE" w:rsidRPr="00EA203A">
        <w:rPr>
          <w:rFonts w:cstheme="minorHAnsi"/>
          <w:color w:val="000000"/>
          <w:sz w:val="24"/>
          <w:szCs w:val="24"/>
          <w:shd w:val="clear" w:color="auto" w:fill="FFFFFF"/>
        </w:rPr>
        <w:t xml:space="preserve"> increase of violence upon separation for at least two years</w:t>
      </w:r>
      <w:r w:rsidR="00E428B6">
        <w:rPr>
          <w:rFonts w:cstheme="minorHAnsi"/>
          <w:color w:val="000000"/>
          <w:sz w:val="24"/>
          <w:szCs w:val="24"/>
          <w:shd w:val="clear" w:color="auto" w:fill="FFFFFF"/>
        </w:rPr>
        <w:t>’</w:t>
      </w:r>
      <w:r w:rsidR="005A70CE" w:rsidRPr="00EA203A">
        <w:rPr>
          <w:rFonts w:cstheme="minorHAnsi"/>
          <w:color w:val="000000"/>
          <w:sz w:val="24"/>
          <w:szCs w:val="24"/>
          <w:shd w:val="clear" w:color="auto" w:fill="FFFFFF"/>
        </w:rPr>
        <w:t>.</w:t>
      </w:r>
      <w:r w:rsidR="005A70CE" w:rsidRPr="00EA203A">
        <w:rPr>
          <w:rStyle w:val="FootnoteReference"/>
          <w:rFonts w:cstheme="minorHAnsi"/>
          <w:color w:val="000000"/>
          <w:sz w:val="24"/>
          <w:szCs w:val="24"/>
          <w:shd w:val="clear" w:color="auto" w:fill="FFFFFF"/>
        </w:rPr>
        <w:footnoteReference w:id="25"/>
      </w:r>
      <w:r w:rsidR="005A70CE">
        <w:rPr>
          <w:rFonts w:cstheme="minorHAnsi"/>
          <w:color w:val="000000"/>
          <w:sz w:val="24"/>
          <w:szCs w:val="24"/>
          <w:shd w:val="clear" w:color="auto" w:fill="FFFFFF"/>
        </w:rPr>
        <w:t xml:space="preserve"> </w:t>
      </w:r>
      <w:r w:rsidR="005A70CE" w:rsidRPr="00EA203A">
        <w:rPr>
          <w:rFonts w:cstheme="minorHAnsi"/>
          <w:color w:val="000000"/>
          <w:sz w:val="24"/>
          <w:szCs w:val="24"/>
          <w:shd w:val="clear" w:color="auto" w:fill="FFFFFF"/>
        </w:rPr>
        <w:t xml:space="preserve">The question is often posed as to why victims of abuse </w:t>
      </w:r>
      <w:r w:rsidR="00E428B6">
        <w:rPr>
          <w:rFonts w:cstheme="minorHAnsi"/>
          <w:color w:val="000000"/>
          <w:sz w:val="24"/>
          <w:szCs w:val="24"/>
          <w:shd w:val="clear" w:color="auto" w:fill="FFFFFF"/>
        </w:rPr>
        <w:t>do</w:t>
      </w:r>
      <w:r w:rsidR="005A70CE" w:rsidRPr="00EA203A">
        <w:rPr>
          <w:rFonts w:cstheme="minorHAnsi"/>
          <w:color w:val="000000"/>
          <w:sz w:val="24"/>
          <w:szCs w:val="24"/>
          <w:shd w:val="clear" w:color="auto" w:fill="FFFFFF"/>
        </w:rPr>
        <w:t xml:space="preserve"> not leave their violent partners. There are many reasons </w:t>
      </w:r>
      <w:r w:rsidR="005A70CE" w:rsidRPr="00EA203A">
        <w:rPr>
          <w:rFonts w:cstheme="minorHAnsi"/>
          <w:color w:val="000000"/>
          <w:sz w:val="24"/>
          <w:szCs w:val="24"/>
          <w:shd w:val="clear" w:color="auto" w:fill="FFFFFF"/>
        </w:rPr>
        <w:lastRenderedPageBreak/>
        <w:t xml:space="preserve">why they </w:t>
      </w:r>
      <w:r w:rsidR="005A70CE">
        <w:rPr>
          <w:rFonts w:cstheme="minorHAnsi"/>
          <w:color w:val="000000"/>
          <w:sz w:val="24"/>
          <w:szCs w:val="24"/>
          <w:shd w:val="clear" w:color="auto" w:fill="FFFFFF"/>
        </w:rPr>
        <w:t>stay</w:t>
      </w:r>
      <w:r w:rsidR="00E428B6">
        <w:rPr>
          <w:rFonts w:cstheme="minorHAnsi"/>
          <w:color w:val="000000"/>
          <w:sz w:val="24"/>
          <w:szCs w:val="24"/>
          <w:shd w:val="clear" w:color="auto" w:fill="FFFFFF"/>
        </w:rPr>
        <w:t>,</w:t>
      </w:r>
      <w:r w:rsidR="005A70CE">
        <w:rPr>
          <w:rFonts w:cstheme="minorHAnsi"/>
          <w:color w:val="000000"/>
          <w:sz w:val="24"/>
          <w:szCs w:val="24"/>
          <w:shd w:val="clear" w:color="auto" w:fill="FFFFFF"/>
        </w:rPr>
        <w:t xml:space="preserve"> </w:t>
      </w:r>
      <w:r w:rsidR="005A70CE" w:rsidRPr="00EA203A">
        <w:rPr>
          <w:rFonts w:cstheme="minorHAnsi"/>
          <w:color w:val="000000"/>
          <w:sz w:val="24"/>
          <w:szCs w:val="24"/>
          <w:shd w:val="clear" w:color="auto" w:fill="FFFFFF"/>
        </w:rPr>
        <w:t xml:space="preserve">but fear </w:t>
      </w:r>
      <w:r w:rsidR="005A70CE">
        <w:rPr>
          <w:rFonts w:cstheme="minorHAnsi"/>
          <w:color w:val="000000"/>
          <w:sz w:val="24"/>
          <w:szCs w:val="24"/>
          <w:shd w:val="clear" w:color="auto" w:fill="FFFFFF"/>
        </w:rPr>
        <w:t xml:space="preserve">of violence from the partner </w:t>
      </w:r>
      <w:r w:rsidR="005A70CE" w:rsidRPr="00EA203A">
        <w:rPr>
          <w:rFonts w:cstheme="minorHAnsi"/>
          <w:color w:val="000000"/>
          <w:sz w:val="24"/>
          <w:szCs w:val="24"/>
          <w:shd w:val="clear" w:color="auto" w:fill="FFFFFF"/>
        </w:rPr>
        <w:t>is a significant contributing factor.</w:t>
      </w:r>
      <w:r w:rsidR="005A70CE">
        <w:rPr>
          <w:rFonts w:cstheme="minorHAnsi"/>
          <w:color w:val="000000"/>
          <w:sz w:val="24"/>
          <w:szCs w:val="24"/>
          <w:shd w:val="clear" w:color="auto" w:fill="FFFFFF"/>
        </w:rPr>
        <w:t xml:space="preserve"> </w:t>
      </w:r>
      <w:r w:rsidR="005A70CE" w:rsidRPr="005A70CE">
        <w:rPr>
          <w:rFonts w:cstheme="minorHAnsi"/>
          <w:color w:val="000000"/>
          <w:sz w:val="24"/>
          <w:szCs w:val="24"/>
          <w:shd w:val="clear" w:color="auto" w:fill="FFFFFF"/>
        </w:rPr>
        <w:t>Should a woman leave her abusive relationship, she is statistically at a heightened risk of her former partner pursuing tactics of harassment or stalking.</w:t>
      </w:r>
      <w:r w:rsidR="007B6858">
        <w:rPr>
          <w:rStyle w:val="FootnoteReference"/>
          <w:rFonts w:cstheme="minorHAnsi"/>
          <w:color w:val="000000"/>
          <w:sz w:val="24"/>
          <w:szCs w:val="24"/>
          <w:shd w:val="clear" w:color="auto" w:fill="FFFFFF"/>
        </w:rPr>
        <w:footnoteReference w:id="26"/>
      </w:r>
      <w:r w:rsidR="005A70CE" w:rsidRPr="00EA203A">
        <w:rPr>
          <w:rFonts w:cstheme="minorHAnsi"/>
          <w:color w:val="000000"/>
          <w:sz w:val="24"/>
          <w:szCs w:val="24"/>
          <w:shd w:val="clear" w:color="auto" w:fill="FFFFFF"/>
        </w:rPr>
        <w:t xml:space="preserve"> This is borne out in the facts of </w:t>
      </w:r>
      <w:proofErr w:type="spellStart"/>
      <w:r w:rsidR="005A70CE" w:rsidRPr="00A36678">
        <w:rPr>
          <w:rFonts w:cstheme="minorHAnsi"/>
          <w:i/>
          <w:iCs/>
          <w:color w:val="333333"/>
          <w:sz w:val="24"/>
          <w:szCs w:val="24"/>
          <w:shd w:val="clear" w:color="auto" w:fill="FFFFFF"/>
        </w:rPr>
        <w:t>Woolmington</w:t>
      </w:r>
      <w:proofErr w:type="spellEnd"/>
      <w:r w:rsidR="001760FF">
        <w:rPr>
          <w:rFonts w:cstheme="minorHAnsi"/>
          <w:color w:val="333333"/>
          <w:sz w:val="24"/>
          <w:szCs w:val="24"/>
          <w:shd w:val="clear" w:color="auto" w:fill="FFFFFF"/>
        </w:rPr>
        <w:t xml:space="preserve">. Reginald </w:t>
      </w:r>
      <w:r w:rsidR="005A70CE" w:rsidRPr="00EA203A">
        <w:rPr>
          <w:rFonts w:cstheme="minorHAnsi"/>
          <w:color w:val="333333"/>
          <w:sz w:val="24"/>
          <w:szCs w:val="24"/>
          <w:shd w:val="clear" w:color="auto" w:fill="FFFFFF"/>
        </w:rPr>
        <w:t>reportedly tried to get Violet to come back with him and when his own efforts were unsuccessful, he enlisted the support of others, including his employer</w:t>
      </w:r>
      <w:r w:rsidR="00A20187">
        <w:rPr>
          <w:rFonts w:cstheme="minorHAnsi"/>
          <w:color w:val="333333"/>
          <w:sz w:val="24"/>
          <w:szCs w:val="24"/>
          <w:shd w:val="clear" w:color="auto" w:fill="FFFFFF"/>
        </w:rPr>
        <w:t>,</w:t>
      </w:r>
      <w:r w:rsidR="005A70CE" w:rsidRPr="00EA203A">
        <w:rPr>
          <w:rFonts w:cstheme="minorHAnsi"/>
          <w:color w:val="333333"/>
          <w:sz w:val="24"/>
          <w:szCs w:val="24"/>
          <w:shd w:val="clear" w:color="auto" w:fill="FFFFFF"/>
        </w:rPr>
        <w:t xml:space="preserve"> Albert Cheeseman, </w:t>
      </w:r>
      <w:r w:rsidR="00A20187">
        <w:rPr>
          <w:rFonts w:cstheme="minorHAnsi"/>
          <w:color w:val="333333"/>
          <w:sz w:val="24"/>
          <w:szCs w:val="24"/>
          <w:shd w:val="clear" w:color="auto" w:fill="FFFFFF"/>
        </w:rPr>
        <w:t xml:space="preserve">who visited Violent </w:t>
      </w:r>
      <w:r w:rsidR="005A70CE" w:rsidRPr="00EA203A">
        <w:rPr>
          <w:rFonts w:cstheme="minorHAnsi"/>
          <w:color w:val="333333"/>
          <w:sz w:val="24"/>
          <w:szCs w:val="24"/>
          <w:shd w:val="clear" w:color="auto" w:fill="FFFFFF"/>
        </w:rPr>
        <w:t xml:space="preserve">to try to convince </w:t>
      </w:r>
      <w:r w:rsidR="00A20187">
        <w:rPr>
          <w:rFonts w:cstheme="minorHAnsi"/>
          <w:color w:val="333333"/>
          <w:sz w:val="24"/>
          <w:szCs w:val="24"/>
          <w:shd w:val="clear" w:color="auto" w:fill="FFFFFF"/>
        </w:rPr>
        <w:t xml:space="preserve">her </w:t>
      </w:r>
      <w:r w:rsidR="005A70CE" w:rsidRPr="00EA203A">
        <w:rPr>
          <w:rFonts w:cstheme="minorHAnsi"/>
          <w:color w:val="333333"/>
          <w:sz w:val="24"/>
          <w:szCs w:val="24"/>
          <w:shd w:val="clear" w:color="auto" w:fill="FFFFFF"/>
        </w:rPr>
        <w:t>to return to her husband</w:t>
      </w:r>
      <w:r w:rsidR="00794DE6">
        <w:rPr>
          <w:rFonts w:cstheme="minorHAnsi"/>
          <w:color w:val="333333"/>
          <w:sz w:val="24"/>
          <w:szCs w:val="24"/>
          <w:shd w:val="clear" w:color="auto" w:fill="FFFFFF"/>
        </w:rPr>
        <w:t>.</w:t>
      </w:r>
      <w:r w:rsidR="00794DE6">
        <w:rPr>
          <w:rStyle w:val="FootnoteReference"/>
          <w:rFonts w:cstheme="minorHAnsi"/>
          <w:color w:val="333333"/>
          <w:sz w:val="24"/>
          <w:szCs w:val="24"/>
          <w:shd w:val="clear" w:color="auto" w:fill="FFFFFF"/>
        </w:rPr>
        <w:footnoteReference w:id="27"/>
      </w:r>
      <w:r w:rsidR="00794DE6">
        <w:rPr>
          <w:rFonts w:cstheme="minorHAnsi"/>
          <w:color w:val="333333"/>
          <w:sz w:val="24"/>
          <w:szCs w:val="24"/>
          <w:shd w:val="clear" w:color="auto" w:fill="FFFFFF"/>
        </w:rPr>
        <w:t xml:space="preserve"> </w:t>
      </w:r>
    </w:p>
    <w:p w14:paraId="527C065A" w14:textId="65EBE491" w:rsidR="005A70CE" w:rsidRPr="00EA203A" w:rsidRDefault="005A70CE" w:rsidP="00A20187">
      <w:pPr>
        <w:spacing w:line="360" w:lineRule="auto"/>
        <w:ind w:firstLine="720"/>
        <w:jc w:val="both"/>
        <w:rPr>
          <w:rFonts w:cstheme="minorHAnsi"/>
          <w:color w:val="333333"/>
          <w:sz w:val="24"/>
          <w:szCs w:val="24"/>
          <w:shd w:val="clear" w:color="auto" w:fill="FFFFFF"/>
        </w:rPr>
      </w:pPr>
      <w:r w:rsidRPr="00EA203A">
        <w:rPr>
          <w:rFonts w:cstheme="minorHAnsi"/>
          <w:color w:val="333333"/>
          <w:sz w:val="24"/>
          <w:szCs w:val="24"/>
          <w:shd w:val="clear" w:color="auto" w:fill="FFFFFF"/>
        </w:rPr>
        <w:t xml:space="preserve">It could be argued that </w:t>
      </w:r>
      <w:proofErr w:type="spellStart"/>
      <w:r w:rsidRPr="00EA203A">
        <w:rPr>
          <w:rFonts w:cstheme="minorHAnsi"/>
          <w:color w:val="333333"/>
          <w:sz w:val="24"/>
          <w:szCs w:val="24"/>
          <w:shd w:val="clear" w:color="auto" w:fill="FFFFFF"/>
        </w:rPr>
        <w:t>Woolmington’s</w:t>
      </w:r>
      <w:proofErr w:type="spellEnd"/>
      <w:r w:rsidRPr="00EA203A">
        <w:rPr>
          <w:rFonts w:cstheme="minorHAnsi"/>
          <w:color w:val="333333"/>
          <w:sz w:val="24"/>
          <w:szCs w:val="24"/>
          <w:shd w:val="clear" w:color="auto" w:fill="FFFFFF"/>
        </w:rPr>
        <w:t xml:space="preserve"> persistence in trying to </w:t>
      </w:r>
      <w:r w:rsidR="00A20187">
        <w:rPr>
          <w:rFonts w:cstheme="minorHAnsi"/>
          <w:color w:val="333333"/>
          <w:sz w:val="24"/>
          <w:szCs w:val="24"/>
          <w:shd w:val="clear" w:color="auto" w:fill="FFFFFF"/>
        </w:rPr>
        <w:t>get</w:t>
      </w:r>
      <w:r w:rsidRPr="00EA203A">
        <w:rPr>
          <w:rFonts w:cstheme="minorHAnsi"/>
          <w:color w:val="333333"/>
          <w:sz w:val="24"/>
          <w:szCs w:val="24"/>
          <w:shd w:val="clear" w:color="auto" w:fill="FFFFFF"/>
        </w:rPr>
        <w:t xml:space="preserve"> Violet back amounted to harassment if not stalking (albeit not crimes at the time). This persist</w:t>
      </w:r>
      <w:r w:rsidR="00A20187">
        <w:rPr>
          <w:rFonts w:cstheme="minorHAnsi"/>
          <w:color w:val="333333"/>
          <w:sz w:val="24"/>
          <w:szCs w:val="24"/>
          <w:shd w:val="clear" w:color="auto" w:fill="FFFFFF"/>
        </w:rPr>
        <w:t>e</w:t>
      </w:r>
      <w:r w:rsidR="009B7465">
        <w:rPr>
          <w:rFonts w:cstheme="minorHAnsi"/>
          <w:color w:val="333333"/>
          <w:sz w:val="24"/>
          <w:szCs w:val="24"/>
          <w:shd w:val="clear" w:color="auto" w:fill="FFFFFF"/>
        </w:rPr>
        <w:t>nt</w:t>
      </w:r>
      <w:r w:rsidRPr="00EA203A">
        <w:rPr>
          <w:rFonts w:cstheme="minorHAnsi"/>
          <w:color w:val="333333"/>
          <w:sz w:val="24"/>
          <w:szCs w:val="24"/>
          <w:shd w:val="clear" w:color="auto" w:fill="FFFFFF"/>
        </w:rPr>
        <w:t xml:space="preserve"> post-separation </w:t>
      </w:r>
      <w:r>
        <w:rPr>
          <w:rFonts w:cstheme="minorHAnsi"/>
          <w:color w:val="333333"/>
          <w:sz w:val="24"/>
          <w:szCs w:val="24"/>
          <w:shd w:val="clear" w:color="auto" w:fill="FFFFFF"/>
        </w:rPr>
        <w:t xml:space="preserve">behaviour </w:t>
      </w:r>
      <w:r w:rsidRPr="00EA203A">
        <w:rPr>
          <w:rFonts w:cstheme="minorHAnsi"/>
          <w:color w:val="333333"/>
          <w:sz w:val="24"/>
          <w:szCs w:val="24"/>
          <w:shd w:val="clear" w:color="auto" w:fill="FFFFFF"/>
        </w:rPr>
        <w:t xml:space="preserve">causes stress and anxiety </w:t>
      </w:r>
      <w:r w:rsidR="00A20187">
        <w:rPr>
          <w:rFonts w:cstheme="minorHAnsi"/>
          <w:color w:val="333333"/>
          <w:sz w:val="24"/>
          <w:szCs w:val="24"/>
          <w:shd w:val="clear" w:color="auto" w:fill="FFFFFF"/>
        </w:rPr>
        <w:t>for</w:t>
      </w:r>
      <w:r w:rsidRPr="00EA203A">
        <w:rPr>
          <w:rFonts w:cstheme="minorHAnsi"/>
          <w:color w:val="333333"/>
          <w:sz w:val="24"/>
          <w:szCs w:val="24"/>
          <w:shd w:val="clear" w:color="auto" w:fill="FFFFFF"/>
        </w:rPr>
        <w:t xml:space="preserve"> a victim, and for this reason is a key question raised on the DARA form</w:t>
      </w:r>
      <w:r w:rsidR="009B7465">
        <w:rPr>
          <w:rFonts w:cstheme="minorHAnsi"/>
          <w:color w:val="333333"/>
          <w:sz w:val="24"/>
          <w:szCs w:val="24"/>
          <w:shd w:val="clear" w:color="auto" w:fill="FFFFFF"/>
        </w:rPr>
        <w:t>:</w:t>
      </w:r>
      <w:r w:rsidRPr="00EA203A">
        <w:rPr>
          <w:rFonts w:cstheme="minorHAnsi"/>
          <w:color w:val="333333"/>
          <w:sz w:val="24"/>
          <w:szCs w:val="24"/>
          <w:shd w:val="clear" w:color="auto" w:fill="FFFFFF"/>
        </w:rPr>
        <w:t xml:space="preserve"> ‘</w:t>
      </w:r>
      <w:r w:rsidRPr="00EA203A">
        <w:rPr>
          <w:rFonts w:cstheme="minorHAnsi"/>
          <w:sz w:val="24"/>
          <w:szCs w:val="24"/>
        </w:rPr>
        <w:t>How often does (…) follow or stalk you, or try to contact you when you do not want them to?’</w:t>
      </w:r>
      <w:r>
        <w:rPr>
          <w:rStyle w:val="FootnoteReference"/>
          <w:rFonts w:cstheme="minorHAnsi"/>
          <w:sz w:val="24"/>
          <w:szCs w:val="24"/>
        </w:rPr>
        <w:footnoteReference w:id="28"/>
      </w:r>
      <w:r w:rsidR="00CA0582">
        <w:rPr>
          <w:rFonts w:cstheme="minorHAnsi"/>
          <w:sz w:val="24"/>
          <w:szCs w:val="24"/>
        </w:rPr>
        <w:t xml:space="preserve"> Today</w:t>
      </w:r>
      <w:r w:rsidR="00455B1A">
        <w:rPr>
          <w:rFonts w:cstheme="minorHAnsi"/>
          <w:sz w:val="24"/>
          <w:szCs w:val="24"/>
        </w:rPr>
        <w:t>,</w:t>
      </w:r>
      <w:r w:rsidR="00CA0582">
        <w:rPr>
          <w:rFonts w:cstheme="minorHAnsi"/>
          <w:sz w:val="24"/>
          <w:szCs w:val="24"/>
        </w:rPr>
        <w:t xml:space="preserve"> Violet’s response would lead to </w:t>
      </w:r>
      <w:proofErr w:type="spellStart"/>
      <w:r w:rsidR="00CA0582">
        <w:rPr>
          <w:rFonts w:cstheme="minorHAnsi"/>
          <w:sz w:val="24"/>
          <w:szCs w:val="24"/>
        </w:rPr>
        <w:t>Woolmington’s</w:t>
      </w:r>
      <w:proofErr w:type="spellEnd"/>
      <w:r w:rsidR="00CA0582">
        <w:rPr>
          <w:rFonts w:cstheme="minorHAnsi"/>
          <w:sz w:val="24"/>
          <w:szCs w:val="24"/>
        </w:rPr>
        <w:t xml:space="preserve"> arrest for domestic</w:t>
      </w:r>
      <w:r w:rsidR="009B7465">
        <w:rPr>
          <w:rFonts w:cstheme="minorHAnsi"/>
          <w:sz w:val="24"/>
          <w:szCs w:val="24"/>
        </w:rPr>
        <w:t xml:space="preserve"> abuse</w:t>
      </w:r>
      <w:r w:rsidR="00CA0582">
        <w:rPr>
          <w:rFonts w:cstheme="minorHAnsi"/>
          <w:sz w:val="24"/>
          <w:szCs w:val="24"/>
        </w:rPr>
        <w:t xml:space="preserve">-related stalking or harassment, and </w:t>
      </w:r>
      <w:r w:rsidR="00455B1A">
        <w:rPr>
          <w:rFonts w:cstheme="minorHAnsi"/>
          <w:sz w:val="24"/>
          <w:szCs w:val="24"/>
        </w:rPr>
        <w:t>hopefully</w:t>
      </w:r>
      <w:r w:rsidRPr="00EA203A">
        <w:rPr>
          <w:rFonts w:cstheme="minorHAnsi"/>
          <w:color w:val="333333"/>
          <w:sz w:val="24"/>
          <w:szCs w:val="24"/>
          <w:shd w:val="clear" w:color="auto" w:fill="FFFFFF"/>
        </w:rPr>
        <w:t xml:space="preserve"> Violet would receive support and protection to continue </w:t>
      </w:r>
      <w:r>
        <w:rPr>
          <w:rFonts w:cstheme="minorHAnsi"/>
          <w:color w:val="333333"/>
          <w:sz w:val="24"/>
          <w:szCs w:val="24"/>
          <w:shd w:val="clear" w:color="auto" w:fill="FFFFFF"/>
        </w:rPr>
        <w:t>living separately,</w:t>
      </w:r>
      <w:r w:rsidRPr="00EA203A">
        <w:rPr>
          <w:rFonts w:cstheme="minorHAnsi"/>
          <w:color w:val="333333"/>
          <w:sz w:val="24"/>
          <w:szCs w:val="24"/>
          <w:shd w:val="clear" w:color="auto" w:fill="FFFFFF"/>
        </w:rPr>
        <w:t xml:space="preserve"> </w:t>
      </w:r>
      <w:r w:rsidR="00B73239">
        <w:rPr>
          <w:rFonts w:cstheme="minorHAnsi"/>
          <w:color w:val="333333"/>
          <w:sz w:val="24"/>
          <w:szCs w:val="24"/>
          <w:shd w:val="clear" w:color="auto" w:fill="FFFFFF"/>
        </w:rPr>
        <w:t>rather than</w:t>
      </w:r>
      <w:r>
        <w:rPr>
          <w:rFonts w:cstheme="minorHAnsi"/>
          <w:color w:val="333333"/>
          <w:sz w:val="24"/>
          <w:szCs w:val="24"/>
          <w:shd w:val="clear" w:color="auto" w:fill="FFFFFF"/>
        </w:rPr>
        <w:t xml:space="preserve"> pressure </w:t>
      </w:r>
      <w:r w:rsidRPr="00EA203A">
        <w:rPr>
          <w:rFonts w:cstheme="minorHAnsi"/>
          <w:color w:val="333333"/>
          <w:sz w:val="24"/>
          <w:szCs w:val="24"/>
          <w:shd w:val="clear" w:color="auto" w:fill="FFFFFF"/>
        </w:rPr>
        <w:t xml:space="preserve">to return to her husband </w:t>
      </w:r>
      <w:r>
        <w:rPr>
          <w:rFonts w:cstheme="minorHAnsi"/>
          <w:color w:val="333333"/>
          <w:sz w:val="24"/>
          <w:szCs w:val="24"/>
          <w:shd w:val="clear" w:color="auto" w:fill="FFFFFF"/>
        </w:rPr>
        <w:t xml:space="preserve">(and </w:t>
      </w:r>
      <w:r w:rsidRPr="00EA203A">
        <w:rPr>
          <w:rFonts w:cstheme="minorHAnsi"/>
          <w:color w:val="333333"/>
          <w:sz w:val="24"/>
          <w:szCs w:val="24"/>
          <w:shd w:val="clear" w:color="auto" w:fill="FFFFFF"/>
        </w:rPr>
        <w:t>cond</w:t>
      </w:r>
      <w:r w:rsidR="00522DA2">
        <w:rPr>
          <w:rFonts w:cstheme="minorHAnsi"/>
          <w:color w:val="333333"/>
          <w:sz w:val="24"/>
          <w:szCs w:val="24"/>
          <w:shd w:val="clear" w:color="auto" w:fill="FFFFFF"/>
        </w:rPr>
        <w:t>emnation</w:t>
      </w:r>
      <w:r>
        <w:rPr>
          <w:rFonts w:cstheme="minorHAnsi"/>
          <w:color w:val="333333"/>
          <w:sz w:val="24"/>
          <w:szCs w:val="24"/>
          <w:shd w:val="clear" w:color="auto" w:fill="FFFFFF"/>
        </w:rPr>
        <w:t xml:space="preserve"> when she refused)</w:t>
      </w:r>
      <w:r w:rsidRPr="00EA203A">
        <w:rPr>
          <w:rFonts w:cstheme="minorHAnsi"/>
          <w:color w:val="333333"/>
          <w:sz w:val="24"/>
          <w:szCs w:val="24"/>
          <w:shd w:val="clear" w:color="auto" w:fill="FFFFFF"/>
        </w:rPr>
        <w:t xml:space="preserve">. </w:t>
      </w:r>
    </w:p>
    <w:p w14:paraId="156D69D7" w14:textId="568311E2" w:rsidR="001866D0" w:rsidRDefault="005A70CE" w:rsidP="00522DA2">
      <w:pPr>
        <w:spacing w:line="360" w:lineRule="auto"/>
        <w:ind w:firstLine="720"/>
        <w:jc w:val="both"/>
        <w:rPr>
          <w:rFonts w:cstheme="minorHAnsi"/>
          <w:sz w:val="24"/>
          <w:szCs w:val="24"/>
        </w:rPr>
      </w:pPr>
      <w:r w:rsidRPr="00EA203A">
        <w:rPr>
          <w:rFonts w:cstheme="minorHAnsi"/>
          <w:color w:val="333333"/>
          <w:sz w:val="24"/>
          <w:szCs w:val="24"/>
          <w:shd w:val="clear" w:color="auto" w:fill="FFFFFF"/>
        </w:rPr>
        <w:t xml:space="preserve">All indications are that the ultimate betrayal occurred, in </w:t>
      </w:r>
      <w:proofErr w:type="spellStart"/>
      <w:r w:rsidRPr="00EA203A">
        <w:rPr>
          <w:rFonts w:cstheme="minorHAnsi"/>
          <w:color w:val="333333"/>
          <w:sz w:val="24"/>
          <w:szCs w:val="24"/>
          <w:shd w:val="clear" w:color="auto" w:fill="FFFFFF"/>
        </w:rPr>
        <w:t>Woolmington’s</w:t>
      </w:r>
      <w:proofErr w:type="spellEnd"/>
      <w:r w:rsidRPr="00EA203A">
        <w:rPr>
          <w:rFonts w:cstheme="minorHAnsi"/>
          <w:color w:val="333333"/>
          <w:sz w:val="24"/>
          <w:szCs w:val="24"/>
          <w:shd w:val="clear" w:color="auto" w:fill="FFFFFF"/>
        </w:rPr>
        <w:t xml:space="preserve"> mind, when </w:t>
      </w:r>
      <w:r w:rsidRPr="00EA203A">
        <w:rPr>
          <w:rFonts w:cstheme="minorHAnsi"/>
          <w:color w:val="333333"/>
          <w:sz w:val="24"/>
          <w:szCs w:val="24"/>
        </w:rPr>
        <w:t xml:space="preserve">Violet’s brother told </w:t>
      </w:r>
      <w:r w:rsidR="001760FF">
        <w:rPr>
          <w:rFonts w:cstheme="minorHAnsi"/>
          <w:color w:val="333333"/>
          <w:sz w:val="24"/>
          <w:szCs w:val="24"/>
        </w:rPr>
        <w:t>Reginald</w:t>
      </w:r>
      <w:r w:rsidRPr="00EA203A">
        <w:rPr>
          <w:rFonts w:cstheme="minorHAnsi"/>
          <w:color w:val="333333"/>
          <w:sz w:val="24"/>
          <w:szCs w:val="24"/>
        </w:rPr>
        <w:t xml:space="preserve"> that Violet had been seen with another man at the cinema in Sherborne. This was not directly in evidence at trial, but there are reports that  </w:t>
      </w:r>
      <w:proofErr w:type="spellStart"/>
      <w:r w:rsidRPr="00EA203A">
        <w:rPr>
          <w:rFonts w:cstheme="minorHAnsi"/>
          <w:color w:val="333333"/>
          <w:sz w:val="24"/>
          <w:szCs w:val="24"/>
        </w:rPr>
        <w:t>Woolmington</w:t>
      </w:r>
      <w:proofErr w:type="spellEnd"/>
      <w:r w:rsidRPr="00EA203A">
        <w:rPr>
          <w:rFonts w:cstheme="minorHAnsi"/>
          <w:color w:val="333333"/>
          <w:sz w:val="24"/>
          <w:szCs w:val="24"/>
        </w:rPr>
        <w:t xml:space="preserve"> spoke with the man who confirmed this.</w:t>
      </w:r>
      <w:r w:rsidRPr="00EA203A">
        <w:rPr>
          <w:rStyle w:val="FootnoteReference"/>
          <w:rFonts w:cstheme="minorHAnsi"/>
          <w:color w:val="333333"/>
          <w:sz w:val="24"/>
          <w:szCs w:val="24"/>
        </w:rPr>
        <w:footnoteReference w:id="29"/>
      </w:r>
      <w:r w:rsidRPr="00EA203A">
        <w:rPr>
          <w:rFonts w:cstheme="minorHAnsi"/>
          <w:color w:val="333333"/>
          <w:sz w:val="24"/>
          <w:szCs w:val="24"/>
        </w:rPr>
        <w:t xml:space="preserve"> </w:t>
      </w:r>
      <w:r>
        <w:rPr>
          <w:rFonts w:cstheme="minorHAnsi"/>
          <w:color w:val="333333"/>
          <w:sz w:val="24"/>
          <w:szCs w:val="24"/>
        </w:rPr>
        <w:t>The defendant</w:t>
      </w:r>
      <w:r w:rsidRPr="00EA203A">
        <w:rPr>
          <w:rFonts w:cstheme="minorHAnsi"/>
          <w:color w:val="333333"/>
          <w:sz w:val="24"/>
          <w:szCs w:val="24"/>
        </w:rPr>
        <w:t xml:space="preserve"> told the court that after hearing Violet had walked out with another man, he </w:t>
      </w:r>
      <w:r>
        <w:rPr>
          <w:rFonts w:cstheme="minorHAnsi"/>
          <w:color w:val="333333"/>
          <w:sz w:val="24"/>
          <w:szCs w:val="24"/>
          <w:shd w:val="clear" w:color="auto" w:fill="FFFFFF"/>
        </w:rPr>
        <w:t xml:space="preserve">‘thought he might </w:t>
      </w:r>
      <w:r w:rsidRPr="00EA203A">
        <w:rPr>
          <w:rFonts w:cstheme="minorHAnsi"/>
          <w:color w:val="333333"/>
          <w:sz w:val="24"/>
          <w:szCs w:val="24"/>
          <w:shd w:val="clear" w:color="auto" w:fill="FFFFFF"/>
        </w:rPr>
        <w:t>frighten his wife into obedience by threating to shoot himself</w:t>
      </w:r>
      <w:r w:rsidR="000D0F58">
        <w:rPr>
          <w:rFonts w:cstheme="minorHAnsi"/>
          <w:color w:val="333333"/>
          <w:sz w:val="24"/>
          <w:szCs w:val="24"/>
          <w:shd w:val="clear" w:color="auto" w:fill="FFFFFF"/>
        </w:rPr>
        <w:t>’</w:t>
      </w:r>
      <w:r>
        <w:rPr>
          <w:rFonts w:cstheme="minorHAnsi"/>
          <w:color w:val="333333"/>
          <w:sz w:val="24"/>
          <w:szCs w:val="24"/>
          <w:shd w:val="clear" w:color="auto" w:fill="FFFFFF"/>
        </w:rPr>
        <w:t>.</w:t>
      </w:r>
      <w:r w:rsidRPr="00EA203A">
        <w:rPr>
          <w:rStyle w:val="FootnoteReference"/>
          <w:rFonts w:cstheme="minorHAnsi"/>
          <w:color w:val="333333"/>
          <w:sz w:val="24"/>
          <w:szCs w:val="24"/>
          <w:shd w:val="clear" w:color="auto" w:fill="FFFFFF"/>
        </w:rPr>
        <w:footnoteReference w:id="30"/>
      </w:r>
      <w:r>
        <w:rPr>
          <w:rFonts w:cstheme="minorHAnsi"/>
          <w:color w:val="333333"/>
          <w:sz w:val="24"/>
          <w:szCs w:val="24"/>
          <w:shd w:val="clear" w:color="auto" w:fill="FFFFFF"/>
        </w:rPr>
        <w:t xml:space="preserve"> </w:t>
      </w:r>
      <w:r w:rsidRPr="00EA203A">
        <w:rPr>
          <w:rFonts w:cstheme="minorHAnsi"/>
          <w:color w:val="333333"/>
          <w:sz w:val="24"/>
          <w:szCs w:val="24"/>
        </w:rPr>
        <w:t>One of the questions on DARA is, ‘</w:t>
      </w:r>
      <w:r w:rsidR="005567E1">
        <w:rPr>
          <w:rFonts w:cstheme="minorHAnsi"/>
          <w:color w:val="333333"/>
          <w:sz w:val="24"/>
          <w:szCs w:val="24"/>
        </w:rPr>
        <w:t>H</w:t>
      </w:r>
      <w:r w:rsidRPr="00EA203A">
        <w:rPr>
          <w:rFonts w:cstheme="minorHAnsi"/>
          <w:sz w:val="24"/>
          <w:szCs w:val="24"/>
        </w:rPr>
        <w:t xml:space="preserve">ow often does (…) threaten or attempt suicide?’ </w:t>
      </w:r>
      <w:r w:rsidR="00B25A4B" w:rsidRPr="00EA203A">
        <w:rPr>
          <w:rFonts w:cstheme="minorHAnsi"/>
          <w:color w:val="333333"/>
          <w:sz w:val="24"/>
          <w:szCs w:val="24"/>
        </w:rPr>
        <w:t xml:space="preserve">It is not known whether </w:t>
      </w:r>
      <w:r w:rsidR="00B25A4B">
        <w:rPr>
          <w:rFonts w:cstheme="minorHAnsi"/>
          <w:color w:val="333333"/>
          <w:sz w:val="24"/>
          <w:szCs w:val="24"/>
        </w:rPr>
        <w:t>the defendant</w:t>
      </w:r>
      <w:r w:rsidR="00B25A4B" w:rsidRPr="00EA203A">
        <w:rPr>
          <w:rFonts w:cstheme="minorHAnsi"/>
          <w:color w:val="333333"/>
          <w:sz w:val="24"/>
          <w:szCs w:val="24"/>
        </w:rPr>
        <w:t xml:space="preserve"> tried this strategy with Violet before,</w:t>
      </w:r>
      <w:r w:rsidR="00B25A4B">
        <w:rPr>
          <w:rFonts w:cstheme="minorHAnsi"/>
          <w:color w:val="333333"/>
          <w:sz w:val="24"/>
          <w:szCs w:val="24"/>
        </w:rPr>
        <w:t xml:space="preserve"> but locking her in the house demonstrates that he sought ‘obedience’ and control, and had adopted a number of physical actions to assert this. </w:t>
      </w:r>
      <w:r w:rsidRPr="00EA203A">
        <w:rPr>
          <w:rFonts w:cstheme="minorHAnsi"/>
          <w:color w:val="333333"/>
          <w:sz w:val="24"/>
          <w:szCs w:val="24"/>
        </w:rPr>
        <w:t xml:space="preserve">Threatening to commit suicide is seen as </w:t>
      </w:r>
      <w:r w:rsidRPr="00EA203A">
        <w:rPr>
          <w:rFonts w:cstheme="minorHAnsi"/>
          <w:sz w:val="24"/>
          <w:szCs w:val="24"/>
        </w:rPr>
        <w:t>controlling behaviour</w:t>
      </w:r>
      <w:r w:rsidR="0052707F">
        <w:rPr>
          <w:rFonts w:cstheme="minorHAnsi"/>
          <w:sz w:val="24"/>
          <w:szCs w:val="24"/>
        </w:rPr>
        <w:t xml:space="preserve"> and t</w:t>
      </w:r>
      <w:r w:rsidRPr="00EA203A">
        <w:rPr>
          <w:rFonts w:cstheme="minorHAnsi"/>
          <w:sz w:val="24"/>
          <w:szCs w:val="24"/>
        </w:rPr>
        <w:t xml:space="preserve">here is </w:t>
      </w:r>
      <w:r>
        <w:rPr>
          <w:rFonts w:cstheme="minorHAnsi"/>
          <w:sz w:val="24"/>
          <w:szCs w:val="24"/>
        </w:rPr>
        <w:t xml:space="preserve">a significant </w:t>
      </w:r>
      <w:r w:rsidRPr="00EA203A">
        <w:rPr>
          <w:rFonts w:cstheme="minorHAnsi"/>
          <w:sz w:val="24"/>
          <w:szCs w:val="24"/>
        </w:rPr>
        <w:t>link between such threats</w:t>
      </w:r>
      <w:r w:rsidR="002A6917">
        <w:rPr>
          <w:rFonts w:cstheme="minorHAnsi"/>
          <w:sz w:val="24"/>
          <w:szCs w:val="24"/>
        </w:rPr>
        <w:t xml:space="preserve"> </w:t>
      </w:r>
      <w:r w:rsidRPr="00EA203A">
        <w:rPr>
          <w:rFonts w:cstheme="minorHAnsi"/>
          <w:sz w:val="24"/>
          <w:szCs w:val="24"/>
        </w:rPr>
        <w:lastRenderedPageBreak/>
        <w:t>and domestic homicide,</w:t>
      </w:r>
      <w:r w:rsidRPr="00EA203A">
        <w:rPr>
          <w:rStyle w:val="FootnoteReference"/>
          <w:rFonts w:cstheme="minorHAnsi"/>
          <w:sz w:val="24"/>
          <w:szCs w:val="24"/>
        </w:rPr>
        <w:footnoteReference w:id="31"/>
      </w:r>
      <w:r w:rsidRPr="00EA203A">
        <w:rPr>
          <w:rFonts w:cstheme="minorHAnsi"/>
          <w:sz w:val="24"/>
          <w:szCs w:val="24"/>
        </w:rPr>
        <w:t xml:space="preserve"> the undercurrent being, </w:t>
      </w:r>
      <w:r>
        <w:rPr>
          <w:rFonts w:cstheme="minorHAnsi"/>
          <w:sz w:val="24"/>
          <w:szCs w:val="24"/>
        </w:rPr>
        <w:t>‘</w:t>
      </w:r>
      <w:r w:rsidRPr="00EA203A">
        <w:rPr>
          <w:rFonts w:cstheme="minorHAnsi"/>
          <w:sz w:val="24"/>
          <w:szCs w:val="24"/>
        </w:rPr>
        <w:t>I want to die, and I am going to take you with me</w:t>
      </w:r>
      <w:r w:rsidR="00802C3F">
        <w:rPr>
          <w:rFonts w:cstheme="minorHAnsi"/>
          <w:sz w:val="24"/>
          <w:szCs w:val="24"/>
        </w:rPr>
        <w:t>’</w:t>
      </w:r>
      <w:r w:rsidRPr="00EA203A">
        <w:rPr>
          <w:rFonts w:cstheme="minorHAnsi"/>
          <w:sz w:val="24"/>
          <w:szCs w:val="24"/>
        </w:rPr>
        <w:t xml:space="preserve">. </w:t>
      </w:r>
    </w:p>
    <w:p w14:paraId="0D512279" w14:textId="1A1ADB21" w:rsidR="001866D0" w:rsidRDefault="005A70CE" w:rsidP="00802C3F">
      <w:pPr>
        <w:spacing w:line="360" w:lineRule="auto"/>
        <w:ind w:firstLine="720"/>
        <w:jc w:val="both"/>
        <w:rPr>
          <w:rFonts w:cstheme="minorHAnsi"/>
          <w:color w:val="333333"/>
          <w:sz w:val="24"/>
          <w:szCs w:val="24"/>
          <w:shd w:val="clear" w:color="auto" w:fill="FFFFFF"/>
        </w:rPr>
      </w:pPr>
      <w:r w:rsidRPr="00EA203A">
        <w:rPr>
          <w:rFonts w:cstheme="minorHAnsi"/>
          <w:color w:val="333333"/>
          <w:sz w:val="24"/>
          <w:szCs w:val="24"/>
          <w:shd w:val="clear" w:color="auto" w:fill="FFFFFF"/>
        </w:rPr>
        <w:t xml:space="preserve">The next morning, </w:t>
      </w:r>
      <w:proofErr w:type="spellStart"/>
      <w:r w:rsidRPr="00EA203A">
        <w:rPr>
          <w:rFonts w:cstheme="minorHAnsi"/>
          <w:color w:val="333333"/>
          <w:sz w:val="24"/>
          <w:szCs w:val="24"/>
          <w:shd w:val="clear" w:color="auto" w:fill="FFFFFF"/>
        </w:rPr>
        <w:t>Woolmington</w:t>
      </w:r>
      <w:proofErr w:type="spellEnd"/>
      <w:r w:rsidRPr="00EA203A">
        <w:rPr>
          <w:rFonts w:cstheme="minorHAnsi"/>
          <w:color w:val="333333"/>
          <w:sz w:val="24"/>
          <w:szCs w:val="24"/>
          <w:shd w:val="clear" w:color="auto" w:fill="FFFFFF"/>
        </w:rPr>
        <w:t xml:space="preserve"> took his </w:t>
      </w:r>
      <w:r w:rsidR="00212561">
        <w:rPr>
          <w:rFonts w:cstheme="minorHAnsi"/>
          <w:color w:val="333333"/>
          <w:sz w:val="24"/>
          <w:szCs w:val="24"/>
          <w:shd w:val="clear" w:color="auto" w:fill="FFFFFF"/>
        </w:rPr>
        <w:t>e</w:t>
      </w:r>
      <w:r w:rsidRPr="00EA203A">
        <w:rPr>
          <w:rFonts w:cstheme="minorHAnsi"/>
          <w:color w:val="333333"/>
          <w:sz w:val="24"/>
          <w:szCs w:val="24"/>
          <w:shd w:val="clear" w:color="auto" w:fill="FFFFFF"/>
        </w:rPr>
        <w:t>mployer’s shotgun, sawed down both its</w:t>
      </w:r>
      <w:r w:rsidR="001866D0">
        <w:rPr>
          <w:rFonts w:cstheme="minorHAnsi"/>
          <w:color w:val="333333"/>
          <w:sz w:val="24"/>
          <w:szCs w:val="24"/>
          <w:shd w:val="clear" w:color="auto" w:fill="FFFFFF"/>
        </w:rPr>
        <w:t xml:space="preserve"> </w:t>
      </w:r>
      <w:r w:rsidR="001866D0" w:rsidRPr="00EA203A">
        <w:rPr>
          <w:rFonts w:cstheme="minorHAnsi"/>
          <w:color w:val="333333"/>
          <w:sz w:val="24"/>
          <w:szCs w:val="24"/>
          <w:shd w:val="clear" w:color="auto" w:fill="FFFFFF"/>
        </w:rPr>
        <w:t xml:space="preserve">barrels, loaded it with two cartridges, and cycled over to see his wife. </w:t>
      </w:r>
      <w:r w:rsidR="00AE4D6B">
        <w:rPr>
          <w:rFonts w:cstheme="minorHAnsi"/>
          <w:color w:val="333333"/>
          <w:sz w:val="24"/>
          <w:szCs w:val="24"/>
          <w:shd w:val="clear" w:color="auto" w:fill="FFFFFF"/>
        </w:rPr>
        <w:t xml:space="preserve">At trial, </w:t>
      </w:r>
      <w:proofErr w:type="spellStart"/>
      <w:r w:rsidR="00AE4D6B">
        <w:rPr>
          <w:rFonts w:cstheme="minorHAnsi"/>
          <w:color w:val="333333"/>
          <w:sz w:val="24"/>
          <w:szCs w:val="24"/>
          <w:shd w:val="clear" w:color="auto" w:fill="FFFFFF"/>
        </w:rPr>
        <w:t>Woolmington</w:t>
      </w:r>
      <w:proofErr w:type="spellEnd"/>
      <w:r w:rsidR="00AE4D6B">
        <w:rPr>
          <w:rFonts w:cstheme="minorHAnsi"/>
          <w:color w:val="333333"/>
          <w:sz w:val="24"/>
          <w:szCs w:val="24"/>
          <w:shd w:val="clear" w:color="auto" w:fill="FFFFFF"/>
        </w:rPr>
        <w:t xml:space="preserve"> said that </w:t>
      </w:r>
      <w:r w:rsidR="001866D0" w:rsidRPr="00EA203A">
        <w:rPr>
          <w:rFonts w:cstheme="minorHAnsi"/>
          <w:color w:val="333333"/>
          <w:sz w:val="24"/>
          <w:szCs w:val="24"/>
          <w:shd w:val="clear" w:color="auto" w:fill="FFFFFF"/>
        </w:rPr>
        <w:t xml:space="preserve">he </w:t>
      </w:r>
      <w:r w:rsidR="00AE4D6B">
        <w:rPr>
          <w:rFonts w:cstheme="minorHAnsi"/>
          <w:color w:val="333333"/>
          <w:sz w:val="24"/>
          <w:szCs w:val="24"/>
          <w:shd w:val="clear" w:color="auto" w:fill="FFFFFF"/>
        </w:rPr>
        <w:t xml:space="preserve">had </w:t>
      </w:r>
      <w:r w:rsidR="001866D0" w:rsidRPr="00EA203A">
        <w:rPr>
          <w:rFonts w:cstheme="minorHAnsi"/>
          <w:color w:val="333333"/>
          <w:sz w:val="24"/>
          <w:szCs w:val="24"/>
          <w:shd w:val="clear" w:color="auto" w:fill="FFFFFF"/>
        </w:rPr>
        <w:t xml:space="preserve">sawed the barrels off so that it would </w:t>
      </w:r>
      <w:r w:rsidR="004E23B5">
        <w:rPr>
          <w:rFonts w:cstheme="minorHAnsi"/>
          <w:color w:val="333333"/>
          <w:sz w:val="24"/>
          <w:szCs w:val="24"/>
          <w:shd w:val="clear" w:color="auto" w:fill="FFFFFF"/>
        </w:rPr>
        <w:t>be concealed</w:t>
      </w:r>
      <w:r w:rsidR="001866D0" w:rsidRPr="00EA203A">
        <w:rPr>
          <w:rFonts w:cstheme="minorHAnsi"/>
          <w:color w:val="333333"/>
          <w:sz w:val="24"/>
          <w:szCs w:val="24"/>
          <w:shd w:val="clear" w:color="auto" w:fill="FFFFFF"/>
        </w:rPr>
        <w:t xml:space="preserve"> under his coat</w:t>
      </w:r>
      <w:r w:rsidR="004E23B5">
        <w:rPr>
          <w:rFonts w:cstheme="minorHAnsi"/>
          <w:color w:val="333333"/>
          <w:sz w:val="24"/>
          <w:szCs w:val="24"/>
          <w:shd w:val="clear" w:color="auto" w:fill="FFFFFF"/>
        </w:rPr>
        <w:t>.</w:t>
      </w:r>
      <w:r w:rsidR="00AE4D6B">
        <w:rPr>
          <w:rStyle w:val="FootnoteReference"/>
          <w:rFonts w:cstheme="minorHAnsi"/>
          <w:color w:val="333333"/>
          <w:sz w:val="24"/>
          <w:szCs w:val="24"/>
          <w:shd w:val="clear" w:color="auto" w:fill="FFFFFF"/>
        </w:rPr>
        <w:footnoteReference w:id="32"/>
      </w:r>
      <w:r w:rsidR="001866D0" w:rsidRPr="00EA203A">
        <w:rPr>
          <w:rFonts w:cstheme="minorHAnsi"/>
          <w:color w:val="333333"/>
          <w:sz w:val="24"/>
          <w:szCs w:val="24"/>
          <w:shd w:val="clear" w:color="auto" w:fill="FFFFFF"/>
        </w:rPr>
        <w:t xml:space="preserve">  </w:t>
      </w:r>
      <w:r w:rsidR="007779A5">
        <w:rPr>
          <w:rFonts w:cstheme="minorHAnsi"/>
          <w:color w:val="333333"/>
          <w:sz w:val="24"/>
          <w:szCs w:val="24"/>
          <w:shd w:val="clear" w:color="auto" w:fill="FFFFFF"/>
        </w:rPr>
        <w:t xml:space="preserve">This preparation </w:t>
      </w:r>
      <w:r w:rsidR="00510F8F">
        <w:rPr>
          <w:rFonts w:cstheme="minorHAnsi"/>
          <w:color w:val="333333"/>
          <w:sz w:val="24"/>
          <w:szCs w:val="24"/>
          <w:shd w:val="clear" w:color="auto" w:fill="FFFFFF"/>
        </w:rPr>
        <w:t>was</w:t>
      </w:r>
      <w:r w:rsidR="00E24FC8">
        <w:rPr>
          <w:rFonts w:cstheme="minorHAnsi"/>
          <w:color w:val="333333"/>
          <w:sz w:val="24"/>
          <w:szCs w:val="24"/>
          <w:shd w:val="clear" w:color="auto" w:fill="FFFFFF"/>
        </w:rPr>
        <w:t xml:space="preserve"> methodical and there </w:t>
      </w:r>
      <w:r w:rsidR="00510F8F">
        <w:rPr>
          <w:rFonts w:cstheme="minorHAnsi"/>
          <w:color w:val="333333"/>
          <w:sz w:val="24"/>
          <w:szCs w:val="24"/>
          <w:shd w:val="clear" w:color="auto" w:fill="FFFFFF"/>
        </w:rPr>
        <w:t>was</w:t>
      </w:r>
      <w:r w:rsidR="00E24FC8">
        <w:rPr>
          <w:rFonts w:cstheme="minorHAnsi"/>
          <w:color w:val="333333"/>
          <w:sz w:val="24"/>
          <w:szCs w:val="24"/>
          <w:shd w:val="clear" w:color="auto" w:fill="FFFFFF"/>
        </w:rPr>
        <w:t xml:space="preserve"> some evidence produced during his trial</w:t>
      </w:r>
      <w:r w:rsidR="00E6162B">
        <w:rPr>
          <w:rFonts w:cstheme="minorHAnsi"/>
          <w:color w:val="333333"/>
          <w:sz w:val="24"/>
          <w:szCs w:val="24"/>
          <w:shd w:val="clear" w:color="auto" w:fill="FFFFFF"/>
        </w:rPr>
        <w:t xml:space="preserve"> – </w:t>
      </w:r>
      <w:r w:rsidR="00227FF5">
        <w:rPr>
          <w:rFonts w:cstheme="minorHAnsi"/>
          <w:color w:val="333333"/>
          <w:sz w:val="24"/>
          <w:szCs w:val="24"/>
          <w:shd w:val="clear" w:color="auto" w:fill="FFFFFF"/>
        </w:rPr>
        <w:t xml:space="preserve">a letter written by </w:t>
      </w:r>
      <w:proofErr w:type="spellStart"/>
      <w:r w:rsidR="00227FF5">
        <w:rPr>
          <w:rFonts w:cstheme="minorHAnsi"/>
          <w:color w:val="333333"/>
          <w:sz w:val="24"/>
          <w:szCs w:val="24"/>
          <w:shd w:val="clear" w:color="auto" w:fill="FFFFFF"/>
        </w:rPr>
        <w:t>Woolmington</w:t>
      </w:r>
      <w:proofErr w:type="spellEnd"/>
      <w:r w:rsidR="00E6162B">
        <w:rPr>
          <w:rFonts w:cstheme="minorHAnsi"/>
          <w:color w:val="333333"/>
          <w:sz w:val="24"/>
          <w:szCs w:val="24"/>
          <w:shd w:val="clear" w:color="auto" w:fill="FFFFFF"/>
        </w:rPr>
        <w:t xml:space="preserve"> –</w:t>
      </w:r>
      <w:r w:rsidR="00227FF5">
        <w:rPr>
          <w:rFonts w:cstheme="minorHAnsi"/>
          <w:color w:val="333333"/>
          <w:sz w:val="24"/>
          <w:szCs w:val="24"/>
          <w:shd w:val="clear" w:color="auto" w:fill="FFFFFF"/>
        </w:rPr>
        <w:t xml:space="preserve"> which</w:t>
      </w:r>
      <w:r w:rsidR="00E24FC8">
        <w:rPr>
          <w:rFonts w:cstheme="minorHAnsi"/>
          <w:color w:val="333333"/>
          <w:sz w:val="24"/>
          <w:szCs w:val="24"/>
          <w:shd w:val="clear" w:color="auto" w:fill="FFFFFF"/>
        </w:rPr>
        <w:t xml:space="preserve"> </w:t>
      </w:r>
      <w:r w:rsidR="00227FF5">
        <w:rPr>
          <w:rFonts w:cstheme="minorHAnsi"/>
          <w:color w:val="333333"/>
          <w:sz w:val="24"/>
          <w:szCs w:val="24"/>
          <w:shd w:val="clear" w:color="auto" w:fill="FFFFFF"/>
        </w:rPr>
        <w:t>indicate</w:t>
      </w:r>
      <w:r w:rsidR="00510F8F">
        <w:rPr>
          <w:rFonts w:cstheme="minorHAnsi"/>
          <w:color w:val="333333"/>
          <w:sz w:val="24"/>
          <w:szCs w:val="24"/>
          <w:shd w:val="clear" w:color="auto" w:fill="FFFFFF"/>
        </w:rPr>
        <w:t>d</w:t>
      </w:r>
      <w:r w:rsidR="00E24FC8">
        <w:rPr>
          <w:rFonts w:cstheme="minorHAnsi"/>
          <w:color w:val="333333"/>
          <w:sz w:val="24"/>
          <w:szCs w:val="24"/>
          <w:shd w:val="clear" w:color="auto" w:fill="FFFFFF"/>
        </w:rPr>
        <w:t xml:space="preserve"> that </w:t>
      </w:r>
      <w:r w:rsidR="00227FF5">
        <w:rPr>
          <w:rFonts w:cstheme="minorHAnsi"/>
          <w:color w:val="333333"/>
          <w:sz w:val="24"/>
          <w:szCs w:val="24"/>
          <w:shd w:val="clear" w:color="auto" w:fill="FFFFFF"/>
        </w:rPr>
        <w:t xml:space="preserve">he </w:t>
      </w:r>
      <w:r w:rsidR="00E24FC8">
        <w:rPr>
          <w:rFonts w:cstheme="minorHAnsi"/>
          <w:color w:val="333333"/>
          <w:sz w:val="24"/>
          <w:szCs w:val="24"/>
          <w:shd w:val="clear" w:color="auto" w:fill="FFFFFF"/>
        </w:rPr>
        <w:t>was planning to kill Violet and the</w:t>
      </w:r>
      <w:r w:rsidR="00227FF5">
        <w:rPr>
          <w:rFonts w:cstheme="minorHAnsi"/>
          <w:color w:val="333333"/>
          <w:sz w:val="24"/>
          <w:szCs w:val="24"/>
          <w:shd w:val="clear" w:color="auto" w:fill="FFFFFF"/>
        </w:rPr>
        <w:t>n</w:t>
      </w:r>
      <w:r w:rsidR="00E24FC8">
        <w:rPr>
          <w:rFonts w:cstheme="minorHAnsi"/>
          <w:color w:val="333333"/>
          <w:sz w:val="24"/>
          <w:szCs w:val="24"/>
          <w:shd w:val="clear" w:color="auto" w:fill="FFFFFF"/>
        </w:rPr>
        <w:t xml:space="preserve"> himself.</w:t>
      </w:r>
      <w:r w:rsidR="00227FF5">
        <w:rPr>
          <w:rStyle w:val="FootnoteReference"/>
          <w:rFonts w:cstheme="minorHAnsi"/>
          <w:color w:val="333333"/>
          <w:sz w:val="24"/>
          <w:szCs w:val="24"/>
          <w:shd w:val="clear" w:color="auto" w:fill="FFFFFF"/>
        </w:rPr>
        <w:footnoteReference w:id="33"/>
      </w:r>
      <w:r w:rsidR="00E24FC8">
        <w:rPr>
          <w:rFonts w:cstheme="minorHAnsi"/>
          <w:color w:val="333333"/>
          <w:sz w:val="24"/>
          <w:szCs w:val="24"/>
          <w:shd w:val="clear" w:color="auto" w:fill="FFFFFF"/>
        </w:rPr>
        <w:t xml:space="preserve"> </w:t>
      </w:r>
    </w:p>
    <w:p w14:paraId="45079FAB" w14:textId="77777777" w:rsidR="00CF1C86" w:rsidRDefault="00227FF5" w:rsidP="00C60E50">
      <w:pPr>
        <w:spacing w:line="360" w:lineRule="auto"/>
        <w:ind w:firstLine="720"/>
        <w:jc w:val="both"/>
        <w:rPr>
          <w:rFonts w:cstheme="minorHAnsi"/>
          <w:color w:val="333333"/>
          <w:sz w:val="24"/>
          <w:szCs w:val="24"/>
          <w:shd w:val="clear" w:color="auto" w:fill="FFFFFF"/>
        </w:rPr>
      </w:pPr>
      <w:r>
        <w:rPr>
          <w:rFonts w:cstheme="minorHAnsi"/>
          <w:color w:val="333333"/>
          <w:sz w:val="24"/>
          <w:szCs w:val="24"/>
          <w:shd w:val="clear" w:color="auto" w:fill="FFFFFF"/>
        </w:rPr>
        <w:t xml:space="preserve">Murder-suicide incidents, where an individual kills others </w:t>
      </w:r>
      <w:r w:rsidR="00B01E33">
        <w:rPr>
          <w:rFonts w:cstheme="minorHAnsi"/>
          <w:color w:val="333333"/>
          <w:sz w:val="24"/>
          <w:szCs w:val="24"/>
          <w:shd w:val="clear" w:color="auto" w:fill="FFFFFF"/>
        </w:rPr>
        <w:t xml:space="preserve">and </w:t>
      </w:r>
      <w:r>
        <w:rPr>
          <w:rFonts w:cstheme="minorHAnsi"/>
          <w:color w:val="333333"/>
          <w:sz w:val="24"/>
          <w:szCs w:val="24"/>
          <w:shd w:val="clear" w:color="auto" w:fill="FFFFFF"/>
        </w:rPr>
        <w:t xml:space="preserve">then takes their own life, are relatively rare occurrences. </w:t>
      </w:r>
      <w:r w:rsidR="001866D0" w:rsidRPr="00EA203A">
        <w:rPr>
          <w:rFonts w:cstheme="minorHAnsi"/>
          <w:color w:val="333333"/>
          <w:sz w:val="24"/>
          <w:szCs w:val="24"/>
          <w:shd w:val="clear" w:color="auto" w:fill="FFFFFF"/>
        </w:rPr>
        <w:t>In the U</w:t>
      </w:r>
      <w:r w:rsidR="001866D0">
        <w:rPr>
          <w:rFonts w:cstheme="minorHAnsi"/>
          <w:color w:val="333333"/>
          <w:sz w:val="24"/>
          <w:szCs w:val="24"/>
          <w:shd w:val="clear" w:color="auto" w:fill="FFFFFF"/>
        </w:rPr>
        <w:t xml:space="preserve">nited </w:t>
      </w:r>
      <w:r w:rsidR="001866D0" w:rsidRPr="00EA203A">
        <w:rPr>
          <w:rFonts w:cstheme="minorHAnsi"/>
          <w:color w:val="333333"/>
          <w:sz w:val="24"/>
          <w:szCs w:val="24"/>
          <w:shd w:val="clear" w:color="auto" w:fill="FFFFFF"/>
        </w:rPr>
        <w:t>S</w:t>
      </w:r>
      <w:r w:rsidR="001866D0">
        <w:rPr>
          <w:rFonts w:cstheme="minorHAnsi"/>
          <w:color w:val="333333"/>
          <w:sz w:val="24"/>
          <w:szCs w:val="24"/>
          <w:shd w:val="clear" w:color="auto" w:fill="FFFFFF"/>
        </w:rPr>
        <w:t>tates</w:t>
      </w:r>
      <w:r w:rsidR="0061658A">
        <w:rPr>
          <w:rFonts w:cstheme="minorHAnsi"/>
          <w:color w:val="333333"/>
          <w:sz w:val="24"/>
          <w:szCs w:val="24"/>
          <w:shd w:val="clear" w:color="auto" w:fill="FFFFFF"/>
        </w:rPr>
        <w:t xml:space="preserve">, </w:t>
      </w:r>
      <w:r w:rsidR="001866D0" w:rsidRPr="00EA203A">
        <w:rPr>
          <w:rFonts w:cstheme="minorHAnsi"/>
          <w:color w:val="333333"/>
          <w:sz w:val="24"/>
          <w:szCs w:val="24"/>
          <w:shd w:val="clear" w:color="auto" w:fill="FFFFFF"/>
        </w:rPr>
        <w:t xml:space="preserve">96 </w:t>
      </w:r>
      <w:r w:rsidR="001866D0" w:rsidRPr="00510F8F">
        <w:rPr>
          <w:rFonts w:cstheme="minorHAnsi"/>
          <w:color w:val="333333"/>
          <w:sz w:val="24"/>
          <w:szCs w:val="24"/>
          <w:shd w:val="clear" w:color="auto" w:fill="FFFFFF"/>
        </w:rPr>
        <w:t>per cent</w:t>
      </w:r>
      <w:r w:rsidR="001866D0" w:rsidRPr="00EA203A">
        <w:rPr>
          <w:rFonts w:cstheme="minorHAnsi"/>
          <w:color w:val="333333"/>
          <w:sz w:val="24"/>
          <w:szCs w:val="24"/>
          <w:shd w:val="clear" w:color="auto" w:fill="FFFFFF"/>
        </w:rPr>
        <w:t xml:space="preserve"> of murder-suicide victims are female, and more than 50 </w:t>
      </w:r>
      <w:r w:rsidR="001866D0" w:rsidRPr="00510F8F">
        <w:rPr>
          <w:rFonts w:cstheme="minorHAnsi"/>
          <w:color w:val="333333"/>
          <w:sz w:val="24"/>
          <w:szCs w:val="24"/>
          <w:shd w:val="clear" w:color="auto" w:fill="FFFFFF"/>
        </w:rPr>
        <w:t>per cent</w:t>
      </w:r>
      <w:r w:rsidR="001866D0" w:rsidRPr="00EA203A">
        <w:rPr>
          <w:rFonts w:cstheme="minorHAnsi"/>
          <w:color w:val="333333"/>
          <w:sz w:val="24"/>
          <w:szCs w:val="24"/>
          <w:shd w:val="clear" w:color="auto" w:fill="FFFFFF"/>
        </w:rPr>
        <w:t xml:space="preserve"> of these homicides are caused by firearms.</w:t>
      </w:r>
      <w:r w:rsidR="001866D0" w:rsidRPr="00EA203A">
        <w:rPr>
          <w:rStyle w:val="FootnoteReference"/>
          <w:rFonts w:cstheme="minorHAnsi"/>
          <w:color w:val="333333"/>
          <w:sz w:val="24"/>
          <w:szCs w:val="24"/>
          <w:shd w:val="clear" w:color="auto" w:fill="FFFFFF"/>
        </w:rPr>
        <w:footnoteReference w:id="34"/>
      </w:r>
      <w:r w:rsidR="001866D0" w:rsidRPr="00EA203A">
        <w:rPr>
          <w:rFonts w:cstheme="minorHAnsi"/>
          <w:color w:val="333333"/>
          <w:sz w:val="24"/>
          <w:szCs w:val="24"/>
          <w:shd w:val="clear" w:color="auto" w:fill="FFFFFF"/>
        </w:rPr>
        <w:t xml:space="preserve"> Further, </w:t>
      </w:r>
      <w:r w:rsidR="003C15F2">
        <w:rPr>
          <w:rFonts w:cstheme="minorHAnsi"/>
          <w:color w:val="333333"/>
          <w:sz w:val="24"/>
          <w:szCs w:val="24"/>
          <w:shd w:val="clear" w:color="auto" w:fill="FFFFFF"/>
        </w:rPr>
        <w:t>many other survivors have</w:t>
      </w:r>
      <w:r w:rsidR="001866D0" w:rsidRPr="00EA203A">
        <w:rPr>
          <w:rFonts w:cstheme="minorHAnsi"/>
          <w:color w:val="333333"/>
          <w:sz w:val="24"/>
          <w:szCs w:val="24"/>
          <w:shd w:val="clear" w:color="auto" w:fill="FFFFFF"/>
        </w:rPr>
        <w:t xml:space="preserve"> suffered firearms</w:t>
      </w:r>
      <w:r w:rsidR="00A5653B">
        <w:rPr>
          <w:rFonts w:cstheme="minorHAnsi"/>
          <w:color w:val="333333"/>
          <w:sz w:val="24"/>
          <w:szCs w:val="24"/>
          <w:shd w:val="clear" w:color="auto" w:fill="FFFFFF"/>
        </w:rPr>
        <w:t xml:space="preserve"> </w:t>
      </w:r>
      <w:r w:rsidR="001866D0" w:rsidRPr="00EA203A">
        <w:rPr>
          <w:rFonts w:cstheme="minorHAnsi"/>
          <w:color w:val="333333"/>
          <w:sz w:val="24"/>
          <w:szCs w:val="24"/>
          <w:shd w:val="clear" w:color="auto" w:fill="FFFFFF"/>
        </w:rPr>
        <w:t>injuries or have been threatened at gunpoint.  Although gun laws in the UK have tightened considerably since the 1930s, there are still concerns regarding the licensing of firearms</w:t>
      </w:r>
      <w:r w:rsidR="001C44F5">
        <w:rPr>
          <w:rFonts w:cstheme="minorHAnsi"/>
          <w:color w:val="333333"/>
          <w:sz w:val="24"/>
          <w:szCs w:val="24"/>
          <w:shd w:val="clear" w:color="auto" w:fill="FFFFFF"/>
        </w:rPr>
        <w:t xml:space="preserve">. In </w:t>
      </w:r>
      <w:r w:rsidR="001866D0" w:rsidRPr="00EA203A">
        <w:rPr>
          <w:rFonts w:cstheme="minorHAnsi"/>
          <w:color w:val="333333"/>
          <w:sz w:val="24"/>
          <w:szCs w:val="24"/>
          <w:shd w:val="clear" w:color="auto" w:fill="FFFFFF"/>
        </w:rPr>
        <w:t>2021, th</w:t>
      </w:r>
      <w:r w:rsidR="001866D0">
        <w:rPr>
          <w:rFonts w:cstheme="minorHAnsi"/>
          <w:color w:val="333333"/>
          <w:sz w:val="24"/>
          <w:szCs w:val="24"/>
          <w:shd w:val="clear" w:color="auto" w:fill="FFFFFF"/>
        </w:rPr>
        <w:t xml:space="preserve">e </w:t>
      </w:r>
      <w:r w:rsidR="001866D0" w:rsidRPr="00EA203A">
        <w:rPr>
          <w:rFonts w:cstheme="minorHAnsi"/>
          <w:color w:val="333333"/>
          <w:sz w:val="24"/>
          <w:szCs w:val="24"/>
          <w:shd w:val="clear" w:color="auto" w:fill="FFFFFF"/>
        </w:rPr>
        <w:t xml:space="preserve">Home Secretary asked all police forces to urgently review their </w:t>
      </w:r>
      <w:r w:rsidR="00433E93">
        <w:rPr>
          <w:rFonts w:cstheme="minorHAnsi"/>
          <w:color w:val="333333"/>
          <w:sz w:val="24"/>
          <w:szCs w:val="24"/>
          <w:shd w:val="clear" w:color="auto" w:fill="FFFFFF"/>
        </w:rPr>
        <w:t>licensing</w:t>
      </w:r>
      <w:r w:rsidR="001866D0" w:rsidRPr="00EA203A">
        <w:rPr>
          <w:rFonts w:cstheme="minorHAnsi"/>
          <w:color w:val="333333"/>
          <w:sz w:val="24"/>
          <w:szCs w:val="24"/>
          <w:shd w:val="clear" w:color="auto" w:fill="FFFFFF"/>
        </w:rPr>
        <w:t xml:space="preserve"> rules after </w:t>
      </w:r>
      <w:r w:rsidR="001C44F5">
        <w:rPr>
          <w:rFonts w:cstheme="minorHAnsi"/>
          <w:color w:val="333333"/>
          <w:sz w:val="24"/>
          <w:szCs w:val="24"/>
          <w:shd w:val="clear" w:color="auto" w:fill="FFFFFF"/>
        </w:rPr>
        <w:t xml:space="preserve">an incident in Plymouth when Jake Davison shot his mother and four members of the public before turning the gun on himself. </w:t>
      </w:r>
      <w:r w:rsidR="00EB2172">
        <w:rPr>
          <w:rStyle w:val="FootnoteReference"/>
          <w:rFonts w:cstheme="minorHAnsi"/>
          <w:color w:val="333333"/>
          <w:sz w:val="24"/>
          <w:szCs w:val="24"/>
          <w:shd w:val="clear" w:color="auto" w:fill="FFFFFF"/>
        </w:rPr>
        <w:footnoteReference w:id="35"/>
      </w:r>
      <w:r w:rsidR="001C44F5">
        <w:rPr>
          <w:rFonts w:cstheme="minorHAnsi"/>
          <w:color w:val="333333"/>
          <w:sz w:val="24"/>
          <w:szCs w:val="24"/>
          <w:shd w:val="clear" w:color="auto" w:fill="FFFFFF"/>
        </w:rPr>
        <w:t xml:space="preserve"> </w:t>
      </w:r>
      <w:r w:rsidR="005A7360">
        <w:rPr>
          <w:rFonts w:cstheme="minorHAnsi"/>
          <w:color w:val="333333"/>
          <w:sz w:val="24"/>
          <w:szCs w:val="24"/>
          <w:shd w:val="clear" w:color="auto" w:fill="FFFFFF"/>
        </w:rPr>
        <w:t>In</w:t>
      </w:r>
      <w:r w:rsidR="001866D0" w:rsidRPr="00EA203A">
        <w:rPr>
          <w:rFonts w:cstheme="minorHAnsi"/>
          <w:color w:val="333333"/>
          <w:sz w:val="24"/>
          <w:szCs w:val="24"/>
          <w:shd w:val="clear" w:color="auto" w:fill="FFFFFF"/>
        </w:rPr>
        <w:t xml:space="preserve"> April 2024 Project Titanium</w:t>
      </w:r>
      <w:r w:rsidR="005A7360">
        <w:rPr>
          <w:rFonts w:cstheme="minorHAnsi"/>
          <w:color w:val="333333"/>
          <w:sz w:val="24"/>
          <w:szCs w:val="24"/>
          <w:shd w:val="clear" w:color="auto" w:fill="FFFFFF"/>
        </w:rPr>
        <w:t xml:space="preserve"> was launched</w:t>
      </w:r>
      <w:r w:rsidR="001C44F5">
        <w:rPr>
          <w:rFonts w:cstheme="minorHAnsi"/>
          <w:color w:val="333333"/>
          <w:sz w:val="24"/>
          <w:szCs w:val="24"/>
          <w:shd w:val="clear" w:color="auto" w:fill="FFFFFF"/>
        </w:rPr>
        <w:t>. This was an initiative</w:t>
      </w:r>
      <w:r w:rsidR="001866D0" w:rsidRPr="00EA203A">
        <w:rPr>
          <w:rFonts w:cstheme="minorHAnsi"/>
          <w:color w:val="333333"/>
          <w:sz w:val="24"/>
          <w:szCs w:val="24"/>
          <w:shd w:val="clear" w:color="auto" w:fill="FFFFFF"/>
        </w:rPr>
        <w:t xml:space="preserve"> developed by Gwent Police with the aid of domestic abuse survivors. </w:t>
      </w:r>
      <w:r w:rsidR="001C44F5">
        <w:rPr>
          <w:rFonts w:cstheme="minorHAnsi"/>
          <w:color w:val="333333"/>
          <w:sz w:val="24"/>
          <w:szCs w:val="24"/>
          <w:shd w:val="clear" w:color="auto" w:fill="FFFFFF"/>
        </w:rPr>
        <w:t xml:space="preserve">Titanium has added </w:t>
      </w:r>
      <w:r w:rsidR="001C44F5" w:rsidRPr="00EA203A">
        <w:rPr>
          <w:rFonts w:cstheme="minorHAnsi"/>
          <w:color w:val="333333"/>
          <w:sz w:val="24"/>
          <w:szCs w:val="24"/>
          <w:shd w:val="clear" w:color="auto" w:fill="FFFFFF"/>
        </w:rPr>
        <w:t>questions on the gun licence application</w:t>
      </w:r>
      <w:r w:rsidR="00BA4D33">
        <w:rPr>
          <w:rFonts w:cstheme="minorHAnsi"/>
          <w:color w:val="333333"/>
          <w:sz w:val="24"/>
          <w:szCs w:val="24"/>
          <w:shd w:val="clear" w:color="auto" w:fill="FFFFFF"/>
        </w:rPr>
        <w:t xml:space="preserve"> which </w:t>
      </w:r>
      <w:r w:rsidR="00273FFD">
        <w:rPr>
          <w:rFonts w:cstheme="minorHAnsi"/>
          <w:color w:val="333333"/>
          <w:sz w:val="24"/>
          <w:szCs w:val="24"/>
          <w:shd w:val="clear" w:color="auto" w:fill="FFFFFF"/>
        </w:rPr>
        <w:t xml:space="preserve">asks </w:t>
      </w:r>
      <w:r w:rsidR="00BA4D33">
        <w:rPr>
          <w:rFonts w:cstheme="minorHAnsi"/>
          <w:color w:val="333333"/>
          <w:sz w:val="24"/>
          <w:szCs w:val="24"/>
          <w:shd w:val="clear" w:color="auto" w:fill="FFFFFF"/>
        </w:rPr>
        <w:t xml:space="preserve">the </w:t>
      </w:r>
      <w:r w:rsidR="00241CCF">
        <w:rPr>
          <w:rFonts w:cstheme="minorHAnsi"/>
          <w:color w:val="333333"/>
          <w:sz w:val="24"/>
          <w:szCs w:val="24"/>
          <w:shd w:val="clear" w:color="auto" w:fill="FFFFFF"/>
        </w:rPr>
        <w:t xml:space="preserve">applicant’s </w:t>
      </w:r>
      <w:r w:rsidR="001866D0" w:rsidRPr="00EA203A">
        <w:rPr>
          <w:rFonts w:cstheme="minorHAnsi"/>
          <w:color w:val="333333"/>
          <w:sz w:val="24"/>
          <w:szCs w:val="24"/>
          <w:shd w:val="clear" w:color="auto" w:fill="FFFFFF"/>
        </w:rPr>
        <w:t xml:space="preserve">partner </w:t>
      </w:r>
      <w:r w:rsidR="00273FFD">
        <w:rPr>
          <w:rFonts w:cstheme="minorHAnsi"/>
          <w:color w:val="333333"/>
          <w:sz w:val="24"/>
          <w:szCs w:val="24"/>
          <w:shd w:val="clear" w:color="auto" w:fill="FFFFFF"/>
        </w:rPr>
        <w:t>about</w:t>
      </w:r>
      <w:r w:rsidR="00273FFD" w:rsidRPr="00EA203A">
        <w:rPr>
          <w:rFonts w:cstheme="minorHAnsi"/>
          <w:color w:val="333333"/>
          <w:sz w:val="24"/>
          <w:szCs w:val="24"/>
          <w:shd w:val="clear" w:color="auto" w:fill="FFFFFF"/>
        </w:rPr>
        <w:t xml:space="preserve"> the applicant’s behaviour</w:t>
      </w:r>
      <w:r w:rsidR="00BA4D33">
        <w:rPr>
          <w:rFonts w:cstheme="minorHAnsi"/>
          <w:color w:val="333333"/>
          <w:sz w:val="24"/>
          <w:szCs w:val="24"/>
          <w:shd w:val="clear" w:color="auto" w:fill="FFFFFF"/>
        </w:rPr>
        <w:t xml:space="preserve"> such as, </w:t>
      </w:r>
      <w:r w:rsidR="00241CCF">
        <w:rPr>
          <w:rFonts w:cstheme="minorHAnsi"/>
          <w:color w:val="333333"/>
          <w:sz w:val="24"/>
          <w:szCs w:val="24"/>
          <w:shd w:val="clear" w:color="auto" w:fill="FFFFFF"/>
        </w:rPr>
        <w:t>‘</w:t>
      </w:r>
      <w:r w:rsidR="00BA4D33" w:rsidRPr="00EA203A">
        <w:rPr>
          <w:rFonts w:cstheme="minorHAnsi"/>
          <w:color w:val="333333"/>
          <w:sz w:val="24"/>
          <w:szCs w:val="24"/>
          <w:shd w:val="clear" w:color="auto" w:fill="FFFFFF"/>
        </w:rPr>
        <w:t>has your partner ever threatened to use, or has used a weapon on you?</w:t>
      </w:r>
      <w:r w:rsidR="00C60E50">
        <w:rPr>
          <w:rFonts w:cstheme="minorHAnsi"/>
          <w:color w:val="333333"/>
          <w:sz w:val="24"/>
          <w:szCs w:val="24"/>
          <w:shd w:val="clear" w:color="auto" w:fill="FFFFFF"/>
        </w:rPr>
        <w:t>’</w:t>
      </w:r>
      <w:r w:rsidR="00BA4D33">
        <w:rPr>
          <w:rFonts w:cstheme="minorHAnsi"/>
          <w:color w:val="333333"/>
          <w:sz w:val="24"/>
          <w:szCs w:val="24"/>
          <w:shd w:val="clear" w:color="auto" w:fill="FFFFFF"/>
        </w:rPr>
        <w:t xml:space="preserve"> The idea behind these questions is </w:t>
      </w:r>
      <w:r w:rsidR="00273FFD" w:rsidRPr="00EA203A">
        <w:rPr>
          <w:rFonts w:cstheme="minorHAnsi"/>
          <w:color w:val="333333"/>
          <w:sz w:val="24"/>
          <w:szCs w:val="24"/>
          <w:shd w:val="clear" w:color="auto" w:fill="FFFFFF"/>
        </w:rPr>
        <w:t>to identify those who may be a potential risk to others</w:t>
      </w:r>
      <w:r w:rsidR="00BA4D33">
        <w:rPr>
          <w:rFonts w:cstheme="minorHAnsi"/>
          <w:color w:val="333333"/>
          <w:sz w:val="24"/>
          <w:szCs w:val="24"/>
          <w:shd w:val="clear" w:color="auto" w:fill="FFFFFF"/>
        </w:rPr>
        <w:t>, to assess whether granting a firearms licence is appropriate.</w:t>
      </w:r>
      <w:r w:rsidR="00273FFD">
        <w:rPr>
          <w:rStyle w:val="FootnoteReference"/>
          <w:rFonts w:cstheme="minorHAnsi"/>
          <w:color w:val="333333"/>
          <w:sz w:val="24"/>
          <w:szCs w:val="24"/>
          <w:shd w:val="clear" w:color="auto" w:fill="FFFFFF"/>
        </w:rPr>
        <w:footnoteReference w:id="36"/>
      </w:r>
      <w:r w:rsidR="00273FFD">
        <w:rPr>
          <w:rFonts w:cstheme="minorHAnsi"/>
          <w:color w:val="333333"/>
          <w:sz w:val="24"/>
          <w:szCs w:val="24"/>
          <w:shd w:val="clear" w:color="auto" w:fill="FFFFFF"/>
        </w:rPr>
        <w:t xml:space="preserve"> </w:t>
      </w:r>
      <w:r w:rsidR="001866D0" w:rsidRPr="00EA203A">
        <w:rPr>
          <w:rFonts w:cstheme="minorHAnsi"/>
          <w:color w:val="333333"/>
          <w:sz w:val="24"/>
          <w:szCs w:val="24"/>
          <w:shd w:val="clear" w:color="auto" w:fill="FFFFFF"/>
        </w:rPr>
        <w:t>Unfortunately, there were</w:t>
      </w:r>
      <w:r w:rsidR="005A7360">
        <w:rPr>
          <w:rFonts w:cstheme="minorHAnsi"/>
          <w:color w:val="333333"/>
          <w:sz w:val="24"/>
          <w:szCs w:val="24"/>
          <w:shd w:val="clear" w:color="auto" w:fill="FFFFFF"/>
        </w:rPr>
        <w:t xml:space="preserve"> no such restrictions </w:t>
      </w:r>
      <w:r w:rsidR="001866D0" w:rsidRPr="00EA203A">
        <w:rPr>
          <w:rFonts w:cstheme="minorHAnsi"/>
          <w:color w:val="333333"/>
          <w:sz w:val="24"/>
          <w:szCs w:val="24"/>
          <w:shd w:val="clear" w:color="auto" w:fill="FFFFFF"/>
        </w:rPr>
        <w:t xml:space="preserve">in place to protect Violet </w:t>
      </w:r>
      <w:proofErr w:type="spellStart"/>
      <w:r w:rsidR="001866D0" w:rsidRPr="00EA203A">
        <w:rPr>
          <w:rFonts w:cstheme="minorHAnsi"/>
          <w:color w:val="333333"/>
          <w:sz w:val="24"/>
          <w:szCs w:val="24"/>
          <w:shd w:val="clear" w:color="auto" w:fill="FFFFFF"/>
        </w:rPr>
        <w:t>Woolmington</w:t>
      </w:r>
      <w:proofErr w:type="spellEnd"/>
      <w:r w:rsidR="001866D0" w:rsidRPr="00EA203A">
        <w:rPr>
          <w:rFonts w:cstheme="minorHAnsi"/>
          <w:color w:val="333333"/>
          <w:sz w:val="24"/>
          <w:szCs w:val="24"/>
          <w:shd w:val="clear" w:color="auto" w:fill="FFFFFF"/>
        </w:rPr>
        <w:t>.</w:t>
      </w:r>
      <w:r w:rsidR="005A7360">
        <w:rPr>
          <w:rFonts w:cstheme="minorHAnsi"/>
          <w:color w:val="333333"/>
          <w:sz w:val="24"/>
          <w:szCs w:val="24"/>
          <w:shd w:val="clear" w:color="auto" w:fill="FFFFFF"/>
        </w:rPr>
        <w:t xml:space="preserve"> </w:t>
      </w:r>
    </w:p>
    <w:p w14:paraId="6A6EF022" w14:textId="39BA6A7D" w:rsidR="005F59AF" w:rsidRPr="00C60E50" w:rsidRDefault="00977123" w:rsidP="00C60E50">
      <w:pPr>
        <w:spacing w:line="360" w:lineRule="auto"/>
        <w:ind w:firstLine="720"/>
        <w:jc w:val="both"/>
        <w:rPr>
          <w:rFonts w:cstheme="minorHAnsi"/>
          <w:color w:val="333333"/>
          <w:sz w:val="24"/>
          <w:szCs w:val="24"/>
          <w:shd w:val="clear" w:color="auto" w:fill="FFFFFF"/>
        </w:rPr>
      </w:pPr>
      <w:r>
        <w:rPr>
          <w:rFonts w:cstheme="minorHAnsi"/>
          <w:color w:val="333333"/>
          <w:sz w:val="24"/>
          <w:szCs w:val="24"/>
          <w:shd w:val="clear" w:color="auto" w:fill="FFFFFF"/>
        </w:rPr>
        <w:lastRenderedPageBreak/>
        <w:t>We know from the case report that o</w:t>
      </w:r>
      <w:r w:rsidR="001866D0" w:rsidRPr="00EA203A">
        <w:rPr>
          <w:rFonts w:cstheme="minorHAnsi"/>
          <w:color w:val="333333"/>
          <w:sz w:val="24"/>
          <w:szCs w:val="24"/>
          <w:shd w:val="clear" w:color="auto" w:fill="FFFFFF"/>
        </w:rPr>
        <w:t xml:space="preserve">n the morning of 10 December, Violet </w:t>
      </w:r>
      <w:r w:rsidR="00D768F3">
        <w:rPr>
          <w:rFonts w:cstheme="minorHAnsi"/>
          <w:color w:val="333333"/>
          <w:sz w:val="24"/>
          <w:szCs w:val="24"/>
          <w:shd w:val="clear" w:color="auto" w:fill="FFFFFF"/>
        </w:rPr>
        <w:t>and her baby son were</w:t>
      </w:r>
      <w:r w:rsidR="001866D0" w:rsidRPr="00EA203A">
        <w:rPr>
          <w:rFonts w:cstheme="minorHAnsi"/>
          <w:color w:val="333333"/>
          <w:sz w:val="24"/>
          <w:szCs w:val="24"/>
          <w:shd w:val="clear" w:color="auto" w:fill="FFFFFF"/>
        </w:rPr>
        <w:t xml:space="preserve"> alone in her mother’s house</w:t>
      </w:r>
      <w:r w:rsidR="00D768F3">
        <w:rPr>
          <w:rFonts w:cstheme="minorHAnsi"/>
          <w:color w:val="333333"/>
          <w:sz w:val="24"/>
          <w:szCs w:val="24"/>
          <w:shd w:val="clear" w:color="auto" w:fill="FFFFFF"/>
        </w:rPr>
        <w:t>.</w:t>
      </w:r>
      <w:r w:rsidR="001866D0" w:rsidRPr="00EA203A">
        <w:rPr>
          <w:rFonts w:cstheme="minorHAnsi"/>
          <w:color w:val="333333"/>
          <w:sz w:val="24"/>
          <w:szCs w:val="24"/>
          <w:shd w:val="clear" w:color="auto" w:fill="FFFFFF"/>
        </w:rPr>
        <w:t xml:space="preserve"> </w:t>
      </w:r>
      <w:proofErr w:type="spellStart"/>
      <w:r w:rsidR="001866D0" w:rsidRPr="00EA203A">
        <w:rPr>
          <w:rFonts w:cstheme="minorHAnsi"/>
          <w:color w:val="333333"/>
          <w:sz w:val="24"/>
          <w:szCs w:val="24"/>
          <w:shd w:val="clear" w:color="auto" w:fill="FFFFFF"/>
        </w:rPr>
        <w:t>Woolmington</w:t>
      </w:r>
      <w:proofErr w:type="spellEnd"/>
      <w:r w:rsidR="001866D0" w:rsidRPr="00EA203A">
        <w:rPr>
          <w:rFonts w:cstheme="minorHAnsi"/>
          <w:color w:val="333333"/>
          <w:sz w:val="24"/>
          <w:szCs w:val="24"/>
          <w:shd w:val="clear" w:color="auto" w:fill="FFFFFF"/>
        </w:rPr>
        <w:t xml:space="preserve"> </w:t>
      </w:r>
      <w:r w:rsidR="00D768F3">
        <w:rPr>
          <w:rFonts w:cstheme="minorHAnsi"/>
          <w:color w:val="333333"/>
          <w:sz w:val="24"/>
          <w:szCs w:val="24"/>
          <w:shd w:val="clear" w:color="auto" w:fill="FFFFFF"/>
        </w:rPr>
        <w:t>turned up at the house</w:t>
      </w:r>
      <w:r w:rsidR="001866D0" w:rsidRPr="00EA203A">
        <w:rPr>
          <w:rFonts w:cstheme="minorHAnsi"/>
          <w:color w:val="333333"/>
          <w:sz w:val="24"/>
          <w:szCs w:val="24"/>
          <w:shd w:val="clear" w:color="auto" w:fill="FFFFFF"/>
        </w:rPr>
        <w:t xml:space="preserve"> and an argument ensued. </w:t>
      </w:r>
      <w:r w:rsidR="001866D0">
        <w:rPr>
          <w:rFonts w:cstheme="minorHAnsi"/>
          <w:color w:val="333333"/>
          <w:sz w:val="24"/>
          <w:szCs w:val="24"/>
          <w:shd w:val="clear" w:color="auto" w:fill="FFFFFF"/>
        </w:rPr>
        <w:t>Violet’s</w:t>
      </w:r>
      <w:r w:rsidR="001866D0" w:rsidRPr="00EA203A">
        <w:rPr>
          <w:rFonts w:cstheme="minorHAnsi"/>
          <w:color w:val="333333"/>
          <w:sz w:val="24"/>
          <w:szCs w:val="24"/>
          <w:shd w:val="clear" w:color="auto" w:fill="FFFFFF"/>
        </w:rPr>
        <w:t xml:space="preserve"> aunt, who lived next door, recognised </w:t>
      </w:r>
      <w:r w:rsidR="001866D0">
        <w:rPr>
          <w:rFonts w:cstheme="minorHAnsi"/>
          <w:color w:val="333333"/>
          <w:sz w:val="24"/>
          <w:szCs w:val="24"/>
          <w:shd w:val="clear" w:color="auto" w:fill="FFFFFF"/>
        </w:rPr>
        <w:t>the defendant</w:t>
      </w:r>
      <w:r w:rsidR="001866D0" w:rsidRPr="00EA203A">
        <w:rPr>
          <w:rFonts w:cstheme="minorHAnsi"/>
          <w:color w:val="333333"/>
          <w:sz w:val="24"/>
          <w:szCs w:val="24"/>
          <w:shd w:val="clear" w:color="auto" w:fill="FFFFFF"/>
        </w:rPr>
        <w:t xml:space="preserve">’s voice </w:t>
      </w:r>
      <w:r w:rsidR="00ED6815">
        <w:rPr>
          <w:rFonts w:cstheme="minorHAnsi"/>
          <w:color w:val="333333"/>
          <w:sz w:val="24"/>
          <w:szCs w:val="24"/>
          <w:shd w:val="clear" w:color="auto" w:fill="FFFFFF"/>
        </w:rPr>
        <w:t xml:space="preserve">and heard him </w:t>
      </w:r>
      <w:r w:rsidR="001866D0" w:rsidRPr="00EA203A">
        <w:rPr>
          <w:rFonts w:cstheme="minorHAnsi"/>
          <w:color w:val="333333"/>
          <w:sz w:val="24"/>
          <w:szCs w:val="24"/>
          <w:shd w:val="clear" w:color="auto" w:fill="FFFFFF"/>
        </w:rPr>
        <w:t xml:space="preserve">say something to the effect of </w:t>
      </w:r>
      <w:r w:rsidR="001866D0">
        <w:rPr>
          <w:rFonts w:cstheme="minorHAnsi"/>
          <w:color w:val="333333"/>
          <w:sz w:val="24"/>
          <w:szCs w:val="24"/>
          <w:shd w:val="clear" w:color="auto" w:fill="FFFFFF"/>
        </w:rPr>
        <w:t>‘</w:t>
      </w:r>
      <w:r w:rsidR="001866D0" w:rsidRPr="00EA203A">
        <w:rPr>
          <w:rFonts w:cstheme="minorHAnsi"/>
          <w:color w:val="333333"/>
          <w:sz w:val="24"/>
          <w:szCs w:val="24"/>
          <w:shd w:val="clear" w:color="auto" w:fill="FFFFFF"/>
        </w:rPr>
        <w:t>are you coming back or not</w:t>
      </w:r>
      <w:r w:rsidR="001866D0">
        <w:rPr>
          <w:rFonts w:cstheme="minorHAnsi"/>
          <w:color w:val="333333"/>
          <w:sz w:val="24"/>
          <w:szCs w:val="24"/>
          <w:shd w:val="clear" w:color="auto" w:fill="FFFFFF"/>
        </w:rPr>
        <w:t>, Vi</w:t>
      </w:r>
      <w:r w:rsidR="001866D0" w:rsidRPr="00EA203A">
        <w:rPr>
          <w:rFonts w:cstheme="minorHAnsi"/>
          <w:color w:val="333333"/>
          <w:sz w:val="24"/>
          <w:szCs w:val="24"/>
          <w:shd w:val="clear" w:color="auto" w:fill="FFFFFF"/>
        </w:rPr>
        <w:t>?</w:t>
      </w:r>
      <w:r w:rsidR="001866D0">
        <w:rPr>
          <w:rFonts w:cstheme="minorHAnsi"/>
          <w:color w:val="333333"/>
          <w:sz w:val="24"/>
          <w:szCs w:val="24"/>
          <w:shd w:val="clear" w:color="auto" w:fill="FFFFFF"/>
        </w:rPr>
        <w:t>’</w:t>
      </w:r>
      <w:r w:rsidR="001866D0">
        <w:rPr>
          <w:rStyle w:val="FootnoteReference"/>
          <w:rFonts w:cstheme="minorHAnsi"/>
          <w:color w:val="333333"/>
          <w:sz w:val="24"/>
          <w:szCs w:val="24"/>
          <w:shd w:val="clear" w:color="auto" w:fill="FFFFFF"/>
        </w:rPr>
        <w:footnoteReference w:id="37"/>
      </w:r>
      <w:r w:rsidR="001866D0" w:rsidRPr="00EA203A">
        <w:rPr>
          <w:rFonts w:cstheme="minorHAnsi"/>
          <w:color w:val="333333"/>
          <w:sz w:val="24"/>
          <w:szCs w:val="24"/>
          <w:shd w:val="clear" w:color="auto" w:fill="FFFFFF"/>
        </w:rPr>
        <w:t xml:space="preserve">  She heard a door slam, and then heard a gunshot. When she looked out of her front window she saw </w:t>
      </w:r>
      <w:r w:rsidR="001866D0">
        <w:rPr>
          <w:rFonts w:cstheme="minorHAnsi"/>
          <w:color w:val="333333"/>
          <w:sz w:val="24"/>
          <w:szCs w:val="24"/>
          <w:shd w:val="clear" w:color="auto" w:fill="FFFFFF"/>
        </w:rPr>
        <w:t>the defendant</w:t>
      </w:r>
      <w:r w:rsidR="001866D0" w:rsidRPr="00EA203A">
        <w:rPr>
          <w:rFonts w:cstheme="minorHAnsi"/>
          <w:color w:val="333333"/>
          <w:sz w:val="24"/>
          <w:szCs w:val="24"/>
          <w:shd w:val="clear" w:color="auto" w:fill="FFFFFF"/>
        </w:rPr>
        <w:t xml:space="preserve"> cycling away. </w:t>
      </w:r>
      <w:r w:rsidR="00005A41">
        <w:rPr>
          <w:rFonts w:cstheme="minorHAnsi"/>
          <w:color w:val="333333"/>
          <w:sz w:val="24"/>
          <w:szCs w:val="24"/>
          <w:shd w:val="clear" w:color="auto" w:fill="FFFFFF"/>
        </w:rPr>
        <w:t>O</w:t>
      </w:r>
      <w:r w:rsidR="001866D0" w:rsidRPr="00EA203A">
        <w:rPr>
          <w:rFonts w:cstheme="minorHAnsi"/>
          <w:color w:val="333333"/>
          <w:sz w:val="24"/>
          <w:szCs w:val="24"/>
          <w:shd w:val="clear" w:color="auto" w:fill="FFFFFF"/>
        </w:rPr>
        <w:t>n entering her sister’s house she</w:t>
      </w:r>
      <w:r w:rsidR="00005A41">
        <w:rPr>
          <w:rFonts w:cstheme="minorHAnsi"/>
          <w:color w:val="333333"/>
          <w:sz w:val="24"/>
          <w:szCs w:val="24"/>
          <w:shd w:val="clear" w:color="auto" w:fill="FFFFFF"/>
        </w:rPr>
        <w:t xml:space="preserve"> </w:t>
      </w:r>
      <w:r w:rsidR="001866D0" w:rsidRPr="00EA203A">
        <w:rPr>
          <w:rFonts w:cstheme="minorHAnsi"/>
          <w:color w:val="333333"/>
          <w:sz w:val="24"/>
          <w:szCs w:val="24"/>
          <w:shd w:val="clear" w:color="auto" w:fill="FFFFFF"/>
        </w:rPr>
        <w:t>found Violet</w:t>
      </w:r>
      <w:r w:rsidR="00005A41">
        <w:rPr>
          <w:rFonts w:cstheme="minorHAnsi"/>
          <w:color w:val="333333"/>
          <w:sz w:val="24"/>
          <w:szCs w:val="24"/>
          <w:shd w:val="clear" w:color="auto" w:fill="FFFFFF"/>
        </w:rPr>
        <w:t xml:space="preserve"> </w:t>
      </w:r>
      <w:r w:rsidR="001866D0" w:rsidRPr="00EA203A">
        <w:rPr>
          <w:rFonts w:cstheme="minorHAnsi"/>
          <w:color w:val="333333"/>
          <w:sz w:val="24"/>
          <w:szCs w:val="24"/>
          <w:shd w:val="clear" w:color="auto" w:fill="FFFFFF"/>
        </w:rPr>
        <w:t xml:space="preserve">dead, with her baby son close by. Later that day, </w:t>
      </w:r>
      <w:proofErr w:type="spellStart"/>
      <w:r w:rsidR="001866D0" w:rsidRPr="00EA203A">
        <w:rPr>
          <w:rFonts w:cstheme="minorHAnsi"/>
          <w:color w:val="333333"/>
          <w:sz w:val="24"/>
          <w:szCs w:val="24"/>
          <w:shd w:val="clear" w:color="auto" w:fill="FFFFFF"/>
        </w:rPr>
        <w:t>Woolmington</w:t>
      </w:r>
      <w:proofErr w:type="spellEnd"/>
      <w:r w:rsidR="001866D0" w:rsidRPr="00EA203A">
        <w:rPr>
          <w:rFonts w:cstheme="minorHAnsi"/>
          <w:color w:val="333333"/>
          <w:sz w:val="24"/>
          <w:szCs w:val="24"/>
          <w:shd w:val="clear" w:color="auto" w:fill="FFFFFF"/>
        </w:rPr>
        <w:t xml:space="preserve"> was arrested and charged with murder.</w:t>
      </w:r>
      <w:r w:rsidR="001866D0" w:rsidRPr="00EA203A">
        <w:rPr>
          <w:rFonts w:eastAsia="Times New Roman" w:cstheme="minorHAnsi"/>
          <w:color w:val="333333"/>
          <w:kern w:val="0"/>
          <w:sz w:val="24"/>
          <w:szCs w:val="24"/>
          <w:lang w:eastAsia="en-GB"/>
          <w14:ligatures w14:val="none"/>
        </w:rPr>
        <w:t xml:space="preserve"> He </w:t>
      </w:r>
      <w:r w:rsidR="001866D0">
        <w:rPr>
          <w:rFonts w:eastAsia="Times New Roman" w:cstheme="minorHAnsi"/>
          <w:color w:val="333333"/>
          <w:kern w:val="0"/>
          <w:sz w:val="24"/>
          <w:szCs w:val="24"/>
          <w:lang w:eastAsia="en-GB"/>
          <w14:ligatures w14:val="none"/>
        </w:rPr>
        <w:t>confessed,</w:t>
      </w:r>
      <w:r w:rsidR="001866D0" w:rsidRPr="00EA203A">
        <w:rPr>
          <w:rFonts w:eastAsia="Times New Roman" w:cstheme="minorHAnsi"/>
          <w:color w:val="333333"/>
          <w:kern w:val="0"/>
          <w:sz w:val="24"/>
          <w:szCs w:val="24"/>
          <w:lang w:eastAsia="en-GB"/>
          <w14:ligatures w14:val="none"/>
        </w:rPr>
        <w:t xml:space="preserve"> </w:t>
      </w:r>
      <w:r w:rsidR="001866D0" w:rsidRPr="00464757">
        <w:rPr>
          <w:rFonts w:eastAsia="Times New Roman" w:cstheme="minorHAnsi"/>
          <w:color w:val="333333"/>
          <w:kern w:val="0"/>
          <w:sz w:val="24"/>
          <w:szCs w:val="24"/>
          <w:lang w:eastAsia="en-GB"/>
          <w14:ligatures w14:val="none"/>
        </w:rPr>
        <w:t>"I want to say nothing, except I done it, and they can do</w:t>
      </w:r>
      <w:r w:rsidR="005F59AF" w:rsidRPr="00464757">
        <w:rPr>
          <w:rFonts w:eastAsia="Times New Roman" w:cstheme="minorHAnsi"/>
          <w:color w:val="333333"/>
          <w:kern w:val="0"/>
          <w:sz w:val="24"/>
          <w:szCs w:val="24"/>
          <w:lang w:eastAsia="en-GB"/>
          <w14:ligatures w14:val="none"/>
        </w:rPr>
        <w:t xml:space="preserve"> what they like with me. It was jealousy I suppose. Her mother enticed her away from me. I done all I could to get her back. That's all.”</w:t>
      </w:r>
      <w:r w:rsidR="005F59AF">
        <w:rPr>
          <w:rStyle w:val="FootnoteReference"/>
          <w:rFonts w:eastAsia="Times New Roman" w:cstheme="minorHAnsi"/>
          <w:i/>
          <w:iCs/>
          <w:color w:val="333333"/>
          <w:sz w:val="24"/>
          <w:szCs w:val="24"/>
        </w:rPr>
        <w:footnoteReference w:id="38"/>
      </w:r>
    </w:p>
    <w:p w14:paraId="3CFF336D" w14:textId="69D09012" w:rsidR="005F59AF" w:rsidRDefault="005F59AF" w:rsidP="008E3DFC">
      <w:pPr>
        <w:spacing w:line="360" w:lineRule="auto"/>
        <w:ind w:firstLine="720"/>
        <w:jc w:val="both"/>
        <w:rPr>
          <w:rFonts w:cstheme="minorHAnsi"/>
          <w:color w:val="333333"/>
          <w:sz w:val="24"/>
          <w:szCs w:val="24"/>
          <w:shd w:val="clear" w:color="auto" w:fill="FFFFFF"/>
        </w:rPr>
      </w:pPr>
      <w:r w:rsidRPr="00EA203A">
        <w:rPr>
          <w:rFonts w:cstheme="minorHAnsi"/>
          <w:color w:val="333333"/>
          <w:sz w:val="24"/>
          <w:szCs w:val="24"/>
          <w:shd w:val="clear" w:color="auto" w:fill="FFFFFF"/>
        </w:rPr>
        <w:t xml:space="preserve">Only the defendant and the victim would ever know </w:t>
      </w:r>
      <w:r>
        <w:rPr>
          <w:rFonts w:cstheme="minorHAnsi"/>
          <w:color w:val="333333"/>
          <w:sz w:val="24"/>
          <w:szCs w:val="24"/>
          <w:shd w:val="clear" w:color="auto" w:fill="FFFFFF"/>
        </w:rPr>
        <w:t xml:space="preserve">precisely </w:t>
      </w:r>
      <w:r w:rsidRPr="00EA203A">
        <w:rPr>
          <w:rFonts w:cstheme="minorHAnsi"/>
          <w:color w:val="333333"/>
          <w:sz w:val="24"/>
          <w:szCs w:val="24"/>
          <w:shd w:val="clear" w:color="auto" w:fill="FFFFFF"/>
        </w:rPr>
        <w:t xml:space="preserve">what happened. </w:t>
      </w:r>
      <w:proofErr w:type="spellStart"/>
      <w:r w:rsidRPr="00EA203A">
        <w:rPr>
          <w:rFonts w:cstheme="minorHAnsi"/>
          <w:color w:val="333333"/>
          <w:sz w:val="24"/>
          <w:szCs w:val="24"/>
          <w:shd w:val="clear" w:color="auto" w:fill="FFFFFF"/>
        </w:rPr>
        <w:t>Woolmington</w:t>
      </w:r>
      <w:proofErr w:type="spellEnd"/>
      <w:r w:rsidRPr="00EA203A">
        <w:rPr>
          <w:rFonts w:cstheme="minorHAnsi"/>
          <w:color w:val="333333"/>
          <w:sz w:val="24"/>
          <w:szCs w:val="24"/>
          <w:shd w:val="clear" w:color="auto" w:fill="FFFFFF"/>
        </w:rPr>
        <w:t xml:space="preserve"> gave evidence in Court that on asking Violet if she was going to return to him, she told him emphatically no</w:t>
      </w:r>
      <w:r w:rsidR="008E3DFC">
        <w:rPr>
          <w:rFonts w:cstheme="minorHAnsi"/>
          <w:color w:val="333333"/>
          <w:sz w:val="24"/>
          <w:szCs w:val="24"/>
          <w:shd w:val="clear" w:color="auto" w:fill="FFFFFF"/>
        </w:rPr>
        <w:t xml:space="preserve">, </w:t>
      </w:r>
      <w:r w:rsidR="00671B79">
        <w:rPr>
          <w:rFonts w:cstheme="minorHAnsi"/>
          <w:color w:val="333333"/>
          <w:sz w:val="24"/>
          <w:szCs w:val="24"/>
          <w:shd w:val="clear" w:color="auto" w:fill="FFFFFF"/>
        </w:rPr>
        <w:t>and</w:t>
      </w:r>
      <w:r w:rsidRPr="00EA203A">
        <w:rPr>
          <w:rFonts w:cstheme="minorHAnsi"/>
          <w:color w:val="333333"/>
          <w:sz w:val="24"/>
          <w:szCs w:val="24"/>
          <w:shd w:val="clear" w:color="auto" w:fill="FFFFFF"/>
        </w:rPr>
        <w:t xml:space="preserve"> that she had decided to go into </w:t>
      </w:r>
      <w:r>
        <w:rPr>
          <w:rFonts w:cstheme="minorHAnsi"/>
          <w:color w:val="333333"/>
          <w:sz w:val="24"/>
          <w:szCs w:val="24"/>
          <w:shd w:val="clear" w:color="auto" w:fill="FFFFFF"/>
        </w:rPr>
        <w:t xml:space="preserve">domestic </w:t>
      </w:r>
      <w:r w:rsidRPr="00EA203A">
        <w:rPr>
          <w:rFonts w:cstheme="minorHAnsi"/>
          <w:color w:val="333333"/>
          <w:sz w:val="24"/>
          <w:szCs w:val="24"/>
          <w:shd w:val="clear" w:color="auto" w:fill="FFFFFF"/>
        </w:rPr>
        <w:t xml:space="preserve">service. </w:t>
      </w:r>
      <w:r w:rsidRPr="00EA203A">
        <w:rPr>
          <w:rFonts w:cstheme="minorHAnsi"/>
          <w:color w:val="3D3D3D"/>
          <w:sz w:val="24"/>
          <w:szCs w:val="24"/>
          <w:shd w:val="clear" w:color="auto" w:fill="FFFFFF"/>
        </w:rPr>
        <w:t xml:space="preserve">He then told Violet that he would shoot himself if she did not come back to him. </w:t>
      </w:r>
      <w:proofErr w:type="spellStart"/>
      <w:r w:rsidRPr="00EA203A">
        <w:rPr>
          <w:rFonts w:cstheme="minorHAnsi"/>
          <w:color w:val="3D3D3D"/>
          <w:sz w:val="24"/>
          <w:szCs w:val="24"/>
          <w:shd w:val="clear" w:color="auto" w:fill="FFFFFF"/>
        </w:rPr>
        <w:t>Woolmington</w:t>
      </w:r>
      <w:proofErr w:type="spellEnd"/>
      <w:r w:rsidRPr="00EA203A">
        <w:rPr>
          <w:rFonts w:cstheme="minorHAnsi"/>
          <w:color w:val="3D3D3D"/>
          <w:sz w:val="24"/>
          <w:szCs w:val="24"/>
          <w:shd w:val="clear" w:color="auto" w:fill="FFFFFF"/>
        </w:rPr>
        <w:t xml:space="preserve"> </w:t>
      </w:r>
      <w:r w:rsidR="00C96700">
        <w:rPr>
          <w:rFonts w:cstheme="minorHAnsi"/>
          <w:color w:val="3D3D3D"/>
          <w:sz w:val="24"/>
          <w:szCs w:val="24"/>
          <w:shd w:val="clear" w:color="auto" w:fill="FFFFFF"/>
        </w:rPr>
        <w:t>further added that</w:t>
      </w:r>
      <w:r w:rsidRPr="00EA203A">
        <w:rPr>
          <w:rFonts w:cstheme="minorHAnsi"/>
          <w:color w:val="3D3D3D"/>
          <w:sz w:val="24"/>
          <w:szCs w:val="24"/>
          <w:shd w:val="clear" w:color="auto" w:fill="FFFFFF"/>
        </w:rPr>
        <w:t xml:space="preserve"> ‘to explain how he meant to do this, and to show her the gun with which he meant to do it, he unbuttoned his overcoat</w:t>
      </w:r>
      <w:r w:rsidR="00005A41">
        <w:rPr>
          <w:rFonts w:cstheme="minorHAnsi"/>
          <w:color w:val="3D3D3D"/>
          <w:sz w:val="24"/>
          <w:szCs w:val="24"/>
          <w:shd w:val="clear" w:color="auto" w:fill="FFFFFF"/>
        </w:rPr>
        <w:t xml:space="preserve"> </w:t>
      </w:r>
      <w:r w:rsidRPr="00EA203A">
        <w:rPr>
          <w:rFonts w:cstheme="minorHAnsi"/>
          <w:color w:val="3D3D3D"/>
          <w:sz w:val="24"/>
          <w:szCs w:val="24"/>
          <w:shd w:val="clear" w:color="auto" w:fill="FFFFFF"/>
        </w:rPr>
        <w:t>and brought the gun across his waist. The gun went off.’</w:t>
      </w:r>
      <w:r w:rsidR="00B1457C">
        <w:rPr>
          <w:rStyle w:val="FootnoteReference"/>
          <w:rFonts w:cstheme="minorHAnsi"/>
          <w:color w:val="3D3D3D"/>
          <w:sz w:val="24"/>
          <w:szCs w:val="24"/>
          <w:shd w:val="clear" w:color="auto" w:fill="FFFFFF"/>
        </w:rPr>
        <w:footnoteReference w:id="39"/>
      </w:r>
      <w:r>
        <w:rPr>
          <w:rFonts w:cstheme="minorHAnsi"/>
          <w:color w:val="3D3D3D"/>
          <w:sz w:val="24"/>
          <w:szCs w:val="24"/>
          <w:shd w:val="clear" w:color="auto" w:fill="FFFFFF"/>
        </w:rPr>
        <w:t xml:space="preserve"> </w:t>
      </w:r>
      <w:r w:rsidR="00B1457C">
        <w:rPr>
          <w:rFonts w:cstheme="minorHAnsi"/>
          <w:color w:val="3D3D3D"/>
          <w:sz w:val="24"/>
          <w:szCs w:val="24"/>
          <w:shd w:val="clear" w:color="auto" w:fill="FFFFFF"/>
        </w:rPr>
        <w:t xml:space="preserve"> </w:t>
      </w:r>
      <w:proofErr w:type="spellStart"/>
      <w:r w:rsidR="00C96700">
        <w:rPr>
          <w:rFonts w:cstheme="minorHAnsi"/>
          <w:color w:val="3D3D3D"/>
          <w:sz w:val="24"/>
          <w:szCs w:val="24"/>
          <w:shd w:val="clear" w:color="auto" w:fill="FFFFFF"/>
        </w:rPr>
        <w:t>Woolmington</w:t>
      </w:r>
      <w:proofErr w:type="spellEnd"/>
      <w:r w:rsidR="00C96700">
        <w:rPr>
          <w:rFonts w:cstheme="minorHAnsi"/>
          <w:color w:val="3D3D3D"/>
          <w:sz w:val="24"/>
          <w:szCs w:val="24"/>
          <w:shd w:val="clear" w:color="auto" w:fill="FFFFFF"/>
        </w:rPr>
        <w:t xml:space="preserve"> </w:t>
      </w:r>
      <w:r w:rsidRPr="00EA203A">
        <w:rPr>
          <w:rFonts w:cstheme="minorHAnsi"/>
          <w:color w:val="333333"/>
          <w:sz w:val="24"/>
          <w:szCs w:val="24"/>
          <w:shd w:val="clear" w:color="auto" w:fill="FFFFFF"/>
        </w:rPr>
        <w:t>specified that</w:t>
      </w:r>
      <w:r>
        <w:rPr>
          <w:rFonts w:cstheme="minorHAnsi"/>
          <w:color w:val="333333"/>
          <w:sz w:val="24"/>
          <w:szCs w:val="24"/>
          <w:shd w:val="clear" w:color="auto" w:fill="FFFFFF"/>
        </w:rPr>
        <w:t>, despite only wishing to scare Violet,</w:t>
      </w:r>
      <w:r w:rsidRPr="00EA203A">
        <w:rPr>
          <w:rFonts w:cstheme="minorHAnsi"/>
          <w:color w:val="333333"/>
          <w:sz w:val="24"/>
          <w:szCs w:val="24"/>
          <w:shd w:val="clear" w:color="auto" w:fill="FFFFFF"/>
        </w:rPr>
        <w:t xml:space="preserve"> he had loaded the gun to make the threat more authentic, </w:t>
      </w:r>
      <w:r>
        <w:rPr>
          <w:rFonts w:cstheme="minorHAnsi"/>
          <w:color w:val="333333"/>
          <w:sz w:val="24"/>
          <w:szCs w:val="24"/>
          <w:shd w:val="clear" w:color="auto" w:fill="FFFFFF"/>
        </w:rPr>
        <w:t>whether Violet would have known that or not.</w:t>
      </w:r>
      <w:r w:rsidRPr="00EA203A">
        <w:rPr>
          <w:rFonts w:cstheme="minorHAnsi"/>
          <w:color w:val="333333"/>
          <w:sz w:val="24"/>
          <w:szCs w:val="24"/>
          <w:shd w:val="clear" w:color="auto" w:fill="FFFFFF"/>
        </w:rPr>
        <w:t xml:space="preserve"> </w:t>
      </w:r>
      <w:r w:rsidR="00F72B4E">
        <w:rPr>
          <w:rFonts w:cstheme="minorHAnsi"/>
          <w:color w:val="333333"/>
          <w:sz w:val="24"/>
          <w:szCs w:val="24"/>
          <w:shd w:val="clear" w:color="auto" w:fill="FFFFFF"/>
        </w:rPr>
        <w:t>T</w:t>
      </w:r>
      <w:r w:rsidRPr="00EA203A">
        <w:rPr>
          <w:rFonts w:cstheme="minorHAnsi"/>
          <w:color w:val="333333"/>
          <w:sz w:val="24"/>
          <w:szCs w:val="24"/>
          <w:shd w:val="clear" w:color="auto" w:fill="FFFFFF"/>
        </w:rPr>
        <w:t xml:space="preserve">he </w:t>
      </w:r>
      <w:r w:rsidR="00D768F3">
        <w:rPr>
          <w:rFonts w:cstheme="minorHAnsi"/>
          <w:color w:val="333333"/>
          <w:sz w:val="24"/>
          <w:szCs w:val="24"/>
          <w:shd w:val="clear" w:color="auto" w:fill="FFFFFF"/>
        </w:rPr>
        <w:t xml:space="preserve">fact that the </w:t>
      </w:r>
      <w:r>
        <w:rPr>
          <w:rFonts w:cstheme="minorHAnsi"/>
          <w:color w:val="333333"/>
          <w:sz w:val="24"/>
          <w:szCs w:val="24"/>
          <w:shd w:val="clear" w:color="auto" w:fill="FFFFFF"/>
        </w:rPr>
        <w:t xml:space="preserve">defendant </w:t>
      </w:r>
      <w:r w:rsidRPr="00EA203A">
        <w:rPr>
          <w:rFonts w:cstheme="minorHAnsi"/>
          <w:color w:val="333333"/>
          <w:sz w:val="24"/>
          <w:szCs w:val="24"/>
          <w:shd w:val="clear" w:color="auto" w:fill="FFFFFF"/>
        </w:rPr>
        <w:t xml:space="preserve">had loaded the gun with two bullets </w:t>
      </w:r>
      <w:r w:rsidR="00D768F3">
        <w:rPr>
          <w:rFonts w:cstheme="minorHAnsi"/>
          <w:color w:val="333333"/>
          <w:sz w:val="24"/>
          <w:szCs w:val="24"/>
          <w:shd w:val="clear" w:color="auto" w:fill="FFFFFF"/>
        </w:rPr>
        <w:t xml:space="preserve">gives rise to the possibility that </w:t>
      </w:r>
      <w:r>
        <w:rPr>
          <w:rFonts w:cstheme="minorHAnsi"/>
          <w:color w:val="333333"/>
          <w:sz w:val="24"/>
          <w:szCs w:val="24"/>
          <w:shd w:val="clear" w:color="auto" w:fill="FFFFFF"/>
        </w:rPr>
        <w:t xml:space="preserve">murder-suicide </w:t>
      </w:r>
      <w:r w:rsidR="00D768F3">
        <w:rPr>
          <w:rFonts w:cstheme="minorHAnsi"/>
          <w:color w:val="333333"/>
          <w:sz w:val="24"/>
          <w:szCs w:val="24"/>
          <w:shd w:val="clear" w:color="auto" w:fill="FFFFFF"/>
        </w:rPr>
        <w:t>was</w:t>
      </w:r>
      <w:r>
        <w:rPr>
          <w:rFonts w:cstheme="minorHAnsi"/>
          <w:color w:val="333333"/>
          <w:sz w:val="24"/>
          <w:szCs w:val="24"/>
          <w:shd w:val="clear" w:color="auto" w:fill="FFFFFF"/>
        </w:rPr>
        <w:t xml:space="preserve"> his intention</w:t>
      </w:r>
      <w:r w:rsidRPr="00EA203A">
        <w:rPr>
          <w:rFonts w:cstheme="minorHAnsi"/>
          <w:color w:val="333333"/>
          <w:sz w:val="24"/>
          <w:szCs w:val="24"/>
          <w:shd w:val="clear" w:color="auto" w:fill="FFFFFF"/>
        </w:rPr>
        <w:t xml:space="preserve">. </w:t>
      </w:r>
      <w:r>
        <w:rPr>
          <w:rFonts w:cstheme="minorHAnsi"/>
          <w:color w:val="333333"/>
          <w:sz w:val="24"/>
          <w:szCs w:val="24"/>
          <w:shd w:val="clear" w:color="auto" w:fill="FFFFFF"/>
        </w:rPr>
        <w:t xml:space="preserve"> </w:t>
      </w:r>
      <w:r w:rsidRPr="00EA203A">
        <w:rPr>
          <w:rFonts w:cstheme="minorHAnsi"/>
          <w:color w:val="333333"/>
          <w:sz w:val="24"/>
          <w:szCs w:val="24"/>
          <w:shd w:val="clear" w:color="auto" w:fill="FFFFFF"/>
        </w:rPr>
        <w:t xml:space="preserve"> </w:t>
      </w:r>
    </w:p>
    <w:p w14:paraId="37937ECA" w14:textId="2C095369" w:rsidR="009347C3" w:rsidRDefault="009347C3" w:rsidP="002926D5">
      <w:pPr>
        <w:spacing w:line="360" w:lineRule="auto"/>
        <w:ind w:firstLine="720"/>
        <w:jc w:val="both"/>
        <w:rPr>
          <w:rFonts w:cstheme="minorHAnsi"/>
          <w:color w:val="333333"/>
          <w:sz w:val="24"/>
          <w:szCs w:val="24"/>
          <w:shd w:val="clear" w:color="auto" w:fill="FFFFFF"/>
        </w:rPr>
      </w:pPr>
      <w:r>
        <w:rPr>
          <w:rFonts w:cstheme="minorHAnsi"/>
          <w:color w:val="333333"/>
          <w:sz w:val="24"/>
          <w:szCs w:val="24"/>
          <w:shd w:val="clear" w:color="auto" w:fill="FFFFFF"/>
        </w:rPr>
        <w:t xml:space="preserve">In considering the facts of the </w:t>
      </w:r>
      <w:proofErr w:type="spellStart"/>
      <w:r w:rsidRPr="0043219F">
        <w:rPr>
          <w:rFonts w:cstheme="minorHAnsi"/>
          <w:i/>
          <w:iCs/>
          <w:color w:val="333333"/>
          <w:sz w:val="24"/>
          <w:szCs w:val="24"/>
          <w:shd w:val="clear" w:color="auto" w:fill="FFFFFF"/>
        </w:rPr>
        <w:t>Woolmington</w:t>
      </w:r>
      <w:proofErr w:type="spellEnd"/>
      <w:r>
        <w:rPr>
          <w:rFonts w:cstheme="minorHAnsi"/>
          <w:color w:val="333333"/>
          <w:sz w:val="24"/>
          <w:szCs w:val="24"/>
          <w:shd w:val="clear" w:color="auto" w:fill="FFFFFF"/>
        </w:rPr>
        <w:t xml:space="preserve"> case, there are a</w:t>
      </w:r>
      <w:r w:rsidRPr="00EA203A">
        <w:rPr>
          <w:rFonts w:cstheme="minorHAnsi"/>
          <w:color w:val="333333"/>
          <w:sz w:val="24"/>
          <w:szCs w:val="24"/>
          <w:shd w:val="clear" w:color="auto" w:fill="FFFFFF"/>
        </w:rPr>
        <w:t xml:space="preserve"> number of ‘red flags’ </w:t>
      </w:r>
      <w:r>
        <w:rPr>
          <w:rFonts w:cstheme="minorHAnsi"/>
          <w:color w:val="333333"/>
          <w:sz w:val="24"/>
          <w:szCs w:val="24"/>
          <w:shd w:val="clear" w:color="auto" w:fill="FFFFFF"/>
        </w:rPr>
        <w:t>according to the DARA questionnaire</w:t>
      </w:r>
      <w:r w:rsidR="00437CA5">
        <w:rPr>
          <w:rFonts w:cstheme="minorHAnsi"/>
          <w:color w:val="333333"/>
          <w:sz w:val="24"/>
          <w:szCs w:val="24"/>
          <w:shd w:val="clear" w:color="auto" w:fill="FFFFFF"/>
        </w:rPr>
        <w:t xml:space="preserve">. </w:t>
      </w:r>
      <w:r w:rsidRPr="00EA203A">
        <w:rPr>
          <w:rFonts w:cstheme="minorHAnsi"/>
          <w:color w:val="333333"/>
          <w:sz w:val="24"/>
          <w:szCs w:val="24"/>
          <w:shd w:val="clear" w:color="auto" w:fill="FFFFFF"/>
        </w:rPr>
        <w:t xml:space="preserve">Firstly, the physical disparity between husband and wife, although not specifically cause for alarm in itself, gave </w:t>
      </w:r>
      <w:proofErr w:type="spellStart"/>
      <w:r w:rsidRPr="00EA203A">
        <w:rPr>
          <w:rFonts w:cstheme="minorHAnsi"/>
          <w:color w:val="333333"/>
          <w:sz w:val="24"/>
          <w:szCs w:val="24"/>
          <w:shd w:val="clear" w:color="auto" w:fill="FFFFFF"/>
        </w:rPr>
        <w:t>Woolmington</w:t>
      </w:r>
      <w:proofErr w:type="spellEnd"/>
      <w:r w:rsidRPr="00EA203A">
        <w:rPr>
          <w:rFonts w:cstheme="minorHAnsi"/>
          <w:color w:val="333333"/>
          <w:sz w:val="24"/>
          <w:szCs w:val="24"/>
          <w:shd w:val="clear" w:color="auto" w:fill="FFFFFF"/>
        </w:rPr>
        <w:t xml:space="preserve"> an advantage over his wife, if the arguments became physical, </w:t>
      </w:r>
      <w:r>
        <w:rPr>
          <w:rFonts w:cstheme="minorHAnsi"/>
          <w:color w:val="333333"/>
          <w:sz w:val="24"/>
          <w:szCs w:val="24"/>
          <w:shd w:val="clear" w:color="auto" w:fill="FFFFFF"/>
        </w:rPr>
        <w:t>which they allegedly did</w:t>
      </w:r>
      <w:r w:rsidRPr="00EA203A">
        <w:rPr>
          <w:rFonts w:cstheme="minorHAnsi"/>
          <w:color w:val="333333"/>
          <w:sz w:val="24"/>
          <w:szCs w:val="24"/>
          <w:shd w:val="clear" w:color="auto" w:fill="FFFFFF"/>
        </w:rPr>
        <w:t>.</w:t>
      </w:r>
      <w:r w:rsidR="00F72B4E">
        <w:rPr>
          <w:rFonts w:cstheme="minorHAnsi"/>
          <w:color w:val="333333"/>
          <w:sz w:val="24"/>
          <w:szCs w:val="24"/>
          <w:shd w:val="clear" w:color="auto" w:fill="FFFFFF"/>
        </w:rPr>
        <w:t xml:space="preserve"> </w:t>
      </w:r>
      <w:r w:rsidRPr="00EA203A">
        <w:rPr>
          <w:rFonts w:cstheme="minorHAnsi"/>
          <w:color w:val="333333"/>
          <w:sz w:val="24"/>
          <w:szCs w:val="24"/>
          <w:shd w:val="clear" w:color="auto" w:fill="FFFFFF"/>
        </w:rPr>
        <w:t>More tha</w:t>
      </w:r>
      <w:r>
        <w:rPr>
          <w:rFonts w:cstheme="minorHAnsi"/>
          <w:color w:val="333333"/>
          <w:sz w:val="24"/>
          <w:szCs w:val="24"/>
          <w:shd w:val="clear" w:color="auto" w:fill="FFFFFF"/>
        </w:rPr>
        <w:t>n</w:t>
      </w:r>
      <w:r w:rsidRPr="00EA203A">
        <w:rPr>
          <w:rFonts w:cstheme="minorHAnsi"/>
          <w:color w:val="333333"/>
          <w:sz w:val="24"/>
          <w:szCs w:val="24"/>
          <w:shd w:val="clear" w:color="auto" w:fill="FFFFFF"/>
        </w:rPr>
        <w:t xml:space="preserve"> striking his wife across her face, he allegedly </w:t>
      </w:r>
      <w:r w:rsidR="00FA0E06">
        <w:rPr>
          <w:rFonts w:cstheme="minorHAnsi"/>
          <w:color w:val="333333"/>
          <w:sz w:val="24"/>
          <w:szCs w:val="24"/>
          <w:shd w:val="clear" w:color="auto" w:fill="FFFFFF"/>
        </w:rPr>
        <w:t xml:space="preserve">also </w:t>
      </w:r>
      <w:r w:rsidRPr="00EA203A">
        <w:rPr>
          <w:rFonts w:cstheme="minorHAnsi"/>
          <w:color w:val="333333"/>
          <w:sz w:val="24"/>
          <w:szCs w:val="24"/>
          <w:shd w:val="clear" w:color="auto" w:fill="FFFFFF"/>
        </w:rPr>
        <w:t>attempted to strangle her.</w:t>
      </w:r>
      <w:r>
        <w:rPr>
          <w:rFonts w:cstheme="minorHAnsi"/>
          <w:color w:val="333333"/>
          <w:sz w:val="24"/>
          <w:szCs w:val="24"/>
          <w:shd w:val="clear" w:color="auto" w:fill="FFFFFF"/>
        </w:rPr>
        <w:t xml:space="preserve"> This history of violence was downplayed by Viscount Sankey</w:t>
      </w:r>
      <w:r w:rsidR="00FA0E06">
        <w:rPr>
          <w:rFonts w:cstheme="minorHAnsi"/>
          <w:color w:val="333333"/>
          <w:sz w:val="24"/>
          <w:szCs w:val="24"/>
          <w:shd w:val="clear" w:color="auto" w:fill="FFFFFF"/>
        </w:rPr>
        <w:t>. I</w:t>
      </w:r>
      <w:r>
        <w:rPr>
          <w:rFonts w:cstheme="minorHAnsi"/>
          <w:color w:val="333333"/>
          <w:sz w:val="24"/>
          <w:szCs w:val="24"/>
          <w:shd w:val="clear" w:color="auto" w:fill="FFFFFF"/>
        </w:rPr>
        <w:t xml:space="preserve">n his judgment he refers </w:t>
      </w:r>
      <w:r w:rsidR="00FA0E06">
        <w:rPr>
          <w:rFonts w:cstheme="minorHAnsi"/>
          <w:color w:val="333333"/>
          <w:sz w:val="24"/>
          <w:szCs w:val="24"/>
          <w:shd w:val="clear" w:color="auto" w:fill="FFFFFF"/>
        </w:rPr>
        <w:t xml:space="preserve">to </w:t>
      </w:r>
      <w:r>
        <w:rPr>
          <w:rFonts w:cstheme="minorHAnsi"/>
          <w:color w:val="333333"/>
          <w:sz w:val="24"/>
          <w:szCs w:val="24"/>
          <w:shd w:val="clear" w:color="auto" w:fill="FFFFFF"/>
        </w:rPr>
        <w:t>‘some quarrelling between them</w:t>
      </w:r>
      <w:r w:rsidR="002926D5">
        <w:rPr>
          <w:rFonts w:cstheme="minorHAnsi"/>
          <w:color w:val="333333"/>
          <w:sz w:val="24"/>
          <w:szCs w:val="24"/>
          <w:shd w:val="clear" w:color="auto" w:fill="FFFFFF"/>
        </w:rPr>
        <w:t>’</w:t>
      </w:r>
      <w:r>
        <w:rPr>
          <w:rFonts w:cstheme="minorHAnsi"/>
          <w:color w:val="333333"/>
          <w:sz w:val="24"/>
          <w:szCs w:val="24"/>
          <w:shd w:val="clear" w:color="auto" w:fill="FFFFFF"/>
        </w:rPr>
        <w:t>,</w:t>
      </w:r>
      <w:r>
        <w:rPr>
          <w:rStyle w:val="FootnoteReference"/>
          <w:rFonts w:cstheme="minorHAnsi"/>
          <w:color w:val="333333"/>
          <w:sz w:val="24"/>
          <w:szCs w:val="24"/>
          <w:shd w:val="clear" w:color="auto" w:fill="FFFFFF"/>
        </w:rPr>
        <w:footnoteReference w:id="40"/>
      </w:r>
      <w:r>
        <w:rPr>
          <w:rFonts w:cstheme="minorHAnsi"/>
          <w:color w:val="333333"/>
          <w:sz w:val="24"/>
          <w:szCs w:val="24"/>
          <w:shd w:val="clear" w:color="auto" w:fill="FFFFFF"/>
        </w:rPr>
        <w:t xml:space="preserve">  and in doing so, he minimised very serious assaults.  </w:t>
      </w:r>
    </w:p>
    <w:p w14:paraId="4DE88425" w14:textId="72DDC261" w:rsidR="00CF3337" w:rsidRDefault="009347C3" w:rsidP="002926D5">
      <w:pPr>
        <w:spacing w:line="360" w:lineRule="auto"/>
        <w:ind w:firstLine="720"/>
        <w:jc w:val="both"/>
        <w:rPr>
          <w:rFonts w:cstheme="minorHAnsi"/>
          <w:color w:val="333333"/>
          <w:sz w:val="24"/>
          <w:szCs w:val="24"/>
        </w:rPr>
      </w:pPr>
      <w:r w:rsidRPr="00EA203A">
        <w:rPr>
          <w:rFonts w:cstheme="minorHAnsi"/>
          <w:color w:val="333333"/>
          <w:sz w:val="24"/>
          <w:szCs w:val="24"/>
          <w:shd w:val="clear" w:color="auto" w:fill="FFFFFF"/>
        </w:rPr>
        <w:lastRenderedPageBreak/>
        <w:t xml:space="preserve">Further, </w:t>
      </w:r>
      <w:r>
        <w:rPr>
          <w:rFonts w:cstheme="minorHAnsi"/>
          <w:color w:val="333333"/>
          <w:sz w:val="24"/>
          <w:szCs w:val="24"/>
          <w:shd w:val="clear" w:color="auto" w:fill="FFFFFF"/>
        </w:rPr>
        <w:t xml:space="preserve">whilst Violet was living at the </w:t>
      </w:r>
      <w:proofErr w:type="spellStart"/>
      <w:r>
        <w:rPr>
          <w:rFonts w:cstheme="minorHAnsi"/>
          <w:color w:val="333333"/>
          <w:sz w:val="24"/>
          <w:szCs w:val="24"/>
          <w:shd w:val="clear" w:color="auto" w:fill="FFFFFF"/>
        </w:rPr>
        <w:t>Woolmington</w:t>
      </w:r>
      <w:proofErr w:type="spellEnd"/>
      <w:r>
        <w:rPr>
          <w:rFonts w:cstheme="minorHAnsi"/>
          <w:color w:val="333333"/>
          <w:sz w:val="24"/>
          <w:szCs w:val="24"/>
          <w:shd w:val="clear" w:color="auto" w:fill="FFFFFF"/>
        </w:rPr>
        <w:t xml:space="preserve"> family home,</w:t>
      </w:r>
      <w:r w:rsidRPr="00EA203A">
        <w:rPr>
          <w:rFonts w:cstheme="minorHAnsi"/>
          <w:color w:val="333333"/>
          <w:sz w:val="24"/>
          <w:szCs w:val="24"/>
          <w:shd w:val="clear" w:color="auto" w:fill="FFFFFF"/>
        </w:rPr>
        <w:t xml:space="preserve"> </w:t>
      </w:r>
      <w:proofErr w:type="spellStart"/>
      <w:r w:rsidRPr="00EA203A">
        <w:rPr>
          <w:rFonts w:cstheme="minorHAnsi"/>
          <w:color w:val="333333"/>
          <w:sz w:val="24"/>
          <w:szCs w:val="24"/>
          <w:shd w:val="clear" w:color="auto" w:fill="FFFFFF"/>
        </w:rPr>
        <w:t>Woolmington</w:t>
      </w:r>
      <w:proofErr w:type="spellEnd"/>
      <w:r w:rsidRPr="00EA203A">
        <w:rPr>
          <w:rFonts w:cstheme="minorHAnsi"/>
          <w:color w:val="333333"/>
          <w:sz w:val="24"/>
          <w:szCs w:val="24"/>
          <w:shd w:val="clear" w:color="auto" w:fill="FFFFFF"/>
        </w:rPr>
        <w:t xml:space="preserve"> committed false imprisonment </w:t>
      </w:r>
      <w:r>
        <w:rPr>
          <w:rFonts w:cstheme="minorHAnsi"/>
          <w:color w:val="333333"/>
          <w:sz w:val="24"/>
          <w:szCs w:val="24"/>
          <w:shd w:val="clear" w:color="auto" w:fill="FFFFFF"/>
        </w:rPr>
        <w:t xml:space="preserve">by </w:t>
      </w:r>
      <w:r w:rsidRPr="00EA203A">
        <w:rPr>
          <w:rFonts w:cstheme="minorHAnsi"/>
          <w:color w:val="333333"/>
          <w:sz w:val="24"/>
          <w:szCs w:val="24"/>
          <w:shd w:val="clear" w:color="auto" w:fill="FFFFFF"/>
        </w:rPr>
        <w:t>lock</w:t>
      </w:r>
      <w:r>
        <w:rPr>
          <w:rFonts w:cstheme="minorHAnsi"/>
          <w:color w:val="333333"/>
          <w:sz w:val="24"/>
          <w:szCs w:val="24"/>
          <w:shd w:val="clear" w:color="auto" w:fill="FFFFFF"/>
        </w:rPr>
        <w:t>ing</w:t>
      </w:r>
      <w:r w:rsidRPr="00EA203A">
        <w:rPr>
          <w:rFonts w:cstheme="minorHAnsi"/>
          <w:color w:val="333333"/>
          <w:sz w:val="24"/>
          <w:szCs w:val="24"/>
          <w:shd w:val="clear" w:color="auto" w:fill="FFFFFF"/>
        </w:rPr>
        <w:t xml:space="preserve"> his wife in their room so that she could not even go for a walk with their baby</w:t>
      </w:r>
      <w:r w:rsidR="00036A49">
        <w:rPr>
          <w:rFonts w:cstheme="minorHAnsi"/>
          <w:color w:val="333333"/>
          <w:sz w:val="24"/>
          <w:szCs w:val="24"/>
          <w:shd w:val="clear" w:color="auto" w:fill="FFFFFF"/>
        </w:rPr>
        <w:t>, nor see her mother</w:t>
      </w:r>
      <w:r w:rsidRPr="00EA203A">
        <w:rPr>
          <w:rFonts w:cstheme="minorHAnsi"/>
          <w:color w:val="333333"/>
          <w:sz w:val="24"/>
          <w:szCs w:val="24"/>
          <w:shd w:val="clear" w:color="auto" w:fill="FFFFFF"/>
        </w:rPr>
        <w:t xml:space="preserve">. This </w:t>
      </w:r>
      <w:r w:rsidR="002E0A15">
        <w:rPr>
          <w:rFonts w:cstheme="minorHAnsi"/>
          <w:color w:val="333333"/>
          <w:sz w:val="24"/>
          <w:szCs w:val="24"/>
          <w:shd w:val="clear" w:color="auto" w:fill="FFFFFF"/>
        </w:rPr>
        <w:t xml:space="preserve">is </w:t>
      </w:r>
      <w:r>
        <w:rPr>
          <w:rFonts w:cstheme="minorHAnsi"/>
          <w:color w:val="333333"/>
          <w:sz w:val="24"/>
          <w:szCs w:val="24"/>
          <w:shd w:val="clear" w:color="auto" w:fill="FFFFFF"/>
        </w:rPr>
        <w:t>coercive</w:t>
      </w:r>
      <w:r w:rsidRPr="00EA203A">
        <w:rPr>
          <w:rFonts w:cstheme="minorHAnsi"/>
          <w:color w:val="333333"/>
          <w:sz w:val="24"/>
          <w:szCs w:val="24"/>
          <w:shd w:val="clear" w:color="auto" w:fill="FFFFFF"/>
        </w:rPr>
        <w:t xml:space="preserve"> control</w:t>
      </w:r>
      <w:r w:rsidR="002E0A15">
        <w:rPr>
          <w:rFonts w:cstheme="minorHAnsi"/>
          <w:color w:val="333333"/>
          <w:sz w:val="24"/>
          <w:szCs w:val="24"/>
          <w:shd w:val="clear" w:color="auto" w:fill="FFFFFF"/>
        </w:rPr>
        <w:t>.</w:t>
      </w:r>
      <w:r w:rsidR="00CA6D6F">
        <w:rPr>
          <w:rFonts w:cstheme="minorHAnsi"/>
          <w:color w:val="333333"/>
          <w:sz w:val="24"/>
          <w:szCs w:val="24"/>
          <w:shd w:val="clear" w:color="auto" w:fill="FFFFFF"/>
        </w:rPr>
        <w:t xml:space="preserve"> </w:t>
      </w:r>
      <w:r>
        <w:rPr>
          <w:rFonts w:cstheme="minorHAnsi"/>
          <w:color w:val="333333"/>
          <w:sz w:val="24"/>
          <w:szCs w:val="24"/>
          <w:shd w:val="clear" w:color="auto" w:fill="FFFFFF"/>
        </w:rPr>
        <w:t>Victims of domestic abuse continue to be</w:t>
      </w:r>
      <w:r w:rsidRPr="00EA203A">
        <w:rPr>
          <w:rFonts w:cstheme="minorHAnsi"/>
          <w:color w:val="333333"/>
          <w:sz w:val="24"/>
          <w:szCs w:val="24"/>
          <w:shd w:val="clear" w:color="auto" w:fill="FFFFFF"/>
        </w:rPr>
        <w:t xml:space="preserve"> incarcerated today, </w:t>
      </w:r>
      <w:r>
        <w:rPr>
          <w:rFonts w:cstheme="minorHAnsi"/>
          <w:color w:val="333333"/>
          <w:sz w:val="24"/>
          <w:szCs w:val="24"/>
          <w:shd w:val="clear" w:color="auto" w:fill="FFFFFF"/>
        </w:rPr>
        <w:t>be that financially</w:t>
      </w:r>
      <w:r w:rsidRPr="00EA203A">
        <w:rPr>
          <w:rFonts w:cstheme="minorHAnsi"/>
          <w:color w:val="333333"/>
          <w:sz w:val="24"/>
          <w:szCs w:val="24"/>
          <w:shd w:val="clear" w:color="auto" w:fill="FFFFFF"/>
        </w:rPr>
        <w:t xml:space="preserve"> or </w:t>
      </w:r>
      <w:r>
        <w:rPr>
          <w:rFonts w:cstheme="minorHAnsi"/>
          <w:color w:val="333333"/>
          <w:sz w:val="24"/>
          <w:szCs w:val="24"/>
          <w:shd w:val="clear" w:color="auto" w:fill="FFFFFF"/>
        </w:rPr>
        <w:t>socially.</w:t>
      </w:r>
      <w:r w:rsidRPr="00EA203A">
        <w:rPr>
          <w:rFonts w:cstheme="minorHAnsi"/>
          <w:color w:val="333333"/>
          <w:sz w:val="24"/>
          <w:szCs w:val="24"/>
          <w:shd w:val="clear" w:color="auto" w:fill="FFFFFF"/>
        </w:rPr>
        <w:t xml:space="preserve"> </w:t>
      </w:r>
      <w:r>
        <w:rPr>
          <w:rFonts w:cstheme="minorHAnsi"/>
          <w:color w:val="333333"/>
          <w:sz w:val="24"/>
          <w:szCs w:val="24"/>
          <w:shd w:val="clear" w:color="auto" w:fill="FFFFFF"/>
        </w:rPr>
        <w:t>Yet, perhaps most strikingly, it remains the case today that when</w:t>
      </w:r>
      <w:r w:rsidR="00CF3337">
        <w:rPr>
          <w:rFonts w:cstheme="minorHAnsi"/>
          <w:color w:val="333333"/>
          <w:sz w:val="24"/>
          <w:szCs w:val="24"/>
          <w:shd w:val="clear" w:color="auto" w:fill="FFFFFF"/>
        </w:rPr>
        <w:t xml:space="preserve"> women</w:t>
      </w:r>
      <w:r w:rsidR="00CA6D6F">
        <w:rPr>
          <w:rFonts w:cstheme="minorHAnsi"/>
          <w:color w:val="333333"/>
          <w:sz w:val="24"/>
          <w:szCs w:val="24"/>
          <w:shd w:val="clear" w:color="auto" w:fill="FFFFFF"/>
        </w:rPr>
        <w:t xml:space="preserve"> such as Voilet</w:t>
      </w:r>
      <w:r w:rsidR="00CF3337">
        <w:rPr>
          <w:rFonts w:cstheme="minorHAnsi"/>
          <w:color w:val="333333"/>
          <w:sz w:val="24"/>
          <w:szCs w:val="24"/>
          <w:shd w:val="clear" w:color="auto" w:fill="FFFFFF"/>
        </w:rPr>
        <w:t xml:space="preserve"> leave their abusive partner, it is then that they are at most risk </w:t>
      </w:r>
      <w:r w:rsidR="001B4765">
        <w:rPr>
          <w:rFonts w:cstheme="minorHAnsi"/>
          <w:color w:val="333333"/>
          <w:sz w:val="24"/>
          <w:szCs w:val="24"/>
          <w:shd w:val="clear" w:color="auto" w:fill="FFFFFF"/>
        </w:rPr>
        <w:t>of</w:t>
      </w:r>
      <w:r w:rsidR="00CF3337">
        <w:rPr>
          <w:rFonts w:cstheme="minorHAnsi"/>
          <w:color w:val="333333"/>
          <w:sz w:val="24"/>
          <w:szCs w:val="24"/>
          <w:shd w:val="clear" w:color="auto" w:fill="FFFFFF"/>
        </w:rPr>
        <w:t xml:space="preserve"> violence</w:t>
      </w:r>
      <w:r w:rsidR="00CA6D6F">
        <w:rPr>
          <w:rFonts w:cstheme="minorHAnsi"/>
          <w:color w:val="333333"/>
          <w:sz w:val="24"/>
          <w:szCs w:val="24"/>
          <w:shd w:val="clear" w:color="auto" w:fill="FFFFFF"/>
        </w:rPr>
        <w:t>.</w:t>
      </w:r>
      <w:r w:rsidR="00CA6D6F">
        <w:rPr>
          <w:rStyle w:val="FootnoteReference"/>
          <w:rFonts w:cstheme="minorHAnsi"/>
          <w:color w:val="333333"/>
          <w:sz w:val="24"/>
          <w:szCs w:val="24"/>
          <w:shd w:val="clear" w:color="auto" w:fill="FFFFFF"/>
        </w:rPr>
        <w:footnoteReference w:id="41"/>
      </w:r>
    </w:p>
    <w:p w14:paraId="4C9CE149" w14:textId="77777777" w:rsidR="00005A41" w:rsidRDefault="00005A41" w:rsidP="00CF3337">
      <w:pPr>
        <w:spacing w:line="360" w:lineRule="auto"/>
        <w:jc w:val="both"/>
        <w:rPr>
          <w:rFonts w:cstheme="minorHAnsi"/>
          <w:b/>
          <w:bCs/>
          <w:color w:val="333333"/>
          <w:sz w:val="24"/>
          <w:szCs w:val="24"/>
          <w:shd w:val="clear" w:color="auto" w:fill="FFFFFF"/>
        </w:rPr>
      </w:pPr>
    </w:p>
    <w:p w14:paraId="6C2254A2" w14:textId="17D11EF2" w:rsidR="00CF3337" w:rsidRPr="00B914A3" w:rsidRDefault="00CF3337" w:rsidP="003C79FE">
      <w:pPr>
        <w:pStyle w:val="Heading2"/>
        <w:rPr>
          <w:shd w:val="clear" w:color="auto" w:fill="FFFFFF"/>
        </w:rPr>
      </w:pPr>
      <w:proofErr w:type="spellStart"/>
      <w:r w:rsidRPr="00B914A3">
        <w:rPr>
          <w:shd w:val="clear" w:color="auto" w:fill="FFFFFF"/>
        </w:rPr>
        <w:t>Woolmington’s</w:t>
      </w:r>
      <w:proofErr w:type="spellEnd"/>
      <w:r w:rsidRPr="00B914A3">
        <w:rPr>
          <w:shd w:val="clear" w:color="auto" w:fill="FFFFFF"/>
        </w:rPr>
        <w:t xml:space="preserve"> Trials</w:t>
      </w:r>
    </w:p>
    <w:p w14:paraId="0B7E82E3" w14:textId="565315D1" w:rsidR="00630D08" w:rsidRDefault="00341973" w:rsidP="00630D08">
      <w:pPr>
        <w:spacing w:line="360" w:lineRule="auto"/>
        <w:jc w:val="both"/>
        <w:rPr>
          <w:rFonts w:cstheme="minorHAnsi"/>
          <w:color w:val="333333"/>
          <w:sz w:val="24"/>
          <w:szCs w:val="24"/>
          <w:shd w:val="clear" w:color="auto" w:fill="FFFFFF"/>
        </w:rPr>
      </w:pPr>
      <w:r>
        <w:rPr>
          <w:rFonts w:cstheme="minorHAnsi"/>
          <w:color w:val="333333"/>
          <w:sz w:val="24"/>
          <w:szCs w:val="24"/>
          <w:shd w:val="clear" w:color="auto" w:fill="FFFFFF"/>
        </w:rPr>
        <w:t>The p</w:t>
      </w:r>
      <w:r w:rsidR="00630D08">
        <w:rPr>
          <w:rFonts w:cstheme="minorHAnsi"/>
          <w:color w:val="333333"/>
          <w:sz w:val="24"/>
          <w:szCs w:val="24"/>
          <w:shd w:val="clear" w:color="auto" w:fill="FFFFFF"/>
        </w:rPr>
        <w:t xml:space="preserve">urpose </w:t>
      </w:r>
      <w:r>
        <w:rPr>
          <w:rFonts w:cstheme="minorHAnsi"/>
          <w:color w:val="333333"/>
          <w:sz w:val="24"/>
          <w:szCs w:val="24"/>
          <w:shd w:val="clear" w:color="auto" w:fill="FFFFFF"/>
        </w:rPr>
        <w:t xml:space="preserve">of this commentary was to investigate </w:t>
      </w:r>
      <w:r w:rsidR="00630D08">
        <w:rPr>
          <w:rFonts w:cstheme="minorHAnsi"/>
          <w:color w:val="333333"/>
          <w:sz w:val="24"/>
          <w:szCs w:val="24"/>
          <w:shd w:val="clear" w:color="auto" w:fill="FFFFFF"/>
        </w:rPr>
        <w:t xml:space="preserve">and highlight </w:t>
      </w:r>
      <w:r>
        <w:rPr>
          <w:rFonts w:cstheme="minorHAnsi"/>
          <w:color w:val="333333"/>
          <w:sz w:val="24"/>
          <w:szCs w:val="24"/>
          <w:shd w:val="clear" w:color="auto" w:fill="FFFFFF"/>
        </w:rPr>
        <w:t xml:space="preserve">the domestic abuse </w:t>
      </w:r>
      <w:r w:rsidR="001B6A00">
        <w:rPr>
          <w:rFonts w:cstheme="minorHAnsi"/>
          <w:color w:val="333333"/>
          <w:sz w:val="24"/>
          <w:szCs w:val="24"/>
          <w:shd w:val="clear" w:color="auto" w:fill="FFFFFF"/>
        </w:rPr>
        <w:t>to which</w:t>
      </w:r>
      <w:r>
        <w:rPr>
          <w:rFonts w:cstheme="minorHAnsi"/>
          <w:color w:val="333333"/>
          <w:sz w:val="24"/>
          <w:szCs w:val="24"/>
          <w:shd w:val="clear" w:color="auto" w:fill="FFFFFF"/>
        </w:rPr>
        <w:t xml:space="preserve"> </w:t>
      </w:r>
      <w:r w:rsidR="005274B8">
        <w:rPr>
          <w:rFonts w:cstheme="minorHAnsi"/>
          <w:color w:val="333333"/>
          <w:sz w:val="24"/>
          <w:szCs w:val="24"/>
          <w:shd w:val="clear" w:color="auto" w:fill="FFFFFF"/>
        </w:rPr>
        <w:t>Reginald</w:t>
      </w:r>
      <w:r>
        <w:rPr>
          <w:rFonts w:cstheme="minorHAnsi"/>
          <w:color w:val="333333"/>
          <w:sz w:val="24"/>
          <w:szCs w:val="24"/>
          <w:shd w:val="clear" w:color="auto" w:fill="FFFFFF"/>
        </w:rPr>
        <w:t xml:space="preserve"> </w:t>
      </w:r>
      <w:proofErr w:type="spellStart"/>
      <w:r>
        <w:rPr>
          <w:rFonts w:cstheme="minorHAnsi"/>
          <w:color w:val="333333"/>
          <w:sz w:val="24"/>
          <w:szCs w:val="24"/>
          <w:shd w:val="clear" w:color="auto" w:fill="FFFFFF"/>
        </w:rPr>
        <w:t>Woolmington</w:t>
      </w:r>
      <w:proofErr w:type="spellEnd"/>
      <w:r>
        <w:rPr>
          <w:rFonts w:cstheme="minorHAnsi"/>
          <w:color w:val="333333"/>
          <w:sz w:val="24"/>
          <w:szCs w:val="24"/>
          <w:shd w:val="clear" w:color="auto" w:fill="FFFFFF"/>
        </w:rPr>
        <w:t xml:space="preserve"> </w:t>
      </w:r>
      <w:r w:rsidR="001B6A00">
        <w:rPr>
          <w:rFonts w:cstheme="minorHAnsi"/>
          <w:color w:val="333333"/>
          <w:sz w:val="24"/>
          <w:szCs w:val="24"/>
          <w:shd w:val="clear" w:color="auto" w:fill="FFFFFF"/>
        </w:rPr>
        <w:t xml:space="preserve">subjected Violet, </w:t>
      </w:r>
      <w:r>
        <w:rPr>
          <w:rFonts w:cstheme="minorHAnsi"/>
          <w:color w:val="333333"/>
          <w:sz w:val="24"/>
          <w:szCs w:val="24"/>
          <w:shd w:val="clear" w:color="auto" w:fill="FFFFFF"/>
        </w:rPr>
        <w:t xml:space="preserve">and to illustrate how </w:t>
      </w:r>
      <w:r w:rsidR="001B6A00">
        <w:rPr>
          <w:rFonts w:cstheme="minorHAnsi"/>
          <w:color w:val="333333"/>
          <w:sz w:val="24"/>
          <w:szCs w:val="24"/>
          <w:shd w:val="clear" w:color="auto" w:fill="FFFFFF"/>
        </w:rPr>
        <w:t>her</w:t>
      </w:r>
      <w:r>
        <w:rPr>
          <w:rFonts w:cstheme="minorHAnsi"/>
          <w:color w:val="333333"/>
          <w:sz w:val="24"/>
          <w:szCs w:val="24"/>
          <w:shd w:val="clear" w:color="auto" w:fill="FFFFFF"/>
        </w:rPr>
        <w:t xml:space="preserve"> death might have been</w:t>
      </w:r>
      <w:r w:rsidR="00630D08">
        <w:rPr>
          <w:rFonts w:cstheme="minorHAnsi"/>
          <w:color w:val="333333"/>
          <w:sz w:val="24"/>
          <w:szCs w:val="24"/>
          <w:shd w:val="clear" w:color="auto" w:fill="FFFFFF"/>
        </w:rPr>
        <w:t xml:space="preserve"> prevented </w:t>
      </w:r>
      <w:r>
        <w:rPr>
          <w:rFonts w:cstheme="minorHAnsi"/>
          <w:color w:val="333333"/>
          <w:sz w:val="24"/>
          <w:szCs w:val="24"/>
          <w:shd w:val="clear" w:color="auto" w:fill="FFFFFF"/>
        </w:rPr>
        <w:t xml:space="preserve">had a risk assessment been undertaken and </w:t>
      </w:r>
      <w:r w:rsidR="00630D08">
        <w:rPr>
          <w:rFonts w:cstheme="minorHAnsi"/>
          <w:color w:val="333333"/>
          <w:sz w:val="24"/>
          <w:szCs w:val="24"/>
          <w:shd w:val="clear" w:color="auto" w:fill="FFFFFF"/>
        </w:rPr>
        <w:t>support</w:t>
      </w:r>
      <w:r w:rsidR="001B3957">
        <w:rPr>
          <w:rFonts w:cstheme="minorHAnsi"/>
          <w:color w:val="333333"/>
          <w:sz w:val="24"/>
          <w:szCs w:val="24"/>
          <w:shd w:val="clear" w:color="auto" w:fill="FFFFFF"/>
        </w:rPr>
        <w:t xml:space="preserve"> measures put in place. </w:t>
      </w:r>
      <w:r>
        <w:rPr>
          <w:rFonts w:cstheme="minorHAnsi"/>
          <w:color w:val="333333"/>
          <w:sz w:val="24"/>
          <w:szCs w:val="24"/>
          <w:shd w:val="clear" w:color="auto" w:fill="FFFFFF"/>
        </w:rPr>
        <w:t xml:space="preserve">  </w:t>
      </w:r>
      <w:r w:rsidR="00630D08">
        <w:rPr>
          <w:rFonts w:cstheme="minorHAnsi"/>
          <w:color w:val="333333"/>
          <w:sz w:val="24"/>
          <w:szCs w:val="24"/>
          <w:shd w:val="clear" w:color="auto" w:fill="FFFFFF"/>
        </w:rPr>
        <w:t>H</w:t>
      </w:r>
      <w:r w:rsidR="00CF3337" w:rsidRPr="00EA203A">
        <w:rPr>
          <w:rFonts w:cstheme="minorHAnsi"/>
          <w:color w:val="333333"/>
          <w:sz w:val="24"/>
          <w:szCs w:val="24"/>
          <w:shd w:val="clear" w:color="auto" w:fill="FFFFFF"/>
        </w:rPr>
        <w:t>owever</w:t>
      </w:r>
      <w:r w:rsidR="00090F2F">
        <w:rPr>
          <w:rFonts w:cstheme="minorHAnsi"/>
          <w:color w:val="333333"/>
          <w:sz w:val="24"/>
          <w:szCs w:val="24"/>
          <w:shd w:val="clear" w:color="auto" w:fill="FFFFFF"/>
        </w:rPr>
        <w:t>,</w:t>
      </w:r>
      <w:r w:rsidR="00CF3337" w:rsidRPr="00EA203A">
        <w:rPr>
          <w:rFonts w:cstheme="minorHAnsi"/>
          <w:color w:val="333333"/>
          <w:sz w:val="24"/>
          <w:szCs w:val="24"/>
          <w:shd w:val="clear" w:color="auto" w:fill="FFFFFF"/>
        </w:rPr>
        <w:t xml:space="preserve"> for the sake of completeness a short summary of </w:t>
      </w:r>
      <w:proofErr w:type="spellStart"/>
      <w:r w:rsidR="00630D08">
        <w:rPr>
          <w:rFonts w:cstheme="minorHAnsi"/>
          <w:color w:val="333333"/>
          <w:sz w:val="24"/>
          <w:szCs w:val="24"/>
          <w:shd w:val="clear" w:color="auto" w:fill="FFFFFF"/>
        </w:rPr>
        <w:t>Woolmington’s</w:t>
      </w:r>
      <w:proofErr w:type="spellEnd"/>
      <w:r w:rsidR="00630D08">
        <w:rPr>
          <w:rFonts w:cstheme="minorHAnsi"/>
          <w:color w:val="333333"/>
          <w:sz w:val="24"/>
          <w:szCs w:val="24"/>
          <w:shd w:val="clear" w:color="auto" w:fill="FFFFFF"/>
        </w:rPr>
        <w:t xml:space="preserve"> </w:t>
      </w:r>
      <w:r w:rsidR="001B6A00">
        <w:rPr>
          <w:rFonts w:cstheme="minorHAnsi"/>
          <w:color w:val="333333"/>
          <w:sz w:val="24"/>
          <w:szCs w:val="24"/>
          <w:shd w:val="clear" w:color="auto" w:fill="FFFFFF"/>
        </w:rPr>
        <w:t>c</w:t>
      </w:r>
      <w:r w:rsidR="0012085E">
        <w:rPr>
          <w:rFonts w:cstheme="minorHAnsi"/>
          <w:color w:val="333333"/>
          <w:sz w:val="24"/>
          <w:szCs w:val="24"/>
          <w:shd w:val="clear" w:color="auto" w:fill="FFFFFF"/>
        </w:rPr>
        <w:t>ourt appearances</w:t>
      </w:r>
      <w:r w:rsidR="00630D08">
        <w:rPr>
          <w:rFonts w:cstheme="minorHAnsi"/>
          <w:color w:val="333333"/>
          <w:sz w:val="24"/>
          <w:szCs w:val="24"/>
          <w:shd w:val="clear" w:color="auto" w:fill="FFFFFF"/>
        </w:rPr>
        <w:t xml:space="preserve"> </w:t>
      </w:r>
      <w:r w:rsidR="00CF3337" w:rsidRPr="00EA203A">
        <w:rPr>
          <w:rFonts w:cstheme="minorHAnsi"/>
          <w:color w:val="333333"/>
          <w:sz w:val="24"/>
          <w:szCs w:val="24"/>
          <w:shd w:val="clear" w:color="auto" w:fill="FFFFFF"/>
        </w:rPr>
        <w:t xml:space="preserve">will be provided. </w:t>
      </w:r>
      <w:r w:rsidR="00CF3337">
        <w:rPr>
          <w:rFonts w:cstheme="minorHAnsi"/>
          <w:color w:val="333333"/>
          <w:sz w:val="24"/>
          <w:szCs w:val="24"/>
          <w:shd w:val="clear" w:color="auto" w:fill="FFFFFF"/>
        </w:rPr>
        <w:t xml:space="preserve"> </w:t>
      </w:r>
    </w:p>
    <w:p w14:paraId="7C15B8D8" w14:textId="3CC7937F" w:rsidR="00CF3337" w:rsidRPr="00EA203A" w:rsidRDefault="00CF3337" w:rsidP="001B6A00">
      <w:pPr>
        <w:spacing w:line="360" w:lineRule="auto"/>
        <w:ind w:firstLine="720"/>
        <w:jc w:val="both"/>
        <w:rPr>
          <w:rFonts w:cstheme="minorHAnsi"/>
          <w:color w:val="333333"/>
          <w:sz w:val="24"/>
          <w:szCs w:val="24"/>
          <w:shd w:val="clear" w:color="auto" w:fill="FFFFFF"/>
        </w:rPr>
      </w:pPr>
      <w:proofErr w:type="spellStart"/>
      <w:r w:rsidRPr="00C71D89">
        <w:rPr>
          <w:rFonts w:cstheme="minorHAnsi"/>
          <w:color w:val="333333"/>
          <w:sz w:val="24"/>
          <w:szCs w:val="24"/>
          <w:shd w:val="clear" w:color="auto" w:fill="FFFFFF"/>
        </w:rPr>
        <w:t>Woolmington’s</w:t>
      </w:r>
      <w:proofErr w:type="spellEnd"/>
      <w:r w:rsidRPr="00C71D89">
        <w:rPr>
          <w:rFonts w:cstheme="minorHAnsi"/>
          <w:color w:val="333333"/>
          <w:sz w:val="24"/>
          <w:szCs w:val="24"/>
          <w:shd w:val="clear" w:color="auto" w:fill="FFFFFF"/>
        </w:rPr>
        <w:t xml:space="preserve"> first trial took place at the Somerset Assi</w:t>
      </w:r>
      <w:r w:rsidR="001B6101">
        <w:rPr>
          <w:rFonts w:cstheme="minorHAnsi"/>
          <w:color w:val="333333"/>
          <w:sz w:val="24"/>
          <w:szCs w:val="24"/>
          <w:shd w:val="clear" w:color="auto" w:fill="FFFFFF"/>
        </w:rPr>
        <w:t>z</w:t>
      </w:r>
      <w:r w:rsidRPr="00C71D89">
        <w:rPr>
          <w:rFonts w:cstheme="minorHAnsi"/>
          <w:color w:val="333333"/>
          <w:sz w:val="24"/>
          <w:szCs w:val="24"/>
          <w:shd w:val="clear" w:color="auto" w:fill="FFFFFF"/>
        </w:rPr>
        <w:t>es in</w:t>
      </w:r>
      <w:r w:rsidRPr="00EA203A">
        <w:rPr>
          <w:rFonts w:cstheme="minorHAnsi"/>
          <w:color w:val="333333"/>
          <w:sz w:val="24"/>
          <w:szCs w:val="24"/>
          <w:shd w:val="clear" w:color="auto" w:fill="FFFFFF"/>
        </w:rPr>
        <w:t xml:space="preserve"> Taunton on 23 January 1935, in front of an all-male jury.</w:t>
      </w:r>
      <w:r w:rsidRPr="00EA203A">
        <w:rPr>
          <w:rStyle w:val="FootnoteReference"/>
          <w:rFonts w:cstheme="minorHAnsi"/>
          <w:color w:val="333333"/>
          <w:sz w:val="24"/>
          <w:szCs w:val="24"/>
          <w:shd w:val="clear" w:color="auto" w:fill="FFFFFF"/>
        </w:rPr>
        <w:footnoteReference w:id="42"/>
      </w:r>
      <w:r w:rsidRPr="00EA203A">
        <w:rPr>
          <w:rFonts w:cstheme="minorHAnsi"/>
          <w:color w:val="333333"/>
          <w:sz w:val="24"/>
          <w:szCs w:val="24"/>
          <w:shd w:val="clear" w:color="auto" w:fill="FFFFFF"/>
        </w:rPr>
        <w:t xml:space="preserve"> This was the first time that </w:t>
      </w:r>
      <w:proofErr w:type="spellStart"/>
      <w:r w:rsidRPr="00EA203A">
        <w:rPr>
          <w:rFonts w:cstheme="minorHAnsi"/>
          <w:color w:val="333333"/>
          <w:sz w:val="24"/>
          <w:szCs w:val="24"/>
          <w:shd w:val="clear" w:color="auto" w:fill="FFFFFF"/>
        </w:rPr>
        <w:t>Woolmington</w:t>
      </w:r>
      <w:proofErr w:type="spellEnd"/>
      <w:r w:rsidRPr="00EA203A">
        <w:rPr>
          <w:rFonts w:cstheme="minorHAnsi"/>
          <w:color w:val="333333"/>
          <w:sz w:val="24"/>
          <w:szCs w:val="24"/>
          <w:shd w:val="clear" w:color="auto" w:fill="FFFFFF"/>
        </w:rPr>
        <w:t xml:space="preserve"> raised his ‘accident’ defence. </w:t>
      </w:r>
      <w:r w:rsidR="00400361">
        <w:rPr>
          <w:rFonts w:cstheme="minorHAnsi"/>
          <w:color w:val="333333"/>
          <w:sz w:val="24"/>
          <w:szCs w:val="24"/>
          <w:shd w:val="clear" w:color="auto" w:fill="FFFFFF"/>
        </w:rPr>
        <w:t>Nowadays, a defendant is required to give notice of any defence that they will rely on in the Crown Court</w:t>
      </w:r>
      <w:r w:rsidR="00937573">
        <w:rPr>
          <w:rFonts w:cstheme="minorHAnsi"/>
          <w:color w:val="333333"/>
          <w:sz w:val="24"/>
          <w:szCs w:val="24"/>
          <w:shd w:val="clear" w:color="auto" w:fill="FFFFFF"/>
        </w:rPr>
        <w:t>.</w:t>
      </w:r>
      <w:r w:rsidR="00400361">
        <w:rPr>
          <w:rStyle w:val="FootnoteReference"/>
          <w:rFonts w:cstheme="minorHAnsi"/>
          <w:color w:val="333333"/>
          <w:sz w:val="24"/>
          <w:szCs w:val="24"/>
          <w:shd w:val="clear" w:color="auto" w:fill="FFFFFF"/>
        </w:rPr>
        <w:footnoteReference w:id="43"/>
      </w:r>
      <w:r w:rsidR="00400361">
        <w:rPr>
          <w:rFonts w:cstheme="minorHAnsi"/>
          <w:color w:val="333333"/>
          <w:sz w:val="24"/>
          <w:szCs w:val="24"/>
          <w:shd w:val="clear" w:color="auto" w:fill="FFFFFF"/>
        </w:rPr>
        <w:t xml:space="preserve"> </w:t>
      </w:r>
      <w:r w:rsidR="00937573">
        <w:rPr>
          <w:rFonts w:cstheme="minorHAnsi"/>
          <w:color w:val="333333"/>
          <w:sz w:val="24"/>
          <w:szCs w:val="24"/>
          <w:shd w:val="clear" w:color="auto" w:fill="FFFFFF"/>
        </w:rPr>
        <w:t>H</w:t>
      </w:r>
      <w:r w:rsidRPr="00EA203A">
        <w:rPr>
          <w:rFonts w:cstheme="minorHAnsi"/>
          <w:color w:val="000000"/>
          <w:sz w:val="24"/>
          <w:szCs w:val="24"/>
        </w:rPr>
        <w:t xml:space="preserve">owever, no such rules were in place in 1935, and the </w:t>
      </w:r>
      <w:r w:rsidRPr="00EA203A">
        <w:rPr>
          <w:rFonts w:cstheme="minorHAnsi"/>
          <w:color w:val="333333"/>
          <w:sz w:val="24"/>
          <w:szCs w:val="24"/>
          <w:shd w:val="clear" w:color="auto" w:fill="FFFFFF"/>
        </w:rPr>
        <w:t>trial proceeded.</w:t>
      </w:r>
      <w:r w:rsidR="00400361">
        <w:rPr>
          <w:rFonts w:cstheme="minorHAnsi"/>
          <w:color w:val="333333"/>
          <w:sz w:val="24"/>
          <w:szCs w:val="24"/>
          <w:shd w:val="clear" w:color="auto" w:fill="FFFFFF"/>
        </w:rPr>
        <w:t xml:space="preserve"> </w:t>
      </w:r>
      <w:r w:rsidRPr="00EA203A">
        <w:rPr>
          <w:rFonts w:cstheme="minorHAnsi"/>
          <w:color w:val="333333"/>
          <w:sz w:val="24"/>
          <w:szCs w:val="24"/>
          <w:shd w:val="clear" w:color="auto" w:fill="FFFFFF"/>
        </w:rPr>
        <w:t xml:space="preserve">The jury </w:t>
      </w:r>
      <w:r w:rsidR="005331AA">
        <w:rPr>
          <w:rFonts w:cstheme="minorHAnsi"/>
          <w:color w:val="333333"/>
          <w:sz w:val="24"/>
          <w:szCs w:val="24"/>
          <w:shd w:val="clear" w:color="auto" w:fill="FFFFFF"/>
        </w:rPr>
        <w:t>were out</w:t>
      </w:r>
      <w:r w:rsidRPr="00EA203A">
        <w:rPr>
          <w:rFonts w:cstheme="minorHAnsi"/>
          <w:color w:val="333333"/>
          <w:sz w:val="24"/>
          <w:szCs w:val="24"/>
          <w:shd w:val="clear" w:color="auto" w:fill="FFFFFF"/>
        </w:rPr>
        <w:t xml:space="preserve"> for less than one and a half hours but failed to reach a decision.</w:t>
      </w:r>
      <w:r w:rsidR="00100890">
        <w:rPr>
          <w:rFonts w:cstheme="minorHAnsi"/>
          <w:color w:val="333333"/>
          <w:sz w:val="24"/>
          <w:szCs w:val="24"/>
          <w:shd w:val="clear" w:color="auto" w:fill="FFFFFF"/>
        </w:rPr>
        <w:t xml:space="preserve"> </w:t>
      </w:r>
      <w:r w:rsidRPr="00EA203A">
        <w:rPr>
          <w:rFonts w:cstheme="minorHAnsi"/>
          <w:color w:val="333333"/>
          <w:sz w:val="24"/>
          <w:szCs w:val="24"/>
          <w:shd w:val="clear" w:color="auto" w:fill="FFFFFF"/>
        </w:rPr>
        <w:t>The case was sent for retrial at Bristol Assi</w:t>
      </w:r>
      <w:r w:rsidR="005331AA">
        <w:rPr>
          <w:rFonts w:cstheme="minorHAnsi"/>
          <w:color w:val="333333"/>
          <w:sz w:val="24"/>
          <w:szCs w:val="24"/>
          <w:shd w:val="clear" w:color="auto" w:fill="FFFFFF"/>
        </w:rPr>
        <w:t>z</w:t>
      </w:r>
      <w:r w:rsidRPr="00EA203A">
        <w:rPr>
          <w:rFonts w:cstheme="minorHAnsi"/>
          <w:color w:val="333333"/>
          <w:sz w:val="24"/>
          <w:szCs w:val="24"/>
          <w:shd w:val="clear" w:color="auto" w:fill="FFFFFF"/>
        </w:rPr>
        <w:t xml:space="preserve">es and was heard on 13 and 14 February 1935. At this second trial, Mr Justice Swift, relying on the precedent of </w:t>
      </w:r>
      <w:r w:rsidRPr="00EA203A">
        <w:rPr>
          <w:rFonts w:cstheme="minorHAnsi"/>
          <w:color w:val="3D3D3D"/>
          <w:sz w:val="24"/>
          <w:szCs w:val="24"/>
          <w:shd w:val="clear" w:color="auto" w:fill="FFFFFF"/>
        </w:rPr>
        <w:t>Foster's Crown Law (1762), p 255</w:t>
      </w:r>
      <w:r w:rsidR="005331AA">
        <w:rPr>
          <w:rFonts w:cstheme="minorHAnsi"/>
          <w:color w:val="3D3D3D"/>
          <w:sz w:val="24"/>
          <w:szCs w:val="24"/>
          <w:shd w:val="clear" w:color="auto" w:fill="FFFFFF"/>
        </w:rPr>
        <w:t>,</w:t>
      </w:r>
      <w:r w:rsidRPr="00EA203A">
        <w:rPr>
          <w:rFonts w:cstheme="minorHAnsi"/>
          <w:color w:val="333333"/>
          <w:sz w:val="24"/>
          <w:szCs w:val="24"/>
          <w:shd w:val="clear" w:color="auto" w:fill="FFFFFF"/>
        </w:rPr>
        <w:t xml:space="preserve"> </w:t>
      </w:r>
      <w:r w:rsidR="00630D08">
        <w:rPr>
          <w:rFonts w:cstheme="minorHAnsi"/>
          <w:color w:val="333333"/>
          <w:sz w:val="24"/>
          <w:szCs w:val="24"/>
          <w:shd w:val="clear" w:color="auto" w:fill="FFFFFF"/>
        </w:rPr>
        <w:t>pronounced that:</w:t>
      </w:r>
    </w:p>
    <w:p w14:paraId="56F95412" w14:textId="77777777" w:rsidR="00400361" w:rsidRPr="00464757" w:rsidRDefault="00400361" w:rsidP="009C3674">
      <w:pPr>
        <w:spacing w:line="360" w:lineRule="auto"/>
        <w:ind w:left="720" w:right="284"/>
        <w:jc w:val="both"/>
        <w:rPr>
          <w:rFonts w:cstheme="minorHAnsi"/>
          <w:color w:val="3D3D3D"/>
          <w:sz w:val="24"/>
          <w:szCs w:val="24"/>
          <w:shd w:val="clear" w:color="auto" w:fill="FFFFFF"/>
        </w:rPr>
      </w:pPr>
      <w:r w:rsidRPr="00464757">
        <w:rPr>
          <w:rFonts w:cstheme="minorHAnsi"/>
          <w:color w:val="3D3D3D"/>
          <w:sz w:val="24"/>
          <w:szCs w:val="24"/>
          <w:shd w:val="clear" w:color="auto" w:fill="FFFFFF"/>
        </w:rPr>
        <w:t>I</w:t>
      </w:r>
      <w:r w:rsidR="00CF3337" w:rsidRPr="00464757">
        <w:rPr>
          <w:rFonts w:cstheme="minorHAnsi"/>
          <w:color w:val="3D3D3D"/>
          <w:sz w:val="24"/>
          <w:szCs w:val="24"/>
          <w:shd w:val="clear" w:color="auto" w:fill="FFFFFF"/>
        </w:rPr>
        <w:t xml:space="preserve">n every charge of murder, the fact of killing being first proved, all the circumstances of accident, necessity, or infirmity are to be satisfactorily proved by the prisoner, unless they arise out of the evidence produced against him; for the law </w:t>
      </w:r>
      <w:proofErr w:type="spellStart"/>
      <w:r w:rsidR="00CF3337" w:rsidRPr="00464757">
        <w:rPr>
          <w:rFonts w:cstheme="minorHAnsi"/>
          <w:color w:val="3D3D3D"/>
          <w:sz w:val="24"/>
          <w:szCs w:val="24"/>
          <w:shd w:val="clear" w:color="auto" w:fill="FFFFFF"/>
        </w:rPr>
        <w:t>presumeth</w:t>
      </w:r>
      <w:proofErr w:type="spellEnd"/>
      <w:r w:rsidR="00CF3337" w:rsidRPr="00464757">
        <w:rPr>
          <w:rFonts w:cstheme="minorHAnsi"/>
          <w:color w:val="3D3D3D"/>
          <w:sz w:val="24"/>
          <w:szCs w:val="24"/>
          <w:shd w:val="clear" w:color="auto" w:fill="FFFFFF"/>
        </w:rPr>
        <w:t xml:space="preserve"> the fact to have been founded in malice, unless the contrary </w:t>
      </w:r>
      <w:proofErr w:type="spellStart"/>
      <w:r w:rsidR="00CF3337" w:rsidRPr="00464757">
        <w:rPr>
          <w:rFonts w:cstheme="minorHAnsi"/>
          <w:color w:val="3D3D3D"/>
          <w:sz w:val="24"/>
          <w:szCs w:val="24"/>
          <w:shd w:val="clear" w:color="auto" w:fill="FFFFFF"/>
        </w:rPr>
        <w:t>appeareth</w:t>
      </w:r>
      <w:proofErr w:type="spellEnd"/>
      <w:r w:rsidR="00CF3337" w:rsidRPr="00464757">
        <w:rPr>
          <w:rFonts w:cstheme="minorHAnsi"/>
          <w:color w:val="3D3D3D"/>
          <w:sz w:val="24"/>
          <w:szCs w:val="24"/>
          <w:shd w:val="clear" w:color="auto" w:fill="FFFFFF"/>
        </w:rPr>
        <w:t>.</w:t>
      </w:r>
    </w:p>
    <w:p w14:paraId="7275CD82" w14:textId="1E39A3B8" w:rsidR="00CF3337" w:rsidRPr="00EA203A" w:rsidRDefault="00CF3337" w:rsidP="00400361">
      <w:pPr>
        <w:spacing w:line="360" w:lineRule="auto"/>
        <w:jc w:val="both"/>
        <w:rPr>
          <w:rFonts w:cstheme="minorHAnsi"/>
          <w:color w:val="3D3D3D"/>
          <w:sz w:val="24"/>
          <w:szCs w:val="24"/>
          <w:shd w:val="clear" w:color="auto" w:fill="FFFFFF"/>
        </w:rPr>
      </w:pPr>
      <w:r w:rsidRPr="00EA203A">
        <w:rPr>
          <w:rFonts w:cstheme="minorHAnsi"/>
          <w:color w:val="3D3D3D"/>
          <w:sz w:val="24"/>
          <w:szCs w:val="24"/>
          <w:shd w:val="clear" w:color="auto" w:fill="FFFFFF"/>
        </w:rPr>
        <w:t>Mr Justice Swift then added:</w:t>
      </w:r>
    </w:p>
    <w:p w14:paraId="2C59E179" w14:textId="0DAD1748" w:rsidR="00CF3337" w:rsidRPr="00464757" w:rsidRDefault="00CF3337" w:rsidP="009C3674">
      <w:pPr>
        <w:spacing w:line="360" w:lineRule="auto"/>
        <w:ind w:left="720" w:right="284"/>
        <w:jc w:val="both"/>
        <w:rPr>
          <w:rFonts w:cstheme="minorHAnsi"/>
          <w:color w:val="3D3D3D"/>
          <w:sz w:val="24"/>
          <w:szCs w:val="24"/>
          <w:shd w:val="clear" w:color="auto" w:fill="FFFFFF"/>
        </w:rPr>
      </w:pPr>
      <w:r w:rsidRPr="00464757">
        <w:rPr>
          <w:rFonts w:cstheme="minorHAnsi"/>
          <w:color w:val="3D3D3D"/>
          <w:sz w:val="24"/>
          <w:szCs w:val="24"/>
          <w:shd w:val="clear" w:color="auto" w:fill="FFFFFF"/>
        </w:rPr>
        <w:lastRenderedPageBreak/>
        <w:t xml:space="preserve">The Crown has got to satisfy you that this woman, Violet </w:t>
      </w:r>
      <w:proofErr w:type="spellStart"/>
      <w:r w:rsidRPr="00464757">
        <w:rPr>
          <w:rFonts w:cstheme="minorHAnsi"/>
          <w:color w:val="3D3D3D"/>
          <w:sz w:val="24"/>
          <w:szCs w:val="24"/>
          <w:shd w:val="clear" w:color="auto" w:fill="FFFFFF"/>
        </w:rPr>
        <w:t>Woolmington</w:t>
      </w:r>
      <w:proofErr w:type="spellEnd"/>
      <w:r w:rsidRPr="00464757">
        <w:rPr>
          <w:rFonts w:cstheme="minorHAnsi"/>
          <w:color w:val="3D3D3D"/>
          <w:sz w:val="24"/>
          <w:szCs w:val="24"/>
          <w:shd w:val="clear" w:color="auto" w:fill="FFFFFF"/>
        </w:rPr>
        <w:t>, died at the prisoner</w:t>
      </w:r>
      <w:r w:rsidR="00464757">
        <w:rPr>
          <w:rFonts w:cstheme="minorHAnsi"/>
          <w:color w:val="3D3D3D"/>
          <w:sz w:val="24"/>
          <w:szCs w:val="24"/>
          <w:shd w:val="clear" w:color="auto" w:fill="FFFFFF"/>
        </w:rPr>
        <w:t>’</w:t>
      </w:r>
      <w:r w:rsidRPr="00464757">
        <w:rPr>
          <w:rFonts w:cstheme="minorHAnsi"/>
          <w:color w:val="3D3D3D"/>
          <w:sz w:val="24"/>
          <w:szCs w:val="24"/>
          <w:shd w:val="clear" w:color="auto" w:fill="FFFFFF"/>
        </w:rPr>
        <w:t>s hands. They must satisfy you of that beyond any reasonable doubt. If they satisfy you of that, then he has to show that there are circumstances to be found in the evidence which has been given from the witness-box in this case, which alleviate the crime so that it is only manslaughter, or which excuse the homicide altogether by showing that it was a pure accident.</w:t>
      </w:r>
      <w:r w:rsidRPr="00464757">
        <w:rPr>
          <w:rStyle w:val="FootnoteReference"/>
          <w:rFonts w:cstheme="minorHAnsi"/>
          <w:color w:val="3D3D3D"/>
          <w:sz w:val="24"/>
          <w:szCs w:val="24"/>
          <w:shd w:val="clear" w:color="auto" w:fill="FFFFFF"/>
        </w:rPr>
        <w:footnoteReference w:id="44"/>
      </w:r>
    </w:p>
    <w:p w14:paraId="7F7E8D4C" w14:textId="45577171" w:rsidR="009E525B" w:rsidRDefault="00CF3337" w:rsidP="00300801">
      <w:pPr>
        <w:spacing w:line="360" w:lineRule="auto"/>
        <w:jc w:val="both"/>
        <w:rPr>
          <w:rFonts w:cstheme="minorHAnsi"/>
          <w:color w:val="333333"/>
          <w:sz w:val="24"/>
          <w:szCs w:val="24"/>
          <w:shd w:val="clear" w:color="auto" w:fill="FFFFFF"/>
        </w:rPr>
      </w:pPr>
      <w:r w:rsidRPr="00EA203A">
        <w:rPr>
          <w:rFonts w:cstheme="minorHAnsi"/>
          <w:color w:val="333333"/>
          <w:sz w:val="24"/>
          <w:szCs w:val="24"/>
          <w:shd w:val="clear" w:color="auto" w:fill="FFFFFF"/>
        </w:rPr>
        <w:t xml:space="preserve">It took just over an hour for the jury to reach its verdict. </w:t>
      </w:r>
      <w:proofErr w:type="spellStart"/>
      <w:r w:rsidRPr="00EA203A">
        <w:rPr>
          <w:rFonts w:cstheme="minorHAnsi"/>
          <w:color w:val="333333"/>
          <w:sz w:val="24"/>
          <w:szCs w:val="24"/>
          <w:shd w:val="clear" w:color="auto" w:fill="FFFFFF"/>
        </w:rPr>
        <w:t>Woolmington</w:t>
      </w:r>
      <w:proofErr w:type="spellEnd"/>
      <w:r w:rsidRPr="00EA203A">
        <w:rPr>
          <w:rFonts w:cstheme="minorHAnsi"/>
          <w:color w:val="333333"/>
          <w:sz w:val="24"/>
          <w:szCs w:val="24"/>
          <w:shd w:val="clear" w:color="auto" w:fill="FFFFFF"/>
        </w:rPr>
        <w:t xml:space="preserve"> was found guilty </w:t>
      </w:r>
      <w:r>
        <w:rPr>
          <w:rFonts w:cstheme="minorHAnsi"/>
          <w:color w:val="333333"/>
          <w:sz w:val="24"/>
          <w:szCs w:val="24"/>
          <w:shd w:val="clear" w:color="auto" w:fill="FFFFFF"/>
        </w:rPr>
        <w:t xml:space="preserve">of murder, </w:t>
      </w:r>
      <w:r w:rsidRPr="00EA203A">
        <w:rPr>
          <w:rFonts w:cstheme="minorHAnsi"/>
          <w:color w:val="333333"/>
          <w:sz w:val="24"/>
          <w:szCs w:val="24"/>
          <w:shd w:val="clear" w:color="auto" w:fill="FFFFFF"/>
        </w:rPr>
        <w:t>but the jury gave a recommendation for mercy</w:t>
      </w:r>
      <w:r>
        <w:rPr>
          <w:rFonts w:cstheme="minorHAnsi"/>
          <w:color w:val="333333"/>
          <w:sz w:val="24"/>
          <w:szCs w:val="24"/>
          <w:shd w:val="clear" w:color="auto" w:fill="FFFFFF"/>
        </w:rPr>
        <w:t xml:space="preserve"> in respect of the death penalty</w:t>
      </w:r>
      <w:r w:rsidR="000F1732">
        <w:rPr>
          <w:rFonts w:cstheme="minorHAnsi"/>
          <w:color w:val="333333"/>
          <w:sz w:val="24"/>
          <w:szCs w:val="24"/>
          <w:shd w:val="clear" w:color="auto" w:fill="FFFFFF"/>
        </w:rPr>
        <w:t xml:space="preserve">. </w:t>
      </w:r>
      <w:r w:rsidR="00CE0265" w:rsidRPr="00EA203A">
        <w:rPr>
          <w:rFonts w:cstheme="minorHAnsi"/>
          <w:color w:val="333333"/>
          <w:sz w:val="24"/>
          <w:szCs w:val="24"/>
          <w:shd w:val="clear" w:color="auto" w:fill="FFFFFF"/>
        </w:rPr>
        <w:t xml:space="preserve">Mr Justice Swift sentenced </w:t>
      </w:r>
      <w:proofErr w:type="spellStart"/>
      <w:r w:rsidR="00CE0265" w:rsidRPr="00EA203A">
        <w:rPr>
          <w:rFonts w:cstheme="minorHAnsi"/>
          <w:color w:val="333333"/>
          <w:sz w:val="24"/>
          <w:szCs w:val="24"/>
          <w:shd w:val="clear" w:color="auto" w:fill="FFFFFF"/>
        </w:rPr>
        <w:t>Woolmington</w:t>
      </w:r>
      <w:proofErr w:type="spellEnd"/>
      <w:r w:rsidR="00CE0265" w:rsidRPr="00EA203A">
        <w:rPr>
          <w:rFonts w:cstheme="minorHAnsi"/>
          <w:color w:val="333333"/>
          <w:sz w:val="24"/>
          <w:szCs w:val="24"/>
          <w:shd w:val="clear" w:color="auto" w:fill="FFFFFF"/>
        </w:rPr>
        <w:t xml:space="preserve"> to death, but submitted the recommendation for mercy in respect of the sentence to the Court of Appeal. </w:t>
      </w:r>
      <w:r w:rsidR="000F1732">
        <w:rPr>
          <w:rFonts w:cstheme="minorHAnsi"/>
          <w:color w:val="333333"/>
          <w:sz w:val="24"/>
          <w:szCs w:val="24"/>
          <w:shd w:val="clear" w:color="auto" w:fill="FFFFFF"/>
        </w:rPr>
        <w:t xml:space="preserve">Appealing against a death sentence </w:t>
      </w:r>
      <w:r w:rsidR="00CE0265">
        <w:rPr>
          <w:rFonts w:cstheme="minorHAnsi"/>
          <w:color w:val="333333"/>
          <w:sz w:val="24"/>
          <w:szCs w:val="24"/>
          <w:shd w:val="clear" w:color="auto" w:fill="FFFFFF"/>
        </w:rPr>
        <w:t>was</w:t>
      </w:r>
      <w:r w:rsidR="000F1732">
        <w:rPr>
          <w:rFonts w:cstheme="minorHAnsi"/>
          <w:color w:val="333333"/>
          <w:sz w:val="24"/>
          <w:szCs w:val="24"/>
          <w:shd w:val="clear" w:color="auto" w:fill="FFFFFF"/>
        </w:rPr>
        <w:t xml:space="preserve"> a frequent occurrence during the first half of the twentieth century</w:t>
      </w:r>
      <w:r w:rsidR="00CE0265">
        <w:rPr>
          <w:rFonts w:cstheme="minorHAnsi"/>
          <w:color w:val="333333"/>
          <w:sz w:val="24"/>
          <w:szCs w:val="24"/>
          <w:shd w:val="clear" w:color="auto" w:fill="FFFFFF"/>
        </w:rPr>
        <w:t>, and during this time</w:t>
      </w:r>
      <w:r w:rsidR="0010582A">
        <w:rPr>
          <w:rFonts w:cstheme="minorHAnsi"/>
          <w:color w:val="333333"/>
          <w:sz w:val="24"/>
          <w:szCs w:val="24"/>
          <w:shd w:val="clear" w:color="auto" w:fill="FFFFFF"/>
        </w:rPr>
        <w:t>,</w:t>
      </w:r>
      <w:r w:rsidR="000F1732">
        <w:rPr>
          <w:rFonts w:cstheme="minorHAnsi"/>
          <w:color w:val="333333"/>
          <w:sz w:val="24"/>
          <w:szCs w:val="24"/>
          <w:shd w:val="clear" w:color="auto" w:fill="FFFFFF"/>
        </w:rPr>
        <w:t xml:space="preserve"> </w:t>
      </w:r>
      <w:r w:rsidR="009E525B" w:rsidRPr="00EA203A">
        <w:rPr>
          <w:rFonts w:cstheme="minorHAnsi"/>
          <w:color w:val="333333"/>
          <w:sz w:val="24"/>
          <w:szCs w:val="24"/>
          <w:shd w:val="clear" w:color="auto" w:fill="FFFFFF"/>
        </w:rPr>
        <w:t xml:space="preserve">40 </w:t>
      </w:r>
      <w:r w:rsidR="009E525B" w:rsidRPr="00313647">
        <w:rPr>
          <w:rFonts w:cstheme="minorHAnsi"/>
          <w:color w:val="333333"/>
          <w:sz w:val="24"/>
          <w:szCs w:val="24"/>
          <w:shd w:val="clear" w:color="auto" w:fill="FFFFFF"/>
        </w:rPr>
        <w:t>per cent</w:t>
      </w:r>
      <w:r w:rsidR="009E525B" w:rsidRPr="00EA203A">
        <w:rPr>
          <w:rFonts w:cstheme="minorHAnsi"/>
          <w:color w:val="333333"/>
          <w:sz w:val="24"/>
          <w:szCs w:val="24"/>
          <w:shd w:val="clear" w:color="auto" w:fill="FFFFFF"/>
        </w:rPr>
        <w:t xml:space="preserve"> of male defendants and 90 </w:t>
      </w:r>
      <w:r w:rsidR="009E525B" w:rsidRPr="00313647">
        <w:rPr>
          <w:rFonts w:cstheme="minorHAnsi"/>
          <w:color w:val="333333"/>
          <w:sz w:val="24"/>
          <w:szCs w:val="24"/>
          <w:shd w:val="clear" w:color="auto" w:fill="FFFFFF"/>
        </w:rPr>
        <w:t>per cent</w:t>
      </w:r>
      <w:r w:rsidR="009E525B" w:rsidRPr="00EA203A">
        <w:rPr>
          <w:rFonts w:cstheme="minorHAnsi"/>
          <w:color w:val="333333"/>
          <w:sz w:val="24"/>
          <w:szCs w:val="24"/>
          <w:shd w:val="clear" w:color="auto" w:fill="FFFFFF"/>
        </w:rPr>
        <w:t xml:space="preserve"> of female </w:t>
      </w:r>
      <w:r w:rsidR="00313647">
        <w:rPr>
          <w:rFonts w:cstheme="minorHAnsi"/>
          <w:color w:val="333333"/>
          <w:sz w:val="24"/>
          <w:szCs w:val="24"/>
          <w:shd w:val="clear" w:color="auto" w:fill="FFFFFF"/>
        </w:rPr>
        <w:t>defendants</w:t>
      </w:r>
      <w:r w:rsidR="009E525B" w:rsidRPr="00EA203A">
        <w:rPr>
          <w:rFonts w:cstheme="minorHAnsi"/>
          <w:color w:val="333333"/>
          <w:sz w:val="24"/>
          <w:szCs w:val="24"/>
          <w:shd w:val="clear" w:color="auto" w:fill="FFFFFF"/>
        </w:rPr>
        <w:t xml:space="preserve"> had their death sentence commuted, </w:t>
      </w:r>
      <w:r w:rsidR="009E525B">
        <w:rPr>
          <w:rFonts w:cstheme="minorHAnsi"/>
          <w:color w:val="333333"/>
          <w:sz w:val="24"/>
          <w:szCs w:val="24"/>
          <w:shd w:val="clear" w:color="auto" w:fill="FFFFFF"/>
        </w:rPr>
        <w:t>often</w:t>
      </w:r>
      <w:r w:rsidR="009E525B" w:rsidRPr="00EA203A">
        <w:rPr>
          <w:rFonts w:cstheme="minorHAnsi"/>
          <w:color w:val="333333"/>
          <w:sz w:val="24"/>
          <w:szCs w:val="24"/>
          <w:shd w:val="clear" w:color="auto" w:fill="FFFFFF"/>
        </w:rPr>
        <w:t xml:space="preserve"> to penal servitude for life.</w:t>
      </w:r>
      <w:r w:rsidR="009E525B" w:rsidRPr="00EA203A">
        <w:rPr>
          <w:rStyle w:val="FootnoteReference"/>
          <w:rFonts w:cstheme="minorHAnsi"/>
          <w:color w:val="333333"/>
          <w:sz w:val="24"/>
          <w:szCs w:val="24"/>
          <w:shd w:val="clear" w:color="auto" w:fill="FFFFFF"/>
        </w:rPr>
        <w:footnoteReference w:id="45"/>
      </w:r>
      <w:r w:rsidR="00AB394A">
        <w:rPr>
          <w:rFonts w:cstheme="minorHAnsi"/>
          <w:color w:val="333333"/>
          <w:sz w:val="24"/>
          <w:szCs w:val="24"/>
          <w:shd w:val="clear" w:color="auto" w:fill="FFFFFF"/>
        </w:rPr>
        <w:t xml:space="preserve"> </w:t>
      </w:r>
      <w:r w:rsidR="009E525B" w:rsidRPr="00EA203A">
        <w:rPr>
          <w:rFonts w:cstheme="minorHAnsi"/>
          <w:color w:val="333333"/>
          <w:sz w:val="24"/>
          <w:szCs w:val="24"/>
          <w:shd w:val="clear" w:color="auto" w:fill="FFFFFF"/>
        </w:rPr>
        <w:t xml:space="preserve">On 18 March, the Court of Appeal dismissed </w:t>
      </w:r>
      <w:proofErr w:type="spellStart"/>
      <w:r w:rsidR="009E525B" w:rsidRPr="00EA203A">
        <w:rPr>
          <w:rFonts w:cstheme="minorHAnsi"/>
          <w:color w:val="333333"/>
          <w:sz w:val="24"/>
          <w:szCs w:val="24"/>
          <w:shd w:val="clear" w:color="auto" w:fill="FFFFFF"/>
        </w:rPr>
        <w:t>Woolmington’s</w:t>
      </w:r>
      <w:proofErr w:type="spellEnd"/>
      <w:r w:rsidR="00CE0265">
        <w:rPr>
          <w:rFonts w:cstheme="minorHAnsi"/>
          <w:color w:val="333333"/>
          <w:sz w:val="24"/>
          <w:szCs w:val="24"/>
          <w:shd w:val="clear" w:color="auto" w:fill="FFFFFF"/>
        </w:rPr>
        <w:t xml:space="preserve"> appeal</w:t>
      </w:r>
      <w:r w:rsidR="000977BB">
        <w:rPr>
          <w:rFonts w:cstheme="minorHAnsi"/>
          <w:color w:val="333333"/>
          <w:sz w:val="24"/>
          <w:szCs w:val="24"/>
          <w:shd w:val="clear" w:color="auto" w:fill="FFFFFF"/>
        </w:rPr>
        <w:t>,</w:t>
      </w:r>
      <w:r w:rsidR="00CA5DA3">
        <w:rPr>
          <w:rFonts w:cstheme="minorHAnsi"/>
          <w:color w:val="333333"/>
          <w:sz w:val="24"/>
          <w:szCs w:val="24"/>
          <w:shd w:val="clear" w:color="auto" w:fill="FFFFFF"/>
        </w:rPr>
        <w:t xml:space="preserve"> </w:t>
      </w:r>
      <w:r w:rsidR="00F72B4E">
        <w:rPr>
          <w:rFonts w:cstheme="minorHAnsi"/>
          <w:color w:val="333333"/>
          <w:sz w:val="24"/>
          <w:szCs w:val="24"/>
          <w:shd w:val="clear" w:color="auto" w:fill="FFFFFF"/>
        </w:rPr>
        <w:t xml:space="preserve">which was </w:t>
      </w:r>
      <w:r w:rsidR="00CA5DA3">
        <w:rPr>
          <w:rFonts w:cstheme="minorHAnsi"/>
          <w:color w:val="333333"/>
          <w:sz w:val="24"/>
          <w:szCs w:val="24"/>
          <w:shd w:val="clear" w:color="auto" w:fill="FFFFFF"/>
        </w:rPr>
        <w:t>based on misdirection by the judge.</w:t>
      </w:r>
      <w:r w:rsidR="000977BB">
        <w:rPr>
          <w:rStyle w:val="FootnoteReference"/>
          <w:rFonts w:cstheme="minorHAnsi"/>
          <w:color w:val="333333"/>
          <w:sz w:val="24"/>
          <w:szCs w:val="24"/>
          <w:shd w:val="clear" w:color="auto" w:fill="FFFFFF"/>
        </w:rPr>
        <w:footnoteReference w:id="46"/>
      </w:r>
      <w:r w:rsidR="00F72B4E">
        <w:rPr>
          <w:rFonts w:cstheme="minorHAnsi"/>
          <w:color w:val="333333"/>
          <w:sz w:val="24"/>
          <w:szCs w:val="24"/>
          <w:shd w:val="clear" w:color="auto" w:fill="FFFFFF"/>
        </w:rPr>
        <w:t xml:space="preserve"> </w:t>
      </w:r>
      <w:r w:rsidR="00CA5DA3">
        <w:rPr>
          <w:rFonts w:cstheme="minorHAnsi"/>
          <w:color w:val="333333"/>
          <w:sz w:val="24"/>
          <w:szCs w:val="24"/>
          <w:shd w:val="clear" w:color="auto" w:fill="FFFFFF"/>
        </w:rPr>
        <w:t>Likewise</w:t>
      </w:r>
      <w:r w:rsidR="00571A89">
        <w:rPr>
          <w:rFonts w:cstheme="minorHAnsi"/>
          <w:color w:val="333333"/>
          <w:sz w:val="24"/>
          <w:szCs w:val="24"/>
          <w:shd w:val="clear" w:color="auto" w:fill="FFFFFF"/>
        </w:rPr>
        <w:t>,</w:t>
      </w:r>
      <w:r w:rsidR="00CA5DA3">
        <w:rPr>
          <w:rFonts w:cstheme="minorHAnsi"/>
          <w:color w:val="333333"/>
          <w:sz w:val="24"/>
          <w:szCs w:val="24"/>
          <w:shd w:val="clear" w:color="auto" w:fill="FFFFFF"/>
        </w:rPr>
        <w:t xml:space="preserve"> the appeal</w:t>
      </w:r>
      <w:r w:rsidR="00CE0265">
        <w:rPr>
          <w:rFonts w:cstheme="minorHAnsi"/>
          <w:color w:val="333333"/>
          <w:sz w:val="24"/>
          <w:szCs w:val="24"/>
          <w:shd w:val="clear" w:color="auto" w:fill="FFFFFF"/>
        </w:rPr>
        <w:t xml:space="preserve"> against </w:t>
      </w:r>
      <w:r w:rsidR="00AB394A">
        <w:rPr>
          <w:rFonts w:cstheme="minorHAnsi"/>
          <w:color w:val="333333"/>
          <w:sz w:val="24"/>
          <w:szCs w:val="24"/>
          <w:shd w:val="clear" w:color="auto" w:fill="FFFFFF"/>
        </w:rPr>
        <w:t>his</w:t>
      </w:r>
      <w:r w:rsidR="00571A89">
        <w:rPr>
          <w:rFonts w:cstheme="minorHAnsi"/>
          <w:color w:val="333333"/>
          <w:sz w:val="24"/>
          <w:szCs w:val="24"/>
          <w:shd w:val="clear" w:color="auto" w:fill="FFFFFF"/>
        </w:rPr>
        <w:t xml:space="preserve"> </w:t>
      </w:r>
      <w:r w:rsidR="00CE0265">
        <w:rPr>
          <w:rFonts w:cstheme="minorHAnsi"/>
          <w:color w:val="333333"/>
          <w:sz w:val="24"/>
          <w:szCs w:val="24"/>
          <w:shd w:val="clear" w:color="auto" w:fill="FFFFFF"/>
        </w:rPr>
        <w:t>sentence</w:t>
      </w:r>
      <w:r w:rsidR="00CA5DA3">
        <w:rPr>
          <w:rFonts w:cstheme="minorHAnsi"/>
          <w:color w:val="333333"/>
          <w:sz w:val="24"/>
          <w:szCs w:val="24"/>
          <w:shd w:val="clear" w:color="auto" w:fill="FFFFFF"/>
        </w:rPr>
        <w:t xml:space="preserve"> also failed</w:t>
      </w:r>
      <w:r w:rsidR="00F72B4E">
        <w:rPr>
          <w:rFonts w:cstheme="minorHAnsi"/>
          <w:color w:val="333333"/>
          <w:sz w:val="24"/>
          <w:szCs w:val="24"/>
          <w:shd w:val="clear" w:color="auto" w:fill="FFFFFF"/>
        </w:rPr>
        <w:t xml:space="preserve">. However, </w:t>
      </w:r>
      <w:proofErr w:type="spellStart"/>
      <w:r w:rsidR="00CA5DA3">
        <w:rPr>
          <w:rFonts w:cstheme="minorHAnsi"/>
          <w:color w:val="333333"/>
          <w:sz w:val="24"/>
          <w:szCs w:val="24"/>
          <w:shd w:val="clear" w:color="auto" w:fill="FFFFFF"/>
        </w:rPr>
        <w:t>Woolmington’s</w:t>
      </w:r>
      <w:proofErr w:type="spellEnd"/>
      <w:r w:rsidR="009E525B">
        <w:rPr>
          <w:rFonts w:cstheme="minorHAnsi"/>
          <w:color w:val="333333"/>
          <w:sz w:val="24"/>
          <w:szCs w:val="24"/>
          <w:shd w:val="clear" w:color="auto" w:fill="FFFFFF"/>
        </w:rPr>
        <w:t xml:space="preserve"> </w:t>
      </w:r>
      <w:r w:rsidR="009E525B" w:rsidRPr="00EA203A">
        <w:rPr>
          <w:rFonts w:cstheme="minorHAnsi"/>
          <w:color w:val="333333"/>
          <w:sz w:val="24"/>
          <w:szCs w:val="24"/>
          <w:shd w:val="clear" w:color="auto" w:fill="FFFFFF"/>
        </w:rPr>
        <w:t>coun</w:t>
      </w:r>
      <w:r w:rsidR="005A0861">
        <w:rPr>
          <w:rFonts w:cstheme="minorHAnsi"/>
          <w:color w:val="333333"/>
          <w:sz w:val="24"/>
          <w:szCs w:val="24"/>
          <w:shd w:val="clear" w:color="auto" w:fill="FFFFFF"/>
        </w:rPr>
        <w:t>se</w:t>
      </w:r>
      <w:r w:rsidR="009E525B" w:rsidRPr="00EA203A">
        <w:rPr>
          <w:rFonts w:cstheme="minorHAnsi"/>
          <w:color w:val="333333"/>
          <w:sz w:val="24"/>
          <w:szCs w:val="24"/>
          <w:shd w:val="clear" w:color="auto" w:fill="FFFFFF"/>
        </w:rPr>
        <w:t>l, JD Caswell</w:t>
      </w:r>
      <w:r w:rsidR="006B5322">
        <w:rPr>
          <w:rFonts w:cstheme="minorHAnsi"/>
          <w:color w:val="333333"/>
          <w:sz w:val="24"/>
          <w:szCs w:val="24"/>
          <w:shd w:val="clear" w:color="auto" w:fill="FFFFFF"/>
        </w:rPr>
        <w:t>,</w:t>
      </w:r>
      <w:r w:rsidR="009E525B" w:rsidRPr="00EA203A">
        <w:rPr>
          <w:rFonts w:cstheme="minorHAnsi"/>
          <w:color w:val="333333"/>
          <w:sz w:val="24"/>
          <w:szCs w:val="24"/>
          <w:shd w:val="clear" w:color="auto" w:fill="FFFFFF"/>
        </w:rPr>
        <w:t xml:space="preserve"> </w:t>
      </w:r>
      <w:r w:rsidR="00CA5DA3">
        <w:rPr>
          <w:rFonts w:cstheme="minorHAnsi"/>
          <w:color w:val="333333"/>
          <w:sz w:val="24"/>
          <w:szCs w:val="24"/>
          <w:shd w:val="clear" w:color="auto" w:fill="FFFFFF"/>
        </w:rPr>
        <w:t>applied</w:t>
      </w:r>
      <w:r w:rsidR="009E525B" w:rsidRPr="00EA203A">
        <w:rPr>
          <w:rFonts w:cstheme="minorHAnsi"/>
          <w:color w:val="333333"/>
          <w:sz w:val="24"/>
          <w:szCs w:val="24"/>
          <w:shd w:val="clear" w:color="auto" w:fill="FFFFFF"/>
        </w:rPr>
        <w:t xml:space="preserve"> to the Attorney-General and persuaded him to take this case to the House of Lords on an </w:t>
      </w:r>
      <w:r w:rsidR="00300801">
        <w:rPr>
          <w:rFonts w:cstheme="minorHAnsi"/>
          <w:color w:val="333333"/>
          <w:sz w:val="24"/>
          <w:szCs w:val="24"/>
          <w:shd w:val="clear" w:color="auto" w:fill="FFFFFF"/>
        </w:rPr>
        <w:t>‘</w:t>
      </w:r>
      <w:r w:rsidR="009E525B" w:rsidRPr="00EA203A">
        <w:rPr>
          <w:rFonts w:cstheme="minorHAnsi"/>
          <w:color w:val="333333"/>
          <w:sz w:val="24"/>
          <w:szCs w:val="24"/>
          <w:shd w:val="clear" w:color="auto" w:fill="FFFFFF"/>
        </w:rPr>
        <w:t>urgent and exceptional point of law</w:t>
      </w:r>
      <w:r w:rsidR="005A0861">
        <w:rPr>
          <w:rFonts w:cstheme="minorHAnsi"/>
          <w:color w:val="333333"/>
          <w:sz w:val="24"/>
          <w:szCs w:val="24"/>
          <w:shd w:val="clear" w:color="auto" w:fill="FFFFFF"/>
        </w:rPr>
        <w:t>’</w:t>
      </w:r>
      <w:r w:rsidR="00300801">
        <w:rPr>
          <w:rFonts w:cstheme="minorHAnsi"/>
          <w:color w:val="333333"/>
          <w:sz w:val="24"/>
          <w:szCs w:val="24"/>
          <w:shd w:val="clear" w:color="auto" w:fill="FFFFFF"/>
        </w:rPr>
        <w:t>.</w:t>
      </w:r>
      <w:r w:rsidR="00300801">
        <w:rPr>
          <w:rStyle w:val="FootnoteReference"/>
          <w:rFonts w:cstheme="minorHAnsi"/>
          <w:color w:val="333333"/>
          <w:sz w:val="24"/>
          <w:szCs w:val="24"/>
          <w:shd w:val="clear" w:color="auto" w:fill="FFFFFF"/>
        </w:rPr>
        <w:footnoteReference w:id="47"/>
      </w:r>
    </w:p>
    <w:p w14:paraId="28B44024" w14:textId="0BC11E8A" w:rsidR="00743386" w:rsidRPr="00035C04" w:rsidRDefault="009E525B" w:rsidP="005A0861">
      <w:pPr>
        <w:spacing w:line="360" w:lineRule="auto"/>
        <w:ind w:firstLine="720"/>
        <w:jc w:val="both"/>
        <w:rPr>
          <w:rFonts w:cstheme="minorHAnsi"/>
          <w:color w:val="333333"/>
          <w:sz w:val="24"/>
          <w:szCs w:val="24"/>
          <w:shd w:val="clear" w:color="auto" w:fill="FFFFFF"/>
        </w:rPr>
      </w:pPr>
      <w:r>
        <w:rPr>
          <w:rFonts w:cstheme="minorHAnsi"/>
          <w:color w:val="333333"/>
          <w:sz w:val="24"/>
          <w:szCs w:val="24"/>
          <w:shd w:val="clear" w:color="auto" w:fill="FFFFFF"/>
        </w:rPr>
        <w:t>The</w:t>
      </w:r>
      <w:r w:rsidRPr="00EA203A">
        <w:rPr>
          <w:rFonts w:cstheme="minorHAnsi"/>
          <w:color w:val="333333"/>
          <w:sz w:val="24"/>
          <w:szCs w:val="24"/>
          <w:shd w:val="clear" w:color="auto" w:fill="FFFFFF"/>
        </w:rPr>
        <w:t xml:space="preserve"> House of Lords </w:t>
      </w:r>
      <w:r>
        <w:rPr>
          <w:rFonts w:cstheme="minorHAnsi"/>
          <w:color w:val="333333"/>
          <w:sz w:val="24"/>
          <w:szCs w:val="24"/>
          <w:shd w:val="clear" w:color="auto" w:fill="FFFFFF"/>
        </w:rPr>
        <w:t xml:space="preserve">appeal hearing </w:t>
      </w:r>
      <w:r w:rsidRPr="00EA203A">
        <w:rPr>
          <w:rFonts w:cstheme="minorHAnsi"/>
          <w:color w:val="333333"/>
          <w:sz w:val="24"/>
          <w:szCs w:val="24"/>
          <w:shd w:val="clear" w:color="auto" w:fill="FFFFFF"/>
        </w:rPr>
        <w:t xml:space="preserve">took place on 5 April 1935. </w:t>
      </w:r>
      <w:r w:rsidR="002A0A5B">
        <w:rPr>
          <w:rFonts w:cstheme="minorHAnsi"/>
          <w:color w:val="333333"/>
          <w:sz w:val="24"/>
          <w:szCs w:val="24"/>
          <w:shd w:val="clear" w:color="auto" w:fill="FFFFFF"/>
        </w:rPr>
        <w:t>The judges h</w:t>
      </w:r>
      <w:r w:rsidR="00035C04">
        <w:rPr>
          <w:rFonts w:cstheme="minorHAnsi"/>
          <w:color w:val="333333"/>
          <w:sz w:val="24"/>
          <w:szCs w:val="24"/>
          <w:shd w:val="clear" w:color="auto" w:fill="FFFFFF"/>
        </w:rPr>
        <w:t xml:space="preserve">earing the appeal were </w:t>
      </w:r>
      <w:r w:rsidR="002A0A5B">
        <w:rPr>
          <w:rFonts w:cstheme="minorHAnsi"/>
          <w:color w:val="333333"/>
          <w:sz w:val="24"/>
          <w:szCs w:val="24"/>
          <w:shd w:val="clear" w:color="auto" w:fill="FFFFFF"/>
        </w:rPr>
        <w:t>Viscount</w:t>
      </w:r>
      <w:r w:rsidR="00035C04">
        <w:rPr>
          <w:rFonts w:cstheme="minorHAnsi"/>
          <w:color w:val="333333"/>
          <w:sz w:val="24"/>
          <w:szCs w:val="24"/>
          <w:shd w:val="clear" w:color="auto" w:fill="FFFFFF"/>
        </w:rPr>
        <w:t xml:space="preserve"> Sankey, the Lord Chancellor, Lord Hewart</w:t>
      </w:r>
      <w:r w:rsidR="00EE6D9F">
        <w:rPr>
          <w:rFonts w:cstheme="minorHAnsi"/>
          <w:color w:val="333333"/>
          <w:sz w:val="24"/>
          <w:szCs w:val="24"/>
          <w:shd w:val="clear" w:color="auto" w:fill="FFFFFF"/>
        </w:rPr>
        <w:t>,</w:t>
      </w:r>
      <w:r w:rsidR="00035C04">
        <w:rPr>
          <w:rFonts w:cstheme="minorHAnsi"/>
          <w:color w:val="333333"/>
          <w:sz w:val="24"/>
          <w:szCs w:val="24"/>
          <w:shd w:val="clear" w:color="auto" w:fill="FFFFFF"/>
        </w:rPr>
        <w:t xml:space="preserve"> the Lord Chief Justice, Lord Atkin, Lord Tomlin and Lord Wright.</w:t>
      </w:r>
      <w:r w:rsidR="002A0A5B">
        <w:rPr>
          <w:rFonts w:cstheme="minorHAnsi"/>
          <w:color w:val="333333"/>
          <w:sz w:val="24"/>
          <w:szCs w:val="24"/>
          <w:shd w:val="clear" w:color="auto" w:fill="FFFFFF"/>
        </w:rPr>
        <w:t xml:space="preserve"> </w:t>
      </w:r>
      <w:proofErr w:type="spellStart"/>
      <w:r w:rsidR="00C544BC">
        <w:rPr>
          <w:rFonts w:cstheme="minorHAnsi"/>
          <w:color w:val="333333"/>
          <w:sz w:val="24"/>
          <w:szCs w:val="24"/>
          <w:shd w:val="clear" w:color="auto" w:fill="FFFFFF"/>
        </w:rPr>
        <w:t>Woolmington’s</w:t>
      </w:r>
      <w:proofErr w:type="spellEnd"/>
      <w:r w:rsidR="00C544BC">
        <w:rPr>
          <w:rFonts w:cstheme="minorHAnsi"/>
          <w:color w:val="333333"/>
          <w:sz w:val="24"/>
          <w:szCs w:val="24"/>
          <w:shd w:val="clear" w:color="auto" w:fill="FFFFFF"/>
        </w:rPr>
        <w:t xml:space="preserve"> parents had worked hard to secure his release, and their efforts were given momentum by </w:t>
      </w:r>
      <w:r w:rsidR="00C544BC" w:rsidRPr="00F871FC">
        <w:rPr>
          <w:rFonts w:cstheme="minorHAnsi"/>
          <w:color w:val="333333"/>
          <w:sz w:val="24"/>
          <w:szCs w:val="24"/>
          <w:shd w:val="clear" w:color="auto" w:fill="FFFFFF"/>
        </w:rPr>
        <w:t>Violet van der Elst</w:t>
      </w:r>
      <w:r w:rsidR="00C544BC">
        <w:rPr>
          <w:rFonts w:cstheme="minorHAnsi"/>
          <w:color w:val="333333"/>
          <w:sz w:val="24"/>
          <w:szCs w:val="24"/>
          <w:shd w:val="clear" w:color="auto" w:fill="FFFFFF"/>
        </w:rPr>
        <w:t>, who had recently started her long-term campaign a</w:t>
      </w:r>
      <w:r w:rsidR="00CE0265">
        <w:rPr>
          <w:rFonts w:cstheme="minorHAnsi"/>
          <w:color w:val="333333"/>
          <w:sz w:val="24"/>
          <w:szCs w:val="24"/>
          <w:shd w:val="clear" w:color="auto" w:fill="FFFFFF"/>
        </w:rPr>
        <w:t xml:space="preserve">gainst the death </w:t>
      </w:r>
      <w:r w:rsidR="001A54B8">
        <w:rPr>
          <w:rFonts w:cstheme="minorHAnsi"/>
          <w:color w:val="333333"/>
          <w:sz w:val="24"/>
          <w:szCs w:val="24"/>
          <w:shd w:val="clear" w:color="auto" w:fill="FFFFFF"/>
        </w:rPr>
        <w:t>penalty</w:t>
      </w:r>
      <w:r w:rsidR="00C544BC">
        <w:rPr>
          <w:rFonts w:cstheme="minorHAnsi"/>
          <w:color w:val="333333"/>
          <w:sz w:val="24"/>
          <w:szCs w:val="24"/>
          <w:shd w:val="clear" w:color="auto" w:fill="FFFFFF"/>
        </w:rPr>
        <w:t xml:space="preserve">, and </w:t>
      </w:r>
      <w:r w:rsidR="00F72B4E">
        <w:rPr>
          <w:rFonts w:cstheme="minorHAnsi"/>
          <w:color w:val="333333"/>
          <w:sz w:val="24"/>
          <w:szCs w:val="24"/>
          <w:shd w:val="clear" w:color="auto" w:fill="FFFFFF"/>
        </w:rPr>
        <w:t>she</w:t>
      </w:r>
      <w:r w:rsidR="00C544BC">
        <w:rPr>
          <w:rFonts w:cstheme="minorHAnsi"/>
          <w:color w:val="333333"/>
          <w:sz w:val="24"/>
          <w:szCs w:val="24"/>
          <w:shd w:val="clear" w:color="auto" w:fill="FFFFFF"/>
        </w:rPr>
        <w:t xml:space="preserve"> championed </w:t>
      </w:r>
      <w:proofErr w:type="spellStart"/>
      <w:r w:rsidR="00C544BC">
        <w:rPr>
          <w:rFonts w:cstheme="minorHAnsi"/>
          <w:color w:val="333333"/>
          <w:sz w:val="24"/>
          <w:szCs w:val="24"/>
          <w:shd w:val="clear" w:color="auto" w:fill="FFFFFF"/>
        </w:rPr>
        <w:t>Woolmington’s</w:t>
      </w:r>
      <w:proofErr w:type="spellEnd"/>
      <w:r w:rsidR="00C544BC">
        <w:rPr>
          <w:rFonts w:cstheme="minorHAnsi"/>
          <w:color w:val="333333"/>
          <w:sz w:val="24"/>
          <w:szCs w:val="24"/>
          <w:shd w:val="clear" w:color="auto" w:fill="FFFFFF"/>
        </w:rPr>
        <w:t xml:space="preserve"> </w:t>
      </w:r>
      <w:r w:rsidR="003F6501">
        <w:rPr>
          <w:rFonts w:cstheme="minorHAnsi"/>
          <w:color w:val="333333"/>
          <w:sz w:val="24"/>
          <w:szCs w:val="24"/>
          <w:shd w:val="clear" w:color="auto" w:fill="FFFFFF"/>
        </w:rPr>
        <w:t>appeal.</w:t>
      </w:r>
      <w:r w:rsidR="00C0616E">
        <w:rPr>
          <w:rStyle w:val="FootnoteReference"/>
          <w:rFonts w:cstheme="minorHAnsi"/>
          <w:color w:val="333333"/>
          <w:sz w:val="24"/>
          <w:szCs w:val="24"/>
          <w:shd w:val="clear" w:color="auto" w:fill="FFFFFF"/>
        </w:rPr>
        <w:footnoteReference w:id="48"/>
      </w:r>
      <w:r w:rsidR="00107FB9">
        <w:rPr>
          <w:rFonts w:cstheme="minorHAnsi"/>
          <w:color w:val="333333"/>
          <w:sz w:val="24"/>
          <w:szCs w:val="24"/>
          <w:shd w:val="clear" w:color="auto" w:fill="FFFFFF"/>
        </w:rPr>
        <w:t xml:space="preserve"> </w:t>
      </w:r>
      <w:r w:rsidRPr="00EA203A">
        <w:rPr>
          <w:rFonts w:cstheme="minorHAnsi"/>
          <w:color w:val="333333"/>
          <w:sz w:val="24"/>
          <w:szCs w:val="24"/>
          <w:shd w:val="clear" w:color="auto" w:fill="FFFFFF"/>
        </w:rPr>
        <w:t>After a very short deliberation</w:t>
      </w:r>
      <w:r>
        <w:rPr>
          <w:rFonts w:cstheme="minorHAnsi"/>
          <w:color w:val="333333"/>
          <w:sz w:val="24"/>
          <w:szCs w:val="24"/>
          <w:shd w:val="clear" w:color="auto" w:fill="FFFFFF"/>
        </w:rPr>
        <w:t>,</w:t>
      </w:r>
      <w:r w:rsidRPr="00EA203A">
        <w:rPr>
          <w:rFonts w:cstheme="minorHAnsi"/>
          <w:color w:val="333333"/>
          <w:sz w:val="24"/>
          <w:szCs w:val="24"/>
          <w:shd w:val="clear" w:color="auto" w:fill="FFFFFF"/>
        </w:rPr>
        <w:t xml:space="preserve"> their Lordships allowed the appeal.</w:t>
      </w:r>
      <w:r w:rsidR="00107FB9">
        <w:rPr>
          <w:rFonts w:cstheme="minorHAnsi"/>
          <w:color w:val="333333"/>
          <w:sz w:val="24"/>
          <w:szCs w:val="24"/>
          <w:shd w:val="clear" w:color="auto" w:fill="FFFFFF"/>
        </w:rPr>
        <w:t xml:space="preserve"> </w:t>
      </w:r>
      <w:r w:rsidR="00743386">
        <w:rPr>
          <w:rFonts w:cstheme="minorHAnsi"/>
          <w:color w:val="333333"/>
          <w:sz w:val="24"/>
          <w:szCs w:val="24"/>
          <w:shd w:val="clear" w:color="auto" w:fill="FFFFFF"/>
        </w:rPr>
        <w:t xml:space="preserve">The </w:t>
      </w:r>
      <w:r w:rsidR="00743386" w:rsidRPr="00EA203A">
        <w:rPr>
          <w:rFonts w:cstheme="minorHAnsi"/>
          <w:color w:val="333333"/>
          <w:sz w:val="24"/>
          <w:szCs w:val="24"/>
          <w:shd w:val="clear" w:color="auto" w:fill="FFFFFF"/>
        </w:rPr>
        <w:t xml:space="preserve">Criminal Appeal Act 1907 </w:t>
      </w:r>
      <w:r w:rsidR="00743386">
        <w:rPr>
          <w:rFonts w:cstheme="minorHAnsi"/>
          <w:color w:val="333333"/>
          <w:sz w:val="24"/>
          <w:szCs w:val="24"/>
          <w:shd w:val="clear" w:color="auto" w:fill="FFFFFF"/>
        </w:rPr>
        <w:t>did not allow for a re-trial after a judge’s misdirection,</w:t>
      </w:r>
      <w:r w:rsidR="00107FB9">
        <w:rPr>
          <w:rStyle w:val="FootnoteReference"/>
          <w:rFonts w:cstheme="minorHAnsi"/>
          <w:color w:val="333333"/>
          <w:sz w:val="24"/>
          <w:szCs w:val="24"/>
          <w:shd w:val="clear" w:color="auto" w:fill="FFFFFF"/>
        </w:rPr>
        <w:footnoteReference w:id="49"/>
      </w:r>
      <w:r w:rsidR="00743386">
        <w:rPr>
          <w:rFonts w:cstheme="minorHAnsi"/>
          <w:color w:val="333333"/>
          <w:sz w:val="24"/>
          <w:szCs w:val="24"/>
          <w:shd w:val="clear" w:color="auto" w:fill="FFFFFF"/>
        </w:rPr>
        <w:t xml:space="preserve">  nor did </w:t>
      </w:r>
      <w:r w:rsidR="00743386" w:rsidRPr="00EA203A">
        <w:rPr>
          <w:rFonts w:cstheme="minorHAnsi"/>
          <w:color w:val="333333"/>
          <w:sz w:val="24"/>
          <w:szCs w:val="24"/>
          <w:shd w:val="clear" w:color="auto" w:fill="FFFFFF"/>
        </w:rPr>
        <w:t xml:space="preserve">their </w:t>
      </w:r>
      <w:r w:rsidR="001A54B8">
        <w:rPr>
          <w:rFonts w:cstheme="minorHAnsi"/>
          <w:color w:val="333333"/>
          <w:sz w:val="24"/>
          <w:szCs w:val="24"/>
          <w:shd w:val="clear" w:color="auto" w:fill="FFFFFF"/>
        </w:rPr>
        <w:t>L</w:t>
      </w:r>
      <w:r w:rsidR="00743386" w:rsidRPr="00EA203A">
        <w:rPr>
          <w:rFonts w:cstheme="minorHAnsi"/>
          <w:color w:val="333333"/>
          <w:sz w:val="24"/>
          <w:szCs w:val="24"/>
          <w:shd w:val="clear" w:color="auto" w:fill="FFFFFF"/>
        </w:rPr>
        <w:t xml:space="preserve">ordships replace the verdict of murder </w:t>
      </w:r>
      <w:r w:rsidR="001A54B8">
        <w:rPr>
          <w:rFonts w:cstheme="minorHAnsi"/>
          <w:color w:val="333333"/>
          <w:sz w:val="24"/>
          <w:szCs w:val="24"/>
          <w:shd w:val="clear" w:color="auto" w:fill="FFFFFF"/>
        </w:rPr>
        <w:t>with</w:t>
      </w:r>
      <w:r w:rsidR="00743386" w:rsidRPr="00EA203A">
        <w:rPr>
          <w:rFonts w:cstheme="minorHAnsi"/>
          <w:color w:val="333333"/>
          <w:sz w:val="24"/>
          <w:szCs w:val="24"/>
          <w:shd w:val="clear" w:color="auto" w:fill="FFFFFF"/>
        </w:rPr>
        <w:t xml:space="preserve"> manslaughter</w:t>
      </w:r>
      <w:r w:rsidR="00743386">
        <w:rPr>
          <w:rFonts w:cstheme="minorHAnsi"/>
          <w:color w:val="333333"/>
          <w:sz w:val="24"/>
          <w:szCs w:val="24"/>
          <w:shd w:val="clear" w:color="auto" w:fill="FFFFFF"/>
        </w:rPr>
        <w:t xml:space="preserve">, even though they had the </w:t>
      </w:r>
      <w:r w:rsidR="00743386">
        <w:rPr>
          <w:rFonts w:cstheme="minorHAnsi"/>
          <w:color w:val="333333"/>
          <w:sz w:val="24"/>
          <w:szCs w:val="24"/>
          <w:shd w:val="clear" w:color="auto" w:fill="FFFFFF"/>
        </w:rPr>
        <w:lastRenderedPageBreak/>
        <w:t>po</w:t>
      </w:r>
      <w:r w:rsidR="00192345">
        <w:rPr>
          <w:rFonts w:cstheme="minorHAnsi"/>
          <w:color w:val="333333"/>
          <w:sz w:val="24"/>
          <w:szCs w:val="24"/>
          <w:shd w:val="clear" w:color="auto" w:fill="FFFFFF"/>
        </w:rPr>
        <w:t>wer</w:t>
      </w:r>
      <w:r w:rsidR="00743386">
        <w:rPr>
          <w:rFonts w:cstheme="minorHAnsi"/>
          <w:color w:val="333333"/>
          <w:sz w:val="24"/>
          <w:szCs w:val="24"/>
          <w:shd w:val="clear" w:color="auto" w:fill="FFFFFF"/>
        </w:rPr>
        <w:t xml:space="preserve"> to</w:t>
      </w:r>
      <w:r w:rsidR="008846D4">
        <w:rPr>
          <w:rFonts w:cstheme="minorHAnsi"/>
          <w:color w:val="333333"/>
          <w:sz w:val="24"/>
          <w:szCs w:val="24"/>
          <w:shd w:val="clear" w:color="auto" w:fill="FFFFFF"/>
        </w:rPr>
        <w:t xml:space="preserve"> do so</w:t>
      </w:r>
      <w:r w:rsidR="00743386">
        <w:rPr>
          <w:rFonts w:cstheme="minorHAnsi"/>
          <w:color w:val="333333"/>
          <w:sz w:val="24"/>
          <w:szCs w:val="24"/>
          <w:shd w:val="clear" w:color="auto" w:fill="FFFFFF"/>
        </w:rPr>
        <w:t xml:space="preserve"> by virtue of</w:t>
      </w:r>
      <w:r w:rsidR="00743386" w:rsidRPr="00EA203A">
        <w:rPr>
          <w:rFonts w:cstheme="minorHAnsi"/>
          <w:color w:val="333333"/>
          <w:sz w:val="24"/>
          <w:szCs w:val="24"/>
          <w:shd w:val="clear" w:color="auto" w:fill="FFFFFF"/>
        </w:rPr>
        <w:t xml:space="preserve"> section 5(</w:t>
      </w:r>
      <w:r w:rsidR="00B45D88">
        <w:rPr>
          <w:rFonts w:cstheme="minorHAnsi"/>
          <w:color w:val="333333"/>
          <w:sz w:val="24"/>
          <w:szCs w:val="24"/>
          <w:shd w:val="clear" w:color="auto" w:fill="FFFFFF"/>
        </w:rPr>
        <w:t>2</w:t>
      </w:r>
      <w:r w:rsidR="00743386" w:rsidRPr="00EA203A">
        <w:rPr>
          <w:rFonts w:cstheme="minorHAnsi"/>
          <w:color w:val="333333"/>
          <w:sz w:val="24"/>
          <w:szCs w:val="24"/>
          <w:shd w:val="clear" w:color="auto" w:fill="FFFFFF"/>
        </w:rPr>
        <w:t>)</w:t>
      </w:r>
      <w:r w:rsidR="0094499A">
        <w:rPr>
          <w:rFonts w:cstheme="minorHAnsi"/>
          <w:color w:val="333333"/>
          <w:sz w:val="24"/>
          <w:szCs w:val="24"/>
          <w:shd w:val="clear" w:color="auto" w:fill="FFFFFF"/>
        </w:rPr>
        <w:t xml:space="preserve"> of the same Act.</w:t>
      </w:r>
      <w:r w:rsidR="00755C00">
        <w:rPr>
          <w:rStyle w:val="FootnoteReference"/>
          <w:rFonts w:cstheme="minorHAnsi"/>
          <w:color w:val="333333"/>
          <w:sz w:val="24"/>
          <w:szCs w:val="24"/>
          <w:shd w:val="clear" w:color="auto" w:fill="FFFFFF"/>
        </w:rPr>
        <w:footnoteReference w:id="50"/>
      </w:r>
      <w:r w:rsidR="0094499A">
        <w:rPr>
          <w:rFonts w:cstheme="minorHAnsi"/>
          <w:color w:val="333333"/>
          <w:sz w:val="24"/>
          <w:szCs w:val="24"/>
          <w:shd w:val="clear" w:color="auto" w:fill="FFFFFF"/>
        </w:rPr>
        <w:t xml:space="preserve"> As n</w:t>
      </w:r>
      <w:r w:rsidR="00743386" w:rsidRPr="00EA203A">
        <w:rPr>
          <w:rFonts w:cstheme="minorHAnsi"/>
          <w:color w:val="333333"/>
          <w:sz w:val="24"/>
          <w:szCs w:val="24"/>
          <w:shd w:val="clear" w:color="auto" w:fill="FFFFFF"/>
        </w:rPr>
        <w:t xml:space="preserve">o other sanction was </w:t>
      </w:r>
      <w:r w:rsidR="00743386" w:rsidRPr="00035C04">
        <w:rPr>
          <w:rFonts w:cstheme="minorHAnsi"/>
          <w:color w:val="333333"/>
          <w:sz w:val="24"/>
          <w:szCs w:val="24"/>
          <w:shd w:val="clear" w:color="auto" w:fill="FFFFFF"/>
        </w:rPr>
        <w:t xml:space="preserve">put in place for </w:t>
      </w:r>
      <w:proofErr w:type="spellStart"/>
      <w:r w:rsidR="00743386" w:rsidRPr="00035C04">
        <w:rPr>
          <w:rFonts w:cstheme="minorHAnsi"/>
          <w:color w:val="333333"/>
          <w:sz w:val="24"/>
          <w:szCs w:val="24"/>
          <w:shd w:val="clear" w:color="auto" w:fill="FFFFFF"/>
        </w:rPr>
        <w:t>Woolmington</w:t>
      </w:r>
      <w:proofErr w:type="spellEnd"/>
      <w:r w:rsidR="00743386" w:rsidRPr="00035C04">
        <w:rPr>
          <w:rFonts w:cstheme="minorHAnsi"/>
          <w:color w:val="333333"/>
          <w:sz w:val="24"/>
          <w:szCs w:val="24"/>
          <w:shd w:val="clear" w:color="auto" w:fill="FFFFFF"/>
        </w:rPr>
        <w:t xml:space="preserve">, he left the Court a free man.  </w:t>
      </w:r>
    </w:p>
    <w:p w14:paraId="4F5A7046" w14:textId="73AE72FC" w:rsidR="009E525B" w:rsidRPr="00035C04" w:rsidRDefault="009E525B" w:rsidP="005A1870">
      <w:pPr>
        <w:spacing w:line="360" w:lineRule="auto"/>
        <w:ind w:firstLine="720"/>
        <w:jc w:val="both"/>
        <w:rPr>
          <w:rFonts w:cstheme="minorHAnsi"/>
          <w:color w:val="333333"/>
          <w:sz w:val="24"/>
          <w:szCs w:val="24"/>
          <w:shd w:val="clear" w:color="auto" w:fill="FFFFFF"/>
        </w:rPr>
      </w:pPr>
      <w:r w:rsidRPr="00035C04">
        <w:rPr>
          <w:rFonts w:cstheme="minorHAnsi"/>
          <w:color w:val="333333"/>
          <w:sz w:val="24"/>
          <w:szCs w:val="24"/>
          <w:shd w:val="clear" w:color="auto" w:fill="FFFFFF"/>
        </w:rPr>
        <w:t xml:space="preserve">The </w:t>
      </w:r>
      <w:r w:rsidR="005A1870">
        <w:rPr>
          <w:rFonts w:cstheme="minorHAnsi"/>
          <w:color w:val="333333"/>
          <w:sz w:val="24"/>
          <w:szCs w:val="24"/>
          <w:shd w:val="clear" w:color="auto" w:fill="FFFFFF"/>
        </w:rPr>
        <w:t>written</w:t>
      </w:r>
      <w:r w:rsidRPr="00035C04">
        <w:rPr>
          <w:rFonts w:cstheme="minorHAnsi"/>
          <w:color w:val="333333"/>
          <w:sz w:val="24"/>
          <w:szCs w:val="24"/>
          <w:shd w:val="clear" w:color="auto" w:fill="FFFFFF"/>
        </w:rPr>
        <w:t xml:space="preserve"> judgment was not delivered until 23</w:t>
      </w:r>
      <w:r w:rsidR="005A1870">
        <w:rPr>
          <w:rFonts w:cstheme="minorHAnsi"/>
          <w:color w:val="333333"/>
          <w:sz w:val="24"/>
          <w:szCs w:val="24"/>
          <w:shd w:val="clear" w:color="auto" w:fill="FFFFFF"/>
        </w:rPr>
        <w:t xml:space="preserve"> </w:t>
      </w:r>
      <w:r w:rsidRPr="00035C04">
        <w:rPr>
          <w:rFonts w:cstheme="minorHAnsi"/>
          <w:color w:val="333333"/>
          <w:sz w:val="24"/>
          <w:szCs w:val="24"/>
          <w:shd w:val="clear" w:color="auto" w:fill="FFFFFF"/>
        </w:rPr>
        <w:t>May 1935 when Viscount Sankey announced the famous</w:t>
      </w:r>
      <w:r w:rsidR="008D3063" w:rsidRPr="00035C04">
        <w:rPr>
          <w:rFonts w:cstheme="minorHAnsi"/>
          <w:color w:val="333333"/>
          <w:sz w:val="24"/>
          <w:szCs w:val="24"/>
          <w:shd w:val="clear" w:color="auto" w:fill="FFFFFF"/>
        </w:rPr>
        <w:t xml:space="preserve"> </w:t>
      </w:r>
      <w:r w:rsidRPr="00035C04">
        <w:rPr>
          <w:rFonts w:cstheme="minorHAnsi"/>
          <w:color w:val="333333"/>
          <w:sz w:val="24"/>
          <w:szCs w:val="24"/>
          <w:shd w:val="clear" w:color="auto" w:fill="FFFFFF"/>
        </w:rPr>
        <w:t xml:space="preserve">‘golden </w:t>
      </w:r>
      <w:r w:rsidR="008D3063" w:rsidRPr="00035C04">
        <w:rPr>
          <w:rFonts w:cstheme="minorHAnsi"/>
          <w:color w:val="333333"/>
          <w:sz w:val="24"/>
          <w:szCs w:val="24"/>
          <w:shd w:val="clear" w:color="auto" w:fill="FFFFFF"/>
        </w:rPr>
        <w:t>thread</w:t>
      </w:r>
      <w:r w:rsidR="00B13A79">
        <w:rPr>
          <w:rFonts w:cstheme="minorHAnsi"/>
          <w:color w:val="333333"/>
          <w:sz w:val="24"/>
          <w:szCs w:val="24"/>
          <w:shd w:val="clear" w:color="auto" w:fill="FFFFFF"/>
        </w:rPr>
        <w:t>’</w:t>
      </w:r>
      <w:r w:rsidR="008D3063" w:rsidRPr="00035C04">
        <w:rPr>
          <w:rFonts w:cstheme="minorHAnsi"/>
          <w:color w:val="333333"/>
          <w:sz w:val="24"/>
          <w:szCs w:val="24"/>
          <w:shd w:val="clear" w:color="auto" w:fill="FFFFFF"/>
        </w:rPr>
        <w:t xml:space="preserve"> principle</w:t>
      </w:r>
      <w:r w:rsidRPr="00035C04">
        <w:rPr>
          <w:rFonts w:cstheme="minorHAnsi"/>
          <w:color w:val="333333"/>
          <w:sz w:val="24"/>
          <w:szCs w:val="24"/>
          <w:shd w:val="clear" w:color="auto" w:fill="FFFFFF"/>
        </w:rPr>
        <w:t>:</w:t>
      </w:r>
    </w:p>
    <w:p w14:paraId="5B921115" w14:textId="1100BE45" w:rsidR="009E525B" w:rsidRPr="0060763D" w:rsidRDefault="009E525B" w:rsidP="00204BA6">
      <w:pPr>
        <w:spacing w:line="360" w:lineRule="auto"/>
        <w:ind w:left="720" w:right="284"/>
        <w:jc w:val="both"/>
        <w:rPr>
          <w:rFonts w:cstheme="minorHAnsi"/>
          <w:color w:val="333333"/>
          <w:sz w:val="24"/>
          <w:szCs w:val="24"/>
          <w:shd w:val="clear" w:color="auto" w:fill="FFFFFF"/>
        </w:rPr>
      </w:pPr>
      <w:r w:rsidRPr="0060763D">
        <w:rPr>
          <w:rFonts w:cstheme="minorHAnsi"/>
          <w:color w:val="202122"/>
          <w:sz w:val="24"/>
          <w:szCs w:val="24"/>
          <w:shd w:val="clear" w:color="auto" w:fill="FFFFFF"/>
        </w:rPr>
        <w:t>Throughout the web of the English Criminal Law one golden thread is always to be seen that it is the duty of the prosecution to prove the prisoner's guilt subject to... the defence of insanity and subject also to any statutory exception</w:t>
      </w:r>
      <w:r w:rsidRPr="0060763D">
        <w:rPr>
          <w:rFonts w:cstheme="minorHAnsi"/>
          <w:color w:val="333333"/>
          <w:sz w:val="24"/>
          <w:szCs w:val="24"/>
          <w:shd w:val="clear" w:color="auto" w:fill="FFFFFF"/>
        </w:rPr>
        <w:t>.</w:t>
      </w:r>
      <w:r w:rsidR="00B13A79" w:rsidRPr="0060763D">
        <w:rPr>
          <w:rStyle w:val="FootnoteReference"/>
          <w:rFonts w:cstheme="minorHAnsi"/>
          <w:color w:val="333333"/>
          <w:sz w:val="24"/>
          <w:szCs w:val="24"/>
          <w:shd w:val="clear" w:color="auto" w:fill="FFFFFF"/>
        </w:rPr>
        <w:footnoteReference w:id="51"/>
      </w:r>
      <w:r w:rsidRPr="0060763D">
        <w:rPr>
          <w:rFonts w:cstheme="minorHAnsi"/>
          <w:color w:val="333333"/>
          <w:sz w:val="24"/>
          <w:szCs w:val="24"/>
          <w:shd w:val="clear" w:color="auto" w:fill="FFFFFF"/>
        </w:rPr>
        <w:t xml:space="preserve"> </w:t>
      </w:r>
    </w:p>
    <w:p w14:paraId="0DA642CD" w14:textId="7394073E" w:rsidR="009E525B" w:rsidRPr="00035C04" w:rsidRDefault="00351941" w:rsidP="009E525B">
      <w:pPr>
        <w:spacing w:line="360" w:lineRule="auto"/>
        <w:jc w:val="both"/>
        <w:rPr>
          <w:rFonts w:cstheme="minorHAnsi"/>
          <w:color w:val="333333"/>
          <w:sz w:val="24"/>
          <w:szCs w:val="24"/>
          <w:shd w:val="clear" w:color="auto" w:fill="FFFFFF"/>
        </w:rPr>
      </w:pPr>
      <w:r w:rsidRPr="00035C04">
        <w:rPr>
          <w:rFonts w:cstheme="minorHAnsi"/>
          <w:color w:val="333333"/>
          <w:sz w:val="24"/>
          <w:szCs w:val="24"/>
          <w:shd w:val="clear" w:color="auto" w:fill="FFFFFF"/>
        </w:rPr>
        <w:t xml:space="preserve">Ironically, </w:t>
      </w:r>
      <w:r w:rsidR="00035C04">
        <w:rPr>
          <w:rFonts w:cstheme="minorHAnsi"/>
          <w:color w:val="333333"/>
          <w:sz w:val="24"/>
          <w:szCs w:val="24"/>
          <w:shd w:val="clear" w:color="auto" w:fill="FFFFFF"/>
        </w:rPr>
        <w:t>s</w:t>
      </w:r>
      <w:r w:rsidR="00743386" w:rsidRPr="00035C04">
        <w:rPr>
          <w:rFonts w:cstheme="minorHAnsi"/>
          <w:color w:val="333333"/>
          <w:sz w:val="24"/>
          <w:szCs w:val="24"/>
          <w:shd w:val="clear" w:color="auto" w:fill="FFFFFF"/>
        </w:rPr>
        <w:t>hortly after this, Sankey’s political career fell into decline</w:t>
      </w:r>
      <w:r w:rsidR="00035C04" w:rsidRPr="00035C04">
        <w:rPr>
          <w:rFonts w:cstheme="minorHAnsi"/>
          <w:color w:val="333333"/>
          <w:sz w:val="24"/>
          <w:szCs w:val="24"/>
          <w:shd w:val="clear" w:color="auto" w:fill="FFFFFF"/>
        </w:rPr>
        <w:t>,</w:t>
      </w:r>
      <w:r w:rsidR="00C2670E">
        <w:rPr>
          <w:rStyle w:val="FootnoteReference"/>
          <w:rFonts w:cstheme="minorHAnsi"/>
          <w:color w:val="333333"/>
          <w:sz w:val="24"/>
          <w:szCs w:val="24"/>
          <w:shd w:val="clear" w:color="auto" w:fill="FFFFFF"/>
        </w:rPr>
        <w:footnoteReference w:id="52"/>
      </w:r>
      <w:r w:rsidR="00743386" w:rsidRPr="00035C04">
        <w:rPr>
          <w:rFonts w:cstheme="minorHAnsi"/>
          <w:color w:val="333333"/>
          <w:sz w:val="24"/>
          <w:szCs w:val="24"/>
          <w:shd w:val="clear" w:color="auto" w:fill="FFFFFF"/>
        </w:rPr>
        <w:t xml:space="preserve"> </w:t>
      </w:r>
      <w:r w:rsidR="00035C04" w:rsidRPr="00035C04">
        <w:rPr>
          <w:rFonts w:cstheme="minorHAnsi"/>
          <w:color w:val="333333"/>
          <w:sz w:val="24"/>
          <w:szCs w:val="24"/>
          <w:shd w:val="clear" w:color="auto" w:fill="FFFFFF"/>
        </w:rPr>
        <w:t xml:space="preserve">and </w:t>
      </w:r>
      <w:r w:rsidR="00204BA6">
        <w:rPr>
          <w:rFonts w:cstheme="minorHAnsi"/>
          <w:color w:val="333333"/>
          <w:sz w:val="24"/>
          <w:szCs w:val="24"/>
          <w:shd w:val="clear" w:color="auto" w:fill="FFFFFF"/>
        </w:rPr>
        <w:t>he</w:t>
      </w:r>
      <w:r w:rsidR="00743386" w:rsidRPr="00035C04">
        <w:rPr>
          <w:rFonts w:cstheme="minorHAnsi"/>
          <w:color w:val="333333"/>
          <w:sz w:val="24"/>
          <w:szCs w:val="24"/>
          <w:shd w:val="clear" w:color="auto" w:fill="FFFFFF"/>
        </w:rPr>
        <w:t xml:space="preserve"> disappeared largely from public life from this point onwards.  </w:t>
      </w:r>
    </w:p>
    <w:p w14:paraId="7C1F77E1" w14:textId="77777777" w:rsidR="0060763D" w:rsidRDefault="0060763D" w:rsidP="00F0279F">
      <w:pPr>
        <w:spacing w:line="360" w:lineRule="auto"/>
        <w:jc w:val="both"/>
        <w:rPr>
          <w:rFonts w:cstheme="minorHAnsi"/>
          <w:b/>
          <w:bCs/>
          <w:color w:val="333333"/>
          <w:sz w:val="24"/>
          <w:szCs w:val="24"/>
          <w:shd w:val="clear" w:color="auto" w:fill="FFFFFF"/>
        </w:rPr>
      </w:pPr>
    </w:p>
    <w:p w14:paraId="4801706F" w14:textId="5FDEED10" w:rsidR="00F0279F" w:rsidRPr="00150BD1" w:rsidRDefault="00292216" w:rsidP="003C79FE">
      <w:pPr>
        <w:pStyle w:val="Heading2"/>
        <w:rPr>
          <w:shd w:val="clear" w:color="auto" w:fill="FFFFFF"/>
        </w:rPr>
      </w:pPr>
      <w:r>
        <w:rPr>
          <w:shd w:val="clear" w:color="auto" w:fill="FFFFFF"/>
        </w:rPr>
        <w:t xml:space="preserve">Discussion </w:t>
      </w:r>
    </w:p>
    <w:p w14:paraId="409C803A" w14:textId="4B4FCBED" w:rsidR="00791E7B" w:rsidRDefault="000D16C3" w:rsidP="000D16C3">
      <w:pPr>
        <w:spacing w:line="360" w:lineRule="auto"/>
        <w:jc w:val="both"/>
        <w:rPr>
          <w:rFonts w:cstheme="minorHAnsi"/>
          <w:color w:val="333333"/>
          <w:sz w:val="24"/>
          <w:szCs w:val="24"/>
        </w:rPr>
      </w:pPr>
      <w:r>
        <w:rPr>
          <w:rFonts w:cstheme="minorHAnsi"/>
          <w:color w:val="333333"/>
          <w:sz w:val="24"/>
          <w:szCs w:val="24"/>
        </w:rPr>
        <w:t xml:space="preserve">Whilst the judgment in </w:t>
      </w:r>
      <w:proofErr w:type="spellStart"/>
      <w:r w:rsidRPr="0086395E">
        <w:rPr>
          <w:rFonts w:cstheme="minorHAnsi"/>
          <w:i/>
          <w:iCs/>
          <w:color w:val="333333"/>
          <w:sz w:val="24"/>
          <w:szCs w:val="24"/>
        </w:rPr>
        <w:t>Woolmington</w:t>
      </w:r>
      <w:proofErr w:type="spellEnd"/>
      <w:r>
        <w:rPr>
          <w:rFonts w:cstheme="minorHAnsi"/>
          <w:color w:val="333333"/>
          <w:sz w:val="24"/>
          <w:szCs w:val="24"/>
        </w:rPr>
        <w:t xml:space="preserve"> is exceptional, the facts behind the judgment are commonplace</w:t>
      </w:r>
      <w:r w:rsidR="00ED7491">
        <w:rPr>
          <w:rFonts w:cstheme="minorHAnsi"/>
          <w:color w:val="333333"/>
          <w:sz w:val="24"/>
          <w:szCs w:val="24"/>
        </w:rPr>
        <w:t>.</w:t>
      </w:r>
      <w:r>
        <w:rPr>
          <w:rFonts w:cstheme="minorHAnsi"/>
          <w:color w:val="333333"/>
          <w:sz w:val="24"/>
          <w:szCs w:val="24"/>
        </w:rPr>
        <w:t xml:space="preserve"> </w:t>
      </w:r>
      <w:proofErr w:type="spellStart"/>
      <w:r w:rsidRPr="0086395E">
        <w:rPr>
          <w:rFonts w:cstheme="minorHAnsi"/>
          <w:i/>
          <w:iCs/>
          <w:color w:val="333333"/>
          <w:sz w:val="24"/>
          <w:szCs w:val="24"/>
        </w:rPr>
        <w:t>Woolmington</w:t>
      </w:r>
      <w:proofErr w:type="spellEnd"/>
      <w:r w:rsidRPr="0086395E">
        <w:rPr>
          <w:rFonts w:cstheme="minorHAnsi"/>
          <w:i/>
          <w:iCs/>
          <w:color w:val="333333"/>
          <w:sz w:val="24"/>
          <w:szCs w:val="24"/>
        </w:rPr>
        <w:t xml:space="preserve"> </w:t>
      </w:r>
      <w:r>
        <w:rPr>
          <w:rFonts w:cstheme="minorHAnsi"/>
          <w:color w:val="333333"/>
          <w:sz w:val="24"/>
          <w:szCs w:val="24"/>
        </w:rPr>
        <w:t xml:space="preserve">clearly illustrates how domestic </w:t>
      </w:r>
      <w:r w:rsidR="0086395E">
        <w:rPr>
          <w:rFonts w:cstheme="minorHAnsi"/>
          <w:color w:val="333333"/>
          <w:sz w:val="24"/>
          <w:szCs w:val="24"/>
        </w:rPr>
        <w:t>abuse</w:t>
      </w:r>
      <w:r>
        <w:rPr>
          <w:rFonts w:cstheme="minorHAnsi"/>
          <w:color w:val="333333"/>
          <w:sz w:val="24"/>
          <w:szCs w:val="24"/>
        </w:rPr>
        <w:t xml:space="preserve"> can escalate to homicide and highlight</w:t>
      </w:r>
      <w:r w:rsidR="00ED7491">
        <w:rPr>
          <w:rFonts w:cstheme="minorHAnsi"/>
          <w:color w:val="333333"/>
          <w:sz w:val="24"/>
          <w:szCs w:val="24"/>
        </w:rPr>
        <w:t>s</w:t>
      </w:r>
      <w:r>
        <w:rPr>
          <w:rFonts w:cstheme="minorHAnsi"/>
          <w:color w:val="333333"/>
          <w:sz w:val="24"/>
          <w:szCs w:val="24"/>
        </w:rPr>
        <w:t xml:space="preserve"> how important it is for</w:t>
      </w:r>
      <w:r w:rsidRPr="00BD2371">
        <w:rPr>
          <w:rFonts w:cstheme="minorHAnsi"/>
          <w:color w:val="333333"/>
          <w:sz w:val="24"/>
          <w:szCs w:val="24"/>
        </w:rPr>
        <w:t xml:space="preserve"> </w:t>
      </w:r>
      <w:r>
        <w:rPr>
          <w:rFonts w:cstheme="minorHAnsi"/>
          <w:color w:val="333333"/>
          <w:sz w:val="24"/>
          <w:szCs w:val="24"/>
        </w:rPr>
        <w:t xml:space="preserve">first responders to take positive action when called to a domestic incident. </w:t>
      </w:r>
      <w:r w:rsidR="00F0279F">
        <w:rPr>
          <w:rFonts w:cstheme="minorHAnsi"/>
          <w:color w:val="333333"/>
          <w:sz w:val="24"/>
          <w:szCs w:val="24"/>
          <w:shd w:val="clear" w:color="auto" w:fill="FFFFFF"/>
        </w:rPr>
        <w:t xml:space="preserve">During this </w:t>
      </w:r>
      <w:r w:rsidR="00C629BB">
        <w:rPr>
          <w:rFonts w:cstheme="minorHAnsi"/>
          <w:color w:val="333333"/>
          <w:sz w:val="24"/>
          <w:szCs w:val="24"/>
          <w:shd w:val="clear" w:color="auto" w:fill="FFFFFF"/>
        </w:rPr>
        <w:t>commentary</w:t>
      </w:r>
      <w:r w:rsidR="00F0279F">
        <w:rPr>
          <w:rFonts w:cstheme="minorHAnsi"/>
          <w:color w:val="333333"/>
          <w:sz w:val="24"/>
          <w:szCs w:val="24"/>
          <w:shd w:val="clear" w:color="auto" w:fill="FFFFFF"/>
        </w:rPr>
        <w:t xml:space="preserve">, it has been </w:t>
      </w:r>
      <w:r w:rsidR="00F0279F">
        <w:rPr>
          <w:rFonts w:cstheme="minorHAnsi"/>
          <w:color w:val="333333"/>
          <w:sz w:val="24"/>
          <w:szCs w:val="24"/>
        </w:rPr>
        <w:t xml:space="preserve">identified that </w:t>
      </w:r>
      <w:r w:rsidR="00F0279F" w:rsidRPr="00EA203A">
        <w:rPr>
          <w:rFonts w:cstheme="minorHAnsi"/>
          <w:color w:val="333333"/>
          <w:sz w:val="24"/>
          <w:szCs w:val="24"/>
        </w:rPr>
        <w:t xml:space="preserve">there </w:t>
      </w:r>
      <w:r w:rsidR="00F0279F">
        <w:rPr>
          <w:rFonts w:cstheme="minorHAnsi"/>
          <w:color w:val="333333"/>
          <w:sz w:val="24"/>
          <w:szCs w:val="24"/>
        </w:rPr>
        <w:t xml:space="preserve">were </w:t>
      </w:r>
      <w:r w:rsidR="00F0279F" w:rsidRPr="00EA203A">
        <w:rPr>
          <w:rFonts w:cstheme="minorHAnsi"/>
          <w:color w:val="333333"/>
          <w:sz w:val="24"/>
          <w:szCs w:val="24"/>
        </w:rPr>
        <w:t xml:space="preserve">‘red flags’ in respect of </w:t>
      </w:r>
      <w:proofErr w:type="spellStart"/>
      <w:r w:rsidR="00F0279F" w:rsidRPr="00EA203A">
        <w:rPr>
          <w:rFonts w:cstheme="minorHAnsi"/>
          <w:color w:val="333333"/>
          <w:sz w:val="24"/>
          <w:szCs w:val="24"/>
        </w:rPr>
        <w:t>Woolmington’s</w:t>
      </w:r>
      <w:proofErr w:type="spellEnd"/>
      <w:r w:rsidR="00F0279F" w:rsidRPr="00EA203A">
        <w:rPr>
          <w:rFonts w:cstheme="minorHAnsi"/>
          <w:color w:val="333333"/>
          <w:sz w:val="24"/>
          <w:szCs w:val="24"/>
        </w:rPr>
        <w:t xml:space="preserve"> behaviour </w:t>
      </w:r>
      <w:r w:rsidR="00F0279F">
        <w:rPr>
          <w:rFonts w:cstheme="minorHAnsi"/>
          <w:color w:val="333333"/>
          <w:sz w:val="24"/>
          <w:szCs w:val="24"/>
        </w:rPr>
        <w:t>toward</w:t>
      </w:r>
      <w:r w:rsidR="009D1069">
        <w:rPr>
          <w:rFonts w:cstheme="minorHAnsi"/>
          <w:color w:val="333333"/>
          <w:sz w:val="24"/>
          <w:szCs w:val="24"/>
        </w:rPr>
        <w:t xml:space="preserve"> </w:t>
      </w:r>
      <w:r w:rsidR="00F0279F">
        <w:rPr>
          <w:rFonts w:cstheme="minorHAnsi"/>
          <w:color w:val="333333"/>
          <w:sz w:val="24"/>
          <w:szCs w:val="24"/>
        </w:rPr>
        <w:t xml:space="preserve">his wife, Violet, </w:t>
      </w:r>
      <w:r w:rsidR="00F0279F" w:rsidRPr="00EA203A">
        <w:rPr>
          <w:rFonts w:cstheme="minorHAnsi"/>
          <w:color w:val="333333"/>
          <w:sz w:val="24"/>
          <w:szCs w:val="24"/>
        </w:rPr>
        <w:t xml:space="preserve">which had they been investigated </w:t>
      </w:r>
      <w:r w:rsidR="00F0279F">
        <w:rPr>
          <w:rFonts w:cstheme="minorHAnsi"/>
          <w:color w:val="333333"/>
          <w:sz w:val="24"/>
          <w:szCs w:val="24"/>
        </w:rPr>
        <w:t>today, sh</w:t>
      </w:r>
      <w:r w:rsidR="00F0279F" w:rsidRPr="00EA203A">
        <w:rPr>
          <w:rFonts w:cstheme="minorHAnsi"/>
          <w:color w:val="333333"/>
          <w:sz w:val="24"/>
          <w:szCs w:val="24"/>
        </w:rPr>
        <w:t>ould have alerted</w:t>
      </w:r>
      <w:r w:rsidR="00BD2371">
        <w:rPr>
          <w:rFonts w:cstheme="minorHAnsi"/>
          <w:color w:val="333333"/>
          <w:sz w:val="24"/>
          <w:szCs w:val="24"/>
        </w:rPr>
        <w:t xml:space="preserve"> the police, social services and Violet</w:t>
      </w:r>
      <w:r>
        <w:rPr>
          <w:rFonts w:cstheme="minorHAnsi"/>
          <w:color w:val="333333"/>
          <w:sz w:val="24"/>
          <w:szCs w:val="24"/>
        </w:rPr>
        <w:t xml:space="preserve"> herself, </w:t>
      </w:r>
      <w:r w:rsidR="00F0279F" w:rsidRPr="00EA203A">
        <w:rPr>
          <w:rFonts w:cstheme="minorHAnsi"/>
          <w:color w:val="333333"/>
          <w:sz w:val="24"/>
          <w:szCs w:val="24"/>
        </w:rPr>
        <w:t xml:space="preserve">that </w:t>
      </w:r>
      <w:proofErr w:type="spellStart"/>
      <w:r w:rsidR="00F0279F" w:rsidRPr="00EA203A">
        <w:rPr>
          <w:rFonts w:cstheme="minorHAnsi"/>
          <w:color w:val="333333"/>
          <w:sz w:val="24"/>
          <w:szCs w:val="24"/>
        </w:rPr>
        <w:t>Woolmington</w:t>
      </w:r>
      <w:proofErr w:type="spellEnd"/>
      <w:r w:rsidR="00F0279F" w:rsidRPr="00EA203A">
        <w:rPr>
          <w:rFonts w:cstheme="minorHAnsi"/>
          <w:color w:val="333333"/>
          <w:sz w:val="24"/>
          <w:szCs w:val="24"/>
        </w:rPr>
        <w:t xml:space="preserve"> </w:t>
      </w:r>
      <w:r w:rsidR="00791E7B">
        <w:rPr>
          <w:rFonts w:cstheme="minorHAnsi"/>
          <w:color w:val="333333"/>
          <w:sz w:val="24"/>
          <w:szCs w:val="24"/>
        </w:rPr>
        <w:t xml:space="preserve">was </w:t>
      </w:r>
      <w:r w:rsidR="004A1DF3">
        <w:rPr>
          <w:rFonts w:cstheme="minorHAnsi"/>
          <w:color w:val="333333"/>
          <w:sz w:val="24"/>
          <w:szCs w:val="24"/>
        </w:rPr>
        <w:t>on the verge of</w:t>
      </w:r>
      <w:r w:rsidR="00791E7B">
        <w:rPr>
          <w:rFonts w:cstheme="minorHAnsi"/>
          <w:color w:val="333333"/>
          <w:sz w:val="24"/>
          <w:szCs w:val="24"/>
        </w:rPr>
        <w:t xml:space="preserve"> causing Violet </w:t>
      </w:r>
      <w:r w:rsidR="00F0279F" w:rsidRPr="00EA203A">
        <w:rPr>
          <w:rFonts w:cstheme="minorHAnsi"/>
          <w:color w:val="333333"/>
          <w:sz w:val="24"/>
          <w:szCs w:val="24"/>
        </w:rPr>
        <w:t>a</w:t>
      </w:r>
      <w:r w:rsidR="00791E7B">
        <w:rPr>
          <w:rFonts w:cstheme="minorHAnsi"/>
          <w:color w:val="333333"/>
          <w:sz w:val="24"/>
          <w:szCs w:val="24"/>
        </w:rPr>
        <w:t xml:space="preserve"> really</w:t>
      </w:r>
      <w:r w:rsidR="00F0279F" w:rsidRPr="00EA203A">
        <w:rPr>
          <w:rFonts w:cstheme="minorHAnsi"/>
          <w:color w:val="333333"/>
          <w:sz w:val="24"/>
          <w:szCs w:val="24"/>
        </w:rPr>
        <w:t xml:space="preserve"> serious </w:t>
      </w:r>
      <w:r w:rsidR="00791E7B">
        <w:rPr>
          <w:rFonts w:cstheme="minorHAnsi"/>
          <w:color w:val="333333"/>
          <w:sz w:val="24"/>
          <w:szCs w:val="24"/>
        </w:rPr>
        <w:t>physical injury</w:t>
      </w:r>
      <w:r w:rsidR="00F0279F" w:rsidRPr="00EA203A">
        <w:rPr>
          <w:rFonts w:cstheme="minorHAnsi"/>
          <w:color w:val="333333"/>
          <w:sz w:val="24"/>
          <w:szCs w:val="24"/>
        </w:rPr>
        <w:t>.</w:t>
      </w:r>
      <w:r w:rsidR="00F0279F">
        <w:rPr>
          <w:rFonts w:cstheme="minorHAnsi"/>
          <w:color w:val="333333"/>
          <w:sz w:val="24"/>
          <w:szCs w:val="24"/>
        </w:rPr>
        <w:t xml:space="preserve"> </w:t>
      </w:r>
      <w:r w:rsidR="004A1DF3">
        <w:rPr>
          <w:rFonts w:cstheme="minorHAnsi"/>
          <w:color w:val="333333"/>
          <w:sz w:val="24"/>
          <w:szCs w:val="24"/>
        </w:rPr>
        <w:t xml:space="preserve"> Unfortunately, there </w:t>
      </w:r>
      <w:r w:rsidR="007235C2">
        <w:rPr>
          <w:rFonts w:cstheme="minorHAnsi"/>
          <w:color w:val="333333"/>
          <w:sz w:val="24"/>
          <w:szCs w:val="24"/>
        </w:rPr>
        <w:t>is still a</w:t>
      </w:r>
      <w:r w:rsidR="004A1DF3">
        <w:rPr>
          <w:rFonts w:cstheme="minorHAnsi"/>
          <w:color w:val="333333"/>
          <w:sz w:val="24"/>
          <w:szCs w:val="24"/>
        </w:rPr>
        <w:t xml:space="preserve"> lack of awareness of this type of </w:t>
      </w:r>
      <w:r w:rsidR="00EC4FC9">
        <w:rPr>
          <w:rFonts w:cstheme="minorHAnsi"/>
          <w:color w:val="333333"/>
          <w:sz w:val="24"/>
          <w:szCs w:val="24"/>
        </w:rPr>
        <w:t xml:space="preserve">behavioural </w:t>
      </w:r>
      <w:r w:rsidR="004A1DF3">
        <w:rPr>
          <w:rFonts w:cstheme="minorHAnsi"/>
          <w:color w:val="333333"/>
          <w:sz w:val="24"/>
          <w:szCs w:val="24"/>
        </w:rPr>
        <w:t xml:space="preserve">progression, and </w:t>
      </w:r>
      <w:r w:rsidR="00EC4FC9">
        <w:rPr>
          <w:rFonts w:cstheme="minorHAnsi"/>
          <w:color w:val="333333"/>
          <w:sz w:val="24"/>
          <w:szCs w:val="24"/>
        </w:rPr>
        <w:t xml:space="preserve">young people require more education to help prepare for </w:t>
      </w:r>
      <w:r w:rsidR="00FC1004">
        <w:rPr>
          <w:rFonts w:cstheme="minorHAnsi"/>
          <w:color w:val="333333"/>
          <w:sz w:val="24"/>
          <w:szCs w:val="24"/>
        </w:rPr>
        <w:t>abusive</w:t>
      </w:r>
      <w:r w:rsidR="00EC4FC9">
        <w:rPr>
          <w:rFonts w:cstheme="minorHAnsi"/>
          <w:color w:val="333333"/>
          <w:sz w:val="24"/>
          <w:szCs w:val="24"/>
        </w:rPr>
        <w:t xml:space="preserve"> relationships that they might encounter.  </w:t>
      </w:r>
    </w:p>
    <w:p w14:paraId="2DCAE935" w14:textId="01FE09A4" w:rsidR="00BD2371" w:rsidRPr="00BD2371" w:rsidRDefault="00727506" w:rsidP="00FC1004">
      <w:pPr>
        <w:spacing w:line="360" w:lineRule="auto"/>
        <w:ind w:firstLine="720"/>
        <w:jc w:val="both"/>
        <w:rPr>
          <w:rFonts w:cstheme="minorHAnsi"/>
          <w:color w:val="333333"/>
          <w:sz w:val="24"/>
          <w:szCs w:val="24"/>
        </w:rPr>
      </w:pPr>
      <w:r>
        <w:rPr>
          <w:rFonts w:cstheme="minorHAnsi"/>
          <w:color w:val="333333"/>
          <w:sz w:val="24"/>
          <w:szCs w:val="24"/>
        </w:rPr>
        <w:t>It has been documented that the process of conducting a risk assessment is ‘highly</w:t>
      </w:r>
      <w:r w:rsidRPr="00727506">
        <w:rPr>
          <w:rFonts w:cstheme="minorHAnsi"/>
          <w:color w:val="333333"/>
          <w:sz w:val="24"/>
          <w:szCs w:val="24"/>
        </w:rPr>
        <w:t xml:space="preserve"> variable, depending both on the officer conducting the interview and the nature of the report</w:t>
      </w:r>
      <w:r>
        <w:rPr>
          <w:rFonts w:cstheme="minorHAnsi"/>
          <w:color w:val="333333"/>
          <w:sz w:val="24"/>
          <w:szCs w:val="24"/>
        </w:rPr>
        <w:t>’</w:t>
      </w:r>
      <w:r w:rsidRPr="00727506">
        <w:rPr>
          <w:rFonts w:cstheme="minorHAnsi"/>
          <w:color w:val="333333"/>
          <w:sz w:val="24"/>
          <w:szCs w:val="24"/>
        </w:rPr>
        <w:t>.</w:t>
      </w:r>
      <w:r w:rsidR="00C2670E">
        <w:rPr>
          <w:rStyle w:val="FootnoteReference"/>
          <w:rFonts w:cstheme="minorHAnsi"/>
          <w:color w:val="333333"/>
          <w:sz w:val="24"/>
          <w:szCs w:val="24"/>
        </w:rPr>
        <w:footnoteReference w:id="53"/>
      </w:r>
      <w:r>
        <w:rPr>
          <w:rFonts w:cstheme="minorHAnsi"/>
          <w:color w:val="333333"/>
          <w:sz w:val="24"/>
          <w:szCs w:val="24"/>
        </w:rPr>
        <w:t xml:space="preserve"> </w:t>
      </w:r>
      <w:r w:rsidR="00EC4FC9">
        <w:rPr>
          <w:rFonts w:cstheme="minorHAnsi"/>
          <w:color w:val="333333"/>
          <w:sz w:val="24"/>
          <w:szCs w:val="24"/>
        </w:rPr>
        <w:t xml:space="preserve">Further, </w:t>
      </w:r>
      <w:r w:rsidR="00207B6B">
        <w:rPr>
          <w:rFonts w:cstheme="minorHAnsi"/>
          <w:color w:val="333333"/>
          <w:sz w:val="24"/>
          <w:szCs w:val="24"/>
        </w:rPr>
        <w:t xml:space="preserve">victims </w:t>
      </w:r>
      <w:r w:rsidR="00EC4FC9">
        <w:rPr>
          <w:rFonts w:cstheme="minorHAnsi"/>
          <w:color w:val="333333"/>
          <w:sz w:val="24"/>
          <w:szCs w:val="24"/>
        </w:rPr>
        <w:t xml:space="preserve">often </w:t>
      </w:r>
      <w:r w:rsidR="00EC0DD6">
        <w:rPr>
          <w:rFonts w:cstheme="minorHAnsi"/>
          <w:color w:val="333333"/>
          <w:sz w:val="24"/>
          <w:szCs w:val="24"/>
        </w:rPr>
        <w:t>refuse</w:t>
      </w:r>
      <w:r w:rsidR="00207B6B">
        <w:rPr>
          <w:rFonts w:cstheme="minorHAnsi"/>
          <w:color w:val="333333"/>
          <w:sz w:val="24"/>
          <w:szCs w:val="24"/>
        </w:rPr>
        <w:t xml:space="preserve"> to undergo </w:t>
      </w:r>
      <w:r w:rsidR="00EC0DD6">
        <w:rPr>
          <w:rFonts w:cstheme="minorHAnsi"/>
          <w:color w:val="333333"/>
          <w:sz w:val="24"/>
          <w:szCs w:val="24"/>
        </w:rPr>
        <w:t>the DARA process</w:t>
      </w:r>
      <w:r w:rsidR="0011225A">
        <w:rPr>
          <w:rFonts w:cstheme="minorHAnsi"/>
          <w:color w:val="333333"/>
          <w:sz w:val="24"/>
          <w:szCs w:val="24"/>
        </w:rPr>
        <w:t>,</w:t>
      </w:r>
      <w:r w:rsidR="00EC0DD6">
        <w:rPr>
          <w:rFonts w:cstheme="minorHAnsi"/>
          <w:color w:val="333333"/>
          <w:sz w:val="24"/>
          <w:szCs w:val="24"/>
        </w:rPr>
        <w:t xml:space="preserve"> </w:t>
      </w:r>
      <w:r w:rsidR="00EC4FC9">
        <w:rPr>
          <w:rFonts w:cstheme="minorHAnsi"/>
          <w:color w:val="333333"/>
          <w:sz w:val="24"/>
          <w:szCs w:val="24"/>
        </w:rPr>
        <w:t xml:space="preserve">some because they do not believe </w:t>
      </w:r>
      <w:r w:rsidR="00216458">
        <w:rPr>
          <w:rFonts w:cstheme="minorHAnsi"/>
          <w:color w:val="333333"/>
          <w:sz w:val="24"/>
          <w:szCs w:val="24"/>
        </w:rPr>
        <w:t>the incident will re-occur</w:t>
      </w:r>
      <w:r w:rsidR="00EC4FC9">
        <w:rPr>
          <w:rFonts w:cstheme="minorHAnsi"/>
          <w:color w:val="333333"/>
          <w:sz w:val="24"/>
          <w:szCs w:val="24"/>
        </w:rPr>
        <w:t xml:space="preserve">, </w:t>
      </w:r>
      <w:r w:rsidR="009F220E">
        <w:rPr>
          <w:rFonts w:cstheme="minorHAnsi"/>
          <w:color w:val="333333"/>
          <w:sz w:val="24"/>
          <w:szCs w:val="24"/>
        </w:rPr>
        <w:t>others because they</w:t>
      </w:r>
      <w:r w:rsidR="00EC4FC9">
        <w:rPr>
          <w:rFonts w:cstheme="minorHAnsi"/>
          <w:color w:val="333333"/>
          <w:sz w:val="24"/>
          <w:szCs w:val="24"/>
        </w:rPr>
        <w:t xml:space="preserve"> are too frightened to involve </w:t>
      </w:r>
      <w:r w:rsidR="001560FE">
        <w:rPr>
          <w:rFonts w:cstheme="minorHAnsi"/>
          <w:color w:val="333333"/>
          <w:sz w:val="24"/>
          <w:szCs w:val="24"/>
        </w:rPr>
        <w:t xml:space="preserve">the </w:t>
      </w:r>
      <w:r w:rsidR="00EC4FC9">
        <w:rPr>
          <w:rFonts w:cstheme="minorHAnsi"/>
          <w:color w:val="333333"/>
          <w:sz w:val="24"/>
          <w:szCs w:val="24"/>
        </w:rPr>
        <w:lastRenderedPageBreak/>
        <w:t>police</w:t>
      </w:r>
      <w:r w:rsidR="009F220E">
        <w:rPr>
          <w:rFonts w:cstheme="minorHAnsi"/>
          <w:color w:val="333333"/>
          <w:sz w:val="24"/>
          <w:szCs w:val="24"/>
        </w:rPr>
        <w:t>.</w:t>
      </w:r>
      <w:r w:rsidR="00322067">
        <w:rPr>
          <w:rStyle w:val="FootnoteReference"/>
          <w:rFonts w:cstheme="minorHAnsi"/>
          <w:color w:val="333333"/>
          <w:sz w:val="24"/>
          <w:szCs w:val="24"/>
        </w:rPr>
        <w:footnoteReference w:id="54"/>
      </w:r>
      <w:r w:rsidR="009F220E">
        <w:rPr>
          <w:rFonts w:cstheme="minorHAnsi"/>
          <w:color w:val="333333"/>
          <w:sz w:val="24"/>
          <w:szCs w:val="24"/>
        </w:rPr>
        <w:t xml:space="preserve"> T</w:t>
      </w:r>
      <w:r w:rsidR="00EC0DD6">
        <w:rPr>
          <w:rFonts w:cstheme="minorHAnsi"/>
          <w:color w:val="333333"/>
          <w:sz w:val="24"/>
          <w:szCs w:val="24"/>
        </w:rPr>
        <w:t xml:space="preserve">his does not mean that they are not at risk. In such circumstances, </w:t>
      </w:r>
      <w:r w:rsidR="00481BF3">
        <w:rPr>
          <w:rFonts w:cstheme="minorHAnsi"/>
          <w:color w:val="333333"/>
          <w:sz w:val="24"/>
          <w:szCs w:val="24"/>
        </w:rPr>
        <w:t xml:space="preserve">some </w:t>
      </w:r>
      <w:r w:rsidR="00207B6B">
        <w:rPr>
          <w:rFonts w:cstheme="minorHAnsi"/>
          <w:color w:val="333333"/>
          <w:sz w:val="24"/>
          <w:szCs w:val="24"/>
        </w:rPr>
        <w:t xml:space="preserve">officers </w:t>
      </w:r>
      <w:r w:rsidR="00EC0DD6">
        <w:rPr>
          <w:rFonts w:cstheme="minorHAnsi"/>
          <w:color w:val="333333"/>
          <w:sz w:val="24"/>
          <w:szCs w:val="24"/>
        </w:rPr>
        <w:t>attempt</w:t>
      </w:r>
      <w:r w:rsidR="00207B6B">
        <w:rPr>
          <w:rFonts w:cstheme="minorHAnsi"/>
          <w:color w:val="333333"/>
          <w:sz w:val="24"/>
          <w:szCs w:val="24"/>
        </w:rPr>
        <w:t xml:space="preserve"> to gather evidence from other sources, for example family </w:t>
      </w:r>
      <w:r w:rsidR="00EC0DD6">
        <w:rPr>
          <w:rFonts w:cstheme="minorHAnsi"/>
          <w:color w:val="333333"/>
          <w:sz w:val="24"/>
          <w:szCs w:val="24"/>
        </w:rPr>
        <w:t>or friends</w:t>
      </w:r>
      <w:r w:rsidR="00207B6B">
        <w:rPr>
          <w:rFonts w:cstheme="minorHAnsi"/>
          <w:color w:val="333333"/>
          <w:sz w:val="24"/>
          <w:szCs w:val="24"/>
        </w:rPr>
        <w:t xml:space="preserve">, </w:t>
      </w:r>
      <w:r w:rsidR="00481BF3">
        <w:rPr>
          <w:rFonts w:cstheme="minorHAnsi"/>
          <w:color w:val="333333"/>
          <w:sz w:val="24"/>
          <w:szCs w:val="24"/>
        </w:rPr>
        <w:t>whilst other officers will record their interpretation of the situation.</w:t>
      </w:r>
      <w:r w:rsidR="00D1224A">
        <w:rPr>
          <w:rStyle w:val="FootnoteReference"/>
          <w:rFonts w:cstheme="minorHAnsi"/>
          <w:color w:val="333333"/>
          <w:sz w:val="24"/>
          <w:szCs w:val="24"/>
        </w:rPr>
        <w:footnoteReference w:id="55"/>
      </w:r>
      <w:r w:rsidR="00322067">
        <w:rPr>
          <w:rFonts w:cstheme="minorHAnsi"/>
          <w:color w:val="333333"/>
          <w:sz w:val="24"/>
          <w:szCs w:val="24"/>
        </w:rPr>
        <w:t xml:space="preserve"> </w:t>
      </w:r>
      <w:r w:rsidR="00D1224A">
        <w:rPr>
          <w:rFonts w:cstheme="minorHAnsi"/>
          <w:color w:val="333333"/>
          <w:sz w:val="24"/>
          <w:szCs w:val="24"/>
        </w:rPr>
        <w:t>H</w:t>
      </w:r>
      <w:r w:rsidR="00216458">
        <w:rPr>
          <w:rFonts w:cstheme="minorHAnsi"/>
          <w:color w:val="333333"/>
          <w:sz w:val="24"/>
          <w:szCs w:val="24"/>
        </w:rPr>
        <w:t>owever, more</w:t>
      </w:r>
      <w:r w:rsidR="00207B6B">
        <w:rPr>
          <w:rFonts w:cstheme="minorHAnsi"/>
          <w:color w:val="333333"/>
          <w:sz w:val="24"/>
          <w:szCs w:val="24"/>
        </w:rPr>
        <w:t xml:space="preserve"> </w:t>
      </w:r>
      <w:r w:rsidR="00BD2371" w:rsidRPr="00BD2371">
        <w:rPr>
          <w:rFonts w:cstheme="minorHAnsi"/>
          <w:color w:val="333333"/>
          <w:sz w:val="24"/>
          <w:szCs w:val="24"/>
        </w:rPr>
        <w:t xml:space="preserve">training </w:t>
      </w:r>
      <w:r w:rsidR="00207B6B">
        <w:rPr>
          <w:rFonts w:cstheme="minorHAnsi"/>
          <w:color w:val="333333"/>
          <w:sz w:val="24"/>
          <w:szCs w:val="24"/>
        </w:rPr>
        <w:t xml:space="preserve">is required to assist </w:t>
      </w:r>
      <w:r w:rsidR="00D1224A">
        <w:rPr>
          <w:rFonts w:cstheme="minorHAnsi"/>
          <w:color w:val="333333"/>
          <w:sz w:val="24"/>
          <w:szCs w:val="24"/>
        </w:rPr>
        <w:t>police and health workers</w:t>
      </w:r>
      <w:r w:rsidR="00207B6B">
        <w:rPr>
          <w:rFonts w:cstheme="minorHAnsi"/>
          <w:color w:val="333333"/>
          <w:sz w:val="24"/>
          <w:szCs w:val="24"/>
        </w:rPr>
        <w:t xml:space="preserve"> </w:t>
      </w:r>
      <w:r w:rsidR="00D1224A">
        <w:rPr>
          <w:rFonts w:cstheme="minorHAnsi"/>
          <w:color w:val="333333"/>
          <w:sz w:val="24"/>
          <w:szCs w:val="24"/>
        </w:rPr>
        <w:t xml:space="preserve">in </w:t>
      </w:r>
      <w:r w:rsidR="009F220E">
        <w:rPr>
          <w:rFonts w:cstheme="minorHAnsi"/>
          <w:color w:val="333333"/>
          <w:sz w:val="24"/>
          <w:szCs w:val="24"/>
        </w:rPr>
        <w:t>build</w:t>
      </w:r>
      <w:r w:rsidR="00D1224A">
        <w:rPr>
          <w:rFonts w:cstheme="minorHAnsi"/>
          <w:color w:val="333333"/>
          <w:sz w:val="24"/>
          <w:szCs w:val="24"/>
        </w:rPr>
        <w:t>ing</w:t>
      </w:r>
      <w:r w:rsidR="009F220E">
        <w:rPr>
          <w:rFonts w:cstheme="minorHAnsi"/>
          <w:color w:val="333333"/>
          <w:sz w:val="24"/>
          <w:szCs w:val="24"/>
        </w:rPr>
        <w:t xml:space="preserve"> trust with victims, </w:t>
      </w:r>
      <w:r w:rsidR="00D1224A">
        <w:rPr>
          <w:rFonts w:cstheme="minorHAnsi"/>
          <w:color w:val="333333"/>
          <w:sz w:val="24"/>
          <w:szCs w:val="24"/>
        </w:rPr>
        <w:t xml:space="preserve">to </w:t>
      </w:r>
      <w:r>
        <w:rPr>
          <w:rFonts w:cstheme="minorHAnsi"/>
          <w:color w:val="333333"/>
          <w:sz w:val="24"/>
          <w:szCs w:val="24"/>
        </w:rPr>
        <w:t xml:space="preserve">conduct risk assessment effectively </w:t>
      </w:r>
      <w:r w:rsidR="009F220E">
        <w:rPr>
          <w:rFonts w:cstheme="minorHAnsi"/>
          <w:color w:val="333333"/>
          <w:sz w:val="24"/>
          <w:szCs w:val="24"/>
        </w:rPr>
        <w:t>and</w:t>
      </w:r>
      <w:r w:rsidR="00D1224A">
        <w:rPr>
          <w:rFonts w:cstheme="minorHAnsi"/>
          <w:color w:val="333333"/>
          <w:sz w:val="24"/>
          <w:szCs w:val="24"/>
        </w:rPr>
        <w:t>/or</w:t>
      </w:r>
      <w:r w:rsidR="00207B6B">
        <w:rPr>
          <w:rFonts w:cstheme="minorHAnsi"/>
          <w:color w:val="333333"/>
          <w:sz w:val="24"/>
          <w:szCs w:val="24"/>
        </w:rPr>
        <w:t xml:space="preserve"> </w:t>
      </w:r>
      <w:r w:rsidR="000D16C3">
        <w:rPr>
          <w:rFonts w:cstheme="minorHAnsi"/>
          <w:color w:val="333333"/>
          <w:sz w:val="24"/>
          <w:szCs w:val="24"/>
        </w:rPr>
        <w:t xml:space="preserve">listen to and </w:t>
      </w:r>
      <w:r w:rsidR="00207B6B">
        <w:rPr>
          <w:rFonts w:cstheme="minorHAnsi"/>
          <w:color w:val="333333"/>
          <w:sz w:val="24"/>
          <w:szCs w:val="24"/>
        </w:rPr>
        <w:t>gather intelligence.</w:t>
      </w:r>
      <w:r w:rsidR="00322067">
        <w:rPr>
          <w:rStyle w:val="FootnoteReference"/>
          <w:rFonts w:cstheme="minorHAnsi"/>
          <w:color w:val="333333"/>
          <w:sz w:val="24"/>
          <w:szCs w:val="24"/>
        </w:rPr>
        <w:footnoteReference w:id="56"/>
      </w:r>
      <w:r w:rsidR="00BD2371" w:rsidRPr="00BD2371">
        <w:rPr>
          <w:rFonts w:cstheme="minorHAnsi"/>
          <w:color w:val="333333"/>
          <w:sz w:val="24"/>
          <w:szCs w:val="24"/>
        </w:rPr>
        <w:t xml:space="preserve"> </w:t>
      </w:r>
    </w:p>
    <w:p w14:paraId="35127C32" w14:textId="00F0126C" w:rsidR="008C186E" w:rsidRDefault="00F42873" w:rsidP="0011225A">
      <w:pPr>
        <w:spacing w:line="360" w:lineRule="auto"/>
        <w:ind w:firstLine="720"/>
        <w:jc w:val="both"/>
        <w:rPr>
          <w:rFonts w:cstheme="minorHAnsi"/>
          <w:color w:val="333333"/>
          <w:sz w:val="24"/>
          <w:szCs w:val="24"/>
        </w:rPr>
      </w:pPr>
      <w:r>
        <w:rPr>
          <w:rFonts w:cstheme="minorHAnsi"/>
          <w:color w:val="333333"/>
          <w:sz w:val="24"/>
          <w:szCs w:val="24"/>
        </w:rPr>
        <w:t xml:space="preserve">In respect of the judgment itself, </w:t>
      </w:r>
      <w:r w:rsidR="00F0279F">
        <w:rPr>
          <w:rFonts w:cstheme="minorHAnsi"/>
          <w:color w:val="333333"/>
          <w:sz w:val="24"/>
          <w:szCs w:val="24"/>
        </w:rPr>
        <w:t>Violet was a double victim of her time. Firstly</w:t>
      </w:r>
      <w:r w:rsidR="004E7E3A">
        <w:rPr>
          <w:rFonts w:cstheme="minorHAnsi"/>
          <w:color w:val="333333"/>
          <w:sz w:val="24"/>
          <w:szCs w:val="24"/>
        </w:rPr>
        <w:t>,</w:t>
      </w:r>
      <w:r w:rsidR="00F0279F">
        <w:rPr>
          <w:rFonts w:cstheme="minorHAnsi"/>
          <w:color w:val="333333"/>
          <w:sz w:val="24"/>
          <w:szCs w:val="24"/>
        </w:rPr>
        <w:t xml:space="preserve"> she was failed by policing method</w:t>
      </w:r>
      <w:r>
        <w:rPr>
          <w:rFonts w:cstheme="minorHAnsi"/>
          <w:color w:val="333333"/>
          <w:sz w:val="24"/>
          <w:szCs w:val="24"/>
        </w:rPr>
        <w:t>ology</w:t>
      </w:r>
      <w:r w:rsidR="00F0279F">
        <w:rPr>
          <w:rFonts w:cstheme="minorHAnsi"/>
          <w:color w:val="333333"/>
          <w:sz w:val="24"/>
          <w:szCs w:val="24"/>
        </w:rPr>
        <w:t xml:space="preserve"> and</w:t>
      </w:r>
      <w:r w:rsidR="001D7B52">
        <w:rPr>
          <w:rFonts w:cstheme="minorHAnsi"/>
          <w:color w:val="333333"/>
          <w:sz w:val="24"/>
          <w:szCs w:val="24"/>
        </w:rPr>
        <w:t>,</w:t>
      </w:r>
      <w:r w:rsidR="004F7E78">
        <w:rPr>
          <w:rFonts w:cstheme="minorHAnsi"/>
          <w:color w:val="333333"/>
          <w:sz w:val="24"/>
          <w:szCs w:val="24"/>
        </w:rPr>
        <w:t xml:space="preserve"> crucially,</w:t>
      </w:r>
      <w:r w:rsidR="00F0279F">
        <w:rPr>
          <w:rFonts w:cstheme="minorHAnsi"/>
          <w:color w:val="333333"/>
          <w:sz w:val="24"/>
          <w:szCs w:val="24"/>
        </w:rPr>
        <w:t xml:space="preserve"> she was failed by the </w:t>
      </w:r>
      <w:r w:rsidR="007235C2">
        <w:rPr>
          <w:rFonts w:cstheme="minorHAnsi"/>
          <w:color w:val="333333"/>
          <w:sz w:val="24"/>
          <w:szCs w:val="24"/>
        </w:rPr>
        <w:t>legal system</w:t>
      </w:r>
      <w:r w:rsidR="00F0279F">
        <w:rPr>
          <w:rFonts w:cstheme="minorHAnsi"/>
          <w:color w:val="333333"/>
          <w:sz w:val="24"/>
          <w:szCs w:val="24"/>
        </w:rPr>
        <w:t>.</w:t>
      </w:r>
      <w:r w:rsidR="00E479FC">
        <w:rPr>
          <w:rFonts w:cstheme="minorHAnsi"/>
          <w:color w:val="333333"/>
          <w:sz w:val="24"/>
          <w:szCs w:val="24"/>
        </w:rPr>
        <w:t xml:space="preserve"> </w:t>
      </w:r>
      <w:r w:rsidR="00AE5D77">
        <w:rPr>
          <w:rFonts w:cstheme="minorHAnsi"/>
          <w:color w:val="333333"/>
          <w:sz w:val="24"/>
          <w:szCs w:val="24"/>
        </w:rPr>
        <w:t>L</w:t>
      </w:r>
      <w:r w:rsidR="007235C2">
        <w:rPr>
          <w:rFonts w:cstheme="minorHAnsi"/>
          <w:color w:val="333333"/>
          <w:sz w:val="24"/>
          <w:szCs w:val="24"/>
        </w:rPr>
        <w:t xml:space="preserve">egislation prevented a re-trial based </w:t>
      </w:r>
      <w:r w:rsidR="00E479FC">
        <w:rPr>
          <w:rFonts w:cstheme="minorHAnsi"/>
          <w:color w:val="333333"/>
          <w:sz w:val="24"/>
          <w:szCs w:val="24"/>
        </w:rPr>
        <w:t>on</w:t>
      </w:r>
      <w:r w:rsidR="007235C2">
        <w:rPr>
          <w:rFonts w:cstheme="minorHAnsi"/>
          <w:color w:val="333333"/>
          <w:sz w:val="24"/>
          <w:szCs w:val="24"/>
        </w:rPr>
        <w:t xml:space="preserve"> misdirection, nor did the House of Lords see fit to substitute an alternative </w:t>
      </w:r>
      <w:r w:rsidR="00FF57D1">
        <w:rPr>
          <w:rFonts w:cstheme="minorHAnsi"/>
          <w:color w:val="333333"/>
          <w:sz w:val="24"/>
          <w:szCs w:val="24"/>
        </w:rPr>
        <w:t>verdict and sentence</w:t>
      </w:r>
      <w:r w:rsidR="007235C2">
        <w:rPr>
          <w:rFonts w:cstheme="minorHAnsi"/>
          <w:color w:val="333333"/>
          <w:sz w:val="24"/>
          <w:szCs w:val="24"/>
        </w:rPr>
        <w:t>.</w:t>
      </w:r>
      <w:r w:rsidR="00AE5D77">
        <w:rPr>
          <w:rFonts w:cstheme="minorHAnsi"/>
          <w:color w:val="333333"/>
          <w:sz w:val="24"/>
          <w:szCs w:val="24"/>
        </w:rPr>
        <w:t xml:space="preserve"> </w:t>
      </w:r>
      <w:r w:rsidR="00F0279F">
        <w:rPr>
          <w:rFonts w:cstheme="minorHAnsi"/>
          <w:color w:val="333333"/>
          <w:sz w:val="24"/>
          <w:szCs w:val="24"/>
        </w:rPr>
        <w:t>It is more than possible that ‘</w:t>
      </w:r>
      <w:r w:rsidR="00F0279F" w:rsidRPr="00EA203A">
        <w:rPr>
          <w:rFonts w:cstheme="minorHAnsi"/>
          <w:color w:val="333333"/>
          <w:sz w:val="24"/>
          <w:szCs w:val="24"/>
        </w:rPr>
        <w:t>very old ideas about the place of women in society</w:t>
      </w:r>
      <w:r w:rsidR="00F0279F">
        <w:rPr>
          <w:rFonts w:cstheme="minorHAnsi"/>
          <w:color w:val="333333"/>
          <w:sz w:val="24"/>
          <w:szCs w:val="24"/>
        </w:rPr>
        <w:t>’</w:t>
      </w:r>
      <w:r w:rsidR="0062587D">
        <w:rPr>
          <w:rStyle w:val="FootnoteReference"/>
          <w:rFonts w:cstheme="minorHAnsi"/>
          <w:color w:val="333333"/>
          <w:sz w:val="24"/>
          <w:szCs w:val="24"/>
        </w:rPr>
        <w:footnoteReference w:id="57"/>
      </w:r>
      <w:r w:rsidR="00F0279F">
        <w:rPr>
          <w:rFonts w:cstheme="minorHAnsi"/>
          <w:color w:val="333333"/>
          <w:sz w:val="24"/>
          <w:szCs w:val="24"/>
        </w:rPr>
        <w:t xml:space="preserve"> allowed the defendant’s appeal to be successful. </w:t>
      </w:r>
      <w:r w:rsidR="004F7E78">
        <w:rPr>
          <w:rFonts w:cstheme="minorHAnsi"/>
          <w:color w:val="333333"/>
          <w:sz w:val="24"/>
          <w:szCs w:val="24"/>
        </w:rPr>
        <w:t>Today</w:t>
      </w:r>
      <w:r w:rsidR="00182197">
        <w:rPr>
          <w:rFonts w:cstheme="minorHAnsi"/>
          <w:color w:val="333333"/>
          <w:sz w:val="24"/>
          <w:szCs w:val="24"/>
        </w:rPr>
        <w:t>, the</w:t>
      </w:r>
      <w:r w:rsidR="004F7E78">
        <w:rPr>
          <w:rFonts w:cstheme="minorHAnsi"/>
          <w:color w:val="333333"/>
          <w:sz w:val="24"/>
          <w:szCs w:val="24"/>
        </w:rPr>
        <w:t xml:space="preserve"> Supreme </w:t>
      </w:r>
      <w:r w:rsidR="001D2754">
        <w:rPr>
          <w:rFonts w:cstheme="minorHAnsi"/>
          <w:color w:val="333333"/>
          <w:sz w:val="24"/>
          <w:szCs w:val="24"/>
        </w:rPr>
        <w:t>Court's</w:t>
      </w:r>
      <w:r w:rsidR="004F7E78">
        <w:rPr>
          <w:rFonts w:cstheme="minorHAnsi"/>
          <w:color w:val="333333"/>
          <w:sz w:val="24"/>
          <w:szCs w:val="24"/>
        </w:rPr>
        <w:t xml:space="preserve"> focus </w:t>
      </w:r>
      <w:r w:rsidR="00182197">
        <w:rPr>
          <w:rFonts w:cstheme="minorHAnsi"/>
          <w:color w:val="333333"/>
          <w:sz w:val="24"/>
          <w:szCs w:val="24"/>
        </w:rPr>
        <w:t xml:space="preserve">is </w:t>
      </w:r>
      <w:r w:rsidR="004F7E78">
        <w:rPr>
          <w:rFonts w:cstheme="minorHAnsi"/>
          <w:color w:val="333333"/>
          <w:sz w:val="24"/>
          <w:szCs w:val="24"/>
        </w:rPr>
        <w:t xml:space="preserve">on legal issues, and </w:t>
      </w:r>
      <w:r w:rsidR="001D2754">
        <w:rPr>
          <w:rFonts w:cstheme="minorHAnsi"/>
          <w:color w:val="333333"/>
          <w:sz w:val="24"/>
          <w:szCs w:val="24"/>
        </w:rPr>
        <w:t xml:space="preserve">it </w:t>
      </w:r>
      <w:r w:rsidR="004F7E78">
        <w:rPr>
          <w:rFonts w:cstheme="minorHAnsi"/>
          <w:color w:val="333333"/>
          <w:sz w:val="24"/>
          <w:szCs w:val="24"/>
        </w:rPr>
        <w:t>accept</w:t>
      </w:r>
      <w:r w:rsidR="001D2754">
        <w:rPr>
          <w:rFonts w:cstheme="minorHAnsi"/>
          <w:color w:val="333333"/>
          <w:sz w:val="24"/>
          <w:szCs w:val="24"/>
        </w:rPr>
        <w:t>s</w:t>
      </w:r>
      <w:r w:rsidR="004F7E78">
        <w:rPr>
          <w:rFonts w:cstheme="minorHAnsi"/>
          <w:color w:val="333333"/>
          <w:sz w:val="24"/>
          <w:szCs w:val="24"/>
        </w:rPr>
        <w:t xml:space="preserve"> the facts as previously documented. The Court at first instance heard dam</w:t>
      </w:r>
      <w:r w:rsidR="00110873">
        <w:rPr>
          <w:rFonts w:cstheme="minorHAnsi"/>
          <w:color w:val="333333"/>
          <w:sz w:val="24"/>
          <w:szCs w:val="24"/>
        </w:rPr>
        <w:t>n</w:t>
      </w:r>
      <w:r w:rsidR="004F7E78">
        <w:rPr>
          <w:rFonts w:cstheme="minorHAnsi"/>
          <w:color w:val="333333"/>
          <w:sz w:val="24"/>
          <w:szCs w:val="24"/>
        </w:rPr>
        <w:t xml:space="preserve">ing evidence in respect of </w:t>
      </w:r>
      <w:proofErr w:type="spellStart"/>
      <w:r w:rsidR="004F7E78">
        <w:rPr>
          <w:rFonts w:cstheme="minorHAnsi"/>
          <w:color w:val="333333"/>
          <w:sz w:val="24"/>
          <w:szCs w:val="24"/>
        </w:rPr>
        <w:t>Woolmington’s</w:t>
      </w:r>
      <w:proofErr w:type="spellEnd"/>
      <w:r w:rsidR="004F7E78">
        <w:rPr>
          <w:rFonts w:cstheme="minorHAnsi"/>
          <w:color w:val="333333"/>
          <w:sz w:val="24"/>
          <w:szCs w:val="24"/>
        </w:rPr>
        <w:t xml:space="preserve"> maltreatment of Violet </w:t>
      </w:r>
      <w:r w:rsidR="001D2754">
        <w:rPr>
          <w:rFonts w:cstheme="minorHAnsi"/>
          <w:color w:val="333333"/>
          <w:sz w:val="24"/>
          <w:szCs w:val="24"/>
        </w:rPr>
        <w:t>before</w:t>
      </w:r>
      <w:r w:rsidR="004F7E78">
        <w:rPr>
          <w:rFonts w:cstheme="minorHAnsi"/>
          <w:color w:val="333333"/>
          <w:sz w:val="24"/>
          <w:szCs w:val="24"/>
        </w:rPr>
        <w:t xml:space="preserve"> her death.</w:t>
      </w:r>
      <w:r w:rsidR="00F0279F">
        <w:rPr>
          <w:rFonts w:cstheme="minorHAnsi"/>
          <w:color w:val="333333"/>
          <w:sz w:val="24"/>
          <w:szCs w:val="24"/>
        </w:rPr>
        <w:t xml:space="preserve"> </w:t>
      </w:r>
      <w:r w:rsidR="00033C86">
        <w:rPr>
          <w:rFonts w:cstheme="minorHAnsi"/>
          <w:color w:val="333333"/>
          <w:sz w:val="24"/>
          <w:szCs w:val="24"/>
        </w:rPr>
        <w:t>I</w:t>
      </w:r>
      <w:r w:rsidR="00033C86" w:rsidRPr="00033C86">
        <w:rPr>
          <w:rFonts w:cstheme="minorHAnsi"/>
          <w:color w:val="333333"/>
          <w:sz w:val="24"/>
          <w:szCs w:val="24"/>
        </w:rPr>
        <w:t xml:space="preserve">n </w:t>
      </w:r>
      <w:r w:rsidR="00033C86">
        <w:rPr>
          <w:rFonts w:cstheme="minorHAnsi"/>
          <w:color w:val="333333"/>
          <w:sz w:val="24"/>
          <w:szCs w:val="24"/>
        </w:rPr>
        <w:t xml:space="preserve">playing down the details of the violence that </w:t>
      </w:r>
      <w:proofErr w:type="spellStart"/>
      <w:r w:rsidR="00033C86">
        <w:rPr>
          <w:rFonts w:cstheme="minorHAnsi"/>
          <w:color w:val="333333"/>
          <w:sz w:val="24"/>
          <w:szCs w:val="24"/>
        </w:rPr>
        <w:t>Woolmington</w:t>
      </w:r>
      <w:proofErr w:type="spellEnd"/>
      <w:r w:rsidR="00033C86">
        <w:rPr>
          <w:rFonts w:cstheme="minorHAnsi"/>
          <w:color w:val="333333"/>
          <w:sz w:val="24"/>
          <w:szCs w:val="24"/>
        </w:rPr>
        <w:t xml:space="preserve"> inflicted on Violet and </w:t>
      </w:r>
      <w:r w:rsidR="00033C86" w:rsidRPr="00033C86">
        <w:rPr>
          <w:rFonts w:cstheme="minorHAnsi"/>
          <w:color w:val="333333"/>
          <w:sz w:val="24"/>
          <w:szCs w:val="24"/>
        </w:rPr>
        <w:t xml:space="preserve">failing to make use </w:t>
      </w:r>
      <w:r w:rsidR="00033C86" w:rsidRPr="00410C68">
        <w:rPr>
          <w:rFonts w:cstheme="minorHAnsi"/>
          <w:color w:val="333333"/>
          <w:sz w:val="24"/>
          <w:szCs w:val="24"/>
        </w:rPr>
        <w:t>of s</w:t>
      </w:r>
      <w:r w:rsidR="00410C68" w:rsidRPr="00410C68">
        <w:rPr>
          <w:rFonts w:cstheme="minorHAnsi"/>
          <w:color w:val="333333"/>
          <w:sz w:val="24"/>
          <w:szCs w:val="24"/>
        </w:rPr>
        <w:t>5(2)</w:t>
      </w:r>
      <w:r w:rsidR="00033C86" w:rsidRPr="00410C68">
        <w:rPr>
          <w:rFonts w:cstheme="minorHAnsi"/>
          <w:color w:val="333333"/>
          <w:sz w:val="24"/>
          <w:szCs w:val="24"/>
        </w:rPr>
        <w:t xml:space="preserve"> </w:t>
      </w:r>
      <w:r w:rsidR="00DA77F3">
        <w:rPr>
          <w:rFonts w:cstheme="minorHAnsi"/>
          <w:color w:val="333333"/>
          <w:sz w:val="24"/>
          <w:szCs w:val="24"/>
        </w:rPr>
        <w:t xml:space="preserve">of </w:t>
      </w:r>
      <w:r w:rsidR="00033C86" w:rsidRPr="00410C68">
        <w:rPr>
          <w:rFonts w:cstheme="minorHAnsi"/>
          <w:color w:val="333333"/>
          <w:sz w:val="24"/>
          <w:szCs w:val="24"/>
        </w:rPr>
        <w:t>Criminal Appeal Act 1907 t</w:t>
      </w:r>
      <w:r w:rsidR="00033C86">
        <w:rPr>
          <w:rFonts w:cstheme="minorHAnsi"/>
          <w:color w:val="333333"/>
          <w:sz w:val="24"/>
          <w:szCs w:val="24"/>
        </w:rPr>
        <w:t xml:space="preserve">o substitute an alternative verdict, the House of Lords </w:t>
      </w:r>
      <w:r w:rsidR="00033C86" w:rsidRPr="00033C86">
        <w:rPr>
          <w:rFonts w:cstheme="minorHAnsi"/>
          <w:color w:val="333333"/>
          <w:sz w:val="24"/>
          <w:szCs w:val="24"/>
        </w:rPr>
        <w:t>appear</w:t>
      </w:r>
      <w:r w:rsidR="00BE5F1D">
        <w:rPr>
          <w:rFonts w:cstheme="minorHAnsi"/>
          <w:color w:val="333333"/>
          <w:sz w:val="24"/>
          <w:szCs w:val="24"/>
        </w:rPr>
        <w:t>s</w:t>
      </w:r>
      <w:r w:rsidR="00033C86" w:rsidRPr="00033C86">
        <w:rPr>
          <w:rFonts w:cstheme="minorHAnsi"/>
          <w:color w:val="333333"/>
          <w:sz w:val="24"/>
          <w:szCs w:val="24"/>
        </w:rPr>
        <w:t xml:space="preserve"> to have indirectly condoned </w:t>
      </w:r>
      <w:r w:rsidR="00033C86">
        <w:rPr>
          <w:rFonts w:cstheme="minorHAnsi"/>
          <w:color w:val="333333"/>
          <w:sz w:val="24"/>
          <w:szCs w:val="24"/>
        </w:rPr>
        <w:t xml:space="preserve">violence against women and girls. </w:t>
      </w:r>
    </w:p>
    <w:p w14:paraId="20C83D46" w14:textId="6EC7D8E9" w:rsidR="00E613B4" w:rsidRPr="00E613B4" w:rsidRDefault="00F0279F" w:rsidP="00C9683F">
      <w:pPr>
        <w:spacing w:line="360" w:lineRule="auto"/>
        <w:ind w:firstLine="720"/>
        <w:jc w:val="both"/>
        <w:rPr>
          <w:rFonts w:cstheme="minorHAnsi"/>
          <w:color w:val="333333"/>
          <w:sz w:val="24"/>
          <w:szCs w:val="24"/>
        </w:rPr>
      </w:pPr>
      <w:r>
        <w:rPr>
          <w:rFonts w:cstheme="minorHAnsi"/>
          <w:color w:val="333333"/>
          <w:sz w:val="24"/>
          <w:szCs w:val="24"/>
        </w:rPr>
        <w:t>The legal landscape has since changed considerably</w:t>
      </w:r>
      <w:r w:rsidR="00BE5F1D">
        <w:rPr>
          <w:rFonts w:cstheme="minorHAnsi"/>
          <w:color w:val="333333"/>
          <w:sz w:val="24"/>
          <w:szCs w:val="24"/>
        </w:rPr>
        <w:t>;</w:t>
      </w:r>
      <w:r>
        <w:rPr>
          <w:rFonts w:cstheme="minorHAnsi"/>
          <w:color w:val="333333"/>
          <w:sz w:val="24"/>
          <w:szCs w:val="24"/>
        </w:rPr>
        <w:t xml:space="preserve"> the death penalty has been abolished and partial defences to murder, including loss of control and diminished responsibility, are available for defendants</w:t>
      </w:r>
      <w:r w:rsidR="003D3E40">
        <w:rPr>
          <w:rFonts w:cstheme="minorHAnsi"/>
          <w:color w:val="333333"/>
          <w:sz w:val="24"/>
          <w:szCs w:val="24"/>
        </w:rPr>
        <w:t>. H</w:t>
      </w:r>
      <w:r w:rsidR="00F42873">
        <w:rPr>
          <w:rFonts w:cstheme="minorHAnsi"/>
          <w:color w:val="333333"/>
          <w:sz w:val="24"/>
          <w:szCs w:val="24"/>
        </w:rPr>
        <w:t xml:space="preserve">owever, </w:t>
      </w:r>
      <w:r w:rsidR="008C186E">
        <w:rPr>
          <w:rFonts w:cstheme="minorHAnsi"/>
          <w:color w:val="333333"/>
          <w:sz w:val="24"/>
          <w:szCs w:val="24"/>
        </w:rPr>
        <w:t xml:space="preserve">gendered </w:t>
      </w:r>
      <w:r w:rsidR="00033C86">
        <w:rPr>
          <w:rFonts w:cstheme="minorHAnsi"/>
          <w:color w:val="333333"/>
          <w:sz w:val="24"/>
          <w:szCs w:val="24"/>
        </w:rPr>
        <w:t>violence</w:t>
      </w:r>
      <w:r w:rsidR="00F42873">
        <w:rPr>
          <w:rFonts w:cstheme="minorHAnsi"/>
          <w:color w:val="333333"/>
          <w:sz w:val="24"/>
          <w:szCs w:val="24"/>
        </w:rPr>
        <w:t xml:space="preserve"> </w:t>
      </w:r>
      <w:r w:rsidR="003D3E40">
        <w:rPr>
          <w:rFonts w:cstheme="minorHAnsi"/>
          <w:color w:val="333333"/>
          <w:sz w:val="24"/>
          <w:szCs w:val="24"/>
        </w:rPr>
        <w:t xml:space="preserve">and abuse </w:t>
      </w:r>
      <w:r w:rsidR="008C186E">
        <w:rPr>
          <w:rFonts w:cstheme="minorHAnsi"/>
          <w:color w:val="333333"/>
          <w:sz w:val="24"/>
          <w:szCs w:val="24"/>
        </w:rPr>
        <w:t xml:space="preserve">remain. </w:t>
      </w:r>
      <w:r w:rsidR="0073103A">
        <w:rPr>
          <w:rFonts w:cstheme="minorHAnsi"/>
          <w:color w:val="333333"/>
          <w:sz w:val="24"/>
          <w:szCs w:val="24"/>
        </w:rPr>
        <w:t>Therefore,</w:t>
      </w:r>
      <w:r>
        <w:rPr>
          <w:rFonts w:cstheme="minorHAnsi"/>
          <w:color w:val="333333"/>
          <w:sz w:val="24"/>
          <w:szCs w:val="24"/>
        </w:rPr>
        <w:t xml:space="preserve"> it is more crucial than ever that investigators and judges pursue domestic </w:t>
      </w:r>
      <w:r w:rsidR="008C186E">
        <w:rPr>
          <w:rFonts w:cstheme="minorHAnsi"/>
          <w:color w:val="333333"/>
          <w:sz w:val="24"/>
          <w:szCs w:val="24"/>
        </w:rPr>
        <w:t>abuse</w:t>
      </w:r>
      <w:r>
        <w:rPr>
          <w:rFonts w:cstheme="minorHAnsi"/>
          <w:color w:val="333333"/>
          <w:sz w:val="24"/>
          <w:szCs w:val="24"/>
        </w:rPr>
        <w:t xml:space="preserve"> cases rigorously, without personal bias</w:t>
      </w:r>
      <w:r w:rsidR="00A71F50">
        <w:rPr>
          <w:rFonts w:cstheme="minorHAnsi"/>
          <w:color w:val="333333"/>
          <w:sz w:val="24"/>
          <w:szCs w:val="24"/>
        </w:rPr>
        <w:t>.</w:t>
      </w:r>
      <w:r>
        <w:rPr>
          <w:rFonts w:cstheme="minorHAnsi"/>
          <w:color w:val="333333"/>
          <w:sz w:val="24"/>
          <w:szCs w:val="24"/>
        </w:rPr>
        <w:t xml:space="preserve"> </w:t>
      </w:r>
      <w:r w:rsidR="00E613B4">
        <w:rPr>
          <w:rFonts w:cstheme="minorHAnsi"/>
          <w:color w:val="333333"/>
          <w:sz w:val="24"/>
          <w:szCs w:val="24"/>
        </w:rPr>
        <w:t>It</w:t>
      </w:r>
      <w:r>
        <w:rPr>
          <w:rFonts w:cstheme="minorHAnsi"/>
          <w:color w:val="333333"/>
          <w:sz w:val="24"/>
          <w:szCs w:val="24"/>
        </w:rPr>
        <w:t xml:space="preserve"> would be hard to deny that in a criminal trial the prosecution </w:t>
      </w:r>
      <w:r w:rsidRPr="00CE7D75">
        <w:rPr>
          <w:rFonts w:cstheme="minorHAnsi"/>
          <w:color w:val="333333"/>
          <w:sz w:val="24"/>
          <w:szCs w:val="24"/>
        </w:rPr>
        <w:t>should bear the burden of proof</w:t>
      </w:r>
      <w:r>
        <w:rPr>
          <w:rFonts w:cstheme="minorHAnsi"/>
          <w:color w:val="333333"/>
          <w:sz w:val="24"/>
          <w:szCs w:val="24"/>
        </w:rPr>
        <w:t>. To that extent</w:t>
      </w:r>
      <w:r w:rsidRPr="00CE7D75">
        <w:rPr>
          <w:rFonts w:cstheme="minorHAnsi"/>
          <w:color w:val="333333"/>
          <w:sz w:val="24"/>
          <w:szCs w:val="24"/>
        </w:rPr>
        <w:t xml:space="preserve">, the judgment handed down by Viscount Sankey remains welcomed. However, to allow </w:t>
      </w:r>
      <w:r>
        <w:rPr>
          <w:rFonts w:cstheme="minorHAnsi"/>
          <w:color w:val="333333"/>
          <w:sz w:val="24"/>
          <w:szCs w:val="24"/>
        </w:rPr>
        <w:t>a violent man’s name</w:t>
      </w:r>
      <w:r w:rsidRPr="00CE7D75">
        <w:rPr>
          <w:rFonts w:cstheme="minorHAnsi"/>
          <w:color w:val="333333"/>
          <w:sz w:val="24"/>
          <w:szCs w:val="24"/>
        </w:rPr>
        <w:t xml:space="preserve"> to be conjoined with a ruling praised for its support of human rights</w:t>
      </w:r>
      <w:r w:rsidR="00E613B4">
        <w:rPr>
          <w:rFonts w:cstheme="minorHAnsi"/>
          <w:color w:val="333333"/>
          <w:sz w:val="24"/>
          <w:szCs w:val="24"/>
        </w:rPr>
        <w:t xml:space="preserve"> does not feel like justice. </w:t>
      </w:r>
      <w:proofErr w:type="spellStart"/>
      <w:r w:rsidR="003F1744" w:rsidRPr="00F84652">
        <w:rPr>
          <w:rFonts w:cstheme="minorHAnsi"/>
          <w:i/>
          <w:iCs/>
          <w:color w:val="333333"/>
          <w:sz w:val="24"/>
          <w:szCs w:val="24"/>
        </w:rPr>
        <w:t>Woolmington</w:t>
      </w:r>
      <w:proofErr w:type="spellEnd"/>
      <w:r w:rsidR="005D1C91">
        <w:rPr>
          <w:rFonts w:cstheme="minorHAnsi"/>
          <w:color w:val="333333"/>
          <w:sz w:val="24"/>
          <w:szCs w:val="24"/>
        </w:rPr>
        <w:t xml:space="preserve"> highlights the importance of </w:t>
      </w:r>
      <w:r w:rsidR="003F1744">
        <w:rPr>
          <w:rFonts w:cstheme="minorHAnsi"/>
          <w:color w:val="333333"/>
          <w:sz w:val="24"/>
          <w:szCs w:val="24"/>
        </w:rPr>
        <w:t xml:space="preserve">investigating </w:t>
      </w:r>
      <w:r w:rsidR="00280FB3">
        <w:rPr>
          <w:rFonts w:cstheme="minorHAnsi"/>
          <w:color w:val="333333"/>
          <w:sz w:val="24"/>
          <w:szCs w:val="24"/>
        </w:rPr>
        <w:t xml:space="preserve">the </w:t>
      </w:r>
      <w:r w:rsidR="003F1744">
        <w:rPr>
          <w:rFonts w:cstheme="minorHAnsi"/>
          <w:color w:val="333333"/>
          <w:sz w:val="24"/>
          <w:szCs w:val="24"/>
        </w:rPr>
        <w:t>facts as well as the legal issues in a</w:t>
      </w:r>
      <w:r w:rsidR="00261701">
        <w:rPr>
          <w:rFonts w:cstheme="minorHAnsi"/>
          <w:color w:val="333333"/>
          <w:sz w:val="24"/>
          <w:szCs w:val="24"/>
        </w:rPr>
        <w:t xml:space="preserve"> significant</w:t>
      </w:r>
      <w:r w:rsidR="003F1744">
        <w:rPr>
          <w:rFonts w:cstheme="minorHAnsi"/>
          <w:color w:val="333333"/>
          <w:sz w:val="24"/>
          <w:szCs w:val="24"/>
        </w:rPr>
        <w:t xml:space="preserve"> case and</w:t>
      </w:r>
      <w:r w:rsidR="00280FB3">
        <w:rPr>
          <w:rFonts w:cstheme="minorHAnsi"/>
          <w:color w:val="333333"/>
          <w:sz w:val="24"/>
          <w:szCs w:val="24"/>
        </w:rPr>
        <w:t>,</w:t>
      </w:r>
      <w:r w:rsidR="00A71F50">
        <w:rPr>
          <w:rFonts w:cstheme="minorHAnsi"/>
          <w:color w:val="333333"/>
          <w:sz w:val="24"/>
          <w:szCs w:val="24"/>
        </w:rPr>
        <w:t xml:space="preserve"> where appropriate,</w:t>
      </w:r>
      <w:r w:rsidR="003F1744">
        <w:rPr>
          <w:rFonts w:cstheme="minorHAnsi"/>
          <w:color w:val="333333"/>
          <w:sz w:val="24"/>
          <w:szCs w:val="24"/>
        </w:rPr>
        <w:t xml:space="preserve"> to acknowledge </w:t>
      </w:r>
      <w:r w:rsidR="00A71F50">
        <w:rPr>
          <w:rFonts w:cstheme="minorHAnsi"/>
          <w:color w:val="333333"/>
          <w:sz w:val="24"/>
          <w:szCs w:val="24"/>
        </w:rPr>
        <w:t xml:space="preserve">and rectify any </w:t>
      </w:r>
      <w:r w:rsidR="003F1744">
        <w:rPr>
          <w:rFonts w:cstheme="minorHAnsi"/>
          <w:color w:val="333333"/>
          <w:sz w:val="24"/>
          <w:szCs w:val="24"/>
        </w:rPr>
        <w:t>i</w:t>
      </w:r>
      <w:r w:rsidR="00E613B4" w:rsidRPr="00E613B4">
        <w:rPr>
          <w:rFonts w:cstheme="minorHAnsi"/>
          <w:color w:val="333333"/>
          <w:sz w:val="24"/>
          <w:szCs w:val="24"/>
        </w:rPr>
        <w:t xml:space="preserve">njustice </w:t>
      </w:r>
      <w:r w:rsidR="00A71F50">
        <w:rPr>
          <w:rFonts w:cstheme="minorHAnsi"/>
          <w:color w:val="333333"/>
          <w:sz w:val="24"/>
          <w:szCs w:val="24"/>
        </w:rPr>
        <w:t>that might remain.</w:t>
      </w:r>
      <w:r w:rsidR="00E613B4" w:rsidRPr="00E613B4">
        <w:rPr>
          <w:rFonts w:cstheme="minorHAnsi"/>
          <w:color w:val="333333"/>
          <w:sz w:val="24"/>
          <w:szCs w:val="24"/>
        </w:rPr>
        <w:t xml:space="preserve"> </w:t>
      </w:r>
    </w:p>
    <w:p w14:paraId="18E786EA" w14:textId="77777777" w:rsidR="004F0E84" w:rsidRDefault="00047E4B" w:rsidP="003C79FE">
      <w:pPr>
        <w:pStyle w:val="Heading2"/>
      </w:pPr>
      <w:r w:rsidRPr="004F0E84">
        <w:lastRenderedPageBreak/>
        <w:t>APPENDIX 1</w:t>
      </w:r>
      <w:r w:rsidR="006322FC">
        <w:t xml:space="preserve"> </w:t>
      </w:r>
    </w:p>
    <w:p w14:paraId="0DD9919D" w14:textId="56A1D14E" w:rsidR="00047E4B" w:rsidRDefault="006322FC" w:rsidP="006322FC">
      <w:pPr>
        <w:jc w:val="both"/>
        <w:rPr>
          <w:sz w:val="24"/>
          <w:szCs w:val="24"/>
        </w:rPr>
      </w:pPr>
      <w:r>
        <w:rPr>
          <w:sz w:val="24"/>
          <w:szCs w:val="24"/>
        </w:rPr>
        <w:t>This domestic abuse risk assessment</w:t>
      </w:r>
      <w:r w:rsidR="000677F8">
        <w:rPr>
          <w:sz w:val="24"/>
          <w:szCs w:val="24"/>
        </w:rPr>
        <w:t xml:space="preserve"> checklist </w:t>
      </w:r>
      <w:r>
        <w:rPr>
          <w:sz w:val="24"/>
          <w:szCs w:val="24"/>
        </w:rPr>
        <w:t>and the rationale for the new questions</w:t>
      </w:r>
      <w:r w:rsidR="00656DF0">
        <w:rPr>
          <w:sz w:val="24"/>
          <w:szCs w:val="24"/>
        </w:rPr>
        <w:t>,</w:t>
      </w:r>
      <w:r>
        <w:rPr>
          <w:sz w:val="24"/>
          <w:szCs w:val="24"/>
        </w:rPr>
        <w:t xml:space="preserve"> has been taken from the College of Policing website, and completed with hypothetical answers provided by Violet </w:t>
      </w:r>
      <w:proofErr w:type="spellStart"/>
      <w:r>
        <w:rPr>
          <w:sz w:val="24"/>
          <w:szCs w:val="24"/>
        </w:rPr>
        <w:t>Woolmington</w:t>
      </w:r>
      <w:proofErr w:type="spellEnd"/>
      <w:r>
        <w:rPr>
          <w:sz w:val="24"/>
          <w:szCs w:val="24"/>
        </w:rPr>
        <w:t xml:space="preserve">, to illustrate her </w:t>
      </w:r>
      <w:r w:rsidR="00656DF0">
        <w:rPr>
          <w:sz w:val="24"/>
          <w:szCs w:val="24"/>
        </w:rPr>
        <w:t>potential</w:t>
      </w:r>
      <w:r>
        <w:rPr>
          <w:sz w:val="24"/>
          <w:szCs w:val="24"/>
        </w:rPr>
        <w:t xml:space="preserve"> risk</w:t>
      </w:r>
      <w:r w:rsidR="00656DF0">
        <w:rPr>
          <w:sz w:val="24"/>
          <w:szCs w:val="24"/>
        </w:rPr>
        <w:t xml:space="preserve"> grading. </w:t>
      </w:r>
    </w:p>
    <w:p w14:paraId="4DCFE4CC" w14:textId="77777777" w:rsidR="006322FC" w:rsidRDefault="006322FC" w:rsidP="00047E4B">
      <w:pPr>
        <w:jc w:val="both"/>
        <w:rPr>
          <w:sz w:val="24"/>
          <w:szCs w:val="24"/>
        </w:rPr>
      </w:pPr>
    </w:p>
    <w:tbl>
      <w:tblPr>
        <w:tblStyle w:val="TableGrid"/>
        <w:tblW w:w="9017" w:type="dxa"/>
        <w:tblLook w:val="04A0" w:firstRow="1" w:lastRow="0" w:firstColumn="1" w:lastColumn="0" w:noHBand="0" w:noVBand="1"/>
      </w:tblPr>
      <w:tblGrid>
        <w:gridCol w:w="3005"/>
        <w:gridCol w:w="2802"/>
        <w:gridCol w:w="3210"/>
      </w:tblGrid>
      <w:tr w:rsidR="00047E4B" w:rsidRPr="006F3D93" w14:paraId="255A9BEA" w14:textId="77777777" w:rsidTr="00EC1E3A">
        <w:tc>
          <w:tcPr>
            <w:tcW w:w="3005" w:type="dxa"/>
          </w:tcPr>
          <w:p w14:paraId="6EB3E14A" w14:textId="77777777" w:rsidR="00047E4B" w:rsidRPr="006F3D93" w:rsidRDefault="00047E4B" w:rsidP="00AF7382">
            <w:pPr>
              <w:rPr>
                <w:sz w:val="18"/>
                <w:szCs w:val="18"/>
              </w:rPr>
            </w:pPr>
            <w:r w:rsidRPr="006F3D93">
              <w:rPr>
                <w:sz w:val="18"/>
                <w:szCs w:val="18"/>
              </w:rPr>
              <w:t>DARA Question</w:t>
            </w:r>
          </w:p>
        </w:tc>
        <w:tc>
          <w:tcPr>
            <w:tcW w:w="2802" w:type="dxa"/>
          </w:tcPr>
          <w:p w14:paraId="1BE9B4E2" w14:textId="5F68819A" w:rsidR="00047E4B" w:rsidRPr="006F3D93" w:rsidRDefault="00047E4B" w:rsidP="006B0A9E">
            <w:pPr>
              <w:rPr>
                <w:sz w:val="18"/>
                <w:szCs w:val="18"/>
              </w:rPr>
            </w:pPr>
            <w:r w:rsidRPr="006F3D93">
              <w:rPr>
                <w:sz w:val="18"/>
                <w:szCs w:val="18"/>
              </w:rPr>
              <w:t>Violet’s Potential Response</w:t>
            </w:r>
          </w:p>
        </w:tc>
        <w:tc>
          <w:tcPr>
            <w:tcW w:w="3210" w:type="dxa"/>
          </w:tcPr>
          <w:p w14:paraId="6FCCF832" w14:textId="7284953E" w:rsidR="00047E4B" w:rsidRPr="006F3D93" w:rsidRDefault="00047E4B" w:rsidP="00EC1E3A">
            <w:pPr>
              <w:rPr>
                <w:sz w:val="18"/>
                <w:szCs w:val="18"/>
              </w:rPr>
            </w:pPr>
            <w:r w:rsidRPr="006F3D93">
              <w:rPr>
                <w:sz w:val="18"/>
                <w:szCs w:val="18"/>
              </w:rPr>
              <w:t xml:space="preserve">Rationale </w:t>
            </w:r>
            <w:r w:rsidR="006322FC">
              <w:rPr>
                <w:sz w:val="18"/>
                <w:szCs w:val="18"/>
              </w:rPr>
              <w:t xml:space="preserve">– from the College of Policing </w:t>
            </w:r>
            <w:r w:rsidR="00AF7382">
              <w:rPr>
                <w:sz w:val="18"/>
                <w:szCs w:val="18"/>
              </w:rPr>
              <w:t>w</w:t>
            </w:r>
            <w:r w:rsidR="006322FC">
              <w:rPr>
                <w:sz w:val="18"/>
                <w:szCs w:val="18"/>
              </w:rPr>
              <w:t>ebsite (</w:t>
            </w:r>
            <w:r w:rsidR="00470005">
              <w:rPr>
                <w:sz w:val="18"/>
                <w:szCs w:val="18"/>
              </w:rPr>
              <w:t xml:space="preserve">see further </w:t>
            </w:r>
            <w:r w:rsidR="006322FC">
              <w:rPr>
                <w:sz w:val="18"/>
                <w:szCs w:val="18"/>
              </w:rPr>
              <w:t>n 5)</w:t>
            </w:r>
          </w:p>
        </w:tc>
      </w:tr>
      <w:tr w:rsidR="00047E4B" w:rsidRPr="006F3D93" w14:paraId="0BBE3E5A" w14:textId="77777777" w:rsidTr="00EC1E3A">
        <w:tc>
          <w:tcPr>
            <w:tcW w:w="3005" w:type="dxa"/>
          </w:tcPr>
          <w:p w14:paraId="71777E75" w14:textId="52E7A6FD" w:rsidR="00047E4B" w:rsidRPr="006F3D93" w:rsidRDefault="00047E4B" w:rsidP="0066605D">
            <w:pPr>
              <w:rPr>
                <w:sz w:val="18"/>
                <w:szCs w:val="18"/>
              </w:rPr>
            </w:pPr>
            <w:r w:rsidRPr="006F3D93">
              <w:rPr>
                <w:sz w:val="18"/>
                <w:szCs w:val="18"/>
              </w:rPr>
              <w:t>How often does (…) make threats to harm you or things you care about such as people, pets or property?</w:t>
            </w:r>
          </w:p>
        </w:tc>
        <w:tc>
          <w:tcPr>
            <w:tcW w:w="2802" w:type="dxa"/>
          </w:tcPr>
          <w:p w14:paraId="103B3456" w14:textId="77777777" w:rsidR="00047E4B" w:rsidRPr="006F3D93" w:rsidRDefault="00047E4B" w:rsidP="00EC1E3A">
            <w:pPr>
              <w:rPr>
                <w:sz w:val="18"/>
                <w:szCs w:val="18"/>
              </w:rPr>
            </w:pPr>
            <w:r w:rsidRPr="006F3D93">
              <w:rPr>
                <w:sz w:val="18"/>
                <w:szCs w:val="18"/>
              </w:rPr>
              <w:t>The standard choices are: Never/occasionally/often/all the time</w:t>
            </w:r>
          </w:p>
          <w:p w14:paraId="362F6E5C" w14:textId="77777777" w:rsidR="000677F8" w:rsidRDefault="000677F8" w:rsidP="00EC1E3A">
            <w:pPr>
              <w:rPr>
                <w:sz w:val="18"/>
                <w:szCs w:val="18"/>
              </w:rPr>
            </w:pPr>
          </w:p>
          <w:p w14:paraId="7EBD4057" w14:textId="75860863" w:rsidR="00047E4B" w:rsidRPr="006F3D93" w:rsidRDefault="00047E4B" w:rsidP="0066605D">
            <w:pPr>
              <w:rPr>
                <w:sz w:val="18"/>
                <w:szCs w:val="18"/>
              </w:rPr>
            </w:pPr>
            <w:r w:rsidRPr="006F3D93">
              <w:rPr>
                <w:sz w:val="18"/>
                <w:szCs w:val="18"/>
              </w:rPr>
              <w:t xml:space="preserve">Answer </w:t>
            </w:r>
            <w:r w:rsidRPr="000677F8">
              <w:rPr>
                <w:sz w:val="18"/>
                <w:szCs w:val="18"/>
                <w:highlight w:val="yellow"/>
              </w:rPr>
              <w:t>unknown</w:t>
            </w:r>
          </w:p>
        </w:tc>
        <w:tc>
          <w:tcPr>
            <w:tcW w:w="3210" w:type="dxa"/>
          </w:tcPr>
          <w:p w14:paraId="3D5A4FA7" w14:textId="77777777" w:rsidR="00047E4B" w:rsidRDefault="00047E4B" w:rsidP="00EC1E3A">
            <w:pPr>
              <w:rPr>
                <w:sz w:val="18"/>
                <w:szCs w:val="18"/>
              </w:rPr>
            </w:pPr>
            <w:r w:rsidRPr="006F3D93">
              <w:rPr>
                <w:sz w:val="18"/>
                <w:szCs w:val="18"/>
              </w:rPr>
              <w:t xml:space="preserve">Frequent threats are generally employed in coercive control. </w:t>
            </w:r>
          </w:p>
          <w:p w14:paraId="601E76BE" w14:textId="7732C333" w:rsidR="00047E4B" w:rsidRPr="006F3D93" w:rsidRDefault="00047E4B" w:rsidP="006B0A9E">
            <w:pPr>
              <w:rPr>
                <w:sz w:val="18"/>
                <w:szCs w:val="18"/>
              </w:rPr>
            </w:pPr>
            <w:r w:rsidRPr="006F3D93">
              <w:rPr>
                <w:sz w:val="18"/>
                <w:szCs w:val="18"/>
              </w:rPr>
              <w:sym w:font="Symbol" w:char="F0A7"/>
            </w:r>
            <w:r w:rsidRPr="006F3D93">
              <w:rPr>
                <w:sz w:val="18"/>
                <w:szCs w:val="18"/>
              </w:rPr>
              <w:t xml:space="preserve"> Emphasises the personalised nature of the abuse. </w:t>
            </w:r>
          </w:p>
        </w:tc>
      </w:tr>
      <w:tr w:rsidR="00047E4B" w:rsidRPr="006F3D93" w14:paraId="277A8C8B" w14:textId="77777777" w:rsidTr="00EC1E3A">
        <w:tc>
          <w:tcPr>
            <w:tcW w:w="3005" w:type="dxa"/>
          </w:tcPr>
          <w:p w14:paraId="1C6AC8AE" w14:textId="77777777" w:rsidR="00047E4B" w:rsidRPr="006F3D93" w:rsidRDefault="00047E4B" w:rsidP="00AF7382">
            <w:pPr>
              <w:rPr>
                <w:sz w:val="18"/>
                <w:szCs w:val="18"/>
              </w:rPr>
            </w:pPr>
            <w:r w:rsidRPr="006F3D93">
              <w:rPr>
                <w:sz w:val="18"/>
                <w:szCs w:val="18"/>
              </w:rPr>
              <w:t>How often does (…) call you names, humiliate or degrade you?</w:t>
            </w:r>
          </w:p>
        </w:tc>
        <w:tc>
          <w:tcPr>
            <w:tcW w:w="2802" w:type="dxa"/>
          </w:tcPr>
          <w:p w14:paraId="47A187B6" w14:textId="6E75B54F" w:rsidR="00047E4B" w:rsidRPr="006F3D93" w:rsidRDefault="00B71045" w:rsidP="00EC1E3A">
            <w:pPr>
              <w:rPr>
                <w:sz w:val="18"/>
                <w:szCs w:val="18"/>
              </w:rPr>
            </w:pPr>
            <w:r>
              <w:rPr>
                <w:sz w:val="18"/>
                <w:szCs w:val="18"/>
                <w:highlight w:val="yellow"/>
              </w:rPr>
              <w:t>U</w:t>
            </w:r>
            <w:r w:rsidR="00047E4B" w:rsidRPr="000677F8">
              <w:rPr>
                <w:sz w:val="18"/>
                <w:szCs w:val="18"/>
                <w:highlight w:val="yellow"/>
              </w:rPr>
              <w:t>nknown</w:t>
            </w:r>
          </w:p>
        </w:tc>
        <w:tc>
          <w:tcPr>
            <w:tcW w:w="3210" w:type="dxa"/>
          </w:tcPr>
          <w:p w14:paraId="1AE03C6B" w14:textId="77777777" w:rsidR="00047E4B" w:rsidRPr="006F3D93" w:rsidRDefault="00047E4B" w:rsidP="00EC1E3A">
            <w:pPr>
              <w:rPr>
                <w:sz w:val="18"/>
                <w:szCs w:val="18"/>
              </w:rPr>
            </w:pPr>
            <w:r w:rsidRPr="006F3D93">
              <w:rPr>
                <w:sz w:val="18"/>
                <w:szCs w:val="18"/>
              </w:rPr>
              <w:t>Captures the frequency of emotional abuse, which is a key tactic of coercive control</w:t>
            </w:r>
            <w:r>
              <w:rPr>
                <w:sz w:val="18"/>
                <w:szCs w:val="18"/>
              </w:rPr>
              <w:t>.</w:t>
            </w:r>
          </w:p>
        </w:tc>
      </w:tr>
      <w:tr w:rsidR="00047E4B" w:rsidRPr="006F3D93" w14:paraId="01CA2E2A" w14:textId="77777777" w:rsidTr="00EC1E3A">
        <w:tc>
          <w:tcPr>
            <w:tcW w:w="3005" w:type="dxa"/>
          </w:tcPr>
          <w:p w14:paraId="236E88C4" w14:textId="77777777" w:rsidR="00047E4B" w:rsidRPr="006F3D93" w:rsidRDefault="00047E4B" w:rsidP="00AF7382">
            <w:pPr>
              <w:rPr>
                <w:sz w:val="18"/>
                <w:szCs w:val="18"/>
              </w:rPr>
            </w:pPr>
            <w:r w:rsidRPr="006F3D93">
              <w:rPr>
                <w:sz w:val="18"/>
                <w:szCs w:val="18"/>
              </w:rPr>
              <w:t>How often does (…) control your daily activities such as how you dress or how you perform household tasks?</w:t>
            </w:r>
          </w:p>
        </w:tc>
        <w:tc>
          <w:tcPr>
            <w:tcW w:w="2802" w:type="dxa"/>
          </w:tcPr>
          <w:p w14:paraId="628179A1" w14:textId="77777777" w:rsidR="00047E4B" w:rsidRPr="006F3D93" w:rsidRDefault="00047E4B" w:rsidP="00EC1E3A">
            <w:pPr>
              <w:rPr>
                <w:sz w:val="18"/>
                <w:szCs w:val="18"/>
              </w:rPr>
            </w:pPr>
            <w:r w:rsidRPr="006F3D93">
              <w:rPr>
                <w:sz w:val="18"/>
                <w:szCs w:val="18"/>
              </w:rPr>
              <w:t>Never/occasionally/</w:t>
            </w:r>
            <w:r w:rsidRPr="006F3D93">
              <w:rPr>
                <w:sz w:val="18"/>
                <w:szCs w:val="18"/>
                <w:highlight w:val="yellow"/>
              </w:rPr>
              <w:t>often/all the time</w:t>
            </w:r>
          </w:p>
          <w:p w14:paraId="1C23F8B2" w14:textId="39BE7B03" w:rsidR="00047E4B" w:rsidRPr="006F3D93" w:rsidRDefault="00047E4B" w:rsidP="00EC1E3A">
            <w:pPr>
              <w:rPr>
                <w:sz w:val="18"/>
                <w:szCs w:val="18"/>
              </w:rPr>
            </w:pPr>
            <w:r w:rsidRPr="006F3D93">
              <w:rPr>
                <w:sz w:val="18"/>
                <w:szCs w:val="18"/>
              </w:rPr>
              <w:t>Violet would have indicated that</w:t>
            </w:r>
            <w:r w:rsidR="008D53CC">
              <w:rPr>
                <w:sz w:val="18"/>
                <w:szCs w:val="18"/>
              </w:rPr>
              <w:t xml:space="preserve"> </w:t>
            </w:r>
            <w:r w:rsidRPr="006F3D93">
              <w:rPr>
                <w:sz w:val="18"/>
                <w:szCs w:val="18"/>
              </w:rPr>
              <w:t>this was frequent.</w:t>
            </w:r>
          </w:p>
        </w:tc>
        <w:tc>
          <w:tcPr>
            <w:tcW w:w="3210" w:type="dxa"/>
          </w:tcPr>
          <w:p w14:paraId="2B088B06" w14:textId="77777777" w:rsidR="00047E4B" w:rsidRPr="006F3D93" w:rsidRDefault="00047E4B" w:rsidP="00EC1E3A">
            <w:pPr>
              <w:rPr>
                <w:sz w:val="18"/>
                <w:szCs w:val="18"/>
              </w:rPr>
            </w:pPr>
            <w:r w:rsidRPr="006F3D93">
              <w:rPr>
                <w:sz w:val="18"/>
                <w:szCs w:val="18"/>
              </w:rPr>
              <w:sym w:font="Symbol" w:char="F0A7"/>
            </w:r>
            <w:r w:rsidRPr="006F3D93">
              <w:rPr>
                <w:sz w:val="18"/>
                <w:szCs w:val="18"/>
              </w:rPr>
              <w:t xml:space="preserve"> Most important in terms of identifying risk is to establish that the behaviour is present.</w:t>
            </w:r>
          </w:p>
        </w:tc>
      </w:tr>
      <w:tr w:rsidR="00047E4B" w:rsidRPr="006F3D93" w14:paraId="0101F30F" w14:textId="77777777" w:rsidTr="00EC1E3A">
        <w:tc>
          <w:tcPr>
            <w:tcW w:w="3005" w:type="dxa"/>
          </w:tcPr>
          <w:p w14:paraId="4459B196" w14:textId="77777777" w:rsidR="00047E4B" w:rsidRPr="006F3D93" w:rsidRDefault="00047E4B" w:rsidP="00AF7382">
            <w:pPr>
              <w:rPr>
                <w:sz w:val="18"/>
                <w:szCs w:val="18"/>
              </w:rPr>
            </w:pPr>
            <w:r w:rsidRPr="006F3D93">
              <w:rPr>
                <w:sz w:val="18"/>
                <w:szCs w:val="18"/>
              </w:rPr>
              <w:t>How often does (…) deny you access to money or control what you can spend it on?</w:t>
            </w:r>
          </w:p>
        </w:tc>
        <w:tc>
          <w:tcPr>
            <w:tcW w:w="2802" w:type="dxa"/>
          </w:tcPr>
          <w:p w14:paraId="3FFEA767" w14:textId="77777777" w:rsidR="00047E4B" w:rsidRPr="006F3D93" w:rsidRDefault="00047E4B" w:rsidP="00EC1E3A">
            <w:pPr>
              <w:rPr>
                <w:sz w:val="18"/>
                <w:szCs w:val="18"/>
              </w:rPr>
            </w:pPr>
            <w:r w:rsidRPr="006F3D93">
              <w:rPr>
                <w:sz w:val="18"/>
                <w:szCs w:val="18"/>
              </w:rPr>
              <w:t>Unknown, but Violet had earned money making gloves prior to the marriage.</w:t>
            </w:r>
          </w:p>
        </w:tc>
        <w:tc>
          <w:tcPr>
            <w:tcW w:w="3210" w:type="dxa"/>
          </w:tcPr>
          <w:p w14:paraId="2768F815" w14:textId="5B81F5B5" w:rsidR="00047E4B" w:rsidRPr="006F3D93" w:rsidRDefault="00047E4B" w:rsidP="00EC1E3A">
            <w:pPr>
              <w:rPr>
                <w:sz w:val="18"/>
                <w:szCs w:val="18"/>
              </w:rPr>
            </w:pPr>
            <w:r w:rsidRPr="006F3D93">
              <w:rPr>
                <w:sz w:val="18"/>
                <w:szCs w:val="18"/>
              </w:rPr>
              <w:t>Financial abuse has been identified as a key element of coercive control</w:t>
            </w:r>
            <w:r>
              <w:rPr>
                <w:sz w:val="18"/>
                <w:szCs w:val="18"/>
              </w:rPr>
              <w:t>.</w:t>
            </w:r>
          </w:p>
        </w:tc>
      </w:tr>
      <w:tr w:rsidR="00047E4B" w:rsidRPr="006F3D93" w14:paraId="21D9AE8D" w14:textId="77777777" w:rsidTr="00EC1E3A">
        <w:tc>
          <w:tcPr>
            <w:tcW w:w="3005" w:type="dxa"/>
          </w:tcPr>
          <w:p w14:paraId="42D6271E" w14:textId="67F5166B" w:rsidR="00047E4B" w:rsidRPr="006F3D93" w:rsidRDefault="00047E4B" w:rsidP="00AF7382">
            <w:pPr>
              <w:rPr>
                <w:sz w:val="18"/>
                <w:szCs w:val="18"/>
              </w:rPr>
            </w:pPr>
            <w:r w:rsidRPr="006F3D93">
              <w:rPr>
                <w:sz w:val="18"/>
                <w:szCs w:val="18"/>
              </w:rPr>
              <w:t xml:space="preserve">How often does (…) make </w:t>
            </w:r>
            <w:proofErr w:type="spellStart"/>
            <w:r w:rsidRPr="006F3D93">
              <w:rPr>
                <w:sz w:val="18"/>
                <w:szCs w:val="18"/>
              </w:rPr>
              <w:t>you</w:t>
            </w:r>
            <w:proofErr w:type="spellEnd"/>
            <w:r w:rsidR="008D53CC">
              <w:rPr>
                <w:sz w:val="18"/>
                <w:szCs w:val="18"/>
              </w:rPr>
              <w:t xml:space="preserve"> </w:t>
            </w:r>
            <w:r w:rsidRPr="006F3D93">
              <w:rPr>
                <w:sz w:val="18"/>
                <w:szCs w:val="18"/>
              </w:rPr>
              <w:t>account for where you have been</w:t>
            </w:r>
            <w:r>
              <w:rPr>
                <w:sz w:val="18"/>
                <w:szCs w:val="18"/>
              </w:rPr>
              <w:t>,</w:t>
            </w:r>
            <w:r w:rsidRPr="006F3D93">
              <w:rPr>
                <w:sz w:val="18"/>
                <w:szCs w:val="18"/>
              </w:rPr>
              <w:t xml:space="preserve"> </w:t>
            </w:r>
            <w:r>
              <w:rPr>
                <w:sz w:val="18"/>
                <w:szCs w:val="18"/>
              </w:rPr>
              <w:t xml:space="preserve">or </w:t>
            </w:r>
            <w:r w:rsidRPr="006F3D93">
              <w:rPr>
                <w:sz w:val="18"/>
                <w:szCs w:val="18"/>
              </w:rPr>
              <w:t>monitor your phone, email or social media to check up on you?</w:t>
            </w:r>
          </w:p>
        </w:tc>
        <w:tc>
          <w:tcPr>
            <w:tcW w:w="2802" w:type="dxa"/>
          </w:tcPr>
          <w:p w14:paraId="2CA78B3C" w14:textId="77777777" w:rsidR="00047E4B" w:rsidRPr="006F3D93" w:rsidRDefault="00047E4B" w:rsidP="00EC1E3A">
            <w:pPr>
              <w:rPr>
                <w:sz w:val="18"/>
                <w:szCs w:val="18"/>
              </w:rPr>
            </w:pPr>
            <w:r>
              <w:rPr>
                <w:sz w:val="18"/>
                <w:szCs w:val="18"/>
              </w:rPr>
              <w:t>N</w:t>
            </w:r>
            <w:r w:rsidRPr="006F3D93">
              <w:rPr>
                <w:sz w:val="18"/>
                <w:szCs w:val="18"/>
              </w:rPr>
              <w:t xml:space="preserve">ot relevant, but indications present that Violet was prevented from visiting her mother. </w:t>
            </w:r>
          </w:p>
        </w:tc>
        <w:tc>
          <w:tcPr>
            <w:tcW w:w="3210" w:type="dxa"/>
          </w:tcPr>
          <w:p w14:paraId="329539DD" w14:textId="77777777" w:rsidR="00047E4B" w:rsidRPr="006F3D93" w:rsidRDefault="00047E4B" w:rsidP="00EC1E3A">
            <w:pPr>
              <w:rPr>
                <w:sz w:val="18"/>
                <w:szCs w:val="18"/>
              </w:rPr>
            </w:pPr>
            <w:r w:rsidRPr="006F3D93">
              <w:rPr>
                <w:sz w:val="18"/>
                <w:szCs w:val="18"/>
              </w:rPr>
              <w:t>Captures the frequency of surveillance within the relationship</w:t>
            </w:r>
          </w:p>
        </w:tc>
      </w:tr>
      <w:tr w:rsidR="00047E4B" w:rsidRPr="006F3D93" w14:paraId="09A281D6" w14:textId="77777777" w:rsidTr="00EC1E3A">
        <w:tc>
          <w:tcPr>
            <w:tcW w:w="3005" w:type="dxa"/>
          </w:tcPr>
          <w:p w14:paraId="370A13D7" w14:textId="77777777" w:rsidR="00047E4B" w:rsidRPr="006F3D93" w:rsidRDefault="00047E4B" w:rsidP="00AF7382">
            <w:pPr>
              <w:rPr>
                <w:sz w:val="18"/>
                <w:szCs w:val="18"/>
              </w:rPr>
            </w:pPr>
            <w:r w:rsidRPr="006F3D93">
              <w:rPr>
                <w:sz w:val="18"/>
                <w:szCs w:val="18"/>
              </w:rPr>
              <w:t>How often does (…) follow or stalk you, or try to contact you when you do not want them to?</w:t>
            </w:r>
          </w:p>
        </w:tc>
        <w:tc>
          <w:tcPr>
            <w:tcW w:w="2802" w:type="dxa"/>
          </w:tcPr>
          <w:p w14:paraId="18A7F6ED" w14:textId="77777777" w:rsidR="00047E4B" w:rsidRPr="006F3D93" w:rsidRDefault="00047E4B" w:rsidP="00EC1E3A">
            <w:pPr>
              <w:rPr>
                <w:sz w:val="18"/>
                <w:szCs w:val="18"/>
              </w:rPr>
            </w:pPr>
            <w:r w:rsidRPr="006F3D93">
              <w:rPr>
                <w:sz w:val="18"/>
                <w:szCs w:val="18"/>
              </w:rPr>
              <w:t>Never/occasionally/</w:t>
            </w:r>
            <w:r w:rsidRPr="006F3D93">
              <w:rPr>
                <w:sz w:val="18"/>
                <w:szCs w:val="18"/>
                <w:highlight w:val="yellow"/>
              </w:rPr>
              <w:t>often/all the time</w:t>
            </w:r>
          </w:p>
        </w:tc>
        <w:tc>
          <w:tcPr>
            <w:tcW w:w="3210" w:type="dxa"/>
          </w:tcPr>
          <w:p w14:paraId="7EB89113" w14:textId="50039B11" w:rsidR="00047E4B" w:rsidRPr="006F3D93" w:rsidRDefault="00047E4B" w:rsidP="00EC1E3A">
            <w:pPr>
              <w:rPr>
                <w:sz w:val="18"/>
                <w:szCs w:val="18"/>
              </w:rPr>
            </w:pPr>
            <w:r w:rsidRPr="006F3D93">
              <w:rPr>
                <w:sz w:val="18"/>
                <w:szCs w:val="18"/>
              </w:rPr>
              <w:t xml:space="preserve">Relates more specifically to </w:t>
            </w:r>
            <w:r w:rsidR="00D47477">
              <w:rPr>
                <w:sz w:val="18"/>
                <w:szCs w:val="18"/>
              </w:rPr>
              <w:t>post-separation</w:t>
            </w:r>
            <w:r w:rsidRPr="006F3D93">
              <w:rPr>
                <w:sz w:val="18"/>
                <w:szCs w:val="18"/>
              </w:rPr>
              <w:t xml:space="preserve"> stalking and harassment</w:t>
            </w:r>
          </w:p>
        </w:tc>
      </w:tr>
      <w:tr w:rsidR="00047E4B" w:rsidRPr="006F3D93" w14:paraId="47A15430" w14:textId="77777777" w:rsidTr="00EC1E3A">
        <w:tc>
          <w:tcPr>
            <w:tcW w:w="3005" w:type="dxa"/>
          </w:tcPr>
          <w:p w14:paraId="3A5BB301" w14:textId="77777777" w:rsidR="00047E4B" w:rsidRPr="006F3D93" w:rsidRDefault="00047E4B" w:rsidP="00AF7382">
            <w:pPr>
              <w:rPr>
                <w:sz w:val="18"/>
                <w:szCs w:val="18"/>
              </w:rPr>
            </w:pPr>
            <w:r w:rsidRPr="006F3D93">
              <w:rPr>
                <w:sz w:val="18"/>
                <w:szCs w:val="18"/>
              </w:rPr>
              <w:t>How often do you feel isolated or like you have no one to turn to for support?</w:t>
            </w:r>
          </w:p>
        </w:tc>
        <w:tc>
          <w:tcPr>
            <w:tcW w:w="2802" w:type="dxa"/>
          </w:tcPr>
          <w:p w14:paraId="6AEEF30B" w14:textId="3560AF3F" w:rsidR="00047E4B" w:rsidRPr="006F3D93" w:rsidRDefault="00047E4B" w:rsidP="00EC1E3A">
            <w:pPr>
              <w:rPr>
                <w:sz w:val="18"/>
                <w:szCs w:val="18"/>
              </w:rPr>
            </w:pPr>
            <w:r w:rsidRPr="006F3D93">
              <w:rPr>
                <w:sz w:val="18"/>
                <w:szCs w:val="18"/>
              </w:rPr>
              <w:t xml:space="preserve">Bearing in mind that Violet lived with her abusive husband and his parents, this is likely to be at least </w:t>
            </w:r>
            <w:r w:rsidRPr="006F3D93">
              <w:rPr>
                <w:sz w:val="18"/>
                <w:szCs w:val="18"/>
                <w:highlight w:val="yellow"/>
              </w:rPr>
              <w:t>often.</w:t>
            </w:r>
          </w:p>
        </w:tc>
        <w:tc>
          <w:tcPr>
            <w:tcW w:w="3210" w:type="dxa"/>
          </w:tcPr>
          <w:p w14:paraId="6BEEEA59" w14:textId="77777777" w:rsidR="00047E4B" w:rsidRPr="006F3D93" w:rsidRDefault="00047E4B" w:rsidP="00EC1E3A">
            <w:pPr>
              <w:rPr>
                <w:sz w:val="18"/>
                <w:szCs w:val="18"/>
              </w:rPr>
            </w:pPr>
            <w:r w:rsidRPr="006F3D93">
              <w:rPr>
                <w:sz w:val="18"/>
                <w:szCs w:val="18"/>
              </w:rPr>
              <w:t>Captures frequency of feeling isolated and not feeling able to access support</w:t>
            </w:r>
          </w:p>
        </w:tc>
      </w:tr>
      <w:tr w:rsidR="00047E4B" w:rsidRPr="006F3D93" w14:paraId="41AA2177" w14:textId="77777777" w:rsidTr="00EC1E3A">
        <w:tc>
          <w:tcPr>
            <w:tcW w:w="3005" w:type="dxa"/>
          </w:tcPr>
          <w:p w14:paraId="712617A6" w14:textId="77777777" w:rsidR="00047E4B" w:rsidRPr="006F3D93" w:rsidRDefault="00047E4B" w:rsidP="00AF7382">
            <w:pPr>
              <w:rPr>
                <w:sz w:val="18"/>
                <w:szCs w:val="18"/>
              </w:rPr>
            </w:pPr>
            <w:r w:rsidRPr="006F3D93">
              <w:rPr>
                <w:sz w:val="18"/>
                <w:szCs w:val="18"/>
              </w:rPr>
              <w:t>How often does (…) use physical violence towards you such as pushing, slapping, punching or kicking?</w:t>
            </w:r>
          </w:p>
        </w:tc>
        <w:tc>
          <w:tcPr>
            <w:tcW w:w="2802" w:type="dxa"/>
          </w:tcPr>
          <w:p w14:paraId="36283A6C" w14:textId="576E19A9" w:rsidR="00047E4B" w:rsidRPr="006F3D93" w:rsidRDefault="00047E4B" w:rsidP="0066605D">
            <w:pPr>
              <w:rPr>
                <w:sz w:val="18"/>
                <w:szCs w:val="18"/>
              </w:rPr>
            </w:pPr>
            <w:r w:rsidRPr="006F3D93">
              <w:rPr>
                <w:sz w:val="18"/>
                <w:szCs w:val="18"/>
              </w:rPr>
              <w:t>Never/once only/ occasionally/</w:t>
            </w:r>
            <w:r w:rsidRPr="006F3D93">
              <w:rPr>
                <w:sz w:val="18"/>
                <w:szCs w:val="18"/>
                <w:highlight w:val="yellow"/>
              </w:rPr>
              <w:t>often</w:t>
            </w:r>
          </w:p>
        </w:tc>
        <w:tc>
          <w:tcPr>
            <w:tcW w:w="3210" w:type="dxa"/>
          </w:tcPr>
          <w:p w14:paraId="40561681" w14:textId="77777777" w:rsidR="00047E4B" w:rsidRPr="006F3D93" w:rsidRDefault="00047E4B" w:rsidP="00EC1E3A">
            <w:pPr>
              <w:rPr>
                <w:sz w:val="18"/>
                <w:szCs w:val="18"/>
              </w:rPr>
            </w:pPr>
            <w:r w:rsidRPr="006F3D93">
              <w:rPr>
                <w:sz w:val="18"/>
                <w:szCs w:val="18"/>
              </w:rPr>
              <w:t>Captures the frequency of physical violence, which is important for identifying coercive control and for reducing false positives (for example, one-off incidents or situational fighting between family members being graded medium risk just because there is an actual bodily harm level injury).</w:t>
            </w:r>
          </w:p>
        </w:tc>
      </w:tr>
      <w:tr w:rsidR="00047E4B" w:rsidRPr="006F3D93" w14:paraId="6521EE86" w14:textId="77777777" w:rsidTr="00EC1E3A">
        <w:tc>
          <w:tcPr>
            <w:tcW w:w="3005" w:type="dxa"/>
          </w:tcPr>
          <w:p w14:paraId="487C7E9A" w14:textId="7F44AFFF" w:rsidR="00047E4B" w:rsidRPr="006F3D93" w:rsidRDefault="00047E4B" w:rsidP="0066605D">
            <w:pPr>
              <w:rPr>
                <w:sz w:val="18"/>
                <w:szCs w:val="18"/>
              </w:rPr>
            </w:pPr>
            <w:r w:rsidRPr="006F3D93">
              <w:rPr>
                <w:sz w:val="18"/>
                <w:szCs w:val="18"/>
              </w:rPr>
              <w:t>How often does (…) call you names, humiliate or degrade you?</w:t>
            </w:r>
          </w:p>
        </w:tc>
        <w:tc>
          <w:tcPr>
            <w:tcW w:w="2802" w:type="dxa"/>
          </w:tcPr>
          <w:p w14:paraId="2281084E" w14:textId="77777777" w:rsidR="00047E4B" w:rsidRPr="006F3D93" w:rsidRDefault="00047E4B" w:rsidP="00EC1E3A">
            <w:pPr>
              <w:rPr>
                <w:sz w:val="18"/>
                <w:szCs w:val="18"/>
              </w:rPr>
            </w:pPr>
            <w:r w:rsidRPr="006F3D93">
              <w:rPr>
                <w:sz w:val="18"/>
                <w:szCs w:val="18"/>
                <w:highlight w:val="yellow"/>
              </w:rPr>
              <w:t>Unknown</w:t>
            </w:r>
          </w:p>
        </w:tc>
        <w:tc>
          <w:tcPr>
            <w:tcW w:w="3210" w:type="dxa"/>
          </w:tcPr>
          <w:p w14:paraId="4B2853C1" w14:textId="77777777" w:rsidR="00047E4B" w:rsidRPr="006F3D93" w:rsidRDefault="00047E4B" w:rsidP="00EC1E3A">
            <w:pPr>
              <w:rPr>
                <w:sz w:val="18"/>
                <w:szCs w:val="18"/>
              </w:rPr>
            </w:pPr>
            <w:r w:rsidRPr="006F3D93">
              <w:rPr>
                <w:sz w:val="18"/>
                <w:szCs w:val="18"/>
              </w:rPr>
              <w:sym w:font="Symbol" w:char="F0A7"/>
            </w:r>
            <w:r w:rsidRPr="006F3D93">
              <w:rPr>
                <w:sz w:val="18"/>
                <w:szCs w:val="18"/>
              </w:rPr>
              <w:t xml:space="preserve"> Captures the frequency of emotional abuse, which is a key tactic of coercive control</w:t>
            </w:r>
          </w:p>
        </w:tc>
      </w:tr>
      <w:tr w:rsidR="00047E4B" w:rsidRPr="006F3D93" w14:paraId="5A02FFEE" w14:textId="77777777" w:rsidTr="00EC1E3A">
        <w:tc>
          <w:tcPr>
            <w:tcW w:w="3005" w:type="dxa"/>
          </w:tcPr>
          <w:p w14:paraId="61C87B98" w14:textId="77777777" w:rsidR="00047E4B" w:rsidRPr="006F3D93" w:rsidRDefault="00047E4B" w:rsidP="00AF7382">
            <w:pPr>
              <w:rPr>
                <w:sz w:val="18"/>
                <w:szCs w:val="18"/>
              </w:rPr>
            </w:pPr>
            <w:r w:rsidRPr="006F3D93">
              <w:rPr>
                <w:sz w:val="18"/>
                <w:szCs w:val="18"/>
              </w:rPr>
              <w:t>How often does (…) strangle you or attempt to choke, suffocate, or drown you?</w:t>
            </w:r>
          </w:p>
        </w:tc>
        <w:tc>
          <w:tcPr>
            <w:tcW w:w="2802" w:type="dxa"/>
          </w:tcPr>
          <w:p w14:paraId="633A6C27" w14:textId="77777777" w:rsidR="00047E4B" w:rsidRPr="006F3D93" w:rsidRDefault="00047E4B" w:rsidP="00EC1E3A">
            <w:pPr>
              <w:rPr>
                <w:sz w:val="18"/>
                <w:szCs w:val="18"/>
              </w:rPr>
            </w:pPr>
            <w:r w:rsidRPr="006F3D93">
              <w:rPr>
                <w:sz w:val="18"/>
                <w:szCs w:val="18"/>
              </w:rPr>
              <w:t xml:space="preserve">Never/once only/ </w:t>
            </w:r>
            <w:r w:rsidRPr="00BB4D30">
              <w:rPr>
                <w:sz w:val="18"/>
                <w:szCs w:val="18"/>
                <w:highlight w:val="yellow"/>
              </w:rPr>
              <w:t>occasionally/often</w:t>
            </w:r>
          </w:p>
        </w:tc>
        <w:tc>
          <w:tcPr>
            <w:tcW w:w="3210" w:type="dxa"/>
          </w:tcPr>
          <w:p w14:paraId="5354109F" w14:textId="08DDFE97" w:rsidR="00047E4B" w:rsidRPr="006F3D93" w:rsidRDefault="00047E4B" w:rsidP="00EC1E3A">
            <w:pPr>
              <w:rPr>
                <w:sz w:val="18"/>
                <w:szCs w:val="18"/>
              </w:rPr>
            </w:pPr>
            <w:r w:rsidRPr="006F3D93">
              <w:rPr>
                <w:sz w:val="18"/>
                <w:szCs w:val="18"/>
              </w:rPr>
              <w:sym w:font="Symbol" w:char="F0A7"/>
            </w:r>
            <w:r w:rsidRPr="006F3D93">
              <w:rPr>
                <w:sz w:val="18"/>
                <w:szCs w:val="18"/>
              </w:rPr>
              <w:t xml:space="preserve"> Captures </w:t>
            </w:r>
            <w:r w:rsidR="00E21F78">
              <w:rPr>
                <w:sz w:val="18"/>
                <w:szCs w:val="18"/>
              </w:rPr>
              <w:t xml:space="preserve">the </w:t>
            </w:r>
            <w:r w:rsidRPr="006F3D93">
              <w:rPr>
                <w:sz w:val="18"/>
                <w:szCs w:val="18"/>
              </w:rPr>
              <w:t xml:space="preserve">frequency of sub-lethal violence, which is important for immediate risk assessment. </w:t>
            </w:r>
          </w:p>
          <w:p w14:paraId="5B0E98A6" w14:textId="77777777" w:rsidR="00047E4B" w:rsidRPr="006F3D93" w:rsidRDefault="00047E4B" w:rsidP="00EC1E3A">
            <w:pPr>
              <w:rPr>
                <w:sz w:val="18"/>
                <w:szCs w:val="18"/>
              </w:rPr>
            </w:pPr>
            <w:r w:rsidRPr="006F3D93">
              <w:rPr>
                <w:sz w:val="18"/>
                <w:szCs w:val="18"/>
              </w:rPr>
              <w:sym w:font="Symbol" w:char="F0A7"/>
            </w:r>
            <w:r w:rsidRPr="006F3D93">
              <w:rPr>
                <w:sz w:val="18"/>
                <w:szCs w:val="18"/>
              </w:rPr>
              <w:t xml:space="preserve"> Officers should be aware that even isolated or infrequent sub-lethal assaults are an indicator of heightened risk.</w:t>
            </w:r>
          </w:p>
        </w:tc>
      </w:tr>
      <w:tr w:rsidR="00047E4B" w:rsidRPr="006F3D93" w14:paraId="1AFDDA48" w14:textId="77777777" w:rsidTr="00EC1E3A">
        <w:tc>
          <w:tcPr>
            <w:tcW w:w="3005" w:type="dxa"/>
          </w:tcPr>
          <w:p w14:paraId="40212F51" w14:textId="77777777" w:rsidR="00047E4B" w:rsidRPr="006F3D93" w:rsidRDefault="00047E4B" w:rsidP="00AF7382">
            <w:pPr>
              <w:rPr>
                <w:sz w:val="18"/>
                <w:szCs w:val="18"/>
              </w:rPr>
            </w:pPr>
            <w:r w:rsidRPr="006F3D93">
              <w:rPr>
                <w:sz w:val="18"/>
                <w:szCs w:val="18"/>
              </w:rPr>
              <w:t xml:space="preserve">How often does (…) use or threaten to use weapons such as household items, knives or </w:t>
            </w:r>
            <w:r w:rsidRPr="006F3D93">
              <w:rPr>
                <w:sz w:val="18"/>
                <w:szCs w:val="18"/>
                <w:highlight w:val="yellow"/>
              </w:rPr>
              <w:t>guns</w:t>
            </w:r>
            <w:r w:rsidRPr="006F3D93">
              <w:rPr>
                <w:sz w:val="18"/>
                <w:szCs w:val="18"/>
              </w:rPr>
              <w:t xml:space="preserve"> to hurt you?</w:t>
            </w:r>
          </w:p>
        </w:tc>
        <w:tc>
          <w:tcPr>
            <w:tcW w:w="2802" w:type="dxa"/>
          </w:tcPr>
          <w:p w14:paraId="14C183A3" w14:textId="77777777" w:rsidR="00047E4B" w:rsidRPr="006F3D93" w:rsidRDefault="00047E4B" w:rsidP="00EC1E3A">
            <w:pPr>
              <w:rPr>
                <w:sz w:val="18"/>
                <w:szCs w:val="18"/>
              </w:rPr>
            </w:pPr>
            <w:r w:rsidRPr="00BB4D30">
              <w:rPr>
                <w:sz w:val="18"/>
                <w:szCs w:val="18"/>
                <w:highlight w:val="yellow"/>
              </w:rPr>
              <w:t xml:space="preserve">Unknown, but once </w:t>
            </w:r>
            <w:r>
              <w:rPr>
                <w:sz w:val="18"/>
                <w:szCs w:val="18"/>
                <w:highlight w:val="yellow"/>
              </w:rPr>
              <w:t>was</w:t>
            </w:r>
            <w:r w:rsidRPr="00BB4D30">
              <w:rPr>
                <w:sz w:val="18"/>
                <w:szCs w:val="18"/>
                <w:highlight w:val="yellow"/>
              </w:rPr>
              <w:t xml:space="preserve"> enough.</w:t>
            </w:r>
          </w:p>
        </w:tc>
        <w:tc>
          <w:tcPr>
            <w:tcW w:w="3210" w:type="dxa"/>
          </w:tcPr>
          <w:p w14:paraId="5EE3ADCC" w14:textId="477C90AA" w:rsidR="00047E4B" w:rsidRPr="006F3D93" w:rsidRDefault="00047E4B" w:rsidP="00EC1E3A">
            <w:pPr>
              <w:rPr>
                <w:sz w:val="18"/>
                <w:szCs w:val="18"/>
              </w:rPr>
            </w:pPr>
            <w:r w:rsidRPr="006F3D93">
              <w:rPr>
                <w:sz w:val="18"/>
                <w:szCs w:val="18"/>
              </w:rPr>
              <w:sym w:font="Symbol" w:char="F0A7"/>
            </w:r>
            <w:r w:rsidRPr="006F3D93">
              <w:rPr>
                <w:sz w:val="18"/>
                <w:szCs w:val="18"/>
              </w:rPr>
              <w:t xml:space="preserve"> Captures </w:t>
            </w:r>
            <w:r w:rsidR="00E21F78">
              <w:rPr>
                <w:sz w:val="18"/>
                <w:szCs w:val="18"/>
              </w:rPr>
              <w:t xml:space="preserve">the </w:t>
            </w:r>
            <w:r w:rsidRPr="006F3D93">
              <w:rPr>
                <w:sz w:val="18"/>
                <w:szCs w:val="18"/>
              </w:rPr>
              <w:t xml:space="preserve">frequency of potentially sub-lethal or controlling violence, which is important for immediate risk assessment. </w:t>
            </w:r>
          </w:p>
          <w:p w14:paraId="5F8F640B" w14:textId="77777777" w:rsidR="00047E4B" w:rsidRPr="006F3D93" w:rsidRDefault="00047E4B" w:rsidP="00EC1E3A">
            <w:pPr>
              <w:rPr>
                <w:sz w:val="18"/>
                <w:szCs w:val="18"/>
              </w:rPr>
            </w:pPr>
            <w:r w:rsidRPr="006F3D93">
              <w:rPr>
                <w:sz w:val="18"/>
                <w:szCs w:val="18"/>
              </w:rPr>
              <w:lastRenderedPageBreak/>
              <w:t>Officers should be aware that even isolated or infrequent use of weapons might be an indicator of heightened risk.</w:t>
            </w:r>
          </w:p>
        </w:tc>
      </w:tr>
      <w:tr w:rsidR="00047E4B" w:rsidRPr="006F3D93" w14:paraId="7991B424" w14:textId="77777777" w:rsidTr="00EC1E3A">
        <w:tc>
          <w:tcPr>
            <w:tcW w:w="3005" w:type="dxa"/>
          </w:tcPr>
          <w:p w14:paraId="17ABBF4B" w14:textId="77777777" w:rsidR="00047E4B" w:rsidRPr="006F3D93" w:rsidRDefault="00047E4B" w:rsidP="00AF7382">
            <w:pPr>
              <w:rPr>
                <w:sz w:val="18"/>
                <w:szCs w:val="18"/>
              </w:rPr>
            </w:pPr>
            <w:r w:rsidRPr="006F3D93">
              <w:rPr>
                <w:sz w:val="18"/>
                <w:szCs w:val="18"/>
              </w:rPr>
              <w:lastRenderedPageBreak/>
              <w:t>How often does (…) threaten or attempt suicide?</w:t>
            </w:r>
          </w:p>
        </w:tc>
        <w:tc>
          <w:tcPr>
            <w:tcW w:w="2802" w:type="dxa"/>
          </w:tcPr>
          <w:p w14:paraId="32D6707F" w14:textId="7DB2648B" w:rsidR="00047E4B" w:rsidRPr="006F3D93" w:rsidRDefault="00047E4B" w:rsidP="00EC1E3A">
            <w:pPr>
              <w:rPr>
                <w:sz w:val="18"/>
                <w:szCs w:val="18"/>
              </w:rPr>
            </w:pPr>
            <w:r w:rsidRPr="00DC4282">
              <w:rPr>
                <w:sz w:val="18"/>
                <w:szCs w:val="18"/>
                <w:highlight w:val="yellow"/>
              </w:rPr>
              <w:t>At least once</w:t>
            </w:r>
          </w:p>
        </w:tc>
        <w:tc>
          <w:tcPr>
            <w:tcW w:w="3210" w:type="dxa"/>
          </w:tcPr>
          <w:p w14:paraId="67A68037" w14:textId="7466F565" w:rsidR="00047E4B" w:rsidRPr="006F3D93" w:rsidRDefault="00047E4B" w:rsidP="00EC1E3A">
            <w:pPr>
              <w:rPr>
                <w:sz w:val="18"/>
                <w:szCs w:val="18"/>
              </w:rPr>
            </w:pPr>
            <w:r w:rsidRPr="006F3D93">
              <w:rPr>
                <w:sz w:val="18"/>
                <w:szCs w:val="18"/>
              </w:rPr>
              <w:sym w:font="Symbol" w:char="F0A7"/>
            </w:r>
            <w:r w:rsidRPr="006F3D93">
              <w:rPr>
                <w:sz w:val="18"/>
                <w:szCs w:val="18"/>
              </w:rPr>
              <w:t xml:space="preserve"> Captures </w:t>
            </w:r>
            <w:r w:rsidR="009B21CD">
              <w:rPr>
                <w:sz w:val="18"/>
                <w:szCs w:val="18"/>
              </w:rPr>
              <w:t xml:space="preserve">the </w:t>
            </w:r>
            <w:r w:rsidRPr="006F3D93">
              <w:rPr>
                <w:sz w:val="18"/>
                <w:szCs w:val="18"/>
              </w:rPr>
              <w:t>frequency of controlling behaviour that has been linked to domestic homicide.</w:t>
            </w:r>
          </w:p>
        </w:tc>
      </w:tr>
      <w:tr w:rsidR="00047E4B" w:rsidRPr="006F3D93" w14:paraId="77236DCF" w14:textId="77777777" w:rsidTr="00EC1E3A">
        <w:tc>
          <w:tcPr>
            <w:tcW w:w="3005" w:type="dxa"/>
          </w:tcPr>
          <w:p w14:paraId="65B8B413" w14:textId="77777777" w:rsidR="00047E4B" w:rsidRPr="006F3D93" w:rsidRDefault="00047E4B" w:rsidP="00AF7382">
            <w:pPr>
              <w:rPr>
                <w:sz w:val="18"/>
                <w:szCs w:val="18"/>
              </w:rPr>
            </w:pPr>
            <w:r w:rsidRPr="006F3D93">
              <w:rPr>
                <w:sz w:val="18"/>
                <w:szCs w:val="18"/>
              </w:rPr>
              <w:t>Have you recently separated from (…) or do you plan to separate from them?</w:t>
            </w:r>
          </w:p>
          <w:p w14:paraId="79E1256D" w14:textId="77777777" w:rsidR="00047E4B" w:rsidRDefault="00047E4B" w:rsidP="00AF7382">
            <w:pPr>
              <w:rPr>
                <w:sz w:val="18"/>
                <w:szCs w:val="18"/>
              </w:rPr>
            </w:pPr>
            <w:r w:rsidRPr="006F3D93">
              <w:rPr>
                <w:sz w:val="18"/>
                <w:szCs w:val="18"/>
              </w:rPr>
              <w:t>[If yes</w:t>
            </w:r>
          </w:p>
          <w:p w14:paraId="4D65AF59" w14:textId="2BE3E05B" w:rsidR="00047E4B" w:rsidRPr="006F3D93" w:rsidRDefault="00047E4B" w:rsidP="00AF7382">
            <w:pPr>
              <w:rPr>
                <w:sz w:val="18"/>
                <w:szCs w:val="18"/>
              </w:rPr>
            </w:pPr>
            <w:r w:rsidRPr="006F3D93">
              <w:rPr>
                <w:sz w:val="18"/>
                <w:szCs w:val="18"/>
              </w:rPr>
              <w:t>Has this/will this put you in danger?</w:t>
            </w:r>
            <w:r w:rsidR="00070C62">
              <w:rPr>
                <w:sz w:val="18"/>
                <w:szCs w:val="18"/>
              </w:rPr>
              <w:t>]</w:t>
            </w:r>
          </w:p>
        </w:tc>
        <w:tc>
          <w:tcPr>
            <w:tcW w:w="2802" w:type="dxa"/>
          </w:tcPr>
          <w:p w14:paraId="5104C0C6" w14:textId="77777777" w:rsidR="00047E4B" w:rsidRPr="006F3D93" w:rsidRDefault="00047E4B" w:rsidP="00EC1E3A">
            <w:pPr>
              <w:rPr>
                <w:sz w:val="18"/>
                <w:szCs w:val="18"/>
              </w:rPr>
            </w:pPr>
            <w:r w:rsidRPr="006F3D93">
              <w:rPr>
                <w:sz w:val="18"/>
                <w:szCs w:val="18"/>
              </w:rPr>
              <w:t xml:space="preserve"> </w:t>
            </w:r>
            <w:r w:rsidRPr="006F3D93">
              <w:rPr>
                <w:sz w:val="18"/>
                <w:szCs w:val="18"/>
                <w:highlight w:val="yellow"/>
              </w:rPr>
              <w:t>YES</w:t>
            </w:r>
            <w:r w:rsidRPr="006F3D93">
              <w:rPr>
                <w:sz w:val="18"/>
                <w:szCs w:val="18"/>
              </w:rPr>
              <w:t>/NO</w:t>
            </w:r>
          </w:p>
        </w:tc>
        <w:tc>
          <w:tcPr>
            <w:tcW w:w="3210" w:type="dxa"/>
          </w:tcPr>
          <w:p w14:paraId="3E6444CC" w14:textId="77777777" w:rsidR="00047E4B" w:rsidRPr="006F3D93" w:rsidRDefault="00047E4B" w:rsidP="00EC1E3A">
            <w:pPr>
              <w:rPr>
                <w:sz w:val="18"/>
                <w:szCs w:val="18"/>
              </w:rPr>
            </w:pPr>
            <w:r w:rsidRPr="006F3D93">
              <w:rPr>
                <w:sz w:val="18"/>
                <w:szCs w:val="18"/>
              </w:rPr>
              <w:t xml:space="preserve"> Separation in the context of coercive control is associated with domestic homicide.</w:t>
            </w:r>
          </w:p>
          <w:p w14:paraId="27B009EC" w14:textId="77777777" w:rsidR="00047E4B" w:rsidRDefault="00047E4B" w:rsidP="00EC1E3A">
            <w:pPr>
              <w:rPr>
                <w:sz w:val="18"/>
                <w:szCs w:val="18"/>
              </w:rPr>
            </w:pPr>
            <w:r w:rsidRPr="006F3D93">
              <w:rPr>
                <w:sz w:val="18"/>
                <w:szCs w:val="18"/>
              </w:rPr>
              <w:t xml:space="preserve">Separation is also highly correlated with domestic abuse, but not all cases are in the context of coercive control. </w:t>
            </w:r>
          </w:p>
          <w:p w14:paraId="277964F9" w14:textId="77777777" w:rsidR="00047E4B" w:rsidRPr="006F3D93" w:rsidRDefault="00047E4B" w:rsidP="00EC1E3A">
            <w:pPr>
              <w:rPr>
                <w:sz w:val="18"/>
                <w:szCs w:val="18"/>
              </w:rPr>
            </w:pPr>
            <w:r w:rsidRPr="006F3D93">
              <w:rPr>
                <w:sz w:val="18"/>
                <w:szCs w:val="18"/>
              </w:rPr>
              <w:sym w:font="Symbol" w:char="F0A7"/>
            </w:r>
            <w:r w:rsidRPr="006F3D93">
              <w:rPr>
                <w:sz w:val="18"/>
                <w:szCs w:val="18"/>
              </w:rPr>
              <w:t xml:space="preserve"> The DARA question clarifies that the (planned) separation must have increased the threat.</w:t>
            </w:r>
          </w:p>
        </w:tc>
      </w:tr>
      <w:tr w:rsidR="00047E4B" w:rsidRPr="006F3D93" w14:paraId="65F2BD58" w14:textId="77777777" w:rsidTr="00EC1E3A">
        <w:tc>
          <w:tcPr>
            <w:tcW w:w="3005" w:type="dxa"/>
          </w:tcPr>
          <w:p w14:paraId="253897BC" w14:textId="77777777" w:rsidR="00047E4B" w:rsidRPr="006F3D93" w:rsidRDefault="00047E4B" w:rsidP="00AF7382">
            <w:pPr>
              <w:rPr>
                <w:sz w:val="18"/>
                <w:szCs w:val="18"/>
              </w:rPr>
            </w:pPr>
            <w:r w:rsidRPr="006F3D93">
              <w:rPr>
                <w:sz w:val="18"/>
                <w:szCs w:val="18"/>
              </w:rPr>
              <w:t>Is the abuse you are experiencing from (…) getting worse?</w:t>
            </w:r>
          </w:p>
        </w:tc>
        <w:tc>
          <w:tcPr>
            <w:tcW w:w="2802" w:type="dxa"/>
          </w:tcPr>
          <w:p w14:paraId="0721D2C1" w14:textId="77777777" w:rsidR="00047E4B" w:rsidRPr="006F3D93" w:rsidRDefault="00047E4B" w:rsidP="00EC1E3A">
            <w:pPr>
              <w:rPr>
                <w:sz w:val="18"/>
                <w:szCs w:val="18"/>
              </w:rPr>
            </w:pPr>
            <w:r w:rsidRPr="006F3D93">
              <w:rPr>
                <w:sz w:val="18"/>
                <w:szCs w:val="18"/>
                <w:highlight w:val="yellow"/>
              </w:rPr>
              <w:t>YES</w:t>
            </w:r>
            <w:r w:rsidRPr="006F3D93">
              <w:rPr>
                <w:sz w:val="18"/>
                <w:szCs w:val="18"/>
              </w:rPr>
              <w:t>/NO</w:t>
            </w:r>
          </w:p>
        </w:tc>
        <w:tc>
          <w:tcPr>
            <w:tcW w:w="3210" w:type="dxa"/>
          </w:tcPr>
          <w:p w14:paraId="379EE638" w14:textId="77777777" w:rsidR="00047E4B" w:rsidRPr="006F3D93" w:rsidRDefault="00047E4B" w:rsidP="00EC1E3A">
            <w:pPr>
              <w:rPr>
                <w:sz w:val="18"/>
                <w:szCs w:val="18"/>
              </w:rPr>
            </w:pPr>
            <w:r w:rsidRPr="006F3D93">
              <w:rPr>
                <w:sz w:val="18"/>
                <w:szCs w:val="18"/>
              </w:rPr>
              <w:sym w:font="Symbol" w:char="F0A7"/>
            </w:r>
            <w:r w:rsidRPr="006F3D93">
              <w:rPr>
                <w:sz w:val="18"/>
                <w:szCs w:val="18"/>
              </w:rPr>
              <w:t xml:space="preserve"> Escalation of abuse has been identified by research as associated with increased risk.</w:t>
            </w:r>
          </w:p>
        </w:tc>
      </w:tr>
      <w:tr w:rsidR="00047E4B" w:rsidRPr="006F3D93" w14:paraId="44EFC11E" w14:textId="77777777" w:rsidTr="00EC1E3A">
        <w:tc>
          <w:tcPr>
            <w:tcW w:w="3005" w:type="dxa"/>
          </w:tcPr>
          <w:p w14:paraId="2C56D25B" w14:textId="77777777" w:rsidR="00047E4B" w:rsidRPr="006F3D93" w:rsidRDefault="00047E4B" w:rsidP="00AF7382">
            <w:pPr>
              <w:rPr>
                <w:sz w:val="18"/>
                <w:szCs w:val="18"/>
              </w:rPr>
            </w:pPr>
            <w:r w:rsidRPr="006F3D93">
              <w:rPr>
                <w:sz w:val="18"/>
                <w:szCs w:val="18"/>
              </w:rPr>
              <w:t>Has (…) ever threatened to kill you and you believed they were capable of doing it?</w:t>
            </w:r>
          </w:p>
        </w:tc>
        <w:tc>
          <w:tcPr>
            <w:tcW w:w="2802" w:type="dxa"/>
          </w:tcPr>
          <w:p w14:paraId="7526E85E" w14:textId="2B79CEC8" w:rsidR="00047E4B" w:rsidRPr="006F3D93" w:rsidRDefault="00245733" w:rsidP="00EC1E3A">
            <w:pPr>
              <w:rPr>
                <w:sz w:val="18"/>
                <w:szCs w:val="18"/>
              </w:rPr>
            </w:pPr>
            <w:r>
              <w:rPr>
                <w:sz w:val="18"/>
                <w:szCs w:val="18"/>
                <w:shd w:val="clear" w:color="auto" w:fill="FFFF00"/>
              </w:rPr>
              <w:t>U</w:t>
            </w:r>
            <w:r w:rsidR="00047E4B" w:rsidRPr="006322FC">
              <w:rPr>
                <w:sz w:val="18"/>
                <w:szCs w:val="18"/>
                <w:shd w:val="clear" w:color="auto" w:fill="FFFF00"/>
              </w:rPr>
              <w:t>nknown</w:t>
            </w:r>
            <w:r w:rsidR="00047E4B" w:rsidRPr="006322FC">
              <w:rPr>
                <w:sz w:val="18"/>
                <w:szCs w:val="18"/>
                <w:shd w:val="clear" w:color="auto" w:fill="FFFF00"/>
              </w:rPr>
              <w:tab/>
            </w:r>
            <w:r w:rsidR="00047E4B" w:rsidRPr="006F3D93">
              <w:rPr>
                <w:sz w:val="18"/>
                <w:szCs w:val="18"/>
              </w:rPr>
              <w:t xml:space="preserve"> </w:t>
            </w:r>
          </w:p>
        </w:tc>
        <w:tc>
          <w:tcPr>
            <w:tcW w:w="3210" w:type="dxa"/>
          </w:tcPr>
          <w:p w14:paraId="70AD5701" w14:textId="77777777" w:rsidR="00047E4B" w:rsidRPr="006F3D93" w:rsidRDefault="00047E4B" w:rsidP="00EC1E3A">
            <w:pPr>
              <w:rPr>
                <w:sz w:val="18"/>
                <w:szCs w:val="18"/>
              </w:rPr>
            </w:pPr>
            <w:r w:rsidRPr="006F3D93">
              <w:rPr>
                <w:sz w:val="18"/>
                <w:szCs w:val="18"/>
              </w:rPr>
              <w:sym w:font="Symbol" w:char="F0A7"/>
            </w:r>
            <w:r w:rsidRPr="006F3D93">
              <w:rPr>
                <w:sz w:val="18"/>
                <w:szCs w:val="18"/>
              </w:rPr>
              <w:t xml:space="preserve"> Captures specific and credible threats to kill the victim. Threats to harm people the victim cares about are covered in an earlier question</w:t>
            </w:r>
          </w:p>
        </w:tc>
      </w:tr>
      <w:tr w:rsidR="00047E4B" w:rsidRPr="006F3D93" w14:paraId="7741EA2C" w14:textId="77777777" w:rsidTr="00EC1E3A">
        <w:tc>
          <w:tcPr>
            <w:tcW w:w="3005" w:type="dxa"/>
          </w:tcPr>
          <w:p w14:paraId="3CD06A33" w14:textId="77777777" w:rsidR="00047E4B" w:rsidRPr="006F3D93" w:rsidRDefault="00047E4B" w:rsidP="00AF7382">
            <w:pPr>
              <w:rPr>
                <w:sz w:val="18"/>
                <w:szCs w:val="18"/>
              </w:rPr>
            </w:pPr>
            <w:r w:rsidRPr="006F3D93">
              <w:rPr>
                <w:sz w:val="18"/>
                <w:szCs w:val="18"/>
              </w:rPr>
              <w:t>Has (…) ever hurt the children?</w:t>
            </w:r>
          </w:p>
        </w:tc>
        <w:tc>
          <w:tcPr>
            <w:tcW w:w="2802" w:type="dxa"/>
          </w:tcPr>
          <w:p w14:paraId="2F14D41C" w14:textId="53FD47BE" w:rsidR="00047E4B" w:rsidRPr="006F3D93" w:rsidRDefault="00245733" w:rsidP="00EC1E3A">
            <w:pPr>
              <w:rPr>
                <w:sz w:val="18"/>
                <w:szCs w:val="18"/>
              </w:rPr>
            </w:pPr>
            <w:r>
              <w:rPr>
                <w:sz w:val="18"/>
                <w:szCs w:val="18"/>
                <w:shd w:val="clear" w:color="auto" w:fill="FFFF00"/>
              </w:rPr>
              <w:t>U</w:t>
            </w:r>
            <w:r w:rsidR="00047E4B" w:rsidRPr="006322FC">
              <w:rPr>
                <w:sz w:val="18"/>
                <w:szCs w:val="18"/>
                <w:shd w:val="clear" w:color="auto" w:fill="FFFF00"/>
              </w:rPr>
              <w:t xml:space="preserve">nknown </w:t>
            </w:r>
          </w:p>
        </w:tc>
        <w:tc>
          <w:tcPr>
            <w:tcW w:w="3210" w:type="dxa"/>
          </w:tcPr>
          <w:p w14:paraId="4D19F111" w14:textId="77777777" w:rsidR="00047E4B" w:rsidRPr="006F3D93" w:rsidRDefault="00047E4B" w:rsidP="00EC1E3A">
            <w:pPr>
              <w:rPr>
                <w:sz w:val="18"/>
                <w:szCs w:val="18"/>
              </w:rPr>
            </w:pPr>
            <w:r w:rsidRPr="006F3D93">
              <w:rPr>
                <w:sz w:val="18"/>
                <w:szCs w:val="18"/>
              </w:rPr>
              <w:sym w:font="Symbol" w:char="F0A7"/>
            </w:r>
            <w:r w:rsidRPr="006F3D93">
              <w:rPr>
                <w:sz w:val="18"/>
                <w:szCs w:val="18"/>
              </w:rPr>
              <w:t xml:space="preserve"> Abuse of children is serious in its own right, as well as indicating greater risk to the victim. There is also provision in the Domestic Abuse Act 2021 for children as victims of domestic abuse if they see, hear or experience the effects of the abuse to a parent.</w:t>
            </w:r>
          </w:p>
        </w:tc>
      </w:tr>
      <w:tr w:rsidR="00047E4B" w:rsidRPr="006F3D93" w14:paraId="057608C0" w14:textId="77777777" w:rsidTr="00EC1E3A">
        <w:tc>
          <w:tcPr>
            <w:tcW w:w="3005" w:type="dxa"/>
          </w:tcPr>
          <w:p w14:paraId="36C18163" w14:textId="77777777" w:rsidR="00047E4B" w:rsidRPr="006F3D93" w:rsidRDefault="00047E4B" w:rsidP="00AF7382">
            <w:pPr>
              <w:rPr>
                <w:sz w:val="18"/>
                <w:szCs w:val="18"/>
              </w:rPr>
            </w:pPr>
            <w:r w:rsidRPr="006F3D93">
              <w:rPr>
                <w:sz w:val="18"/>
                <w:szCs w:val="18"/>
              </w:rPr>
              <w:t>Does (…) use child contact arrangements to control you or continue to abuse you?</w:t>
            </w:r>
          </w:p>
        </w:tc>
        <w:tc>
          <w:tcPr>
            <w:tcW w:w="2802" w:type="dxa"/>
          </w:tcPr>
          <w:p w14:paraId="277122C1" w14:textId="660C5037" w:rsidR="00047E4B" w:rsidRPr="006F3D93" w:rsidRDefault="00E933B3" w:rsidP="00EC1E3A">
            <w:pPr>
              <w:rPr>
                <w:sz w:val="18"/>
                <w:szCs w:val="18"/>
              </w:rPr>
            </w:pPr>
            <w:r>
              <w:rPr>
                <w:sz w:val="18"/>
                <w:szCs w:val="18"/>
                <w:shd w:val="clear" w:color="auto" w:fill="FFFF00"/>
              </w:rPr>
              <w:t>U</w:t>
            </w:r>
            <w:r w:rsidR="00047E4B" w:rsidRPr="006322FC">
              <w:rPr>
                <w:sz w:val="18"/>
                <w:szCs w:val="18"/>
                <w:shd w:val="clear" w:color="auto" w:fill="FFFF00"/>
              </w:rPr>
              <w:t>nknown</w:t>
            </w:r>
          </w:p>
        </w:tc>
        <w:tc>
          <w:tcPr>
            <w:tcW w:w="3210" w:type="dxa"/>
          </w:tcPr>
          <w:p w14:paraId="3A4F0B6C" w14:textId="77777777" w:rsidR="00047E4B" w:rsidRPr="006F3D93" w:rsidRDefault="00047E4B" w:rsidP="00EC1E3A">
            <w:pPr>
              <w:rPr>
                <w:sz w:val="18"/>
                <w:szCs w:val="18"/>
              </w:rPr>
            </w:pPr>
            <w:r w:rsidRPr="006F3D93">
              <w:rPr>
                <w:sz w:val="18"/>
                <w:szCs w:val="18"/>
              </w:rPr>
              <w:sym w:font="Symbol" w:char="F0A7"/>
            </w:r>
            <w:r w:rsidRPr="006F3D93">
              <w:rPr>
                <w:sz w:val="18"/>
                <w:szCs w:val="18"/>
              </w:rPr>
              <w:t xml:space="preserve"> There is potential for conflict over child contact between many ex-partners. </w:t>
            </w:r>
          </w:p>
        </w:tc>
      </w:tr>
      <w:tr w:rsidR="00047E4B" w:rsidRPr="006F3D93" w14:paraId="4483037E" w14:textId="77777777" w:rsidTr="00EC1E3A">
        <w:tc>
          <w:tcPr>
            <w:tcW w:w="3005" w:type="dxa"/>
          </w:tcPr>
          <w:p w14:paraId="1C3A716A" w14:textId="77777777" w:rsidR="00047E4B" w:rsidRPr="006F3D93" w:rsidRDefault="00047E4B" w:rsidP="00AF7382">
            <w:pPr>
              <w:rPr>
                <w:sz w:val="18"/>
                <w:szCs w:val="18"/>
              </w:rPr>
            </w:pPr>
            <w:r w:rsidRPr="006F3D93">
              <w:rPr>
                <w:sz w:val="18"/>
                <w:szCs w:val="18"/>
              </w:rPr>
              <w:t>Are you pregnant or have you recently had a baby?</w:t>
            </w:r>
          </w:p>
        </w:tc>
        <w:tc>
          <w:tcPr>
            <w:tcW w:w="2802" w:type="dxa"/>
          </w:tcPr>
          <w:p w14:paraId="091DA3D0" w14:textId="77777777" w:rsidR="00047E4B" w:rsidRPr="006F3D93" w:rsidRDefault="00047E4B" w:rsidP="00EC1E3A">
            <w:pPr>
              <w:rPr>
                <w:sz w:val="18"/>
                <w:szCs w:val="18"/>
              </w:rPr>
            </w:pPr>
            <w:r w:rsidRPr="006F3D93">
              <w:rPr>
                <w:sz w:val="18"/>
                <w:szCs w:val="18"/>
                <w:highlight w:val="yellow"/>
              </w:rPr>
              <w:t>Yes/</w:t>
            </w:r>
            <w:r w:rsidRPr="006F3D93">
              <w:rPr>
                <w:sz w:val="18"/>
                <w:szCs w:val="18"/>
              </w:rPr>
              <w:t>no</w:t>
            </w:r>
          </w:p>
        </w:tc>
        <w:tc>
          <w:tcPr>
            <w:tcW w:w="3210" w:type="dxa"/>
          </w:tcPr>
          <w:p w14:paraId="51220DCC" w14:textId="77777777" w:rsidR="00047E4B" w:rsidRPr="006F3D93" w:rsidRDefault="00047E4B" w:rsidP="00EC1E3A">
            <w:pPr>
              <w:rPr>
                <w:sz w:val="18"/>
                <w:szCs w:val="18"/>
              </w:rPr>
            </w:pPr>
            <w:r w:rsidRPr="006F3D93">
              <w:rPr>
                <w:sz w:val="18"/>
                <w:szCs w:val="18"/>
              </w:rPr>
              <w:sym w:font="Symbol" w:char="F0A7"/>
            </w:r>
            <w:r w:rsidRPr="006F3D93">
              <w:rPr>
                <w:sz w:val="18"/>
                <w:szCs w:val="18"/>
              </w:rPr>
              <w:t xml:space="preserve"> Pregnancy and recent birth have been associated in some research studies with the onset of abuse. </w:t>
            </w:r>
          </w:p>
          <w:p w14:paraId="22781D88" w14:textId="77777777" w:rsidR="00047E4B" w:rsidRPr="006F3D93" w:rsidRDefault="00047E4B" w:rsidP="00EC1E3A">
            <w:pPr>
              <w:rPr>
                <w:sz w:val="18"/>
                <w:szCs w:val="18"/>
              </w:rPr>
            </w:pPr>
            <w:r w:rsidRPr="006F3D93">
              <w:rPr>
                <w:sz w:val="18"/>
                <w:szCs w:val="18"/>
              </w:rPr>
              <w:sym w:font="Symbol" w:char="F0A7"/>
            </w:r>
            <w:r w:rsidRPr="006F3D93">
              <w:rPr>
                <w:sz w:val="18"/>
                <w:szCs w:val="18"/>
              </w:rPr>
              <w:t xml:space="preserve"> Pregnancy and/or caring responsibilities for a young child may increase a victim’s vulnerability and allow a perpetrator to exert control more effectively. </w:t>
            </w:r>
          </w:p>
          <w:p w14:paraId="7511BCC0" w14:textId="77777777" w:rsidR="00047E4B" w:rsidRPr="006F3D93" w:rsidRDefault="00047E4B" w:rsidP="00EC1E3A">
            <w:pPr>
              <w:rPr>
                <w:sz w:val="18"/>
                <w:szCs w:val="18"/>
              </w:rPr>
            </w:pPr>
            <w:r w:rsidRPr="006F3D93">
              <w:rPr>
                <w:sz w:val="18"/>
                <w:szCs w:val="18"/>
              </w:rPr>
              <w:sym w:font="Symbol" w:char="F0A7"/>
            </w:r>
            <w:r w:rsidRPr="006F3D93">
              <w:rPr>
                <w:sz w:val="18"/>
                <w:szCs w:val="18"/>
              </w:rPr>
              <w:t xml:space="preserve"> Feedback from the testing of DARA suggested that not asking about pregnancy may result in missed opportunities for referrals and safeguarding.</w:t>
            </w:r>
          </w:p>
        </w:tc>
      </w:tr>
      <w:tr w:rsidR="00047E4B" w:rsidRPr="006F3D93" w14:paraId="0873B559" w14:textId="77777777" w:rsidTr="00EC1E3A">
        <w:tc>
          <w:tcPr>
            <w:tcW w:w="3005" w:type="dxa"/>
          </w:tcPr>
          <w:p w14:paraId="7129C86B" w14:textId="77777777" w:rsidR="00047E4B" w:rsidRPr="006F3D93" w:rsidRDefault="00047E4B" w:rsidP="00AF7382">
            <w:pPr>
              <w:rPr>
                <w:sz w:val="18"/>
                <w:szCs w:val="18"/>
              </w:rPr>
            </w:pPr>
            <w:r w:rsidRPr="006F3D93">
              <w:rPr>
                <w:sz w:val="18"/>
                <w:szCs w:val="18"/>
              </w:rPr>
              <w:t>On a scale of 0 to 10, where ‘0’ is not at all likely and ‘10’ is very likely, how likely do you think it is that (…) will seriously injure you in the future?</w:t>
            </w:r>
          </w:p>
        </w:tc>
        <w:tc>
          <w:tcPr>
            <w:tcW w:w="2802" w:type="dxa"/>
          </w:tcPr>
          <w:p w14:paraId="6AFAB44B" w14:textId="232D30E4" w:rsidR="00047E4B" w:rsidRPr="006F3D93" w:rsidRDefault="008944E6" w:rsidP="00EC1E3A">
            <w:pPr>
              <w:rPr>
                <w:sz w:val="18"/>
                <w:szCs w:val="18"/>
              </w:rPr>
            </w:pPr>
            <w:r w:rsidRPr="00174B1E">
              <w:rPr>
                <w:sz w:val="18"/>
                <w:szCs w:val="18"/>
                <w:highlight w:val="yellow"/>
              </w:rPr>
              <w:t>U</w:t>
            </w:r>
            <w:r w:rsidR="00047E4B" w:rsidRPr="00174B1E">
              <w:rPr>
                <w:sz w:val="18"/>
                <w:szCs w:val="18"/>
                <w:highlight w:val="yellow"/>
              </w:rPr>
              <w:t>nknown</w:t>
            </w:r>
            <w:r>
              <w:rPr>
                <w:sz w:val="18"/>
                <w:szCs w:val="18"/>
              </w:rPr>
              <w:t xml:space="preserve"> but as she had allegedly been assaulted on more than one </w:t>
            </w:r>
            <w:r w:rsidR="0031489D">
              <w:rPr>
                <w:sz w:val="18"/>
                <w:szCs w:val="18"/>
              </w:rPr>
              <w:t>occasion</w:t>
            </w:r>
            <w:r>
              <w:rPr>
                <w:sz w:val="18"/>
                <w:szCs w:val="18"/>
              </w:rPr>
              <w:t xml:space="preserve">, it is submitted that </w:t>
            </w:r>
            <w:r w:rsidR="0031489D">
              <w:rPr>
                <w:sz w:val="18"/>
                <w:szCs w:val="18"/>
              </w:rPr>
              <w:t>this questions would be graded 5+</w:t>
            </w:r>
            <w:r>
              <w:rPr>
                <w:sz w:val="18"/>
                <w:szCs w:val="18"/>
              </w:rPr>
              <w:t xml:space="preserve"> </w:t>
            </w:r>
          </w:p>
        </w:tc>
        <w:tc>
          <w:tcPr>
            <w:tcW w:w="3210" w:type="dxa"/>
          </w:tcPr>
          <w:p w14:paraId="52A87B8B" w14:textId="77777777" w:rsidR="00477172" w:rsidRDefault="00047E4B" w:rsidP="00EC1E3A">
            <w:pPr>
              <w:rPr>
                <w:sz w:val="18"/>
                <w:szCs w:val="18"/>
              </w:rPr>
            </w:pPr>
            <w:r w:rsidRPr="006F3D93">
              <w:rPr>
                <w:sz w:val="18"/>
                <w:szCs w:val="18"/>
              </w:rPr>
              <w:sym w:font="Symbol" w:char="F0A7"/>
            </w:r>
            <w:r w:rsidRPr="006F3D93">
              <w:rPr>
                <w:sz w:val="18"/>
                <w:szCs w:val="18"/>
              </w:rPr>
              <w:t xml:space="preserve"> Research has shown that victims’ own perceptions of risk are as accurate as some actuarial risk assessment tools. </w:t>
            </w:r>
          </w:p>
          <w:p w14:paraId="2EE3922A" w14:textId="76F5E6E9" w:rsidR="00047E4B" w:rsidRPr="006F3D93" w:rsidRDefault="00047E4B" w:rsidP="00EC1E3A">
            <w:pPr>
              <w:rPr>
                <w:sz w:val="18"/>
                <w:szCs w:val="18"/>
              </w:rPr>
            </w:pPr>
            <w:r w:rsidRPr="006F3D93">
              <w:rPr>
                <w:sz w:val="18"/>
                <w:szCs w:val="18"/>
              </w:rPr>
              <w:sym w:font="Symbol" w:char="F0A7"/>
            </w:r>
            <w:r w:rsidRPr="006F3D93">
              <w:rPr>
                <w:sz w:val="18"/>
                <w:szCs w:val="18"/>
              </w:rPr>
              <w:t xml:space="preserve"> Victims are well placed to know the imminent and future threat posed by the perpetrator. </w:t>
            </w:r>
          </w:p>
          <w:p w14:paraId="6B6B24E7" w14:textId="77777777" w:rsidR="00047E4B" w:rsidRPr="006F3D93" w:rsidRDefault="00047E4B" w:rsidP="00EC1E3A">
            <w:pPr>
              <w:rPr>
                <w:sz w:val="18"/>
                <w:szCs w:val="18"/>
              </w:rPr>
            </w:pPr>
            <w:r w:rsidRPr="006F3D93">
              <w:rPr>
                <w:sz w:val="18"/>
                <w:szCs w:val="18"/>
              </w:rPr>
              <w:sym w:font="Symbol" w:char="F0A7"/>
            </w:r>
            <w:r w:rsidRPr="006F3D93">
              <w:rPr>
                <w:sz w:val="18"/>
                <w:szCs w:val="18"/>
              </w:rPr>
              <w:t xml:space="preserve"> Officers will be given guidance that low scores on this scale may not necessarily reflect the actual threat and should be considered in combination with other information and responses.</w:t>
            </w:r>
          </w:p>
        </w:tc>
      </w:tr>
    </w:tbl>
    <w:p w14:paraId="6F2E54D7" w14:textId="0310B5B4" w:rsidR="00384C28" w:rsidRDefault="00384C28" w:rsidP="00754A35"/>
    <w:sectPr w:rsidR="00384C28" w:rsidSect="00FF4E81">
      <w:headerReference w:type="even" r:id="rId7"/>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889B2" w14:textId="77777777" w:rsidR="00D3144D" w:rsidRDefault="00D3144D" w:rsidP="00CD00D4">
      <w:pPr>
        <w:spacing w:after="0" w:line="240" w:lineRule="auto"/>
      </w:pPr>
      <w:r>
        <w:separator/>
      </w:r>
    </w:p>
  </w:endnote>
  <w:endnote w:type="continuationSeparator" w:id="0">
    <w:p w14:paraId="7AE55A3A" w14:textId="77777777" w:rsidR="00D3144D" w:rsidRDefault="00D3144D" w:rsidP="00CD0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371B4" w14:textId="062FCDC4" w:rsidR="007A7853" w:rsidRDefault="007A7853">
    <w:pPr>
      <w:pStyle w:val="Footer"/>
      <w:jc w:val="center"/>
    </w:pPr>
    <w:r>
      <w:t>__________________________________________________________________________________</w:t>
    </w:r>
  </w:p>
  <w:p w14:paraId="580DA7EA" w14:textId="77777777" w:rsidR="007A7853" w:rsidRDefault="007A7853">
    <w:pPr>
      <w:pStyle w:val="Footer"/>
      <w:jc w:val="center"/>
    </w:pPr>
  </w:p>
  <w:sdt>
    <w:sdtPr>
      <w:id w:val="1434313563"/>
      <w:docPartObj>
        <w:docPartGallery w:val="Page Numbers (Bottom of Page)"/>
        <w:docPartUnique/>
      </w:docPartObj>
    </w:sdtPr>
    <w:sdtEndPr>
      <w:rPr>
        <w:noProof/>
      </w:rPr>
    </w:sdtEndPr>
    <w:sdtContent>
      <w:p w14:paraId="2323673C" w14:textId="44A8F4C8" w:rsidR="007A7853" w:rsidRDefault="007A78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8D1A64" w14:textId="77777777" w:rsidR="00FF4E81" w:rsidRDefault="00FF4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8479772"/>
      <w:docPartObj>
        <w:docPartGallery w:val="Page Numbers (Bottom of Page)"/>
        <w:docPartUnique/>
      </w:docPartObj>
    </w:sdtPr>
    <w:sdtEndPr>
      <w:rPr>
        <w:noProof/>
      </w:rPr>
    </w:sdtEndPr>
    <w:sdtContent>
      <w:p w14:paraId="0924C96F" w14:textId="256131D0" w:rsidR="007A7853" w:rsidRDefault="007A7853">
        <w:pPr>
          <w:pStyle w:val="Footer"/>
          <w:jc w:val="center"/>
        </w:pPr>
        <w:r>
          <w:t>__________________________________________________________________________________</w:t>
        </w:r>
      </w:p>
      <w:p w14:paraId="421A7626" w14:textId="77777777" w:rsidR="007A7853" w:rsidRDefault="007A7853">
        <w:pPr>
          <w:pStyle w:val="Footer"/>
          <w:jc w:val="center"/>
        </w:pPr>
      </w:p>
      <w:p w14:paraId="76A463B0" w14:textId="65264B54" w:rsidR="007A7853" w:rsidRDefault="007A78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1F39CD" w14:textId="77777777" w:rsidR="00951F19" w:rsidRDefault="00951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47B2D" w14:textId="77777777" w:rsidR="00D3144D" w:rsidRDefault="00D3144D" w:rsidP="00CD00D4">
      <w:pPr>
        <w:spacing w:after="0" w:line="240" w:lineRule="auto"/>
      </w:pPr>
      <w:r>
        <w:separator/>
      </w:r>
    </w:p>
  </w:footnote>
  <w:footnote w:type="continuationSeparator" w:id="0">
    <w:p w14:paraId="7C6FEF28" w14:textId="77777777" w:rsidR="00D3144D" w:rsidRDefault="00D3144D" w:rsidP="00CD00D4">
      <w:pPr>
        <w:spacing w:after="0" w:line="240" w:lineRule="auto"/>
      </w:pPr>
      <w:r>
        <w:continuationSeparator/>
      </w:r>
    </w:p>
  </w:footnote>
  <w:footnote w:id="1">
    <w:p w14:paraId="3367DB3B" w14:textId="2B54AB6A" w:rsidR="00EB152B" w:rsidRPr="00DF3BAC" w:rsidRDefault="00EB152B" w:rsidP="00EB152B">
      <w:pPr>
        <w:pStyle w:val="FootnoteText"/>
      </w:pPr>
      <w:r w:rsidRPr="00DF3BAC">
        <w:t xml:space="preserve">* </w:t>
      </w:r>
      <w:r w:rsidR="00DF3BAC" w:rsidRPr="00DF3BAC">
        <w:t xml:space="preserve">Lecturer, </w:t>
      </w:r>
      <w:r w:rsidR="00F12DA8" w:rsidRPr="00DF3BAC">
        <w:t xml:space="preserve">Guildhall School of Business and Law, London Metropolitan University. </w:t>
      </w:r>
      <w:r w:rsidR="005F2BB3">
        <w:t xml:space="preserve">Email: </w:t>
      </w:r>
      <w:hyperlink r:id="rId1" w:history="1">
        <w:r w:rsidR="004F0E84" w:rsidRPr="00C2326F">
          <w:rPr>
            <w:rStyle w:val="Hyperlink"/>
          </w:rPr>
          <w:t>k.dyer@londonm</w:t>
        </w:r>
        <w:r w:rsidR="00F06231">
          <w:rPr>
            <w:rStyle w:val="Hyperlink"/>
          </w:rPr>
          <w:t>e</w:t>
        </w:r>
        <w:r w:rsidR="004F0E84" w:rsidRPr="00C2326F">
          <w:rPr>
            <w:rStyle w:val="Hyperlink"/>
          </w:rPr>
          <w:t>t.ac.uk</w:t>
        </w:r>
      </w:hyperlink>
      <w:r w:rsidR="004F0E84">
        <w:t xml:space="preserve">. Thanks to the Editorial Board for helpful suggestions on this </w:t>
      </w:r>
      <w:r w:rsidR="007762D6">
        <w:t>commentary</w:t>
      </w:r>
      <w:r w:rsidR="004F0E84">
        <w:t xml:space="preserve">. </w:t>
      </w:r>
    </w:p>
    <w:p w14:paraId="7A0E1962" w14:textId="36F2C17F" w:rsidR="00EB152B" w:rsidRPr="00DF3BAC" w:rsidRDefault="00EB152B">
      <w:pPr>
        <w:pStyle w:val="FootnoteText"/>
      </w:pPr>
      <w:r w:rsidRPr="00DF3BAC">
        <w:rPr>
          <w:rStyle w:val="FootnoteReference"/>
        </w:rPr>
        <w:footnoteRef/>
      </w:r>
      <w:r w:rsidRPr="00DF3BAC">
        <w:t xml:space="preserve"> </w:t>
      </w:r>
      <w:proofErr w:type="spellStart"/>
      <w:r w:rsidRPr="00DF3BAC">
        <w:rPr>
          <w:rFonts w:cstheme="minorHAnsi"/>
          <w:i/>
          <w:iCs/>
        </w:rPr>
        <w:t>Woolmington</w:t>
      </w:r>
      <w:proofErr w:type="spellEnd"/>
      <w:r w:rsidRPr="00DF3BAC">
        <w:rPr>
          <w:rFonts w:cstheme="minorHAnsi"/>
          <w:i/>
          <w:iCs/>
        </w:rPr>
        <w:t xml:space="preserve"> v The Director of Public Prosecutions </w:t>
      </w:r>
      <w:r w:rsidRPr="00DF3BAC">
        <w:rPr>
          <w:rFonts w:cstheme="minorHAnsi"/>
          <w:shd w:val="clear" w:color="auto" w:fill="FFFFFF"/>
        </w:rPr>
        <w:t xml:space="preserve">[1935] </w:t>
      </w:r>
      <w:r w:rsidR="00987811">
        <w:rPr>
          <w:rFonts w:cstheme="minorHAnsi"/>
          <w:shd w:val="clear" w:color="auto" w:fill="FFFFFF"/>
        </w:rPr>
        <w:t xml:space="preserve">1 </w:t>
      </w:r>
      <w:r w:rsidRPr="00DF3BAC">
        <w:rPr>
          <w:rFonts w:cstheme="minorHAnsi"/>
          <w:shd w:val="clear" w:color="auto" w:fill="FFFFFF"/>
        </w:rPr>
        <w:t>AC 462</w:t>
      </w:r>
      <w:r w:rsidR="00314182" w:rsidRPr="00DF3BAC">
        <w:rPr>
          <w:rFonts w:cstheme="minorHAnsi"/>
          <w:shd w:val="clear" w:color="auto" w:fill="FFFFFF"/>
        </w:rPr>
        <w:t>,</w:t>
      </w:r>
      <w:r w:rsidRPr="00DF3BAC">
        <w:rPr>
          <w:rFonts w:cstheme="minorHAnsi"/>
          <w:shd w:val="clear" w:color="auto" w:fill="FFFFFF"/>
        </w:rPr>
        <w:t xml:space="preserve"> 481.</w:t>
      </w:r>
    </w:p>
  </w:footnote>
  <w:footnote w:id="2">
    <w:p w14:paraId="2E5C0B36" w14:textId="3356BD4D" w:rsidR="00EB152B" w:rsidRPr="00DF3BAC" w:rsidRDefault="00EB152B" w:rsidP="00314182">
      <w:pPr>
        <w:pStyle w:val="FootnoteText"/>
      </w:pPr>
      <w:r w:rsidRPr="00DF3BAC">
        <w:rPr>
          <w:rStyle w:val="FootnoteReference"/>
        </w:rPr>
        <w:footnoteRef/>
      </w:r>
      <w:r w:rsidRPr="00DF3BAC">
        <w:t xml:space="preserve"> </w:t>
      </w:r>
      <w:bookmarkStart w:id="0" w:name="_Hlk174953020"/>
      <w:r w:rsidR="00314182" w:rsidRPr="00DF3BAC">
        <w:rPr>
          <w:rFonts w:cstheme="minorHAnsi"/>
          <w:shd w:val="clear" w:color="auto" w:fill="FFFFFF"/>
        </w:rPr>
        <w:t>Richard Glover, ‘</w:t>
      </w:r>
      <w:proofErr w:type="spellStart"/>
      <w:r w:rsidR="00314182" w:rsidRPr="00DF3BAC">
        <w:rPr>
          <w:rFonts w:cstheme="minorHAnsi"/>
          <w:i/>
          <w:iCs/>
          <w:shd w:val="clear" w:color="auto" w:fill="FFFFFF"/>
        </w:rPr>
        <w:t>Woolmington</w:t>
      </w:r>
      <w:proofErr w:type="spellEnd"/>
      <w:r w:rsidR="00314182" w:rsidRPr="00DF3BAC">
        <w:rPr>
          <w:rFonts w:cstheme="minorHAnsi"/>
          <w:shd w:val="clear" w:color="auto" w:fill="FFFFFF"/>
        </w:rPr>
        <w:t xml:space="preserve"> in Context: The Excavation of a Case’ (2023) 44 </w:t>
      </w:r>
      <w:r w:rsidR="00314182" w:rsidRPr="007058BC">
        <w:rPr>
          <w:rFonts w:cstheme="minorHAnsi"/>
          <w:i/>
          <w:iCs/>
          <w:shd w:val="clear" w:color="auto" w:fill="FFFFFF"/>
        </w:rPr>
        <w:t>The Journal of Legal History</w:t>
      </w:r>
      <w:r w:rsidR="00314182" w:rsidRPr="00DF3BAC">
        <w:rPr>
          <w:rFonts w:cstheme="minorHAnsi"/>
          <w:shd w:val="clear" w:color="auto" w:fill="FFFFFF"/>
        </w:rPr>
        <w:t> 60</w:t>
      </w:r>
      <w:bookmarkEnd w:id="0"/>
      <w:r w:rsidR="00314182" w:rsidRPr="00DF3BAC">
        <w:rPr>
          <w:rFonts w:cstheme="minorHAnsi"/>
          <w:shd w:val="clear" w:color="auto" w:fill="FFFFFF"/>
        </w:rPr>
        <w:t>, 89.</w:t>
      </w:r>
    </w:p>
  </w:footnote>
  <w:footnote w:id="3">
    <w:p w14:paraId="08DD91A0" w14:textId="21A9088B" w:rsidR="00CD00D4" w:rsidRPr="00DF3BAC" w:rsidRDefault="00CD00D4" w:rsidP="00CD00D4">
      <w:pPr>
        <w:pStyle w:val="FootnoteText"/>
      </w:pPr>
      <w:r w:rsidRPr="00DF3BAC">
        <w:rPr>
          <w:rStyle w:val="FootnoteReference"/>
        </w:rPr>
        <w:footnoteRef/>
      </w:r>
      <w:r w:rsidRPr="00DF3BAC">
        <w:t xml:space="preserve"> </w:t>
      </w:r>
      <w:r w:rsidR="00314182" w:rsidRPr="00DF3BAC">
        <w:t xml:space="preserve">John E Stannard, ‘A Presumption and Four Burdens’ (2000) 51 </w:t>
      </w:r>
      <w:r w:rsidR="00314182" w:rsidRPr="007058BC">
        <w:rPr>
          <w:i/>
          <w:iCs/>
        </w:rPr>
        <w:t>Northern Ireland Legal Quarterly</w:t>
      </w:r>
      <w:r w:rsidR="00314182" w:rsidRPr="00DF3BAC">
        <w:t xml:space="preserve"> 560. </w:t>
      </w:r>
    </w:p>
  </w:footnote>
  <w:footnote w:id="4">
    <w:p w14:paraId="3728519C" w14:textId="0A6A2299" w:rsidR="00CD00D4" w:rsidRPr="00DF3BAC" w:rsidRDefault="00CD00D4" w:rsidP="007242B7">
      <w:pPr>
        <w:pStyle w:val="FootnoteText"/>
      </w:pPr>
      <w:r w:rsidRPr="00DF3BAC">
        <w:rPr>
          <w:rStyle w:val="FootnoteReference"/>
        </w:rPr>
        <w:footnoteRef/>
      </w:r>
      <w:r w:rsidRPr="00DF3BAC">
        <w:t xml:space="preserve"> </w:t>
      </w:r>
      <w:r w:rsidR="00C2117E" w:rsidRPr="00DF3BAC">
        <w:rPr>
          <w:rFonts w:cstheme="minorHAnsi"/>
          <w:shd w:val="clear" w:color="auto" w:fill="FFFFFF"/>
        </w:rPr>
        <w:t>Glover (n 2)</w:t>
      </w:r>
      <w:r w:rsidR="00314182" w:rsidRPr="00DF3BAC">
        <w:rPr>
          <w:rFonts w:cstheme="minorHAnsi"/>
          <w:shd w:val="clear" w:color="auto" w:fill="FFFFFF"/>
        </w:rPr>
        <w:t xml:space="preserve">; K. Crosby, </w:t>
      </w:r>
      <w:r w:rsidR="007058BC">
        <w:rPr>
          <w:rFonts w:cstheme="minorHAnsi"/>
          <w:shd w:val="clear" w:color="auto" w:fill="FFFFFF"/>
        </w:rPr>
        <w:t>‘“</w:t>
      </w:r>
      <w:r w:rsidR="00314182" w:rsidRPr="00DF3BAC">
        <w:rPr>
          <w:rFonts w:cstheme="minorHAnsi"/>
          <w:shd w:val="clear" w:color="auto" w:fill="FFFFFF"/>
        </w:rPr>
        <w:t xml:space="preserve">Well, the </w:t>
      </w:r>
      <w:r w:rsidR="005E08FF">
        <w:rPr>
          <w:rFonts w:cstheme="minorHAnsi"/>
          <w:shd w:val="clear" w:color="auto" w:fill="FFFFFF"/>
        </w:rPr>
        <w:t>B</w:t>
      </w:r>
      <w:r w:rsidR="00314182" w:rsidRPr="00DF3BAC">
        <w:rPr>
          <w:rFonts w:cstheme="minorHAnsi"/>
          <w:shd w:val="clear" w:color="auto" w:fill="FFFFFF"/>
        </w:rPr>
        <w:t xml:space="preserve">urden </w:t>
      </w:r>
      <w:r w:rsidR="005E08FF">
        <w:rPr>
          <w:rFonts w:cstheme="minorHAnsi"/>
          <w:shd w:val="clear" w:color="auto" w:fill="FFFFFF"/>
        </w:rPr>
        <w:t>N</w:t>
      </w:r>
      <w:r w:rsidR="00314182" w:rsidRPr="00DF3BAC">
        <w:rPr>
          <w:rFonts w:cstheme="minorHAnsi"/>
          <w:shd w:val="clear" w:color="auto" w:fill="FFFFFF"/>
        </w:rPr>
        <w:t xml:space="preserve">ever </w:t>
      </w:r>
      <w:r w:rsidR="005E08FF">
        <w:rPr>
          <w:rFonts w:cstheme="minorHAnsi"/>
          <w:shd w:val="clear" w:color="auto" w:fill="FFFFFF"/>
        </w:rPr>
        <w:t>S</w:t>
      </w:r>
      <w:r w:rsidR="00314182" w:rsidRPr="00DF3BAC">
        <w:rPr>
          <w:rFonts w:cstheme="minorHAnsi"/>
          <w:shd w:val="clear" w:color="auto" w:fill="FFFFFF"/>
        </w:rPr>
        <w:t xml:space="preserve">hifts, </w:t>
      </w:r>
      <w:r w:rsidR="005E08FF">
        <w:rPr>
          <w:rFonts w:cstheme="minorHAnsi"/>
          <w:shd w:val="clear" w:color="auto" w:fill="FFFFFF"/>
        </w:rPr>
        <w:t>B</w:t>
      </w:r>
      <w:r w:rsidR="00314182" w:rsidRPr="00DF3BAC">
        <w:rPr>
          <w:rFonts w:cstheme="minorHAnsi"/>
          <w:shd w:val="clear" w:color="auto" w:fill="FFFFFF"/>
        </w:rPr>
        <w:t xml:space="preserve">ut it </w:t>
      </w:r>
      <w:r w:rsidR="005E08FF">
        <w:rPr>
          <w:rFonts w:cstheme="minorHAnsi"/>
          <w:shd w:val="clear" w:color="auto" w:fill="FFFFFF"/>
        </w:rPr>
        <w:t>D</w:t>
      </w:r>
      <w:r w:rsidR="00314182" w:rsidRPr="00DF3BAC">
        <w:rPr>
          <w:rFonts w:cstheme="minorHAnsi"/>
          <w:shd w:val="clear" w:color="auto" w:fill="FFFFFF"/>
        </w:rPr>
        <w:t>oes</w:t>
      </w:r>
      <w:r w:rsidR="007058BC">
        <w:rPr>
          <w:rFonts w:cstheme="minorHAnsi"/>
          <w:shd w:val="clear" w:color="auto" w:fill="FFFFFF"/>
        </w:rPr>
        <w:t>”</w:t>
      </w:r>
      <w:r w:rsidR="00314182" w:rsidRPr="00DF3BAC">
        <w:rPr>
          <w:rFonts w:cstheme="minorHAnsi"/>
          <w:shd w:val="clear" w:color="auto" w:fill="FFFFFF"/>
        </w:rPr>
        <w:t xml:space="preserve">: </w:t>
      </w:r>
      <w:r w:rsidR="005E08FF">
        <w:rPr>
          <w:rFonts w:cstheme="minorHAnsi"/>
          <w:shd w:val="clear" w:color="auto" w:fill="FFFFFF"/>
        </w:rPr>
        <w:t>C</w:t>
      </w:r>
      <w:r w:rsidR="00314182" w:rsidRPr="00DF3BAC">
        <w:rPr>
          <w:rFonts w:cstheme="minorHAnsi"/>
          <w:shd w:val="clear" w:color="auto" w:fill="FFFFFF"/>
        </w:rPr>
        <w:t xml:space="preserve">elebrity, </w:t>
      </w:r>
      <w:r w:rsidR="005E08FF">
        <w:rPr>
          <w:rFonts w:cstheme="minorHAnsi"/>
          <w:shd w:val="clear" w:color="auto" w:fill="FFFFFF"/>
        </w:rPr>
        <w:t>P</w:t>
      </w:r>
      <w:r w:rsidR="00314182" w:rsidRPr="00DF3BAC">
        <w:rPr>
          <w:rFonts w:cstheme="minorHAnsi"/>
          <w:shd w:val="clear" w:color="auto" w:fill="FFFFFF"/>
        </w:rPr>
        <w:t xml:space="preserve">roperty </w:t>
      </w:r>
      <w:r w:rsidR="005E08FF">
        <w:rPr>
          <w:rFonts w:cstheme="minorHAnsi"/>
          <w:shd w:val="clear" w:color="auto" w:fill="FFFFFF"/>
        </w:rPr>
        <w:t>O</w:t>
      </w:r>
      <w:r w:rsidR="00314182" w:rsidRPr="00DF3BAC">
        <w:rPr>
          <w:rFonts w:cstheme="minorHAnsi"/>
          <w:shd w:val="clear" w:color="auto" w:fill="FFFFFF"/>
        </w:rPr>
        <w:t xml:space="preserve">ffences and </w:t>
      </w:r>
      <w:r w:rsidR="005E08FF">
        <w:rPr>
          <w:rFonts w:cstheme="minorHAnsi"/>
          <w:shd w:val="clear" w:color="auto" w:fill="FFFFFF"/>
        </w:rPr>
        <w:t>J</w:t>
      </w:r>
      <w:r w:rsidR="00314182" w:rsidRPr="00DF3BAC">
        <w:rPr>
          <w:rFonts w:cstheme="minorHAnsi"/>
          <w:shd w:val="clear" w:color="auto" w:fill="FFFFFF"/>
        </w:rPr>
        <w:t xml:space="preserve">udicial </w:t>
      </w:r>
      <w:r w:rsidR="005E08FF">
        <w:rPr>
          <w:rFonts w:cstheme="minorHAnsi"/>
          <w:shd w:val="clear" w:color="auto" w:fill="FFFFFF"/>
        </w:rPr>
        <w:t>I</w:t>
      </w:r>
      <w:r w:rsidR="00314182" w:rsidRPr="00DF3BAC">
        <w:rPr>
          <w:rFonts w:cstheme="minorHAnsi"/>
          <w:shd w:val="clear" w:color="auto" w:fill="FFFFFF"/>
        </w:rPr>
        <w:t xml:space="preserve">nnovation in </w:t>
      </w:r>
      <w:proofErr w:type="spellStart"/>
      <w:r w:rsidR="00314182" w:rsidRPr="007058BC">
        <w:rPr>
          <w:rFonts w:cstheme="minorHAnsi"/>
          <w:i/>
          <w:iCs/>
          <w:shd w:val="clear" w:color="auto" w:fill="FFFFFF"/>
        </w:rPr>
        <w:t>Woolmington</w:t>
      </w:r>
      <w:proofErr w:type="spellEnd"/>
      <w:r w:rsidR="00314182" w:rsidRPr="007058BC">
        <w:rPr>
          <w:rFonts w:cstheme="minorHAnsi"/>
          <w:i/>
          <w:iCs/>
          <w:shd w:val="clear" w:color="auto" w:fill="FFFFFF"/>
        </w:rPr>
        <w:t xml:space="preserve"> v DPP</w:t>
      </w:r>
      <w:r w:rsidR="00156EEC">
        <w:rPr>
          <w:rFonts w:cstheme="minorHAnsi"/>
          <w:shd w:val="clear" w:color="auto" w:fill="FFFFFF"/>
        </w:rPr>
        <w:t>’</w:t>
      </w:r>
      <w:r w:rsidR="00314182" w:rsidRPr="00DF3BAC">
        <w:rPr>
          <w:rFonts w:cstheme="minorHAnsi"/>
          <w:shd w:val="clear" w:color="auto" w:fill="FFFFFF"/>
        </w:rPr>
        <w:t xml:space="preserve"> (2023) 43 </w:t>
      </w:r>
      <w:r w:rsidR="00314182" w:rsidRPr="007058BC">
        <w:rPr>
          <w:rFonts w:cstheme="minorHAnsi"/>
          <w:i/>
          <w:iCs/>
          <w:bdr w:val="none" w:sz="0" w:space="0" w:color="auto" w:frame="1"/>
          <w:shd w:val="clear" w:color="auto" w:fill="FFFFFF"/>
        </w:rPr>
        <w:t>L</w:t>
      </w:r>
      <w:r w:rsidR="007058BC" w:rsidRPr="007058BC">
        <w:rPr>
          <w:rFonts w:cstheme="minorHAnsi"/>
          <w:i/>
          <w:iCs/>
          <w:bdr w:val="none" w:sz="0" w:space="0" w:color="auto" w:frame="1"/>
          <w:shd w:val="clear" w:color="auto" w:fill="FFFFFF"/>
        </w:rPr>
        <w:t xml:space="preserve">egal </w:t>
      </w:r>
      <w:r w:rsidR="00314182" w:rsidRPr="007058BC">
        <w:rPr>
          <w:rFonts w:cstheme="minorHAnsi"/>
          <w:i/>
          <w:iCs/>
          <w:bdr w:val="none" w:sz="0" w:space="0" w:color="auto" w:frame="1"/>
          <w:shd w:val="clear" w:color="auto" w:fill="FFFFFF"/>
        </w:rPr>
        <w:t>S</w:t>
      </w:r>
      <w:r w:rsidR="007058BC" w:rsidRPr="007058BC">
        <w:rPr>
          <w:rFonts w:cstheme="minorHAnsi"/>
          <w:i/>
          <w:iCs/>
          <w:bdr w:val="none" w:sz="0" w:space="0" w:color="auto" w:frame="1"/>
          <w:shd w:val="clear" w:color="auto" w:fill="FFFFFF"/>
        </w:rPr>
        <w:t>tudies</w:t>
      </w:r>
      <w:r w:rsidR="00314182" w:rsidRPr="00DF3BAC">
        <w:rPr>
          <w:rFonts w:cstheme="minorHAnsi"/>
          <w:bdr w:val="none" w:sz="0" w:space="0" w:color="auto" w:frame="1"/>
          <w:shd w:val="clear" w:color="auto" w:fill="FFFFFF"/>
        </w:rPr>
        <w:t xml:space="preserve"> </w:t>
      </w:r>
      <w:r w:rsidR="00314182" w:rsidRPr="00DF3BAC">
        <w:rPr>
          <w:rFonts w:cstheme="minorHAnsi"/>
          <w:shd w:val="clear" w:color="auto" w:fill="FFFFFF"/>
        </w:rPr>
        <w:t>104.</w:t>
      </w:r>
    </w:p>
  </w:footnote>
  <w:footnote w:id="5">
    <w:p w14:paraId="6C6F05B5" w14:textId="439F597C" w:rsidR="00CD00D4" w:rsidRPr="00DF3BAC" w:rsidRDefault="00CD00D4" w:rsidP="00CD00D4">
      <w:pPr>
        <w:pStyle w:val="FootnoteText"/>
      </w:pPr>
      <w:r w:rsidRPr="00DF3BAC">
        <w:rPr>
          <w:rStyle w:val="FootnoteReference"/>
        </w:rPr>
        <w:footnoteRef/>
      </w:r>
      <w:r w:rsidRPr="00DF3BAC">
        <w:t xml:space="preserve"> </w:t>
      </w:r>
      <w:r w:rsidR="005F2BB3">
        <w:t>This</w:t>
      </w:r>
      <w:r w:rsidR="00242AF8">
        <w:t xml:space="preserve"> completed</w:t>
      </w:r>
      <w:r w:rsidR="005F2BB3">
        <w:t xml:space="preserve"> </w:t>
      </w:r>
      <w:r w:rsidR="00242AF8">
        <w:t xml:space="preserve">risk assessment can be found in the appendix. DARAs used by local forces will have slight variations but cover the same essential questions. This form has been adapted from the </w:t>
      </w:r>
      <w:r w:rsidR="00046020" w:rsidRPr="00DF3BAC">
        <w:rPr>
          <w:rFonts w:cstheme="minorHAnsi"/>
        </w:rPr>
        <w:t>College of Policing</w:t>
      </w:r>
      <w:r w:rsidR="00046020" w:rsidRPr="00BD4A19">
        <w:rPr>
          <w:rFonts w:cstheme="minorHAnsi"/>
          <w:i/>
          <w:iCs/>
        </w:rPr>
        <w:t xml:space="preserve">, Domestic Abuse Risk Assessment (DARA): Rationale for </w:t>
      </w:r>
      <w:r w:rsidR="00F03C80">
        <w:rPr>
          <w:rFonts w:cstheme="minorHAnsi"/>
          <w:i/>
          <w:iCs/>
        </w:rPr>
        <w:t>D</w:t>
      </w:r>
      <w:r w:rsidR="00046020" w:rsidRPr="00BD4A19">
        <w:rPr>
          <w:rFonts w:cstheme="minorHAnsi"/>
          <w:i/>
          <w:iCs/>
        </w:rPr>
        <w:t xml:space="preserve">evelopment, </w:t>
      </w:r>
      <w:r w:rsidR="00F03C80">
        <w:rPr>
          <w:rFonts w:cstheme="minorHAnsi"/>
          <w:i/>
          <w:iCs/>
        </w:rPr>
        <w:t>S</w:t>
      </w:r>
      <w:r w:rsidR="00046020" w:rsidRPr="00BD4A19">
        <w:rPr>
          <w:rFonts w:cstheme="minorHAnsi"/>
          <w:i/>
          <w:iCs/>
        </w:rPr>
        <w:t xml:space="preserve">tructure and </w:t>
      </w:r>
      <w:r w:rsidR="00F03C80">
        <w:rPr>
          <w:rFonts w:cstheme="minorHAnsi"/>
          <w:i/>
          <w:iCs/>
        </w:rPr>
        <w:t>C</w:t>
      </w:r>
      <w:r w:rsidR="00046020" w:rsidRPr="00BD4A19">
        <w:rPr>
          <w:rFonts w:cstheme="minorHAnsi"/>
          <w:i/>
          <w:iCs/>
        </w:rPr>
        <w:t>ontent</w:t>
      </w:r>
      <w:r w:rsidR="00046020" w:rsidRPr="00DF3BAC">
        <w:rPr>
          <w:rFonts w:cstheme="minorHAnsi"/>
        </w:rPr>
        <w:t xml:space="preserve"> (2022)</w:t>
      </w:r>
      <w:r w:rsidR="00046020">
        <w:rPr>
          <w:rFonts w:cstheme="minorHAnsi"/>
        </w:rPr>
        <w:t>.</w:t>
      </w:r>
      <w:r w:rsidR="00046020" w:rsidRPr="00DF3BAC">
        <w:rPr>
          <w:rFonts w:cstheme="minorHAnsi"/>
        </w:rPr>
        <w:t xml:space="preserve"> </w:t>
      </w:r>
      <w:r w:rsidR="00046020">
        <w:t>It</w:t>
      </w:r>
      <w:r w:rsidR="00B71607">
        <w:t xml:space="preserve"> has been c</w:t>
      </w:r>
      <w:r w:rsidR="00B71607" w:rsidRPr="00DF3BAC">
        <w:rPr>
          <w:rFonts w:cstheme="minorHAnsi"/>
        </w:rPr>
        <w:t xml:space="preserve">ompleted with potential answers </w:t>
      </w:r>
      <w:r w:rsidR="00B71607">
        <w:rPr>
          <w:rFonts w:cstheme="minorHAnsi"/>
        </w:rPr>
        <w:t xml:space="preserve">recorded on </w:t>
      </w:r>
      <w:r w:rsidR="00B71607" w:rsidRPr="00DF3BAC">
        <w:rPr>
          <w:rFonts w:cstheme="minorHAnsi"/>
        </w:rPr>
        <w:t xml:space="preserve">behalf of Violet </w:t>
      </w:r>
      <w:proofErr w:type="spellStart"/>
      <w:r w:rsidR="00B71607" w:rsidRPr="00DF3BAC">
        <w:rPr>
          <w:rFonts w:cstheme="minorHAnsi"/>
        </w:rPr>
        <w:t>Woolmington</w:t>
      </w:r>
      <w:proofErr w:type="spellEnd"/>
      <w:r w:rsidR="00B71607" w:rsidRPr="00DF3BAC">
        <w:rPr>
          <w:rFonts w:cstheme="minorHAnsi"/>
        </w:rPr>
        <w:t>.</w:t>
      </w:r>
      <w:r w:rsidRPr="00DF3BAC">
        <w:rPr>
          <w:rFonts w:cstheme="minorHAnsi"/>
        </w:rPr>
        <w:t xml:space="preserve"> </w:t>
      </w:r>
    </w:p>
  </w:footnote>
  <w:footnote w:id="6">
    <w:p w14:paraId="2F0DDE39" w14:textId="1D9BDEB9" w:rsidR="009F187D" w:rsidRPr="00DF3BAC" w:rsidRDefault="009F187D" w:rsidP="005538FE">
      <w:pPr>
        <w:pStyle w:val="FootnoteText"/>
        <w:rPr>
          <w:rFonts w:cstheme="minorHAnsi"/>
        </w:rPr>
      </w:pPr>
      <w:r w:rsidRPr="00DF3BAC">
        <w:rPr>
          <w:rStyle w:val="FootnoteReference"/>
          <w:rFonts w:cstheme="minorHAnsi"/>
        </w:rPr>
        <w:footnoteRef/>
      </w:r>
      <w:r w:rsidRPr="00DF3BAC">
        <w:rPr>
          <w:rFonts w:cstheme="minorHAnsi"/>
        </w:rPr>
        <w:t xml:space="preserve"> Committee on the Elimination of Discrimination against Women, </w:t>
      </w:r>
      <w:r w:rsidR="001B31F3" w:rsidRPr="00DF3BAC">
        <w:rPr>
          <w:rFonts w:cstheme="minorHAnsi"/>
        </w:rPr>
        <w:t>‘</w:t>
      </w:r>
      <w:r w:rsidRPr="00DF3BAC">
        <w:rPr>
          <w:rFonts w:cstheme="minorHAnsi"/>
        </w:rPr>
        <w:t>General Regulation 19, Violence Against Women</w:t>
      </w:r>
      <w:r w:rsidR="001B31F3" w:rsidRPr="00DF3BAC">
        <w:rPr>
          <w:rFonts w:cstheme="minorHAnsi"/>
        </w:rPr>
        <w:t>’</w:t>
      </w:r>
      <w:r w:rsidR="009443E0" w:rsidRPr="00DF3BAC">
        <w:rPr>
          <w:rFonts w:cstheme="minorHAnsi"/>
        </w:rPr>
        <w:t xml:space="preserve"> (1992)</w:t>
      </w:r>
      <w:r w:rsidR="00C87BD6">
        <w:rPr>
          <w:rFonts w:cstheme="minorHAnsi"/>
        </w:rPr>
        <w:t>, specific recommendation (t)</w:t>
      </w:r>
      <w:r w:rsidR="001B31F3" w:rsidRPr="00DF3BAC">
        <w:rPr>
          <w:rFonts w:cstheme="minorHAnsi"/>
        </w:rPr>
        <w:t>.</w:t>
      </w:r>
    </w:p>
  </w:footnote>
  <w:footnote w:id="7">
    <w:p w14:paraId="615147E4" w14:textId="7BD32229" w:rsidR="005A53F0" w:rsidRPr="00DF3BAC" w:rsidRDefault="005A53F0">
      <w:pPr>
        <w:pStyle w:val="FootnoteText"/>
      </w:pPr>
      <w:r w:rsidRPr="00DF3BAC">
        <w:rPr>
          <w:rStyle w:val="FootnoteReference"/>
        </w:rPr>
        <w:footnoteRef/>
      </w:r>
      <w:r w:rsidRPr="00DF3BAC">
        <w:t xml:space="preserve"> </w:t>
      </w:r>
      <w:r w:rsidR="005538FE" w:rsidRPr="00DF3BAC">
        <w:rPr>
          <w:rFonts w:cstheme="minorHAnsi"/>
        </w:rPr>
        <w:t xml:space="preserve">Committee on the Elimination of Discrimination against Women, </w:t>
      </w:r>
      <w:r w:rsidR="001B31F3" w:rsidRPr="00DF3BAC">
        <w:rPr>
          <w:rFonts w:cstheme="minorHAnsi"/>
        </w:rPr>
        <w:t>‘</w:t>
      </w:r>
      <w:r w:rsidR="005538FE" w:rsidRPr="00DF3BAC">
        <w:rPr>
          <w:rFonts w:cstheme="minorHAnsi"/>
        </w:rPr>
        <w:t xml:space="preserve">General </w:t>
      </w:r>
      <w:r w:rsidR="00C87BD6">
        <w:rPr>
          <w:rFonts w:cstheme="minorHAnsi"/>
        </w:rPr>
        <w:t>R</w:t>
      </w:r>
      <w:r w:rsidR="005538FE" w:rsidRPr="00DF3BAC">
        <w:rPr>
          <w:rFonts w:cstheme="minorHAnsi"/>
        </w:rPr>
        <w:t xml:space="preserve">ecommendation No 35 </w:t>
      </w:r>
      <w:r w:rsidR="00480F57" w:rsidRPr="00DF3BAC">
        <w:rPr>
          <w:rFonts w:cstheme="minorHAnsi"/>
        </w:rPr>
        <w:t xml:space="preserve">(2017) </w:t>
      </w:r>
      <w:r w:rsidR="005538FE" w:rsidRPr="00DF3BAC">
        <w:rPr>
          <w:rFonts w:cstheme="minorHAnsi"/>
        </w:rPr>
        <w:t xml:space="preserve">on </w:t>
      </w:r>
      <w:r w:rsidR="001B31F3" w:rsidRPr="00DF3BAC">
        <w:rPr>
          <w:rFonts w:cstheme="minorHAnsi"/>
        </w:rPr>
        <w:t>G</w:t>
      </w:r>
      <w:r w:rsidR="005538FE" w:rsidRPr="00DF3BAC">
        <w:rPr>
          <w:rFonts w:cstheme="minorHAnsi"/>
        </w:rPr>
        <w:t>ender-</w:t>
      </w:r>
      <w:r w:rsidR="001B31F3" w:rsidRPr="00DF3BAC">
        <w:rPr>
          <w:rFonts w:cstheme="minorHAnsi"/>
        </w:rPr>
        <w:t>B</w:t>
      </w:r>
      <w:r w:rsidR="005538FE" w:rsidRPr="00DF3BAC">
        <w:rPr>
          <w:rFonts w:cstheme="minorHAnsi"/>
        </w:rPr>
        <w:t xml:space="preserve">ased </w:t>
      </w:r>
      <w:r w:rsidR="001B31F3" w:rsidRPr="00DF3BAC">
        <w:rPr>
          <w:rFonts w:cstheme="minorHAnsi"/>
        </w:rPr>
        <w:t>V</w:t>
      </w:r>
      <w:r w:rsidR="005538FE" w:rsidRPr="00DF3BAC">
        <w:rPr>
          <w:rFonts w:cstheme="minorHAnsi"/>
        </w:rPr>
        <w:t xml:space="preserve">iolence </w:t>
      </w:r>
      <w:r w:rsidR="001B31F3" w:rsidRPr="00DF3BAC">
        <w:rPr>
          <w:rFonts w:cstheme="minorHAnsi"/>
        </w:rPr>
        <w:t>A</w:t>
      </w:r>
      <w:r w:rsidR="005538FE" w:rsidRPr="00DF3BAC">
        <w:rPr>
          <w:rFonts w:cstheme="minorHAnsi"/>
        </w:rPr>
        <w:t xml:space="preserve">gainst </w:t>
      </w:r>
      <w:r w:rsidR="001B31F3" w:rsidRPr="00DF3BAC">
        <w:rPr>
          <w:rFonts w:cstheme="minorHAnsi"/>
        </w:rPr>
        <w:t>W</w:t>
      </w:r>
      <w:r w:rsidR="005538FE" w:rsidRPr="00DF3BAC">
        <w:rPr>
          <w:rFonts w:cstheme="minorHAnsi"/>
        </w:rPr>
        <w:t xml:space="preserve">omen, updating </w:t>
      </w:r>
      <w:r w:rsidR="001B31F3" w:rsidRPr="00DF3BAC">
        <w:rPr>
          <w:rFonts w:cstheme="minorHAnsi"/>
        </w:rPr>
        <w:t>G</w:t>
      </w:r>
      <w:r w:rsidR="005538FE" w:rsidRPr="00DF3BAC">
        <w:rPr>
          <w:rFonts w:cstheme="minorHAnsi"/>
        </w:rPr>
        <w:t xml:space="preserve">eneral </w:t>
      </w:r>
      <w:r w:rsidR="001B31F3" w:rsidRPr="00DF3BAC">
        <w:rPr>
          <w:rFonts w:cstheme="minorHAnsi"/>
        </w:rPr>
        <w:t>R</w:t>
      </w:r>
      <w:r w:rsidR="005538FE" w:rsidRPr="00DF3BAC">
        <w:rPr>
          <w:rFonts w:cstheme="minorHAnsi"/>
        </w:rPr>
        <w:t>ecommendation No 19</w:t>
      </w:r>
      <w:r w:rsidR="00480F57" w:rsidRPr="00DF3BAC">
        <w:rPr>
          <w:rFonts w:cstheme="minorHAnsi"/>
        </w:rPr>
        <w:t xml:space="preserve"> (1992)’ </w:t>
      </w:r>
      <w:r w:rsidR="001B31F3" w:rsidRPr="00DF3BAC">
        <w:rPr>
          <w:rFonts w:cstheme="minorHAnsi"/>
        </w:rPr>
        <w:t>1.</w:t>
      </w:r>
    </w:p>
  </w:footnote>
  <w:footnote w:id="8">
    <w:p w14:paraId="63C29DB7" w14:textId="14A3B92D" w:rsidR="00E35F22" w:rsidRPr="00DF3BAC" w:rsidRDefault="00E35F22" w:rsidP="00E35F22">
      <w:pPr>
        <w:pStyle w:val="FootnoteText"/>
      </w:pPr>
      <w:r w:rsidRPr="00DF3BAC">
        <w:rPr>
          <w:rStyle w:val="FootnoteReference"/>
        </w:rPr>
        <w:footnoteRef/>
      </w:r>
      <w:r w:rsidRPr="00DF3BAC">
        <w:t xml:space="preserve"> Office for National Statistics, </w:t>
      </w:r>
      <w:r w:rsidRPr="00A674EE">
        <w:rPr>
          <w:i/>
          <w:iCs/>
        </w:rPr>
        <w:t>Domestic Abuse in England and Wales</w:t>
      </w:r>
      <w:r w:rsidR="00C87BD6">
        <w:rPr>
          <w:i/>
          <w:iCs/>
        </w:rPr>
        <w:t xml:space="preserve"> O</w:t>
      </w:r>
      <w:r w:rsidRPr="00A674EE">
        <w:rPr>
          <w:i/>
          <w:iCs/>
        </w:rPr>
        <w:t>verview: November 202</w:t>
      </w:r>
      <w:r>
        <w:rPr>
          <w:i/>
          <w:iCs/>
        </w:rPr>
        <w:t>4</w:t>
      </w:r>
      <w:r w:rsidRPr="00DF3BAC">
        <w:t xml:space="preserve"> (2</w:t>
      </w:r>
      <w:r>
        <w:t>7</w:t>
      </w:r>
      <w:r w:rsidRPr="00DF3BAC">
        <w:t xml:space="preserve"> November 202</w:t>
      </w:r>
      <w:r>
        <w:t>4</w:t>
      </w:r>
      <w:r w:rsidRPr="00DF3BAC">
        <w:t>).</w:t>
      </w:r>
    </w:p>
  </w:footnote>
  <w:footnote w:id="9">
    <w:p w14:paraId="08F521CD" w14:textId="08883BEC" w:rsidR="00F845DF" w:rsidRPr="00DF3BAC" w:rsidRDefault="00F845DF" w:rsidP="00F845DF">
      <w:pPr>
        <w:pStyle w:val="FootnoteText"/>
      </w:pPr>
      <w:r w:rsidRPr="00DF3BAC">
        <w:rPr>
          <w:rStyle w:val="FootnoteReference"/>
        </w:rPr>
        <w:footnoteRef/>
      </w:r>
      <w:r w:rsidRPr="00DF3BAC">
        <w:t xml:space="preserve"> Office for National Statistics</w:t>
      </w:r>
      <w:r w:rsidRPr="00A674EE">
        <w:rPr>
          <w:i/>
          <w:iCs/>
        </w:rPr>
        <w:t xml:space="preserve">, Domestic </w:t>
      </w:r>
      <w:r w:rsidR="00FC34EE" w:rsidRPr="00A674EE">
        <w:rPr>
          <w:i/>
          <w:iCs/>
        </w:rPr>
        <w:t>A</w:t>
      </w:r>
      <w:r w:rsidRPr="00A674EE">
        <w:rPr>
          <w:i/>
          <w:iCs/>
        </w:rPr>
        <w:t xml:space="preserve">buse </w:t>
      </w:r>
      <w:r w:rsidR="00FC34EE" w:rsidRPr="00A674EE">
        <w:rPr>
          <w:i/>
          <w:iCs/>
        </w:rPr>
        <w:t>V</w:t>
      </w:r>
      <w:r w:rsidRPr="00A674EE">
        <w:rPr>
          <w:i/>
          <w:iCs/>
        </w:rPr>
        <w:t xml:space="preserve">ictim </w:t>
      </w:r>
      <w:r w:rsidR="00FC34EE" w:rsidRPr="00A674EE">
        <w:rPr>
          <w:i/>
          <w:iCs/>
        </w:rPr>
        <w:t>C</w:t>
      </w:r>
      <w:r w:rsidRPr="00A674EE">
        <w:rPr>
          <w:i/>
          <w:iCs/>
        </w:rPr>
        <w:t xml:space="preserve">haracteristics, England and Wales: </w:t>
      </w:r>
      <w:r w:rsidR="00C87BD6">
        <w:rPr>
          <w:i/>
          <w:iCs/>
        </w:rPr>
        <w:t>Y</w:t>
      </w:r>
      <w:r w:rsidRPr="00A674EE">
        <w:rPr>
          <w:i/>
          <w:iCs/>
        </w:rPr>
        <w:t xml:space="preserve">ear </w:t>
      </w:r>
      <w:r w:rsidR="00C87BD6">
        <w:rPr>
          <w:i/>
          <w:iCs/>
        </w:rPr>
        <w:t>E</w:t>
      </w:r>
      <w:r w:rsidRPr="00A674EE">
        <w:rPr>
          <w:i/>
          <w:iCs/>
        </w:rPr>
        <w:t>nding March 202</w:t>
      </w:r>
      <w:r w:rsidR="006D2DE6">
        <w:rPr>
          <w:i/>
          <w:iCs/>
        </w:rPr>
        <w:t>4</w:t>
      </w:r>
      <w:r w:rsidRPr="00DF3BAC">
        <w:t xml:space="preserve"> (2</w:t>
      </w:r>
      <w:r w:rsidR="006D2DE6">
        <w:t>7</w:t>
      </w:r>
      <w:r w:rsidRPr="00DF3BAC">
        <w:t xml:space="preserve"> November 202</w:t>
      </w:r>
      <w:r w:rsidR="006D2DE6">
        <w:t>4</w:t>
      </w:r>
      <w:r w:rsidRPr="00DF3BAC">
        <w:t>)</w:t>
      </w:r>
      <w:r w:rsidR="00FC34EE" w:rsidRPr="00DF3BAC">
        <w:t>.</w:t>
      </w:r>
    </w:p>
  </w:footnote>
  <w:footnote w:id="10">
    <w:p w14:paraId="14549CED" w14:textId="2DD54FB8" w:rsidR="00B71607" w:rsidRDefault="00B71607" w:rsidP="00B71607">
      <w:pPr>
        <w:pStyle w:val="FootnoteText"/>
      </w:pPr>
      <w:r>
        <w:rPr>
          <w:rStyle w:val="FootnoteReference"/>
        </w:rPr>
        <w:footnoteRef/>
      </w:r>
      <w:r>
        <w:t xml:space="preserve"> </w:t>
      </w:r>
      <w:r w:rsidRPr="00B71607">
        <w:t>Charlotte Bishop</w:t>
      </w:r>
      <w:r w:rsidR="002A5C63">
        <w:t>,</w:t>
      </w:r>
      <w:r w:rsidRPr="00B71607">
        <w:t xml:space="preserve"> ‘Prevention and </w:t>
      </w:r>
      <w:r w:rsidR="002A5C63">
        <w:t>P</w:t>
      </w:r>
      <w:r w:rsidRPr="00B71607">
        <w:t xml:space="preserve">rotection: </w:t>
      </w:r>
      <w:r w:rsidR="002A5C63">
        <w:t>W</w:t>
      </w:r>
      <w:r w:rsidRPr="00B71607">
        <w:t xml:space="preserve">ill the Domestic Abuse Act </w:t>
      </w:r>
      <w:r w:rsidR="002A5C63">
        <w:t>T</w:t>
      </w:r>
      <w:r w:rsidRPr="00B71607">
        <w:t xml:space="preserve">ransform the </w:t>
      </w:r>
      <w:r w:rsidR="002A5C63">
        <w:t>R</w:t>
      </w:r>
      <w:r w:rsidRPr="00B71607">
        <w:t xml:space="preserve">esponse to </w:t>
      </w:r>
      <w:r w:rsidR="002A5C63">
        <w:t>D</w:t>
      </w:r>
      <w:r w:rsidRPr="00B71607">
        <w:t xml:space="preserve">omestic </w:t>
      </w:r>
      <w:r w:rsidR="002A5C63">
        <w:t>A</w:t>
      </w:r>
      <w:r w:rsidRPr="00B71607">
        <w:t xml:space="preserve">buse in England and Wales?’ </w:t>
      </w:r>
      <w:r w:rsidR="002A5C63">
        <w:t xml:space="preserve">(2021) </w:t>
      </w:r>
      <w:r w:rsidRPr="00B71607">
        <w:t xml:space="preserve">33(2) </w:t>
      </w:r>
      <w:r w:rsidRPr="00B71607">
        <w:rPr>
          <w:i/>
          <w:iCs/>
        </w:rPr>
        <w:t>Child and Family Law Quarterly</w:t>
      </w:r>
      <w:r w:rsidRPr="00B71607">
        <w:t xml:space="preserve"> 163</w:t>
      </w:r>
      <w:r>
        <w:t>.</w:t>
      </w:r>
    </w:p>
  </w:footnote>
  <w:footnote w:id="11">
    <w:p w14:paraId="30A78EA4" w14:textId="7ECE01DC" w:rsidR="00B4700C" w:rsidRPr="006C1600" w:rsidRDefault="00B4700C">
      <w:pPr>
        <w:pStyle w:val="FootnoteText"/>
      </w:pPr>
      <w:r w:rsidRPr="006C1600">
        <w:rPr>
          <w:rStyle w:val="FootnoteReference"/>
        </w:rPr>
        <w:footnoteRef/>
      </w:r>
      <w:r w:rsidRPr="006C1600">
        <w:t xml:space="preserve"> College of Policing</w:t>
      </w:r>
      <w:r w:rsidR="00DB6FFD">
        <w:t xml:space="preserve"> (n 5)</w:t>
      </w:r>
      <w:r w:rsidR="00172AE3" w:rsidRPr="006C1600">
        <w:rPr>
          <w:rStyle w:val="Hyperlink"/>
          <w:color w:val="auto"/>
          <w:u w:val="none"/>
        </w:rPr>
        <w:t>.</w:t>
      </w:r>
    </w:p>
  </w:footnote>
  <w:footnote w:id="12">
    <w:p w14:paraId="2E17F3A0" w14:textId="25C10C8D" w:rsidR="00690BBE" w:rsidRDefault="00690BBE" w:rsidP="00D97FBD">
      <w:pPr>
        <w:pStyle w:val="FootnoteText"/>
      </w:pPr>
      <w:r>
        <w:rPr>
          <w:rStyle w:val="FootnoteReference"/>
        </w:rPr>
        <w:footnoteRef/>
      </w:r>
      <w:r>
        <w:t xml:space="preserve"> Sara Thornton, </w:t>
      </w:r>
      <w:r w:rsidR="00D97FBD">
        <w:t>‘</w:t>
      </w:r>
      <w:r w:rsidR="00D97FBD" w:rsidRPr="00D97FBD">
        <w:t>Predicting Serious Domestic Assaults and Murder in the Thames Valley</w:t>
      </w:r>
      <w:r w:rsidR="00D97FBD">
        <w:t>’ (</w:t>
      </w:r>
      <w:proofErr w:type="spellStart"/>
      <w:r w:rsidR="00D97FBD">
        <w:t>MSt</w:t>
      </w:r>
      <w:proofErr w:type="spellEnd"/>
      <w:r w:rsidR="000B017F">
        <w:t>,</w:t>
      </w:r>
      <w:r w:rsidR="00D97FBD">
        <w:t xml:space="preserve"> University of Cambridge</w:t>
      </w:r>
      <w:r w:rsidR="000B017F">
        <w:t>,</w:t>
      </w:r>
      <w:r w:rsidR="00D97FBD">
        <w:t xml:space="preserve"> 2011).</w:t>
      </w:r>
    </w:p>
  </w:footnote>
  <w:footnote w:id="13">
    <w:p w14:paraId="75FFCC91" w14:textId="2C1368CF" w:rsidR="00D97FBD" w:rsidRDefault="00D97FBD">
      <w:pPr>
        <w:pStyle w:val="FootnoteText"/>
      </w:pPr>
      <w:r>
        <w:rPr>
          <w:rStyle w:val="FootnoteReference"/>
        </w:rPr>
        <w:footnoteRef/>
      </w:r>
      <w:r>
        <w:t xml:space="preserve"> </w:t>
      </w:r>
      <w:r w:rsidR="00EB2051">
        <w:t xml:space="preserve">Andy </w:t>
      </w:r>
      <w:r w:rsidR="00EB2051" w:rsidRPr="00727506">
        <w:t xml:space="preserve">Myhill, </w:t>
      </w:r>
      <w:r w:rsidR="00EB2051">
        <w:t xml:space="preserve">Katrin </w:t>
      </w:r>
      <w:r w:rsidR="00EB2051" w:rsidRPr="00727506">
        <w:t>Hohl</w:t>
      </w:r>
      <w:r w:rsidR="000B017F">
        <w:t xml:space="preserve"> and</w:t>
      </w:r>
      <w:r w:rsidR="00EB2051" w:rsidRPr="00727506">
        <w:t xml:space="preserve"> K</w:t>
      </w:r>
      <w:r w:rsidR="00EB2051">
        <w:t>elly</w:t>
      </w:r>
      <w:r w:rsidR="00EB2051" w:rsidRPr="00727506">
        <w:t xml:space="preserve"> Johnson, </w:t>
      </w:r>
      <w:r w:rsidR="00EB2051">
        <w:t>‘</w:t>
      </w:r>
      <w:r w:rsidR="00EB2051" w:rsidRPr="00727506">
        <w:t xml:space="preserve">The </w:t>
      </w:r>
      <w:r w:rsidR="000B017F">
        <w:t>“</w:t>
      </w:r>
      <w:r w:rsidR="00EB2051">
        <w:t>O</w:t>
      </w:r>
      <w:r w:rsidR="00EB2051" w:rsidRPr="00727506">
        <w:t xml:space="preserve">fficer </w:t>
      </w:r>
      <w:r w:rsidR="00EB2051">
        <w:t>E</w:t>
      </w:r>
      <w:r w:rsidR="00EB2051" w:rsidRPr="00727506">
        <w:t>ffect</w:t>
      </w:r>
      <w:r w:rsidR="000B017F">
        <w:t>”</w:t>
      </w:r>
      <w:r w:rsidR="00EB2051" w:rsidRPr="00727506">
        <w:t xml:space="preserve"> in </w:t>
      </w:r>
      <w:r w:rsidR="000B017F">
        <w:t>R</w:t>
      </w:r>
      <w:r w:rsidR="00EB2051" w:rsidRPr="00727506">
        <w:t xml:space="preserve">isk </w:t>
      </w:r>
      <w:r w:rsidR="000B017F">
        <w:t>A</w:t>
      </w:r>
      <w:r w:rsidR="00EB2051" w:rsidRPr="00727506">
        <w:t xml:space="preserve">ssessment for </w:t>
      </w:r>
      <w:r w:rsidR="000B017F">
        <w:t>D</w:t>
      </w:r>
      <w:r w:rsidR="00EB2051" w:rsidRPr="00727506">
        <w:t xml:space="preserve">omestic </w:t>
      </w:r>
      <w:r w:rsidR="000B017F">
        <w:t>A</w:t>
      </w:r>
      <w:r w:rsidR="00EB2051" w:rsidRPr="00727506">
        <w:t xml:space="preserve">buse: Findings from a </w:t>
      </w:r>
      <w:r w:rsidR="000B017F">
        <w:t>M</w:t>
      </w:r>
      <w:r w:rsidR="00EB2051" w:rsidRPr="00727506">
        <w:t xml:space="preserve">ixed </w:t>
      </w:r>
      <w:r w:rsidR="000B017F">
        <w:t>M</w:t>
      </w:r>
      <w:r w:rsidR="00EB2051" w:rsidRPr="00727506">
        <w:t xml:space="preserve">ethods </w:t>
      </w:r>
      <w:r w:rsidR="000B017F">
        <w:t>S</w:t>
      </w:r>
      <w:r w:rsidR="00EB2051" w:rsidRPr="00727506">
        <w:t xml:space="preserve">tudy in England and </w:t>
      </w:r>
      <w:proofErr w:type="spellStart"/>
      <w:r w:rsidR="00EB2051" w:rsidRPr="00727506">
        <w:t>Wales</w:t>
      </w:r>
      <w:r w:rsidR="00EB2051">
        <w:t>’</w:t>
      </w:r>
      <w:proofErr w:type="spellEnd"/>
      <w:r w:rsidR="00EB2051" w:rsidRPr="00727506">
        <w:t xml:space="preserve"> (2023)</w:t>
      </w:r>
      <w:r w:rsidR="00EB2051">
        <w:t xml:space="preserve"> 20 </w:t>
      </w:r>
      <w:r w:rsidR="00EB2051" w:rsidRPr="00BE5F1D">
        <w:rPr>
          <w:i/>
          <w:iCs/>
        </w:rPr>
        <w:t>European Journal of Criminology</w:t>
      </w:r>
      <w:r w:rsidR="00EB2051" w:rsidRPr="00727506">
        <w:t xml:space="preserve"> 856</w:t>
      </w:r>
      <w:r w:rsidR="000B017F">
        <w:t>.</w:t>
      </w:r>
    </w:p>
  </w:footnote>
  <w:footnote w:id="14">
    <w:p w14:paraId="01FE7498" w14:textId="71C8C841" w:rsidR="0008675F" w:rsidRPr="00A250C3" w:rsidRDefault="0008675F" w:rsidP="00A250C3">
      <w:pPr>
        <w:rPr>
          <w:sz w:val="20"/>
          <w:szCs w:val="20"/>
        </w:rPr>
      </w:pPr>
      <w:r w:rsidRPr="00A250C3">
        <w:rPr>
          <w:rStyle w:val="FootnoteReference"/>
          <w:rFonts w:cstheme="minorHAnsi"/>
          <w:sz w:val="20"/>
          <w:szCs w:val="20"/>
        </w:rPr>
        <w:footnoteRef/>
      </w:r>
      <w:r w:rsidRPr="00A250C3">
        <w:rPr>
          <w:sz w:val="20"/>
          <w:szCs w:val="20"/>
        </w:rPr>
        <w:t xml:space="preserve"> National Police Chiefs’ Council,</w:t>
      </w:r>
      <w:r w:rsidR="00050326" w:rsidRPr="00A250C3">
        <w:rPr>
          <w:sz w:val="20"/>
          <w:szCs w:val="20"/>
        </w:rPr>
        <w:t xml:space="preserve"> Scale of Homicide and Suicides by Domestic Abuse Victims Revealed (13 March 2024)</w:t>
      </w:r>
      <w:r w:rsidR="00050326" w:rsidRPr="00A250C3">
        <w:rPr>
          <w:rStyle w:val="Hyperlink"/>
          <w:rFonts w:cstheme="minorHAnsi"/>
          <w:color w:val="auto"/>
          <w:sz w:val="20"/>
          <w:szCs w:val="20"/>
          <w:u w:val="none"/>
        </w:rPr>
        <w:t>.</w:t>
      </w:r>
    </w:p>
  </w:footnote>
  <w:footnote w:id="15">
    <w:p w14:paraId="3474ACA3" w14:textId="5480954F" w:rsidR="003E2684" w:rsidRPr="00DF3BAC" w:rsidRDefault="003E2684" w:rsidP="003E2684">
      <w:pPr>
        <w:pStyle w:val="FootnoteText"/>
      </w:pPr>
      <w:r w:rsidRPr="00DF3BAC">
        <w:rPr>
          <w:rStyle w:val="FootnoteReference"/>
        </w:rPr>
        <w:footnoteRef/>
      </w:r>
      <w:r w:rsidRPr="00DF3BAC">
        <w:t xml:space="preserve"> </w:t>
      </w:r>
      <w:r w:rsidRPr="00DF3BAC">
        <w:rPr>
          <w:rFonts w:cstheme="minorHAnsi"/>
          <w:shd w:val="clear" w:color="auto" w:fill="FFFFFF"/>
        </w:rPr>
        <w:t>Glover (n</w:t>
      </w:r>
      <w:r w:rsidR="00853F41">
        <w:rPr>
          <w:rFonts w:cstheme="minorHAnsi"/>
          <w:shd w:val="clear" w:color="auto" w:fill="FFFFFF"/>
        </w:rPr>
        <w:t xml:space="preserve"> </w:t>
      </w:r>
      <w:r w:rsidRPr="00DF3BAC">
        <w:rPr>
          <w:rFonts w:cstheme="minorHAnsi"/>
          <w:shd w:val="clear" w:color="auto" w:fill="FFFFFF"/>
        </w:rPr>
        <w:t>2) 71.</w:t>
      </w:r>
    </w:p>
  </w:footnote>
  <w:footnote w:id="16">
    <w:p w14:paraId="66F30419" w14:textId="7D55BF46" w:rsidR="00A94896" w:rsidRPr="00DF3BAC" w:rsidRDefault="00A94896" w:rsidP="005A3AA7">
      <w:pPr>
        <w:pStyle w:val="FootnoteText"/>
      </w:pPr>
      <w:r w:rsidRPr="00DF3BAC">
        <w:rPr>
          <w:rStyle w:val="FootnoteReference"/>
        </w:rPr>
        <w:footnoteRef/>
      </w:r>
      <w:r w:rsidR="005A3AA7" w:rsidRPr="00DF3BAC">
        <w:t xml:space="preserve"> Office for National Statistics</w:t>
      </w:r>
      <w:r w:rsidR="000B017F">
        <w:t xml:space="preserve"> (n 8)</w:t>
      </w:r>
      <w:r w:rsidR="002F7D13">
        <w:t xml:space="preserve">, </w:t>
      </w:r>
      <w:r w:rsidR="005A3AA7" w:rsidRPr="00DF3BAC">
        <w:rPr>
          <w:rStyle w:val="Hyperlink"/>
          <w:color w:val="auto"/>
          <w:u w:val="none"/>
        </w:rPr>
        <w:t>Table 5: Age</w:t>
      </w:r>
      <w:r w:rsidR="005A3AA7" w:rsidRPr="00DF3BAC">
        <w:t>.</w:t>
      </w:r>
      <w:r w:rsidR="00967182" w:rsidRPr="00967182">
        <w:rPr>
          <w:rFonts w:cstheme="minorHAnsi"/>
          <w:shd w:val="clear" w:color="auto" w:fill="FFFFFF"/>
        </w:rPr>
        <w:t xml:space="preserve"> </w:t>
      </w:r>
      <w:r w:rsidR="00967182">
        <w:rPr>
          <w:rFonts w:cstheme="minorHAnsi"/>
          <w:shd w:val="clear" w:color="auto" w:fill="FFFFFF"/>
        </w:rPr>
        <w:t xml:space="preserve"> Further, s</w:t>
      </w:r>
      <w:r w:rsidR="00967182" w:rsidRPr="00DF3BAC">
        <w:rPr>
          <w:rFonts w:cstheme="minorHAnsi"/>
          <w:shd w:val="clear" w:color="auto" w:fill="FFFFFF"/>
        </w:rPr>
        <w:t>ince 27 February 2023, under</w:t>
      </w:r>
      <w:r w:rsidR="002F7D13">
        <w:rPr>
          <w:rFonts w:cstheme="minorHAnsi"/>
          <w:shd w:val="clear" w:color="auto" w:fill="FFFFFF"/>
        </w:rPr>
        <w:t>-</w:t>
      </w:r>
      <w:r w:rsidR="00967182" w:rsidRPr="00DF3BAC">
        <w:rPr>
          <w:rFonts w:cstheme="minorHAnsi"/>
          <w:shd w:val="clear" w:color="auto" w:fill="FFFFFF"/>
        </w:rPr>
        <w:t>18</w:t>
      </w:r>
      <w:r w:rsidR="00967182">
        <w:rPr>
          <w:rFonts w:cstheme="minorHAnsi"/>
          <w:shd w:val="clear" w:color="auto" w:fill="FFFFFF"/>
        </w:rPr>
        <w:t>s</w:t>
      </w:r>
      <w:r w:rsidR="00967182" w:rsidRPr="00DF3BAC">
        <w:rPr>
          <w:rFonts w:cstheme="minorHAnsi"/>
          <w:shd w:val="clear" w:color="auto" w:fill="FFFFFF"/>
        </w:rPr>
        <w:t xml:space="preserve"> are no longer allowed to marry or enter a civil partnership in England and Wales</w:t>
      </w:r>
      <w:r w:rsidR="002F7D13">
        <w:rPr>
          <w:rFonts w:cstheme="minorHAnsi"/>
          <w:shd w:val="clear" w:color="auto" w:fill="FFFFFF"/>
        </w:rPr>
        <w:t xml:space="preserve">: </w:t>
      </w:r>
      <w:r w:rsidR="00967182" w:rsidRPr="00DF3BAC">
        <w:rPr>
          <w:rFonts w:cstheme="minorHAnsi"/>
          <w:shd w:val="clear" w:color="auto" w:fill="FFFFFF"/>
        </w:rPr>
        <w:t>Marriage and Civil Partnership (Minimum Age) Act 2022</w:t>
      </w:r>
      <w:r w:rsidR="00967182">
        <w:rPr>
          <w:rFonts w:cstheme="minorHAnsi"/>
          <w:shd w:val="clear" w:color="auto" w:fill="FFFFFF"/>
        </w:rPr>
        <w:t>.</w:t>
      </w:r>
    </w:p>
  </w:footnote>
  <w:footnote w:id="17">
    <w:p w14:paraId="72161A78" w14:textId="63ECDA61" w:rsidR="00511CD9" w:rsidRPr="00DF3BAC" w:rsidRDefault="00511CD9">
      <w:pPr>
        <w:pStyle w:val="FootnoteText"/>
      </w:pPr>
      <w:r w:rsidRPr="00DF3BAC">
        <w:rPr>
          <w:rStyle w:val="FootnoteReference"/>
        </w:rPr>
        <w:footnoteRef/>
      </w:r>
      <w:r w:rsidRPr="00DF3BAC">
        <w:t xml:space="preserve"> </w:t>
      </w:r>
      <w:r w:rsidR="005A3AA7" w:rsidRPr="00DF3BAC">
        <w:rPr>
          <w:rFonts w:cstheme="minorHAnsi"/>
          <w:shd w:val="clear" w:color="auto" w:fill="FFFFFF"/>
        </w:rPr>
        <w:t>Glover (n</w:t>
      </w:r>
      <w:r w:rsidR="00853F41">
        <w:rPr>
          <w:rFonts w:cstheme="minorHAnsi"/>
          <w:shd w:val="clear" w:color="auto" w:fill="FFFFFF"/>
        </w:rPr>
        <w:t xml:space="preserve"> </w:t>
      </w:r>
      <w:r w:rsidR="005A3AA7" w:rsidRPr="00DF3BAC">
        <w:rPr>
          <w:rFonts w:cstheme="minorHAnsi"/>
          <w:shd w:val="clear" w:color="auto" w:fill="FFFFFF"/>
        </w:rPr>
        <w:t>2)</w:t>
      </w:r>
      <w:r w:rsidR="00275DBB" w:rsidRPr="00DF3BAC">
        <w:rPr>
          <w:rFonts w:cstheme="minorHAnsi"/>
          <w:shd w:val="clear" w:color="auto" w:fill="FFFFFF"/>
        </w:rPr>
        <w:t xml:space="preserve"> </w:t>
      </w:r>
      <w:r w:rsidR="005A3AA7" w:rsidRPr="00DF3BAC">
        <w:rPr>
          <w:rFonts w:cstheme="minorHAnsi"/>
          <w:shd w:val="clear" w:color="auto" w:fill="FFFFFF"/>
        </w:rPr>
        <w:t>70.</w:t>
      </w:r>
    </w:p>
  </w:footnote>
  <w:footnote w:id="18">
    <w:p w14:paraId="5093CF10" w14:textId="04649F14" w:rsidR="00717B84" w:rsidRDefault="00717B84">
      <w:pPr>
        <w:pStyle w:val="FootnoteText"/>
      </w:pPr>
      <w:r>
        <w:rPr>
          <w:rStyle w:val="FootnoteReference"/>
        </w:rPr>
        <w:footnoteRef/>
      </w:r>
      <w:r>
        <w:t xml:space="preserve"> </w:t>
      </w:r>
      <w:r w:rsidR="00F2540C">
        <w:rPr>
          <w:rFonts w:cstheme="minorHAnsi"/>
          <w:shd w:val="clear" w:color="auto" w:fill="FFFFFF"/>
        </w:rPr>
        <w:t>Ibid</w:t>
      </w:r>
      <w:r w:rsidRPr="00DF3BAC">
        <w:rPr>
          <w:rFonts w:cstheme="minorHAnsi"/>
          <w:shd w:val="clear" w:color="auto" w:fill="FFFFFF"/>
        </w:rPr>
        <w:t xml:space="preserve"> 7</w:t>
      </w:r>
      <w:r>
        <w:rPr>
          <w:rFonts w:cstheme="minorHAnsi"/>
          <w:shd w:val="clear" w:color="auto" w:fill="FFFFFF"/>
        </w:rPr>
        <w:t>2.</w:t>
      </w:r>
    </w:p>
  </w:footnote>
  <w:footnote w:id="19">
    <w:p w14:paraId="0390E18C" w14:textId="45457ED8" w:rsidR="006C0EF2" w:rsidRDefault="006C0EF2" w:rsidP="00151CD1">
      <w:pPr>
        <w:pStyle w:val="FootnoteText"/>
      </w:pPr>
      <w:r>
        <w:rPr>
          <w:rStyle w:val="FootnoteReference"/>
        </w:rPr>
        <w:footnoteRef/>
      </w:r>
      <w:r>
        <w:t xml:space="preserve">  J</w:t>
      </w:r>
      <w:r w:rsidR="0087320D">
        <w:t xml:space="preserve">eanne </w:t>
      </w:r>
      <w:r>
        <w:t xml:space="preserve">L </w:t>
      </w:r>
      <w:proofErr w:type="spellStart"/>
      <w:r w:rsidRPr="008A72D5">
        <w:rPr>
          <w:rFonts w:cstheme="minorHAnsi"/>
          <w:color w:val="212121"/>
          <w:shd w:val="clear" w:color="auto" w:fill="FFFFFF"/>
        </w:rPr>
        <w:t>Alhusen</w:t>
      </w:r>
      <w:proofErr w:type="spellEnd"/>
      <w:r w:rsidR="00765115">
        <w:rPr>
          <w:rFonts w:cstheme="minorHAnsi"/>
          <w:color w:val="212121"/>
          <w:shd w:val="clear" w:color="auto" w:fill="FFFFFF"/>
        </w:rPr>
        <w:t>, Ellen Ray, Phyllis Sharps and Linda Bullock</w:t>
      </w:r>
      <w:r>
        <w:rPr>
          <w:rFonts w:cstheme="minorHAnsi"/>
          <w:color w:val="212121"/>
          <w:shd w:val="clear" w:color="auto" w:fill="FFFFFF"/>
        </w:rPr>
        <w:t>, ‘</w:t>
      </w:r>
      <w:r w:rsidRPr="008A72D5">
        <w:rPr>
          <w:rFonts w:cstheme="minorHAnsi"/>
          <w:color w:val="212121"/>
          <w:shd w:val="clear" w:color="auto" w:fill="FFFFFF"/>
        </w:rPr>
        <w:t xml:space="preserve">Intimate </w:t>
      </w:r>
      <w:r w:rsidR="00853F41">
        <w:rPr>
          <w:rFonts w:cstheme="minorHAnsi"/>
          <w:color w:val="212121"/>
          <w:shd w:val="clear" w:color="auto" w:fill="FFFFFF"/>
        </w:rPr>
        <w:t>P</w:t>
      </w:r>
      <w:r w:rsidRPr="008A72D5">
        <w:rPr>
          <w:rFonts w:cstheme="minorHAnsi"/>
          <w:color w:val="212121"/>
          <w:shd w:val="clear" w:color="auto" w:fill="FFFFFF"/>
        </w:rPr>
        <w:t xml:space="preserve">artner </w:t>
      </w:r>
      <w:r w:rsidR="00853F41">
        <w:rPr>
          <w:rFonts w:cstheme="minorHAnsi"/>
          <w:color w:val="212121"/>
          <w:shd w:val="clear" w:color="auto" w:fill="FFFFFF"/>
        </w:rPr>
        <w:t>V</w:t>
      </w:r>
      <w:r w:rsidRPr="008A72D5">
        <w:rPr>
          <w:rFonts w:cstheme="minorHAnsi"/>
          <w:color w:val="212121"/>
          <w:shd w:val="clear" w:color="auto" w:fill="FFFFFF"/>
        </w:rPr>
        <w:t xml:space="preserve">iolence </w:t>
      </w:r>
      <w:r w:rsidR="00853F41">
        <w:rPr>
          <w:rFonts w:cstheme="minorHAnsi"/>
          <w:color w:val="212121"/>
          <w:shd w:val="clear" w:color="auto" w:fill="FFFFFF"/>
        </w:rPr>
        <w:t>D</w:t>
      </w:r>
      <w:r w:rsidRPr="008A72D5">
        <w:rPr>
          <w:rFonts w:cstheme="minorHAnsi"/>
          <w:color w:val="212121"/>
          <w:shd w:val="clear" w:color="auto" w:fill="FFFFFF"/>
        </w:rPr>
        <w:t xml:space="preserve">uring </w:t>
      </w:r>
      <w:r w:rsidR="00853F41">
        <w:rPr>
          <w:rFonts w:cstheme="minorHAnsi"/>
          <w:color w:val="212121"/>
          <w:shd w:val="clear" w:color="auto" w:fill="FFFFFF"/>
        </w:rPr>
        <w:t>P</w:t>
      </w:r>
      <w:r w:rsidRPr="008A72D5">
        <w:rPr>
          <w:rFonts w:cstheme="minorHAnsi"/>
          <w:color w:val="212121"/>
          <w:shd w:val="clear" w:color="auto" w:fill="FFFFFF"/>
        </w:rPr>
        <w:t xml:space="preserve">regnancy: </w:t>
      </w:r>
      <w:r w:rsidR="00853F41">
        <w:rPr>
          <w:rFonts w:cstheme="minorHAnsi"/>
          <w:color w:val="212121"/>
          <w:shd w:val="clear" w:color="auto" w:fill="FFFFFF"/>
        </w:rPr>
        <w:t>M</w:t>
      </w:r>
      <w:r w:rsidRPr="008A72D5">
        <w:rPr>
          <w:rFonts w:cstheme="minorHAnsi"/>
          <w:color w:val="212121"/>
          <w:shd w:val="clear" w:color="auto" w:fill="FFFFFF"/>
        </w:rPr>
        <w:t xml:space="preserve">aternal and </w:t>
      </w:r>
      <w:r w:rsidR="00853F41">
        <w:rPr>
          <w:rFonts w:cstheme="minorHAnsi"/>
          <w:color w:val="212121"/>
          <w:shd w:val="clear" w:color="auto" w:fill="FFFFFF"/>
        </w:rPr>
        <w:t>N</w:t>
      </w:r>
      <w:r w:rsidRPr="008A72D5">
        <w:rPr>
          <w:rFonts w:cstheme="minorHAnsi"/>
          <w:color w:val="212121"/>
          <w:shd w:val="clear" w:color="auto" w:fill="FFFFFF"/>
        </w:rPr>
        <w:t xml:space="preserve">eonatal </w:t>
      </w:r>
      <w:r w:rsidR="00853F41">
        <w:rPr>
          <w:rFonts w:cstheme="minorHAnsi"/>
          <w:color w:val="212121"/>
          <w:shd w:val="clear" w:color="auto" w:fill="FFFFFF"/>
        </w:rPr>
        <w:t>O</w:t>
      </w:r>
      <w:r w:rsidRPr="008A72D5">
        <w:rPr>
          <w:rFonts w:cstheme="minorHAnsi"/>
          <w:color w:val="212121"/>
          <w:shd w:val="clear" w:color="auto" w:fill="FFFFFF"/>
        </w:rPr>
        <w:t>utcomes</w:t>
      </w:r>
      <w:r>
        <w:rPr>
          <w:rFonts w:cstheme="minorHAnsi"/>
          <w:color w:val="212121"/>
          <w:shd w:val="clear" w:color="auto" w:fill="FFFFFF"/>
        </w:rPr>
        <w:t>’</w:t>
      </w:r>
      <w:r w:rsidR="00C2117E">
        <w:rPr>
          <w:rFonts w:cstheme="minorHAnsi"/>
          <w:color w:val="212121"/>
          <w:shd w:val="clear" w:color="auto" w:fill="FFFFFF"/>
        </w:rPr>
        <w:t xml:space="preserve"> (2015) 24</w:t>
      </w:r>
      <w:r w:rsidR="00151CD1">
        <w:rPr>
          <w:rFonts w:cstheme="minorHAnsi"/>
          <w:color w:val="212121"/>
          <w:shd w:val="clear" w:color="auto" w:fill="FFFFFF"/>
        </w:rPr>
        <w:t xml:space="preserve"> </w:t>
      </w:r>
      <w:r w:rsidRPr="00A735B5">
        <w:rPr>
          <w:rFonts w:cstheme="minorHAnsi"/>
          <w:i/>
          <w:iCs/>
          <w:color w:val="212121"/>
          <w:shd w:val="clear" w:color="auto" w:fill="FFFFFF"/>
        </w:rPr>
        <w:t>J</w:t>
      </w:r>
      <w:r w:rsidR="00A735B5" w:rsidRPr="00A735B5">
        <w:rPr>
          <w:rFonts w:cstheme="minorHAnsi"/>
          <w:i/>
          <w:iCs/>
          <w:color w:val="212121"/>
          <w:shd w:val="clear" w:color="auto" w:fill="FFFFFF"/>
        </w:rPr>
        <w:t xml:space="preserve">ournal of </w:t>
      </w:r>
      <w:r w:rsidRPr="00A735B5">
        <w:rPr>
          <w:rFonts w:cstheme="minorHAnsi"/>
          <w:i/>
          <w:iCs/>
          <w:color w:val="212121"/>
          <w:shd w:val="clear" w:color="auto" w:fill="FFFFFF"/>
        </w:rPr>
        <w:t>Women</w:t>
      </w:r>
      <w:r w:rsidR="00A735B5" w:rsidRPr="00A735B5">
        <w:rPr>
          <w:rFonts w:cstheme="minorHAnsi"/>
          <w:i/>
          <w:iCs/>
          <w:color w:val="212121"/>
          <w:shd w:val="clear" w:color="auto" w:fill="FFFFFF"/>
        </w:rPr>
        <w:t>’</w:t>
      </w:r>
      <w:r w:rsidRPr="00A735B5">
        <w:rPr>
          <w:rFonts w:cstheme="minorHAnsi"/>
          <w:i/>
          <w:iCs/>
          <w:color w:val="212121"/>
          <w:shd w:val="clear" w:color="auto" w:fill="FFFFFF"/>
        </w:rPr>
        <w:t>s Health</w:t>
      </w:r>
      <w:r w:rsidRPr="008A72D5">
        <w:rPr>
          <w:rFonts w:cstheme="minorHAnsi"/>
          <w:color w:val="212121"/>
          <w:shd w:val="clear" w:color="auto" w:fill="FFFFFF"/>
        </w:rPr>
        <w:t xml:space="preserve"> (</w:t>
      </w:r>
      <w:proofErr w:type="spellStart"/>
      <w:r w:rsidRPr="008A72D5">
        <w:rPr>
          <w:rFonts w:cstheme="minorHAnsi"/>
          <w:color w:val="212121"/>
          <w:shd w:val="clear" w:color="auto" w:fill="FFFFFF"/>
        </w:rPr>
        <w:t>Larchmt</w:t>
      </w:r>
      <w:proofErr w:type="spellEnd"/>
      <w:r w:rsidRPr="008A72D5">
        <w:rPr>
          <w:rFonts w:cstheme="minorHAnsi"/>
          <w:color w:val="212121"/>
          <w:shd w:val="clear" w:color="auto" w:fill="FFFFFF"/>
        </w:rPr>
        <w:t>)</w:t>
      </w:r>
      <w:r w:rsidR="00151CD1">
        <w:rPr>
          <w:rFonts w:cstheme="minorHAnsi"/>
          <w:color w:val="212121"/>
          <w:shd w:val="clear" w:color="auto" w:fill="FFFFFF"/>
        </w:rPr>
        <w:t xml:space="preserve"> </w:t>
      </w:r>
      <w:r w:rsidRPr="008A72D5">
        <w:rPr>
          <w:rFonts w:cstheme="minorHAnsi"/>
          <w:color w:val="212121"/>
          <w:shd w:val="clear" w:color="auto" w:fill="FFFFFF"/>
        </w:rPr>
        <w:t>100</w:t>
      </w:r>
      <w:r w:rsidR="00151CD1">
        <w:rPr>
          <w:rFonts w:cstheme="minorHAnsi"/>
          <w:color w:val="212121"/>
          <w:shd w:val="clear" w:color="auto" w:fill="FFFFFF"/>
        </w:rPr>
        <w:t>.</w:t>
      </w:r>
    </w:p>
  </w:footnote>
  <w:footnote w:id="20">
    <w:p w14:paraId="0D47F12B" w14:textId="16200B20" w:rsidR="00A20EFA" w:rsidRDefault="00A20EFA">
      <w:pPr>
        <w:pStyle w:val="FootnoteText"/>
      </w:pPr>
      <w:r>
        <w:rPr>
          <w:rStyle w:val="FootnoteReference"/>
        </w:rPr>
        <w:footnoteRef/>
      </w:r>
      <w:r>
        <w:t xml:space="preserve"> </w:t>
      </w:r>
      <w:r w:rsidRPr="00DF3BAC">
        <w:rPr>
          <w:rFonts w:cstheme="minorHAnsi"/>
          <w:shd w:val="clear" w:color="auto" w:fill="FFFFFF"/>
        </w:rPr>
        <w:t>Glover (n</w:t>
      </w:r>
      <w:r w:rsidR="00853F41">
        <w:rPr>
          <w:rFonts w:cstheme="minorHAnsi"/>
          <w:shd w:val="clear" w:color="auto" w:fill="FFFFFF"/>
        </w:rPr>
        <w:t xml:space="preserve"> </w:t>
      </w:r>
      <w:r w:rsidRPr="00DF3BAC">
        <w:rPr>
          <w:rFonts w:cstheme="minorHAnsi"/>
          <w:shd w:val="clear" w:color="auto" w:fill="FFFFFF"/>
        </w:rPr>
        <w:t>2) 7</w:t>
      </w:r>
      <w:r>
        <w:rPr>
          <w:rFonts w:cstheme="minorHAnsi"/>
          <w:shd w:val="clear" w:color="auto" w:fill="FFFFFF"/>
        </w:rPr>
        <w:t>1.</w:t>
      </w:r>
    </w:p>
  </w:footnote>
  <w:footnote w:id="21">
    <w:p w14:paraId="09EEEBCF" w14:textId="197E0E6D" w:rsidR="00794DE6" w:rsidRDefault="00794DE6">
      <w:pPr>
        <w:pStyle w:val="FootnoteText"/>
      </w:pPr>
      <w:r>
        <w:rPr>
          <w:rStyle w:val="FootnoteReference"/>
        </w:rPr>
        <w:footnoteRef/>
      </w:r>
      <w:r>
        <w:t xml:space="preserve"> </w:t>
      </w:r>
      <w:r w:rsidR="00F2540C">
        <w:rPr>
          <w:rFonts w:cstheme="minorHAnsi"/>
          <w:shd w:val="clear" w:color="auto" w:fill="FFFFFF"/>
        </w:rPr>
        <w:t>Ibid</w:t>
      </w:r>
      <w:r w:rsidR="00DA352D" w:rsidRPr="00DF3BAC">
        <w:rPr>
          <w:rFonts w:cstheme="minorHAnsi"/>
          <w:shd w:val="clear" w:color="auto" w:fill="FFFFFF"/>
        </w:rPr>
        <w:t xml:space="preserve"> </w:t>
      </w:r>
      <w:r w:rsidR="00DA352D">
        <w:t>72.</w:t>
      </w:r>
    </w:p>
  </w:footnote>
  <w:footnote w:id="22">
    <w:p w14:paraId="5A3BBD92" w14:textId="78F6F0BE" w:rsidR="00C35073" w:rsidRDefault="00C35073">
      <w:pPr>
        <w:pStyle w:val="FootnoteText"/>
      </w:pPr>
      <w:r>
        <w:rPr>
          <w:rStyle w:val="FootnoteReference"/>
        </w:rPr>
        <w:footnoteRef/>
      </w:r>
      <w:r>
        <w:t xml:space="preserve"> </w:t>
      </w:r>
      <w:r w:rsidR="00F2540C">
        <w:rPr>
          <w:rFonts w:cstheme="minorHAnsi"/>
          <w:shd w:val="clear" w:color="auto" w:fill="FFFFFF"/>
        </w:rPr>
        <w:t>Ibid</w:t>
      </w:r>
      <w:r w:rsidR="00DA352D" w:rsidRPr="00DF3BAC">
        <w:rPr>
          <w:rFonts w:cstheme="minorHAnsi"/>
          <w:shd w:val="clear" w:color="auto" w:fill="FFFFFF"/>
        </w:rPr>
        <w:t xml:space="preserve"> </w:t>
      </w:r>
      <w:r w:rsidR="00DA352D">
        <w:t>73.</w:t>
      </w:r>
    </w:p>
  </w:footnote>
  <w:footnote w:id="23">
    <w:p w14:paraId="1D7196D0" w14:textId="1F0E357C" w:rsidR="00EA38D4" w:rsidRDefault="00EA38D4">
      <w:pPr>
        <w:pStyle w:val="FootnoteText"/>
      </w:pPr>
      <w:r>
        <w:rPr>
          <w:rStyle w:val="FootnoteReference"/>
        </w:rPr>
        <w:footnoteRef/>
      </w:r>
      <w:r>
        <w:t xml:space="preserve"> </w:t>
      </w:r>
      <w:r w:rsidR="002F7AD8">
        <w:t xml:space="preserve">See </w:t>
      </w:r>
      <w:r w:rsidR="00A4344A">
        <w:t>Appendix</w:t>
      </w:r>
      <w:r w:rsidR="002F7AD8">
        <w:t xml:space="preserve"> 1</w:t>
      </w:r>
      <w:r w:rsidR="00005DF7">
        <w:t>.</w:t>
      </w:r>
      <w:r w:rsidR="00151CD1">
        <w:t xml:space="preserve">  </w:t>
      </w:r>
    </w:p>
  </w:footnote>
  <w:footnote w:id="24">
    <w:p w14:paraId="3B20EABC" w14:textId="3B04A946" w:rsidR="00C35073" w:rsidRDefault="00C35073">
      <w:pPr>
        <w:pStyle w:val="FootnoteText"/>
      </w:pPr>
      <w:r>
        <w:rPr>
          <w:rStyle w:val="FootnoteReference"/>
        </w:rPr>
        <w:footnoteRef/>
      </w:r>
      <w:r>
        <w:t xml:space="preserve"> </w:t>
      </w:r>
      <w:r w:rsidR="000B7E92">
        <w:t>Section 70 of the Domestic Abuse Act 2021 amended the Serious Crime Act 2015 to include s</w:t>
      </w:r>
      <w:r w:rsidR="00AE4E54">
        <w:t xml:space="preserve"> </w:t>
      </w:r>
      <w:r w:rsidR="000B7E92">
        <w:t>75A, which makes</w:t>
      </w:r>
      <w:r w:rsidR="004F0E84">
        <w:t xml:space="preserve"> non-fatal</w:t>
      </w:r>
      <w:r w:rsidR="000B7E92">
        <w:t xml:space="preserve"> strangulation or suffocation a separate offence. </w:t>
      </w:r>
    </w:p>
  </w:footnote>
  <w:footnote w:id="25">
    <w:p w14:paraId="55439F6D" w14:textId="7EC1B0D1" w:rsidR="005A70CE" w:rsidRPr="00E26BDD" w:rsidRDefault="005A70CE" w:rsidP="00E26BDD">
      <w:pPr>
        <w:rPr>
          <w:sz w:val="20"/>
          <w:szCs w:val="20"/>
        </w:rPr>
      </w:pPr>
      <w:r w:rsidRPr="00E26BDD">
        <w:rPr>
          <w:rStyle w:val="FootnoteReference"/>
          <w:rFonts w:cstheme="minorHAnsi"/>
          <w:sz w:val="20"/>
          <w:szCs w:val="20"/>
        </w:rPr>
        <w:footnoteRef/>
      </w:r>
      <w:r w:rsidRPr="00E26BDD">
        <w:rPr>
          <w:sz w:val="20"/>
          <w:szCs w:val="20"/>
        </w:rPr>
        <w:t xml:space="preserve"> Battered Women’s Support Services, </w:t>
      </w:r>
      <w:r w:rsidRPr="0039446E">
        <w:rPr>
          <w:i/>
          <w:iCs/>
          <w:sz w:val="20"/>
          <w:szCs w:val="20"/>
        </w:rPr>
        <w:t>Eighteen Months After Leaving Domestic Violence is Still the Most Dangerous Time</w:t>
      </w:r>
      <w:r w:rsidR="00252FAE" w:rsidRPr="00E26BDD">
        <w:rPr>
          <w:sz w:val="20"/>
          <w:szCs w:val="20"/>
        </w:rPr>
        <w:t xml:space="preserve"> (2020)</w:t>
      </w:r>
      <w:r w:rsidR="00005DF7" w:rsidRPr="00E26BDD">
        <w:rPr>
          <w:rStyle w:val="Hyperlink"/>
          <w:rFonts w:cstheme="minorHAnsi"/>
          <w:color w:val="auto"/>
          <w:sz w:val="20"/>
          <w:szCs w:val="20"/>
          <w:u w:val="none"/>
        </w:rPr>
        <w:t>.</w:t>
      </w:r>
    </w:p>
  </w:footnote>
  <w:footnote w:id="26">
    <w:p w14:paraId="6B9B0094" w14:textId="68372799" w:rsidR="007B6858" w:rsidRDefault="007B6858" w:rsidP="00001EDE">
      <w:pPr>
        <w:pStyle w:val="FootnoteText"/>
      </w:pPr>
      <w:r>
        <w:rPr>
          <w:rStyle w:val="FootnoteReference"/>
        </w:rPr>
        <w:footnoteRef/>
      </w:r>
      <w:r>
        <w:t xml:space="preserve"> </w:t>
      </w:r>
      <w:r w:rsidRPr="007B6858">
        <w:t>Kathryn J Spearman</w:t>
      </w:r>
      <w:r>
        <w:t xml:space="preserve">, </w:t>
      </w:r>
      <w:r w:rsidRPr="007B6858">
        <w:t>Jennifer L Hardesty</w:t>
      </w:r>
      <w:r>
        <w:t xml:space="preserve"> and </w:t>
      </w:r>
      <w:r w:rsidRPr="007B6858">
        <w:t>Jacquelyn Campbell</w:t>
      </w:r>
      <w:r>
        <w:t>, ‘</w:t>
      </w:r>
      <w:r w:rsidRPr="007B6858">
        <w:t>Post-</w:t>
      </w:r>
      <w:r w:rsidR="00AE4E54">
        <w:t>S</w:t>
      </w:r>
      <w:r w:rsidRPr="007B6858">
        <w:t xml:space="preserve">eparation </w:t>
      </w:r>
      <w:r w:rsidR="00AE4E54">
        <w:t>A</w:t>
      </w:r>
      <w:r w:rsidRPr="007B6858">
        <w:t xml:space="preserve">buse: A </w:t>
      </w:r>
      <w:r w:rsidR="00AE4E54">
        <w:t>C</w:t>
      </w:r>
      <w:r w:rsidRPr="007B6858">
        <w:t xml:space="preserve">oncept </w:t>
      </w:r>
      <w:r w:rsidR="00AE4E54">
        <w:t>A</w:t>
      </w:r>
      <w:r w:rsidRPr="007B6858">
        <w:t>nalysis</w:t>
      </w:r>
      <w:r w:rsidR="00001EDE">
        <w:t>’</w:t>
      </w:r>
      <w:r w:rsidR="00001EDE" w:rsidRPr="00001EDE">
        <w:t xml:space="preserve"> </w:t>
      </w:r>
      <w:r w:rsidR="00001EDE">
        <w:t>(</w:t>
      </w:r>
      <w:r w:rsidR="00001EDE" w:rsidRPr="00001EDE">
        <w:t>2023</w:t>
      </w:r>
      <w:r w:rsidR="00001EDE">
        <w:t xml:space="preserve">) 79 </w:t>
      </w:r>
      <w:r w:rsidR="00001EDE" w:rsidRPr="004F0E84">
        <w:rPr>
          <w:i/>
          <w:iCs/>
        </w:rPr>
        <w:t>J</w:t>
      </w:r>
      <w:r w:rsidR="004F0E84" w:rsidRPr="004F0E84">
        <w:rPr>
          <w:i/>
          <w:iCs/>
        </w:rPr>
        <w:t>ournal of</w:t>
      </w:r>
      <w:r w:rsidR="00001EDE" w:rsidRPr="004F0E84">
        <w:rPr>
          <w:i/>
          <w:iCs/>
        </w:rPr>
        <w:t xml:space="preserve"> Adv</w:t>
      </w:r>
      <w:r w:rsidR="004F0E84" w:rsidRPr="004F0E84">
        <w:rPr>
          <w:i/>
          <w:iCs/>
        </w:rPr>
        <w:t>anced</w:t>
      </w:r>
      <w:r w:rsidR="00001EDE" w:rsidRPr="004F0E84">
        <w:rPr>
          <w:i/>
          <w:iCs/>
        </w:rPr>
        <w:t xml:space="preserve"> Nurs</w:t>
      </w:r>
      <w:r w:rsidR="004F0E84" w:rsidRPr="004F0E84">
        <w:rPr>
          <w:i/>
          <w:iCs/>
        </w:rPr>
        <w:t>ing</w:t>
      </w:r>
      <w:r w:rsidR="00001EDE">
        <w:t xml:space="preserve"> </w:t>
      </w:r>
      <w:r w:rsidR="00001EDE" w:rsidRPr="00001EDE">
        <w:t>1225</w:t>
      </w:r>
      <w:r w:rsidR="00001EDE">
        <w:t>.</w:t>
      </w:r>
    </w:p>
  </w:footnote>
  <w:footnote w:id="27">
    <w:p w14:paraId="2A60A84F" w14:textId="26F714E4" w:rsidR="00794DE6" w:rsidRDefault="00794DE6">
      <w:pPr>
        <w:pStyle w:val="FootnoteText"/>
      </w:pPr>
      <w:r>
        <w:rPr>
          <w:rStyle w:val="FootnoteReference"/>
        </w:rPr>
        <w:footnoteRef/>
      </w:r>
      <w:r>
        <w:t xml:space="preserve"> </w:t>
      </w:r>
      <w:r w:rsidR="00F90376" w:rsidRPr="00DF3BAC">
        <w:rPr>
          <w:rFonts w:cstheme="minorHAnsi"/>
          <w:shd w:val="clear" w:color="auto" w:fill="FFFFFF"/>
        </w:rPr>
        <w:t>Glover (n</w:t>
      </w:r>
      <w:r w:rsidR="00AE4E54">
        <w:rPr>
          <w:rFonts w:cstheme="minorHAnsi"/>
          <w:shd w:val="clear" w:color="auto" w:fill="FFFFFF"/>
        </w:rPr>
        <w:t xml:space="preserve"> </w:t>
      </w:r>
      <w:r w:rsidR="00F90376" w:rsidRPr="00DF3BAC">
        <w:rPr>
          <w:rFonts w:cstheme="minorHAnsi"/>
          <w:shd w:val="clear" w:color="auto" w:fill="FFFFFF"/>
        </w:rPr>
        <w:t xml:space="preserve">2) </w:t>
      </w:r>
      <w:r w:rsidR="00F90376">
        <w:t>73.</w:t>
      </w:r>
    </w:p>
  </w:footnote>
  <w:footnote w:id="28">
    <w:p w14:paraId="1E47F510" w14:textId="788E6681" w:rsidR="005A70CE" w:rsidRPr="00DF3BAC" w:rsidRDefault="005A70CE" w:rsidP="005A70CE">
      <w:pPr>
        <w:pStyle w:val="FootnoteText"/>
        <w:rPr>
          <w:rFonts w:cstheme="minorHAnsi"/>
        </w:rPr>
      </w:pPr>
      <w:r w:rsidRPr="00DF3BAC">
        <w:rPr>
          <w:rStyle w:val="FootnoteReference"/>
        </w:rPr>
        <w:footnoteRef/>
      </w:r>
      <w:r w:rsidRPr="00DF3BAC">
        <w:t xml:space="preserve"> </w:t>
      </w:r>
      <w:r w:rsidRPr="00DF3BAC">
        <w:rPr>
          <w:rFonts w:cstheme="minorHAnsi"/>
        </w:rPr>
        <w:t>College of Policing</w:t>
      </w:r>
      <w:r w:rsidR="00CC3F6C">
        <w:rPr>
          <w:rFonts w:cstheme="minorHAnsi"/>
        </w:rPr>
        <w:t xml:space="preserve"> (n 5)</w:t>
      </w:r>
      <w:r w:rsidR="00005DF7" w:rsidRPr="00DF3BAC">
        <w:rPr>
          <w:rStyle w:val="Hyperlink"/>
          <w:rFonts w:cstheme="minorHAnsi"/>
          <w:color w:val="auto"/>
          <w:u w:val="none"/>
        </w:rPr>
        <w:t>.</w:t>
      </w:r>
    </w:p>
  </w:footnote>
  <w:footnote w:id="29">
    <w:p w14:paraId="49911FD5" w14:textId="77085E5E" w:rsidR="005A70CE" w:rsidRPr="00DF3BAC" w:rsidRDefault="005A70CE" w:rsidP="005A70CE">
      <w:pPr>
        <w:pStyle w:val="FootnoteText"/>
        <w:rPr>
          <w:rFonts w:cstheme="minorHAnsi"/>
        </w:rPr>
      </w:pPr>
      <w:r w:rsidRPr="00DF3BAC">
        <w:rPr>
          <w:rStyle w:val="FootnoteReference"/>
          <w:rFonts w:cstheme="minorHAnsi"/>
        </w:rPr>
        <w:footnoteRef/>
      </w:r>
      <w:r w:rsidRPr="00DF3BAC">
        <w:rPr>
          <w:rFonts w:cstheme="minorHAnsi"/>
        </w:rPr>
        <w:t xml:space="preserve"> </w:t>
      </w:r>
      <w:r w:rsidR="00AE4D6B">
        <w:rPr>
          <w:rFonts w:cstheme="minorHAnsi"/>
        </w:rPr>
        <w:t>Reported</w:t>
      </w:r>
      <w:r w:rsidR="001760FF" w:rsidRPr="00DF3BAC">
        <w:rPr>
          <w:rFonts w:cstheme="minorHAnsi"/>
        </w:rPr>
        <w:t xml:space="preserve"> </w:t>
      </w:r>
      <w:r w:rsidR="00AE4D6B">
        <w:rPr>
          <w:rFonts w:cstheme="minorHAnsi"/>
        </w:rPr>
        <w:t>in</w:t>
      </w:r>
      <w:r w:rsidR="00005DF7" w:rsidRPr="00DF3BAC">
        <w:rPr>
          <w:rFonts w:cstheme="minorHAnsi"/>
        </w:rPr>
        <w:t xml:space="preserve"> </w:t>
      </w:r>
      <w:r w:rsidRPr="00DF3BAC">
        <w:rPr>
          <w:rFonts w:cstheme="minorHAnsi"/>
          <w:i/>
          <w:iCs/>
        </w:rPr>
        <w:t>The Taunton Courier</w:t>
      </w:r>
      <w:r w:rsidRPr="00DF3BAC">
        <w:rPr>
          <w:rFonts w:cstheme="minorHAnsi"/>
        </w:rPr>
        <w:t>, 30 Jan</w:t>
      </w:r>
      <w:r w:rsidR="00D0056B">
        <w:rPr>
          <w:rFonts w:cstheme="minorHAnsi"/>
        </w:rPr>
        <w:t>uary</w:t>
      </w:r>
      <w:r w:rsidRPr="00DF3BAC">
        <w:rPr>
          <w:rFonts w:cstheme="minorHAnsi"/>
        </w:rPr>
        <w:t xml:space="preserve"> 1935</w:t>
      </w:r>
      <w:r w:rsidR="00CC3F6C">
        <w:rPr>
          <w:rFonts w:cstheme="minorHAnsi"/>
        </w:rPr>
        <w:t>,</w:t>
      </w:r>
      <w:r w:rsidRPr="00DF3BAC">
        <w:rPr>
          <w:rFonts w:cstheme="minorHAnsi"/>
        </w:rPr>
        <w:t xml:space="preserve"> as </w:t>
      </w:r>
      <w:r w:rsidR="00AE4D6B">
        <w:rPr>
          <w:rFonts w:cstheme="minorHAnsi"/>
        </w:rPr>
        <w:t>noted</w:t>
      </w:r>
      <w:r w:rsidRPr="00DF3BAC">
        <w:rPr>
          <w:rFonts w:cstheme="minorHAnsi"/>
        </w:rPr>
        <w:t xml:space="preserve"> in </w:t>
      </w:r>
      <w:r w:rsidRPr="00DF3BAC">
        <w:rPr>
          <w:rFonts w:cstheme="minorHAnsi"/>
          <w:shd w:val="clear" w:color="auto" w:fill="FFFFFF"/>
        </w:rPr>
        <w:t>Glover</w:t>
      </w:r>
      <w:r w:rsidR="00005DF7" w:rsidRPr="00DF3BAC">
        <w:rPr>
          <w:rFonts w:cstheme="minorHAnsi"/>
          <w:shd w:val="clear" w:color="auto" w:fill="FFFFFF"/>
        </w:rPr>
        <w:t xml:space="preserve"> (n</w:t>
      </w:r>
      <w:r w:rsidR="00CC3F6C">
        <w:rPr>
          <w:rFonts w:cstheme="minorHAnsi"/>
          <w:shd w:val="clear" w:color="auto" w:fill="FFFFFF"/>
        </w:rPr>
        <w:t xml:space="preserve"> </w:t>
      </w:r>
      <w:r w:rsidR="00005DF7" w:rsidRPr="00DF3BAC">
        <w:rPr>
          <w:rFonts w:cstheme="minorHAnsi"/>
          <w:shd w:val="clear" w:color="auto" w:fill="FFFFFF"/>
        </w:rPr>
        <w:t>2) 71.</w:t>
      </w:r>
    </w:p>
  </w:footnote>
  <w:footnote w:id="30">
    <w:p w14:paraId="5F7F10FC" w14:textId="300372B4" w:rsidR="005A70CE" w:rsidRPr="00DF3BAC" w:rsidRDefault="005A70CE" w:rsidP="005A70CE">
      <w:pPr>
        <w:pStyle w:val="FootnoteText"/>
        <w:rPr>
          <w:rFonts w:cstheme="minorHAnsi"/>
        </w:rPr>
      </w:pPr>
      <w:r w:rsidRPr="00DF3BAC">
        <w:rPr>
          <w:rStyle w:val="FootnoteReference"/>
          <w:rFonts w:cstheme="minorHAnsi"/>
        </w:rPr>
        <w:footnoteRef/>
      </w:r>
      <w:r w:rsidRPr="00DF3BAC">
        <w:rPr>
          <w:rFonts w:cstheme="minorHAnsi"/>
        </w:rPr>
        <w:t xml:space="preserve"> </w:t>
      </w:r>
      <w:proofErr w:type="spellStart"/>
      <w:r w:rsidRPr="00DF3BAC">
        <w:rPr>
          <w:rFonts w:cstheme="minorHAnsi"/>
          <w:i/>
          <w:iCs/>
        </w:rPr>
        <w:t>Woolmington</w:t>
      </w:r>
      <w:proofErr w:type="spellEnd"/>
      <w:r w:rsidRPr="00DF3BAC">
        <w:rPr>
          <w:rFonts w:cstheme="minorHAnsi"/>
          <w:i/>
          <w:iCs/>
        </w:rPr>
        <w:t xml:space="preserve"> </w:t>
      </w:r>
      <w:r w:rsidR="00005DF7" w:rsidRPr="00DF3BAC">
        <w:rPr>
          <w:rFonts w:cstheme="minorHAnsi"/>
        </w:rPr>
        <w:t>(n 1)</w:t>
      </w:r>
      <w:r w:rsidR="00005DF7" w:rsidRPr="00DF3BAC">
        <w:rPr>
          <w:rFonts w:cstheme="minorHAnsi"/>
          <w:i/>
          <w:iCs/>
        </w:rPr>
        <w:t xml:space="preserve"> </w:t>
      </w:r>
      <w:r w:rsidRPr="00DF3BAC">
        <w:rPr>
          <w:rFonts w:cstheme="minorHAnsi"/>
          <w:shd w:val="clear" w:color="auto" w:fill="FFFFFF"/>
        </w:rPr>
        <w:t>at 463.</w:t>
      </w:r>
    </w:p>
  </w:footnote>
  <w:footnote w:id="31">
    <w:p w14:paraId="28BB6EE3" w14:textId="2D45B7F6" w:rsidR="005A70CE" w:rsidRPr="00DF3BAC" w:rsidRDefault="005A70CE" w:rsidP="005A70CE">
      <w:pPr>
        <w:pStyle w:val="FootnoteText"/>
        <w:rPr>
          <w:rFonts w:cstheme="minorHAnsi"/>
        </w:rPr>
      </w:pPr>
      <w:r w:rsidRPr="00DF3BAC">
        <w:rPr>
          <w:rStyle w:val="FootnoteReference"/>
          <w:rFonts w:cstheme="minorHAnsi"/>
        </w:rPr>
        <w:footnoteRef/>
      </w:r>
      <w:r w:rsidRPr="00DF3BAC">
        <w:rPr>
          <w:rFonts w:cstheme="minorHAnsi"/>
        </w:rPr>
        <w:t xml:space="preserve"> Emma </w:t>
      </w:r>
      <w:proofErr w:type="spellStart"/>
      <w:r w:rsidRPr="00DF3BAC">
        <w:rPr>
          <w:rFonts w:cstheme="minorHAnsi"/>
        </w:rPr>
        <w:t>Rouchy</w:t>
      </w:r>
      <w:proofErr w:type="spellEnd"/>
      <w:r w:rsidR="00742FC6">
        <w:rPr>
          <w:rFonts w:cstheme="minorHAnsi"/>
        </w:rPr>
        <w:t xml:space="preserve">, Emma </w:t>
      </w:r>
      <w:proofErr w:type="spellStart"/>
      <w:r w:rsidR="00742FC6">
        <w:rPr>
          <w:rFonts w:cstheme="minorHAnsi"/>
        </w:rPr>
        <w:t>Germanaud</w:t>
      </w:r>
      <w:proofErr w:type="spellEnd"/>
      <w:r w:rsidR="00742FC6">
        <w:rPr>
          <w:rFonts w:cstheme="minorHAnsi"/>
        </w:rPr>
        <w:t>, Mathieu Garcia and Gregory Michel</w:t>
      </w:r>
      <w:r w:rsidRPr="00DF3BAC">
        <w:rPr>
          <w:rFonts w:cstheme="minorHAnsi"/>
        </w:rPr>
        <w:t xml:space="preserve">, ’Characteristics of </w:t>
      </w:r>
      <w:r w:rsidR="00CC3F6C">
        <w:rPr>
          <w:rFonts w:cstheme="minorHAnsi"/>
        </w:rPr>
        <w:t>H</w:t>
      </w:r>
      <w:r w:rsidRPr="00DF3BAC">
        <w:rPr>
          <w:rFonts w:cstheme="minorHAnsi"/>
        </w:rPr>
        <w:t>omicide-</w:t>
      </w:r>
      <w:r w:rsidR="00CC3F6C">
        <w:rPr>
          <w:rFonts w:cstheme="minorHAnsi"/>
        </w:rPr>
        <w:t>S</w:t>
      </w:r>
      <w:r w:rsidRPr="00DF3BAC">
        <w:rPr>
          <w:rFonts w:cstheme="minorHAnsi"/>
        </w:rPr>
        <w:t xml:space="preserve">uicide </w:t>
      </w:r>
      <w:r w:rsidR="00CC3F6C">
        <w:rPr>
          <w:rFonts w:cstheme="minorHAnsi"/>
        </w:rPr>
        <w:t>O</w:t>
      </w:r>
      <w:r w:rsidRPr="00DF3BAC">
        <w:rPr>
          <w:rFonts w:cstheme="minorHAnsi"/>
        </w:rPr>
        <w:t xml:space="preserve">ffenders: A </w:t>
      </w:r>
      <w:r w:rsidR="00CC3F6C">
        <w:rPr>
          <w:rFonts w:cstheme="minorHAnsi"/>
        </w:rPr>
        <w:t>S</w:t>
      </w:r>
      <w:r w:rsidRPr="00DF3BAC">
        <w:rPr>
          <w:rFonts w:cstheme="minorHAnsi"/>
        </w:rPr>
        <w:t xml:space="preserve">ystematic </w:t>
      </w:r>
      <w:r w:rsidR="00CC3F6C">
        <w:rPr>
          <w:rFonts w:cstheme="minorHAnsi"/>
        </w:rPr>
        <w:t>R</w:t>
      </w:r>
      <w:r w:rsidRPr="00DF3BAC">
        <w:rPr>
          <w:rFonts w:cstheme="minorHAnsi"/>
        </w:rPr>
        <w:t>eview</w:t>
      </w:r>
      <w:r w:rsidR="007F46AC">
        <w:rPr>
          <w:rFonts w:cstheme="minorHAnsi"/>
        </w:rPr>
        <w:t>,</w:t>
      </w:r>
      <w:r w:rsidR="00005DF7" w:rsidRPr="00DF3BAC">
        <w:rPr>
          <w:rFonts w:cstheme="minorHAnsi"/>
        </w:rPr>
        <w:t>’</w:t>
      </w:r>
      <w:r w:rsidRPr="00DF3BAC">
        <w:rPr>
          <w:rFonts w:cstheme="minorHAnsi"/>
        </w:rPr>
        <w:t xml:space="preserve"> </w:t>
      </w:r>
      <w:r w:rsidR="00C2117E" w:rsidRPr="00DF3BAC">
        <w:rPr>
          <w:rFonts w:cstheme="minorHAnsi"/>
        </w:rPr>
        <w:t xml:space="preserve">(2020) 55 </w:t>
      </w:r>
      <w:r w:rsidRPr="00005A41">
        <w:rPr>
          <w:rFonts w:cstheme="minorHAnsi"/>
          <w:i/>
          <w:iCs/>
        </w:rPr>
        <w:t xml:space="preserve">Aggression and Violent </w:t>
      </w:r>
      <w:proofErr w:type="spellStart"/>
      <w:r w:rsidRPr="00005A41">
        <w:rPr>
          <w:rFonts w:cstheme="minorHAnsi"/>
          <w:i/>
          <w:iCs/>
        </w:rPr>
        <w:t>Behavior</w:t>
      </w:r>
      <w:proofErr w:type="spellEnd"/>
      <w:r w:rsidRPr="00DF3BAC">
        <w:rPr>
          <w:rFonts w:cstheme="minorHAnsi"/>
        </w:rPr>
        <w:t xml:space="preserve"> </w:t>
      </w:r>
      <w:r w:rsidR="00005DF7" w:rsidRPr="00DF3BAC">
        <w:rPr>
          <w:rFonts w:cstheme="minorHAnsi"/>
        </w:rPr>
        <w:t>101490</w:t>
      </w:r>
      <w:r w:rsidR="00005DF7" w:rsidRPr="00DF3BAC">
        <w:rPr>
          <w:rStyle w:val="Hyperlink"/>
          <w:rFonts w:cstheme="minorHAnsi"/>
          <w:color w:val="auto"/>
          <w:u w:val="none"/>
        </w:rPr>
        <w:t>.</w:t>
      </w:r>
    </w:p>
  </w:footnote>
  <w:footnote w:id="32">
    <w:p w14:paraId="57E4A03F" w14:textId="66AF26E4" w:rsidR="00AE4D6B" w:rsidRDefault="00AE4D6B">
      <w:pPr>
        <w:pStyle w:val="FootnoteText"/>
      </w:pPr>
      <w:r>
        <w:rPr>
          <w:rStyle w:val="FootnoteReference"/>
        </w:rPr>
        <w:footnoteRef/>
      </w:r>
      <w:r>
        <w:t xml:space="preserve"> </w:t>
      </w:r>
      <w:r w:rsidR="004E23B5" w:rsidRPr="00DF3BAC">
        <w:rPr>
          <w:rFonts w:cstheme="minorHAnsi"/>
          <w:shd w:val="clear" w:color="auto" w:fill="FFFFFF"/>
        </w:rPr>
        <w:t>Glover (n</w:t>
      </w:r>
      <w:r w:rsidR="00CC3F6C">
        <w:rPr>
          <w:rFonts w:cstheme="minorHAnsi"/>
          <w:shd w:val="clear" w:color="auto" w:fill="FFFFFF"/>
        </w:rPr>
        <w:t xml:space="preserve"> </w:t>
      </w:r>
      <w:r w:rsidR="004E23B5" w:rsidRPr="00DF3BAC">
        <w:rPr>
          <w:rFonts w:cstheme="minorHAnsi"/>
          <w:shd w:val="clear" w:color="auto" w:fill="FFFFFF"/>
        </w:rPr>
        <w:t>2) 6</w:t>
      </w:r>
      <w:r w:rsidR="004E23B5">
        <w:rPr>
          <w:rFonts w:cstheme="minorHAnsi"/>
          <w:shd w:val="clear" w:color="auto" w:fill="FFFFFF"/>
        </w:rPr>
        <w:t>4</w:t>
      </w:r>
      <w:r w:rsidR="004E23B5" w:rsidRPr="00DF3BAC">
        <w:rPr>
          <w:rFonts w:cstheme="minorHAnsi"/>
          <w:shd w:val="clear" w:color="auto" w:fill="FFFFFF"/>
        </w:rPr>
        <w:t>.</w:t>
      </w:r>
    </w:p>
  </w:footnote>
  <w:footnote w:id="33">
    <w:p w14:paraId="2EDDE24E" w14:textId="7720E532" w:rsidR="00227FF5" w:rsidRPr="00DF3BAC" w:rsidRDefault="00227FF5">
      <w:pPr>
        <w:pStyle w:val="FootnoteText"/>
      </w:pPr>
      <w:r w:rsidRPr="00DF3BAC">
        <w:rPr>
          <w:rStyle w:val="FootnoteReference"/>
        </w:rPr>
        <w:footnoteRef/>
      </w:r>
      <w:r w:rsidRPr="00DF3BAC">
        <w:t xml:space="preserve"> </w:t>
      </w:r>
      <w:r w:rsidR="00CC3F6C">
        <w:rPr>
          <w:rFonts w:cstheme="minorHAnsi"/>
          <w:shd w:val="clear" w:color="auto" w:fill="FFFFFF"/>
        </w:rPr>
        <w:t>Ibid</w:t>
      </w:r>
      <w:r w:rsidR="000B42CF" w:rsidRPr="00DF3BAC">
        <w:rPr>
          <w:rFonts w:cstheme="minorHAnsi"/>
          <w:shd w:val="clear" w:color="auto" w:fill="FFFFFF"/>
        </w:rPr>
        <w:t xml:space="preserve"> 65.</w:t>
      </w:r>
    </w:p>
  </w:footnote>
  <w:footnote w:id="34">
    <w:p w14:paraId="0C123D9D" w14:textId="280EA784" w:rsidR="001866D0" w:rsidRPr="00DF3BAC" w:rsidRDefault="001866D0" w:rsidP="007C1DD7">
      <w:pPr>
        <w:pStyle w:val="FootnoteText"/>
        <w:rPr>
          <w:rFonts w:cstheme="minorHAnsi"/>
        </w:rPr>
      </w:pPr>
      <w:r w:rsidRPr="00DF3BAC">
        <w:rPr>
          <w:rStyle w:val="FootnoteReference"/>
          <w:rFonts w:cstheme="minorHAnsi"/>
        </w:rPr>
        <w:footnoteRef/>
      </w:r>
      <w:r w:rsidRPr="00DF3BAC">
        <w:rPr>
          <w:rFonts w:cstheme="minorHAnsi"/>
        </w:rPr>
        <w:t xml:space="preserve"> E</w:t>
      </w:r>
      <w:r w:rsidR="004A2265">
        <w:rPr>
          <w:rFonts w:cstheme="minorHAnsi"/>
        </w:rPr>
        <w:t>lizabeth</w:t>
      </w:r>
      <w:r w:rsidRPr="00DF3BAC">
        <w:rPr>
          <w:rFonts w:cstheme="minorHAnsi"/>
        </w:rPr>
        <w:t xml:space="preserve"> </w:t>
      </w:r>
      <w:r w:rsidRPr="00DF3BAC">
        <w:rPr>
          <w:rFonts w:cstheme="minorHAnsi"/>
          <w:shd w:val="clear" w:color="auto" w:fill="FFFFFF"/>
        </w:rPr>
        <w:t>Tobin-Tyler</w:t>
      </w:r>
      <w:r w:rsidR="00CC3F6C">
        <w:rPr>
          <w:rFonts w:cstheme="minorHAnsi"/>
          <w:shd w:val="clear" w:color="auto" w:fill="FFFFFF"/>
        </w:rPr>
        <w:t>,</w:t>
      </w:r>
      <w:r w:rsidRPr="00DF3BAC">
        <w:rPr>
          <w:rFonts w:cstheme="minorHAnsi"/>
          <w:shd w:val="clear" w:color="auto" w:fill="FFFFFF"/>
        </w:rPr>
        <w:t xml:space="preserve"> ‘Intimate Partner Violence, Firearm Injuries and Homicides: A Health Justice Approach to Two Intersecting Public Health Crises’ </w:t>
      </w:r>
      <w:r w:rsidR="007C1DD7" w:rsidRPr="00DF3BAC">
        <w:rPr>
          <w:rFonts w:cstheme="minorHAnsi"/>
          <w:shd w:val="clear" w:color="auto" w:fill="FFFFFF"/>
        </w:rPr>
        <w:t>(</w:t>
      </w:r>
      <w:r w:rsidRPr="00DF3BAC">
        <w:rPr>
          <w:rFonts w:cstheme="minorHAnsi"/>
          <w:shd w:val="clear" w:color="auto" w:fill="FFFFFF"/>
        </w:rPr>
        <w:t>2023</w:t>
      </w:r>
      <w:r w:rsidR="007C1DD7" w:rsidRPr="00DF3BAC">
        <w:rPr>
          <w:rFonts w:cstheme="minorHAnsi"/>
          <w:shd w:val="clear" w:color="auto" w:fill="FFFFFF"/>
        </w:rPr>
        <w:t>) 51</w:t>
      </w:r>
      <w:r w:rsidRPr="00DF3BAC">
        <w:rPr>
          <w:rFonts w:cstheme="minorHAnsi"/>
          <w:shd w:val="clear" w:color="auto" w:fill="FFFFFF"/>
        </w:rPr>
        <w:t xml:space="preserve"> </w:t>
      </w:r>
      <w:r w:rsidRPr="00005A41">
        <w:rPr>
          <w:rFonts w:cstheme="minorHAnsi"/>
          <w:i/>
          <w:iCs/>
          <w:shd w:val="clear" w:color="auto" w:fill="FFFFFF"/>
        </w:rPr>
        <w:t>J</w:t>
      </w:r>
      <w:r w:rsidR="00005A41" w:rsidRPr="00005A41">
        <w:rPr>
          <w:rFonts w:cstheme="minorHAnsi"/>
          <w:i/>
          <w:iCs/>
          <w:shd w:val="clear" w:color="auto" w:fill="FFFFFF"/>
        </w:rPr>
        <w:t>ournal of</w:t>
      </w:r>
      <w:r w:rsidRPr="00005A41">
        <w:rPr>
          <w:rFonts w:cstheme="minorHAnsi"/>
          <w:i/>
          <w:iCs/>
          <w:shd w:val="clear" w:color="auto" w:fill="FFFFFF"/>
        </w:rPr>
        <w:t xml:space="preserve"> Law </w:t>
      </w:r>
      <w:r w:rsidR="00005A41" w:rsidRPr="00005A41">
        <w:rPr>
          <w:rFonts w:cstheme="minorHAnsi"/>
          <w:i/>
          <w:iCs/>
          <w:shd w:val="clear" w:color="auto" w:fill="FFFFFF"/>
        </w:rPr>
        <w:t xml:space="preserve">and </w:t>
      </w:r>
      <w:r w:rsidRPr="00005A41">
        <w:rPr>
          <w:rFonts w:cstheme="minorHAnsi"/>
          <w:i/>
          <w:iCs/>
          <w:shd w:val="clear" w:color="auto" w:fill="FFFFFF"/>
        </w:rPr>
        <w:t>Med</w:t>
      </w:r>
      <w:r w:rsidR="00005A41" w:rsidRPr="00005A41">
        <w:rPr>
          <w:rFonts w:cstheme="minorHAnsi"/>
          <w:i/>
          <w:iCs/>
          <w:shd w:val="clear" w:color="auto" w:fill="FFFFFF"/>
        </w:rPr>
        <w:t>ical</w:t>
      </w:r>
      <w:r w:rsidRPr="00005A41">
        <w:rPr>
          <w:rFonts w:cstheme="minorHAnsi"/>
          <w:i/>
          <w:iCs/>
          <w:shd w:val="clear" w:color="auto" w:fill="FFFFFF"/>
        </w:rPr>
        <w:t xml:space="preserve"> Ethics</w:t>
      </w:r>
      <w:r w:rsidR="007C1DD7" w:rsidRPr="00DF3BAC">
        <w:rPr>
          <w:rFonts w:cstheme="minorHAnsi"/>
          <w:shd w:val="clear" w:color="auto" w:fill="FFFFFF"/>
        </w:rPr>
        <w:t xml:space="preserve"> </w:t>
      </w:r>
      <w:r w:rsidRPr="00DF3BAC">
        <w:rPr>
          <w:rFonts w:cstheme="minorHAnsi"/>
          <w:shd w:val="clear" w:color="auto" w:fill="FFFFFF"/>
        </w:rPr>
        <w:t>64</w:t>
      </w:r>
      <w:r w:rsidR="007C1DD7" w:rsidRPr="00DF3BAC">
        <w:rPr>
          <w:rFonts w:cstheme="minorHAnsi"/>
          <w:shd w:val="clear" w:color="auto" w:fill="FFFFFF"/>
        </w:rPr>
        <w:t>.</w:t>
      </w:r>
    </w:p>
  </w:footnote>
  <w:footnote w:id="35">
    <w:p w14:paraId="26F97965" w14:textId="6729E82C" w:rsidR="00EB2172" w:rsidRDefault="00EB2172">
      <w:pPr>
        <w:pStyle w:val="FootnoteText"/>
      </w:pPr>
      <w:r>
        <w:rPr>
          <w:rStyle w:val="FootnoteReference"/>
        </w:rPr>
        <w:footnoteRef/>
      </w:r>
      <w:r>
        <w:t xml:space="preserve"> </w:t>
      </w:r>
      <w:r w:rsidR="00853F03">
        <w:t>HL Deb 22</w:t>
      </w:r>
      <w:r w:rsidR="00853F03">
        <w:rPr>
          <w:vertAlign w:val="superscript"/>
        </w:rPr>
        <w:t xml:space="preserve"> </w:t>
      </w:r>
      <w:r w:rsidR="00853F03">
        <w:t>February 2023</w:t>
      </w:r>
      <w:r w:rsidR="00F03C9A">
        <w:t>,</w:t>
      </w:r>
      <w:r w:rsidR="00853F03">
        <w:t xml:space="preserve"> vol 82</w:t>
      </w:r>
      <w:r w:rsidR="00F03C9A">
        <w:t>7,</w:t>
      </w:r>
      <w:r w:rsidR="00853F03">
        <w:t xml:space="preserve"> col</w:t>
      </w:r>
      <w:r w:rsidR="00F03C9A">
        <w:t>s</w:t>
      </w:r>
      <w:r w:rsidR="00853F03">
        <w:t xml:space="preserve"> 1724</w:t>
      </w:r>
      <w:r w:rsidR="00F03C9A">
        <w:t>-1731.</w:t>
      </w:r>
    </w:p>
  </w:footnote>
  <w:footnote w:id="36">
    <w:p w14:paraId="41B449F5" w14:textId="5FC29D89" w:rsidR="007C1DD7" w:rsidRPr="00DF3BAC" w:rsidRDefault="00273FFD" w:rsidP="007C1DD7">
      <w:pPr>
        <w:pStyle w:val="FootnoteText"/>
      </w:pPr>
      <w:r w:rsidRPr="00DF3BAC">
        <w:rPr>
          <w:rStyle w:val="FootnoteReference"/>
        </w:rPr>
        <w:footnoteRef/>
      </w:r>
      <w:r w:rsidRPr="00DF3BAC">
        <w:t xml:space="preserve"> BBC News, ‘Partners to be quizzed in new gun licence screening’ </w:t>
      </w:r>
      <w:r w:rsidR="00B13A25">
        <w:t>(</w:t>
      </w:r>
      <w:r w:rsidRPr="00DF3BAC">
        <w:t>9</w:t>
      </w:r>
      <w:r w:rsidR="00B13A25">
        <w:rPr>
          <w:vertAlign w:val="superscript"/>
        </w:rPr>
        <w:t xml:space="preserve"> </w:t>
      </w:r>
      <w:r w:rsidRPr="00DF3BAC">
        <w:t>April 2024</w:t>
      </w:r>
      <w:r w:rsidR="00B13A25">
        <w:t>)</w:t>
      </w:r>
      <w:r w:rsidR="007C1DD7" w:rsidRPr="00DF3BAC">
        <w:t>.</w:t>
      </w:r>
    </w:p>
  </w:footnote>
  <w:footnote w:id="37">
    <w:p w14:paraId="48B2077E" w14:textId="6DB04156" w:rsidR="001866D0" w:rsidRPr="00DF3BAC" w:rsidRDefault="001866D0" w:rsidP="001866D0">
      <w:pPr>
        <w:pStyle w:val="FootnoteText"/>
      </w:pPr>
      <w:r w:rsidRPr="00DF3BAC">
        <w:rPr>
          <w:rStyle w:val="FootnoteReference"/>
        </w:rPr>
        <w:footnoteRef/>
      </w:r>
      <w:r w:rsidRPr="00DF3BAC">
        <w:t xml:space="preserve"> </w:t>
      </w:r>
      <w:proofErr w:type="spellStart"/>
      <w:r w:rsidRPr="00DF3BAC">
        <w:rPr>
          <w:rFonts w:cstheme="minorHAnsi"/>
          <w:i/>
          <w:iCs/>
        </w:rPr>
        <w:t>Woolmington</w:t>
      </w:r>
      <w:proofErr w:type="spellEnd"/>
      <w:r w:rsidRPr="00DF3BAC">
        <w:rPr>
          <w:rFonts w:cstheme="minorHAnsi"/>
          <w:i/>
          <w:iCs/>
        </w:rPr>
        <w:t xml:space="preserve"> </w:t>
      </w:r>
      <w:r w:rsidR="00D733F5" w:rsidRPr="00DF3BAC">
        <w:rPr>
          <w:rFonts w:cstheme="minorHAnsi"/>
          <w:shd w:val="clear" w:color="auto" w:fill="FFFFFF"/>
        </w:rPr>
        <w:t>(n</w:t>
      </w:r>
      <w:r w:rsidR="00D852C6">
        <w:rPr>
          <w:rFonts w:cstheme="minorHAnsi"/>
          <w:shd w:val="clear" w:color="auto" w:fill="FFFFFF"/>
        </w:rPr>
        <w:t xml:space="preserve"> </w:t>
      </w:r>
      <w:r w:rsidR="00D733F5" w:rsidRPr="00DF3BAC">
        <w:rPr>
          <w:rFonts w:cstheme="minorHAnsi"/>
          <w:shd w:val="clear" w:color="auto" w:fill="FFFFFF"/>
        </w:rPr>
        <w:t xml:space="preserve">1) at </w:t>
      </w:r>
      <w:r w:rsidRPr="00DF3BAC">
        <w:rPr>
          <w:rFonts w:cstheme="minorHAnsi"/>
          <w:shd w:val="clear" w:color="auto" w:fill="FFFFFF"/>
        </w:rPr>
        <w:t>463.</w:t>
      </w:r>
    </w:p>
  </w:footnote>
  <w:footnote w:id="38">
    <w:p w14:paraId="2136B534" w14:textId="48226C1B" w:rsidR="005F59AF" w:rsidRPr="00DF3BAC" w:rsidRDefault="005F59AF" w:rsidP="005F59AF">
      <w:pPr>
        <w:pStyle w:val="FootnoteText"/>
      </w:pPr>
      <w:r w:rsidRPr="00DF3BAC">
        <w:rPr>
          <w:rStyle w:val="FootnoteReference"/>
        </w:rPr>
        <w:footnoteRef/>
      </w:r>
      <w:r w:rsidRPr="00DF3BAC">
        <w:t xml:space="preserve"> Ibid at 464</w:t>
      </w:r>
      <w:r w:rsidR="00D733F5" w:rsidRPr="00DF3BAC">
        <w:t>.</w:t>
      </w:r>
      <w:r w:rsidRPr="00DF3BAC">
        <w:t xml:space="preserve"> </w:t>
      </w:r>
    </w:p>
  </w:footnote>
  <w:footnote w:id="39">
    <w:p w14:paraId="2EBEE23A" w14:textId="60023E06" w:rsidR="00B1457C" w:rsidRPr="00DF3BAC" w:rsidRDefault="00B1457C">
      <w:pPr>
        <w:pStyle w:val="FootnoteText"/>
      </w:pPr>
      <w:r w:rsidRPr="00DF3BAC">
        <w:rPr>
          <w:rStyle w:val="FootnoteReference"/>
        </w:rPr>
        <w:footnoteRef/>
      </w:r>
      <w:r w:rsidRPr="00DF3BAC">
        <w:t xml:space="preserve"> </w:t>
      </w:r>
      <w:r w:rsidR="009347C3" w:rsidRPr="00DF3BAC">
        <w:t>Ibid at 463</w:t>
      </w:r>
      <w:r w:rsidR="00D733F5" w:rsidRPr="00DF3BAC">
        <w:t>.</w:t>
      </w:r>
    </w:p>
  </w:footnote>
  <w:footnote w:id="40">
    <w:p w14:paraId="3CDC9125" w14:textId="5112669D" w:rsidR="009347C3" w:rsidRPr="00D733F5" w:rsidRDefault="009347C3" w:rsidP="009347C3">
      <w:pPr>
        <w:pStyle w:val="FootnoteText"/>
      </w:pPr>
      <w:r>
        <w:rPr>
          <w:rStyle w:val="FootnoteReference"/>
        </w:rPr>
        <w:footnoteRef/>
      </w:r>
      <w:r w:rsidRPr="00D733F5">
        <w:t xml:space="preserve"> Ibid at 470</w:t>
      </w:r>
      <w:r w:rsidR="00D733F5" w:rsidRPr="00D733F5">
        <w:t>.</w:t>
      </w:r>
    </w:p>
  </w:footnote>
  <w:footnote w:id="41">
    <w:p w14:paraId="22CF365C" w14:textId="311B7CDE" w:rsidR="00CA6D6F" w:rsidRDefault="00CA6D6F">
      <w:pPr>
        <w:pStyle w:val="FootnoteText"/>
      </w:pPr>
      <w:r>
        <w:rPr>
          <w:rStyle w:val="FootnoteReference"/>
        </w:rPr>
        <w:footnoteRef/>
      </w:r>
      <w:r>
        <w:t xml:space="preserve"> </w:t>
      </w:r>
      <w:r w:rsidR="00BB2BCF" w:rsidRPr="00DF3BAC">
        <w:rPr>
          <w:rFonts w:cstheme="minorHAnsi"/>
        </w:rPr>
        <w:t>Battered Women’s Support Services</w:t>
      </w:r>
      <w:r w:rsidR="007F0BCC">
        <w:rPr>
          <w:rFonts w:cstheme="minorHAnsi"/>
        </w:rPr>
        <w:t xml:space="preserve"> (n 25)</w:t>
      </w:r>
      <w:r w:rsidR="00D852C6">
        <w:rPr>
          <w:rFonts w:cstheme="minorHAnsi"/>
        </w:rPr>
        <w:t>.</w:t>
      </w:r>
    </w:p>
  </w:footnote>
  <w:footnote w:id="42">
    <w:p w14:paraId="0D199641" w14:textId="06920F84" w:rsidR="00CF3337" w:rsidRDefault="00CF3337" w:rsidP="00CF3337">
      <w:pPr>
        <w:pStyle w:val="FootnoteText"/>
      </w:pPr>
      <w:r w:rsidRPr="00A37133">
        <w:rPr>
          <w:rStyle w:val="FootnoteReference"/>
          <w:rFonts w:cstheme="minorHAnsi"/>
        </w:rPr>
        <w:footnoteRef/>
      </w:r>
      <w:r w:rsidRPr="00A37133">
        <w:rPr>
          <w:rFonts w:cstheme="minorHAnsi"/>
        </w:rPr>
        <w:t xml:space="preserve"> </w:t>
      </w:r>
      <w:r w:rsidRPr="00A37133">
        <w:rPr>
          <w:rFonts w:cstheme="minorHAnsi"/>
          <w:color w:val="333333"/>
          <w:shd w:val="clear" w:color="auto" w:fill="FFFFFF"/>
        </w:rPr>
        <w:t xml:space="preserve">The </w:t>
      </w:r>
      <w:r w:rsidRPr="00A37133">
        <w:rPr>
          <w:rFonts w:cstheme="minorHAnsi"/>
          <w:color w:val="000000"/>
          <w:shd w:val="clear" w:color="auto" w:fill="FBFBFB"/>
        </w:rPr>
        <w:t>Sex Disqualification (Removal) Act 1919 allowed for women to serve on a jury.</w:t>
      </w:r>
      <w:r>
        <w:rPr>
          <w:rFonts w:cstheme="minorHAnsi"/>
          <w:color w:val="000000"/>
          <w:sz w:val="24"/>
          <w:szCs w:val="24"/>
          <w:shd w:val="clear" w:color="auto" w:fill="FBFBFB"/>
        </w:rPr>
        <w:t xml:space="preserve"> </w:t>
      </w:r>
      <w:r>
        <w:rPr>
          <w:rFonts w:cstheme="minorHAnsi"/>
          <w:color w:val="333333"/>
          <w:sz w:val="24"/>
          <w:szCs w:val="24"/>
          <w:shd w:val="clear" w:color="auto" w:fill="FFFFFF"/>
        </w:rPr>
        <w:t xml:space="preserve"> </w:t>
      </w:r>
    </w:p>
  </w:footnote>
  <w:footnote w:id="43">
    <w:p w14:paraId="1C656146" w14:textId="6A701433" w:rsidR="00400361" w:rsidRDefault="00400361">
      <w:pPr>
        <w:pStyle w:val="FootnoteText"/>
      </w:pPr>
      <w:r>
        <w:rPr>
          <w:rStyle w:val="FootnoteReference"/>
        </w:rPr>
        <w:footnoteRef/>
      </w:r>
      <w:r>
        <w:t xml:space="preserve"> </w:t>
      </w:r>
      <w:r w:rsidRPr="00630D08">
        <w:rPr>
          <w:rFonts w:cstheme="minorHAnsi"/>
          <w:color w:val="000000"/>
        </w:rPr>
        <w:t>Criminal Procedure and Investigations Act 1996</w:t>
      </w:r>
      <w:r w:rsidR="00D852C6">
        <w:rPr>
          <w:rFonts w:cstheme="minorHAnsi"/>
          <w:color w:val="000000"/>
        </w:rPr>
        <w:t>, s 6A</w:t>
      </w:r>
      <w:r w:rsidRPr="00630D08">
        <w:rPr>
          <w:rFonts w:cstheme="minorHAnsi"/>
          <w:color w:val="000000"/>
        </w:rPr>
        <w:t>.</w:t>
      </w:r>
    </w:p>
  </w:footnote>
  <w:footnote w:id="44">
    <w:p w14:paraId="29A5E5BA" w14:textId="30FE7CE8" w:rsidR="00CF3337" w:rsidRPr="00D44651" w:rsidRDefault="00CF3337" w:rsidP="00CF3337">
      <w:pPr>
        <w:pStyle w:val="FootnoteText"/>
      </w:pPr>
      <w:r>
        <w:rPr>
          <w:rStyle w:val="FootnoteReference"/>
        </w:rPr>
        <w:footnoteRef/>
      </w:r>
      <w:r>
        <w:t xml:space="preserve"> </w:t>
      </w:r>
      <w:proofErr w:type="spellStart"/>
      <w:r w:rsidRPr="00043BF9">
        <w:rPr>
          <w:rFonts w:cstheme="minorHAnsi"/>
          <w:i/>
          <w:iCs/>
          <w:color w:val="333333"/>
        </w:rPr>
        <w:t>Woolmington</w:t>
      </w:r>
      <w:proofErr w:type="spellEnd"/>
      <w:r w:rsidRPr="00043BF9">
        <w:rPr>
          <w:rFonts w:cstheme="minorHAnsi"/>
          <w:i/>
          <w:iCs/>
          <w:color w:val="333333"/>
        </w:rPr>
        <w:t xml:space="preserve"> </w:t>
      </w:r>
      <w:r w:rsidR="00DE0903">
        <w:rPr>
          <w:rFonts w:cstheme="minorHAnsi"/>
          <w:color w:val="333333"/>
          <w:shd w:val="clear" w:color="auto" w:fill="FFFFFF"/>
        </w:rPr>
        <w:t>(n</w:t>
      </w:r>
      <w:r w:rsidR="00D852C6">
        <w:rPr>
          <w:rFonts w:cstheme="minorHAnsi"/>
          <w:color w:val="333333"/>
          <w:shd w:val="clear" w:color="auto" w:fill="FFFFFF"/>
        </w:rPr>
        <w:t xml:space="preserve"> </w:t>
      </w:r>
      <w:r w:rsidR="00DE0903">
        <w:rPr>
          <w:rFonts w:cstheme="minorHAnsi"/>
          <w:color w:val="333333"/>
          <w:shd w:val="clear" w:color="auto" w:fill="FFFFFF"/>
        </w:rPr>
        <w:t>1)</w:t>
      </w:r>
      <w:r w:rsidR="000977BB">
        <w:rPr>
          <w:rFonts w:cstheme="minorHAnsi"/>
          <w:color w:val="333333"/>
          <w:shd w:val="clear" w:color="auto" w:fill="FFFFFF"/>
        </w:rPr>
        <w:t xml:space="preserve"> </w:t>
      </w:r>
      <w:r w:rsidR="00D852C6">
        <w:rPr>
          <w:rFonts w:cstheme="minorHAnsi"/>
          <w:color w:val="333333"/>
          <w:shd w:val="clear" w:color="auto" w:fill="FFFFFF"/>
        </w:rPr>
        <w:t xml:space="preserve">at </w:t>
      </w:r>
      <w:r w:rsidRPr="00043BF9">
        <w:rPr>
          <w:rFonts w:cstheme="minorHAnsi"/>
          <w:color w:val="333333"/>
          <w:shd w:val="clear" w:color="auto" w:fill="FFFFFF"/>
        </w:rPr>
        <w:t>46</w:t>
      </w:r>
      <w:r w:rsidR="000977BB">
        <w:rPr>
          <w:rFonts w:cstheme="minorHAnsi"/>
          <w:color w:val="333333"/>
          <w:shd w:val="clear" w:color="auto" w:fill="FFFFFF"/>
        </w:rPr>
        <w:t>6.</w:t>
      </w:r>
    </w:p>
  </w:footnote>
  <w:footnote w:id="45">
    <w:p w14:paraId="10C18F96" w14:textId="7523C7F4" w:rsidR="009E525B" w:rsidRPr="00D44651" w:rsidRDefault="009E525B" w:rsidP="009E525B">
      <w:pPr>
        <w:pStyle w:val="FootnoteText"/>
      </w:pPr>
      <w:r w:rsidRPr="00D44651">
        <w:rPr>
          <w:rStyle w:val="FootnoteReference"/>
        </w:rPr>
        <w:footnoteRef/>
      </w:r>
      <w:r w:rsidRPr="00D44651">
        <w:t xml:space="preserve"> Shani D’Cruze, ‘Intimacy, Professionalism and Domestic Homicide in Interwar Britain: The </w:t>
      </w:r>
      <w:r w:rsidR="00D852C6">
        <w:t>C</w:t>
      </w:r>
      <w:r w:rsidRPr="00D44651">
        <w:t>ase of Buck Ruxton’</w:t>
      </w:r>
      <w:r>
        <w:t xml:space="preserve"> </w:t>
      </w:r>
      <w:r w:rsidR="005743C0">
        <w:t>(</w:t>
      </w:r>
      <w:r>
        <w:t>2007</w:t>
      </w:r>
      <w:r w:rsidR="005743C0">
        <w:t>)</w:t>
      </w:r>
      <w:r>
        <w:t xml:space="preserve"> </w:t>
      </w:r>
      <w:r w:rsidR="005743C0" w:rsidRPr="00D44651">
        <w:t>16</w:t>
      </w:r>
      <w:r w:rsidR="005743C0">
        <w:t xml:space="preserve"> </w:t>
      </w:r>
      <w:r w:rsidRPr="00A905B9">
        <w:rPr>
          <w:i/>
          <w:iCs/>
        </w:rPr>
        <w:t>Women’s History Review</w:t>
      </w:r>
      <w:r>
        <w:t xml:space="preserve"> </w:t>
      </w:r>
      <w:r w:rsidR="005743C0">
        <w:t>7</w:t>
      </w:r>
      <w:r w:rsidRPr="00D44651">
        <w:t>01</w:t>
      </w:r>
      <w:r w:rsidR="005743C0">
        <w:t>, 706.</w:t>
      </w:r>
      <w:r w:rsidRPr="00D44651">
        <w:t xml:space="preserve"> </w:t>
      </w:r>
    </w:p>
  </w:footnote>
  <w:footnote w:id="46">
    <w:p w14:paraId="596D50A6" w14:textId="0D5414D7" w:rsidR="000977BB" w:rsidRDefault="000977BB">
      <w:pPr>
        <w:pStyle w:val="FootnoteText"/>
      </w:pPr>
      <w:r>
        <w:rPr>
          <w:rStyle w:val="FootnoteReference"/>
        </w:rPr>
        <w:footnoteRef/>
      </w:r>
      <w:r>
        <w:t xml:space="preserve"> </w:t>
      </w:r>
      <w:proofErr w:type="spellStart"/>
      <w:r w:rsidRPr="00043BF9">
        <w:rPr>
          <w:rFonts w:cstheme="minorHAnsi"/>
          <w:i/>
          <w:iCs/>
          <w:color w:val="333333"/>
        </w:rPr>
        <w:t>Woolmington</w:t>
      </w:r>
      <w:proofErr w:type="spellEnd"/>
      <w:r w:rsidRPr="00043BF9">
        <w:rPr>
          <w:rFonts w:cstheme="minorHAnsi"/>
          <w:i/>
          <w:iCs/>
          <w:color w:val="333333"/>
        </w:rPr>
        <w:t xml:space="preserve"> </w:t>
      </w:r>
      <w:r>
        <w:rPr>
          <w:rFonts w:cstheme="minorHAnsi"/>
          <w:color w:val="333333"/>
          <w:shd w:val="clear" w:color="auto" w:fill="FFFFFF"/>
        </w:rPr>
        <w:t>(n</w:t>
      </w:r>
      <w:r w:rsidR="00D852C6">
        <w:rPr>
          <w:rFonts w:cstheme="minorHAnsi"/>
          <w:color w:val="333333"/>
          <w:shd w:val="clear" w:color="auto" w:fill="FFFFFF"/>
        </w:rPr>
        <w:t xml:space="preserve"> </w:t>
      </w:r>
      <w:r>
        <w:rPr>
          <w:rFonts w:cstheme="minorHAnsi"/>
          <w:color w:val="333333"/>
          <w:shd w:val="clear" w:color="auto" w:fill="FFFFFF"/>
        </w:rPr>
        <w:t xml:space="preserve">1) </w:t>
      </w:r>
      <w:r w:rsidR="00D852C6">
        <w:rPr>
          <w:rFonts w:cstheme="minorHAnsi"/>
          <w:color w:val="333333"/>
          <w:shd w:val="clear" w:color="auto" w:fill="FFFFFF"/>
        </w:rPr>
        <w:t xml:space="preserve">at </w:t>
      </w:r>
      <w:r>
        <w:rPr>
          <w:rFonts w:cstheme="minorHAnsi"/>
          <w:color w:val="333333"/>
          <w:shd w:val="clear" w:color="auto" w:fill="FFFFFF"/>
        </w:rPr>
        <w:t>462.</w:t>
      </w:r>
    </w:p>
  </w:footnote>
  <w:footnote w:id="47">
    <w:p w14:paraId="7B061825" w14:textId="1A4ADC4B" w:rsidR="00300801" w:rsidRDefault="00300801">
      <w:pPr>
        <w:pStyle w:val="FootnoteText"/>
      </w:pPr>
      <w:r>
        <w:rPr>
          <w:rStyle w:val="FootnoteReference"/>
        </w:rPr>
        <w:footnoteRef/>
      </w:r>
      <w:r>
        <w:t xml:space="preserve"> Ibid.</w:t>
      </w:r>
    </w:p>
  </w:footnote>
  <w:footnote w:id="48">
    <w:p w14:paraId="0DD39AB0" w14:textId="2766F6B3" w:rsidR="00C0616E" w:rsidRDefault="00C0616E">
      <w:pPr>
        <w:pStyle w:val="FootnoteText"/>
      </w:pPr>
      <w:r>
        <w:rPr>
          <w:rStyle w:val="FootnoteReference"/>
        </w:rPr>
        <w:footnoteRef/>
      </w:r>
      <w:r>
        <w:t xml:space="preserve"> </w:t>
      </w:r>
      <w:r w:rsidRPr="00DF3BAC">
        <w:rPr>
          <w:rFonts w:cstheme="minorHAnsi"/>
          <w:shd w:val="clear" w:color="auto" w:fill="FFFFFF"/>
        </w:rPr>
        <w:t>Glover (n</w:t>
      </w:r>
      <w:r w:rsidR="00051A89">
        <w:rPr>
          <w:rFonts w:cstheme="minorHAnsi"/>
          <w:shd w:val="clear" w:color="auto" w:fill="FFFFFF"/>
        </w:rPr>
        <w:t xml:space="preserve"> </w:t>
      </w:r>
      <w:r w:rsidRPr="00DF3BAC">
        <w:rPr>
          <w:rFonts w:cstheme="minorHAnsi"/>
          <w:shd w:val="clear" w:color="auto" w:fill="FFFFFF"/>
        </w:rPr>
        <w:t xml:space="preserve">2) </w:t>
      </w:r>
      <w:r>
        <w:rPr>
          <w:rFonts w:cstheme="minorHAnsi"/>
          <w:shd w:val="clear" w:color="auto" w:fill="FFFFFF"/>
        </w:rPr>
        <w:t>79</w:t>
      </w:r>
      <w:r w:rsidR="00755C00">
        <w:rPr>
          <w:rFonts w:cstheme="minorHAnsi"/>
          <w:shd w:val="clear" w:color="auto" w:fill="FFFFFF"/>
        </w:rPr>
        <w:t>.</w:t>
      </w:r>
    </w:p>
  </w:footnote>
  <w:footnote w:id="49">
    <w:p w14:paraId="2DD5EA37" w14:textId="438CC382" w:rsidR="00107FB9" w:rsidRDefault="00107FB9" w:rsidP="00107FB9">
      <w:pPr>
        <w:pStyle w:val="FootnoteText"/>
      </w:pPr>
      <w:r>
        <w:rPr>
          <w:rStyle w:val="FootnoteReference"/>
        </w:rPr>
        <w:footnoteRef/>
      </w:r>
      <w:r>
        <w:t xml:space="preserve"> </w:t>
      </w:r>
      <w:r w:rsidR="004808C7">
        <w:t>I</w:t>
      </w:r>
      <w:r w:rsidR="004808C7" w:rsidRPr="004808C7">
        <w:t xml:space="preserve">n order to pass the </w:t>
      </w:r>
      <w:r w:rsidR="004808C7">
        <w:t>(then) controversial Criminal Appeal Act 2007</w:t>
      </w:r>
      <w:r w:rsidR="004808C7" w:rsidRPr="004808C7">
        <w:t xml:space="preserve">, the Government </w:t>
      </w:r>
      <w:r w:rsidR="004808C7">
        <w:t xml:space="preserve">of the time was forced to remove its provision </w:t>
      </w:r>
      <w:r w:rsidR="00CD49C6">
        <w:t>which would have allowed</w:t>
      </w:r>
      <w:r w:rsidR="004808C7">
        <w:t xml:space="preserve"> a retrial based on a misdirection. </w:t>
      </w:r>
    </w:p>
  </w:footnote>
  <w:footnote w:id="50">
    <w:p w14:paraId="5F56DD3B" w14:textId="3412FDAE" w:rsidR="00755C00" w:rsidRDefault="00755C00">
      <w:pPr>
        <w:pStyle w:val="FootnoteText"/>
      </w:pPr>
      <w:r>
        <w:rPr>
          <w:rStyle w:val="FootnoteReference"/>
        </w:rPr>
        <w:footnoteRef/>
      </w:r>
      <w:r>
        <w:t xml:space="preserve"> </w:t>
      </w:r>
      <w:r w:rsidRPr="00DF3BAC">
        <w:rPr>
          <w:rFonts w:cstheme="minorHAnsi"/>
          <w:shd w:val="clear" w:color="auto" w:fill="FFFFFF"/>
        </w:rPr>
        <w:t>Glover (n</w:t>
      </w:r>
      <w:r w:rsidR="00051A89">
        <w:rPr>
          <w:rFonts w:cstheme="minorHAnsi"/>
          <w:shd w:val="clear" w:color="auto" w:fill="FFFFFF"/>
        </w:rPr>
        <w:t xml:space="preserve"> </w:t>
      </w:r>
      <w:r w:rsidRPr="00DF3BAC">
        <w:rPr>
          <w:rFonts w:cstheme="minorHAnsi"/>
          <w:shd w:val="clear" w:color="auto" w:fill="FFFFFF"/>
        </w:rPr>
        <w:t xml:space="preserve">2) </w:t>
      </w:r>
      <w:r>
        <w:rPr>
          <w:rFonts w:cstheme="minorHAnsi"/>
          <w:shd w:val="clear" w:color="auto" w:fill="FFFFFF"/>
        </w:rPr>
        <w:t>88.</w:t>
      </w:r>
    </w:p>
  </w:footnote>
  <w:footnote w:id="51">
    <w:p w14:paraId="3E19776F" w14:textId="579ACF15" w:rsidR="00B13A79" w:rsidRDefault="00B13A79">
      <w:pPr>
        <w:pStyle w:val="FootnoteText"/>
      </w:pPr>
      <w:r>
        <w:rPr>
          <w:rStyle w:val="FootnoteReference"/>
        </w:rPr>
        <w:footnoteRef/>
      </w:r>
      <w:r>
        <w:t xml:space="preserve"> </w:t>
      </w:r>
      <w:proofErr w:type="spellStart"/>
      <w:r w:rsidRPr="00BB2EF8">
        <w:rPr>
          <w:rFonts w:cstheme="minorHAnsi"/>
          <w:i/>
          <w:iCs/>
          <w:color w:val="333333"/>
        </w:rPr>
        <w:t>Woolmington</w:t>
      </w:r>
      <w:proofErr w:type="spellEnd"/>
      <w:r>
        <w:rPr>
          <w:rFonts w:cstheme="minorHAnsi"/>
          <w:color w:val="333333"/>
        </w:rPr>
        <w:t xml:space="preserve"> (</w:t>
      </w:r>
      <w:r w:rsidRPr="00B13A79">
        <w:rPr>
          <w:rFonts w:cstheme="minorHAnsi"/>
          <w:color w:val="333333"/>
        </w:rPr>
        <w:t>n</w:t>
      </w:r>
      <w:r w:rsidR="00051A89">
        <w:rPr>
          <w:rFonts w:cstheme="minorHAnsi"/>
          <w:color w:val="333333"/>
        </w:rPr>
        <w:t xml:space="preserve"> </w:t>
      </w:r>
      <w:r w:rsidRPr="00B13A79">
        <w:rPr>
          <w:rFonts w:cstheme="minorHAnsi"/>
          <w:color w:val="333333"/>
        </w:rPr>
        <w:t>1)</w:t>
      </w:r>
      <w:r>
        <w:rPr>
          <w:rFonts w:cstheme="minorHAnsi"/>
          <w:color w:val="333333"/>
        </w:rPr>
        <w:t>.</w:t>
      </w:r>
    </w:p>
  </w:footnote>
  <w:footnote w:id="52">
    <w:p w14:paraId="38820F4A" w14:textId="538CBE40" w:rsidR="00C2670E" w:rsidRDefault="00C2670E">
      <w:pPr>
        <w:pStyle w:val="FootnoteText"/>
      </w:pPr>
      <w:r>
        <w:rPr>
          <w:rStyle w:val="FootnoteReference"/>
        </w:rPr>
        <w:footnoteRef/>
      </w:r>
      <w:r>
        <w:t xml:space="preserve"> </w:t>
      </w:r>
      <w:r w:rsidRPr="00035C04">
        <w:rPr>
          <w:rFonts w:cstheme="minorHAnsi"/>
          <w:color w:val="333333"/>
          <w:shd w:val="clear" w:color="auto" w:fill="FFFFFF"/>
        </w:rPr>
        <w:t>On 7 June 1935, Stanley Baldwin was appointed Prime Minister, and in his cabinet reshuffle, Sankey was demoted.</w:t>
      </w:r>
    </w:p>
  </w:footnote>
  <w:footnote w:id="53">
    <w:p w14:paraId="768E98CF" w14:textId="596B6EFF" w:rsidR="00C2670E" w:rsidRDefault="00C2670E" w:rsidP="00CD3CD1">
      <w:pPr>
        <w:pStyle w:val="FootnoteText"/>
      </w:pPr>
      <w:r>
        <w:rPr>
          <w:rStyle w:val="FootnoteReference"/>
        </w:rPr>
        <w:footnoteRef/>
      </w:r>
      <w:r w:rsidR="00051A89">
        <w:t xml:space="preserve"> </w:t>
      </w:r>
      <w:r w:rsidR="00C46A4E">
        <w:t xml:space="preserve">Myhill (n 13) </w:t>
      </w:r>
      <w:r w:rsidR="0062587D">
        <w:t>871.</w:t>
      </w:r>
      <w:r w:rsidRPr="00727506">
        <w:t xml:space="preserve"> </w:t>
      </w:r>
    </w:p>
  </w:footnote>
  <w:footnote w:id="54">
    <w:p w14:paraId="548D9C91" w14:textId="3E3A218D" w:rsidR="00322067" w:rsidRDefault="00322067">
      <w:pPr>
        <w:pStyle w:val="FootnoteText"/>
      </w:pPr>
      <w:r>
        <w:rPr>
          <w:rStyle w:val="FootnoteReference"/>
        </w:rPr>
        <w:footnoteRef/>
      </w:r>
      <w:r>
        <w:t xml:space="preserve"> Ibid</w:t>
      </w:r>
      <w:r w:rsidR="00481BF3">
        <w:t>, 870.</w:t>
      </w:r>
    </w:p>
  </w:footnote>
  <w:footnote w:id="55">
    <w:p w14:paraId="15735581" w14:textId="6587FC8B" w:rsidR="00D1224A" w:rsidRDefault="00D1224A">
      <w:pPr>
        <w:pStyle w:val="FootnoteText"/>
      </w:pPr>
      <w:r>
        <w:rPr>
          <w:rStyle w:val="FootnoteReference"/>
        </w:rPr>
        <w:footnoteRef/>
      </w:r>
      <w:r>
        <w:t xml:space="preserve"> </w:t>
      </w:r>
      <w:r w:rsidR="00481BF3">
        <w:t>Ibid.</w:t>
      </w:r>
    </w:p>
  </w:footnote>
  <w:footnote w:id="56">
    <w:p w14:paraId="5DFF8242" w14:textId="098E0D00" w:rsidR="00322067" w:rsidRDefault="00322067">
      <w:pPr>
        <w:pStyle w:val="FootnoteText"/>
      </w:pPr>
      <w:r>
        <w:rPr>
          <w:rStyle w:val="FootnoteReference"/>
        </w:rPr>
        <w:footnoteRef/>
      </w:r>
      <w:r>
        <w:t xml:space="preserve"> </w:t>
      </w:r>
      <w:r w:rsidR="00D1224A" w:rsidRPr="007B6858">
        <w:t>Spearman</w:t>
      </w:r>
      <w:r w:rsidR="00C46A4E">
        <w:t xml:space="preserve"> (n</w:t>
      </w:r>
      <w:r w:rsidR="00051A89">
        <w:t xml:space="preserve"> </w:t>
      </w:r>
      <w:r w:rsidR="00C46A4E">
        <w:t>26).</w:t>
      </w:r>
    </w:p>
  </w:footnote>
  <w:footnote w:id="57">
    <w:p w14:paraId="710E87B9" w14:textId="29955CBE" w:rsidR="0062587D" w:rsidRDefault="0062587D">
      <w:pPr>
        <w:pStyle w:val="FootnoteText"/>
      </w:pPr>
      <w:r>
        <w:rPr>
          <w:rStyle w:val="FootnoteReference"/>
        </w:rPr>
        <w:footnoteRef/>
      </w:r>
      <w:r>
        <w:t xml:space="preserve"> </w:t>
      </w:r>
      <w:r w:rsidRPr="00415D82">
        <w:rPr>
          <w:rFonts w:cstheme="minorHAnsi"/>
          <w:color w:val="333333"/>
          <w:shd w:val="clear" w:color="auto" w:fill="FFFFFF"/>
        </w:rPr>
        <w:t xml:space="preserve">Glover </w:t>
      </w:r>
      <w:r>
        <w:rPr>
          <w:rFonts w:cstheme="minorHAnsi"/>
          <w:color w:val="333333"/>
          <w:shd w:val="clear" w:color="auto" w:fill="FFFFFF"/>
        </w:rPr>
        <w:t>(n</w:t>
      </w:r>
      <w:r w:rsidR="00051A89">
        <w:rPr>
          <w:rFonts w:cstheme="minorHAnsi"/>
          <w:color w:val="333333"/>
          <w:shd w:val="clear" w:color="auto" w:fill="FFFFFF"/>
        </w:rPr>
        <w:t xml:space="preserve"> </w:t>
      </w:r>
      <w:r>
        <w:rPr>
          <w:rFonts w:cstheme="minorHAnsi"/>
          <w:color w:val="333333"/>
          <w:shd w:val="clear" w:color="auto" w:fill="FFFFFF"/>
        </w:rPr>
        <w:t>2) 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9A5C3" w14:textId="1FDBDACB" w:rsidR="00FF4E81" w:rsidRDefault="007A7853">
    <w:pPr>
      <w:pStyle w:val="Header"/>
    </w:pPr>
    <w:r>
      <w:t>Karen Dyer</w:t>
    </w:r>
    <w:r>
      <w:tab/>
    </w:r>
    <w:r>
      <w:tab/>
      <w:t xml:space="preserve">The Golden Thread of </w:t>
    </w:r>
    <w:proofErr w:type="spellStart"/>
    <w:r>
      <w:rPr>
        <w:i/>
        <w:iCs/>
      </w:rPr>
      <w:t>Woolmington</w:t>
    </w:r>
    <w:proofErr w:type="spellEnd"/>
  </w:p>
  <w:p w14:paraId="5A96419E" w14:textId="1FBFFB96" w:rsidR="007A7853" w:rsidRPr="007A7853" w:rsidRDefault="007A7853">
    <w:pPr>
      <w:pStyle w:val="Header"/>
    </w:pPr>
    <w: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512A4" w14:textId="1FA7549B" w:rsidR="00FF4E81" w:rsidRDefault="007A7853">
    <w:pPr>
      <w:pStyle w:val="Header"/>
    </w:pPr>
    <w:proofErr w:type="spellStart"/>
    <w:r>
      <w:rPr>
        <w:i/>
        <w:iCs/>
      </w:rPr>
      <w:t>feminists@law</w:t>
    </w:r>
    <w:proofErr w:type="spellEnd"/>
    <w:r>
      <w:tab/>
    </w:r>
    <w:r>
      <w:tab/>
      <w:t>Vol 13, No 2 (2025)</w:t>
    </w:r>
  </w:p>
  <w:p w14:paraId="5D380D44" w14:textId="74D7E843" w:rsidR="007A7853" w:rsidRPr="007A7853" w:rsidRDefault="007A7853">
    <w:pPr>
      <w:pStyle w:val="Header"/>
    </w:pPr>
    <w:r>
      <w:t>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4F1"/>
    <w:rsid w:val="00001EDE"/>
    <w:rsid w:val="000024E7"/>
    <w:rsid w:val="00005A41"/>
    <w:rsid w:val="00005DF7"/>
    <w:rsid w:val="0001395A"/>
    <w:rsid w:val="000172B8"/>
    <w:rsid w:val="00023135"/>
    <w:rsid w:val="000329BD"/>
    <w:rsid w:val="00033C86"/>
    <w:rsid w:val="00035C04"/>
    <w:rsid w:val="00036A49"/>
    <w:rsid w:val="00045DB0"/>
    <w:rsid w:val="00046020"/>
    <w:rsid w:val="00047E4B"/>
    <w:rsid w:val="00050326"/>
    <w:rsid w:val="00050A4A"/>
    <w:rsid w:val="00051A89"/>
    <w:rsid w:val="000677F8"/>
    <w:rsid w:val="00070C62"/>
    <w:rsid w:val="00073D4A"/>
    <w:rsid w:val="00074A99"/>
    <w:rsid w:val="0008675F"/>
    <w:rsid w:val="00090F2F"/>
    <w:rsid w:val="00094315"/>
    <w:rsid w:val="000977BB"/>
    <w:rsid w:val="000977CB"/>
    <w:rsid w:val="000A16D4"/>
    <w:rsid w:val="000B017F"/>
    <w:rsid w:val="000B42CF"/>
    <w:rsid w:val="000B771D"/>
    <w:rsid w:val="000B7E92"/>
    <w:rsid w:val="000D07A0"/>
    <w:rsid w:val="000D0F58"/>
    <w:rsid w:val="000D16C3"/>
    <w:rsid w:val="000E4580"/>
    <w:rsid w:val="000F1732"/>
    <w:rsid w:val="00100890"/>
    <w:rsid w:val="0010142A"/>
    <w:rsid w:val="0010582A"/>
    <w:rsid w:val="00107FB9"/>
    <w:rsid w:val="00110873"/>
    <w:rsid w:val="00110D37"/>
    <w:rsid w:val="0011225A"/>
    <w:rsid w:val="001126D8"/>
    <w:rsid w:val="00116585"/>
    <w:rsid w:val="0012085E"/>
    <w:rsid w:val="001372D4"/>
    <w:rsid w:val="001422B8"/>
    <w:rsid w:val="00151505"/>
    <w:rsid w:val="00151CD1"/>
    <w:rsid w:val="0015462F"/>
    <w:rsid w:val="001560FE"/>
    <w:rsid w:val="00156D63"/>
    <w:rsid w:val="00156EEC"/>
    <w:rsid w:val="0016792C"/>
    <w:rsid w:val="00172AE3"/>
    <w:rsid w:val="001760FF"/>
    <w:rsid w:val="00177D73"/>
    <w:rsid w:val="00182197"/>
    <w:rsid w:val="001866D0"/>
    <w:rsid w:val="00192345"/>
    <w:rsid w:val="001A1FBB"/>
    <w:rsid w:val="001A54B8"/>
    <w:rsid w:val="001A7118"/>
    <w:rsid w:val="001B31F3"/>
    <w:rsid w:val="001B3957"/>
    <w:rsid w:val="001B3CE6"/>
    <w:rsid w:val="001B4765"/>
    <w:rsid w:val="001B6101"/>
    <w:rsid w:val="001B6A00"/>
    <w:rsid w:val="001C3F23"/>
    <w:rsid w:val="001C44F5"/>
    <w:rsid w:val="001C7A73"/>
    <w:rsid w:val="001D15BA"/>
    <w:rsid w:val="001D1957"/>
    <w:rsid w:val="001D2754"/>
    <w:rsid w:val="001D7B52"/>
    <w:rsid w:val="001F4196"/>
    <w:rsid w:val="001F6CB9"/>
    <w:rsid w:val="0020455F"/>
    <w:rsid w:val="00204BA6"/>
    <w:rsid w:val="00207B6B"/>
    <w:rsid w:val="00212561"/>
    <w:rsid w:val="00216458"/>
    <w:rsid w:val="00227ACC"/>
    <w:rsid w:val="00227FF5"/>
    <w:rsid w:val="00233612"/>
    <w:rsid w:val="00235A3C"/>
    <w:rsid w:val="00240844"/>
    <w:rsid w:val="00241CCF"/>
    <w:rsid w:val="00242AF8"/>
    <w:rsid w:val="00245733"/>
    <w:rsid w:val="00252FAE"/>
    <w:rsid w:val="00260D58"/>
    <w:rsid w:val="00261701"/>
    <w:rsid w:val="00262F25"/>
    <w:rsid w:val="00273FFD"/>
    <w:rsid w:val="00275DBB"/>
    <w:rsid w:val="00280FB3"/>
    <w:rsid w:val="002822C5"/>
    <w:rsid w:val="00287599"/>
    <w:rsid w:val="00292216"/>
    <w:rsid w:val="002926D5"/>
    <w:rsid w:val="002A0A5B"/>
    <w:rsid w:val="002A35BC"/>
    <w:rsid w:val="002A5C63"/>
    <w:rsid w:val="002A6917"/>
    <w:rsid w:val="002B495F"/>
    <w:rsid w:val="002C46E6"/>
    <w:rsid w:val="002D178E"/>
    <w:rsid w:val="002E0A15"/>
    <w:rsid w:val="002E68F1"/>
    <w:rsid w:val="002F34F1"/>
    <w:rsid w:val="002F7AD8"/>
    <w:rsid w:val="002F7D13"/>
    <w:rsid w:val="00300801"/>
    <w:rsid w:val="00302332"/>
    <w:rsid w:val="00310136"/>
    <w:rsid w:val="00313647"/>
    <w:rsid w:val="00314182"/>
    <w:rsid w:val="0031489D"/>
    <w:rsid w:val="00322067"/>
    <w:rsid w:val="00327E2A"/>
    <w:rsid w:val="00333D1D"/>
    <w:rsid w:val="0033499E"/>
    <w:rsid w:val="00341668"/>
    <w:rsid w:val="00341973"/>
    <w:rsid w:val="00342AC6"/>
    <w:rsid w:val="00350AC8"/>
    <w:rsid w:val="00351941"/>
    <w:rsid w:val="003545E3"/>
    <w:rsid w:val="00354FD7"/>
    <w:rsid w:val="0037278B"/>
    <w:rsid w:val="00374F57"/>
    <w:rsid w:val="00384C28"/>
    <w:rsid w:val="00392439"/>
    <w:rsid w:val="00393F5A"/>
    <w:rsid w:val="0039446E"/>
    <w:rsid w:val="003A7C26"/>
    <w:rsid w:val="003A7D7C"/>
    <w:rsid w:val="003C15F2"/>
    <w:rsid w:val="003C4B18"/>
    <w:rsid w:val="003C79FE"/>
    <w:rsid w:val="003D3E40"/>
    <w:rsid w:val="003E2684"/>
    <w:rsid w:val="003E2E6B"/>
    <w:rsid w:val="003E5FA7"/>
    <w:rsid w:val="003F1744"/>
    <w:rsid w:val="003F6501"/>
    <w:rsid w:val="00400361"/>
    <w:rsid w:val="00405D0D"/>
    <w:rsid w:val="00410C68"/>
    <w:rsid w:val="00412DB9"/>
    <w:rsid w:val="004147EF"/>
    <w:rsid w:val="0041636B"/>
    <w:rsid w:val="00424C0E"/>
    <w:rsid w:val="004257C2"/>
    <w:rsid w:val="00426BC7"/>
    <w:rsid w:val="00432034"/>
    <w:rsid w:val="0043219F"/>
    <w:rsid w:val="00433E93"/>
    <w:rsid w:val="00437CA5"/>
    <w:rsid w:val="00440D48"/>
    <w:rsid w:val="004414D4"/>
    <w:rsid w:val="004436DB"/>
    <w:rsid w:val="0045210B"/>
    <w:rsid w:val="00454F05"/>
    <w:rsid w:val="00455B1A"/>
    <w:rsid w:val="00464757"/>
    <w:rsid w:val="004673CA"/>
    <w:rsid w:val="00470005"/>
    <w:rsid w:val="004752D8"/>
    <w:rsid w:val="00476159"/>
    <w:rsid w:val="00477172"/>
    <w:rsid w:val="004808C7"/>
    <w:rsid w:val="00480F57"/>
    <w:rsid w:val="00481BF3"/>
    <w:rsid w:val="004A1DF3"/>
    <w:rsid w:val="004A2265"/>
    <w:rsid w:val="004B0B55"/>
    <w:rsid w:val="004B721E"/>
    <w:rsid w:val="004C42C5"/>
    <w:rsid w:val="004C6E39"/>
    <w:rsid w:val="004D139A"/>
    <w:rsid w:val="004D2EA5"/>
    <w:rsid w:val="004D39FB"/>
    <w:rsid w:val="004D3B9E"/>
    <w:rsid w:val="004E074F"/>
    <w:rsid w:val="004E23B5"/>
    <w:rsid w:val="004E6168"/>
    <w:rsid w:val="004E7E3A"/>
    <w:rsid w:val="004F0E84"/>
    <w:rsid w:val="004F530C"/>
    <w:rsid w:val="004F5A9E"/>
    <w:rsid w:val="004F7E78"/>
    <w:rsid w:val="00510F8F"/>
    <w:rsid w:val="00511CD9"/>
    <w:rsid w:val="00514FEF"/>
    <w:rsid w:val="00522A41"/>
    <w:rsid w:val="00522DA2"/>
    <w:rsid w:val="005244CF"/>
    <w:rsid w:val="00525A4C"/>
    <w:rsid w:val="0052707F"/>
    <w:rsid w:val="005274B8"/>
    <w:rsid w:val="005331AA"/>
    <w:rsid w:val="00537282"/>
    <w:rsid w:val="0054129D"/>
    <w:rsid w:val="00546818"/>
    <w:rsid w:val="00552A15"/>
    <w:rsid w:val="005538FE"/>
    <w:rsid w:val="005567E1"/>
    <w:rsid w:val="00562B59"/>
    <w:rsid w:val="00571A89"/>
    <w:rsid w:val="005743C0"/>
    <w:rsid w:val="00593A67"/>
    <w:rsid w:val="005A0861"/>
    <w:rsid w:val="005A1870"/>
    <w:rsid w:val="005A3AA7"/>
    <w:rsid w:val="005A53F0"/>
    <w:rsid w:val="005A70CE"/>
    <w:rsid w:val="005A7360"/>
    <w:rsid w:val="005A77A1"/>
    <w:rsid w:val="005B594D"/>
    <w:rsid w:val="005C51CE"/>
    <w:rsid w:val="005C6D97"/>
    <w:rsid w:val="005D1C91"/>
    <w:rsid w:val="005E08FF"/>
    <w:rsid w:val="005E1417"/>
    <w:rsid w:val="005F2BB3"/>
    <w:rsid w:val="005F59AF"/>
    <w:rsid w:val="005F6428"/>
    <w:rsid w:val="00604597"/>
    <w:rsid w:val="0060763D"/>
    <w:rsid w:val="0061658A"/>
    <w:rsid w:val="0061716B"/>
    <w:rsid w:val="00623817"/>
    <w:rsid w:val="0062587D"/>
    <w:rsid w:val="00625986"/>
    <w:rsid w:val="00626592"/>
    <w:rsid w:val="00630D08"/>
    <w:rsid w:val="006322FC"/>
    <w:rsid w:val="00632408"/>
    <w:rsid w:val="006332CC"/>
    <w:rsid w:val="00634DBD"/>
    <w:rsid w:val="006417F6"/>
    <w:rsid w:val="00643FF0"/>
    <w:rsid w:val="00651BAB"/>
    <w:rsid w:val="00656DF0"/>
    <w:rsid w:val="00660BF3"/>
    <w:rsid w:val="0066605D"/>
    <w:rsid w:val="006665C3"/>
    <w:rsid w:val="00671B79"/>
    <w:rsid w:val="00683D19"/>
    <w:rsid w:val="00690BBE"/>
    <w:rsid w:val="00693EB4"/>
    <w:rsid w:val="00695062"/>
    <w:rsid w:val="006A2E55"/>
    <w:rsid w:val="006B0A9E"/>
    <w:rsid w:val="006B2BAD"/>
    <w:rsid w:val="006B5322"/>
    <w:rsid w:val="006C0536"/>
    <w:rsid w:val="006C0EF2"/>
    <w:rsid w:val="006C1600"/>
    <w:rsid w:val="006C22D3"/>
    <w:rsid w:val="006C6B6F"/>
    <w:rsid w:val="006D0573"/>
    <w:rsid w:val="006D2DE6"/>
    <w:rsid w:val="006D485A"/>
    <w:rsid w:val="006D4B41"/>
    <w:rsid w:val="006D7184"/>
    <w:rsid w:val="006F02BD"/>
    <w:rsid w:val="006F5483"/>
    <w:rsid w:val="007058BC"/>
    <w:rsid w:val="00717B84"/>
    <w:rsid w:val="007235C2"/>
    <w:rsid w:val="007242B7"/>
    <w:rsid w:val="00727506"/>
    <w:rsid w:val="00730D07"/>
    <w:rsid w:val="0073103A"/>
    <w:rsid w:val="00735482"/>
    <w:rsid w:val="00742FC6"/>
    <w:rsid w:val="00743386"/>
    <w:rsid w:val="0075215F"/>
    <w:rsid w:val="00753699"/>
    <w:rsid w:val="00754A35"/>
    <w:rsid w:val="00755C00"/>
    <w:rsid w:val="00765115"/>
    <w:rsid w:val="0077298C"/>
    <w:rsid w:val="0077311A"/>
    <w:rsid w:val="007762D6"/>
    <w:rsid w:val="007779A5"/>
    <w:rsid w:val="00777BFB"/>
    <w:rsid w:val="00784DAF"/>
    <w:rsid w:val="00791E7B"/>
    <w:rsid w:val="00794DE6"/>
    <w:rsid w:val="007A7853"/>
    <w:rsid w:val="007B6858"/>
    <w:rsid w:val="007C1DD7"/>
    <w:rsid w:val="007E334B"/>
    <w:rsid w:val="007F0BCC"/>
    <w:rsid w:val="007F3851"/>
    <w:rsid w:val="007F46AC"/>
    <w:rsid w:val="00802C3F"/>
    <w:rsid w:val="008107FA"/>
    <w:rsid w:val="00811C96"/>
    <w:rsid w:val="0083575B"/>
    <w:rsid w:val="00840E03"/>
    <w:rsid w:val="00850CB9"/>
    <w:rsid w:val="00853F03"/>
    <w:rsid w:val="00853F41"/>
    <w:rsid w:val="00856FB9"/>
    <w:rsid w:val="0086395E"/>
    <w:rsid w:val="008647E2"/>
    <w:rsid w:val="00872ED2"/>
    <w:rsid w:val="0087320D"/>
    <w:rsid w:val="008821E5"/>
    <w:rsid w:val="008846D4"/>
    <w:rsid w:val="008944E6"/>
    <w:rsid w:val="008B0FB7"/>
    <w:rsid w:val="008B5BE2"/>
    <w:rsid w:val="008C186E"/>
    <w:rsid w:val="008D3063"/>
    <w:rsid w:val="008D385B"/>
    <w:rsid w:val="008D388A"/>
    <w:rsid w:val="008D53CC"/>
    <w:rsid w:val="008E10C2"/>
    <w:rsid w:val="008E3DFC"/>
    <w:rsid w:val="008E451E"/>
    <w:rsid w:val="008E6372"/>
    <w:rsid w:val="008F614C"/>
    <w:rsid w:val="009247A9"/>
    <w:rsid w:val="009272E0"/>
    <w:rsid w:val="009347C3"/>
    <w:rsid w:val="009358A6"/>
    <w:rsid w:val="00936B9A"/>
    <w:rsid w:val="00937573"/>
    <w:rsid w:val="00941FE6"/>
    <w:rsid w:val="009443E0"/>
    <w:rsid w:val="0094499A"/>
    <w:rsid w:val="00944DB1"/>
    <w:rsid w:val="00951313"/>
    <w:rsid w:val="00951F19"/>
    <w:rsid w:val="00953E62"/>
    <w:rsid w:val="00954647"/>
    <w:rsid w:val="00967182"/>
    <w:rsid w:val="00967A8A"/>
    <w:rsid w:val="00970837"/>
    <w:rsid w:val="009734E1"/>
    <w:rsid w:val="00975C7E"/>
    <w:rsid w:val="009767B8"/>
    <w:rsid w:val="00977123"/>
    <w:rsid w:val="00986E74"/>
    <w:rsid w:val="00987811"/>
    <w:rsid w:val="009950C8"/>
    <w:rsid w:val="009A77F5"/>
    <w:rsid w:val="009B21CD"/>
    <w:rsid w:val="009B5731"/>
    <w:rsid w:val="009B7465"/>
    <w:rsid w:val="009C2A62"/>
    <w:rsid w:val="009C3674"/>
    <w:rsid w:val="009D1069"/>
    <w:rsid w:val="009D5AA1"/>
    <w:rsid w:val="009E525B"/>
    <w:rsid w:val="009F187D"/>
    <w:rsid w:val="009F220E"/>
    <w:rsid w:val="00A00F7B"/>
    <w:rsid w:val="00A03266"/>
    <w:rsid w:val="00A20187"/>
    <w:rsid w:val="00A20EFA"/>
    <w:rsid w:val="00A250C3"/>
    <w:rsid w:val="00A36678"/>
    <w:rsid w:val="00A4344A"/>
    <w:rsid w:val="00A5313E"/>
    <w:rsid w:val="00A55DBC"/>
    <w:rsid w:val="00A5653B"/>
    <w:rsid w:val="00A665E7"/>
    <w:rsid w:val="00A674EE"/>
    <w:rsid w:val="00A67DF0"/>
    <w:rsid w:val="00A7083D"/>
    <w:rsid w:val="00A71F50"/>
    <w:rsid w:val="00A72091"/>
    <w:rsid w:val="00A735B5"/>
    <w:rsid w:val="00A74D6B"/>
    <w:rsid w:val="00A77E6E"/>
    <w:rsid w:val="00A841A6"/>
    <w:rsid w:val="00A905B9"/>
    <w:rsid w:val="00A923A6"/>
    <w:rsid w:val="00A94896"/>
    <w:rsid w:val="00AA1F85"/>
    <w:rsid w:val="00AB17B2"/>
    <w:rsid w:val="00AB394A"/>
    <w:rsid w:val="00AE4D6B"/>
    <w:rsid w:val="00AE4E54"/>
    <w:rsid w:val="00AE5D77"/>
    <w:rsid w:val="00AF700A"/>
    <w:rsid w:val="00AF7382"/>
    <w:rsid w:val="00B01E33"/>
    <w:rsid w:val="00B13A25"/>
    <w:rsid w:val="00B13A79"/>
    <w:rsid w:val="00B1457C"/>
    <w:rsid w:val="00B224D6"/>
    <w:rsid w:val="00B25A4B"/>
    <w:rsid w:val="00B334AE"/>
    <w:rsid w:val="00B36043"/>
    <w:rsid w:val="00B43B52"/>
    <w:rsid w:val="00B4457E"/>
    <w:rsid w:val="00B45D88"/>
    <w:rsid w:val="00B45F5D"/>
    <w:rsid w:val="00B4700C"/>
    <w:rsid w:val="00B54031"/>
    <w:rsid w:val="00B55145"/>
    <w:rsid w:val="00B57271"/>
    <w:rsid w:val="00B633BD"/>
    <w:rsid w:val="00B660AB"/>
    <w:rsid w:val="00B66197"/>
    <w:rsid w:val="00B7043F"/>
    <w:rsid w:val="00B71045"/>
    <w:rsid w:val="00B71607"/>
    <w:rsid w:val="00B73239"/>
    <w:rsid w:val="00B753C6"/>
    <w:rsid w:val="00BA05F6"/>
    <w:rsid w:val="00BA3882"/>
    <w:rsid w:val="00BA4D33"/>
    <w:rsid w:val="00BB2BCF"/>
    <w:rsid w:val="00BD2371"/>
    <w:rsid w:val="00BD4A19"/>
    <w:rsid w:val="00BD54E1"/>
    <w:rsid w:val="00BD56A7"/>
    <w:rsid w:val="00BE5825"/>
    <w:rsid w:val="00BE5F1D"/>
    <w:rsid w:val="00BF16CA"/>
    <w:rsid w:val="00C0616E"/>
    <w:rsid w:val="00C06CF8"/>
    <w:rsid w:val="00C1316A"/>
    <w:rsid w:val="00C173FB"/>
    <w:rsid w:val="00C2117E"/>
    <w:rsid w:val="00C2670E"/>
    <w:rsid w:val="00C26CB9"/>
    <w:rsid w:val="00C35073"/>
    <w:rsid w:val="00C45274"/>
    <w:rsid w:val="00C45287"/>
    <w:rsid w:val="00C46A4E"/>
    <w:rsid w:val="00C544BC"/>
    <w:rsid w:val="00C60E50"/>
    <w:rsid w:val="00C629BB"/>
    <w:rsid w:val="00C63A47"/>
    <w:rsid w:val="00C65889"/>
    <w:rsid w:val="00C724D0"/>
    <w:rsid w:val="00C7413B"/>
    <w:rsid w:val="00C819EE"/>
    <w:rsid w:val="00C82AB0"/>
    <w:rsid w:val="00C87BD6"/>
    <w:rsid w:val="00C90059"/>
    <w:rsid w:val="00C935E8"/>
    <w:rsid w:val="00C95AE7"/>
    <w:rsid w:val="00C96700"/>
    <w:rsid w:val="00C9683F"/>
    <w:rsid w:val="00CA0582"/>
    <w:rsid w:val="00CA4DBF"/>
    <w:rsid w:val="00CA5A1F"/>
    <w:rsid w:val="00CA5DA3"/>
    <w:rsid w:val="00CA6D6F"/>
    <w:rsid w:val="00CC1D98"/>
    <w:rsid w:val="00CC358D"/>
    <w:rsid w:val="00CC3F6C"/>
    <w:rsid w:val="00CD00D4"/>
    <w:rsid w:val="00CD3CD1"/>
    <w:rsid w:val="00CD3FB2"/>
    <w:rsid w:val="00CD49C6"/>
    <w:rsid w:val="00CE0265"/>
    <w:rsid w:val="00CE5DC7"/>
    <w:rsid w:val="00CF094D"/>
    <w:rsid w:val="00CF1C86"/>
    <w:rsid w:val="00CF3337"/>
    <w:rsid w:val="00D0056B"/>
    <w:rsid w:val="00D0101E"/>
    <w:rsid w:val="00D0489E"/>
    <w:rsid w:val="00D1224A"/>
    <w:rsid w:val="00D14C77"/>
    <w:rsid w:val="00D3144D"/>
    <w:rsid w:val="00D32AC3"/>
    <w:rsid w:val="00D37820"/>
    <w:rsid w:val="00D47477"/>
    <w:rsid w:val="00D62501"/>
    <w:rsid w:val="00D70582"/>
    <w:rsid w:val="00D733F5"/>
    <w:rsid w:val="00D7351A"/>
    <w:rsid w:val="00D768F3"/>
    <w:rsid w:val="00D8037A"/>
    <w:rsid w:val="00D852C6"/>
    <w:rsid w:val="00D97FBD"/>
    <w:rsid w:val="00DA352D"/>
    <w:rsid w:val="00DA77F3"/>
    <w:rsid w:val="00DB1538"/>
    <w:rsid w:val="00DB6FFD"/>
    <w:rsid w:val="00DB7FB1"/>
    <w:rsid w:val="00DD7576"/>
    <w:rsid w:val="00DE0903"/>
    <w:rsid w:val="00DE4840"/>
    <w:rsid w:val="00DF0851"/>
    <w:rsid w:val="00DF3BAC"/>
    <w:rsid w:val="00DF5037"/>
    <w:rsid w:val="00DF5F67"/>
    <w:rsid w:val="00E02306"/>
    <w:rsid w:val="00E11192"/>
    <w:rsid w:val="00E1440C"/>
    <w:rsid w:val="00E21F78"/>
    <w:rsid w:val="00E24FC8"/>
    <w:rsid w:val="00E26BDD"/>
    <w:rsid w:val="00E310C4"/>
    <w:rsid w:val="00E35F22"/>
    <w:rsid w:val="00E428B6"/>
    <w:rsid w:val="00E479FC"/>
    <w:rsid w:val="00E5704A"/>
    <w:rsid w:val="00E613B4"/>
    <w:rsid w:val="00E6162B"/>
    <w:rsid w:val="00E74534"/>
    <w:rsid w:val="00E933B3"/>
    <w:rsid w:val="00EA38D4"/>
    <w:rsid w:val="00EB152B"/>
    <w:rsid w:val="00EB2051"/>
    <w:rsid w:val="00EB2172"/>
    <w:rsid w:val="00EB361E"/>
    <w:rsid w:val="00EB3E16"/>
    <w:rsid w:val="00EB48E3"/>
    <w:rsid w:val="00EC09D2"/>
    <w:rsid w:val="00EC0DD6"/>
    <w:rsid w:val="00EC3C56"/>
    <w:rsid w:val="00EC4BE3"/>
    <w:rsid w:val="00EC4FC9"/>
    <w:rsid w:val="00ED6815"/>
    <w:rsid w:val="00ED7491"/>
    <w:rsid w:val="00EE6D9F"/>
    <w:rsid w:val="00EF61EF"/>
    <w:rsid w:val="00EF797F"/>
    <w:rsid w:val="00F0279F"/>
    <w:rsid w:val="00F03C80"/>
    <w:rsid w:val="00F03C9A"/>
    <w:rsid w:val="00F06209"/>
    <w:rsid w:val="00F06231"/>
    <w:rsid w:val="00F069F2"/>
    <w:rsid w:val="00F06B5B"/>
    <w:rsid w:val="00F12DA8"/>
    <w:rsid w:val="00F1770B"/>
    <w:rsid w:val="00F2416E"/>
    <w:rsid w:val="00F2540C"/>
    <w:rsid w:val="00F275AD"/>
    <w:rsid w:val="00F42873"/>
    <w:rsid w:val="00F66124"/>
    <w:rsid w:val="00F72B4E"/>
    <w:rsid w:val="00F760D0"/>
    <w:rsid w:val="00F813E9"/>
    <w:rsid w:val="00F845DF"/>
    <w:rsid w:val="00F84652"/>
    <w:rsid w:val="00F86C5E"/>
    <w:rsid w:val="00F871FC"/>
    <w:rsid w:val="00F90376"/>
    <w:rsid w:val="00F93371"/>
    <w:rsid w:val="00F93C94"/>
    <w:rsid w:val="00F94B38"/>
    <w:rsid w:val="00FA0E06"/>
    <w:rsid w:val="00FA49A2"/>
    <w:rsid w:val="00FA7ED6"/>
    <w:rsid w:val="00FC1004"/>
    <w:rsid w:val="00FC2693"/>
    <w:rsid w:val="00FC34EE"/>
    <w:rsid w:val="00FC37C5"/>
    <w:rsid w:val="00FC7455"/>
    <w:rsid w:val="00FD1BAC"/>
    <w:rsid w:val="00FF4E81"/>
    <w:rsid w:val="00FF57D1"/>
    <w:rsid w:val="00FF66D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47F7F"/>
  <w15:chartTrackingRefBased/>
  <w15:docId w15:val="{62ED575D-84D1-467A-8BDE-DE89CE12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0D4"/>
  </w:style>
  <w:style w:type="paragraph" w:styleId="Heading1">
    <w:name w:val="heading 1"/>
    <w:basedOn w:val="Normal"/>
    <w:next w:val="Normal"/>
    <w:link w:val="Heading1Char"/>
    <w:uiPriority w:val="9"/>
    <w:qFormat/>
    <w:rsid w:val="00F86C5E"/>
    <w:pPr>
      <w:spacing w:line="360" w:lineRule="auto"/>
      <w:outlineLvl w:val="0"/>
    </w:pPr>
    <w:rPr>
      <w:b/>
      <w:bCs/>
      <w:sz w:val="28"/>
      <w:szCs w:val="28"/>
    </w:rPr>
  </w:style>
  <w:style w:type="paragraph" w:styleId="Heading2">
    <w:name w:val="heading 2"/>
    <w:basedOn w:val="Normal"/>
    <w:next w:val="Normal"/>
    <w:link w:val="Heading2Char"/>
    <w:uiPriority w:val="9"/>
    <w:unhideWhenUsed/>
    <w:qFormat/>
    <w:rsid w:val="00F86C5E"/>
    <w:pPr>
      <w:spacing w:line="360" w:lineRule="auto"/>
      <w:jc w:val="both"/>
      <w:outlineLvl w:val="1"/>
    </w:pPr>
    <w:rPr>
      <w:rFonts w:cstheme="minorHAnsi"/>
      <w:b/>
      <w:bCs/>
      <w:color w:val="333333"/>
      <w:sz w:val="24"/>
      <w:szCs w:val="24"/>
    </w:rPr>
  </w:style>
  <w:style w:type="paragraph" w:styleId="Heading3">
    <w:name w:val="heading 3"/>
    <w:basedOn w:val="Normal"/>
    <w:next w:val="Normal"/>
    <w:link w:val="Heading3Char"/>
    <w:uiPriority w:val="9"/>
    <w:semiHidden/>
    <w:unhideWhenUsed/>
    <w:qFormat/>
    <w:rsid w:val="00BF16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16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16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16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6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6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6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C5E"/>
    <w:rPr>
      <w:b/>
      <w:bCs/>
      <w:sz w:val="28"/>
      <w:szCs w:val="28"/>
    </w:rPr>
  </w:style>
  <w:style w:type="character" w:customStyle="1" w:styleId="Heading2Char">
    <w:name w:val="Heading 2 Char"/>
    <w:basedOn w:val="DefaultParagraphFont"/>
    <w:link w:val="Heading2"/>
    <w:uiPriority w:val="9"/>
    <w:rsid w:val="00F86C5E"/>
    <w:rPr>
      <w:rFonts w:cstheme="minorHAnsi"/>
      <w:b/>
      <w:bCs/>
      <w:color w:val="333333"/>
      <w:sz w:val="24"/>
      <w:szCs w:val="24"/>
    </w:rPr>
  </w:style>
  <w:style w:type="character" w:customStyle="1" w:styleId="Heading3Char">
    <w:name w:val="Heading 3 Char"/>
    <w:basedOn w:val="DefaultParagraphFont"/>
    <w:link w:val="Heading3"/>
    <w:uiPriority w:val="9"/>
    <w:semiHidden/>
    <w:rsid w:val="00BF16CA"/>
    <w:rPr>
      <w:rFonts w:ascii="Times New Roman" w:eastAsiaTheme="majorEastAsia" w:hAnsi="Times New Roman" w:cstheme="majorBidi"/>
      <w:color w:val="2F5496" w:themeColor="accent1" w:themeShade="BF"/>
      <w:kern w:val="0"/>
      <w:sz w:val="28"/>
      <w:szCs w:val="28"/>
      <w:lang w:eastAsia="en-GB"/>
      <w14:ligatures w14:val="none"/>
    </w:rPr>
  </w:style>
  <w:style w:type="character" w:customStyle="1" w:styleId="Heading4Char">
    <w:name w:val="Heading 4 Char"/>
    <w:basedOn w:val="DefaultParagraphFont"/>
    <w:link w:val="Heading4"/>
    <w:uiPriority w:val="9"/>
    <w:semiHidden/>
    <w:rsid w:val="00BF16CA"/>
    <w:rPr>
      <w:rFonts w:ascii="Times New Roman" w:eastAsiaTheme="majorEastAsia" w:hAnsi="Times New Roman" w:cstheme="majorBidi"/>
      <w:i/>
      <w:iCs/>
      <w:color w:val="2F5496" w:themeColor="accent1" w:themeShade="BF"/>
      <w:kern w:val="0"/>
      <w:sz w:val="24"/>
      <w:szCs w:val="24"/>
      <w:lang w:eastAsia="en-GB"/>
      <w14:ligatures w14:val="none"/>
    </w:rPr>
  </w:style>
  <w:style w:type="character" w:customStyle="1" w:styleId="Heading5Char">
    <w:name w:val="Heading 5 Char"/>
    <w:basedOn w:val="DefaultParagraphFont"/>
    <w:link w:val="Heading5"/>
    <w:uiPriority w:val="9"/>
    <w:semiHidden/>
    <w:rsid w:val="00BF16CA"/>
    <w:rPr>
      <w:rFonts w:ascii="Times New Roman" w:eastAsiaTheme="majorEastAsia" w:hAnsi="Times New Roman" w:cstheme="majorBidi"/>
      <w:color w:val="2F5496" w:themeColor="accent1" w:themeShade="BF"/>
      <w:kern w:val="0"/>
      <w:sz w:val="24"/>
      <w:szCs w:val="24"/>
      <w:lang w:eastAsia="en-GB"/>
      <w14:ligatures w14:val="none"/>
    </w:rPr>
  </w:style>
  <w:style w:type="character" w:customStyle="1" w:styleId="Heading6Char">
    <w:name w:val="Heading 6 Char"/>
    <w:basedOn w:val="DefaultParagraphFont"/>
    <w:link w:val="Heading6"/>
    <w:uiPriority w:val="9"/>
    <w:semiHidden/>
    <w:rsid w:val="00BF16CA"/>
    <w:rPr>
      <w:rFonts w:ascii="Times New Roman" w:eastAsiaTheme="majorEastAsia" w:hAnsi="Times New Roman" w:cstheme="majorBidi"/>
      <w:i/>
      <w:iCs/>
      <w:color w:val="595959" w:themeColor="text1" w:themeTint="A6"/>
      <w:kern w:val="0"/>
      <w:sz w:val="24"/>
      <w:szCs w:val="24"/>
      <w:lang w:eastAsia="en-GB"/>
      <w14:ligatures w14:val="none"/>
    </w:rPr>
  </w:style>
  <w:style w:type="character" w:customStyle="1" w:styleId="Heading7Char">
    <w:name w:val="Heading 7 Char"/>
    <w:basedOn w:val="DefaultParagraphFont"/>
    <w:link w:val="Heading7"/>
    <w:uiPriority w:val="9"/>
    <w:semiHidden/>
    <w:rsid w:val="00BF16CA"/>
    <w:rPr>
      <w:rFonts w:ascii="Times New Roman" w:eastAsiaTheme="majorEastAsia" w:hAnsi="Times New Roman" w:cstheme="majorBidi"/>
      <w:color w:val="595959" w:themeColor="text1" w:themeTint="A6"/>
      <w:kern w:val="0"/>
      <w:sz w:val="24"/>
      <w:szCs w:val="24"/>
      <w:lang w:eastAsia="en-GB"/>
      <w14:ligatures w14:val="none"/>
    </w:rPr>
  </w:style>
  <w:style w:type="character" w:customStyle="1" w:styleId="Heading8Char">
    <w:name w:val="Heading 8 Char"/>
    <w:basedOn w:val="DefaultParagraphFont"/>
    <w:link w:val="Heading8"/>
    <w:uiPriority w:val="9"/>
    <w:semiHidden/>
    <w:rsid w:val="00BF16CA"/>
    <w:rPr>
      <w:rFonts w:ascii="Times New Roman" w:eastAsiaTheme="majorEastAsia" w:hAnsi="Times New Roman" w:cstheme="majorBidi"/>
      <w:i/>
      <w:iCs/>
      <w:color w:val="272727" w:themeColor="text1" w:themeTint="D8"/>
      <w:kern w:val="0"/>
      <w:sz w:val="24"/>
      <w:szCs w:val="24"/>
      <w:lang w:eastAsia="en-GB"/>
      <w14:ligatures w14:val="none"/>
    </w:rPr>
  </w:style>
  <w:style w:type="character" w:customStyle="1" w:styleId="Heading9Char">
    <w:name w:val="Heading 9 Char"/>
    <w:basedOn w:val="DefaultParagraphFont"/>
    <w:link w:val="Heading9"/>
    <w:uiPriority w:val="9"/>
    <w:semiHidden/>
    <w:rsid w:val="00BF16CA"/>
    <w:rPr>
      <w:rFonts w:ascii="Times New Roman" w:eastAsiaTheme="majorEastAsia" w:hAnsi="Times New Roman" w:cstheme="majorBidi"/>
      <w:color w:val="272727" w:themeColor="text1" w:themeTint="D8"/>
      <w:kern w:val="0"/>
      <w:sz w:val="24"/>
      <w:szCs w:val="24"/>
      <w:lang w:eastAsia="en-GB"/>
      <w14:ligatures w14:val="none"/>
    </w:rPr>
  </w:style>
  <w:style w:type="paragraph" w:styleId="Title">
    <w:name w:val="Title"/>
    <w:basedOn w:val="Normal"/>
    <w:next w:val="Normal"/>
    <w:link w:val="TitleChar"/>
    <w:uiPriority w:val="10"/>
    <w:qFormat/>
    <w:rsid w:val="00BF16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6CA"/>
    <w:rPr>
      <w:rFonts w:asciiTheme="majorHAnsi" w:eastAsiaTheme="majorEastAsia" w:hAnsiTheme="majorHAnsi" w:cstheme="majorBidi"/>
      <w:spacing w:val="-10"/>
      <w:kern w:val="28"/>
      <w:sz w:val="56"/>
      <w:szCs w:val="56"/>
      <w:lang w:eastAsia="en-GB"/>
      <w14:ligatures w14:val="none"/>
    </w:rPr>
  </w:style>
  <w:style w:type="paragraph" w:styleId="Subtitle">
    <w:name w:val="Subtitle"/>
    <w:basedOn w:val="Normal"/>
    <w:next w:val="Normal"/>
    <w:link w:val="SubtitleChar"/>
    <w:uiPriority w:val="11"/>
    <w:qFormat/>
    <w:rsid w:val="00BF16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6CA"/>
    <w:rPr>
      <w:rFonts w:ascii="Times New Roman" w:eastAsiaTheme="majorEastAsia" w:hAnsi="Times New Roman" w:cstheme="majorBidi"/>
      <w:color w:val="595959" w:themeColor="text1" w:themeTint="A6"/>
      <w:spacing w:val="15"/>
      <w:kern w:val="0"/>
      <w:sz w:val="28"/>
      <w:szCs w:val="28"/>
      <w:lang w:eastAsia="en-GB"/>
      <w14:ligatures w14:val="none"/>
    </w:rPr>
  </w:style>
  <w:style w:type="character" w:styleId="Strong">
    <w:name w:val="Strong"/>
    <w:basedOn w:val="DefaultParagraphFont"/>
    <w:uiPriority w:val="22"/>
    <w:qFormat/>
    <w:rsid w:val="00BF16CA"/>
    <w:rPr>
      <w:b/>
      <w:bCs/>
    </w:rPr>
  </w:style>
  <w:style w:type="paragraph" w:styleId="ListParagraph">
    <w:name w:val="List Paragraph"/>
    <w:basedOn w:val="Normal"/>
    <w:uiPriority w:val="34"/>
    <w:qFormat/>
    <w:rsid w:val="00BF16CA"/>
    <w:pPr>
      <w:ind w:left="720"/>
      <w:contextualSpacing/>
    </w:pPr>
    <w:rPr>
      <w:rFonts w:eastAsia="Times New Roman" w:cs="Times New Roman"/>
    </w:rPr>
  </w:style>
  <w:style w:type="paragraph" w:styleId="Quote">
    <w:name w:val="Quote"/>
    <w:basedOn w:val="Normal"/>
    <w:next w:val="Normal"/>
    <w:link w:val="QuoteChar"/>
    <w:uiPriority w:val="29"/>
    <w:qFormat/>
    <w:rsid w:val="00BF16CA"/>
    <w:pPr>
      <w:spacing w:before="160"/>
      <w:jc w:val="center"/>
    </w:pPr>
    <w:rPr>
      <w:rFonts w:eastAsia="Times New Roman" w:cs="Times New Roman"/>
      <w:i/>
      <w:iCs/>
      <w:color w:val="404040" w:themeColor="text1" w:themeTint="BF"/>
    </w:rPr>
  </w:style>
  <w:style w:type="character" w:customStyle="1" w:styleId="QuoteChar">
    <w:name w:val="Quote Char"/>
    <w:basedOn w:val="DefaultParagraphFont"/>
    <w:link w:val="Quote"/>
    <w:uiPriority w:val="29"/>
    <w:rsid w:val="00BF16CA"/>
    <w:rPr>
      <w:rFonts w:ascii="Times New Roman" w:eastAsia="Times New Roman" w:hAnsi="Times New Roman" w:cs="Times New Roman"/>
      <w:i/>
      <w:iCs/>
      <w:color w:val="404040" w:themeColor="text1" w:themeTint="BF"/>
      <w:kern w:val="0"/>
      <w:sz w:val="24"/>
      <w:szCs w:val="24"/>
      <w:lang w:eastAsia="en-GB"/>
      <w14:ligatures w14:val="none"/>
    </w:rPr>
  </w:style>
  <w:style w:type="paragraph" w:styleId="IntenseQuote">
    <w:name w:val="Intense Quote"/>
    <w:basedOn w:val="Normal"/>
    <w:next w:val="Normal"/>
    <w:link w:val="IntenseQuoteChar"/>
    <w:uiPriority w:val="30"/>
    <w:qFormat/>
    <w:rsid w:val="00BF16CA"/>
    <w:pPr>
      <w:pBdr>
        <w:top w:val="single" w:sz="4" w:space="10" w:color="2F5496" w:themeColor="accent1" w:themeShade="BF"/>
        <w:bottom w:val="single" w:sz="4" w:space="10" w:color="2F5496" w:themeColor="accent1" w:themeShade="BF"/>
      </w:pBdr>
      <w:spacing w:before="360" w:after="360"/>
      <w:ind w:left="864" w:right="864"/>
      <w:jc w:val="center"/>
    </w:pPr>
    <w:rPr>
      <w:rFonts w:eastAsia="Times New Roman" w:cs="Times New Roman"/>
      <w:i/>
      <w:iCs/>
      <w:color w:val="2F5496" w:themeColor="accent1" w:themeShade="BF"/>
    </w:rPr>
  </w:style>
  <w:style w:type="character" w:customStyle="1" w:styleId="IntenseQuoteChar">
    <w:name w:val="Intense Quote Char"/>
    <w:basedOn w:val="DefaultParagraphFont"/>
    <w:link w:val="IntenseQuote"/>
    <w:uiPriority w:val="30"/>
    <w:rsid w:val="00BF16CA"/>
    <w:rPr>
      <w:rFonts w:ascii="Times New Roman" w:eastAsia="Times New Roman" w:hAnsi="Times New Roman" w:cs="Times New Roman"/>
      <w:i/>
      <w:iCs/>
      <w:color w:val="2F5496" w:themeColor="accent1" w:themeShade="BF"/>
      <w:kern w:val="0"/>
      <w:sz w:val="24"/>
      <w:szCs w:val="24"/>
      <w:lang w:eastAsia="en-GB"/>
      <w14:ligatures w14:val="none"/>
    </w:rPr>
  </w:style>
  <w:style w:type="character" w:styleId="IntenseEmphasis">
    <w:name w:val="Intense Emphasis"/>
    <w:basedOn w:val="DefaultParagraphFont"/>
    <w:uiPriority w:val="21"/>
    <w:qFormat/>
    <w:rsid w:val="00BF16CA"/>
    <w:rPr>
      <w:i/>
      <w:iCs/>
      <w:color w:val="2F5496" w:themeColor="accent1" w:themeShade="BF"/>
    </w:rPr>
  </w:style>
  <w:style w:type="character" w:styleId="IntenseReference">
    <w:name w:val="Intense Reference"/>
    <w:basedOn w:val="DefaultParagraphFont"/>
    <w:uiPriority w:val="32"/>
    <w:qFormat/>
    <w:rsid w:val="00BF16CA"/>
    <w:rPr>
      <w:b/>
      <w:bCs/>
      <w:smallCaps/>
      <w:color w:val="2F5496" w:themeColor="accent1" w:themeShade="BF"/>
      <w:spacing w:val="5"/>
    </w:rPr>
  </w:style>
  <w:style w:type="character" w:styleId="Hyperlink">
    <w:name w:val="Hyperlink"/>
    <w:basedOn w:val="DefaultParagraphFont"/>
    <w:uiPriority w:val="99"/>
    <w:unhideWhenUsed/>
    <w:rsid w:val="00CD00D4"/>
    <w:rPr>
      <w:color w:val="0000FF"/>
      <w:u w:val="single"/>
    </w:rPr>
  </w:style>
  <w:style w:type="paragraph" w:styleId="FootnoteText">
    <w:name w:val="footnote text"/>
    <w:basedOn w:val="Normal"/>
    <w:link w:val="FootnoteTextChar"/>
    <w:uiPriority w:val="99"/>
    <w:semiHidden/>
    <w:unhideWhenUsed/>
    <w:rsid w:val="00CD00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00D4"/>
    <w:rPr>
      <w:sz w:val="20"/>
      <w:szCs w:val="20"/>
    </w:rPr>
  </w:style>
  <w:style w:type="character" w:styleId="FootnoteReference">
    <w:name w:val="footnote reference"/>
    <w:basedOn w:val="DefaultParagraphFont"/>
    <w:uiPriority w:val="99"/>
    <w:semiHidden/>
    <w:unhideWhenUsed/>
    <w:rsid w:val="00CD00D4"/>
    <w:rPr>
      <w:vertAlign w:val="superscript"/>
    </w:rPr>
  </w:style>
  <w:style w:type="character" w:styleId="CommentReference">
    <w:name w:val="annotation reference"/>
    <w:basedOn w:val="DefaultParagraphFont"/>
    <w:uiPriority w:val="99"/>
    <w:semiHidden/>
    <w:unhideWhenUsed/>
    <w:rsid w:val="00287599"/>
    <w:rPr>
      <w:sz w:val="16"/>
      <w:szCs w:val="16"/>
    </w:rPr>
  </w:style>
  <w:style w:type="paragraph" w:styleId="CommentText">
    <w:name w:val="annotation text"/>
    <w:basedOn w:val="Normal"/>
    <w:link w:val="CommentTextChar"/>
    <w:uiPriority w:val="99"/>
    <w:unhideWhenUsed/>
    <w:rsid w:val="00287599"/>
    <w:pPr>
      <w:spacing w:line="240" w:lineRule="auto"/>
    </w:pPr>
    <w:rPr>
      <w:sz w:val="20"/>
      <w:szCs w:val="20"/>
    </w:rPr>
  </w:style>
  <w:style w:type="character" w:customStyle="1" w:styleId="CommentTextChar">
    <w:name w:val="Comment Text Char"/>
    <w:basedOn w:val="DefaultParagraphFont"/>
    <w:link w:val="CommentText"/>
    <w:uiPriority w:val="99"/>
    <w:rsid w:val="00287599"/>
    <w:rPr>
      <w:sz w:val="20"/>
      <w:szCs w:val="20"/>
    </w:rPr>
  </w:style>
  <w:style w:type="character" w:styleId="FollowedHyperlink">
    <w:name w:val="FollowedHyperlink"/>
    <w:basedOn w:val="DefaultParagraphFont"/>
    <w:uiPriority w:val="99"/>
    <w:semiHidden/>
    <w:unhideWhenUsed/>
    <w:rsid w:val="00287599"/>
    <w:rPr>
      <w:color w:val="954F72" w:themeColor="followedHyperlink"/>
      <w:u w:val="single"/>
    </w:rPr>
  </w:style>
  <w:style w:type="character" w:styleId="UnresolvedMention">
    <w:name w:val="Unresolved Mention"/>
    <w:basedOn w:val="DefaultParagraphFont"/>
    <w:uiPriority w:val="99"/>
    <w:semiHidden/>
    <w:unhideWhenUsed/>
    <w:rsid w:val="00C63A47"/>
    <w:rPr>
      <w:color w:val="605E5C"/>
      <w:shd w:val="clear" w:color="auto" w:fill="E1DFDD"/>
    </w:rPr>
  </w:style>
  <w:style w:type="table" w:styleId="TableGrid">
    <w:name w:val="Table Grid"/>
    <w:basedOn w:val="TableNormal"/>
    <w:uiPriority w:val="39"/>
    <w:rsid w:val="00EA3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5A70CE"/>
    <w:rPr>
      <w:rFonts w:ascii="Segoe UI" w:hAnsi="Segoe UI" w:cs="Segoe UI" w:hint="default"/>
      <w:sz w:val="18"/>
      <w:szCs w:val="18"/>
    </w:rPr>
  </w:style>
  <w:style w:type="character" w:customStyle="1" w:styleId="ref-lnk">
    <w:name w:val="ref-lnk"/>
    <w:basedOn w:val="DefaultParagraphFont"/>
    <w:rsid w:val="00047E4B"/>
  </w:style>
  <w:style w:type="paragraph" w:styleId="EndnoteText">
    <w:name w:val="endnote text"/>
    <w:basedOn w:val="Normal"/>
    <w:link w:val="EndnoteTextChar"/>
    <w:uiPriority w:val="99"/>
    <w:semiHidden/>
    <w:unhideWhenUsed/>
    <w:rsid w:val="000503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0326"/>
    <w:rPr>
      <w:sz w:val="20"/>
      <w:szCs w:val="20"/>
    </w:rPr>
  </w:style>
  <w:style w:type="character" w:styleId="EndnoteReference">
    <w:name w:val="endnote reference"/>
    <w:basedOn w:val="DefaultParagraphFont"/>
    <w:uiPriority w:val="99"/>
    <w:semiHidden/>
    <w:unhideWhenUsed/>
    <w:rsid w:val="00050326"/>
    <w:rPr>
      <w:vertAlign w:val="superscript"/>
    </w:rPr>
  </w:style>
  <w:style w:type="paragraph" w:styleId="Header">
    <w:name w:val="header"/>
    <w:basedOn w:val="Normal"/>
    <w:link w:val="HeaderChar"/>
    <w:uiPriority w:val="99"/>
    <w:unhideWhenUsed/>
    <w:rsid w:val="00951F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F19"/>
  </w:style>
  <w:style w:type="paragraph" w:styleId="Footer">
    <w:name w:val="footer"/>
    <w:basedOn w:val="Normal"/>
    <w:link w:val="FooterChar"/>
    <w:uiPriority w:val="99"/>
    <w:unhideWhenUsed/>
    <w:rsid w:val="00951F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F19"/>
  </w:style>
  <w:style w:type="paragraph" w:styleId="CommentSubject">
    <w:name w:val="annotation subject"/>
    <w:basedOn w:val="CommentText"/>
    <w:next w:val="CommentText"/>
    <w:link w:val="CommentSubjectChar"/>
    <w:uiPriority w:val="99"/>
    <w:semiHidden/>
    <w:unhideWhenUsed/>
    <w:rsid w:val="000E4580"/>
    <w:rPr>
      <w:b/>
      <w:bCs/>
    </w:rPr>
  </w:style>
  <w:style w:type="character" w:customStyle="1" w:styleId="CommentSubjectChar">
    <w:name w:val="Comment Subject Char"/>
    <w:basedOn w:val="CommentTextChar"/>
    <w:link w:val="CommentSubject"/>
    <w:uiPriority w:val="99"/>
    <w:semiHidden/>
    <w:rsid w:val="000E45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4847">
      <w:bodyDiv w:val="1"/>
      <w:marLeft w:val="0"/>
      <w:marRight w:val="0"/>
      <w:marTop w:val="0"/>
      <w:marBottom w:val="0"/>
      <w:divBdr>
        <w:top w:val="none" w:sz="0" w:space="0" w:color="auto"/>
        <w:left w:val="none" w:sz="0" w:space="0" w:color="auto"/>
        <w:bottom w:val="none" w:sz="0" w:space="0" w:color="auto"/>
        <w:right w:val="none" w:sz="0" w:space="0" w:color="auto"/>
      </w:divBdr>
    </w:div>
    <w:div w:id="13575913">
      <w:bodyDiv w:val="1"/>
      <w:marLeft w:val="0"/>
      <w:marRight w:val="0"/>
      <w:marTop w:val="0"/>
      <w:marBottom w:val="0"/>
      <w:divBdr>
        <w:top w:val="none" w:sz="0" w:space="0" w:color="auto"/>
        <w:left w:val="none" w:sz="0" w:space="0" w:color="auto"/>
        <w:bottom w:val="none" w:sz="0" w:space="0" w:color="auto"/>
        <w:right w:val="none" w:sz="0" w:space="0" w:color="auto"/>
      </w:divBdr>
    </w:div>
    <w:div w:id="317852554">
      <w:bodyDiv w:val="1"/>
      <w:marLeft w:val="0"/>
      <w:marRight w:val="0"/>
      <w:marTop w:val="0"/>
      <w:marBottom w:val="0"/>
      <w:divBdr>
        <w:top w:val="none" w:sz="0" w:space="0" w:color="auto"/>
        <w:left w:val="none" w:sz="0" w:space="0" w:color="auto"/>
        <w:bottom w:val="none" w:sz="0" w:space="0" w:color="auto"/>
        <w:right w:val="none" w:sz="0" w:space="0" w:color="auto"/>
      </w:divBdr>
    </w:div>
    <w:div w:id="335309886">
      <w:bodyDiv w:val="1"/>
      <w:marLeft w:val="0"/>
      <w:marRight w:val="0"/>
      <w:marTop w:val="0"/>
      <w:marBottom w:val="0"/>
      <w:divBdr>
        <w:top w:val="none" w:sz="0" w:space="0" w:color="auto"/>
        <w:left w:val="none" w:sz="0" w:space="0" w:color="auto"/>
        <w:bottom w:val="none" w:sz="0" w:space="0" w:color="auto"/>
        <w:right w:val="none" w:sz="0" w:space="0" w:color="auto"/>
      </w:divBdr>
    </w:div>
    <w:div w:id="344720404">
      <w:bodyDiv w:val="1"/>
      <w:marLeft w:val="0"/>
      <w:marRight w:val="0"/>
      <w:marTop w:val="0"/>
      <w:marBottom w:val="0"/>
      <w:divBdr>
        <w:top w:val="none" w:sz="0" w:space="0" w:color="auto"/>
        <w:left w:val="none" w:sz="0" w:space="0" w:color="auto"/>
        <w:bottom w:val="none" w:sz="0" w:space="0" w:color="auto"/>
        <w:right w:val="none" w:sz="0" w:space="0" w:color="auto"/>
      </w:divBdr>
    </w:div>
    <w:div w:id="414395907">
      <w:bodyDiv w:val="1"/>
      <w:marLeft w:val="0"/>
      <w:marRight w:val="0"/>
      <w:marTop w:val="0"/>
      <w:marBottom w:val="0"/>
      <w:divBdr>
        <w:top w:val="none" w:sz="0" w:space="0" w:color="auto"/>
        <w:left w:val="none" w:sz="0" w:space="0" w:color="auto"/>
        <w:bottom w:val="none" w:sz="0" w:space="0" w:color="auto"/>
        <w:right w:val="none" w:sz="0" w:space="0" w:color="auto"/>
      </w:divBdr>
    </w:div>
    <w:div w:id="435059519">
      <w:bodyDiv w:val="1"/>
      <w:marLeft w:val="0"/>
      <w:marRight w:val="0"/>
      <w:marTop w:val="0"/>
      <w:marBottom w:val="0"/>
      <w:divBdr>
        <w:top w:val="none" w:sz="0" w:space="0" w:color="auto"/>
        <w:left w:val="none" w:sz="0" w:space="0" w:color="auto"/>
        <w:bottom w:val="none" w:sz="0" w:space="0" w:color="auto"/>
        <w:right w:val="none" w:sz="0" w:space="0" w:color="auto"/>
      </w:divBdr>
    </w:div>
    <w:div w:id="511535622">
      <w:bodyDiv w:val="1"/>
      <w:marLeft w:val="0"/>
      <w:marRight w:val="0"/>
      <w:marTop w:val="0"/>
      <w:marBottom w:val="0"/>
      <w:divBdr>
        <w:top w:val="none" w:sz="0" w:space="0" w:color="auto"/>
        <w:left w:val="none" w:sz="0" w:space="0" w:color="auto"/>
        <w:bottom w:val="none" w:sz="0" w:space="0" w:color="auto"/>
        <w:right w:val="none" w:sz="0" w:space="0" w:color="auto"/>
      </w:divBdr>
    </w:div>
    <w:div w:id="538249001">
      <w:bodyDiv w:val="1"/>
      <w:marLeft w:val="0"/>
      <w:marRight w:val="0"/>
      <w:marTop w:val="0"/>
      <w:marBottom w:val="0"/>
      <w:divBdr>
        <w:top w:val="none" w:sz="0" w:space="0" w:color="auto"/>
        <w:left w:val="none" w:sz="0" w:space="0" w:color="auto"/>
        <w:bottom w:val="none" w:sz="0" w:space="0" w:color="auto"/>
        <w:right w:val="none" w:sz="0" w:space="0" w:color="auto"/>
      </w:divBdr>
    </w:div>
    <w:div w:id="581378645">
      <w:bodyDiv w:val="1"/>
      <w:marLeft w:val="0"/>
      <w:marRight w:val="0"/>
      <w:marTop w:val="0"/>
      <w:marBottom w:val="0"/>
      <w:divBdr>
        <w:top w:val="none" w:sz="0" w:space="0" w:color="auto"/>
        <w:left w:val="none" w:sz="0" w:space="0" w:color="auto"/>
        <w:bottom w:val="none" w:sz="0" w:space="0" w:color="auto"/>
        <w:right w:val="none" w:sz="0" w:space="0" w:color="auto"/>
      </w:divBdr>
    </w:div>
    <w:div w:id="739644740">
      <w:bodyDiv w:val="1"/>
      <w:marLeft w:val="0"/>
      <w:marRight w:val="0"/>
      <w:marTop w:val="0"/>
      <w:marBottom w:val="0"/>
      <w:divBdr>
        <w:top w:val="none" w:sz="0" w:space="0" w:color="auto"/>
        <w:left w:val="none" w:sz="0" w:space="0" w:color="auto"/>
        <w:bottom w:val="none" w:sz="0" w:space="0" w:color="auto"/>
        <w:right w:val="none" w:sz="0" w:space="0" w:color="auto"/>
      </w:divBdr>
    </w:div>
    <w:div w:id="794056616">
      <w:bodyDiv w:val="1"/>
      <w:marLeft w:val="0"/>
      <w:marRight w:val="0"/>
      <w:marTop w:val="0"/>
      <w:marBottom w:val="0"/>
      <w:divBdr>
        <w:top w:val="none" w:sz="0" w:space="0" w:color="auto"/>
        <w:left w:val="none" w:sz="0" w:space="0" w:color="auto"/>
        <w:bottom w:val="none" w:sz="0" w:space="0" w:color="auto"/>
        <w:right w:val="none" w:sz="0" w:space="0" w:color="auto"/>
      </w:divBdr>
    </w:div>
    <w:div w:id="794131895">
      <w:bodyDiv w:val="1"/>
      <w:marLeft w:val="0"/>
      <w:marRight w:val="0"/>
      <w:marTop w:val="0"/>
      <w:marBottom w:val="0"/>
      <w:divBdr>
        <w:top w:val="none" w:sz="0" w:space="0" w:color="auto"/>
        <w:left w:val="none" w:sz="0" w:space="0" w:color="auto"/>
        <w:bottom w:val="none" w:sz="0" w:space="0" w:color="auto"/>
        <w:right w:val="none" w:sz="0" w:space="0" w:color="auto"/>
      </w:divBdr>
    </w:div>
    <w:div w:id="877359236">
      <w:bodyDiv w:val="1"/>
      <w:marLeft w:val="0"/>
      <w:marRight w:val="0"/>
      <w:marTop w:val="0"/>
      <w:marBottom w:val="0"/>
      <w:divBdr>
        <w:top w:val="none" w:sz="0" w:space="0" w:color="auto"/>
        <w:left w:val="none" w:sz="0" w:space="0" w:color="auto"/>
        <w:bottom w:val="none" w:sz="0" w:space="0" w:color="auto"/>
        <w:right w:val="none" w:sz="0" w:space="0" w:color="auto"/>
      </w:divBdr>
    </w:div>
    <w:div w:id="991445650">
      <w:bodyDiv w:val="1"/>
      <w:marLeft w:val="0"/>
      <w:marRight w:val="0"/>
      <w:marTop w:val="0"/>
      <w:marBottom w:val="0"/>
      <w:divBdr>
        <w:top w:val="none" w:sz="0" w:space="0" w:color="auto"/>
        <w:left w:val="none" w:sz="0" w:space="0" w:color="auto"/>
        <w:bottom w:val="none" w:sz="0" w:space="0" w:color="auto"/>
        <w:right w:val="none" w:sz="0" w:space="0" w:color="auto"/>
      </w:divBdr>
    </w:div>
    <w:div w:id="1054305457">
      <w:bodyDiv w:val="1"/>
      <w:marLeft w:val="0"/>
      <w:marRight w:val="0"/>
      <w:marTop w:val="0"/>
      <w:marBottom w:val="0"/>
      <w:divBdr>
        <w:top w:val="none" w:sz="0" w:space="0" w:color="auto"/>
        <w:left w:val="none" w:sz="0" w:space="0" w:color="auto"/>
        <w:bottom w:val="none" w:sz="0" w:space="0" w:color="auto"/>
        <w:right w:val="none" w:sz="0" w:space="0" w:color="auto"/>
      </w:divBdr>
    </w:div>
    <w:div w:id="1073039609">
      <w:bodyDiv w:val="1"/>
      <w:marLeft w:val="0"/>
      <w:marRight w:val="0"/>
      <w:marTop w:val="0"/>
      <w:marBottom w:val="0"/>
      <w:divBdr>
        <w:top w:val="none" w:sz="0" w:space="0" w:color="auto"/>
        <w:left w:val="none" w:sz="0" w:space="0" w:color="auto"/>
        <w:bottom w:val="none" w:sz="0" w:space="0" w:color="auto"/>
        <w:right w:val="none" w:sz="0" w:space="0" w:color="auto"/>
      </w:divBdr>
    </w:div>
    <w:div w:id="1083138416">
      <w:bodyDiv w:val="1"/>
      <w:marLeft w:val="0"/>
      <w:marRight w:val="0"/>
      <w:marTop w:val="0"/>
      <w:marBottom w:val="0"/>
      <w:divBdr>
        <w:top w:val="none" w:sz="0" w:space="0" w:color="auto"/>
        <w:left w:val="none" w:sz="0" w:space="0" w:color="auto"/>
        <w:bottom w:val="none" w:sz="0" w:space="0" w:color="auto"/>
        <w:right w:val="none" w:sz="0" w:space="0" w:color="auto"/>
      </w:divBdr>
    </w:div>
    <w:div w:id="1123617926">
      <w:bodyDiv w:val="1"/>
      <w:marLeft w:val="0"/>
      <w:marRight w:val="0"/>
      <w:marTop w:val="0"/>
      <w:marBottom w:val="0"/>
      <w:divBdr>
        <w:top w:val="none" w:sz="0" w:space="0" w:color="auto"/>
        <w:left w:val="none" w:sz="0" w:space="0" w:color="auto"/>
        <w:bottom w:val="none" w:sz="0" w:space="0" w:color="auto"/>
        <w:right w:val="none" w:sz="0" w:space="0" w:color="auto"/>
      </w:divBdr>
    </w:div>
    <w:div w:id="1176072726">
      <w:bodyDiv w:val="1"/>
      <w:marLeft w:val="0"/>
      <w:marRight w:val="0"/>
      <w:marTop w:val="0"/>
      <w:marBottom w:val="0"/>
      <w:divBdr>
        <w:top w:val="none" w:sz="0" w:space="0" w:color="auto"/>
        <w:left w:val="none" w:sz="0" w:space="0" w:color="auto"/>
        <w:bottom w:val="none" w:sz="0" w:space="0" w:color="auto"/>
        <w:right w:val="none" w:sz="0" w:space="0" w:color="auto"/>
      </w:divBdr>
    </w:div>
    <w:div w:id="1176726211">
      <w:bodyDiv w:val="1"/>
      <w:marLeft w:val="0"/>
      <w:marRight w:val="0"/>
      <w:marTop w:val="0"/>
      <w:marBottom w:val="0"/>
      <w:divBdr>
        <w:top w:val="none" w:sz="0" w:space="0" w:color="auto"/>
        <w:left w:val="none" w:sz="0" w:space="0" w:color="auto"/>
        <w:bottom w:val="none" w:sz="0" w:space="0" w:color="auto"/>
        <w:right w:val="none" w:sz="0" w:space="0" w:color="auto"/>
      </w:divBdr>
    </w:div>
    <w:div w:id="1291781966">
      <w:bodyDiv w:val="1"/>
      <w:marLeft w:val="0"/>
      <w:marRight w:val="0"/>
      <w:marTop w:val="0"/>
      <w:marBottom w:val="0"/>
      <w:divBdr>
        <w:top w:val="none" w:sz="0" w:space="0" w:color="auto"/>
        <w:left w:val="none" w:sz="0" w:space="0" w:color="auto"/>
        <w:bottom w:val="none" w:sz="0" w:space="0" w:color="auto"/>
        <w:right w:val="none" w:sz="0" w:space="0" w:color="auto"/>
      </w:divBdr>
    </w:div>
    <w:div w:id="1296790582">
      <w:bodyDiv w:val="1"/>
      <w:marLeft w:val="0"/>
      <w:marRight w:val="0"/>
      <w:marTop w:val="0"/>
      <w:marBottom w:val="0"/>
      <w:divBdr>
        <w:top w:val="none" w:sz="0" w:space="0" w:color="auto"/>
        <w:left w:val="none" w:sz="0" w:space="0" w:color="auto"/>
        <w:bottom w:val="none" w:sz="0" w:space="0" w:color="auto"/>
        <w:right w:val="none" w:sz="0" w:space="0" w:color="auto"/>
      </w:divBdr>
    </w:div>
    <w:div w:id="1356273008">
      <w:bodyDiv w:val="1"/>
      <w:marLeft w:val="0"/>
      <w:marRight w:val="0"/>
      <w:marTop w:val="0"/>
      <w:marBottom w:val="0"/>
      <w:divBdr>
        <w:top w:val="none" w:sz="0" w:space="0" w:color="auto"/>
        <w:left w:val="none" w:sz="0" w:space="0" w:color="auto"/>
        <w:bottom w:val="none" w:sz="0" w:space="0" w:color="auto"/>
        <w:right w:val="none" w:sz="0" w:space="0" w:color="auto"/>
      </w:divBdr>
    </w:div>
    <w:div w:id="1487550989">
      <w:bodyDiv w:val="1"/>
      <w:marLeft w:val="0"/>
      <w:marRight w:val="0"/>
      <w:marTop w:val="0"/>
      <w:marBottom w:val="0"/>
      <w:divBdr>
        <w:top w:val="none" w:sz="0" w:space="0" w:color="auto"/>
        <w:left w:val="none" w:sz="0" w:space="0" w:color="auto"/>
        <w:bottom w:val="none" w:sz="0" w:space="0" w:color="auto"/>
        <w:right w:val="none" w:sz="0" w:space="0" w:color="auto"/>
      </w:divBdr>
    </w:div>
    <w:div w:id="1497307243">
      <w:bodyDiv w:val="1"/>
      <w:marLeft w:val="0"/>
      <w:marRight w:val="0"/>
      <w:marTop w:val="0"/>
      <w:marBottom w:val="0"/>
      <w:divBdr>
        <w:top w:val="none" w:sz="0" w:space="0" w:color="auto"/>
        <w:left w:val="none" w:sz="0" w:space="0" w:color="auto"/>
        <w:bottom w:val="none" w:sz="0" w:space="0" w:color="auto"/>
        <w:right w:val="none" w:sz="0" w:space="0" w:color="auto"/>
      </w:divBdr>
    </w:div>
    <w:div w:id="1723014912">
      <w:bodyDiv w:val="1"/>
      <w:marLeft w:val="0"/>
      <w:marRight w:val="0"/>
      <w:marTop w:val="0"/>
      <w:marBottom w:val="0"/>
      <w:divBdr>
        <w:top w:val="none" w:sz="0" w:space="0" w:color="auto"/>
        <w:left w:val="none" w:sz="0" w:space="0" w:color="auto"/>
        <w:bottom w:val="none" w:sz="0" w:space="0" w:color="auto"/>
        <w:right w:val="none" w:sz="0" w:space="0" w:color="auto"/>
      </w:divBdr>
    </w:div>
    <w:div w:id="1784836051">
      <w:bodyDiv w:val="1"/>
      <w:marLeft w:val="0"/>
      <w:marRight w:val="0"/>
      <w:marTop w:val="0"/>
      <w:marBottom w:val="0"/>
      <w:divBdr>
        <w:top w:val="none" w:sz="0" w:space="0" w:color="auto"/>
        <w:left w:val="none" w:sz="0" w:space="0" w:color="auto"/>
        <w:bottom w:val="none" w:sz="0" w:space="0" w:color="auto"/>
        <w:right w:val="none" w:sz="0" w:space="0" w:color="auto"/>
      </w:divBdr>
      <w:divsChild>
        <w:div w:id="1319651907">
          <w:marLeft w:val="0"/>
          <w:marRight w:val="0"/>
          <w:marTop w:val="0"/>
          <w:marBottom w:val="0"/>
          <w:divBdr>
            <w:top w:val="none" w:sz="0" w:space="0" w:color="auto"/>
            <w:left w:val="none" w:sz="0" w:space="0" w:color="auto"/>
            <w:bottom w:val="none" w:sz="0" w:space="0" w:color="auto"/>
            <w:right w:val="none" w:sz="0" w:space="0" w:color="auto"/>
          </w:divBdr>
        </w:div>
        <w:div w:id="1701276742">
          <w:marLeft w:val="0"/>
          <w:marRight w:val="0"/>
          <w:marTop w:val="0"/>
          <w:marBottom w:val="0"/>
          <w:divBdr>
            <w:top w:val="none" w:sz="0" w:space="0" w:color="auto"/>
            <w:left w:val="none" w:sz="0" w:space="0" w:color="auto"/>
            <w:bottom w:val="none" w:sz="0" w:space="0" w:color="auto"/>
            <w:right w:val="none" w:sz="0" w:space="0" w:color="auto"/>
          </w:divBdr>
          <w:divsChild>
            <w:div w:id="254941775">
              <w:marLeft w:val="0"/>
              <w:marRight w:val="0"/>
              <w:marTop w:val="0"/>
              <w:marBottom w:val="0"/>
              <w:divBdr>
                <w:top w:val="none" w:sz="0" w:space="0" w:color="auto"/>
                <w:left w:val="none" w:sz="0" w:space="0" w:color="auto"/>
                <w:bottom w:val="none" w:sz="0" w:space="0" w:color="auto"/>
                <w:right w:val="none" w:sz="0" w:space="0" w:color="auto"/>
              </w:divBdr>
              <w:divsChild>
                <w:div w:id="2027561967">
                  <w:marLeft w:val="0"/>
                  <w:marRight w:val="0"/>
                  <w:marTop w:val="0"/>
                  <w:marBottom w:val="200"/>
                  <w:divBdr>
                    <w:top w:val="none" w:sz="0" w:space="0" w:color="auto"/>
                    <w:left w:val="none" w:sz="0" w:space="0" w:color="auto"/>
                    <w:bottom w:val="none" w:sz="0" w:space="0" w:color="auto"/>
                    <w:right w:val="none" w:sz="0" w:space="0" w:color="auto"/>
                  </w:divBdr>
                  <w:divsChild>
                    <w:div w:id="143740917">
                      <w:marLeft w:val="0"/>
                      <w:marRight w:val="0"/>
                      <w:marTop w:val="0"/>
                      <w:marBottom w:val="0"/>
                      <w:divBdr>
                        <w:top w:val="none" w:sz="0" w:space="0" w:color="auto"/>
                        <w:left w:val="none" w:sz="0" w:space="0" w:color="auto"/>
                        <w:bottom w:val="none" w:sz="0" w:space="0" w:color="auto"/>
                        <w:right w:val="none" w:sz="0" w:space="0" w:color="auto"/>
                      </w:divBdr>
                      <w:divsChild>
                        <w:div w:id="893084295">
                          <w:marLeft w:val="0"/>
                          <w:marRight w:val="0"/>
                          <w:marTop w:val="0"/>
                          <w:marBottom w:val="0"/>
                          <w:divBdr>
                            <w:top w:val="none" w:sz="0" w:space="0" w:color="auto"/>
                            <w:left w:val="none" w:sz="0" w:space="0" w:color="auto"/>
                            <w:bottom w:val="none" w:sz="0" w:space="0" w:color="auto"/>
                            <w:right w:val="none" w:sz="0" w:space="0" w:color="auto"/>
                          </w:divBdr>
                          <w:divsChild>
                            <w:div w:id="1831482416">
                              <w:marLeft w:val="0"/>
                              <w:marRight w:val="0"/>
                              <w:marTop w:val="0"/>
                              <w:marBottom w:val="0"/>
                              <w:divBdr>
                                <w:top w:val="none" w:sz="0" w:space="0" w:color="auto"/>
                                <w:left w:val="none" w:sz="0" w:space="0" w:color="auto"/>
                                <w:bottom w:val="none" w:sz="0" w:space="0" w:color="auto"/>
                                <w:right w:val="none" w:sz="0" w:space="0" w:color="auto"/>
                              </w:divBdr>
                              <w:divsChild>
                                <w:div w:id="9753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767325">
      <w:bodyDiv w:val="1"/>
      <w:marLeft w:val="0"/>
      <w:marRight w:val="0"/>
      <w:marTop w:val="0"/>
      <w:marBottom w:val="0"/>
      <w:divBdr>
        <w:top w:val="none" w:sz="0" w:space="0" w:color="auto"/>
        <w:left w:val="none" w:sz="0" w:space="0" w:color="auto"/>
        <w:bottom w:val="none" w:sz="0" w:space="0" w:color="auto"/>
        <w:right w:val="none" w:sz="0" w:space="0" w:color="auto"/>
      </w:divBdr>
      <w:divsChild>
        <w:div w:id="1134559575">
          <w:marLeft w:val="0"/>
          <w:marRight w:val="0"/>
          <w:marTop w:val="0"/>
          <w:marBottom w:val="0"/>
          <w:divBdr>
            <w:top w:val="none" w:sz="0" w:space="0" w:color="auto"/>
            <w:left w:val="none" w:sz="0" w:space="0" w:color="auto"/>
            <w:bottom w:val="none" w:sz="0" w:space="0" w:color="auto"/>
            <w:right w:val="none" w:sz="0" w:space="0" w:color="auto"/>
          </w:divBdr>
        </w:div>
        <w:div w:id="639265362">
          <w:marLeft w:val="0"/>
          <w:marRight w:val="0"/>
          <w:marTop w:val="0"/>
          <w:marBottom w:val="0"/>
          <w:divBdr>
            <w:top w:val="none" w:sz="0" w:space="0" w:color="auto"/>
            <w:left w:val="none" w:sz="0" w:space="0" w:color="auto"/>
            <w:bottom w:val="none" w:sz="0" w:space="0" w:color="auto"/>
            <w:right w:val="none" w:sz="0" w:space="0" w:color="auto"/>
          </w:divBdr>
          <w:divsChild>
            <w:div w:id="792284310">
              <w:marLeft w:val="0"/>
              <w:marRight w:val="0"/>
              <w:marTop w:val="0"/>
              <w:marBottom w:val="0"/>
              <w:divBdr>
                <w:top w:val="none" w:sz="0" w:space="0" w:color="auto"/>
                <w:left w:val="none" w:sz="0" w:space="0" w:color="auto"/>
                <w:bottom w:val="none" w:sz="0" w:space="0" w:color="auto"/>
                <w:right w:val="none" w:sz="0" w:space="0" w:color="auto"/>
              </w:divBdr>
              <w:divsChild>
                <w:div w:id="42608137">
                  <w:marLeft w:val="0"/>
                  <w:marRight w:val="0"/>
                  <w:marTop w:val="0"/>
                  <w:marBottom w:val="200"/>
                  <w:divBdr>
                    <w:top w:val="none" w:sz="0" w:space="0" w:color="auto"/>
                    <w:left w:val="none" w:sz="0" w:space="0" w:color="auto"/>
                    <w:bottom w:val="none" w:sz="0" w:space="0" w:color="auto"/>
                    <w:right w:val="none" w:sz="0" w:space="0" w:color="auto"/>
                  </w:divBdr>
                  <w:divsChild>
                    <w:div w:id="80874667">
                      <w:marLeft w:val="0"/>
                      <w:marRight w:val="0"/>
                      <w:marTop w:val="0"/>
                      <w:marBottom w:val="0"/>
                      <w:divBdr>
                        <w:top w:val="none" w:sz="0" w:space="0" w:color="auto"/>
                        <w:left w:val="none" w:sz="0" w:space="0" w:color="auto"/>
                        <w:bottom w:val="none" w:sz="0" w:space="0" w:color="auto"/>
                        <w:right w:val="none" w:sz="0" w:space="0" w:color="auto"/>
                      </w:divBdr>
                      <w:divsChild>
                        <w:div w:id="2021807280">
                          <w:marLeft w:val="0"/>
                          <w:marRight w:val="0"/>
                          <w:marTop w:val="0"/>
                          <w:marBottom w:val="0"/>
                          <w:divBdr>
                            <w:top w:val="none" w:sz="0" w:space="0" w:color="auto"/>
                            <w:left w:val="none" w:sz="0" w:space="0" w:color="auto"/>
                            <w:bottom w:val="none" w:sz="0" w:space="0" w:color="auto"/>
                            <w:right w:val="none" w:sz="0" w:space="0" w:color="auto"/>
                          </w:divBdr>
                          <w:divsChild>
                            <w:div w:id="64497783">
                              <w:marLeft w:val="0"/>
                              <w:marRight w:val="0"/>
                              <w:marTop w:val="0"/>
                              <w:marBottom w:val="0"/>
                              <w:divBdr>
                                <w:top w:val="none" w:sz="0" w:space="0" w:color="auto"/>
                                <w:left w:val="none" w:sz="0" w:space="0" w:color="auto"/>
                                <w:bottom w:val="none" w:sz="0" w:space="0" w:color="auto"/>
                                <w:right w:val="none" w:sz="0" w:space="0" w:color="auto"/>
                              </w:divBdr>
                              <w:divsChild>
                                <w:div w:id="17093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14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k.dyer@londonem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5B9B7-CC31-444C-A878-E8B3FA15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15</Pages>
  <Words>5218</Words>
  <Characters>26928</Characters>
  <Application>Microsoft Office Word</Application>
  <DocSecurity>0</DocSecurity>
  <Lines>528</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Dyer</dc:creator>
  <cp:keywords/>
  <dc:description/>
  <cp:lastModifiedBy>Rosemary Hunter</cp:lastModifiedBy>
  <cp:revision>122</cp:revision>
  <dcterms:created xsi:type="dcterms:W3CDTF">2024-12-15T12:28:00Z</dcterms:created>
  <dcterms:modified xsi:type="dcterms:W3CDTF">2025-01-04T17:40:00Z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d6f36961a96816da47443a276a3721cad01c28d8da19368504333cb1a0ca221f</vt:lpwstr>
  </property>
</Properties>
</file>