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A99FC" w14:textId="2513ABCA" w:rsidR="00B905C8" w:rsidRPr="00F158B0" w:rsidRDefault="00B905C8" w:rsidP="00F158B0">
      <w:pPr>
        <w:pStyle w:val="Heading1"/>
      </w:pPr>
      <w:r w:rsidRPr="00F158B0">
        <w:t>I</w:t>
      </w:r>
      <w:r w:rsidR="00BF6B63" w:rsidRPr="00F158B0">
        <w:t>ntroduction</w:t>
      </w:r>
      <w:r w:rsidR="00E954A0" w:rsidRPr="00F158B0">
        <w:t xml:space="preserve"> to the Special Section: Feminism, Law and Citizenship – An </w:t>
      </w:r>
      <w:r w:rsidR="00C578B1" w:rsidRPr="00F158B0">
        <w:t>I</w:t>
      </w:r>
      <w:r w:rsidR="00E954A0" w:rsidRPr="00F158B0">
        <w:t xml:space="preserve">nternational </w:t>
      </w:r>
      <w:r w:rsidR="00C578B1" w:rsidRPr="00F158B0">
        <w:t>C</w:t>
      </w:r>
      <w:r w:rsidR="00E954A0" w:rsidRPr="00F158B0">
        <w:t>ollection</w:t>
      </w:r>
    </w:p>
    <w:p w14:paraId="77F19FCE" w14:textId="77777777" w:rsidR="00B905C8" w:rsidRDefault="00B905C8" w:rsidP="00617C3C">
      <w:pPr>
        <w:jc w:val="both"/>
        <w:rPr>
          <w:b/>
          <w:bCs/>
        </w:rPr>
      </w:pPr>
    </w:p>
    <w:p w14:paraId="229B4FBC" w14:textId="1B931271" w:rsidR="00625513" w:rsidRPr="00625513" w:rsidRDefault="00625513" w:rsidP="00617C3C">
      <w:pPr>
        <w:jc w:val="both"/>
        <w:rPr>
          <w:b/>
          <w:bCs/>
        </w:rPr>
      </w:pPr>
      <w:r w:rsidRPr="00625513">
        <w:rPr>
          <w:b/>
          <w:bCs/>
        </w:rPr>
        <w:t>Rosemary Auchmuty</w:t>
      </w:r>
      <w:r w:rsidR="00587C86">
        <w:rPr>
          <w:rStyle w:val="FootnoteReference"/>
          <w:b/>
          <w:bCs/>
        </w:rPr>
        <w:footnoteReference w:customMarkFollows="1" w:id="1"/>
        <w:t>*</w:t>
      </w:r>
      <w:r w:rsidRPr="00625513">
        <w:rPr>
          <w:b/>
          <w:bCs/>
        </w:rPr>
        <w:t xml:space="preserve"> and Alexandrine </w:t>
      </w:r>
      <w:proofErr w:type="spellStart"/>
      <w:r w:rsidRPr="00625513">
        <w:rPr>
          <w:b/>
          <w:bCs/>
        </w:rPr>
        <w:t>Nedelec</w:t>
      </w:r>
      <w:proofErr w:type="spellEnd"/>
      <w:r w:rsidR="009C3FC3">
        <w:rPr>
          <w:rStyle w:val="FootnoteReference"/>
          <w:b/>
          <w:bCs/>
        </w:rPr>
        <w:footnoteReference w:customMarkFollows="1" w:id="2"/>
        <w:t>**</w:t>
      </w:r>
    </w:p>
    <w:p w14:paraId="67AFD874" w14:textId="77777777" w:rsidR="00BF6B63" w:rsidRDefault="00BF6B63" w:rsidP="00617C3C">
      <w:pPr>
        <w:jc w:val="both"/>
      </w:pPr>
    </w:p>
    <w:p w14:paraId="77A6B61B" w14:textId="77777777" w:rsidR="00A46C15" w:rsidRDefault="00A46C15" w:rsidP="00F51B1B">
      <w:pPr>
        <w:spacing w:line="360" w:lineRule="auto"/>
        <w:jc w:val="both"/>
      </w:pPr>
    </w:p>
    <w:p w14:paraId="395A14E8" w14:textId="7C66325B" w:rsidR="00E67DAF" w:rsidRDefault="00E67DAF" w:rsidP="00F51B1B">
      <w:pPr>
        <w:spacing w:line="360" w:lineRule="auto"/>
        <w:jc w:val="both"/>
      </w:pPr>
      <w:r>
        <w:t xml:space="preserve">We offer </w:t>
      </w:r>
      <w:r w:rsidR="00172745">
        <w:t xml:space="preserve">here </w:t>
      </w:r>
      <w:r>
        <w:t>f</w:t>
      </w:r>
      <w:r w:rsidR="00C112A8">
        <w:t>our</w:t>
      </w:r>
      <w:r>
        <w:t xml:space="preserve"> papers from the </w:t>
      </w:r>
      <w:r w:rsidR="0045490B">
        <w:t>6</w:t>
      </w:r>
      <w:r>
        <w:t xml:space="preserve">0-plus presented at the first </w:t>
      </w:r>
      <w:r w:rsidRPr="00241CFD">
        <w:rPr>
          <w:i/>
          <w:iCs/>
        </w:rPr>
        <w:t>Feminism, Law and Citizenship</w:t>
      </w:r>
      <w:r>
        <w:t xml:space="preserve"> conference in Paris in </w:t>
      </w:r>
      <w:hyperlink r:id="rId7" w:history="1">
        <w:r w:rsidRPr="00795950">
          <w:rPr>
            <w:rStyle w:val="Hyperlink"/>
          </w:rPr>
          <w:t>July 2022</w:t>
        </w:r>
      </w:hyperlink>
      <w:r>
        <w:t xml:space="preserve"> (postponed from 2020</w:t>
      </w:r>
      <w:r w:rsidR="000D0164">
        <w:t xml:space="preserve">). </w:t>
      </w:r>
      <w:r>
        <w:t xml:space="preserve">Participants </w:t>
      </w:r>
      <w:r w:rsidR="000D0164">
        <w:t>attend</w:t>
      </w:r>
      <w:r>
        <w:t>ed from Europe, North, South and Central America, Africa and Australasia</w:t>
      </w:r>
      <w:r w:rsidR="00FE2A15">
        <w:t>,</w:t>
      </w:r>
      <w:r>
        <w:t xml:space="preserve"> and among them were citizens of all these places and </w:t>
      </w:r>
      <w:r w:rsidR="00172745">
        <w:t>of</w:t>
      </w:r>
      <w:r>
        <w:t xml:space="preserve"> Asia </w:t>
      </w:r>
      <w:proofErr w:type="gramStart"/>
      <w:r w:rsidR="00172745">
        <w:t>too</w:t>
      </w:r>
      <w:r w:rsidR="005E28F8">
        <w:t>;</w:t>
      </w:r>
      <w:proofErr w:type="gramEnd"/>
      <w:r w:rsidR="00172745">
        <w:t xml:space="preserve"> </w:t>
      </w:r>
      <w:r>
        <w:t>who in this global world were now working elsewhere. The</w:t>
      </w:r>
      <w:r w:rsidR="000D0164">
        <w:t xml:space="preserve">y represented a range of constituencies: </w:t>
      </w:r>
      <w:r>
        <w:t xml:space="preserve">academics from law schools </w:t>
      </w:r>
      <w:r w:rsidR="000D0164">
        <w:t xml:space="preserve">and </w:t>
      </w:r>
      <w:r>
        <w:t>other disciplines, practitioners, activists,</w:t>
      </w:r>
      <w:r w:rsidR="00172745">
        <w:t xml:space="preserve"> politicians</w:t>
      </w:r>
      <w:r>
        <w:t xml:space="preserve"> and postgraduate students. </w:t>
      </w:r>
      <w:r w:rsidR="000D0164">
        <w:t>This mix</w:t>
      </w:r>
      <w:r w:rsidR="00FE2A15">
        <w:t>ture</w:t>
      </w:r>
      <w:r w:rsidR="00172745">
        <w:t xml:space="preserve"> made for </w:t>
      </w:r>
      <w:r>
        <w:t xml:space="preserve">a happy </w:t>
      </w:r>
      <w:r w:rsidR="00172745">
        <w:t xml:space="preserve">and enlightening </w:t>
      </w:r>
      <w:r>
        <w:t>sharing of knowledge and ideas</w:t>
      </w:r>
      <w:r w:rsidR="00172745">
        <w:t xml:space="preserve">. </w:t>
      </w:r>
      <w:r w:rsidR="00FE2A15">
        <w:t>The conference</w:t>
      </w:r>
      <w:r w:rsidR="00172745">
        <w:t xml:space="preserve"> </w:t>
      </w:r>
      <w:r>
        <w:t>proved so popular that we organis</w:t>
      </w:r>
      <w:r w:rsidR="0092341B">
        <w:t>ed</w:t>
      </w:r>
      <w:r>
        <w:t xml:space="preserve"> another on</w:t>
      </w:r>
      <w:r w:rsidR="00CC534E">
        <w:t>e on</w:t>
      </w:r>
      <w:r>
        <w:t xml:space="preserve"> the same themes in Paris in </w:t>
      </w:r>
      <w:hyperlink r:id="rId8" w:history="1">
        <w:r w:rsidRPr="00795950">
          <w:rPr>
            <w:rStyle w:val="Hyperlink"/>
          </w:rPr>
          <w:t>September 2024</w:t>
        </w:r>
      </w:hyperlink>
      <w:r>
        <w:t>.</w:t>
      </w:r>
    </w:p>
    <w:p w14:paraId="59F13222" w14:textId="602B5116" w:rsidR="00B36D41" w:rsidRDefault="007773D1" w:rsidP="00F51B1B">
      <w:pPr>
        <w:spacing w:line="360" w:lineRule="auto"/>
        <w:jc w:val="both"/>
      </w:pPr>
      <w:r>
        <w:tab/>
        <w:t xml:space="preserve">The decision to hold such an event in Paris was not coincidental. </w:t>
      </w:r>
      <w:r w:rsidR="00691FCB">
        <w:t>W</w:t>
      </w:r>
      <w:r w:rsidR="006D5EDE">
        <w:t>omen and g</w:t>
      </w:r>
      <w:r>
        <w:t xml:space="preserve">ender </w:t>
      </w:r>
      <w:r w:rsidR="006D5EDE">
        <w:t>s</w:t>
      </w:r>
      <w:r>
        <w:t>tudies are much less prominent in French academia than they are in the English-speaking world. Except for a couple of universities, they are awarded little institutional support</w:t>
      </w:r>
      <w:r w:rsidR="006D5EDE">
        <w:t>, even if the number of graduate students and academics specialising in these issues keeps growing</w:t>
      </w:r>
      <w:r>
        <w:t xml:space="preserve">. Research and teaching positions rarely refer to </w:t>
      </w:r>
      <w:r w:rsidR="006D5EDE">
        <w:t>women and g</w:t>
      </w:r>
      <w:r>
        <w:t xml:space="preserve">ender </w:t>
      </w:r>
      <w:r w:rsidR="006D5EDE">
        <w:t>s</w:t>
      </w:r>
      <w:r>
        <w:t>tudies explicitly, not to mention feminism, which is</w:t>
      </w:r>
      <w:r w:rsidR="00B36D41">
        <w:t xml:space="preserve"> still</w:t>
      </w:r>
      <w:r>
        <w:t xml:space="preserve"> widely perceived as unscientific</w:t>
      </w:r>
      <w:r w:rsidR="006E7892">
        <w:t>,</w:t>
      </w:r>
      <w:r>
        <w:t xml:space="preserve"> despite the breadth of knowledge developed by feminist theoreticians</w:t>
      </w:r>
      <w:r w:rsidR="006D5EDE">
        <w:t xml:space="preserve"> in France and internationally</w:t>
      </w:r>
      <w:r>
        <w:t>.</w:t>
      </w:r>
    </w:p>
    <w:p w14:paraId="4E70BCCB" w14:textId="310065E1" w:rsidR="007773D1" w:rsidRDefault="00B36D41" w:rsidP="00D6351E">
      <w:pPr>
        <w:spacing w:line="360" w:lineRule="auto"/>
        <w:ind w:firstLine="720"/>
        <w:jc w:val="both"/>
      </w:pPr>
      <w:r>
        <w:t>Such</w:t>
      </w:r>
      <w:r w:rsidR="007773D1">
        <w:t xml:space="preserve"> is the bigger picture across the disciplines, but feminist and gender approaches are even more strikingly absent from the legal field. Law in the French system is dominated by traditional conservative approaches</w:t>
      </w:r>
      <w:r w:rsidR="006D5EDE">
        <w:t xml:space="preserve"> which often denigrate critical legal studies. For example, there </w:t>
      </w:r>
      <w:r w:rsidR="0040625F">
        <w:t>i</w:t>
      </w:r>
      <w:r w:rsidR="006D5EDE">
        <w:t>s only one significant research program in gender and law</w:t>
      </w:r>
      <w:r w:rsidR="0040625F">
        <w:t xml:space="preserve"> that received funding from the French national research agency (ANR): </w:t>
      </w:r>
      <w:hyperlink r:id="rId9" w:history="1">
        <w:r w:rsidR="0040625F" w:rsidRPr="00795950">
          <w:rPr>
            <w:rStyle w:val="Hyperlink"/>
          </w:rPr>
          <w:t>REGINE</w:t>
        </w:r>
      </w:hyperlink>
      <w:r w:rsidR="00795950">
        <w:t xml:space="preserve"> (</w:t>
      </w:r>
      <w:r w:rsidR="00795950" w:rsidRPr="00D6351E">
        <w:rPr>
          <w:i/>
          <w:iCs/>
        </w:rPr>
        <w:t xml:space="preserve">Recherche et Etudes sur le Genre et les </w:t>
      </w:r>
      <w:proofErr w:type="spellStart"/>
      <w:r w:rsidR="00795950" w:rsidRPr="00D6351E">
        <w:rPr>
          <w:i/>
          <w:iCs/>
        </w:rPr>
        <w:t>Inégalités</w:t>
      </w:r>
      <w:proofErr w:type="spellEnd"/>
      <w:r w:rsidR="00795950" w:rsidRPr="00D6351E">
        <w:rPr>
          <w:i/>
          <w:iCs/>
        </w:rPr>
        <w:t xml:space="preserve"> dans les </w:t>
      </w:r>
      <w:proofErr w:type="spellStart"/>
      <w:r w:rsidR="00795950" w:rsidRPr="00D6351E">
        <w:rPr>
          <w:i/>
          <w:iCs/>
        </w:rPr>
        <w:t>Normes</w:t>
      </w:r>
      <w:proofErr w:type="spellEnd"/>
      <w:r w:rsidR="00795950" w:rsidRPr="00D6351E">
        <w:rPr>
          <w:i/>
          <w:iCs/>
        </w:rPr>
        <w:t xml:space="preserve"> </w:t>
      </w:r>
      <w:proofErr w:type="spellStart"/>
      <w:r w:rsidR="00795950" w:rsidRPr="00D6351E">
        <w:rPr>
          <w:i/>
          <w:iCs/>
        </w:rPr>
        <w:t>en</w:t>
      </w:r>
      <w:proofErr w:type="spellEnd"/>
      <w:r w:rsidR="00795950" w:rsidRPr="00D6351E">
        <w:rPr>
          <w:i/>
          <w:iCs/>
        </w:rPr>
        <w:t xml:space="preserve"> Europe</w:t>
      </w:r>
      <w:r w:rsidR="00795950">
        <w:t>)</w:t>
      </w:r>
      <w:r w:rsidR="0040625F">
        <w:t xml:space="preserve">, a program which celebrated its </w:t>
      </w:r>
      <w:hyperlink r:id="rId10" w:history="1">
        <w:r w:rsidR="004B66FF" w:rsidRPr="00795950">
          <w:rPr>
            <w:rStyle w:val="Hyperlink"/>
          </w:rPr>
          <w:t xml:space="preserve">tenth </w:t>
        </w:r>
        <w:r w:rsidR="0040625F" w:rsidRPr="00795950">
          <w:rPr>
            <w:rStyle w:val="Hyperlink"/>
          </w:rPr>
          <w:t>anniversary in November 2023</w:t>
        </w:r>
      </w:hyperlink>
      <w:r w:rsidR="0040625F">
        <w:t xml:space="preserve"> but continues to be a landmark. We were thus </w:t>
      </w:r>
      <w:r w:rsidR="00D6351E">
        <w:t xml:space="preserve">very </w:t>
      </w:r>
      <w:r w:rsidR="0040625F">
        <w:t xml:space="preserve">keen to </w:t>
      </w:r>
      <w:r w:rsidR="00D6351E">
        <w:t xml:space="preserve">hold </w:t>
      </w:r>
      <w:r w:rsidR="0040625F">
        <w:t xml:space="preserve">the conference in one of the </w:t>
      </w:r>
      <w:r w:rsidR="0040625F">
        <w:lastRenderedPageBreak/>
        <w:t>leading law</w:t>
      </w:r>
      <w:r>
        <w:t xml:space="preserve"> schools</w:t>
      </w:r>
      <w:r w:rsidR="0040625F">
        <w:t xml:space="preserve"> in France.</w:t>
      </w:r>
      <w:r>
        <w:t xml:space="preserve"> It</w:t>
      </w:r>
      <w:r w:rsidR="000E7B30">
        <w:t xml:space="preserve"> was</w:t>
      </w:r>
      <w:r>
        <w:t xml:space="preserve"> symbolic</w:t>
      </w:r>
      <w:r w:rsidR="000E7B30">
        <w:t>ally</w:t>
      </w:r>
      <w:r>
        <w:t xml:space="preserve"> locat</w:t>
      </w:r>
      <w:r w:rsidR="000E7B30">
        <w:t>ed</w:t>
      </w:r>
      <w:r>
        <w:t xml:space="preserve"> </w:t>
      </w:r>
      <w:r w:rsidR="00D6351E">
        <w:t>in</w:t>
      </w:r>
      <w:r w:rsidR="007157A3">
        <w:t xml:space="preserve"> the Université Paris-1 Panthéon-Sorbonne site near the Panthéon</w:t>
      </w:r>
      <w:r w:rsidR="00D6351E">
        <w:t xml:space="preserve"> with</w:t>
      </w:r>
      <w:r>
        <w:t xml:space="preserve"> its famous inscription </w:t>
      </w:r>
      <w:r w:rsidR="004B66FF">
        <w:t>‘</w:t>
      </w:r>
      <w:r>
        <w:t>To the great men, the grateful fatherland</w:t>
      </w:r>
      <w:r w:rsidR="004B66FF">
        <w:t>’</w:t>
      </w:r>
      <w:r>
        <w:t xml:space="preserve"> (</w:t>
      </w:r>
      <w:r w:rsidR="004B66FF">
        <w:t>‘</w:t>
      </w:r>
      <w:r>
        <w:rPr>
          <w:i/>
          <w:iCs/>
        </w:rPr>
        <w:t>A</w:t>
      </w:r>
      <w:r w:rsidRPr="00625513">
        <w:rPr>
          <w:i/>
          <w:iCs/>
        </w:rPr>
        <w:t xml:space="preserve">ux grands hommes, la </w:t>
      </w:r>
      <w:proofErr w:type="spellStart"/>
      <w:r w:rsidRPr="00625513">
        <w:rPr>
          <w:i/>
          <w:iCs/>
        </w:rPr>
        <w:t>patrie</w:t>
      </w:r>
      <w:proofErr w:type="spellEnd"/>
      <w:r w:rsidRPr="00625513">
        <w:rPr>
          <w:i/>
          <w:iCs/>
        </w:rPr>
        <w:t xml:space="preserve"> </w:t>
      </w:r>
      <w:proofErr w:type="spellStart"/>
      <w:r w:rsidRPr="00625513">
        <w:rPr>
          <w:i/>
          <w:iCs/>
        </w:rPr>
        <w:t>reconnaissante</w:t>
      </w:r>
      <w:proofErr w:type="spellEnd"/>
      <w:r w:rsidR="004B66FF">
        <w:t>’</w:t>
      </w:r>
      <w:r>
        <w:t>), six months after Josephine Baker</w:t>
      </w:r>
      <w:r w:rsidR="00D6351E">
        <w:t xml:space="preserve"> </w:t>
      </w:r>
      <w:r w:rsidR="00DC4B6A">
        <w:t>–</w:t>
      </w:r>
      <w:r w:rsidR="00D6351E">
        <w:t xml:space="preserve"> </w:t>
      </w:r>
      <w:r w:rsidR="00795950">
        <w:t xml:space="preserve">performer, spy, and </w:t>
      </w:r>
      <w:r w:rsidR="002C58F8">
        <w:t xml:space="preserve">civil rights </w:t>
      </w:r>
      <w:r w:rsidR="00795950">
        <w:t>activist</w:t>
      </w:r>
      <w:r w:rsidR="00D6351E">
        <w:t xml:space="preserve"> – became </w:t>
      </w:r>
      <w:r w:rsidR="002C58F8">
        <w:t xml:space="preserve">the first woman of colour to </w:t>
      </w:r>
      <w:r w:rsidR="00D6351E">
        <w:t xml:space="preserve">be interred in </w:t>
      </w:r>
      <w:r w:rsidR="005B63E2">
        <w:t xml:space="preserve">the French </w:t>
      </w:r>
      <w:r w:rsidR="00B850CA">
        <w:t>‘</w:t>
      </w:r>
      <w:r w:rsidR="005B63E2">
        <w:t>temple of the nation</w:t>
      </w:r>
      <w:r w:rsidR="00B850CA">
        <w:t>’</w:t>
      </w:r>
      <w:r w:rsidR="005B63E2">
        <w:t>, one of the highest honours of the French Republic.</w:t>
      </w:r>
      <w:r w:rsidR="005B63E2" w:rsidRPr="005B63E2">
        <w:t xml:space="preserve"> </w:t>
      </w:r>
      <w:r w:rsidR="005B63E2">
        <w:t xml:space="preserve">The induction of a Black woman, born outside France, was described as heralding a new and more diverse era for the Panthéon, ensuring </w:t>
      </w:r>
      <w:r w:rsidR="00691FCB">
        <w:t xml:space="preserve">that </w:t>
      </w:r>
      <w:r w:rsidR="005B63E2">
        <w:t>the monument reflect</w:t>
      </w:r>
      <w:r w:rsidR="00691FCB">
        <w:t>ed</w:t>
      </w:r>
      <w:r w:rsidR="005B63E2">
        <w:t xml:space="preserve"> a more diverse and inclusive history of the French Republic</w:t>
      </w:r>
      <w:r w:rsidR="00603FAD">
        <w:t>.</w:t>
      </w:r>
      <w:r w:rsidR="005B63E2">
        <w:rPr>
          <w:rStyle w:val="FootnoteReference"/>
        </w:rPr>
        <w:footnoteReference w:id="3"/>
      </w:r>
      <w:r w:rsidR="00603FAD">
        <w:t xml:space="preserve"> </w:t>
      </w:r>
      <w:r w:rsidR="00691FCB">
        <w:t>That</w:t>
      </w:r>
      <w:r w:rsidR="00603FAD" w:rsidRPr="00603FAD">
        <w:t xml:space="preserve"> the conference was held under the auspices of this historic </w:t>
      </w:r>
      <w:proofErr w:type="spellStart"/>
      <w:r w:rsidR="00603FAD" w:rsidRPr="00D6351E">
        <w:rPr>
          <w:i/>
          <w:iCs/>
        </w:rPr>
        <w:t>Panthéonisation</w:t>
      </w:r>
      <w:proofErr w:type="spellEnd"/>
      <w:r w:rsidR="00603FAD" w:rsidRPr="00603FAD">
        <w:t xml:space="preserve"> resonated with the three terms in </w:t>
      </w:r>
      <w:r w:rsidR="00691FCB">
        <w:t>its</w:t>
      </w:r>
      <w:r w:rsidR="00D6351E">
        <w:t xml:space="preserve"> </w:t>
      </w:r>
      <w:r w:rsidR="00603FAD" w:rsidRPr="00603FAD">
        <w:t>title: feminism, law and citizenship.</w:t>
      </w:r>
    </w:p>
    <w:p w14:paraId="38DB3ACD" w14:textId="0AD10FE1" w:rsidR="0052689D" w:rsidRDefault="00D33577" w:rsidP="00F51B1B">
      <w:pPr>
        <w:spacing w:line="360" w:lineRule="auto"/>
        <w:jc w:val="both"/>
      </w:pPr>
      <w:r>
        <w:tab/>
      </w:r>
      <w:r w:rsidR="000D0164">
        <w:t xml:space="preserve">The papers here illustrate both the themes of the conference and the breadth of their treatment. </w:t>
      </w:r>
      <w:r w:rsidR="00842413">
        <w:t xml:space="preserve">This was an explicitly feminist conference, not one </w:t>
      </w:r>
      <w:r w:rsidR="00FE2A15">
        <w:t xml:space="preserve">just </w:t>
      </w:r>
      <w:r w:rsidR="00842413">
        <w:t>about women</w:t>
      </w:r>
      <w:r w:rsidR="00F94817">
        <w:t xml:space="preserve"> and law. </w:t>
      </w:r>
      <w:r w:rsidR="000D0164">
        <w:t xml:space="preserve">The focus on citizenship provided a lens through which to view past and continuing inequalities, discriminations and injustices facing women in terms of their ability to participate in public life, compete with men and enjoy legal capacity and physical autonomy. </w:t>
      </w:r>
      <w:r w:rsidR="00B36D41">
        <w:t>The framing of the conference fo</w:t>
      </w:r>
      <w:r w:rsidR="0040625F">
        <w:t>llow</w:t>
      </w:r>
      <w:r w:rsidR="00B36D41">
        <w:t>ed</w:t>
      </w:r>
      <w:r w:rsidR="0040625F">
        <w:t xml:space="preserve"> in the footsteps of feminist approaches </w:t>
      </w:r>
      <w:r w:rsidR="003F7CFE">
        <w:t>to</w:t>
      </w:r>
      <w:r w:rsidR="0040625F">
        <w:t xml:space="preserve"> citizenship, </w:t>
      </w:r>
      <w:r w:rsidR="009B0B91">
        <w:t xml:space="preserve">which notably called for bridging the public-private dichotomy and including care </w:t>
      </w:r>
      <w:r w:rsidR="00691FCB">
        <w:t>within</w:t>
      </w:r>
      <w:r w:rsidR="009B0B91">
        <w:t xml:space="preserve"> citizenship obligations</w:t>
      </w:r>
      <w:r w:rsidR="00A83222">
        <w:t>.</w:t>
      </w:r>
      <w:r w:rsidR="00632B97">
        <w:rPr>
          <w:rStyle w:val="FootnoteReference"/>
        </w:rPr>
        <w:footnoteReference w:id="4"/>
      </w:r>
      <w:r w:rsidR="00A83222">
        <w:t xml:space="preserve"> </w:t>
      </w:r>
      <w:r w:rsidR="0052689D">
        <w:t xml:space="preserve">This partly explains </w:t>
      </w:r>
      <w:r w:rsidR="0052689D" w:rsidRPr="0052689D">
        <w:t xml:space="preserve">the </w:t>
      </w:r>
      <w:r w:rsidR="007C46C5">
        <w:t xml:space="preserve">high </w:t>
      </w:r>
      <w:r w:rsidR="0052689D">
        <w:t xml:space="preserve">number of </w:t>
      </w:r>
      <w:r w:rsidR="007C46C5">
        <w:t xml:space="preserve">conference paper </w:t>
      </w:r>
      <w:r w:rsidR="0052689D">
        <w:t>submissions tackling</w:t>
      </w:r>
      <w:r w:rsidR="0052689D" w:rsidRPr="0052689D">
        <w:t xml:space="preserve"> reproductive righ</w:t>
      </w:r>
      <w:r w:rsidR="0052689D">
        <w:t>ts</w:t>
      </w:r>
      <w:r w:rsidR="0052689D" w:rsidRPr="0052689D">
        <w:t xml:space="preserve"> </w:t>
      </w:r>
      <w:r w:rsidR="0052689D">
        <w:t>and reproductive justice more generally.</w:t>
      </w:r>
    </w:p>
    <w:p w14:paraId="5D02FA61" w14:textId="2DC4B135" w:rsidR="00F94817" w:rsidRDefault="0052689D" w:rsidP="00F51B1B">
      <w:pPr>
        <w:spacing w:line="360" w:lineRule="auto"/>
        <w:ind w:firstLine="720"/>
        <w:jc w:val="both"/>
      </w:pPr>
      <w:r>
        <w:t>Accordingly</w:t>
      </w:r>
      <w:r w:rsidR="00A83222">
        <w:t>,</w:t>
      </w:r>
      <w:r w:rsidR="009B0B91">
        <w:t xml:space="preserve"> </w:t>
      </w:r>
      <w:r w:rsidR="0040625F">
        <w:t>c</w:t>
      </w:r>
      <w:r w:rsidR="00842413">
        <w:t xml:space="preserve">itizenship in all its dimensions – social, political, economic, cultural, as well as legal – was dissected and compared across </w:t>
      </w:r>
      <w:r w:rsidR="00F94817">
        <w:t>a wide</w:t>
      </w:r>
      <w:r w:rsidR="00842413">
        <w:t xml:space="preserve"> range of settings and (through several papers on legal history) eras. </w:t>
      </w:r>
      <w:r w:rsidR="00F94817">
        <w:t>If any single message emerged from the conference, it was that patriarchal control of women might vary in form across time and space</w:t>
      </w:r>
      <w:r w:rsidR="00270FB2">
        <w:t>,</w:t>
      </w:r>
      <w:r w:rsidR="00F94817">
        <w:t xml:space="preserve"> but the effect is </w:t>
      </w:r>
      <w:r w:rsidR="00FE2A15">
        <w:t xml:space="preserve">much </w:t>
      </w:r>
      <w:r w:rsidR="00F94817">
        <w:t xml:space="preserve">the same. </w:t>
      </w:r>
      <w:r w:rsidR="00F94817">
        <w:lastRenderedPageBreak/>
        <w:t xml:space="preserve">Women in different societies and jurisdictions enjoy widely differing amounts of freedom but our freedom is never </w:t>
      </w:r>
      <w:r w:rsidR="00FE2A15">
        <w:t xml:space="preserve">complete or </w:t>
      </w:r>
      <w:r w:rsidR="00F94817">
        <w:t>guaranteed</w:t>
      </w:r>
      <w:r w:rsidR="00FE2A15">
        <w:t>. N</w:t>
      </w:r>
      <w:r w:rsidR="00F94817">
        <w:t xml:space="preserve">or </w:t>
      </w:r>
      <w:r w:rsidR="00FE2A15">
        <w:t xml:space="preserve">is it </w:t>
      </w:r>
      <w:r w:rsidR="00F94817">
        <w:t>secure</w:t>
      </w:r>
      <w:r w:rsidR="0029530A">
        <w:t>:</w:t>
      </w:r>
      <w:r w:rsidR="00F94817">
        <w:t xml:space="preserve"> witness the recent retrenchment on abortion rights in the US.</w:t>
      </w:r>
      <w:r w:rsidR="007559E3">
        <w:rPr>
          <w:rStyle w:val="FootnoteReference"/>
        </w:rPr>
        <w:footnoteReference w:id="5"/>
      </w:r>
      <w:r w:rsidR="00F94817">
        <w:t xml:space="preserve"> </w:t>
      </w:r>
      <w:r w:rsidR="006027B2">
        <w:t>The sexes are not simply unequal; women are subordinated to, and consistently exploited and oppressed by, men.</w:t>
      </w:r>
      <w:r w:rsidR="009B0B91">
        <w:t xml:space="preserve"> Women’s enjoyment of their citizenship rights was also shown to be deeply asymmetrical and intersectional, with strong variations depending on class, race, etc.</w:t>
      </w:r>
    </w:p>
    <w:p w14:paraId="585B8F3C" w14:textId="1278DDA4" w:rsidR="00FE2A15" w:rsidRDefault="000D0164" w:rsidP="00F51B1B">
      <w:pPr>
        <w:spacing w:line="360" w:lineRule="auto"/>
        <w:ind w:firstLine="720"/>
        <w:jc w:val="both"/>
      </w:pPr>
      <w:r>
        <w:t xml:space="preserve">Our plenary speakers addressed feminism in judging (Lady Hale, interviewed by Rosemary Hunter and Erika Rackley, a transcript of which appears </w:t>
      </w:r>
      <w:r w:rsidR="004B66FF">
        <w:t>i</w:t>
      </w:r>
      <w:r>
        <w:t xml:space="preserve">n </w:t>
      </w:r>
      <w:proofErr w:type="spellStart"/>
      <w:r w:rsidRPr="00632B97">
        <w:rPr>
          <w:i/>
          <w:iCs/>
        </w:rPr>
        <w:t>feminist</w:t>
      </w:r>
      <w:r w:rsidR="00FD2D1F" w:rsidRPr="00632B97">
        <w:rPr>
          <w:i/>
          <w:iCs/>
        </w:rPr>
        <w:t>s</w:t>
      </w:r>
      <w:r w:rsidRPr="00632B97">
        <w:rPr>
          <w:i/>
          <w:iCs/>
        </w:rPr>
        <w:t>@law</w:t>
      </w:r>
      <w:proofErr w:type="spellEnd"/>
      <w:r w:rsidR="00763F74">
        <w:rPr>
          <w:i/>
          <w:iCs/>
        </w:rPr>
        <w:t xml:space="preserve"> </w:t>
      </w:r>
      <w:r w:rsidR="00763F74">
        <w:t>Vol 11, No 2</w:t>
      </w:r>
      <w:r>
        <w:t>)</w:t>
      </w:r>
      <w:r w:rsidR="004B66FF">
        <w:rPr>
          <w:rStyle w:val="FootnoteReference"/>
        </w:rPr>
        <w:footnoteReference w:id="6"/>
      </w:r>
      <w:r>
        <w:t xml:space="preserve"> and reproductive rights (Diane Roman, Professor of Public Law at the Sorbonne Law School</w:t>
      </w:r>
      <w:r w:rsidR="0040625F">
        <w:t xml:space="preserve">, former </w:t>
      </w:r>
      <w:r w:rsidR="00A83222">
        <w:t>principal investigator</w:t>
      </w:r>
      <w:r w:rsidR="0040625F">
        <w:t xml:space="preserve"> of the REGINE program</w:t>
      </w:r>
      <w:r>
        <w:t xml:space="preserve">). Through an exploration of the familiar tale of French </w:t>
      </w:r>
      <w:r w:rsidR="0029530A">
        <w:t>‘</w:t>
      </w:r>
      <w:r>
        <w:t xml:space="preserve">rights </w:t>
      </w:r>
      <w:r w:rsidR="0029530A">
        <w:t xml:space="preserve">of man’ </w:t>
      </w:r>
      <w:r>
        <w:t xml:space="preserve">history in particular, Professor Roman showed how women’s participation in public life has always been inextricably linked to their reproductive freedom and men’s desire to control it.  </w:t>
      </w:r>
    </w:p>
    <w:p w14:paraId="63681C8C" w14:textId="4932E5CB" w:rsidR="006027B2" w:rsidRDefault="000D0164" w:rsidP="00F51B1B">
      <w:pPr>
        <w:spacing w:line="360" w:lineRule="auto"/>
        <w:ind w:firstLine="720"/>
        <w:jc w:val="both"/>
      </w:pPr>
      <w:r>
        <w:t xml:space="preserve">Alongside reproductive freedom </w:t>
      </w:r>
      <w:r w:rsidR="006027B2">
        <w:t xml:space="preserve">(perhaps the strongest theme of the conference) </w:t>
      </w:r>
      <w:r>
        <w:t>and women’s representation in public life</w:t>
      </w:r>
      <w:r w:rsidR="00CF037D">
        <w:t xml:space="preserve"> and the legal profession</w:t>
      </w:r>
      <w:r>
        <w:t xml:space="preserve">, </w:t>
      </w:r>
      <w:r w:rsidR="006027B2">
        <w:t>contributions</w:t>
      </w:r>
      <w:r>
        <w:t xml:space="preserve"> </w:t>
      </w:r>
      <w:r w:rsidR="006027B2">
        <w:t>examined historical and c</w:t>
      </w:r>
      <w:r>
        <w:t xml:space="preserve">ontemporary legal issues for women in </w:t>
      </w:r>
      <w:r w:rsidR="006027B2">
        <w:t xml:space="preserve">family law, employment law, immigration law, and criminal law in </w:t>
      </w:r>
      <w:r>
        <w:t xml:space="preserve">the various regions represented.  </w:t>
      </w:r>
    </w:p>
    <w:p w14:paraId="2F13FEDA" w14:textId="4197F6E6" w:rsidR="00172745" w:rsidRPr="00E67DAF" w:rsidRDefault="000D0164" w:rsidP="00F51B1B">
      <w:pPr>
        <w:spacing w:line="360" w:lineRule="auto"/>
        <w:ind w:firstLine="720"/>
        <w:jc w:val="both"/>
      </w:pPr>
      <w:r>
        <w:t xml:space="preserve">Our collection here includes </w:t>
      </w:r>
      <w:r w:rsidR="00C112A8">
        <w:t xml:space="preserve">a </w:t>
      </w:r>
      <w:r w:rsidR="00D8394E">
        <w:t>paper t</w:t>
      </w:r>
      <w:r w:rsidR="00172745">
        <w:t>hat explore</w:t>
      </w:r>
      <w:r w:rsidR="00C112A8">
        <w:t>s</w:t>
      </w:r>
      <w:r w:rsidR="00172745">
        <w:t xml:space="preserve"> women’s citizenship </w:t>
      </w:r>
      <w:r w:rsidR="006027B2">
        <w:t xml:space="preserve">in the context of family law </w:t>
      </w:r>
      <w:r w:rsidR="00172745">
        <w:t>in the Middle East and North Africa</w:t>
      </w:r>
      <w:r w:rsidR="007B1009">
        <w:t xml:space="preserve">. </w:t>
      </w:r>
      <w:r w:rsidR="00D33577">
        <w:t>Valentine Moghadam (US</w:t>
      </w:r>
      <w:r w:rsidR="00FE2A15">
        <w:t>A</w:t>
      </w:r>
      <w:r w:rsidR="00D33577">
        <w:t>)</w:t>
      </w:r>
      <w:r w:rsidR="00654A87">
        <w:t xml:space="preserve"> </w:t>
      </w:r>
      <w:r w:rsidR="00B8043C">
        <w:t xml:space="preserve">sets her comparison of the recent history of family law in two Muslim states, Tunisia </w:t>
      </w:r>
      <w:r w:rsidR="00D33577">
        <w:t xml:space="preserve">and </w:t>
      </w:r>
      <w:r w:rsidR="00D8394E">
        <w:t>Iran</w:t>
      </w:r>
      <w:r w:rsidR="00B8043C">
        <w:t>, in a wider analysis of feminist theorising on citizenship</w:t>
      </w:r>
      <w:r w:rsidR="00842413">
        <w:t>. She looks at the external and international factors that drove periods of ‘state feminism’</w:t>
      </w:r>
      <w:r w:rsidR="00B8043C">
        <w:t xml:space="preserve"> that were then followed by</w:t>
      </w:r>
      <w:r w:rsidR="00842413">
        <w:t xml:space="preserve"> reversals, particularly in Iran, </w:t>
      </w:r>
      <w:r w:rsidR="00FE2A15">
        <w:t>thus</w:t>
      </w:r>
      <w:r w:rsidR="00842413">
        <w:t xml:space="preserve"> curtail</w:t>
      </w:r>
      <w:r w:rsidR="00FE2A15">
        <w:t>ing</w:t>
      </w:r>
      <w:r w:rsidR="00842413">
        <w:t xml:space="preserve"> women’s access not simply to legal (including reproductive) rights but to education, employment, and freedom of movement.  </w:t>
      </w:r>
    </w:p>
    <w:p w14:paraId="7181F9DE" w14:textId="2501CD60" w:rsidR="00172745" w:rsidRDefault="00FE2A15" w:rsidP="00F51B1B">
      <w:pPr>
        <w:spacing w:line="360" w:lineRule="auto"/>
        <w:ind w:firstLine="720"/>
        <w:jc w:val="both"/>
      </w:pPr>
      <w:r>
        <w:t>The prevalence of male v</w:t>
      </w:r>
      <w:r w:rsidR="00172745">
        <w:t xml:space="preserve">iolence against women </w:t>
      </w:r>
      <w:r w:rsidR="000D0164">
        <w:t xml:space="preserve">and girls </w:t>
      </w:r>
      <w:r w:rsidR="00172745">
        <w:t>was another strong theme that emerged from the conference. Two of the papers here, th</w:t>
      </w:r>
      <w:r w:rsidR="00E14F52">
        <w:t>ose</w:t>
      </w:r>
      <w:r w:rsidR="00172745">
        <w:t xml:space="preserve"> by Annick </w:t>
      </w:r>
      <w:proofErr w:type="spellStart"/>
      <w:r w:rsidR="00172745">
        <w:t>Gnaza</w:t>
      </w:r>
      <w:r w:rsidR="00625513">
        <w:t>lé</w:t>
      </w:r>
      <w:proofErr w:type="spellEnd"/>
      <w:r w:rsidR="00625513">
        <w:t xml:space="preserve"> </w:t>
      </w:r>
      <w:r w:rsidR="00172745">
        <w:t>from C</w:t>
      </w:r>
      <w:r w:rsidR="00E50E97">
        <w:rPr>
          <w:rFonts w:cstheme="minorHAnsi"/>
        </w:rPr>
        <w:t>ô</w:t>
      </w:r>
      <w:r w:rsidR="00172745">
        <w:t xml:space="preserve">te </w:t>
      </w:r>
      <w:r w:rsidR="00172745">
        <w:lastRenderedPageBreak/>
        <w:t>d’Ivoire and by Australian Holly Doel-</w:t>
      </w:r>
      <w:proofErr w:type="spellStart"/>
      <w:r w:rsidR="00172745">
        <w:t>Mackaway</w:t>
      </w:r>
      <w:proofErr w:type="spellEnd"/>
      <w:r w:rsidR="00076094">
        <w:t xml:space="preserve"> with </w:t>
      </w:r>
      <w:proofErr w:type="spellStart"/>
      <w:r w:rsidR="00076094">
        <w:t>Lachhindra</w:t>
      </w:r>
      <w:proofErr w:type="spellEnd"/>
      <w:r w:rsidR="00076094">
        <w:t xml:space="preserve"> Maharjan of the Habitat for Humanity International, Nepal</w:t>
      </w:r>
      <w:r w:rsidR="00172745">
        <w:t>, writing about Nepal, focus on the role played by men’s violence in controlling women</w:t>
      </w:r>
      <w:r w:rsidR="000D0164">
        <w:t xml:space="preserve"> and, especially, girls</w:t>
      </w:r>
      <w:r w:rsidR="00172745">
        <w:t xml:space="preserve">. </w:t>
      </w:r>
      <w:r w:rsidR="006027B2">
        <w:t xml:space="preserve">Annick </w:t>
      </w:r>
      <w:proofErr w:type="spellStart"/>
      <w:r w:rsidR="006027B2">
        <w:t>Gnazal</w:t>
      </w:r>
      <w:r w:rsidR="00625513">
        <w:t>é</w:t>
      </w:r>
      <w:r w:rsidR="006027B2">
        <w:t>’s</w:t>
      </w:r>
      <w:proofErr w:type="spellEnd"/>
      <w:r w:rsidR="006027B2">
        <w:t xml:space="preserve"> article about the silencing and trivializing of rape in the C</w:t>
      </w:r>
      <w:r w:rsidR="005D1934">
        <w:rPr>
          <w:rFonts w:cstheme="minorHAnsi"/>
        </w:rPr>
        <w:t>ô</w:t>
      </w:r>
      <w:r w:rsidR="006027B2">
        <w:t xml:space="preserve">te d’Ivoire describes the legal treatment of and media responses to rape from 1960 to the present. She locates her empirical study in international theoretical approaches to rape and colonization, concluding that knowledge and discussion of rape have been silenced both institutionally and socially and the crime itself trivialized, with formally serious penalties but lenient </w:t>
      </w:r>
      <w:r w:rsidR="00BE2578">
        <w:t xml:space="preserve">enforcement. This study is valuable for shedding light on the legal processes of a relatively unknown region that yet has application across </w:t>
      </w:r>
      <w:r>
        <w:t xml:space="preserve">all </w:t>
      </w:r>
      <w:r w:rsidR="00BE2578">
        <w:t xml:space="preserve">jurisdictions – the almost universal difficulty of getting rape </w:t>
      </w:r>
      <w:r w:rsidR="00104A2E">
        <w:t xml:space="preserve">to be </w:t>
      </w:r>
      <w:r w:rsidR="00BE2578">
        <w:t>treated seriously.</w:t>
      </w:r>
    </w:p>
    <w:p w14:paraId="5BE7ACEA" w14:textId="2EDE3853" w:rsidR="00FE2A15" w:rsidRPr="005F4FCF" w:rsidRDefault="00FE2A15" w:rsidP="00F51B1B">
      <w:pPr>
        <w:spacing w:line="360" w:lineRule="auto"/>
        <w:ind w:firstLine="720"/>
        <w:jc w:val="both"/>
        <w:rPr>
          <w:rFonts w:cstheme="minorHAnsi"/>
          <w:color w:val="000000" w:themeColor="text1"/>
        </w:rPr>
      </w:pPr>
      <w:r w:rsidRPr="005F4FCF">
        <w:rPr>
          <w:rFonts w:cstheme="minorHAnsi"/>
          <w:color w:val="000000" w:themeColor="text1"/>
        </w:rPr>
        <w:t>Doel-</w:t>
      </w:r>
      <w:proofErr w:type="spellStart"/>
      <w:r w:rsidRPr="005F4FCF">
        <w:rPr>
          <w:rFonts w:cstheme="minorHAnsi"/>
          <w:color w:val="000000" w:themeColor="text1"/>
        </w:rPr>
        <w:t>Mackaway</w:t>
      </w:r>
      <w:r w:rsidR="00D6351E">
        <w:rPr>
          <w:rFonts w:cstheme="minorHAnsi"/>
          <w:color w:val="000000" w:themeColor="text1"/>
        </w:rPr>
        <w:t>’s</w:t>
      </w:r>
      <w:proofErr w:type="spellEnd"/>
      <w:r w:rsidR="00D6351E">
        <w:rPr>
          <w:rFonts w:cstheme="minorHAnsi"/>
          <w:color w:val="000000" w:themeColor="text1"/>
        </w:rPr>
        <w:t xml:space="preserve"> </w:t>
      </w:r>
      <w:r w:rsidR="005F4FCF" w:rsidRPr="005F4FCF">
        <w:rPr>
          <w:rFonts w:cstheme="minorHAnsi"/>
          <w:color w:val="000000" w:themeColor="text1"/>
        </w:rPr>
        <w:t>research in Nepal was p</w:t>
      </w:r>
      <w:r w:rsidRPr="005F4FCF">
        <w:rPr>
          <w:rFonts w:cstheme="minorHAnsi"/>
          <w:color w:val="000000" w:themeColor="text1"/>
        </w:rPr>
        <w:t>lanned as a comparative project with a study of Pacific</w:t>
      </w:r>
      <w:r w:rsidR="005F4FCF">
        <w:rPr>
          <w:rFonts w:cstheme="minorHAnsi"/>
          <w:color w:val="000000" w:themeColor="text1"/>
        </w:rPr>
        <w:t xml:space="preserve"> islands</w:t>
      </w:r>
      <w:r w:rsidRPr="005F4FCF">
        <w:rPr>
          <w:rFonts w:cstheme="minorHAnsi"/>
          <w:color w:val="000000" w:themeColor="text1"/>
        </w:rPr>
        <w:t xml:space="preserve">, </w:t>
      </w:r>
      <w:r w:rsidR="005F4FCF" w:rsidRPr="005F4FCF">
        <w:rPr>
          <w:rFonts w:cstheme="minorHAnsi"/>
          <w:color w:val="000000" w:themeColor="text1"/>
        </w:rPr>
        <w:t xml:space="preserve">designed to </w:t>
      </w:r>
      <w:r w:rsidR="00E44E0B">
        <w:rPr>
          <w:rFonts w:cstheme="minorHAnsi"/>
          <w:color w:val="000000" w:themeColor="text1"/>
        </w:rPr>
        <w:t>demonstrate</w:t>
      </w:r>
      <w:r w:rsidR="005F4FCF" w:rsidRPr="005F4FCF">
        <w:rPr>
          <w:rFonts w:cstheme="minorHAnsi"/>
          <w:color w:val="000000" w:themeColor="text1"/>
        </w:rPr>
        <w:t xml:space="preserve"> that </w:t>
      </w:r>
      <w:r w:rsidR="005F4FCF">
        <w:rPr>
          <w:rFonts w:cstheme="minorHAnsi"/>
          <w:color w:val="000000" w:themeColor="text1"/>
        </w:rPr>
        <w:t>v</w:t>
      </w:r>
      <w:r w:rsidR="005F4FCF" w:rsidRPr="005F4FCF">
        <w:rPr>
          <w:rFonts w:cstheme="minorHAnsi"/>
          <w:color w:val="000000" w:themeColor="text1"/>
        </w:rPr>
        <w:t xml:space="preserve">iolence against girls is one of the most significant barriers to girls’ citizenship and the realisation of </w:t>
      </w:r>
      <w:r w:rsidR="00E44E0B">
        <w:rPr>
          <w:rFonts w:cstheme="minorHAnsi"/>
          <w:color w:val="000000" w:themeColor="text1"/>
        </w:rPr>
        <w:t xml:space="preserve">their </w:t>
      </w:r>
      <w:r w:rsidR="005F4FCF" w:rsidRPr="005F4FCF">
        <w:rPr>
          <w:rFonts w:cstheme="minorHAnsi"/>
          <w:color w:val="000000" w:themeColor="text1"/>
        </w:rPr>
        <w:t xml:space="preserve">substantive equality. The unique feature of </w:t>
      </w:r>
      <w:r w:rsidR="000E6A22">
        <w:rPr>
          <w:rFonts w:cstheme="minorHAnsi"/>
          <w:color w:val="000000" w:themeColor="text1"/>
        </w:rPr>
        <w:t>this</w:t>
      </w:r>
      <w:r w:rsidR="005F4FCF" w:rsidRPr="005F4FCF">
        <w:rPr>
          <w:rFonts w:cstheme="minorHAnsi"/>
          <w:color w:val="000000" w:themeColor="text1"/>
        </w:rPr>
        <w:t xml:space="preserve"> research is that its methodology was based on the </w:t>
      </w:r>
      <w:r w:rsidR="00E44E0B">
        <w:rPr>
          <w:rFonts w:cstheme="minorHAnsi"/>
          <w:color w:val="000000" w:themeColor="text1"/>
        </w:rPr>
        <w:t>understanding</w:t>
      </w:r>
      <w:r w:rsidR="005F4FCF" w:rsidRPr="005F4FCF">
        <w:rPr>
          <w:rFonts w:cstheme="minorHAnsi"/>
          <w:color w:val="000000" w:themeColor="text1"/>
        </w:rPr>
        <w:t xml:space="preserve"> that young people should be allowed to speak for themselves, that this is a human rights matter, and that </w:t>
      </w:r>
      <w:r w:rsidR="00CF037D">
        <w:rPr>
          <w:rFonts w:cstheme="minorHAnsi"/>
          <w:color w:val="000000" w:themeColor="text1"/>
        </w:rPr>
        <w:t xml:space="preserve">only by </w:t>
      </w:r>
      <w:r w:rsidR="005F4FCF">
        <w:rPr>
          <w:rFonts w:cstheme="minorHAnsi"/>
        </w:rPr>
        <w:t xml:space="preserve">enabling </w:t>
      </w:r>
      <w:r w:rsidR="00CF037D">
        <w:rPr>
          <w:rFonts w:cstheme="minorHAnsi"/>
        </w:rPr>
        <w:t>young people</w:t>
      </w:r>
      <w:r w:rsidR="005F4FCF">
        <w:rPr>
          <w:rFonts w:cstheme="minorHAnsi"/>
        </w:rPr>
        <w:t xml:space="preserve"> to participate not simply as objects but as co-designers of research</w:t>
      </w:r>
      <w:r w:rsidR="00CF037D">
        <w:rPr>
          <w:rFonts w:cstheme="minorHAnsi"/>
        </w:rPr>
        <w:t>,</w:t>
      </w:r>
      <w:r w:rsidR="005F4FCF">
        <w:rPr>
          <w:rFonts w:cstheme="minorHAnsi"/>
        </w:rPr>
        <w:t xml:space="preserve"> can we fully realise the problems facing young women growing up with violence and abuse</w:t>
      </w:r>
      <w:r w:rsidR="00CF037D">
        <w:rPr>
          <w:rFonts w:cstheme="minorHAnsi"/>
        </w:rPr>
        <w:t>,</w:t>
      </w:r>
      <w:r w:rsidR="005F4FCF">
        <w:rPr>
          <w:rFonts w:cstheme="minorHAnsi"/>
        </w:rPr>
        <w:t xml:space="preserve"> and work towards their solution. </w:t>
      </w:r>
      <w:proofErr w:type="gramStart"/>
      <w:r w:rsidR="005F4FCF">
        <w:rPr>
          <w:rFonts w:cstheme="minorHAnsi"/>
        </w:rPr>
        <w:t>On the basis of</w:t>
      </w:r>
      <w:proofErr w:type="gramEnd"/>
      <w:r w:rsidR="005F4FCF">
        <w:rPr>
          <w:rFonts w:cstheme="minorHAnsi"/>
        </w:rPr>
        <w:t xml:space="preserve"> </w:t>
      </w:r>
      <w:r w:rsidR="005F4FCF" w:rsidRPr="005F4FCF">
        <w:rPr>
          <w:rFonts w:cstheme="minorHAnsi"/>
          <w:color w:val="000000" w:themeColor="text1"/>
        </w:rPr>
        <w:t xml:space="preserve">interviews </w:t>
      </w:r>
      <w:r w:rsidR="005F4FCF">
        <w:rPr>
          <w:rFonts w:cstheme="minorHAnsi"/>
          <w:color w:val="000000" w:themeColor="text1"/>
        </w:rPr>
        <w:t xml:space="preserve">conducted </w:t>
      </w:r>
      <w:r w:rsidR="005F4FCF" w:rsidRPr="005F4FCF">
        <w:rPr>
          <w:rFonts w:cstheme="minorHAnsi"/>
          <w:color w:val="000000" w:themeColor="text1"/>
        </w:rPr>
        <w:t xml:space="preserve">with young people in Nepal, </w:t>
      </w:r>
      <w:r w:rsidR="005F4FCF">
        <w:rPr>
          <w:rFonts w:cstheme="minorHAnsi"/>
          <w:color w:val="000000" w:themeColor="text1"/>
        </w:rPr>
        <w:t xml:space="preserve">younger and older, </w:t>
      </w:r>
      <w:r w:rsidR="005F4FCF" w:rsidRPr="005F4FCF">
        <w:rPr>
          <w:rFonts w:cstheme="minorHAnsi"/>
          <w:color w:val="000000" w:themeColor="text1"/>
        </w:rPr>
        <w:t xml:space="preserve">male as well as female, </w:t>
      </w:r>
      <w:r w:rsidR="005F4FCF">
        <w:rPr>
          <w:rFonts w:cstheme="minorHAnsi"/>
        </w:rPr>
        <w:t>Doel-</w:t>
      </w:r>
      <w:proofErr w:type="spellStart"/>
      <w:r w:rsidR="005F4FCF">
        <w:rPr>
          <w:rFonts w:cstheme="minorHAnsi"/>
        </w:rPr>
        <w:t>Mackaway</w:t>
      </w:r>
      <w:proofErr w:type="spellEnd"/>
      <w:r w:rsidR="005F4FCF">
        <w:rPr>
          <w:rFonts w:cstheme="minorHAnsi"/>
        </w:rPr>
        <w:t xml:space="preserve"> </w:t>
      </w:r>
      <w:r w:rsidR="00691FCB">
        <w:rPr>
          <w:rFonts w:cstheme="minorHAnsi"/>
        </w:rPr>
        <w:t xml:space="preserve">and </w:t>
      </w:r>
      <w:r w:rsidR="00691FCB">
        <w:t>Maharjan</w:t>
      </w:r>
      <w:r w:rsidR="00691FCB">
        <w:rPr>
          <w:rFonts w:cstheme="minorHAnsi"/>
        </w:rPr>
        <w:t xml:space="preserve"> </w:t>
      </w:r>
      <w:r w:rsidR="005F4FCF">
        <w:rPr>
          <w:rFonts w:cstheme="minorHAnsi"/>
        </w:rPr>
        <w:t xml:space="preserve">make a powerful argument for the inclusion of children and adolescents </w:t>
      </w:r>
      <w:r w:rsidR="005F4FCF" w:rsidRPr="005F4FCF">
        <w:rPr>
          <w:rFonts w:cstheme="minorHAnsi"/>
        </w:rPr>
        <w:t xml:space="preserve">as </w:t>
      </w:r>
      <w:r w:rsidR="00CF037D" w:rsidRPr="005F4FCF">
        <w:rPr>
          <w:rFonts w:cstheme="minorHAnsi"/>
        </w:rPr>
        <w:t>agents and experts in their own lives</w:t>
      </w:r>
      <w:r w:rsidR="00CF037D">
        <w:rPr>
          <w:rFonts w:cstheme="minorHAnsi"/>
        </w:rPr>
        <w:t>,</w:t>
      </w:r>
      <w:r w:rsidR="00CF037D" w:rsidRPr="005F4FCF">
        <w:rPr>
          <w:rFonts w:cstheme="minorHAnsi"/>
        </w:rPr>
        <w:t xml:space="preserve"> </w:t>
      </w:r>
      <w:r w:rsidR="00CF037D">
        <w:rPr>
          <w:rFonts w:cstheme="minorHAnsi"/>
        </w:rPr>
        <w:t>and v</w:t>
      </w:r>
      <w:r w:rsidR="005F4FCF" w:rsidRPr="005F4FCF">
        <w:rPr>
          <w:rFonts w:cstheme="minorHAnsi"/>
        </w:rPr>
        <w:t>ital contributors to the expansion of knowledge</w:t>
      </w:r>
      <w:r w:rsidR="00CF037D">
        <w:rPr>
          <w:rFonts w:cstheme="minorHAnsi"/>
        </w:rPr>
        <w:t xml:space="preserve"> and understanding of the world</w:t>
      </w:r>
      <w:r w:rsidR="005F4FCF">
        <w:rPr>
          <w:rFonts w:cstheme="minorHAnsi"/>
          <w:color w:val="000000" w:themeColor="text1"/>
        </w:rPr>
        <w:t>.</w:t>
      </w:r>
      <w:r w:rsidR="00E44E0B">
        <w:rPr>
          <w:rFonts w:cstheme="minorHAnsi"/>
          <w:color w:val="000000" w:themeColor="text1"/>
        </w:rPr>
        <w:t xml:space="preserve"> </w:t>
      </w:r>
    </w:p>
    <w:p w14:paraId="3EAEAAE7" w14:textId="0B184D2E" w:rsidR="00BE2578" w:rsidRDefault="002D4402" w:rsidP="00F51B1B">
      <w:pPr>
        <w:spacing w:line="360" w:lineRule="auto"/>
        <w:ind w:firstLine="720"/>
        <w:jc w:val="both"/>
      </w:pPr>
      <w:r w:rsidRPr="005F4FCF">
        <w:rPr>
          <w:rFonts w:cstheme="minorHAnsi"/>
          <w:color w:val="000000" w:themeColor="text1"/>
        </w:rPr>
        <w:t xml:space="preserve">Finally, British scholar Frances Hamilton focuses on the extent and limitations of </w:t>
      </w:r>
      <w:r w:rsidR="00F47293">
        <w:rPr>
          <w:rFonts w:cstheme="minorHAnsi"/>
          <w:color w:val="000000" w:themeColor="text1"/>
        </w:rPr>
        <w:t xml:space="preserve">European </w:t>
      </w:r>
      <w:r w:rsidR="00632B97">
        <w:rPr>
          <w:rFonts w:cstheme="minorHAnsi"/>
          <w:color w:val="000000" w:themeColor="text1"/>
        </w:rPr>
        <w:t>U</w:t>
      </w:r>
      <w:r w:rsidR="00F47293">
        <w:rPr>
          <w:rFonts w:cstheme="minorHAnsi"/>
          <w:color w:val="000000" w:themeColor="text1"/>
        </w:rPr>
        <w:t>nion (</w:t>
      </w:r>
      <w:r w:rsidRPr="005F4FCF">
        <w:rPr>
          <w:rFonts w:cstheme="minorHAnsi"/>
          <w:color w:val="000000" w:themeColor="text1"/>
        </w:rPr>
        <w:t>EU</w:t>
      </w:r>
      <w:r w:rsidR="00F47293">
        <w:rPr>
          <w:rFonts w:cstheme="minorHAnsi"/>
          <w:color w:val="000000" w:themeColor="text1"/>
        </w:rPr>
        <w:t>)</w:t>
      </w:r>
      <w:r w:rsidRPr="005F4FCF">
        <w:rPr>
          <w:rFonts w:cstheme="minorHAnsi"/>
          <w:color w:val="000000" w:themeColor="text1"/>
        </w:rPr>
        <w:t xml:space="preserve"> citizenship rights</w:t>
      </w:r>
      <w:r w:rsidRPr="005F4FCF">
        <w:rPr>
          <w:color w:val="000000" w:themeColor="text1"/>
        </w:rPr>
        <w:t xml:space="preserve"> for lesbians and gay men. The EU is generally seen as positive towards sexual minorities, in contrast to many national regimes, and therefore as a force for progress in member states. As she shows, however, it remains </w:t>
      </w:r>
      <w:r>
        <w:t xml:space="preserve">bound by its economic origins and its inability to interfere in family law in the national context, </w:t>
      </w:r>
      <w:r w:rsidR="00CF037D">
        <w:t xml:space="preserve">which means that its </w:t>
      </w:r>
      <w:r>
        <w:t xml:space="preserve">democratic reach </w:t>
      </w:r>
      <w:r w:rsidR="00CF037D">
        <w:t xml:space="preserve">is limited </w:t>
      </w:r>
      <w:r>
        <w:t xml:space="preserve">when it comes to those who do not fit the heteronormative model approved by </w:t>
      </w:r>
      <w:r>
        <w:lastRenderedPageBreak/>
        <w:t>many member states. Nevertheless</w:t>
      </w:r>
      <w:r w:rsidR="00920D03">
        <w:t>,</w:t>
      </w:r>
      <w:r>
        <w:t xml:space="preserve"> she </w:t>
      </w:r>
      <w:r w:rsidR="00E44E0B">
        <w:t>remain</w:t>
      </w:r>
      <w:r>
        <w:t xml:space="preserve">s positive, setting out potential opportunities for future development.    </w:t>
      </w:r>
    </w:p>
    <w:p w14:paraId="63852390" w14:textId="30A86F0E" w:rsidR="00625513" w:rsidRDefault="00E44E0B" w:rsidP="000136BF">
      <w:pPr>
        <w:spacing w:line="360" w:lineRule="auto"/>
        <w:ind w:firstLine="720"/>
        <w:jc w:val="both"/>
      </w:pPr>
      <w:r>
        <w:t>We hope that these f</w:t>
      </w:r>
      <w:r w:rsidR="00C112A8">
        <w:t>our</w:t>
      </w:r>
      <w:r>
        <w:t xml:space="preserve"> papers give a flavour of the exciting breadth and international reach of the 2022 </w:t>
      </w:r>
      <w:r w:rsidR="00CF037D" w:rsidRPr="00632B97">
        <w:rPr>
          <w:i/>
          <w:iCs/>
        </w:rPr>
        <w:t>Feminism, Law and Citizenship</w:t>
      </w:r>
      <w:r w:rsidR="00CF037D">
        <w:t xml:space="preserve"> </w:t>
      </w:r>
      <w:r>
        <w:t xml:space="preserve">conference in Paris, the range of methodologies </w:t>
      </w:r>
      <w:proofErr w:type="gramStart"/>
      <w:r>
        <w:t>employed</w:t>
      </w:r>
      <w:proofErr w:type="gramEnd"/>
      <w:r>
        <w:t xml:space="preserve"> and intersectional characteristics addressed, and the significance of these additions to our knowledge and understanding of women’s legal position, offering potential for comparison and even, sadly, for generalisation across jurisdictions.</w:t>
      </w:r>
    </w:p>
    <w:sectPr w:rsidR="00625513" w:rsidSect="000136B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EFEE5" w14:textId="77777777" w:rsidR="002D7113" w:rsidRDefault="002D7113" w:rsidP="004B66FF">
      <w:r>
        <w:separator/>
      </w:r>
    </w:p>
  </w:endnote>
  <w:endnote w:type="continuationSeparator" w:id="0">
    <w:p w14:paraId="5CF2C3C1" w14:textId="77777777" w:rsidR="002D7113" w:rsidRDefault="002D7113" w:rsidP="004B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216039125"/>
      <w:docPartObj>
        <w:docPartGallery w:val="Page Numbers (Bottom of Page)"/>
        <w:docPartUnique/>
      </w:docPartObj>
    </w:sdtPr>
    <w:sdtEndPr>
      <w:rPr>
        <w:noProof/>
      </w:rPr>
    </w:sdtEndPr>
    <w:sdtContent>
      <w:p w14:paraId="021DB5B5" w14:textId="3DC9B923" w:rsidR="006F2992" w:rsidRPr="006F2992" w:rsidRDefault="006F2992">
        <w:pPr>
          <w:pStyle w:val="Footer"/>
          <w:jc w:val="center"/>
          <w:rPr>
            <w:sz w:val="22"/>
            <w:szCs w:val="22"/>
          </w:rPr>
        </w:pPr>
        <w:r w:rsidRPr="006F2992">
          <w:rPr>
            <w:sz w:val="22"/>
            <w:szCs w:val="22"/>
          </w:rPr>
          <w:t>______________________________________________________________________________</w:t>
        </w:r>
        <w:r>
          <w:rPr>
            <w:sz w:val="22"/>
            <w:szCs w:val="22"/>
          </w:rPr>
          <w:t>_______</w:t>
        </w:r>
      </w:p>
      <w:p w14:paraId="2704C638" w14:textId="77777777" w:rsidR="006F2992" w:rsidRDefault="006F2992">
        <w:pPr>
          <w:pStyle w:val="Footer"/>
          <w:jc w:val="center"/>
        </w:pPr>
      </w:p>
      <w:p w14:paraId="0AC2E006" w14:textId="000605EB" w:rsidR="006F2992" w:rsidRPr="006F2992" w:rsidRDefault="006F2992">
        <w:pPr>
          <w:pStyle w:val="Footer"/>
          <w:jc w:val="center"/>
          <w:rPr>
            <w:sz w:val="22"/>
            <w:szCs w:val="22"/>
          </w:rPr>
        </w:pPr>
        <w:r w:rsidRPr="006F2992">
          <w:rPr>
            <w:sz w:val="22"/>
            <w:szCs w:val="22"/>
          </w:rPr>
          <w:fldChar w:fldCharType="begin"/>
        </w:r>
        <w:r w:rsidRPr="006F2992">
          <w:rPr>
            <w:sz w:val="22"/>
            <w:szCs w:val="22"/>
          </w:rPr>
          <w:instrText xml:space="preserve"> PAGE   \* MERGEFORMAT </w:instrText>
        </w:r>
        <w:r w:rsidRPr="006F2992">
          <w:rPr>
            <w:sz w:val="22"/>
            <w:szCs w:val="22"/>
          </w:rPr>
          <w:fldChar w:fldCharType="separate"/>
        </w:r>
        <w:r w:rsidRPr="006F2992">
          <w:rPr>
            <w:noProof/>
            <w:sz w:val="22"/>
            <w:szCs w:val="22"/>
          </w:rPr>
          <w:t>2</w:t>
        </w:r>
        <w:r w:rsidRPr="006F2992">
          <w:rPr>
            <w:noProof/>
            <w:sz w:val="22"/>
            <w:szCs w:val="22"/>
          </w:rPr>
          <w:fldChar w:fldCharType="end"/>
        </w:r>
      </w:p>
    </w:sdtContent>
  </w:sdt>
  <w:p w14:paraId="0CE229CF" w14:textId="77777777" w:rsidR="000136BF" w:rsidRDefault="00013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434643"/>
      <w:docPartObj>
        <w:docPartGallery w:val="Page Numbers (Bottom of Page)"/>
        <w:docPartUnique/>
      </w:docPartObj>
    </w:sdtPr>
    <w:sdtEndPr>
      <w:rPr>
        <w:noProof/>
        <w:sz w:val="22"/>
        <w:szCs w:val="22"/>
      </w:rPr>
    </w:sdtEndPr>
    <w:sdtContent>
      <w:p w14:paraId="6FF384E2" w14:textId="52E06715" w:rsidR="007F4D81" w:rsidRDefault="00C817A3">
        <w:pPr>
          <w:pStyle w:val="Footer"/>
          <w:jc w:val="center"/>
          <w:rPr>
            <w:sz w:val="22"/>
            <w:szCs w:val="22"/>
          </w:rPr>
        </w:pPr>
        <w:r>
          <w:rPr>
            <w:sz w:val="22"/>
            <w:szCs w:val="22"/>
          </w:rPr>
          <w:t>_____________________________________________________________________________________</w:t>
        </w:r>
      </w:p>
      <w:p w14:paraId="4589DDB1" w14:textId="77777777" w:rsidR="00C817A3" w:rsidRPr="00C817A3" w:rsidRDefault="00C817A3">
        <w:pPr>
          <w:pStyle w:val="Footer"/>
          <w:jc w:val="center"/>
          <w:rPr>
            <w:sz w:val="22"/>
            <w:szCs w:val="22"/>
          </w:rPr>
        </w:pPr>
      </w:p>
      <w:p w14:paraId="7C32AA37" w14:textId="5F4EDFFB" w:rsidR="007F4D81" w:rsidRPr="007F4D81" w:rsidRDefault="007F4D81">
        <w:pPr>
          <w:pStyle w:val="Footer"/>
          <w:jc w:val="center"/>
          <w:rPr>
            <w:sz w:val="22"/>
            <w:szCs w:val="22"/>
          </w:rPr>
        </w:pPr>
        <w:r w:rsidRPr="007F4D81">
          <w:rPr>
            <w:sz w:val="22"/>
            <w:szCs w:val="22"/>
          </w:rPr>
          <w:fldChar w:fldCharType="begin"/>
        </w:r>
        <w:r w:rsidRPr="007F4D81">
          <w:rPr>
            <w:sz w:val="22"/>
            <w:szCs w:val="22"/>
          </w:rPr>
          <w:instrText xml:space="preserve"> PAGE   \* MERGEFORMAT </w:instrText>
        </w:r>
        <w:r w:rsidRPr="007F4D81">
          <w:rPr>
            <w:sz w:val="22"/>
            <w:szCs w:val="22"/>
          </w:rPr>
          <w:fldChar w:fldCharType="separate"/>
        </w:r>
        <w:r w:rsidRPr="007F4D81">
          <w:rPr>
            <w:noProof/>
            <w:sz w:val="22"/>
            <w:szCs w:val="22"/>
          </w:rPr>
          <w:t>2</w:t>
        </w:r>
        <w:r w:rsidRPr="007F4D81">
          <w:rPr>
            <w:noProof/>
            <w:sz w:val="22"/>
            <w:szCs w:val="22"/>
          </w:rPr>
          <w:fldChar w:fldCharType="end"/>
        </w:r>
      </w:p>
    </w:sdtContent>
  </w:sdt>
  <w:p w14:paraId="23BFAC91" w14:textId="77777777" w:rsidR="000136BF" w:rsidRDefault="00013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C8D0" w14:textId="77777777" w:rsidR="000136BF" w:rsidRDefault="00013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ABAE1" w14:textId="77777777" w:rsidR="002D7113" w:rsidRDefault="002D7113" w:rsidP="004B66FF">
      <w:r>
        <w:separator/>
      </w:r>
    </w:p>
  </w:footnote>
  <w:footnote w:type="continuationSeparator" w:id="0">
    <w:p w14:paraId="0712BFC1" w14:textId="77777777" w:rsidR="002D7113" w:rsidRDefault="002D7113" w:rsidP="004B66FF">
      <w:r>
        <w:continuationSeparator/>
      </w:r>
    </w:p>
  </w:footnote>
  <w:footnote w:id="1">
    <w:p w14:paraId="5B961379" w14:textId="536E9CB3" w:rsidR="00587C86" w:rsidRDefault="00587C86">
      <w:pPr>
        <w:pStyle w:val="FootnoteText"/>
      </w:pPr>
      <w:r>
        <w:rPr>
          <w:rStyle w:val="FootnoteReference"/>
        </w:rPr>
        <w:t>*</w:t>
      </w:r>
      <w:r>
        <w:t xml:space="preserve"> </w:t>
      </w:r>
      <w:r w:rsidR="000D2608">
        <w:t>Professor</w:t>
      </w:r>
      <w:r w:rsidR="009C3FC3">
        <w:t xml:space="preserve"> Emerita</w:t>
      </w:r>
      <w:r w:rsidR="000D2608">
        <w:t xml:space="preserve">, University of Reading, UK. Email </w:t>
      </w:r>
      <w:hyperlink r:id="rId1" w:history="1">
        <w:r w:rsidR="000D2608" w:rsidRPr="00CA290C">
          <w:rPr>
            <w:rStyle w:val="Hyperlink"/>
          </w:rPr>
          <w:t>r.auchmuty@reading.ac.uk</w:t>
        </w:r>
      </w:hyperlink>
      <w:r w:rsidR="000D2608">
        <w:t xml:space="preserve">. </w:t>
      </w:r>
    </w:p>
  </w:footnote>
  <w:footnote w:id="2">
    <w:p w14:paraId="6A7C537E" w14:textId="6454986F" w:rsidR="009C3FC3" w:rsidRDefault="009C3FC3">
      <w:pPr>
        <w:pStyle w:val="FootnoteText"/>
      </w:pPr>
      <w:r>
        <w:rPr>
          <w:rStyle w:val="FootnoteReference"/>
        </w:rPr>
        <w:t>**</w:t>
      </w:r>
      <w:r>
        <w:t xml:space="preserve"> </w:t>
      </w:r>
      <w:r w:rsidR="00AA2D46">
        <w:t xml:space="preserve">Faculty of Law, </w:t>
      </w:r>
      <w:r>
        <w:t>Universit</w:t>
      </w:r>
      <w:r w:rsidR="00AA2D46">
        <w:rPr>
          <w:rFonts w:cstheme="minorHAnsi"/>
        </w:rPr>
        <w:t>é</w:t>
      </w:r>
      <w:r>
        <w:t xml:space="preserve"> Pari</w:t>
      </w:r>
      <w:r w:rsidR="00611DDA">
        <w:t>s-1 Panth</w:t>
      </w:r>
      <w:r w:rsidR="00611DDA">
        <w:rPr>
          <w:rFonts w:cstheme="minorHAnsi"/>
        </w:rPr>
        <w:t>é</w:t>
      </w:r>
      <w:r w:rsidR="00611DDA">
        <w:t>on-Sorbonne, France. Email</w:t>
      </w:r>
      <w:r w:rsidR="00D2666F">
        <w:t xml:space="preserve"> </w:t>
      </w:r>
      <w:hyperlink r:id="rId2" w:history="1">
        <w:r w:rsidR="008B731E" w:rsidRPr="00CA290C">
          <w:rPr>
            <w:rStyle w:val="Hyperlink"/>
          </w:rPr>
          <w:t>Alexandrine.Nedelec@univ-paris1.fr</w:t>
        </w:r>
      </w:hyperlink>
      <w:r w:rsidR="008B731E">
        <w:t xml:space="preserve">. </w:t>
      </w:r>
    </w:p>
  </w:footnote>
  <w:footnote w:id="3">
    <w:p w14:paraId="480FE685" w14:textId="408D83A7" w:rsidR="005B63E2" w:rsidRPr="005B63E2" w:rsidRDefault="005B63E2">
      <w:pPr>
        <w:pStyle w:val="FootnoteText"/>
      </w:pPr>
      <w:r>
        <w:rPr>
          <w:rStyle w:val="FootnoteReference"/>
        </w:rPr>
        <w:footnoteRef/>
      </w:r>
      <w:r>
        <w:t xml:space="preserve"> Laura O’Brien, “</w:t>
      </w:r>
      <w:r w:rsidRPr="005B63E2">
        <w:t xml:space="preserve">Josephine Baker: </w:t>
      </w:r>
      <w:r w:rsidR="0096251B">
        <w:t>W</w:t>
      </w:r>
      <w:r w:rsidRPr="005B63E2">
        <w:t>hat it means to enter France’s hallowed Panthéon</w:t>
      </w:r>
      <w:r>
        <w:t xml:space="preserve">”, </w:t>
      </w:r>
      <w:r w:rsidRPr="00632B97">
        <w:rPr>
          <w:i/>
          <w:iCs/>
        </w:rPr>
        <w:t>The Conversation</w:t>
      </w:r>
      <w:r>
        <w:t xml:space="preserve">, </w:t>
      </w:r>
      <w:r w:rsidR="00603FAD">
        <w:t xml:space="preserve">30 November 2021. Available at </w:t>
      </w:r>
      <w:hyperlink r:id="rId3" w:history="1">
        <w:r w:rsidR="0096251B" w:rsidRPr="00CA290C">
          <w:rPr>
            <w:rStyle w:val="Hyperlink"/>
          </w:rPr>
          <w:t>https://theconversation.com/josephine-baker-what-it-means-to-enter-frances-hallowed-pantheon-172680</w:t>
        </w:r>
      </w:hyperlink>
      <w:r>
        <w:t>.</w:t>
      </w:r>
      <w:r w:rsidR="0096251B">
        <w:t xml:space="preserve"> </w:t>
      </w:r>
    </w:p>
  </w:footnote>
  <w:footnote w:id="4">
    <w:p w14:paraId="19000C06" w14:textId="5D886F7B" w:rsidR="00632B97" w:rsidRDefault="00632B97">
      <w:pPr>
        <w:pStyle w:val="FootnoteText"/>
      </w:pPr>
      <w:r>
        <w:rPr>
          <w:rStyle w:val="FootnoteReference"/>
        </w:rPr>
        <w:footnoteRef/>
      </w:r>
      <w:r>
        <w:t xml:space="preserve"> For a flavour of this feminist work, see for example: </w:t>
      </w:r>
      <w:r w:rsidRPr="00632B97">
        <w:t>Ruth</w:t>
      </w:r>
      <w:r>
        <w:t xml:space="preserve"> Lister</w:t>
      </w:r>
      <w:r w:rsidR="00E74791">
        <w:t>,</w:t>
      </w:r>
      <w:r>
        <w:t xml:space="preserve"> </w:t>
      </w:r>
      <w:proofErr w:type="gramStart"/>
      <w:r w:rsidRPr="00632B97">
        <w:rPr>
          <w:i/>
          <w:iCs/>
        </w:rPr>
        <w:t>What</w:t>
      </w:r>
      <w:proofErr w:type="gramEnd"/>
      <w:r w:rsidRPr="00632B97">
        <w:rPr>
          <w:i/>
          <w:iCs/>
        </w:rPr>
        <w:t xml:space="preserve"> is Citizenship?</w:t>
      </w:r>
      <w:r w:rsidRPr="00632B97">
        <w:t xml:space="preserve"> </w:t>
      </w:r>
      <w:r w:rsidR="00E74791">
        <w:t>(</w:t>
      </w:r>
      <w:r w:rsidRPr="00632B97">
        <w:t>Macmillan Education</w:t>
      </w:r>
      <w:r w:rsidR="00E74791">
        <w:t xml:space="preserve"> 1997)</w:t>
      </w:r>
      <w:r w:rsidR="00395499">
        <w:t>;</w:t>
      </w:r>
      <w:r w:rsidRPr="00632B97">
        <w:t xml:space="preserve"> </w:t>
      </w:r>
      <w:r>
        <w:t xml:space="preserve">and (2012) </w:t>
      </w:r>
      <w:r w:rsidRPr="00632B97">
        <w:t>"Citizenship and gender"</w:t>
      </w:r>
      <w:r w:rsidR="00E74791">
        <w:t>, in</w:t>
      </w:r>
      <w:r w:rsidRPr="00632B97">
        <w:t xml:space="preserve"> </w:t>
      </w:r>
      <w:r w:rsidRPr="00632B97">
        <w:rPr>
          <w:i/>
          <w:iCs/>
        </w:rPr>
        <w:t>The Wiley‐Blackwell Companion to Political Sociology</w:t>
      </w:r>
      <w:r w:rsidR="00E74791">
        <w:rPr>
          <w:i/>
          <w:iCs/>
        </w:rPr>
        <w:t xml:space="preserve"> </w:t>
      </w:r>
      <w:r w:rsidR="00E74791">
        <w:t xml:space="preserve">(Wiley-Blackwell 2012) </w:t>
      </w:r>
      <w:r w:rsidRPr="00632B97">
        <w:t>372-382</w:t>
      </w:r>
      <w:r>
        <w:t xml:space="preserve">; Anne </w:t>
      </w:r>
      <w:r w:rsidRPr="00632B97">
        <w:t>Phillips</w:t>
      </w:r>
      <w:r w:rsidR="00E74791">
        <w:t xml:space="preserve">, </w:t>
      </w:r>
      <w:r w:rsidRPr="00632B97">
        <w:rPr>
          <w:i/>
          <w:iCs/>
        </w:rPr>
        <w:t xml:space="preserve">Democracy and </w:t>
      </w:r>
      <w:r w:rsidR="00E74791">
        <w:rPr>
          <w:i/>
          <w:iCs/>
        </w:rPr>
        <w:t>D</w:t>
      </w:r>
      <w:r w:rsidRPr="00632B97">
        <w:rPr>
          <w:i/>
          <w:iCs/>
        </w:rPr>
        <w:t>ifference</w:t>
      </w:r>
      <w:r w:rsidR="00E74791">
        <w:t xml:space="preserve"> (</w:t>
      </w:r>
      <w:r w:rsidRPr="00632B97">
        <w:t xml:space="preserve">Penn State Press </w:t>
      </w:r>
      <w:r w:rsidR="00E74791">
        <w:t>1993)</w:t>
      </w:r>
      <w:r w:rsidR="00395499">
        <w:t>;</w:t>
      </w:r>
      <w:r w:rsidR="00E74791">
        <w:t xml:space="preserve"> </w:t>
      </w:r>
      <w:r>
        <w:t>and</w:t>
      </w:r>
      <w:r w:rsidRPr="00632B97">
        <w:t xml:space="preserve"> "Feminism and republicanism: Is this a plausible alliance?"</w:t>
      </w:r>
      <w:r w:rsidR="00E74791">
        <w:t xml:space="preserve"> (2000) 8(2)</w:t>
      </w:r>
      <w:r w:rsidRPr="00632B97">
        <w:t xml:space="preserve"> </w:t>
      </w:r>
      <w:r w:rsidRPr="00632B97">
        <w:rPr>
          <w:i/>
          <w:iCs/>
        </w:rPr>
        <w:t>Journal of Political Philosophy</w:t>
      </w:r>
      <w:r w:rsidRPr="00632B97">
        <w:t xml:space="preserve"> 279-293</w:t>
      </w:r>
      <w:r>
        <w:t xml:space="preserve">; Nira </w:t>
      </w:r>
      <w:r w:rsidRPr="00632B97">
        <w:t>Yuval‐Davis</w:t>
      </w:r>
      <w:bookmarkStart w:id="0" w:name="_Hlk184380406"/>
      <w:r w:rsidR="003A03B8">
        <w:t xml:space="preserve">, </w:t>
      </w:r>
      <w:r w:rsidRPr="00632B97">
        <w:t>"The citizenship debate: Women, ethnic processes and the state"</w:t>
      </w:r>
      <w:r w:rsidR="00E74791">
        <w:t xml:space="preserve"> (1991) 39(1)</w:t>
      </w:r>
      <w:r w:rsidRPr="00632B97">
        <w:t xml:space="preserve"> </w:t>
      </w:r>
      <w:r w:rsidRPr="00632B97">
        <w:rPr>
          <w:i/>
          <w:iCs/>
        </w:rPr>
        <w:t>Feminist Review</w:t>
      </w:r>
      <w:r w:rsidRPr="00632B97">
        <w:t xml:space="preserve"> 58-68</w:t>
      </w:r>
      <w:r>
        <w:t xml:space="preserve">; </w:t>
      </w:r>
      <w:bookmarkEnd w:id="0"/>
      <w:r w:rsidRPr="00632B97">
        <w:t>"Women, citizenship and differenc</w:t>
      </w:r>
      <w:r w:rsidR="00E74791">
        <w:t>e</w:t>
      </w:r>
      <w:r w:rsidRPr="00632B97">
        <w:t>"</w:t>
      </w:r>
      <w:r w:rsidR="003A03B8">
        <w:t>(1997) 57(1)</w:t>
      </w:r>
      <w:r w:rsidRPr="00632B97">
        <w:t xml:space="preserve"> </w:t>
      </w:r>
      <w:r w:rsidRPr="00632B97">
        <w:rPr>
          <w:i/>
          <w:iCs/>
        </w:rPr>
        <w:t xml:space="preserve">Feminist </w:t>
      </w:r>
      <w:r>
        <w:rPr>
          <w:i/>
          <w:iCs/>
        </w:rPr>
        <w:t>R</w:t>
      </w:r>
      <w:r w:rsidRPr="00632B97">
        <w:rPr>
          <w:i/>
          <w:iCs/>
        </w:rPr>
        <w:t>eview</w:t>
      </w:r>
      <w:r w:rsidRPr="00632B97">
        <w:t xml:space="preserve"> 4-27</w:t>
      </w:r>
      <w:r w:rsidR="00395499">
        <w:t>;</w:t>
      </w:r>
      <w:r>
        <w:t xml:space="preserve"> and</w:t>
      </w:r>
      <w:r w:rsidR="00897B40">
        <w:t xml:space="preserve"> </w:t>
      </w:r>
      <w:r w:rsidRPr="00632B97">
        <w:t xml:space="preserve">"Intersectionality, citizenship and </w:t>
      </w:r>
      <w:r w:rsidR="00897B40">
        <w:t>c</w:t>
      </w:r>
      <w:r w:rsidRPr="00632B97">
        <w:t>ontemporary politics of belonging"</w:t>
      </w:r>
      <w:r w:rsidR="00395499">
        <w:t xml:space="preserve"> (2007) 10(4) </w:t>
      </w:r>
      <w:r w:rsidR="00897B40">
        <w:rPr>
          <w:i/>
          <w:iCs/>
        </w:rPr>
        <w:t>C</w:t>
      </w:r>
      <w:r w:rsidRPr="00632B97">
        <w:rPr>
          <w:i/>
          <w:iCs/>
        </w:rPr>
        <w:t>ritical Review of International Social and Political Philosophy</w:t>
      </w:r>
      <w:r w:rsidRPr="00632B97">
        <w:t xml:space="preserve"> 561-574</w:t>
      </w:r>
      <w:r>
        <w:t>.</w:t>
      </w:r>
    </w:p>
  </w:footnote>
  <w:footnote w:id="5">
    <w:p w14:paraId="6DCF1B16" w14:textId="16430D6B" w:rsidR="007559E3" w:rsidRPr="002104DB" w:rsidRDefault="007559E3">
      <w:pPr>
        <w:pStyle w:val="FootnoteText"/>
      </w:pPr>
      <w:r>
        <w:rPr>
          <w:rStyle w:val="FootnoteReference"/>
        </w:rPr>
        <w:footnoteRef/>
      </w:r>
      <w:r>
        <w:t xml:space="preserve"> See further, </w:t>
      </w:r>
      <w:r w:rsidR="002104DB">
        <w:t>“</w:t>
      </w:r>
      <w:r w:rsidR="009F7D59">
        <w:t xml:space="preserve">Rapid </w:t>
      </w:r>
      <w:r w:rsidR="002104DB">
        <w:t>r</w:t>
      </w:r>
      <w:r w:rsidR="009F7D59">
        <w:t>esponse to Dobbs v Jackson Women’s Health Organization</w:t>
      </w:r>
      <w:r w:rsidR="002104DB">
        <w:t>” (2022)</w:t>
      </w:r>
      <w:r w:rsidR="009F7D59">
        <w:t xml:space="preserve"> </w:t>
      </w:r>
      <w:r w:rsidR="008850DC">
        <w:t>11</w:t>
      </w:r>
      <w:r w:rsidR="003B2164">
        <w:t>(2)</w:t>
      </w:r>
      <w:r w:rsidR="008850DC">
        <w:t xml:space="preserve"> </w:t>
      </w:r>
      <w:proofErr w:type="spellStart"/>
      <w:r w:rsidR="002104DB">
        <w:rPr>
          <w:i/>
          <w:iCs/>
        </w:rPr>
        <w:t>feminists@law</w:t>
      </w:r>
      <w:proofErr w:type="spellEnd"/>
      <w:r w:rsidR="002104DB">
        <w:t>.</w:t>
      </w:r>
    </w:p>
  </w:footnote>
  <w:footnote w:id="6">
    <w:p w14:paraId="6A1289F5" w14:textId="22EE6ED2" w:rsidR="004B66FF" w:rsidRDefault="004B66FF">
      <w:pPr>
        <w:pStyle w:val="FootnoteText"/>
      </w:pPr>
      <w:r>
        <w:rPr>
          <w:rStyle w:val="FootnoteReference"/>
        </w:rPr>
        <w:footnoteRef/>
      </w:r>
      <w:r>
        <w:t xml:space="preserve"> </w:t>
      </w:r>
      <w:r w:rsidR="002104DB">
        <w:t>“</w:t>
      </w:r>
      <w:r w:rsidR="00A45BBC">
        <w:t xml:space="preserve">A </w:t>
      </w:r>
      <w:r w:rsidR="002104DB">
        <w:t>c</w:t>
      </w:r>
      <w:r w:rsidR="00A45BBC">
        <w:t xml:space="preserve">onversation with Lady Hale about </w:t>
      </w:r>
      <w:r w:rsidR="002104DB">
        <w:t>f</w:t>
      </w:r>
      <w:r w:rsidR="00A45BBC">
        <w:t xml:space="preserve">eminism, </w:t>
      </w:r>
      <w:r w:rsidR="002104DB">
        <w:t>l</w:t>
      </w:r>
      <w:r w:rsidR="00A45BBC">
        <w:t xml:space="preserve">aw and </w:t>
      </w:r>
      <w:r w:rsidR="002104DB">
        <w:t>c</w:t>
      </w:r>
      <w:r w:rsidR="00A45BBC">
        <w:t>itizenshi</w:t>
      </w:r>
      <w:r w:rsidR="00FA0172">
        <w:t>p</w:t>
      </w:r>
      <w:r w:rsidR="002104DB">
        <w:t>”</w:t>
      </w:r>
      <w:r w:rsidR="00FA0172">
        <w:t xml:space="preserve"> (2022) </w:t>
      </w:r>
      <w:r>
        <w:t>11</w:t>
      </w:r>
      <w:r w:rsidR="00D45F6B">
        <w:t>(</w:t>
      </w:r>
      <w:r>
        <w:t>2</w:t>
      </w:r>
      <w:r w:rsidR="00D45F6B">
        <w:t>)</w:t>
      </w:r>
      <w:r>
        <w:t xml:space="preserve"> </w:t>
      </w:r>
      <w:proofErr w:type="spellStart"/>
      <w:r w:rsidR="00FA0172">
        <w:rPr>
          <w:i/>
          <w:iCs/>
        </w:rPr>
        <w:t>feminists@law</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8BD22" w14:textId="28D1C586" w:rsidR="000136BF" w:rsidRDefault="00C817A3" w:rsidP="00C817A3">
    <w:pPr>
      <w:pStyle w:val="Header"/>
      <w:tabs>
        <w:tab w:val="clear" w:pos="9026"/>
        <w:tab w:val="right" w:pos="9214"/>
      </w:tabs>
      <w:rPr>
        <w:sz w:val="22"/>
        <w:szCs w:val="22"/>
      </w:rPr>
    </w:pPr>
    <w:r>
      <w:rPr>
        <w:sz w:val="22"/>
        <w:szCs w:val="22"/>
      </w:rPr>
      <w:t xml:space="preserve">Rosemary Auchmuty and Alexandrine </w:t>
    </w:r>
    <w:proofErr w:type="spellStart"/>
    <w:r>
      <w:rPr>
        <w:sz w:val="22"/>
        <w:szCs w:val="22"/>
      </w:rPr>
      <w:t>Nedelec</w:t>
    </w:r>
    <w:proofErr w:type="spellEnd"/>
    <w:r>
      <w:rPr>
        <w:sz w:val="22"/>
        <w:szCs w:val="22"/>
      </w:rPr>
      <w:tab/>
    </w:r>
    <w:r>
      <w:rPr>
        <w:sz w:val="22"/>
        <w:szCs w:val="22"/>
      </w:rPr>
      <w:tab/>
      <w:t>Introduction to the Special Section</w:t>
    </w:r>
  </w:p>
  <w:p w14:paraId="3ADE590C" w14:textId="1D59AD35" w:rsidR="00C817A3" w:rsidRPr="00C817A3" w:rsidRDefault="00C817A3" w:rsidP="00C817A3">
    <w:pPr>
      <w:pStyle w:val="Header"/>
      <w:tabs>
        <w:tab w:val="clear" w:pos="9026"/>
        <w:tab w:val="right" w:pos="9214"/>
      </w:tabs>
      <w:rPr>
        <w:sz w:val="22"/>
        <w:szCs w:val="22"/>
      </w:rPr>
    </w:pPr>
    <w:r>
      <w:rPr>
        <w:sz w:val="22"/>
        <w:szCs w:val="22"/>
      </w:rP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1B17" w14:textId="5F4C9174" w:rsidR="00E52684" w:rsidRDefault="00E52684" w:rsidP="007F4D81">
    <w:pPr>
      <w:tabs>
        <w:tab w:val="center" w:pos="4513"/>
        <w:tab w:val="right" w:pos="9356"/>
      </w:tabs>
      <w:rPr>
        <w:rFonts w:ascii="Calibri" w:eastAsia="Calibri" w:hAnsi="Calibri" w:cs="Times New Roman"/>
        <w:kern w:val="0"/>
        <w:sz w:val="22"/>
        <w:szCs w:val="22"/>
        <w14:ligatures w14:val="none"/>
      </w:rPr>
    </w:pPr>
    <w:proofErr w:type="spellStart"/>
    <w:r w:rsidRPr="00E52684">
      <w:rPr>
        <w:rFonts w:ascii="Calibri" w:eastAsia="Calibri" w:hAnsi="Calibri" w:cs="Times New Roman"/>
        <w:i/>
        <w:iCs/>
        <w:kern w:val="0"/>
        <w:sz w:val="22"/>
        <w:szCs w:val="22"/>
        <w14:ligatures w14:val="none"/>
      </w:rPr>
      <w:t>feminists@law</w:t>
    </w:r>
    <w:proofErr w:type="spellEnd"/>
    <w:r w:rsidRPr="00E52684">
      <w:rPr>
        <w:rFonts w:ascii="Calibri" w:eastAsia="Calibri" w:hAnsi="Calibri" w:cs="Times New Roman"/>
        <w:kern w:val="0"/>
        <w:sz w:val="22"/>
        <w:szCs w:val="22"/>
        <w14:ligatures w14:val="none"/>
      </w:rPr>
      <w:tab/>
    </w:r>
    <w:r w:rsidRPr="00E52684">
      <w:rPr>
        <w:rFonts w:ascii="Calibri" w:eastAsia="Calibri" w:hAnsi="Calibri" w:cs="Times New Roman"/>
        <w:kern w:val="0"/>
        <w:sz w:val="22"/>
        <w:szCs w:val="22"/>
        <w14:ligatures w14:val="none"/>
      </w:rPr>
      <w:tab/>
      <w:t>Vol 1</w:t>
    </w:r>
    <w:r w:rsidR="00855975">
      <w:rPr>
        <w:rFonts w:ascii="Calibri" w:eastAsia="Calibri" w:hAnsi="Calibri" w:cs="Times New Roman"/>
        <w:kern w:val="0"/>
        <w:sz w:val="22"/>
        <w:szCs w:val="22"/>
        <w14:ligatures w14:val="none"/>
      </w:rPr>
      <w:t>4</w:t>
    </w:r>
    <w:r w:rsidRPr="00E52684">
      <w:rPr>
        <w:rFonts w:ascii="Calibri" w:eastAsia="Calibri" w:hAnsi="Calibri" w:cs="Times New Roman"/>
        <w:kern w:val="0"/>
        <w:sz w:val="22"/>
        <w:szCs w:val="22"/>
        <w14:ligatures w14:val="none"/>
      </w:rPr>
      <w:t xml:space="preserve">, No </w:t>
    </w:r>
    <w:r w:rsidR="00855975">
      <w:rPr>
        <w:rFonts w:ascii="Calibri" w:eastAsia="Calibri" w:hAnsi="Calibri" w:cs="Times New Roman"/>
        <w:kern w:val="0"/>
        <w:sz w:val="22"/>
        <w:szCs w:val="22"/>
        <w14:ligatures w14:val="none"/>
      </w:rPr>
      <w:t>1</w:t>
    </w:r>
    <w:r w:rsidRPr="00E52684">
      <w:rPr>
        <w:rFonts w:ascii="Calibri" w:eastAsia="Calibri" w:hAnsi="Calibri" w:cs="Times New Roman"/>
        <w:kern w:val="0"/>
        <w:sz w:val="22"/>
        <w:szCs w:val="22"/>
        <w14:ligatures w14:val="none"/>
      </w:rPr>
      <w:t xml:space="preserve"> (202</w:t>
    </w:r>
    <w:r w:rsidR="000136BF">
      <w:rPr>
        <w:rFonts w:ascii="Calibri" w:eastAsia="Calibri" w:hAnsi="Calibri" w:cs="Times New Roman"/>
        <w:kern w:val="0"/>
        <w:sz w:val="22"/>
        <w:szCs w:val="22"/>
        <w14:ligatures w14:val="none"/>
      </w:rPr>
      <w:t>5</w:t>
    </w:r>
    <w:r w:rsidRPr="00E52684">
      <w:rPr>
        <w:rFonts w:ascii="Calibri" w:eastAsia="Calibri" w:hAnsi="Calibri" w:cs="Times New Roman"/>
        <w:kern w:val="0"/>
        <w:sz w:val="22"/>
        <w:szCs w:val="22"/>
        <w14:ligatures w14:val="none"/>
      </w:rPr>
      <w:t>)</w:t>
    </w:r>
  </w:p>
  <w:p w14:paraId="0CC85598" w14:textId="17447662" w:rsidR="007F4D81" w:rsidRPr="00E52684" w:rsidRDefault="007F4D81" w:rsidP="007F4D81">
    <w:pPr>
      <w:tabs>
        <w:tab w:val="center" w:pos="4513"/>
        <w:tab w:val="right" w:pos="9356"/>
      </w:tabs>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_____________________________________________________________________________________</w:t>
    </w:r>
  </w:p>
  <w:p w14:paraId="34A39121" w14:textId="77777777" w:rsidR="00E52684" w:rsidRDefault="00E526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4011" w14:textId="77777777" w:rsidR="000136BF" w:rsidRDefault="000136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DAF"/>
    <w:rsid w:val="000136BF"/>
    <w:rsid w:val="00031C17"/>
    <w:rsid w:val="00076094"/>
    <w:rsid w:val="00093231"/>
    <w:rsid w:val="000D0164"/>
    <w:rsid w:val="000D2608"/>
    <w:rsid w:val="000D7458"/>
    <w:rsid w:val="000E6A22"/>
    <w:rsid w:val="000E7B30"/>
    <w:rsid w:val="00104A2E"/>
    <w:rsid w:val="00167238"/>
    <w:rsid w:val="00172745"/>
    <w:rsid w:val="001E73FE"/>
    <w:rsid w:val="002104DB"/>
    <w:rsid w:val="00241CFD"/>
    <w:rsid w:val="00270FB2"/>
    <w:rsid w:val="00275C5A"/>
    <w:rsid w:val="0028321E"/>
    <w:rsid w:val="0029530A"/>
    <w:rsid w:val="002B4F16"/>
    <w:rsid w:val="002C31BE"/>
    <w:rsid w:val="002C58F8"/>
    <w:rsid w:val="002D4402"/>
    <w:rsid w:val="002D7113"/>
    <w:rsid w:val="002E023A"/>
    <w:rsid w:val="002F77AB"/>
    <w:rsid w:val="00367CB8"/>
    <w:rsid w:val="0037108F"/>
    <w:rsid w:val="00395499"/>
    <w:rsid w:val="003A03B8"/>
    <w:rsid w:val="003B2164"/>
    <w:rsid w:val="003D6600"/>
    <w:rsid w:val="003E0678"/>
    <w:rsid w:val="003F1988"/>
    <w:rsid w:val="003F7CFE"/>
    <w:rsid w:val="0040625F"/>
    <w:rsid w:val="004223C2"/>
    <w:rsid w:val="00433615"/>
    <w:rsid w:val="0044203E"/>
    <w:rsid w:val="0045490B"/>
    <w:rsid w:val="0048025B"/>
    <w:rsid w:val="004B66FF"/>
    <w:rsid w:val="0052689D"/>
    <w:rsid w:val="00564EB6"/>
    <w:rsid w:val="00587C86"/>
    <w:rsid w:val="005B63E2"/>
    <w:rsid w:val="005D1934"/>
    <w:rsid w:val="005D4E7E"/>
    <w:rsid w:val="005D58F3"/>
    <w:rsid w:val="005D6BDA"/>
    <w:rsid w:val="005E28F8"/>
    <w:rsid w:val="005F4FCF"/>
    <w:rsid w:val="006027B2"/>
    <w:rsid w:val="00603FAD"/>
    <w:rsid w:val="00604C0C"/>
    <w:rsid w:val="00611DDA"/>
    <w:rsid w:val="00617C3C"/>
    <w:rsid w:val="00625513"/>
    <w:rsid w:val="00632B97"/>
    <w:rsid w:val="006363F3"/>
    <w:rsid w:val="00654A87"/>
    <w:rsid w:val="0065714B"/>
    <w:rsid w:val="0069094B"/>
    <w:rsid w:val="00691FCB"/>
    <w:rsid w:val="0069631F"/>
    <w:rsid w:val="006D5EDE"/>
    <w:rsid w:val="006E7892"/>
    <w:rsid w:val="006F2992"/>
    <w:rsid w:val="007157A3"/>
    <w:rsid w:val="007559E3"/>
    <w:rsid w:val="00763F74"/>
    <w:rsid w:val="007773D1"/>
    <w:rsid w:val="00795950"/>
    <w:rsid w:val="007B1009"/>
    <w:rsid w:val="007C46C5"/>
    <w:rsid w:val="007E34AF"/>
    <w:rsid w:val="007F4D81"/>
    <w:rsid w:val="00815FC4"/>
    <w:rsid w:val="00842413"/>
    <w:rsid w:val="00845150"/>
    <w:rsid w:val="00855975"/>
    <w:rsid w:val="00880DED"/>
    <w:rsid w:val="008850DC"/>
    <w:rsid w:val="00897B40"/>
    <w:rsid w:val="008A0355"/>
    <w:rsid w:val="008B731E"/>
    <w:rsid w:val="008C46DE"/>
    <w:rsid w:val="00920D03"/>
    <w:rsid w:val="0092341B"/>
    <w:rsid w:val="00943428"/>
    <w:rsid w:val="009438BE"/>
    <w:rsid w:val="0096251B"/>
    <w:rsid w:val="009B0B91"/>
    <w:rsid w:val="009C3FC3"/>
    <w:rsid w:val="009D2433"/>
    <w:rsid w:val="009E3952"/>
    <w:rsid w:val="009F7D59"/>
    <w:rsid w:val="00A04D4A"/>
    <w:rsid w:val="00A40472"/>
    <w:rsid w:val="00A45BBC"/>
    <w:rsid w:val="00A46C15"/>
    <w:rsid w:val="00A72A0B"/>
    <w:rsid w:val="00A74819"/>
    <w:rsid w:val="00A83222"/>
    <w:rsid w:val="00A87E68"/>
    <w:rsid w:val="00A90C47"/>
    <w:rsid w:val="00AA2D46"/>
    <w:rsid w:val="00AC2EFF"/>
    <w:rsid w:val="00B36D41"/>
    <w:rsid w:val="00B8043C"/>
    <w:rsid w:val="00B8087F"/>
    <w:rsid w:val="00B850CA"/>
    <w:rsid w:val="00B905C8"/>
    <w:rsid w:val="00B920CA"/>
    <w:rsid w:val="00BA1D24"/>
    <w:rsid w:val="00BE2578"/>
    <w:rsid w:val="00BF6B63"/>
    <w:rsid w:val="00C112A8"/>
    <w:rsid w:val="00C325C0"/>
    <w:rsid w:val="00C456EA"/>
    <w:rsid w:val="00C578B1"/>
    <w:rsid w:val="00C817A3"/>
    <w:rsid w:val="00C96612"/>
    <w:rsid w:val="00CC370A"/>
    <w:rsid w:val="00CC534E"/>
    <w:rsid w:val="00CD619E"/>
    <w:rsid w:val="00CF037D"/>
    <w:rsid w:val="00D2666F"/>
    <w:rsid w:val="00D33577"/>
    <w:rsid w:val="00D45F6B"/>
    <w:rsid w:val="00D6351E"/>
    <w:rsid w:val="00D8394E"/>
    <w:rsid w:val="00DA2B4B"/>
    <w:rsid w:val="00DC4B6A"/>
    <w:rsid w:val="00DD6063"/>
    <w:rsid w:val="00E14F52"/>
    <w:rsid w:val="00E26FC7"/>
    <w:rsid w:val="00E44E0B"/>
    <w:rsid w:val="00E50E97"/>
    <w:rsid w:val="00E52684"/>
    <w:rsid w:val="00E67DAF"/>
    <w:rsid w:val="00E74791"/>
    <w:rsid w:val="00E954A0"/>
    <w:rsid w:val="00EC5976"/>
    <w:rsid w:val="00F108F4"/>
    <w:rsid w:val="00F158B0"/>
    <w:rsid w:val="00F36CBA"/>
    <w:rsid w:val="00F47293"/>
    <w:rsid w:val="00F51B1B"/>
    <w:rsid w:val="00F94817"/>
    <w:rsid w:val="00FA0172"/>
    <w:rsid w:val="00FD2D1F"/>
    <w:rsid w:val="00FE2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9B21D"/>
  <w15:chartTrackingRefBased/>
  <w15:docId w15:val="{2F9BB686-1E88-5F44-AD9C-04D848FA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B97"/>
  </w:style>
  <w:style w:type="paragraph" w:styleId="Heading1">
    <w:name w:val="heading 1"/>
    <w:basedOn w:val="Normal"/>
    <w:next w:val="Normal"/>
    <w:link w:val="Heading1Char"/>
    <w:uiPriority w:val="9"/>
    <w:qFormat/>
    <w:rsid w:val="00F158B0"/>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C534E"/>
  </w:style>
  <w:style w:type="character" w:styleId="CommentReference">
    <w:name w:val="annotation reference"/>
    <w:basedOn w:val="DefaultParagraphFont"/>
    <w:uiPriority w:val="99"/>
    <w:semiHidden/>
    <w:unhideWhenUsed/>
    <w:rsid w:val="00CC534E"/>
    <w:rPr>
      <w:sz w:val="16"/>
      <w:szCs w:val="16"/>
    </w:rPr>
  </w:style>
  <w:style w:type="paragraph" w:styleId="CommentText">
    <w:name w:val="annotation text"/>
    <w:basedOn w:val="Normal"/>
    <w:link w:val="CommentTextChar"/>
    <w:uiPriority w:val="99"/>
    <w:unhideWhenUsed/>
    <w:rsid w:val="00CC534E"/>
    <w:rPr>
      <w:sz w:val="20"/>
      <w:szCs w:val="20"/>
    </w:rPr>
  </w:style>
  <w:style w:type="character" w:customStyle="1" w:styleId="CommentTextChar">
    <w:name w:val="Comment Text Char"/>
    <w:basedOn w:val="DefaultParagraphFont"/>
    <w:link w:val="CommentText"/>
    <w:uiPriority w:val="99"/>
    <w:rsid w:val="00CC534E"/>
    <w:rPr>
      <w:sz w:val="20"/>
      <w:szCs w:val="20"/>
    </w:rPr>
  </w:style>
  <w:style w:type="paragraph" w:styleId="CommentSubject">
    <w:name w:val="annotation subject"/>
    <w:basedOn w:val="CommentText"/>
    <w:next w:val="CommentText"/>
    <w:link w:val="CommentSubjectChar"/>
    <w:uiPriority w:val="99"/>
    <w:semiHidden/>
    <w:unhideWhenUsed/>
    <w:rsid w:val="00CC534E"/>
    <w:rPr>
      <w:b/>
      <w:bCs/>
    </w:rPr>
  </w:style>
  <w:style w:type="character" w:customStyle="1" w:styleId="CommentSubjectChar">
    <w:name w:val="Comment Subject Char"/>
    <w:basedOn w:val="CommentTextChar"/>
    <w:link w:val="CommentSubject"/>
    <w:uiPriority w:val="99"/>
    <w:semiHidden/>
    <w:rsid w:val="00CC534E"/>
    <w:rPr>
      <w:b/>
      <w:bCs/>
      <w:sz w:val="20"/>
      <w:szCs w:val="20"/>
    </w:rPr>
  </w:style>
  <w:style w:type="paragraph" w:styleId="FootnoteText">
    <w:name w:val="footnote text"/>
    <w:basedOn w:val="Normal"/>
    <w:link w:val="FootnoteTextChar"/>
    <w:uiPriority w:val="99"/>
    <w:semiHidden/>
    <w:unhideWhenUsed/>
    <w:rsid w:val="004B66FF"/>
    <w:rPr>
      <w:sz w:val="20"/>
      <w:szCs w:val="20"/>
    </w:rPr>
  </w:style>
  <w:style w:type="character" w:customStyle="1" w:styleId="FootnoteTextChar">
    <w:name w:val="Footnote Text Char"/>
    <w:basedOn w:val="DefaultParagraphFont"/>
    <w:link w:val="FootnoteText"/>
    <w:uiPriority w:val="99"/>
    <w:semiHidden/>
    <w:rsid w:val="004B66FF"/>
    <w:rPr>
      <w:sz w:val="20"/>
      <w:szCs w:val="20"/>
    </w:rPr>
  </w:style>
  <w:style w:type="character" w:styleId="FootnoteReference">
    <w:name w:val="footnote reference"/>
    <w:basedOn w:val="DefaultParagraphFont"/>
    <w:uiPriority w:val="99"/>
    <w:semiHidden/>
    <w:unhideWhenUsed/>
    <w:rsid w:val="004B66FF"/>
    <w:rPr>
      <w:vertAlign w:val="superscript"/>
    </w:rPr>
  </w:style>
  <w:style w:type="paragraph" w:styleId="Header">
    <w:name w:val="header"/>
    <w:basedOn w:val="Normal"/>
    <w:link w:val="HeaderChar"/>
    <w:uiPriority w:val="99"/>
    <w:unhideWhenUsed/>
    <w:rsid w:val="00E52684"/>
    <w:pPr>
      <w:tabs>
        <w:tab w:val="center" w:pos="4513"/>
        <w:tab w:val="right" w:pos="9026"/>
      </w:tabs>
    </w:pPr>
  </w:style>
  <w:style w:type="character" w:customStyle="1" w:styleId="HeaderChar">
    <w:name w:val="Header Char"/>
    <w:basedOn w:val="DefaultParagraphFont"/>
    <w:link w:val="Header"/>
    <w:uiPriority w:val="99"/>
    <w:rsid w:val="00E52684"/>
  </w:style>
  <w:style w:type="paragraph" w:styleId="Footer">
    <w:name w:val="footer"/>
    <w:basedOn w:val="Normal"/>
    <w:link w:val="FooterChar"/>
    <w:uiPriority w:val="99"/>
    <w:unhideWhenUsed/>
    <w:rsid w:val="00E52684"/>
    <w:pPr>
      <w:tabs>
        <w:tab w:val="center" w:pos="4513"/>
        <w:tab w:val="right" w:pos="9026"/>
      </w:tabs>
    </w:pPr>
  </w:style>
  <w:style w:type="character" w:customStyle="1" w:styleId="FooterChar">
    <w:name w:val="Footer Char"/>
    <w:basedOn w:val="DefaultParagraphFont"/>
    <w:link w:val="Footer"/>
    <w:uiPriority w:val="99"/>
    <w:rsid w:val="00E52684"/>
  </w:style>
  <w:style w:type="character" w:styleId="Hyperlink">
    <w:name w:val="Hyperlink"/>
    <w:basedOn w:val="DefaultParagraphFont"/>
    <w:uiPriority w:val="99"/>
    <w:unhideWhenUsed/>
    <w:rsid w:val="00795950"/>
    <w:rPr>
      <w:color w:val="0563C1" w:themeColor="hyperlink"/>
      <w:u w:val="single"/>
    </w:rPr>
  </w:style>
  <w:style w:type="character" w:styleId="UnresolvedMention">
    <w:name w:val="Unresolved Mention"/>
    <w:basedOn w:val="DefaultParagraphFont"/>
    <w:uiPriority w:val="99"/>
    <w:semiHidden/>
    <w:unhideWhenUsed/>
    <w:rsid w:val="00795950"/>
    <w:rPr>
      <w:color w:val="605E5C"/>
      <w:shd w:val="clear" w:color="auto" w:fill="E1DFDD"/>
    </w:rPr>
  </w:style>
  <w:style w:type="character" w:styleId="FollowedHyperlink">
    <w:name w:val="FollowedHyperlink"/>
    <w:basedOn w:val="DefaultParagraphFont"/>
    <w:uiPriority w:val="99"/>
    <w:semiHidden/>
    <w:unhideWhenUsed/>
    <w:rsid w:val="00691FCB"/>
    <w:rPr>
      <w:color w:val="954F72" w:themeColor="followedHyperlink"/>
      <w:u w:val="single"/>
    </w:rPr>
  </w:style>
  <w:style w:type="character" w:customStyle="1" w:styleId="Heading1Char">
    <w:name w:val="Heading 1 Char"/>
    <w:basedOn w:val="DefaultParagraphFont"/>
    <w:link w:val="Heading1"/>
    <w:uiPriority w:val="9"/>
    <w:rsid w:val="00F158B0"/>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340">
      <w:bodyDiv w:val="1"/>
      <w:marLeft w:val="0"/>
      <w:marRight w:val="0"/>
      <w:marTop w:val="0"/>
      <w:marBottom w:val="0"/>
      <w:divBdr>
        <w:top w:val="none" w:sz="0" w:space="0" w:color="auto"/>
        <w:left w:val="none" w:sz="0" w:space="0" w:color="auto"/>
        <w:bottom w:val="none" w:sz="0" w:space="0" w:color="auto"/>
        <w:right w:val="none" w:sz="0" w:space="0" w:color="auto"/>
      </w:divBdr>
    </w:div>
    <w:div w:id="1567689134">
      <w:bodyDiv w:val="1"/>
      <w:marLeft w:val="0"/>
      <w:marRight w:val="0"/>
      <w:marTop w:val="0"/>
      <w:marBottom w:val="0"/>
      <w:divBdr>
        <w:top w:val="none" w:sz="0" w:space="0" w:color="auto"/>
        <w:left w:val="none" w:sz="0" w:space="0" w:color="auto"/>
        <w:bottom w:val="none" w:sz="0" w:space="0" w:color="auto"/>
        <w:right w:val="none" w:sz="0" w:space="0" w:color="auto"/>
      </w:divBdr>
    </w:div>
    <w:div w:id="209797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jps.pantheonsorbonne.fr/evenements/feminisme-droit-et-citoyennete-i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sjps.pantheonsorbonne.fr/evenements/feminisme-droit-et-citoyennetefeminism-law-and-citizenship"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regine.parisnanterre.fr/index.php/programme-2/" TargetMode="External"/><Relationship Id="rId4" Type="http://schemas.openxmlformats.org/officeDocument/2006/relationships/webSettings" Target="webSettings.xml"/><Relationship Id="rId9" Type="http://schemas.openxmlformats.org/officeDocument/2006/relationships/hyperlink" Target="https://regine.parisnanterre.fr/"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theconversation.com/josephine-baker-what-it-means-to-enter-frances-hallowed-pantheon-172680" TargetMode="External"/><Relationship Id="rId2" Type="http://schemas.openxmlformats.org/officeDocument/2006/relationships/hyperlink" Target="mailto:Alexandrine.Nedelec@univ-paris1.fr" TargetMode="External"/><Relationship Id="rId1" Type="http://schemas.openxmlformats.org/officeDocument/2006/relationships/hyperlink" Target="mailto:r.auchmuty@reading.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1852A-7956-D548-BAD5-3FCB65D0442E}">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48</TotalTime>
  <Pages>5</Pages>
  <Words>1450</Words>
  <Characters>8265</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Auchmuty</dc:creator>
  <cp:keywords/>
  <dc:description/>
  <cp:lastModifiedBy>Rosemary Hunter</cp:lastModifiedBy>
  <cp:revision>37</cp:revision>
  <cp:lastPrinted>2024-11-24T09:39:00Z</cp:lastPrinted>
  <dcterms:created xsi:type="dcterms:W3CDTF">2024-12-06T12:31:00Z</dcterms:created>
  <dcterms:modified xsi:type="dcterms:W3CDTF">2025-05-10T22:01:00Z</dcterms:modified>
</cp:coreProperties>
</file>