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21AC0" w14:textId="0E365E8A" w:rsidR="00A17A26" w:rsidRPr="00B46BBD" w:rsidRDefault="00495E83" w:rsidP="00B46BBD">
      <w:pPr>
        <w:pStyle w:val="Heading1"/>
      </w:pPr>
      <w:r w:rsidRPr="00B46BBD">
        <w:t>Citizenship and Family Law in Tunisia and Iran: Domestic and International Influences</w:t>
      </w:r>
    </w:p>
    <w:p w14:paraId="45837CDB" w14:textId="77777777" w:rsidR="00D67707" w:rsidRDefault="00D67707" w:rsidP="00D67707">
      <w:pPr>
        <w:spacing w:after="0" w:line="240" w:lineRule="auto"/>
        <w:jc w:val="both"/>
        <w:rPr>
          <w:rFonts w:cstheme="minorHAnsi"/>
          <w:sz w:val="24"/>
          <w:szCs w:val="24"/>
        </w:rPr>
      </w:pPr>
    </w:p>
    <w:p w14:paraId="6FA2D76E" w14:textId="003D59A3" w:rsidR="001C004B" w:rsidRPr="004E09F9" w:rsidRDefault="00330103" w:rsidP="00D67707">
      <w:pPr>
        <w:spacing w:after="0" w:line="240" w:lineRule="auto"/>
        <w:jc w:val="both"/>
        <w:rPr>
          <w:rFonts w:cstheme="minorHAnsi"/>
          <w:b/>
          <w:bCs/>
          <w:sz w:val="24"/>
          <w:szCs w:val="24"/>
        </w:rPr>
      </w:pPr>
      <w:r w:rsidRPr="004E09F9">
        <w:rPr>
          <w:rFonts w:cstheme="minorHAnsi"/>
          <w:b/>
          <w:bCs/>
          <w:sz w:val="24"/>
          <w:szCs w:val="24"/>
        </w:rPr>
        <w:t>Valentine M Moghadam</w:t>
      </w:r>
      <w:r w:rsidR="00C76C7D" w:rsidRPr="004E09F9">
        <w:rPr>
          <w:rStyle w:val="FootnoteReference"/>
          <w:rFonts w:cstheme="minorHAnsi"/>
          <w:b/>
          <w:bCs/>
          <w:sz w:val="24"/>
          <w:szCs w:val="24"/>
        </w:rPr>
        <w:footnoteReference w:customMarkFollows="1" w:id="1"/>
        <w:sym w:font="Symbol" w:char="F02A"/>
      </w:r>
    </w:p>
    <w:p w14:paraId="6B39E89B" w14:textId="77777777" w:rsidR="00D67707" w:rsidRDefault="00D67707" w:rsidP="00D67707">
      <w:pPr>
        <w:spacing w:after="0" w:line="240" w:lineRule="auto"/>
        <w:jc w:val="both"/>
        <w:rPr>
          <w:rFonts w:cstheme="minorHAnsi"/>
          <w:b/>
          <w:bCs/>
          <w:color w:val="000000"/>
          <w:sz w:val="24"/>
          <w:szCs w:val="24"/>
          <w:shd w:val="clear" w:color="auto" w:fill="FFFFFF"/>
        </w:rPr>
      </w:pPr>
    </w:p>
    <w:p w14:paraId="15C3CCDF" w14:textId="77777777" w:rsidR="004E09F9" w:rsidRDefault="004E09F9" w:rsidP="00D67707">
      <w:pPr>
        <w:spacing w:after="0" w:line="240" w:lineRule="auto"/>
        <w:jc w:val="both"/>
        <w:rPr>
          <w:rFonts w:cstheme="minorHAnsi"/>
          <w:b/>
          <w:bCs/>
          <w:color w:val="000000"/>
          <w:sz w:val="24"/>
          <w:szCs w:val="24"/>
          <w:shd w:val="clear" w:color="auto" w:fill="FFFFFF"/>
        </w:rPr>
      </w:pPr>
    </w:p>
    <w:p w14:paraId="7933B008" w14:textId="6059AC75" w:rsidR="00293E1B" w:rsidRPr="00B46BBD" w:rsidRDefault="00293E1B" w:rsidP="00B46BBD">
      <w:pPr>
        <w:pStyle w:val="Heading2"/>
      </w:pPr>
      <w:r w:rsidRPr="00B46BBD">
        <w:t>Abstract</w:t>
      </w:r>
    </w:p>
    <w:p w14:paraId="41EC8454" w14:textId="77777777" w:rsidR="004E09F9" w:rsidRDefault="004E09F9" w:rsidP="00D67707">
      <w:pPr>
        <w:spacing w:after="0" w:line="240" w:lineRule="auto"/>
        <w:jc w:val="both"/>
        <w:rPr>
          <w:rFonts w:cstheme="minorHAnsi"/>
          <w:color w:val="000000"/>
          <w:sz w:val="24"/>
          <w:szCs w:val="24"/>
          <w:shd w:val="clear" w:color="auto" w:fill="FFFFFF"/>
        </w:rPr>
      </w:pPr>
    </w:p>
    <w:p w14:paraId="53972407" w14:textId="25FB49C3" w:rsidR="00293E1B" w:rsidRPr="0072561B" w:rsidRDefault="00293E1B" w:rsidP="00D67707">
      <w:pPr>
        <w:spacing w:after="0" w:line="240" w:lineRule="auto"/>
        <w:jc w:val="both"/>
        <w:rPr>
          <w:rFonts w:cstheme="minorHAnsi"/>
          <w:color w:val="000000"/>
          <w:sz w:val="24"/>
          <w:szCs w:val="24"/>
          <w:shd w:val="clear" w:color="auto" w:fill="FFFFFF"/>
        </w:rPr>
      </w:pPr>
      <w:r w:rsidRPr="0072561B">
        <w:rPr>
          <w:rFonts w:cstheme="minorHAnsi"/>
          <w:color w:val="000000"/>
          <w:sz w:val="24"/>
          <w:szCs w:val="24"/>
          <w:shd w:val="clear" w:color="auto" w:fill="FFFFFF"/>
        </w:rPr>
        <w:t>Thi</w:t>
      </w:r>
      <w:r w:rsidR="00A700AC">
        <w:rPr>
          <w:rFonts w:cstheme="minorHAnsi"/>
          <w:color w:val="000000"/>
          <w:sz w:val="24"/>
          <w:szCs w:val="24"/>
          <w:shd w:val="clear" w:color="auto" w:fill="FFFFFF"/>
        </w:rPr>
        <w:t>s</w:t>
      </w:r>
      <w:r w:rsidRPr="0072561B">
        <w:rPr>
          <w:rFonts w:cstheme="minorHAnsi"/>
          <w:color w:val="000000"/>
          <w:sz w:val="24"/>
          <w:szCs w:val="24"/>
          <w:shd w:val="clear" w:color="auto" w:fill="FFFFFF"/>
        </w:rPr>
        <w:t xml:space="preserve"> paper compare</w:t>
      </w:r>
      <w:r w:rsidR="007A57A3" w:rsidRPr="0072561B">
        <w:rPr>
          <w:rFonts w:cstheme="minorHAnsi"/>
          <w:color w:val="000000"/>
          <w:sz w:val="24"/>
          <w:szCs w:val="24"/>
          <w:shd w:val="clear" w:color="auto" w:fill="FFFFFF"/>
        </w:rPr>
        <w:t>s</w:t>
      </w:r>
      <w:r w:rsidRPr="0072561B">
        <w:rPr>
          <w:rFonts w:cstheme="minorHAnsi"/>
          <w:color w:val="000000"/>
          <w:sz w:val="24"/>
          <w:szCs w:val="24"/>
          <w:shd w:val="clear" w:color="auto" w:fill="FFFFFF"/>
        </w:rPr>
        <w:t xml:space="preserve"> two cases from the Middle East and North Africa region to highlight the salience of both domestic and international factors and forces in shaping and influencing women’s legal status and social positions</w:t>
      </w:r>
      <w:r w:rsidR="00AF66F5" w:rsidRPr="0072561B">
        <w:rPr>
          <w:rFonts w:cstheme="minorHAnsi"/>
          <w:color w:val="000000"/>
          <w:sz w:val="24"/>
          <w:szCs w:val="24"/>
          <w:shd w:val="clear" w:color="auto" w:fill="FFFFFF"/>
        </w:rPr>
        <w:t xml:space="preserve"> as citizens of the body politic</w:t>
      </w:r>
      <w:r w:rsidRPr="0072561B">
        <w:rPr>
          <w:rFonts w:cstheme="minorHAnsi"/>
          <w:color w:val="000000"/>
          <w:sz w:val="24"/>
          <w:szCs w:val="24"/>
          <w:shd w:val="clear" w:color="auto" w:fill="FFFFFF"/>
        </w:rPr>
        <w:t xml:space="preserve">. </w:t>
      </w:r>
      <w:r w:rsidR="00AF66F5" w:rsidRPr="0072561B">
        <w:rPr>
          <w:rFonts w:cstheme="minorHAnsi"/>
          <w:color w:val="000000"/>
          <w:sz w:val="24"/>
          <w:szCs w:val="24"/>
          <w:shd w:val="clear" w:color="auto" w:fill="FFFFFF"/>
        </w:rPr>
        <w:t>Tunisian women have long had a legal advantage over their Iranian counterparts, and their political representation increased after the 2011 revolution</w:t>
      </w:r>
      <w:r w:rsidR="006453A7" w:rsidRPr="0072561B">
        <w:rPr>
          <w:rFonts w:cstheme="minorHAnsi"/>
          <w:color w:val="000000"/>
          <w:sz w:val="24"/>
          <w:szCs w:val="24"/>
          <w:shd w:val="clear" w:color="auto" w:fill="FFFFFF"/>
        </w:rPr>
        <w:t xml:space="preserve"> and under the 2014 constitution</w:t>
      </w:r>
      <w:r w:rsidR="00AF66F5" w:rsidRPr="0072561B">
        <w:rPr>
          <w:rFonts w:cstheme="minorHAnsi"/>
          <w:color w:val="000000"/>
          <w:sz w:val="24"/>
          <w:szCs w:val="24"/>
          <w:shd w:val="clear" w:color="auto" w:fill="FFFFFF"/>
        </w:rPr>
        <w:t xml:space="preserve">, only to find that dire economic circumstances threatened their achieved rights. In Iran, the adverse effects on women’s legal status after the 1979 Islamic revolution slowly </w:t>
      </w:r>
      <w:r w:rsidR="006453A7" w:rsidRPr="0072561B">
        <w:rPr>
          <w:rFonts w:cstheme="minorHAnsi"/>
          <w:color w:val="000000"/>
          <w:sz w:val="24"/>
          <w:szCs w:val="24"/>
          <w:shd w:val="clear" w:color="auto" w:fill="FFFFFF"/>
        </w:rPr>
        <w:t>diminished</w:t>
      </w:r>
      <w:r w:rsidR="00AF66F5" w:rsidRPr="0072561B">
        <w:rPr>
          <w:rFonts w:cstheme="minorHAnsi"/>
          <w:color w:val="000000"/>
          <w:sz w:val="24"/>
          <w:szCs w:val="24"/>
          <w:shd w:val="clear" w:color="auto" w:fill="FFFFFF"/>
        </w:rPr>
        <w:t xml:space="preserve">, </w:t>
      </w:r>
      <w:r w:rsidR="006453A7" w:rsidRPr="0072561B">
        <w:rPr>
          <w:rFonts w:cstheme="minorHAnsi"/>
          <w:color w:val="000000"/>
          <w:sz w:val="24"/>
          <w:szCs w:val="24"/>
          <w:shd w:val="clear" w:color="auto" w:fill="FFFFFF"/>
        </w:rPr>
        <w:t>especially under Reformist political leadership, but the US imposition of ‘maximum pressure sanctions’ returned hardliners to office and halted women’s progress.</w:t>
      </w:r>
      <w:r w:rsidR="00AF66F5" w:rsidRPr="0072561B">
        <w:rPr>
          <w:rFonts w:cstheme="minorHAnsi"/>
          <w:color w:val="000000"/>
          <w:sz w:val="24"/>
          <w:szCs w:val="24"/>
          <w:shd w:val="clear" w:color="auto" w:fill="FFFFFF"/>
        </w:rPr>
        <w:t xml:space="preserve"> </w:t>
      </w:r>
      <w:r w:rsidRPr="0072561B">
        <w:rPr>
          <w:rFonts w:cstheme="minorHAnsi"/>
          <w:color w:val="000000"/>
          <w:sz w:val="24"/>
          <w:szCs w:val="24"/>
          <w:shd w:val="clear" w:color="auto" w:fill="FFFFFF"/>
        </w:rPr>
        <w:t xml:space="preserve">The comparison of Iran and Tunisia builds on and adds to the literature on women’s citizenship by showing how countries with different political histories and legal frameworks can </w:t>
      </w:r>
      <w:r w:rsidR="00AD66AA" w:rsidRPr="0072561B">
        <w:rPr>
          <w:rFonts w:cstheme="minorHAnsi"/>
          <w:color w:val="000000"/>
          <w:sz w:val="24"/>
          <w:szCs w:val="24"/>
          <w:shd w:val="clear" w:color="auto" w:fill="FFFFFF"/>
        </w:rPr>
        <w:t>nonetheless</w:t>
      </w:r>
      <w:r w:rsidRPr="0072561B">
        <w:rPr>
          <w:rFonts w:cstheme="minorHAnsi"/>
          <w:color w:val="000000"/>
          <w:sz w:val="24"/>
          <w:szCs w:val="24"/>
          <w:shd w:val="clear" w:color="auto" w:fill="FFFFFF"/>
        </w:rPr>
        <w:t xml:space="preserve"> be affected by external impositions: in Iran’s case, harsh US sanctions and in Tunisia’s case, lack of international financial support for the democratic transition.</w:t>
      </w:r>
      <w:r w:rsidR="00AF66F5" w:rsidRPr="0072561B">
        <w:rPr>
          <w:rFonts w:cstheme="minorHAnsi"/>
          <w:color w:val="000000"/>
          <w:sz w:val="24"/>
          <w:szCs w:val="24"/>
          <w:shd w:val="clear" w:color="auto" w:fill="FFFFFF"/>
        </w:rPr>
        <w:t xml:space="preserve"> </w:t>
      </w:r>
    </w:p>
    <w:p w14:paraId="293496D7" w14:textId="338C268D" w:rsidR="00293E1B" w:rsidRPr="0072561B" w:rsidRDefault="00293E1B" w:rsidP="00D67707">
      <w:pPr>
        <w:spacing w:after="0" w:line="240" w:lineRule="auto"/>
        <w:jc w:val="both"/>
        <w:rPr>
          <w:rFonts w:cstheme="minorHAnsi"/>
          <w:b/>
          <w:bCs/>
          <w:color w:val="000000"/>
          <w:sz w:val="24"/>
          <w:szCs w:val="24"/>
          <w:shd w:val="clear" w:color="auto" w:fill="FFFFFF"/>
        </w:rPr>
      </w:pPr>
      <w:r w:rsidRPr="0072561B">
        <w:rPr>
          <w:rFonts w:cstheme="minorHAnsi"/>
          <w:b/>
          <w:bCs/>
          <w:color w:val="000000"/>
          <w:sz w:val="24"/>
          <w:szCs w:val="24"/>
          <w:shd w:val="clear" w:color="auto" w:fill="FFFFFF"/>
        </w:rPr>
        <w:t xml:space="preserve"> </w:t>
      </w:r>
    </w:p>
    <w:p w14:paraId="0448C2B7" w14:textId="77777777" w:rsidR="004E09F9" w:rsidRDefault="004E09F9" w:rsidP="00D67707">
      <w:pPr>
        <w:spacing w:after="0" w:line="240" w:lineRule="auto"/>
        <w:jc w:val="both"/>
        <w:rPr>
          <w:rFonts w:cstheme="minorHAnsi"/>
          <w:b/>
          <w:bCs/>
          <w:color w:val="000000"/>
          <w:sz w:val="24"/>
          <w:szCs w:val="24"/>
          <w:shd w:val="clear" w:color="auto" w:fill="FFFFFF"/>
        </w:rPr>
      </w:pPr>
    </w:p>
    <w:p w14:paraId="1A8C7507" w14:textId="4C556D23" w:rsidR="002C084D" w:rsidRPr="0072561B" w:rsidRDefault="004D425F" w:rsidP="00B46BBD">
      <w:pPr>
        <w:pStyle w:val="Heading2"/>
      </w:pPr>
      <w:r w:rsidRPr="0072561B">
        <w:t>Introduction</w:t>
      </w:r>
    </w:p>
    <w:p w14:paraId="3FA5A1F3" w14:textId="77777777" w:rsidR="0024739A" w:rsidRPr="0072561B" w:rsidRDefault="0024739A" w:rsidP="00D67707">
      <w:pPr>
        <w:spacing w:after="0" w:line="240" w:lineRule="auto"/>
        <w:jc w:val="both"/>
        <w:rPr>
          <w:rFonts w:cstheme="minorHAnsi"/>
          <w:b/>
          <w:bCs/>
          <w:color w:val="000000"/>
          <w:sz w:val="24"/>
          <w:szCs w:val="24"/>
          <w:shd w:val="clear" w:color="auto" w:fill="FFFFFF"/>
        </w:rPr>
      </w:pPr>
    </w:p>
    <w:p w14:paraId="05387F78" w14:textId="32C7C1E5" w:rsidR="00C26A35" w:rsidRPr="0072561B" w:rsidRDefault="00C26A35" w:rsidP="00D67707">
      <w:pPr>
        <w:spacing w:after="0" w:line="240" w:lineRule="auto"/>
        <w:jc w:val="both"/>
        <w:rPr>
          <w:rFonts w:cstheme="minorHAnsi"/>
          <w:color w:val="000000"/>
          <w:sz w:val="24"/>
          <w:szCs w:val="24"/>
          <w:shd w:val="clear" w:color="auto" w:fill="FFFFFF"/>
        </w:rPr>
      </w:pPr>
      <w:r w:rsidRPr="0072561B">
        <w:rPr>
          <w:rFonts w:cstheme="minorHAnsi"/>
          <w:color w:val="000000"/>
          <w:sz w:val="24"/>
          <w:szCs w:val="24"/>
          <w:shd w:val="clear" w:color="auto" w:fill="FFFFFF"/>
        </w:rPr>
        <w:t xml:space="preserve">In June 2021, </w:t>
      </w:r>
      <w:r w:rsidR="00DC0441" w:rsidRPr="0072561B">
        <w:rPr>
          <w:rFonts w:cstheme="minorHAnsi"/>
          <w:color w:val="000000"/>
          <w:sz w:val="24"/>
          <w:szCs w:val="24"/>
          <w:shd w:val="clear" w:color="auto" w:fill="FFFFFF"/>
        </w:rPr>
        <w:t>i</w:t>
      </w:r>
      <w:r w:rsidRPr="0072561B">
        <w:rPr>
          <w:rFonts w:cstheme="minorHAnsi"/>
          <w:color w:val="000000"/>
          <w:sz w:val="24"/>
          <w:szCs w:val="24"/>
          <w:shd w:val="clear" w:color="auto" w:fill="FFFFFF"/>
        </w:rPr>
        <w:t>n the midst of the country’s economic slump and political turmoil, Tunisian president Kais Saied invoked an obscure constitutional clause to stage what many have called a presidential coup. He fired the prime minister, suspended parliament,</w:t>
      </w:r>
      <w:r w:rsidR="004029DF" w:rsidRPr="0072561B">
        <w:rPr>
          <w:rFonts w:cstheme="minorHAnsi"/>
          <w:color w:val="000000"/>
          <w:sz w:val="24"/>
          <w:szCs w:val="24"/>
          <w:shd w:val="clear" w:color="auto" w:fill="FFFFFF"/>
        </w:rPr>
        <w:t xml:space="preserve"> and </w:t>
      </w:r>
      <w:r w:rsidR="00BD39BA" w:rsidRPr="0072561B">
        <w:rPr>
          <w:rFonts w:cstheme="minorHAnsi"/>
          <w:color w:val="000000"/>
          <w:sz w:val="24"/>
          <w:szCs w:val="24"/>
          <w:shd w:val="clear" w:color="auto" w:fill="FFFFFF"/>
        </w:rPr>
        <w:t xml:space="preserve">launched a new constitutional process that shifted the polity from a parliamentary to a presidential system. He also </w:t>
      </w:r>
      <w:r w:rsidR="00DC0441" w:rsidRPr="0072561B">
        <w:rPr>
          <w:rFonts w:cstheme="minorHAnsi"/>
          <w:color w:val="000000"/>
          <w:sz w:val="24"/>
          <w:szCs w:val="24"/>
          <w:shd w:val="clear" w:color="auto" w:fill="FFFFFF"/>
        </w:rPr>
        <w:t xml:space="preserve">expressed his opposition to </w:t>
      </w:r>
      <w:r w:rsidR="00534760">
        <w:rPr>
          <w:rFonts w:cstheme="minorHAnsi"/>
          <w:color w:val="000000"/>
          <w:sz w:val="24"/>
          <w:szCs w:val="24"/>
          <w:shd w:val="clear" w:color="auto" w:fill="FFFFFF"/>
        </w:rPr>
        <w:t xml:space="preserve">the </w:t>
      </w:r>
      <w:r w:rsidR="005B329D" w:rsidRPr="0072561B">
        <w:rPr>
          <w:rFonts w:cstheme="minorHAnsi"/>
          <w:color w:val="000000"/>
          <w:sz w:val="24"/>
          <w:szCs w:val="24"/>
          <w:shd w:val="clear" w:color="auto" w:fill="FFFFFF"/>
        </w:rPr>
        <w:t>2018</w:t>
      </w:r>
      <w:r w:rsidR="00DC0441" w:rsidRPr="0072561B">
        <w:rPr>
          <w:rFonts w:cstheme="minorHAnsi"/>
          <w:color w:val="000000"/>
          <w:sz w:val="24"/>
          <w:szCs w:val="24"/>
          <w:shd w:val="clear" w:color="auto" w:fill="FFFFFF"/>
        </w:rPr>
        <w:t xml:space="preserve"> </w:t>
      </w:r>
      <w:r w:rsidR="00534760">
        <w:rPr>
          <w:rFonts w:cstheme="minorHAnsi"/>
          <w:color w:val="000000"/>
          <w:sz w:val="24"/>
          <w:szCs w:val="24"/>
          <w:shd w:val="clear" w:color="auto" w:fill="FFFFFF"/>
        </w:rPr>
        <w:t xml:space="preserve">COLIBE </w:t>
      </w:r>
      <w:r w:rsidR="00DC0441" w:rsidRPr="0072561B">
        <w:rPr>
          <w:rFonts w:cstheme="minorHAnsi"/>
          <w:color w:val="000000"/>
          <w:sz w:val="24"/>
          <w:szCs w:val="24"/>
          <w:shd w:val="clear" w:color="auto" w:fill="FFFFFF"/>
        </w:rPr>
        <w:t xml:space="preserve">report on liberties and rights that </w:t>
      </w:r>
      <w:r w:rsidR="005B329D" w:rsidRPr="0072561B">
        <w:rPr>
          <w:rFonts w:cstheme="minorHAnsi"/>
          <w:color w:val="000000"/>
          <w:sz w:val="24"/>
          <w:szCs w:val="24"/>
          <w:shd w:val="clear" w:color="auto" w:fill="FFFFFF"/>
        </w:rPr>
        <w:t xml:space="preserve">had </w:t>
      </w:r>
      <w:r w:rsidR="00DC0441" w:rsidRPr="0072561B">
        <w:rPr>
          <w:rFonts w:cstheme="minorHAnsi"/>
          <w:color w:val="000000"/>
          <w:sz w:val="24"/>
          <w:szCs w:val="24"/>
          <w:shd w:val="clear" w:color="auto" w:fill="FFFFFF"/>
        </w:rPr>
        <w:t>recommended equal inheritance rights for women in the family</w:t>
      </w:r>
      <w:r w:rsidR="00534760">
        <w:rPr>
          <w:rFonts w:cstheme="minorHAnsi"/>
          <w:color w:val="000000"/>
          <w:sz w:val="24"/>
          <w:szCs w:val="24"/>
          <w:shd w:val="clear" w:color="auto" w:fill="FFFFFF"/>
        </w:rPr>
        <w:t xml:space="preserve"> (see discussion below)</w:t>
      </w:r>
      <w:r w:rsidR="00DC0441" w:rsidRPr="0072561B">
        <w:rPr>
          <w:rFonts w:cstheme="minorHAnsi"/>
          <w:color w:val="000000"/>
          <w:sz w:val="24"/>
          <w:szCs w:val="24"/>
          <w:shd w:val="clear" w:color="auto" w:fill="FFFFFF"/>
        </w:rPr>
        <w:t xml:space="preserve">. </w:t>
      </w:r>
      <w:r w:rsidR="00301FAE" w:rsidRPr="0072561B">
        <w:rPr>
          <w:rFonts w:cstheme="minorHAnsi"/>
          <w:color w:val="000000"/>
          <w:sz w:val="24"/>
          <w:szCs w:val="24"/>
          <w:shd w:val="clear" w:color="auto" w:fill="FFFFFF"/>
        </w:rPr>
        <w:t xml:space="preserve">In response, feminists penned critiques and joined coalitions calling for a return to democracy. </w:t>
      </w:r>
      <w:r w:rsidR="00DC0441" w:rsidRPr="0072561B">
        <w:rPr>
          <w:rFonts w:cstheme="minorHAnsi"/>
          <w:color w:val="000000"/>
          <w:sz w:val="24"/>
          <w:szCs w:val="24"/>
          <w:shd w:val="clear" w:color="auto" w:fill="FFFFFF"/>
        </w:rPr>
        <w:t>In September 2022</w:t>
      </w:r>
      <w:r w:rsidR="00AC5614" w:rsidRPr="0072561B">
        <w:rPr>
          <w:rFonts w:cstheme="minorHAnsi"/>
          <w:color w:val="000000"/>
          <w:sz w:val="24"/>
          <w:szCs w:val="24"/>
          <w:shd w:val="clear" w:color="auto" w:fill="FFFFFF"/>
        </w:rPr>
        <w:t xml:space="preserve">, </w:t>
      </w:r>
      <w:r w:rsidR="00686106" w:rsidRPr="0072561B">
        <w:rPr>
          <w:rFonts w:cstheme="minorHAnsi"/>
          <w:color w:val="000000"/>
          <w:sz w:val="24"/>
          <w:szCs w:val="24"/>
          <w:shd w:val="clear" w:color="auto" w:fill="FFFFFF"/>
        </w:rPr>
        <w:t xml:space="preserve">Mahsa Jina Amini, </w:t>
      </w:r>
      <w:r w:rsidR="005B329D" w:rsidRPr="0072561B">
        <w:rPr>
          <w:rFonts w:cstheme="minorHAnsi"/>
          <w:color w:val="000000"/>
          <w:sz w:val="24"/>
          <w:szCs w:val="24"/>
          <w:shd w:val="clear" w:color="auto" w:fill="FFFFFF"/>
        </w:rPr>
        <w:t xml:space="preserve">a young woman from Saqqez, in Iran’s Kurdistan province, was visiting Tehran with family members when she was detained </w:t>
      </w:r>
      <w:r w:rsidR="00284FE2" w:rsidRPr="0072561B">
        <w:rPr>
          <w:rFonts w:cstheme="minorHAnsi"/>
          <w:color w:val="000000"/>
          <w:sz w:val="24"/>
          <w:szCs w:val="24"/>
          <w:shd w:val="clear" w:color="auto" w:fill="FFFFFF"/>
        </w:rPr>
        <w:t xml:space="preserve">by the </w:t>
      </w:r>
      <w:r w:rsidR="00284FE2" w:rsidRPr="0072561B">
        <w:rPr>
          <w:rFonts w:cstheme="minorHAnsi"/>
          <w:i/>
          <w:iCs/>
          <w:color w:val="000000"/>
          <w:sz w:val="24"/>
          <w:szCs w:val="24"/>
          <w:shd w:val="clear" w:color="auto" w:fill="FFFFFF"/>
        </w:rPr>
        <w:t xml:space="preserve">Gasht-e Ershad, </w:t>
      </w:r>
      <w:r w:rsidR="00284FE2" w:rsidRPr="0072561B">
        <w:rPr>
          <w:rFonts w:cstheme="minorHAnsi"/>
          <w:color w:val="000000"/>
          <w:sz w:val="24"/>
          <w:szCs w:val="24"/>
          <w:shd w:val="clear" w:color="auto" w:fill="FFFFFF"/>
        </w:rPr>
        <w:t xml:space="preserve">also known as the morality police, for </w:t>
      </w:r>
      <w:r w:rsidR="008F7F95" w:rsidRPr="0072561B">
        <w:rPr>
          <w:rFonts w:cstheme="minorHAnsi"/>
          <w:color w:val="000000"/>
          <w:sz w:val="24"/>
          <w:szCs w:val="24"/>
          <w:shd w:val="clear" w:color="auto" w:fill="FFFFFF"/>
        </w:rPr>
        <w:t xml:space="preserve">improper </w:t>
      </w:r>
      <w:proofErr w:type="spellStart"/>
      <w:r w:rsidR="008F7F95" w:rsidRPr="0072561B">
        <w:rPr>
          <w:rFonts w:cstheme="minorHAnsi"/>
          <w:i/>
          <w:iCs/>
          <w:color w:val="000000"/>
          <w:sz w:val="24"/>
          <w:szCs w:val="24"/>
          <w:shd w:val="clear" w:color="auto" w:fill="FFFFFF"/>
        </w:rPr>
        <w:t>hejab</w:t>
      </w:r>
      <w:proofErr w:type="spellEnd"/>
      <w:r w:rsidR="008F7F95" w:rsidRPr="0072561B">
        <w:rPr>
          <w:rFonts w:cstheme="minorHAnsi"/>
          <w:i/>
          <w:iCs/>
          <w:color w:val="000000"/>
          <w:sz w:val="24"/>
          <w:szCs w:val="24"/>
          <w:shd w:val="clear" w:color="auto" w:fill="FFFFFF"/>
        </w:rPr>
        <w:t>.</w:t>
      </w:r>
      <w:r w:rsidR="00053A2F">
        <w:rPr>
          <w:rFonts w:cstheme="minorHAnsi"/>
          <w:i/>
          <w:iCs/>
          <w:color w:val="000000"/>
          <w:sz w:val="24"/>
          <w:szCs w:val="24"/>
          <w:shd w:val="clear" w:color="auto" w:fill="FFFFFF"/>
        </w:rPr>
        <w:t xml:space="preserve"> </w:t>
      </w:r>
      <w:r w:rsidR="008F7F95" w:rsidRPr="0072561B">
        <w:rPr>
          <w:rFonts w:cstheme="minorHAnsi"/>
          <w:color w:val="000000"/>
          <w:sz w:val="24"/>
          <w:szCs w:val="24"/>
          <w:shd w:val="clear" w:color="auto" w:fill="FFFFFF"/>
        </w:rPr>
        <w:t xml:space="preserve">After she died while in police custody, the country was enveloped with angry protests, led primarily by young women. </w:t>
      </w:r>
      <w:r w:rsidR="00301FAE" w:rsidRPr="0072561B">
        <w:rPr>
          <w:rFonts w:cstheme="minorHAnsi"/>
          <w:color w:val="000000"/>
          <w:sz w:val="24"/>
          <w:szCs w:val="24"/>
          <w:shd w:val="clear" w:color="auto" w:fill="FFFFFF"/>
        </w:rPr>
        <w:t xml:space="preserve">As of </w:t>
      </w:r>
      <w:r w:rsidR="00686106" w:rsidRPr="0072561B">
        <w:rPr>
          <w:rFonts w:cstheme="minorHAnsi"/>
          <w:color w:val="000000"/>
          <w:sz w:val="24"/>
          <w:szCs w:val="24"/>
          <w:shd w:val="clear" w:color="auto" w:fill="FFFFFF"/>
        </w:rPr>
        <w:t xml:space="preserve">2024, </w:t>
      </w:r>
      <w:r w:rsidR="00301FAE" w:rsidRPr="0072561B">
        <w:rPr>
          <w:rFonts w:cstheme="minorHAnsi"/>
          <w:color w:val="000000"/>
          <w:sz w:val="24"/>
          <w:szCs w:val="24"/>
          <w:shd w:val="clear" w:color="auto" w:fill="FFFFFF"/>
        </w:rPr>
        <w:t>young women were defying the mandatory headscarf</w:t>
      </w:r>
      <w:r w:rsidR="00301FAE" w:rsidRPr="0072561B">
        <w:rPr>
          <w:rFonts w:cstheme="minorHAnsi"/>
          <w:i/>
          <w:iCs/>
          <w:color w:val="000000"/>
          <w:sz w:val="24"/>
          <w:szCs w:val="24"/>
          <w:shd w:val="clear" w:color="auto" w:fill="FFFFFF"/>
        </w:rPr>
        <w:t xml:space="preserve"> </w:t>
      </w:r>
      <w:r w:rsidR="00301FAE" w:rsidRPr="0072561B">
        <w:rPr>
          <w:rFonts w:cstheme="minorHAnsi"/>
          <w:color w:val="000000"/>
          <w:sz w:val="24"/>
          <w:szCs w:val="24"/>
          <w:shd w:val="clear" w:color="auto" w:fill="FFFFFF"/>
        </w:rPr>
        <w:t>across the country</w:t>
      </w:r>
      <w:r w:rsidR="00686106" w:rsidRPr="0072561B">
        <w:rPr>
          <w:rFonts w:cstheme="minorHAnsi"/>
          <w:color w:val="000000"/>
          <w:sz w:val="24"/>
          <w:szCs w:val="24"/>
          <w:shd w:val="clear" w:color="auto" w:fill="FFFFFF"/>
        </w:rPr>
        <w:t>, although they faced random arrests</w:t>
      </w:r>
      <w:r w:rsidR="00301FAE" w:rsidRPr="0072561B">
        <w:rPr>
          <w:rFonts w:cstheme="minorHAnsi"/>
          <w:color w:val="000000"/>
          <w:sz w:val="24"/>
          <w:szCs w:val="24"/>
          <w:shd w:val="clear" w:color="auto" w:fill="FFFFFF"/>
        </w:rPr>
        <w:t xml:space="preserve">. </w:t>
      </w:r>
      <w:r w:rsidR="008F7F95" w:rsidRPr="0072561B">
        <w:rPr>
          <w:rFonts w:cstheme="minorHAnsi"/>
          <w:color w:val="000000"/>
          <w:sz w:val="24"/>
          <w:szCs w:val="24"/>
          <w:shd w:val="clear" w:color="auto" w:fill="FFFFFF"/>
        </w:rPr>
        <w:t xml:space="preserve"> </w:t>
      </w:r>
      <w:r w:rsidR="00755F42" w:rsidRPr="0072561B">
        <w:rPr>
          <w:rFonts w:cstheme="minorHAnsi"/>
          <w:color w:val="000000"/>
          <w:sz w:val="24"/>
          <w:szCs w:val="24"/>
          <w:shd w:val="clear" w:color="auto" w:fill="FFFFFF"/>
        </w:rPr>
        <w:t xml:space="preserve"> </w:t>
      </w:r>
    </w:p>
    <w:p w14:paraId="2A8F97BE" w14:textId="77777777" w:rsidR="00F07E12" w:rsidRPr="0072561B" w:rsidRDefault="00F07E12" w:rsidP="00D67707">
      <w:pPr>
        <w:spacing w:after="0" w:line="240" w:lineRule="auto"/>
        <w:jc w:val="both"/>
        <w:rPr>
          <w:rFonts w:cstheme="minorHAnsi"/>
          <w:color w:val="000000"/>
          <w:sz w:val="24"/>
          <w:szCs w:val="24"/>
          <w:shd w:val="clear" w:color="auto" w:fill="FFFFFF"/>
        </w:rPr>
      </w:pPr>
    </w:p>
    <w:p w14:paraId="34458605" w14:textId="73883B46" w:rsidR="00C10D63" w:rsidRPr="0072561B" w:rsidRDefault="00F07E12" w:rsidP="00D67707">
      <w:pPr>
        <w:spacing w:after="0" w:line="240" w:lineRule="auto"/>
        <w:jc w:val="both"/>
        <w:rPr>
          <w:rFonts w:cstheme="minorHAnsi"/>
          <w:color w:val="000000"/>
          <w:sz w:val="24"/>
          <w:szCs w:val="24"/>
          <w:shd w:val="clear" w:color="auto" w:fill="FFFFFF"/>
        </w:rPr>
      </w:pPr>
      <w:r w:rsidRPr="0072561B">
        <w:rPr>
          <w:rFonts w:cstheme="minorHAnsi"/>
          <w:color w:val="000000"/>
          <w:sz w:val="24"/>
          <w:szCs w:val="24"/>
          <w:shd w:val="clear" w:color="auto" w:fill="FFFFFF"/>
        </w:rPr>
        <w:lastRenderedPageBreak/>
        <w:t xml:space="preserve">The literature on citizenship rights </w:t>
      </w:r>
      <w:r w:rsidR="00534760">
        <w:rPr>
          <w:rFonts w:cstheme="minorHAnsi"/>
          <w:color w:val="000000"/>
          <w:sz w:val="24"/>
          <w:szCs w:val="24"/>
          <w:shd w:val="clear" w:color="auto" w:fill="FFFFFF"/>
        </w:rPr>
        <w:t xml:space="preserve">– discussed in some detail below – </w:t>
      </w:r>
      <w:r w:rsidRPr="0072561B">
        <w:rPr>
          <w:rFonts w:cstheme="minorHAnsi"/>
          <w:color w:val="000000"/>
          <w:sz w:val="24"/>
          <w:szCs w:val="24"/>
          <w:shd w:val="clear" w:color="auto" w:fill="FFFFFF"/>
        </w:rPr>
        <w:t xml:space="preserve">tends to focus on how civil, political, and social rights have been conceptualized over time, institutionalized (or not) in legal frameworks, and contested, expanded, or reversed in specific political contexts. </w:t>
      </w:r>
      <w:r w:rsidR="001E542A" w:rsidRPr="0072561B">
        <w:rPr>
          <w:rFonts w:cstheme="minorHAnsi"/>
          <w:color w:val="000000"/>
          <w:sz w:val="24"/>
          <w:szCs w:val="24"/>
          <w:shd w:val="clear" w:color="auto" w:fill="FFFFFF"/>
        </w:rPr>
        <w:t xml:space="preserve">This </w:t>
      </w:r>
      <w:r w:rsidR="00041399">
        <w:rPr>
          <w:rFonts w:cstheme="minorHAnsi"/>
          <w:color w:val="000000"/>
          <w:sz w:val="24"/>
          <w:szCs w:val="24"/>
          <w:shd w:val="clear" w:color="auto" w:fill="FFFFFF"/>
        </w:rPr>
        <w:t xml:space="preserve">trajectory </w:t>
      </w:r>
      <w:r w:rsidR="001E542A" w:rsidRPr="0072561B">
        <w:rPr>
          <w:rFonts w:cstheme="minorHAnsi"/>
          <w:color w:val="000000"/>
          <w:sz w:val="24"/>
          <w:szCs w:val="24"/>
          <w:shd w:val="clear" w:color="auto" w:fill="FFFFFF"/>
        </w:rPr>
        <w:t xml:space="preserve">pertains also to the rich literature on women’s rights. </w:t>
      </w:r>
      <w:r w:rsidR="005A1563">
        <w:rPr>
          <w:rFonts w:cstheme="minorHAnsi"/>
          <w:color w:val="000000"/>
          <w:sz w:val="24"/>
          <w:szCs w:val="24"/>
          <w:shd w:val="clear" w:color="auto" w:fill="FFFFFF"/>
        </w:rPr>
        <w:t>Moreover, a</w:t>
      </w:r>
      <w:r w:rsidR="001E542A" w:rsidRPr="0072561B">
        <w:rPr>
          <w:rFonts w:cstheme="minorHAnsi"/>
          <w:color w:val="000000"/>
          <w:sz w:val="24"/>
          <w:szCs w:val="24"/>
          <w:shd w:val="clear" w:color="auto" w:fill="FFFFFF"/>
        </w:rPr>
        <w:t xml:space="preserve">lthough </w:t>
      </w:r>
      <w:r w:rsidR="00591EED">
        <w:rPr>
          <w:rFonts w:cstheme="minorHAnsi"/>
          <w:color w:val="000000"/>
          <w:sz w:val="24"/>
          <w:szCs w:val="24"/>
          <w:shd w:val="clear" w:color="auto" w:fill="FFFFFF"/>
        </w:rPr>
        <w:t>significant</w:t>
      </w:r>
      <w:r w:rsidR="001E542A" w:rsidRPr="0072561B">
        <w:rPr>
          <w:rFonts w:cstheme="minorHAnsi"/>
          <w:color w:val="000000"/>
          <w:sz w:val="24"/>
          <w:szCs w:val="24"/>
          <w:shd w:val="clear" w:color="auto" w:fill="FFFFFF"/>
        </w:rPr>
        <w:t xml:space="preserve"> literature examines the diffusion and adoption of international treaties and conventions in the expansion of rights, what tends to be under-researched is the role that international forces can play in stagnation, backlashes, or reversals</w:t>
      </w:r>
      <w:r w:rsidR="00B702BA" w:rsidRPr="0072561B">
        <w:rPr>
          <w:rFonts w:cstheme="minorHAnsi"/>
          <w:color w:val="000000"/>
          <w:sz w:val="24"/>
          <w:szCs w:val="24"/>
          <w:shd w:val="clear" w:color="auto" w:fill="FFFFFF"/>
        </w:rPr>
        <w:t>, especially in the Global South</w:t>
      </w:r>
      <w:r w:rsidR="001E542A" w:rsidRPr="0072561B">
        <w:rPr>
          <w:rFonts w:cstheme="minorHAnsi"/>
          <w:color w:val="000000"/>
          <w:sz w:val="24"/>
          <w:szCs w:val="24"/>
          <w:shd w:val="clear" w:color="auto" w:fill="FFFFFF"/>
        </w:rPr>
        <w:t xml:space="preserve">. This paper builds on and contributes to the citizenship literature and studies of women’s rights by elucidating the interplay of domestic and international factors and forces. </w:t>
      </w:r>
      <w:r w:rsidR="00755F42" w:rsidRPr="0072561B">
        <w:rPr>
          <w:rFonts w:cstheme="minorHAnsi"/>
          <w:color w:val="000000"/>
          <w:sz w:val="24"/>
          <w:szCs w:val="24"/>
          <w:shd w:val="clear" w:color="auto" w:fill="FFFFFF"/>
        </w:rPr>
        <w:t>Domestically, socio-demographic changes, along with the nature of the political system, shape w</w:t>
      </w:r>
      <w:r w:rsidR="00383D75" w:rsidRPr="0072561B">
        <w:rPr>
          <w:rFonts w:cstheme="minorHAnsi"/>
          <w:color w:val="000000"/>
          <w:sz w:val="24"/>
          <w:szCs w:val="24"/>
          <w:shd w:val="clear" w:color="auto" w:fill="FFFFFF"/>
        </w:rPr>
        <w:t xml:space="preserve">omen’s legal status and their capacity to mobilize to </w:t>
      </w:r>
      <w:r w:rsidR="00755F42" w:rsidRPr="0072561B">
        <w:rPr>
          <w:rFonts w:cstheme="minorHAnsi"/>
          <w:color w:val="000000"/>
          <w:sz w:val="24"/>
          <w:szCs w:val="24"/>
          <w:shd w:val="clear" w:color="auto" w:fill="FFFFFF"/>
        </w:rPr>
        <w:t>enhance citizenship</w:t>
      </w:r>
      <w:r w:rsidR="00383D75" w:rsidRPr="0072561B">
        <w:rPr>
          <w:rFonts w:cstheme="minorHAnsi"/>
          <w:color w:val="000000"/>
          <w:sz w:val="24"/>
          <w:szCs w:val="24"/>
          <w:shd w:val="clear" w:color="auto" w:fill="FFFFFF"/>
        </w:rPr>
        <w:t xml:space="preserve"> rights</w:t>
      </w:r>
      <w:r w:rsidR="00755F42" w:rsidRPr="0072561B">
        <w:rPr>
          <w:rFonts w:cstheme="minorHAnsi"/>
          <w:color w:val="000000"/>
          <w:sz w:val="24"/>
          <w:szCs w:val="24"/>
          <w:shd w:val="clear" w:color="auto" w:fill="FFFFFF"/>
        </w:rPr>
        <w:t xml:space="preserve">. Global influences, both coercive and non-coercive, also matter. </w:t>
      </w:r>
      <w:r w:rsidR="009260B9" w:rsidRPr="0072561B">
        <w:rPr>
          <w:rFonts w:cstheme="minorHAnsi"/>
          <w:color w:val="000000"/>
          <w:sz w:val="24"/>
          <w:szCs w:val="24"/>
          <w:shd w:val="clear" w:color="auto" w:fill="FFFFFF"/>
        </w:rPr>
        <w:t xml:space="preserve">On the one hand, </w:t>
      </w:r>
      <w:r w:rsidR="00A41A0D" w:rsidRPr="0072561B">
        <w:rPr>
          <w:rFonts w:cstheme="minorHAnsi"/>
          <w:color w:val="000000"/>
          <w:sz w:val="24"/>
          <w:szCs w:val="24"/>
          <w:shd w:val="clear" w:color="auto" w:fill="FFFFFF"/>
        </w:rPr>
        <w:t xml:space="preserve">the global women’s rights agenda </w:t>
      </w:r>
      <w:r w:rsidR="008A4148" w:rsidRPr="0072561B">
        <w:rPr>
          <w:rFonts w:cstheme="minorHAnsi"/>
          <w:color w:val="000000"/>
          <w:sz w:val="24"/>
          <w:szCs w:val="24"/>
          <w:shd w:val="clear" w:color="auto" w:fill="FFFFFF"/>
        </w:rPr>
        <w:t xml:space="preserve">– promulgated by declarations, resolutions, and conventions – is </w:t>
      </w:r>
      <w:r w:rsidR="00A41A0D" w:rsidRPr="0072561B">
        <w:rPr>
          <w:rFonts w:cstheme="minorHAnsi"/>
          <w:color w:val="000000"/>
          <w:sz w:val="24"/>
          <w:szCs w:val="24"/>
          <w:shd w:val="clear" w:color="auto" w:fill="FFFFFF"/>
        </w:rPr>
        <w:t>promoted by the United Nations</w:t>
      </w:r>
      <w:r w:rsidR="009260B9" w:rsidRPr="0072561B">
        <w:rPr>
          <w:rFonts w:cstheme="minorHAnsi"/>
          <w:color w:val="000000"/>
          <w:sz w:val="24"/>
          <w:szCs w:val="24"/>
          <w:shd w:val="clear" w:color="auto" w:fill="FFFFFF"/>
        </w:rPr>
        <w:t xml:space="preserve">, </w:t>
      </w:r>
      <w:r w:rsidR="00A41A0D" w:rsidRPr="0072561B">
        <w:rPr>
          <w:rFonts w:cstheme="minorHAnsi"/>
          <w:color w:val="000000"/>
          <w:sz w:val="24"/>
          <w:szCs w:val="24"/>
          <w:shd w:val="clear" w:color="auto" w:fill="FFFFFF"/>
        </w:rPr>
        <w:t>other multilateral organizations</w:t>
      </w:r>
      <w:r w:rsidR="009260B9" w:rsidRPr="0072561B">
        <w:rPr>
          <w:rFonts w:cstheme="minorHAnsi"/>
          <w:color w:val="000000"/>
          <w:sz w:val="24"/>
          <w:szCs w:val="24"/>
          <w:shd w:val="clear" w:color="auto" w:fill="FFFFFF"/>
        </w:rPr>
        <w:t xml:space="preserve">, and </w:t>
      </w:r>
      <w:r w:rsidR="00A41A0D" w:rsidRPr="0072561B">
        <w:rPr>
          <w:rFonts w:cstheme="minorHAnsi"/>
          <w:color w:val="000000"/>
          <w:sz w:val="24"/>
          <w:szCs w:val="24"/>
          <w:shd w:val="clear" w:color="auto" w:fill="FFFFFF"/>
        </w:rPr>
        <w:t>international non-governmental organizations (INGOs)</w:t>
      </w:r>
      <w:r w:rsidR="008414DC" w:rsidRPr="0072561B">
        <w:rPr>
          <w:rFonts w:cstheme="minorHAnsi"/>
          <w:color w:val="000000"/>
          <w:sz w:val="24"/>
          <w:szCs w:val="24"/>
          <w:shd w:val="clear" w:color="auto" w:fill="FFFFFF"/>
        </w:rPr>
        <w:t xml:space="preserve">. On the other hand, </w:t>
      </w:r>
      <w:r w:rsidR="003F75D5" w:rsidRPr="0072561B">
        <w:rPr>
          <w:rFonts w:cstheme="minorHAnsi"/>
          <w:color w:val="000000"/>
          <w:sz w:val="24"/>
          <w:szCs w:val="24"/>
          <w:shd w:val="clear" w:color="auto" w:fill="FFFFFF"/>
        </w:rPr>
        <w:t>the world order is hierarchical and unequal</w:t>
      </w:r>
      <w:r w:rsidR="00C14D9E" w:rsidRPr="0072561B">
        <w:rPr>
          <w:rFonts w:cstheme="minorHAnsi"/>
          <w:color w:val="000000"/>
          <w:sz w:val="24"/>
          <w:szCs w:val="24"/>
          <w:shd w:val="clear" w:color="auto" w:fill="FFFFFF"/>
        </w:rPr>
        <w:t>; a</w:t>
      </w:r>
      <w:r w:rsidR="003F75D5" w:rsidRPr="0072561B">
        <w:rPr>
          <w:rFonts w:cstheme="minorHAnsi"/>
          <w:color w:val="000000"/>
          <w:sz w:val="24"/>
          <w:szCs w:val="24"/>
          <w:shd w:val="clear" w:color="auto" w:fill="FFFFFF"/>
        </w:rPr>
        <w:t xml:space="preserve">s such, </w:t>
      </w:r>
      <w:r w:rsidR="008414DC" w:rsidRPr="0072561B">
        <w:rPr>
          <w:rFonts w:cstheme="minorHAnsi"/>
          <w:color w:val="000000"/>
          <w:sz w:val="24"/>
          <w:szCs w:val="24"/>
          <w:shd w:val="clear" w:color="auto" w:fill="FFFFFF"/>
        </w:rPr>
        <w:t>countries of the Global South</w:t>
      </w:r>
      <w:r w:rsidR="004027BD">
        <w:rPr>
          <w:rFonts w:cstheme="minorHAnsi"/>
          <w:color w:val="000000"/>
          <w:sz w:val="24"/>
          <w:szCs w:val="24"/>
          <w:shd w:val="clear" w:color="auto" w:fill="FFFFFF"/>
        </w:rPr>
        <w:t>,</w:t>
      </w:r>
      <w:r w:rsidR="008414DC" w:rsidRPr="0072561B">
        <w:rPr>
          <w:rFonts w:cstheme="minorHAnsi"/>
          <w:color w:val="000000"/>
          <w:sz w:val="24"/>
          <w:szCs w:val="24"/>
          <w:shd w:val="clear" w:color="auto" w:fill="FFFFFF"/>
        </w:rPr>
        <w:t xml:space="preserve"> in particular</w:t>
      </w:r>
      <w:r w:rsidR="004027BD">
        <w:rPr>
          <w:rFonts w:cstheme="minorHAnsi"/>
          <w:color w:val="000000"/>
          <w:sz w:val="24"/>
          <w:szCs w:val="24"/>
          <w:shd w:val="clear" w:color="auto" w:fill="FFFFFF"/>
        </w:rPr>
        <w:t>,</w:t>
      </w:r>
      <w:r w:rsidR="008414DC" w:rsidRPr="0072561B">
        <w:rPr>
          <w:rFonts w:cstheme="minorHAnsi"/>
          <w:color w:val="000000"/>
          <w:sz w:val="24"/>
          <w:szCs w:val="24"/>
          <w:shd w:val="clear" w:color="auto" w:fill="FFFFFF"/>
        </w:rPr>
        <w:t xml:space="preserve"> may be subject to hegemonic controls</w:t>
      </w:r>
      <w:r w:rsidR="00484656" w:rsidRPr="0072561B">
        <w:rPr>
          <w:rFonts w:cstheme="minorHAnsi"/>
          <w:color w:val="000000"/>
          <w:sz w:val="24"/>
          <w:szCs w:val="24"/>
          <w:shd w:val="clear" w:color="auto" w:fill="FFFFFF"/>
        </w:rPr>
        <w:t xml:space="preserve"> (Iran)</w:t>
      </w:r>
      <w:r w:rsidR="003F75D5" w:rsidRPr="0072561B">
        <w:rPr>
          <w:rFonts w:cstheme="minorHAnsi"/>
          <w:color w:val="000000"/>
          <w:sz w:val="24"/>
          <w:szCs w:val="24"/>
          <w:shd w:val="clear" w:color="auto" w:fill="FFFFFF"/>
        </w:rPr>
        <w:t>, or their economic needs may be neglected if not exacerbated</w:t>
      </w:r>
      <w:r w:rsidR="00484656" w:rsidRPr="0072561B">
        <w:rPr>
          <w:rFonts w:cstheme="minorHAnsi"/>
          <w:color w:val="000000"/>
          <w:sz w:val="24"/>
          <w:szCs w:val="24"/>
          <w:shd w:val="clear" w:color="auto" w:fill="FFFFFF"/>
        </w:rPr>
        <w:t xml:space="preserve"> (Tunisia)</w:t>
      </w:r>
      <w:r w:rsidR="003F75D5" w:rsidRPr="0072561B">
        <w:rPr>
          <w:rFonts w:cstheme="minorHAnsi"/>
          <w:color w:val="000000"/>
          <w:sz w:val="24"/>
          <w:szCs w:val="24"/>
          <w:shd w:val="clear" w:color="auto" w:fill="FFFFFF"/>
        </w:rPr>
        <w:t xml:space="preserve">. </w:t>
      </w:r>
    </w:p>
    <w:p w14:paraId="0B7356B3" w14:textId="77777777" w:rsidR="00BD659B" w:rsidRPr="0072561B" w:rsidRDefault="00BD659B" w:rsidP="00D67707">
      <w:pPr>
        <w:spacing w:after="0" w:line="240" w:lineRule="auto"/>
        <w:jc w:val="both"/>
        <w:rPr>
          <w:rFonts w:cstheme="minorHAnsi"/>
          <w:color w:val="000000"/>
          <w:sz w:val="24"/>
          <w:szCs w:val="24"/>
          <w:shd w:val="clear" w:color="auto" w:fill="FFFFFF"/>
        </w:rPr>
      </w:pPr>
    </w:p>
    <w:p w14:paraId="7EEDE067" w14:textId="4DF79F26" w:rsidR="001E542A" w:rsidRPr="0072561B" w:rsidRDefault="001E542A" w:rsidP="00D67707">
      <w:pPr>
        <w:spacing w:after="0" w:line="240" w:lineRule="auto"/>
        <w:jc w:val="both"/>
        <w:rPr>
          <w:rFonts w:cstheme="minorHAnsi"/>
          <w:color w:val="000000"/>
          <w:sz w:val="24"/>
          <w:szCs w:val="24"/>
          <w:shd w:val="clear" w:color="auto" w:fill="FFFFFF"/>
        </w:rPr>
      </w:pPr>
      <w:r w:rsidRPr="0072561B">
        <w:rPr>
          <w:rFonts w:cstheme="minorHAnsi"/>
          <w:color w:val="000000"/>
          <w:sz w:val="24"/>
          <w:szCs w:val="24"/>
          <w:shd w:val="clear" w:color="auto" w:fill="FFFFFF"/>
        </w:rPr>
        <w:t>To make the argument, I examine the cases of Iran and Tunisia</w:t>
      </w:r>
      <w:r w:rsidR="00CC1082" w:rsidRPr="0072561B">
        <w:rPr>
          <w:rFonts w:cstheme="minorHAnsi"/>
          <w:color w:val="000000"/>
          <w:sz w:val="24"/>
          <w:szCs w:val="24"/>
          <w:shd w:val="clear" w:color="auto" w:fill="FFFFFF"/>
        </w:rPr>
        <w:t>, b</w:t>
      </w:r>
      <w:r w:rsidRPr="0072561B">
        <w:rPr>
          <w:rFonts w:cstheme="minorHAnsi"/>
          <w:color w:val="000000"/>
          <w:sz w:val="24"/>
          <w:szCs w:val="24"/>
          <w:shd w:val="clear" w:color="auto" w:fill="FFFFFF"/>
        </w:rPr>
        <w:t>oth Muslim-majority and situated in the broad Middle East-North Africa region</w:t>
      </w:r>
      <w:r w:rsidR="000347A3" w:rsidRPr="0072561B">
        <w:rPr>
          <w:rFonts w:cstheme="minorHAnsi"/>
          <w:color w:val="000000"/>
          <w:sz w:val="24"/>
          <w:szCs w:val="24"/>
          <w:shd w:val="clear" w:color="auto" w:fill="FFFFFF"/>
        </w:rPr>
        <w:t xml:space="preserve"> (MENA)</w:t>
      </w:r>
      <w:r w:rsidR="00CC1082" w:rsidRPr="0072561B">
        <w:rPr>
          <w:rFonts w:cstheme="minorHAnsi"/>
          <w:color w:val="000000"/>
          <w:sz w:val="24"/>
          <w:szCs w:val="24"/>
          <w:shd w:val="clear" w:color="auto" w:fill="FFFFFF"/>
        </w:rPr>
        <w:t>. As the article will show, they</w:t>
      </w:r>
      <w:r w:rsidRPr="0072561B">
        <w:rPr>
          <w:rFonts w:cstheme="minorHAnsi"/>
          <w:color w:val="000000"/>
          <w:sz w:val="24"/>
          <w:szCs w:val="24"/>
          <w:shd w:val="clear" w:color="auto" w:fill="FFFFFF"/>
        </w:rPr>
        <w:t xml:space="preserve"> are different in many ways</w:t>
      </w:r>
      <w:r w:rsidR="00CC1082" w:rsidRPr="0072561B">
        <w:rPr>
          <w:rFonts w:cstheme="minorHAnsi"/>
          <w:color w:val="000000"/>
          <w:sz w:val="24"/>
          <w:szCs w:val="24"/>
          <w:shd w:val="clear" w:color="auto" w:fill="FFFFFF"/>
        </w:rPr>
        <w:t>, not least in their respective political histories and institutional legacies</w:t>
      </w:r>
      <w:r w:rsidR="00416C33">
        <w:rPr>
          <w:rFonts w:cstheme="minorHAnsi"/>
          <w:color w:val="000000"/>
          <w:sz w:val="24"/>
          <w:szCs w:val="24"/>
          <w:shd w:val="clear" w:color="auto" w:fill="FFFFFF"/>
        </w:rPr>
        <w:t>. However,</w:t>
      </w:r>
      <w:r w:rsidRPr="0072561B">
        <w:rPr>
          <w:rFonts w:cstheme="minorHAnsi"/>
          <w:color w:val="000000"/>
          <w:sz w:val="24"/>
          <w:szCs w:val="24"/>
          <w:shd w:val="clear" w:color="auto" w:fill="FFFFFF"/>
        </w:rPr>
        <w:t xml:space="preserve"> both faced a</w:t>
      </w:r>
      <w:r w:rsidR="00581500" w:rsidRPr="0072561B">
        <w:rPr>
          <w:rFonts w:cstheme="minorHAnsi"/>
          <w:color w:val="000000"/>
          <w:sz w:val="24"/>
          <w:szCs w:val="24"/>
          <w:shd w:val="clear" w:color="auto" w:fill="FFFFFF"/>
        </w:rPr>
        <w:t xml:space="preserve">n unsupportive </w:t>
      </w:r>
      <w:r w:rsidRPr="0072561B">
        <w:rPr>
          <w:rFonts w:cstheme="minorHAnsi"/>
          <w:color w:val="000000"/>
          <w:sz w:val="24"/>
          <w:szCs w:val="24"/>
          <w:shd w:val="clear" w:color="auto" w:fill="FFFFFF"/>
        </w:rPr>
        <w:t>international environment</w:t>
      </w:r>
      <w:r w:rsidR="00581500" w:rsidRPr="0072561B">
        <w:rPr>
          <w:rFonts w:cstheme="minorHAnsi"/>
          <w:color w:val="000000"/>
          <w:sz w:val="24"/>
          <w:szCs w:val="24"/>
          <w:shd w:val="clear" w:color="auto" w:fill="FFFFFF"/>
        </w:rPr>
        <w:t xml:space="preserve"> at precisely the time when citizens in </w:t>
      </w:r>
      <w:r w:rsidR="00CC1082" w:rsidRPr="0072561B">
        <w:rPr>
          <w:rFonts w:cstheme="minorHAnsi"/>
          <w:color w:val="000000"/>
          <w:sz w:val="24"/>
          <w:szCs w:val="24"/>
          <w:shd w:val="clear" w:color="auto" w:fill="FFFFFF"/>
        </w:rPr>
        <w:t>each</w:t>
      </w:r>
      <w:r w:rsidR="00581500" w:rsidRPr="0072561B">
        <w:rPr>
          <w:rFonts w:cstheme="minorHAnsi"/>
          <w:color w:val="000000"/>
          <w:sz w:val="24"/>
          <w:szCs w:val="24"/>
          <w:shd w:val="clear" w:color="auto" w:fill="FFFFFF"/>
        </w:rPr>
        <w:t xml:space="preserve"> countr</w:t>
      </w:r>
      <w:r w:rsidR="00CC1082" w:rsidRPr="0072561B">
        <w:rPr>
          <w:rFonts w:cstheme="minorHAnsi"/>
          <w:color w:val="000000"/>
          <w:sz w:val="24"/>
          <w:szCs w:val="24"/>
          <w:shd w:val="clear" w:color="auto" w:fill="FFFFFF"/>
        </w:rPr>
        <w:t>y</w:t>
      </w:r>
      <w:r w:rsidR="00581500" w:rsidRPr="0072561B">
        <w:rPr>
          <w:rFonts w:cstheme="minorHAnsi"/>
          <w:color w:val="000000"/>
          <w:sz w:val="24"/>
          <w:szCs w:val="24"/>
          <w:shd w:val="clear" w:color="auto" w:fill="FFFFFF"/>
        </w:rPr>
        <w:t>, and especially most of the female population, needed outside political and economic incentives for the expansion of rights. I elaborate on each case in the pages that follow</w:t>
      </w:r>
      <w:r w:rsidR="0012035C">
        <w:rPr>
          <w:rFonts w:cstheme="minorHAnsi"/>
          <w:color w:val="000000"/>
          <w:sz w:val="24"/>
          <w:szCs w:val="24"/>
          <w:shd w:val="clear" w:color="auto" w:fill="FFFFFF"/>
        </w:rPr>
        <w:t>;</w:t>
      </w:r>
      <w:r w:rsidR="00581500" w:rsidRPr="0072561B">
        <w:rPr>
          <w:rFonts w:cstheme="minorHAnsi"/>
          <w:color w:val="000000"/>
          <w:sz w:val="24"/>
          <w:szCs w:val="24"/>
          <w:shd w:val="clear" w:color="auto" w:fill="FFFFFF"/>
        </w:rPr>
        <w:t xml:space="preserve"> </w:t>
      </w:r>
      <w:r w:rsidR="0012035C">
        <w:rPr>
          <w:rFonts w:cstheme="minorHAnsi"/>
          <w:color w:val="000000"/>
          <w:sz w:val="24"/>
          <w:szCs w:val="24"/>
          <w:shd w:val="clear" w:color="auto" w:fill="FFFFFF"/>
        </w:rPr>
        <w:t>and</w:t>
      </w:r>
      <w:r w:rsidR="00581500" w:rsidRPr="0072561B">
        <w:rPr>
          <w:rFonts w:cstheme="minorHAnsi"/>
          <w:color w:val="000000"/>
          <w:sz w:val="24"/>
          <w:szCs w:val="24"/>
          <w:shd w:val="clear" w:color="auto" w:fill="FFFFFF"/>
        </w:rPr>
        <w:t xml:space="preserve"> it is precisely this difficult environment, roughly in the period 2010-2022, that resulted in Tunisia’s presidential coup and the tragic death of Mahsa in Iran. Th</w:t>
      </w:r>
      <w:r w:rsidR="000347A3" w:rsidRPr="0072561B">
        <w:rPr>
          <w:rFonts w:cstheme="minorHAnsi"/>
          <w:color w:val="000000"/>
          <w:sz w:val="24"/>
          <w:szCs w:val="24"/>
          <w:shd w:val="clear" w:color="auto" w:fill="FFFFFF"/>
        </w:rPr>
        <w:t xml:space="preserve">is is </w:t>
      </w:r>
      <w:r w:rsidR="00581500" w:rsidRPr="0072561B">
        <w:rPr>
          <w:rFonts w:cstheme="minorHAnsi"/>
          <w:color w:val="000000"/>
          <w:sz w:val="24"/>
          <w:szCs w:val="24"/>
          <w:shd w:val="clear" w:color="auto" w:fill="FFFFFF"/>
        </w:rPr>
        <w:t xml:space="preserve">not at all to discount domestic forces in the turn of events in each case, but rather to underscore how external forces matter for the expansion and consolidation of women’s rights. </w:t>
      </w:r>
    </w:p>
    <w:p w14:paraId="6630D235" w14:textId="77777777" w:rsidR="00053A2F" w:rsidRDefault="00053A2F" w:rsidP="00D67707">
      <w:pPr>
        <w:spacing w:after="0" w:line="240" w:lineRule="auto"/>
        <w:jc w:val="both"/>
        <w:rPr>
          <w:rFonts w:cstheme="minorHAnsi"/>
          <w:color w:val="000000"/>
          <w:sz w:val="24"/>
          <w:szCs w:val="24"/>
          <w:shd w:val="clear" w:color="auto" w:fill="FFFFFF"/>
        </w:rPr>
      </w:pPr>
    </w:p>
    <w:p w14:paraId="616AFA81" w14:textId="6619C408" w:rsidR="009C70C2" w:rsidRPr="0018095C" w:rsidRDefault="009C70C2" w:rsidP="00D67707">
      <w:pPr>
        <w:spacing w:after="0" w:line="240" w:lineRule="auto"/>
        <w:jc w:val="both"/>
        <w:rPr>
          <w:rFonts w:cstheme="minorHAnsi"/>
          <w:sz w:val="24"/>
          <w:szCs w:val="24"/>
        </w:rPr>
      </w:pPr>
      <w:r w:rsidRPr="0018095C">
        <w:rPr>
          <w:rFonts w:cstheme="minorHAnsi"/>
          <w:sz w:val="24"/>
          <w:szCs w:val="24"/>
        </w:rPr>
        <w:t>My sources of information and data include government documents, statistics from various international databases (e.g., I</w:t>
      </w:r>
      <w:r w:rsidR="00A53630">
        <w:rPr>
          <w:rFonts w:cstheme="minorHAnsi"/>
          <w:sz w:val="24"/>
          <w:szCs w:val="24"/>
        </w:rPr>
        <w:t xml:space="preserve">nter </w:t>
      </w:r>
      <w:r w:rsidRPr="0018095C">
        <w:rPr>
          <w:rFonts w:cstheme="minorHAnsi"/>
          <w:sz w:val="24"/>
          <w:szCs w:val="24"/>
        </w:rPr>
        <w:t>P</w:t>
      </w:r>
      <w:r w:rsidR="00A53630">
        <w:rPr>
          <w:rFonts w:cstheme="minorHAnsi"/>
          <w:sz w:val="24"/>
          <w:szCs w:val="24"/>
        </w:rPr>
        <w:t xml:space="preserve">arliamentary </w:t>
      </w:r>
      <w:r w:rsidRPr="0018095C">
        <w:rPr>
          <w:rFonts w:cstheme="minorHAnsi"/>
          <w:sz w:val="24"/>
          <w:szCs w:val="24"/>
        </w:rPr>
        <w:t>U</w:t>
      </w:r>
      <w:r w:rsidR="00A53630">
        <w:rPr>
          <w:rFonts w:cstheme="minorHAnsi"/>
          <w:sz w:val="24"/>
          <w:szCs w:val="24"/>
        </w:rPr>
        <w:t>nion</w:t>
      </w:r>
      <w:r w:rsidRPr="0018095C">
        <w:rPr>
          <w:rFonts w:cstheme="minorHAnsi"/>
          <w:sz w:val="24"/>
          <w:szCs w:val="24"/>
        </w:rPr>
        <w:t>, I</w:t>
      </w:r>
      <w:r w:rsidR="00A53630">
        <w:rPr>
          <w:rFonts w:cstheme="minorHAnsi"/>
          <w:sz w:val="24"/>
          <w:szCs w:val="24"/>
        </w:rPr>
        <w:t xml:space="preserve">nternational </w:t>
      </w:r>
      <w:proofErr w:type="spellStart"/>
      <w:r w:rsidRPr="0018095C">
        <w:rPr>
          <w:rFonts w:cstheme="minorHAnsi"/>
          <w:sz w:val="24"/>
          <w:szCs w:val="24"/>
        </w:rPr>
        <w:t>L</w:t>
      </w:r>
      <w:r w:rsidR="00A53630">
        <w:rPr>
          <w:rFonts w:cstheme="minorHAnsi"/>
          <w:sz w:val="24"/>
          <w:szCs w:val="24"/>
        </w:rPr>
        <w:t>abour</w:t>
      </w:r>
      <w:proofErr w:type="spellEnd"/>
      <w:r w:rsidR="00A53630">
        <w:rPr>
          <w:rFonts w:cstheme="minorHAnsi"/>
          <w:sz w:val="24"/>
          <w:szCs w:val="24"/>
        </w:rPr>
        <w:t xml:space="preserve"> </w:t>
      </w:r>
      <w:r w:rsidRPr="0018095C">
        <w:rPr>
          <w:rFonts w:cstheme="minorHAnsi"/>
          <w:sz w:val="24"/>
          <w:szCs w:val="24"/>
        </w:rPr>
        <w:t>O</w:t>
      </w:r>
      <w:r w:rsidR="003A0B7F">
        <w:rPr>
          <w:rFonts w:cstheme="minorHAnsi"/>
          <w:sz w:val="24"/>
          <w:szCs w:val="24"/>
        </w:rPr>
        <w:t>rganization</w:t>
      </w:r>
      <w:r w:rsidRPr="0018095C">
        <w:rPr>
          <w:rFonts w:cstheme="minorHAnsi"/>
          <w:sz w:val="24"/>
          <w:szCs w:val="24"/>
        </w:rPr>
        <w:t>, World Bank, U</w:t>
      </w:r>
      <w:r w:rsidR="003A0B7F">
        <w:rPr>
          <w:rFonts w:cstheme="minorHAnsi"/>
          <w:sz w:val="24"/>
          <w:szCs w:val="24"/>
        </w:rPr>
        <w:t xml:space="preserve">nited </w:t>
      </w:r>
      <w:r w:rsidRPr="0018095C">
        <w:rPr>
          <w:rFonts w:cstheme="minorHAnsi"/>
          <w:sz w:val="24"/>
          <w:szCs w:val="24"/>
        </w:rPr>
        <w:t>N</w:t>
      </w:r>
      <w:r w:rsidR="003A0B7F">
        <w:rPr>
          <w:rFonts w:cstheme="minorHAnsi"/>
          <w:sz w:val="24"/>
          <w:szCs w:val="24"/>
        </w:rPr>
        <w:t xml:space="preserve">ations </w:t>
      </w:r>
      <w:r w:rsidRPr="0018095C">
        <w:rPr>
          <w:rFonts w:cstheme="minorHAnsi"/>
          <w:sz w:val="24"/>
          <w:szCs w:val="24"/>
        </w:rPr>
        <w:t>D</w:t>
      </w:r>
      <w:r w:rsidR="003A0B7F">
        <w:rPr>
          <w:rFonts w:cstheme="minorHAnsi"/>
          <w:sz w:val="24"/>
          <w:szCs w:val="24"/>
        </w:rPr>
        <w:t xml:space="preserve">evelopment </w:t>
      </w:r>
      <w:proofErr w:type="spellStart"/>
      <w:r w:rsidRPr="0018095C">
        <w:rPr>
          <w:rFonts w:cstheme="minorHAnsi"/>
          <w:sz w:val="24"/>
          <w:szCs w:val="24"/>
        </w:rPr>
        <w:t>P</w:t>
      </w:r>
      <w:r w:rsidR="003A0B7F">
        <w:rPr>
          <w:rFonts w:cstheme="minorHAnsi"/>
          <w:sz w:val="24"/>
          <w:szCs w:val="24"/>
        </w:rPr>
        <w:t>rogramme</w:t>
      </w:r>
      <w:proofErr w:type="spellEnd"/>
      <w:r w:rsidRPr="0018095C">
        <w:rPr>
          <w:rFonts w:cstheme="minorHAnsi"/>
          <w:sz w:val="24"/>
          <w:szCs w:val="24"/>
        </w:rPr>
        <w:t>, U</w:t>
      </w:r>
      <w:r w:rsidR="006D0280">
        <w:rPr>
          <w:rFonts w:cstheme="minorHAnsi"/>
          <w:sz w:val="24"/>
          <w:szCs w:val="24"/>
        </w:rPr>
        <w:t xml:space="preserve">nited </w:t>
      </w:r>
      <w:r w:rsidRPr="0018095C">
        <w:rPr>
          <w:rFonts w:cstheme="minorHAnsi"/>
          <w:sz w:val="24"/>
          <w:szCs w:val="24"/>
        </w:rPr>
        <w:t>N</w:t>
      </w:r>
      <w:r w:rsidR="006D0280">
        <w:rPr>
          <w:rFonts w:cstheme="minorHAnsi"/>
          <w:sz w:val="24"/>
          <w:szCs w:val="24"/>
        </w:rPr>
        <w:t>ations</w:t>
      </w:r>
      <w:r w:rsidRPr="0018095C">
        <w:rPr>
          <w:rFonts w:cstheme="minorHAnsi"/>
          <w:sz w:val="24"/>
          <w:szCs w:val="24"/>
        </w:rPr>
        <w:t xml:space="preserve"> Women), reports by U</w:t>
      </w:r>
      <w:r w:rsidR="006D0280">
        <w:rPr>
          <w:rFonts w:cstheme="minorHAnsi"/>
          <w:sz w:val="24"/>
          <w:szCs w:val="24"/>
        </w:rPr>
        <w:t xml:space="preserve">nited </w:t>
      </w:r>
      <w:r w:rsidRPr="0018095C">
        <w:rPr>
          <w:rFonts w:cstheme="minorHAnsi"/>
          <w:sz w:val="24"/>
          <w:szCs w:val="24"/>
        </w:rPr>
        <w:t>N</w:t>
      </w:r>
      <w:r w:rsidR="006D0280">
        <w:rPr>
          <w:rFonts w:cstheme="minorHAnsi"/>
          <w:sz w:val="24"/>
          <w:szCs w:val="24"/>
        </w:rPr>
        <w:t>ations (UN)</w:t>
      </w:r>
      <w:r w:rsidRPr="0018095C">
        <w:rPr>
          <w:rFonts w:cstheme="minorHAnsi"/>
          <w:sz w:val="24"/>
          <w:szCs w:val="24"/>
        </w:rPr>
        <w:t xml:space="preserve"> agencies and Human Rights Watch, and a close reading of the constitutions of both Iran (1979) and Tunisia (2014, 2022). In addition, I have </w:t>
      </w:r>
      <w:r w:rsidR="00CC1082" w:rsidRPr="0018095C">
        <w:rPr>
          <w:rFonts w:cstheme="minorHAnsi"/>
          <w:sz w:val="24"/>
          <w:szCs w:val="24"/>
        </w:rPr>
        <w:t xml:space="preserve">drawn on </w:t>
      </w:r>
      <w:r w:rsidRPr="0018095C">
        <w:rPr>
          <w:rFonts w:cstheme="minorHAnsi"/>
          <w:sz w:val="24"/>
          <w:szCs w:val="24"/>
        </w:rPr>
        <w:t>Facebook postings of a network of Tunisian feminists</w:t>
      </w:r>
      <w:r w:rsidR="002F6A21">
        <w:rPr>
          <w:rFonts w:cstheme="minorHAnsi"/>
          <w:sz w:val="24"/>
          <w:szCs w:val="24"/>
        </w:rPr>
        <w:t xml:space="preserve"> – </w:t>
      </w:r>
      <w:r w:rsidR="00534760">
        <w:rPr>
          <w:rFonts w:cstheme="minorHAnsi"/>
          <w:sz w:val="24"/>
          <w:szCs w:val="24"/>
        </w:rPr>
        <w:t>a</w:t>
      </w:r>
      <w:r w:rsidR="002F6A21">
        <w:rPr>
          <w:rFonts w:cstheme="minorHAnsi"/>
          <w:sz w:val="24"/>
          <w:szCs w:val="24"/>
        </w:rPr>
        <w:t xml:space="preserve"> Facebook</w:t>
      </w:r>
      <w:r w:rsidR="00534760">
        <w:rPr>
          <w:rFonts w:cstheme="minorHAnsi"/>
          <w:sz w:val="24"/>
          <w:szCs w:val="24"/>
        </w:rPr>
        <w:t xml:space="preserve"> group to which I belong</w:t>
      </w:r>
      <w:r w:rsidR="002F6A21">
        <w:rPr>
          <w:rFonts w:cstheme="minorHAnsi"/>
          <w:sz w:val="24"/>
          <w:szCs w:val="24"/>
        </w:rPr>
        <w:t xml:space="preserve"> –</w:t>
      </w:r>
      <w:r w:rsidRPr="0018095C">
        <w:rPr>
          <w:rFonts w:cstheme="minorHAnsi"/>
          <w:sz w:val="24"/>
          <w:szCs w:val="24"/>
        </w:rPr>
        <w:t xml:space="preserve"> and social media postings regarding the Mahsa Amini protests across Iran and their aftermath</w:t>
      </w:r>
      <w:r w:rsidR="00534760">
        <w:rPr>
          <w:rFonts w:cstheme="minorHAnsi"/>
          <w:sz w:val="24"/>
          <w:szCs w:val="24"/>
        </w:rPr>
        <w:t xml:space="preserve">, many of which are </w:t>
      </w:r>
      <w:r w:rsidR="002F6A21">
        <w:rPr>
          <w:rFonts w:cstheme="minorHAnsi"/>
          <w:sz w:val="24"/>
          <w:szCs w:val="24"/>
        </w:rPr>
        <w:t xml:space="preserve">publicly </w:t>
      </w:r>
      <w:r w:rsidR="00534760">
        <w:rPr>
          <w:rFonts w:cstheme="minorHAnsi"/>
          <w:sz w:val="24"/>
          <w:szCs w:val="24"/>
        </w:rPr>
        <w:t>available online</w:t>
      </w:r>
      <w:r w:rsidRPr="0018095C">
        <w:rPr>
          <w:rFonts w:cstheme="minorHAnsi"/>
          <w:sz w:val="24"/>
          <w:szCs w:val="24"/>
        </w:rPr>
        <w:t>.</w:t>
      </w:r>
    </w:p>
    <w:p w14:paraId="25694F28" w14:textId="77777777" w:rsidR="00BD659B" w:rsidRPr="0018095C" w:rsidRDefault="00BD659B" w:rsidP="00D67707">
      <w:pPr>
        <w:spacing w:after="0" w:line="240" w:lineRule="auto"/>
        <w:jc w:val="both"/>
        <w:rPr>
          <w:rFonts w:cstheme="minorHAnsi"/>
          <w:sz w:val="24"/>
          <w:szCs w:val="24"/>
        </w:rPr>
      </w:pPr>
    </w:p>
    <w:p w14:paraId="7A771124" w14:textId="399B5E55" w:rsidR="00004CFA" w:rsidRPr="0072561B" w:rsidRDefault="00004CFA" w:rsidP="00D67707">
      <w:pPr>
        <w:spacing w:after="0" w:line="240" w:lineRule="auto"/>
        <w:jc w:val="both"/>
        <w:rPr>
          <w:rFonts w:cstheme="minorHAnsi"/>
          <w:color w:val="000000"/>
          <w:sz w:val="24"/>
          <w:szCs w:val="24"/>
          <w:shd w:val="clear" w:color="auto" w:fill="FFFFFF"/>
        </w:rPr>
      </w:pPr>
      <w:r w:rsidRPr="0072561B">
        <w:rPr>
          <w:rFonts w:cstheme="minorHAnsi"/>
          <w:color w:val="000000"/>
          <w:sz w:val="24"/>
          <w:szCs w:val="24"/>
          <w:shd w:val="clear" w:color="auto" w:fill="FFFFFF"/>
        </w:rPr>
        <w:t xml:space="preserve">This </w:t>
      </w:r>
      <w:r w:rsidR="00CC1082" w:rsidRPr="0072561B">
        <w:rPr>
          <w:rFonts w:cstheme="minorHAnsi"/>
          <w:color w:val="000000"/>
          <w:sz w:val="24"/>
          <w:szCs w:val="24"/>
          <w:shd w:val="clear" w:color="auto" w:fill="FFFFFF"/>
        </w:rPr>
        <w:t>article</w:t>
      </w:r>
      <w:r w:rsidR="00A661CB" w:rsidRPr="0072561B">
        <w:rPr>
          <w:rFonts w:cstheme="minorHAnsi"/>
          <w:color w:val="000000"/>
          <w:sz w:val="24"/>
          <w:szCs w:val="24"/>
          <w:shd w:val="clear" w:color="auto" w:fill="FFFFFF"/>
        </w:rPr>
        <w:t xml:space="preserve"> </w:t>
      </w:r>
      <w:r w:rsidRPr="0072561B">
        <w:rPr>
          <w:rFonts w:cstheme="minorHAnsi"/>
          <w:color w:val="000000"/>
          <w:sz w:val="24"/>
          <w:szCs w:val="24"/>
          <w:shd w:val="clear" w:color="auto" w:fill="FFFFFF"/>
        </w:rPr>
        <w:t>begin</w:t>
      </w:r>
      <w:r w:rsidR="00530FD6" w:rsidRPr="0072561B">
        <w:rPr>
          <w:rFonts w:cstheme="minorHAnsi"/>
          <w:color w:val="000000"/>
          <w:sz w:val="24"/>
          <w:szCs w:val="24"/>
          <w:shd w:val="clear" w:color="auto" w:fill="FFFFFF"/>
        </w:rPr>
        <w:t>s</w:t>
      </w:r>
      <w:r w:rsidRPr="0072561B">
        <w:rPr>
          <w:rFonts w:cstheme="minorHAnsi"/>
          <w:color w:val="000000"/>
          <w:sz w:val="24"/>
          <w:szCs w:val="24"/>
          <w:shd w:val="clear" w:color="auto" w:fill="FFFFFF"/>
        </w:rPr>
        <w:t xml:space="preserve"> with an overview of the literature on citizenship, followed by </w:t>
      </w:r>
      <w:r w:rsidR="00C404CF" w:rsidRPr="0072561B">
        <w:rPr>
          <w:rFonts w:cstheme="minorHAnsi"/>
          <w:color w:val="000000"/>
          <w:sz w:val="24"/>
          <w:szCs w:val="24"/>
          <w:shd w:val="clear" w:color="auto" w:fill="FFFFFF"/>
        </w:rPr>
        <w:t>a summary of legal frameworks in the M</w:t>
      </w:r>
      <w:r w:rsidR="00182FAB">
        <w:rPr>
          <w:rFonts w:cstheme="minorHAnsi"/>
          <w:color w:val="000000"/>
          <w:sz w:val="24"/>
          <w:szCs w:val="24"/>
          <w:shd w:val="clear" w:color="auto" w:fill="FFFFFF"/>
        </w:rPr>
        <w:t>ENA</w:t>
      </w:r>
      <w:r w:rsidR="00C404CF" w:rsidRPr="0072561B">
        <w:rPr>
          <w:rFonts w:cstheme="minorHAnsi"/>
          <w:color w:val="000000"/>
          <w:sz w:val="24"/>
          <w:szCs w:val="24"/>
          <w:shd w:val="clear" w:color="auto" w:fill="FFFFFF"/>
        </w:rPr>
        <w:t xml:space="preserve"> region as they shape women’s citizenship, with a focus on family law. </w:t>
      </w:r>
      <w:r w:rsidR="00530FD6" w:rsidRPr="0072561B">
        <w:rPr>
          <w:rFonts w:cstheme="minorHAnsi"/>
          <w:color w:val="000000"/>
          <w:sz w:val="24"/>
          <w:szCs w:val="24"/>
          <w:shd w:val="clear" w:color="auto" w:fill="FFFFFF"/>
        </w:rPr>
        <w:t>It</w:t>
      </w:r>
      <w:r w:rsidR="00C404CF" w:rsidRPr="0072561B">
        <w:rPr>
          <w:rFonts w:cstheme="minorHAnsi"/>
          <w:color w:val="000000"/>
          <w:sz w:val="24"/>
          <w:szCs w:val="24"/>
          <w:shd w:val="clear" w:color="auto" w:fill="FFFFFF"/>
        </w:rPr>
        <w:t xml:space="preserve"> then turn</w:t>
      </w:r>
      <w:r w:rsidR="00530FD6" w:rsidRPr="0072561B">
        <w:rPr>
          <w:rFonts w:cstheme="minorHAnsi"/>
          <w:color w:val="000000"/>
          <w:sz w:val="24"/>
          <w:szCs w:val="24"/>
          <w:shd w:val="clear" w:color="auto" w:fill="FFFFFF"/>
        </w:rPr>
        <w:t>s</w:t>
      </w:r>
      <w:r w:rsidR="00C404CF" w:rsidRPr="0072561B">
        <w:rPr>
          <w:rFonts w:cstheme="minorHAnsi"/>
          <w:color w:val="000000"/>
          <w:sz w:val="24"/>
          <w:szCs w:val="24"/>
          <w:shd w:val="clear" w:color="auto" w:fill="FFFFFF"/>
        </w:rPr>
        <w:t xml:space="preserve"> to the two cases, Iran and Tunisia, to show </w:t>
      </w:r>
      <w:r w:rsidR="008A4148" w:rsidRPr="0072561B">
        <w:rPr>
          <w:rFonts w:cstheme="minorHAnsi"/>
          <w:color w:val="000000"/>
          <w:sz w:val="24"/>
          <w:szCs w:val="24"/>
          <w:shd w:val="clear" w:color="auto" w:fill="FFFFFF"/>
        </w:rPr>
        <w:t>that</w:t>
      </w:r>
      <w:r w:rsidR="00C404CF" w:rsidRPr="0072561B">
        <w:rPr>
          <w:rFonts w:cstheme="minorHAnsi"/>
          <w:color w:val="000000"/>
          <w:sz w:val="24"/>
          <w:szCs w:val="24"/>
          <w:shd w:val="clear" w:color="auto" w:fill="FFFFFF"/>
        </w:rPr>
        <w:t xml:space="preserve"> divergent political systems and legal frameworks can </w:t>
      </w:r>
      <w:r w:rsidR="008A4148" w:rsidRPr="0072561B">
        <w:rPr>
          <w:rFonts w:cstheme="minorHAnsi"/>
          <w:color w:val="000000"/>
          <w:sz w:val="24"/>
          <w:szCs w:val="24"/>
          <w:shd w:val="clear" w:color="auto" w:fill="FFFFFF"/>
        </w:rPr>
        <w:t xml:space="preserve">nonetheless </w:t>
      </w:r>
      <w:r w:rsidR="00C404CF" w:rsidRPr="0072561B">
        <w:rPr>
          <w:rFonts w:cstheme="minorHAnsi"/>
          <w:color w:val="000000"/>
          <w:sz w:val="24"/>
          <w:szCs w:val="24"/>
          <w:shd w:val="clear" w:color="auto" w:fill="FFFFFF"/>
        </w:rPr>
        <w:t xml:space="preserve">experience adverse international dynamics that serve to undermine women’s rights and social positions. </w:t>
      </w:r>
      <w:r w:rsidR="00350BAD" w:rsidRPr="0072561B">
        <w:rPr>
          <w:rFonts w:cstheme="minorHAnsi"/>
          <w:color w:val="000000"/>
          <w:sz w:val="24"/>
          <w:szCs w:val="24"/>
          <w:shd w:val="clear" w:color="auto" w:fill="FFFFFF"/>
        </w:rPr>
        <w:t xml:space="preserve">In the process, attention </w:t>
      </w:r>
      <w:r w:rsidR="00530FD6" w:rsidRPr="0072561B">
        <w:rPr>
          <w:rFonts w:cstheme="minorHAnsi"/>
          <w:color w:val="000000"/>
          <w:sz w:val="24"/>
          <w:szCs w:val="24"/>
          <w:shd w:val="clear" w:color="auto" w:fill="FFFFFF"/>
        </w:rPr>
        <w:t xml:space="preserve">is drawn </w:t>
      </w:r>
      <w:r w:rsidR="00350BAD" w:rsidRPr="0072561B">
        <w:rPr>
          <w:rFonts w:cstheme="minorHAnsi"/>
          <w:color w:val="000000"/>
          <w:sz w:val="24"/>
          <w:szCs w:val="24"/>
          <w:shd w:val="clear" w:color="auto" w:fill="FFFFFF"/>
        </w:rPr>
        <w:t xml:space="preserve">to how </w:t>
      </w:r>
      <w:r w:rsidR="00350BAD" w:rsidRPr="0072561B">
        <w:rPr>
          <w:rFonts w:cstheme="minorHAnsi"/>
          <w:color w:val="000000"/>
          <w:sz w:val="24"/>
          <w:szCs w:val="24"/>
          <w:shd w:val="clear" w:color="auto" w:fill="FFFFFF"/>
        </w:rPr>
        <w:lastRenderedPageBreak/>
        <w:t>women’s educational attainment</w:t>
      </w:r>
      <w:r w:rsidR="00F867CA" w:rsidRPr="0072561B">
        <w:rPr>
          <w:rFonts w:cstheme="minorHAnsi"/>
          <w:color w:val="000000"/>
          <w:sz w:val="24"/>
          <w:szCs w:val="24"/>
          <w:shd w:val="clear" w:color="auto" w:fill="FFFFFF"/>
        </w:rPr>
        <w:t>, access to social media, and changing aspirations</w:t>
      </w:r>
      <w:r w:rsidR="00350BAD" w:rsidRPr="0072561B">
        <w:rPr>
          <w:rFonts w:cstheme="minorHAnsi"/>
          <w:color w:val="000000"/>
          <w:sz w:val="24"/>
          <w:szCs w:val="24"/>
          <w:shd w:val="clear" w:color="auto" w:fill="FFFFFF"/>
        </w:rPr>
        <w:t xml:space="preserve"> </w:t>
      </w:r>
      <w:r w:rsidR="007B10C5" w:rsidRPr="0072561B">
        <w:rPr>
          <w:rFonts w:cstheme="minorHAnsi"/>
          <w:color w:val="000000"/>
          <w:sz w:val="24"/>
          <w:szCs w:val="24"/>
          <w:shd w:val="clear" w:color="auto" w:fill="FFFFFF"/>
        </w:rPr>
        <w:t xml:space="preserve">generate </w:t>
      </w:r>
      <w:r w:rsidR="00573811" w:rsidRPr="0072561B">
        <w:rPr>
          <w:rFonts w:cstheme="minorHAnsi"/>
          <w:color w:val="000000"/>
          <w:sz w:val="24"/>
          <w:szCs w:val="24"/>
          <w:shd w:val="clear" w:color="auto" w:fill="FFFFFF"/>
        </w:rPr>
        <w:t>‘</w:t>
      </w:r>
      <w:r w:rsidR="007B10C5" w:rsidRPr="0072561B">
        <w:rPr>
          <w:rFonts w:cstheme="minorHAnsi"/>
          <w:color w:val="000000"/>
          <w:sz w:val="24"/>
          <w:szCs w:val="24"/>
          <w:shd w:val="clear" w:color="auto" w:fill="FFFFFF"/>
        </w:rPr>
        <w:t>acts of citizenship</w:t>
      </w:r>
      <w:r w:rsidR="00573811" w:rsidRPr="0072561B">
        <w:rPr>
          <w:rFonts w:cstheme="minorHAnsi"/>
          <w:color w:val="000000"/>
          <w:sz w:val="24"/>
          <w:szCs w:val="24"/>
          <w:shd w:val="clear" w:color="auto" w:fill="FFFFFF"/>
        </w:rPr>
        <w:t>’</w:t>
      </w:r>
      <w:r w:rsidR="007B10C5" w:rsidRPr="0072561B">
        <w:rPr>
          <w:rFonts w:cstheme="minorHAnsi"/>
          <w:color w:val="000000"/>
          <w:sz w:val="24"/>
          <w:szCs w:val="24"/>
          <w:shd w:val="clear" w:color="auto" w:fill="FFFFFF"/>
        </w:rPr>
        <w:t xml:space="preserve"> that challenge authoritarian regimes. </w:t>
      </w:r>
    </w:p>
    <w:p w14:paraId="67AC8C38" w14:textId="4D19A8D2" w:rsidR="00BD659B" w:rsidRDefault="00BD659B" w:rsidP="00D67707">
      <w:pPr>
        <w:spacing w:after="0" w:line="240" w:lineRule="auto"/>
        <w:jc w:val="both"/>
        <w:rPr>
          <w:rFonts w:cstheme="minorHAnsi"/>
          <w:b/>
          <w:bCs/>
          <w:sz w:val="24"/>
          <w:szCs w:val="24"/>
        </w:rPr>
      </w:pPr>
    </w:p>
    <w:p w14:paraId="01BC763E" w14:textId="77777777" w:rsidR="00053A2F" w:rsidRPr="0018095C" w:rsidRDefault="00053A2F" w:rsidP="00D67707">
      <w:pPr>
        <w:spacing w:after="0" w:line="240" w:lineRule="auto"/>
        <w:jc w:val="both"/>
        <w:rPr>
          <w:rFonts w:cstheme="minorHAnsi"/>
          <w:b/>
          <w:bCs/>
          <w:sz w:val="24"/>
          <w:szCs w:val="24"/>
        </w:rPr>
      </w:pPr>
    </w:p>
    <w:p w14:paraId="2CA4BABF" w14:textId="62C5BF2E" w:rsidR="003205B6" w:rsidRPr="0018095C" w:rsidRDefault="003205B6" w:rsidP="00B46BBD">
      <w:pPr>
        <w:pStyle w:val="Heading2"/>
      </w:pPr>
      <w:r w:rsidRPr="0018095C">
        <w:t xml:space="preserve">Citizenship: </w:t>
      </w:r>
      <w:r w:rsidR="00853291" w:rsidRPr="0018095C">
        <w:t xml:space="preserve">Overview of the </w:t>
      </w:r>
      <w:r w:rsidRPr="0018095C">
        <w:t>Literature</w:t>
      </w:r>
    </w:p>
    <w:p w14:paraId="18C2503E" w14:textId="77777777" w:rsidR="0012053B" w:rsidRPr="0018095C" w:rsidRDefault="0012053B" w:rsidP="00D67707">
      <w:pPr>
        <w:spacing w:after="0" w:line="240" w:lineRule="auto"/>
        <w:jc w:val="both"/>
        <w:rPr>
          <w:rFonts w:cstheme="minorHAnsi"/>
          <w:b/>
          <w:bCs/>
          <w:sz w:val="24"/>
          <w:szCs w:val="24"/>
        </w:rPr>
      </w:pPr>
    </w:p>
    <w:p w14:paraId="28CD9664" w14:textId="2788F97C" w:rsidR="002C084D" w:rsidRPr="0018095C" w:rsidRDefault="000763B4" w:rsidP="00D67707">
      <w:pPr>
        <w:spacing w:after="0" w:line="240" w:lineRule="auto"/>
        <w:jc w:val="both"/>
        <w:rPr>
          <w:rFonts w:cstheme="minorHAnsi"/>
          <w:sz w:val="24"/>
          <w:szCs w:val="24"/>
        </w:rPr>
      </w:pPr>
      <w:r w:rsidRPr="0072561B">
        <w:rPr>
          <w:rFonts w:cstheme="minorHAnsi"/>
          <w:color w:val="000000"/>
          <w:sz w:val="24"/>
          <w:szCs w:val="24"/>
          <w:shd w:val="clear" w:color="auto" w:fill="FFFFFF"/>
        </w:rPr>
        <w:t>Citizenship is a legal and normative status, conferring national identity, rights and obligations on citizens of a bounded territory, and a citizen’s relationship to the body politic</w:t>
      </w:r>
      <w:r w:rsidRPr="0018095C">
        <w:rPr>
          <w:rFonts w:cstheme="minorHAnsi"/>
          <w:sz w:val="24"/>
          <w:szCs w:val="24"/>
          <w:shd w:val="clear" w:color="auto" w:fill="FFFFFF"/>
        </w:rPr>
        <w:t>.</w:t>
      </w:r>
      <w:r w:rsidR="00387AE7" w:rsidRPr="0018095C">
        <w:rPr>
          <w:rFonts w:cstheme="minorHAnsi"/>
          <w:sz w:val="24"/>
          <w:szCs w:val="24"/>
          <w:shd w:val="clear" w:color="auto" w:fill="FFFFFF"/>
        </w:rPr>
        <w:t xml:space="preserve"> </w:t>
      </w:r>
      <w:r w:rsidR="009C7CA9" w:rsidRPr="0018095C">
        <w:rPr>
          <w:rFonts w:cstheme="minorHAnsi"/>
          <w:sz w:val="24"/>
          <w:szCs w:val="24"/>
        </w:rPr>
        <w:t xml:space="preserve">Marshall’s definition of citizenship as </w:t>
      </w:r>
      <w:r w:rsidR="009449A2" w:rsidRPr="0018095C">
        <w:rPr>
          <w:rFonts w:cstheme="minorHAnsi"/>
          <w:sz w:val="24"/>
          <w:szCs w:val="24"/>
        </w:rPr>
        <w:t>‘</w:t>
      </w:r>
      <w:r w:rsidR="009C7CA9" w:rsidRPr="0018095C">
        <w:rPr>
          <w:rFonts w:cstheme="minorHAnsi"/>
          <w:sz w:val="24"/>
          <w:szCs w:val="24"/>
        </w:rPr>
        <w:t>full membership in the national community</w:t>
      </w:r>
      <w:r w:rsidR="0019548F" w:rsidRPr="0018095C">
        <w:rPr>
          <w:rFonts w:cstheme="minorHAnsi"/>
          <w:sz w:val="24"/>
          <w:szCs w:val="24"/>
        </w:rPr>
        <w:t>’</w:t>
      </w:r>
      <w:r w:rsidR="009C7CA9" w:rsidRPr="0018095C">
        <w:rPr>
          <w:rFonts w:cstheme="minorHAnsi"/>
          <w:sz w:val="24"/>
          <w:szCs w:val="24"/>
        </w:rPr>
        <w:t xml:space="preserve"> encompasses civil, political, and social rights and obligations. As such, it is a </w:t>
      </w:r>
      <w:r w:rsidR="009B682E" w:rsidRPr="0018095C">
        <w:rPr>
          <w:rFonts w:cstheme="minorHAnsi"/>
          <w:sz w:val="24"/>
          <w:szCs w:val="24"/>
        </w:rPr>
        <w:t>practice and process</w:t>
      </w:r>
      <w:r w:rsidR="00132A73">
        <w:rPr>
          <w:rFonts w:cstheme="minorHAnsi"/>
          <w:sz w:val="24"/>
          <w:szCs w:val="24"/>
        </w:rPr>
        <w:t>,</w:t>
      </w:r>
      <w:r w:rsidR="009B682E" w:rsidRPr="0018095C">
        <w:rPr>
          <w:rFonts w:cstheme="minorHAnsi"/>
          <w:sz w:val="24"/>
          <w:szCs w:val="24"/>
        </w:rPr>
        <w:t xml:space="preserve"> as well as a </w:t>
      </w:r>
      <w:r w:rsidR="009C7CA9" w:rsidRPr="0018095C">
        <w:rPr>
          <w:rFonts w:cstheme="minorHAnsi"/>
          <w:sz w:val="24"/>
          <w:szCs w:val="24"/>
        </w:rPr>
        <w:t>legal status</w:t>
      </w:r>
      <w:r w:rsidR="00A94B48" w:rsidRPr="0018095C">
        <w:rPr>
          <w:rFonts w:cstheme="minorHAnsi"/>
          <w:sz w:val="24"/>
          <w:szCs w:val="24"/>
        </w:rPr>
        <w:t>. Citizenship is – or should be – about rights enacted into law, backed by the state, and implemented for all citizens to foster equality; it is not informal, unenacted, or particularistic</w:t>
      </w:r>
      <w:r w:rsidR="009C7CA9" w:rsidRPr="0018095C">
        <w:rPr>
          <w:rFonts w:cstheme="minorHAnsi"/>
          <w:sz w:val="24"/>
          <w:szCs w:val="24"/>
        </w:rPr>
        <w:t>.</w:t>
      </w:r>
      <w:r w:rsidR="00A94B48" w:rsidRPr="0018095C">
        <w:rPr>
          <w:rStyle w:val="FootnoteReference"/>
          <w:rFonts w:cstheme="minorHAnsi"/>
          <w:sz w:val="24"/>
          <w:szCs w:val="24"/>
        </w:rPr>
        <w:footnoteReference w:id="2"/>
      </w:r>
      <w:r w:rsidR="009C7CA9" w:rsidRPr="0018095C">
        <w:rPr>
          <w:rFonts w:cstheme="minorHAnsi"/>
          <w:sz w:val="24"/>
          <w:szCs w:val="24"/>
        </w:rPr>
        <w:t xml:space="preserve"> </w:t>
      </w:r>
      <w:r w:rsidR="009B682E" w:rsidRPr="0018095C">
        <w:rPr>
          <w:rFonts w:cstheme="minorHAnsi"/>
          <w:sz w:val="24"/>
          <w:szCs w:val="24"/>
        </w:rPr>
        <w:t xml:space="preserve">Yet there are varied </w:t>
      </w:r>
      <w:r w:rsidR="00573811" w:rsidRPr="0018095C">
        <w:rPr>
          <w:rFonts w:cstheme="minorHAnsi"/>
          <w:sz w:val="24"/>
          <w:szCs w:val="24"/>
        </w:rPr>
        <w:t>‘</w:t>
      </w:r>
      <w:r w:rsidR="009B682E" w:rsidRPr="0018095C">
        <w:rPr>
          <w:rFonts w:cstheme="minorHAnsi"/>
          <w:sz w:val="24"/>
          <w:szCs w:val="24"/>
        </w:rPr>
        <w:t>citizenship regimes</w:t>
      </w:r>
      <w:r w:rsidR="00573811" w:rsidRPr="0018095C">
        <w:rPr>
          <w:rFonts w:cstheme="minorHAnsi"/>
          <w:sz w:val="24"/>
          <w:szCs w:val="24"/>
        </w:rPr>
        <w:t>’</w:t>
      </w:r>
      <w:r w:rsidR="009B682E" w:rsidRPr="0018095C">
        <w:rPr>
          <w:rFonts w:cstheme="minorHAnsi"/>
          <w:sz w:val="24"/>
          <w:szCs w:val="24"/>
        </w:rPr>
        <w:t xml:space="preserve"> </w:t>
      </w:r>
      <w:r w:rsidR="00F711C2" w:rsidRPr="0018095C">
        <w:rPr>
          <w:rFonts w:cstheme="minorHAnsi"/>
          <w:sz w:val="24"/>
          <w:szCs w:val="24"/>
        </w:rPr>
        <w:t>– liberal, traditional/communitarian, and social-democratic – with different combinations and levels of legal, political, social, and participation rights and obligations.</w:t>
      </w:r>
      <w:r w:rsidR="003759C3" w:rsidRPr="0018095C">
        <w:rPr>
          <w:rStyle w:val="FootnoteReference"/>
          <w:rFonts w:cstheme="minorHAnsi"/>
          <w:sz w:val="24"/>
          <w:szCs w:val="24"/>
        </w:rPr>
        <w:footnoteReference w:id="3"/>
      </w:r>
      <w:r w:rsidR="00F711C2" w:rsidRPr="0018095C">
        <w:rPr>
          <w:rFonts w:cstheme="minorHAnsi"/>
          <w:sz w:val="24"/>
          <w:szCs w:val="24"/>
        </w:rPr>
        <w:t xml:space="preserve">  </w:t>
      </w:r>
    </w:p>
    <w:p w14:paraId="50D20AA8" w14:textId="77777777" w:rsidR="002C084D" w:rsidRPr="0018095C" w:rsidRDefault="002C084D" w:rsidP="00D67707">
      <w:pPr>
        <w:spacing w:after="0" w:line="240" w:lineRule="auto"/>
        <w:jc w:val="both"/>
        <w:rPr>
          <w:rFonts w:cstheme="minorHAnsi"/>
          <w:sz w:val="24"/>
          <w:szCs w:val="24"/>
        </w:rPr>
      </w:pPr>
    </w:p>
    <w:p w14:paraId="7D33A93E" w14:textId="4F20D1BE" w:rsidR="002C084D" w:rsidRPr="0018095C" w:rsidRDefault="009C7CA9" w:rsidP="00D67707">
      <w:pPr>
        <w:spacing w:after="0" w:line="240" w:lineRule="auto"/>
        <w:jc w:val="both"/>
        <w:rPr>
          <w:rFonts w:cstheme="minorHAnsi"/>
          <w:sz w:val="24"/>
          <w:szCs w:val="24"/>
        </w:rPr>
      </w:pPr>
      <w:r w:rsidRPr="0018095C">
        <w:rPr>
          <w:rFonts w:cstheme="minorHAnsi"/>
          <w:sz w:val="24"/>
          <w:szCs w:val="24"/>
        </w:rPr>
        <w:t xml:space="preserve">Turner points out that citizenship refers to both passive and active membership in a community. </w:t>
      </w:r>
      <w:r w:rsidR="00F711C2" w:rsidRPr="0018095C">
        <w:rPr>
          <w:rFonts w:cstheme="minorHAnsi"/>
          <w:sz w:val="24"/>
          <w:szCs w:val="24"/>
        </w:rPr>
        <w:t xml:space="preserve">Active citizenship entails participation in the political process but </w:t>
      </w:r>
      <w:r w:rsidR="007D3E36">
        <w:rPr>
          <w:rFonts w:cstheme="minorHAnsi"/>
          <w:sz w:val="24"/>
          <w:szCs w:val="24"/>
        </w:rPr>
        <w:t xml:space="preserve">does </w:t>
      </w:r>
      <w:r w:rsidR="00F711C2" w:rsidRPr="0018095C">
        <w:rPr>
          <w:rFonts w:cstheme="minorHAnsi"/>
          <w:sz w:val="24"/>
          <w:szCs w:val="24"/>
        </w:rPr>
        <w:t xml:space="preserve">not necessarily challenge the functioning of the established citizenship regime. Building on the notion of active citizenship, Isin and Nielsen highlight how members of the community may engage in various </w:t>
      </w:r>
      <w:r w:rsidR="00F711C2" w:rsidRPr="0018095C">
        <w:rPr>
          <w:rFonts w:cstheme="minorHAnsi"/>
          <w:i/>
          <w:iCs/>
          <w:sz w:val="24"/>
          <w:szCs w:val="24"/>
        </w:rPr>
        <w:t>acts of citizenship</w:t>
      </w:r>
      <w:r w:rsidR="000347A3" w:rsidRPr="0018095C">
        <w:rPr>
          <w:rFonts w:cstheme="minorHAnsi"/>
          <w:sz w:val="24"/>
          <w:szCs w:val="24"/>
        </w:rPr>
        <w:t>, which constitute new ways of acting politically.</w:t>
      </w:r>
      <w:r w:rsidR="00F711C2" w:rsidRPr="0018095C">
        <w:rPr>
          <w:rFonts w:cstheme="minorHAnsi"/>
          <w:sz w:val="24"/>
          <w:szCs w:val="24"/>
        </w:rPr>
        <w:t xml:space="preserve"> </w:t>
      </w:r>
      <w:r w:rsidR="00F711C2" w:rsidRPr="0018095C">
        <w:rPr>
          <w:rFonts w:cstheme="minorHAnsi"/>
          <w:i/>
          <w:iCs/>
          <w:sz w:val="24"/>
          <w:szCs w:val="24"/>
        </w:rPr>
        <w:t>Activist</w:t>
      </w:r>
      <w:r w:rsidR="00F711C2" w:rsidRPr="0018095C">
        <w:rPr>
          <w:rFonts w:cstheme="minorHAnsi"/>
          <w:sz w:val="24"/>
          <w:szCs w:val="24"/>
        </w:rPr>
        <w:t xml:space="preserve"> citizen acts, on the other hand, interrupt the political order – claiming rights that have not been granted in the law and other social institutions</w:t>
      </w:r>
      <w:r w:rsidR="00E60453" w:rsidRPr="0018095C">
        <w:rPr>
          <w:rFonts w:cstheme="minorHAnsi"/>
          <w:sz w:val="24"/>
          <w:szCs w:val="24"/>
        </w:rPr>
        <w:t>.</w:t>
      </w:r>
      <w:r w:rsidR="00573811" w:rsidRPr="0018095C">
        <w:rPr>
          <w:rStyle w:val="FootnoteReference"/>
          <w:rFonts w:cstheme="minorHAnsi"/>
          <w:sz w:val="24"/>
          <w:szCs w:val="24"/>
        </w:rPr>
        <w:footnoteReference w:id="4"/>
      </w:r>
      <w:r w:rsidR="00F711C2" w:rsidRPr="0018095C">
        <w:rPr>
          <w:rFonts w:cstheme="minorHAnsi"/>
          <w:sz w:val="24"/>
          <w:szCs w:val="24"/>
        </w:rPr>
        <w:t xml:space="preserve"> </w:t>
      </w:r>
      <w:r w:rsidR="005D45BD" w:rsidRPr="0018095C">
        <w:rPr>
          <w:rFonts w:cstheme="minorHAnsi"/>
          <w:sz w:val="24"/>
          <w:szCs w:val="24"/>
        </w:rPr>
        <w:t xml:space="preserve">Across history and political systems, excluded and marginalized groups have mobilized in active and activist ways </w:t>
      </w:r>
      <w:r w:rsidR="00FC771D" w:rsidRPr="0018095C">
        <w:rPr>
          <w:rFonts w:cstheme="minorHAnsi"/>
          <w:sz w:val="24"/>
          <w:szCs w:val="24"/>
        </w:rPr>
        <w:t xml:space="preserve">alike </w:t>
      </w:r>
      <w:r w:rsidR="005D45BD" w:rsidRPr="0018095C">
        <w:rPr>
          <w:rFonts w:cstheme="minorHAnsi"/>
          <w:sz w:val="24"/>
          <w:szCs w:val="24"/>
        </w:rPr>
        <w:t>to expand rights.</w:t>
      </w:r>
      <w:r w:rsidR="00E60453" w:rsidRPr="0018095C">
        <w:rPr>
          <w:rFonts w:cstheme="minorHAnsi"/>
          <w:sz w:val="24"/>
          <w:szCs w:val="24"/>
        </w:rPr>
        <w:t xml:space="preserve"> </w:t>
      </w:r>
      <w:r w:rsidR="00B24732" w:rsidRPr="0018095C">
        <w:rPr>
          <w:rFonts w:cstheme="minorHAnsi"/>
          <w:sz w:val="24"/>
          <w:szCs w:val="24"/>
        </w:rPr>
        <w:t xml:space="preserve">Women have been among those groups. </w:t>
      </w:r>
    </w:p>
    <w:p w14:paraId="4913CA02" w14:textId="77777777" w:rsidR="002C084D" w:rsidRPr="0018095C" w:rsidRDefault="002C084D" w:rsidP="00D67707">
      <w:pPr>
        <w:spacing w:after="0" w:line="240" w:lineRule="auto"/>
        <w:jc w:val="both"/>
        <w:rPr>
          <w:rFonts w:cstheme="minorHAnsi"/>
          <w:sz w:val="24"/>
          <w:szCs w:val="24"/>
        </w:rPr>
      </w:pPr>
    </w:p>
    <w:p w14:paraId="69B493AF" w14:textId="40B534A6" w:rsidR="002C084D" w:rsidRPr="0018095C" w:rsidRDefault="00D5403A" w:rsidP="00D67707">
      <w:pPr>
        <w:spacing w:after="0" w:line="240" w:lineRule="auto"/>
        <w:jc w:val="both"/>
        <w:rPr>
          <w:rFonts w:cstheme="minorHAnsi"/>
          <w:sz w:val="24"/>
          <w:szCs w:val="24"/>
        </w:rPr>
      </w:pPr>
      <w:r w:rsidRPr="0018095C">
        <w:rPr>
          <w:rFonts w:cstheme="minorHAnsi"/>
          <w:sz w:val="24"/>
          <w:szCs w:val="24"/>
        </w:rPr>
        <w:t>Pateman</w:t>
      </w:r>
      <w:r w:rsidR="00402B02" w:rsidRPr="0018095C">
        <w:rPr>
          <w:rFonts w:cstheme="minorHAnsi"/>
          <w:sz w:val="24"/>
          <w:szCs w:val="24"/>
        </w:rPr>
        <w:t>, for example,</w:t>
      </w:r>
      <w:r w:rsidRPr="0018095C">
        <w:rPr>
          <w:rFonts w:cstheme="minorHAnsi"/>
          <w:sz w:val="24"/>
          <w:szCs w:val="24"/>
        </w:rPr>
        <w:t xml:space="preserve"> noted women’s historic exclusion from both legal and active forms of citizenship</w:t>
      </w:r>
      <w:r w:rsidR="00B24732" w:rsidRPr="0018095C">
        <w:rPr>
          <w:rFonts w:cstheme="minorHAnsi"/>
          <w:sz w:val="24"/>
          <w:szCs w:val="24"/>
        </w:rPr>
        <w:t>, arguing that the much-vaunted Western</w:t>
      </w:r>
      <w:r w:rsidRPr="0018095C">
        <w:rPr>
          <w:rFonts w:cstheme="minorHAnsi"/>
          <w:sz w:val="24"/>
          <w:szCs w:val="24"/>
        </w:rPr>
        <w:t xml:space="preserve"> </w:t>
      </w:r>
      <w:r w:rsidRPr="0018095C">
        <w:rPr>
          <w:rFonts w:cstheme="minorHAnsi"/>
          <w:i/>
          <w:iCs/>
          <w:sz w:val="24"/>
          <w:szCs w:val="24"/>
        </w:rPr>
        <w:t xml:space="preserve">social contract </w:t>
      </w:r>
      <w:r w:rsidRPr="0018095C">
        <w:rPr>
          <w:rFonts w:cstheme="minorHAnsi"/>
          <w:sz w:val="24"/>
          <w:szCs w:val="24"/>
        </w:rPr>
        <w:t>was</w:t>
      </w:r>
      <w:r w:rsidR="00D72123">
        <w:rPr>
          <w:rFonts w:cstheme="minorHAnsi"/>
          <w:sz w:val="24"/>
          <w:szCs w:val="24"/>
        </w:rPr>
        <w:t>,</w:t>
      </w:r>
      <w:r w:rsidRPr="0018095C">
        <w:rPr>
          <w:rFonts w:cstheme="minorHAnsi"/>
          <w:sz w:val="24"/>
          <w:szCs w:val="24"/>
        </w:rPr>
        <w:t xml:space="preserve"> in fact</w:t>
      </w:r>
      <w:r w:rsidR="00D72123">
        <w:rPr>
          <w:rFonts w:cstheme="minorHAnsi"/>
          <w:sz w:val="24"/>
          <w:szCs w:val="24"/>
        </w:rPr>
        <w:t>,</w:t>
      </w:r>
      <w:r w:rsidRPr="0018095C">
        <w:rPr>
          <w:rFonts w:cstheme="minorHAnsi"/>
          <w:sz w:val="24"/>
          <w:szCs w:val="24"/>
        </w:rPr>
        <w:t xml:space="preserve"> a </w:t>
      </w:r>
      <w:r w:rsidRPr="0018095C">
        <w:rPr>
          <w:rFonts w:cstheme="minorHAnsi"/>
          <w:i/>
          <w:iCs/>
          <w:sz w:val="24"/>
          <w:szCs w:val="24"/>
        </w:rPr>
        <w:t>sexual contract</w:t>
      </w:r>
      <w:r w:rsidR="00B24732" w:rsidRPr="0018095C">
        <w:rPr>
          <w:rFonts w:cstheme="minorHAnsi"/>
          <w:sz w:val="24"/>
          <w:szCs w:val="24"/>
        </w:rPr>
        <w:t>. F</w:t>
      </w:r>
      <w:r w:rsidRPr="0018095C">
        <w:rPr>
          <w:rFonts w:cstheme="minorHAnsi"/>
          <w:sz w:val="24"/>
          <w:szCs w:val="24"/>
        </w:rPr>
        <w:t xml:space="preserve">eminist scholars </w:t>
      </w:r>
      <w:r w:rsidR="00B24732" w:rsidRPr="0018095C">
        <w:rPr>
          <w:rFonts w:cstheme="minorHAnsi"/>
          <w:sz w:val="24"/>
          <w:szCs w:val="24"/>
        </w:rPr>
        <w:t xml:space="preserve">followed with </w:t>
      </w:r>
      <w:r w:rsidRPr="0018095C">
        <w:rPr>
          <w:rFonts w:cstheme="minorHAnsi"/>
          <w:sz w:val="24"/>
          <w:szCs w:val="24"/>
        </w:rPr>
        <w:t xml:space="preserve">cogent studies on the slow process of women’s achievement of citizenship rights </w:t>
      </w:r>
      <w:r w:rsidR="00F668C4" w:rsidRPr="0018095C">
        <w:rPr>
          <w:rFonts w:cstheme="minorHAnsi"/>
          <w:sz w:val="24"/>
          <w:szCs w:val="24"/>
        </w:rPr>
        <w:t>across feminist waves</w:t>
      </w:r>
      <w:r w:rsidRPr="0018095C">
        <w:rPr>
          <w:rFonts w:cstheme="minorHAnsi"/>
          <w:sz w:val="24"/>
          <w:szCs w:val="24"/>
        </w:rPr>
        <w:t>.</w:t>
      </w:r>
      <w:r w:rsidR="003759C3" w:rsidRPr="0018095C">
        <w:rPr>
          <w:rStyle w:val="FootnoteReference"/>
          <w:rFonts w:cstheme="minorHAnsi"/>
          <w:sz w:val="24"/>
          <w:szCs w:val="24"/>
        </w:rPr>
        <w:footnoteReference w:id="5"/>
      </w:r>
      <w:r w:rsidRPr="0018095C">
        <w:rPr>
          <w:rFonts w:cstheme="minorHAnsi"/>
          <w:sz w:val="24"/>
          <w:szCs w:val="24"/>
        </w:rPr>
        <w:t xml:space="preserve"> </w:t>
      </w:r>
      <w:r w:rsidR="00E719C5" w:rsidRPr="0018095C">
        <w:rPr>
          <w:rFonts w:cstheme="minorHAnsi"/>
          <w:sz w:val="24"/>
          <w:szCs w:val="24"/>
        </w:rPr>
        <w:t xml:space="preserve">Women’s access to political rights and presence in </w:t>
      </w:r>
      <w:r w:rsidR="00E719C5" w:rsidRPr="0018095C">
        <w:rPr>
          <w:rFonts w:cstheme="minorHAnsi"/>
          <w:sz w:val="24"/>
          <w:szCs w:val="24"/>
        </w:rPr>
        <w:lastRenderedPageBreak/>
        <w:t>governance, a</w:t>
      </w:r>
      <w:r w:rsidR="004426FF" w:rsidRPr="0018095C">
        <w:rPr>
          <w:rFonts w:cstheme="minorHAnsi"/>
          <w:sz w:val="24"/>
          <w:szCs w:val="24"/>
        </w:rPr>
        <w:t>nd the acquisition of</w:t>
      </w:r>
      <w:r w:rsidR="00E719C5" w:rsidRPr="0018095C">
        <w:rPr>
          <w:rFonts w:cstheme="minorHAnsi"/>
          <w:sz w:val="24"/>
          <w:szCs w:val="24"/>
        </w:rPr>
        <w:t xml:space="preserve"> social and economic participation and rights, ha</w:t>
      </w:r>
      <w:r w:rsidR="004426FF" w:rsidRPr="0018095C">
        <w:rPr>
          <w:rFonts w:cstheme="minorHAnsi"/>
          <w:sz w:val="24"/>
          <w:szCs w:val="24"/>
        </w:rPr>
        <w:t>ve</w:t>
      </w:r>
      <w:r w:rsidR="00E719C5" w:rsidRPr="0018095C">
        <w:rPr>
          <w:rFonts w:cstheme="minorHAnsi"/>
          <w:sz w:val="24"/>
          <w:szCs w:val="24"/>
        </w:rPr>
        <w:t xml:space="preserve"> resulted from both activism and international norm and policy diffusion </w:t>
      </w:r>
      <w:r w:rsidR="00D20443" w:rsidRPr="0018095C">
        <w:rPr>
          <w:rFonts w:cstheme="minorHAnsi"/>
          <w:sz w:val="24"/>
          <w:szCs w:val="24"/>
        </w:rPr>
        <w:t>through states’ involvement in international and inter-governmental organizations</w:t>
      </w:r>
      <w:r w:rsidR="00E719C5" w:rsidRPr="0018095C">
        <w:rPr>
          <w:rFonts w:cstheme="minorHAnsi"/>
          <w:sz w:val="24"/>
          <w:szCs w:val="24"/>
        </w:rPr>
        <w:t>.</w:t>
      </w:r>
      <w:r w:rsidR="003759C3" w:rsidRPr="0018095C">
        <w:rPr>
          <w:rStyle w:val="FootnoteReference"/>
          <w:rFonts w:cstheme="minorHAnsi"/>
          <w:sz w:val="24"/>
          <w:szCs w:val="24"/>
        </w:rPr>
        <w:footnoteReference w:id="6"/>
      </w:r>
    </w:p>
    <w:p w14:paraId="0C58E7A3" w14:textId="77777777" w:rsidR="00E719C5" w:rsidRPr="0018095C" w:rsidRDefault="00E719C5" w:rsidP="00D67707">
      <w:pPr>
        <w:spacing w:after="0" w:line="240" w:lineRule="auto"/>
        <w:jc w:val="both"/>
        <w:rPr>
          <w:rFonts w:cstheme="minorHAnsi"/>
          <w:sz w:val="24"/>
          <w:szCs w:val="24"/>
        </w:rPr>
      </w:pPr>
    </w:p>
    <w:p w14:paraId="5A873333" w14:textId="2941BE04" w:rsidR="00447DB9" w:rsidRPr="0018095C" w:rsidRDefault="004257EE" w:rsidP="00D67707">
      <w:pPr>
        <w:spacing w:after="0" w:line="240" w:lineRule="auto"/>
        <w:jc w:val="both"/>
        <w:rPr>
          <w:rFonts w:cstheme="minorHAnsi"/>
          <w:sz w:val="24"/>
          <w:szCs w:val="24"/>
        </w:rPr>
      </w:pPr>
      <w:r w:rsidRPr="0018095C">
        <w:rPr>
          <w:rFonts w:cstheme="minorHAnsi"/>
          <w:sz w:val="24"/>
          <w:szCs w:val="24"/>
        </w:rPr>
        <w:t>Th</w:t>
      </w:r>
      <w:r w:rsidR="00E02F40" w:rsidRPr="0018095C">
        <w:rPr>
          <w:rFonts w:cstheme="minorHAnsi"/>
          <w:sz w:val="24"/>
          <w:szCs w:val="24"/>
        </w:rPr>
        <w:t>o</w:t>
      </w:r>
      <w:r w:rsidRPr="0018095C">
        <w:rPr>
          <w:rFonts w:cstheme="minorHAnsi"/>
          <w:sz w:val="24"/>
          <w:szCs w:val="24"/>
        </w:rPr>
        <w:t>se d</w:t>
      </w:r>
      <w:r w:rsidR="009C7CA9" w:rsidRPr="0018095C">
        <w:rPr>
          <w:rFonts w:cstheme="minorHAnsi"/>
          <w:sz w:val="24"/>
          <w:szCs w:val="24"/>
        </w:rPr>
        <w:t xml:space="preserve">efinitions and understandings are relevant to the </w:t>
      </w:r>
      <w:r w:rsidR="00B446E6" w:rsidRPr="0018095C">
        <w:rPr>
          <w:rFonts w:cstheme="minorHAnsi"/>
          <w:sz w:val="24"/>
          <w:szCs w:val="24"/>
        </w:rPr>
        <w:t>M</w:t>
      </w:r>
      <w:r w:rsidR="004D425F" w:rsidRPr="0018095C">
        <w:rPr>
          <w:rFonts w:cstheme="minorHAnsi"/>
          <w:sz w:val="24"/>
          <w:szCs w:val="24"/>
        </w:rPr>
        <w:t>E</w:t>
      </w:r>
      <w:r w:rsidR="00B446E6" w:rsidRPr="0018095C">
        <w:rPr>
          <w:rFonts w:cstheme="minorHAnsi"/>
          <w:sz w:val="24"/>
          <w:szCs w:val="24"/>
        </w:rPr>
        <w:t>NA</w:t>
      </w:r>
      <w:r w:rsidR="00275EC4">
        <w:rPr>
          <w:rFonts w:cstheme="minorHAnsi"/>
          <w:sz w:val="24"/>
          <w:szCs w:val="24"/>
        </w:rPr>
        <w:t xml:space="preserve"> region</w:t>
      </w:r>
      <w:r w:rsidR="009C7CA9" w:rsidRPr="0018095C">
        <w:rPr>
          <w:rFonts w:cstheme="minorHAnsi"/>
          <w:sz w:val="24"/>
          <w:szCs w:val="24"/>
        </w:rPr>
        <w:t xml:space="preserve">, where </w:t>
      </w:r>
      <w:r w:rsidR="00E60453" w:rsidRPr="0018095C">
        <w:rPr>
          <w:rFonts w:cstheme="minorHAnsi"/>
          <w:sz w:val="24"/>
          <w:szCs w:val="24"/>
        </w:rPr>
        <w:t>rights embodied in constitutions – or enshrined in international conventions ratified by states – are not uniformly implemented and enforced</w:t>
      </w:r>
      <w:r w:rsidR="0036380D">
        <w:rPr>
          <w:rFonts w:cstheme="minorHAnsi"/>
          <w:sz w:val="24"/>
          <w:szCs w:val="24"/>
        </w:rPr>
        <w:t>,</w:t>
      </w:r>
      <w:r w:rsidR="00E60453" w:rsidRPr="0018095C">
        <w:rPr>
          <w:rFonts w:cstheme="minorHAnsi"/>
          <w:sz w:val="24"/>
          <w:szCs w:val="24"/>
        </w:rPr>
        <w:t xml:space="preserve"> or even presented as universalistic</w:t>
      </w:r>
      <w:r w:rsidR="0036380D">
        <w:rPr>
          <w:rFonts w:cstheme="minorHAnsi"/>
          <w:sz w:val="24"/>
          <w:szCs w:val="24"/>
        </w:rPr>
        <w:t>. This is in part because</w:t>
      </w:r>
      <w:r w:rsidR="00E60453" w:rsidRPr="0018095C">
        <w:rPr>
          <w:rFonts w:cstheme="minorHAnsi"/>
          <w:sz w:val="24"/>
          <w:szCs w:val="24"/>
        </w:rPr>
        <w:t xml:space="preserve"> </w:t>
      </w:r>
      <w:r w:rsidR="009C7CA9" w:rsidRPr="0018095C">
        <w:rPr>
          <w:rFonts w:cstheme="minorHAnsi"/>
          <w:sz w:val="24"/>
          <w:szCs w:val="24"/>
        </w:rPr>
        <w:t xml:space="preserve">rights </w:t>
      </w:r>
      <w:r w:rsidR="00E60453" w:rsidRPr="0018095C">
        <w:rPr>
          <w:rFonts w:cstheme="minorHAnsi"/>
          <w:sz w:val="24"/>
          <w:szCs w:val="24"/>
        </w:rPr>
        <w:t xml:space="preserve">tend to be </w:t>
      </w:r>
      <w:r w:rsidR="009C7CA9" w:rsidRPr="0018095C">
        <w:rPr>
          <w:rFonts w:cstheme="minorHAnsi"/>
          <w:sz w:val="24"/>
          <w:szCs w:val="24"/>
        </w:rPr>
        <w:t>particularistic by gender and religion</w:t>
      </w:r>
      <w:r w:rsidR="00E60453" w:rsidRPr="0018095C">
        <w:rPr>
          <w:rFonts w:cstheme="minorHAnsi"/>
          <w:sz w:val="24"/>
          <w:szCs w:val="24"/>
        </w:rPr>
        <w:t xml:space="preserve">, and </w:t>
      </w:r>
      <w:r w:rsidR="009C7CA9" w:rsidRPr="0018095C">
        <w:rPr>
          <w:rFonts w:cstheme="minorHAnsi"/>
          <w:sz w:val="24"/>
          <w:szCs w:val="24"/>
        </w:rPr>
        <w:t>communitarianism in traditional and patriarchal form</w:t>
      </w:r>
      <w:r w:rsidR="00E60453" w:rsidRPr="0018095C">
        <w:rPr>
          <w:rFonts w:cstheme="minorHAnsi"/>
          <w:sz w:val="24"/>
          <w:szCs w:val="24"/>
        </w:rPr>
        <w:t>s</w:t>
      </w:r>
      <w:r w:rsidR="009C7CA9" w:rsidRPr="0018095C">
        <w:rPr>
          <w:rFonts w:cstheme="minorHAnsi"/>
          <w:sz w:val="24"/>
          <w:szCs w:val="24"/>
        </w:rPr>
        <w:t xml:space="preserve"> holds sway</w:t>
      </w:r>
      <w:r w:rsidR="00E60453" w:rsidRPr="0018095C">
        <w:rPr>
          <w:rFonts w:cstheme="minorHAnsi"/>
          <w:sz w:val="24"/>
          <w:szCs w:val="24"/>
        </w:rPr>
        <w:t xml:space="preserve"> in most countries</w:t>
      </w:r>
      <w:r w:rsidR="007C7641">
        <w:rPr>
          <w:rFonts w:cstheme="minorHAnsi"/>
          <w:sz w:val="24"/>
          <w:szCs w:val="24"/>
        </w:rPr>
        <w:t xml:space="preserve"> in the region</w:t>
      </w:r>
      <w:r w:rsidR="009C7CA9" w:rsidRPr="0018095C">
        <w:rPr>
          <w:rFonts w:cstheme="minorHAnsi"/>
          <w:sz w:val="24"/>
          <w:szCs w:val="24"/>
        </w:rPr>
        <w:t xml:space="preserve">. </w:t>
      </w:r>
      <w:r w:rsidR="00D03F2A" w:rsidRPr="0018095C">
        <w:rPr>
          <w:rFonts w:cstheme="minorHAnsi"/>
          <w:sz w:val="24"/>
          <w:szCs w:val="24"/>
        </w:rPr>
        <w:t xml:space="preserve">Apart from the general restrictions on speech and assembly </w:t>
      </w:r>
      <w:r w:rsidR="006501DB">
        <w:rPr>
          <w:rFonts w:cstheme="minorHAnsi"/>
          <w:sz w:val="24"/>
          <w:szCs w:val="24"/>
        </w:rPr>
        <w:t xml:space="preserve">that are generally </w:t>
      </w:r>
      <w:r w:rsidR="00D03F2A" w:rsidRPr="0018095C">
        <w:rPr>
          <w:rFonts w:cstheme="minorHAnsi"/>
          <w:sz w:val="24"/>
          <w:szCs w:val="24"/>
        </w:rPr>
        <w:t>characteristic of authoritarian states, non-Muslims are not equal in rights to Muslims, and women are not equal in rights to men.</w:t>
      </w:r>
      <w:r w:rsidR="00D03F2A" w:rsidRPr="0018095C">
        <w:rPr>
          <w:rStyle w:val="FootnoteReference"/>
          <w:rFonts w:cstheme="minorHAnsi"/>
          <w:sz w:val="24"/>
          <w:szCs w:val="24"/>
        </w:rPr>
        <w:footnoteReference w:id="7"/>
      </w:r>
      <w:r w:rsidR="00D03F2A" w:rsidRPr="0018095C">
        <w:rPr>
          <w:rFonts w:cstheme="minorHAnsi"/>
          <w:sz w:val="24"/>
          <w:szCs w:val="24"/>
        </w:rPr>
        <w:t xml:space="preserve"> For women, t</w:t>
      </w:r>
      <w:r w:rsidR="00447DB9" w:rsidRPr="0018095C">
        <w:rPr>
          <w:rFonts w:cstheme="minorHAnsi"/>
          <w:sz w:val="24"/>
          <w:szCs w:val="24"/>
        </w:rPr>
        <w:t xml:space="preserve">he application of Sharia-based law and practice on </w:t>
      </w:r>
      <w:r w:rsidR="00BF37F8">
        <w:rPr>
          <w:rFonts w:cstheme="minorHAnsi"/>
          <w:sz w:val="24"/>
          <w:szCs w:val="24"/>
        </w:rPr>
        <w:t xml:space="preserve">the </w:t>
      </w:r>
      <w:r w:rsidR="00447DB9" w:rsidRPr="0018095C">
        <w:rPr>
          <w:rFonts w:cstheme="minorHAnsi"/>
          <w:sz w:val="24"/>
          <w:szCs w:val="24"/>
        </w:rPr>
        <w:t>inheritance of family wealth renders women (wives, daughters, sisters) secondary citizens within the family institution</w:t>
      </w:r>
      <w:r w:rsidR="00A13312">
        <w:rPr>
          <w:rFonts w:cstheme="minorHAnsi"/>
          <w:color w:val="EE0000"/>
          <w:sz w:val="24"/>
          <w:szCs w:val="24"/>
        </w:rPr>
        <w:t xml:space="preserve">, </w:t>
      </w:r>
      <w:r w:rsidR="00447DB9" w:rsidRPr="0018095C">
        <w:rPr>
          <w:rFonts w:cstheme="minorHAnsi"/>
          <w:sz w:val="24"/>
          <w:szCs w:val="24"/>
        </w:rPr>
        <w:t>a status that is replicated in the polity and economy.</w:t>
      </w:r>
      <w:r w:rsidR="00536716" w:rsidRPr="0018095C">
        <w:rPr>
          <w:rFonts w:cstheme="minorHAnsi"/>
          <w:sz w:val="24"/>
          <w:szCs w:val="24"/>
        </w:rPr>
        <w:t xml:space="preserve"> </w:t>
      </w:r>
      <w:r w:rsidR="00856BBF" w:rsidRPr="0018095C">
        <w:rPr>
          <w:rFonts w:cstheme="minorHAnsi"/>
          <w:sz w:val="24"/>
          <w:szCs w:val="24"/>
        </w:rPr>
        <w:t>Such a status has been contested by a transnational community of Islamic feminist scholar-activists, who take issue with what they see as either patriarchal interpretations of a genuinely egalitarian Islamic message, or as anachronistic laws and norms in need of reform.</w:t>
      </w:r>
      <w:r w:rsidR="00856BBF" w:rsidRPr="0018095C">
        <w:rPr>
          <w:rStyle w:val="FootnoteReference"/>
          <w:rFonts w:cstheme="minorHAnsi"/>
          <w:sz w:val="24"/>
          <w:szCs w:val="24"/>
        </w:rPr>
        <w:footnoteReference w:id="8"/>
      </w:r>
      <w:r w:rsidR="00856BBF" w:rsidRPr="0018095C">
        <w:rPr>
          <w:rFonts w:cstheme="minorHAnsi"/>
          <w:sz w:val="24"/>
          <w:szCs w:val="24"/>
        </w:rPr>
        <w:t xml:space="preserve"> </w:t>
      </w:r>
    </w:p>
    <w:p w14:paraId="4AF896DB" w14:textId="77777777" w:rsidR="005F0403" w:rsidRPr="0018095C" w:rsidRDefault="005F0403" w:rsidP="00D67707">
      <w:pPr>
        <w:spacing w:after="0" w:line="240" w:lineRule="auto"/>
        <w:jc w:val="both"/>
        <w:rPr>
          <w:rFonts w:cstheme="minorHAnsi"/>
          <w:sz w:val="24"/>
          <w:szCs w:val="24"/>
        </w:rPr>
      </w:pPr>
    </w:p>
    <w:p w14:paraId="7AAC8C7C" w14:textId="1F113FCD" w:rsidR="00580D15" w:rsidRPr="0018095C" w:rsidRDefault="005F0403" w:rsidP="00D67707">
      <w:pPr>
        <w:spacing w:after="0" w:line="240" w:lineRule="auto"/>
        <w:jc w:val="both"/>
        <w:rPr>
          <w:rFonts w:cstheme="minorHAnsi"/>
          <w:sz w:val="24"/>
          <w:szCs w:val="24"/>
        </w:rPr>
      </w:pPr>
      <w:r w:rsidRPr="0018095C">
        <w:rPr>
          <w:rFonts w:cstheme="minorHAnsi"/>
          <w:sz w:val="24"/>
          <w:szCs w:val="24"/>
        </w:rPr>
        <w:t xml:space="preserve">Under classical interpretations of Muslim family law, male entitlements include polygyny and unilateral divorce. Under conditions of patrilineality, the legal guardians of children are the fathers and </w:t>
      </w:r>
      <w:r w:rsidR="00EC6C3B" w:rsidRPr="0018095C">
        <w:rPr>
          <w:rFonts w:cstheme="minorHAnsi"/>
          <w:sz w:val="24"/>
          <w:szCs w:val="24"/>
        </w:rPr>
        <w:t xml:space="preserve">members of </w:t>
      </w:r>
      <w:r w:rsidRPr="0018095C">
        <w:rPr>
          <w:rFonts w:cstheme="minorHAnsi"/>
          <w:sz w:val="24"/>
          <w:szCs w:val="24"/>
        </w:rPr>
        <w:t xml:space="preserve">the father’s line. Family wealth is similarly enjoyed primarily by male kin: a daughter’s share is half her brother’s share; the men of the father’s line are entitled to a portion of any inheritance; and wives receive only a small percentage. </w:t>
      </w:r>
      <w:r w:rsidR="00580D15" w:rsidRPr="0018095C">
        <w:rPr>
          <w:rFonts w:cstheme="minorHAnsi"/>
          <w:sz w:val="24"/>
          <w:szCs w:val="24"/>
        </w:rPr>
        <w:t xml:space="preserve">Gender justice consists </w:t>
      </w:r>
      <w:r w:rsidR="002F6A21">
        <w:rPr>
          <w:rFonts w:cstheme="minorHAnsi"/>
          <w:sz w:val="24"/>
          <w:szCs w:val="24"/>
        </w:rPr>
        <w:t>of</w:t>
      </w:r>
      <w:r w:rsidR="00C4318F" w:rsidRPr="0018095C">
        <w:rPr>
          <w:rFonts w:cstheme="minorHAnsi"/>
          <w:sz w:val="24"/>
          <w:szCs w:val="24"/>
        </w:rPr>
        <w:t xml:space="preserve"> </w:t>
      </w:r>
      <w:r w:rsidR="00580D15" w:rsidRPr="0018095C">
        <w:rPr>
          <w:rFonts w:cstheme="minorHAnsi"/>
          <w:sz w:val="24"/>
          <w:szCs w:val="24"/>
        </w:rPr>
        <w:t xml:space="preserve">the </w:t>
      </w:r>
      <w:r w:rsidR="00580D15" w:rsidRPr="0018095C">
        <w:rPr>
          <w:rFonts w:cstheme="minorHAnsi"/>
          <w:i/>
          <w:iCs/>
          <w:sz w:val="24"/>
          <w:szCs w:val="24"/>
        </w:rPr>
        <w:t xml:space="preserve">mahr </w:t>
      </w:r>
      <w:r w:rsidR="00580D15" w:rsidRPr="0018095C">
        <w:rPr>
          <w:rFonts w:cstheme="minorHAnsi"/>
          <w:sz w:val="24"/>
          <w:szCs w:val="24"/>
        </w:rPr>
        <w:lastRenderedPageBreak/>
        <w:t>(</w:t>
      </w:r>
      <w:r w:rsidR="00580D15" w:rsidRPr="00BB55CD">
        <w:rPr>
          <w:rFonts w:cstheme="minorHAnsi"/>
          <w:sz w:val="24"/>
          <w:szCs w:val="24"/>
        </w:rPr>
        <w:t>dow</w:t>
      </w:r>
      <w:r w:rsidR="00A13312" w:rsidRPr="00BB55CD">
        <w:rPr>
          <w:rFonts w:cstheme="minorHAnsi"/>
          <w:sz w:val="24"/>
          <w:szCs w:val="24"/>
        </w:rPr>
        <w:t>e</w:t>
      </w:r>
      <w:r w:rsidR="00580D15" w:rsidRPr="00BB55CD">
        <w:rPr>
          <w:rFonts w:cstheme="minorHAnsi"/>
          <w:sz w:val="24"/>
          <w:szCs w:val="24"/>
        </w:rPr>
        <w:t>r</w:t>
      </w:r>
      <w:r w:rsidR="00580D15" w:rsidRPr="0018095C">
        <w:rPr>
          <w:rFonts w:cstheme="minorHAnsi"/>
          <w:sz w:val="24"/>
          <w:szCs w:val="24"/>
        </w:rPr>
        <w:t>) that is owed by the groom to the bride, is written in the marriage contract</w:t>
      </w:r>
      <w:r w:rsidR="002F6A21">
        <w:rPr>
          <w:rFonts w:cstheme="minorHAnsi"/>
          <w:sz w:val="24"/>
          <w:szCs w:val="24"/>
        </w:rPr>
        <w:t>,</w:t>
      </w:r>
      <w:r w:rsidR="00580D15" w:rsidRPr="0018095C">
        <w:rPr>
          <w:rFonts w:cstheme="minorHAnsi"/>
          <w:sz w:val="24"/>
          <w:szCs w:val="24"/>
        </w:rPr>
        <w:t xml:space="preserve"> and is a legal obligation on the </w:t>
      </w:r>
      <w:r w:rsidR="004C0565" w:rsidRPr="0018095C">
        <w:rPr>
          <w:rFonts w:cstheme="minorHAnsi"/>
          <w:sz w:val="24"/>
          <w:szCs w:val="24"/>
        </w:rPr>
        <w:t xml:space="preserve">husband’s </w:t>
      </w:r>
      <w:r w:rsidR="00580D15" w:rsidRPr="0018095C">
        <w:rPr>
          <w:rFonts w:cstheme="minorHAnsi"/>
          <w:sz w:val="24"/>
          <w:szCs w:val="24"/>
        </w:rPr>
        <w:t xml:space="preserve">part. The husband </w:t>
      </w:r>
      <w:r w:rsidR="004C0565" w:rsidRPr="0018095C">
        <w:rPr>
          <w:rFonts w:cstheme="minorHAnsi"/>
          <w:sz w:val="24"/>
          <w:szCs w:val="24"/>
        </w:rPr>
        <w:t xml:space="preserve">is </w:t>
      </w:r>
      <w:r w:rsidR="00530FD6" w:rsidRPr="0018095C">
        <w:rPr>
          <w:rFonts w:cstheme="minorHAnsi"/>
          <w:sz w:val="24"/>
          <w:szCs w:val="24"/>
        </w:rPr>
        <w:t xml:space="preserve">also </w:t>
      </w:r>
      <w:r w:rsidR="00580D15" w:rsidRPr="0018095C">
        <w:rPr>
          <w:rFonts w:cstheme="minorHAnsi"/>
          <w:sz w:val="24"/>
          <w:szCs w:val="24"/>
        </w:rPr>
        <w:t>required to maintain his wife and children. The wife’s obligation</w:t>
      </w:r>
      <w:r w:rsidR="00241D75">
        <w:rPr>
          <w:rFonts w:cstheme="minorHAnsi"/>
          <w:sz w:val="24"/>
          <w:szCs w:val="24"/>
        </w:rPr>
        <w:t>s</w:t>
      </w:r>
      <w:r w:rsidR="00580D15" w:rsidRPr="0018095C">
        <w:rPr>
          <w:rFonts w:cstheme="minorHAnsi"/>
          <w:sz w:val="24"/>
          <w:szCs w:val="24"/>
        </w:rPr>
        <w:t xml:space="preserve"> reside in sexual services and childbearing.</w:t>
      </w:r>
      <w:r w:rsidR="003759C3" w:rsidRPr="0018095C">
        <w:rPr>
          <w:rStyle w:val="FootnoteReference"/>
          <w:rFonts w:cstheme="minorHAnsi"/>
          <w:sz w:val="24"/>
          <w:szCs w:val="24"/>
        </w:rPr>
        <w:footnoteReference w:id="9"/>
      </w:r>
      <w:r w:rsidR="00580D15" w:rsidRPr="0018095C">
        <w:rPr>
          <w:rFonts w:cstheme="minorHAnsi"/>
          <w:sz w:val="24"/>
          <w:szCs w:val="24"/>
        </w:rPr>
        <w:t xml:space="preserve"> </w:t>
      </w:r>
      <w:r w:rsidR="00100495" w:rsidRPr="0018095C">
        <w:rPr>
          <w:rFonts w:cstheme="minorHAnsi"/>
          <w:sz w:val="24"/>
          <w:szCs w:val="24"/>
        </w:rPr>
        <w:t>T</w:t>
      </w:r>
      <w:r w:rsidR="00C16D9E" w:rsidRPr="0018095C">
        <w:rPr>
          <w:rFonts w:cstheme="minorHAnsi"/>
          <w:sz w:val="24"/>
          <w:szCs w:val="24"/>
        </w:rPr>
        <w:t>his model of family relations</w:t>
      </w:r>
      <w:r w:rsidR="00100495" w:rsidRPr="0018095C">
        <w:rPr>
          <w:rFonts w:cstheme="minorHAnsi"/>
          <w:sz w:val="24"/>
          <w:szCs w:val="24"/>
        </w:rPr>
        <w:t xml:space="preserve"> require</w:t>
      </w:r>
      <w:r w:rsidR="0074439B" w:rsidRPr="0018095C">
        <w:rPr>
          <w:rFonts w:cstheme="minorHAnsi"/>
          <w:sz w:val="24"/>
          <w:szCs w:val="24"/>
        </w:rPr>
        <w:t>s</w:t>
      </w:r>
      <w:r w:rsidR="00100495" w:rsidRPr="0018095C">
        <w:rPr>
          <w:rFonts w:cstheme="minorHAnsi"/>
          <w:sz w:val="24"/>
          <w:szCs w:val="24"/>
        </w:rPr>
        <w:t xml:space="preserve"> the separation of</w:t>
      </w:r>
      <w:r w:rsidR="00C16D9E" w:rsidRPr="0018095C">
        <w:rPr>
          <w:rFonts w:cstheme="minorHAnsi"/>
          <w:sz w:val="24"/>
          <w:szCs w:val="24"/>
        </w:rPr>
        <w:t xml:space="preserve"> marital assets. </w:t>
      </w:r>
    </w:p>
    <w:p w14:paraId="48967572" w14:textId="3FDCE733" w:rsidR="00580D15" w:rsidRPr="0018095C" w:rsidRDefault="00580D15" w:rsidP="00844953">
      <w:pPr>
        <w:spacing w:after="0" w:line="240" w:lineRule="auto"/>
        <w:jc w:val="both"/>
        <w:rPr>
          <w:rFonts w:cstheme="minorHAnsi"/>
          <w:sz w:val="24"/>
          <w:szCs w:val="24"/>
        </w:rPr>
      </w:pPr>
    </w:p>
    <w:p w14:paraId="0517A4A3" w14:textId="25B8A47D" w:rsidR="005F0403" w:rsidRPr="0018095C" w:rsidRDefault="00100495" w:rsidP="00D67707">
      <w:pPr>
        <w:spacing w:after="0" w:line="240" w:lineRule="auto"/>
        <w:jc w:val="both"/>
        <w:rPr>
          <w:rFonts w:cstheme="minorHAnsi"/>
          <w:sz w:val="24"/>
          <w:szCs w:val="24"/>
        </w:rPr>
      </w:pPr>
      <w:r w:rsidRPr="0018095C">
        <w:rPr>
          <w:rFonts w:cstheme="minorHAnsi"/>
          <w:sz w:val="24"/>
          <w:szCs w:val="24"/>
        </w:rPr>
        <w:t xml:space="preserve">For reasons connected to </w:t>
      </w:r>
      <w:r w:rsidR="00E60453" w:rsidRPr="0018095C">
        <w:rPr>
          <w:rFonts w:cstheme="minorHAnsi"/>
          <w:sz w:val="24"/>
          <w:szCs w:val="24"/>
        </w:rPr>
        <w:t xml:space="preserve">the centrality of the regional oil economy and to </w:t>
      </w:r>
      <w:r w:rsidRPr="0018095C">
        <w:rPr>
          <w:rFonts w:cstheme="minorHAnsi"/>
          <w:sz w:val="24"/>
          <w:szCs w:val="24"/>
        </w:rPr>
        <w:t xml:space="preserve">the </w:t>
      </w:r>
      <w:r w:rsidR="00DA1FB5" w:rsidRPr="0018095C">
        <w:rPr>
          <w:rFonts w:cstheme="minorHAnsi"/>
          <w:sz w:val="24"/>
          <w:szCs w:val="24"/>
        </w:rPr>
        <w:t xml:space="preserve">economic </w:t>
      </w:r>
      <w:r w:rsidRPr="0018095C">
        <w:rPr>
          <w:rFonts w:cstheme="minorHAnsi"/>
          <w:sz w:val="24"/>
          <w:szCs w:val="24"/>
        </w:rPr>
        <w:t xml:space="preserve">development strategies pursued by MENA states </w:t>
      </w:r>
      <w:r w:rsidR="00536B1E" w:rsidRPr="0018095C">
        <w:rPr>
          <w:rFonts w:cstheme="minorHAnsi"/>
          <w:sz w:val="24"/>
          <w:szCs w:val="24"/>
        </w:rPr>
        <w:t xml:space="preserve">over time, female labor force participation has remained low in countries across the region. </w:t>
      </w:r>
      <w:r w:rsidR="00A13312" w:rsidRPr="00C8564A">
        <w:rPr>
          <w:rFonts w:cstheme="minorHAnsi"/>
          <w:sz w:val="24"/>
          <w:szCs w:val="24"/>
        </w:rPr>
        <w:t>In 2024, t</w:t>
      </w:r>
      <w:r w:rsidR="00536B1E" w:rsidRPr="00C8564A">
        <w:rPr>
          <w:rFonts w:cstheme="minorHAnsi"/>
          <w:sz w:val="24"/>
          <w:szCs w:val="24"/>
        </w:rPr>
        <w:t xml:space="preserve">he average rate </w:t>
      </w:r>
      <w:r w:rsidR="005F0403" w:rsidRPr="00C8564A">
        <w:rPr>
          <w:rFonts w:cstheme="minorHAnsi"/>
          <w:sz w:val="24"/>
          <w:szCs w:val="24"/>
        </w:rPr>
        <w:t xml:space="preserve">in </w:t>
      </w:r>
      <w:r w:rsidR="00381D49" w:rsidRPr="00C8564A">
        <w:rPr>
          <w:rFonts w:cstheme="minorHAnsi"/>
          <w:sz w:val="24"/>
          <w:szCs w:val="24"/>
        </w:rPr>
        <w:t xml:space="preserve">the </w:t>
      </w:r>
      <w:r w:rsidR="005F0403" w:rsidRPr="00C8564A">
        <w:rPr>
          <w:rFonts w:cstheme="minorHAnsi"/>
          <w:sz w:val="24"/>
          <w:szCs w:val="24"/>
        </w:rPr>
        <w:t>MENA</w:t>
      </w:r>
      <w:r w:rsidR="00536B1E" w:rsidRPr="00C8564A">
        <w:rPr>
          <w:rFonts w:cstheme="minorHAnsi"/>
          <w:sz w:val="24"/>
          <w:szCs w:val="24"/>
        </w:rPr>
        <w:t xml:space="preserve"> </w:t>
      </w:r>
      <w:r w:rsidR="00381D49" w:rsidRPr="00C8564A">
        <w:rPr>
          <w:rFonts w:cstheme="minorHAnsi"/>
          <w:sz w:val="24"/>
          <w:szCs w:val="24"/>
        </w:rPr>
        <w:t xml:space="preserve">region </w:t>
      </w:r>
      <w:r w:rsidR="00A13312" w:rsidRPr="00C8564A">
        <w:rPr>
          <w:rFonts w:cstheme="minorHAnsi"/>
          <w:sz w:val="24"/>
          <w:szCs w:val="24"/>
        </w:rPr>
        <w:t>was</w:t>
      </w:r>
      <w:r w:rsidR="005F0403" w:rsidRPr="00C8564A">
        <w:rPr>
          <w:rFonts w:cstheme="minorHAnsi"/>
          <w:sz w:val="24"/>
          <w:szCs w:val="24"/>
        </w:rPr>
        <w:t xml:space="preserve"> </w:t>
      </w:r>
      <w:r w:rsidR="005F0403" w:rsidRPr="0018095C">
        <w:rPr>
          <w:rFonts w:cstheme="minorHAnsi"/>
          <w:sz w:val="24"/>
          <w:szCs w:val="24"/>
        </w:rPr>
        <w:t>25%, compared with 45% global</w:t>
      </w:r>
      <w:r w:rsidR="00536B1E" w:rsidRPr="0018095C">
        <w:rPr>
          <w:rFonts w:cstheme="minorHAnsi"/>
          <w:sz w:val="24"/>
          <w:szCs w:val="24"/>
        </w:rPr>
        <w:t xml:space="preserve">ly. But Muslim family law also plays a role in limiting both the supply of job-seeking women and the demand for them. </w:t>
      </w:r>
      <w:r w:rsidR="00E60453" w:rsidRPr="0018095C">
        <w:rPr>
          <w:rFonts w:cstheme="minorHAnsi"/>
          <w:sz w:val="24"/>
          <w:szCs w:val="24"/>
        </w:rPr>
        <w:t>Thus, even in countries where welfarist policies exist (Marshall’s social citizenship)</w:t>
      </w:r>
      <w:r w:rsidR="00536B1E" w:rsidRPr="0018095C">
        <w:rPr>
          <w:rFonts w:cstheme="minorHAnsi"/>
          <w:sz w:val="24"/>
          <w:szCs w:val="24"/>
        </w:rPr>
        <w:t xml:space="preserve">, </w:t>
      </w:r>
      <w:r w:rsidR="005F0403" w:rsidRPr="0018095C">
        <w:rPr>
          <w:rFonts w:cstheme="minorHAnsi"/>
          <w:sz w:val="24"/>
          <w:szCs w:val="24"/>
        </w:rPr>
        <w:t xml:space="preserve">women’s </w:t>
      </w:r>
      <w:r w:rsidR="005F0403" w:rsidRPr="0018095C">
        <w:rPr>
          <w:rFonts w:cstheme="minorHAnsi"/>
          <w:i/>
          <w:iCs/>
          <w:sz w:val="24"/>
          <w:szCs w:val="24"/>
        </w:rPr>
        <w:t>economic citizenship</w:t>
      </w:r>
      <w:r w:rsidR="005F0403" w:rsidRPr="0018095C">
        <w:rPr>
          <w:rFonts w:cstheme="minorHAnsi"/>
          <w:sz w:val="24"/>
          <w:szCs w:val="24"/>
        </w:rPr>
        <w:t xml:space="preserve"> is restricted.</w:t>
      </w:r>
      <w:r w:rsidR="001A07FE" w:rsidRPr="0018095C">
        <w:rPr>
          <w:rFonts w:cstheme="minorHAnsi"/>
          <w:sz w:val="24"/>
          <w:szCs w:val="24"/>
        </w:rPr>
        <w:t xml:space="preserve"> All told, the gendered citizenship regime in the MENA region has been defined as </w:t>
      </w:r>
      <w:r w:rsidR="00101B0D" w:rsidRPr="0018095C">
        <w:rPr>
          <w:rFonts w:cstheme="minorHAnsi"/>
          <w:sz w:val="24"/>
          <w:szCs w:val="24"/>
        </w:rPr>
        <w:t>n</w:t>
      </w:r>
      <w:r w:rsidR="005F0403" w:rsidRPr="0018095C">
        <w:rPr>
          <w:rFonts w:cstheme="minorHAnsi"/>
          <w:sz w:val="24"/>
          <w:szCs w:val="24"/>
        </w:rPr>
        <w:t>eopatriarchal</w:t>
      </w:r>
      <w:r w:rsidR="00EC6C3B" w:rsidRPr="0018095C">
        <w:rPr>
          <w:rFonts w:cstheme="minorHAnsi"/>
          <w:sz w:val="24"/>
          <w:szCs w:val="24"/>
        </w:rPr>
        <w:t>.</w:t>
      </w:r>
      <w:r w:rsidR="003759C3" w:rsidRPr="0018095C">
        <w:rPr>
          <w:rStyle w:val="FootnoteReference"/>
          <w:rFonts w:cstheme="minorHAnsi"/>
          <w:sz w:val="24"/>
          <w:szCs w:val="24"/>
        </w:rPr>
        <w:footnoteReference w:id="10"/>
      </w:r>
    </w:p>
    <w:p w14:paraId="12F7DD96" w14:textId="77777777" w:rsidR="005F0403" w:rsidRPr="0018095C" w:rsidRDefault="005F0403" w:rsidP="00D67707">
      <w:pPr>
        <w:spacing w:after="0" w:line="240" w:lineRule="auto"/>
        <w:jc w:val="both"/>
        <w:rPr>
          <w:rFonts w:cstheme="minorHAnsi"/>
          <w:sz w:val="24"/>
          <w:szCs w:val="24"/>
        </w:rPr>
      </w:pPr>
    </w:p>
    <w:p w14:paraId="7C81B7EE" w14:textId="28D02518" w:rsidR="00F711C2" w:rsidRPr="0018095C" w:rsidRDefault="00B446E6" w:rsidP="00D67707">
      <w:pPr>
        <w:spacing w:after="0" w:line="240" w:lineRule="auto"/>
        <w:jc w:val="both"/>
        <w:rPr>
          <w:rFonts w:cstheme="minorHAnsi"/>
          <w:sz w:val="24"/>
          <w:szCs w:val="24"/>
        </w:rPr>
      </w:pPr>
      <w:r w:rsidRPr="0018095C">
        <w:rPr>
          <w:rFonts w:cstheme="minorHAnsi"/>
          <w:sz w:val="24"/>
          <w:szCs w:val="24"/>
        </w:rPr>
        <w:t>And yet, differences in citizenship rights and obligations vary across the region</w:t>
      </w:r>
      <w:r w:rsidR="00B34C17" w:rsidRPr="0018095C">
        <w:rPr>
          <w:rFonts w:cstheme="minorHAnsi"/>
          <w:sz w:val="24"/>
          <w:szCs w:val="24"/>
        </w:rPr>
        <w:t>, and changes have occurred over time.</w:t>
      </w:r>
      <w:r w:rsidR="003759C3" w:rsidRPr="0018095C">
        <w:rPr>
          <w:rStyle w:val="FootnoteReference"/>
          <w:rFonts w:cstheme="minorHAnsi"/>
          <w:sz w:val="24"/>
          <w:szCs w:val="24"/>
        </w:rPr>
        <w:footnoteReference w:id="11"/>
      </w:r>
      <w:r w:rsidR="00B34C17" w:rsidRPr="0018095C">
        <w:rPr>
          <w:rFonts w:cstheme="minorHAnsi"/>
          <w:sz w:val="24"/>
          <w:szCs w:val="24"/>
        </w:rPr>
        <w:t xml:space="preserve"> T</w:t>
      </w:r>
      <w:r w:rsidR="00111418" w:rsidRPr="0018095C">
        <w:rPr>
          <w:rFonts w:cstheme="minorHAnsi"/>
          <w:sz w:val="24"/>
          <w:szCs w:val="24"/>
        </w:rPr>
        <w:t>he legal rights that women have enjoyed in Tunisia and Turkey, for example, are far in advance of</w:t>
      </w:r>
      <w:r w:rsidRPr="0018095C">
        <w:rPr>
          <w:rFonts w:cstheme="minorHAnsi"/>
          <w:sz w:val="24"/>
          <w:szCs w:val="24"/>
        </w:rPr>
        <w:t xml:space="preserve"> </w:t>
      </w:r>
      <w:r w:rsidR="00111418" w:rsidRPr="0018095C">
        <w:rPr>
          <w:rFonts w:cstheme="minorHAnsi"/>
          <w:sz w:val="24"/>
          <w:szCs w:val="24"/>
        </w:rPr>
        <w:t>those in Saudi Arabia and Iran.</w:t>
      </w:r>
      <w:r w:rsidR="00F76E54" w:rsidRPr="0018095C">
        <w:rPr>
          <w:rStyle w:val="FootnoteReference"/>
          <w:rFonts w:cstheme="minorHAnsi"/>
          <w:sz w:val="24"/>
          <w:szCs w:val="24"/>
        </w:rPr>
        <w:footnoteReference w:id="12"/>
      </w:r>
      <w:r w:rsidR="00111418" w:rsidRPr="0018095C">
        <w:rPr>
          <w:rFonts w:cstheme="minorHAnsi"/>
          <w:sz w:val="24"/>
          <w:szCs w:val="24"/>
        </w:rPr>
        <w:t xml:space="preserve"> </w:t>
      </w:r>
      <w:r w:rsidR="007A07BA" w:rsidRPr="0018095C">
        <w:rPr>
          <w:rFonts w:cstheme="minorHAnsi"/>
          <w:sz w:val="24"/>
          <w:szCs w:val="24"/>
        </w:rPr>
        <w:t xml:space="preserve">Women’s rights have </w:t>
      </w:r>
      <w:r w:rsidR="00670179" w:rsidRPr="0018095C">
        <w:rPr>
          <w:rFonts w:cstheme="minorHAnsi"/>
          <w:sz w:val="24"/>
          <w:szCs w:val="24"/>
        </w:rPr>
        <w:t xml:space="preserve">also </w:t>
      </w:r>
      <w:r w:rsidR="007A07BA" w:rsidRPr="0018095C">
        <w:rPr>
          <w:rFonts w:cstheme="minorHAnsi"/>
          <w:sz w:val="24"/>
          <w:szCs w:val="24"/>
        </w:rPr>
        <w:t>undergone notable change over time; the 2003 reform of Morocco’s highly patriarchal family law resulted in a more egalitarian legal status for women within the family</w:t>
      </w:r>
      <w:r w:rsidR="0079041B" w:rsidRPr="0018095C">
        <w:rPr>
          <w:rFonts w:cstheme="minorHAnsi"/>
          <w:sz w:val="24"/>
          <w:szCs w:val="24"/>
        </w:rPr>
        <w:t>, although feminists have called for more sweeping changes</w:t>
      </w:r>
      <w:r w:rsidR="007A07BA" w:rsidRPr="0018095C">
        <w:rPr>
          <w:rFonts w:cstheme="minorHAnsi"/>
          <w:sz w:val="24"/>
          <w:szCs w:val="24"/>
        </w:rPr>
        <w:t>.</w:t>
      </w:r>
      <w:r w:rsidR="0079041B" w:rsidRPr="0018095C">
        <w:rPr>
          <w:rStyle w:val="FootnoteReference"/>
          <w:rFonts w:cstheme="minorHAnsi"/>
          <w:sz w:val="24"/>
          <w:szCs w:val="24"/>
        </w:rPr>
        <w:footnoteReference w:id="13"/>
      </w:r>
      <w:r w:rsidR="007A07BA" w:rsidRPr="0018095C">
        <w:rPr>
          <w:rFonts w:cstheme="minorHAnsi"/>
          <w:sz w:val="24"/>
          <w:szCs w:val="24"/>
        </w:rPr>
        <w:t xml:space="preserve"> </w:t>
      </w:r>
      <w:r w:rsidR="00111418" w:rsidRPr="0018095C">
        <w:rPr>
          <w:rFonts w:cstheme="minorHAnsi"/>
          <w:sz w:val="24"/>
          <w:szCs w:val="24"/>
        </w:rPr>
        <w:t xml:space="preserve">Maktabi discusses gendered citizenship regimes, differentiating between North Africa, the Levant, and the Gulf sheikhdoms. </w:t>
      </w:r>
      <w:r w:rsidR="00B3121E" w:rsidRPr="0018095C">
        <w:rPr>
          <w:rFonts w:cstheme="minorHAnsi"/>
          <w:sz w:val="24"/>
          <w:szCs w:val="24"/>
        </w:rPr>
        <w:t xml:space="preserve">Tripp </w:t>
      </w:r>
      <w:r w:rsidR="0070583E" w:rsidRPr="0018095C">
        <w:rPr>
          <w:rFonts w:cstheme="minorHAnsi"/>
          <w:sz w:val="24"/>
          <w:szCs w:val="24"/>
        </w:rPr>
        <w:t>discusses</w:t>
      </w:r>
      <w:r w:rsidR="002E351C" w:rsidRPr="0018095C">
        <w:rPr>
          <w:rFonts w:cstheme="minorHAnsi"/>
          <w:sz w:val="24"/>
          <w:szCs w:val="24"/>
        </w:rPr>
        <w:t xml:space="preserve"> advances in Algeria, Morocco, and Tunisia</w:t>
      </w:r>
      <w:r w:rsidR="00B3121E" w:rsidRPr="0018095C">
        <w:rPr>
          <w:rFonts w:cstheme="minorHAnsi"/>
          <w:sz w:val="24"/>
          <w:szCs w:val="24"/>
        </w:rPr>
        <w:t xml:space="preserve">. </w:t>
      </w:r>
      <w:proofErr w:type="spellStart"/>
      <w:r w:rsidR="00004CEB" w:rsidRPr="0018095C">
        <w:rPr>
          <w:rFonts w:cstheme="minorHAnsi"/>
          <w:sz w:val="24"/>
          <w:szCs w:val="24"/>
        </w:rPr>
        <w:t>Tajali</w:t>
      </w:r>
      <w:proofErr w:type="spellEnd"/>
      <w:r w:rsidR="00004CEB" w:rsidRPr="0018095C">
        <w:rPr>
          <w:rFonts w:cstheme="minorHAnsi"/>
          <w:sz w:val="24"/>
          <w:szCs w:val="24"/>
        </w:rPr>
        <w:t xml:space="preserve"> examines</w:t>
      </w:r>
      <w:r w:rsidR="004A596F" w:rsidRPr="0018095C">
        <w:rPr>
          <w:rFonts w:cstheme="minorHAnsi"/>
          <w:sz w:val="24"/>
          <w:szCs w:val="24"/>
        </w:rPr>
        <w:t xml:space="preserve"> </w:t>
      </w:r>
      <w:r w:rsidR="00004CEB" w:rsidRPr="0018095C">
        <w:rPr>
          <w:rFonts w:cstheme="minorHAnsi"/>
          <w:sz w:val="24"/>
          <w:szCs w:val="24"/>
        </w:rPr>
        <w:t>women’s quest for political power in Turkey and Iran.</w:t>
      </w:r>
      <w:r w:rsidR="00D55ACC" w:rsidRPr="0018095C">
        <w:rPr>
          <w:rStyle w:val="FootnoteReference"/>
          <w:rFonts w:cstheme="minorHAnsi"/>
          <w:sz w:val="24"/>
          <w:szCs w:val="24"/>
        </w:rPr>
        <w:footnoteReference w:id="14"/>
      </w:r>
      <w:r w:rsidR="00004CEB" w:rsidRPr="0018095C">
        <w:rPr>
          <w:rFonts w:cstheme="minorHAnsi"/>
          <w:sz w:val="24"/>
          <w:szCs w:val="24"/>
        </w:rPr>
        <w:t xml:space="preserve"> </w:t>
      </w:r>
      <w:r w:rsidR="00536716" w:rsidRPr="0018095C">
        <w:rPr>
          <w:rFonts w:cstheme="minorHAnsi"/>
          <w:sz w:val="24"/>
          <w:szCs w:val="24"/>
        </w:rPr>
        <w:t>T</w:t>
      </w:r>
      <w:r w:rsidR="0028398B" w:rsidRPr="0018095C">
        <w:rPr>
          <w:rFonts w:cstheme="minorHAnsi"/>
          <w:sz w:val="24"/>
          <w:szCs w:val="24"/>
        </w:rPr>
        <w:t xml:space="preserve">urkarslan compares Turkey and Tunisia in terms of citizenship regimes and </w:t>
      </w:r>
      <w:r w:rsidR="0028398B" w:rsidRPr="0018095C">
        <w:rPr>
          <w:rFonts w:cstheme="minorHAnsi"/>
          <w:sz w:val="24"/>
          <w:szCs w:val="24"/>
        </w:rPr>
        <w:lastRenderedPageBreak/>
        <w:t>acts of citizenship</w:t>
      </w:r>
      <w:r w:rsidR="00D55ACC" w:rsidRPr="0018095C">
        <w:rPr>
          <w:rFonts w:cstheme="minorHAnsi"/>
          <w:sz w:val="24"/>
          <w:szCs w:val="24"/>
        </w:rPr>
        <w:t>. As she demonstrates, the framework of active citizenship produces a theoretical terrain for recognizing the role of women as social actors in the defense, construction, or expansion of citizenship. Participation and activism are empowering in that they build competence and empowerment</w:t>
      </w:r>
      <w:r w:rsidR="0028398B" w:rsidRPr="0018095C">
        <w:rPr>
          <w:rFonts w:cstheme="minorHAnsi"/>
          <w:sz w:val="24"/>
          <w:szCs w:val="24"/>
        </w:rPr>
        <w:t>.</w:t>
      </w:r>
      <w:r w:rsidR="00F76E54" w:rsidRPr="0018095C">
        <w:rPr>
          <w:rStyle w:val="FootnoteReference"/>
          <w:rFonts w:cstheme="minorHAnsi"/>
          <w:sz w:val="24"/>
          <w:szCs w:val="24"/>
        </w:rPr>
        <w:footnoteReference w:id="15"/>
      </w:r>
      <w:r w:rsidR="00D55ACC" w:rsidRPr="0018095C">
        <w:rPr>
          <w:rFonts w:cstheme="minorHAnsi"/>
          <w:sz w:val="24"/>
          <w:szCs w:val="24"/>
        </w:rPr>
        <w:t xml:space="preserve"> </w:t>
      </w:r>
      <w:r w:rsidR="00667D0E" w:rsidRPr="0018095C">
        <w:rPr>
          <w:rFonts w:cstheme="minorHAnsi"/>
          <w:sz w:val="24"/>
          <w:szCs w:val="24"/>
        </w:rPr>
        <w:t>In sum, and o</w:t>
      </w:r>
      <w:r w:rsidR="00D2487C" w:rsidRPr="0018095C">
        <w:rPr>
          <w:rFonts w:cstheme="minorHAnsi"/>
          <w:sz w:val="24"/>
          <w:szCs w:val="24"/>
        </w:rPr>
        <w:t xml:space="preserve">ver the decades, there has been progress and reform, but also stagnation and </w:t>
      </w:r>
      <w:r w:rsidR="009C7C39">
        <w:rPr>
          <w:rFonts w:cstheme="minorHAnsi"/>
          <w:sz w:val="24"/>
          <w:szCs w:val="24"/>
        </w:rPr>
        <w:t>in some cases,</w:t>
      </w:r>
      <w:r w:rsidR="00D2487C" w:rsidRPr="0018095C">
        <w:rPr>
          <w:rFonts w:cstheme="minorHAnsi"/>
          <w:sz w:val="24"/>
          <w:szCs w:val="24"/>
        </w:rPr>
        <w:t xml:space="preserve"> regression. Political histories, the strength of civil society and feminist movements, and the nature of the state are all factors in explaining such differentiation.</w:t>
      </w:r>
    </w:p>
    <w:p w14:paraId="311C5E62" w14:textId="77777777" w:rsidR="00595B0F" w:rsidRPr="0018095C" w:rsidRDefault="00595B0F" w:rsidP="00D67707">
      <w:pPr>
        <w:spacing w:after="0" w:line="240" w:lineRule="auto"/>
        <w:jc w:val="both"/>
        <w:rPr>
          <w:rFonts w:cstheme="minorHAnsi"/>
          <w:sz w:val="24"/>
          <w:szCs w:val="24"/>
        </w:rPr>
      </w:pPr>
    </w:p>
    <w:p w14:paraId="45C5578E" w14:textId="4EF7AF64" w:rsidR="00935CB5" w:rsidRPr="0018095C" w:rsidRDefault="00142589" w:rsidP="00D67707">
      <w:pPr>
        <w:spacing w:after="0" w:line="240" w:lineRule="auto"/>
        <w:jc w:val="both"/>
        <w:rPr>
          <w:rFonts w:cstheme="minorHAnsi"/>
          <w:sz w:val="24"/>
          <w:szCs w:val="24"/>
        </w:rPr>
      </w:pPr>
      <w:r w:rsidRPr="0018095C">
        <w:rPr>
          <w:rFonts w:cstheme="minorHAnsi"/>
          <w:sz w:val="24"/>
          <w:szCs w:val="24"/>
        </w:rPr>
        <w:t xml:space="preserve">What has tended to be neglected in the literature on citizenship is the salience of international factors. World </w:t>
      </w:r>
      <w:r w:rsidR="00FA48A0">
        <w:rPr>
          <w:rFonts w:cstheme="minorHAnsi"/>
          <w:sz w:val="24"/>
          <w:szCs w:val="24"/>
        </w:rPr>
        <w:t>society/world</w:t>
      </w:r>
      <w:r w:rsidR="002D6FAE" w:rsidRPr="0018095C">
        <w:rPr>
          <w:rFonts w:cstheme="minorHAnsi"/>
          <w:sz w:val="24"/>
          <w:szCs w:val="24"/>
        </w:rPr>
        <w:t xml:space="preserve"> polity </w:t>
      </w:r>
      <w:r w:rsidRPr="0018095C">
        <w:rPr>
          <w:rFonts w:cstheme="minorHAnsi"/>
          <w:sz w:val="24"/>
          <w:szCs w:val="24"/>
        </w:rPr>
        <w:t xml:space="preserve">theorists would point to </w:t>
      </w:r>
      <w:r w:rsidR="00F53BE6" w:rsidRPr="0018095C">
        <w:rPr>
          <w:rFonts w:cstheme="minorHAnsi"/>
          <w:sz w:val="24"/>
          <w:szCs w:val="24"/>
        </w:rPr>
        <w:t>diffusion and implementation processes,</w:t>
      </w:r>
      <w:r w:rsidR="00F76E54" w:rsidRPr="0018095C">
        <w:rPr>
          <w:rStyle w:val="FootnoteReference"/>
          <w:rFonts w:cstheme="minorHAnsi"/>
          <w:sz w:val="24"/>
          <w:szCs w:val="24"/>
        </w:rPr>
        <w:footnoteReference w:id="16"/>
      </w:r>
      <w:r w:rsidR="00F53BE6" w:rsidRPr="0018095C">
        <w:rPr>
          <w:rFonts w:cstheme="minorHAnsi"/>
          <w:sz w:val="24"/>
          <w:szCs w:val="24"/>
        </w:rPr>
        <w:t xml:space="preserve"> and this may be </w:t>
      </w:r>
      <w:r w:rsidR="00295071" w:rsidRPr="0018095C">
        <w:rPr>
          <w:rFonts w:cstheme="minorHAnsi"/>
          <w:sz w:val="24"/>
          <w:szCs w:val="24"/>
        </w:rPr>
        <w:t xml:space="preserve">regarded as the positive role of international factors in advancing citizenship rights. In this regard, the UN’s global women’s agenda has been especially influential. </w:t>
      </w:r>
      <w:r w:rsidR="00942EEE" w:rsidRPr="0018095C">
        <w:rPr>
          <w:rFonts w:cstheme="minorHAnsi"/>
          <w:sz w:val="24"/>
          <w:szCs w:val="24"/>
        </w:rPr>
        <w:t>(See Figure 1.)</w:t>
      </w:r>
      <w:r w:rsidR="002443C0" w:rsidRPr="0018095C">
        <w:rPr>
          <w:rFonts w:cstheme="minorHAnsi"/>
          <w:sz w:val="24"/>
          <w:szCs w:val="24"/>
        </w:rPr>
        <w:t xml:space="preserve"> </w:t>
      </w:r>
      <w:r w:rsidR="00D13B37">
        <w:rPr>
          <w:rFonts w:cstheme="minorHAnsi"/>
          <w:sz w:val="24"/>
          <w:szCs w:val="24"/>
        </w:rPr>
        <w:t>However,</w:t>
      </w:r>
      <w:r w:rsidR="00D13B37" w:rsidRPr="0018095C">
        <w:rPr>
          <w:rFonts w:cstheme="minorHAnsi"/>
          <w:sz w:val="24"/>
          <w:szCs w:val="24"/>
        </w:rPr>
        <w:t xml:space="preserve"> </w:t>
      </w:r>
      <w:r w:rsidR="00295071" w:rsidRPr="0018095C">
        <w:rPr>
          <w:rFonts w:cstheme="minorHAnsi"/>
          <w:sz w:val="24"/>
          <w:szCs w:val="24"/>
        </w:rPr>
        <w:t xml:space="preserve">other international factors may impede, undermine, or reverse gains in women’s citizenship rights. Invasions, occupations, economic sanctions, and debt burdens may result in societal backlashes against </w:t>
      </w:r>
      <w:proofErr w:type="gramStart"/>
      <w:r w:rsidR="00295071" w:rsidRPr="0018095C">
        <w:rPr>
          <w:rFonts w:cstheme="minorHAnsi"/>
          <w:sz w:val="24"/>
          <w:szCs w:val="24"/>
        </w:rPr>
        <w:t>women, or</w:t>
      </w:r>
      <w:proofErr w:type="gramEnd"/>
      <w:r w:rsidR="00295071" w:rsidRPr="0018095C">
        <w:rPr>
          <w:rFonts w:cstheme="minorHAnsi"/>
          <w:sz w:val="24"/>
          <w:szCs w:val="24"/>
        </w:rPr>
        <w:t xml:space="preserve"> shift </w:t>
      </w:r>
      <w:r w:rsidR="00F67B27" w:rsidRPr="0018095C">
        <w:rPr>
          <w:rFonts w:cstheme="minorHAnsi"/>
          <w:sz w:val="24"/>
          <w:szCs w:val="24"/>
        </w:rPr>
        <w:t xml:space="preserve">governmental and societal </w:t>
      </w:r>
      <w:r w:rsidR="00295071" w:rsidRPr="0018095C">
        <w:rPr>
          <w:rFonts w:cstheme="minorHAnsi"/>
          <w:sz w:val="24"/>
          <w:szCs w:val="24"/>
        </w:rPr>
        <w:t xml:space="preserve">priorities from rights to security. </w:t>
      </w:r>
      <w:r w:rsidR="00F65C74" w:rsidRPr="0018095C">
        <w:rPr>
          <w:rFonts w:cstheme="minorHAnsi"/>
          <w:sz w:val="24"/>
          <w:szCs w:val="24"/>
        </w:rPr>
        <w:t>The 2003 U</w:t>
      </w:r>
      <w:r w:rsidR="00466742">
        <w:rPr>
          <w:rFonts w:cstheme="minorHAnsi"/>
          <w:sz w:val="24"/>
          <w:szCs w:val="24"/>
        </w:rPr>
        <w:t>nited States</w:t>
      </w:r>
      <w:r w:rsidR="00725C25">
        <w:rPr>
          <w:rFonts w:cstheme="minorHAnsi"/>
          <w:sz w:val="24"/>
          <w:szCs w:val="24"/>
        </w:rPr>
        <w:t xml:space="preserve"> (US)</w:t>
      </w:r>
      <w:r w:rsidR="00F65C74" w:rsidRPr="0018095C">
        <w:rPr>
          <w:rFonts w:cstheme="minorHAnsi"/>
          <w:sz w:val="24"/>
          <w:szCs w:val="24"/>
        </w:rPr>
        <w:t>/U</w:t>
      </w:r>
      <w:r w:rsidR="00466742">
        <w:rPr>
          <w:rFonts w:cstheme="minorHAnsi"/>
          <w:sz w:val="24"/>
          <w:szCs w:val="24"/>
        </w:rPr>
        <w:t xml:space="preserve">nited </w:t>
      </w:r>
      <w:r w:rsidR="00F65C74" w:rsidRPr="0018095C">
        <w:rPr>
          <w:rFonts w:cstheme="minorHAnsi"/>
          <w:sz w:val="24"/>
          <w:szCs w:val="24"/>
        </w:rPr>
        <w:t>K</w:t>
      </w:r>
      <w:r w:rsidR="00466742">
        <w:rPr>
          <w:rFonts w:cstheme="minorHAnsi"/>
          <w:sz w:val="24"/>
          <w:szCs w:val="24"/>
        </w:rPr>
        <w:t>ingdom</w:t>
      </w:r>
      <w:r w:rsidR="00F65C74" w:rsidRPr="0018095C">
        <w:rPr>
          <w:rFonts w:cstheme="minorHAnsi"/>
          <w:sz w:val="24"/>
          <w:szCs w:val="24"/>
        </w:rPr>
        <w:t xml:space="preserve"> </w:t>
      </w:r>
      <w:r w:rsidR="00725C25">
        <w:rPr>
          <w:rFonts w:cstheme="minorHAnsi"/>
          <w:sz w:val="24"/>
          <w:szCs w:val="24"/>
        </w:rPr>
        <w:t xml:space="preserve">(UK) </w:t>
      </w:r>
      <w:r w:rsidR="00F65C74" w:rsidRPr="0018095C">
        <w:rPr>
          <w:rFonts w:cstheme="minorHAnsi"/>
          <w:sz w:val="24"/>
          <w:szCs w:val="24"/>
        </w:rPr>
        <w:t>invasion and occupation of Iraq exemplifies this postulate. Not only did the invasion destabilize the country and lead to a ferocious resistance</w:t>
      </w:r>
      <w:r w:rsidR="00060449" w:rsidRPr="0018095C">
        <w:rPr>
          <w:rFonts w:cstheme="minorHAnsi"/>
          <w:sz w:val="24"/>
          <w:szCs w:val="24"/>
        </w:rPr>
        <w:t xml:space="preserve"> with countless casualties and much destruction,</w:t>
      </w:r>
      <w:r w:rsidR="00F65C74" w:rsidRPr="0018095C">
        <w:rPr>
          <w:rFonts w:cstheme="minorHAnsi"/>
          <w:sz w:val="24"/>
          <w:szCs w:val="24"/>
        </w:rPr>
        <w:t xml:space="preserve"> but many women and girls lost the physical security and autonomy they had previously enjoyed.</w:t>
      </w:r>
      <w:r w:rsidR="005F6D11">
        <w:rPr>
          <w:rStyle w:val="FootnoteReference"/>
          <w:rFonts w:cstheme="minorHAnsi"/>
          <w:sz w:val="24"/>
          <w:szCs w:val="24"/>
        </w:rPr>
        <w:footnoteReference w:id="17"/>
      </w:r>
      <w:r w:rsidR="00F65C74" w:rsidRPr="0018095C">
        <w:rPr>
          <w:rFonts w:cstheme="minorHAnsi"/>
          <w:sz w:val="24"/>
          <w:szCs w:val="24"/>
        </w:rPr>
        <w:t xml:space="preserve"> Two decades later, right-wing Shia </w:t>
      </w:r>
      <w:r w:rsidR="00875690" w:rsidRPr="0018095C">
        <w:rPr>
          <w:rFonts w:cstheme="minorHAnsi"/>
          <w:sz w:val="24"/>
          <w:szCs w:val="24"/>
        </w:rPr>
        <w:t xml:space="preserve">Muslim </w:t>
      </w:r>
      <w:r w:rsidR="00F65C74" w:rsidRPr="0018095C">
        <w:rPr>
          <w:rFonts w:cstheme="minorHAnsi"/>
          <w:sz w:val="24"/>
          <w:szCs w:val="24"/>
        </w:rPr>
        <w:t xml:space="preserve">lawmakers began to seek to lower the minimum age of </w:t>
      </w:r>
      <w:r w:rsidR="00FA48A0">
        <w:rPr>
          <w:rFonts w:cstheme="minorHAnsi"/>
          <w:sz w:val="24"/>
          <w:szCs w:val="24"/>
        </w:rPr>
        <w:t>girls’</w:t>
      </w:r>
      <w:r w:rsidR="00F65C74" w:rsidRPr="0018095C">
        <w:rPr>
          <w:rFonts w:cstheme="minorHAnsi"/>
          <w:sz w:val="24"/>
          <w:szCs w:val="24"/>
        </w:rPr>
        <w:t xml:space="preserve"> marriage to nine.</w:t>
      </w:r>
      <w:r w:rsidR="00F65C74" w:rsidRPr="0018095C">
        <w:rPr>
          <w:rStyle w:val="FootnoteReference"/>
          <w:rFonts w:cstheme="minorHAnsi"/>
          <w:sz w:val="24"/>
          <w:szCs w:val="24"/>
        </w:rPr>
        <w:footnoteReference w:id="18"/>
      </w:r>
      <w:r w:rsidR="00F65C74" w:rsidRPr="0018095C">
        <w:rPr>
          <w:rFonts w:cstheme="minorHAnsi"/>
          <w:sz w:val="24"/>
          <w:szCs w:val="24"/>
        </w:rPr>
        <w:t xml:space="preserve">  </w:t>
      </w:r>
    </w:p>
    <w:p w14:paraId="09D7B0FB" w14:textId="77777777" w:rsidR="00935CB5" w:rsidRDefault="00935CB5" w:rsidP="00D67707">
      <w:pPr>
        <w:pStyle w:val="BodyText"/>
        <w:rPr>
          <w:rFonts w:asciiTheme="minorHAnsi" w:hAnsiTheme="minorHAnsi" w:cstheme="minorHAnsi"/>
          <w:szCs w:val="24"/>
        </w:rPr>
      </w:pPr>
    </w:p>
    <w:p w14:paraId="1B0BEA9F" w14:textId="77777777" w:rsidR="00FA48A0" w:rsidRPr="0018095C" w:rsidRDefault="00FA48A0" w:rsidP="00D67707">
      <w:pPr>
        <w:pStyle w:val="BodyText"/>
        <w:rPr>
          <w:rFonts w:asciiTheme="minorHAnsi" w:hAnsiTheme="minorHAnsi" w:cstheme="minorHAnsi"/>
          <w:szCs w:val="24"/>
        </w:rPr>
      </w:pPr>
    </w:p>
    <w:p w14:paraId="0F123A1E" w14:textId="77777777" w:rsidR="00EB68FD" w:rsidRDefault="00EB68FD">
      <w:pPr>
        <w:rPr>
          <w:rFonts w:cstheme="minorHAnsi"/>
          <w:b/>
          <w:bCs/>
          <w:sz w:val="24"/>
          <w:szCs w:val="24"/>
        </w:rPr>
      </w:pPr>
      <w:r>
        <w:rPr>
          <w:rFonts w:cstheme="minorHAnsi"/>
          <w:b/>
          <w:bCs/>
          <w:sz w:val="24"/>
          <w:szCs w:val="24"/>
        </w:rPr>
        <w:br w:type="page"/>
      </w:r>
    </w:p>
    <w:p w14:paraId="406F70BB" w14:textId="785925F6" w:rsidR="00F711C2" w:rsidRPr="00FA48A0" w:rsidRDefault="00F711C2" w:rsidP="00D67707">
      <w:pPr>
        <w:spacing w:after="0" w:line="240" w:lineRule="auto"/>
        <w:jc w:val="both"/>
        <w:rPr>
          <w:rFonts w:cstheme="minorHAnsi"/>
          <w:b/>
          <w:bCs/>
          <w:sz w:val="24"/>
          <w:szCs w:val="24"/>
        </w:rPr>
      </w:pPr>
      <w:r w:rsidRPr="00FA48A0">
        <w:rPr>
          <w:rFonts w:cstheme="minorHAnsi"/>
          <w:b/>
          <w:bCs/>
          <w:sz w:val="24"/>
          <w:szCs w:val="24"/>
        </w:rPr>
        <w:lastRenderedPageBreak/>
        <w:t>Figure 1. A Model of the Extension of Citizenship Rights</w:t>
      </w:r>
    </w:p>
    <w:p w14:paraId="465D7DE3" w14:textId="36370C36" w:rsidR="00F711C2" w:rsidRPr="0072561B" w:rsidRDefault="003E4D3C"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0288" behindDoc="0" locked="0" layoutInCell="0" allowOverlap="1" wp14:anchorId="2DD16D13" wp14:editId="1E69F105">
                <wp:simplePos x="0" y="0"/>
                <wp:positionH relativeFrom="column">
                  <wp:posOffset>1645285</wp:posOffset>
                </wp:positionH>
                <wp:positionV relativeFrom="paragraph">
                  <wp:posOffset>97155</wp:posOffset>
                </wp:positionV>
                <wp:extent cx="1284732" cy="498348"/>
                <wp:effectExtent l="0" t="0" r="10795" b="16510"/>
                <wp:wrapNone/>
                <wp:docPr id="205143760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4732" cy="498348"/>
                        </a:xfrm>
                        <a:prstGeom prst="rect">
                          <a:avLst/>
                        </a:prstGeom>
                        <a:solidFill>
                          <a:srgbClr val="FFFFFF"/>
                        </a:solidFill>
                        <a:ln w="9525">
                          <a:solidFill>
                            <a:srgbClr val="000000"/>
                          </a:solidFill>
                          <a:miter lim="800000"/>
                          <a:headEnd/>
                          <a:tailEnd/>
                        </a:ln>
                      </wps:spPr>
                      <wps:txbx>
                        <w:txbxContent>
                          <w:p w14:paraId="04D67DF0" w14:textId="77777777" w:rsidR="00F711C2" w:rsidRDefault="00F711C2" w:rsidP="00F711C2">
                            <w:r>
                              <w:t>Social movements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16D13" id="Rectangle 12" o:spid="_x0000_s1026" style="position:absolute;left:0;text-align:left;margin-left:129.55pt;margin-top:7.65pt;width:101.15pt;height:3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" o:allowincell="f">
                <v:textbox>
                  <w:txbxContent>
                    <w:p w14:paraId="04D67DF0" w14:textId="77777777" w:rsidR="00F711C2" w:rsidRDefault="00F711C2" w:rsidP="00F711C2">
                      <w:r>
                        <w:t>Social movements</w:t>
                      </w:r>
                    </w:p>
                  </w:txbxContent>
                </v:textbox>
              </v:rect>
            </w:pict>
          </mc:Fallback>
        </mc:AlternateContent>
      </w:r>
    </w:p>
    <w:p w14:paraId="0BB34369" w14:textId="10C2C1E9" w:rsidR="00F711C2" w:rsidRPr="0072561B" w:rsidRDefault="00F711C2" w:rsidP="00D67707">
      <w:pPr>
        <w:pStyle w:val="BodyText"/>
        <w:rPr>
          <w:rFonts w:asciiTheme="minorHAnsi" w:hAnsiTheme="minorHAnsi" w:cstheme="minorHAnsi"/>
          <w:szCs w:val="24"/>
        </w:rPr>
      </w:pPr>
      <w:r w:rsidRPr="0072561B">
        <w:rPr>
          <w:rFonts w:asciiTheme="minorHAnsi" w:hAnsiTheme="minorHAnsi" w:cstheme="minorHAnsi"/>
          <w:szCs w:val="24"/>
        </w:rPr>
        <w:t xml:space="preserve">  </w:t>
      </w:r>
    </w:p>
    <w:p w14:paraId="772DD3BB" w14:textId="1A95D220" w:rsidR="00F711C2" w:rsidRPr="0072561B" w:rsidRDefault="00FB35FC"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8480" behindDoc="0" locked="0" layoutInCell="0" allowOverlap="1" wp14:anchorId="04F3CC61" wp14:editId="7148E040">
                <wp:simplePos x="0" y="0"/>
                <wp:positionH relativeFrom="column">
                  <wp:posOffset>2978150</wp:posOffset>
                </wp:positionH>
                <wp:positionV relativeFrom="paragraph">
                  <wp:posOffset>3175</wp:posOffset>
                </wp:positionV>
                <wp:extent cx="838200" cy="596900"/>
                <wp:effectExtent l="0" t="0" r="76200" b="50800"/>
                <wp:wrapNone/>
                <wp:docPr id="170063568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596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3F148" id="Straight Connector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25pt" to="300.5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" o:allowincell="f">
                <v:stroke endarrow="block"/>
              </v:line>
            </w:pict>
          </mc:Fallback>
        </mc:AlternateContent>
      </w:r>
      <w:r w:rsidR="006A1D8E" w:rsidRPr="0072561B">
        <w:rPr>
          <w:rFonts w:asciiTheme="minorHAnsi" w:hAnsiTheme="minorHAnsi" w:cstheme="minorHAnsi"/>
          <w:noProof/>
          <w:szCs w:val="24"/>
        </w:rPr>
        <mc:AlternateContent>
          <mc:Choice Requires="wps">
            <w:drawing>
              <wp:anchor distT="0" distB="0" distL="114300" distR="114300" simplePos="0" relativeHeight="251667456" behindDoc="0" locked="0" layoutInCell="0" allowOverlap="1" wp14:anchorId="2DA3B009" wp14:editId="411CAE35">
                <wp:simplePos x="0" y="0"/>
                <wp:positionH relativeFrom="column">
                  <wp:posOffset>457200</wp:posOffset>
                </wp:positionH>
                <wp:positionV relativeFrom="paragraph">
                  <wp:posOffset>3175</wp:posOffset>
                </wp:positionV>
                <wp:extent cx="1164590" cy="755650"/>
                <wp:effectExtent l="0" t="38100" r="54610" b="25400"/>
                <wp:wrapNone/>
                <wp:docPr id="80085099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64590" cy="755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5632C" id="Straight Connector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pt" to="127.7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" o:allowincell="f">
                <v:stroke endarrow="block"/>
              </v:line>
            </w:pict>
          </mc:Fallback>
        </mc:AlternateContent>
      </w:r>
    </w:p>
    <w:p w14:paraId="5CF2938C" w14:textId="585D936E" w:rsidR="003E4D3C" w:rsidRDefault="003E4D3C"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6432" behindDoc="0" locked="0" layoutInCell="0" allowOverlap="1" wp14:anchorId="14BFAD5C" wp14:editId="4C71B19B">
                <wp:simplePos x="0" y="0"/>
                <wp:positionH relativeFrom="column">
                  <wp:posOffset>2174240</wp:posOffset>
                </wp:positionH>
                <wp:positionV relativeFrom="paragraph">
                  <wp:posOffset>98425</wp:posOffset>
                </wp:positionV>
                <wp:extent cx="0" cy="365760"/>
                <wp:effectExtent l="0" t="0" r="0" b="0"/>
                <wp:wrapNone/>
                <wp:docPr id="126798364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0EA7C"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7.75pt" to="171.2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" o:allowincell="f">
                <v:stroke endarrow="block"/>
              </v:line>
            </w:pict>
          </mc:Fallback>
        </mc:AlternateContent>
      </w:r>
    </w:p>
    <w:p w14:paraId="34209CCD" w14:textId="07943AE9" w:rsidR="00F711C2" w:rsidRPr="0072561B" w:rsidRDefault="00F711C2" w:rsidP="00D67707">
      <w:pPr>
        <w:pStyle w:val="BodyText"/>
        <w:rPr>
          <w:rFonts w:asciiTheme="minorHAnsi" w:hAnsiTheme="minorHAnsi" w:cstheme="minorHAnsi"/>
          <w:szCs w:val="24"/>
        </w:rPr>
      </w:pPr>
    </w:p>
    <w:p w14:paraId="622C45A7" w14:textId="5CA4A508" w:rsidR="00F711C2" w:rsidRPr="0072561B" w:rsidRDefault="00FB35FC"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3360" behindDoc="0" locked="0" layoutInCell="0" allowOverlap="1" wp14:anchorId="465C3CF6" wp14:editId="44E9DADD">
                <wp:simplePos x="0" y="0"/>
                <wp:positionH relativeFrom="column">
                  <wp:posOffset>3663950</wp:posOffset>
                </wp:positionH>
                <wp:positionV relativeFrom="paragraph">
                  <wp:posOffset>110490</wp:posOffset>
                </wp:positionV>
                <wp:extent cx="1280160" cy="457200"/>
                <wp:effectExtent l="0" t="0" r="0" b="0"/>
                <wp:wrapNone/>
                <wp:docPr id="138466235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457200"/>
                        </a:xfrm>
                        <a:prstGeom prst="rect">
                          <a:avLst/>
                        </a:prstGeom>
                        <a:solidFill>
                          <a:srgbClr val="FFFFFF"/>
                        </a:solidFill>
                        <a:ln w="9525">
                          <a:solidFill>
                            <a:srgbClr val="000000"/>
                          </a:solidFill>
                          <a:miter lim="800000"/>
                          <a:headEnd/>
                          <a:tailEnd/>
                        </a:ln>
                      </wps:spPr>
                      <wps:txbx>
                        <w:txbxContent>
                          <w:p w14:paraId="33AA0A60" w14:textId="77777777" w:rsidR="00F711C2" w:rsidRDefault="00F711C2" w:rsidP="00F711C2">
                            <w:r>
                              <w:t>Extension of citizenship rights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C3CF6" id="Rectangle 7" o:spid="_x0000_s1027" style="position:absolute;left:0;text-align:left;margin-left:288.5pt;margin-top:8.7pt;width:100.8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" o:allowincell="f">
                <v:textbox>
                  <w:txbxContent>
                    <w:p w14:paraId="33AA0A60" w14:textId="77777777" w:rsidR="00F711C2" w:rsidRDefault="00F711C2" w:rsidP="00F711C2">
                      <w:r>
                        <w:t>Extension of citizenship rights</w:t>
                      </w:r>
                    </w:p>
                  </w:txbxContent>
                </v:textbox>
              </v:rect>
            </w:pict>
          </mc:Fallback>
        </mc:AlternateContent>
      </w:r>
      <w:r w:rsidR="00F711C2" w:rsidRPr="0072561B">
        <w:rPr>
          <w:rFonts w:asciiTheme="minorHAnsi" w:hAnsiTheme="minorHAnsi" w:cstheme="minorHAnsi"/>
          <w:noProof/>
          <w:szCs w:val="24"/>
        </w:rPr>
        <mc:AlternateContent>
          <mc:Choice Requires="wps">
            <w:drawing>
              <wp:anchor distT="0" distB="0" distL="114300" distR="114300" simplePos="0" relativeHeight="251661312" behindDoc="0" locked="0" layoutInCell="0" allowOverlap="1" wp14:anchorId="7A44400F" wp14:editId="275A6C9F">
                <wp:simplePos x="0" y="0"/>
                <wp:positionH relativeFrom="column">
                  <wp:posOffset>1663827</wp:posOffset>
                </wp:positionH>
                <wp:positionV relativeFrom="paragraph">
                  <wp:posOffset>136144</wp:posOffset>
                </wp:positionV>
                <wp:extent cx="1188720" cy="680720"/>
                <wp:effectExtent l="0" t="0" r="11430" b="24130"/>
                <wp:wrapNone/>
                <wp:docPr id="52094995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680720"/>
                        </a:xfrm>
                        <a:prstGeom prst="rect">
                          <a:avLst/>
                        </a:prstGeom>
                        <a:solidFill>
                          <a:srgbClr val="FFFFFF"/>
                        </a:solidFill>
                        <a:ln w="9525">
                          <a:solidFill>
                            <a:srgbClr val="000000"/>
                          </a:solidFill>
                          <a:miter lim="800000"/>
                          <a:headEnd/>
                          <a:tailEnd/>
                        </a:ln>
                      </wps:spPr>
                      <wps:txbx>
                        <w:txbxContent>
                          <w:p w14:paraId="1D5CC278" w14:textId="77777777" w:rsidR="00F711C2" w:rsidRDefault="00F711C2" w:rsidP="00F711C2">
                            <w:r>
                              <w:t>Bureaucratic state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4400F" id="Rectangle 8" o:spid="_x0000_s1028" style="position:absolute;left:0;text-align:left;margin-left:131pt;margin-top:10.7pt;width:93.6pt;height:5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" o:allowincell="f">
                <v:textbox>
                  <w:txbxContent>
                    <w:p w14:paraId="1D5CC278" w14:textId="77777777" w:rsidR="00F711C2" w:rsidRDefault="00F711C2" w:rsidP="00F711C2">
                      <w:r>
                        <w:t>Bureaucratic state measures</w:t>
                      </w:r>
                    </w:p>
                  </w:txbxContent>
                </v:textbox>
              </v:rect>
            </w:pict>
          </mc:Fallback>
        </mc:AlternateContent>
      </w:r>
    </w:p>
    <w:p w14:paraId="5779080F" w14:textId="4BB86852" w:rsidR="00F711C2" w:rsidRPr="0072561B" w:rsidRDefault="00587275"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4384" behindDoc="0" locked="0" layoutInCell="0" allowOverlap="1" wp14:anchorId="01E00841" wp14:editId="0C42A6B4">
                <wp:simplePos x="0" y="0"/>
                <wp:positionH relativeFrom="column">
                  <wp:posOffset>2926080</wp:posOffset>
                </wp:positionH>
                <wp:positionV relativeFrom="paragraph">
                  <wp:posOffset>144780</wp:posOffset>
                </wp:positionV>
                <wp:extent cx="457200" cy="0"/>
                <wp:effectExtent l="0" t="0" r="0" b="0"/>
                <wp:wrapNone/>
                <wp:docPr id="119834430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E02EB"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4pt,11.4pt" to="266.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" o:allowincell="f">
                <v:stroke endarrow="block"/>
              </v:line>
            </w:pict>
          </mc:Fallback>
        </mc:AlternateContent>
      </w:r>
      <w:r w:rsidR="00F711C2" w:rsidRPr="0072561B">
        <w:rPr>
          <w:rFonts w:asciiTheme="minorHAnsi" w:hAnsiTheme="minorHAnsi" w:cstheme="minorHAnsi"/>
          <w:noProof/>
          <w:szCs w:val="24"/>
        </w:rPr>
        <mc:AlternateContent>
          <mc:Choice Requires="wps">
            <w:drawing>
              <wp:anchor distT="0" distB="0" distL="114300" distR="114300" simplePos="0" relativeHeight="251670528" behindDoc="0" locked="0" layoutInCell="0" allowOverlap="1" wp14:anchorId="5305DC43" wp14:editId="68C59DC1">
                <wp:simplePos x="0" y="0"/>
                <wp:positionH relativeFrom="column">
                  <wp:posOffset>992124</wp:posOffset>
                </wp:positionH>
                <wp:positionV relativeFrom="paragraph">
                  <wp:posOffset>157226</wp:posOffset>
                </wp:positionV>
                <wp:extent cx="548640" cy="0"/>
                <wp:effectExtent l="0" t="0" r="0" b="0"/>
                <wp:wrapNone/>
                <wp:docPr id="118186648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89EC4" id="Straight Connector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1pt,12.4pt" to="121.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" o:allowincell="f">
                <v:stroke endarrow="block"/>
              </v:line>
            </w:pict>
          </mc:Fallback>
        </mc:AlternateContent>
      </w:r>
      <w:r w:rsidR="00F711C2" w:rsidRPr="0072561B">
        <w:rPr>
          <w:rFonts w:asciiTheme="minorHAnsi" w:hAnsiTheme="minorHAnsi" w:cstheme="minorHAnsi"/>
          <w:noProof/>
          <w:szCs w:val="24"/>
        </w:rPr>
        <mc:AlternateContent>
          <mc:Choice Requires="wps">
            <w:drawing>
              <wp:anchor distT="0" distB="0" distL="114300" distR="114300" simplePos="0" relativeHeight="251659264" behindDoc="0" locked="0" layoutInCell="0" allowOverlap="1" wp14:anchorId="1D8F3BBF" wp14:editId="1AF3E23A">
                <wp:simplePos x="0" y="0"/>
                <wp:positionH relativeFrom="column">
                  <wp:posOffset>-155448</wp:posOffset>
                </wp:positionH>
                <wp:positionV relativeFrom="paragraph">
                  <wp:posOffset>77216</wp:posOffset>
                </wp:positionV>
                <wp:extent cx="1097280" cy="466344"/>
                <wp:effectExtent l="0" t="0" r="26670" b="10160"/>
                <wp:wrapNone/>
                <wp:docPr id="86371391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466344"/>
                        </a:xfrm>
                        <a:prstGeom prst="rect">
                          <a:avLst/>
                        </a:prstGeom>
                        <a:solidFill>
                          <a:srgbClr val="FFFFFF"/>
                        </a:solidFill>
                        <a:ln w="9525">
                          <a:solidFill>
                            <a:srgbClr val="000000"/>
                          </a:solidFill>
                          <a:miter lim="800000"/>
                          <a:headEnd/>
                          <a:tailEnd/>
                        </a:ln>
                      </wps:spPr>
                      <wps:txbx>
                        <w:txbxContent>
                          <w:p w14:paraId="0A9D34E9" w14:textId="77777777" w:rsidR="00F711C2" w:rsidRDefault="00F711C2" w:rsidP="00F711C2">
                            <w:r>
                              <w:t>Global/world society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8F3BBF" id="Rectangle 6" o:spid="_x0000_s1029" style="position:absolute;left:0;text-align:left;margin-left:-12.25pt;margin-top:6.1pt;width:86.4pt;height:3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" o:allowincell="f">
                <v:textbox>
                  <w:txbxContent>
                    <w:p w14:paraId="0A9D34E9" w14:textId="77777777" w:rsidR="00F711C2" w:rsidRDefault="00F711C2" w:rsidP="00F711C2">
                      <w:r>
                        <w:t>Global/world society effects</w:t>
                      </w:r>
                    </w:p>
                  </w:txbxContent>
                </v:textbox>
              </v:rect>
            </w:pict>
          </mc:Fallback>
        </mc:AlternateContent>
      </w:r>
    </w:p>
    <w:p w14:paraId="593712F8" w14:textId="77777777" w:rsidR="00F711C2" w:rsidRPr="0072561B" w:rsidRDefault="00F711C2" w:rsidP="00D67707">
      <w:pPr>
        <w:pStyle w:val="BodyText"/>
        <w:rPr>
          <w:rFonts w:asciiTheme="minorHAnsi" w:hAnsiTheme="minorHAnsi" w:cstheme="minorHAnsi"/>
          <w:szCs w:val="24"/>
        </w:rPr>
      </w:pPr>
    </w:p>
    <w:p w14:paraId="30DFA709" w14:textId="77777777" w:rsidR="00F711C2" w:rsidRPr="0072561B" w:rsidRDefault="00F711C2"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9504" behindDoc="0" locked="0" layoutInCell="0" allowOverlap="1" wp14:anchorId="193A791E" wp14:editId="4871A5BE">
                <wp:simplePos x="0" y="0"/>
                <wp:positionH relativeFrom="column">
                  <wp:posOffset>2769870</wp:posOffset>
                </wp:positionH>
                <wp:positionV relativeFrom="paragraph">
                  <wp:posOffset>47625</wp:posOffset>
                </wp:positionV>
                <wp:extent cx="1005840" cy="640080"/>
                <wp:effectExtent l="0" t="0" r="0" b="0"/>
                <wp:wrapNone/>
                <wp:docPr id="3454212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5840" cy="640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B2EE6" id="Straight Connector 3"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1pt,3.75pt" to="297.3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" o:allowincell="f">
                <v:stroke endarrow="block"/>
              </v:line>
            </w:pict>
          </mc:Fallback>
        </mc:AlternateContent>
      </w:r>
    </w:p>
    <w:p w14:paraId="0F17D02D" w14:textId="77777777" w:rsidR="00F711C2" w:rsidRPr="0072561B" w:rsidRDefault="00F711C2" w:rsidP="00D67707">
      <w:pPr>
        <w:pStyle w:val="BodyText"/>
        <w:rPr>
          <w:rFonts w:asciiTheme="minorHAnsi" w:hAnsiTheme="minorHAnsi" w:cstheme="minorHAnsi"/>
          <w:szCs w:val="24"/>
        </w:rPr>
      </w:pPr>
      <w:r w:rsidRPr="0072561B">
        <w:rPr>
          <w:rFonts w:asciiTheme="minorHAnsi" w:hAnsiTheme="minorHAnsi" w:cstheme="minorHAnsi"/>
          <w:noProof/>
          <w:szCs w:val="24"/>
        </w:rPr>
        <mc:AlternateContent>
          <mc:Choice Requires="wps">
            <w:drawing>
              <wp:anchor distT="0" distB="0" distL="114300" distR="114300" simplePos="0" relativeHeight="251665408" behindDoc="0" locked="0" layoutInCell="0" allowOverlap="1" wp14:anchorId="3FB247B9" wp14:editId="35765DBF">
                <wp:simplePos x="0" y="0"/>
                <wp:positionH relativeFrom="column">
                  <wp:posOffset>2112264</wp:posOffset>
                </wp:positionH>
                <wp:positionV relativeFrom="paragraph">
                  <wp:posOffset>70104</wp:posOffset>
                </wp:positionV>
                <wp:extent cx="0" cy="457200"/>
                <wp:effectExtent l="0" t="0" r="0" b="0"/>
                <wp:wrapNone/>
                <wp:docPr id="9612423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EFAD0"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3pt,5.5pt" to="166.3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" o:allowincell="f">
                <v:stroke endarrow="block"/>
              </v:line>
            </w:pict>
          </mc:Fallback>
        </mc:AlternateContent>
      </w:r>
    </w:p>
    <w:p w14:paraId="1F9A01E7" w14:textId="77777777" w:rsidR="00F711C2" w:rsidRPr="0072561B" w:rsidRDefault="00F711C2" w:rsidP="00D67707">
      <w:pPr>
        <w:pStyle w:val="BodyText"/>
        <w:ind w:firstLine="720"/>
        <w:rPr>
          <w:rFonts w:asciiTheme="minorHAnsi" w:hAnsiTheme="minorHAnsi" w:cstheme="minorHAnsi"/>
          <w:szCs w:val="24"/>
        </w:rPr>
      </w:pPr>
      <w:r w:rsidRPr="0072561B">
        <w:rPr>
          <w:rFonts w:asciiTheme="minorHAnsi" w:hAnsiTheme="minorHAnsi" w:cstheme="minorHAnsi"/>
          <w:szCs w:val="24"/>
        </w:rPr>
        <w:t xml:space="preserve">  </w:t>
      </w:r>
    </w:p>
    <w:p w14:paraId="7247AD31" w14:textId="77777777" w:rsidR="00F711C2" w:rsidRPr="0072561B" w:rsidRDefault="00F711C2" w:rsidP="00D67707">
      <w:pPr>
        <w:spacing w:after="0" w:line="240" w:lineRule="auto"/>
        <w:jc w:val="both"/>
        <w:rPr>
          <w:rFonts w:cstheme="minorHAnsi"/>
          <w:sz w:val="24"/>
          <w:szCs w:val="24"/>
        </w:rPr>
      </w:pPr>
    </w:p>
    <w:p w14:paraId="10B4F6CE" w14:textId="77777777" w:rsidR="00F711C2" w:rsidRPr="0072561B" w:rsidRDefault="00F711C2" w:rsidP="00D67707">
      <w:pPr>
        <w:spacing w:after="0" w:line="240" w:lineRule="auto"/>
        <w:jc w:val="both"/>
        <w:rPr>
          <w:rFonts w:cstheme="minorHAnsi"/>
          <w:sz w:val="24"/>
          <w:szCs w:val="24"/>
        </w:rPr>
      </w:pPr>
      <w:r w:rsidRPr="0072561B">
        <w:rPr>
          <w:rFonts w:cstheme="minorHAnsi"/>
          <w:noProof/>
          <w:sz w:val="24"/>
          <w:szCs w:val="24"/>
        </w:rPr>
        <mc:AlternateContent>
          <mc:Choice Requires="wps">
            <w:drawing>
              <wp:anchor distT="0" distB="0" distL="114300" distR="114300" simplePos="0" relativeHeight="251662336" behindDoc="0" locked="0" layoutInCell="0" allowOverlap="1" wp14:anchorId="18F7448D" wp14:editId="610D98BB">
                <wp:simplePos x="0" y="0"/>
                <wp:positionH relativeFrom="column">
                  <wp:posOffset>1535684</wp:posOffset>
                </wp:positionH>
                <wp:positionV relativeFrom="paragraph">
                  <wp:posOffset>2413</wp:posOffset>
                </wp:positionV>
                <wp:extent cx="1179195" cy="548640"/>
                <wp:effectExtent l="0" t="0" r="20955" b="22860"/>
                <wp:wrapNone/>
                <wp:docPr id="12167952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9195" cy="548640"/>
                        </a:xfrm>
                        <a:prstGeom prst="rect">
                          <a:avLst/>
                        </a:prstGeom>
                        <a:solidFill>
                          <a:srgbClr val="FFFFFF"/>
                        </a:solidFill>
                        <a:ln w="9525">
                          <a:solidFill>
                            <a:srgbClr val="000000"/>
                          </a:solidFill>
                          <a:miter lim="800000"/>
                          <a:headEnd/>
                          <a:tailEnd/>
                        </a:ln>
                      </wps:spPr>
                      <wps:txbx>
                        <w:txbxContent>
                          <w:p w14:paraId="4C0394C7" w14:textId="77777777" w:rsidR="00F711C2" w:rsidRDefault="00F711C2" w:rsidP="00F711C2">
                            <w:r>
                              <w:t>Demographic effects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7448D" id="Rectangle 1" o:spid="_x0000_s1030" style="position:absolute;left:0;text-align:left;margin-left:120.9pt;margin-top:.2pt;width:92.85pt;height:4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" o:allowincell="f">
                <v:textbox>
                  <w:txbxContent>
                    <w:p w14:paraId="4C0394C7" w14:textId="77777777" w:rsidR="00F711C2" w:rsidRDefault="00F711C2" w:rsidP="00F711C2">
                      <w:r>
                        <w:t>Demographic effects</w:t>
                      </w:r>
                    </w:p>
                  </w:txbxContent>
                </v:textbox>
              </v:rect>
            </w:pict>
          </mc:Fallback>
        </mc:AlternateContent>
      </w:r>
    </w:p>
    <w:p w14:paraId="318E72C8" w14:textId="77777777" w:rsidR="00F711C2" w:rsidRPr="0018095C" w:rsidRDefault="00F711C2" w:rsidP="00D67707">
      <w:pPr>
        <w:spacing w:after="0" w:line="240" w:lineRule="auto"/>
        <w:jc w:val="both"/>
        <w:rPr>
          <w:rFonts w:cstheme="minorHAnsi"/>
          <w:b/>
          <w:bCs/>
          <w:sz w:val="24"/>
          <w:szCs w:val="24"/>
        </w:rPr>
      </w:pPr>
    </w:p>
    <w:p w14:paraId="73C7DDBB" w14:textId="77777777" w:rsidR="00F711C2" w:rsidRPr="0018095C" w:rsidRDefault="00F711C2" w:rsidP="00D67707">
      <w:pPr>
        <w:spacing w:after="0" w:line="240" w:lineRule="auto"/>
        <w:jc w:val="both"/>
        <w:rPr>
          <w:rFonts w:cstheme="minorHAnsi"/>
          <w:b/>
          <w:bCs/>
          <w:sz w:val="24"/>
          <w:szCs w:val="24"/>
        </w:rPr>
      </w:pPr>
    </w:p>
    <w:p w14:paraId="689391E8" w14:textId="77777777" w:rsidR="006A7632" w:rsidRPr="0018095C" w:rsidRDefault="006A7632" w:rsidP="00D67707">
      <w:pPr>
        <w:spacing w:after="0" w:line="240" w:lineRule="auto"/>
        <w:jc w:val="both"/>
        <w:rPr>
          <w:rFonts w:cstheme="minorHAnsi"/>
          <w:sz w:val="24"/>
          <w:szCs w:val="24"/>
        </w:rPr>
      </w:pPr>
    </w:p>
    <w:p w14:paraId="04B2161B" w14:textId="77777777" w:rsidR="00FA48A0" w:rsidRDefault="00FA48A0" w:rsidP="00D67707">
      <w:pPr>
        <w:spacing w:after="0" w:line="240" w:lineRule="auto"/>
        <w:jc w:val="both"/>
        <w:rPr>
          <w:rFonts w:cstheme="minorHAnsi"/>
          <w:sz w:val="24"/>
          <w:szCs w:val="24"/>
        </w:rPr>
      </w:pPr>
    </w:p>
    <w:p w14:paraId="2C50170E" w14:textId="0EC6B09C" w:rsidR="005467D3" w:rsidRPr="0018095C" w:rsidRDefault="00DC6B60" w:rsidP="00D67707">
      <w:pPr>
        <w:spacing w:after="0" w:line="240" w:lineRule="auto"/>
        <w:jc w:val="both"/>
        <w:rPr>
          <w:rFonts w:cstheme="minorHAnsi"/>
          <w:sz w:val="24"/>
          <w:szCs w:val="24"/>
        </w:rPr>
      </w:pPr>
      <w:r w:rsidRPr="0018095C">
        <w:rPr>
          <w:rFonts w:cstheme="minorHAnsi"/>
          <w:sz w:val="24"/>
          <w:szCs w:val="24"/>
        </w:rPr>
        <w:t>This article</w:t>
      </w:r>
      <w:r w:rsidR="005467D3" w:rsidRPr="0018095C">
        <w:rPr>
          <w:rFonts w:cstheme="minorHAnsi"/>
          <w:sz w:val="24"/>
          <w:szCs w:val="24"/>
        </w:rPr>
        <w:t xml:space="preserve"> builds on existing studies and fills a gap in the literatures on citizenship </w:t>
      </w:r>
      <w:r w:rsidR="00DF24A2">
        <w:rPr>
          <w:rFonts w:cstheme="minorHAnsi"/>
          <w:sz w:val="24"/>
          <w:szCs w:val="24"/>
        </w:rPr>
        <w:t xml:space="preserve">– </w:t>
      </w:r>
      <w:r w:rsidR="005467D3" w:rsidRPr="0018095C">
        <w:rPr>
          <w:rFonts w:cstheme="minorHAnsi"/>
          <w:sz w:val="24"/>
          <w:szCs w:val="24"/>
        </w:rPr>
        <w:t xml:space="preserve">feminist and non-feminist alike – through its comparative examination of two MENA </w:t>
      </w:r>
      <w:r w:rsidR="00CB20A6">
        <w:rPr>
          <w:rFonts w:cstheme="minorHAnsi"/>
          <w:sz w:val="24"/>
          <w:szCs w:val="24"/>
        </w:rPr>
        <w:t xml:space="preserve">region </w:t>
      </w:r>
      <w:r w:rsidR="005467D3" w:rsidRPr="0018095C">
        <w:rPr>
          <w:rFonts w:cstheme="minorHAnsi"/>
          <w:sz w:val="24"/>
          <w:szCs w:val="24"/>
        </w:rPr>
        <w:t>cases of women’s citizenship rights: Tunisia and Iran. Both are Muslim-majority countries, one Arab</w:t>
      </w:r>
      <w:r w:rsidR="00DF24A2">
        <w:rPr>
          <w:rFonts w:cstheme="minorHAnsi"/>
          <w:sz w:val="24"/>
          <w:szCs w:val="24"/>
        </w:rPr>
        <w:t>,</w:t>
      </w:r>
      <w:r w:rsidR="005467D3" w:rsidRPr="0018095C">
        <w:rPr>
          <w:rFonts w:cstheme="minorHAnsi"/>
          <w:sz w:val="24"/>
          <w:szCs w:val="24"/>
        </w:rPr>
        <w:t xml:space="preserve"> the other non-Arab, with republican political systems. The public and private rights of women are very different</w:t>
      </w:r>
      <w:r w:rsidR="00C14D9E" w:rsidRPr="0018095C">
        <w:rPr>
          <w:rFonts w:cstheme="minorHAnsi"/>
          <w:sz w:val="24"/>
          <w:szCs w:val="24"/>
        </w:rPr>
        <w:t>: Tunisia is a signatory to the UN’s Convention on the Elimination of All Forms of Discrimination against Women (CEDAW</w:t>
      </w:r>
      <w:proofErr w:type="gramStart"/>
      <w:r w:rsidR="00C14D9E" w:rsidRPr="0018095C">
        <w:rPr>
          <w:rFonts w:cstheme="minorHAnsi"/>
          <w:sz w:val="24"/>
          <w:szCs w:val="24"/>
        </w:rPr>
        <w:t>)</w:t>
      </w:r>
      <w:proofErr w:type="gramEnd"/>
      <w:r w:rsidR="00C14D9E" w:rsidRPr="0018095C">
        <w:rPr>
          <w:rFonts w:cstheme="minorHAnsi"/>
          <w:sz w:val="24"/>
          <w:szCs w:val="24"/>
        </w:rPr>
        <w:t xml:space="preserve"> but Iran is not. In</w:t>
      </w:r>
      <w:r w:rsidR="005467D3" w:rsidRPr="0018095C">
        <w:rPr>
          <w:rFonts w:cstheme="minorHAnsi"/>
          <w:sz w:val="24"/>
          <w:szCs w:val="24"/>
        </w:rPr>
        <w:t xml:space="preserve"> both countries, </w:t>
      </w:r>
      <w:r w:rsidR="00C14D9E" w:rsidRPr="0018095C">
        <w:rPr>
          <w:rFonts w:cstheme="minorHAnsi"/>
          <w:sz w:val="24"/>
          <w:szCs w:val="24"/>
        </w:rPr>
        <w:t xml:space="preserve">however, </w:t>
      </w:r>
      <w:r w:rsidR="005467D3" w:rsidRPr="0018095C">
        <w:rPr>
          <w:rFonts w:cstheme="minorHAnsi"/>
          <w:sz w:val="24"/>
          <w:szCs w:val="24"/>
        </w:rPr>
        <w:t>women’s citizenship rights and practices are affected by international as well as domestic</w:t>
      </w:r>
      <w:r w:rsidR="004A2DEA" w:rsidRPr="0018095C">
        <w:rPr>
          <w:rFonts w:cstheme="minorHAnsi"/>
          <w:sz w:val="24"/>
          <w:szCs w:val="24"/>
        </w:rPr>
        <w:t xml:space="preserve"> factors and forces</w:t>
      </w:r>
      <w:r w:rsidR="005467D3" w:rsidRPr="0018095C">
        <w:rPr>
          <w:rFonts w:cstheme="minorHAnsi"/>
          <w:sz w:val="24"/>
          <w:szCs w:val="24"/>
        </w:rPr>
        <w:t xml:space="preserve">. As such, the paper makes two contributions. </w:t>
      </w:r>
    </w:p>
    <w:p w14:paraId="7FC40941" w14:textId="77777777" w:rsidR="008E660F" w:rsidRPr="0018095C" w:rsidRDefault="008E660F" w:rsidP="00D67707">
      <w:pPr>
        <w:spacing w:after="0" w:line="240" w:lineRule="auto"/>
        <w:jc w:val="both"/>
        <w:rPr>
          <w:rFonts w:cstheme="minorHAnsi"/>
          <w:sz w:val="24"/>
          <w:szCs w:val="24"/>
        </w:rPr>
      </w:pPr>
    </w:p>
    <w:p w14:paraId="17912F6F" w14:textId="0E894800" w:rsidR="005467D3" w:rsidRPr="0018095C" w:rsidRDefault="005467D3" w:rsidP="00D67707">
      <w:pPr>
        <w:spacing w:after="0" w:line="240" w:lineRule="auto"/>
        <w:jc w:val="both"/>
        <w:rPr>
          <w:rFonts w:cstheme="minorHAnsi"/>
          <w:sz w:val="24"/>
          <w:szCs w:val="24"/>
        </w:rPr>
      </w:pPr>
      <w:r w:rsidRPr="0018095C">
        <w:rPr>
          <w:rFonts w:cstheme="minorHAnsi"/>
          <w:sz w:val="24"/>
          <w:szCs w:val="24"/>
        </w:rPr>
        <w:t xml:space="preserve">First, it provides an analysis of two divergent cases of women’s citizenship in the MENA region. The two country cases exemplify the variance across the region, in that women’s legal rights are far more advanced and institutionalized in Tunisia than in Iran. The paper delves into </w:t>
      </w:r>
      <w:r w:rsidR="008D177A">
        <w:rPr>
          <w:rFonts w:cstheme="minorHAnsi"/>
          <w:sz w:val="24"/>
          <w:szCs w:val="24"/>
        </w:rPr>
        <w:t xml:space="preserve">the </w:t>
      </w:r>
      <w:r w:rsidRPr="0018095C">
        <w:rPr>
          <w:rFonts w:cstheme="minorHAnsi"/>
          <w:sz w:val="24"/>
          <w:szCs w:val="24"/>
        </w:rPr>
        <w:t xml:space="preserve">details of each case, showing how women’s citizenship </w:t>
      </w:r>
      <w:r w:rsidR="002248A2" w:rsidRPr="0018095C">
        <w:rPr>
          <w:rFonts w:cstheme="minorHAnsi"/>
          <w:sz w:val="24"/>
          <w:szCs w:val="24"/>
        </w:rPr>
        <w:t>has</w:t>
      </w:r>
      <w:r w:rsidRPr="0018095C">
        <w:rPr>
          <w:rFonts w:cstheme="minorHAnsi"/>
          <w:sz w:val="24"/>
          <w:szCs w:val="24"/>
        </w:rPr>
        <w:t xml:space="preserve"> evolved over time.</w:t>
      </w:r>
      <w:r w:rsidR="00875690" w:rsidRPr="0018095C">
        <w:rPr>
          <w:rFonts w:cstheme="minorHAnsi"/>
          <w:sz w:val="24"/>
          <w:szCs w:val="24"/>
        </w:rPr>
        <w:t xml:space="preserve"> </w:t>
      </w:r>
      <w:r w:rsidRPr="0018095C">
        <w:rPr>
          <w:rFonts w:cstheme="minorHAnsi"/>
          <w:sz w:val="24"/>
          <w:szCs w:val="24"/>
        </w:rPr>
        <w:t xml:space="preserve">This includes elucidating the acts of citizenship employed by organized and individual women in both countries and explaining how social and political structures shape those mobilizations and the practice of full citizenship. Women’s capacity to defend or expand their citizenship rights </w:t>
      </w:r>
      <w:r w:rsidR="00530FD6" w:rsidRPr="0018095C">
        <w:rPr>
          <w:rFonts w:cstheme="minorHAnsi"/>
          <w:sz w:val="24"/>
          <w:szCs w:val="24"/>
        </w:rPr>
        <w:t>is</w:t>
      </w:r>
      <w:r w:rsidRPr="0018095C">
        <w:rPr>
          <w:rFonts w:cstheme="minorHAnsi"/>
          <w:sz w:val="24"/>
          <w:szCs w:val="24"/>
        </w:rPr>
        <w:t xml:space="preserve"> increased through their ability to build broad-based constituencies, deploy resonant disc</w:t>
      </w:r>
      <w:r w:rsidR="00A84381" w:rsidRPr="0018095C">
        <w:rPr>
          <w:rFonts w:cstheme="minorHAnsi"/>
          <w:sz w:val="24"/>
          <w:szCs w:val="24"/>
        </w:rPr>
        <w:t>ourses</w:t>
      </w:r>
      <w:r w:rsidRPr="0018095C">
        <w:rPr>
          <w:rFonts w:cstheme="minorHAnsi"/>
          <w:sz w:val="24"/>
          <w:szCs w:val="24"/>
        </w:rPr>
        <w:t>, and develop organizational coalitions</w:t>
      </w:r>
      <w:r w:rsidR="00A84381" w:rsidRPr="0018095C">
        <w:rPr>
          <w:rFonts w:cstheme="minorHAnsi"/>
          <w:sz w:val="24"/>
          <w:szCs w:val="24"/>
        </w:rPr>
        <w:t>.</w:t>
      </w:r>
      <w:r w:rsidRPr="0018095C">
        <w:rPr>
          <w:rFonts w:cstheme="minorHAnsi"/>
          <w:sz w:val="24"/>
          <w:szCs w:val="24"/>
        </w:rPr>
        <w:t xml:space="preserve"> </w:t>
      </w:r>
    </w:p>
    <w:p w14:paraId="1701072C" w14:textId="77777777" w:rsidR="008E660F" w:rsidRPr="0018095C" w:rsidRDefault="008E660F" w:rsidP="00D67707">
      <w:pPr>
        <w:spacing w:after="0" w:line="240" w:lineRule="auto"/>
        <w:jc w:val="both"/>
        <w:rPr>
          <w:rFonts w:cstheme="minorHAnsi"/>
          <w:sz w:val="24"/>
          <w:szCs w:val="24"/>
        </w:rPr>
      </w:pPr>
    </w:p>
    <w:p w14:paraId="37D56368" w14:textId="3A9D260B" w:rsidR="005467D3" w:rsidRPr="0018095C" w:rsidRDefault="005467D3" w:rsidP="00D67707">
      <w:pPr>
        <w:spacing w:after="0" w:line="240" w:lineRule="auto"/>
        <w:jc w:val="both"/>
        <w:rPr>
          <w:rFonts w:cstheme="minorHAnsi"/>
          <w:sz w:val="24"/>
          <w:szCs w:val="24"/>
        </w:rPr>
      </w:pPr>
      <w:r w:rsidRPr="0018095C">
        <w:rPr>
          <w:rFonts w:cstheme="minorHAnsi"/>
          <w:sz w:val="24"/>
          <w:szCs w:val="24"/>
        </w:rPr>
        <w:t xml:space="preserve">The </w:t>
      </w:r>
      <w:r w:rsidR="00EF7C8A" w:rsidRPr="0018095C">
        <w:rPr>
          <w:rFonts w:cstheme="minorHAnsi"/>
          <w:sz w:val="24"/>
          <w:szCs w:val="24"/>
        </w:rPr>
        <w:t>article’s</w:t>
      </w:r>
      <w:r w:rsidRPr="0018095C">
        <w:rPr>
          <w:rFonts w:cstheme="minorHAnsi"/>
          <w:sz w:val="24"/>
          <w:szCs w:val="24"/>
        </w:rPr>
        <w:t xml:space="preserve"> second contribution is to </w:t>
      </w:r>
      <w:r w:rsidR="002248A2" w:rsidRPr="0018095C">
        <w:rPr>
          <w:rFonts w:cstheme="minorHAnsi"/>
          <w:sz w:val="24"/>
          <w:szCs w:val="24"/>
        </w:rPr>
        <w:t>demonstrate</w:t>
      </w:r>
      <w:r w:rsidRPr="0018095C">
        <w:rPr>
          <w:rFonts w:cstheme="minorHAnsi"/>
          <w:sz w:val="24"/>
          <w:szCs w:val="24"/>
        </w:rPr>
        <w:t xml:space="preserve"> the salience of international factors in citizenship. </w:t>
      </w:r>
      <w:r w:rsidR="002D6FAE" w:rsidRPr="0018095C">
        <w:rPr>
          <w:rFonts w:cstheme="minorHAnsi"/>
          <w:sz w:val="24"/>
          <w:szCs w:val="24"/>
        </w:rPr>
        <w:t>As noted, r</w:t>
      </w:r>
      <w:r w:rsidRPr="0018095C">
        <w:rPr>
          <w:rFonts w:cstheme="minorHAnsi"/>
          <w:sz w:val="24"/>
          <w:szCs w:val="24"/>
        </w:rPr>
        <w:t xml:space="preserve">esearch has </w:t>
      </w:r>
      <w:r w:rsidR="00D06431">
        <w:rPr>
          <w:rFonts w:cstheme="minorHAnsi"/>
          <w:sz w:val="24"/>
          <w:szCs w:val="24"/>
        </w:rPr>
        <w:t>established</w:t>
      </w:r>
      <w:r w:rsidRPr="0018095C">
        <w:rPr>
          <w:rFonts w:cstheme="minorHAnsi"/>
          <w:sz w:val="24"/>
          <w:szCs w:val="24"/>
        </w:rPr>
        <w:t xml:space="preserve"> the </w:t>
      </w:r>
      <w:r w:rsidR="007A14DC" w:rsidRPr="0018095C">
        <w:rPr>
          <w:rFonts w:cstheme="minorHAnsi"/>
          <w:sz w:val="24"/>
          <w:szCs w:val="24"/>
        </w:rPr>
        <w:t>significance</w:t>
      </w:r>
      <w:r w:rsidRPr="0018095C">
        <w:rPr>
          <w:rFonts w:cstheme="minorHAnsi"/>
          <w:sz w:val="24"/>
          <w:szCs w:val="24"/>
        </w:rPr>
        <w:t xml:space="preserve"> of international </w:t>
      </w:r>
      <w:proofErr w:type="spellStart"/>
      <w:r w:rsidRPr="0018095C">
        <w:rPr>
          <w:rFonts w:cstheme="minorHAnsi"/>
          <w:sz w:val="24"/>
          <w:szCs w:val="24"/>
        </w:rPr>
        <w:t>oganizations</w:t>
      </w:r>
      <w:proofErr w:type="spellEnd"/>
      <w:r w:rsidRPr="0018095C">
        <w:rPr>
          <w:rFonts w:cstheme="minorHAnsi"/>
          <w:sz w:val="24"/>
          <w:szCs w:val="24"/>
        </w:rPr>
        <w:t xml:space="preserve"> and treaty ratification in enhanc</w:t>
      </w:r>
      <w:r w:rsidR="00725C25">
        <w:rPr>
          <w:rFonts w:cstheme="minorHAnsi"/>
          <w:sz w:val="24"/>
          <w:szCs w:val="24"/>
        </w:rPr>
        <w:t>ing</w:t>
      </w:r>
      <w:r w:rsidRPr="0018095C">
        <w:rPr>
          <w:rFonts w:cstheme="minorHAnsi"/>
          <w:sz w:val="24"/>
          <w:szCs w:val="24"/>
        </w:rPr>
        <w:t xml:space="preserve"> women’s rights </w:t>
      </w:r>
      <w:r w:rsidR="003E784F">
        <w:rPr>
          <w:rFonts w:cstheme="minorHAnsi"/>
          <w:sz w:val="24"/>
          <w:szCs w:val="24"/>
        </w:rPr>
        <w:t>to</w:t>
      </w:r>
      <w:r w:rsidR="003E784F" w:rsidRPr="0018095C">
        <w:rPr>
          <w:rFonts w:cstheme="minorHAnsi"/>
          <w:sz w:val="24"/>
          <w:szCs w:val="24"/>
        </w:rPr>
        <w:t xml:space="preserve"> </w:t>
      </w:r>
      <w:r w:rsidRPr="0018095C">
        <w:rPr>
          <w:rFonts w:cstheme="minorHAnsi"/>
          <w:sz w:val="24"/>
          <w:szCs w:val="24"/>
        </w:rPr>
        <w:t>political, social, and economic citizenship</w:t>
      </w:r>
      <w:r w:rsidR="00725C25">
        <w:rPr>
          <w:rFonts w:cstheme="minorHAnsi"/>
          <w:sz w:val="24"/>
          <w:szCs w:val="24"/>
        </w:rPr>
        <w:t>;</w:t>
      </w:r>
      <w:r w:rsidRPr="0018095C">
        <w:rPr>
          <w:rFonts w:cstheme="minorHAnsi"/>
          <w:sz w:val="24"/>
          <w:szCs w:val="24"/>
        </w:rPr>
        <w:t xml:space="preserve"> </w:t>
      </w:r>
      <w:r w:rsidR="00173B42" w:rsidRPr="00DE6DA7">
        <w:rPr>
          <w:rFonts w:cstheme="minorHAnsi"/>
          <w:sz w:val="24"/>
          <w:szCs w:val="24"/>
        </w:rPr>
        <w:t xml:space="preserve">however, </w:t>
      </w:r>
      <w:r w:rsidR="00725C25">
        <w:rPr>
          <w:rFonts w:cstheme="minorHAnsi"/>
          <w:sz w:val="24"/>
          <w:szCs w:val="24"/>
        </w:rPr>
        <w:t>the</w:t>
      </w:r>
      <w:r w:rsidRPr="0018095C">
        <w:rPr>
          <w:rFonts w:cstheme="minorHAnsi"/>
          <w:sz w:val="24"/>
          <w:szCs w:val="24"/>
        </w:rPr>
        <w:t xml:space="preserve"> more negative outcomes are under-researched.</w:t>
      </w:r>
      <w:r w:rsidR="00875690" w:rsidRPr="0018095C">
        <w:rPr>
          <w:rFonts w:cstheme="minorHAnsi"/>
          <w:sz w:val="24"/>
          <w:szCs w:val="24"/>
        </w:rPr>
        <w:t xml:space="preserve"> </w:t>
      </w:r>
      <w:r w:rsidRPr="0018095C">
        <w:rPr>
          <w:rFonts w:cstheme="minorHAnsi"/>
          <w:sz w:val="24"/>
          <w:szCs w:val="24"/>
        </w:rPr>
        <w:t xml:space="preserve">In Iran’s case, </w:t>
      </w:r>
      <w:r w:rsidR="001F721B" w:rsidRPr="0018095C">
        <w:rPr>
          <w:rFonts w:cstheme="minorHAnsi"/>
          <w:sz w:val="24"/>
          <w:szCs w:val="24"/>
        </w:rPr>
        <w:t>t</w:t>
      </w:r>
      <w:r w:rsidRPr="0018095C">
        <w:rPr>
          <w:rFonts w:cstheme="minorHAnsi"/>
          <w:sz w:val="24"/>
          <w:szCs w:val="24"/>
        </w:rPr>
        <w:t xml:space="preserve">he application of harsh US sanctions over time and the US withdrawal from the 2015 nuclear agreement (the Joint </w:t>
      </w:r>
      <w:r w:rsidRPr="0018095C">
        <w:rPr>
          <w:rFonts w:cstheme="minorHAnsi"/>
          <w:sz w:val="24"/>
          <w:szCs w:val="24"/>
        </w:rPr>
        <w:lastRenderedPageBreak/>
        <w:t xml:space="preserve">Comprehensive Plan of Action, or JCPOA) have strengthened domestic right-wing forces in Iran and served to impede or reverse progress on women’s participation and rights. Progress was halted on a bill to address violence against women, and the new hardliner president </w:t>
      </w:r>
      <w:r w:rsidR="002248A2" w:rsidRPr="0018095C">
        <w:rPr>
          <w:rFonts w:cstheme="minorHAnsi"/>
          <w:sz w:val="24"/>
          <w:szCs w:val="24"/>
        </w:rPr>
        <w:t xml:space="preserve">in 2021 </w:t>
      </w:r>
      <w:r w:rsidRPr="0018095C">
        <w:rPr>
          <w:rFonts w:cstheme="minorHAnsi"/>
          <w:sz w:val="24"/>
          <w:szCs w:val="24"/>
        </w:rPr>
        <w:t>called for stricter enforcement of compulsory veiling</w:t>
      </w:r>
      <w:r w:rsidR="00DC6B60" w:rsidRPr="0018095C">
        <w:rPr>
          <w:rFonts w:cstheme="minorHAnsi"/>
          <w:sz w:val="24"/>
          <w:szCs w:val="24"/>
        </w:rPr>
        <w:t xml:space="preserve"> – which led to the tragic death of Mahsa Jina Amina the following year</w:t>
      </w:r>
      <w:r w:rsidRPr="0018095C">
        <w:rPr>
          <w:rFonts w:cstheme="minorHAnsi"/>
          <w:sz w:val="24"/>
          <w:szCs w:val="24"/>
        </w:rPr>
        <w:t xml:space="preserve">. In Tunisia’s case, a widely admired democratic transition and emergent gender regime moving in an egalitarian direction was </w:t>
      </w:r>
      <w:proofErr w:type="spellStart"/>
      <w:r w:rsidRPr="0018095C">
        <w:rPr>
          <w:rFonts w:cstheme="minorHAnsi"/>
          <w:sz w:val="24"/>
          <w:szCs w:val="24"/>
        </w:rPr>
        <w:t>imperil</w:t>
      </w:r>
      <w:r w:rsidR="00530FD6" w:rsidRPr="0018095C">
        <w:rPr>
          <w:rFonts w:cstheme="minorHAnsi"/>
          <w:sz w:val="24"/>
          <w:szCs w:val="24"/>
        </w:rPr>
        <w:t>l</w:t>
      </w:r>
      <w:r w:rsidRPr="0018095C">
        <w:rPr>
          <w:rFonts w:cstheme="minorHAnsi"/>
          <w:sz w:val="24"/>
          <w:szCs w:val="24"/>
        </w:rPr>
        <w:t>ed</w:t>
      </w:r>
      <w:proofErr w:type="spellEnd"/>
      <w:r w:rsidRPr="0018095C">
        <w:rPr>
          <w:rFonts w:cstheme="minorHAnsi"/>
          <w:sz w:val="24"/>
          <w:szCs w:val="24"/>
        </w:rPr>
        <w:t xml:space="preserve"> by the country’s persistent unemployment, high debt burden, and lack of adequate international development cooperation</w:t>
      </w:r>
      <w:r w:rsidR="00EF7C8A" w:rsidRPr="0018095C">
        <w:rPr>
          <w:rFonts w:cstheme="minorHAnsi"/>
          <w:sz w:val="24"/>
          <w:szCs w:val="24"/>
        </w:rPr>
        <w:t>, including foreign direct investment</w:t>
      </w:r>
      <w:r w:rsidRPr="0018095C">
        <w:rPr>
          <w:rFonts w:cstheme="minorHAnsi"/>
          <w:sz w:val="24"/>
          <w:szCs w:val="24"/>
        </w:rPr>
        <w:t xml:space="preserve">. The ensuing political dysfunction resulted in the presidential coup of June 2021, whereby President Kais Saied assumed vastly greater executive powers. In both Iran and Tunisia, therefore, women’s citizenship rights are subject to both domestic and international factors and forces. </w:t>
      </w:r>
    </w:p>
    <w:p w14:paraId="6F48FFBF" w14:textId="77777777" w:rsidR="003C7823" w:rsidRDefault="003C7823" w:rsidP="00D67707">
      <w:pPr>
        <w:spacing w:after="0" w:line="240" w:lineRule="auto"/>
        <w:jc w:val="both"/>
        <w:rPr>
          <w:rFonts w:cstheme="minorHAnsi"/>
          <w:b/>
          <w:bCs/>
          <w:sz w:val="24"/>
          <w:szCs w:val="24"/>
        </w:rPr>
      </w:pPr>
    </w:p>
    <w:p w14:paraId="6971BAC3" w14:textId="77777777" w:rsidR="008D177A" w:rsidRPr="0018095C" w:rsidRDefault="008D177A" w:rsidP="00D67707">
      <w:pPr>
        <w:spacing w:after="0" w:line="240" w:lineRule="auto"/>
        <w:jc w:val="both"/>
        <w:rPr>
          <w:rFonts w:cstheme="minorHAnsi"/>
          <w:b/>
          <w:bCs/>
          <w:sz w:val="24"/>
          <w:szCs w:val="24"/>
        </w:rPr>
      </w:pPr>
    </w:p>
    <w:p w14:paraId="7FD660CE" w14:textId="3348148C" w:rsidR="00CB5016" w:rsidRPr="0018095C" w:rsidRDefault="009024A5" w:rsidP="00F8487A">
      <w:pPr>
        <w:pStyle w:val="Heading2"/>
      </w:pPr>
      <w:r w:rsidRPr="0018095C">
        <w:t xml:space="preserve">Women and Citizenship Rights: </w:t>
      </w:r>
      <w:r w:rsidR="000F7929" w:rsidRPr="0018095C">
        <w:t>Comparing Iran and Tunisia</w:t>
      </w:r>
    </w:p>
    <w:p w14:paraId="14F075D1" w14:textId="77777777" w:rsidR="0012053B" w:rsidRPr="0018095C" w:rsidRDefault="0012053B" w:rsidP="00D67707">
      <w:pPr>
        <w:spacing w:after="0" w:line="240" w:lineRule="auto"/>
        <w:jc w:val="both"/>
        <w:rPr>
          <w:rFonts w:cstheme="minorHAnsi"/>
          <w:b/>
          <w:bCs/>
          <w:sz w:val="24"/>
          <w:szCs w:val="24"/>
        </w:rPr>
      </w:pPr>
    </w:p>
    <w:p w14:paraId="27BDBE97" w14:textId="0AC78780" w:rsidR="00DB1940" w:rsidRPr="0018095C" w:rsidRDefault="009B5E44" w:rsidP="00D67707">
      <w:pPr>
        <w:spacing w:after="0" w:line="240" w:lineRule="auto"/>
        <w:jc w:val="both"/>
        <w:rPr>
          <w:rFonts w:cstheme="minorHAnsi"/>
          <w:sz w:val="24"/>
          <w:szCs w:val="24"/>
        </w:rPr>
      </w:pPr>
      <w:r w:rsidRPr="0018095C">
        <w:rPr>
          <w:rFonts w:cstheme="minorHAnsi"/>
          <w:sz w:val="24"/>
          <w:szCs w:val="24"/>
        </w:rPr>
        <w:t>B</w:t>
      </w:r>
      <w:r w:rsidR="00676481" w:rsidRPr="0018095C">
        <w:rPr>
          <w:rFonts w:cstheme="minorHAnsi"/>
          <w:sz w:val="24"/>
          <w:szCs w:val="24"/>
        </w:rPr>
        <w:t>oth Tunisia and Iran</w:t>
      </w:r>
      <w:r w:rsidR="00676481" w:rsidRPr="00173B42">
        <w:rPr>
          <w:rFonts w:cstheme="minorHAnsi"/>
          <w:color w:val="EE0000"/>
          <w:sz w:val="24"/>
          <w:szCs w:val="24"/>
        </w:rPr>
        <w:t xml:space="preserve"> </w:t>
      </w:r>
      <w:r w:rsidR="00173B42" w:rsidRPr="005C0673">
        <w:rPr>
          <w:rFonts w:cstheme="minorHAnsi"/>
          <w:sz w:val="24"/>
          <w:szCs w:val="24"/>
        </w:rPr>
        <w:t>experienced</w:t>
      </w:r>
      <w:r w:rsidR="00173B42" w:rsidRPr="00173B42">
        <w:rPr>
          <w:rFonts w:cstheme="minorHAnsi"/>
          <w:color w:val="EE0000"/>
          <w:sz w:val="24"/>
          <w:szCs w:val="24"/>
        </w:rPr>
        <w:t xml:space="preserve"> </w:t>
      </w:r>
      <w:r w:rsidR="00676481" w:rsidRPr="0018095C">
        <w:rPr>
          <w:rFonts w:cstheme="minorHAnsi"/>
          <w:sz w:val="24"/>
          <w:szCs w:val="24"/>
        </w:rPr>
        <w:t xml:space="preserve">a period of </w:t>
      </w:r>
      <w:r w:rsidR="002248A2" w:rsidRPr="0018095C">
        <w:rPr>
          <w:rFonts w:cstheme="minorHAnsi"/>
          <w:sz w:val="24"/>
          <w:szCs w:val="24"/>
        </w:rPr>
        <w:t>‘</w:t>
      </w:r>
      <w:r w:rsidR="00676481" w:rsidRPr="0018095C">
        <w:rPr>
          <w:rFonts w:cstheme="minorHAnsi"/>
          <w:sz w:val="24"/>
          <w:szCs w:val="24"/>
        </w:rPr>
        <w:t>state feminism</w:t>
      </w:r>
      <w:r w:rsidR="002248A2" w:rsidRPr="0018095C">
        <w:rPr>
          <w:rFonts w:cstheme="minorHAnsi"/>
          <w:sz w:val="24"/>
          <w:szCs w:val="24"/>
        </w:rPr>
        <w:t>’</w:t>
      </w:r>
      <w:r w:rsidR="003E2FF5" w:rsidRPr="0018095C">
        <w:rPr>
          <w:rFonts w:cstheme="minorHAnsi"/>
          <w:sz w:val="24"/>
          <w:szCs w:val="24"/>
        </w:rPr>
        <w:t xml:space="preserve"> in the 1960s and 1970s</w:t>
      </w:r>
      <w:r w:rsidR="00676481" w:rsidRPr="0018095C">
        <w:rPr>
          <w:rFonts w:cstheme="minorHAnsi"/>
          <w:sz w:val="24"/>
          <w:szCs w:val="24"/>
        </w:rPr>
        <w:t xml:space="preserve">, </w:t>
      </w:r>
      <w:r w:rsidRPr="0018095C">
        <w:rPr>
          <w:rFonts w:cstheme="minorHAnsi"/>
          <w:sz w:val="24"/>
          <w:szCs w:val="24"/>
        </w:rPr>
        <w:t xml:space="preserve">although </w:t>
      </w:r>
      <w:r w:rsidR="00676481" w:rsidRPr="0018095C">
        <w:rPr>
          <w:rFonts w:cstheme="minorHAnsi"/>
          <w:sz w:val="24"/>
          <w:szCs w:val="24"/>
        </w:rPr>
        <w:t>Tunisia started</w:t>
      </w:r>
      <w:r w:rsidR="003E2FF5" w:rsidRPr="0018095C">
        <w:rPr>
          <w:rFonts w:cstheme="minorHAnsi"/>
          <w:sz w:val="24"/>
          <w:szCs w:val="24"/>
        </w:rPr>
        <w:t xml:space="preserve"> </w:t>
      </w:r>
      <w:r w:rsidR="00676481" w:rsidRPr="0018095C">
        <w:rPr>
          <w:rFonts w:cstheme="minorHAnsi"/>
          <w:sz w:val="24"/>
          <w:szCs w:val="24"/>
        </w:rPr>
        <w:t>earlier</w:t>
      </w:r>
      <w:r w:rsidR="00EF7C8A" w:rsidRPr="0018095C">
        <w:rPr>
          <w:rFonts w:cstheme="minorHAnsi"/>
          <w:sz w:val="24"/>
          <w:szCs w:val="24"/>
        </w:rPr>
        <w:t>, in 1956,</w:t>
      </w:r>
      <w:r w:rsidR="00676481" w:rsidRPr="0018095C">
        <w:rPr>
          <w:rFonts w:cstheme="minorHAnsi"/>
          <w:sz w:val="24"/>
          <w:szCs w:val="24"/>
        </w:rPr>
        <w:t xml:space="preserve"> under </w:t>
      </w:r>
      <w:r w:rsidRPr="0018095C">
        <w:rPr>
          <w:rFonts w:cstheme="minorHAnsi"/>
          <w:sz w:val="24"/>
          <w:szCs w:val="24"/>
        </w:rPr>
        <w:t xml:space="preserve">its first president, </w:t>
      </w:r>
      <w:r w:rsidR="008607D2" w:rsidRPr="0018095C">
        <w:rPr>
          <w:rFonts w:cstheme="minorHAnsi"/>
          <w:sz w:val="24"/>
          <w:szCs w:val="24"/>
        </w:rPr>
        <w:t xml:space="preserve">French-educated lawyer Habib </w:t>
      </w:r>
      <w:r w:rsidR="00676481" w:rsidRPr="0018095C">
        <w:rPr>
          <w:rFonts w:cstheme="minorHAnsi"/>
          <w:sz w:val="24"/>
          <w:szCs w:val="24"/>
        </w:rPr>
        <w:t>Bourguiba</w:t>
      </w:r>
      <w:r w:rsidR="00780686" w:rsidRPr="0018095C">
        <w:rPr>
          <w:rFonts w:cstheme="minorHAnsi"/>
          <w:sz w:val="24"/>
          <w:szCs w:val="24"/>
        </w:rPr>
        <w:t xml:space="preserve">. </w:t>
      </w:r>
      <w:r w:rsidR="008607D2" w:rsidRPr="0018095C">
        <w:rPr>
          <w:rFonts w:cstheme="minorHAnsi"/>
          <w:sz w:val="24"/>
          <w:szCs w:val="24"/>
        </w:rPr>
        <w:t xml:space="preserve">Internal dynamics explain much of what occurred, </w:t>
      </w:r>
      <w:r w:rsidR="00CC1082" w:rsidRPr="0018095C">
        <w:rPr>
          <w:rFonts w:cstheme="minorHAnsi"/>
          <w:sz w:val="24"/>
          <w:szCs w:val="24"/>
        </w:rPr>
        <w:t>as Mounira Charrad has explained in her comparative study of post-colonial Algeria, Morocco, and Tunisia,</w:t>
      </w:r>
      <w:r w:rsidR="00CC1082" w:rsidRPr="0018095C">
        <w:rPr>
          <w:rStyle w:val="FootnoteReference"/>
          <w:rFonts w:cstheme="minorHAnsi"/>
          <w:sz w:val="24"/>
          <w:szCs w:val="24"/>
        </w:rPr>
        <w:footnoteReference w:id="19"/>
      </w:r>
      <w:r w:rsidR="00CC1082" w:rsidRPr="0018095C">
        <w:rPr>
          <w:rFonts w:cstheme="minorHAnsi"/>
          <w:sz w:val="24"/>
          <w:szCs w:val="24"/>
        </w:rPr>
        <w:t xml:space="preserve"> </w:t>
      </w:r>
      <w:r w:rsidR="008607D2" w:rsidRPr="0018095C">
        <w:rPr>
          <w:rFonts w:cstheme="minorHAnsi"/>
          <w:sz w:val="24"/>
          <w:szCs w:val="24"/>
        </w:rPr>
        <w:t xml:space="preserve">but those </w:t>
      </w:r>
      <w:r w:rsidR="00CC1082" w:rsidRPr="0018095C">
        <w:rPr>
          <w:rFonts w:cstheme="minorHAnsi"/>
          <w:sz w:val="24"/>
          <w:szCs w:val="24"/>
        </w:rPr>
        <w:t xml:space="preserve">dynamics </w:t>
      </w:r>
      <w:r w:rsidR="008607D2" w:rsidRPr="0018095C">
        <w:rPr>
          <w:rFonts w:cstheme="minorHAnsi"/>
          <w:sz w:val="24"/>
          <w:szCs w:val="24"/>
        </w:rPr>
        <w:t xml:space="preserve">were also influenced by developments in world society. One was the demonstration effect of the official policy of women’s equality in the </w:t>
      </w:r>
      <w:r w:rsidR="007A14DC" w:rsidRPr="0018095C">
        <w:rPr>
          <w:rFonts w:cstheme="minorHAnsi"/>
          <w:sz w:val="24"/>
          <w:szCs w:val="24"/>
        </w:rPr>
        <w:t>C</w:t>
      </w:r>
      <w:r w:rsidR="008607D2" w:rsidRPr="0018095C">
        <w:rPr>
          <w:rFonts w:cstheme="minorHAnsi"/>
          <w:sz w:val="24"/>
          <w:szCs w:val="24"/>
        </w:rPr>
        <w:t xml:space="preserve">ommunist bloc, with women playing a wider array of roles in the economy and polity, along with the launch of state-funded women’s organizations under the umbrella of the </w:t>
      </w:r>
      <w:r w:rsidR="007A14DC" w:rsidRPr="0018095C">
        <w:rPr>
          <w:rFonts w:cstheme="minorHAnsi"/>
          <w:sz w:val="24"/>
          <w:szCs w:val="24"/>
        </w:rPr>
        <w:t>C</w:t>
      </w:r>
      <w:r w:rsidR="00F8298A" w:rsidRPr="0018095C">
        <w:rPr>
          <w:rFonts w:cstheme="minorHAnsi"/>
          <w:sz w:val="24"/>
          <w:szCs w:val="24"/>
        </w:rPr>
        <w:t xml:space="preserve">ommunist-affiliated </w:t>
      </w:r>
      <w:r w:rsidR="008607D2" w:rsidRPr="0018095C">
        <w:rPr>
          <w:rFonts w:cstheme="minorHAnsi"/>
          <w:sz w:val="24"/>
          <w:szCs w:val="24"/>
        </w:rPr>
        <w:t>Women’s International Democratic Federation</w:t>
      </w:r>
      <w:r w:rsidR="007B0A18" w:rsidRPr="0018095C">
        <w:rPr>
          <w:rFonts w:cstheme="minorHAnsi"/>
          <w:sz w:val="24"/>
          <w:szCs w:val="24"/>
        </w:rPr>
        <w:t>.</w:t>
      </w:r>
      <w:r w:rsidR="006E061D" w:rsidRPr="0018095C">
        <w:rPr>
          <w:rStyle w:val="FootnoteReference"/>
          <w:rFonts w:cstheme="minorHAnsi"/>
          <w:sz w:val="24"/>
          <w:szCs w:val="24"/>
        </w:rPr>
        <w:footnoteReference w:id="20"/>
      </w:r>
      <w:r w:rsidR="00276194" w:rsidRPr="0018095C">
        <w:rPr>
          <w:rFonts w:cstheme="minorHAnsi"/>
          <w:sz w:val="24"/>
          <w:szCs w:val="24"/>
        </w:rPr>
        <w:t xml:space="preserve"> </w:t>
      </w:r>
      <w:r w:rsidR="008607D2" w:rsidRPr="0018095C">
        <w:rPr>
          <w:rFonts w:cstheme="minorHAnsi"/>
          <w:sz w:val="24"/>
          <w:szCs w:val="24"/>
        </w:rPr>
        <w:t>A</w:t>
      </w:r>
      <w:r w:rsidR="00DB1940" w:rsidRPr="0018095C">
        <w:rPr>
          <w:rFonts w:cstheme="minorHAnsi"/>
          <w:sz w:val="24"/>
          <w:szCs w:val="24"/>
        </w:rPr>
        <w:t xml:space="preserve">nother </w:t>
      </w:r>
      <w:r w:rsidR="005467D3" w:rsidRPr="0018095C">
        <w:rPr>
          <w:rFonts w:cstheme="minorHAnsi"/>
          <w:sz w:val="24"/>
          <w:szCs w:val="24"/>
        </w:rPr>
        <w:t xml:space="preserve">international influence </w:t>
      </w:r>
      <w:r w:rsidR="00DB1940" w:rsidRPr="0018095C">
        <w:rPr>
          <w:rFonts w:cstheme="minorHAnsi"/>
          <w:sz w:val="24"/>
          <w:szCs w:val="24"/>
        </w:rPr>
        <w:t>was the</w:t>
      </w:r>
      <w:r w:rsidR="008607D2" w:rsidRPr="0018095C">
        <w:rPr>
          <w:rFonts w:cstheme="minorHAnsi"/>
          <w:sz w:val="24"/>
          <w:szCs w:val="24"/>
        </w:rPr>
        <w:t xml:space="preserve"> series of international </w:t>
      </w:r>
      <w:r w:rsidR="003E2FF5" w:rsidRPr="0018095C">
        <w:rPr>
          <w:rFonts w:cstheme="minorHAnsi"/>
          <w:sz w:val="24"/>
          <w:szCs w:val="24"/>
        </w:rPr>
        <w:t xml:space="preserve">meetings and </w:t>
      </w:r>
      <w:r w:rsidR="008607D2" w:rsidRPr="0018095C">
        <w:rPr>
          <w:rFonts w:cstheme="minorHAnsi"/>
          <w:sz w:val="24"/>
          <w:szCs w:val="24"/>
        </w:rPr>
        <w:t>agreements under the rubric of the UN</w:t>
      </w:r>
      <w:r w:rsidR="0052538F" w:rsidRPr="0018095C">
        <w:rPr>
          <w:rFonts w:cstheme="minorHAnsi"/>
          <w:sz w:val="24"/>
          <w:szCs w:val="24"/>
        </w:rPr>
        <w:t xml:space="preserve">, </w:t>
      </w:r>
      <w:r w:rsidR="003E2FF5" w:rsidRPr="0018095C">
        <w:rPr>
          <w:rFonts w:cstheme="minorHAnsi"/>
          <w:sz w:val="24"/>
          <w:szCs w:val="24"/>
        </w:rPr>
        <w:t xml:space="preserve">starting with the Commission on the Status of Women, launched in 1946, followed by </w:t>
      </w:r>
      <w:r w:rsidR="0052538F" w:rsidRPr="0018095C">
        <w:rPr>
          <w:rFonts w:cstheme="minorHAnsi"/>
          <w:sz w:val="24"/>
          <w:szCs w:val="24"/>
        </w:rPr>
        <w:t>t</w:t>
      </w:r>
      <w:r w:rsidR="008607D2" w:rsidRPr="0018095C">
        <w:rPr>
          <w:rFonts w:cstheme="minorHAnsi"/>
          <w:sz w:val="24"/>
          <w:szCs w:val="24"/>
        </w:rPr>
        <w:t xml:space="preserve">he 1954 </w:t>
      </w:r>
      <w:r w:rsidR="007B0A18" w:rsidRPr="0018095C">
        <w:rPr>
          <w:rFonts w:cstheme="minorHAnsi"/>
          <w:sz w:val="24"/>
          <w:szCs w:val="24"/>
        </w:rPr>
        <w:t>C</w:t>
      </w:r>
      <w:r w:rsidR="008607D2" w:rsidRPr="0018095C">
        <w:rPr>
          <w:rFonts w:cstheme="minorHAnsi"/>
          <w:sz w:val="24"/>
          <w:szCs w:val="24"/>
        </w:rPr>
        <w:t xml:space="preserve">onvention on the </w:t>
      </w:r>
      <w:r w:rsidR="00B4275C">
        <w:rPr>
          <w:rFonts w:cstheme="minorHAnsi"/>
          <w:sz w:val="24"/>
          <w:szCs w:val="24"/>
        </w:rPr>
        <w:t>Political Rights</w:t>
      </w:r>
      <w:r w:rsidR="008607D2" w:rsidRPr="0018095C">
        <w:rPr>
          <w:rFonts w:cstheme="minorHAnsi"/>
          <w:sz w:val="24"/>
          <w:szCs w:val="24"/>
        </w:rPr>
        <w:t xml:space="preserve"> of </w:t>
      </w:r>
      <w:r w:rsidR="00B4275C">
        <w:rPr>
          <w:rFonts w:cstheme="minorHAnsi"/>
          <w:sz w:val="24"/>
          <w:szCs w:val="24"/>
        </w:rPr>
        <w:t>W</w:t>
      </w:r>
      <w:r w:rsidR="008607D2" w:rsidRPr="0018095C">
        <w:rPr>
          <w:rFonts w:cstheme="minorHAnsi"/>
          <w:sz w:val="24"/>
          <w:szCs w:val="24"/>
        </w:rPr>
        <w:t>omen</w:t>
      </w:r>
      <w:r w:rsidR="0052538F" w:rsidRPr="0018095C">
        <w:rPr>
          <w:rFonts w:cstheme="minorHAnsi"/>
          <w:sz w:val="24"/>
          <w:szCs w:val="24"/>
        </w:rPr>
        <w:t xml:space="preserve">. A third was the emergence of second-wave feminism in Western countries. Such world-society effects </w:t>
      </w:r>
      <w:r w:rsidR="008607D2" w:rsidRPr="0018095C">
        <w:rPr>
          <w:rFonts w:cstheme="minorHAnsi"/>
          <w:sz w:val="24"/>
          <w:szCs w:val="24"/>
        </w:rPr>
        <w:t>pave</w:t>
      </w:r>
      <w:r w:rsidR="0052538F" w:rsidRPr="0018095C">
        <w:rPr>
          <w:rFonts w:cstheme="minorHAnsi"/>
          <w:sz w:val="24"/>
          <w:szCs w:val="24"/>
        </w:rPr>
        <w:t>d</w:t>
      </w:r>
      <w:r w:rsidR="008607D2" w:rsidRPr="0018095C">
        <w:rPr>
          <w:rFonts w:cstheme="minorHAnsi"/>
          <w:sz w:val="24"/>
          <w:szCs w:val="24"/>
        </w:rPr>
        <w:t xml:space="preserve"> the way </w:t>
      </w:r>
      <w:r w:rsidR="009B0674">
        <w:rPr>
          <w:rFonts w:cstheme="minorHAnsi"/>
          <w:sz w:val="24"/>
          <w:szCs w:val="24"/>
        </w:rPr>
        <w:t>for</w:t>
      </w:r>
      <w:r w:rsidR="009B0674" w:rsidRPr="0018095C">
        <w:rPr>
          <w:rFonts w:cstheme="minorHAnsi"/>
          <w:sz w:val="24"/>
          <w:szCs w:val="24"/>
        </w:rPr>
        <w:t xml:space="preserve"> </w:t>
      </w:r>
      <w:r w:rsidR="008607D2" w:rsidRPr="0018095C">
        <w:rPr>
          <w:rFonts w:cstheme="minorHAnsi"/>
          <w:sz w:val="24"/>
          <w:szCs w:val="24"/>
        </w:rPr>
        <w:t>the UN’s first world conference on women – in Mexico City in 1975 – follow</w:t>
      </w:r>
      <w:r w:rsidR="0052538F" w:rsidRPr="0018095C">
        <w:rPr>
          <w:rFonts w:cstheme="minorHAnsi"/>
          <w:sz w:val="24"/>
          <w:szCs w:val="24"/>
        </w:rPr>
        <w:t>ed</w:t>
      </w:r>
      <w:r w:rsidR="008607D2" w:rsidRPr="0018095C">
        <w:rPr>
          <w:rFonts w:cstheme="minorHAnsi"/>
          <w:sz w:val="24"/>
          <w:szCs w:val="24"/>
        </w:rPr>
        <w:t xml:space="preserve"> by the Decade for Women (1976-85). </w:t>
      </w:r>
      <w:r w:rsidR="00AA45BD" w:rsidRPr="0018095C">
        <w:rPr>
          <w:rFonts w:cstheme="minorHAnsi"/>
          <w:sz w:val="24"/>
          <w:szCs w:val="24"/>
        </w:rPr>
        <w:t xml:space="preserve">They also help explain some of the extraordinary reforms that took place in MENA countries such as Iran and Tunisia in the 1960s and 1970s. </w:t>
      </w:r>
    </w:p>
    <w:p w14:paraId="52C76CC6" w14:textId="77777777" w:rsidR="003E2FF5" w:rsidRPr="0018095C" w:rsidRDefault="003E2FF5" w:rsidP="00D67707">
      <w:pPr>
        <w:spacing w:after="0" w:line="240" w:lineRule="auto"/>
        <w:jc w:val="both"/>
        <w:rPr>
          <w:rFonts w:cstheme="minorHAnsi"/>
          <w:sz w:val="24"/>
          <w:szCs w:val="24"/>
        </w:rPr>
      </w:pPr>
    </w:p>
    <w:p w14:paraId="6303DCAB" w14:textId="58686AF2" w:rsidR="00F02715" w:rsidRPr="0018095C" w:rsidRDefault="009B5E44" w:rsidP="00D67707">
      <w:pPr>
        <w:spacing w:after="0" w:line="240" w:lineRule="auto"/>
        <w:jc w:val="both"/>
        <w:rPr>
          <w:rFonts w:cstheme="minorHAnsi"/>
          <w:iCs/>
          <w:sz w:val="24"/>
          <w:szCs w:val="24"/>
        </w:rPr>
      </w:pPr>
      <w:r w:rsidRPr="0018095C">
        <w:rPr>
          <w:rFonts w:cstheme="minorHAnsi"/>
          <w:sz w:val="24"/>
          <w:szCs w:val="24"/>
        </w:rPr>
        <w:t xml:space="preserve">In </w:t>
      </w:r>
      <w:r w:rsidR="000C34C0" w:rsidRPr="0018095C">
        <w:rPr>
          <w:rFonts w:cstheme="minorHAnsi"/>
          <w:sz w:val="24"/>
          <w:szCs w:val="24"/>
        </w:rPr>
        <w:t>newly independent</w:t>
      </w:r>
      <w:r w:rsidRPr="0018095C">
        <w:rPr>
          <w:rFonts w:cstheme="minorHAnsi"/>
          <w:sz w:val="24"/>
          <w:szCs w:val="24"/>
        </w:rPr>
        <w:t xml:space="preserve"> Tunisia, t</w:t>
      </w:r>
      <w:r w:rsidR="00780686" w:rsidRPr="0018095C">
        <w:rPr>
          <w:rFonts w:cstheme="minorHAnsi"/>
          <w:sz w:val="24"/>
          <w:szCs w:val="24"/>
        </w:rPr>
        <w:t xml:space="preserve">hree years before the adoption of a constitution, the Code du </w:t>
      </w:r>
      <w:proofErr w:type="spellStart"/>
      <w:r w:rsidR="00780686" w:rsidRPr="0018095C">
        <w:rPr>
          <w:rFonts w:cstheme="minorHAnsi"/>
          <w:sz w:val="24"/>
          <w:szCs w:val="24"/>
        </w:rPr>
        <w:t>Statu</w:t>
      </w:r>
      <w:r w:rsidR="007B0A18" w:rsidRPr="0018095C">
        <w:rPr>
          <w:rFonts w:cstheme="minorHAnsi"/>
          <w:sz w:val="24"/>
          <w:szCs w:val="24"/>
        </w:rPr>
        <w:t>t</w:t>
      </w:r>
      <w:proofErr w:type="spellEnd"/>
      <w:r w:rsidR="00780686" w:rsidRPr="0018095C">
        <w:rPr>
          <w:rFonts w:cstheme="minorHAnsi"/>
          <w:sz w:val="24"/>
          <w:szCs w:val="24"/>
        </w:rPr>
        <w:t xml:space="preserve"> </w:t>
      </w:r>
      <w:proofErr w:type="spellStart"/>
      <w:r w:rsidR="00780686" w:rsidRPr="0018095C">
        <w:rPr>
          <w:rFonts w:cstheme="minorHAnsi"/>
          <w:sz w:val="24"/>
          <w:szCs w:val="24"/>
        </w:rPr>
        <w:t>Personel</w:t>
      </w:r>
      <w:proofErr w:type="spellEnd"/>
      <w:r w:rsidR="00780686" w:rsidRPr="0018095C">
        <w:rPr>
          <w:rFonts w:cstheme="minorHAnsi"/>
          <w:sz w:val="24"/>
          <w:szCs w:val="24"/>
        </w:rPr>
        <w:t xml:space="preserve"> (CSP)</w:t>
      </w:r>
      <w:r w:rsidR="00676481" w:rsidRPr="0018095C">
        <w:rPr>
          <w:rFonts w:cstheme="minorHAnsi"/>
          <w:sz w:val="24"/>
          <w:szCs w:val="24"/>
        </w:rPr>
        <w:t xml:space="preserve"> </w:t>
      </w:r>
      <w:r w:rsidR="00780686" w:rsidRPr="0018095C">
        <w:rPr>
          <w:rFonts w:cstheme="minorHAnsi"/>
          <w:sz w:val="24"/>
          <w:szCs w:val="24"/>
        </w:rPr>
        <w:t>abolished polygamy and gave women the right to divorce.</w:t>
      </w:r>
      <w:r w:rsidR="00D07BE6" w:rsidRPr="0018095C">
        <w:rPr>
          <w:rStyle w:val="FootnoteReference"/>
          <w:rFonts w:cstheme="minorHAnsi"/>
          <w:sz w:val="24"/>
          <w:szCs w:val="24"/>
        </w:rPr>
        <w:footnoteReference w:id="21"/>
      </w:r>
      <w:r w:rsidR="00780686" w:rsidRPr="0018095C">
        <w:rPr>
          <w:rFonts w:cstheme="minorHAnsi"/>
          <w:sz w:val="24"/>
          <w:szCs w:val="24"/>
        </w:rPr>
        <w:t xml:space="preserve"> In 1973</w:t>
      </w:r>
      <w:r w:rsidR="00AA45BD" w:rsidRPr="0018095C">
        <w:rPr>
          <w:rFonts w:cstheme="minorHAnsi"/>
          <w:sz w:val="24"/>
          <w:szCs w:val="24"/>
        </w:rPr>
        <w:t>, married</w:t>
      </w:r>
      <w:r w:rsidR="00780686" w:rsidRPr="0018095C">
        <w:rPr>
          <w:rFonts w:cstheme="minorHAnsi"/>
          <w:sz w:val="24"/>
          <w:szCs w:val="24"/>
        </w:rPr>
        <w:t xml:space="preserve"> women were given the right</w:t>
      </w:r>
      <w:r w:rsidR="00676481" w:rsidRPr="0018095C">
        <w:rPr>
          <w:rFonts w:cstheme="minorHAnsi"/>
          <w:sz w:val="24"/>
          <w:szCs w:val="24"/>
        </w:rPr>
        <w:t xml:space="preserve"> </w:t>
      </w:r>
      <w:r w:rsidR="00780686" w:rsidRPr="0018095C">
        <w:rPr>
          <w:rFonts w:cstheme="minorHAnsi"/>
          <w:sz w:val="24"/>
          <w:szCs w:val="24"/>
        </w:rPr>
        <w:t xml:space="preserve">to medical abortion in the first trimester. Additional reforms </w:t>
      </w:r>
      <w:r w:rsidR="00780686" w:rsidRPr="0018095C">
        <w:rPr>
          <w:rFonts w:cstheme="minorHAnsi"/>
          <w:sz w:val="24"/>
          <w:szCs w:val="24"/>
        </w:rPr>
        <w:lastRenderedPageBreak/>
        <w:t xml:space="preserve">came about in </w:t>
      </w:r>
      <w:r w:rsidR="00676481" w:rsidRPr="0018095C">
        <w:rPr>
          <w:rFonts w:cstheme="minorHAnsi"/>
          <w:sz w:val="24"/>
          <w:szCs w:val="24"/>
        </w:rPr>
        <w:t xml:space="preserve">1993 </w:t>
      </w:r>
      <w:r w:rsidR="00780686" w:rsidRPr="0018095C">
        <w:rPr>
          <w:rFonts w:cstheme="minorHAnsi"/>
          <w:sz w:val="24"/>
          <w:szCs w:val="24"/>
        </w:rPr>
        <w:t xml:space="preserve">under the </w:t>
      </w:r>
      <w:r w:rsidR="000C34C0" w:rsidRPr="0018095C">
        <w:rPr>
          <w:rFonts w:cstheme="minorHAnsi"/>
          <w:sz w:val="24"/>
          <w:szCs w:val="24"/>
        </w:rPr>
        <w:t>presidency of Zein</w:t>
      </w:r>
      <w:r w:rsidR="00D07BE6" w:rsidRPr="0018095C">
        <w:rPr>
          <w:rFonts w:cstheme="minorHAnsi"/>
          <w:sz w:val="24"/>
          <w:szCs w:val="24"/>
        </w:rPr>
        <w:t xml:space="preserve"> </w:t>
      </w:r>
      <w:proofErr w:type="spellStart"/>
      <w:r w:rsidR="000C34C0" w:rsidRPr="0018095C">
        <w:rPr>
          <w:rFonts w:cstheme="minorHAnsi"/>
          <w:sz w:val="24"/>
          <w:szCs w:val="24"/>
        </w:rPr>
        <w:t>el</w:t>
      </w:r>
      <w:proofErr w:type="spellEnd"/>
      <w:r w:rsidR="000C34C0" w:rsidRPr="0018095C">
        <w:rPr>
          <w:rFonts w:cstheme="minorHAnsi"/>
          <w:sz w:val="24"/>
          <w:szCs w:val="24"/>
        </w:rPr>
        <w:t xml:space="preserve">-Abedin </w:t>
      </w:r>
      <w:r w:rsidR="00780686" w:rsidRPr="0018095C">
        <w:rPr>
          <w:rFonts w:cstheme="minorHAnsi"/>
          <w:sz w:val="24"/>
          <w:szCs w:val="24"/>
        </w:rPr>
        <w:t>Ben Ali</w:t>
      </w:r>
      <w:r w:rsidR="00DC53BA" w:rsidRPr="0018095C">
        <w:rPr>
          <w:rFonts w:cstheme="minorHAnsi"/>
          <w:sz w:val="24"/>
          <w:szCs w:val="24"/>
        </w:rPr>
        <w:t>.</w:t>
      </w:r>
      <w:r w:rsidR="00D07BE6" w:rsidRPr="0018095C">
        <w:rPr>
          <w:rStyle w:val="FootnoteReference"/>
          <w:rFonts w:cstheme="minorHAnsi"/>
          <w:sz w:val="24"/>
          <w:szCs w:val="24"/>
        </w:rPr>
        <w:footnoteReference w:id="22"/>
      </w:r>
      <w:r w:rsidR="00DC53BA" w:rsidRPr="0018095C">
        <w:rPr>
          <w:rFonts w:cstheme="minorHAnsi"/>
          <w:sz w:val="24"/>
          <w:szCs w:val="24"/>
        </w:rPr>
        <w:t xml:space="preserve"> P</w:t>
      </w:r>
      <w:r w:rsidR="00780686" w:rsidRPr="0018095C">
        <w:rPr>
          <w:rFonts w:cstheme="minorHAnsi"/>
          <w:sz w:val="24"/>
          <w:szCs w:val="24"/>
        </w:rPr>
        <w:t>resent</w:t>
      </w:r>
      <w:r w:rsidR="00DC53BA" w:rsidRPr="0018095C">
        <w:rPr>
          <w:rFonts w:cstheme="minorHAnsi"/>
          <w:sz w:val="24"/>
          <w:szCs w:val="24"/>
        </w:rPr>
        <w:t>ing</w:t>
      </w:r>
      <w:r w:rsidR="00780686" w:rsidRPr="0018095C">
        <w:rPr>
          <w:rFonts w:cstheme="minorHAnsi"/>
          <w:sz w:val="24"/>
          <w:szCs w:val="24"/>
        </w:rPr>
        <w:t xml:space="preserve"> itself as a champion of women’s rights</w:t>
      </w:r>
      <w:r w:rsidR="00DC53BA" w:rsidRPr="0018095C">
        <w:rPr>
          <w:rFonts w:cstheme="minorHAnsi"/>
          <w:sz w:val="24"/>
          <w:szCs w:val="24"/>
        </w:rPr>
        <w:t>, the Ben Ali regime</w:t>
      </w:r>
      <w:r w:rsidR="00780686" w:rsidRPr="0018095C">
        <w:rPr>
          <w:rFonts w:cstheme="minorHAnsi"/>
          <w:sz w:val="24"/>
          <w:szCs w:val="24"/>
        </w:rPr>
        <w:t xml:space="preserve"> legalized the two independent feminist organizations that had formed in the 1980s</w:t>
      </w:r>
      <w:r w:rsidR="00DC53BA" w:rsidRPr="0018095C">
        <w:rPr>
          <w:rFonts w:cstheme="minorHAnsi"/>
          <w:sz w:val="24"/>
          <w:szCs w:val="24"/>
        </w:rPr>
        <w:t xml:space="preserve"> – </w:t>
      </w:r>
      <w:proofErr w:type="spellStart"/>
      <w:r w:rsidR="00DC53BA" w:rsidRPr="0018095C">
        <w:rPr>
          <w:rFonts w:cstheme="minorHAnsi"/>
          <w:sz w:val="24"/>
          <w:szCs w:val="24"/>
        </w:rPr>
        <w:t>l’</w:t>
      </w:r>
      <w:r w:rsidR="00DC53BA" w:rsidRPr="0018095C">
        <w:rPr>
          <w:rFonts w:cstheme="minorHAnsi"/>
          <w:i/>
          <w:iCs/>
          <w:sz w:val="24"/>
          <w:szCs w:val="24"/>
        </w:rPr>
        <w:t>Association</w:t>
      </w:r>
      <w:proofErr w:type="spellEnd"/>
      <w:r w:rsidR="00DC53BA" w:rsidRPr="0018095C">
        <w:rPr>
          <w:rFonts w:cstheme="minorHAnsi"/>
          <w:i/>
          <w:iCs/>
          <w:sz w:val="24"/>
          <w:szCs w:val="24"/>
        </w:rPr>
        <w:t xml:space="preserve"> </w:t>
      </w:r>
      <w:proofErr w:type="spellStart"/>
      <w:r w:rsidR="00DC53BA" w:rsidRPr="0018095C">
        <w:rPr>
          <w:rFonts w:cstheme="minorHAnsi"/>
          <w:i/>
          <w:iCs/>
          <w:sz w:val="24"/>
          <w:szCs w:val="24"/>
        </w:rPr>
        <w:t>tunisienne</w:t>
      </w:r>
      <w:proofErr w:type="spellEnd"/>
      <w:r w:rsidR="00DC53BA" w:rsidRPr="0018095C">
        <w:rPr>
          <w:rFonts w:cstheme="minorHAnsi"/>
          <w:i/>
          <w:iCs/>
          <w:sz w:val="24"/>
          <w:szCs w:val="24"/>
        </w:rPr>
        <w:t xml:space="preserve"> des femmes</w:t>
      </w:r>
      <w:r w:rsidR="00DC53BA" w:rsidRPr="0018095C">
        <w:rPr>
          <w:rFonts w:eastAsia="Times New Roman" w:cstheme="minorHAnsi"/>
          <w:i/>
          <w:iCs/>
          <w:color w:val="337AB7"/>
          <w:sz w:val="24"/>
          <w:szCs w:val="24"/>
        </w:rPr>
        <w:t xml:space="preserve"> </w:t>
      </w:r>
      <w:proofErr w:type="spellStart"/>
      <w:r w:rsidR="00DC53BA" w:rsidRPr="0018095C">
        <w:rPr>
          <w:rFonts w:eastAsia="Times New Roman" w:cstheme="minorHAnsi"/>
          <w:i/>
          <w:iCs/>
          <w:sz w:val="24"/>
          <w:szCs w:val="24"/>
        </w:rPr>
        <w:t>d</w:t>
      </w:r>
      <w:r w:rsidR="00DC53BA" w:rsidRPr="0018095C">
        <w:rPr>
          <w:rFonts w:cstheme="minorHAnsi"/>
          <w:i/>
          <w:iCs/>
          <w:sz w:val="24"/>
          <w:szCs w:val="24"/>
        </w:rPr>
        <w:t>émocrates</w:t>
      </w:r>
      <w:proofErr w:type="spellEnd"/>
      <w:r w:rsidR="00DC53BA" w:rsidRPr="0018095C">
        <w:rPr>
          <w:rFonts w:cstheme="minorHAnsi"/>
          <w:sz w:val="24"/>
          <w:szCs w:val="24"/>
        </w:rPr>
        <w:t xml:space="preserve"> (ATFD) and </w:t>
      </w:r>
      <w:proofErr w:type="spellStart"/>
      <w:r w:rsidR="00DC53BA" w:rsidRPr="0018095C">
        <w:rPr>
          <w:rFonts w:cstheme="minorHAnsi"/>
          <w:sz w:val="24"/>
          <w:szCs w:val="24"/>
        </w:rPr>
        <w:t>l’</w:t>
      </w:r>
      <w:r w:rsidR="00DC53BA" w:rsidRPr="0018095C">
        <w:rPr>
          <w:rFonts w:cstheme="minorHAnsi"/>
          <w:i/>
          <w:iCs/>
          <w:sz w:val="24"/>
          <w:szCs w:val="24"/>
        </w:rPr>
        <w:t>Association</w:t>
      </w:r>
      <w:proofErr w:type="spellEnd"/>
      <w:r w:rsidR="00DC53BA" w:rsidRPr="0018095C">
        <w:rPr>
          <w:rFonts w:cstheme="minorHAnsi"/>
          <w:i/>
          <w:iCs/>
          <w:sz w:val="24"/>
          <w:szCs w:val="24"/>
        </w:rPr>
        <w:t xml:space="preserve"> des femmes </w:t>
      </w:r>
      <w:proofErr w:type="spellStart"/>
      <w:r w:rsidR="00DC53BA" w:rsidRPr="0018095C">
        <w:rPr>
          <w:rFonts w:cstheme="minorHAnsi"/>
          <w:i/>
          <w:iCs/>
          <w:sz w:val="24"/>
          <w:szCs w:val="24"/>
        </w:rPr>
        <w:t>tunisiennes</w:t>
      </w:r>
      <w:proofErr w:type="spellEnd"/>
      <w:r w:rsidR="00DC53BA" w:rsidRPr="0018095C">
        <w:rPr>
          <w:rFonts w:cstheme="minorHAnsi"/>
          <w:i/>
          <w:iCs/>
          <w:sz w:val="24"/>
          <w:szCs w:val="24"/>
        </w:rPr>
        <w:t xml:space="preserve"> pour la recherche sur le </w:t>
      </w:r>
      <w:proofErr w:type="spellStart"/>
      <w:r w:rsidR="00DC53BA" w:rsidRPr="0018095C">
        <w:rPr>
          <w:rFonts w:cstheme="minorHAnsi"/>
          <w:i/>
          <w:iCs/>
          <w:sz w:val="24"/>
          <w:szCs w:val="24"/>
        </w:rPr>
        <w:t>développement</w:t>
      </w:r>
      <w:proofErr w:type="spellEnd"/>
      <w:r w:rsidR="00DC53BA" w:rsidRPr="0018095C">
        <w:rPr>
          <w:rFonts w:cstheme="minorHAnsi"/>
          <w:sz w:val="24"/>
          <w:szCs w:val="24"/>
        </w:rPr>
        <w:t xml:space="preserve"> (AFTURD) – and launched a state-funded </w:t>
      </w:r>
      <w:r w:rsidR="00676481" w:rsidRPr="0018095C">
        <w:rPr>
          <w:rFonts w:cstheme="minorHAnsi"/>
          <w:sz w:val="24"/>
          <w:szCs w:val="24"/>
        </w:rPr>
        <w:t>women’s policy agency</w:t>
      </w:r>
      <w:r w:rsidR="00DC53BA" w:rsidRPr="0018095C">
        <w:rPr>
          <w:rFonts w:cstheme="minorHAnsi"/>
          <w:sz w:val="24"/>
          <w:szCs w:val="24"/>
        </w:rPr>
        <w:t>, CREDIF.</w:t>
      </w:r>
      <w:r w:rsidR="00676481" w:rsidRPr="0018095C">
        <w:rPr>
          <w:rFonts w:cstheme="minorHAnsi"/>
          <w:sz w:val="24"/>
          <w:szCs w:val="24"/>
        </w:rPr>
        <w:t xml:space="preserve"> </w:t>
      </w:r>
      <w:r w:rsidR="00F07FC5" w:rsidRPr="0018095C">
        <w:rPr>
          <w:rFonts w:cstheme="minorHAnsi"/>
          <w:sz w:val="24"/>
          <w:szCs w:val="24"/>
        </w:rPr>
        <w:t>Such organizations were important contributors to Tunisia’s civil society development and growth</w:t>
      </w:r>
      <w:r w:rsidR="00416643" w:rsidRPr="0018095C">
        <w:rPr>
          <w:rFonts w:cstheme="minorHAnsi"/>
          <w:sz w:val="24"/>
          <w:szCs w:val="24"/>
        </w:rPr>
        <w:t xml:space="preserve">, which included the large and influential trade union, </w:t>
      </w:r>
      <w:proofErr w:type="spellStart"/>
      <w:r w:rsidR="006E061D" w:rsidRPr="0018095C">
        <w:rPr>
          <w:rFonts w:cstheme="minorHAnsi"/>
          <w:i/>
          <w:iCs/>
          <w:sz w:val="24"/>
          <w:szCs w:val="24"/>
        </w:rPr>
        <w:t>l'Union</w:t>
      </w:r>
      <w:proofErr w:type="spellEnd"/>
      <w:r w:rsidR="006E061D" w:rsidRPr="0018095C">
        <w:rPr>
          <w:rFonts w:cstheme="minorHAnsi"/>
          <w:i/>
          <w:iCs/>
          <w:sz w:val="24"/>
          <w:szCs w:val="24"/>
        </w:rPr>
        <w:t xml:space="preserve"> </w:t>
      </w:r>
      <w:proofErr w:type="spellStart"/>
      <w:r w:rsidR="00B56BFB" w:rsidRPr="0018095C">
        <w:rPr>
          <w:rFonts w:cstheme="minorHAnsi"/>
          <w:i/>
          <w:iCs/>
          <w:sz w:val="24"/>
          <w:szCs w:val="24"/>
        </w:rPr>
        <w:t>général</w:t>
      </w:r>
      <w:proofErr w:type="spellEnd"/>
      <w:r w:rsidR="00B56BFB" w:rsidRPr="0018095C">
        <w:rPr>
          <w:rFonts w:cstheme="minorHAnsi"/>
          <w:i/>
          <w:iCs/>
          <w:sz w:val="24"/>
          <w:szCs w:val="24"/>
        </w:rPr>
        <w:t xml:space="preserve"> des </w:t>
      </w:r>
      <w:proofErr w:type="spellStart"/>
      <w:r w:rsidR="00B56BFB" w:rsidRPr="0018095C">
        <w:rPr>
          <w:rFonts w:cstheme="minorHAnsi"/>
          <w:i/>
          <w:iCs/>
          <w:sz w:val="24"/>
          <w:szCs w:val="24"/>
        </w:rPr>
        <w:t>travailleurs</w:t>
      </w:r>
      <w:proofErr w:type="spellEnd"/>
      <w:r w:rsidR="00B56BFB" w:rsidRPr="0018095C">
        <w:rPr>
          <w:rFonts w:cstheme="minorHAnsi"/>
          <w:i/>
          <w:iCs/>
          <w:sz w:val="24"/>
          <w:szCs w:val="24"/>
        </w:rPr>
        <w:t xml:space="preserve"> </w:t>
      </w:r>
      <w:proofErr w:type="spellStart"/>
      <w:r w:rsidR="00B56BFB" w:rsidRPr="0018095C">
        <w:rPr>
          <w:rFonts w:cstheme="minorHAnsi"/>
          <w:i/>
          <w:iCs/>
          <w:sz w:val="24"/>
          <w:szCs w:val="24"/>
        </w:rPr>
        <w:t>tunisiens</w:t>
      </w:r>
      <w:proofErr w:type="spellEnd"/>
      <w:r w:rsidR="00B56BFB" w:rsidRPr="0018095C">
        <w:rPr>
          <w:rFonts w:cstheme="minorHAnsi"/>
          <w:sz w:val="24"/>
          <w:szCs w:val="24"/>
        </w:rPr>
        <w:t xml:space="preserve"> (</w:t>
      </w:r>
      <w:r w:rsidR="00416643" w:rsidRPr="0018095C">
        <w:rPr>
          <w:rFonts w:cstheme="minorHAnsi"/>
          <w:sz w:val="24"/>
          <w:szCs w:val="24"/>
        </w:rPr>
        <w:t>UGTT</w:t>
      </w:r>
      <w:r w:rsidR="00B56BFB" w:rsidRPr="0018095C">
        <w:rPr>
          <w:rFonts w:cstheme="minorHAnsi"/>
          <w:sz w:val="24"/>
          <w:szCs w:val="24"/>
        </w:rPr>
        <w:t>)</w:t>
      </w:r>
      <w:r w:rsidR="00416643" w:rsidRPr="0018095C">
        <w:rPr>
          <w:rFonts w:cstheme="minorHAnsi"/>
          <w:sz w:val="24"/>
          <w:szCs w:val="24"/>
        </w:rPr>
        <w:t>.</w:t>
      </w:r>
      <w:r w:rsidR="003E2FF5" w:rsidRPr="0018095C">
        <w:rPr>
          <w:rFonts w:cstheme="minorHAnsi"/>
          <w:sz w:val="24"/>
          <w:szCs w:val="24"/>
        </w:rPr>
        <w:t xml:space="preserve"> </w:t>
      </w:r>
      <w:r w:rsidR="00416643" w:rsidRPr="0018095C">
        <w:rPr>
          <w:rFonts w:cstheme="minorHAnsi"/>
          <w:sz w:val="24"/>
          <w:szCs w:val="24"/>
        </w:rPr>
        <w:t xml:space="preserve">Tunisia’s civil society organizations (CSOs) played key roles in the 2011 political revolution and the onset of the democratic transition, which included the drafting of a </w:t>
      </w:r>
      <w:r w:rsidR="00F07FC5" w:rsidRPr="0018095C">
        <w:rPr>
          <w:rFonts w:cstheme="minorHAnsi"/>
          <w:iCs/>
          <w:sz w:val="24"/>
          <w:szCs w:val="24"/>
        </w:rPr>
        <w:t>new constitution</w:t>
      </w:r>
      <w:r w:rsidR="001E67F7" w:rsidRPr="0018095C">
        <w:rPr>
          <w:rFonts w:cstheme="minorHAnsi"/>
          <w:iCs/>
          <w:sz w:val="24"/>
          <w:szCs w:val="24"/>
        </w:rPr>
        <w:t>, adopted in 2014</w:t>
      </w:r>
      <w:r w:rsidR="00E6399C" w:rsidRPr="0018095C">
        <w:rPr>
          <w:rFonts w:cstheme="minorHAnsi"/>
          <w:iCs/>
          <w:sz w:val="24"/>
          <w:szCs w:val="24"/>
        </w:rPr>
        <w:t>.</w:t>
      </w:r>
    </w:p>
    <w:p w14:paraId="5BFC7EDA" w14:textId="77777777" w:rsidR="008E660F" w:rsidRPr="0018095C" w:rsidRDefault="008E660F" w:rsidP="00D67707">
      <w:pPr>
        <w:spacing w:after="0" w:line="240" w:lineRule="auto"/>
        <w:jc w:val="both"/>
        <w:rPr>
          <w:rFonts w:cstheme="minorHAnsi"/>
          <w:iCs/>
          <w:sz w:val="24"/>
          <w:szCs w:val="24"/>
        </w:rPr>
      </w:pPr>
    </w:p>
    <w:p w14:paraId="4B1CE72C" w14:textId="756C985E" w:rsidR="00EE4EBD" w:rsidRPr="0018095C" w:rsidRDefault="00676481" w:rsidP="00D67707">
      <w:pPr>
        <w:spacing w:after="0" w:line="240" w:lineRule="auto"/>
        <w:jc w:val="both"/>
        <w:rPr>
          <w:rFonts w:cstheme="minorHAnsi"/>
          <w:sz w:val="24"/>
          <w:szCs w:val="24"/>
        </w:rPr>
      </w:pPr>
      <w:r w:rsidRPr="0018095C">
        <w:rPr>
          <w:rFonts w:cstheme="minorHAnsi"/>
          <w:sz w:val="24"/>
          <w:szCs w:val="24"/>
        </w:rPr>
        <w:t>In Iran, modernization and state-building began</w:t>
      </w:r>
      <w:r w:rsidR="008529F6" w:rsidRPr="0018095C">
        <w:rPr>
          <w:rFonts w:cstheme="minorHAnsi"/>
          <w:sz w:val="24"/>
          <w:szCs w:val="24"/>
        </w:rPr>
        <w:t xml:space="preserve"> in the early 20</w:t>
      </w:r>
      <w:r w:rsidR="008529F6" w:rsidRPr="0018095C">
        <w:rPr>
          <w:rFonts w:cstheme="minorHAnsi"/>
          <w:sz w:val="24"/>
          <w:szCs w:val="24"/>
          <w:vertAlign w:val="superscript"/>
        </w:rPr>
        <w:t>th</w:t>
      </w:r>
      <w:r w:rsidR="008529F6" w:rsidRPr="0018095C">
        <w:rPr>
          <w:rFonts w:cstheme="minorHAnsi"/>
          <w:sz w:val="24"/>
          <w:szCs w:val="24"/>
        </w:rPr>
        <w:t xml:space="preserve"> century after the 1910 Constitutional Revolution, then </w:t>
      </w:r>
      <w:r w:rsidRPr="0018095C">
        <w:rPr>
          <w:rFonts w:cstheme="minorHAnsi"/>
          <w:sz w:val="24"/>
          <w:szCs w:val="24"/>
        </w:rPr>
        <w:t>in the 1930s</w:t>
      </w:r>
      <w:r w:rsidR="008529F6" w:rsidRPr="0018095C">
        <w:rPr>
          <w:rFonts w:cstheme="minorHAnsi"/>
          <w:sz w:val="24"/>
          <w:szCs w:val="24"/>
        </w:rPr>
        <w:t xml:space="preserve"> under Reza Shah</w:t>
      </w:r>
      <w:r w:rsidR="00F07FC5" w:rsidRPr="0018095C">
        <w:rPr>
          <w:rFonts w:cstheme="minorHAnsi"/>
          <w:sz w:val="24"/>
          <w:szCs w:val="24"/>
        </w:rPr>
        <w:t>.</w:t>
      </w:r>
      <w:r w:rsidR="00D07BE6" w:rsidRPr="0018095C">
        <w:rPr>
          <w:rStyle w:val="FootnoteReference"/>
          <w:rFonts w:cstheme="minorHAnsi"/>
          <w:sz w:val="24"/>
          <w:szCs w:val="24"/>
        </w:rPr>
        <w:footnoteReference w:id="23"/>
      </w:r>
      <w:r w:rsidR="00F07FC5" w:rsidRPr="0018095C">
        <w:rPr>
          <w:rFonts w:cstheme="minorHAnsi"/>
          <w:sz w:val="24"/>
          <w:szCs w:val="24"/>
        </w:rPr>
        <w:t xml:space="preserve"> For women</w:t>
      </w:r>
      <w:r w:rsidR="008529F6" w:rsidRPr="0018095C">
        <w:rPr>
          <w:rFonts w:cstheme="minorHAnsi"/>
          <w:sz w:val="24"/>
          <w:szCs w:val="24"/>
        </w:rPr>
        <w:t xml:space="preserve">, change came about in the early 1960s, when they were granted the right to vote in 1963. </w:t>
      </w:r>
      <w:r w:rsidR="00AA45BD" w:rsidRPr="0018095C">
        <w:rPr>
          <w:rFonts w:cstheme="minorHAnsi"/>
          <w:sz w:val="24"/>
          <w:szCs w:val="24"/>
        </w:rPr>
        <w:t xml:space="preserve">A state-affiliated Women’s Organization was created in 1966. </w:t>
      </w:r>
      <w:r w:rsidR="00695601" w:rsidRPr="0018095C">
        <w:rPr>
          <w:rFonts w:cstheme="minorHAnsi"/>
          <w:sz w:val="24"/>
          <w:szCs w:val="24"/>
        </w:rPr>
        <w:t>The early 1970s saw the appointment of Iran’s f</w:t>
      </w:r>
      <w:r w:rsidR="00AA45BD" w:rsidRPr="0018095C">
        <w:rPr>
          <w:rFonts w:cstheme="minorHAnsi"/>
          <w:iCs/>
          <w:sz w:val="24"/>
          <w:szCs w:val="24"/>
        </w:rPr>
        <w:t xml:space="preserve">irst </w:t>
      </w:r>
      <w:r w:rsidR="00307551">
        <w:rPr>
          <w:rFonts w:cstheme="minorHAnsi"/>
          <w:iCs/>
          <w:sz w:val="24"/>
          <w:szCs w:val="24"/>
        </w:rPr>
        <w:t>W</w:t>
      </w:r>
      <w:r w:rsidR="00AA45BD" w:rsidRPr="0018095C">
        <w:rPr>
          <w:rFonts w:cstheme="minorHAnsi"/>
          <w:iCs/>
          <w:sz w:val="24"/>
          <w:szCs w:val="24"/>
        </w:rPr>
        <w:t xml:space="preserve">omen’s </w:t>
      </w:r>
      <w:r w:rsidR="00307551">
        <w:rPr>
          <w:rFonts w:cstheme="minorHAnsi"/>
          <w:iCs/>
          <w:sz w:val="24"/>
          <w:szCs w:val="24"/>
        </w:rPr>
        <w:t>A</w:t>
      </w:r>
      <w:r w:rsidR="00AA45BD" w:rsidRPr="0018095C">
        <w:rPr>
          <w:rFonts w:cstheme="minorHAnsi"/>
          <w:iCs/>
          <w:sz w:val="24"/>
          <w:szCs w:val="24"/>
        </w:rPr>
        <w:t>ffairs minister</w:t>
      </w:r>
      <w:r w:rsidR="00695601" w:rsidRPr="0018095C">
        <w:rPr>
          <w:rFonts w:cstheme="minorHAnsi"/>
          <w:iCs/>
          <w:sz w:val="24"/>
          <w:szCs w:val="24"/>
        </w:rPr>
        <w:t>, the first</w:t>
      </w:r>
      <w:r w:rsidR="00AA45BD" w:rsidRPr="0018095C">
        <w:rPr>
          <w:rFonts w:cstheme="minorHAnsi"/>
          <w:iCs/>
          <w:sz w:val="24"/>
          <w:szCs w:val="24"/>
        </w:rPr>
        <w:t xml:space="preserve"> woman judge</w:t>
      </w:r>
      <w:r w:rsidR="00695601" w:rsidRPr="0018095C">
        <w:rPr>
          <w:rFonts w:cstheme="minorHAnsi"/>
          <w:iCs/>
          <w:sz w:val="24"/>
          <w:szCs w:val="24"/>
        </w:rPr>
        <w:t xml:space="preserve">, and the first </w:t>
      </w:r>
      <w:r w:rsidR="00AA45BD" w:rsidRPr="0018095C">
        <w:rPr>
          <w:rFonts w:cstheme="minorHAnsi"/>
          <w:iCs/>
          <w:sz w:val="24"/>
          <w:szCs w:val="24"/>
        </w:rPr>
        <w:t>woman ambassador (to Denmark</w:t>
      </w:r>
      <w:r w:rsidR="00695601" w:rsidRPr="0018095C">
        <w:rPr>
          <w:rFonts w:cstheme="minorHAnsi"/>
          <w:iCs/>
          <w:sz w:val="24"/>
          <w:szCs w:val="24"/>
        </w:rPr>
        <w:t xml:space="preserve">). </w:t>
      </w:r>
      <w:r w:rsidR="008529F6" w:rsidRPr="0018095C">
        <w:rPr>
          <w:rFonts w:cstheme="minorHAnsi"/>
          <w:sz w:val="24"/>
          <w:szCs w:val="24"/>
        </w:rPr>
        <w:t>F</w:t>
      </w:r>
      <w:r w:rsidRPr="0018095C">
        <w:rPr>
          <w:rFonts w:cstheme="minorHAnsi"/>
          <w:sz w:val="24"/>
          <w:szCs w:val="24"/>
        </w:rPr>
        <w:t xml:space="preserve">amily law reform began in 1967 and was </w:t>
      </w:r>
      <w:r w:rsidR="00DC1C46">
        <w:rPr>
          <w:rFonts w:cstheme="minorHAnsi"/>
          <w:sz w:val="24"/>
          <w:szCs w:val="24"/>
        </w:rPr>
        <w:t>expanded</w:t>
      </w:r>
      <w:r w:rsidRPr="0018095C">
        <w:rPr>
          <w:rFonts w:cstheme="minorHAnsi"/>
          <w:sz w:val="24"/>
          <w:szCs w:val="24"/>
        </w:rPr>
        <w:t xml:space="preserve"> in 1975</w:t>
      </w:r>
      <w:r w:rsidR="00AA45BD" w:rsidRPr="0018095C">
        <w:rPr>
          <w:rFonts w:cstheme="minorHAnsi"/>
          <w:sz w:val="24"/>
          <w:szCs w:val="24"/>
        </w:rPr>
        <w:t>, granting women the right to petition for divorce and child custody and setting 18 as the minimum age of marriage</w:t>
      </w:r>
      <w:r w:rsidR="008529F6" w:rsidRPr="0018095C">
        <w:rPr>
          <w:rFonts w:cstheme="minorHAnsi"/>
          <w:sz w:val="24"/>
          <w:szCs w:val="24"/>
        </w:rPr>
        <w:t xml:space="preserve">. </w:t>
      </w:r>
      <w:r w:rsidR="00517D07" w:rsidRPr="0018095C">
        <w:rPr>
          <w:rFonts w:cstheme="minorHAnsi"/>
          <w:sz w:val="24"/>
          <w:szCs w:val="24"/>
        </w:rPr>
        <w:t xml:space="preserve">According to Mahnaz Afkhami, </w:t>
      </w:r>
      <w:r w:rsidR="001C2DEB">
        <w:rPr>
          <w:rFonts w:cstheme="minorHAnsi"/>
          <w:sz w:val="24"/>
          <w:szCs w:val="24"/>
        </w:rPr>
        <w:t xml:space="preserve">who was </w:t>
      </w:r>
      <w:r w:rsidR="00517D07" w:rsidRPr="0018095C">
        <w:rPr>
          <w:rFonts w:cstheme="minorHAnsi"/>
          <w:sz w:val="24"/>
          <w:szCs w:val="24"/>
        </w:rPr>
        <w:t xml:space="preserve">briefly Minister for Women’s Affairs, </w:t>
      </w:r>
      <w:r w:rsidR="001C2DEB">
        <w:rPr>
          <w:rFonts w:cstheme="minorHAnsi"/>
          <w:sz w:val="24"/>
          <w:szCs w:val="24"/>
        </w:rPr>
        <w:t xml:space="preserve">the </w:t>
      </w:r>
      <w:r w:rsidR="00517D07" w:rsidRPr="0018095C">
        <w:rPr>
          <w:rFonts w:cstheme="minorHAnsi"/>
          <w:sz w:val="24"/>
          <w:szCs w:val="24"/>
        </w:rPr>
        <w:t>expansion of the Family Protection Bill in 1975 included abortion decriminalization.</w:t>
      </w:r>
      <w:r w:rsidR="00D07BE6" w:rsidRPr="0018095C">
        <w:rPr>
          <w:rStyle w:val="FootnoteReference"/>
          <w:rFonts w:cstheme="minorHAnsi"/>
          <w:sz w:val="24"/>
          <w:szCs w:val="24"/>
        </w:rPr>
        <w:footnoteReference w:id="24"/>
      </w:r>
      <w:r w:rsidR="00517D07" w:rsidRPr="0018095C">
        <w:rPr>
          <w:rFonts w:cstheme="minorHAnsi"/>
          <w:sz w:val="24"/>
          <w:szCs w:val="24"/>
        </w:rPr>
        <w:t xml:space="preserve"> </w:t>
      </w:r>
      <w:r w:rsidR="00F07FC5" w:rsidRPr="0018095C">
        <w:rPr>
          <w:rFonts w:cstheme="minorHAnsi"/>
          <w:sz w:val="24"/>
          <w:szCs w:val="24"/>
        </w:rPr>
        <w:t>Regression i</w:t>
      </w:r>
      <w:r w:rsidR="008529F6" w:rsidRPr="0018095C">
        <w:rPr>
          <w:rFonts w:cstheme="minorHAnsi"/>
          <w:sz w:val="24"/>
          <w:szCs w:val="24"/>
        </w:rPr>
        <w:t xml:space="preserve">n women’s legal status and social positions </w:t>
      </w:r>
      <w:r w:rsidR="00F07FC5" w:rsidRPr="0018095C">
        <w:rPr>
          <w:rFonts w:cstheme="minorHAnsi"/>
          <w:sz w:val="24"/>
          <w:szCs w:val="24"/>
        </w:rPr>
        <w:t>occurred</w:t>
      </w:r>
      <w:r w:rsidR="008529F6" w:rsidRPr="0018095C">
        <w:rPr>
          <w:rFonts w:cstheme="minorHAnsi"/>
          <w:sz w:val="24"/>
          <w:szCs w:val="24"/>
        </w:rPr>
        <w:t xml:space="preserve"> </w:t>
      </w:r>
      <w:r w:rsidR="00517D07" w:rsidRPr="0018095C">
        <w:rPr>
          <w:rFonts w:cstheme="minorHAnsi"/>
          <w:sz w:val="24"/>
          <w:szCs w:val="24"/>
        </w:rPr>
        <w:t xml:space="preserve">after </w:t>
      </w:r>
      <w:r w:rsidR="008529F6" w:rsidRPr="0018095C">
        <w:rPr>
          <w:rFonts w:cstheme="minorHAnsi"/>
          <w:sz w:val="24"/>
          <w:szCs w:val="24"/>
        </w:rPr>
        <w:t xml:space="preserve">the 1979 </w:t>
      </w:r>
      <w:r w:rsidR="008529F6" w:rsidRPr="0018095C">
        <w:rPr>
          <w:rFonts w:cstheme="minorHAnsi"/>
          <w:iCs/>
          <w:sz w:val="24"/>
          <w:szCs w:val="24"/>
        </w:rPr>
        <w:t>Islamic Revolution</w:t>
      </w:r>
      <w:r w:rsidR="00F07FC5" w:rsidRPr="0018095C">
        <w:rPr>
          <w:rFonts w:cstheme="minorHAnsi"/>
          <w:iCs/>
          <w:sz w:val="24"/>
          <w:szCs w:val="24"/>
        </w:rPr>
        <w:t xml:space="preserve">, when </w:t>
      </w:r>
      <w:r w:rsidR="009024A5" w:rsidRPr="0018095C">
        <w:rPr>
          <w:rFonts w:cstheme="minorHAnsi"/>
          <w:iCs/>
          <w:sz w:val="24"/>
          <w:szCs w:val="24"/>
        </w:rPr>
        <w:t xml:space="preserve">the aforementioned law was abrogated and </w:t>
      </w:r>
      <w:r w:rsidR="00F07FC5" w:rsidRPr="0018095C">
        <w:rPr>
          <w:rFonts w:cstheme="minorHAnsi"/>
          <w:iCs/>
          <w:sz w:val="24"/>
          <w:szCs w:val="24"/>
        </w:rPr>
        <w:t>a new constitution and set of family laws within the Civil Code established women’s second-class citizenship</w:t>
      </w:r>
      <w:r w:rsidR="008529F6" w:rsidRPr="0018095C">
        <w:rPr>
          <w:rFonts w:cstheme="minorHAnsi"/>
          <w:iCs/>
          <w:sz w:val="24"/>
          <w:szCs w:val="24"/>
        </w:rPr>
        <w:t xml:space="preserve">. </w:t>
      </w:r>
      <w:proofErr w:type="spellStart"/>
      <w:r w:rsidR="009024A5" w:rsidRPr="0018095C">
        <w:rPr>
          <w:rFonts w:cstheme="minorHAnsi"/>
          <w:i/>
          <w:sz w:val="24"/>
          <w:szCs w:val="24"/>
        </w:rPr>
        <w:t>Hejab</w:t>
      </w:r>
      <w:proofErr w:type="spellEnd"/>
      <w:r w:rsidR="009024A5" w:rsidRPr="0018095C">
        <w:rPr>
          <w:rFonts w:cstheme="minorHAnsi"/>
          <w:i/>
          <w:sz w:val="24"/>
          <w:szCs w:val="24"/>
        </w:rPr>
        <w:t xml:space="preserve"> </w:t>
      </w:r>
      <w:r w:rsidR="009024A5" w:rsidRPr="0018095C">
        <w:rPr>
          <w:rFonts w:cstheme="minorHAnsi"/>
          <w:sz w:val="24"/>
          <w:szCs w:val="24"/>
        </w:rPr>
        <w:t xml:space="preserve">was made mandatory and the marriage age for girls </w:t>
      </w:r>
      <w:r w:rsidR="0065311E">
        <w:rPr>
          <w:rFonts w:cstheme="minorHAnsi"/>
          <w:sz w:val="24"/>
          <w:szCs w:val="24"/>
        </w:rPr>
        <w:t xml:space="preserve">was </w:t>
      </w:r>
      <w:r w:rsidR="009024A5" w:rsidRPr="0018095C">
        <w:rPr>
          <w:rFonts w:cstheme="minorHAnsi"/>
          <w:sz w:val="24"/>
          <w:szCs w:val="24"/>
        </w:rPr>
        <w:t xml:space="preserve">lowered to puberty. Article 1130 of the Civil Code was amended in 1982 to give judges the authority to grant or withhold divorces requested by women. Article 1169 of the Civil Code gave custody of the male child to the mother only until </w:t>
      </w:r>
      <w:r w:rsidR="00CD61E4">
        <w:rPr>
          <w:rFonts w:cstheme="minorHAnsi"/>
          <w:sz w:val="24"/>
          <w:szCs w:val="24"/>
        </w:rPr>
        <w:t>the age of</w:t>
      </w:r>
      <w:r w:rsidR="009024A5" w:rsidRPr="0018095C">
        <w:rPr>
          <w:rFonts w:cstheme="minorHAnsi"/>
          <w:sz w:val="24"/>
          <w:szCs w:val="24"/>
        </w:rPr>
        <w:t xml:space="preserve"> two and that of the female child until the age of seven.  When a mother remarrie</w:t>
      </w:r>
      <w:r w:rsidR="00554F78" w:rsidRPr="0018095C">
        <w:rPr>
          <w:rFonts w:cstheme="minorHAnsi"/>
          <w:sz w:val="24"/>
          <w:szCs w:val="24"/>
        </w:rPr>
        <w:t>d</w:t>
      </w:r>
      <w:r w:rsidR="009024A5" w:rsidRPr="0018095C">
        <w:rPr>
          <w:rFonts w:cstheme="minorHAnsi"/>
          <w:sz w:val="24"/>
          <w:szCs w:val="24"/>
        </w:rPr>
        <w:t>, she los</w:t>
      </w:r>
      <w:r w:rsidR="00554F78" w:rsidRPr="0018095C">
        <w:rPr>
          <w:rFonts w:cstheme="minorHAnsi"/>
          <w:sz w:val="24"/>
          <w:szCs w:val="24"/>
        </w:rPr>
        <w:t>t</w:t>
      </w:r>
      <w:r w:rsidR="009024A5" w:rsidRPr="0018095C">
        <w:rPr>
          <w:rFonts w:cstheme="minorHAnsi"/>
          <w:sz w:val="24"/>
          <w:szCs w:val="24"/>
        </w:rPr>
        <w:t xml:space="preserve"> custody. This d</w:t>
      </w:r>
      <w:r w:rsidR="00554F78" w:rsidRPr="0018095C">
        <w:rPr>
          <w:rFonts w:cstheme="minorHAnsi"/>
          <w:sz w:val="24"/>
          <w:szCs w:val="24"/>
        </w:rPr>
        <w:t>id</w:t>
      </w:r>
      <w:r w:rsidR="009024A5" w:rsidRPr="0018095C">
        <w:rPr>
          <w:rFonts w:cstheme="minorHAnsi"/>
          <w:sz w:val="24"/>
          <w:szCs w:val="24"/>
        </w:rPr>
        <w:t xml:space="preserve"> not pertain to the father’s remarriage.</w:t>
      </w:r>
      <w:r w:rsidR="00D07BE6" w:rsidRPr="0018095C">
        <w:rPr>
          <w:rStyle w:val="FootnoteReference"/>
          <w:rFonts w:cstheme="minorHAnsi"/>
          <w:sz w:val="24"/>
          <w:szCs w:val="24"/>
        </w:rPr>
        <w:footnoteReference w:id="25"/>
      </w:r>
    </w:p>
    <w:p w14:paraId="64745D95" w14:textId="77777777" w:rsidR="008E660F" w:rsidRPr="0018095C" w:rsidRDefault="008E660F" w:rsidP="00D67707">
      <w:pPr>
        <w:spacing w:after="0" w:line="240" w:lineRule="auto"/>
        <w:jc w:val="both"/>
        <w:rPr>
          <w:rFonts w:cstheme="minorHAnsi"/>
          <w:sz w:val="24"/>
          <w:szCs w:val="24"/>
        </w:rPr>
      </w:pPr>
    </w:p>
    <w:p w14:paraId="5B7F3BCA" w14:textId="15E3BE05" w:rsidR="008E660F" w:rsidRPr="0018095C" w:rsidRDefault="006A7632" w:rsidP="00D67707">
      <w:pPr>
        <w:spacing w:after="0" w:line="240" w:lineRule="auto"/>
        <w:jc w:val="both"/>
        <w:rPr>
          <w:rFonts w:cstheme="minorHAnsi"/>
          <w:iCs/>
          <w:sz w:val="24"/>
          <w:szCs w:val="24"/>
        </w:rPr>
      </w:pPr>
      <w:r w:rsidRPr="00D5072A">
        <w:rPr>
          <w:rFonts w:cstheme="minorHAnsi"/>
          <w:b/>
          <w:bCs/>
          <w:iCs/>
          <w:sz w:val="24"/>
          <w:szCs w:val="24"/>
        </w:rPr>
        <w:lastRenderedPageBreak/>
        <w:t>Table 1</w:t>
      </w:r>
      <w:r w:rsidRPr="0018095C">
        <w:rPr>
          <w:rFonts w:cstheme="minorHAnsi"/>
          <w:iCs/>
          <w:sz w:val="24"/>
          <w:szCs w:val="24"/>
        </w:rPr>
        <w:t xml:space="preserve"> summarizes the key differences in the two constitutions.  As can be seen, Shia Islam – its institutions, norms, and laws – figures prominently in the 1979 Iranian constitutional clauses, which also make women’s rights conditional to ‘Islamic criteria’, as defined by the new religio-political authorities.</w:t>
      </w:r>
      <w:r w:rsidR="00156F01" w:rsidRPr="0018095C">
        <w:rPr>
          <w:rStyle w:val="FootnoteReference"/>
          <w:rFonts w:cstheme="minorHAnsi"/>
          <w:iCs/>
          <w:sz w:val="24"/>
          <w:szCs w:val="24"/>
        </w:rPr>
        <w:footnoteReference w:id="26"/>
      </w:r>
      <w:r w:rsidRPr="0018095C">
        <w:rPr>
          <w:rFonts w:cstheme="minorHAnsi"/>
          <w:iCs/>
          <w:sz w:val="24"/>
          <w:szCs w:val="24"/>
        </w:rPr>
        <w:t xml:space="preserve"> Tunisia’s 2014 constitution drew to some extent on the 1959 constitution but updated it to include the state’s responsibility to achieve</w:t>
      </w:r>
      <w:r w:rsidR="00943195">
        <w:rPr>
          <w:rFonts w:cstheme="minorHAnsi"/>
          <w:iCs/>
          <w:sz w:val="24"/>
          <w:szCs w:val="24"/>
        </w:rPr>
        <w:t xml:space="preserve"> </w:t>
      </w:r>
      <w:r w:rsidRPr="0018095C">
        <w:rPr>
          <w:rFonts w:cstheme="minorHAnsi"/>
          <w:iCs/>
          <w:sz w:val="24"/>
          <w:szCs w:val="24"/>
        </w:rPr>
        <w:t xml:space="preserve">political parity for women and men and to end violence against women. </w:t>
      </w:r>
    </w:p>
    <w:p w14:paraId="614B50E6" w14:textId="77777777" w:rsidR="004624A9" w:rsidRDefault="004624A9" w:rsidP="00D67707">
      <w:pPr>
        <w:spacing w:after="0" w:line="240" w:lineRule="auto"/>
        <w:jc w:val="both"/>
        <w:rPr>
          <w:rFonts w:cstheme="minorHAnsi"/>
          <w:iCs/>
          <w:sz w:val="24"/>
          <w:szCs w:val="24"/>
        </w:rPr>
      </w:pPr>
    </w:p>
    <w:p w14:paraId="2C450BA4" w14:textId="77777777" w:rsidR="004D613E" w:rsidRPr="0018095C" w:rsidRDefault="004D613E" w:rsidP="00D67707">
      <w:pPr>
        <w:spacing w:after="0" w:line="240" w:lineRule="auto"/>
        <w:jc w:val="both"/>
        <w:rPr>
          <w:rFonts w:cstheme="minorHAnsi"/>
          <w:iCs/>
          <w:sz w:val="24"/>
          <w:szCs w:val="24"/>
        </w:rPr>
      </w:pPr>
    </w:p>
    <w:p w14:paraId="323DA589" w14:textId="097913FB" w:rsidR="001E67F7" w:rsidRPr="00F8487A" w:rsidRDefault="001E67F7" w:rsidP="00F8487A">
      <w:pPr>
        <w:pStyle w:val="Heading3"/>
      </w:pPr>
      <w:r w:rsidRPr="00F8487A">
        <w:t>Iran: Women’s Activism and Acts of Citizenship</w:t>
      </w:r>
    </w:p>
    <w:p w14:paraId="067888BA" w14:textId="77777777" w:rsidR="004624A9" w:rsidRPr="0018095C" w:rsidRDefault="004624A9" w:rsidP="00D67707">
      <w:pPr>
        <w:spacing w:after="0" w:line="240" w:lineRule="auto"/>
        <w:jc w:val="both"/>
        <w:rPr>
          <w:rFonts w:cstheme="minorHAnsi"/>
          <w:i/>
          <w:sz w:val="24"/>
          <w:szCs w:val="24"/>
        </w:rPr>
      </w:pPr>
    </w:p>
    <w:p w14:paraId="16C91971" w14:textId="2BFB97D9" w:rsidR="006A7632" w:rsidRPr="0018095C" w:rsidRDefault="006A7632" w:rsidP="00D67707">
      <w:pPr>
        <w:spacing w:after="0" w:line="240" w:lineRule="auto"/>
        <w:jc w:val="both"/>
        <w:rPr>
          <w:rFonts w:cstheme="minorHAnsi"/>
          <w:sz w:val="24"/>
          <w:szCs w:val="24"/>
        </w:rPr>
      </w:pPr>
      <w:r w:rsidRPr="0018095C">
        <w:rPr>
          <w:rFonts w:cstheme="minorHAnsi"/>
          <w:iCs/>
          <w:sz w:val="24"/>
          <w:szCs w:val="24"/>
        </w:rPr>
        <w:t>Despite the restrictions after Islamization, or perhaps because of them, Iranian women began to engage in acts of citizenship, both active and activist. Women members of parliament, especially in the Fifth and Sixth parliaments</w:t>
      </w:r>
      <w:r w:rsidR="003E2FF5" w:rsidRPr="0018095C">
        <w:rPr>
          <w:rFonts w:cstheme="minorHAnsi"/>
          <w:iCs/>
          <w:sz w:val="24"/>
          <w:szCs w:val="24"/>
        </w:rPr>
        <w:t xml:space="preserve"> (1996-2004)</w:t>
      </w:r>
      <w:r w:rsidRPr="0018095C">
        <w:rPr>
          <w:rFonts w:cstheme="minorHAnsi"/>
          <w:iCs/>
          <w:sz w:val="24"/>
          <w:szCs w:val="24"/>
        </w:rPr>
        <w:t xml:space="preserve">, collaborated with women’s rights advocates in civil society. Within the political process, they helped effect reforms during the presidency of Hashemi Rafsanjani (1989-97), beginning with a 1992 law that sought to restrain the growing trend of male-initiated divorce by tightening requirements for the registration of divorce and providing women with 12 conditions to petition for divorce. A </w:t>
      </w:r>
      <w:r w:rsidRPr="0018095C">
        <w:rPr>
          <w:rFonts w:cstheme="minorHAnsi"/>
          <w:sz w:val="24"/>
          <w:szCs w:val="24"/>
        </w:rPr>
        <w:t>1995 decision allowed women to serve as investigative judges, advisors to judges, and advisors within the judiciary, although they still could not make final decisions as judges.</w:t>
      </w:r>
      <w:r w:rsidRPr="0018095C">
        <w:rPr>
          <w:rStyle w:val="FootnoteReference"/>
          <w:rFonts w:cstheme="minorHAnsi"/>
          <w:sz w:val="24"/>
          <w:szCs w:val="24"/>
        </w:rPr>
        <w:footnoteReference w:id="27"/>
      </w:r>
      <w:r w:rsidRPr="0018095C">
        <w:rPr>
          <w:rFonts w:cstheme="minorHAnsi"/>
          <w:sz w:val="24"/>
          <w:szCs w:val="24"/>
        </w:rPr>
        <w:t xml:space="preserve"> </w:t>
      </w:r>
      <w:r w:rsidR="003B74F5" w:rsidRPr="0018095C">
        <w:rPr>
          <w:rFonts w:cstheme="minorHAnsi"/>
          <w:sz w:val="24"/>
          <w:szCs w:val="24"/>
        </w:rPr>
        <w:t>Women’s acts of citizenship</w:t>
      </w:r>
      <w:r w:rsidRPr="0018095C">
        <w:rPr>
          <w:rFonts w:cstheme="minorHAnsi"/>
          <w:sz w:val="24"/>
          <w:szCs w:val="24"/>
        </w:rPr>
        <w:t xml:space="preserve"> continued more intensely during the reformist era under President Khatami (1997-2005), during which time civil society expanded. During this period, the women’s caucus of the Sixth parliament was especially active in proposing legislation for women’s rights.</w:t>
      </w:r>
      <w:r w:rsidRPr="0018095C">
        <w:rPr>
          <w:rStyle w:val="FootnoteReference"/>
          <w:rFonts w:cstheme="minorHAnsi"/>
          <w:sz w:val="24"/>
          <w:szCs w:val="24"/>
        </w:rPr>
        <w:footnoteReference w:id="28"/>
      </w:r>
      <w:r w:rsidRPr="0018095C">
        <w:rPr>
          <w:rFonts w:cstheme="minorHAnsi"/>
          <w:sz w:val="24"/>
          <w:szCs w:val="24"/>
        </w:rPr>
        <w:t xml:space="preserve"> In civil society, the ‘One Million Signatures</w:t>
      </w:r>
      <w:r w:rsidR="00AA4492" w:rsidRPr="0018095C">
        <w:rPr>
          <w:rFonts w:cstheme="minorHAnsi"/>
          <w:sz w:val="24"/>
          <w:szCs w:val="24"/>
        </w:rPr>
        <w:t>’</w:t>
      </w:r>
      <w:r w:rsidRPr="0018095C">
        <w:rPr>
          <w:rFonts w:cstheme="minorHAnsi"/>
          <w:sz w:val="24"/>
          <w:szCs w:val="24"/>
        </w:rPr>
        <w:t xml:space="preserve"> and the ‘No to Stoning’ campaign</w:t>
      </w:r>
      <w:r w:rsidR="00B049E2">
        <w:rPr>
          <w:rFonts w:cstheme="minorHAnsi"/>
          <w:sz w:val="24"/>
          <w:szCs w:val="24"/>
        </w:rPr>
        <w:t>s</w:t>
      </w:r>
      <w:r w:rsidRPr="0018095C">
        <w:rPr>
          <w:rFonts w:cstheme="minorHAnsi"/>
          <w:sz w:val="24"/>
          <w:szCs w:val="24"/>
        </w:rPr>
        <w:t xml:space="preserve"> were launched during this era.</w:t>
      </w:r>
      <w:r w:rsidRPr="0018095C">
        <w:rPr>
          <w:rStyle w:val="FootnoteReference"/>
          <w:rFonts w:cstheme="minorHAnsi"/>
          <w:sz w:val="24"/>
          <w:szCs w:val="24"/>
        </w:rPr>
        <w:footnoteReference w:id="29"/>
      </w:r>
      <w:r w:rsidRPr="0018095C">
        <w:rPr>
          <w:rFonts w:cstheme="minorHAnsi"/>
          <w:sz w:val="24"/>
          <w:szCs w:val="24"/>
        </w:rPr>
        <w:t xml:space="preserve"> Indeed, women’s </w:t>
      </w:r>
      <w:r w:rsidR="00AA4492" w:rsidRPr="0018095C">
        <w:rPr>
          <w:rFonts w:cstheme="minorHAnsi"/>
          <w:sz w:val="24"/>
          <w:szCs w:val="24"/>
        </w:rPr>
        <w:t>associations</w:t>
      </w:r>
      <w:r w:rsidRPr="0018095C">
        <w:rPr>
          <w:rFonts w:cstheme="minorHAnsi"/>
          <w:sz w:val="24"/>
          <w:szCs w:val="24"/>
        </w:rPr>
        <w:t xml:space="preserve"> expanded in the 1990s, under both Rafsanjani and especially Khatami, when they began to take on more of an advocacy role. A prominent example was the </w:t>
      </w:r>
      <w:r w:rsidRPr="0018095C">
        <w:rPr>
          <w:rFonts w:cstheme="minorHAnsi"/>
          <w:i/>
          <w:iCs/>
          <w:sz w:val="24"/>
          <w:szCs w:val="24"/>
        </w:rPr>
        <w:t xml:space="preserve">Markaz-e </w:t>
      </w:r>
      <w:proofErr w:type="spellStart"/>
      <w:r w:rsidRPr="0018095C">
        <w:rPr>
          <w:rFonts w:cstheme="minorHAnsi"/>
          <w:i/>
          <w:iCs/>
          <w:sz w:val="24"/>
          <w:szCs w:val="24"/>
        </w:rPr>
        <w:t>Farhangi</w:t>
      </w:r>
      <w:proofErr w:type="spellEnd"/>
      <w:r w:rsidRPr="0018095C">
        <w:rPr>
          <w:rFonts w:cstheme="minorHAnsi"/>
          <w:i/>
          <w:iCs/>
          <w:sz w:val="24"/>
          <w:szCs w:val="24"/>
        </w:rPr>
        <w:t xml:space="preserve">-ye </w:t>
      </w:r>
      <w:proofErr w:type="spellStart"/>
      <w:r w:rsidRPr="0018095C">
        <w:rPr>
          <w:rFonts w:cstheme="minorHAnsi"/>
          <w:i/>
          <w:iCs/>
          <w:sz w:val="24"/>
          <w:szCs w:val="24"/>
        </w:rPr>
        <w:t>Zanan</w:t>
      </w:r>
      <w:proofErr w:type="spellEnd"/>
      <w:r w:rsidRPr="0018095C">
        <w:rPr>
          <w:rFonts w:cstheme="minorHAnsi"/>
          <w:i/>
          <w:iCs/>
          <w:sz w:val="24"/>
          <w:szCs w:val="24"/>
        </w:rPr>
        <w:t xml:space="preserve"> </w:t>
      </w:r>
      <w:r w:rsidRPr="0018095C">
        <w:rPr>
          <w:rFonts w:cstheme="minorHAnsi"/>
          <w:sz w:val="24"/>
          <w:szCs w:val="24"/>
        </w:rPr>
        <w:lastRenderedPageBreak/>
        <w:t xml:space="preserve">(Women’s Cultural Center), set up by </w:t>
      </w:r>
      <w:proofErr w:type="spellStart"/>
      <w:r w:rsidRPr="0018095C">
        <w:rPr>
          <w:rFonts w:cstheme="minorHAnsi"/>
          <w:sz w:val="24"/>
          <w:szCs w:val="24"/>
        </w:rPr>
        <w:t>Noushine</w:t>
      </w:r>
      <w:proofErr w:type="spellEnd"/>
      <w:r w:rsidRPr="0018095C">
        <w:rPr>
          <w:rFonts w:cstheme="minorHAnsi"/>
          <w:sz w:val="24"/>
          <w:szCs w:val="24"/>
        </w:rPr>
        <w:t xml:space="preserve"> Ahmadi-Khorasani, and the </w:t>
      </w:r>
      <w:proofErr w:type="spellStart"/>
      <w:r w:rsidRPr="0018095C">
        <w:rPr>
          <w:rFonts w:cstheme="minorHAnsi"/>
          <w:i/>
          <w:iCs/>
          <w:sz w:val="24"/>
          <w:szCs w:val="24"/>
        </w:rPr>
        <w:t>Anjoman</w:t>
      </w:r>
      <w:proofErr w:type="spellEnd"/>
      <w:r w:rsidRPr="0018095C">
        <w:rPr>
          <w:rFonts w:cstheme="minorHAnsi"/>
          <w:i/>
          <w:iCs/>
          <w:sz w:val="24"/>
          <w:szCs w:val="24"/>
        </w:rPr>
        <w:t xml:space="preserve">-e </w:t>
      </w:r>
      <w:proofErr w:type="spellStart"/>
      <w:r w:rsidRPr="0018095C">
        <w:rPr>
          <w:rFonts w:cstheme="minorHAnsi"/>
          <w:i/>
          <w:iCs/>
          <w:sz w:val="24"/>
          <w:szCs w:val="24"/>
        </w:rPr>
        <w:t>Rooznameh</w:t>
      </w:r>
      <w:proofErr w:type="spellEnd"/>
      <w:r w:rsidRPr="0018095C">
        <w:rPr>
          <w:rFonts w:cstheme="minorHAnsi"/>
          <w:i/>
          <w:iCs/>
          <w:sz w:val="24"/>
          <w:szCs w:val="24"/>
        </w:rPr>
        <w:t xml:space="preserve"> </w:t>
      </w:r>
      <w:proofErr w:type="spellStart"/>
      <w:r w:rsidRPr="0018095C">
        <w:rPr>
          <w:rFonts w:cstheme="minorHAnsi"/>
          <w:i/>
          <w:iCs/>
          <w:sz w:val="24"/>
          <w:szCs w:val="24"/>
        </w:rPr>
        <w:t>Negaran</w:t>
      </w:r>
      <w:proofErr w:type="spellEnd"/>
      <w:r w:rsidRPr="0018095C">
        <w:rPr>
          <w:rFonts w:cstheme="minorHAnsi"/>
          <w:i/>
          <w:iCs/>
          <w:sz w:val="24"/>
          <w:szCs w:val="24"/>
        </w:rPr>
        <w:t xml:space="preserve">-e Zan </w:t>
      </w:r>
      <w:r w:rsidRPr="0018095C">
        <w:rPr>
          <w:rFonts w:cstheme="minorHAnsi"/>
          <w:sz w:val="24"/>
          <w:szCs w:val="24"/>
        </w:rPr>
        <w:t xml:space="preserve">(Association of Women Writers and Journalists) set up by Mahboubeh </w:t>
      </w:r>
      <w:proofErr w:type="spellStart"/>
      <w:r w:rsidRPr="0018095C">
        <w:rPr>
          <w:rFonts w:cstheme="minorHAnsi"/>
          <w:sz w:val="24"/>
          <w:szCs w:val="24"/>
        </w:rPr>
        <w:t>Abbasgholizadeh</w:t>
      </w:r>
      <w:proofErr w:type="spellEnd"/>
      <w:r w:rsidRPr="0018095C">
        <w:rPr>
          <w:rFonts w:cstheme="minorHAnsi"/>
          <w:sz w:val="24"/>
          <w:szCs w:val="24"/>
        </w:rPr>
        <w:t xml:space="preserve">. These and other women’s rights groups, and the publications they issued, demonstrated acts of citizenship that were also audacious; as </w:t>
      </w:r>
      <w:proofErr w:type="spellStart"/>
      <w:r w:rsidRPr="0018095C">
        <w:rPr>
          <w:rFonts w:cstheme="minorHAnsi"/>
          <w:sz w:val="24"/>
          <w:szCs w:val="24"/>
        </w:rPr>
        <w:t>Shekarloo</w:t>
      </w:r>
      <w:proofErr w:type="spellEnd"/>
      <w:r w:rsidR="003B74F5" w:rsidRPr="0018095C">
        <w:rPr>
          <w:rFonts w:cstheme="minorHAnsi"/>
          <w:sz w:val="24"/>
          <w:szCs w:val="24"/>
        </w:rPr>
        <w:t xml:space="preserve"> </w:t>
      </w:r>
      <w:r w:rsidRPr="0018095C">
        <w:rPr>
          <w:rFonts w:cstheme="minorHAnsi"/>
          <w:sz w:val="24"/>
          <w:szCs w:val="24"/>
        </w:rPr>
        <w:t xml:space="preserve">astutely noted at the time, </w:t>
      </w:r>
      <w:r w:rsidR="003B74F5" w:rsidRPr="0018095C">
        <w:rPr>
          <w:rFonts w:cstheme="minorHAnsi"/>
          <w:sz w:val="24"/>
          <w:szCs w:val="24"/>
        </w:rPr>
        <w:t>‘</w:t>
      </w:r>
      <w:r w:rsidRPr="0018095C">
        <w:rPr>
          <w:rFonts w:cstheme="minorHAnsi"/>
          <w:sz w:val="24"/>
          <w:szCs w:val="24"/>
        </w:rPr>
        <w:t>Iranian women take on the Constitution</w:t>
      </w:r>
      <w:r w:rsidR="003B74F5" w:rsidRPr="0018095C">
        <w:rPr>
          <w:rFonts w:cstheme="minorHAnsi"/>
          <w:sz w:val="24"/>
          <w:szCs w:val="24"/>
        </w:rPr>
        <w:t>’</w:t>
      </w:r>
      <w:r w:rsidRPr="0018095C">
        <w:rPr>
          <w:rFonts w:cstheme="minorHAnsi"/>
          <w:sz w:val="24"/>
          <w:szCs w:val="24"/>
        </w:rPr>
        <w:t>.</w:t>
      </w:r>
      <w:r w:rsidRPr="0018095C">
        <w:rPr>
          <w:rStyle w:val="FootnoteReference"/>
          <w:rFonts w:cstheme="minorHAnsi"/>
          <w:sz w:val="24"/>
          <w:szCs w:val="24"/>
        </w:rPr>
        <w:footnoteReference w:id="30"/>
      </w:r>
    </w:p>
    <w:p w14:paraId="772301EE" w14:textId="77777777" w:rsidR="003E2FF5" w:rsidRPr="0018095C" w:rsidRDefault="003E2FF5" w:rsidP="00D67707">
      <w:pPr>
        <w:spacing w:after="0" w:line="240" w:lineRule="auto"/>
        <w:jc w:val="both"/>
        <w:rPr>
          <w:rFonts w:cstheme="minorHAnsi"/>
          <w:sz w:val="24"/>
          <w:szCs w:val="24"/>
        </w:rPr>
      </w:pPr>
    </w:p>
    <w:p w14:paraId="63706077" w14:textId="60A63AEA" w:rsidR="006A7632" w:rsidRPr="0018095C" w:rsidRDefault="006A7632" w:rsidP="00D67707">
      <w:pPr>
        <w:spacing w:after="0" w:line="240" w:lineRule="auto"/>
        <w:jc w:val="both"/>
        <w:rPr>
          <w:rFonts w:cstheme="minorHAnsi"/>
          <w:sz w:val="24"/>
          <w:szCs w:val="24"/>
        </w:rPr>
      </w:pPr>
      <w:r w:rsidRPr="0018095C">
        <w:rPr>
          <w:rFonts w:cstheme="minorHAnsi"/>
          <w:sz w:val="24"/>
          <w:szCs w:val="24"/>
        </w:rPr>
        <w:t xml:space="preserve">Among the achievements during that reform era, the Sixth </w:t>
      </w:r>
      <w:r w:rsidR="0032519C">
        <w:rPr>
          <w:rFonts w:cstheme="minorHAnsi"/>
          <w:sz w:val="24"/>
          <w:szCs w:val="24"/>
        </w:rPr>
        <w:t>parliament</w:t>
      </w:r>
      <w:r w:rsidRPr="0018095C">
        <w:rPr>
          <w:rFonts w:cstheme="minorHAnsi"/>
          <w:sz w:val="24"/>
          <w:szCs w:val="24"/>
        </w:rPr>
        <w:t xml:space="preserve"> passed legislation in 2003 so that the custody of both male and female children was granted to the mother until age seven, after which the family court would decide on custody according to the child’s best interests as well as the child’s own preference. The amended law was now closer to Article 3(1) of the </w:t>
      </w:r>
      <w:r w:rsidR="006E1677" w:rsidRPr="0018095C">
        <w:rPr>
          <w:rFonts w:cstheme="minorHAnsi"/>
          <w:sz w:val="24"/>
          <w:szCs w:val="24"/>
        </w:rPr>
        <w:t xml:space="preserve">UN’s </w:t>
      </w:r>
      <w:r w:rsidRPr="0018095C">
        <w:rPr>
          <w:rFonts w:cstheme="minorHAnsi"/>
          <w:sz w:val="24"/>
          <w:szCs w:val="24"/>
        </w:rPr>
        <w:t>Convention on the Rights of the Child. Activists within both civil society and political society sought to raise the minimum age of marriage from puberty to 15 but had to accept 13. They also did not succeed in obtaining ratification of CEDAW.</w:t>
      </w:r>
      <w:r w:rsidRPr="0018095C">
        <w:rPr>
          <w:rStyle w:val="FootnoteReference"/>
          <w:rFonts w:cstheme="minorHAnsi"/>
          <w:sz w:val="24"/>
          <w:szCs w:val="24"/>
        </w:rPr>
        <w:footnoteReference w:id="31"/>
      </w:r>
      <w:r w:rsidRPr="0018095C">
        <w:rPr>
          <w:rFonts w:cstheme="minorHAnsi"/>
          <w:sz w:val="24"/>
          <w:szCs w:val="24"/>
        </w:rPr>
        <w:t xml:space="preserve"> More feminist acts of citizenship occurred in 2008-09, such as the outcry over the controversial </w:t>
      </w:r>
      <w:r w:rsidR="001E67F7" w:rsidRPr="0018095C">
        <w:rPr>
          <w:rFonts w:cstheme="minorHAnsi"/>
          <w:sz w:val="24"/>
          <w:szCs w:val="24"/>
        </w:rPr>
        <w:t>‘</w:t>
      </w:r>
      <w:r w:rsidRPr="0018095C">
        <w:rPr>
          <w:rFonts w:cstheme="minorHAnsi"/>
          <w:sz w:val="24"/>
          <w:szCs w:val="24"/>
        </w:rPr>
        <w:t>Family Protection Bill</w:t>
      </w:r>
      <w:r w:rsidR="001E67F7" w:rsidRPr="0018095C">
        <w:rPr>
          <w:rFonts w:cstheme="minorHAnsi"/>
          <w:sz w:val="24"/>
          <w:szCs w:val="24"/>
        </w:rPr>
        <w:t>’</w:t>
      </w:r>
      <w:r w:rsidRPr="0018095C">
        <w:rPr>
          <w:rFonts w:cstheme="minorHAnsi"/>
          <w:sz w:val="24"/>
          <w:szCs w:val="24"/>
        </w:rPr>
        <w:t xml:space="preserve"> under President Mahmoud Ahmadinejad (subsequently withdrawn), and women’s massive participation in the Green Protests, against a second term for Ahmadinejad. </w:t>
      </w:r>
    </w:p>
    <w:p w14:paraId="28EAA0A1" w14:textId="299DC511" w:rsidR="00F654A9" w:rsidRPr="0072561B" w:rsidRDefault="00F654A9" w:rsidP="00D67707">
      <w:pPr>
        <w:spacing w:after="0" w:line="240" w:lineRule="auto"/>
        <w:jc w:val="both"/>
        <w:rPr>
          <w:rFonts w:cstheme="minorHAnsi"/>
          <w:b/>
          <w:bCs/>
          <w:iCs/>
          <w:sz w:val="24"/>
          <w:szCs w:val="24"/>
        </w:rPr>
      </w:pPr>
    </w:p>
    <w:p w14:paraId="41669256" w14:textId="77777777" w:rsidR="008302F8" w:rsidRPr="0072561B" w:rsidRDefault="008302F8" w:rsidP="00D67707">
      <w:pPr>
        <w:spacing w:after="0" w:line="240" w:lineRule="auto"/>
        <w:jc w:val="both"/>
        <w:rPr>
          <w:rFonts w:cstheme="minorHAnsi"/>
          <w:b/>
          <w:bCs/>
          <w:iCs/>
          <w:sz w:val="24"/>
          <w:szCs w:val="24"/>
        </w:rPr>
      </w:pPr>
    </w:p>
    <w:p w14:paraId="33D8839E" w14:textId="6B3D4771" w:rsidR="00232DB3" w:rsidRDefault="00554F78" w:rsidP="00D67707">
      <w:pPr>
        <w:spacing w:after="0" w:line="240" w:lineRule="auto"/>
        <w:jc w:val="both"/>
        <w:rPr>
          <w:rFonts w:cstheme="minorHAnsi"/>
          <w:b/>
          <w:bCs/>
          <w:iCs/>
          <w:sz w:val="24"/>
          <w:szCs w:val="24"/>
        </w:rPr>
      </w:pPr>
      <w:r w:rsidRPr="0072561B">
        <w:rPr>
          <w:rFonts w:cstheme="minorHAnsi"/>
          <w:b/>
          <w:bCs/>
          <w:iCs/>
          <w:sz w:val="24"/>
          <w:szCs w:val="24"/>
        </w:rPr>
        <w:t>T</w:t>
      </w:r>
      <w:r w:rsidR="00232DB3" w:rsidRPr="0072561B">
        <w:rPr>
          <w:rFonts w:cstheme="minorHAnsi"/>
          <w:b/>
          <w:bCs/>
          <w:iCs/>
          <w:sz w:val="24"/>
          <w:szCs w:val="24"/>
        </w:rPr>
        <w:t xml:space="preserve">able 1: Constitutional articles </w:t>
      </w:r>
      <w:r w:rsidR="007A4660" w:rsidRPr="0072561B">
        <w:rPr>
          <w:rFonts w:cstheme="minorHAnsi"/>
          <w:b/>
          <w:bCs/>
          <w:iCs/>
          <w:sz w:val="24"/>
          <w:szCs w:val="24"/>
        </w:rPr>
        <w:t>relevant to women’s citizenship</w:t>
      </w:r>
    </w:p>
    <w:p w14:paraId="0862327C" w14:textId="77777777" w:rsidR="00FE7F5B" w:rsidRPr="0072561B" w:rsidRDefault="00FE7F5B" w:rsidP="00D67707">
      <w:pPr>
        <w:spacing w:after="0" w:line="240" w:lineRule="auto"/>
        <w:jc w:val="both"/>
        <w:rPr>
          <w:rFonts w:cstheme="minorHAnsi"/>
          <w:b/>
          <w:bCs/>
          <w:iCs/>
          <w:sz w:val="24"/>
          <w:szCs w:val="24"/>
        </w:rPr>
      </w:pPr>
    </w:p>
    <w:tbl>
      <w:tblPr>
        <w:tblStyle w:val="TableGrid"/>
        <w:tblW w:w="0" w:type="auto"/>
        <w:tblInd w:w="-95" w:type="dxa"/>
        <w:tblLook w:val="04A0" w:firstRow="1" w:lastRow="0" w:firstColumn="1" w:lastColumn="0" w:noHBand="0" w:noVBand="1"/>
      </w:tblPr>
      <w:tblGrid>
        <w:gridCol w:w="5040"/>
        <w:gridCol w:w="4405"/>
      </w:tblGrid>
      <w:tr w:rsidR="00232DB3" w:rsidRPr="0018095C" w14:paraId="3C1FF1B5" w14:textId="77777777" w:rsidTr="00232DB3">
        <w:tc>
          <w:tcPr>
            <w:tcW w:w="5040" w:type="dxa"/>
          </w:tcPr>
          <w:p w14:paraId="143E02AB" w14:textId="77777777" w:rsidR="00232DB3" w:rsidRPr="0072561B" w:rsidRDefault="00232DB3" w:rsidP="00D67707">
            <w:pPr>
              <w:jc w:val="both"/>
              <w:rPr>
                <w:rFonts w:cstheme="minorHAnsi"/>
                <w:b/>
                <w:bCs/>
                <w:iCs/>
                <w:sz w:val="24"/>
                <w:szCs w:val="24"/>
              </w:rPr>
            </w:pPr>
            <w:r w:rsidRPr="0072561B">
              <w:rPr>
                <w:rFonts w:cstheme="minorHAnsi"/>
                <w:b/>
                <w:bCs/>
                <w:iCs/>
                <w:sz w:val="24"/>
                <w:szCs w:val="24"/>
              </w:rPr>
              <w:t>Islamic Republic of Iran (1979)</w:t>
            </w:r>
          </w:p>
          <w:p w14:paraId="29F90B6D" w14:textId="77777777" w:rsidR="00232DB3" w:rsidRPr="0072561B" w:rsidRDefault="00232DB3" w:rsidP="00D67707">
            <w:pPr>
              <w:jc w:val="both"/>
              <w:rPr>
                <w:rFonts w:cstheme="minorHAnsi"/>
                <w:b/>
                <w:bCs/>
                <w:iCs/>
                <w:sz w:val="24"/>
                <w:szCs w:val="24"/>
              </w:rPr>
            </w:pPr>
          </w:p>
        </w:tc>
        <w:tc>
          <w:tcPr>
            <w:tcW w:w="4405" w:type="dxa"/>
          </w:tcPr>
          <w:p w14:paraId="52381C01" w14:textId="77777777" w:rsidR="00232DB3" w:rsidRPr="0072561B" w:rsidRDefault="00232DB3" w:rsidP="00D67707">
            <w:pPr>
              <w:jc w:val="both"/>
              <w:rPr>
                <w:rFonts w:cstheme="minorHAnsi"/>
                <w:b/>
                <w:bCs/>
                <w:iCs/>
                <w:sz w:val="24"/>
                <w:szCs w:val="24"/>
              </w:rPr>
            </w:pPr>
            <w:r w:rsidRPr="0072561B">
              <w:rPr>
                <w:rFonts w:cstheme="minorHAnsi"/>
                <w:b/>
                <w:bCs/>
                <w:iCs/>
                <w:sz w:val="24"/>
                <w:szCs w:val="24"/>
              </w:rPr>
              <w:t>Republic of Tunisia (2014)</w:t>
            </w:r>
          </w:p>
          <w:p w14:paraId="4D97302C" w14:textId="77777777" w:rsidR="00232DB3" w:rsidRPr="0072561B" w:rsidRDefault="00232DB3" w:rsidP="00D67707">
            <w:pPr>
              <w:jc w:val="both"/>
              <w:rPr>
                <w:rFonts w:cstheme="minorHAnsi"/>
                <w:b/>
                <w:bCs/>
                <w:iCs/>
                <w:sz w:val="24"/>
                <w:szCs w:val="24"/>
              </w:rPr>
            </w:pPr>
          </w:p>
        </w:tc>
      </w:tr>
      <w:tr w:rsidR="00232DB3" w:rsidRPr="0018095C" w14:paraId="75D07883" w14:textId="77777777" w:rsidTr="00232DB3">
        <w:tc>
          <w:tcPr>
            <w:tcW w:w="5040" w:type="dxa"/>
          </w:tcPr>
          <w:p w14:paraId="308891E9" w14:textId="3F367513" w:rsidR="00232DB3" w:rsidRPr="0072561B" w:rsidRDefault="00232DB3" w:rsidP="004D613E">
            <w:pPr>
              <w:rPr>
                <w:rFonts w:cstheme="minorHAnsi"/>
                <w:iCs/>
                <w:sz w:val="24"/>
                <w:szCs w:val="24"/>
              </w:rPr>
            </w:pPr>
            <w:r w:rsidRPr="0072561B">
              <w:rPr>
                <w:rFonts w:cstheme="minorHAnsi"/>
                <w:iCs/>
                <w:sz w:val="24"/>
                <w:szCs w:val="24"/>
              </w:rPr>
              <w:t xml:space="preserve">Article 1: The form of government of Iran is an Islamic Republic, endorsed by the people of Iran on the basis of their… belief in the sovereignty of truth and Qur'anic justice, …, through the affirmative vote of a majority of 98.2% of eligible voters, held after the victorious Islamic Revolution led by the eminent </w:t>
            </w:r>
            <w:proofErr w:type="spellStart"/>
            <w:r w:rsidRPr="0072561B">
              <w:rPr>
                <w:rFonts w:cstheme="minorHAnsi"/>
                <w:iCs/>
                <w:sz w:val="24"/>
                <w:szCs w:val="24"/>
              </w:rPr>
              <w:t>marji'al</w:t>
            </w:r>
            <w:proofErr w:type="spellEnd"/>
            <w:r w:rsidRPr="0072561B">
              <w:rPr>
                <w:rFonts w:cstheme="minorHAnsi"/>
                <w:iCs/>
                <w:sz w:val="24"/>
                <w:szCs w:val="24"/>
              </w:rPr>
              <w:t xml:space="preserve">-taqlid, Ayatullah al-Uzma Imam </w:t>
            </w:r>
            <w:proofErr w:type="spellStart"/>
            <w:r w:rsidRPr="0072561B">
              <w:rPr>
                <w:rFonts w:cstheme="minorHAnsi"/>
                <w:iCs/>
                <w:sz w:val="24"/>
                <w:szCs w:val="24"/>
              </w:rPr>
              <w:t>Khumayni</w:t>
            </w:r>
            <w:proofErr w:type="spellEnd"/>
            <w:r w:rsidRPr="0072561B">
              <w:rPr>
                <w:rFonts w:cstheme="minorHAnsi"/>
                <w:iCs/>
                <w:sz w:val="24"/>
                <w:szCs w:val="24"/>
              </w:rPr>
              <w:t>.</w:t>
            </w:r>
          </w:p>
          <w:p w14:paraId="0252535E" w14:textId="77777777" w:rsidR="00232DB3" w:rsidRPr="0072561B" w:rsidRDefault="00232DB3" w:rsidP="004D613E">
            <w:pPr>
              <w:rPr>
                <w:rFonts w:cstheme="minorHAnsi"/>
                <w:iCs/>
                <w:sz w:val="24"/>
                <w:szCs w:val="24"/>
              </w:rPr>
            </w:pPr>
          </w:p>
        </w:tc>
        <w:tc>
          <w:tcPr>
            <w:tcW w:w="4405" w:type="dxa"/>
          </w:tcPr>
          <w:p w14:paraId="2B54E7B6" w14:textId="3AE49A02" w:rsidR="00232DB3" w:rsidRPr="0072561B" w:rsidRDefault="00232DB3" w:rsidP="004D613E">
            <w:pPr>
              <w:rPr>
                <w:rFonts w:cstheme="minorHAnsi"/>
                <w:iCs/>
                <w:sz w:val="24"/>
                <w:szCs w:val="24"/>
              </w:rPr>
            </w:pPr>
            <w:r w:rsidRPr="0072561B">
              <w:rPr>
                <w:rFonts w:cstheme="minorHAnsi"/>
                <w:iCs/>
                <w:sz w:val="24"/>
                <w:szCs w:val="24"/>
              </w:rPr>
              <w:t xml:space="preserve">Article 1. Tunisia is a free, independent, sovereign state; its religion is Islam, its language </w:t>
            </w:r>
            <w:r w:rsidR="00795327">
              <w:rPr>
                <w:rFonts w:cstheme="minorHAnsi"/>
                <w:iCs/>
                <w:sz w:val="24"/>
                <w:szCs w:val="24"/>
              </w:rPr>
              <w:t xml:space="preserve">is </w:t>
            </w:r>
            <w:r w:rsidRPr="0072561B">
              <w:rPr>
                <w:rFonts w:cstheme="minorHAnsi"/>
                <w:iCs/>
                <w:sz w:val="24"/>
                <w:szCs w:val="24"/>
              </w:rPr>
              <w:t>Arabic, and its system is republican. This article might not be amended.</w:t>
            </w:r>
          </w:p>
          <w:p w14:paraId="7349EB30" w14:textId="77777777" w:rsidR="00232DB3" w:rsidRPr="0072561B" w:rsidRDefault="00232DB3" w:rsidP="004D613E">
            <w:pPr>
              <w:rPr>
                <w:rFonts w:cstheme="minorHAnsi"/>
                <w:iCs/>
                <w:sz w:val="24"/>
                <w:szCs w:val="24"/>
              </w:rPr>
            </w:pPr>
          </w:p>
        </w:tc>
      </w:tr>
      <w:tr w:rsidR="00232DB3" w:rsidRPr="0018095C" w14:paraId="066F4C89" w14:textId="77777777" w:rsidTr="00232DB3">
        <w:tc>
          <w:tcPr>
            <w:tcW w:w="5040" w:type="dxa"/>
          </w:tcPr>
          <w:p w14:paraId="59AC1EF7" w14:textId="273629ED" w:rsidR="00232DB3" w:rsidRPr="0072561B" w:rsidRDefault="00232DB3" w:rsidP="004D613E">
            <w:pPr>
              <w:rPr>
                <w:rFonts w:cstheme="minorHAnsi"/>
                <w:iCs/>
                <w:sz w:val="24"/>
                <w:szCs w:val="24"/>
              </w:rPr>
            </w:pPr>
            <w:r w:rsidRPr="0072561B">
              <w:rPr>
                <w:rFonts w:cstheme="minorHAnsi"/>
                <w:iCs/>
                <w:sz w:val="24"/>
                <w:szCs w:val="24"/>
              </w:rPr>
              <w:t>Article 4: All civil, penal financial, economic, administrative, cultural, military, political, and other laws and regulations must be based on Islamic criteria [</w:t>
            </w:r>
            <w:proofErr w:type="spellStart"/>
            <w:r w:rsidRPr="0072561B">
              <w:rPr>
                <w:rFonts w:cstheme="minorHAnsi"/>
                <w:i/>
                <w:sz w:val="24"/>
                <w:szCs w:val="24"/>
              </w:rPr>
              <w:t>ahkam</w:t>
            </w:r>
            <w:proofErr w:type="spellEnd"/>
            <w:r w:rsidRPr="0072561B">
              <w:rPr>
                <w:rFonts w:cstheme="minorHAnsi"/>
                <w:i/>
                <w:sz w:val="24"/>
                <w:szCs w:val="24"/>
              </w:rPr>
              <w:t xml:space="preserve"> </w:t>
            </w:r>
            <w:r w:rsidRPr="0072561B">
              <w:rPr>
                <w:rFonts w:cstheme="minorHAnsi"/>
                <w:iCs/>
                <w:sz w:val="24"/>
                <w:szCs w:val="24"/>
              </w:rPr>
              <w:t xml:space="preserve">and Shia </w:t>
            </w:r>
            <w:proofErr w:type="spellStart"/>
            <w:proofErr w:type="gramStart"/>
            <w:r w:rsidRPr="0072561B">
              <w:rPr>
                <w:rFonts w:cstheme="minorHAnsi"/>
                <w:i/>
                <w:sz w:val="24"/>
                <w:szCs w:val="24"/>
              </w:rPr>
              <w:t>figh</w:t>
            </w:r>
            <w:proofErr w:type="spellEnd"/>
            <w:r w:rsidRPr="0072561B">
              <w:rPr>
                <w:rFonts w:cstheme="minorHAnsi"/>
                <w:iCs/>
                <w:sz w:val="24"/>
                <w:szCs w:val="24"/>
              </w:rPr>
              <w:t>]...</w:t>
            </w:r>
            <w:proofErr w:type="gramEnd"/>
            <w:r w:rsidRPr="0072561B">
              <w:rPr>
                <w:rFonts w:cstheme="minorHAnsi"/>
                <w:iCs/>
                <w:sz w:val="24"/>
                <w:szCs w:val="24"/>
              </w:rPr>
              <w:t>, the fuqaha' of the Guardian Council are judges in this matter. </w:t>
            </w:r>
          </w:p>
          <w:p w14:paraId="3B2CE0CB" w14:textId="77777777" w:rsidR="00232DB3" w:rsidRPr="0072561B" w:rsidRDefault="00232DB3" w:rsidP="004D613E">
            <w:pPr>
              <w:rPr>
                <w:rFonts w:cstheme="minorHAnsi"/>
                <w:iCs/>
                <w:sz w:val="24"/>
                <w:szCs w:val="24"/>
              </w:rPr>
            </w:pPr>
          </w:p>
        </w:tc>
        <w:tc>
          <w:tcPr>
            <w:tcW w:w="4405" w:type="dxa"/>
          </w:tcPr>
          <w:p w14:paraId="43B89746" w14:textId="77777777" w:rsidR="00232DB3" w:rsidRPr="0072561B" w:rsidRDefault="00232DB3" w:rsidP="004D613E">
            <w:pPr>
              <w:rPr>
                <w:rFonts w:cstheme="minorHAnsi"/>
                <w:iCs/>
                <w:sz w:val="24"/>
                <w:szCs w:val="24"/>
              </w:rPr>
            </w:pPr>
            <w:r w:rsidRPr="0072561B">
              <w:rPr>
                <w:rFonts w:cstheme="minorHAnsi"/>
                <w:iCs/>
                <w:sz w:val="24"/>
                <w:szCs w:val="24"/>
              </w:rPr>
              <w:t>Article 2. Tunisia is a civil state based on citizenship, the will of the people, and the supremacy of law. This article might not be amended.</w:t>
            </w:r>
          </w:p>
          <w:p w14:paraId="1B9035DE" w14:textId="77777777" w:rsidR="00232DB3" w:rsidRPr="0072561B" w:rsidRDefault="00232DB3" w:rsidP="004D613E">
            <w:pPr>
              <w:rPr>
                <w:rFonts w:cstheme="minorHAnsi"/>
                <w:iCs/>
                <w:sz w:val="24"/>
                <w:szCs w:val="24"/>
              </w:rPr>
            </w:pPr>
          </w:p>
        </w:tc>
      </w:tr>
      <w:tr w:rsidR="00232DB3" w:rsidRPr="0018095C" w14:paraId="5EB80460" w14:textId="77777777" w:rsidTr="00232DB3">
        <w:tc>
          <w:tcPr>
            <w:tcW w:w="5040" w:type="dxa"/>
          </w:tcPr>
          <w:p w14:paraId="76D7D0CC" w14:textId="77777777" w:rsidR="00232DB3" w:rsidRPr="0072561B" w:rsidRDefault="00232DB3" w:rsidP="004D613E">
            <w:pPr>
              <w:rPr>
                <w:rFonts w:cstheme="minorHAnsi"/>
                <w:iCs/>
                <w:sz w:val="24"/>
                <w:szCs w:val="24"/>
              </w:rPr>
            </w:pPr>
            <w:r w:rsidRPr="0072561B">
              <w:rPr>
                <w:rFonts w:cstheme="minorHAnsi"/>
                <w:iCs/>
                <w:sz w:val="24"/>
                <w:szCs w:val="24"/>
              </w:rPr>
              <w:lastRenderedPageBreak/>
              <w:t>Article 19: All people of Iran, whatever the ethnic group or tribe to which they belong, enjoy equal rights; and color, race, language, and the like, do not bestow any privilege.</w:t>
            </w:r>
          </w:p>
          <w:p w14:paraId="507228AE" w14:textId="77777777" w:rsidR="00232DB3" w:rsidRPr="0072561B" w:rsidRDefault="00232DB3" w:rsidP="004D613E">
            <w:pPr>
              <w:rPr>
                <w:rFonts w:cstheme="minorHAnsi"/>
                <w:iCs/>
                <w:sz w:val="24"/>
                <w:szCs w:val="24"/>
              </w:rPr>
            </w:pPr>
            <w:r w:rsidRPr="0072561B">
              <w:rPr>
                <w:rFonts w:cstheme="minorHAnsi"/>
                <w:iCs/>
                <w:sz w:val="24"/>
                <w:szCs w:val="24"/>
              </w:rPr>
              <w:t> </w:t>
            </w:r>
          </w:p>
          <w:p w14:paraId="468F7DBE" w14:textId="77777777" w:rsidR="00232DB3" w:rsidRPr="0072561B" w:rsidRDefault="00232DB3" w:rsidP="004D613E">
            <w:pPr>
              <w:rPr>
                <w:rFonts w:cstheme="minorHAnsi"/>
                <w:iCs/>
                <w:sz w:val="24"/>
                <w:szCs w:val="24"/>
              </w:rPr>
            </w:pPr>
          </w:p>
        </w:tc>
        <w:tc>
          <w:tcPr>
            <w:tcW w:w="4405" w:type="dxa"/>
          </w:tcPr>
          <w:p w14:paraId="09D7B665" w14:textId="77777777" w:rsidR="00232DB3" w:rsidRPr="0072561B" w:rsidRDefault="00232DB3" w:rsidP="004D613E">
            <w:pPr>
              <w:rPr>
                <w:rFonts w:cstheme="minorHAnsi"/>
                <w:iCs/>
                <w:sz w:val="24"/>
                <w:szCs w:val="24"/>
              </w:rPr>
            </w:pPr>
            <w:r w:rsidRPr="0072561B">
              <w:rPr>
                <w:rFonts w:cstheme="minorHAnsi"/>
                <w:iCs/>
                <w:sz w:val="24"/>
                <w:szCs w:val="24"/>
              </w:rPr>
              <w:t>Article 20. International agreements approved and ratified by the Assembly of the Representatives of the People have a status superior to that of laws and inferior to that of the Constitution.</w:t>
            </w:r>
          </w:p>
          <w:p w14:paraId="337D0866" w14:textId="77777777" w:rsidR="00232DB3" w:rsidRPr="0072561B" w:rsidRDefault="00232DB3" w:rsidP="004D613E">
            <w:pPr>
              <w:rPr>
                <w:rFonts w:cstheme="minorHAnsi"/>
                <w:iCs/>
                <w:sz w:val="24"/>
                <w:szCs w:val="24"/>
              </w:rPr>
            </w:pPr>
          </w:p>
        </w:tc>
      </w:tr>
      <w:tr w:rsidR="00232DB3" w:rsidRPr="0018095C" w14:paraId="4591DB2C" w14:textId="77777777" w:rsidTr="00232DB3">
        <w:tc>
          <w:tcPr>
            <w:tcW w:w="5040" w:type="dxa"/>
          </w:tcPr>
          <w:p w14:paraId="548CB01D" w14:textId="77777777" w:rsidR="00232DB3" w:rsidRPr="0072561B" w:rsidRDefault="00232DB3" w:rsidP="004D613E">
            <w:pPr>
              <w:rPr>
                <w:rFonts w:cstheme="minorHAnsi"/>
                <w:iCs/>
                <w:sz w:val="24"/>
                <w:szCs w:val="24"/>
              </w:rPr>
            </w:pPr>
            <w:r w:rsidRPr="0072561B">
              <w:rPr>
                <w:rFonts w:cstheme="minorHAnsi"/>
                <w:iCs/>
                <w:sz w:val="24"/>
                <w:szCs w:val="24"/>
              </w:rPr>
              <w:t>Article 20: All citizens of the country, both men and women, equally enjoy the protection of the law and enjoy all human, political, economic, social, and cultural rights, in conformity with Islamic criteria.</w:t>
            </w:r>
          </w:p>
          <w:p w14:paraId="344D2F30" w14:textId="77777777" w:rsidR="00232DB3" w:rsidRPr="0072561B" w:rsidRDefault="00232DB3" w:rsidP="004D613E">
            <w:pPr>
              <w:ind w:left="720"/>
              <w:rPr>
                <w:rFonts w:cstheme="minorHAnsi"/>
                <w:iCs/>
                <w:sz w:val="24"/>
                <w:szCs w:val="24"/>
              </w:rPr>
            </w:pPr>
          </w:p>
          <w:p w14:paraId="1018186F" w14:textId="77777777" w:rsidR="00232DB3" w:rsidRPr="0072561B" w:rsidRDefault="00232DB3" w:rsidP="004D613E">
            <w:pPr>
              <w:rPr>
                <w:rFonts w:cstheme="minorHAnsi"/>
                <w:iCs/>
                <w:sz w:val="24"/>
                <w:szCs w:val="24"/>
              </w:rPr>
            </w:pPr>
          </w:p>
        </w:tc>
        <w:tc>
          <w:tcPr>
            <w:tcW w:w="4405" w:type="dxa"/>
          </w:tcPr>
          <w:p w14:paraId="076E258E" w14:textId="77777777" w:rsidR="00232DB3" w:rsidRPr="0072561B" w:rsidRDefault="00232DB3" w:rsidP="004D613E">
            <w:pPr>
              <w:rPr>
                <w:rFonts w:cstheme="minorHAnsi"/>
                <w:iCs/>
                <w:sz w:val="24"/>
                <w:szCs w:val="24"/>
              </w:rPr>
            </w:pPr>
            <w:r w:rsidRPr="0072561B">
              <w:rPr>
                <w:rFonts w:cstheme="minorHAnsi"/>
                <w:iCs/>
                <w:sz w:val="24"/>
                <w:szCs w:val="24"/>
              </w:rPr>
              <w:t>Article 21. All citizens, male and female, have equal rights and duties, and are equal before the law without any discrimination. The state guarantees freedoms and individual and collective rights to all citizens and provides all citizens the conditions for a dignified life.</w:t>
            </w:r>
          </w:p>
          <w:p w14:paraId="27A37A26" w14:textId="77777777" w:rsidR="00232DB3" w:rsidRPr="0072561B" w:rsidRDefault="00232DB3" w:rsidP="004D613E">
            <w:pPr>
              <w:rPr>
                <w:rFonts w:cstheme="minorHAnsi"/>
                <w:iCs/>
                <w:sz w:val="24"/>
                <w:szCs w:val="24"/>
              </w:rPr>
            </w:pPr>
          </w:p>
        </w:tc>
      </w:tr>
      <w:tr w:rsidR="00232DB3" w:rsidRPr="0018095C" w14:paraId="24C7FC7B" w14:textId="77777777" w:rsidTr="00232DB3">
        <w:tc>
          <w:tcPr>
            <w:tcW w:w="5040" w:type="dxa"/>
          </w:tcPr>
          <w:p w14:paraId="0791F8E3" w14:textId="77777777" w:rsidR="00232DB3" w:rsidRPr="0072561B" w:rsidRDefault="00232DB3" w:rsidP="004D613E">
            <w:pPr>
              <w:rPr>
                <w:rFonts w:cstheme="minorHAnsi"/>
                <w:iCs/>
                <w:sz w:val="24"/>
                <w:szCs w:val="24"/>
              </w:rPr>
            </w:pPr>
            <w:r w:rsidRPr="0072561B">
              <w:rPr>
                <w:rFonts w:cstheme="minorHAnsi"/>
                <w:iCs/>
                <w:sz w:val="24"/>
                <w:szCs w:val="24"/>
              </w:rPr>
              <w:t>Article 21: The government must ensure the rights of women in all respects, in conformity with Islamic criteria, [to]:</w:t>
            </w:r>
          </w:p>
          <w:p w14:paraId="77437E4D" w14:textId="77777777" w:rsidR="0077299E" w:rsidRDefault="00232DB3" w:rsidP="004D613E">
            <w:pPr>
              <w:rPr>
                <w:rFonts w:cstheme="minorHAnsi"/>
                <w:iCs/>
                <w:sz w:val="24"/>
                <w:szCs w:val="24"/>
              </w:rPr>
            </w:pPr>
            <w:r w:rsidRPr="0072561B">
              <w:rPr>
                <w:rFonts w:cstheme="minorHAnsi"/>
                <w:iCs/>
                <w:sz w:val="24"/>
                <w:szCs w:val="24"/>
              </w:rPr>
              <w:t>1. Create a favorable environment for the growth of woman's personality…</w:t>
            </w:r>
          </w:p>
          <w:p w14:paraId="0605BE09" w14:textId="41D10E4C" w:rsidR="00232DB3" w:rsidRPr="0072561B" w:rsidRDefault="00232DB3" w:rsidP="004D613E">
            <w:pPr>
              <w:rPr>
                <w:rFonts w:cstheme="minorHAnsi"/>
                <w:iCs/>
                <w:sz w:val="24"/>
                <w:szCs w:val="24"/>
              </w:rPr>
            </w:pPr>
            <w:r w:rsidRPr="0072561B">
              <w:rPr>
                <w:rFonts w:cstheme="minorHAnsi"/>
                <w:iCs/>
                <w:sz w:val="24"/>
                <w:szCs w:val="24"/>
              </w:rPr>
              <w:t>2. Protect mothers, particularly during pregnancy and childbearing,</w:t>
            </w:r>
            <w:r w:rsidR="007B0A18" w:rsidRPr="0072561B">
              <w:rPr>
                <w:rFonts w:cstheme="minorHAnsi"/>
                <w:iCs/>
                <w:sz w:val="24"/>
                <w:szCs w:val="24"/>
              </w:rPr>
              <w:t xml:space="preserve"> </w:t>
            </w:r>
            <w:r w:rsidRPr="0072561B">
              <w:rPr>
                <w:rFonts w:cstheme="minorHAnsi"/>
                <w:iCs/>
                <w:sz w:val="24"/>
                <w:szCs w:val="24"/>
              </w:rPr>
              <w:t xml:space="preserve">… </w:t>
            </w:r>
          </w:p>
          <w:p w14:paraId="27148BF9" w14:textId="77777777" w:rsidR="0077299E" w:rsidRDefault="00232DB3" w:rsidP="004D613E">
            <w:pPr>
              <w:rPr>
                <w:rFonts w:cstheme="minorHAnsi"/>
                <w:iCs/>
                <w:sz w:val="24"/>
                <w:szCs w:val="24"/>
              </w:rPr>
            </w:pPr>
            <w:r w:rsidRPr="0072561B">
              <w:rPr>
                <w:rFonts w:cstheme="minorHAnsi"/>
                <w:iCs/>
                <w:sz w:val="24"/>
                <w:szCs w:val="24"/>
              </w:rPr>
              <w:t xml:space="preserve">3. Establish competent courts to protect and preserve the </w:t>
            </w:r>
            <w:proofErr w:type="gramStart"/>
            <w:r w:rsidRPr="0072561B">
              <w:rPr>
                <w:rFonts w:cstheme="minorHAnsi"/>
                <w:iCs/>
                <w:sz w:val="24"/>
                <w:szCs w:val="24"/>
              </w:rPr>
              <w:t>family;</w:t>
            </w:r>
            <w:proofErr w:type="gramEnd"/>
            <w:r w:rsidRPr="0072561B">
              <w:rPr>
                <w:rFonts w:cstheme="minorHAnsi"/>
                <w:iCs/>
                <w:sz w:val="24"/>
                <w:szCs w:val="24"/>
              </w:rPr>
              <w:t> </w:t>
            </w:r>
          </w:p>
          <w:p w14:paraId="7F3B91CF" w14:textId="0C1E3FBF" w:rsidR="004D613E" w:rsidRDefault="00232DB3" w:rsidP="004D613E">
            <w:pPr>
              <w:rPr>
                <w:rFonts w:cstheme="minorHAnsi"/>
                <w:iCs/>
                <w:sz w:val="24"/>
                <w:szCs w:val="24"/>
              </w:rPr>
            </w:pPr>
            <w:r w:rsidRPr="0072561B">
              <w:rPr>
                <w:rFonts w:cstheme="minorHAnsi"/>
                <w:iCs/>
                <w:sz w:val="24"/>
                <w:szCs w:val="24"/>
              </w:rPr>
              <w:t xml:space="preserve">4. Provide special insurance for widows, and aged women and women without </w:t>
            </w:r>
            <w:proofErr w:type="gramStart"/>
            <w:r w:rsidRPr="0072561B">
              <w:rPr>
                <w:rFonts w:cstheme="minorHAnsi"/>
                <w:iCs/>
                <w:sz w:val="24"/>
                <w:szCs w:val="24"/>
              </w:rPr>
              <w:t>support;</w:t>
            </w:r>
            <w:proofErr w:type="gramEnd"/>
            <w:r w:rsidRPr="0072561B">
              <w:rPr>
                <w:rFonts w:cstheme="minorHAnsi"/>
                <w:iCs/>
                <w:sz w:val="24"/>
                <w:szCs w:val="24"/>
              </w:rPr>
              <w:t> </w:t>
            </w:r>
          </w:p>
          <w:p w14:paraId="25582122" w14:textId="7F803675" w:rsidR="00232DB3" w:rsidRPr="0072561B" w:rsidRDefault="00232DB3" w:rsidP="004D613E">
            <w:pPr>
              <w:rPr>
                <w:rFonts w:cstheme="minorHAnsi"/>
                <w:iCs/>
                <w:sz w:val="24"/>
                <w:szCs w:val="24"/>
              </w:rPr>
            </w:pPr>
            <w:r w:rsidRPr="0072561B">
              <w:rPr>
                <w:rFonts w:cstheme="minorHAnsi"/>
                <w:iCs/>
                <w:sz w:val="24"/>
                <w:szCs w:val="24"/>
              </w:rPr>
              <w:t>5. Award guardianship of children to worthy mothers, … in the absence of a legal guardian.</w:t>
            </w:r>
          </w:p>
          <w:p w14:paraId="40FBE23A" w14:textId="77777777" w:rsidR="00232DB3" w:rsidRPr="0072561B" w:rsidRDefault="00232DB3" w:rsidP="004D613E">
            <w:pPr>
              <w:rPr>
                <w:rFonts w:cstheme="minorHAnsi"/>
                <w:iCs/>
                <w:sz w:val="24"/>
                <w:szCs w:val="24"/>
              </w:rPr>
            </w:pPr>
          </w:p>
        </w:tc>
        <w:tc>
          <w:tcPr>
            <w:tcW w:w="4405" w:type="dxa"/>
          </w:tcPr>
          <w:p w14:paraId="1A22B2D9" w14:textId="23BCAF6C" w:rsidR="00232DB3" w:rsidRPr="0072561B" w:rsidRDefault="00232DB3" w:rsidP="004D613E">
            <w:pPr>
              <w:rPr>
                <w:rFonts w:cstheme="minorHAnsi"/>
                <w:iCs/>
                <w:sz w:val="24"/>
                <w:szCs w:val="24"/>
              </w:rPr>
            </w:pPr>
            <w:r w:rsidRPr="0072561B">
              <w:rPr>
                <w:rFonts w:cstheme="minorHAnsi"/>
                <w:iCs/>
                <w:sz w:val="24"/>
                <w:szCs w:val="24"/>
              </w:rPr>
              <w:t>Article 46. The State commits to protecting women’s achieved rights and works to promote and develop them. The State shall guarantee equality of opportunity between men and women in the bearing of all responsibilities and in all fields. The State shall strive to achieve equal representation for women and in elected councils. The State shall take the necessary measures to eradicate violence against women</w:t>
            </w:r>
            <w:r w:rsidR="007467DC">
              <w:rPr>
                <w:rFonts w:cstheme="minorHAnsi"/>
                <w:iCs/>
                <w:sz w:val="24"/>
                <w:szCs w:val="24"/>
              </w:rPr>
              <w:t>.</w:t>
            </w:r>
          </w:p>
          <w:p w14:paraId="4033F843" w14:textId="77777777" w:rsidR="00232DB3" w:rsidRPr="0072561B" w:rsidRDefault="00232DB3" w:rsidP="004D613E">
            <w:pPr>
              <w:rPr>
                <w:rFonts w:cstheme="minorHAnsi"/>
                <w:iCs/>
                <w:sz w:val="24"/>
                <w:szCs w:val="24"/>
              </w:rPr>
            </w:pPr>
          </w:p>
        </w:tc>
      </w:tr>
    </w:tbl>
    <w:p w14:paraId="6934F879" w14:textId="77777777" w:rsidR="002A424D" w:rsidRDefault="002A424D" w:rsidP="00D67707">
      <w:pPr>
        <w:spacing w:after="0" w:line="240" w:lineRule="auto"/>
        <w:jc w:val="both"/>
        <w:rPr>
          <w:rFonts w:cstheme="minorHAnsi"/>
          <w:iCs/>
          <w:sz w:val="24"/>
          <w:szCs w:val="24"/>
        </w:rPr>
      </w:pPr>
    </w:p>
    <w:p w14:paraId="0F0D0657" w14:textId="77777777" w:rsidR="004D613E" w:rsidRPr="0018095C" w:rsidRDefault="004D613E" w:rsidP="00D67707">
      <w:pPr>
        <w:spacing w:after="0" w:line="240" w:lineRule="auto"/>
        <w:jc w:val="both"/>
        <w:rPr>
          <w:rFonts w:cstheme="minorHAnsi"/>
          <w:iCs/>
          <w:sz w:val="24"/>
          <w:szCs w:val="24"/>
        </w:rPr>
      </w:pPr>
    </w:p>
    <w:p w14:paraId="1708C5E3" w14:textId="77777777" w:rsidR="00F654A9" w:rsidRPr="0018095C" w:rsidRDefault="00F654A9" w:rsidP="00D26BDC">
      <w:pPr>
        <w:pStyle w:val="Heading3"/>
      </w:pPr>
      <w:r w:rsidRPr="0018095C">
        <w:t>Tunisia: Women’s Citizenship Rights Expanded</w:t>
      </w:r>
    </w:p>
    <w:p w14:paraId="7491A08E" w14:textId="77777777" w:rsidR="004D613E" w:rsidRDefault="004D613E" w:rsidP="00D67707">
      <w:pPr>
        <w:spacing w:after="0" w:line="240" w:lineRule="auto"/>
        <w:jc w:val="both"/>
        <w:rPr>
          <w:rFonts w:cstheme="minorHAnsi"/>
          <w:iCs/>
          <w:sz w:val="24"/>
          <w:szCs w:val="24"/>
        </w:rPr>
      </w:pPr>
    </w:p>
    <w:p w14:paraId="469C445F" w14:textId="79B65082" w:rsidR="00F654A9" w:rsidRPr="0018095C" w:rsidRDefault="00F654A9" w:rsidP="00D67707">
      <w:pPr>
        <w:spacing w:after="0" w:line="240" w:lineRule="auto"/>
        <w:jc w:val="both"/>
        <w:rPr>
          <w:rFonts w:cstheme="minorHAnsi"/>
          <w:sz w:val="24"/>
          <w:szCs w:val="24"/>
        </w:rPr>
      </w:pPr>
      <w:r w:rsidRPr="0018095C">
        <w:rPr>
          <w:rFonts w:cstheme="minorHAnsi"/>
          <w:iCs/>
          <w:sz w:val="24"/>
          <w:szCs w:val="24"/>
        </w:rPr>
        <w:t xml:space="preserve">The period after the 2011 political revolution saw feminist mobilization </w:t>
      </w:r>
      <w:r w:rsidR="003E096F">
        <w:rPr>
          <w:rFonts w:cstheme="minorHAnsi"/>
          <w:iCs/>
          <w:sz w:val="24"/>
          <w:szCs w:val="24"/>
        </w:rPr>
        <w:t xml:space="preserve">in an effort </w:t>
      </w:r>
      <w:r w:rsidRPr="0018095C">
        <w:rPr>
          <w:rFonts w:cstheme="minorHAnsi"/>
          <w:iCs/>
          <w:sz w:val="24"/>
          <w:szCs w:val="24"/>
        </w:rPr>
        <w:t>to ensure that the newly empowered Islamist movement and political party would not undermine women’s achieved rights</w:t>
      </w:r>
      <w:bookmarkStart w:id="1" w:name="_Hlk138761937"/>
      <w:r w:rsidRPr="0018095C">
        <w:rPr>
          <w:rFonts w:cstheme="minorHAnsi"/>
          <w:sz w:val="24"/>
          <w:szCs w:val="24"/>
        </w:rPr>
        <w:t>.</w:t>
      </w:r>
      <w:r w:rsidRPr="0018095C">
        <w:rPr>
          <w:rStyle w:val="FootnoteReference"/>
          <w:rFonts w:cstheme="minorHAnsi"/>
          <w:sz w:val="24"/>
          <w:szCs w:val="24"/>
        </w:rPr>
        <w:footnoteReference w:id="32"/>
      </w:r>
      <w:r w:rsidRPr="0018095C">
        <w:rPr>
          <w:rFonts w:cstheme="minorHAnsi"/>
          <w:sz w:val="24"/>
          <w:szCs w:val="24"/>
        </w:rPr>
        <w:t xml:space="preserve"> </w:t>
      </w:r>
      <w:bookmarkEnd w:id="1"/>
      <w:r w:rsidRPr="0018095C">
        <w:rPr>
          <w:rFonts w:cstheme="minorHAnsi"/>
          <w:sz w:val="24"/>
          <w:szCs w:val="24"/>
        </w:rPr>
        <w:t xml:space="preserve">The </w:t>
      </w:r>
      <w:proofErr w:type="spellStart"/>
      <w:r w:rsidRPr="0018095C">
        <w:rPr>
          <w:rFonts w:cstheme="minorHAnsi"/>
          <w:sz w:val="24"/>
          <w:szCs w:val="24"/>
        </w:rPr>
        <w:t>defence</w:t>
      </w:r>
      <w:proofErr w:type="spellEnd"/>
      <w:r w:rsidRPr="0018095C">
        <w:rPr>
          <w:rFonts w:cstheme="minorHAnsi"/>
          <w:sz w:val="24"/>
          <w:szCs w:val="24"/>
        </w:rPr>
        <w:t xml:space="preserve"> of the CSP and the 1959 constitution became one of the most significant debates during the drafting of Tunisia’s 2014 constitution, especially after Islamists </w:t>
      </w:r>
      <w:r w:rsidRPr="0018095C">
        <w:rPr>
          <w:rFonts w:cstheme="minorHAnsi"/>
          <w:sz w:val="24"/>
          <w:szCs w:val="24"/>
        </w:rPr>
        <w:lastRenderedPageBreak/>
        <w:t xml:space="preserve">sought to replace references to the </w:t>
      </w:r>
      <w:r w:rsidRPr="0018095C">
        <w:rPr>
          <w:rFonts w:cstheme="minorHAnsi"/>
          <w:i/>
          <w:iCs/>
          <w:sz w:val="24"/>
          <w:szCs w:val="24"/>
        </w:rPr>
        <w:t>equality</w:t>
      </w:r>
      <w:r w:rsidRPr="0018095C">
        <w:rPr>
          <w:rFonts w:cstheme="minorHAnsi"/>
          <w:sz w:val="24"/>
          <w:szCs w:val="24"/>
        </w:rPr>
        <w:t xml:space="preserve"> of women and men with their </w:t>
      </w:r>
      <w:r w:rsidRPr="0018095C">
        <w:rPr>
          <w:rFonts w:cstheme="minorHAnsi"/>
          <w:i/>
          <w:iCs/>
          <w:sz w:val="24"/>
          <w:szCs w:val="24"/>
        </w:rPr>
        <w:t>complementarity</w:t>
      </w:r>
      <w:r w:rsidRPr="0018095C">
        <w:rPr>
          <w:rFonts w:cstheme="minorHAnsi"/>
          <w:sz w:val="24"/>
          <w:szCs w:val="24"/>
        </w:rPr>
        <w:t>.</w:t>
      </w:r>
      <w:r w:rsidRPr="0018095C">
        <w:rPr>
          <w:rStyle w:val="FootnoteReference"/>
          <w:rFonts w:cstheme="minorHAnsi"/>
          <w:sz w:val="24"/>
          <w:szCs w:val="24"/>
        </w:rPr>
        <w:footnoteReference w:id="33"/>
      </w:r>
      <w:r w:rsidRPr="0018095C">
        <w:rPr>
          <w:rFonts w:cstheme="minorHAnsi"/>
          <w:sz w:val="24"/>
          <w:szCs w:val="24"/>
        </w:rPr>
        <w:t xml:space="preserve"> That battle was won, along with the inclusion of an article on defending women from violence (as in </w:t>
      </w:r>
      <w:r w:rsidRPr="00012700">
        <w:rPr>
          <w:rFonts w:cstheme="minorHAnsi"/>
          <w:b/>
          <w:bCs/>
          <w:sz w:val="24"/>
          <w:szCs w:val="24"/>
        </w:rPr>
        <w:t>Table 1</w:t>
      </w:r>
      <w:r w:rsidRPr="0018095C">
        <w:rPr>
          <w:rFonts w:cstheme="minorHAnsi"/>
          <w:sz w:val="24"/>
          <w:szCs w:val="24"/>
        </w:rPr>
        <w:t xml:space="preserve">); additional victories included lifting Tunisia’s remaining reservations to CEDAW. At the time, it appeared that the struggle for women’s </w:t>
      </w:r>
      <w:proofErr w:type="spellStart"/>
      <w:r w:rsidRPr="0018095C">
        <w:rPr>
          <w:rFonts w:cstheme="minorHAnsi"/>
          <w:i/>
          <w:iCs/>
          <w:sz w:val="24"/>
          <w:szCs w:val="24"/>
        </w:rPr>
        <w:t>citoyennité</w:t>
      </w:r>
      <w:proofErr w:type="spellEnd"/>
      <w:r w:rsidRPr="0018095C">
        <w:rPr>
          <w:rFonts w:cstheme="minorHAnsi"/>
          <w:i/>
          <w:iCs/>
          <w:sz w:val="24"/>
          <w:szCs w:val="24"/>
        </w:rPr>
        <w:t xml:space="preserve"> </w:t>
      </w:r>
      <w:r w:rsidRPr="0018095C">
        <w:rPr>
          <w:rFonts w:cstheme="minorHAnsi"/>
          <w:sz w:val="24"/>
          <w:szCs w:val="24"/>
        </w:rPr>
        <w:t xml:space="preserve">had been won. </w:t>
      </w:r>
    </w:p>
    <w:p w14:paraId="7404A021" w14:textId="77777777" w:rsidR="004D613E" w:rsidRDefault="004D613E" w:rsidP="00D67707">
      <w:pPr>
        <w:spacing w:after="0" w:line="240" w:lineRule="auto"/>
        <w:jc w:val="both"/>
        <w:rPr>
          <w:rFonts w:eastAsia="Times New Roman" w:cstheme="minorHAnsi"/>
          <w:color w:val="000000"/>
          <w:sz w:val="24"/>
          <w:szCs w:val="24"/>
        </w:rPr>
      </w:pPr>
    </w:p>
    <w:p w14:paraId="26EE76B5" w14:textId="11C95668" w:rsidR="00003CB8" w:rsidRPr="0018095C" w:rsidRDefault="00F723E4" w:rsidP="00D67707">
      <w:pPr>
        <w:spacing w:after="0" w:line="240" w:lineRule="auto"/>
        <w:jc w:val="both"/>
        <w:rPr>
          <w:rFonts w:cstheme="minorHAnsi"/>
          <w:sz w:val="24"/>
          <w:szCs w:val="24"/>
        </w:rPr>
      </w:pPr>
      <w:r w:rsidRPr="0018095C">
        <w:rPr>
          <w:rFonts w:eastAsia="Times New Roman" w:cstheme="minorHAnsi"/>
          <w:color w:val="000000"/>
          <w:sz w:val="24"/>
          <w:szCs w:val="24"/>
        </w:rPr>
        <w:t xml:space="preserve">In other notable achievements, </w:t>
      </w:r>
      <w:r w:rsidRPr="0018095C">
        <w:rPr>
          <w:rFonts w:cstheme="minorHAnsi"/>
          <w:sz w:val="24"/>
          <w:szCs w:val="24"/>
        </w:rPr>
        <w:t xml:space="preserve">a state-funded women’s shelter was built in Ben Arous; women candidates won 31% of seats in the October 2014 parliamentary elections; the strongest law to date on violence against women was adopted in July 2017, which also removed the ability of a rapist to avoid prosecution if he married his victim; the 1973 law prohibiting a Muslim Tunisian woman from marrying a non-Muslim man was abrogated in September 2017; and the May 2018 municipal assembly elections saw women candidates secure 48% of seats. </w:t>
      </w:r>
      <w:r w:rsidR="00A8137D" w:rsidRPr="0018095C">
        <w:rPr>
          <w:rFonts w:cstheme="minorHAnsi"/>
          <w:sz w:val="24"/>
          <w:szCs w:val="24"/>
        </w:rPr>
        <w:t xml:space="preserve">In August 2017, President Essebsi named </w:t>
      </w:r>
      <w:proofErr w:type="spellStart"/>
      <w:r w:rsidR="00A8137D" w:rsidRPr="0018095C">
        <w:rPr>
          <w:rFonts w:cstheme="minorHAnsi"/>
          <w:sz w:val="24"/>
          <w:szCs w:val="24"/>
        </w:rPr>
        <w:t>Bochra</w:t>
      </w:r>
      <w:proofErr w:type="spellEnd"/>
      <w:r w:rsidR="00A8137D" w:rsidRPr="0018095C">
        <w:rPr>
          <w:rFonts w:cstheme="minorHAnsi"/>
          <w:sz w:val="24"/>
          <w:szCs w:val="24"/>
        </w:rPr>
        <w:t xml:space="preserve"> Bel Haj </w:t>
      </w:r>
      <w:proofErr w:type="spellStart"/>
      <w:r w:rsidR="00A8137D" w:rsidRPr="0018095C">
        <w:rPr>
          <w:rFonts w:cstheme="minorHAnsi"/>
          <w:sz w:val="24"/>
          <w:szCs w:val="24"/>
        </w:rPr>
        <w:t>Hmida</w:t>
      </w:r>
      <w:proofErr w:type="spellEnd"/>
      <w:r w:rsidR="00A8137D" w:rsidRPr="0018095C">
        <w:rPr>
          <w:rFonts w:cstheme="minorHAnsi"/>
          <w:sz w:val="24"/>
          <w:szCs w:val="24"/>
        </w:rPr>
        <w:t xml:space="preserve">—lawyer, long-standing ATFD member, and member of parliament—as chair of the Committee on Individual Liberties and Rights, known by its French acronym, COLIBE. </w:t>
      </w:r>
      <w:r w:rsidR="00D464D0" w:rsidRPr="0018095C">
        <w:rPr>
          <w:rFonts w:cstheme="minorHAnsi"/>
          <w:sz w:val="24"/>
          <w:szCs w:val="24"/>
        </w:rPr>
        <w:t>The nine-person commission w</w:t>
      </w:r>
      <w:r w:rsidR="00003CB8" w:rsidRPr="0018095C">
        <w:rPr>
          <w:rFonts w:cstheme="minorHAnsi"/>
          <w:sz w:val="24"/>
          <w:szCs w:val="24"/>
        </w:rPr>
        <w:t>as</w:t>
      </w:r>
      <w:r w:rsidR="00D464D0" w:rsidRPr="0018095C">
        <w:rPr>
          <w:rFonts w:cstheme="minorHAnsi"/>
          <w:sz w:val="24"/>
          <w:szCs w:val="24"/>
        </w:rPr>
        <w:t xml:space="preserve"> tasked with preparing a report on harmonizing Tunisian law with the international agreements to which Tunisia was a party. One of the recommendations pertained to equal inheritance rights for women.</w:t>
      </w:r>
      <w:r w:rsidR="00F7451E" w:rsidRPr="0018095C">
        <w:rPr>
          <w:rStyle w:val="FootnoteReference"/>
          <w:rFonts w:cstheme="minorHAnsi"/>
          <w:sz w:val="24"/>
          <w:szCs w:val="24"/>
        </w:rPr>
        <w:footnoteReference w:id="34"/>
      </w:r>
      <w:r w:rsidR="00D464D0" w:rsidRPr="0018095C">
        <w:rPr>
          <w:rFonts w:cstheme="minorHAnsi"/>
          <w:sz w:val="24"/>
          <w:szCs w:val="24"/>
        </w:rPr>
        <w:t xml:space="preserve"> </w:t>
      </w:r>
    </w:p>
    <w:p w14:paraId="0D015E29" w14:textId="77777777" w:rsidR="0082446C" w:rsidRDefault="0082446C" w:rsidP="00D67707">
      <w:pPr>
        <w:spacing w:after="0" w:line="240" w:lineRule="auto"/>
        <w:jc w:val="both"/>
        <w:rPr>
          <w:rFonts w:cstheme="minorHAnsi"/>
          <w:sz w:val="24"/>
          <w:szCs w:val="24"/>
        </w:rPr>
      </w:pPr>
    </w:p>
    <w:p w14:paraId="52323B93" w14:textId="1B61AB9D" w:rsidR="00A8137D" w:rsidRPr="0018095C" w:rsidRDefault="00D400AE" w:rsidP="00D67707">
      <w:pPr>
        <w:spacing w:after="0" w:line="240" w:lineRule="auto"/>
        <w:jc w:val="both"/>
        <w:rPr>
          <w:rFonts w:cstheme="minorHAnsi"/>
          <w:b/>
          <w:bCs/>
          <w:iCs/>
          <w:sz w:val="24"/>
          <w:szCs w:val="24"/>
        </w:rPr>
      </w:pPr>
      <w:r w:rsidRPr="0018095C">
        <w:rPr>
          <w:rFonts w:cstheme="minorHAnsi"/>
          <w:sz w:val="24"/>
          <w:szCs w:val="24"/>
        </w:rPr>
        <w:t xml:space="preserve">At the time, </w:t>
      </w:r>
      <w:r w:rsidR="00A8137D" w:rsidRPr="0018095C">
        <w:rPr>
          <w:rFonts w:cstheme="minorHAnsi"/>
          <w:sz w:val="24"/>
          <w:szCs w:val="24"/>
        </w:rPr>
        <w:t xml:space="preserve">Facebook group postings </w:t>
      </w:r>
      <w:r w:rsidR="00A44E64" w:rsidRPr="0018095C">
        <w:rPr>
          <w:rFonts w:cstheme="minorHAnsi"/>
          <w:sz w:val="24"/>
          <w:szCs w:val="24"/>
        </w:rPr>
        <w:t xml:space="preserve">by </w:t>
      </w:r>
      <w:r w:rsidR="00A8137D" w:rsidRPr="0018095C">
        <w:rPr>
          <w:rFonts w:cstheme="minorHAnsi"/>
          <w:sz w:val="24"/>
          <w:szCs w:val="24"/>
        </w:rPr>
        <w:t>Tunisia</w:t>
      </w:r>
      <w:r w:rsidR="00A44E64" w:rsidRPr="0018095C">
        <w:rPr>
          <w:rFonts w:cstheme="minorHAnsi"/>
          <w:sz w:val="24"/>
          <w:szCs w:val="24"/>
        </w:rPr>
        <w:t>n</w:t>
      </w:r>
      <w:r w:rsidR="00A8137D" w:rsidRPr="0018095C">
        <w:rPr>
          <w:rFonts w:cstheme="minorHAnsi"/>
          <w:sz w:val="24"/>
          <w:szCs w:val="24"/>
        </w:rPr>
        <w:t xml:space="preserve"> feminists </w:t>
      </w:r>
      <w:r w:rsidR="00A44E64" w:rsidRPr="0018095C">
        <w:rPr>
          <w:rFonts w:cstheme="minorHAnsi"/>
          <w:sz w:val="24"/>
          <w:szCs w:val="24"/>
        </w:rPr>
        <w:t>showed satisfaction</w:t>
      </w:r>
      <w:r w:rsidR="00A8137D" w:rsidRPr="0018095C">
        <w:rPr>
          <w:rFonts w:cstheme="minorHAnsi"/>
          <w:sz w:val="24"/>
          <w:szCs w:val="24"/>
        </w:rPr>
        <w:t xml:space="preserve"> with the recent overturning of the 1973 law banning Tunisian women from marrying non-Muslim men, and </w:t>
      </w:r>
      <w:r w:rsidR="002A424D" w:rsidRPr="0018095C">
        <w:rPr>
          <w:rFonts w:cstheme="minorHAnsi"/>
          <w:sz w:val="24"/>
          <w:szCs w:val="24"/>
        </w:rPr>
        <w:t xml:space="preserve">they </w:t>
      </w:r>
      <w:r w:rsidR="00A8137D" w:rsidRPr="0018095C">
        <w:rPr>
          <w:rFonts w:cstheme="minorHAnsi"/>
          <w:sz w:val="24"/>
          <w:szCs w:val="24"/>
        </w:rPr>
        <w:t xml:space="preserve">were hopeful that family inheritance would finally be made equal. In 2018, Iqbal Gharbi, a feminist lawyer and one of the four female members of </w:t>
      </w:r>
      <w:r w:rsidR="00003CB8" w:rsidRPr="0018095C">
        <w:rPr>
          <w:rFonts w:cstheme="minorHAnsi"/>
          <w:sz w:val="24"/>
          <w:szCs w:val="24"/>
        </w:rPr>
        <w:t>COLIBE,</w:t>
      </w:r>
      <w:r w:rsidR="00A8137D" w:rsidRPr="0018095C">
        <w:rPr>
          <w:rFonts w:cstheme="minorHAnsi"/>
          <w:sz w:val="24"/>
          <w:szCs w:val="24"/>
        </w:rPr>
        <w:t xml:space="preserve"> proudly posted photos and updates to the Facebook group, including information on </w:t>
      </w:r>
      <w:r w:rsidR="00003CB8" w:rsidRPr="0018095C">
        <w:rPr>
          <w:rFonts w:cstheme="minorHAnsi"/>
          <w:sz w:val="24"/>
          <w:szCs w:val="24"/>
        </w:rPr>
        <w:t>the</w:t>
      </w:r>
      <w:r w:rsidR="00A8137D" w:rsidRPr="0018095C">
        <w:rPr>
          <w:rFonts w:cstheme="minorHAnsi"/>
          <w:sz w:val="24"/>
          <w:szCs w:val="24"/>
        </w:rPr>
        <w:t xml:space="preserve"> new bill for equal inheritance that was soon to be debated in parliament.</w:t>
      </w:r>
      <w:r w:rsidR="00003CB8" w:rsidRPr="0018095C">
        <w:rPr>
          <w:rStyle w:val="FootnoteReference"/>
          <w:rFonts w:cstheme="minorHAnsi"/>
          <w:sz w:val="24"/>
          <w:szCs w:val="24"/>
        </w:rPr>
        <w:footnoteReference w:id="35"/>
      </w:r>
    </w:p>
    <w:p w14:paraId="17C430F4" w14:textId="77777777" w:rsidR="0082446C" w:rsidRDefault="0082446C" w:rsidP="00D67707">
      <w:pPr>
        <w:spacing w:after="0" w:line="240" w:lineRule="auto"/>
        <w:jc w:val="both"/>
        <w:rPr>
          <w:rFonts w:cstheme="minorHAnsi"/>
          <w:sz w:val="24"/>
          <w:szCs w:val="24"/>
        </w:rPr>
      </w:pPr>
    </w:p>
    <w:p w14:paraId="2700CDBB" w14:textId="56C52A5B" w:rsidR="009E3030" w:rsidRPr="0072561B" w:rsidRDefault="008A65E3" w:rsidP="00D67707">
      <w:pPr>
        <w:spacing w:after="0" w:line="240" w:lineRule="auto"/>
        <w:jc w:val="both"/>
        <w:rPr>
          <w:rFonts w:cstheme="minorHAnsi"/>
          <w:b/>
          <w:bCs/>
          <w:iCs/>
          <w:sz w:val="24"/>
          <w:szCs w:val="24"/>
        </w:rPr>
      </w:pPr>
      <w:r w:rsidRPr="0018095C">
        <w:rPr>
          <w:rFonts w:cstheme="minorHAnsi"/>
          <w:sz w:val="24"/>
          <w:szCs w:val="24"/>
        </w:rPr>
        <w:t>Tunisia</w:t>
      </w:r>
      <w:r w:rsidR="00A8137D" w:rsidRPr="0018095C">
        <w:rPr>
          <w:rFonts w:cstheme="minorHAnsi"/>
          <w:sz w:val="24"/>
          <w:szCs w:val="24"/>
        </w:rPr>
        <w:t>’s</w:t>
      </w:r>
      <w:r w:rsidRPr="0018095C">
        <w:rPr>
          <w:rFonts w:cstheme="minorHAnsi"/>
          <w:sz w:val="24"/>
          <w:szCs w:val="24"/>
        </w:rPr>
        <w:t xml:space="preserve"> movement to defend and expand women’s citizenship rights began on a more propitious political terrain than was the case in Iran. </w:t>
      </w:r>
      <w:r w:rsidR="009E3030" w:rsidRPr="0018095C">
        <w:rPr>
          <w:rFonts w:cstheme="minorHAnsi"/>
          <w:sz w:val="24"/>
          <w:szCs w:val="24"/>
        </w:rPr>
        <w:t xml:space="preserve">Not only did Tunisia’s democratic transition </w:t>
      </w:r>
      <w:proofErr w:type="spellStart"/>
      <w:r w:rsidR="009E3030" w:rsidRPr="0018095C">
        <w:rPr>
          <w:rFonts w:cstheme="minorHAnsi"/>
          <w:sz w:val="24"/>
          <w:szCs w:val="24"/>
        </w:rPr>
        <w:t>favo</w:t>
      </w:r>
      <w:r w:rsidR="00206E78" w:rsidRPr="0018095C">
        <w:rPr>
          <w:rFonts w:cstheme="minorHAnsi"/>
          <w:sz w:val="24"/>
          <w:szCs w:val="24"/>
        </w:rPr>
        <w:t>u</w:t>
      </w:r>
      <w:r w:rsidR="009E3030" w:rsidRPr="0018095C">
        <w:rPr>
          <w:rFonts w:cstheme="minorHAnsi"/>
          <w:sz w:val="24"/>
          <w:szCs w:val="24"/>
        </w:rPr>
        <w:t>r</w:t>
      </w:r>
      <w:proofErr w:type="spellEnd"/>
      <w:r w:rsidR="009E3030" w:rsidRPr="0018095C">
        <w:rPr>
          <w:rFonts w:cstheme="minorHAnsi"/>
          <w:sz w:val="24"/>
          <w:szCs w:val="24"/>
        </w:rPr>
        <w:t xml:space="preserve"> women’s rights, but civil society had always been far stronger in Tunisia than in Iran. </w:t>
      </w:r>
      <w:r w:rsidRPr="0018095C">
        <w:rPr>
          <w:rFonts w:cstheme="minorHAnsi"/>
          <w:sz w:val="24"/>
          <w:szCs w:val="24"/>
        </w:rPr>
        <w:t xml:space="preserve">As a result, </w:t>
      </w:r>
      <w:r w:rsidR="000C6358" w:rsidRPr="0018095C">
        <w:rPr>
          <w:rFonts w:cstheme="minorHAnsi"/>
          <w:sz w:val="24"/>
          <w:szCs w:val="24"/>
        </w:rPr>
        <w:t>the</w:t>
      </w:r>
      <w:r w:rsidR="009E3030" w:rsidRPr="0018095C">
        <w:rPr>
          <w:rFonts w:cstheme="minorHAnsi"/>
          <w:sz w:val="24"/>
          <w:szCs w:val="24"/>
        </w:rPr>
        <w:t xml:space="preserve"> </w:t>
      </w:r>
      <w:r w:rsidR="000C6358" w:rsidRPr="0018095C">
        <w:rPr>
          <w:rFonts w:cstheme="minorHAnsi"/>
          <w:sz w:val="24"/>
          <w:szCs w:val="24"/>
        </w:rPr>
        <w:t xml:space="preserve">2014 </w:t>
      </w:r>
      <w:r w:rsidR="009E3030" w:rsidRPr="0018095C">
        <w:rPr>
          <w:rFonts w:cstheme="minorHAnsi"/>
          <w:sz w:val="24"/>
          <w:szCs w:val="24"/>
        </w:rPr>
        <w:t>women-friendly constitution provide</w:t>
      </w:r>
      <w:r w:rsidR="000C6358" w:rsidRPr="0018095C">
        <w:rPr>
          <w:rFonts w:cstheme="minorHAnsi"/>
          <w:sz w:val="24"/>
          <w:szCs w:val="24"/>
        </w:rPr>
        <w:t>d</w:t>
      </w:r>
      <w:r w:rsidR="009E3030" w:rsidRPr="0018095C">
        <w:rPr>
          <w:rFonts w:cstheme="minorHAnsi"/>
          <w:sz w:val="24"/>
          <w:szCs w:val="24"/>
        </w:rPr>
        <w:t xml:space="preserve"> a legal and normative foundation for a rights-based political culture. In turn, the institutional legacy of the Ben Ali and Bourguiba eras, along with the new </w:t>
      </w:r>
      <w:r w:rsidR="00D400AE" w:rsidRPr="0018095C">
        <w:rPr>
          <w:rFonts w:cstheme="minorHAnsi"/>
          <w:sz w:val="24"/>
          <w:szCs w:val="24"/>
        </w:rPr>
        <w:t xml:space="preserve">democratic </w:t>
      </w:r>
      <w:r w:rsidR="009E3030" w:rsidRPr="0018095C">
        <w:rPr>
          <w:rFonts w:cstheme="minorHAnsi"/>
          <w:sz w:val="24"/>
          <w:szCs w:val="24"/>
        </w:rPr>
        <w:t>environment, enabled a stronger presence of women in the political process and across occupations and professions</w:t>
      </w:r>
      <w:r w:rsidR="00B21057" w:rsidRPr="0018095C">
        <w:rPr>
          <w:rFonts w:cstheme="minorHAnsi"/>
          <w:sz w:val="24"/>
          <w:szCs w:val="24"/>
        </w:rPr>
        <w:t>, and set the stage for the COLIBE commission</w:t>
      </w:r>
      <w:r w:rsidR="009E3030" w:rsidRPr="0018095C">
        <w:rPr>
          <w:rFonts w:cstheme="minorHAnsi"/>
          <w:sz w:val="24"/>
          <w:szCs w:val="24"/>
        </w:rPr>
        <w:t xml:space="preserve">. </w:t>
      </w:r>
      <w:r w:rsidR="00CE0274" w:rsidRPr="0018095C">
        <w:rPr>
          <w:rFonts w:cstheme="minorHAnsi"/>
          <w:sz w:val="24"/>
          <w:szCs w:val="24"/>
        </w:rPr>
        <w:t xml:space="preserve">As </w:t>
      </w:r>
      <w:r w:rsidR="00F7451E" w:rsidRPr="0018095C">
        <w:rPr>
          <w:rFonts w:cstheme="minorHAnsi"/>
          <w:sz w:val="24"/>
          <w:szCs w:val="24"/>
        </w:rPr>
        <w:t xml:space="preserve">research shows, </w:t>
      </w:r>
      <w:r w:rsidR="00CE0274" w:rsidRPr="0018095C">
        <w:rPr>
          <w:rFonts w:cstheme="minorHAnsi"/>
          <w:sz w:val="24"/>
          <w:szCs w:val="24"/>
        </w:rPr>
        <w:t>c</w:t>
      </w:r>
      <w:r w:rsidR="00CE0274" w:rsidRPr="0018095C">
        <w:rPr>
          <w:rFonts w:cstheme="minorHAnsi"/>
          <w:iCs/>
          <w:sz w:val="24"/>
          <w:szCs w:val="24"/>
        </w:rPr>
        <w:t xml:space="preserve">onstitutional guarantees of women’s equality are not sufficient but they are </w:t>
      </w:r>
      <w:r w:rsidR="00DA1FB5" w:rsidRPr="0018095C">
        <w:rPr>
          <w:rFonts w:cstheme="minorHAnsi"/>
          <w:iCs/>
          <w:sz w:val="24"/>
          <w:szCs w:val="24"/>
        </w:rPr>
        <w:t xml:space="preserve">a </w:t>
      </w:r>
      <w:r w:rsidR="00CE0274" w:rsidRPr="0018095C">
        <w:rPr>
          <w:rFonts w:cstheme="minorHAnsi"/>
          <w:iCs/>
          <w:sz w:val="24"/>
          <w:szCs w:val="24"/>
        </w:rPr>
        <w:t xml:space="preserve">necessary </w:t>
      </w:r>
      <w:r w:rsidR="00DA1FB5" w:rsidRPr="0018095C">
        <w:rPr>
          <w:rFonts w:cstheme="minorHAnsi"/>
          <w:iCs/>
          <w:sz w:val="24"/>
          <w:szCs w:val="24"/>
        </w:rPr>
        <w:t xml:space="preserve">condition </w:t>
      </w:r>
      <w:r w:rsidR="00CE0274" w:rsidRPr="0018095C">
        <w:rPr>
          <w:rFonts w:cstheme="minorHAnsi"/>
          <w:iCs/>
          <w:sz w:val="24"/>
          <w:szCs w:val="24"/>
        </w:rPr>
        <w:t>for women’s rights of citizenship.</w:t>
      </w:r>
      <w:r w:rsidR="00F7451E" w:rsidRPr="0018095C">
        <w:rPr>
          <w:rStyle w:val="FootnoteReference"/>
          <w:rFonts w:cstheme="minorHAnsi"/>
          <w:iCs/>
          <w:sz w:val="24"/>
          <w:szCs w:val="24"/>
        </w:rPr>
        <w:footnoteReference w:id="36"/>
      </w:r>
      <w:r w:rsidR="00CE0274" w:rsidRPr="0018095C">
        <w:rPr>
          <w:rFonts w:cstheme="minorHAnsi"/>
          <w:iCs/>
          <w:sz w:val="24"/>
          <w:szCs w:val="24"/>
        </w:rPr>
        <w:t xml:space="preserve"> </w:t>
      </w:r>
      <w:r w:rsidR="0013282E" w:rsidRPr="0018095C">
        <w:rPr>
          <w:rFonts w:cstheme="minorHAnsi"/>
          <w:sz w:val="24"/>
          <w:szCs w:val="24"/>
        </w:rPr>
        <w:t xml:space="preserve">The World Economic Forum’s </w:t>
      </w:r>
      <w:r w:rsidR="0013282E" w:rsidRPr="0018095C">
        <w:rPr>
          <w:rFonts w:cstheme="minorHAnsi"/>
          <w:i/>
          <w:iCs/>
          <w:sz w:val="24"/>
          <w:szCs w:val="24"/>
        </w:rPr>
        <w:t xml:space="preserve">Global Gender Gap Report </w:t>
      </w:r>
      <w:r w:rsidR="0013282E" w:rsidRPr="0018095C">
        <w:rPr>
          <w:rFonts w:cstheme="minorHAnsi"/>
          <w:sz w:val="24"/>
          <w:szCs w:val="24"/>
        </w:rPr>
        <w:t xml:space="preserve">2018 ranked Tunisia a high of 55 on political empowerment, </w:t>
      </w:r>
      <w:r w:rsidR="0013282E" w:rsidRPr="0018095C">
        <w:rPr>
          <w:rFonts w:cstheme="minorHAnsi"/>
          <w:sz w:val="24"/>
          <w:szCs w:val="24"/>
        </w:rPr>
        <w:lastRenderedPageBreak/>
        <w:t>while Iran was ranked</w:t>
      </w:r>
      <w:r w:rsidR="002622A7">
        <w:rPr>
          <w:rFonts w:cstheme="minorHAnsi"/>
          <w:sz w:val="24"/>
          <w:szCs w:val="24"/>
        </w:rPr>
        <w:t xml:space="preserve"> a very low </w:t>
      </w:r>
      <w:r w:rsidR="0013282E" w:rsidRPr="0018095C">
        <w:rPr>
          <w:rFonts w:cstheme="minorHAnsi"/>
          <w:sz w:val="24"/>
          <w:szCs w:val="24"/>
        </w:rPr>
        <w:t>141.</w:t>
      </w:r>
      <w:r w:rsidR="00F7451E" w:rsidRPr="0018095C">
        <w:rPr>
          <w:rStyle w:val="FootnoteReference"/>
          <w:rFonts w:cstheme="minorHAnsi"/>
          <w:sz w:val="24"/>
          <w:szCs w:val="24"/>
        </w:rPr>
        <w:footnoteReference w:id="37"/>
      </w:r>
      <w:r w:rsidR="0013282E" w:rsidRPr="0018095C">
        <w:rPr>
          <w:rFonts w:cstheme="minorHAnsi"/>
          <w:sz w:val="24"/>
          <w:szCs w:val="24"/>
        </w:rPr>
        <w:t xml:space="preserve"> </w:t>
      </w:r>
      <w:r w:rsidR="009E3030" w:rsidRPr="0018095C">
        <w:rPr>
          <w:rFonts w:cstheme="minorHAnsi"/>
          <w:iCs/>
          <w:sz w:val="24"/>
          <w:szCs w:val="24"/>
        </w:rPr>
        <w:t xml:space="preserve">An examination of the World Bank’s </w:t>
      </w:r>
      <w:r w:rsidR="009E3030" w:rsidRPr="0018095C">
        <w:rPr>
          <w:rFonts w:cstheme="minorHAnsi"/>
          <w:i/>
          <w:sz w:val="24"/>
          <w:szCs w:val="24"/>
        </w:rPr>
        <w:t xml:space="preserve">Women, Business and the Law </w:t>
      </w:r>
      <w:r w:rsidR="009E3030" w:rsidRPr="0018095C">
        <w:rPr>
          <w:rFonts w:cstheme="minorHAnsi"/>
          <w:iCs/>
          <w:sz w:val="24"/>
          <w:szCs w:val="24"/>
        </w:rPr>
        <w:t>database show</w:t>
      </w:r>
      <w:r w:rsidR="00CE0274" w:rsidRPr="0018095C">
        <w:rPr>
          <w:rFonts w:cstheme="minorHAnsi"/>
          <w:iCs/>
          <w:sz w:val="24"/>
          <w:szCs w:val="24"/>
        </w:rPr>
        <w:t xml:space="preserve">ed </w:t>
      </w:r>
      <w:r w:rsidR="009E3030" w:rsidRPr="0018095C">
        <w:rPr>
          <w:rFonts w:cstheme="minorHAnsi"/>
          <w:iCs/>
          <w:sz w:val="24"/>
          <w:szCs w:val="24"/>
        </w:rPr>
        <w:t>many more legal restrictions in Iran than in Tunisia.</w:t>
      </w:r>
      <w:r w:rsidR="005809C2" w:rsidRPr="0018095C">
        <w:rPr>
          <w:rStyle w:val="FootnoteReference"/>
          <w:rFonts w:cstheme="minorHAnsi"/>
          <w:iCs/>
          <w:sz w:val="24"/>
          <w:szCs w:val="24"/>
        </w:rPr>
        <w:footnoteReference w:id="38"/>
      </w:r>
      <w:r w:rsidR="009E3030" w:rsidRPr="0018095C">
        <w:rPr>
          <w:rFonts w:cstheme="minorHAnsi"/>
          <w:iCs/>
          <w:sz w:val="24"/>
          <w:szCs w:val="24"/>
        </w:rPr>
        <w:t xml:space="preserve"> Such legal restrictions </w:t>
      </w:r>
      <w:r w:rsidR="00D400AE" w:rsidRPr="0018095C">
        <w:rPr>
          <w:rFonts w:cstheme="minorHAnsi"/>
          <w:iCs/>
          <w:sz w:val="24"/>
          <w:szCs w:val="24"/>
        </w:rPr>
        <w:t xml:space="preserve">have </w:t>
      </w:r>
      <w:r w:rsidR="009E3030" w:rsidRPr="0018095C">
        <w:rPr>
          <w:rFonts w:cstheme="minorHAnsi"/>
          <w:iCs/>
          <w:sz w:val="24"/>
          <w:szCs w:val="24"/>
        </w:rPr>
        <w:t>undermine</w:t>
      </w:r>
      <w:r w:rsidR="00D400AE" w:rsidRPr="0018095C">
        <w:rPr>
          <w:rFonts w:cstheme="minorHAnsi"/>
          <w:iCs/>
          <w:sz w:val="24"/>
          <w:szCs w:val="24"/>
        </w:rPr>
        <w:t>d</w:t>
      </w:r>
      <w:r w:rsidR="009E3030" w:rsidRPr="0018095C">
        <w:rPr>
          <w:rFonts w:cstheme="minorHAnsi"/>
          <w:iCs/>
          <w:sz w:val="24"/>
          <w:szCs w:val="24"/>
        </w:rPr>
        <w:t xml:space="preserve"> Iranian women’s political inclusion and equal citizenship, especially when compared with Tunisia, as </w:t>
      </w:r>
      <w:r w:rsidR="001259B4" w:rsidRPr="0018095C">
        <w:rPr>
          <w:rFonts w:cstheme="minorHAnsi"/>
          <w:iCs/>
          <w:sz w:val="24"/>
          <w:szCs w:val="24"/>
        </w:rPr>
        <w:t>seen</w:t>
      </w:r>
      <w:r w:rsidR="009E3030" w:rsidRPr="0018095C">
        <w:rPr>
          <w:rFonts w:cstheme="minorHAnsi"/>
          <w:iCs/>
          <w:sz w:val="24"/>
          <w:szCs w:val="24"/>
        </w:rPr>
        <w:t xml:space="preserve"> in </w:t>
      </w:r>
      <w:r w:rsidR="009E3030" w:rsidRPr="003248BB">
        <w:rPr>
          <w:rFonts w:cstheme="minorHAnsi"/>
          <w:b/>
          <w:bCs/>
          <w:iCs/>
          <w:sz w:val="24"/>
          <w:szCs w:val="24"/>
        </w:rPr>
        <w:t>Table 2</w:t>
      </w:r>
      <w:r w:rsidR="009E3030" w:rsidRPr="0018095C">
        <w:rPr>
          <w:rFonts w:cstheme="minorHAnsi"/>
          <w:iCs/>
          <w:sz w:val="24"/>
          <w:szCs w:val="24"/>
        </w:rPr>
        <w:t xml:space="preserve">.  </w:t>
      </w:r>
    </w:p>
    <w:p w14:paraId="1E464087" w14:textId="77777777" w:rsidR="0082446C" w:rsidRDefault="0082446C" w:rsidP="00D67707">
      <w:pPr>
        <w:spacing w:after="0" w:line="240" w:lineRule="auto"/>
        <w:jc w:val="both"/>
        <w:rPr>
          <w:rFonts w:cstheme="minorHAnsi"/>
          <w:iCs/>
          <w:sz w:val="24"/>
          <w:szCs w:val="24"/>
        </w:rPr>
      </w:pPr>
    </w:p>
    <w:p w14:paraId="7A1F88D1" w14:textId="7503060D" w:rsidR="008A65E3" w:rsidRPr="0018095C" w:rsidRDefault="001A7FEB" w:rsidP="00D67707">
      <w:pPr>
        <w:spacing w:after="0" w:line="240" w:lineRule="auto"/>
        <w:jc w:val="both"/>
        <w:rPr>
          <w:rFonts w:cstheme="minorHAnsi"/>
          <w:iCs/>
          <w:sz w:val="24"/>
          <w:szCs w:val="24"/>
        </w:rPr>
      </w:pPr>
      <w:r w:rsidRPr="0018095C">
        <w:rPr>
          <w:rFonts w:cstheme="minorHAnsi"/>
          <w:iCs/>
          <w:sz w:val="24"/>
          <w:szCs w:val="24"/>
        </w:rPr>
        <w:t xml:space="preserve">And yet, both Tunisia and Iran suffered from an international environment that adversely affected women’s ability to retain or expand their rights </w:t>
      </w:r>
      <w:r w:rsidR="003248BB">
        <w:rPr>
          <w:rFonts w:cstheme="minorHAnsi"/>
          <w:iCs/>
          <w:sz w:val="24"/>
          <w:szCs w:val="24"/>
        </w:rPr>
        <w:t>to</w:t>
      </w:r>
      <w:r w:rsidRPr="0018095C">
        <w:rPr>
          <w:rFonts w:cstheme="minorHAnsi"/>
          <w:iCs/>
          <w:sz w:val="24"/>
          <w:szCs w:val="24"/>
        </w:rPr>
        <w:t xml:space="preserve"> citizenship. </w:t>
      </w:r>
    </w:p>
    <w:p w14:paraId="50997AEB" w14:textId="77777777" w:rsidR="00DC6ABB" w:rsidRDefault="00DC6ABB" w:rsidP="00D67707">
      <w:pPr>
        <w:spacing w:after="0" w:line="240" w:lineRule="auto"/>
        <w:jc w:val="both"/>
        <w:rPr>
          <w:rFonts w:cstheme="minorHAnsi"/>
          <w:b/>
          <w:bCs/>
          <w:iCs/>
          <w:sz w:val="24"/>
          <w:szCs w:val="24"/>
        </w:rPr>
      </w:pPr>
    </w:p>
    <w:p w14:paraId="2A09571E" w14:textId="77777777" w:rsidR="0082446C" w:rsidRPr="0018095C" w:rsidRDefault="0082446C" w:rsidP="00D67707">
      <w:pPr>
        <w:spacing w:after="0" w:line="240" w:lineRule="auto"/>
        <w:jc w:val="both"/>
        <w:rPr>
          <w:rFonts w:cstheme="minorHAnsi"/>
          <w:b/>
          <w:bCs/>
          <w:iCs/>
          <w:sz w:val="24"/>
          <w:szCs w:val="24"/>
        </w:rPr>
      </w:pPr>
    </w:p>
    <w:p w14:paraId="733264C3" w14:textId="3FF7D362" w:rsidR="00DC6ABB" w:rsidRPr="0018095C" w:rsidRDefault="00DC6ABB" w:rsidP="00D26BDC">
      <w:pPr>
        <w:pStyle w:val="Heading2"/>
      </w:pPr>
      <w:r w:rsidRPr="0018095C">
        <w:t>International Factors and Women’s Rights: Iran and Tunisia Compared</w:t>
      </w:r>
    </w:p>
    <w:p w14:paraId="2469ADA5" w14:textId="77777777" w:rsidR="002F1AC2" w:rsidRPr="0018095C" w:rsidRDefault="002F1AC2" w:rsidP="00D67707">
      <w:pPr>
        <w:spacing w:after="0" w:line="240" w:lineRule="auto"/>
        <w:jc w:val="both"/>
        <w:rPr>
          <w:rFonts w:cstheme="minorHAnsi"/>
          <w:b/>
          <w:bCs/>
          <w:iCs/>
          <w:sz w:val="24"/>
          <w:szCs w:val="24"/>
        </w:rPr>
      </w:pPr>
    </w:p>
    <w:p w14:paraId="6F508579" w14:textId="532C87A2" w:rsidR="00DC6ABB" w:rsidRPr="0018095C" w:rsidRDefault="00DC6ABB" w:rsidP="00D67707">
      <w:pPr>
        <w:pStyle w:val="FootnoteText"/>
        <w:jc w:val="both"/>
        <w:rPr>
          <w:rFonts w:cstheme="minorHAnsi"/>
          <w:sz w:val="24"/>
          <w:szCs w:val="24"/>
        </w:rPr>
      </w:pPr>
      <w:r w:rsidRPr="0018095C">
        <w:rPr>
          <w:rFonts w:cstheme="minorHAnsi"/>
          <w:sz w:val="24"/>
          <w:szCs w:val="24"/>
        </w:rPr>
        <w:t xml:space="preserve">As noted in the introduction, citizenship is a concept rooted in the national body politic and its related institutions and relations, as well as in the forms of participation, activism, and claims-making that are possible. That is, both citizenship regimes and acts of citizenship are influenced by domestic dynamics, and the above sections </w:t>
      </w:r>
      <w:r w:rsidR="000816B9">
        <w:rPr>
          <w:rFonts w:cstheme="minorHAnsi"/>
          <w:sz w:val="24"/>
          <w:szCs w:val="24"/>
        </w:rPr>
        <w:t>examined</w:t>
      </w:r>
      <w:r w:rsidRPr="0018095C">
        <w:rPr>
          <w:rFonts w:cstheme="minorHAnsi"/>
          <w:sz w:val="24"/>
          <w:szCs w:val="24"/>
        </w:rPr>
        <w:t xml:space="preserve"> those dynamics, comparing legal frameworks and other institutions in Iran and Tunisia and the possibilities or constraints they have posed for women’s participation and rights. Here we turn attention to the international factors and forces that have impinged on women’s citizenship rights in Iran and Tunisia, whether directly or indirectly. </w:t>
      </w:r>
    </w:p>
    <w:p w14:paraId="7F1D5DE0" w14:textId="77777777" w:rsidR="00DC6ABB" w:rsidRPr="0018095C" w:rsidRDefault="00DC6ABB" w:rsidP="00D67707">
      <w:pPr>
        <w:pStyle w:val="FootnoteText"/>
        <w:jc w:val="both"/>
        <w:rPr>
          <w:rFonts w:cstheme="minorHAnsi"/>
          <w:sz w:val="24"/>
          <w:szCs w:val="24"/>
        </w:rPr>
      </w:pPr>
    </w:p>
    <w:p w14:paraId="34F1A057" w14:textId="3C17FF06" w:rsidR="001F2E04" w:rsidRPr="0018095C" w:rsidRDefault="001F2E04" w:rsidP="00D67707">
      <w:pPr>
        <w:pStyle w:val="FootnoteText"/>
        <w:jc w:val="both"/>
        <w:rPr>
          <w:rFonts w:cstheme="minorHAnsi"/>
          <w:sz w:val="24"/>
          <w:szCs w:val="24"/>
        </w:rPr>
      </w:pPr>
      <w:r w:rsidRPr="0018095C">
        <w:rPr>
          <w:rFonts w:cstheme="minorHAnsi"/>
          <w:sz w:val="24"/>
          <w:szCs w:val="24"/>
        </w:rPr>
        <w:t xml:space="preserve">We start with Tunisia, which saw a series of </w:t>
      </w:r>
      <w:r w:rsidRPr="0018095C">
        <w:rPr>
          <w:rFonts w:cstheme="minorHAnsi"/>
          <w:iCs/>
          <w:sz w:val="24"/>
          <w:szCs w:val="24"/>
        </w:rPr>
        <w:t>political, security, and economic challenges that adversely affected its post-2011 democratic transition. D</w:t>
      </w:r>
      <w:r w:rsidRPr="0018095C">
        <w:rPr>
          <w:rFonts w:cstheme="minorHAnsi"/>
          <w:sz w:val="24"/>
          <w:szCs w:val="24"/>
        </w:rPr>
        <w:t>espite its reputation as one of the more liberal countries in the Arab world and the region’s only democratic success story, several regional and international developments combined to make Tunisia a fertile recruiting ground for the so-called Islamic State of Iraq and Syria (ISIS). These included Tunisia’s legacy of uneven development and deprivation in interior regions, its insecure borders following the 2011 NATO attack on neighboring Libya</w:t>
      </w:r>
      <w:r w:rsidR="00B0382C">
        <w:rPr>
          <w:rFonts w:cstheme="minorHAnsi"/>
          <w:sz w:val="24"/>
          <w:szCs w:val="24"/>
        </w:rPr>
        <w:t>,</w:t>
      </w:r>
      <w:r w:rsidRPr="0018095C">
        <w:rPr>
          <w:rFonts w:cstheme="minorHAnsi"/>
          <w:sz w:val="24"/>
          <w:szCs w:val="24"/>
        </w:rPr>
        <w:t xml:space="preserve"> and the onset of an internationalized civil conflict in Syria, along with declining foreign direct investment and receipts from tourism. In response, the Tunisian government sharply increased defense and security spending.</w:t>
      </w:r>
      <w:r w:rsidRPr="0018095C">
        <w:rPr>
          <w:rStyle w:val="FootnoteReference"/>
          <w:rFonts w:cstheme="minorHAnsi"/>
          <w:sz w:val="24"/>
          <w:szCs w:val="24"/>
        </w:rPr>
        <w:footnoteReference w:id="39"/>
      </w:r>
      <w:r w:rsidRPr="0018095C">
        <w:rPr>
          <w:rFonts w:cstheme="minorHAnsi"/>
          <w:sz w:val="24"/>
          <w:szCs w:val="24"/>
        </w:rPr>
        <w:t xml:space="preserve"> </w:t>
      </w:r>
    </w:p>
    <w:p w14:paraId="0A2E2E8D" w14:textId="07F2D258" w:rsidR="00042A18" w:rsidRPr="0072561B" w:rsidRDefault="00042A18" w:rsidP="00D67707">
      <w:pPr>
        <w:spacing w:after="0" w:line="240" w:lineRule="auto"/>
        <w:jc w:val="both"/>
        <w:rPr>
          <w:rFonts w:cstheme="minorHAnsi"/>
          <w:b/>
          <w:bCs/>
          <w:sz w:val="24"/>
          <w:szCs w:val="24"/>
        </w:rPr>
      </w:pPr>
    </w:p>
    <w:p w14:paraId="1D367C48" w14:textId="77777777" w:rsidR="0052699C" w:rsidRDefault="0052699C">
      <w:pPr>
        <w:rPr>
          <w:rFonts w:cstheme="minorHAnsi"/>
          <w:b/>
          <w:bCs/>
          <w:sz w:val="24"/>
          <w:szCs w:val="24"/>
        </w:rPr>
      </w:pPr>
      <w:r>
        <w:rPr>
          <w:rFonts w:cstheme="minorHAnsi"/>
          <w:b/>
          <w:bCs/>
          <w:sz w:val="24"/>
          <w:szCs w:val="24"/>
        </w:rPr>
        <w:br w:type="page"/>
      </w:r>
    </w:p>
    <w:p w14:paraId="37405AA4" w14:textId="1309E4BC" w:rsidR="00D87E7A" w:rsidRDefault="00D87E7A" w:rsidP="0082446C">
      <w:pPr>
        <w:spacing w:after="0" w:line="240" w:lineRule="auto"/>
        <w:rPr>
          <w:rFonts w:cstheme="minorHAnsi"/>
          <w:b/>
          <w:bCs/>
          <w:sz w:val="24"/>
          <w:szCs w:val="24"/>
        </w:rPr>
      </w:pPr>
      <w:r w:rsidRPr="0072561B">
        <w:rPr>
          <w:rFonts w:cstheme="minorHAnsi"/>
          <w:b/>
          <w:bCs/>
          <w:sz w:val="24"/>
          <w:szCs w:val="24"/>
        </w:rPr>
        <w:lastRenderedPageBreak/>
        <w:t xml:space="preserve">Table 2. Comparative Female Labor </w:t>
      </w:r>
      <w:r w:rsidR="003C7863">
        <w:rPr>
          <w:rFonts w:cstheme="minorHAnsi"/>
          <w:b/>
          <w:bCs/>
          <w:sz w:val="24"/>
          <w:szCs w:val="24"/>
        </w:rPr>
        <w:t>F</w:t>
      </w:r>
      <w:r w:rsidRPr="0072561B">
        <w:rPr>
          <w:rFonts w:cstheme="minorHAnsi"/>
          <w:b/>
          <w:bCs/>
          <w:sz w:val="24"/>
          <w:szCs w:val="24"/>
        </w:rPr>
        <w:t>orce and Related Indicators, Iran and Tunisia, 2021 (or most recent year)</w:t>
      </w:r>
    </w:p>
    <w:p w14:paraId="51787DF4" w14:textId="77777777" w:rsidR="0082446C" w:rsidRPr="0072561B" w:rsidRDefault="0082446C" w:rsidP="0082446C">
      <w:pPr>
        <w:spacing w:after="0" w:line="240" w:lineRule="auto"/>
        <w:rPr>
          <w:rFonts w:cstheme="minorHAnsi"/>
          <w:b/>
          <w:bCs/>
          <w:sz w:val="24"/>
          <w:szCs w:val="24"/>
        </w:rPr>
      </w:pPr>
    </w:p>
    <w:tbl>
      <w:tblPr>
        <w:tblStyle w:val="TableGrid"/>
        <w:tblW w:w="0" w:type="auto"/>
        <w:tblLook w:val="04A0" w:firstRow="1" w:lastRow="0" w:firstColumn="1" w:lastColumn="0" w:noHBand="0" w:noVBand="1"/>
      </w:tblPr>
      <w:tblGrid>
        <w:gridCol w:w="2965"/>
        <w:gridCol w:w="1708"/>
        <w:gridCol w:w="1442"/>
        <w:gridCol w:w="1535"/>
        <w:gridCol w:w="1700"/>
      </w:tblGrid>
      <w:tr w:rsidR="00D87E7A" w:rsidRPr="0018095C" w14:paraId="3D777CC4" w14:textId="77777777" w:rsidTr="000B675F">
        <w:tc>
          <w:tcPr>
            <w:tcW w:w="2965" w:type="dxa"/>
          </w:tcPr>
          <w:p w14:paraId="3AE20651" w14:textId="77777777" w:rsidR="00D87E7A" w:rsidRPr="0072561B" w:rsidRDefault="00D87E7A" w:rsidP="00A611DE">
            <w:pPr>
              <w:rPr>
                <w:rFonts w:cstheme="minorHAnsi"/>
                <w:sz w:val="24"/>
                <w:szCs w:val="24"/>
              </w:rPr>
            </w:pPr>
          </w:p>
        </w:tc>
        <w:tc>
          <w:tcPr>
            <w:tcW w:w="3150" w:type="dxa"/>
            <w:gridSpan w:val="2"/>
          </w:tcPr>
          <w:p w14:paraId="0C1928DF" w14:textId="77777777" w:rsidR="00D87E7A" w:rsidRPr="00237FD1" w:rsidRDefault="00D87E7A" w:rsidP="00C67660">
            <w:pPr>
              <w:jc w:val="center"/>
              <w:rPr>
                <w:rFonts w:cstheme="minorHAnsi"/>
                <w:b/>
                <w:bCs/>
                <w:sz w:val="24"/>
                <w:szCs w:val="24"/>
              </w:rPr>
            </w:pPr>
            <w:r w:rsidRPr="00237FD1">
              <w:rPr>
                <w:rFonts w:cstheme="minorHAnsi"/>
                <w:b/>
                <w:bCs/>
                <w:sz w:val="24"/>
                <w:szCs w:val="24"/>
              </w:rPr>
              <w:t>Iran 2021</w:t>
            </w:r>
          </w:p>
        </w:tc>
        <w:tc>
          <w:tcPr>
            <w:tcW w:w="3235" w:type="dxa"/>
            <w:gridSpan w:val="2"/>
          </w:tcPr>
          <w:p w14:paraId="3C41A584" w14:textId="77777777" w:rsidR="00D87E7A" w:rsidRPr="00237FD1" w:rsidRDefault="00D87E7A" w:rsidP="00C67660">
            <w:pPr>
              <w:jc w:val="center"/>
              <w:rPr>
                <w:rFonts w:cstheme="minorHAnsi"/>
                <w:b/>
                <w:bCs/>
                <w:sz w:val="24"/>
                <w:szCs w:val="24"/>
              </w:rPr>
            </w:pPr>
            <w:r w:rsidRPr="00237FD1">
              <w:rPr>
                <w:rFonts w:cstheme="minorHAnsi"/>
                <w:b/>
                <w:bCs/>
                <w:sz w:val="24"/>
                <w:szCs w:val="24"/>
              </w:rPr>
              <w:t>Tunisia 2021</w:t>
            </w:r>
          </w:p>
        </w:tc>
      </w:tr>
      <w:tr w:rsidR="00D87E7A" w:rsidRPr="0018095C" w14:paraId="0167A0AA" w14:textId="77777777" w:rsidTr="009B2C00">
        <w:tc>
          <w:tcPr>
            <w:tcW w:w="2965" w:type="dxa"/>
          </w:tcPr>
          <w:p w14:paraId="2BFA2D71" w14:textId="76E018CA" w:rsidR="00D87E7A" w:rsidRPr="0072561B" w:rsidRDefault="00D87E7A" w:rsidP="00A611DE">
            <w:pPr>
              <w:rPr>
                <w:rFonts w:cstheme="minorHAnsi"/>
                <w:sz w:val="24"/>
                <w:szCs w:val="24"/>
              </w:rPr>
            </w:pPr>
            <w:r w:rsidRPr="0072561B">
              <w:rPr>
                <w:rFonts w:cstheme="minorHAnsi"/>
                <w:sz w:val="24"/>
                <w:szCs w:val="24"/>
              </w:rPr>
              <w:t xml:space="preserve">Total </w:t>
            </w:r>
            <w:proofErr w:type="spellStart"/>
            <w:r w:rsidRPr="0072561B">
              <w:rPr>
                <w:rFonts w:cstheme="minorHAnsi"/>
                <w:sz w:val="24"/>
                <w:szCs w:val="24"/>
              </w:rPr>
              <w:t>Labo</w:t>
            </w:r>
            <w:r w:rsidR="00206E78" w:rsidRPr="0072561B">
              <w:rPr>
                <w:rFonts w:cstheme="minorHAnsi"/>
                <w:sz w:val="24"/>
                <w:szCs w:val="24"/>
              </w:rPr>
              <w:t>u</w:t>
            </w:r>
            <w:r w:rsidRPr="0072561B">
              <w:rPr>
                <w:rFonts w:cstheme="minorHAnsi"/>
                <w:sz w:val="24"/>
                <w:szCs w:val="24"/>
              </w:rPr>
              <w:t>r</w:t>
            </w:r>
            <w:proofErr w:type="spellEnd"/>
            <w:r w:rsidRPr="0072561B">
              <w:rPr>
                <w:rFonts w:cstheme="minorHAnsi"/>
                <w:sz w:val="24"/>
                <w:szCs w:val="24"/>
              </w:rPr>
              <w:t xml:space="preserve"> Force (M&amp;F)</w:t>
            </w:r>
          </w:p>
        </w:tc>
        <w:tc>
          <w:tcPr>
            <w:tcW w:w="1708" w:type="dxa"/>
          </w:tcPr>
          <w:p w14:paraId="37AE1168" w14:textId="298E716F" w:rsidR="00D87E7A" w:rsidRPr="0072561B" w:rsidRDefault="00D87E7A" w:rsidP="00C67660">
            <w:pPr>
              <w:jc w:val="center"/>
              <w:rPr>
                <w:rFonts w:cstheme="minorHAnsi"/>
                <w:sz w:val="24"/>
                <w:szCs w:val="24"/>
              </w:rPr>
            </w:pPr>
            <w:r w:rsidRPr="0072561B">
              <w:rPr>
                <w:rFonts w:cstheme="minorHAnsi"/>
                <w:sz w:val="24"/>
                <w:szCs w:val="24"/>
              </w:rPr>
              <w:t>23.4 million</w:t>
            </w:r>
          </w:p>
        </w:tc>
        <w:tc>
          <w:tcPr>
            <w:tcW w:w="1442" w:type="dxa"/>
          </w:tcPr>
          <w:p w14:paraId="2BDE95F4" w14:textId="77777777" w:rsidR="00D87E7A" w:rsidRPr="0072561B" w:rsidRDefault="00D87E7A" w:rsidP="00C67660">
            <w:pPr>
              <w:jc w:val="center"/>
              <w:rPr>
                <w:rFonts w:cstheme="minorHAnsi"/>
                <w:sz w:val="24"/>
                <w:szCs w:val="24"/>
              </w:rPr>
            </w:pPr>
            <w:r w:rsidRPr="0072561B">
              <w:rPr>
                <w:rFonts w:cstheme="minorHAnsi"/>
                <w:sz w:val="24"/>
                <w:szCs w:val="24"/>
              </w:rPr>
              <w:t>%</w:t>
            </w:r>
          </w:p>
        </w:tc>
        <w:tc>
          <w:tcPr>
            <w:tcW w:w="1535" w:type="dxa"/>
          </w:tcPr>
          <w:p w14:paraId="152B7CF2" w14:textId="77777777" w:rsidR="00D87E7A" w:rsidRPr="0072561B" w:rsidRDefault="00D87E7A" w:rsidP="00C67660">
            <w:pPr>
              <w:jc w:val="center"/>
              <w:rPr>
                <w:rFonts w:cstheme="minorHAnsi"/>
                <w:sz w:val="24"/>
                <w:szCs w:val="24"/>
              </w:rPr>
            </w:pPr>
            <w:r w:rsidRPr="0072561B">
              <w:rPr>
                <w:rFonts w:cstheme="minorHAnsi"/>
                <w:sz w:val="24"/>
                <w:szCs w:val="24"/>
              </w:rPr>
              <w:t>3.4 million</w:t>
            </w:r>
          </w:p>
        </w:tc>
        <w:tc>
          <w:tcPr>
            <w:tcW w:w="1700" w:type="dxa"/>
          </w:tcPr>
          <w:p w14:paraId="40651872" w14:textId="77777777" w:rsidR="00D87E7A" w:rsidRPr="0072561B" w:rsidRDefault="00D87E7A" w:rsidP="00C67660">
            <w:pPr>
              <w:jc w:val="center"/>
              <w:rPr>
                <w:rFonts w:cstheme="minorHAnsi"/>
                <w:sz w:val="24"/>
                <w:szCs w:val="24"/>
              </w:rPr>
            </w:pPr>
            <w:r w:rsidRPr="0072561B">
              <w:rPr>
                <w:rFonts w:cstheme="minorHAnsi"/>
                <w:sz w:val="24"/>
                <w:szCs w:val="24"/>
              </w:rPr>
              <w:t>%</w:t>
            </w:r>
          </w:p>
        </w:tc>
      </w:tr>
      <w:tr w:rsidR="00D87E7A" w:rsidRPr="0018095C" w14:paraId="338CE9B3" w14:textId="77777777" w:rsidTr="009B2C00">
        <w:tc>
          <w:tcPr>
            <w:tcW w:w="2965" w:type="dxa"/>
          </w:tcPr>
          <w:p w14:paraId="7F8B45AA" w14:textId="0EA39A22" w:rsidR="00D87E7A" w:rsidRPr="0072561B" w:rsidRDefault="00D87E7A" w:rsidP="00A611DE">
            <w:pPr>
              <w:rPr>
                <w:rFonts w:cstheme="minorHAnsi"/>
                <w:b/>
                <w:bCs/>
                <w:sz w:val="24"/>
                <w:szCs w:val="24"/>
              </w:rPr>
            </w:pPr>
            <w:r w:rsidRPr="0072561B">
              <w:rPr>
                <w:rFonts w:cstheme="minorHAnsi"/>
                <w:b/>
                <w:bCs/>
                <w:sz w:val="24"/>
                <w:szCs w:val="24"/>
              </w:rPr>
              <w:t xml:space="preserve">Total Female </w:t>
            </w:r>
            <w:proofErr w:type="spellStart"/>
            <w:r w:rsidRPr="0072561B">
              <w:rPr>
                <w:rFonts w:cstheme="minorHAnsi"/>
                <w:b/>
                <w:bCs/>
                <w:sz w:val="24"/>
                <w:szCs w:val="24"/>
              </w:rPr>
              <w:t>Labo</w:t>
            </w:r>
            <w:r w:rsidR="00206E78" w:rsidRPr="0072561B">
              <w:rPr>
                <w:rFonts w:cstheme="minorHAnsi"/>
                <w:b/>
                <w:bCs/>
                <w:sz w:val="24"/>
                <w:szCs w:val="24"/>
              </w:rPr>
              <w:t>u</w:t>
            </w:r>
            <w:r w:rsidRPr="0072561B">
              <w:rPr>
                <w:rFonts w:cstheme="minorHAnsi"/>
                <w:b/>
                <w:bCs/>
                <w:sz w:val="24"/>
                <w:szCs w:val="24"/>
              </w:rPr>
              <w:t>r</w:t>
            </w:r>
            <w:proofErr w:type="spellEnd"/>
            <w:r w:rsidRPr="0072561B">
              <w:rPr>
                <w:rFonts w:cstheme="minorHAnsi"/>
                <w:b/>
                <w:bCs/>
                <w:sz w:val="24"/>
                <w:szCs w:val="24"/>
              </w:rPr>
              <w:t xml:space="preserve"> Force</w:t>
            </w:r>
          </w:p>
          <w:p w14:paraId="1CFC7589" w14:textId="77777777" w:rsidR="00D87E7A" w:rsidRPr="0072561B" w:rsidRDefault="00D87E7A" w:rsidP="00A611DE">
            <w:pPr>
              <w:rPr>
                <w:rFonts w:cstheme="minorHAnsi"/>
                <w:sz w:val="24"/>
                <w:szCs w:val="24"/>
              </w:rPr>
            </w:pPr>
            <w:r w:rsidRPr="0072561B">
              <w:rPr>
                <w:rFonts w:cstheme="minorHAnsi"/>
                <w:sz w:val="24"/>
                <w:szCs w:val="24"/>
              </w:rPr>
              <w:t>of which:</w:t>
            </w:r>
          </w:p>
        </w:tc>
        <w:tc>
          <w:tcPr>
            <w:tcW w:w="1708" w:type="dxa"/>
          </w:tcPr>
          <w:p w14:paraId="1C35C1A5" w14:textId="11AA2DBE" w:rsidR="00D87E7A" w:rsidRPr="0072561B" w:rsidRDefault="00D87E7A" w:rsidP="00C67660">
            <w:pPr>
              <w:jc w:val="center"/>
              <w:rPr>
                <w:rFonts w:cstheme="minorHAnsi"/>
                <w:sz w:val="24"/>
                <w:szCs w:val="24"/>
              </w:rPr>
            </w:pPr>
            <w:r w:rsidRPr="0072561B">
              <w:rPr>
                <w:rFonts w:cstheme="minorHAnsi"/>
                <w:sz w:val="24"/>
                <w:szCs w:val="24"/>
              </w:rPr>
              <w:t>3</w:t>
            </w:r>
            <w:r w:rsidR="007A5B0F">
              <w:rPr>
                <w:rFonts w:cstheme="minorHAnsi"/>
                <w:sz w:val="24"/>
                <w:szCs w:val="24"/>
              </w:rPr>
              <w:t>.</w:t>
            </w:r>
            <w:r w:rsidRPr="0072561B">
              <w:rPr>
                <w:rFonts w:cstheme="minorHAnsi"/>
                <w:sz w:val="24"/>
                <w:szCs w:val="24"/>
              </w:rPr>
              <w:t>7</w:t>
            </w:r>
            <w:r w:rsidR="007A5B0F">
              <w:rPr>
                <w:rFonts w:cstheme="minorHAnsi"/>
                <w:sz w:val="24"/>
                <w:szCs w:val="24"/>
              </w:rPr>
              <w:t xml:space="preserve"> million</w:t>
            </w:r>
          </w:p>
        </w:tc>
        <w:tc>
          <w:tcPr>
            <w:tcW w:w="1442" w:type="dxa"/>
          </w:tcPr>
          <w:p w14:paraId="5552853F" w14:textId="77777777" w:rsidR="00D87E7A" w:rsidRPr="0072561B" w:rsidRDefault="00D87E7A" w:rsidP="00C67660">
            <w:pPr>
              <w:jc w:val="center"/>
              <w:rPr>
                <w:rFonts w:cstheme="minorHAnsi"/>
                <w:sz w:val="24"/>
                <w:szCs w:val="24"/>
              </w:rPr>
            </w:pPr>
            <w:r w:rsidRPr="0072561B">
              <w:rPr>
                <w:rFonts w:cstheme="minorHAnsi"/>
                <w:sz w:val="24"/>
                <w:szCs w:val="24"/>
              </w:rPr>
              <w:t>15.8%</w:t>
            </w:r>
          </w:p>
        </w:tc>
        <w:tc>
          <w:tcPr>
            <w:tcW w:w="1535" w:type="dxa"/>
          </w:tcPr>
          <w:p w14:paraId="59CEA577" w14:textId="42A04CBE" w:rsidR="00D87E7A" w:rsidRPr="0072561B" w:rsidRDefault="00D87E7A" w:rsidP="00C67660">
            <w:pPr>
              <w:jc w:val="center"/>
              <w:rPr>
                <w:rFonts w:cstheme="minorHAnsi"/>
                <w:sz w:val="24"/>
                <w:szCs w:val="24"/>
              </w:rPr>
            </w:pPr>
            <w:r w:rsidRPr="0072561B">
              <w:rPr>
                <w:rFonts w:cstheme="minorHAnsi"/>
                <w:sz w:val="24"/>
                <w:szCs w:val="24"/>
              </w:rPr>
              <w:t>88</w:t>
            </w:r>
            <w:r w:rsidR="007A5B0F">
              <w:rPr>
                <w:rFonts w:cstheme="minorHAnsi"/>
                <w:sz w:val="24"/>
                <w:szCs w:val="24"/>
              </w:rPr>
              <w:t>5,</w:t>
            </w:r>
            <w:r w:rsidRPr="0072561B">
              <w:rPr>
                <w:rFonts w:cstheme="minorHAnsi"/>
                <w:sz w:val="24"/>
                <w:szCs w:val="24"/>
              </w:rPr>
              <w:t>5</w:t>
            </w:r>
            <w:r w:rsidR="007A5B0F">
              <w:rPr>
                <w:rFonts w:cstheme="minorHAnsi"/>
                <w:sz w:val="24"/>
                <w:szCs w:val="24"/>
              </w:rPr>
              <w:t>00</w:t>
            </w:r>
          </w:p>
        </w:tc>
        <w:tc>
          <w:tcPr>
            <w:tcW w:w="1700" w:type="dxa"/>
          </w:tcPr>
          <w:p w14:paraId="67AEAF6D" w14:textId="77777777" w:rsidR="00D87E7A" w:rsidRPr="0072561B" w:rsidRDefault="00D87E7A" w:rsidP="00C67660">
            <w:pPr>
              <w:jc w:val="center"/>
              <w:rPr>
                <w:rFonts w:cstheme="minorHAnsi"/>
                <w:sz w:val="24"/>
                <w:szCs w:val="24"/>
              </w:rPr>
            </w:pPr>
            <w:r w:rsidRPr="0072561B">
              <w:rPr>
                <w:rFonts w:cstheme="minorHAnsi"/>
                <w:sz w:val="24"/>
                <w:szCs w:val="24"/>
              </w:rPr>
              <w:t>29.5%</w:t>
            </w:r>
          </w:p>
        </w:tc>
      </w:tr>
      <w:tr w:rsidR="00D87E7A" w:rsidRPr="0018095C" w14:paraId="45365645" w14:textId="77777777" w:rsidTr="009B2C00">
        <w:tc>
          <w:tcPr>
            <w:tcW w:w="2965" w:type="dxa"/>
          </w:tcPr>
          <w:p w14:paraId="3FEE5098" w14:textId="77777777" w:rsidR="00D87E7A" w:rsidRPr="0072561B" w:rsidRDefault="00D87E7A" w:rsidP="00A611DE">
            <w:pPr>
              <w:rPr>
                <w:rFonts w:cstheme="minorHAnsi"/>
                <w:sz w:val="24"/>
                <w:szCs w:val="24"/>
              </w:rPr>
            </w:pPr>
            <w:r w:rsidRPr="0072561B">
              <w:rPr>
                <w:rFonts w:cstheme="minorHAnsi"/>
                <w:sz w:val="24"/>
                <w:szCs w:val="24"/>
              </w:rPr>
              <w:t>employees</w:t>
            </w:r>
          </w:p>
        </w:tc>
        <w:tc>
          <w:tcPr>
            <w:tcW w:w="1708" w:type="dxa"/>
          </w:tcPr>
          <w:p w14:paraId="3496A585" w14:textId="3A54D253" w:rsidR="00D87E7A" w:rsidRPr="0072561B" w:rsidRDefault="00D87E7A" w:rsidP="00C67660">
            <w:pPr>
              <w:jc w:val="center"/>
              <w:rPr>
                <w:rFonts w:cstheme="minorHAnsi"/>
                <w:sz w:val="24"/>
                <w:szCs w:val="24"/>
              </w:rPr>
            </w:pPr>
            <w:r w:rsidRPr="0072561B">
              <w:rPr>
                <w:rFonts w:cstheme="minorHAnsi"/>
                <w:sz w:val="24"/>
                <w:szCs w:val="24"/>
              </w:rPr>
              <w:t>2</w:t>
            </w:r>
            <w:r w:rsidR="00FB506C">
              <w:rPr>
                <w:rFonts w:cstheme="minorHAnsi"/>
                <w:sz w:val="24"/>
                <w:szCs w:val="24"/>
              </w:rPr>
              <w:t>.2 million</w:t>
            </w:r>
          </w:p>
        </w:tc>
        <w:tc>
          <w:tcPr>
            <w:tcW w:w="1442" w:type="dxa"/>
          </w:tcPr>
          <w:p w14:paraId="1258B20A" w14:textId="77777777" w:rsidR="00D87E7A" w:rsidRPr="0072561B" w:rsidRDefault="00D87E7A" w:rsidP="00C67660">
            <w:pPr>
              <w:jc w:val="center"/>
              <w:rPr>
                <w:rFonts w:cstheme="minorHAnsi"/>
                <w:sz w:val="24"/>
                <w:szCs w:val="24"/>
              </w:rPr>
            </w:pPr>
            <w:r w:rsidRPr="0072561B">
              <w:rPr>
                <w:rFonts w:cstheme="minorHAnsi"/>
                <w:sz w:val="24"/>
                <w:szCs w:val="24"/>
              </w:rPr>
              <w:t>60.2%</w:t>
            </w:r>
          </w:p>
        </w:tc>
        <w:tc>
          <w:tcPr>
            <w:tcW w:w="1535" w:type="dxa"/>
          </w:tcPr>
          <w:p w14:paraId="6FB2F17D" w14:textId="76F43CB6" w:rsidR="00D87E7A" w:rsidRPr="0072561B" w:rsidRDefault="00D87E7A" w:rsidP="00C67660">
            <w:pPr>
              <w:jc w:val="center"/>
              <w:rPr>
                <w:rFonts w:cstheme="minorHAnsi"/>
                <w:sz w:val="24"/>
                <w:szCs w:val="24"/>
              </w:rPr>
            </w:pPr>
            <w:r w:rsidRPr="0072561B">
              <w:rPr>
                <w:rFonts w:cstheme="minorHAnsi"/>
                <w:sz w:val="24"/>
                <w:szCs w:val="24"/>
              </w:rPr>
              <w:t>779</w:t>
            </w:r>
            <w:r w:rsidR="00FB506C">
              <w:rPr>
                <w:rFonts w:cstheme="minorHAnsi"/>
                <w:sz w:val="24"/>
                <w:szCs w:val="24"/>
              </w:rPr>
              <w:t>,</w:t>
            </w:r>
            <w:r w:rsidRPr="0072561B">
              <w:rPr>
                <w:rFonts w:cstheme="minorHAnsi"/>
                <w:sz w:val="24"/>
                <w:szCs w:val="24"/>
              </w:rPr>
              <w:t>8</w:t>
            </w:r>
            <w:r w:rsidR="00FB506C">
              <w:rPr>
                <w:rFonts w:cstheme="minorHAnsi"/>
                <w:sz w:val="24"/>
                <w:szCs w:val="24"/>
              </w:rPr>
              <w:t>00</w:t>
            </w:r>
          </w:p>
        </w:tc>
        <w:tc>
          <w:tcPr>
            <w:tcW w:w="1700" w:type="dxa"/>
          </w:tcPr>
          <w:p w14:paraId="3EE729AB" w14:textId="77777777" w:rsidR="00D87E7A" w:rsidRPr="0072561B" w:rsidRDefault="00D87E7A" w:rsidP="00C67660">
            <w:pPr>
              <w:jc w:val="center"/>
              <w:rPr>
                <w:rFonts w:cstheme="minorHAnsi"/>
                <w:sz w:val="24"/>
                <w:szCs w:val="24"/>
              </w:rPr>
            </w:pPr>
            <w:r w:rsidRPr="0072561B">
              <w:rPr>
                <w:rFonts w:cstheme="minorHAnsi"/>
                <w:sz w:val="24"/>
                <w:szCs w:val="24"/>
              </w:rPr>
              <w:t>88%</w:t>
            </w:r>
          </w:p>
        </w:tc>
      </w:tr>
      <w:tr w:rsidR="00D87E7A" w:rsidRPr="0018095C" w14:paraId="356EA862" w14:textId="77777777" w:rsidTr="009B2C00">
        <w:tc>
          <w:tcPr>
            <w:tcW w:w="2965" w:type="dxa"/>
          </w:tcPr>
          <w:p w14:paraId="5098640A" w14:textId="77777777" w:rsidR="00D87E7A" w:rsidRPr="0072561B" w:rsidRDefault="00D87E7A" w:rsidP="00A611DE">
            <w:pPr>
              <w:rPr>
                <w:rFonts w:cstheme="minorHAnsi"/>
                <w:sz w:val="24"/>
                <w:szCs w:val="24"/>
              </w:rPr>
            </w:pPr>
            <w:r w:rsidRPr="0072561B">
              <w:rPr>
                <w:rFonts w:cstheme="minorHAnsi"/>
                <w:sz w:val="24"/>
                <w:szCs w:val="24"/>
              </w:rPr>
              <w:t>employers</w:t>
            </w:r>
          </w:p>
        </w:tc>
        <w:tc>
          <w:tcPr>
            <w:tcW w:w="1708" w:type="dxa"/>
          </w:tcPr>
          <w:p w14:paraId="0142BEB6" w14:textId="1AACE679" w:rsidR="00D87E7A" w:rsidRPr="0072561B" w:rsidRDefault="00D87E7A" w:rsidP="00C67660">
            <w:pPr>
              <w:jc w:val="center"/>
              <w:rPr>
                <w:rFonts w:cstheme="minorHAnsi"/>
                <w:sz w:val="24"/>
                <w:szCs w:val="24"/>
              </w:rPr>
            </w:pPr>
            <w:r w:rsidRPr="0072561B">
              <w:rPr>
                <w:rFonts w:cstheme="minorHAnsi"/>
                <w:sz w:val="24"/>
                <w:szCs w:val="24"/>
              </w:rPr>
              <w:t>33</w:t>
            </w:r>
            <w:r w:rsidR="00C67660">
              <w:rPr>
                <w:rFonts w:cstheme="minorHAnsi"/>
                <w:sz w:val="24"/>
                <w:szCs w:val="24"/>
              </w:rPr>
              <w:t>,</w:t>
            </w:r>
            <w:r w:rsidRPr="0072561B">
              <w:rPr>
                <w:rFonts w:cstheme="minorHAnsi"/>
                <w:sz w:val="24"/>
                <w:szCs w:val="24"/>
              </w:rPr>
              <w:t>5</w:t>
            </w:r>
            <w:r w:rsidR="00C67660">
              <w:rPr>
                <w:rFonts w:cstheme="minorHAnsi"/>
                <w:sz w:val="24"/>
                <w:szCs w:val="24"/>
              </w:rPr>
              <w:t>00</w:t>
            </w:r>
          </w:p>
        </w:tc>
        <w:tc>
          <w:tcPr>
            <w:tcW w:w="1442" w:type="dxa"/>
          </w:tcPr>
          <w:p w14:paraId="789AEEE1" w14:textId="6726F921" w:rsidR="00D87E7A" w:rsidRPr="0072561B" w:rsidRDefault="00C368D6" w:rsidP="00C67660">
            <w:pPr>
              <w:jc w:val="center"/>
              <w:rPr>
                <w:rFonts w:cstheme="minorHAnsi"/>
                <w:sz w:val="24"/>
                <w:szCs w:val="24"/>
              </w:rPr>
            </w:pPr>
            <w:r>
              <w:rPr>
                <w:rFonts w:cstheme="minorHAnsi"/>
                <w:sz w:val="24"/>
                <w:szCs w:val="24"/>
              </w:rPr>
              <w:t>0.</w:t>
            </w:r>
            <w:r w:rsidR="00D87E7A" w:rsidRPr="0072561B">
              <w:rPr>
                <w:rFonts w:cstheme="minorHAnsi"/>
                <w:sz w:val="24"/>
                <w:szCs w:val="24"/>
              </w:rPr>
              <w:t>9%</w:t>
            </w:r>
          </w:p>
        </w:tc>
        <w:tc>
          <w:tcPr>
            <w:tcW w:w="1535" w:type="dxa"/>
          </w:tcPr>
          <w:p w14:paraId="6ACB38BB" w14:textId="56614BA2" w:rsidR="00D87E7A" w:rsidRPr="0072561B" w:rsidRDefault="00D87E7A" w:rsidP="00C67660">
            <w:pPr>
              <w:jc w:val="center"/>
              <w:rPr>
                <w:rFonts w:cstheme="minorHAnsi"/>
                <w:sz w:val="24"/>
                <w:szCs w:val="24"/>
              </w:rPr>
            </w:pPr>
            <w:r w:rsidRPr="0072561B">
              <w:rPr>
                <w:rFonts w:cstheme="minorHAnsi"/>
                <w:sz w:val="24"/>
                <w:szCs w:val="24"/>
              </w:rPr>
              <w:t>18</w:t>
            </w:r>
            <w:r w:rsidR="00C368D6">
              <w:rPr>
                <w:rFonts w:cstheme="minorHAnsi"/>
                <w:sz w:val="24"/>
                <w:szCs w:val="24"/>
              </w:rPr>
              <w:t>,</w:t>
            </w:r>
            <w:r w:rsidRPr="0072561B">
              <w:rPr>
                <w:rFonts w:cstheme="minorHAnsi"/>
                <w:sz w:val="24"/>
                <w:szCs w:val="24"/>
              </w:rPr>
              <w:t>3</w:t>
            </w:r>
            <w:r w:rsidR="00C368D6">
              <w:rPr>
                <w:rFonts w:cstheme="minorHAnsi"/>
                <w:sz w:val="24"/>
                <w:szCs w:val="24"/>
              </w:rPr>
              <w:t>00</w:t>
            </w:r>
          </w:p>
        </w:tc>
        <w:tc>
          <w:tcPr>
            <w:tcW w:w="1700" w:type="dxa"/>
          </w:tcPr>
          <w:p w14:paraId="114C4137" w14:textId="3D09EDA4" w:rsidR="00D87E7A" w:rsidRPr="0072561B" w:rsidRDefault="00D87E7A" w:rsidP="00C67660">
            <w:pPr>
              <w:jc w:val="center"/>
              <w:rPr>
                <w:rFonts w:cstheme="minorHAnsi"/>
                <w:sz w:val="24"/>
                <w:szCs w:val="24"/>
              </w:rPr>
            </w:pPr>
            <w:r w:rsidRPr="0072561B">
              <w:rPr>
                <w:rFonts w:cstheme="minorHAnsi"/>
                <w:sz w:val="24"/>
                <w:szCs w:val="24"/>
              </w:rPr>
              <w:t>2.1%</w:t>
            </w:r>
          </w:p>
        </w:tc>
      </w:tr>
      <w:tr w:rsidR="00D87E7A" w:rsidRPr="0018095C" w14:paraId="537F0751" w14:textId="77777777" w:rsidTr="009B2C00">
        <w:tc>
          <w:tcPr>
            <w:tcW w:w="2965" w:type="dxa"/>
          </w:tcPr>
          <w:p w14:paraId="713E836D" w14:textId="77777777" w:rsidR="00D87E7A" w:rsidRPr="0072561B" w:rsidRDefault="00D87E7A" w:rsidP="00A611DE">
            <w:pPr>
              <w:rPr>
                <w:rFonts w:cstheme="minorHAnsi"/>
                <w:sz w:val="24"/>
                <w:szCs w:val="24"/>
              </w:rPr>
            </w:pPr>
            <w:r w:rsidRPr="0072561B">
              <w:rPr>
                <w:rFonts w:cstheme="minorHAnsi"/>
                <w:sz w:val="24"/>
                <w:szCs w:val="24"/>
              </w:rPr>
              <w:t>own-account workers</w:t>
            </w:r>
          </w:p>
        </w:tc>
        <w:tc>
          <w:tcPr>
            <w:tcW w:w="1708" w:type="dxa"/>
          </w:tcPr>
          <w:p w14:paraId="0644E5E9" w14:textId="1F2B9AF2" w:rsidR="00D87E7A" w:rsidRPr="0072561B" w:rsidRDefault="00D87E7A" w:rsidP="00C67660">
            <w:pPr>
              <w:jc w:val="center"/>
              <w:rPr>
                <w:rFonts w:cstheme="minorHAnsi"/>
                <w:sz w:val="24"/>
                <w:szCs w:val="24"/>
              </w:rPr>
            </w:pPr>
            <w:r w:rsidRPr="0072561B">
              <w:rPr>
                <w:rFonts w:cstheme="minorHAnsi"/>
                <w:sz w:val="24"/>
                <w:szCs w:val="24"/>
              </w:rPr>
              <w:t>857</w:t>
            </w:r>
            <w:r w:rsidR="00AC6C8E">
              <w:rPr>
                <w:rFonts w:cstheme="minorHAnsi"/>
                <w:sz w:val="24"/>
                <w:szCs w:val="24"/>
              </w:rPr>
              <w:t>,</w:t>
            </w:r>
            <w:r w:rsidRPr="0072561B">
              <w:rPr>
                <w:rFonts w:cstheme="minorHAnsi"/>
                <w:sz w:val="24"/>
                <w:szCs w:val="24"/>
              </w:rPr>
              <w:t>4</w:t>
            </w:r>
            <w:r w:rsidR="00AC6C8E">
              <w:rPr>
                <w:rFonts w:cstheme="minorHAnsi"/>
                <w:sz w:val="24"/>
                <w:szCs w:val="24"/>
              </w:rPr>
              <w:t>00</w:t>
            </w:r>
          </w:p>
        </w:tc>
        <w:tc>
          <w:tcPr>
            <w:tcW w:w="1442" w:type="dxa"/>
          </w:tcPr>
          <w:p w14:paraId="1C34D21F" w14:textId="77777777" w:rsidR="00D87E7A" w:rsidRPr="0072561B" w:rsidRDefault="00D87E7A" w:rsidP="00C67660">
            <w:pPr>
              <w:jc w:val="center"/>
              <w:rPr>
                <w:rFonts w:cstheme="minorHAnsi"/>
                <w:sz w:val="24"/>
                <w:szCs w:val="24"/>
              </w:rPr>
            </w:pPr>
            <w:r w:rsidRPr="0072561B">
              <w:rPr>
                <w:rFonts w:cstheme="minorHAnsi"/>
                <w:sz w:val="24"/>
                <w:szCs w:val="24"/>
              </w:rPr>
              <w:t>23.15%</w:t>
            </w:r>
          </w:p>
        </w:tc>
        <w:tc>
          <w:tcPr>
            <w:tcW w:w="1535" w:type="dxa"/>
          </w:tcPr>
          <w:p w14:paraId="316DA4C3" w14:textId="3BF2ECF9" w:rsidR="00D87E7A" w:rsidRPr="0072561B" w:rsidRDefault="00D87E7A" w:rsidP="00C67660">
            <w:pPr>
              <w:jc w:val="center"/>
              <w:rPr>
                <w:rFonts w:cstheme="minorHAnsi"/>
                <w:sz w:val="24"/>
                <w:szCs w:val="24"/>
              </w:rPr>
            </w:pPr>
            <w:r w:rsidRPr="0072561B">
              <w:rPr>
                <w:rFonts w:cstheme="minorHAnsi"/>
                <w:sz w:val="24"/>
                <w:szCs w:val="24"/>
              </w:rPr>
              <w:t>60</w:t>
            </w:r>
            <w:r w:rsidR="00094FA7">
              <w:rPr>
                <w:rFonts w:cstheme="minorHAnsi"/>
                <w:sz w:val="24"/>
                <w:szCs w:val="24"/>
              </w:rPr>
              <w:t>,</w:t>
            </w:r>
            <w:r w:rsidRPr="0072561B">
              <w:rPr>
                <w:rFonts w:cstheme="minorHAnsi"/>
                <w:sz w:val="24"/>
                <w:szCs w:val="24"/>
              </w:rPr>
              <w:t>5</w:t>
            </w:r>
            <w:r w:rsidR="00094FA7">
              <w:rPr>
                <w:rFonts w:cstheme="minorHAnsi"/>
                <w:sz w:val="24"/>
                <w:szCs w:val="24"/>
              </w:rPr>
              <w:t>00</w:t>
            </w:r>
          </w:p>
        </w:tc>
        <w:tc>
          <w:tcPr>
            <w:tcW w:w="1700" w:type="dxa"/>
          </w:tcPr>
          <w:p w14:paraId="56569AD7" w14:textId="479E87F9" w:rsidR="00D87E7A" w:rsidRPr="0072561B" w:rsidRDefault="00D87E7A" w:rsidP="00C67660">
            <w:pPr>
              <w:jc w:val="center"/>
              <w:rPr>
                <w:rFonts w:cstheme="minorHAnsi"/>
                <w:sz w:val="24"/>
                <w:szCs w:val="24"/>
              </w:rPr>
            </w:pPr>
            <w:r w:rsidRPr="0072561B">
              <w:rPr>
                <w:rFonts w:cstheme="minorHAnsi"/>
                <w:sz w:val="24"/>
                <w:szCs w:val="24"/>
              </w:rPr>
              <w:t>6.8%</w:t>
            </w:r>
          </w:p>
        </w:tc>
      </w:tr>
      <w:tr w:rsidR="00D87E7A" w:rsidRPr="0018095C" w14:paraId="0DCED1D5" w14:textId="77777777" w:rsidTr="009B2C00">
        <w:tc>
          <w:tcPr>
            <w:tcW w:w="2965" w:type="dxa"/>
          </w:tcPr>
          <w:p w14:paraId="4B4886C4" w14:textId="77777777" w:rsidR="00D87E7A" w:rsidRPr="0072561B" w:rsidRDefault="00D87E7A" w:rsidP="00A611DE">
            <w:pPr>
              <w:rPr>
                <w:rFonts w:cstheme="minorHAnsi"/>
                <w:sz w:val="24"/>
                <w:szCs w:val="24"/>
              </w:rPr>
            </w:pPr>
            <w:r w:rsidRPr="0072561B">
              <w:rPr>
                <w:rFonts w:cstheme="minorHAnsi"/>
                <w:sz w:val="24"/>
                <w:szCs w:val="24"/>
              </w:rPr>
              <w:t>contributing family workers</w:t>
            </w:r>
          </w:p>
        </w:tc>
        <w:tc>
          <w:tcPr>
            <w:tcW w:w="1708" w:type="dxa"/>
          </w:tcPr>
          <w:p w14:paraId="3866ECF6" w14:textId="678B3C9C" w:rsidR="00D87E7A" w:rsidRPr="0072561B" w:rsidRDefault="00D87E7A" w:rsidP="00C67660">
            <w:pPr>
              <w:jc w:val="center"/>
              <w:rPr>
                <w:rFonts w:cstheme="minorHAnsi"/>
                <w:sz w:val="24"/>
                <w:szCs w:val="24"/>
              </w:rPr>
            </w:pPr>
            <w:r w:rsidRPr="0072561B">
              <w:rPr>
                <w:rFonts w:cstheme="minorHAnsi"/>
                <w:sz w:val="24"/>
                <w:szCs w:val="24"/>
              </w:rPr>
              <w:t>582</w:t>
            </w:r>
            <w:r w:rsidR="00094FA7">
              <w:rPr>
                <w:rFonts w:cstheme="minorHAnsi"/>
                <w:sz w:val="24"/>
                <w:szCs w:val="24"/>
              </w:rPr>
              <w:t>,</w:t>
            </w:r>
            <w:r w:rsidRPr="0072561B">
              <w:rPr>
                <w:rFonts w:cstheme="minorHAnsi"/>
                <w:sz w:val="24"/>
                <w:szCs w:val="24"/>
              </w:rPr>
              <w:t>4</w:t>
            </w:r>
            <w:r w:rsidR="00094FA7">
              <w:rPr>
                <w:rFonts w:cstheme="minorHAnsi"/>
                <w:sz w:val="24"/>
                <w:szCs w:val="24"/>
              </w:rPr>
              <w:t>00</w:t>
            </w:r>
          </w:p>
        </w:tc>
        <w:tc>
          <w:tcPr>
            <w:tcW w:w="1442" w:type="dxa"/>
          </w:tcPr>
          <w:p w14:paraId="5F9D7873" w14:textId="77777777" w:rsidR="00D87E7A" w:rsidRPr="0072561B" w:rsidRDefault="00D87E7A" w:rsidP="00C67660">
            <w:pPr>
              <w:jc w:val="center"/>
              <w:rPr>
                <w:rFonts w:cstheme="minorHAnsi"/>
                <w:sz w:val="24"/>
                <w:szCs w:val="24"/>
              </w:rPr>
            </w:pPr>
            <w:r w:rsidRPr="0072561B">
              <w:rPr>
                <w:rFonts w:cstheme="minorHAnsi"/>
                <w:sz w:val="24"/>
                <w:szCs w:val="24"/>
              </w:rPr>
              <w:t>15.7%</w:t>
            </w:r>
          </w:p>
        </w:tc>
        <w:tc>
          <w:tcPr>
            <w:tcW w:w="1535" w:type="dxa"/>
          </w:tcPr>
          <w:p w14:paraId="3722C0E0" w14:textId="6079FF78" w:rsidR="00D87E7A" w:rsidRPr="0072561B" w:rsidRDefault="00D87E7A" w:rsidP="00C67660">
            <w:pPr>
              <w:jc w:val="center"/>
              <w:rPr>
                <w:rFonts w:cstheme="minorHAnsi"/>
                <w:sz w:val="24"/>
                <w:szCs w:val="24"/>
              </w:rPr>
            </w:pPr>
            <w:r w:rsidRPr="0072561B">
              <w:rPr>
                <w:rFonts w:cstheme="minorHAnsi"/>
                <w:sz w:val="24"/>
                <w:szCs w:val="24"/>
              </w:rPr>
              <w:t>26</w:t>
            </w:r>
            <w:r w:rsidR="00094FA7">
              <w:rPr>
                <w:rFonts w:cstheme="minorHAnsi"/>
                <w:sz w:val="24"/>
                <w:szCs w:val="24"/>
              </w:rPr>
              <w:t>,</w:t>
            </w:r>
            <w:r w:rsidRPr="0072561B">
              <w:rPr>
                <w:rFonts w:cstheme="minorHAnsi"/>
                <w:sz w:val="24"/>
                <w:szCs w:val="24"/>
              </w:rPr>
              <w:t>9</w:t>
            </w:r>
            <w:r w:rsidR="00094FA7">
              <w:rPr>
                <w:rFonts w:cstheme="minorHAnsi"/>
                <w:sz w:val="24"/>
                <w:szCs w:val="24"/>
              </w:rPr>
              <w:t>00</w:t>
            </w:r>
          </w:p>
        </w:tc>
        <w:tc>
          <w:tcPr>
            <w:tcW w:w="1700" w:type="dxa"/>
          </w:tcPr>
          <w:p w14:paraId="4B4E16D5" w14:textId="0BEE2EF7" w:rsidR="00D87E7A" w:rsidRPr="0072561B" w:rsidRDefault="00D87E7A" w:rsidP="00C67660">
            <w:pPr>
              <w:jc w:val="center"/>
              <w:rPr>
                <w:rFonts w:cstheme="minorHAnsi"/>
                <w:sz w:val="24"/>
                <w:szCs w:val="24"/>
              </w:rPr>
            </w:pPr>
            <w:r w:rsidRPr="0072561B">
              <w:rPr>
                <w:rFonts w:cstheme="minorHAnsi"/>
                <w:sz w:val="24"/>
                <w:szCs w:val="24"/>
              </w:rPr>
              <w:t>3.1%</w:t>
            </w:r>
          </w:p>
        </w:tc>
      </w:tr>
      <w:tr w:rsidR="00D87E7A" w:rsidRPr="0018095C" w14:paraId="45D1A7B9" w14:textId="77777777" w:rsidTr="009B2C00">
        <w:tc>
          <w:tcPr>
            <w:tcW w:w="2965" w:type="dxa"/>
          </w:tcPr>
          <w:p w14:paraId="525493CC" w14:textId="77777777" w:rsidR="00D87E7A" w:rsidRPr="0072561B" w:rsidRDefault="00D87E7A" w:rsidP="00A611DE">
            <w:pPr>
              <w:rPr>
                <w:rFonts w:cstheme="minorHAnsi"/>
                <w:sz w:val="24"/>
                <w:szCs w:val="24"/>
              </w:rPr>
            </w:pPr>
            <w:r w:rsidRPr="0072561B">
              <w:rPr>
                <w:rFonts w:cstheme="minorHAnsi"/>
                <w:sz w:val="24"/>
                <w:szCs w:val="24"/>
              </w:rPr>
              <w:t>Unemployment rate (F)</w:t>
            </w:r>
          </w:p>
        </w:tc>
        <w:tc>
          <w:tcPr>
            <w:tcW w:w="1708" w:type="dxa"/>
          </w:tcPr>
          <w:p w14:paraId="11B6D486" w14:textId="77777777" w:rsidR="00D87E7A" w:rsidRPr="0072561B" w:rsidRDefault="00D87E7A" w:rsidP="00C67660">
            <w:pPr>
              <w:jc w:val="center"/>
              <w:rPr>
                <w:rFonts w:cstheme="minorHAnsi"/>
                <w:sz w:val="24"/>
                <w:szCs w:val="24"/>
              </w:rPr>
            </w:pPr>
          </w:p>
        </w:tc>
        <w:tc>
          <w:tcPr>
            <w:tcW w:w="1442" w:type="dxa"/>
          </w:tcPr>
          <w:p w14:paraId="2E03E33C" w14:textId="77777777" w:rsidR="00D87E7A" w:rsidRPr="0072561B" w:rsidRDefault="00D87E7A" w:rsidP="00C67660">
            <w:pPr>
              <w:jc w:val="center"/>
              <w:rPr>
                <w:rFonts w:cstheme="minorHAnsi"/>
                <w:sz w:val="24"/>
                <w:szCs w:val="24"/>
              </w:rPr>
            </w:pPr>
            <w:r w:rsidRPr="0072561B">
              <w:rPr>
                <w:rFonts w:cstheme="minorHAnsi"/>
                <w:sz w:val="24"/>
                <w:szCs w:val="24"/>
              </w:rPr>
              <w:t>36% 15-24</w:t>
            </w:r>
          </w:p>
          <w:p w14:paraId="7BC84D34" w14:textId="77777777" w:rsidR="00A611DE" w:rsidRDefault="00A611DE" w:rsidP="00C67660">
            <w:pPr>
              <w:jc w:val="center"/>
              <w:rPr>
                <w:rFonts w:cstheme="minorHAnsi"/>
                <w:sz w:val="24"/>
                <w:szCs w:val="24"/>
              </w:rPr>
            </w:pPr>
          </w:p>
          <w:p w14:paraId="6631445E" w14:textId="23B54296" w:rsidR="00D87E7A" w:rsidRPr="0072561B" w:rsidRDefault="00D87E7A" w:rsidP="00C67660">
            <w:pPr>
              <w:jc w:val="center"/>
              <w:rPr>
                <w:rFonts w:cstheme="minorHAnsi"/>
                <w:sz w:val="24"/>
                <w:szCs w:val="24"/>
              </w:rPr>
            </w:pPr>
            <w:r w:rsidRPr="0072561B">
              <w:rPr>
                <w:rFonts w:cstheme="minorHAnsi"/>
                <w:sz w:val="24"/>
                <w:szCs w:val="24"/>
              </w:rPr>
              <w:t>13.6% 25+</w:t>
            </w:r>
          </w:p>
          <w:p w14:paraId="0B18C69C" w14:textId="77777777" w:rsidR="00D87E7A" w:rsidRPr="0072561B" w:rsidRDefault="00D87E7A" w:rsidP="00C67660">
            <w:pPr>
              <w:jc w:val="center"/>
              <w:rPr>
                <w:rFonts w:cstheme="minorHAnsi"/>
                <w:sz w:val="24"/>
                <w:szCs w:val="24"/>
              </w:rPr>
            </w:pPr>
            <w:r w:rsidRPr="0072561B">
              <w:rPr>
                <w:rFonts w:cstheme="minorHAnsi"/>
                <w:sz w:val="24"/>
                <w:szCs w:val="24"/>
              </w:rPr>
              <w:t>(2020)</w:t>
            </w:r>
          </w:p>
        </w:tc>
        <w:tc>
          <w:tcPr>
            <w:tcW w:w="1535" w:type="dxa"/>
          </w:tcPr>
          <w:p w14:paraId="5087F6D5" w14:textId="77777777" w:rsidR="00D87E7A" w:rsidRPr="0072561B" w:rsidRDefault="00D87E7A" w:rsidP="00C67660">
            <w:pPr>
              <w:jc w:val="center"/>
              <w:rPr>
                <w:rFonts w:cstheme="minorHAnsi"/>
                <w:sz w:val="24"/>
                <w:szCs w:val="24"/>
              </w:rPr>
            </w:pPr>
          </w:p>
        </w:tc>
        <w:tc>
          <w:tcPr>
            <w:tcW w:w="1700" w:type="dxa"/>
          </w:tcPr>
          <w:p w14:paraId="0B153102" w14:textId="77777777" w:rsidR="00D87E7A" w:rsidRPr="0072561B" w:rsidRDefault="00D87E7A" w:rsidP="00C67660">
            <w:pPr>
              <w:jc w:val="center"/>
              <w:rPr>
                <w:rFonts w:cstheme="minorHAnsi"/>
                <w:sz w:val="24"/>
                <w:szCs w:val="24"/>
              </w:rPr>
            </w:pPr>
            <w:r w:rsidRPr="0072561B">
              <w:rPr>
                <w:rFonts w:cstheme="minorHAnsi"/>
                <w:sz w:val="24"/>
                <w:szCs w:val="24"/>
              </w:rPr>
              <w:t>37.2% 15-24 (2017)</w:t>
            </w:r>
          </w:p>
          <w:p w14:paraId="4705D538" w14:textId="0C399A55" w:rsidR="00D87E7A" w:rsidRPr="0072561B" w:rsidRDefault="00D87E7A" w:rsidP="00C67660">
            <w:pPr>
              <w:jc w:val="center"/>
              <w:rPr>
                <w:rFonts w:cstheme="minorHAnsi"/>
                <w:sz w:val="24"/>
                <w:szCs w:val="24"/>
              </w:rPr>
            </w:pPr>
            <w:r w:rsidRPr="0072561B">
              <w:rPr>
                <w:rFonts w:cstheme="minorHAnsi"/>
                <w:sz w:val="24"/>
                <w:szCs w:val="24"/>
              </w:rPr>
              <w:t xml:space="preserve">22.2% </w:t>
            </w:r>
            <w:r w:rsidR="00A611DE">
              <w:rPr>
                <w:rFonts w:cstheme="minorHAnsi"/>
                <w:sz w:val="24"/>
                <w:szCs w:val="24"/>
              </w:rPr>
              <w:t>2</w:t>
            </w:r>
            <w:r w:rsidRPr="0072561B">
              <w:rPr>
                <w:rFonts w:cstheme="minorHAnsi"/>
                <w:sz w:val="24"/>
                <w:szCs w:val="24"/>
              </w:rPr>
              <w:t>5+ (2010)</w:t>
            </w:r>
          </w:p>
        </w:tc>
      </w:tr>
      <w:tr w:rsidR="00D87E7A" w:rsidRPr="0018095C" w14:paraId="454A5572" w14:textId="77777777" w:rsidTr="009B2C00">
        <w:tc>
          <w:tcPr>
            <w:tcW w:w="2965" w:type="dxa"/>
          </w:tcPr>
          <w:p w14:paraId="171C5101" w14:textId="4D0E73CF" w:rsidR="00D87E7A" w:rsidRPr="0072561B" w:rsidRDefault="00D87E7A" w:rsidP="00A611DE">
            <w:pPr>
              <w:rPr>
                <w:rFonts w:cstheme="minorHAnsi"/>
                <w:b/>
                <w:bCs/>
                <w:sz w:val="24"/>
                <w:szCs w:val="24"/>
              </w:rPr>
            </w:pPr>
            <w:r w:rsidRPr="0072561B">
              <w:rPr>
                <w:rFonts w:cstheme="minorHAnsi"/>
                <w:b/>
                <w:bCs/>
                <w:sz w:val="24"/>
                <w:szCs w:val="24"/>
              </w:rPr>
              <w:t>S</w:t>
            </w:r>
            <w:r w:rsidR="006B4B5D" w:rsidRPr="0072561B">
              <w:rPr>
                <w:rFonts w:cstheme="minorHAnsi"/>
                <w:b/>
                <w:bCs/>
                <w:sz w:val="24"/>
                <w:szCs w:val="24"/>
              </w:rPr>
              <w:t>ustainable Development Goals (S</w:t>
            </w:r>
            <w:r w:rsidRPr="0072561B">
              <w:rPr>
                <w:rFonts w:cstheme="minorHAnsi"/>
                <w:b/>
                <w:bCs/>
                <w:sz w:val="24"/>
                <w:szCs w:val="24"/>
              </w:rPr>
              <w:t>DG</w:t>
            </w:r>
            <w:r w:rsidR="006B4B5D" w:rsidRPr="0072561B">
              <w:rPr>
                <w:rFonts w:cstheme="minorHAnsi"/>
                <w:b/>
                <w:bCs/>
                <w:sz w:val="24"/>
                <w:szCs w:val="24"/>
              </w:rPr>
              <w:t>)</w:t>
            </w:r>
            <w:r w:rsidRPr="0072561B">
              <w:rPr>
                <w:rFonts w:cstheme="minorHAnsi"/>
                <w:b/>
                <w:bCs/>
                <w:sz w:val="24"/>
                <w:szCs w:val="24"/>
              </w:rPr>
              <w:t xml:space="preserve"> indicators</w:t>
            </w:r>
          </w:p>
        </w:tc>
        <w:tc>
          <w:tcPr>
            <w:tcW w:w="1708" w:type="dxa"/>
          </w:tcPr>
          <w:p w14:paraId="345C6350" w14:textId="77777777" w:rsidR="00D87E7A" w:rsidRPr="0072561B" w:rsidRDefault="00D87E7A" w:rsidP="00C67660">
            <w:pPr>
              <w:jc w:val="center"/>
              <w:rPr>
                <w:rFonts w:cstheme="minorHAnsi"/>
                <w:color w:val="C00000"/>
                <w:sz w:val="24"/>
                <w:szCs w:val="24"/>
              </w:rPr>
            </w:pPr>
          </w:p>
        </w:tc>
        <w:tc>
          <w:tcPr>
            <w:tcW w:w="1442" w:type="dxa"/>
          </w:tcPr>
          <w:p w14:paraId="575AC6A2" w14:textId="77777777" w:rsidR="00D87E7A" w:rsidRPr="0072561B" w:rsidRDefault="00D87E7A" w:rsidP="00C67660">
            <w:pPr>
              <w:jc w:val="center"/>
              <w:rPr>
                <w:rFonts w:cstheme="minorHAnsi"/>
                <w:color w:val="C00000"/>
                <w:sz w:val="24"/>
                <w:szCs w:val="24"/>
              </w:rPr>
            </w:pPr>
          </w:p>
        </w:tc>
        <w:tc>
          <w:tcPr>
            <w:tcW w:w="1535" w:type="dxa"/>
          </w:tcPr>
          <w:p w14:paraId="50831522" w14:textId="77777777" w:rsidR="00D87E7A" w:rsidRPr="0072561B" w:rsidRDefault="00D87E7A" w:rsidP="00C67660">
            <w:pPr>
              <w:jc w:val="center"/>
              <w:rPr>
                <w:rFonts w:cstheme="minorHAnsi"/>
                <w:color w:val="C00000"/>
                <w:sz w:val="24"/>
                <w:szCs w:val="24"/>
              </w:rPr>
            </w:pPr>
          </w:p>
        </w:tc>
        <w:tc>
          <w:tcPr>
            <w:tcW w:w="1700" w:type="dxa"/>
          </w:tcPr>
          <w:p w14:paraId="4FCEA2DA" w14:textId="77777777" w:rsidR="00D87E7A" w:rsidRPr="0072561B" w:rsidRDefault="00D87E7A" w:rsidP="00C67660">
            <w:pPr>
              <w:jc w:val="center"/>
              <w:rPr>
                <w:rFonts w:cstheme="minorHAnsi"/>
                <w:color w:val="C00000"/>
                <w:sz w:val="24"/>
                <w:szCs w:val="24"/>
              </w:rPr>
            </w:pPr>
          </w:p>
        </w:tc>
      </w:tr>
      <w:tr w:rsidR="00D87E7A" w:rsidRPr="0018095C" w14:paraId="5E9A8C5A" w14:textId="77777777" w:rsidTr="009B2C00">
        <w:tc>
          <w:tcPr>
            <w:tcW w:w="2965" w:type="dxa"/>
          </w:tcPr>
          <w:p w14:paraId="4FBCBE7F" w14:textId="77777777" w:rsidR="00D87E7A" w:rsidRPr="0072561B" w:rsidRDefault="00D87E7A" w:rsidP="00A611DE">
            <w:pPr>
              <w:rPr>
                <w:rFonts w:cstheme="minorHAnsi"/>
                <w:sz w:val="24"/>
                <w:szCs w:val="24"/>
              </w:rPr>
            </w:pPr>
            <w:r w:rsidRPr="0072561B">
              <w:rPr>
                <w:rFonts w:cstheme="minorHAnsi"/>
                <w:sz w:val="24"/>
                <w:szCs w:val="24"/>
              </w:rPr>
              <w:t>Proportion women above retirement age receiving a pension</w:t>
            </w:r>
          </w:p>
        </w:tc>
        <w:tc>
          <w:tcPr>
            <w:tcW w:w="1708" w:type="dxa"/>
          </w:tcPr>
          <w:p w14:paraId="16E4DDF0" w14:textId="77777777" w:rsidR="00D87E7A" w:rsidRPr="0072561B" w:rsidRDefault="00D87E7A" w:rsidP="00C67660">
            <w:pPr>
              <w:jc w:val="center"/>
              <w:rPr>
                <w:rFonts w:cstheme="minorHAnsi"/>
                <w:color w:val="C00000"/>
                <w:sz w:val="24"/>
                <w:szCs w:val="24"/>
              </w:rPr>
            </w:pPr>
          </w:p>
        </w:tc>
        <w:tc>
          <w:tcPr>
            <w:tcW w:w="1442" w:type="dxa"/>
          </w:tcPr>
          <w:p w14:paraId="765C1F9A" w14:textId="77777777" w:rsidR="00537FB6" w:rsidRDefault="00D87E7A" w:rsidP="00C67660">
            <w:pPr>
              <w:jc w:val="center"/>
              <w:rPr>
                <w:rFonts w:cstheme="minorHAnsi"/>
                <w:sz w:val="24"/>
                <w:szCs w:val="24"/>
              </w:rPr>
            </w:pPr>
            <w:r w:rsidRPr="0072561B">
              <w:rPr>
                <w:rFonts w:cstheme="minorHAnsi"/>
                <w:sz w:val="24"/>
                <w:szCs w:val="24"/>
              </w:rPr>
              <w:t xml:space="preserve">2.6% </w:t>
            </w:r>
          </w:p>
          <w:p w14:paraId="652304D2" w14:textId="1EBA9112" w:rsidR="00D87E7A" w:rsidRPr="0072561B" w:rsidRDefault="00D87E7A" w:rsidP="00C67660">
            <w:pPr>
              <w:jc w:val="center"/>
              <w:rPr>
                <w:rFonts w:cstheme="minorHAnsi"/>
                <w:sz w:val="24"/>
                <w:szCs w:val="24"/>
              </w:rPr>
            </w:pPr>
            <w:r w:rsidRPr="0072561B">
              <w:rPr>
                <w:rFonts w:cstheme="minorHAnsi"/>
                <w:sz w:val="24"/>
                <w:szCs w:val="24"/>
              </w:rPr>
              <w:t>(2020)</w:t>
            </w:r>
          </w:p>
        </w:tc>
        <w:tc>
          <w:tcPr>
            <w:tcW w:w="1535" w:type="dxa"/>
          </w:tcPr>
          <w:p w14:paraId="0B7CD4D1" w14:textId="77777777" w:rsidR="00D87E7A" w:rsidRPr="0072561B" w:rsidRDefault="00D87E7A" w:rsidP="00C67660">
            <w:pPr>
              <w:jc w:val="center"/>
              <w:rPr>
                <w:rFonts w:cstheme="minorHAnsi"/>
                <w:sz w:val="24"/>
                <w:szCs w:val="24"/>
              </w:rPr>
            </w:pPr>
          </w:p>
        </w:tc>
        <w:tc>
          <w:tcPr>
            <w:tcW w:w="1700" w:type="dxa"/>
          </w:tcPr>
          <w:p w14:paraId="4EFD1850" w14:textId="77777777" w:rsidR="00D87E7A" w:rsidRPr="0072561B" w:rsidRDefault="00D87E7A" w:rsidP="00C67660">
            <w:pPr>
              <w:jc w:val="center"/>
              <w:rPr>
                <w:rFonts w:cstheme="minorHAnsi"/>
                <w:sz w:val="24"/>
                <w:szCs w:val="24"/>
              </w:rPr>
            </w:pPr>
            <w:proofErr w:type="spellStart"/>
            <w:r w:rsidRPr="0072561B">
              <w:rPr>
                <w:rFonts w:cstheme="minorHAnsi"/>
                <w:sz w:val="24"/>
                <w:szCs w:val="24"/>
              </w:rPr>
              <w:t>n.a.</w:t>
            </w:r>
            <w:proofErr w:type="spellEnd"/>
          </w:p>
        </w:tc>
      </w:tr>
      <w:tr w:rsidR="00D87E7A" w:rsidRPr="0018095C" w14:paraId="7648278D" w14:textId="77777777" w:rsidTr="009B2C00">
        <w:tc>
          <w:tcPr>
            <w:tcW w:w="2965" w:type="dxa"/>
          </w:tcPr>
          <w:p w14:paraId="6A0749FC" w14:textId="77777777" w:rsidR="00D87E7A" w:rsidRPr="0072561B" w:rsidRDefault="00D87E7A" w:rsidP="00A611DE">
            <w:pPr>
              <w:rPr>
                <w:rFonts w:cstheme="minorHAnsi"/>
                <w:sz w:val="24"/>
                <w:szCs w:val="24"/>
              </w:rPr>
            </w:pPr>
            <w:r w:rsidRPr="0072561B">
              <w:rPr>
                <w:rFonts w:cstheme="minorHAnsi"/>
                <w:sz w:val="24"/>
                <w:szCs w:val="24"/>
              </w:rPr>
              <w:t>Unemployed receiving unemployment benefits (F)</w:t>
            </w:r>
          </w:p>
        </w:tc>
        <w:tc>
          <w:tcPr>
            <w:tcW w:w="1708" w:type="dxa"/>
          </w:tcPr>
          <w:p w14:paraId="34AE3AF7" w14:textId="77777777" w:rsidR="00D87E7A" w:rsidRPr="0072561B" w:rsidRDefault="00D87E7A" w:rsidP="00C67660">
            <w:pPr>
              <w:jc w:val="center"/>
              <w:rPr>
                <w:rFonts w:cstheme="minorHAnsi"/>
                <w:color w:val="C00000"/>
                <w:sz w:val="24"/>
                <w:szCs w:val="24"/>
              </w:rPr>
            </w:pPr>
          </w:p>
        </w:tc>
        <w:tc>
          <w:tcPr>
            <w:tcW w:w="1442" w:type="dxa"/>
          </w:tcPr>
          <w:p w14:paraId="64F94721" w14:textId="77777777" w:rsidR="00537FB6" w:rsidRDefault="00D87E7A" w:rsidP="00C67660">
            <w:pPr>
              <w:jc w:val="center"/>
              <w:rPr>
                <w:rFonts w:cstheme="minorHAnsi"/>
                <w:sz w:val="24"/>
                <w:szCs w:val="24"/>
              </w:rPr>
            </w:pPr>
            <w:r w:rsidRPr="0072561B">
              <w:rPr>
                <w:rFonts w:cstheme="minorHAnsi"/>
                <w:sz w:val="24"/>
                <w:szCs w:val="24"/>
              </w:rPr>
              <w:t xml:space="preserve">5.4% </w:t>
            </w:r>
          </w:p>
          <w:p w14:paraId="1B18D738" w14:textId="4EDF3B78" w:rsidR="00D87E7A" w:rsidRPr="0072561B" w:rsidRDefault="00D87E7A" w:rsidP="00C67660">
            <w:pPr>
              <w:jc w:val="center"/>
              <w:rPr>
                <w:rFonts w:cstheme="minorHAnsi"/>
                <w:sz w:val="24"/>
                <w:szCs w:val="24"/>
              </w:rPr>
            </w:pPr>
            <w:r w:rsidRPr="0072561B">
              <w:rPr>
                <w:rFonts w:cstheme="minorHAnsi"/>
                <w:sz w:val="24"/>
                <w:szCs w:val="24"/>
              </w:rPr>
              <w:t>(2020)</w:t>
            </w:r>
          </w:p>
        </w:tc>
        <w:tc>
          <w:tcPr>
            <w:tcW w:w="1535" w:type="dxa"/>
          </w:tcPr>
          <w:p w14:paraId="23054FBE" w14:textId="77777777" w:rsidR="00D87E7A" w:rsidRPr="0072561B" w:rsidRDefault="00D87E7A" w:rsidP="00C67660">
            <w:pPr>
              <w:jc w:val="center"/>
              <w:rPr>
                <w:rFonts w:cstheme="minorHAnsi"/>
                <w:sz w:val="24"/>
                <w:szCs w:val="24"/>
              </w:rPr>
            </w:pPr>
          </w:p>
        </w:tc>
        <w:tc>
          <w:tcPr>
            <w:tcW w:w="1700" w:type="dxa"/>
          </w:tcPr>
          <w:p w14:paraId="60C91F17" w14:textId="77777777" w:rsidR="00537FB6" w:rsidRDefault="00D87E7A" w:rsidP="00C67660">
            <w:pPr>
              <w:jc w:val="center"/>
              <w:rPr>
                <w:rFonts w:cstheme="minorHAnsi"/>
                <w:sz w:val="24"/>
                <w:szCs w:val="24"/>
              </w:rPr>
            </w:pPr>
            <w:r w:rsidRPr="0072561B">
              <w:rPr>
                <w:rFonts w:cstheme="minorHAnsi"/>
                <w:sz w:val="24"/>
                <w:szCs w:val="24"/>
              </w:rPr>
              <w:t xml:space="preserve">17.3% </w:t>
            </w:r>
          </w:p>
          <w:p w14:paraId="1DD1020B" w14:textId="4A2AA357" w:rsidR="00D87E7A" w:rsidRPr="0072561B" w:rsidRDefault="00D87E7A" w:rsidP="00C67660">
            <w:pPr>
              <w:jc w:val="center"/>
              <w:rPr>
                <w:rFonts w:cstheme="minorHAnsi"/>
                <w:sz w:val="24"/>
                <w:szCs w:val="24"/>
              </w:rPr>
            </w:pPr>
            <w:r w:rsidRPr="0072561B">
              <w:rPr>
                <w:rFonts w:cstheme="minorHAnsi"/>
                <w:sz w:val="24"/>
                <w:szCs w:val="24"/>
              </w:rPr>
              <w:t>(2020)</w:t>
            </w:r>
          </w:p>
        </w:tc>
      </w:tr>
      <w:tr w:rsidR="00D87E7A" w:rsidRPr="0018095C" w14:paraId="39871732" w14:textId="77777777" w:rsidTr="009B2C00">
        <w:tc>
          <w:tcPr>
            <w:tcW w:w="2965" w:type="dxa"/>
          </w:tcPr>
          <w:p w14:paraId="492237F8" w14:textId="77777777" w:rsidR="00D87E7A" w:rsidRPr="0072561B" w:rsidRDefault="00D87E7A" w:rsidP="00A611DE">
            <w:pPr>
              <w:rPr>
                <w:rFonts w:cstheme="minorHAnsi"/>
                <w:sz w:val="24"/>
                <w:szCs w:val="24"/>
              </w:rPr>
            </w:pPr>
            <w:r w:rsidRPr="0072561B">
              <w:rPr>
                <w:rFonts w:cstheme="minorHAnsi"/>
                <w:sz w:val="24"/>
                <w:szCs w:val="24"/>
              </w:rPr>
              <w:t xml:space="preserve">Mothers with newborns receiving maternity benefits </w:t>
            </w:r>
          </w:p>
        </w:tc>
        <w:tc>
          <w:tcPr>
            <w:tcW w:w="1708" w:type="dxa"/>
          </w:tcPr>
          <w:p w14:paraId="40CA06BA" w14:textId="77777777" w:rsidR="00D87E7A" w:rsidRPr="0072561B" w:rsidRDefault="00D87E7A" w:rsidP="00C67660">
            <w:pPr>
              <w:jc w:val="center"/>
              <w:rPr>
                <w:rFonts w:cstheme="minorHAnsi"/>
                <w:color w:val="C00000"/>
                <w:sz w:val="24"/>
                <w:szCs w:val="24"/>
              </w:rPr>
            </w:pPr>
          </w:p>
        </w:tc>
        <w:tc>
          <w:tcPr>
            <w:tcW w:w="1442" w:type="dxa"/>
          </w:tcPr>
          <w:p w14:paraId="2170DB0C" w14:textId="77777777" w:rsidR="00D87E7A" w:rsidRPr="0072561B" w:rsidRDefault="00D87E7A" w:rsidP="00C67660">
            <w:pPr>
              <w:jc w:val="center"/>
              <w:rPr>
                <w:rFonts w:cstheme="minorHAnsi"/>
                <w:sz w:val="24"/>
                <w:szCs w:val="24"/>
              </w:rPr>
            </w:pPr>
            <w:r w:rsidRPr="0072561B">
              <w:rPr>
                <w:rFonts w:cstheme="minorHAnsi"/>
                <w:sz w:val="24"/>
                <w:szCs w:val="24"/>
              </w:rPr>
              <w:t>13.1% (2020)</w:t>
            </w:r>
          </w:p>
        </w:tc>
        <w:tc>
          <w:tcPr>
            <w:tcW w:w="1535" w:type="dxa"/>
          </w:tcPr>
          <w:p w14:paraId="01902E29" w14:textId="77777777" w:rsidR="00D87E7A" w:rsidRPr="0072561B" w:rsidRDefault="00D87E7A" w:rsidP="00C67660">
            <w:pPr>
              <w:jc w:val="center"/>
              <w:rPr>
                <w:rFonts w:cstheme="minorHAnsi"/>
                <w:sz w:val="24"/>
                <w:szCs w:val="24"/>
              </w:rPr>
            </w:pPr>
          </w:p>
        </w:tc>
        <w:tc>
          <w:tcPr>
            <w:tcW w:w="1700" w:type="dxa"/>
          </w:tcPr>
          <w:p w14:paraId="5A95C65E" w14:textId="77777777" w:rsidR="005A6E40" w:rsidRDefault="00D87E7A" w:rsidP="00C67660">
            <w:pPr>
              <w:jc w:val="center"/>
              <w:rPr>
                <w:rFonts w:cstheme="minorHAnsi"/>
                <w:sz w:val="24"/>
                <w:szCs w:val="24"/>
              </w:rPr>
            </w:pPr>
            <w:r w:rsidRPr="0072561B">
              <w:rPr>
                <w:rFonts w:cstheme="minorHAnsi"/>
                <w:sz w:val="24"/>
                <w:szCs w:val="24"/>
              </w:rPr>
              <w:t xml:space="preserve">25.3 % </w:t>
            </w:r>
          </w:p>
          <w:p w14:paraId="1347835C" w14:textId="6787AA1B" w:rsidR="00D87E7A" w:rsidRPr="0072561B" w:rsidRDefault="00D87E7A" w:rsidP="00C67660">
            <w:pPr>
              <w:jc w:val="center"/>
              <w:rPr>
                <w:rFonts w:cstheme="minorHAnsi"/>
                <w:sz w:val="24"/>
                <w:szCs w:val="24"/>
              </w:rPr>
            </w:pPr>
            <w:r w:rsidRPr="0072561B">
              <w:rPr>
                <w:rFonts w:cstheme="minorHAnsi"/>
                <w:sz w:val="24"/>
                <w:szCs w:val="24"/>
              </w:rPr>
              <w:t>(2020)</w:t>
            </w:r>
          </w:p>
        </w:tc>
      </w:tr>
      <w:tr w:rsidR="00D87E7A" w:rsidRPr="0018095C" w14:paraId="09C88658" w14:textId="77777777" w:rsidTr="009B2C00">
        <w:tc>
          <w:tcPr>
            <w:tcW w:w="2965" w:type="dxa"/>
          </w:tcPr>
          <w:p w14:paraId="0E91B60B" w14:textId="77777777" w:rsidR="00D87E7A" w:rsidRPr="0072561B" w:rsidRDefault="00D87E7A" w:rsidP="00A611DE">
            <w:pPr>
              <w:rPr>
                <w:rFonts w:cstheme="minorHAnsi"/>
                <w:sz w:val="24"/>
                <w:szCs w:val="24"/>
              </w:rPr>
            </w:pPr>
            <w:r w:rsidRPr="0072561B">
              <w:rPr>
                <w:rFonts w:cstheme="minorHAnsi"/>
                <w:sz w:val="24"/>
                <w:szCs w:val="24"/>
              </w:rPr>
              <w:t>Proportion of women in senior and management positions /</w:t>
            </w:r>
          </w:p>
          <w:p w14:paraId="070169C4" w14:textId="77777777" w:rsidR="00D87E7A" w:rsidRPr="0072561B" w:rsidRDefault="00D87E7A" w:rsidP="00A611DE">
            <w:pPr>
              <w:rPr>
                <w:rFonts w:cstheme="minorHAnsi"/>
                <w:sz w:val="24"/>
                <w:szCs w:val="24"/>
              </w:rPr>
            </w:pPr>
            <w:r w:rsidRPr="0072561B">
              <w:rPr>
                <w:rFonts w:cstheme="minorHAnsi"/>
                <w:sz w:val="24"/>
                <w:szCs w:val="24"/>
              </w:rPr>
              <w:t>Managerial positions</w:t>
            </w:r>
          </w:p>
          <w:p w14:paraId="5C43264B" w14:textId="77777777" w:rsidR="00D87E7A" w:rsidRPr="0072561B" w:rsidRDefault="00D87E7A" w:rsidP="00A611DE">
            <w:pPr>
              <w:rPr>
                <w:rFonts w:cstheme="minorHAnsi"/>
                <w:sz w:val="24"/>
                <w:szCs w:val="24"/>
              </w:rPr>
            </w:pPr>
          </w:p>
        </w:tc>
        <w:tc>
          <w:tcPr>
            <w:tcW w:w="1708" w:type="dxa"/>
          </w:tcPr>
          <w:p w14:paraId="1720FDE4" w14:textId="77777777" w:rsidR="00D87E7A" w:rsidRPr="0072561B" w:rsidRDefault="00D87E7A" w:rsidP="00C67660">
            <w:pPr>
              <w:jc w:val="center"/>
              <w:rPr>
                <w:rFonts w:cstheme="minorHAnsi"/>
                <w:color w:val="C00000"/>
                <w:sz w:val="24"/>
                <w:szCs w:val="24"/>
              </w:rPr>
            </w:pPr>
          </w:p>
        </w:tc>
        <w:tc>
          <w:tcPr>
            <w:tcW w:w="1442" w:type="dxa"/>
          </w:tcPr>
          <w:p w14:paraId="67B8C3DB" w14:textId="77777777" w:rsidR="00D87E7A" w:rsidRPr="0072561B" w:rsidRDefault="00D87E7A" w:rsidP="00C67660">
            <w:pPr>
              <w:jc w:val="center"/>
              <w:rPr>
                <w:rFonts w:cstheme="minorHAnsi"/>
                <w:sz w:val="24"/>
                <w:szCs w:val="24"/>
              </w:rPr>
            </w:pPr>
            <w:r w:rsidRPr="0072561B">
              <w:rPr>
                <w:rFonts w:cstheme="minorHAnsi"/>
                <w:sz w:val="24"/>
                <w:szCs w:val="24"/>
              </w:rPr>
              <w:t>18.7% (</w:t>
            </w:r>
            <w:proofErr w:type="gramStart"/>
            <w:r w:rsidRPr="0072561B">
              <w:rPr>
                <w:rFonts w:cstheme="minorHAnsi"/>
                <w:sz w:val="24"/>
                <w:szCs w:val="24"/>
              </w:rPr>
              <w:t>2020)*</w:t>
            </w:r>
            <w:proofErr w:type="gramEnd"/>
            <w:r w:rsidRPr="0072561B">
              <w:rPr>
                <w:rFonts w:cstheme="minorHAnsi"/>
                <w:sz w:val="24"/>
                <w:szCs w:val="24"/>
              </w:rPr>
              <w:t>/</w:t>
            </w:r>
          </w:p>
          <w:p w14:paraId="363E92F5" w14:textId="77777777" w:rsidR="00D87E7A" w:rsidRPr="0072561B" w:rsidRDefault="00D87E7A" w:rsidP="00C67660">
            <w:pPr>
              <w:jc w:val="center"/>
              <w:rPr>
                <w:rFonts w:cstheme="minorHAnsi"/>
                <w:sz w:val="24"/>
                <w:szCs w:val="24"/>
              </w:rPr>
            </w:pPr>
          </w:p>
          <w:p w14:paraId="19989826" w14:textId="77777777" w:rsidR="00D87E7A" w:rsidRPr="0072561B" w:rsidRDefault="00D87E7A" w:rsidP="00C67660">
            <w:pPr>
              <w:jc w:val="center"/>
              <w:rPr>
                <w:rFonts w:cstheme="minorHAnsi"/>
                <w:sz w:val="24"/>
                <w:szCs w:val="24"/>
              </w:rPr>
            </w:pPr>
            <w:r w:rsidRPr="0072561B">
              <w:rPr>
                <w:rFonts w:cstheme="minorHAnsi"/>
                <w:sz w:val="24"/>
                <w:szCs w:val="24"/>
              </w:rPr>
              <w:t>18% (</w:t>
            </w:r>
            <w:proofErr w:type="gramStart"/>
            <w:r w:rsidRPr="0072561B">
              <w:rPr>
                <w:rFonts w:cstheme="minorHAnsi"/>
                <w:sz w:val="24"/>
                <w:szCs w:val="24"/>
              </w:rPr>
              <w:t>2020)*</w:t>
            </w:r>
            <w:proofErr w:type="gramEnd"/>
            <w:r w:rsidRPr="0072561B">
              <w:rPr>
                <w:rFonts w:cstheme="minorHAnsi"/>
                <w:sz w:val="24"/>
                <w:szCs w:val="24"/>
              </w:rPr>
              <w:t>*</w:t>
            </w:r>
          </w:p>
        </w:tc>
        <w:tc>
          <w:tcPr>
            <w:tcW w:w="1535" w:type="dxa"/>
          </w:tcPr>
          <w:p w14:paraId="0E11A6CD" w14:textId="77777777" w:rsidR="00D87E7A" w:rsidRPr="0072561B" w:rsidRDefault="00D87E7A" w:rsidP="00C67660">
            <w:pPr>
              <w:jc w:val="center"/>
              <w:rPr>
                <w:rFonts w:cstheme="minorHAnsi"/>
                <w:sz w:val="24"/>
                <w:szCs w:val="24"/>
              </w:rPr>
            </w:pPr>
          </w:p>
        </w:tc>
        <w:tc>
          <w:tcPr>
            <w:tcW w:w="1700" w:type="dxa"/>
          </w:tcPr>
          <w:p w14:paraId="70B3304A" w14:textId="77777777" w:rsidR="005A6E40" w:rsidRDefault="00D87E7A" w:rsidP="00C67660">
            <w:pPr>
              <w:jc w:val="center"/>
              <w:rPr>
                <w:rFonts w:cstheme="minorHAnsi"/>
                <w:sz w:val="24"/>
                <w:szCs w:val="24"/>
              </w:rPr>
            </w:pPr>
            <w:r w:rsidRPr="0072561B">
              <w:rPr>
                <w:rFonts w:cstheme="minorHAnsi"/>
                <w:sz w:val="24"/>
                <w:szCs w:val="24"/>
              </w:rPr>
              <w:t xml:space="preserve">19.3% </w:t>
            </w:r>
          </w:p>
          <w:p w14:paraId="5638B467" w14:textId="58DEA6D5" w:rsidR="00D87E7A" w:rsidRPr="0072561B" w:rsidRDefault="00D87E7A" w:rsidP="00C67660">
            <w:pPr>
              <w:jc w:val="center"/>
              <w:rPr>
                <w:rFonts w:cstheme="minorHAnsi"/>
                <w:sz w:val="24"/>
                <w:szCs w:val="24"/>
              </w:rPr>
            </w:pPr>
            <w:r w:rsidRPr="0072561B">
              <w:rPr>
                <w:rFonts w:cstheme="minorHAnsi"/>
                <w:sz w:val="24"/>
                <w:szCs w:val="24"/>
              </w:rPr>
              <w:t>(2010)</w:t>
            </w:r>
          </w:p>
          <w:p w14:paraId="586DBA85" w14:textId="77777777" w:rsidR="00D87E7A" w:rsidRPr="0072561B" w:rsidRDefault="00D87E7A" w:rsidP="00C67660">
            <w:pPr>
              <w:jc w:val="center"/>
              <w:rPr>
                <w:rFonts w:cstheme="minorHAnsi"/>
                <w:sz w:val="24"/>
                <w:szCs w:val="24"/>
              </w:rPr>
            </w:pPr>
          </w:p>
          <w:p w14:paraId="191F7993" w14:textId="77777777" w:rsidR="005A6E40" w:rsidRDefault="00D87E7A" w:rsidP="00C67660">
            <w:pPr>
              <w:jc w:val="center"/>
              <w:rPr>
                <w:rFonts w:cstheme="minorHAnsi"/>
                <w:sz w:val="24"/>
                <w:szCs w:val="24"/>
              </w:rPr>
            </w:pPr>
            <w:r w:rsidRPr="0072561B">
              <w:rPr>
                <w:rFonts w:cstheme="minorHAnsi"/>
                <w:sz w:val="24"/>
                <w:szCs w:val="24"/>
              </w:rPr>
              <w:t xml:space="preserve">15% </w:t>
            </w:r>
          </w:p>
          <w:p w14:paraId="049957C3" w14:textId="25506AD7" w:rsidR="00D87E7A" w:rsidRPr="0072561B" w:rsidRDefault="00D87E7A" w:rsidP="00C67660">
            <w:pPr>
              <w:jc w:val="center"/>
              <w:rPr>
                <w:rFonts w:cstheme="minorHAnsi"/>
                <w:sz w:val="24"/>
                <w:szCs w:val="24"/>
              </w:rPr>
            </w:pPr>
            <w:r w:rsidRPr="0072561B">
              <w:rPr>
                <w:rFonts w:cstheme="minorHAnsi"/>
                <w:sz w:val="24"/>
                <w:szCs w:val="24"/>
              </w:rPr>
              <w:t>(2012)</w:t>
            </w:r>
          </w:p>
        </w:tc>
      </w:tr>
      <w:tr w:rsidR="00D87E7A" w:rsidRPr="0018095C" w14:paraId="2919195D" w14:textId="77777777" w:rsidTr="009B2C00">
        <w:tc>
          <w:tcPr>
            <w:tcW w:w="2965" w:type="dxa"/>
          </w:tcPr>
          <w:p w14:paraId="6CD6A1C7" w14:textId="4247A512" w:rsidR="00D87E7A" w:rsidRPr="0072561B" w:rsidRDefault="00D87E7A" w:rsidP="00A611DE">
            <w:pPr>
              <w:rPr>
                <w:rFonts w:cstheme="minorHAnsi"/>
                <w:sz w:val="24"/>
                <w:szCs w:val="24"/>
              </w:rPr>
            </w:pPr>
            <w:r w:rsidRPr="0072561B">
              <w:rPr>
                <w:rFonts w:cstheme="minorHAnsi"/>
                <w:sz w:val="24"/>
                <w:szCs w:val="24"/>
              </w:rPr>
              <w:t>Parliamentary representation (%</w:t>
            </w:r>
            <w:r w:rsidR="009D3555">
              <w:rPr>
                <w:rFonts w:cstheme="minorHAnsi"/>
                <w:sz w:val="24"/>
                <w:szCs w:val="24"/>
              </w:rPr>
              <w:t xml:space="preserve"> </w:t>
            </w:r>
            <w:proofErr w:type="gramStart"/>
            <w:r w:rsidRPr="0072561B">
              <w:rPr>
                <w:rFonts w:cstheme="minorHAnsi"/>
                <w:sz w:val="24"/>
                <w:szCs w:val="24"/>
              </w:rPr>
              <w:t>F)*</w:t>
            </w:r>
            <w:proofErr w:type="gramEnd"/>
            <w:r w:rsidRPr="0072561B">
              <w:rPr>
                <w:rFonts w:cstheme="minorHAnsi"/>
                <w:sz w:val="24"/>
                <w:szCs w:val="24"/>
              </w:rPr>
              <w:t>**</w:t>
            </w:r>
          </w:p>
        </w:tc>
        <w:tc>
          <w:tcPr>
            <w:tcW w:w="1708" w:type="dxa"/>
          </w:tcPr>
          <w:p w14:paraId="010937E6" w14:textId="77777777" w:rsidR="00D87E7A" w:rsidRPr="0072561B" w:rsidRDefault="00D87E7A" w:rsidP="00C67660">
            <w:pPr>
              <w:jc w:val="center"/>
              <w:rPr>
                <w:rFonts w:cstheme="minorHAnsi"/>
                <w:color w:val="C00000"/>
                <w:sz w:val="24"/>
                <w:szCs w:val="24"/>
              </w:rPr>
            </w:pPr>
          </w:p>
        </w:tc>
        <w:tc>
          <w:tcPr>
            <w:tcW w:w="1442" w:type="dxa"/>
          </w:tcPr>
          <w:p w14:paraId="59B2158C" w14:textId="77777777" w:rsidR="00D87E7A" w:rsidRPr="0072561B" w:rsidRDefault="00D87E7A" w:rsidP="00C67660">
            <w:pPr>
              <w:jc w:val="center"/>
              <w:rPr>
                <w:rFonts w:cstheme="minorHAnsi"/>
                <w:sz w:val="24"/>
                <w:szCs w:val="24"/>
              </w:rPr>
            </w:pPr>
            <w:r w:rsidRPr="0072561B">
              <w:rPr>
                <w:rFonts w:cstheme="minorHAnsi"/>
                <w:sz w:val="24"/>
                <w:szCs w:val="24"/>
              </w:rPr>
              <w:t>5.6%</w:t>
            </w:r>
          </w:p>
        </w:tc>
        <w:tc>
          <w:tcPr>
            <w:tcW w:w="1535" w:type="dxa"/>
          </w:tcPr>
          <w:p w14:paraId="1FF16F09" w14:textId="77777777" w:rsidR="00D87E7A" w:rsidRPr="0072561B" w:rsidRDefault="00D87E7A" w:rsidP="00C67660">
            <w:pPr>
              <w:jc w:val="center"/>
              <w:rPr>
                <w:rFonts w:cstheme="minorHAnsi"/>
                <w:sz w:val="24"/>
                <w:szCs w:val="24"/>
              </w:rPr>
            </w:pPr>
          </w:p>
        </w:tc>
        <w:tc>
          <w:tcPr>
            <w:tcW w:w="1700" w:type="dxa"/>
          </w:tcPr>
          <w:p w14:paraId="0C3D5CAD" w14:textId="77777777" w:rsidR="00D87E7A" w:rsidRPr="0072561B" w:rsidRDefault="00D87E7A" w:rsidP="00C67660">
            <w:pPr>
              <w:jc w:val="center"/>
              <w:rPr>
                <w:rFonts w:cstheme="minorHAnsi"/>
                <w:sz w:val="24"/>
                <w:szCs w:val="24"/>
              </w:rPr>
            </w:pPr>
            <w:r w:rsidRPr="0072561B">
              <w:rPr>
                <w:rFonts w:cstheme="minorHAnsi"/>
                <w:sz w:val="24"/>
                <w:szCs w:val="24"/>
              </w:rPr>
              <w:t>26%</w:t>
            </w:r>
          </w:p>
        </w:tc>
      </w:tr>
    </w:tbl>
    <w:p w14:paraId="42EEC752" w14:textId="77777777" w:rsidR="00D87E7A" w:rsidRPr="0072561B" w:rsidRDefault="00D87E7A" w:rsidP="00D67707">
      <w:pPr>
        <w:spacing w:after="0" w:line="240" w:lineRule="auto"/>
        <w:jc w:val="both"/>
        <w:rPr>
          <w:rFonts w:cstheme="minorHAnsi"/>
          <w:sz w:val="24"/>
          <w:szCs w:val="24"/>
        </w:rPr>
      </w:pPr>
      <w:r w:rsidRPr="0072561B">
        <w:rPr>
          <w:rFonts w:cstheme="minorHAnsi"/>
          <w:sz w:val="24"/>
          <w:szCs w:val="24"/>
        </w:rPr>
        <w:t>Source: ILOSTAT Explorer (accessed 19 February 2022)</w:t>
      </w:r>
    </w:p>
    <w:p w14:paraId="5D617A04" w14:textId="0A2747D9" w:rsidR="00D87E7A" w:rsidRPr="0072561B" w:rsidRDefault="00D87E7A" w:rsidP="00D67707">
      <w:pPr>
        <w:spacing w:after="0" w:line="240" w:lineRule="auto"/>
        <w:jc w:val="both"/>
        <w:rPr>
          <w:rFonts w:cstheme="minorHAnsi"/>
          <w:sz w:val="24"/>
          <w:szCs w:val="24"/>
        </w:rPr>
      </w:pPr>
      <w:r w:rsidRPr="0072561B">
        <w:rPr>
          <w:rFonts w:cstheme="minorHAnsi"/>
          <w:sz w:val="24"/>
          <w:szCs w:val="24"/>
        </w:rPr>
        <w:t>Notes: *7.4% in 2010; **14.6% in 2010; ***IPU data</w:t>
      </w:r>
    </w:p>
    <w:p w14:paraId="13A18A39" w14:textId="77777777" w:rsidR="00D87E7A" w:rsidRPr="0018095C" w:rsidRDefault="00D87E7A" w:rsidP="00D67707">
      <w:pPr>
        <w:spacing w:after="0" w:line="240" w:lineRule="auto"/>
        <w:jc w:val="both"/>
        <w:rPr>
          <w:rFonts w:cstheme="minorHAnsi"/>
          <w:iCs/>
          <w:sz w:val="24"/>
          <w:szCs w:val="24"/>
        </w:rPr>
      </w:pPr>
    </w:p>
    <w:p w14:paraId="747135CD" w14:textId="77777777" w:rsidR="00F250B8" w:rsidRPr="0018095C" w:rsidRDefault="00F250B8" w:rsidP="00D67707">
      <w:pPr>
        <w:spacing w:after="0" w:line="240" w:lineRule="auto"/>
        <w:jc w:val="both"/>
        <w:rPr>
          <w:rFonts w:cstheme="minorHAnsi"/>
          <w:sz w:val="24"/>
          <w:szCs w:val="24"/>
        </w:rPr>
      </w:pPr>
    </w:p>
    <w:p w14:paraId="4E26895B" w14:textId="6CE67BBB" w:rsidR="00F250B8" w:rsidRPr="0018095C" w:rsidRDefault="00DA1FB5" w:rsidP="00D67707">
      <w:pPr>
        <w:spacing w:after="0" w:line="240" w:lineRule="auto"/>
        <w:jc w:val="both"/>
        <w:rPr>
          <w:rFonts w:cstheme="minorHAnsi"/>
          <w:sz w:val="24"/>
          <w:szCs w:val="24"/>
        </w:rPr>
      </w:pPr>
      <w:r w:rsidRPr="0018095C">
        <w:rPr>
          <w:rFonts w:cstheme="minorHAnsi"/>
          <w:sz w:val="24"/>
          <w:szCs w:val="24"/>
        </w:rPr>
        <w:t>T</w:t>
      </w:r>
      <w:r w:rsidR="00853291" w:rsidRPr="0018095C">
        <w:rPr>
          <w:rFonts w:cstheme="minorHAnsi"/>
          <w:sz w:val="24"/>
          <w:szCs w:val="24"/>
        </w:rPr>
        <w:t>unisia’s t</w:t>
      </w:r>
      <w:r w:rsidRPr="0018095C">
        <w:rPr>
          <w:rFonts w:cstheme="minorHAnsi"/>
          <w:sz w:val="24"/>
          <w:szCs w:val="24"/>
        </w:rPr>
        <w:t xml:space="preserve">otal </w:t>
      </w:r>
      <w:proofErr w:type="spellStart"/>
      <w:r w:rsidRPr="0018095C">
        <w:rPr>
          <w:rFonts w:cstheme="minorHAnsi"/>
          <w:sz w:val="24"/>
          <w:szCs w:val="24"/>
        </w:rPr>
        <w:t>labour</w:t>
      </w:r>
      <w:proofErr w:type="spellEnd"/>
      <w:r w:rsidRPr="0018095C">
        <w:rPr>
          <w:rFonts w:cstheme="minorHAnsi"/>
          <w:sz w:val="24"/>
          <w:szCs w:val="24"/>
        </w:rPr>
        <w:t xml:space="preserve"> force participation rate remained low (51.7%), particularly among women (28.2%).</w:t>
      </w:r>
      <w:r w:rsidR="00D400AE" w:rsidRPr="0018095C">
        <w:rPr>
          <w:rFonts w:cstheme="minorHAnsi"/>
          <w:sz w:val="24"/>
          <w:szCs w:val="24"/>
        </w:rPr>
        <w:t xml:space="preserve"> Unemployment became more pronounced among women, youth, and low-income groups. Whereas total unemployment stood at 15% in mid-2017, it was highest among youth (35.7%), women (21.5%), and university graduates (39.5%, with women at 40%).</w:t>
      </w:r>
      <w:r w:rsidR="004B2D14" w:rsidRPr="0018095C">
        <w:rPr>
          <w:rStyle w:val="FootnoteReference"/>
          <w:rFonts w:cstheme="minorHAnsi"/>
          <w:sz w:val="24"/>
          <w:szCs w:val="24"/>
        </w:rPr>
        <w:footnoteReference w:id="40"/>
      </w:r>
      <w:r w:rsidR="000435D9" w:rsidRPr="0018095C">
        <w:rPr>
          <w:rFonts w:cstheme="minorHAnsi"/>
          <w:sz w:val="24"/>
          <w:szCs w:val="24"/>
        </w:rPr>
        <w:t xml:space="preserve"> High </w:t>
      </w:r>
      <w:r w:rsidR="000435D9" w:rsidRPr="0018095C">
        <w:rPr>
          <w:rFonts w:cstheme="minorHAnsi"/>
          <w:sz w:val="24"/>
          <w:szCs w:val="24"/>
        </w:rPr>
        <w:lastRenderedPageBreak/>
        <w:t xml:space="preserve">unemployment rates </w:t>
      </w:r>
      <w:r w:rsidR="000F61DF" w:rsidRPr="0018095C">
        <w:rPr>
          <w:rFonts w:cstheme="minorHAnsi"/>
          <w:sz w:val="24"/>
          <w:szCs w:val="24"/>
        </w:rPr>
        <w:t>were</w:t>
      </w:r>
      <w:r w:rsidR="000435D9" w:rsidRPr="0018095C">
        <w:rPr>
          <w:rFonts w:cstheme="minorHAnsi"/>
          <w:sz w:val="24"/>
          <w:szCs w:val="24"/>
        </w:rPr>
        <w:t xml:space="preserve"> found in the </w:t>
      </w:r>
      <w:r w:rsidR="000435D9" w:rsidRPr="0018095C">
        <w:rPr>
          <w:rFonts w:eastAsia="Times New Roman" w:cstheme="minorHAnsi"/>
          <w:sz w:val="24"/>
          <w:szCs w:val="24"/>
        </w:rPr>
        <w:t>interior regions of the southeast and southwest, which also experience</w:t>
      </w:r>
      <w:r w:rsidR="000F61DF" w:rsidRPr="0018095C">
        <w:rPr>
          <w:rFonts w:eastAsia="Times New Roman" w:cstheme="minorHAnsi"/>
          <w:sz w:val="24"/>
          <w:szCs w:val="24"/>
        </w:rPr>
        <w:t>d</w:t>
      </w:r>
      <w:r w:rsidR="000435D9" w:rsidRPr="0018095C">
        <w:rPr>
          <w:rFonts w:eastAsia="Times New Roman" w:cstheme="minorHAnsi"/>
          <w:sz w:val="24"/>
          <w:szCs w:val="24"/>
        </w:rPr>
        <w:t xml:space="preserve"> </w:t>
      </w:r>
      <w:r w:rsidR="000435D9" w:rsidRPr="0018095C">
        <w:rPr>
          <w:rFonts w:cstheme="minorHAnsi"/>
          <w:sz w:val="24"/>
          <w:szCs w:val="24"/>
        </w:rPr>
        <w:t>p</w:t>
      </w:r>
      <w:r w:rsidR="000435D9" w:rsidRPr="0018095C">
        <w:rPr>
          <w:rFonts w:eastAsia="Times New Roman" w:cstheme="minorHAnsi"/>
          <w:color w:val="111111"/>
          <w:sz w:val="24"/>
          <w:szCs w:val="24"/>
        </w:rPr>
        <w:t>overty and deteriorating social services and physical infrastructure. Sadiki</w:t>
      </w:r>
      <w:r w:rsidR="006A7632" w:rsidRPr="0018095C">
        <w:rPr>
          <w:rFonts w:eastAsia="Times New Roman" w:cstheme="minorHAnsi"/>
          <w:color w:val="111111"/>
          <w:sz w:val="24"/>
          <w:szCs w:val="24"/>
        </w:rPr>
        <w:t xml:space="preserve"> </w:t>
      </w:r>
      <w:r w:rsidR="000435D9" w:rsidRPr="0018095C">
        <w:rPr>
          <w:rFonts w:eastAsia="Times New Roman" w:cstheme="minorHAnsi"/>
          <w:color w:val="111111"/>
          <w:sz w:val="24"/>
          <w:szCs w:val="24"/>
        </w:rPr>
        <w:t xml:space="preserve">refers to the </w:t>
      </w:r>
      <w:r w:rsidR="006A7632" w:rsidRPr="0018095C">
        <w:rPr>
          <w:rFonts w:eastAsia="Times New Roman" w:cstheme="minorHAnsi"/>
          <w:color w:val="111111"/>
          <w:sz w:val="24"/>
          <w:szCs w:val="24"/>
        </w:rPr>
        <w:t>‘</w:t>
      </w:r>
      <w:r w:rsidR="000435D9" w:rsidRPr="0018095C">
        <w:rPr>
          <w:rFonts w:eastAsia="Times New Roman" w:cstheme="minorHAnsi"/>
          <w:color w:val="111111"/>
          <w:sz w:val="24"/>
          <w:szCs w:val="24"/>
        </w:rPr>
        <w:t>multiple marginalizations</w:t>
      </w:r>
      <w:r w:rsidR="006A7632" w:rsidRPr="0018095C">
        <w:rPr>
          <w:rFonts w:eastAsia="Times New Roman" w:cstheme="minorHAnsi"/>
          <w:color w:val="111111"/>
          <w:sz w:val="24"/>
          <w:szCs w:val="24"/>
        </w:rPr>
        <w:t>’</w:t>
      </w:r>
      <w:r w:rsidR="000435D9" w:rsidRPr="0018095C">
        <w:rPr>
          <w:rFonts w:eastAsia="Times New Roman" w:cstheme="minorHAnsi"/>
          <w:color w:val="111111"/>
          <w:sz w:val="24"/>
          <w:szCs w:val="24"/>
        </w:rPr>
        <w:t xml:space="preserve"> present in such regions, which led to frequent protests</w:t>
      </w:r>
      <w:r w:rsidR="00836165" w:rsidRPr="0018095C">
        <w:rPr>
          <w:rFonts w:cstheme="minorHAnsi"/>
          <w:sz w:val="24"/>
          <w:szCs w:val="24"/>
        </w:rPr>
        <w:t>.</w:t>
      </w:r>
      <w:r w:rsidR="00F7451E" w:rsidRPr="0018095C">
        <w:rPr>
          <w:rStyle w:val="FootnoteReference"/>
          <w:rFonts w:cstheme="minorHAnsi"/>
          <w:sz w:val="24"/>
          <w:szCs w:val="24"/>
        </w:rPr>
        <w:footnoteReference w:id="41"/>
      </w:r>
      <w:r w:rsidR="002A424D" w:rsidRPr="0018095C">
        <w:rPr>
          <w:rFonts w:cstheme="minorHAnsi"/>
          <w:sz w:val="24"/>
          <w:szCs w:val="24"/>
        </w:rPr>
        <w:t xml:space="preserve"> </w:t>
      </w:r>
    </w:p>
    <w:p w14:paraId="6288C732" w14:textId="77777777" w:rsidR="00853291" w:rsidRPr="0018095C" w:rsidRDefault="00853291" w:rsidP="00D67707">
      <w:pPr>
        <w:spacing w:after="0" w:line="240" w:lineRule="auto"/>
        <w:jc w:val="both"/>
        <w:rPr>
          <w:rFonts w:eastAsia="Times New Roman" w:cstheme="minorHAnsi"/>
          <w:color w:val="111111"/>
          <w:sz w:val="24"/>
          <w:szCs w:val="24"/>
        </w:rPr>
      </w:pPr>
    </w:p>
    <w:p w14:paraId="2E7F4D35" w14:textId="1167DAC7" w:rsidR="000435D9" w:rsidRPr="0018095C" w:rsidRDefault="000435D9" w:rsidP="00D67707">
      <w:pPr>
        <w:spacing w:after="0" w:line="240" w:lineRule="auto"/>
        <w:jc w:val="both"/>
        <w:rPr>
          <w:rFonts w:cstheme="minorHAnsi"/>
          <w:color w:val="000000"/>
          <w:sz w:val="24"/>
          <w:szCs w:val="24"/>
        </w:rPr>
      </w:pPr>
      <w:r w:rsidRPr="0018095C">
        <w:rPr>
          <w:rFonts w:eastAsia="Times New Roman" w:cstheme="minorHAnsi"/>
          <w:color w:val="111111"/>
          <w:sz w:val="24"/>
          <w:szCs w:val="24"/>
        </w:rPr>
        <w:t>After 2011, s</w:t>
      </w:r>
      <w:r w:rsidRPr="0018095C">
        <w:rPr>
          <w:rFonts w:cstheme="minorHAnsi"/>
          <w:sz w:val="24"/>
          <w:szCs w:val="24"/>
        </w:rPr>
        <w:t>uccessive governments increased social spending and public sector hiring to cope with the rising social unrest and youth unemployment</w:t>
      </w:r>
      <w:r w:rsidR="00D22FC7">
        <w:rPr>
          <w:rFonts w:cstheme="minorHAnsi"/>
          <w:sz w:val="24"/>
          <w:szCs w:val="24"/>
        </w:rPr>
        <w:t>;</w:t>
      </w:r>
      <w:r w:rsidRPr="0018095C">
        <w:rPr>
          <w:rFonts w:cstheme="minorHAnsi"/>
          <w:sz w:val="24"/>
          <w:szCs w:val="24"/>
        </w:rPr>
        <w:t xml:space="preserve"> but this was carried out through </w:t>
      </w:r>
      <w:r w:rsidR="00F15F79" w:rsidRPr="0018095C">
        <w:rPr>
          <w:rFonts w:cstheme="minorHAnsi"/>
          <w:sz w:val="24"/>
          <w:szCs w:val="24"/>
        </w:rPr>
        <w:t>loans from the International Monetary Fund (</w:t>
      </w:r>
      <w:r w:rsidRPr="0018095C">
        <w:rPr>
          <w:rFonts w:cstheme="minorHAnsi"/>
          <w:sz w:val="24"/>
          <w:szCs w:val="24"/>
        </w:rPr>
        <w:t>IMF</w:t>
      </w:r>
      <w:r w:rsidR="00F15F79" w:rsidRPr="0018095C">
        <w:rPr>
          <w:rFonts w:cstheme="minorHAnsi"/>
          <w:sz w:val="24"/>
          <w:szCs w:val="24"/>
        </w:rPr>
        <w:t>)</w:t>
      </w:r>
      <w:r w:rsidRPr="0018095C">
        <w:rPr>
          <w:rFonts w:cstheme="minorHAnsi"/>
          <w:sz w:val="24"/>
          <w:szCs w:val="24"/>
        </w:rPr>
        <w:t xml:space="preserve"> that came to burden the country. </w:t>
      </w:r>
      <w:r w:rsidRPr="0018095C">
        <w:rPr>
          <w:rFonts w:cstheme="minorHAnsi"/>
          <w:color w:val="000000"/>
          <w:sz w:val="24"/>
          <w:szCs w:val="24"/>
        </w:rPr>
        <w:t xml:space="preserve">The IMF continued to monitor Tunisia for currency devaluation, containment of the public sector wage bill (through retirement packages and wage and hiring freezes), </w:t>
      </w:r>
      <w:r w:rsidR="006A7632" w:rsidRPr="0018095C">
        <w:rPr>
          <w:rFonts w:cstheme="minorHAnsi"/>
          <w:color w:val="000000"/>
          <w:sz w:val="24"/>
          <w:szCs w:val="24"/>
        </w:rPr>
        <w:t>‘f</w:t>
      </w:r>
      <w:r w:rsidRPr="0018095C">
        <w:rPr>
          <w:rFonts w:cstheme="minorHAnsi"/>
          <w:color w:val="000000"/>
          <w:sz w:val="24"/>
          <w:szCs w:val="24"/>
        </w:rPr>
        <w:t>lexibility</w:t>
      </w:r>
      <w:r w:rsidR="006A7632" w:rsidRPr="0018095C">
        <w:rPr>
          <w:rFonts w:cstheme="minorHAnsi"/>
          <w:color w:val="000000"/>
          <w:sz w:val="24"/>
          <w:szCs w:val="24"/>
        </w:rPr>
        <w:t>’</w:t>
      </w:r>
      <w:r w:rsidRPr="0018095C">
        <w:rPr>
          <w:rFonts w:cstheme="minorHAnsi"/>
          <w:color w:val="000000"/>
          <w:sz w:val="24"/>
          <w:szCs w:val="24"/>
        </w:rPr>
        <w:t xml:space="preserve"> with the minimum wage, recapitalizing the banks, and </w:t>
      </w:r>
      <w:r w:rsidR="002A424D" w:rsidRPr="0018095C">
        <w:rPr>
          <w:rFonts w:cstheme="minorHAnsi"/>
          <w:color w:val="000000"/>
          <w:sz w:val="24"/>
          <w:szCs w:val="24"/>
        </w:rPr>
        <w:t>‘</w:t>
      </w:r>
      <w:r w:rsidRPr="0018095C">
        <w:rPr>
          <w:rFonts w:cstheme="minorHAnsi"/>
          <w:color w:val="000000"/>
          <w:sz w:val="24"/>
          <w:szCs w:val="24"/>
        </w:rPr>
        <w:t>strengthening the Central Bank’s independence</w:t>
      </w:r>
      <w:r w:rsidR="002A424D" w:rsidRPr="0018095C">
        <w:rPr>
          <w:rFonts w:cstheme="minorHAnsi"/>
          <w:color w:val="000000"/>
          <w:sz w:val="24"/>
          <w:szCs w:val="24"/>
        </w:rPr>
        <w:t>’</w:t>
      </w:r>
      <w:r w:rsidRPr="0018095C">
        <w:rPr>
          <w:rFonts w:cstheme="minorHAnsi"/>
          <w:color w:val="000000"/>
          <w:sz w:val="24"/>
          <w:szCs w:val="24"/>
        </w:rPr>
        <w:t>.</w:t>
      </w:r>
      <w:r w:rsidR="00F7451E" w:rsidRPr="0018095C">
        <w:rPr>
          <w:rStyle w:val="FootnoteReference"/>
          <w:rFonts w:cstheme="minorHAnsi"/>
          <w:color w:val="000000"/>
          <w:sz w:val="24"/>
          <w:szCs w:val="24"/>
        </w:rPr>
        <w:footnoteReference w:id="42"/>
      </w:r>
      <w:r w:rsidRPr="0018095C">
        <w:rPr>
          <w:rFonts w:cstheme="minorHAnsi"/>
          <w:color w:val="000000"/>
          <w:sz w:val="24"/>
          <w:szCs w:val="24"/>
        </w:rPr>
        <w:t xml:space="preserve"> The </w:t>
      </w:r>
      <w:r w:rsidR="00D400AE" w:rsidRPr="0018095C">
        <w:rPr>
          <w:rFonts w:cstheme="minorHAnsi"/>
          <w:color w:val="000000"/>
          <w:sz w:val="24"/>
          <w:szCs w:val="24"/>
        </w:rPr>
        <w:t xml:space="preserve">powerful trade union </w:t>
      </w:r>
      <w:r w:rsidRPr="0018095C">
        <w:rPr>
          <w:rFonts w:cstheme="minorHAnsi"/>
          <w:color w:val="000000"/>
          <w:sz w:val="24"/>
          <w:szCs w:val="24"/>
        </w:rPr>
        <w:t xml:space="preserve">UGTT compelled the government to approve salary increases in 2018, but these were offset by inflation. Protests and strikes in the country’s interior, where residents demanded more employment and investment, paralyzed gas, petroleum, and phosphate production. Most of Tunisia’s debt </w:t>
      </w:r>
      <w:r w:rsidR="00DD25B2" w:rsidRPr="0018095C">
        <w:rPr>
          <w:rFonts w:cstheme="minorHAnsi"/>
          <w:color w:val="000000"/>
          <w:sz w:val="24"/>
          <w:szCs w:val="24"/>
        </w:rPr>
        <w:t>was</w:t>
      </w:r>
      <w:r w:rsidRPr="0018095C">
        <w:rPr>
          <w:rFonts w:cstheme="minorHAnsi"/>
          <w:color w:val="000000"/>
          <w:sz w:val="24"/>
          <w:szCs w:val="24"/>
        </w:rPr>
        <w:t xml:space="preserve"> external debt</w:t>
      </w:r>
      <w:r w:rsidR="002F3D52" w:rsidRPr="0018095C">
        <w:rPr>
          <w:rFonts w:cstheme="minorHAnsi"/>
          <w:color w:val="000000"/>
          <w:sz w:val="24"/>
          <w:szCs w:val="24"/>
        </w:rPr>
        <w:t>.</w:t>
      </w:r>
      <w:r w:rsidRPr="0018095C">
        <w:rPr>
          <w:rFonts w:cstheme="minorHAnsi"/>
          <w:color w:val="000000"/>
          <w:sz w:val="24"/>
          <w:szCs w:val="24"/>
        </w:rPr>
        <w:t xml:space="preserve"> </w:t>
      </w:r>
      <w:r w:rsidR="002F3D52" w:rsidRPr="0018095C">
        <w:rPr>
          <w:rFonts w:cstheme="minorHAnsi"/>
          <w:color w:val="000000"/>
          <w:sz w:val="24"/>
          <w:szCs w:val="24"/>
        </w:rPr>
        <w:t>I</w:t>
      </w:r>
      <w:r w:rsidRPr="0018095C">
        <w:rPr>
          <w:rFonts w:cstheme="minorHAnsi"/>
          <w:color w:val="000000"/>
          <w:sz w:val="24"/>
          <w:szCs w:val="24"/>
        </w:rPr>
        <w:t xml:space="preserve">n July 2020, with a shrinking economy but </w:t>
      </w:r>
      <w:r w:rsidR="00D400AE" w:rsidRPr="0018095C">
        <w:rPr>
          <w:rFonts w:cstheme="minorHAnsi"/>
          <w:color w:val="000000"/>
          <w:sz w:val="24"/>
          <w:szCs w:val="24"/>
        </w:rPr>
        <w:t>more</w:t>
      </w:r>
      <w:r w:rsidRPr="0018095C">
        <w:rPr>
          <w:rFonts w:cstheme="minorHAnsi"/>
          <w:color w:val="000000"/>
          <w:sz w:val="24"/>
          <w:szCs w:val="24"/>
        </w:rPr>
        <w:t xml:space="preserve"> spending to offset the effects of the COVID-19 pandemic, the government sought to delay debt repayment to Saudi Arabia, Qatar, France, and Italy.</w:t>
      </w:r>
      <w:r w:rsidRPr="0018095C">
        <w:rPr>
          <w:rStyle w:val="FootnoteReference"/>
          <w:rFonts w:cstheme="minorHAnsi"/>
          <w:color w:val="000000"/>
          <w:sz w:val="24"/>
          <w:szCs w:val="24"/>
        </w:rPr>
        <w:footnoteReference w:id="43"/>
      </w:r>
      <w:r w:rsidRPr="0018095C">
        <w:rPr>
          <w:rFonts w:cstheme="minorHAnsi"/>
          <w:color w:val="000000"/>
          <w:sz w:val="24"/>
          <w:szCs w:val="24"/>
        </w:rPr>
        <w:t xml:space="preserve"> </w:t>
      </w:r>
    </w:p>
    <w:p w14:paraId="061291F8" w14:textId="77777777" w:rsidR="00836165" w:rsidRPr="0018095C" w:rsidRDefault="00836165" w:rsidP="00D67707">
      <w:pPr>
        <w:spacing w:after="0" w:line="240" w:lineRule="auto"/>
        <w:jc w:val="both"/>
        <w:rPr>
          <w:rFonts w:cstheme="minorHAnsi"/>
          <w:sz w:val="24"/>
          <w:szCs w:val="24"/>
        </w:rPr>
      </w:pPr>
    </w:p>
    <w:p w14:paraId="0D9B138F" w14:textId="323189C4" w:rsidR="00036C4A" w:rsidRPr="0018095C" w:rsidRDefault="000435D9" w:rsidP="00D67707">
      <w:pPr>
        <w:spacing w:after="0" w:line="240" w:lineRule="auto"/>
        <w:jc w:val="both"/>
        <w:rPr>
          <w:rFonts w:eastAsia="Calibri" w:cstheme="minorHAnsi"/>
          <w:sz w:val="24"/>
          <w:szCs w:val="24"/>
        </w:rPr>
      </w:pPr>
      <w:r w:rsidRPr="0018095C">
        <w:rPr>
          <w:rFonts w:cstheme="minorHAnsi"/>
          <w:color w:val="000000"/>
          <w:sz w:val="24"/>
          <w:szCs w:val="24"/>
        </w:rPr>
        <w:t>Tunisia’s public-debt-to-GDP ratio increased from about 40</w:t>
      </w:r>
      <w:r w:rsidR="000F61DF" w:rsidRPr="0018095C">
        <w:rPr>
          <w:rFonts w:cstheme="minorHAnsi"/>
          <w:color w:val="000000"/>
          <w:sz w:val="24"/>
          <w:szCs w:val="24"/>
        </w:rPr>
        <w:t>%</w:t>
      </w:r>
      <w:r w:rsidR="00DD25B2" w:rsidRPr="0018095C">
        <w:rPr>
          <w:rFonts w:cstheme="minorHAnsi"/>
          <w:color w:val="000000"/>
          <w:sz w:val="24"/>
          <w:szCs w:val="24"/>
        </w:rPr>
        <w:t xml:space="preserve"> </w:t>
      </w:r>
      <w:r w:rsidRPr="0018095C">
        <w:rPr>
          <w:rFonts w:cstheme="minorHAnsi"/>
          <w:color w:val="000000"/>
          <w:sz w:val="24"/>
          <w:szCs w:val="24"/>
        </w:rPr>
        <w:t>in 2010-2011 to 77</w:t>
      </w:r>
      <w:r w:rsidR="000F61DF" w:rsidRPr="0018095C">
        <w:rPr>
          <w:rFonts w:cstheme="minorHAnsi"/>
          <w:color w:val="000000"/>
          <w:sz w:val="24"/>
          <w:szCs w:val="24"/>
        </w:rPr>
        <w:t>%</w:t>
      </w:r>
      <w:r w:rsidR="00DD25B2" w:rsidRPr="0018095C">
        <w:rPr>
          <w:rFonts w:cstheme="minorHAnsi"/>
          <w:color w:val="000000"/>
          <w:sz w:val="24"/>
          <w:szCs w:val="24"/>
        </w:rPr>
        <w:t xml:space="preserve"> </w:t>
      </w:r>
      <w:r w:rsidRPr="0018095C">
        <w:rPr>
          <w:rFonts w:cstheme="minorHAnsi"/>
          <w:color w:val="000000"/>
          <w:sz w:val="24"/>
          <w:szCs w:val="24"/>
        </w:rPr>
        <w:t>at the end of 2018.</w:t>
      </w:r>
      <w:r w:rsidR="00F7451E" w:rsidRPr="0018095C">
        <w:rPr>
          <w:rStyle w:val="FootnoteReference"/>
          <w:rFonts w:cstheme="minorHAnsi"/>
          <w:color w:val="000000"/>
          <w:sz w:val="24"/>
          <w:szCs w:val="24"/>
        </w:rPr>
        <w:footnoteReference w:id="44"/>
      </w:r>
      <w:r w:rsidRPr="0018095C">
        <w:rPr>
          <w:rFonts w:cstheme="minorHAnsi"/>
          <w:color w:val="000000"/>
          <w:sz w:val="24"/>
          <w:szCs w:val="24"/>
        </w:rPr>
        <w:t xml:space="preserve"> </w:t>
      </w:r>
      <w:r w:rsidR="00836165" w:rsidRPr="0018095C">
        <w:rPr>
          <w:rFonts w:cstheme="minorHAnsi"/>
          <w:color w:val="000000"/>
          <w:sz w:val="24"/>
          <w:szCs w:val="24"/>
        </w:rPr>
        <w:t xml:space="preserve">In </w:t>
      </w:r>
      <w:r w:rsidRPr="0018095C">
        <w:rPr>
          <w:rFonts w:cstheme="minorHAnsi"/>
          <w:color w:val="000000"/>
          <w:sz w:val="24"/>
          <w:szCs w:val="24"/>
        </w:rPr>
        <w:t xml:space="preserve">2022, it was perhaps as high as 95 percent. </w:t>
      </w:r>
      <w:r w:rsidR="004B2D14" w:rsidRPr="0018095C">
        <w:rPr>
          <w:rFonts w:cstheme="minorHAnsi"/>
          <w:sz w:val="24"/>
          <w:szCs w:val="24"/>
        </w:rPr>
        <w:t>The 2021</w:t>
      </w:r>
      <w:r w:rsidRPr="0018095C">
        <w:rPr>
          <w:rFonts w:cstheme="minorHAnsi"/>
          <w:sz w:val="24"/>
          <w:szCs w:val="24"/>
        </w:rPr>
        <w:t xml:space="preserve"> OECD report highlighted problems associated with the budget deficit, debt, and the pandemic. A study of Tunisia’s economic woes reiterated calls for more European assistance to bolster Tunisia’s economy and help consolidate its democratic transition.</w:t>
      </w:r>
      <w:r w:rsidR="00F7451E" w:rsidRPr="0018095C">
        <w:rPr>
          <w:rStyle w:val="FootnoteReference"/>
          <w:rFonts w:cstheme="minorHAnsi"/>
          <w:sz w:val="24"/>
          <w:szCs w:val="24"/>
        </w:rPr>
        <w:footnoteReference w:id="45"/>
      </w:r>
      <w:r w:rsidRPr="0018095C">
        <w:rPr>
          <w:rFonts w:cstheme="minorHAnsi"/>
          <w:sz w:val="24"/>
          <w:szCs w:val="24"/>
        </w:rPr>
        <w:t xml:space="preserve"> Instead of loans, </w:t>
      </w:r>
      <w:r w:rsidRPr="0018095C">
        <w:rPr>
          <w:rFonts w:eastAsia="Times New Roman" w:cstheme="minorHAnsi"/>
          <w:color w:val="111111"/>
          <w:sz w:val="24"/>
          <w:szCs w:val="24"/>
        </w:rPr>
        <w:t>Tunisia needed investments and growth in sectors such as manufacturing, finance, communications, tourism, and food processing</w:t>
      </w:r>
      <w:r w:rsidR="00836165" w:rsidRPr="0018095C">
        <w:rPr>
          <w:rFonts w:eastAsia="Times New Roman" w:cstheme="minorHAnsi"/>
          <w:color w:val="111111"/>
          <w:sz w:val="24"/>
          <w:szCs w:val="24"/>
        </w:rPr>
        <w:t>.</w:t>
      </w:r>
      <w:r w:rsidRPr="0018095C">
        <w:rPr>
          <w:rFonts w:cstheme="minorHAnsi"/>
          <w:sz w:val="24"/>
          <w:szCs w:val="24"/>
        </w:rPr>
        <w:t xml:space="preserve"> </w:t>
      </w:r>
      <w:r w:rsidR="00F7451E" w:rsidRPr="0018095C">
        <w:rPr>
          <w:rFonts w:cstheme="minorHAnsi"/>
          <w:sz w:val="24"/>
          <w:szCs w:val="24"/>
        </w:rPr>
        <w:t xml:space="preserve">Another </w:t>
      </w:r>
      <w:r w:rsidR="00542DCE" w:rsidRPr="0018095C">
        <w:rPr>
          <w:rFonts w:cstheme="minorHAnsi"/>
          <w:sz w:val="24"/>
          <w:szCs w:val="24"/>
        </w:rPr>
        <w:t>study</w:t>
      </w:r>
      <w:r w:rsidR="00F7451E" w:rsidRPr="0018095C">
        <w:rPr>
          <w:rFonts w:cstheme="minorHAnsi"/>
          <w:sz w:val="24"/>
          <w:szCs w:val="24"/>
        </w:rPr>
        <w:t xml:space="preserve"> </w:t>
      </w:r>
      <w:r w:rsidR="00542DCE" w:rsidRPr="0018095C">
        <w:rPr>
          <w:rFonts w:cstheme="minorHAnsi"/>
          <w:sz w:val="24"/>
          <w:szCs w:val="24"/>
        </w:rPr>
        <w:t>asserted</w:t>
      </w:r>
      <w:r w:rsidR="00036C4A" w:rsidRPr="0018095C">
        <w:rPr>
          <w:rFonts w:cstheme="minorHAnsi"/>
          <w:sz w:val="24"/>
          <w:szCs w:val="24"/>
        </w:rPr>
        <w:t xml:space="preserve"> that the new democratic system had </w:t>
      </w:r>
      <w:r w:rsidR="002A424D" w:rsidRPr="0018095C">
        <w:rPr>
          <w:rFonts w:cstheme="minorHAnsi"/>
          <w:sz w:val="24"/>
          <w:szCs w:val="24"/>
        </w:rPr>
        <w:t>‘</w:t>
      </w:r>
      <w:r w:rsidR="00036C4A" w:rsidRPr="0018095C">
        <w:rPr>
          <w:rFonts w:cstheme="minorHAnsi"/>
          <w:sz w:val="24"/>
          <w:szCs w:val="24"/>
        </w:rPr>
        <w:t>so far failed to satisfy peoples’ hopes for improved living standards. In fact, it has presided over their deterioration.</w:t>
      </w:r>
      <w:r w:rsidR="002A424D" w:rsidRPr="0018095C">
        <w:rPr>
          <w:rFonts w:cstheme="minorHAnsi"/>
          <w:sz w:val="24"/>
          <w:szCs w:val="24"/>
        </w:rPr>
        <w:t>’</w:t>
      </w:r>
      <w:r w:rsidR="00F7451E" w:rsidRPr="0018095C">
        <w:rPr>
          <w:rStyle w:val="FootnoteReference"/>
          <w:rFonts w:cstheme="minorHAnsi"/>
          <w:sz w:val="24"/>
          <w:szCs w:val="24"/>
        </w:rPr>
        <w:footnoteReference w:id="46"/>
      </w:r>
      <w:r w:rsidR="00036C4A" w:rsidRPr="0018095C">
        <w:rPr>
          <w:rFonts w:cstheme="minorHAnsi"/>
          <w:sz w:val="24"/>
          <w:szCs w:val="24"/>
        </w:rPr>
        <w:t xml:space="preserve"> In June 2020, healthcare </w:t>
      </w:r>
      <w:r w:rsidR="00036C4A" w:rsidRPr="0018095C">
        <w:rPr>
          <w:rFonts w:cstheme="minorHAnsi"/>
          <w:sz w:val="24"/>
          <w:szCs w:val="24"/>
        </w:rPr>
        <w:lastRenderedPageBreak/>
        <w:t>workers went on strike to protest cutbacks and reduced salaries and to demand better working conditions.</w:t>
      </w:r>
      <w:r w:rsidR="00036C4A" w:rsidRPr="0018095C">
        <w:rPr>
          <w:rStyle w:val="FootnoteReference"/>
          <w:rFonts w:eastAsia="Calibri" w:cstheme="minorHAnsi"/>
          <w:sz w:val="24"/>
          <w:szCs w:val="24"/>
          <w:highlight w:val="white"/>
        </w:rPr>
        <w:footnoteReference w:id="47"/>
      </w:r>
      <w:r w:rsidR="00036C4A" w:rsidRPr="0018095C">
        <w:rPr>
          <w:rFonts w:eastAsia="Calibri" w:cstheme="minorHAnsi"/>
          <w:sz w:val="24"/>
          <w:szCs w:val="24"/>
          <w:highlight w:val="white"/>
        </w:rPr>
        <w:t xml:space="preserve"> </w:t>
      </w:r>
    </w:p>
    <w:p w14:paraId="114A0FB2" w14:textId="77777777" w:rsidR="00036C4A" w:rsidRPr="0018095C" w:rsidRDefault="00036C4A" w:rsidP="00D67707">
      <w:pPr>
        <w:spacing w:after="0" w:line="240" w:lineRule="auto"/>
        <w:jc w:val="both"/>
        <w:rPr>
          <w:rFonts w:eastAsia="Times New Roman" w:cstheme="minorHAnsi"/>
          <w:sz w:val="24"/>
          <w:szCs w:val="24"/>
        </w:rPr>
      </w:pPr>
    </w:p>
    <w:p w14:paraId="22FAC621" w14:textId="2EDEBFE9" w:rsidR="00836165" w:rsidRPr="0018095C" w:rsidRDefault="00836165" w:rsidP="00D67707">
      <w:pPr>
        <w:spacing w:after="0" w:line="240" w:lineRule="auto"/>
        <w:jc w:val="both"/>
        <w:rPr>
          <w:rFonts w:cstheme="minorHAnsi"/>
          <w:sz w:val="24"/>
          <w:szCs w:val="24"/>
        </w:rPr>
      </w:pPr>
      <w:r w:rsidRPr="0018095C">
        <w:rPr>
          <w:rFonts w:cstheme="minorHAnsi"/>
          <w:sz w:val="24"/>
          <w:szCs w:val="24"/>
        </w:rPr>
        <w:t xml:space="preserve">In the midst of the economic crisis and political dysfunction, women continued to </w:t>
      </w:r>
      <w:r w:rsidR="004B2D14" w:rsidRPr="0018095C">
        <w:rPr>
          <w:rFonts w:cstheme="minorHAnsi"/>
          <w:sz w:val="24"/>
          <w:szCs w:val="24"/>
        </w:rPr>
        <w:t>engage in</w:t>
      </w:r>
      <w:r w:rsidRPr="0018095C">
        <w:rPr>
          <w:rFonts w:cstheme="minorHAnsi"/>
          <w:sz w:val="24"/>
          <w:szCs w:val="24"/>
        </w:rPr>
        <w:t xml:space="preserve"> acts of citizenship. In March 2018, t</w:t>
      </w:r>
      <w:r w:rsidRPr="0018095C">
        <w:rPr>
          <w:rFonts w:eastAsia="Times New Roman" w:cstheme="minorHAnsi"/>
          <w:color w:val="000000"/>
          <w:sz w:val="24"/>
          <w:szCs w:val="24"/>
        </w:rPr>
        <w:t>he</w:t>
      </w:r>
      <w:r w:rsidR="00542DCE" w:rsidRPr="0018095C">
        <w:rPr>
          <w:rFonts w:eastAsia="Times New Roman" w:cstheme="minorHAnsi"/>
          <w:color w:val="000000"/>
          <w:sz w:val="24"/>
          <w:szCs w:val="24"/>
        </w:rPr>
        <w:t xml:space="preserve"> Tunisian Coalition for Equality in Inheritance</w:t>
      </w:r>
      <w:r w:rsidRPr="0018095C">
        <w:rPr>
          <w:rFonts w:eastAsia="Times New Roman" w:cstheme="minorHAnsi"/>
          <w:color w:val="000000"/>
          <w:sz w:val="24"/>
          <w:szCs w:val="24"/>
        </w:rPr>
        <w:t>, comp</w:t>
      </w:r>
      <w:r w:rsidR="00206E78" w:rsidRPr="0018095C">
        <w:rPr>
          <w:rFonts w:eastAsia="Times New Roman" w:cstheme="minorHAnsi"/>
          <w:color w:val="000000"/>
          <w:sz w:val="24"/>
          <w:szCs w:val="24"/>
        </w:rPr>
        <w:t>o</w:t>
      </w:r>
      <w:r w:rsidRPr="0018095C">
        <w:rPr>
          <w:rFonts w:eastAsia="Times New Roman" w:cstheme="minorHAnsi"/>
          <w:color w:val="000000"/>
          <w:sz w:val="24"/>
          <w:szCs w:val="24"/>
        </w:rPr>
        <w:t xml:space="preserve">sed of some 70 women's rights groups, mobilized hundreds of protesters in front of the parliament to support the </w:t>
      </w:r>
      <w:r w:rsidR="00AD216E" w:rsidRPr="00880E6E">
        <w:rPr>
          <w:rFonts w:eastAsia="Times New Roman" w:cstheme="minorHAnsi"/>
          <w:sz w:val="24"/>
          <w:szCs w:val="24"/>
        </w:rPr>
        <w:t>COLIBE</w:t>
      </w:r>
      <w:r w:rsidR="00880E6E">
        <w:rPr>
          <w:rFonts w:eastAsia="Times New Roman" w:cstheme="minorHAnsi"/>
          <w:color w:val="EE0000"/>
          <w:sz w:val="24"/>
          <w:szCs w:val="24"/>
        </w:rPr>
        <w:t xml:space="preserve"> </w:t>
      </w:r>
      <w:r w:rsidRPr="0018095C">
        <w:rPr>
          <w:rFonts w:eastAsia="Times New Roman" w:cstheme="minorHAnsi"/>
          <w:color w:val="000000"/>
          <w:sz w:val="24"/>
          <w:szCs w:val="24"/>
        </w:rPr>
        <w:t>report and call for a</w:t>
      </w:r>
      <w:r w:rsidR="00542DCE" w:rsidRPr="0018095C">
        <w:rPr>
          <w:rFonts w:eastAsia="Times New Roman" w:cstheme="minorHAnsi"/>
          <w:color w:val="000000"/>
          <w:sz w:val="24"/>
          <w:szCs w:val="24"/>
        </w:rPr>
        <w:t xml:space="preserve"> law guaranteeing equal family inheritance rights for women. After the death of then-president Beji </w:t>
      </w:r>
      <w:r w:rsidR="00542DCE" w:rsidRPr="0018095C">
        <w:rPr>
          <w:rFonts w:cstheme="minorHAnsi"/>
          <w:sz w:val="24"/>
          <w:szCs w:val="24"/>
        </w:rPr>
        <w:t>Essebsi, his successor, Kais Saied, indicated his lack of support for the equal inheritance bill and it was shelved. In August 2021, a feminist leader, Sana Ben Achour, issued a scathing critique of the president’s populist politics and his opposition to equal inheritance, distributed via Facebook.</w:t>
      </w:r>
      <w:r w:rsidRPr="0018095C">
        <w:rPr>
          <w:rStyle w:val="FootnoteReference"/>
          <w:rFonts w:cstheme="minorHAnsi"/>
          <w:sz w:val="24"/>
          <w:szCs w:val="24"/>
        </w:rPr>
        <w:footnoteReference w:id="48"/>
      </w:r>
      <w:r w:rsidRPr="0018095C">
        <w:rPr>
          <w:rFonts w:eastAsia="Times New Roman" w:cstheme="minorHAnsi"/>
          <w:color w:val="000000"/>
          <w:sz w:val="24"/>
          <w:szCs w:val="24"/>
        </w:rPr>
        <w:t xml:space="preserve"> </w:t>
      </w:r>
    </w:p>
    <w:p w14:paraId="4C949B51" w14:textId="77777777" w:rsidR="00036C4A" w:rsidRPr="0018095C" w:rsidRDefault="00036C4A" w:rsidP="00D67707">
      <w:pPr>
        <w:spacing w:after="0" w:line="240" w:lineRule="auto"/>
        <w:jc w:val="both"/>
        <w:rPr>
          <w:rFonts w:cstheme="minorHAnsi"/>
          <w:sz w:val="24"/>
          <w:szCs w:val="24"/>
        </w:rPr>
      </w:pPr>
    </w:p>
    <w:p w14:paraId="0EB39E40" w14:textId="54D3C294" w:rsidR="007067B0" w:rsidRPr="0018095C" w:rsidRDefault="00036C4A" w:rsidP="00D67707">
      <w:pPr>
        <w:spacing w:after="0" w:line="240" w:lineRule="auto"/>
        <w:jc w:val="both"/>
        <w:rPr>
          <w:rFonts w:cstheme="minorHAnsi"/>
          <w:color w:val="000000" w:themeColor="text1"/>
          <w:sz w:val="24"/>
          <w:szCs w:val="24"/>
        </w:rPr>
      </w:pPr>
      <w:r w:rsidRPr="0018095C">
        <w:rPr>
          <w:rFonts w:cstheme="minorHAnsi"/>
          <w:sz w:val="24"/>
          <w:szCs w:val="24"/>
        </w:rPr>
        <w:t xml:space="preserve">The reversals that Tunisia </w:t>
      </w:r>
      <w:r w:rsidR="002A424D" w:rsidRPr="0018095C">
        <w:rPr>
          <w:rFonts w:cstheme="minorHAnsi"/>
          <w:sz w:val="24"/>
          <w:szCs w:val="24"/>
        </w:rPr>
        <w:t>saw after</w:t>
      </w:r>
      <w:r w:rsidRPr="0018095C">
        <w:rPr>
          <w:rFonts w:cstheme="minorHAnsi"/>
          <w:sz w:val="24"/>
          <w:szCs w:val="24"/>
        </w:rPr>
        <w:t xml:space="preserve"> President Saied’s draconian intervention in </w:t>
      </w:r>
      <w:r w:rsidR="002F6A21">
        <w:rPr>
          <w:rFonts w:cstheme="minorHAnsi"/>
          <w:sz w:val="24"/>
          <w:szCs w:val="24"/>
        </w:rPr>
        <w:t xml:space="preserve">the </w:t>
      </w:r>
      <w:r w:rsidRPr="0018095C">
        <w:rPr>
          <w:rFonts w:cstheme="minorHAnsi"/>
          <w:sz w:val="24"/>
          <w:szCs w:val="24"/>
        </w:rPr>
        <w:t xml:space="preserve">summer </w:t>
      </w:r>
      <w:r w:rsidR="002F6A21">
        <w:rPr>
          <w:rFonts w:cstheme="minorHAnsi"/>
          <w:sz w:val="24"/>
          <w:szCs w:val="24"/>
        </w:rPr>
        <w:t xml:space="preserve">of </w:t>
      </w:r>
      <w:r w:rsidRPr="0018095C">
        <w:rPr>
          <w:rFonts w:cstheme="minorHAnsi"/>
          <w:sz w:val="24"/>
          <w:szCs w:val="24"/>
        </w:rPr>
        <w:t xml:space="preserve">2021 – in both the quality of its democracy and its gendered citizenship regime – can only be understood </w:t>
      </w:r>
      <w:r w:rsidR="00AE73BE" w:rsidRPr="0018095C">
        <w:rPr>
          <w:rFonts w:cstheme="minorHAnsi"/>
          <w:sz w:val="24"/>
          <w:szCs w:val="24"/>
        </w:rPr>
        <w:t xml:space="preserve">by examining </w:t>
      </w:r>
      <w:r w:rsidRPr="0018095C">
        <w:rPr>
          <w:rFonts w:cstheme="minorHAnsi"/>
          <w:sz w:val="24"/>
          <w:szCs w:val="24"/>
        </w:rPr>
        <w:t xml:space="preserve">the </w:t>
      </w:r>
      <w:r w:rsidR="00AE73BE" w:rsidRPr="0018095C">
        <w:rPr>
          <w:rFonts w:cstheme="minorHAnsi"/>
          <w:sz w:val="24"/>
          <w:szCs w:val="24"/>
        </w:rPr>
        <w:t xml:space="preserve">presence or absence of international </w:t>
      </w:r>
      <w:r w:rsidRPr="0018095C">
        <w:rPr>
          <w:rFonts w:cstheme="minorHAnsi"/>
          <w:sz w:val="24"/>
          <w:szCs w:val="24"/>
        </w:rPr>
        <w:t xml:space="preserve">economic and financial solidarity and support </w:t>
      </w:r>
      <w:r w:rsidR="007067B0" w:rsidRPr="0018095C">
        <w:rPr>
          <w:rFonts w:cstheme="minorHAnsi"/>
          <w:sz w:val="24"/>
          <w:szCs w:val="24"/>
        </w:rPr>
        <w:t xml:space="preserve">as </w:t>
      </w:r>
      <w:r w:rsidR="00737496" w:rsidRPr="0018095C">
        <w:rPr>
          <w:rFonts w:cstheme="minorHAnsi"/>
          <w:sz w:val="24"/>
          <w:szCs w:val="24"/>
        </w:rPr>
        <w:t xml:space="preserve">well as </w:t>
      </w:r>
      <w:r w:rsidR="007067B0" w:rsidRPr="0018095C">
        <w:rPr>
          <w:rFonts w:cstheme="minorHAnsi"/>
          <w:sz w:val="24"/>
          <w:szCs w:val="24"/>
        </w:rPr>
        <w:t>domestic</w:t>
      </w:r>
      <w:r w:rsidR="00737496" w:rsidRPr="0018095C">
        <w:rPr>
          <w:rFonts w:cstheme="minorHAnsi"/>
          <w:sz w:val="24"/>
          <w:szCs w:val="24"/>
        </w:rPr>
        <w:t xml:space="preserve"> institutions and relations</w:t>
      </w:r>
      <w:r w:rsidRPr="0018095C">
        <w:rPr>
          <w:rFonts w:cstheme="minorHAnsi"/>
          <w:sz w:val="24"/>
          <w:szCs w:val="24"/>
        </w:rPr>
        <w:t xml:space="preserve">. </w:t>
      </w:r>
      <w:r w:rsidR="007067B0" w:rsidRPr="0018095C">
        <w:rPr>
          <w:rFonts w:cstheme="minorHAnsi"/>
          <w:sz w:val="24"/>
          <w:szCs w:val="24"/>
        </w:rPr>
        <w:t>For example</w:t>
      </w:r>
      <w:r w:rsidRPr="0018095C">
        <w:rPr>
          <w:rFonts w:cstheme="minorHAnsi"/>
          <w:sz w:val="24"/>
          <w:szCs w:val="24"/>
        </w:rPr>
        <w:t xml:space="preserve">, </w:t>
      </w:r>
      <w:r w:rsidR="007067B0" w:rsidRPr="0018095C">
        <w:rPr>
          <w:rFonts w:cstheme="minorHAnsi"/>
          <w:sz w:val="24"/>
          <w:szCs w:val="24"/>
        </w:rPr>
        <w:t xml:space="preserve">in the decade following Tunisia’s </w:t>
      </w:r>
      <w:r w:rsidR="00B53A49" w:rsidRPr="0018095C">
        <w:rPr>
          <w:rFonts w:cstheme="minorHAnsi"/>
          <w:sz w:val="24"/>
          <w:szCs w:val="24"/>
        </w:rPr>
        <w:t xml:space="preserve">2011 </w:t>
      </w:r>
      <w:r w:rsidR="007067B0" w:rsidRPr="0018095C">
        <w:rPr>
          <w:rFonts w:cstheme="minorHAnsi"/>
          <w:sz w:val="24"/>
          <w:szCs w:val="24"/>
        </w:rPr>
        <w:t>political revolution, the European Union provided some €3 billion</w:t>
      </w:r>
      <w:r w:rsidR="00CC0E80" w:rsidRPr="0018095C">
        <w:rPr>
          <w:rStyle w:val="Strong"/>
          <w:rFonts w:cstheme="minorHAnsi"/>
          <w:sz w:val="24"/>
          <w:szCs w:val="24"/>
        </w:rPr>
        <w:t xml:space="preserve"> </w:t>
      </w:r>
      <w:r w:rsidR="007067B0" w:rsidRPr="0018095C">
        <w:rPr>
          <w:rStyle w:val="Strong"/>
          <w:rFonts w:cstheme="minorHAnsi"/>
          <w:b w:val="0"/>
          <w:bCs w:val="0"/>
          <w:sz w:val="24"/>
          <w:szCs w:val="24"/>
        </w:rPr>
        <w:t>in economic assistance</w:t>
      </w:r>
      <w:r w:rsidR="007067B0" w:rsidRPr="0018095C">
        <w:rPr>
          <w:rStyle w:val="Strong"/>
          <w:rFonts w:cstheme="minorHAnsi"/>
          <w:sz w:val="24"/>
          <w:szCs w:val="24"/>
        </w:rPr>
        <w:t xml:space="preserve">: </w:t>
      </w:r>
      <w:r w:rsidR="007067B0" w:rsidRPr="0018095C">
        <w:rPr>
          <w:rFonts w:cstheme="minorHAnsi"/>
          <w:sz w:val="24"/>
          <w:szCs w:val="24"/>
        </w:rPr>
        <w:t>over €2 billion in grants and €1.1 billion in macro-financial assistance (concessional loans).</w:t>
      </w:r>
      <w:r w:rsidR="007067B0" w:rsidRPr="0018095C">
        <w:rPr>
          <w:rStyle w:val="FootnoteReference"/>
          <w:rFonts w:cstheme="minorHAnsi"/>
          <w:sz w:val="24"/>
          <w:szCs w:val="24"/>
        </w:rPr>
        <w:footnoteReference w:id="49"/>
      </w:r>
      <w:r w:rsidR="007067B0" w:rsidRPr="0018095C">
        <w:rPr>
          <w:rFonts w:cstheme="minorHAnsi"/>
          <w:sz w:val="24"/>
          <w:szCs w:val="24"/>
        </w:rPr>
        <w:t xml:space="preserve"> In contrast, the EU paid out €4.1bn to Ukraine in </w:t>
      </w:r>
      <w:r w:rsidR="007067B0" w:rsidRPr="0018095C">
        <w:rPr>
          <w:rFonts w:cstheme="minorHAnsi"/>
          <w:i/>
          <w:iCs/>
          <w:sz w:val="24"/>
          <w:szCs w:val="24"/>
        </w:rPr>
        <w:t>the first five months</w:t>
      </w:r>
      <w:r w:rsidR="007067B0" w:rsidRPr="0018095C">
        <w:rPr>
          <w:rFonts w:cstheme="minorHAnsi"/>
          <w:sz w:val="24"/>
          <w:szCs w:val="24"/>
        </w:rPr>
        <w:t xml:space="preserve"> after the outbreak of war with Russia, </w:t>
      </w:r>
      <w:r w:rsidR="00845893">
        <w:rPr>
          <w:rFonts w:cstheme="minorHAnsi"/>
          <w:sz w:val="24"/>
          <w:szCs w:val="24"/>
        </w:rPr>
        <w:t>‘to support Ukraine’s macro-financial stability and the functioning of its public administration’</w:t>
      </w:r>
      <w:r w:rsidR="004631ED">
        <w:rPr>
          <w:rFonts w:cstheme="minorHAnsi"/>
          <w:sz w:val="24"/>
          <w:szCs w:val="24"/>
        </w:rPr>
        <w:t>, and more loans were provided in 2023</w:t>
      </w:r>
      <w:r w:rsidR="00845893">
        <w:rPr>
          <w:rFonts w:cstheme="minorHAnsi"/>
          <w:sz w:val="24"/>
          <w:szCs w:val="24"/>
        </w:rPr>
        <w:t>.</w:t>
      </w:r>
      <w:r w:rsidR="00845893">
        <w:rPr>
          <w:rStyle w:val="FootnoteReference"/>
          <w:rFonts w:cstheme="minorHAnsi"/>
          <w:sz w:val="24"/>
          <w:szCs w:val="24"/>
        </w:rPr>
        <w:footnoteReference w:id="50"/>
      </w:r>
      <w:r w:rsidR="0024519F">
        <w:rPr>
          <w:rFonts w:cstheme="minorHAnsi"/>
          <w:sz w:val="24"/>
          <w:szCs w:val="24"/>
        </w:rPr>
        <w:t xml:space="preserve"> </w:t>
      </w:r>
      <w:r w:rsidR="00845893">
        <w:rPr>
          <w:rFonts w:cstheme="minorHAnsi"/>
          <w:color w:val="000000" w:themeColor="text1"/>
          <w:sz w:val="24"/>
          <w:szCs w:val="24"/>
        </w:rPr>
        <w:t>In September 2024,</w:t>
      </w:r>
      <w:r w:rsidR="007067B0" w:rsidRPr="0018095C">
        <w:rPr>
          <w:rFonts w:cstheme="minorHAnsi"/>
          <w:color w:val="000000" w:themeColor="text1"/>
          <w:sz w:val="24"/>
          <w:szCs w:val="24"/>
        </w:rPr>
        <w:t xml:space="preserve"> EU Commission president Ursula von der Leyen </w:t>
      </w:r>
      <w:r w:rsidR="004631ED">
        <w:rPr>
          <w:rFonts w:cstheme="minorHAnsi"/>
          <w:color w:val="000000" w:themeColor="text1"/>
          <w:sz w:val="24"/>
          <w:szCs w:val="24"/>
        </w:rPr>
        <w:t>approved</w:t>
      </w:r>
      <w:r w:rsidR="00845893">
        <w:rPr>
          <w:rFonts w:cstheme="minorHAnsi"/>
          <w:color w:val="000000" w:themeColor="text1"/>
          <w:sz w:val="24"/>
          <w:szCs w:val="24"/>
        </w:rPr>
        <w:t xml:space="preserve"> an additional </w:t>
      </w:r>
      <w:r w:rsidR="00716CD8" w:rsidRPr="0018095C">
        <w:rPr>
          <w:rFonts w:cstheme="minorHAnsi"/>
          <w:sz w:val="24"/>
          <w:szCs w:val="24"/>
        </w:rPr>
        <w:t>€</w:t>
      </w:r>
      <w:r w:rsidR="00845893">
        <w:rPr>
          <w:rFonts w:cstheme="minorHAnsi"/>
          <w:color w:val="000000" w:themeColor="text1"/>
          <w:sz w:val="24"/>
          <w:szCs w:val="24"/>
        </w:rPr>
        <w:t>35 billion loan from the EU.</w:t>
      </w:r>
      <w:r w:rsidR="007067B0" w:rsidRPr="0018095C">
        <w:rPr>
          <w:rStyle w:val="FootnoteReference"/>
          <w:rFonts w:cstheme="minorHAnsi"/>
          <w:color w:val="000000" w:themeColor="text1"/>
          <w:sz w:val="24"/>
          <w:szCs w:val="24"/>
        </w:rPr>
        <w:footnoteReference w:id="51"/>
      </w:r>
      <w:r w:rsidR="007067B0" w:rsidRPr="0018095C">
        <w:rPr>
          <w:rFonts w:cstheme="minorHAnsi"/>
          <w:color w:val="000000" w:themeColor="text1"/>
          <w:sz w:val="24"/>
          <w:szCs w:val="24"/>
        </w:rPr>
        <w:t xml:space="preserve"> </w:t>
      </w:r>
      <w:r w:rsidR="00D01943" w:rsidRPr="0018095C">
        <w:rPr>
          <w:rFonts w:cstheme="minorHAnsi"/>
          <w:color w:val="000000" w:themeColor="text1"/>
          <w:sz w:val="24"/>
          <w:szCs w:val="24"/>
        </w:rPr>
        <w:t xml:space="preserve">Meanwhile, Tunisia’s government </w:t>
      </w:r>
      <w:r w:rsidR="0080122B" w:rsidRPr="0018095C">
        <w:rPr>
          <w:rFonts w:cstheme="minorHAnsi"/>
          <w:color w:val="000000" w:themeColor="text1"/>
          <w:sz w:val="24"/>
          <w:szCs w:val="24"/>
        </w:rPr>
        <w:t xml:space="preserve">received funds from the EU </w:t>
      </w:r>
      <w:r w:rsidR="00D01943" w:rsidRPr="0018095C">
        <w:rPr>
          <w:rFonts w:cstheme="minorHAnsi"/>
          <w:color w:val="000000" w:themeColor="text1"/>
          <w:sz w:val="24"/>
          <w:szCs w:val="24"/>
        </w:rPr>
        <w:t>primarily to prevent African migrants from reaching European shores.</w:t>
      </w:r>
      <w:r w:rsidR="002E12BF" w:rsidRPr="0018095C">
        <w:rPr>
          <w:rStyle w:val="FootnoteReference"/>
          <w:rFonts w:cstheme="minorHAnsi"/>
          <w:color w:val="000000" w:themeColor="text1"/>
          <w:sz w:val="24"/>
          <w:szCs w:val="24"/>
        </w:rPr>
        <w:footnoteReference w:id="52"/>
      </w:r>
      <w:r w:rsidR="00D01943" w:rsidRPr="0018095C">
        <w:rPr>
          <w:rFonts w:cstheme="minorHAnsi"/>
          <w:color w:val="000000" w:themeColor="text1"/>
          <w:sz w:val="24"/>
          <w:szCs w:val="24"/>
        </w:rPr>
        <w:t xml:space="preserve"> </w:t>
      </w:r>
    </w:p>
    <w:p w14:paraId="5B7ABD0E" w14:textId="77777777" w:rsidR="007067B0" w:rsidRPr="0018095C" w:rsidRDefault="007067B0" w:rsidP="00D67707">
      <w:pPr>
        <w:spacing w:after="0" w:line="240" w:lineRule="auto"/>
        <w:jc w:val="both"/>
        <w:rPr>
          <w:rFonts w:cstheme="minorHAnsi"/>
          <w:sz w:val="24"/>
          <w:szCs w:val="24"/>
        </w:rPr>
      </w:pPr>
    </w:p>
    <w:p w14:paraId="3E58EE46" w14:textId="1A3416D5" w:rsidR="00923B8B" w:rsidRPr="0018095C" w:rsidRDefault="00A637D6"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rPr>
      </w:pPr>
      <w:r w:rsidRPr="0018095C">
        <w:rPr>
          <w:rFonts w:asciiTheme="minorHAnsi" w:hAnsiTheme="minorHAnsi" w:cstheme="minorHAnsi"/>
        </w:rPr>
        <w:t>Turning now to Iran, I have noted the significant institutional differences with Tunisia, such as the presence of vastly more discriminatory legal frameworks, and the marginal position of Iranian women in political representation.</w:t>
      </w:r>
      <w:r w:rsidR="0080122B" w:rsidRPr="0018095C">
        <w:rPr>
          <w:rFonts w:asciiTheme="minorHAnsi" w:hAnsiTheme="minorHAnsi" w:cstheme="minorHAnsi"/>
        </w:rPr>
        <w:t xml:space="preserve"> </w:t>
      </w:r>
      <w:r w:rsidRPr="0018095C">
        <w:rPr>
          <w:rFonts w:asciiTheme="minorHAnsi" w:hAnsiTheme="minorHAnsi" w:cstheme="minorHAnsi"/>
        </w:rPr>
        <w:t xml:space="preserve">Those restrictions, however, </w:t>
      </w:r>
      <w:r w:rsidR="0080122B" w:rsidRPr="0018095C">
        <w:rPr>
          <w:rFonts w:asciiTheme="minorHAnsi" w:hAnsiTheme="minorHAnsi" w:cstheme="minorHAnsi"/>
        </w:rPr>
        <w:t xml:space="preserve">have </w:t>
      </w:r>
      <w:r w:rsidRPr="0018095C">
        <w:rPr>
          <w:rFonts w:asciiTheme="minorHAnsi" w:hAnsiTheme="minorHAnsi" w:cstheme="minorHAnsi"/>
        </w:rPr>
        <w:t>tend</w:t>
      </w:r>
      <w:r w:rsidR="0080122B" w:rsidRPr="0018095C">
        <w:rPr>
          <w:rFonts w:asciiTheme="minorHAnsi" w:hAnsiTheme="minorHAnsi" w:cstheme="minorHAnsi"/>
        </w:rPr>
        <w:t>ed</w:t>
      </w:r>
      <w:r w:rsidRPr="0018095C">
        <w:rPr>
          <w:rFonts w:asciiTheme="minorHAnsi" w:hAnsiTheme="minorHAnsi" w:cstheme="minorHAnsi"/>
        </w:rPr>
        <w:t xml:space="preserve"> to intensify in </w:t>
      </w:r>
      <w:r w:rsidRPr="0018095C">
        <w:rPr>
          <w:rFonts w:asciiTheme="minorHAnsi" w:hAnsiTheme="minorHAnsi" w:cstheme="minorHAnsi"/>
        </w:rPr>
        <w:lastRenderedPageBreak/>
        <w:t>tandem with US pressures</w:t>
      </w:r>
      <w:r w:rsidR="00D01943" w:rsidRPr="0018095C">
        <w:rPr>
          <w:rFonts w:asciiTheme="minorHAnsi" w:hAnsiTheme="minorHAnsi" w:cstheme="minorHAnsi"/>
        </w:rPr>
        <w:t xml:space="preserve">: </w:t>
      </w:r>
      <w:r w:rsidRPr="0018095C">
        <w:rPr>
          <w:rFonts w:asciiTheme="minorHAnsi" w:hAnsiTheme="minorHAnsi" w:cstheme="minorHAnsi"/>
        </w:rPr>
        <w:t>d</w:t>
      </w:r>
      <w:r w:rsidR="009946AF" w:rsidRPr="0018095C">
        <w:rPr>
          <w:rFonts w:asciiTheme="minorHAnsi" w:hAnsiTheme="minorHAnsi" w:cstheme="minorHAnsi"/>
        </w:rPr>
        <w:t xml:space="preserve">uring </w:t>
      </w:r>
      <w:r w:rsidRPr="0018095C">
        <w:rPr>
          <w:rFonts w:asciiTheme="minorHAnsi" w:hAnsiTheme="minorHAnsi" w:cstheme="minorHAnsi"/>
        </w:rPr>
        <w:t xml:space="preserve">the presidency of </w:t>
      </w:r>
      <w:r w:rsidR="009946AF" w:rsidRPr="0018095C">
        <w:rPr>
          <w:rFonts w:asciiTheme="minorHAnsi" w:hAnsiTheme="minorHAnsi" w:cstheme="minorHAnsi"/>
        </w:rPr>
        <w:t>Mahmoud Ahmadinejad (2005-13)</w:t>
      </w:r>
      <w:r w:rsidR="00D01943" w:rsidRPr="0018095C">
        <w:rPr>
          <w:rFonts w:asciiTheme="minorHAnsi" w:hAnsiTheme="minorHAnsi" w:cstheme="minorHAnsi"/>
        </w:rPr>
        <w:t xml:space="preserve">, when the </w:t>
      </w:r>
      <w:r w:rsidR="00923B8B" w:rsidRPr="0018095C">
        <w:rPr>
          <w:rFonts w:asciiTheme="minorHAnsi" w:hAnsiTheme="minorHAnsi" w:cstheme="minorHAnsi"/>
        </w:rPr>
        <w:t xml:space="preserve">US under the </w:t>
      </w:r>
      <w:r w:rsidR="00D01943" w:rsidRPr="0018095C">
        <w:rPr>
          <w:rFonts w:asciiTheme="minorHAnsi" w:hAnsiTheme="minorHAnsi" w:cstheme="minorHAnsi"/>
        </w:rPr>
        <w:t xml:space="preserve">Obama </w:t>
      </w:r>
      <w:r w:rsidR="00AD216E" w:rsidRPr="007714F1">
        <w:rPr>
          <w:rFonts w:asciiTheme="minorHAnsi" w:hAnsiTheme="minorHAnsi" w:cstheme="minorHAnsi"/>
        </w:rPr>
        <w:t xml:space="preserve">government </w:t>
      </w:r>
      <w:r w:rsidR="00D01943" w:rsidRPr="0018095C">
        <w:rPr>
          <w:rFonts w:asciiTheme="minorHAnsi" w:hAnsiTheme="minorHAnsi" w:cstheme="minorHAnsi"/>
        </w:rPr>
        <w:t>increased sanctions on Iran for its uranium enrichment program,</w:t>
      </w:r>
      <w:r w:rsidRPr="0018095C">
        <w:rPr>
          <w:rFonts w:asciiTheme="minorHAnsi" w:hAnsiTheme="minorHAnsi" w:cstheme="minorHAnsi"/>
        </w:rPr>
        <w:t xml:space="preserve"> and after the 2018 unilateral withdrawal from the </w:t>
      </w:r>
      <w:r w:rsidR="001B4457" w:rsidRPr="0018095C">
        <w:rPr>
          <w:rFonts w:asciiTheme="minorHAnsi" w:hAnsiTheme="minorHAnsi" w:cstheme="minorHAnsi"/>
        </w:rPr>
        <w:t>Iran nuclear agreement (</w:t>
      </w:r>
      <w:r w:rsidRPr="0018095C">
        <w:rPr>
          <w:rFonts w:asciiTheme="minorHAnsi" w:hAnsiTheme="minorHAnsi" w:cstheme="minorHAnsi"/>
        </w:rPr>
        <w:t>JCPOA</w:t>
      </w:r>
      <w:r w:rsidR="001B4457" w:rsidRPr="0018095C">
        <w:rPr>
          <w:rFonts w:asciiTheme="minorHAnsi" w:hAnsiTheme="minorHAnsi" w:cstheme="minorHAnsi"/>
        </w:rPr>
        <w:t>)</w:t>
      </w:r>
      <w:r w:rsidRPr="0018095C">
        <w:rPr>
          <w:rFonts w:asciiTheme="minorHAnsi" w:hAnsiTheme="minorHAnsi" w:cstheme="minorHAnsi"/>
        </w:rPr>
        <w:t xml:space="preserve"> by the Trump</w:t>
      </w:r>
      <w:r w:rsidR="00AD216E">
        <w:rPr>
          <w:rFonts w:asciiTheme="minorHAnsi" w:hAnsiTheme="minorHAnsi" w:cstheme="minorHAnsi"/>
        </w:rPr>
        <w:t xml:space="preserve"> </w:t>
      </w:r>
      <w:r w:rsidR="00AD216E" w:rsidRPr="007714F1">
        <w:rPr>
          <w:rFonts w:asciiTheme="minorHAnsi" w:hAnsiTheme="minorHAnsi" w:cstheme="minorHAnsi"/>
        </w:rPr>
        <w:t>government</w:t>
      </w:r>
      <w:r w:rsidRPr="00AD216E">
        <w:rPr>
          <w:rFonts w:asciiTheme="minorHAnsi" w:hAnsiTheme="minorHAnsi" w:cstheme="minorHAnsi"/>
          <w:color w:val="EE0000"/>
        </w:rPr>
        <w:t xml:space="preserve"> </w:t>
      </w:r>
      <w:r w:rsidRPr="0018095C">
        <w:rPr>
          <w:rFonts w:asciiTheme="minorHAnsi" w:hAnsiTheme="minorHAnsi" w:cstheme="minorHAnsi"/>
        </w:rPr>
        <w:t xml:space="preserve">and its application of </w:t>
      </w:r>
      <w:r w:rsidR="002A424D" w:rsidRPr="0018095C">
        <w:rPr>
          <w:rFonts w:asciiTheme="minorHAnsi" w:hAnsiTheme="minorHAnsi" w:cstheme="minorHAnsi"/>
        </w:rPr>
        <w:t>‘</w:t>
      </w:r>
      <w:r w:rsidRPr="0018095C">
        <w:rPr>
          <w:rFonts w:asciiTheme="minorHAnsi" w:hAnsiTheme="minorHAnsi" w:cstheme="minorHAnsi"/>
        </w:rPr>
        <w:t>maximum pressure</w:t>
      </w:r>
      <w:r w:rsidR="002A424D" w:rsidRPr="0018095C">
        <w:rPr>
          <w:rFonts w:asciiTheme="minorHAnsi" w:hAnsiTheme="minorHAnsi" w:cstheme="minorHAnsi"/>
        </w:rPr>
        <w:t>’</w:t>
      </w:r>
      <w:r w:rsidRPr="0018095C">
        <w:rPr>
          <w:rFonts w:asciiTheme="minorHAnsi" w:hAnsiTheme="minorHAnsi" w:cstheme="minorHAnsi"/>
        </w:rPr>
        <w:t xml:space="preserve"> sanctions. </w:t>
      </w:r>
      <w:r w:rsidR="00923B8B" w:rsidRPr="0018095C">
        <w:rPr>
          <w:rFonts w:asciiTheme="minorHAnsi" w:hAnsiTheme="minorHAnsi" w:cstheme="minorHAnsi"/>
        </w:rPr>
        <w:t>A 2021</w:t>
      </w:r>
      <w:r w:rsidR="00923B8B" w:rsidRPr="0018095C">
        <w:rPr>
          <w:rFonts w:asciiTheme="minorHAnsi" w:hAnsiTheme="minorHAnsi" w:cstheme="minorHAnsi"/>
          <w:color w:val="000000"/>
        </w:rPr>
        <w:t xml:space="preserve"> report by the UN Special Rapporteur on Human Rights raised concerns that sanctions had hindered Iran’s response to COVID-19. The Rapporteur repeated calls by the Secretary-General and High Commissioner for Human Rights for States to at least ease sanctions in support of the fight against COVID-19.</w:t>
      </w:r>
      <w:r w:rsidR="00337BF0" w:rsidRPr="0018095C">
        <w:rPr>
          <w:rStyle w:val="FootnoteReference"/>
          <w:rFonts w:asciiTheme="minorHAnsi" w:hAnsiTheme="minorHAnsi" w:cstheme="minorHAnsi"/>
          <w:color w:val="000000"/>
        </w:rPr>
        <w:footnoteReference w:id="53"/>
      </w:r>
      <w:r w:rsidR="00923B8B" w:rsidRPr="0018095C">
        <w:rPr>
          <w:rFonts w:asciiTheme="minorHAnsi" w:hAnsiTheme="minorHAnsi" w:cstheme="minorHAnsi"/>
          <w:color w:val="000000"/>
        </w:rPr>
        <w:t xml:space="preserve">  </w:t>
      </w:r>
    </w:p>
    <w:p w14:paraId="56EAD149" w14:textId="77777777" w:rsidR="00681F3A" w:rsidRPr="0018095C" w:rsidRDefault="00681F3A"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rPr>
      </w:pPr>
    </w:p>
    <w:p w14:paraId="193F5249" w14:textId="10B3755B" w:rsidR="004874B5" w:rsidRPr="0018095C" w:rsidRDefault="004874B5" w:rsidP="00D67707">
      <w:pPr>
        <w:pStyle w:val="NormalWeb"/>
        <w:shd w:val="clear" w:color="auto" w:fill="FFFFFF"/>
        <w:spacing w:before="0" w:beforeAutospacing="0" w:after="0" w:afterAutospacing="0"/>
        <w:jc w:val="both"/>
        <w:textAlignment w:val="baseline"/>
        <w:rPr>
          <w:rFonts w:asciiTheme="minorHAnsi" w:hAnsiTheme="minorHAnsi" w:cstheme="minorHAnsi"/>
          <w:shd w:val="clear" w:color="auto" w:fill="FFFFFF"/>
        </w:rPr>
      </w:pPr>
      <w:r w:rsidRPr="0018095C">
        <w:rPr>
          <w:rFonts w:asciiTheme="minorHAnsi" w:hAnsiTheme="minorHAnsi" w:cstheme="minorHAnsi"/>
          <w:shd w:val="clear" w:color="auto" w:fill="FFFFFF"/>
        </w:rPr>
        <w:t>D</w:t>
      </w:r>
      <w:r w:rsidRPr="0018095C">
        <w:rPr>
          <w:rFonts w:asciiTheme="minorHAnsi" w:hAnsiTheme="minorHAnsi" w:cstheme="minorHAnsi"/>
        </w:rPr>
        <w:t>espite Iran’s high healthcare spending</w:t>
      </w:r>
      <w:bookmarkStart w:id="2" w:name="_Hlk139875103"/>
      <w:r w:rsidR="004B2D14" w:rsidRPr="0018095C">
        <w:rPr>
          <w:rFonts w:asciiTheme="minorHAnsi" w:hAnsiTheme="minorHAnsi" w:cstheme="minorHAnsi"/>
        </w:rPr>
        <w:t>,</w:t>
      </w:r>
      <w:r w:rsidRPr="0018095C">
        <w:rPr>
          <w:rFonts w:asciiTheme="minorHAnsi" w:hAnsiTheme="minorHAnsi" w:cstheme="minorHAnsi"/>
        </w:rPr>
        <w:t xml:space="preserve"> sanctions have</w:t>
      </w:r>
      <w:r w:rsidR="004631ED">
        <w:rPr>
          <w:rFonts w:asciiTheme="minorHAnsi" w:hAnsiTheme="minorHAnsi" w:cstheme="minorHAnsi"/>
        </w:rPr>
        <w:t xml:space="preserve"> adversely affected</w:t>
      </w:r>
      <w:r w:rsidR="007C68BE">
        <w:rPr>
          <w:rFonts w:asciiTheme="minorHAnsi" w:hAnsiTheme="minorHAnsi" w:cstheme="minorHAnsi"/>
        </w:rPr>
        <w:t xml:space="preserve"> </w:t>
      </w:r>
      <w:r w:rsidRPr="0018095C">
        <w:rPr>
          <w:rFonts w:asciiTheme="minorHAnsi" w:hAnsiTheme="minorHAnsi" w:cstheme="minorHAnsi"/>
        </w:rPr>
        <w:t>medical education, clinical training, and international exchanges</w:t>
      </w:r>
      <w:r w:rsidR="002A424D" w:rsidRPr="0018095C">
        <w:rPr>
          <w:rFonts w:asciiTheme="minorHAnsi" w:hAnsiTheme="minorHAnsi" w:cstheme="minorHAnsi"/>
        </w:rPr>
        <w:t xml:space="preserve"> </w:t>
      </w:r>
      <w:r w:rsidRPr="0018095C">
        <w:rPr>
          <w:rFonts w:asciiTheme="minorHAnsi" w:hAnsiTheme="minorHAnsi" w:cstheme="minorHAnsi"/>
        </w:rPr>
        <w:t>as well as cancer care.</w:t>
      </w:r>
      <w:r w:rsidR="00337BF0" w:rsidRPr="0018095C">
        <w:rPr>
          <w:rStyle w:val="FootnoteReference"/>
          <w:rFonts w:asciiTheme="minorHAnsi" w:hAnsiTheme="minorHAnsi" w:cstheme="minorHAnsi"/>
        </w:rPr>
        <w:footnoteReference w:id="54"/>
      </w:r>
      <w:r w:rsidRPr="0018095C">
        <w:rPr>
          <w:rFonts w:asciiTheme="minorHAnsi" w:hAnsiTheme="minorHAnsi" w:cstheme="minorHAnsi"/>
        </w:rPr>
        <w:t xml:space="preserve"> M</w:t>
      </w:r>
      <w:r w:rsidRPr="0018095C">
        <w:rPr>
          <w:rFonts w:asciiTheme="minorHAnsi" w:hAnsiTheme="minorHAnsi" w:cstheme="minorHAnsi"/>
          <w:bCs/>
          <w:color w:val="000000"/>
        </w:rPr>
        <w:t>edical researchers write that ‘Iran’s inability to export oil … resulted in a reduction in the country’s research budget’, including research and treatment for COVID-19.</w:t>
      </w:r>
      <w:r w:rsidR="004631ED">
        <w:rPr>
          <w:rStyle w:val="FootnoteReference"/>
          <w:rFonts w:asciiTheme="minorHAnsi" w:hAnsiTheme="minorHAnsi" w:cstheme="minorHAnsi"/>
          <w:bCs/>
          <w:color w:val="000000"/>
        </w:rPr>
        <w:footnoteReference w:id="55"/>
      </w:r>
      <w:r w:rsidRPr="0018095C">
        <w:rPr>
          <w:rFonts w:asciiTheme="minorHAnsi" w:hAnsiTheme="minorHAnsi" w:cstheme="minorHAnsi"/>
          <w:bCs/>
          <w:color w:val="000000"/>
        </w:rPr>
        <w:t xml:space="preserve"> As </w:t>
      </w:r>
      <w:bookmarkEnd w:id="2"/>
      <w:r w:rsidRPr="0018095C">
        <w:rPr>
          <w:rFonts w:asciiTheme="minorHAnsi" w:hAnsiTheme="minorHAnsi" w:cstheme="minorHAnsi"/>
          <w:bCs/>
          <w:color w:val="000000"/>
        </w:rPr>
        <w:t>Salehi-Isfahani wrote: ‘Rather than easing sanctions to help Iran manage the pandemic better, … the US piled on more sanctions.’</w:t>
      </w:r>
      <w:r w:rsidR="004D3A5C" w:rsidRPr="0018095C">
        <w:rPr>
          <w:rStyle w:val="FootnoteReference"/>
          <w:rFonts w:asciiTheme="minorHAnsi" w:hAnsiTheme="minorHAnsi" w:cstheme="minorHAnsi"/>
          <w:bCs/>
          <w:color w:val="000000"/>
        </w:rPr>
        <w:footnoteReference w:id="56"/>
      </w:r>
      <w:r w:rsidRPr="0018095C">
        <w:rPr>
          <w:rFonts w:asciiTheme="minorHAnsi" w:hAnsiTheme="minorHAnsi" w:cstheme="minorHAnsi"/>
          <w:bCs/>
          <w:color w:val="000000"/>
        </w:rPr>
        <w:t xml:space="preserve"> L</w:t>
      </w:r>
      <w:r w:rsidRPr="0018095C">
        <w:rPr>
          <w:rFonts w:asciiTheme="minorHAnsi" w:hAnsiTheme="minorHAnsi" w:cstheme="minorHAnsi"/>
        </w:rPr>
        <w:t xml:space="preserve">ack of access to financial markets and shortage of foreign exchange worsened Iran’s health crisis, and many healthcare workers – including the many women who work in the healthcare sector – lost their lives to the pandemic. US secondary sanctions prevented Iran from accessing its foreign exchange reserves held in foreign banks to buy medical supplies or import other essential goods. Some USD 100 billion of Iran’s money remained frozen in overseas banks, including </w:t>
      </w:r>
      <w:r w:rsidR="00E6192A">
        <w:rPr>
          <w:rFonts w:asciiTheme="minorHAnsi" w:hAnsiTheme="minorHAnsi" w:cstheme="minorHAnsi"/>
        </w:rPr>
        <w:t xml:space="preserve">USD </w:t>
      </w:r>
      <w:r w:rsidRPr="0018095C">
        <w:rPr>
          <w:rFonts w:asciiTheme="minorHAnsi" w:hAnsiTheme="minorHAnsi" w:cstheme="minorHAnsi"/>
        </w:rPr>
        <w:t>10 billion held in the US</w:t>
      </w:r>
      <w:r w:rsidR="00B42ADC">
        <w:rPr>
          <w:rFonts w:asciiTheme="minorHAnsi" w:hAnsiTheme="minorHAnsi" w:cstheme="minorHAnsi"/>
        </w:rPr>
        <w:t>.</w:t>
      </w:r>
      <w:r w:rsidR="004D3A5C" w:rsidRPr="0018095C">
        <w:rPr>
          <w:rStyle w:val="FootnoteReference"/>
          <w:rFonts w:asciiTheme="minorHAnsi" w:hAnsiTheme="minorHAnsi" w:cstheme="minorHAnsi"/>
        </w:rPr>
        <w:footnoteReference w:id="57"/>
      </w:r>
      <w:r w:rsidRPr="0018095C">
        <w:rPr>
          <w:rFonts w:asciiTheme="minorHAnsi" w:hAnsiTheme="minorHAnsi" w:cstheme="minorHAnsi"/>
        </w:rPr>
        <w:t xml:space="preserve"> Iran’s request of </w:t>
      </w:r>
      <w:r w:rsidR="00E6192A">
        <w:rPr>
          <w:rFonts w:asciiTheme="minorHAnsi" w:hAnsiTheme="minorHAnsi" w:cstheme="minorHAnsi"/>
        </w:rPr>
        <w:t>USD</w:t>
      </w:r>
      <w:r w:rsidR="00191128">
        <w:rPr>
          <w:rFonts w:asciiTheme="minorHAnsi" w:hAnsiTheme="minorHAnsi" w:cstheme="minorHAnsi"/>
        </w:rPr>
        <w:t xml:space="preserve"> </w:t>
      </w:r>
      <w:r w:rsidRPr="0018095C">
        <w:rPr>
          <w:rFonts w:asciiTheme="minorHAnsi" w:hAnsiTheme="minorHAnsi" w:cstheme="minorHAnsi"/>
        </w:rPr>
        <w:t>5 b</w:t>
      </w:r>
      <w:r w:rsidR="00E6192A">
        <w:rPr>
          <w:rFonts w:asciiTheme="minorHAnsi" w:hAnsiTheme="minorHAnsi" w:cstheme="minorHAnsi"/>
        </w:rPr>
        <w:t>illio</w:t>
      </w:r>
      <w:r w:rsidRPr="0018095C">
        <w:rPr>
          <w:rFonts w:asciiTheme="minorHAnsi" w:hAnsiTheme="minorHAnsi" w:cstheme="minorHAnsi"/>
        </w:rPr>
        <w:t xml:space="preserve">n from </w:t>
      </w:r>
      <w:r w:rsidR="00294AC8">
        <w:rPr>
          <w:rFonts w:asciiTheme="minorHAnsi" w:hAnsiTheme="minorHAnsi" w:cstheme="minorHAnsi"/>
        </w:rPr>
        <w:t xml:space="preserve">the </w:t>
      </w:r>
      <w:r w:rsidRPr="0018095C">
        <w:rPr>
          <w:rFonts w:asciiTheme="minorHAnsi" w:hAnsiTheme="minorHAnsi" w:cstheme="minorHAnsi"/>
        </w:rPr>
        <w:t>IMF – its first loan request since the 1960s – was opposed by the US</w:t>
      </w:r>
      <w:r w:rsidR="00B42ADC">
        <w:rPr>
          <w:rFonts w:asciiTheme="minorHAnsi" w:hAnsiTheme="minorHAnsi" w:cstheme="minorHAnsi"/>
        </w:rPr>
        <w:t>.</w:t>
      </w:r>
      <w:r w:rsidRPr="0018095C">
        <w:rPr>
          <w:rStyle w:val="FootnoteReference"/>
          <w:rFonts w:asciiTheme="minorHAnsi" w:hAnsiTheme="minorHAnsi" w:cstheme="minorHAnsi"/>
        </w:rPr>
        <w:footnoteReference w:id="58"/>
      </w:r>
      <w:r w:rsidRPr="0018095C">
        <w:rPr>
          <w:rFonts w:asciiTheme="minorHAnsi" w:hAnsiTheme="minorHAnsi" w:cstheme="minorHAnsi"/>
        </w:rPr>
        <w:t xml:space="preserve"> </w:t>
      </w:r>
      <w:r w:rsidRPr="0018095C">
        <w:rPr>
          <w:rFonts w:asciiTheme="minorHAnsi" w:hAnsiTheme="minorHAnsi" w:cstheme="minorHAnsi"/>
          <w:shd w:val="clear" w:color="auto" w:fill="FFFFFF"/>
        </w:rPr>
        <w:t xml:space="preserve">COVID-19 hit Iran hard, and many Iranian citizens came to blame the regime for mismanaging the pandemic and the economy. </w:t>
      </w:r>
    </w:p>
    <w:p w14:paraId="5C7AA37E" w14:textId="77777777" w:rsidR="00681F3A" w:rsidRPr="0018095C" w:rsidRDefault="00681F3A" w:rsidP="00D67707">
      <w:pPr>
        <w:pStyle w:val="NormalWeb"/>
        <w:shd w:val="clear" w:color="auto" w:fill="FFFFFF"/>
        <w:spacing w:before="0" w:beforeAutospacing="0" w:after="0" w:afterAutospacing="0"/>
        <w:jc w:val="both"/>
        <w:textAlignment w:val="baseline"/>
        <w:rPr>
          <w:rFonts w:asciiTheme="minorHAnsi" w:hAnsiTheme="minorHAnsi" w:cstheme="minorHAnsi"/>
        </w:rPr>
      </w:pPr>
    </w:p>
    <w:p w14:paraId="50341DCB" w14:textId="2F454CAC" w:rsidR="0094734C" w:rsidRPr="0018095C" w:rsidRDefault="004874B5"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r w:rsidRPr="0018095C">
        <w:rPr>
          <w:rFonts w:asciiTheme="minorHAnsi" w:hAnsiTheme="minorHAnsi" w:cstheme="minorHAnsi"/>
          <w:bCs/>
          <w:color w:val="000000"/>
        </w:rPr>
        <w:t xml:space="preserve">The </w:t>
      </w:r>
      <w:r w:rsidR="0094734C" w:rsidRPr="0018095C">
        <w:rPr>
          <w:rFonts w:asciiTheme="minorHAnsi" w:hAnsiTheme="minorHAnsi" w:cstheme="minorHAnsi"/>
          <w:bCs/>
          <w:color w:val="000000"/>
        </w:rPr>
        <w:t xml:space="preserve">intensity of US sanctions on Iran </w:t>
      </w:r>
      <w:r w:rsidRPr="0018095C">
        <w:rPr>
          <w:rFonts w:asciiTheme="minorHAnsi" w:hAnsiTheme="minorHAnsi" w:cstheme="minorHAnsi"/>
          <w:bCs/>
          <w:color w:val="000000"/>
        </w:rPr>
        <w:t xml:space="preserve">and their effects </w:t>
      </w:r>
      <w:r w:rsidR="00C608A2" w:rsidRPr="0018095C">
        <w:rPr>
          <w:rFonts w:asciiTheme="minorHAnsi" w:hAnsiTheme="minorHAnsi" w:cstheme="minorHAnsi"/>
          <w:bCs/>
          <w:color w:val="000000"/>
        </w:rPr>
        <w:t xml:space="preserve">has </w:t>
      </w:r>
      <w:r w:rsidR="0094734C" w:rsidRPr="0018095C">
        <w:rPr>
          <w:rFonts w:asciiTheme="minorHAnsi" w:hAnsiTheme="minorHAnsi" w:cstheme="minorHAnsi"/>
          <w:bCs/>
          <w:color w:val="000000"/>
        </w:rPr>
        <w:t xml:space="preserve">included </w:t>
      </w:r>
      <w:r w:rsidRPr="0018095C">
        <w:rPr>
          <w:rFonts w:asciiTheme="minorHAnsi" w:hAnsiTheme="minorHAnsi" w:cstheme="minorHAnsi"/>
          <w:bCs/>
          <w:color w:val="000000"/>
        </w:rPr>
        <w:t xml:space="preserve">price distortions, a decline in real expenditures of households, </w:t>
      </w:r>
      <w:r w:rsidR="0094734C" w:rsidRPr="0018095C">
        <w:rPr>
          <w:rFonts w:asciiTheme="minorHAnsi" w:hAnsiTheme="minorHAnsi" w:cstheme="minorHAnsi"/>
          <w:bCs/>
          <w:color w:val="000000"/>
        </w:rPr>
        <w:t xml:space="preserve">growing poverty, and </w:t>
      </w:r>
      <w:r w:rsidRPr="0018095C">
        <w:rPr>
          <w:rFonts w:asciiTheme="minorHAnsi" w:hAnsiTheme="minorHAnsi" w:cstheme="minorHAnsi"/>
          <w:bCs/>
          <w:color w:val="000000"/>
        </w:rPr>
        <w:t xml:space="preserve">rising income inequality. </w:t>
      </w:r>
      <w:r w:rsidR="0094734C" w:rsidRPr="0018095C">
        <w:rPr>
          <w:rFonts w:asciiTheme="minorHAnsi" w:hAnsiTheme="minorHAnsi" w:cstheme="minorHAnsi"/>
          <w:bCs/>
          <w:color w:val="000000"/>
        </w:rPr>
        <w:t xml:space="preserve">Indeed, </w:t>
      </w:r>
      <w:r w:rsidR="0094734C" w:rsidRPr="0018095C">
        <w:rPr>
          <w:rFonts w:asciiTheme="minorHAnsi" w:hAnsiTheme="minorHAnsi" w:cstheme="minorHAnsi"/>
        </w:rPr>
        <w:t>Iran’s poverty rate rose from 10.7% in 2013 to 17.8% in 2019</w:t>
      </w:r>
      <w:r w:rsidR="00E454C8" w:rsidRPr="0018095C">
        <w:rPr>
          <w:rFonts w:asciiTheme="minorHAnsi" w:hAnsiTheme="minorHAnsi" w:cstheme="minorHAnsi"/>
        </w:rPr>
        <w:t>. According to a World Bank report, up until 2010, Iran had ‘achieved remarkable progress in terms of poverty reduction and human development’, but between 2011 and 2020, the share of Iranians living below the international poverty line increased from 20% to 28.1</w:t>
      </w:r>
      <w:r w:rsidR="00847A96">
        <w:rPr>
          <w:rFonts w:asciiTheme="minorHAnsi" w:hAnsiTheme="minorHAnsi" w:cstheme="minorHAnsi"/>
        </w:rPr>
        <w:t>%</w:t>
      </w:r>
      <w:r w:rsidR="0094734C" w:rsidRPr="0018095C">
        <w:rPr>
          <w:rFonts w:asciiTheme="minorHAnsi" w:hAnsiTheme="minorHAnsi" w:cstheme="minorHAnsi"/>
        </w:rPr>
        <w:t>.</w:t>
      </w:r>
      <w:r w:rsidR="0094734C" w:rsidRPr="0018095C">
        <w:rPr>
          <w:rFonts w:asciiTheme="minorHAnsi" w:hAnsiTheme="minorHAnsi" w:cstheme="minorHAnsi"/>
          <w:vertAlign w:val="superscript"/>
        </w:rPr>
        <w:footnoteReference w:id="59"/>
      </w:r>
      <w:r w:rsidR="0094734C" w:rsidRPr="0018095C">
        <w:rPr>
          <w:rFonts w:asciiTheme="minorHAnsi" w:hAnsiTheme="minorHAnsi" w:cstheme="minorHAnsi"/>
        </w:rPr>
        <w:t xml:space="preserve"> </w:t>
      </w:r>
      <w:r w:rsidR="0094734C" w:rsidRPr="0018095C">
        <w:rPr>
          <w:rFonts w:asciiTheme="minorHAnsi" w:hAnsiTheme="minorHAnsi" w:cstheme="minorHAnsi"/>
          <w:color w:val="000000" w:themeColor="text1"/>
        </w:rPr>
        <w:t>Following a 50% fuel price hike, protests broke out in 2018-2019 but were harshly repressed.</w:t>
      </w:r>
    </w:p>
    <w:p w14:paraId="073A7582" w14:textId="77777777" w:rsidR="00681F3A" w:rsidRPr="0018095C" w:rsidRDefault="00681F3A"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14:paraId="2D447D22" w14:textId="50814F04" w:rsidR="004874B5" w:rsidRPr="0018095C" w:rsidRDefault="0094734C" w:rsidP="00D67707">
      <w:pPr>
        <w:pStyle w:val="NormalWeb"/>
        <w:shd w:val="clear" w:color="auto" w:fill="FFFFFF"/>
        <w:spacing w:before="0" w:beforeAutospacing="0" w:after="0" w:afterAutospacing="0"/>
        <w:jc w:val="both"/>
        <w:textAlignment w:val="baseline"/>
        <w:rPr>
          <w:rFonts w:asciiTheme="minorHAnsi" w:hAnsiTheme="minorHAnsi" w:cstheme="minorHAnsi"/>
          <w:bCs/>
          <w:color w:val="000000"/>
        </w:rPr>
      </w:pPr>
      <w:r w:rsidRPr="0018095C">
        <w:rPr>
          <w:rFonts w:asciiTheme="minorHAnsi" w:hAnsiTheme="minorHAnsi" w:cstheme="minorHAnsi"/>
          <w:bCs/>
          <w:color w:val="000000"/>
        </w:rPr>
        <w:t xml:space="preserve">Sanctions have affected Iranian women’s </w:t>
      </w:r>
      <w:proofErr w:type="spellStart"/>
      <w:r w:rsidRPr="0018095C">
        <w:rPr>
          <w:rFonts w:asciiTheme="minorHAnsi" w:hAnsiTheme="minorHAnsi" w:cstheme="minorHAnsi"/>
          <w:bCs/>
          <w:color w:val="000000"/>
        </w:rPr>
        <w:t>labour</w:t>
      </w:r>
      <w:proofErr w:type="spellEnd"/>
      <w:r w:rsidRPr="0018095C">
        <w:rPr>
          <w:rFonts w:asciiTheme="minorHAnsi" w:hAnsiTheme="minorHAnsi" w:cstheme="minorHAnsi"/>
          <w:bCs/>
          <w:color w:val="000000"/>
        </w:rPr>
        <w:t xml:space="preserve"> force participation, which was low to begin with. </w:t>
      </w:r>
      <w:r w:rsidRPr="0018095C">
        <w:rPr>
          <w:rFonts w:asciiTheme="minorHAnsi" w:hAnsiTheme="minorHAnsi" w:cstheme="minorHAnsi"/>
        </w:rPr>
        <w:t xml:space="preserve">The onset of austerities that accompanied </w:t>
      </w:r>
      <w:r w:rsidR="003037CF" w:rsidRPr="0018095C">
        <w:rPr>
          <w:rFonts w:asciiTheme="minorHAnsi" w:hAnsiTheme="minorHAnsi" w:cstheme="minorHAnsi"/>
        </w:rPr>
        <w:t>the sanctions</w:t>
      </w:r>
      <w:r w:rsidRPr="0018095C">
        <w:rPr>
          <w:rFonts w:asciiTheme="minorHAnsi" w:hAnsiTheme="minorHAnsi" w:cstheme="minorHAnsi"/>
        </w:rPr>
        <w:t xml:space="preserve"> pressures led to a steady decline in Iranian women’s </w:t>
      </w:r>
      <w:proofErr w:type="spellStart"/>
      <w:r w:rsidRPr="0018095C">
        <w:rPr>
          <w:rFonts w:asciiTheme="minorHAnsi" w:hAnsiTheme="minorHAnsi" w:cstheme="minorHAnsi"/>
          <w:iCs/>
        </w:rPr>
        <w:t>labour</w:t>
      </w:r>
      <w:proofErr w:type="spellEnd"/>
      <w:r w:rsidRPr="0018095C">
        <w:rPr>
          <w:rFonts w:asciiTheme="minorHAnsi" w:hAnsiTheme="minorHAnsi" w:cstheme="minorHAnsi"/>
          <w:iCs/>
        </w:rPr>
        <w:t xml:space="preserve">-force participation from a high of 19.5% in 2005 to 15.8% in 2021. </w:t>
      </w:r>
      <w:r w:rsidRPr="0018095C">
        <w:rPr>
          <w:rFonts w:asciiTheme="minorHAnsi" w:hAnsiTheme="minorHAnsi" w:cstheme="minorHAnsi"/>
          <w:bCs/>
          <w:color w:val="000000"/>
        </w:rPr>
        <w:t>Moghaddasi-</w:t>
      </w:r>
      <w:proofErr w:type="spellStart"/>
      <w:r w:rsidRPr="0018095C">
        <w:rPr>
          <w:rFonts w:asciiTheme="minorHAnsi" w:hAnsiTheme="minorHAnsi" w:cstheme="minorHAnsi"/>
        </w:rPr>
        <w:t>Kelishomi</w:t>
      </w:r>
      <w:proofErr w:type="spellEnd"/>
      <w:r w:rsidRPr="0018095C">
        <w:rPr>
          <w:rFonts w:asciiTheme="minorHAnsi" w:hAnsiTheme="minorHAnsi" w:cstheme="minorHAnsi"/>
        </w:rPr>
        <w:t xml:space="preserve"> and </w:t>
      </w:r>
      <w:proofErr w:type="spellStart"/>
      <w:r w:rsidRPr="0018095C">
        <w:rPr>
          <w:rFonts w:asciiTheme="minorHAnsi" w:hAnsiTheme="minorHAnsi" w:cstheme="minorHAnsi"/>
        </w:rPr>
        <w:t>Nisticò</w:t>
      </w:r>
      <w:proofErr w:type="spellEnd"/>
      <w:r w:rsidRPr="0018095C">
        <w:rPr>
          <w:rFonts w:asciiTheme="minorHAnsi" w:hAnsiTheme="minorHAnsi" w:cstheme="minorHAnsi"/>
        </w:rPr>
        <w:t xml:space="preserve"> found that 17,731 new jobs would have been created between 2012-2014 had the 2012 sanctions not occurred.</w:t>
      </w:r>
      <w:r w:rsidRPr="0018095C">
        <w:rPr>
          <w:rStyle w:val="FootnoteReference"/>
          <w:rFonts w:asciiTheme="minorHAnsi" w:hAnsiTheme="minorHAnsi" w:cstheme="minorHAnsi"/>
        </w:rPr>
        <w:footnoteReference w:id="60"/>
      </w:r>
      <w:r w:rsidRPr="0018095C">
        <w:rPr>
          <w:rFonts w:asciiTheme="minorHAnsi" w:hAnsiTheme="minorHAnsi" w:cstheme="minorHAnsi"/>
        </w:rPr>
        <w:t xml:space="preserve"> Laudati and </w:t>
      </w:r>
      <w:proofErr w:type="spellStart"/>
      <w:r w:rsidRPr="0018095C">
        <w:rPr>
          <w:rFonts w:asciiTheme="minorHAnsi" w:hAnsiTheme="minorHAnsi" w:cstheme="minorHAnsi"/>
        </w:rPr>
        <w:t>Pesaran</w:t>
      </w:r>
      <w:proofErr w:type="spellEnd"/>
      <w:r w:rsidRPr="0018095C">
        <w:rPr>
          <w:rFonts w:asciiTheme="minorHAnsi" w:hAnsiTheme="minorHAnsi" w:cstheme="minorHAnsi"/>
        </w:rPr>
        <w:t xml:space="preserve"> note that s</w:t>
      </w:r>
      <w:r w:rsidR="004874B5" w:rsidRPr="0018095C">
        <w:rPr>
          <w:rFonts w:asciiTheme="minorHAnsi" w:hAnsiTheme="minorHAnsi" w:cstheme="minorHAnsi"/>
          <w:bCs/>
          <w:color w:val="000000"/>
        </w:rPr>
        <w:t xml:space="preserve">econdary schooling took a hit, with ‘statistically significant negative effects on the ratio of female-to-male </w:t>
      </w:r>
      <w:proofErr w:type="gramStart"/>
      <w:r w:rsidR="004874B5" w:rsidRPr="0018095C">
        <w:rPr>
          <w:rFonts w:asciiTheme="minorHAnsi" w:hAnsiTheme="minorHAnsi" w:cstheme="minorHAnsi"/>
          <w:bCs/>
          <w:color w:val="000000"/>
        </w:rPr>
        <w:t>students’</w:t>
      </w:r>
      <w:proofErr w:type="gramEnd"/>
      <w:r w:rsidR="004874B5" w:rsidRPr="0018095C">
        <w:rPr>
          <w:rFonts w:asciiTheme="minorHAnsi" w:hAnsiTheme="minorHAnsi" w:cstheme="minorHAnsi"/>
          <w:bCs/>
          <w:color w:val="000000"/>
        </w:rPr>
        <w:t>. The</w:t>
      </w:r>
      <w:r w:rsidR="001F0572" w:rsidRPr="0018095C">
        <w:rPr>
          <w:rFonts w:asciiTheme="minorHAnsi" w:hAnsiTheme="minorHAnsi" w:cstheme="minorHAnsi"/>
          <w:bCs/>
          <w:color w:val="000000"/>
        </w:rPr>
        <w:t xml:space="preserve">y </w:t>
      </w:r>
      <w:r w:rsidR="004874B5" w:rsidRPr="0018095C">
        <w:rPr>
          <w:rFonts w:asciiTheme="minorHAnsi" w:hAnsiTheme="minorHAnsi" w:cstheme="minorHAnsi"/>
          <w:bCs/>
          <w:color w:val="000000"/>
        </w:rPr>
        <w:t>conjecture that government responses to sanctions-induced reductions in oil income were accompanied by ‘budgetary allocations away from education and female participation’.</w:t>
      </w:r>
      <w:r w:rsidR="00076C4B">
        <w:rPr>
          <w:rStyle w:val="FootnoteReference"/>
          <w:rFonts w:asciiTheme="minorHAnsi" w:hAnsiTheme="minorHAnsi" w:cstheme="minorHAnsi"/>
          <w:bCs/>
          <w:color w:val="000000"/>
        </w:rPr>
        <w:footnoteReference w:id="61"/>
      </w:r>
      <w:r w:rsidR="004874B5" w:rsidRPr="0018095C">
        <w:rPr>
          <w:rFonts w:asciiTheme="minorHAnsi" w:hAnsiTheme="minorHAnsi" w:cstheme="minorHAnsi"/>
          <w:bCs/>
          <w:color w:val="000000"/>
        </w:rPr>
        <w:t xml:space="preserve"> Demir and </w:t>
      </w:r>
      <w:proofErr w:type="spellStart"/>
      <w:r w:rsidR="004874B5" w:rsidRPr="0018095C">
        <w:rPr>
          <w:rFonts w:asciiTheme="minorHAnsi" w:hAnsiTheme="minorHAnsi" w:cstheme="minorHAnsi"/>
          <w:bCs/>
          <w:color w:val="000000"/>
        </w:rPr>
        <w:t>Tabrizy</w:t>
      </w:r>
      <w:proofErr w:type="spellEnd"/>
      <w:r w:rsidR="004874B5" w:rsidRPr="0018095C">
        <w:rPr>
          <w:rFonts w:asciiTheme="minorHAnsi" w:hAnsiTheme="minorHAnsi" w:cstheme="minorHAnsi"/>
          <w:bCs/>
          <w:color w:val="000000"/>
        </w:rPr>
        <w:t xml:space="preserve"> add that </w:t>
      </w:r>
      <w:r w:rsidR="002A424D" w:rsidRPr="0018095C">
        <w:rPr>
          <w:rFonts w:asciiTheme="minorHAnsi" w:hAnsiTheme="minorHAnsi" w:cstheme="minorHAnsi"/>
          <w:bCs/>
          <w:color w:val="000000"/>
        </w:rPr>
        <w:t>‘</w:t>
      </w:r>
      <w:r w:rsidR="004874B5" w:rsidRPr="0018095C">
        <w:rPr>
          <w:rFonts w:asciiTheme="minorHAnsi" w:hAnsiTheme="minorHAnsi" w:cstheme="minorHAnsi"/>
          <w:bCs/>
          <w:color w:val="000000"/>
        </w:rPr>
        <w:t>sanctions hurt female employment significantly more than male employment</w:t>
      </w:r>
      <w:r w:rsidR="002A424D" w:rsidRPr="0018095C">
        <w:rPr>
          <w:rFonts w:asciiTheme="minorHAnsi" w:hAnsiTheme="minorHAnsi" w:cstheme="minorHAnsi"/>
          <w:bCs/>
          <w:color w:val="000000"/>
        </w:rPr>
        <w:t>’</w:t>
      </w:r>
      <w:r w:rsidR="004874B5" w:rsidRPr="0018095C">
        <w:rPr>
          <w:rFonts w:asciiTheme="minorHAnsi" w:hAnsiTheme="minorHAnsi" w:cstheme="minorHAnsi"/>
          <w:bCs/>
          <w:color w:val="000000"/>
        </w:rPr>
        <w:t xml:space="preserve">, particularly </w:t>
      </w:r>
      <w:r w:rsidR="002A424D" w:rsidRPr="0018095C">
        <w:rPr>
          <w:rFonts w:asciiTheme="minorHAnsi" w:hAnsiTheme="minorHAnsi" w:cstheme="minorHAnsi"/>
          <w:bCs/>
          <w:color w:val="000000"/>
        </w:rPr>
        <w:t>‘</w:t>
      </w:r>
      <w:r w:rsidR="004874B5" w:rsidRPr="0018095C">
        <w:rPr>
          <w:rFonts w:asciiTheme="minorHAnsi" w:hAnsiTheme="minorHAnsi" w:cstheme="minorHAnsi"/>
          <w:bCs/>
          <w:color w:val="000000"/>
        </w:rPr>
        <w:t>in industries with relatively high reliance on imported inputs</w:t>
      </w:r>
      <w:r w:rsidR="002A424D" w:rsidRPr="0018095C">
        <w:rPr>
          <w:rFonts w:asciiTheme="minorHAnsi" w:hAnsiTheme="minorHAnsi" w:cstheme="minorHAnsi"/>
          <w:bCs/>
          <w:color w:val="000000"/>
        </w:rPr>
        <w:t>’</w:t>
      </w:r>
      <w:r w:rsidR="004874B5" w:rsidRPr="0018095C">
        <w:rPr>
          <w:rFonts w:asciiTheme="minorHAnsi" w:hAnsiTheme="minorHAnsi" w:cstheme="minorHAnsi"/>
          <w:bCs/>
          <w:color w:val="000000"/>
        </w:rPr>
        <w:t>.</w:t>
      </w:r>
      <w:r w:rsidR="001F0572" w:rsidRPr="0018095C">
        <w:rPr>
          <w:rStyle w:val="FootnoteReference"/>
          <w:rFonts w:asciiTheme="minorHAnsi" w:hAnsiTheme="minorHAnsi" w:cstheme="minorHAnsi"/>
          <w:bCs/>
          <w:color w:val="000000"/>
        </w:rPr>
        <w:t xml:space="preserve"> </w:t>
      </w:r>
      <w:r w:rsidR="001F0572" w:rsidRPr="0018095C">
        <w:rPr>
          <w:rStyle w:val="FootnoteReference"/>
          <w:rFonts w:asciiTheme="minorHAnsi" w:hAnsiTheme="minorHAnsi" w:cstheme="minorHAnsi"/>
          <w:bCs/>
          <w:color w:val="000000"/>
        </w:rPr>
        <w:footnoteReference w:id="62"/>
      </w:r>
    </w:p>
    <w:p w14:paraId="71EE2199" w14:textId="77777777" w:rsidR="00681F3A" w:rsidRPr="0018095C" w:rsidRDefault="00681F3A"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themeColor="text1"/>
        </w:rPr>
      </w:pPr>
    </w:p>
    <w:p w14:paraId="7D9F5A69" w14:textId="229B2B50" w:rsidR="003C1A7F" w:rsidRPr="0018095C" w:rsidRDefault="0032115C" w:rsidP="00D67707">
      <w:pPr>
        <w:pStyle w:val="NormalWeb"/>
        <w:spacing w:before="0" w:beforeAutospacing="0" w:after="0" w:afterAutospacing="0"/>
        <w:jc w:val="both"/>
        <w:rPr>
          <w:rFonts w:asciiTheme="minorHAnsi" w:hAnsiTheme="minorHAnsi" w:cstheme="minorHAnsi"/>
          <w:color w:val="000000" w:themeColor="text1"/>
        </w:rPr>
      </w:pPr>
      <w:r w:rsidRPr="0018095C">
        <w:rPr>
          <w:rFonts w:asciiTheme="minorHAnsi" w:hAnsiTheme="minorHAnsi" w:cstheme="minorHAnsi"/>
          <w:color w:val="000000" w:themeColor="text1"/>
        </w:rPr>
        <w:t>Sanctions, austerities</w:t>
      </w:r>
      <w:r w:rsidR="000F69D3" w:rsidRPr="0018095C">
        <w:rPr>
          <w:rFonts w:asciiTheme="minorHAnsi" w:hAnsiTheme="minorHAnsi" w:cstheme="minorHAnsi"/>
          <w:color w:val="000000" w:themeColor="text1"/>
        </w:rPr>
        <w:t>,</w:t>
      </w:r>
      <w:r w:rsidRPr="0018095C">
        <w:rPr>
          <w:rFonts w:asciiTheme="minorHAnsi" w:hAnsiTheme="minorHAnsi" w:cstheme="minorHAnsi"/>
          <w:color w:val="000000" w:themeColor="text1"/>
        </w:rPr>
        <w:t xml:space="preserve"> and the healthcare crisis, combined with Iran’s falling birthrate, led to the introduction in late 2021 of </w:t>
      </w:r>
      <w:r w:rsidR="003C1A7F" w:rsidRPr="0018095C">
        <w:rPr>
          <w:rFonts w:asciiTheme="minorHAnsi" w:hAnsiTheme="minorHAnsi" w:cstheme="minorHAnsi"/>
          <w:color w:val="000000" w:themeColor="text1"/>
        </w:rPr>
        <w:t xml:space="preserve">a </w:t>
      </w:r>
      <w:r w:rsidR="00E21DBC" w:rsidRPr="0018095C">
        <w:rPr>
          <w:rFonts w:asciiTheme="minorHAnsi" w:hAnsiTheme="minorHAnsi" w:cstheme="minorHAnsi"/>
          <w:color w:val="000000" w:themeColor="text1"/>
        </w:rPr>
        <w:t xml:space="preserve">bill called </w:t>
      </w:r>
      <w:r w:rsidR="002A424D" w:rsidRPr="0018095C">
        <w:rPr>
          <w:rFonts w:asciiTheme="minorHAnsi" w:hAnsiTheme="minorHAnsi" w:cstheme="minorHAnsi"/>
          <w:color w:val="000000" w:themeColor="text1"/>
        </w:rPr>
        <w:t>‘</w:t>
      </w:r>
      <w:r w:rsidR="00E21DBC" w:rsidRPr="0018095C">
        <w:rPr>
          <w:rFonts w:asciiTheme="minorHAnsi" w:hAnsiTheme="minorHAnsi" w:cstheme="minorHAnsi"/>
          <w:color w:val="000000" w:themeColor="text1"/>
        </w:rPr>
        <w:t>R</w:t>
      </w:r>
      <w:r w:rsidR="003C1A7F" w:rsidRPr="0018095C">
        <w:rPr>
          <w:rFonts w:asciiTheme="minorHAnsi" w:hAnsiTheme="minorHAnsi" w:cstheme="minorHAnsi"/>
          <w:color w:val="000000" w:themeColor="text1"/>
        </w:rPr>
        <w:t xml:space="preserve">ejuvenation of the </w:t>
      </w:r>
      <w:r w:rsidR="00E21DBC" w:rsidRPr="0018095C">
        <w:rPr>
          <w:rFonts w:asciiTheme="minorHAnsi" w:hAnsiTheme="minorHAnsi" w:cstheme="minorHAnsi"/>
          <w:color w:val="000000" w:themeColor="text1"/>
        </w:rPr>
        <w:t>P</w:t>
      </w:r>
      <w:r w:rsidR="008E04DF" w:rsidRPr="0018095C">
        <w:rPr>
          <w:rFonts w:asciiTheme="minorHAnsi" w:hAnsiTheme="minorHAnsi" w:cstheme="minorHAnsi"/>
          <w:color w:val="000000" w:themeColor="text1"/>
        </w:rPr>
        <w:t xml:space="preserve">opulation </w:t>
      </w:r>
      <w:r w:rsidR="003C1A7F" w:rsidRPr="0018095C">
        <w:rPr>
          <w:rFonts w:asciiTheme="minorHAnsi" w:hAnsiTheme="minorHAnsi" w:cstheme="minorHAnsi"/>
          <w:color w:val="000000" w:themeColor="text1"/>
        </w:rPr>
        <w:t xml:space="preserve">and </w:t>
      </w:r>
      <w:r w:rsidR="00E21DBC" w:rsidRPr="0018095C">
        <w:rPr>
          <w:rFonts w:asciiTheme="minorHAnsi" w:hAnsiTheme="minorHAnsi" w:cstheme="minorHAnsi"/>
          <w:color w:val="000000" w:themeColor="text1"/>
        </w:rPr>
        <w:t>S</w:t>
      </w:r>
      <w:r w:rsidR="003C1A7F" w:rsidRPr="0018095C">
        <w:rPr>
          <w:rFonts w:asciiTheme="minorHAnsi" w:hAnsiTheme="minorHAnsi" w:cstheme="minorHAnsi"/>
          <w:color w:val="000000" w:themeColor="text1"/>
        </w:rPr>
        <w:t xml:space="preserve">upport of </w:t>
      </w:r>
      <w:r w:rsidR="00E21DBC" w:rsidRPr="0018095C">
        <w:rPr>
          <w:rFonts w:asciiTheme="minorHAnsi" w:hAnsiTheme="minorHAnsi" w:cstheme="minorHAnsi"/>
          <w:color w:val="000000" w:themeColor="text1"/>
        </w:rPr>
        <w:t>F</w:t>
      </w:r>
      <w:r w:rsidR="003C1A7F" w:rsidRPr="0018095C">
        <w:rPr>
          <w:rFonts w:asciiTheme="minorHAnsi" w:hAnsiTheme="minorHAnsi" w:cstheme="minorHAnsi"/>
          <w:color w:val="000000" w:themeColor="text1"/>
        </w:rPr>
        <w:t>amily</w:t>
      </w:r>
      <w:r w:rsidR="002A424D" w:rsidRPr="0018095C">
        <w:rPr>
          <w:rFonts w:asciiTheme="minorHAnsi" w:hAnsiTheme="minorHAnsi" w:cstheme="minorHAnsi"/>
          <w:color w:val="000000" w:themeColor="text1"/>
        </w:rPr>
        <w:t>’</w:t>
      </w:r>
      <w:r w:rsidR="000F69D3" w:rsidRPr="0018095C">
        <w:rPr>
          <w:rFonts w:asciiTheme="minorHAnsi" w:hAnsiTheme="minorHAnsi" w:cstheme="minorHAnsi"/>
          <w:color w:val="000000" w:themeColor="text1"/>
        </w:rPr>
        <w:t>.</w:t>
      </w:r>
      <w:r w:rsidR="003C1A7F" w:rsidRPr="0018095C">
        <w:rPr>
          <w:rStyle w:val="FootnoteReference"/>
          <w:rFonts w:asciiTheme="minorHAnsi" w:hAnsiTheme="minorHAnsi" w:cstheme="minorHAnsi"/>
          <w:color w:val="000000" w:themeColor="text1"/>
        </w:rPr>
        <w:footnoteReference w:id="63"/>
      </w:r>
      <w:r w:rsidR="003C1A7F" w:rsidRPr="0018095C">
        <w:rPr>
          <w:rFonts w:asciiTheme="minorHAnsi" w:hAnsiTheme="minorHAnsi" w:cstheme="minorHAnsi"/>
          <w:color w:val="000000" w:themeColor="text1"/>
        </w:rPr>
        <w:t xml:space="preserve"> On the positive side, the bill </w:t>
      </w:r>
      <w:r w:rsidR="009874AB" w:rsidRPr="0018095C">
        <w:rPr>
          <w:rFonts w:asciiTheme="minorHAnsi" w:hAnsiTheme="minorHAnsi" w:cstheme="minorHAnsi"/>
          <w:color w:val="000000" w:themeColor="text1"/>
        </w:rPr>
        <w:t xml:space="preserve">would </w:t>
      </w:r>
      <w:r w:rsidR="003C1A7F" w:rsidRPr="0018095C">
        <w:rPr>
          <w:rFonts w:asciiTheme="minorHAnsi" w:hAnsiTheme="minorHAnsi" w:cstheme="minorHAnsi"/>
          <w:color w:val="000000" w:themeColor="text1"/>
        </w:rPr>
        <w:t xml:space="preserve">provide various benefits to people with children, including increased employment benefits for pregnant women and those who breastfeed. It </w:t>
      </w:r>
      <w:r w:rsidR="009874AB" w:rsidRPr="0018095C">
        <w:rPr>
          <w:rFonts w:asciiTheme="minorHAnsi" w:hAnsiTheme="minorHAnsi" w:cstheme="minorHAnsi"/>
          <w:color w:val="000000" w:themeColor="text1"/>
        </w:rPr>
        <w:t xml:space="preserve">would </w:t>
      </w:r>
      <w:r w:rsidR="003C1A7F" w:rsidRPr="0018095C">
        <w:rPr>
          <w:rFonts w:asciiTheme="minorHAnsi" w:hAnsiTheme="minorHAnsi" w:cstheme="minorHAnsi"/>
          <w:color w:val="000000" w:themeColor="text1"/>
        </w:rPr>
        <w:t xml:space="preserve">prohibit firing or transferring a working woman during pregnancy against her will (although it does not prohibit discrimination in hiring practices). Article 17 </w:t>
      </w:r>
      <w:r w:rsidR="009874AB" w:rsidRPr="0018095C">
        <w:rPr>
          <w:rFonts w:asciiTheme="minorHAnsi" w:hAnsiTheme="minorHAnsi" w:cstheme="minorHAnsi"/>
          <w:color w:val="000000" w:themeColor="text1"/>
        </w:rPr>
        <w:t xml:space="preserve">would </w:t>
      </w:r>
      <w:r w:rsidR="003C1A7F" w:rsidRPr="0018095C">
        <w:rPr>
          <w:rFonts w:asciiTheme="minorHAnsi" w:hAnsiTheme="minorHAnsi" w:cstheme="minorHAnsi"/>
          <w:color w:val="000000" w:themeColor="text1"/>
        </w:rPr>
        <w:t xml:space="preserve">provide for nine months of fully paid maternity leave in all sectors, an option for working from home for up to four months during pregnancy, and an option to take leave for medical appointments for women with children under </w:t>
      </w:r>
      <w:r w:rsidR="003C1A7F" w:rsidRPr="0018095C">
        <w:rPr>
          <w:rFonts w:asciiTheme="minorHAnsi" w:hAnsiTheme="minorHAnsi" w:cstheme="minorHAnsi"/>
          <w:color w:val="000000" w:themeColor="text1"/>
        </w:rPr>
        <w:lastRenderedPageBreak/>
        <w:t xml:space="preserve">age seven. On the </w:t>
      </w:r>
      <w:r w:rsidR="000F69D3" w:rsidRPr="0018095C">
        <w:rPr>
          <w:rFonts w:asciiTheme="minorHAnsi" w:hAnsiTheme="minorHAnsi" w:cstheme="minorHAnsi"/>
          <w:color w:val="000000" w:themeColor="text1"/>
        </w:rPr>
        <w:t>other hand</w:t>
      </w:r>
      <w:r w:rsidR="003C1A7F" w:rsidRPr="0018095C">
        <w:rPr>
          <w:rFonts w:asciiTheme="minorHAnsi" w:hAnsiTheme="minorHAnsi" w:cstheme="minorHAnsi"/>
          <w:color w:val="000000" w:themeColor="text1"/>
        </w:rPr>
        <w:t xml:space="preserve">, </w:t>
      </w:r>
      <w:r w:rsidR="00DC2226" w:rsidRPr="0018095C">
        <w:rPr>
          <w:rFonts w:asciiTheme="minorHAnsi" w:hAnsiTheme="minorHAnsi" w:cstheme="minorHAnsi"/>
          <w:color w:val="000000" w:themeColor="text1"/>
        </w:rPr>
        <w:t>according to an assessment by Human Rights Watch, the bill would place</w:t>
      </w:r>
      <w:r w:rsidR="003C1A7F" w:rsidRPr="0018095C">
        <w:rPr>
          <w:rFonts w:asciiTheme="minorHAnsi" w:hAnsiTheme="minorHAnsi" w:cstheme="minorHAnsi"/>
          <w:color w:val="000000" w:themeColor="text1"/>
        </w:rPr>
        <w:t xml:space="preserve"> limits on access to contraception and abortion </w:t>
      </w:r>
      <w:r w:rsidR="000F69D3" w:rsidRPr="0018095C">
        <w:rPr>
          <w:rFonts w:asciiTheme="minorHAnsi" w:hAnsiTheme="minorHAnsi" w:cstheme="minorHAnsi"/>
          <w:color w:val="000000" w:themeColor="text1"/>
        </w:rPr>
        <w:t xml:space="preserve">and </w:t>
      </w:r>
      <w:r w:rsidR="00DC2226" w:rsidRPr="0018095C">
        <w:rPr>
          <w:rFonts w:asciiTheme="minorHAnsi" w:hAnsiTheme="minorHAnsi" w:cstheme="minorHAnsi"/>
          <w:color w:val="000000" w:themeColor="text1"/>
        </w:rPr>
        <w:t>would</w:t>
      </w:r>
      <w:r w:rsidR="003C1A7F" w:rsidRPr="0018095C">
        <w:rPr>
          <w:rFonts w:asciiTheme="minorHAnsi" w:hAnsiTheme="minorHAnsi" w:cstheme="minorHAnsi"/>
          <w:color w:val="000000" w:themeColor="text1"/>
        </w:rPr>
        <w:t xml:space="preserve"> remain in effect for seven years. </w:t>
      </w:r>
      <w:r w:rsidR="00DC2226" w:rsidRPr="0018095C">
        <w:rPr>
          <w:rFonts w:asciiTheme="minorHAnsi" w:hAnsiTheme="minorHAnsi" w:cstheme="minorHAnsi"/>
          <w:color w:val="000000" w:themeColor="text1"/>
        </w:rPr>
        <w:t>Under the previous law, a</w:t>
      </w:r>
      <w:r w:rsidR="003C1A7F" w:rsidRPr="0018095C">
        <w:rPr>
          <w:rFonts w:asciiTheme="minorHAnsi" w:hAnsiTheme="minorHAnsi" w:cstheme="minorHAnsi"/>
          <w:color w:val="000000" w:themeColor="text1"/>
        </w:rPr>
        <w:t>bortion c</w:t>
      </w:r>
      <w:r w:rsidR="00DC2226" w:rsidRPr="0018095C">
        <w:rPr>
          <w:rFonts w:asciiTheme="minorHAnsi" w:hAnsiTheme="minorHAnsi" w:cstheme="minorHAnsi"/>
          <w:color w:val="000000" w:themeColor="text1"/>
        </w:rPr>
        <w:t>ould</w:t>
      </w:r>
      <w:r w:rsidR="003C1A7F" w:rsidRPr="0018095C">
        <w:rPr>
          <w:rFonts w:asciiTheme="minorHAnsi" w:hAnsiTheme="minorHAnsi" w:cstheme="minorHAnsi"/>
          <w:color w:val="000000" w:themeColor="text1"/>
        </w:rPr>
        <w:t xml:space="preserve"> be legally performed during the first four months of pregnancy if three doctors agree</w:t>
      </w:r>
      <w:r w:rsidR="00DC2226" w:rsidRPr="0018095C">
        <w:rPr>
          <w:rFonts w:asciiTheme="minorHAnsi" w:hAnsiTheme="minorHAnsi" w:cstheme="minorHAnsi"/>
          <w:color w:val="000000" w:themeColor="text1"/>
        </w:rPr>
        <w:t>d</w:t>
      </w:r>
      <w:r w:rsidR="003C1A7F" w:rsidRPr="0018095C">
        <w:rPr>
          <w:rFonts w:asciiTheme="minorHAnsi" w:hAnsiTheme="minorHAnsi" w:cstheme="minorHAnsi"/>
          <w:color w:val="000000" w:themeColor="text1"/>
        </w:rPr>
        <w:t xml:space="preserve"> that a pregnancy</w:t>
      </w:r>
      <w:r w:rsidR="00EC787C">
        <w:rPr>
          <w:rFonts w:asciiTheme="minorHAnsi" w:hAnsiTheme="minorHAnsi" w:cstheme="minorHAnsi"/>
          <w:color w:val="000000" w:themeColor="text1"/>
        </w:rPr>
        <w:t xml:space="preserve"> </w:t>
      </w:r>
      <w:r w:rsidR="003C1A7F" w:rsidRPr="0018095C">
        <w:rPr>
          <w:rFonts w:asciiTheme="minorHAnsi" w:hAnsiTheme="minorHAnsi" w:cstheme="minorHAnsi"/>
          <w:color w:val="000000" w:themeColor="text1"/>
        </w:rPr>
        <w:t>threaten</w:t>
      </w:r>
      <w:r w:rsidR="00DC2226" w:rsidRPr="0018095C">
        <w:rPr>
          <w:rFonts w:asciiTheme="minorHAnsi" w:hAnsiTheme="minorHAnsi" w:cstheme="minorHAnsi"/>
          <w:color w:val="000000" w:themeColor="text1"/>
        </w:rPr>
        <w:t>ed</w:t>
      </w:r>
      <w:r w:rsidR="00EC787C">
        <w:rPr>
          <w:rFonts w:asciiTheme="minorHAnsi" w:hAnsiTheme="minorHAnsi" w:cstheme="minorHAnsi"/>
          <w:color w:val="000000" w:themeColor="text1"/>
        </w:rPr>
        <w:t xml:space="preserve"> </w:t>
      </w:r>
      <w:r w:rsidR="003C1A7F" w:rsidRPr="0018095C">
        <w:rPr>
          <w:rFonts w:asciiTheme="minorHAnsi" w:hAnsiTheme="minorHAnsi" w:cstheme="minorHAnsi"/>
          <w:color w:val="000000" w:themeColor="text1"/>
        </w:rPr>
        <w:t>a woman’s</w:t>
      </w:r>
      <w:r w:rsidR="00EC787C">
        <w:rPr>
          <w:rFonts w:asciiTheme="minorHAnsi" w:hAnsiTheme="minorHAnsi" w:cstheme="minorHAnsi"/>
          <w:color w:val="000000" w:themeColor="text1"/>
        </w:rPr>
        <w:t xml:space="preserve"> </w:t>
      </w:r>
      <w:r w:rsidR="003C1A7F" w:rsidRPr="0018095C">
        <w:rPr>
          <w:rFonts w:asciiTheme="minorHAnsi" w:hAnsiTheme="minorHAnsi" w:cstheme="minorHAnsi"/>
          <w:color w:val="000000" w:themeColor="text1"/>
        </w:rPr>
        <w:t>life</w:t>
      </w:r>
      <w:r w:rsidR="00EC787C">
        <w:rPr>
          <w:rFonts w:asciiTheme="minorHAnsi" w:hAnsiTheme="minorHAnsi" w:cstheme="minorHAnsi"/>
          <w:color w:val="000000" w:themeColor="text1"/>
        </w:rPr>
        <w:t xml:space="preserve"> </w:t>
      </w:r>
      <w:r w:rsidR="003C1A7F" w:rsidRPr="0018095C">
        <w:rPr>
          <w:rFonts w:asciiTheme="minorHAnsi" w:hAnsiTheme="minorHAnsi" w:cstheme="minorHAnsi"/>
          <w:color w:val="000000" w:themeColor="text1"/>
        </w:rPr>
        <w:t xml:space="preserve">or </w:t>
      </w:r>
      <w:r w:rsidR="002A424D" w:rsidRPr="0018095C">
        <w:rPr>
          <w:rFonts w:asciiTheme="minorHAnsi" w:hAnsiTheme="minorHAnsi" w:cstheme="minorHAnsi"/>
          <w:color w:val="000000" w:themeColor="text1"/>
        </w:rPr>
        <w:t xml:space="preserve">if </w:t>
      </w:r>
      <w:r w:rsidR="003C1A7F" w:rsidRPr="0018095C">
        <w:rPr>
          <w:rFonts w:asciiTheme="minorHAnsi" w:hAnsiTheme="minorHAnsi" w:cstheme="minorHAnsi"/>
          <w:color w:val="000000" w:themeColor="text1"/>
        </w:rPr>
        <w:t>the</w:t>
      </w:r>
      <w:r w:rsidR="00546D9C">
        <w:rPr>
          <w:rFonts w:asciiTheme="minorHAnsi" w:hAnsiTheme="minorHAnsi" w:cstheme="minorHAnsi"/>
          <w:color w:val="000000" w:themeColor="text1"/>
        </w:rPr>
        <w:t xml:space="preserve"> </w:t>
      </w:r>
      <w:proofErr w:type="spellStart"/>
      <w:r w:rsidR="003C1A7F" w:rsidRPr="0018095C">
        <w:rPr>
          <w:rFonts w:asciiTheme="minorHAnsi" w:hAnsiTheme="minorHAnsi" w:cstheme="minorHAnsi"/>
          <w:color w:val="000000" w:themeColor="text1"/>
        </w:rPr>
        <w:t>f</w:t>
      </w:r>
      <w:r w:rsidR="00A87534" w:rsidRPr="0018095C">
        <w:rPr>
          <w:rFonts w:asciiTheme="minorHAnsi" w:hAnsiTheme="minorHAnsi" w:cstheme="minorHAnsi"/>
          <w:color w:val="000000" w:themeColor="text1"/>
        </w:rPr>
        <w:t>o</w:t>
      </w:r>
      <w:r w:rsidR="003C1A7F" w:rsidRPr="0018095C">
        <w:rPr>
          <w:rFonts w:asciiTheme="minorHAnsi" w:hAnsiTheme="minorHAnsi" w:cstheme="minorHAnsi"/>
          <w:color w:val="000000" w:themeColor="text1"/>
        </w:rPr>
        <w:t>etus</w:t>
      </w:r>
      <w:proofErr w:type="spellEnd"/>
      <w:r w:rsidR="00546D9C">
        <w:rPr>
          <w:rFonts w:asciiTheme="minorHAnsi" w:hAnsiTheme="minorHAnsi" w:cstheme="minorHAnsi"/>
          <w:color w:val="000000" w:themeColor="text1"/>
        </w:rPr>
        <w:t xml:space="preserve"> </w:t>
      </w:r>
      <w:r w:rsidR="003C1A7F" w:rsidRPr="0018095C">
        <w:rPr>
          <w:rFonts w:asciiTheme="minorHAnsi" w:hAnsiTheme="minorHAnsi" w:cstheme="minorHAnsi"/>
          <w:color w:val="000000" w:themeColor="text1"/>
        </w:rPr>
        <w:t>ha</w:t>
      </w:r>
      <w:r w:rsidR="00DC2226" w:rsidRPr="0018095C">
        <w:rPr>
          <w:rFonts w:asciiTheme="minorHAnsi" w:hAnsiTheme="minorHAnsi" w:cstheme="minorHAnsi"/>
          <w:color w:val="000000" w:themeColor="text1"/>
        </w:rPr>
        <w:t>d</w:t>
      </w:r>
      <w:r w:rsidR="003C1A7F" w:rsidRPr="0018095C">
        <w:rPr>
          <w:rFonts w:asciiTheme="minorHAnsi" w:hAnsiTheme="minorHAnsi" w:cstheme="minorHAnsi"/>
          <w:color w:val="000000" w:themeColor="text1"/>
        </w:rPr>
        <w:t xml:space="preserve"> severe</w:t>
      </w:r>
      <w:r w:rsidR="00546D9C">
        <w:rPr>
          <w:rFonts w:asciiTheme="minorHAnsi" w:hAnsiTheme="minorHAnsi" w:cstheme="minorHAnsi"/>
          <w:color w:val="000000" w:themeColor="text1"/>
        </w:rPr>
        <w:t xml:space="preserve"> </w:t>
      </w:r>
      <w:r w:rsidR="003C1A7F" w:rsidRPr="0018095C">
        <w:rPr>
          <w:rFonts w:asciiTheme="minorHAnsi" w:hAnsiTheme="minorHAnsi" w:cstheme="minorHAnsi"/>
          <w:color w:val="000000" w:themeColor="text1"/>
        </w:rPr>
        <w:t xml:space="preserve">physical or mental disabilities that would create extreme hardship for the mother. </w:t>
      </w:r>
      <w:r w:rsidR="00DC2226" w:rsidRPr="0018095C">
        <w:rPr>
          <w:rFonts w:asciiTheme="minorHAnsi" w:hAnsiTheme="minorHAnsi" w:cstheme="minorHAnsi"/>
          <w:color w:val="000000" w:themeColor="text1"/>
        </w:rPr>
        <w:t xml:space="preserve">But the bill’s </w:t>
      </w:r>
      <w:r w:rsidR="003C1A7F" w:rsidRPr="0018095C">
        <w:rPr>
          <w:rFonts w:asciiTheme="minorHAnsi" w:hAnsiTheme="minorHAnsi" w:cstheme="minorHAnsi"/>
          <w:color w:val="000000" w:themeColor="text1"/>
        </w:rPr>
        <w:t>Article 59</w:t>
      </w:r>
      <w:r w:rsidR="00DC2226" w:rsidRPr="0018095C">
        <w:rPr>
          <w:rFonts w:asciiTheme="minorHAnsi" w:hAnsiTheme="minorHAnsi" w:cstheme="minorHAnsi"/>
          <w:color w:val="000000" w:themeColor="text1"/>
        </w:rPr>
        <w:t xml:space="preserve"> would require</w:t>
      </w:r>
      <w:r w:rsidR="003C1A7F" w:rsidRPr="0018095C">
        <w:rPr>
          <w:rFonts w:asciiTheme="minorHAnsi" w:hAnsiTheme="minorHAnsi" w:cstheme="minorHAnsi"/>
          <w:color w:val="000000" w:themeColor="text1"/>
        </w:rPr>
        <w:t xml:space="preserve"> the Intelligence Ministry and other security agencies to identify and refer to judicial authorities any cases of </w:t>
      </w:r>
      <w:r w:rsidR="002A424D" w:rsidRPr="0018095C">
        <w:rPr>
          <w:rFonts w:asciiTheme="minorHAnsi" w:hAnsiTheme="minorHAnsi" w:cstheme="minorHAnsi"/>
          <w:color w:val="000000" w:themeColor="text1"/>
        </w:rPr>
        <w:t>‘i</w:t>
      </w:r>
      <w:r w:rsidR="003C1A7F" w:rsidRPr="0018095C">
        <w:rPr>
          <w:rFonts w:asciiTheme="minorHAnsi" w:hAnsiTheme="minorHAnsi" w:cstheme="minorHAnsi"/>
          <w:color w:val="000000" w:themeColor="text1"/>
        </w:rPr>
        <w:t>llegal sale of abortion drugs, illegal abortion, websites gathering the list of abortion centers, those participating in illegal abortion, and medical advice outside the permission criteria for abortion, and elements advocating for illegal abortion</w:t>
      </w:r>
      <w:r w:rsidR="002A424D" w:rsidRPr="0018095C">
        <w:rPr>
          <w:rFonts w:asciiTheme="minorHAnsi" w:hAnsiTheme="minorHAnsi" w:cstheme="minorHAnsi"/>
          <w:color w:val="000000" w:themeColor="text1"/>
        </w:rPr>
        <w:t>’</w:t>
      </w:r>
      <w:r w:rsidR="003C1A7F" w:rsidRPr="0018095C">
        <w:rPr>
          <w:rFonts w:asciiTheme="minorHAnsi" w:hAnsiTheme="minorHAnsi" w:cstheme="minorHAnsi"/>
          <w:color w:val="000000" w:themeColor="text1"/>
        </w:rPr>
        <w:t>.</w:t>
      </w:r>
      <w:r w:rsidR="00DC2226" w:rsidRPr="0018095C">
        <w:rPr>
          <w:rFonts w:asciiTheme="minorHAnsi" w:hAnsiTheme="minorHAnsi" w:cstheme="minorHAnsi"/>
          <w:color w:val="000000" w:themeColor="text1"/>
        </w:rPr>
        <w:t xml:space="preserve"> </w:t>
      </w:r>
      <w:r w:rsidR="00891F3A" w:rsidRPr="0018095C">
        <w:rPr>
          <w:rFonts w:asciiTheme="minorHAnsi" w:hAnsiTheme="minorHAnsi" w:cstheme="minorHAnsi"/>
          <w:color w:val="000000" w:themeColor="text1"/>
        </w:rPr>
        <w:t>And i</w:t>
      </w:r>
      <w:r w:rsidR="00DC2226" w:rsidRPr="0018095C">
        <w:rPr>
          <w:rFonts w:asciiTheme="minorHAnsi" w:hAnsiTheme="minorHAnsi" w:cstheme="minorHAnsi"/>
          <w:color w:val="000000" w:themeColor="text1"/>
        </w:rPr>
        <w:t xml:space="preserve">t would require the relevant ministries to </w:t>
      </w:r>
      <w:r w:rsidR="003C1A7F" w:rsidRPr="0018095C">
        <w:rPr>
          <w:rFonts w:asciiTheme="minorHAnsi" w:hAnsiTheme="minorHAnsi" w:cstheme="minorHAnsi"/>
          <w:color w:val="000000" w:themeColor="text1"/>
        </w:rPr>
        <w:t xml:space="preserve">produce </w:t>
      </w:r>
      <w:r w:rsidR="00DC2226" w:rsidRPr="0018095C">
        <w:rPr>
          <w:rFonts w:asciiTheme="minorHAnsi" w:hAnsiTheme="minorHAnsi" w:cstheme="minorHAnsi"/>
          <w:color w:val="000000" w:themeColor="text1"/>
        </w:rPr>
        <w:t>pro-family materials</w:t>
      </w:r>
      <w:r w:rsidR="00891F3A" w:rsidRPr="0018095C">
        <w:rPr>
          <w:rFonts w:asciiTheme="minorHAnsi" w:hAnsiTheme="minorHAnsi" w:cstheme="minorHAnsi"/>
          <w:color w:val="000000" w:themeColor="text1"/>
        </w:rPr>
        <w:t xml:space="preserve"> and to </w:t>
      </w:r>
      <w:r w:rsidR="003C1A7F" w:rsidRPr="0018095C">
        <w:rPr>
          <w:rFonts w:asciiTheme="minorHAnsi" w:hAnsiTheme="minorHAnsi" w:cstheme="minorHAnsi"/>
          <w:color w:val="000000" w:themeColor="text1"/>
        </w:rPr>
        <w:t>increas</w:t>
      </w:r>
      <w:r w:rsidR="00891F3A" w:rsidRPr="0018095C">
        <w:rPr>
          <w:rFonts w:asciiTheme="minorHAnsi" w:hAnsiTheme="minorHAnsi" w:cstheme="minorHAnsi"/>
          <w:color w:val="000000" w:themeColor="text1"/>
        </w:rPr>
        <w:t>e</w:t>
      </w:r>
      <w:r w:rsidR="003C1A7F" w:rsidRPr="0018095C">
        <w:rPr>
          <w:rFonts w:asciiTheme="minorHAnsi" w:hAnsiTheme="minorHAnsi" w:cstheme="minorHAnsi"/>
          <w:color w:val="000000" w:themeColor="text1"/>
        </w:rPr>
        <w:t xml:space="preserve"> education majors at universities </w:t>
      </w:r>
      <w:r w:rsidR="002A424D" w:rsidRPr="0018095C">
        <w:rPr>
          <w:rFonts w:asciiTheme="minorHAnsi" w:hAnsiTheme="minorHAnsi" w:cstheme="minorHAnsi"/>
          <w:color w:val="000000" w:themeColor="text1"/>
        </w:rPr>
        <w:t>‘</w:t>
      </w:r>
      <w:r w:rsidR="003C1A7F" w:rsidRPr="0018095C">
        <w:rPr>
          <w:rFonts w:asciiTheme="minorHAnsi" w:hAnsiTheme="minorHAnsi" w:cstheme="minorHAnsi"/>
          <w:color w:val="000000" w:themeColor="text1"/>
        </w:rPr>
        <w:t>consistent with women’s role in the Islamic-Iranian culture including managing family and the house</w:t>
      </w:r>
      <w:r w:rsidR="002A424D" w:rsidRPr="0018095C">
        <w:rPr>
          <w:rFonts w:asciiTheme="minorHAnsi" w:hAnsiTheme="minorHAnsi" w:cstheme="minorHAnsi"/>
          <w:color w:val="000000" w:themeColor="text1"/>
        </w:rPr>
        <w:t>’</w:t>
      </w:r>
      <w:r w:rsidR="003C1A7F" w:rsidRPr="0018095C">
        <w:rPr>
          <w:rFonts w:asciiTheme="minorHAnsi" w:hAnsiTheme="minorHAnsi" w:cstheme="minorHAnsi"/>
          <w:color w:val="000000" w:themeColor="text1"/>
        </w:rPr>
        <w:t>.</w:t>
      </w:r>
      <w:r w:rsidR="003C1A7F" w:rsidRPr="0018095C">
        <w:rPr>
          <w:rStyle w:val="FootnoteReference"/>
          <w:rFonts w:asciiTheme="minorHAnsi" w:hAnsiTheme="minorHAnsi" w:cstheme="minorHAnsi"/>
          <w:color w:val="000000" w:themeColor="text1"/>
        </w:rPr>
        <w:footnoteReference w:id="64"/>
      </w:r>
    </w:p>
    <w:p w14:paraId="2AC9D4A7" w14:textId="77777777" w:rsidR="00681F3A" w:rsidRPr="0018095C" w:rsidRDefault="00681F3A" w:rsidP="00D67707">
      <w:pPr>
        <w:pStyle w:val="NormalWeb"/>
        <w:spacing w:before="0" w:beforeAutospacing="0" w:after="0" w:afterAutospacing="0"/>
        <w:jc w:val="both"/>
        <w:rPr>
          <w:rFonts w:asciiTheme="minorHAnsi" w:hAnsiTheme="minorHAnsi" w:cstheme="minorHAnsi"/>
          <w:color w:val="000000" w:themeColor="text1"/>
        </w:rPr>
      </w:pPr>
    </w:p>
    <w:p w14:paraId="11167D03" w14:textId="70044A82" w:rsidR="0010687C" w:rsidRPr="0018095C" w:rsidRDefault="000B0B99"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rPr>
      </w:pPr>
      <w:r w:rsidRPr="0018095C">
        <w:rPr>
          <w:rFonts w:asciiTheme="minorHAnsi" w:hAnsiTheme="minorHAnsi" w:cstheme="minorHAnsi"/>
        </w:rPr>
        <w:t xml:space="preserve">Since at least the Sixth </w:t>
      </w:r>
      <w:r w:rsidR="00E125A8">
        <w:rPr>
          <w:rFonts w:asciiTheme="minorHAnsi" w:hAnsiTheme="minorHAnsi" w:cstheme="minorHAnsi"/>
        </w:rPr>
        <w:t>parl</w:t>
      </w:r>
      <w:r w:rsidR="00866591">
        <w:rPr>
          <w:rFonts w:asciiTheme="minorHAnsi" w:hAnsiTheme="minorHAnsi" w:cstheme="minorHAnsi"/>
        </w:rPr>
        <w:t>iament</w:t>
      </w:r>
      <w:r w:rsidR="00184AAD" w:rsidRPr="0018095C">
        <w:rPr>
          <w:rFonts w:asciiTheme="minorHAnsi" w:hAnsiTheme="minorHAnsi" w:cstheme="minorHAnsi"/>
        </w:rPr>
        <w:t xml:space="preserve"> (1997-2005)</w:t>
      </w:r>
      <w:r w:rsidRPr="0018095C">
        <w:rPr>
          <w:rFonts w:asciiTheme="minorHAnsi" w:hAnsiTheme="minorHAnsi" w:cstheme="minorHAnsi"/>
        </w:rPr>
        <w:t>, efforts to finalize a bill on domestic violence have encountered obstacles and delays.</w:t>
      </w:r>
      <w:r w:rsidR="008C2056" w:rsidRPr="0018095C">
        <w:rPr>
          <w:rFonts w:asciiTheme="minorHAnsi" w:hAnsiTheme="minorHAnsi" w:cstheme="minorHAnsi"/>
        </w:rPr>
        <w:t xml:space="preserve"> </w:t>
      </w:r>
      <w:r w:rsidR="0077209A" w:rsidRPr="0018095C">
        <w:rPr>
          <w:rFonts w:asciiTheme="minorHAnsi" w:hAnsiTheme="minorHAnsi" w:cstheme="minorHAnsi"/>
        </w:rPr>
        <w:t>The</w:t>
      </w:r>
      <w:r w:rsidR="00EC13BF" w:rsidRPr="0018095C">
        <w:rPr>
          <w:rFonts w:asciiTheme="minorHAnsi" w:hAnsiTheme="minorHAnsi" w:cstheme="minorHAnsi"/>
        </w:rPr>
        <w:t xml:space="preserve"> 2021</w:t>
      </w:r>
      <w:r w:rsidR="00EC13BF" w:rsidRPr="0018095C">
        <w:rPr>
          <w:rFonts w:asciiTheme="minorHAnsi" w:hAnsiTheme="minorHAnsi" w:cstheme="minorHAnsi"/>
          <w:color w:val="000000"/>
        </w:rPr>
        <w:t xml:space="preserve"> </w:t>
      </w:r>
      <w:r w:rsidR="0077209A" w:rsidRPr="0018095C">
        <w:rPr>
          <w:rFonts w:asciiTheme="minorHAnsi" w:hAnsiTheme="minorHAnsi" w:cstheme="minorHAnsi"/>
          <w:color w:val="000000"/>
        </w:rPr>
        <w:t xml:space="preserve">Rehman </w:t>
      </w:r>
      <w:r w:rsidR="00EC13BF" w:rsidRPr="0018095C">
        <w:rPr>
          <w:rFonts w:asciiTheme="minorHAnsi" w:hAnsiTheme="minorHAnsi" w:cstheme="minorHAnsi"/>
          <w:color w:val="000000"/>
        </w:rPr>
        <w:t>report highlighted serious concerns regarding domestic violence. Some positive steps were noted, such as a law against acid attacks, but the Special Rapporteur pressed the Iranian Government to do more</w:t>
      </w:r>
      <w:bookmarkStart w:id="3" w:name="_Hlk184648591"/>
      <w:r w:rsidR="00EC13BF" w:rsidRPr="0018095C">
        <w:rPr>
          <w:rFonts w:asciiTheme="minorHAnsi" w:hAnsiTheme="minorHAnsi" w:cstheme="minorHAnsi"/>
          <w:color w:val="000000"/>
        </w:rPr>
        <w:t>:</w:t>
      </w:r>
      <w:bookmarkEnd w:id="3"/>
      <w:r w:rsidR="00EC13BF" w:rsidRPr="0018095C">
        <w:rPr>
          <w:rFonts w:asciiTheme="minorHAnsi" w:hAnsiTheme="minorHAnsi" w:cstheme="minorHAnsi"/>
          <w:color w:val="000000"/>
        </w:rPr>
        <w:t xml:space="preserve"> </w:t>
      </w:r>
    </w:p>
    <w:p w14:paraId="592D2E4A" w14:textId="77777777" w:rsidR="00681F3A" w:rsidRPr="0018095C" w:rsidRDefault="00681F3A" w:rsidP="00D67707">
      <w:pPr>
        <w:pStyle w:val="NormalWeb"/>
        <w:shd w:val="clear" w:color="auto" w:fill="FFFFFF"/>
        <w:spacing w:before="0" w:beforeAutospacing="0" w:after="0" w:afterAutospacing="0"/>
        <w:jc w:val="both"/>
        <w:textAlignment w:val="baseline"/>
        <w:rPr>
          <w:rFonts w:asciiTheme="minorHAnsi" w:hAnsiTheme="minorHAnsi" w:cstheme="minorHAnsi"/>
          <w:color w:val="000000"/>
        </w:rPr>
      </w:pPr>
    </w:p>
    <w:p w14:paraId="639C8067" w14:textId="519A0CFA" w:rsidR="0010687C" w:rsidRPr="0018095C" w:rsidRDefault="00EC13BF" w:rsidP="00D67707">
      <w:pPr>
        <w:pStyle w:val="NormalWeb"/>
        <w:shd w:val="clear" w:color="auto" w:fill="FFFFFF"/>
        <w:spacing w:before="0" w:beforeAutospacing="0" w:after="0" w:afterAutospacing="0"/>
        <w:ind w:left="720" w:right="720"/>
        <w:jc w:val="both"/>
        <w:textAlignment w:val="baseline"/>
        <w:rPr>
          <w:rFonts w:asciiTheme="minorHAnsi" w:hAnsiTheme="minorHAnsi" w:cstheme="minorHAnsi"/>
          <w:color w:val="000000"/>
        </w:rPr>
      </w:pPr>
      <w:r w:rsidRPr="0018095C">
        <w:rPr>
          <w:rFonts w:asciiTheme="minorHAnsi" w:hAnsiTheme="minorHAnsi" w:cstheme="minorHAnsi"/>
          <w:color w:val="000000"/>
        </w:rPr>
        <w:t>Blatant discrimination exists in Iranian law and practice that must change. In several areas of their lives, including in marriage, divorce, employment, and culture, Iranian women are either restricted or need permission from their husbands or paternal guardians, depriving them of their autonomy and human dignity. These constructs are completely unacceptable and must be reformed now</w:t>
      </w:r>
      <w:r w:rsidR="0010687C" w:rsidRPr="0018095C">
        <w:rPr>
          <w:rFonts w:asciiTheme="minorHAnsi" w:hAnsiTheme="minorHAnsi" w:cstheme="minorHAnsi"/>
          <w:color w:val="000000"/>
        </w:rPr>
        <w:t>.</w:t>
      </w:r>
      <w:r w:rsidR="00127E75" w:rsidRPr="00127E75">
        <w:rPr>
          <w:rFonts w:asciiTheme="minorHAnsi" w:hAnsiTheme="minorHAnsi" w:cstheme="minorHAnsi"/>
          <w:color w:val="000000"/>
          <w:vertAlign w:val="superscript"/>
        </w:rPr>
        <w:footnoteReference w:id="65"/>
      </w:r>
    </w:p>
    <w:p w14:paraId="35E64AF8" w14:textId="77777777" w:rsidR="00681F3A" w:rsidRPr="0018095C" w:rsidRDefault="00681F3A" w:rsidP="00CB4F78">
      <w:pPr>
        <w:pStyle w:val="NormalWeb"/>
        <w:shd w:val="clear" w:color="auto" w:fill="FFFFFF"/>
        <w:spacing w:before="0" w:beforeAutospacing="0" w:after="0" w:afterAutospacing="0"/>
        <w:ind w:right="720"/>
        <w:jc w:val="both"/>
        <w:textAlignment w:val="baseline"/>
        <w:rPr>
          <w:rFonts w:asciiTheme="minorHAnsi" w:hAnsiTheme="minorHAnsi" w:cstheme="minorHAnsi"/>
          <w:color w:val="000000"/>
        </w:rPr>
      </w:pPr>
    </w:p>
    <w:p w14:paraId="7F400CD6" w14:textId="3087D78C" w:rsidR="008C2056" w:rsidRPr="0018095C" w:rsidRDefault="008C2056" w:rsidP="00D67707">
      <w:pPr>
        <w:pStyle w:val="NormalWeb"/>
        <w:shd w:val="clear" w:color="auto" w:fill="FFFFFF"/>
        <w:spacing w:before="0" w:beforeAutospacing="0" w:after="0" w:afterAutospacing="0"/>
        <w:jc w:val="both"/>
        <w:textAlignment w:val="baseline"/>
        <w:rPr>
          <w:rFonts w:asciiTheme="minorHAnsi" w:hAnsiTheme="minorHAnsi" w:cstheme="minorHAnsi"/>
          <w:iCs/>
        </w:rPr>
      </w:pPr>
      <w:r w:rsidRPr="0018095C">
        <w:rPr>
          <w:rFonts w:asciiTheme="minorHAnsi" w:hAnsiTheme="minorHAnsi" w:cstheme="minorHAnsi"/>
          <w:iCs/>
        </w:rPr>
        <w:t xml:space="preserve">A watered-down version of the original bill was adopted by parliament in April 2023 but at </w:t>
      </w:r>
      <w:r w:rsidR="00EC13BF" w:rsidRPr="0018095C">
        <w:rPr>
          <w:rFonts w:asciiTheme="minorHAnsi" w:hAnsiTheme="minorHAnsi" w:cstheme="minorHAnsi"/>
          <w:iCs/>
        </w:rPr>
        <w:t xml:space="preserve">the time of </w:t>
      </w:r>
      <w:r w:rsidRPr="0018095C">
        <w:rPr>
          <w:rFonts w:asciiTheme="minorHAnsi" w:hAnsiTheme="minorHAnsi" w:cstheme="minorHAnsi"/>
          <w:iCs/>
        </w:rPr>
        <w:t>writing</w:t>
      </w:r>
      <w:r w:rsidR="00EC13BF" w:rsidRPr="0018095C">
        <w:rPr>
          <w:rFonts w:asciiTheme="minorHAnsi" w:hAnsiTheme="minorHAnsi" w:cstheme="minorHAnsi"/>
          <w:iCs/>
        </w:rPr>
        <w:t>, it</w:t>
      </w:r>
      <w:r w:rsidRPr="0018095C">
        <w:rPr>
          <w:rFonts w:asciiTheme="minorHAnsi" w:hAnsiTheme="minorHAnsi" w:cstheme="minorHAnsi"/>
          <w:iCs/>
        </w:rPr>
        <w:t xml:space="preserve"> </w:t>
      </w:r>
      <w:r w:rsidR="00D72FCF" w:rsidRPr="00D76E9C">
        <w:rPr>
          <w:rFonts w:asciiTheme="minorHAnsi" w:hAnsiTheme="minorHAnsi" w:cstheme="minorHAnsi"/>
          <w:iCs/>
        </w:rPr>
        <w:t>had</w:t>
      </w:r>
      <w:r w:rsidRPr="00D76E9C">
        <w:rPr>
          <w:rFonts w:asciiTheme="minorHAnsi" w:hAnsiTheme="minorHAnsi" w:cstheme="minorHAnsi"/>
          <w:iCs/>
        </w:rPr>
        <w:t xml:space="preserve"> not </w:t>
      </w:r>
      <w:r w:rsidR="00D72FCF" w:rsidRPr="00D76E9C">
        <w:rPr>
          <w:rFonts w:asciiTheme="minorHAnsi" w:hAnsiTheme="minorHAnsi" w:cstheme="minorHAnsi"/>
          <w:iCs/>
        </w:rPr>
        <w:t xml:space="preserve">yet </w:t>
      </w:r>
      <w:r w:rsidRPr="0018095C">
        <w:rPr>
          <w:rFonts w:asciiTheme="minorHAnsi" w:hAnsiTheme="minorHAnsi" w:cstheme="minorHAnsi"/>
          <w:iCs/>
        </w:rPr>
        <w:t xml:space="preserve">received the final approval from the Council of Guardians. </w:t>
      </w:r>
    </w:p>
    <w:p w14:paraId="7D8D68B4" w14:textId="77777777" w:rsidR="00EF7C62" w:rsidRDefault="00EF7C62" w:rsidP="00D67707">
      <w:pPr>
        <w:spacing w:after="0" w:line="240" w:lineRule="auto"/>
        <w:jc w:val="both"/>
        <w:rPr>
          <w:rFonts w:cstheme="minorHAnsi"/>
          <w:sz w:val="24"/>
          <w:szCs w:val="24"/>
        </w:rPr>
      </w:pPr>
    </w:p>
    <w:p w14:paraId="212BA0CA" w14:textId="04F9C87F" w:rsidR="00257DAA" w:rsidRPr="0018095C" w:rsidRDefault="00F727AF" w:rsidP="00D67707">
      <w:pPr>
        <w:spacing w:after="0" w:line="240" w:lineRule="auto"/>
        <w:jc w:val="both"/>
        <w:rPr>
          <w:rFonts w:cstheme="minorHAnsi"/>
          <w:sz w:val="24"/>
          <w:szCs w:val="24"/>
        </w:rPr>
      </w:pPr>
      <w:r w:rsidRPr="0018095C">
        <w:rPr>
          <w:rFonts w:cstheme="minorHAnsi"/>
          <w:sz w:val="24"/>
          <w:szCs w:val="24"/>
        </w:rPr>
        <w:t>In 2021</w:t>
      </w:r>
      <w:r w:rsidR="00D436F0" w:rsidRPr="0018095C">
        <w:rPr>
          <w:rFonts w:cstheme="minorHAnsi"/>
          <w:sz w:val="24"/>
          <w:szCs w:val="24"/>
        </w:rPr>
        <w:t xml:space="preserve">, elections for a new president brought to power Ebrahim </w:t>
      </w:r>
      <w:proofErr w:type="spellStart"/>
      <w:r w:rsidR="00D436F0" w:rsidRPr="0018095C">
        <w:rPr>
          <w:rFonts w:cstheme="minorHAnsi"/>
          <w:sz w:val="24"/>
          <w:szCs w:val="24"/>
        </w:rPr>
        <w:t>Raissi</w:t>
      </w:r>
      <w:proofErr w:type="spellEnd"/>
      <w:r w:rsidR="00D436F0" w:rsidRPr="0018095C">
        <w:rPr>
          <w:rFonts w:cstheme="minorHAnsi"/>
          <w:sz w:val="24"/>
          <w:szCs w:val="24"/>
        </w:rPr>
        <w:t>, a hardliner</w:t>
      </w:r>
      <w:r w:rsidR="00257DAA" w:rsidRPr="0018095C">
        <w:rPr>
          <w:rFonts w:cstheme="minorHAnsi"/>
          <w:sz w:val="24"/>
          <w:szCs w:val="24"/>
        </w:rPr>
        <w:t xml:space="preserve"> </w:t>
      </w:r>
      <w:r w:rsidR="008E71F8" w:rsidRPr="0018095C">
        <w:rPr>
          <w:rFonts w:cstheme="minorHAnsi"/>
          <w:sz w:val="24"/>
          <w:szCs w:val="24"/>
        </w:rPr>
        <w:t xml:space="preserve">who had been involved in the mass executions of political prisoners in summer 1988. Among his first acts after assuming the presidency was to call for stricter enforcement of mandatory </w:t>
      </w:r>
      <w:proofErr w:type="spellStart"/>
      <w:r w:rsidR="008E71F8" w:rsidRPr="0018095C">
        <w:rPr>
          <w:rFonts w:cstheme="minorHAnsi"/>
          <w:sz w:val="24"/>
          <w:szCs w:val="24"/>
        </w:rPr>
        <w:t>hejab</w:t>
      </w:r>
      <w:proofErr w:type="spellEnd"/>
      <w:r w:rsidR="008E71F8" w:rsidRPr="0018095C">
        <w:rPr>
          <w:rFonts w:cstheme="minorHAnsi"/>
          <w:sz w:val="24"/>
          <w:szCs w:val="24"/>
        </w:rPr>
        <w:t>. This is what led to the arrest and death in police custody of Mahsa Jina Amini in mid-September 2022, and the nationwide protests that lasted into the new year</w:t>
      </w:r>
      <w:r w:rsidR="001B4457" w:rsidRPr="0018095C">
        <w:rPr>
          <w:rFonts w:cstheme="minorHAnsi"/>
          <w:sz w:val="24"/>
          <w:szCs w:val="24"/>
        </w:rPr>
        <w:t xml:space="preserve"> and beyond</w:t>
      </w:r>
      <w:r w:rsidR="008E71F8" w:rsidRPr="0018095C">
        <w:rPr>
          <w:rFonts w:cstheme="minorHAnsi"/>
          <w:sz w:val="24"/>
          <w:szCs w:val="24"/>
        </w:rPr>
        <w:t xml:space="preserve">.  </w:t>
      </w:r>
    </w:p>
    <w:p w14:paraId="23B51EEA" w14:textId="77777777" w:rsidR="00257DAA" w:rsidRDefault="00257DAA" w:rsidP="00D67707">
      <w:pPr>
        <w:autoSpaceDE w:val="0"/>
        <w:autoSpaceDN w:val="0"/>
        <w:adjustRightInd w:val="0"/>
        <w:spacing w:after="0" w:line="240" w:lineRule="auto"/>
        <w:jc w:val="both"/>
        <w:rPr>
          <w:rFonts w:cstheme="minorHAnsi"/>
          <w:sz w:val="24"/>
          <w:szCs w:val="24"/>
        </w:rPr>
      </w:pPr>
    </w:p>
    <w:p w14:paraId="32507570" w14:textId="77777777" w:rsidR="00CB4F78" w:rsidRPr="0018095C" w:rsidRDefault="00CB4F78" w:rsidP="00D67707">
      <w:pPr>
        <w:autoSpaceDE w:val="0"/>
        <w:autoSpaceDN w:val="0"/>
        <w:adjustRightInd w:val="0"/>
        <w:spacing w:after="0" w:line="240" w:lineRule="auto"/>
        <w:jc w:val="both"/>
        <w:rPr>
          <w:rFonts w:cstheme="minorHAnsi"/>
          <w:sz w:val="24"/>
          <w:szCs w:val="24"/>
        </w:rPr>
      </w:pPr>
    </w:p>
    <w:p w14:paraId="5406EA23" w14:textId="6664ECD9" w:rsidR="00DE4A13" w:rsidRDefault="00DE4A13">
      <w:pPr>
        <w:rPr>
          <w:rFonts w:cstheme="minorHAnsi"/>
          <w:b/>
          <w:bCs/>
          <w:iCs/>
          <w:sz w:val="24"/>
          <w:szCs w:val="24"/>
        </w:rPr>
      </w:pPr>
    </w:p>
    <w:p w14:paraId="3ED28E7B" w14:textId="0ABEC7E2" w:rsidR="008D2644" w:rsidRPr="0018095C" w:rsidRDefault="004E0FBA" w:rsidP="00D26BDC">
      <w:pPr>
        <w:pStyle w:val="Heading2"/>
      </w:pPr>
      <w:r w:rsidRPr="0018095C">
        <w:t>Conclusions and Re</w:t>
      </w:r>
      <w:r w:rsidR="00853291" w:rsidRPr="0018095C">
        <w:t>commendations</w:t>
      </w:r>
    </w:p>
    <w:p w14:paraId="0CAECD08" w14:textId="77777777" w:rsidR="00CB4F78" w:rsidRDefault="00CB4F78" w:rsidP="00D67707">
      <w:pPr>
        <w:spacing w:after="0" w:line="240" w:lineRule="auto"/>
        <w:jc w:val="both"/>
        <w:rPr>
          <w:rFonts w:cstheme="minorHAnsi"/>
          <w:iCs/>
          <w:sz w:val="24"/>
          <w:szCs w:val="24"/>
        </w:rPr>
      </w:pPr>
    </w:p>
    <w:p w14:paraId="208B644A" w14:textId="352A60C3" w:rsidR="004E0FBA" w:rsidRPr="0018095C" w:rsidRDefault="008A05B2" w:rsidP="00D67707">
      <w:pPr>
        <w:spacing w:after="0" w:line="240" w:lineRule="auto"/>
        <w:jc w:val="both"/>
        <w:rPr>
          <w:rFonts w:cstheme="minorHAnsi"/>
          <w:iCs/>
          <w:sz w:val="24"/>
          <w:szCs w:val="24"/>
        </w:rPr>
      </w:pPr>
      <w:r w:rsidRPr="0018095C">
        <w:rPr>
          <w:rFonts w:cstheme="minorHAnsi"/>
          <w:iCs/>
          <w:sz w:val="24"/>
          <w:szCs w:val="24"/>
        </w:rPr>
        <w:lastRenderedPageBreak/>
        <w:t xml:space="preserve">This </w:t>
      </w:r>
      <w:r w:rsidR="00252869" w:rsidRPr="0018095C">
        <w:rPr>
          <w:rFonts w:cstheme="minorHAnsi"/>
          <w:iCs/>
          <w:sz w:val="24"/>
          <w:szCs w:val="24"/>
        </w:rPr>
        <w:t>article</w:t>
      </w:r>
      <w:r w:rsidRPr="0018095C">
        <w:rPr>
          <w:rFonts w:cstheme="minorHAnsi"/>
          <w:iCs/>
          <w:sz w:val="24"/>
          <w:szCs w:val="24"/>
        </w:rPr>
        <w:t xml:space="preserve"> has provided a comparative perspective on two MENA countries, Iran and Tunisia, to highlight the salience of both international and domestic factors and forces in the construction and enjoyment of women’s political, social, and economic rights of citizenship. On the domestic front, legal frameworks matter, and discriminatory family laws curtail women’s rights. F</w:t>
      </w:r>
      <w:r w:rsidR="004E0FBA" w:rsidRPr="0018095C">
        <w:rPr>
          <w:rFonts w:cstheme="minorHAnsi"/>
          <w:iCs/>
          <w:sz w:val="24"/>
          <w:szCs w:val="24"/>
        </w:rPr>
        <w:t xml:space="preserve">amily law in MENA </w:t>
      </w:r>
      <w:r w:rsidR="0010687C" w:rsidRPr="0018095C">
        <w:rPr>
          <w:rFonts w:cstheme="minorHAnsi"/>
          <w:iCs/>
          <w:sz w:val="24"/>
          <w:szCs w:val="24"/>
        </w:rPr>
        <w:t xml:space="preserve">countries </w:t>
      </w:r>
      <w:r w:rsidR="004E0FBA" w:rsidRPr="0018095C">
        <w:rPr>
          <w:rFonts w:cstheme="minorHAnsi"/>
          <w:iCs/>
          <w:sz w:val="24"/>
          <w:szCs w:val="24"/>
        </w:rPr>
        <w:t xml:space="preserve">affects women’s civil, political, and social/economic rights of citizenship through provisions that </w:t>
      </w:r>
      <w:proofErr w:type="spellStart"/>
      <w:r w:rsidR="004E0FBA" w:rsidRPr="0018095C">
        <w:rPr>
          <w:rFonts w:cstheme="minorHAnsi"/>
          <w:iCs/>
          <w:sz w:val="24"/>
          <w:szCs w:val="24"/>
        </w:rPr>
        <w:t>favo</w:t>
      </w:r>
      <w:r w:rsidR="00A87534" w:rsidRPr="0018095C">
        <w:rPr>
          <w:rFonts w:cstheme="minorHAnsi"/>
          <w:iCs/>
          <w:sz w:val="24"/>
          <w:szCs w:val="24"/>
        </w:rPr>
        <w:t>u</w:t>
      </w:r>
      <w:r w:rsidR="004E0FBA" w:rsidRPr="0018095C">
        <w:rPr>
          <w:rFonts w:cstheme="minorHAnsi"/>
          <w:iCs/>
          <w:sz w:val="24"/>
          <w:szCs w:val="24"/>
        </w:rPr>
        <w:t>r</w:t>
      </w:r>
      <w:proofErr w:type="spellEnd"/>
      <w:r w:rsidR="004E0FBA" w:rsidRPr="0018095C">
        <w:rPr>
          <w:rFonts w:cstheme="minorHAnsi"/>
          <w:iCs/>
          <w:sz w:val="24"/>
          <w:szCs w:val="24"/>
        </w:rPr>
        <w:t xml:space="preserve"> men in guardianship, family headship and maintenance, the </w:t>
      </w:r>
      <w:r w:rsidR="004E0FBA" w:rsidRPr="0018095C">
        <w:rPr>
          <w:rFonts w:cstheme="minorHAnsi"/>
          <w:i/>
          <w:iCs/>
          <w:sz w:val="24"/>
          <w:szCs w:val="24"/>
        </w:rPr>
        <w:t xml:space="preserve">mahr, </w:t>
      </w:r>
      <w:r w:rsidR="004E0FBA" w:rsidRPr="0018095C">
        <w:rPr>
          <w:rFonts w:cstheme="minorHAnsi"/>
          <w:iCs/>
          <w:sz w:val="24"/>
          <w:szCs w:val="24"/>
        </w:rPr>
        <w:t>and inheritance.</w:t>
      </w:r>
      <w:r w:rsidRPr="0018095C">
        <w:rPr>
          <w:rFonts w:cstheme="minorHAnsi"/>
          <w:iCs/>
          <w:sz w:val="24"/>
          <w:szCs w:val="24"/>
        </w:rPr>
        <w:t xml:space="preserve"> Unequal family inheritance puts female kin at a disadvantage in terms of wealth acquisition</w:t>
      </w:r>
      <w:r w:rsidR="00436AD8">
        <w:rPr>
          <w:rFonts w:cstheme="minorHAnsi"/>
          <w:iCs/>
          <w:sz w:val="24"/>
          <w:szCs w:val="24"/>
        </w:rPr>
        <w:t xml:space="preserve"> and</w:t>
      </w:r>
      <w:r w:rsidRPr="0018095C">
        <w:rPr>
          <w:rFonts w:cstheme="minorHAnsi"/>
          <w:iCs/>
          <w:sz w:val="24"/>
          <w:szCs w:val="24"/>
        </w:rPr>
        <w:t xml:space="preserve"> assets that could be used for business development. Iran is economically richer and larger than Tunisia, but women’s economic empowerment is constrained in both countries, and both states codify unequal inheritance. Women’s unequal inheritance rights are surely one important explanation behind low female labor force participation in the MENA region. </w:t>
      </w:r>
    </w:p>
    <w:p w14:paraId="387FF04B" w14:textId="77777777" w:rsidR="00746C5A" w:rsidRDefault="00746C5A" w:rsidP="00D67707">
      <w:pPr>
        <w:spacing w:after="0" w:line="240" w:lineRule="auto"/>
        <w:jc w:val="both"/>
        <w:rPr>
          <w:rFonts w:cstheme="minorHAnsi"/>
          <w:iCs/>
          <w:sz w:val="24"/>
          <w:szCs w:val="24"/>
        </w:rPr>
      </w:pPr>
    </w:p>
    <w:p w14:paraId="48BFBFD7" w14:textId="72CF1E2F" w:rsidR="008A05B2" w:rsidRPr="0018095C" w:rsidRDefault="008A05B2" w:rsidP="00D67707">
      <w:pPr>
        <w:spacing w:after="0" w:line="240" w:lineRule="auto"/>
        <w:jc w:val="both"/>
        <w:rPr>
          <w:rFonts w:cstheme="minorHAnsi"/>
          <w:iCs/>
          <w:sz w:val="24"/>
          <w:szCs w:val="24"/>
        </w:rPr>
      </w:pPr>
      <w:r w:rsidRPr="0018095C">
        <w:rPr>
          <w:rFonts w:cstheme="minorHAnsi"/>
          <w:iCs/>
          <w:sz w:val="24"/>
          <w:szCs w:val="24"/>
        </w:rPr>
        <w:t>Tunisia and Iran diverge significantly on women’s public and private rights – rights within the family and women’s political presence as activists and members of parliament – and on women’s legal status and constitutionally defined citizenship equality. Such divergence results from differences in political history, the strength of civil society, and institutionalization processes. Constitutional guarantees of women’s equality are not sufficient, but they are necessary for women’s rights of citizenship</w:t>
      </w:r>
      <w:r w:rsidR="00252869" w:rsidRPr="0018095C">
        <w:rPr>
          <w:rFonts w:cstheme="minorHAnsi"/>
          <w:iCs/>
          <w:sz w:val="24"/>
          <w:szCs w:val="24"/>
        </w:rPr>
        <w:t xml:space="preserve">, </w:t>
      </w:r>
      <w:r w:rsidRPr="0018095C">
        <w:rPr>
          <w:rFonts w:cstheme="minorHAnsi"/>
          <w:iCs/>
          <w:sz w:val="24"/>
          <w:szCs w:val="24"/>
        </w:rPr>
        <w:t>and the differences in constitutional language in Iran and Tunisia correlate with differences in political participation, and to some degree in women’s economic citizenship.</w:t>
      </w:r>
      <w:r w:rsidR="008C550B" w:rsidRPr="0018095C">
        <w:rPr>
          <w:rFonts w:cstheme="minorHAnsi"/>
          <w:iCs/>
          <w:sz w:val="24"/>
          <w:szCs w:val="24"/>
        </w:rPr>
        <w:t xml:space="preserve"> </w:t>
      </w:r>
      <w:r w:rsidR="0010687C" w:rsidRPr="0018095C">
        <w:rPr>
          <w:rFonts w:cstheme="minorHAnsi"/>
          <w:iCs/>
          <w:sz w:val="24"/>
          <w:szCs w:val="24"/>
        </w:rPr>
        <w:t>Still, b</w:t>
      </w:r>
      <w:r w:rsidR="008C550B" w:rsidRPr="0018095C">
        <w:rPr>
          <w:rFonts w:cstheme="minorHAnsi"/>
          <w:iCs/>
          <w:sz w:val="24"/>
          <w:szCs w:val="24"/>
        </w:rPr>
        <w:t>oth countries have seen vocal and visible acts of citizenship. In Tunisia, women took to the streets in 2011 to ensure that their achieved rights were not endangered, and they have criticized the suspension of rights since 2021</w:t>
      </w:r>
      <w:r w:rsidR="00C77C75" w:rsidRPr="0018095C">
        <w:rPr>
          <w:rFonts w:cstheme="minorHAnsi"/>
          <w:iCs/>
          <w:sz w:val="24"/>
          <w:szCs w:val="24"/>
        </w:rPr>
        <w:t>, as well as the replacement of the 2014 constitution with a new</w:t>
      </w:r>
      <w:r w:rsidR="00252869" w:rsidRPr="0018095C">
        <w:rPr>
          <w:rFonts w:cstheme="minorHAnsi"/>
          <w:iCs/>
          <w:sz w:val="24"/>
          <w:szCs w:val="24"/>
        </w:rPr>
        <w:t>,</w:t>
      </w:r>
      <w:r w:rsidR="00C77C75" w:rsidRPr="0018095C">
        <w:rPr>
          <w:rFonts w:cstheme="minorHAnsi"/>
          <w:iCs/>
          <w:sz w:val="24"/>
          <w:szCs w:val="24"/>
        </w:rPr>
        <w:t xml:space="preserve"> </w:t>
      </w:r>
      <w:r w:rsidR="00DA1FB5" w:rsidRPr="0018095C">
        <w:rPr>
          <w:rFonts w:cstheme="minorHAnsi"/>
          <w:iCs/>
          <w:sz w:val="24"/>
          <w:szCs w:val="24"/>
        </w:rPr>
        <w:t>less celebrated constitution</w:t>
      </w:r>
      <w:r w:rsidR="008C550B" w:rsidRPr="0018095C">
        <w:rPr>
          <w:rFonts w:cstheme="minorHAnsi"/>
          <w:iCs/>
          <w:sz w:val="24"/>
          <w:szCs w:val="24"/>
        </w:rPr>
        <w:t xml:space="preserve">. In Iran, </w:t>
      </w:r>
      <w:r w:rsidR="008C550B" w:rsidRPr="0018095C">
        <w:rPr>
          <w:rFonts w:cstheme="minorHAnsi"/>
          <w:sz w:val="24"/>
          <w:szCs w:val="24"/>
        </w:rPr>
        <w:t>given women’s continued exclusion from political power, they invent new spaces to participate politically, and new acts of citizenship, such as defying the mandatory dress code</w:t>
      </w:r>
      <w:r w:rsidR="005A3CF0" w:rsidRPr="0018095C">
        <w:rPr>
          <w:rFonts w:cstheme="minorHAnsi"/>
          <w:sz w:val="24"/>
          <w:szCs w:val="24"/>
        </w:rPr>
        <w:t xml:space="preserve"> in public and on social media platforms</w:t>
      </w:r>
      <w:r w:rsidR="00AB1875">
        <w:rPr>
          <w:rFonts w:cstheme="minorHAnsi"/>
          <w:sz w:val="24"/>
          <w:szCs w:val="24"/>
        </w:rPr>
        <w:t xml:space="preserve">, </w:t>
      </w:r>
      <w:r w:rsidR="00AB1875" w:rsidRPr="008457F8">
        <w:rPr>
          <w:rFonts w:cstheme="minorHAnsi"/>
          <w:sz w:val="24"/>
          <w:szCs w:val="24"/>
        </w:rPr>
        <w:t xml:space="preserve">and taking part </w:t>
      </w:r>
      <w:r w:rsidR="00DC5822" w:rsidRPr="008457F8">
        <w:rPr>
          <w:rFonts w:cstheme="minorHAnsi"/>
          <w:sz w:val="24"/>
          <w:szCs w:val="24"/>
        </w:rPr>
        <w:t xml:space="preserve">in </w:t>
      </w:r>
      <w:r w:rsidR="00AB1875" w:rsidRPr="008457F8">
        <w:rPr>
          <w:rFonts w:cstheme="minorHAnsi"/>
          <w:sz w:val="24"/>
          <w:szCs w:val="24"/>
        </w:rPr>
        <w:t>or leading protests</w:t>
      </w:r>
      <w:r w:rsidR="005A3CF0" w:rsidRPr="0018095C">
        <w:rPr>
          <w:rFonts w:cstheme="minorHAnsi"/>
          <w:sz w:val="24"/>
          <w:szCs w:val="24"/>
        </w:rPr>
        <w:t>.</w:t>
      </w:r>
    </w:p>
    <w:p w14:paraId="688FF522" w14:textId="77777777" w:rsidR="00746C5A" w:rsidRDefault="00746C5A" w:rsidP="00D67707">
      <w:pPr>
        <w:spacing w:after="0" w:line="240" w:lineRule="auto"/>
        <w:jc w:val="both"/>
        <w:rPr>
          <w:rFonts w:cstheme="minorHAnsi"/>
          <w:iCs/>
          <w:sz w:val="24"/>
          <w:szCs w:val="24"/>
        </w:rPr>
      </w:pPr>
    </w:p>
    <w:p w14:paraId="19DFC073" w14:textId="61B13478" w:rsidR="004E0FBA" w:rsidRPr="0018095C" w:rsidRDefault="008A05B2" w:rsidP="00D67707">
      <w:pPr>
        <w:spacing w:after="0" w:line="240" w:lineRule="auto"/>
        <w:jc w:val="both"/>
        <w:rPr>
          <w:rFonts w:cstheme="minorHAnsi"/>
          <w:iCs/>
          <w:sz w:val="24"/>
          <w:szCs w:val="24"/>
        </w:rPr>
      </w:pPr>
      <w:r w:rsidRPr="0018095C">
        <w:rPr>
          <w:rFonts w:cstheme="minorHAnsi"/>
          <w:iCs/>
          <w:sz w:val="24"/>
          <w:szCs w:val="24"/>
        </w:rPr>
        <w:t xml:space="preserve">On the international front, institutions and state practices affect </w:t>
      </w:r>
      <w:r w:rsidR="004E0FBA" w:rsidRPr="0018095C">
        <w:rPr>
          <w:rFonts w:cstheme="minorHAnsi"/>
          <w:iCs/>
          <w:sz w:val="24"/>
          <w:szCs w:val="24"/>
        </w:rPr>
        <w:t xml:space="preserve">women’s citizenship in </w:t>
      </w:r>
      <w:r w:rsidRPr="0018095C">
        <w:rPr>
          <w:rFonts w:cstheme="minorHAnsi"/>
          <w:iCs/>
          <w:sz w:val="24"/>
          <w:szCs w:val="24"/>
        </w:rPr>
        <w:t xml:space="preserve">both </w:t>
      </w:r>
      <w:r w:rsidR="004E0FBA" w:rsidRPr="0018095C">
        <w:rPr>
          <w:rFonts w:cstheme="minorHAnsi"/>
          <w:iCs/>
          <w:sz w:val="24"/>
          <w:szCs w:val="24"/>
        </w:rPr>
        <w:t xml:space="preserve">positive </w:t>
      </w:r>
      <w:r w:rsidRPr="0018095C">
        <w:rPr>
          <w:rFonts w:cstheme="minorHAnsi"/>
          <w:iCs/>
          <w:sz w:val="24"/>
          <w:szCs w:val="24"/>
        </w:rPr>
        <w:t xml:space="preserve">and negative </w:t>
      </w:r>
      <w:r w:rsidR="004E0FBA" w:rsidRPr="0018095C">
        <w:rPr>
          <w:rFonts w:cstheme="minorHAnsi"/>
          <w:iCs/>
          <w:sz w:val="24"/>
          <w:szCs w:val="24"/>
        </w:rPr>
        <w:t>ways</w:t>
      </w:r>
      <w:r w:rsidRPr="0018095C">
        <w:rPr>
          <w:rFonts w:cstheme="minorHAnsi"/>
          <w:iCs/>
          <w:sz w:val="24"/>
          <w:szCs w:val="24"/>
        </w:rPr>
        <w:t xml:space="preserve">. On the positive side, the </w:t>
      </w:r>
      <w:r w:rsidR="004E0FBA" w:rsidRPr="0018095C">
        <w:rPr>
          <w:rFonts w:cstheme="minorHAnsi"/>
          <w:iCs/>
          <w:sz w:val="24"/>
          <w:szCs w:val="24"/>
        </w:rPr>
        <w:t>diffusion of international conventions and norms</w:t>
      </w:r>
      <w:r w:rsidRPr="0018095C">
        <w:rPr>
          <w:rFonts w:cstheme="minorHAnsi"/>
          <w:iCs/>
          <w:sz w:val="24"/>
          <w:szCs w:val="24"/>
        </w:rPr>
        <w:t xml:space="preserve"> – CEDAW, the gender equality </w:t>
      </w:r>
      <w:r w:rsidR="00C62B00" w:rsidRPr="0018095C">
        <w:rPr>
          <w:rFonts w:cstheme="minorHAnsi"/>
          <w:iCs/>
          <w:sz w:val="24"/>
          <w:szCs w:val="24"/>
        </w:rPr>
        <w:t>objectives</w:t>
      </w:r>
      <w:r w:rsidRPr="0018095C">
        <w:rPr>
          <w:rFonts w:cstheme="minorHAnsi"/>
          <w:iCs/>
          <w:sz w:val="24"/>
          <w:szCs w:val="24"/>
        </w:rPr>
        <w:t xml:space="preserve"> of international agreements such as the Sustainable Development Goals, the ranking of countries on women’s political and economic empowerment by the World Economic Forum’s annual </w:t>
      </w:r>
      <w:r w:rsidRPr="0018095C">
        <w:rPr>
          <w:rFonts w:cstheme="minorHAnsi"/>
          <w:i/>
          <w:sz w:val="24"/>
          <w:szCs w:val="24"/>
        </w:rPr>
        <w:t xml:space="preserve">Global Gender Gap Report, </w:t>
      </w:r>
      <w:r w:rsidRPr="0018095C">
        <w:rPr>
          <w:rFonts w:cstheme="minorHAnsi"/>
          <w:iCs/>
          <w:sz w:val="24"/>
          <w:szCs w:val="24"/>
        </w:rPr>
        <w:t xml:space="preserve">and human rights reports by the UN – provide a legal and normative framework for advocacy work </w:t>
      </w:r>
      <w:r w:rsidR="00827048" w:rsidRPr="0018095C">
        <w:rPr>
          <w:rFonts w:cstheme="minorHAnsi"/>
          <w:iCs/>
          <w:sz w:val="24"/>
          <w:szCs w:val="24"/>
        </w:rPr>
        <w:t>by</w:t>
      </w:r>
      <w:r w:rsidRPr="0018095C">
        <w:rPr>
          <w:rFonts w:cstheme="minorHAnsi"/>
          <w:iCs/>
          <w:sz w:val="24"/>
          <w:szCs w:val="24"/>
        </w:rPr>
        <w:t xml:space="preserve"> civil society actors and for the adoption of policies and laws at the </w:t>
      </w:r>
      <w:r w:rsidR="000A1CDB">
        <w:rPr>
          <w:rFonts w:cstheme="minorHAnsi"/>
          <w:iCs/>
          <w:sz w:val="24"/>
          <w:szCs w:val="24"/>
        </w:rPr>
        <w:t>state</w:t>
      </w:r>
      <w:r w:rsidRPr="0018095C">
        <w:rPr>
          <w:rFonts w:cstheme="minorHAnsi"/>
          <w:iCs/>
          <w:sz w:val="24"/>
          <w:szCs w:val="24"/>
        </w:rPr>
        <w:t xml:space="preserve"> level. On the negative side, </w:t>
      </w:r>
      <w:r w:rsidR="004E0FBA" w:rsidRPr="0018095C">
        <w:rPr>
          <w:rFonts w:cstheme="minorHAnsi"/>
          <w:iCs/>
          <w:sz w:val="24"/>
          <w:szCs w:val="24"/>
        </w:rPr>
        <w:t xml:space="preserve">invasions, wars, sanctions, debt, </w:t>
      </w:r>
      <w:r w:rsidRPr="0018095C">
        <w:rPr>
          <w:rFonts w:cstheme="minorHAnsi"/>
          <w:iCs/>
          <w:sz w:val="24"/>
          <w:szCs w:val="24"/>
        </w:rPr>
        <w:t xml:space="preserve">and </w:t>
      </w:r>
      <w:r w:rsidR="004E0FBA" w:rsidRPr="0018095C">
        <w:rPr>
          <w:rFonts w:cstheme="minorHAnsi"/>
          <w:iCs/>
          <w:sz w:val="24"/>
          <w:szCs w:val="24"/>
        </w:rPr>
        <w:t>lack of cooperation for democratic development</w:t>
      </w:r>
      <w:r w:rsidRPr="0018095C">
        <w:rPr>
          <w:rFonts w:cstheme="minorHAnsi"/>
          <w:iCs/>
          <w:sz w:val="24"/>
          <w:szCs w:val="24"/>
        </w:rPr>
        <w:t xml:space="preserve"> have deleterious effects on human security</w:t>
      </w:r>
      <w:r w:rsidR="00495532" w:rsidRPr="0018095C">
        <w:rPr>
          <w:rFonts w:cstheme="minorHAnsi"/>
          <w:iCs/>
          <w:sz w:val="24"/>
          <w:szCs w:val="24"/>
        </w:rPr>
        <w:t xml:space="preserve">, </w:t>
      </w:r>
      <w:r w:rsidRPr="0018095C">
        <w:rPr>
          <w:rFonts w:cstheme="minorHAnsi"/>
          <w:iCs/>
          <w:sz w:val="24"/>
          <w:szCs w:val="24"/>
        </w:rPr>
        <w:t>human rights</w:t>
      </w:r>
      <w:r w:rsidR="00495532" w:rsidRPr="0018095C">
        <w:rPr>
          <w:rFonts w:cstheme="minorHAnsi"/>
          <w:iCs/>
          <w:sz w:val="24"/>
          <w:szCs w:val="24"/>
        </w:rPr>
        <w:t>, and women’s equality, rights, and economic empowerment</w:t>
      </w:r>
      <w:r w:rsidRPr="0018095C">
        <w:rPr>
          <w:rFonts w:cstheme="minorHAnsi"/>
          <w:iCs/>
          <w:sz w:val="24"/>
          <w:szCs w:val="24"/>
        </w:rPr>
        <w:t xml:space="preserve">. At the worst, they cause deaths, displacement, and outmigration. Such international incursions or neglect </w:t>
      </w:r>
      <w:r w:rsidR="00290003">
        <w:rPr>
          <w:rFonts w:cstheme="minorHAnsi"/>
          <w:iCs/>
          <w:sz w:val="24"/>
          <w:szCs w:val="24"/>
        </w:rPr>
        <w:t xml:space="preserve">can </w:t>
      </w:r>
      <w:r w:rsidRPr="0018095C">
        <w:rPr>
          <w:rFonts w:cstheme="minorHAnsi"/>
          <w:iCs/>
          <w:sz w:val="24"/>
          <w:szCs w:val="24"/>
        </w:rPr>
        <w:t>also generate uncertainties, instabilities, repression, and patriarchal backlashes.</w:t>
      </w:r>
      <w:r w:rsidR="000A2370" w:rsidRPr="0018095C">
        <w:rPr>
          <w:rStyle w:val="FootnoteReference"/>
          <w:rFonts w:cstheme="minorHAnsi"/>
          <w:iCs/>
          <w:sz w:val="24"/>
          <w:szCs w:val="24"/>
        </w:rPr>
        <w:footnoteReference w:id="66"/>
      </w:r>
    </w:p>
    <w:p w14:paraId="4AD71DA6" w14:textId="77777777" w:rsidR="00746C5A" w:rsidRDefault="00746C5A" w:rsidP="00D67707">
      <w:pPr>
        <w:spacing w:after="0" w:line="240" w:lineRule="auto"/>
        <w:jc w:val="both"/>
        <w:rPr>
          <w:rFonts w:cstheme="minorHAnsi"/>
          <w:iCs/>
          <w:sz w:val="24"/>
          <w:szCs w:val="24"/>
        </w:rPr>
      </w:pPr>
    </w:p>
    <w:p w14:paraId="3EE22243" w14:textId="49DDAD69" w:rsidR="00F711C2" w:rsidRPr="0018095C" w:rsidRDefault="001F4462" w:rsidP="00D67707">
      <w:pPr>
        <w:spacing w:after="0" w:line="240" w:lineRule="auto"/>
        <w:jc w:val="both"/>
        <w:rPr>
          <w:rFonts w:cstheme="minorHAnsi"/>
          <w:iCs/>
          <w:sz w:val="24"/>
          <w:szCs w:val="24"/>
        </w:rPr>
      </w:pPr>
      <w:r w:rsidRPr="0018095C">
        <w:rPr>
          <w:rFonts w:cstheme="minorHAnsi"/>
          <w:iCs/>
          <w:sz w:val="24"/>
          <w:szCs w:val="24"/>
        </w:rPr>
        <w:t xml:space="preserve">The two cases offer lessons and raise questions with broader </w:t>
      </w:r>
      <w:r w:rsidR="00D24048">
        <w:rPr>
          <w:rFonts w:cstheme="minorHAnsi"/>
          <w:iCs/>
          <w:sz w:val="24"/>
          <w:szCs w:val="24"/>
        </w:rPr>
        <w:t>applications</w:t>
      </w:r>
      <w:r w:rsidR="00D24048" w:rsidRPr="0018095C">
        <w:rPr>
          <w:rFonts w:cstheme="minorHAnsi"/>
          <w:iCs/>
          <w:sz w:val="24"/>
          <w:szCs w:val="24"/>
        </w:rPr>
        <w:t xml:space="preserve"> </w:t>
      </w:r>
      <w:r w:rsidR="00BE03F8" w:rsidRPr="0018095C">
        <w:rPr>
          <w:rFonts w:cstheme="minorHAnsi"/>
          <w:iCs/>
          <w:sz w:val="24"/>
          <w:szCs w:val="24"/>
        </w:rPr>
        <w:t>pertaining to citizenship rights, women’s legal status, and the world order</w:t>
      </w:r>
      <w:r w:rsidRPr="0018095C">
        <w:rPr>
          <w:rFonts w:cstheme="minorHAnsi"/>
          <w:iCs/>
          <w:sz w:val="24"/>
          <w:szCs w:val="24"/>
        </w:rPr>
        <w:t xml:space="preserve">. </w:t>
      </w:r>
      <w:r w:rsidR="004E0FBA" w:rsidRPr="0018095C">
        <w:rPr>
          <w:rFonts w:cstheme="minorHAnsi"/>
          <w:iCs/>
          <w:sz w:val="24"/>
          <w:szCs w:val="24"/>
        </w:rPr>
        <w:t>Tunisia’s misfortune</w:t>
      </w:r>
      <w:r w:rsidRPr="0018095C">
        <w:rPr>
          <w:rFonts w:cstheme="minorHAnsi"/>
          <w:iCs/>
          <w:sz w:val="24"/>
          <w:szCs w:val="24"/>
        </w:rPr>
        <w:t xml:space="preserve"> was that its</w:t>
      </w:r>
      <w:r w:rsidR="004E0FBA" w:rsidRPr="0018095C">
        <w:rPr>
          <w:rFonts w:cstheme="minorHAnsi"/>
          <w:iCs/>
          <w:sz w:val="24"/>
          <w:szCs w:val="24"/>
        </w:rPr>
        <w:t xml:space="preserve"> political revolution </w:t>
      </w:r>
      <w:r w:rsidRPr="0018095C">
        <w:rPr>
          <w:rFonts w:cstheme="minorHAnsi"/>
          <w:iCs/>
          <w:sz w:val="24"/>
          <w:szCs w:val="24"/>
        </w:rPr>
        <w:t>and</w:t>
      </w:r>
      <w:r w:rsidR="004E0FBA" w:rsidRPr="0018095C">
        <w:rPr>
          <w:rFonts w:cstheme="minorHAnsi"/>
          <w:iCs/>
          <w:sz w:val="24"/>
          <w:szCs w:val="24"/>
        </w:rPr>
        <w:t xml:space="preserve"> democratic transition occur</w:t>
      </w:r>
      <w:r w:rsidR="00AD520E" w:rsidRPr="0018095C">
        <w:rPr>
          <w:rFonts w:cstheme="minorHAnsi"/>
          <w:iCs/>
          <w:sz w:val="24"/>
          <w:szCs w:val="24"/>
        </w:rPr>
        <w:t>r</w:t>
      </w:r>
      <w:r w:rsidR="004E0FBA" w:rsidRPr="0018095C">
        <w:rPr>
          <w:rFonts w:cstheme="minorHAnsi"/>
          <w:iCs/>
          <w:sz w:val="24"/>
          <w:szCs w:val="24"/>
        </w:rPr>
        <w:t>ed during</w:t>
      </w:r>
      <w:r w:rsidRPr="0018095C">
        <w:rPr>
          <w:rFonts w:cstheme="minorHAnsi"/>
          <w:iCs/>
          <w:sz w:val="24"/>
          <w:szCs w:val="24"/>
        </w:rPr>
        <w:t xml:space="preserve"> the post-2008 </w:t>
      </w:r>
      <w:r w:rsidR="004E0FBA" w:rsidRPr="0018095C">
        <w:rPr>
          <w:rFonts w:cstheme="minorHAnsi"/>
          <w:iCs/>
          <w:sz w:val="24"/>
          <w:szCs w:val="24"/>
        </w:rPr>
        <w:t xml:space="preserve">Great Recession and a decade before </w:t>
      </w:r>
      <w:r w:rsidRPr="0018095C">
        <w:rPr>
          <w:rFonts w:cstheme="minorHAnsi"/>
          <w:iCs/>
          <w:sz w:val="24"/>
          <w:szCs w:val="24"/>
        </w:rPr>
        <w:t xml:space="preserve">a </w:t>
      </w:r>
      <w:r w:rsidR="004E0FBA" w:rsidRPr="0018095C">
        <w:rPr>
          <w:rFonts w:cstheme="minorHAnsi"/>
          <w:iCs/>
          <w:sz w:val="24"/>
          <w:szCs w:val="24"/>
        </w:rPr>
        <w:t xml:space="preserve">global pandemic followed by </w:t>
      </w:r>
      <w:r w:rsidRPr="0018095C">
        <w:rPr>
          <w:rFonts w:cstheme="minorHAnsi"/>
          <w:iCs/>
          <w:sz w:val="24"/>
          <w:szCs w:val="24"/>
        </w:rPr>
        <w:t xml:space="preserve">the </w:t>
      </w:r>
      <w:r w:rsidR="004E0FBA" w:rsidRPr="0018095C">
        <w:rPr>
          <w:rFonts w:cstheme="minorHAnsi"/>
          <w:iCs/>
          <w:sz w:val="24"/>
          <w:szCs w:val="24"/>
        </w:rPr>
        <w:t xml:space="preserve">Western focus on </w:t>
      </w:r>
      <w:r w:rsidR="007F314A" w:rsidRPr="0018095C">
        <w:rPr>
          <w:rFonts w:cstheme="minorHAnsi"/>
          <w:iCs/>
          <w:sz w:val="24"/>
          <w:szCs w:val="24"/>
        </w:rPr>
        <w:t xml:space="preserve">– and </w:t>
      </w:r>
      <w:r w:rsidR="00DA6A53" w:rsidRPr="0018095C">
        <w:rPr>
          <w:rFonts w:cstheme="minorHAnsi"/>
          <w:iCs/>
          <w:sz w:val="24"/>
          <w:szCs w:val="24"/>
        </w:rPr>
        <w:t xml:space="preserve">financial </w:t>
      </w:r>
      <w:r w:rsidR="007F314A" w:rsidRPr="0018095C">
        <w:rPr>
          <w:rFonts w:cstheme="minorHAnsi"/>
          <w:iCs/>
          <w:sz w:val="24"/>
          <w:szCs w:val="24"/>
        </w:rPr>
        <w:t xml:space="preserve">generosity toward – </w:t>
      </w:r>
      <w:r w:rsidR="00DA6A53" w:rsidRPr="0018095C">
        <w:rPr>
          <w:rFonts w:cstheme="minorHAnsi"/>
          <w:iCs/>
          <w:sz w:val="24"/>
          <w:szCs w:val="24"/>
        </w:rPr>
        <w:t xml:space="preserve">the war in </w:t>
      </w:r>
      <w:r w:rsidR="004E0FBA" w:rsidRPr="0018095C">
        <w:rPr>
          <w:rFonts w:cstheme="minorHAnsi"/>
          <w:iCs/>
          <w:sz w:val="24"/>
          <w:szCs w:val="24"/>
        </w:rPr>
        <w:t>Ukraine</w:t>
      </w:r>
      <w:r w:rsidRPr="0018095C">
        <w:rPr>
          <w:rFonts w:cstheme="minorHAnsi"/>
          <w:iCs/>
          <w:sz w:val="24"/>
          <w:szCs w:val="24"/>
        </w:rPr>
        <w:t xml:space="preserve">. If </w:t>
      </w:r>
      <w:r w:rsidR="004E0FBA" w:rsidRPr="0018095C">
        <w:rPr>
          <w:rFonts w:cstheme="minorHAnsi"/>
          <w:iCs/>
          <w:sz w:val="24"/>
          <w:szCs w:val="24"/>
        </w:rPr>
        <w:t xml:space="preserve">Tunisia’s democratic transition and consolidation </w:t>
      </w:r>
      <w:r w:rsidR="00144548">
        <w:rPr>
          <w:rFonts w:cstheme="minorHAnsi"/>
          <w:iCs/>
          <w:sz w:val="24"/>
          <w:szCs w:val="24"/>
        </w:rPr>
        <w:t>have</w:t>
      </w:r>
      <w:r w:rsidR="00144548" w:rsidRPr="0018095C">
        <w:rPr>
          <w:rFonts w:cstheme="minorHAnsi"/>
          <w:iCs/>
          <w:sz w:val="24"/>
          <w:szCs w:val="24"/>
        </w:rPr>
        <w:t xml:space="preserve"> </w:t>
      </w:r>
      <w:r w:rsidRPr="0018095C">
        <w:rPr>
          <w:rFonts w:cstheme="minorHAnsi"/>
          <w:iCs/>
          <w:sz w:val="24"/>
          <w:szCs w:val="24"/>
        </w:rPr>
        <w:t xml:space="preserve">been </w:t>
      </w:r>
      <w:r w:rsidR="004E0FBA" w:rsidRPr="0018095C">
        <w:rPr>
          <w:rFonts w:cstheme="minorHAnsi"/>
          <w:iCs/>
          <w:sz w:val="24"/>
          <w:szCs w:val="24"/>
        </w:rPr>
        <w:t>blocked</w:t>
      </w:r>
      <w:r w:rsidRPr="0018095C">
        <w:rPr>
          <w:rFonts w:cstheme="minorHAnsi"/>
          <w:iCs/>
          <w:sz w:val="24"/>
          <w:szCs w:val="24"/>
        </w:rPr>
        <w:t xml:space="preserve"> since </w:t>
      </w:r>
      <w:r w:rsidR="00252869" w:rsidRPr="0018095C">
        <w:rPr>
          <w:rFonts w:cstheme="minorHAnsi"/>
          <w:iCs/>
          <w:sz w:val="24"/>
          <w:szCs w:val="24"/>
        </w:rPr>
        <w:t xml:space="preserve">at least </w:t>
      </w:r>
      <w:r w:rsidRPr="0018095C">
        <w:rPr>
          <w:rFonts w:cstheme="minorHAnsi"/>
          <w:iCs/>
          <w:sz w:val="24"/>
          <w:szCs w:val="24"/>
        </w:rPr>
        <w:t>2021, w</w:t>
      </w:r>
      <w:r w:rsidR="004E0FBA" w:rsidRPr="0018095C">
        <w:rPr>
          <w:rFonts w:cstheme="minorHAnsi"/>
          <w:iCs/>
          <w:sz w:val="24"/>
          <w:szCs w:val="24"/>
        </w:rPr>
        <w:t xml:space="preserve">hat are the </w:t>
      </w:r>
      <w:r w:rsidR="00495532" w:rsidRPr="0018095C">
        <w:rPr>
          <w:rFonts w:cstheme="minorHAnsi"/>
          <w:iCs/>
          <w:sz w:val="24"/>
          <w:szCs w:val="24"/>
        </w:rPr>
        <w:t>prospects</w:t>
      </w:r>
      <w:r w:rsidR="004E0FBA" w:rsidRPr="0018095C">
        <w:rPr>
          <w:rFonts w:cstheme="minorHAnsi"/>
          <w:iCs/>
          <w:sz w:val="24"/>
          <w:szCs w:val="24"/>
        </w:rPr>
        <w:t xml:space="preserve"> for advances in women’s equal citizenship? </w:t>
      </w:r>
      <w:r w:rsidRPr="0018095C">
        <w:rPr>
          <w:rFonts w:cstheme="minorHAnsi"/>
          <w:iCs/>
          <w:sz w:val="24"/>
          <w:szCs w:val="24"/>
        </w:rPr>
        <w:t xml:space="preserve">In Iran, </w:t>
      </w:r>
      <w:r w:rsidR="00495532" w:rsidRPr="0018095C">
        <w:rPr>
          <w:rFonts w:cstheme="minorHAnsi"/>
          <w:iCs/>
          <w:sz w:val="24"/>
          <w:szCs w:val="24"/>
        </w:rPr>
        <w:t xml:space="preserve">President Masoud Pezeshkian, elected in July 2024, nominated </w:t>
      </w:r>
      <w:r w:rsidR="0010687C" w:rsidRPr="0018095C">
        <w:rPr>
          <w:rFonts w:cstheme="minorHAnsi"/>
          <w:iCs/>
          <w:sz w:val="24"/>
          <w:szCs w:val="24"/>
        </w:rPr>
        <w:t xml:space="preserve">four women to top government positions, including </w:t>
      </w:r>
      <w:r w:rsidR="004B4C45" w:rsidRPr="0018095C">
        <w:rPr>
          <w:rFonts w:cstheme="minorHAnsi"/>
          <w:iCs/>
          <w:sz w:val="24"/>
          <w:szCs w:val="24"/>
        </w:rPr>
        <w:t>the cabinet post of minister of urban development</w:t>
      </w:r>
      <w:r w:rsidR="0010687C" w:rsidRPr="0018095C">
        <w:rPr>
          <w:rFonts w:cstheme="minorHAnsi"/>
          <w:iCs/>
          <w:sz w:val="24"/>
          <w:szCs w:val="24"/>
        </w:rPr>
        <w:t xml:space="preserve">, and some </w:t>
      </w:r>
      <w:r w:rsidR="00DC5822" w:rsidRPr="004F6468">
        <w:rPr>
          <w:rFonts w:cstheme="minorHAnsi"/>
          <w:iCs/>
          <w:sz w:val="24"/>
          <w:szCs w:val="24"/>
        </w:rPr>
        <w:t>were</w:t>
      </w:r>
      <w:r w:rsidR="004F6468" w:rsidRPr="004F6468">
        <w:rPr>
          <w:rFonts w:cstheme="minorHAnsi"/>
          <w:iCs/>
          <w:sz w:val="24"/>
          <w:szCs w:val="24"/>
        </w:rPr>
        <w:t xml:space="preserve"> </w:t>
      </w:r>
      <w:r w:rsidR="0010687C" w:rsidRPr="004F6468">
        <w:rPr>
          <w:rFonts w:cstheme="minorHAnsi"/>
          <w:iCs/>
          <w:sz w:val="24"/>
          <w:szCs w:val="24"/>
        </w:rPr>
        <w:t xml:space="preserve">hopeful that more </w:t>
      </w:r>
      <w:r w:rsidR="00990F51" w:rsidRPr="004F6468">
        <w:rPr>
          <w:rFonts w:cstheme="minorHAnsi"/>
          <w:iCs/>
          <w:sz w:val="24"/>
          <w:szCs w:val="24"/>
        </w:rPr>
        <w:t xml:space="preserve">such </w:t>
      </w:r>
      <w:r w:rsidR="0010687C" w:rsidRPr="004F6468">
        <w:rPr>
          <w:rFonts w:cstheme="minorHAnsi"/>
          <w:iCs/>
          <w:sz w:val="24"/>
          <w:szCs w:val="24"/>
        </w:rPr>
        <w:t>changes</w:t>
      </w:r>
      <w:r w:rsidR="00DC5822" w:rsidRPr="004F6468">
        <w:rPr>
          <w:rFonts w:cstheme="minorHAnsi"/>
          <w:iCs/>
          <w:sz w:val="24"/>
          <w:szCs w:val="24"/>
        </w:rPr>
        <w:t xml:space="preserve"> would </w:t>
      </w:r>
      <w:r w:rsidR="0010687C" w:rsidRPr="004F6468">
        <w:rPr>
          <w:rFonts w:cstheme="minorHAnsi"/>
          <w:iCs/>
          <w:sz w:val="24"/>
          <w:szCs w:val="24"/>
        </w:rPr>
        <w:t xml:space="preserve">be forthcoming. However, if the US persists with its </w:t>
      </w:r>
      <w:r w:rsidR="0010687C" w:rsidRPr="0018095C">
        <w:rPr>
          <w:rFonts w:cstheme="minorHAnsi"/>
          <w:iCs/>
          <w:sz w:val="24"/>
          <w:szCs w:val="24"/>
        </w:rPr>
        <w:t>harsh sanctions against Iran</w:t>
      </w:r>
      <w:r w:rsidR="004E0FBA" w:rsidRPr="0018095C">
        <w:rPr>
          <w:rFonts w:cstheme="minorHAnsi"/>
          <w:iCs/>
          <w:sz w:val="24"/>
          <w:szCs w:val="24"/>
        </w:rPr>
        <w:t xml:space="preserve">, </w:t>
      </w:r>
      <w:r w:rsidR="003F2893" w:rsidRPr="0018095C">
        <w:rPr>
          <w:rFonts w:cstheme="minorHAnsi"/>
          <w:iCs/>
          <w:sz w:val="24"/>
          <w:szCs w:val="24"/>
        </w:rPr>
        <w:t xml:space="preserve">which harm women in specific ways, </w:t>
      </w:r>
      <w:r w:rsidR="004E0FBA" w:rsidRPr="0018095C">
        <w:rPr>
          <w:rFonts w:cstheme="minorHAnsi"/>
          <w:iCs/>
          <w:sz w:val="24"/>
          <w:szCs w:val="24"/>
        </w:rPr>
        <w:t xml:space="preserve">what internal or international opportunities are available for </w:t>
      </w:r>
      <w:r w:rsidR="00252869" w:rsidRPr="0018095C">
        <w:rPr>
          <w:rFonts w:cstheme="minorHAnsi"/>
          <w:iCs/>
          <w:sz w:val="24"/>
          <w:szCs w:val="24"/>
        </w:rPr>
        <w:t xml:space="preserve">the </w:t>
      </w:r>
      <w:r w:rsidR="004E0FBA" w:rsidRPr="0018095C">
        <w:rPr>
          <w:rFonts w:cstheme="minorHAnsi"/>
          <w:iCs/>
          <w:sz w:val="24"/>
          <w:szCs w:val="24"/>
        </w:rPr>
        <w:t>achievement of women’s equal citizenship</w:t>
      </w:r>
      <w:r w:rsidR="004B4C45" w:rsidRPr="0018095C">
        <w:rPr>
          <w:rFonts w:cstheme="minorHAnsi"/>
          <w:iCs/>
          <w:sz w:val="24"/>
          <w:szCs w:val="24"/>
        </w:rPr>
        <w:t xml:space="preserve"> and empowerment</w:t>
      </w:r>
      <w:r w:rsidR="004E0FBA" w:rsidRPr="0018095C">
        <w:rPr>
          <w:rFonts w:cstheme="minorHAnsi"/>
          <w:iCs/>
          <w:sz w:val="24"/>
          <w:szCs w:val="24"/>
        </w:rPr>
        <w:t xml:space="preserve">? </w:t>
      </w:r>
    </w:p>
    <w:p w14:paraId="186B1804" w14:textId="77777777" w:rsidR="00746C5A" w:rsidRDefault="00746C5A" w:rsidP="00D67707">
      <w:pPr>
        <w:spacing w:after="0" w:line="240" w:lineRule="auto"/>
        <w:jc w:val="both"/>
        <w:rPr>
          <w:rFonts w:cstheme="minorHAnsi"/>
          <w:iCs/>
          <w:sz w:val="24"/>
          <w:szCs w:val="24"/>
        </w:rPr>
      </w:pPr>
    </w:p>
    <w:p w14:paraId="51C54A64" w14:textId="11F4C833" w:rsidR="00EC13BF" w:rsidRPr="0018095C" w:rsidRDefault="00086271" w:rsidP="00D67707">
      <w:pPr>
        <w:spacing w:after="0" w:line="240" w:lineRule="auto"/>
        <w:jc w:val="both"/>
        <w:rPr>
          <w:rFonts w:cstheme="minorHAnsi"/>
          <w:iCs/>
          <w:sz w:val="24"/>
          <w:szCs w:val="24"/>
        </w:rPr>
      </w:pPr>
      <w:r w:rsidRPr="0018095C">
        <w:rPr>
          <w:rFonts w:cstheme="minorHAnsi"/>
          <w:iCs/>
          <w:sz w:val="24"/>
          <w:szCs w:val="24"/>
        </w:rPr>
        <w:t xml:space="preserve">I end with some recommendations. </w:t>
      </w:r>
      <w:r w:rsidR="00C13B77" w:rsidRPr="0018095C">
        <w:rPr>
          <w:rFonts w:cstheme="minorHAnsi"/>
          <w:iCs/>
          <w:sz w:val="24"/>
          <w:szCs w:val="24"/>
        </w:rPr>
        <w:t xml:space="preserve">For the women and girls of Iran and Tunisia to advance and attain equality of citizenship and the enjoyment of political, civil, and social/economic rights, both domestic and international changes are needed. Domestically, both countries must adopt legislation ensuring women’s equal rights to inheritance. In Iran, </w:t>
      </w:r>
      <w:proofErr w:type="spellStart"/>
      <w:r w:rsidR="00C13B77" w:rsidRPr="0018095C">
        <w:rPr>
          <w:rFonts w:cstheme="minorHAnsi"/>
          <w:iCs/>
          <w:sz w:val="24"/>
          <w:szCs w:val="24"/>
        </w:rPr>
        <w:t>hejab</w:t>
      </w:r>
      <w:proofErr w:type="spellEnd"/>
      <w:r w:rsidR="00C13B77" w:rsidRPr="0018095C">
        <w:rPr>
          <w:rFonts w:cstheme="minorHAnsi"/>
          <w:iCs/>
          <w:sz w:val="24"/>
          <w:szCs w:val="24"/>
        </w:rPr>
        <w:t xml:space="preserve"> should be voluntary; the state must raise the </w:t>
      </w:r>
      <w:r w:rsidRPr="0018095C">
        <w:rPr>
          <w:rFonts w:cstheme="minorHAnsi"/>
          <w:iCs/>
          <w:sz w:val="24"/>
          <w:szCs w:val="24"/>
        </w:rPr>
        <w:t xml:space="preserve">minimum </w:t>
      </w:r>
      <w:r w:rsidR="00C13B77" w:rsidRPr="0018095C">
        <w:rPr>
          <w:rFonts w:cstheme="minorHAnsi"/>
          <w:iCs/>
          <w:sz w:val="24"/>
          <w:szCs w:val="24"/>
        </w:rPr>
        <w:t>age at first marriage to 16</w:t>
      </w:r>
      <w:r w:rsidR="0010687C" w:rsidRPr="0018095C">
        <w:rPr>
          <w:rFonts w:cstheme="minorHAnsi"/>
          <w:iCs/>
          <w:sz w:val="24"/>
          <w:szCs w:val="24"/>
        </w:rPr>
        <w:t xml:space="preserve">, ban child marriage, </w:t>
      </w:r>
      <w:r w:rsidR="00C13B77" w:rsidRPr="0018095C">
        <w:rPr>
          <w:rFonts w:cstheme="minorHAnsi"/>
          <w:iCs/>
          <w:sz w:val="24"/>
          <w:szCs w:val="24"/>
        </w:rPr>
        <w:t xml:space="preserve">and ratify CEDAW. Internationally, the sanctions regime against Iran must end and Tunisia’s debt </w:t>
      </w:r>
      <w:r w:rsidR="00D076BE">
        <w:rPr>
          <w:rFonts w:cstheme="minorHAnsi"/>
          <w:iCs/>
          <w:sz w:val="24"/>
          <w:szCs w:val="24"/>
        </w:rPr>
        <w:t xml:space="preserve">be </w:t>
      </w:r>
      <w:r w:rsidR="00C13B77" w:rsidRPr="0018095C">
        <w:rPr>
          <w:rFonts w:cstheme="minorHAnsi"/>
          <w:iCs/>
          <w:sz w:val="24"/>
          <w:szCs w:val="24"/>
        </w:rPr>
        <w:t>cancelled. International actors should provide the needed economic cooperation that would lower the unemployment rate in both countries, with a view toward more employment opportunities for women. Acts of citizenship will continue in both countries, but th</w:t>
      </w:r>
      <w:r w:rsidRPr="0018095C">
        <w:rPr>
          <w:rFonts w:cstheme="minorHAnsi"/>
          <w:iCs/>
          <w:sz w:val="24"/>
          <w:szCs w:val="24"/>
        </w:rPr>
        <w:t>o</w:t>
      </w:r>
      <w:r w:rsidR="00C13B77" w:rsidRPr="0018095C">
        <w:rPr>
          <w:rFonts w:cstheme="minorHAnsi"/>
          <w:iCs/>
          <w:sz w:val="24"/>
          <w:szCs w:val="24"/>
        </w:rPr>
        <w:t>se can be supported through constructive – rather than destructive – international measures.</w:t>
      </w:r>
    </w:p>
    <w:p w14:paraId="5A535674" w14:textId="77777777" w:rsidR="00CC0E80" w:rsidRPr="0072561B" w:rsidRDefault="00CC0E80" w:rsidP="00D67707">
      <w:pPr>
        <w:spacing w:after="0" w:line="240" w:lineRule="auto"/>
        <w:jc w:val="both"/>
        <w:rPr>
          <w:rFonts w:cstheme="minorHAnsi"/>
          <w:b/>
          <w:bCs/>
          <w:sz w:val="24"/>
          <w:szCs w:val="24"/>
        </w:rPr>
      </w:pPr>
    </w:p>
    <w:p w14:paraId="1439DCC0" w14:textId="77777777" w:rsidR="0080636F" w:rsidRPr="0072561B" w:rsidRDefault="0080636F" w:rsidP="008E660F">
      <w:pPr>
        <w:spacing w:line="360" w:lineRule="auto"/>
        <w:rPr>
          <w:rFonts w:cstheme="minorHAnsi"/>
          <w:color w:val="000000"/>
          <w:sz w:val="24"/>
          <w:szCs w:val="24"/>
        </w:rPr>
      </w:pPr>
    </w:p>
    <w:sectPr w:rsidR="0080636F" w:rsidRPr="0072561B" w:rsidSect="00BE4DAC">
      <w:headerReference w:type="even" r:id="rId11"/>
      <w:headerReference w:type="default" r:id="rId12"/>
      <w:footerReference w:type="even"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0EFB" w14:textId="77777777" w:rsidR="00020E4E" w:rsidRDefault="00020E4E" w:rsidP="005852B3">
      <w:pPr>
        <w:spacing w:after="0" w:line="240" w:lineRule="auto"/>
      </w:pPr>
      <w:r>
        <w:separator/>
      </w:r>
    </w:p>
  </w:endnote>
  <w:endnote w:type="continuationSeparator" w:id="0">
    <w:p w14:paraId="74983868" w14:textId="77777777" w:rsidR="00020E4E" w:rsidRDefault="00020E4E" w:rsidP="005852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687D" w14:textId="01C62DE2" w:rsidR="00D74014" w:rsidRDefault="00D74014">
    <w:pPr>
      <w:pStyle w:val="Footer"/>
      <w:jc w:val="center"/>
    </w:pPr>
    <w:r>
      <w:t>_____________________________________________________________________________________</w:t>
    </w:r>
  </w:p>
  <w:p w14:paraId="39B81BDE" w14:textId="77777777" w:rsidR="00D74014" w:rsidRDefault="00D74014">
    <w:pPr>
      <w:pStyle w:val="Footer"/>
      <w:jc w:val="center"/>
    </w:pPr>
  </w:p>
  <w:sdt>
    <w:sdtPr>
      <w:id w:val="-1960253538"/>
      <w:docPartObj>
        <w:docPartGallery w:val="Page Numbers (Bottom of Page)"/>
        <w:docPartUnique/>
      </w:docPartObj>
    </w:sdtPr>
    <w:sdtEndPr>
      <w:rPr>
        <w:noProof/>
      </w:rPr>
    </w:sdtEndPr>
    <w:sdtContent>
      <w:p w14:paraId="20E13437" w14:textId="789EAEFF" w:rsidR="00D74014" w:rsidRDefault="00D740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D79FB1" w14:textId="77777777" w:rsidR="00BE4DAC" w:rsidRDefault="00BE4D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79E5" w14:textId="39DE716B" w:rsidR="0029152A" w:rsidRDefault="0029152A">
    <w:pPr>
      <w:pStyle w:val="Footer"/>
      <w:jc w:val="center"/>
    </w:pPr>
    <w:r>
      <w:t>_____________________________________________________________________________________</w:t>
    </w:r>
  </w:p>
  <w:p w14:paraId="54C18D24" w14:textId="77777777" w:rsidR="0029152A" w:rsidRDefault="0029152A">
    <w:pPr>
      <w:pStyle w:val="Footer"/>
      <w:jc w:val="center"/>
    </w:pPr>
  </w:p>
  <w:sdt>
    <w:sdtPr>
      <w:id w:val="1414193742"/>
      <w:docPartObj>
        <w:docPartGallery w:val="Page Numbers (Bottom of Page)"/>
        <w:docPartUnique/>
      </w:docPartObj>
    </w:sdtPr>
    <w:sdtEndPr>
      <w:rPr>
        <w:noProof/>
      </w:rPr>
    </w:sdtEndPr>
    <w:sdtContent>
      <w:p w14:paraId="5440903A" w14:textId="1B6EDB5F" w:rsidR="0029152A" w:rsidRDefault="002915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667448" w14:textId="77777777" w:rsidR="005852B3" w:rsidRDefault="005852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1127" w14:textId="77777777" w:rsidR="00020E4E" w:rsidRDefault="00020E4E" w:rsidP="005852B3">
      <w:pPr>
        <w:spacing w:after="0" w:line="240" w:lineRule="auto"/>
      </w:pPr>
      <w:r>
        <w:separator/>
      </w:r>
    </w:p>
  </w:footnote>
  <w:footnote w:type="continuationSeparator" w:id="0">
    <w:p w14:paraId="3D2079A4" w14:textId="77777777" w:rsidR="00020E4E" w:rsidRDefault="00020E4E" w:rsidP="005852B3">
      <w:pPr>
        <w:spacing w:after="0" w:line="240" w:lineRule="auto"/>
      </w:pPr>
      <w:r>
        <w:continuationSeparator/>
      </w:r>
    </w:p>
  </w:footnote>
  <w:footnote w:id="1">
    <w:p w14:paraId="60498CA3" w14:textId="0E2DC433" w:rsidR="00C76C7D" w:rsidRPr="00C76C7D" w:rsidRDefault="00C76C7D">
      <w:pPr>
        <w:pStyle w:val="FootnoteText"/>
      </w:pPr>
      <w:r w:rsidRPr="00C76C7D">
        <w:rPr>
          <w:rStyle w:val="FootnoteReference"/>
        </w:rPr>
        <w:sym w:font="Symbol" w:char="F02A"/>
      </w:r>
      <w:r>
        <w:t xml:space="preserve"> </w:t>
      </w:r>
      <w:r w:rsidR="0094084A" w:rsidRPr="0057225D">
        <w:rPr>
          <w:sz w:val="22"/>
          <w:szCs w:val="22"/>
        </w:rPr>
        <w:t>Professor of Sociology and International Affairs,</w:t>
      </w:r>
      <w:r w:rsidR="0094084A">
        <w:t xml:space="preserve"> </w:t>
      </w:r>
      <w:r w:rsidR="0048429C" w:rsidRPr="00277B19">
        <w:rPr>
          <w:sz w:val="22"/>
          <w:szCs w:val="22"/>
        </w:rPr>
        <w:t>Northeastern University, USA</w:t>
      </w:r>
      <w:r w:rsidR="00277B19">
        <w:rPr>
          <w:sz w:val="22"/>
          <w:szCs w:val="22"/>
        </w:rPr>
        <w:t>.</w:t>
      </w:r>
      <w:r w:rsidR="00C65305">
        <w:rPr>
          <w:sz w:val="22"/>
          <w:szCs w:val="22"/>
        </w:rPr>
        <w:t xml:space="preserve"> Email </w:t>
      </w:r>
      <w:hyperlink r:id="rId1" w:history="1">
        <w:r w:rsidR="00C65305" w:rsidRPr="004364F8">
          <w:rPr>
            <w:rStyle w:val="Hyperlink"/>
            <w:sz w:val="22"/>
            <w:szCs w:val="22"/>
          </w:rPr>
          <w:t>v.moghadam@northeastern.edu</w:t>
        </w:r>
      </w:hyperlink>
      <w:r w:rsidR="00C65305">
        <w:rPr>
          <w:sz w:val="22"/>
          <w:szCs w:val="22"/>
        </w:rPr>
        <w:t xml:space="preserve"> </w:t>
      </w:r>
    </w:p>
  </w:footnote>
  <w:footnote w:id="2">
    <w:p w14:paraId="02274B10" w14:textId="04C96FAE" w:rsidR="00A94B48" w:rsidRPr="0018095C" w:rsidRDefault="00A94B48" w:rsidP="001E0900">
      <w:pPr>
        <w:pStyle w:val="FootnoteText"/>
        <w:rPr>
          <w:rFonts w:cstheme="minorHAnsi"/>
          <w:sz w:val="22"/>
          <w:szCs w:val="22"/>
        </w:rPr>
      </w:pPr>
      <w:r w:rsidRPr="0072561B">
        <w:rPr>
          <w:rStyle w:val="FootnoteReference"/>
          <w:rFonts w:cstheme="minorHAnsi"/>
          <w:sz w:val="22"/>
          <w:szCs w:val="22"/>
        </w:rPr>
        <w:footnoteRef/>
      </w:r>
      <w:r w:rsidRPr="0072561B">
        <w:rPr>
          <w:rFonts w:cstheme="minorHAnsi"/>
          <w:sz w:val="22"/>
          <w:szCs w:val="22"/>
        </w:rPr>
        <w:t xml:space="preserve"> </w:t>
      </w:r>
      <w:r w:rsidRPr="0018095C">
        <w:rPr>
          <w:rFonts w:cstheme="minorHAnsi"/>
          <w:sz w:val="22"/>
          <w:szCs w:val="22"/>
        </w:rPr>
        <w:t xml:space="preserve">TH Marshall and T Bottomore, </w:t>
      </w:r>
      <w:r w:rsidRPr="0018095C">
        <w:rPr>
          <w:rFonts w:cstheme="minorHAnsi"/>
          <w:i/>
          <w:iCs/>
          <w:sz w:val="22"/>
          <w:szCs w:val="22"/>
        </w:rPr>
        <w:t xml:space="preserve">Citizenship and Social Class </w:t>
      </w:r>
      <w:r w:rsidRPr="0018095C">
        <w:rPr>
          <w:rFonts w:cstheme="minorHAnsi"/>
          <w:sz w:val="22"/>
          <w:szCs w:val="22"/>
        </w:rPr>
        <w:t>(CUP, Cambridge</w:t>
      </w:r>
      <w:r w:rsidR="005F6D11">
        <w:rPr>
          <w:rFonts w:cstheme="minorHAnsi"/>
          <w:sz w:val="22"/>
          <w:szCs w:val="22"/>
        </w:rPr>
        <w:t>,</w:t>
      </w:r>
      <w:r w:rsidRPr="0018095C">
        <w:rPr>
          <w:rFonts w:cstheme="minorHAnsi"/>
          <w:sz w:val="22"/>
          <w:szCs w:val="22"/>
        </w:rPr>
        <w:t xml:space="preserve"> 1992), 6, 8-10. Marshall’s book was first published in 1950. It traced the evolution of rights in Britain and the conceptual foundations of a welfare state there</w:t>
      </w:r>
      <w:r w:rsidR="00E17A5B" w:rsidRPr="0018095C">
        <w:rPr>
          <w:rFonts w:cstheme="minorHAnsi"/>
          <w:sz w:val="22"/>
          <w:szCs w:val="22"/>
        </w:rPr>
        <w:t xml:space="preserve"> but has</w:t>
      </w:r>
      <w:r w:rsidR="00AC1163" w:rsidRPr="0018095C">
        <w:rPr>
          <w:rFonts w:cstheme="minorHAnsi"/>
          <w:sz w:val="22"/>
          <w:szCs w:val="22"/>
        </w:rPr>
        <w:t xml:space="preserve"> </w:t>
      </w:r>
      <w:r w:rsidRPr="0018095C">
        <w:rPr>
          <w:rFonts w:cstheme="minorHAnsi"/>
          <w:sz w:val="22"/>
          <w:szCs w:val="22"/>
        </w:rPr>
        <w:t>inspired many subsequent scholars.</w:t>
      </w:r>
    </w:p>
  </w:footnote>
  <w:footnote w:id="3">
    <w:p w14:paraId="626F2A3B" w14:textId="3E072C49" w:rsidR="003759C3" w:rsidRPr="0018095C" w:rsidRDefault="003759C3" w:rsidP="001E0900">
      <w:pPr>
        <w:pStyle w:val="BodyTextIndent2"/>
        <w:spacing w:after="0" w:line="240" w:lineRule="auto"/>
        <w:ind w:left="0"/>
        <w:rPr>
          <w:rFonts w:cstheme="minorHAnsi"/>
        </w:rPr>
      </w:pPr>
      <w:r w:rsidRPr="0018095C">
        <w:rPr>
          <w:rStyle w:val="FootnoteReference"/>
          <w:rFonts w:cstheme="minorHAnsi"/>
        </w:rPr>
        <w:footnoteRef/>
      </w:r>
      <w:r w:rsidR="0018430F" w:rsidRPr="0018095C">
        <w:rPr>
          <w:rFonts w:cstheme="minorHAnsi"/>
        </w:rPr>
        <w:t xml:space="preserve"> </w:t>
      </w:r>
      <w:r w:rsidR="0019548F" w:rsidRPr="0018095C">
        <w:rPr>
          <w:rFonts w:cstheme="minorHAnsi"/>
        </w:rPr>
        <w:t>On varied citizenship regimes, s</w:t>
      </w:r>
      <w:r w:rsidR="0018430F" w:rsidRPr="0018095C">
        <w:rPr>
          <w:rFonts w:cstheme="minorHAnsi"/>
        </w:rPr>
        <w:t xml:space="preserve">ee T Janoski, </w:t>
      </w:r>
      <w:r w:rsidR="0018430F" w:rsidRPr="0018095C">
        <w:rPr>
          <w:rFonts w:cstheme="minorHAnsi"/>
          <w:i/>
        </w:rPr>
        <w:t xml:space="preserve">Citizenship and Civil Society: A Framework of Rights and Obligations in Liberal, Traditional, and Social Democratic Regimes </w:t>
      </w:r>
      <w:r w:rsidR="0018430F" w:rsidRPr="0018095C">
        <w:rPr>
          <w:rFonts w:cstheme="minorHAnsi"/>
          <w:iCs/>
        </w:rPr>
        <w:t>(</w:t>
      </w:r>
      <w:r w:rsidR="0018430F" w:rsidRPr="0018095C">
        <w:rPr>
          <w:rFonts w:cstheme="minorHAnsi"/>
        </w:rPr>
        <w:t>CUP, Cambridge</w:t>
      </w:r>
      <w:r w:rsidR="005F6D11">
        <w:rPr>
          <w:rFonts w:cstheme="minorHAnsi"/>
        </w:rPr>
        <w:t>,</w:t>
      </w:r>
      <w:r w:rsidR="0018430F" w:rsidRPr="0018095C">
        <w:rPr>
          <w:rFonts w:cstheme="minorHAnsi"/>
        </w:rPr>
        <w:t xml:space="preserve"> 1998). </w:t>
      </w:r>
    </w:p>
  </w:footnote>
  <w:footnote w:id="4">
    <w:p w14:paraId="47718F5F" w14:textId="2BF7833E" w:rsidR="00573811" w:rsidRPr="0018095C" w:rsidRDefault="00573811" w:rsidP="001E0900">
      <w:pPr>
        <w:spacing w:after="0" w:line="240" w:lineRule="auto"/>
        <w:rPr>
          <w:rFonts w:cstheme="minorHAnsi"/>
        </w:rPr>
      </w:pPr>
      <w:r w:rsidRPr="0018095C">
        <w:rPr>
          <w:rStyle w:val="FootnoteReference"/>
          <w:rFonts w:cstheme="minorHAnsi"/>
        </w:rPr>
        <w:footnoteRef/>
      </w:r>
      <w:r w:rsidRPr="0018095C">
        <w:rPr>
          <w:rFonts w:cstheme="minorHAnsi"/>
        </w:rPr>
        <w:t xml:space="preserve"> B Turner, ‘Outline of a Theory of Citizenship’ [1990], </w:t>
      </w:r>
      <w:r w:rsidRPr="0018095C">
        <w:rPr>
          <w:rFonts w:cstheme="minorHAnsi"/>
          <w:i/>
          <w:iCs/>
        </w:rPr>
        <w:t>Sociology</w:t>
      </w:r>
      <w:r w:rsidRPr="0018095C">
        <w:rPr>
          <w:rFonts w:cstheme="minorHAnsi"/>
        </w:rPr>
        <w:t xml:space="preserve"> 24(2)</w:t>
      </w:r>
      <w:r w:rsidR="003B3E1E">
        <w:rPr>
          <w:rFonts w:cstheme="minorHAnsi"/>
        </w:rPr>
        <w:t>,</w:t>
      </w:r>
      <w:r w:rsidR="0019548F" w:rsidRPr="0018095C">
        <w:rPr>
          <w:rFonts w:cstheme="minorHAnsi"/>
        </w:rPr>
        <w:t xml:space="preserve"> 189-217</w:t>
      </w:r>
      <w:r w:rsidRPr="0018095C">
        <w:rPr>
          <w:rFonts w:cstheme="minorHAnsi"/>
        </w:rPr>
        <w:t>; E</w:t>
      </w:r>
      <w:r w:rsidR="00E60453" w:rsidRPr="0018095C">
        <w:rPr>
          <w:rFonts w:cstheme="minorHAnsi"/>
        </w:rPr>
        <w:t>F</w:t>
      </w:r>
      <w:r w:rsidRPr="0018095C">
        <w:rPr>
          <w:rFonts w:cstheme="minorHAnsi"/>
        </w:rPr>
        <w:t xml:space="preserve"> Isin </w:t>
      </w:r>
      <w:r w:rsidR="008E5587">
        <w:rPr>
          <w:rFonts w:cstheme="minorHAnsi"/>
        </w:rPr>
        <w:t>and</w:t>
      </w:r>
      <w:r w:rsidRPr="0018095C">
        <w:rPr>
          <w:rFonts w:cstheme="minorHAnsi"/>
        </w:rPr>
        <w:t xml:space="preserve"> GM Nielsen, ‘</w:t>
      </w:r>
      <w:r w:rsidR="00F471E6" w:rsidRPr="0018095C">
        <w:rPr>
          <w:rFonts w:cstheme="minorHAnsi"/>
        </w:rPr>
        <w:t>Introduction</w:t>
      </w:r>
      <w:r w:rsidRPr="0018095C">
        <w:rPr>
          <w:rFonts w:cstheme="minorHAnsi"/>
        </w:rPr>
        <w:t>’</w:t>
      </w:r>
      <w:r w:rsidR="00F471E6" w:rsidRPr="0018095C">
        <w:rPr>
          <w:rFonts w:cstheme="minorHAnsi"/>
        </w:rPr>
        <w:t xml:space="preserve">, in Isin and Nielsen (eds.), </w:t>
      </w:r>
      <w:r w:rsidR="00F471E6" w:rsidRPr="0018095C">
        <w:rPr>
          <w:rFonts w:cstheme="minorHAnsi"/>
          <w:i/>
          <w:iCs/>
        </w:rPr>
        <w:t xml:space="preserve">Acts of Citizenship </w:t>
      </w:r>
      <w:r w:rsidR="00F471E6" w:rsidRPr="0018095C">
        <w:rPr>
          <w:rFonts w:cstheme="minorHAnsi"/>
        </w:rPr>
        <w:t>(Zed Books, London</w:t>
      </w:r>
      <w:r w:rsidR="00FF5E8F">
        <w:rPr>
          <w:rFonts w:cstheme="minorHAnsi"/>
        </w:rPr>
        <w:t>,</w:t>
      </w:r>
      <w:r w:rsidR="00F471E6" w:rsidRPr="0018095C">
        <w:rPr>
          <w:rFonts w:cstheme="minorHAnsi"/>
        </w:rPr>
        <w:t xml:space="preserve"> 2008)</w:t>
      </w:r>
      <w:r w:rsidR="00E60453" w:rsidRPr="0018095C">
        <w:rPr>
          <w:rFonts w:cstheme="minorHAnsi"/>
        </w:rPr>
        <w:t>, 1-12</w:t>
      </w:r>
      <w:r w:rsidRPr="0018095C">
        <w:rPr>
          <w:rFonts w:cstheme="minorHAnsi"/>
        </w:rPr>
        <w:t xml:space="preserve">.  </w:t>
      </w:r>
    </w:p>
  </w:footnote>
  <w:footnote w:id="5">
    <w:p w14:paraId="17206755" w14:textId="1E77704B" w:rsidR="003759C3" w:rsidRPr="0018095C" w:rsidRDefault="003759C3" w:rsidP="001E0900">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18430F" w:rsidRPr="0018095C">
        <w:rPr>
          <w:rFonts w:cstheme="minorHAnsi"/>
        </w:rPr>
        <w:t xml:space="preserve">C Pateman, </w:t>
      </w:r>
      <w:r w:rsidR="0018430F" w:rsidRPr="0018095C">
        <w:rPr>
          <w:rFonts w:cstheme="minorHAnsi"/>
          <w:i/>
        </w:rPr>
        <w:t>The Sexual Contract</w:t>
      </w:r>
      <w:r w:rsidR="0018430F" w:rsidRPr="0018095C">
        <w:rPr>
          <w:rFonts w:cstheme="minorHAnsi"/>
        </w:rPr>
        <w:t xml:space="preserve"> (Stanford UP, Stanford</w:t>
      </w:r>
      <w:r w:rsidR="00AB59D0">
        <w:rPr>
          <w:rFonts w:cstheme="minorHAnsi"/>
        </w:rPr>
        <w:t>,</w:t>
      </w:r>
      <w:r w:rsidR="0018430F" w:rsidRPr="0018095C">
        <w:rPr>
          <w:rFonts w:cstheme="minorHAnsi"/>
        </w:rPr>
        <w:t xml:space="preserve"> 1988). See also: R Lister, </w:t>
      </w:r>
      <w:r w:rsidR="0018430F" w:rsidRPr="0018095C">
        <w:rPr>
          <w:rFonts w:cstheme="minorHAnsi"/>
          <w:i/>
        </w:rPr>
        <w:t xml:space="preserve">Citizenship: Feminist Perspectives </w:t>
      </w:r>
      <w:r w:rsidR="0018430F" w:rsidRPr="0018095C">
        <w:rPr>
          <w:rFonts w:cstheme="minorHAnsi"/>
          <w:iCs/>
        </w:rPr>
        <w:t>(</w:t>
      </w:r>
      <w:r w:rsidR="0018095C">
        <w:rPr>
          <w:rFonts w:cstheme="minorHAnsi"/>
          <w:iCs/>
        </w:rPr>
        <w:t xml:space="preserve">Palgrave, </w:t>
      </w:r>
      <w:r w:rsidR="0018430F" w:rsidRPr="0018095C">
        <w:rPr>
          <w:rFonts w:cstheme="minorHAnsi"/>
        </w:rPr>
        <w:t>London</w:t>
      </w:r>
      <w:r w:rsidR="005F6D11">
        <w:rPr>
          <w:rFonts w:cstheme="minorHAnsi"/>
        </w:rPr>
        <w:t>,</w:t>
      </w:r>
      <w:r w:rsidR="0018430F" w:rsidRPr="0018095C">
        <w:rPr>
          <w:rFonts w:cstheme="minorHAnsi"/>
        </w:rPr>
        <w:t xml:space="preserve"> 1997)</w:t>
      </w:r>
      <w:r w:rsidR="0074032A" w:rsidRPr="0018095C">
        <w:rPr>
          <w:rFonts w:cstheme="minorHAnsi"/>
        </w:rPr>
        <w:t>, and ‘Dilemmas in Engendering Citizenship’</w:t>
      </w:r>
      <w:r w:rsidR="00AB59D0">
        <w:rPr>
          <w:rFonts w:cstheme="minorHAnsi"/>
        </w:rPr>
        <w:t>,</w:t>
      </w:r>
      <w:r w:rsidR="0074032A" w:rsidRPr="0018095C">
        <w:rPr>
          <w:rFonts w:cstheme="minorHAnsi"/>
        </w:rPr>
        <w:t xml:space="preserve"> in B Hobson (ed), </w:t>
      </w:r>
      <w:r w:rsidR="0074032A" w:rsidRPr="0018095C">
        <w:rPr>
          <w:rFonts w:cstheme="minorHAnsi"/>
          <w:i/>
        </w:rPr>
        <w:t>Gender and Citizenship in Transition</w:t>
      </w:r>
      <w:r w:rsidR="0074032A" w:rsidRPr="0018095C">
        <w:rPr>
          <w:rFonts w:cstheme="minorHAnsi"/>
        </w:rPr>
        <w:t xml:space="preserve"> (Routledge, London</w:t>
      </w:r>
      <w:r w:rsidR="00331210">
        <w:rPr>
          <w:rFonts w:cstheme="minorHAnsi"/>
        </w:rPr>
        <w:t>,</w:t>
      </w:r>
      <w:r w:rsidR="0074032A" w:rsidRPr="0018095C">
        <w:rPr>
          <w:rFonts w:cstheme="minorHAnsi"/>
        </w:rPr>
        <w:t xml:space="preserve"> 2000); </w:t>
      </w:r>
      <w:r w:rsidR="0018430F" w:rsidRPr="0018095C">
        <w:rPr>
          <w:rFonts w:cstheme="minorHAnsi"/>
        </w:rPr>
        <w:t>U Narayan, ‘Towards a Feminist Vision of Citizenship: Rethinking the Implications of Dignity, Political Participation, and Nationality’</w:t>
      </w:r>
      <w:r w:rsidR="00331210">
        <w:rPr>
          <w:rFonts w:cstheme="minorHAnsi"/>
        </w:rPr>
        <w:t>,</w:t>
      </w:r>
      <w:r w:rsidR="0018430F" w:rsidRPr="0018095C">
        <w:rPr>
          <w:rFonts w:cstheme="minorHAnsi"/>
        </w:rPr>
        <w:t xml:space="preserve"> in M Lyndon Shanley and U Narayan (eds), </w:t>
      </w:r>
      <w:r w:rsidR="0018430F" w:rsidRPr="0018095C">
        <w:rPr>
          <w:rFonts w:cstheme="minorHAnsi"/>
          <w:i/>
        </w:rPr>
        <w:t>Reconstructing Political Theory: Feminist Perspectives</w:t>
      </w:r>
      <w:r w:rsidR="0018430F" w:rsidRPr="0018095C">
        <w:rPr>
          <w:rFonts w:cstheme="minorHAnsi"/>
        </w:rPr>
        <w:t xml:space="preserve"> (Polity, London</w:t>
      </w:r>
      <w:r w:rsidR="005F6D11">
        <w:rPr>
          <w:rFonts w:cstheme="minorHAnsi"/>
        </w:rPr>
        <w:t>,</w:t>
      </w:r>
      <w:r w:rsidR="0018430F" w:rsidRPr="0018095C">
        <w:rPr>
          <w:rFonts w:cstheme="minorHAnsi"/>
        </w:rPr>
        <w:t xml:space="preserve"> 1997); S Walby, ‘Is Citizenship Gendered?’ [1994]</w:t>
      </w:r>
      <w:r w:rsidR="008E5587">
        <w:rPr>
          <w:rFonts w:cstheme="minorHAnsi"/>
        </w:rPr>
        <w:t>,</w:t>
      </w:r>
      <w:r w:rsidR="0018430F" w:rsidRPr="0018095C">
        <w:rPr>
          <w:rFonts w:cstheme="minorHAnsi"/>
        </w:rPr>
        <w:t xml:space="preserve"> </w:t>
      </w:r>
      <w:r w:rsidR="0018430F" w:rsidRPr="0018095C">
        <w:rPr>
          <w:rFonts w:cstheme="minorHAnsi"/>
          <w:i/>
        </w:rPr>
        <w:t>Sociology</w:t>
      </w:r>
      <w:r w:rsidR="0018430F" w:rsidRPr="0018095C">
        <w:rPr>
          <w:rFonts w:cstheme="minorHAnsi"/>
        </w:rPr>
        <w:t xml:space="preserve"> 28(2), 379-395. </w:t>
      </w:r>
    </w:p>
  </w:footnote>
  <w:footnote w:id="6">
    <w:p w14:paraId="158CBD13" w14:textId="1DD54B62" w:rsidR="003759C3" w:rsidRPr="0018095C" w:rsidRDefault="003759C3" w:rsidP="001E0900">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74032A" w:rsidRPr="0018095C">
        <w:rPr>
          <w:rFonts w:cstheme="minorHAnsi"/>
        </w:rPr>
        <w:t xml:space="preserve">N Berkovitch, </w:t>
      </w:r>
      <w:r w:rsidR="0074032A" w:rsidRPr="0018095C">
        <w:rPr>
          <w:rFonts w:cstheme="minorHAnsi"/>
          <w:i/>
          <w:iCs/>
        </w:rPr>
        <w:t xml:space="preserve">From Motherhood to Citizenship: Women’s Rights and International Organizations </w:t>
      </w:r>
      <w:r w:rsidR="0074032A" w:rsidRPr="0018095C">
        <w:rPr>
          <w:rFonts w:cstheme="minorHAnsi"/>
        </w:rPr>
        <w:t>(JHU Press, Baltimore</w:t>
      </w:r>
      <w:r w:rsidR="005F6D11">
        <w:rPr>
          <w:rFonts w:cstheme="minorHAnsi"/>
        </w:rPr>
        <w:t>,</w:t>
      </w:r>
      <w:r w:rsidR="0074032A" w:rsidRPr="0018095C">
        <w:rPr>
          <w:rFonts w:cstheme="minorHAnsi"/>
        </w:rPr>
        <w:t xml:space="preserve"> 1999); M Keck </w:t>
      </w:r>
      <w:r w:rsidR="008E5587">
        <w:rPr>
          <w:rFonts w:cstheme="minorHAnsi"/>
        </w:rPr>
        <w:t>and</w:t>
      </w:r>
      <w:r w:rsidR="0074032A" w:rsidRPr="0018095C">
        <w:rPr>
          <w:rFonts w:cstheme="minorHAnsi"/>
        </w:rPr>
        <w:t xml:space="preserve"> K Sikkink, </w:t>
      </w:r>
      <w:r w:rsidR="0074032A" w:rsidRPr="0018095C">
        <w:rPr>
          <w:rFonts w:cstheme="minorHAnsi"/>
          <w:i/>
        </w:rPr>
        <w:t xml:space="preserve">Activists Beyond Borders: Advocacy Networks in International Politics </w:t>
      </w:r>
      <w:r w:rsidR="0074032A" w:rsidRPr="0018095C">
        <w:rPr>
          <w:rFonts w:cstheme="minorHAnsi"/>
          <w:iCs/>
        </w:rPr>
        <w:t>(</w:t>
      </w:r>
      <w:r w:rsidR="0074032A" w:rsidRPr="0018095C">
        <w:rPr>
          <w:rFonts w:cstheme="minorHAnsi"/>
        </w:rPr>
        <w:t>Cornell UP, Ithaca</w:t>
      </w:r>
      <w:r w:rsidR="005812D1">
        <w:rPr>
          <w:rFonts w:cstheme="minorHAnsi"/>
        </w:rPr>
        <w:t>,</w:t>
      </w:r>
      <w:r w:rsidR="0074032A" w:rsidRPr="0018095C">
        <w:rPr>
          <w:rFonts w:cstheme="minorHAnsi"/>
        </w:rPr>
        <w:t xml:space="preserve"> 1998); </w:t>
      </w:r>
      <w:r w:rsidR="0074032A" w:rsidRPr="0018095C">
        <w:rPr>
          <w:rFonts w:cstheme="minorHAnsi"/>
          <w:bCs/>
        </w:rPr>
        <w:t xml:space="preserve">P Paxton, M Hughes </w:t>
      </w:r>
      <w:r w:rsidR="008E5587">
        <w:rPr>
          <w:rFonts w:cstheme="minorHAnsi"/>
          <w:bCs/>
        </w:rPr>
        <w:t>and</w:t>
      </w:r>
      <w:r w:rsidR="0074032A" w:rsidRPr="0018095C">
        <w:rPr>
          <w:rFonts w:cstheme="minorHAnsi"/>
          <w:bCs/>
        </w:rPr>
        <w:t xml:space="preserve"> T Barnes, </w:t>
      </w:r>
      <w:r w:rsidR="0074032A" w:rsidRPr="0018095C">
        <w:rPr>
          <w:rFonts w:cstheme="minorHAnsi"/>
          <w:bCs/>
          <w:i/>
          <w:iCs/>
        </w:rPr>
        <w:t xml:space="preserve">Women, Politics, and Power </w:t>
      </w:r>
      <w:r w:rsidR="0074032A" w:rsidRPr="0018095C">
        <w:rPr>
          <w:rFonts w:cstheme="minorHAnsi"/>
          <w:bCs/>
        </w:rPr>
        <w:t>(4</w:t>
      </w:r>
      <w:r w:rsidR="0074032A" w:rsidRPr="0018095C">
        <w:rPr>
          <w:rFonts w:cstheme="minorHAnsi"/>
          <w:bCs/>
          <w:vertAlign w:val="superscript"/>
        </w:rPr>
        <w:t>th</w:t>
      </w:r>
      <w:r w:rsidR="0074032A" w:rsidRPr="0018095C">
        <w:rPr>
          <w:rFonts w:cstheme="minorHAnsi"/>
          <w:bCs/>
        </w:rPr>
        <w:t xml:space="preserve"> edn, Rowman &amp; Littlefield, Lanham</w:t>
      </w:r>
      <w:r w:rsidR="005F6D11">
        <w:rPr>
          <w:rFonts w:cstheme="minorHAnsi"/>
          <w:bCs/>
        </w:rPr>
        <w:t>,</w:t>
      </w:r>
      <w:r w:rsidR="0074032A" w:rsidRPr="0018095C">
        <w:rPr>
          <w:rFonts w:cstheme="minorHAnsi"/>
          <w:bCs/>
        </w:rPr>
        <w:t xml:space="preserve"> 2020). </w:t>
      </w:r>
      <w:r w:rsidR="00851D1E" w:rsidRPr="0018095C">
        <w:rPr>
          <w:rFonts w:cstheme="minorHAnsi"/>
          <w:bCs/>
        </w:rPr>
        <w:t xml:space="preserve"> </w:t>
      </w:r>
    </w:p>
  </w:footnote>
  <w:footnote w:id="7">
    <w:p w14:paraId="425C61E0" w14:textId="4D82B512" w:rsidR="00D03F2A" w:rsidRPr="0018095C" w:rsidRDefault="00D03F2A" w:rsidP="001E0900">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In Iran, for example, a non-Muslim citizen (Christian, Jewish, Zoroastrian) cannot attain a high government position, such as cabinet minister. This is not the case for Christians in Jordan or Egypt, but in the latter, attacks on Christian (Coptic) gatherings have occurred with some </w:t>
      </w:r>
      <w:r w:rsidR="00751C68" w:rsidRPr="0018095C">
        <w:rPr>
          <w:rFonts w:cstheme="minorHAnsi"/>
          <w:sz w:val="22"/>
          <w:szCs w:val="22"/>
        </w:rPr>
        <w:t>frequency</w:t>
      </w:r>
      <w:r w:rsidR="003E10CF" w:rsidRPr="0018095C">
        <w:rPr>
          <w:rFonts w:cstheme="minorHAnsi"/>
          <w:sz w:val="22"/>
          <w:szCs w:val="22"/>
        </w:rPr>
        <w:t>, and church construction, unlike the building of mosques, is limited</w:t>
      </w:r>
      <w:r w:rsidR="00751C68" w:rsidRPr="0018095C">
        <w:rPr>
          <w:rFonts w:cstheme="minorHAnsi"/>
          <w:sz w:val="22"/>
          <w:szCs w:val="22"/>
        </w:rPr>
        <w:t>. See</w:t>
      </w:r>
      <w:r w:rsidR="00802BEC" w:rsidRPr="0018095C">
        <w:rPr>
          <w:rFonts w:cstheme="minorHAnsi"/>
          <w:sz w:val="22"/>
          <w:szCs w:val="22"/>
        </w:rPr>
        <w:t>, e.g.,</w:t>
      </w:r>
      <w:r w:rsidR="00751C68" w:rsidRPr="0018095C">
        <w:rPr>
          <w:rFonts w:cstheme="minorHAnsi"/>
          <w:sz w:val="22"/>
          <w:szCs w:val="22"/>
        </w:rPr>
        <w:t xml:space="preserve"> Heba Habib, ‘Palm Sunday church attacks: Egypt’s “worse day of violence”’, </w:t>
      </w:r>
      <w:r w:rsidR="00751C68" w:rsidRPr="0018095C">
        <w:rPr>
          <w:rFonts w:cstheme="minorHAnsi"/>
          <w:i/>
          <w:iCs/>
          <w:sz w:val="22"/>
          <w:szCs w:val="22"/>
        </w:rPr>
        <w:t xml:space="preserve">Al-Jazeera, </w:t>
      </w:r>
      <w:r w:rsidR="00751C68" w:rsidRPr="0018095C">
        <w:rPr>
          <w:rFonts w:cstheme="minorHAnsi"/>
          <w:sz w:val="22"/>
          <w:szCs w:val="22"/>
        </w:rPr>
        <w:t xml:space="preserve">8 April 2022, </w:t>
      </w:r>
      <w:hyperlink r:id="rId2" w:history="1">
        <w:r w:rsidR="00751C68" w:rsidRPr="0072561B">
          <w:rPr>
            <w:rStyle w:val="Hyperlink"/>
            <w:rFonts w:cstheme="minorHAnsi"/>
            <w:color w:val="auto"/>
            <w:sz w:val="22"/>
            <w:szCs w:val="22"/>
            <w:u w:val="none"/>
          </w:rPr>
          <w:t>https://www.aljazeera.com/news/2022/4/8/palm-sunday-church-attacks-egypts-worst-day-of-violence</w:t>
        </w:r>
      </w:hyperlink>
      <w:r w:rsidR="001E0900" w:rsidRPr="0018095C">
        <w:rPr>
          <w:rFonts w:cstheme="minorHAnsi"/>
          <w:sz w:val="22"/>
          <w:szCs w:val="22"/>
        </w:rPr>
        <w:t>.</w:t>
      </w:r>
    </w:p>
  </w:footnote>
  <w:footnote w:id="8">
    <w:p w14:paraId="047DE1E1" w14:textId="060EC461" w:rsidR="00856BBF" w:rsidRPr="0018095C" w:rsidRDefault="00856BBF"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A00616" w:rsidRPr="0018095C">
        <w:rPr>
          <w:rFonts w:cstheme="minorHAnsi"/>
        </w:rPr>
        <w:t xml:space="preserve">The rich literature on Islamic feminism includes: A Barlas, </w:t>
      </w:r>
      <w:r w:rsidR="00A00616" w:rsidRPr="0018095C">
        <w:rPr>
          <w:rFonts w:cstheme="minorHAnsi"/>
          <w:i/>
          <w:iCs/>
          <w:lang w:val="en-GB"/>
        </w:rPr>
        <w:t>Believing Women in Islam: Unreading Patriarchal Interpretations of the Qur’an</w:t>
      </w:r>
      <w:r w:rsidR="004D5D8D" w:rsidRPr="0018095C">
        <w:rPr>
          <w:rFonts w:cstheme="minorHAnsi"/>
          <w:i/>
          <w:iCs/>
          <w:lang w:val="en-GB"/>
        </w:rPr>
        <w:t xml:space="preserve"> </w:t>
      </w:r>
      <w:r w:rsidR="004D5D8D" w:rsidRPr="0018095C">
        <w:rPr>
          <w:rFonts w:cstheme="minorHAnsi"/>
          <w:lang w:val="en-GB"/>
        </w:rPr>
        <w:t xml:space="preserve">(University of Texas Press, </w:t>
      </w:r>
      <w:r w:rsidR="00A00616" w:rsidRPr="0018095C">
        <w:rPr>
          <w:rFonts w:cstheme="minorHAnsi"/>
          <w:lang w:val="en-GB"/>
        </w:rPr>
        <w:t>Austin</w:t>
      </w:r>
      <w:r w:rsidR="005F6D11">
        <w:rPr>
          <w:rFonts w:cstheme="minorHAnsi"/>
          <w:lang w:val="en-GB"/>
        </w:rPr>
        <w:t>,</w:t>
      </w:r>
      <w:r w:rsidR="00A00616" w:rsidRPr="0018095C">
        <w:rPr>
          <w:rFonts w:cstheme="minorHAnsi"/>
          <w:lang w:val="en-GB"/>
        </w:rPr>
        <w:t xml:space="preserve"> 2002</w:t>
      </w:r>
      <w:r w:rsidR="0018095C">
        <w:rPr>
          <w:rFonts w:cstheme="minorHAnsi"/>
          <w:lang w:val="en-GB"/>
        </w:rPr>
        <w:t>)</w:t>
      </w:r>
      <w:r w:rsidR="004D5D8D" w:rsidRPr="0018095C">
        <w:rPr>
          <w:rFonts w:cstheme="minorHAnsi"/>
          <w:lang w:val="en-GB"/>
        </w:rPr>
        <w:t xml:space="preserve">; </w:t>
      </w:r>
      <w:r w:rsidR="00802BEC" w:rsidRPr="0018095C">
        <w:rPr>
          <w:rFonts w:cstheme="minorHAnsi"/>
          <w:lang w:val="en-GB"/>
        </w:rPr>
        <w:t xml:space="preserve">Z Anwar, ‘Introduction: Why Equality and Justice Now’, in </w:t>
      </w:r>
      <w:r w:rsidR="00721839">
        <w:rPr>
          <w:rFonts w:cstheme="minorHAnsi"/>
          <w:lang w:val="en-GB"/>
        </w:rPr>
        <w:t xml:space="preserve">Anwar (ed), </w:t>
      </w:r>
      <w:r w:rsidR="00802BEC" w:rsidRPr="0018095C">
        <w:rPr>
          <w:rFonts w:cstheme="minorHAnsi"/>
          <w:i/>
          <w:iCs/>
          <w:lang w:val="en-GB"/>
        </w:rPr>
        <w:t>Wanted: Equality and Justice in the Muslim Family</w:t>
      </w:r>
      <w:r w:rsidR="00802BEC" w:rsidRPr="0018095C">
        <w:rPr>
          <w:rFonts w:cstheme="minorHAnsi"/>
          <w:lang w:val="en-GB"/>
        </w:rPr>
        <w:t xml:space="preserve"> (</w:t>
      </w:r>
      <w:proofErr w:type="spellStart"/>
      <w:r w:rsidR="00802BEC" w:rsidRPr="0018095C">
        <w:rPr>
          <w:rFonts w:cstheme="minorHAnsi"/>
          <w:lang w:val="en-GB"/>
        </w:rPr>
        <w:t>Musawah</w:t>
      </w:r>
      <w:proofErr w:type="spellEnd"/>
      <w:r w:rsidR="00802BEC" w:rsidRPr="0018095C">
        <w:rPr>
          <w:rFonts w:cstheme="minorHAnsi"/>
          <w:lang w:val="en-GB"/>
        </w:rPr>
        <w:t xml:space="preserve"> [an initiative of Sisters in Islam], Malaysia</w:t>
      </w:r>
      <w:r w:rsidR="005F6D11">
        <w:rPr>
          <w:rFonts w:cstheme="minorHAnsi"/>
          <w:lang w:val="en-GB"/>
        </w:rPr>
        <w:t>,</w:t>
      </w:r>
      <w:r w:rsidR="00802BEC" w:rsidRPr="0018095C">
        <w:rPr>
          <w:rFonts w:cstheme="minorHAnsi"/>
          <w:lang w:val="en-GB"/>
        </w:rPr>
        <w:t xml:space="preserve"> 2009), 1–11; </w:t>
      </w:r>
      <w:r w:rsidR="004D5D8D" w:rsidRPr="0018095C">
        <w:rPr>
          <w:rFonts w:cstheme="minorHAnsi"/>
          <w:lang w:val="en-GB"/>
        </w:rPr>
        <w:t xml:space="preserve">A Lambaret, </w:t>
      </w:r>
      <w:r w:rsidR="004D5D8D" w:rsidRPr="0018095C">
        <w:rPr>
          <w:rFonts w:cstheme="minorHAnsi"/>
          <w:i/>
          <w:iCs/>
          <w:lang w:val="en-GB"/>
        </w:rPr>
        <w:t>Women and Men in the Qur’an</w:t>
      </w:r>
      <w:r w:rsidR="004D5D8D" w:rsidRPr="0018095C">
        <w:rPr>
          <w:rFonts w:cstheme="minorHAnsi"/>
          <w:lang w:val="en-GB"/>
        </w:rPr>
        <w:t xml:space="preserve"> </w:t>
      </w:r>
      <w:r w:rsidR="0018095C">
        <w:rPr>
          <w:rFonts w:cstheme="minorHAnsi"/>
          <w:lang w:val="en-GB"/>
        </w:rPr>
        <w:t>(</w:t>
      </w:r>
      <w:r w:rsidR="004D5D8D" w:rsidRPr="0018095C">
        <w:rPr>
          <w:rFonts w:cstheme="minorHAnsi"/>
          <w:lang w:val="en-GB"/>
        </w:rPr>
        <w:t xml:space="preserve">Palgrave Macmillan, </w:t>
      </w:r>
      <w:r w:rsidR="00721839">
        <w:rPr>
          <w:rFonts w:cstheme="minorHAnsi"/>
          <w:lang w:val="en-GB"/>
        </w:rPr>
        <w:t>Cham</w:t>
      </w:r>
      <w:r w:rsidR="005F6D11">
        <w:rPr>
          <w:rFonts w:cstheme="minorHAnsi"/>
          <w:lang w:val="en-GB"/>
        </w:rPr>
        <w:t>,</w:t>
      </w:r>
      <w:r w:rsidR="004D5D8D" w:rsidRPr="0018095C">
        <w:rPr>
          <w:rFonts w:cstheme="minorHAnsi"/>
          <w:lang w:val="en-GB"/>
        </w:rPr>
        <w:t xml:space="preserve"> 2018); </w:t>
      </w:r>
      <w:r w:rsidR="00802BEC" w:rsidRPr="0018095C">
        <w:rPr>
          <w:rFonts w:cstheme="minorHAnsi"/>
          <w:lang w:val="en-GB"/>
        </w:rPr>
        <w:t xml:space="preserve">F Mernissi, </w:t>
      </w:r>
      <w:r w:rsidR="00802BEC" w:rsidRPr="0018095C">
        <w:rPr>
          <w:rFonts w:cstheme="minorHAnsi"/>
          <w:i/>
          <w:iCs/>
          <w:lang w:val="en-GB"/>
        </w:rPr>
        <w:t>The Veil and The Male Elite: A Feminist Interpretation of Women’s Rights in Islam</w:t>
      </w:r>
      <w:r w:rsidR="00802BEC" w:rsidRPr="0018095C">
        <w:rPr>
          <w:rFonts w:cstheme="minorHAnsi"/>
          <w:lang w:val="en-GB"/>
        </w:rPr>
        <w:t xml:space="preserve"> (Perseus Books Publishing, Canada</w:t>
      </w:r>
      <w:r w:rsidR="005F6D11">
        <w:rPr>
          <w:rFonts w:cstheme="minorHAnsi"/>
          <w:lang w:val="en-GB"/>
        </w:rPr>
        <w:t>,</w:t>
      </w:r>
      <w:r w:rsidR="00802BEC" w:rsidRPr="0018095C">
        <w:rPr>
          <w:rFonts w:cstheme="minorHAnsi"/>
          <w:lang w:val="en-GB"/>
        </w:rPr>
        <w:t xml:space="preserve"> 1991); Z Mir-Hosseini, </w:t>
      </w:r>
      <w:r w:rsidR="00802BEC" w:rsidRPr="0018095C">
        <w:rPr>
          <w:rFonts w:cstheme="minorHAnsi"/>
          <w:i/>
          <w:iCs/>
          <w:lang w:val="en-GB"/>
        </w:rPr>
        <w:t>Islam and Gender: The Religious Debate in Contemporary Iran</w:t>
      </w:r>
      <w:r w:rsidR="00802BEC" w:rsidRPr="0018095C">
        <w:rPr>
          <w:rFonts w:cstheme="minorHAnsi"/>
          <w:lang w:val="en-GB"/>
        </w:rPr>
        <w:t xml:space="preserve"> (Princeton </w:t>
      </w:r>
      <w:r w:rsidR="00721839">
        <w:rPr>
          <w:rFonts w:cstheme="minorHAnsi"/>
          <w:lang w:val="en-GB"/>
        </w:rPr>
        <w:t>UP</w:t>
      </w:r>
      <w:r w:rsidR="00802BEC" w:rsidRPr="0018095C">
        <w:rPr>
          <w:rFonts w:cstheme="minorHAnsi"/>
          <w:lang w:val="en-GB"/>
        </w:rPr>
        <w:t xml:space="preserve">, </w:t>
      </w:r>
      <w:r w:rsidR="00F8429D">
        <w:rPr>
          <w:rFonts w:cstheme="minorHAnsi"/>
          <w:lang w:val="en-GB"/>
        </w:rPr>
        <w:t>London and New York</w:t>
      </w:r>
      <w:r w:rsidR="005F6D11">
        <w:rPr>
          <w:rFonts w:cstheme="minorHAnsi"/>
          <w:lang w:val="en-GB"/>
        </w:rPr>
        <w:t>,</w:t>
      </w:r>
      <w:r w:rsidR="00F8429D">
        <w:rPr>
          <w:rFonts w:cstheme="minorHAnsi"/>
          <w:lang w:val="en-GB"/>
        </w:rPr>
        <w:t xml:space="preserve"> </w:t>
      </w:r>
      <w:r w:rsidR="00802BEC" w:rsidRPr="0018095C">
        <w:rPr>
          <w:rFonts w:cstheme="minorHAnsi"/>
          <w:lang w:val="en-GB"/>
        </w:rPr>
        <w:t>1999).</w:t>
      </w:r>
      <w:r w:rsidRPr="0018095C">
        <w:rPr>
          <w:rFonts w:cstheme="minorHAnsi"/>
        </w:rPr>
        <w:t xml:space="preserve"> </w:t>
      </w:r>
    </w:p>
  </w:footnote>
  <w:footnote w:id="9">
    <w:p w14:paraId="2B99AD35" w14:textId="300A54A0" w:rsidR="003759C3" w:rsidRPr="0018095C" w:rsidRDefault="003759C3" w:rsidP="00595B0F">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000872BD" w:rsidRPr="0018095C">
        <w:rPr>
          <w:rFonts w:cstheme="minorHAnsi"/>
          <w:sz w:val="22"/>
          <w:szCs w:val="22"/>
        </w:rPr>
        <w:t xml:space="preserve">On these matters, see </w:t>
      </w:r>
      <w:r w:rsidR="00F8429D">
        <w:rPr>
          <w:rFonts w:cstheme="minorHAnsi"/>
          <w:sz w:val="22"/>
          <w:szCs w:val="22"/>
        </w:rPr>
        <w:t xml:space="preserve">Islam Online, ‘Rights and Duties of the Wife and the Husband’, </w:t>
      </w:r>
      <w:hyperlink r:id="rId3" w:history="1">
        <w:r w:rsidR="00A13312" w:rsidRPr="00E927DC">
          <w:rPr>
            <w:rStyle w:val="Hyperlink"/>
            <w:rFonts w:cstheme="minorHAnsi"/>
            <w:color w:val="auto"/>
            <w:sz w:val="22"/>
            <w:szCs w:val="22"/>
          </w:rPr>
          <w:t>https://fiqh.islamonline.net/en/rights-duties-of-the-wife-and-the-husband/</w:t>
        </w:r>
      </w:hyperlink>
      <w:r w:rsidR="00A13312" w:rsidRPr="00E927DC">
        <w:rPr>
          <w:rFonts w:cstheme="minorHAnsi"/>
          <w:sz w:val="22"/>
          <w:szCs w:val="22"/>
        </w:rPr>
        <w:t xml:space="preserve">. </w:t>
      </w:r>
      <w:r w:rsidR="00AE2F5F" w:rsidRPr="0072561B">
        <w:rPr>
          <w:rFonts w:cstheme="minorHAnsi"/>
          <w:sz w:val="22"/>
          <w:szCs w:val="22"/>
        </w:rPr>
        <w:t xml:space="preserve">It is worth noting that such marital duties and privileges </w:t>
      </w:r>
      <w:r w:rsidR="000A5F86" w:rsidRPr="0072561B">
        <w:rPr>
          <w:rFonts w:cstheme="minorHAnsi"/>
          <w:sz w:val="22"/>
          <w:szCs w:val="22"/>
        </w:rPr>
        <w:t>have been present under</w:t>
      </w:r>
      <w:r w:rsidR="00AE2F5F" w:rsidRPr="0072561B">
        <w:rPr>
          <w:rFonts w:cstheme="minorHAnsi"/>
          <w:sz w:val="22"/>
          <w:szCs w:val="22"/>
        </w:rPr>
        <w:t xml:space="preserve"> many legal and customary systems across history and the globe. </w:t>
      </w:r>
      <w:r w:rsidR="000872BD" w:rsidRPr="0072561B">
        <w:rPr>
          <w:rFonts w:cstheme="minorHAnsi"/>
          <w:sz w:val="22"/>
          <w:szCs w:val="22"/>
        </w:rPr>
        <w:t>For a cross-national survey on</w:t>
      </w:r>
      <w:r w:rsidR="00AE2F5F" w:rsidRPr="0072561B">
        <w:rPr>
          <w:rFonts w:cstheme="minorHAnsi"/>
          <w:sz w:val="22"/>
          <w:szCs w:val="22"/>
        </w:rPr>
        <w:t xml:space="preserve"> contemporary </w:t>
      </w:r>
      <w:r w:rsidR="000872BD" w:rsidRPr="0072561B">
        <w:rPr>
          <w:rFonts w:cstheme="minorHAnsi"/>
          <w:sz w:val="22"/>
          <w:szCs w:val="22"/>
        </w:rPr>
        <w:t>application</w:t>
      </w:r>
      <w:r w:rsidR="00AE2F5F" w:rsidRPr="0072561B">
        <w:rPr>
          <w:rFonts w:cstheme="minorHAnsi"/>
          <w:sz w:val="22"/>
          <w:szCs w:val="22"/>
        </w:rPr>
        <w:t>s</w:t>
      </w:r>
      <w:r w:rsidR="000872BD" w:rsidRPr="0072561B">
        <w:rPr>
          <w:rFonts w:cstheme="minorHAnsi"/>
          <w:sz w:val="22"/>
          <w:szCs w:val="22"/>
        </w:rPr>
        <w:t xml:space="preserve"> of Islamic law, see </w:t>
      </w:r>
      <w:r w:rsidR="00167298" w:rsidRPr="0018095C">
        <w:rPr>
          <w:rFonts w:cstheme="minorHAnsi"/>
          <w:sz w:val="22"/>
          <w:szCs w:val="22"/>
        </w:rPr>
        <w:t xml:space="preserve">A An-Naim, </w:t>
      </w:r>
      <w:r w:rsidR="00167298" w:rsidRPr="0018095C">
        <w:rPr>
          <w:rFonts w:cstheme="minorHAnsi"/>
          <w:i/>
          <w:iCs/>
          <w:sz w:val="22"/>
          <w:szCs w:val="22"/>
        </w:rPr>
        <w:t xml:space="preserve">Islamic Law in a Changing World: A Global Resource Book </w:t>
      </w:r>
      <w:r w:rsidR="00167298" w:rsidRPr="0018095C">
        <w:rPr>
          <w:rFonts w:cstheme="minorHAnsi"/>
          <w:sz w:val="22"/>
          <w:szCs w:val="22"/>
        </w:rPr>
        <w:t>(Zed Books, London</w:t>
      </w:r>
      <w:r w:rsidR="005F6D11">
        <w:rPr>
          <w:rFonts w:cstheme="minorHAnsi"/>
          <w:sz w:val="22"/>
          <w:szCs w:val="22"/>
        </w:rPr>
        <w:t>,</w:t>
      </w:r>
      <w:r w:rsidR="00167298" w:rsidRPr="0018095C">
        <w:rPr>
          <w:rFonts w:cstheme="minorHAnsi"/>
          <w:sz w:val="22"/>
          <w:szCs w:val="22"/>
        </w:rPr>
        <w:t xml:space="preserve"> 2002).</w:t>
      </w:r>
    </w:p>
  </w:footnote>
  <w:footnote w:id="10">
    <w:p w14:paraId="590A5FA3" w14:textId="3EB1BB0B" w:rsidR="003759C3" w:rsidRPr="0018095C" w:rsidRDefault="003759C3"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167298" w:rsidRPr="0018095C">
        <w:rPr>
          <w:rFonts w:cstheme="minorHAnsi"/>
        </w:rPr>
        <w:t>VM Moghadam, ‘Gender Regimes in the Middle East and North Africa: The Power of Feminist Movements’ [2020]</w:t>
      </w:r>
      <w:r w:rsidR="008E5587">
        <w:rPr>
          <w:rFonts w:cstheme="minorHAnsi"/>
        </w:rPr>
        <w:t>,</w:t>
      </w:r>
      <w:r w:rsidR="00167298" w:rsidRPr="0018095C">
        <w:rPr>
          <w:rFonts w:cstheme="minorHAnsi"/>
        </w:rPr>
        <w:t xml:space="preserve"> </w:t>
      </w:r>
      <w:r w:rsidR="00167298" w:rsidRPr="0018095C">
        <w:rPr>
          <w:rStyle w:val="Emphasis"/>
          <w:rFonts w:cstheme="minorHAnsi"/>
          <w:color w:val="2A2A2A"/>
          <w:bdr w:val="none" w:sz="0" w:space="0" w:color="auto" w:frame="1"/>
          <w:shd w:val="clear" w:color="auto" w:fill="FFFFFF"/>
        </w:rPr>
        <w:t>Social Politics</w:t>
      </w:r>
      <w:r w:rsidR="00167298" w:rsidRPr="0018095C">
        <w:rPr>
          <w:rFonts w:cstheme="minorHAnsi"/>
          <w:color w:val="2A2A2A"/>
          <w:shd w:val="clear" w:color="auto" w:fill="FFFFFF"/>
        </w:rPr>
        <w:t xml:space="preserve"> 27(3), 467–485. The concept originates with H Sharabi, </w:t>
      </w:r>
      <w:r w:rsidR="00167298" w:rsidRPr="0018095C">
        <w:rPr>
          <w:rFonts w:cstheme="minorHAnsi"/>
          <w:i/>
        </w:rPr>
        <w:t xml:space="preserve">Neopatriarchy: A Theory of Distorted Change in Arab Society </w:t>
      </w:r>
      <w:r w:rsidR="00167298" w:rsidRPr="0018095C">
        <w:rPr>
          <w:rFonts w:cstheme="minorHAnsi"/>
          <w:iCs/>
        </w:rPr>
        <w:t>(</w:t>
      </w:r>
      <w:r w:rsidR="00167298" w:rsidRPr="0018095C">
        <w:rPr>
          <w:rFonts w:cstheme="minorHAnsi"/>
        </w:rPr>
        <w:t>Oxford UP, New York</w:t>
      </w:r>
      <w:r w:rsidR="005F6D11">
        <w:rPr>
          <w:rFonts w:cstheme="minorHAnsi"/>
        </w:rPr>
        <w:t>,</w:t>
      </w:r>
      <w:r w:rsidR="00167298" w:rsidRPr="0018095C">
        <w:rPr>
          <w:rFonts w:cstheme="minorHAnsi"/>
        </w:rPr>
        <w:t xml:space="preserve"> 1988).</w:t>
      </w:r>
    </w:p>
  </w:footnote>
  <w:footnote w:id="11">
    <w:p w14:paraId="1C417541" w14:textId="7A25A786" w:rsidR="003759C3" w:rsidRPr="0018095C" w:rsidRDefault="003759C3" w:rsidP="00595B0F">
      <w:pPr>
        <w:pStyle w:val="BodyTextIndent2"/>
        <w:spacing w:after="0" w:line="240" w:lineRule="auto"/>
        <w:ind w:left="0"/>
        <w:rPr>
          <w:rFonts w:cstheme="minorHAnsi"/>
        </w:rPr>
      </w:pPr>
      <w:r w:rsidRPr="0018095C">
        <w:rPr>
          <w:rStyle w:val="FootnoteReference"/>
          <w:rFonts w:cstheme="minorHAnsi"/>
        </w:rPr>
        <w:footnoteRef/>
      </w:r>
      <w:r w:rsidRPr="0018095C">
        <w:rPr>
          <w:rFonts w:cstheme="minorHAnsi"/>
        </w:rPr>
        <w:t xml:space="preserve"> </w:t>
      </w:r>
      <w:r w:rsidR="00167298" w:rsidRPr="0018095C">
        <w:rPr>
          <w:rFonts w:cstheme="minorHAnsi"/>
        </w:rPr>
        <w:t xml:space="preserve">M Charrad, </w:t>
      </w:r>
      <w:r w:rsidR="00167298" w:rsidRPr="0018095C">
        <w:rPr>
          <w:rFonts w:cstheme="minorHAnsi"/>
          <w:i/>
          <w:iCs/>
        </w:rPr>
        <w:t xml:space="preserve">States and Women’s Rights: The Making of Postcolonial Tunisia, Algeria, and Morocco </w:t>
      </w:r>
      <w:r w:rsidR="00167298" w:rsidRPr="0018095C">
        <w:rPr>
          <w:rFonts w:cstheme="minorHAnsi"/>
        </w:rPr>
        <w:t>(U</w:t>
      </w:r>
      <w:r w:rsidR="005305A9">
        <w:rPr>
          <w:rFonts w:cstheme="minorHAnsi"/>
        </w:rPr>
        <w:t xml:space="preserve">niversity of </w:t>
      </w:r>
      <w:r w:rsidR="00167298" w:rsidRPr="0018095C">
        <w:rPr>
          <w:rFonts w:cstheme="minorHAnsi"/>
        </w:rPr>
        <w:t>C</w:t>
      </w:r>
      <w:r w:rsidR="005305A9">
        <w:rPr>
          <w:rFonts w:cstheme="minorHAnsi"/>
        </w:rPr>
        <w:t>alifornia</w:t>
      </w:r>
      <w:r w:rsidR="00167298" w:rsidRPr="0018095C">
        <w:rPr>
          <w:rFonts w:cstheme="minorHAnsi"/>
        </w:rPr>
        <w:t xml:space="preserve"> Press, Berkeley</w:t>
      </w:r>
      <w:r w:rsidR="005305A9">
        <w:rPr>
          <w:rFonts w:cstheme="minorHAnsi"/>
        </w:rPr>
        <w:t>,</w:t>
      </w:r>
      <w:r w:rsidR="00167298" w:rsidRPr="0018095C">
        <w:rPr>
          <w:rFonts w:cstheme="minorHAnsi"/>
        </w:rPr>
        <w:t xml:space="preserve"> 2001); S Joseph (ed), </w:t>
      </w:r>
      <w:r w:rsidR="00167298" w:rsidRPr="0018095C">
        <w:rPr>
          <w:rFonts w:cstheme="minorHAnsi"/>
          <w:i/>
          <w:iCs/>
        </w:rPr>
        <w:t xml:space="preserve">Gender and Citizenship in the Middle East </w:t>
      </w:r>
      <w:r w:rsidR="00167298" w:rsidRPr="0018095C">
        <w:rPr>
          <w:rFonts w:cstheme="minorHAnsi"/>
        </w:rPr>
        <w:t>(Syracuse UP, Syracuse</w:t>
      </w:r>
      <w:r w:rsidR="005F6D11">
        <w:rPr>
          <w:rFonts w:cstheme="minorHAnsi"/>
        </w:rPr>
        <w:t>,</w:t>
      </w:r>
      <w:r w:rsidR="00167298" w:rsidRPr="0018095C">
        <w:rPr>
          <w:rFonts w:cstheme="minorHAnsi"/>
        </w:rPr>
        <w:t xml:space="preserve"> 2000)</w:t>
      </w:r>
      <w:r w:rsidR="00573811" w:rsidRPr="0018095C">
        <w:rPr>
          <w:rFonts w:cstheme="minorHAnsi"/>
        </w:rPr>
        <w:t xml:space="preserve">; VM Moghadam, ‘Engendering Citizenship, Feminizing Civil Society: The Case of the Middle East and North Africa’ [2003], </w:t>
      </w:r>
      <w:r w:rsidR="00573811" w:rsidRPr="0018095C">
        <w:rPr>
          <w:rFonts w:cstheme="minorHAnsi"/>
          <w:i/>
          <w:iCs/>
        </w:rPr>
        <w:t xml:space="preserve">Women &amp; Politics </w:t>
      </w:r>
      <w:r w:rsidR="00573811" w:rsidRPr="0018095C">
        <w:rPr>
          <w:rFonts w:cstheme="minorHAnsi"/>
          <w:iCs/>
        </w:rPr>
        <w:t>25(1-2)</w:t>
      </w:r>
      <w:r w:rsidR="00155A1F" w:rsidRPr="0018095C">
        <w:rPr>
          <w:rFonts w:cstheme="minorHAnsi"/>
        </w:rPr>
        <w:t>, 63-87</w:t>
      </w:r>
      <w:r w:rsidR="00F8429D">
        <w:rPr>
          <w:rFonts w:cstheme="minorHAnsi"/>
        </w:rPr>
        <w:t>.</w:t>
      </w:r>
      <w:r w:rsidR="00167298" w:rsidRPr="0018095C">
        <w:rPr>
          <w:rFonts w:cstheme="minorHAnsi"/>
        </w:rPr>
        <w:t xml:space="preserve"> </w:t>
      </w:r>
    </w:p>
  </w:footnote>
  <w:footnote w:id="12">
    <w:p w14:paraId="40410FE5" w14:textId="5F1E2C39" w:rsidR="00F76E54" w:rsidRPr="0018095C" w:rsidRDefault="00F76E54"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167298" w:rsidRPr="0018095C">
        <w:rPr>
          <w:rFonts w:cstheme="minorHAnsi"/>
        </w:rPr>
        <w:t xml:space="preserve">VM Moghadam, </w:t>
      </w:r>
      <w:r w:rsidR="004502CE" w:rsidRPr="0018095C">
        <w:rPr>
          <w:rFonts w:cstheme="minorHAnsi"/>
          <w:i/>
          <w:iCs/>
        </w:rPr>
        <w:t xml:space="preserve">Modernizing Women: Gender and Social Change in the Middle East </w:t>
      </w:r>
      <w:r w:rsidR="004502CE" w:rsidRPr="0018095C">
        <w:rPr>
          <w:rFonts w:cstheme="minorHAnsi"/>
        </w:rPr>
        <w:t>(2</w:t>
      </w:r>
      <w:r w:rsidR="004502CE" w:rsidRPr="0018095C">
        <w:rPr>
          <w:rFonts w:cstheme="minorHAnsi"/>
          <w:vertAlign w:val="superscript"/>
        </w:rPr>
        <w:t>nd</w:t>
      </w:r>
      <w:r w:rsidR="004502CE" w:rsidRPr="0018095C">
        <w:rPr>
          <w:rFonts w:cstheme="minorHAnsi"/>
        </w:rPr>
        <w:t xml:space="preserve"> edn, Lynne Rienner Publishers, Boulder and London, 2003), and ‘</w:t>
      </w:r>
      <w:r w:rsidR="00167298" w:rsidRPr="0018095C">
        <w:rPr>
          <w:rFonts w:eastAsia="Arial Unicode MS" w:cstheme="minorHAnsi"/>
        </w:rPr>
        <w:t>Gender Regimes, Polities, and the World-System: Comparing Iran and Tunisia’ [2023]</w:t>
      </w:r>
      <w:r w:rsidR="008E5587">
        <w:rPr>
          <w:rFonts w:eastAsia="Arial Unicode MS" w:cstheme="minorHAnsi"/>
        </w:rPr>
        <w:t>,</w:t>
      </w:r>
      <w:r w:rsidR="00167298" w:rsidRPr="0018095C">
        <w:rPr>
          <w:rFonts w:eastAsia="Arial Unicode MS" w:cstheme="minorHAnsi"/>
        </w:rPr>
        <w:t xml:space="preserve"> </w:t>
      </w:r>
      <w:r w:rsidR="00167298" w:rsidRPr="0018095C">
        <w:rPr>
          <w:rFonts w:eastAsia="Arial Unicode MS" w:cstheme="minorHAnsi"/>
          <w:i/>
          <w:iCs/>
        </w:rPr>
        <w:t xml:space="preserve">Women’s Studies International Forum </w:t>
      </w:r>
      <w:r w:rsidR="00167298" w:rsidRPr="0018095C">
        <w:rPr>
          <w:rFonts w:eastAsia="Arial Unicode MS" w:cstheme="minorHAnsi"/>
        </w:rPr>
        <w:t>98(3)</w:t>
      </w:r>
      <w:r w:rsidR="007E4A4F">
        <w:rPr>
          <w:rFonts w:eastAsia="Arial Unicode MS" w:cstheme="minorHAnsi"/>
        </w:rPr>
        <w:t xml:space="preserve">, </w:t>
      </w:r>
      <w:r w:rsidR="000172F7">
        <w:rPr>
          <w:rFonts w:eastAsia="Arial Unicode MS" w:cstheme="minorHAnsi"/>
        </w:rPr>
        <w:t>102721</w:t>
      </w:r>
      <w:r w:rsidR="00167298" w:rsidRPr="0018095C">
        <w:rPr>
          <w:rFonts w:eastAsia="Arial Unicode MS" w:cstheme="minorHAnsi"/>
        </w:rPr>
        <w:t>.</w:t>
      </w:r>
    </w:p>
  </w:footnote>
  <w:footnote w:id="13">
    <w:p w14:paraId="583ED781" w14:textId="36212931" w:rsidR="0079041B" w:rsidRPr="0018095C" w:rsidRDefault="0079041B" w:rsidP="00595B0F">
      <w:pPr>
        <w:pStyle w:val="FootnoteText"/>
        <w:rPr>
          <w:rFonts w:cstheme="minorHAnsi"/>
          <w:i/>
          <w:iCs/>
          <w:sz w:val="22"/>
          <w:szCs w:val="22"/>
        </w:rPr>
      </w:pPr>
      <w:r w:rsidRPr="0018095C">
        <w:rPr>
          <w:rStyle w:val="FootnoteReference"/>
          <w:rFonts w:cstheme="minorHAnsi"/>
          <w:sz w:val="22"/>
          <w:szCs w:val="22"/>
        </w:rPr>
        <w:footnoteRef/>
      </w:r>
      <w:r w:rsidRPr="0018095C">
        <w:rPr>
          <w:rFonts w:cstheme="minorHAnsi"/>
          <w:sz w:val="22"/>
          <w:szCs w:val="22"/>
        </w:rPr>
        <w:t xml:space="preserve"> S El Yaaqoubi, ‘How is Morocco Navigating Backlash to Family Law Reform?’, </w:t>
      </w:r>
      <w:r w:rsidRPr="0018095C">
        <w:rPr>
          <w:rFonts w:cstheme="minorHAnsi"/>
          <w:i/>
          <w:iCs/>
          <w:sz w:val="22"/>
          <w:szCs w:val="22"/>
        </w:rPr>
        <w:t xml:space="preserve">Enheduanna, A blog of the Middle East Women’s Initiative </w:t>
      </w:r>
      <w:r w:rsidRPr="0018095C">
        <w:rPr>
          <w:rFonts w:cstheme="minorHAnsi"/>
          <w:sz w:val="22"/>
          <w:szCs w:val="22"/>
        </w:rPr>
        <w:t>(Wilson Center, Washington DC,</w:t>
      </w:r>
      <w:r w:rsidR="00B93939">
        <w:rPr>
          <w:rFonts w:cstheme="minorHAnsi"/>
          <w:sz w:val="22"/>
          <w:szCs w:val="22"/>
        </w:rPr>
        <w:t xml:space="preserve"> 11</w:t>
      </w:r>
      <w:r w:rsidRPr="0018095C">
        <w:rPr>
          <w:rFonts w:cstheme="minorHAnsi"/>
          <w:sz w:val="22"/>
          <w:szCs w:val="22"/>
        </w:rPr>
        <w:t xml:space="preserve"> July 2024), https://www.wilsoncenter.org/blog-post/how-morocco-navigating-backlash-family-law-reform</w:t>
      </w:r>
      <w:r w:rsidRPr="0018095C">
        <w:rPr>
          <w:rFonts w:cstheme="minorHAnsi"/>
          <w:i/>
          <w:iCs/>
          <w:sz w:val="22"/>
          <w:szCs w:val="22"/>
        </w:rPr>
        <w:t xml:space="preserve">, </w:t>
      </w:r>
    </w:p>
  </w:footnote>
  <w:footnote w:id="14">
    <w:p w14:paraId="184C5B1B" w14:textId="3AFCEA86" w:rsidR="00D55ACC" w:rsidRPr="0018095C" w:rsidRDefault="00D55ACC" w:rsidP="00595B0F">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R Maktabi, ‘Family </w:t>
      </w:r>
      <w:r w:rsidR="00B93939">
        <w:rPr>
          <w:rFonts w:cstheme="minorHAnsi"/>
          <w:sz w:val="22"/>
          <w:szCs w:val="22"/>
        </w:rPr>
        <w:t>L</w:t>
      </w:r>
      <w:r w:rsidRPr="0018095C">
        <w:rPr>
          <w:rFonts w:cstheme="minorHAnsi"/>
          <w:sz w:val="22"/>
          <w:szCs w:val="22"/>
        </w:rPr>
        <w:t xml:space="preserve">aw, </w:t>
      </w:r>
      <w:r w:rsidR="00B93939">
        <w:rPr>
          <w:rFonts w:cstheme="minorHAnsi"/>
          <w:sz w:val="22"/>
          <w:szCs w:val="22"/>
        </w:rPr>
        <w:t>F</w:t>
      </w:r>
      <w:r w:rsidRPr="0018095C">
        <w:rPr>
          <w:rFonts w:cstheme="minorHAnsi"/>
          <w:sz w:val="22"/>
          <w:szCs w:val="22"/>
        </w:rPr>
        <w:t xml:space="preserve">emale </w:t>
      </w:r>
      <w:r w:rsidR="00B93939">
        <w:rPr>
          <w:rFonts w:cstheme="minorHAnsi"/>
          <w:sz w:val="22"/>
          <w:szCs w:val="22"/>
        </w:rPr>
        <w:t>C</w:t>
      </w:r>
      <w:r w:rsidRPr="0018095C">
        <w:rPr>
          <w:rFonts w:cstheme="minorHAnsi"/>
          <w:sz w:val="22"/>
          <w:szCs w:val="22"/>
        </w:rPr>
        <w:t xml:space="preserve">itizenship, and </w:t>
      </w:r>
      <w:r w:rsidR="00B93939">
        <w:rPr>
          <w:rFonts w:cstheme="minorHAnsi"/>
          <w:sz w:val="22"/>
          <w:szCs w:val="22"/>
        </w:rPr>
        <w:t>S</w:t>
      </w:r>
      <w:r w:rsidRPr="0018095C">
        <w:rPr>
          <w:rFonts w:cstheme="minorHAnsi"/>
          <w:sz w:val="22"/>
          <w:szCs w:val="22"/>
        </w:rPr>
        <w:t xml:space="preserve">tate </w:t>
      </w:r>
      <w:r w:rsidR="00B93939">
        <w:rPr>
          <w:rFonts w:cstheme="minorHAnsi"/>
          <w:sz w:val="22"/>
          <w:szCs w:val="22"/>
        </w:rPr>
        <w:t>F</w:t>
      </w:r>
      <w:r w:rsidRPr="0018095C">
        <w:rPr>
          <w:rFonts w:cstheme="minorHAnsi"/>
          <w:sz w:val="22"/>
          <w:szCs w:val="22"/>
        </w:rPr>
        <w:t xml:space="preserve">ormation in Arab </w:t>
      </w:r>
      <w:r w:rsidR="00B93939">
        <w:rPr>
          <w:rFonts w:cstheme="minorHAnsi"/>
          <w:sz w:val="22"/>
          <w:szCs w:val="22"/>
        </w:rPr>
        <w:t>S</w:t>
      </w:r>
      <w:r w:rsidRPr="0018095C">
        <w:rPr>
          <w:rFonts w:cstheme="minorHAnsi"/>
          <w:sz w:val="22"/>
          <w:szCs w:val="22"/>
        </w:rPr>
        <w:t xml:space="preserve">tates: Pre-2011 </w:t>
      </w:r>
      <w:r w:rsidR="00B93939">
        <w:rPr>
          <w:rFonts w:cstheme="minorHAnsi"/>
          <w:sz w:val="22"/>
          <w:szCs w:val="22"/>
        </w:rPr>
        <w:t>C</w:t>
      </w:r>
      <w:r w:rsidRPr="0018095C">
        <w:rPr>
          <w:rFonts w:cstheme="minorHAnsi"/>
          <w:sz w:val="22"/>
          <w:szCs w:val="22"/>
        </w:rPr>
        <w:t xml:space="preserve">onditions and </w:t>
      </w:r>
      <w:r w:rsidR="00B93939">
        <w:rPr>
          <w:rFonts w:cstheme="minorHAnsi"/>
          <w:sz w:val="22"/>
          <w:szCs w:val="22"/>
        </w:rPr>
        <w:t>P</w:t>
      </w:r>
      <w:r w:rsidRPr="0018095C">
        <w:rPr>
          <w:rFonts w:cstheme="minorHAnsi"/>
          <w:sz w:val="22"/>
          <w:szCs w:val="22"/>
        </w:rPr>
        <w:t xml:space="preserve">ost-2011 </w:t>
      </w:r>
      <w:r w:rsidR="00B93939">
        <w:rPr>
          <w:rFonts w:cstheme="minorHAnsi"/>
          <w:sz w:val="22"/>
          <w:szCs w:val="22"/>
        </w:rPr>
        <w:t>R</w:t>
      </w:r>
      <w:r w:rsidRPr="0018095C">
        <w:rPr>
          <w:rFonts w:cstheme="minorHAnsi"/>
          <w:sz w:val="22"/>
          <w:szCs w:val="22"/>
        </w:rPr>
        <w:t xml:space="preserve">eflections on </w:t>
      </w:r>
      <w:r w:rsidR="00B93939">
        <w:rPr>
          <w:rFonts w:cstheme="minorHAnsi"/>
          <w:sz w:val="22"/>
          <w:szCs w:val="22"/>
        </w:rPr>
        <w:t>P</w:t>
      </w:r>
      <w:r w:rsidRPr="0018095C">
        <w:rPr>
          <w:rFonts w:cstheme="minorHAnsi"/>
          <w:sz w:val="22"/>
          <w:szCs w:val="22"/>
        </w:rPr>
        <w:t xml:space="preserve">olitical </w:t>
      </w:r>
      <w:r w:rsidR="00B93939">
        <w:rPr>
          <w:rFonts w:cstheme="minorHAnsi"/>
          <w:sz w:val="22"/>
          <w:szCs w:val="22"/>
        </w:rPr>
        <w:t>T</w:t>
      </w:r>
      <w:r w:rsidRPr="0018095C">
        <w:rPr>
          <w:rFonts w:cstheme="minorHAnsi"/>
          <w:sz w:val="22"/>
          <w:szCs w:val="22"/>
        </w:rPr>
        <w:t>ransitions’</w:t>
      </w:r>
      <w:r w:rsidR="00B93939">
        <w:rPr>
          <w:rFonts w:cstheme="minorHAnsi"/>
          <w:sz w:val="22"/>
          <w:szCs w:val="22"/>
        </w:rPr>
        <w:t>,</w:t>
      </w:r>
      <w:r w:rsidRPr="0018095C">
        <w:rPr>
          <w:rFonts w:cstheme="minorHAnsi"/>
          <w:sz w:val="22"/>
          <w:szCs w:val="22"/>
        </w:rPr>
        <w:t xml:space="preserve"> in H </w:t>
      </w:r>
      <w:proofErr w:type="spellStart"/>
      <w:r w:rsidRPr="0018095C">
        <w:rPr>
          <w:rFonts w:cstheme="minorHAnsi"/>
          <w:sz w:val="22"/>
          <w:szCs w:val="22"/>
        </w:rPr>
        <w:t>Rydving</w:t>
      </w:r>
      <w:proofErr w:type="spellEnd"/>
      <w:r w:rsidRPr="0018095C">
        <w:rPr>
          <w:rFonts w:cstheme="minorHAnsi"/>
          <w:sz w:val="22"/>
          <w:szCs w:val="22"/>
        </w:rPr>
        <w:t xml:space="preserve"> </w:t>
      </w:r>
      <w:r w:rsidR="008E5587">
        <w:rPr>
          <w:rFonts w:cstheme="minorHAnsi"/>
          <w:sz w:val="22"/>
          <w:szCs w:val="22"/>
        </w:rPr>
        <w:t>and</w:t>
      </w:r>
      <w:r w:rsidRPr="0018095C">
        <w:rPr>
          <w:rFonts w:cstheme="minorHAnsi"/>
          <w:sz w:val="22"/>
          <w:szCs w:val="22"/>
        </w:rPr>
        <w:t xml:space="preserve"> S Olsson (eds),</w:t>
      </w:r>
      <w:r w:rsidRPr="0018095C">
        <w:rPr>
          <w:rFonts w:cstheme="minorHAnsi"/>
          <w:i/>
          <w:sz w:val="22"/>
          <w:szCs w:val="22"/>
        </w:rPr>
        <w:t xml:space="preserve"> Religion, Law, and Justice: Seven Essays </w:t>
      </w:r>
      <w:r w:rsidRPr="0018095C">
        <w:rPr>
          <w:rFonts w:cstheme="minorHAnsi"/>
          <w:iCs/>
          <w:sz w:val="22"/>
          <w:szCs w:val="22"/>
        </w:rPr>
        <w:t>(</w:t>
      </w:r>
      <w:r w:rsidRPr="0018095C">
        <w:rPr>
          <w:rFonts w:cstheme="minorHAnsi"/>
          <w:sz w:val="22"/>
          <w:szCs w:val="22"/>
        </w:rPr>
        <w:t>Novus Forlag, Oslo</w:t>
      </w:r>
      <w:r w:rsidR="005F6D11">
        <w:rPr>
          <w:rFonts w:cstheme="minorHAnsi"/>
          <w:sz w:val="22"/>
          <w:szCs w:val="22"/>
        </w:rPr>
        <w:t>,</w:t>
      </w:r>
      <w:r w:rsidRPr="0018095C">
        <w:rPr>
          <w:rFonts w:cstheme="minorHAnsi"/>
          <w:sz w:val="22"/>
          <w:szCs w:val="22"/>
        </w:rPr>
        <w:t xml:space="preserve"> 2018), and ‘Patriarchal </w:t>
      </w:r>
      <w:r w:rsidR="00F9397F">
        <w:rPr>
          <w:rFonts w:cstheme="minorHAnsi"/>
          <w:sz w:val="22"/>
          <w:szCs w:val="22"/>
        </w:rPr>
        <w:t>N</w:t>
      </w:r>
      <w:r w:rsidRPr="0018095C">
        <w:rPr>
          <w:rFonts w:cstheme="minorHAnsi"/>
          <w:sz w:val="22"/>
          <w:szCs w:val="22"/>
        </w:rPr>
        <w:t xml:space="preserve">ationality </w:t>
      </w:r>
      <w:r w:rsidR="00F9397F">
        <w:rPr>
          <w:rFonts w:cstheme="minorHAnsi"/>
          <w:sz w:val="22"/>
          <w:szCs w:val="22"/>
        </w:rPr>
        <w:t>L</w:t>
      </w:r>
      <w:r w:rsidRPr="0018095C">
        <w:rPr>
          <w:rFonts w:cstheme="minorHAnsi"/>
          <w:sz w:val="22"/>
          <w:szCs w:val="22"/>
        </w:rPr>
        <w:t xml:space="preserve">aws and </w:t>
      </w:r>
      <w:r w:rsidR="00F9397F">
        <w:rPr>
          <w:rFonts w:cstheme="minorHAnsi"/>
          <w:sz w:val="22"/>
          <w:szCs w:val="22"/>
        </w:rPr>
        <w:t>F</w:t>
      </w:r>
      <w:r w:rsidRPr="0018095C">
        <w:rPr>
          <w:rFonts w:cstheme="minorHAnsi"/>
          <w:sz w:val="22"/>
          <w:szCs w:val="22"/>
        </w:rPr>
        <w:t xml:space="preserve">emale </w:t>
      </w:r>
      <w:r w:rsidR="00F9397F">
        <w:rPr>
          <w:rFonts w:cstheme="minorHAnsi"/>
          <w:sz w:val="22"/>
          <w:szCs w:val="22"/>
        </w:rPr>
        <w:t>C</w:t>
      </w:r>
      <w:r w:rsidRPr="0018095C">
        <w:rPr>
          <w:rFonts w:cstheme="minorHAnsi"/>
          <w:sz w:val="22"/>
          <w:szCs w:val="22"/>
        </w:rPr>
        <w:t xml:space="preserve">itizenship in the Middle East’, in R Meijer, JN Sater, </w:t>
      </w:r>
      <w:r w:rsidR="008E5587">
        <w:rPr>
          <w:rFonts w:cstheme="minorHAnsi"/>
          <w:sz w:val="22"/>
          <w:szCs w:val="22"/>
        </w:rPr>
        <w:t>and</w:t>
      </w:r>
      <w:r w:rsidRPr="0018095C">
        <w:rPr>
          <w:rFonts w:cstheme="minorHAnsi"/>
          <w:sz w:val="22"/>
          <w:szCs w:val="22"/>
        </w:rPr>
        <w:t xml:space="preserve"> ZR Babar (eds), </w:t>
      </w:r>
      <w:r w:rsidRPr="0018095C">
        <w:rPr>
          <w:rFonts w:cstheme="minorHAnsi"/>
          <w:i/>
          <w:iCs/>
          <w:sz w:val="22"/>
          <w:szCs w:val="22"/>
        </w:rPr>
        <w:t xml:space="preserve">Routledge </w:t>
      </w:r>
      <w:r w:rsidR="00F9397F">
        <w:rPr>
          <w:rFonts w:cstheme="minorHAnsi"/>
          <w:i/>
          <w:iCs/>
          <w:sz w:val="22"/>
          <w:szCs w:val="22"/>
        </w:rPr>
        <w:t>H</w:t>
      </w:r>
      <w:r w:rsidRPr="0018095C">
        <w:rPr>
          <w:rFonts w:cstheme="minorHAnsi"/>
          <w:i/>
          <w:iCs/>
          <w:sz w:val="22"/>
          <w:szCs w:val="22"/>
        </w:rPr>
        <w:t xml:space="preserve">andbook of </w:t>
      </w:r>
      <w:r w:rsidR="00F9397F">
        <w:rPr>
          <w:rFonts w:cstheme="minorHAnsi"/>
          <w:i/>
          <w:iCs/>
          <w:sz w:val="22"/>
          <w:szCs w:val="22"/>
        </w:rPr>
        <w:t>C</w:t>
      </w:r>
      <w:r w:rsidRPr="0018095C">
        <w:rPr>
          <w:rFonts w:cstheme="minorHAnsi"/>
          <w:i/>
          <w:iCs/>
          <w:sz w:val="22"/>
          <w:szCs w:val="22"/>
        </w:rPr>
        <w:t xml:space="preserve">itizenship in the Middle East and North Africa </w:t>
      </w:r>
      <w:r w:rsidRPr="0018095C">
        <w:rPr>
          <w:rFonts w:cstheme="minorHAnsi"/>
          <w:sz w:val="22"/>
          <w:szCs w:val="22"/>
        </w:rPr>
        <w:t>(Routledge, London</w:t>
      </w:r>
      <w:r w:rsidR="005F6D11">
        <w:rPr>
          <w:rFonts w:cstheme="minorHAnsi"/>
          <w:sz w:val="22"/>
          <w:szCs w:val="22"/>
        </w:rPr>
        <w:t>,</w:t>
      </w:r>
      <w:r w:rsidRPr="0018095C">
        <w:rPr>
          <w:rFonts w:cstheme="minorHAnsi"/>
          <w:sz w:val="22"/>
          <w:szCs w:val="22"/>
        </w:rPr>
        <w:t xml:space="preserve"> 2021); M </w:t>
      </w:r>
      <w:proofErr w:type="spellStart"/>
      <w:r w:rsidRPr="0018095C">
        <w:rPr>
          <w:rFonts w:cstheme="minorHAnsi"/>
          <w:sz w:val="22"/>
          <w:szCs w:val="22"/>
        </w:rPr>
        <w:t>Tajali</w:t>
      </w:r>
      <w:proofErr w:type="spellEnd"/>
      <w:r w:rsidRPr="0018095C">
        <w:rPr>
          <w:rFonts w:cstheme="minorHAnsi"/>
          <w:sz w:val="22"/>
          <w:szCs w:val="22"/>
        </w:rPr>
        <w:t>, ‘Islamic Women’s Groups and the Quest for Political Representation in Turkey and Iran’ [2015]</w:t>
      </w:r>
      <w:r w:rsidR="008E5587">
        <w:rPr>
          <w:rFonts w:cstheme="minorHAnsi"/>
          <w:sz w:val="22"/>
          <w:szCs w:val="22"/>
        </w:rPr>
        <w:t>,</w:t>
      </w:r>
      <w:r w:rsidRPr="0018095C">
        <w:rPr>
          <w:rFonts w:cstheme="minorHAnsi"/>
          <w:sz w:val="22"/>
          <w:szCs w:val="22"/>
        </w:rPr>
        <w:t xml:space="preserve"> </w:t>
      </w:r>
      <w:r w:rsidRPr="0018095C">
        <w:rPr>
          <w:rFonts w:cstheme="minorHAnsi"/>
          <w:i/>
          <w:iCs/>
          <w:sz w:val="22"/>
          <w:szCs w:val="22"/>
        </w:rPr>
        <w:t xml:space="preserve">Middle East Journal </w:t>
      </w:r>
      <w:r w:rsidRPr="0018095C">
        <w:rPr>
          <w:rFonts w:cstheme="minorHAnsi"/>
          <w:sz w:val="22"/>
          <w:szCs w:val="22"/>
        </w:rPr>
        <w:t xml:space="preserve">69(4), 563-581; A Tripp, </w:t>
      </w:r>
      <w:r w:rsidRPr="0018095C">
        <w:rPr>
          <w:rFonts w:cstheme="minorHAnsi"/>
          <w:i/>
          <w:iCs/>
          <w:sz w:val="22"/>
          <w:szCs w:val="22"/>
        </w:rPr>
        <w:t xml:space="preserve">Seeking Legitimacy: Why Arab Autocracies Adopt Women’s Rights </w:t>
      </w:r>
      <w:r w:rsidRPr="0018095C">
        <w:rPr>
          <w:rFonts w:cstheme="minorHAnsi"/>
          <w:sz w:val="22"/>
          <w:szCs w:val="22"/>
        </w:rPr>
        <w:t>(CUP, Cambridge</w:t>
      </w:r>
      <w:r w:rsidR="005F6D11">
        <w:rPr>
          <w:rFonts w:cstheme="minorHAnsi"/>
          <w:sz w:val="22"/>
          <w:szCs w:val="22"/>
        </w:rPr>
        <w:t>,</w:t>
      </w:r>
      <w:r w:rsidRPr="0018095C">
        <w:rPr>
          <w:rFonts w:cstheme="minorHAnsi"/>
          <w:sz w:val="22"/>
          <w:szCs w:val="22"/>
        </w:rPr>
        <w:t xml:space="preserve"> 2019).</w:t>
      </w:r>
    </w:p>
  </w:footnote>
  <w:footnote w:id="15">
    <w:p w14:paraId="5EE88330" w14:textId="13C3E9F7" w:rsidR="00F76E54" w:rsidRPr="0018095C" w:rsidRDefault="00F76E54" w:rsidP="00595B0F">
      <w:pPr>
        <w:autoSpaceDE w:val="0"/>
        <w:autoSpaceDN w:val="0"/>
        <w:adjustRightInd w:val="0"/>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935CB5" w:rsidRPr="0018095C">
        <w:rPr>
          <w:rFonts w:cstheme="minorHAnsi"/>
        </w:rPr>
        <w:t xml:space="preserve">G Turkarslan, </w:t>
      </w:r>
      <w:r w:rsidR="00935CB5" w:rsidRPr="0018095C">
        <w:rPr>
          <w:rFonts w:cstheme="minorHAnsi"/>
          <w:i/>
          <w:iCs/>
        </w:rPr>
        <w:t>Engendering Citizenship: Women</w:t>
      </w:r>
      <w:r w:rsidR="00935CB5" w:rsidRPr="0018095C">
        <w:rPr>
          <w:rFonts w:cstheme="minorHAnsi"/>
        </w:rPr>
        <w:t xml:space="preserve">’s Movements </w:t>
      </w:r>
      <w:r w:rsidR="00935CB5" w:rsidRPr="0018095C">
        <w:rPr>
          <w:rFonts w:cstheme="minorHAnsi"/>
          <w:i/>
          <w:iCs/>
        </w:rPr>
        <w:t>in Tunisia and Turkey</w:t>
      </w:r>
      <w:r w:rsidR="00935CB5" w:rsidRPr="0018095C">
        <w:rPr>
          <w:rFonts w:cstheme="minorHAnsi"/>
        </w:rPr>
        <w:t xml:space="preserve"> (Ph.D. diss., Koc University, Turkey</w:t>
      </w:r>
      <w:r w:rsidR="005F6D11">
        <w:rPr>
          <w:rFonts w:cstheme="minorHAnsi"/>
        </w:rPr>
        <w:t>,</w:t>
      </w:r>
      <w:r w:rsidR="00935CB5" w:rsidRPr="0018095C">
        <w:rPr>
          <w:rFonts w:cstheme="minorHAnsi"/>
        </w:rPr>
        <w:t xml:space="preserve"> 2019). </w:t>
      </w:r>
    </w:p>
  </w:footnote>
  <w:footnote w:id="16">
    <w:p w14:paraId="7EE57938" w14:textId="1E326449" w:rsidR="00F76E54" w:rsidRPr="00F8429D" w:rsidRDefault="00F76E54" w:rsidP="0072561B">
      <w:pPr>
        <w:spacing w:after="0"/>
      </w:pPr>
      <w:r w:rsidRPr="0018095C">
        <w:rPr>
          <w:rStyle w:val="FootnoteReference"/>
          <w:rFonts w:cstheme="minorHAnsi"/>
        </w:rPr>
        <w:footnoteRef/>
      </w:r>
      <w:r w:rsidRPr="0018095C">
        <w:t xml:space="preserve"> </w:t>
      </w:r>
      <w:r w:rsidR="00935CB5" w:rsidRPr="0018095C">
        <w:t xml:space="preserve">See </w:t>
      </w:r>
      <w:r w:rsidR="00063D3E">
        <w:t>n</w:t>
      </w:r>
      <w:r w:rsidR="00935CB5" w:rsidRPr="0018095C">
        <w:t xml:space="preserve"> </w:t>
      </w:r>
      <w:r w:rsidR="00D55ACC" w:rsidRPr="0018095C">
        <w:t>5</w:t>
      </w:r>
      <w:r w:rsidR="00935CB5" w:rsidRPr="0018095C">
        <w:t>; see also VM Moghadam, ‘Advocacy, Activism, and Resistance’</w:t>
      </w:r>
      <w:r w:rsidR="00063D3E">
        <w:t>,</w:t>
      </w:r>
      <w:r w:rsidR="00935CB5" w:rsidRPr="0018095C">
        <w:t xml:space="preserve"> in LJ Shepherd and C Hamilton (eds), </w:t>
      </w:r>
      <w:r w:rsidR="00935CB5" w:rsidRPr="0018095C">
        <w:rPr>
          <w:i/>
          <w:iCs/>
        </w:rPr>
        <w:t>Gender Matters in Global Politics</w:t>
      </w:r>
      <w:r w:rsidR="00935CB5" w:rsidRPr="0018095C">
        <w:t xml:space="preserve"> (3</w:t>
      </w:r>
      <w:r w:rsidR="00935CB5" w:rsidRPr="0018095C">
        <w:rPr>
          <w:vertAlign w:val="superscript"/>
        </w:rPr>
        <w:t>rd</w:t>
      </w:r>
      <w:r w:rsidR="00935CB5" w:rsidRPr="0018095C">
        <w:t xml:space="preserve"> </w:t>
      </w:r>
      <w:proofErr w:type="spellStart"/>
      <w:r w:rsidR="00935CB5" w:rsidRPr="0018095C">
        <w:t>edn</w:t>
      </w:r>
      <w:proofErr w:type="spellEnd"/>
      <w:r w:rsidR="00063D3E">
        <w:t>,</w:t>
      </w:r>
      <w:r w:rsidR="002A424D" w:rsidRPr="0018095C">
        <w:t xml:space="preserve"> </w:t>
      </w:r>
      <w:r w:rsidR="00935CB5" w:rsidRPr="0018095C">
        <w:t>Routledge, London</w:t>
      </w:r>
      <w:r w:rsidR="005F6D11">
        <w:t>,</w:t>
      </w:r>
      <w:r w:rsidR="00935CB5" w:rsidRPr="0018095C">
        <w:t xml:space="preserve"> 2022).</w:t>
      </w:r>
      <w:r w:rsidR="00EE6260" w:rsidRPr="0018095C">
        <w:t xml:space="preserve"> </w:t>
      </w:r>
      <w:r w:rsidR="00935CB5" w:rsidRPr="00F8429D">
        <w:t xml:space="preserve"> </w:t>
      </w:r>
    </w:p>
  </w:footnote>
  <w:footnote w:id="17">
    <w:p w14:paraId="0F105C48" w14:textId="68AD5345" w:rsidR="005F6D11" w:rsidRPr="005F6D11" w:rsidRDefault="005F6D11">
      <w:pPr>
        <w:pStyle w:val="FootnoteText"/>
      </w:pPr>
      <w:r>
        <w:rPr>
          <w:rStyle w:val="FootnoteReference"/>
        </w:rPr>
        <w:footnoteRef/>
      </w:r>
      <w:r>
        <w:t xml:space="preserve"> </w:t>
      </w:r>
      <w:r w:rsidRPr="005F6D11">
        <w:rPr>
          <w:rFonts w:cstheme="minorHAnsi"/>
          <w:sz w:val="22"/>
          <w:szCs w:val="22"/>
        </w:rPr>
        <w:t xml:space="preserve">On the consequences of the US/UK invasion, see N Al-Ali and N Pratt, </w:t>
      </w:r>
      <w:r w:rsidRPr="005F6D11">
        <w:rPr>
          <w:rFonts w:cstheme="minorHAnsi"/>
          <w:i/>
          <w:iCs/>
          <w:sz w:val="22"/>
          <w:szCs w:val="22"/>
        </w:rPr>
        <w:t xml:space="preserve">What Kind of Liberation? Women and the Occupation of Iraq </w:t>
      </w:r>
      <w:r w:rsidRPr="005F6D11">
        <w:rPr>
          <w:rFonts w:cstheme="minorHAnsi"/>
          <w:sz w:val="22"/>
          <w:szCs w:val="22"/>
        </w:rPr>
        <w:t>(</w:t>
      </w:r>
      <w:r w:rsidR="00063D3E">
        <w:rPr>
          <w:rFonts w:cstheme="minorHAnsi"/>
          <w:sz w:val="22"/>
          <w:szCs w:val="22"/>
        </w:rPr>
        <w:t xml:space="preserve">University of California Press, </w:t>
      </w:r>
      <w:r w:rsidRPr="005F6D11">
        <w:rPr>
          <w:rFonts w:cstheme="minorHAnsi"/>
          <w:sz w:val="22"/>
          <w:szCs w:val="22"/>
        </w:rPr>
        <w:t>Berkeley</w:t>
      </w:r>
      <w:r>
        <w:rPr>
          <w:rFonts w:cstheme="minorHAnsi"/>
          <w:sz w:val="22"/>
          <w:szCs w:val="22"/>
        </w:rPr>
        <w:t>,</w:t>
      </w:r>
      <w:r w:rsidRPr="005F6D11">
        <w:rPr>
          <w:rFonts w:cstheme="minorHAnsi"/>
          <w:sz w:val="22"/>
          <w:szCs w:val="22"/>
        </w:rPr>
        <w:t xml:space="preserve"> 2010).</w:t>
      </w:r>
      <w:r>
        <w:rPr>
          <w:rFonts w:cstheme="minorHAnsi"/>
          <w:sz w:val="22"/>
          <w:szCs w:val="22"/>
        </w:rPr>
        <w:t xml:space="preserve">  </w:t>
      </w:r>
    </w:p>
  </w:footnote>
  <w:footnote w:id="18">
    <w:p w14:paraId="17BADBD1" w14:textId="113D461B" w:rsidR="00F65C74" w:rsidRPr="0072561B" w:rsidRDefault="00F65C74" w:rsidP="009C2B1E">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Z </w:t>
      </w:r>
      <w:r w:rsidR="006C3CA4">
        <w:rPr>
          <w:rFonts w:cstheme="minorHAnsi"/>
          <w:sz w:val="22"/>
          <w:szCs w:val="22"/>
        </w:rPr>
        <w:t>A</w:t>
      </w:r>
      <w:r w:rsidRPr="0018095C">
        <w:rPr>
          <w:rFonts w:cstheme="minorHAnsi"/>
          <w:sz w:val="22"/>
          <w:szCs w:val="22"/>
        </w:rPr>
        <w:t xml:space="preserve">l </w:t>
      </w:r>
      <w:proofErr w:type="spellStart"/>
      <w:r w:rsidRPr="0018095C">
        <w:rPr>
          <w:rFonts w:cstheme="minorHAnsi"/>
          <w:sz w:val="22"/>
          <w:szCs w:val="22"/>
        </w:rPr>
        <w:t>Mahsat</w:t>
      </w:r>
      <w:proofErr w:type="spellEnd"/>
      <w:r w:rsidRPr="0018095C">
        <w:rPr>
          <w:rFonts w:cstheme="minorHAnsi"/>
          <w:sz w:val="22"/>
          <w:szCs w:val="22"/>
        </w:rPr>
        <w:t xml:space="preserve"> and O Al Jaffal, ‘Draft Iraqi law allowing 9-year-olds to marry would “legalize child rape”, say activists’, </w:t>
      </w:r>
      <w:r w:rsidR="005F6D11">
        <w:rPr>
          <w:rFonts w:cstheme="minorHAnsi"/>
          <w:i/>
          <w:iCs/>
          <w:sz w:val="22"/>
          <w:szCs w:val="22"/>
        </w:rPr>
        <w:t>T</w:t>
      </w:r>
      <w:r w:rsidRPr="0018095C">
        <w:rPr>
          <w:rFonts w:cstheme="minorHAnsi"/>
          <w:i/>
          <w:iCs/>
          <w:sz w:val="22"/>
          <w:szCs w:val="22"/>
        </w:rPr>
        <w:t>he Guardian</w:t>
      </w:r>
      <w:r w:rsidR="00F063B8" w:rsidRPr="0018095C">
        <w:rPr>
          <w:rFonts w:cstheme="minorHAnsi"/>
          <w:i/>
          <w:iCs/>
          <w:sz w:val="22"/>
          <w:szCs w:val="22"/>
        </w:rPr>
        <w:t xml:space="preserve">, </w:t>
      </w:r>
      <w:r w:rsidR="00F063B8" w:rsidRPr="0018095C">
        <w:rPr>
          <w:rFonts w:cstheme="minorHAnsi"/>
          <w:sz w:val="22"/>
          <w:szCs w:val="22"/>
        </w:rPr>
        <w:t xml:space="preserve">9 August 2024, </w:t>
      </w:r>
      <w:hyperlink r:id="rId4" w:history="1">
        <w:r w:rsidR="00F063B8" w:rsidRPr="0072561B">
          <w:rPr>
            <w:rStyle w:val="Hyperlink"/>
            <w:rFonts w:cstheme="minorHAnsi"/>
            <w:color w:val="auto"/>
            <w:sz w:val="22"/>
            <w:szCs w:val="22"/>
            <w:u w:val="none"/>
          </w:rPr>
          <w:t>https://www.theguardian.com/global-development/article/2024/aug/09/proposed-iraqi-law-change-would-legalise-child-say-activists</w:t>
        </w:r>
      </w:hyperlink>
      <w:bookmarkStart w:id="0" w:name="_Hlk184646252"/>
      <w:r w:rsidR="00F063B8" w:rsidRPr="0072561B">
        <w:rPr>
          <w:rFonts w:cstheme="minorHAnsi"/>
          <w:sz w:val="22"/>
          <w:szCs w:val="22"/>
        </w:rPr>
        <w:t>.</w:t>
      </w:r>
      <w:bookmarkEnd w:id="0"/>
    </w:p>
  </w:footnote>
  <w:footnote w:id="19">
    <w:p w14:paraId="08ACCD83" w14:textId="588F5AFA" w:rsidR="00CC1082" w:rsidRPr="0072561B" w:rsidRDefault="00CC1082" w:rsidP="00595B0F">
      <w:pPr>
        <w:pStyle w:val="FootnoteText"/>
        <w:rPr>
          <w:rFonts w:cstheme="minorHAnsi"/>
          <w:sz w:val="22"/>
          <w:szCs w:val="22"/>
        </w:rPr>
      </w:pPr>
      <w:r w:rsidRPr="0072561B">
        <w:rPr>
          <w:rStyle w:val="FootnoteReference"/>
          <w:rFonts w:cstheme="minorHAnsi"/>
          <w:sz w:val="22"/>
          <w:szCs w:val="22"/>
        </w:rPr>
        <w:footnoteRef/>
      </w:r>
      <w:r w:rsidRPr="0072561B">
        <w:rPr>
          <w:rFonts w:cstheme="minorHAnsi"/>
          <w:sz w:val="22"/>
          <w:szCs w:val="22"/>
        </w:rPr>
        <w:t xml:space="preserve"> Charrad</w:t>
      </w:r>
      <w:r w:rsidR="005F6D11">
        <w:rPr>
          <w:rFonts w:cstheme="minorHAnsi"/>
          <w:sz w:val="22"/>
          <w:szCs w:val="22"/>
        </w:rPr>
        <w:t>, above n</w:t>
      </w:r>
      <w:r w:rsidRPr="0072561B">
        <w:rPr>
          <w:rFonts w:cstheme="minorHAnsi"/>
          <w:sz w:val="22"/>
          <w:szCs w:val="22"/>
        </w:rPr>
        <w:t xml:space="preserve"> </w:t>
      </w:r>
      <w:r w:rsidR="005F6D11">
        <w:rPr>
          <w:rFonts w:cstheme="minorHAnsi"/>
          <w:sz w:val="22"/>
          <w:szCs w:val="22"/>
        </w:rPr>
        <w:t>10</w:t>
      </w:r>
      <w:r w:rsidRPr="0072561B">
        <w:rPr>
          <w:rFonts w:cstheme="minorHAnsi"/>
          <w:sz w:val="22"/>
          <w:szCs w:val="22"/>
        </w:rPr>
        <w:t>.</w:t>
      </w:r>
    </w:p>
  </w:footnote>
  <w:footnote w:id="20">
    <w:p w14:paraId="34BB1ACA" w14:textId="76039C36" w:rsidR="006E061D" w:rsidRPr="0018095C" w:rsidRDefault="006E061D" w:rsidP="00595B0F">
      <w:pPr>
        <w:pStyle w:val="EndnoteText"/>
        <w:ind w:right="-57"/>
        <w:rPr>
          <w:rFonts w:asciiTheme="minorHAnsi" w:hAnsiTheme="minorHAnsi" w:cstheme="minorHAnsi"/>
          <w:sz w:val="22"/>
          <w:szCs w:val="22"/>
        </w:rPr>
      </w:pPr>
      <w:r w:rsidRPr="0072561B">
        <w:rPr>
          <w:rStyle w:val="FootnoteReference"/>
          <w:rFonts w:asciiTheme="minorHAnsi" w:hAnsiTheme="minorHAnsi" w:cstheme="minorHAnsi"/>
          <w:sz w:val="22"/>
          <w:szCs w:val="22"/>
        </w:rPr>
        <w:footnoteRef/>
      </w:r>
      <w:r w:rsidRPr="0072561B">
        <w:rPr>
          <w:rFonts w:asciiTheme="minorHAnsi" w:hAnsiTheme="minorHAnsi" w:cstheme="minorHAnsi"/>
          <w:sz w:val="22"/>
          <w:szCs w:val="22"/>
        </w:rPr>
        <w:t xml:space="preserve">  </w:t>
      </w:r>
      <w:r w:rsidR="00777A45" w:rsidRPr="0018095C">
        <w:rPr>
          <w:rFonts w:asciiTheme="minorHAnsi" w:hAnsiTheme="minorHAnsi" w:cstheme="minorHAnsi"/>
          <w:color w:val="202122"/>
          <w:sz w:val="22"/>
          <w:szCs w:val="22"/>
          <w:shd w:val="clear" w:color="auto" w:fill="FFFFFF"/>
        </w:rPr>
        <w:t>E Armstrong, ‘Before Bandung: The Anti-Imperialist Women's Movement in Asia and the Women's International Democratic Federation’ [2016]</w:t>
      </w:r>
      <w:r w:rsidR="008E5587">
        <w:rPr>
          <w:rFonts w:asciiTheme="minorHAnsi" w:hAnsiTheme="minorHAnsi" w:cstheme="minorHAnsi"/>
          <w:color w:val="202122"/>
          <w:sz w:val="22"/>
          <w:szCs w:val="22"/>
          <w:shd w:val="clear" w:color="auto" w:fill="FFFFFF"/>
        </w:rPr>
        <w:t>,</w:t>
      </w:r>
      <w:r w:rsidR="00777A45" w:rsidRPr="0018095C">
        <w:rPr>
          <w:rFonts w:asciiTheme="minorHAnsi" w:hAnsiTheme="minorHAnsi" w:cstheme="minorHAnsi"/>
          <w:color w:val="202122"/>
          <w:sz w:val="22"/>
          <w:szCs w:val="22"/>
          <w:shd w:val="clear" w:color="auto" w:fill="FFFFFF"/>
        </w:rPr>
        <w:t xml:space="preserve"> </w:t>
      </w:r>
      <w:r w:rsidR="00777A45" w:rsidRPr="0018095C">
        <w:rPr>
          <w:rFonts w:asciiTheme="minorHAnsi" w:hAnsiTheme="minorHAnsi" w:cstheme="minorHAnsi"/>
          <w:i/>
          <w:iCs/>
          <w:color w:val="202122"/>
          <w:sz w:val="22"/>
          <w:szCs w:val="22"/>
          <w:shd w:val="clear" w:color="auto" w:fill="FFFFFF"/>
        </w:rPr>
        <w:t>Signs</w:t>
      </w:r>
      <w:r w:rsidR="00777A45" w:rsidRPr="0018095C">
        <w:rPr>
          <w:rFonts w:asciiTheme="minorHAnsi" w:hAnsiTheme="minorHAnsi" w:cstheme="minorHAnsi"/>
          <w:color w:val="202122"/>
          <w:sz w:val="22"/>
          <w:szCs w:val="22"/>
          <w:shd w:val="clear" w:color="auto" w:fill="FFFFFF"/>
        </w:rPr>
        <w:t xml:space="preserve"> 41(22), 305-331; </w:t>
      </w:r>
      <w:r w:rsidR="00777A45" w:rsidRPr="0018095C">
        <w:rPr>
          <w:rFonts w:asciiTheme="minorHAnsi" w:hAnsiTheme="minorHAnsi" w:cstheme="minorHAnsi"/>
          <w:sz w:val="22"/>
          <w:szCs w:val="22"/>
          <w:lang w:val="en-US"/>
        </w:rPr>
        <w:t>F de Haan, ‘Continuing Cold War Paradigms in Western Historiography of Transnational Women’s Organisations: The Case of the Women’s International Democratic Federation (WIDF)’ [2010]</w:t>
      </w:r>
      <w:r w:rsidR="002248A2" w:rsidRPr="0018095C">
        <w:rPr>
          <w:rFonts w:asciiTheme="minorHAnsi" w:hAnsiTheme="minorHAnsi" w:cstheme="minorHAnsi"/>
          <w:sz w:val="22"/>
          <w:szCs w:val="22"/>
          <w:lang w:val="en-US"/>
        </w:rPr>
        <w:t>,</w:t>
      </w:r>
      <w:r w:rsidR="00777A45" w:rsidRPr="0018095C">
        <w:rPr>
          <w:rFonts w:asciiTheme="minorHAnsi" w:hAnsiTheme="minorHAnsi" w:cstheme="minorHAnsi"/>
          <w:sz w:val="22"/>
          <w:szCs w:val="22"/>
          <w:lang w:val="en-US"/>
        </w:rPr>
        <w:t xml:space="preserve"> </w:t>
      </w:r>
      <w:r w:rsidR="00777A45" w:rsidRPr="0018095C">
        <w:rPr>
          <w:rFonts w:asciiTheme="minorHAnsi" w:hAnsiTheme="minorHAnsi" w:cstheme="minorHAnsi"/>
          <w:i/>
          <w:iCs/>
          <w:sz w:val="22"/>
          <w:szCs w:val="22"/>
          <w:lang w:val="en-US"/>
        </w:rPr>
        <w:t xml:space="preserve">Women’s History Review, </w:t>
      </w:r>
      <w:r w:rsidR="00777A45" w:rsidRPr="0018095C">
        <w:rPr>
          <w:rFonts w:asciiTheme="minorHAnsi" w:hAnsiTheme="minorHAnsi" w:cstheme="minorHAnsi"/>
          <w:sz w:val="22"/>
          <w:szCs w:val="22"/>
          <w:lang w:val="en-US"/>
        </w:rPr>
        <w:t>19(4), 547-573.</w:t>
      </w:r>
      <w:r w:rsidR="002A424D" w:rsidRPr="0018095C">
        <w:rPr>
          <w:rFonts w:asciiTheme="minorHAnsi" w:hAnsiTheme="minorHAnsi" w:cstheme="minorHAnsi"/>
          <w:sz w:val="22"/>
          <w:szCs w:val="22"/>
          <w:lang w:val="en-US"/>
        </w:rPr>
        <w:t xml:space="preserve"> </w:t>
      </w:r>
    </w:p>
  </w:footnote>
  <w:footnote w:id="21">
    <w:p w14:paraId="60B1F826" w14:textId="182D0FCD" w:rsidR="00D07BE6" w:rsidRPr="0018095C" w:rsidRDefault="00D07BE6" w:rsidP="00595B0F">
      <w:pPr>
        <w:autoSpaceDE w:val="0"/>
        <w:autoSpaceDN w:val="0"/>
        <w:adjustRightInd w:val="0"/>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051217" w:rsidRPr="0018095C">
        <w:rPr>
          <w:rFonts w:cstheme="minorHAnsi"/>
        </w:rPr>
        <w:t xml:space="preserve">M Charrad, ‘Policy Shifts: State, Islam, and Gender in Tunisia, 1930s-1990s’ [1997], </w:t>
      </w:r>
      <w:r w:rsidR="00051217" w:rsidRPr="0018095C">
        <w:rPr>
          <w:rFonts w:cstheme="minorHAnsi"/>
          <w:i/>
        </w:rPr>
        <w:t>Social Politics</w:t>
      </w:r>
      <w:r w:rsidR="00051217" w:rsidRPr="0018095C">
        <w:rPr>
          <w:rFonts w:cstheme="minorHAnsi"/>
        </w:rPr>
        <w:t xml:space="preserve">, 4(2), 284-319; J Tchaicha </w:t>
      </w:r>
      <w:r w:rsidR="008E5587">
        <w:rPr>
          <w:rFonts w:cstheme="minorHAnsi"/>
        </w:rPr>
        <w:t>and</w:t>
      </w:r>
      <w:r w:rsidR="00051217" w:rsidRPr="0018095C">
        <w:rPr>
          <w:rFonts w:cstheme="minorHAnsi"/>
        </w:rPr>
        <w:t xml:space="preserve"> K Arfaoui, </w:t>
      </w:r>
      <w:r w:rsidR="00051217" w:rsidRPr="0018095C">
        <w:rPr>
          <w:rFonts w:cstheme="minorHAnsi"/>
          <w:i/>
          <w:iCs/>
        </w:rPr>
        <w:t>The Tunisian Women’s Rights Movement: From Nascent Activism to Influential Power-Broking</w:t>
      </w:r>
      <w:r w:rsidR="00051217" w:rsidRPr="0018095C">
        <w:rPr>
          <w:rFonts w:cstheme="minorHAnsi"/>
        </w:rPr>
        <w:t xml:space="preserve"> (Routledge, London</w:t>
      </w:r>
      <w:r w:rsidR="005F6D11">
        <w:rPr>
          <w:rFonts w:cstheme="minorHAnsi"/>
        </w:rPr>
        <w:t>,</w:t>
      </w:r>
      <w:r w:rsidR="00051217" w:rsidRPr="0018095C">
        <w:rPr>
          <w:rFonts w:cstheme="minorHAnsi"/>
        </w:rPr>
        <w:t xml:space="preserve"> 2017). </w:t>
      </w:r>
    </w:p>
  </w:footnote>
  <w:footnote w:id="22">
    <w:p w14:paraId="444FF348" w14:textId="51A3FF01" w:rsidR="00D07BE6" w:rsidRPr="0018095C" w:rsidRDefault="00D07BE6"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051217" w:rsidRPr="0018095C">
        <w:rPr>
          <w:rFonts w:cstheme="minorHAnsi"/>
        </w:rPr>
        <w:t xml:space="preserve">L Labidi, ‘The </w:t>
      </w:r>
      <w:r w:rsidR="00204E47">
        <w:rPr>
          <w:rFonts w:cstheme="minorHAnsi"/>
        </w:rPr>
        <w:t>N</w:t>
      </w:r>
      <w:r w:rsidR="00051217" w:rsidRPr="0018095C">
        <w:rPr>
          <w:rFonts w:cstheme="minorHAnsi"/>
        </w:rPr>
        <w:t xml:space="preserve">ature of </w:t>
      </w:r>
      <w:r w:rsidR="00204E47">
        <w:rPr>
          <w:rFonts w:cstheme="minorHAnsi"/>
        </w:rPr>
        <w:t>T</w:t>
      </w:r>
      <w:r w:rsidR="00051217" w:rsidRPr="0018095C">
        <w:rPr>
          <w:rFonts w:cstheme="minorHAnsi"/>
        </w:rPr>
        <w:t xml:space="preserve">ransnational </w:t>
      </w:r>
      <w:r w:rsidR="00204E47">
        <w:rPr>
          <w:rFonts w:cstheme="minorHAnsi"/>
        </w:rPr>
        <w:t>A</w:t>
      </w:r>
      <w:r w:rsidR="00051217" w:rsidRPr="0018095C">
        <w:rPr>
          <w:rFonts w:cstheme="minorHAnsi"/>
        </w:rPr>
        <w:t xml:space="preserve">lliances in </w:t>
      </w:r>
      <w:r w:rsidR="00204E47">
        <w:rPr>
          <w:rFonts w:cstheme="minorHAnsi"/>
        </w:rPr>
        <w:t>W</w:t>
      </w:r>
      <w:r w:rsidR="00051217" w:rsidRPr="0018095C">
        <w:rPr>
          <w:rFonts w:cstheme="minorHAnsi"/>
        </w:rPr>
        <w:t xml:space="preserve">omen’s </w:t>
      </w:r>
      <w:r w:rsidR="00204E47">
        <w:rPr>
          <w:rFonts w:cstheme="minorHAnsi"/>
        </w:rPr>
        <w:t>A</w:t>
      </w:r>
      <w:r w:rsidR="00051217" w:rsidRPr="0018095C">
        <w:rPr>
          <w:rFonts w:cstheme="minorHAnsi"/>
        </w:rPr>
        <w:t xml:space="preserve">ssociations in the Maghreb: The </w:t>
      </w:r>
      <w:r w:rsidR="00204E47">
        <w:rPr>
          <w:rFonts w:cstheme="minorHAnsi"/>
        </w:rPr>
        <w:t>C</w:t>
      </w:r>
      <w:r w:rsidR="00051217" w:rsidRPr="0018095C">
        <w:rPr>
          <w:rFonts w:cstheme="minorHAnsi"/>
        </w:rPr>
        <w:t>ase of AFTURD and ATFD in Tunisia’ [2007]</w:t>
      </w:r>
      <w:r w:rsidR="008E5587">
        <w:rPr>
          <w:rFonts w:cstheme="minorHAnsi"/>
        </w:rPr>
        <w:t>,</w:t>
      </w:r>
      <w:r w:rsidR="00051217" w:rsidRPr="0018095C">
        <w:rPr>
          <w:rFonts w:cstheme="minorHAnsi"/>
        </w:rPr>
        <w:t xml:space="preserve"> </w:t>
      </w:r>
      <w:r w:rsidR="00051217" w:rsidRPr="0018095C">
        <w:rPr>
          <w:rFonts w:cstheme="minorHAnsi"/>
          <w:i/>
          <w:iCs/>
        </w:rPr>
        <w:t>J</w:t>
      </w:r>
      <w:r w:rsidR="005F6D11">
        <w:rPr>
          <w:rFonts w:cstheme="minorHAnsi"/>
          <w:i/>
          <w:iCs/>
        </w:rPr>
        <w:t>ournal</w:t>
      </w:r>
      <w:r w:rsidR="00051217" w:rsidRPr="0018095C">
        <w:rPr>
          <w:rFonts w:cstheme="minorHAnsi"/>
          <w:i/>
          <w:iCs/>
        </w:rPr>
        <w:t xml:space="preserve"> of Middle East Women’s Studies, 3</w:t>
      </w:r>
      <w:r w:rsidR="00051217" w:rsidRPr="0018095C">
        <w:rPr>
          <w:rFonts w:cstheme="minorHAnsi"/>
        </w:rPr>
        <w:t>(1), 6</w:t>
      </w:r>
      <w:r w:rsidR="00204E47">
        <w:rPr>
          <w:rFonts w:cstheme="minorHAnsi"/>
        </w:rPr>
        <w:t>-</w:t>
      </w:r>
      <w:r w:rsidR="00051217" w:rsidRPr="0018095C">
        <w:rPr>
          <w:rFonts w:cstheme="minorHAnsi"/>
        </w:rPr>
        <w:t xml:space="preserve">34. </w:t>
      </w:r>
    </w:p>
  </w:footnote>
  <w:footnote w:id="23">
    <w:p w14:paraId="059EB47E" w14:textId="3485DE3C" w:rsidR="00D07BE6" w:rsidRPr="0072561B" w:rsidRDefault="00D07BE6"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051217" w:rsidRPr="0018095C">
        <w:rPr>
          <w:rFonts w:cstheme="minorHAnsi"/>
        </w:rPr>
        <w:t xml:space="preserve">E Sanasarian, </w:t>
      </w:r>
      <w:r w:rsidR="00051217" w:rsidRPr="0018095C">
        <w:rPr>
          <w:rFonts w:cstheme="minorHAnsi"/>
          <w:i/>
        </w:rPr>
        <w:t xml:space="preserve">The Women’s Rights Movement in Iran: Mutiny, Appeasement, and Repression from 1900 to Khomeini </w:t>
      </w:r>
      <w:r w:rsidR="00051217" w:rsidRPr="0018095C">
        <w:rPr>
          <w:rFonts w:cstheme="minorHAnsi"/>
          <w:iCs/>
        </w:rPr>
        <w:t>(</w:t>
      </w:r>
      <w:r w:rsidR="00051217" w:rsidRPr="0018095C">
        <w:rPr>
          <w:rFonts w:cstheme="minorHAnsi"/>
        </w:rPr>
        <w:t>Praeger, New York</w:t>
      </w:r>
      <w:r w:rsidR="005F6D11">
        <w:rPr>
          <w:rFonts w:cstheme="minorHAnsi"/>
        </w:rPr>
        <w:t>,</w:t>
      </w:r>
      <w:r w:rsidR="00051217" w:rsidRPr="0018095C">
        <w:rPr>
          <w:rFonts w:cstheme="minorHAnsi"/>
        </w:rPr>
        <w:t xml:space="preserve"> 1982)</w:t>
      </w:r>
      <w:r w:rsidR="002248A2" w:rsidRPr="0018095C">
        <w:rPr>
          <w:rFonts w:cstheme="minorHAnsi"/>
        </w:rPr>
        <w:t xml:space="preserve">; H </w:t>
      </w:r>
      <w:r w:rsidR="002248A2" w:rsidRPr="0072561B">
        <w:rPr>
          <w:rFonts w:cstheme="minorHAnsi"/>
        </w:rPr>
        <w:t xml:space="preserve">Sedghi, </w:t>
      </w:r>
      <w:r w:rsidR="002248A2" w:rsidRPr="0072561B">
        <w:rPr>
          <w:rFonts w:cstheme="minorHAnsi"/>
          <w:i/>
          <w:iCs/>
        </w:rPr>
        <w:t xml:space="preserve">Women and Politics in Iran: Veiling, Unveiling, and </w:t>
      </w:r>
      <w:proofErr w:type="spellStart"/>
      <w:r w:rsidR="002248A2" w:rsidRPr="0072561B">
        <w:rPr>
          <w:rFonts w:cstheme="minorHAnsi"/>
          <w:i/>
          <w:iCs/>
        </w:rPr>
        <w:t>Reveiling</w:t>
      </w:r>
      <w:proofErr w:type="spellEnd"/>
      <w:r w:rsidR="002248A2" w:rsidRPr="0072561B">
        <w:rPr>
          <w:rFonts w:cstheme="minorHAnsi"/>
          <w:i/>
          <w:iCs/>
        </w:rPr>
        <w:t xml:space="preserve"> </w:t>
      </w:r>
      <w:r w:rsidR="002248A2" w:rsidRPr="0072561B">
        <w:rPr>
          <w:rFonts w:cstheme="minorHAnsi"/>
        </w:rPr>
        <w:t>(C</w:t>
      </w:r>
      <w:r w:rsidR="00204E47">
        <w:rPr>
          <w:rFonts w:cstheme="minorHAnsi"/>
        </w:rPr>
        <w:t>UP</w:t>
      </w:r>
      <w:r w:rsidR="005F6D11">
        <w:rPr>
          <w:rFonts w:cstheme="minorHAnsi"/>
        </w:rPr>
        <w:t>,</w:t>
      </w:r>
      <w:r w:rsidR="002248A2" w:rsidRPr="0072561B">
        <w:rPr>
          <w:rFonts w:cstheme="minorHAnsi"/>
        </w:rPr>
        <w:t xml:space="preserve"> </w:t>
      </w:r>
      <w:r w:rsidR="00204E47">
        <w:rPr>
          <w:rFonts w:cstheme="minorHAnsi"/>
        </w:rPr>
        <w:t xml:space="preserve">Cambridge, </w:t>
      </w:r>
      <w:r w:rsidR="002248A2" w:rsidRPr="0072561B">
        <w:rPr>
          <w:rFonts w:cstheme="minorHAnsi"/>
        </w:rPr>
        <w:t xml:space="preserve">2007).  </w:t>
      </w:r>
    </w:p>
  </w:footnote>
  <w:footnote w:id="24">
    <w:p w14:paraId="2C00395E" w14:textId="5D2B10AF" w:rsidR="00D07BE6" w:rsidRPr="0018095C" w:rsidRDefault="00D07BE6"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051217" w:rsidRPr="0018095C">
        <w:rPr>
          <w:rFonts w:cstheme="minorHAnsi"/>
        </w:rPr>
        <w:t xml:space="preserve">M Afkhami, </w:t>
      </w:r>
      <w:r w:rsidR="00051217" w:rsidRPr="0018095C">
        <w:rPr>
          <w:rFonts w:cstheme="minorHAnsi"/>
          <w:i/>
          <w:iCs/>
        </w:rPr>
        <w:t xml:space="preserve">The Other Side of Silence </w:t>
      </w:r>
      <w:r w:rsidR="00051217" w:rsidRPr="0018095C">
        <w:rPr>
          <w:rFonts w:cstheme="minorHAnsi"/>
        </w:rPr>
        <w:t>(University of North Carolina Press, Durham</w:t>
      </w:r>
      <w:r w:rsidR="005F6D11">
        <w:rPr>
          <w:rFonts w:cstheme="minorHAnsi"/>
        </w:rPr>
        <w:t>,</w:t>
      </w:r>
      <w:r w:rsidR="00051217" w:rsidRPr="0018095C">
        <w:rPr>
          <w:rFonts w:cstheme="minorHAnsi"/>
        </w:rPr>
        <w:t xml:space="preserve"> 2022), </w:t>
      </w:r>
      <w:proofErr w:type="gramStart"/>
      <w:r w:rsidR="00051217" w:rsidRPr="0018095C">
        <w:rPr>
          <w:rFonts w:cstheme="minorHAnsi"/>
        </w:rPr>
        <w:t xml:space="preserve">and  </w:t>
      </w:r>
      <w:r w:rsidR="00051217" w:rsidRPr="0018095C">
        <w:rPr>
          <w:rFonts w:cstheme="minorHAnsi"/>
          <w:shd w:val="clear" w:color="auto" w:fill="FFFFFF"/>
        </w:rPr>
        <w:t>‘</w:t>
      </w:r>
      <w:proofErr w:type="gramEnd"/>
      <w:r w:rsidR="00051217" w:rsidRPr="0018095C">
        <w:rPr>
          <w:rFonts w:cstheme="minorHAnsi"/>
          <w:shd w:val="clear" w:color="auto" w:fill="FFFFFF"/>
        </w:rPr>
        <w:t xml:space="preserve">Iran: A Future in the Past – The “Prerevolutionary” Women’s Movement,’ in Robin Morgan (ed), </w:t>
      </w:r>
      <w:r w:rsidR="00051217" w:rsidRPr="0018095C">
        <w:rPr>
          <w:rFonts w:cstheme="minorHAnsi"/>
          <w:i/>
          <w:iCs/>
          <w:shd w:val="clear" w:color="auto" w:fill="FFFFFF"/>
        </w:rPr>
        <w:t xml:space="preserve">Sisterhood is Global </w:t>
      </w:r>
      <w:r w:rsidR="00051217" w:rsidRPr="0018095C">
        <w:rPr>
          <w:rFonts w:cstheme="minorHAnsi"/>
          <w:shd w:val="clear" w:color="auto" w:fill="FFFFFF"/>
        </w:rPr>
        <w:t>(Anchor Books, New York</w:t>
      </w:r>
      <w:r w:rsidR="005F6D11">
        <w:rPr>
          <w:rFonts w:cstheme="minorHAnsi"/>
          <w:shd w:val="clear" w:color="auto" w:fill="FFFFFF"/>
        </w:rPr>
        <w:t>,</w:t>
      </w:r>
      <w:r w:rsidR="00051217" w:rsidRPr="0018095C">
        <w:rPr>
          <w:rFonts w:cstheme="minorHAnsi"/>
          <w:shd w:val="clear" w:color="auto" w:fill="FFFFFF"/>
        </w:rPr>
        <w:t xml:space="preserve"> 1984), 330-338. See also </w:t>
      </w:r>
      <w:r w:rsidR="00051217" w:rsidRPr="0018095C">
        <w:rPr>
          <w:rFonts w:cstheme="minorHAnsi"/>
        </w:rPr>
        <w:t xml:space="preserve">J Afary, </w:t>
      </w:r>
      <w:r w:rsidR="00051217" w:rsidRPr="0018095C">
        <w:rPr>
          <w:rFonts w:cstheme="minorHAnsi"/>
          <w:i/>
          <w:iCs/>
        </w:rPr>
        <w:t xml:space="preserve">Sexual Politics in Modern Iran </w:t>
      </w:r>
      <w:r w:rsidR="00051217" w:rsidRPr="0018095C">
        <w:rPr>
          <w:rFonts w:cstheme="minorHAnsi"/>
        </w:rPr>
        <w:t>(CUP, Cambridge</w:t>
      </w:r>
      <w:r w:rsidR="005F6D11">
        <w:rPr>
          <w:rFonts w:cstheme="minorHAnsi"/>
        </w:rPr>
        <w:t>,</w:t>
      </w:r>
      <w:r w:rsidR="00051217" w:rsidRPr="0018095C">
        <w:rPr>
          <w:rFonts w:cstheme="minorHAnsi"/>
        </w:rPr>
        <w:t xml:space="preserve"> 2009) and </w:t>
      </w:r>
      <w:r w:rsidR="00051217" w:rsidRPr="0018095C">
        <w:rPr>
          <w:rFonts w:cstheme="minorHAnsi"/>
          <w:i/>
        </w:rPr>
        <w:t xml:space="preserve">The Iranian Constitutional Revolution 1906-1911: Grassroots </w:t>
      </w:r>
      <w:r w:rsidR="00B84304">
        <w:rPr>
          <w:rFonts w:cstheme="minorHAnsi"/>
          <w:i/>
        </w:rPr>
        <w:t>D</w:t>
      </w:r>
      <w:r w:rsidR="00051217" w:rsidRPr="0018095C">
        <w:rPr>
          <w:rFonts w:cstheme="minorHAnsi"/>
          <w:i/>
        </w:rPr>
        <w:t xml:space="preserve">emocracy and the </w:t>
      </w:r>
      <w:r w:rsidR="00B84304">
        <w:rPr>
          <w:rFonts w:cstheme="minorHAnsi"/>
          <w:i/>
        </w:rPr>
        <w:t>O</w:t>
      </w:r>
      <w:r w:rsidR="00051217" w:rsidRPr="0018095C">
        <w:rPr>
          <w:rFonts w:cstheme="minorHAnsi"/>
          <w:i/>
        </w:rPr>
        <w:t xml:space="preserve">rigins of </w:t>
      </w:r>
      <w:r w:rsidR="00B84304">
        <w:rPr>
          <w:rFonts w:cstheme="minorHAnsi"/>
          <w:i/>
        </w:rPr>
        <w:t>F</w:t>
      </w:r>
      <w:r w:rsidR="00051217" w:rsidRPr="0018095C">
        <w:rPr>
          <w:rFonts w:cstheme="minorHAnsi"/>
          <w:i/>
        </w:rPr>
        <w:t xml:space="preserve">eminism </w:t>
      </w:r>
      <w:r w:rsidR="00051217" w:rsidRPr="0018095C">
        <w:rPr>
          <w:rFonts w:cstheme="minorHAnsi"/>
          <w:iCs/>
        </w:rPr>
        <w:t>(</w:t>
      </w:r>
      <w:r w:rsidR="00051217" w:rsidRPr="0018095C">
        <w:rPr>
          <w:rFonts w:cstheme="minorHAnsi"/>
        </w:rPr>
        <w:t>Columbia UP, New York</w:t>
      </w:r>
      <w:r w:rsidR="005F6D11">
        <w:rPr>
          <w:rFonts w:cstheme="minorHAnsi"/>
        </w:rPr>
        <w:t>,</w:t>
      </w:r>
      <w:r w:rsidR="00051217" w:rsidRPr="0018095C">
        <w:rPr>
          <w:rFonts w:cstheme="minorHAnsi"/>
        </w:rPr>
        <w:t xml:space="preserve"> 1996).  </w:t>
      </w:r>
    </w:p>
  </w:footnote>
  <w:footnote w:id="25">
    <w:p w14:paraId="4FC65375" w14:textId="454163A5" w:rsidR="00D07BE6" w:rsidRPr="0018095C" w:rsidRDefault="00D07BE6"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051217" w:rsidRPr="0018095C">
        <w:rPr>
          <w:rFonts w:cstheme="minorHAnsi"/>
        </w:rPr>
        <w:t>M Kar, ‘Women and Personal Status Law in Iran: An Interview with Mehrangiz Kar’ [1996]</w:t>
      </w:r>
      <w:r w:rsidR="006E1020">
        <w:rPr>
          <w:rFonts w:cstheme="minorHAnsi"/>
        </w:rPr>
        <w:t>,</w:t>
      </w:r>
      <w:r w:rsidR="00051217" w:rsidRPr="0018095C">
        <w:rPr>
          <w:rFonts w:cstheme="minorHAnsi"/>
        </w:rPr>
        <w:t xml:space="preserve"> </w:t>
      </w:r>
      <w:r w:rsidR="00051217" w:rsidRPr="0018095C">
        <w:rPr>
          <w:rFonts w:cstheme="minorHAnsi"/>
          <w:i/>
          <w:iCs/>
        </w:rPr>
        <w:t>Middle East Report</w:t>
      </w:r>
      <w:r w:rsidR="00051217" w:rsidRPr="0018095C">
        <w:rPr>
          <w:rFonts w:cstheme="minorHAnsi"/>
        </w:rPr>
        <w:t xml:space="preserve"> 198, 36-38. See also M Boe, </w:t>
      </w:r>
      <w:r w:rsidR="00051217" w:rsidRPr="0018095C">
        <w:rPr>
          <w:rFonts w:cstheme="minorHAnsi"/>
          <w:i/>
          <w:iCs/>
        </w:rPr>
        <w:t xml:space="preserve">Family Law in Contemporary Iran: Women’s Rights Activism and Sharia </w:t>
      </w:r>
      <w:r w:rsidR="00051217" w:rsidRPr="0018095C">
        <w:rPr>
          <w:rFonts w:cstheme="minorHAnsi"/>
        </w:rPr>
        <w:t>(IB Tauris, London</w:t>
      </w:r>
      <w:r w:rsidR="005F6D11">
        <w:rPr>
          <w:rFonts w:cstheme="minorHAnsi"/>
        </w:rPr>
        <w:t>,</w:t>
      </w:r>
      <w:r w:rsidR="00051217" w:rsidRPr="0018095C">
        <w:rPr>
          <w:rFonts w:cstheme="minorHAnsi"/>
        </w:rPr>
        <w:t xml:space="preserve"> 2015).</w:t>
      </w:r>
    </w:p>
  </w:footnote>
  <w:footnote w:id="26">
    <w:p w14:paraId="0882E2B4" w14:textId="1DC73511" w:rsidR="00156F01" w:rsidRPr="0018095C" w:rsidRDefault="00156F01" w:rsidP="00595B0F">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H </w:t>
      </w:r>
      <w:proofErr w:type="gramStart"/>
      <w:r w:rsidRPr="0018095C">
        <w:rPr>
          <w:rFonts w:cstheme="minorHAnsi"/>
          <w:sz w:val="22"/>
          <w:szCs w:val="22"/>
        </w:rPr>
        <w:t>Hoodfar,  ‘</w:t>
      </w:r>
      <w:proofErr w:type="gramEnd"/>
      <w:r w:rsidRPr="0018095C">
        <w:rPr>
          <w:rFonts w:cstheme="minorHAnsi"/>
          <w:sz w:val="22"/>
          <w:szCs w:val="22"/>
        </w:rPr>
        <w:t>Iranian Women at the Intersection of Citizenship and the Family Code: The Perils of Islamic Criteria’</w:t>
      </w:r>
      <w:r w:rsidR="00867553">
        <w:rPr>
          <w:rFonts w:cstheme="minorHAnsi"/>
          <w:sz w:val="22"/>
          <w:szCs w:val="22"/>
        </w:rPr>
        <w:t>,</w:t>
      </w:r>
      <w:r w:rsidRPr="0018095C">
        <w:rPr>
          <w:rFonts w:cstheme="minorHAnsi"/>
          <w:sz w:val="22"/>
          <w:szCs w:val="22"/>
        </w:rPr>
        <w:t xml:space="preserve"> in</w:t>
      </w:r>
      <w:r w:rsidR="006E1020">
        <w:rPr>
          <w:rFonts w:cstheme="minorHAnsi"/>
          <w:sz w:val="22"/>
          <w:szCs w:val="22"/>
        </w:rPr>
        <w:t xml:space="preserve"> </w:t>
      </w:r>
      <w:r w:rsidR="006E1020" w:rsidRPr="0018095C">
        <w:rPr>
          <w:rFonts w:cstheme="minorHAnsi"/>
          <w:sz w:val="22"/>
          <w:szCs w:val="22"/>
        </w:rPr>
        <w:t>S Joseph</w:t>
      </w:r>
      <w:r w:rsidR="006E1020">
        <w:rPr>
          <w:rFonts w:cstheme="minorHAnsi"/>
          <w:sz w:val="22"/>
          <w:szCs w:val="22"/>
        </w:rPr>
        <w:t xml:space="preserve"> (ed),</w:t>
      </w:r>
      <w:r w:rsidRPr="0018095C">
        <w:rPr>
          <w:rFonts w:cstheme="minorHAnsi"/>
          <w:sz w:val="22"/>
          <w:szCs w:val="22"/>
        </w:rPr>
        <w:t> </w:t>
      </w:r>
      <w:r w:rsidR="006E1020">
        <w:rPr>
          <w:rFonts w:cstheme="minorHAnsi"/>
          <w:i/>
          <w:iCs/>
          <w:sz w:val="22"/>
          <w:szCs w:val="22"/>
        </w:rPr>
        <w:t>Gender</w:t>
      </w:r>
      <w:r w:rsidRPr="0018095C">
        <w:rPr>
          <w:rFonts w:cstheme="minorHAnsi"/>
          <w:i/>
          <w:iCs/>
          <w:sz w:val="22"/>
          <w:szCs w:val="22"/>
        </w:rPr>
        <w:t xml:space="preserve"> and Citizenship in the Middle East</w:t>
      </w:r>
      <w:r w:rsidRPr="0018095C">
        <w:rPr>
          <w:rFonts w:cstheme="minorHAnsi"/>
          <w:sz w:val="22"/>
          <w:szCs w:val="22"/>
        </w:rPr>
        <w:t xml:space="preserve"> (Syracuse </w:t>
      </w:r>
      <w:r w:rsidR="00867553">
        <w:rPr>
          <w:rFonts w:cstheme="minorHAnsi"/>
          <w:sz w:val="22"/>
          <w:szCs w:val="22"/>
        </w:rPr>
        <w:t>UP</w:t>
      </w:r>
      <w:r w:rsidRPr="0018095C">
        <w:rPr>
          <w:rFonts w:cstheme="minorHAnsi"/>
          <w:sz w:val="22"/>
          <w:szCs w:val="22"/>
        </w:rPr>
        <w:t>, Syracuse</w:t>
      </w:r>
      <w:r w:rsidR="005F6D11">
        <w:rPr>
          <w:rFonts w:cstheme="minorHAnsi"/>
          <w:sz w:val="22"/>
          <w:szCs w:val="22"/>
        </w:rPr>
        <w:t>,</w:t>
      </w:r>
      <w:r w:rsidRPr="0018095C">
        <w:rPr>
          <w:rFonts w:cstheme="minorHAnsi"/>
          <w:sz w:val="22"/>
          <w:szCs w:val="22"/>
        </w:rPr>
        <w:t xml:space="preserve"> 2000</w:t>
      </w:r>
      <w:proofErr w:type="gramStart"/>
      <w:r w:rsidRPr="0018095C">
        <w:rPr>
          <w:rFonts w:cstheme="minorHAnsi"/>
          <w:sz w:val="22"/>
          <w:szCs w:val="22"/>
        </w:rPr>
        <w:t>),  287</w:t>
      </w:r>
      <w:proofErr w:type="gramEnd"/>
      <w:r w:rsidRPr="0018095C">
        <w:rPr>
          <w:rFonts w:cstheme="minorHAnsi"/>
          <w:sz w:val="22"/>
          <w:szCs w:val="22"/>
        </w:rPr>
        <w:t>-313.</w:t>
      </w:r>
    </w:p>
  </w:footnote>
  <w:footnote w:id="27">
    <w:p w14:paraId="60ABC0C9" w14:textId="1AF5A398" w:rsidR="006A7632" w:rsidRPr="0018095C" w:rsidRDefault="006A7632" w:rsidP="00595B0F">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003B74F5" w:rsidRPr="0018095C">
        <w:rPr>
          <w:rFonts w:cstheme="minorHAnsi"/>
          <w:sz w:val="22"/>
          <w:szCs w:val="22"/>
        </w:rPr>
        <w:t>M Kar</w:t>
      </w:r>
      <w:r w:rsidR="001C1992" w:rsidRPr="0018095C">
        <w:rPr>
          <w:rFonts w:cstheme="minorHAnsi"/>
          <w:sz w:val="22"/>
          <w:szCs w:val="22"/>
        </w:rPr>
        <w:t xml:space="preserve"> </w:t>
      </w:r>
      <w:r w:rsidR="00617DCD">
        <w:rPr>
          <w:rFonts w:cstheme="minorHAnsi"/>
          <w:sz w:val="22"/>
          <w:szCs w:val="22"/>
        </w:rPr>
        <w:t>and</w:t>
      </w:r>
      <w:r w:rsidR="001C1992" w:rsidRPr="0018095C">
        <w:rPr>
          <w:rFonts w:cstheme="minorHAnsi"/>
          <w:sz w:val="22"/>
          <w:szCs w:val="22"/>
        </w:rPr>
        <w:t xml:space="preserve"> A </w:t>
      </w:r>
      <w:proofErr w:type="spellStart"/>
      <w:r w:rsidR="001C1992" w:rsidRPr="0018095C">
        <w:rPr>
          <w:rFonts w:cstheme="minorHAnsi"/>
          <w:sz w:val="22"/>
          <w:szCs w:val="22"/>
        </w:rPr>
        <w:t>Pourzand</w:t>
      </w:r>
      <w:proofErr w:type="spellEnd"/>
      <w:r w:rsidR="003B74F5" w:rsidRPr="0018095C">
        <w:rPr>
          <w:rFonts w:cstheme="minorHAnsi"/>
          <w:sz w:val="22"/>
          <w:szCs w:val="22"/>
        </w:rPr>
        <w:t xml:space="preserve">, ‘Iran’, in </w:t>
      </w:r>
      <w:r w:rsidR="001C1992" w:rsidRPr="0018095C">
        <w:rPr>
          <w:rFonts w:cstheme="minorHAnsi"/>
          <w:sz w:val="22"/>
          <w:szCs w:val="22"/>
        </w:rPr>
        <w:t xml:space="preserve">M Afkhami, Y Erturk, and A E Mayer (eds), </w:t>
      </w:r>
      <w:r w:rsidR="003B74F5" w:rsidRPr="0018095C">
        <w:rPr>
          <w:rFonts w:cstheme="minorHAnsi"/>
          <w:i/>
          <w:iCs/>
          <w:sz w:val="22"/>
          <w:szCs w:val="22"/>
        </w:rPr>
        <w:t xml:space="preserve">Feminist Advocacy, Family Law, and Violence Against </w:t>
      </w:r>
      <w:r w:rsidR="001C1992" w:rsidRPr="0018095C">
        <w:rPr>
          <w:rFonts w:cstheme="minorHAnsi"/>
          <w:i/>
          <w:iCs/>
          <w:sz w:val="22"/>
          <w:szCs w:val="22"/>
        </w:rPr>
        <w:t>W</w:t>
      </w:r>
      <w:r w:rsidR="003B74F5" w:rsidRPr="0018095C">
        <w:rPr>
          <w:rFonts w:cstheme="minorHAnsi"/>
          <w:i/>
          <w:iCs/>
          <w:sz w:val="22"/>
          <w:szCs w:val="22"/>
        </w:rPr>
        <w:t xml:space="preserve">omen: International </w:t>
      </w:r>
      <w:r w:rsidR="003B74F5" w:rsidRPr="0018095C">
        <w:rPr>
          <w:rFonts w:cstheme="minorHAnsi"/>
          <w:sz w:val="22"/>
          <w:szCs w:val="22"/>
        </w:rPr>
        <w:t>Perspectives</w:t>
      </w:r>
      <w:r w:rsidR="001C1992" w:rsidRPr="0018095C">
        <w:rPr>
          <w:rFonts w:cstheme="minorHAnsi"/>
          <w:sz w:val="22"/>
          <w:szCs w:val="22"/>
        </w:rPr>
        <w:t xml:space="preserve"> (Routledge, London</w:t>
      </w:r>
      <w:r w:rsidR="005F6D11">
        <w:rPr>
          <w:rFonts w:cstheme="minorHAnsi"/>
          <w:sz w:val="22"/>
          <w:szCs w:val="22"/>
        </w:rPr>
        <w:t>,</w:t>
      </w:r>
      <w:r w:rsidR="001C1992" w:rsidRPr="0018095C">
        <w:rPr>
          <w:rFonts w:cstheme="minorHAnsi"/>
          <w:sz w:val="22"/>
          <w:szCs w:val="22"/>
        </w:rPr>
        <w:t xml:space="preserve"> 2019), 84-</w:t>
      </w:r>
      <w:proofErr w:type="gramStart"/>
      <w:r w:rsidR="001C1992" w:rsidRPr="0018095C">
        <w:rPr>
          <w:rFonts w:cstheme="minorHAnsi"/>
          <w:sz w:val="22"/>
          <w:szCs w:val="22"/>
        </w:rPr>
        <w:t xml:space="preserve">85;  </w:t>
      </w:r>
      <w:r w:rsidRPr="0018095C">
        <w:rPr>
          <w:rFonts w:cstheme="minorHAnsi"/>
          <w:sz w:val="22"/>
          <w:szCs w:val="22"/>
        </w:rPr>
        <w:t>Moghadam</w:t>
      </w:r>
      <w:r w:rsidR="003B74F5" w:rsidRPr="0018095C">
        <w:rPr>
          <w:rFonts w:cstheme="minorHAnsi"/>
          <w:sz w:val="22"/>
          <w:szCs w:val="22"/>
        </w:rPr>
        <w:t xml:space="preserve">, </w:t>
      </w:r>
      <w:r w:rsidR="0091334F">
        <w:rPr>
          <w:rFonts w:cstheme="minorHAnsi"/>
          <w:i/>
          <w:iCs/>
          <w:sz w:val="22"/>
          <w:szCs w:val="22"/>
        </w:rPr>
        <w:t xml:space="preserve"> </w:t>
      </w:r>
      <w:r w:rsidR="0091334F">
        <w:rPr>
          <w:rFonts w:cstheme="minorHAnsi"/>
          <w:sz w:val="22"/>
          <w:szCs w:val="22"/>
        </w:rPr>
        <w:t>above</w:t>
      </w:r>
      <w:proofErr w:type="gramEnd"/>
      <w:r w:rsidR="0091334F">
        <w:rPr>
          <w:rFonts w:cstheme="minorHAnsi"/>
          <w:sz w:val="22"/>
          <w:szCs w:val="22"/>
        </w:rPr>
        <w:t xml:space="preserve"> </w:t>
      </w:r>
      <w:r w:rsidR="00E734E7">
        <w:rPr>
          <w:rFonts w:cstheme="minorHAnsi"/>
          <w:sz w:val="22"/>
          <w:szCs w:val="22"/>
        </w:rPr>
        <w:t>n 11</w:t>
      </w:r>
      <w:r w:rsidR="00B56220" w:rsidRPr="0018095C">
        <w:rPr>
          <w:rFonts w:cstheme="minorHAnsi"/>
          <w:sz w:val="22"/>
          <w:szCs w:val="22"/>
        </w:rPr>
        <w:t xml:space="preserve">, </w:t>
      </w:r>
      <w:r w:rsidR="0079444C">
        <w:rPr>
          <w:rFonts w:cstheme="minorHAnsi"/>
          <w:sz w:val="22"/>
          <w:szCs w:val="22"/>
        </w:rPr>
        <w:t>193-226</w:t>
      </w:r>
      <w:r w:rsidRPr="0018095C">
        <w:rPr>
          <w:rFonts w:cstheme="minorHAnsi"/>
          <w:sz w:val="22"/>
          <w:szCs w:val="22"/>
        </w:rPr>
        <w:t>.</w:t>
      </w:r>
      <w:r w:rsidR="00B56220" w:rsidRPr="0018095C">
        <w:rPr>
          <w:rFonts w:cstheme="minorHAnsi"/>
          <w:sz w:val="22"/>
          <w:szCs w:val="22"/>
        </w:rPr>
        <w:t xml:space="preserve"> </w:t>
      </w:r>
    </w:p>
  </w:footnote>
  <w:footnote w:id="28">
    <w:p w14:paraId="380FD1F6" w14:textId="15FE190E" w:rsidR="006A7632" w:rsidRPr="0018095C" w:rsidRDefault="006A7632"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Boe, </w:t>
      </w:r>
      <w:r w:rsidR="00D83DA4">
        <w:rPr>
          <w:rFonts w:cstheme="minorHAnsi"/>
        </w:rPr>
        <w:t>above n 24</w:t>
      </w:r>
      <w:r w:rsidRPr="0018095C">
        <w:rPr>
          <w:rFonts w:cstheme="minorHAnsi"/>
        </w:rPr>
        <w:t xml:space="preserve">; VM Moghadam </w:t>
      </w:r>
      <w:r w:rsidR="00617DCD">
        <w:rPr>
          <w:rFonts w:cstheme="minorHAnsi"/>
        </w:rPr>
        <w:t>and</w:t>
      </w:r>
      <w:r w:rsidRPr="0018095C">
        <w:rPr>
          <w:rFonts w:cstheme="minorHAnsi"/>
        </w:rPr>
        <w:t xml:space="preserve"> F Haghighatjoo</w:t>
      </w:r>
      <w:r w:rsidR="0079444C">
        <w:rPr>
          <w:rFonts w:cstheme="minorHAnsi"/>
        </w:rPr>
        <w:t>,</w:t>
      </w:r>
      <w:r w:rsidRPr="0018095C">
        <w:rPr>
          <w:rFonts w:cstheme="minorHAnsi"/>
        </w:rPr>
        <w:t xml:space="preserve"> ‘Women and Political Leadership in an Authoritarian Context: A Case Study of the Sixth Parliament in the Islamic Republic of Iran’ [2016], </w:t>
      </w:r>
      <w:r w:rsidRPr="0018095C">
        <w:rPr>
          <w:rFonts w:cstheme="minorHAnsi"/>
          <w:i/>
        </w:rPr>
        <w:t>Politics &amp; Gender</w:t>
      </w:r>
      <w:r w:rsidRPr="0018095C">
        <w:rPr>
          <w:rFonts w:cstheme="minorHAnsi"/>
        </w:rPr>
        <w:t>, 12, 168-197.</w:t>
      </w:r>
      <w:r w:rsidRPr="0018095C">
        <w:rPr>
          <w:rFonts w:cstheme="minorHAnsi"/>
          <w:i/>
        </w:rPr>
        <w:t xml:space="preserve"> </w:t>
      </w:r>
    </w:p>
  </w:footnote>
  <w:footnote w:id="29">
    <w:p w14:paraId="7BEFAEFA" w14:textId="5A9D9566" w:rsidR="006A7632" w:rsidRPr="0018095C" w:rsidRDefault="006A7632" w:rsidP="00595B0F">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1E67F7" w:rsidRPr="0018095C">
        <w:rPr>
          <w:rFonts w:cstheme="minorHAnsi"/>
        </w:rPr>
        <w:t xml:space="preserve">Iran’s </w:t>
      </w:r>
      <w:r w:rsidR="00AA4492" w:rsidRPr="0018095C">
        <w:rPr>
          <w:rFonts w:cstheme="minorHAnsi"/>
        </w:rPr>
        <w:t xml:space="preserve">One Million Signatures campaign, inspired by </w:t>
      </w:r>
      <w:r w:rsidR="001E67F7" w:rsidRPr="0018095C">
        <w:rPr>
          <w:rFonts w:cstheme="minorHAnsi"/>
        </w:rPr>
        <w:t xml:space="preserve">the Moroccan campaign of </w:t>
      </w:r>
      <w:r w:rsidR="00AA4492" w:rsidRPr="0018095C">
        <w:rPr>
          <w:rFonts w:cstheme="minorHAnsi"/>
        </w:rPr>
        <w:t xml:space="preserve">the early 1990s, sought to acquire support for reform of the discriminatory measures in the family law and constitution. Post-revoutionary Islamization had emboldened some local authorities to prosecute adultery with public stonings, especially in rural areas, and the No Stonings campaign sought to highlight the practice and help put an end to it. </w:t>
      </w:r>
      <w:r w:rsidRPr="0018095C">
        <w:rPr>
          <w:rFonts w:cstheme="minorHAnsi"/>
        </w:rPr>
        <w:t>Details of this era</w:t>
      </w:r>
      <w:r w:rsidR="00AA4492" w:rsidRPr="0018095C">
        <w:rPr>
          <w:rFonts w:cstheme="minorHAnsi"/>
        </w:rPr>
        <w:t xml:space="preserve"> and the campaigns</w:t>
      </w:r>
      <w:r w:rsidRPr="0018095C">
        <w:rPr>
          <w:rFonts w:cstheme="minorHAnsi"/>
        </w:rPr>
        <w:t xml:space="preserve"> are found in: A Osanloo, </w:t>
      </w:r>
      <w:r w:rsidRPr="0018095C">
        <w:rPr>
          <w:rFonts w:cstheme="minorHAnsi"/>
          <w:i/>
          <w:iCs/>
        </w:rPr>
        <w:t xml:space="preserve">The Politics of Women’s Rights in Iran </w:t>
      </w:r>
      <w:r w:rsidRPr="0018095C">
        <w:rPr>
          <w:rFonts w:cstheme="minorHAnsi"/>
        </w:rPr>
        <w:t>(Princeton UP, Princeton</w:t>
      </w:r>
      <w:r w:rsidR="005F6D11">
        <w:rPr>
          <w:rFonts w:cstheme="minorHAnsi"/>
        </w:rPr>
        <w:t>,</w:t>
      </w:r>
      <w:r w:rsidRPr="0018095C">
        <w:rPr>
          <w:rFonts w:cstheme="minorHAnsi"/>
        </w:rPr>
        <w:t xml:space="preserve"> 2009)</w:t>
      </w:r>
      <w:r w:rsidR="0079444C">
        <w:rPr>
          <w:rFonts w:cstheme="minorHAnsi"/>
        </w:rPr>
        <w:t xml:space="preserve">; P </w:t>
      </w:r>
      <w:proofErr w:type="spellStart"/>
      <w:r w:rsidR="0079444C">
        <w:rPr>
          <w:rFonts w:cstheme="minorHAnsi"/>
        </w:rPr>
        <w:t>Paidar</w:t>
      </w:r>
      <w:proofErr w:type="spellEnd"/>
      <w:r w:rsidR="0079444C">
        <w:rPr>
          <w:rFonts w:cstheme="minorHAnsi"/>
        </w:rPr>
        <w:t xml:space="preserve">, </w:t>
      </w:r>
      <w:r w:rsidR="0079444C">
        <w:rPr>
          <w:rFonts w:cstheme="minorHAnsi"/>
          <w:i/>
          <w:iCs/>
        </w:rPr>
        <w:t>Women and the Political Process in Twentieth-</w:t>
      </w:r>
      <w:r w:rsidR="00725FD4">
        <w:rPr>
          <w:rFonts w:cstheme="minorHAnsi"/>
          <w:i/>
          <w:iCs/>
        </w:rPr>
        <w:t>C</w:t>
      </w:r>
      <w:r w:rsidR="0079444C">
        <w:rPr>
          <w:rFonts w:cstheme="minorHAnsi"/>
          <w:i/>
          <w:iCs/>
        </w:rPr>
        <w:t xml:space="preserve">entury Iran </w:t>
      </w:r>
      <w:r w:rsidR="0079444C" w:rsidRPr="005F6D11">
        <w:rPr>
          <w:rFonts w:cstheme="minorHAnsi"/>
        </w:rPr>
        <w:t>(C</w:t>
      </w:r>
      <w:r w:rsidR="00725FD4">
        <w:rPr>
          <w:rFonts w:cstheme="minorHAnsi"/>
        </w:rPr>
        <w:t>UP</w:t>
      </w:r>
      <w:r w:rsidR="0079444C" w:rsidRPr="005F6D11">
        <w:rPr>
          <w:rFonts w:cstheme="minorHAnsi"/>
        </w:rPr>
        <w:t>, Cambridge</w:t>
      </w:r>
      <w:r w:rsidR="005F6D11" w:rsidRPr="005F6D11">
        <w:rPr>
          <w:rFonts w:cstheme="minorHAnsi"/>
        </w:rPr>
        <w:t>,</w:t>
      </w:r>
      <w:r w:rsidR="0079444C" w:rsidRPr="005F6D11">
        <w:rPr>
          <w:rFonts w:cstheme="minorHAnsi"/>
        </w:rPr>
        <w:t xml:space="preserve"> 2001);</w:t>
      </w:r>
      <w:r w:rsidR="0079444C">
        <w:rPr>
          <w:rFonts w:cstheme="minorHAnsi"/>
          <w:i/>
          <w:iCs/>
        </w:rPr>
        <w:t xml:space="preserve"> </w:t>
      </w:r>
      <w:r w:rsidRPr="0018095C">
        <w:rPr>
          <w:rFonts w:cstheme="minorHAnsi"/>
        </w:rPr>
        <w:t xml:space="preserve">C Sameh, </w:t>
      </w:r>
      <w:r w:rsidRPr="0018095C">
        <w:rPr>
          <w:rFonts w:cstheme="minorHAnsi"/>
          <w:i/>
          <w:iCs/>
        </w:rPr>
        <w:t xml:space="preserve">Axis of Hope: Iranian Women’s Activism across Borders </w:t>
      </w:r>
      <w:r w:rsidRPr="0018095C">
        <w:rPr>
          <w:rFonts w:cstheme="minorHAnsi"/>
        </w:rPr>
        <w:t>(U</w:t>
      </w:r>
      <w:r w:rsidR="00725FD4">
        <w:rPr>
          <w:rFonts w:cstheme="minorHAnsi"/>
        </w:rPr>
        <w:t xml:space="preserve">niversity of </w:t>
      </w:r>
      <w:r w:rsidRPr="0018095C">
        <w:rPr>
          <w:rFonts w:cstheme="minorHAnsi"/>
        </w:rPr>
        <w:t>W</w:t>
      </w:r>
      <w:r w:rsidR="00725FD4">
        <w:rPr>
          <w:rFonts w:cstheme="minorHAnsi"/>
        </w:rPr>
        <w:t>ashington</w:t>
      </w:r>
      <w:r w:rsidRPr="0018095C">
        <w:rPr>
          <w:rFonts w:cstheme="minorHAnsi"/>
        </w:rPr>
        <w:t xml:space="preserve"> Press, Seattle</w:t>
      </w:r>
      <w:r w:rsidR="005F6D11">
        <w:rPr>
          <w:rFonts w:cstheme="minorHAnsi"/>
        </w:rPr>
        <w:t>,</w:t>
      </w:r>
      <w:r w:rsidRPr="0018095C">
        <w:rPr>
          <w:rFonts w:cstheme="minorHAnsi"/>
        </w:rPr>
        <w:t xml:space="preserve"> 2019); N Shahrokni, </w:t>
      </w:r>
      <w:r w:rsidRPr="0018095C">
        <w:rPr>
          <w:rFonts w:cstheme="minorHAnsi"/>
          <w:i/>
          <w:iCs/>
        </w:rPr>
        <w:t xml:space="preserve">Women in Place: The Politics of Gender Segregation in Iran </w:t>
      </w:r>
      <w:r w:rsidRPr="0018095C">
        <w:rPr>
          <w:rFonts w:cstheme="minorHAnsi"/>
        </w:rPr>
        <w:t>(U</w:t>
      </w:r>
      <w:r w:rsidR="005F6D11">
        <w:rPr>
          <w:rFonts w:cstheme="minorHAnsi"/>
        </w:rPr>
        <w:t xml:space="preserve">niversity of </w:t>
      </w:r>
      <w:r w:rsidRPr="0018095C">
        <w:rPr>
          <w:rFonts w:cstheme="minorHAnsi"/>
        </w:rPr>
        <w:t>C</w:t>
      </w:r>
      <w:r w:rsidR="005F6D11">
        <w:rPr>
          <w:rFonts w:cstheme="minorHAnsi"/>
        </w:rPr>
        <w:t>alifornia</w:t>
      </w:r>
      <w:r w:rsidRPr="0018095C">
        <w:rPr>
          <w:rFonts w:cstheme="minorHAnsi"/>
        </w:rPr>
        <w:t xml:space="preserve"> Press, Oakland</w:t>
      </w:r>
      <w:r w:rsidR="005F6D11">
        <w:rPr>
          <w:rFonts w:cstheme="minorHAnsi"/>
        </w:rPr>
        <w:t>,</w:t>
      </w:r>
      <w:r w:rsidRPr="0018095C">
        <w:rPr>
          <w:rFonts w:cstheme="minorHAnsi"/>
        </w:rPr>
        <w:t xml:space="preserve"> 2019).  </w:t>
      </w:r>
    </w:p>
  </w:footnote>
  <w:footnote w:id="30">
    <w:p w14:paraId="4BE8CCCA" w14:textId="427CF1E4" w:rsidR="006A7632" w:rsidRPr="0018095C" w:rsidRDefault="006A7632" w:rsidP="00595B0F">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M Shekarloo, ‘Iranian Women Take on the Constitution’ [2005] </w:t>
      </w:r>
      <w:r w:rsidRPr="005F6D11">
        <w:rPr>
          <w:rFonts w:cstheme="minorHAnsi"/>
          <w:i/>
          <w:iCs/>
          <w:sz w:val="22"/>
          <w:szCs w:val="22"/>
        </w:rPr>
        <w:t>MERIP</w:t>
      </w:r>
      <w:r w:rsidR="0079444C">
        <w:rPr>
          <w:rFonts w:cstheme="minorHAnsi"/>
          <w:sz w:val="22"/>
          <w:szCs w:val="22"/>
        </w:rPr>
        <w:t>,</w:t>
      </w:r>
      <w:r w:rsidRPr="0018095C">
        <w:rPr>
          <w:rFonts w:cstheme="minorHAnsi"/>
          <w:sz w:val="22"/>
          <w:szCs w:val="22"/>
        </w:rPr>
        <w:t xml:space="preserve"> </w:t>
      </w:r>
      <w:hyperlink r:id="rId5" w:history="1">
        <w:r w:rsidRPr="0072561B">
          <w:rPr>
            <w:rStyle w:val="Hyperlink"/>
            <w:rFonts w:cstheme="minorHAnsi"/>
            <w:color w:val="auto"/>
            <w:sz w:val="22"/>
            <w:szCs w:val="22"/>
            <w:u w:val="none"/>
          </w:rPr>
          <w:t>https://merip.org/2005/07/iranian-women-take-on-the-constitution/</w:t>
        </w:r>
      </w:hyperlink>
      <w:r w:rsidRPr="0018095C">
        <w:rPr>
          <w:rFonts w:cstheme="minorHAnsi"/>
          <w:sz w:val="22"/>
          <w:szCs w:val="22"/>
        </w:rPr>
        <w:t xml:space="preserve"> </w:t>
      </w:r>
    </w:p>
  </w:footnote>
  <w:footnote w:id="31">
    <w:p w14:paraId="6931A818" w14:textId="5C47D175" w:rsidR="006A7632" w:rsidRPr="0018095C" w:rsidRDefault="006A7632" w:rsidP="006A7632">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VM Moghadam and F Haghighatjoo</w:t>
      </w:r>
      <w:r w:rsidR="005F6D11">
        <w:rPr>
          <w:rFonts w:cstheme="minorHAnsi"/>
          <w:sz w:val="22"/>
          <w:szCs w:val="22"/>
        </w:rPr>
        <w:t>, above n 27.</w:t>
      </w:r>
    </w:p>
  </w:footnote>
  <w:footnote w:id="32">
    <w:p w14:paraId="71AAD3F0" w14:textId="2E1779C4" w:rsidR="00F654A9" w:rsidRPr="0018095C" w:rsidRDefault="00F654A9" w:rsidP="00F654A9">
      <w:pPr>
        <w:spacing w:after="0" w:line="240" w:lineRule="auto"/>
        <w:rPr>
          <w:rFonts w:cstheme="minorHAnsi"/>
          <w:lang w:val="en-GB"/>
        </w:rPr>
      </w:pPr>
      <w:r w:rsidRPr="0018095C">
        <w:rPr>
          <w:rStyle w:val="FootnoteReference"/>
          <w:rFonts w:cstheme="minorHAnsi"/>
        </w:rPr>
        <w:footnoteRef/>
      </w:r>
      <w:r w:rsidRPr="0018095C">
        <w:rPr>
          <w:rFonts w:cstheme="minorHAnsi"/>
        </w:rPr>
        <w:t xml:space="preserve"> </w:t>
      </w:r>
      <w:r w:rsidRPr="0072561B">
        <w:rPr>
          <w:rFonts w:cstheme="minorHAnsi"/>
          <w:iCs/>
        </w:rPr>
        <w:t xml:space="preserve"> </w:t>
      </w:r>
      <w:r w:rsidRPr="0018095C">
        <w:rPr>
          <w:rFonts w:cstheme="minorHAnsi"/>
        </w:rPr>
        <w:t xml:space="preserve">MM </w:t>
      </w:r>
      <w:proofErr w:type="spellStart"/>
      <w:r w:rsidRPr="0018095C">
        <w:rPr>
          <w:rFonts w:cstheme="minorHAnsi"/>
        </w:rPr>
        <w:t>Charrad</w:t>
      </w:r>
      <w:proofErr w:type="spellEnd"/>
      <w:r w:rsidRPr="0018095C">
        <w:rPr>
          <w:rFonts w:cstheme="minorHAnsi"/>
        </w:rPr>
        <w:t xml:space="preserve"> </w:t>
      </w:r>
      <w:r w:rsidR="00617DCD">
        <w:rPr>
          <w:rFonts w:cstheme="minorHAnsi"/>
        </w:rPr>
        <w:t>and</w:t>
      </w:r>
      <w:r w:rsidRPr="0018095C">
        <w:rPr>
          <w:rFonts w:cstheme="minorHAnsi"/>
        </w:rPr>
        <w:t xml:space="preserve"> A </w:t>
      </w:r>
      <w:proofErr w:type="spellStart"/>
      <w:r w:rsidRPr="0018095C">
        <w:rPr>
          <w:rFonts w:cstheme="minorHAnsi"/>
        </w:rPr>
        <w:t>Zarrugh</w:t>
      </w:r>
      <w:proofErr w:type="spellEnd"/>
      <w:r w:rsidRPr="0018095C">
        <w:rPr>
          <w:rFonts w:cstheme="minorHAnsi"/>
        </w:rPr>
        <w:t xml:space="preserve">, ‘The Arab </w:t>
      </w:r>
      <w:r w:rsidR="00CB5EFF">
        <w:rPr>
          <w:rFonts w:cstheme="minorHAnsi"/>
        </w:rPr>
        <w:t>S</w:t>
      </w:r>
      <w:r w:rsidRPr="0018095C">
        <w:rPr>
          <w:rFonts w:cstheme="minorHAnsi"/>
        </w:rPr>
        <w:t xml:space="preserve">pring and </w:t>
      </w:r>
      <w:r w:rsidR="00CB5EFF">
        <w:rPr>
          <w:rFonts w:cstheme="minorHAnsi"/>
        </w:rPr>
        <w:t>W</w:t>
      </w:r>
      <w:r w:rsidRPr="0018095C">
        <w:rPr>
          <w:rFonts w:cstheme="minorHAnsi"/>
        </w:rPr>
        <w:t xml:space="preserve">omen’s </w:t>
      </w:r>
      <w:r w:rsidR="00CB5EFF">
        <w:rPr>
          <w:rFonts w:cstheme="minorHAnsi"/>
        </w:rPr>
        <w:t>Ri</w:t>
      </w:r>
      <w:r w:rsidRPr="0018095C">
        <w:rPr>
          <w:rFonts w:cstheme="minorHAnsi"/>
        </w:rPr>
        <w:t>ghts in Tunisia’ [2013]</w:t>
      </w:r>
      <w:r w:rsidR="00617DCD">
        <w:rPr>
          <w:rFonts w:cstheme="minorHAnsi"/>
        </w:rPr>
        <w:t>,</w:t>
      </w:r>
      <w:r w:rsidRPr="0018095C">
        <w:rPr>
          <w:rFonts w:cstheme="minorHAnsi"/>
        </w:rPr>
        <w:t xml:space="preserve"> </w:t>
      </w:r>
      <w:r w:rsidRPr="0018095C">
        <w:rPr>
          <w:rFonts w:cstheme="minorHAnsi"/>
          <w:i/>
          <w:iCs/>
        </w:rPr>
        <w:t>E-International Relations</w:t>
      </w:r>
      <w:r w:rsidR="0079444C">
        <w:rPr>
          <w:rFonts w:cstheme="minorHAnsi"/>
          <w:i/>
          <w:iCs/>
        </w:rPr>
        <w:t>,</w:t>
      </w:r>
      <w:r w:rsidRPr="0018095C">
        <w:rPr>
          <w:rFonts w:cstheme="minorHAnsi"/>
          <w:i/>
          <w:iCs/>
        </w:rPr>
        <w:t xml:space="preserve"> </w:t>
      </w:r>
      <w:hyperlink r:id="rId6" w:history="1">
        <w:r w:rsidR="007C05D4" w:rsidRPr="00012FB4">
          <w:rPr>
            <w:rStyle w:val="Hyperlink"/>
            <w:rFonts w:cstheme="minorHAnsi"/>
          </w:rPr>
          <w:t>http://www.e-ir.info/2013/09/04/the-arab-spring-and-womens-rights-in-tunisia/</w:t>
        </w:r>
      </w:hyperlink>
      <w:r w:rsidRPr="0018095C">
        <w:rPr>
          <w:rFonts w:cstheme="minorHAnsi"/>
        </w:rPr>
        <w:t xml:space="preserve">; A Khalil, ‘Tunisia’s </w:t>
      </w:r>
      <w:r w:rsidR="00CB5EFF">
        <w:rPr>
          <w:rFonts w:cstheme="minorHAnsi"/>
        </w:rPr>
        <w:t>W</w:t>
      </w:r>
      <w:r w:rsidRPr="0018095C">
        <w:rPr>
          <w:rFonts w:cstheme="minorHAnsi"/>
        </w:rPr>
        <w:t xml:space="preserve">omen: Partners in </w:t>
      </w:r>
      <w:r w:rsidR="00CB5EFF">
        <w:rPr>
          <w:rFonts w:cstheme="minorHAnsi"/>
        </w:rPr>
        <w:t>R</w:t>
      </w:r>
      <w:r w:rsidRPr="0018095C">
        <w:rPr>
          <w:rFonts w:cstheme="minorHAnsi"/>
        </w:rPr>
        <w:t>evolution’ [2014]</w:t>
      </w:r>
      <w:r w:rsidR="00617DCD">
        <w:rPr>
          <w:rFonts w:cstheme="minorHAnsi"/>
        </w:rPr>
        <w:t>,</w:t>
      </w:r>
      <w:r w:rsidRPr="0018095C">
        <w:rPr>
          <w:rFonts w:cstheme="minorHAnsi"/>
        </w:rPr>
        <w:t xml:space="preserve"> </w:t>
      </w:r>
      <w:r w:rsidRPr="0018095C">
        <w:rPr>
          <w:rFonts w:cstheme="minorHAnsi"/>
          <w:i/>
          <w:iCs/>
        </w:rPr>
        <w:t>J</w:t>
      </w:r>
      <w:r w:rsidR="000B2AC8">
        <w:rPr>
          <w:rFonts w:cstheme="minorHAnsi"/>
          <w:i/>
          <w:iCs/>
        </w:rPr>
        <w:t>ournal</w:t>
      </w:r>
      <w:r w:rsidRPr="0018095C">
        <w:rPr>
          <w:rFonts w:cstheme="minorHAnsi"/>
          <w:i/>
          <w:iCs/>
        </w:rPr>
        <w:t xml:space="preserve"> of North African Studies, </w:t>
      </w:r>
      <w:r w:rsidRPr="000B2AC8">
        <w:rPr>
          <w:rFonts w:cstheme="minorHAnsi"/>
        </w:rPr>
        <w:t>19(2),</w:t>
      </w:r>
      <w:r w:rsidRPr="0018095C">
        <w:rPr>
          <w:rFonts w:cstheme="minorHAnsi"/>
        </w:rPr>
        <w:t xml:space="preserve"> 186–199; K Arfaoui and VM Moghadam, ‘Violence against Women and Tunisian Feminism: Advocacy, Policy, and Politics in an Arab Context’</w:t>
      </w:r>
      <w:r w:rsidR="00CB5EFF">
        <w:rPr>
          <w:rFonts w:cstheme="minorHAnsi"/>
        </w:rPr>
        <w:t xml:space="preserve"> [2016]</w:t>
      </w:r>
      <w:r w:rsidRPr="0018095C">
        <w:rPr>
          <w:rFonts w:cstheme="minorHAnsi"/>
        </w:rPr>
        <w:t xml:space="preserve">, </w:t>
      </w:r>
      <w:r w:rsidRPr="0018095C">
        <w:rPr>
          <w:rFonts w:cstheme="minorHAnsi"/>
          <w:i/>
        </w:rPr>
        <w:t>Current Sociology</w:t>
      </w:r>
      <w:r w:rsidRPr="0018095C">
        <w:rPr>
          <w:rFonts w:cstheme="minorHAnsi"/>
        </w:rPr>
        <w:t xml:space="preserve"> 64(44), 637-653. </w:t>
      </w:r>
    </w:p>
  </w:footnote>
  <w:footnote w:id="33">
    <w:p w14:paraId="419180F2" w14:textId="630F01F4" w:rsidR="00F654A9" w:rsidRPr="0018095C" w:rsidRDefault="00F654A9" w:rsidP="00F654A9">
      <w:pPr>
        <w:spacing w:after="0" w:line="240" w:lineRule="auto"/>
        <w:rPr>
          <w:rFonts w:cstheme="minorHAnsi"/>
        </w:rPr>
      </w:pPr>
      <w:r w:rsidRPr="0018095C">
        <w:rPr>
          <w:rStyle w:val="FootnoteReference"/>
          <w:rFonts w:cstheme="minorHAnsi"/>
        </w:rPr>
        <w:footnoteRef/>
      </w:r>
      <w:r w:rsidRPr="0018095C">
        <w:rPr>
          <w:rFonts w:cstheme="minorHAnsi"/>
        </w:rPr>
        <w:t xml:space="preserve"> MM </w:t>
      </w:r>
      <w:proofErr w:type="spellStart"/>
      <w:r w:rsidRPr="0018095C">
        <w:rPr>
          <w:rFonts w:cstheme="minorHAnsi"/>
        </w:rPr>
        <w:t>Charrad</w:t>
      </w:r>
      <w:proofErr w:type="spellEnd"/>
      <w:r w:rsidRPr="0018095C">
        <w:rPr>
          <w:rFonts w:cstheme="minorHAnsi"/>
        </w:rPr>
        <w:t xml:space="preserve"> </w:t>
      </w:r>
      <w:r w:rsidR="00617DCD">
        <w:rPr>
          <w:rFonts w:cstheme="minorHAnsi"/>
        </w:rPr>
        <w:t>and</w:t>
      </w:r>
      <w:r w:rsidRPr="0018095C">
        <w:rPr>
          <w:rFonts w:cstheme="minorHAnsi"/>
        </w:rPr>
        <w:t xml:space="preserve"> A </w:t>
      </w:r>
      <w:proofErr w:type="spellStart"/>
      <w:r w:rsidRPr="0018095C">
        <w:rPr>
          <w:rFonts w:cstheme="minorHAnsi"/>
        </w:rPr>
        <w:t>Zarrugh</w:t>
      </w:r>
      <w:proofErr w:type="spellEnd"/>
      <w:r w:rsidRPr="0018095C">
        <w:rPr>
          <w:rFonts w:cstheme="minorHAnsi"/>
        </w:rPr>
        <w:t>, ‘Equal o</w:t>
      </w:r>
      <w:r w:rsidR="00135886">
        <w:rPr>
          <w:rFonts w:cstheme="minorHAnsi"/>
        </w:rPr>
        <w:t>r</w:t>
      </w:r>
      <w:r w:rsidRPr="0018095C">
        <w:rPr>
          <w:rFonts w:cstheme="minorHAnsi"/>
        </w:rPr>
        <w:t xml:space="preserve"> </w:t>
      </w:r>
      <w:r w:rsidR="00135886">
        <w:rPr>
          <w:rFonts w:cstheme="minorHAnsi"/>
        </w:rPr>
        <w:t>C</w:t>
      </w:r>
      <w:r w:rsidRPr="0018095C">
        <w:rPr>
          <w:rFonts w:cstheme="minorHAnsi"/>
        </w:rPr>
        <w:t xml:space="preserve">omplementary? Women in the </w:t>
      </w:r>
      <w:r w:rsidR="00135886">
        <w:rPr>
          <w:rFonts w:cstheme="minorHAnsi"/>
        </w:rPr>
        <w:t>N</w:t>
      </w:r>
      <w:r w:rsidRPr="0018095C">
        <w:rPr>
          <w:rFonts w:cstheme="minorHAnsi"/>
        </w:rPr>
        <w:t xml:space="preserve">ew Tunisian Constitution </w:t>
      </w:r>
      <w:r w:rsidR="00135886">
        <w:rPr>
          <w:rFonts w:cstheme="minorHAnsi"/>
        </w:rPr>
        <w:t>A</w:t>
      </w:r>
      <w:r w:rsidRPr="0018095C">
        <w:rPr>
          <w:rFonts w:cstheme="minorHAnsi"/>
        </w:rPr>
        <w:t xml:space="preserve">fter the Arab Spring’ [2014], </w:t>
      </w:r>
      <w:r w:rsidRPr="0018095C">
        <w:rPr>
          <w:rFonts w:cstheme="minorHAnsi"/>
          <w:i/>
          <w:iCs/>
        </w:rPr>
        <w:t xml:space="preserve">The Journal of North African Studies, </w:t>
      </w:r>
      <w:r w:rsidRPr="0018095C">
        <w:rPr>
          <w:rFonts w:cstheme="minorHAnsi"/>
        </w:rPr>
        <w:t>19(2), 230-243</w:t>
      </w:r>
      <w:r w:rsidRPr="0018095C">
        <w:rPr>
          <w:rFonts w:cstheme="minorHAnsi"/>
          <w:i/>
          <w:iCs/>
        </w:rPr>
        <w:t xml:space="preserve">. </w:t>
      </w:r>
    </w:p>
  </w:footnote>
  <w:footnote w:id="34">
    <w:p w14:paraId="346FB036" w14:textId="0CCC06CA" w:rsidR="00C52521" w:rsidRPr="0018095C" w:rsidRDefault="00F7451E" w:rsidP="00681F3A">
      <w:pPr>
        <w:pStyle w:val="dx-doi"/>
        <w:spacing w:before="0" w:beforeAutospacing="0" w:after="0" w:afterAutospacing="0"/>
        <w:rPr>
          <w:rFonts w:asciiTheme="minorHAnsi" w:hAnsiTheme="minorHAnsi" w:cstheme="minorHAnsi"/>
          <w:color w:val="333333"/>
          <w:sz w:val="22"/>
          <w:szCs w:val="22"/>
        </w:rPr>
      </w:pPr>
      <w:r w:rsidRPr="0018095C">
        <w:rPr>
          <w:rStyle w:val="FootnoteReference"/>
          <w:rFonts w:asciiTheme="minorHAnsi" w:hAnsiTheme="minorHAnsi" w:cstheme="minorHAnsi"/>
          <w:sz w:val="22"/>
          <w:szCs w:val="22"/>
        </w:rPr>
        <w:footnoteRef/>
      </w:r>
      <w:r w:rsidRPr="0018095C">
        <w:rPr>
          <w:rFonts w:asciiTheme="minorHAnsi" w:hAnsiTheme="minorHAnsi" w:cstheme="minorHAnsi"/>
          <w:sz w:val="22"/>
          <w:szCs w:val="22"/>
        </w:rPr>
        <w:t xml:space="preserve">  </w:t>
      </w:r>
      <w:r w:rsidR="00C52521" w:rsidRPr="0018095C">
        <w:rPr>
          <w:rFonts w:asciiTheme="minorHAnsi" w:hAnsiTheme="minorHAnsi" w:cstheme="minorHAnsi"/>
          <w:sz w:val="22"/>
          <w:szCs w:val="22"/>
        </w:rPr>
        <w:t>VM Moghadam, ‘</w:t>
      </w:r>
      <w:r w:rsidR="00C52521" w:rsidRPr="0018095C">
        <w:rPr>
          <w:rFonts w:asciiTheme="minorHAnsi" w:hAnsiTheme="minorHAnsi" w:cstheme="minorHAnsi"/>
          <w:iCs/>
          <w:sz w:val="22"/>
          <w:szCs w:val="22"/>
        </w:rPr>
        <w:t>Institutions, Feminist Mobilizations, and Political Economy: Debating Equal Inheritance in Tunisia’ [2022</w:t>
      </w:r>
      <w:proofErr w:type="gramStart"/>
      <w:r w:rsidR="00C52521" w:rsidRPr="0018095C">
        <w:rPr>
          <w:rFonts w:asciiTheme="minorHAnsi" w:hAnsiTheme="minorHAnsi" w:cstheme="minorHAnsi"/>
          <w:iCs/>
          <w:sz w:val="22"/>
          <w:szCs w:val="22"/>
        </w:rPr>
        <w:t>]</w:t>
      </w:r>
      <w:r w:rsidR="00617DCD">
        <w:rPr>
          <w:rFonts w:asciiTheme="minorHAnsi" w:hAnsiTheme="minorHAnsi" w:cstheme="minorHAnsi"/>
          <w:iCs/>
          <w:sz w:val="22"/>
          <w:szCs w:val="22"/>
        </w:rPr>
        <w:t>,</w:t>
      </w:r>
      <w:r w:rsidR="000B2AC8">
        <w:rPr>
          <w:rFonts w:asciiTheme="minorHAnsi" w:hAnsiTheme="minorHAnsi" w:cstheme="minorHAnsi"/>
          <w:iCs/>
          <w:sz w:val="22"/>
          <w:szCs w:val="22"/>
        </w:rPr>
        <w:t xml:space="preserve"> </w:t>
      </w:r>
      <w:r w:rsidR="00C52521" w:rsidRPr="0018095C">
        <w:rPr>
          <w:rFonts w:asciiTheme="minorHAnsi" w:hAnsiTheme="minorHAnsi" w:cstheme="minorHAnsi"/>
          <w:iCs/>
          <w:sz w:val="22"/>
          <w:szCs w:val="22"/>
        </w:rPr>
        <w:t xml:space="preserve"> </w:t>
      </w:r>
      <w:r w:rsidR="00C52521" w:rsidRPr="0018095C">
        <w:rPr>
          <w:rFonts w:asciiTheme="minorHAnsi" w:hAnsiTheme="minorHAnsi" w:cstheme="minorHAnsi"/>
          <w:i/>
          <w:sz w:val="22"/>
          <w:szCs w:val="22"/>
        </w:rPr>
        <w:t>British</w:t>
      </w:r>
      <w:proofErr w:type="gramEnd"/>
      <w:r w:rsidR="00C52521" w:rsidRPr="0018095C">
        <w:rPr>
          <w:rFonts w:asciiTheme="minorHAnsi" w:hAnsiTheme="minorHAnsi" w:cstheme="minorHAnsi"/>
          <w:i/>
          <w:sz w:val="22"/>
          <w:szCs w:val="22"/>
        </w:rPr>
        <w:t xml:space="preserve"> J</w:t>
      </w:r>
      <w:r w:rsidR="000B2AC8">
        <w:rPr>
          <w:rFonts w:asciiTheme="minorHAnsi" w:hAnsiTheme="minorHAnsi" w:cstheme="minorHAnsi"/>
          <w:i/>
          <w:sz w:val="22"/>
          <w:szCs w:val="22"/>
        </w:rPr>
        <w:t>ournal</w:t>
      </w:r>
      <w:r w:rsidR="00C52521" w:rsidRPr="0018095C">
        <w:rPr>
          <w:rFonts w:asciiTheme="minorHAnsi" w:hAnsiTheme="minorHAnsi" w:cstheme="minorHAnsi"/>
          <w:i/>
          <w:sz w:val="22"/>
          <w:szCs w:val="22"/>
        </w:rPr>
        <w:t xml:space="preserve"> of Middle East Studies, </w:t>
      </w:r>
      <w:r w:rsidR="000B2AC8">
        <w:rPr>
          <w:rFonts w:asciiTheme="minorHAnsi" w:hAnsiTheme="minorHAnsi" w:cstheme="minorHAnsi"/>
          <w:iCs/>
          <w:sz w:val="22"/>
          <w:szCs w:val="22"/>
        </w:rPr>
        <w:t>51(3), 451-468.</w:t>
      </w:r>
    </w:p>
  </w:footnote>
  <w:footnote w:id="35">
    <w:p w14:paraId="10B382BE" w14:textId="267EF8D6" w:rsidR="00003CB8" w:rsidRPr="0018095C" w:rsidRDefault="00003CB8" w:rsidP="00681F3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00A44E64" w:rsidRPr="0018095C">
        <w:rPr>
          <w:rFonts w:cstheme="minorHAnsi"/>
          <w:sz w:val="22"/>
          <w:szCs w:val="22"/>
        </w:rPr>
        <w:t xml:space="preserve">I was a recipient of those Facebook </w:t>
      </w:r>
      <w:proofErr w:type="gramStart"/>
      <w:r w:rsidR="00A44E64" w:rsidRPr="0018095C">
        <w:rPr>
          <w:rFonts w:cstheme="minorHAnsi"/>
          <w:sz w:val="22"/>
          <w:szCs w:val="22"/>
        </w:rPr>
        <w:t>postings, and</w:t>
      </w:r>
      <w:proofErr w:type="gramEnd"/>
      <w:r w:rsidR="00A44E64" w:rsidRPr="0018095C">
        <w:rPr>
          <w:rFonts w:cstheme="minorHAnsi"/>
          <w:sz w:val="22"/>
          <w:szCs w:val="22"/>
        </w:rPr>
        <w:t xml:space="preserve"> remain so. </w:t>
      </w:r>
    </w:p>
  </w:footnote>
  <w:footnote w:id="36">
    <w:p w14:paraId="3DD6F7E8" w14:textId="2629FFE4" w:rsidR="00F7451E" w:rsidRPr="0018095C" w:rsidRDefault="00F7451E"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C52521" w:rsidRPr="0018095C">
        <w:rPr>
          <w:rFonts w:cstheme="minorHAnsi"/>
        </w:rPr>
        <w:t xml:space="preserve">S Austin </w:t>
      </w:r>
      <w:r w:rsidR="00617DCD">
        <w:rPr>
          <w:rFonts w:cstheme="minorHAnsi"/>
        </w:rPr>
        <w:t>and</w:t>
      </w:r>
      <w:r w:rsidR="00C52521" w:rsidRPr="0018095C">
        <w:rPr>
          <w:rFonts w:cstheme="minorHAnsi"/>
        </w:rPr>
        <w:t xml:space="preserve"> A </w:t>
      </w:r>
      <w:proofErr w:type="spellStart"/>
      <w:r w:rsidR="00C52521" w:rsidRPr="0018095C">
        <w:rPr>
          <w:rFonts w:cstheme="minorHAnsi"/>
        </w:rPr>
        <w:t>Mavisakalyan</w:t>
      </w:r>
      <w:proofErr w:type="spellEnd"/>
      <w:r w:rsidR="00C52521" w:rsidRPr="0018095C">
        <w:rPr>
          <w:rFonts w:cstheme="minorHAnsi"/>
        </w:rPr>
        <w:t>, ‘Constitutions and the Political Agency of Women: A Cross-Country Study’ [2016]</w:t>
      </w:r>
      <w:r w:rsidR="00617DCD">
        <w:rPr>
          <w:rFonts w:cstheme="minorHAnsi"/>
        </w:rPr>
        <w:t>,</w:t>
      </w:r>
      <w:r w:rsidR="00C52521" w:rsidRPr="0018095C">
        <w:rPr>
          <w:rFonts w:cstheme="minorHAnsi"/>
        </w:rPr>
        <w:t xml:space="preserve"> </w:t>
      </w:r>
      <w:r w:rsidR="00C52521" w:rsidRPr="0018095C">
        <w:rPr>
          <w:rFonts w:cstheme="minorHAnsi"/>
          <w:i/>
          <w:iCs/>
        </w:rPr>
        <w:t xml:space="preserve">Feminist Economics, </w:t>
      </w:r>
      <w:r w:rsidR="00C52521" w:rsidRPr="0018095C">
        <w:rPr>
          <w:rFonts w:cstheme="minorHAnsi"/>
        </w:rPr>
        <w:t xml:space="preserve">22(1), 183-210. </w:t>
      </w:r>
    </w:p>
  </w:footnote>
  <w:footnote w:id="37">
    <w:p w14:paraId="5BDD9C51" w14:textId="5D357201" w:rsidR="00F7451E" w:rsidRPr="0018095C" w:rsidRDefault="00F7451E"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Pr="0072561B">
        <w:rPr>
          <w:rFonts w:cstheme="minorHAnsi"/>
        </w:rPr>
        <w:t xml:space="preserve"> </w:t>
      </w:r>
      <w:r w:rsidR="00C52521" w:rsidRPr="0018095C">
        <w:rPr>
          <w:rFonts w:cstheme="minorHAnsi"/>
        </w:rPr>
        <w:t xml:space="preserve">World Economic Forum, </w:t>
      </w:r>
      <w:r w:rsidR="00C52521" w:rsidRPr="0018095C">
        <w:rPr>
          <w:rFonts w:cstheme="minorHAnsi"/>
          <w:i/>
          <w:iCs/>
        </w:rPr>
        <w:t xml:space="preserve">Global Gender Gap Report 2018 </w:t>
      </w:r>
      <w:r w:rsidR="00C52521" w:rsidRPr="0018095C">
        <w:rPr>
          <w:rFonts w:cstheme="minorHAnsi"/>
        </w:rPr>
        <w:t xml:space="preserve">(WEF, Geneva 2018), 18. </w:t>
      </w:r>
      <w:r w:rsidR="002622A7">
        <w:rPr>
          <w:rFonts w:cstheme="minorHAnsi"/>
        </w:rPr>
        <w:t>That year, countries in the top 10 for women’s political empowerment included Iceland, Sweden, Norway, Finland, and France, but also Nicaragua and Rwanda. At 55, Tunisia was just below Estonia, Portugal, and Urug</w:t>
      </w:r>
      <w:r w:rsidR="00BF6B6E">
        <w:rPr>
          <w:rFonts w:cstheme="minorHAnsi"/>
        </w:rPr>
        <w:t>uay – an impressive ranking for a MENA country</w:t>
      </w:r>
      <w:r w:rsidR="00720131">
        <w:rPr>
          <w:rFonts w:cstheme="minorHAnsi"/>
        </w:rPr>
        <w:t xml:space="preserve"> – and much higher than the US ranking of 98.</w:t>
      </w:r>
    </w:p>
  </w:footnote>
  <w:footnote w:id="38">
    <w:p w14:paraId="1D079D8D" w14:textId="2C2749F7" w:rsidR="005809C2" w:rsidRPr="0072561B" w:rsidRDefault="005809C2" w:rsidP="00681F3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The WBL index captures </w:t>
      </w:r>
      <w:r w:rsidRPr="0018095C">
        <w:rPr>
          <w:rFonts w:eastAsia="Times New Roman" w:cstheme="minorHAnsi"/>
          <w:sz w:val="22"/>
          <w:szCs w:val="22"/>
        </w:rPr>
        <w:t xml:space="preserve">mobility, workplace, pay, marriage, parenthood, entrepreneurship, assets, pensions. For details on conceptualization and measurement, see Table 2.1 in the 2020 Report: </w:t>
      </w:r>
      <w:hyperlink r:id="rId7" w:history="1">
        <w:r w:rsidRPr="0072561B">
          <w:rPr>
            <w:rStyle w:val="Hyperlink"/>
            <w:rFonts w:cstheme="minorHAnsi"/>
            <w:color w:val="auto"/>
            <w:sz w:val="22"/>
            <w:szCs w:val="22"/>
            <w:u w:val="none"/>
          </w:rPr>
          <w:t>https://openknowledge.worldbank.org/bitstream/handle/10986/32639/9781464815324.pdf</w:t>
        </w:r>
      </w:hyperlink>
    </w:p>
  </w:footnote>
  <w:footnote w:id="39">
    <w:p w14:paraId="34A0F1EA" w14:textId="23FD3DDF" w:rsidR="001F2E04" w:rsidRPr="0018095C" w:rsidRDefault="001F2E04" w:rsidP="001F2E04">
      <w:pPr>
        <w:pStyle w:val="FootnoteText"/>
        <w:rPr>
          <w:rFonts w:cstheme="minorHAnsi"/>
          <w:sz w:val="22"/>
          <w:szCs w:val="22"/>
        </w:rPr>
      </w:pPr>
      <w:r w:rsidRPr="0072561B">
        <w:rPr>
          <w:rStyle w:val="FootnoteReference"/>
          <w:rFonts w:cstheme="minorHAnsi"/>
          <w:sz w:val="22"/>
          <w:szCs w:val="22"/>
        </w:rPr>
        <w:footnoteRef/>
      </w:r>
      <w:r w:rsidRPr="0072561B">
        <w:rPr>
          <w:rFonts w:cstheme="minorHAnsi"/>
          <w:sz w:val="22"/>
          <w:szCs w:val="22"/>
        </w:rPr>
        <w:t xml:space="preserve">  </w:t>
      </w:r>
      <w:r w:rsidRPr="0018095C">
        <w:rPr>
          <w:rFonts w:cstheme="minorHAnsi"/>
          <w:sz w:val="22"/>
          <w:szCs w:val="22"/>
        </w:rPr>
        <w:t xml:space="preserve">S Mako and VM Moghadam, </w:t>
      </w:r>
      <w:r w:rsidRPr="0018095C">
        <w:rPr>
          <w:rFonts w:cstheme="minorHAnsi"/>
          <w:i/>
          <w:iCs/>
          <w:sz w:val="22"/>
          <w:szCs w:val="22"/>
        </w:rPr>
        <w:t xml:space="preserve">After the Arab Uprisings: Progress and Stagnation in the Middle East and North Africa </w:t>
      </w:r>
      <w:r w:rsidRPr="0018095C">
        <w:rPr>
          <w:rFonts w:cstheme="minorHAnsi"/>
          <w:sz w:val="22"/>
          <w:szCs w:val="22"/>
        </w:rPr>
        <w:t>(CUP, Cambridge</w:t>
      </w:r>
      <w:r w:rsidR="007767CE">
        <w:rPr>
          <w:rFonts w:cstheme="minorHAnsi"/>
          <w:sz w:val="22"/>
          <w:szCs w:val="22"/>
        </w:rPr>
        <w:t>,</w:t>
      </w:r>
      <w:r w:rsidRPr="0018095C">
        <w:rPr>
          <w:rFonts w:cstheme="minorHAnsi"/>
          <w:sz w:val="22"/>
          <w:szCs w:val="22"/>
        </w:rPr>
        <w:t xml:space="preserve"> 2021), 199-200.</w:t>
      </w:r>
    </w:p>
  </w:footnote>
  <w:footnote w:id="40">
    <w:p w14:paraId="51142777" w14:textId="33864805" w:rsidR="004B2D14" w:rsidRPr="0018095C" w:rsidRDefault="004B2D14"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In 2020, Tunisia’s </w:t>
      </w:r>
      <w:r w:rsidR="002F3D52" w:rsidRPr="0018095C">
        <w:rPr>
          <w:rFonts w:cstheme="minorHAnsi"/>
        </w:rPr>
        <w:t xml:space="preserve">total </w:t>
      </w:r>
      <w:r w:rsidRPr="0018095C">
        <w:rPr>
          <w:rFonts w:cstheme="minorHAnsi"/>
        </w:rPr>
        <w:t>unemployment rate was 16.7</w:t>
      </w:r>
      <w:r w:rsidR="00A517D4">
        <w:rPr>
          <w:rFonts w:cstheme="minorHAnsi"/>
        </w:rPr>
        <w:t>%</w:t>
      </w:r>
      <w:r w:rsidRPr="0018095C">
        <w:rPr>
          <w:rFonts w:cstheme="minorHAnsi"/>
        </w:rPr>
        <w:t>. See</w:t>
      </w:r>
      <w:r w:rsidR="000B2AC8">
        <w:rPr>
          <w:rFonts w:cstheme="minorHAnsi"/>
        </w:rPr>
        <w:t xml:space="preserve"> ‘Employment in Tunisia – </w:t>
      </w:r>
      <w:r w:rsidR="00A517D4">
        <w:rPr>
          <w:rFonts w:cstheme="minorHAnsi"/>
        </w:rPr>
        <w:t>S</w:t>
      </w:r>
      <w:r w:rsidR="000B2AC8">
        <w:rPr>
          <w:rFonts w:cstheme="minorHAnsi"/>
        </w:rPr>
        <w:t xml:space="preserve">tatistics &amp; </w:t>
      </w:r>
      <w:r w:rsidR="00A517D4">
        <w:rPr>
          <w:rFonts w:cstheme="minorHAnsi"/>
        </w:rPr>
        <w:t>F</w:t>
      </w:r>
      <w:r w:rsidR="000B2AC8">
        <w:rPr>
          <w:rFonts w:cstheme="minorHAnsi"/>
        </w:rPr>
        <w:t xml:space="preserve">acts,’ </w:t>
      </w:r>
      <w:proofErr w:type="spellStart"/>
      <w:r w:rsidR="000B2AC8">
        <w:rPr>
          <w:rFonts w:cstheme="minorHAnsi"/>
          <w:i/>
          <w:iCs/>
        </w:rPr>
        <w:t>statista</w:t>
      </w:r>
      <w:proofErr w:type="spellEnd"/>
      <w:r w:rsidR="000B2AC8">
        <w:rPr>
          <w:rFonts w:cstheme="minorHAnsi"/>
          <w:i/>
          <w:iCs/>
        </w:rPr>
        <w:t xml:space="preserve"> </w:t>
      </w:r>
      <w:r w:rsidR="000B2AC8">
        <w:rPr>
          <w:rFonts w:cstheme="minorHAnsi"/>
        </w:rPr>
        <w:t xml:space="preserve">(27 June 2024), </w:t>
      </w:r>
      <w:hyperlink r:id="rId8" w:history="1">
        <w:r w:rsidR="000B2AC8" w:rsidRPr="0031007B">
          <w:rPr>
            <w:rStyle w:val="Hyperlink"/>
            <w:rFonts w:cstheme="minorHAnsi"/>
          </w:rPr>
          <w:t>https://www.statista.com/topics/8902/employment-in-tunisia/</w:t>
        </w:r>
      </w:hyperlink>
      <w:r w:rsidRPr="0018095C">
        <w:rPr>
          <w:rFonts w:cstheme="minorHAnsi"/>
        </w:rPr>
        <w:t xml:space="preserve">. </w:t>
      </w:r>
      <w:r w:rsidR="00D400AE" w:rsidRPr="0018095C">
        <w:rPr>
          <w:rFonts w:cstheme="minorHAnsi"/>
        </w:rPr>
        <w:t xml:space="preserve">See also OECD, </w:t>
      </w:r>
      <w:r w:rsidR="00D400AE" w:rsidRPr="0018095C">
        <w:rPr>
          <w:rFonts w:cstheme="minorHAnsi"/>
          <w:i/>
          <w:iCs/>
        </w:rPr>
        <w:t xml:space="preserve">Economy of Tunisia at a Glance </w:t>
      </w:r>
      <w:r w:rsidR="00D400AE" w:rsidRPr="0018095C">
        <w:rPr>
          <w:rFonts w:cstheme="minorHAnsi"/>
        </w:rPr>
        <w:t>[2021]</w:t>
      </w:r>
      <w:r w:rsidR="00AA0206" w:rsidRPr="0018095C">
        <w:rPr>
          <w:rFonts w:cstheme="minorHAnsi"/>
        </w:rPr>
        <w:t>,</w:t>
      </w:r>
      <w:r w:rsidR="00D400AE" w:rsidRPr="0018095C">
        <w:rPr>
          <w:rFonts w:cstheme="minorHAnsi"/>
        </w:rPr>
        <w:t xml:space="preserve"> </w:t>
      </w:r>
      <w:hyperlink r:id="rId9" w:history="1">
        <w:r w:rsidR="00AA0206" w:rsidRPr="0072561B">
          <w:rPr>
            <w:rStyle w:val="Hyperlink"/>
            <w:rFonts w:cstheme="minorHAnsi"/>
            <w:color w:val="auto"/>
            <w:u w:val="none"/>
          </w:rPr>
          <w:t>https://www.oecd-ilibrary.org/economics/oecd-economic-outlook-volume-2021-issue-1_a8bf06a0-en</w:t>
        </w:r>
      </w:hyperlink>
      <w:r w:rsidR="00AA0206" w:rsidRPr="0018095C">
        <w:rPr>
          <w:rFonts w:cstheme="minorHAnsi"/>
        </w:rPr>
        <w:t>.</w:t>
      </w:r>
      <w:r w:rsidR="00A66AEE">
        <w:rPr>
          <w:rFonts w:cstheme="minorHAnsi"/>
        </w:rPr>
        <w:t xml:space="preserve"> </w:t>
      </w:r>
    </w:p>
  </w:footnote>
  <w:footnote w:id="41">
    <w:p w14:paraId="5DA98246" w14:textId="2C3E3923" w:rsidR="00F7451E" w:rsidRPr="0018095C" w:rsidRDefault="00F7451E" w:rsidP="00681F3A">
      <w:pPr>
        <w:pStyle w:val="BodyTextIndent2"/>
        <w:spacing w:after="0" w:line="240" w:lineRule="auto"/>
        <w:ind w:left="0"/>
        <w:rPr>
          <w:rFonts w:cstheme="minorHAnsi"/>
        </w:rPr>
      </w:pPr>
      <w:r w:rsidRPr="0018095C">
        <w:rPr>
          <w:rStyle w:val="FootnoteReference"/>
          <w:rFonts w:cstheme="minorHAnsi"/>
        </w:rPr>
        <w:footnoteRef/>
      </w:r>
      <w:r w:rsidRPr="0018095C">
        <w:rPr>
          <w:rFonts w:cstheme="minorHAnsi"/>
        </w:rPr>
        <w:t xml:space="preserve"> </w:t>
      </w:r>
      <w:r w:rsidRPr="0018095C">
        <w:rPr>
          <w:rFonts w:eastAsia="Times New Roman" w:cstheme="minorHAnsi"/>
          <w:color w:val="111111"/>
        </w:rPr>
        <w:t xml:space="preserve"> </w:t>
      </w:r>
      <w:r w:rsidR="006A7632" w:rsidRPr="0018095C">
        <w:rPr>
          <w:rFonts w:eastAsia="Times New Roman" w:cstheme="minorHAnsi"/>
          <w:color w:val="111111"/>
        </w:rPr>
        <w:t xml:space="preserve">L </w:t>
      </w:r>
      <w:r w:rsidR="00712EF6" w:rsidRPr="0018095C">
        <w:rPr>
          <w:rFonts w:cstheme="minorHAnsi"/>
        </w:rPr>
        <w:t>Sadiki</w:t>
      </w:r>
      <w:r w:rsidR="006A7632" w:rsidRPr="0018095C">
        <w:rPr>
          <w:rFonts w:cstheme="minorHAnsi"/>
        </w:rPr>
        <w:t>,</w:t>
      </w:r>
      <w:r w:rsidR="00712EF6" w:rsidRPr="0018095C">
        <w:rPr>
          <w:rFonts w:cstheme="minorHAnsi"/>
        </w:rPr>
        <w:t xml:space="preserve"> ‘Regional </w:t>
      </w:r>
      <w:r w:rsidR="00A66AEE">
        <w:rPr>
          <w:rFonts w:cstheme="minorHAnsi"/>
        </w:rPr>
        <w:t>D</w:t>
      </w:r>
      <w:r w:rsidR="00712EF6" w:rsidRPr="0018095C">
        <w:rPr>
          <w:rFonts w:cstheme="minorHAnsi"/>
        </w:rPr>
        <w:t xml:space="preserve">evelopment in Tunisia: The </w:t>
      </w:r>
      <w:r w:rsidR="00A66AEE">
        <w:rPr>
          <w:rFonts w:cstheme="minorHAnsi"/>
        </w:rPr>
        <w:t>C</w:t>
      </w:r>
      <w:r w:rsidR="00712EF6" w:rsidRPr="0018095C">
        <w:rPr>
          <w:rFonts w:cstheme="minorHAnsi"/>
        </w:rPr>
        <w:t xml:space="preserve">onsequences of </w:t>
      </w:r>
      <w:r w:rsidR="00A66AEE">
        <w:rPr>
          <w:rFonts w:cstheme="minorHAnsi"/>
        </w:rPr>
        <w:t>M</w:t>
      </w:r>
      <w:r w:rsidR="00712EF6" w:rsidRPr="0018095C">
        <w:rPr>
          <w:rFonts w:cstheme="minorHAnsi"/>
        </w:rPr>
        <w:t xml:space="preserve">ultiple </w:t>
      </w:r>
      <w:r w:rsidR="00A66AEE">
        <w:rPr>
          <w:rFonts w:cstheme="minorHAnsi"/>
        </w:rPr>
        <w:t>M</w:t>
      </w:r>
      <w:r w:rsidR="00712EF6" w:rsidRPr="0018095C">
        <w:rPr>
          <w:rFonts w:cstheme="minorHAnsi"/>
        </w:rPr>
        <w:t>arginalization’ [2019]</w:t>
      </w:r>
      <w:r w:rsidR="00617DCD">
        <w:rPr>
          <w:rFonts w:cstheme="minorHAnsi"/>
        </w:rPr>
        <w:t>,</w:t>
      </w:r>
      <w:r w:rsidR="00712EF6" w:rsidRPr="0018095C">
        <w:rPr>
          <w:rFonts w:cstheme="minorHAnsi"/>
        </w:rPr>
        <w:t xml:space="preserve"> </w:t>
      </w:r>
      <w:r w:rsidR="00712EF6" w:rsidRPr="000B2AC8">
        <w:rPr>
          <w:rFonts w:cstheme="minorHAnsi"/>
          <w:i/>
          <w:iCs/>
        </w:rPr>
        <w:t>Brookings Doha Center</w:t>
      </w:r>
      <w:r w:rsidR="00712EF6" w:rsidRPr="0018095C">
        <w:rPr>
          <w:rFonts w:cstheme="minorHAnsi"/>
        </w:rPr>
        <w:t xml:space="preserve"> 202</w:t>
      </w:r>
      <w:r w:rsidR="006A7632" w:rsidRPr="0018095C">
        <w:rPr>
          <w:rFonts w:cstheme="minorHAnsi"/>
        </w:rPr>
        <w:t>,</w:t>
      </w:r>
      <w:r w:rsidR="00712EF6" w:rsidRPr="0018095C">
        <w:rPr>
          <w:rFonts w:cstheme="minorHAnsi"/>
        </w:rPr>
        <w:t xml:space="preserve"> </w:t>
      </w:r>
      <w:hyperlink r:id="rId10" w:history="1">
        <w:r w:rsidR="00A66AEE" w:rsidRPr="00012FB4">
          <w:rPr>
            <w:rStyle w:val="Hyperlink"/>
            <w:rFonts w:cstheme="minorHAnsi"/>
          </w:rPr>
          <w:t>https://www.brookings.edu/wp-content/uploads/2019/01/Regional-development-in-Tunisia-the-consequences-of-multiple-marginalization_English-Web.pdf</w:t>
        </w:r>
      </w:hyperlink>
      <w:r w:rsidR="00712EF6" w:rsidRPr="0018095C">
        <w:rPr>
          <w:rFonts w:cstheme="minorHAnsi"/>
        </w:rPr>
        <w:t>.</w:t>
      </w:r>
      <w:r w:rsidR="00A66AEE">
        <w:rPr>
          <w:rFonts w:cstheme="minorHAnsi"/>
        </w:rPr>
        <w:t xml:space="preserve">   </w:t>
      </w:r>
      <w:r w:rsidR="00712EF6" w:rsidRPr="0018095C">
        <w:rPr>
          <w:rFonts w:cstheme="minorHAnsi"/>
        </w:rPr>
        <w:t xml:space="preserve"> </w:t>
      </w:r>
      <w:r w:rsidR="00A66AEE">
        <w:rPr>
          <w:rFonts w:cstheme="minorHAnsi"/>
        </w:rPr>
        <w:t xml:space="preserve"> </w:t>
      </w:r>
    </w:p>
  </w:footnote>
  <w:footnote w:id="42">
    <w:p w14:paraId="70AC0AFA" w14:textId="17EF3929" w:rsidR="00F7451E" w:rsidRPr="0018095C" w:rsidRDefault="00F7451E" w:rsidP="00681F3A">
      <w:pPr>
        <w:pStyle w:val="FootnoteText"/>
        <w:adjustRightInd w:val="0"/>
        <w:snapToGrid w:val="0"/>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Pr="0018095C">
        <w:rPr>
          <w:rFonts w:cstheme="minorHAnsi"/>
          <w:color w:val="000000"/>
          <w:sz w:val="22"/>
          <w:szCs w:val="22"/>
        </w:rPr>
        <w:t xml:space="preserve"> </w:t>
      </w:r>
      <w:r w:rsidR="00712EF6" w:rsidRPr="0018095C">
        <w:rPr>
          <w:rFonts w:cstheme="minorHAnsi"/>
          <w:sz w:val="22"/>
          <w:szCs w:val="22"/>
        </w:rPr>
        <w:t>F Aliriza, ‘Perpetual Periphery: IFIs and the Reproduction of Tunisia’s Economic Dependence’</w:t>
      </w:r>
      <w:r w:rsidR="00573D3A">
        <w:rPr>
          <w:rFonts w:cstheme="minorHAnsi"/>
          <w:sz w:val="22"/>
          <w:szCs w:val="22"/>
        </w:rPr>
        <w:t>,</w:t>
      </w:r>
      <w:r w:rsidR="00712EF6" w:rsidRPr="0018095C">
        <w:rPr>
          <w:rFonts w:cstheme="minorHAnsi"/>
          <w:sz w:val="22"/>
          <w:szCs w:val="22"/>
        </w:rPr>
        <w:t xml:space="preserve"> in T Radwan (ed), </w:t>
      </w:r>
      <w:r w:rsidR="00712EF6" w:rsidRPr="0018095C">
        <w:rPr>
          <w:rFonts w:cstheme="minorHAnsi"/>
          <w:i/>
          <w:sz w:val="22"/>
          <w:szCs w:val="22"/>
        </w:rPr>
        <w:t xml:space="preserve">The Impact and Influence of International Financial Institutions on the Economies of the Middle East and North Africa </w:t>
      </w:r>
      <w:r w:rsidR="00712EF6" w:rsidRPr="0018095C">
        <w:rPr>
          <w:rFonts w:cstheme="minorHAnsi"/>
          <w:sz w:val="22"/>
          <w:szCs w:val="22"/>
        </w:rPr>
        <w:t>(Friedrich Ebert Stiftung Regional Project, Tunis</w:t>
      </w:r>
      <w:r w:rsidR="000B2AC8">
        <w:rPr>
          <w:rFonts w:cstheme="minorHAnsi"/>
          <w:sz w:val="22"/>
          <w:szCs w:val="22"/>
        </w:rPr>
        <w:t>,</w:t>
      </w:r>
      <w:r w:rsidR="00712EF6" w:rsidRPr="0018095C">
        <w:rPr>
          <w:rFonts w:cstheme="minorHAnsi"/>
          <w:sz w:val="22"/>
          <w:szCs w:val="22"/>
        </w:rPr>
        <w:t xml:space="preserve"> 2020), 37-38</w:t>
      </w:r>
      <w:r w:rsidR="00D81837" w:rsidRPr="0018095C">
        <w:rPr>
          <w:rFonts w:cstheme="minorHAnsi"/>
          <w:sz w:val="22"/>
          <w:szCs w:val="22"/>
        </w:rPr>
        <w:t xml:space="preserve">. </w:t>
      </w:r>
    </w:p>
  </w:footnote>
  <w:footnote w:id="43">
    <w:p w14:paraId="2363CB82" w14:textId="42ADB291" w:rsidR="000435D9" w:rsidRPr="0018095C" w:rsidRDefault="000435D9" w:rsidP="00681F3A">
      <w:pPr>
        <w:spacing w:after="0" w:line="240" w:lineRule="auto"/>
        <w:rPr>
          <w:rFonts w:cstheme="minorHAnsi"/>
        </w:rPr>
      </w:pPr>
      <w:r w:rsidRPr="0072561B">
        <w:rPr>
          <w:rStyle w:val="FootnoteReference"/>
          <w:rFonts w:cstheme="minorHAnsi"/>
        </w:rPr>
        <w:footnoteRef/>
      </w:r>
      <w:r w:rsidRPr="0072561B">
        <w:rPr>
          <w:rFonts w:cstheme="minorHAnsi"/>
        </w:rPr>
        <w:t xml:space="preserve"> </w:t>
      </w:r>
      <w:r w:rsidR="00122268" w:rsidRPr="0072561B">
        <w:rPr>
          <w:rFonts w:cstheme="minorHAnsi"/>
        </w:rPr>
        <w:t>Reuters, ‘Tunisia seeks late debt payments as crisis hits economy</w:t>
      </w:r>
      <w:r w:rsidR="000B2AC8">
        <w:rPr>
          <w:rFonts w:cstheme="minorHAnsi"/>
        </w:rPr>
        <w:t xml:space="preserve">: </w:t>
      </w:r>
      <w:r w:rsidR="00122268" w:rsidRPr="0072561B">
        <w:rPr>
          <w:rFonts w:cstheme="minorHAnsi"/>
        </w:rPr>
        <w:t>state budget’</w:t>
      </w:r>
      <w:r w:rsidR="00255B39">
        <w:rPr>
          <w:rFonts w:cstheme="minorHAnsi"/>
        </w:rPr>
        <w:t xml:space="preserve"> (13 </w:t>
      </w:r>
      <w:r w:rsidR="00255B39" w:rsidRPr="0072561B">
        <w:rPr>
          <w:rFonts w:cstheme="minorHAnsi"/>
        </w:rPr>
        <w:t>July 13, 2020</w:t>
      </w:r>
      <w:r w:rsidR="00255B39">
        <w:rPr>
          <w:rFonts w:cstheme="minorHAnsi"/>
        </w:rPr>
        <w:t>)</w:t>
      </w:r>
      <w:r w:rsidR="00122268" w:rsidRPr="0072561B">
        <w:rPr>
          <w:rFonts w:cstheme="minorHAnsi"/>
        </w:rPr>
        <w:t xml:space="preserve">, </w:t>
      </w:r>
      <w:hyperlink r:id="rId11" w:history="1">
        <w:r w:rsidR="00122268" w:rsidRPr="0072561B">
          <w:rPr>
            <w:rStyle w:val="Hyperlink"/>
            <w:rFonts w:cstheme="minorHAnsi"/>
            <w:color w:val="auto"/>
            <w:u w:val="none"/>
          </w:rPr>
          <w:t>https://www.reuters.com/article/business/finance/tunisia-seeks-late-debt-payments-as-crisis-hits-economy-state-budget-idUSKCN24E18V/</w:t>
        </w:r>
      </w:hyperlink>
      <w:r w:rsidR="00D0315A" w:rsidRPr="0018095C">
        <w:rPr>
          <w:rStyle w:val="Hyperlink"/>
          <w:rFonts w:cstheme="minorHAnsi"/>
          <w:color w:val="auto"/>
          <w:u w:val="none"/>
        </w:rPr>
        <w:t>.</w:t>
      </w:r>
      <w:r w:rsidR="00255B39">
        <w:rPr>
          <w:rStyle w:val="Hyperlink"/>
          <w:rFonts w:cstheme="minorHAnsi"/>
          <w:color w:val="auto"/>
          <w:u w:val="none"/>
        </w:rPr>
        <w:t xml:space="preserve"> </w:t>
      </w:r>
    </w:p>
  </w:footnote>
  <w:footnote w:id="44">
    <w:p w14:paraId="0EF948EC" w14:textId="2D223AC9" w:rsidR="00F7451E" w:rsidRPr="0018095C" w:rsidRDefault="00F7451E" w:rsidP="00681F3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00D81837" w:rsidRPr="0018095C">
        <w:rPr>
          <w:rFonts w:cstheme="minorHAnsi"/>
          <w:color w:val="000000"/>
          <w:sz w:val="22"/>
          <w:szCs w:val="22"/>
        </w:rPr>
        <w:t>Alir</w:t>
      </w:r>
      <w:r w:rsidR="000B2AC8">
        <w:rPr>
          <w:rFonts w:cstheme="minorHAnsi"/>
          <w:color w:val="000000"/>
          <w:sz w:val="22"/>
          <w:szCs w:val="22"/>
        </w:rPr>
        <w:t>i</w:t>
      </w:r>
      <w:r w:rsidR="00D81837" w:rsidRPr="0018095C">
        <w:rPr>
          <w:rFonts w:cstheme="minorHAnsi"/>
          <w:color w:val="000000"/>
          <w:sz w:val="22"/>
          <w:szCs w:val="22"/>
        </w:rPr>
        <w:t>za</w:t>
      </w:r>
      <w:r w:rsidR="000B2AC8">
        <w:rPr>
          <w:rFonts w:cstheme="minorHAnsi"/>
          <w:color w:val="000000"/>
          <w:sz w:val="22"/>
          <w:szCs w:val="22"/>
        </w:rPr>
        <w:t>, above n 41</w:t>
      </w:r>
      <w:r w:rsidR="00D81837" w:rsidRPr="0018095C">
        <w:rPr>
          <w:rFonts w:cstheme="minorHAnsi"/>
          <w:color w:val="000000"/>
          <w:sz w:val="22"/>
          <w:szCs w:val="22"/>
        </w:rPr>
        <w:t>, 35-36.</w:t>
      </w:r>
    </w:p>
  </w:footnote>
  <w:footnote w:id="45">
    <w:p w14:paraId="65E7B3DB" w14:textId="2989F0CC" w:rsidR="00F7451E" w:rsidRPr="0018095C" w:rsidRDefault="00F7451E" w:rsidP="00681F3A">
      <w:pPr>
        <w:pStyle w:val="BodyTextIndent2"/>
        <w:spacing w:after="0" w:line="240" w:lineRule="auto"/>
        <w:ind w:left="0"/>
        <w:rPr>
          <w:rFonts w:cstheme="minorHAnsi"/>
        </w:rPr>
      </w:pPr>
      <w:r w:rsidRPr="0018095C">
        <w:rPr>
          <w:rStyle w:val="FootnoteReference"/>
          <w:rFonts w:cstheme="minorHAnsi"/>
        </w:rPr>
        <w:footnoteRef/>
      </w:r>
      <w:r w:rsidRPr="0018095C">
        <w:rPr>
          <w:rFonts w:cstheme="minorHAnsi"/>
        </w:rPr>
        <w:t xml:space="preserve"> </w:t>
      </w:r>
      <w:r w:rsidR="00D81837" w:rsidRPr="0018095C">
        <w:rPr>
          <w:rFonts w:cstheme="minorHAnsi"/>
        </w:rPr>
        <w:t xml:space="preserve">T Megerisi, ‘Back from the </w:t>
      </w:r>
      <w:r w:rsidR="00255B39">
        <w:rPr>
          <w:rFonts w:cstheme="minorHAnsi"/>
        </w:rPr>
        <w:t>B</w:t>
      </w:r>
      <w:r w:rsidR="00D81837" w:rsidRPr="0018095C">
        <w:rPr>
          <w:rFonts w:cstheme="minorHAnsi"/>
        </w:rPr>
        <w:t xml:space="preserve">rink: A </w:t>
      </w:r>
      <w:r w:rsidR="00255B39">
        <w:rPr>
          <w:rFonts w:cstheme="minorHAnsi"/>
        </w:rPr>
        <w:t>B</w:t>
      </w:r>
      <w:r w:rsidR="00D81837" w:rsidRPr="0018095C">
        <w:rPr>
          <w:rFonts w:cstheme="minorHAnsi"/>
        </w:rPr>
        <w:t xml:space="preserve">etter </w:t>
      </w:r>
      <w:r w:rsidR="00255B39">
        <w:rPr>
          <w:rFonts w:cstheme="minorHAnsi"/>
        </w:rPr>
        <w:t>W</w:t>
      </w:r>
      <w:r w:rsidR="00D81837" w:rsidRPr="0018095C">
        <w:rPr>
          <w:rFonts w:cstheme="minorHAnsi"/>
        </w:rPr>
        <w:t xml:space="preserve">ay for Europe to </w:t>
      </w:r>
      <w:r w:rsidR="00255B39">
        <w:rPr>
          <w:rFonts w:cstheme="minorHAnsi"/>
        </w:rPr>
        <w:t>S</w:t>
      </w:r>
      <w:r w:rsidR="00D81837" w:rsidRPr="0018095C">
        <w:rPr>
          <w:rFonts w:cstheme="minorHAnsi"/>
        </w:rPr>
        <w:t xml:space="preserve">upport Tunisia’s </w:t>
      </w:r>
      <w:r w:rsidR="00255B39">
        <w:rPr>
          <w:rFonts w:cstheme="minorHAnsi"/>
        </w:rPr>
        <w:t>D</w:t>
      </w:r>
      <w:r w:rsidR="00D81837" w:rsidRPr="0018095C">
        <w:rPr>
          <w:rFonts w:cstheme="minorHAnsi"/>
        </w:rPr>
        <w:t xml:space="preserve">emocratic </w:t>
      </w:r>
      <w:r w:rsidR="00255B39">
        <w:rPr>
          <w:rFonts w:cstheme="minorHAnsi"/>
        </w:rPr>
        <w:t>T</w:t>
      </w:r>
      <w:r w:rsidR="00D81837" w:rsidRPr="0018095C">
        <w:rPr>
          <w:rFonts w:cstheme="minorHAnsi"/>
        </w:rPr>
        <w:t xml:space="preserve">ransition’ [2021], </w:t>
      </w:r>
      <w:r w:rsidR="00D81837" w:rsidRPr="0018095C">
        <w:rPr>
          <w:rFonts w:cstheme="minorHAnsi"/>
          <w:i/>
          <w:iCs/>
        </w:rPr>
        <w:t xml:space="preserve">European </w:t>
      </w:r>
      <w:r w:rsidR="000B2AC8">
        <w:rPr>
          <w:rFonts w:cstheme="minorHAnsi"/>
          <w:i/>
          <w:iCs/>
        </w:rPr>
        <w:t>Council</w:t>
      </w:r>
      <w:r w:rsidR="00D81837" w:rsidRPr="0018095C">
        <w:rPr>
          <w:rFonts w:cstheme="minorHAnsi"/>
          <w:i/>
          <w:iCs/>
        </w:rPr>
        <w:t xml:space="preserve"> on </w:t>
      </w:r>
      <w:r w:rsidR="000B2AC8">
        <w:rPr>
          <w:rFonts w:cstheme="minorHAnsi"/>
          <w:i/>
          <w:iCs/>
        </w:rPr>
        <w:t>F</w:t>
      </w:r>
      <w:r w:rsidR="00D81837" w:rsidRPr="0018095C">
        <w:rPr>
          <w:rFonts w:cstheme="minorHAnsi"/>
          <w:i/>
          <w:iCs/>
        </w:rPr>
        <w:t xml:space="preserve">oreign </w:t>
      </w:r>
      <w:r w:rsidR="000B2AC8">
        <w:rPr>
          <w:rFonts w:cstheme="minorHAnsi"/>
          <w:i/>
          <w:iCs/>
        </w:rPr>
        <w:t>R</w:t>
      </w:r>
      <w:r w:rsidR="00D81837" w:rsidRPr="0018095C">
        <w:rPr>
          <w:rFonts w:cstheme="minorHAnsi"/>
          <w:i/>
          <w:iCs/>
        </w:rPr>
        <w:t xml:space="preserve">elations </w:t>
      </w:r>
      <w:r w:rsidR="000B2AC8">
        <w:rPr>
          <w:rFonts w:cstheme="minorHAnsi"/>
          <w:i/>
          <w:iCs/>
        </w:rPr>
        <w:t>P</w:t>
      </w:r>
      <w:r w:rsidR="00D81837" w:rsidRPr="0018095C">
        <w:rPr>
          <w:rFonts w:cstheme="minorHAnsi"/>
          <w:i/>
          <w:iCs/>
        </w:rPr>
        <w:t xml:space="preserve">olicy </w:t>
      </w:r>
      <w:r w:rsidR="000B2AC8">
        <w:rPr>
          <w:rFonts w:cstheme="minorHAnsi"/>
          <w:i/>
          <w:iCs/>
        </w:rPr>
        <w:t>B</w:t>
      </w:r>
      <w:r w:rsidR="00D81837" w:rsidRPr="0018095C">
        <w:rPr>
          <w:rFonts w:cstheme="minorHAnsi"/>
          <w:i/>
          <w:iCs/>
        </w:rPr>
        <w:t xml:space="preserve">rief </w:t>
      </w:r>
      <w:r w:rsidR="00D81837" w:rsidRPr="0018095C">
        <w:rPr>
          <w:rFonts w:cstheme="minorHAnsi"/>
        </w:rPr>
        <w:t>403.</w:t>
      </w:r>
    </w:p>
  </w:footnote>
  <w:footnote w:id="46">
    <w:p w14:paraId="7A14D416" w14:textId="65BF95F2" w:rsidR="00F7451E" w:rsidRPr="0018095C" w:rsidRDefault="00F7451E"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D81837" w:rsidRPr="0018095C">
        <w:rPr>
          <w:rFonts w:cstheme="minorHAnsi"/>
        </w:rPr>
        <w:t xml:space="preserve">R Weilandt, ‘Socio-economic </w:t>
      </w:r>
      <w:r w:rsidR="00255B39">
        <w:rPr>
          <w:rFonts w:cstheme="minorHAnsi"/>
        </w:rPr>
        <w:t>C</w:t>
      </w:r>
      <w:r w:rsidR="00D81837" w:rsidRPr="0018095C">
        <w:rPr>
          <w:rFonts w:cstheme="minorHAnsi"/>
        </w:rPr>
        <w:t xml:space="preserve">hallenges to Tunisia’s </w:t>
      </w:r>
      <w:r w:rsidR="00255B39">
        <w:rPr>
          <w:rFonts w:cstheme="minorHAnsi"/>
        </w:rPr>
        <w:t>D</w:t>
      </w:r>
      <w:r w:rsidR="00D81837" w:rsidRPr="0018095C">
        <w:rPr>
          <w:rFonts w:cstheme="minorHAnsi"/>
        </w:rPr>
        <w:t xml:space="preserve">emocratic </w:t>
      </w:r>
      <w:r w:rsidR="00255B39">
        <w:rPr>
          <w:rFonts w:cstheme="minorHAnsi"/>
        </w:rPr>
        <w:t>T</w:t>
      </w:r>
      <w:r w:rsidR="00D81837" w:rsidRPr="0018095C">
        <w:rPr>
          <w:rFonts w:cstheme="minorHAnsi"/>
        </w:rPr>
        <w:t>ransition’ [2018]</w:t>
      </w:r>
      <w:r w:rsidR="00E33BAB">
        <w:rPr>
          <w:rFonts w:cstheme="minorHAnsi"/>
        </w:rPr>
        <w:t>,</w:t>
      </w:r>
      <w:r w:rsidR="00D81837" w:rsidRPr="0018095C">
        <w:rPr>
          <w:rFonts w:cstheme="minorHAnsi"/>
        </w:rPr>
        <w:t xml:space="preserve"> </w:t>
      </w:r>
      <w:r w:rsidR="00D81837" w:rsidRPr="0018095C">
        <w:rPr>
          <w:rFonts w:cstheme="minorHAnsi"/>
          <w:i/>
          <w:iCs/>
          <w:color w:val="000000"/>
        </w:rPr>
        <w:t>European View</w:t>
      </w:r>
      <w:r w:rsidR="00D81837" w:rsidRPr="0018095C">
        <w:rPr>
          <w:rFonts w:cstheme="minorHAnsi"/>
          <w:color w:val="000000"/>
        </w:rPr>
        <w:t xml:space="preserve"> 17(2), 217.  </w:t>
      </w:r>
    </w:p>
  </w:footnote>
  <w:footnote w:id="47">
    <w:p w14:paraId="442EC2DA" w14:textId="18607B82" w:rsidR="00036C4A" w:rsidRPr="0018095C" w:rsidRDefault="00036C4A" w:rsidP="00681F3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Personal communication from a UGTT health sector official; see also </w:t>
      </w:r>
      <w:r w:rsidR="000B2AC8">
        <w:rPr>
          <w:rFonts w:cstheme="minorHAnsi"/>
          <w:sz w:val="22"/>
          <w:szCs w:val="22"/>
        </w:rPr>
        <w:t>AFP, ‘Tunisian Healthcare Workers Strike to Demand Reforms’</w:t>
      </w:r>
      <w:r w:rsidR="00255B39">
        <w:rPr>
          <w:rFonts w:cstheme="minorHAnsi"/>
          <w:sz w:val="22"/>
          <w:szCs w:val="22"/>
        </w:rPr>
        <w:t>,</w:t>
      </w:r>
      <w:r w:rsidR="000B2AC8">
        <w:rPr>
          <w:rFonts w:cstheme="minorHAnsi"/>
          <w:sz w:val="22"/>
          <w:szCs w:val="22"/>
        </w:rPr>
        <w:t xml:space="preserve"> </w:t>
      </w:r>
      <w:r w:rsidR="000B2AC8">
        <w:rPr>
          <w:rFonts w:cstheme="minorHAnsi"/>
          <w:i/>
          <w:iCs/>
          <w:sz w:val="22"/>
          <w:szCs w:val="22"/>
        </w:rPr>
        <w:t xml:space="preserve">Mail Online </w:t>
      </w:r>
      <w:r w:rsidR="00255B39">
        <w:rPr>
          <w:rFonts w:cstheme="minorHAnsi"/>
          <w:sz w:val="22"/>
          <w:szCs w:val="22"/>
        </w:rPr>
        <w:t>(</w:t>
      </w:r>
      <w:r w:rsidR="000B2AC8">
        <w:rPr>
          <w:rFonts w:cstheme="minorHAnsi"/>
          <w:sz w:val="22"/>
          <w:szCs w:val="22"/>
        </w:rPr>
        <w:t>18 June 2020</w:t>
      </w:r>
      <w:r w:rsidR="00255B39">
        <w:rPr>
          <w:rFonts w:cstheme="minorHAnsi"/>
          <w:sz w:val="22"/>
          <w:szCs w:val="22"/>
        </w:rPr>
        <w:t>)</w:t>
      </w:r>
      <w:r w:rsidR="009957CB">
        <w:rPr>
          <w:rFonts w:cstheme="minorHAnsi"/>
          <w:sz w:val="22"/>
          <w:szCs w:val="22"/>
        </w:rPr>
        <w:t>,</w:t>
      </w:r>
      <w:r w:rsidR="000B2AC8">
        <w:rPr>
          <w:rFonts w:cstheme="minorHAnsi"/>
          <w:sz w:val="22"/>
          <w:szCs w:val="22"/>
        </w:rPr>
        <w:t xml:space="preserve"> </w:t>
      </w:r>
      <w:hyperlink r:id="rId12" w:history="1">
        <w:r w:rsidR="000B2AC8" w:rsidRPr="0031007B">
          <w:rPr>
            <w:rStyle w:val="Hyperlink"/>
            <w:rFonts w:cstheme="minorHAnsi"/>
            <w:sz w:val="22"/>
            <w:szCs w:val="22"/>
          </w:rPr>
          <w:t>https://www.dailymail.co.uk/wires/afp/article-8437151/Tunisian-healthcare-workers-strike-demand-reforms.html</w:t>
        </w:r>
      </w:hyperlink>
      <w:r w:rsidRPr="0018095C">
        <w:rPr>
          <w:rFonts w:cstheme="minorHAnsi"/>
          <w:sz w:val="22"/>
          <w:szCs w:val="22"/>
        </w:rPr>
        <w:t xml:space="preserve">.  </w:t>
      </w:r>
    </w:p>
  </w:footnote>
  <w:footnote w:id="48">
    <w:p w14:paraId="1ED1F6C0" w14:textId="2B559631" w:rsidR="00836165" w:rsidRPr="0018095C" w:rsidRDefault="00836165" w:rsidP="00681F3A">
      <w:pPr>
        <w:spacing w:after="0" w:line="240" w:lineRule="auto"/>
        <w:rPr>
          <w:rFonts w:cstheme="minorHAnsi"/>
          <w:iCs/>
        </w:rPr>
      </w:pPr>
      <w:r w:rsidRPr="0018095C">
        <w:rPr>
          <w:rStyle w:val="FootnoteReference"/>
          <w:rFonts w:cstheme="minorHAnsi"/>
        </w:rPr>
        <w:footnoteRef/>
      </w:r>
      <w:r w:rsidRPr="0018095C">
        <w:rPr>
          <w:rFonts w:cstheme="minorHAnsi"/>
        </w:rPr>
        <w:t xml:space="preserve"> </w:t>
      </w:r>
      <w:r w:rsidR="004B2D14" w:rsidRPr="0018095C">
        <w:rPr>
          <w:rFonts w:eastAsia="Times New Roman" w:cstheme="minorHAnsi"/>
          <w:color w:val="000000"/>
        </w:rPr>
        <w:t>Details are in</w:t>
      </w:r>
      <w:r w:rsidR="00255B39">
        <w:rPr>
          <w:rFonts w:eastAsia="Times New Roman" w:cstheme="minorHAnsi"/>
          <w:color w:val="000000"/>
        </w:rPr>
        <w:t xml:space="preserve"> </w:t>
      </w:r>
      <w:r w:rsidR="00542DCE" w:rsidRPr="0018095C">
        <w:rPr>
          <w:rFonts w:eastAsia="Times New Roman" w:cstheme="minorHAnsi"/>
          <w:color w:val="000000"/>
        </w:rPr>
        <w:t>Moghadam</w:t>
      </w:r>
      <w:r w:rsidR="006A7632" w:rsidRPr="0018095C">
        <w:rPr>
          <w:rFonts w:eastAsia="Times New Roman" w:cstheme="minorHAnsi"/>
          <w:color w:val="000000"/>
        </w:rPr>
        <w:t xml:space="preserve">, </w:t>
      </w:r>
      <w:r w:rsidR="00F65066">
        <w:rPr>
          <w:rFonts w:cstheme="minorHAnsi"/>
          <w:iCs/>
        </w:rPr>
        <w:t xml:space="preserve">above n 33. </w:t>
      </w:r>
    </w:p>
  </w:footnote>
  <w:footnote w:id="49">
    <w:p w14:paraId="1BCAC0C3" w14:textId="08BD365C" w:rsidR="007067B0" w:rsidRPr="0018095C" w:rsidRDefault="007067B0"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AE6B55">
        <w:rPr>
          <w:rFonts w:cstheme="minorHAnsi"/>
        </w:rPr>
        <w:t>European Commission, ‘Tunisia</w:t>
      </w:r>
      <w:r w:rsidR="00F65066">
        <w:rPr>
          <w:rFonts w:cstheme="minorHAnsi"/>
        </w:rPr>
        <w:t>: Latest News</w:t>
      </w:r>
      <w:r w:rsidR="00AE6B55">
        <w:rPr>
          <w:rFonts w:cstheme="minorHAnsi"/>
        </w:rPr>
        <w:t xml:space="preserve">’, </w:t>
      </w:r>
      <w:hyperlink r:id="rId13" w:history="1">
        <w:r w:rsidR="00AE6B55" w:rsidRPr="0072561B">
          <w:rPr>
            <w:rStyle w:val="Hyperlink"/>
            <w:rFonts w:cstheme="minorHAnsi"/>
            <w:color w:val="auto"/>
            <w:u w:val="none"/>
          </w:rPr>
          <w:t>https://ec.europa.eu/neighbourhood-enlargement/european-neighbourhood-policy/countries-region/tunisia_en</w:t>
        </w:r>
      </w:hyperlink>
      <w:r w:rsidR="00AE6B55" w:rsidRPr="0072561B">
        <w:rPr>
          <w:rFonts w:cstheme="minorHAnsi"/>
        </w:rPr>
        <w:t>.</w:t>
      </w:r>
      <w:r w:rsidRPr="0018095C">
        <w:rPr>
          <w:rFonts w:cstheme="minorHAnsi"/>
          <w:color w:val="404040"/>
        </w:rPr>
        <w:t xml:space="preserve">   </w:t>
      </w:r>
    </w:p>
  </w:footnote>
  <w:footnote w:id="50">
    <w:p w14:paraId="65B8E62D" w14:textId="3CB18B31" w:rsidR="00845893" w:rsidRPr="00F65066" w:rsidRDefault="00845893">
      <w:pPr>
        <w:pStyle w:val="FootnoteText"/>
        <w:rPr>
          <w:sz w:val="22"/>
          <w:szCs w:val="22"/>
        </w:rPr>
      </w:pPr>
      <w:r>
        <w:rPr>
          <w:rStyle w:val="FootnoteReference"/>
        </w:rPr>
        <w:footnoteRef/>
      </w:r>
      <w:r>
        <w:t xml:space="preserve"> </w:t>
      </w:r>
      <w:r w:rsidRPr="00F65066">
        <w:rPr>
          <w:sz w:val="22"/>
          <w:szCs w:val="22"/>
        </w:rPr>
        <w:t xml:space="preserve">See European Commission, </w:t>
      </w:r>
      <w:r w:rsidR="00F65066">
        <w:rPr>
          <w:sz w:val="22"/>
          <w:szCs w:val="22"/>
        </w:rPr>
        <w:t>‘</w:t>
      </w:r>
      <w:r w:rsidRPr="00F65066">
        <w:rPr>
          <w:sz w:val="22"/>
          <w:szCs w:val="22"/>
        </w:rPr>
        <w:t>EU Solidarity with Ukraine – Timeline</w:t>
      </w:r>
      <w:r w:rsidR="00F65066">
        <w:rPr>
          <w:sz w:val="22"/>
          <w:szCs w:val="22"/>
        </w:rPr>
        <w:t>’:</w:t>
      </w:r>
      <w:r w:rsidRPr="00F65066">
        <w:rPr>
          <w:sz w:val="22"/>
          <w:szCs w:val="22"/>
        </w:rPr>
        <w:t xml:space="preserve"> </w:t>
      </w:r>
      <w:hyperlink r:id="rId14" w:history="1">
        <w:r w:rsidRPr="00F65066">
          <w:rPr>
            <w:rStyle w:val="Hyperlink"/>
            <w:sz w:val="22"/>
            <w:szCs w:val="22"/>
          </w:rPr>
          <w:t>https://commission.europa.eu/topics/eu-solidarity-ukraine/eu-solidarity-ukraine-timeline_en</w:t>
        </w:r>
      </w:hyperlink>
      <w:r w:rsidRPr="00F65066">
        <w:rPr>
          <w:sz w:val="22"/>
          <w:szCs w:val="22"/>
        </w:rPr>
        <w:t>.</w:t>
      </w:r>
    </w:p>
  </w:footnote>
  <w:footnote w:id="51">
    <w:p w14:paraId="4C51C591" w14:textId="644DD13A" w:rsidR="007067B0" w:rsidRPr="00F65066" w:rsidRDefault="007067B0" w:rsidP="00681F3A">
      <w:pPr>
        <w:spacing w:after="0" w:line="240" w:lineRule="auto"/>
        <w:rPr>
          <w:rFonts w:cstheme="minorHAnsi"/>
          <w:color w:val="32353A"/>
        </w:rPr>
      </w:pPr>
      <w:r w:rsidRPr="00F65066">
        <w:rPr>
          <w:rStyle w:val="FootnoteReference"/>
          <w:rFonts w:cstheme="minorHAnsi"/>
        </w:rPr>
        <w:footnoteRef/>
      </w:r>
      <w:r w:rsidR="00F65066" w:rsidRPr="00F65066">
        <w:rPr>
          <w:rFonts w:cstheme="minorHAnsi"/>
          <w:color w:val="32353A"/>
        </w:rPr>
        <w:t xml:space="preserve">C </w:t>
      </w:r>
      <w:proofErr w:type="spellStart"/>
      <w:r w:rsidR="00F65066" w:rsidRPr="00F65066">
        <w:rPr>
          <w:rFonts w:cstheme="minorHAnsi"/>
          <w:color w:val="32353A"/>
        </w:rPr>
        <w:t>Koromi</w:t>
      </w:r>
      <w:proofErr w:type="spellEnd"/>
      <w:r w:rsidR="00F65066" w:rsidRPr="00F65066">
        <w:rPr>
          <w:rFonts w:cstheme="minorHAnsi"/>
          <w:color w:val="32353A"/>
        </w:rPr>
        <w:t xml:space="preserve"> and G Sorgi, ‘Von der Leyen announces €35B EU loan for Ukraine</w:t>
      </w:r>
      <w:r w:rsidR="00F65066">
        <w:rPr>
          <w:rFonts w:cstheme="minorHAnsi"/>
          <w:color w:val="32353A"/>
        </w:rPr>
        <w:t xml:space="preserve">’, </w:t>
      </w:r>
      <w:r w:rsidR="00845893" w:rsidRPr="00F65066">
        <w:rPr>
          <w:rFonts w:cstheme="minorHAnsi"/>
          <w:i/>
          <w:iCs/>
          <w:color w:val="32353A"/>
        </w:rPr>
        <w:t>Politico</w:t>
      </w:r>
      <w:r w:rsidR="00845893" w:rsidRPr="00F65066">
        <w:rPr>
          <w:rFonts w:cstheme="minorHAnsi"/>
          <w:color w:val="32353A"/>
        </w:rPr>
        <w:t xml:space="preserve"> </w:t>
      </w:r>
      <w:r w:rsidR="00F65066">
        <w:rPr>
          <w:rFonts w:cstheme="minorHAnsi"/>
          <w:color w:val="32353A"/>
        </w:rPr>
        <w:t>(</w:t>
      </w:r>
      <w:r w:rsidR="00845893" w:rsidRPr="00F65066">
        <w:rPr>
          <w:rFonts w:cstheme="minorHAnsi"/>
          <w:color w:val="32353A"/>
        </w:rPr>
        <w:t>20</w:t>
      </w:r>
      <w:r w:rsidR="00F65066">
        <w:rPr>
          <w:rFonts w:cstheme="minorHAnsi"/>
          <w:color w:val="32353A"/>
        </w:rPr>
        <w:t xml:space="preserve"> September</w:t>
      </w:r>
      <w:r w:rsidR="00845893" w:rsidRPr="00F65066">
        <w:rPr>
          <w:rFonts w:cstheme="minorHAnsi"/>
          <w:color w:val="32353A"/>
        </w:rPr>
        <w:t xml:space="preserve"> 2024</w:t>
      </w:r>
      <w:r w:rsidR="00F65066">
        <w:rPr>
          <w:rFonts w:cstheme="minorHAnsi"/>
          <w:color w:val="32353A"/>
        </w:rPr>
        <w:t>)</w:t>
      </w:r>
      <w:r w:rsidR="009957CB">
        <w:rPr>
          <w:rFonts w:cstheme="minorHAnsi"/>
          <w:color w:val="32353A"/>
        </w:rPr>
        <w:t>,</w:t>
      </w:r>
      <w:r w:rsidR="00845893" w:rsidRPr="00F65066">
        <w:rPr>
          <w:rFonts w:cstheme="minorHAnsi"/>
          <w:color w:val="32353A"/>
        </w:rPr>
        <w:t xml:space="preserve"> </w:t>
      </w:r>
      <w:hyperlink r:id="rId15" w:history="1">
        <w:r w:rsidR="00845893" w:rsidRPr="00F65066">
          <w:rPr>
            <w:rStyle w:val="Hyperlink"/>
            <w:rFonts w:cstheme="minorHAnsi"/>
          </w:rPr>
          <w:t>https://www.politico.eu/article/ursula-von-der-leyen-announce-e35-billion-eu-loan-ukraine/</w:t>
        </w:r>
      </w:hyperlink>
      <w:r w:rsidR="00845893" w:rsidRPr="00F65066">
        <w:rPr>
          <w:rFonts w:cstheme="minorHAnsi"/>
          <w:color w:val="32353A"/>
        </w:rPr>
        <w:t xml:space="preserve">. </w:t>
      </w:r>
    </w:p>
  </w:footnote>
  <w:footnote w:id="52">
    <w:p w14:paraId="6A18C57F" w14:textId="0D17A4E3" w:rsidR="002E12BF" w:rsidRPr="0018095C" w:rsidRDefault="002E12BF" w:rsidP="00681F3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002F3D52" w:rsidRPr="0018095C">
        <w:rPr>
          <w:rFonts w:cstheme="minorHAnsi"/>
          <w:sz w:val="22"/>
          <w:szCs w:val="22"/>
        </w:rPr>
        <w:t xml:space="preserve">L O’Carroll, ‘EU may give Tunisia more than 1bn euros in aid to help finances and stem migration’, </w:t>
      </w:r>
      <w:r w:rsidR="002F3D52" w:rsidRPr="00F65066">
        <w:rPr>
          <w:rFonts w:cstheme="minorHAnsi"/>
          <w:i/>
          <w:iCs/>
          <w:sz w:val="22"/>
          <w:szCs w:val="22"/>
        </w:rPr>
        <w:t xml:space="preserve">The </w:t>
      </w:r>
      <w:r w:rsidR="0080122B" w:rsidRPr="00F65066">
        <w:rPr>
          <w:rFonts w:cstheme="minorHAnsi"/>
          <w:i/>
          <w:iCs/>
          <w:sz w:val="22"/>
          <w:szCs w:val="22"/>
        </w:rPr>
        <w:t>G</w:t>
      </w:r>
      <w:r w:rsidR="002F3D52" w:rsidRPr="00F65066">
        <w:rPr>
          <w:rFonts w:cstheme="minorHAnsi"/>
          <w:i/>
          <w:iCs/>
          <w:sz w:val="22"/>
          <w:szCs w:val="22"/>
        </w:rPr>
        <w:t>uardian</w:t>
      </w:r>
      <w:r w:rsidR="002F3D52" w:rsidRPr="0072561B">
        <w:rPr>
          <w:rFonts w:cstheme="minorHAnsi"/>
          <w:sz w:val="22"/>
          <w:szCs w:val="22"/>
        </w:rPr>
        <w:t xml:space="preserve"> </w:t>
      </w:r>
      <w:r w:rsidR="002F3D52" w:rsidRPr="00F65066">
        <w:rPr>
          <w:rFonts w:cstheme="minorHAnsi"/>
          <w:sz w:val="22"/>
          <w:szCs w:val="22"/>
        </w:rPr>
        <w:t>(11 June 2023)</w:t>
      </w:r>
      <w:r w:rsidR="009957CB">
        <w:rPr>
          <w:rFonts w:cstheme="minorHAnsi"/>
          <w:sz w:val="22"/>
          <w:szCs w:val="22"/>
        </w:rPr>
        <w:t>,</w:t>
      </w:r>
      <w:r w:rsidR="002F3D52" w:rsidRPr="0072561B">
        <w:rPr>
          <w:rFonts w:cstheme="minorHAnsi"/>
          <w:i/>
          <w:iCs/>
          <w:sz w:val="22"/>
          <w:szCs w:val="22"/>
        </w:rPr>
        <w:t xml:space="preserve"> </w:t>
      </w:r>
      <w:hyperlink r:id="rId16" w:history="1">
        <w:r w:rsidR="002F3D52" w:rsidRPr="0072561B">
          <w:rPr>
            <w:rStyle w:val="Hyperlink"/>
            <w:rFonts w:cstheme="minorHAnsi"/>
            <w:color w:val="auto"/>
            <w:sz w:val="22"/>
            <w:szCs w:val="22"/>
            <w:u w:val="none"/>
          </w:rPr>
          <w:t>https://www.theguardian.com/world/2023/jun/11/tunisia-president-kais-saied-migration-europe-border-guard-comments-imf-bailout</w:t>
        </w:r>
      </w:hyperlink>
      <w:r w:rsidR="002F3D52" w:rsidRPr="0018095C">
        <w:rPr>
          <w:rFonts w:cstheme="minorHAnsi"/>
          <w:sz w:val="22"/>
          <w:szCs w:val="22"/>
        </w:rPr>
        <w:t>.</w:t>
      </w:r>
      <w:r w:rsidR="009957CB">
        <w:rPr>
          <w:rFonts w:cstheme="minorHAnsi"/>
          <w:sz w:val="22"/>
          <w:szCs w:val="22"/>
        </w:rPr>
        <w:t xml:space="preserve"> </w:t>
      </w:r>
    </w:p>
  </w:footnote>
  <w:footnote w:id="53">
    <w:p w14:paraId="77923548" w14:textId="6F0C6A6D" w:rsidR="00337BF0" w:rsidRPr="0018095C" w:rsidRDefault="00337BF0" w:rsidP="00681F3A">
      <w:pPr>
        <w:pStyle w:val="BodyTextIndent2"/>
        <w:spacing w:after="0" w:line="240" w:lineRule="auto"/>
        <w:ind w:left="0"/>
        <w:rPr>
          <w:rFonts w:cstheme="minorHAnsi"/>
        </w:rPr>
      </w:pPr>
      <w:r w:rsidRPr="0018095C">
        <w:rPr>
          <w:rStyle w:val="FootnoteReference"/>
          <w:rFonts w:cstheme="minorHAnsi"/>
        </w:rPr>
        <w:footnoteRef/>
      </w:r>
      <w:r w:rsidRPr="0018095C">
        <w:rPr>
          <w:rFonts w:cstheme="minorHAnsi"/>
        </w:rPr>
        <w:t xml:space="preserve"> </w:t>
      </w:r>
      <w:r w:rsidR="00BF1BBE" w:rsidRPr="0018095C">
        <w:rPr>
          <w:rFonts w:cstheme="minorHAnsi"/>
        </w:rPr>
        <w:t xml:space="preserve">J Rehman, ‘Situation of </w:t>
      </w:r>
      <w:r w:rsidR="009957CB">
        <w:rPr>
          <w:rFonts w:cstheme="minorHAnsi"/>
        </w:rPr>
        <w:t>H</w:t>
      </w:r>
      <w:r w:rsidR="00BF1BBE" w:rsidRPr="0018095C">
        <w:rPr>
          <w:rFonts w:cstheme="minorHAnsi"/>
        </w:rPr>
        <w:t xml:space="preserve">uman </w:t>
      </w:r>
      <w:r w:rsidR="009957CB">
        <w:rPr>
          <w:rFonts w:cstheme="minorHAnsi"/>
        </w:rPr>
        <w:t>R</w:t>
      </w:r>
      <w:r w:rsidR="00BF1BBE" w:rsidRPr="0018095C">
        <w:rPr>
          <w:rFonts w:cstheme="minorHAnsi"/>
        </w:rPr>
        <w:t>ights in the Islamic Republic of Iran</w:t>
      </w:r>
      <w:r w:rsidR="009957CB">
        <w:rPr>
          <w:rFonts w:cstheme="minorHAnsi"/>
        </w:rPr>
        <w:t>:</w:t>
      </w:r>
      <w:r w:rsidR="00BF1BBE" w:rsidRPr="0018095C">
        <w:rPr>
          <w:rFonts w:cstheme="minorHAnsi"/>
        </w:rPr>
        <w:t xml:space="preserve"> Report of the Special Rapporteur on the </w:t>
      </w:r>
      <w:r w:rsidR="009957CB">
        <w:rPr>
          <w:rFonts w:cstheme="minorHAnsi"/>
        </w:rPr>
        <w:t>S</w:t>
      </w:r>
      <w:r w:rsidR="00BF1BBE" w:rsidRPr="0018095C">
        <w:rPr>
          <w:rFonts w:cstheme="minorHAnsi"/>
        </w:rPr>
        <w:t xml:space="preserve">ituation of </w:t>
      </w:r>
      <w:r w:rsidR="009957CB">
        <w:rPr>
          <w:rFonts w:cstheme="minorHAnsi"/>
        </w:rPr>
        <w:t>H</w:t>
      </w:r>
      <w:r w:rsidR="00BF1BBE" w:rsidRPr="0018095C">
        <w:rPr>
          <w:rFonts w:cstheme="minorHAnsi"/>
        </w:rPr>
        <w:t xml:space="preserve">uman </w:t>
      </w:r>
      <w:r w:rsidR="009957CB">
        <w:rPr>
          <w:rFonts w:cstheme="minorHAnsi"/>
        </w:rPr>
        <w:t>R</w:t>
      </w:r>
      <w:r w:rsidR="00BF1BBE" w:rsidRPr="0018095C">
        <w:rPr>
          <w:rFonts w:cstheme="minorHAnsi"/>
        </w:rPr>
        <w:t>ights in the Islamic Republic of Iran, Javaid Rehman’</w:t>
      </w:r>
      <w:r w:rsidR="00F65066" w:rsidRPr="00F65066">
        <w:rPr>
          <w:rFonts w:cstheme="minorHAnsi"/>
          <w:i/>
          <w:iCs/>
        </w:rPr>
        <w:t>,</w:t>
      </w:r>
      <w:r w:rsidR="00BF1BBE" w:rsidRPr="00F65066">
        <w:rPr>
          <w:rFonts w:cstheme="minorHAnsi"/>
          <w:i/>
          <w:iCs/>
        </w:rPr>
        <w:t xml:space="preserve"> UN Human Rights Council</w:t>
      </w:r>
      <w:r w:rsidR="00F65066">
        <w:rPr>
          <w:rFonts w:cstheme="minorHAnsi"/>
        </w:rPr>
        <w:t xml:space="preserve"> (2021)</w:t>
      </w:r>
      <w:r w:rsidR="009957CB">
        <w:rPr>
          <w:rFonts w:cstheme="minorHAnsi"/>
        </w:rPr>
        <w:t>,</w:t>
      </w:r>
      <w:r w:rsidR="00F65066">
        <w:rPr>
          <w:rFonts w:cstheme="minorHAnsi"/>
        </w:rPr>
        <w:t xml:space="preserve"> </w:t>
      </w:r>
      <w:hyperlink r:id="rId17" w:history="1">
        <w:r w:rsidR="00F65066" w:rsidRPr="0031007B">
          <w:rPr>
            <w:rStyle w:val="Hyperlink"/>
            <w:rFonts w:cstheme="minorHAnsi"/>
          </w:rPr>
          <w:t>https://digitallibrary.un.org/record/3899852?v=pdf</w:t>
        </w:r>
      </w:hyperlink>
      <w:r w:rsidR="00F65066">
        <w:rPr>
          <w:rFonts w:cstheme="minorHAnsi"/>
        </w:rPr>
        <w:t xml:space="preserve">. </w:t>
      </w:r>
    </w:p>
  </w:footnote>
  <w:footnote w:id="54">
    <w:p w14:paraId="7EC9D60A" w14:textId="31D773D8" w:rsidR="00337BF0" w:rsidRPr="0018095C" w:rsidRDefault="00337BF0"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BF1BBE" w:rsidRPr="0018095C">
        <w:rPr>
          <w:rFonts w:cstheme="minorHAnsi"/>
        </w:rPr>
        <w:t>The sentence draws on</w:t>
      </w:r>
      <w:r w:rsidR="00F65066">
        <w:rPr>
          <w:rFonts w:cstheme="minorHAnsi"/>
        </w:rPr>
        <w:t xml:space="preserve"> </w:t>
      </w:r>
      <w:r w:rsidR="00BF1BBE" w:rsidRPr="0018095C">
        <w:rPr>
          <w:rFonts w:cstheme="minorHAnsi"/>
          <w:bCs/>
        </w:rPr>
        <w:t xml:space="preserve">M </w:t>
      </w:r>
      <w:proofErr w:type="spellStart"/>
      <w:r w:rsidR="00BF1BBE" w:rsidRPr="0018095C">
        <w:rPr>
          <w:rFonts w:cstheme="minorHAnsi"/>
          <w:bCs/>
        </w:rPr>
        <w:t>Aloosh</w:t>
      </w:r>
      <w:proofErr w:type="spellEnd"/>
      <w:r w:rsidR="00BF1BBE" w:rsidRPr="0018095C">
        <w:rPr>
          <w:rFonts w:cstheme="minorHAnsi"/>
          <w:bCs/>
        </w:rPr>
        <w:t>,</w:t>
      </w:r>
      <w:r w:rsidR="00651367" w:rsidRPr="0018095C">
        <w:rPr>
          <w:rFonts w:cstheme="minorHAnsi"/>
          <w:bCs/>
        </w:rPr>
        <w:t xml:space="preserve"> </w:t>
      </w:r>
      <w:r w:rsidR="00BF1BBE" w:rsidRPr="0018095C">
        <w:rPr>
          <w:rFonts w:cstheme="minorHAnsi"/>
          <w:bCs/>
        </w:rPr>
        <w:t>‘How Economic Sanctions Compromise Cancer Care in Iran’ [2018]</w:t>
      </w:r>
      <w:r w:rsidR="00AE6B55">
        <w:rPr>
          <w:rFonts w:cstheme="minorHAnsi"/>
          <w:bCs/>
        </w:rPr>
        <w:t>,</w:t>
      </w:r>
      <w:r w:rsidR="00BF1BBE" w:rsidRPr="0018095C">
        <w:rPr>
          <w:rFonts w:cstheme="minorHAnsi"/>
          <w:bCs/>
        </w:rPr>
        <w:t xml:space="preserve"> </w:t>
      </w:r>
      <w:r w:rsidR="00BF1BBE" w:rsidRPr="0018095C">
        <w:rPr>
          <w:rFonts w:cstheme="minorHAnsi"/>
          <w:bCs/>
          <w:i/>
          <w:iCs/>
        </w:rPr>
        <w:t xml:space="preserve">The Lancet, </w:t>
      </w:r>
      <w:r w:rsidR="00BF1BBE" w:rsidRPr="0018095C">
        <w:rPr>
          <w:rFonts w:cstheme="minorHAnsi"/>
          <w:bCs/>
        </w:rPr>
        <w:t xml:space="preserve">19(7); O </w:t>
      </w:r>
      <w:proofErr w:type="spellStart"/>
      <w:r w:rsidR="00BF1BBE" w:rsidRPr="0018095C">
        <w:rPr>
          <w:rFonts w:cstheme="minorHAnsi"/>
          <w:bCs/>
        </w:rPr>
        <w:t>Behrouzan</w:t>
      </w:r>
      <w:proofErr w:type="spellEnd"/>
      <w:r w:rsidR="00BF1BBE" w:rsidRPr="0018095C">
        <w:rPr>
          <w:rFonts w:cstheme="minorHAnsi"/>
          <w:bCs/>
        </w:rPr>
        <w:t xml:space="preserve"> and T Sepehri Far ‘Iran Under Sanctions: The Impact of Sanctions on Medical Education in Iran’ [2020]</w:t>
      </w:r>
      <w:r w:rsidR="00AE6B55">
        <w:rPr>
          <w:rFonts w:cstheme="minorHAnsi"/>
          <w:bCs/>
        </w:rPr>
        <w:t>,</w:t>
      </w:r>
      <w:r w:rsidR="00BF1BBE" w:rsidRPr="0018095C">
        <w:rPr>
          <w:rFonts w:cstheme="minorHAnsi"/>
          <w:bCs/>
        </w:rPr>
        <w:t xml:space="preserve"> </w:t>
      </w:r>
      <w:r w:rsidR="00BF1BBE" w:rsidRPr="00F65066">
        <w:rPr>
          <w:rFonts w:cstheme="minorHAnsi"/>
          <w:i/>
          <w:iCs/>
        </w:rPr>
        <w:t xml:space="preserve">SAIS </w:t>
      </w:r>
      <w:r w:rsidR="00A12164">
        <w:rPr>
          <w:rFonts w:cstheme="minorHAnsi"/>
          <w:i/>
          <w:iCs/>
        </w:rPr>
        <w:t>r</w:t>
      </w:r>
      <w:r w:rsidR="00BF1BBE" w:rsidRPr="00F65066">
        <w:rPr>
          <w:rFonts w:cstheme="minorHAnsi"/>
          <w:i/>
          <w:iCs/>
        </w:rPr>
        <w:t>eports on Rethinking Iran</w:t>
      </w:r>
      <w:r w:rsidR="00AE6B55">
        <w:rPr>
          <w:rFonts w:cstheme="minorHAnsi"/>
          <w:i/>
          <w:iCs/>
        </w:rPr>
        <w:t>,</w:t>
      </w:r>
      <w:r w:rsidR="00BF1BBE" w:rsidRPr="0018095C">
        <w:rPr>
          <w:rFonts w:cstheme="minorHAnsi"/>
          <w:i/>
          <w:iCs/>
        </w:rPr>
        <w:t xml:space="preserve"> </w:t>
      </w:r>
      <w:hyperlink r:id="rId18" w:history="1">
        <w:r w:rsidR="00C917B0" w:rsidRPr="00012FB4">
          <w:rPr>
            <w:rStyle w:val="Hyperlink"/>
            <w:rFonts w:cstheme="minorHAnsi"/>
          </w:rPr>
          <w:t>https://www.rethinkingiran.com/iran-under-sanctions</w:t>
        </w:r>
      </w:hyperlink>
      <w:r w:rsidR="00BF1BBE" w:rsidRPr="0018095C">
        <w:rPr>
          <w:rFonts w:cstheme="minorHAnsi"/>
        </w:rPr>
        <w:t>; K Harris, ‘Iran Under Sanctions: Iran’s Government Expenditure Priorities and Social Policy Burdens During Sanctions’ [2020]</w:t>
      </w:r>
      <w:r w:rsidR="00AE6B55">
        <w:rPr>
          <w:rFonts w:cstheme="minorHAnsi"/>
        </w:rPr>
        <w:t>,</w:t>
      </w:r>
      <w:r w:rsidR="00BF1BBE" w:rsidRPr="0018095C">
        <w:rPr>
          <w:rFonts w:cstheme="minorHAnsi"/>
        </w:rPr>
        <w:t xml:space="preserve"> </w:t>
      </w:r>
      <w:r w:rsidR="00BF1BBE" w:rsidRPr="00F65066">
        <w:rPr>
          <w:rFonts w:cstheme="minorHAnsi"/>
          <w:i/>
          <w:iCs/>
        </w:rPr>
        <w:t>SAIS reports on</w:t>
      </w:r>
      <w:r w:rsidR="00BF1BBE" w:rsidRPr="0018095C">
        <w:rPr>
          <w:rFonts w:cstheme="minorHAnsi"/>
        </w:rPr>
        <w:t xml:space="preserve"> </w:t>
      </w:r>
      <w:r w:rsidR="00BF1BBE" w:rsidRPr="0018095C">
        <w:rPr>
          <w:rFonts w:cstheme="minorHAnsi"/>
          <w:i/>
          <w:iCs/>
        </w:rPr>
        <w:t>Rethinking Iran</w:t>
      </w:r>
      <w:r w:rsidR="00C25C43" w:rsidRPr="0018095C">
        <w:rPr>
          <w:rFonts w:cstheme="minorHAnsi"/>
          <w:i/>
          <w:iCs/>
        </w:rPr>
        <w:t>: Iran Under Sanctions,</w:t>
      </w:r>
      <w:r w:rsidR="00BF1BBE" w:rsidRPr="0018095C">
        <w:rPr>
          <w:rFonts w:cstheme="minorHAnsi"/>
          <w:i/>
          <w:iCs/>
        </w:rPr>
        <w:t xml:space="preserve"> </w:t>
      </w:r>
      <w:hyperlink r:id="rId19" w:history="1">
        <w:r w:rsidR="00C25C43" w:rsidRPr="0072561B">
          <w:rPr>
            <w:rStyle w:val="Hyperlink"/>
            <w:rFonts w:cstheme="minorHAnsi"/>
            <w:color w:val="auto"/>
            <w:u w:val="none"/>
          </w:rPr>
          <w:t>https://www.rethinkingiran.com/iran-under-sanctions</w:t>
        </w:r>
      </w:hyperlink>
      <w:r w:rsidR="00C25C43" w:rsidRPr="0018095C">
        <w:rPr>
          <w:rFonts w:cstheme="minorHAnsi"/>
        </w:rPr>
        <w:t>.</w:t>
      </w:r>
      <w:r w:rsidR="00A12164">
        <w:rPr>
          <w:rFonts w:cstheme="minorHAnsi"/>
        </w:rPr>
        <w:t xml:space="preserve"> </w:t>
      </w:r>
    </w:p>
  </w:footnote>
  <w:footnote w:id="55">
    <w:p w14:paraId="4955123E" w14:textId="57035F77" w:rsidR="004631ED" w:rsidRPr="00F65066" w:rsidRDefault="004631ED">
      <w:pPr>
        <w:pStyle w:val="FootnoteText"/>
        <w:rPr>
          <w:sz w:val="22"/>
          <w:szCs w:val="22"/>
        </w:rPr>
      </w:pPr>
      <w:r w:rsidRPr="00F65066">
        <w:rPr>
          <w:rStyle w:val="FootnoteReference"/>
          <w:sz w:val="22"/>
          <w:szCs w:val="22"/>
        </w:rPr>
        <w:footnoteRef/>
      </w:r>
      <w:r w:rsidR="000F1966" w:rsidRPr="00F65066">
        <w:rPr>
          <w:rFonts w:cstheme="minorHAnsi"/>
          <w:sz w:val="22"/>
          <w:szCs w:val="22"/>
        </w:rPr>
        <w:t xml:space="preserve"> Z Hemati, S Jahanfar, and M </w:t>
      </w:r>
      <w:proofErr w:type="spellStart"/>
      <w:r w:rsidR="000F1966" w:rsidRPr="00F65066">
        <w:rPr>
          <w:rFonts w:cstheme="minorHAnsi"/>
          <w:sz w:val="22"/>
          <w:szCs w:val="22"/>
        </w:rPr>
        <w:t>Keikha</w:t>
      </w:r>
      <w:proofErr w:type="spellEnd"/>
      <w:r w:rsidR="000F1966" w:rsidRPr="00F65066">
        <w:rPr>
          <w:rFonts w:cstheme="minorHAnsi"/>
          <w:sz w:val="22"/>
          <w:szCs w:val="22"/>
        </w:rPr>
        <w:t>, ‘COVID-19, Sanction</w:t>
      </w:r>
      <w:r w:rsidR="00C917B0">
        <w:rPr>
          <w:rFonts w:cstheme="minorHAnsi"/>
          <w:sz w:val="22"/>
          <w:szCs w:val="22"/>
        </w:rPr>
        <w:t>s</w:t>
      </w:r>
      <w:r w:rsidR="000F1966" w:rsidRPr="00F65066">
        <w:rPr>
          <w:rFonts w:cstheme="minorHAnsi"/>
          <w:sz w:val="22"/>
          <w:szCs w:val="22"/>
        </w:rPr>
        <w:t xml:space="preserve">, and Importance of </w:t>
      </w:r>
      <w:proofErr w:type="spellStart"/>
      <w:r w:rsidR="000F1966" w:rsidRPr="00F65066">
        <w:rPr>
          <w:rFonts w:cstheme="minorHAnsi"/>
          <w:sz w:val="22"/>
          <w:szCs w:val="22"/>
        </w:rPr>
        <w:t>Scientometric</w:t>
      </w:r>
      <w:proofErr w:type="spellEnd"/>
      <w:r w:rsidR="000F1966" w:rsidRPr="00F65066">
        <w:rPr>
          <w:rFonts w:cstheme="minorHAnsi"/>
          <w:sz w:val="22"/>
          <w:szCs w:val="22"/>
        </w:rPr>
        <w:t xml:space="preserve"> and Systematic Review Studies in Iran’, </w:t>
      </w:r>
      <w:r w:rsidR="000F1966" w:rsidRPr="00F65066">
        <w:rPr>
          <w:rFonts w:cstheme="minorHAnsi"/>
          <w:i/>
          <w:iCs/>
          <w:sz w:val="22"/>
          <w:szCs w:val="22"/>
        </w:rPr>
        <w:t>International Journal of Preventative Medicine</w:t>
      </w:r>
      <w:r w:rsidR="000F1966" w:rsidRPr="00F65066">
        <w:rPr>
          <w:rFonts w:cstheme="minorHAnsi"/>
          <w:sz w:val="22"/>
          <w:szCs w:val="22"/>
        </w:rPr>
        <w:t xml:space="preserve"> </w:t>
      </w:r>
      <w:r w:rsidR="00F65066">
        <w:rPr>
          <w:rFonts w:cstheme="minorHAnsi"/>
          <w:sz w:val="22"/>
          <w:szCs w:val="22"/>
        </w:rPr>
        <w:t xml:space="preserve">[2022], </w:t>
      </w:r>
      <w:r w:rsidR="000F1966" w:rsidRPr="00F65066">
        <w:rPr>
          <w:rFonts w:cstheme="minorHAnsi"/>
          <w:sz w:val="22"/>
          <w:szCs w:val="22"/>
        </w:rPr>
        <w:t>13</w:t>
      </w:r>
      <w:r w:rsidR="00F65066">
        <w:rPr>
          <w:rFonts w:cstheme="minorHAnsi"/>
          <w:sz w:val="22"/>
          <w:szCs w:val="22"/>
        </w:rPr>
        <w:t>,</w:t>
      </w:r>
      <w:r w:rsidR="000F1966" w:rsidRPr="00F65066">
        <w:rPr>
          <w:rFonts w:cstheme="minorHAnsi"/>
          <w:sz w:val="22"/>
          <w:szCs w:val="22"/>
        </w:rPr>
        <w:t xml:space="preserve"> 127</w:t>
      </w:r>
      <w:r w:rsidR="00B42ADC" w:rsidRPr="00F65066">
        <w:rPr>
          <w:rFonts w:cstheme="minorHAnsi"/>
          <w:sz w:val="22"/>
          <w:szCs w:val="22"/>
        </w:rPr>
        <w:t xml:space="preserve">; see also </w:t>
      </w:r>
      <w:r w:rsidR="000F1966" w:rsidRPr="00F65066">
        <w:rPr>
          <w:rFonts w:cstheme="minorHAnsi"/>
          <w:sz w:val="22"/>
          <w:szCs w:val="22"/>
        </w:rPr>
        <w:t xml:space="preserve">A Abdoli, ‘Iran, </w:t>
      </w:r>
      <w:r w:rsidR="00C917B0">
        <w:rPr>
          <w:rFonts w:cstheme="minorHAnsi"/>
          <w:sz w:val="22"/>
          <w:szCs w:val="22"/>
        </w:rPr>
        <w:t>S</w:t>
      </w:r>
      <w:r w:rsidR="000F1966" w:rsidRPr="00F65066">
        <w:rPr>
          <w:rFonts w:cstheme="minorHAnsi"/>
          <w:sz w:val="22"/>
          <w:szCs w:val="22"/>
        </w:rPr>
        <w:t>anctions, and the COVID-19</w:t>
      </w:r>
      <w:r w:rsidR="00C917B0">
        <w:rPr>
          <w:rFonts w:cstheme="minorHAnsi"/>
          <w:sz w:val="22"/>
          <w:szCs w:val="22"/>
        </w:rPr>
        <w:t xml:space="preserve"> C</w:t>
      </w:r>
      <w:r w:rsidR="000F1966" w:rsidRPr="00F65066">
        <w:rPr>
          <w:rFonts w:cstheme="minorHAnsi"/>
          <w:sz w:val="22"/>
          <w:szCs w:val="22"/>
        </w:rPr>
        <w:t>risis’, </w:t>
      </w:r>
      <w:r w:rsidR="000F1966" w:rsidRPr="00F65066">
        <w:rPr>
          <w:rFonts w:cstheme="minorHAnsi"/>
          <w:i/>
          <w:iCs/>
          <w:sz w:val="22"/>
          <w:szCs w:val="22"/>
        </w:rPr>
        <w:t>Journal of Medical Economics</w:t>
      </w:r>
      <w:r w:rsidR="000F1966" w:rsidRPr="00F65066">
        <w:rPr>
          <w:rFonts w:cstheme="minorHAnsi"/>
          <w:sz w:val="22"/>
          <w:szCs w:val="22"/>
        </w:rPr>
        <w:t> </w:t>
      </w:r>
      <w:r w:rsidR="00F65066">
        <w:rPr>
          <w:rFonts w:cstheme="minorHAnsi"/>
          <w:sz w:val="22"/>
          <w:szCs w:val="22"/>
        </w:rPr>
        <w:t>[2020]</w:t>
      </w:r>
      <w:r w:rsidR="00C917B0">
        <w:rPr>
          <w:rFonts w:cstheme="minorHAnsi"/>
          <w:sz w:val="22"/>
          <w:szCs w:val="22"/>
        </w:rPr>
        <w:t>,</w:t>
      </w:r>
      <w:r w:rsidR="00F65066">
        <w:rPr>
          <w:rFonts w:cstheme="minorHAnsi"/>
          <w:sz w:val="22"/>
          <w:szCs w:val="22"/>
        </w:rPr>
        <w:t xml:space="preserve"> </w:t>
      </w:r>
      <w:r w:rsidR="000F1966" w:rsidRPr="00F65066">
        <w:rPr>
          <w:rFonts w:cstheme="minorHAnsi"/>
          <w:sz w:val="22"/>
          <w:szCs w:val="22"/>
        </w:rPr>
        <w:t>23(12)</w:t>
      </w:r>
      <w:r w:rsidR="00C917B0">
        <w:rPr>
          <w:rFonts w:cstheme="minorHAnsi"/>
          <w:sz w:val="22"/>
          <w:szCs w:val="22"/>
        </w:rPr>
        <w:t>,</w:t>
      </w:r>
      <w:r w:rsidR="000F1966" w:rsidRPr="00F65066">
        <w:rPr>
          <w:rFonts w:cstheme="minorHAnsi"/>
          <w:sz w:val="22"/>
          <w:szCs w:val="22"/>
        </w:rPr>
        <w:t xml:space="preserve"> 1461–1465.</w:t>
      </w:r>
    </w:p>
  </w:footnote>
  <w:footnote w:id="56">
    <w:p w14:paraId="4CFFB4A7" w14:textId="78D60F8B" w:rsidR="004D3A5C" w:rsidRPr="0018095C" w:rsidRDefault="004D3A5C" w:rsidP="00681F3A">
      <w:pPr>
        <w:spacing w:after="0" w:line="240" w:lineRule="auto"/>
        <w:rPr>
          <w:rFonts w:cstheme="minorHAnsi"/>
        </w:rPr>
      </w:pPr>
      <w:r w:rsidRPr="0018095C">
        <w:rPr>
          <w:rStyle w:val="FootnoteReference"/>
          <w:rFonts w:cstheme="minorHAnsi"/>
        </w:rPr>
        <w:footnoteRef/>
      </w:r>
      <w:r w:rsidRPr="0018095C">
        <w:rPr>
          <w:rFonts w:cstheme="minorHAnsi"/>
        </w:rPr>
        <w:t xml:space="preserve"> </w:t>
      </w:r>
      <w:r w:rsidR="009D1049" w:rsidRPr="0072561B">
        <w:rPr>
          <w:rFonts w:cstheme="minorHAnsi"/>
          <w:bCs/>
        </w:rPr>
        <w:t>D</w:t>
      </w:r>
      <w:r w:rsidR="009D1049" w:rsidRPr="0018095C">
        <w:rPr>
          <w:rFonts w:cstheme="minorHAnsi"/>
          <w:bCs/>
        </w:rPr>
        <w:t xml:space="preserve"> Salehi-Isfahani, ‘Iran: The Double Jeopardy of Sanctions and COVID-19’, </w:t>
      </w:r>
      <w:r w:rsidR="009D1049" w:rsidRPr="0018095C">
        <w:rPr>
          <w:rFonts w:cstheme="minorHAnsi"/>
          <w:bCs/>
          <w:i/>
          <w:iCs/>
        </w:rPr>
        <w:t xml:space="preserve">Brookings </w:t>
      </w:r>
      <w:r w:rsidR="009D1049" w:rsidRPr="0018095C">
        <w:rPr>
          <w:rFonts w:cstheme="minorHAnsi"/>
          <w:bCs/>
        </w:rPr>
        <w:t xml:space="preserve">Op-ed (23 September 2020), </w:t>
      </w:r>
      <w:hyperlink r:id="rId20" w:history="1">
        <w:r w:rsidR="00C25C43" w:rsidRPr="0072561B">
          <w:rPr>
            <w:rStyle w:val="Hyperlink"/>
            <w:rFonts w:cstheme="minorHAnsi"/>
            <w:bCs/>
            <w:color w:val="auto"/>
            <w:u w:val="none"/>
          </w:rPr>
          <w:t>https://www.brookings.edu/opinions/iran-the-double-jeopardy-of-sanctions-and-covid-19/</w:t>
        </w:r>
      </w:hyperlink>
      <w:r w:rsidR="009D1049" w:rsidRPr="0018095C">
        <w:rPr>
          <w:rFonts w:cstheme="minorHAnsi"/>
          <w:bCs/>
        </w:rPr>
        <w:t>; see also Abdoli</w:t>
      </w:r>
      <w:r w:rsidR="00127E75">
        <w:rPr>
          <w:rFonts w:cstheme="minorHAnsi"/>
          <w:bCs/>
        </w:rPr>
        <w:t>, ibid.</w:t>
      </w:r>
    </w:p>
  </w:footnote>
  <w:footnote w:id="57">
    <w:p w14:paraId="06F76F3F" w14:textId="16B79D41" w:rsidR="004D3A5C" w:rsidRPr="0018095C" w:rsidRDefault="004D3A5C" w:rsidP="00681F3A">
      <w:pPr>
        <w:pStyle w:val="ListParagraph"/>
        <w:spacing w:after="0" w:line="240" w:lineRule="auto"/>
        <w:ind w:left="-57" w:right="-57"/>
        <w:rPr>
          <w:rFonts w:cstheme="minorHAnsi"/>
        </w:rPr>
      </w:pPr>
      <w:r w:rsidRPr="0018095C">
        <w:rPr>
          <w:rStyle w:val="FootnoteReference"/>
          <w:rFonts w:cstheme="minorHAnsi"/>
        </w:rPr>
        <w:footnoteRef/>
      </w:r>
      <w:r w:rsidRPr="0018095C">
        <w:rPr>
          <w:rFonts w:cstheme="minorHAnsi"/>
        </w:rPr>
        <w:t xml:space="preserve"> </w:t>
      </w:r>
      <w:r w:rsidR="00A216BD" w:rsidRPr="0018095C">
        <w:rPr>
          <w:rFonts w:cstheme="minorHAnsi"/>
          <w:bCs/>
        </w:rPr>
        <w:t xml:space="preserve">E </w:t>
      </w:r>
      <w:proofErr w:type="spellStart"/>
      <w:r w:rsidR="00A216BD" w:rsidRPr="0018095C">
        <w:rPr>
          <w:rFonts w:cstheme="minorHAnsi"/>
          <w:bCs/>
        </w:rPr>
        <w:t>Batmanghelidj</w:t>
      </w:r>
      <w:proofErr w:type="spellEnd"/>
      <w:r w:rsidR="00A216BD" w:rsidRPr="0018095C">
        <w:rPr>
          <w:rFonts w:cstheme="minorHAnsi"/>
          <w:bCs/>
        </w:rPr>
        <w:t>, ‘Explainer: Iran’s Frozen Assets’</w:t>
      </w:r>
      <w:r w:rsidR="00127E75">
        <w:rPr>
          <w:rFonts w:cstheme="minorHAnsi"/>
          <w:bCs/>
        </w:rPr>
        <w:t>,</w:t>
      </w:r>
      <w:r w:rsidR="00A216BD" w:rsidRPr="0018095C">
        <w:rPr>
          <w:rFonts w:cstheme="minorHAnsi"/>
          <w:bCs/>
        </w:rPr>
        <w:t xml:space="preserve"> </w:t>
      </w:r>
      <w:r w:rsidR="00A216BD" w:rsidRPr="00127E75">
        <w:rPr>
          <w:rFonts w:cstheme="minorHAnsi"/>
          <w:bCs/>
          <w:i/>
          <w:iCs/>
        </w:rPr>
        <w:t>U</w:t>
      </w:r>
      <w:r w:rsidR="00127E75">
        <w:rPr>
          <w:rFonts w:cstheme="minorHAnsi"/>
          <w:bCs/>
          <w:i/>
          <w:iCs/>
        </w:rPr>
        <w:t xml:space="preserve">nited </w:t>
      </w:r>
      <w:r w:rsidR="00A216BD" w:rsidRPr="00127E75">
        <w:rPr>
          <w:rFonts w:cstheme="minorHAnsi"/>
          <w:bCs/>
          <w:i/>
          <w:iCs/>
        </w:rPr>
        <w:t>S</w:t>
      </w:r>
      <w:r w:rsidR="00127E75">
        <w:rPr>
          <w:rFonts w:cstheme="minorHAnsi"/>
          <w:bCs/>
          <w:i/>
          <w:iCs/>
        </w:rPr>
        <w:t xml:space="preserve">tates </w:t>
      </w:r>
      <w:r w:rsidR="00A216BD" w:rsidRPr="00127E75">
        <w:rPr>
          <w:rFonts w:cstheme="minorHAnsi"/>
          <w:bCs/>
          <w:i/>
          <w:iCs/>
        </w:rPr>
        <w:t>I</w:t>
      </w:r>
      <w:r w:rsidR="00127E75">
        <w:rPr>
          <w:rFonts w:cstheme="minorHAnsi"/>
          <w:bCs/>
          <w:i/>
          <w:iCs/>
        </w:rPr>
        <w:t xml:space="preserve">nstitute of </w:t>
      </w:r>
      <w:r w:rsidR="00A216BD" w:rsidRPr="00127E75">
        <w:rPr>
          <w:rFonts w:cstheme="minorHAnsi"/>
          <w:bCs/>
          <w:i/>
          <w:iCs/>
        </w:rPr>
        <w:t>P</w:t>
      </w:r>
      <w:r w:rsidR="00127E75">
        <w:rPr>
          <w:rFonts w:cstheme="minorHAnsi"/>
          <w:bCs/>
          <w:i/>
          <w:iCs/>
        </w:rPr>
        <w:t>eace: The Iran Primer</w:t>
      </w:r>
      <w:r w:rsidR="00127E75">
        <w:rPr>
          <w:rFonts w:cstheme="minorHAnsi"/>
          <w:bCs/>
        </w:rPr>
        <w:t xml:space="preserve"> (1 November 2021):</w:t>
      </w:r>
      <w:r w:rsidR="00A216BD" w:rsidRPr="0018095C">
        <w:rPr>
          <w:rFonts w:cstheme="minorHAnsi"/>
          <w:bCs/>
        </w:rPr>
        <w:t xml:space="preserve"> </w:t>
      </w:r>
      <w:hyperlink r:id="rId21" w:history="1">
        <w:r w:rsidR="00AD216E" w:rsidRPr="006465F1">
          <w:rPr>
            <w:rStyle w:val="Hyperlink"/>
            <w:rFonts w:cstheme="minorHAnsi"/>
            <w:bCs/>
            <w:color w:val="auto"/>
          </w:rPr>
          <w:t>https://iranprimer.com/blog/2021/nov/01/explainer-iran%E2%80%99s-frozen-assets</w:t>
        </w:r>
      </w:hyperlink>
      <w:r w:rsidR="00C25C43" w:rsidRPr="006465F1">
        <w:rPr>
          <w:rFonts w:cstheme="minorHAnsi"/>
          <w:bCs/>
        </w:rPr>
        <w:t>.</w:t>
      </w:r>
    </w:p>
  </w:footnote>
  <w:footnote w:id="58">
    <w:p w14:paraId="37814730" w14:textId="5FFA758C" w:rsidR="004874B5" w:rsidRPr="0018095C" w:rsidRDefault="004874B5" w:rsidP="00681F3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w:t>
      </w:r>
      <w:r w:rsidR="00922B29" w:rsidRPr="0018095C">
        <w:rPr>
          <w:rFonts w:cstheme="minorHAnsi"/>
          <w:sz w:val="22"/>
          <w:szCs w:val="22"/>
        </w:rPr>
        <w:t xml:space="preserve">I Talley, </w:t>
      </w:r>
      <w:r w:rsidR="00127E75">
        <w:rPr>
          <w:rFonts w:cstheme="minorHAnsi"/>
          <w:sz w:val="22"/>
          <w:szCs w:val="22"/>
        </w:rPr>
        <w:t>‘</w:t>
      </w:r>
      <w:r w:rsidR="00922B29" w:rsidRPr="0018095C">
        <w:rPr>
          <w:rFonts w:cstheme="minorHAnsi"/>
          <w:sz w:val="22"/>
          <w:szCs w:val="22"/>
        </w:rPr>
        <w:t xml:space="preserve">U.S. to block Iran’s request to IMF for $5 billion loan to fight coronavirus’, </w:t>
      </w:r>
      <w:r w:rsidR="00922B29" w:rsidRPr="0018095C">
        <w:rPr>
          <w:rFonts w:cstheme="minorHAnsi"/>
          <w:i/>
          <w:iCs/>
          <w:sz w:val="22"/>
          <w:szCs w:val="22"/>
        </w:rPr>
        <w:t xml:space="preserve">Wall Street Journal </w:t>
      </w:r>
      <w:r w:rsidR="00922B29" w:rsidRPr="0018095C">
        <w:rPr>
          <w:rFonts w:cstheme="minorHAnsi"/>
          <w:sz w:val="22"/>
          <w:szCs w:val="22"/>
        </w:rPr>
        <w:t>(</w:t>
      </w:r>
      <w:r w:rsidR="00A5445C">
        <w:rPr>
          <w:rFonts w:cstheme="minorHAnsi"/>
          <w:sz w:val="22"/>
          <w:szCs w:val="22"/>
        </w:rPr>
        <w:t xml:space="preserve">7 </w:t>
      </w:r>
      <w:r w:rsidR="00922B29" w:rsidRPr="0018095C">
        <w:rPr>
          <w:rFonts w:cstheme="minorHAnsi"/>
          <w:sz w:val="22"/>
          <w:szCs w:val="22"/>
        </w:rPr>
        <w:t>April</w:t>
      </w:r>
      <w:r w:rsidR="00A5445C">
        <w:rPr>
          <w:rFonts w:cstheme="minorHAnsi"/>
          <w:sz w:val="22"/>
          <w:szCs w:val="22"/>
        </w:rPr>
        <w:t xml:space="preserve"> </w:t>
      </w:r>
      <w:r w:rsidR="00922B29" w:rsidRPr="0018095C">
        <w:rPr>
          <w:rFonts w:cstheme="minorHAnsi"/>
          <w:sz w:val="22"/>
          <w:szCs w:val="22"/>
        </w:rPr>
        <w:t>2020)</w:t>
      </w:r>
      <w:r w:rsidR="00127E75">
        <w:rPr>
          <w:rFonts w:cstheme="minorHAnsi"/>
          <w:sz w:val="22"/>
          <w:szCs w:val="22"/>
        </w:rPr>
        <w:t>:</w:t>
      </w:r>
      <w:r w:rsidR="00922B29" w:rsidRPr="0018095C">
        <w:rPr>
          <w:rFonts w:cstheme="minorHAnsi"/>
          <w:sz w:val="22"/>
          <w:szCs w:val="22"/>
        </w:rPr>
        <w:t xml:space="preserve"> </w:t>
      </w:r>
      <w:hyperlink r:id="rId22" w:history="1">
        <w:r w:rsidRPr="0072561B">
          <w:rPr>
            <w:rStyle w:val="Hyperlink"/>
            <w:rFonts w:cstheme="minorHAnsi"/>
            <w:color w:val="auto"/>
            <w:sz w:val="22"/>
            <w:szCs w:val="22"/>
            <w:u w:val="none"/>
          </w:rPr>
          <w:t>https://www.wsj.com/articles/u-s-to-block-irans-request-to-imf-for-5-billion-loan-to-fight-coronavirus-11586301732</w:t>
        </w:r>
      </w:hyperlink>
      <w:r w:rsidR="00C04A56" w:rsidRPr="0018095C">
        <w:rPr>
          <w:rFonts w:cstheme="minorHAnsi"/>
          <w:sz w:val="22"/>
          <w:szCs w:val="22"/>
        </w:rPr>
        <w:t>.</w:t>
      </w:r>
      <w:r w:rsidRPr="0018095C">
        <w:rPr>
          <w:rFonts w:cstheme="minorHAnsi"/>
          <w:sz w:val="22"/>
          <w:szCs w:val="22"/>
        </w:rPr>
        <w:t xml:space="preserve"> </w:t>
      </w:r>
    </w:p>
  </w:footnote>
  <w:footnote w:id="59">
    <w:p w14:paraId="7B14062B" w14:textId="310FD1E7" w:rsidR="0094734C" w:rsidRPr="0018095C" w:rsidRDefault="0094734C" w:rsidP="00681F3A">
      <w:pPr>
        <w:spacing w:after="0" w:line="240" w:lineRule="auto"/>
        <w:rPr>
          <w:rFonts w:eastAsia="Times New Roman" w:cstheme="minorHAnsi"/>
        </w:rPr>
      </w:pPr>
      <w:r w:rsidRPr="0018095C">
        <w:rPr>
          <w:rFonts w:cstheme="minorHAnsi"/>
          <w:vertAlign w:val="superscript"/>
        </w:rPr>
        <w:footnoteRef/>
      </w:r>
      <w:r w:rsidRPr="0072561B">
        <w:rPr>
          <w:rFonts w:eastAsia="Times New Roman" w:cstheme="minorHAnsi"/>
        </w:rPr>
        <w:t xml:space="preserve"> </w:t>
      </w:r>
      <w:r w:rsidR="00E454C8" w:rsidRPr="0072561B">
        <w:rPr>
          <w:rFonts w:eastAsia="Times New Roman" w:cstheme="minorHAnsi"/>
        </w:rPr>
        <w:t>World Bank, ‘Iranian Poverty Diagnostic: Poverty and Shared Prosperity’</w:t>
      </w:r>
      <w:r w:rsidR="00127E75">
        <w:rPr>
          <w:rFonts w:eastAsia="Times New Roman" w:cstheme="minorHAnsi"/>
        </w:rPr>
        <w:t xml:space="preserve">, </w:t>
      </w:r>
      <w:r w:rsidR="00E454C8" w:rsidRPr="00127E75">
        <w:rPr>
          <w:rFonts w:eastAsia="Times New Roman" w:cstheme="minorHAnsi"/>
          <w:i/>
          <w:iCs/>
        </w:rPr>
        <w:t>The World Bank</w:t>
      </w:r>
      <w:r w:rsidR="00127E75">
        <w:rPr>
          <w:rFonts w:eastAsia="Times New Roman" w:cstheme="minorHAnsi"/>
        </w:rPr>
        <w:t xml:space="preserve"> (</w:t>
      </w:r>
      <w:r w:rsidR="00E454C8" w:rsidRPr="0072561B">
        <w:rPr>
          <w:rFonts w:eastAsia="Times New Roman" w:cstheme="minorHAnsi"/>
        </w:rPr>
        <w:t>Nov</w:t>
      </w:r>
      <w:r w:rsidR="00127E75">
        <w:rPr>
          <w:rFonts w:eastAsia="Times New Roman" w:cstheme="minorHAnsi"/>
        </w:rPr>
        <w:t>ember</w:t>
      </w:r>
      <w:r w:rsidR="00E454C8" w:rsidRPr="0072561B">
        <w:rPr>
          <w:rFonts w:eastAsia="Times New Roman" w:cstheme="minorHAnsi"/>
        </w:rPr>
        <w:t xml:space="preserve"> 2023) 14</w:t>
      </w:r>
      <w:r w:rsidR="008A6F63">
        <w:rPr>
          <w:rFonts w:eastAsia="Times New Roman" w:cstheme="minorHAnsi"/>
        </w:rPr>
        <w:t>.</w:t>
      </w:r>
      <w:r w:rsidR="00E454C8" w:rsidRPr="0072561B">
        <w:rPr>
          <w:rFonts w:eastAsia="Times New Roman" w:cstheme="minorHAnsi"/>
        </w:rPr>
        <w:t xml:space="preserve"> </w:t>
      </w:r>
      <w:r w:rsidR="00922B29" w:rsidRPr="0072561B">
        <w:rPr>
          <w:rFonts w:eastAsia="Times New Roman" w:cstheme="minorHAnsi"/>
        </w:rPr>
        <w:t>See also ‘</w:t>
      </w:r>
      <w:r w:rsidRPr="0018095C">
        <w:rPr>
          <w:rFonts w:eastAsia="Times New Roman" w:cstheme="minorHAnsi"/>
        </w:rPr>
        <w:t>Iran Poverty Rate 19</w:t>
      </w:r>
      <w:r w:rsidR="00127E75">
        <w:rPr>
          <w:rFonts w:eastAsia="Times New Roman" w:cstheme="minorHAnsi"/>
        </w:rPr>
        <w:t>86</w:t>
      </w:r>
      <w:r w:rsidRPr="0018095C">
        <w:rPr>
          <w:rFonts w:eastAsia="Times New Roman" w:cstheme="minorHAnsi"/>
        </w:rPr>
        <w:t>-202</w:t>
      </w:r>
      <w:r w:rsidR="00922B29" w:rsidRPr="0018095C">
        <w:rPr>
          <w:rFonts w:eastAsia="Times New Roman" w:cstheme="minorHAnsi"/>
        </w:rPr>
        <w:t>4’</w:t>
      </w:r>
      <w:r w:rsidRPr="0018095C">
        <w:rPr>
          <w:rFonts w:eastAsia="Times New Roman" w:cstheme="minorHAnsi"/>
        </w:rPr>
        <w:t>,</w:t>
      </w:r>
      <w:r w:rsidR="00127E75">
        <w:rPr>
          <w:rFonts w:eastAsia="Times New Roman" w:cstheme="minorHAnsi"/>
        </w:rPr>
        <w:t xml:space="preserve"> </w:t>
      </w:r>
      <w:r w:rsidR="00127E75">
        <w:rPr>
          <w:rFonts w:eastAsia="Times New Roman" w:cstheme="minorHAnsi"/>
          <w:i/>
          <w:iCs/>
        </w:rPr>
        <w:t>macrotrends</w:t>
      </w:r>
      <w:r w:rsidR="00127E75">
        <w:rPr>
          <w:rFonts w:eastAsia="Times New Roman" w:cstheme="minorHAnsi"/>
        </w:rPr>
        <w:t>:</w:t>
      </w:r>
      <w:r w:rsidRPr="0018095C">
        <w:rPr>
          <w:rFonts w:eastAsia="Times New Roman" w:cstheme="minorHAnsi"/>
        </w:rPr>
        <w:t xml:space="preserve"> </w:t>
      </w:r>
      <w:hyperlink r:id="rId23">
        <w:r w:rsidRPr="0072561B">
          <w:rPr>
            <w:rFonts w:eastAsia="Times New Roman" w:cstheme="minorHAnsi"/>
          </w:rPr>
          <w:t>https://www.macrotrends.net/countries/IRN/iran/poverty-rate</w:t>
        </w:r>
      </w:hyperlink>
      <w:r w:rsidRPr="0018095C">
        <w:rPr>
          <w:rFonts w:eastAsia="Times New Roman" w:cstheme="minorHAnsi"/>
        </w:rPr>
        <w:t xml:space="preserve">. </w:t>
      </w:r>
    </w:p>
  </w:footnote>
  <w:footnote w:id="60">
    <w:p w14:paraId="143597EB" w14:textId="048EF49D" w:rsidR="0094734C" w:rsidRPr="00127E75" w:rsidRDefault="0094734C" w:rsidP="00681F3A">
      <w:pPr>
        <w:pStyle w:val="EndnoteText"/>
        <w:ind w:left="-57" w:right="-57"/>
        <w:rPr>
          <w:rFonts w:asciiTheme="minorHAnsi" w:hAnsiTheme="minorHAnsi" w:cstheme="minorHAnsi"/>
          <w:iCs/>
          <w:sz w:val="22"/>
          <w:szCs w:val="22"/>
        </w:rPr>
      </w:pPr>
      <w:r w:rsidRPr="0018095C">
        <w:rPr>
          <w:rStyle w:val="FootnoteReference"/>
          <w:rFonts w:asciiTheme="minorHAnsi" w:hAnsiTheme="minorHAnsi" w:cstheme="minorHAnsi"/>
          <w:sz w:val="22"/>
          <w:szCs w:val="22"/>
        </w:rPr>
        <w:footnoteRef/>
      </w:r>
      <w:r w:rsidRPr="0018095C">
        <w:rPr>
          <w:rFonts w:asciiTheme="minorHAnsi" w:hAnsiTheme="minorHAnsi" w:cstheme="minorHAnsi"/>
          <w:sz w:val="22"/>
          <w:szCs w:val="22"/>
        </w:rPr>
        <w:t xml:space="preserve"> A Moghaddasi-</w:t>
      </w:r>
      <w:proofErr w:type="spellStart"/>
      <w:r w:rsidRPr="0018095C">
        <w:rPr>
          <w:rFonts w:asciiTheme="minorHAnsi" w:hAnsiTheme="minorHAnsi" w:cstheme="minorHAnsi"/>
          <w:sz w:val="22"/>
          <w:szCs w:val="22"/>
        </w:rPr>
        <w:t>Kelishomi</w:t>
      </w:r>
      <w:proofErr w:type="spellEnd"/>
      <w:r w:rsidRPr="0018095C">
        <w:rPr>
          <w:rFonts w:asciiTheme="minorHAnsi" w:hAnsiTheme="minorHAnsi" w:cstheme="minorHAnsi"/>
          <w:sz w:val="22"/>
          <w:szCs w:val="22"/>
        </w:rPr>
        <w:t xml:space="preserve"> </w:t>
      </w:r>
      <w:r w:rsidR="008A6F63">
        <w:rPr>
          <w:rFonts w:asciiTheme="minorHAnsi" w:hAnsiTheme="minorHAnsi" w:cstheme="minorHAnsi"/>
          <w:sz w:val="22"/>
          <w:szCs w:val="22"/>
        </w:rPr>
        <w:t>and</w:t>
      </w:r>
      <w:r w:rsidRPr="0018095C">
        <w:rPr>
          <w:rFonts w:asciiTheme="minorHAnsi" w:hAnsiTheme="minorHAnsi" w:cstheme="minorHAnsi"/>
          <w:sz w:val="22"/>
          <w:szCs w:val="22"/>
        </w:rPr>
        <w:t xml:space="preserve"> R </w:t>
      </w:r>
      <w:proofErr w:type="spellStart"/>
      <w:r w:rsidRPr="0018095C">
        <w:rPr>
          <w:rFonts w:asciiTheme="minorHAnsi" w:hAnsiTheme="minorHAnsi" w:cstheme="minorHAnsi"/>
          <w:sz w:val="22"/>
          <w:szCs w:val="22"/>
        </w:rPr>
        <w:t>Nisticò</w:t>
      </w:r>
      <w:proofErr w:type="spellEnd"/>
      <w:r w:rsidRPr="0018095C">
        <w:rPr>
          <w:rFonts w:asciiTheme="minorHAnsi" w:hAnsiTheme="minorHAnsi" w:cstheme="minorHAnsi"/>
          <w:sz w:val="22"/>
          <w:szCs w:val="22"/>
        </w:rPr>
        <w:t>, ‘Employment Effects of Economic Sanctions in Iran’ [</w:t>
      </w:r>
      <w:r w:rsidR="00127E75">
        <w:rPr>
          <w:rFonts w:asciiTheme="minorHAnsi" w:hAnsiTheme="minorHAnsi" w:cstheme="minorHAnsi"/>
          <w:sz w:val="22"/>
          <w:szCs w:val="22"/>
        </w:rPr>
        <w:t xml:space="preserve">October </w:t>
      </w:r>
      <w:r w:rsidRPr="0018095C">
        <w:rPr>
          <w:rFonts w:asciiTheme="minorHAnsi" w:hAnsiTheme="minorHAnsi" w:cstheme="minorHAnsi"/>
          <w:sz w:val="22"/>
          <w:szCs w:val="22"/>
        </w:rPr>
        <w:t>202</w:t>
      </w:r>
      <w:r w:rsidR="00127E75">
        <w:rPr>
          <w:rFonts w:asciiTheme="minorHAnsi" w:hAnsiTheme="minorHAnsi" w:cstheme="minorHAnsi"/>
          <w:sz w:val="22"/>
          <w:szCs w:val="22"/>
        </w:rPr>
        <w:t>1</w:t>
      </w:r>
      <w:r w:rsidRPr="0018095C">
        <w:rPr>
          <w:rFonts w:asciiTheme="minorHAnsi" w:hAnsiTheme="minorHAnsi" w:cstheme="minorHAnsi"/>
          <w:sz w:val="22"/>
          <w:szCs w:val="22"/>
        </w:rPr>
        <w:t>]</w:t>
      </w:r>
      <w:r w:rsidR="008A6F63">
        <w:rPr>
          <w:rFonts w:asciiTheme="minorHAnsi" w:hAnsiTheme="minorHAnsi" w:cstheme="minorHAnsi"/>
          <w:sz w:val="22"/>
          <w:szCs w:val="22"/>
        </w:rPr>
        <w:t>,</w:t>
      </w:r>
      <w:r w:rsidRPr="0018095C">
        <w:rPr>
          <w:rFonts w:asciiTheme="minorHAnsi" w:hAnsiTheme="minorHAnsi" w:cstheme="minorHAnsi"/>
          <w:sz w:val="22"/>
          <w:szCs w:val="22"/>
        </w:rPr>
        <w:t xml:space="preserve"> </w:t>
      </w:r>
      <w:r w:rsidR="00127E75">
        <w:rPr>
          <w:rFonts w:asciiTheme="minorHAnsi" w:hAnsiTheme="minorHAnsi" w:cstheme="minorHAnsi"/>
          <w:i/>
          <w:sz w:val="22"/>
          <w:szCs w:val="22"/>
        </w:rPr>
        <w:t xml:space="preserve">Discussion Paper Series: Institute of Labour Economics </w:t>
      </w:r>
      <w:r w:rsidR="00127E75">
        <w:rPr>
          <w:rFonts w:asciiTheme="minorHAnsi" w:hAnsiTheme="minorHAnsi" w:cstheme="minorHAnsi"/>
          <w:iCs/>
          <w:sz w:val="22"/>
          <w:szCs w:val="22"/>
        </w:rPr>
        <w:t>(IZA DR No. 14814).</w:t>
      </w:r>
    </w:p>
  </w:footnote>
  <w:footnote w:id="61">
    <w:p w14:paraId="0BC1307C" w14:textId="326FDC48" w:rsidR="00076C4B" w:rsidRPr="006E2C9C" w:rsidRDefault="00076C4B">
      <w:pPr>
        <w:pStyle w:val="FootnoteText"/>
        <w:rPr>
          <w:lang w:val="en-GB"/>
        </w:rPr>
      </w:pPr>
      <w:r>
        <w:rPr>
          <w:rStyle w:val="FootnoteReference"/>
        </w:rPr>
        <w:footnoteRef/>
      </w:r>
      <w:r>
        <w:t xml:space="preserve"> </w:t>
      </w:r>
      <w:r w:rsidR="006E2C9C" w:rsidRPr="002F6A21">
        <w:rPr>
          <w:rFonts w:cstheme="minorHAnsi"/>
          <w:sz w:val="22"/>
          <w:szCs w:val="22"/>
        </w:rPr>
        <w:t xml:space="preserve">D Laudati and MH </w:t>
      </w:r>
      <w:proofErr w:type="spellStart"/>
      <w:r w:rsidR="006E2C9C" w:rsidRPr="002F6A21">
        <w:rPr>
          <w:rFonts w:cstheme="minorHAnsi"/>
          <w:sz w:val="22"/>
          <w:szCs w:val="22"/>
        </w:rPr>
        <w:t>Pesaran</w:t>
      </w:r>
      <w:proofErr w:type="spellEnd"/>
      <w:r w:rsidR="006E2C9C" w:rsidRPr="002F6A21">
        <w:rPr>
          <w:rFonts w:cstheme="minorHAnsi"/>
          <w:sz w:val="22"/>
          <w:szCs w:val="22"/>
        </w:rPr>
        <w:t xml:space="preserve">, ‘Identifying the </w:t>
      </w:r>
      <w:r w:rsidR="00922BD7">
        <w:rPr>
          <w:rFonts w:cstheme="minorHAnsi"/>
          <w:sz w:val="22"/>
          <w:szCs w:val="22"/>
        </w:rPr>
        <w:t>E</w:t>
      </w:r>
      <w:r w:rsidR="006E2C9C" w:rsidRPr="002F6A21">
        <w:rPr>
          <w:rFonts w:cstheme="minorHAnsi"/>
          <w:sz w:val="22"/>
          <w:szCs w:val="22"/>
        </w:rPr>
        <w:t xml:space="preserve">ffects of </w:t>
      </w:r>
      <w:r w:rsidR="00922BD7">
        <w:rPr>
          <w:rFonts w:cstheme="minorHAnsi"/>
          <w:sz w:val="22"/>
          <w:szCs w:val="22"/>
        </w:rPr>
        <w:t>S</w:t>
      </w:r>
      <w:r w:rsidR="006E2C9C" w:rsidRPr="002F6A21">
        <w:rPr>
          <w:rFonts w:cstheme="minorHAnsi"/>
          <w:sz w:val="22"/>
          <w:szCs w:val="22"/>
        </w:rPr>
        <w:t xml:space="preserve">anctions on the Iranian </w:t>
      </w:r>
      <w:r w:rsidR="00922BD7">
        <w:rPr>
          <w:rFonts w:cstheme="minorHAnsi"/>
          <w:sz w:val="22"/>
          <w:szCs w:val="22"/>
        </w:rPr>
        <w:t>E</w:t>
      </w:r>
      <w:r w:rsidR="006E2C9C" w:rsidRPr="002F6A21">
        <w:rPr>
          <w:rFonts w:cstheme="minorHAnsi"/>
          <w:sz w:val="22"/>
          <w:szCs w:val="22"/>
        </w:rPr>
        <w:t xml:space="preserve">conomy </w:t>
      </w:r>
      <w:r w:rsidR="00922BD7">
        <w:rPr>
          <w:rFonts w:cstheme="minorHAnsi"/>
          <w:sz w:val="22"/>
          <w:szCs w:val="22"/>
        </w:rPr>
        <w:t>U</w:t>
      </w:r>
      <w:r w:rsidR="006E2C9C" w:rsidRPr="002F6A21">
        <w:rPr>
          <w:rFonts w:cstheme="minorHAnsi"/>
          <w:sz w:val="22"/>
          <w:szCs w:val="22"/>
        </w:rPr>
        <w:t xml:space="preserve">sing </w:t>
      </w:r>
      <w:r w:rsidR="00922BD7">
        <w:rPr>
          <w:rFonts w:cstheme="minorHAnsi"/>
          <w:sz w:val="22"/>
          <w:szCs w:val="22"/>
        </w:rPr>
        <w:t>N</w:t>
      </w:r>
      <w:r w:rsidR="006E2C9C" w:rsidRPr="002F6A21">
        <w:rPr>
          <w:rFonts w:cstheme="minorHAnsi"/>
          <w:sz w:val="22"/>
          <w:szCs w:val="22"/>
        </w:rPr>
        <w:t xml:space="preserve">ewspaper </w:t>
      </w:r>
      <w:r w:rsidR="00922BD7">
        <w:rPr>
          <w:rFonts w:cstheme="minorHAnsi"/>
          <w:sz w:val="22"/>
          <w:szCs w:val="22"/>
        </w:rPr>
        <w:t>C</w:t>
      </w:r>
      <w:r w:rsidR="006E2C9C" w:rsidRPr="002F6A21">
        <w:rPr>
          <w:rFonts w:cstheme="minorHAnsi"/>
          <w:sz w:val="22"/>
          <w:szCs w:val="22"/>
        </w:rPr>
        <w:t>overage’ [</w:t>
      </w:r>
      <w:r w:rsidR="00127E75">
        <w:rPr>
          <w:rFonts w:cstheme="minorHAnsi"/>
          <w:sz w:val="22"/>
          <w:szCs w:val="22"/>
        </w:rPr>
        <w:t xml:space="preserve">August </w:t>
      </w:r>
      <w:r w:rsidR="006E2C9C" w:rsidRPr="002F6A21">
        <w:rPr>
          <w:rFonts w:cstheme="minorHAnsi"/>
          <w:sz w:val="22"/>
          <w:szCs w:val="22"/>
        </w:rPr>
        <w:t xml:space="preserve">2021], </w:t>
      </w:r>
      <w:proofErr w:type="spellStart"/>
      <w:r w:rsidR="006E2C9C" w:rsidRPr="002F6A21">
        <w:rPr>
          <w:rFonts w:cstheme="minorHAnsi"/>
          <w:sz w:val="22"/>
          <w:szCs w:val="22"/>
        </w:rPr>
        <w:t>CESifo</w:t>
      </w:r>
      <w:proofErr w:type="spellEnd"/>
      <w:r w:rsidR="006E2C9C" w:rsidRPr="002F6A21">
        <w:rPr>
          <w:rFonts w:cstheme="minorHAnsi"/>
          <w:sz w:val="22"/>
          <w:szCs w:val="22"/>
        </w:rPr>
        <w:t xml:space="preserve"> </w:t>
      </w:r>
      <w:r w:rsidR="00922BD7">
        <w:rPr>
          <w:rFonts w:cstheme="minorHAnsi"/>
          <w:sz w:val="22"/>
          <w:szCs w:val="22"/>
        </w:rPr>
        <w:t>W</w:t>
      </w:r>
      <w:r w:rsidR="006E2C9C" w:rsidRPr="002F6A21">
        <w:rPr>
          <w:rFonts w:cstheme="minorHAnsi"/>
          <w:sz w:val="22"/>
          <w:szCs w:val="22"/>
        </w:rPr>
        <w:t xml:space="preserve">orking </w:t>
      </w:r>
      <w:r w:rsidR="00922BD7">
        <w:rPr>
          <w:rFonts w:cstheme="minorHAnsi"/>
          <w:sz w:val="22"/>
          <w:szCs w:val="22"/>
        </w:rPr>
        <w:t>P</w:t>
      </w:r>
      <w:r w:rsidR="006E2C9C" w:rsidRPr="002F6A21">
        <w:rPr>
          <w:rFonts w:cstheme="minorHAnsi"/>
          <w:sz w:val="22"/>
          <w:szCs w:val="22"/>
        </w:rPr>
        <w:t>aper no. 9217</w:t>
      </w:r>
      <w:r w:rsidR="00127E75">
        <w:rPr>
          <w:rFonts w:cstheme="minorHAnsi"/>
          <w:sz w:val="22"/>
          <w:szCs w:val="22"/>
        </w:rPr>
        <w:t>.</w:t>
      </w:r>
    </w:p>
  </w:footnote>
  <w:footnote w:id="62">
    <w:p w14:paraId="43668CE8" w14:textId="53325355" w:rsidR="001F0572" w:rsidRPr="0018095C" w:rsidRDefault="001F0572" w:rsidP="00681F3A">
      <w:pPr>
        <w:spacing w:after="0" w:line="240" w:lineRule="auto"/>
        <w:ind w:left="-57" w:right="-57"/>
        <w:rPr>
          <w:rFonts w:cstheme="minorHAnsi"/>
        </w:rPr>
      </w:pPr>
      <w:r w:rsidRPr="0018095C">
        <w:rPr>
          <w:rStyle w:val="FootnoteReference"/>
          <w:rFonts w:cstheme="minorHAnsi"/>
        </w:rPr>
        <w:footnoteRef/>
      </w:r>
      <w:r w:rsidRPr="0018095C">
        <w:rPr>
          <w:rFonts w:cstheme="minorHAnsi"/>
        </w:rPr>
        <w:t xml:space="preserve"> F Demir </w:t>
      </w:r>
      <w:r w:rsidR="008A6F63">
        <w:rPr>
          <w:rFonts w:cstheme="minorHAnsi"/>
        </w:rPr>
        <w:t>and</w:t>
      </w:r>
      <w:r w:rsidRPr="0018095C">
        <w:rPr>
          <w:rFonts w:cstheme="minorHAnsi"/>
        </w:rPr>
        <w:t xml:space="preserve"> S </w:t>
      </w:r>
      <w:proofErr w:type="spellStart"/>
      <w:r w:rsidRPr="0018095C">
        <w:rPr>
          <w:rFonts w:cstheme="minorHAnsi"/>
        </w:rPr>
        <w:t>Tabrizy</w:t>
      </w:r>
      <w:proofErr w:type="spellEnd"/>
      <w:r w:rsidRPr="0018095C">
        <w:rPr>
          <w:rFonts w:cstheme="minorHAnsi"/>
        </w:rPr>
        <w:t xml:space="preserve">, ‘Gendered </w:t>
      </w:r>
      <w:r w:rsidR="00922BD7">
        <w:rPr>
          <w:rFonts w:cstheme="minorHAnsi"/>
        </w:rPr>
        <w:t>E</w:t>
      </w:r>
      <w:r w:rsidRPr="0018095C">
        <w:rPr>
          <w:rFonts w:cstheme="minorHAnsi"/>
        </w:rPr>
        <w:t xml:space="preserve">ffects of </w:t>
      </w:r>
      <w:r w:rsidR="00922BD7">
        <w:rPr>
          <w:rFonts w:cstheme="minorHAnsi"/>
        </w:rPr>
        <w:t>S</w:t>
      </w:r>
      <w:r w:rsidRPr="0018095C">
        <w:rPr>
          <w:rFonts w:cstheme="minorHAnsi"/>
        </w:rPr>
        <w:t xml:space="preserve">anctions on </w:t>
      </w:r>
      <w:r w:rsidR="00922BD7">
        <w:rPr>
          <w:rFonts w:cstheme="minorHAnsi"/>
        </w:rPr>
        <w:t>M</w:t>
      </w:r>
      <w:r w:rsidRPr="0018095C">
        <w:rPr>
          <w:rFonts w:cstheme="minorHAnsi"/>
        </w:rPr>
        <w:t xml:space="preserve">anufacturing </w:t>
      </w:r>
      <w:r w:rsidR="00922BD7">
        <w:rPr>
          <w:rFonts w:cstheme="minorHAnsi"/>
        </w:rPr>
        <w:t>E</w:t>
      </w:r>
      <w:r w:rsidRPr="0018095C">
        <w:rPr>
          <w:rFonts w:cstheme="minorHAnsi"/>
        </w:rPr>
        <w:t>mployment: Evidence from Iran’ [2022]</w:t>
      </w:r>
      <w:r w:rsidR="008A6F63">
        <w:rPr>
          <w:rFonts w:cstheme="minorHAnsi"/>
        </w:rPr>
        <w:t>,</w:t>
      </w:r>
      <w:r w:rsidRPr="0018095C">
        <w:rPr>
          <w:rFonts w:cstheme="minorHAnsi"/>
        </w:rPr>
        <w:t xml:space="preserve"> </w:t>
      </w:r>
      <w:r w:rsidRPr="0018095C">
        <w:rPr>
          <w:rFonts w:cstheme="minorHAnsi"/>
          <w:i/>
          <w:iCs/>
        </w:rPr>
        <w:t xml:space="preserve">Review of Development Economics, </w:t>
      </w:r>
      <w:r w:rsidR="00127E75">
        <w:rPr>
          <w:rFonts w:cstheme="minorHAnsi"/>
        </w:rPr>
        <w:t>26(4)</w:t>
      </w:r>
      <w:r w:rsidR="00922BD7">
        <w:rPr>
          <w:rFonts w:cstheme="minorHAnsi"/>
        </w:rPr>
        <w:t>,</w:t>
      </w:r>
      <w:r w:rsidR="00127E75">
        <w:rPr>
          <w:rFonts w:cstheme="minorHAnsi"/>
        </w:rPr>
        <w:t xml:space="preserve"> </w:t>
      </w:r>
      <w:r w:rsidRPr="0018095C">
        <w:rPr>
          <w:rFonts w:cstheme="minorHAnsi"/>
        </w:rPr>
        <w:t>1</w:t>
      </w:r>
      <w:r w:rsidR="00922BD7">
        <w:rPr>
          <w:rFonts w:cstheme="minorHAnsi"/>
        </w:rPr>
        <w:t>-</w:t>
      </w:r>
      <w:r w:rsidRPr="0018095C">
        <w:rPr>
          <w:rFonts w:cstheme="minorHAnsi"/>
        </w:rPr>
        <w:t xml:space="preserve">30. </w:t>
      </w:r>
      <w:r w:rsidR="00CB0085" w:rsidRPr="003B5579">
        <w:rPr>
          <w:rFonts w:cstheme="minorHAnsi"/>
        </w:rPr>
        <w:t xml:space="preserve">See also </w:t>
      </w:r>
      <w:r w:rsidR="00CB0085" w:rsidRPr="003B5579">
        <w:t>M Karshenas and VM Moghadam,</w:t>
      </w:r>
      <w:r w:rsidR="00CB0085" w:rsidRPr="003B5579">
        <w:rPr>
          <w:b/>
          <w:bCs/>
        </w:rPr>
        <w:t xml:space="preserve"> </w:t>
      </w:r>
      <w:r w:rsidR="00DB683F" w:rsidRPr="003B5579">
        <w:t>‘</w:t>
      </w:r>
      <w:r w:rsidR="00CB0085" w:rsidRPr="003B5579">
        <w:rPr>
          <w:rStyle w:val="Strong"/>
          <w:b w:val="0"/>
          <w:bCs w:val="0"/>
        </w:rPr>
        <w:t>What Explains Iran’s Low Female Labor Force Participation? Examining Institutions, Wages, and Sanctions</w:t>
      </w:r>
      <w:r w:rsidR="00CB0085" w:rsidRPr="003B5579">
        <w:rPr>
          <w:b/>
          <w:bCs/>
        </w:rPr>
        <w:t>’</w:t>
      </w:r>
      <w:r w:rsidR="000D4CA8" w:rsidRPr="003B5579">
        <w:rPr>
          <w:b/>
          <w:bCs/>
        </w:rPr>
        <w:t xml:space="preserve"> </w:t>
      </w:r>
      <w:r w:rsidR="000D4CA8" w:rsidRPr="003B5579">
        <w:t>[Dec 2024]</w:t>
      </w:r>
      <w:r w:rsidR="00CB0085" w:rsidRPr="003B5579">
        <w:t>,</w:t>
      </w:r>
      <w:r w:rsidR="00CB0085" w:rsidRPr="003B5579">
        <w:rPr>
          <w:b/>
          <w:bCs/>
        </w:rPr>
        <w:t xml:space="preserve"> </w:t>
      </w:r>
      <w:r w:rsidR="00CB0085" w:rsidRPr="003B5579">
        <w:rPr>
          <w:i/>
          <w:iCs/>
        </w:rPr>
        <w:t xml:space="preserve">Sociology of Development, </w:t>
      </w:r>
      <w:r w:rsidR="00CB0085" w:rsidRPr="003B5579">
        <w:t>10</w:t>
      </w:r>
      <w:r w:rsidR="00A2383D" w:rsidRPr="003B5579">
        <w:t>(</w:t>
      </w:r>
      <w:r w:rsidR="00CB0085" w:rsidRPr="003B5579">
        <w:t>4</w:t>
      </w:r>
      <w:r w:rsidR="00A2383D" w:rsidRPr="003B5579">
        <w:t>)</w:t>
      </w:r>
      <w:r w:rsidR="00BC7B6C" w:rsidRPr="003B5579">
        <w:rPr>
          <w:i/>
          <w:iCs/>
        </w:rPr>
        <w:t>,</w:t>
      </w:r>
      <w:r w:rsidR="00CB0085" w:rsidRPr="003B5579">
        <w:t xml:space="preserve"> 401-31</w:t>
      </w:r>
      <w:r w:rsidR="00CB0085">
        <w:rPr>
          <w:color w:val="323232"/>
        </w:rPr>
        <w:t>.</w:t>
      </w:r>
    </w:p>
  </w:footnote>
  <w:footnote w:id="63">
    <w:p w14:paraId="1FCF5DEB" w14:textId="401AD497" w:rsidR="003C1A7F" w:rsidRPr="0018095C" w:rsidRDefault="003C1A7F" w:rsidP="00681F3A">
      <w:pPr>
        <w:spacing w:after="0" w:line="240" w:lineRule="auto"/>
        <w:rPr>
          <w:rFonts w:cstheme="minorHAnsi"/>
        </w:rPr>
      </w:pPr>
      <w:r w:rsidRPr="0018095C">
        <w:rPr>
          <w:rStyle w:val="FootnoteReference"/>
          <w:rFonts w:cstheme="minorHAnsi"/>
        </w:rPr>
        <w:footnoteRef/>
      </w:r>
      <w:r w:rsidR="00922B29" w:rsidRPr="0018095C">
        <w:rPr>
          <w:rFonts w:cstheme="minorHAnsi"/>
        </w:rPr>
        <w:t xml:space="preserve"> Human Rights Watch, ‘Iran: Population Law Violates Women’s Rights’ (</w:t>
      </w:r>
      <w:r w:rsidR="00922BD7">
        <w:rPr>
          <w:rFonts w:cstheme="minorHAnsi"/>
        </w:rPr>
        <w:t xml:space="preserve">10 </w:t>
      </w:r>
      <w:r w:rsidR="00922B29" w:rsidRPr="0018095C">
        <w:rPr>
          <w:rFonts w:cstheme="minorHAnsi"/>
        </w:rPr>
        <w:t>Nov</w:t>
      </w:r>
      <w:r w:rsidR="00922BD7">
        <w:rPr>
          <w:rFonts w:cstheme="minorHAnsi"/>
        </w:rPr>
        <w:t>ember</w:t>
      </w:r>
      <w:r w:rsidR="00922B29" w:rsidRPr="0018095C">
        <w:rPr>
          <w:rFonts w:cstheme="minorHAnsi"/>
        </w:rPr>
        <w:t xml:space="preserve"> 2021), </w:t>
      </w:r>
      <w:r w:rsidRPr="0018095C">
        <w:rPr>
          <w:rFonts w:cstheme="minorHAnsi"/>
        </w:rPr>
        <w:t xml:space="preserve"> </w:t>
      </w:r>
      <w:hyperlink r:id="rId24" w:history="1">
        <w:r w:rsidRPr="0072561B">
          <w:rPr>
            <w:rStyle w:val="Hyperlink"/>
            <w:rFonts w:cstheme="minorHAnsi"/>
            <w:color w:val="auto"/>
            <w:u w:val="none"/>
          </w:rPr>
          <w:t>https://www.hrw.org/news/2021/11/10/iran-population-law-violates-womens-rights</w:t>
        </w:r>
      </w:hyperlink>
      <w:r w:rsidR="00484656" w:rsidRPr="0018095C">
        <w:rPr>
          <w:rFonts w:cstheme="minorHAnsi"/>
        </w:rPr>
        <w:t>.</w:t>
      </w:r>
    </w:p>
  </w:footnote>
  <w:footnote w:id="64">
    <w:p w14:paraId="03B47389" w14:textId="0580D270" w:rsidR="003C1A7F" w:rsidRPr="0018095C" w:rsidRDefault="003C1A7F" w:rsidP="00A8161A">
      <w:pPr>
        <w:pStyle w:val="FootnoteText"/>
        <w:rPr>
          <w:rFonts w:cstheme="minorHAnsi"/>
          <w:sz w:val="22"/>
          <w:szCs w:val="22"/>
        </w:rPr>
      </w:pPr>
      <w:r w:rsidRPr="0018095C">
        <w:rPr>
          <w:rStyle w:val="FootnoteReference"/>
          <w:rFonts w:cstheme="minorHAnsi"/>
          <w:sz w:val="22"/>
          <w:szCs w:val="22"/>
        </w:rPr>
        <w:footnoteRef/>
      </w:r>
      <w:r w:rsidRPr="0018095C">
        <w:rPr>
          <w:rFonts w:cstheme="minorHAnsi"/>
          <w:sz w:val="22"/>
          <w:szCs w:val="22"/>
        </w:rPr>
        <w:t xml:space="preserve"> Ibid.</w:t>
      </w:r>
    </w:p>
  </w:footnote>
  <w:footnote w:id="65">
    <w:p w14:paraId="2E4016BC" w14:textId="58AFCB50" w:rsidR="00127E75" w:rsidRDefault="00127E75" w:rsidP="00127E75">
      <w:pPr>
        <w:pStyle w:val="FootnoteText"/>
      </w:pPr>
      <w:r>
        <w:rPr>
          <w:rStyle w:val="FootnoteReference"/>
        </w:rPr>
        <w:footnoteRef/>
      </w:r>
      <w:r>
        <w:t xml:space="preserve"> </w:t>
      </w:r>
      <w:r w:rsidRPr="00127261">
        <w:rPr>
          <w:sz w:val="22"/>
          <w:szCs w:val="22"/>
        </w:rPr>
        <w:t>Rehman</w:t>
      </w:r>
      <w:r w:rsidR="00127261">
        <w:rPr>
          <w:sz w:val="22"/>
          <w:szCs w:val="22"/>
        </w:rPr>
        <w:t>, above n 52, 14.</w:t>
      </w:r>
    </w:p>
  </w:footnote>
  <w:footnote w:id="66">
    <w:p w14:paraId="21B9A274" w14:textId="0AD5232D" w:rsidR="009E1235" w:rsidRPr="0018095C" w:rsidRDefault="000A2370" w:rsidP="009E1235">
      <w:pPr>
        <w:rPr>
          <w:rFonts w:cstheme="minorHAnsi"/>
        </w:rPr>
      </w:pPr>
      <w:r w:rsidRPr="0018095C">
        <w:rPr>
          <w:rStyle w:val="FootnoteReference"/>
          <w:rFonts w:cstheme="minorHAnsi"/>
        </w:rPr>
        <w:footnoteRef/>
      </w:r>
      <w:r w:rsidRPr="0018095C">
        <w:rPr>
          <w:rFonts w:cstheme="minorHAnsi"/>
        </w:rPr>
        <w:t xml:space="preserve"> </w:t>
      </w:r>
      <w:r w:rsidR="00F86B4D" w:rsidRPr="0018095C">
        <w:rPr>
          <w:rFonts w:cstheme="minorHAnsi"/>
        </w:rPr>
        <w:t xml:space="preserve">See </w:t>
      </w:r>
      <w:r w:rsidR="00746C5A">
        <w:rPr>
          <w:rFonts w:cstheme="minorHAnsi"/>
        </w:rPr>
        <w:t>VM</w:t>
      </w:r>
      <w:r w:rsidR="00F86B4D" w:rsidRPr="0018095C">
        <w:rPr>
          <w:rFonts w:cstheme="minorHAnsi"/>
        </w:rPr>
        <w:t xml:space="preserve"> Moghadam</w:t>
      </w:r>
      <w:r w:rsidR="009E1235" w:rsidRPr="0018095C">
        <w:rPr>
          <w:rFonts w:cstheme="minorHAnsi"/>
        </w:rPr>
        <w:t>, ‘</w:t>
      </w:r>
      <w:r w:rsidR="009E1235" w:rsidRPr="0018095C">
        <w:rPr>
          <w:rFonts w:cstheme="minorHAnsi"/>
          <w:bCs/>
        </w:rPr>
        <w:t>The Gendered Politics of Iran-US Relations: Sanctions, the JCPOA, and Women’s Security’</w:t>
      </w:r>
      <w:r w:rsidR="000A1D42" w:rsidRPr="0018095C">
        <w:rPr>
          <w:rFonts w:cstheme="minorHAnsi"/>
          <w:bCs/>
        </w:rPr>
        <w:t xml:space="preserve"> [2024]</w:t>
      </w:r>
      <w:r w:rsidR="009E1235" w:rsidRPr="0018095C">
        <w:rPr>
          <w:rFonts w:cstheme="minorHAnsi"/>
          <w:bCs/>
        </w:rPr>
        <w:t xml:space="preserve">, </w:t>
      </w:r>
      <w:r w:rsidR="009E1235" w:rsidRPr="0018095C">
        <w:rPr>
          <w:rFonts w:cstheme="minorHAnsi"/>
          <w:bCs/>
          <w:i/>
          <w:iCs/>
        </w:rPr>
        <w:t xml:space="preserve">Third World Quarterly, </w:t>
      </w:r>
      <w:r w:rsidR="009E1235" w:rsidRPr="0018095C">
        <w:rPr>
          <w:rFonts w:cstheme="minorHAnsi"/>
          <w:bCs/>
        </w:rPr>
        <w:t>45</w:t>
      </w:r>
      <w:r w:rsidR="000A1D42" w:rsidRPr="0018095C">
        <w:rPr>
          <w:rFonts w:cstheme="minorHAnsi"/>
          <w:bCs/>
        </w:rPr>
        <w:t>(</w:t>
      </w:r>
      <w:r w:rsidR="009E1235" w:rsidRPr="0018095C">
        <w:rPr>
          <w:rFonts w:cstheme="minorHAnsi"/>
          <w:bCs/>
        </w:rPr>
        <w:t>7</w:t>
      </w:r>
      <w:r w:rsidR="000A1D42" w:rsidRPr="0018095C">
        <w:rPr>
          <w:rFonts w:cstheme="minorHAnsi"/>
          <w:bCs/>
        </w:rPr>
        <w:t>),</w:t>
      </w:r>
      <w:r w:rsidR="009E1235" w:rsidRPr="0018095C">
        <w:rPr>
          <w:rFonts w:cstheme="minorHAnsi"/>
          <w:bCs/>
        </w:rPr>
        <w:t xml:space="preserve"> 1199-1218</w:t>
      </w:r>
      <w:r w:rsidR="008A6F63">
        <w:rPr>
          <w:rFonts w:cstheme="minorHAnsi"/>
          <w:bCs/>
        </w:rPr>
        <w:t>.</w:t>
      </w:r>
      <w:r w:rsidR="009E1235" w:rsidRPr="0018095C">
        <w:rPr>
          <w:rFonts w:cstheme="minorHAnsi"/>
          <w:bCs/>
        </w:rPr>
        <w:t xml:space="preserve"> </w:t>
      </w:r>
    </w:p>
    <w:p w14:paraId="6999F276" w14:textId="77777777" w:rsidR="009E1235" w:rsidRPr="0018095C" w:rsidRDefault="009E1235" w:rsidP="009E1235">
      <w:pPr>
        <w:rPr>
          <w:rFonts w:cstheme="minorHAnsi"/>
          <w:bCs/>
        </w:rPr>
      </w:pPr>
    </w:p>
    <w:p w14:paraId="28DDEF39" w14:textId="51F78D28" w:rsidR="000A2370" w:rsidRPr="0072561B" w:rsidRDefault="000A2370">
      <w:pPr>
        <w:pStyle w:val="FootnoteText"/>
        <w:rPr>
          <w:rFonts w:cstheme="minorHAns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9B3A" w14:textId="06ED5B0F" w:rsidR="00BE4DAC" w:rsidRDefault="0029152A">
    <w:pPr>
      <w:pStyle w:val="Header"/>
    </w:pPr>
    <w:r>
      <w:t>Valentine M Moghadam</w:t>
    </w:r>
    <w:r w:rsidR="00D74014">
      <w:tab/>
    </w:r>
    <w:r w:rsidR="00D74014">
      <w:tab/>
      <w:t>Citizenship and Family Law in Tunisia and Iran</w:t>
    </w:r>
  </w:p>
  <w:p w14:paraId="3871DA24" w14:textId="22FC1DEE" w:rsidR="00D74014" w:rsidRDefault="00D74014">
    <w:pPr>
      <w:pStyle w:val="Header"/>
    </w:pPr>
    <w:r>
      <w:t>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907A" w14:textId="015AF99F" w:rsidR="00495E83" w:rsidRDefault="00495E83" w:rsidP="00495E83">
    <w:pPr>
      <w:pStyle w:val="Header"/>
      <w:rPr>
        <w:lang w:val="en-GB"/>
      </w:rPr>
    </w:pPr>
    <w:proofErr w:type="spellStart"/>
    <w:r w:rsidRPr="00495E83">
      <w:rPr>
        <w:i/>
        <w:iCs/>
        <w:lang w:val="en-GB"/>
      </w:rPr>
      <w:t>feminists@law</w:t>
    </w:r>
    <w:proofErr w:type="spellEnd"/>
    <w:r w:rsidRPr="00495E83">
      <w:rPr>
        <w:lang w:val="en-GB"/>
      </w:rPr>
      <w:tab/>
    </w:r>
    <w:r w:rsidRPr="00495E83">
      <w:rPr>
        <w:lang w:val="en-GB"/>
      </w:rPr>
      <w:tab/>
      <w:t>Vol 1</w:t>
    </w:r>
    <w:r w:rsidR="00EB4294">
      <w:rPr>
        <w:lang w:val="en-GB"/>
      </w:rPr>
      <w:t>4</w:t>
    </w:r>
    <w:r w:rsidRPr="00495E83">
      <w:rPr>
        <w:lang w:val="en-GB"/>
      </w:rPr>
      <w:t xml:space="preserve">, No </w:t>
    </w:r>
    <w:r w:rsidR="00EB4294">
      <w:rPr>
        <w:lang w:val="en-GB"/>
      </w:rPr>
      <w:t>1</w:t>
    </w:r>
    <w:r w:rsidRPr="00495E83">
      <w:rPr>
        <w:lang w:val="en-GB"/>
      </w:rPr>
      <w:t xml:space="preserve"> (202</w:t>
    </w:r>
    <w:r w:rsidR="00BE4DAC">
      <w:rPr>
        <w:lang w:val="en-GB"/>
      </w:rPr>
      <w:t>5</w:t>
    </w:r>
    <w:r w:rsidRPr="00495E83">
      <w:rPr>
        <w:lang w:val="en-GB"/>
      </w:rPr>
      <w:t>)</w:t>
    </w:r>
  </w:p>
  <w:p w14:paraId="5681189F" w14:textId="30821383" w:rsidR="0029152A" w:rsidRPr="00495E83" w:rsidRDefault="0029152A" w:rsidP="00495E83">
    <w:pPr>
      <w:pStyle w:val="Header"/>
      <w:rPr>
        <w:lang w:val="en-GB"/>
      </w:rPr>
    </w:pPr>
    <w:r>
      <w:rPr>
        <w:lang w:val="en-GB"/>
      </w:rPr>
      <w:t>_____________________________________________________________________________________</w:t>
    </w:r>
  </w:p>
  <w:p w14:paraId="3B027FF2" w14:textId="77777777" w:rsidR="00495E83" w:rsidRDefault="00495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164"/>
    <w:multiLevelType w:val="hybridMultilevel"/>
    <w:tmpl w:val="198C8CF8"/>
    <w:lvl w:ilvl="0" w:tplc="AF1A0184">
      <w:start w:val="1"/>
      <w:numFmt w:val="bullet"/>
      <w:lvlText w:val=""/>
      <w:lvlJc w:val="left"/>
      <w:pPr>
        <w:tabs>
          <w:tab w:val="num" w:pos="720"/>
        </w:tabs>
        <w:ind w:left="720" w:hanging="360"/>
      </w:pPr>
      <w:rPr>
        <w:rFonts w:ascii="Wingdings 3" w:hAnsi="Wingdings 3" w:hint="default"/>
      </w:rPr>
    </w:lvl>
    <w:lvl w:ilvl="1" w:tplc="85CEAF44" w:tentative="1">
      <w:start w:val="1"/>
      <w:numFmt w:val="bullet"/>
      <w:lvlText w:val=""/>
      <w:lvlJc w:val="left"/>
      <w:pPr>
        <w:tabs>
          <w:tab w:val="num" w:pos="1440"/>
        </w:tabs>
        <w:ind w:left="1440" w:hanging="360"/>
      </w:pPr>
      <w:rPr>
        <w:rFonts w:ascii="Wingdings 3" w:hAnsi="Wingdings 3" w:hint="default"/>
      </w:rPr>
    </w:lvl>
    <w:lvl w:ilvl="2" w:tplc="3878E448" w:tentative="1">
      <w:start w:val="1"/>
      <w:numFmt w:val="bullet"/>
      <w:lvlText w:val=""/>
      <w:lvlJc w:val="left"/>
      <w:pPr>
        <w:tabs>
          <w:tab w:val="num" w:pos="2160"/>
        </w:tabs>
        <w:ind w:left="2160" w:hanging="360"/>
      </w:pPr>
      <w:rPr>
        <w:rFonts w:ascii="Wingdings 3" w:hAnsi="Wingdings 3" w:hint="default"/>
      </w:rPr>
    </w:lvl>
    <w:lvl w:ilvl="3" w:tplc="46B020A8" w:tentative="1">
      <w:start w:val="1"/>
      <w:numFmt w:val="bullet"/>
      <w:lvlText w:val=""/>
      <w:lvlJc w:val="left"/>
      <w:pPr>
        <w:tabs>
          <w:tab w:val="num" w:pos="2880"/>
        </w:tabs>
        <w:ind w:left="2880" w:hanging="360"/>
      </w:pPr>
      <w:rPr>
        <w:rFonts w:ascii="Wingdings 3" w:hAnsi="Wingdings 3" w:hint="default"/>
      </w:rPr>
    </w:lvl>
    <w:lvl w:ilvl="4" w:tplc="11C2BF72" w:tentative="1">
      <w:start w:val="1"/>
      <w:numFmt w:val="bullet"/>
      <w:lvlText w:val=""/>
      <w:lvlJc w:val="left"/>
      <w:pPr>
        <w:tabs>
          <w:tab w:val="num" w:pos="3600"/>
        </w:tabs>
        <w:ind w:left="3600" w:hanging="360"/>
      </w:pPr>
      <w:rPr>
        <w:rFonts w:ascii="Wingdings 3" w:hAnsi="Wingdings 3" w:hint="default"/>
      </w:rPr>
    </w:lvl>
    <w:lvl w:ilvl="5" w:tplc="2294E1A0" w:tentative="1">
      <w:start w:val="1"/>
      <w:numFmt w:val="bullet"/>
      <w:lvlText w:val=""/>
      <w:lvlJc w:val="left"/>
      <w:pPr>
        <w:tabs>
          <w:tab w:val="num" w:pos="4320"/>
        </w:tabs>
        <w:ind w:left="4320" w:hanging="360"/>
      </w:pPr>
      <w:rPr>
        <w:rFonts w:ascii="Wingdings 3" w:hAnsi="Wingdings 3" w:hint="default"/>
      </w:rPr>
    </w:lvl>
    <w:lvl w:ilvl="6" w:tplc="7714C724" w:tentative="1">
      <w:start w:val="1"/>
      <w:numFmt w:val="bullet"/>
      <w:lvlText w:val=""/>
      <w:lvlJc w:val="left"/>
      <w:pPr>
        <w:tabs>
          <w:tab w:val="num" w:pos="5040"/>
        </w:tabs>
        <w:ind w:left="5040" w:hanging="360"/>
      </w:pPr>
      <w:rPr>
        <w:rFonts w:ascii="Wingdings 3" w:hAnsi="Wingdings 3" w:hint="default"/>
      </w:rPr>
    </w:lvl>
    <w:lvl w:ilvl="7" w:tplc="60D8D26C" w:tentative="1">
      <w:start w:val="1"/>
      <w:numFmt w:val="bullet"/>
      <w:lvlText w:val=""/>
      <w:lvlJc w:val="left"/>
      <w:pPr>
        <w:tabs>
          <w:tab w:val="num" w:pos="5760"/>
        </w:tabs>
        <w:ind w:left="5760" w:hanging="360"/>
      </w:pPr>
      <w:rPr>
        <w:rFonts w:ascii="Wingdings 3" w:hAnsi="Wingdings 3" w:hint="default"/>
      </w:rPr>
    </w:lvl>
    <w:lvl w:ilvl="8" w:tplc="11149E6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33E5D76"/>
    <w:multiLevelType w:val="hybridMultilevel"/>
    <w:tmpl w:val="30021BD2"/>
    <w:lvl w:ilvl="0" w:tplc="2FFAE43A">
      <w:start w:val="1"/>
      <w:numFmt w:val="decimal"/>
      <w:lvlText w:val="%1."/>
      <w:lvlJc w:val="left"/>
      <w:pPr>
        <w:ind w:left="720" w:hanging="360"/>
      </w:pPr>
      <w:rPr>
        <w:rFonts w:ascii="MyriadPro-It" w:hAnsi="MyriadPro-It" w:cs="MyriadPro-It"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37A25"/>
    <w:multiLevelType w:val="hybridMultilevel"/>
    <w:tmpl w:val="757A2782"/>
    <w:lvl w:ilvl="0" w:tplc="2D660E68">
      <w:start w:val="1"/>
      <w:numFmt w:val="bullet"/>
      <w:lvlText w:val=""/>
      <w:lvlJc w:val="left"/>
      <w:pPr>
        <w:tabs>
          <w:tab w:val="num" w:pos="720"/>
        </w:tabs>
        <w:ind w:left="720" w:hanging="360"/>
      </w:pPr>
      <w:rPr>
        <w:rFonts w:ascii="Symbol" w:hAnsi="Symbol" w:hint="default"/>
      </w:rPr>
    </w:lvl>
    <w:lvl w:ilvl="1" w:tplc="FDCE6B1E" w:tentative="1">
      <w:start w:val="1"/>
      <w:numFmt w:val="bullet"/>
      <w:lvlText w:val=""/>
      <w:lvlJc w:val="left"/>
      <w:pPr>
        <w:tabs>
          <w:tab w:val="num" w:pos="1440"/>
        </w:tabs>
        <w:ind w:left="1440" w:hanging="360"/>
      </w:pPr>
      <w:rPr>
        <w:rFonts w:ascii="Symbol" w:hAnsi="Symbol" w:hint="default"/>
      </w:rPr>
    </w:lvl>
    <w:lvl w:ilvl="2" w:tplc="D340B9D4" w:tentative="1">
      <w:start w:val="1"/>
      <w:numFmt w:val="bullet"/>
      <w:lvlText w:val=""/>
      <w:lvlJc w:val="left"/>
      <w:pPr>
        <w:tabs>
          <w:tab w:val="num" w:pos="2160"/>
        </w:tabs>
        <w:ind w:left="2160" w:hanging="360"/>
      </w:pPr>
      <w:rPr>
        <w:rFonts w:ascii="Symbol" w:hAnsi="Symbol" w:hint="default"/>
      </w:rPr>
    </w:lvl>
    <w:lvl w:ilvl="3" w:tplc="9AE27DDA" w:tentative="1">
      <w:start w:val="1"/>
      <w:numFmt w:val="bullet"/>
      <w:lvlText w:val=""/>
      <w:lvlJc w:val="left"/>
      <w:pPr>
        <w:tabs>
          <w:tab w:val="num" w:pos="2880"/>
        </w:tabs>
        <w:ind w:left="2880" w:hanging="360"/>
      </w:pPr>
      <w:rPr>
        <w:rFonts w:ascii="Symbol" w:hAnsi="Symbol" w:hint="default"/>
      </w:rPr>
    </w:lvl>
    <w:lvl w:ilvl="4" w:tplc="A7D40734" w:tentative="1">
      <w:start w:val="1"/>
      <w:numFmt w:val="bullet"/>
      <w:lvlText w:val=""/>
      <w:lvlJc w:val="left"/>
      <w:pPr>
        <w:tabs>
          <w:tab w:val="num" w:pos="3600"/>
        </w:tabs>
        <w:ind w:left="3600" w:hanging="360"/>
      </w:pPr>
      <w:rPr>
        <w:rFonts w:ascii="Symbol" w:hAnsi="Symbol" w:hint="default"/>
      </w:rPr>
    </w:lvl>
    <w:lvl w:ilvl="5" w:tplc="A3FEDD94" w:tentative="1">
      <w:start w:val="1"/>
      <w:numFmt w:val="bullet"/>
      <w:lvlText w:val=""/>
      <w:lvlJc w:val="left"/>
      <w:pPr>
        <w:tabs>
          <w:tab w:val="num" w:pos="4320"/>
        </w:tabs>
        <w:ind w:left="4320" w:hanging="360"/>
      </w:pPr>
      <w:rPr>
        <w:rFonts w:ascii="Symbol" w:hAnsi="Symbol" w:hint="default"/>
      </w:rPr>
    </w:lvl>
    <w:lvl w:ilvl="6" w:tplc="1B6A3B96" w:tentative="1">
      <w:start w:val="1"/>
      <w:numFmt w:val="bullet"/>
      <w:lvlText w:val=""/>
      <w:lvlJc w:val="left"/>
      <w:pPr>
        <w:tabs>
          <w:tab w:val="num" w:pos="5040"/>
        </w:tabs>
        <w:ind w:left="5040" w:hanging="360"/>
      </w:pPr>
      <w:rPr>
        <w:rFonts w:ascii="Symbol" w:hAnsi="Symbol" w:hint="default"/>
      </w:rPr>
    </w:lvl>
    <w:lvl w:ilvl="7" w:tplc="63E4995A" w:tentative="1">
      <w:start w:val="1"/>
      <w:numFmt w:val="bullet"/>
      <w:lvlText w:val=""/>
      <w:lvlJc w:val="left"/>
      <w:pPr>
        <w:tabs>
          <w:tab w:val="num" w:pos="5760"/>
        </w:tabs>
        <w:ind w:left="5760" w:hanging="360"/>
      </w:pPr>
      <w:rPr>
        <w:rFonts w:ascii="Symbol" w:hAnsi="Symbol" w:hint="default"/>
      </w:rPr>
    </w:lvl>
    <w:lvl w:ilvl="8" w:tplc="76FAEFE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9DE1767"/>
    <w:multiLevelType w:val="hybridMultilevel"/>
    <w:tmpl w:val="E9BEB80A"/>
    <w:lvl w:ilvl="0" w:tplc="DBA6F0A8">
      <w:start w:val="1"/>
      <w:numFmt w:val="bullet"/>
      <w:lvlText w:val=""/>
      <w:lvlJc w:val="left"/>
      <w:pPr>
        <w:tabs>
          <w:tab w:val="num" w:pos="720"/>
        </w:tabs>
        <w:ind w:left="720" w:hanging="360"/>
      </w:pPr>
      <w:rPr>
        <w:rFonts w:ascii="Wingdings 3" w:hAnsi="Wingdings 3" w:hint="default"/>
      </w:rPr>
    </w:lvl>
    <w:lvl w:ilvl="1" w:tplc="0B7AB684">
      <w:numFmt w:val="bullet"/>
      <w:lvlText w:val=""/>
      <w:lvlJc w:val="left"/>
      <w:pPr>
        <w:tabs>
          <w:tab w:val="num" w:pos="1440"/>
        </w:tabs>
        <w:ind w:left="1440" w:hanging="360"/>
      </w:pPr>
      <w:rPr>
        <w:rFonts w:ascii="Wingdings 3" w:hAnsi="Wingdings 3" w:hint="default"/>
      </w:rPr>
    </w:lvl>
    <w:lvl w:ilvl="2" w:tplc="968E5E24">
      <w:numFmt w:val="bullet"/>
      <w:lvlText w:val=""/>
      <w:lvlJc w:val="left"/>
      <w:pPr>
        <w:tabs>
          <w:tab w:val="num" w:pos="2160"/>
        </w:tabs>
        <w:ind w:left="2160" w:hanging="360"/>
      </w:pPr>
      <w:rPr>
        <w:rFonts w:ascii="Wingdings 3" w:hAnsi="Wingdings 3" w:hint="default"/>
      </w:rPr>
    </w:lvl>
    <w:lvl w:ilvl="3" w:tplc="E1203D66" w:tentative="1">
      <w:start w:val="1"/>
      <w:numFmt w:val="bullet"/>
      <w:lvlText w:val=""/>
      <w:lvlJc w:val="left"/>
      <w:pPr>
        <w:tabs>
          <w:tab w:val="num" w:pos="2880"/>
        </w:tabs>
        <w:ind w:left="2880" w:hanging="360"/>
      </w:pPr>
      <w:rPr>
        <w:rFonts w:ascii="Wingdings 3" w:hAnsi="Wingdings 3" w:hint="default"/>
      </w:rPr>
    </w:lvl>
    <w:lvl w:ilvl="4" w:tplc="D1D8C5A2" w:tentative="1">
      <w:start w:val="1"/>
      <w:numFmt w:val="bullet"/>
      <w:lvlText w:val=""/>
      <w:lvlJc w:val="left"/>
      <w:pPr>
        <w:tabs>
          <w:tab w:val="num" w:pos="3600"/>
        </w:tabs>
        <w:ind w:left="3600" w:hanging="360"/>
      </w:pPr>
      <w:rPr>
        <w:rFonts w:ascii="Wingdings 3" w:hAnsi="Wingdings 3" w:hint="default"/>
      </w:rPr>
    </w:lvl>
    <w:lvl w:ilvl="5" w:tplc="67C21ADE" w:tentative="1">
      <w:start w:val="1"/>
      <w:numFmt w:val="bullet"/>
      <w:lvlText w:val=""/>
      <w:lvlJc w:val="left"/>
      <w:pPr>
        <w:tabs>
          <w:tab w:val="num" w:pos="4320"/>
        </w:tabs>
        <w:ind w:left="4320" w:hanging="360"/>
      </w:pPr>
      <w:rPr>
        <w:rFonts w:ascii="Wingdings 3" w:hAnsi="Wingdings 3" w:hint="default"/>
      </w:rPr>
    </w:lvl>
    <w:lvl w:ilvl="6" w:tplc="243A1678" w:tentative="1">
      <w:start w:val="1"/>
      <w:numFmt w:val="bullet"/>
      <w:lvlText w:val=""/>
      <w:lvlJc w:val="left"/>
      <w:pPr>
        <w:tabs>
          <w:tab w:val="num" w:pos="5040"/>
        </w:tabs>
        <w:ind w:left="5040" w:hanging="360"/>
      </w:pPr>
      <w:rPr>
        <w:rFonts w:ascii="Wingdings 3" w:hAnsi="Wingdings 3" w:hint="default"/>
      </w:rPr>
    </w:lvl>
    <w:lvl w:ilvl="7" w:tplc="3F80817E" w:tentative="1">
      <w:start w:val="1"/>
      <w:numFmt w:val="bullet"/>
      <w:lvlText w:val=""/>
      <w:lvlJc w:val="left"/>
      <w:pPr>
        <w:tabs>
          <w:tab w:val="num" w:pos="5760"/>
        </w:tabs>
        <w:ind w:left="5760" w:hanging="360"/>
      </w:pPr>
      <w:rPr>
        <w:rFonts w:ascii="Wingdings 3" w:hAnsi="Wingdings 3" w:hint="default"/>
      </w:rPr>
    </w:lvl>
    <w:lvl w:ilvl="8" w:tplc="37C6F87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B0969F4"/>
    <w:multiLevelType w:val="hybridMultilevel"/>
    <w:tmpl w:val="FD4ACBB2"/>
    <w:lvl w:ilvl="0" w:tplc="28DE2EEA">
      <w:start w:val="1"/>
      <w:numFmt w:val="bullet"/>
      <w:lvlText w:val=""/>
      <w:lvlJc w:val="left"/>
      <w:pPr>
        <w:tabs>
          <w:tab w:val="num" w:pos="720"/>
        </w:tabs>
        <w:ind w:left="720" w:hanging="360"/>
      </w:pPr>
      <w:rPr>
        <w:rFonts w:ascii="Wingdings 3" w:hAnsi="Wingdings 3" w:hint="default"/>
      </w:rPr>
    </w:lvl>
    <w:lvl w:ilvl="1" w:tplc="354AC192" w:tentative="1">
      <w:start w:val="1"/>
      <w:numFmt w:val="bullet"/>
      <w:lvlText w:val=""/>
      <w:lvlJc w:val="left"/>
      <w:pPr>
        <w:tabs>
          <w:tab w:val="num" w:pos="1440"/>
        </w:tabs>
        <w:ind w:left="1440" w:hanging="360"/>
      </w:pPr>
      <w:rPr>
        <w:rFonts w:ascii="Wingdings 3" w:hAnsi="Wingdings 3" w:hint="default"/>
      </w:rPr>
    </w:lvl>
    <w:lvl w:ilvl="2" w:tplc="9968978E" w:tentative="1">
      <w:start w:val="1"/>
      <w:numFmt w:val="bullet"/>
      <w:lvlText w:val=""/>
      <w:lvlJc w:val="left"/>
      <w:pPr>
        <w:tabs>
          <w:tab w:val="num" w:pos="2160"/>
        </w:tabs>
        <w:ind w:left="2160" w:hanging="360"/>
      </w:pPr>
      <w:rPr>
        <w:rFonts w:ascii="Wingdings 3" w:hAnsi="Wingdings 3" w:hint="default"/>
      </w:rPr>
    </w:lvl>
    <w:lvl w:ilvl="3" w:tplc="BB02AC30" w:tentative="1">
      <w:start w:val="1"/>
      <w:numFmt w:val="bullet"/>
      <w:lvlText w:val=""/>
      <w:lvlJc w:val="left"/>
      <w:pPr>
        <w:tabs>
          <w:tab w:val="num" w:pos="2880"/>
        </w:tabs>
        <w:ind w:left="2880" w:hanging="360"/>
      </w:pPr>
      <w:rPr>
        <w:rFonts w:ascii="Wingdings 3" w:hAnsi="Wingdings 3" w:hint="default"/>
      </w:rPr>
    </w:lvl>
    <w:lvl w:ilvl="4" w:tplc="62085FA0" w:tentative="1">
      <w:start w:val="1"/>
      <w:numFmt w:val="bullet"/>
      <w:lvlText w:val=""/>
      <w:lvlJc w:val="left"/>
      <w:pPr>
        <w:tabs>
          <w:tab w:val="num" w:pos="3600"/>
        </w:tabs>
        <w:ind w:left="3600" w:hanging="360"/>
      </w:pPr>
      <w:rPr>
        <w:rFonts w:ascii="Wingdings 3" w:hAnsi="Wingdings 3" w:hint="default"/>
      </w:rPr>
    </w:lvl>
    <w:lvl w:ilvl="5" w:tplc="E8186D0C" w:tentative="1">
      <w:start w:val="1"/>
      <w:numFmt w:val="bullet"/>
      <w:lvlText w:val=""/>
      <w:lvlJc w:val="left"/>
      <w:pPr>
        <w:tabs>
          <w:tab w:val="num" w:pos="4320"/>
        </w:tabs>
        <w:ind w:left="4320" w:hanging="360"/>
      </w:pPr>
      <w:rPr>
        <w:rFonts w:ascii="Wingdings 3" w:hAnsi="Wingdings 3" w:hint="default"/>
      </w:rPr>
    </w:lvl>
    <w:lvl w:ilvl="6" w:tplc="0402230A" w:tentative="1">
      <w:start w:val="1"/>
      <w:numFmt w:val="bullet"/>
      <w:lvlText w:val=""/>
      <w:lvlJc w:val="left"/>
      <w:pPr>
        <w:tabs>
          <w:tab w:val="num" w:pos="5040"/>
        </w:tabs>
        <w:ind w:left="5040" w:hanging="360"/>
      </w:pPr>
      <w:rPr>
        <w:rFonts w:ascii="Wingdings 3" w:hAnsi="Wingdings 3" w:hint="default"/>
      </w:rPr>
    </w:lvl>
    <w:lvl w:ilvl="7" w:tplc="8780CDD2" w:tentative="1">
      <w:start w:val="1"/>
      <w:numFmt w:val="bullet"/>
      <w:lvlText w:val=""/>
      <w:lvlJc w:val="left"/>
      <w:pPr>
        <w:tabs>
          <w:tab w:val="num" w:pos="5760"/>
        </w:tabs>
        <w:ind w:left="5760" w:hanging="360"/>
      </w:pPr>
      <w:rPr>
        <w:rFonts w:ascii="Wingdings 3" w:hAnsi="Wingdings 3" w:hint="default"/>
      </w:rPr>
    </w:lvl>
    <w:lvl w:ilvl="8" w:tplc="79B81E6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C453383"/>
    <w:multiLevelType w:val="hybridMultilevel"/>
    <w:tmpl w:val="D52A48BA"/>
    <w:lvl w:ilvl="0" w:tplc="9C9EF02E">
      <w:start w:val="1"/>
      <w:numFmt w:val="bullet"/>
      <w:lvlText w:val=""/>
      <w:lvlJc w:val="left"/>
      <w:pPr>
        <w:tabs>
          <w:tab w:val="num" w:pos="720"/>
        </w:tabs>
        <w:ind w:left="720" w:hanging="360"/>
      </w:pPr>
      <w:rPr>
        <w:rFonts w:ascii="Wingdings 3" w:hAnsi="Wingdings 3" w:hint="default"/>
      </w:rPr>
    </w:lvl>
    <w:lvl w:ilvl="1" w:tplc="C118394C" w:tentative="1">
      <w:start w:val="1"/>
      <w:numFmt w:val="bullet"/>
      <w:lvlText w:val=""/>
      <w:lvlJc w:val="left"/>
      <w:pPr>
        <w:tabs>
          <w:tab w:val="num" w:pos="1440"/>
        </w:tabs>
        <w:ind w:left="1440" w:hanging="360"/>
      </w:pPr>
      <w:rPr>
        <w:rFonts w:ascii="Wingdings 3" w:hAnsi="Wingdings 3" w:hint="default"/>
      </w:rPr>
    </w:lvl>
    <w:lvl w:ilvl="2" w:tplc="A8EA933C" w:tentative="1">
      <w:start w:val="1"/>
      <w:numFmt w:val="bullet"/>
      <w:lvlText w:val=""/>
      <w:lvlJc w:val="left"/>
      <w:pPr>
        <w:tabs>
          <w:tab w:val="num" w:pos="2160"/>
        </w:tabs>
        <w:ind w:left="2160" w:hanging="360"/>
      </w:pPr>
      <w:rPr>
        <w:rFonts w:ascii="Wingdings 3" w:hAnsi="Wingdings 3" w:hint="default"/>
      </w:rPr>
    </w:lvl>
    <w:lvl w:ilvl="3" w:tplc="037E4840" w:tentative="1">
      <w:start w:val="1"/>
      <w:numFmt w:val="bullet"/>
      <w:lvlText w:val=""/>
      <w:lvlJc w:val="left"/>
      <w:pPr>
        <w:tabs>
          <w:tab w:val="num" w:pos="2880"/>
        </w:tabs>
        <w:ind w:left="2880" w:hanging="360"/>
      </w:pPr>
      <w:rPr>
        <w:rFonts w:ascii="Wingdings 3" w:hAnsi="Wingdings 3" w:hint="default"/>
      </w:rPr>
    </w:lvl>
    <w:lvl w:ilvl="4" w:tplc="3216E2D8" w:tentative="1">
      <w:start w:val="1"/>
      <w:numFmt w:val="bullet"/>
      <w:lvlText w:val=""/>
      <w:lvlJc w:val="left"/>
      <w:pPr>
        <w:tabs>
          <w:tab w:val="num" w:pos="3600"/>
        </w:tabs>
        <w:ind w:left="3600" w:hanging="360"/>
      </w:pPr>
      <w:rPr>
        <w:rFonts w:ascii="Wingdings 3" w:hAnsi="Wingdings 3" w:hint="default"/>
      </w:rPr>
    </w:lvl>
    <w:lvl w:ilvl="5" w:tplc="31A28496" w:tentative="1">
      <w:start w:val="1"/>
      <w:numFmt w:val="bullet"/>
      <w:lvlText w:val=""/>
      <w:lvlJc w:val="left"/>
      <w:pPr>
        <w:tabs>
          <w:tab w:val="num" w:pos="4320"/>
        </w:tabs>
        <w:ind w:left="4320" w:hanging="360"/>
      </w:pPr>
      <w:rPr>
        <w:rFonts w:ascii="Wingdings 3" w:hAnsi="Wingdings 3" w:hint="default"/>
      </w:rPr>
    </w:lvl>
    <w:lvl w:ilvl="6" w:tplc="F10C1966" w:tentative="1">
      <w:start w:val="1"/>
      <w:numFmt w:val="bullet"/>
      <w:lvlText w:val=""/>
      <w:lvlJc w:val="left"/>
      <w:pPr>
        <w:tabs>
          <w:tab w:val="num" w:pos="5040"/>
        </w:tabs>
        <w:ind w:left="5040" w:hanging="360"/>
      </w:pPr>
      <w:rPr>
        <w:rFonts w:ascii="Wingdings 3" w:hAnsi="Wingdings 3" w:hint="default"/>
      </w:rPr>
    </w:lvl>
    <w:lvl w:ilvl="7" w:tplc="E44AB1C0" w:tentative="1">
      <w:start w:val="1"/>
      <w:numFmt w:val="bullet"/>
      <w:lvlText w:val=""/>
      <w:lvlJc w:val="left"/>
      <w:pPr>
        <w:tabs>
          <w:tab w:val="num" w:pos="5760"/>
        </w:tabs>
        <w:ind w:left="5760" w:hanging="360"/>
      </w:pPr>
      <w:rPr>
        <w:rFonts w:ascii="Wingdings 3" w:hAnsi="Wingdings 3" w:hint="default"/>
      </w:rPr>
    </w:lvl>
    <w:lvl w:ilvl="8" w:tplc="C1767B48"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FDC7673"/>
    <w:multiLevelType w:val="hybridMultilevel"/>
    <w:tmpl w:val="E74836F4"/>
    <w:lvl w:ilvl="0" w:tplc="BD643782">
      <w:start w:val="1"/>
      <w:numFmt w:val="bullet"/>
      <w:lvlText w:val=""/>
      <w:lvlJc w:val="left"/>
      <w:pPr>
        <w:tabs>
          <w:tab w:val="num" w:pos="720"/>
        </w:tabs>
        <w:ind w:left="720" w:hanging="360"/>
      </w:pPr>
      <w:rPr>
        <w:rFonts w:ascii="Wingdings 3" w:hAnsi="Wingdings 3" w:hint="default"/>
      </w:rPr>
    </w:lvl>
    <w:lvl w:ilvl="1" w:tplc="F31AC76A" w:tentative="1">
      <w:start w:val="1"/>
      <w:numFmt w:val="bullet"/>
      <w:lvlText w:val=""/>
      <w:lvlJc w:val="left"/>
      <w:pPr>
        <w:tabs>
          <w:tab w:val="num" w:pos="1440"/>
        </w:tabs>
        <w:ind w:left="1440" w:hanging="360"/>
      </w:pPr>
      <w:rPr>
        <w:rFonts w:ascii="Wingdings 3" w:hAnsi="Wingdings 3" w:hint="default"/>
      </w:rPr>
    </w:lvl>
    <w:lvl w:ilvl="2" w:tplc="DAAEDA00" w:tentative="1">
      <w:start w:val="1"/>
      <w:numFmt w:val="bullet"/>
      <w:lvlText w:val=""/>
      <w:lvlJc w:val="left"/>
      <w:pPr>
        <w:tabs>
          <w:tab w:val="num" w:pos="2160"/>
        </w:tabs>
        <w:ind w:left="2160" w:hanging="360"/>
      </w:pPr>
      <w:rPr>
        <w:rFonts w:ascii="Wingdings 3" w:hAnsi="Wingdings 3" w:hint="default"/>
      </w:rPr>
    </w:lvl>
    <w:lvl w:ilvl="3" w:tplc="BB949008" w:tentative="1">
      <w:start w:val="1"/>
      <w:numFmt w:val="bullet"/>
      <w:lvlText w:val=""/>
      <w:lvlJc w:val="left"/>
      <w:pPr>
        <w:tabs>
          <w:tab w:val="num" w:pos="2880"/>
        </w:tabs>
        <w:ind w:left="2880" w:hanging="360"/>
      </w:pPr>
      <w:rPr>
        <w:rFonts w:ascii="Wingdings 3" w:hAnsi="Wingdings 3" w:hint="default"/>
      </w:rPr>
    </w:lvl>
    <w:lvl w:ilvl="4" w:tplc="03FAF2A4" w:tentative="1">
      <w:start w:val="1"/>
      <w:numFmt w:val="bullet"/>
      <w:lvlText w:val=""/>
      <w:lvlJc w:val="left"/>
      <w:pPr>
        <w:tabs>
          <w:tab w:val="num" w:pos="3600"/>
        </w:tabs>
        <w:ind w:left="3600" w:hanging="360"/>
      </w:pPr>
      <w:rPr>
        <w:rFonts w:ascii="Wingdings 3" w:hAnsi="Wingdings 3" w:hint="default"/>
      </w:rPr>
    </w:lvl>
    <w:lvl w:ilvl="5" w:tplc="0324E1FE" w:tentative="1">
      <w:start w:val="1"/>
      <w:numFmt w:val="bullet"/>
      <w:lvlText w:val=""/>
      <w:lvlJc w:val="left"/>
      <w:pPr>
        <w:tabs>
          <w:tab w:val="num" w:pos="4320"/>
        </w:tabs>
        <w:ind w:left="4320" w:hanging="360"/>
      </w:pPr>
      <w:rPr>
        <w:rFonts w:ascii="Wingdings 3" w:hAnsi="Wingdings 3" w:hint="default"/>
      </w:rPr>
    </w:lvl>
    <w:lvl w:ilvl="6" w:tplc="6F160302" w:tentative="1">
      <w:start w:val="1"/>
      <w:numFmt w:val="bullet"/>
      <w:lvlText w:val=""/>
      <w:lvlJc w:val="left"/>
      <w:pPr>
        <w:tabs>
          <w:tab w:val="num" w:pos="5040"/>
        </w:tabs>
        <w:ind w:left="5040" w:hanging="360"/>
      </w:pPr>
      <w:rPr>
        <w:rFonts w:ascii="Wingdings 3" w:hAnsi="Wingdings 3" w:hint="default"/>
      </w:rPr>
    </w:lvl>
    <w:lvl w:ilvl="7" w:tplc="BC8CD5BE" w:tentative="1">
      <w:start w:val="1"/>
      <w:numFmt w:val="bullet"/>
      <w:lvlText w:val=""/>
      <w:lvlJc w:val="left"/>
      <w:pPr>
        <w:tabs>
          <w:tab w:val="num" w:pos="5760"/>
        </w:tabs>
        <w:ind w:left="5760" w:hanging="360"/>
      </w:pPr>
      <w:rPr>
        <w:rFonts w:ascii="Wingdings 3" w:hAnsi="Wingdings 3" w:hint="default"/>
      </w:rPr>
    </w:lvl>
    <w:lvl w:ilvl="8" w:tplc="56821E66"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4FD4775"/>
    <w:multiLevelType w:val="hybridMultilevel"/>
    <w:tmpl w:val="43FEF5AE"/>
    <w:lvl w:ilvl="0" w:tplc="BCEC3E8C">
      <w:start w:val="1"/>
      <w:numFmt w:val="bullet"/>
      <w:lvlText w:val=""/>
      <w:lvlJc w:val="left"/>
      <w:pPr>
        <w:tabs>
          <w:tab w:val="num" w:pos="720"/>
        </w:tabs>
        <w:ind w:left="720" w:hanging="360"/>
      </w:pPr>
      <w:rPr>
        <w:rFonts w:ascii="Wingdings 3" w:hAnsi="Wingdings 3" w:hint="default"/>
      </w:rPr>
    </w:lvl>
    <w:lvl w:ilvl="1" w:tplc="D4347548" w:tentative="1">
      <w:start w:val="1"/>
      <w:numFmt w:val="bullet"/>
      <w:lvlText w:val=""/>
      <w:lvlJc w:val="left"/>
      <w:pPr>
        <w:tabs>
          <w:tab w:val="num" w:pos="1440"/>
        </w:tabs>
        <w:ind w:left="1440" w:hanging="360"/>
      </w:pPr>
      <w:rPr>
        <w:rFonts w:ascii="Wingdings 3" w:hAnsi="Wingdings 3" w:hint="default"/>
      </w:rPr>
    </w:lvl>
    <w:lvl w:ilvl="2" w:tplc="D2ACBD8A" w:tentative="1">
      <w:start w:val="1"/>
      <w:numFmt w:val="bullet"/>
      <w:lvlText w:val=""/>
      <w:lvlJc w:val="left"/>
      <w:pPr>
        <w:tabs>
          <w:tab w:val="num" w:pos="2160"/>
        </w:tabs>
        <w:ind w:left="2160" w:hanging="360"/>
      </w:pPr>
      <w:rPr>
        <w:rFonts w:ascii="Wingdings 3" w:hAnsi="Wingdings 3" w:hint="default"/>
      </w:rPr>
    </w:lvl>
    <w:lvl w:ilvl="3" w:tplc="FD984C64" w:tentative="1">
      <w:start w:val="1"/>
      <w:numFmt w:val="bullet"/>
      <w:lvlText w:val=""/>
      <w:lvlJc w:val="left"/>
      <w:pPr>
        <w:tabs>
          <w:tab w:val="num" w:pos="2880"/>
        </w:tabs>
        <w:ind w:left="2880" w:hanging="360"/>
      </w:pPr>
      <w:rPr>
        <w:rFonts w:ascii="Wingdings 3" w:hAnsi="Wingdings 3" w:hint="default"/>
      </w:rPr>
    </w:lvl>
    <w:lvl w:ilvl="4" w:tplc="158C15D0" w:tentative="1">
      <w:start w:val="1"/>
      <w:numFmt w:val="bullet"/>
      <w:lvlText w:val=""/>
      <w:lvlJc w:val="left"/>
      <w:pPr>
        <w:tabs>
          <w:tab w:val="num" w:pos="3600"/>
        </w:tabs>
        <w:ind w:left="3600" w:hanging="360"/>
      </w:pPr>
      <w:rPr>
        <w:rFonts w:ascii="Wingdings 3" w:hAnsi="Wingdings 3" w:hint="default"/>
      </w:rPr>
    </w:lvl>
    <w:lvl w:ilvl="5" w:tplc="43F46A70" w:tentative="1">
      <w:start w:val="1"/>
      <w:numFmt w:val="bullet"/>
      <w:lvlText w:val=""/>
      <w:lvlJc w:val="left"/>
      <w:pPr>
        <w:tabs>
          <w:tab w:val="num" w:pos="4320"/>
        </w:tabs>
        <w:ind w:left="4320" w:hanging="360"/>
      </w:pPr>
      <w:rPr>
        <w:rFonts w:ascii="Wingdings 3" w:hAnsi="Wingdings 3" w:hint="default"/>
      </w:rPr>
    </w:lvl>
    <w:lvl w:ilvl="6" w:tplc="CD167BA0" w:tentative="1">
      <w:start w:val="1"/>
      <w:numFmt w:val="bullet"/>
      <w:lvlText w:val=""/>
      <w:lvlJc w:val="left"/>
      <w:pPr>
        <w:tabs>
          <w:tab w:val="num" w:pos="5040"/>
        </w:tabs>
        <w:ind w:left="5040" w:hanging="360"/>
      </w:pPr>
      <w:rPr>
        <w:rFonts w:ascii="Wingdings 3" w:hAnsi="Wingdings 3" w:hint="default"/>
      </w:rPr>
    </w:lvl>
    <w:lvl w:ilvl="7" w:tplc="112E9786" w:tentative="1">
      <w:start w:val="1"/>
      <w:numFmt w:val="bullet"/>
      <w:lvlText w:val=""/>
      <w:lvlJc w:val="left"/>
      <w:pPr>
        <w:tabs>
          <w:tab w:val="num" w:pos="5760"/>
        </w:tabs>
        <w:ind w:left="5760" w:hanging="360"/>
      </w:pPr>
      <w:rPr>
        <w:rFonts w:ascii="Wingdings 3" w:hAnsi="Wingdings 3" w:hint="default"/>
      </w:rPr>
    </w:lvl>
    <w:lvl w:ilvl="8" w:tplc="9D1E08A6"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7F94280"/>
    <w:multiLevelType w:val="hybridMultilevel"/>
    <w:tmpl w:val="EBF6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77E93"/>
    <w:multiLevelType w:val="hybridMultilevel"/>
    <w:tmpl w:val="6E288476"/>
    <w:lvl w:ilvl="0" w:tplc="5F68A4D8">
      <w:start w:val="199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5A4A53"/>
    <w:multiLevelType w:val="hybridMultilevel"/>
    <w:tmpl w:val="086EC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C9023E"/>
    <w:multiLevelType w:val="hybridMultilevel"/>
    <w:tmpl w:val="62721B76"/>
    <w:lvl w:ilvl="0" w:tplc="CF00ED32">
      <w:start w:val="1"/>
      <w:numFmt w:val="bullet"/>
      <w:lvlText w:val=""/>
      <w:lvlJc w:val="left"/>
      <w:pPr>
        <w:tabs>
          <w:tab w:val="num" w:pos="720"/>
        </w:tabs>
        <w:ind w:left="720" w:hanging="360"/>
      </w:pPr>
      <w:rPr>
        <w:rFonts w:ascii="Wingdings 3" w:hAnsi="Wingdings 3" w:hint="default"/>
      </w:rPr>
    </w:lvl>
    <w:lvl w:ilvl="1" w:tplc="1F8C7E2A" w:tentative="1">
      <w:start w:val="1"/>
      <w:numFmt w:val="bullet"/>
      <w:lvlText w:val=""/>
      <w:lvlJc w:val="left"/>
      <w:pPr>
        <w:tabs>
          <w:tab w:val="num" w:pos="1440"/>
        </w:tabs>
        <w:ind w:left="1440" w:hanging="360"/>
      </w:pPr>
      <w:rPr>
        <w:rFonts w:ascii="Wingdings 3" w:hAnsi="Wingdings 3" w:hint="default"/>
      </w:rPr>
    </w:lvl>
    <w:lvl w:ilvl="2" w:tplc="AD1801EA" w:tentative="1">
      <w:start w:val="1"/>
      <w:numFmt w:val="bullet"/>
      <w:lvlText w:val=""/>
      <w:lvlJc w:val="left"/>
      <w:pPr>
        <w:tabs>
          <w:tab w:val="num" w:pos="2160"/>
        </w:tabs>
        <w:ind w:left="2160" w:hanging="360"/>
      </w:pPr>
      <w:rPr>
        <w:rFonts w:ascii="Wingdings 3" w:hAnsi="Wingdings 3" w:hint="default"/>
      </w:rPr>
    </w:lvl>
    <w:lvl w:ilvl="3" w:tplc="BB20709C" w:tentative="1">
      <w:start w:val="1"/>
      <w:numFmt w:val="bullet"/>
      <w:lvlText w:val=""/>
      <w:lvlJc w:val="left"/>
      <w:pPr>
        <w:tabs>
          <w:tab w:val="num" w:pos="2880"/>
        </w:tabs>
        <w:ind w:left="2880" w:hanging="360"/>
      </w:pPr>
      <w:rPr>
        <w:rFonts w:ascii="Wingdings 3" w:hAnsi="Wingdings 3" w:hint="default"/>
      </w:rPr>
    </w:lvl>
    <w:lvl w:ilvl="4" w:tplc="ACB6488C" w:tentative="1">
      <w:start w:val="1"/>
      <w:numFmt w:val="bullet"/>
      <w:lvlText w:val=""/>
      <w:lvlJc w:val="left"/>
      <w:pPr>
        <w:tabs>
          <w:tab w:val="num" w:pos="3600"/>
        </w:tabs>
        <w:ind w:left="3600" w:hanging="360"/>
      </w:pPr>
      <w:rPr>
        <w:rFonts w:ascii="Wingdings 3" w:hAnsi="Wingdings 3" w:hint="default"/>
      </w:rPr>
    </w:lvl>
    <w:lvl w:ilvl="5" w:tplc="A720E9C2" w:tentative="1">
      <w:start w:val="1"/>
      <w:numFmt w:val="bullet"/>
      <w:lvlText w:val=""/>
      <w:lvlJc w:val="left"/>
      <w:pPr>
        <w:tabs>
          <w:tab w:val="num" w:pos="4320"/>
        </w:tabs>
        <w:ind w:left="4320" w:hanging="360"/>
      </w:pPr>
      <w:rPr>
        <w:rFonts w:ascii="Wingdings 3" w:hAnsi="Wingdings 3" w:hint="default"/>
      </w:rPr>
    </w:lvl>
    <w:lvl w:ilvl="6" w:tplc="597EC018" w:tentative="1">
      <w:start w:val="1"/>
      <w:numFmt w:val="bullet"/>
      <w:lvlText w:val=""/>
      <w:lvlJc w:val="left"/>
      <w:pPr>
        <w:tabs>
          <w:tab w:val="num" w:pos="5040"/>
        </w:tabs>
        <w:ind w:left="5040" w:hanging="360"/>
      </w:pPr>
      <w:rPr>
        <w:rFonts w:ascii="Wingdings 3" w:hAnsi="Wingdings 3" w:hint="default"/>
      </w:rPr>
    </w:lvl>
    <w:lvl w:ilvl="7" w:tplc="E0BAE64C" w:tentative="1">
      <w:start w:val="1"/>
      <w:numFmt w:val="bullet"/>
      <w:lvlText w:val=""/>
      <w:lvlJc w:val="left"/>
      <w:pPr>
        <w:tabs>
          <w:tab w:val="num" w:pos="5760"/>
        </w:tabs>
        <w:ind w:left="5760" w:hanging="360"/>
      </w:pPr>
      <w:rPr>
        <w:rFonts w:ascii="Wingdings 3" w:hAnsi="Wingdings 3" w:hint="default"/>
      </w:rPr>
    </w:lvl>
    <w:lvl w:ilvl="8" w:tplc="90C2E93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06A2079"/>
    <w:multiLevelType w:val="hybridMultilevel"/>
    <w:tmpl w:val="E7068234"/>
    <w:lvl w:ilvl="0" w:tplc="9256805E">
      <w:start w:val="1"/>
      <w:numFmt w:val="bullet"/>
      <w:lvlText w:val=""/>
      <w:lvlJc w:val="left"/>
      <w:pPr>
        <w:tabs>
          <w:tab w:val="num" w:pos="720"/>
        </w:tabs>
        <w:ind w:left="720" w:hanging="360"/>
      </w:pPr>
      <w:rPr>
        <w:rFonts w:ascii="Wingdings 3" w:hAnsi="Wingdings 3" w:hint="default"/>
      </w:rPr>
    </w:lvl>
    <w:lvl w:ilvl="1" w:tplc="3714760E" w:tentative="1">
      <w:start w:val="1"/>
      <w:numFmt w:val="bullet"/>
      <w:lvlText w:val=""/>
      <w:lvlJc w:val="left"/>
      <w:pPr>
        <w:tabs>
          <w:tab w:val="num" w:pos="1440"/>
        </w:tabs>
        <w:ind w:left="1440" w:hanging="360"/>
      </w:pPr>
      <w:rPr>
        <w:rFonts w:ascii="Wingdings 3" w:hAnsi="Wingdings 3" w:hint="default"/>
      </w:rPr>
    </w:lvl>
    <w:lvl w:ilvl="2" w:tplc="7C9A9530" w:tentative="1">
      <w:start w:val="1"/>
      <w:numFmt w:val="bullet"/>
      <w:lvlText w:val=""/>
      <w:lvlJc w:val="left"/>
      <w:pPr>
        <w:tabs>
          <w:tab w:val="num" w:pos="2160"/>
        </w:tabs>
        <w:ind w:left="2160" w:hanging="360"/>
      </w:pPr>
      <w:rPr>
        <w:rFonts w:ascii="Wingdings 3" w:hAnsi="Wingdings 3" w:hint="default"/>
      </w:rPr>
    </w:lvl>
    <w:lvl w:ilvl="3" w:tplc="F7C6FC42" w:tentative="1">
      <w:start w:val="1"/>
      <w:numFmt w:val="bullet"/>
      <w:lvlText w:val=""/>
      <w:lvlJc w:val="left"/>
      <w:pPr>
        <w:tabs>
          <w:tab w:val="num" w:pos="2880"/>
        </w:tabs>
        <w:ind w:left="2880" w:hanging="360"/>
      </w:pPr>
      <w:rPr>
        <w:rFonts w:ascii="Wingdings 3" w:hAnsi="Wingdings 3" w:hint="default"/>
      </w:rPr>
    </w:lvl>
    <w:lvl w:ilvl="4" w:tplc="191A4338" w:tentative="1">
      <w:start w:val="1"/>
      <w:numFmt w:val="bullet"/>
      <w:lvlText w:val=""/>
      <w:lvlJc w:val="left"/>
      <w:pPr>
        <w:tabs>
          <w:tab w:val="num" w:pos="3600"/>
        </w:tabs>
        <w:ind w:left="3600" w:hanging="360"/>
      </w:pPr>
      <w:rPr>
        <w:rFonts w:ascii="Wingdings 3" w:hAnsi="Wingdings 3" w:hint="default"/>
      </w:rPr>
    </w:lvl>
    <w:lvl w:ilvl="5" w:tplc="33BAE8D8" w:tentative="1">
      <w:start w:val="1"/>
      <w:numFmt w:val="bullet"/>
      <w:lvlText w:val=""/>
      <w:lvlJc w:val="left"/>
      <w:pPr>
        <w:tabs>
          <w:tab w:val="num" w:pos="4320"/>
        </w:tabs>
        <w:ind w:left="4320" w:hanging="360"/>
      </w:pPr>
      <w:rPr>
        <w:rFonts w:ascii="Wingdings 3" w:hAnsi="Wingdings 3" w:hint="default"/>
      </w:rPr>
    </w:lvl>
    <w:lvl w:ilvl="6" w:tplc="37180CBA" w:tentative="1">
      <w:start w:val="1"/>
      <w:numFmt w:val="bullet"/>
      <w:lvlText w:val=""/>
      <w:lvlJc w:val="left"/>
      <w:pPr>
        <w:tabs>
          <w:tab w:val="num" w:pos="5040"/>
        </w:tabs>
        <w:ind w:left="5040" w:hanging="360"/>
      </w:pPr>
      <w:rPr>
        <w:rFonts w:ascii="Wingdings 3" w:hAnsi="Wingdings 3" w:hint="default"/>
      </w:rPr>
    </w:lvl>
    <w:lvl w:ilvl="7" w:tplc="8E70E4B4" w:tentative="1">
      <w:start w:val="1"/>
      <w:numFmt w:val="bullet"/>
      <w:lvlText w:val=""/>
      <w:lvlJc w:val="left"/>
      <w:pPr>
        <w:tabs>
          <w:tab w:val="num" w:pos="5760"/>
        </w:tabs>
        <w:ind w:left="5760" w:hanging="360"/>
      </w:pPr>
      <w:rPr>
        <w:rFonts w:ascii="Wingdings 3" w:hAnsi="Wingdings 3" w:hint="default"/>
      </w:rPr>
    </w:lvl>
    <w:lvl w:ilvl="8" w:tplc="8F8464A6"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6E0731F"/>
    <w:multiLevelType w:val="hybridMultilevel"/>
    <w:tmpl w:val="94E4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26E09"/>
    <w:multiLevelType w:val="hybridMultilevel"/>
    <w:tmpl w:val="1706B276"/>
    <w:lvl w:ilvl="0" w:tplc="C87858A4">
      <w:start w:val="1"/>
      <w:numFmt w:val="bullet"/>
      <w:lvlText w:val=""/>
      <w:lvlJc w:val="left"/>
      <w:pPr>
        <w:tabs>
          <w:tab w:val="num" w:pos="720"/>
        </w:tabs>
        <w:ind w:left="720" w:hanging="360"/>
      </w:pPr>
      <w:rPr>
        <w:rFonts w:ascii="Wingdings 3" w:hAnsi="Wingdings 3" w:hint="default"/>
      </w:rPr>
    </w:lvl>
    <w:lvl w:ilvl="1" w:tplc="FF8E6F2A" w:tentative="1">
      <w:start w:val="1"/>
      <w:numFmt w:val="bullet"/>
      <w:lvlText w:val=""/>
      <w:lvlJc w:val="left"/>
      <w:pPr>
        <w:tabs>
          <w:tab w:val="num" w:pos="1440"/>
        </w:tabs>
        <w:ind w:left="1440" w:hanging="360"/>
      </w:pPr>
      <w:rPr>
        <w:rFonts w:ascii="Wingdings 3" w:hAnsi="Wingdings 3" w:hint="default"/>
      </w:rPr>
    </w:lvl>
    <w:lvl w:ilvl="2" w:tplc="27F2C09E" w:tentative="1">
      <w:start w:val="1"/>
      <w:numFmt w:val="bullet"/>
      <w:lvlText w:val=""/>
      <w:lvlJc w:val="left"/>
      <w:pPr>
        <w:tabs>
          <w:tab w:val="num" w:pos="2160"/>
        </w:tabs>
        <w:ind w:left="2160" w:hanging="360"/>
      </w:pPr>
      <w:rPr>
        <w:rFonts w:ascii="Wingdings 3" w:hAnsi="Wingdings 3" w:hint="default"/>
      </w:rPr>
    </w:lvl>
    <w:lvl w:ilvl="3" w:tplc="089CB9FC" w:tentative="1">
      <w:start w:val="1"/>
      <w:numFmt w:val="bullet"/>
      <w:lvlText w:val=""/>
      <w:lvlJc w:val="left"/>
      <w:pPr>
        <w:tabs>
          <w:tab w:val="num" w:pos="2880"/>
        </w:tabs>
        <w:ind w:left="2880" w:hanging="360"/>
      </w:pPr>
      <w:rPr>
        <w:rFonts w:ascii="Wingdings 3" w:hAnsi="Wingdings 3" w:hint="default"/>
      </w:rPr>
    </w:lvl>
    <w:lvl w:ilvl="4" w:tplc="777C420C" w:tentative="1">
      <w:start w:val="1"/>
      <w:numFmt w:val="bullet"/>
      <w:lvlText w:val=""/>
      <w:lvlJc w:val="left"/>
      <w:pPr>
        <w:tabs>
          <w:tab w:val="num" w:pos="3600"/>
        </w:tabs>
        <w:ind w:left="3600" w:hanging="360"/>
      </w:pPr>
      <w:rPr>
        <w:rFonts w:ascii="Wingdings 3" w:hAnsi="Wingdings 3" w:hint="default"/>
      </w:rPr>
    </w:lvl>
    <w:lvl w:ilvl="5" w:tplc="4DDC4998" w:tentative="1">
      <w:start w:val="1"/>
      <w:numFmt w:val="bullet"/>
      <w:lvlText w:val=""/>
      <w:lvlJc w:val="left"/>
      <w:pPr>
        <w:tabs>
          <w:tab w:val="num" w:pos="4320"/>
        </w:tabs>
        <w:ind w:left="4320" w:hanging="360"/>
      </w:pPr>
      <w:rPr>
        <w:rFonts w:ascii="Wingdings 3" w:hAnsi="Wingdings 3" w:hint="default"/>
      </w:rPr>
    </w:lvl>
    <w:lvl w:ilvl="6" w:tplc="B73E7014" w:tentative="1">
      <w:start w:val="1"/>
      <w:numFmt w:val="bullet"/>
      <w:lvlText w:val=""/>
      <w:lvlJc w:val="left"/>
      <w:pPr>
        <w:tabs>
          <w:tab w:val="num" w:pos="5040"/>
        </w:tabs>
        <w:ind w:left="5040" w:hanging="360"/>
      </w:pPr>
      <w:rPr>
        <w:rFonts w:ascii="Wingdings 3" w:hAnsi="Wingdings 3" w:hint="default"/>
      </w:rPr>
    </w:lvl>
    <w:lvl w:ilvl="7" w:tplc="26A4D79A" w:tentative="1">
      <w:start w:val="1"/>
      <w:numFmt w:val="bullet"/>
      <w:lvlText w:val=""/>
      <w:lvlJc w:val="left"/>
      <w:pPr>
        <w:tabs>
          <w:tab w:val="num" w:pos="5760"/>
        </w:tabs>
        <w:ind w:left="5760" w:hanging="360"/>
      </w:pPr>
      <w:rPr>
        <w:rFonts w:ascii="Wingdings 3" w:hAnsi="Wingdings 3" w:hint="default"/>
      </w:rPr>
    </w:lvl>
    <w:lvl w:ilvl="8" w:tplc="B088D014"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DC2061A"/>
    <w:multiLevelType w:val="hybridMultilevel"/>
    <w:tmpl w:val="962E0678"/>
    <w:lvl w:ilvl="0" w:tplc="84ECF776">
      <w:start w:val="1"/>
      <w:numFmt w:val="bullet"/>
      <w:lvlText w:val=""/>
      <w:lvlJc w:val="left"/>
      <w:pPr>
        <w:tabs>
          <w:tab w:val="num" w:pos="720"/>
        </w:tabs>
        <w:ind w:left="720" w:hanging="360"/>
      </w:pPr>
      <w:rPr>
        <w:rFonts w:ascii="Wingdings 3" w:hAnsi="Wingdings 3" w:hint="default"/>
      </w:rPr>
    </w:lvl>
    <w:lvl w:ilvl="1" w:tplc="F50C64B6" w:tentative="1">
      <w:start w:val="1"/>
      <w:numFmt w:val="bullet"/>
      <w:lvlText w:val=""/>
      <w:lvlJc w:val="left"/>
      <w:pPr>
        <w:tabs>
          <w:tab w:val="num" w:pos="1440"/>
        </w:tabs>
        <w:ind w:left="1440" w:hanging="360"/>
      </w:pPr>
      <w:rPr>
        <w:rFonts w:ascii="Wingdings 3" w:hAnsi="Wingdings 3" w:hint="default"/>
      </w:rPr>
    </w:lvl>
    <w:lvl w:ilvl="2" w:tplc="2390BEAC" w:tentative="1">
      <w:start w:val="1"/>
      <w:numFmt w:val="bullet"/>
      <w:lvlText w:val=""/>
      <w:lvlJc w:val="left"/>
      <w:pPr>
        <w:tabs>
          <w:tab w:val="num" w:pos="2160"/>
        </w:tabs>
        <w:ind w:left="2160" w:hanging="360"/>
      </w:pPr>
      <w:rPr>
        <w:rFonts w:ascii="Wingdings 3" w:hAnsi="Wingdings 3" w:hint="default"/>
      </w:rPr>
    </w:lvl>
    <w:lvl w:ilvl="3" w:tplc="546C18B8" w:tentative="1">
      <w:start w:val="1"/>
      <w:numFmt w:val="bullet"/>
      <w:lvlText w:val=""/>
      <w:lvlJc w:val="left"/>
      <w:pPr>
        <w:tabs>
          <w:tab w:val="num" w:pos="2880"/>
        </w:tabs>
        <w:ind w:left="2880" w:hanging="360"/>
      </w:pPr>
      <w:rPr>
        <w:rFonts w:ascii="Wingdings 3" w:hAnsi="Wingdings 3" w:hint="default"/>
      </w:rPr>
    </w:lvl>
    <w:lvl w:ilvl="4" w:tplc="93D02106" w:tentative="1">
      <w:start w:val="1"/>
      <w:numFmt w:val="bullet"/>
      <w:lvlText w:val=""/>
      <w:lvlJc w:val="left"/>
      <w:pPr>
        <w:tabs>
          <w:tab w:val="num" w:pos="3600"/>
        </w:tabs>
        <w:ind w:left="3600" w:hanging="360"/>
      </w:pPr>
      <w:rPr>
        <w:rFonts w:ascii="Wingdings 3" w:hAnsi="Wingdings 3" w:hint="default"/>
      </w:rPr>
    </w:lvl>
    <w:lvl w:ilvl="5" w:tplc="470AA35E" w:tentative="1">
      <w:start w:val="1"/>
      <w:numFmt w:val="bullet"/>
      <w:lvlText w:val=""/>
      <w:lvlJc w:val="left"/>
      <w:pPr>
        <w:tabs>
          <w:tab w:val="num" w:pos="4320"/>
        </w:tabs>
        <w:ind w:left="4320" w:hanging="360"/>
      </w:pPr>
      <w:rPr>
        <w:rFonts w:ascii="Wingdings 3" w:hAnsi="Wingdings 3" w:hint="default"/>
      </w:rPr>
    </w:lvl>
    <w:lvl w:ilvl="6" w:tplc="B75A65B0" w:tentative="1">
      <w:start w:val="1"/>
      <w:numFmt w:val="bullet"/>
      <w:lvlText w:val=""/>
      <w:lvlJc w:val="left"/>
      <w:pPr>
        <w:tabs>
          <w:tab w:val="num" w:pos="5040"/>
        </w:tabs>
        <w:ind w:left="5040" w:hanging="360"/>
      </w:pPr>
      <w:rPr>
        <w:rFonts w:ascii="Wingdings 3" w:hAnsi="Wingdings 3" w:hint="default"/>
      </w:rPr>
    </w:lvl>
    <w:lvl w:ilvl="7" w:tplc="6902CA96" w:tentative="1">
      <w:start w:val="1"/>
      <w:numFmt w:val="bullet"/>
      <w:lvlText w:val=""/>
      <w:lvlJc w:val="left"/>
      <w:pPr>
        <w:tabs>
          <w:tab w:val="num" w:pos="5760"/>
        </w:tabs>
        <w:ind w:left="5760" w:hanging="360"/>
      </w:pPr>
      <w:rPr>
        <w:rFonts w:ascii="Wingdings 3" w:hAnsi="Wingdings 3" w:hint="default"/>
      </w:rPr>
    </w:lvl>
    <w:lvl w:ilvl="8" w:tplc="95427BE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3F845B56"/>
    <w:multiLevelType w:val="hybridMultilevel"/>
    <w:tmpl w:val="8C1A4616"/>
    <w:lvl w:ilvl="0" w:tplc="33EA1D38">
      <w:start w:val="1"/>
      <w:numFmt w:val="bullet"/>
      <w:lvlText w:val=""/>
      <w:lvlJc w:val="left"/>
      <w:pPr>
        <w:tabs>
          <w:tab w:val="num" w:pos="720"/>
        </w:tabs>
        <w:ind w:left="720" w:hanging="360"/>
      </w:pPr>
      <w:rPr>
        <w:rFonts w:ascii="Wingdings 3" w:hAnsi="Wingdings 3" w:hint="default"/>
      </w:rPr>
    </w:lvl>
    <w:lvl w:ilvl="1" w:tplc="6DB2ACC8">
      <w:numFmt w:val="bullet"/>
      <w:lvlText w:val=""/>
      <w:lvlJc w:val="left"/>
      <w:pPr>
        <w:tabs>
          <w:tab w:val="num" w:pos="1440"/>
        </w:tabs>
        <w:ind w:left="1440" w:hanging="360"/>
      </w:pPr>
      <w:rPr>
        <w:rFonts w:ascii="Wingdings 3" w:hAnsi="Wingdings 3" w:hint="default"/>
      </w:rPr>
    </w:lvl>
    <w:lvl w:ilvl="2" w:tplc="EFDA0400" w:tentative="1">
      <w:start w:val="1"/>
      <w:numFmt w:val="bullet"/>
      <w:lvlText w:val=""/>
      <w:lvlJc w:val="left"/>
      <w:pPr>
        <w:tabs>
          <w:tab w:val="num" w:pos="2160"/>
        </w:tabs>
        <w:ind w:left="2160" w:hanging="360"/>
      </w:pPr>
      <w:rPr>
        <w:rFonts w:ascii="Wingdings 3" w:hAnsi="Wingdings 3" w:hint="default"/>
      </w:rPr>
    </w:lvl>
    <w:lvl w:ilvl="3" w:tplc="B31843AA" w:tentative="1">
      <w:start w:val="1"/>
      <w:numFmt w:val="bullet"/>
      <w:lvlText w:val=""/>
      <w:lvlJc w:val="left"/>
      <w:pPr>
        <w:tabs>
          <w:tab w:val="num" w:pos="2880"/>
        </w:tabs>
        <w:ind w:left="2880" w:hanging="360"/>
      </w:pPr>
      <w:rPr>
        <w:rFonts w:ascii="Wingdings 3" w:hAnsi="Wingdings 3" w:hint="default"/>
      </w:rPr>
    </w:lvl>
    <w:lvl w:ilvl="4" w:tplc="55340DD0" w:tentative="1">
      <w:start w:val="1"/>
      <w:numFmt w:val="bullet"/>
      <w:lvlText w:val=""/>
      <w:lvlJc w:val="left"/>
      <w:pPr>
        <w:tabs>
          <w:tab w:val="num" w:pos="3600"/>
        </w:tabs>
        <w:ind w:left="3600" w:hanging="360"/>
      </w:pPr>
      <w:rPr>
        <w:rFonts w:ascii="Wingdings 3" w:hAnsi="Wingdings 3" w:hint="default"/>
      </w:rPr>
    </w:lvl>
    <w:lvl w:ilvl="5" w:tplc="2B9ED8B4" w:tentative="1">
      <w:start w:val="1"/>
      <w:numFmt w:val="bullet"/>
      <w:lvlText w:val=""/>
      <w:lvlJc w:val="left"/>
      <w:pPr>
        <w:tabs>
          <w:tab w:val="num" w:pos="4320"/>
        </w:tabs>
        <w:ind w:left="4320" w:hanging="360"/>
      </w:pPr>
      <w:rPr>
        <w:rFonts w:ascii="Wingdings 3" w:hAnsi="Wingdings 3" w:hint="default"/>
      </w:rPr>
    </w:lvl>
    <w:lvl w:ilvl="6" w:tplc="EBACB764" w:tentative="1">
      <w:start w:val="1"/>
      <w:numFmt w:val="bullet"/>
      <w:lvlText w:val=""/>
      <w:lvlJc w:val="left"/>
      <w:pPr>
        <w:tabs>
          <w:tab w:val="num" w:pos="5040"/>
        </w:tabs>
        <w:ind w:left="5040" w:hanging="360"/>
      </w:pPr>
      <w:rPr>
        <w:rFonts w:ascii="Wingdings 3" w:hAnsi="Wingdings 3" w:hint="default"/>
      </w:rPr>
    </w:lvl>
    <w:lvl w:ilvl="7" w:tplc="06880D72" w:tentative="1">
      <w:start w:val="1"/>
      <w:numFmt w:val="bullet"/>
      <w:lvlText w:val=""/>
      <w:lvlJc w:val="left"/>
      <w:pPr>
        <w:tabs>
          <w:tab w:val="num" w:pos="5760"/>
        </w:tabs>
        <w:ind w:left="5760" w:hanging="360"/>
      </w:pPr>
      <w:rPr>
        <w:rFonts w:ascii="Wingdings 3" w:hAnsi="Wingdings 3" w:hint="default"/>
      </w:rPr>
    </w:lvl>
    <w:lvl w:ilvl="8" w:tplc="529C885E"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5964EA8"/>
    <w:multiLevelType w:val="hybridMultilevel"/>
    <w:tmpl w:val="B4687F70"/>
    <w:lvl w:ilvl="0" w:tplc="4A64623A">
      <w:start w:val="1"/>
      <w:numFmt w:val="bullet"/>
      <w:lvlText w:val=""/>
      <w:lvlJc w:val="left"/>
      <w:pPr>
        <w:tabs>
          <w:tab w:val="num" w:pos="720"/>
        </w:tabs>
        <w:ind w:left="720" w:hanging="360"/>
      </w:pPr>
      <w:rPr>
        <w:rFonts w:ascii="Wingdings 3" w:hAnsi="Wingdings 3" w:hint="default"/>
      </w:rPr>
    </w:lvl>
    <w:lvl w:ilvl="1" w:tplc="D6B68EC6">
      <w:start w:val="1"/>
      <w:numFmt w:val="bullet"/>
      <w:lvlText w:val=""/>
      <w:lvlJc w:val="left"/>
      <w:pPr>
        <w:tabs>
          <w:tab w:val="num" w:pos="1440"/>
        </w:tabs>
        <w:ind w:left="1440" w:hanging="360"/>
      </w:pPr>
      <w:rPr>
        <w:rFonts w:ascii="Wingdings 3" w:hAnsi="Wingdings 3" w:hint="default"/>
      </w:rPr>
    </w:lvl>
    <w:lvl w:ilvl="2" w:tplc="B47A503A" w:tentative="1">
      <w:start w:val="1"/>
      <w:numFmt w:val="bullet"/>
      <w:lvlText w:val=""/>
      <w:lvlJc w:val="left"/>
      <w:pPr>
        <w:tabs>
          <w:tab w:val="num" w:pos="2160"/>
        </w:tabs>
        <w:ind w:left="2160" w:hanging="360"/>
      </w:pPr>
      <w:rPr>
        <w:rFonts w:ascii="Wingdings 3" w:hAnsi="Wingdings 3" w:hint="default"/>
      </w:rPr>
    </w:lvl>
    <w:lvl w:ilvl="3" w:tplc="268070A8" w:tentative="1">
      <w:start w:val="1"/>
      <w:numFmt w:val="bullet"/>
      <w:lvlText w:val=""/>
      <w:lvlJc w:val="left"/>
      <w:pPr>
        <w:tabs>
          <w:tab w:val="num" w:pos="2880"/>
        </w:tabs>
        <w:ind w:left="2880" w:hanging="360"/>
      </w:pPr>
      <w:rPr>
        <w:rFonts w:ascii="Wingdings 3" w:hAnsi="Wingdings 3" w:hint="default"/>
      </w:rPr>
    </w:lvl>
    <w:lvl w:ilvl="4" w:tplc="7D8E0E0C" w:tentative="1">
      <w:start w:val="1"/>
      <w:numFmt w:val="bullet"/>
      <w:lvlText w:val=""/>
      <w:lvlJc w:val="left"/>
      <w:pPr>
        <w:tabs>
          <w:tab w:val="num" w:pos="3600"/>
        </w:tabs>
        <w:ind w:left="3600" w:hanging="360"/>
      </w:pPr>
      <w:rPr>
        <w:rFonts w:ascii="Wingdings 3" w:hAnsi="Wingdings 3" w:hint="default"/>
      </w:rPr>
    </w:lvl>
    <w:lvl w:ilvl="5" w:tplc="2948FBE2" w:tentative="1">
      <w:start w:val="1"/>
      <w:numFmt w:val="bullet"/>
      <w:lvlText w:val=""/>
      <w:lvlJc w:val="left"/>
      <w:pPr>
        <w:tabs>
          <w:tab w:val="num" w:pos="4320"/>
        </w:tabs>
        <w:ind w:left="4320" w:hanging="360"/>
      </w:pPr>
      <w:rPr>
        <w:rFonts w:ascii="Wingdings 3" w:hAnsi="Wingdings 3" w:hint="default"/>
      </w:rPr>
    </w:lvl>
    <w:lvl w:ilvl="6" w:tplc="CC348A32" w:tentative="1">
      <w:start w:val="1"/>
      <w:numFmt w:val="bullet"/>
      <w:lvlText w:val=""/>
      <w:lvlJc w:val="left"/>
      <w:pPr>
        <w:tabs>
          <w:tab w:val="num" w:pos="5040"/>
        </w:tabs>
        <w:ind w:left="5040" w:hanging="360"/>
      </w:pPr>
      <w:rPr>
        <w:rFonts w:ascii="Wingdings 3" w:hAnsi="Wingdings 3" w:hint="default"/>
      </w:rPr>
    </w:lvl>
    <w:lvl w:ilvl="7" w:tplc="0480076A" w:tentative="1">
      <w:start w:val="1"/>
      <w:numFmt w:val="bullet"/>
      <w:lvlText w:val=""/>
      <w:lvlJc w:val="left"/>
      <w:pPr>
        <w:tabs>
          <w:tab w:val="num" w:pos="5760"/>
        </w:tabs>
        <w:ind w:left="5760" w:hanging="360"/>
      </w:pPr>
      <w:rPr>
        <w:rFonts w:ascii="Wingdings 3" w:hAnsi="Wingdings 3" w:hint="default"/>
      </w:rPr>
    </w:lvl>
    <w:lvl w:ilvl="8" w:tplc="DCB8FB12"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7D45B39"/>
    <w:multiLevelType w:val="hybridMultilevel"/>
    <w:tmpl w:val="D6FAB432"/>
    <w:lvl w:ilvl="0" w:tplc="685C2D4A">
      <w:start w:val="1"/>
      <w:numFmt w:val="bullet"/>
      <w:lvlText w:val=""/>
      <w:lvlJc w:val="left"/>
      <w:pPr>
        <w:tabs>
          <w:tab w:val="num" w:pos="720"/>
        </w:tabs>
        <w:ind w:left="720" w:hanging="360"/>
      </w:pPr>
      <w:rPr>
        <w:rFonts w:ascii="Wingdings 3" w:hAnsi="Wingdings 3" w:hint="default"/>
      </w:rPr>
    </w:lvl>
    <w:lvl w:ilvl="1" w:tplc="EC866D46">
      <w:numFmt w:val="bullet"/>
      <w:lvlText w:val=""/>
      <w:lvlJc w:val="left"/>
      <w:pPr>
        <w:tabs>
          <w:tab w:val="num" w:pos="1440"/>
        </w:tabs>
        <w:ind w:left="1440" w:hanging="360"/>
      </w:pPr>
      <w:rPr>
        <w:rFonts w:ascii="Wingdings 3" w:hAnsi="Wingdings 3" w:hint="default"/>
      </w:rPr>
    </w:lvl>
    <w:lvl w:ilvl="2" w:tplc="7660D41A" w:tentative="1">
      <w:start w:val="1"/>
      <w:numFmt w:val="bullet"/>
      <w:lvlText w:val=""/>
      <w:lvlJc w:val="left"/>
      <w:pPr>
        <w:tabs>
          <w:tab w:val="num" w:pos="2160"/>
        </w:tabs>
        <w:ind w:left="2160" w:hanging="360"/>
      </w:pPr>
      <w:rPr>
        <w:rFonts w:ascii="Wingdings 3" w:hAnsi="Wingdings 3" w:hint="default"/>
      </w:rPr>
    </w:lvl>
    <w:lvl w:ilvl="3" w:tplc="72F0BD78" w:tentative="1">
      <w:start w:val="1"/>
      <w:numFmt w:val="bullet"/>
      <w:lvlText w:val=""/>
      <w:lvlJc w:val="left"/>
      <w:pPr>
        <w:tabs>
          <w:tab w:val="num" w:pos="2880"/>
        </w:tabs>
        <w:ind w:left="2880" w:hanging="360"/>
      </w:pPr>
      <w:rPr>
        <w:rFonts w:ascii="Wingdings 3" w:hAnsi="Wingdings 3" w:hint="default"/>
      </w:rPr>
    </w:lvl>
    <w:lvl w:ilvl="4" w:tplc="390CFE82" w:tentative="1">
      <w:start w:val="1"/>
      <w:numFmt w:val="bullet"/>
      <w:lvlText w:val=""/>
      <w:lvlJc w:val="left"/>
      <w:pPr>
        <w:tabs>
          <w:tab w:val="num" w:pos="3600"/>
        </w:tabs>
        <w:ind w:left="3600" w:hanging="360"/>
      </w:pPr>
      <w:rPr>
        <w:rFonts w:ascii="Wingdings 3" w:hAnsi="Wingdings 3" w:hint="default"/>
      </w:rPr>
    </w:lvl>
    <w:lvl w:ilvl="5" w:tplc="7760064C" w:tentative="1">
      <w:start w:val="1"/>
      <w:numFmt w:val="bullet"/>
      <w:lvlText w:val=""/>
      <w:lvlJc w:val="left"/>
      <w:pPr>
        <w:tabs>
          <w:tab w:val="num" w:pos="4320"/>
        </w:tabs>
        <w:ind w:left="4320" w:hanging="360"/>
      </w:pPr>
      <w:rPr>
        <w:rFonts w:ascii="Wingdings 3" w:hAnsi="Wingdings 3" w:hint="default"/>
      </w:rPr>
    </w:lvl>
    <w:lvl w:ilvl="6" w:tplc="FAF29E70" w:tentative="1">
      <w:start w:val="1"/>
      <w:numFmt w:val="bullet"/>
      <w:lvlText w:val=""/>
      <w:lvlJc w:val="left"/>
      <w:pPr>
        <w:tabs>
          <w:tab w:val="num" w:pos="5040"/>
        </w:tabs>
        <w:ind w:left="5040" w:hanging="360"/>
      </w:pPr>
      <w:rPr>
        <w:rFonts w:ascii="Wingdings 3" w:hAnsi="Wingdings 3" w:hint="default"/>
      </w:rPr>
    </w:lvl>
    <w:lvl w:ilvl="7" w:tplc="B5D412BC" w:tentative="1">
      <w:start w:val="1"/>
      <w:numFmt w:val="bullet"/>
      <w:lvlText w:val=""/>
      <w:lvlJc w:val="left"/>
      <w:pPr>
        <w:tabs>
          <w:tab w:val="num" w:pos="5760"/>
        </w:tabs>
        <w:ind w:left="5760" w:hanging="360"/>
      </w:pPr>
      <w:rPr>
        <w:rFonts w:ascii="Wingdings 3" w:hAnsi="Wingdings 3" w:hint="default"/>
      </w:rPr>
    </w:lvl>
    <w:lvl w:ilvl="8" w:tplc="1F6846E8"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4D4B716D"/>
    <w:multiLevelType w:val="hybridMultilevel"/>
    <w:tmpl w:val="43F680D8"/>
    <w:lvl w:ilvl="0" w:tplc="7E3A0BF2">
      <w:start w:val="1"/>
      <w:numFmt w:val="bullet"/>
      <w:lvlText w:val=""/>
      <w:lvlJc w:val="left"/>
      <w:pPr>
        <w:tabs>
          <w:tab w:val="num" w:pos="720"/>
        </w:tabs>
        <w:ind w:left="720" w:hanging="360"/>
      </w:pPr>
      <w:rPr>
        <w:rFonts w:ascii="Wingdings 3" w:hAnsi="Wingdings 3" w:hint="default"/>
      </w:rPr>
    </w:lvl>
    <w:lvl w:ilvl="1" w:tplc="C55CD170">
      <w:start w:val="1"/>
      <w:numFmt w:val="bullet"/>
      <w:lvlText w:val=""/>
      <w:lvlJc w:val="left"/>
      <w:pPr>
        <w:tabs>
          <w:tab w:val="num" w:pos="1440"/>
        </w:tabs>
        <w:ind w:left="1440" w:hanging="360"/>
      </w:pPr>
      <w:rPr>
        <w:rFonts w:ascii="Wingdings 3" w:hAnsi="Wingdings 3" w:hint="default"/>
      </w:rPr>
    </w:lvl>
    <w:lvl w:ilvl="2" w:tplc="5374F7AE" w:tentative="1">
      <w:start w:val="1"/>
      <w:numFmt w:val="bullet"/>
      <w:lvlText w:val=""/>
      <w:lvlJc w:val="left"/>
      <w:pPr>
        <w:tabs>
          <w:tab w:val="num" w:pos="2160"/>
        </w:tabs>
        <w:ind w:left="2160" w:hanging="360"/>
      </w:pPr>
      <w:rPr>
        <w:rFonts w:ascii="Wingdings 3" w:hAnsi="Wingdings 3" w:hint="default"/>
      </w:rPr>
    </w:lvl>
    <w:lvl w:ilvl="3" w:tplc="765640CE" w:tentative="1">
      <w:start w:val="1"/>
      <w:numFmt w:val="bullet"/>
      <w:lvlText w:val=""/>
      <w:lvlJc w:val="left"/>
      <w:pPr>
        <w:tabs>
          <w:tab w:val="num" w:pos="2880"/>
        </w:tabs>
        <w:ind w:left="2880" w:hanging="360"/>
      </w:pPr>
      <w:rPr>
        <w:rFonts w:ascii="Wingdings 3" w:hAnsi="Wingdings 3" w:hint="default"/>
      </w:rPr>
    </w:lvl>
    <w:lvl w:ilvl="4" w:tplc="AFC8112E" w:tentative="1">
      <w:start w:val="1"/>
      <w:numFmt w:val="bullet"/>
      <w:lvlText w:val=""/>
      <w:lvlJc w:val="left"/>
      <w:pPr>
        <w:tabs>
          <w:tab w:val="num" w:pos="3600"/>
        </w:tabs>
        <w:ind w:left="3600" w:hanging="360"/>
      </w:pPr>
      <w:rPr>
        <w:rFonts w:ascii="Wingdings 3" w:hAnsi="Wingdings 3" w:hint="default"/>
      </w:rPr>
    </w:lvl>
    <w:lvl w:ilvl="5" w:tplc="74206A96" w:tentative="1">
      <w:start w:val="1"/>
      <w:numFmt w:val="bullet"/>
      <w:lvlText w:val=""/>
      <w:lvlJc w:val="left"/>
      <w:pPr>
        <w:tabs>
          <w:tab w:val="num" w:pos="4320"/>
        </w:tabs>
        <w:ind w:left="4320" w:hanging="360"/>
      </w:pPr>
      <w:rPr>
        <w:rFonts w:ascii="Wingdings 3" w:hAnsi="Wingdings 3" w:hint="default"/>
      </w:rPr>
    </w:lvl>
    <w:lvl w:ilvl="6" w:tplc="601CA1BC" w:tentative="1">
      <w:start w:val="1"/>
      <w:numFmt w:val="bullet"/>
      <w:lvlText w:val=""/>
      <w:lvlJc w:val="left"/>
      <w:pPr>
        <w:tabs>
          <w:tab w:val="num" w:pos="5040"/>
        </w:tabs>
        <w:ind w:left="5040" w:hanging="360"/>
      </w:pPr>
      <w:rPr>
        <w:rFonts w:ascii="Wingdings 3" w:hAnsi="Wingdings 3" w:hint="default"/>
      </w:rPr>
    </w:lvl>
    <w:lvl w:ilvl="7" w:tplc="31FE43E4" w:tentative="1">
      <w:start w:val="1"/>
      <w:numFmt w:val="bullet"/>
      <w:lvlText w:val=""/>
      <w:lvlJc w:val="left"/>
      <w:pPr>
        <w:tabs>
          <w:tab w:val="num" w:pos="5760"/>
        </w:tabs>
        <w:ind w:left="5760" w:hanging="360"/>
      </w:pPr>
      <w:rPr>
        <w:rFonts w:ascii="Wingdings 3" w:hAnsi="Wingdings 3" w:hint="default"/>
      </w:rPr>
    </w:lvl>
    <w:lvl w:ilvl="8" w:tplc="11FE7F56"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E1957FA"/>
    <w:multiLevelType w:val="hybridMultilevel"/>
    <w:tmpl w:val="ABBA8A4E"/>
    <w:lvl w:ilvl="0" w:tplc="65C49CE4">
      <w:start w:val="1"/>
      <w:numFmt w:val="bullet"/>
      <w:lvlText w:val=""/>
      <w:lvlJc w:val="left"/>
      <w:pPr>
        <w:tabs>
          <w:tab w:val="num" w:pos="720"/>
        </w:tabs>
        <w:ind w:left="720" w:hanging="360"/>
      </w:pPr>
      <w:rPr>
        <w:rFonts w:ascii="Wingdings 3" w:hAnsi="Wingdings 3" w:hint="default"/>
      </w:rPr>
    </w:lvl>
    <w:lvl w:ilvl="1" w:tplc="4A4CCA6E">
      <w:numFmt w:val="bullet"/>
      <w:lvlText w:val=""/>
      <w:lvlJc w:val="left"/>
      <w:pPr>
        <w:tabs>
          <w:tab w:val="num" w:pos="1440"/>
        </w:tabs>
        <w:ind w:left="1440" w:hanging="360"/>
      </w:pPr>
      <w:rPr>
        <w:rFonts w:ascii="Wingdings 3" w:hAnsi="Wingdings 3" w:hint="default"/>
      </w:rPr>
    </w:lvl>
    <w:lvl w:ilvl="2" w:tplc="9C225470" w:tentative="1">
      <w:start w:val="1"/>
      <w:numFmt w:val="bullet"/>
      <w:lvlText w:val=""/>
      <w:lvlJc w:val="left"/>
      <w:pPr>
        <w:tabs>
          <w:tab w:val="num" w:pos="2160"/>
        </w:tabs>
        <w:ind w:left="2160" w:hanging="360"/>
      </w:pPr>
      <w:rPr>
        <w:rFonts w:ascii="Wingdings 3" w:hAnsi="Wingdings 3" w:hint="default"/>
      </w:rPr>
    </w:lvl>
    <w:lvl w:ilvl="3" w:tplc="E6C017C8" w:tentative="1">
      <w:start w:val="1"/>
      <w:numFmt w:val="bullet"/>
      <w:lvlText w:val=""/>
      <w:lvlJc w:val="left"/>
      <w:pPr>
        <w:tabs>
          <w:tab w:val="num" w:pos="2880"/>
        </w:tabs>
        <w:ind w:left="2880" w:hanging="360"/>
      </w:pPr>
      <w:rPr>
        <w:rFonts w:ascii="Wingdings 3" w:hAnsi="Wingdings 3" w:hint="default"/>
      </w:rPr>
    </w:lvl>
    <w:lvl w:ilvl="4" w:tplc="AB206A08" w:tentative="1">
      <w:start w:val="1"/>
      <w:numFmt w:val="bullet"/>
      <w:lvlText w:val=""/>
      <w:lvlJc w:val="left"/>
      <w:pPr>
        <w:tabs>
          <w:tab w:val="num" w:pos="3600"/>
        </w:tabs>
        <w:ind w:left="3600" w:hanging="360"/>
      </w:pPr>
      <w:rPr>
        <w:rFonts w:ascii="Wingdings 3" w:hAnsi="Wingdings 3" w:hint="default"/>
      </w:rPr>
    </w:lvl>
    <w:lvl w:ilvl="5" w:tplc="36CA2E20" w:tentative="1">
      <w:start w:val="1"/>
      <w:numFmt w:val="bullet"/>
      <w:lvlText w:val=""/>
      <w:lvlJc w:val="left"/>
      <w:pPr>
        <w:tabs>
          <w:tab w:val="num" w:pos="4320"/>
        </w:tabs>
        <w:ind w:left="4320" w:hanging="360"/>
      </w:pPr>
      <w:rPr>
        <w:rFonts w:ascii="Wingdings 3" w:hAnsi="Wingdings 3" w:hint="default"/>
      </w:rPr>
    </w:lvl>
    <w:lvl w:ilvl="6" w:tplc="DD9C6A50" w:tentative="1">
      <w:start w:val="1"/>
      <w:numFmt w:val="bullet"/>
      <w:lvlText w:val=""/>
      <w:lvlJc w:val="left"/>
      <w:pPr>
        <w:tabs>
          <w:tab w:val="num" w:pos="5040"/>
        </w:tabs>
        <w:ind w:left="5040" w:hanging="360"/>
      </w:pPr>
      <w:rPr>
        <w:rFonts w:ascii="Wingdings 3" w:hAnsi="Wingdings 3" w:hint="default"/>
      </w:rPr>
    </w:lvl>
    <w:lvl w:ilvl="7" w:tplc="202E07F4" w:tentative="1">
      <w:start w:val="1"/>
      <w:numFmt w:val="bullet"/>
      <w:lvlText w:val=""/>
      <w:lvlJc w:val="left"/>
      <w:pPr>
        <w:tabs>
          <w:tab w:val="num" w:pos="5760"/>
        </w:tabs>
        <w:ind w:left="5760" w:hanging="360"/>
      </w:pPr>
      <w:rPr>
        <w:rFonts w:ascii="Wingdings 3" w:hAnsi="Wingdings 3" w:hint="default"/>
      </w:rPr>
    </w:lvl>
    <w:lvl w:ilvl="8" w:tplc="609A4AB6"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4E932ED1"/>
    <w:multiLevelType w:val="hybridMultilevel"/>
    <w:tmpl w:val="40F67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6E46B1"/>
    <w:multiLevelType w:val="hybridMultilevel"/>
    <w:tmpl w:val="7548C15A"/>
    <w:lvl w:ilvl="0" w:tplc="47EC9FA8">
      <w:start w:val="1"/>
      <w:numFmt w:val="bullet"/>
      <w:lvlText w:val=""/>
      <w:lvlJc w:val="left"/>
      <w:pPr>
        <w:tabs>
          <w:tab w:val="num" w:pos="720"/>
        </w:tabs>
        <w:ind w:left="720" w:hanging="360"/>
      </w:pPr>
      <w:rPr>
        <w:rFonts w:ascii="Wingdings 3" w:hAnsi="Wingdings 3" w:hint="default"/>
      </w:rPr>
    </w:lvl>
    <w:lvl w:ilvl="1" w:tplc="694E6CC2" w:tentative="1">
      <w:start w:val="1"/>
      <w:numFmt w:val="bullet"/>
      <w:lvlText w:val=""/>
      <w:lvlJc w:val="left"/>
      <w:pPr>
        <w:tabs>
          <w:tab w:val="num" w:pos="1440"/>
        </w:tabs>
        <w:ind w:left="1440" w:hanging="360"/>
      </w:pPr>
      <w:rPr>
        <w:rFonts w:ascii="Wingdings 3" w:hAnsi="Wingdings 3" w:hint="default"/>
      </w:rPr>
    </w:lvl>
    <w:lvl w:ilvl="2" w:tplc="B992A7F8" w:tentative="1">
      <w:start w:val="1"/>
      <w:numFmt w:val="bullet"/>
      <w:lvlText w:val=""/>
      <w:lvlJc w:val="left"/>
      <w:pPr>
        <w:tabs>
          <w:tab w:val="num" w:pos="2160"/>
        </w:tabs>
        <w:ind w:left="2160" w:hanging="360"/>
      </w:pPr>
      <w:rPr>
        <w:rFonts w:ascii="Wingdings 3" w:hAnsi="Wingdings 3" w:hint="default"/>
      </w:rPr>
    </w:lvl>
    <w:lvl w:ilvl="3" w:tplc="6AC47FF0" w:tentative="1">
      <w:start w:val="1"/>
      <w:numFmt w:val="bullet"/>
      <w:lvlText w:val=""/>
      <w:lvlJc w:val="left"/>
      <w:pPr>
        <w:tabs>
          <w:tab w:val="num" w:pos="2880"/>
        </w:tabs>
        <w:ind w:left="2880" w:hanging="360"/>
      </w:pPr>
      <w:rPr>
        <w:rFonts w:ascii="Wingdings 3" w:hAnsi="Wingdings 3" w:hint="default"/>
      </w:rPr>
    </w:lvl>
    <w:lvl w:ilvl="4" w:tplc="9F8EB976" w:tentative="1">
      <w:start w:val="1"/>
      <w:numFmt w:val="bullet"/>
      <w:lvlText w:val=""/>
      <w:lvlJc w:val="left"/>
      <w:pPr>
        <w:tabs>
          <w:tab w:val="num" w:pos="3600"/>
        </w:tabs>
        <w:ind w:left="3600" w:hanging="360"/>
      </w:pPr>
      <w:rPr>
        <w:rFonts w:ascii="Wingdings 3" w:hAnsi="Wingdings 3" w:hint="default"/>
      </w:rPr>
    </w:lvl>
    <w:lvl w:ilvl="5" w:tplc="92987972" w:tentative="1">
      <w:start w:val="1"/>
      <w:numFmt w:val="bullet"/>
      <w:lvlText w:val=""/>
      <w:lvlJc w:val="left"/>
      <w:pPr>
        <w:tabs>
          <w:tab w:val="num" w:pos="4320"/>
        </w:tabs>
        <w:ind w:left="4320" w:hanging="360"/>
      </w:pPr>
      <w:rPr>
        <w:rFonts w:ascii="Wingdings 3" w:hAnsi="Wingdings 3" w:hint="default"/>
      </w:rPr>
    </w:lvl>
    <w:lvl w:ilvl="6" w:tplc="9148F69E" w:tentative="1">
      <w:start w:val="1"/>
      <w:numFmt w:val="bullet"/>
      <w:lvlText w:val=""/>
      <w:lvlJc w:val="left"/>
      <w:pPr>
        <w:tabs>
          <w:tab w:val="num" w:pos="5040"/>
        </w:tabs>
        <w:ind w:left="5040" w:hanging="360"/>
      </w:pPr>
      <w:rPr>
        <w:rFonts w:ascii="Wingdings 3" w:hAnsi="Wingdings 3" w:hint="default"/>
      </w:rPr>
    </w:lvl>
    <w:lvl w:ilvl="7" w:tplc="C79681E0" w:tentative="1">
      <w:start w:val="1"/>
      <w:numFmt w:val="bullet"/>
      <w:lvlText w:val=""/>
      <w:lvlJc w:val="left"/>
      <w:pPr>
        <w:tabs>
          <w:tab w:val="num" w:pos="5760"/>
        </w:tabs>
        <w:ind w:left="5760" w:hanging="360"/>
      </w:pPr>
      <w:rPr>
        <w:rFonts w:ascii="Wingdings 3" w:hAnsi="Wingdings 3" w:hint="default"/>
      </w:rPr>
    </w:lvl>
    <w:lvl w:ilvl="8" w:tplc="0144CCDA"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C2E08FA"/>
    <w:multiLevelType w:val="hybridMultilevel"/>
    <w:tmpl w:val="FFB2DC10"/>
    <w:lvl w:ilvl="0" w:tplc="D670433A">
      <w:start w:val="1"/>
      <w:numFmt w:val="bullet"/>
      <w:lvlText w:val=""/>
      <w:lvlJc w:val="left"/>
      <w:pPr>
        <w:tabs>
          <w:tab w:val="num" w:pos="720"/>
        </w:tabs>
        <w:ind w:left="720" w:hanging="360"/>
      </w:pPr>
      <w:rPr>
        <w:rFonts w:ascii="Wingdings 3" w:hAnsi="Wingdings 3" w:hint="default"/>
      </w:rPr>
    </w:lvl>
    <w:lvl w:ilvl="1" w:tplc="59C8E89A" w:tentative="1">
      <w:start w:val="1"/>
      <w:numFmt w:val="bullet"/>
      <w:lvlText w:val=""/>
      <w:lvlJc w:val="left"/>
      <w:pPr>
        <w:tabs>
          <w:tab w:val="num" w:pos="1440"/>
        </w:tabs>
        <w:ind w:left="1440" w:hanging="360"/>
      </w:pPr>
      <w:rPr>
        <w:rFonts w:ascii="Wingdings 3" w:hAnsi="Wingdings 3" w:hint="default"/>
      </w:rPr>
    </w:lvl>
    <w:lvl w:ilvl="2" w:tplc="FF807152" w:tentative="1">
      <w:start w:val="1"/>
      <w:numFmt w:val="bullet"/>
      <w:lvlText w:val=""/>
      <w:lvlJc w:val="left"/>
      <w:pPr>
        <w:tabs>
          <w:tab w:val="num" w:pos="2160"/>
        </w:tabs>
        <w:ind w:left="2160" w:hanging="360"/>
      </w:pPr>
      <w:rPr>
        <w:rFonts w:ascii="Wingdings 3" w:hAnsi="Wingdings 3" w:hint="default"/>
      </w:rPr>
    </w:lvl>
    <w:lvl w:ilvl="3" w:tplc="B65A44C6" w:tentative="1">
      <w:start w:val="1"/>
      <w:numFmt w:val="bullet"/>
      <w:lvlText w:val=""/>
      <w:lvlJc w:val="left"/>
      <w:pPr>
        <w:tabs>
          <w:tab w:val="num" w:pos="2880"/>
        </w:tabs>
        <w:ind w:left="2880" w:hanging="360"/>
      </w:pPr>
      <w:rPr>
        <w:rFonts w:ascii="Wingdings 3" w:hAnsi="Wingdings 3" w:hint="default"/>
      </w:rPr>
    </w:lvl>
    <w:lvl w:ilvl="4" w:tplc="C7A47260" w:tentative="1">
      <w:start w:val="1"/>
      <w:numFmt w:val="bullet"/>
      <w:lvlText w:val=""/>
      <w:lvlJc w:val="left"/>
      <w:pPr>
        <w:tabs>
          <w:tab w:val="num" w:pos="3600"/>
        </w:tabs>
        <w:ind w:left="3600" w:hanging="360"/>
      </w:pPr>
      <w:rPr>
        <w:rFonts w:ascii="Wingdings 3" w:hAnsi="Wingdings 3" w:hint="default"/>
      </w:rPr>
    </w:lvl>
    <w:lvl w:ilvl="5" w:tplc="37841B20" w:tentative="1">
      <w:start w:val="1"/>
      <w:numFmt w:val="bullet"/>
      <w:lvlText w:val=""/>
      <w:lvlJc w:val="left"/>
      <w:pPr>
        <w:tabs>
          <w:tab w:val="num" w:pos="4320"/>
        </w:tabs>
        <w:ind w:left="4320" w:hanging="360"/>
      </w:pPr>
      <w:rPr>
        <w:rFonts w:ascii="Wingdings 3" w:hAnsi="Wingdings 3" w:hint="default"/>
      </w:rPr>
    </w:lvl>
    <w:lvl w:ilvl="6" w:tplc="F9387034" w:tentative="1">
      <w:start w:val="1"/>
      <w:numFmt w:val="bullet"/>
      <w:lvlText w:val=""/>
      <w:lvlJc w:val="left"/>
      <w:pPr>
        <w:tabs>
          <w:tab w:val="num" w:pos="5040"/>
        </w:tabs>
        <w:ind w:left="5040" w:hanging="360"/>
      </w:pPr>
      <w:rPr>
        <w:rFonts w:ascii="Wingdings 3" w:hAnsi="Wingdings 3" w:hint="default"/>
      </w:rPr>
    </w:lvl>
    <w:lvl w:ilvl="7" w:tplc="18C0C354" w:tentative="1">
      <w:start w:val="1"/>
      <w:numFmt w:val="bullet"/>
      <w:lvlText w:val=""/>
      <w:lvlJc w:val="left"/>
      <w:pPr>
        <w:tabs>
          <w:tab w:val="num" w:pos="5760"/>
        </w:tabs>
        <w:ind w:left="5760" w:hanging="360"/>
      </w:pPr>
      <w:rPr>
        <w:rFonts w:ascii="Wingdings 3" w:hAnsi="Wingdings 3" w:hint="default"/>
      </w:rPr>
    </w:lvl>
    <w:lvl w:ilvl="8" w:tplc="E29620DE"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61530347"/>
    <w:multiLevelType w:val="hybridMultilevel"/>
    <w:tmpl w:val="B6682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01974"/>
    <w:multiLevelType w:val="hybridMultilevel"/>
    <w:tmpl w:val="3822F408"/>
    <w:lvl w:ilvl="0" w:tplc="70DABFF6">
      <w:start w:val="1"/>
      <w:numFmt w:val="bullet"/>
      <w:lvlText w:val=""/>
      <w:lvlJc w:val="left"/>
      <w:pPr>
        <w:tabs>
          <w:tab w:val="num" w:pos="720"/>
        </w:tabs>
        <w:ind w:left="720" w:hanging="360"/>
      </w:pPr>
      <w:rPr>
        <w:rFonts w:ascii="Wingdings 3" w:hAnsi="Wingdings 3" w:hint="default"/>
      </w:rPr>
    </w:lvl>
    <w:lvl w:ilvl="1" w:tplc="B728EC0C" w:tentative="1">
      <w:start w:val="1"/>
      <w:numFmt w:val="bullet"/>
      <w:lvlText w:val=""/>
      <w:lvlJc w:val="left"/>
      <w:pPr>
        <w:tabs>
          <w:tab w:val="num" w:pos="1440"/>
        </w:tabs>
        <w:ind w:left="1440" w:hanging="360"/>
      </w:pPr>
      <w:rPr>
        <w:rFonts w:ascii="Wingdings 3" w:hAnsi="Wingdings 3" w:hint="default"/>
      </w:rPr>
    </w:lvl>
    <w:lvl w:ilvl="2" w:tplc="3C166DEE" w:tentative="1">
      <w:start w:val="1"/>
      <w:numFmt w:val="bullet"/>
      <w:lvlText w:val=""/>
      <w:lvlJc w:val="left"/>
      <w:pPr>
        <w:tabs>
          <w:tab w:val="num" w:pos="2160"/>
        </w:tabs>
        <w:ind w:left="2160" w:hanging="360"/>
      </w:pPr>
      <w:rPr>
        <w:rFonts w:ascii="Wingdings 3" w:hAnsi="Wingdings 3" w:hint="default"/>
      </w:rPr>
    </w:lvl>
    <w:lvl w:ilvl="3" w:tplc="DAC0A096" w:tentative="1">
      <w:start w:val="1"/>
      <w:numFmt w:val="bullet"/>
      <w:lvlText w:val=""/>
      <w:lvlJc w:val="left"/>
      <w:pPr>
        <w:tabs>
          <w:tab w:val="num" w:pos="2880"/>
        </w:tabs>
        <w:ind w:left="2880" w:hanging="360"/>
      </w:pPr>
      <w:rPr>
        <w:rFonts w:ascii="Wingdings 3" w:hAnsi="Wingdings 3" w:hint="default"/>
      </w:rPr>
    </w:lvl>
    <w:lvl w:ilvl="4" w:tplc="0C0ED604" w:tentative="1">
      <w:start w:val="1"/>
      <w:numFmt w:val="bullet"/>
      <w:lvlText w:val=""/>
      <w:lvlJc w:val="left"/>
      <w:pPr>
        <w:tabs>
          <w:tab w:val="num" w:pos="3600"/>
        </w:tabs>
        <w:ind w:left="3600" w:hanging="360"/>
      </w:pPr>
      <w:rPr>
        <w:rFonts w:ascii="Wingdings 3" w:hAnsi="Wingdings 3" w:hint="default"/>
      </w:rPr>
    </w:lvl>
    <w:lvl w:ilvl="5" w:tplc="CEAE9B50" w:tentative="1">
      <w:start w:val="1"/>
      <w:numFmt w:val="bullet"/>
      <w:lvlText w:val=""/>
      <w:lvlJc w:val="left"/>
      <w:pPr>
        <w:tabs>
          <w:tab w:val="num" w:pos="4320"/>
        </w:tabs>
        <w:ind w:left="4320" w:hanging="360"/>
      </w:pPr>
      <w:rPr>
        <w:rFonts w:ascii="Wingdings 3" w:hAnsi="Wingdings 3" w:hint="default"/>
      </w:rPr>
    </w:lvl>
    <w:lvl w:ilvl="6" w:tplc="EF9CC23C" w:tentative="1">
      <w:start w:val="1"/>
      <w:numFmt w:val="bullet"/>
      <w:lvlText w:val=""/>
      <w:lvlJc w:val="left"/>
      <w:pPr>
        <w:tabs>
          <w:tab w:val="num" w:pos="5040"/>
        </w:tabs>
        <w:ind w:left="5040" w:hanging="360"/>
      </w:pPr>
      <w:rPr>
        <w:rFonts w:ascii="Wingdings 3" w:hAnsi="Wingdings 3" w:hint="default"/>
      </w:rPr>
    </w:lvl>
    <w:lvl w:ilvl="7" w:tplc="E9B0B3B8" w:tentative="1">
      <w:start w:val="1"/>
      <w:numFmt w:val="bullet"/>
      <w:lvlText w:val=""/>
      <w:lvlJc w:val="left"/>
      <w:pPr>
        <w:tabs>
          <w:tab w:val="num" w:pos="5760"/>
        </w:tabs>
        <w:ind w:left="5760" w:hanging="360"/>
      </w:pPr>
      <w:rPr>
        <w:rFonts w:ascii="Wingdings 3" w:hAnsi="Wingdings 3" w:hint="default"/>
      </w:rPr>
    </w:lvl>
    <w:lvl w:ilvl="8" w:tplc="24C8996C"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66C60CA7"/>
    <w:multiLevelType w:val="hybridMultilevel"/>
    <w:tmpl w:val="10BC58A4"/>
    <w:lvl w:ilvl="0" w:tplc="ECF6609E">
      <w:start w:val="1"/>
      <w:numFmt w:val="bullet"/>
      <w:lvlText w:val=""/>
      <w:lvlJc w:val="left"/>
      <w:pPr>
        <w:tabs>
          <w:tab w:val="num" w:pos="720"/>
        </w:tabs>
        <w:ind w:left="720" w:hanging="360"/>
      </w:pPr>
      <w:rPr>
        <w:rFonts w:ascii="Wingdings 3" w:hAnsi="Wingdings 3" w:hint="default"/>
      </w:rPr>
    </w:lvl>
    <w:lvl w:ilvl="1" w:tplc="0D0A90A0">
      <w:numFmt w:val="bullet"/>
      <w:lvlText w:val=""/>
      <w:lvlJc w:val="left"/>
      <w:pPr>
        <w:tabs>
          <w:tab w:val="num" w:pos="1440"/>
        </w:tabs>
        <w:ind w:left="1440" w:hanging="360"/>
      </w:pPr>
      <w:rPr>
        <w:rFonts w:ascii="Wingdings 3" w:hAnsi="Wingdings 3" w:hint="default"/>
      </w:rPr>
    </w:lvl>
    <w:lvl w:ilvl="2" w:tplc="E472AEA2">
      <w:numFmt w:val="bullet"/>
      <w:lvlText w:val=""/>
      <w:lvlJc w:val="left"/>
      <w:pPr>
        <w:tabs>
          <w:tab w:val="num" w:pos="2160"/>
        </w:tabs>
        <w:ind w:left="2160" w:hanging="360"/>
      </w:pPr>
      <w:rPr>
        <w:rFonts w:ascii="Wingdings 3" w:hAnsi="Wingdings 3" w:hint="default"/>
      </w:rPr>
    </w:lvl>
    <w:lvl w:ilvl="3" w:tplc="18A256EE" w:tentative="1">
      <w:start w:val="1"/>
      <w:numFmt w:val="bullet"/>
      <w:lvlText w:val=""/>
      <w:lvlJc w:val="left"/>
      <w:pPr>
        <w:tabs>
          <w:tab w:val="num" w:pos="2880"/>
        </w:tabs>
        <w:ind w:left="2880" w:hanging="360"/>
      </w:pPr>
      <w:rPr>
        <w:rFonts w:ascii="Wingdings 3" w:hAnsi="Wingdings 3" w:hint="default"/>
      </w:rPr>
    </w:lvl>
    <w:lvl w:ilvl="4" w:tplc="466AAC06" w:tentative="1">
      <w:start w:val="1"/>
      <w:numFmt w:val="bullet"/>
      <w:lvlText w:val=""/>
      <w:lvlJc w:val="left"/>
      <w:pPr>
        <w:tabs>
          <w:tab w:val="num" w:pos="3600"/>
        </w:tabs>
        <w:ind w:left="3600" w:hanging="360"/>
      </w:pPr>
      <w:rPr>
        <w:rFonts w:ascii="Wingdings 3" w:hAnsi="Wingdings 3" w:hint="default"/>
      </w:rPr>
    </w:lvl>
    <w:lvl w:ilvl="5" w:tplc="CF70A170" w:tentative="1">
      <w:start w:val="1"/>
      <w:numFmt w:val="bullet"/>
      <w:lvlText w:val=""/>
      <w:lvlJc w:val="left"/>
      <w:pPr>
        <w:tabs>
          <w:tab w:val="num" w:pos="4320"/>
        </w:tabs>
        <w:ind w:left="4320" w:hanging="360"/>
      </w:pPr>
      <w:rPr>
        <w:rFonts w:ascii="Wingdings 3" w:hAnsi="Wingdings 3" w:hint="default"/>
      </w:rPr>
    </w:lvl>
    <w:lvl w:ilvl="6" w:tplc="F48E871C" w:tentative="1">
      <w:start w:val="1"/>
      <w:numFmt w:val="bullet"/>
      <w:lvlText w:val=""/>
      <w:lvlJc w:val="left"/>
      <w:pPr>
        <w:tabs>
          <w:tab w:val="num" w:pos="5040"/>
        </w:tabs>
        <w:ind w:left="5040" w:hanging="360"/>
      </w:pPr>
      <w:rPr>
        <w:rFonts w:ascii="Wingdings 3" w:hAnsi="Wingdings 3" w:hint="default"/>
      </w:rPr>
    </w:lvl>
    <w:lvl w:ilvl="7" w:tplc="A4CEF5D4" w:tentative="1">
      <w:start w:val="1"/>
      <w:numFmt w:val="bullet"/>
      <w:lvlText w:val=""/>
      <w:lvlJc w:val="left"/>
      <w:pPr>
        <w:tabs>
          <w:tab w:val="num" w:pos="5760"/>
        </w:tabs>
        <w:ind w:left="5760" w:hanging="360"/>
      </w:pPr>
      <w:rPr>
        <w:rFonts w:ascii="Wingdings 3" w:hAnsi="Wingdings 3" w:hint="default"/>
      </w:rPr>
    </w:lvl>
    <w:lvl w:ilvl="8" w:tplc="74C641B0"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6A436638"/>
    <w:multiLevelType w:val="hybridMultilevel"/>
    <w:tmpl w:val="A26464F0"/>
    <w:lvl w:ilvl="0" w:tplc="B2DAD3F0">
      <w:start w:val="1"/>
      <w:numFmt w:val="bullet"/>
      <w:lvlText w:val=""/>
      <w:lvlJc w:val="left"/>
      <w:pPr>
        <w:tabs>
          <w:tab w:val="num" w:pos="720"/>
        </w:tabs>
        <w:ind w:left="720" w:hanging="360"/>
      </w:pPr>
      <w:rPr>
        <w:rFonts w:ascii="Wingdings 3" w:hAnsi="Wingdings 3" w:hint="default"/>
      </w:rPr>
    </w:lvl>
    <w:lvl w:ilvl="1" w:tplc="2BB4E8B8">
      <w:start w:val="1"/>
      <w:numFmt w:val="bullet"/>
      <w:lvlText w:val=""/>
      <w:lvlJc w:val="left"/>
      <w:pPr>
        <w:tabs>
          <w:tab w:val="num" w:pos="1440"/>
        </w:tabs>
        <w:ind w:left="1440" w:hanging="360"/>
      </w:pPr>
      <w:rPr>
        <w:rFonts w:ascii="Wingdings 3" w:hAnsi="Wingdings 3" w:hint="default"/>
      </w:rPr>
    </w:lvl>
    <w:lvl w:ilvl="2" w:tplc="82F67DEE" w:tentative="1">
      <w:start w:val="1"/>
      <w:numFmt w:val="bullet"/>
      <w:lvlText w:val=""/>
      <w:lvlJc w:val="left"/>
      <w:pPr>
        <w:tabs>
          <w:tab w:val="num" w:pos="2160"/>
        </w:tabs>
        <w:ind w:left="2160" w:hanging="360"/>
      </w:pPr>
      <w:rPr>
        <w:rFonts w:ascii="Wingdings 3" w:hAnsi="Wingdings 3" w:hint="default"/>
      </w:rPr>
    </w:lvl>
    <w:lvl w:ilvl="3" w:tplc="80F46E78" w:tentative="1">
      <w:start w:val="1"/>
      <w:numFmt w:val="bullet"/>
      <w:lvlText w:val=""/>
      <w:lvlJc w:val="left"/>
      <w:pPr>
        <w:tabs>
          <w:tab w:val="num" w:pos="2880"/>
        </w:tabs>
        <w:ind w:left="2880" w:hanging="360"/>
      </w:pPr>
      <w:rPr>
        <w:rFonts w:ascii="Wingdings 3" w:hAnsi="Wingdings 3" w:hint="default"/>
      </w:rPr>
    </w:lvl>
    <w:lvl w:ilvl="4" w:tplc="50EAB6F4" w:tentative="1">
      <w:start w:val="1"/>
      <w:numFmt w:val="bullet"/>
      <w:lvlText w:val=""/>
      <w:lvlJc w:val="left"/>
      <w:pPr>
        <w:tabs>
          <w:tab w:val="num" w:pos="3600"/>
        </w:tabs>
        <w:ind w:left="3600" w:hanging="360"/>
      </w:pPr>
      <w:rPr>
        <w:rFonts w:ascii="Wingdings 3" w:hAnsi="Wingdings 3" w:hint="default"/>
      </w:rPr>
    </w:lvl>
    <w:lvl w:ilvl="5" w:tplc="2FF645F0" w:tentative="1">
      <w:start w:val="1"/>
      <w:numFmt w:val="bullet"/>
      <w:lvlText w:val=""/>
      <w:lvlJc w:val="left"/>
      <w:pPr>
        <w:tabs>
          <w:tab w:val="num" w:pos="4320"/>
        </w:tabs>
        <w:ind w:left="4320" w:hanging="360"/>
      </w:pPr>
      <w:rPr>
        <w:rFonts w:ascii="Wingdings 3" w:hAnsi="Wingdings 3" w:hint="default"/>
      </w:rPr>
    </w:lvl>
    <w:lvl w:ilvl="6" w:tplc="6FEC2EBA" w:tentative="1">
      <w:start w:val="1"/>
      <w:numFmt w:val="bullet"/>
      <w:lvlText w:val=""/>
      <w:lvlJc w:val="left"/>
      <w:pPr>
        <w:tabs>
          <w:tab w:val="num" w:pos="5040"/>
        </w:tabs>
        <w:ind w:left="5040" w:hanging="360"/>
      </w:pPr>
      <w:rPr>
        <w:rFonts w:ascii="Wingdings 3" w:hAnsi="Wingdings 3" w:hint="default"/>
      </w:rPr>
    </w:lvl>
    <w:lvl w:ilvl="7" w:tplc="21C60A88" w:tentative="1">
      <w:start w:val="1"/>
      <w:numFmt w:val="bullet"/>
      <w:lvlText w:val=""/>
      <w:lvlJc w:val="left"/>
      <w:pPr>
        <w:tabs>
          <w:tab w:val="num" w:pos="5760"/>
        </w:tabs>
        <w:ind w:left="5760" w:hanging="360"/>
      </w:pPr>
      <w:rPr>
        <w:rFonts w:ascii="Wingdings 3" w:hAnsi="Wingdings 3" w:hint="default"/>
      </w:rPr>
    </w:lvl>
    <w:lvl w:ilvl="8" w:tplc="64D81276" w:tentative="1">
      <w:start w:val="1"/>
      <w:numFmt w:val="bullet"/>
      <w:lvlText w:val=""/>
      <w:lvlJc w:val="left"/>
      <w:pPr>
        <w:tabs>
          <w:tab w:val="num" w:pos="6480"/>
        </w:tabs>
        <w:ind w:left="6480" w:hanging="360"/>
      </w:pPr>
      <w:rPr>
        <w:rFonts w:ascii="Wingdings 3" w:hAnsi="Wingdings 3" w:hint="default"/>
      </w:rPr>
    </w:lvl>
  </w:abstractNum>
  <w:abstractNum w:abstractNumId="28" w15:restartNumberingAfterBreak="0">
    <w:nsid w:val="6B5D294F"/>
    <w:multiLevelType w:val="hybridMultilevel"/>
    <w:tmpl w:val="EB5A69F4"/>
    <w:lvl w:ilvl="0" w:tplc="0C546BAE">
      <w:start w:val="1"/>
      <w:numFmt w:val="bullet"/>
      <w:lvlText w:val=""/>
      <w:lvlJc w:val="left"/>
      <w:pPr>
        <w:tabs>
          <w:tab w:val="num" w:pos="720"/>
        </w:tabs>
        <w:ind w:left="720" w:hanging="360"/>
      </w:pPr>
      <w:rPr>
        <w:rFonts w:ascii="Wingdings 3" w:hAnsi="Wingdings 3" w:hint="default"/>
      </w:rPr>
    </w:lvl>
    <w:lvl w:ilvl="1" w:tplc="7352756E">
      <w:numFmt w:val="bullet"/>
      <w:lvlText w:val=""/>
      <w:lvlJc w:val="left"/>
      <w:pPr>
        <w:tabs>
          <w:tab w:val="num" w:pos="1440"/>
        </w:tabs>
        <w:ind w:left="1440" w:hanging="360"/>
      </w:pPr>
      <w:rPr>
        <w:rFonts w:ascii="Wingdings 3" w:hAnsi="Wingdings 3" w:hint="default"/>
      </w:rPr>
    </w:lvl>
    <w:lvl w:ilvl="2" w:tplc="8272F496" w:tentative="1">
      <w:start w:val="1"/>
      <w:numFmt w:val="bullet"/>
      <w:lvlText w:val=""/>
      <w:lvlJc w:val="left"/>
      <w:pPr>
        <w:tabs>
          <w:tab w:val="num" w:pos="2160"/>
        </w:tabs>
        <w:ind w:left="2160" w:hanging="360"/>
      </w:pPr>
      <w:rPr>
        <w:rFonts w:ascii="Wingdings 3" w:hAnsi="Wingdings 3" w:hint="default"/>
      </w:rPr>
    </w:lvl>
    <w:lvl w:ilvl="3" w:tplc="DCD2F648" w:tentative="1">
      <w:start w:val="1"/>
      <w:numFmt w:val="bullet"/>
      <w:lvlText w:val=""/>
      <w:lvlJc w:val="left"/>
      <w:pPr>
        <w:tabs>
          <w:tab w:val="num" w:pos="2880"/>
        </w:tabs>
        <w:ind w:left="2880" w:hanging="360"/>
      </w:pPr>
      <w:rPr>
        <w:rFonts w:ascii="Wingdings 3" w:hAnsi="Wingdings 3" w:hint="default"/>
      </w:rPr>
    </w:lvl>
    <w:lvl w:ilvl="4" w:tplc="DA32530E" w:tentative="1">
      <w:start w:val="1"/>
      <w:numFmt w:val="bullet"/>
      <w:lvlText w:val=""/>
      <w:lvlJc w:val="left"/>
      <w:pPr>
        <w:tabs>
          <w:tab w:val="num" w:pos="3600"/>
        </w:tabs>
        <w:ind w:left="3600" w:hanging="360"/>
      </w:pPr>
      <w:rPr>
        <w:rFonts w:ascii="Wingdings 3" w:hAnsi="Wingdings 3" w:hint="default"/>
      </w:rPr>
    </w:lvl>
    <w:lvl w:ilvl="5" w:tplc="D43E0BD6" w:tentative="1">
      <w:start w:val="1"/>
      <w:numFmt w:val="bullet"/>
      <w:lvlText w:val=""/>
      <w:lvlJc w:val="left"/>
      <w:pPr>
        <w:tabs>
          <w:tab w:val="num" w:pos="4320"/>
        </w:tabs>
        <w:ind w:left="4320" w:hanging="360"/>
      </w:pPr>
      <w:rPr>
        <w:rFonts w:ascii="Wingdings 3" w:hAnsi="Wingdings 3" w:hint="default"/>
      </w:rPr>
    </w:lvl>
    <w:lvl w:ilvl="6" w:tplc="7214D628" w:tentative="1">
      <w:start w:val="1"/>
      <w:numFmt w:val="bullet"/>
      <w:lvlText w:val=""/>
      <w:lvlJc w:val="left"/>
      <w:pPr>
        <w:tabs>
          <w:tab w:val="num" w:pos="5040"/>
        </w:tabs>
        <w:ind w:left="5040" w:hanging="360"/>
      </w:pPr>
      <w:rPr>
        <w:rFonts w:ascii="Wingdings 3" w:hAnsi="Wingdings 3" w:hint="default"/>
      </w:rPr>
    </w:lvl>
    <w:lvl w:ilvl="7" w:tplc="76C01BE0" w:tentative="1">
      <w:start w:val="1"/>
      <w:numFmt w:val="bullet"/>
      <w:lvlText w:val=""/>
      <w:lvlJc w:val="left"/>
      <w:pPr>
        <w:tabs>
          <w:tab w:val="num" w:pos="5760"/>
        </w:tabs>
        <w:ind w:left="5760" w:hanging="360"/>
      </w:pPr>
      <w:rPr>
        <w:rFonts w:ascii="Wingdings 3" w:hAnsi="Wingdings 3" w:hint="default"/>
      </w:rPr>
    </w:lvl>
    <w:lvl w:ilvl="8" w:tplc="C248ECA2" w:tentative="1">
      <w:start w:val="1"/>
      <w:numFmt w:val="bullet"/>
      <w:lvlText w:val=""/>
      <w:lvlJc w:val="left"/>
      <w:pPr>
        <w:tabs>
          <w:tab w:val="num" w:pos="6480"/>
        </w:tabs>
        <w:ind w:left="6480" w:hanging="360"/>
      </w:pPr>
      <w:rPr>
        <w:rFonts w:ascii="Wingdings 3" w:hAnsi="Wingdings 3" w:hint="default"/>
      </w:rPr>
    </w:lvl>
  </w:abstractNum>
  <w:abstractNum w:abstractNumId="29" w15:restartNumberingAfterBreak="0">
    <w:nsid w:val="6FF016F2"/>
    <w:multiLevelType w:val="hybridMultilevel"/>
    <w:tmpl w:val="0038DCF0"/>
    <w:lvl w:ilvl="0" w:tplc="7FDEE93E">
      <w:start w:val="1"/>
      <w:numFmt w:val="bullet"/>
      <w:lvlText w:val=""/>
      <w:lvlJc w:val="left"/>
      <w:pPr>
        <w:tabs>
          <w:tab w:val="num" w:pos="720"/>
        </w:tabs>
        <w:ind w:left="720" w:hanging="360"/>
      </w:pPr>
      <w:rPr>
        <w:rFonts w:ascii="Wingdings 3" w:hAnsi="Wingdings 3" w:hint="default"/>
      </w:rPr>
    </w:lvl>
    <w:lvl w:ilvl="1" w:tplc="91389FA4" w:tentative="1">
      <w:start w:val="1"/>
      <w:numFmt w:val="bullet"/>
      <w:lvlText w:val=""/>
      <w:lvlJc w:val="left"/>
      <w:pPr>
        <w:tabs>
          <w:tab w:val="num" w:pos="1440"/>
        </w:tabs>
        <w:ind w:left="1440" w:hanging="360"/>
      </w:pPr>
      <w:rPr>
        <w:rFonts w:ascii="Wingdings 3" w:hAnsi="Wingdings 3" w:hint="default"/>
      </w:rPr>
    </w:lvl>
    <w:lvl w:ilvl="2" w:tplc="E0C8D862" w:tentative="1">
      <w:start w:val="1"/>
      <w:numFmt w:val="bullet"/>
      <w:lvlText w:val=""/>
      <w:lvlJc w:val="left"/>
      <w:pPr>
        <w:tabs>
          <w:tab w:val="num" w:pos="2160"/>
        </w:tabs>
        <w:ind w:left="2160" w:hanging="360"/>
      </w:pPr>
      <w:rPr>
        <w:rFonts w:ascii="Wingdings 3" w:hAnsi="Wingdings 3" w:hint="default"/>
      </w:rPr>
    </w:lvl>
    <w:lvl w:ilvl="3" w:tplc="BCFA6764" w:tentative="1">
      <w:start w:val="1"/>
      <w:numFmt w:val="bullet"/>
      <w:lvlText w:val=""/>
      <w:lvlJc w:val="left"/>
      <w:pPr>
        <w:tabs>
          <w:tab w:val="num" w:pos="2880"/>
        </w:tabs>
        <w:ind w:left="2880" w:hanging="360"/>
      </w:pPr>
      <w:rPr>
        <w:rFonts w:ascii="Wingdings 3" w:hAnsi="Wingdings 3" w:hint="default"/>
      </w:rPr>
    </w:lvl>
    <w:lvl w:ilvl="4" w:tplc="DFCC2EA4" w:tentative="1">
      <w:start w:val="1"/>
      <w:numFmt w:val="bullet"/>
      <w:lvlText w:val=""/>
      <w:lvlJc w:val="left"/>
      <w:pPr>
        <w:tabs>
          <w:tab w:val="num" w:pos="3600"/>
        </w:tabs>
        <w:ind w:left="3600" w:hanging="360"/>
      </w:pPr>
      <w:rPr>
        <w:rFonts w:ascii="Wingdings 3" w:hAnsi="Wingdings 3" w:hint="default"/>
      </w:rPr>
    </w:lvl>
    <w:lvl w:ilvl="5" w:tplc="9FF854A0" w:tentative="1">
      <w:start w:val="1"/>
      <w:numFmt w:val="bullet"/>
      <w:lvlText w:val=""/>
      <w:lvlJc w:val="left"/>
      <w:pPr>
        <w:tabs>
          <w:tab w:val="num" w:pos="4320"/>
        </w:tabs>
        <w:ind w:left="4320" w:hanging="360"/>
      </w:pPr>
      <w:rPr>
        <w:rFonts w:ascii="Wingdings 3" w:hAnsi="Wingdings 3" w:hint="default"/>
      </w:rPr>
    </w:lvl>
    <w:lvl w:ilvl="6" w:tplc="FE0A582C" w:tentative="1">
      <w:start w:val="1"/>
      <w:numFmt w:val="bullet"/>
      <w:lvlText w:val=""/>
      <w:lvlJc w:val="left"/>
      <w:pPr>
        <w:tabs>
          <w:tab w:val="num" w:pos="5040"/>
        </w:tabs>
        <w:ind w:left="5040" w:hanging="360"/>
      </w:pPr>
      <w:rPr>
        <w:rFonts w:ascii="Wingdings 3" w:hAnsi="Wingdings 3" w:hint="default"/>
      </w:rPr>
    </w:lvl>
    <w:lvl w:ilvl="7" w:tplc="18EA0A76" w:tentative="1">
      <w:start w:val="1"/>
      <w:numFmt w:val="bullet"/>
      <w:lvlText w:val=""/>
      <w:lvlJc w:val="left"/>
      <w:pPr>
        <w:tabs>
          <w:tab w:val="num" w:pos="5760"/>
        </w:tabs>
        <w:ind w:left="5760" w:hanging="360"/>
      </w:pPr>
      <w:rPr>
        <w:rFonts w:ascii="Wingdings 3" w:hAnsi="Wingdings 3" w:hint="default"/>
      </w:rPr>
    </w:lvl>
    <w:lvl w:ilvl="8" w:tplc="C890DD20" w:tentative="1">
      <w:start w:val="1"/>
      <w:numFmt w:val="bullet"/>
      <w:lvlText w:val=""/>
      <w:lvlJc w:val="left"/>
      <w:pPr>
        <w:tabs>
          <w:tab w:val="num" w:pos="6480"/>
        </w:tabs>
        <w:ind w:left="6480" w:hanging="360"/>
      </w:pPr>
      <w:rPr>
        <w:rFonts w:ascii="Wingdings 3" w:hAnsi="Wingdings 3" w:hint="default"/>
      </w:rPr>
    </w:lvl>
  </w:abstractNum>
  <w:abstractNum w:abstractNumId="30" w15:restartNumberingAfterBreak="0">
    <w:nsid w:val="784C3CF1"/>
    <w:multiLevelType w:val="hybridMultilevel"/>
    <w:tmpl w:val="7696F9DE"/>
    <w:lvl w:ilvl="0" w:tplc="3F7A78A4">
      <w:start w:val="1"/>
      <w:numFmt w:val="bullet"/>
      <w:lvlText w:val=""/>
      <w:lvlJc w:val="left"/>
      <w:pPr>
        <w:tabs>
          <w:tab w:val="num" w:pos="720"/>
        </w:tabs>
        <w:ind w:left="720" w:hanging="360"/>
      </w:pPr>
      <w:rPr>
        <w:rFonts w:ascii="Wingdings 3" w:hAnsi="Wingdings 3" w:hint="default"/>
      </w:rPr>
    </w:lvl>
    <w:lvl w:ilvl="1" w:tplc="8C88AC54" w:tentative="1">
      <w:start w:val="1"/>
      <w:numFmt w:val="bullet"/>
      <w:lvlText w:val=""/>
      <w:lvlJc w:val="left"/>
      <w:pPr>
        <w:tabs>
          <w:tab w:val="num" w:pos="1440"/>
        </w:tabs>
        <w:ind w:left="1440" w:hanging="360"/>
      </w:pPr>
      <w:rPr>
        <w:rFonts w:ascii="Wingdings 3" w:hAnsi="Wingdings 3" w:hint="default"/>
      </w:rPr>
    </w:lvl>
    <w:lvl w:ilvl="2" w:tplc="C54C827C" w:tentative="1">
      <w:start w:val="1"/>
      <w:numFmt w:val="bullet"/>
      <w:lvlText w:val=""/>
      <w:lvlJc w:val="left"/>
      <w:pPr>
        <w:tabs>
          <w:tab w:val="num" w:pos="2160"/>
        </w:tabs>
        <w:ind w:left="2160" w:hanging="360"/>
      </w:pPr>
      <w:rPr>
        <w:rFonts w:ascii="Wingdings 3" w:hAnsi="Wingdings 3" w:hint="default"/>
      </w:rPr>
    </w:lvl>
    <w:lvl w:ilvl="3" w:tplc="337EB30A" w:tentative="1">
      <w:start w:val="1"/>
      <w:numFmt w:val="bullet"/>
      <w:lvlText w:val=""/>
      <w:lvlJc w:val="left"/>
      <w:pPr>
        <w:tabs>
          <w:tab w:val="num" w:pos="2880"/>
        </w:tabs>
        <w:ind w:left="2880" w:hanging="360"/>
      </w:pPr>
      <w:rPr>
        <w:rFonts w:ascii="Wingdings 3" w:hAnsi="Wingdings 3" w:hint="default"/>
      </w:rPr>
    </w:lvl>
    <w:lvl w:ilvl="4" w:tplc="2A705BB8" w:tentative="1">
      <w:start w:val="1"/>
      <w:numFmt w:val="bullet"/>
      <w:lvlText w:val=""/>
      <w:lvlJc w:val="left"/>
      <w:pPr>
        <w:tabs>
          <w:tab w:val="num" w:pos="3600"/>
        </w:tabs>
        <w:ind w:left="3600" w:hanging="360"/>
      </w:pPr>
      <w:rPr>
        <w:rFonts w:ascii="Wingdings 3" w:hAnsi="Wingdings 3" w:hint="default"/>
      </w:rPr>
    </w:lvl>
    <w:lvl w:ilvl="5" w:tplc="34726B0E" w:tentative="1">
      <w:start w:val="1"/>
      <w:numFmt w:val="bullet"/>
      <w:lvlText w:val=""/>
      <w:lvlJc w:val="left"/>
      <w:pPr>
        <w:tabs>
          <w:tab w:val="num" w:pos="4320"/>
        </w:tabs>
        <w:ind w:left="4320" w:hanging="360"/>
      </w:pPr>
      <w:rPr>
        <w:rFonts w:ascii="Wingdings 3" w:hAnsi="Wingdings 3" w:hint="default"/>
      </w:rPr>
    </w:lvl>
    <w:lvl w:ilvl="6" w:tplc="7076D33A" w:tentative="1">
      <w:start w:val="1"/>
      <w:numFmt w:val="bullet"/>
      <w:lvlText w:val=""/>
      <w:lvlJc w:val="left"/>
      <w:pPr>
        <w:tabs>
          <w:tab w:val="num" w:pos="5040"/>
        </w:tabs>
        <w:ind w:left="5040" w:hanging="360"/>
      </w:pPr>
      <w:rPr>
        <w:rFonts w:ascii="Wingdings 3" w:hAnsi="Wingdings 3" w:hint="default"/>
      </w:rPr>
    </w:lvl>
    <w:lvl w:ilvl="7" w:tplc="120CAE2E" w:tentative="1">
      <w:start w:val="1"/>
      <w:numFmt w:val="bullet"/>
      <w:lvlText w:val=""/>
      <w:lvlJc w:val="left"/>
      <w:pPr>
        <w:tabs>
          <w:tab w:val="num" w:pos="5760"/>
        </w:tabs>
        <w:ind w:left="5760" w:hanging="360"/>
      </w:pPr>
      <w:rPr>
        <w:rFonts w:ascii="Wingdings 3" w:hAnsi="Wingdings 3" w:hint="default"/>
      </w:rPr>
    </w:lvl>
    <w:lvl w:ilvl="8" w:tplc="9808D02E"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7AA138F7"/>
    <w:multiLevelType w:val="hybridMultilevel"/>
    <w:tmpl w:val="17D0EE54"/>
    <w:lvl w:ilvl="0" w:tplc="A756033E">
      <w:start w:val="1"/>
      <w:numFmt w:val="bullet"/>
      <w:lvlText w:val=""/>
      <w:lvlJc w:val="left"/>
      <w:pPr>
        <w:tabs>
          <w:tab w:val="num" w:pos="720"/>
        </w:tabs>
        <w:ind w:left="720" w:hanging="360"/>
      </w:pPr>
      <w:rPr>
        <w:rFonts w:ascii="Wingdings 3" w:hAnsi="Wingdings 3" w:hint="default"/>
      </w:rPr>
    </w:lvl>
    <w:lvl w:ilvl="1" w:tplc="B7943786" w:tentative="1">
      <w:start w:val="1"/>
      <w:numFmt w:val="bullet"/>
      <w:lvlText w:val=""/>
      <w:lvlJc w:val="left"/>
      <w:pPr>
        <w:tabs>
          <w:tab w:val="num" w:pos="1440"/>
        </w:tabs>
        <w:ind w:left="1440" w:hanging="360"/>
      </w:pPr>
      <w:rPr>
        <w:rFonts w:ascii="Wingdings 3" w:hAnsi="Wingdings 3" w:hint="default"/>
      </w:rPr>
    </w:lvl>
    <w:lvl w:ilvl="2" w:tplc="9FBC751E" w:tentative="1">
      <w:start w:val="1"/>
      <w:numFmt w:val="bullet"/>
      <w:lvlText w:val=""/>
      <w:lvlJc w:val="left"/>
      <w:pPr>
        <w:tabs>
          <w:tab w:val="num" w:pos="2160"/>
        </w:tabs>
        <w:ind w:left="2160" w:hanging="360"/>
      </w:pPr>
      <w:rPr>
        <w:rFonts w:ascii="Wingdings 3" w:hAnsi="Wingdings 3" w:hint="default"/>
      </w:rPr>
    </w:lvl>
    <w:lvl w:ilvl="3" w:tplc="92C8665C" w:tentative="1">
      <w:start w:val="1"/>
      <w:numFmt w:val="bullet"/>
      <w:lvlText w:val=""/>
      <w:lvlJc w:val="left"/>
      <w:pPr>
        <w:tabs>
          <w:tab w:val="num" w:pos="2880"/>
        </w:tabs>
        <w:ind w:left="2880" w:hanging="360"/>
      </w:pPr>
      <w:rPr>
        <w:rFonts w:ascii="Wingdings 3" w:hAnsi="Wingdings 3" w:hint="default"/>
      </w:rPr>
    </w:lvl>
    <w:lvl w:ilvl="4" w:tplc="53D6D060" w:tentative="1">
      <w:start w:val="1"/>
      <w:numFmt w:val="bullet"/>
      <w:lvlText w:val=""/>
      <w:lvlJc w:val="left"/>
      <w:pPr>
        <w:tabs>
          <w:tab w:val="num" w:pos="3600"/>
        </w:tabs>
        <w:ind w:left="3600" w:hanging="360"/>
      </w:pPr>
      <w:rPr>
        <w:rFonts w:ascii="Wingdings 3" w:hAnsi="Wingdings 3" w:hint="default"/>
      </w:rPr>
    </w:lvl>
    <w:lvl w:ilvl="5" w:tplc="990C0230" w:tentative="1">
      <w:start w:val="1"/>
      <w:numFmt w:val="bullet"/>
      <w:lvlText w:val=""/>
      <w:lvlJc w:val="left"/>
      <w:pPr>
        <w:tabs>
          <w:tab w:val="num" w:pos="4320"/>
        </w:tabs>
        <w:ind w:left="4320" w:hanging="360"/>
      </w:pPr>
      <w:rPr>
        <w:rFonts w:ascii="Wingdings 3" w:hAnsi="Wingdings 3" w:hint="default"/>
      </w:rPr>
    </w:lvl>
    <w:lvl w:ilvl="6" w:tplc="4C6EAA30" w:tentative="1">
      <w:start w:val="1"/>
      <w:numFmt w:val="bullet"/>
      <w:lvlText w:val=""/>
      <w:lvlJc w:val="left"/>
      <w:pPr>
        <w:tabs>
          <w:tab w:val="num" w:pos="5040"/>
        </w:tabs>
        <w:ind w:left="5040" w:hanging="360"/>
      </w:pPr>
      <w:rPr>
        <w:rFonts w:ascii="Wingdings 3" w:hAnsi="Wingdings 3" w:hint="default"/>
      </w:rPr>
    </w:lvl>
    <w:lvl w:ilvl="7" w:tplc="8F44D14A" w:tentative="1">
      <w:start w:val="1"/>
      <w:numFmt w:val="bullet"/>
      <w:lvlText w:val=""/>
      <w:lvlJc w:val="left"/>
      <w:pPr>
        <w:tabs>
          <w:tab w:val="num" w:pos="5760"/>
        </w:tabs>
        <w:ind w:left="5760" w:hanging="360"/>
      </w:pPr>
      <w:rPr>
        <w:rFonts w:ascii="Wingdings 3" w:hAnsi="Wingdings 3" w:hint="default"/>
      </w:rPr>
    </w:lvl>
    <w:lvl w:ilvl="8" w:tplc="9DE86C4C"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7C5062E5"/>
    <w:multiLevelType w:val="hybridMultilevel"/>
    <w:tmpl w:val="8E7A6A24"/>
    <w:lvl w:ilvl="0" w:tplc="84A060D8">
      <w:start w:val="1"/>
      <w:numFmt w:val="bullet"/>
      <w:lvlText w:val=""/>
      <w:lvlJc w:val="left"/>
      <w:pPr>
        <w:tabs>
          <w:tab w:val="num" w:pos="720"/>
        </w:tabs>
        <w:ind w:left="720" w:hanging="360"/>
      </w:pPr>
      <w:rPr>
        <w:rFonts w:ascii="Wingdings 3" w:hAnsi="Wingdings 3" w:hint="default"/>
      </w:rPr>
    </w:lvl>
    <w:lvl w:ilvl="1" w:tplc="A23A316A" w:tentative="1">
      <w:start w:val="1"/>
      <w:numFmt w:val="bullet"/>
      <w:lvlText w:val=""/>
      <w:lvlJc w:val="left"/>
      <w:pPr>
        <w:tabs>
          <w:tab w:val="num" w:pos="1440"/>
        </w:tabs>
        <w:ind w:left="1440" w:hanging="360"/>
      </w:pPr>
      <w:rPr>
        <w:rFonts w:ascii="Wingdings 3" w:hAnsi="Wingdings 3" w:hint="default"/>
      </w:rPr>
    </w:lvl>
    <w:lvl w:ilvl="2" w:tplc="021899E0" w:tentative="1">
      <w:start w:val="1"/>
      <w:numFmt w:val="bullet"/>
      <w:lvlText w:val=""/>
      <w:lvlJc w:val="left"/>
      <w:pPr>
        <w:tabs>
          <w:tab w:val="num" w:pos="2160"/>
        </w:tabs>
        <w:ind w:left="2160" w:hanging="360"/>
      </w:pPr>
      <w:rPr>
        <w:rFonts w:ascii="Wingdings 3" w:hAnsi="Wingdings 3" w:hint="default"/>
      </w:rPr>
    </w:lvl>
    <w:lvl w:ilvl="3" w:tplc="A934D276" w:tentative="1">
      <w:start w:val="1"/>
      <w:numFmt w:val="bullet"/>
      <w:lvlText w:val=""/>
      <w:lvlJc w:val="left"/>
      <w:pPr>
        <w:tabs>
          <w:tab w:val="num" w:pos="2880"/>
        </w:tabs>
        <w:ind w:left="2880" w:hanging="360"/>
      </w:pPr>
      <w:rPr>
        <w:rFonts w:ascii="Wingdings 3" w:hAnsi="Wingdings 3" w:hint="default"/>
      </w:rPr>
    </w:lvl>
    <w:lvl w:ilvl="4" w:tplc="B2BA0702" w:tentative="1">
      <w:start w:val="1"/>
      <w:numFmt w:val="bullet"/>
      <w:lvlText w:val=""/>
      <w:lvlJc w:val="left"/>
      <w:pPr>
        <w:tabs>
          <w:tab w:val="num" w:pos="3600"/>
        </w:tabs>
        <w:ind w:left="3600" w:hanging="360"/>
      </w:pPr>
      <w:rPr>
        <w:rFonts w:ascii="Wingdings 3" w:hAnsi="Wingdings 3" w:hint="default"/>
      </w:rPr>
    </w:lvl>
    <w:lvl w:ilvl="5" w:tplc="4538FC42" w:tentative="1">
      <w:start w:val="1"/>
      <w:numFmt w:val="bullet"/>
      <w:lvlText w:val=""/>
      <w:lvlJc w:val="left"/>
      <w:pPr>
        <w:tabs>
          <w:tab w:val="num" w:pos="4320"/>
        </w:tabs>
        <w:ind w:left="4320" w:hanging="360"/>
      </w:pPr>
      <w:rPr>
        <w:rFonts w:ascii="Wingdings 3" w:hAnsi="Wingdings 3" w:hint="default"/>
      </w:rPr>
    </w:lvl>
    <w:lvl w:ilvl="6" w:tplc="3500D352" w:tentative="1">
      <w:start w:val="1"/>
      <w:numFmt w:val="bullet"/>
      <w:lvlText w:val=""/>
      <w:lvlJc w:val="left"/>
      <w:pPr>
        <w:tabs>
          <w:tab w:val="num" w:pos="5040"/>
        </w:tabs>
        <w:ind w:left="5040" w:hanging="360"/>
      </w:pPr>
      <w:rPr>
        <w:rFonts w:ascii="Wingdings 3" w:hAnsi="Wingdings 3" w:hint="default"/>
      </w:rPr>
    </w:lvl>
    <w:lvl w:ilvl="7" w:tplc="8B0CB802" w:tentative="1">
      <w:start w:val="1"/>
      <w:numFmt w:val="bullet"/>
      <w:lvlText w:val=""/>
      <w:lvlJc w:val="left"/>
      <w:pPr>
        <w:tabs>
          <w:tab w:val="num" w:pos="5760"/>
        </w:tabs>
        <w:ind w:left="5760" w:hanging="360"/>
      </w:pPr>
      <w:rPr>
        <w:rFonts w:ascii="Wingdings 3" w:hAnsi="Wingdings 3" w:hint="default"/>
      </w:rPr>
    </w:lvl>
    <w:lvl w:ilvl="8" w:tplc="946C82EE" w:tentative="1">
      <w:start w:val="1"/>
      <w:numFmt w:val="bullet"/>
      <w:lvlText w:val=""/>
      <w:lvlJc w:val="left"/>
      <w:pPr>
        <w:tabs>
          <w:tab w:val="num" w:pos="6480"/>
        </w:tabs>
        <w:ind w:left="6480" w:hanging="360"/>
      </w:pPr>
      <w:rPr>
        <w:rFonts w:ascii="Wingdings 3" w:hAnsi="Wingdings 3" w:hint="default"/>
      </w:rPr>
    </w:lvl>
  </w:abstractNum>
  <w:abstractNum w:abstractNumId="33" w15:restartNumberingAfterBreak="0">
    <w:nsid w:val="7DB02EC1"/>
    <w:multiLevelType w:val="hybridMultilevel"/>
    <w:tmpl w:val="342CE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20AC7"/>
    <w:multiLevelType w:val="multilevel"/>
    <w:tmpl w:val="5F0CE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960857">
    <w:abstractNumId w:val="21"/>
  </w:num>
  <w:num w:numId="2" w16cid:durableId="248270068">
    <w:abstractNumId w:val="24"/>
  </w:num>
  <w:num w:numId="3" w16cid:durableId="556093382">
    <w:abstractNumId w:val="13"/>
  </w:num>
  <w:num w:numId="4" w16cid:durableId="542406135">
    <w:abstractNumId w:val="16"/>
  </w:num>
  <w:num w:numId="5" w16cid:durableId="1071081629">
    <w:abstractNumId w:val="8"/>
  </w:num>
  <w:num w:numId="6" w16cid:durableId="1297174282">
    <w:abstractNumId w:val="3"/>
  </w:num>
  <w:num w:numId="7" w16cid:durableId="652414914">
    <w:abstractNumId w:val="14"/>
  </w:num>
  <w:num w:numId="8" w16cid:durableId="872887120">
    <w:abstractNumId w:val="2"/>
  </w:num>
  <w:num w:numId="9" w16cid:durableId="1655522022">
    <w:abstractNumId w:val="19"/>
  </w:num>
  <w:num w:numId="10" w16cid:durableId="1910387879">
    <w:abstractNumId w:val="20"/>
  </w:num>
  <w:num w:numId="11" w16cid:durableId="2112897931">
    <w:abstractNumId w:val="12"/>
  </w:num>
  <w:num w:numId="12" w16cid:durableId="151870967">
    <w:abstractNumId w:val="11"/>
  </w:num>
  <w:num w:numId="13" w16cid:durableId="1057364674">
    <w:abstractNumId w:val="30"/>
  </w:num>
  <w:num w:numId="14" w16cid:durableId="1866673598">
    <w:abstractNumId w:val="15"/>
  </w:num>
  <w:num w:numId="15" w16cid:durableId="1690331811">
    <w:abstractNumId w:val="27"/>
  </w:num>
  <w:num w:numId="16" w16cid:durableId="111170289">
    <w:abstractNumId w:val="18"/>
  </w:num>
  <w:num w:numId="17" w16cid:durableId="1076437718">
    <w:abstractNumId w:val="26"/>
  </w:num>
  <w:num w:numId="18" w16cid:durableId="58478725">
    <w:abstractNumId w:val="17"/>
  </w:num>
  <w:num w:numId="19" w16cid:durableId="1141118616">
    <w:abstractNumId w:val="6"/>
  </w:num>
  <w:num w:numId="20" w16cid:durableId="409423374">
    <w:abstractNumId w:val="9"/>
  </w:num>
  <w:num w:numId="21" w16cid:durableId="424349349">
    <w:abstractNumId w:val="28"/>
  </w:num>
  <w:num w:numId="22" w16cid:durableId="1775397942">
    <w:abstractNumId w:val="7"/>
  </w:num>
  <w:num w:numId="23" w16cid:durableId="28847491">
    <w:abstractNumId w:val="31"/>
  </w:num>
  <w:num w:numId="24" w16cid:durableId="1204362247">
    <w:abstractNumId w:val="32"/>
  </w:num>
  <w:num w:numId="25" w16cid:durableId="1430348848">
    <w:abstractNumId w:val="29"/>
  </w:num>
  <w:num w:numId="26" w16cid:durableId="1754936831">
    <w:abstractNumId w:val="22"/>
  </w:num>
  <w:num w:numId="27" w16cid:durableId="1330137486">
    <w:abstractNumId w:val="4"/>
  </w:num>
  <w:num w:numId="28" w16cid:durableId="1308435900">
    <w:abstractNumId w:val="23"/>
  </w:num>
  <w:num w:numId="29" w16cid:durableId="981426427">
    <w:abstractNumId w:val="25"/>
  </w:num>
  <w:num w:numId="30" w16cid:durableId="1681812484">
    <w:abstractNumId w:val="0"/>
  </w:num>
  <w:num w:numId="31" w16cid:durableId="930820759">
    <w:abstractNumId w:val="5"/>
  </w:num>
  <w:num w:numId="32" w16cid:durableId="2066758278">
    <w:abstractNumId w:val="33"/>
  </w:num>
  <w:num w:numId="33" w16cid:durableId="1493713852">
    <w:abstractNumId w:val="1"/>
  </w:num>
  <w:num w:numId="34" w16cid:durableId="2009284478">
    <w:abstractNumId w:val="10"/>
  </w:num>
  <w:num w:numId="35" w16cid:durableId="19971441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2B3"/>
    <w:rsid w:val="00003CB8"/>
    <w:rsid w:val="00004CEB"/>
    <w:rsid w:val="00004CFA"/>
    <w:rsid w:val="00007DBB"/>
    <w:rsid w:val="00010A5D"/>
    <w:rsid w:val="00012700"/>
    <w:rsid w:val="00014653"/>
    <w:rsid w:val="000167B6"/>
    <w:rsid w:val="000172F7"/>
    <w:rsid w:val="00020E4E"/>
    <w:rsid w:val="0002114F"/>
    <w:rsid w:val="000220FB"/>
    <w:rsid w:val="00027F68"/>
    <w:rsid w:val="000347A3"/>
    <w:rsid w:val="00035D70"/>
    <w:rsid w:val="0003645C"/>
    <w:rsid w:val="00036C4A"/>
    <w:rsid w:val="00041399"/>
    <w:rsid w:val="00042A18"/>
    <w:rsid w:val="000435D9"/>
    <w:rsid w:val="00047EEE"/>
    <w:rsid w:val="00051217"/>
    <w:rsid w:val="000514A5"/>
    <w:rsid w:val="00053A2F"/>
    <w:rsid w:val="0005538D"/>
    <w:rsid w:val="00060449"/>
    <w:rsid w:val="0006266D"/>
    <w:rsid w:val="00063C57"/>
    <w:rsid w:val="00063D3E"/>
    <w:rsid w:val="00064579"/>
    <w:rsid w:val="00072640"/>
    <w:rsid w:val="0007524C"/>
    <w:rsid w:val="000763B4"/>
    <w:rsid w:val="00076C4B"/>
    <w:rsid w:val="000816B9"/>
    <w:rsid w:val="00082635"/>
    <w:rsid w:val="000853E4"/>
    <w:rsid w:val="000858FB"/>
    <w:rsid w:val="00086271"/>
    <w:rsid w:val="000872BD"/>
    <w:rsid w:val="000941A8"/>
    <w:rsid w:val="00094FA7"/>
    <w:rsid w:val="000A06C4"/>
    <w:rsid w:val="000A0F3E"/>
    <w:rsid w:val="000A1CDB"/>
    <w:rsid w:val="000A1D42"/>
    <w:rsid w:val="000A1E9C"/>
    <w:rsid w:val="000A2370"/>
    <w:rsid w:val="000A5F86"/>
    <w:rsid w:val="000A6FFD"/>
    <w:rsid w:val="000B0B99"/>
    <w:rsid w:val="000B2AC8"/>
    <w:rsid w:val="000B369C"/>
    <w:rsid w:val="000B4672"/>
    <w:rsid w:val="000C0219"/>
    <w:rsid w:val="000C2E4B"/>
    <w:rsid w:val="000C34C0"/>
    <w:rsid w:val="000C3DC9"/>
    <w:rsid w:val="000C4E03"/>
    <w:rsid w:val="000C6358"/>
    <w:rsid w:val="000C6360"/>
    <w:rsid w:val="000C76DE"/>
    <w:rsid w:val="000C79E3"/>
    <w:rsid w:val="000D2E23"/>
    <w:rsid w:val="000D324C"/>
    <w:rsid w:val="000D4CA8"/>
    <w:rsid w:val="000D5F6B"/>
    <w:rsid w:val="000D62C2"/>
    <w:rsid w:val="000E08D0"/>
    <w:rsid w:val="000E0BD1"/>
    <w:rsid w:val="000E2153"/>
    <w:rsid w:val="000E2C8A"/>
    <w:rsid w:val="000E7EAE"/>
    <w:rsid w:val="000F08D5"/>
    <w:rsid w:val="000F1966"/>
    <w:rsid w:val="000F1D50"/>
    <w:rsid w:val="000F34B2"/>
    <w:rsid w:val="000F61DF"/>
    <w:rsid w:val="000F69D3"/>
    <w:rsid w:val="000F70A7"/>
    <w:rsid w:val="000F7929"/>
    <w:rsid w:val="00100495"/>
    <w:rsid w:val="00101B0D"/>
    <w:rsid w:val="00101F3E"/>
    <w:rsid w:val="00105A0A"/>
    <w:rsid w:val="0010687C"/>
    <w:rsid w:val="001104DD"/>
    <w:rsid w:val="00111418"/>
    <w:rsid w:val="0012035C"/>
    <w:rsid w:val="0012053B"/>
    <w:rsid w:val="00120935"/>
    <w:rsid w:val="001219F7"/>
    <w:rsid w:val="00122268"/>
    <w:rsid w:val="001227EE"/>
    <w:rsid w:val="001228EE"/>
    <w:rsid w:val="001259B4"/>
    <w:rsid w:val="00127261"/>
    <w:rsid w:val="00127D32"/>
    <w:rsid w:val="00127E75"/>
    <w:rsid w:val="00131D7D"/>
    <w:rsid w:val="0013282E"/>
    <w:rsid w:val="00132A73"/>
    <w:rsid w:val="00135886"/>
    <w:rsid w:val="00137DBA"/>
    <w:rsid w:val="001404E7"/>
    <w:rsid w:val="00141101"/>
    <w:rsid w:val="00141E82"/>
    <w:rsid w:val="00142589"/>
    <w:rsid w:val="00143C73"/>
    <w:rsid w:val="00144548"/>
    <w:rsid w:val="00153617"/>
    <w:rsid w:val="00155A1F"/>
    <w:rsid w:val="00156E36"/>
    <w:rsid w:val="00156F01"/>
    <w:rsid w:val="00157835"/>
    <w:rsid w:val="001616BE"/>
    <w:rsid w:val="00161F07"/>
    <w:rsid w:val="00162810"/>
    <w:rsid w:val="00167298"/>
    <w:rsid w:val="00173B42"/>
    <w:rsid w:val="0018095C"/>
    <w:rsid w:val="00182B23"/>
    <w:rsid w:val="00182FAB"/>
    <w:rsid w:val="0018430F"/>
    <w:rsid w:val="00184AAD"/>
    <w:rsid w:val="00187217"/>
    <w:rsid w:val="00191128"/>
    <w:rsid w:val="001914C2"/>
    <w:rsid w:val="001931F8"/>
    <w:rsid w:val="0019548F"/>
    <w:rsid w:val="001A07FE"/>
    <w:rsid w:val="001A0F60"/>
    <w:rsid w:val="001A3031"/>
    <w:rsid w:val="001A7FEB"/>
    <w:rsid w:val="001B3E6D"/>
    <w:rsid w:val="001B4457"/>
    <w:rsid w:val="001C004B"/>
    <w:rsid w:val="001C1992"/>
    <w:rsid w:val="001C2DEB"/>
    <w:rsid w:val="001C44BE"/>
    <w:rsid w:val="001C5BAE"/>
    <w:rsid w:val="001C761B"/>
    <w:rsid w:val="001D17C7"/>
    <w:rsid w:val="001D19CC"/>
    <w:rsid w:val="001D25F8"/>
    <w:rsid w:val="001D57B8"/>
    <w:rsid w:val="001E0900"/>
    <w:rsid w:val="001E4A89"/>
    <w:rsid w:val="001E542A"/>
    <w:rsid w:val="001E67F7"/>
    <w:rsid w:val="001E73FE"/>
    <w:rsid w:val="001E76D8"/>
    <w:rsid w:val="001F0572"/>
    <w:rsid w:val="001F2E04"/>
    <w:rsid w:val="001F4462"/>
    <w:rsid w:val="001F67DA"/>
    <w:rsid w:val="001F721B"/>
    <w:rsid w:val="00202753"/>
    <w:rsid w:val="002027A8"/>
    <w:rsid w:val="00204E47"/>
    <w:rsid w:val="00206C24"/>
    <w:rsid w:val="00206E78"/>
    <w:rsid w:val="002119E0"/>
    <w:rsid w:val="00212709"/>
    <w:rsid w:val="00220719"/>
    <w:rsid w:val="002247A3"/>
    <w:rsid w:val="002248A2"/>
    <w:rsid w:val="00232DB3"/>
    <w:rsid w:val="00237B42"/>
    <w:rsid w:val="00237FD1"/>
    <w:rsid w:val="00241D75"/>
    <w:rsid w:val="002443C0"/>
    <w:rsid w:val="0024519F"/>
    <w:rsid w:val="00246464"/>
    <w:rsid w:val="0024739A"/>
    <w:rsid w:val="002500CA"/>
    <w:rsid w:val="00252869"/>
    <w:rsid w:val="00252DF3"/>
    <w:rsid w:val="00254FA3"/>
    <w:rsid w:val="00255B39"/>
    <w:rsid w:val="00257DAA"/>
    <w:rsid w:val="002622A7"/>
    <w:rsid w:val="0027472A"/>
    <w:rsid w:val="002759A4"/>
    <w:rsid w:val="00275EC4"/>
    <w:rsid w:val="00276194"/>
    <w:rsid w:val="00277B19"/>
    <w:rsid w:val="00280E83"/>
    <w:rsid w:val="00281646"/>
    <w:rsid w:val="0028398B"/>
    <w:rsid w:val="00284FE2"/>
    <w:rsid w:val="00287835"/>
    <w:rsid w:val="00290003"/>
    <w:rsid w:val="002907C6"/>
    <w:rsid w:val="0029152A"/>
    <w:rsid w:val="00293E1B"/>
    <w:rsid w:val="00294AC8"/>
    <w:rsid w:val="00295071"/>
    <w:rsid w:val="002A1445"/>
    <w:rsid w:val="002A2A0B"/>
    <w:rsid w:val="002A3427"/>
    <w:rsid w:val="002A424D"/>
    <w:rsid w:val="002A43E6"/>
    <w:rsid w:val="002B3B65"/>
    <w:rsid w:val="002B480E"/>
    <w:rsid w:val="002B50C4"/>
    <w:rsid w:val="002B643E"/>
    <w:rsid w:val="002C02BF"/>
    <w:rsid w:val="002C084D"/>
    <w:rsid w:val="002D3F1D"/>
    <w:rsid w:val="002D6FAE"/>
    <w:rsid w:val="002E12BF"/>
    <w:rsid w:val="002E351C"/>
    <w:rsid w:val="002E4CBF"/>
    <w:rsid w:val="002E6A50"/>
    <w:rsid w:val="002F0883"/>
    <w:rsid w:val="002F1AC2"/>
    <w:rsid w:val="002F39D3"/>
    <w:rsid w:val="002F3D52"/>
    <w:rsid w:val="002F3FCF"/>
    <w:rsid w:val="002F4EA6"/>
    <w:rsid w:val="002F5860"/>
    <w:rsid w:val="002F6A21"/>
    <w:rsid w:val="00300611"/>
    <w:rsid w:val="00301FAE"/>
    <w:rsid w:val="003037CF"/>
    <w:rsid w:val="00306F0E"/>
    <w:rsid w:val="00307551"/>
    <w:rsid w:val="003120C0"/>
    <w:rsid w:val="0031485C"/>
    <w:rsid w:val="00315549"/>
    <w:rsid w:val="003205B6"/>
    <w:rsid w:val="00320F02"/>
    <w:rsid w:val="0032115C"/>
    <w:rsid w:val="003211AC"/>
    <w:rsid w:val="00321FCF"/>
    <w:rsid w:val="003248BB"/>
    <w:rsid w:val="0032519C"/>
    <w:rsid w:val="00330103"/>
    <w:rsid w:val="003309C9"/>
    <w:rsid w:val="00331210"/>
    <w:rsid w:val="003369E9"/>
    <w:rsid w:val="00337BF0"/>
    <w:rsid w:val="00342E92"/>
    <w:rsid w:val="0034359F"/>
    <w:rsid w:val="00344E27"/>
    <w:rsid w:val="00345D77"/>
    <w:rsid w:val="00346FB9"/>
    <w:rsid w:val="00350BAD"/>
    <w:rsid w:val="003608B8"/>
    <w:rsid w:val="0036380D"/>
    <w:rsid w:val="00363F19"/>
    <w:rsid w:val="003670B6"/>
    <w:rsid w:val="0037158E"/>
    <w:rsid w:val="00372A19"/>
    <w:rsid w:val="00374EC7"/>
    <w:rsid w:val="003759C3"/>
    <w:rsid w:val="00375FBE"/>
    <w:rsid w:val="00377D9C"/>
    <w:rsid w:val="00381D49"/>
    <w:rsid w:val="0038293B"/>
    <w:rsid w:val="0038384D"/>
    <w:rsid w:val="00383D75"/>
    <w:rsid w:val="00384BC4"/>
    <w:rsid w:val="003863AA"/>
    <w:rsid w:val="003867B7"/>
    <w:rsid w:val="00386AC0"/>
    <w:rsid w:val="00387AE7"/>
    <w:rsid w:val="003964E1"/>
    <w:rsid w:val="003A0B7F"/>
    <w:rsid w:val="003A2957"/>
    <w:rsid w:val="003B0A77"/>
    <w:rsid w:val="003B2021"/>
    <w:rsid w:val="003B2869"/>
    <w:rsid w:val="003B3E1E"/>
    <w:rsid w:val="003B5579"/>
    <w:rsid w:val="003B74F5"/>
    <w:rsid w:val="003C1A7F"/>
    <w:rsid w:val="003C26EA"/>
    <w:rsid w:val="003C307F"/>
    <w:rsid w:val="003C709D"/>
    <w:rsid w:val="003C7823"/>
    <w:rsid w:val="003C7863"/>
    <w:rsid w:val="003D586B"/>
    <w:rsid w:val="003D7033"/>
    <w:rsid w:val="003E096F"/>
    <w:rsid w:val="003E10CF"/>
    <w:rsid w:val="003E2FF5"/>
    <w:rsid w:val="003E4D3C"/>
    <w:rsid w:val="003E63BE"/>
    <w:rsid w:val="003E784F"/>
    <w:rsid w:val="003F01D0"/>
    <w:rsid w:val="003F148C"/>
    <w:rsid w:val="003F224D"/>
    <w:rsid w:val="003F2893"/>
    <w:rsid w:val="003F75D5"/>
    <w:rsid w:val="004009EE"/>
    <w:rsid w:val="00401237"/>
    <w:rsid w:val="004027BD"/>
    <w:rsid w:val="004029DF"/>
    <w:rsid w:val="00402B02"/>
    <w:rsid w:val="00416643"/>
    <w:rsid w:val="00416C33"/>
    <w:rsid w:val="0042250A"/>
    <w:rsid w:val="004257EE"/>
    <w:rsid w:val="00425D85"/>
    <w:rsid w:val="00425EE2"/>
    <w:rsid w:val="004261D7"/>
    <w:rsid w:val="00436AD8"/>
    <w:rsid w:val="00437C94"/>
    <w:rsid w:val="0044155E"/>
    <w:rsid w:val="00442162"/>
    <w:rsid w:val="004426FF"/>
    <w:rsid w:val="00447DB9"/>
    <w:rsid w:val="00447FD3"/>
    <w:rsid w:val="004502CE"/>
    <w:rsid w:val="0045083D"/>
    <w:rsid w:val="0045429F"/>
    <w:rsid w:val="004623B4"/>
    <w:rsid w:val="004624A9"/>
    <w:rsid w:val="00462CA1"/>
    <w:rsid w:val="004631ED"/>
    <w:rsid w:val="00463201"/>
    <w:rsid w:val="00466742"/>
    <w:rsid w:val="00466C35"/>
    <w:rsid w:val="0047000F"/>
    <w:rsid w:val="004700A7"/>
    <w:rsid w:val="0047511E"/>
    <w:rsid w:val="0048429C"/>
    <w:rsid w:val="00484656"/>
    <w:rsid w:val="00484960"/>
    <w:rsid w:val="00484C32"/>
    <w:rsid w:val="00485355"/>
    <w:rsid w:val="004874B5"/>
    <w:rsid w:val="00493A5E"/>
    <w:rsid w:val="00495532"/>
    <w:rsid w:val="0049575F"/>
    <w:rsid w:val="00495B1E"/>
    <w:rsid w:val="00495E83"/>
    <w:rsid w:val="00496DCA"/>
    <w:rsid w:val="004A2DEA"/>
    <w:rsid w:val="004A596F"/>
    <w:rsid w:val="004A684F"/>
    <w:rsid w:val="004B0CB8"/>
    <w:rsid w:val="004B2D14"/>
    <w:rsid w:val="004B351B"/>
    <w:rsid w:val="004B4564"/>
    <w:rsid w:val="004B4C45"/>
    <w:rsid w:val="004B670D"/>
    <w:rsid w:val="004B6C7F"/>
    <w:rsid w:val="004B6F0E"/>
    <w:rsid w:val="004C0565"/>
    <w:rsid w:val="004D3A5C"/>
    <w:rsid w:val="004D425F"/>
    <w:rsid w:val="004D57B2"/>
    <w:rsid w:val="004D5D8D"/>
    <w:rsid w:val="004D613E"/>
    <w:rsid w:val="004E0165"/>
    <w:rsid w:val="004E09F9"/>
    <w:rsid w:val="004E0FBA"/>
    <w:rsid w:val="004E16F9"/>
    <w:rsid w:val="004E1904"/>
    <w:rsid w:val="004E34E8"/>
    <w:rsid w:val="004E3901"/>
    <w:rsid w:val="004E45B9"/>
    <w:rsid w:val="004E5227"/>
    <w:rsid w:val="004F2668"/>
    <w:rsid w:val="004F6468"/>
    <w:rsid w:val="004F781F"/>
    <w:rsid w:val="004F7ABA"/>
    <w:rsid w:val="0050402C"/>
    <w:rsid w:val="0051054D"/>
    <w:rsid w:val="005124BD"/>
    <w:rsid w:val="0051685B"/>
    <w:rsid w:val="00517D07"/>
    <w:rsid w:val="00517EA4"/>
    <w:rsid w:val="00523564"/>
    <w:rsid w:val="00524BD1"/>
    <w:rsid w:val="0052538F"/>
    <w:rsid w:val="0052699C"/>
    <w:rsid w:val="005305A9"/>
    <w:rsid w:val="00530FD6"/>
    <w:rsid w:val="00534760"/>
    <w:rsid w:val="00536716"/>
    <w:rsid w:val="00536B1E"/>
    <w:rsid w:val="00537FB6"/>
    <w:rsid w:val="00542017"/>
    <w:rsid w:val="00542DCE"/>
    <w:rsid w:val="005467D3"/>
    <w:rsid w:val="00546D9C"/>
    <w:rsid w:val="00551454"/>
    <w:rsid w:val="00554607"/>
    <w:rsid w:val="00554F78"/>
    <w:rsid w:val="00561376"/>
    <w:rsid w:val="00567FAA"/>
    <w:rsid w:val="00571667"/>
    <w:rsid w:val="0057225D"/>
    <w:rsid w:val="00572CD5"/>
    <w:rsid w:val="00573811"/>
    <w:rsid w:val="00573D3A"/>
    <w:rsid w:val="00573EAE"/>
    <w:rsid w:val="005767F0"/>
    <w:rsid w:val="005809C2"/>
    <w:rsid w:val="00580D15"/>
    <w:rsid w:val="005812D1"/>
    <w:rsid w:val="00581500"/>
    <w:rsid w:val="00581E28"/>
    <w:rsid w:val="0058201D"/>
    <w:rsid w:val="005852B3"/>
    <w:rsid w:val="00585985"/>
    <w:rsid w:val="00587275"/>
    <w:rsid w:val="00591EED"/>
    <w:rsid w:val="00595B0F"/>
    <w:rsid w:val="005A1563"/>
    <w:rsid w:val="005A3CF0"/>
    <w:rsid w:val="005A6E40"/>
    <w:rsid w:val="005B2226"/>
    <w:rsid w:val="005B329D"/>
    <w:rsid w:val="005C0673"/>
    <w:rsid w:val="005D3649"/>
    <w:rsid w:val="005D3B94"/>
    <w:rsid w:val="005D45BD"/>
    <w:rsid w:val="005D5FEE"/>
    <w:rsid w:val="005D7DBD"/>
    <w:rsid w:val="005E063C"/>
    <w:rsid w:val="005E2516"/>
    <w:rsid w:val="005E41D7"/>
    <w:rsid w:val="005F0403"/>
    <w:rsid w:val="005F24F1"/>
    <w:rsid w:val="005F6D11"/>
    <w:rsid w:val="005F7998"/>
    <w:rsid w:val="00601D82"/>
    <w:rsid w:val="00606E2D"/>
    <w:rsid w:val="0060776C"/>
    <w:rsid w:val="006102CE"/>
    <w:rsid w:val="00613C1E"/>
    <w:rsid w:val="00617DCD"/>
    <w:rsid w:val="00623CD4"/>
    <w:rsid w:val="00631674"/>
    <w:rsid w:val="00633D34"/>
    <w:rsid w:val="00643138"/>
    <w:rsid w:val="0064440A"/>
    <w:rsid w:val="006453A7"/>
    <w:rsid w:val="006460AC"/>
    <w:rsid w:val="006465F1"/>
    <w:rsid w:val="006501DB"/>
    <w:rsid w:val="00651367"/>
    <w:rsid w:val="006528F9"/>
    <w:rsid w:val="0065311E"/>
    <w:rsid w:val="00655A63"/>
    <w:rsid w:val="00655B22"/>
    <w:rsid w:val="00657059"/>
    <w:rsid w:val="006623A0"/>
    <w:rsid w:val="00666EA4"/>
    <w:rsid w:val="00667D0E"/>
    <w:rsid w:val="00670179"/>
    <w:rsid w:val="00674D8F"/>
    <w:rsid w:val="00676481"/>
    <w:rsid w:val="00681F3A"/>
    <w:rsid w:val="006823CA"/>
    <w:rsid w:val="006825D9"/>
    <w:rsid w:val="0068478E"/>
    <w:rsid w:val="00684845"/>
    <w:rsid w:val="00686106"/>
    <w:rsid w:val="00693D1B"/>
    <w:rsid w:val="00695601"/>
    <w:rsid w:val="00696B38"/>
    <w:rsid w:val="006A1D8E"/>
    <w:rsid w:val="006A4863"/>
    <w:rsid w:val="006A5A20"/>
    <w:rsid w:val="006A7632"/>
    <w:rsid w:val="006A77F7"/>
    <w:rsid w:val="006B4B5D"/>
    <w:rsid w:val="006C02A2"/>
    <w:rsid w:val="006C3CA4"/>
    <w:rsid w:val="006C4B23"/>
    <w:rsid w:val="006C6352"/>
    <w:rsid w:val="006C737C"/>
    <w:rsid w:val="006D0280"/>
    <w:rsid w:val="006D061F"/>
    <w:rsid w:val="006D12E7"/>
    <w:rsid w:val="006D4C27"/>
    <w:rsid w:val="006E00FF"/>
    <w:rsid w:val="006E061D"/>
    <w:rsid w:val="006E1020"/>
    <w:rsid w:val="006E1677"/>
    <w:rsid w:val="006E2C9C"/>
    <w:rsid w:val="006E3874"/>
    <w:rsid w:val="006E7A04"/>
    <w:rsid w:val="006F389A"/>
    <w:rsid w:val="00703CFC"/>
    <w:rsid w:val="0070583E"/>
    <w:rsid w:val="00705C83"/>
    <w:rsid w:val="007067B0"/>
    <w:rsid w:val="00712EF6"/>
    <w:rsid w:val="007134F3"/>
    <w:rsid w:val="007135C8"/>
    <w:rsid w:val="00716CD8"/>
    <w:rsid w:val="00720131"/>
    <w:rsid w:val="00721839"/>
    <w:rsid w:val="0072561B"/>
    <w:rsid w:val="00725C25"/>
    <w:rsid w:val="00725FD4"/>
    <w:rsid w:val="00730E90"/>
    <w:rsid w:val="0073358E"/>
    <w:rsid w:val="007357B0"/>
    <w:rsid w:val="00737496"/>
    <w:rsid w:val="0074032A"/>
    <w:rsid w:val="00742A74"/>
    <w:rsid w:val="0074439B"/>
    <w:rsid w:val="007467DC"/>
    <w:rsid w:val="00746C5A"/>
    <w:rsid w:val="00751C68"/>
    <w:rsid w:val="00755F42"/>
    <w:rsid w:val="0076219A"/>
    <w:rsid w:val="00767A7A"/>
    <w:rsid w:val="007714F1"/>
    <w:rsid w:val="0077209A"/>
    <w:rsid w:val="0077299E"/>
    <w:rsid w:val="007767CE"/>
    <w:rsid w:val="00777A45"/>
    <w:rsid w:val="00780686"/>
    <w:rsid w:val="00780FF1"/>
    <w:rsid w:val="00781A7C"/>
    <w:rsid w:val="00781BE2"/>
    <w:rsid w:val="007820AB"/>
    <w:rsid w:val="007841E0"/>
    <w:rsid w:val="0078497B"/>
    <w:rsid w:val="0079041B"/>
    <w:rsid w:val="0079444C"/>
    <w:rsid w:val="00795327"/>
    <w:rsid w:val="00795FE0"/>
    <w:rsid w:val="00797308"/>
    <w:rsid w:val="007A07BA"/>
    <w:rsid w:val="007A14DC"/>
    <w:rsid w:val="007A4120"/>
    <w:rsid w:val="007A4660"/>
    <w:rsid w:val="007A57A3"/>
    <w:rsid w:val="007A5B0F"/>
    <w:rsid w:val="007B0A18"/>
    <w:rsid w:val="007B10C5"/>
    <w:rsid w:val="007B35A6"/>
    <w:rsid w:val="007B4CC9"/>
    <w:rsid w:val="007B5656"/>
    <w:rsid w:val="007C05D4"/>
    <w:rsid w:val="007C2885"/>
    <w:rsid w:val="007C33D6"/>
    <w:rsid w:val="007C4B60"/>
    <w:rsid w:val="007C68BE"/>
    <w:rsid w:val="007C69EE"/>
    <w:rsid w:val="007C7641"/>
    <w:rsid w:val="007D3E36"/>
    <w:rsid w:val="007D7F4D"/>
    <w:rsid w:val="007E09E3"/>
    <w:rsid w:val="007E0CF1"/>
    <w:rsid w:val="007E4A4F"/>
    <w:rsid w:val="007E7294"/>
    <w:rsid w:val="007F314A"/>
    <w:rsid w:val="007F3E16"/>
    <w:rsid w:val="007F4859"/>
    <w:rsid w:val="007F4EC0"/>
    <w:rsid w:val="007F53AE"/>
    <w:rsid w:val="007F5DD3"/>
    <w:rsid w:val="007F7E23"/>
    <w:rsid w:val="0080122B"/>
    <w:rsid w:val="00802BEC"/>
    <w:rsid w:val="00802CB5"/>
    <w:rsid w:val="0080636F"/>
    <w:rsid w:val="00807054"/>
    <w:rsid w:val="008140E2"/>
    <w:rsid w:val="00817653"/>
    <w:rsid w:val="00821D10"/>
    <w:rsid w:val="00822BDA"/>
    <w:rsid w:val="0082339E"/>
    <w:rsid w:val="0082446C"/>
    <w:rsid w:val="00827048"/>
    <w:rsid w:val="008302F8"/>
    <w:rsid w:val="008320C5"/>
    <w:rsid w:val="00836165"/>
    <w:rsid w:val="00840FB1"/>
    <w:rsid w:val="008414DC"/>
    <w:rsid w:val="00844953"/>
    <w:rsid w:val="00845150"/>
    <w:rsid w:val="008457F8"/>
    <w:rsid w:val="00845893"/>
    <w:rsid w:val="00847A96"/>
    <w:rsid w:val="008502EA"/>
    <w:rsid w:val="00851D1E"/>
    <w:rsid w:val="008529F6"/>
    <w:rsid w:val="00853291"/>
    <w:rsid w:val="00856BBF"/>
    <w:rsid w:val="008607D2"/>
    <w:rsid w:val="008624B8"/>
    <w:rsid w:val="00862838"/>
    <w:rsid w:val="00863464"/>
    <w:rsid w:val="00865EFA"/>
    <w:rsid w:val="00866591"/>
    <w:rsid w:val="00867553"/>
    <w:rsid w:val="00873079"/>
    <w:rsid w:val="00873991"/>
    <w:rsid w:val="00874392"/>
    <w:rsid w:val="008749BC"/>
    <w:rsid w:val="00875690"/>
    <w:rsid w:val="00880E6E"/>
    <w:rsid w:val="00881077"/>
    <w:rsid w:val="00885311"/>
    <w:rsid w:val="008869B1"/>
    <w:rsid w:val="008873AC"/>
    <w:rsid w:val="00887BE5"/>
    <w:rsid w:val="00891F3A"/>
    <w:rsid w:val="008A05B2"/>
    <w:rsid w:val="008A2D9A"/>
    <w:rsid w:val="008A2E37"/>
    <w:rsid w:val="008A4148"/>
    <w:rsid w:val="008A65E3"/>
    <w:rsid w:val="008A6F63"/>
    <w:rsid w:val="008A77F0"/>
    <w:rsid w:val="008A7D76"/>
    <w:rsid w:val="008B3A7E"/>
    <w:rsid w:val="008C2056"/>
    <w:rsid w:val="008C33AB"/>
    <w:rsid w:val="008C3955"/>
    <w:rsid w:val="008C4595"/>
    <w:rsid w:val="008C550B"/>
    <w:rsid w:val="008C715F"/>
    <w:rsid w:val="008D177A"/>
    <w:rsid w:val="008D2644"/>
    <w:rsid w:val="008E04DF"/>
    <w:rsid w:val="008E1A19"/>
    <w:rsid w:val="008E3123"/>
    <w:rsid w:val="008E5587"/>
    <w:rsid w:val="008E660F"/>
    <w:rsid w:val="008E71F8"/>
    <w:rsid w:val="008E7AD5"/>
    <w:rsid w:val="008F5E39"/>
    <w:rsid w:val="008F7F95"/>
    <w:rsid w:val="0090134A"/>
    <w:rsid w:val="009024A5"/>
    <w:rsid w:val="009042B8"/>
    <w:rsid w:val="0091334F"/>
    <w:rsid w:val="009141F0"/>
    <w:rsid w:val="009177CD"/>
    <w:rsid w:val="00917D16"/>
    <w:rsid w:val="00922B29"/>
    <w:rsid w:val="00922BD7"/>
    <w:rsid w:val="00923B8B"/>
    <w:rsid w:val="009260B9"/>
    <w:rsid w:val="00926B5C"/>
    <w:rsid w:val="009306A3"/>
    <w:rsid w:val="00935CB5"/>
    <w:rsid w:val="0094084A"/>
    <w:rsid w:val="00942EEE"/>
    <w:rsid w:val="00943195"/>
    <w:rsid w:val="0094434B"/>
    <w:rsid w:val="009449A2"/>
    <w:rsid w:val="009457D7"/>
    <w:rsid w:val="00946D49"/>
    <w:rsid w:val="0094734C"/>
    <w:rsid w:val="00947C5C"/>
    <w:rsid w:val="00956A78"/>
    <w:rsid w:val="0096165F"/>
    <w:rsid w:val="00966971"/>
    <w:rsid w:val="00966A73"/>
    <w:rsid w:val="009712BB"/>
    <w:rsid w:val="00977D23"/>
    <w:rsid w:val="009826A7"/>
    <w:rsid w:val="00983841"/>
    <w:rsid w:val="009874AB"/>
    <w:rsid w:val="00990F51"/>
    <w:rsid w:val="00991795"/>
    <w:rsid w:val="009946AF"/>
    <w:rsid w:val="009957CB"/>
    <w:rsid w:val="00996F27"/>
    <w:rsid w:val="009A06DA"/>
    <w:rsid w:val="009A0F83"/>
    <w:rsid w:val="009A1518"/>
    <w:rsid w:val="009A2630"/>
    <w:rsid w:val="009A2C74"/>
    <w:rsid w:val="009A2D72"/>
    <w:rsid w:val="009A66A5"/>
    <w:rsid w:val="009A76C8"/>
    <w:rsid w:val="009B0674"/>
    <w:rsid w:val="009B2C00"/>
    <w:rsid w:val="009B414E"/>
    <w:rsid w:val="009B5E44"/>
    <w:rsid w:val="009B66EA"/>
    <w:rsid w:val="009B682E"/>
    <w:rsid w:val="009C2A9F"/>
    <w:rsid w:val="009C2B1E"/>
    <w:rsid w:val="009C4B69"/>
    <w:rsid w:val="009C70C2"/>
    <w:rsid w:val="009C71B8"/>
    <w:rsid w:val="009C7C39"/>
    <w:rsid w:val="009C7CA9"/>
    <w:rsid w:val="009D1049"/>
    <w:rsid w:val="009D3555"/>
    <w:rsid w:val="009E1235"/>
    <w:rsid w:val="009E3030"/>
    <w:rsid w:val="009F13A6"/>
    <w:rsid w:val="009F5E9D"/>
    <w:rsid w:val="009F6963"/>
    <w:rsid w:val="00A00616"/>
    <w:rsid w:val="00A0254C"/>
    <w:rsid w:val="00A045E5"/>
    <w:rsid w:val="00A0782F"/>
    <w:rsid w:val="00A1101A"/>
    <w:rsid w:val="00A12164"/>
    <w:rsid w:val="00A13312"/>
    <w:rsid w:val="00A13D79"/>
    <w:rsid w:val="00A13E46"/>
    <w:rsid w:val="00A1517A"/>
    <w:rsid w:val="00A17A26"/>
    <w:rsid w:val="00A216BD"/>
    <w:rsid w:val="00A2383D"/>
    <w:rsid w:val="00A23BF1"/>
    <w:rsid w:val="00A261E9"/>
    <w:rsid w:val="00A26A20"/>
    <w:rsid w:val="00A31422"/>
    <w:rsid w:val="00A32385"/>
    <w:rsid w:val="00A35B7E"/>
    <w:rsid w:val="00A3629D"/>
    <w:rsid w:val="00A41A0D"/>
    <w:rsid w:val="00A4480C"/>
    <w:rsid w:val="00A44E64"/>
    <w:rsid w:val="00A457FE"/>
    <w:rsid w:val="00A477C7"/>
    <w:rsid w:val="00A47956"/>
    <w:rsid w:val="00A517D4"/>
    <w:rsid w:val="00A5318D"/>
    <w:rsid w:val="00A53630"/>
    <w:rsid w:val="00A53879"/>
    <w:rsid w:val="00A5445C"/>
    <w:rsid w:val="00A611DE"/>
    <w:rsid w:val="00A62C82"/>
    <w:rsid w:val="00A637D6"/>
    <w:rsid w:val="00A638D8"/>
    <w:rsid w:val="00A64D6B"/>
    <w:rsid w:val="00A661CB"/>
    <w:rsid w:val="00A6630F"/>
    <w:rsid w:val="00A66AEE"/>
    <w:rsid w:val="00A674CA"/>
    <w:rsid w:val="00A700AC"/>
    <w:rsid w:val="00A70319"/>
    <w:rsid w:val="00A70940"/>
    <w:rsid w:val="00A709B2"/>
    <w:rsid w:val="00A74EA7"/>
    <w:rsid w:val="00A801F0"/>
    <w:rsid w:val="00A8137D"/>
    <w:rsid w:val="00A8161A"/>
    <w:rsid w:val="00A84381"/>
    <w:rsid w:val="00A850C3"/>
    <w:rsid w:val="00A866D1"/>
    <w:rsid w:val="00A87534"/>
    <w:rsid w:val="00A9067C"/>
    <w:rsid w:val="00A9251F"/>
    <w:rsid w:val="00A92F54"/>
    <w:rsid w:val="00A94B48"/>
    <w:rsid w:val="00A95C85"/>
    <w:rsid w:val="00AA0206"/>
    <w:rsid w:val="00AA0933"/>
    <w:rsid w:val="00AA4492"/>
    <w:rsid w:val="00AA45BD"/>
    <w:rsid w:val="00AB1875"/>
    <w:rsid w:val="00AB3DEC"/>
    <w:rsid w:val="00AB59D0"/>
    <w:rsid w:val="00AB6B33"/>
    <w:rsid w:val="00AB74BE"/>
    <w:rsid w:val="00AC1163"/>
    <w:rsid w:val="00AC43B8"/>
    <w:rsid w:val="00AC5614"/>
    <w:rsid w:val="00AC6C8E"/>
    <w:rsid w:val="00AC77B7"/>
    <w:rsid w:val="00AD216E"/>
    <w:rsid w:val="00AD4080"/>
    <w:rsid w:val="00AD4C97"/>
    <w:rsid w:val="00AD520E"/>
    <w:rsid w:val="00AD66AA"/>
    <w:rsid w:val="00AD756D"/>
    <w:rsid w:val="00AE048C"/>
    <w:rsid w:val="00AE2F5F"/>
    <w:rsid w:val="00AE6B55"/>
    <w:rsid w:val="00AE73BE"/>
    <w:rsid w:val="00AF5648"/>
    <w:rsid w:val="00AF64E9"/>
    <w:rsid w:val="00AF66F5"/>
    <w:rsid w:val="00B02D6F"/>
    <w:rsid w:val="00B0382C"/>
    <w:rsid w:val="00B049E2"/>
    <w:rsid w:val="00B12B75"/>
    <w:rsid w:val="00B21057"/>
    <w:rsid w:val="00B2365B"/>
    <w:rsid w:val="00B24732"/>
    <w:rsid w:val="00B310B6"/>
    <w:rsid w:val="00B3121E"/>
    <w:rsid w:val="00B330B8"/>
    <w:rsid w:val="00B331FF"/>
    <w:rsid w:val="00B34C17"/>
    <w:rsid w:val="00B35113"/>
    <w:rsid w:val="00B372EB"/>
    <w:rsid w:val="00B377C1"/>
    <w:rsid w:val="00B4143D"/>
    <w:rsid w:val="00B4275C"/>
    <w:rsid w:val="00B42ADC"/>
    <w:rsid w:val="00B446E6"/>
    <w:rsid w:val="00B45FB9"/>
    <w:rsid w:val="00B46BBD"/>
    <w:rsid w:val="00B53A49"/>
    <w:rsid w:val="00B56220"/>
    <w:rsid w:val="00B56BFB"/>
    <w:rsid w:val="00B57B5C"/>
    <w:rsid w:val="00B57F7B"/>
    <w:rsid w:val="00B6045A"/>
    <w:rsid w:val="00B60F3C"/>
    <w:rsid w:val="00B6531A"/>
    <w:rsid w:val="00B65F81"/>
    <w:rsid w:val="00B66C65"/>
    <w:rsid w:val="00B6715F"/>
    <w:rsid w:val="00B702BA"/>
    <w:rsid w:val="00B73C61"/>
    <w:rsid w:val="00B76DAB"/>
    <w:rsid w:val="00B80F80"/>
    <w:rsid w:val="00B84304"/>
    <w:rsid w:val="00B84868"/>
    <w:rsid w:val="00B87EF1"/>
    <w:rsid w:val="00B93939"/>
    <w:rsid w:val="00BA022F"/>
    <w:rsid w:val="00BA6541"/>
    <w:rsid w:val="00BA7637"/>
    <w:rsid w:val="00BA7B11"/>
    <w:rsid w:val="00BB078A"/>
    <w:rsid w:val="00BB373C"/>
    <w:rsid w:val="00BB55CD"/>
    <w:rsid w:val="00BC2537"/>
    <w:rsid w:val="00BC5D1B"/>
    <w:rsid w:val="00BC7B6C"/>
    <w:rsid w:val="00BD39BA"/>
    <w:rsid w:val="00BD3A57"/>
    <w:rsid w:val="00BD6483"/>
    <w:rsid w:val="00BD659B"/>
    <w:rsid w:val="00BE03F8"/>
    <w:rsid w:val="00BE2272"/>
    <w:rsid w:val="00BE443A"/>
    <w:rsid w:val="00BE4DAC"/>
    <w:rsid w:val="00BE6A7A"/>
    <w:rsid w:val="00BF1BBE"/>
    <w:rsid w:val="00BF37F8"/>
    <w:rsid w:val="00BF6B6E"/>
    <w:rsid w:val="00C0034C"/>
    <w:rsid w:val="00C04A56"/>
    <w:rsid w:val="00C10672"/>
    <w:rsid w:val="00C10D63"/>
    <w:rsid w:val="00C13AC0"/>
    <w:rsid w:val="00C13B77"/>
    <w:rsid w:val="00C14D9E"/>
    <w:rsid w:val="00C154AC"/>
    <w:rsid w:val="00C16D9E"/>
    <w:rsid w:val="00C175DA"/>
    <w:rsid w:val="00C24D23"/>
    <w:rsid w:val="00C25A0C"/>
    <w:rsid w:val="00C25C43"/>
    <w:rsid w:val="00C26478"/>
    <w:rsid w:val="00C26A35"/>
    <w:rsid w:val="00C35DD2"/>
    <w:rsid w:val="00C368D6"/>
    <w:rsid w:val="00C404CF"/>
    <w:rsid w:val="00C42ED5"/>
    <w:rsid w:val="00C4318F"/>
    <w:rsid w:val="00C43DD2"/>
    <w:rsid w:val="00C45B80"/>
    <w:rsid w:val="00C51188"/>
    <w:rsid w:val="00C52521"/>
    <w:rsid w:val="00C608A2"/>
    <w:rsid w:val="00C62B00"/>
    <w:rsid w:val="00C65045"/>
    <w:rsid w:val="00C65305"/>
    <w:rsid w:val="00C67660"/>
    <w:rsid w:val="00C70366"/>
    <w:rsid w:val="00C7597F"/>
    <w:rsid w:val="00C76C7D"/>
    <w:rsid w:val="00C77C75"/>
    <w:rsid w:val="00C81684"/>
    <w:rsid w:val="00C827C9"/>
    <w:rsid w:val="00C83161"/>
    <w:rsid w:val="00C8564A"/>
    <w:rsid w:val="00C878E1"/>
    <w:rsid w:val="00C917B0"/>
    <w:rsid w:val="00CB0085"/>
    <w:rsid w:val="00CB20A6"/>
    <w:rsid w:val="00CB2324"/>
    <w:rsid w:val="00CB4F78"/>
    <w:rsid w:val="00CB5016"/>
    <w:rsid w:val="00CB5EFF"/>
    <w:rsid w:val="00CB6BA2"/>
    <w:rsid w:val="00CC0E80"/>
    <w:rsid w:val="00CC1082"/>
    <w:rsid w:val="00CC115E"/>
    <w:rsid w:val="00CC1D20"/>
    <w:rsid w:val="00CC71CC"/>
    <w:rsid w:val="00CD4117"/>
    <w:rsid w:val="00CD61E4"/>
    <w:rsid w:val="00CD655A"/>
    <w:rsid w:val="00CE0274"/>
    <w:rsid w:val="00CF7714"/>
    <w:rsid w:val="00D01943"/>
    <w:rsid w:val="00D0315A"/>
    <w:rsid w:val="00D03F2A"/>
    <w:rsid w:val="00D06431"/>
    <w:rsid w:val="00D076BE"/>
    <w:rsid w:val="00D07BE6"/>
    <w:rsid w:val="00D13B37"/>
    <w:rsid w:val="00D168C8"/>
    <w:rsid w:val="00D20443"/>
    <w:rsid w:val="00D22FC7"/>
    <w:rsid w:val="00D24048"/>
    <w:rsid w:val="00D2487C"/>
    <w:rsid w:val="00D26BDC"/>
    <w:rsid w:val="00D27362"/>
    <w:rsid w:val="00D34ABE"/>
    <w:rsid w:val="00D400AE"/>
    <w:rsid w:val="00D436F0"/>
    <w:rsid w:val="00D464D0"/>
    <w:rsid w:val="00D5072A"/>
    <w:rsid w:val="00D51153"/>
    <w:rsid w:val="00D51FB5"/>
    <w:rsid w:val="00D52A3E"/>
    <w:rsid w:val="00D5403A"/>
    <w:rsid w:val="00D5481D"/>
    <w:rsid w:val="00D55ACC"/>
    <w:rsid w:val="00D567AD"/>
    <w:rsid w:val="00D669EA"/>
    <w:rsid w:val="00D67707"/>
    <w:rsid w:val="00D72123"/>
    <w:rsid w:val="00D72FCF"/>
    <w:rsid w:val="00D74014"/>
    <w:rsid w:val="00D74BF9"/>
    <w:rsid w:val="00D76E9C"/>
    <w:rsid w:val="00D77085"/>
    <w:rsid w:val="00D80880"/>
    <w:rsid w:val="00D81837"/>
    <w:rsid w:val="00D82606"/>
    <w:rsid w:val="00D82892"/>
    <w:rsid w:val="00D83DA4"/>
    <w:rsid w:val="00D87E7A"/>
    <w:rsid w:val="00D9605C"/>
    <w:rsid w:val="00DA110E"/>
    <w:rsid w:val="00DA1FB5"/>
    <w:rsid w:val="00DA4182"/>
    <w:rsid w:val="00DA5050"/>
    <w:rsid w:val="00DA6A53"/>
    <w:rsid w:val="00DB1940"/>
    <w:rsid w:val="00DB2EA0"/>
    <w:rsid w:val="00DB683F"/>
    <w:rsid w:val="00DC0441"/>
    <w:rsid w:val="00DC1C46"/>
    <w:rsid w:val="00DC2226"/>
    <w:rsid w:val="00DC53BA"/>
    <w:rsid w:val="00DC5822"/>
    <w:rsid w:val="00DC6ABB"/>
    <w:rsid w:val="00DC6B60"/>
    <w:rsid w:val="00DC75B2"/>
    <w:rsid w:val="00DD25B2"/>
    <w:rsid w:val="00DD5FE6"/>
    <w:rsid w:val="00DE4A13"/>
    <w:rsid w:val="00DE4DA5"/>
    <w:rsid w:val="00DE6DA7"/>
    <w:rsid w:val="00DF01AA"/>
    <w:rsid w:val="00DF24A2"/>
    <w:rsid w:val="00DF2EDE"/>
    <w:rsid w:val="00DF3097"/>
    <w:rsid w:val="00DF75A3"/>
    <w:rsid w:val="00E02F40"/>
    <w:rsid w:val="00E052CD"/>
    <w:rsid w:val="00E125A8"/>
    <w:rsid w:val="00E16B40"/>
    <w:rsid w:val="00E17A5B"/>
    <w:rsid w:val="00E21DBC"/>
    <w:rsid w:val="00E2651F"/>
    <w:rsid w:val="00E276CB"/>
    <w:rsid w:val="00E332A1"/>
    <w:rsid w:val="00E333F1"/>
    <w:rsid w:val="00E33BAB"/>
    <w:rsid w:val="00E37056"/>
    <w:rsid w:val="00E454C8"/>
    <w:rsid w:val="00E46603"/>
    <w:rsid w:val="00E46C7D"/>
    <w:rsid w:val="00E51915"/>
    <w:rsid w:val="00E5563D"/>
    <w:rsid w:val="00E60453"/>
    <w:rsid w:val="00E6192A"/>
    <w:rsid w:val="00E6399C"/>
    <w:rsid w:val="00E66D01"/>
    <w:rsid w:val="00E719C5"/>
    <w:rsid w:val="00E734E7"/>
    <w:rsid w:val="00E74E15"/>
    <w:rsid w:val="00E8201F"/>
    <w:rsid w:val="00E909D6"/>
    <w:rsid w:val="00E927DC"/>
    <w:rsid w:val="00E93CC4"/>
    <w:rsid w:val="00E97FC3"/>
    <w:rsid w:val="00EA1264"/>
    <w:rsid w:val="00EB10E8"/>
    <w:rsid w:val="00EB15F9"/>
    <w:rsid w:val="00EB3EFD"/>
    <w:rsid w:val="00EB4294"/>
    <w:rsid w:val="00EB68FD"/>
    <w:rsid w:val="00EC13BF"/>
    <w:rsid w:val="00EC6C3B"/>
    <w:rsid w:val="00EC787C"/>
    <w:rsid w:val="00ED1875"/>
    <w:rsid w:val="00ED2DA8"/>
    <w:rsid w:val="00ED4BE5"/>
    <w:rsid w:val="00EE1170"/>
    <w:rsid w:val="00EE317A"/>
    <w:rsid w:val="00EE499C"/>
    <w:rsid w:val="00EE4DC5"/>
    <w:rsid w:val="00EE4EBD"/>
    <w:rsid w:val="00EE6260"/>
    <w:rsid w:val="00EE681A"/>
    <w:rsid w:val="00EF1280"/>
    <w:rsid w:val="00EF51A6"/>
    <w:rsid w:val="00EF7C62"/>
    <w:rsid w:val="00EF7C8A"/>
    <w:rsid w:val="00EF7EFF"/>
    <w:rsid w:val="00F02715"/>
    <w:rsid w:val="00F031AD"/>
    <w:rsid w:val="00F0602C"/>
    <w:rsid w:val="00F063B8"/>
    <w:rsid w:val="00F07E12"/>
    <w:rsid w:val="00F07FC5"/>
    <w:rsid w:val="00F12E4D"/>
    <w:rsid w:val="00F12F95"/>
    <w:rsid w:val="00F158EC"/>
    <w:rsid w:val="00F15F79"/>
    <w:rsid w:val="00F215C9"/>
    <w:rsid w:val="00F23850"/>
    <w:rsid w:val="00F24C0E"/>
    <w:rsid w:val="00F250B8"/>
    <w:rsid w:val="00F27180"/>
    <w:rsid w:val="00F27411"/>
    <w:rsid w:val="00F27DE3"/>
    <w:rsid w:val="00F34EAE"/>
    <w:rsid w:val="00F3505F"/>
    <w:rsid w:val="00F37DD6"/>
    <w:rsid w:val="00F40ED8"/>
    <w:rsid w:val="00F44EFF"/>
    <w:rsid w:val="00F471E6"/>
    <w:rsid w:val="00F53BE6"/>
    <w:rsid w:val="00F547BD"/>
    <w:rsid w:val="00F570A8"/>
    <w:rsid w:val="00F62541"/>
    <w:rsid w:val="00F65066"/>
    <w:rsid w:val="00F654A9"/>
    <w:rsid w:val="00F65C74"/>
    <w:rsid w:val="00F668C4"/>
    <w:rsid w:val="00F67B27"/>
    <w:rsid w:val="00F67F5D"/>
    <w:rsid w:val="00F70572"/>
    <w:rsid w:val="00F711C2"/>
    <w:rsid w:val="00F71803"/>
    <w:rsid w:val="00F723E4"/>
    <w:rsid w:val="00F727AF"/>
    <w:rsid w:val="00F730D1"/>
    <w:rsid w:val="00F7451E"/>
    <w:rsid w:val="00F76332"/>
    <w:rsid w:val="00F7661E"/>
    <w:rsid w:val="00F76E54"/>
    <w:rsid w:val="00F80F78"/>
    <w:rsid w:val="00F8298A"/>
    <w:rsid w:val="00F8429D"/>
    <w:rsid w:val="00F8487A"/>
    <w:rsid w:val="00F867CA"/>
    <w:rsid w:val="00F86B4D"/>
    <w:rsid w:val="00F902D0"/>
    <w:rsid w:val="00F9397F"/>
    <w:rsid w:val="00F9630C"/>
    <w:rsid w:val="00FA27CF"/>
    <w:rsid w:val="00FA3151"/>
    <w:rsid w:val="00FA322C"/>
    <w:rsid w:val="00FA48A0"/>
    <w:rsid w:val="00FB0AF6"/>
    <w:rsid w:val="00FB35FC"/>
    <w:rsid w:val="00FB3F79"/>
    <w:rsid w:val="00FB506C"/>
    <w:rsid w:val="00FB50E1"/>
    <w:rsid w:val="00FB655B"/>
    <w:rsid w:val="00FB71C3"/>
    <w:rsid w:val="00FC516A"/>
    <w:rsid w:val="00FC771D"/>
    <w:rsid w:val="00FC7E60"/>
    <w:rsid w:val="00FD0FDF"/>
    <w:rsid w:val="00FD27FB"/>
    <w:rsid w:val="00FD2990"/>
    <w:rsid w:val="00FD2DAF"/>
    <w:rsid w:val="00FD5326"/>
    <w:rsid w:val="00FE5178"/>
    <w:rsid w:val="00FE6334"/>
    <w:rsid w:val="00FE7F5B"/>
    <w:rsid w:val="00FF5E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53D217"/>
  <w15:chartTrackingRefBased/>
  <w15:docId w15:val="{44DB84B0-3750-4F5A-BC01-0F12990D2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46BBD"/>
    <w:pPr>
      <w:spacing w:after="0" w:line="240" w:lineRule="auto"/>
      <w:outlineLvl w:val="0"/>
    </w:pPr>
    <w:rPr>
      <w:rFonts w:cstheme="minorHAnsi"/>
      <w:b/>
      <w:bCs/>
      <w:sz w:val="28"/>
      <w:szCs w:val="28"/>
    </w:rPr>
  </w:style>
  <w:style w:type="paragraph" w:styleId="Heading2">
    <w:name w:val="heading 2"/>
    <w:basedOn w:val="Normal"/>
    <w:next w:val="Normal"/>
    <w:link w:val="Heading2Char"/>
    <w:uiPriority w:val="9"/>
    <w:unhideWhenUsed/>
    <w:qFormat/>
    <w:rsid w:val="00B46BBD"/>
    <w:pPr>
      <w:spacing w:after="0" w:line="240" w:lineRule="auto"/>
      <w:jc w:val="both"/>
      <w:outlineLvl w:val="1"/>
    </w:pPr>
    <w:rPr>
      <w:rFonts w:cstheme="minorHAnsi"/>
      <w:b/>
      <w:bCs/>
      <w:color w:val="000000"/>
      <w:sz w:val="24"/>
      <w:szCs w:val="24"/>
      <w:shd w:val="clear" w:color="auto" w:fill="FFFFFF"/>
    </w:rPr>
  </w:style>
  <w:style w:type="paragraph" w:styleId="Heading3">
    <w:name w:val="heading 3"/>
    <w:basedOn w:val="Normal"/>
    <w:next w:val="Normal"/>
    <w:link w:val="Heading3Char"/>
    <w:uiPriority w:val="9"/>
    <w:unhideWhenUsed/>
    <w:qFormat/>
    <w:rsid w:val="00F8487A"/>
    <w:pPr>
      <w:spacing w:after="0" w:line="240" w:lineRule="auto"/>
      <w:jc w:val="both"/>
      <w:outlineLvl w:val="2"/>
    </w:pPr>
    <w:rPr>
      <w:rFonts w:cstheme="minorHAnsi"/>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BBD"/>
    <w:rPr>
      <w:rFonts w:cstheme="minorHAnsi"/>
      <w:b/>
      <w:bCs/>
      <w:sz w:val="28"/>
      <w:szCs w:val="28"/>
    </w:rPr>
  </w:style>
  <w:style w:type="paragraph" w:customStyle="1" w:styleId="p1">
    <w:name w:val="p1"/>
    <w:basedOn w:val="Normal"/>
    <w:rsid w:val="00585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585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5852B3"/>
  </w:style>
  <w:style w:type="character" w:customStyle="1" w:styleId="s1">
    <w:name w:val="s1"/>
    <w:basedOn w:val="DefaultParagraphFont"/>
    <w:rsid w:val="005852B3"/>
  </w:style>
  <w:style w:type="paragraph" w:styleId="NormalWeb">
    <w:name w:val="Normal (Web)"/>
    <w:basedOn w:val="Normal"/>
    <w:uiPriority w:val="99"/>
    <w:unhideWhenUsed/>
    <w:rsid w:val="005852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type">
    <w:name w:val="pubtype"/>
    <w:basedOn w:val="DefaultParagraphFont"/>
    <w:rsid w:val="005852B3"/>
  </w:style>
  <w:style w:type="character" w:styleId="HTMLCite">
    <w:name w:val="HTML Cite"/>
    <w:basedOn w:val="DefaultParagraphFont"/>
    <w:uiPriority w:val="99"/>
    <w:semiHidden/>
    <w:unhideWhenUsed/>
    <w:rsid w:val="005852B3"/>
    <w:rPr>
      <w:i/>
      <w:iCs/>
    </w:rPr>
  </w:style>
  <w:style w:type="character" w:styleId="Strong">
    <w:name w:val="Strong"/>
    <w:basedOn w:val="DefaultParagraphFont"/>
    <w:uiPriority w:val="22"/>
    <w:qFormat/>
    <w:rsid w:val="005852B3"/>
    <w:rPr>
      <w:b/>
      <w:bCs/>
    </w:rPr>
  </w:style>
  <w:style w:type="paragraph" w:customStyle="1" w:styleId="p6">
    <w:name w:val="p6"/>
    <w:basedOn w:val="Normal"/>
    <w:rsid w:val="00585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585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5852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5852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52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2B3"/>
  </w:style>
  <w:style w:type="paragraph" w:styleId="Footer">
    <w:name w:val="footer"/>
    <w:basedOn w:val="Normal"/>
    <w:link w:val="FooterChar"/>
    <w:uiPriority w:val="99"/>
    <w:unhideWhenUsed/>
    <w:rsid w:val="005852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2B3"/>
  </w:style>
  <w:style w:type="character" w:customStyle="1" w:styleId="Heading2Char">
    <w:name w:val="Heading 2 Char"/>
    <w:basedOn w:val="DefaultParagraphFont"/>
    <w:link w:val="Heading2"/>
    <w:uiPriority w:val="9"/>
    <w:rsid w:val="00B46BBD"/>
    <w:rPr>
      <w:rFonts w:cstheme="minorHAnsi"/>
      <w:b/>
      <w:bCs/>
      <w:color w:val="000000"/>
      <w:sz w:val="24"/>
      <w:szCs w:val="24"/>
    </w:rPr>
  </w:style>
  <w:style w:type="character" w:customStyle="1" w:styleId="byline-name">
    <w:name w:val="byline-name"/>
    <w:rsid w:val="001B3E6D"/>
  </w:style>
  <w:style w:type="character" w:customStyle="1" w:styleId="span6">
    <w:name w:val="span6"/>
    <w:rsid w:val="001B3E6D"/>
  </w:style>
  <w:style w:type="character" w:styleId="Hyperlink">
    <w:name w:val="Hyperlink"/>
    <w:uiPriority w:val="99"/>
    <w:unhideWhenUsed/>
    <w:rsid w:val="001B3E6D"/>
    <w:rPr>
      <w:color w:val="0000FF"/>
      <w:u w:val="single"/>
    </w:rPr>
  </w:style>
  <w:style w:type="paragraph" w:styleId="ListParagraph">
    <w:name w:val="List Paragraph"/>
    <w:basedOn w:val="Normal"/>
    <w:uiPriority w:val="34"/>
    <w:qFormat/>
    <w:rsid w:val="004B0CB8"/>
    <w:pPr>
      <w:ind w:left="720"/>
      <w:contextualSpacing/>
    </w:pPr>
  </w:style>
  <w:style w:type="character" w:styleId="UnresolvedMention">
    <w:name w:val="Unresolved Mention"/>
    <w:basedOn w:val="DefaultParagraphFont"/>
    <w:uiPriority w:val="99"/>
    <w:semiHidden/>
    <w:unhideWhenUsed/>
    <w:rsid w:val="008C715F"/>
    <w:rPr>
      <w:color w:val="605E5C"/>
      <w:shd w:val="clear" w:color="auto" w:fill="E1DFDD"/>
    </w:rPr>
  </w:style>
  <w:style w:type="character" w:customStyle="1" w:styleId="content-authorsbyline">
    <w:name w:val="content-authors__byline"/>
    <w:basedOn w:val="DefaultParagraphFont"/>
    <w:rsid w:val="008C715F"/>
  </w:style>
  <w:style w:type="paragraph" w:styleId="BodyText">
    <w:name w:val="Body Text"/>
    <w:basedOn w:val="Normal"/>
    <w:link w:val="BodyTextChar"/>
    <w:semiHidden/>
    <w:rsid w:val="000514A5"/>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0514A5"/>
    <w:rPr>
      <w:rFonts w:ascii="Times New Roman" w:eastAsia="Times New Roman" w:hAnsi="Times New Roman" w:cs="Times New Roman"/>
      <w:sz w:val="24"/>
      <w:szCs w:val="20"/>
    </w:rPr>
  </w:style>
  <w:style w:type="table" w:styleId="TableGrid">
    <w:name w:val="Table Grid"/>
    <w:basedOn w:val="TableNormal"/>
    <w:uiPriority w:val="39"/>
    <w:rsid w:val="00606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F9630C"/>
    <w:pPr>
      <w:spacing w:after="0" w:line="240" w:lineRule="auto"/>
    </w:pPr>
    <w:rPr>
      <w:sz w:val="20"/>
      <w:szCs w:val="20"/>
    </w:rPr>
  </w:style>
  <w:style w:type="character" w:customStyle="1" w:styleId="FootnoteTextChar">
    <w:name w:val="Footnote Text Char"/>
    <w:basedOn w:val="DefaultParagraphFont"/>
    <w:link w:val="FootnoteText"/>
    <w:uiPriority w:val="99"/>
    <w:rsid w:val="00F9630C"/>
    <w:rPr>
      <w:sz w:val="20"/>
      <w:szCs w:val="20"/>
    </w:rPr>
  </w:style>
  <w:style w:type="character" w:styleId="FootnoteReference">
    <w:name w:val="footnote reference"/>
    <w:aliases w:val="Ref,de nota al pie"/>
    <w:basedOn w:val="DefaultParagraphFont"/>
    <w:uiPriority w:val="99"/>
    <w:unhideWhenUsed/>
    <w:rsid w:val="00F9630C"/>
    <w:rPr>
      <w:vertAlign w:val="superscript"/>
    </w:rPr>
  </w:style>
  <w:style w:type="character" w:styleId="Emphasis">
    <w:name w:val="Emphasis"/>
    <w:basedOn w:val="DefaultParagraphFont"/>
    <w:uiPriority w:val="20"/>
    <w:qFormat/>
    <w:rsid w:val="00FB655B"/>
    <w:rPr>
      <w:i/>
      <w:iCs/>
    </w:rPr>
  </w:style>
  <w:style w:type="paragraph" w:customStyle="1" w:styleId="wp-caption-text">
    <w:name w:val="wp-caption-text"/>
    <w:basedOn w:val="Normal"/>
    <w:rsid w:val="00FB65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qFormat/>
    <w:rsid w:val="000435D9"/>
    <w:rPr>
      <w:sz w:val="20"/>
      <w:szCs w:val="20"/>
    </w:rPr>
  </w:style>
  <w:style w:type="character" w:styleId="CommentReference">
    <w:name w:val="annotation reference"/>
    <w:basedOn w:val="DefaultParagraphFont"/>
    <w:uiPriority w:val="99"/>
    <w:semiHidden/>
    <w:unhideWhenUsed/>
    <w:qFormat/>
    <w:rsid w:val="000435D9"/>
    <w:rPr>
      <w:sz w:val="16"/>
      <w:szCs w:val="16"/>
    </w:rPr>
  </w:style>
  <w:style w:type="paragraph" w:styleId="CommentText">
    <w:name w:val="annotation text"/>
    <w:basedOn w:val="Normal"/>
    <w:link w:val="CommentTextChar"/>
    <w:uiPriority w:val="99"/>
    <w:unhideWhenUsed/>
    <w:qFormat/>
    <w:rsid w:val="000435D9"/>
    <w:pPr>
      <w:suppressAutoHyphens/>
      <w:spacing w:line="240" w:lineRule="auto"/>
    </w:pPr>
    <w:rPr>
      <w:sz w:val="20"/>
      <w:szCs w:val="20"/>
    </w:rPr>
  </w:style>
  <w:style w:type="character" w:customStyle="1" w:styleId="CommentTextChar1">
    <w:name w:val="Comment Text Char1"/>
    <w:basedOn w:val="DefaultParagraphFont"/>
    <w:uiPriority w:val="99"/>
    <w:semiHidden/>
    <w:rsid w:val="000435D9"/>
    <w:rPr>
      <w:sz w:val="20"/>
      <w:szCs w:val="20"/>
    </w:rPr>
  </w:style>
  <w:style w:type="character" w:styleId="FollowedHyperlink">
    <w:name w:val="FollowedHyperlink"/>
    <w:basedOn w:val="DefaultParagraphFont"/>
    <w:uiPriority w:val="99"/>
    <w:semiHidden/>
    <w:unhideWhenUsed/>
    <w:rsid w:val="007067B0"/>
    <w:rPr>
      <w:color w:val="954F72" w:themeColor="followedHyperlink"/>
      <w:u w:val="single"/>
    </w:rPr>
  </w:style>
  <w:style w:type="paragraph" w:styleId="BodyTextIndent2">
    <w:name w:val="Body Text Indent 2"/>
    <w:basedOn w:val="Normal"/>
    <w:link w:val="BodyTextIndent2Char"/>
    <w:uiPriority w:val="99"/>
    <w:unhideWhenUsed/>
    <w:rsid w:val="0080636F"/>
    <w:pPr>
      <w:spacing w:after="120" w:line="480" w:lineRule="auto"/>
      <w:ind w:left="283"/>
    </w:pPr>
  </w:style>
  <w:style w:type="character" w:customStyle="1" w:styleId="BodyTextIndent2Char">
    <w:name w:val="Body Text Indent 2 Char"/>
    <w:basedOn w:val="DefaultParagraphFont"/>
    <w:link w:val="BodyTextIndent2"/>
    <w:uiPriority w:val="99"/>
    <w:rsid w:val="0080636F"/>
  </w:style>
  <w:style w:type="paragraph" w:styleId="EndnoteText">
    <w:name w:val="endnote text"/>
    <w:basedOn w:val="Normal"/>
    <w:link w:val="EndnoteTextChar"/>
    <w:semiHidden/>
    <w:rsid w:val="0080636F"/>
    <w:pPr>
      <w:spacing w:after="0" w:line="240" w:lineRule="auto"/>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80636F"/>
    <w:rPr>
      <w:rFonts w:ascii="Times New Roman" w:eastAsia="Times New Roman" w:hAnsi="Times New Roman" w:cs="Times New Roman"/>
      <w:sz w:val="20"/>
      <w:szCs w:val="20"/>
      <w:lang w:val="en-GB"/>
    </w:rPr>
  </w:style>
  <w:style w:type="character" w:customStyle="1" w:styleId="ref-journal">
    <w:name w:val="ref-journal"/>
    <w:basedOn w:val="DefaultParagraphFont"/>
    <w:rsid w:val="0080636F"/>
  </w:style>
  <w:style w:type="character" w:customStyle="1" w:styleId="ref-vol">
    <w:name w:val="ref-vol"/>
    <w:basedOn w:val="DefaultParagraphFont"/>
    <w:rsid w:val="0080636F"/>
  </w:style>
  <w:style w:type="character" w:customStyle="1" w:styleId="delimiter">
    <w:name w:val="delimiter"/>
    <w:basedOn w:val="DefaultParagraphFont"/>
    <w:rsid w:val="0080636F"/>
  </w:style>
  <w:style w:type="paragraph" w:styleId="Revision">
    <w:name w:val="Revision"/>
    <w:hidden/>
    <w:uiPriority w:val="99"/>
    <w:semiHidden/>
    <w:rsid w:val="007B0A18"/>
    <w:pPr>
      <w:spacing w:after="0" w:line="240" w:lineRule="auto"/>
    </w:pPr>
  </w:style>
  <w:style w:type="paragraph" w:styleId="CommentSubject">
    <w:name w:val="annotation subject"/>
    <w:basedOn w:val="CommentText"/>
    <w:next w:val="CommentText"/>
    <w:link w:val="CommentSubjectChar"/>
    <w:uiPriority w:val="99"/>
    <w:semiHidden/>
    <w:unhideWhenUsed/>
    <w:rsid w:val="007B0A18"/>
    <w:pPr>
      <w:suppressAutoHyphens w:val="0"/>
    </w:pPr>
    <w:rPr>
      <w:b/>
      <w:bCs/>
    </w:rPr>
  </w:style>
  <w:style w:type="character" w:customStyle="1" w:styleId="CommentSubjectChar">
    <w:name w:val="Comment Subject Char"/>
    <w:basedOn w:val="CommentTextChar"/>
    <w:link w:val="CommentSubject"/>
    <w:uiPriority w:val="99"/>
    <w:semiHidden/>
    <w:rsid w:val="007B0A18"/>
    <w:rPr>
      <w:b/>
      <w:bCs/>
      <w:sz w:val="20"/>
      <w:szCs w:val="20"/>
    </w:rPr>
  </w:style>
  <w:style w:type="paragraph" w:styleId="Title">
    <w:name w:val="Title"/>
    <w:basedOn w:val="Normal"/>
    <w:link w:val="TitleChar"/>
    <w:qFormat/>
    <w:rsid w:val="00935CB5"/>
    <w:pPr>
      <w:widowControl w:val="0"/>
      <w:spacing w:after="0" w:line="240" w:lineRule="auto"/>
      <w:jc w:val="center"/>
    </w:pPr>
    <w:rPr>
      <w:rFonts w:ascii="Times New Roman" w:eastAsia="Times New Roman" w:hAnsi="Times New Roman" w:cs="Times New Roman"/>
      <w:b/>
      <w:sz w:val="20"/>
      <w:szCs w:val="20"/>
    </w:rPr>
  </w:style>
  <w:style w:type="character" w:customStyle="1" w:styleId="TitleChar">
    <w:name w:val="Title Char"/>
    <w:basedOn w:val="DefaultParagraphFont"/>
    <w:link w:val="Title"/>
    <w:rsid w:val="00935CB5"/>
    <w:rPr>
      <w:rFonts w:ascii="Times New Roman" w:eastAsia="Times New Roman" w:hAnsi="Times New Roman" w:cs="Times New Roman"/>
      <w:b/>
      <w:sz w:val="20"/>
      <w:szCs w:val="20"/>
    </w:rPr>
  </w:style>
  <w:style w:type="paragraph" w:customStyle="1" w:styleId="dx-doi">
    <w:name w:val="dx-doi"/>
    <w:basedOn w:val="Normal"/>
    <w:rsid w:val="00C525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F8487A"/>
    <w:rPr>
      <w:rFonts w:cstheme="minorHAnsi"/>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04125">
      <w:bodyDiv w:val="1"/>
      <w:marLeft w:val="0"/>
      <w:marRight w:val="0"/>
      <w:marTop w:val="0"/>
      <w:marBottom w:val="0"/>
      <w:divBdr>
        <w:top w:val="none" w:sz="0" w:space="0" w:color="auto"/>
        <w:left w:val="none" w:sz="0" w:space="0" w:color="auto"/>
        <w:bottom w:val="none" w:sz="0" w:space="0" w:color="auto"/>
        <w:right w:val="none" w:sz="0" w:space="0" w:color="auto"/>
      </w:divBdr>
      <w:divsChild>
        <w:div w:id="1134063947">
          <w:marLeft w:val="547"/>
          <w:marRight w:val="0"/>
          <w:marTop w:val="200"/>
          <w:marBottom w:val="0"/>
          <w:divBdr>
            <w:top w:val="none" w:sz="0" w:space="0" w:color="auto"/>
            <w:left w:val="none" w:sz="0" w:space="0" w:color="auto"/>
            <w:bottom w:val="none" w:sz="0" w:space="0" w:color="auto"/>
            <w:right w:val="none" w:sz="0" w:space="0" w:color="auto"/>
          </w:divBdr>
        </w:div>
        <w:div w:id="1535539175">
          <w:marLeft w:val="1166"/>
          <w:marRight w:val="0"/>
          <w:marTop w:val="200"/>
          <w:marBottom w:val="0"/>
          <w:divBdr>
            <w:top w:val="none" w:sz="0" w:space="0" w:color="auto"/>
            <w:left w:val="none" w:sz="0" w:space="0" w:color="auto"/>
            <w:bottom w:val="none" w:sz="0" w:space="0" w:color="auto"/>
            <w:right w:val="none" w:sz="0" w:space="0" w:color="auto"/>
          </w:divBdr>
        </w:div>
        <w:div w:id="1169252973">
          <w:marLeft w:val="547"/>
          <w:marRight w:val="0"/>
          <w:marTop w:val="200"/>
          <w:marBottom w:val="0"/>
          <w:divBdr>
            <w:top w:val="none" w:sz="0" w:space="0" w:color="auto"/>
            <w:left w:val="none" w:sz="0" w:space="0" w:color="auto"/>
            <w:bottom w:val="none" w:sz="0" w:space="0" w:color="auto"/>
            <w:right w:val="none" w:sz="0" w:space="0" w:color="auto"/>
          </w:divBdr>
        </w:div>
        <w:div w:id="1571308804">
          <w:marLeft w:val="547"/>
          <w:marRight w:val="0"/>
          <w:marTop w:val="200"/>
          <w:marBottom w:val="0"/>
          <w:divBdr>
            <w:top w:val="none" w:sz="0" w:space="0" w:color="auto"/>
            <w:left w:val="none" w:sz="0" w:space="0" w:color="auto"/>
            <w:bottom w:val="none" w:sz="0" w:space="0" w:color="auto"/>
            <w:right w:val="none" w:sz="0" w:space="0" w:color="auto"/>
          </w:divBdr>
        </w:div>
        <w:div w:id="20935984">
          <w:marLeft w:val="547"/>
          <w:marRight w:val="0"/>
          <w:marTop w:val="200"/>
          <w:marBottom w:val="0"/>
          <w:divBdr>
            <w:top w:val="none" w:sz="0" w:space="0" w:color="auto"/>
            <w:left w:val="none" w:sz="0" w:space="0" w:color="auto"/>
            <w:bottom w:val="none" w:sz="0" w:space="0" w:color="auto"/>
            <w:right w:val="none" w:sz="0" w:space="0" w:color="auto"/>
          </w:divBdr>
        </w:div>
        <w:div w:id="848525753">
          <w:marLeft w:val="1166"/>
          <w:marRight w:val="0"/>
          <w:marTop w:val="200"/>
          <w:marBottom w:val="0"/>
          <w:divBdr>
            <w:top w:val="none" w:sz="0" w:space="0" w:color="auto"/>
            <w:left w:val="none" w:sz="0" w:space="0" w:color="auto"/>
            <w:bottom w:val="none" w:sz="0" w:space="0" w:color="auto"/>
            <w:right w:val="none" w:sz="0" w:space="0" w:color="auto"/>
          </w:divBdr>
        </w:div>
        <w:div w:id="664867766">
          <w:marLeft w:val="1166"/>
          <w:marRight w:val="0"/>
          <w:marTop w:val="200"/>
          <w:marBottom w:val="0"/>
          <w:divBdr>
            <w:top w:val="none" w:sz="0" w:space="0" w:color="auto"/>
            <w:left w:val="none" w:sz="0" w:space="0" w:color="auto"/>
            <w:bottom w:val="none" w:sz="0" w:space="0" w:color="auto"/>
            <w:right w:val="none" w:sz="0" w:space="0" w:color="auto"/>
          </w:divBdr>
        </w:div>
        <w:div w:id="1574588397">
          <w:marLeft w:val="1166"/>
          <w:marRight w:val="0"/>
          <w:marTop w:val="200"/>
          <w:marBottom w:val="0"/>
          <w:divBdr>
            <w:top w:val="none" w:sz="0" w:space="0" w:color="auto"/>
            <w:left w:val="none" w:sz="0" w:space="0" w:color="auto"/>
            <w:bottom w:val="none" w:sz="0" w:space="0" w:color="auto"/>
            <w:right w:val="none" w:sz="0" w:space="0" w:color="auto"/>
          </w:divBdr>
        </w:div>
        <w:div w:id="1400178171">
          <w:marLeft w:val="547"/>
          <w:marRight w:val="0"/>
          <w:marTop w:val="200"/>
          <w:marBottom w:val="0"/>
          <w:divBdr>
            <w:top w:val="none" w:sz="0" w:space="0" w:color="auto"/>
            <w:left w:val="none" w:sz="0" w:space="0" w:color="auto"/>
            <w:bottom w:val="none" w:sz="0" w:space="0" w:color="auto"/>
            <w:right w:val="none" w:sz="0" w:space="0" w:color="auto"/>
          </w:divBdr>
        </w:div>
        <w:div w:id="2094929299">
          <w:marLeft w:val="1166"/>
          <w:marRight w:val="0"/>
          <w:marTop w:val="200"/>
          <w:marBottom w:val="0"/>
          <w:divBdr>
            <w:top w:val="none" w:sz="0" w:space="0" w:color="auto"/>
            <w:left w:val="none" w:sz="0" w:space="0" w:color="auto"/>
            <w:bottom w:val="none" w:sz="0" w:space="0" w:color="auto"/>
            <w:right w:val="none" w:sz="0" w:space="0" w:color="auto"/>
          </w:divBdr>
        </w:div>
        <w:div w:id="942080571">
          <w:marLeft w:val="1166"/>
          <w:marRight w:val="0"/>
          <w:marTop w:val="200"/>
          <w:marBottom w:val="0"/>
          <w:divBdr>
            <w:top w:val="none" w:sz="0" w:space="0" w:color="auto"/>
            <w:left w:val="none" w:sz="0" w:space="0" w:color="auto"/>
            <w:bottom w:val="none" w:sz="0" w:space="0" w:color="auto"/>
            <w:right w:val="none" w:sz="0" w:space="0" w:color="auto"/>
          </w:divBdr>
        </w:div>
        <w:div w:id="2088649965">
          <w:marLeft w:val="547"/>
          <w:marRight w:val="0"/>
          <w:marTop w:val="200"/>
          <w:marBottom w:val="0"/>
          <w:divBdr>
            <w:top w:val="none" w:sz="0" w:space="0" w:color="auto"/>
            <w:left w:val="none" w:sz="0" w:space="0" w:color="auto"/>
            <w:bottom w:val="none" w:sz="0" w:space="0" w:color="auto"/>
            <w:right w:val="none" w:sz="0" w:space="0" w:color="auto"/>
          </w:divBdr>
        </w:div>
        <w:div w:id="1162231379">
          <w:marLeft w:val="547"/>
          <w:marRight w:val="0"/>
          <w:marTop w:val="200"/>
          <w:marBottom w:val="0"/>
          <w:divBdr>
            <w:top w:val="none" w:sz="0" w:space="0" w:color="auto"/>
            <w:left w:val="none" w:sz="0" w:space="0" w:color="auto"/>
            <w:bottom w:val="none" w:sz="0" w:space="0" w:color="auto"/>
            <w:right w:val="none" w:sz="0" w:space="0" w:color="auto"/>
          </w:divBdr>
        </w:div>
      </w:divsChild>
    </w:div>
    <w:div w:id="132413060">
      <w:bodyDiv w:val="1"/>
      <w:marLeft w:val="0"/>
      <w:marRight w:val="0"/>
      <w:marTop w:val="0"/>
      <w:marBottom w:val="0"/>
      <w:divBdr>
        <w:top w:val="none" w:sz="0" w:space="0" w:color="auto"/>
        <w:left w:val="none" w:sz="0" w:space="0" w:color="auto"/>
        <w:bottom w:val="none" w:sz="0" w:space="0" w:color="auto"/>
        <w:right w:val="none" w:sz="0" w:space="0" w:color="auto"/>
      </w:divBdr>
    </w:div>
    <w:div w:id="223688897">
      <w:bodyDiv w:val="1"/>
      <w:marLeft w:val="0"/>
      <w:marRight w:val="0"/>
      <w:marTop w:val="0"/>
      <w:marBottom w:val="0"/>
      <w:divBdr>
        <w:top w:val="none" w:sz="0" w:space="0" w:color="auto"/>
        <w:left w:val="none" w:sz="0" w:space="0" w:color="auto"/>
        <w:bottom w:val="none" w:sz="0" w:space="0" w:color="auto"/>
        <w:right w:val="none" w:sz="0" w:space="0" w:color="auto"/>
      </w:divBdr>
      <w:divsChild>
        <w:div w:id="854265313">
          <w:marLeft w:val="547"/>
          <w:marRight w:val="0"/>
          <w:marTop w:val="200"/>
          <w:marBottom w:val="0"/>
          <w:divBdr>
            <w:top w:val="none" w:sz="0" w:space="0" w:color="auto"/>
            <w:left w:val="none" w:sz="0" w:space="0" w:color="auto"/>
            <w:bottom w:val="none" w:sz="0" w:space="0" w:color="auto"/>
            <w:right w:val="none" w:sz="0" w:space="0" w:color="auto"/>
          </w:divBdr>
        </w:div>
        <w:div w:id="279654037">
          <w:marLeft w:val="1166"/>
          <w:marRight w:val="0"/>
          <w:marTop w:val="200"/>
          <w:marBottom w:val="0"/>
          <w:divBdr>
            <w:top w:val="none" w:sz="0" w:space="0" w:color="auto"/>
            <w:left w:val="none" w:sz="0" w:space="0" w:color="auto"/>
            <w:bottom w:val="none" w:sz="0" w:space="0" w:color="auto"/>
            <w:right w:val="none" w:sz="0" w:space="0" w:color="auto"/>
          </w:divBdr>
        </w:div>
      </w:divsChild>
    </w:div>
    <w:div w:id="288821982">
      <w:bodyDiv w:val="1"/>
      <w:marLeft w:val="0"/>
      <w:marRight w:val="0"/>
      <w:marTop w:val="0"/>
      <w:marBottom w:val="0"/>
      <w:divBdr>
        <w:top w:val="none" w:sz="0" w:space="0" w:color="auto"/>
        <w:left w:val="none" w:sz="0" w:space="0" w:color="auto"/>
        <w:bottom w:val="none" w:sz="0" w:space="0" w:color="auto"/>
        <w:right w:val="none" w:sz="0" w:space="0" w:color="auto"/>
      </w:divBdr>
      <w:divsChild>
        <w:div w:id="1133525777">
          <w:marLeft w:val="547"/>
          <w:marRight w:val="0"/>
          <w:marTop w:val="200"/>
          <w:marBottom w:val="0"/>
          <w:divBdr>
            <w:top w:val="none" w:sz="0" w:space="0" w:color="auto"/>
            <w:left w:val="none" w:sz="0" w:space="0" w:color="auto"/>
            <w:bottom w:val="none" w:sz="0" w:space="0" w:color="auto"/>
            <w:right w:val="none" w:sz="0" w:space="0" w:color="auto"/>
          </w:divBdr>
        </w:div>
      </w:divsChild>
    </w:div>
    <w:div w:id="294720950">
      <w:bodyDiv w:val="1"/>
      <w:marLeft w:val="0"/>
      <w:marRight w:val="0"/>
      <w:marTop w:val="0"/>
      <w:marBottom w:val="0"/>
      <w:divBdr>
        <w:top w:val="none" w:sz="0" w:space="0" w:color="auto"/>
        <w:left w:val="none" w:sz="0" w:space="0" w:color="auto"/>
        <w:bottom w:val="none" w:sz="0" w:space="0" w:color="auto"/>
        <w:right w:val="none" w:sz="0" w:space="0" w:color="auto"/>
      </w:divBdr>
    </w:div>
    <w:div w:id="305940228">
      <w:bodyDiv w:val="1"/>
      <w:marLeft w:val="0"/>
      <w:marRight w:val="0"/>
      <w:marTop w:val="0"/>
      <w:marBottom w:val="0"/>
      <w:divBdr>
        <w:top w:val="none" w:sz="0" w:space="0" w:color="auto"/>
        <w:left w:val="none" w:sz="0" w:space="0" w:color="auto"/>
        <w:bottom w:val="none" w:sz="0" w:space="0" w:color="auto"/>
        <w:right w:val="none" w:sz="0" w:space="0" w:color="auto"/>
      </w:divBdr>
      <w:divsChild>
        <w:div w:id="991956100">
          <w:marLeft w:val="0"/>
          <w:marRight w:val="0"/>
          <w:marTop w:val="0"/>
          <w:marBottom w:val="0"/>
          <w:divBdr>
            <w:top w:val="none" w:sz="0" w:space="0" w:color="auto"/>
            <w:left w:val="none" w:sz="0" w:space="0" w:color="auto"/>
            <w:bottom w:val="none" w:sz="0" w:space="0" w:color="auto"/>
            <w:right w:val="none" w:sz="0" w:space="0" w:color="auto"/>
          </w:divBdr>
        </w:div>
        <w:div w:id="571812514">
          <w:marLeft w:val="0"/>
          <w:marRight w:val="0"/>
          <w:marTop w:val="105"/>
          <w:marBottom w:val="0"/>
          <w:divBdr>
            <w:top w:val="none" w:sz="0" w:space="0" w:color="auto"/>
            <w:left w:val="none" w:sz="0" w:space="0" w:color="auto"/>
            <w:bottom w:val="none" w:sz="0" w:space="0" w:color="auto"/>
            <w:right w:val="none" w:sz="0" w:space="0" w:color="auto"/>
          </w:divBdr>
        </w:div>
      </w:divsChild>
    </w:div>
    <w:div w:id="324940571">
      <w:bodyDiv w:val="1"/>
      <w:marLeft w:val="0"/>
      <w:marRight w:val="0"/>
      <w:marTop w:val="0"/>
      <w:marBottom w:val="0"/>
      <w:divBdr>
        <w:top w:val="none" w:sz="0" w:space="0" w:color="auto"/>
        <w:left w:val="none" w:sz="0" w:space="0" w:color="auto"/>
        <w:bottom w:val="none" w:sz="0" w:space="0" w:color="auto"/>
        <w:right w:val="none" w:sz="0" w:space="0" w:color="auto"/>
      </w:divBdr>
    </w:div>
    <w:div w:id="340788510">
      <w:bodyDiv w:val="1"/>
      <w:marLeft w:val="0"/>
      <w:marRight w:val="0"/>
      <w:marTop w:val="0"/>
      <w:marBottom w:val="0"/>
      <w:divBdr>
        <w:top w:val="none" w:sz="0" w:space="0" w:color="auto"/>
        <w:left w:val="none" w:sz="0" w:space="0" w:color="auto"/>
        <w:bottom w:val="none" w:sz="0" w:space="0" w:color="auto"/>
        <w:right w:val="none" w:sz="0" w:space="0" w:color="auto"/>
      </w:divBdr>
    </w:div>
    <w:div w:id="356003740">
      <w:bodyDiv w:val="1"/>
      <w:marLeft w:val="0"/>
      <w:marRight w:val="0"/>
      <w:marTop w:val="0"/>
      <w:marBottom w:val="0"/>
      <w:divBdr>
        <w:top w:val="none" w:sz="0" w:space="0" w:color="auto"/>
        <w:left w:val="none" w:sz="0" w:space="0" w:color="auto"/>
        <w:bottom w:val="none" w:sz="0" w:space="0" w:color="auto"/>
        <w:right w:val="none" w:sz="0" w:space="0" w:color="auto"/>
      </w:divBdr>
      <w:divsChild>
        <w:div w:id="526408047">
          <w:marLeft w:val="547"/>
          <w:marRight w:val="0"/>
          <w:marTop w:val="200"/>
          <w:marBottom w:val="0"/>
          <w:divBdr>
            <w:top w:val="none" w:sz="0" w:space="0" w:color="auto"/>
            <w:left w:val="none" w:sz="0" w:space="0" w:color="auto"/>
            <w:bottom w:val="none" w:sz="0" w:space="0" w:color="auto"/>
            <w:right w:val="none" w:sz="0" w:space="0" w:color="auto"/>
          </w:divBdr>
        </w:div>
        <w:div w:id="2071805670">
          <w:marLeft w:val="1166"/>
          <w:marRight w:val="0"/>
          <w:marTop w:val="200"/>
          <w:marBottom w:val="0"/>
          <w:divBdr>
            <w:top w:val="none" w:sz="0" w:space="0" w:color="auto"/>
            <w:left w:val="none" w:sz="0" w:space="0" w:color="auto"/>
            <w:bottom w:val="none" w:sz="0" w:space="0" w:color="auto"/>
            <w:right w:val="none" w:sz="0" w:space="0" w:color="auto"/>
          </w:divBdr>
        </w:div>
        <w:div w:id="1628389611">
          <w:marLeft w:val="1800"/>
          <w:marRight w:val="0"/>
          <w:marTop w:val="200"/>
          <w:marBottom w:val="0"/>
          <w:divBdr>
            <w:top w:val="none" w:sz="0" w:space="0" w:color="auto"/>
            <w:left w:val="none" w:sz="0" w:space="0" w:color="auto"/>
            <w:bottom w:val="none" w:sz="0" w:space="0" w:color="auto"/>
            <w:right w:val="none" w:sz="0" w:space="0" w:color="auto"/>
          </w:divBdr>
        </w:div>
        <w:div w:id="921833659">
          <w:marLeft w:val="1166"/>
          <w:marRight w:val="0"/>
          <w:marTop w:val="200"/>
          <w:marBottom w:val="0"/>
          <w:divBdr>
            <w:top w:val="none" w:sz="0" w:space="0" w:color="auto"/>
            <w:left w:val="none" w:sz="0" w:space="0" w:color="auto"/>
            <w:bottom w:val="none" w:sz="0" w:space="0" w:color="auto"/>
            <w:right w:val="none" w:sz="0" w:space="0" w:color="auto"/>
          </w:divBdr>
        </w:div>
        <w:div w:id="1512837318">
          <w:marLeft w:val="547"/>
          <w:marRight w:val="0"/>
          <w:marTop w:val="200"/>
          <w:marBottom w:val="0"/>
          <w:divBdr>
            <w:top w:val="none" w:sz="0" w:space="0" w:color="auto"/>
            <w:left w:val="none" w:sz="0" w:space="0" w:color="auto"/>
            <w:bottom w:val="none" w:sz="0" w:space="0" w:color="auto"/>
            <w:right w:val="none" w:sz="0" w:space="0" w:color="auto"/>
          </w:divBdr>
        </w:div>
        <w:div w:id="1716078474">
          <w:marLeft w:val="1166"/>
          <w:marRight w:val="0"/>
          <w:marTop w:val="200"/>
          <w:marBottom w:val="0"/>
          <w:divBdr>
            <w:top w:val="none" w:sz="0" w:space="0" w:color="auto"/>
            <w:left w:val="none" w:sz="0" w:space="0" w:color="auto"/>
            <w:bottom w:val="none" w:sz="0" w:space="0" w:color="auto"/>
            <w:right w:val="none" w:sz="0" w:space="0" w:color="auto"/>
          </w:divBdr>
        </w:div>
        <w:div w:id="1333145594">
          <w:marLeft w:val="547"/>
          <w:marRight w:val="0"/>
          <w:marTop w:val="200"/>
          <w:marBottom w:val="0"/>
          <w:divBdr>
            <w:top w:val="none" w:sz="0" w:space="0" w:color="auto"/>
            <w:left w:val="none" w:sz="0" w:space="0" w:color="auto"/>
            <w:bottom w:val="none" w:sz="0" w:space="0" w:color="auto"/>
            <w:right w:val="none" w:sz="0" w:space="0" w:color="auto"/>
          </w:divBdr>
        </w:div>
        <w:div w:id="1769036474">
          <w:marLeft w:val="1166"/>
          <w:marRight w:val="0"/>
          <w:marTop w:val="200"/>
          <w:marBottom w:val="0"/>
          <w:divBdr>
            <w:top w:val="none" w:sz="0" w:space="0" w:color="auto"/>
            <w:left w:val="none" w:sz="0" w:space="0" w:color="auto"/>
            <w:bottom w:val="none" w:sz="0" w:space="0" w:color="auto"/>
            <w:right w:val="none" w:sz="0" w:space="0" w:color="auto"/>
          </w:divBdr>
        </w:div>
        <w:div w:id="1217667545">
          <w:marLeft w:val="547"/>
          <w:marRight w:val="0"/>
          <w:marTop w:val="200"/>
          <w:marBottom w:val="0"/>
          <w:divBdr>
            <w:top w:val="none" w:sz="0" w:space="0" w:color="auto"/>
            <w:left w:val="none" w:sz="0" w:space="0" w:color="auto"/>
            <w:bottom w:val="none" w:sz="0" w:space="0" w:color="auto"/>
            <w:right w:val="none" w:sz="0" w:space="0" w:color="auto"/>
          </w:divBdr>
        </w:div>
        <w:div w:id="146095284">
          <w:marLeft w:val="1166"/>
          <w:marRight w:val="0"/>
          <w:marTop w:val="200"/>
          <w:marBottom w:val="0"/>
          <w:divBdr>
            <w:top w:val="none" w:sz="0" w:space="0" w:color="auto"/>
            <w:left w:val="none" w:sz="0" w:space="0" w:color="auto"/>
            <w:bottom w:val="none" w:sz="0" w:space="0" w:color="auto"/>
            <w:right w:val="none" w:sz="0" w:space="0" w:color="auto"/>
          </w:divBdr>
        </w:div>
        <w:div w:id="907693581">
          <w:marLeft w:val="1166"/>
          <w:marRight w:val="0"/>
          <w:marTop w:val="200"/>
          <w:marBottom w:val="0"/>
          <w:divBdr>
            <w:top w:val="none" w:sz="0" w:space="0" w:color="auto"/>
            <w:left w:val="none" w:sz="0" w:space="0" w:color="auto"/>
            <w:bottom w:val="none" w:sz="0" w:space="0" w:color="auto"/>
            <w:right w:val="none" w:sz="0" w:space="0" w:color="auto"/>
          </w:divBdr>
        </w:div>
        <w:div w:id="274673895">
          <w:marLeft w:val="547"/>
          <w:marRight w:val="0"/>
          <w:marTop w:val="200"/>
          <w:marBottom w:val="0"/>
          <w:divBdr>
            <w:top w:val="none" w:sz="0" w:space="0" w:color="auto"/>
            <w:left w:val="none" w:sz="0" w:space="0" w:color="auto"/>
            <w:bottom w:val="none" w:sz="0" w:space="0" w:color="auto"/>
            <w:right w:val="none" w:sz="0" w:space="0" w:color="auto"/>
          </w:divBdr>
        </w:div>
      </w:divsChild>
    </w:div>
    <w:div w:id="451286677">
      <w:bodyDiv w:val="1"/>
      <w:marLeft w:val="0"/>
      <w:marRight w:val="0"/>
      <w:marTop w:val="0"/>
      <w:marBottom w:val="0"/>
      <w:divBdr>
        <w:top w:val="none" w:sz="0" w:space="0" w:color="auto"/>
        <w:left w:val="none" w:sz="0" w:space="0" w:color="auto"/>
        <w:bottom w:val="none" w:sz="0" w:space="0" w:color="auto"/>
        <w:right w:val="none" w:sz="0" w:space="0" w:color="auto"/>
      </w:divBdr>
    </w:div>
    <w:div w:id="482697377">
      <w:bodyDiv w:val="1"/>
      <w:marLeft w:val="0"/>
      <w:marRight w:val="0"/>
      <w:marTop w:val="0"/>
      <w:marBottom w:val="0"/>
      <w:divBdr>
        <w:top w:val="none" w:sz="0" w:space="0" w:color="auto"/>
        <w:left w:val="none" w:sz="0" w:space="0" w:color="auto"/>
        <w:bottom w:val="none" w:sz="0" w:space="0" w:color="auto"/>
        <w:right w:val="none" w:sz="0" w:space="0" w:color="auto"/>
      </w:divBdr>
      <w:divsChild>
        <w:div w:id="51391849">
          <w:marLeft w:val="547"/>
          <w:marRight w:val="0"/>
          <w:marTop w:val="200"/>
          <w:marBottom w:val="0"/>
          <w:divBdr>
            <w:top w:val="none" w:sz="0" w:space="0" w:color="auto"/>
            <w:left w:val="none" w:sz="0" w:space="0" w:color="auto"/>
            <w:bottom w:val="none" w:sz="0" w:space="0" w:color="auto"/>
            <w:right w:val="none" w:sz="0" w:space="0" w:color="auto"/>
          </w:divBdr>
        </w:div>
      </w:divsChild>
    </w:div>
    <w:div w:id="542643805">
      <w:bodyDiv w:val="1"/>
      <w:marLeft w:val="0"/>
      <w:marRight w:val="0"/>
      <w:marTop w:val="0"/>
      <w:marBottom w:val="0"/>
      <w:divBdr>
        <w:top w:val="none" w:sz="0" w:space="0" w:color="auto"/>
        <w:left w:val="none" w:sz="0" w:space="0" w:color="auto"/>
        <w:bottom w:val="none" w:sz="0" w:space="0" w:color="auto"/>
        <w:right w:val="none" w:sz="0" w:space="0" w:color="auto"/>
      </w:divBdr>
      <w:divsChild>
        <w:div w:id="519466418">
          <w:marLeft w:val="0"/>
          <w:marRight w:val="0"/>
          <w:marTop w:val="0"/>
          <w:marBottom w:val="0"/>
          <w:divBdr>
            <w:top w:val="none" w:sz="0" w:space="0" w:color="auto"/>
            <w:left w:val="none" w:sz="0" w:space="0" w:color="auto"/>
            <w:bottom w:val="none" w:sz="0" w:space="0" w:color="auto"/>
            <w:right w:val="none" w:sz="0" w:space="0" w:color="auto"/>
          </w:divBdr>
        </w:div>
        <w:div w:id="1989019914">
          <w:marLeft w:val="0"/>
          <w:marRight w:val="0"/>
          <w:marTop w:val="0"/>
          <w:marBottom w:val="0"/>
          <w:divBdr>
            <w:top w:val="none" w:sz="0" w:space="0" w:color="auto"/>
            <w:left w:val="none" w:sz="0" w:space="0" w:color="auto"/>
            <w:bottom w:val="none" w:sz="0" w:space="0" w:color="auto"/>
            <w:right w:val="none" w:sz="0" w:space="0" w:color="auto"/>
          </w:divBdr>
        </w:div>
        <w:div w:id="1647664389">
          <w:marLeft w:val="0"/>
          <w:marRight w:val="0"/>
          <w:marTop w:val="0"/>
          <w:marBottom w:val="0"/>
          <w:divBdr>
            <w:top w:val="none" w:sz="0" w:space="0" w:color="auto"/>
            <w:left w:val="none" w:sz="0" w:space="0" w:color="auto"/>
            <w:bottom w:val="none" w:sz="0" w:space="0" w:color="auto"/>
            <w:right w:val="none" w:sz="0" w:space="0" w:color="auto"/>
          </w:divBdr>
        </w:div>
      </w:divsChild>
    </w:div>
    <w:div w:id="680592404">
      <w:bodyDiv w:val="1"/>
      <w:marLeft w:val="0"/>
      <w:marRight w:val="0"/>
      <w:marTop w:val="0"/>
      <w:marBottom w:val="0"/>
      <w:divBdr>
        <w:top w:val="none" w:sz="0" w:space="0" w:color="auto"/>
        <w:left w:val="none" w:sz="0" w:space="0" w:color="auto"/>
        <w:bottom w:val="none" w:sz="0" w:space="0" w:color="auto"/>
        <w:right w:val="none" w:sz="0" w:space="0" w:color="auto"/>
      </w:divBdr>
      <w:divsChild>
        <w:div w:id="2044474870">
          <w:marLeft w:val="547"/>
          <w:marRight w:val="0"/>
          <w:marTop w:val="200"/>
          <w:marBottom w:val="0"/>
          <w:divBdr>
            <w:top w:val="none" w:sz="0" w:space="0" w:color="auto"/>
            <w:left w:val="none" w:sz="0" w:space="0" w:color="auto"/>
            <w:bottom w:val="none" w:sz="0" w:space="0" w:color="auto"/>
            <w:right w:val="none" w:sz="0" w:space="0" w:color="auto"/>
          </w:divBdr>
        </w:div>
        <w:div w:id="2011133028">
          <w:marLeft w:val="1166"/>
          <w:marRight w:val="0"/>
          <w:marTop w:val="200"/>
          <w:marBottom w:val="0"/>
          <w:divBdr>
            <w:top w:val="none" w:sz="0" w:space="0" w:color="auto"/>
            <w:left w:val="none" w:sz="0" w:space="0" w:color="auto"/>
            <w:bottom w:val="none" w:sz="0" w:space="0" w:color="auto"/>
            <w:right w:val="none" w:sz="0" w:space="0" w:color="auto"/>
          </w:divBdr>
        </w:div>
        <w:div w:id="1486625044">
          <w:marLeft w:val="547"/>
          <w:marRight w:val="0"/>
          <w:marTop w:val="200"/>
          <w:marBottom w:val="0"/>
          <w:divBdr>
            <w:top w:val="none" w:sz="0" w:space="0" w:color="auto"/>
            <w:left w:val="none" w:sz="0" w:space="0" w:color="auto"/>
            <w:bottom w:val="none" w:sz="0" w:space="0" w:color="auto"/>
            <w:right w:val="none" w:sz="0" w:space="0" w:color="auto"/>
          </w:divBdr>
        </w:div>
        <w:div w:id="382602827">
          <w:marLeft w:val="547"/>
          <w:marRight w:val="0"/>
          <w:marTop w:val="200"/>
          <w:marBottom w:val="0"/>
          <w:divBdr>
            <w:top w:val="none" w:sz="0" w:space="0" w:color="auto"/>
            <w:left w:val="none" w:sz="0" w:space="0" w:color="auto"/>
            <w:bottom w:val="none" w:sz="0" w:space="0" w:color="auto"/>
            <w:right w:val="none" w:sz="0" w:space="0" w:color="auto"/>
          </w:divBdr>
        </w:div>
        <w:div w:id="1187014066">
          <w:marLeft w:val="547"/>
          <w:marRight w:val="0"/>
          <w:marTop w:val="200"/>
          <w:marBottom w:val="0"/>
          <w:divBdr>
            <w:top w:val="none" w:sz="0" w:space="0" w:color="auto"/>
            <w:left w:val="none" w:sz="0" w:space="0" w:color="auto"/>
            <w:bottom w:val="none" w:sz="0" w:space="0" w:color="auto"/>
            <w:right w:val="none" w:sz="0" w:space="0" w:color="auto"/>
          </w:divBdr>
        </w:div>
        <w:div w:id="902374653">
          <w:marLeft w:val="1166"/>
          <w:marRight w:val="0"/>
          <w:marTop w:val="200"/>
          <w:marBottom w:val="0"/>
          <w:divBdr>
            <w:top w:val="none" w:sz="0" w:space="0" w:color="auto"/>
            <w:left w:val="none" w:sz="0" w:space="0" w:color="auto"/>
            <w:bottom w:val="none" w:sz="0" w:space="0" w:color="auto"/>
            <w:right w:val="none" w:sz="0" w:space="0" w:color="auto"/>
          </w:divBdr>
        </w:div>
        <w:div w:id="511341750">
          <w:marLeft w:val="1166"/>
          <w:marRight w:val="0"/>
          <w:marTop w:val="200"/>
          <w:marBottom w:val="0"/>
          <w:divBdr>
            <w:top w:val="none" w:sz="0" w:space="0" w:color="auto"/>
            <w:left w:val="none" w:sz="0" w:space="0" w:color="auto"/>
            <w:bottom w:val="none" w:sz="0" w:space="0" w:color="auto"/>
            <w:right w:val="none" w:sz="0" w:space="0" w:color="auto"/>
          </w:divBdr>
        </w:div>
        <w:div w:id="1335258234">
          <w:marLeft w:val="1166"/>
          <w:marRight w:val="0"/>
          <w:marTop w:val="200"/>
          <w:marBottom w:val="0"/>
          <w:divBdr>
            <w:top w:val="none" w:sz="0" w:space="0" w:color="auto"/>
            <w:left w:val="none" w:sz="0" w:space="0" w:color="auto"/>
            <w:bottom w:val="none" w:sz="0" w:space="0" w:color="auto"/>
            <w:right w:val="none" w:sz="0" w:space="0" w:color="auto"/>
          </w:divBdr>
        </w:div>
        <w:div w:id="860240418">
          <w:marLeft w:val="547"/>
          <w:marRight w:val="0"/>
          <w:marTop w:val="200"/>
          <w:marBottom w:val="0"/>
          <w:divBdr>
            <w:top w:val="none" w:sz="0" w:space="0" w:color="auto"/>
            <w:left w:val="none" w:sz="0" w:space="0" w:color="auto"/>
            <w:bottom w:val="none" w:sz="0" w:space="0" w:color="auto"/>
            <w:right w:val="none" w:sz="0" w:space="0" w:color="auto"/>
          </w:divBdr>
        </w:div>
        <w:div w:id="681203269">
          <w:marLeft w:val="1166"/>
          <w:marRight w:val="0"/>
          <w:marTop w:val="200"/>
          <w:marBottom w:val="0"/>
          <w:divBdr>
            <w:top w:val="none" w:sz="0" w:space="0" w:color="auto"/>
            <w:left w:val="none" w:sz="0" w:space="0" w:color="auto"/>
            <w:bottom w:val="none" w:sz="0" w:space="0" w:color="auto"/>
            <w:right w:val="none" w:sz="0" w:space="0" w:color="auto"/>
          </w:divBdr>
        </w:div>
        <w:div w:id="1960066617">
          <w:marLeft w:val="1166"/>
          <w:marRight w:val="0"/>
          <w:marTop w:val="200"/>
          <w:marBottom w:val="0"/>
          <w:divBdr>
            <w:top w:val="none" w:sz="0" w:space="0" w:color="auto"/>
            <w:left w:val="none" w:sz="0" w:space="0" w:color="auto"/>
            <w:bottom w:val="none" w:sz="0" w:space="0" w:color="auto"/>
            <w:right w:val="none" w:sz="0" w:space="0" w:color="auto"/>
          </w:divBdr>
        </w:div>
        <w:div w:id="1140654307">
          <w:marLeft w:val="547"/>
          <w:marRight w:val="0"/>
          <w:marTop w:val="200"/>
          <w:marBottom w:val="0"/>
          <w:divBdr>
            <w:top w:val="none" w:sz="0" w:space="0" w:color="auto"/>
            <w:left w:val="none" w:sz="0" w:space="0" w:color="auto"/>
            <w:bottom w:val="none" w:sz="0" w:space="0" w:color="auto"/>
            <w:right w:val="none" w:sz="0" w:space="0" w:color="auto"/>
          </w:divBdr>
        </w:div>
        <w:div w:id="1677610407">
          <w:marLeft w:val="547"/>
          <w:marRight w:val="0"/>
          <w:marTop w:val="200"/>
          <w:marBottom w:val="0"/>
          <w:divBdr>
            <w:top w:val="none" w:sz="0" w:space="0" w:color="auto"/>
            <w:left w:val="none" w:sz="0" w:space="0" w:color="auto"/>
            <w:bottom w:val="none" w:sz="0" w:space="0" w:color="auto"/>
            <w:right w:val="none" w:sz="0" w:space="0" w:color="auto"/>
          </w:divBdr>
        </w:div>
      </w:divsChild>
    </w:div>
    <w:div w:id="805976514">
      <w:bodyDiv w:val="1"/>
      <w:marLeft w:val="0"/>
      <w:marRight w:val="0"/>
      <w:marTop w:val="0"/>
      <w:marBottom w:val="0"/>
      <w:divBdr>
        <w:top w:val="none" w:sz="0" w:space="0" w:color="auto"/>
        <w:left w:val="none" w:sz="0" w:space="0" w:color="auto"/>
        <w:bottom w:val="none" w:sz="0" w:space="0" w:color="auto"/>
        <w:right w:val="none" w:sz="0" w:space="0" w:color="auto"/>
      </w:divBdr>
    </w:div>
    <w:div w:id="828133814">
      <w:bodyDiv w:val="1"/>
      <w:marLeft w:val="0"/>
      <w:marRight w:val="0"/>
      <w:marTop w:val="0"/>
      <w:marBottom w:val="0"/>
      <w:divBdr>
        <w:top w:val="none" w:sz="0" w:space="0" w:color="auto"/>
        <w:left w:val="none" w:sz="0" w:space="0" w:color="auto"/>
        <w:bottom w:val="none" w:sz="0" w:space="0" w:color="auto"/>
        <w:right w:val="none" w:sz="0" w:space="0" w:color="auto"/>
      </w:divBdr>
    </w:div>
    <w:div w:id="851837777">
      <w:bodyDiv w:val="1"/>
      <w:marLeft w:val="0"/>
      <w:marRight w:val="0"/>
      <w:marTop w:val="0"/>
      <w:marBottom w:val="0"/>
      <w:divBdr>
        <w:top w:val="none" w:sz="0" w:space="0" w:color="auto"/>
        <w:left w:val="none" w:sz="0" w:space="0" w:color="auto"/>
        <w:bottom w:val="none" w:sz="0" w:space="0" w:color="auto"/>
        <w:right w:val="none" w:sz="0" w:space="0" w:color="auto"/>
      </w:divBdr>
    </w:div>
    <w:div w:id="856047034">
      <w:bodyDiv w:val="1"/>
      <w:marLeft w:val="0"/>
      <w:marRight w:val="0"/>
      <w:marTop w:val="0"/>
      <w:marBottom w:val="0"/>
      <w:divBdr>
        <w:top w:val="none" w:sz="0" w:space="0" w:color="auto"/>
        <w:left w:val="none" w:sz="0" w:space="0" w:color="auto"/>
        <w:bottom w:val="none" w:sz="0" w:space="0" w:color="auto"/>
        <w:right w:val="none" w:sz="0" w:space="0" w:color="auto"/>
      </w:divBdr>
    </w:div>
    <w:div w:id="872615157">
      <w:bodyDiv w:val="1"/>
      <w:marLeft w:val="0"/>
      <w:marRight w:val="0"/>
      <w:marTop w:val="0"/>
      <w:marBottom w:val="0"/>
      <w:divBdr>
        <w:top w:val="none" w:sz="0" w:space="0" w:color="auto"/>
        <w:left w:val="none" w:sz="0" w:space="0" w:color="auto"/>
        <w:bottom w:val="none" w:sz="0" w:space="0" w:color="auto"/>
        <w:right w:val="none" w:sz="0" w:space="0" w:color="auto"/>
      </w:divBdr>
      <w:divsChild>
        <w:div w:id="1676373928">
          <w:marLeft w:val="547"/>
          <w:marRight w:val="0"/>
          <w:marTop w:val="200"/>
          <w:marBottom w:val="0"/>
          <w:divBdr>
            <w:top w:val="none" w:sz="0" w:space="0" w:color="auto"/>
            <w:left w:val="none" w:sz="0" w:space="0" w:color="auto"/>
            <w:bottom w:val="none" w:sz="0" w:space="0" w:color="auto"/>
            <w:right w:val="none" w:sz="0" w:space="0" w:color="auto"/>
          </w:divBdr>
        </w:div>
      </w:divsChild>
    </w:div>
    <w:div w:id="898706824">
      <w:bodyDiv w:val="1"/>
      <w:marLeft w:val="0"/>
      <w:marRight w:val="0"/>
      <w:marTop w:val="0"/>
      <w:marBottom w:val="0"/>
      <w:divBdr>
        <w:top w:val="none" w:sz="0" w:space="0" w:color="auto"/>
        <w:left w:val="none" w:sz="0" w:space="0" w:color="auto"/>
        <w:bottom w:val="none" w:sz="0" w:space="0" w:color="auto"/>
        <w:right w:val="none" w:sz="0" w:space="0" w:color="auto"/>
      </w:divBdr>
      <w:divsChild>
        <w:div w:id="1533499670">
          <w:marLeft w:val="547"/>
          <w:marRight w:val="0"/>
          <w:marTop w:val="200"/>
          <w:marBottom w:val="0"/>
          <w:divBdr>
            <w:top w:val="none" w:sz="0" w:space="0" w:color="auto"/>
            <w:left w:val="none" w:sz="0" w:space="0" w:color="auto"/>
            <w:bottom w:val="none" w:sz="0" w:space="0" w:color="auto"/>
            <w:right w:val="none" w:sz="0" w:space="0" w:color="auto"/>
          </w:divBdr>
        </w:div>
      </w:divsChild>
    </w:div>
    <w:div w:id="917517912">
      <w:bodyDiv w:val="1"/>
      <w:marLeft w:val="0"/>
      <w:marRight w:val="0"/>
      <w:marTop w:val="0"/>
      <w:marBottom w:val="0"/>
      <w:divBdr>
        <w:top w:val="none" w:sz="0" w:space="0" w:color="auto"/>
        <w:left w:val="none" w:sz="0" w:space="0" w:color="auto"/>
        <w:bottom w:val="none" w:sz="0" w:space="0" w:color="auto"/>
        <w:right w:val="none" w:sz="0" w:space="0" w:color="auto"/>
      </w:divBdr>
    </w:div>
    <w:div w:id="998381979">
      <w:bodyDiv w:val="1"/>
      <w:marLeft w:val="0"/>
      <w:marRight w:val="0"/>
      <w:marTop w:val="0"/>
      <w:marBottom w:val="0"/>
      <w:divBdr>
        <w:top w:val="none" w:sz="0" w:space="0" w:color="auto"/>
        <w:left w:val="none" w:sz="0" w:space="0" w:color="auto"/>
        <w:bottom w:val="none" w:sz="0" w:space="0" w:color="auto"/>
        <w:right w:val="none" w:sz="0" w:space="0" w:color="auto"/>
      </w:divBdr>
    </w:div>
    <w:div w:id="1314602084">
      <w:bodyDiv w:val="1"/>
      <w:marLeft w:val="0"/>
      <w:marRight w:val="0"/>
      <w:marTop w:val="0"/>
      <w:marBottom w:val="0"/>
      <w:divBdr>
        <w:top w:val="none" w:sz="0" w:space="0" w:color="auto"/>
        <w:left w:val="none" w:sz="0" w:space="0" w:color="auto"/>
        <w:bottom w:val="none" w:sz="0" w:space="0" w:color="auto"/>
        <w:right w:val="none" w:sz="0" w:space="0" w:color="auto"/>
      </w:divBdr>
    </w:div>
    <w:div w:id="1327511611">
      <w:bodyDiv w:val="1"/>
      <w:marLeft w:val="0"/>
      <w:marRight w:val="0"/>
      <w:marTop w:val="0"/>
      <w:marBottom w:val="0"/>
      <w:divBdr>
        <w:top w:val="none" w:sz="0" w:space="0" w:color="auto"/>
        <w:left w:val="none" w:sz="0" w:space="0" w:color="auto"/>
        <w:bottom w:val="none" w:sz="0" w:space="0" w:color="auto"/>
        <w:right w:val="none" w:sz="0" w:space="0" w:color="auto"/>
      </w:divBdr>
      <w:divsChild>
        <w:div w:id="1609891939">
          <w:marLeft w:val="1166"/>
          <w:marRight w:val="0"/>
          <w:marTop w:val="200"/>
          <w:marBottom w:val="0"/>
          <w:divBdr>
            <w:top w:val="none" w:sz="0" w:space="0" w:color="auto"/>
            <w:left w:val="none" w:sz="0" w:space="0" w:color="auto"/>
            <w:bottom w:val="none" w:sz="0" w:space="0" w:color="auto"/>
            <w:right w:val="none" w:sz="0" w:space="0" w:color="auto"/>
          </w:divBdr>
        </w:div>
      </w:divsChild>
    </w:div>
    <w:div w:id="1405224810">
      <w:bodyDiv w:val="1"/>
      <w:marLeft w:val="0"/>
      <w:marRight w:val="0"/>
      <w:marTop w:val="0"/>
      <w:marBottom w:val="0"/>
      <w:divBdr>
        <w:top w:val="none" w:sz="0" w:space="0" w:color="auto"/>
        <w:left w:val="none" w:sz="0" w:space="0" w:color="auto"/>
        <w:bottom w:val="none" w:sz="0" w:space="0" w:color="auto"/>
        <w:right w:val="none" w:sz="0" w:space="0" w:color="auto"/>
      </w:divBdr>
      <w:divsChild>
        <w:div w:id="2019650316">
          <w:marLeft w:val="547"/>
          <w:marRight w:val="0"/>
          <w:marTop w:val="200"/>
          <w:marBottom w:val="0"/>
          <w:divBdr>
            <w:top w:val="none" w:sz="0" w:space="0" w:color="auto"/>
            <w:left w:val="none" w:sz="0" w:space="0" w:color="auto"/>
            <w:bottom w:val="none" w:sz="0" w:space="0" w:color="auto"/>
            <w:right w:val="none" w:sz="0" w:space="0" w:color="auto"/>
          </w:divBdr>
        </w:div>
        <w:div w:id="1412004552">
          <w:marLeft w:val="1166"/>
          <w:marRight w:val="0"/>
          <w:marTop w:val="200"/>
          <w:marBottom w:val="0"/>
          <w:divBdr>
            <w:top w:val="none" w:sz="0" w:space="0" w:color="auto"/>
            <w:left w:val="none" w:sz="0" w:space="0" w:color="auto"/>
            <w:bottom w:val="none" w:sz="0" w:space="0" w:color="auto"/>
            <w:right w:val="none" w:sz="0" w:space="0" w:color="auto"/>
          </w:divBdr>
        </w:div>
        <w:div w:id="1288969529">
          <w:marLeft w:val="1166"/>
          <w:marRight w:val="0"/>
          <w:marTop w:val="200"/>
          <w:marBottom w:val="0"/>
          <w:divBdr>
            <w:top w:val="none" w:sz="0" w:space="0" w:color="auto"/>
            <w:left w:val="none" w:sz="0" w:space="0" w:color="auto"/>
            <w:bottom w:val="none" w:sz="0" w:space="0" w:color="auto"/>
            <w:right w:val="none" w:sz="0" w:space="0" w:color="auto"/>
          </w:divBdr>
        </w:div>
        <w:div w:id="718285757">
          <w:marLeft w:val="1166"/>
          <w:marRight w:val="0"/>
          <w:marTop w:val="200"/>
          <w:marBottom w:val="0"/>
          <w:divBdr>
            <w:top w:val="none" w:sz="0" w:space="0" w:color="auto"/>
            <w:left w:val="none" w:sz="0" w:space="0" w:color="auto"/>
            <w:bottom w:val="none" w:sz="0" w:space="0" w:color="auto"/>
            <w:right w:val="none" w:sz="0" w:space="0" w:color="auto"/>
          </w:divBdr>
        </w:div>
        <w:div w:id="1625842952">
          <w:marLeft w:val="1800"/>
          <w:marRight w:val="0"/>
          <w:marTop w:val="200"/>
          <w:marBottom w:val="0"/>
          <w:divBdr>
            <w:top w:val="none" w:sz="0" w:space="0" w:color="auto"/>
            <w:left w:val="none" w:sz="0" w:space="0" w:color="auto"/>
            <w:bottom w:val="none" w:sz="0" w:space="0" w:color="auto"/>
            <w:right w:val="none" w:sz="0" w:space="0" w:color="auto"/>
          </w:divBdr>
        </w:div>
        <w:div w:id="469907045">
          <w:marLeft w:val="1800"/>
          <w:marRight w:val="0"/>
          <w:marTop w:val="200"/>
          <w:marBottom w:val="0"/>
          <w:divBdr>
            <w:top w:val="none" w:sz="0" w:space="0" w:color="auto"/>
            <w:left w:val="none" w:sz="0" w:space="0" w:color="auto"/>
            <w:bottom w:val="none" w:sz="0" w:space="0" w:color="auto"/>
            <w:right w:val="none" w:sz="0" w:space="0" w:color="auto"/>
          </w:divBdr>
        </w:div>
      </w:divsChild>
    </w:div>
    <w:div w:id="1483428155">
      <w:bodyDiv w:val="1"/>
      <w:marLeft w:val="0"/>
      <w:marRight w:val="0"/>
      <w:marTop w:val="0"/>
      <w:marBottom w:val="0"/>
      <w:divBdr>
        <w:top w:val="none" w:sz="0" w:space="0" w:color="auto"/>
        <w:left w:val="none" w:sz="0" w:space="0" w:color="auto"/>
        <w:bottom w:val="none" w:sz="0" w:space="0" w:color="auto"/>
        <w:right w:val="none" w:sz="0" w:space="0" w:color="auto"/>
      </w:divBdr>
    </w:div>
    <w:div w:id="1496649953">
      <w:bodyDiv w:val="1"/>
      <w:marLeft w:val="0"/>
      <w:marRight w:val="0"/>
      <w:marTop w:val="0"/>
      <w:marBottom w:val="0"/>
      <w:divBdr>
        <w:top w:val="none" w:sz="0" w:space="0" w:color="auto"/>
        <w:left w:val="none" w:sz="0" w:space="0" w:color="auto"/>
        <w:bottom w:val="none" w:sz="0" w:space="0" w:color="auto"/>
        <w:right w:val="none" w:sz="0" w:space="0" w:color="auto"/>
      </w:divBdr>
    </w:div>
    <w:div w:id="1525903811">
      <w:bodyDiv w:val="1"/>
      <w:marLeft w:val="0"/>
      <w:marRight w:val="0"/>
      <w:marTop w:val="0"/>
      <w:marBottom w:val="0"/>
      <w:divBdr>
        <w:top w:val="none" w:sz="0" w:space="0" w:color="auto"/>
        <w:left w:val="none" w:sz="0" w:space="0" w:color="auto"/>
        <w:bottom w:val="none" w:sz="0" w:space="0" w:color="auto"/>
        <w:right w:val="none" w:sz="0" w:space="0" w:color="auto"/>
      </w:divBdr>
      <w:divsChild>
        <w:div w:id="700907956">
          <w:marLeft w:val="1166"/>
          <w:marRight w:val="0"/>
          <w:marTop w:val="0"/>
          <w:marBottom w:val="160"/>
          <w:divBdr>
            <w:top w:val="none" w:sz="0" w:space="0" w:color="auto"/>
            <w:left w:val="none" w:sz="0" w:space="0" w:color="auto"/>
            <w:bottom w:val="none" w:sz="0" w:space="0" w:color="auto"/>
            <w:right w:val="none" w:sz="0" w:space="0" w:color="auto"/>
          </w:divBdr>
        </w:div>
        <w:div w:id="549612935">
          <w:marLeft w:val="1166"/>
          <w:marRight w:val="0"/>
          <w:marTop w:val="0"/>
          <w:marBottom w:val="160"/>
          <w:divBdr>
            <w:top w:val="none" w:sz="0" w:space="0" w:color="auto"/>
            <w:left w:val="none" w:sz="0" w:space="0" w:color="auto"/>
            <w:bottom w:val="none" w:sz="0" w:space="0" w:color="auto"/>
            <w:right w:val="none" w:sz="0" w:space="0" w:color="auto"/>
          </w:divBdr>
        </w:div>
        <w:div w:id="894663715">
          <w:marLeft w:val="1166"/>
          <w:marRight w:val="0"/>
          <w:marTop w:val="0"/>
          <w:marBottom w:val="160"/>
          <w:divBdr>
            <w:top w:val="none" w:sz="0" w:space="0" w:color="auto"/>
            <w:left w:val="none" w:sz="0" w:space="0" w:color="auto"/>
            <w:bottom w:val="none" w:sz="0" w:space="0" w:color="auto"/>
            <w:right w:val="none" w:sz="0" w:space="0" w:color="auto"/>
          </w:divBdr>
        </w:div>
        <w:div w:id="1729104578">
          <w:marLeft w:val="1166"/>
          <w:marRight w:val="0"/>
          <w:marTop w:val="0"/>
          <w:marBottom w:val="160"/>
          <w:divBdr>
            <w:top w:val="none" w:sz="0" w:space="0" w:color="auto"/>
            <w:left w:val="none" w:sz="0" w:space="0" w:color="auto"/>
            <w:bottom w:val="none" w:sz="0" w:space="0" w:color="auto"/>
            <w:right w:val="none" w:sz="0" w:space="0" w:color="auto"/>
          </w:divBdr>
        </w:div>
        <w:div w:id="2108302380">
          <w:marLeft w:val="1166"/>
          <w:marRight w:val="0"/>
          <w:marTop w:val="0"/>
          <w:marBottom w:val="160"/>
          <w:divBdr>
            <w:top w:val="none" w:sz="0" w:space="0" w:color="auto"/>
            <w:left w:val="none" w:sz="0" w:space="0" w:color="auto"/>
            <w:bottom w:val="none" w:sz="0" w:space="0" w:color="auto"/>
            <w:right w:val="none" w:sz="0" w:space="0" w:color="auto"/>
          </w:divBdr>
        </w:div>
        <w:div w:id="2098666816">
          <w:marLeft w:val="1166"/>
          <w:marRight w:val="0"/>
          <w:marTop w:val="0"/>
          <w:marBottom w:val="160"/>
          <w:divBdr>
            <w:top w:val="none" w:sz="0" w:space="0" w:color="auto"/>
            <w:left w:val="none" w:sz="0" w:space="0" w:color="auto"/>
            <w:bottom w:val="none" w:sz="0" w:space="0" w:color="auto"/>
            <w:right w:val="none" w:sz="0" w:space="0" w:color="auto"/>
          </w:divBdr>
        </w:div>
        <w:div w:id="737364254">
          <w:marLeft w:val="1166"/>
          <w:marRight w:val="0"/>
          <w:marTop w:val="0"/>
          <w:marBottom w:val="160"/>
          <w:divBdr>
            <w:top w:val="none" w:sz="0" w:space="0" w:color="auto"/>
            <w:left w:val="none" w:sz="0" w:space="0" w:color="auto"/>
            <w:bottom w:val="none" w:sz="0" w:space="0" w:color="auto"/>
            <w:right w:val="none" w:sz="0" w:space="0" w:color="auto"/>
          </w:divBdr>
        </w:div>
        <w:div w:id="1021584706">
          <w:marLeft w:val="1166"/>
          <w:marRight w:val="0"/>
          <w:marTop w:val="0"/>
          <w:marBottom w:val="160"/>
          <w:divBdr>
            <w:top w:val="none" w:sz="0" w:space="0" w:color="auto"/>
            <w:left w:val="none" w:sz="0" w:space="0" w:color="auto"/>
            <w:bottom w:val="none" w:sz="0" w:space="0" w:color="auto"/>
            <w:right w:val="none" w:sz="0" w:space="0" w:color="auto"/>
          </w:divBdr>
        </w:div>
      </w:divsChild>
    </w:div>
    <w:div w:id="1558009406">
      <w:bodyDiv w:val="1"/>
      <w:marLeft w:val="0"/>
      <w:marRight w:val="0"/>
      <w:marTop w:val="0"/>
      <w:marBottom w:val="0"/>
      <w:divBdr>
        <w:top w:val="none" w:sz="0" w:space="0" w:color="auto"/>
        <w:left w:val="none" w:sz="0" w:space="0" w:color="auto"/>
        <w:bottom w:val="none" w:sz="0" w:space="0" w:color="auto"/>
        <w:right w:val="none" w:sz="0" w:space="0" w:color="auto"/>
      </w:divBdr>
      <w:divsChild>
        <w:div w:id="1654529667">
          <w:marLeft w:val="547"/>
          <w:marRight w:val="0"/>
          <w:marTop w:val="200"/>
          <w:marBottom w:val="0"/>
          <w:divBdr>
            <w:top w:val="none" w:sz="0" w:space="0" w:color="auto"/>
            <w:left w:val="none" w:sz="0" w:space="0" w:color="auto"/>
            <w:bottom w:val="none" w:sz="0" w:space="0" w:color="auto"/>
            <w:right w:val="none" w:sz="0" w:space="0" w:color="auto"/>
          </w:divBdr>
        </w:div>
        <w:div w:id="679357637">
          <w:marLeft w:val="547"/>
          <w:marRight w:val="0"/>
          <w:marTop w:val="0"/>
          <w:marBottom w:val="0"/>
          <w:divBdr>
            <w:top w:val="none" w:sz="0" w:space="0" w:color="auto"/>
            <w:left w:val="none" w:sz="0" w:space="0" w:color="auto"/>
            <w:bottom w:val="none" w:sz="0" w:space="0" w:color="auto"/>
            <w:right w:val="none" w:sz="0" w:space="0" w:color="auto"/>
          </w:divBdr>
        </w:div>
        <w:div w:id="1557084166">
          <w:marLeft w:val="547"/>
          <w:marRight w:val="0"/>
          <w:marTop w:val="0"/>
          <w:marBottom w:val="0"/>
          <w:divBdr>
            <w:top w:val="none" w:sz="0" w:space="0" w:color="auto"/>
            <w:left w:val="none" w:sz="0" w:space="0" w:color="auto"/>
            <w:bottom w:val="none" w:sz="0" w:space="0" w:color="auto"/>
            <w:right w:val="none" w:sz="0" w:space="0" w:color="auto"/>
          </w:divBdr>
        </w:div>
        <w:div w:id="1473596177">
          <w:marLeft w:val="547"/>
          <w:marRight w:val="0"/>
          <w:marTop w:val="0"/>
          <w:marBottom w:val="0"/>
          <w:divBdr>
            <w:top w:val="none" w:sz="0" w:space="0" w:color="auto"/>
            <w:left w:val="none" w:sz="0" w:space="0" w:color="auto"/>
            <w:bottom w:val="none" w:sz="0" w:space="0" w:color="auto"/>
            <w:right w:val="none" w:sz="0" w:space="0" w:color="auto"/>
          </w:divBdr>
        </w:div>
      </w:divsChild>
    </w:div>
    <w:div w:id="1678729357">
      <w:bodyDiv w:val="1"/>
      <w:marLeft w:val="0"/>
      <w:marRight w:val="0"/>
      <w:marTop w:val="0"/>
      <w:marBottom w:val="0"/>
      <w:divBdr>
        <w:top w:val="none" w:sz="0" w:space="0" w:color="auto"/>
        <w:left w:val="none" w:sz="0" w:space="0" w:color="auto"/>
        <w:bottom w:val="none" w:sz="0" w:space="0" w:color="auto"/>
        <w:right w:val="none" w:sz="0" w:space="0" w:color="auto"/>
      </w:divBdr>
    </w:div>
    <w:div w:id="1711414265">
      <w:bodyDiv w:val="1"/>
      <w:marLeft w:val="0"/>
      <w:marRight w:val="0"/>
      <w:marTop w:val="0"/>
      <w:marBottom w:val="0"/>
      <w:divBdr>
        <w:top w:val="none" w:sz="0" w:space="0" w:color="auto"/>
        <w:left w:val="none" w:sz="0" w:space="0" w:color="auto"/>
        <w:bottom w:val="none" w:sz="0" w:space="0" w:color="auto"/>
        <w:right w:val="none" w:sz="0" w:space="0" w:color="auto"/>
      </w:divBdr>
      <w:divsChild>
        <w:div w:id="207033189">
          <w:marLeft w:val="547"/>
          <w:marRight w:val="0"/>
          <w:marTop w:val="200"/>
          <w:marBottom w:val="0"/>
          <w:divBdr>
            <w:top w:val="none" w:sz="0" w:space="0" w:color="auto"/>
            <w:left w:val="none" w:sz="0" w:space="0" w:color="auto"/>
            <w:bottom w:val="none" w:sz="0" w:space="0" w:color="auto"/>
            <w:right w:val="none" w:sz="0" w:space="0" w:color="auto"/>
          </w:divBdr>
        </w:div>
        <w:div w:id="1032458386">
          <w:marLeft w:val="1166"/>
          <w:marRight w:val="0"/>
          <w:marTop w:val="200"/>
          <w:marBottom w:val="0"/>
          <w:divBdr>
            <w:top w:val="none" w:sz="0" w:space="0" w:color="auto"/>
            <w:left w:val="none" w:sz="0" w:space="0" w:color="auto"/>
            <w:bottom w:val="none" w:sz="0" w:space="0" w:color="auto"/>
            <w:right w:val="none" w:sz="0" w:space="0" w:color="auto"/>
          </w:divBdr>
        </w:div>
        <w:div w:id="402873466">
          <w:marLeft w:val="1166"/>
          <w:marRight w:val="0"/>
          <w:marTop w:val="200"/>
          <w:marBottom w:val="0"/>
          <w:divBdr>
            <w:top w:val="none" w:sz="0" w:space="0" w:color="auto"/>
            <w:left w:val="none" w:sz="0" w:space="0" w:color="auto"/>
            <w:bottom w:val="none" w:sz="0" w:space="0" w:color="auto"/>
            <w:right w:val="none" w:sz="0" w:space="0" w:color="auto"/>
          </w:divBdr>
        </w:div>
        <w:div w:id="557742482">
          <w:marLeft w:val="1166"/>
          <w:marRight w:val="0"/>
          <w:marTop w:val="200"/>
          <w:marBottom w:val="0"/>
          <w:divBdr>
            <w:top w:val="none" w:sz="0" w:space="0" w:color="auto"/>
            <w:left w:val="none" w:sz="0" w:space="0" w:color="auto"/>
            <w:bottom w:val="none" w:sz="0" w:space="0" w:color="auto"/>
            <w:right w:val="none" w:sz="0" w:space="0" w:color="auto"/>
          </w:divBdr>
        </w:div>
        <w:div w:id="238367124">
          <w:marLeft w:val="1166"/>
          <w:marRight w:val="0"/>
          <w:marTop w:val="200"/>
          <w:marBottom w:val="0"/>
          <w:divBdr>
            <w:top w:val="none" w:sz="0" w:space="0" w:color="auto"/>
            <w:left w:val="none" w:sz="0" w:space="0" w:color="auto"/>
            <w:bottom w:val="none" w:sz="0" w:space="0" w:color="auto"/>
            <w:right w:val="none" w:sz="0" w:space="0" w:color="auto"/>
          </w:divBdr>
        </w:div>
        <w:div w:id="44530865">
          <w:marLeft w:val="1166"/>
          <w:marRight w:val="0"/>
          <w:marTop w:val="200"/>
          <w:marBottom w:val="0"/>
          <w:divBdr>
            <w:top w:val="none" w:sz="0" w:space="0" w:color="auto"/>
            <w:left w:val="none" w:sz="0" w:space="0" w:color="auto"/>
            <w:bottom w:val="none" w:sz="0" w:space="0" w:color="auto"/>
            <w:right w:val="none" w:sz="0" w:space="0" w:color="auto"/>
          </w:divBdr>
        </w:div>
        <w:div w:id="1926496562">
          <w:marLeft w:val="1166"/>
          <w:marRight w:val="0"/>
          <w:marTop w:val="200"/>
          <w:marBottom w:val="0"/>
          <w:divBdr>
            <w:top w:val="none" w:sz="0" w:space="0" w:color="auto"/>
            <w:left w:val="none" w:sz="0" w:space="0" w:color="auto"/>
            <w:bottom w:val="none" w:sz="0" w:space="0" w:color="auto"/>
            <w:right w:val="none" w:sz="0" w:space="0" w:color="auto"/>
          </w:divBdr>
        </w:div>
      </w:divsChild>
    </w:div>
    <w:div w:id="1750152442">
      <w:bodyDiv w:val="1"/>
      <w:marLeft w:val="0"/>
      <w:marRight w:val="0"/>
      <w:marTop w:val="0"/>
      <w:marBottom w:val="0"/>
      <w:divBdr>
        <w:top w:val="none" w:sz="0" w:space="0" w:color="auto"/>
        <w:left w:val="none" w:sz="0" w:space="0" w:color="auto"/>
        <w:bottom w:val="none" w:sz="0" w:space="0" w:color="auto"/>
        <w:right w:val="none" w:sz="0" w:space="0" w:color="auto"/>
      </w:divBdr>
      <w:divsChild>
        <w:div w:id="437022967">
          <w:marLeft w:val="0"/>
          <w:marRight w:val="0"/>
          <w:marTop w:val="0"/>
          <w:marBottom w:val="150"/>
          <w:divBdr>
            <w:top w:val="none" w:sz="0" w:space="0" w:color="auto"/>
            <w:left w:val="none" w:sz="0" w:space="0" w:color="auto"/>
            <w:bottom w:val="none" w:sz="0" w:space="0" w:color="auto"/>
            <w:right w:val="none" w:sz="0" w:space="0" w:color="auto"/>
          </w:divBdr>
        </w:div>
      </w:divsChild>
    </w:div>
    <w:div w:id="1953633393">
      <w:bodyDiv w:val="1"/>
      <w:marLeft w:val="0"/>
      <w:marRight w:val="0"/>
      <w:marTop w:val="0"/>
      <w:marBottom w:val="0"/>
      <w:divBdr>
        <w:top w:val="none" w:sz="0" w:space="0" w:color="auto"/>
        <w:left w:val="none" w:sz="0" w:space="0" w:color="auto"/>
        <w:bottom w:val="none" w:sz="0" w:space="0" w:color="auto"/>
        <w:right w:val="none" w:sz="0" w:space="0" w:color="auto"/>
      </w:divBdr>
      <w:divsChild>
        <w:div w:id="1558665232">
          <w:marLeft w:val="547"/>
          <w:marRight w:val="0"/>
          <w:marTop w:val="200"/>
          <w:marBottom w:val="0"/>
          <w:divBdr>
            <w:top w:val="none" w:sz="0" w:space="0" w:color="auto"/>
            <w:left w:val="none" w:sz="0" w:space="0" w:color="auto"/>
            <w:bottom w:val="none" w:sz="0" w:space="0" w:color="auto"/>
            <w:right w:val="none" w:sz="0" w:space="0" w:color="auto"/>
          </w:divBdr>
        </w:div>
      </w:divsChild>
    </w:div>
    <w:div w:id="1988627605">
      <w:bodyDiv w:val="1"/>
      <w:marLeft w:val="0"/>
      <w:marRight w:val="0"/>
      <w:marTop w:val="0"/>
      <w:marBottom w:val="0"/>
      <w:divBdr>
        <w:top w:val="none" w:sz="0" w:space="0" w:color="auto"/>
        <w:left w:val="none" w:sz="0" w:space="0" w:color="auto"/>
        <w:bottom w:val="none" w:sz="0" w:space="0" w:color="auto"/>
        <w:right w:val="none" w:sz="0" w:space="0" w:color="auto"/>
      </w:divBdr>
    </w:div>
    <w:div w:id="2098793717">
      <w:bodyDiv w:val="1"/>
      <w:marLeft w:val="0"/>
      <w:marRight w:val="0"/>
      <w:marTop w:val="0"/>
      <w:marBottom w:val="0"/>
      <w:divBdr>
        <w:top w:val="none" w:sz="0" w:space="0" w:color="auto"/>
        <w:left w:val="none" w:sz="0" w:space="0" w:color="auto"/>
        <w:bottom w:val="none" w:sz="0" w:space="0" w:color="auto"/>
        <w:right w:val="none" w:sz="0" w:space="0" w:color="auto"/>
      </w:divBdr>
    </w:div>
    <w:div w:id="2120291948">
      <w:bodyDiv w:val="1"/>
      <w:marLeft w:val="0"/>
      <w:marRight w:val="0"/>
      <w:marTop w:val="0"/>
      <w:marBottom w:val="0"/>
      <w:divBdr>
        <w:top w:val="none" w:sz="0" w:space="0" w:color="auto"/>
        <w:left w:val="none" w:sz="0" w:space="0" w:color="auto"/>
        <w:bottom w:val="none" w:sz="0" w:space="0" w:color="auto"/>
        <w:right w:val="none" w:sz="0" w:space="0" w:color="auto"/>
      </w:divBdr>
      <w:divsChild>
        <w:div w:id="874535912">
          <w:marLeft w:val="1166"/>
          <w:marRight w:val="0"/>
          <w:marTop w:val="200"/>
          <w:marBottom w:val="0"/>
          <w:divBdr>
            <w:top w:val="none" w:sz="0" w:space="0" w:color="auto"/>
            <w:left w:val="none" w:sz="0" w:space="0" w:color="auto"/>
            <w:bottom w:val="none" w:sz="0" w:space="0" w:color="auto"/>
            <w:right w:val="none" w:sz="0" w:space="0" w:color="auto"/>
          </w:divBdr>
        </w:div>
      </w:divsChild>
    </w:div>
    <w:div w:id="214480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statista.com/topics/8902/employment-in-tunisia/" TargetMode="External"/><Relationship Id="rId13" Type="http://schemas.openxmlformats.org/officeDocument/2006/relationships/hyperlink" Target="https://ec.europa.eu/neighbourhood-enlargement/european-neighbourhood-policy/countries-region/tunisia_en" TargetMode="External"/><Relationship Id="rId18" Type="http://schemas.openxmlformats.org/officeDocument/2006/relationships/hyperlink" Target="https://www.rethinkingiran.com/iran-under-sanctions" TargetMode="External"/><Relationship Id="rId3" Type="http://schemas.openxmlformats.org/officeDocument/2006/relationships/hyperlink" Target="https://fiqh.islamonline.net/en/rights-duties-of-the-wife-and-the-husband/" TargetMode="External"/><Relationship Id="rId21" Type="http://schemas.openxmlformats.org/officeDocument/2006/relationships/hyperlink" Target="https://iranprimer.com/blog/2021/nov/01/explainer-iran%E2%80%99s-frozen-assets" TargetMode="External"/><Relationship Id="rId7" Type="http://schemas.openxmlformats.org/officeDocument/2006/relationships/hyperlink" Target="https://openknowledge.worldbank.org/bitstream/handle/10986/32639/9781464815324.pdf" TargetMode="External"/><Relationship Id="rId12" Type="http://schemas.openxmlformats.org/officeDocument/2006/relationships/hyperlink" Target="https://www.dailymail.co.uk/wires/afp/article-8437151/Tunisian-healthcare-workers-strike-demand-reforms.html" TargetMode="External"/><Relationship Id="rId17" Type="http://schemas.openxmlformats.org/officeDocument/2006/relationships/hyperlink" Target="https://digitallibrary.un.org/record/3899852?v=pdf" TargetMode="External"/><Relationship Id="rId2" Type="http://schemas.openxmlformats.org/officeDocument/2006/relationships/hyperlink" Target="https://www.aljazeera.com/news/2022/4/8/palm-sunday-church-attacks-egypts-worst-day-of-violence" TargetMode="External"/><Relationship Id="rId16" Type="http://schemas.openxmlformats.org/officeDocument/2006/relationships/hyperlink" Target="https://www.theguardian.com/world/2023/jun/11/tunisia-president-kais-saied-migration-europe-border-guard-comments-imf-bailout" TargetMode="External"/><Relationship Id="rId20" Type="http://schemas.openxmlformats.org/officeDocument/2006/relationships/hyperlink" Target="https://www.brookings.edu/opinions/iran-the-double-jeopardy-of-sanctions-and-covid-19/" TargetMode="External"/><Relationship Id="rId1" Type="http://schemas.openxmlformats.org/officeDocument/2006/relationships/hyperlink" Target="mailto:v.moghadam@northeastern.edu" TargetMode="External"/><Relationship Id="rId6" Type="http://schemas.openxmlformats.org/officeDocument/2006/relationships/hyperlink" Target="http://www.e-ir.info/2013/09/04/the-arab-spring-and-womens-rights-in-tunisia/" TargetMode="External"/><Relationship Id="rId11" Type="http://schemas.openxmlformats.org/officeDocument/2006/relationships/hyperlink" Target="https://www.reuters.com/article/business/finance/tunisia-seeks-late-debt-payments-as-crisis-hits-economy-state-budget-idUSKCN24E18V/" TargetMode="External"/><Relationship Id="rId24" Type="http://schemas.openxmlformats.org/officeDocument/2006/relationships/hyperlink" Target="https://www.hrw.org/news/2021/11/10/iran-population-law-violates-womens-rights" TargetMode="External"/><Relationship Id="rId5" Type="http://schemas.openxmlformats.org/officeDocument/2006/relationships/hyperlink" Target="https://merip.org/2005/07/iranian-women-take-on-the-constitution/" TargetMode="External"/><Relationship Id="rId15" Type="http://schemas.openxmlformats.org/officeDocument/2006/relationships/hyperlink" Target="https://www.politico.eu/article/ursula-von-der-leyen-announce-e35-billion-eu-loan-ukraine/" TargetMode="External"/><Relationship Id="rId23" Type="http://schemas.openxmlformats.org/officeDocument/2006/relationships/hyperlink" Target="https://www.macrotrends.net/countries/IRN/iran/poverty-rate" TargetMode="External"/><Relationship Id="rId10" Type="http://schemas.openxmlformats.org/officeDocument/2006/relationships/hyperlink" Target="https://www.brookings.edu/wp-content/uploads/2019/01/Regional-development-in-Tunisia-the-consequences-of-multiple-marginalization_English-Web.pdf" TargetMode="External"/><Relationship Id="rId19" Type="http://schemas.openxmlformats.org/officeDocument/2006/relationships/hyperlink" Target="https://www.rethinkingiran.com/iran-under-sanctions" TargetMode="External"/><Relationship Id="rId4" Type="http://schemas.openxmlformats.org/officeDocument/2006/relationships/hyperlink" Target="https://www.theguardian.com/global-development/article/2024/aug/09/proposed-iraqi-law-change-would-legalise-child-say-activists" TargetMode="External"/><Relationship Id="rId9" Type="http://schemas.openxmlformats.org/officeDocument/2006/relationships/hyperlink" Target="https://www.oecd-ilibrary.org/economics/oecd-economic-outlook-volume-2021-issue-1_a8bf06a0-en" TargetMode="External"/><Relationship Id="rId14" Type="http://schemas.openxmlformats.org/officeDocument/2006/relationships/hyperlink" Target="https://commission.europa.eu/topics/eu-solidarity-ukraine/eu-solidarity-ukraine-timeline_en" TargetMode="External"/><Relationship Id="rId22" Type="http://schemas.openxmlformats.org/officeDocument/2006/relationships/hyperlink" Target="https://www.wsj.com/articles/u-s-to-block-irans-request-to-imf-for-5-billion-loan-to-fight-coronavirus-115863017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09219612A2147A1A480F40DC9B37B" ma:contentTypeVersion="13" ma:contentTypeDescription="Create a new document." ma:contentTypeScope="" ma:versionID="8585eb721f770ce15f54af3e7c1be9b7">
  <xsd:schema xmlns:xsd="http://www.w3.org/2001/XMLSchema" xmlns:xs="http://www.w3.org/2001/XMLSchema" xmlns:p="http://schemas.microsoft.com/office/2006/metadata/properties" xmlns:ns3="e7dc9db9-44fa-4792-978a-1bebcbbbf6d9" xmlns:ns4="842a4a3f-ae2e-4200-9c93-092425a729af" targetNamespace="http://schemas.microsoft.com/office/2006/metadata/properties" ma:root="true" ma:fieldsID="db37be46fdbc93c5c8e25435036137ff" ns3:_="" ns4:_="">
    <xsd:import namespace="e7dc9db9-44fa-4792-978a-1bebcbbbf6d9"/>
    <xsd:import namespace="842a4a3f-ae2e-4200-9c93-092425a729a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c9db9-44fa-4792-978a-1bebcbbbf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2a4a3f-ae2e-4200-9c93-092425a7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e7dc9db9-44fa-4792-978a-1bebcbbbf6d9" xsi:nil="true"/>
  </documentManagement>
</p:properties>
</file>

<file path=customXml/itemProps1.xml><?xml version="1.0" encoding="utf-8"?>
<ds:datastoreItem xmlns:ds="http://schemas.openxmlformats.org/officeDocument/2006/customXml" ds:itemID="{AC9ADE92-252C-4771-AA63-2458D1AC906E}">
  <ds:schemaRefs>
    <ds:schemaRef ds:uri="http://schemas.microsoft.com/sharepoint/v3/contenttype/forms"/>
  </ds:schemaRefs>
</ds:datastoreItem>
</file>

<file path=customXml/itemProps2.xml><?xml version="1.0" encoding="utf-8"?>
<ds:datastoreItem xmlns:ds="http://schemas.openxmlformats.org/officeDocument/2006/customXml" ds:itemID="{0F0DA45F-4EFA-4220-972B-E20A681C8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c9db9-44fa-4792-978a-1bebcbbbf6d9"/>
    <ds:schemaRef ds:uri="842a4a3f-ae2e-4200-9c93-092425a729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B9F4AB-A9E5-4E94-B299-0BB24265378E}">
  <ds:schemaRefs>
    <ds:schemaRef ds:uri="http://schemas.openxmlformats.org/officeDocument/2006/bibliography"/>
  </ds:schemaRefs>
</ds:datastoreItem>
</file>

<file path=customXml/itemProps4.xml><?xml version="1.0" encoding="utf-8"?>
<ds:datastoreItem xmlns:ds="http://schemas.openxmlformats.org/officeDocument/2006/customXml" ds:itemID="{B10F4ABF-D652-4CE9-89FD-D7CBDA5F25CC}">
  <ds:schemaRefs>
    <ds:schemaRef ds:uri="http://schemas.microsoft.com/office/2006/metadata/properties"/>
    <ds:schemaRef ds:uri="http://schemas.microsoft.com/office/infopath/2007/PartnerControls"/>
    <ds:schemaRef ds:uri="e7dc9db9-44fa-4792-978a-1bebcbbbf6d9"/>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Template>
  <TotalTime>24</TotalTime>
  <Pages>22</Pages>
  <Words>7465</Words>
  <Characters>42551</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Moghadam, Val</dc:creator>
  <cp:keywords/>
  <dc:description/>
  <cp:lastModifiedBy>Rosemary Hunter</cp:lastModifiedBy>
  <cp:revision>19</cp:revision>
  <cp:lastPrinted>2024-08-16T19:08:00Z</cp:lastPrinted>
  <dcterms:created xsi:type="dcterms:W3CDTF">2025-07-12T12:30:00Z</dcterms:created>
  <dcterms:modified xsi:type="dcterms:W3CDTF">2025-07-12T12:50:00Z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0x010100F2509219612A2147A1A480F40DC9B37B</vt:lpwstr>
  </property>
  <property fmtid="{D5CDD505-2E9C-101B-9397-08002B2CF9AE}" pid="3" name="GrammarlyDocumentId">
    <vt:lpwstr>bcd24551d3a417d879c183f334388aa52d9c87a43f8ff0d01efe4185f3993ddd</vt:lpwstr>
  </property>
</Properties>
</file>