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84D90" w14:textId="29DDEAD1" w:rsidR="006105A4" w:rsidRPr="00946F3B" w:rsidRDefault="006105A4" w:rsidP="00946F3B">
      <w:pPr>
        <w:pStyle w:val="Heading1"/>
      </w:pPr>
      <w:r w:rsidRPr="00946F3B">
        <w:t>Children’s Perspective</w:t>
      </w:r>
      <w:r w:rsidR="00BF2B62" w:rsidRPr="00946F3B">
        <w:t>s</w:t>
      </w:r>
      <w:r w:rsidRPr="00946F3B">
        <w:t xml:space="preserve"> on Violence and Discrimination </w:t>
      </w:r>
      <w:r w:rsidR="00BF2B62" w:rsidRPr="00946F3B">
        <w:t>a</w:t>
      </w:r>
      <w:r w:rsidRPr="00946F3B">
        <w:t>gainst Girls in Nepal</w:t>
      </w:r>
    </w:p>
    <w:p w14:paraId="2A9E5DFC" w14:textId="77777777" w:rsidR="006105A4" w:rsidRDefault="006105A4" w:rsidP="006B7D91">
      <w:pPr>
        <w:spacing w:after="0" w:line="240" w:lineRule="auto"/>
        <w:jc w:val="left"/>
        <w:rPr>
          <w:rFonts w:cstheme="minorHAnsi"/>
          <w:sz w:val="24"/>
          <w:szCs w:val="24"/>
        </w:rPr>
      </w:pPr>
    </w:p>
    <w:p w14:paraId="04787166" w14:textId="74D93582" w:rsidR="00077EEF" w:rsidRPr="00222663" w:rsidRDefault="00222663" w:rsidP="006B7D91">
      <w:pPr>
        <w:spacing w:after="0" w:line="240" w:lineRule="auto"/>
        <w:jc w:val="left"/>
        <w:rPr>
          <w:rFonts w:cstheme="minorHAnsi"/>
          <w:sz w:val="24"/>
          <w:szCs w:val="24"/>
        </w:rPr>
      </w:pPr>
      <w:r w:rsidRPr="004B7E42">
        <w:rPr>
          <w:rFonts w:cstheme="minorHAnsi"/>
          <w:b/>
          <w:bCs/>
          <w:sz w:val="24"/>
          <w:szCs w:val="24"/>
        </w:rPr>
        <w:t>Holly Doel-</w:t>
      </w:r>
      <w:proofErr w:type="spellStart"/>
      <w:r w:rsidRPr="004B7E42">
        <w:rPr>
          <w:rFonts w:cstheme="minorHAnsi"/>
          <w:b/>
          <w:bCs/>
          <w:sz w:val="24"/>
          <w:szCs w:val="24"/>
        </w:rPr>
        <w:t>Mackaway</w:t>
      </w:r>
      <w:proofErr w:type="spellEnd"/>
      <w:r w:rsidR="00F053CF" w:rsidRPr="00F053CF">
        <w:rPr>
          <w:rStyle w:val="FootnoteReference"/>
          <w:rFonts w:cstheme="minorHAnsi"/>
          <w:sz w:val="24"/>
          <w:szCs w:val="24"/>
        </w:rPr>
        <w:footnoteReference w:customMarkFollows="1" w:id="1"/>
        <w:sym w:font="Symbol" w:char="F02A"/>
      </w:r>
      <w:r w:rsidR="007E7A4D" w:rsidRPr="00222663">
        <w:rPr>
          <w:rFonts w:cstheme="minorHAnsi"/>
          <w:sz w:val="24"/>
          <w:szCs w:val="24"/>
        </w:rPr>
        <w:t xml:space="preserve"> </w:t>
      </w:r>
      <w:r w:rsidR="00C03423" w:rsidRPr="004B7E42">
        <w:rPr>
          <w:rFonts w:cstheme="minorHAnsi"/>
          <w:b/>
          <w:bCs/>
          <w:sz w:val="24"/>
          <w:szCs w:val="24"/>
        </w:rPr>
        <w:t>and</w:t>
      </w:r>
      <w:r w:rsidRPr="004B7E42">
        <w:rPr>
          <w:rFonts w:cstheme="minorHAnsi"/>
          <w:b/>
          <w:bCs/>
          <w:sz w:val="24"/>
          <w:szCs w:val="24"/>
        </w:rPr>
        <w:t xml:space="preserve"> </w:t>
      </w:r>
      <w:proofErr w:type="spellStart"/>
      <w:r w:rsidRPr="004B7E42">
        <w:rPr>
          <w:rFonts w:cstheme="minorHAnsi"/>
          <w:b/>
          <w:bCs/>
          <w:sz w:val="24"/>
          <w:szCs w:val="24"/>
        </w:rPr>
        <w:t>Lachhindra</w:t>
      </w:r>
      <w:proofErr w:type="spellEnd"/>
      <w:r w:rsidRPr="004B7E42">
        <w:rPr>
          <w:rFonts w:cstheme="minorHAnsi"/>
          <w:b/>
          <w:bCs/>
          <w:sz w:val="24"/>
          <w:szCs w:val="24"/>
        </w:rPr>
        <w:t xml:space="preserve"> Maharjan</w:t>
      </w:r>
      <w:r w:rsidR="00D1519D" w:rsidRPr="00D1519D">
        <w:rPr>
          <w:rStyle w:val="FootnoteReference"/>
          <w:rFonts w:cstheme="minorHAnsi"/>
          <w:sz w:val="24"/>
          <w:szCs w:val="24"/>
        </w:rPr>
        <w:footnoteReference w:customMarkFollows="1" w:id="2"/>
        <w:sym w:font="Symbol" w:char="F02A"/>
      </w:r>
      <w:r w:rsidR="00D1519D" w:rsidRPr="00D1519D">
        <w:rPr>
          <w:rStyle w:val="FootnoteReference"/>
          <w:rFonts w:cstheme="minorHAnsi"/>
          <w:sz w:val="24"/>
          <w:szCs w:val="24"/>
        </w:rPr>
        <w:sym w:font="Symbol" w:char="F02A"/>
      </w:r>
    </w:p>
    <w:p w14:paraId="7735B57C" w14:textId="77777777" w:rsidR="006105A4" w:rsidRDefault="006105A4" w:rsidP="006B7D91">
      <w:pPr>
        <w:spacing w:after="0" w:line="240" w:lineRule="auto"/>
        <w:jc w:val="left"/>
        <w:rPr>
          <w:rFonts w:cstheme="minorHAnsi"/>
          <w:b/>
          <w:bCs/>
          <w:sz w:val="24"/>
          <w:szCs w:val="24"/>
        </w:rPr>
      </w:pPr>
    </w:p>
    <w:p w14:paraId="6EE1795C" w14:textId="77777777" w:rsidR="006105A4" w:rsidRDefault="006105A4" w:rsidP="006B7D91">
      <w:pPr>
        <w:spacing w:after="0" w:line="240" w:lineRule="auto"/>
        <w:jc w:val="left"/>
        <w:rPr>
          <w:rFonts w:cstheme="minorHAnsi"/>
          <w:b/>
          <w:bCs/>
          <w:sz w:val="24"/>
          <w:szCs w:val="24"/>
        </w:rPr>
      </w:pPr>
    </w:p>
    <w:p w14:paraId="7C580661" w14:textId="62804B9C" w:rsidR="00752C77" w:rsidRPr="001710E2" w:rsidRDefault="00752C77" w:rsidP="001710E2">
      <w:pPr>
        <w:pStyle w:val="Heading2"/>
      </w:pPr>
      <w:r w:rsidRPr="001710E2">
        <w:t>A</w:t>
      </w:r>
      <w:r w:rsidR="00676B56" w:rsidRPr="001710E2">
        <w:t>bstract</w:t>
      </w:r>
    </w:p>
    <w:p w14:paraId="7758BA90" w14:textId="6A0AAB7A" w:rsidR="00842F1C" w:rsidRPr="00222663" w:rsidRDefault="00697356" w:rsidP="006B7D91">
      <w:pPr>
        <w:spacing w:after="0" w:line="240" w:lineRule="auto"/>
        <w:rPr>
          <w:rFonts w:cstheme="minorHAnsi"/>
          <w:sz w:val="24"/>
          <w:szCs w:val="24"/>
        </w:rPr>
      </w:pPr>
      <w:bookmarkStart w:id="0" w:name="_Hlk132902114"/>
      <w:r w:rsidRPr="00222663">
        <w:rPr>
          <w:rFonts w:eastAsia="Arial Unicode MS" w:cstheme="minorHAnsi"/>
          <w:sz w:val="24"/>
          <w:szCs w:val="24"/>
          <w:bdr w:val="none" w:sz="0" w:space="0" w:color="auto" w:frame="1"/>
          <w:lang w:val="en-US"/>
        </w:rPr>
        <w:t>Violenc</w:t>
      </w:r>
      <w:r w:rsidR="006105A4">
        <w:rPr>
          <w:rFonts w:eastAsia="Arial Unicode MS" w:cstheme="minorHAnsi"/>
          <w:sz w:val="24"/>
          <w:szCs w:val="24"/>
          <w:bdr w:val="none" w:sz="0" w:space="0" w:color="auto" w:frame="1"/>
          <w:lang w:val="en-US"/>
        </w:rPr>
        <w:t>e</w:t>
      </w:r>
      <w:r w:rsidRPr="00222663">
        <w:rPr>
          <w:rFonts w:eastAsia="Arial Unicode MS" w:cstheme="minorHAnsi"/>
          <w:sz w:val="24"/>
          <w:szCs w:val="24"/>
          <w:bdr w:val="none" w:sz="0" w:space="0" w:color="auto" w:frame="1"/>
          <w:lang w:val="en-US"/>
        </w:rPr>
        <w:t xml:space="preserve"> against girls is a global problem with grave implications for girls and society at large. </w:t>
      </w:r>
      <w:r w:rsidR="009225DA" w:rsidRPr="00222663">
        <w:rPr>
          <w:rFonts w:cstheme="minorHAnsi"/>
          <w:sz w:val="24"/>
          <w:szCs w:val="24"/>
        </w:rPr>
        <w:t>This paper details</w:t>
      </w:r>
      <w:r w:rsidR="006E375B" w:rsidRPr="00222663">
        <w:rPr>
          <w:rFonts w:cstheme="minorHAnsi"/>
          <w:sz w:val="24"/>
          <w:szCs w:val="24"/>
        </w:rPr>
        <w:t xml:space="preserve"> </w:t>
      </w:r>
      <w:r w:rsidR="009225DA" w:rsidRPr="00222663">
        <w:rPr>
          <w:rFonts w:cstheme="minorHAnsi"/>
          <w:sz w:val="24"/>
          <w:szCs w:val="24"/>
        </w:rPr>
        <w:t xml:space="preserve">findings from field research </w:t>
      </w:r>
      <w:r w:rsidR="007D247D">
        <w:rPr>
          <w:rFonts w:cstheme="minorHAnsi"/>
          <w:sz w:val="24"/>
          <w:szCs w:val="24"/>
        </w:rPr>
        <w:t xml:space="preserve">that </w:t>
      </w:r>
      <w:r w:rsidR="006B066A" w:rsidRPr="00222663">
        <w:rPr>
          <w:rFonts w:cstheme="minorHAnsi"/>
          <w:sz w:val="24"/>
          <w:szCs w:val="24"/>
        </w:rPr>
        <w:t>employ</w:t>
      </w:r>
      <w:r w:rsidR="007D247D">
        <w:rPr>
          <w:rFonts w:cstheme="minorHAnsi"/>
          <w:sz w:val="24"/>
          <w:szCs w:val="24"/>
        </w:rPr>
        <w:t>ed</w:t>
      </w:r>
      <w:r w:rsidR="00BE276A" w:rsidRPr="00222663">
        <w:rPr>
          <w:rFonts w:cstheme="minorHAnsi"/>
          <w:sz w:val="24"/>
          <w:szCs w:val="24"/>
        </w:rPr>
        <w:t xml:space="preserve"> a child rights-based approach</w:t>
      </w:r>
      <w:r w:rsidR="00BE276A" w:rsidRPr="00222663">
        <w:rPr>
          <w:rStyle w:val="FootnoteReference"/>
          <w:rFonts w:cstheme="minorHAnsi"/>
          <w:sz w:val="24"/>
          <w:szCs w:val="24"/>
        </w:rPr>
        <w:footnoteReference w:id="3"/>
      </w:r>
      <w:r w:rsidR="00BE276A" w:rsidRPr="00222663">
        <w:rPr>
          <w:rFonts w:cstheme="minorHAnsi"/>
          <w:sz w:val="24"/>
          <w:szCs w:val="24"/>
        </w:rPr>
        <w:t xml:space="preserve"> to </w:t>
      </w:r>
      <w:r w:rsidR="000C3FB7" w:rsidRPr="00222663">
        <w:rPr>
          <w:rFonts w:cstheme="minorHAnsi"/>
          <w:sz w:val="24"/>
          <w:szCs w:val="24"/>
        </w:rPr>
        <w:t>explore</w:t>
      </w:r>
      <w:r w:rsidR="00A57797" w:rsidRPr="00222663">
        <w:rPr>
          <w:rFonts w:cstheme="minorHAnsi"/>
          <w:sz w:val="24"/>
          <w:szCs w:val="24"/>
        </w:rPr>
        <w:t xml:space="preserve"> </w:t>
      </w:r>
      <w:r w:rsidR="00BF2B62">
        <w:rPr>
          <w:rFonts w:cstheme="minorHAnsi"/>
          <w:sz w:val="24"/>
          <w:szCs w:val="24"/>
        </w:rPr>
        <w:t>Nepali</w:t>
      </w:r>
      <w:r w:rsidR="00CC2921">
        <w:rPr>
          <w:rFonts w:cstheme="minorHAnsi"/>
          <w:sz w:val="24"/>
          <w:szCs w:val="24"/>
        </w:rPr>
        <w:t xml:space="preserve"> </w:t>
      </w:r>
      <w:r w:rsidR="009225DA" w:rsidRPr="00222663">
        <w:rPr>
          <w:rFonts w:cstheme="minorHAnsi"/>
          <w:sz w:val="24"/>
          <w:szCs w:val="24"/>
        </w:rPr>
        <w:t>children</w:t>
      </w:r>
      <w:r w:rsidR="008860D9" w:rsidRPr="00222663">
        <w:rPr>
          <w:rFonts w:cstheme="minorHAnsi"/>
          <w:sz w:val="24"/>
          <w:szCs w:val="24"/>
        </w:rPr>
        <w:t>’s</w:t>
      </w:r>
      <w:r w:rsidR="009225DA" w:rsidRPr="00222663">
        <w:rPr>
          <w:rFonts w:cstheme="minorHAnsi"/>
          <w:sz w:val="24"/>
          <w:szCs w:val="24"/>
        </w:rPr>
        <w:t xml:space="preserve"> and young people</w:t>
      </w:r>
      <w:r w:rsidR="006E375B" w:rsidRPr="00222663">
        <w:rPr>
          <w:rFonts w:cstheme="minorHAnsi"/>
          <w:sz w:val="24"/>
          <w:szCs w:val="24"/>
        </w:rPr>
        <w:t>’s views about violence</w:t>
      </w:r>
      <w:r w:rsidR="000618DF" w:rsidRPr="00222663">
        <w:rPr>
          <w:rFonts w:cstheme="minorHAnsi"/>
          <w:sz w:val="24"/>
          <w:szCs w:val="24"/>
        </w:rPr>
        <w:t xml:space="preserve"> </w:t>
      </w:r>
      <w:r w:rsidR="00226177" w:rsidRPr="00222663">
        <w:rPr>
          <w:rFonts w:cstheme="minorHAnsi"/>
          <w:sz w:val="24"/>
          <w:szCs w:val="24"/>
        </w:rPr>
        <w:t>and discrimination</w:t>
      </w:r>
      <w:r w:rsidR="007968ED" w:rsidRPr="00222663">
        <w:rPr>
          <w:rFonts w:cstheme="minorHAnsi"/>
          <w:sz w:val="24"/>
          <w:szCs w:val="24"/>
        </w:rPr>
        <w:t xml:space="preserve"> against </w:t>
      </w:r>
      <w:r w:rsidR="000618DF" w:rsidRPr="00222663">
        <w:rPr>
          <w:rFonts w:cstheme="minorHAnsi"/>
          <w:sz w:val="24"/>
          <w:szCs w:val="24"/>
        </w:rPr>
        <w:t>girls</w:t>
      </w:r>
      <w:r w:rsidR="007968ED" w:rsidRPr="00222663">
        <w:rPr>
          <w:rFonts w:cstheme="minorHAnsi"/>
          <w:sz w:val="24"/>
          <w:szCs w:val="24"/>
        </w:rPr>
        <w:t xml:space="preserve">. </w:t>
      </w:r>
      <w:r w:rsidR="007D247D">
        <w:rPr>
          <w:rFonts w:cstheme="minorHAnsi"/>
          <w:sz w:val="24"/>
          <w:szCs w:val="24"/>
        </w:rPr>
        <w:t>This research</w:t>
      </w:r>
      <w:r w:rsidR="006B066A" w:rsidRPr="00222663">
        <w:rPr>
          <w:rFonts w:cstheme="minorHAnsi"/>
          <w:sz w:val="24"/>
          <w:szCs w:val="24"/>
        </w:rPr>
        <w:t xml:space="preserve"> shows </w:t>
      </w:r>
      <w:r w:rsidR="00217FF1" w:rsidRPr="00222663">
        <w:rPr>
          <w:rFonts w:cstheme="minorHAnsi"/>
          <w:sz w:val="24"/>
          <w:szCs w:val="24"/>
        </w:rPr>
        <w:t xml:space="preserve">that </w:t>
      </w:r>
      <w:r w:rsidR="007D247D">
        <w:rPr>
          <w:rFonts w:cstheme="minorHAnsi"/>
          <w:sz w:val="24"/>
          <w:szCs w:val="24"/>
        </w:rPr>
        <w:t xml:space="preserve">in Nepal, </w:t>
      </w:r>
      <w:r w:rsidR="00217FF1" w:rsidRPr="00222663">
        <w:rPr>
          <w:rFonts w:cstheme="minorHAnsi"/>
          <w:sz w:val="24"/>
          <w:szCs w:val="24"/>
        </w:rPr>
        <w:t xml:space="preserve">violence </w:t>
      </w:r>
      <w:r w:rsidR="006644BE" w:rsidRPr="00222663">
        <w:rPr>
          <w:rFonts w:cstheme="minorHAnsi"/>
          <w:sz w:val="24"/>
          <w:szCs w:val="24"/>
        </w:rPr>
        <w:t xml:space="preserve">and discrimination </w:t>
      </w:r>
      <w:r w:rsidR="007D247D">
        <w:rPr>
          <w:rFonts w:cstheme="minorHAnsi"/>
          <w:sz w:val="24"/>
          <w:szCs w:val="24"/>
        </w:rPr>
        <w:t xml:space="preserve">against girls </w:t>
      </w:r>
      <w:r w:rsidR="00226177" w:rsidRPr="00222663">
        <w:rPr>
          <w:rFonts w:cstheme="minorHAnsi"/>
          <w:sz w:val="24"/>
          <w:szCs w:val="24"/>
        </w:rPr>
        <w:t>encompass</w:t>
      </w:r>
      <w:r w:rsidR="00217FF1" w:rsidRPr="00222663">
        <w:rPr>
          <w:rFonts w:cstheme="minorHAnsi"/>
          <w:sz w:val="24"/>
          <w:szCs w:val="24"/>
        </w:rPr>
        <w:t xml:space="preserve"> a wide range of </w:t>
      </w:r>
      <w:r w:rsidR="007D247D">
        <w:rPr>
          <w:rFonts w:cstheme="minorHAnsi"/>
          <w:sz w:val="24"/>
          <w:szCs w:val="24"/>
        </w:rPr>
        <w:t xml:space="preserve">harmful </w:t>
      </w:r>
      <w:r w:rsidR="00217FF1" w:rsidRPr="00222663">
        <w:rPr>
          <w:rFonts w:cstheme="minorHAnsi"/>
          <w:sz w:val="24"/>
          <w:szCs w:val="24"/>
        </w:rPr>
        <w:t xml:space="preserve">behaviours </w:t>
      </w:r>
      <w:r w:rsidR="00226177" w:rsidRPr="00222663">
        <w:rPr>
          <w:rFonts w:cstheme="minorHAnsi"/>
          <w:sz w:val="24"/>
          <w:szCs w:val="24"/>
        </w:rPr>
        <w:t>and</w:t>
      </w:r>
      <w:r w:rsidR="00217FF1" w:rsidRPr="00222663">
        <w:rPr>
          <w:rFonts w:cstheme="minorHAnsi"/>
          <w:sz w:val="24"/>
          <w:szCs w:val="24"/>
        </w:rPr>
        <w:t xml:space="preserve"> treatment, including physical, sexual and emotional abuse, exploitation, </w:t>
      </w:r>
      <w:r w:rsidR="001E7D8B" w:rsidRPr="00222663">
        <w:rPr>
          <w:rFonts w:cstheme="minorHAnsi"/>
          <w:sz w:val="24"/>
          <w:szCs w:val="24"/>
        </w:rPr>
        <w:t>menstrual discrimination, neglect</w:t>
      </w:r>
      <w:r w:rsidR="00FA54A6" w:rsidRPr="00222663">
        <w:rPr>
          <w:rFonts w:cstheme="minorHAnsi"/>
          <w:sz w:val="24"/>
          <w:szCs w:val="24"/>
        </w:rPr>
        <w:t>,</w:t>
      </w:r>
      <w:r w:rsidR="001E7D8B" w:rsidRPr="00222663">
        <w:rPr>
          <w:rFonts w:cstheme="minorHAnsi"/>
          <w:sz w:val="24"/>
          <w:szCs w:val="24"/>
        </w:rPr>
        <w:t xml:space="preserve"> preferential treatment of boys and </w:t>
      </w:r>
      <w:r w:rsidR="00217FF1" w:rsidRPr="00222663">
        <w:rPr>
          <w:rFonts w:cstheme="minorHAnsi"/>
          <w:sz w:val="24"/>
          <w:szCs w:val="24"/>
        </w:rPr>
        <w:t xml:space="preserve">exposure to violence in the home. </w:t>
      </w:r>
      <w:r w:rsidR="006F4384" w:rsidRPr="00222663">
        <w:rPr>
          <w:rFonts w:cstheme="minorHAnsi"/>
          <w:sz w:val="24"/>
          <w:szCs w:val="24"/>
        </w:rPr>
        <w:t xml:space="preserve">Participants expressed their views </w:t>
      </w:r>
      <w:r w:rsidR="00DF13B5" w:rsidRPr="00222663">
        <w:rPr>
          <w:rFonts w:cstheme="minorHAnsi"/>
          <w:sz w:val="24"/>
          <w:szCs w:val="24"/>
        </w:rPr>
        <w:t xml:space="preserve">about </w:t>
      </w:r>
      <w:r w:rsidR="00A57797" w:rsidRPr="00222663">
        <w:rPr>
          <w:rFonts w:cstheme="minorHAnsi"/>
          <w:sz w:val="24"/>
          <w:szCs w:val="24"/>
        </w:rPr>
        <w:t xml:space="preserve">endemic and structural discrimination against </w:t>
      </w:r>
      <w:r w:rsidR="00BF2B62">
        <w:rPr>
          <w:rFonts w:cstheme="minorHAnsi"/>
          <w:sz w:val="24"/>
          <w:szCs w:val="24"/>
        </w:rPr>
        <w:t>Nepali</w:t>
      </w:r>
      <w:r w:rsidR="00A57797" w:rsidRPr="00222663">
        <w:rPr>
          <w:rFonts w:cstheme="minorHAnsi"/>
          <w:sz w:val="24"/>
          <w:szCs w:val="24"/>
        </w:rPr>
        <w:t xml:space="preserve"> girls</w:t>
      </w:r>
      <w:r w:rsidR="006B066A" w:rsidRPr="00222663">
        <w:rPr>
          <w:rFonts w:cstheme="minorHAnsi"/>
          <w:sz w:val="24"/>
          <w:szCs w:val="24"/>
        </w:rPr>
        <w:t>,</w:t>
      </w:r>
      <w:r w:rsidR="00DF13B5" w:rsidRPr="00222663">
        <w:rPr>
          <w:rFonts w:cstheme="minorHAnsi"/>
          <w:sz w:val="24"/>
          <w:szCs w:val="24"/>
        </w:rPr>
        <w:t xml:space="preserve"> and </w:t>
      </w:r>
      <w:r w:rsidR="000618DF" w:rsidRPr="00222663">
        <w:rPr>
          <w:rFonts w:cstheme="minorHAnsi"/>
          <w:sz w:val="24"/>
          <w:szCs w:val="24"/>
        </w:rPr>
        <w:t xml:space="preserve">the prevalence </w:t>
      </w:r>
      <w:r w:rsidR="00217FF1" w:rsidRPr="00222663">
        <w:rPr>
          <w:rFonts w:cstheme="minorHAnsi"/>
          <w:sz w:val="24"/>
          <w:szCs w:val="24"/>
        </w:rPr>
        <w:t xml:space="preserve">and impact </w:t>
      </w:r>
      <w:r w:rsidR="000618DF" w:rsidRPr="00222663">
        <w:rPr>
          <w:rFonts w:cstheme="minorHAnsi"/>
          <w:sz w:val="24"/>
          <w:szCs w:val="24"/>
        </w:rPr>
        <w:t xml:space="preserve">of men’s violence toward girls in Nepal, </w:t>
      </w:r>
      <w:r w:rsidR="00A57797" w:rsidRPr="00222663">
        <w:rPr>
          <w:rFonts w:cstheme="minorHAnsi"/>
          <w:sz w:val="24"/>
          <w:szCs w:val="24"/>
        </w:rPr>
        <w:t xml:space="preserve">particularly </w:t>
      </w:r>
      <w:r w:rsidR="0039562B" w:rsidRPr="00222663">
        <w:rPr>
          <w:rFonts w:cstheme="minorHAnsi"/>
          <w:sz w:val="24"/>
          <w:szCs w:val="24"/>
        </w:rPr>
        <w:t xml:space="preserve">in </w:t>
      </w:r>
      <w:r w:rsidR="00A57797" w:rsidRPr="00222663">
        <w:rPr>
          <w:rFonts w:cstheme="minorHAnsi"/>
          <w:sz w:val="24"/>
          <w:szCs w:val="24"/>
        </w:rPr>
        <w:t xml:space="preserve">public places such as </w:t>
      </w:r>
      <w:r w:rsidR="0039562B" w:rsidRPr="00222663">
        <w:rPr>
          <w:rFonts w:cstheme="minorHAnsi"/>
          <w:sz w:val="24"/>
          <w:szCs w:val="24"/>
        </w:rPr>
        <w:t>the community and on the street</w:t>
      </w:r>
      <w:r w:rsidR="00A57797" w:rsidRPr="00222663">
        <w:rPr>
          <w:rFonts w:cstheme="minorHAnsi"/>
          <w:sz w:val="24"/>
          <w:szCs w:val="24"/>
        </w:rPr>
        <w:t xml:space="preserve">s. </w:t>
      </w:r>
      <w:r w:rsidR="00EB72AD" w:rsidRPr="00222663">
        <w:rPr>
          <w:rFonts w:cstheme="minorHAnsi"/>
          <w:sz w:val="24"/>
          <w:szCs w:val="24"/>
        </w:rPr>
        <w:t>This research demonstrates children</w:t>
      </w:r>
      <w:r w:rsidR="008A315A" w:rsidRPr="00222663">
        <w:rPr>
          <w:rFonts w:cstheme="minorHAnsi"/>
          <w:sz w:val="24"/>
          <w:szCs w:val="24"/>
        </w:rPr>
        <w:t>’s</w:t>
      </w:r>
      <w:r w:rsidR="00EB72AD" w:rsidRPr="00222663">
        <w:rPr>
          <w:rFonts w:cstheme="minorHAnsi"/>
          <w:sz w:val="24"/>
          <w:szCs w:val="24"/>
        </w:rPr>
        <w:t xml:space="preserve"> and young people’s comprehensive understanding</w:t>
      </w:r>
      <w:r w:rsidR="00033042" w:rsidRPr="00222663">
        <w:rPr>
          <w:rFonts w:cstheme="minorHAnsi"/>
          <w:sz w:val="24"/>
          <w:szCs w:val="24"/>
        </w:rPr>
        <w:t>s</w:t>
      </w:r>
      <w:r w:rsidR="00EB72AD" w:rsidRPr="00222663">
        <w:rPr>
          <w:rFonts w:cstheme="minorHAnsi"/>
          <w:sz w:val="24"/>
          <w:szCs w:val="24"/>
        </w:rPr>
        <w:t xml:space="preserve"> of violence </w:t>
      </w:r>
      <w:r w:rsidR="00150681" w:rsidRPr="00222663">
        <w:rPr>
          <w:rFonts w:cstheme="minorHAnsi"/>
          <w:sz w:val="24"/>
          <w:szCs w:val="24"/>
        </w:rPr>
        <w:t xml:space="preserve">and discrimination </w:t>
      </w:r>
      <w:r w:rsidR="00EB72AD" w:rsidRPr="00222663">
        <w:rPr>
          <w:rFonts w:cstheme="minorHAnsi"/>
          <w:sz w:val="24"/>
          <w:szCs w:val="24"/>
        </w:rPr>
        <w:t xml:space="preserve">against </w:t>
      </w:r>
      <w:r w:rsidR="00150681" w:rsidRPr="00222663">
        <w:rPr>
          <w:rFonts w:cstheme="minorHAnsi"/>
          <w:sz w:val="24"/>
          <w:szCs w:val="24"/>
        </w:rPr>
        <w:t xml:space="preserve">girls </w:t>
      </w:r>
      <w:r w:rsidR="00EB72AD" w:rsidRPr="00222663">
        <w:rPr>
          <w:rFonts w:cstheme="minorHAnsi"/>
          <w:sz w:val="24"/>
          <w:szCs w:val="24"/>
        </w:rPr>
        <w:t>in their community</w:t>
      </w:r>
      <w:r w:rsidR="008A315A" w:rsidRPr="00222663">
        <w:rPr>
          <w:rFonts w:cstheme="minorHAnsi"/>
          <w:sz w:val="24"/>
          <w:szCs w:val="24"/>
        </w:rPr>
        <w:t>,</w:t>
      </w:r>
      <w:r w:rsidR="00EB72AD" w:rsidRPr="00222663">
        <w:rPr>
          <w:rFonts w:cstheme="minorHAnsi"/>
          <w:sz w:val="24"/>
          <w:szCs w:val="24"/>
        </w:rPr>
        <w:t xml:space="preserve"> their knowledge about laws that deem </w:t>
      </w:r>
      <w:r w:rsidR="00150681" w:rsidRPr="00222663">
        <w:rPr>
          <w:rFonts w:cstheme="minorHAnsi"/>
          <w:sz w:val="24"/>
          <w:szCs w:val="24"/>
        </w:rPr>
        <w:t xml:space="preserve">this </w:t>
      </w:r>
      <w:r w:rsidR="00EB72AD" w:rsidRPr="00222663">
        <w:rPr>
          <w:rFonts w:cstheme="minorHAnsi"/>
          <w:sz w:val="24"/>
          <w:szCs w:val="24"/>
        </w:rPr>
        <w:t>unlawful and the</w:t>
      </w:r>
      <w:r w:rsidR="00842F1C" w:rsidRPr="00222663">
        <w:rPr>
          <w:rFonts w:cstheme="minorHAnsi"/>
          <w:sz w:val="24"/>
          <w:szCs w:val="24"/>
        </w:rPr>
        <w:t xml:space="preserve">ir views about the widespread </w:t>
      </w:r>
      <w:r w:rsidR="008A315A" w:rsidRPr="00222663">
        <w:rPr>
          <w:rFonts w:cstheme="minorHAnsi"/>
          <w:sz w:val="24"/>
          <w:szCs w:val="24"/>
        </w:rPr>
        <w:t>non-</w:t>
      </w:r>
      <w:r w:rsidR="00EB72AD" w:rsidRPr="00222663">
        <w:rPr>
          <w:rFonts w:cstheme="minorHAnsi"/>
          <w:sz w:val="24"/>
          <w:szCs w:val="24"/>
        </w:rPr>
        <w:t xml:space="preserve">enforcement of these laws. </w:t>
      </w:r>
      <w:bookmarkStart w:id="1" w:name="_Hlk180071655"/>
      <w:r w:rsidR="00842F1C" w:rsidRPr="00222663">
        <w:rPr>
          <w:rFonts w:cstheme="minorHAnsi"/>
          <w:sz w:val="24"/>
          <w:szCs w:val="24"/>
        </w:rPr>
        <w:t xml:space="preserve">The </w:t>
      </w:r>
      <w:r w:rsidR="00D9775E" w:rsidRPr="00222663">
        <w:rPr>
          <w:rFonts w:cstheme="minorHAnsi"/>
          <w:sz w:val="24"/>
          <w:szCs w:val="24"/>
        </w:rPr>
        <w:t xml:space="preserve">findings presented in this </w:t>
      </w:r>
      <w:r w:rsidR="00842F1C" w:rsidRPr="00222663">
        <w:rPr>
          <w:rFonts w:cstheme="minorHAnsi"/>
          <w:sz w:val="24"/>
          <w:szCs w:val="24"/>
        </w:rPr>
        <w:t xml:space="preserve">paper suggest that engaging children and young people in governmental efforts to combat violence </w:t>
      </w:r>
      <w:r w:rsidR="00150681" w:rsidRPr="00222663">
        <w:rPr>
          <w:rFonts w:cstheme="minorHAnsi"/>
          <w:sz w:val="24"/>
          <w:szCs w:val="24"/>
        </w:rPr>
        <w:t xml:space="preserve">and discrimination </w:t>
      </w:r>
      <w:r w:rsidR="00842F1C" w:rsidRPr="00222663">
        <w:rPr>
          <w:rFonts w:cstheme="minorHAnsi"/>
          <w:sz w:val="24"/>
          <w:szCs w:val="24"/>
        </w:rPr>
        <w:t>against girls presents a promising</w:t>
      </w:r>
      <w:r w:rsidR="00623450" w:rsidRPr="00222663">
        <w:rPr>
          <w:rFonts w:cstheme="minorHAnsi"/>
          <w:sz w:val="24"/>
          <w:szCs w:val="24"/>
        </w:rPr>
        <w:t>, yet</w:t>
      </w:r>
      <w:r w:rsidR="00842F1C" w:rsidRPr="00222663">
        <w:rPr>
          <w:rFonts w:cstheme="minorHAnsi"/>
          <w:sz w:val="24"/>
          <w:szCs w:val="24"/>
        </w:rPr>
        <w:t xml:space="preserve"> </w:t>
      </w:r>
      <w:r w:rsidR="005839B9" w:rsidRPr="00222663">
        <w:rPr>
          <w:rFonts w:cstheme="minorHAnsi"/>
          <w:sz w:val="24"/>
          <w:szCs w:val="24"/>
        </w:rPr>
        <w:t xml:space="preserve">often </w:t>
      </w:r>
      <w:r w:rsidR="00842F1C" w:rsidRPr="00222663">
        <w:rPr>
          <w:rFonts w:cstheme="minorHAnsi"/>
          <w:sz w:val="24"/>
          <w:szCs w:val="24"/>
        </w:rPr>
        <w:t>overlooked</w:t>
      </w:r>
      <w:r w:rsidR="00623450" w:rsidRPr="00222663">
        <w:rPr>
          <w:rFonts w:cstheme="minorHAnsi"/>
          <w:sz w:val="24"/>
          <w:szCs w:val="24"/>
        </w:rPr>
        <w:t>,</w:t>
      </w:r>
      <w:r w:rsidR="00842F1C" w:rsidRPr="00222663">
        <w:rPr>
          <w:rFonts w:cstheme="minorHAnsi"/>
          <w:sz w:val="24"/>
          <w:szCs w:val="24"/>
        </w:rPr>
        <w:t xml:space="preserve"> opportunity to enhance girls</w:t>
      </w:r>
      <w:r w:rsidR="0080070C" w:rsidRPr="00222663">
        <w:rPr>
          <w:rFonts w:cstheme="minorHAnsi"/>
          <w:sz w:val="24"/>
          <w:szCs w:val="24"/>
        </w:rPr>
        <w:t>’</w:t>
      </w:r>
      <w:r w:rsidR="00842F1C" w:rsidRPr="00222663">
        <w:rPr>
          <w:rFonts w:cstheme="minorHAnsi"/>
          <w:sz w:val="24"/>
          <w:szCs w:val="24"/>
        </w:rPr>
        <w:t xml:space="preserve"> citizenship rights.</w:t>
      </w:r>
    </w:p>
    <w:bookmarkEnd w:id="1"/>
    <w:p w14:paraId="7DE27D27" w14:textId="77777777" w:rsidR="00697356" w:rsidRPr="00222663" w:rsidRDefault="00697356" w:rsidP="006B7D91">
      <w:pPr>
        <w:spacing w:after="0" w:line="360" w:lineRule="auto"/>
        <w:rPr>
          <w:rFonts w:cstheme="minorHAnsi"/>
          <w:sz w:val="24"/>
          <w:szCs w:val="24"/>
          <w:lang w:eastAsia="en-AU"/>
        </w:rPr>
      </w:pPr>
    </w:p>
    <w:bookmarkEnd w:id="0"/>
    <w:p w14:paraId="1CB20FC4" w14:textId="31932062" w:rsidR="00193AE4" w:rsidRDefault="00DF21B1" w:rsidP="00652B09">
      <w:pPr>
        <w:pStyle w:val="Heading2"/>
      </w:pPr>
      <w:r w:rsidRPr="00222663">
        <w:t>Introduction</w:t>
      </w:r>
    </w:p>
    <w:p w14:paraId="6BE9665A" w14:textId="5823C5B8" w:rsidR="009225DA" w:rsidRPr="00222663" w:rsidRDefault="00BD2330" w:rsidP="00746A43">
      <w:pPr>
        <w:spacing w:line="360" w:lineRule="auto"/>
        <w:rPr>
          <w:rFonts w:cstheme="minorHAnsi"/>
          <w:sz w:val="24"/>
          <w:szCs w:val="24"/>
        </w:rPr>
      </w:pPr>
      <w:r w:rsidRPr="00222663">
        <w:rPr>
          <w:rFonts w:cstheme="minorHAnsi"/>
          <w:sz w:val="24"/>
          <w:szCs w:val="24"/>
        </w:rPr>
        <w:t xml:space="preserve">Ending violence </w:t>
      </w:r>
      <w:r w:rsidR="00EF5479" w:rsidRPr="00222663">
        <w:rPr>
          <w:rFonts w:cstheme="minorHAnsi"/>
          <w:sz w:val="24"/>
          <w:szCs w:val="24"/>
        </w:rPr>
        <w:t xml:space="preserve">and discrimination </w:t>
      </w:r>
      <w:r w:rsidRPr="00222663">
        <w:rPr>
          <w:rFonts w:cstheme="minorHAnsi"/>
          <w:sz w:val="24"/>
          <w:szCs w:val="24"/>
        </w:rPr>
        <w:t xml:space="preserve">against women and girls </w:t>
      </w:r>
      <w:r w:rsidR="00676B56" w:rsidRPr="00222663">
        <w:rPr>
          <w:rFonts w:cstheme="minorHAnsi"/>
          <w:sz w:val="24"/>
          <w:szCs w:val="24"/>
        </w:rPr>
        <w:t>is</w:t>
      </w:r>
      <w:r w:rsidRPr="00222663">
        <w:rPr>
          <w:rFonts w:cstheme="minorHAnsi"/>
          <w:sz w:val="24"/>
          <w:szCs w:val="24"/>
        </w:rPr>
        <w:t xml:space="preserve"> a key global challenge facing the world today. </w:t>
      </w:r>
      <w:r w:rsidR="00EE7C69" w:rsidRPr="00222663">
        <w:rPr>
          <w:rFonts w:cstheme="minorHAnsi"/>
          <w:sz w:val="24"/>
          <w:szCs w:val="24"/>
        </w:rPr>
        <w:t>V</w:t>
      </w:r>
      <w:r w:rsidR="009225DA" w:rsidRPr="00222663">
        <w:rPr>
          <w:rFonts w:cstheme="minorHAnsi"/>
          <w:sz w:val="24"/>
          <w:szCs w:val="24"/>
        </w:rPr>
        <w:t xml:space="preserve">iolence is one of the most significant barriers to girls’ citizenship and the realisation of substantive equality. </w:t>
      </w:r>
      <w:r w:rsidR="00C712BB">
        <w:rPr>
          <w:rFonts w:cstheme="minorHAnsi"/>
          <w:sz w:val="24"/>
          <w:szCs w:val="24"/>
        </w:rPr>
        <w:t>Violence</w:t>
      </w:r>
      <w:r w:rsidR="00C712BB" w:rsidRPr="00222663">
        <w:rPr>
          <w:rFonts w:cstheme="minorHAnsi"/>
          <w:sz w:val="24"/>
          <w:szCs w:val="24"/>
        </w:rPr>
        <w:t xml:space="preserve"> </w:t>
      </w:r>
      <w:r w:rsidR="00C712BB">
        <w:rPr>
          <w:rFonts w:cstheme="minorHAnsi"/>
          <w:sz w:val="24"/>
          <w:szCs w:val="24"/>
        </w:rPr>
        <w:t>jeopardises</w:t>
      </w:r>
      <w:r w:rsidR="00C712BB" w:rsidRPr="00222663">
        <w:rPr>
          <w:rFonts w:cstheme="minorHAnsi"/>
          <w:sz w:val="24"/>
          <w:szCs w:val="24"/>
        </w:rPr>
        <w:t xml:space="preserve"> </w:t>
      </w:r>
      <w:r w:rsidR="009225DA" w:rsidRPr="00222663">
        <w:rPr>
          <w:rFonts w:cstheme="minorHAnsi"/>
          <w:sz w:val="24"/>
          <w:szCs w:val="24"/>
        </w:rPr>
        <w:t>girls’ life prospects</w:t>
      </w:r>
      <w:r w:rsidR="00C712BB">
        <w:rPr>
          <w:rFonts w:cstheme="minorHAnsi"/>
          <w:sz w:val="24"/>
          <w:szCs w:val="24"/>
        </w:rPr>
        <w:t xml:space="preserve"> and health, preventing the </w:t>
      </w:r>
      <w:r w:rsidR="00C712BB" w:rsidRPr="00CC2921">
        <w:rPr>
          <w:rFonts w:cstheme="minorHAnsi"/>
          <w:sz w:val="24"/>
          <w:szCs w:val="24"/>
        </w:rPr>
        <w:t>realisation</w:t>
      </w:r>
      <w:r w:rsidR="00CC2921" w:rsidRPr="00CC2921">
        <w:rPr>
          <w:rFonts w:cstheme="minorHAnsi"/>
          <w:sz w:val="24"/>
          <w:szCs w:val="24"/>
        </w:rPr>
        <w:t xml:space="preserve"> </w:t>
      </w:r>
      <w:r w:rsidR="009225DA" w:rsidRPr="00222663">
        <w:rPr>
          <w:rFonts w:cstheme="minorHAnsi"/>
          <w:sz w:val="24"/>
          <w:szCs w:val="24"/>
        </w:rPr>
        <w:t xml:space="preserve">of girls’ rights under the </w:t>
      </w:r>
      <w:r w:rsidR="009225DA" w:rsidRPr="00222663">
        <w:rPr>
          <w:rFonts w:cstheme="minorHAnsi"/>
          <w:i/>
          <w:iCs/>
          <w:sz w:val="24"/>
          <w:szCs w:val="24"/>
        </w:rPr>
        <w:t xml:space="preserve">Convention on the Rights of the Child </w:t>
      </w:r>
      <w:r w:rsidR="009225DA" w:rsidRPr="00222663">
        <w:rPr>
          <w:rFonts w:cstheme="minorHAnsi"/>
          <w:sz w:val="24"/>
          <w:szCs w:val="24"/>
        </w:rPr>
        <w:t>(CRC) and the</w:t>
      </w:r>
      <w:r w:rsidR="009225DA" w:rsidRPr="00222663">
        <w:rPr>
          <w:rFonts w:cstheme="minorHAnsi"/>
          <w:i/>
          <w:iCs/>
          <w:sz w:val="24"/>
          <w:szCs w:val="24"/>
        </w:rPr>
        <w:t xml:space="preserve"> Convention on the Elimination of </w:t>
      </w:r>
      <w:r w:rsidR="003B5EFA" w:rsidRPr="00222663">
        <w:rPr>
          <w:rFonts w:cstheme="minorHAnsi"/>
          <w:i/>
          <w:iCs/>
          <w:sz w:val="24"/>
          <w:szCs w:val="24"/>
        </w:rPr>
        <w:t xml:space="preserve">All Forms of </w:t>
      </w:r>
      <w:r w:rsidR="009225DA" w:rsidRPr="00222663">
        <w:rPr>
          <w:rFonts w:cstheme="minorHAnsi"/>
          <w:i/>
          <w:iCs/>
          <w:sz w:val="24"/>
          <w:szCs w:val="24"/>
        </w:rPr>
        <w:t xml:space="preserve">Discrimination Against Women </w:t>
      </w:r>
      <w:r w:rsidR="009225DA" w:rsidRPr="00222663">
        <w:rPr>
          <w:rFonts w:cstheme="minorHAnsi"/>
          <w:sz w:val="24"/>
          <w:szCs w:val="24"/>
        </w:rPr>
        <w:lastRenderedPageBreak/>
        <w:t>(CEDAW).</w:t>
      </w:r>
      <w:bookmarkStart w:id="2" w:name="_Hlk135177028"/>
      <w:r w:rsidR="005C2DA3" w:rsidRPr="00222663">
        <w:rPr>
          <w:rStyle w:val="FootnoteReference"/>
          <w:rFonts w:cstheme="minorHAnsi"/>
          <w:sz w:val="24"/>
          <w:szCs w:val="24"/>
        </w:rPr>
        <w:footnoteReference w:id="4"/>
      </w:r>
      <w:r w:rsidR="009225DA" w:rsidRPr="00222663">
        <w:rPr>
          <w:rFonts w:cstheme="minorHAnsi"/>
          <w:sz w:val="24"/>
          <w:szCs w:val="24"/>
        </w:rPr>
        <w:t xml:space="preserve"> </w:t>
      </w:r>
      <w:bookmarkEnd w:id="2"/>
      <w:r w:rsidR="00B711E7" w:rsidRPr="00222663">
        <w:rPr>
          <w:rFonts w:cstheme="minorHAnsi"/>
          <w:sz w:val="24"/>
          <w:szCs w:val="24"/>
        </w:rPr>
        <w:t xml:space="preserve">The effect of </w:t>
      </w:r>
      <w:r w:rsidR="00072AEE" w:rsidRPr="00222663">
        <w:rPr>
          <w:rFonts w:cstheme="minorHAnsi"/>
          <w:sz w:val="24"/>
          <w:szCs w:val="24"/>
        </w:rPr>
        <w:t>violence is</w:t>
      </w:r>
      <w:r w:rsidR="00033042" w:rsidRPr="00222663">
        <w:rPr>
          <w:rFonts w:cstheme="minorHAnsi"/>
          <w:sz w:val="24"/>
          <w:szCs w:val="24"/>
        </w:rPr>
        <w:t xml:space="preserve"> described as</w:t>
      </w:r>
      <w:r w:rsidR="00072AEE" w:rsidRPr="00222663">
        <w:rPr>
          <w:rFonts w:cstheme="minorHAnsi"/>
          <w:sz w:val="24"/>
          <w:szCs w:val="24"/>
        </w:rPr>
        <w:t xml:space="preserve"> a ‘global pandemic’ </w:t>
      </w:r>
      <w:r w:rsidR="00A841E7" w:rsidRPr="00222663">
        <w:rPr>
          <w:rFonts w:cstheme="minorHAnsi"/>
          <w:sz w:val="24"/>
          <w:szCs w:val="24"/>
        </w:rPr>
        <w:t>impacting</w:t>
      </w:r>
      <w:r w:rsidR="00072AEE" w:rsidRPr="00222663">
        <w:rPr>
          <w:rFonts w:cstheme="minorHAnsi"/>
          <w:sz w:val="24"/>
          <w:szCs w:val="24"/>
        </w:rPr>
        <w:t xml:space="preserve"> </w:t>
      </w:r>
      <w:r w:rsidR="00537BC5" w:rsidRPr="00222663">
        <w:rPr>
          <w:rFonts w:cstheme="minorHAnsi"/>
          <w:sz w:val="24"/>
          <w:szCs w:val="24"/>
        </w:rPr>
        <w:t>one</w:t>
      </w:r>
      <w:r w:rsidR="00072AEE" w:rsidRPr="00222663">
        <w:rPr>
          <w:rFonts w:cstheme="minorHAnsi"/>
          <w:sz w:val="24"/>
          <w:szCs w:val="24"/>
        </w:rPr>
        <w:t xml:space="preserve"> in </w:t>
      </w:r>
      <w:r w:rsidR="00537BC5" w:rsidRPr="00222663">
        <w:rPr>
          <w:rFonts w:cstheme="minorHAnsi"/>
          <w:sz w:val="24"/>
          <w:szCs w:val="24"/>
        </w:rPr>
        <w:t>three</w:t>
      </w:r>
      <w:r w:rsidR="00072AEE" w:rsidRPr="00222663">
        <w:rPr>
          <w:rFonts w:cstheme="minorHAnsi"/>
          <w:sz w:val="24"/>
          <w:szCs w:val="24"/>
        </w:rPr>
        <w:t xml:space="preserve"> women during their lifetime</w:t>
      </w:r>
      <w:r w:rsidR="008154AB" w:rsidRPr="00222663">
        <w:rPr>
          <w:rFonts w:cstheme="minorHAnsi"/>
          <w:sz w:val="24"/>
          <w:szCs w:val="24"/>
        </w:rPr>
        <w:t>.</w:t>
      </w:r>
      <w:r w:rsidR="00E265C6" w:rsidRPr="00222663">
        <w:rPr>
          <w:rStyle w:val="FootnoteReference"/>
          <w:rFonts w:cstheme="minorHAnsi"/>
          <w:sz w:val="24"/>
          <w:szCs w:val="24"/>
        </w:rPr>
        <w:footnoteReference w:id="5"/>
      </w:r>
      <w:r w:rsidR="006947E3" w:rsidRPr="00222663">
        <w:rPr>
          <w:rFonts w:cstheme="minorHAnsi"/>
          <w:sz w:val="24"/>
          <w:szCs w:val="24"/>
        </w:rPr>
        <w:t xml:space="preserve"> </w:t>
      </w:r>
      <w:r w:rsidR="006B066A" w:rsidRPr="00222663">
        <w:rPr>
          <w:rFonts w:cstheme="minorHAnsi"/>
          <w:sz w:val="24"/>
          <w:szCs w:val="24"/>
        </w:rPr>
        <w:t>V</w:t>
      </w:r>
      <w:r w:rsidR="008154AB" w:rsidRPr="00222663">
        <w:rPr>
          <w:rFonts w:cstheme="minorHAnsi"/>
          <w:sz w:val="24"/>
          <w:szCs w:val="24"/>
        </w:rPr>
        <w:t xml:space="preserve">iolence against </w:t>
      </w:r>
      <w:r w:rsidR="00123DAB" w:rsidRPr="00222663">
        <w:rPr>
          <w:rFonts w:cstheme="minorHAnsi"/>
          <w:sz w:val="24"/>
          <w:szCs w:val="24"/>
        </w:rPr>
        <w:t>females, in all its forms and throughout every aspect of life,</w:t>
      </w:r>
      <w:r w:rsidR="006947E3" w:rsidRPr="00222663">
        <w:rPr>
          <w:rFonts w:cstheme="minorHAnsi"/>
          <w:sz w:val="24"/>
          <w:szCs w:val="24"/>
        </w:rPr>
        <w:t xml:space="preserve"> creates uneven, unequal and ‘gendered citizenship’</w:t>
      </w:r>
      <w:r w:rsidR="006947E3" w:rsidRPr="00222663">
        <w:rPr>
          <w:rStyle w:val="FootnoteReference"/>
          <w:rFonts w:cstheme="minorHAnsi"/>
          <w:sz w:val="24"/>
          <w:szCs w:val="24"/>
        </w:rPr>
        <w:footnoteReference w:id="6"/>
      </w:r>
      <w:r w:rsidR="00127722" w:rsidRPr="00222663">
        <w:rPr>
          <w:rFonts w:cstheme="minorHAnsi"/>
          <w:sz w:val="24"/>
          <w:szCs w:val="24"/>
        </w:rPr>
        <w:t xml:space="preserve"> </w:t>
      </w:r>
      <w:r w:rsidR="009225DA" w:rsidRPr="00222663">
        <w:rPr>
          <w:rFonts w:cstheme="minorHAnsi"/>
          <w:sz w:val="24"/>
          <w:szCs w:val="24"/>
        </w:rPr>
        <w:t>and is both a criminal justice problem and a public health threat given its high prevalence and the multiple and severe health consequences</w:t>
      </w:r>
      <w:r w:rsidR="009817DF" w:rsidRPr="00222663">
        <w:rPr>
          <w:rFonts w:cstheme="minorHAnsi"/>
          <w:sz w:val="24"/>
          <w:szCs w:val="24"/>
        </w:rPr>
        <w:t>.</w:t>
      </w:r>
      <w:r w:rsidR="009817DF" w:rsidRPr="00222663">
        <w:rPr>
          <w:rStyle w:val="FootnoteReference"/>
          <w:rFonts w:cstheme="minorHAnsi"/>
          <w:sz w:val="24"/>
          <w:szCs w:val="24"/>
        </w:rPr>
        <w:footnoteReference w:id="7"/>
      </w:r>
      <w:r w:rsidR="00E04F4C" w:rsidRPr="00222663">
        <w:rPr>
          <w:rFonts w:cstheme="minorHAnsi"/>
          <w:sz w:val="24"/>
          <w:szCs w:val="24"/>
        </w:rPr>
        <w:t xml:space="preserve"> The Sustainable Development Goals include a specific target to ‘eliminate all forms of violence against all women and girls in the public and private spheres’</w:t>
      </w:r>
      <w:r w:rsidR="009C358E" w:rsidRPr="00222663">
        <w:rPr>
          <w:rStyle w:val="FootnoteReference"/>
          <w:rFonts w:cstheme="minorHAnsi"/>
          <w:sz w:val="24"/>
          <w:szCs w:val="24"/>
        </w:rPr>
        <w:footnoteReference w:id="8"/>
      </w:r>
      <w:r w:rsidR="00E04F4C" w:rsidRPr="00222663">
        <w:rPr>
          <w:rFonts w:cstheme="minorHAnsi"/>
          <w:sz w:val="24"/>
          <w:szCs w:val="24"/>
        </w:rPr>
        <w:t xml:space="preserve"> and t</w:t>
      </w:r>
      <w:r w:rsidR="00E24F55" w:rsidRPr="00222663">
        <w:rPr>
          <w:rFonts w:cstheme="minorHAnsi"/>
          <w:sz w:val="24"/>
          <w:szCs w:val="24"/>
        </w:rPr>
        <w:t>he mandate on governments to take steps to eliminate violence against females is being ‘increasingly recognised as a priority for the international community’.</w:t>
      </w:r>
      <w:r w:rsidR="00E04F4C" w:rsidRPr="00222663">
        <w:rPr>
          <w:rStyle w:val="FootnoteReference"/>
          <w:rFonts w:cstheme="minorHAnsi"/>
          <w:sz w:val="24"/>
          <w:szCs w:val="24"/>
        </w:rPr>
        <w:footnoteReference w:id="9"/>
      </w:r>
      <w:r w:rsidR="00F6021F" w:rsidRPr="00222663">
        <w:rPr>
          <w:rFonts w:cstheme="minorHAnsi"/>
          <w:sz w:val="24"/>
          <w:szCs w:val="24"/>
        </w:rPr>
        <w:t xml:space="preserve"> Barrow and Chia note that ‘gender-based violence occurs in all societies irrespective of the level of development or cultural setting, whether in conflict or peacetime</w:t>
      </w:r>
      <w:r w:rsidR="002830A5">
        <w:rPr>
          <w:rFonts w:cstheme="minorHAnsi"/>
          <w:sz w:val="24"/>
          <w:szCs w:val="24"/>
        </w:rPr>
        <w:t>’</w:t>
      </w:r>
      <w:r w:rsidR="004F49FC" w:rsidRPr="00222663">
        <w:rPr>
          <w:rFonts w:cstheme="minorHAnsi"/>
          <w:sz w:val="24"/>
          <w:szCs w:val="24"/>
        </w:rPr>
        <w:t>.</w:t>
      </w:r>
      <w:r w:rsidR="004F49FC" w:rsidRPr="00222663">
        <w:rPr>
          <w:rStyle w:val="FootnoteReference"/>
          <w:rFonts w:cstheme="minorHAnsi"/>
          <w:sz w:val="24"/>
          <w:szCs w:val="24"/>
        </w:rPr>
        <w:footnoteReference w:id="10"/>
      </w:r>
      <w:r w:rsidR="004F49FC" w:rsidRPr="00222663">
        <w:rPr>
          <w:rFonts w:cstheme="minorHAnsi"/>
          <w:sz w:val="24"/>
          <w:szCs w:val="24"/>
        </w:rPr>
        <w:t xml:space="preserve"> H</w:t>
      </w:r>
      <w:r w:rsidR="00F6021F" w:rsidRPr="00222663">
        <w:rPr>
          <w:rFonts w:cstheme="minorHAnsi"/>
          <w:sz w:val="24"/>
          <w:szCs w:val="24"/>
        </w:rPr>
        <w:t>owever, they identify that ‘the challenges for legal responses to gender-based violence are particularly acute in Asia</w:t>
      </w:r>
      <w:r w:rsidR="009C27E8">
        <w:rPr>
          <w:rFonts w:cstheme="minorHAnsi"/>
          <w:sz w:val="24"/>
          <w:szCs w:val="24"/>
        </w:rPr>
        <w:t>’</w:t>
      </w:r>
      <w:r w:rsidR="00E22F65" w:rsidRPr="00222663">
        <w:rPr>
          <w:rFonts w:cstheme="minorHAnsi"/>
          <w:sz w:val="24"/>
          <w:szCs w:val="24"/>
        </w:rPr>
        <w:t>,</w:t>
      </w:r>
      <w:r w:rsidR="00F6021F" w:rsidRPr="00222663">
        <w:rPr>
          <w:rStyle w:val="FootnoteReference"/>
          <w:rFonts w:cstheme="minorHAnsi"/>
          <w:sz w:val="24"/>
          <w:szCs w:val="24"/>
        </w:rPr>
        <w:footnoteReference w:id="11"/>
      </w:r>
      <w:r w:rsidR="00251375" w:rsidRPr="00222663">
        <w:rPr>
          <w:rFonts w:cstheme="minorHAnsi"/>
          <w:sz w:val="24"/>
          <w:szCs w:val="24"/>
        </w:rPr>
        <w:t xml:space="preserve"> </w:t>
      </w:r>
      <w:r w:rsidR="009915F1" w:rsidRPr="00222663">
        <w:rPr>
          <w:rFonts w:cstheme="minorHAnsi"/>
          <w:sz w:val="24"/>
          <w:szCs w:val="24"/>
        </w:rPr>
        <w:t xml:space="preserve">including in Nepal and other post-conflict states, where women and girls experience </w:t>
      </w:r>
      <w:r w:rsidR="00033042" w:rsidRPr="00222663">
        <w:rPr>
          <w:rFonts w:cstheme="minorHAnsi"/>
          <w:sz w:val="24"/>
          <w:szCs w:val="24"/>
        </w:rPr>
        <w:t xml:space="preserve">a </w:t>
      </w:r>
      <w:r w:rsidR="009915F1" w:rsidRPr="00222663">
        <w:rPr>
          <w:rFonts w:cstheme="minorHAnsi"/>
          <w:sz w:val="24"/>
          <w:szCs w:val="24"/>
        </w:rPr>
        <w:t>‘continuum of violence’ during and after armed conflict.</w:t>
      </w:r>
      <w:r w:rsidR="009915F1" w:rsidRPr="00222663">
        <w:rPr>
          <w:rStyle w:val="FootnoteReference"/>
          <w:rFonts w:cstheme="minorHAnsi"/>
          <w:sz w:val="24"/>
          <w:szCs w:val="24"/>
        </w:rPr>
        <w:footnoteReference w:id="12"/>
      </w:r>
      <w:r w:rsidR="009915F1" w:rsidRPr="00222663">
        <w:rPr>
          <w:rFonts w:cstheme="minorHAnsi"/>
          <w:sz w:val="24"/>
          <w:szCs w:val="24"/>
        </w:rPr>
        <w:t xml:space="preserve"> </w:t>
      </w:r>
    </w:p>
    <w:p w14:paraId="67C711A9" w14:textId="2C4C6BC2" w:rsidR="00593E7F" w:rsidRPr="00222663" w:rsidRDefault="00593E7F" w:rsidP="00746A43">
      <w:pPr>
        <w:spacing w:line="360" w:lineRule="auto"/>
        <w:rPr>
          <w:rFonts w:cstheme="minorHAnsi"/>
          <w:sz w:val="24"/>
          <w:szCs w:val="24"/>
        </w:rPr>
      </w:pPr>
      <w:r w:rsidRPr="00222663">
        <w:rPr>
          <w:rFonts w:cstheme="minorHAnsi"/>
          <w:sz w:val="24"/>
          <w:szCs w:val="24"/>
        </w:rPr>
        <w:t>Countless legislative</w:t>
      </w:r>
      <w:r w:rsidR="009C358E" w:rsidRPr="00222663">
        <w:rPr>
          <w:rFonts w:cstheme="minorHAnsi"/>
          <w:sz w:val="24"/>
          <w:szCs w:val="24"/>
        </w:rPr>
        <w:t xml:space="preserve"> and policy</w:t>
      </w:r>
      <w:r w:rsidRPr="00222663">
        <w:rPr>
          <w:rFonts w:cstheme="minorHAnsi"/>
          <w:sz w:val="24"/>
          <w:szCs w:val="24"/>
        </w:rPr>
        <w:t xml:space="preserve"> measures have been implemented globally to combat </w:t>
      </w:r>
      <w:r w:rsidR="009C358E" w:rsidRPr="00222663">
        <w:rPr>
          <w:rFonts w:cstheme="minorHAnsi"/>
          <w:sz w:val="24"/>
          <w:szCs w:val="24"/>
        </w:rPr>
        <w:t xml:space="preserve">violence against women and children </w:t>
      </w:r>
      <w:r w:rsidRPr="00222663">
        <w:rPr>
          <w:rFonts w:cstheme="minorHAnsi"/>
          <w:sz w:val="24"/>
          <w:szCs w:val="24"/>
        </w:rPr>
        <w:t>with varying degrees of success</w:t>
      </w:r>
      <w:r w:rsidR="00CE1FAA" w:rsidRPr="00222663">
        <w:rPr>
          <w:rFonts w:cstheme="minorHAnsi"/>
          <w:sz w:val="24"/>
          <w:szCs w:val="24"/>
        </w:rPr>
        <w:t>.</w:t>
      </w:r>
      <w:r w:rsidR="00CE1FAA" w:rsidRPr="00222663">
        <w:rPr>
          <w:rStyle w:val="FootnoteReference"/>
          <w:rFonts w:cstheme="minorHAnsi"/>
          <w:sz w:val="24"/>
          <w:szCs w:val="24"/>
        </w:rPr>
        <w:footnoteReference w:id="13"/>
      </w:r>
      <w:r w:rsidR="00CE1FAA" w:rsidRPr="00222663">
        <w:rPr>
          <w:rFonts w:cstheme="minorHAnsi"/>
          <w:sz w:val="24"/>
          <w:szCs w:val="24"/>
        </w:rPr>
        <w:t xml:space="preserve"> </w:t>
      </w:r>
      <w:r w:rsidRPr="00222663">
        <w:rPr>
          <w:rFonts w:cstheme="minorHAnsi"/>
          <w:sz w:val="24"/>
          <w:szCs w:val="24"/>
        </w:rPr>
        <w:t xml:space="preserve">However, very little attention has been given to how children and young people themselves </w:t>
      </w:r>
      <w:r w:rsidR="00CA2191" w:rsidRPr="00222663">
        <w:rPr>
          <w:rFonts w:cstheme="minorHAnsi"/>
          <w:sz w:val="24"/>
          <w:szCs w:val="24"/>
        </w:rPr>
        <w:t xml:space="preserve">can </w:t>
      </w:r>
      <w:r w:rsidRPr="00222663">
        <w:rPr>
          <w:rFonts w:cstheme="minorHAnsi"/>
          <w:sz w:val="24"/>
          <w:szCs w:val="24"/>
        </w:rPr>
        <w:t xml:space="preserve">collaborate with </w:t>
      </w:r>
      <w:r w:rsidRPr="00222663">
        <w:rPr>
          <w:rFonts w:cstheme="minorHAnsi"/>
          <w:sz w:val="24"/>
          <w:szCs w:val="24"/>
        </w:rPr>
        <w:lastRenderedPageBreak/>
        <w:t>governments in the design of legislative and policy measures to eliminate such violence</w:t>
      </w:r>
      <w:r w:rsidR="000B0610" w:rsidRPr="00222663">
        <w:rPr>
          <w:rFonts w:cstheme="minorHAnsi"/>
          <w:sz w:val="24"/>
          <w:szCs w:val="24"/>
        </w:rPr>
        <w:t>.</w:t>
      </w:r>
      <w:r w:rsidR="006C7512" w:rsidRPr="00222663">
        <w:rPr>
          <w:rFonts w:cstheme="minorHAnsi"/>
          <w:sz w:val="24"/>
          <w:szCs w:val="24"/>
        </w:rPr>
        <w:t xml:space="preserve"> </w:t>
      </w:r>
      <w:r w:rsidR="00BB133E" w:rsidRPr="00222663">
        <w:rPr>
          <w:rFonts w:cstheme="minorHAnsi"/>
          <w:sz w:val="24"/>
          <w:szCs w:val="24"/>
        </w:rPr>
        <w:t xml:space="preserve">Article 1 of the CRC defines a child as </w:t>
      </w:r>
      <w:r w:rsidR="003B5EFA" w:rsidRPr="00222663">
        <w:rPr>
          <w:rFonts w:cstheme="minorHAnsi"/>
          <w:sz w:val="24"/>
          <w:szCs w:val="24"/>
        </w:rPr>
        <w:t>any</w:t>
      </w:r>
      <w:r w:rsidR="008155BE" w:rsidRPr="00222663">
        <w:rPr>
          <w:rFonts w:cstheme="minorHAnsi"/>
          <w:sz w:val="24"/>
          <w:szCs w:val="24"/>
        </w:rPr>
        <w:t xml:space="preserve"> human being below the age of 18 years, and </w:t>
      </w:r>
      <w:r w:rsidRPr="00222663">
        <w:rPr>
          <w:rFonts w:cstheme="minorHAnsi"/>
          <w:sz w:val="24"/>
          <w:szCs w:val="24"/>
        </w:rPr>
        <w:t>Article 12 requires governments to engage children in decision-making processes that will affect them</w:t>
      </w:r>
      <w:r w:rsidR="004805CD" w:rsidRPr="00222663">
        <w:rPr>
          <w:rFonts w:cstheme="minorHAnsi"/>
          <w:sz w:val="24"/>
          <w:szCs w:val="24"/>
        </w:rPr>
        <w:t xml:space="preserve"> </w:t>
      </w:r>
      <w:bookmarkStart w:id="3" w:name="_Hlk148697714"/>
      <w:r w:rsidR="00C370D8" w:rsidRPr="00222663">
        <w:rPr>
          <w:rFonts w:cstheme="minorHAnsi"/>
          <w:sz w:val="24"/>
          <w:szCs w:val="24"/>
        </w:rPr>
        <w:t>—</w:t>
      </w:r>
      <w:bookmarkEnd w:id="3"/>
      <w:r w:rsidR="00C370D8" w:rsidRPr="00222663">
        <w:rPr>
          <w:rFonts w:cstheme="minorHAnsi"/>
          <w:sz w:val="24"/>
          <w:szCs w:val="24"/>
        </w:rPr>
        <w:t xml:space="preserve"> this</w:t>
      </w:r>
      <w:r w:rsidRPr="00222663">
        <w:rPr>
          <w:rFonts w:cstheme="minorHAnsi"/>
          <w:sz w:val="24"/>
          <w:szCs w:val="24"/>
        </w:rPr>
        <w:t xml:space="preserve"> includes involving children in law and policy-making processes</w:t>
      </w:r>
      <w:r w:rsidR="00467464" w:rsidRPr="00222663">
        <w:rPr>
          <w:rFonts w:cstheme="minorHAnsi"/>
          <w:sz w:val="24"/>
          <w:szCs w:val="24"/>
        </w:rPr>
        <w:t xml:space="preserve"> to end violence</w:t>
      </w:r>
      <w:r w:rsidRPr="00222663">
        <w:rPr>
          <w:rFonts w:cstheme="minorHAnsi"/>
          <w:sz w:val="24"/>
          <w:szCs w:val="24"/>
        </w:rPr>
        <w:t>.</w:t>
      </w:r>
      <w:r w:rsidR="00C370D8" w:rsidRPr="00222663">
        <w:rPr>
          <w:rFonts w:cstheme="minorHAnsi"/>
          <w:sz w:val="24"/>
          <w:szCs w:val="24"/>
        </w:rPr>
        <w:t xml:space="preserve"> </w:t>
      </w:r>
    </w:p>
    <w:p w14:paraId="46E5308B" w14:textId="3C9E7622" w:rsidR="00D12AA1" w:rsidRPr="00222663" w:rsidRDefault="003129E5" w:rsidP="00746A43">
      <w:pPr>
        <w:spacing w:line="360" w:lineRule="auto"/>
        <w:rPr>
          <w:rFonts w:cstheme="minorHAnsi"/>
          <w:sz w:val="24"/>
          <w:szCs w:val="24"/>
        </w:rPr>
      </w:pPr>
      <w:r w:rsidRPr="00222663">
        <w:rPr>
          <w:rFonts w:cstheme="minorHAnsi"/>
          <w:sz w:val="24"/>
          <w:szCs w:val="24"/>
        </w:rPr>
        <w:t>This research is concerned with</w:t>
      </w:r>
      <w:r w:rsidR="00D12AA1" w:rsidRPr="00222663">
        <w:rPr>
          <w:rFonts w:cstheme="minorHAnsi"/>
          <w:sz w:val="24"/>
          <w:szCs w:val="24"/>
        </w:rPr>
        <w:t xml:space="preserve"> the advancement of</w:t>
      </w:r>
      <w:r w:rsidRPr="00222663">
        <w:rPr>
          <w:rFonts w:cstheme="minorHAnsi"/>
          <w:sz w:val="24"/>
          <w:szCs w:val="24"/>
        </w:rPr>
        <w:t xml:space="preserve"> </w:t>
      </w:r>
      <w:r w:rsidR="00D12AA1" w:rsidRPr="00222663">
        <w:rPr>
          <w:rFonts w:cstheme="minorHAnsi"/>
          <w:sz w:val="24"/>
          <w:szCs w:val="24"/>
        </w:rPr>
        <w:t>children’s rights to participate in decision-making about matters affecting them, particularly</w:t>
      </w:r>
      <w:r w:rsidR="00D62069" w:rsidRPr="00222663">
        <w:rPr>
          <w:rFonts w:cstheme="minorHAnsi"/>
          <w:sz w:val="24"/>
          <w:szCs w:val="24"/>
        </w:rPr>
        <w:t xml:space="preserve"> </w:t>
      </w:r>
      <w:r w:rsidR="00D12AA1" w:rsidRPr="00222663">
        <w:rPr>
          <w:rFonts w:cstheme="minorHAnsi"/>
          <w:sz w:val="24"/>
          <w:szCs w:val="24"/>
        </w:rPr>
        <w:t>children’s rights to freedom from violence and discrimination. The research sought to capture learning from children’s knowledge and insights about violence and discrimination against girls through the engagement of children and young people in participatory research.</w:t>
      </w:r>
      <w:r w:rsidR="00631943" w:rsidRPr="00222663">
        <w:rPr>
          <w:rFonts w:cstheme="minorHAnsi"/>
          <w:sz w:val="24"/>
          <w:szCs w:val="24"/>
        </w:rPr>
        <w:t xml:space="preserve"> The</w:t>
      </w:r>
      <w:r w:rsidR="00497C2D" w:rsidRPr="00222663">
        <w:rPr>
          <w:rFonts w:cstheme="minorHAnsi"/>
          <w:sz w:val="24"/>
          <w:szCs w:val="24"/>
        </w:rPr>
        <w:t xml:space="preserve"> insights provided by young participants add to current knowledge about violence against children in Nepal and could inform governmental and civil society law and </w:t>
      </w:r>
      <w:proofErr w:type="gramStart"/>
      <w:r w:rsidR="00497C2D" w:rsidRPr="00222663">
        <w:rPr>
          <w:rFonts w:cstheme="minorHAnsi"/>
          <w:sz w:val="24"/>
          <w:szCs w:val="24"/>
        </w:rPr>
        <w:t>policy-making</w:t>
      </w:r>
      <w:proofErr w:type="gramEnd"/>
      <w:r w:rsidR="00497C2D" w:rsidRPr="00222663">
        <w:rPr>
          <w:rFonts w:cstheme="minorHAnsi"/>
          <w:sz w:val="24"/>
          <w:szCs w:val="24"/>
        </w:rPr>
        <w:t xml:space="preserve"> about how to end violence against girls in Nepal. </w:t>
      </w:r>
    </w:p>
    <w:p w14:paraId="0237481B" w14:textId="76B5F402" w:rsidR="00075E6D" w:rsidRPr="00222663" w:rsidRDefault="008B0248" w:rsidP="006B7D91">
      <w:pPr>
        <w:spacing w:line="360" w:lineRule="auto"/>
        <w:rPr>
          <w:rFonts w:cstheme="minorHAnsi"/>
          <w:sz w:val="24"/>
          <w:szCs w:val="24"/>
        </w:rPr>
      </w:pPr>
      <w:r w:rsidRPr="00222663">
        <w:rPr>
          <w:rFonts w:cstheme="minorHAnsi"/>
          <w:sz w:val="24"/>
          <w:szCs w:val="24"/>
        </w:rPr>
        <w:t xml:space="preserve">Children’s status as full citizens </w:t>
      </w:r>
      <w:proofErr w:type="gramStart"/>
      <w:r w:rsidRPr="00222663">
        <w:rPr>
          <w:rFonts w:cstheme="minorHAnsi"/>
          <w:sz w:val="24"/>
          <w:szCs w:val="24"/>
        </w:rPr>
        <w:t>is</w:t>
      </w:r>
      <w:proofErr w:type="gramEnd"/>
      <w:r w:rsidRPr="00222663">
        <w:rPr>
          <w:rFonts w:cstheme="minorHAnsi"/>
          <w:sz w:val="24"/>
          <w:szCs w:val="24"/>
        </w:rPr>
        <w:t xml:space="preserve"> often </w:t>
      </w:r>
      <w:proofErr w:type="gramStart"/>
      <w:r w:rsidRPr="00222663">
        <w:rPr>
          <w:rFonts w:cstheme="minorHAnsi"/>
          <w:sz w:val="24"/>
          <w:szCs w:val="24"/>
        </w:rPr>
        <w:t>contested</w:t>
      </w:r>
      <w:r w:rsidR="00C968D6" w:rsidRPr="00222663">
        <w:rPr>
          <w:rFonts w:cstheme="minorHAnsi"/>
          <w:sz w:val="24"/>
          <w:szCs w:val="24"/>
        </w:rPr>
        <w:t>, and</w:t>
      </w:r>
      <w:proofErr w:type="gramEnd"/>
      <w:r w:rsidR="00C968D6" w:rsidRPr="00222663">
        <w:rPr>
          <w:rFonts w:cstheme="minorHAnsi"/>
          <w:sz w:val="24"/>
          <w:szCs w:val="24"/>
        </w:rPr>
        <w:t xml:space="preserve"> sometimes </w:t>
      </w:r>
      <w:r w:rsidRPr="00222663">
        <w:rPr>
          <w:rFonts w:cstheme="minorHAnsi"/>
          <w:sz w:val="24"/>
          <w:szCs w:val="24"/>
        </w:rPr>
        <w:t>denied</w:t>
      </w:r>
      <w:r w:rsidR="006137AB" w:rsidRPr="00222663">
        <w:rPr>
          <w:rFonts w:cstheme="minorHAnsi"/>
          <w:sz w:val="24"/>
          <w:szCs w:val="24"/>
        </w:rPr>
        <w:t>.</w:t>
      </w:r>
      <w:r w:rsidR="00524A23" w:rsidRPr="00222663">
        <w:rPr>
          <w:rStyle w:val="FootnoteReference"/>
          <w:rFonts w:cstheme="minorHAnsi"/>
          <w:sz w:val="24"/>
          <w:szCs w:val="24"/>
        </w:rPr>
        <w:footnoteReference w:id="14"/>
      </w:r>
      <w:r w:rsidR="00431592" w:rsidRPr="00222663">
        <w:rPr>
          <w:rFonts w:cstheme="minorHAnsi"/>
          <w:sz w:val="24"/>
          <w:szCs w:val="24"/>
        </w:rPr>
        <w:t xml:space="preserve"> </w:t>
      </w:r>
      <w:r w:rsidR="006137AB" w:rsidRPr="00222663">
        <w:rPr>
          <w:rFonts w:cstheme="minorHAnsi"/>
          <w:sz w:val="24"/>
          <w:szCs w:val="24"/>
        </w:rPr>
        <w:t>T</w:t>
      </w:r>
      <w:r w:rsidR="00431592" w:rsidRPr="00222663">
        <w:rPr>
          <w:rFonts w:cstheme="minorHAnsi"/>
          <w:sz w:val="24"/>
          <w:szCs w:val="24"/>
        </w:rPr>
        <w:t xml:space="preserve">his </w:t>
      </w:r>
      <w:r w:rsidR="00C370D8" w:rsidRPr="00222663">
        <w:rPr>
          <w:rFonts w:cstheme="minorHAnsi"/>
          <w:sz w:val="24"/>
          <w:szCs w:val="24"/>
        </w:rPr>
        <w:t>study</w:t>
      </w:r>
      <w:r w:rsidR="00431592" w:rsidRPr="00222663">
        <w:rPr>
          <w:rFonts w:cstheme="minorHAnsi"/>
          <w:sz w:val="24"/>
          <w:szCs w:val="24"/>
        </w:rPr>
        <w:t xml:space="preserve"> contributes to the body of scholarship that explores ways to advance children’s citizenship rights</w:t>
      </w:r>
      <w:r w:rsidR="00C152D4" w:rsidRPr="00222663">
        <w:rPr>
          <w:rFonts w:cstheme="minorHAnsi"/>
          <w:sz w:val="24"/>
          <w:szCs w:val="24"/>
        </w:rPr>
        <w:t xml:space="preserve"> through </w:t>
      </w:r>
      <w:r w:rsidR="00725243" w:rsidRPr="00222663">
        <w:rPr>
          <w:rFonts w:cstheme="minorHAnsi"/>
          <w:sz w:val="24"/>
          <w:szCs w:val="24"/>
        </w:rPr>
        <w:t xml:space="preserve">participatory </w:t>
      </w:r>
      <w:r w:rsidR="00C152D4" w:rsidRPr="00222663">
        <w:rPr>
          <w:rFonts w:cstheme="minorHAnsi"/>
          <w:sz w:val="24"/>
          <w:szCs w:val="24"/>
        </w:rPr>
        <w:t>processes.</w:t>
      </w:r>
      <w:r w:rsidR="00431592" w:rsidRPr="00222663">
        <w:rPr>
          <w:rFonts w:cstheme="minorHAnsi"/>
          <w:sz w:val="24"/>
          <w:szCs w:val="24"/>
        </w:rPr>
        <w:t xml:space="preserve"> </w:t>
      </w:r>
      <w:r w:rsidR="00C152D4" w:rsidRPr="00222663">
        <w:rPr>
          <w:rFonts w:cstheme="minorHAnsi"/>
          <w:sz w:val="24"/>
          <w:szCs w:val="24"/>
        </w:rPr>
        <w:t>S</w:t>
      </w:r>
      <w:r w:rsidR="008D3410" w:rsidRPr="00222663">
        <w:rPr>
          <w:rFonts w:cstheme="minorHAnsi"/>
          <w:sz w:val="24"/>
          <w:szCs w:val="24"/>
        </w:rPr>
        <w:t xml:space="preserve">ince the </w:t>
      </w:r>
      <w:r w:rsidR="003E5A4E" w:rsidRPr="004A4B16">
        <w:rPr>
          <w:rFonts w:cstheme="minorHAnsi"/>
          <w:sz w:val="24"/>
          <w:szCs w:val="24"/>
        </w:rPr>
        <w:t>CRC</w:t>
      </w:r>
      <w:r w:rsidR="008D3410" w:rsidRPr="00D67AFA">
        <w:rPr>
          <w:rFonts w:cstheme="minorHAnsi"/>
          <w:sz w:val="24"/>
          <w:szCs w:val="24"/>
        </w:rPr>
        <w:t xml:space="preserve"> </w:t>
      </w:r>
      <w:r w:rsidR="008155BE" w:rsidRPr="00222663">
        <w:rPr>
          <w:rFonts w:cstheme="minorHAnsi"/>
          <w:sz w:val="24"/>
          <w:szCs w:val="24"/>
        </w:rPr>
        <w:t>was adopted 35</w:t>
      </w:r>
      <w:r w:rsidR="008D3410" w:rsidRPr="00222663">
        <w:rPr>
          <w:rFonts w:cstheme="minorHAnsi"/>
          <w:sz w:val="24"/>
          <w:szCs w:val="24"/>
        </w:rPr>
        <w:t xml:space="preserve"> years ago</w:t>
      </w:r>
      <w:r w:rsidR="00EF4C11" w:rsidRPr="00222663">
        <w:rPr>
          <w:rFonts w:cstheme="minorHAnsi"/>
          <w:sz w:val="24"/>
          <w:szCs w:val="24"/>
        </w:rPr>
        <w:t xml:space="preserve">, </w:t>
      </w:r>
      <w:r w:rsidR="00110567" w:rsidRPr="00222663">
        <w:rPr>
          <w:rFonts w:cstheme="minorHAnsi"/>
          <w:sz w:val="24"/>
          <w:szCs w:val="24"/>
        </w:rPr>
        <w:t>now with</w:t>
      </w:r>
      <w:r w:rsidR="00EF4C11" w:rsidRPr="00222663">
        <w:rPr>
          <w:rFonts w:cstheme="minorHAnsi"/>
          <w:sz w:val="24"/>
          <w:szCs w:val="24"/>
        </w:rPr>
        <w:t xml:space="preserve"> near</w:t>
      </w:r>
      <w:r w:rsidR="003B5EFA" w:rsidRPr="00222663">
        <w:rPr>
          <w:rFonts w:cstheme="minorHAnsi"/>
          <w:sz w:val="24"/>
          <w:szCs w:val="24"/>
        </w:rPr>
        <w:t>-</w:t>
      </w:r>
      <w:r w:rsidR="00EF4C11" w:rsidRPr="00222663">
        <w:rPr>
          <w:rFonts w:cstheme="minorHAnsi"/>
          <w:sz w:val="24"/>
          <w:szCs w:val="24"/>
        </w:rPr>
        <w:t>universal ratification,</w:t>
      </w:r>
      <w:r w:rsidR="008D3410" w:rsidRPr="00222663">
        <w:rPr>
          <w:rFonts w:cstheme="minorHAnsi"/>
          <w:sz w:val="24"/>
          <w:szCs w:val="24"/>
        </w:rPr>
        <w:t xml:space="preserve"> there has been a significant </w:t>
      </w:r>
      <w:r w:rsidR="006137AB" w:rsidRPr="00222663">
        <w:rPr>
          <w:rFonts w:cstheme="minorHAnsi"/>
          <w:sz w:val="24"/>
          <w:szCs w:val="24"/>
        </w:rPr>
        <w:t>i</w:t>
      </w:r>
      <w:r w:rsidR="00C152D4" w:rsidRPr="00222663">
        <w:rPr>
          <w:rFonts w:cstheme="minorHAnsi"/>
          <w:sz w:val="24"/>
          <w:szCs w:val="24"/>
        </w:rPr>
        <w:t>ncreas</w:t>
      </w:r>
      <w:r w:rsidR="006137AB" w:rsidRPr="00222663">
        <w:rPr>
          <w:rFonts w:cstheme="minorHAnsi"/>
          <w:sz w:val="24"/>
          <w:szCs w:val="24"/>
        </w:rPr>
        <w:t>e in</w:t>
      </w:r>
      <w:r w:rsidR="00C152D4" w:rsidRPr="00222663">
        <w:rPr>
          <w:rFonts w:cstheme="minorHAnsi"/>
          <w:sz w:val="24"/>
          <w:szCs w:val="24"/>
        </w:rPr>
        <w:t xml:space="preserve"> global recognition of children’s rights</w:t>
      </w:r>
      <w:r w:rsidR="006137AB" w:rsidRPr="00222663">
        <w:rPr>
          <w:rFonts w:cstheme="minorHAnsi"/>
          <w:sz w:val="24"/>
          <w:szCs w:val="24"/>
        </w:rPr>
        <w:t xml:space="preserve">, including a </w:t>
      </w:r>
      <w:r w:rsidR="008D3410" w:rsidRPr="00222663">
        <w:rPr>
          <w:rFonts w:cstheme="minorHAnsi"/>
          <w:sz w:val="24"/>
          <w:szCs w:val="24"/>
        </w:rPr>
        <w:t>growth in understanding about</w:t>
      </w:r>
      <w:r w:rsidR="006137AB" w:rsidRPr="00222663">
        <w:rPr>
          <w:rFonts w:cstheme="minorHAnsi"/>
          <w:sz w:val="24"/>
          <w:szCs w:val="24"/>
        </w:rPr>
        <w:t>,</w:t>
      </w:r>
      <w:r w:rsidR="004E4427" w:rsidRPr="00222663">
        <w:rPr>
          <w:rFonts w:cstheme="minorHAnsi"/>
          <w:sz w:val="24"/>
          <w:szCs w:val="24"/>
        </w:rPr>
        <w:t xml:space="preserve"> and </w:t>
      </w:r>
      <w:r w:rsidR="00CB044C" w:rsidRPr="00222663">
        <w:rPr>
          <w:rFonts w:cstheme="minorHAnsi"/>
          <w:sz w:val="24"/>
          <w:szCs w:val="24"/>
        </w:rPr>
        <w:t>increased efforts</w:t>
      </w:r>
      <w:r w:rsidR="004E4427" w:rsidRPr="00222663">
        <w:rPr>
          <w:rFonts w:cstheme="minorHAnsi"/>
          <w:sz w:val="24"/>
          <w:szCs w:val="24"/>
        </w:rPr>
        <w:t xml:space="preserve"> to fulfil</w:t>
      </w:r>
      <w:r w:rsidR="006137AB" w:rsidRPr="00222663">
        <w:rPr>
          <w:rFonts w:cstheme="minorHAnsi"/>
          <w:sz w:val="24"/>
          <w:szCs w:val="24"/>
        </w:rPr>
        <w:t>,</w:t>
      </w:r>
      <w:r w:rsidR="008D3410" w:rsidRPr="00222663">
        <w:rPr>
          <w:rFonts w:cstheme="minorHAnsi"/>
          <w:sz w:val="24"/>
          <w:szCs w:val="24"/>
        </w:rPr>
        <w:t xml:space="preserve"> the participatory rights it </w:t>
      </w:r>
      <w:r w:rsidR="006D42D2" w:rsidRPr="00222663">
        <w:rPr>
          <w:rFonts w:cstheme="minorHAnsi"/>
          <w:sz w:val="24"/>
          <w:szCs w:val="24"/>
        </w:rPr>
        <w:t>contains</w:t>
      </w:r>
      <w:r w:rsidR="008D3410" w:rsidRPr="00222663">
        <w:rPr>
          <w:rFonts w:cstheme="minorHAnsi"/>
          <w:sz w:val="24"/>
          <w:szCs w:val="24"/>
        </w:rPr>
        <w:t xml:space="preserve">. </w:t>
      </w:r>
      <w:r w:rsidR="006D42D2" w:rsidRPr="00222663">
        <w:rPr>
          <w:rFonts w:cstheme="minorHAnsi"/>
          <w:sz w:val="24"/>
          <w:szCs w:val="24"/>
        </w:rPr>
        <w:t xml:space="preserve">This has contributed to </w:t>
      </w:r>
      <w:r w:rsidR="00EA3591" w:rsidRPr="00222663">
        <w:rPr>
          <w:rFonts w:cstheme="minorHAnsi"/>
          <w:sz w:val="24"/>
          <w:szCs w:val="24"/>
        </w:rPr>
        <w:t xml:space="preserve">the development of children’s citizenship rights as </w:t>
      </w:r>
      <w:r w:rsidR="00C968D6" w:rsidRPr="00222663">
        <w:rPr>
          <w:rFonts w:cstheme="minorHAnsi"/>
          <w:sz w:val="24"/>
          <w:szCs w:val="24"/>
        </w:rPr>
        <w:t xml:space="preserve">children’s participation is considered </w:t>
      </w:r>
      <w:r w:rsidR="00C152D4" w:rsidRPr="00222663">
        <w:rPr>
          <w:rFonts w:cstheme="minorHAnsi"/>
          <w:sz w:val="24"/>
          <w:szCs w:val="24"/>
        </w:rPr>
        <w:t>‘</w:t>
      </w:r>
      <w:r w:rsidR="00C968D6" w:rsidRPr="00222663">
        <w:rPr>
          <w:rFonts w:cstheme="minorHAnsi"/>
          <w:sz w:val="24"/>
          <w:szCs w:val="24"/>
        </w:rPr>
        <w:t xml:space="preserve">part of democratic development where individuals and groups who have been (and in many respects still are) marginalised </w:t>
      </w:r>
      <w:proofErr w:type="gramStart"/>
      <w:r w:rsidR="00C968D6" w:rsidRPr="00222663">
        <w:rPr>
          <w:rFonts w:cstheme="minorHAnsi"/>
          <w:sz w:val="24"/>
          <w:szCs w:val="24"/>
        </w:rPr>
        <w:t>on the basis of</w:t>
      </w:r>
      <w:proofErr w:type="gramEnd"/>
      <w:r w:rsidR="00C968D6" w:rsidRPr="00222663">
        <w:rPr>
          <w:rFonts w:cstheme="minorHAnsi"/>
          <w:sz w:val="24"/>
          <w:szCs w:val="24"/>
        </w:rPr>
        <w:t xml:space="preserve"> class, gender, ethnicity, race and age struggle for recognition of their rights to participate as full citizens</w:t>
      </w:r>
      <w:r w:rsidR="0005568B">
        <w:rPr>
          <w:rFonts w:cstheme="minorHAnsi"/>
          <w:sz w:val="24"/>
          <w:szCs w:val="24"/>
        </w:rPr>
        <w:t>’</w:t>
      </w:r>
      <w:r w:rsidR="00C152D4" w:rsidRPr="00222663">
        <w:rPr>
          <w:rFonts w:cstheme="minorHAnsi"/>
          <w:sz w:val="24"/>
          <w:szCs w:val="24"/>
        </w:rPr>
        <w:t>.</w:t>
      </w:r>
      <w:r w:rsidR="00C968D6" w:rsidRPr="00222663">
        <w:rPr>
          <w:rStyle w:val="FootnoteReference"/>
          <w:rFonts w:cstheme="minorHAnsi"/>
          <w:sz w:val="24"/>
          <w:szCs w:val="24"/>
        </w:rPr>
        <w:footnoteReference w:id="15"/>
      </w:r>
      <w:r w:rsidR="004D674E" w:rsidRPr="00222663">
        <w:rPr>
          <w:rFonts w:cstheme="minorHAnsi"/>
          <w:sz w:val="24"/>
          <w:szCs w:val="24"/>
        </w:rPr>
        <w:t xml:space="preserve"> </w:t>
      </w:r>
    </w:p>
    <w:p w14:paraId="4B02109D" w14:textId="7152960D" w:rsidR="00C370D8" w:rsidRPr="00222663" w:rsidRDefault="00075E6D" w:rsidP="006B7D91">
      <w:pPr>
        <w:spacing w:line="360" w:lineRule="auto"/>
        <w:rPr>
          <w:rFonts w:cstheme="minorHAnsi"/>
          <w:sz w:val="24"/>
          <w:szCs w:val="24"/>
        </w:rPr>
      </w:pPr>
      <w:r w:rsidRPr="00222663">
        <w:rPr>
          <w:rFonts w:cstheme="minorHAnsi"/>
          <w:sz w:val="24"/>
          <w:szCs w:val="24"/>
        </w:rPr>
        <w:lastRenderedPageBreak/>
        <w:t>The</w:t>
      </w:r>
      <w:r w:rsidR="00A70A48" w:rsidRPr="00222663">
        <w:rPr>
          <w:rFonts w:cstheme="minorHAnsi"/>
          <w:sz w:val="24"/>
          <w:szCs w:val="24"/>
        </w:rPr>
        <w:t xml:space="preserve"> United Nations</w:t>
      </w:r>
      <w:r w:rsidRPr="00222663">
        <w:rPr>
          <w:rFonts w:cstheme="minorHAnsi"/>
          <w:sz w:val="24"/>
          <w:szCs w:val="24"/>
        </w:rPr>
        <w:t xml:space="preserve"> Committee on the Rights of the Child </w:t>
      </w:r>
      <w:r w:rsidR="00065785" w:rsidRPr="00222663">
        <w:rPr>
          <w:rFonts w:cstheme="minorHAnsi"/>
          <w:sz w:val="24"/>
          <w:szCs w:val="24"/>
        </w:rPr>
        <w:t xml:space="preserve">(UNCRC) </w:t>
      </w:r>
      <w:r w:rsidR="00A70A48" w:rsidRPr="00222663">
        <w:rPr>
          <w:rFonts w:cstheme="minorHAnsi"/>
          <w:sz w:val="24"/>
          <w:szCs w:val="24"/>
        </w:rPr>
        <w:t>define</w:t>
      </w:r>
      <w:r w:rsidR="00FB21AC" w:rsidRPr="00222663">
        <w:rPr>
          <w:rFonts w:cstheme="minorHAnsi"/>
          <w:sz w:val="24"/>
          <w:szCs w:val="24"/>
        </w:rPr>
        <w:t>s</w:t>
      </w:r>
      <w:r w:rsidR="00A70A48" w:rsidRPr="00222663">
        <w:rPr>
          <w:rFonts w:cstheme="minorHAnsi"/>
          <w:sz w:val="24"/>
          <w:szCs w:val="24"/>
        </w:rPr>
        <w:t xml:space="preserve"> child participation as</w:t>
      </w:r>
      <w:r w:rsidR="00135495" w:rsidRPr="00222663">
        <w:rPr>
          <w:rFonts w:cstheme="minorHAnsi"/>
          <w:sz w:val="24"/>
          <w:szCs w:val="24"/>
        </w:rPr>
        <w:t>:</w:t>
      </w:r>
      <w:r w:rsidR="00C370D8" w:rsidRPr="00222663">
        <w:rPr>
          <w:rFonts w:cstheme="minorHAnsi"/>
          <w:sz w:val="24"/>
          <w:szCs w:val="24"/>
        </w:rPr>
        <w:t xml:space="preserve"> </w:t>
      </w:r>
    </w:p>
    <w:p w14:paraId="47F4E335" w14:textId="398A3056" w:rsidR="00C370D8" w:rsidRPr="00222663" w:rsidRDefault="00A70A48" w:rsidP="006B7D91">
      <w:pPr>
        <w:spacing w:line="360" w:lineRule="auto"/>
        <w:ind w:left="720"/>
        <w:rPr>
          <w:rFonts w:cstheme="minorHAnsi"/>
          <w:sz w:val="24"/>
          <w:szCs w:val="24"/>
        </w:rPr>
      </w:pPr>
      <w:r w:rsidRPr="00222663">
        <w:rPr>
          <w:rFonts w:cstheme="minorHAnsi"/>
          <w:sz w:val="24"/>
          <w:szCs w:val="24"/>
        </w:rPr>
        <w:t xml:space="preserve">ongoing processes, which include information-sharing and dialogue between children and adults based on mutual respect, and in which children can learn how their views and those of adults are </w:t>
      </w:r>
      <w:proofErr w:type="gramStart"/>
      <w:r w:rsidRPr="00222663">
        <w:rPr>
          <w:rFonts w:cstheme="minorHAnsi"/>
          <w:sz w:val="24"/>
          <w:szCs w:val="24"/>
        </w:rPr>
        <w:t>taken into account</w:t>
      </w:r>
      <w:proofErr w:type="gramEnd"/>
      <w:r w:rsidRPr="00222663">
        <w:rPr>
          <w:rFonts w:cstheme="minorHAnsi"/>
          <w:sz w:val="24"/>
          <w:szCs w:val="24"/>
        </w:rPr>
        <w:t xml:space="preserve"> and shape the outcome of such processes.</w:t>
      </w:r>
      <w:r w:rsidR="00075E6D" w:rsidRPr="00222663">
        <w:rPr>
          <w:rStyle w:val="FootnoteReference"/>
          <w:rFonts w:cstheme="minorHAnsi"/>
          <w:sz w:val="24"/>
          <w:szCs w:val="24"/>
        </w:rPr>
        <w:footnoteReference w:id="16"/>
      </w:r>
      <w:r w:rsidRPr="00222663">
        <w:rPr>
          <w:rFonts w:cstheme="minorHAnsi"/>
          <w:sz w:val="24"/>
          <w:szCs w:val="24"/>
        </w:rPr>
        <w:t xml:space="preserve"> </w:t>
      </w:r>
    </w:p>
    <w:p w14:paraId="1B6535AC" w14:textId="0539B391" w:rsidR="00356313" w:rsidRPr="00222663" w:rsidRDefault="00356313" w:rsidP="00746A43">
      <w:pPr>
        <w:spacing w:line="360" w:lineRule="auto"/>
        <w:rPr>
          <w:rFonts w:cstheme="minorHAnsi"/>
          <w:sz w:val="24"/>
          <w:szCs w:val="24"/>
        </w:rPr>
      </w:pPr>
      <w:r w:rsidRPr="00222663">
        <w:rPr>
          <w:rFonts w:cstheme="minorHAnsi"/>
          <w:sz w:val="24"/>
          <w:szCs w:val="24"/>
        </w:rPr>
        <w:t xml:space="preserve">We agree with </w:t>
      </w:r>
      <w:proofErr w:type="spellStart"/>
      <w:r w:rsidRPr="00222663">
        <w:rPr>
          <w:rFonts w:cstheme="minorHAnsi"/>
          <w:sz w:val="24"/>
          <w:szCs w:val="24"/>
        </w:rPr>
        <w:t>Bečević</w:t>
      </w:r>
      <w:proofErr w:type="spellEnd"/>
      <w:r w:rsidRPr="00222663">
        <w:rPr>
          <w:rFonts w:cstheme="minorHAnsi"/>
          <w:sz w:val="24"/>
          <w:szCs w:val="24"/>
        </w:rPr>
        <w:t xml:space="preserve"> and Dahlstedt</w:t>
      </w:r>
      <w:r w:rsidR="00FB21AC" w:rsidRPr="00222663">
        <w:rPr>
          <w:rFonts w:cstheme="minorHAnsi"/>
          <w:sz w:val="24"/>
          <w:szCs w:val="24"/>
        </w:rPr>
        <w:t>,</w:t>
      </w:r>
      <w:r w:rsidRPr="00222663">
        <w:rPr>
          <w:rFonts w:cstheme="minorHAnsi"/>
          <w:sz w:val="24"/>
          <w:szCs w:val="24"/>
        </w:rPr>
        <w:t xml:space="preserve"> who assert that children’s participation must be considered a ‘citizenship-based’ right</w:t>
      </w:r>
      <w:r w:rsidR="00135495" w:rsidRPr="00222663">
        <w:rPr>
          <w:rFonts w:cstheme="minorHAnsi"/>
          <w:sz w:val="24"/>
          <w:szCs w:val="24"/>
        </w:rPr>
        <w:t>.</w:t>
      </w:r>
      <w:r w:rsidRPr="00222663">
        <w:rPr>
          <w:rStyle w:val="FootnoteReference"/>
          <w:rFonts w:cstheme="minorHAnsi"/>
          <w:sz w:val="24"/>
          <w:szCs w:val="24"/>
        </w:rPr>
        <w:footnoteReference w:id="17"/>
      </w:r>
      <w:r w:rsidR="00024596" w:rsidRPr="00222663">
        <w:rPr>
          <w:rFonts w:cstheme="minorHAnsi"/>
          <w:sz w:val="24"/>
          <w:szCs w:val="24"/>
        </w:rPr>
        <w:t xml:space="preserve"> </w:t>
      </w:r>
      <w:r w:rsidR="00135495" w:rsidRPr="00222663">
        <w:rPr>
          <w:rFonts w:cstheme="minorHAnsi"/>
          <w:sz w:val="24"/>
          <w:szCs w:val="24"/>
        </w:rPr>
        <w:t>T</w:t>
      </w:r>
      <w:r w:rsidR="00C370D8" w:rsidRPr="00222663">
        <w:rPr>
          <w:rFonts w:cstheme="minorHAnsi"/>
          <w:sz w:val="24"/>
          <w:szCs w:val="24"/>
        </w:rPr>
        <w:t>hus,</w:t>
      </w:r>
      <w:r w:rsidR="00024596" w:rsidRPr="00222663">
        <w:rPr>
          <w:rFonts w:cstheme="minorHAnsi"/>
          <w:sz w:val="24"/>
          <w:szCs w:val="24"/>
        </w:rPr>
        <w:t xml:space="preserve"> t</w:t>
      </w:r>
      <w:r w:rsidRPr="00222663">
        <w:rPr>
          <w:rFonts w:cstheme="minorHAnsi"/>
          <w:sz w:val="24"/>
          <w:szCs w:val="24"/>
        </w:rPr>
        <w:t>his research is based on concepts of citizenship that extend beyond children’s legal status such that children’s citizenship is ‘conceptualised as rights, political engagement and identity’.</w:t>
      </w:r>
      <w:r w:rsidRPr="00222663">
        <w:rPr>
          <w:rStyle w:val="FootnoteReference"/>
          <w:rFonts w:cstheme="minorHAnsi"/>
          <w:sz w:val="24"/>
          <w:szCs w:val="24"/>
        </w:rPr>
        <w:footnoteReference w:id="18"/>
      </w:r>
      <w:r w:rsidRPr="00222663">
        <w:rPr>
          <w:rFonts w:cstheme="minorHAnsi"/>
          <w:sz w:val="24"/>
          <w:szCs w:val="24"/>
        </w:rPr>
        <w:t xml:space="preserve"> </w:t>
      </w:r>
      <w:r w:rsidR="000D0B73" w:rsidRPr="00222663">
        <w:rPr>
          <w:rFonts w:cstheme="minorHAnsi"/>
          <w:sz w:val="24"/>
          <w:szCs w:val="24"/>
        </w:rPr>
        <w:t xml:space="preserve">We acknowledge the many different conceptualisations and interpretations of children’s </w:t>
      </w:r>
      <w:r w:rsidR="00C77F07" w:rsidRPr="00222663">
        <w:rPr>
          <w:rFonts w:cstheme="minorHAnsi"/>
          <w:sz w:val="24"/>
          <w:szCs w:val="24"/>
        </w:rPr>
        <w:t>participat</w:t>
      </w:r>
      <w:r w:rsidR="00C77F07">
        <w:rPr>
          <w:rFonts w:cstheme="minorHAnsi"/>
          <w:sz w:val="24"/>
          <w:szCs w:val="24"/>
        </w:rPr>
        <w:t>ion</w:t>
      </w:r>
      <w:r w:rsidR="00C77F07" w:rsidRPr="00222663">
        <w:rPr>
          <w:rFonts w:cstheme="minorHAnsi"/>
          <w:sz w:val="24"/>
          <w:szCs w:val="24"/>
        </w:rPr>
        <w:t xml:space="preserve"> </w:t>
      </w:r>
      <w:r w:rsidR="000D0B73" w:rsidRPr="00222663">
        <w:rPr>
          <w:rFonts w:cstheme="minorHAnsi"/>
          <w:sz w:val="24"/>
          <w:szCs w:val="24"/>
        </w:rPr>
        <w:t>rights globally</w:t>
      </w:r>
      <w:r w:rsidR="00C77F07">
        <w:rPr>
          <w:rFonts w:cstheme="minorHAnsi"/>
          <w:sz w:val="24"/>
          <w:szCs w:val="24"/>
        </w:rPr>
        <w:t>,</w:t>
      </w:r>
      <w:r w:rsidR="000D0B73" w:rsidRPr="00222663">
        <w:rPr>
          <w:rStyle w:val="FootnoteReference"/>
          <w:rFonts w:cstheme="minorHAnsi"/>
          <w:sz w:val="24"/>
          <w:szCs w:val="24"/>
        </w:rPr>
        <w:footnoteReference w:id="19"/>
      </w:r>
      <w:r w:rsidR="000D0B73" w:rsidRPr="00222663">
        <w:rPr>
          <w:rFonts w:cstheme="minorHAnsi"/>
          <w:sz w:val="24"/>
          <w:szCs w:val="24"/>
        </w:rPr>
        <w:t xml:space="preserve"> and concur with Theis that: </w:t>
      </w:r>
      <w:r w:rsidR="00DF0F75" w:rsidRPr="00222663">
        <w:rPr>
          <w:rFonts w:cstheme="minorHAnsi"/>
          <w:sz w:val="24"/>
          <w:szCs w:val="24"/>
        </w:rPr>
        <w:t>‘</w:t>
      </w:r>
      <w:r w:rsidR="000D0B73" w:rsidRPr="00222663">
        <w:rPr>
          <w:rFonts w:cstheme="minorHAnsi"/>
          <w:sz w:val="24"/>
          <w:szCs w:val="24"/>
        </w:rPr>
        <w:t>Children</w:t>
      </w:r>
      <w:r w:rsidR="00423043" w:rsidRPr="00222663">
        <w:rPr>
          <w:rFonts w:cstheme="minorHAnsi"/>
          <w:sz w:val="24"/>
          <w:szCs w:val="24"/>
        </w:rPr>
        <w:t>’</w:t>
      </w:r>
      <w:r w:rsidR="000D0B73" w:rsidRPr="00222663">
        <w:rPr>
          <w:rFonts w:cstheme="minorHAnsi"/>
          <w:sz w:val="24"/>
          <w:szCs w:val="24"/>
        </w:rPr>
        <w:t>s participation has to be a transformative process that negotiates and changes the relationships between children and adults in their social, cultural, political and economic dimensions.’</w:t>
      </w:r>
      <w:r w:rsidR="000D0B73" w:rsidRPr="00222663">
        <w:rPr>
          <w:rStyle w:val="FootnoteReference"/>
          <w:rFonts w:cstheme="minorHAnsi"/>
          <w:sz w:val="24"/>
          <w:szCs w:val="24"/>
        </w:rPr>
        <w:footnoteReference w:id="20"/>
      </w:r>
      <w:r w:rsidR="00423043" w:rsidRPr="00222663">
        <w:rPr>
          <w:rFonts w:cstheme="minorHAnsi"/>
          <w:sz w:val="24"/>
          <w:szCs w:val="24"/>
        </w:rPr>
        <w:t xml:space="preserve"> We </w:t>
      </w:r>
      <w:r w:rsidR="00C77F07">
        <w:rPr>
          <w:rFonts w:cstheme="minorHAnsi"/>
          <w:sz w:val="24"/>
          <w:szCs w:val="24"/>
        </w:rPr>
        <w:t xml:space="preserve">also </w:t>
      </w:r>
      <w:r w:rsidR="00423043" w:rsidRPr="00222663">
        <w:rPr>
          <w:rFonts w:cstheme="minorHAnsi"/>
          <w:sz w:val="24"/>
          <w:szCs w:val="24"/>
        </w:rPr>
        <w:t xml:space="preserve">acknowledge ‘the varied forms of children’s participation that have existed </w:t>
      </w:r>
      <w:r w:rsidR="00FA2E2D" w:rsidRPr="00222663">
        <w:rPr>
          <w:rFonts w:cstheme="minorHAnsi"/>
          <w:sz w:val="24"/>
          <w:szCs w:val="24"/>
        </w:rPr>
        <w:t xml:space="preserve">[in Nepal] </w:t>
      </w:r>
      <w:r w:rsidR="00423043" w:rsidRPr="00222663">
        <w:rPr>
          <w:rFonts w:cstheme="minorHAnsi"/>
          <w:sz w:val="24"/>
          <w:szCs w:val="24"/>
        </w:rPr>
        <w:t>both before and since the CRC and that are alive’ today</w:t>
      </w:r>
      <w:r w:rsidR="00FA2E2D" w:rsidRPr="00222663">
        <w:rPr>
          <w:rFonts w:cstheme="minorHAnsi"/>
          <w:sz w:val="24"/>
          <w:szCs w:val="24"/>
        </w:rPr>
        <w:t>.</w:t>
      </w:r>
      <w:r w:rsidR="00423043" w:rsidRPr="00222663">
        <w:rPr>
          <w:rStyle w:val="FootnoteReference"/>
          <w:rFonts w:cstheme="minorHAnsi"/>
          <w:sz w:val="24"/>
          <w:szCs w:val="24"/>
        </w:rPr>
        <w:footnoteReference w:id="21"/>
      </w:r>
      <w:r w:rsidR="00423043" w:rsidRPr="00222663">
        <w:rPr>
          <w:rFonts w:cstheme="minorHAnsi"/>
          <w:sz w:val="24"/>
          <w:szCs w:val="24"/>
        </w:rPr>
        <w:t xml:space="preserve"> </w:t>
      </w:r>
      <w:r w:rsidR="00C77F07">
        <w:rPr>
          <w:rFonts w:cstheme="minorHAnsi"/>
          <w:sz w:val="24"/>
          <w:szCs w:val="24"/>
        </w:rPr>
        <w:t>Additionally, w</w:t>
      </w:r>
      <w:r w:rsidR="009525C0" w:rsidRPr="00222663">
        <w:rPr>
          <w:rFonts w:cstheme="minorHAnsi"/>
          <w:sz w:val="24"/>
          <w:szCs w:val="24"/>
        </w:rPr>
        <w:t xml:space="preserve">e </w:t>
      </w:r>
      <w:r w:rsidR="009C5CEB" w:rsidRPr="00222663">
        <w:rPr>
          <w:rFonts w:cstheme="minorHAnsi"/>
          <w:sz w:val="24"/>
          <w:szCs w:val="24"/>
        </w:rPr>
        <w:t>recognise</w:t>
      </w:r>
      <w:r w:rsidR="009525C0" w:rsidRPr="00222663">
        <w:rPr>
          <w:rFonts w:cstheme="minorHAnsi"/>
          <w:sz w:val="24"/>
          <w:szCs w:val="24"/>
        </w:rPr>
        <w:t xml:space="preserve"> the many barriers to the practical implementation of children’s participatory rights, particularly the impact of a ‘top-down approach to law and policy-making </w:t>
      </w:r>
      <w:r w:rsidR="009525C0" w:rsidRPr="00222663">
        <w:rPr>
          <w:rFonts w:cstheme="minorHAnsi"/>
          <w:i/>
          <w:iCs/>
          <w:sz w:val="24"/>
          <w:szCs w:val="24"/>
        </w:rPr>
        <w:t>about</w:t>
      </w:r>
      <w:r w:rsidR="009525C0" w:rsidRPr="00222663">
        <w:rPr>
          <w:rFonts w:cstheme="minorHAnsi"/>
          <w:sz w:val="24"/>
          <w:szCs w:val="24"/>
        </w:rPr>
        <w:t xml:space="preserve"> rather than </w:t>
      </w:r>
      <w:r w:rsidR="009525C0" w:rsidRPr="00222663">
        <w:rPr>
          <w:rFonts w:cstheme="minorHAnsi"/>
          <w:i/>
          <w:iCs/>
          <w:sz w:val="24"/>
          <w:szCs w:val="24"/>
        </w:rPr>
        <w:t>with</w:t>
      </w:r>
      <w:r w:rsidR="009525C0" w:rsidRPr="00222663">
        <w:rPr>
          <w:rFonts w:cstheme="minorHAnsi"/>
          <w:sz w:val="24"/>
          <w:szCs w:val="24"/>
        </w:rPr>
        <w:t>’ children and young people.</w:t>
      </w:r>
      <w:r w:rsidR="009525C0" w:rsidRPr="00222663">
        <w:rPr>
          <w:rStyle w:val="FootnoteReference"/>
          <w:rFonts w:cstheme="minorHAnsi"/>
          <w:sz w:val="24"/>
          <w:szCs w:val="24"/>
        </w:rPr>
        <w:footnoteReference w:id="22"/>
      </w:r>
      <w:r w:rsidR="00B6454A">
        <w:rPr>
          <w:rFonts w:cstheme="minorHAnsi"/>
          <w:sz w:val="24"/>
          <w:szCs w:val="24"/>
        </w:rPr>
        <w:t xml:space="preserve"> </w:t>
      </w:r>
    </w:p>
    <w:p w14:paraId="2F22613F" w14:textId="43915F7B" w:rsidR="00B4520F" w:rsidRPr="00222663" w:rsidRDefault="00356313" w:rsidP="00746A43">
      <w:pPr>
        <w:spacing w:line="360" w:lineRule="auto"/>
        <w:rPr>
          <w:rFonts w:cstheme="minorHAnsi"/>
          <w:sz w:val="24"/>
          <w:szCs w:val="24"/>
        </w:rPr>
      </w:pPr>
      <w:r w:rsidRPr="00222663">
        <w:rPr>
          <w:rFonts w:cstheme="minorHAnsi"/>
          <w:sz w:val="24"/>
          <w:szCs w:val="24"/>
        </w:rPr>
        <w:t>We present</w:t>
      </w:r>
      <w:r w:rsidR="00B4520F" w:rsidRPr="00222663">
        <w:rPr>
          <w:rFonts w:cstheme="minorHAnsi"/>
          <w:sz w:val="24"/>
          <w:szCs w:val="24"/>
        </w:rPr>
        <w:t xml:space="preserve"> findings</w:t>
      </w:r>
      <w:r w:rsidR="00294859" w:rsidRPr="00222663">
        <w:rPr>
          <w:rFonts w:cstheme="minorHAnsi"/>
          <w:sz w:val="24"/>
          <w:szCs w:val="24"/>
        </w:rPr>
        <w:t xml:space="preserve"> from </w:t>
      </w:r>
      <w:r w:rsidR="003A3B47" w:rsidRPr="00222663">
        <w:rPr>
          <w:rFonts w:cstheme="minorHAnsi"/>
          <w:sz w:val="24"/>
          <w:szCs w:val="24"/>
        </w:rPr>
        <w:t>field research</w:t>
      </w:r>
      <w:r w:rsidR="00294859" w:rsidRPr="00222663">
        <w:rPr>
          <w:rFonts w:cstheme="minorHAnsi"/>
          <w:sz w:val="24"/>
          <w:szCs w:val="24"/>
        </w:rPr>
        <w:t xml:space="preserve"> undertaken with a group of children and young people </w:t>
      </w:r>
      <w:r w:rsidR="00B4520F" w:rsidRPr="00222663">
        <w:rPr>
          <w:rFonts w:cstheme="minorHAnsi"/>
          <w:sz w:val="24"/>
          <w:szCs w:val="24"/>
        </w:rPr>
        <w:t xml:space="preserve">about violence </w:t>
      </w:r>
      <w:r w:rsidR="00BD325A" w:rsidRPr="00222663">
        <w:rPr>
          <w:rFonts w:cstheme="minorHAnsi"/>
          <w:sz w:val="24"/>
          <w:szCs w:val="24"/>
        </w:rPr>
        <w:t xml:space="preserve">and discrimination </w:t>
      </w:r>
      <w:r w:rsidR="00B4520F" w:rsidRPr="00222663">
        <w:rPr>
          <w:rFonts w:cstheme="minorHAnsi"/>
          <w:sz w:val="24"/>
          <w:szCs w:val="24"/>
        </w:rPr>
        <w:t>against girls</w:t>
      </w:r>
      <w:r w:rsidR="00A56B78" w:rsidRPr="00222663">
        <w:rPr>
          <w:rFonts w:cstheme="minorHAnsi"/>
          <w:sz w:val="24"/>
          <w:szCs w:val="24"/>
        </w:rPr>
        <w:t xml:space="preserve"> and young women</w:t>
      </w:r>
      <w:r w:rsidR="00B4520F" w:rsidRPr="00222663">
        <w:rPr>
          <w:rFonts w:cstheme="minorHAnsi"/>
          <w:sz w:val="24"/>
          <w:szCs w:val="24"/>
        </w:rPr>
        <w:t xml:space="preserve"> </w:t>
      </w:r>
      <w:r w:rsidR="00294859" w:rsidRPr="00222663">
        <w:rPr>
          <w:rFonts w:cstheme="minorHAnsi"/>
          <w:sz w:val="24"/>
          <w:szCs w:val="24"/>
        </w:rPr>
        <w:t>in Kathmandu Valley</w:t>
      </w:r>
      <w:r w:rsidR="00AE1247" w:rsidRPr="00222663">
        <w:rPr>
          <w:rFonts w:cstheme="minorHAnsi"/>
          <w:sz w:val="24"/>
          <w:szCs w:val="24"/>
        </w:rPr>
        <w:t>.</w:t>
      </w:r>
      <w:r w:rsidR="00C85BA8" w:rsidRPr="00222663">
        <w:rPr>
          <w:rFonts w:cstheme="minorHAnsi"/>
          <w:sz w:val="24"/>
          <w:szCs w:val="24"/>
        </w:rPr>
        <w:t xml:space="preserve"> </w:t>
      </w:r>
      <w:r w:rsidR="00DF40D2">
        <w:rPr>
          <w:rFonts w:cstheme="minorHAnsi"/>
          <w:sz w:val="24"/>
          <w:szCs w:val="24"/>
        </w:rPr>
        <w:t>T</w:t>
      </w:r>
      <w:r w:rsidR="008155BE" w:rsidRPr="00222663">
        <w:rPr>
          <w:rFonts w:cstheme="minorHAnsi"/>
          <w:sz w:val="24"/>
          <w:szCs w:val="24"/>
        </w:rPr>
        <w:t xml:space="preserve">he broad definition of a child provided by Article 1 of the CRC </w:t>
      </w:r>
      <w:r w:rsidR="00DF40D2">
        <w:rPr>
          <w:rFonts w:cstheme="minorHAnsi"/>
          <w:sz w:val="24"/>
          <w:szCs w:val="24"/>
        </w:rPr>
        <w:t xml:space="preserve">is adopted </w:t>
      </w:r>
      <w:r w:rsidR="008155BE" w:rsidRPr="00222663">
        <w:rPr>
          <w:rFonts w:cstheme="minorHAnsi"/>
          <w:sz w:val="24"/>
          <w:szCs w:val="24"/>
        </w:rPr>
        <w:t>to refer to all people under the age of 18 years. However, in this field research and in this paper</w:t>
      </w:r>
      <w:r w:rsidR="00FB21AC" w:rsidRPr="00222663">
        <w:rPr>
          <w:rFonts w:cstheme="minorHAnsi"/>
          <w:sz w:val="24"/>
          <w:szCs w:val="24"/>
        </w:rPr>
        <w:t>,</w:t>
      </w:r>
      <w:r w:rsidR="008155BE" w:rsidRPr="00222663">
        <w:rPr>
          <w:rFonts w:cstheme="minorHAnsi"/>
          <w:sz w:val="24"/>
          <w:szCs w:val="24"/>
        </w:rPr>
        <w:t xml:space="preserve"> we use the term ‘child’ or ‘children’ to refer to people under the age of 12 years old, and</w:t>
      </w:r>
      <w:r w:rsidR="00E15D7F" w:rsidRPr="00222663">
        <w:rPr>
          <w:rFonts w:cstheme="minorHAnsi"/>
          <w:sz w:val="24"/>
          <w:szCs w:val="24"/>
        </w:rPr>
        <w:t xml:space="preserve"> to avoid </w:t>
      </w:r>
      <w:r w:rsidR="00E15D7F" w:rsidRPr="00222663">
        <w:rPr>
          <w:rFonts w:cstheme="minorHAnsi"/>
          <w:sz w:val="24"/>
          <w:szCs w:val="24"/>
        </w:rPr>
        <w:lastRenderedPageBreak/>
        <w:t>infantilising participants</w:t>
      </w:r>
      <w:r w:rsidR="00E15D7F" w:rsidRPr="00222663">
        <w:rPr>
          <w:rStyle w:val="FootnoteReference"/>
          <w:rFonts w:cstheme="minorHAnsi"/>
          <w:sz w:val="24"/>
          <w:szCs w:val="24"/>
        </w:rPr>
        <w:footnoteReference w:id="23"/>
      </w:r>
      <w:r w:rsidR="00E15D7F" w:rsidRPr="00222663">
        <w:rPr>
          <w:rFonts w:cstheme="minorHAnsi"/>
          <w:sz w:val="24"/>
          <w:szCs w:val="24"/>
        </w:rPr>
        <w:t xml:space="preserve"> we refer to people 12 years or older as ‘</w:t>
      </w:r>
      <w:r w:rsidR="008155BE" w:rsidRPr="00222663">
        <w:rPr>
          <w:rFonts w:cstheme="minorHAnsi"/>
          <w:sz w:val="24"/>
          <w:szCs w:val="24"/>
        </w:rPr>
        <w:t>young people</w:t>
      </w:r>
      <w:r w:rsidR="00E15D7F" w:rsidRPr="00222663">
        <w:rPr>
          <w:rFonts w:cstheme="minorHAnsi"/>
          <w:sz w:val="24"/>
          <w:szCs w:val="24"/>
        </w:rPr>
        <w:t>’</w:t>
      </w:r>
      <w:r w:rsidR="009C5CEB" w:rsidRPr="00222663">
        <w:rPr>
          <w:rFonts w:cstheme="minorHAnsi"/>
          <w:sz w:val="24"/>
          <w:szCs w:val="24"/>
        </w:rPr>
        <w:t xml:space="preserve"> or a ‘young person’</w:t>
      </w:r>
      <w:r w:rsidR="00E15D7F" w:rsidRPr="00222663">
        <w:rPr>
          <w:rFonts w:cstheme="minorHAnsi"/>
          <w:sz w:val="24"/>
          <w:szCs w:val="24"/>
        </w:rPr>
        <w:t>.</w:t>
      </w:r>
      <w:r w:rsidR="004B25CB" w:rsidRPr="00222663">
        <w:rPr>
          <w:rStyle w:val="FootnoteReference"/>
          <w:rFonts w:cstheme="minorHAnsi"/>
          <w:sz w:val="24"/>
          <w:szCs w:val="24"/>
        </w:rPr>
        <w:footnoteReference w:id="24"/>
      </w:r>
      <w:r w:rsidR="008155BE" w:rsidRPr="00222663">
        <w:rPr>
          <w:rFonts w:cstheme="minorHAnsi"/>
          <w:sz w:val="24"/>
          <w:szCs w:val="24"/>
        </w:rPr>
        <w:t xml:space="preserve"> </w:t>
      </w:r>
      <w:r w:rsidR="00B4520F" w:rsidRPr="00222663">
        <w:rPr>
          <w:rFonts w:eastAsia="Arial Unicode MS" w:cstheme="minorHAnsi"/>
          <w:sz w:val="24"/>
          <w:szCs w:val="24"/>
          <w:u w:color="000000"/>
          <w:bdr w:val="nil"/>
          <w:lang w:val="en-US"/>
        </w:rPr>
        <w:t xml:space="preserve">Part 2 </w:t>
      </w:r>
      <w:r w:rsidR="00BE58AE" w:rsidRPr="00222663">
        <w:rPr>
          <w:rFonts w:eastAsia="Arial Unicode MS" w:cstheme="minorHAnsi"/>
          <w:sz w:val="24"/>
          <w:szCs w:val="24"/>
          <w:u w:color="000000"/>
          <w:bdr w:val="nil"/>
          <w:lang w:val="en-US"/>
        </w:rPr>
        <w:t>of this paper</w:t>
      </w:r>
      <w:r w:rsidR="004C048F" w:rsidRPr="00222663">
        <w:rPr>
          <w:rFonts w:eastAsia="Arial Unicode MS" w:cstheme="minorHAnsi"/>
          <w:sz w:val="24"/>
          <w:szCs w:val="24"/>
          <w:u w:color="000000"/>
          <w:bdr w:val="nil"/>
          <w:lang w:val="en-US"/>
        </w:rPr>
        <w:t xml:space="preserve"> </w:t>
      </w:r>
      <w:proofErr w:type="spellStart"/>
      <w:r w:rsidR="00E075DA" w:rsidRPr="00222663">
        <w:rPr>
          <w:rFonts w:eastAsia="Arial Unicode MS" w:cstheme="minorHAnsi"/>
          <w:sz w:val="24"/>
          <w:szCs w:val="24"/>
          <w:u w:color="000000"/>
          <w:bdr w:val="nil"/>
          <w:lang w:val="en-US"/>
        </w:rPr>
        <w:t>contextualises</w:t>
      </w:r>
      <w:proofErr w:type="spellEnd"/>
      <w:r w:rsidR="00E075DA" w:rsidRPr="00222663">
        <w:rPr>
          <w:rFonts w:eastAsia="Arial Unicode MS" w:cstheme="minorHAnsi"/>
          <w:sz w:val="24"/>
          <w:szCs w:val="24"/>
          <w:u w:color="000000"/>
          <w:bdr w:val="nil"/>
          <w:lang w:val="en-US"/>
        </w:rPr>
        <w:t xml:space="preserve"> girls’ rights in Nepal, </w:t>
      </w:r>
      <w:r w:rsidR="004C048F" w:rsidRPr="00222663">
        <w:rPr>
          <w:rFonts w:eastAsia="Arial Unicode MS" w:cstheme="minorHAnsi"/>
          <w:sz w:val="24"/>
          <w:szCs w:val="24"/>
          <w:u w:color="000000"/>
          <w:bdr w:val="nil"/>
          <w:lang w:val="en-US"/>
        </w:rPr>
        <w:t xml:space="preserve">explains why this research was conducted and </w:t>
      </w:r>
      <w:r w:rsidR="002F0535" w:rsidRPr="00222663">
        <w:rPr>
          <w:rFonts w:eastAsia="Arial Unicode MS" w:cstheme="minorHAnsi"/>
          <w:sz w:val="24"/>
          <w:szCs w:val="24"/>
          <w:u w:color="000000"/>
          <w:bdr w:val="nil"/>
          <w:lang w:val="en-US"/>
        </w:rPr>
        <w:t>details</w:t>
      </w:r>
      <w:r w:rsidR="004C048F" w:rsidRPr="00222663">
        <w:rPr>
          <w:rFonts w:eastAsia="Arial Unicode MS" w:cstheme="minorHAnsi"/>
          <w:sz w:val="24"/>
          <w:szCs w:val="24"/>
          <w:u w:color="000000"/>
          <w:bdr w:val="nil"/>
          <w:lang w:val="en-US"/>
        </w:rPr>
        <w:t xml:space="preserve"> the research</w:t>
      </w:r>
      <w:r w:rsidR="000B2EE3" w:rsidRPr="00222663">
        <w:rPr>
          <w:rFonts w:eastAsia="Arial Unicode MS" w:cstheme="minorHAnsi"/>
          <w:sz w:val="24"/>
          <w:szCs w:val="24"/>
          <w:u w:color="000000"/>
          <w:bdr w:val="nil"/>
          <w:lang w:val="en-US"/>
        </w:rPr>
        <w:t xml:space="preserve"> methodology and </w:t>
      </w:r>
      <w:r w:rsidR="004C048F" w:rsidRPr="00222663">
        <w:rPr>
          <w:rFonts w:eastAsia="Arial Unicode MS" w:cstheme="minorHAnsi"/>
          <w:sz w:val="24"/>
          <w:szCs w:val="24"/>
          <w:u w:color="000000"/>
          <w:bdr w:val="nil"/>
          <w:lang w:val="en-US"/>
        </w:rPr>
        <w:t xml:space="preserve">qualitative </w:t>
      </w:r>
      <w:r w:rsidR="000B2EE3" w:rsidRPr="00222663">
        <w:rPr>
          <w:rFonts w:eastAsia="Arial Unicode MS" w:cstheme="minorHAnsi"/>
          <w:sz w:val="24"/>
          <w:szCs w:val="24"/>
          <w:u w:color="000000"/>
          <w:bdr w:val="nil"/>
          <w:lang w:val="en-US"/>
        </w:rPr>
        <w:t xml:space="preserve">methods used. Part 3 </w:t>
      </w:r>
      <w:r w:rsidR="004C048F" w:rsidRPr="00222663">
        <w:rPr>
          <w:rFonts w:eastAsia="Arial Unicode MS" w:cstheme="minorHAnsi"/>
          <w:sz w:val="24"/>
          <w:szCs w:val="24"/>
          <w:u w:color="000000"/>
          <w:bdr w:val="nil"/>
          <w:lang w:val="en-US"/>
        </w:rPr>
        <w:t xml:space="preserve">examines </w:t>
      </w:r>
      <w:r w:rsidR="00554605" w:rsidRPr="00222663">
        <w:rPr>
          <w:rFonts w:eastAsia="Arial Unicode MS" w:cstheme="minorHAnsi"/>
          <w:sz w:val="24"/>
          <w:szCs w:val="24"/>
          <w:u w:color="000000"/>
          <w:bdr w:val="nil"/>
          <w:lang w:val="en-US"/>
        </w:rPr>
        <w:t>the</w:t>
      </w:r>
      <w:r w:rsidR="00FB21AC" w:rsidRPr="00222663">
        <w:rPr>
          <w:rFonts w:eastAsia="Arial Unicode MS" w:cstheme="minorHAnsi"/>
          <w:sz w:val="24"/>
          <w:szCs w:val="24"/>
          <w:u w:color="000000"/>
          <w:bdr w:val="nil"/>
          <w:lang w:val="en-US"/>
        </w:rPr>
        <w:t xml:space="preserve"> </w:t>
      </w:r>
      <w:r w:rsidR="00644402" w:rsidRPr="00222663">
        <w:rPr>
          <w:rFonts w:eastAsia="Arial Unicode MS" w:cstheme="minorHAnsi"/>
          <w:sz w:val="24"/>
          <w:szCs w:val="24"/>
          <w:u w:color="000000"/>
          <w:bdr w:val="nil"/>
          <w:lang w:val="en-US"/>
        </w:rPr>
        <w:t>findings of this research</w:t>
      </w:r>
      <w:r w:rsidR="00B232FA" w:rsidRPr="00222663">
        <w:rPr>
          <w:rFonts w:eastAsia="Arial Unicode MS" w:cstheme="minorHAnsi"/>
          <w:sz w:val="24"/>
          <w:szCs w:val="24"/>
          <w:u w:color="000000"/>
          <w:bdr w:val="nil"/>
          <w:lang w:val="en-US"/>
        </w:rPr>
        <w:t xml:space="preserve"> and</w:t>
      </w:r>
      <w:r w:rsidR="00026500" w:rsidRPr="00222663">
        <w:rPr>
          <w:rFonts w:eastAsia="Arial Unicode MS" w:cstheme="minorHAnsi"/>
          <w:sz w:val="24"/>
          <w:szCs w:val="24"/>
          <w:u w:color="000000"/>
          <w:bdr w:val="nil"/>
          <w:lang w:val="en-US"/>
        </w:rPr>
        <w:t xml:space="preserve"> </w:t>
      </w:r>
      <w:r w:rsidR="00D86D4D" w:rsidRPr="00222663">
        <w:rPr>
          <w:rFonts w:eastAsia="Arial Unicode MS" w:cstheme="minorHAnsi"/>
          <w:sz w:val="24"/>
          <w:szCs w:val="24"/>
          <w:u w:color="000000"/>
          <w:bdr w:val="nil"/>
          <w:lang w:val="en-US"/>
        </w:rPr>
        <w:t>discusses</w:t>
      </w:r>
      <w:r w:rsidR="00026500" w:rsidRPr="00222663">
        <w:rPr>
          <w:rFonts w:eastAsia="Arial Unicode MS" w:cstheme="minorHAnsi"/>
          <w:sz w:val="24"/>
          <w:szCs w:val="24"/>
          <w:u w:color="000000"/>
          <w:bdr w:val="nil"/>
          <w:lang w:val="en-US"/>
        </w:rPr>
        <w:t xml:space="preserve"> participants</w:t>
      </w:r>
      <w:r w:rsidR="00FB21AC" w:rsidRPr="00222663">
        <w:rPr>
          <w:rFonts w:eastAsia="Arial Unicode MS" w:cstheme="minorHAnsi"/>
          <w:sz w:val="24"/>
          <w:szCs w:val="24"/>
          <w:u w:color="000000"/>
          <w:bdr w:val="nil"/>
          <w:lang w:val="en-US"/>
        </w:rPr>
        <w:t>’</w:t>
      </w:r>
      <w:r w:rsidR="00026500" w:rsidRPr="00222663">
        <w:rPr>
          <w:rFonts w:eastAsia="Arial Unicode MS" w:cstheme="minorHAnsi"/>
          <w:sz w:val="24"/>
          <w:szCs w:val="24"/>
          <w:u w:color="000000"/>
          <w:bdr w:val="nil"/>
          <w:lang w:val="en-US"/>
        </w:rPr>
        <w:t xml:space="preserve"> </w:t>
      </w:r>
      <w:r w:rsidR="00D86D4D" w:rsidRPr="00222663">
        <w:rPr>
          <w:rFonts w:eastAsia="Arial Unicode MS" w:cstheme="minorHAnsi"/>
          <w:sz w:val="24"/>
          <w:szCs w:val="24"/>
          <w:u w:color="000000"/>
          <w:bdr w:val="nil"/>
          <w:lang w:val="en-US"/>
        </w:rPr>
        <w:t xml:space="preserve">insights </w:t>
      </w:r>
      <w:proofErr w:type="gramStart"/>
      <w:r w:rsidR="00026500" w:rsidRPr="00222663">
        <w:rPr>
          <w:rFonts w:eastAsia="Arial Unicode MS" w:cstheme="minorHAnsi"/>
          <w:sz w:val="24"/>
          <w:szCs w:val="24"/>
          <w:u w:color="000000"/>
          <w:bdr w:val="nil"/>
          <w:lang w:val="en-US"/>
        </w:rPr>
        <w:t>about</w:t>
      </w:r>
      <w:proofErr w:type="gramEnd"/>
      <w:r w:rsidR="00026500" w:rsidRPr="00222663">
        <w:rPr>
          <w:rFonts w:eastAsia="Arial Unicode MS" w:cstheme="minorHAnsi"/>
          <w:sz w:val="24"/>
          <w:szCs w:val="24"/>
          <w:u w:color="000000"/>
          <w:bdr w:val="nil"/>
          <w:lang w:val="en-US"/>
        </w:rPr>
        <w:t xml:space="preserve"> discrimination and violence toward girls</w:t>
      </w:r>
      <w:r w:rsidR="00B232FA" w:rsidRPr="00222663">
        <w:rPr>
          <w:rFonts w:eastAsia="Arial Unicode MS" w:cstheme="minorHAnsi"/>
          <w:sz w:val="24"/>
          <w:szCs w:val="24"/>
          <w:u w:color="000000"/>
          <w:bdr w:val="nil"/>
          <w:lang w:val="en-US"/>
        </w:rPr>
        <w:t xml:space="preserve">, </w:t>
      </w:r>
      <w:r w:rsidR="00D86D4D" w:rsidRPr="00222663">
        <w:rPr>
          <w:rFonts w:eastAsia="Arial Unicode MS" w:cstheme="minorHAnsi"/>
          <w:sz w:val="24"/>
          <w:szCs w:val="24"/>
          <w:u w:color="000000"/>
          <w:bdr w:val="nil"/>
          <w:lang w:val="en-US"/>
        </w:rPr>
        <w:t>the barriers to ending these abuses</w:t>
      </w:r>
      <w:r w:rsidR="00B232FA" w:rsidRPr="00222663">
        <w:rPr>
          <w:rFonts w:eastAsia="Arial Unicode MS" w:cstheme="minorHAnsi"/>
          <w:sz w:val="24"/>
          <w:szCs w:val="24"/>
          <w:u w:color="000000"/>
          <w:bdr w:val="nil"/>
          <w:lang w:val="en-US"/>
        </w:rPr>
        <w:t xml:space="preserve"> and participants</w:t>
      </w:r>
      <w:r w:rsidR="00AB1F27">
        <w:rPr>
          <w:rFonts w:eastAsia="Arial Unicode MS" w:cstheme="minorHAnsi"/>
          <w:sz w:val="24"/>
          <w:szCs w:val="24"/>
          <w:u w:color="000000"/>
          <w:bdr w:val="nil"/>
          <w:lang w:val="en-US"/>
        </w:rPr>
        <w:t>’</w:t>
      </w:r>
      <w:r w:rsidR="00B232FA" w:rsidRPr="00222663">
        <w:rPr>
          <w:rFonts w:eastAsia="Arial Unicode MS" w:cstheme="minorHAnsi"/>
          <w:sz w:val="24"/>
          <w:szCs w:val="24"/>
          <w:u w:color="000000"/>
          <w:bdr w:val="nil"/>
          <w:lang w:val="en-US"/>
        </w:rPr>
        <w:t xml:space="preserve"> ideas for reform</w:t>
      </w:r>
      <w:r w:rsidR="00D86D4D" w:rsidRPr="00222663">
        <w:rPr>
          <w:rFonts w:eastAsia="Arial Unicode MS" w:cstheme="minorHAnsi"/>
          <w:sz w:val="24"/>
          <w:szCs w:val="24"/>
          <w:u w:color="000000"/>
          <w:bdr w:val="nil"/>
          <w:lang w:val="en-US"/>
        </w:rPr>
        <w:t xml:space="preserve">. </w:t>
      </w:r>
    </w:p>
    <w:p w14:paraId="485D4FB1" w14:textId="5742233C" w:rsidR="00461E64" w:rsidRPr="00222663" w:rsidRDefault="00371225" w:rsidP="00746A43">
      <w:pPr>
        <w:spacing w:before="240" w:line="360" w:lineRule="auto"/>
        <w:rPr>
          <w:rFonts w:cstheme="minorHAnsi"/>
          <w:sz w:val="24"/>
          <w:szCs w:val="24"/>
          <w:lang w:eastAsia="en-AU"/>
        </w:rPr>
      </w:pPr>
      <w:r w:rsidRPr="00222663">
        <w:rPr>
          <w:rFonts w:cstheme="minorHAnsi"/>
          <w:sz w:val="24"/>
          <w:szCs w:val="24"/>
        </w:rPr>
        <w:t>Violence against girls is widespread throughout the world</w:t>
      </w:r>
      <w:r w:rsidR="00C321B7" w:rsidRPr="00222663">
        <w:rPr>
          <w:rFonts w:cstheme="minorHAnsi"/>
          <w:sz w:val="24"/>
          <w:szCs w:val="24"/>
        </w:rPr>
        <w:t>,</w:t>
      </w:r>
      <w:r w:rsidR="00C321B7" w:rsidRPr="00222663">
        <w:rPr>
          <w:rStyle w:val="FootnoteReference"/>
          <w:rFonts w:cstheme="minorHAnsi"/>
          <w:sz w:val="24"/>
          <w:szCs w:val="24"/>
        </w:rPr>
        <w:footnoteReference w:id="25"/>
      </w:r>
      <w:r w:rsidR="00C321B7" w:rsidRPr="00222663">
        <w:rPr>
          <w:rFonts w:cstheme="minorHAnsi"/>
          <w:sz w:val="24"/>
          <w:szCs w:val="24"/>
        </w:rPr>
        <w:t xml:space="preserve"> and adolescent girls experience ‘elevated risks of gender-based violence in </w:t>
      </w:r>
      <w:r w:rsidR="00E94FD4" w:rsidRPr="00222663">
        <w:rPr>
          <w:rFonts w:cstheme="minorHAnsi"/>
          <w:sz w:val="24"/>
          <w:szCs w:val="24"/>
        </w:rPr>
        <w:t>humanitarian</w:t>
      </w:r>
      <w:r w:rsidR="00C321B7" w:rsidRPr="00222663">
        <w:rPr>
          <w:rFonts w:cstheme="minorHAnsi"/>
          <w:sz w:val="24"/>
          <w:szCs w:val="24"/>
        </w:rPr>
        <w:t xml:space="preserve"> settings’</w:t>
      </w:r>
      <w:r w:rsidR="00C321B7" w:rsidRPr="00222663">
        <w:rPr>
          <w:rStyle w:val="FootnoteReference"/>
          <w:rFonts w:cstheme="minorHAnsi"/>
          <w:sz w:val="24"/>
          <w:szCs w:val="24"/>
        </w:rPr>
        <w:footnoteReference w:id="26"/>
      </w:r>
      <w:r w:rsidR="00C321B7" w:rsidRPr="00222663">
        <w:rPr>
          <w:rFonts w:cstheme="minorHAnsi"/>
          <w:sz w:val="24"/>
          <w:szCs w:val="24"/>
        </w:rPr>
        <w:t xml:space="preserve"> </w:t>
      </w:r>
      <w:r w:rsidR="00D76634" w:rsidRPr="00222663">
        <w:rPr>
          <w:rFonts w:cstheme="minorHAnsi"/>
          <w:sz w:val="24"/>
          <w:szCs w:val="24"/>
        </w:rPr>
        <w:t xml:space="preserve">as well as during war and conflict, </w:t>
      </w:r>
      <w:r w:rsidR="00C321B7" w:rsidRPr="00222663">
        <w:rPr>
          <w:rFonts w:cstheme="minorHAnsi"/>
          <w:sz w:val="24"/>
          <w:szCs w:val="24"/>
        </w:rPr>
        <w:t xml:space="preserve">as occurred </w:t>
      </w:r>
      <w:r w:rsidR="0094474A" w:rsidRPr="00222663">
        <w:rPr>
          <w:rFonts w:cstheme="minorHAnsi"/>
          <w:sz w:val="24"/>
          <w:szCs w:val="24"/>
        </w:rPr>
        <w:t xml:space="preserve">in Nepal </w:t>
      </w:r>
      <w:r w:rsidR="00C321B7" w:rsidRPr="00222663">
        <w:rPr>
          <w:rFonts w:cstheme="minorHAnsi"/>
          <w:sz w:val="24"/>
          <w:szCs w:val="24"/>
        </w:rPr>
        <w:t>during</w:t>
      </w:r>
      <w:r w:rsidR="00D76634" w:rsidRPr="00222663">
        <w:rPr>
          <w:rFonts w:cstheme="minorHAnsi"/>
          <w:sz w:val="24"/>
          <w:szCs w:val="24"/>
        </w:rPr>
        <w:t xml:space="preserve"> the </w:t>
      </w:r>
      <w:r w:rsidR="0094474A" w:rsidRPr="00222663">
        <w:rPr>
          <w:rFonts w:cstheme="minorHAnsi"/>
          <w:sz w:val="24"/>
          <w:szCs w:val="24"/>
        </w:rPr>
        <w:t>COVID</w:t>
      </w:r>
      <w:r w:rsidR="004C6733" w:rsidRPr="00222663">
        <w:rPr>
          <w:rFonts w:cstheme="minorHAnsi"/>
          <w:sz w:val="24"/>
          <w:szCs w:val="24"/>
        </w:rPr>
        <w:t>-</w:t>
      </w:r>
      <w:r w:rsidR="0094474A" w:rsidRPr="00222663">
        <w:rPr>
          <w:rFonts w:cstheme="minorHAnsi"/>
          <w:sz w:val="24"/>
          <w:szCs w:val="24"/>
        </w:rPr>
        <w:t xml:space="preserve">19 pandemic, during the 2015 earthquake and as a result of the </w:t>
      </w:r>
      <w:r w:rsidR="00E47F70" w:rsidRPr="00222663">
        <w:rPr>
          <w:rFonts w:cstheme="minorHAnsi"/>
          <w:sz w:val="24"/>
          <w:szCs w:val="24"/>
        </w:rPr>
        <w:t>decade-long</w:t>
      </w:r>
      <w:r w:rsidR="00013F7C" w:rsidRPr="00222663">
        <w:rPr>
          <w:rFonts w:cstheme="minorHAnsi"/>
          <w:sz w:val="24"/>
          <w:szCs w:val="24"/>
        </w:rPr>
        <w:t xml:space="preserve"> armed conflict f</w:t>
      </w:r>
      <w:r w:rsidR="00E47F70" w:rsidRPr="00222663">
        <w:rPr>
          <w:rFonts w:cstheme="minorHAnsi"/>
          <w:sz w:val="24"/>
          <w:szCs w:val="24"/>
        </w:rPr>
        <w:t xml:space="preserve">rom 1996-2006 </w:t>
      </w:r>
      <w:r w:rsidR="00C321B7" w:rsidRPr="00222663">
        <w:rPr>
          <w:rFonts w:cstheme="minorHAnsi"/>
          <w:sz w:val="24"/>
          <w:szCs w:val="24"/>
        </w:rPr>
        <w:t>and after</w:t>
      </w:r>
      <w:r w:rsidRPr="00222663">
        <w:rPr>
          <w:rFonts w:cstheme="minorHAnsi"/>
          <w:sz w:val="24"/>
          <w:szCs w:val="24"/>
        </w:rPr>
        <w:t>.</w:t>
      </w:r>
      <w:r w:rsidR="0012715B" w:rsidRPr="00222663">
        <w:rPr>
          <w:rStyle w:val="FootnoteReference"/>
          <w:rFonts w:cstheme="minorHAnsi"/>
          <w:sz w:val="24"/>
          <w:szCs w:val="24"/>
        </w:rPr>
        <w:footnoteReference w:id="27"/>
      </w:r>
      <w:r w:rsidRPr="00222663">
        <w:rPr>
          <w:rFonts w:cstheme="minorHAnsi"/>
          <w:sz w:val="24"/>
          <w:szCs w:val="24"/>
        </w:rPr>
        <w:t xml:space="preserve"> </w:t>
      </w:r>
      <w:r w:rsidR="00EB50FF" w:rsidRPr="00222663">
        <w:rPr>
          <w:rFonts w:cstheme="minorHAnsi"/>
          <w:sz w:val="24"/>
          <w:szCs w:val="24"/>
        </w:rPr>
        <w:t xml:space="preserve">This </w:t>
      </w:r>
      <w:r w:rsidR="00F17FC4" w:rsidRPr="00222663">
        <w:rPr>
          <w:rFonts w:cstheme="minorHAnsi"/>
          <w:sz w:val="24"/>
          <w:szCs w:val="24"/>
        </w:rPr>
        <w:t>research</w:t>
      </w:r>
      <w:r w:rsidR="00294859" w:rsidRPr="00222663">
        <w:rPr>
          <w:rFonts w:cstheme="minorHAnsi"/>
          <w:sz w:val="24"/>
          <w:szCs w:val="24"/>
        </w:rPr>
        <w:t xml:space="preserve"> </w:t>
      </w:r>
      <w:r w:rsidR="00EB50FF" w:rsidRPr="00222663">
        <w:rPr>
          <w:rFonts w:cstheme="minorHAnsi"/>
          <w:sz w:val="24"/>
          <w:szCs w:val="24"/>
        </w:rPr>
        <w:t xml:space="preserve">confirms </w:t>
      </w:r>
      <w:r w:rsidR="00294859" w:rsidRPr="00222663">
        <w:rPr>
          <w:rFonts w:cstheme="minorHAnsi"/>
          <w:sz w:val="24"/>
          <w:szCs w:val="24"/>
        </w:rPr>
        <w:t xml:space="preserve">that </w:t>
      </w:r>
      <w:r w:rsidR="00027AD5" w:rsidRPr="00222663">
        <w:rPr>
          <w:rFonts w:cstheme="minorHAnsi"/>
          <w:sz w:val="24"/>
          <w:szCs w:val="24"/>
        </w:rPr>
        <w:t xml:space="preserve">discrimination and violence against girls in Nepal </w:t>
      </w:r>
      <w:r w:rsidR="009C14B3">
        <w:rPr>
          <w:rFonts w:cstheme="minorHAnsi"/>
          <w:sz w:val="24"/>
          <w:szCs w:val="24"/>
        </w:rPr>
        <w:t>are</w:t>
      </w:r>
      <w:r w:rsidR="00027AD5" w:rsidRPr="00222663">
        <w:rPr>
          <w:rFonts w:cstheme="minorHAnsi"/>
          <w:sz w:val="24"/>
          <w:szCs w:val="24"/>
        </w:rPr>
        <w:t xml:space="preserve"> </w:t>
      </w:r>
      <w:r w:rsidR="00EB50FF" w:rsidRPr="00222663">
        <w:rPr>
          <w:rFonts w:cstheme="minorHAnsi"/>
          <w:sz w:val="24"/>
          <w:szCs w:val="24"/>
        </w:rPr>
        <w:t>pressing socio-legal concern</w:t>
      </w:r>
      <w:r w:rsidR="009C14B3">
        <w:rPr>
          <w:rFonts w:cstheme="minorHAnsi"/>
          <w:sz w:val="24"/>
          <w:szCs w:val="24"/>
        </w:rPr>
        <w:t>s</w:t>
      </w:r>
      <w:r w:rsidR="00EB50FF" w:rsidRPr="00222663">
        <w:rPr>
          <w:rFonts w:cstheme="minorHAnsi"/>
          <w:sz w:val="24"/>
          <w:szCs w:val="24"/>
        </w:rPr>
        <w:t xml:space="preserve"> that require concerted governmental and political commitment to address. This is </w:t>
      </w:r>
      <w:r w:rsidR="00EB50FF" w:rsidRPr="00A504BE">
        <w:rPr>
          <w:rFonts w:cstheme="minorHAnsi"/>
          <w:sz w:val="24"/>
          <w:szCs w:val="24"/>
        </w:rPr>
        <w:t>despite</w:t>
      </w:r>
      <w:r w:rsidR="00EE6C36" w:rsidRPr="00A504BE">
        <w:rPr>
          <w:rFonts w:cstheme="minorHAnsi"/>
          <w:sz w:val="24"/>
          <w:szCs w:val="24"/>
        </w:rPr>
        <w:t xml:space="preserve"> </w:t>
      </w:r>
      <w:r w:rsidR="00E619DC" w:rsidRPr="00A504BE">
        <w:rPr>
          <w:rFonts w:cstheme="minorHAnsi"/>
          <w:sz w:val="24"/>
          <w:szCs w:val="24"/>
        </w:rPr>
        <w:t>A</w:t>
      </w:r>
      <w:r w:rsidR="00EE6C36" w:rsidRPr="00A504BE">
        <w:rPr>
          <w:rFonts w:cstheme="minorHAnsi"/>
          <w:sz w:val="24"/>
          <w:szCs w:val="24"/>
        </w:rPr>
        <w:t>rticle</w:t>
      </w:r>
      <w:r w:rsidR="003D676E" w:rsidRPr="00A504BE">
        <w:rPr>
          <w:rFonts w:cstheme="minorHAnsi"/>
          <w:sz w:val="24"/>
          <w:szCs w:val="24"/>
        </w:rPr>
        <w:t xml:space="preserve"> 39 of </w:t>
      </w:r>
      <w:r w:rsidR="0017777A" w:rsidRPr="00A504BE">
        <w:rPr>
          <w:rFonts w:cstheme="minorHAnsi"/>
          <w:sz w:val="24"/>
          <w:szCs w:val="24"/>
        </w:rPr>
        <w:t xml:space="preserve">the Constitution of </w:t>
      </w:r>
      <w:r w:rsidR="003D676E" w:rsidRPr="00A504BE">
        <w:rPr>
          <w:rFonts w:cstheme="minorHAnsi"/>
          <w:sz w:val="24"/>
          <w:szCs w:val="24"/>
        </w:rPr>
        <w:t xml:space="preserve">Nepal </w:t>
      </w:r>
      <w:r w:rsidR="00021AFE">
        <w:rPr>
          <w:rFonts w:cstheme="minorHAnsi"/>
          <w:sz w:val="24"/>
          <w:szCs w:val="24"/>
        </w:rPr>
        <w:t>(</w:t>
      </w:r>
      <w:r w:rsidR="003D676E" w:rsidRPr="00A504BE">
        <w:rPr>
          <w:rFonts w:cstheme="minorHAnsi"/>
          <w:sz w:val="24"/>
          <w:szCs w:val="24"/>
        </w:rPr>
        <w:t>2015</w:t>
      </w:r>
      <w:r w:rsidR="00021AFE">
        <w:rPr>
          <w:rFonts w:cstheme="minorHAnsi"/>
          <w:sz w:val="24"/>
          <w:szCs w:val="24"/>
        </w:rPr>
        <w:t>)</w:t>
      </w:r>
      <w:r w:rsidR="00AD3E2B" w:rsidRPr="00A504BE">
        <w:rPr>
          <w:rFonts w:cstheme="minorHAnsi"/>
          <w:sz w:val="24"/>
          <w:szCs w:val="24"/>
        </w:rPr>
        <w:t xml:space="preserve"> that explicitly </w:t>
      </w:r>
      <w:r w:rsidR="00D677DD" w:rsidRPr="00A504BE">
        <w:rPr>
          <w:rFonts w:cstheme="minorHAnsi"/>
          <w:sz w:val="24"/>
          <w:szCs w:val="24"/>
        </w:rPr>
        <w:t xml:space="preserve">enshrines </w:t>
      </w:r>
      <w:r w:rsidR="00AD3E2B" w:rsidRPr="00A504BE">
        <w:rPr>
          <w:rFonts w:cstheme="minorHAnsi"/>
          <w:sz w:val="24"/>
          <w:szCs w:val="24"/>
        </w:rPr>
        <w:t>children’s rights</w:t>
      </w:r>
      <w:r w:rsidR="00A504BE" w:rsidRPr="00A504BE">
        <w:rPr>
          <w:rFonts w:cstheme="minorHAnsi"/>
          <w:sz w:val="24"/>
          <w:szCs w:val="24"/>
        </w:rPr>
        <w:t>, including</w:t>
      </w:r>
      <w:r w:rsidR="000B1152" w:rsidRPr="00A504BE">
        <w:rPr>
          <w:rFonts w:cstheme="minorHAnsi"/>
          <w:sz w:val="24"/>
          <w:szCs w:val="24"/>
        </w:rPr>
        <w:t xml:space="preserve"> </w:t>
      </w:r>
      <w:r w:rsidR="00A504BE" w:rsidRPr="004A4B16">
        <w:rPr>
          <w:rFonts w:cstheme="minorHAnsi"/>
          <w:sz w:val="24"/>
          <w:szCs w:val="24"/>
        </w:rPr>
        <w:t>the right</w:t>
      </w:r>
      <w:r w:rsidR="000B1152" w:rsidRPr="00A504BE">
        <w:rPr>
          <w:rFonts w:cstheme="minorHAnsi"/>
          <w:sz w:val="24"/>
          <w:szCs w:val="24"/>
        </w:rPr>
        <w:t xml:space="preserve"> to live free from </w:t>
      </w:r>
      <w:r w:rsidR="00561637">
        <w:rPr>
          <w:rFonts w:cstheme="minorHAnsi"/>
          <w:sz w:val="24"/>
          <w:szCs w:val="24"/>
        </w:rPr>
        <w:t xml:space="preserve">discrimination, </w:t>
      </w:r>
      <w:r w:rsidR="000B1152" w:rsidRPr="00A504BE">
        <w:rPr>
          <w:rFonts w:cstheme="minorHAnsi"/>
          <w:sz w:val="24"/>
          <w:szCs w:val="24"/>
        </w:rPr>
        <w:t>violence</w:t>
      </w:r>
      <w:r w:rsidR="001520E0">
        <w:rPr>
          <w:rFonts w:cstheme="minorHAnsi"/>
          <w:sz w:val="24"/>
          <w:szCs w:val="24"/>
        </w:rPr>
        <w:t xml:space="preserve"> and exploitation</w:t>
      </w:r>
      <w:r w:rsidR="00EB50FF" w:rsidRPr="00A504BE">
        <w:rPr>
          <w:rFonts w:cstheme="minorHAnsi"/>
          <w:sz w:val="24"/>
          <w:szCs w:val="24"/>
        </w:rPr>
        <w:t>.</w:t>
      </w:r>
      <w:r w:rsidR="00347145" w:rsidRPr="00A504BE">
        <w:rPr>
          <w:rFonts w:cstheme="minorHAnsi"/>
          <w:sz w:val="24"/>
          <w:szCs w:val="24"/>
        </w:rPr>
        <w:t xml:space="preserve"> </w:t>
      </w:r>
      <w:r w:rsidR="00662080" w:rsidRPr="00A504BE">
        <w:rPr>
          <w:rFonts w:cstheme="minorHAnsi"/>
          <w:sz w:val="24"/>
          <w:szCs w:val="24"/>
        </w:rPr>
        <w:t>This</w:t>
      </w:r>
      <w:r w:rsidR="00662080" w:rsidRPr="00222663">
        <w:rPr>
          <w:rFonts w:cstheme="minorHAnsi"/>
          <w:sz w:val="24"/>
          <w:szCs w:val="24"/>
        </w:rPr>
        <w:t xml:space="preserve"> research </w:t>
      </w:r>
      <w:r w:rsidR="00347145" w:rsidRPr="00222663">
        <w:rPr>
          <w:rFonts w:cstheme="minorHAnsi"/>
          <w:sz w:val="24"/>
          <w:szCs w:val="24"/>
        </w:rPr>
        <w:t>adds to the body of existing literature</w:t>
      </w:r>
      <w:r w:rsidR="00662080" w:rsidRPr="00222663">
        <w:rPr>
          <w:rFonts w:cstheme="minorHAnsi"/>
          <w:sz w:val="24"/>
          <w:szCs w:val="24"/>
        </w:rPr>
        <w:t xml:space="preserve"> that </w:t>
      </w:r>
      <w:r w:rsidR="00347145" w:rsidRPr="00222663">
        <w:rPr>
          <w:rFonts w:cstheme="minorHAnsi"/>
          <w:sz w:val="24"/>
          <w:szCs w:val="24"/>
        </w:rPr>
        <w:t xml:space="preserve">shows </w:t>
      </w:r>
      <w:r w:rsidR="00BF2B62">
        <w:rPr>
          <w:rFonts w:cstheme="minorHAnsi"/>
          <w:sz w:val="24"/>
          <w:szCs w:val="24"/>
        </w:rPr>
        <w:t>Nepali</w:t>
      </w:r>
      <w:r w:rsidR="00F17FC4" w:rsidRPr="00222663">
        <w:rPr>
          <w:rFonts w:cstheme="minorHAnsi"/>
          <w:sz w:val="24"/>
          <w:szCs w:val="24"/>
        </w:rPr>
        <w:t xml:space="preserve"> </w:t>
      </w:r>
      <w:r w:rsidR="00662080" w:rsidRPr="00222663">
        <w:rPr>
          <w:rFonts w:cstheme="minorHAnsi"/>
          <w:sz w:val="24"/>
          <w:szCs w:val="24"/>
        </w:rPr>
        <w:t>girls</w:t>
      </w:r>
      <w:r w:rsidR="002978E3" w:rsidRPr="00222663">
        <w:rPr>
          <w:rFonts w:cstheme="minorHAnsi"/>
          <w:sz w:val="24"/>
          <w:szCs w:val="24"/>
        </w:rPr>
        <w:t>’</w:t>
      </w:r>
      <w:r w:rsidR="00662080" w:rsidRPr="00222663">
        <w:rPr>
          <w:rFonts w:cstheme="minorHAnsi"/>
          <w:sz w:val="24"/>
          <w:szCs w:val="24"/>
        </w:rPr>
        <w:t xml:space="preserve"> experience </w:t>
      </w:r>
      <w:r w:rsidR="00E619DC" w:rsidRPr="00222663">
        <w:rPr>
          <w:rFonts w:cstheme="minorHAnsi"/>
          <w:sz w:val="24"/>
          <w:szCs w:val="24"/>
        </w:rPr>
        <w:t xml:space="preserve">of </w:t>
      </w:r>
      <w:r w:rsidR="00662080" w:rsidRPr="00222663">
        <w:rPr>
          <w:rFonts w:cstheme="minorHAnsi"/>
          <w:sz w:val="24"/>
          <w:szCs w:val="24"/>
        </w:rPr>
        <w:t xml:space="preserve">violence </w:t>
      </w:r>
      <w:r w:rsidR="002978E3" w:rsidRPr="00222663">
        <w:rPr>
          <w:rFonts w:cstheme="minorHAnsi"/>
          <w:sz w:val="24"/>
          <w:szCs w:val="24"/>
        </w:rPr>
        <w:t>and discrimination i</w:t>
      </w:r>
      <w:r w:rsidR="003D676E" w:rsidRPr="00222663">
        <w:rPr>
          <w:rFonts w:cstheme="minorHAnsi"/>
          <w:sz w:val="24"/>
          <w:szCs w:val="24"/>
        </w:rPr>
        <w:t xml:space="preserve">n their everyday lives in all settings, </w:t>
      </w:r>
      <w:r w:rsidR="00DA2871" w:rsidRPr="00222663">
        <w:rPr>
          <w:rFonts w:cstheme="minorHAnsi"/>
          <w:sz w:val="24"/>
          <w:szCs w:val="24"/>
        </w:rPr>
        <w:t xml:space="preserve">including from men </w:t>
      </w:r>
      <w:r w:rsidR="00F17FC4" w:rsidRPr="00222663">
        <w:rPr>
          <w:rFonts w:cstheme="minorHAnsi"/>
          <w:sz w:val="24"/>
          <w:szCs w:val="24"/>
        </w:rPr>
        <w:t>in public settings</w:t>
      </w:r>
      <w:r w:rsidR="00D677DD" w:rsidRPr="00222663">
        <w:rPr>
          <w:rFonts w:cstheme="minorHAnsi"/>
          <w:sz w:val="24"/>
          <w:szCs w:val="24"/>
        </w:rPr>
        <w:t>. The research also shows that</w:t>
      </w:r>
      <w:r w:rsidR="001F4505" w:rsidRPr="00222663">
        <w:rPr>
          <w:rFonts w:cstheme="minorHAnsi"/>
          <w:sz w:val="24"/>
          <w:szCs w:val="24"/>
        </w:rPr>
        <w:t xml:space="preserve"> </w:t>
      </w:r>
      <w:r w:rsidR="00662080" w:rsidRPr="00222663">
        <w:rPr>
          <w:rFonts w:cstheme="minorHAnsi"/>
          <w:sz w:val="24"/>
          <w:szCs w:val="24"/>
        </w:rPr>
        <w:t xml:space="preserve">action </w:t>
      </w:r>
      <w:r w:rsidR="000F041F" w:rsidRPr="00222663">
        <w:rPr>
          <w:rFonts w:cstheme="minorHAnsi"/>
          <w:sz w:val="24"/>
          <w:szCs w:val="24"/>
        </w:rPr>
        <w:t xml:space="preserve">is rarely </w:t>
      </w:r>
      <w:r w:rsidR="00662080" w:rsidRPr="00222663">
        <w:rPr>
          <w:rFonts w:cstheme="minorHAnsi"/>
          <w:sz w:val="24"/>
          <w:szCs w:val="24"/>
        </w:rPr>
        <w:t>taken against the</w:t>
      </w:r>
      <w:r w:rsidR="000F041F" w:rsidRPr="00222663">
        <w:rPr>
          <w:rFonts w:cstheme="minorHAnsi"/>
          <w:sz w:val="24"/>
          <w:szCs w:val="24"/>
        </w:rPr>
        <w:t xml:space="preserve"> </w:t>
      </w:r>
      <w:r w:rsidR="00662080" w:rsidRPr="00222663">
        <w:rPr>
          <w:rFonts w:cstheme="minorHAnsi"/>
          <w:sz w:val="24"/>
          <w:szCs w:val="24"/>
        </w:rPr>
        <w:t xml:space="preserve">perpetrators </w:t>
      </w:r>
      <w:r w:rsidR="000F041F" w:rsidRPr="00222663">
        <w:rPr>
          <w:rFonts w:cstheme="minorHAnsi"/>
          <w:sz w:val="24"/>
          <w:szCs w:val="24"/>
        </w:rPr>
        <w:t xml:space="preserve">of </w:t>
      </w:r>
      <w:r w:rsidR="00662080" w:rsidRPr="00222663">
        <w:rPr>
          <w:rFonts w:cstheme="minorHAnsi"/>
          <w:sz w:val="24"/>
          <w:szCs w:val="24"/>
        </w:rPr>
        <w:t>these offences</w:t>
      </w:r>
      <w:r w:rsidR="000B1152">
        <w:rPr>
          <w:rFonts w:cstheme="minorHAnsi"/>
          <w:sz w:val="24"/>
          <w:szCs w:val="24"/>
        </w:rPr>
        <w:t>, thus,</w:t>
      </w:r>
      <w:r w:rsidR="00662080" w:rsidRPr="00222663">
        <w:rPr>
          <w:rFonts w:cstheme="minorHAnsi"/>
          <w:sz w:val="24"/>
          <w:szCs w:val="24"/>
        </w:rPr>
        <w:t xml:space="preserve"> </w:t>
      </w:r>
      <w:r w:rsidR="00312ABF" w:rsidRPr="00222663">
        <w:rPr>
          <w:rFonts w:cstheme="minorHAnsi"/>
          <w:sz w:val="24"/>
          <w:szCs w:val="24"/>
        </w:rPr>
        <w:t xml:space="preserve">most </w:t>
      </w:r>
      <w:r w:rsidR="00662080" w:rsidRPr="00222663">
        <w:rPr>
          <w:rFonts w:cstheme="minorHAnsi"/>
          <w:sz w:val="24"/>
          <w:szCs w:val="24"/>
        </w:rPr>
        <w:t>offen</w:t>
      </w:r>
      <w:r w:rsidR="009F7CC5" w:rsidRPr="00222663">
        <w:rPr>
          <w:rFonts w:cstheme="minorHAnsi"/>
          <w:sz w:val="24"/>
          <w:szCs w:val="24"/>
        </w:rPr>
        <w:t>c</w:t>
      </w:r>
      <w:r w:rsidR="00662080" w:rsidRPr="00222663">
        <w:rPr>
          <w:rFonts w:cstheme="minorHAnsi"/>
          <w:sz w:val="24"/>
          <w:szCs w:val="24"/>
        </w:rPr>
        <w:t>e</w:t>
      </w:r>
      <w:r w:rsidR="00F17FC4" w:rsidRPr="00222663">
        <w:rPr>
          <w:rFonts w:cstheme="minorHAnsi"/>
          <w:sz w:val="24"/>
          <w:szCs w:val="24"/>
        </w:rPr>
        <w:t>s</w:t>
      </w:r>
      <w:r w:rsidR="00662080" w:rsidRPr="00222663">
        <w:rPr>
          <w:rFonts w:cstheme="minorHAnsi"/>
          <w:sz w:val="24"/>
          <w:szCs w:val="24"/>
        </w:rPr>
        <w:t xml:space="preserve"> </w:t>
      </w:r>
      <w:r w:rsidR="00461E64" w:rsidRPr="00222663">
        <w:rPr>
          <w:rFonts w:cstheme="minorHAnsi"/>
          <w:sz w:val="24"/>
          <w:szCs w:val="24"/>
        </w:rPr>
        <w:t xml:space="preserve">against girls </w:t>
      </w:r>
      <w:r w:rsidR="00662080" w:rsidRPr="00222663">
        <w:rPr>
          <w:rFonts w:cstheme="minorHAnsi"/>
          <w:sz w:val="24"/>
          <w:szCs w:val="24"/>
        </w:rPr>
        <w:t>are carried out with impunity.</w:t>
      </w:r>
      <w:r w:rsidR="00975E78" w:rsidRPr="00222663">
        <w:rPr>
          <w:rStyle w:val="FootnoteReference"/>
          <w:rFonts w:cstheme="minorHAnsi"/>
          <w:sz w:val="24"/>
          <w:szCs w:val="24"/>
        </w:rPr>
        <w:footnoteReference w:id="28"/>
      </w:r>
      <w:r w:rsidR="00975E78" w:rsidRPr="00222663">
        <w:rPr>
          <w:rFonts w:cstheme="minorHAnsi"/>
          <w:sz w:val="24"/>
          <w:szCs w:val="24"/>
        </w:rPr>
        <w:t xml:space="preserve"> </w:t>
      </w:r>
      <w:r w:rsidR="000F041F" w:rsidRPr="00222663">
        <w:rPr>
          <w:rFonts w:cstheme="minorHAnsi"/>
          <w:sz w:val="24"/>
          <w:szCs w:val="24"/>
        </w:rPr>
        <w:t>Related to this</w:t>
      </w:r>
      <w:r w:rsidR="00662080" w:rsidRPr="00222663">
        <w:rPr>
          <w:rFonts w:cstheme="minorHAnsi"/>
          <w:sz w:val="24"/>
          <w:szCs w:val="24"/>
        </w:rPr>
        <w:t xml:space="preserve">, participants </w:t>
      </w:r>
      <w:r w:rsidR="00662080" w:rsidRPr="00222663">
        <w:rPr>
          <w:rFonts w:cstheme="minorHAnsi"/>
          <w:sz w:val="24"/>
          <w:szCs w:val="24"/>
        </w:rPr>
        <w:lastRenderedPageBreak/>
        <w:t xml:space="preserve">reported </w:t>
      </w:r>
      <w:r w:rsidR="001F4505" w:rsidRPr="00222663">
        <w:rPr>
          <w:rFonts w:cstheme="minorHAnsi"/>
          <w:sz w:val="24"/>
          <w:szCs w:val="24"/>
        </w:rPr>
        <w:t>pronounced</w:t>
      </w:r>
      <w:r w:rsidR="00662080" w:rsidRPr="00222663">
        <w:rPr>
          <w:rFonts w:cstheme="minorHAnsi"/>
          <w:sz w:val="24"/>
          <w:szCs w:val="24"/>
        </w:rPr>
        <w:t xml:space="preserve"> political apathy about </w:t>
      </w:r>
      <w:r w:rsidR="0096581A" w:rsidRPr="00222663">
        <w:rPr>
          <w:rFonts w:cstheme="minorHAnsi"/>
          <w:sz w:val="24"/>
          <w:szCs w:val="24"/>
        </w:rPr>
        <w:t xml:space="preserve">addressing </w:t>
      </w:r>
      <w:r w:rsidR="00CD41E8" w:rsidRPr="00222663">
        <w:rPr>
          <w:rFonts w:cstheme="minorHAnsi"/>
          <w:sz w:val="24"/>
          <w:szCs w:val="24"/>
        </w:rPr>
        <w:t xml:space="preserve">violence </w:t>
      </w:r>
      <w:r w:rsidR="00662080" w:rsidRPr="00222663">
        <w:rPr>
          <w:rFonts w:cstheme="minorHAnsi"/>
          <w:sz w:val="24"/>
          <w:szCs w:val="24"/>
        </w:rPr>
        <w:t xml:space="preserve">against girls </w:t>
      </w:r>
      <w:r w:rsidR="00461E64" w:rsidRPr="00222663">
        <w:rPr>
          <w:rFonts w:cstheme="minorHAnsi"/>
          <w:sz w:val="24"/>
          <w:szCs w:val="24"/>
        </w:rPr>
        <w:t>in Nepal</w:t>
      </w:r>
      <w:r w:rsidR="00CD41E8" w:rsidRPr="00222663">
        <w:rPr>
          <w:rFonts w:cstheme="minorHAnsi"/>
          <w:sz w:val="24"/>
          <w:szCs w:val="24"/>
        </w:rPr>
        <w:t xml:space="preserve">. All participants </w:t>
      </w:r>
      <w:r w:rsidR="00461E64" w:rsidRPr="00222663">
        <w:rPr>
          <w:rFonts w:cstheme="minorHAnsi"/>
          <w:sz w:val="24"/>
          <w:szCs w:val="24"/>
        </w:rPr>
        <w:t xml:space="preserve">demonstrated knowledge about </w:t>
      </w:r>
      <w:r w:rsidR="00535C8A" w:rsidRPr="00222663">
        <w:rPr>
          <w:rFonts w:cstheme="minorHAnsi"/>
          <w:sz w:val="24"/>
          <w:szCs w:val="24"/>
        </w:rPr>
        <w:t>legislation</w:t>
      </w:r>
      <w:r w:rsidR="00461E64" w:rsidRPr="00222663">
        <w:rPr>
          <w:rFonts w:cstheme="minorHAnsi"/>
          <w:sz w:val="24"/>
          <w:szCs w:val="24"/>
        </w:rPr>
        <w:t xml:space="preserve"> criminalising violence against girls</w:t>
      </w:r>
      <w:r w:rsidR="0041076D" w:rsidRPr="00222663">
        <w:rPr>
          <w:rFonts w:cstheme="minorHAnsi"/>
          <w:sz w:val="24"/>
          <w:szCs w:val="24"/>
        </w:rPr>
        <w:t>. H</w:t>
      </w:r>
      <w:r w:rsidR="00461E64" w:rsidRPr="00222663">
        <w:rPr>
          <w:rFonts w:cstheme="minorHAnsi"/>
          <w:sz w:val="24"/>
          <w:szCs w:val="24"/>
        </w:rPr>
        <w:t xml:space="preserve">owever, they reported that these laws are not enforced. Further, all participants </w:t>
      </w:r>
      <w:r w:rsidR="00CD41E8" w:rsidRPr="00222663">
        <w:rPr>
          <w:rFonts w:cstheme="minorHAnsi"/>
          <w:sz w:val="24"/>
          <w:szCs w:val="24"/>
        </w:rPr>
        <w:t>said they have never been asked to be involved in any initiatives to end violence against girls and expressed their desire for the government to ‘listen’</w:t>
      </w:r>
      <w:r w:rsidR="00461E64" w:rsidRPr="00222663">
        <w:rPr>
          <w:rStyle w:val="FootnoteReference"/>
          <w:rFonts w:cstheme="minorHAnsi"/>
          <w:sz w:val="24"/>
          <w:szCs w:val="24"/>
        </w:rPr>
        <w:footnoteReference w:id="29"/>
      </w:r>
      <w:r w:rsidR="00F17FC4" w:rsidRPr="00222663">
        <w:rPr>
          <w:rFonts w:cstheme="minorHAnsi"/>
          <w:sz w:val="24"/>
          <w:szCs w:val="24"/>
        </w:rPr>
        <w:t xml:space="preserve"> to their experiences and respond </w:t>
      </w:r>
      <w:r w:rsidR="00535C8A" w:rsidRPr="00222663">
        <w:rPr>
          <w:rFonts w:cstheme="minorHAnsi"/>
          <w:sz w:val="24"/>
          <w:szCs w:val="24"/>
        </w:rPr>
        <w:t>by</w:t>
      </w:r>
      <w:r w:rsidR="00461E64" w:rsidRPr="00222663">
        <w:rPr>
          <w:rFonts w:cstheme="minorHAnsi"/>
          <w:sz w:val="24"/>
          <w:szCs w:val="24"/>
        </w:rPr>
        <w:t xml:space="preserve"> </w:t>
      </w:r>
      <w:r w:rsidR="00F17FC4" w:rsidRPr="00222663">
        <w:rPr>
          <w:rFonts w:cstheme="minorHAnsi"/>
          <w:sz w:val="24"/>
          <w:szCs w:val="24"/>
        </w:rPr>
        <w:t>incorporat</w:t>
      </w:r>
      <w:r w:rsidR="00461E64" w:rsidRPr="00222663">
        <w:rPr>
          <w:rFonts w:cstheme="minorHAnsi"/>
          <w:sz w:val="24"/>
          <w:szCs w:val="24"/>
        </w:rPr>
        <w:t>ing</w:t>
      </w:r>
      <w:r w:rsidR="00F17FC4" w:rsidRPr="00222663">
        <w:rPr>
          <w:rFonts w:cstheme="minorHAnsi"/>
          <w:sz w:val="24"/>
          <w:szCs w:val="24"/>
        </w:rPr>
        <w:t xml:space="preserve"> and act</w:t>
      </w:r>
      <w:r w:rsidR="00461E64" w:rsidRPr="00222663">
        <w:rPr>
          <w:rFonts w:cstheme="minorHAnsi"/>
          <w:sz w:val="24"/>
          <w:szCs w:val="24"/>
        </w:rPr>
        <w:t>ing</w:t>
      </w:r>
      <w:r w:rsidR="00F17FC4" w:rsidRPr="00222663">
        <w:rPr>
          <w:rFonts w:cstheme="minorHAnsi"/>
          <w:sz w:val="24"/>
          <w:szCs w:val="24"/>
        </w:rPr>
        <w:t xml:space="preserve"> on their ideas for law </w:t>
      </w:r>
      <w:r w:rsidR="001F4505" w:rsidRPr="00222663">
        <w:rPr>
          <w:rFonts w:cstheme="minorHAnsi"/>
          <w:sz w:val="24"/>
          <w:szCs w:val="24"/>
        </w:rPr>
        <w:t xml:space="preserve">and policy </w:t>
      </w:r>
      <w:r w:rsidR="00F17FC4" w:rsidRPr="00222663">
        <w:rPr>
          <w:rFonts w:cstheme="minorHAnsi"/>
          <w:sz w:val="24"/>
          <w:szCs w:val="24"/>
        </w:rPr>
        <w:t>reform</w:t>
      </w:r>
      <w:r w:rsidR="00061C92" w:rsidRPr="00222663">
        <w:rPr>
          <w:rFonts w:cstheme="minorHAnsi"/>
          <w:sz w:val="24"/>
          <w:szCs w:val="24"/>
        </w:rPr>
        <w:t>.</w:t>
      </w:r>
      <w:r w:rsidR="00F17FC4" w:rsidRPr="00222663">
        <w:rPr>
          <w:rFonts w:cstheme="minorHAnsi"/>
          <w:sz w:val="24"/>
          <w:szCs w:val="24"/>
        </w:rPr>
        <w:t xml:space="preserve"> </w:t>
      </w:r>
    </w:p>
    <w:p w14:paraId="0D530FC8" w14:textId="3311A1D8" w:rsidR="00294859" w:rsidRPr="00222663" w:rsidRDefault="00461E64" w:rsidP="00746A43">
      <w:pPr>
        <w:spacing w:line="360" w:lineRule="auto"/>
        <w:rPr>
          <w:rFonts w:cstheme="minorHAnsi"/>
          <w:sz w:val="24"/>
          <w:szCs w:val="24"/>
        </w:rPr>
      </w:pPr>
      <w:r w:rsidRPr="00222663">
        <w:rPr>
          <w:rFonts w:cstheme="minorHAnsi"/>
          <w:sz w:val="24"/>
          <w:szCs w:val="24"/>
        </w:rPr>
        <w:t>Further</w:t>
      </w:r>
      <w:r w:rsidR="00F17FC4" w:rsidRPr="00222663">
        <w:rPr>
          <w:rFonts w:cstheme="minorHAnsi"/>
          <w:sz w:val="24"/>
          <w:szCs w:val="24"/>
        </w:rPr>
        <w:t xml:space="preserve"> research </w:t>
      </w:r>
      <w:r w:rsidRPr="00222663">
        <w:rPr>
          <w:rFonts w:cstheme="minorHAnsi"/>
          <w:sz w:val="24"/>
          <w:szCs w:val="24"/>
        </w:rPr>
        <w:t>about</w:t>
      </w:r>
      <w:r w:rsidR="00F17FC4" w:rsidRPr="00222663">
        <w:rPr>
          <w:rFonts w:cstheme="minorHAnsi"/>
          <w:sz w:val="24"/>
          <w:szCs w:val="24"/>
        </w:rPr>
        <w:t xml:space="preserve"> </w:t>
      </w:r>
      <w:r w:rsidR="00294859" w:rsidRPr="00222663">
        <w:rPr>
          <w:rFonts w:cstheme="minorHAnsi"/>
          <w:sz w:val="24"/>
          <w:szCs w:val="24"/>
        </w:rPr>
        <w:t>the participation of children and young people</w:t>
      </w:r>
      <w:r w:rsidR="0004784B" w:rsidRPr="00222663">
        <w:rPr>
          <w:rFonts w:cstheme="minorHAnsi"/>
          <w:sz w:val="24"/>
          <w:szCs w:val="24"/>
        </w:rPr>
        <w:t xml:space="preserve"> </w:t>
      </w:r>
      <w:r w:rsidR="00294859" w:rsidRPr="00222663">
        <w:rPr>
          <w:rFonts w:cstheme="minorHAnsi"/>
          <w:sz w:val="24"/>
          <w:szCs w:val="24"/>
        </w:rPr>
        <w:t xml:space="preserve">in the design of laws and policies to end violence against girls </w:t>
      </w:r>
      <w:r w:rsidR="001F4505" w:rsidRPr="00222663">
        <w:rPr>
          <w:rFonts w:cstheme="minorHAnsi"/>
          <w:sz w:val="24"/>
          <w:szCs w:val="24"/>
        </w:rPr>
        <w:t xml:space="preserve">in Nepal </w:t>
      </w:r>
      <w:r w:rsidRPr="00222663">
        <w:rPr>
          <w:rFonts w:cstheme="minorHAnsi"/>
          <w:sz w:val="24"/>
          <w:szCs w:val="24"/>
        </w:rPr>
        <w:t>should be undertaken</w:t>
      </w:r>
      <w:r w:rsidR="000F041F" w:rsidRPr="00222663">
        <w:rPr>
          <w:rFonts w:cstheme="minorHAnsi"/>
          <w:sz w:val="24"/>
          <w:szCs w:val="24"/>
        </w:rPr>
        <w:t>.</w:t>
      </w:r>
      <w:r w:rsidR="0004784B" w:rsidRPr="00222663">
        <w:rPr>
          <w:rFonts w:cstheme="minorHAnsi"/>
          <w:sz w:val="24"/>
          <w:szCs w:val="24"/>
        </w:rPr>
        <w:t xml:space="preserve"> </w:t>
      </w:r>
      <w:r w:rsidR="000F041F" w:rsidRPr="00222663">
        <w:rPr>
          <w:rFonts w:cstheme="minorHAnsi"/>
          <w:sz w:val="24"/>
          <w:szCs w:val="24"/>
        </w:rPr>
        <w:t>T</w:t>
      </w:r>
      <w:r w:rsidRPr="00222663">
        <w:rPr>
          <w:rFonts w:cstheme="minorHAnsi"/>
          <w:sz w:val="24"/>
          <w:szCs w:val="24"/>
        </w:rPr>
        <w:t xml:space="preserve">his study suggests </w:t>
      </w:r>
      <w:r w:rsidR="001F4505" w:rsidRPr="00222663">
        <w:rPr>
          <w:rFonts w:cstheme="minorHAnsi"/>
          <w:sz w:val="24"/>
          <w:szCs w:val="24"/>
        </w:rPr>
        <w:t xml:space="preserve">children’s perspectives </w:t>
      </w:r>
      <w:r w:rsidRPr="00222663">
        <w:rPr>
          <w:rFonts w:cstheme="minorHAnsi"/>
          <w:sz w:val="24"/>
          <w:szCs w:val="24"/>
        </w:rPr>
        <w:t>may</w:t>
      </w:r>
      <w:r w:rsidR="00294859" w:rsidRPr="00222663">
        <w:rPr>
          <w:rFonts w:cstheme="minorHAnsi"/>
          <w:sz w:val="24"/>
          <w:szCs w:val="24"/>
        </w:rPr>
        <w:t xml:space="preserve"> </w:t>
      </w:r>
      <w:r w:rsidR="001F4505" w:rsidRPr="00222663">
        <w:rPr>
          <w:rFonts w:cstheme="minorHAnsi"/>
          <w:sz w:val="24"/>
          <w:szCs w:val="24"/>
        </w:rPr>
        <w:t>offer</w:t>
      </w:r>
      <w:r w:rsidR="00294859" w:rsidRPr="00222663">
        <w:rPr>
          <w:rFonts w:cstheme="minorHAnsi"/>
          <w:sz w:val="24"/>
          <w:szCs w:val="24"/>
        </w:rPr>
        <w:t xml:space="preserve"> new and </w:t>
      </w:r>
      <w:r w:rsidR="006D5221" w:rsidRPr="00222663">
        <w:rPr>
          <w:rFonts w:cstheme="minorHAnsi"/>
          <w:sz w:val="24"/>
          <w:szCs w:val="24"/>
        </w:rPr>
        <w:t>underutilised</w:t>
      </w:r>
      <w:r w:rsidR="00294859" w:rsidRPr="00222663">
        <w:rPr>
          <w:rFonts w:cstheme="minorHAnsi"/>
          <w:sz w:val="24"/>
          <w:szCs w:val="24"/>
        </w:rPr>
        <w:t xml:space="preserve"> way</w:t>
      </w:r>
      <w:r w:rsidR="00561637">
        <w:rPr>
          <w:rFonts w:cstheme="minorHAnsi"/>
          <w:sz w:val="24"/>
          <w:szCs w:val="24"/>
        </w:rPr>
        <w:t>s</w:t>
      </w:r>
      <w:r w:rsidR="00294859" w:rsidRPr="00222663">
        <w:rPr>
          <w:rFonts w:cstheme="minorHAnsi"/>
          <w:sz w:val="24"/>
          <w:szCs w:val="24"/>
        </w:rPr>
        <w:t xml:space="preserve"> to address </w:t>
      </w:r>
      <w:r w:rsidR="00561637" w:rsidRPr="00222663">
        <w:rPr>
          <w:rFonts w:cstheme="minorHAnsi"/>
          <w:sz w:val="24"/>
          <w:szCs w:val="24"/>
        </w:rPr>
        <w:t>th</w:t>
      </w:r>
      <w:r w:rsidR="00561637">
        <w:rPr>
          <w:rFonts w:cstheme="minorHAnsi"/>
          <w:sz w:val="24"/>
          <w:szCs w:val="24"/>
        </w:rPr>
        <w:t>ese</w:t>
      </w:r>
      <w:r w:rsidR="00561637" w:rsidRPr="00222663">
        <w:rPr>
          <w:rFonts w:cstheme="minorHAnsi"/>
          <w:sz w:val="24"/>
          <w:szCs w:val="24"/>
        </w:rPr>
        <w:t xml:space="preserve"> </w:t>
      </w:r>
      <w:r w:rsidR="005F111C" w:rsidRPr="00222663">
        <w:rPr>
          <w:rFonts w:cstheme="minorHAnsi"/>
          <w:sz w:val="24"/>
          <w:szCs w:val="24"/>
        </w:rPr>
        <w:t xml:space="preserve">pressing </w:t>
      </w:r>
      <w:r w:rsidR="0091049C">
        <w:rPr>
          <w:rFonts w:cstheme="minorHAnsi"/>
          <w:sz w:val="24"/>
          <w:szCs w:val="24"/>
        </w:rPr>
        <w:t>concerns</w:t>
      </w:r>
      <w:r w:rsidR="0091049C" w:rsidRPr="00222663">
        <w:rPr>
          <w:rFonts w:cstheme="minorHAnsi"/>
          <w:sz w:val="24"/>
          <w:szCs w:val="24"/>
        </w:rPr>
        <w:t xml:space="preserve"> </w:t>
      </w:r>
      <w:r w:rsidRPr="00222663">
        <w:rPr>
          <w:rFonts w:cstheme="minorHAnsi"/>
          <w:sz w:val="24"/>
          <w:szCs w:val="24"/>
        </w:rPr>
        <w:t>in Nepal</w:t>
      </w:r>
      <w:r w:rsidR="00294859" w:rsidRPr="00222663">
        <w:rPr>
          <w:rFonts w:cstheme="minorHAnsi"/>
          <w:sz w:val="24"/>
          <w:szCs w:val="24"/>
        </w:rPr>
        <w:t xml:space="preserve">. </w:t>
      </w:r>
    </w:p>
    <w:p w14:paraId="3BFCF30B" w14:textId="1FD9329B" w:rsidR="00AF52AF" w:rsidRPr="00222663" w:rsidRDefault="00DF21B1" w:rsidP="00652B09">
      <w:pPr>
        <w:pStyle w:val="Heading2"/>
      </w:pPr>
      <w:r w:rsidRPr="00222663">
        <w:t xml:space="preserve">Research Overview and </w:t>
      </w:r>
      <w:r w:rsidR="00327EFD" w:rsidRPr="00222663">
        <w:t>M</w:t>
      </w:r>
      <w:r w:rsidRPr="00222663">
        <w:t>ethodology</w:t>
      </w:r>
    </w:p>
    <w:p w14:paraId="533ED516" w14:textId="3E08E008" w:rsidR="002F24EC" w:rsidRPr="00222663" w:rsidRDefault="00481640" w:rsidP="006B7D91">
      <w:pPr>
        <w:spacing w:line="360" w:lineRule="auto"/>
        <w:rPr>
          <w:rFonts w:cstheme="minorHAnsi"/>
          <w:sz w:val="24"/>
          <w:szCs w:val="24"/>
        </w:rPr>
      </w:pPr>
      <w:r w:rsidRPr="00222663">
        <w:rPr>
          <w:rFonts w:cstheme="minorHAnsi"/>
          <w:sz w:val="24"/>
          <w:szCs w:val="24"/>
        </w:rPr>
        <w:t xml:space="preserve">This project </w:t>
      </w:r>
      <w:r w:rsidR="004246D3" w:rsidRPr="00222663">
        <w:rPr>
          <w:rFonts w:cstheme="minorHAnsi"/>
          <w:sz w:val="24"/>
          <w:szCs w:val="24"/>
        </w:rPr>
        <w:t>sought</w:t>
      </w:r>
      <w:r w:rsidRPr="00222663">
        <w:rPr>
          <w:rFonts w:cstheme="minorHAnsi"/>
          <w:sz w:val="24"/>
          <w:szCs w:val="24"/>
        </w:rPr>
        <w:t xml:space="preserve"> to fill a gap in</w:t>
      </w:r>
      <w:r w:rsidR="00926D4A" w:rsidRPr="00222663">
        <w:rPr>
          <w:rFonts w:cstheme="minorHAnsi"/>
          <w:sz w:val="24"/>
          <w:szCs w:val="24"/>
        </w:rPr>
        <w:t xml:space="preserve"> the</w:t>
      </w:r>
      <w:r w:rsidRPr="00222663">
        <w:rPr>
          <w:rFonts w:cstheme="minorHAnsi"/>
          <w:sz w:val="24"/>
          <w:szCs w:val="24"/>
        </w:rPr>
        <w:t xml:space="preserve"> literature regarding the role </w:t>
      </w:r>
      <w:r w:rsidR="00B17114" w:rsidRPr="00222663">
        <w:rPr>
          <w:rFonts w:cstheme="minorHAnsi"/>
          <w:sz w:val="24"/>
          <w:szCs w:val="24"/>
        </w:rPr>
        <w:t>children and young people</w:t>
      </w:r>
      <w:r w:rsidRPr="00222663">
        <w:rPr>
          <w:rFonts w:cstheme="minorHAnsi"/>
          <w:sz w:val="24"/>
          <w:szCs w:val="24"/>
        </w:rPr>
        <w:t xml:space="preserve"> could play, if afforded the opportunity, in the design of legislative measures to address violence against girls in the Asia-Pacific region. </w:t>
      </w:r>
      <w:r w:rsidR="00781F8C" w:rsidRPr="00222663">
        <w:rPr>
          <w:rFonts w:cstheme="minorHAnsi"/>
          <w:sz w:val="24"/>
          <w:szCs w:val="24"/>
        </w:rPr>
        <w:t>Doel-</w:t>
      </w:r>
      <w:proofErr w:type="spellStart"/>
      <w:r w:rsidR="00781F8C" w:rsidRPr="00222663">
        <w:rPr>
          <w:rFonts w:cstheme="minorHAnsi"/>
          <w:sz w:val="24"/>
          <w:szCs w:val="24"/>
        </w:rPr>
        <w:t>Mackaway’s</w:t>
      </w:r>
      <w:proofErr w:type="spellEnd"/>
      <w:r w:rsidR="00781F8C" w:rsidRPr="00222663">
        <w:rPr>
          <w:rFonts w:cstheme="minorHAnsi"/>
          <w:sz w:val="24"/>
          <w:szCs w:val="24"/>
        </w:rPr>
        <w:t xml:space="preserve"> background working on children’s rights implementation in the Asia-Pacific region with numerous children’s rights agencies led to two separate</w:t>
      </w:r>
      <w:r w:rsidR="00EA5652" w:rsidRPr="00222663">
        <w:rPr>
          <w:rFonts w:cstheme="minorHAnsi"/>
          <w:sz w:val="24"/>
          <w:szCs w:val="24"/>
        </w:rPr>
        <w:t xml:space="preserve"> </w:t>
      </w:r>
      <w:r w:rsidR="00E63A3F" w:rsidRPr="00222663">
        <w:rPr>
          <w:rFonts w:cstheme="minorHAnsi"/>
          <w:sz w:val="24"/>
          <w:szCs w:val="24"/>
        </w:rPr>
        <w:t>and</w:t>
      </w:r>
      <w:r w:rsidR="00781F8C" w:rsidRPr="00222663">
        <w:rPr>
          <w:rFonts w:cstheme="minorHAnsi"/>
          <w:sz w:val="24"/>
          <w:szCs w:val="24"/>
        </w:rPr>
        <w:t xml:space="preserve"> interconnected collaborations with Save the Children Nepal and Save the Children Fiji. </w:t>
      </w:r>
      <w:r w:rsidR="00DE3DB2" w:rsidRPr="00222663">
        <w:rPr>
          <w:rFonts w:cstheme="minorHAnsi"/>
          <w:sz w:val="24"/>
          <w:szCs w:val="24"/>
        </w:rPr>
        <w:t>The project</w:t>
      </w:r>
      <w:r w:rsidR="00B17114" w:rsidRPr="00222663">
        <w:rPr>
          <w:rFonts w:cstheme="minorHAnsi"/>
          <w:sz w:val="24"/>
          <w:szCs w:val="24"/>
        </w:rPr>
        <w:t xml:space="preserve"> </w:t>
      </w:r>
      <w:r w:rsidR="00671008" w:rsidRPr="00222663">
        <w:rPr>
          <w:rFonts w:cstheme="minorHAnsi"/>
          <w:sz w:val="24"/>
          <w:szCs w:val="24"/>
        </w:rPr>
        <w:t xml:space="preserve">was </w:t>
      </w:r>
      <w:r w:rsidR="00DE3DB2" w:rsidRPr="00222663">
        <w:rPr>
          <w:rFonts w:cstheme="minorHAnsi"/>
          <w:sz w:val="24"/>
          <w:szCs w:val="24"/>
        </w:rPr>
        <w:t xml:space="preserve">originally </w:t>
      </w:r>
      <w:r w:rsidR="00671008" w:rsidRPr="00222663">
        <w:rPr>
          <w:rFonts w:cstheme="minorHAnsi"/>
          <w:sz w:val="24"/>
          <w:szCs w:val="24"/>
        </w:rPr>
        <w:t xml:space="preserve">envisaged </w:t>
      </w:r>
      <w:r w:rsidR="00B17114" w:rsidRPr="00222663">
        <w:rPr>
          <w:rFonts w:cstheme="minorHAnsi"/>
          <w:sz w:val="24"/>
          <w:szCs w:val="24"/>
        </w:rPr>
        <w:t xml:space="preserve">as a pilot study </w:t>
      </w:r>
      <w:r w:rsidR="00671008" w:rsidRPr="00222663">
        <w:rPr>
          <w:rFonts w:cstheme="minorHAnsi"/>
          <w:sz w:val="24"/>
          <w:szCs w:val="24"/>
        </w:rPr>
        <w:t>to take place in</w:t>
      </w:r>
      <w:r w:rsidR="00B17114" w:rsidRPr="00222663">
        <w:rPr>
          <w:rFonts w:cstheme="minorHAnsi"/>
          <w:sz w:val="24"/>
          <w:szCs w:val="24"/>
        </w:rPr>
        <w:t xml:space="preserve"> both Nepal and Fiji</w:t>
      </w:r>
      <w:r w:rsidR="003308F5">
        <w:rPr>
          <w:rFonts w:cstheme="minorHAnsi"/>
          <w:sz w:val="24"/>
          <w:szCs w:val="24"/>
        </w:rPr>
        <w:t>,</w:t>
      </w:r>
      <w:r w:rsidR="00DE3DB2" w:rsidRPr="00222663">
        <w:rPr>
          <w:rFonts w:cstheme="minorHAnsi"/>
          <w:sz w:val="24"/>
          <w:szCs w:val="24"/>
        </w:rPr>
        <w:t xml:space="preserve"> with </w:t>
      </w:r>
      <w:r w:rsidR="00926D4A" w:rsidRPr="00222663">
        <w:rPr>
          <w:rFonts w:cstheme="minorHAnsi"/>
          <w:sz w:val="24"/>
          <w:szCs w:val="24"/>
        </w:rPr>
        <w:t xml:space="preserve">a </w:t>
      </w:r>
      <w:r w:rsidR="00DE3DB2" w:rsidRPr="00222663">
        <w:rPr>
          <w:rFonts w:cstheme="minorHAnsi"/>
          <w:sz w:val="24"/>
          <w:szCs w:val="24"/>
        </w:rPr>
        <w:t>view to</w:t>
      </w:r>
      <w:r w:rsidR="00B17114" w:rsidRPr="00222663">
        <w:rPr>
          <w:rFonts w:cstheme="minorHAnsi"/>
          <w:sz w:val="24"/>
          <w:szCs w:val="24"/>
        </w:rPr>
        <w:t xml:space="preserve"> present</w:t>
      </w:r>
      <w:r w:rsidR="00DE3DB2" w:rsidRPr="00222663">
        <w:rPr>
          <w:rFonts w:cstheme="minorHAnsi"/>
          <w:sz w:val="24"/>
          <w:szCs w:val="24"/>
        </w:rPr>
        <w:t>ing</w:t>
      </w:r>
      <w:r w:rsidR="00B17114" w:rsidRPr="00222663">
        <w:rPr>
          <w:rFonts w:cstheme="minorHAnsi"/>
          <w:sz w:val="24"/>
          <w:szCs w:val="24"/>
        </w:rPr>
        <w:t xml:space="preserve"> some initial lessons </w:t>
      </w:r>
      <w:r w:rsidR="00671008" w:rsidRPr="00222663">
        <w:rPr>
          <w:rFonts w:cstheme="minorHAnsi"/>
          <w:sz w:val="24"/>
          <w:szCs w:val="24"/>
        </w:rPr>
        <w:t xml:space="preserve">about the participation of young people in the development of law and policy to end violence against girls in </w:t>
      </w:r>
      <w:r w:rsidR="00B17114" w:rsidRPr="00222663">
        <w:rPr>
          <w:rFonts w:cstheme="minorHAnsi"/>
          <w:sz w:val="24"/>
          <w:szCs w:val="24"/>
        </w:rPr>
        <w:t>the Asia-Pacific</w:t>
      </w:r>
      <w:r w:rsidR="007F0B02" w:rsidRPr="00222663">
        <w:rPr>
          <w:rFonts w:cstheme="minorHAnsi"/>
          <w:sz w:val="24"/>
          <w:szCs w:val="24"/>
        </w:rPr>
        <w:t xml:space="preserve"> </w:t>
      </w:r>
      <w:r w:rsidR="00B17114" w:rsidRPr="00222663">
        <w:rPr>
          <w:rFonts w:cstheme="minorHAnsi"/>
          <w:sz w:val="24"/>
          <w:szCs w:val="24"/>
        </w:rPr>
        <w:t>region</w:t>
      </w:r>
      <w:r w:rsidR="00487771" w:rsidRPr="00222663">
        <w:rPr>
          <w:rFonts w:cstheme="minorHAnsi"/>
          <w:sz w:val="24"/>
          <w:szCs w:val="24"/>
        </w:rPr>
        <w:t xml:space="preserve">. It was </w:t>
      </w:r>
      <w:r w:rsidR="000E2F1B" w:rsidRPr="00222663">
        <w:rPr>
          <w:rFonts w:cstheme="minorHAnsi"/>
          <w:sz w:val="24"/>
          <w:szCs w:val="24"/>
        </w:rPr>
        <w:t>anticipated</w:t>
      </w:r>
      <w:r w:rsidR="00487771" w:rsidRPr="00222663">
        <w:rPr>
          <w:rFonts w:cstheme="minorHAnsi"/>
          <w:sz w:val="24"/>
          <w:szCs w:val="24"/>
        </w:rPr>
        <w:t xml:space="preserve"> that the findings of this pilot study </w:t>
      </w:r>
      <w:r w:rsidR="00926D4A" w:rsidRPr="00222663">
        <w:rPr>
          <w:rFonts w:cstheme="minorHAnsi"/>
          <w:sz w:val="24"/>
          <w:szCs w:val="24"/>
        </w:rPr>
        <w:t xml:space="preserve">would </w:t>
      </w:r>
      <w:r w:rsidR="00487771" w:rsidRPr="00222663">
        <w:rPr>
          <w:rFonts w:cstheme="minorHAnsi"/>
          <w:sz w:val="24"/>
          <w:szCs w:val="24"/>
        </w:rPr>
        <w:t xml:space="preserve">provide justification for a larger-scale study across the Asia-Pacific region. </w:t>
      </w:r>
      <w:r w:rsidR="00781F8C" w:rsidRPr="00222663">
        <w:rPr>
          <w:rFonts w:cstheme="minorHAnsi"/>
          <w:sz w:val="24"/>
          <w:szCs w:val="24"/>
        </w:rPr>
        <w:t>The research was funded by a grant from Macquarie University</w:t>
      </w:r>
      <w:r w:rsidR="00447667">
        <w:rPr>
          <w:rFonts w:cstheme="minorHAnsi"/>
          <w:sz w:val="24"/>
          <w:szCs w:val="24"/>
        </w:rPr>
        <w:t xml:space="preserve"> </w:t>
      </w:r>
      <w:r w:rsidR="00781F8C" w:rsidRPr="00222663">
        <w:rPr>
          <w:rFonts w:cstheme="minorHAnsi"/>
          <w:sz w:val="24"/>
          <w:szCs w:val="24"/>
        </w:rPr>
        <w:t>with in-kind support from Save the Children Nepal.</w:t>
      </w:r>
    </w:p>
    <w:p w14:paraId="483EB9E4" w14:textId="7674E2D8" w:rsidR="00781F8C" w:rsidRPr="00222663" w:rsidRDefault="00781F8C" w:rsidP="00746A43">
      <w:pPr>
        <w:spacing w:line="360" w:lineRule="auto"/>
        <w:rPr>
          <w:rFonts w:cstheme="minorHAnsi"/>
          <w:sz w:val="24"/>
          <w:szCs w:val="24"/>
        </w:rPr>
      </w:pPr>
      <w:r w:rsidRPr="00222663">
        <w:rPr>
          <w:rFonts w:cstheme="minorHAnsi"/>
          <w:sz w:val="24"/>
          <w:szCs w:val="24"/>
        </w:rPr>
        <w:t>The research was due to be carried out in two phases</w:t>
      </w:r>
      <w:r w:rsidR="00945BBB" w:rsidRPr="00222663">
        <w:rPr>
          <w:rFonts w:cstheme="minorHAnsi"/>
          <w:sz w:val="24"/>
          <w:szCs w:val="24"/>
        </w:rPr>
        <w:t xml:space="preserve"> in two countries, Nepal and Fiji</w:t>
      </w:r>
      <w:r w:rsidRPr="00222663">
        <w:rPr>
          <w:rFonts w:cstheme="minorHAnsi"/>
          <w:sz w:val="24"/>
          <w:szCs w:val="24"/>
        </w:rPr>
        <w:t xml:space="preserve">. Phase </w:t>
      </w:r>
      <w:r w:rsidR="00275781">
        <w:rPr>
          <w:rFonts w:cstheme="minorHAnsi"/>
          <w:sz w:val="24"/>
          <w:szCs w:val="24"/>
        </w:rPr>
        <w:t>one</w:t>
      </w:r>
      <w:r w:rsidRPr="00222663">
        <w:rPr>
          <w:rFonts w:cstheme="minorHAnsi"/>
          <w:sz w:val="24"/>
          <w:szCs w:val="24"/>
        </w:rPr>
        <w:t xml:space="preserve"> focussed on consolidating the research partnership between Macquarie University and Save the Children</w:t>
      </w:r>
      <w:r w:rsidR="00945BBB" w:rsidRPr="00222663">
        <w:rPr>
          <w:rFonts w:cstheme="minorHAnsi"/>
          <w:sz w:val="24"/>
          <w:szCs w:val="24"/>
        </w:rPr>
        <w:t xml:space="preserve"> in both countries</w:t>
      </w:r>
      <w:r w:rsidRPr="00222663">
        <w:rPr>
          <w:rFonts w:cstheme="minorHAnsi"/>
          <w:sz w:val="24"/>
          <w:szCs w:val="24"/>
        </w:rPr>
        <w:t>, building relationships in the communit</w:t>
      </w:r>
      <w:r w:rsidR="00945BBB" w:rsidRPr="00222663">
        <w:rPr>
          <w:rFonts w:cstheme="minorHAnsi"/>
          <w:sz w:val="24"/>
          <w:szCs w:val="24"/>
        </w:rPr>
        <w:t>ies</w:t>
      </w:r>
      <w:r w:rsidRPr="00222663">
        <w:rPr>
          <w:rFonts w:cstheme="minorHAnsi"/>
          <w:sz w:val="24"/>
          <w:szCs w:val="24"/>
        </w:rPr>
        <w:t xml:space="preserve"> where the research was to </w:t>
      </w:r>
      <w:r w:rsidR="002F0535" w:rsidRPr="00222663">
        <w:rPr>
          <w:rFonts w:cstheme="minorHAnsi"/>
          <w:sz w:val="24"/>
          <w:szCs w:val="24"/>
        </w:rPr>
        <w:t>take place</w:t>
      </w:r>
      <w:r w:rsidRPr="00222663">
        <w:rPr>
          <w:rFonts w:cstheme="minorHAnsi"/>
          <w:sz w:val="24"/>
          <w:szCs w:val="24"/>
        </w:rPr>
        <w:t xml:space="preserve">, conducting information sessions with caregivers and potential participants, seeking consent, equipping children to participate by providing them with an understanding of the legal and policy context for the research </w:t>
      </w:r>
      <w:r w:rsidR="00926D4A" w:rsidRPr="00222663">
        <w:rPr>
          <w:rFonts w:cstheme="minorHAnsi"/>
          <w:sz w:val="24"/>
          <w:szCs w:val="24"/>
        </w:rPr>
        <w:t xml:space="preserve">and then </w:t>
      </w:r>
      <w:r w:rsidRPr="00222663">
        <w:rPr>
          <w:rFonts w:cstheme="minorHAnsi"/>
          <w:sz w:val="24"/>
          <w:szCs w:val="24"/>
        </w:rPr>
        <w:t xml:space="preserve">undertaking the first </w:t>
      </w:r>
      <w:r w:rsidRPr="00222663">
        <w:rPr>
          <w:rFonts w:cstheme="minorHAnsi"/>
          <w:sz w:val="24"/>
          <w:szCs w:val="24"/>
        </w:rPr>
        <w:lastRenderedPageBreak/>
        <w:t xml:space="preserve">set of discussion groups. Phase </w:t>
      </w:r>
      <w:r w:rsidR="00275781">
        <w:rPr>
          <w:rFonts w:cstheme="minorHAnsi"/>
          <w:sz w:val="24"/>
          <w:szCs w:val="24"/>
        </w:rPr>
        <w:t>two</w:t>
      </w:r>
      <w:r w:rsidRPr="00222663">
        <w:rPr>
          <w:rFonts w:cstheme="minorHAnsi"/>
          <w:sz w:val="24"/>
          <w:szCs w:val="24"/>
        </w:rPr>
        <w:t xml:space="preserve"> </w:t>
      </w:r>
      <w:r w:rsidR="002066E9" w:rsidRPr="00222663">
        <w:rPr>
          <w:rFonts w:cstheme="minorHAnsi"/>
          <w:sz w:val="24"/>
          <w:szCs w:val="24"/>
        </w:rPr>
        <w:t>included</w:t>
      </w:r>
      <w:r w:rsidRPr="00222663">
        <w:rPr>
          <w:rFonts w:cstheme="minorHAnsi"/>
          <w:sz w:val="24"/>
          <w:szCs w:val="24"/>
        </w:rPr>
        <w:t xml:space="preserve"> focus</w:t>
      </w:r>
      <w:r w:rsidR="002066E9" w:rsidRPr="00222663">
        <w:rPr>
          <w:rFonts w:cstheme="minorHAnsi"/>
          <w:sz w:val="24"/>
          <w:szCs w:val="24"/>
        </w:rPr>
        <w:t>sing</w:t>
      </w:r>
      <w:r w:rsidRPr="00222663">
        <w:rPr>
          <w:rFonts w:cstheme="minorHAnsi"/>
          <w:sz w:val="24"/>
          <w:szCs w:val="24"/>
        </w:rPr>
        <w:t xml:space="preserve"> on conducting the remaining </w:t>
      </w:r>
      <w:r w:rsidR="002066E9" w:rsidRPr="00222663">
        <w:rPr>
          <w:rFonts w:cstheme="minorHAnsi"/>
          <w:sz w:val="24"/>
          <w:szCs w:val="24"/>
        </w:rPr>
        <w:t>focus group discussions, analysing the data</w:t>
      </w:r>
      <w:r w:rsidR="00945BBB" w:rsidRPr="00222663">
        <w:rPr>
          <w:rFonts w:cstheme="minorHAnsi"/>
          <w:sz w:val="24"/>
          <w:szCs w:val="24"/>
        </w:rPr>
        <w:t>,</w:t>
      </w:r>
      <w:r w:rsidR="00264B99" w:rsidRPr="00222663">
        <w:rPr>
          <w:rFonts w:cstheme="minorHAnsi"/>
          <w:sz w:val="24"/>
          <w:szCs w:val="24"/>
        </w:rPr>
        <w:t xml:space="preserve"> </w:t>
      </w:r>
      <w:r w:rsidR="002066E9" w:rsidRPr="00222663">
        <w:rPr>
          <w:rFonts w:cstheme="minorHAnsi"/>
          <w:sz w:val="24"/>
          <w:szCs w:val="24"/>
        </w:rPr>
        <w:t>reporting the findings back to the communities</w:t>
      </w:r>
      <w:r w:rsidR="00945BBB" w:rsidRPr="00222663">
        <w:rPr>
          <w:rFonts w:cstheme="minorHAnsi"/>
          <w:sz w:val="24"/>
          <w:szCs w:val="24"/>
        </w:rPr>
        <w:t xml:space="preserve"> and documenting the research in academic journals</w:t>
      </w:r>
      <w:r w:rsidR="002066E9" w:rsidRPr="00222663">
        <w:rPr>
          <w:rFonts w:cstheme="minorHAnsi"/>
          <w:sz w:val="24"/>
          <w:szCs w:val="24"/>
        </w:rPr>
        <w:t xml:space="preserve">. </w:t>
      </w:r>
    </w:p>
    <w:p w14:paraId="1DE9973E" w14:textId="31C4D63B" w:rsidR="00D06C81" w:rsidRPr="00222663" w:rsidRDefault="00781F8C" w:rsidP="006B7D91">
      <w:pPr>
        <w:spacing w:line="360" w:lineRule="auto"/>
        <w:rPr>
          <w:rFonts w:cstheme="minorHAnsi"/>
          <w:sz w:val="24"/>
          <w:szCs w:val="24"/>
        </w:rPr>
      </w:pPr>
      <w:r w:rsidRPr="00222663">
        <w:rPr>
          <w:rFonts w:cstheme="minorHAnsi"/>
          <w:sz w:val="24"/>
          <w:szCs w:val="24"/>
        </w:rPr>
        <w:t xml:space="preserve">Unfortunately, the field research in Fiji and </w:t>
      </w:r>
      <w:r w:rsidR="002066E9" w:rsidRPr="00222663">
        <w:rPr>
          <w:rFonts w:cstheme="minorHAnsi"/>
          <w:sz w:val="24"/>
          <w:szCs w:val="24"/>
        </w:rPr>
        <w:t xml:space="preserve">phase </w:t>
      </w:r>
      <w:r w:rsidR="00275781">
        <w:rPr>
          <w:rFonts w:cstheme="minorHAnsi"/>
          <w:sz w:val="24"/>
          <w:szCs w:val="24"/>
        </w:rPr>
        <w:t>two</w:t>
      </w:r>
      <w:r w:rsidR="002066E9" w:rsidRPr="00222663">
        <w:rPr>
          <w:rFonts w:cstheme="minorHAnsi"/>
          <w:sz w:val="24"/>
          <w:szCs w:val="24"/>
        </w:rPr>
        <w:t xml:space="preserve"> of the </w:t>
      </w:r>
      <w:r w:rsidRPr="00222663">
        <w:rPr>
          <w:rFonts w:cstheme="minorHAnsi"/>
          <w:sz w:val="24"/>
          <w:szCs w:val="24"/>
        </w:rPr>
        <w:t xml:space="preserve">research in Nepal could not proceed due to the global lockdowns and border closures that occurred in the wake of the COVID-19 pandemic. This meant that the two-country study could not take place and only the first phase of field research in Nepal </w:t>
      </w:r>
      <w:r w:rsidR="00256A6E" w:rsidRPr="00222663">
        <w:rPr>
          <w:rFonts w:cstheme="minorHAnsi"/>
          <w:sz w:val="24"/>
          <w:szCs w:val="24"/>
        </w:rPr>
        <w:t>occurred</w:t>
      </w:r>
      <w:r w:rsidRPr="00222663">
        <w:rPr>
          <w:rFonts w:cstheme="minorHAnsi"/>
          <w:sz w:val="24"/>
          <w:szCs w:val="24"/>
        </w:rPr>
        <w:t>.</w:t>
      </w:r>
      <w:r w:rsidR="002066E9" w:rsidRPr="00222663">
        <w:rPr>
          <w:rFonts w:cstheme="minorHAnsi"/>
          <w:sz w:val="24"/>
          <w:szCs w:val="24"/>
        </w:rPr>
        <w:t xml:space="preserve"> </w:t>
      </w:r>
      <w:r w:rsidR="00D06C81" w:rsidRPr="00222663">
        <w:rPr>
          <w:rFonts w:cstheme="minorHAnsi"/>
          <w:sz w:val="24"/>
          <w:szCs w:val="24"/>
        </w:rPr>
        <w:t xml:space="preserve">Thus, the findings from the field research in Nepal were less comprehensive than anticipated because </w:t>
      </w:r>
      <w:r w:rsidR="002066E9" w:rsidRPr="00222663">
        <w:rPr>
          <w:rFonts w:cstheme="minorHAnsi"/>
          <w:sz w:val="24"/>
          <w:szCs w:val="24"/>
        </w:rPr>
        <w:t>the series of</w:t>
      </w:r>
      <w:r w:rsidR="00D06C81" w:rsidRPr="00222663">
        <w:rPr>
          <w:rFonts w:cstheme="minorHAnsi"/>
          <w:sz w:val="24"/>
          <w:szCs w:val="24"/>
        </w:rPr>
        <w:t xml:space="preserve"> focus group discussions </w:t>
      </w:r>
      <w:r w:rsidR="002066E9" w:rsidRPr="00222663">
        <w:rPr>
          <w:rFonts w:cstheme="minorHAnsi"/>
          <w:sz w:val="24"/>
          <w:szCs w:val="24"/>
        </w:rPr>
        <w:t xml:space="preserve">planned for phase </w:t>
      </w:r>
      <w:r w:rsidR="00275781">
        <w:rPr>
          <w:rFonts w:cstheme="minorHAnsi"/>
          <w:sz w:val="24"/>
          <w:szCs w:val="24"/>
        </w:rPr>
        <w:t>two</w:t>
      </w:r>
      <w:r w:rsidR="002066E9" w:rsidRPr="00222663">
        <w:rPr>
          <w:rFonts w:cstheme="minorHAnsi"/>
          <w:sz w:val="24"/>
          <w:szCs w:val="24"/>
        </w:rPr>
        <w:t xml:space="preserve"> of the research </w:t>
      </w:r>
      <w:r w:rsidR="00256A6E" w:rsidRPr="00222663">
        <w:rPr>
          <w:rFonts w:cstheme="minorHAnsi"/>
          <w:sz w:val="24"/>
          <w:szCs w:val="24"/>
        </w:rPr>
        <w:t>were not conducted</w:t>
      </w:r>
      <w:r w:rsidR="00D06C81" w:rsidRPr="00222663">
        <w:rPr>
          <w:rFonts w:cstheme="minorHAnsi"/>
          <w:sz w:val="24"/>
          <w:szCs w:val="24"/>
        </w:rPr>
        <w:t>.</w:t>
      </w:r>
    </w:p>
    <w:p w14:paraId="4790C802" w14:textId="77777777" w:rsidR="00F0444B" w:rsidRPr="00222663" w:rsidRDefault="00F0444B" w:rsidP="006B7D91">
      <w:pPr>
        <w:spacing w:line="360" w:lineRule="auto"/>
        <w:rPr>
          <w:rFonts w:eastAsia="Arial Unicode MS" w:cstheme="minorHAnsi"/>
          <w:sz w:val="24"/>
          <w:szCs w:val="24"/>
          <w:u w:color="000000"/>
          <w:bdr w:val="nil"/>
          <w:lang w:val="en-US"/>
        </w:rPr>
      </w:pPr>
      <w:r w:rsidRPr="00222663">
        <w:rPr>
          <w:rFonts w:eastAsia="Arial Unicode MS" w:cstheme="minorHAnsi"/>
          <w:sz w:val="24"/>
          <w:szCs w:val="24"/>
          <w:u w:color="000000"/>
          <w:bdr w:val="nil"/>
          <w:lang w:val="en-US"/>
        </w:rPr>
        <w:t xml:space="preserve">Two objectives guided the research: </w:t>
      </w:r>
    </w:p>
    <w:p w14:paraId="1855E26D" w14:textId="1C1076BC" w:rsidR="00F0444B" w:rsidRPr="00222663" w:rsidRDefault="00F0444B" w:rsidP="006B7D91">
      <w:pPr>
        <w:pStyle w:val="ListParagraph"/>
        <w:numPr>
          <w:ilvl w:val="0"/>
          <w:numId w:val="28"/>
        </w:numPr>
        <w:spacing w:line="360" w:lineRule="auto"/>
        <w:rPr>
          <w:rFonts w:eastAsia="Arial Unicode MS" w:cstheme="minorHAnsi"/>
          <w:sz w:val="24"/>
          <w:szCs w:val="24"/>
          <w:u w:color="000000"/>
          <w:bdr w:val="nil"/>
          <w:lang w:val="en-US"/>
        </w:rPr>
      </w:pPr>
      <w:r w:rsidRPr="00222663">
        <w:rPr>
          <w:rFonts w:eastAsia="Arial Unicode MS" w:cstheme="minorHAnsi"/>
          <w:sz w:val="24"/>
          <w:szCs w:val="24"/>
          <w:u w:color="000000"/>
          <w:bdr w:val="nil"/>
          <w:lang w:val="en-US"/>
        </w:rPr>
        <w:t xml:space="preserve">to seek children’s views about the prevalence and nature of violence against girls in Nepal and whether laws and non-legal measures to address this are effective. If not, what </w:t>
      </w:r>
      <w:r w:rsidR="00926D4A" w:rsidRPr="00222663">
        <w:rPr>
          <w:rFonts w:eastAsia="Arial Unicode MS" w:cstheme="minorHAnsi"/>
          <w:sz w:val="24"/>
          <w:szCs w:val="24"/>
          <w:u w:color="000000"/>
          <w:bdr w:val="nil"/>
          <w:lang w:val="en-US"/>
        </w:rPr>
        <w:t xml:space="preserve">were </w:t>
      </w:r>
      <w:r w:rsidRPr="00222663">
        <w:rPr>
          <w:rFonts w:eastAsia="Arial Unicode MS" w:cstheme="minorHAnsi"/>
          <w:sz w:val="24"/>
          <w:szCs w:val="24"/>
          <w:u w:color="000000"/>
          <w:bdr w:val="nil"/>
          <w:lang w:val="en-US"/>
        </w:rPr>
        <w:t>the barriers to stopping violence against girls in Nepal?</w:t>
      </w:r>
    </w:p>
    <w:p w14:paraId="31DC2014" w14:textId="77777777" w:rsidR="00F0444B" w:rsidRPr="00222663" w:rsidRDefault="00F0444B" w:rsidP="006B7D91">
      <w:pPr>
        <w:pStyle w:val="ListParagraph"/>
        <w:numPr>
          <w:ilvl w:val="0"/>
          <w:numId w:val="28"/>
        </w:numPr>
        <w:spacing w:line="360" w:lineRule="auto"/>
        <w:rPr>
          <w:rFonts w:eastAsia="Arial Unicode MS" w:cstheme="minorHAnsi"/>
          <w:sz w:val="24"/>
          <w:szCs w:val="24"/>
          <w:u w:color="000000"/>
          <w:bdr w:val="nil"/>
          <w:lang w:val="en-US"/>
        </w:rPr>
      </w:pPr>
      <w:r w:rsidRPr="00222663">
        <w:rPr>
          <w:rFonts w:eastAsia="Arial Unicode MS" w:cstheme="minorHAnsi"/>
          <w:sz w:val="24"/>
          <w:szCs w:val="24"/>
          <w:u w:color="000000"/>
          <w:bdr w:val="nil"/>
          <w:lang w:val="en-US"/>
        </w:rPr>
        <w:t xml:space="preserve">to seek children’s views about ways to improve anti-violence measures and how they could participate in the design of laws and policies to end violence against girls. </w:t>
      </w:r>
    </w:p>
    <w:p w14:paraId="6983BD1E" w14:textId="0A297A39" w:rsidR="00F0444B" w:rsidRPr="00222663" w:rsidRDefault="00D06C81" w:rsidP="006B7D91">
      <w:pPr>
        <w:spacing w:line="360" w:lineRule="auto"/>
        <w:rPr>
          <w:rFonts w:cstheme="minorHAnsi"/>
          <w:sz w:val="24"/>
          <w:szCs w:val="24"/>
        </w:rPr>
      </w:pPr>
      <w:r w:rsidRPr="00222663">
        <w:rPr>
          <w:rFonts w:cstheme="minorHAnsi"/>
          <w:sz w:val="24"/>
          <w:szCs w:val="24"/>
        </w:rPr>
        <w:t>Due to the COVID-19 lockdowns it</w:t>
      </w:r>
      <w:r w:rsidR="00F0444B" w:rsidRPr="00222663">
        <w:rPr>
          <w:rFonts w:cstheme="minorHAnsi"/>
          <w:sz w:val="24"/>
          <w:szCs w:val="24"/>
        </w:rPr>
        <w:t xml:space="preserve"> was not possible to achieve the second objective of the research because there was limited opportunity to seek participants</w:t>
      </w:r>
      <w:r w:rsidR="00A87BFD" w:rsidRPr="00222663">
        <w:rPr>
          <w:rFonts w:cstheme="minorHAnsi"/>
          <w:sz w:val="24"/>
          <w:szCs w:val="24"/>
        </w:rPr>
        <w:t>’</w:t>
      </w:r>
      <w:r w:rsidR="00F0444B" w:rsidRPr="00222663">
        <w:rPr>
          <w:rFonts w:cstheme="minorHAnsi"/>
          <w:sz w:val="24"/>
          <w:szCs w:val="24"/>
        </w:rPr>
        <w:t xml:space="preserve"> views about how they could participate in shaping anti-violence measures. </w:t>
      </w:r>
    </w:p>
    <w:p w14:paraId="2DC9D100" w14:textId="540C9EDD" w:rsidR="00922FCF" w:rsidRPr="00222663" w:rsidRDefault="00E10039" w:rsidP="006B7D91">
      <w:pPr>
        <w:spacing w:line="360" w:lineRule="auto"/>
        <w:rPr>
          <w:rFonts w:eastAsia="Arial Unicode MS" w:cstheme="minorHAnsi"/>
          <w:sz w:val="24"/>
          <w:szCs w:val="24"/>
          <w:u w:color="000000"/>
          <w:bdr w:val="nil"/>
          <w:lang w:val="en-US"/>
        </w:rPr>
      </w:pPr>
      <w:r w:rsidRPr="00222663">
        <w:rPr>
          <w:rFonts w:eastAsia="Arial Unicode MS" w:cstheme="minorHAnsi"/>
          <w:sz w:val="24"/>
          <w:szCs w:val="24"/>
          <w:u w:color="000000"/>
          <w:bdr w:val="nil"/>
          <w:lang w:val="en-US"/>
        </w:rPr>
        <w:t xml:space="preserve">Ethics approval </w:t>
      </w:r>
      <w:r w:rsidR="004A628C" w:rsidRPr="00222663">
        <w:rPr>
          <w:rFonts w:eastAsia="Arial Unicode MS" w:cstheme="minorHAnsi"/>
          <w:sz w:val="24"/>
          <w:szCs w:val="24"/>
          <w:u w:color="000000"/>
          <w:bdr w:val="nil"/>
          <w:lang w:val="en-US"/>
        </w:rPr>
        <w:t xml:space="preserve">to conduct </w:t>
      </w:r>
      <w:proofErr w:type="gramStart"/>
      <w:r w:rsidR="004A628C" w:rsidRPr="00222663">
        <w:rPr>
          <w:rFonts w:eastAsia="Arial Unicode MS" w:cstheme="minorHAnsi"/>
          <w:sz w:val="24"/>
          <w:szCs w:val="24"/>
          <w:u w:color="000000"/>
          <w:bdr w:val="nil"/>
          <w:lang w:val="en-US"/>
        </w:rPr>
        <w:t>the field</w:t>
      </w:r>
      <w:proofErr w:type="gramEnd"/>
      <w:r w:rsidR="004A628C" w:rsidRPr="00222663">
        <w:rPr>
          <w:rFonts w:eastAsia="Arial Unicode MS" w:cstheme="minorHAnsi"/>
          <w:sz w:val="24"/>
          <w:szCs w:val="24"/>
          <w:u w:color="000000"/>
          <w:bdr w:val="nil"/>
          <w:lang w:val="en-US"/>
        </w:rPr>
        <w:t xml:space="preserve"> research </w:t>
      </w:r>
      <w:r w:rsidRPr="00222663">
        <w:rPr>
          <w:rFonts w:eastAsia="Arial Unicode MS" w:cstheme="minorHAnsi"/>
          <w:sz w:val="24"/>
          <w:szCs w:val="24"/>
          <w:u w:color="000000"/>
          <w:bdr w:val="nil"/>
          <w:lang w:val="en-US"/>
        </w:rPr>
        <w:t>was granted by the Macquarie University Human Research Ethics Committee.</w:t>
      </w:r>
      <w:r w:rsidR="00FD42EB" w:rsidRPr="00222663">
        <w:rPr>
          <w:rFonts w:eastAsia="Arial Unicode MS" w:cstheme="minorHAnsi"/>
          <w:sz w:val="24"/>
          <w:szCs w:val="24"/>
          <w:u w:color="000000"/>
          <w:bdr w:val="nil"/>
          <w:lang w:val="en-US"/>
        </w:rPr>
        <w:t xml:space="preserve"> </w:t>
      </w:r>
      <w:r w:rsidR="00A64ACA" w:rsidRPr="00222663">
        <w:rPr>
          <w:rFonts w:eastAsia="Arial Unicode MS" w:cstheme="minorHAnsi"/>
          <w:sz w:val="24"/>
          <w:szCs w:val="24"/>
          <w:u w:color="000000"/>
          <w:bdr w:val="nil"/>
          <w:lang w:val="en-US"/>
        </w:rPr>
        <w:t xml:space="preserve">Holly </w:t>
      </w:r>
      <w:r w:rsidR="00FD42EB" w:rsidRPr="00222663">
        <w:rPr>
          <w:rFonts w:cstheme="minorHAnsi"/>
          <w:sz w:val="24"/>
          <w:szCs w:val="24"/>
        </w:rPr>
        <w:t>Doel-</w:t>
      </w:r>
      <w:proofErr w:type="spellStart"/>
      <w:r w:rsidR="00FD42EB" w:rsidRPr="00222663">
        <w:rPr>
          <w:rFonts w:cstheme="minorHAnsi"/>
          <w:sz w:val="24"/>
          <w:szCs w:val="24"/>
        </w:rPr>
        <w:t>Mackaway</w:t>
      </w:r>
      <w:proofErr w:type="spellEnd"/>
      <w:r w:rsidR="00FD42EB" w:rsidRPr="00222663">
        <w:rPr>
          <w:rFonts w:cstheme="minorHAnsi"/>
          <w:sz w:val="24"/>
          <w:szCs w:val="24"/>
        </w:rPr>
        <w:t xml:space="preserve"> initially developed the research </w:t>
      </w:r>
      <w:r w:rsidR="00FB47C9" w:rsidRPr="00222663">
        <w:rPr>
          <w:rFonts w:cstheme="minorHAnsi"/>
          <w:sz w:val="24"/>
          <w:szCs w:val="24"/>
        </w:rPr>
        <w:t xml:space="preserve">proposal </w:t>
      </w:r>
      <w:r w:rsidR="00FD42EB" w:rsidRPr="00222663">
        <w:rPr>
          <w:rFonts w:cstheme="minorHAnsi"/>
          <w:sz w:val="24"/>
          <w:szCs w:val="24"/>
        </w:rPr>
        <w:t xml:space="preserve">and later </w:t>
      </w:r>
      <w:r w:rsidR="00A64ACA" w:rsidRPr="00222663">
        <w:rPr>
          <w:rFonts w:cstheme="minorHAnsi"/>
          <w:sz w:val="24"/>
          <w:szCs w:val="24"/>
        </w:rPr>
        <w:t>she</w:t>
      </w:r>
      <w:r w:rsidR="00FD42EB" w:rsidRPr="00222663">
        <w:rPr>
          <w:rFonts w:cstheme="minorHAnsi"/>
          <w:sz w:val="24"/>
          <w:szCs w:val="24"/>
        </w:rPr>
        <w:t xml:space="preserve"> and </w:t>
      </w:r>
      <w:proofErr w:type="spellStart"/>
      <w:r w:rsidR="00A64ACA" w:rsidRPr="00222663">
        <w:rPr>
          <w:rFonts w:cstheme="minorHAnsi"/>
          <w:sz w:val="24"/>
          <w:szCs w:val="24"/>
        </w:rPr>
        <w:t>Lachhindra</w:t>
      </w:r>
      <w:proofErr w:type="spellEnd"/>
      <w:r w:rsidR="00A64ACA" w:rsidRPr="00222663">
        <w:rPr>
          <w:rFonts w:cstheme="minorHAnsi"/>
          <w:sz w:val="24"/>
          <w:szCs w:val="24"/>
        </w:rPr>
        <w:t xml:space="preserve"> </w:t>
      </w:r>
      <w:r w:rsidR="00FD42EB" w:rsidRPr="00222663">
        <w:rPr>
          <w:rFonts w:cstheme="minorHAnsi"/>
          <w:sz w:val="24"/>
          <w:szCs w:val="24"/>
        </w:rPr>
        <w:t xml:space="preserve">Maharjan designed the field research collaboratively. </w:t>
      </w:r>
      <w:r w:rsidRPr="00222663">
        <w:rPr>
          <w:rFonts w:eastAsia="Arial Unicode MS" w:cstheme="minorHAnsi"/>
          <w:sz w:val="24"/>
          <w:szCs w:val="24"/>
          <w:u w:color="000000"/>
          <w:bdr w:val="nil"/>
          <w:lang w:val="en-US"/>
        </w:rPr>
        <w:t xml:space="preserve">Participants were engaged in research in an age-appropriate manner that </w:t>
      </w:r>
      <w:r w:rsidR="00671008" w:rsidRPr="00222663">
        <w:rPr>
          <w:rFonts w:eastAsia="Arial Unicode MS" w:cstheme="minorHAnsi"/>
          <w:sz w:val="24"/>
          <w:szCs w:val="24"/>
          <w:u w:color="000000"/>
          <w:bdr w:val="nil"/>
          <w:lang w:val="en-US"/>
        </w:rPr>
        <w:t>was</w:t>
      </w:r>
      <w:r w:rsidRPr="00222663">
        <w:rPr>
          <w:rFonts w:eastAsia="Arial Unicode MS" w:cstheme="minorHAnsi"/>
          <w:sz w:val="24"/>
          <w:szCs w:val="24"/>
          <w:u w:color="000000"/>
          <w:bdr w:val="nil"/>
          <w:lang w:val="en-US"/>
        </w:rPr>
        <w:t xml:space="preserve"> respectful and aware of the fact that some participants may have experienced </w:t>
      </w:r>
      <w:r w:rsidR="00671008" w:rsidRPr="00222663">
        <w:rPr>
          <w:rFonts w:eastAsia="Arial Unicode MS" w:cstheme="minorHAnsi"/>
          <w:sz w:val="24"/>
          <w:szCs w:val="24"/>
          <w:u w:color="000000"/>
          <w:bdr w:val="nil"/>
          <w:lang w:val="en-US"/>
        </w:rPr>
        <w:t>violence</w:t>
      </w:r>
      <w:r w:rsidR="00275781">
        <w:rPr>
          <w:rFonts w:eastAsia="Arial Unicode MS" w:cstheme="minorHAnsi"/>
          <w:sz w:val="24"/>
          <w:szCs w:val="24"/>
          <w:u w:color="000000"/>
          <w:bdr w:val="nil"/>
          <w:lang w:val="en-US"/>
        </w:rPr>
        <w:t xml:space="preserve"> directly or indirectly</w:t>
      </w:r>
      <w:r w:rsidRPr="00222663">
        <w:rPr>
          <w:rFonts w:eastAsia="Arial Unicode MS" w:cstheme="minorHAnsi"/>
          <w:sz w:val="24"/>
          <w:szCs w:val="24"/>
          <w:u w:color="000000"/>
          <w:bdr w:val="nil"/>
          <w:lang w:val="en-US"/>
        </w:rPr>
        <w:t>. Participants were not asked to discuss any personal experiences of violence.</w:t>
      </w:r>
      <w:r w:rsidR="00FA3881" w:rsidRPr="00222663">
        <w:rPr>
          <w:rFonts w:eastAsia="Arial Unicode MS" w:cstheme="minorHAnsi"/>
          <w:sz w:val="24"/>
          <w:szCs w:val="24"/>
          <w:u w:color="000000"/>
          <w:bdr w:val="nil"/>
          <w:lang w:val="en-US"/>
        </w:rPr>
        <w:t xml:space="preserve"> </w:t>
      </w:r>
    </w:p>
    <w:p w14:paraId="57506922" w14:textId="61E298D8" w:rsidR="00671008" w:rsidRPr="00222663" w:rsidRDefault="00AF52AF" w:rsidP="006B7D91">
      <w:pPr>
        <w:spacing w:line="360" w:lineRule="auto"/>
        <w:rPr>
          <w:rFonts w:eastAsia="Arial Unicode MS" w:cstheme="minorHAnsi"/>
          <w:sz w:val="24"/>
          <w:szCs w:val="24"/>
          <w:u w:color="000000"/>
          <w:bdr w:val="nil"/>
          <w:lang w:val="en-US"/>
        </w:rPr>
      </w:pPr>
      <w:r w:rsidRPr="00222663">
        <w:rPr>
          <w:rFonts w:eastAsia="Arial Unicode MS" w:cstheme="minorHAnsi"/>
          <w:sz w:val="24"/>
          <w:szCs w:val="24"/>
          <w:u w:color="000000"/>
          <w:bdr w:val="nil"/>
          <w:lang w:val="en-US"/>
        </w:rPr>
        <w:t>T</w:t>
      </w:r>
      <w:r w:rsidR="00E10039" w:rsidRPr="00222663">
        <w:rPr>
          <w:rFonts w:eastAsia="Arial Unicode MS" w:cstheme="minorHAnsi"/>
          <w:sz w:val="24"/>
          <w:szCs w:val="24"/>
          <w:u w:color="000000"/>
          <w:bdr w:val="nil"/>
          <w:lang w:val="en-US"/>
        </w:rPr>
        <w:t>h</w:t>
      </w:r>
      <w:r w:rsidR="00671008" w:rsidRPr="00222663">
        <w:rPr>
          <w:rFonts w:eastAsia="Arial Unicode MS" w:cstheme="minorHAnsi"/>
          <w:sz w:val="24"/>
          <w:szCs w:val="24"/>
          <w:u w:color="000000"/>
          <w:bdr w:val="nil"/>
          <w:lang w:val="en-US"/>
        </w:rPr>
        <w:t>e following th</w:t>
      </w:r>
      <w:r w:rsidR="00E10039" w:rsidRPr="00222663">
        <w:rPr>
          <w:rFonts w:eastAsia="Arial Unicode MS" w:cstheme="minorHAnsi"/>
          <w:sz w:val="24"/>
          <w:szCs w:val="24"/>
          <w:u w:color="000000"/>
          <w:bdr w:val="nil"/>
          <w:lang w:val="en-US"/>
        </w:rPr>
        <w:t>ree</w:t>
      </w:r>
      <w:r w:rsidRPr="00222663">
        <w:rPr>
          <w:rFonts w:eastAsia="Arial Unicode MS" w:cstheme="minorHAnsi"/>
          <w:sz w:val="24"/>
          <w:szCs w:val="24"/>
          <w:u w:color="000000"/>
          <w:bdr w:val="nil"/>
          <w:lang w:val="en-US"/>
        </w:rPr>
        <w:t xml:space="preserve"> groups of children </w:t>
      </w:r>
      <w:r w:rsidR="00E10039" w:rsidRPr="00222663">
        <w:rPr>
          <w:rFonts w:eastAsia="Arial Unicode MS" w:cstheme="minorHAnsi"/>
          <w:sz w:val="24"/>
          <w:szCs w:val="24"/>
          <w:u w:color="000000"/>
          <w:bdr w:val="nil"/>
          <w:lang w:val="en-US"/>
        </w:rPr>
        <w:t xml:space="preserve">and young people </w:t>
      </w:r>
      <w:r w:rsidR="001E7927" w:rsidRPr="00222663">
        <w:rPr>
          <w:rFonts w:eastAsia="Arial Unicode MS" w:cstheme="minorHAnsi"/>
          <w:sz w:val="24"/>
          <w:szCs w:val="24"/>
          <w:u w:color="000000"/>
          <w:bdr w:val="nil"/>
          <w:lang w:val="en-US"/>
        </w:rPr>
        <w:t>participated in</w:t>
      </w:r>
      <w:r w:rsidRPr="00222663">
        <w:rPr>
          <w:rFonts w:eastAsia="Arial Unicode MS" w:cstheme="minorHAnsi"/>
          <w:sz w:val="24"/>
          <w:szCs w:val="24"/>
          <w:u w:color="000000"/>
          <w:bdr w:val="nil"/>
          <w:lang w:val="en-US"/>
        </w:rPr>
        <w:t xml:space="preserve"> the research</w:t>
      </w:r>
      <w:r w:rsidR="00671008" w:rsidRPr="00222663">
        <w:rPr>
          <w:rFonts w:eastAsia="Arial Unicode MS" w:cstheme="minorHAnsi"/>
          <w:sz w:val="24"/>
          <w:szCs w:val="24"/>
          <w:u w:color="000000"/>
          <w:bdr w:val="nil"/>
          <w:lang w:val="en-US"/>
        </w:rPr>
        <w:t xml:space="preserve">: </w:t>
      </w:r>
    </w:p>
    <w:p w14:paraId="74FB8E9B" w14:textId="3989585A" w:rsidR="00671008" w:rsidRPr="00222663" w:rsidRDefault="00671008" w:rsidP="00F0236D">
      <w:pPr>
        <w:pStyle w:val="ListParagraph"/>
        <w:numPr>
          <w:ilvl w:val="0"/>
          <w:numId w:val="34"/>
        </w:numPr>
        <w:spacing w:line="360" w:lineRule="auto"/>
        <w:ind w:left="993"/>
        <w:rPr>
          <w:rFonts w:eastAsia="Arial Unicode MS" w:cstheme="minorHAnsi"/>
          <w:sz w:val="24"/>
          <w:szCs w:val="24"/>
          <w:u w:color="000000"/>
          <w:bdr w:val="nil"/>
          <w:lang w:val="en-US"/>
        </w:rPr>
      </w:pPr>
      <w:r w:rsidRPr="00222663">
        <w:rPr>
          <w:rFonts w:eastAsia="Arial Unicode MS" w:cstheme="minorHAnsi"/>
          <w:sz w:val="24"/>
          <w:szCs w:val="24"/>
          <w:u w:color="000000"/>
          <w:bdr w:val="nil"/>
          <w:lang w:val="en-US"/>
        </w:rPr>
        <w:t xml:space="preserve">1 x </w:t>
      </w:r>
      <w:r w:rsidR="00AF52AF" w:rsidRPr="00222663">
        <w:rPr>
          <w:rFonts w:eastAsia="Arial Unicode MS" w:cstheme="minorHAnsi"/>
          <w:sz w:val="24"/>
          <w:szCs w:val="24"/>
          <w:u w:color="000000"/>
          <w:bdr w:val="nil"/>
          <w:lang w:val="en-US"/>
        </w:rPr>
        <w:t>mixed gender group aged 9-11</w:t>
      </w:r>
      <w:r w:rsidR="00FF4DB0" w:rsidRPr="00222663">
        <w:rPr>
          <w:rFonts w:eastAsia="Arial Unicode MS" w:cstheme="minorHAnsi"/>
          <w:sz w:val="24"/>
          <w:szCs w:val="24"/>
          <w:u w:color="000000"/>
          <w:bdr w:val="nil"/>
          <w:lang w:val="en-US"/>
        </w:rPr>
        <w:t xml:space="preserve"> </w:t>
      </w:r>
      <w:r w:rsidR="00AF52AF" w:rsidRPr="00222663">
        <w:rPr>
          <w:rFonts w:eastAsia="Arial Unicode MS" w:cstheme="minorHAnsi"/>
          <w:sz w:val="24"/>
          <w:szCs w:val="24"/>
          <w:u w:color="000000"/>
          <w:bdr w:val="nil"/>
          <w:lang w:val="en-US"/>
        </w:rPr>
        <w:t>years</w:t>
      </w:r>
      <w:r w:rsidR="00CC5EC1">
        <w:rPr>
          <w:rFonts w:eastAsia="Arial Unicode MS" w:cstheme="minorHAnsi"/>
          <w:sz w:val="24"/>
          <w:szCs w:val="24"/>
          <w:u w:color="000000"/>
          <w:bdr w:val="nil"/>
          <w:lang w:val="en-US"/>
        </w:rPr>
        <w:t xml:space="preserve"> </w:t>
      </w:r>
      <w:r w:rsidR="00AF52AF" w:rsidRPr="00222663">
        <w:rPr>
          <w:rFonts w:eastAsia="Arial Unicode MS" w:cstheme="minorHAnsi"/>
          <w:sz w:val="24"/>
          <w:szCs w:val="24"/>
          <w:u w:color="000000"/>
          <w:bdr w:val="nil"/>
          <w:lang w:val="en-US"/>
        </w:rPr>
        <w:t>old</w:t>
      </w:r>
      <w:r w:rsidRPr="00222663">
        <w:rPr>
          <w:rFonts w:eastAsia="Arial Unicode MS" w:cstheme="minorHAnsi"/>
          <w:sz w:val="24"/>
          <w:szCs w:val="24"/>
          <w:u w:color="000000"/>
          <w:bdr w:val="nil"/>
          <w:lang w:val="en-US"/>
        </w:rPr>
        <w:t xml:space="preserve"> (</w:t>
      </w:r>
      <w:r w:rsidR="00FD42EB" w:rsidRPr="00222663">
        <w:rPr>
          <w:rFonts w:eastAsia="Arial Unicode MS" w:cstheme="minorHAnsi"/>
          <w:sz w:val="24"/>
          <w:szCs w:val="24"/>
          <w:u w:color="000000"/>
          <w:bdr w:val="nil"/>
          <w:lang w:val="en-US"/>
        </w:rPr>
        <w:t xml:space="preserve">13 </w:t>
      </w:r>
      <w:r w:rsidRPr="00222663">
        <w:rPr>
          <w:rFonts w:eastAsia="Arial Unicode MS" w:cstheme="minorHAnsi"/>
          <w:sz w:val="24"/>
          <w:szCs w:val="24"/>
          <w:u w:color="000000"/>
          <w:bdr w:val="nil"/>
          <w:lang w:val="en-US"/>
        </w:rPr>
        <w:t xml:space="preserve">participants, </w:t>
      </w:r>
      <w:r w:rsidR="00FD42EB" w:rsidRPr="00222663">
        <w:rPr>
          <w:rFonts w:eastAsia="Arial Unicode MS" w:cstheme="minorHAnsi"/>
          <w:sz w:val="24"/>
          <w:szCs w:val="24"/>
          <w:u w:color="000000"/>
          <w:bdr w:val="nil"/>
          <w:lang w:val="en-US"/>
        </w:rPr>
        <w:t xml:space="preserve">7 </w:t>
      </w:r>
      <w:r w:rsidRPr="00222663">
        <w:rPr>
          <w:rFonts w:eastAsia="Arial Unicode MS" w:cstheme="minorHAnsi"/>
          <w:sz w:val="24"/>
          <w:szCs w:val="24"/>
          <w:u w:color="000000"/>
          <w:bdr w:val="nil"/>
          <w:lang w:val="en-US"/>
        </w:rPr>
        <w:t xml:space="preserve">girls, </w:t>
      </w:r>
      <w:r w:rsidR="00FD42EB" w:rsidRPr="00222663">
        <w:rPr>
          <w:rFonts w:eastAsia="Arial Unicode MS" w:cstheme="minorHAnsi"/>
          <w:sz w:val="24"/>
          <w:szCs w:val="24"/>
          <w:u w:color="000000"/>
          <w:bdr w:val="nil"/>
          <w:lang w:val="en-US"/>
        </w:rPr>
        <w:t xml:space="preserve">6 </w:t>
      </w:r>
      <w:r w:rsidRPr="00222663">
        <w:rPr>
          <w:rFonts w:eastAsia="Arial Unicode MS" w:cstheme="minorHAnsi"/>
          <w:sz w:val="24"/>
          <w:szCs w:val="24"/>
          <w:u w:color="000000"/>
          <w:bdr w:val="nil"/>
          <w:lang w:val="en-US"/>
        </w:rPr>
        <w:t>boys)</w:t>
      </w:r>
      <w:r w:rsidR="00E10039" w:rsidRPr="00222663">
        <w:rPr>
          <w:rFonts w:eastAsia="Arial Unicode MS" w:cstheme="minorHAnsi"/>
          <w:sz w:val="24"/>
          <w:szCs w:val="24"/>
          <w:u w:color="000000"/>
          <w:bdr w:val="nil"/>
          <w:lang w:val="en-US"/>
        </w:rPr>
        <w:t xml:space="preserve"> </w:t>
      </w:r>
    </w:p>
    <w:p w14:paraId="2FC1CFAA" w14:textId="650F435E" w:rsidR="00671008" w:rsidRPr="00222663" w:rsidRDefault="00671008" w:rsidP="00F0236D">
      <w:pPr>
        <w:pStyle w:val="ListParagraph"/>
        <w:numPr>
          <w:ilvl w:val="0"/>
          <w:numId w:val="34"/>
        </w:numPr>
        <w:spacing w:line="360" w:lineRule="auto"/>
        <w:ind w:left="993"/>
        <w:rPr>
          <w:rFonts w:eastAsia="Arial Unicode MS" w:cstheme="minorHAnsi"/>
          <w:sz w:val="24"/>
          <w:szCs w:val="24"/>
          <w:u w:color="000000"/>
          <w:bdr w:val="nil"/>
          <w:lang w:val="en-US"/>
        </w:rPr>
      </w:pPr>
      <w:r w:rsidRPr="00222663">
        <w:rPr>
          <w:rFonts w:eastAsia="Arial Unicode MS" w:cstheme="minorHAnsi"/>
          <w:sz w:val="24"/>
          <w:szCs w:val="24"/>
          <w:u w:color="000000"/>
          <w:bdr w:val="nil"/>
          <w:lang w:val="en-US"/>
        </w:rPr>
        <w:lastRenderedPageBreak/>
        <w:t xml:space="preserve">1 x </w:t>
      </w:r>
      <w:r w:rsidR="00E10039" w:rsidRPr="00222663">
        <w:rPr>
          <w:rFonts w:eastAsia="Arial Unicode MS" w:cstheme="minorHAnsi"/>
          <w:sz w:val="24"/>
          <w:szCs w:val="24"/>
          <w:u w:color="000000"/>
          <w:bdr w:val="nil"/>
          <w:lang w:val="en-US"/>
        </w:rPr>
        <w:t xml:space="preserve">group of </w:t>
      </w:r>
      <w:proofErr w:type="gramStart"/>
      <w:r w:rsidR="00AF52AF" w:rsidRPr="00222663">
        <w:rPr>
          <w:rFonts w:eastAsia="Arial Unicode MS" w:cstheme="minorHAnsi"/>
          <w:sz w:val="24"/>
          <w:szCs w:val="24"/>
          <w:u w:color="000000"/>
          <w:bdr w:val="nil"/>
          <w:lang w:val="en-US"/>
        </w:rPr>
        <w:t xml:space="preserve">12-16 </w:t>
      </w:r>
      <w:r w:rsidR="00E10039" w:rsidRPr="00222663">
        <w:rPr>
          <w:rFonts w:eastAsia="Arial Unicode MS" w:cstheme="minorHAnsi"/>
          <w:sz w:val="24"/>
          <w:szCs w:val="24"/>
          <w:u w:color="000000"/>
          <w:bdr w:val="nil"/>
          <w:lang w:val="en-US"/>
        </w:rPr>
        <w:t>year-old</w:t>
      </w:r>
      <w:proofErr w:type="gramEnd"/>
      <w:r w:rsidR="00E10039" w:rsidRPr="00222663">
        <w:rPr>
          <w:rFonts w:eastAsia="Arial Unicode MS" w:cstheme="minorHAnsi"/>
          <w:sz w:val="24"/>
          <w:szCs w:val="24"/>
          <w:u w:color="000000"/>
          <w:bdr w:val="nil"/>
          <w:lang w:val="en-US"/>
        </w:rPr>
        <w:t xml:space="preserve"> females </w:t>
      </w:r>
      <w:r w:rsidR="00FD42EB" w:rsidRPr="00222663">
        <w:rPr>
          <w:rFonts w:eastAsia="Arial Unicode MS" w:cstheme="minorHAnsi"/>
          <w:sz w:val="24"/>
          <w:szCs w:val="24"/>
          <w:u w:color="000000"/>
          <w:bdr w:val="nil"/>
          <w:lang w:val="en-US"/>
        </w:rPr>
        <w:t>(8 participants)</w:t>
      </w:r>
      <w:r w:rsidR="00F2046F" w:rsidRPr="00222663">
        <w:rPr>
          <w:rFonts w:eastAsia="Arial Unicode MS" w:cstheme="minorHAnsi"/>
          <w:sz w:val="24"/>
          <w:szCs w:val="24"/>
          <w:u w:color="000000"/>
          <w:bdr w:val="nil"/>
          <w:lang w:val="en-US"/>
        </w:rPr>
        <w:t xml:space="preserve"> and</w:t>
      </w:r>
    </w:p>
    <w:p w14:paraId="55C8789E" w14:textId="0C8F6F47" w:rsidR="00671008" w:rsidRPr="00222663" w:rsidRDefault="00671008" w:rsidP="00F0236D">
      <w:pPr>
        <w:pStyle w:val="ListParagraph"/>
        <w:numPr>
          <w:ilvl w:val="0"/>
          <w:numId w:val="34"/>
        </w:numPr>
        <w:spacing w:line="360" w:lineRule="auto"/>
        <w:ind w:left="993"/>
        <w:rPr>
          <w:rFonts w:eastAsia="Arial Unicode MS" w:cstheme="minorHAnsi"/>
          <w:sz w:val="24"/>
          <w:szCs w:val="24"/>
          <w:u w:color="000000"/>
          <w:bdr w:val="nil"/>
          <w:lang w:val="en-US"/>
        </w:rPr>
      </w:pPr>
      <w:r w:rsidRPr="00222663">
        <w:rPr>
          <w:rFonts w:eastAsia="Arial Unicode MS" w:cstheme="minorHAnsi"/>
          <w:sz w:val="24"/>
          <w:szCs w:val="24"/>
          <w:u w:color="000000"/>
          <w:bdr w:val="nil"/>
          <w:lang w:val="en-US"/>
        </w:rPr>
        <w:t xml:space="preserve">1 x </w:t>
      </w:r>
      <w:r w:rsidR="00E10039" w:rsidRPr="00222663">
        <w:rPr>
          <w:rFonts w:eastAsia="Arial Unicode MS" w:cstheme="minorHAnsi"/>
          <w:sz w:val="24"/>
          <w:szCs w:val="24"/>
          <w:u w:color="000000"/>
          <w:bdr w:val="nil"/>
          <w:lang w:val="en-US"/>
        </w:rPr>
        <w:t>group of 12-16 year</w:t>
      </w:r>
      <w:r w:rsidR="00884702" w:rsidRPr="00222663">
        <w:rPr>
          <w:rFonts w:eastAsia="Arial Unicode MS" w:cstheme="minorHAnsi"/>
          <w:sz w:val="24"/>
          <w:szCs w:val="24"/>
          <w:u w:color="000000"/>
          <w:bdr w:val="nil"/>
          <w:lang w:val="en-US"/>
        </w:rPr>
        <w:t>s</w:t>
      </w:r>
      <w:r w:rsidR="00E10039" w:rsidRPr="00222663">
        <w:rPr>
          <w:rFonts w:eastAsia="Arial Unicode MS" w:cstheme="minorHAnsi"/>
          <w:sz w:val="24"/>
          <w:szCs w:val="24"/>
          <w:u w:color="000000"/>
          <w:bdr w:val="nil"/>
          <w:lang w:val="en-US"/>
        </w:rPr>
        <w:t>-old males</w:t>
      </w:r>
      <w:r w:rsidR="00FD42EB" w:rsidRPr="00222663">
        <w:rPr>
          <w:rFonts w:eastAsia="Arial Unicode MS" w:cstheme="minorHAnsi"/>
          <w:sz w:val="24"/>
          <w:szCs w:val="24"/>
          <w:u w:color="000000"/>
          <w:bdr w:val="nil"/>
          <w:lang w:val="en-US"/>
        </w:rPr>
        <w:t xml:space="preserve"> (8 participants)</w:t>
      </w:r>
    </w:p>
    <w:p w14:paraId="0ADB4C18" w14:textId="23A7D689" w:rsidR="000103C0" w:rsidRPr="00222663" w:rsidRDefault="00B97853" w:rsidP="006B7D91">
      <w:pPr>
        <w:spacing w:line="360" w:lineRule="auto"/>
        <w:rPr>
          <w:rFonts w:eastAsia="Arial Unicode MS" w:cstheme="minorHAnsi"/>
          <w:sz w:val="24"/>
          <w:szCs w:val="24"/>
          <w:u w:color="000000"/>
          <w:bdr w:val="nil"/>
          <w:lang w:val="en-US"/>
        </w:rPr>
      </w:pPr>
      <w:r w:rsidRPr="00222663">
        <w:rPr>
          <w:rFonts w:eastAsia="Arial Unicode MS" w:cstheme="minorHAnsi"/>
          <w:sz w:val="24"/>
          <w:szCs w:val="24"/>
          <w:u w:color="000000"/>
          <w:bdr w:val="nil"/>
          <w:lang w:val="en-US"/>
        </w:rPr>
        <w:t xml:space="preserve">The inclusion of boys as participants in the field research, along with girls, was deemed appropriate and necessary by the Nepal Save the Children country office after </w:t>
      </w:r>
      <w:r w:rsidR="000103C0" w:rsidRPr="00222663">
        <w:rPr>
          <w:rFonts w:eastAsia="Arial Unicode MS" w:cstheme="minorHAnsi"/>
          <w:sz w:val="24"/>
          <w:szCs w:val="24"/>
          <w:u w:color="000000"/>
          <w:bdr w:val="nil"/>
          <w:lang w:val="en-US"/>
        </w:rPr>
        <w:t xml:space="preserve">Maharjan conducted </w:t>
      </w:r>
      <w:r w:rsidRPr="00222663">
        <w:rPr>
          <w:rFonts w:eastAsia="Arial Unicode MS" w:cstheme="minorHAnsi"/>
          <w:sz w:val="24"/>
          <w:szCs w:val="24"/>
          <w:u w:color="000000"/>
          <w:bdr w:val="nil"/>
          <w:lang w:val="en-US"/>
        </w:rPr>
        <w:t xml:space="preserve">consultations </w:t>
      </w:r>
      <w:r w:rsidR="000103C0" w:rsidRPr="00222663">
        <w:rPr>
          <w:rFonts w:eastAsia="Arial Unicode MS" w:cstheme="minorHAnsi"/>
          <w:sz w:val="24"/>
          <w:szCs w:val="24"/>
          <w:u w:color="000000"/>
          <w:bdr w:val="nil"/>
          <w:lang w:val="en-US"/>
        </w:rPr>
        <w:t>with colleagues</w:t>
      </w:r>
      <w:r w:rsidRPr="00222663">
        <w:rPr>
          <w:rFonts w:eastAsia="Arial Unicode MS" w:cstheme="minorHAnsi"/>
          <w:sz w:val="24"/>
          <w:szCs w:val="24"/>
          <w:u w:color="000000"/>
          <w:bdr w:val="nil"/>
          <w:lang w:val="en-US"/>
        </w:rPr>
        <w:t xml:space="preserve">. The rationale for this </w:t>
      </w:r>
      <w:proofErr w:type="spellStart"/>
      <w:r w:rsidRPr="00222663">
        <w:rPr>
          <w:rFonts w:eastAsia="Arial Unicode MS" w:cstheme="minorHAnsi"/>
          <w:sz w:val="24"/>
          <w:szCs w:val="24"/>
          <w:u w:color="000000"/>
          <w:bdr w:val="nil"/>
          <w:lang w:val="en-US"/>
        </w:rPr>
        <w:t>centred</w:t>
      </w:r>
      <w:proofErr w:type="spellEnd"/>
      <w:r w:rsidRPr="00222663">
        <w:rPr>
          <w:rFonts w:eastAsia="Arial Unicode MS" w:cstheme="minorHAnsi"/>
          <w:sz w:val="24"/>
          <w:szCs w:val="24"/>
          <w:u w:color="000000"/>
          <w:bdr w:val="nil"/>
          <w:lang w:val="en-US"/>
        </w:rPr>
        <w:t xml:space="preserve"> on </w:t>
      </w:r>
      <w:r w:rsidR="000103C0" w:rsidRPr="00222663">
        <w:rPr>
          <w:rFonts w:eastAsia="Arial Unicode MS" w:cstheme="minorHAnsi"/>
          <w:sz w:val="24"/>
          <w:szCs w:val="24"/>
          <w:u w:color="000000"/>
          <w:bdr w:val="nil"/>
          <w:lang w:val="en-US"/>
        </w:rPr>
        <w:t xml:space="preserve">the importance of </w:t>
      </w:r>
      <w:r w:rsidR="00F2046F" w:rsidRPr="00222663">
        <w:rPr>
          <w:rFonts w:eastAsia="Arial Unicode MS" w:cstheme="minorHAnsi"/>
          <w:sz w:val="24"/>
          <w:szCs w:val="24"/>
          <w:u w:color="000000"/>
          <w:bdr w:val="nil"/>
          <w:lang w:val="en-US"/>
        </w:rPr>
        <w:t>presenting</w:t>
      </w:r>
      <w:r w:rsidR="000103C0" w:rsidRPr="00222663">
        <w:rPr>
          <w:rFonts w:eastAsia="Arial Unicode MS" w:cstheme="minorHAnsi"/>
          <w:sz w:val="24"/>
          <w:szCs w:val="24"/>
          <w:u w:color="000000"/>
          <w:bdr w:val="nil"/>
          <w:lang w:val="en-US"/>
        </w:rPr>
        <w:t xml:space="preserve"> the issue of </w:t>
      </w:r>
      <w:r w:rsidR="00F2046F" w:rsidRPr="00222663">
        <w:rPr>
          <w:rFonts w:eastAsia="Arial Unicode MS" w:cstheme="minorHAnsi"/>
          <w:sz w:val="24"/>
          <w:szCs w:val="24"/>
          <w:u w:color="000000"/>
          <w:bdr w:val="nil"/>
          <w:lang w:val="en-US"/>
        </w:rPr>
        <w:t xml:space="preserve">ending violence against girls as a shared community interest, one that is relevant to all young people and community members, irrespective of gender. The inclusion of boys in the research also sought to </w:t>
      </w:r>
      <w:r w:rsidRPr="00222663">
        <w:rPr>
          <w:rFonts w:eastAsia="Arial Unicode MS" w:cstheme="minorHAnsi"/>
          <w:sz w:val="24"/>
          <w:szCs w:val="24"/>
          <w:u w:color="000000"/>
          <w:bdr w:val="nil"/>
          <w:lang w:val="en-US"/>
        </w:rPr>
        <w:t>leverag</w:t>
      </w:r>
      <w:r w:rsidR="00F2046F" w:rsidRPr="00222663">
        <w:rPr>
          <w:rFonts w:eastAsia="Arial Unicode MS" w:cstheme="minorHAnsi"/>
          <w:sz w:val="24"/>
          <w:szCs w:val="24"/>
          <w:u w:color="000000"/>
          <w:bdr w:val="nil"/>
          <w:lang w:val="en-US"/>
        </w:rPr>
        <w:t xml:space="preserve">e the </w:t>
      </w:r>
      <w:r w:rsidR="000103C0" w:rsidRPr="00222663">
        <w:rPr>
          <w:rFonts w:eastAsia="Arial Unicode MS" w:cstheme="minorHAnsi"/>
          <w:sz w:val="24"/>
          <w:szCs w:val="24"/>
          <w:u w:color="000000"/>
          <w:bdr w:val="nil"/>
          <w:lang w:val="en-US"/>
        </w:rPr>
        <w:t xml:space="preserve">existing </w:t>
      </w:r>
      <w:r w:rsidR="00F2046F" w:rsidRPr="00222663">
        <w:rPr>
          <w:rFonts w:eastAsia="Arial Unicode MS" w:cstheme="minorHAnsi"/>
          <w:sz w:val="24"/>
          <w:szCs w:val="24"/>
          <w:u w:color="000000"/>
          <w:bdr w:val="nil"/>
          <w:lang w:val="en-US"/>
        </w:rPr>
        <w:t xml:space="preserve">role </w:t>
      </w:r>
      <w:r w:rsidRPr="00222663">
        <w:rPr>
          <w:rFonts w:eastAsia="Arial Unicode MS" w:cstheme="minorHAnsi"/>
          <w:sz w:val="24"/>
          <w:szCs w:val="24"/>
          <w:u w:color="000000"/>
          <w:bdr w:val="nil"/>
          <w:lang w:val="en-US"/>
        </w:rPr>
        <w:t>boys</w:t>
      </w:r>
      <w:r w:rsidR="00F2046F" w:rsidRPr="00222663">
        <w:rPr>
          <w:rFonts w:eastAsia="Arial Unicode MS" w:cstheme="minorHAnsi"/>
          <w:sz w:val="24"/>
          <w:szCs w:val="24"/>
          <w:u w:color="000000"/>
          <w:bdr w:val="nil"/>
          <w:lang w:val="en-US"/>
        </w:rPr>
        <w:t xml:space="preserve"> play in the community</w:t>
      </w:r>
      <w:r w:rsidRPr="00222663">
        <w:rPr>
          <w:rFonts w:eastAsia="Arial Unicode MS" w:cstheme="minorHAnsi"/>
          <w:sz w:val="24"/>
          <w:szCs w:val="24"/>
          <w:u w:color="000000"/>
          <w:bdr w:val="nil"/>
          <w:lang w:val="en-US"/>
        </w:rPr>
        <w:t xml:space="preserve"> as key allies in efforts to end violence against girls</w:t>
      </w:r>
      <w:r w:rsidR="00BA00BA" w:rsidRPr="00222663">
        <w:rPr>
          <w:rFonts w:eastAsia="Arial Unicode MS" w:cstheme="minorHAnsi"/>
          <w:sz w:val="24"/>
          <w:szCs w:val="24"/>
          <w:u w:color="000000"/>
          <w:bdr w:val="nil"/>
          <w:lang w:val="en-US"/>
        </w:rPr>
        <w:t xml:space="preserve"> and support </w:t>
      </w:r>
      <w:proofErr w:type="spellStart"/>
      <w:r w:rsidR="00BA00BA" w:rsidRPr="00222663">
        <w:rPr>
          <w:rFonts w:eastAsia="Arial Unicode MS" w:cstheme="minorHAnsi"/>
          <w:sz w:val="24"/>
          <w:szCs w:val="24"/>
          <w:u w:color="000000"/>
          <w:bdr w:val="nil"/>
          <w:lang w:val="en-US"/>
        </w:rPr>
        <w:t>behavioural</w:t>
      </w:r>
      <w:proofErr w:type="spellEnd"/>
      <w:r w:rsidR="00BA00BA" w:rsidRPr="00222663">
        <w:rPr>
          <w:rFonts w:eastAsia="Arial Unicode MS" w:cstheme="minorHAnsi"/>
          <w:sz w:val="24"/>
          <w:szCs w:val="24"/>
          <w:u w:color="000000"/>
          <w:bdr w:val="nil"/>
          <w:lang w:val="en-US"/>
        </w:rPr>
        <w:t xml:space="preserve"> and attitudinal change about gendered violence among boys and men</w:t>
      </w:r>
      <w:r w:rsidR="00F2046F" w:rsidRPr="00222663">
        <w:rPr>
          <w:rFonts w:eastAsia="Arial Unicode MS" w:cstheme="minorHAnsi"/>
          <w:sz w:val="24"/>
          <w:szCs w:val="24"/>
          <w:u w:color="000000"/>
          <w:bdr w:val="nil"/>
          <w:lang w:val="en-US"/>
        </w:rPr>
        <w:t xml:space="preserve">. It was considered appropriate to separate older boys and girls (those aged 12-16 years-old) in the focus group discussions </w:t>
      </w:r>
      <w:r w:rsidR="00056CA9" w:rsidRPr="00222663">
        <w:rPr>
          <w:rFonts w:eastAsia="Arial Unicode MS" w:cstheme="minorHAnsi"/>
          <w:sz w:val="24"/>
          <w:szCs w:val="24"/>
          <w:u w:color="000000"/>
          <w:bdr w:val="nil"/>
          <w:lang w:val="en-US"/>
        </w:rPr>
        <w:t xml:space="preserve">because </w:t>
      </w:r>
      <w:r w:rsidR="00BA00BA" w:rsidRPr="00222663">
        <w:rPr>
          <w:rFonts w:eastAsia="Arial Unicode MS" w:cstheme="minorHAnsi"/>
          <w:sz w:val="24"/>
          <w:szCs w:val="24"/>
          <w:u w:color="000000"/>
          <w:bdr w:val="nil"/>
          <w:lang w:val="en-US"/>
        </w:rPr>
        <w:t>of the probability</w:t>
      </w:r>
      <w:r w:rsidR="00056CA9" w:rsidRPr="00222663">
        <w:rPr>
          <w:rFonts w:eastAsia="Arial Unicode MS" w:cstheme="minorHAnsi"/>
          <w:sz w:val="24"/>
          <w:szCs w:val="24"/>
          <w:u w:color="000000"/>
          <w:bdr w:val="nil"/>
          <w:lang w:val="en-US"/>
        </w:rPr>
        <w:t xml:space="preserve"> </w:t>
      </w:r>
      <w:r w:rsidR="00F2046F" w:rsidRPr="00222663">
        <w:rPr>
          <w:rFonts w:eastAsia="Arial Unicode MS" w:cstheme="minorHAnsi"/>
          <w:sz w:val="24"/>
          <w:szCs w:val="24"/>
          <w:u w:color="000000"/>
          <w:bdr w:val="nil"/>
          <w:lang w:val="en-US"/>
        </w:rPr>
        <w:t xml:space="preserve">that both girls and boys </w:t>
      </w:r>
      <w:r w:rsidR="00BA00BA" w:rsidRPr="00222663">
        <w:rPr>
          <w:rFonts w:eastAsia="Arial Unicode MS" w:cstheme="minorHAnsi"/>
          <w:sz w:val="24"/>
          <w:szCs w:val="24"/>
          <w:u w:color="000000"/>
          <w:bdr w:val="nil"/>
          <w:lang w:val="en-US"/>
        </w:rPr>
        <w:t>in this age group</w:t>
      </w:r>
      <w:r w:rsidR="00F2046F" w:rsidRPr="00222663">
        <w:rPr>
          <w:rFonts w:eastAsia="Arial Unicode MS" w:cstheme="minorHAnsi"/>
          <w:sz w:val="24"/>
          <w:szCs w:val="24"/>
          <w:u w:color="000000"/>
          <w:bdr w:val="nil"/>
          <w:lang w:val="en-US"/>
        </w:rPr>
        <w:t xml:space="preserve"> would feel more comfortable talking about violence related issues in single-</w:t>
      </w:r>
      <w:r w:rsidR="000103C0" w:rsidRPr="00222663">
        <w:rPr>
          <w:rFonts w:eastAsia="Arial Unicode MS" w:cstheme="minorHAnsi"/>
          <w:sz w:val="24"/>
          <w:szCs w:val="24"/>
          <w:u w:color="000000"/>
          <w:bdr w:val="nil"/>
          <w:lang w:val="en-US"/>
        </w:rPr>
        <w:t>sex</w:t>
      </w:r>
      <w:r w:rsidR="00F2046F" w:rsidRPr="00222663">
        <w:rPr>
          <w:rFonts w:eastAsia="Arial Unicode MS" w:cstheme="minorHAnsi"/>
          <w:sz w:val="24"/>
          <w:szCs w:val="24"/>
          <w:u w:color="000000"/>
          <w:bdr w:val="nil"/>
          <w:lang w:val="en-US"/>
        </w:rPr>
        <w:t xml:space="preserve"> groups, whereas this was not </w:t>
      </w:r>
      <w:r w:rsidR="00056CA9" w:rsidRPr="00222663">
        <w:rPr>
          <w:rFonts w:eastAsia="Arial Unicode MS" w:cstheme="minorHAnsi"/>
          <w:sz w:val="24"/>
          <w:szCs w:val="24"/>
          <w:u w:color="000000"/>
          <w:bdr w:val="nil"/>
          <w:lang w:val="en-US"/>
        </w:rPr>
        <w:t xml:space="preserve">considered </w:t>
      </w:r>
      <w:r w:rsidR="00F2046F" w:rsidRPr="00222663">
        <w:rPr>
          <w:rFonts w:eastAsia="Arial Unicode MS" w:cstheme="minorHAnsi"/>
          <w:sz w:val="24"/>
          <w:szCs w:val="24"/>
          <w:u w:color="000000"/>
          <w:bdr w:val="nil"/>
          <w:lang w:val="en-US"/>
        </w:rPr>
        <w:t xml:space="preserve">a </w:t>
      </w:r>
      <w:r w:rsidR="00056CA9" w:rsidRPr="00222663">
        <w:rPr>
          <w:rFonts w:eastAsia="Arial Unicode MS" w:cstheme="minorHAnsi"/>
          <w:sz w:val="24"/>
          <w:szCs w:val="24"/>
          <w:u w:color="000000"/>
          <w:bdr w:val="nil"/>
          <w:lang w:val="en-US"/>
        </w:rPr>
        <w:t>concern</w:t>
      </w:r>
      <w:r w:rsidR="00F2046F" w:rsidRPr="00222663">
        <w:rPr>
          <w:rFonts w:eastAsia="Arial Unicode MS" w:cstheme="minorHAnsi"/>
          <w:sz w:val="24"/>
          <w:szCs w:val="24"/>
          <w:u w:color="000000"/>
          <w:bdr w:val="nil"/>
          <w:lang w:val="en-US"/>
        </w:rPr>
        <w:t xml:space="preserve"> for the younger cohort</w:t>
      </w:r>
      <w:r w:rsidR="000103C0" w:rsidRPr="00222663">
        <w:rPr>
          <w:rFonts w:eastAsia="Arial Unicode MS" w:cstheme="minorHAnsi"/>
          <w:sz w:val="24"/>
          <w:szCs w:val="24"/>
          <w:u w:color="000000"/>
          <w:bdr w:val="nil"/>
          <w:lang w:val="en-US"/>
        </w:rPr>
        <w:t>.</w:t>
      </w:r>
      <w:r w:rsidR="00BA00BA" w:rsidRPr="00222663">
        <w:rPr>
          <w:rFonts w:eastAsia="Arial Unicode MS" w:cstheme="minorHAnsi"/>
          <w:sz w:val="24"/>
          <w:szCs w:val="24"/>
          <w:u w:color="000000"/>
          <w:bdr w:val="nil"/>
          <w:lang w:val="en-US"/>
        </w:rPr>
        <w:t xml:space="preserve"> In the older cohort participants spent some of the research time in a larger mixed-sex group when the research was being explained before breaking off into sex-disaggregated focus group discussions.</w:t>
      </w:r>
      <w:r w:rsidR="00040E2B">
        <w:rPr>
          <w:rFonts w:eastAsia="Arial Unicode MS" w:cstheme="minorHAnsi"/>
          <w:sz w:val="24"/>
          <w:szCs w:val="24"/>
          <w:u w:color="000000"/>
          <w:bdr w:val="nil"/>
          <w:lang w:val="en-US"/>
        </w:rPr>
        <w:t xml:space="preserve"> </w:t>
      </w:r>
    </w:p>
    <w:p w14:paraId="2CBC9B43" w14:textId="66133CEB" w:rsidR="009C6C4F" w:rsidRDefault="00BA00BA" w:rsidP="00746A43">
      <w:pPr>
        <w:spacing w:after="160" w:line="360" w:lineRule="auto"/>
        <w:rPr>
          <w:rFonts w:eastAsia="Arial Unicode MS" w:cstheme="minorHAnsi"/>
          <w:sz w:val="24"/>
          <w:szCs w:val="24"/>
          <w:u w:color="000000"/>
          <w:bdr w:val="nil"/>
          <w:lang w:val="en-US"/>
        </w:rPr>
      </w:pPr>
      <w:r w:rsidRPr="00222663">
        <w:rPr>
          <w:rFonts w:eastAsia="Arial Unicode MS" w:cstheme="minorHAnsi"/>
          <w:sz w:val="24"/>
          <w:szCs w:val="24"/>
          <w:u w:color="000000"/>
          <w:bdr w:val="nil"/>
          <w:lang w:val="en-US"/>
        </w:rPr>
        <w:t>Throughout the research older participants were able to articulate their perspectives more fully than children in the younger group. The younger group appeared very shy</w:t>
      </w:r>
      <w:r w:rsidR="007F0E72">
        <w:rPr>
          <w:rFonts w:eastAsia="Arial Unicode MS" w:cstheme="minorHAnsi"/>
          <w:sz w:val="24"/>
          <w:szCs w:val="24"/>
          <w:u w:color="000000"/>
          <w:bdr w:val="nil"/>
          <w:lang w:val="en-US"/>
        </w:rPr>
        <w:t>;</w:t>
      </w:r>
      <w:r w:rsidRPr="00222663">
        <w:rPr>
          <w:rFonts w:eastAsia="Arial Unicode MS" w:cstheme="minorHAnsi"/>
          <w:sz w:val="24"/>
          <w:szCs w:val="24"/>
          <w:u w:color="000000"/>
          <w:bdr w:val="nil"/>
          <w:lang w:val="en-US"/>
        </w:rPr>
        <w:t xml:space="preserve"> many said </w:t>
      </w:r>
      <w:r w:rsidR="00275781">
        <w:rPr>
          <w:rFonts w:eastAsia="Arial Unicode MS" w:cstheme="minorHAnsi"/>
          <w:sz w:val="24"/>
          <w:szCs w:val="24"/>
          <w:u w:color="000000"/>
          <w:bdr w:val="nil"/>
          <w:lang w:val="en-US"/>
        </w:rPr>
        <w:t xml:space="preserve">this was the first time they had participated in research </w:t>
      </w:r>
      <w:r w:rsidR="001C2812" w:rsidRPr="00222663">
        <w:rPr>
          <w:rFonts w:eastAsia="Arial Unicode MS" w:cstheme="minorHAnsi"/>
          <w:sz w:val="24"/>
          <w:szCs w:val="24"/>
          <w:u w:color="000000"/>
          <w:bdr w:val="nil"/>
          <w:lang w:val="en-US"/>
        </w:rPr>
        <w:t>and</w:t>
      </w:r>
      <w:r w:rsidRPr="00222663">
        <w:rPr>
          <w:rFonts w:eastAsia="Arial Unicode MS" w:cstheme="minorHAnsi"/>
          <w:sz w:val="24"/>
          <w:szCs w:val="24"/>
          <w:u w:color="000000"/>
          <w:bdr w:val="nil"/>
          <w:lang w:val="en-US"/>
        </w:rPr>
        <w:t xml:space="preserve"> </w:t>
      </w:r>
      <w:r w:rsidR="001C2812" w:rsidRPr="00222663">
        <w:rPr>
          <w:rFonts w:eastAsia="Arial Unicode MS" w:cstheme="minorHAnsi"/>
          <w:sz w:val="24"/>
          <w:szCs w:val="24"/>
          <w:u w:color="000000"/>
          <w:bdr w:val="nil"/>
          <w:lang w:val="en-US"/>
        </w:rPr>
        <w:t xml:space="preserve">said they </w:t>
      </w:r>
      <w:r w:rsidR="00922FCF" w:rsidRPr="00222663">
        <w:rPr>
          <w:rFonts w:eastAsia="Arial Unicode MS" w:cstheme="minorHAnsi"/>
          <w:sz w:val="24"/>
          <w:szCs w:val="24"/>
          <w:u w:color="000000"/>
          <w:bdr w:val="nil"/>
          <w:lang w:val="en-US"/>
        </w:rPr>
        <w:t xml:space="preserve">sometimes </w:t>
      </w:r>
      <w:r w:rsidRPr="00222663">
        <w:rPr>
          <w:rFonts w:eastAsia="Arial Unicode MS" w:cstheme="minorHAnsi"/>
          <w:sz w:val="24"/>
          <w:szCs w:val="24"/>
          <w:u w:color="000000"/>
          <w:bdr w:val="nil"/>
          <w:lang w:val="en-US"/>
        </w:rPr>
        <w:t xml:space="preserve">did not feel confident </w:t>
      </w:r>
      <w:r w:rsidR="00BC0DF5" w:rsidRPr="00222663">
        <w:rPr>
          <w:rFonts w:eastAsia="Arial Unicode MS" w:cstheme="minorHAnsi"/>
          <w:sz w:val="24"/>
          <w:szCs w:val="24"/>
          <w:u w:color="000000"/>
          <w:bdr w:val="nil"/>
          <w:lang w:val="en-US"/>
        </w:rPr>
        <w:t>speaking</w:t>
      </w:r>
      <w:r w:rsidRPr="00222663">
        <w:rPr>
          <w:rFonts w:eastAsia="Arial Unicode MS" w:cstheme="minorHAnsi"/>
          <w:sz w:val="24"/>
          <w:szCs w:val="24"/>
          <w:u w:color="000000"/>
          <w:bdr w:val="nil"/>
          <w:lang w:val="en-US"/>
        </w:rPr>
        <w:t>. Young people in the older groups also said they had never been a part of a research project before</w:t>
      </w:r>
      <w:r w:rsidR="00BC0DF5" w:rsidRPr="00222663">
        <w:rPr>
          <w:rFonts w:eastAsia="Arial Unicode MS" w:cstheme="minorHAnsi"/>
          <w:sz w:val="24"/>
          <w:szCs w:val="24"/>
          <w:u w:color="000000"/>
          <w:bdr w:val="nil"/>
          <w:lang w:val="en-US"/>
        </w:rPr>
        <w:t>;</w:t>
      </w:r>
      <w:r w:rsidRPr="00222663">
        <w:rPr>
          <w:rFonts w:eastAsia="Arial Unicode MS" w:cstheme="minorHAnsi"/>
          <w:sz w:val="24"/>
          <w:szCs w:val="24"/>
          <w:u w:color="000000"/>
          <w:bdr w:val="nil"/>
          <w:lang w:val="en-US"/>
        </w:rPr>
        <w:t xml:space="preserve"> however, they appeared to be more able to participate in the research process without being overly constrained by shyness or nervousness. Notably, the boys in the older groups were demonstrably more confident than the girls of the same age in the older group, including when the girls and boys were engaged in the focus group discussions in separate </w:t>
      </w:r>
      <w:r w:rsidR="001C2812" w:rsidRPr="00222663">
        <w:rPr>
          <w:rFonts w:eastAsia="Arial Unicode MS" w:cstheme="minorHAnsi"/>
          <w:sz w:val="24"/>
          <w:szCs w:val="24"/>
          <w:u w:color="000000"/>
          <w:bdr w:val="nil"/>
          <w:lang w:val="en-US"/>
        </w:rPr>
        <w:t>sex</w:t>
      </w:r>
      <w:r w:rsidRPr="00222663">
        <w:rPr>
          <w:rFonts w:eastAsia="Arial Unicode MS" w:cstheme="minorHAnsi"/>
          <w:sz w:val="24"/>
          <w:szCs w:val="24"/>
          <w:u w:color="000000"/>
          <w:bdr w:val="nil"/>
          <w:lang w:val="en-US"/>
        </w:rPr>
        <w:t xml:space="preserve"> groups. </w:t>
      </w:r>
    </w:p>
    <w:p w14:paraId="60D93A30" w14:textId="13E39DEB" w:rsidR="00F152C8" w:rsidRPr="00222663" w:rsidRDefault="009C6C4F" w:rsidP="00746A43">
      <w:pPr>
        <w:spacing w:after="160" w:line="360" w:lineRule="auto"/>
        <w:rPr>
          <w:rFonts w:eastAsia="Arial Unicode MS" w:cstheme="minorHAnsi"/>
          <w:sz w:val="24"/>
          <w:szCs w:val="24"/>
          <w:u w:color="000000"/>
          <w:bdr w:val="nil"/>
          <w:lang w:val="en-US"/>
        </w:rPr>
      </w:pPr>
      <w:r w:rsidRPr="00722EC2">
        <w:rPr>
          <w:rFonts w:eastAsia="Arial Unicode MS" w:cstheme="minorHAnsi"/>
          <w:sz w:val="24"/>
          <w:szCs w:val="24"/>
          <w:u w:color="000000"/>
          <w:bdr w:val="nil"/>
          <w:lang w:val="en-US"/>
        </w:rPr>
        <w:t xml:space="preserve">This is an important </w:t>
      </w:r>
      <w:r w:rsidR="00722EC2" w:rsidRPr="00C03A57">
        <w:rPr>
          <w:rFonts w:eastAsia="Arial Unicode MS" w:cstheme="minorHAnsi"/>
          <w:sz w:val="24"/>
          <w:szCs w:val="24"/>
          <w:u w:color="000000"/>
          <w:bdr w:val="nil"/>
          <w:lang w:val="en-US"/>
        </w:rPr>
        <w:t>finding</w:t>
      </w:r>
      <w:r w:rsidRPr="00722EC2">
        <w:rPr>
          <w:rFonts w:eastAsia="Arial Unicode MS" w:cstheme="minorHAnsi"/>
          <w:sz w:val="24"/>
          <w:szCs w:val="24"/>
          <w:u w:color="000000"/>
          <w:bdr w:val="nil"/>
          <w:lang w:val="en-US"/>
        </w:rPr>
        <w:t xml:space="preserve"> from the research that highlights the importance of researchers being aware that young children and </w:t>
      </w:r>
      <w:r w:rsidR="004C1120">
        <w:rPr>
          <w:rFonts w:eastAsia="Arial Unicode MS" w:cstheme="minorHAnsi"/>
          <w:sz w:val="24"/>
          <w:szCs w:val="24"/>
          <w:u w:color="000000"/>
          <w:bdr w:val="nil"/>
          <w:lang w:val="en-US"/>
        </w:rPr>
        <w:t xml:space="preserve">young </w:t>
      </w:r>
      <w:r w:rsidRPr="00722EC2">
        <w:rPr>
          <w:rFonts w:eastAsia="Arial Unicode MS" w:cstheme="minorHAnsi"/>
          <w:sz w:val="24"/>
          <w:szCs w:val="24"/>
          <w:u w:color="000000"/>
          <w:bdr w:val="nil"/>
          <w:lang w:val="en-US"/>
        </w:rPr>
        <w:t>females face age and gender related barriers that</w:t>
      </w:r>
      <w:r w:rsidR="00B11436" w:rsidRPr="00722EC2">
        <w:rPr>
          <w:rFonts w:eastAsia="Arial Unicode MS" w:cstheme="minorHAnsi"/>
          <w:sz w:val="24"/>
          <w:szCs w:val="24"/>
          <w:u w:color="000000"/>
          <w:bdr w:val="nil"/>
          <w:lang w:val="en-US"/>
        </w:rPr>
        <w:t xml:space="preserve"> can</w:t>
      </w:r>
      <w:r w:rsidRPr="00722EC2">
        <w:rPr>
          <w:rFonts w:eastAsia="Arial Unicode MS" w:cstheme="minorHAnsi"/>
          <w:sz w:val="24"/>
          <w:szCs w:val="24"/>
          <w:u w:color="000000"/>
          <w:bdr w:val="nil"/>
          <w:lang w:val="en-US"/>
        </w:rPr>
        <w:t xml:space="preserve"> </w:t>
      </w:r>
      <w:r w:rsidR="008635CC" w:rsidRPr="00722EC2">
        <w:rPr>
          <w:rFonts w:eastAsia="Arial Unicode MS" w:cstheme="minorHAnsi"/>
          <w:sz w:val="24"/>
          <w:szCs w:val="24"/>
          <w:u w:color="000000"/>
          <w:bdr w:val="nil"/>
          <w:lang w:val="en-US"/>
        </w:rPr>
        <w:t>hinder</w:t>
      </w:r>
      <w:r w:rsidRPr="00722EC2">
        <w:rPr>
          <w:rFonts w:eastAsia="Arial Unicode MS" w:cstheme="minorHAnsi"/>
          <w:sz w:val="24"/>
          <w:szCs w:val="24"/>
          <w:u w:color="000000"/>
          <w:bdr w:val="nil"/>
          <w:lang w:val="en-US"/>
        </w:rPr>
        <w:t xml:space="preserve"> their ability to participate in research processes</w:t>
      </w:r>
      <w:r w:rsidR="00B11436" w:rsidRPr="00722EC2">
        <w:rPr>
          <w:rFonts w:eastAsia="Arial Unicode MS" w:cstheme="minorHAnsi"/>
          <w:sz w:val="24"/>
          <w:szCs w:val="24"/>
          <w:u w:color="000000"/>
          <w:bdr w:val="nil"/>
          <w:lang w:val="en-US"/>
        </w:rPr>
        <w:t xml:space="preserve">. </w:t>
      </w:r>
      <w:r w:rsidR="006E4D1C" w:rsidRPr="00722EC2">
        <w:rPr>
          <w:rFonts w:eastAsia="Arial Unicode MS" w:cstheme="minorHAnsi"/>
          <w:sz w:val="24"/>
          <w:szCs w:val="24"/>
          <w:u w:color="000000"/>
          <w:bdr w:val="nil"/>
          <w:lang w:val="en-US"/>
        </w:rPr>
        <w:t>Researchers must take specific measures</w:t>
      </w:r>
      <w:r w:rsidRPr="00722EC2">
        <w:rPr>
          <w:rFonts w:eastAsia="Arial Unicode MS" w:cstheme="minorHAnsi"/>
          <w:sz w:val="24"/>
          <w:szCs w:val="24"/>
          <w:u w:color="000000"/>
          <w:bdr w:val="nil"/>
          <w:lang w:val="en-US"/>
        </w:rPr>
        <w:t xml:space="preserve"> to mitigate these barriers to facilitate </w:t>
      </w:r>
      <w:r w:rsidR="00B11436" w:rsidRPr="00722EC2">
        <w:rPr>
          <w:rFonts w:eastAsia="Arial Unicode MS" w:cstheme="minorHAnsi"/>
          <w:sz w:val="24"/>
          <w:szCs w:val="24"/>
          <w:u w:color="000000"/>
          <w:bdr w:val="nil"/>
          <w:lang w:val="en-US"/>
        </w:rPr>
        <w:t xml:space="preserve">the </w:t>
      </w:r>
      <w:r w:rsidR="008635CC" w:rsidRPr="00722EC2">
        <w:rPr>
          <w:rFonts w:eastAsia="Arial Unicode MS" w:cstheme="minorHAnsi"/>
          <w:sz w:val="24"/>
          <w:szCs w:val="24"/>
          <w:u w:color="000000"/>
          <w:bdr w:val="nil"/>
          <w:lang w:val="en-US"/>
        </w:rPr>
        <w:t xml:space="preserve">full and meaningful </w:t>
      </w:r>
      <w:r w:rsidR="00B11436" w:rsidRPr="00722EC2">
        <w:rPr>
          <w:rFonts w:eastAsia="Arial Unicode MS" w:cstheme="minorHAnsi"/>
          <w:sz w:val="24"/>
          <w:szCs w:val="24"/>
          <w:u w:color="000000"/>
          <w:bdr w:val="nil"/>
          <w:lang w:val="en-US"/>
        </w:rPr>
        <w:t xml:space="preserve">participation of </w:t>
      </w:r>
      <w:r w:rsidRPr="00722EC2">
        <w:rPr>
          <w:rFonts w:eastAsia="Arial Unicode MS" w:cstheme="minorHAnsi"/>
          <w:sz w:val="24"/>
          <w:szCs w:val="24"/>
          <w:u w:color="000000"/>
          <w:bdr w:val="nil"/>
          <w:lang w:val="en-US"/>
        </w:rPr>
        <w:t xml:space="preserve">young </w:t>
      </w:r>
      <w:r w:rsidRPr="00722EC2">
        <w:rPr>
          <w:rFonts w:eastAsia="Arial Unicode MS" w:cstheme="minorHAnsi"/>
          <w:sz w:val="24"/>
          <w:szCs w:val="24"/>
          <w:u w:color="000000"/>
          <w:bdr w:val="nil"/>
          <w:lang w:val="en-US"/>
        </w:rPr>
        <w:lastRenderedPageBreak/>
        <w:t xml:space="preserve">children and </w:t>
      </w:r>
      <w:r w:rsidR="008635CC" w:rsidRPr="00722EC2">
        <w:rPr>
          <w:rFonts w:eastAsia="Arial Unicode MS" w:cstheme="minorHAnsi"/>
          <w:sz w:val="24"/>
          <w:szCs w:val="24"/>
          <w:u w:color="000000"/>
          <w:bdr w:val="nil"/>
          <w:lang w:val="en-US"/>
        </w:rPr>
        <w:t xml:space="preserve">young </w:t>
      </w:r>
      <w:r w:rsidRPr="00722EC2">
        <w:rPr>
          <w:rFonts w:eastAsia="Arial Unicode MS" w:cstheme="minorHAnsi"/>
          <w:sz w:val="24"/>
          <w:szCs w:val="24"/>
          <w:u w:color="000000"/>
          <w:bdr w:val="nil"/>
          <w:lang w:val="en-US"/>
        </w:rPr>
        <w:t>female</w:t>
      </w:r>
      <w:r w:rsidR="008635CC" w:rsidRPr="00722EC2">
        <w:rPr>
          <w:rFonts w:eastAsia="Arial Unicode MS" w:cstheme="minorHAnsi"/>
          <w:sz w:val="24"/>
          <w:szCs w:val="24"/>
          <w:u w:color="000000"/>
          <w:bdr w:val="nil"/>
          <w:lang w:val="en-US"/>
        </w:rPr>
        <w:t>s</w:t>
      </w:r>
      <w:r w:rsidRPr="00722EC2">
        <w:rPr>
          <w:rFonts w:eastAsia="Arial Unicode MS" w:cstheme="minorHAnsi"/>
          <w:sz w:val="24"/>
          <w:szCs w:val="24"/>
          <w:u w:color="000000"/>
          <w:bdr w:val="nil"/>
          <w:lang w:val="en-US"/>
        </w:rPr>
        <w:t xml:space="preserve"> in research. </w:t>
      </w:r>
      <w:r w:rsidR="008635CC" w:rsidRPr="00722EC2">
        <w:rPr>
          <w:rFonts w:eastAsia="Arial Unicode MS" w:cstheme="minorHAnsi"/>
          <w:sz w:val="24"/>
          <w:szCs w:val="24"/>
          <w:u w:color="000000"/>
          <w:bdr w:val="nil"/>
          <w:lang w:val="en-US"/>
        </w:rPr>
        <w:t>T</w:t>
      </w:r>
      <w:r w:rsidR="00F152C8" w:rsidRPr="00722EC2">
        <w:rPr>
          <w:rFonts w:eastAsia="Arial Unicode MS" w:cstheme="minorHAnsi"/>
          <w:sz w:val="24"/>
          <w:szCs w:val="24"/>
          <w:u w:color="000000"/>
          <w:bdr w:val="nil"/>
          <w:lang w:val="en-US"/>
        </w:rPr>
        <w:t xml:space="preserve">his could </w:t>
      </w:r>
      <w:r w:rsidR="00B11436" w:rsidRPr="00722EC2">
        <w:rPr>
          <w:rFonts w:eastAsia="Arial Unicode MS" w:cstheme="minorHAnsi"/>
          <w:sz w:val="24"/>
          <w:szCs w:val="24"/>
          <w:u w:color="000000"/>
          <w:bdr w:val="nil"/>
          <w:lang w:val="en-US"/>
        </w:rPr>
        <w:t>i</w:t>
      </w:r>
      <w:r w:rsidR="00F152C8" w:rsidRPr="00722EC2">
        <w:rPr>
          <w:rFonts w:eastAsia="Arial Unicode MS" w:cstheme="minorHAnsi"/>
          <w:sz w:val="24"/>
          <w:szCs w:val="24"/>
          <w:u w:color="000000"/>
          <w:bdr w:val="nil"/>
          <w:lang w:val="en-US"/>
        </w:rPr>
        <w:t>nvolve</w:t>
      </w:r>
      <w:r w:rsidR="008635CC" w:rsidRPr="00722EC2">
        <w:rPr>
          <w:rFonts w:eastAsia="Arial Unicode MS" w:cstheme="minorHAnsi"/>
          <w:sz w:val="24"/>
          <w:szCs w:val="24"/>
          <w:u w:color="000000"/>
          <w:bdr w:val="nil"/>
          <w:lang w:val="en-US"/>
        </w:rPr>
        <w:t>, for example,</w:t>
      </w:r>
      <w:r w:rsidR="00B11436" w:rsidRPr="00722EC2">
        <w:rPr>
          <w:rFonts w:eastAsia="Arial Unicode MS" w:cstheme="minorHAnsi"/>
          <w:sz w:val="24"/>
          <w:szCs w:val="24"/>
          <w:u w:color="000000"/>
          <w:bdr w:val="nil"/>
          <w:lang w:val="en-US"/>
        </w:rPr>
        <w:t xml:space="preserve"> conducting </w:t>
      </w:r>
      <w:r w:rsidR="00F152C8" w:rsidRPr="00722EC2">
        <w:rPr>
          <w:rFonts w:eastAsia="Arial Unicode MS" w:cstheme="minorHAnsi"/>
          <w:sz w:val="24"/>
          <w:szCs w:val="24"/>
          <w:u w:color="000000"/>
          <w:bdr w:val="nil"/>
          <w:lang w:val="en-US"/>
        </w:rPr>
        <w:t>additional age and gender</w:t>
      </w:r>
      <w:r w:rsidR="00722EC2" w:rsidRPr="00C03A57">
        <w:rPr>
          <w:rFonts w:eastAsia="Arial Unicode MS" w:cstheme="minorHAnsi"/>
          <w:sz w:val="24"/>
          <w:szCs w:val="24"/>
          <w:u w:color="000000"/>
          <w:bdr w:val="nil"/>
          <w:lang w:val="en-US"/>
        </w:rPr>
        <w:t>-</w:t>
      </w:r>
      <w:r w:rsidR="00F152C8" w:rsidRPr="00722EC2">
        <w:rPr>
          <w:rFonts w:eastAsia="Arial Unicode MS" w:cstheme="minorHAnsi"/>
          <w:sz w:val="24"/>
          <w:szCs w:val="24"/>
          <w:u w:color="000000"/>
          <w:bdr w:val="nil"/>
          <w:lang w:val="en-US"/>
        </w:rPr>
        <w:t xml:space="preserve">sensitive </w:t>
      </w:r>
      <w:r w:rsidR="00B11436" w:rsidRPr="00722EC2">
        <w:rPr>
          <w:rFonts w:eastAsia="Arial Unicode MS" w:cstheme="minorHAnsi"/>
          <w:sz w:val="24"/>
          <w:szCs w:val="24"/>
          <w:u w:color="000000"/>
          <w:bdr w:val="nil"/>
          <w:lang w:val="en-US"/>
        </w:rPr>
        <w:t>pre-research preparatory workshops</w:t>
      </w:r>
      <w:r w:rsidR="00722EC2" w:rsidRPr="00C03A57">
        <w:rPr>
          <w:rFonts w:eastAsia="Arial Unicode MS" w:cstheme="minorHAnsi"/>
          <w:sz w:val="24"/>
          <w:szCs w:val="24"/>
          <w:u w:color="000000"/>
          <w:bdr w:val="nil"/>
          <w:lang w:val="en-US"/>
        </w:rPr>
        <w:t>,</w:t>
      </w:r>
      <w:r w:rsidR="00F152C8" w:rsidRPr="00722EC2">
        <w:rPr>
          <w:rFonts w:eastAsia="Arial Unicode MS" w:cstheme="minorHAnsi"/>
          <w:sz w:val="24"/>
          <w:szCs w:val="24"/>
          <w:u w:color="000000"/>
          <w:bdr w:val="nil"/>
          <w:lang w:val="en-US"/>
        </w:rPr>
        <w:t xml:space="preserve"> and offering supplementary support </w:t>
      </w:r>
      <w:r w:rsidR="008635CC" w:rsidRPr="00722EC2">
        <w:rPr>
          <w:rFonts w:eastAsia="Arial Unicode MS" w:cstheme="minorHAnsi"/>
          <w:sz w:val="24"/>
          <w:szCs w:val="24"/>
          <w:u w:color="000000"/>
          <w:bdr w:val="nil"/>
          <w:lang w:val="en-US"/>
        </w:rPr>
        <w:t xml:space="preserve">during the research, </w:t>
      </w:r>
      <w:r w:rsidR="00F152C8" w:rsidRPr="00722EC2">
        <w:rPr>
          <w:rFonts w:eastAsia="Arial Unicode MS" w:cstheme="minorHAnsi"/>
          <w:sz w:val="24"/>
          <w:szCs w:val="24"/>
          <w:u w:color="000000"/>
          <w:bdr w:val="nil"/>
          <w:lang w:val="en-US"/>
        </w:rPr>
        <w:t>such as ‘check in sessions</w:t>
      </w:r>
      <w:r w:rsidR="00CC2921">
        <w:rPr>
          <w:rFonts w:eastAsia="Arial Unicode MS" w:cstheme="minorHAnsi"/>
          <w:sz w:val="24"/>
          <w:szCs w:val="24"/>
          <w:u w:color="000000"/>
          <w:bdr w:val="nil"/>
          <w:lang w:val="en-US"/>
        </w:rPr>
        <w:t>’</w:t>
      </w:r>
      <w:r w:rsidR="001E7927" w:rsidRPr="00722EC2">
        <w:rPr>
          <w:rFonts w:eastAsia="Arial Unicode MS" w:cstheme="minorHAnsi"/>
          <w:sz w:val="24"/>
          <w:szCs w:val="24"/>
          <w:u w:color="000000"/>
          <w:bdr w:val="nil"/>
          <w:lang w:val="en-US"/>
        </w:rPr>
        <w:t>,</w:t>
      </w:r>
      <w:r w:rsidR="00F152C8" w:rsidRPr="00722EC2">
        <w:rPr>
          <w:rFonts w:eastAsia="Arial Unicode MS" w:cstheme="minorHAnsi"/>
          <w:sz w:val="24"/>
          <w:szCs w:val="24"/>
          <w:u w:color="000000"/>
          <w:bdr w:val="nil"/>
          <w:lang w:val="en-US"/>
        </w:rPr>
        <w:t xml:space="preserve"> </w:t>
      </w:r>
      <w:r w:rsidR="00B11436" w:rsidRPr="00722EC2">
        <w:rPr>
          <w:rFonts w:eastAsia="Arial Unicode MS" w:cstheme="minorHAnsi"/>
          <w:sz w:val="24"/>
          <w:szCs w:val="24"/>
          <w:u w:color="000000"/>
          <w:bdr w:val="nil"/>
          <w:lang w:val="en-US"/>
        </w:rPr>
        <w:t>for the youngest participants</w:t>
      </w:r>
      <w:r w:rsidR="00F152C8" w:rsidRPr="00722EC2">
        <w:rPr>
          <w:rFonts w:eastAsia="Arial Unicode MS" w:cstheme="minorHAnsi"/>
          <w:sz w:val="24"/>
          <w:szCs w:val="24"/>
          <w:u w:color="000000"/>
          <w:bdr w:val="nil"/>
          <w:lang w:val="en-US"/>
        </w:rPr>
        <w:t xml:space="preserve"> a</w:t>
      </w:r>
      <w:r w:rsidR="008635CC" w:rsidRPr="00722EC2">
        <w:rPr>
          <w:rFonts w:eastAsia="Arial Unicode MS" w:cstheme="minorHAnsi"/>
          <w:sz w:val="24"/>
          <w:szCs w:val="24"/>
          <w:u w:color="000000"/>
          <w:bdr w:val="nil"/>
          <w:lang w:val="en-US"/>
        </w:rPr>
        <w:t>s well as</w:t>
      </w:r>
      <w:r w:rsidR="00B11436" w:rsidRPr="00722EC2">
        <w:rPr>
          <w:rFonts w:eastAsia="Arial Unicode MS" w:cstheme="minorHAnsi"/>
          <w:sz w:val="24"/>
          <w:szCs w:val="24"/>
          <w:u w:color="000000"/>
          <w:bdr w:val="nil"/>
          <w:lang w:val="en-US"/>
        </w:rPr>
        <w:t xml:space="preserve"> female participants</w:t>
      </w:r>
      <w:r w:rsidR="00F152C8" w:rsidRPr="00722EC2">
        <w:rPr>
          <w:rFonts w:eastAsia="Arial Unicode MS" w:cstheme="minorHAnsi"/>
          <w:sz w:val="24"/>
          <w:szCs w:val="24"/>
          <w:u w:color="000000"/>
          <w:bdr w:val="nil"/>
          <w:lang w:val="en-US"/>
        </w:rPr>
        <w:t>.</w:t>
      </w:r>
      <w:r w:rsidR="00F152C8">
        <w:rPr>
          <w:rFonts w:eastAsia="Arial Unicode MS" w:cstheme="minorHAnsi"/>
          <w:sz w:val="24"/>
          <w:szCs w:val="24"/>
          <w:u w:color="000000"/>
          <w:bdr w:val="nil"/>
          <w:lang w:val="en-US"/>
        </w:rPr>
        <w:t xml:space="preserve"> </w:t>
      </w:r>
    </w:p>
    <w:p w14:paraId="6E5E91A4" w14:textId="1E8EABAB" w:rsidR="00D06C81" w:rsidRPr="00222663" w:rsidRDefault="006E4D1C" w:rsidP="00746A43">
      <w:pPr>
        <w:spacing w:line="360" w:lineRule="auto"/>
        <w:rPr>
          <w:rFonts w:cstheme="minorHAnsi"/>
          <w:sz w:val="24"/>
          <w:szCs w:val="24"/>
        </w:rPr>
      </w:pPr>
      <w:r>
        <w:rPr>
          <w:rFonts w:eastAsia="Arial Unicode MS" w:cstheme="minorHAnsi"/>
          <w:sz w:val="24"/>
          <w:szCs w:val="24"/>
          <w:u w:color="000000"/>
          <w:bdr w:val="nil"/>
          <w:lang w:val="en-US"/>
        </w:rPr>
        <w:t>We conducted p</w:t>
      </w:r>
      <w:r w:rsidRPr="00222663">
        <w:rPr>
          <w:rFonts w:eastAsia="Arial Unicode MS" w:cstheme="minorHAnsi"/>
          <w:sz w:val="24"/>
          <w:szCs w:val="24"/>
          <w:u w:color="000000"/>
          <w:bdr w:val="nil"/>
          <w:lang w:val="en-US"/>
        </w:rPr>
        <w:t>reparatory information sessions with carers and potential participants, where consent to participate in the study from children, young people and carers was sought</w:t>
      </w:r>
      <w:r>
        <w:rPr>
          <w:rFonts w:eastAsia="Arial Unicode MS" w:cstheme="minorHAnsi"/>
          <w:sz w:val="24"/>
          <w:szCs w:val="24"/>
          <w:u w:color="000000"/>
          <w:bdr w:val="nil"/>
          <w:lang w:val="en-US"/>
        </w:rPr>
        <w:t xml:space="preserve">. </w:t>
      </w:r>
      <w:r w:rsidR="00CC2921">
        <w:rPr>
          <w:rFonts w:eastAsia="Arial Unicode MS" w:cstheme="minorHAnsi"/>
          <w:sz w:val="24"/>
          <w:szCs w:val="24"/>
          <w:u w:color="000000"/>
          <w:bdr w:val="nil"/>
          <w:lang w:val="en-US"/>
        </w:rPr>
        <w:t>We then</w:t>
      </w:r>
      <w:r>
        <w:rPr>
          <w:rFonts w:eastAsia="Arial Unicode MS" w:cstheme="minorHAnsi"/>
          <w:sz w:val="24"/>
          <w:szCs w:val="24"/>
          <w:u w:color="000000"/>
          <w:bdr w:val="nil"/>
          <w:lang w:val="en-US"/>
        </w:rPr>
        <w:t xml:space="preserve"> undertook</w:t>
      </w:r>
      <w:r>
        <w:rPr>
          <w:rFonts w:cstheme="minorHAnsi"/>
          <w:sz w:val="24"/>
          <w:szCs w:val="24"/>
        </w:rPr>
        <w:t xml:space="preserve"> </w:t>
      </w:r>
      <w:r>
        <w:rPr>
          <w:rFonts w:eastAsia="Arial Unicode MS" w:cstheme="minorHAnsi"/>
          <w:sz w:val="24"/>
          <w:szCs w:val="24"/>
          <w:u w:color="000000"/>
          <w:bdr w:val="nil"/>
          <w:lang w:val="en-US"/>
        </w:rPr>
        <w:t>s</w:t>
      </w:r>
      <w:r w:rsidR="00AF52AF" w:rsidRPr="00222663">
        <w:rPr>
          <w:rFonts w:eastAsia="Arial Unicode MS" w:cstheme="minorHAnsi"/>
          <w:sz w:val="24"/>
          <w:szCs w:val="24"/>
          <w:u w:color="000000"/>
          <w:bdr w:val="nil"/>
          <w:lang w:val="en-US"/>
        </w:rPr>
        <w:t xml:space="preserve">emi-structured focus group discussions with </w:t>
      </w:r>
      <w:r w:rsidR="00E10039" w:rsidRPr="00222663">
        <w:rPr>
          <w:rFonts w:eastAsia="Arial Unicode MS" w:cstheme="minorHAnsi"/>
          <w:sz w:val="24"/>
          <w:szCs w:val="24"/>
          <w:u w:color="000000"/>
          <w:bdr w:val="nil"/>
          <w:lang w:val="en-US"/>
        </w:rPr>
        <w:t>all</w:t>
      </w:r>
      <w:r w:rsidR="00AF52AF" w:rsidRPr="00222663">
        <w:rPr>
          <w:rFonts w:eastAsia="Arial Unicode MS" w:cstheme="minorHAnsi"/>
          <w:sz w:val="24"/>
          <w:szCs w:val="24"/>
          <w:u w:color="000000"/>
          <w:bdr w:val="nil"/>
          <w:lang w:val="en-US"/>
        </w:rPr>
        <w:t xml:space="preserve"> </w:t>
      </w:r>
      <w:r w:rsidR="00E10039" w:rsidRPr="00222663">
        <w:rPr>
          <w:rFonts w:eastAsia="Arial Unicode MS" w:cstheme="minorHAnsi"/>
          <w:sz w:val="24"/>
          <w:szCs w:val="24"/>
          <w:u w:color="000000"/>
          <w:bdr w:val="nil"/>
          <w:lang w:val="en-US"/>
        </w:rPr>
        <w:t>groups</w:t>
      </w:r>
      <w:r w:rsidR="00AF52AF" w:rsidRPr="00222663">
        <w:rPr>
          <w:rFonts w:eastAsia="Arial Unicode MS" w:cstheme="minorHAnsi"/>
          <w:sz w:val="24"/>
          <w:szCs w:val="24"/>
          <w:u w:color="000000"/>
          <w:bdr w:val="nil"/>
          <w:lang w:val="en-US"/>
        </w:rPr>
        <w:t xml:space="preserve">. </w:t>
      </w:r>
      <w:r w:rsidRPr="00222663">
        <w:rPr>
          <w:rFonts w:eastAsia="Arial Unicode MS" w:cstheme="minorHAnsi"/>
          <w:sz w:val="24"/>
          <w:szCs w:val="24"/>
          <w:u w:color="000000"/>
          <w:bdr w:val="nil"/>
          <w:lang w:val="en-US"/>
        </w:rPr>
        <w:t xml:space="preserve">We were not aware of any participants who identified as LGBTIQ+. </w:t>
      </w:r>
    </w:p>
    <w:p w14:paraId="19064AAF" w14:textId="2D065986" w:rsidR="00AF52AF" w:rsidRPr="00222663" w:rsidRDefault="00AF52AF" w:rsidP="00746A43">
      <w:pPr>
        <w:spacing w:line="360" w:lineRule="auto"/>
        <w:rPr>
          <w:rFonts w:eastAsia="Arial Unicode MS" w:cstheme="minorHAnsi"/>
          <w:sz w:val="24"/>
          <w:szCs w:val="24"/>
          <w:u w:color="000000"/>
          <w:bdr w:val="nil"/>
          <w:lang w:val="en-US"/>
        </w:rPr>
      </w:pPr>
      <w:r w:rsidRPr="00222663">
        <w:rPr>
          <w:rFonts w:eastAsia="Arial Unicode MS" w:cstheme="minorHAnsi"/>
          <w:sz w:val="24"/>
          <w:szCs w:val="24"/>
          <w:u w:color="000000"/>
          <w:bdr w:val="nil"/>
          <w:lang w:val="en-US"/>
        </w:rPr>
        <w:t>The research</w:t>
      </w:r>
      <w:r w:rsidR="008F5F02" w:rsidRPr="00222663">
        <w:rPr>
          <w:rFonts w:eastAsia="Arial Unicode MS" w:cstheme="minorHAnsi"/>
          <w:sz w:val="24"/>
          <w:szCs w:val="24"/>
          <w:u w:color="000000"/>
          <w:bdr w:val="nil"/>
          <w:lang w:val="en-US"/>
        </w:rPr>
        <w:t xml:space="preserve"> </w:t>
      </w:r>
      <w:r w:rsidR="000A1E33">
        <w:rPr>
          <w:rFonts w:eastAsia="Arial Unicode MS" w:cstheme="minorHAnsi"/>
          <w:sz w:val="24"/>
          <w:szCs w:val="24"/>
          <w:u w:color="000000"/>
          <w:bdr w:val="nil"/>
          <w:lang w:val="en-US"/>
        </w:rPr>
        <w:t>took place</w:t>
      </w:r>
      <w:r w:rsidRPr="00222663">
        <w:rPr>
          <w:rFonts w:eastAsia="Arial Unicode MS" w:cstheme="minorHAnsi"/>
          <w:sz w:val="24"/>
          <w:szCs w:val="24"/>
          <w:u w:color="000000"/>
          <w:bdr w:val="nil"/>
          <w:lang w:val="en-US"/>
        </w:rPr>
        <w:t xml:space="preserve"> </w:t>
      </w:r>
      <w:r w:rsidR="00CE1F6F" w:rsidRPr="00222663">
        <w:rPr>
          <w:rFonts w:eastAsia="Arial Unicode MS" w:cstheme="minorHAnsi"/>
          <w:sz w:val="24"/>
          <w:szCs w:val="24"/>
          <w:u w:color="000000"/>
          <w:bdr w:val="nil"/>
          <w:lang w:val="en-US"/>
        </w:rPr>
        <w:t xml:space="preserve">at </w:t>
      </w:r>
      <w:r w:rsidRPr="00222663">
        <w:rPr>
          <w:rFonts w:eastAsia="Arial Unicode MS" w:cstheme="minorHAnsi"/>
          <w:sz w:val="24"/>
          <w:szCs w:val="24"/>
          <w:u w:color="000000"/>
          <w:bdr w:val="nil"/>
          <w:lang w:val="en-US"/>
        </w:rPr>
        <w:t xml:space="preserve">a community </w:t>
      </w:r>
      <w:proofErr w:type="spellStart"/>
      <w:r w:rsidR="00DC18B3" w:rsidRPr="00222663">
        <w:rPr>
          <w:rFonts w:eastAsia="Arial Unicode MS" w:cstheme="minorHAnsi"/>
          <w:sz w:val="24"/>
          <w:szCs w:val="24"/>
          <w:u w:color="000000"/>
          <w:bdr w:val="nil"/>
          <w:lang w:val="en-US"/>
        </w:rPr>
        <w:t>centre</w:t>
      </w:r>
      <w:proofErr w:type="spellEnd"/>
      <w:r w:rsidR="00DC18B3" w:rsidRPr="00222663">
        <w:rPr>
          <w:rFonts w:eastAsia="Arial Unicode MS" w:cstheme="minorHAnsi"/>
          <w:sz w:val="24"/>
          <w:szCs w:val="24"/>
          <w:u w:color="000000"/>
          <w:bdr w:val="nil"/>
          <w:lang w:val="en-US"/>
        </w:rPr>
        <w:t xml:space="preserve"> </w:t>
      </w:r>
      <w:r w:rsidRPr="00222663">
        <w:rPr>
          <w:rFonts w:eastAsia="Arial Unicode MS" w:cstheme="minorHAnsi"/>
          <w:sz w:val="24"/>
          <w:szCs w:val="24"/>
          <w:u w:color="000000"/>
          <w:bdr w:val="nil"/>
          <w:lang w:val="en-US"/>
        </w:rPr>
        <w:t xml:space="preserve">on the outskirts of Kathmandu Valley. </w:t>
      </w:r>
      <w:r w:rsidR="00CE1F6F" w:rsidRPr="00222663">
        <w:rPr>
          <w:rFonts w:eastAsia="Arial Unicode MS" w:cstheme="minorHAnsi"/>
          <w:sz w:val="24"/>
          <w:szCs w:val="24"/>
          <w:u w:color="000000"/>
          <w:bdr w:val="nil"/>
          <w:lang w:val="en-US"/>
        </w:rPr>
        <w:t>Maharjan recrui</w:t>
      </w:r>
      <w:r w:rsidR="00EC3B63" w:rsidRPr="00222663">
        <w:rPr>
          <w:rFonts w:eastAsia="Arial Unicode MS" w:cstheme="minorHAnsi"/>
          <w:sz w:val="24"/>
          <w:szCs w:val="24"/>
          <w:u w:color="000000"/>
          <w:bdr w:val="nil"/>
          <w:lang w:val="en-US"/>
        </w:rPr>
        <w:t>ted</w:t>
      </w:r>
      <w:r w:rsidR="00CE1F6F" w:rsidRPr="00222663">
        <w:rPr>
          <w:rFonts w:eastAsia="Arial Unicode MS" w:cstheme="minorHAnsi"/>
          <w:sz w:val="24"/>
          <w:szCs w:val="24"/>
          <w:u w:color="000000"/>
          <w:bdr w:val="nil"/>
          <w:lang w:val="en-US"/>
        </w:rPr>
        <w:t xml:space="preserve"> participants by drawing on Save the Children’s existing connections and relationship with </w:t>
      </w:r>
      <w:r w:rsidR="00EC3B63" w:rsidRPr="00222663">
        <w:rPr>
          <w:rFonts w:eastAsia="Arial Unicode MS" w:cstheme="minorHAnsi"/>
          <w:sz w:val="24"/>
          <w:szCs w:val="24"/>
          <w:u w:color="000000"/>
          <w:bdr w:val="nil"/>
          <w:lang w:val="en-US"/>
        </w:rPr>
        <w:t xml:space="preserve">local </w:t>
      </w:r>
      <w:r w:rsidR="00CE1F6F" w:rsidRPr="00222663">
        <w:rPr>
          <w:rFonts w:eastAsia="Arial Unicode MS" w:cstheme="minorHAnsi"/>
          <w:sz w:val="24"/>
          <w:szCs w:val="24"/>
          <w:u w:color="000000"/>
          <w:bdr w:val="nil"/>
          <w:lang w:val="en-US"/>
        </w:rPr>
        <w:t xml:space="preserve">communities. </w:t>
      </w:r>
      <w:r w:rsidRPr="00222663">
        <w:rPr>
          <w:rFonts w:eastAsia="Arial Unicode MS" w:cstheme="minorHAnsi"/>
          <w:sz w:val="24"/>
          <w:szCs w:val="24"/>
          <w:u w:color="000000"/>
          <w:bdr w:val="nil"/>
          <w:lang w:val="en-US"/>
        </w:rPr>
        <w:t xml:space="preserve">All participants were from the same school in an area of high socio-economic disadvantage. </w:t>
      </w:r>
      <w:r w:rsidR="00AC6733" w:rsidRPr="00222663">
        <w:rPr>
          <w:rFonts w:cstheme="minorHAnsi"/>
          <w:sz w:val="24"/>
          <w:szCs w:val="24"/>
        </w:rPr>
        <w:t>Maharjan and another</w:t>
      </w:r>
      <w:r w:rsidRPr="00222663">
        <w:rPr>
          <w:rFonts w:eastAsia="Arial Unicode MS" w:cstheme="minorHAnsi"/>
          <w:sz w:val="24"/>
          <w:szCs w:val="24"/>
          <w:u w:color="000000"/>
          <w:bdr w:val="nil"/>
          <w:lang w:val="en-US"/>
        </w:rPr>
        <w:t xml:space="preserve"> </w:t>
      </w:r>
      <w:r w:rsidR="00BF2B62">
        <w:rPr>
          <w:rFonts w:eastAsia="Arial Unicode MS" w:cstheme="minorHAnsi"/>
          <w:sz w:val="24"/>
          <w:szCs w:val="24"/>
          <w:u w:color="000000"/>
          <w:bdr w:val="nil"/>
          <w:lang w:val="en-US"/>
        </w:rPr>
        <w:t>Nepali</w:t>
      </w:r>
      <w:r w:rsidRPr="00222663">
        <w:rPr>
          <w:rFonts w:eastAsia="Arial Unicode MS" w:cstheme="minorHAnsi"/>
          <w:sz w:val="24"/>
          <w:szCs w:val="24"/>
          <w:u w:color="000000"/>
          <w:bdr w:val="nil"/>
          <w:lang w:val="en-US"/>
        </w:rPr>
        <w:t xml:space="preserve"> staff member from Save the Children </w:t>
      </w:r>
      <w:r w:rsidR="00AC6733" w:rsidRPr="00222663">
        <w:rPr>
          <w:rFonts w:eastAsia="Arial Unicode MS" w:cstheme="minorHAnsi"/>
          <w:sz w:val="24"/>
          <w:szCs w:val="24"/>
          <w:u w:color="000000"/>
          <w:bdr w:val="nil"/>
          <w:lang w:val="en-US"/>
        </w:rPr>
        <w:t xml:space="preserve">took the lead in </w:t>
      </w:r>
      <w:r w:rsidRPr="00222663">
        <w:rPr>
          <w:rFonts w:eastAsia="Arial Unicode MS" w:cstheme="minorHAnsi"/>
          <w:sz w:val="24"/>
          <w:szCs w:val="24"/>
          <w:u w:color="000000"/>
          <w:bdr w:val="nil"/>
          <w:lang w:val="en-US"/>
        </w:rPr>
        <w:t>facilitat</w:t>
      </w:r>
      <w:r w:rsidR="00AC6733" w:rsidRPr="00222663">
        <w:rPr>
          <w:rFonts w:eastAsia="Arial Unicode MS" w:cstheme="minorHAnsi"/>
          <w:sz w:val="24"/>
          <w:szCs w:val="24"/>
          <w:u w:color="000000"/>
          <w:bdr w:val="nil"/>
          <w:lang w:val="en-US"/>
        </w:rPr>
        <w:t>ing</w:t>
      </w:r>
      <w:r w:rsidRPr="00222663">
        <w:rPr>
          <w:rFonts w:eastAsia="Arial Unicode MS" w:cstheme="minorHAnsi"/>
          <w:sz w:val="24"/>
          <w:szCs w:val="24"/>
          <w:u w:color="000000"/>
          <w:bdr w:val="nil"/>
          <w:lang w:val="en-US"/>
        </w:rPr>
        <w:t xml:space="preserve"> the field research</w:t>
      </w:r>
      <w:r w:rsidR="00AC6733" w:rsidRPr="00222663">
        <w:rPr>
          <w:rFonts w:eastAsia="Arial Unicode MS" w:cstheme="minorHAnsi"/>
          <w:sz w:val="24"/>
          <w:szCs w:val="24"/>
          <w:u w:color="000000"/>
          <w:bdr w:val="nil"/>
          <w:lang w:val="en-US"/>
        </w:rPr>
        <w:t>, with some input from Doel-</w:t>
      </w:r>
      <w:proofErr w:type="spellStart"/>
      <w:r w:rsidR="00AC6733" w:rsidRPr="00222663">
        <w:rPr>
          <w:rFonts w:eastAsia="Arial Unicode MS" w:cstheme="minorHAnsi"/>
          <w:sz w:val="24"/>
          <w:szCs w:val="24"/>
          <w:u w:color="000000"/>
          <w:bdr w:val="nil"/>
          <w:lang w:val="en-US"/>
        </w:rPr>
        <w:t>Mackaway</w:t>
      </w:r>
      <w:proofErr w:type="spellEnd"/>
      <w:r w:rsidR="00AC6733" w:rsidRPr="00222663">
        <w:rPr>
          <w:rFonts w:eastAsia="Arial Unicode MS" w:cstheme="minorHAnsi"/>
          <w:sz w:val="24"/>
          <w:szCs w:val="24"/>
          <w:u w:color="000000"/>
          <w:bdr w:val="nil"/>
          <w:lang w:val="en-US"/>
        </w:rPr>
        <w:t>.</w:t>
      </w:r>
      <w:r w:rsidR="00CC2921">
        <w:rPr>
          <w:rFonts w:eastAsia="Arial Unicode MS" w:cstheme="minorHAnsi"/>
          <w:sz w:val="24"/>
          <w:szCs w:val="24"/>
          <w:u w:color="000000"/>
          <w:bdr w:val="nil"/>
          <w:lang w:val="en-US"/>
        </w:rPr>
        <w:t xml:space="preserve"> </w:t>
      </w:r>
      <w:r w:rsidR="001E7927">
        <w:rPr>
          <w:rFonts w:eastAsia="Arial Unicode MS" w:cstheme="minorHAnsi"/>
          <w:sz w:val="24"/>
          <w:szCs w:val="24"/>
          <w:u w:color="000000"/>
          <w:bdr w:val="nil"/>
          <w:lang w:val="en-US"/>
        </w:rPr>
        <w:t>Most</w:t>
      </w:r>
      <w:r w:rsidR="000A1E33">
        <w:rPr>
          <w:rFonts w:eastAsia="Arial Unicode MS" w:cstheme="minorHAnsi"/>
          <w:sz w:val="24"/>
          <w:szCs w:val="24"/>
          <w:u w:color="000000"/>
          <w:bdr w:val="nil"/>
          <w:lang w:val="en-US"/>
        </w:rPr>
        <w:t xml:space="preserve"> </w:t>
      </w:r>
      <w:r w:rsidRPr="00222663">
        <w:rPr>
          <w:rFonts w:eastAsia="Arial Unicode MS" w:cstheme="minorHAnsi"/>
          <w:sz w:val="24"/>
          <w:szCs w:val="24"/>
          <w:u w:color="000000"/>
          <w:bdr w:val="nil"/>
          <w:lang w:val="en-US"/>
        </w:rPr>
        <w:t xml:space="preserve">research interactions with children and young people </w:t>
      </w:r>
      <w:r w:rsidR="00264B99" w:rsidRPr="00222663">
        <w:rPr>
          <w:rFonts w:eastAsia="Arial Unicode MS" w:cstheme="minorHAnsi"/>
          <w:sz w:val="24"/>
          <w:szCs w:val="24"/>
          <w:u w:color="000000"/>
          <w:bdr w:val="nil"/>
          <w:lang w:val="en-US"/>
        </w:rPr>
        <w:t>were</w:t>
      </w:r>
      <w:r w:rsidRPr="00222663">
        <w:rPr>
          <w:rFonts w:eastAsia="Arial Unicode MS" w:cstheme="minorHAnsi"/>
          <w:sz w:val="24"/>
          <w:szCs w:val="24"/>
          <w:u w:color="000000"/>
          <w:bdr w:val="nil"/>
          <w:lang w:val="en-US"/>
        </w:rPr>
        <w:t xml:space="preserve"> </w:t>
      </w:r>
      <w:r w:rsidR="000A1E33">
        <w:rPr>
          <w:rFonts w:eastAsia="Arial Unicode MS" w:cstheme="minorHAnsi"/>
          <w:sz w:val="24"/>
          <w:szCs w:val="24"/>
          <w:u w:color="000000"/>
          <w:bdr w:val="nil"/>
          <w:lang w:val="en-US"/>
        </w:rPr>
        <w:t>carried out</w:t>
      </w:r>
      <w:r w:rsidR="000A1E33" w:rsidRPr="00222663">
        <w:rPr>
          <w:rFonts w:eastAsia="Arial Unicode MS" w:cstheme="minorHAnsi"/>
          <w:sz w:val="24"/>
          <w:szCs w:val="24"/>
          <w:u w:color="000000"/>
          <w:bdr w:val="nil"/>
          <w:lang w:val="en-US"/>
        </w:rPr>
        <w:t xml:space="preserve"> </w:t>
      </w:r>
      <w:r w:rsidRPr="00222663">
        <w:rPr>
          <w:rFonts w:eastAsia="Arial Unicode MS" w:cstheme="minorHAnsi"/>
          <w:sz w:val="24"/>
          <w:szCs w:val="24"/>
          <w:u w:color="000000"/>
          <w:bdr w:val="nil"/>
          <w:lang w:val="en-US"/>
        </w:rPr>
        <w:t>in Nepal</w:t>
      </w:r>
      <w:r w:rsidR="00830B22" w:rsidRPr="00222663">
        <w:rPr>
          <w:rFonts w:eastAsia="Arial Unicode MS" w:cstheme="minorHAnsi"/>
          <w:sz w:val="24"/>
          <w:szCs w:val="24"/>
          <w:u w:color="000000"/>
          <w:bdr w:val="nil"/>
          <w:lang w:val="en-US"/>
        </w:rPr>
        <w:t>i</w:t>
      </w:r>
      <w:r w:rsidRPr="00222663">
        <w:rPr>
          <w:rFonts w:eastAsia="Arial Unicode MS" w:cstheme="minorHAnsi"/>
          <w:sz w:val="24"/>
          <w:szCs w:val="24"/>
          <w:u w:color="000000"/>
          <w:bdr w:val="nil"/>
          <w:lang w:val="en-US"/>
        </w:rPr>
        <w:t xml:space="preserve">, with </w:t>
      </w:r>
      <w:r w:rsidR="000A1E33">
        <w:rPr>
          <w:rFonts w:eastAsia="Arial Unicode MS" w:cstheme="minorHAnsi"/>
          <w:sz w:val="24"/>
          <w:szCs w:val="24"/>
          <w:u w:color="000000"/>
          <w:bdr w:val="nil"/>
          <w:lang w:val="en-US"/>
        </w:rPr>
        <w:t>occasional use of En</w:t>
      </w:r>
      <w:r w:rsidRPr="00222663">
        <w:rPr>
          <w:rFonts w:eastAsia="Arial Unicode MS" w:cstheme="minorHAnsi"/>
          <w:sz w:val="24"/>
          <w:szCs w:val="24"/>
          <w:u w:color="000000"/>
          <w:bdr w:val="nil"/>
          <w:lang w:val="en-US"/>
        </w:rPr>
        <w:t xml:space="preserve">glish. </w:t>
      </w:r>
    </w:p>
    <w:p w14:paraId="00061C0C" w14:textId="4D539649" w:rsidR="00A33845" w:rsidRPr="00222663" w:rsidRDefault="00D841CD" w:rsidP="00746A43">
      <w:pPr>
        <w:spacing w:line="360" w:lineRule="auto"/>
        <w:rPr>
          <w:rFonts w:eastAsia="Arial Unicode MS" w:cstheme="minorHAnsi"/>
          <w:sz w:val="24"/>
          <w:szCs w:val="24"/>
          <w:u w:color="000000"/>
          <w:bdr w:val="nil"/>
          <w:lang w:val="en-US"/>
        </w:rPr>
      </w:pPr>
      <w:r w:rsidRPr="00222663">
        <w:rPr>
          <w:rFonts w:cstheme="minorHAnsi"/>
          <w:sz w:val="24"/>
          <w:szCs w:val="24"/>
        </w:rPr>
        <w:t xml:space="preserve">A child rights-based approach to research </w:t>
      </w:r>
      <w:r w:rsidR="00BE5CF4" w:rsidRPr="00222663">
        <w:rPr>
          <w:rFonts w:cstheme="minorHAnsi"/>
          <w:sz w:val="24"/>
          <w:szCs w:val="24"/>
        </w:rPr>
        <w:t>underpinned the project</w:t>
      </w:r>
      <w:r w:rsidR="0011086F">
        <w:rPr>
          <w:rFonts w:cstheme="minorHAnsi"/>
          <w:sz w:val="24"/>
          <w:szCs w:val="24"/>
        </w:rPr>
        <w:t>. T</w:t>
      </w:r>
      <w:r w:rsidR="00BE5CF4" w:rsidRPr="00222663">
        <w:rPr>
          <w:rFonts w:cstheme="minorHAnsi"/>
          <w:sz w:val="24"/>
          <w:szCs w:val="24"/>
        </w:rPr>
        <w:t>his approach</w:t>
      </w:r>
      <w:r w:rsidRPr="00222663">
        <w:rPr>
          <w:rFonts w:cstheme="minorHAnsi"/>
          <w:sz w:val="24"/>
          <w:szCs w:val="24"/>
        </w:rPr>
        <w:t xml:space="preserve"> acknowledges children’s and young people’s agency and capacity to express informed views in research processes.</w:t>
      </w:r>
      <w:r w:rsidRPr="00222663">
        <w:rPr>
          <w:rStyle w:val="FootnoteReference"/>
          <w:rFonts w:cstheme="minorHAnsi"/>
          <w:sz w:val="24"/>
          <w:szCs w:val="24"/>
        </w:rPr>
        <w:footnoteReference w:id="30"/>
      </w:r>
      <w:r w:rsidRPr="00222663">
        <w:rPr>
          <w:rFonts w:cstheme="minorHAnsi"/>
          <w:sz w:val="24"/>
          <w:szCs w:val="24"/>
        </w:rPr>
        <w:t xml:space="preserve"> A central tenet of a child rights-based approach is the identification and positioning of children and young people as ‘rights-holders’ in relation to the State, and the State as the primary ‘duty-bearer’ responsible for the fulfilment of children</w:t>
      </w:r>
      <w:r w:rsidR="003E4D2F" w:rsidRPr="00222663">
        <w:rPr>
          <w:rFonts w:cstheme="minorHAnsi"/>
          <w:sz w:val="24"/>
          <w:szCs w:val="24"/>
        </w:rPr>
        <w:t>’s</w:t>
      </w:r>
      <w:r w:rsidRPr="00222663">
        <w:rPr>
          <w:rFonts w:cstheme="minorHAnsi"/>
          <w:sz w:val="24"/>
          <w:szCs w:val="24"/>
        </w:rPr>
        <w:t xml:space="preserve"> and young people’s rights.</w:t>
      </w:r>
      <w:r w:rsidRPr="00222663">
        <w:rPr>
          <w:rStyle w:val="FootnoteReference"/>
          <w:rFonts w:cstheme="minorHAnsi"/>
          <w:sz w:val="24"/>
          <w:szCs w:val="24"/>
        </w:rPr>
        <w:footnoteReference w:id="31"/>
      </w:r>
      <w:r w:rsidRPr="00222663">
        <w:rPr>
          <w:rFonts w:cstheme="minorHAnsi"/>
          <w:sz w:val="24"/>
          <w:szCs w:val="24"/>
        </w:rPr>
        <w:t xml:space="preserve"> A child rights-based approach ‘emphasises the importance not only of listening to children, but of using their perspectives in making decisions on matters affecting them</w:t>
      </w:r>
      <w:r w:rsidR="00284E28">
        <w:rPr>
          <w:rFonts w:cstheme="minorHAnsi"/>
          <w:sz w:val="24"/>
          <w:szCs w:val="24"/>
        </w:rPr>
        <w:t>’</w:t>
      </w:r>
      <w:r w:rsidRPr="00222663">
        <w:rPr>
          <w:rFonts w:cstheme="minorHAnsi"/>
          <w:sz w:val="24"/>
          <w:szCs w:val="24"/>
        </w:rPr>
        <w:t>.</w:t>
      </w:r>
      <w:r w:rsidRPr="00222663">
        <w:rPr>
          <w:rStyle w:val="FootnoteReference"/>
          <w:rFonts w:cstheme="minorHAnsi"/>
          <w:sz w:val="24"/>
          <w:szCs w:val="24"/>
        </w:rPr>
        <w:footnoteReference w:id="32"/>
      </w:r>
      <w:r w:rsidR="00A33845" w:rsidRPr="00222663">
        <w:rPr>
          <w:rFonts w:cstheme="minorHAnsi"/>
          <w:sz w:val="24"/>
          <w:szCs w:val="24"/>
        </w:rPr>
        <w:t xml:space="preserve"> </w:t>
      </w:r>
      <w:r w:rsidR="00A33845" w:rsidRPr="00222663">
        <w:rPr>
          <w:rFonts w:eastAsia="Arial Unicode MS" w:cstheme="minorHAnsi"/>
          <w:sz w:val="24"/>
          <w:szCs w:val="24"/>
          <w:u w:color="000000"/>
          <w:bdr w:val="nil"/>
          <w:lang w:val="en-US"/>
        </w:rPr>
        <w:t xml:space="preserve">Importantly, a child rights-based approach to research engages </w:t>
      </w:r>
      <w:r w:rsidR="00A33845" w:rsidRPr="00222663">
        <w:rPr>
          <w:rFonts w:eastAsia="Arial Unicode MS" w:cstheme="minorHAnsi"/>
          <w:i/>
          <w:iCs/>
          <w:sz w:val="24"/>
          <w:szCs w:val="24"/>
          <w:u w:color="000000"/>
          <w:bdr w:val="nil"/>
          <w:lang w:val="en-US"/>
        </w:rPr>
        <w:t xml:space="preserve">with </w:t>
      </w:r>
      <w:r w:rsidR="00A33845" w:rsidRPr="00222663">
        <w:rPr>
          <w:rFonts w:eastAsia="Arial Unicode MS" w:cstheme="minorHAnsi"/>
          <w:sz w:val="24"/>
          <w:szCs w:val="24"/>
          <w:u w:color="000000"/>
          <w:bdr w:val="nil"/>
          <w:lang w:val="en-US"/>
        </w:rPr>
        <w:t xml:space="preserve">children, and </w:t>
      </w:r>
      <w:r w:rsidR="00A33845" w:rsidRPr="00222663">
        <w:rPr>
          <w:rFonts w:eastAsia="Arial Unicode MS" w:cstheme="minorHAnsi"/>
          <w:sz w:val="24"/>
          <w:szCs w:val="24"/>
          <w:u w:color="000000"/>
          <w:bdr w:val="nil"/>
          <w:lang w:val="en-US"/>
        </w:rPr>
        <w:lastRenderedPageBreak/>
        <w:t xml:space="preserve">does not do research </w:t>
      </w:r>
      <w:r w:rsidR="00A33845" w:rsidRPr="00222663">
        <w:rPr>
          <w:rFonts w:eastAsia="Arial Unicode MS" w:cstheme="minorHAnsi"/>
          <w:i/>
          <w:iCs/>
          <w:sz w:val="24"/>
          <w:szCs w:val="24"/>
          <w:u w:color="000000"/>
          <w:bdr w:val="nil"/>
          <w:lang w:val="en-US"/>
        </w:rPr>
        <w:t xml:space="preserve">on </w:t>
      </w:r>
      <w:r w:rsidR="00A33845" w:rsidRPr="00222663">
        <w:rPr>
          <w:rFonts w:eastAsia="Arial Unicode MS" w:cstheme="minorHAnsi"/>
          <w:sz w:val="24"/>
          <w:szCs w:val="24"/>
          <w:u w:color="000000"/>
          <w:bdr w:val="nil"/>
          <w:lang w:val="en-US"/>
        </w:rPr>
        <w:t>children.</w:t>
      </w:r>
      <w:r w:rsidR="00A33845" w:rsidRPr="00222663">
        <w:rPr>
          <w:rStyle w:val="FootnoteReference"/>
          <w:rFonts w:eastAsia="Arial Unicode MS" w:cstheme="minorHAnsi"/>
          <w:sz w:val="24"/>
          <w:szCs w:val="24"/>
          <w:u w:color="000000"/>
          <w:bdr w:val="nil"/>
          <w:lang w:val="en-US"/>
        </w:rPr>
        <w:footnoteReference w:id="33"/>
      </w:r>
      <w:r w:rsidR="00A33845" w:rsidRPr="00222663">
        <w:rPr>
          <w:rFonts w:eastAsia="Arial Unicode MS" w:cstheme="minorHAnsi"/>
          <w:sz w:val="24"/>
          <w:szCs w:val="24"/>
          <w:u w:color="000000"/>
          <w:bdr w:val="nil"/>
          <w:lang w:val="en-US"/>
        </w:rPr>
        <w:t xml:space="preserve"> </w:t>
      </w:r>
      <w:r w:rsidR="009920D7" w:rsidRPr="00222663">
        <w:rPr>
          <w:rFonts w:eastAsia="Arial Unicode MS" w:cstheme="minorHAnsi"/>
          <w:sz w:val="24"/>
          <w:szCs w:val="24"/>
          <w:u w:color="000000"/>
          <w:bdr w:val="nil"/>
          <w:lang w:val="en-US"/>
        </w:rPr>
        <w:t xml:space="preserve">This research informs Save the Children’s advocacy, programming and collaboration with government in Nepal with the view to providing an evidence base to government for their engagement of children in legislative and policy measures to end gendered violence. </w:t>
      </w:r>
    </w:p>
    <w:p w14:paraId="6163E294" w14:textId="1FD77321" w:rsidR="00E10039" w:rsidRPr="00222663" w:rsidRDefault="00E10039" w:rsidP="006B7D91">
      <w:pPr>
        <w:spacing w:line="360" w:lineRule="auto"/>
        <w:rPr>
          <w:rFonts w:eastAsia="Arial Unicode MS" w:cstheme="minorHAnsi"/>
          <w:sz w:val="24"/>
          <w:szCs w:val="24"/>
          <w:u w:color="000000"/>
          <w:bdr w:val="nil"/>
          <w:lang w:val="en-US"/>
        </w:rPr>
      </w:pPr>
      <w:r w:rsidRPr="00222663">
        <w:rPr>
          <w:rFonts w:eastAsia="Arial Unicode MS" w:cstheme="minorHAnsi"/>
          <w:sz w:val="24"/>
          <w:szCs w:val="24"/>
          <w:u w:color="000000"/>
          <w:bdr w:val="nil"/>
          <w:lang w:val="en-US"/>
        </w:rPr>
        <w:t>Doel-</w:t>
      </w:r>
      <w:proofErr w:type="spellStart"/>
      <w:r w:rsidRPr="00222663">
        <w:rPr>
          <w:rFonts w:eastAsia="Arial Unicode MS" w:cstheme="minorHAnsi"/>
          <w:sz w:val="24"/>
          <w:szCs w:val="24"/>
          <w:u w:color="000000"/>
          <w:bdr w:val="nil"/>
          <w:lang w:val="en-US"/>
        </w:rPr>
        <w:t>Mackaway’s</w:t>
      </w:r>
      <w:proofErr w:type="spellEnd"/>
      <w:r w:rsidRPr="00222663">
        <w:rPr>
          <w:rFonts w:eastAsia="Arial Unicode MS" w:cstheme="minorHAnsi"/>
          <w:sz w:val="24"/>
          <w:szCs w:val="24"/>
          <w:u w:color="000000"/>
          <w:bdr w:val="nil"/>
          <w:lang w:val="en-US"/>
        </w:rPr>
        <w:t xml:space="preserve"> model for engaging children and young people in culturally sensitive and age-appropriate research was employed.</w:t>
      </w:r>
      <w:r w:rsidRPr="00222663">
        <w:rPr>
          <w:rStyle w:val="FootnoteReference"/>
          <w:rFonts w:eastAsia="Arial Unicode MS" w:cstheme="minorHAnsi"/>
          <w:sz w:val="24"/>
          <w:szCs w:val="24"/>
          <w:u w:color="000000"/>
          <w:bdr w:val="nil"/>
          <w:lang w:val="en-US"/>
        </w:rPr>
        <w:footnoteReference w:id="34"/>
      </w:r>
      <w:r w:rsidRPr="00222663">
        <w:rPr>
          <w:rFonts w:eastAsia="Arial Unicode MS" w:cstheme="minorHAnsi"/>
          <w:sz w:val="24"/>
          <w:szCs w:val="24"/>
          <w:u w:color="000000"/>
          <w:bdr w:val="nil"/>
          <w:lang w:val="en-US"/>
        </w:rPr>
        <w:t xml:space="preserve"> </w:t>
      </w:r>
      <w:r w:rsidR="00D841CD" w:rsidRPr="00222663">
        <w:rPr>
          <w:rFonts w:eastAsia="Arial Unicode MS" w:cstheme="minorHAnsi"/>
          <w:sz w:val="24"/>
          <w:szCs w:val="24"/>
          <w:u w:color="000000"/>
          <w:bdr w:val="nil"/>
          <w:lang w:val="en-US"/>
        </w:rPr>
        <w:t>This model is based on the premise that seeking, listening to and responding to young people’s views about matters affecting them ‘is a vital component of proper democratic decision-making processes and required under international law</w:t>
      </w:r>
      <w:r w:rsidR="00143746">
        <w:rPr>
          <w:rFonts w:eastAsia="Arial Unicode MS" w:cstheme="minorHAnsi"/>
          <w:sz w:val="24"/>
          <w:szCs w:val="24"/>
          <w:u w:color="000000"/>
          <w:bdr w:val="nil"/>
          <w:lang w:val="en-US"/>
        </w:rPr>
        <w:t>’</w:t>
      </w:r>
      <w:r w:rsidR="003102BE" w:rsidRPr="00222663">
        <w:rPr>
          <w:rFonts w:eastAsia="Arial Unicode MS" w:cstheme="minorHAnsi"/>
          <w:sz w:val="24"/>
          <w:szCs w:val="24"/>
          <w:u w:color="000000"/>
          <w:bdr w:val="nil"/>
          <w:lang w:val="en-US"/>
        </w:rPr>
        <w:t>.</w:t>
      </w:r>
      <w:r w:rsidR="00D841CD" w:rsidRPr="00222663">
        <w:rPr>
          <w:rStyle w:val="FootnoteReference"/>
          <w:rFonts w:eastAsia="Arial Unicode MS" w:cstheme="minorHAnsi"/>
          <w:sz w:val="24"/>
          <w:szCs w:val="24"/>
          <w:u w:color="000000"/>
          <w:bdr w:val="nil"/>
          <w:lang w:val="en-US"/>
        </w:rPr>
        <w:footnoteReference w:id="35"/>
      </w:r>
      <w:r w:rsidR="008F1C28" w:rsidRPr="00222663">
        <w:rPr>
          <w:rFonts w:eastAsia="Arial Unicode MS" w:cstheme="minorHAnsi"/>
          <w:sz w:val="24"/>
          <w:szCs w:val="24"/>
          <w:u w:color="000000"/>
          <w:bdr w:val="nil"/>
          <w:lang w:val="en-US"/>
        </w:rPr>
        <w:t xml:space="preserve"> </w:t>
      </w:r>
      <w:r w:rsidR="00D46263" w:rsidRPr="00222663">
        <w:rPr>
          <w:rFonts w:eastAsia="Arial Unicode MS" w:cstheme="minorHAnsi"/>
          <w:sz w:val="24"/>
          <w:szCs w:val="24"/>
          <w:u w:color="000000"/>
          <w:bdr w:val="nil"/>
          <w:lang w:val="en-US"/>
        </w:rPr>
        <w:t>This model for children’s participation employs a child rights-based approach to research</w:t>
      </w:r>
      <w:r w:rsidR="00381765" w:rsidRPr="00222663">
        <w:rPr>
          <w:rFonts w:eastAsia="Arial Unicode MS" w:cstheme="minorHAnsi"/>
          <w:sz w:val="24"/>
          <w:szCs w:val="24"/>
          <w:u w:color="000000"/>
          <w:bdr w:val="nil"/>
          <w:lang w:val="en-US"/>
        </w:rPr>
        <w:t>,</w:t>
      </w:r>
      <w:r w:rsidR="00D46263" w:rsidRPr="00222663">
        <w:rPr>
          <w:rStyle w:val="FootnoteReference"/>
          <w:rFonts w:eastAsia="Arial Unicode MS" w:cstheme="minorHAnsi"/>
          <w:sz w:val="24"/>
          <w:szCs w:val="24"/>
          <w:u w:color="000000"/>
          <w:bdr w:val="nil"/>
          <w:lang w:val="en-US"/>
        </w:rPr>
        <w:footnoteReference w:id="36"/>
      </w:r>
      <w:r w:rsidR="00D46263" w:rsidRPr="00222663">
        <w:rPr>
          <w:rFonts w:eastAsia="Arial Unicode MS" w:cstheme="minorHAnsi"/>
          <w:sz w:val="24"/>
          <w:szCs w:val="24"/>
          <w:u w:color="000000"/>
          <w:bdr w:val="nil"/>
          <w:lang w:val="en-US"/>
        </w:rPr>
        <w:t xml:space="preserve"> using </w:t>
      </w:r>
      <w:r w:rsidR="00381765" w:rsidRPr="00222663">
        <w:rPr>
          <w:rFonts w:eastAsia="Arial Unicode MS" w:cstheme="minorHAnsi"/>
          <w:sz w:val="24"/>
          <w:szCs w:val="24"/>
          <w:u w:color="000000"/>
          <w:bdr w:val="nil"/>
          <w:lang w:val="en-US"/>
        </w:rPr>
        <w:t xml:space="preserve">two </w:t>
      </w:r>
      <w:r w:rsidR="00D46263" w:rsidRPr="00222663">
        <w:rPr>
          <w:rFonts w:eastAsia="Arial Unicode MS" w:cstheme="minorHAnsi"/>
          <w:sz w:val="24"/>
          <w:szCs w:val="24"/>
          <w:u w:color="000000"/>
          <w:bdr w:val="nil"/>
          <w:lang w:val="en-US"/>
        </w:rPr>
        <w:t>child</w:t>
      </w:r>
      <w:r w:rsidR="001F4D2F" w:rsidRPr="00222663">
        <w:rPr>
          <w:rFonts w:eastAsia="Arial Unicode MS" w:cstheme="minorHAnsi"/>
          <w:sz w:val="24"/>
          <w:szCs w:val="24"/>
          <w:u w:color="000000"/>
          <w:bdr w:val="nil"/>
          <w:lang w:val="en-US"/>
        </w:rPr>
        <w:t>-</w:t>
      </w:r>
      <w:r w:rsidR="00D46263" w:rsidRPr="00222663">
        <w:rPr>
          <w:rFonts w:eastAsia="Arial Unicode MS" w:cstheme="minorHAnsi"/>
          <w:sz w:val="24"/>
          <w:szCs w:val="24"/>
          <w:u w:color="000000"/>
          <w:bdr w:val="nil"/>
          <w:lang w:val="en-US"/>
        </w:rPr>
        <w:t>friendly research methods</w:t>
      </w:r>
      <w:r w:rsidR="00D13C74" w:rsidRPr="00222663">
        <w:rPr>
          <w:rFonts w:eastAsia="Arial Unicode MS" w:cstheme="minorHAnsi"/>
          <w:sz w:val="24"/>
          <w:szCs w:val="24"/>
          <w:u w:color="000000"/>
          <w:bdr w:val="nil"/>
          <w:lang w:val="en-US"/>
        </w:rPr>
        <w:t>:</w:t>
      </w:r>
      <w:r w:rsidR="00381765" w:rsidRPr="00222663">
        <w:rPr>
          <w:rFonts w:eastAsia="Arial Unicode MS" w:cstheme="minorHAnsi"/>
          <w:sz w:val="24"/>
          <w:szCs w:val="24"/>
          <w:u w:color="000000"/>
          <w:bdr w:val="nil"/>
          <w:lang w:val="en-US"/>
        </w:rPr>
        <w:t xml:space="preserve"> </w:t>
      </w:r>
      <w:r w:rsidR="00D46263" w:rsidRPr="00222663">
        <w:rPr>
          <w:rFonts w:eastAsia="Arial Unicode MS" w:cstheme="minorHAnsi"/>
          <w:sz w:val="24"/>
          <w:szCs w:val="24"/>
          <w:u w:color="000000"/>
          <w:bdr w:val="nil"/>
          <w:lang w:val="en-US"/>
        </w:rPr>
        <w:t>yarning</w:t>
      </w:r>
      <w:r w:rsidR="00D46263" w:rsidRPr="00222663">
        <w:rPr>
          <w:rStyle w:val="FootnoteReference"/>
          <w:rFonts w:eastAsia="Arial Unicode MS" w:cstheme="minorHAnsi"/>
          <w:sz w:val="24"/>
          <w:szCs w:val="24"/>
          <w:u w:color="000000"/>
          <w:bdr w:val="nil"/>
          <w:lang w:val="en-US"/>
        </w:rPr>
        <w:footnoteReference w:id="37"/>
      </w:r>
      <w:r w:rsidR="00D46263" w:rsidRPr="00222663">
        <w:rPr>
          <w:rFonts w:eastAsia="Arial Unicode MS" w:cstheme="minorHAnsi"/>
          <w:sz w:val="24"/>
          <w:szCs w:val="24"/>
          <w:u w:color="000000"/>
          <w:bdr w:val="nil"/>
          <w:lang w:val="en-US"/>
        </w:rPr>
        <w:t xml:space="preserve"> and peer-to-peer interviewing</w:t>
      </w:r>
      <w:r w:rsidR="00381765" w:rsidRPr="00222663">
        <w:rPr>
          <w:rFonts w:eastAsia="Arial Unicode MS" w:cstheme="minorHAnsi"/>
          <w:sz w:val="24"/>
          <w:szCs w:val="24"/>
          <w:u w:color="000000"/>
          <w:bdr w:val="nil"/>
          <w:lang w:val="en-US"/>
        </w:rPr>
        <w:t>.</w:t>
      </w:r>
      <w:r w:rsidR="00D46263" w:rsidRPr="00222663">
        <w:rPr>
          <w:rStyle w:val="FootnoteReference"/>
          <w:rFonts w:eastAsia="Arial Unicode MS" w:cstheme="minorHAnsi"/>
          <w:sz w:val="24"/>
          <w:szCs w:val="24"/>
          <w:u w:color="000000"/>
          <w:bdr w:val="nil"/>
          <w:lang w:val="en-US"/>
        </w:rPr>
        <w:footnoteReference w:id="38"/>
      </w:r>
      <w:r w:rsidR="00D46263" w:rsidRPr="00222663">
        <w:rPr>
          <w:rFonts w:eastAsia="Arial Unicode MS" w:cstheme="minorHAnsi"/>
          <w:sz w:val="24"/>
          <w:szCs w:val="24"/>
          <w:u w:color="000000"/>
          <w:bdr w:val="nil"/>
          <w:lang w:val="en-US"/>
        </w:rPr>
        <w:t xml:space="preserve"> </w:t>
      </w:r>
      <w:r w:rsidR="00451379">
        <w:rPr>
          <w:rFonts w:eastAsia="Arial Unicode MS" w:cstheme="minorHAnsi"/>
          <w:sz w:val="24"/>
          <w:szCs w:val="24"/>
          <w:u w:color="000000"/>
          <w:bdr w:val="nil"/>
          <w:lang w:val="en-US"/>
        </w:rPr>
        <w:t>Participants used</w:t>
      </w:r>
      <w:r w:rsidR="00AD1DD5">
        <w:rPr>
          <w:rFonts w:eastAsia="Arial Unicode MS" w:cstheme="minorHAnsi"/>
          <w:sz w:val="24"/>
          <w:szCs w:val="24"/>
          <w:u w:color="000000"/>
          <w:bdr w:val="nil"/>
          <w:lang w:val="en-US"/>
        </w:rPr>
        <w:t xml:space="preserve"> </w:t>
      </w:r>
      <w:r w:rsidR="00AD1DD5" w:rsidRPr="00222663">
        <w:rPr>
          <w:rFonts w:eastAsia="Arial Unicode MS" w:cstheme="minorHAnsi"/>
          <w:sz w:val="24"/>
          <w:szCs w:val="24"/>
          <w:u w:color="000000"/>
          <w:bdr w:val="nil"/>
          <w:lang w:val="en-US"/>
        </w:rPr>
        <w:t xml:space="preserve">a set of mobile phones provided by the researchers </w:t>
      </w:r>
      <w:r w:rsidR="00451379">
        <w:rPr>
          <w:rFonts w:eastAsia="Arial Unicode MS" w:cstheme="minorHAnsi"/>
          <w:sz w:val="24"/>
          <w:szCs w:val="24"/>
          <w:u w:color="000000"/>
          <w:bdr w:val="nil"/>
          <w:lang w:val="en-US"/>
        </w:rPr>
        <w:t>to</w:t>
      </w:r>
      <w:r w:rsidR="00AF092B" w:rsidRPr="00222663">
        <w:rPr>
          <w:rFonts w:eastAsia="Arial Unicode MS" w:cstheme="minorHAnsi"/>
          <w:sz w:val="24"/>
          <w:szCs w:val="24"/>
          <w:u w:color="000000"/>
          <w:bdr w:val="nil"/>
          <w:lang w:val="en-US"/>
        </w:rPr>
        <w:t xml:space="preserve"> record peer-to-peer interviews </w:t>
      </w:r>
      <w:r w:rsidR="006818C3">
        <w:rPr>
          <w:rFonts w:eastAsia="Arial Unicode MS" w:cstheme="minorHAnsi"/>
          <w:sz w:val="24"/>
          <w:szCs w:val="24"/>
          <w:u w:color="000000"/>
          <w:bdr w:val="nil"/>
          <w:lang w:val="en-US"/>
        </w:rPr>
        <w:t xml:space="preserve">in response to </w:t>
      </w:r>
      <w:r w:rsidR="00AF092B" w:rsidRPr="00222663">
        <w:rPr>
          <w:rFonts w:eastAsia="Arial Unicode MS" w:cstheme="minorHAnsi"/>
          <w:sz w:val="24"/>
          <w:szCs w:val="24"/>
          <w:u w:color="000000"/>
          <w:bdr w:val="nil"/>
          <w:lang w:val="en-US"/>
        </w:rPr>
        <w:t xml:space="preserve">the research topics </w:t>
      </w:r>
      <w:r w:rsidR="00B6548F" w:rsidRPr="00222663">
        <w:rPr>
          <w:rFonts w:eastAsia="Arial Unicode MS" w:cstheme="minorHAnsi"/>
          <w:sz w:val="24"/>
          <w:szCs w:val="24"/>
          <w:u w:color="000000"/>
          <w:bdr w:val="nil"/>
          <w:lang w:val="en-US"/>
        </w:rPr>
        <w:t>and questions</w:t>
      </w:r>
      <w:r w:rsidR="003102BE" w:rsidRPr="00222663">
        <w:rPr>
          <w:rFonts w:eastAsia="Arial Unicode MS" w:cstheme="minorHAnsi"/>
          <w:sz w:val="24"/>
          <w:szCs w:val="24"/>
          <w:u w:color="000000"/>
          <w:bdr w:val="nil"/>
          <w:lang w:val="en-US"/>
        </w:rPr>
        <w:t>. The mobile phones</w:t>
      </w:r>
      <w:r w:rsidR="00AF092B" w:rsidRPr="00222663">
        <w:rPr>
          <w:rFonts w:eastAsia="Arial Unicode MS" w:cstheme="minorHAnsi"/>
          <w:sz w:val="24"/>
          <w:szCs w:val="24"/>
          <w:u w:color="000000"/>
          <w:bdr w:val="nil"/>
          <w:lang w:val="en-US"/>
        </w:rPr>
        <w:t xml:space="preserve"> were not </w:t>
      </w:r>
      <w:r w:rsidR="00BC0DF5" w:rsidRPr="00222663">
        <w:rPr>
          <w:rFonts w:eastAsia="Arial Unicode MS" w:cstheme="minorHAnsi"/>
          <w:sz w:val="24"/>
          <w:szCs w:val="24"/>
          <w:u w:color="000000"/>
          <w:bdr w:val="nil"/>
          <w:lang w:val="en-US"/>
        </w:rPr>
        <w:t>internet-enabled</w:t>
      </w:r>
      <w:r w:rsidR="00AF092B" w:rsidRPr="00222663">
        <w:rPr>
          <w:rFonts w:eastAsia="Arial Unicode MS" w:cstheme="minorHAnsi"/>
          <w:sz w:val="24"/>
          <w:szCs w:val="24"/>
          <w:u w:color="000000"/>
          <w:bdr w:val="nil"/>
          <w:lang w:val="en-US"/>
        </w:rPr>
        <w:t xml:space="preserve"> and were </w:t>
      </w:r>
      <w:r w:rsidR="00D46263" w:rsidRPr="00222663">
        <w:rPr>
          <w:rFonts w:eastAsia="Arial Unicode MS" w:cstheme="minorHAnsi"/>
          <w:sz w:val="24"/>
          <w:szCs w:val="24"/>
          <w:u w:color="000000"/>
          <w:bdr w:val="nil"/>
          <w:lang w:val="en-US"/>
        </w:rPr>
        <w:t xml:space="preserve">used exclusively for </w:t>
      </w:r>
      <w:r w:rsidR="00E96A62">
        <w:rPr>
          <w:rFonts w:eastAsia="Arial Unicode MS" w:cstheme="minorHAnsi"/>
          <w:sz w:val="24"/>
          <w:szCs w:val="24"/>
          <w:u w:color="000000"/>
          <w:bdr w:val="nil"/>
          <w:lang w:val="en-US"/>
        </w:rPr>
        <w:t xml:space="preserve">this </w:t>
      </w:r>
      <w:r w:rsidR="00D46263" w:rsidRPr="00222663">
        <w:rPr>
          <w:rFonts w:eastAsia="Arial Unicode MS" w:cstheme="minorHAnsi"/>
          <w:sz w:val="24"/>
          <w:szCs w:val="24"/>
          <w:u w:color="000000"/>
          <w:bdr w:val="nil"/>
          <w:lang w:val="en-US"/>
        </w:rPr>
        <w:t>research</w:t>
      </w:r>
      <w:r w:rsidR="00AF092B" w:rsidRPr="00222663">
        <w:rPr>
          <w:rFonts w:eastAsia="Arial Unicode MS" w:cstheme="minorHAnsi"/>
          <w:sz w:val="24"/>
          <w:szCs w:val="24"/>
          <w:u w:color="000000"/>
          <w:bdr w:val="nil"/>
          <w:lang w:val="en-US"/>
        </w:rPr>
        <w:t xml:space="preserve">. </w:t>
      </w:r>
      <w:r w:rsidR="003102BE" w:rsidRPr="00222663">
        <w:rPr>
          <w:rFonts w:eastAsia="Arial Unicode MS" w:cstheme="minorHAnsi"/>
          <w:sz w:val="24"/>
          <w:szCs w:val="24"/>
          <w:u w:color="000000"/>
          <w:bdr w:val="nil"/>
          <w:lang w:val="en-US"/>
        </w:rPr>
        <w:t>Other creative mediums were also used to facilitate building rapport with participants</w:t>
      </w:r>
      <w:r w:rsidR="00302DCC">
        <w:rPr>
          <w:rFonts w:eastAsia="Arial Unicode MS" w:cstheme="minorHAnsi"/>
          <w:sz w:val="24"/>
          <w:szCs w:val="24"/>
          <w:u w:color="000000"/>
          <w:bdr w:val="nil"/>
          <w:lang w:val="en-US"/>
        </w:rPr>
        <w:t>,</w:t>
      </w:r>
      <w:r w:rsidR="003102BE" w:rsidRPr="00222663">
        <w:rPr>
          <w:rFonts w:eastAsia="Arial Unicode MS" w:cstheme="minorHAnsi"/>
          <w:sz w:val="24"/>
          <w:szCs w:val="24"/>
          <w:u w:color="000000"/>
          <w:bdr w:val="nil"/>
          <w:lang w:val="en-US"/>
        </w:rPr>
        <w:t xml:space="preserve"> as well as to </w:t>
      </w:r>
      <w:r w:rsidR="000A1E33" w:rsidRPr="00222663">
        <w:rPr>
          <w:rFonts w:eastAsia="Arial Unicode MS" w:cstheme="minorHAnsi"/>
          <w:sz w:val="24"/>
          <w:szCs w:val="24"/>
          <w:u w:color="000000"/>
          <w:bdr w:val="nil"/>
          <w:lang w:val="en-US"/>
        </w:rPr>
        <w:t>function as</w:t>
      </w:r>
      <w:r w:rsidR="003102BE" w:rsidRPr="00222663">
        <w:rPr>
          <w:rFonts w:eastAsia="Arial Unicode MS" w:cstheme="minorHAnsi"/>
          <w:sz w:val="24"/>
          <w:szCs w:val="24"/>
          <w:u w:color="000000"/>
          <w:bdr w:val="nil"/>
          <w:lang w:val="en-US"/>
        </w:rPr>
        <w:t xml:space="preserve"> tools for participants to better understand the research. For example, t</w:t>
      </w:r>
      <w:r w:rsidR="00AF52AF" w:rsidRPr="00222663">
        <w:rPr>
          <w:rFonts w:eastAsia="Arial Unicode MS" w:cstheme="minorHAnsi"/>
          <w:sz w:val="24"/>
          <w:szCs w:val="24"/>
          <w:u w:color="000000"/>
          <w:bdr w:val="nil"/>
          <w:lang w:val="en-US"/>
        </w:rPr>
        <w:t xml:space="preserve">he younger cohort used play-based research materials such as </w:t>
      </w:r>
      <w:r w:rsidR="00B6548F" w:rsidRPr="00222663">
        <w:rPr>
          <w:rFonts w:eastAsia="Arial Unicode MS" w:cstheme="minorHAnsi"/>
          <w:sz w:val="24"/>
          <w:szCs w:val="24"/>
          <w:u w:color="000000"/>
          <w:bdr w:val="nil"/>
          <w:lang w:val="en-US"/>
        </w:rPr>
        <w:t xml:space="preserve">modelling </w:t>
      </w:r>
      <w:r w:rsidR="003102BE" w:rsidRPr="00222663">
        <w:rPr>
          <w:rFonts w:eastAsia="Arial Unicode MS" w:cstheme="minorHAnsi"/>
          <w:sz w:val="24"/>
          <w:szCs w:val="24"/>
          <w:u w:color="000000"/>
          <w:bdr w:val="nil"/>
          <w:lang w:val="en-US"/>
        </w:rPr>
        <w:t>clay</w:t>
      </w:r>
      <w:r w:rsidR="00AF52AF" w:rsidRPr="00222663">
        <w:rPr>
          <w:rFonts w:eastAsia="Arial Unicode MS" w:cstheme="minorHAnsi"/>
          <w:sz w:val="24"/>
          <w:szCs w:val="24"/>
          <w:u w:color="000000"/>
          <w:bdr w:val="nil"/>
          <w:lang w:val="en-US"/>
        </w:rPr>
        <w:t xml:space="preserve"> and poster making to respond to the research questions.</w:t>
      </w:r>
      <w:r w:rsidR="00AF52AF" w:rsidRPr="00222663">
        <w:rPr>
          <w:rStyle w:val="FootnoteReference"/>
          <w:rFonts w:cstheme="minorHAnsi"/>
          <w:sz w:val="24"/>
          <w:szCs w:val="24"/>
        </w:rPr>
        <w:footnoteReference w:id="39"/>
      </w:r>
      <w:r w:rsidR="00AF52AF" w:rsidRPr="00222663">
        <w:rPr>
          <w:rFonts w:eastAsia="Arial Unicode MS" w:cstheme="minorHAnsi"/>
          <w:sz w:val="24"/>
          <w:szCs w:val="24"/>
          <w:u w:color="000000"/>
          <w:bdr w:val="nil"/>
          <w:lang w:val="en-US"/>
        </w:rPr>
        <w:t xml:space="preserve"> </w:t>
      </w:r>
    </w:p>
    <w:p w14:paraId="5AB7BD2C" w14:textId="696B325D" w:rsidR="00871BFC" w:rsidRPr="00222663" w:rsidRDefault="00BA461A" w:rsidP="00933365">
      <w:pPr>
        <w:pStyle w:val="Heading2"/>
      </w:pPr>
      <w:r w:rsidRPr="00222663">
        <w:t>Children</w:t>
      </w:r>
      <w:r w:rsidR="0018131C" w:rsidRPr="00222663">
        <w:t>’s Views</w:t>
      </w:r>
      <w:r w:rsidRPr="00222663">
        <w:t xml:space="preserve"> about Violence and Discrimination against Girls in Nepal </w:t>
      </w:r>
    </w:p>
    <w:p w14:paraId="5C7AF00D" w14:textId="15405CE3" w:rsidR="00072A64" w:rsidRPr="00222663" w:rsidRDefault="00072A64" w:rsidP="006B7D91">
      <w:pPr>
        <w:spacing w:line="360" w:lineRule="auto"/>
        <w:rPr>
          <w:rFonts w:cstheme="minorHAnsi"/>
          <w:sz w:val="24"/>
          <w:szCs w:val="24"/>
        </w:rPr>
      </w:pPr>
      <w:r w:rsidRPr="00222663">
        <w:rPr>
          <w:rFonts w:cstheme="minorHAnsi"/>
          <w:sz w:val="24"/>
          <w:szCs w:val="24"/>
        </w:rPr>
        <w:t xml:space="preserve">A feature of </w:t>
      </w:r>
      <w:r w:rsidR="007745CF" w:rsidRPr="00222663">
        <w:rPr>
          <w:rFonts w:cstheme="minorHAnsi"/>
          <w:sz w:val="24"/>
          <w:szCs w:val="24"/>
        </w:rPr>
        <w:t>global</w:t>
      </w:r>
      <w:r w:rsidRPr="00222663">
        <w:rPr>
          <w:rFonts w:cstheme="minorHAnsi"/>
          <w:sz w:val="24"/>
          <w:szCs w:val="24"/>
        </w:rPr>
        <w:t xml:space="preserve"> discourse about addressing violence against </w:t>
      </w:r>
      <w:r w:rsidR="00597FC2" w:rsidRPr="00222663">
        <w:rPr>
          <w:rFonts w:cstheme="minorHAnsi"/>
          <w:sz w:val="24"/>
          <w:szCs w:val="24"/>
        </w:rPr>
        <w:t xml:space="preserve">women and </w:t>
      </w:r>
      <w:r w:rsidRPr="00222663">
        <w:rPr>
          <w:rFonts w:cstheme="minorHAnsi"/>
          <w:sz w:val="24"/>
          <w:szCs w:val="24"/>
        </w:rPr>
        <w:t>girls is the absence of children’s voices within these debates</w:t>
      </w:r>
      <w:r w:rsidR="007745CF" w:rsidRPr="00222663">
        <w:rPr>
          <w:rFonts w:cstheme="minorHAnsi"/>
          <w:sz w:val="24"/>
          <w:szCs w:val="24"/>
        </w:rPr>
        <w:t>. T</w:t>
      </w:r>
      <w:r w:rsidRPr="00222663">
        <w:rPr>
          <w:rFonts w:cstheme="minorHAnsi"/>
          <w:sz w:val="24"/>
          <w:szCs w:val="24"/>
        </w:rPr>
        <w:t xml:space="preserve">here is, however, a </w:t>
      </w:r>
      <w:r w:rsidR="006143E9" w:rsidRPr="00222663">
        <w:rPr>
          <w:rFonts w:cstheme="minorHAnsi"/>
          <w:sz w:val="24"/>
          <w:szCs w:val="24"/>
        </w:rPr>
        <w:t xml:space="preserve">growing </w:t>
      </w:r>
      <w:r w:rsidRPr="00222663">
        <w:rPr>
          <w:rFonts w:cstheme="minorHAnsi"/>
          <w:sz w:val="24"/>
          <w:szCs w:val="24"/>
        </w:rPr>
        <w:t>body of research about children’s experiences of violence in the home</w:t>
      </w:r>
      <w:r w:rsidR="007745CF" w:rsidRPr="00222663">
        <w:rPr>
          <w:rFonts w:cstheme="minorHAnsi"/>
          <w:sz w:val="24"/>
          <w:szCs w:val="24"/>
        </w:rPr>
        <w:t>.</w:t>
      </w:r>
      <w:r w:rsidRPr="00222663">
        <w:rPr>
          <w:rStyle w:val="FootnoteReference"/>
          <w:rFonts w:cstheme="minorHAnsi"/>
          <w:sz w:val="24"/>
          <w:szCs w:val="24"/>
        </w:rPr>
        <w:footnoteReference w:id="40"/>
      </w:r>
      <w:r w:rsidRPr="00222663">
        <w:rPr>
          <w:rFonts w:cstheme="minorHAnsi"/>
          <w:sz w:val="24"/>
          <w:szCs w:val="24"/>
        </w:rPr>
        <w:t xml:space="preserve"> The </w:t>
      </w:r>
      <w:r w:rsidR="007745CF" w:rsidRPr="00222663">
        <w:rPr>
          <w:rFonts w:cstheme="minorHAnsi"/>
          <w:sz w:val="24"/>
          <w:szCs w:val="24"/>
        </w:rPr>
        <w:t>lack of</w:t>
      </w:r>
      <w:r w:rsidRPr="00222663">
        <w:rPr>
          <w:rFonts w:cstheme="minorHAnsi"/>
          <w:sz w:val="24"/>
          <w:szCs w:val="24"/>
        </w:rPr>
        <w:t xml:space="preserve"> </w:t>
      </w:r>
      <w:r w:rsidR="007745CF" w:rsidRPr="00222663">
        <w:rPr>
          <w:rFonts w:cstheme="minorHAnsi"/>
          <w:sz w:val="24"/>
          <w:szCs w:val="24"/>
        </w:rPr>
        <w:t xml:space="preserve">literature </w:t>
      </w:r>
      <w:r w:rsidR="007745CF" w:rsidRPr="00222663">
        <w:rPr>
          <w:rFonts w:cstheme="minorHAnsi"/>
          <w:sz w:val="24"/>
          <w:szCs w:val="24"/>
        </w:rPr>
        <w:lastRenderedPageBreak/>
        <w:t xml:space="preserve">representing </w:t>
      </w:r>
      <w:r w:rsidRPr="00222663">
        <w:rPr>
          <w:rFonts w:cstheme="minorHAnsi"/>
          <w:sz w:val="24"/>
          <w:szCs w:val="24"/>
        </w:rPr>
        <w:t xml:space="preserve">children’s </w:t>
      </w:r>
      <w:r w:rsidR="007745CF" w:rsidRPr="00222663">
        <w:rPr>
          <w:rFonts w:cstheme="minorHAnsi"/>
          <w:sz w:val="24"/>
          <w:szCs w:val="24"/>
        </w:rPr>
        <w:t xml:space="preserve">perspectives </w:t>
      </w:r>
      <w:r w:rsidR="00CA2191" w:rsidRPr="00222663">
        <w:rPr>
          <w:rFonts w:cstheme="minorHAnsi"/>
          <w:sz w:val="24"/>
          <w:szCs w:val="24"/>
        </w:rPr>
        <w:t>on</w:t>
      </w:r>
      <w:r w:rsidRPr="00222663">
        <w:rPr>
          <w:rFonts w:cstheme="minorHAnsi"/>
          <w:sz w:val="24"/>
          <w:szCs w:val="24"/>
        </w:rPr>
        <w:t xml:space="preserve"> </w:t>
      </w:r>
      <w:r w:rsidR="00E96A62">
        <w:rPr>
          <w:rFonts w:cstheme="minorHAnsi"/>
          <w:sz w:val="24"/>
          <w:szCs w:val="24"/>
        </w:rPr>
        <w:t xml:space="preserve">violence </w:t>
      </w:r>
      <w:r w:rsidRPr="00222663">
        <w:rPr>
          <w:rFonts w:cstheme="minorHAnsi"/>
          <w:sz w:val="24"/>
          <w:szCs w:val="24"/>
        </w:rPr>
        <w:t>and experiences</w:t>
      </w:r>
      <w:r w:rsidR="007745CF" w:rsidRPr="00222663">
        <w:rPr>
          <w:rFonts w:cstheme="minorHAnsi"/>
          <w:sz w:val="24"/>
          <w:szCs w:val="24"/>
        </w:rPr>
        <w:t xml:space="preserve"> of</w:t>
      </w:r>
      <w:r w:rsidR="00CA2191" w:rsidRPr="00222663">
        <w:rPr>
          <w:rFonts w:cstheme="minorHAnsi"/>
          <w:sz w:val="24"/>
          <w:szCs w:val="24"/>
        </w:rPr>
        <w:t xml:space="preserve"> </w:t>
      </w:r>
      <w:r w:rsidR="00E96A62">
        <w:rPr>
          <w:rFonts w:cstheme="minorHAnsi"/>
          <w:sz w:val="24"/>
          <w:szCs w:val="24"/>
        </w:rPr>
        <w:t>it</w:t>
      </w:r>
      <w:r w:rsidR="00E96A62" w:rsidRPr="00222663">
        <w:rPr>
          <w:rFonts w:cstheme="minorHAnsi"/>
          <w:sz w:val="24"/>
          <w:szCs w:val="24"/>
        </w:rPr>
        <w:t xml:space="preserve"> </w:t>
      </w:r>
      <w:r w:rsidR="00C2747E" w:rsidRPr="00222663">
        <w:rPr>
          <w:rFonts w:cstheme="minorHAnsi"/>
          <w:sz w:val="24"/>
          <w:szCs w:val="24"/>
        </w:rPr>
        <w:t xml:space="preserve">is </w:t>
      </w:r>
      <w:r w:rsidR="007745CF" w:rsidRPr="00222663">
        <w:rPr>
          <w:rFonts w:cstheme="minorHAnsi"/>
          <w:sz w:val="24"/>
          <w:szCs w:val="24"/>
        </w:rPr>
        <w:t>notable</w:t>
      </w:r>
      <w:r w:rsidR="00E96A62">
        <w:rPr>
          <w:rFonts w:cstheme="minorHAnsi"/>
          <w:sz w:val="24"/>
          <w:szCs w:val="24"/>
        </w:rPr>
        <w:t>, especially</w:t>
      </w:r>
      <w:r w:rsidR="007745CF" w:rsidRPr="00222663">
        <w:rPr>
          <w:rFonts w:cstheme="minorHAnsi"/>
          <w:sz w:val="24"/>
          <w:szCs w:val="24"/>
        </w:rPr>
        <w:t xml:space="preserve"> given </w:t>
      </w:r>
      <w:r w:rsidRPr="00222663">
        <w:rPr>
          <w:rFonts w:cstheme="minorHAnsi"/>
          <w:sz w:val="24"/>
          <w:szCs w:val="24"/>
        </w:rPr>
        <w:t>increas</w:t>
      </w:r>
      <w:r w:rsidR="007745CF" w:rsidRPr="00222663">
        <w:rPr>
          <w:rFonts w:cstheme="minorHAnsi"/>
          <w:sz w:val="24"/>
          <w:szCs w:val="24"/>
        </w:rPr>
        <w:t xml:space="preserve">ed investment in </w:t>
      </w:r>
      <w:r w:rsidR="006143E9" w:rsidRPr="00222663">
        <w:rPr>
          <w:rFonts w:cstheme="minorHAnsi"/>
          <w:sz w:val="24"/>
          <w:szCs w:val="24"/>
        </w:rPr>
        <w:t xml:space="preserve">building </w:t>
      </w:r>
      <w:r w:rsidRPr="00222663">
        <w:rPr>
          <w:rFonts w:cstheme="minorHAnsi"/>
          <w:sz w:val="24"/>
          <w:szCs w:val="24"/>
        </w:rPr>
        <w:t>knowledge about women’s lived experience of violence</w:t>
      </w:r>
      <w:r w:rsidR="007745CF" w:rsidRPr="00222663">
        <w:rPr>
          <w:rFonts w:cstheme="minorHAnsi"/>
          <w:sz w:val="24"/>
          <w:szCs w:val="24"/>
        </w:rPr>
        <w:t>, in particular women’s experiences of men’s violence</w:t>
      </w:r>
      <w:r w:rsidRPr="00222663">
        <w:rPr>
          <w:rFonts w:cstheme="minorHAnsi"/>
          <w:sz w:val="24"/>
          <w:szCs w:val="24"/>
        </w:rPr>
        <w:t>.</w:t>
      </w:r>
      <w:r w:rsidRPr="00222663">
        <w:rPr>
          <w:rStyle w:val="FootnoteReference"/>
          <w:rFonts w:cstheme="minorHAnsi"/>
          <w:sz w:val="24"/>
          <w:szCs w:val="24"/>
        </w:rPr>
        <w:footnoteReference w:id="41"/>
      </w:r>
      <w:r w:rsidRPr="00222663">
        <w:rPr>
          <w:rFonts w:cstheme="minorHAnsi"/>
          <w:sz w:val="24"/>
          <w:szCs w:val="24"/>
        </w:rPr>
        <w:t xml:space="preserve"> Despite very high rates of violence against children, particularly </w:t>
      </w:r>
      <w:r w:rsidR="006143E9" w:rsidRPr="00222663">
        <w:rPr>
          <w:rFonts w:cstheme="minorHAnsi"/>
          <w:sz w:val="24"/>
          <w:szCs w:val="24"/>
        </w:rPr>
        <w:t xml:space="preserve">against </w:t>
      </w:r>
      <w:r w:rsidRPr="00222663">
        <w:rPr>
          <w:rFonts w:cstheme="minorHAnsi"/>
          <w:sz w:val="24"/>
          <w:szCs w:val="24"/>
        </w:rPr>
        <w:t xml:space="preserve">girls and especially in relation to sexual offences, </w:t>
      </w:r>
      <w:r w:rsidR="00C2747E" w:rsidRPr="00222663">
        <w:rPr>
          <w:rFonts w:cstheme="minorHAnsi"/>
          <w:sz w:val="24"/>
          <w:szCs w:val="24"/>
        </w:rPr>
        <w:t>children’s</w:t>
      </w:r>
      <w:r w:rsidRPr="00222663">
        <w:rPr>
          <w:rFonts w:cstheme="minorHAnsi"/>
          <w:sz w:val="24"/>
          <w:szCs w:val="24"/>
        </w:rPr>
        <w:t xml:space="preserve"> perspectives are rarely sought and taken into consideration in public decision-making processes aimed at ending </w:t>
      </w:r>
      <w:r w:rsidR="007745CF" w:rsidRPr="00222663">
        <w:rPr>
          <w:rFonts w:cstheme="minorHAnsi"/>
          <w:sz w:val="24"/>
          <w:szCs w:val="24"/>
        </w:rPr>
        <w:t xml:space="preserve">such </w:t>
      </w:r>
      <w:r w:rsidRPr="00222663">
        <w:rPr>
          <w:rFonts w:cstheme="minorHAnsi"/>
          <w:sz w:val="24"/>
          <w:szCs w:val="24"/>
        </w:rPr>
        <w:t xml:space="preserve">violence. </w:t>
      </w:r>
    </w:p>
    <w:p w14:paraId="73581BE1" w14:textId="31834853" w:rsidR="00072A64" w:rsidRPr="00222663" w:rsidRDefault="00072A64" w:rsidP="00746A43">
      <w:pPr>
        <w:spacing w:line="360" w:lineRule="auto"/>
        <w:rPr>
          <w:rFonts w:cstheme="minorHAnsi"/>
          <w:sz w:val="24"/>
          <w:szCs w:val="24"/>
        </w:rPr>
      </w:pPr>
      <w:r w:rsidRPr="00222663">
        <w:rPr>
          <w:rFonts w:cstheme="minorHAnsi"/>
          <w:sz w:val="24"/>
          <w:szCs w:val="24"/>
        </w:rPr>
        <w:t xml:space="preserve">Further, rarely does public discourse name and identify the primary perpetrators of violence against girls. Instead, broad terms such as ‘domestic violence’, ‘gender-based violence’ and ‘violence against women and girls’ dominate public discourse and obfuscate </w:t>
      </w:r>
      <w:r w:rsidR="009F4153" w:rsidRPr="00222663">
        <w:rPr>
          <w:rFonts w:cstheme="minorHAnsi"/>
          <w:sz w:val="24"/>
          <w:szCs w:val="24"/>
        </w:rPr>
        <w:t>those who</w:t>
      </w:r>
      <w:r w:rsidRPr="00222663">
        <w:rPr>
          <w:rFonts w:cstheme="minorHAnsi"/>
          <w:sz w:val="24"/>
          <w:szCs w:val="24"/>
        </w:rPr>
        <w:t xml:space="preserve"> perpetrat</w:t>
      </w:r>
      <w:r w:rsidR="009F4153" w:rsidRPr="00222663">
        <w:rPr>
          <w:rFonts w:cstheme="minorHAnsi"/>
          <w:sz w:val="24"/>
          <w:szCs w:val="24"/>
        </w:rPr>
        <w:t>e</w:t>
      </w:r>
      <w:r w:rsidRPr="00222663">
        <w:rPr>
          <w:rFonts w:cstheme="minorHAnsi"/>
          <w:sz w:val="24"/>
          <w:szCs w:val="24"/>
        </w:rPr>
        <w:t xml:space="preserve"> violence.</w:t>
      </w:r>
      <w:r w:rsidRPr="00222663">
        <w:rPr>
          <w:rStyle w:val="FootnoteReference"/>
          <w:rFonts w:cstheme="minorHAnsi"/>
          <w:sz w:val="24"/>
          <w:szCs w:val="24"/>
        </w:rPr>
        <w:footnoteReference w:id="42"/>
      </w:r>
      <w:r w:rsidR="007745CF" w:rsidRPr="00222663">
        <w:rPr>
          <w:rFonts w:cstheme="minorHAnsi"/>
          <w:sz w:val="24"/>
          <w:szCs w:val="24"/>
        </w:rPr>
        <w:t xml:space="preserve"> Girls in this study emphasised that men are the primary perpetrators of violence and discrimination against them </w:t>
      </w:r>
      <w:r w:rsidR="006143E9" w:rsidRPr="00222663">
        <w:rPr>
          <w:rFonts w:cstheme="minorHAnsi"/>
          <w:sz w:val="24"/>
          <w:szCs w:val="24"/>
        </w:rPr>
        <w:t>in</w:t>
      </w:r>
      <w:r w:rsidR="007745CF" w:rsidRPr="00222663">
        <w:rPr>
          <w:rFonts w:cstheme="minorHAnsi"/>
          <w:sz w:val="24"/>
          <w:szCs w:val="24"/>
        </w:rPr>
        <w:t xml:space="preserve"> public settings, such as harassment on the street. </w:t>
      </w:r>
    </w:p>
    <w:p w14:paraId="69AFEA7A" w14:textId="0B5FE64D" w:rsidR="001916A9" w:rsidRDefault="00BA461A" w:rsidP="00746A43">
      <w:pPr>
        <w:spacing w:line="360" w:lineRule="auto"/>
        <w:rPr>
          <w:rFonts w:cstheme="minorHAnsi"/>
          <w:sz w:val="24"/>
          <w:szCs w:val="24"/>
        </w:rPr>
      </w:pPr>
      <w:r w:rsidRPr="00222663">
        <w:rPr>
          <w:rFonts w:cstheme="minorHAnsi"/>
          <w:sz w:val="24"/>
          <w:szCs w:val="24"/>
          <w:lang w:eastAsia="en-AU"/>
        </w:rPr>
        <w:t xml:space="preserve">Before presenting findings from this </w:t>
      </w:r>
      <w:r w:rsidR="00BC0DF5" w:rsidRPr="00222663">
        <w:rPr>
          <w:rFonts w:cstheme="minorHAnsi"/>
          <w:sz w:val="24"/>
          <w:szCs w:val="24"/>
          <w:lang w:eastAsia="en-AU"/>
        </w:rPr>
        <w:t>research,</w:t>
      </w:r>
      <w:r w:rsidRPr="00222663">
        <w:rPr>
          <w:rFonts w:cstheme="minorHAnsi"/>
          <w:sz w:val="24"/>
          <w:szCs w:val="24"/>
          <w:lang w:eastAsia="en-AU"/>
        </w:rPr>
        <w:t xml:space="preserve"> it is important to contextualise the child rights context for girls in Nepal.</w:t>
      </w:r>
      <w:r w:rsidR="000F4193" w:rsidRPr="00222663">
        <w:rPr>
          <w:rFonts w:cstheme="minorHAnsi"/>
          <w:sz w:val="24"/>
          <w:szCs w:val="24"/>
          <w:lang w:eastAsia="en-AU"/>
        </w:rPr>
        <w:t xml:space="preserve"> The constitutional context is noteworthy given that in 2015, with Article 39 of its new Constitution, Nepal joined the growing list of countries that provide for children’s rights in their national constitutions.</w:t>
      </w:r>
      <w:r w:rsidR="000F4193" w:rsidRPr="00222663">
        <w:rPr>
          <w:rStyle w:val="FootnoteReference"/>
          <w:rFonts w:cstheme="minorHAnsi"/>
          <w:sz w:val="24"/>
          <w:szCs w:val="24"/>
        </w:rPr>
        <w:footnoteReference w:id="43"/>
      </w:r>
      <w:r w:rsidR="000F4193" w:rsidRPr="00222663">
        <w:rPr>
          <w:rFonts w:cstheme="minorHAnsi"/>
          <w:sz w:val="24"/>
          <w:szCs w:val="24"/>
          <w:lang w:eastAsia="en-AU"/>
        </w:rPr>
        <w:t xml:space="preserve"> </w:t>
      </w:r>
      <w:r w:rsidR="000F4193" w:rsidRPr="00222663">
        <w:rPr>
          <w:rFonts w:cstheme="minorHAnsi"/>
          <w:sz w:val="24"/>
          <w:szCs w:val="24"/>
        </w:rPr>
        <w:t>Article 39, titled ‘Rights of the Child’, embeds children’s rights into Nepal’s domestic legislation and in doing so incorporates many of the provisions contained in the CRC</w:t>
      </w:r>
      <w:r w:rsidR="000F4193" w:rsidRPr="00222663">
        <w:rPr>
          <w:rFonts w:cstheme="minorHAnsi"/>
          <w:i/>
          <w:iCs/>
          <w:sz w:val="24"/>
          <w:szCs w:val="24"/>
        </w:rPr>
        <w:t xml:space="preserve"> </w:t>
      </w:r>
      <w:r w:rsidR="000F4193" w:rsidRPr="00222663">
        <w:rPr>
          <w:rFonts w:cstheme="minorHAnsi"/>
          <w:sz w:val="24"/>
          <w:szCs w:val="24"/>
        </w:rPr>
        <w:t xml:space="preserve">into Nepal’s apex legislation. Article 39 of Nepal’s Constitution mandates the State to protect and fulfil a comprehensive body of children’s </w:t>
      </w:r>
      <w:r w:rsidR="000F4193" w:rsidRPr="00222663">
        <w:rPr>
          <w:rFonts w:cstheme="minorHAnsi"/>
          <w:sz w:val="24"/>
          <w:szCs w:val="24"/>
        </w:rPr>
        <w:lastRenderedPageBreak/>
        <w:t>rights, including every child’s rights to: birth registration (Article 39(1)); education, health, play and proper care (Article 39(2)); education till high school and the right to participation (Article 39(3)); freedom from hazardous work (Article 39(4)); freedom from child marriage and child trafficking (Article 39(5)); freedom from recruitment into the armed forces (</w:t>
      </w:r>
      <w:r w:rsidR="00FB604B" w:rsidRPr="00222663">
        <w:rPr>
          <w:rFonts w:cstheme="minorHAnsi"/>
          <w:sz w:val="24"/>
          <w:szCs w:val="24"/>
        </w:rPr>
        <w:t xml:space="preserve">Article </w:t>
      </w:r>
      <w:r w:rsidR="000F4193" w:rsidRPr="00222663">
        <w:rPr>
          <w:rFonts w:cstheme="minorHAnsi"/>
          <w:sz w:val="24"/>
          <w:szCs w:val="24"/>
        </w:rPr>
        <w:t>39(6)); freedom from all forms of abuse in all settings (Article 39(7)) and child</w:t>
      </w:r>
      <w:r w:rsidR="001F4D2F" w:rsidRPr="00222663">
        <w:rPr>
          <w:rFonts w:cstheme="minorHAnsi"/>
          <w:sz w:val="24"/>
          <w:szCs w:val="24"/>
        </w:rPr>
        <w:t>-</w:t>
      </w:r>
      <w:r w:rsidR="000F4193" w:rsidRPr="00222663">
        <w:rPr>
          <w:rFonts w:cstheme="minorHAnsi"/>
          <w:sz w:val="24"/>
          <w:szCs w:val="24"/>
        </w:rPr>
        <w:t xml:space="preserve">friendly justice (Article 39(8)). The Constitution also provides the right to ‘special protection and facilities from the State’ for any child living without parental care, and any child with a disability or who is displaced, including due to conflict (Article 39(9)). Additionally, Article 39(10) provides that children are entitled to compensation from those responsible for breaches under </w:t>
      </w:r>
      <w:r w:rsidR="006105A4">
        <w:rPr>
          <w:rFonts w:cstheme="minorHAnsi"/>
          <w:sz w:val="24"/>
          <w:szCs w:val="24"/>
        </w:rPr>
        <w:t>Clauses</w:t>
      </w:r>
      <w:r w:rsidR="000F4193" w:rsidRPr="00222663">
        <w:rPr>
          <w:rFonts w:cstheme="minorHAnsi"/>
          <w:sz w:val="24"/>
          <w:szCs w:val="24"/>
        </w:rPr>
        <w:t xml:space="preserve"> 4, 5, 6 and 7 of Article 39. These provisions mirror many of the provisions in the CRC. </w:t>
      </w:r>
    </w:p>
    <w:p w14:paraId="2F1DC7DE" w14:textId="52D536B4" w:rsidR="00BA3A49" w:rsidRPr="00222663" w:rsidRDefault="000F4193" w:rsidP="00746A43">
      <w:pPr>
        <w:spacing w:line="360" w:lineRule="auto"/>
        <w:rPr>
          <w:rFonts w:cstheme="minorHAnsi"/>
          <w:sz w:val="24"/>
          <w:szCs w:val="24"/>
        </w:rPr>
      </w:pPr>
      <w:r w:rsidRPr="00222663">
        <w:rPr>
          <w:rFonts w:cstheme="minorHAnsi"/>
          <w:sz w:val="24"/>
          <w:szCs w:val="24"/>
        </w:rPr>
        <w:t>It appears that the advancement of children’s rights was at the forefront of lawmakers’ minds when drafting Nepal’s new Constitution. However, the child rights provisions</w:t>
      </w:r>
      <w:r w:rsidR="00E94A50" w:rsidRPr="00222663">
        <w:rPr>
          <w:rFonts w:cstheme="minorHAnsi"/>
          <w:sz w:val="24"/>
          <w:szCs w:val="24"/>
        </w:rPr>
        <w:t xml:space="preserve"> afforded by the Constitution contrast</w:t>
      </w:r>
      <w:r w:rsidRPr="00222663">
        <w:rPr>
          <w:rFonts w:cstheme="minorHAnsi"/>
          <w:sz w:val="24"/>
          <w:szCs w:val="24"/>
        </w:rPr>
        <w:t xml:space="preserve"> </w:t>
      </w:r>
      <w:r w:rsidR="00962529">
        <w:rPr>
          <w:rFonts w:cstheme="minorHAnsi"/>
          <w:sz w:val="24"/>
          <w:szCs w:val="24"/>
        </w:rPr>
        <w:t xml:space="preserve">with </w:t>
      </w:r>
      <w:r w:rsidRPr="00222663">
        <w:rPr>
          <w:rFonts w:cstheme="minorHAnsi"/>
          <w:sz w:val="24"/>
          <w:szCs w:val="24"/>
        </w:rPr>
        <w:t xml:space="preserve">the lived reality </w:t>
      </w:r>
      <w:r w:rsidR="00E94A50" w:rsidRPr="00222663">
        <w:rPr>
          <w:rFonts w:cstheme="minorHAnsi"/>
          <w:sz w:val="24"/>
          <w:szCs w:val="24"/>
        </w:rPr>
        <w:t>of</w:t>
      </w:r>
      <w:r w:rsidRPr="00222663">
        <w:rPr>
          <w:rFonts w:cstheme="minorHAnsi"/>
          <w:sz w:val="24"/>
          <w:szCs w:val="24"/>
        </w:rPr>
        <w:t xml:space="preserve"> many girls in Nepal</w:t>
      </w:r>
      <w:r w:rsidR="00E94A50" w:rsidRPr="00222663">
        <w:rPr>
          <w:rFonts w:cstheme="minorHAnsi"/>
          <w:sz w:val="24"/>
          <w:szCs w:val="24"/>
        </w:rPr>
        <w:t xml:space="preserve">. </w:t>
      </w:r>
      <w:r w:rsidR="00E06809" w:rsidRPr="00222663">
        <w:rPr>
          <w:rFonts w:cstheme="minorHAnsi"/>
          <w:sz w:val="24"/>
          <w:szCs w:val="24"/>
          <w:lang w:eastAsia="en-AU"/>
        </w:rPr>
        <w:t>Nepal is a patriarchal society and discrimination against girls</w:t>
      </w:r>
      <w:r w:rsidR="002911D8" w:rsidRPr="00222663">
        <w:rPr>
          <w:rFonts w:cstheme="minorHAnsi"/>
          <w:sz w:val="24"/>
          <w:szCs w:val="24"/>
          <w:lang w:eastAsia="en-AU"/>
        </w:rPr>
        <w:t>,</w:t>
      </w:r>
      <w:r w:rsidR="00E06809" w:rsidRPr="00222663">
        <w:rPr>
          <w:rFonts w:cstheme="minorHAnsi"/>
          <w:sz w:val="24"/>
          <w:szCs w:val="24"/>
          <w:lang w:eastAsia="en-AU"/>
        </w:rPr>
        <w:t xml:space="preserve"> including harmful </w:t>
      </w:r>
      <w:r w:rsidR="009303F3" w:rsidRPr="00222663">
        <w:rPr>
          <w:rFonts w:cstheme="minorHAnsi"/>
          <w:sz w:val="24"/>
          <w:szCs w:val="24"/>
          <w:lang w:eastAsia="en-AU"/>
        </w:rPr>
        <w:t>gender</w:t>
      </w:r>
      <w:r w:rsidR="00346217" w:rsidRPr="00222663">
        <w:rPr>
          <w:rFonts w:cstheme="minorHAnsi"/>
          <w:sz w:val="24"/>
          <w:szCs w:val="24"/>
          <w:lang w:eastAsia="en-AU"/>
        </w:rPr>
        <w:softHyphen/>
        <w:t>-</w:t>
      </w:r>
      <w:r w:rsidR="009303F3" w:rsidRPr="00222663">
        <w:rPr>
          <w:rFonts w:cstheme="minorHAnsi"/>
          <w:sz w:val="24"/>
          <w:szCs w:val="24"/>
          <w:lang w:eastAsia="en-AU"/>
        </w:rPr>
        <w:t xml:space="preserve">based </w:t>
      </w:r>
      <w:r w:rsidR="00E06809" w:rsidRPr="00222663">
        <w:rPr>
          <w:rFonts w:cstheme="minorHAnsi"/>
          <w:sz w:val="24"/>
          <w:szCs w:val="24"/>
          <w:lang w:eastAsia="en-AU"/>
        </w:rPr>
        <w:t>practices</w:t>
      </w:r>
      <w:r w:rsidR="00E34266">
        <w:rPr>
          <w:rFonts w:cstheme="minorHAnsi"/>
          <w:sz w:val="24"/>
          <w:szCs w:val="24"/>
          <w:lang w:eastAsia="en-AU"/>
        </w:rPr>
        <w:t>,</w:t>
      </w:r>
      <w:r w:rsidR="00E06809" w:rsidRPr="00222663">
        <w:rPr>
          <w:rFonts w:cstheme="minorHAnsi"/>
          <w:sz w:val="24"/>
          <w:szCs w:val="24"/>
          <w:lang w:eastAsia="en-AU"/>
        </w:rPr>
        <w:t xml:space="preserve"> </w:t>
      </w:r>
      <w:r w:rsidR="00E34266">
        <w:rPr>
          <w:rFonts w:cstheme="minorHAnsi"/>
          <w:sz w:val="24"/>
          <w:szCs w:val="24"/>
          <w:lang w:eastAsia="en-AU"/>
        </w:rPr>
        <w:t>is</w:t>
      </w:r>
      <w:r w:rsidR="00E06809" w:rsidRPr="00222663">
        <w:rPr>
          <w:rFonts w:cstheme="minorHAnsi"/>
          <w:sz w:val="24"/>
          <w:szCs w:val="24"/>
          <w:lang w:eastAsia="en-AU"/>
        </w:rPr>
        <w:t xml:space="preserve"> prevalent.</w:t>
      </w:r>
      <w:r w:rsidR="00A324EF" w:rsidRPr="00222663">
        <w:rPr>
          <w:rStyle w:val="FootnoteReference"/>
          <w:rFonts w:cstheme="minorHAnsi"/>
          <w:sz w:val="24"/>
          <w:szCs w:val="24"/>
          <w:lang w:eastAsia="en-AU"/>
        </w:rPr>
        <w:footnoteReference w:id="44"/>
      </w:r>
      <w:r w:rsidR="00E06809" w:rsidRPr="00222663">
        <w:rPr>
          <w:rFonts w:cstheme="minorHAnsi"/>
          <w:sz w:val="24"/>
          <w:szCs w:val="24"/>
          <w:lang w:eastAsia="en-AU"/>
        </w:rPr>
        <w:t xml:space="preserve"> Some examples of </w:t>
      </w:r>
      <w:r w:rsidR="009303F3" w:rsidRPr="00222663">
        <w:rPr>
          <w:rFonts w:cstheme="minorHAnsi"/>
          <w:sz w:val="24"/>
          <w:szCs w:val="24"/>
          <w:lang w:eastAsia="en-AU"/>
        </w:rPr>
        <w:t xml:space="preserve">these </w:t>
      </w:r>
      <w:r w:rsidR="00E06809" w:rsidRPr="00222663">
        <w:rPr>
          <w:rFonts w:cstheme="minorHAnsi"/>
          <w:sz w:val="24"/>
          <w:szCs w:val="24"/>
          <w:lang w:eastAsia="en-AU"/>
        </w:rPr>
        <w:t>practices include menstruation-related discrimination, social exclusion</w:t>
      </w:r>
      <w:r w:rsidR="002501C8" w:rsidRPr="00222663">
        <w:rPr>
          <w:rFonts w:cstheme="minorHAnsi"/>
          <w:sz w:val="24"/>
          <w:szCs w:val="24"/>
          <w:lang w:eastAsia="en-AU"/>
        </w:rPr>
        <w:t xml:space="preserve">, </w:t>
      </w:r>
      <w:r w:rsidR="00E06809" w:rsidRPr="00222663">
        <w:rPr>
          <w:rFonts w:cstheme="minorHAnsi"/>
          <w:sz w:val="24"/>
          <w:szCs w:val="24"/>
          <w:lang w:eastAsia="en-AU"/>
        </w:rPr>
        <w:t>child marriage</w:t>
      </w:r>
      <w:r w:rsidR="00972FB9" w:rsidRPr="00222663">
        <w:rPr>
          <w:rFonts w:cstheme="minorHAnsi"/>
          <w:sz w:val="24"/>
          <w:szCs w:val="24"/>
          <w:lang w:eastAsia="en-AU"/>
        </w:rPr>
        <w:t xml:space="preserve"> and many forms of abuse including </w:t>
      </w:r>
      <w:r w:rsidR="002501C8" w:rsidRPr="00222663">
        <w:rPr>
          <w:rFonts w:cstheme="minorHAnsi"/>
          <w:sz w:val="24"/>
          <w:szCs w:val="24"/>
          <w:lang w:eastAsia="en-AU"/>
        </w:rPr>
        <w:t>corporal punishment</w:t>
      </w:r>
      <w:r w:rsidR="00E06809" w:rsidRPr="00222663">
        <w:rPr>
          <w:rFonts w:cstheme="minorHAnsi"/>
          <w:sz w:val="24"/>
          <w:szCs w:val="24"/>
          <w:lang w:eastAsia="en-AU"/>
        </w:rPr>
        <w:t>.</w:t>
      </w:r>
      <w:r w:rsidR="006143E9" w:rsidRPr="00222663">
        <w:rPr>
          <w:rFonts w:cstheme="minorHAnsi"/>
          <w:sz w:val="24"/>
          <w:szCs w:val="24"/>
          <w:lang w:eastAsia="en-AU"/>
        </w:rPr>
        <w:t xml:space="preserve"> </w:t>
      </w:r>
      <w:r w:rsidR="00626712" w:rsidRPr="00222663">
        <w:rPr>
          <w:rFonts w:cstheme="minorHAnsi"/>
          <w:sz w:val="24"/>
          <w:szCs w:val="24"/>
          <w:lang w:eastAsia="en-AU"/>
        </w:rPr>
        <w:t xml:space="preserve">A </w:t>
      </w:r>
      <w:r w:rsidR="00C2747E" w:rsidRPr="00222663">
        <w:rPr>
          <w:rFonts w:cstheme="minorHAnsi"/>
          <w:sz w:val="24"/>
          <w:szCs w:val="24"/>
          <w:lang w:eastAsia="en-AU"/>
        </w:rPr>
        <w:t xml:space="preserve">comprehensive </w:t>
      </w:r>
      <w:r w:rsidR="00626712" w:rsidRPr="00222663">
        <w:rPr>
          <w:rFonts w:cstheme="minorHAnsi"/>
          <w:sz w:val="24"/>
          <w:szCs w:val="24"/>
          <w:lang w:eastAsia="en-AU"/>
        </w:rPr>
        <w:t xml:space="preserve">analysis of each of these </w:t>
      </w:r>
      <w:r w:rsidR="00A67AC3" w:rsidRPr="00222663">
        <w:rPr>
          <w:rFonts w:cstheme="minorHAnsi"/>
          <w:sz w:val="24"/>
          <w:szCs w:val="24"/>
          <w:lang w:eastAsia="en-AU"/>
        </w:rPr>
        <w:t xml:space="preserve">is </w:t>
      </w:r>
      <w:r w:rsidR="00626712" w:rsidRPr="00222663">
        <w:rPr>
          <w:rFonts w:cstheme="minorHAnsi"/>
          <w:sz w:val="24"/>
          <w:szCs w:val="24"/>
          <w:lang w:eastAsia="en-AU"/>
        </w:rPr>
        <w:t xml:space="preserve">not undertaken here, only a </w:t>
      </w:r>
      <w:r w:rsidR="008A0744" w:rsidRPr="00222663">
        <w:rPr>
          <w:rFonts w:cstheme="minorHAnsi"/>
          <w:sz w:val="24"/>
          <w:szCs w:val="24"/>
          <w:lang w:eastAsia="en-AU"/>
        </w:rPr>
        <w:t>brief</w:t>
      </w:r>
      <w:r w:rsidR="00626712" w:rsidRPr="00222663">
        <w:rPr>
          <w:rFonts w:cstheme="minorHAnsi"/>
          <w:sz w:val="24"/>
          <w:szCs w:val="24"/>
          <w:lang w:eastAsia="en-AU"/>
        </w:rPr>
        <w:t xml:space="preserve"> discussion </w:t>
      </w:r>
      <w:r w:rsidR="00BA461A" w:rsidRPr="00222663">
        <w:rPr>
          <w:rFonts w:cstheme="minorHAnsi"/>
          <w:sz w:val="24"/>
          <w:szCs w:val="24"/>
          <w:lang w:eastAsia="en-AU"/>
        </w:rPr>
        <w:t xml:space="preserve">below </w:t>
      </w:r>
      <w:r w:rsidR="00626712" w:rsidRPr="00222663">
        <w:rPr>
          <w:rFonts w:cstheme="minorHAnsi"/>
          <w:sz w:val="24"/>
          <w:szCs w:val="24"/>
          <w:lang w:eastAsia="en-AU"/>
        </w:rPr>
        <w:t xml:space="preserve">to </w:t>
      </w:r>
      <w:r w:rsidR="009303F3" w:rsidRPr="00222663">
        <w:rPr>
          <w:rFonts w:cstheme="minorHAnsi"/>
          <w:sz w:val="24"/>
          <w:szCs w:val="24"/>
          <w:lang w:eastAsia="en-AU"/>
        </w:rPr>
        <w:t>contextualise</w:t>
      </w:r>
      <w:r w:rsidR="00626712" w:rsidRPr="00222663">
        <w:rPr>
          <w:rFonts w:cstheme="minorHAnsi"/>
          <w:sz w:val="24"/>
          <w:szCs w:val="24"/>
          <w:lang w:eastAsia="en-AU"/>
        </w:rPr>
        <w:t xml:space="preserve"> some </w:t>
      </w:r>
      <w:r w:rsidR="009303F3" w:rsidRPr="00222663">
        <w:rPr>
          <w:rFonts w:cstheme="minorHAnsi"/>
          <w:sz w:val="24"/>
          <w:szCs w:val="24"/>
          <w:lang w:eastAsia="en-AU"/>
        </w:rPr>
        <w:t>of the</w:t>
      </w:r>
      <w:r w:rsidR="00626712" w:rsidRPr="00222663">
        <w:rPr>
          <w:rFonts w:cstheme="minorHAnsi"/>
          <w:sz w:val="24"/>
          <w:szCs w:val="24"/>
          <w:lang w:eastAsia="en-AU"/>
        </w:rPr>
        <w:t xml:space="preserve"> </w:t>
      </w:r>
      <w:r w:rsidR="008A0744" w:rsidRPr="00222663">
        <w:rPr>
          <w:rFonts w:cstheme="minorHAnsi"/>
          <w:sz w:val="24"/>
          <w:szCs w:val="24"/>
          <w:lang w:eastAsia="en-AU"/>
        </w:rPr>
        <w:t xml:space="preserve">challenges </w:t>
      </w:r>
      <w:r w:rsidR="009303F3" w:rsidRPr="00222663">
        <w:rPr>
          <w:rFonts w:cstheme="minorHAnsi"/>
          <w:sz w:val="24"/>
          <w:szCs w:val="24"/>
          <w:lang w:eastAsia="en-AU"/>
        </w:rPr>
        <w:t>associated with</w:t>
      </w:r>
      <w:r w:rsidR="008A0744" w:rsidRPr="00222663">
        <w:rPr>
          <w:rFonts w:cstheme="minorHAnsi"/>
          <w:sz w:val="24"/>
          <w:szCs w:val="24"/>
          <w:lang w:eastAsia="en-AU"/>
        </w:rPr>
        <w:t xml:space="preserve"> the fulfilment of</w:t>
      </w:r>
      <w:r w:rsidR="00626712" w:rsidRPr="00222663">
        <w:rPr>
          <w:rFonts w:cstheme="minorHAnsi"/>
          <w:sz w:val="24"/>
          <w:szCs w:val="24"/>
          <w:lang w:eastAsia="en-AU"/>
        </w:rPr>
        <w:t xml:space="preserve"> </w:t>
      </w:r>
      <w:r w:rsidR="005A2250" w:rsidRPr="00222663">
        <w:rPr>
          <w:rFonts w:cstheme="minorHAnsi"/>
          <w:sz w:val="24"/>
          <w:szCs w:val="24"/>
          <w:lang w:eastAsia="en-AU"/>
        </w:rPr>
        <w:t>girls’</w:t>
      </w:r>
      <w:r w:rsidR="00626712" w:rsidRPr="00222663">
        <w:rPr>
          <w:rFonts w:cstheme="minorHAnsi"/>
          <w:sz w:val="24"/>
          <w:szCs w:val="24"/>
          <w:lang w:eastAsia="en-AU"/>
        </w:rPr>
        <w:t xml:space="preserve"> rights in Nepal. </w:t>
      </w:r>
    </w:p>
    <w:p w14:paraId="520C6C12" w14:textId="15F7E9D9" w:rsidR="00E06809" w:rsidRPr="00222663" w:rsidRDefault="006143E9" w:rsidP="00746A43">
      <w:pPr>
        <w:spacing w:line="360" w:lineRule="auto"/>
        <w:rPr>
          <w:rFonts w:cstheme="minorHAnsi"/>
          <w:sz w:val="24"/>
          <w:szCs w:val="24"/>
        </w:rPr>
      </w:pPr>
      <w:r w:rsidRPr="00222663">
        <w:rPr>
          <w:rFonts w:cstheme="minorHAnsi"/>
          <w:sz w:val="24"/>
          <w:szCs w:val="24"/>
          <w:lang w:eastAsia="en-AU"/>
        </w:rPr>
        <w:t xml:space="preserve">A harmful </w:t>
      </w:r>
      <w:r w:rsidR="004B5D9A" w:rsidRPr="00222663">
        <w:rPr>
          <w:rFonts w:cstheme="minorHAnsi"/>
          <w:sz w:val="24"/>
          <w:szCs w:val="24"/>
          <w:lang w:eastAsia="en-AU"/>
        </w:rPr>
        <w:t>gender</w:t>
      </w:r>
      <w:r w:rsidR="004B5D9A" w:rsidRPr="00222663">
        <w:rPr>
          <w:rFonts w:cstheme="minorHAnsi"/>
          <w:sz w:val="24"/>
          <w:szCs w:val="24"/>
          <w:lang w:eastAsia="en-AU"/>
        </w:rPr>
        <w:softHyphen/>
        <w:t xml:space="preserve">-based </w:t>
      </w:r>
      <w:r w:rsidRPr="00222663">
        <w:rPr>
          <w:rFonts w:cstheme="minorHAnsi"/>
          <w:sz w:val="24"/>
          <w:szCs w:val="24"/>
          <w:lang w:eastAsia="en-AU"/>
        </w:rPr>
        <w:t>practice known as ‘</w:t>
      </w:r>
      <w:proofErr w:type="spellStart"/>
      <w:r w:rsidRPr="00222663">
        <w:rPr>
          <w:rFonts w:cstheme="minorHAnsi"/>
          <w:sz w:val="24"/>
          <w:szCs w:val="24"/>
          <w:lang w:eastAsia="en-AU"/>
        </w:rPr>
        <w:t>c</w:t>
      </w:r>
      <w:r w:rsidR="00E06809" w:rsidRPr="00222663">
        <w:rPr>
          <w:rFonts w:cstheme="minorHAnsi"/>
          <w:sz w:val="24"/>
          <w:szCs w:val="24"/>
          <w:lang w:eastAsia="en-AU"/>
        </w:rPr>
        <w:t>hhaupadi</w:t>
      </w:r>
      <w:proofErr w:type="spellEnd"/>
      <w:r w:rsidRPr="00222663">
        <w:rPr>
          <w:rFonts w:cstheme="minorHAnsi"/>
          <w:sz w:val="24"/>
          <w:szCs w:val="24"/>
          <w:lang w:eastAsia="en-AU"/>
        </w:rPr>
        <w:t>’</w:t>
      </w:r>
      <w:r w:rsidR="00E06809" w:rsidRPr="00222663">
        <w:rPr>
          <w:rFonts w:cstheme="minorHAnsi"/>
          <w:sz w:val="24"/>
          <w:szCs w:val="24"/>
          <w:lang w:eastAsia="en-AU"/>
        </w:rPr>
        <w:t xml:space="preserve"> is where menstruating women and girls are </w:t>
      </w:r>
      <w:r w:rsidR="00912871" w:rsidRPr="00222663">
        <w:rPr>
          <w:rFonts w:cstheme="minorHAnsi"/>
          <w:sz w:val="24"/>
          <w:szCs w:val="24"/>
          <w:lang w:eastAsia="en-AU"/>
        </w:rPr>
        <w:t>considered to be ‘impure’</w:t>
      </w:r>
      <w:r w:rsidR="008D3B77" w:rsidRPr="00222663">
        <w:rPr>
          <w:rStyle w:val="FootnoteReference"/>
          <w:rFonts w:cstheme="minorHAnsi"/>
          <w:sz w:val="24"/>
          <w:szCs w:val="24"/>
        </w:rPr>
        <w:footnoteReference w:id="45"/>
      </w:r>
      <w:r w:rsidR="00912871" w:rsidRPr="00222663">
        <w:rPr>
          <w:rFonts w:cstheme="minorHAnsi"/>
          <w:sz w:val="24"/>
          <w:szCs w:val="24"/>
          <w:lang w:eastAsia="en-AU"/>
        </w:rPr>
        <w:t xml:space="preserve"> and </w:t>
      </w:r>
      <w:r w:rsidR="00E06809" w:rsidRPr="00222663">
        <w:rPr>
          <w:rFonts w:cstheme="minorHAnsi"/>
          <w:sz w:val="24"/>
          <w:szCs w:val="24"/>
          <w:lang w:eastAsia="en-AU"/>
        </w:rPr>
        <w:t>forced to isolate</w:t>
      </w:r>
      <w:r w:rsidR="00912871" w:rsidRPr="00222663">
        <w:rPr>
          <w:rFonts w:cstheme="minorHAnsi"/>
          <w:sz w:val="24"/>
          <w:szCs w:val="24"/>
          <w:lang w:eastAsia="en-AU"/>
        </w:rPr>
        <w:t>, are not permitted to touch</w:t>
      </w:r>
      <w:r w:rsidR="00C902B7" w:rsidRPr="00222663">
        <w:rPr>
          <w:rFonts w:cstheme="minorHAnsi"/>
          <w:sz w:val="24"/>
          <w:szCs w:val="24"/>
          <w:lang w:eastAsia="en-AU"/>
        </w:rPr>
        <w:t xml:space="preserve"> some people or objects</w:t>
      </w:r>
      <w:r w:rsidR="00E06809" w:rsidRPr="00222663">
        <w:rPr>
          <w:rFonts w:cstheme="minorHAnsi"/>
          <w:sz w:val="24"/>
          <w:szCs w:val="24"/>
          <w:lang w:eastAsia="en-AU"/>
        </w:rPr>
        <w:t xml:space="preserve"> and are not </w:t>
      </w:r>
      <w:r w:rsidRPr="00222663">
        <w:rPr>
          <w:rFonts w:cstheme="minorHAnsi"/>
          <w:sz w:val="24"/>
          <w:szCs w:val="24"/>
          <w:lang w:eastAsia="en-AU"/>
        </w:rPr>
        <w:t xml:space="preserve">allowed </w:t>
      </w:r>
      <w:r w:rsidR="00E06809" w:rsidRPr="00222663">
        <w:rPr>
          <w:rFonts w:cstheme="minorHAnsi"/>
          <w:sz w:val="24"/>
          <w:szCs w:val="24"/>
          <w:lang w:eastAsia="en-AU"/>
        </w:rPr>
        <w:t>to attend school.</w:t>
      </w:r>
      <w:r w:rsidR="00E06809" w:rsidRPr="00222663">
        <w:rPr>
          <w:rStyle w:val="FootnoteReference"/>
          <w:rFonts w:cstheme="minorHAnsi"/>
          <w:sz w:val="24"/>
          <w:szCs w:val="24"/>
        </w:rPr>
        <w:footnoteReference w:id="46"/>
      </w:r>
      <w:r w:rsidR="00E06809" w:rsidRPr="00222663">
        <w:rPr>
          <w:rFonts w:cstheme="minorHAnsi"/>
          <w:sz w:val="24"/>
          <w:szCs w:val="24"/>
          <w:lang w:eastAsia="en-AU"/>
        </w:rPr>
        <w:t xml:space="preserve"> </w:t>
      </w:r>
      <w:bookmarkStart w:id="4" w:name="_Hlk148622947"/>
      <w:proofErr w:type="spellStart"/>
      <w:r w:rsidR="00E06809" w:rsidRPr="00222663">
        <w:rPr>
          <w:rFonts w:cstheme="minorHAnsi"/>
          <w:sz w:val="24"/>
          <w:szCs w:val="24"/>
          <w:lang w:eastAsia="en-AU"/>
        </w:rPr>
        <w:t>Chhaupadi</w:t>
      </w:r>
      <w:proofErr w:type="spellEnd"/>
      <w:r w:rsidR="00E06809" w:rsidRPr="00222663">
        <w:rPr>
          <w:rFonts w:cstheme="minorHAnsi"/>
          <w:sz w:val="24"/>
          <w:szCs w:val="24"/>
          <w:lang w:eastAsia="en-AU"/>
        </w:rPr>
        <w:t xml:space="preserve"> means </w:t>
      </w:r>
      <w:r w:rsidR="00E06809" w:rsidRPr="00222663">
        <w:rPr>
          <w:rFonts w:cstheme="minorHAnsi"/>
          <w:i/>
          <w:iCs/>
          <w:sz w:val="24"/>
          <w:szCs w:val="24"/>
          <w:lang w:eastAsia="en-AU"/>
        </w:rPr>
        <w:t>‘untouchable being’</w:t>
      </w:r>
      <w:r w:rsidR="00E06809" w:rsidRPr="00222663">
        <w:rPr>
          <w:rFonts w:cstheme="minorHAnsi"/>
          <w:sz w:val="24"/>
          <w:szCs w:val="24"/>
          <w:lang w:eastAsia="en-AU"/>
        </w:rPr>
        <w:t xml:space="preserve"> and is the most extreme form of menstrual discrimination</w:t>
      </w:r>
      <w:r w:rsidR="00631334" w:rsidRPr="00222663">
        <w:rPr>
          <w:rFonts w:cstheme="minorHAnsi"/>
          <w:sz w:val="24"/>
          <w:szCs w:val="24"/>
          <w:lang w:eastAsia="en-AU"/>
        </w:rPr>
        <w:t>, practiced mainly</w:t>
      </w:r>
      <w:r w:rsidR="00E06809" w:rsidRPr="00222663">
        <w:rPr>
          <w:rFonts w:cstheme="minorHAnsi"/>
          <w:sz w:val="24"/>
          <w:szCs w:val="24"/>
          <w:lang w:eastAsia="en-AU"/>
        </w:rPr>
        <w:t xml:space="preserve"> in </w:t>
      </w:r>
      <w:r w:rsidR="00631334" w:rsidRPr="00222663">
        <w:rPr>
          <w:rFonts w:cstheme="minorHAnsi"/>
          <w:sz w:val="24"/>
          <w:szCs w:val="24"/>
          <w:lang w:eastAsia="en-AU"/>
        </w:rPr>
        <w:t xml:space="preserve">the Far Western </w:t>
      </w:r>
      <w:r w:rsidR="00500FCE" w:rsidRPr="00222663">
        <w:rPr>
          <w:rFonts w:cstheme="minorHAnsi"/>
          <w:sz w:val="24"/>
          <w:szCs w:val="24"/>
          <w:lang w:eastAsia="en-AU"/>
        </w:rPr>
        <w:t>region</w:t>
      </w:r>
      <w:r w:rsidR="00631334" w:rsidRPr="00222663">
        <w:rPr>
          <w:rFonts w:cstheme="minorHAnsi"/>
          <w:sz w:val="24"/>
          <w:szCs w:val="24"/>
          <w:lang w:eastAsia="en-AU"/>
        </w:rPr>
        <w:t xml:space="preserve"> of </w:t>
      </w:r>
      <w:r w:rsidR="00E06809" w:rsidRPr="00222663">
        <w:rPr>
          <w:rFonts w:cstheme="minorHAnsi"/>
          <w:sz w:val="24"/>
          <w:szCs w:val="24"/>
          <w:lang w:eastAsia="en-AU"/>
        </w:rPr>
        <w:t>Nepal</w:t>
      </w:r>
      <w:r w:rsidR="00A324EF" w:rsidRPr="00222663">
        <w:rPr>
          <w:rFonts w:cstheme="minorHAnsi"/>
          <w:sz w:val="24"/>
          <w:szCs w:val="24"/>
          <w:lang w:eastAsia="en-AU"/>
        </w:rPr>
        <w:t>.</w:t>
      </w:r>
      <w:r w:rsidR="00E06809" w:rsidRPr="00222663">
        <w:rPr>
          <w:rStyle w:val="FootnoteReference"/>
          <w:rFonts w:cstheme="minorHAnsi"/>
          <w:sz w:val="24"/>
          <w:szCs w:val="24"/>
        </w:rPr>
        <w:footnoteReference w:id="47"/>
      </w:r>
      <w:r w:rsidR="00E06809" w:rsidRPr="00222663">
        <w:rPr>
          <w:rFonts w:cstheme="minorHAnsi"/>
          <w:sz w:val="24"/>
          <w:szCs w:val="24"/>
          <w:lang w:eastAsia="en-AU"/>
        </w:rPr>
        <w:t xml:space="preserve"> </w:t>
      </w:r>
      <w:bookmarkEnd w:id="4"/>
      <w:r w:rsidR="00E06809" w:rsidRPr="00222663">
        <w:rPr>
          <w:rFonts w:cstheme="minorHAnsi"/>
          <w:sz w:val="24"/>
          <w:szCs w:val="24"/>
          <w:lang w:eastAsia="en-AU"/>
        </w:rPr>
        <w:t xml:space="preserve">It is a Hindu tradition where </w:t>
      </w:r>
      <w:r w:rsidR="00C902B7" w:rsidRPr="00222663">
        <w:rPr>
          <w:rFonts w:cstheme="minorHAnsi"/>
          <w:sz w:val="24"/>
          <w:szCs w:val="24"/>
          <w:lang w:eastAsia="en-AU"/>
        </w:rPr>
        <w:t>‘</w:t>
      </w:r>
      <w:r w:rsidR="00E06809" w:rsidRPr="00222663">
        <w:rPr>
          <w:rFonts w:cstheme="minorHAnsi"/>
          <w:sz w:val="24"/>
          <w:szCs w:val="24"/>
          <w:lang w:eastAsia="en-AU"/>
        </w:rPr>
        <w:t xml:space="preserve">women and girls </w:t>
      </w:r>
      <w:r w:rsidR="00912871" w:rsidRPr="00222663">
        <w:rPr>
          <w:rFonts w:cstheme="minorHAnsi"/>
          <w:sz w:val="24"/>
          <w:szCs w:val="24"/>
          <w:lang w:eastAsia="en-AU"/>
        </w:rPr>
        <w:t xml:space="preserve">are made to </w:t>
      </w:r>
      <w:r w:rsidR="00E06809" w:rsidRPr="00222663">
        <w:rPr>
          <w:rFonts w:cstheme="minorHAnsi"/>
          <w:sz w:val="24"/>
          <w:szCs w:val="24"/>
          <w:lang w:eastAsia="en-AU"/>
        </w:rPr>
        <w:t>sleep in small huts (</w:t>
      </w:r>
      <w:proofErr w:type="spellStart"/>
      <w:r w:rsidR="00E06809" w:rsidRPr="00222663">
        <w:rPr>
          <w:rFonts w:cstheme="minorHAnsi"/>
          <w:sz w:val="24"/>
          <w:szCs w:val="24"/>
          <w:lang w:eastAsia="en-AU"/>
        </w:rPr>
        <w:t>chhaugoth</w:t>
      </w:r>
      <w:proofErr w:type="spellEnd"/>
      <w:r w:rsidR="00E06809" w:rsidRPr="00222663">
        <w:rPr>
          <w:rFonts w:cstheme="minorHAnsi"/>
          <w:sz w:val="24"/>
          <w:szCs w:val="24"/>
          <w:lang w:eastAsia="en-AU"/>
        </w:rPr>
        <w:t>) or animal sheds during menstruation and immediately after child birth’</w:t>
      </w:r>
      <w:bookmarkStart w:id="5" w:name="_Hlk131618523"/>
      <w:r w:rsidR="00912871" w:rsidRPr="00222663">
        <w:rPr>
          <w:rFonts w:cstheme="minorHAnsi"/>
          <w:sz w:val="24"/>
          <w:szCs w:val="24"/>
          <w:lang w:eastAsia="en-AU"/>
        </w:rPr>
        <w:t xml:space="preserve"> (including sometimes with their new-born child)</w:t>
      </w:r>
      <w:bookmarkEnd w:id="5"/>
      <w:r w:rsidR="00912871" w:rsidRPr="00222663">
        <w:rPr>
          <w:rFonts w:cstheme="minorHAnsi"/>
          <w:sz w:val="24"/>
          <w:szCs w:val="24"/>
          <w:lang w:eastAsia="en-AU"/>
        </w:rPr>
        <w:t xml:space="preserve"> and are often exposed to dangerous </w:t>
      </w:r>
      <w:r w:rsidR="00912871" w:rsidRPr="00222663">
        <w:rPr>
          <w:rFonts w:cstheme="minorHAnsi"/>
          <w:sz w:val="24"/>
          <w:szCs w:val="24"/>
          <w:lang w:eastAsia="en-AU"/>
        </w:rPr>
        <w:lastRenderedPageBreak/>
        <w:t xml:space="preserve">weather conditions such as extreme cold and given limited food while in the </w:t>
      </w:r>
      <w:proofErr w:type="spellStart"/>
      <w:r w:rsidR="00912871" w:rsidRPr="00222663">
        <w:rPr>
          <w:rFonts w:cstheme="minorHAnsi"/>
          <w:sz w:val="24"/>
          <w:szCs w:val="24"/>
          <w:lang w:eastAsia="en-AU"/>
        </w:rPr>
        <w:t>chhaugoth</w:t>
      </w:r>
      <w:proofErr w:type="spellEnd"/>
      <w:r w:rsidR="00A324EF" w:rsidRPr="00222663">
        <w:rPr>
          <w:rFonts w:cstheme="minorHAnsi"/>
          <w:sz w:val="24"/>
          <w:szCs w:val="24"/>
          <w:lang w:eastAsia="en-AU"/>
        </w:rPr>
        <w:t>.</w:t>
      </w:r>
      <w:r w:rsidR="00912871" w:rsidRPr="00222663">
        <w:rPr>
          <w:rStyle w:val="FootnoteReference"/>
          <w:rFonts w:cstheme="minorHAnsi"/>
          <w:sz w:val="24"/>
          <w:szCs w:val="24"/>
        </w:rPr>
        <w:footnoteReference w:id="48"/>
      </w:r>
      <w:r w:rsidR="00912871" w:rsidRPr="00222663">
        <w:rPr>
          <w:rFonts w:cstheme="minorHAnsi"/>
          <w:sz w:val="24"/>
          <w:szCs w:val="24"/>
          <w:lang w:eastAsia="en-AU"/>
        </w:rPr>
        <w:t xml:space="preserve"> </w:t>
      </w:r>
      <w:r w:rsidR="00E06809" w:rsidRPr="00222663">
        <w:rPr>
          <w:rFonts w:cstheme="minorHAnsi"/>
          <w:sz w:val="24"/>
          <w:szCs w:val="24"/>
          <w:lang w:eastAsia="en-AU"/>
        </w:rPr>
        <w:t xml:space="preserve">Menstrual discrimination, including </w:t>
      </w:r>
      <w:proofErr w:type="spellStart"/>
      <w:r w:rsidR="001D5A02">
        <w:rPr>
          <w:rFonts w:cstheme="minorHAnsi"/>
          <w:sz w:val="24"/>
          <w:szCs w:val="24"/>
          <w:lang w:eastAsia="en-AU"/>
        </w:rPr>
        <w:t>c</w:t>
      </w:r>
      <w:r w:rsidR="00E06809" w:rsidRPr="00222663">
        <w:rPr>
          <w:rFonts w:cstheme="minorHAnsi"/>
          <w:sz w:val="24"/>
          <w:szCs w:val="24"/>
          <w:lang w:eastAsia="en-AU"/>
        </w:rPr>
        <w:t>hhaupadi</w:t>
      </w:r>
      <w:proofErr w:type="spellEnd"/>
      <w:r w:rsidR="00E06809" w:rsidRPr="00222663">
        <w:rPr>
          <w:rFonts w:cstheme="minorHAnsi"/>
          <w:sz w:val="24"/>
          <w:szCs w:val="24"/>
          <w:lang w:eastAsia="en-AU"/>
        </w:rPr>
        <w:t>, has been illegal in Nepal since 2005</w:t>
      </w:r>
      <w:r w:rsidR="006818C3">
        <w:rPr>
          <w:rFonts w:cstheme="minorHAnsi"/>
          <w:sz w:val="24"/>
          <w:szCs w:val="24"/>
          <w:lang w:eastAsia="en-AU"/>
        </w:rPr>
        <w:t>,</w:t>
      </w:r>
      <w:r w:rsidR="00E06809" w:rsidRPr="00222663">
        <w:rPr>
          <w:rFonts w:cstheme="minorHAnsi"/>
          <w:sz w:val="24"/>
          <w:szCs w:val="24"/>
          <w:lang w:eastAsia="en-AU"/>
        </w:rPr>
        <w:t xml:space="preserve"> but </w:t>
      </w:r>
      <w:r w:rsidR="006818C3">
        <w:rPr>
          <w:rFonts w:cstheme="minorHAnsi"/>
          <w:sz w:val="24"/>
          <w:szCs w:val="24"/>
          <w:lang w:eastAsia="en-AU"/>
        </w:rPr>
        <w:t xml:space="preserve">it </w:t>
      </w:r>
      <w:r w:rsidR="00E06809" w:rsidRPr="00222663">
        <w:rPr>
          <w:rFonts w:cstheme="minorHAnsi"/>
          <w:sz w:val="24"/>
          <w:szCs w:val="24"/>
          <w:lang w:eastAsia="en-AU"/>
        </w:rPr>
        <w:t>is still practi</w:t>
      </w:r>
      <w:r w:rsidR="001D5A02">
        <w:rPr>
          <w:rFonts w:cstheme="minorHAnsi"/>
          <w:sz w:val="24"/>
          <w:szCs w:val="24"/>
          <w:lang w:eastAsia="en-AU"/>
        </w:rPr>
        <w:t>s</w:t>
      </w:r>
      <w:r w:rsidR="00E06809" w:rsidRPr="00222663">
        <w:rPr>
          <w:rFonts w:cstheme="minorHAnsi"/>
          <w:sz w:val="24"/>
          <w:szCs w:val="24"/>
          <w:lang w:eastAsia="en-AU"/>
        </w:rPr>
        <w:t>ed.</w:t>
      </w:r>
      <w:r w:rsidR="00E06809" w:rsidRPr="00222663">
        <w:rPr>
          <w:rStyle w:val="FootnoteReference"/>
          <w:rFonts w:cstheme="minorHAnsi"/>
          <w:sz w:val="24"/>
          <w:szCs w:val="24"/>
        </w:rPr>
        <w:footnoteReference w:id="49"/>
      </w:r>
      <w:r w:rsidR="00E06809" w:rsidRPr="00222663">
        <w:rPr>
          <w:rFonts w:cstheme="minorHAnsi"/>
          <w:sz w:val="24"/>
          <w:szCs w:val="24"/>
          <w:lang w:eastAsia="en-AU"/>
        </w:rPr>
        <w:t xml:space="preserve"> </w:t>
      </w:r>
    </w:p>
    <w:p w14:paraId="2998F0A6" w14:textId="699A41B3" w:rsidR="003461DA" w:rsidRDefault="00271FE9" w:rsidP="00746A43">
      <w:pPr>
        <w:spacing w:line="360" w:lineRule="auto"/>
        <w:rPr>
          <w:rFonts w:cstheme="minorHAnsi"/>
          <w:sz w:val="24"/>
          <w:szCs w:val="24"/>
          <w:lang w:eastAsia="en-AU"/>
        </w:rPr>
      </w:pPr>
      <w:r w:rsidRPr="00222663">
        <w:rPr>
          <w:rFonts w:cstheme="minorHAnsi"/>
          <w:sz w:val="24"/>
          <w:szCs w:val="24"/>
        </w:rPr>
        <w:t>Child marriage is a</w:t>
      </w:r>
      <w:r w:rsidR="00626712" w:rsidRPr="00222663">
        <w:rPr>
          <w:rFonts w:cstheme="minorHAnsi"/>
          <w:sz w:val="24"/>
          <w:szCs w:val="24"/>
        </w:rPr>
        <w:t xml:space="preserve">nother </w:t>
      </w:r>
      <w:r w:rsidR="00BA3A49" w:rsidRPr="00222663">
        <w:rPr>
          <w:rFonts w:cstheme="minorHAnsi"/>
          <w:sz w:val="24"/>
          <w:szCs w:val="24"/>
        </w:rPr>
        <w:t xml:space="preserve">harmful </w:t>
      </w:r>
      <w:r w:rsidR="00626712" w:rsidRPr="00222663">
        <w:rPr>
          <w:rFonts w:cstheme="minorHAnsi"/>
          <w:sz w:val="24"/>
          <w:szCs w:val="24"/>
        </w:rPr>
        <w:t xml:space="preserve">practice with grave implications for girls. </w:t>
      </w:r>
      <w:r w:rsidR="0055526C" w:rsidRPr="00222663">
        <w:rPr>
          <w:rFonts w:cstheme="minorHAnsi"/>
          <w:sz w:val="24"/>
          <w:szCs w:val="24"/>
        </w:rPr>
        <w:t>Nepal has one of the highest rates of child marriage globally</w:t>
      </w:r>
      <w:r w:rsidR="00825F73" w:rsidRPr="00222663">
        <w:rPr>
          <w:rFonts w:cstheme="minorHAnsi"/>
          <w:sz w:val="24"/>
          <w:szCs w:val="24"/>
        </w:rPr>
        <w:t>,</w:t>
      </w:r>
      <w:r w:rsidR="0015648A" w:rsidRPr="00222663">
        <w:rPr>
          <w:rStyle w:val="FootnoteReference"/>
          <w:rFonts w:cstheme="minorHAnsi"/>
          <w:sz w:val="24"/>
          <w:szCs w:val="24"/>
        </w:rPr>
        <w:footnoteReference w:id="50"/>
      </w:r>
      <w:r w:rsidR="00BA3A49" w:rsidRPr="00222663">
        <w:rPr>
          <w:rFonts w:cstheme="minorHAnsi"/>
          <w:sz w:val="24"/>
          <w:szCs w:val="24"/>
        </w:rPr>
        <w:t xml:space="preserve"> despite </w:t>
      </w:r>
      <w:r w:rsidR="00825F73" w:rsidRPr="00222663">
        <w:rPr>
          <w:rFonts w:cstheme="minorHAnsi"/>
          <w:sz w:val="24"/>
          <w:szCs w:val="24"/>
        </w:rPr>
        <w:t xml:space="preserve">its </w:t>
      </w:r>
      <w:r w:rsidR="00BA3A49" w:rsidRPr="00222663">
        <w:rPr>
          <w:rFonts w:cstheme="minorHAnsi"/>
          <w:sz w:val="24"/>
          <w:szCs w:val="24"/>
        </w:rPr>
        <w:t xml:space="preserve">Constitution </w:t>
      </w:r>
      <w:r w:rsidR="00825F73" w:rsidRPr="00222663">
        <w:rPr>
          <w:rFonts w:cstheme="minorHAnsi"/>
          <w:sz w:val="24"/>
          <w:szCs w:val="24"/>
        </w:rPr>
        <w:t xml:space="preserve">providing </w:t>
      </w:r>
      <w:r w:rsidR="00157E2D">
        <w:rPr>
          <w:rFonts w:cstheme="minorHAnsi"/>
          <w:sz w:val="24"/>
          <w:szCs w:val="24"/>
        </w:rPr>
        <w:t xml:space="preserve">in Article 39(5) </w:t>
      </w:r>
      <w:r w:rsidR="00825F73" w:rsidRPr="00222663">
        <w:rPr>
          <w:rFonts w:cstheme="minorHAnsi"/>
          <w:sz w:val="24"/>
          <w:szCs w:val="24"/>
        </w:rPr>
        <w:t>that</w:t>
      </w:r>
      <w:r w:rsidR="00BA3A49" w:rsidRPr="00222663">
        <w:rPr>
          <w:rFonts w:cstheme="minorHAnsi"/>
          <w:sz w:val="24"/>
          <w:szCs w:val="24"/>
        </w:rPr>
        <w:t>: ‘No child shall be subjected to child marriage</w:t>
      </w:r>
      <w:r w:rsidR="00157E2D">
        <w:rPr>
          <w:rFonts w:cstheme="minorHAnsi"/>
          <w:sz w:val="24"/>
          <w:szCs w:val="24"/>
        </w:rPr>
        <w:t>.</w:t>
      </w:r>
      <w:r w:rsidR="00C7776B">
        <w:rPr>
          <w:rFonts w:cstheme="minorHAnsi"/>
          <w:sz w:val="24"/>
          <w:szCs w:val="24"/>
        </w:rPr>
        <w:t>’</w:t>
      </w:r>
      <w:r w:rsidR="00BA3A49" w:rsidRPr="00222663">
        <w:rPr>
          <w:rFonts w:cstheme="minorHAnsi"/>
          <w:sz w:val="24"/>
          <w:szCs w:val="24"/>
        </w:rPr>
        <w:t xml:space="preserve"> </w:t>
      </w:r>
      <w:r w:rsidR="0015648A" w:rsidRPr="00222663">
        <w:rPr>
          <w:rFonts w:cstheme="minorHAnsi"/>
          <w:sz w:val="24"/>
          <w:szCs w:val="24"/>
        </w:rPr>
        <w:t>T</w:t>
      </w:r>
      <w:r w:rsidR="0055526C" w:rsidRPr="00222663">
        <w:rPr>
          <w:rFonts w:cstheme="minorHAnsi"/>
          <w:sz w:val="24"/>
          <w:szCs w:val="24"/>
        </w:rPr>
        <w:t>he minimum age for marriage for males and females is 20</w:t>
      </w:r>
      <w:r w:rsidR="0066287A" w:rsidRPr="00222663">
        <w:rPr>
          <w:rFonts w:cstheme="minorHAnsi"/>
          <w:sz w:val="24"/>
          <w:szCs w:val="24"/>
        </w:rPr>
        <w:t xml:space="preserve"> </w:t>
      </w:r>
      <w:r w:rsidR="00C94553" w:rsidRPr="00222663">
        <w:rPr>
          <w:rFonts w:cstheme="minorHAnsi"/>
          <w:sz w:val="24"/>
          <w:szCs w:val="24"/>
        </w:rPr>
        <w:t>years-old</w:t>
      </w:r>
      <w:r w:rsidR="00C85BA8" w:rsidRPr="00222663">
        <w:rPr>
          <w:rFonts w:cstheme="minorHAnsi"/>
          <w:sz w:val="24"/>
          <w:szCs w:val="24"/>
        </w:rPr>
        <w:t>,</w:t>
      </w:r>
      <w:r w:rsidR="0055526C" w:rsidRPr="00222663">
        <w:rPr>
          <w:rFonts w:cstheme="minorHAnsi"/>
          <w:sz w:val="24"/>
          <w:szCs w:val="24"/>
        </w:rPr>
        <w:t xml:space="preserve"> however</w:t>
      </w:r>
      <w:r w:rsidR="00BA3A49" w:rsidRPr="00222663">
        <w:rPr>
          <w:rFonts w:cstheme="minorHAnsi"/>
          <w:sz w:val="24"/>
          <w:szCs w:val="24"/>
        </w:rPr>
        <w:t>,</w:t>
      </w:r>
      <w:r w:rsidR="0055526C" w:rsidRPr="00222663">
        <w:rPr>
          <w:rFonts w:cstheme="minorHAnsi"/>
          <w:sz w:val="24"/>
          <w:szCs w:val="24"/>
        </w:rPr>
        <w:t xml:space="preserve"> the UNCRC notes that ‘child marriage, especially of girls, remains prevalent in the State party</w:t>
      </w:r>
      <w:r w:rsidR="00C7776B">
        <w:rPr>
          <w:rFonts w:cstheme="minorHAnsi"/>
          <w:sz w:val="24"/>
          <w:szCs w:val="24"/>
        </w:rPr>
        <w:t>’</w:t>
      </w:r>
      <w:r w:rsidR="0055526C" w:rsidRPr="00222663">
        <w:rPr>
          <w:rFonts w:cstheme="minorHAnsi"/>
          <w:sz w:val="24"/>
          <w:szCs w:val="24"/>
        </w:rPr>
        <w:t>.</w:t>
      </w:r>
      <w:r w:rsidR="0055526C" w:rsidRPr="00222663">
        <w:rPr>
          <w:rStyle w:val="FootnoteReference"/>
          <w:rFonts w:cstheme="minorHAnsi"/>
          <w:sz w:val="24"/>
          <w:szCs w:val="24"/>
        </w:rPr>
        <w:footnoteReference w:id="51"/>
      </w:r>
      <w:r w:rsidR="0055526C" w:rsidRPr="00222663">
        <w:rPr>
          <w:rFonts w:cstheme="minorHAnsi"/>
          <w:sz w:val="24"/>
          <w:szCs w:val="24"/>
        </w:rPr>
        <w:t xml:space="preserve"> </w:t>
      </w:r>
      <w:r w:rsidR="00A57CD2" w:rsidRPr="00222663">
        <w:rPr>
          <w:rFonts w:cstheme="minorHAnsi"/>
          <w:sz w:val="24"/>
          <w:szCs w:val="24"/>
          <w:lang w:eastAsia="en-AU"/>
        </w:rPr>
        <w:t xml:space="preserve">The UNCRC urged the </w:t>
      </w:r>
      <w:r w:rsidR="00065785" w:rsidRPr="00222663">
        <w:rPr>
          <w:rFonts w:cstheme="minorHAnsi"/>
          <w:sz w:val="24"/>
          <w:szCs w:val="24"/>
          <w:lang w:eastAsia="en-AU"/>
        </w:rPr>
        <w:t>G</w:t>
      </w:r>
      <w:r w:rsidR="00A57CD2" w:rsidRPr="00222663">
        <w:rPr>
          <w:rFonts w:cstheme="minorHAnsi"/>
          <w:sz w:val="24"/>
          <w:szCs w:val="24"/>
          <w:lang w:eastAsia="en-AU"/>
        </w:rPr>
        <w:t xml:space="preserve">overnment of Nepal to take urgent action to ‘eradicate all traditional practices harmful to the physical and psychological well-being of children’ through awareness-raising programmes and law reform and that in doing so the government should ‘prioritise girls, particularly girls with disabilities, </w:t>
      </w:r>
      <w:r w:rsidR="005460B3" w:rsidRPr="00222663">
        <w:rPr>
          <w:rFonts w:cstheme="minorHAnsi"/>
          <w:sz w:val="24"/>
          <w:szCs w:val="24"/>
          <w:lang w:eastAsia="en-AU"/>
        </w:rPr>
        <w:t xml:space="preserve">[and] </w:t>
      </w:r>
      <w:r w:rsidR="00A57CD2" w:rsidRPr="00222663">
        <w:rPr>
          <w:rFonts w:cstheme="minorHAnsi"/>
          <w:sz w:val="24"/>
          <w:szCs w:val="24"/>
          <w:lang w:eastAsia="en-AU"/>
        </w:rPr>
        <w:t>girls living in rural areas</w:t>
      </w:r>
      <w:r w:rsidR="00C73B21">
        <w:rPr>
          <w:rFonts w:cstheme="minorHAnsi"/>
          <w:sz w:val="24"/>
          <w:szCs w:val="24"/>
          <w:lang w:eastAsia="en-AU"/>
        </w:rPr>
        <w:t>’</w:t>
      </w:r>
      <w:r w:rsidR="00A57CD2" w:rsidRPr="00222663">
        <w:rPr>
          <w:rFonts w:cstheme="minorHAnsi"/>
          <w:sz w:val="24"/>
          <w:szCs w:val="24"/>
          <w:lang w:eastAsia="en-AU"/>
        </w:rPr>
        <w:t>.</w:t>
      </w:r>
      <w:r w:rsidR="00A57CD2" w:rsidRPr="00222663">
        <w:rPr>
          <w:rStyle w:val="FootnoteReference"/>
          <w:rFonts w:cstheme="minorHAnsi"/>
          <w:sz w:val="24"/>
          <w:szCs w:val="24"/>
        </w:rPr>
        <w:footnoteReference w:id="52"/>
      </w:r>
      <w:r w:rsidR="00A57CD2" w:rsidRPr="00222663">
        <w:rPr>
          <w:rFonts w:cstheme="minorHAnsi"/>
          <w:sz w:val="24"/>
          <w:szCs w:val="24"/>
          <w:lang w:eastAsia="en-AU"/>
        </w:rPr>
        <w:t xml:space="preserve"> </w:t>
      </w:r>
    </w:p>
    <w:p w14:paraId="7049FC27" w14:textId="3E23D6CC" w:rsidR="00065785" w:rsidRPr="00222663" w:rsidRDefault="00A57CD2" w:rsidP="00746A43">
      <w:pPr>
        <w:spacing w:line="360" w:lineRule="auto"/>
        <w:rPr>
          <w:rFonts w:cstheme="minorHAnsi"/>
          <w:sz w:val="24"/>
          <w:szCs w:val="24"/>
          <w:lang w:eastAsia="en-AU"/>
        </w:rPr>
      </w:pPr>
      <w:r w:rsidRPr="00222663">
        <w:rPr>
          <w:rFonts w:cstheme="minorHAnsi"/>
          <w:sz w:val="24"/>
          <w:szCs w:val="24"/>
        </w:rPr>
        <w:t xml:space="preserve">Other forms of child abuse are </w:t>
      </w:r>
      <w:r w:rsidR="003461DA">
        <w:rPr>
          <w:rFonts w:cstheme="minorHAnsi"/>
          <w:sz w:val="24"/>
          <w:szCs w:val="24"/>
        </w:rPr>
        <w:t xml:space="preserve">also </w:t>
      </w:r>
      <w:r w:rsidRPr="00222663">
        <w:rPr>
          <w:rFonts w:cstheme="minorHAnsi"/>
          <w:sz w:val="24"/>
          <w:szCs w:val="24"/>
        </w:rPr>
        <w:t>problematic in Nepal, including the use of c</w:t>
      </w:r>
      <w:r w:rsidR="0055526C" w:rsidRPr="00222663">
        <w:rPr>
          <w:rFonts w:cstheme="minorHAnsi"/>
          <w:sz w:val="24"/>
          <w:szCs w:val="24"/>
        </w:rPr>
        <w:t>orporal punishment</w:t>
      </w:r>
      <w:r w:rsidRPr="00222663">
        <w:rPr>
          <w:rFonts w:cstheme="minorHAnsi"/>
          <w:sz w:val="24"/>
          <w:szCs w:val="24"/>
        </w:rPr>
        <w:t xml:space="preserve">. </w:t>
      </w:r>
      <w:r w:rsidR="007623CD" w:rsidRPr="00222663">
        <w:rPr>
          <w:rFonts w:cstheme="minorHAnsi"/>
          <w:sz w:val="24"/>
          <w:szCs w:val="24"/>
        </w:rPr>
        <w:t xml:space="preserve">Corporal punishment </w:t>
      </w:r>
      <w:r w:rsidRPr="00222663">
        <w:rPr>
          <w:rFonts w:cstheme="minorHAnsi"/>
          <w:sz w:val="24"/>
          <w:szCs w:val="24"/>
        </w:rPr>
        <w:t xml:space="preserve">is </w:t>
      </w:r>
      <w:r w:rsidR="0055526C" w:rsidRPr="00222663">
        <w:rPr>
          <w:rFonts w:cstheme="minorHAnsi"/>
          <w:sz w:val="24"/>
          <w:szCs w:val="24"/>
        </w:rPr>
        <w:t xml:space="preserve">prohibited under </w:t>
      </w:r>
      <w:r w:rsidR="004E2A39" w:rsidRPr="00222663">
        <w:rPr>
          <w:rFonts w:cstheme="minorHAnsi"/>
          <w:sz w:val="24"/>
          <w:szCs w:val="24"/>
        </w:rPr>
        <w:t>A</w:t>
      </w:r>
      <w:r w:rsidR="0055526C" w:rsidRPr="00222663">
        <w:rPr>
          <w:rFonts w:cstheme="minorHAnsi"/>
          <w:sz w:val="24"/>
          <w:szCs w:val="24"/>
        </w:rPr>
        <w:t>rticle 39(7) of the Constitution</w:t>
      </w:r>
      <w:r w:rsidR="00825F73" w:rsidRPr="00222663">
        <w:rPr>
          <w:rFonts w:cstheme="minorHAnsi"/>
          <w:sz w:val="24"/>
          <w:szCs w:val="24"/>
        </w:rPr>
        <w:t>;</w:t>
      </w:r>
      <w:r w:rsidR="0055526C" w:rsidRPr="00222663">
        <w:rPr>
          <w:rFonts w:cstheme="minorHAnsi"/>
          <w:sz w:val="24"/>
          <w:szCs w:val="24"/>
        </w:rPr>
        <w:t xml:space="preserve"> however, the UNCRC state</w:t>
      </w:r>
      <w:r w:rsidR="00116E0C" w:rsidRPr="00222663">
        <w:rPr>
          <w:rFonts w:cstheme="minorHAnsi"/>
          <w:sz w:val="24"/>
          <w:szCs w:val="24"/>
        </w:rPr>
        <w:t>s</w:t>
      </w:r>
      <w:r w:rsidRPr="00222663">
        <w:rPr>
          <w:rFonts w:cstheme="minorHAnsi"/>
          <w:sz w:val="24"/>
          <w:szCs w:val="24"/>
        </w:rPr>
        <w:t xml:space="preserve"> </w:t>
      </w:r>
      <w:r w:rsidR="0055526C" w:rsidRPr="00222663">
        <w:rPr>
          <w:rFonts w:cstheme="minorHAnsi"/>
          <w:sz w:val="24"/>
          <w:szCs w:val="24"/>
        </w:rPr>
        <w:t>that ‘corporal punishment is not explicitly prohibited in all legislation relating to children</w:t>
      </w:r>
      <w:r w:rsidR="00295765" w:rsidRPr="00222663">
        <w:rPr>
          <w:rFonts w:cstheme="minorHAnsi"/>
          <w:sz w:val="24"/>
          <w:szCs w:val="24"/>
        </w:rPr>
        <w:t>’</w:t>
      </w:r>
      <w:r w:rsidR="0055526C" w:rsidRPr="00222663">
        <w:rPr>
          <w:rFonts w:cstheme="minorHAnsi"/>
          <w:sz w:val="24"/>
          <w:szCs w:val="24"/>
        </w:rPr>
        <w:t>s rights, and that it remains prevalent at home, in schools and in other institutions and forms of childcare</w:t>
      </w:r>
      <w:r w:rsidR="003F6F67">
        <w:rPr>
          <w:rFonts w:cstheme="minorHAnsi"/>
          <w:sz w:val="24"/>
          <w:szCs w:val="24"/>
        </w:rPr>
        <w:t>’</w:t>
      </w:r>
      <w:r w:rsidR="0055526C" w:rsidRPr="00222663">
        <w:rPr>
          <w:rFonts w:cstheme="minorHAnsi"/>
          <w:sz w:val="24"/>
          <w:szCs w:val="24"/>
        </w:rPr>
        <w:t>.</w:t>
      </w:r>
      <w:r w:rsidR="0055526C" w:rsidRPr="00222663">
        <w:rPr>
          <w:rStyle w:val="FootnoteReference"/>
          <w:rFonts w:cstheme="minorHAnsi"/>
          <w:sz w:val="24"/>
          <w:szCs w:val="24"/>
        </w:rPr>
        <w:footnoteReference w:id="53"/>
      </w:r>
      <w:r w:rsidRPr="00222663">
        <w:rPr>
          <w:rFonts w:cstheme="minorHAnsi"/>
          <w:sz w:val="24"/>
          <w:szCs w:val="24"/>
        </w:rPr>
        <w:t xml:space="preserve"> </w:t>
      </w:r>
      <w:r w:rsidR="009D3372" w:rsidRPr="00222663">
        <w:rPr>
          <w:rFonts w:cstheme="minorHAnsi"/>
          <w:sz w:val="24"/>
          <w:szCs w:val="24"/>
          <w:lang w:eastAsia="en-AU"/>
        </w:rPr>
        <w:t xml:space="preserve">The UNCRC </w:t>
      </w:r>
      <w:r w:rsidR="007623CD" w:rsidRPr="00222663">
        <w:rPr>
          <w:rFonts w:cstheme="minorHAnsi"/>
          <w:sz w:val="24"/>
          <w:szCs w:val="24"/>
          <w:lang w:eastAsia="en-AU"/>
        </w:rPr>
        <w:t xml:space="preserve">has </w:t>
      </w:r>
      <w:r w:rsidR="002D37B1" w:rsidRPr="00222663">
        <w:rPr>
          <w:rFonts w:cstheme="minorHAnsi"/>
          <w:sz w:val="24"/>
          <w:szCs w:val="24"/>
          <w:lang w:eastAsia="en-AU"/>
        </w:rPr>
        <w:t>expressed</w:t>
      </w:r>
      <w:r w:rsidR="009D3372" w:rsidRPr="00222663">
        <w:rPr>
          <w:rFonts w:cstheme="minorHAnsi"/>
          <w:sz w:val="24"/>
          <w:szCs w:val="24"/>
          <w:lang w:eastAsia="en-AU"/>
        </w:rPr>
        <w:t xml:space="preserve"> concern </w:t>
      </w:r>
      <w:r w:rsidR="002D37B1" w:rsidRPr="00222663">
        <w:rPr>
          <w:rFonts w:cstheme="minorHAnsi"/>
          <w:sz w:val="24"/>
          <w:szCs w:val="24"/>
          <w:lang w:eastAsia="en-AU"/>
        </w:rPr>
        <w:t>about the prevalence of child abuse and neglect in Nepal</w:t>
      </w:r>
      <w:r w:rsidR="00116E0C" w:rsidRPr="00222663">
        <w:rPr>
          <w:rFonts w:cstheme="minorHAnsi"/>
          <w:sz w:val="24"/>
          <w:szCs w:val="24"/>
          <w:lang w:eastAsia="en-AU"/>
        </w:rPr>
        <w:t>,</w:t>
      </w:r>
      <w:r w:rsidR="002D37B1" w:rsidRPr="00222663">
        <w:rPr>
          <w:rFonts w:cstheme="minorHAnsi"/>
          <w:sz w:val="24"/>
          <w:szCs w:val="24"/>
          <w:lang w:eastAsia="en-AU"/>
        </w:rPr>
        <w:t xml:space="preserve"> noting ‘</w:t>
      </w:r>
      <w:r w:rsidR="009D3372" w:rsidRPr="00222663">
        <w:rPr>
          <w:rFonts w:cstheme="minorHAnsi"/>
          <w:sz w:val="24"/>
          <w:szCs w:val="24"/>
          <w:lang w:eastAsia="en-AU"/>
        </w:rPr>
        <w:t>the lack of laws addressing this situation, as well as the absence of effective and child-friendly reporting mechanisms for cases of abuse and/or neglect</w:t>
      </w:r>
      <w:r w:rsidR="00EC751F">
        <w:rPr>
          <w:rFonts w:cstheme="minorHAnsi"/>
          <w:sz w:val="24"/>
          <w:szCs w:val="24"/>
          <w:lang w:eastAsia="en-AU"/>
        </w:rPr>
        <w:t>’</w:t>
      </w:r>
      <w:r w:rsidR="009D3372" w:rsidRPr="00222663">
        <w:rPr>
          <w:rFonts w:cstheme="minorHAnsi"/>
          <w:sz w:val="24"/>
          <w:szCs w:val="24"/>
          <w:lang w:eastAsia="en-AU"/>
        </w:rPr>
        <w:t>.</w:t>
      </w:r>
      <w:r w:rsidR="009D3372" w:rsidRPr="00222663">
        <w:rPr>
          <w:rStyle w:val="FootnoteReference"/>
          <w:rFonts w:cstheme="minorHAnsi"/>
          <w:sz w:val="24"/>
          <w:szCs w:val="24"/>
        </w:rPr>
        <w:footnoteReference w:id="54"/>
      </w:r>
      <w:r w:rsidR="009D3372" w:rsidRPr="00222663">
        <w:rPr>
          <w:rFonts w:cstheme="minorHAnsi"/>
          <w:sz w:val="24"/>
          <w:szCs w:val="24"/>
          <w:lang w:eastAsia="en-AU"/>
        </w:rPr>
        <w:t xml:space="preserve"> </w:t>
      </w:r>
      <w:r w:rsidR="00271FE9" w:rsidRPr="00222663">
        <w:rPr>
          <w:rFonts w:cstheme="minorHAnsi"/>
          <w:sz w:val="24"/>
          <w:szCs w:val="24"/>
          <w:lang w:eastAsia="en-AU"/>
        </w:rPr>
        <w:t xml:space="preserve">In </w:t>
      </w:r>
      <w:r w:rsidR="009D3372" w:rsidRPr="00222663">
        <w:rPr>
          <w:rFonts w:cstheme="minorHAnsi"/>
          <w:sz w:val="24"/>
          <w:szCs w:val="24"/>
          <w:lang w:eastAsia="en-AU"/>
        </w:rPr>
        <w:t>line with the data gathered during this research</w:t>
      </w:r>
      <w:r w:rsidR="00295765" w:rsidRPr="00222663">
        <w:rPr>
          <w:rFonts w:cstheme="minorHAnsi"/>
          <w:sz w:val="24"/>
          <w:szCs w:val="24"/>
          <w:lang w:eastAsia="en-AU"/>
        </w:rPr>
        <w:t>,</w:t>
      </w:r>
      <w:r w:rsidR="009D3372" w:rsidRPr="00222663">
        <w:rPr>
          <w:rFonts w:cstheme="minorHAnsi"/>
          <w:sz w:val="24"/>
          <w:szCs w:val="24"/>
          <w:lang w:eastAsia="en-AU"/>
        </w:rPr>
        <w:t xml:space="preserve"> the UNCRC has </w:t>
      </w:r>
      <w:r w:rsidR="00613AE4" w:rsidRPr="00222663">
        <w:rPr>
          <w:rFonts w:cstheme="minorHAnsi"/>
          <w:sz w:val="24"/>
          <w:szCs w:val="24"/>
          <w:lang w:eastAsia="en-AU"/>
        </w:rPr>
        <w:t>expressed</w:t>
      </w:r>
      <w:r w:rsidR="009D3372" w:rsidRPr="00222663">
        <w:rPr>
          <w:rFonts w:cstheme="minorHAnsi"/>
          <w:sz w:val="24"/>
          <w:szCs w:val="24"/>
          <w:lang w:eastAsia="en-AU"/>
        </w:rPr>
        <w:t xml:space="preserve"> ‘grave concern’ about the severity of the food shortages in Nepal, </w:t>
      </w:r>
      <w:r w:rsidR="009D3372" w:rsidRPr="00222663">
        <w:rPr>
          <w:rFonts w:cstheme="minorHAnsi"/>
          <w:sz w:val="24"/>
          <w:szCs w:val="24"/>
          <w:lang w:eastAsia="en-AU"/>
        </w:rPr>
        <w:lastRenderedPageBreak/>
        <w:t>including that ‘almost 40 per cent of children below the age of 5 are suffering from malnourishment</w:t>
      </w:r>
      <w:r w:rsidR="00EC751F">
        <w:rPr>
          <w:rFonts w:cstheme="minorHAnsi"/>
          <w:sz w:val="24"/>
          <w:szCs w:val="24"/>
          <w:lang w:eastAsia="en-AU"/>
        </w:rPr>
        <w:t>’</w:t>
      </w:r>
      <w:r w:rsidR="009D3372" w:rsidRPr="00222663">
        <w:rPr>
          <w:rFonts w:cstheme="minorHAnsi"/>
          <w:sz w:val="24"/>
          <w:szCs w:val="24"/>
          <w:lang w:eastAsia="en-AU"/>
        </w:rPr>
        <w:t>.</w:t>
      </w:r>
      <w:r w:rsidR="009D3372" w:rsidRPr="00222663">
        <w:rPr>
          <w:rStyle w:val="FootnoteReference"/>
          <w:rFonts w:cstheme="minorHAnsi"/>
          <w:sz w:val="24"/>
          <w:szCs w:val="24"/>
        </w:rPr>
        <w:footnoteReference w:id="55"/>
      </w:r>
      <w:r w:rsidR="009D3372" w:rsidRPr="00222663">
        <w:rPr>
          <w:rFonts w:cstheme="minorHAnsi"/>
          <w:sz w:val="24"/>
          <w:szCs w:val="24"/>
          <w:lang w:eastAsia="en-AU"/>
        </w:rPr>
        <w:t xml:space="preserve"> </w:t>
      </w:r>
    </w:p>
    <w:p w14:paraId="709A0492" w14:textId="070A70CF" w:rsidR="008444BA" w:rsidRPr="00222663" w:rsidRDefault="00A57CD2" w:rsidP="00746A43">
      <w:pPr>
        <w:spacing w:after="0" w:line="360" w:lineRule="auto"/>
        <w:rPr>
          <w:rFonts w:cstheme="minorHAnsi"/>
          <w:sz w:val="24"/>
          <w:szCs w:val="24"/>
        </w:rPr>
      </w:pPr>
      <w:r w:rsidRPr="00222663">
        <w:rPr>
          <w:rFonts w:cstheme="minorHAnsi"/>
          <w:sz w:val="24"/>
          <w:szCs w:val="24"/>
        </w:rPr>
        <w:t>There are</w:t>
      </w:r>
      <w:r w:rsidR="00072A64" w:rsidRPr="00222663">
        <w:rPr>
          <w:rFonts w:cstheme="minorHAnsi"/>
          <w:sz w:val="24"/>
          <w:szCs w:val="24"/>
        </w:rPr>
        <w:t xml:space="preserve"> many</w:t>
      </w:r>
      <w:r w:rsidRPr="00222663">
        <w:rPr>
          <w:rFonts w:cstheme="minorHAnsi"/>
          <w:sz w:val="24"/>
          <w:szCs w:val="24"/>
        </w:rPr>
        <w:t xml:space="preserve"> children’s rights concerns in Nepal</w:t>
      </w:r>
      <w:r w:rsidR="00403963" w:rsidRPr="00222663">
        <w:rPr>
          <w:rFonts w:cstheme="minorHAnsi"/>
          <w:sz w:val="24"/>
          <w:szCs w:val="24"/>
        </w:rPr>
        <w:t xml:space="preserve">, </w:t>
      </w:r>
      <w:r w:rsidR="008A0744" w:rsidRPr="00222663">
        <w:rPr>
          <w:rFonts w:cstheme="minorHAnsi"/>
          <w:sz w:val="24"/>
          <w:szCs w:val="24"/>
        </w:rPr>
        <w:t xml:space="preserve">only some </w:t>
      </w:r>
      <w:r w:rsidR="00DF622A" w:rsidRPr="00222663">
        <w:rPr>
          <w:rFonts w:cstheme="minorHAnsi"/>
          <w:sz w:val="24"/>
          <w:szCs w:val="24"/>
        </w:rPr>
        <w:t>of</w:t>
      </w:r>
      <w:r w:rsidR="00403963" w:rsidRPr="00222663">
        <w:rPr>
          <w:rFonts w:cstheme="minorHAnsi"/>
          <w:sz w:val="24"/>
          <w:szCs w:val="24"/>
        </w:rPr>
        <w:t xml:space="preserve"> which</w:t>
      </w:r>
      <w:r w:rsidR="00DF622A" w:rsidRPr="00222663">
        <w:rPr>
          <w:rFonts w:cstheme="minorHAnsi"/>
          <w:sz w:val="24"/>
          <w:szCs w:val="24"/>
        </w:rPr>
        <w:t xml:space="preserve"> </w:t>
      </w:r>
      <w:r w:rsidR="008A0744" w:rsidRPr="00222663">
        <w:rPr>
          <w:rFonts w:cstheme="minorHAnsi"/>
          <w:sz w:val="24"/>
          <w:szCs w:val="24"/>
        </w:rPr>
        <w:t>are discussed in this paper</w:t>
      </w:r>
      <w:r w:rsidRPr="00222663">
        <w:rPr>
          <w:rFonts w:cstheme="minorHAnsi"/>
          <w:sz w:val="24"/>
          <w:szCs w:val="24"/>
        </w:rPr>
        <w:t xml:space="preserve">. </w:t>
      </w:r>
      <w:r w:rsidR="0015648A" w:rsidRPr="00222663">
        <w:rPr>
          <w:rFonts w:cstheme="minorHAnsi"/>
          <w:sz w:val="24"/>
          <w:szCs w:val="24"/>
        </w:rPr>
        <w:t>M</w:t>
      </w:r>
      <w:r w:rsidR="0015648A" w:rsidRPr="00222663">
        <w:rPr>
          <w:rFonts w:cstheme="minorHAnsi"/>
          <w:sz w:val="24"/>
          <w:szCs w:val="24"/>
          <w:lang w:eastAsia="en-AU"/>
        </w:rPr>
        <w:t>enstruation-related discrimination, child marriage</w:t>
      </w:r>
      <w:r w:rsidR="00885C53" w:rsidRPr="00222663">
        <w:rPr>
          <w:rFonts w:cstheme="minorHAnsi"/>
          <w:sz w:val="24"/>
          <w:szCs w:val="24"/>
          <w:lang w:eastAsia="en-AU"/>
        </w:rPr>
        <w:t xml:space="preserve">, child abuse </w:t>
      </w:r>
      <w:r w:rsidRPr="00222663">
        <w:rPr>
          <w:rFonts w:cstheme="minorHAnsi"/>
          <w:sz w:val="24"/>
          <w:szCs w:val="24"/>
          <w:lang w:eastAsia="en-AU"/>
        </w:rPr>
        <w:t>(including corporal punishment)</w:t>
      </w:r>
      <w:r w:rsidR="009F27ED" w:rsidRPr="00222663">
        <w:rPr>
          <w:rFonts w:cstheme="minorHAnsi"/>
          <w:sz w:val="24"/>
          <w:szCs w:val="24"/>
          <w:lang w:eastAsia="en-AU"/>
        </w:rPr>
        <w:t xml:space="preserve">, </w:t>
      </w:r>
      <w:r w:rsidR="00885C53" w:rsidRPr="00222663">
        <w:rPr>
          <w:rFonts w:cstheme="minorHAnsi"/>
          <w:sz w:val="24"/>
          <w:szCs w:val="24"/>
          <w:lang w:eastAsia="en-AU"/>
        </w:rPr>
        <w:t xml:space="preserve">neglect </w:t>
      </w:r>
      <w:r w:rsidR="009F27ED" w:rsidRPr="00222663">
        <w:rPr>
          <w:rFonts w:cstheme="minorHAnsi"/>
          <w:sz w:val="24"/>
          <w:szCs w:val="24"/>
          <w:lang w:eastAsia="en-AU"/>
        </w:rPr>
        <w:t>and</w:t>
      </w:r>
      <w:r w:rsidR="00885C53" w:rsidRPr="00222663">
        <w:rPr>
          <w:rFonts w:cstheme="minorHAnsi"/>
          <w:sz w:val="24"/>
          <w:szCs w:val="24"/>
          <w:lang w:eastAsia="en-AU"/>
        </w:rPr>
        <w:t xml:space="preserve"> malnutrition</w:t>
      </w:r>
      <w:r w:rsidR="0015648A" w:rsidRPr="00222663">
        <w:rPr>
          <w:rFonts w:cstheme="minorHAnsi"/>
          <w:sz w:val="24"/>
          <w:szCs w:val="24"/>
        </w:rPr>
        <w:t xml:space="preserve"> </w:t>
      </w:r>
      <w:r w:rsidR="00987F26" w:rsidRPr="00222663">
        <w:rPr>
          <w:rFonts w:cstheme="minorHAnsi"/>
          <w:sz w:val="24"/>
          <w:szCs w:val="24"/>
        </w:rPr>
        <w:t>are</w:t>
      </w:r>
      <w:r w:rsidR="00885C53" w:rsidRPr="00222663">
        <w:rPr>
          <w:rFonts w:cstheme="minorHAnsi"/>
          <w:sz w:val="24"/>
          <w:szCs w:val="24"/>
        </w:rPr>
        <w:t xml:space="preserve"> key children’s rights concerns</w:t>
      </w:r>
      <w:r w:rsidR="009F27ED" w:rsidRPr="00222663">
        <w:rPr>
          <w:rFonts w:cstheme="minorHAnsi"/>
          <w:sz w:val="24"/>
          <w:szCs w:val="24"/>
        </w:rPr>
        <w:t xml:space="preserve"> identified by participants in this research</w:t>
      </w:r>
      <w:r w:rsidR="00885C53" w:rsidRPr="00222663">
        <w:rPr>
          <w:rFonts w:cstheme="minorHAnsi"/>
          <w:sz w:val="24"/>
          <w:szCs w:val="24"/>
        </w:rPr>
        <w:t>. The UNCRC</w:t>
      </w:r>
      <w:r w:rsidR="00DF622A" w:rsidRPr="00222663">
        <w:rPr>
          <w:rFonts w:cstheme="minorHAnsi"/>
          <w:sz w:val="24"/>
          <w:szCs w:val="24"/>
        </w:rPr>
        <w:t xml:space="preserve"> </w:t>
      </w:r>
      <w:r w:rsidR="001F4D2F" w:rsidRPr="00222663">
        <w:rPr>
          <w:rFonts w:cstheme="minorHAnsi"/>
          <w:sz w:val="24"/>
          <w:szCs w:val="24"/>
        </w:rPr>
        <w:t xml:space="preserve">has </w:t>
      </w:r>
      <w:r w:rsidR="009F27ED" w:rsidRPr="00222663">
        <w:rPr>
          <w:rFonts w:cstheme="minorHAnsi"/>
          <w:sz w:val="24"/>
          <w:szCs w:val="24"/>
        </w:rPr>
        <w:t xml:space="preserve">identified </w:t>
      </w:r>
      <w:r w:rsidR="00885C53" w:rsidRPr="00222663">
        <w:rPr>
          <w:rFonts w:cstheme="minorHAnsi"/>
          <w:sz w:val="24"/>
          <w:szCs w:val="24"/>
        </w:rPr>
        <w:t xml:space="preserve">these rights breaches as </w:t>
      </w:r>
      <w:r w:rsidR="00065785" w:rsidRPr="00222663">
        <w:rPr>
          <w:rFonts w:cstheme="minorHAnsi"/>
          <w:sz w:val="24"/>
          <w:szCs w:val="24"/>
        </w:rPr>
        <w:t xml:space="preserve">critical </w:t>
      </w:r>
      <w:r w:rsidR="00885C53" w:rsidRPr="00222663">
        <w:rPr>
          <w:rFonts w:cstheme="minorHAnsi"/>
          <w:sz w:val="24"/>
          <w:szCs w:val="24"/>
        </w:rPr>
        <w:t xml:space="preserve">children’s rights concerns and </w:t>
      </w:r>
      <w:r w:rsidR="00F26281" w:rsidRPr="00222663">
        <w:rPr>
          <w:rFonts w:cstheme="minorHAnsi"/>
          <w:sz w:val="24"/>
          <w:szCs w:val="24"/>
        </w:rPr>
        <w:t xml:space="preserve">has </w:t>
      </w:r>
      <w:r w:rsidR="00885C53" w:rsidRPr="00222663">
        <w:rPr>
          <w:rFonts w:cstheme="minorHAnsi"/>
          <w:sz w:val="24"/>
          <w:szCs w:val="24"/>
        </w:rPr>
        <w:t xml:space="preserve">called </w:t>
      </w:r>
      <w:r w:rsidR="007623CD" w:rsidRPr="00222663">
        <w:rPr>
          <w:rFonts w:cstheme="minorHAnsi"/>
          <w:sz w:val="24"/>
          <w:szCs w:val="24"/>
        </w:rPr>
        <w:t xml:space="preserve">on </w:t>
      </w:r>
      <w:r w:rsidR="00885C53" w:rsidRPr="00222663">
        <w:rPr>
          <w:rFonts w:cstheme="minorHAnsi"/>
          <w:sz w:val="24"/>
          <w:szCs w:val="24"/>
        </w:rPr>
        <w:t xml:space="preserve">the </w:t>
      </w:r>
      <w:r w:rsidR="00065785" w:rsidRPr="00222663">
        <w:rPr>
          <w:rFonts w:cstheme="minorHAnsi"/>
          <w:sz w:val="24"/>
          <w:szCs w:val="24"/>
        </w:rPr>
        <w:t>G</w:t>
      </w:r>
      <w:r w:rsidR="00885C53" w:rsidRPr="00222663">
        <w:rPr>
          <w:rFonts w:cstheme="minorHAnsi"/>
          <w:sz w:val="24"/>
          <w:szCs w:val="24"/>
        </w:rPr>
        <w:t xml:space="preserve">overnment </w:t>
      </w:r>
      <w:r w:rsidR="00065785" w:rsidRPr="00222663">
        <w:rPr>
          <w:rFonts w:cstheme="minorHAnsi"/>
          <w:sz w:val="24"/>
          <w:szCs w:val="24"/>
        </w:rPr>
        <w:t xml:space="preserve">of Nepal </w:t>
      </w:r>
      <w:r w:rsidR="00885C53" w:rsidRPr="00222663">
        <w:rPr>
          <w:rFonts w:cstheme="minorHAnsi"/>
          <w:sz w:val="24"/>
          <w:szCs w:val="24"/>
        </w:rPr>
        <w:t>to urgently address the non-fulfillment of these rights.</w:t>
      </w:r>
      <w:r w:rsidR="000A735A" w:rsidRPr="00222663">
        <w:rPr>
          <w:rStyle w:val="FootnoteReference"/>
          <w:rFonts w:cstheme="minorHAnsi"/>
          <w:sz w:val="24"/>
          <w:szCs w:val="24"/>
        </w:rPr>
        <w:footnoteReference w:id="56"/>
      </w:r>
      <w:r w:rsidR="00403963" w:rsidRPr="00222663">
        <w:rPr>
          <w:rFonts w:cstheme="minorHAnsi"/>
          <w:sz w:val="24"/>
          <w:szCs w:val="24"/>
        </w:rPr>
        <w:t xml:space="preserve"> </w:t>
      </w:r>
      <w:r w:rsidR="00BA461A" w:rsidRPr="00222663">
        <w:rPr>
          <w:rFonts w:cstheme="minorHAnsi"/>
          <w:sz w:val="24"/>
          <w:szCs w:val="24"/>
        </w:rPr>
        <w:t xml:space="preserve">The </w:t>
      </w:r>
      <w:r w:rsidR="00251FFA" w:rsidRPr="00222663">
        <w:rPr>
          <w:rFonts w:cstheme="minorHAnsi"/>
          <w:sz w:val="24"/>
          <w:szCs w:val="24"/>
        </w:rPr>
        <w:t>remainder of this section</w:t>
      </w:r>
      <w:r w:rsidR="00BA461A" w:rsidRPr="00222663">
        <w:rPr>
          <w:rFonts w:cstheme="minorHAnsi"/>
          <w:sz w:val="24"/>
          <w:szCs w:val="24"/>
        </w:rPr>
        <w:t xml:space="preserve"> examines children’s and young people’s views about</w:t>
      </w:r>
      <w:r w:rsidR="008444BA" w:rsidRPr="00222663">
        <w:rPr>
          <w:rFonts w:cstheme="minorHAnsi"/>
          <w:sz w:val="24"/>
          <w:szCs w:val="24"/>
        </w:rPr>
        <w:t xml:space="preserve"> the</w:t>
      </w:r>
      <w:r w:rsidR="00403963" w:rsidRPr="00222663">
        <w:rPr>
          <w:rFonts w:cstheme="minorHAnsi"/>
          <w:sz w:val="24"/>
          <w:szCs w:val="24"/>
        </w:rPr>
        <w:t>se significant children’s rights concerns</w:t>
      </w:r>
      <w:r w:rsidR="00EA5351" w:rsidRPr="00222663">
        <w:rPr>
          <w:rFonts w:cstheme="minorHAnsi"/>
          <w:sz w:val="24"/>
          <w:szCs w:val="24"/>
        </w:rPr>
        <w:t xml:space="preserve"> as expressed during the field research</w:t>
      </w:r>
      <w:r w:rsidR="00251FFA" w:rsidRPr="00222663">
        <w:rPr>
          <w:rFonts w:cstheme="minorHAnsi"/>
          <w:sz w:val="24"/>
          <w:szCs w:val="24"/>
        </w:rPr>
        <w:t xml:space="preserve">. Participants’ views </w:t>
      </w:r>
      <w:r w:rsidR="00EA5351" w:rsidRPr="00222663">
        <w:rPr>
          <w:rFonts w:cstheme="minorHAnsi"/>
          <w:sz w:val="24"/>
          <w:szCs w:val="24"/>
        </w:rPr>
        <w:t xml:space="preserve">about the following three focus areas of the research are </w:t>
      </w:r>
      <w:r w:rsidR="00314E1C" w:rsidRPr="00222663">
        <w:rPr>
          <w:rFonts w:cstheme="minorHAnsi"/>
          <w:sz w:val="24"/>
          <w:szCs w:val="24"/>
        </w:rPr>
        <w:t xml:space="preserve">outlined </w:t>
      </w:r>
      <w:r w:rsidR="00EA5351" w:rsidRPr="00222663">
        <w:rPr>
          <w:rFonts w:cstheme="minorHAnsi"/>
          <w:sz w:val="24"/>
          <w:szCs w:val="24"/>
        </w:rPr>
        <w:t>below:</w:t>
      </w:r>
    </w:p>
    <w:p w14:paraId="54229D5E" w14:textId="7C62943A" w:rsidR="008444BA" w:rsidRPr="00222663" w:rsidRDefault="00314E1C" w:rsidP="00F0236D">
      <w:pPr>
        <w:pStyle w:val="ListParagraph"/>
        <w:numPr>
          <w:ilvl w:val="0"/>
          <w:numId w:val="40"/>
        </w:numPr>
        <w:spacing w:after="0" w:line="360" w:lineRule="auto"/>
        <w:ind w:left="993"/>
        <w:rPr>
          <w:rFonts w:cstheme="minorHAnsi"/>
          <w:sz w:val="24"/>
          <w:szCs w:val="24"/>
        </w:rPr>
      </w:pPr>
      <w:r w:rsidRPr="00222663">
        <w:rPr>
          <w:rFonts w:cstheme="minorHAnsi"/>
          <w:sz w:val="24"/>
          <w:szCs w:val="24"/>
        </w:rPr>
        <w:t xml:space="preserve">The </w:t>
      </w:r>
      <w:r w:rsidR="00FB0500">
        <w:rPr>
          <w:rFonts w:cstheme="minorHAnsi"/>
          <w:sz w:val="24"/>
          <w:szCs w:val="24"/>
        </w:rPr>
        <w:t>n</w:t>
      </w:r>
      <w:r w:rsidR="008444BA" w:rsidRPr="00222663">
        <w:rPr>
          <w:rFonts w:cstheme="minorHAnsi"/>
          <w:sz w:val="24"/>
          <w:szCs w:val="24"/>
        </w:rPr>
        <w:t xml:space="preserve">ature and </w:t>
      </w:r>
      <w:r w:rsidR="00FB0500">
        <w:rPr>
          <w:rFonts w:cstheme="minorHAnsi"/>
          <w:sz w:val="24"/>
          <w:szCs w:val="24"/>
        </w:rPr>
        <w:t>p</w:t>
      </w:r>
      <w:r w:rsidR="008444BA" w:rsidRPr="00222663">
        <w:rPr>
          <w:rFonts w:cstheme="minorHAnsi"/>
          <w:sz w:val="24"/>
          <w:szCs w:val="24"/>
        </w:rPr>
        <w:t xml:space="preserve">revalence of </w:t>
      </w:r>
      <w:r w:rsidR="00FB0500">
        <w:rPr>
          <w:rFonts w:cstheme="minorHAnsi"/>
          <w:sz w:val="24"/>
          <w:szCs w:val="24"/>
        </w:rPr>
        <w:t>g</w:t>
      </w:r>
      <w:r w:rsidR="008444BA" w:rsidRPr="00222663">
        <w:rPr>
          <w:rFonts w:cstheme="minorHAnsi"/>
          <w:sz w:val="24"/>
          <w:szCs w:val="24"/>
        </w:rPr>
        <w:t xml:space="preserve">irls’ </w:t>
      </w:r>
      <w:r w:rsidR="00FB0500">
        <w:rPr>
          <w:rFonts w:cstheme="minorHAnsi"/>
          <w:sz w:val="24"/>
          <w:szCs w:val="24"/>
        </w:rPr>
        <w:t>e</w:t>
      </w:r>
      <w:r w:rsidR="008444BA" w:rsidRPr="00222663">
        <w:rPr>
          <w:rFonts w:cstheme="minorHAnsi"/>
          <w:sz w:val="24"/>
          <w:szCs w:val="24"/>
        </w:rPr>
        <w:t xml:space="preserve">xperiences of </w:t>
      </w:r>
      <w:r w:rsidR="00FB0500">
        <w:rPr>
          <w:rFonts w:cstheme="minorHAnsi"/>
          <w:sz w:val="24"/>
          <w:szCs w:val="24"/>
        </w:rPr>
        <w:t>v</w:t>
      </w:r>
      <w:r w:rsidR="008444BA" w:rsidRPr="00222663">
        <w:rPr>
          <w:rFonts w:cstheme="minorHAnsi"/>
          <w:sz w:val="24"/>
          <w:szCs w:val="24"/>
        </w:rPr>
        <w:t xml:space="preserve">iolence and </w:t>
      </w:r>
      <w:proofErr w:type="gramStart"/>
      <w:r w:rsidR="00FB0500">
        <w:rPr>
          <w:rFonts w:cstheme="minorHAnsi"/>
          <w:sz w:val="24"/>
          <w:szCs w:val="24"/>
        </w:rPr>
        <w:t>d</w:t>
      </w:r>
      <w:r w:rsidR="008444BA" w:rsidRPr="00222663">
        <w:rPr>
          <w:rFonts w:cstheme="minorHAnsi"/>
          <w:sz w:val="24"/>
          <w:szCs w:val="24"/>
        </w:rPr>
        <w:t>iscrimination</w:t>
      </w:r>
      <w:r w:rsidR="00403963" w:rsidRPr="00222663">
        <w:rPr>
          <w:rFonts w:cstheme="minorHAnsi"/>
          <w:sz w:val="24"/>
          <w:szCs w:val="24"/>
        </w:rPr>
        <w:t>;</w:t>
      </w:r>
      <w:proofErr w:type="gramEnd"/>
    </w:p>
    <w:p w14:paraId="2CC3CE0E" w14:textId="3CCA154A" w:rsidR="008444BA" w:rsidRPr="00222663" w:rsidRDefault="008444BA" w:rsidP="00F0236D">
      <w:pPr>
        <w:pStyle w:val="ListParagraph"/>
        <w:numPr>
          <w:ilvl w:val="0"/>
          <w:numId w:val="40"/>
        </w:numPr>
        <w:spacing w:after="0" w:line="360" w:lineRule="auto"/>
        <w:ind w:left="993"/>
        <w:rPr>
          <w:rFonts w:cstheme="minorHAnsi"/>
          <w:sz w:val="24"/>
          <w:szCs w:val="24"/>
        </w:rPr>
      </w:pPr>
      <w:r w:rsidRPr="00222663">
        <w:rPr>
          <w:rFonts w:cstheme="minorHAnsi"/>
          <w:sz w:val="24"/>
          <w:szCs w:val="24"/>
        </w:rPr>
        <w:t xml:space="preserve">Definitions of </w:t>
      </w:r>
      <w:r w:rsidR="00FB0500">
        <w:rPr>
          <w:rFonts w:cstheme="minorHAnsi"/>
          <w:sz w:val="24"/>
          <w:szCs w:val="24"/>
        </w:rPr>
        <w:t>v</w:t>
      </w:r>
      <w:r w:rsidRPr="00222663">
        <w:rPr>
          <w:rFonts w:cstheme="minorHAnsi"/>
          <w:sz w:val="24"/>
          <w:szCs w:val="24"/>
        </w:rPr>
        <w:t xml:space="preserve">iolence, </w:t>
      </w:r>
      <w:r w:rsidR="00FB0500">
        <w:rPr>
          <w:rFonts w:cstheme="minorHAnsi"/>
          <w:sz w:val="24"/>
          <w:szCs w:val="24"/>
        </w:rPr>
        <w:t>k</w:t>
      </w:r>
      <w:r w:rsidRPr="00222663">
        <w:rPr>
          <w:rFonts w:cstheme="minorHAnsi"/>
          <w:sz w:val="24"/>
          <w:szCs w:val="24"/>
        </w:rPr>
        <w:t xml:space="preserve">nowledge about </w:t>
      </w:r>
      <w:r w:rsidR="00FB0500">
        <w:rPr>
          <w:rFonts w:cstheme="minorHAnsi"/>
          <w:sz w:val="24"/>
          <w:szCs w:val="24"/>
        </w:rPr>
        <w:t>l</w:t>
      </w:r>
      <w:r w:rsidRPr="00222663">
        <w:rPr>
          <w:rFonts w:cstheme="minorHAnsi"/>
          <w:sz w:val="24"/>
          <w:szCs w:val="24"/>
        </w:rPr>
        <w:t xml:space="preserve">aws and </w:t>
      </w:r>
      <w:r w:rsidR="00FB0500">
        <w:rPr>
          <w:rFonts w:cstheme="minorHAnsi"/>
          <w:sz w:val="24"/>
          <w:szCs w:val="24"/>
        </w:rPr>
        <w:t>p</w:t>
      </w:r>
      <w:r w:rsidRPr="00222663">
        <w:rPr>
          <w:rFonts w:cstheme="minorHAnsi"/>
          <w:sz w:val="24"/>
          <w:szCs w:val="24"/>
        </w:rPr>
        <w:t>olicies</w:t>
      </w:r>
      <w:r w:rsidR="00FB0500">
        <w:rPr>
          <w:rFonts w:cstheme="minorHAnsi"/>
          <w:sz w:val="24"/>
          <w:szCs w:val="24"/>
        </w:rPr>
        <w:t>,</w:t>
      </w:r>
      <w:r w:rsidRPr="00222663">
        <w:rPr>
          <w:rFonts w:cstheme="minorHAnsi"/>
          <w:sz w:val="24"/>
          <w:szCs w:val="24"/>
        </w:rPr>
        <w:t xml:space="preserve"> and </w:t>
      </w:r>
      <w:r w:rsidR="00F12D11">
        <w:rPr>
          <w:rFonts w:cstheme="minorHAnsi"/>
          <w:sz w:val="24"/>
          <w:szCs w:val="24"/>
        </w:rPr>
        <w:t>e</w:t>
      </w:r>
      <w:r w:rsidRPr="00222663">
        <w:rPr>
          <w:rFonts w:cstheme="minorHAnsi"/>
          <w:sz w:val="24"/>
          <w:szCs w:val="24"/>
        </w:rPr>
        <w:t>nforcement</w:t>
      </w:r>
      <w:r w:rsidR="00403963" w:rsidRPr="00222663">
        <w:rPr>
          <w:rFonts w:cstheme="minorHAnsi"/>
          <w:sz w:val="24"/>
          <w:szCs w:val="24"/>
        </w:rPr>
        <w:t>;</w:t>
      </w:r>
      <w:r w:rsidRPr="00222663">
        <w:rPr>
          <w:rFonts w:cstheme="minorHAnsi"/>
          <w:sz w:val="24"/>
          <w:szCs w:val="24"/>
        </w:rPr>
        <w:t xml:space="preserve"> and </w:t>
      </w:r>
    </w:p>
    <w:p w14:paraId="53045533" w14:textId="533B0DA8" w:rsidR="008A0744" w:rsidRPr="00222663" w:rsidRDefault="008444BA" w:rsidP="00F0236D">
      <w:pPr>
        <w:pStyle w:val="ListParagraph"/>
        <w:numPr>
          <w:ilvl w:val="0"/>
          <w:numId w:val="40"/>
        </w:numPr>
        <w:spacing w:after="0" w:line="360" w:lineRule="auto"/>
        <w:ind w:left="993"/>
        <w:rPr>
          <w:rFonts w:cstheme="minorHAnsi"/>
          <w:sz w:val="24"/>
          <w:szCs w:val="24"/>
        </w:rPr>
      </w:pPr>
      <w:r w:rsidRPr="00222663">
        <w:rPr>
          <w:rFonts w:cstheme="minorHAnsi"/>
          <w:sz w:val="24"/>
          <w:szCs w:val="24"/>
        </w:rPr>
        <w:t xml:space="preserve">Barriers to </w:t>
      </w:r>
      <w:r w:rsidR="00FB0500">
        <w:rPr>
          <w:rFonts w:cstheme="minorHAnsi"/>
          <w:sz w:val="24"/>
          <w:szCs w:val="24"/>
        </w:rPr>
        <w:t>e</w:t>
      </w:r>
      <w:r w:rsidRPr="00222663">
        <w:rPr>
          <w:rFonts w:cstheme="minorHAnsi"/>
          <w:sz w:val="24"/>
          <w:szCs w:val="24"/>
        </w:rPr>
        <w:t xml:space="preserve">nding </w:t>
      </w:r>
      <w:r w:rsidR="00FB0500">
        <w:rPr>
          <w:rFonts w:cstheme="minorHAnsi"/>
          <w:sz w:val="24"/>
          <w:szCs w:val="24"/>
        </w:rPr>
        <w:t>v</w:t>
      </w:r>
      <w:r w:rsidRPr="00222663">
        <w:rPr>
          <w:rFonts w:cstheme="minorHAnsi"/>
          <w:sz w:val="24"/>
          <w:szCs w:val="24"/>
        </w:rPr>
        <w:t xml:space="preserve">iolence and </w:t>
      </w:r>
      <w:r w:rsidR="00FB0500">
        <w:rPr>
          <w:rFonts w:cstheme="minorHAnsi"/>
          <w:sz w:val="24"/>
          <w:szCs w:val="24"/>
        </w:rPr>
        <w:t>d</w:t>
      </w:r>
      <w:r w:rsidRPr="00222663">
        <w:rPr>
          <w:rFonts w:cstheme="minorHAnsi"/>
          <w:sz w:val="24"/>
          <w:szCs w:val="24"/>
        </w:rPr>
        <w:t xml:space="preserve">iscrimination </w:t>
      </w:r>
      <w:r w:rsidR="00FB0500">
        <w:rPr>
          <w:rFonts w:cstheme="minorHAnsi"/>
          <w:sz w:val="24"/>
          <w:szCs w:val="24"/>
        </w:rPr>
        <w:t>a</w:t>
      </w:r>
      <w:r w:rsidRPr="00222663">
        <w:rPr>
          <w:rFonts w:cstheme="minorHAnsi"/>
          <w:sz w:val="24"/>
          <w:szCs w:val="24"/>
        </w:rPr>
        <w:t xml:space="preserve">gainst </w:t>
      </w:r>
      <w:r w:rsidR="00FB0500">
        <w:rPr>
          <w:rFonts w:cstheme="minorHAnsi"/>
          <w:sz w:val="24"/>
          <w:szCs w:val="24"/>
        </w:rPr>
        <w:t>g</w:t>
      </w:r>
      <w:r w:rsidRPr="00222663">
        <w:rPr>
          <w:rFonts w:cstheme="minorHAnsi"/>
          <w:sz w:val="24"/>
          <w:szCs w:val="24"/>
        </w:rPr>
        <w:t xml:space="preserve">irls and </w:t>
      </w:r>
      <w:r w:rsidR="00FB0500">
        <w:rPr>
          <w:rFonts w:cstheme="minorHAnsi"/>
          <w:sz w:val="24"/>
          <w:szCs w:val="24"/>
        </w:rPr>
        <w:t>i</w:t>
      </w:r>
      <w:r w:rsidRPr="00222663">
        <w:rPr>
          <w:rFonts w:cstheme="minorHAnsi"/>
          <w:sz w:val="24"/>
          <w:szCs w:val="24"/>
        </w:rPr>
        <w:t xml:space="preserve">deas for </w:t>
      </w:r>
      <w:r w:rsidR="00FB0500">
        <w:rPr>
          <w:rFonts w:cstheme="minorHAnsi"/>
          <w:sz w:val="24"/>
          <w:szCs w:val="24"/>
        </w:rPr>
        <w:t>r</w:t>
      </w:r>
      <w:r w:rsidRPr="00222663">
        <w:rPr>
          <w:rFonts w:cstheme="minorHAnsi"/>
          <w:sz w:val="24"/>
          <w:szCs w:val="24"/>
        </w:rPr>
        <w:t>eform</w:t>
      </w:r>
      <w:r w:rsidR="00403963" w:rsidRPr="00222663">
        <w:rPr>
          <w:rFonts w:cstheme="minorHAnsi"/>
          <w:sz w:val="24"/>
          <w:szCs w:val="24"/>
        </w:rPr>
        <w:t xml:space="preserve">. </w:t>
      </w:r>
    </w:p>
    <w:p w14:paraId="1F0FC65F" w14:textId="77777777" w:rsidR="008444BA" w:rsidRPr="00222663" w:rsidRDefault="008444BA" w:rsidP="006B7D91">
      <w:pPr>
        <w:spacing w:after="0" w:line="360" w:lineRule="auto"/>
        <w:rPr>
          <w:rFonts w:cstheme="minorHAnsi"/>
          <w:sz w:val="24"/>
          <w:szCs w:val="24"/>
        </w:rPr>
      </w:pPr>
    </w:p>
    <w:p w14:paraId="26F3D0FD" w14:textId="58BBFCAB" w:rsidR="009F27ED" w:rsidRPr="00D45020" w:rsidRDefault="00DF622A" w:rsidP="001710E2">
      <w:pPr>
        <w:pStyle w:val="Heading2"/>
      </w:pPr>
      <w:r w:rsidRPr="00D45020">
        <w:t xml:space="preserve">Nature and </w:t>
      </w:r>
      <w:r w:rsidR="00E2169B" w:rsidRPr="00D45020">
        <w:t>P</w:t>
      </w:r>
      <w:r w:rsidRPr="00D45020">
        <w:t xml:space="preserve">revalence of Girls’ Experiences of Violence and Discrimination </w:t>
      </w:r>
    </w:p>
    <w:p w14:paraId="7499210D" w14:textId="1441CAD1" w:rsidR="00BA2118" w:rsidRPr="00222663" w:rsidRDefault="00BA2118" w:rsidP="00F55470">
      <w:pPr>
        <w:spacing w:line="360" w:lineRule="auto"/>
        <w:rPr>
          <w:rFonts w:cstheme="minorHAnsi"/>
          <w:sz w:val="24"/>
          <w:szCs w:val="24"/>
          <w:lang w:eastAsia="en-AU"/>
        </w:rPr>
      </w:pPr>
      <w:r w:rsidRPr="00222663">
        <w:rPr>
          <w:rFonts w:cstheme="minorHAnsi"/>
          <w:sz w:val="24"/>
          <w:szCs w:val="24"/>
          <w:lang w:eastAsia="en-AU"/>
        </w:rPr>
        <w:t>Children and young people involved in this study shared their views about the nature and prevalence of girls’ experiences of violence and discrimination in Nepal. All participants said that violence and discrimination against girls occur in all settings (home, street, school, community and online) and that this is a significant and endemic problem in Nepal.</w:t>
      </w:r>
      <w:r w:rsidR="00E41203" w:rsidRPr="00222663">
        <w:rPr>
          <w:rFonts w:cstheme="minorHAnsi"/>
          <w:sz w:val="24"/>
          <w:szCs w:val="24"/>
          <w:lang w:eastAsia="en-AU"/>
        </w:rPr>
        <w:t xml:space="preserve"> Th</w:t>
      </w:r>
      <w:r w:rsidRPr="00222663">
        <w:rPr>
          <w:rFonts w:cstheme="minorHAnsi"/>
          <w:sz w:val="24"/>
          <w:szCs w:val="24"/>
          <w:lang w:eastAsia="en-AU"/>
        </w:rPr>
        <w:t>e younger cohort in this study (children aged 9–11</w:t>
      </w:r>
      <w:r w:rsidR="00E2169B" w:rsidRPr="00222663">
        <w:rPr>
          <w:rFonts w:cstheme="minorHAnsi"/>
          <w:sz w:val="24"/>
          <w:szCs w:val="24"/>
          <w:lang w:eastAsia="en-AU"/>
        </w:rPr>
        <w:t xml:space="preserve"> </w:t>
      </w:r>
      <w:r w:rsidRPr="00222663">
        <w:rPr>
          <w:rFonts w:cstheme="minorHAnsi"/>
          <w:sz w:val="24"/>
          <w:szCs w:val="24"/>
          <w:lang w:eastAsia="en-AU"/>
        </w:rPr>
        <w:t>years</w:t>
      </w:r>
      <w:r w:rsidR="00C94553" w:rsidRPr="00222663">
        <w:rPr>
          <w:rFonts w:cstheme="minorHAnsi"/>
          <w:sz w:val="24"/>
          <w:szCs w:val="24"/>
          <w:lang w:eastAsia="en-AU"/>
        </w:rPr>
        <w:t>-</w:t>
      </w:r>
      <w:r w:rsidRPr="00222663">
        <w:rPr>
          <w:rFonts w:cstheme="minorHAnsi"/>
          <w:sz w:val="24"/>
          <w:szCs w:val="24"/>
          <w:lang w:eastAsia="en-AU"/>
        </w:rPr>
        <w:t xml:space="preserve">old) defined violence and discrimination against girls primarily in relation </w:t>
      </w:r>
      <w:r w:rsidR="0072073E" w:rsidRPr="00222663">
        <w:rPr>
          <w:rFonts w:cstheme="minorHAnsi"/>
          <w:sz w:val="24"/>
          <w:szCs w:val="24"/>
          <w:lang w:eastAsia="en-AU"/>
        </w:rPr>
        <w:t xml:space="preserve">to </w:t>
      </w:r>
      <w:r w:rsidRPr="00222663">
        <w:rPr>
          <w:rFonts w:cstheme="minorHAnsi"/>
          <w:sz w:val="24"/>
          <w:szCs w:val="24"/>
          <w:lang w:eastAsia="en-AU"/>
        </w:rPr>
        <w:t>harassment, neglect</w:t>
      </w:r>
      <w:r w:rsidR="0072073E" w:rsidRPr="00222663">
        <w:rPr>
          <w:rFonts w:cstheme="minorHAnsi"/>
          <w:sz w:val="24"/>
          <w:szCs w:val="24"/>
          <w:lang w:eastAsia="en-AU"/>
        </w:rPr>
        <w:t>,</w:t>
      </w:r>
      <w:r w:rsidRPr="00222663">
        <w:rPr>
          <w:rFonts w:cstheme="minorHAnsi"/>
          <w:sz w:val="24"/>
          <w:szCs w:val="24"/>
          <w:lang w:eastAsia="en-AU"/>
        </w:rPr>
        <w:t xml:space="preserve"> and inequality of access to food and education in comparison to boys. </w:t>
      </w:r>
      <w:r w:rsidR="00DF622A" w:rsidRPr="00222663">
        <w:rPr>
          <w:rFonts w:cstheme="minorHAnsi"/>
          <w:sz w:val="24"/>
          <w:szCs w:val="24"/>
          <w:lang w:eastAsia="en-AU"/>
        </w:rPr>
        <w:t xml:space="preserve">The </w:t>
      </w:r>
      <w:r w:rsidRPr="00222663">
        <w:rPr>
          <w:rFonts w:cstheme="minorHAnsi"/>
          <w:sz w:val="24"/>
          <w:szCs w:val="24"/>
          <w:lang w:eastAsia="en-AU"/>
        </w:rPr>
        <w:t xml:space="preserve">younger children rarely referred to sexualised violence and abuse of girls, </w:t>
      </w:r>
      <w:r w:rsidR="00DF622A" w:rsidRPr="00222663">
        <w:rPr>
          <w:rFonts w:cstheme="minorHAnsi"/>
          <w:sz w:val="24"/>
          <w:szCs w:val="24"/>
          <w:lang w:eastAsia="en-AU"/>
        </w:rPr>
        <w:t xml:space="preserve">however, </w:t>
      </w:r>
      <w:r w:rsidRPr="00222663">
        <w:rPr>
          <w:rFonts w:cstheme="minorHAnsi"/>
          <w:sz w:val="24"/>
          <w:szCs w:val="24"/>
          <w:lang w:eastAsia="en-AU"/>
        </w:rPr>
        <w:t xml:space="preserve">they did speak about pervasive street harassment of girls, </w:t>
      </w:r>
      <w:r w:rsidR="00B72D15" w:rsidRPr="00222663">
        <w:rPr>
          <w:rFonts w:cstheme="minorHAnsi"/>
          <w:sz w:val="24"/>
          <w:szCs w:val="24"/>
          <w:lang w:eastAsia="en-AU"/>
        </w:rPr>
        <w:t xml:space="preserve">yet </w:t>
      </w:r>
      <w:r w:rsidRPr="00222663">
        <w:rPr>
          <w:rFonts w:cstheme="minorHAnsi"/>
          <w:sz w:val="24"/>
          <w:szCs w:val="24"/>
          <w:lang w:eastAsia="en-AU"/>
        </w:rPr>
        <w:t xml:space="preserve">not in ways that indicated they were referring to </w:t>
      </w:r>
      <w:r w:rsidRPr="00222663">
        <w:rPr>
          <w:rFonts w:cstheme="minorHAnsi"/>
          <w:i/>
          <w:iCs/>
          <w:sz w:val="24"/>
          <w:szCs w:val="24"/>
          <w:lang w:eastAsia="en-AU"/>
        </w:rPr>
        <w:t>sexualised</w:t>
      </w:r>
      <w:r w:rsidRPr="00222663">
        <w:rPr>
          <w:rFonts w:cstheme="minorHAnsi"/>
          <w:sz w:val="24"/>
          <w:szCs w:val="24"/>
          <w:lang w:eastAsia="en-AU"/>
        </w:rPr>
        <w:t xml:space="preserve"> street harassment. This could be because the younger group of participants did not feel comfortable expressing these ideas and/or did not know how to do so. It could also indicate that young girls experience sexualised street harassment to a lesser degree than adolescent girls. This </w:t>
      </w:r>
      <w:r w:rsidRPr="00222663">
        <w:rPr>
          <w:rFonts w:cstheme="minorHAnsi"/>
          <w:sz w:val="24"/>
          <w:szCs w:val="24"/>
          <w:lang w:eastAsia="en-AU"/>
        </w:rPr>
        <w:lastRenderedPageBreak/>
        <w:t>conclusion accords with scholarship that suggests that men and adolescent boys sexually harass adolescent girls on the street more than they do pre-pubescent girls.</w:t>
      </w:r>
      <w:r w:rsidRPr="00222663">
        <w:rPr>
          <w:rStyle w:val="FootnoteReference"/>
          <w:rFonts w:cstheme="minorHAnsi"/>
          <w:sz w:val="24"/>
          <w:szCs w:val="24"/>
          <w:lang w:eastAsia="en-AU"/>
        </w:rPr>
        <w:footnoteReference w:id="57"/>
      </w:r>
      <w:r w:rsidR="004E1263" w:rsidRPr="00222663">
        <w:rPr>
          <w:rFonts w:cstheme="minorHAnsi"/>
          <w:sz w:val="24"/>
          <w:szCs w:val="24"/>
          <w:lang w:eastAsia="en-AU"/>
        </w:rPr>
        <w:t xml:space="preserve"> </w:t>
      </w:r>
      <w:r w:rsidRPr="00222663">
        <w:rPr>
          <w:rFonts w:cstheme="minorHAnsi"/>
          <w:sz w:val="24"/>
          <w:szCs w:val="24"/>
          <w:lang w:eastAsia="en-AU"/>
        </w:rPr>
        <w:t>In contrast, adolescent males and females in the older cohort spoke frequently about the widespread and sexualised nature of violence and discrimination against girls in Nepal. Like the younger cohort</w:t>
      </w:r>
      <w:r w:rsidR="00E5544D" w:rsidRPr="00222663">
        <w:rPr>
          <w:rFonts w:cstheme="minorHAnsi"/>
          <w:sz w:val="24"/>
          <w:szCs w:val="24"/>
          <w:lang w:eastAsia="en-AU"/>
        </w:rPr>
        <w:t>,</w:t>
      </w:r>
      <w:r w:rsidRPr="00222663">
        <w:rPr>
          <w:rFonts w:cstheme="minorHAnsi"/>
          <w:sz w:val="24"/>
          <w:szCs w:val="24"/>
          <w:lang w:eastAsia="en-AU"/>
        </w:rPr>
        <w:t xml:space="preserve"> older participants also characterised violence and discrimination against girls as encompassing preferential treatment of boys over girls in relation to access to food in the home and access to education when compared to boys</w:t>
      </w:r>
      <w:r w:rsidR="00E5544D" w:rsidRPr="00222663">
        <w:rPr>
          <w:rFonts w:cstheme="minorHAnsi"/>
          <w:sz w:val="24"/>
          <w:szCs w:val="24"/>
          <w:lang w:eastAsia="en-AU"/>
        </w:rPr>
        <w:t>,</w:t>
      </w:r>
      <w:r w:rsidRPr="00222663">
        <w:rPr>
          <w:rFonts w:cstheme="minorHAnsi"/>
          <w:sz w:val="24"/>
          <w:szCs w:val="24"/>
          <w:lang w:eastAsia="en-AU"/>
        </w:rPr>
        <w:t xml:space="preserve"> but also detailed how girls regularly experience sexualised harassment on the street. Some participants, in both cohorts, also referred to girls experiencing harassment when visitors came to </w:t>
      </w:r>
      <w:r w:rsidR="007409B1" w:rsidRPr="00222663">
        <w:rPr>
          <w:rFonts w:cstheme="minorHAnsi"/>
          <w:sz w:val="24"/>
          <w:szCs w:val="24"/>
          <w:lang w:eastAsia="en-AU"/>
        </w:rPr>
        <w:t>their</w:t>
      </w:r>
      <w:r w:rsidRPr="00222663">
        <w:rPr>
          <w:rFonts w:cstheme="minorHAnsi"/>
          <w:sz w:val="24"/>
          <w:szCs w:val="24"/>
          <w:lang w:eastAsia="en-AU"/>
        </w:rPr>
        <w:t xml:space="preserve"> homes. </w:t>
      </w:r>
    </w:p>
    <w:p w14:paraId="5FD76C35" w14:textId="46A44BE8" w:rsidR="00BA2118" w:rsidRPr="00222663" w:rsidRDefault="00BA2118" w:rsidP="00185643">
      <w:pPr>
        <w:spacing w:line="360" w:lineRule="auto"/>
        <w:rPr>
          <w:rFonts w:cstheme="minorHAnsi"/>
          <w:sz w:val="24"/>
          <w:szCs w:val="24"/>
          <w:lang w:eastAsia="en-AU"/>
        </w:rPr>
      </w:pPr>
      <w:r w:rsidRPr="00222663">
        <w:rPr>
          <w:rFonts w:cstheme="minorHAnsi"/>
          <w:sz w:val="24"/>
          <w:szCs w:val="24"/>
          <w:lang w:eastAsia="en-AU"/>
        </w:rPr>
        <w:t xml:space="preserve">All participants said girls experience verbal harassment daily and repeatedly in public places, </w:t>
      </w:r>
      <w:r w:rsidR="00065785" w:rsidRPr="00222663">
        <w:rPr>
          <w:rFonts w:cstheme="minorHAnsi"/>
          <w:sz w:val="24"/>
          <w:szCs w:val="24"/>
          <w:lang w:eastAsia="en-AU"/>
        </w:rPr>
        <w:t xml:space="preserve">and adolescent participants reported this can also </w:t>
      </w:r>
      <w:r w:rsidRPr="00222663">
        <w:rPr>
          <w:rFonts w:cstheme="minorHAnsi"/>
          <w:sz w:val="24"/>
          <w:szCs w:val="24"/>
          <w:lang w:eastAsia="en-AU"/>
        </w:rPr>
        <w:t>includ</w:t>
      </w:r>
      <w:r w:rsidR="00065785" w:rsidRPr="00222663">
        <w:rPr>
          <w:rFonts w:cstheme="minorHAnsi"/>
          <w:sz w:val="24"/>
          <w:szCs w:val="24"/>
          <w:lang w:eastAsia="en-AU"/>
        </w:rPr>
        <w:t>e</w:t>
      </w:r>
      <w:r w:rsidRPr="00222663">
        <w:rPr>
          <w:rFonts w:cstheme="minorHAnsi"/>
          <w:sz w:val="24"/>
          <w:szCs w:val="24"/>
          <w:lang w:eastAsia="en-AU"/>
        </w:rPr>
        <w:t xml:space="preserve"> physical and sexual assault on the streets</w:t>
      </w:r>
      <w:r w:rsidR="00065785" w:rsidRPr="00222663">
        <w:rPr>
          <w:rFonts w:cstheme="minorHAnsi"/>
          <w:sz w:val="24"/>
          <w:szCs w:val="24"/>
          <w:lang w:eastAsia="en-AU"/>
        </w:rPr>
        <w:t xml:space="preserve">. </w:t>
      </w:r>
      <w:r w:rsidRPr="00222663">
        <w:rPr>
          <w:rFonts w:cstheme="minorHAnsi"/>
          <w:sz w:val="24"/>
          <w:szCs w:val="24"/>
          <w:lang w:eastAsia="en-AU"/>
        </w:rPr>
        <w:t>All participants said the perpetrators of violence and harassment of girls in public places are men, and that this</w:t>
      </w:r>
      <w:r w:rsidR="00065785" w:rsidRPr="00222663">
        <w:rPr>
          <w:rFonts w:cstheme="minorHAnsi"/>
          <w:sz w:val="24"/>
          <w:szCs w:val="24"/>
          <w:lang w:eastAsia="en-AU"/>
        </w:rPr>
        <w:t xml:space="preserve"> often</w:t>
      </w:r>
      <w:r w:rsidRPr="00222663">
        <w:rPr>
          <w:rFonts w:cstheme="minorHAnsi"/>
          <w:sz w:val="24"/>
          <w:szCs w:val="24"/>
          <w:lang w:eastAsia="en-AU"/>
        </w:rPr>
        <w:t xml:space="preserve"> occurs when girls are walking or travelling on public transport to and from school. Adolescent male participants said they regularly witness adolescent girls being sexually harassed verbally</w:t>
      </w:r>
      <w:r w:rsidR="007C551E">
        <w:rPr>
          <w:rFonts w:cstheme="minorHAnsi"/>
          <w:sz w:val="24"/>
          <w:szCs w:val="24"/>
          <w:lang w:eastAsia="en-AU"/>
        </w:rPr>
        <w:t xml:space="preserve"> by men</w:t>
      </w:r>
      <w:r w:rsidRPr="00222663">
        <w:rPr>
          <w:rFonts w:cstheme="minorHAnsi"/>
          <w:sz w:val="24"/>
          <w:szCs w:val="24"/>
          <w:lang w:eastAsia="en-AU"/>
        </w:rPr>
        <w:t xml:space="preserve"> in public. Several participants used the term ‘Eve teasing’ to describe such harassment. This is a commonly used term to describe sexualised street harassment of girls and women by men and adolescent boys.</w:t>
      </w:r>
      <w:r w:rsidRPr="00222663">
        <w:rPr>
          <w:rStyle w:val="FootnoteReference"/>
          <w:rFonts w:cstheme="minorHAnsi"/>
          <w:sz w:val="24"/>
          <w:szCs w:val="24"/>
          <w:lang w:eastAsia="en-AU"/>
        </w:rPr>
        <w:footnoteReference w:id="58"/>
      </w:r>
      <w:r w:rsidRPr="00222663">
        <w:rPr>
          <w:rFonts w:cstheme="minorHAnsi"/>
          <w:sz w:val="24"/>
          <w:szCs w:val="24"/>
          <w:lang w:eastAsia="en-AU"/>
        </w:rPr>
        <w:t xml:space="preserve"> The use of this term</w:t>
      </w:r>
      <w:r w:rsidR="00117012" w:rsidRPr="00222663">
        <w:rPr>
          <w:rFonts w:cstheme="minorHAnsi"/>
          <w:sz w:val="24"/>
          <w:szCs w:val="24"/>
          <w:lang w:eastAsia="en-AU"/>
        </w:rPr>
        <w:t>,</w:t>
      </w:r>
      <w:r w:rsidRPr="00222663">
        <w:rPr>
          <w:rFonts w:cstheme="minorHAnsi"/>
          <w:sz w:val="24"/>
          <w:szCs w:val="24"/>
          <w:lang w:eastAsia="en-AU"/>
        </w:rPr>
        <w:t xml:space="preserve"> however, is considered inappropriate as it trivialises and minimises the impact of these offences</w:t>
      </w:r>
      <w:r w:rsidRPr="00222663">
        <w:rPr>
          <w:rStyle w:val="FootnoteReference"/>
          <w:rFonts w:cstheme="minorHAnsi"/>
          <w:sz w:val="24"/>
          <w:szCs w:val="24"/>
          <w:lang w:eastAsia="en-AU"/>
        </w:rPr>
        <w:footnoteReference w:id="59"/>
      </w:r>
      <w:r w:rsidRPr="00222663">
        <w:rPr>
          <w:rFonts w:cstheme="minorHAnsi"/>
          <w:sz w:val="24"/>
          <w:szCs w:val="24"/>
          <w:lang w:eastAsia="en-AU"/>
        </w:rPr>
        <w:t xml:space="preserve"> and perpetuates commonly held notions that street harassment is a ‘harmless occurrence’ when in fact it is ‘one of the most pervasive forms of sexual violence</w:t>
      </w:r>
      <w:r w:rsidR="004E0128">
        <w:rPr>
          <w:rFonts w:cstheme="minorHAnsi"/>
          <w:sz w:val="24"/>
          <w:szCs w:val="24"/>
          <w:lang w:eastAsia="en-AU"/>
        </w:rPr>
        <w:t>’</w:t>
      </w:r>
      <w:r w:rsidRPr="00222663">
        <w:rPr>
          <w:rFonts w:cstheme="minorHAnsi"/>
          <w:sz w:val="24"/>
          <w:szCs w:val="24"/>
          <w:lang w:eastAsia="en-AU"/>
        </w:rPr>
        <w:t>.</w:t>
      </w:r>
      <w:r w:rsidRPr="00222663">
        <w:rPr>
          <w:rStyle w:val="FootnoteReference"/>
          <w:rFonts w:cstheme="minorHAnsi"/>
          <w:sz w:val="24"/>
          <w:szCs w:val="24"/>
          <w:lang w:eastAsia="en-AU"/>
        </w:rPr>
        <w:footnoteReference w:id="60"/>
      </w:r>
      <w:r w:rsidRPr="00222663">
        <w:rPr>
          <w:rFonts w:cstheme="minorHAnsi"/>
          <w:sz w:val="24"/>
          <w:szCs w:val="24"/>
          <w:lang w:eastAsia="en-AU"/>
        </w:rPr>
        <w:t xml:space="preserve"> Talboys et al</w:t>
      </w:r>
      <w:r w:rsidR="004E0128">
        <w:rPr>
          <w:rFonts w:cstheme="minorHAnsi"/>
          <w:sz w:val="24"/>
          <w:szCs w:val="24"/>
          <w:lang w:eastAsia="en-AU"/>
        </w:rPr>
        <w:t>.</w:t>
      </w:r>
      <w:r w:rsidRPr="00222663">
        <w:rPr>
          <w:rFonts w:cstheme="minorHAnsi"/>
          <w:sz w:val="24"/>
          <w:szCs w:val="24"/>
          <w:lang w:eastAsia="en-AU"/>
        </w:rPr>
        <w:t xml:space="preserve"> describe </w:t>
      </w:r>
      <w:r w:rsidR="00723E8B">
        <w:rPr>
          <w:rFonts w:cstheme="minorHAnsi"/>
          <w:sz w:val="24"/>
          <w:szCs w:val="24"/>
          <w:lang w:eastAsia="en-AU"/>
        </w:rPr>
        <w:t>‘</w:t>
      </w:r>
      <w:r w:rsidRPr="00222663">
        <w:rPr>
          <w:rFonts w:cstheme="minorHAnsi"/>
          <w:sz w:val="24"/>
          <w:szCs w:val="24"/>
          <w:lang w:eastAsia="en-AU"/>
        </w:rPr>
        <w:t>Eve teasing</w:t>
      </w:r>
      <w:r w:rsidR="00723E8B">
        <w:rPr>
          <w:rFonts w:cstheme="minorHAnsi"/>
          <w:sz w:val="24"/>
          <w:szCs w:val="24"/>
          <w:lang w:eastAsia="en-AU"/>
        </w:rPr>
        <w:t>’</w:t>
      </w:r>
      <w:r w:rsidRPr="00222663">
        <w:rPr>
          <w:rFonts w:cstheme="minorHAnsi"/>
          <w:sz w:val="24"/>
          <w:szCs w:val="24"/>
          <w:lang w:eastAsia="en-AU"/>
        </w:rPr>
        <w:t xml:space="preserve"> as a ‘common euphemism in South Asia for sexual harassment of women in public areas by men’ and examples of this include ‘making </w:t>
      </w:r>
      <w:r w:rsidR="00D30554" w:rsidRPr="00222663">
        <w:rPr>
          <w:rFonts w:cstheme="minorHAnsi"/>
          <w:sz w:val="24"/>
          <w:szCs w:val="24"/>
          <w:lang w:eastAsia="en-AU"/>
        </w:rPr>
        <w:t xml:space="preserve">or </w:t>
      </w:r>
      <w:r w:rsidRPr="00222663">
        <w:rPr>
          <w:rFonts w:cstheme="minorHAnsi"/>
          <w:sz w:val="24"/>
          <w:szCs w:val="24"/>
          <w:lang w:eastAsia="en-AU"/>
        </w:rPr>
        <w:t>pass</w:t>
      </w:r>
      <w:r w:rsidR="00D30554" w:rsidRPr="00222663">
        <w:rPr>
          <w:rFonts w:cstheme="minorHAnsi"/>
          <w:sz w:val="24"/>
          <w:szCs w:val="24"/>
          <w:lang w:eastAsia="en-AU"/>
        </w:rPr>
        <w:t>ing</w:t>
      </w:r>
      <w:r w:rsidRPr="00222663">
        <w:rPr>
          <w:rFonts w:cstheme="minorHAnsi"/>
          <w:sz w:val="24"/>
          <w:szCs w:val="24"/>
          <w:lang w:eastAsia="en-AU"/>
        </w:rPr>
        <w:t xml:space="preserve"> obscene gestures, whistling, stalking, staring, pinching, fondling, and rubbing against’ women or girls.</w:t>
      </w:r>
      <w:r w:rsidRPr="00222663">
        <w:rPr>
          <w:rStyle w:val="FootnoteReference"/>
          <w:rFonts w:cstheme="minorHAnsi"/>
          <w:sz w:val="24"/>
          <w:szCs w:val="24"/>
          <w:lang w:eastAsia="en-AU"/>
        </w:rPr>
        <w:footnoteReference w:id="61"/>
      </w:r>
      <w:r w:rsidRPr="00222663">
        <w:rPr>
          <w:rFonts w:cstheme="minorHAnsi"/>
          <w:sz w:val="24"/>
          <w:szCs w:val="24"/>
          <w:lang w:eastAsia="en-AU"/>
        </w:rPr>
        <w:t xml:space="preserve"> Talboys et al</w:t>
      </w:r>
      <w:r w:rsidR="00723E8B">
        <w:rPr>
          <w:rFonts w:cstheme="minorHAnsi"/>
          <w:sz w:val="24"/>
          <w:szCs w:val="24"/>
          <w:lang w:eastAsia="en-AU"/>
        </w:rPr>
        <w:t>.</w:t>
      </w:r>
      <w:r w:rsidRPr="00222663">
        <w:rPr>
          <w:rFonts w:cstheme="minorHAnsi"/>
          <w:sz w:val="24"/>
          <w:szCs w:val="24"/>
          <w:lang w:eastAsia="en-AU"/>
        </w:rPr>
        <w:t xml:space="preserve">’s study about the prevalence of sexualised street harassment in South </w:t>
      </w:r>
      <w:r w:rsidRPr="00222663">
        <w:rPr>
          <w:rFonts w:cstheme="minorHAnsi"/>
          <w:sz w:val="24"/>
          <w:szCs w:val="24"/>
          <w:lang w:eastAsia="en-AU"/>
        </w:rPr>
        <w:lastRenderedPageBreak/>
        <w:t>Asia concludes that the impacts of ‘Eve teasing’ are ‘significant enough to curb women and girls’ participation in public, including school and work, resulting in untold opportunity costs for women and society</w:t>
      </w:r>
      <w:r w:rsidR="00CB4BFE">
        <w:rPr>
          <w:rFonts w:cstheme="minorHAnsi"/>
          <w:sz w:val="24"/>
          <w:szCs w:val="24"/>
          <w:lang w:eastAsia="en-AU"/>
        </w:rPr>
        <w:t>’</w:t>
      </w:r>
      <w:r w:rsidRPr="00222663">
        <w:rPr>
          <w:rFonts w:cstheme="minorHAnsi"/>
          <w:sz w:val="24"/>
          <w:szCs w:val="24"/>
          <w:lang w:eastAsia="en-AU"/>
        </w:rPr>
        <w:t>.</w:t>
      </w:r>
      <w:r w:rsidRPr="00222663">
        <w:rPr>
          <w:rStyle w:val="FootnoteReference"/>
          <w:rFonts w:cstheme="minorHAnsi"/>
          <w:sz w:val="24"/>
          <w:szCs w:val="24"/>
          <w:lang w:eastAsia="en-AU"/>
        </w:rPr>
        <w:footnoteReference w:id="62"/>
      </w:r>
      <w:r w:rsidRPr="00222663">
        <w:rPr>
          <w:rFonts w:cstheme="minorHAnsi"/>
          <w:sz w:val="24"/>
          <w:szCs w:val="24"/>
          <w:lang w:eastAsia="en-AU"/>
        </w:rPr>
        <w:t xml:space="preserve"> This finding was also reflected in this study</w:t>
      </w:r>
      <w:r w:rsidR="003F6F7E" w:rsidRPr="00222663">
        <w:rPr>
          <w:rFonts w:cstheme="minorHAnsi"/>
          <w:sz w:val="24"/>
          <w:szCs w:val="24"/>
          <w:lang w:eastAsia="en-AU"/>
        </w:rPr>
        <w:t>,</w:t>
      </w:r>
      <w:r w:rsidRPr="00222663">
        <w:rPr>
          <w:rFonts w:cstheme="minorHAnsi"/>
          <w:sz w:val="24"/>
          <w:szCs w:val="24"/>
          <w:lang w:eastAsia="en-AU"/>
        </w:rPr>
        <w:t xml:space="preserve"> as many participants said girls and young women often do not want to travel to school unaccompanied as they fear being harassed by men on the street. </w:t>
      </w:r>
    </w:p>
    <w:p w14:paraId="0A570362" w14:textId="6F68DADC" w:rsidR="00DF622A" w:rsidRPr="00185643" w:rsidRDefault="00C35FAE" w:rsidP="001710E2">
      <w:pPr>
        <w:pStyle w:val="Heading2"/>
      </w:pPr>
      <w:r w:rsidRPr="00185643">
        <w:t xml:space="preserve">Definitions of Violence, </w:t>
      </w:r>
      <w:r w:rsidR="00DF622A" w:rsidRPr="00185643">
        <w:t>Knowledge about Laws and Policies</w:t>
      </w:r>
      <w:r w:rsidR="00FB0500" w:rsidRPr="00185643">
        <w:t>,</w:t>
      </w:r>
      <w:r w:rsidRPr="00185643">
        <w:t xml:space="preserve"> and Enforcement</w:t>
      </w:r>
    </w:p>
    <w:p w14:paraId="3AB5CD6D" w14:textId="474CF4D5" w:rsidR="00844167" w:rsidRPr="00222663" w:rsidRDefault="00BA2118" w:rsidP="006B7D91">
      <w:pPr>
        <w:spacing w:line="360" w:lineRule="auto"/>
        <w:rPr>
          <w:rFonts w:cstheme="minorHAnsi"/>
          <w:sz w:val="24"/>
          <w:szCs w:val="24"/>
        </w:rPr>
      </w:pPr>
      <w:r w:rsidRPr="00222663">
        <w:rPr>
          <w:rFonts w:cstheme="minorHAnsi"/>
          <w:sz w:val="24"/>
          <w:szCs w:val="24"/>
          <w:lang w:eastAsia="en-AU"/>
        </w:rPr>
        <w:t xml:space="preserve">Participants across all ages knew about a range of </w:t>
      </w:r>
      <w:r w:rsidR="00802D44" w:rsidRPr="00222663">
        <w:rPr>
          <w:rFonts w:cstheme="minorHAnsi"/>
          <w:sz w:val="24"/>
          <w:szCs w:val="24"/>
          <w:lang w:eastAsia="en-AU"/>
        </w:rPr>
        <w:t xml:space="preserve">domestic </w:t>
      </w:r>
      <w:r w:rsidRPr="00222663">
        <w:rPr>
          <w:rFonts w:cstheme="minorHAnsi"/>
          <w:sz w:val="24"/>
          <w:szCs w:val="24"/>
          <w:lang w:eastAsia="en-AU"/>
        </w:rPr>
        <w:t xml:space="preserve">laws that prohibit violence and discrimination against children and reported that very little implementation of these laws, and other measures, </w:t>
      </w:r>
      <w:r w:rsidR="00713E77" w:rsidRPr="00222663">
        <w:rPr>
          <w:rFonts w:cstheme="minorHAnsi"/>
          <w:sz w:val="24"/>
          <w:szCs w:val="24"/>
          <w:lang w:eastAsia="en-AU"/>
        </w:rPr>
        <w:t>are</w:t>
      </w:r>
      <w:r w:rsidRPr="00222663">
        <w:rPr>
          <w:rFonts w:cstheme="minorHAnsi"/>
          <w:sz w:val="24"/>
          <w:szCs w:val="24"/>
          <w:lang w:eastAsia="en-AU"/>
        </w:rPr>
        <w:t xml:space="preserve"> taken to address this and bring perpetrators to account. </w:t>
      </w:r>
      <w:r w:rsidRPr="00222663">
        <w:rPr>
          <w:rFonts w:eastAsia="Arial Unicode MS" w:cstheme="minorHAnsi"/>
          <w:sz w:val="24"/>
          <w:szCs w:val="24"/>
          <w:u w:color="000000"/>
          <w:bdr w:val="nil"/>
          <w:lang w:val="en-US"/>
        </w:rPr>
        <w:t>Participants in both age cohorts defined violence against girls to include neglect and differential treatment within the home and society. Nearly all participants spoke about girls experiencing less access to nutritious food in comparison to boys. Younger participants (9-1</w:t>
      </w:r>
      <w:r w:rsidR="00C94553" w:rsidRPr="00222663">
        <w:rPr>
          <w:rFonts w:eastAsia="Arial Unicode MS" w:cstheme="minorHAnsi"/>
          <w:sz w:val="24"/>
          <w:szCs w:val="24"/>
          <w:u w:color="000000"/>
          <w:bdr w:val="nil"/>
          <w:lang w:val="en-US"/>
        </w:rPr>
        <w:t>1 years-old</w:t>
      </w:r>
      <w:r w:rsidRPr="00222663">
        <w:rPr>
          <w:rFonts w:eastAsia="Arial Unicode MS" w:cstheme="minorHAnsi"/>
          <w:sz w:val="24"/>
          <w:szCs w:val="24"/>
          <w:u w:color="000000"/>
          <w:bdr w:val="nil"/>
          <w:lang w:val="en-US"/>
        </w:rPr>
        <w:t xml:space="preserve">) defined violence against girls to include poor health care, </w:t>
      </w:r>
      <w:r w:rsidR="00162209" w:rsidRPr="00222663">
        <w:rPr>
          <w:rFonts w:eastAsia="Arial Unicode MS" w:cstheme="minorHAnsi"/>
          <w:sz w:val="24"/>
          <w:szCs w:val="24"/>
          <w:u w:color="000000"/>
          <w:bdr w:val="nil"/>
          <w:lang w:val="en-US"/>
        </w:rPr>
        <w:t xml:space="preserve">a </w:t>
      </w:r>
      <w:r w:rsidRPr="00222663">
        <w:rPr>
          <w:rFonts w:eastAsia="Arial Unicode MS" w:cstheme="minorHAnsi"/>
          <w:sz w:val="24"/>
          <w:szCs w:val="24"/>
          <w:u w:color="000000"/>
          <w:bdr w:val="nil"/>
          <w:lang w:val="en-US"/>
        </w:rPr>
        <w:t xml:space="preserve">lack of access to education, food insecurity, the impact of </w:t>
      </w:r>
      <w:r w:rsidR="001651B3" w:rsidRPr="00222663">
        <w:rPr>
          <w:rFonts w:eastAsia="Arial Unicode MS" w:cstheme="minorHAnsi"/>
          <w:sz w:val="24"/>
          <w:szCs w:val="24"/>
          <w:u w:color="000000"/>
          <w:bdr w:val="nil"/>
          <w:lang w:val="en-US"/>
        </w:rPr>
        <w:t xml:space="preserve">men’s </w:t>
      </w:r>
      <w:r w:rsidRPr="00222663">
        <w:rPr>
          <w:rFonts w:eastAsia="Arial Unicode MS" w:cstheme="minorHAnsi"/>
          <w:sz w:val="24"/>
          <w:szCs w:val="24"/>
          <w:u w:color="000000"/>
          <w:bdr w:val="nil"/>
          <w:lang w:val="en-US"/>
        </w:rPr>
        <w:t>alcohol abuse on girls</w:t>
      </w:r>
      <w:r w:rsidR="00825F73" w:rsidRPr="00222663">
        <w:rPr>
          <w:rFonts w:eastAsia="Arial Unicode MS" w:cstheme="minorHAnsi"/>
          <w:sz w:val="24"/>
          <w:szCs w:val="24"/>
          <w:u w:color="000000"/>
          <w:bdr w:val="nil"/>
          <w:lang w:val="en-US"/>
        </w:rPr>
        <w:t xml:space="preserve"> both</w:t>
      </w:r>
      <w:r w:rsidR="001651B3" w:rsidRPr="00222663">
        <w:rPr>
          <w:rFonts w:eastAsia="Arial Unicode MS" w:cstheme="minorHAnsi"/>
          <w:sz w:val="24"/>
          <w:szCs w:val="24"/>
          <w:u w:color="000000"/>
          <w:bdr w:val="nil"/>
          <w:lang w:val="en-US"/>
        </w:rPr>
        <w:t xml:space="preserve"> in the home and in the community</w:t>
      </w:r>
      <w:r w:rsidR="003725C9" w:rsidRPr="00222663">
        <w:rPr>
          <w:rFonts w:eastAsia="Arial Unicode MS" w:cstheme="minorHAnsi"/>
          <w:sz w:val="24"/>
          <w:szCs w:val="24"/>
          <w:u w:color="000000"/>
          <w:bdr w:val="nil"/>
          <w:lang w:val="en-US"/>
        </w:rPr>
        <w:t>,</w:t>
      </w:r>
      <w:r w:rsidRPr="00222663">
        <w:rPr>
          <w:rFonts w:eastAsia="Arial Unicode MS" w:cstheme="minorHAnsi"/>
          <w:sz w:val="24"/>
          <w:szCs w:val="24"/>
          <w:u w:color="000000"/>
          <w:bdr w:val="nil"/>
          <w:lang w:val="en-US"/>
        </w:rPr>
        <w:t xml:space="preserve"> and a lack of enforc</w:t>
      </w:r>
      <w:r w:rsidR="00AD0AA0">
        <w:rPr>
          <w:rFonts w:eastAsia="Arial Unicode MS" w:cstheme="minorHAnsi"/>
          <w:sz w:val="24"/>
          <w:szCs w:val="24"/>
          <w:u w:color="000000"/>
          <w:bdr w:val="nil"/>
          <w:lang w:val="en-US"/>
        </w:rPr>
        <w:t>ement of</w:t>
      </w:r>
      <w:r w:rsidRPr="00222663">
        <w:rPr>
          <w:rFonts w:eastAsia="Arial Unicode MS" w:cstheme="minorHAnsi"/>
          <w:sz w:val="24"/>
          <w:szCs w:val="24"/>
          <w:u w:color="000000"/>
          <w:bdr w:val="nil"/>
          <w:lang w:val="en-US"/>
        </w:rPr>
        <w:t xml:space="preserve"> laws to protect girls from abuse. Younger participants reported high rates of discrimination against girls</w:t>
      </w:r>
      <w:r w:rsidR="00BC0DF5" w:rsidRPr="00222663">
        <w:rPr>
          <w:rFonts w:eastAsia="Arial Unicode MS" w:cstheme="minorHAnsi"/>
          <w:sz w:val="24"/>
          <w:szCs w:val="24"/>
          <w:u w:color="000000"/>
          <w:bdr w:val="nil"/>
          <w:lang w:val="en-US"/>
        </w:rPr>
        <w:t>,</w:t>
      </w:r>
      <w:r w:rsidRPr="00222663">
        <w:rPr>
          <w:rFonts w:eastAsia="Arial Unicode MS" w:cstheme="minorHAnsi"/>
          <w:sz w:val="24"/>
          <w:szCs w:val="24"/>
          <w:u w:color="000000"/>
          <w:bdr w:val="nil"/>
          <w:lang w:val="en-US"/>
        </w:rPr>
        <w:t xml:space="preserve"> and familial and social resources being directed to</w:t>
      </w:r>
      <w:r w:rsidR="00BC0DF5" w:rsidRPr="00222663">
        <w:rPr>
          <w:rFonts w:eastAsia="Arial Unicode MS" w:cstheme="minorHAnsi"/>
          <w:sz w:val="24"/>
          <w:szCs w:val="24"/>
          <w:u w:color="000000"/>
          <w:bdr w:val="nil"/>
          <w:lang w:val="en-US"/>
        </w:rPr>
        <w:t>ward</w:t>
      </w:r>
      <w:r w:rsidRPr="00222663">
        <w:rPr>
          <w:rFonts w:eastAsia="Arial Unicode MS" w:cstheme="minorHAnsi"/>
          <w:sz w:val="24"/>
          <w:szCs w:val="24"/>
          <w:u w:color="000000"/>
          <w:bdr w:val="nil"/>
          <w:lang w:val="en-US"/>
        </w:rPr>
        <w:t xml:space="preserve"> boys to the detriment of girls. This was demonstrated in participants’ descriptions of what violence and discrimination against girls meant to them</w:t>
      </w:r>
      <w:r w:rsidR="003D77CB" w:rsidRPr="00222663">
        <w:rPr>
          <w:rFonts w:eastAsia="Arial Unicode MS" w:cstheme="minorHAnsi"/>
          <w:sz w:val="24"/>
          <w:szCs w:val="24"/>
          <w:u w:color="000000"/>
          <w:bdr w:val="nil"/>
          <w:lang w:val="en-US"/>
        </w:rPr>
        <w:t>,</w:t>
      </w:r>
      <w:r w:rsidRPr="00222663">
        <w:rPr>
          <w:rFonts w:eastAsia="Arial Unicode MS" w:cstheme="minorHAnsi"/>
          <w:sz w:val="24"/>
          <w:szCs w:val="24"/>
          <w:u w:color="000000"/>
          <w:bdr w:val="nil"/>
          <w:lang w:val="en-US"/>
        </w:rPr>
        <w:t xml:space="preserve"> which included neglect. For example, a</w:t>
      </w:r>
      <w:r w:rsidRPr="00222663">
        <w:rPr>
          <w:rFonts w:cstheme="minorHAnsi"/>
          <w:sz w:val="24"/>
          <w:szCs w:val="24"/>
        </w:rPr>
        <w:t xml:space="preserve">n </w:t>
      </w:r>
      <w:r w:rsidR="00373EA3" w:rsidRPr="00222663">
        <w:rPr>
          <w:rFonts w:cstheme="minorHAnsi"/>
          <w:sz w:val="24"/>
          <w:szCs w:val="24"/>
        </w:rPr>
        <w:t>11-year-old</w:t>
      </w:r>
      <w:r w:rsidRPr="00222663">
        <w:rPr>
          <w:rFonts w:cstheme="minorHAnsi"/>
          <w:sz w:val="24"/>
          <w:szCs w:val="24"/>
        </w:rPr>
        <w:t xml:space="preserve"> girl said</w:t>
      </w:r>
      <w:r w:rsidR="004E1263" w:rsidRPr="00222663">
        <w:rPr>
          <w:rFonts w:cstheme="minorHAnsi"/>
          <w:sz w:val="24"/>
          <w:szCs w:val="24"/>
        </w:rPr>
        <w:t>:</w:t>
      </w:r>
      <w:r w:rsidRPr="00222663">
        <w:rPr>
          <w:rFonts w:cstheme="minorHAnsi"/>
          <w:sz w:val="24"/>
          <w:szCs w:val="24"/>
        </w:rPr>
        <w:t xml:space="preserve"> </w:t>
      </w:r>
    </w:p>
    <w:p w14:paraId="4B806456" w14:textId="25571EF9" w:rsidR="00844167" w:rsidRPr="00222663" w:rsidRDefault="00BA2118" w:rsidP="00045E7F">
      <w:pPr>
        <w:spacing w:line="360" w:lineRule="auto"/>
        <w:ind w:left="709"/>
        <w:rPr>
          <w:rFonts w:cstheme="minorHAnsi"/>
          <w:sz w:val="24"/>
          <w:szCs w:val="24"/>
        </w:rPr>
      </w:pPr>
      <w:r w:rsidRPr="00222663">
        <w:rPr>
          <w:rFonts w:cstheme="minorHAnsi"/>
          <w:sz w:val="24"/>
          <w:szCs w:val="24"/>
        </w:rPr>
        <w:t xml:space="preserve">Violence means … not sending daughters to school, not giving them clothes to wear. </w:t>
      </w:r>
    </w:p>
    <w:p w14:paraId="4DB12B37" w14:textId="7FD4F202" w:rsidR="00BA2118" w:rsidRPr="00222663" w:rsidRDefault="00BA2118" w:rsidP="006B7D91">
      <w:pPr>
        <w:spacing w:line="360" w:lineRule="auto"/>
        <w:rPr>
          <w:rFonts w:cstheme="minorHAnsi"/>
          <w:sz w:val="24"/>
          <w:szCs w:val="24"/>
          <w:lang w:eastAsia="en-AU"/>
        </w:rPr>
      </w:pPr>
      <w:r w:rsidRPr="00222663">
        <w:rPr>
          <w:rFonts w:cstheme="minorHAnsi"/>
          <w:sz w:val="24"/>
          <w:szCs w:val="24"/>
        </w:rPr>
        <w:t>Two boys aged 9-11 commented that children, especially girls, frequently experience food insecurity</w:t>
      </w:r>
      <w:r w:rsidR="009C08A7" w:rsidRPr="00222663">
        <w:rPr>
          <w:rFonts w:cstheme="minorHAnsi"/>
          <w:sz w:val="24"/>
          <w:szCs w:val="24"/>
        </w:rPr>
        <w:t xml:space="preserve"> and</w:t>
      </w:r>
      <w:r w:rsidRPr="00222663">
        <w:rPr>
          <w:rFonts w:cstheme="minorHAnsi"/>
          <w:sz w:val="24"/>
          <w:szCs w:val="24"/>
        </w:rPr>
        <w:t xml:space="preserve"> neglect</w:t>
      </w:r>
      <w:r w:rsidR="009C08A7" w:rsidRPr="00222663">
        <w:rPr>
          <w:rFonts w:cstheme="minorHAnsi"/>
          <w:sz w:val="24"/>
          <w:szCs w:val="24"/>
        </w:rPr>
        <w:t>,</w:t>
      </w:r>
      <w:r w:rsidRPr="00222663">
        <w:rPr>
          <w:rFonts w:cstheme="minorHAnsi"/>
          <w:sz w:val="24"/>
          <w:szCs w:val="24"/>
        </w:rPr>
        <w:t xml:space="preserve"> and do not have their rights to play and education fulfilled. One of these boys said: </w:t>
      </w:r>
    </w:p>
    <w:p w14:paraId="20D3C55C" w14:textId="3B83DB30" w:rsidR="00BA2118" w:rsidRPr="00222663" w:rsidRDefault="00BA2118" w:rsidP="00045E7F">
      <w:pPr>
        <w:spacing w:line="360" w:lineRule="auto"/>
        <w:ind w:left="709"/>
        <w:rPr>
          <w:rFonts w:cstheme="minorHAnsi"/>
          <w:sz w:val="24"/>
          <w:szCs w:val="24"/>
        </w:rPr>
      </w:pPr>
      <w:r w:rsidRPr="00222663">
        <w:rPr>
          <w:rFonts w:cstheme="minorHAnsi"/>
          <w:sz w:val="24"/>
          <w:szCs w:val="24"/>
        </w:rPr>
        <w:t>Children should get to play, eat and study. Children shouldn’t be neglected and shouldn’t be discriminated against. Children should be fed nutritious food. Boys shouldn’t be the only ones who get fed good food</w:t>
      </w:r>
      <w:r w:rsidR="00DC303E" w:rsidRPr="00222663">
        <w:rPr>
          <w:rFonts w:cstheme="minorHAnsi"/>
          <w:sz w:val="24"/>
          <w:szCs w:val="24"/>
        </w:rPr>
        <w:t xml:space="preserve">, </w:t>
      </w:r>
      <w:r w:rsidRPr="00222663">
        <w:rPr>
          <w:rFonts w:cstheme="minorHAnsi"/>
          <w:sz w:val="24"/>
          <w:szCs w:val="24"/>
        </w:rPr>
        <w:t xml:space="preserve">and girls </w:t>
      </w:r>
      <w:r w:rsidR="00E76469" w:rsidRPr="00222663">
        <w:rPr>
          <w:rFonts w:cstheme="minorHAnsi"/>
          <w:sz w:val="24"/>
          <w:szCs w:val="24"/>
        </w:rPr>
        <w:t xml:space="preserve">shouldn’t be the only ones </w:t>
      </w:r>
      <w:r w:rsidRPr="00222663">
        <w:rPr>
          <w:rFonts w:cstheme="minorHAnsi"/>
          <w:sz w:val="24"/>
          <w:szCs w:val="24"/>
        </w:rPr>
        <w:t>who don’t get fed nutritious food.</w:t>
      </w:r>
    </w:p>
    <w:p w14:paraId="04267E54" w14:textId="505EDB3C" w:rsidR="00844167" w:rsidRPr="00222663" w:rsidRDefault="00BA2118" w:rsidP="006B7D91">
      <w:pPr>
        <w:spacing w:after="160" w:line="360" w:lineRule="auto"/>
        <w:rPr>
          <w:rFonts w:cstheme="minorHAnsi"/>
          <w:sz w:val="24"/>
          <w:szCs w:val="24"/>
        </w:rPr>
      </w:pPr>
      <w:r w:rsidRPr="00222663">
        <w:rPr>
          <w:rFonts w:cstheme="minorHAnsi"/>
          <w:sz w:val="24"/>
          <w:szCs w:val="24"/>
        </w:rPr>
        <w:lastRenderedPageBreak/>
        <w:t xml:space="preserve">Two girls aged 9-11 </w:t>
      </w:r>
      <w:r w:rsidR="00BC4043" w:rsidRPr="00222663">
        <w:rPr>
          <w:rFonts w:cstheme="minorHAnsi"/>
          <w:sz w:val="24"/>
          <w:szCs w:val="24"/>
        </w:rPr>
        <w:t>also defined lack of access to food and education as forms of violence. I</w:t>
      </w:r>
      <w:r w:rsidRPr="00222663">
        <w:rPr>
          <w:rFonts w:cstheme="minorHAnsi"/>
          <w:sz w:val="24"/>
          <w:szCs w:val="24"/>
        </w:rPr>
        <w:t xml:space="preserve">n a peer-to-peer video recording </w:t>
      </w:r>
      <w:r w:rsidR="00BC4043" w:rsidRPr="00222663">
        <w:rPr>
          <w:rFonts w:cstheme="minorHAnsi"/>
          <w:sz w:val="24"/>
          <w:szCs w:val="24"/>
        </w:rPr>
        <w:t>they said</w:t>
      </w:r>
      <w:r w:rsidRPr="00222663">
        <w:rPr>
          <w:rFonts w:cstheme="minorHAnsi"/>
          <w:sz w:val="24"/>
          <w:szCs w:val="24"/>
        </w:rPr>
        <w:t xml:space="preserve"> violence against girls is: </w:t>
      </w:r>
    </w:p>
    <w:p w14:paraId="3A85C292" w14:textId="32E41703" w:rsidR="00844167" w:rsidRPr="00222663" w:rsidRDefault="00BA2118" w:rsidP="00045E7F">
      <w:pPr>
        <w:spacing w:after="160" w:line="360" w:lineRule="auto"/>
        <w:ind w:firstLine="709"/>
        <w:rPr>
          <w:rFonts w:cstheme="minorHAnsi"/>
          <w:sz w:val="24"/>
          <w:szCs w:val="24"/>
        </w:rPr>
      </w:pPr>
      <w:r w:rsidRPr="00222663">
        <w:rPr>
          <w:rFonts w:cstheme="minorHAnsi"/>
          <w:sz w:val="24"/>
          <w:szCs w:val="24"/>
        </w:rPr>
        <w:t>Not giving good food, not letting them study.</w:t>
      </w:r>
      <w:r w:rsidR="00844167" w:rsidRPr="00222663">
        <w:rPr>
          <w:rFonts w:cstheme="minorHAnsi"/>
          <w:sz w:val="24"/>
          <w:szCs w:val="24"/>
        </w:rPr>
        <w:t xml:space="preserve"> </w:t>
      </w:r>
      <w:r w:rsidRPr="00222663">
        <w:rPr>
          <w:rFonts w:cstheme="minorHAnsi"/>
          <w:sz w:val="24"/>
          <w:szCs w:val="24"/>
        </w:rPr>
        <w:t xml:space="preserve">These things fall under violence. </w:t>
      </w:r>
    </w:p>
    <w:p w14:paraId="565D180B" w14:textId="6AD086E1" w:rsidR="00844167" w:rsidRPr="00222663" w:rsidRDefault="00BA2118" w:rsidP="006B7D91">
      <w:pPr>
        <w:spacing w:after="160" w:line="360" w:lineRule="auto"/>
        <w:rPr>
          <w:rFonts w:cstheme="minorHAnsi"/>
          <w:sz w:val="24"/>
          <w:szCs w:val="24"/>
        </w:rPr>
      </w:pPr>
      <w:r w:rsidRPr="00222663">
        <w:rPr>
          <w:rFonts w:cstheme="minorHAnsi"/>
          <w:sz w:val="24"/>
          <w:szCs w:val="24"/>
        </w:rPr>
        <w:t>Further, a girl aged 9-11</w:t>
      </w:r>
      <w:r w:rsidR="00C94553" w:rsidRPr="00222663">
        <w:rPr>
          <w:rFonts w:cstheme="minorHAnsi"/>
          <w:sz w:val="24"/>
          <w:szCs w:val="24"/>
        </w:rPr>
        <w:t xml:space="preserve"> </w:t>
      </w:r>
      <w:r w:rsidRPr="00222663">
        <w:rPr>
          <w:rFonts w:cstheme="minorHAnsi"/>
          <w:sz w:val="24"/>
          <w:szCs w:val="24"/>
        </w:rPr>
        <w:t xml:space="preserve">said violence against girls includes: </w:t>
      </w:r>
    </w:p>
    <w:p w14:paraId="153F8928" w14:textId="7353AD3F" w:rsidR="00844167" w:rsidRPr="00222663" w:rsidRDefault="00BA2118" w:rsidP="006B7D91">
      <w:pPr>
        <w:spacing w:after="160" w:line="360" w:lineRule="auto"/>
        <w:ind w:left="720"/>
        <w:rPr>
          <w:rFonts w:cstheme="minorHAnsi"/>
          <w:sz w:val="24"/>
          <w:szCs w:val="24"/>
        </w:rPr>
      </w:pPr>
      <w:r w:rsidRPr="00222663">
        <w:rPr>
          <w:rFonts w:cstheme="minorHAnsi"/>
          <w:sz w:val="24"/>
          <w:szCs w:val="24"/>
        </w:rPr>
        <w:t xml:space="preserve">Taking care of sons properly but not taking good care of daughters. </w:t>
      </w:r>
    </w:p>
    <w:p w14:paraId="4F6D6E44" w14:textId="2A7E6CB7" w:rsidR="00844167" w:rsidRPr="00222663" w:rsidRDefault="00BA2118" w:rsidP="006B7D91">
      <w:pPr>
        <w:spacing w:after="160" w:line="360" w:lineRule="auto"/>
        <w:rPr>
          <w:rFonts w:cstheme="minorHAnsi"/>
          <w:sz w:val="24"/>
          <w:szCs w:val="24"/>
        </w:rPr>
      </w:pPr>
      <w:r w:rsidRPr="00222663">
        <w:rPr>
          <w:rFonts w:cstheme="minorHAnsi"/>
          <w:sz w:val="24"/>
          <w:szCs w:val="24"/>
        </w:rPr>
        <w:t xml:space="preserve">This was confirmed by two other young female participants in a peer-to-peer </w:t>
      </w:r>
      <w:r w:rsidR="00844167" w:rsidRPr="00222663">
        <w:rPr>
          <w:rFonts w:cstheme="minorHAnsi"/>
          <w:sz w:val="24"/>
          <w:szCs w:val="24"/>
        </w:rPr>
        <w:t xml:space="preserve">video </w:t>
      </w:r>
      <w:r w:rsidRPr="00222663">
        <w:rPr>
          <w:rFonts w:cstheme="minorHAnsi"/>
          <w:sz w:val="24"/>
          <w:szCs w:val="24"/>
        </w:rPr>
        <w:t xml:space="preserve">interview when they said: </w:t>
      </w:r>
    </w:p>
    <w:p w14:paraId="1484A445" w14:textId="60990CE5" w:rsidR="00844167" w:rsidRPr="00222663" w:rsidRDefault="00BA2118" w:rsidP="006B7D91">
      <w:pPr>
        <w:spacing w:after="160" w:line="360" w:lineRule="auto"/>
        <w:ind w:left="720"/>
        <w:rPr>
          <w:rFonts w:cstheme="minorHAnsi"/>
          <w:sz w:val="24"/>
          <w:szCs w:val="24"/>
        </w:rPr>
      </w:pPr>
      <w:r w:rsidRPr="00222663">
        <w:rPr>
          <w:rFonts w:cstheme="minorHAnsi"/>
          <w:sz w:val="24"/>
          <w:szCs w:val="24"/>
        </w:rPr>
        <w:t>Violence means not letting sons and daughters do anything such as not letting daughters eat proper food, not giving them clothes to wear, giving them rotten food to eat</w:t>
      </w:r>
      <w:r w:rsidR="00CB52DB" w:rsidRPr="00222663">
        <w:rPr>
          <w:rFonts w:cstheme="minorHAnsi"/>
          <w:sz w:val="24"/>
          <w:szCs w:val="24"/>
        </w:rPr>
        <w:t>,</w:t>
      </w:r>
      <w:r w:rsidRPr="00222663">
        <w:rPr>
          <w:rFonts w:cstheme="minorHAnsi"/>
          <w:sz w:val="24"/>
          <w:szCs w:val="24"/>
        </w:rPr>
        <w:t xml:space="preserve"> not letting them go out, not letting them study properly, fighting</w:t>
      </w:r>
      <w:r w:rsidR="00CB52DB" w:rsidRPr="00222663">
        <w:rPr>
          <w:rFonts w:cstheme="minorHAnsi"/>
          <w:sz w:val="24"/>
          <w:szCs w:val="24"/>
        </w:rPr>
        <w:t>,</w:t>
      </w:r>
      <w:r w:rsidRPr="00222663">
        <w:rPr>
          <w:rFonts w:cstheme="minorHAnsi"/>
          <w:sz w:val="24"/>
          <w:szCs w:val="24"/>
        </w:rPr>
        <w:t xml:space="preserve"> and teasing</w:t>
      </w:r>
      <w:r w:rsidR="00A9426F">
        <w:rPr>
          <w:rFonts w:cstheme="minorHAnsi"/>
          <w:sz w:val="24"/>
          <w:szCs w:val="24"/>
        </w:rPr>
        <w:t>.</w:t>
      </w:r>
      <w:r w:rsidR="00BC4043" w:rsidRPr="00222663">
        <w:rPr>
          <w:rFonts w:cstheme="minorHAnsi"/>
          <w:sz w:val="24"/>
          <w:szCs w:val="24"/>
        </w:rPr>
        <w:t xml:space="preserve"> </w:t>
      </w:r>
    </w:p>
    <w:p w14:paraId="000C3B7F" w14:textId="4EFCFC98" w:rsidR="00844167" w:rsidRPr="00222663" w:rsidRDefault="00BA2118" w:rsidP="006B7D91">
      <w:pPr>
        <w:spacing w:after="160" w:line="360" w:lineRule="auto"/>
        <w:rPr>
          <w:rFonts w:cstheme="minorHAnsi"/>
          <w:sz w:val="24"/>
          <w:szCs w:val="24"/>
        </w:rPr>
      </w:pPr>
      <w:r w:rsidRPr="00222663">
        <w:rPr>
          <w:rFonts w:cstheme="minorHAnsi"/>
          <w:sz w:val="24"/>
          <w:szCs w:val="24"/>
        </w:rPr>
        <w:t xml:space="preserve">A boy aged 9-11 </w:t>
      </w:r>
      <w:r w:rsidR="00DD1E11" w:rsidRPr="00222663">
        <w:rPr>
          <w:rFonts w:cstheme="minorHAnsi"/>
          <w:sz w:val="24"/>
          <w:szCs w:val="24"/>
        </w:rPr>
        <w:t xml:space="preserve">also spoke about unequal and gendered access to food and recreation, he </w:t>
      </w:r>
      <w:r w:rsidRPr="00222663">
        <w:rPr>
          <w:rFonts w:cstheme="minorHAnsi"/>
          <w:sz w:val="24"/>
          <w:szCs w:val="24"/>
        </w:rPr>
        <w:t xml:space="preserve">said: </w:t>
      </w:r>
    </w:p>
    <w:p w14:paraId="7C12608B" w14:textId="6409760D" w:rsidR="00BA2118" w:rsidRPr="00222663" w:rsidRDefault="00BA2118" w:rsidP="006B7D91">
      <w:pPr>
        <w:spacing w:after="160" w:line="360" w:lineRule="auto"/>
        <w:ind w:left="720"/>
        <w:rPr>
          <w:rFonts w:eastAsia="Arial Unicode MS" w:cstheme="minorHAnsi"/>
          <w:sz w:val="24"/>
          <w:szCs w:val="24"/>
          <w:u w:color="000000"/>
          <w:bdr w:val="nil"/>
          <w:lang w:val="en-US"/>
        </w:rPr>
      </w:pPr>
      <w:r w:rsidRPr="00222663">
        <w:rPr>
          <w:rFonts w:cstheme="minorHAnsi"/>
          <w:sz w:val="24"/>
          <w:szCs w:val="24"/>
        </w:rPr>
        <w:t>Violence means daughters don’t get to eat well, wear well, not letting them go out. These things are violence. When there is violence</w:t>
      </w:r>
      <w:r w:rsidR="00BB2F4C" w:rsidRPr="00222663">
        <w:rPr>
          <w:rFonts w:cstheme="minorHAnsi"/>
          <w:sz w:val="24"/>
          <w:szCs w:val="24"/>
        </w:rPr>
        <w:t>,</w:t>
      </w:r>
      <w:r w:rsidRPr="00222663">
        <w:rPr>
          <w:rFonts w:cstheme="minorHAnsi"/>
          <w:sz w:val="24"/>
          <w:szCs w:val="24"/>
        </w:rPr>
        <w:t xml:space="preserve"> other people go around drinking, smoking weed.</w:t>
      </w:r>
    </w:p>
    <w:p w14:paraId="0A6253FB" w14:textId="76CFAB09" w:rsidR="00DD1E11" w:rsidRPr="00222663" w:rsidRDefault="00BA2118" w:rsidP="006B7D91">
      <w:pPr>
        <w:spacing w:line="360" w:lineRule="auto"/>
        <w:rPr>
          <w:rFonts w:cstheme="minorHAnsi"/>
          <w:sz w:val="24"/>
          <w:szCs w:val="24"/>
        </w:rPr>
      </w:pPr>
      <w:r w:rsidRPr="00222663">
        <w:rPr>
          <w:rFonts w:eastAsia="Arial Unicode MS" w:cstheme="minorHAnsi"/>
          <w:sz w:val="24"/>
          <w:szCs w:val="24"/>
          <w:u w:color="000000"/>
          <w:bdr w:val="nil"/>
          <w:lang w:val="en-US"/>
        </w:rPr>
        <w:t xml:space="preserve">In the older cohort of participants, those aged 12-16, </w:t>
      </w:r>
      <w:r w:rsidRPr="00222663">
        <w:rPr>
          <w:rFonts w:cstheme="minorHAnsi"/>
          <w:sz w:val="24"/>
          <w:szCs w:val="24"/>
        </w:rPr>
        <w:t xml:space="preserve">a 12-year-old female expressed </w:t>
      </w:r>
      <w:r w:rsidR="00BC4043" w:rsidRPr="00222663">
        <w:rPr>
          <w:rFonts w:cstheme="minorHAnsi"/>
          <w:sz w:val="24"/>
          <w:szCs w:val="24"/>
        </w:rPr>
        <w:t xml:space="preserve">her ideas for what </w:t>
      </w:r>
      <w:r w:rsidRPr="00222663">
        <w:rPr>
          <w:rFonts w:cstheme="minorHAnsi"/>
          <w:sz w:val="24"/>
          <w:szCs w:val="24"/>
        </w:rPr>
        <w:t>non-discrimination against girls in the home should be</w:t>
      </w:r>
      <w:r w:rsidR="00BC4043" w:rsidRPr="00222663">
        <w:rPr>
          <w:rFonts w:cstheme="minorHAnsi"/>
          <w:sz w:val="24"/>
          <w:szCs w:val="24"/>
        </w:rPr>
        <w:t xml:space="preserve">. She said this would be: </w:t>
      </w:r>
    </w:p>
    <w:p w14:paraId="14279C2E" w14:textId="3580EF07" w:rsidR="00DD1E11" w:rsidRPr="00222663" w:rsidRDefault="00BC4043" w:rsidP="006B7D91">
      <w:pPr>
        <w:spacing w:line="360" w:lineRule="auto"/>
        <w:ind w:left="720"/>
        <w:rPr>
          <w:rFonts w:cstheme="minorHAnsi"/>
          <w:sz w:val="24"/>
          <w:szCs w:val="24"/>
        </w:rPr>
      </w:pPr>
      <w:r w:rsidRPr="00222663">
        <w:rPr>
          <w:rFonts w:cstheme="minorHAnsi"/>
          <w:sz w:val="24"/>
          <w:szCs w:val="24"/>
        </w:rPr>
        <w:t>N</w:t>
      </w:r>
      <w:r w:rsidR="00BA2118" w:rsidRPr="00222663">
        <w:rPr>
          <w:rFonts w:cstheme="minorHAnsi"/>
          <w:sz w:val="24"/>
          <w:szCs w:val="24"/>
        </w:rPr>
        <w:t xml:space="preserve">ot discriminating between sons and daughters. </w:t>
      </w:r>
    </w:p>
    <w:p w14:paraId="6C341651" w14:textId="563E1E82" w:rsidR="0026223C" w:rsidRPr="00222663" w:rsidRDefault="00BA2118" w:rsidP="006B7D91">
      <w:pPr>
        <w:spacing w:line="360" w:lineRule="auto"/>
        <w:rPr>
          <w:rFonts w:cstheme="minorHAnsi"/>
          <w:sz w:val="24"/>
          <w:szCs w:val="24"/>
        </w:rPr>
      </w:pPr>
      <w:r w:rsidRPr="00222663">
        <w:rPr>
          <w:rFonts w:cstheme="minorHAnsi"/>
          <w:sz w:val="24"/>
          <w:szCs w:val="24"/>
        </w:rPr>
        <w:t xml:space="preserve">Another </w:t>
      </w:r>
      <w:r w:rsidR="00253945" w:rsidRPr="00222663">
        <w:rPr>
          <w:rFonts w:cstheme="minorHAnsi"/>
          <w:sz w:val="24"/>
          <w:szCs w:val="24"/>
        </w:rPr>
        <w:t>12-year-old</w:t>
      </w:r>
      <w:r w:rsidRPr="00222663">
        <w:rPr>
          <w:rFonts w:cstheme="minorHAnsi"/>
          <w:sz w:val="24"/>
          <w:szCs w:val="24"/>
        </w:rPr>
        <w:t xml:space="preserve"> girl spoke about her understanding of violence, and the effects of adults</w:t>
      </w:r>
      <w:r w:rsidR="0026223C" w:rsidRPr="00222663">
        <w:rPr>
          <w:rFonts w:cstheme="minorHAnsi"/>
          <w:sz w:val="24"/>
          <w:szCs w:val="24"/>
        </w:rPr>
        <w:t>’</w:t>
      </w:r>
      <w:r w:rsidRPr="00222663">
        <w:rPr>
          <w:rFonts w:cstheme="minorHAnsi"/>
          <w:sz w:val="24"/>
          <w:szCs w:val="24"/>
        </w:rPr>
        <w:t xml:space="preserve"> abuse of alcohol and the non-enforcement of child protection laws</w:t>
      </w:r>
      <w:r w:rsidR="00DD54FB" w:rsidRPr="00222663">
        <w:rPr>
          <w:rFonts w:cstheme="minorHAnsi"/>
          <w:sz w:val="24"/>
          <w:szCs w:val="24"/>
        </w:rPr>
        <w:t>.</w:t>
      </w:r>
      <w:r w:rsidRPr="00222663">
        <w:rPr>
          <w:rFonts w:cstheme="minorHAnsi"/>
          <w:sz w:val="24"/>
          <w:szCs w:val="24"/>
        </w:rPr>
        <w:t xml:space="preserve"> </w:t>
      </w:r>
      <w:r w:rsidR="00DD54FB" w:rsidRPr="00222663">
        <w:rPr>
          <w:rFonts w:cstheme="minorHAnsi"/>
          <w:sz w:val="24"/>
          <w:szCs w:val="24"/>
        </w:rPr>
        <w:t>S</w:t>
      </w:r>
      <w:r w:rsidRPr="00222663">
        <w:rPr>
          <w:rFonts w:cstheme="minorHAnsi"/>
          <w:sz w:val="24"/>
          <w:szCs w:val="24"/>
        </w:rPr>
        <w:t xml:space="preserve">he said: </w:t>
      </w:r>
    </w:p>
    <w:p w14:paraId="680EA51C" w14:textId="7EB3878B" w:rsidR="00BA2118" w:rsidRPr="00222663" w:rsidRDefault="00BA2118" w:rsidP="006B7D91">
      <w:pPr>
        <w:spacing w:line="360" w:lineRule="auto"/>
        <w:ind w:left="720"/>
        <w:rPr>
          <w:rFonts w:eastAsia="Arial Unicode MS" w:cstheme="minorHAnsi"/>
          <w:sz w:val="24"/>
          <w:szCs w:val="24"/>
          <w:u w:color="000000"/>
          <w:bdr w:val="nil"/>
          <w:lang w:val="en-US"/>
        </w:rPr>
      </w:pPr>
      <w:r w:rsidRPr="00222663">
        <w:rPr>
          <w:rFonts w:cstheme="minorHAnsi"/>
          <w:sz w:val="24"/>
          <w:szCs w:val="24"/>
        </w:rPr>
        <w:t>Violence means not neglecting others, not fighting</w:t>
      </w:r>
      <w:r w:rsidR="00DC4253" w:rsidRPr="00222663">
        <w:rPr>
          <w:rFonts w:cstheme="minorHAnsi"/>
          <w:sz w:val="24"/>
          <w:szCs w:val="24"/>
        </w:rPr>
        <w:t>, not</w:t>
      </w:r>
      <w:r w:rsidRPr="00222663">
        <w:rPr>
          <w:rFonts w:cstheme="minorHAnsi"/>
          <w:sz w:val="24"/>
          <w:szCs w:val="24"/>
        </w:rPr>
        <w:t xml:space="preserve"> beating others and not giving trouble to others by drinking. Laws are not being followed in our country. No one has followed the rules the government has made. </w:t>
      </w:r>
    </w:p>
    <w:p w14:paraId="14E123AD" w14:textId="67C7BD0B" w:rsidR="00BA2118" w:rsidRPr="00222663" w:rsidRDefault="00BA2118" w:rsidP="006B7D91">
      <w:pPr>
        <w:spacing w:line="360" w:lineRule="auto"/>
        <w:rPr>
          <w:rFonts w:eastAsia="Arial Unicode MS" w:cstheme="minorHAnsi"/>
          <w:sz w:val="24"/>
          <w:szCs w:val="24"/>
          <w:u w:color="000000"/>
          <w:bdr w:val="nil"/>
          <w:lang w:val="en-US"/>
        </w:rPr>
      </w:pPr>
      <w:r w:rsidRPr="00222663">
        <w:rPr>
          <w:rFonts w:eastAsia="Arial Unicode MS" w:cstheme="minorHAnsi"/>
          <w:sz w:val="24"/>
          <w:szCs w:val="24"/>
          <w:u w:color="000000"/>
          <w:bdr w:val="nil"/>
          <w:lang w:val="en-US"/>
        </w:rPr>
        <w:t>Participants in the older cohort spoke about violence against girls in terms of rape, teasing, hitting, abuse on the streets</w:t>
      </w:r>
      <w:r w:rsidR="00873742" w:rsidRPr="00222663">
        <w:rPr>
          <w:rFonts w:eastAsia="Arial Unicode MS" w:cstheme="minorHAnsi"/>
          <w:sz w:val="24"/>
          <w:szCs w:val="24"/>
          <w:u w:color="000000"/>
          <w:bdr w:val="nil"/>
          <w:lang w:val="en-US"/>
        </w:rPr>
        <w:t>,</w:t>
      </w:r>
      <w:r w:rsidRPr="00222663">
        <w:rPr>
          <w:rFonts w:eastAsia="Arial Unicode MS" w:cstheme="minorHAnsi"/>
          <w:sz w:val="24"/>
          <w:szCs w:val="24"/>
          <w:u w:color="000000"/>
          <w:bdr w:val="nil"/>
          <w:lang w:val="en-US"/>
        </w:rPr>
        <w:t xml:space="preserve"> and girls’ unequal and inadequate access to education, food and </w:t>
      </w:r>
      <w:r w:rsidRPr="00222663">
        <w:rPr>
          <w:rFonts w:eastAsia="Arial Unicode MS" w:cstheme="minorHAnsi"/>
          <w:sz w:val="24"/>
          <w:szCs w:val="24"/>
          <w:u w:color="000000"/>
          <w:bdr w:val="nil"/>
          <w:lang w:val="en-US"/>
        </w:rPr>
        <w:lastRenderedPageBreak/>
        <w:t>nutrition in comparison to boys. As mentioned, the younger cohort did not speak about sexual violence toward girls.</w:t>
      </w:r>
    </w:p>
    <w:p w14:paraId="1C226B08" w14:textId="6545EAEA" w:rsidR="00BA2118" w:rsidRPr="00222663" w:rsidRDefault="00BA2118" w:rsidP="00CB4B05">
      <w:pPr>
        <w:spacing w:line="360" w:lineRule="auto"/>
        <w:rPr>
          <w:rFonts w:eastAsia="Arial Unicode MS" w:cstheme="minorHAnsi"/>
          <w:sz w:val="24"/>
          <w:szCs w:val="24"/>
          <w:u w:color="000000"/>
          <w:bdr w:val="nil"/>
          <w:lang w:val="en-US"/>
        </w:rPr>
      </w:pPr>
      <w:r w:rsidRPr="00222663">
        <w:rPr>
          <w:rFonts w:eastAsia="Arial Unicode MS" w:cstheme="minorHAnsi"/>
          <w:sz w:val="24"/>
          <w:szCs w:val="24"/>
          <w:u w:color="000000"/>
          <w:bdr w:val="nil"/>
          <w:lang w:val="en-US"/>
        </w:rPr>
        <w:t>Most participants in both cohorts said that children should be consulted about the development of laws to stop violence against</w:t>
      </w:r>
      <w:r w:rsidR="00A474A9">
        <w:rPr>
          <w:rFonts w:eastAsia="Arial Unicode MS" w:cstheme="minorHAnsi"/>
          <w:sz w:val="24"/>
          <w:szCs w:val="24"/>
          <w:u w:color="000000"/>
          <w:bdr w:val="nil"/>
          <w:lang w:val="en-US"/>
        </w:rPr>
        <w:t xml:space="preserve"> them, </w:t>
      </w:r>
      <w:proofErr w:type="spellStart"/>
      <w:r w:rsidR="00A474A9">
        <w:rPr>
          <w:rFonts w:eastAsia="Arial Unicode MS" w:cstheme="minorHAnsi"/>
          <w:sz w:val="24"/>
          <w:szCs w:val="24"/>
          <w:u w:color="000000"/>
          <w:bdr w:val="nil"/>
          <w:lang w:val="en-US"/>
        </w:rPr>
        <w:t>emphasi</w:t>
      </w:r>
      <w:r w:rsidR="00742AF0">
        <w:rPr>
          <w:rFonts w:eastAsia="Arial Unicode MS" w:cstheme="minorHAnsi"/>
          <w:sz w:val="24"/>
          <w:szCs w:val="24"/>
          <w:u w:color="000000"/>
          <w:bdr w:val="nil"/>
          <w:lang w:val="en-US"/>
        </w:rPr>
        <w:t>s</w:t>
      </w:r>
      <w:r w:rsidR="00A474A9">
        <w:rPr>
          <w:rFonts w:eastAsia="Arial Unicode MS" w:cstheme="minorHAnsi"/>
          <w:sz w:val="24"/>
          <w:szCs w:val="24"/>
          <w:u w:color="000000"/>
          <w:bdr w:val="nil"/>
          <w:lang w:val="en-US"/>
        </w:rPr>
        <w:t>ing</w:t>
      </w:r>
      <w:proofErr w:type="spellEnd"/>
      <w:r w:rsidR="00A474A9">
        <w:rPr>
          <w:rFonts w:eastAsia="Arial Unicode MS" w:cstheme="minorHAnsi"/>
          <w:sz w:val="24"/>
          <w:szCs w:val="24"/>
          <w:u w:color="000000"/>
          <w:bdr w:val="nil"/>
          <w:lang w:val="en-US"/>
        </w:rPr>
        <w:t xml:space="preserve"> that children’s</w:t>
      </w:r>
      <w:r w:rsidR="00CC2921">
        <w:rPr>
          <w:rFonts w:eastAsia="Arial Unicode MS" w:cstheme="minorHAnsi"/>
          <w:sz w:val="24"/>
          <w:szCs w:val="24"/>
          <w:u w:color="000000"/>
          <w:bdr w:val="nil"/>
          <w:lang w:val="en-US"/>
        </w:rPr>
        <w:t xml:space="preserve"> </w:t>
      </w:r>
      <w:r w:rsidRPr="00222663">
        <w:rPr>
          <w:rFonts w:eastAsia="Arial Unicode MS" w:cstheme="minorHAnsi"/>
          <w:sz w:val="24"/>
          <w:szCs w:val="24"/>
          <w:u w:color="000000"/>
          <w:bdr w:val="nil"/>
          <w:lang w:val="en-US"/>
        </w:rPr>
        <w:t>lived experience</w:t>
      </w:r>
      <w:r w:rsidR="00A474A9">
        <w:rPr>
          <w:rFonts w:eastAsia="Arial Unicode MS" w:cstheme="minorHAnsi"/>
          <w:sz w:val="24"/>
          <w:szCs w:val="24"/>
          <w:u w:color="000000"/>
          <w:bdr w:val="nil"/>
          <w:lang w:val="en-US"/>
        </w:rPr>
        <w:t>s</w:t>
      </w:r>
      <w:r w:rsidRPr="00222663">
        <w:rPr>
          <w:rFonts w:eastAsia="Arial Unicode MS" w:cstheme="minorHAnsi"/>
          <w:sz w:val="24"/>
          <w:szCs w:val="24"/>
          <w:u w:color="000000"/>
          <w:bdr w:val="nil"/>
          <w:lang w:val="en-US"/>
        </w:rPr>
        <w:t xml:space="preserve"> </w:t>
      </w:r>
      <w:r w:rsidR="00A474A9">
        <w:rPr>
          <w:rFonts w:eastAsia="Arial Unicode MS" w:cstheme="minorHAnsi"/>
          <w:sz w:val="24"/>
          <w:szCs w:val="24"/>
          <w:u w:color="000000"/>
          <w:bdr w:val="nil"/>
          <w:lang w:val="en-US"/>
        </w:rPr>
        <w:t>provide valuable insights that</w:t>
      </w:r>
      <w:r w:rsidRPr="00222663">
        <w:rPr>
          <w:rFonts w:eastAsia="Arial Unicode MS" w:cstheme="minorHAnsi"/>
          <w:sz w:val="24"/>
          <w:szCs w:val="24"/>
          <w:u w:color="000000"/>
          <w:bdr w:val="nil"/>
          <w:lang w:val="en-US"/>
        </w:rPr>
        <w:t xml:space="preserve"> would assist law and policy makers </w:t>
      </w:r>
      <w:r w:rsidR="00A474A9">
        <w:rPr>
          <w:rFonts w:eastAsia="Arial Unicode MS" w:cstheme="minorHAnsi"/>
          <w:sz w:val="24"/>
          <w:szCs w:val="24"/>
          <w:u w:color="000000"/>
          <w:bdr w:val="nil"/>
          <w:lang w:val="en-US"/>
        </w:rPr>
        <w:t>in</w:t>
      </w:r>
      <w:r w:rsidRPr="00222663">
        <w:rPr>
          <w:rFonts w:eastAsia="Arial Unicode MS" w:cstheme="minorHAnsi"/>
          <w:sz w:val="24"/>
          <w:szCs w:val="24"/>
          <w:u w:color="000000"/>
          <w:bdr w:val="nil"/>
          <w:lang w:val="en-US"/>
        </w:rPr>
        <w:t xml:space="preserve"> designing child related laws and policies.</w:t>
      </w:r>
      <w:r w:rsidR="00B64098" w:rsidRPr="00222663">
        <w:rPr>
          <w:rFonts w:eastAsia="Arial Unicode MS" w:cstheme="minorHAnsi"/>
          <w:sz w:val="24"/>
          <w:szCs w:val="24"/>
          <w:u w:color="000000"/>
          <w:bdr w:val="nil"/>
          <w:lang w:val="en-US"/>
        </w:rPr>
        <w:t xml:space="preserve"> </w:t>
      </w:r>
      <w:r w:rsidRPr="00222663">
        <w:rPr>
          <w:rFonts w:eastAsia="Arial Unicode MS" w:cstheme="minorHAnsi"/>
          <w:sz w:val="24"/>
          <w:szCs w:val="24"/>
          <w:u w:color="000000"/>
          <w:bdr w:val="nil"/>
          <w:lang w:val="en-US"/>
        </w:rPr>
        <w:t xml:space="preserve">All participants said that violence against children is a problem but that there is very little enforcement and very little investment in anti-violence awareness raising campaigns, other than those conducted by non-government </w:t>
      </w:r>
      <w:proofErr w:type="spellStart"/>
      <w:r w:rsidRPr="00222663">
        <w:rPr>
          <w:rFonts w:eastAsia="Arial Unicode MS" w:cstheme="minorHAnsi"/>
          <w:sz w:val="24"/>
          <w:szCs w:val="24"/>
          <w:u w:color="000000"/>
          <w:bdr w:val="nil"/>
          <w:lang w:val="en-US"/>
        </w:rPr>
        <w:t>organisations</w:t>
      </w:r>
      <w:proofErr w:type="spellEnd"/>
      <w:r w:rsidRPr="00222663">
        <w:rPr>
          <w:rFonts w:eastAsia="Arial Unicode MS" w:cstheme="minorHAnsi"/>
          <w:sz w:val="24"/>
          <w:szCs w:val="24"/>
          <w:u w:color="000000"/>
          <w:bdr w:val="nil"/>
          <w:lang w:val="en-US"/>
        </w:rPr>
        <w:t xml:space="preserve">. </w:t>
      </w:r>
    </w:p>
    <w:p w14:paraId="57872D49" w14:textId="5E6FB5D5" w:rsidR="00BA2118" w:rsidRPr="00222663" w:rsidRDefault="00BA2118" w:rsidP="006B7D91">
      <w:pPr>
        <w:spacing w:after="160" w:line="360" w:lineRule="auto"/>
        <w:rPr>
          <w:rFonts w:eastAsia="Arial Unicode MS" w:cstheme="minorHAnsi"/>
          <w:sz w:val="24"/>
          <w:szCs w:val="24"/>
          <w:u w:color="000000"/>
          <w:bdr w:val="nil"/>
          <w:lang w:val="en-US"/>
        </w:rPr>
      </w:pPr>
      <w:r w:rsidRPr="00222663">
        <w:rPr>
          <w:rFonts w:eastAsia="Arial Unicode MS" w:cstheme="minorHAnsi"/>
          <w:sz w:val="24"/>
          <w:szCs w:val="24"/>
          <w:u w:color="000000"/>
          <w:bdr w:val="nil"/>
          <w:lang w:val="en-US"/>
        </w:rPr>
        <w:t xml:space="preserve">Boys in the older group </w:t>
      </w:r>
      <w:proofErr w:type="spellStart"/>
      <w:r w:rsidRPr="00222663">
        <w:rPr>
          <w:rFonts w:eastAsia="Arial Unicode MS" w:cstheme="minorHAnsi"/>
          <w:sz w:val="24"/>
          <w:szCs w:val="24"/>
          <w:u w:color="000000"/>
          <w:bdr w:val="nil"/>
          <w:lang w:val="en-US"/>
        </w:rPr>
        <w:t>emphasised</w:t>
      </w:r>
      <w:proofErr w:type="spellEnd"/>
      <w:r w:rsidRPr="00222663">
        <w:rPr>
          <w:rFonts w:eastAsia="Arial Unicode MS" w:cstheme="minorHAnsi"/>
          <w:sz w:val="24"/>
          <w:szCs w:val="24"/>
          <w:u w:color="000000"/>
          <w:bdr w:val="nil"/>
          <w:lang w:val="en-US"/>
        </w:rPr>
        <w:t xml:space="preserve"> the importance of enforcing laws that aim to uphold children’s rights and the importance of making new laws related to children’s </w:t>
      </w:r>
      <w:r w:rsidR="00C35FAE" w:rsidRPr="00222663">
        <w:rPr>
          <w:rFonts w:eastAsia="Arial Unicode MS" w:cstheme="minorHAnsi"/>
          <w:sz w:val="24"/>
          <w:szCs w:val="24"/>
          <w:u w:color="000000"/>
          <w:bdr w:val="nil"/>
          <w:lang w:val="en-US"/>
        </w:rPr>
        <w:t xml:space="preserve">and girls’ </w:t>
      </w:r>
      <w:r w:rsidRPr="00222663">
        <w:rPr>
          <w:rFonts w:eastAsia="Arial Unicode MS" w:cstheme="minorHAnsi"/>
          <w:sz w:val="24"/>
          <w:szCs w:val="24"/>
          <w:u w:color="000000"/>
          <w:bdr w:val="nil"/>
          <w:lang w:val="en-US"/>
        </w:rPr>
        <w:t>protection. The older boys also spoke frequently about children’s rights to adequate nutrition and good food</w:t>
      </w:r>
      <w:r w:rsidR="00F21C4F" w:rsidRPr="00222663">
        <w:rPr>
          <w:rFonts w:eastAsia="Arial Unicode MS" w:cstheme="minorHAnsi"/>
          <w:sz w:val="24"/>
          <w:szCs w:val="24"/>
          <w:u w:color="000000"/>
          <w:bdr w:val="nil"/>
          <w:lang w:val="en-US"/>
        </w:rPr>
        <w:t>,</w:t>
      </w:r>
      <w:r w:rsidRPr="00222663">
        <w:rPr>
          <w:rFonts w:eastAsia="Arial Unicode MS" w:cstheme="minorHAnsi"/>
          <w:sz w:val="24"/>
          <w:szCs w:val="24"/>
          <w:u w:color="000000"/>
          <w:bdr w:val="nil"/>
          <w:lang w:val="en-US"/>
        </w:rPr>
        <w:t xml:space="preserve"> </w:t>
      </w:r>
      <w:proofErr w:type="spellStart"/>
      <w:r w:rsidRPr="00222663">
        <w:rPr>
          <w:rFonts w:eastAsia="Arial Unicode MS" w:cstheme="minorHAnsi"/>
          <w:sz w:val="24"/>
          <w:szCs w:val="24"/>
          <w:u w:color="000000"/>
          <w:bdr w:val="nil"/>
          <w:lang w:val="en-US"/>
        </w:rPr>
        <w:t>signa</w:t>
      </w:r>
      <w:r w:rsidR="001F5746" w:rsidRPr="00222663">
        <w:rPr>
          <w:rFonts w:eastAsia="Arial Unicode MS" w:cstheme="minorHAnsi"/>
          <w:sz w:val="24"/>
          <w:szCs w:val="24"/>
          <w:u w:color="000000"/>
          <w:bdr w:val="nil"/>
          <w:lang w:val="en-US"/>
        </w:rPr>
        <w:t>l</w:t>
      </w:r>
      <w:r w:rsidRPr="00222663">
        <w:rPr>
          <w:rFonts w:eastAsia="Arial Unicode MS" w:cstheme="minorHAnsi"/>
          <w:sz w:val="24"/>
          <w:szCs w:val="24"/>
          <w:u w:color="000000"/>
          <w:bdr w:val="nil"/>
          <w:lang w:val="en-US"/>
        </w:rPr>
        <w:t>ling</w:t>
      </w:r>
      <w:proofErr w:type="spellEnd"/>
      <w:r w:rsidRPr="00222663">
        <w:rPr>
          <w:rFonts w:eastAsia="Arial Unicode MS" w:cstheme="minorHAnsi"/>
          <w:sz w:val="24"/>
          <w:szCs w:val="24"/>
          <w:u w:color="000000"/>
          <w:bdr w:val="nil"/>
          <w:lang w:val="en-US"/>
        </w:rPr>
        <w:t xml:space="preserve"> that food insecurity for many children, irrespective of gender, is a widespread problem in Kathmandu Valley. Girls in the older group </w:t>
      </w:r>
      <w:proofErr w:type="spellStart"/>
      <w:r w:rsidRPr="00222663">
        <w:rPr>
          <w:rFonts w:eastAsia="Arial Unicode MS" w:cstheme="minorHAnsi"/>
          <w:sz w:val="24"/>
          <w:szCs w:val="24"/>
          <w:u w:color="000000"/>
          <w:bdr w:val="nil"/>
          <w:lang w:val="en-US"/>
        </w:rPr>
        <w:t>emphasised</w:t>
      </w:r>
      <w:proofErr w:type="spellEnd"/>
      <w:r w:rsidRPr="00222663">
        <w:rPr>
          <w:rFonts w:eastAsia="Arial Unicode MS" w:cstheme="minorHAnsi"/>
          <w:sz w:val="24"/>
          <w:szCs w:val="24"/>
          <w:u w:color="000000"/>
          <w:bdr w:val="nil"/>
          <w:lang w:val="en-US"/>
        </w:rPr>
        <w:t xml:space="preserve"> the need for more community policing to protect girls on the street, and the need to rais</w:t>
      </w:r>
      <w:r w:rsidR="00C7638C" w:rsidRPr="00222663">
        <w:rPr>
          <w:rFonts w:eastAsia="Arial Unicode MS" w:cstheme="minorHAnsi"/>
          <w:sz w:val="24"/>
          <w:szCs w:val="24"/>
          <w:u w:color="000000"/>
          <w:bdr w:val="nil"/>
          <w:lang w:val="en-US"/>
        </w:rPr>
        <w:t>e</w:t>
      </w:r>
      <w:r w:rsidRPr="00222663">
        <w:rPr>
          <w:rFonts w:eastAsia="Arial Unicode MS" w:cstheme="minorHAnsi"/>
          <w:sz w:val="24"/>
          <w:szCs w:val="24"/>
          <w:u w:color="000000"/>
          <w:bdr w:val="nil"/>
          <w:lang w:val="en-US"/>
        </w:rPr>
        <w:t xml:space="preserve"> awareness about violence against girls in the community. The</w:t>
      </w:r>
      <w:r w:rsidR="004C1120">
        <w:rPr>
          <w:rFonts w:eastAsia="Arial Unicode MS" w:cstheme="minorHAnsi"/>
          <w:sz w:val="24"/>
          <w:szCs w:val="24"/>
          <w:u w:color="000000"/>
          <w:bdr w:val="nil"/>
          <w:lang w:val="en-US"/>
        </w:rPr>
        <w:t xml:space="preserve"> older girls</w:t>
      </w:r>
      <w:r w:rsidRPr="00222663">
        <w:rPr>
          <w:rFonts w:eastAsia="Arial Unicode MS" w:cstheme="minorHAnsi"/>
          <w:sz w:val="24"/>
          <w:szCs w:val="24"/>
          <w:u w:color="000000"/>
          <w:bdr w:val="nil"/>
          <w:lang w:val="en-US"/>
        </w:rPr>
        <w:t xml:space="preserve"> also spoke frequently about child protection concerns and the need for elders and custodians to, for instance, accompany girls when travelling to and from school because this is when girls experience the most sexual harassment on the street. </w:t>
      </w:r>
    </w:p>
    <w:p w14:paraId="0339EE49" w14:textId="0027AF7D" w:rsidR="00C35FAE" w:rsidRPr="00222663" w:rsidRDefault="00C35FAE" w:rsidP="001710E2">
      <w:pPr>
        <w:pStyle w:val="Heading2"/>
      </w:pPr>
      <w:r w:rsidRPr="00222663">
        <w:t>Barriers to Ending Violence and Discrimination Against Girls</w:t>
      </w:r>
      <w:r w:rsidR="00821471" w:rsidRPr="00222663">
        <w:t xml:space="preserve"> and Ideas for Reform </w:t>
      </w:r>
    </w:p>
    <w:p w14:paraId="77E12D8C" w14:textId="45E973D0" w:rsidR="00BA2118" w:rsidRPr="00222663" w:rsidRDefault="00BA2118" w:rsidP="006B7D91">
      <w:pPr>
        <w:spacing w:line="360" w:lineRule="auto"/>
        <w:rPr>
          <w:rFonts w:cstheme="minorHAnsi"/>
          <w:sz w:val="24"/>
          <w:szCs w:val="24"/>
        </w:rPr>
      </w:pPr>
      <w:r w:rsidRPr="00222663">
        <w:rPr>
          <w:rFonts w:cstheme="minorHAnsi"/>
          <w:sz w:val="24"/>
          <w:szCs w:val="24"/>
        </w:rPr>
        <w:t xml:space="preserve">Participants identified three </w:t>
      </w:r>
      <w:r w:rsidR="00C7638C" w:rsidRPr="00222663">
        <w:rPr>
          <w:rFonts w:cstheme="minorHAnsi"/>
          <w:sz w:val="24"/>
          <w:szCs w:val="24"/>
        </w:rPr>
        <w:t>main</w:t>
      </w:r>
      <w:r w:rsidRPr="00222663">
        <w:rPr>
          <w:rFonts w:cstheme="minorHAnsi"/>
          <w:sz w:val="24"/>
          <w:szCs w:val="24"/>
        </w:rPr>
        <w:t xml:space="preserve"> barriers to stopping violence and discrimination against girls in Nepal. First, many participants spoke about the fact that laws designed to protect girls from abuse are </w:t>
      </w:r>
      <w:r w:rsidR="001651B3" w:rsidRPr="00222663">
        <w:rPr>
          <w:rFonts w:cstheme="minorHAnsi"/>
          <w:sz w:val="24"/>
          <w:szCs w:val="24"/>
        </w:rPr>
        <w:t xml:space="preserve">not </w:t>
      </w:r>
      <w:r w:rsidRPr="00222663">
        <w:rPr>
          <w:rFonts w:cstheme="minorHAnsi"/>
          <w:sz w:val="24"/>
          <w:szCs w:val="24"/>
        </w:rPr>
        <w:t>enforced by police</w:t>
      </w:r>
      <w:r w:rsidR="0006661F" w:rsidRPr="00222663">
        <w:rPr>
          <w:rFonts w:cstheme="minorHAnsi"/>
          <w:sz w:val="24"/>
          <w:szCs w:val="24"/>
        </w:rPr>
        <w:t>,</w:t>
      </w:r>
      <w:r w:rsidRPr="00222663">
        <w:rPr>
          <w:rFonts w:cstheme="minorHAnsi"/>
          <w:sz w:val="24"/>
          <w:szCs w:val="24"/>
        </w:rPr>
        <w:t xml:space="preserve"> and because of this</w:t>
      </w:r>
      <w:r w:rsidR="005302FB" w:rsidRPr="00222663">
        <w:rPr>
          <w:rFonts w:cstheme="minorHAnsi"/>
          <w:sz w:val="24"/>
          <w:szCs w:val="24"/>
        </w:rPr>
        <w:t>,</w:t>
      </w:r>
      <w:r w:rsidRPr="00222663">
        <w:rPr>
          <w:rFonts w:cstheme="minorHAnsi"/>
          <w:sz w:val="24"/>
          <w:szCs w:val="24"/>
        </w:rPr>
        <w:t xml:space="preserve"> perpetrators act with impunity. All children </w:t>
      </w:r>
      <w:r w:rsidR="000F42C9" w:rsidRPr="00222663">
        <w:rPr>
          <w:rFonts w:cstheme="minorHAnsi"/>
          <w:sz w:val="24"/>
          <w:szCs w:val="24"/>
        </w:rPr>
        <w:t xml:space="preserve">said they </w:t>
      </w:r>
      <w:r w:rsidRPr="00222663">
        <w:rPr>
          <w:rFonts w:cstheme="minorHAnsi"/>
          <w:sz w:val="24"/>
          <w:szCs w:val="24"/>
        </w:rPr>
        <w:t xml:space="preserve">knew about the Constitution </w:t>
      </w:r>
      <w:r w:rsidR="00065785" w:rsidRPr="00222663">
        <w:rPr>
          <w:rFonts w:cstheme="minorHAnsi"/>
          <w:sz w:val="24"/>
          <w:szCs w:val="24"/>
        </w:rPr>
        <w:t xml:space="preserve">of Nepal </w:t>
      </w:r>
      <w:r w:rsidRPr="00222663">
        <w:rPr>
          <w:rFonts w:cstheme="minorHAnsi"/>
          <w:sz w:val="24"/>
          <w:szCs w:val="24"/>
        </w:rPr>
        <w:t>and its provisions for children’s rights</w:t>
      </w:r>
      <w:r w:rsidR="000F42C9" w:rsidRPr="00222663">
        <w:rPr>
          <w:rFonts w:cstheme="minorHAnsi"/>
          <w:sz w:val="24"/>
          <w:szCs w:val="24"/>
        </w:rPr>
        <w:t xml:space="preserve"> through their involvement in local child clubs</w:t>
      </w:r>
      <w:r w:rsidR="00040E2B">
        <w:rPr>
          <w:rFonts w:cstheme="minorHAnsi"/>
          <w:sz w:val="24"/>
          <w:szCs w:val="24"/>
        </w:rPr>
        <w:t>.</w:t>
      </w:r>
      <w:r w:rsidR="00A17D52" w:rsidRPr="00222663">
        <w:rPr>
          <w:rStyle w:val="FootnoteReference"/>
          <w:rFonts w:cstheme="minorHAnsi"/>
          <w:sz w:val="24"/>
          <w:szCs w:val="24"/>
        </w:rPr>
        <w:footnoteReference w:id="63"/>
      </w:r>
      <w:r w:rsidRPr="00222663">
        <w:rPr>
          <w:rFonts w:cstheme="minorHAnsi"/>
          <w:sz w:val="24"/>
          <w:szCs w:val="24"/>
        </w:rPr>
        <w:t xml:space="preserve"> </w:t>
      </w:r>
      <w:r w:rsidR="00040E2B">
        <w:rPr>
          <w:rFonts w:cstheme="minorHAnsi"/>
          <w:sz w:val="24"/>
          <w:szCs w:val="24"/>
        </w:rPr>
        <w:t xml:space="preserve">However, </w:t>
      </w:r>
      <w:r w:rsidRPr="00222663">
        <w:rPr>
          <w:rFonts w:cstheme="minorHAnsi"/>
          <w:sz w:val="24"/>
          <w:szCs w:val="24"/>
        </w:rPr>
        <w:t xml:space="preserve">all children agreed that this </w:t>
      </w:r>
      <w:r w:rsidRPr="00222663">
        <w:rPr>
          <w:rFonts w:cstheme="minorHAnsi"/>
          <w:sz w:val="24"/>
          <w:szCs w:val="24"/>
        </w:rPr>
        <w:lastRenderedPageBreak/>
        <w:t>provision has little to no impact in the lives of children because it is ‘on paper only’ (female participant,</w:t>
      </w:r>
      <w:r w:rsidR="00E2169B" w:rsidRPr="00222663">
        <w:rPr>
          <w:rFonts w:cstheme="minorHAnsi"/>
          <w:sz w:val="24"/>
          <w:szCs w:val="24"/>
        </w:rPr>
        <w:t xml:space="preserve"> </w:t>
      </w:r>
      <w:r w:rsidRPr="00222663">
        <w:rPr>
          <w:rFonts w:cstheme="minorHAnsi"/>
          <w:sz w:val="24"/>
          <w:szCs w:val="24"/>
        </w:rPr>
        <w:t>13</w:t>
      </w:r>
      <w:r w:rsidR="00C94553" w:rsidRPr="00222663">
        <w:rPr>
          <w:rFonts w:cstheme="minorHAnsi"/>
          <w:sz w:val="24"/>
          <w:szCs w:val="24"/>
        </w:rPr>
        <w:t xml:space="preserve"> year</w:t>
      </w:r>
      <w:r w:rsidR="00510E02" w:rsidRPr="00222663">
        <w:rPr>
          <w:rFonts w:cstheme="minorHAnsi"/>
          <w:sz w:val="24"/>
          <w:szCs w:val="24"/>
        </w:rPr>
        <w:t xml:space="preserve">s </w:t>
      </w:r>
      <w:r w:rsidR="00C94553" w:rsidRPr="00222663">
        <w:rPr>
          <w:rFonts w:cstheme="minorHAnsi"/>
          <w:sz w:val="24"/>
          <w:szCs w:val="24"/>
        </w:rPr>
        <w:t>old</w:t>
      </w:r>
      <w:r w:rsidRPr="00222663">
        <w:rPr>
          <w:rFonts w:cstheme="minorHAnsi"/>
          <w:sz w:val="24"/>
          <w:szCs w:val="24"/>
        </w:rPr>
        <w:t xml:space="preserve">) meaning that it is codified in law, but </w:t>
      </w:r>
      <w:r w:rsidR="004C1120">
        <w:rPr>
          <w:rFonts w:cstheme="minorHAnsi"/>
          <w:sz w:val="24"/>
          <w:szCs w:val="24"/>
        </w:rPr>
        <w:t>it</w:t>
      </w:r>
      <w:r w:rsidR="004C1120" w:rsidRPr="00222663">
        <w:rPr>
          <w:rFonts w:cstheme="minorHAnsi"/>
          <w:sz w:val="24"/>
          <w:szCs w:val="24"/>
        </w:rPr>
        <w:t xml:space="preserve"> </w:t>
      </w:r>
      <w:r w:rsidRPr="00222663">
        <w:rPr>
          <w:rFonts w:cstheme="minorHAnsi"/>
          <w:sz w:val="24"/>
          <w:szCs w:val="24"/>
        </w:rPr>
        <w:t>has minimal bearing on the implementation of children’s rights in practice. Second, children and young people said that discrimination against girls is an endemic part of the social structure in Nepal and crimes against girls are not taken seriously. Finally, participants said there is a lack of trusted adults in positions of power to report incidents of abuse and violence to</w:t>
      </w:r>
      <w:r w:rsidR="001048E5" w:rsidRPr="00222663">
        <w:rPr>
          <w:rFonts w:cstheme="minorHAnsi"/>
          <w:sz w:val="24"/>
          <w:szCs w:val="24"/>
        </w:rPr>
        <w:t>,</w:t>
      </w:r>
      <w:r w:rsidRPr="00222663">
        <w:rPr>
          <w:rFonts w:cstheme="minorHAnsi"/>
          <w:sz w:val="24"/>
          <w:szCs w:val="24"/>
        </w:rPr>
        <w:t xml:space="preserve"> and even if there were such people to report to</w:t>
      </w:r>
      <w:r w:rsidR="001048E5" w:rsidRPr="00222663">
        <w:rPr>
          <w:rFonts w:cstheme="minorHAnsi"/>
          <w:sz w:val="24"/>
          <w:szCs w:val="24"/>
        </w:rPr>
        <w:t>,</w:t>
      </w:r>
      <w:r w:rsidRPr="00222663">
        <w:rPr>
          <w:rFonts w:cstheme="minorHAnsi"/>
          <w:sz w:val="24"/>
          <w:szCs w:val="24"/>
        </w:rPr>
        <w:t xml:space="preserve"> secrecy and taboo restrict children</w:t>
      </w:r>
      <w:r w:rsidR="004634AD" w:rsidRPr="00222663">
        <w:rPr>
          <w:rFonts w:cstheme="minorHAnsi"/>
          <w:sz w:val="24"/>
          <w:szCs w:val="24"/>
        </w:rPr>
        <w:t>’s</w:t>
      </w:r>
      <w:r w:rsidRPr="00222663">
        <w:rPr>
          <w:rFonts w:cstheme="minorHAnsi"/>
          <w:sz w:val="24"/>
          <w:szCs w:val="24"/>
        </w:rPr>
        <w:t xml:space="preserve"> and young people’s ability to discuss these matters openly. </w:t>
      </w:r>
    </w:p>
    <w:p w14:paraId="3C0C74DF" w14:textId="1758D102" w:rsidR="00502F6A" w:rsidRPr="00222663" w:rsidRDefault="00BA2118" w:rsidP="006B7D91">
      <w:pPr>
        <w:spacing w:line="360" w:lineRule="auto"/>
        <w:rPr>
          <w:rFonts w:cstheme="minorHAnsi"/>
          <w:sz w:val="24"/>
          <w:szCs w:val="24"/>
        </w:rPr>
      </w:pPr>
      <w:r w:rsidRPr="00222663">
        <w:rPr>
          <w:rFonts w:cstheme="minorHAnsi"/>
          <w:sz w:val="24"/>
          <w:szCs w:val="24"/>
        </w:rPr>
        <w:t>Children and young people suggested a range of measures the government could implement to address and stop violence and discrimination against girls. Many children in the 9-11</w:t>
      </w:r>
      <w:r w:rsidR="00C94553" w:rsidRPr="00222663">
        <w:rPr>
          <w:rFonts w:cstheme="minorHAnsi"/>
          <w:sz w:val="24"/>
          <w:szCs w:val="24"/>
        </w:rPr>
        <w:t xml:space="preserve"> </w:t>
      </w:r>
      <w:r w:rsidR="004C1120">
        <w:rPr>
          <w:rFonts w:cstheme="minorHAnsi"/>
          <w:sz w:val="24"/>
          <w:szCs w:val="24"/>
        </w:rPr>
        <w:t>years</w:t>
      </w:r>
      <w:r w:rsidR="004C491C">
        <w:rPr>
          <w:rFonts w:cstheme="minorHAnsi"/>
          <w:sz w:val="24"/>
          <w:szCs w:val="24"/>
        </w:rPr>
        <w:t xml:space="preserve"> </w:t>
      </w:r>
      <w:r w:rsidR="004C1120">
        <w:rPr>
          <w:rFonts w:cstheme="minorHAnsi"/>
          <w:sz w:val="24"/>
          <w:szCs w:val="24"/>
        </w:rPr>
        <w:t xml:space="preserve">old </w:t>
      </w:r>
      <w:r w:rsidRPr="00222663">
        <w:rPr>
          <w:rFonts w:cstheme="minorHAnsi"/>
          <w:sz w:val="24"/>
          <w:szCs w:val="24"/>
        </w:rPr>
        <w:t>cohort suggested that the first step to stopping violence against girls is to ensure equal and open access to education for all girls and address the nation</w:t>
      </w:r>
      <w:r w:rsidR="005A7465" w:rsidRPr="00222663">
        <w:rPr>
          <w:rFonts w:cstheme="minorHAnsi"/>
          <w:sz w:val="24"/>
          <w:szCs w:val="24"/>
        </w:rPr>
        <w:t>’</w:t>
      </w:r>
      <w:r w:rsidRPr="00222663">
        <w:rPr>
          <w:rFonts w:cstheme="minorHAnsi"/>
          <w:sz w:val="24"/>
          <w:szCs w:val="24"/>
        </w:rPr>
        <w:t>s serious food insecurity problem for children. A boy aged 10 said the government should</w:t>
      </w:r>
      <w:r w:rsidR="00502F6A" w:rsidRPr="00222663">
        <w:rPr>
          <w:rFonts w:cstheme="minorHAnsi"/>
          <w:sz w:val="24"/>
          <w:szCs w:val="24"/>
        </w:rPr>
        <w:t xml:space="preserve">: </w:t>
      </w:r>
    </w:p>
    <w:p w14:paraId="42D5FBC7" w14:textId="32441C29" w:rsidR="00502F6A" w:rsidRPr="00222663" w:rsidRDefault="00502F6A" w:rsidP="006B7D91">
      <w:pPr>
        <w:spacing w:line="360" w:lineRule="auto"/>
        <w:ind w:left="720"/>
        <w:rPr>
          <w:rFonts w:cstheme="minorHAnsi"/>
          <w:sz w:val="24"/>
          <w:szCs w:val="24"/>
        </w:rPr>
      </w:pPr>
      <w:r w:rsidRPr="00222663">
        <w:rPr>
          <w:rFonts w:cstheme="minorHAnsi"/>
          <w:sz w:val="24"/>
          <w:szCs w:val="24"/>
        </w:rPr>
        <w:t>D</w:t>
      </w:r>
      <w:r w:rsidR="00BA2118" w:rsidRPr="00222663">
        <w:rPr>
          <w:rFonts w:cstheme="minorHAnsi"/>
          <w:sz w:val="24"/>
          <w:szCs w:val="24"/>
        </w:rPr>
        <w:t>evelop the country, build schools for children, give nutritious food to children</w:t>
      </w:r>
      <w:r w:rsidR="005A7465" w:rsidRPr="00222663">
        <w:rPr>
          <w:rFonts w:cstheme="minorHAnsi"/>
          <w:sz w:val="24"/>
          <w:szCs w:val="24"/>
        </w:rPr>
        <w:t>,</w:t>
      </w:r>
      <w:r w:rsidR="00BA2118" w:rsidRPr="00222663">
        <w:rPr>
          <w:rFonts w:cstheme="minorHAnsi"/>
          <w:sz w:val="24"/>
          <w:szCs w:val="24"/>
        </w:rPr>
        <w:t xml:space="preserve"> and give them their rights</w:t>
      </w:r>
      <w:r w:rsidRPr="00222663">
        <w:rPr>
          <w:rFonts w:cstheme="minorHAnsi"/>
          <w:sz w:val="24"/>
          <w:szCs w:val="24"/>
        </w:rPr>
        <w:t>.</w:t>
      </w:r>
      <w:r w:rsidR="00BA2118" w:rsidRPr="00222663">
        <w:rPr>
          <w:rFonts w:cstheme="minorHAnsi"/>
          <w:sz w:val="24"/>
          <w:szCs w:val="24"/>
        </w:rPr>
        <w:t xml:space="preserve"> </w:t>
      </w:r>
    </w:p>
    <w:p w14:paraId="6A4DF9EB" w14:textId="77777777" w:rsidR="00D93256" w:rsidRPr="00222663" w:rsidRDefault="00BA2118" w:rsidP="006B7D91">
      <w:pPr>
        <w:spacing w:line="360" w:lineRule="auto"/>
        <w:rPr>
          <w:rFonts w:cstheme="minorHAnsi"/>
          <w:sz w:val="24"/>
          <w:szCs w:val="24"/>
        </w:rPr>
      </w:pPr>
      <w:r w:rsidRPr="00222663">
        <w:rPr>
          <w:rFonts w:cstheme="minorHAnsi"/>
          <w:sz w:val="24"/>
          <w:szCs w:val="24"/>
        </w:rPr>
        <w:t>Many other young children reiterated this suggestion, including a 9-year-old girl who said</w:t>
      </w:r>
      <w:r w:rsidR="00D93256" w:rsidRPr="00222663">
        <w:rPr>
          <w:rFonts w:cstheme="minorHAnsi"/>
          <w:sz w:val="24"/>
          <w:szCs w:val="24"/>
        </w:rPr>
        <w:t xml:space="preserve">: </w:t>
      </w:r>
    </w:p>
    <w:p w14:paraId="31DDCED4" w14:textId="660349C9" w:rsidR="00D93256" w:rsidRPr="00222663" w:rsidRDefault="00DF611D" w:rsidP="006B7D91">
      <w:pPr>
        <w:spacing w:line="360" w:lineRule="auto"/>
        <w:ind w:left="720"/>
        <w:rPr>
          <w:rFonts w:cstheme="minorHAnsi"/>
          <w:sz w:val="24"/>
          <w:szCs w:val="24"/>
        </w:rPr>
      </w:pPr>
      <w:r>
        <w:rPr>
          <w:rFonts w:cstheme="minorHAnsi"/>
          <w:sz w:val="24"/>
          <w:szCs w:val="24"/>
        </w:rPr>
        <w:t>I</w:t>
      </w:r>
      <w:r w:rsidR="00BA2118" w:rsidRPr="00222663">
        <w:rPr>
          <w:rFonts w:cstheme="minorHAnsi"/>
          <w:sz w:val="24"/>
          <w:szCs w:val="24"/>
        </w:rPr>
        <w:t xml:space="preserve">t would be nice if the government could build schools for the children, if </w:t>
      </w:r>
      <w:r w:rsidR="00F277B9" w:rsidRPr="00222663">
        <w:rPr>
          <w:rFonts w:cstheme="minorHAnsi"/>
          <w:sz w:val="24"/>
          <w:szCs w:val="24"/>
        </w:rPr>
        <w:t xml:space="preserve">the </w:t>
      </w:r>
      <w:r w:rsidR="00BA2118" w:rsidRPr="00222663">
        <w:rPr>
          <w:rFonts w:cstheme="minorHAnsi"/>
          <w:sz w:val="24"/>
          <w:szCs w:val="24"/>
        </w:rPr>
        <w:t xml:space="preserve">government could build schools in the villages. </w:t>
      </w:r>
    </w:p>
    <w:p w14:paraId="269CD8D9" w14:textId="628B5D3B" w:rsidR="00821471" w:rsidRPr="00222663" w:rsidRDefault="00BA2118" w:rsidP="006B7D91">
      <w:pPr>
        <w:spacing w:line="360" w:lineRule="auto"/>
        <w:rPr>
          <w:rFonts w:cstheme="minorHAnsi"/>
          <w:sz w:val="24"/>
          <w:szCs w:val="24"/>
        </w:rPr>
      </w:pPr>
      <w:r w:rsidRPr="00222663">
        <w:rPr>
          <w:rFonts w:cstheme="minorHAnsi"/>
          <w:sz w:val="24"/>
          <w:szCs w:val="24"/>
        </w:rPr>
        <w:t>Another</w:t>
      </w:r>
      <w:r w:rsidR="00821471" w:rsidRPr="00222663">
        <w:rPr>
          <w:rFonts w:cstheme="minorHAnsi"/>
          <w:sz w:val="24"/>
          <w:szCs w:val="24"/>
        </w:rPr>
        <w:t xml:space="preserve"> participant, a</w:t>
      </w:r>
      <w:r w:rsidRPr="00222663">
        <w:rPr>
          <w:rFonts w:cstheme="minorHAnsi"/>
          <w:sz w:val="24"/>
          <w:szCs w:val="24"/>
        </w:rPr>
        <w:t xml:space="preserve"> </w:t>
      </w:r>
      <w:r w:rsidR="00821471" w:rsidRPr="00222663">
        <w:rPr>
          <w:rFonts w:cstheme="minorHAnsi"/>
          <w:sz w:val="24"/>
          <w:szCs w:val="24"/>
        </w:rPr>
        <w:t xml:space="preserve">10-year-old boy, </w:t>
      </w:r>
      <w:r w:rsidRPr="00222663">
        <w:rPr>
          <w:rFonts w:cstheme="minorHAnsi"/>
          <w:sz w:val="24"/>
          <w:szCs w:val="24"/>
        </w:rPr>
        <w:t>correlated lack of access to education and clean water with conflict in communities</w:t>
      </w:r>
      <w:r w:rsidR="00482702">
        <w:rPr>
          <w:rFonts w:cstheme="minorHAnsi"/>
          <w:sz w:val="24"/>
          <w:szCs w:val="24"/>
        </w:rPr>
        <w:t>. H</w:t>
      </w:r>
      <w:r w:rsidRPr="00222663">
        <w:rPr>
          <w:rFonts w:cstheme="minorHAnsi"/>
          <w:sz w:val="24"/>
          <w:szCs w:val="24"/>
        </w:rPr>
        <w:t xml:space="preserve">e said: </w:t>
      </w:r>
    </w:p>
    <w:p w14:paraId="3246337C" w14:textId="5130F725" w:rsidR="00821471" w:rsidRPr="00222663" w:rsidRDefault="00BA2118" w:rsidP="006B7D91">
      <w:pPr>
        <w:spacing w:line="360" w:lineRule="auto"/>
        <w:ind w:left="720"/>
        <w:rPr>
          <w:rFonts w:cstheme="minorHAnsi"/>
          <w:sz w:val="24"/>
          <w:szCs w:val="24"/>
        </w:rPr>
      </w:pPr>
      <w:r w:rsidRPr="00222663">
        <w:rPr>
          <w:rFonts w:cstheme="minorHAnsi"/>
          <w:sz w:val="24"/>
          <w:szCs w:val="24"/>
        </w:rPr>
        <w:t>I wish the government would support poor people to go to school and provide water for poor people because this would stop others from fighting</w:t>
      </w:r>
      <w:r w:rsidR="00821471" w:rsidRPr="00222663">
        <w:rPr>
          <w:rFonts w:cstheme="minorHAnsi"/>
          <w:sz w:val="24"/>
          <w:szCs w:val="24"/>
        </w:rPr>
        <w:t>.</w:t>
      </w:r>
      <w:r w:rsidRPr="00222663">
        <w:rPr>
          <w:rFonts w:cstheme="minorHAnsi"/>
          <w:sz w:val="24"/>
          <w:szCs w:val="24"/>
        </w:rPr>
        <w:t xml:space="preserve"> </w:t>
      </w:r>
    </w:p>
    <w:p w14:paraId="663F396A" w14:textId="1640D23B" w:rsidR="00821471" w:rsidRPr="00222663" w:rsidRDefault="00BA2118" w:rsidP="006B7D91">
      <w:pPr>
        <w:spacing w:line="360" w:lineRule="auto"/>
        <w:rPr>
          <w:rFonts w:cstheme="minorHAnsi"/>
          <w:sz w:val="24"/>
          <w:szCs w:val="24"/>
        </w:rPr>
      </w:pPr>
      <w:r w:rsidRPr="00222663">
        <w:rPr>
          <w:rFonts w:cstheme="minorHAnsi"/>
          <w:sz w:val="24"/>
          <w:szCs w:val="24"/>
        </w:rPr>
        <w:t>Many children across both cohorts mentioned lack of access to adequate healthcare</w:t>
      </w:r>
      <w:r w:rsidR="00482702">
        <w:rPr>
          <w:rFonts w:cstheme="minorHAnsi"/>
          <w:sz w:val="24"/>
          <w:szCs w:val="24"/>
        </w:rPr>
        <w:t>. A</w:t>
      </w:r>
      <w:r w:rsidR="00821471" w:rsidRPr="00222663">
        <w:rPr>
          <w:rFonts w:cstheme="minorHAnsi"/>
          <w:sz w:val="24"/>
          <w:szCs w:val="24"/>
        </w:rPr>
        <w:t xml:space="preserve"> 9-year-old girl </w:t>
      </w:r>
      <w:r w:rsidRPr="00222663">
        <w:rPr>
          <w:rFonts w:cstheme="minorHAnsi"/>
          <w:sz w:val="24"/>
          <w:szCs w:val="24"/>
        </w:rPr>
        <w:t>said the government should</w:t>
      </w:r>
      <w:r w:rsidR="00821471" w:rsidRPr="00222663">
        <w:rPr>
          <w:rFonts w:cstheme="minorHAnsi"/>
          <w:sz w:val="24"/>
          <w:szCs w:val="24"/>
        </w:rPr>
        <w:t xml:space="preserve">: </w:t>
      </w:r>
    </w:p>
    <w:p w14:paraId="149D4082" w14:textId="2708F956" w:rsidR="00BA2118" w:rsidRPr="00222663" w:rsidRDefault="00821471" w:rsidP="006B7D91">
      <w:pPr>
        <w:spacing w:line="360" w:lineRule="auto"/>
        <w:ind w:left="720"/>
        <w:rPr>
          <w:rFonts w:cstheme="minorHAnsi"/>
          <w:sz w:val="24"/>
          <w:szCs w:val="24"/>
        </w:rPr>
      </w:pPr>
      <w:r w:rsidRPr="00222663">
        <w:rPr>
          <w:rFonts w:cstheme="minorHAnsi"/>
          <w:sz w:val="24"/>
          <w:szCs w:val="24"/>
        </w:rPr>
        <w:t>M</w:t>
      </w:r>
      <w:r w:rsidR="00BA2118" w:rsidRPr="00222663">
        <w:rPr>
          <w:rFonts w:cstheme="minorHAnsi"/>
          <w:sz w:val="24"/>
          <w:szCs w:val="24"/>
        </w:rPr>
        <w:t>ake hospitals for children, make big, big hospitals for children</w:t>
      </w:r>
      <w:r w:rsidRPr="00222663">
        <w:rPr>
          <w:rFonts w:cstheme="minorHAnsi"/>
          <w:sz w:val="24"/>
          <w:szCs w:val="24"/>
        </w:rPr>
        <w:t>.</w:t>
      </w:r>
      <w:r w:rsidR="00BA2118" w:rsidRPr="00222663">
        <w:rPr>
          <w:rFonts w:cstheme="minorHAnsi"/>
          <w:sz w:val="24"/>
          <w:szCs w:val="24"/>
        </w:rPr>
        <w:t xml:space="preserve"> </w:t>
      </w:r>
    </w:p>
    <w:p w14:paraId="6B766E60" w14:textId="77777777" w:rsidR="00821471" w:rsidRPr="00222663" w:rsidRDefault="00BA2118" w:rsidP="006B7D91">
      <w:pPr>
        <w:spacing w:line="360" w:lineRule="auto"/>
        <w:rPr>
          <w:rFonts w:cstheme="minorHAnsi"/>
          <w:sz w:val="24"/>
          <w:szCs w:val="24"/>
        </w:rPr>
      </w:pPr>
      <w:r w:rsidRPr="00222663">
        <w:rPr>
          <w:rFonts w:cstheme="minorHAnsi"/>
          <w:sz w:val="24"/>
          <w:szCs w:val="24"/>
        </w:rPr>
        <w:lastRenderedPageBreak/>
        <w:t xml:space="preserve">An 11-year-old girl summed up the sentiment expressed by all participants in relation to her vision for how to improve outcomes for children in Nepal when she said: </w:t>
      </w:r>
    </w:p>
    <w:p w14:paraId="6FC07D63" w14:textId="58A37564" w:rsidR="00BA2118" w:rsidRPr="00222663" w:rsidRDefault="00BA2118" w:rsidP="006B7D91">
      <w:pPr>
        <w:spacing w:line="360" w:lineRule="auto"/>
        <w:ind w:left="720"/>
        <w:rPr>
          <w:rFonts w:cstheme="minorHAnsi"/>
          <w:sz w:val="24"/>
          <w:szCs w:val="24"/>
        </w:rPr>
      </w:pPr>
      <w:r w:rsidRPr="00222663">
        <w:rPr>
          <w:rFonts w:cstheme="minorHAnsi"/>
          <w:sz w:val="24"/>
          <w:szCs w:val="24"/>
        </w:rPr>
        <w:t xml:space="preserve">I wish the government would come to our school and listen to us, that they would build schools for the children in the village, provide support to </w:t>
      </w:r>
      <w:r w:rsidR="002F1385" w:rsidRPr="00222663">
        <w:rPr>
          <w:rFonts w:cstheme="minorHAnsi"/>
          <w:sz w:val="24"/>
          <w:szCs w:val="24"/>
        </w:rPr>
        <w:t xml:space="preserve">the </w:t>
      </w:r>
      <w:r w:rsidRPr="00222663">
        <w:rPr>
          <w:rFonts w:cstheme="minorHAnsi"/>
          <w:sz w:val="24"/>
          <w:szCs w:val="24"/>
        </w:rPr>
        <w:t>poor, make</w:t>
      </w:r>
      <w:r w:rsidR="00E36990">
        <w:rPr>
          <w:rFonts w:cstheme="minorHAnsi"/>
          <w:sz w:val="24"/>
          <w:szCs w:val="24"/>
        </w:rPr>
        <w:t xml:space="preserve"> </w:t>
      </w:r>
      <w:r w:rsidRPr="00222663">
        <w:rPr>
          <w:rFonts w:cstheme="minorHAnsi"/>
          <w:sz w:val="24"/>
          <w:szCs w:val="24"/>
        </w:rPr>
        <w:t>hospitals</w:t>
      </w:r>
      <w:r w:rsidR="002F1385" w:rsidRPr="00222663">
        <w:rPr>
          <w:rFonts w:cstheme="minorHAnsi"/>
          <w:sz w:val="24"/>
          <w:szCs w:val="24"/>
        </w:rPr>
        <w:t>,</w:t>
      </w:r>
      <w:r w:rsidRPr="00222663">
        <w:rPr>
          <w:rFonts w:cstheme="minorHAnsi"/>
          <w:sz w:val="24"/>
          <w:szCs w:val="24"/>
        </w:rPr>
        <w:t xml:space="preserve"> and provide nutritious food.</w:t>
      </w:r>
    </w:p>
    <w:p w14:paraId="6E463064" w14:textId="34904E7C" w:rsidR="00BA2118" w:rsidRPr="00222663" w:rsidRDefault="00BA2118" w:rsidP="006B7D91">
      <w:pPr>
        <w:spacing w:line="360" w:lineRule="auto"/>
        <w:rPr>
          <w:rFonts w:cstheme="minorHAnsi"/>
          <w:b/>
          <w:bCs/>
          <w:sz w:val="24"/>
          <w:szCs w:val="24"/>
        </w:rPr>
      </w:pPr>
      <w:r w:rsidRPr="00222663">
        <w:rPr>
          <w:rFonts w:cstheme="minorHAnsi"/>
          <w:sz w:val="24"/>
          <w:szCs w:val="24"/>
        </w:rPr>
        <w:t>Other than expressing their enthusiasm about being asked about, and involved in, law and policy making to address and end violence against girls</w:t>
      </w:r>
      <w:r w:rsidR="00C70ECC" w:rsidRPr="00222663">
        <w:rPr>
          <w:rFonts w:cstheme="minorHAnsi"/>
          <w:sz w:val="24"/>
          <w:szCs w:val="24"/>
        </w:rPr>
        <w:t xml:space="preserve">, the </w:t>
      </w:r>
      <w:r w:rsidRPr="00222663">
        <w:rPr>
          <w:rFonts w:cstheme="minorHAnsi"/>
          <w:sz w:val="24"/>
          <w:szCs w:val="24"/>
        </w:rPr>
        <w:t>participants did not have the opportunity to elaborate on their ideas about how this could take place. This was because, as mentioned above, follow-up focus group discussions could not be undertaken because of COVID lockdowns and global border closures</w:t>
      </w:r>
      <w:r w:rsidR="00C70ECC" w:rsidRPr="00222663">
        <w:rPr>
          <w:rFonts w:cstheme="minorHAnsi"/>
          <w:sz w:val="24"/>
          <w:szCs w:val="24"/>
        </w:rPr>
        <w:t>,</w:t>
      </w:r>
      <w:r w:rsidRPr="00222663">
        <w:rPr>
          <w:rFonts w:cstheme="minorHAnsi"/>
          <w:sz w:val="24"/>
          <w:szCs w:val="24"/>
        </w:rPr>
        <w:t xml:space="preserve"> which meant that </w:t>
      </w:r>
      <w:r w:rsidR="00B10877">
        <w:rPr>
          <w:rFonts w:cstheme="minorHAnsi"/>
          <w:sz w:val="24"/>
          <w:szCs w:val="24"/>
        </w:rPr>
        <w:t>phase two of the</w:t>
      </w:r>
      <w:r w:rsidR="00B10877" w:rsidRPr="00222663">
        <w:rPr>
          <w:rFonts w:cstheme="minorHAnsi"/>
          <w:sz w:val="24"/>
          <w:szCs w:val="24"/>
        </w:rPr>
        <w:t xml:space="preserve"> </w:t>
      </w:r>
      <w:r w:rsidRPr="00222663">
        <w:rPr>
          <w:rFonts w:cstheme="minorHAnsi"/>
          <w:sz w:val="24"/>
          <w:szCs w:val="24"/>
        </w:rPr>
        <w:t xml:space="preserve">field research could not be completed. However, participants suggested that they have experienced participating in governance and decision-making processes in their child clubs and that perhaps the </w:t>
      </w:r>
      <w:r w:rsidR="00AE44A0" w:rsidRPr="00222663">
        <w:rPr>
          <w:rFonts w:cstheme="minorHAnsi"/>
          <w:sz w:val="24"/>
          <w:szCs w:val="24"/>
        </w:rPr>
        <w:t>G</w:t>
      </w:r>
      <w:r w:rsidRPr="00222663">
        <w:rPr>
          <w:rFonts w:cstheme="minorHAnsi"/>
          <w:sz w:val="24"/>
          <w:szCs w:val="24"/>
        </w:rPr>
        <w:t>overnment of Nepal and districts could involve them</w:t>
      </w:r>
      <w:r w:rsidR="00AE44A0" w:rsidRPr="00222663">
        <w:rPr>
          <w:rFonts w:cstheme="minorHAnsi"/>
          <w:sz w:val="24"/>
          <w:szCs w:val="24"/>
        </w:rPr>
        <w:t>,</w:t>
      </w:r>
      <w:r w:rsidRPr="00222663">
        <w:rPr>
          <w:rFonts w:cstheme="minorHAnsi"/>
          <w:sz w:val="24"/>
          <w:szCs w:val="24"/>
        </w:rPr>
        <w:t xml:space="preserve"> and seek their views</w:t>
      </w:r>
      <w:r w:rsidR="00AE44A0" w:rsidRPr="00222663">
        <w:rPr>
          <w:rFonts w:cstheme="minorHAnsi"/>
          <w:sz w:val="24"/>
          <w:szCs w:val="24"/>
        </w:rPr>
        <w:t>,</w:t>
      </w:r>
      <w:r w:rsidRPr="00222663">
        <w:rPr>
          <w:rFonts w:cstheme="minorHAnsi"/>
          <w:sz w:val="24"/>
          <w:szCs w:val="24"/>
        </w:rPr>
        <w:t xml:space="preserve"> by connecting with the extensive child club networks across Nepal. </w:t>
      </w:r>
    </w:p>
    <w:p w14:paraId="11B1643C" w14:textId="68D8FB0C" w:rsidR="00462683" w:rsidRPr="00222663" w:rsidRDefault="00B30878" w:rsidP="005342E9">
      <w:pPr>
        <w:pStyle w:val="Heading2"/>
      </w:pPr>
      <w:bookmarkStart w:id="6" w:name="_Toc435564519"/>
      <w:bookmarkStart w:id="7" w:name="_Toc437549609"/>
      <w:bookmarkStart w:id="8" w:name="_Toc457232167"/>
      <w:bookmarkStart w:id="9" w:name="_Toc463435387"/>
      <w:r w:rsidRPr="00222663">
        <w:t>C</w:t>
      </w:r>
      <w:bookmarkEnd w:id="6"/>
      <w:bookmarkEnd w:id="7"/>
      <w:bookmarkEnd w:id="8"/>
      <w:bookmarkEnd w:id="9"/>
      <w:r w:rsidR="00DF21B1" w:rsidRPr="00222663">
        <w:t>onclusion</w:t>
      </w:r>
      <w:r w:rsidR="00462683" w:rsidRPr="00222663">
        <w:t xml:space="preserve"> </w:t>
      </w:r>
    </w:p>
    <w:p w14:paraId="2DCC9CB0" w14:textId="6FCB68CE" w:rsidR="00BD325A" w:rsidRPr="00222663" w:rsidRDefault="00D10B18" w:rsidP="006B7D91">
      <w:pPr>
        <w:spacing w:line="360" w:lineRule="auto"/>
        <w:rPr>
          <w:rFonts w:cstheme="minorHAnsi"/>
          <w:sz w:val="24"/>
          <w:szCs w:val="24"/>
        </w:rPr>
      </w:pPr>
      <w:r w:rsidRPr="00222663">
        <w:rPr>
          <w:rFonts w:cstheme="minorHAnsi"/>
          <w:sz w:val="24"/>
          <w:szCs w:val="24"/>
        </w:rPr>
        <w:t>All children everywhere have the right to freedom from violence and discrimination in accordance with the provisions of the CRC and</w:t>
      </w:r>
      <w:r w:rsidR="00D67AFA">
        <w:rPr>
          <w:rFonts w:cstheme="minorHAnsi"/>
          <w:sz w:val="24"/>
          <w:szCs w:val="24"/>
        </w:rPr>
        <w:t xml:space="preserve"> </w:t>
      </w:r>
      <w:r w:rsidRPr="00222663">
        <w:rPr>
          <w:rFonts w:cstheme="minorHAnsi"/>
          <w:sz w:val="24"/>
          <w:szCs w:val="24"/>
        </w:rPr>
        <w:t>CEDAW. Despite Nepal’s ratification of these treaties</w:t>
      </w:r>
      <w:r w:rsidR="00BD325A" w:rsidRPr="00222663">
        <w:rPr>
          <w:rFonts w:cstheme="minorHAnsi"/>
          <w:sz w:val="24"/>
          <w:szCs w:val="24"/>
        </w:rPr>
        <w:t xml:space="preserve"> and the codification of children’s rights in </w:t>
      </w:r>
      <w:r w:rsidR="00271847" w:rsidRPr="00222663">
        <w:rPr>
          <w:rFonts w:cstheme="minorHAnsi"/>
          <w:sz w:val="24"/>
          <w:szCs w:val="24"/>
        </w:rPr>
        <w:t>A</w:t>
      </w:r>
      <w:r w:rsidR="00EE6C36" w:rsidRPr="00222663">
        <w:rPr>
          <w:rFonts w:cstheme="minorHAnsi"/>
          <w:sz w:val="24"/>
          <w:szCs w:val="24"/>
        </w:rPr>
        <w:t>rticle</w:t>
      </w:r>
      <w:r w:rsidR="0060117A" w:rsidRPr="00222663">
        <w:rPr>
          <w:rFonts w:cstheme="minorHAnsi"/>
          <w:sz w:val="24"/>
          <w:szCs w:val="24"/>
        </w:rPr>
        <w:t xml:space="preserve"> </w:t>
      </w:r>
      <w:r w:rsidR="00BD325A" w:rsidRPr="00222663">
        <w:rPr>
          <w:rFonts w:cstheme="minorHAnsi"/>
          <w:sz w:val="24"/>
          <w:szCs w:val="24"/>
        </w:rPr>
        <w:t xml:space="preserve">39 of Nepal’s </w:t>
      </w:r>
      <w:r w:rsidR="00DA1CBC" w:rsidRPr="00222663">
        <w:rPr>
          <w:rFonts w:cstheme="minorHAnsi"/>
          <w:sz w:val="24"/>
          <w:szCs w:val="24"/>
        </w:rPr>
        <w:t>C</w:t>
      </w:r>
      <w:r w:rsidR="00BD325A" w:rsidRPr="00222663">
        <w:rPr>
          <w:rFonts w:cstheme="minorHAnsi"/>
          <w:sz w:val="24"/>
          <w:szCs w:val="24"/>
        </w:rPr>
        <w:t>onstitution and other domestic legislation,</w:t>
      </w:r>
      <w:r w:rsidR="00F3648A" w:rsidRPr="00222663">
        <w:rPr>
          <w:rFonts w:cstheme="minorHAnsi"/>
          <w:sz w:val="24"/>
          <w:szCs w:val="24"/>
        </w:rPr>
        <w:t xml:space="preserve"> </w:t>
      </w:r>
      <w:r w:rsidR="005334FF" w:rsidRPr="00222663">
        <w:rPr>
          <w:rFonts w:cstheme="minorHAnsi"/>
          <w:sz w:val="24"/>
          <w:szCs w:val="24"/>
        </w:rPr>
        <w:t xml:space="preserve">the status of girls’ rights in Nepal remains a matter of </w:t>
      </w:r>
      <w:r w:rsidR="00AC60F6" w:rsidRPr="00222663">
        <w:rPr>
          <w:rFonts w:cstheme="minorHAnsi"/>
          <w:sz w:val="24"/>
          <w:szCs w:val="24"/>
        </w:rPr>
        <w:t xml:space="preserve">profound </w:t>
      </w:r>
      <w:r w:rsidR="005334FF" w:rsidRPr="00222663">
        <w:rPr>
          <w:rFonts w:cstheme="minorHAnsi"/>
          <w:sz w:val="24"/>
          <w:szCs w:val="24"/>
        </w:rPr>
        <w:t>concern.</w:t>
      </w:r>
      <w:r w:rsidRPr="00222663">
        <w:rPr>
          <w:rFonts w:cstheme="minorHAnsi"/>
          <w:sz w:val="24"/>
          <w:szCs w:val="24"/>
        </w:rPr>
        <w:t xml:space="preserve"> </w:t>
      </w:r>
      <w:r w:rsidR="00592479" w:rsidRPr="00222663">
        <w:rPr>
          <w:rFonts w:cstheme="minorHAnsi"/>
          <w:sz w:val="24"/>
          <w:szCs w:val="24"/>
        </w:rPr>
        <w:t>The non-fulfilment of girls’ rights to live free from violence in Nepal</w:t>
      </w:r>
      <w:r w:rsidR="00EB1E5A" w:rsidRPr="00222663">
        <w:rPr>
          <w:rFonts w:cstheme="minorHAnsi"/>
          <w:sz w:val="24"/>
          <w:szCs w:val="24"/>
        </w:rPr>
        <w:t xml:space="preserve"> (and elsewhere) negative</w:t>
      </w:r>
      <w:r w:rsidR="001275CA" w:rsidRPr="00222663">
        <w:rPr>
          <w:rFonts w:cstheme="minorHAnsi"/>
          <w:sz w:val="24"/>
          <w:szCs w:val="24"/>
        </w:rPr>
        <w:t>ly</w:t>
      </w:r>
      <w:r w:rsidR="00EB1E5A" w:rsidRPr="00222663">
        <w:rPr>
          <w:rFonts w:cstheme="minorHAnsi"/>
          <w:sz w:val="24"/>
          <w:szCs w:val="24"/>
        </w:rPr>
        <w:t xml:space="preserve"> impact</w:t>
      </w:r>
      <w:r w:rsidR="001275CA" w:rsidRPr="00222663">
        <w:rPr>
          <w:rFonts w:cstheme="minorHAnsi"/>
          <w:sz w:val="24"/>
          <w:szCs w:val="24"/>
        </w:rPr>
        <w:t>s</w:t>
      </w:r>
      <w:r w:rsidR="00EB1E5A" w:rsidRPr="00222663">
        <w:rPr>
          <w:rFonts w:cstheme="minorHAnsi"/>
          <w:sz w:val="24"/>
          <w:szCs w:val="24"/>
        </w:rPr>
        <w:t xml:space="preserve"> </w:t>
      </w:r>
      <w:r w:rsidR="00592479" w:rsidRPr="00222663">
        <w:rPr>
          <w:rFonts w:cstheme="minorHAnsi"/>
          <w:sz w:val="24"/>
          <w:szCs w:val="24"/>
        </w:rPr>
        <w:t>girls’ lives</w:t>
      </w:r>
      <w:r w:rsidR="001854F5" w:rsidRPr="00222663">
        <w:rPr>
          <w:rFonts w:cstheme="minorHAnsi"/>
          <w:sz w:val="24"/>
          <w:szCs w:val="24"/>
        </w:rPr>
        <w:t>,</w:t>
      </w:r>
      <w:r w:rsidR="00592479" w:rsidRPr="00222663">
        <w:rPr>
          <w:rFonts w:cstheme="minorHAnsi"/>
          <w:sz w:val="24"/>
          <w:szCs w:val="24"/>
        </w:rPr>
        <w:t xml:space="preserve"> </w:t>
      </w:r>
      <w:r w:rsidR="001275CA" w:rsidRPr="00222663">
        <w:rPr>
          <w:rFonts w:cstheme="minorHAnsi"/>
          <w:sz w:val="24"/>
          <w:szCs w:val="24"/>
        </w:rPr>
        <w:t>creating ‘gendered citizenship’</w:t>
      </w:r>
      <w:r w:rsidR="001275CA" w:rsidRPr="00222663">
        <w:rPr>
          <w:rStyle w:val="FootnoteReference"/>
          <w:rFonts w:cstheme="minorHAnsi"/>
          <w:sz w:val="24"/>
          <w:szCs w:val="24"/>
        </w:rPr>
        <w:footnoteReference w:id="64"/>
      </w:r>
      <w:r w:rsidR="001275CA" w:rsidRPr="00222663">
        <w:rPr>
          <w:rFonts w:cstheme="minorHAnsi"/>
          <w:sz w:val="24"/>
          <w:szCs w:val="24"/>
        </w:rPr>
        <w:t xml:space="preserve"> preventing</w:t>
      </w:r>
      <w:r w:rsidR="00592479" w:rsidRPr="00222663">
        <w:rPr>
          <w:rFonts w:cstheme="minorHAnsi"/>
          <w:sz w:val="24"/>
          <w:szCs w:val="24"/>
        </w:rPr>
        <w:t xml:space="preserve"> their full </w:t>
      </w:r>
      <w:r w:rsidR="001C0E77" w:rsidRPr="00222663">
        <w:rPr>
          <w:rFonts w:cstheme="minorHAnsi"/>
          <w:sz w:val="24"/>
          <w:szCs w:val="24"/>
        </w:rPr>
        <w:t xml:space="preserve">participation as </w:t>
      </w:r>
      <w:r w:rsidR="00592479" w:rsidRPr="00222663">
        <w:rPr>
          <w:rFonts w:cstheme="minorHAnsi"/>
          <w:sz w:val="24"/>
          <w:szCs w:val="24"/>
        </w:rPr>
        <w:t>citizen</w:t>
      </w:r>
      <w:r w:rsidR="001C0E77" w:rsidRPr="00222663">
        <w:rPr>
          <w:rFonts w:cstheme="minorHAnsi"/>
          <w:sz w:val="24"/>
          <w:szCs w:val="24"/>
        </w:rPr>
        <w:t>s</w:t>
      </w:r>
      <w:r w:rsidR="00AE1247" w:rsidRPr="00222663">
        <w:rPr>
          <w:rFonts w:cstheme="minorHAnsi"/>
          <w:sz w:val="24"/>
          <w:szCs w:val="24"/>
        </w:rPr>
        <w:t>.</w:t>
      </w:r>
      <w:r w:rsidR="00FF43C3" w:rsidRPr="00222663">
        <w:rPr>
          <w:rFonts w:cstheme="minorHAnsi"/>
          <w:sz w:val="24"/>
          <w:szCs w:val="24"/>
        </w:rPr>
        <w:t xml:space="preserve"> </w:t>
      </w:r>
    </w:p>
    <w:p w14:paraId="09703814" w14:textId="0F14886F" w:rsidR="003155B1" w:rsidRPr="00222663" w:rsidRDefault="008571E6" w:rsidP="007C7F26">
      <w:pPr>
        <w:spacing w:line="360" w:lineRule="auto"/>
        <w:rPr>
          <w:rFonts w:cstheme="minorHAnsi"/>
          <w:sz w:val="24"/>
          <w:szCs w:val="24"/>
        </w:rPr>
      </w:pPr>
      <w:r w:rsidRPr="00222663">
        <w:rPr>
          <w:rFonts w:cstheme="minorHAnsi"/>
          <w:sz w:val="24"/>
          <w:szCs w:val="24"/>
        </w:rPr>
        <w:t>C</w:t>
      </w:r>
      <w:r w:rsidR="00DE5BA0" w:rsidRPr="00222663">
        <w:rPr>
          <w:rFonts w:cstheme="minorHAnsi"/>
          <w:sz w:val="24"/>
          <w:szCs w:val="24"/>
        </w:rPr>
        <w:t xml:space="preserve">hildren and young people </w:t>
      </w:r>
      <w:r w:rsidRPr="00222663">
        <w:rPr>
          <w:rFonts w:cstheme="minorHAnsi"/>
          <w:sz w:val="24"/>
          <w:szCs w:val="24"/>
        </w:rPr>
        <w:t>in this study described violence and discrimination against girls in Nepal as ubiquitous</w:t>
      </w:r>
      <w:r w:rsidR="001D5B67" w:rsidRPr="00222663">
        <w:rPr>
          <w:rFonts w:cstheme="minorHAnsi"/>
          <w:sz w:val="24"/>
          <w:szCs w:val="24"/>
        </w:rPr>
        <w:t xml:space="preserve"> and</w:t>
      </w:r>
      <w:r w:rsidRPr="00222663">
        <w:rPr>
          <w:rFonts w:cstheme="minorHAnsi"/>
          <w:sz w:val="24"/>
          <w:szCs w:val="24"/>
        </w:rPr>
        <w:t xml:space="preserve"> a pressing social problem</w:t>
      </w:r>
      <w:r w:rsidR="003155B1" w:rsidRPr="00222663">
        <w:rPr>
          <w:rFonts w:cstheme="minorHAnsi"/>
          <w:sz w:val="24"/>
          <w:szCs w:val="24"/>
        </w:rPr>
        <w:t xml:space="preserve">. </w:t>
      </w:r>
      <w:r w:rsidR="0004679B" w:rsidRPr="00222663">
        <w:rPr>
          <w:rFonts w:cstheme="minorHAnsi"/>
          <w:sz w:val="24"/>
          <w:szCs w:val="24"/>
        </w:rPr>
        <w:t>Participants demonstrated</w:t>
      </w:r>
      <w:r w:rsidR="00021350" w:rsidRPr="00222663">
        <w:rPr>
          <w:rFonts w:cstheme="minorHAnsi"/>
          <w:sz w:val="24"/>
          <w:szCs w:val="24"/>
        </w:rPr>
        <w:t xml:space="preserve"> aware</w:t>
      </w:r>
      <w:r w:rsidR="0004679B" w:rsidRPr="00222663">
        <w:rPr>
          <w:rFonts w:cstheme="minorHAnsi"/>
          <w:sz w:val="24"/>
          <w:szCs w:val="24"/>
        </w:rPr>
        <w:t>ness</w:t>
      </w:r>
      <w:r w:rsidR="00021350" w:rsidRPr="00222663">
        <w:rPr>
          <w:rFonts w:cstheme="minorHAnsi"/>
          <w:sz w:val="24"/>
          <w:szCs w:val="24"/>
        </w:rPr>
        <w:t xml:space="preserve"> of laws prohibiting </w:t>
      </w:r>
      <w:r w:rsidR="003155B1" w:rsidRPr="00222663">
        <w:rPr>
          <w:rFonts w:cstheme="minorHAnsi"/>
          <w:sz w:val="24"/>
          <w:szCs w:val="24"/>
        </w:rPr>
        <w:t xml:space="preserve">violence and discrimination against girls, including </w:t>
      </w:r>
      <w:r w:rsidR="005334FF" w:rsidRPr="00222663">
        <w:rPr>
          <w:rFonts w:cstheme="minorHAnsi"/>
          <w:sz w:val="24"/>
          <w:szCs w:val="24"/>
        </w:rPr>
        <w:t xml:space="preserve">many </w:t>
      </w:r>
      <w:r w:rsidR="003155B1" w:rsidRPr="00222663">
        <w:rPr>
          <w:rFonts w:cstheme="minorHAnsi"/>
          <w:sz w:val="24"/>
          <w:szCs w:val="24"/>
        </w:rPr>
        <w:t>being aware of the children’s rights provision</w:t>
      </w:r>
      <w:r w:rsidR="005334FF" w:rsidRPr="00222663">
        <w:rPr>
          <w:rFonts w:cstheme="minorHAnsi"/>
          <w:sz w:val="24"/>
          <w:szCs w:val="24"/>
        </w:rPr>
        <w:t>s</w:t>
      </w:r>
      <w:r w:rsidR="003155B1" w:rsidRPr="00222663">
        <w:rPr>
          <w:rFonts w:cstheme="minorHAnsi"/>
          <w:sz w:val="24"/>
          <w:szCs w:val="24"/>
        </w:rPr>
        <w:t xml:space="preserve"> contained in</w:t>
      </w:r>
      <w:r w:rsidR="0060117A" w:rsidRPr="00222663">
        <w:rPr>
          <w:rFonts w:cstheme="minorHAnsi"/>
          <w:sz w:val="24"/>
          <w:szCs w:val="24"/>
        </w:rPr>
        <w:t xml:space="preserve"> </w:t>
      </w:r>
      <w:r w:rsidR="00BA4162" w:rsidRPr="00222663">
        <w:rPr>
          <w:rFonts w:cstheme="minorHAnsi"/>
          <w:sz w:val="24"/>
          <w:szCs w:val="24"/>
        </w:rPr>
        <w:t>A</w:t>
      </w:r>
      <w:r w:rsidR="00EE6C36" w:rsidRPr="00222663">
        <w:rPr>
          <w:rFonts w:cstheme="minorHAnsi"/>
          <w:sz w:val="24"/>
          <w:szCs w:val="24"/>
        </w:rPr>
        <w:t>rticle</w:t>
      </w:r>
      <w:r w:rsidR="0060117A" w:rsidRPr="00222663">
        <w:rPr>
          <w:rFonts w:cstheme="minorHAnsi"/>
          <w:sz w:val="24"/>
          <w:szCs w:val="24"/>
        </w:rPr>
        <w:t xml:space="preserve"> </w:t>
      </w:r>
      <w:r w:rsidR="003155B1" w:rsidRPr="00222663">
        <w:rPr>
          <w:rFonts w:cstheme="minorHAnsi"/>
          <w:sz w:val="24"/>
          <w:szCs w:val="24"/>
        </w:rPr>
        <w:t xml:space="preserve">39 of Nepal’s </w:t>
      </w:r>
      <w:r w:rsidR="00DA1CBC" w:rsidRPr="00222663">
        <w:rPr>
          <w:rFonts w:cstheme="minorHAnsi"/>
          <w:sz w:val="24"/>
          <w:szCs w:val="24"/>
        </w:rPr>
        <w:t>C</w:t>
      </w:r>
      <w:r w:rsidR="003155B1" w:rsidRPr="00222663">
        <w:rPr>
          <w:rFonts w:cstheme="minorHAnsi"/>
          <w:sz w:val="24"/>
          <w:szCs w:val="24"/>
        </w:rPr>
        <w:t xml:space="preserve">onstitution, but said that these laws are not enforced because the implementation of girls’ rights is not a governmental </w:t>
      </w:r>
      <w:r w:rsidR="003155B1" w:rsidRPr="00222663">
        <w:rPr>
          <w:rFonts w:cstheme="minorHAnsi"/>
          <w:sz w:val="24"/>
          <w:szCs w:val="24"/>
        </w:rPr>
        <w:lastRenderedPageBreak/>
        <w:t xml:space="preserve">priority. </w:t>
      </w:r>
      <w:r w:rsidR="003155B1" w:rsidRPr="00040E2B">
        <w:rPr>
          <w:rFonts w:cstheme="minorHAnsi"/>
          <w:sz w:val="24"/>
          <w:szCs w:val="24"/>
        </w:rPr>
        <w:t xml:space="preserve">Consequently, </w:t>
      </w:r>
      <w:r w:rsidR="005334FF" w:rsidRPr="00040E2B">
        <w:rPr>
          <w:rFonts w:cstheme="minorHAnsi"/>
          <w:sz w:val="24"/>
          <w:szCs w:val="24"/>
        </w:rPr>
        <w:t>said</w:t>
      </w:r>
      <w:r w:rsidR="00BB6BAF" w:rsidRPr="00040E2B">
        <w:rPr>
          <w:rFonts w:cstheme="minorHAnsi"/>
          <w:sz w:val="24"/>
          <w:szCs w:val="24"/>
        </w:rPr>
        <w:t xml:space="preserve"> the</w:t>
      </w:r>
      <w:r w:rsidR="003155B1" w:rsidRPr="00040E2B">
        <w:rPr>
          <w:rFonts w:cstheme="minorHAnsi"/>
          <w:sz w:val="24"/>
          <w:szCs w:val="24"/>
        </w:rPr>
        <w:t xml:space="preserve"> participants</w:t>
      </w:r>
      <w:r w:rsidR="005334FF" w:rsidRPr="00040E2B">
        <w:rPr>
          <w:rFonts w:cstheme="minorHAnsi"/>
          <w:sz w:val="24"/>
          <w:szCs w:val="24"/>
        </w:rPr>
        <w:t>,</w:t>
      </w:r>
      <w:r w:rsidR="003155B1" w:rsidRPr="00040E2B">
        <w:rPr>
          <w:rFonts w:cstheme="minorHAnsi"/>
          <w:sz w:val="24"/>
          <w:szCs w:val="24"/>
        </w:rPr>
        <w:t xml:space="preserve"> most </w:t>
      </w:r>
      <w:r w:rsidR="00040E2B" w:rsidRPr="00040E2B">
        <w:rPr>
          <w:rFonts w:cstheme="minorHAnsi"/>
          <w:sz w:val="24"/>
          <w:szCs w:val="24"/>
        </w:rPr>
        <w:t xml:space="preserve">perpetrators of </w:t>
      </w:r>
      <w:r w:rsidR="003155B1" w:rsidRPr="00040E2B">
        <w:rPr>
          <w:rFonts w:cstheme="minorHAnsi"/>
          <w:sz w:val="24"/>
          <w:szCs w:val="24"/>
        </w:rPr>
        <w:t>offences against girls rarely fac</w:t>
      </w:r>
      <w:r w:rsidR="00BD325A" w:rsidRPr="00040E2B">
        <w:rPr>
          <w:rFonts w:cstheme="minorHAnsi"/>
          <w:sz w:val="24"/>
          <w:szCs w:val="24"/>
        </w:rPr>
        <w:t>e</w:t>
      </w:r>
      <w:r w:rsidR="003155B1" w:rsidRPr="00040E2B">
        <w:rPr>
          <w:rFonts w:cstheme="minorHAnsi"/>
          <w:sz w:val="24"/>
          <w:szCs w:val="24"/>
        </w:rPr>
        <w:t xml:space="preserve"> any legal consequences.</w:t>
      </w:r>
      <w:r w:rsidR="003155B1" w:rsidRPr="00222663">
        <w:rPr>
          <w:rFonts w:cstheme="minorHAnsi"/>
          <w:sz w:val="24"/>
          <w:szCs w:val="24"/>
        </w:rPr>
        <w:t xml:space="preserve"> Participants said governmental efforts to enforce girls’ rights to freedom from violence, abuse and discrimination are inadequate and greater governmental investment in anti-violence awareness raising campaigns is</w:t>
      </w:r>
      <w:r w:rsidR="005334FF" w:rsidRPr="00222663">
        <w:rPr>
          <w:rFonts w:cstheme="minorHAnsi"/>
          <w:sz w:val="24"/>
          <w:szCs w:val="24"/>
        </w:rPr>
        <w:t xml:space="preserve"> urgently</w:t>
      </w:r>
      <w:r w:rsidR="003155B1" w:rsidRPr="00222663">
        <w:rPr>
          <w:rFonts w:cstheme="minorHAnsi"/>
          <w:sz w:val="24"/>
          <w:szCs w:val="24"/>
        </w:rPr>
        <w:t xml:space="preserve"> needed.</w:t>
      </w:r>
      <w:r w:rsidR="00F3648A" w:rsidRPr="00222663">
        <w:rPr>
          <w:rFonts w:cstheme="minorHAnsi"/>
          <w:sz w:val="24"/>
          <w:szCs w:val="24"/>
        </w:rPr>
        <w:t xml:space="preserve"> </w:t>
      </w:r>
    </w:p>
    <w:p w14:paraId="178BC526" w14:textId="41CD5A22" w:rsidR="00DE5BA0" w:rsidRPr="00222663" w:rsidRDefault="0004679B" w:rsidP="007C7F26">
      <w:pPr>
        <w:spacing w:line="360" w:lineRule="auto"/>
        <w:rPr>
          <w:rFonts w:cstheme="minorHAnsi"/>
          <w:sz w:val="24"/>
          <w:szCs w:val="24"/>
        </w:rPr>
      </w:pPr>
      <w:r w:rsidRPr="00222663">
        <w:rPr>
          <w:rFonts w:cstheme="minorHAnsi"/>
          <w:sz w:val="24"/>
          <w:szCs w:val="24"/>
        </w:rPr>
        <w:t xml:space="preserve">Children and young people said that </w:t>
      </w:r>
      <w:r w:rsidRPr="00222663">
        <w:rPr>
          <w:rFonts w:cstheme="minorHAnsi"/>
          <w:sz w:val="24"/>
          <w:szCs w:val="24"/>
          <w:lang w:eastAsia="en-AU"/>
        </w:rPr>
        <w:t>violence and discrimination against girls occur</w:t>
      </w:r>
      <w:r w:rsidR="003278C4" w:rsidRPr="00222663">
        <w:rPr>
          <w:rFonts w:cstheme="minorHAnsi"/>
          <w:sz w:val="24"/>
          <w:szCs w:val="24"/>
          <w:lang w:eastAsia="en-AU"/>
        </w:rPr>
        <w:t>s</w:t>
      </w:r>
      <w:r w:rsidRPr="00222663">
        <w:rPr>
          <w:rFonts w:cstheme="minorHAnsi"/>
          <w:sz w:val="24"/>
          <w:szCs w:val="24"/>
          <w:lang w:eastAsia="en-AU"/>
        </w:rPr>
        <w:t xml:space="preserve"> in the home, on </w:t>
      </w:r>
      <w:r w:rsidR="003278C4" w:rsidRPr="00222663">
        <w:rPr>
          <w:rFonts w:cstheme="minorHAnsi"/>
          <w:sz w:val="24"/>
          <w:szCs w:val="24"/>
          <w:lang w:eastAsia="en-AU"/>
        </w:rPr>
        <w:t xml:space="preserve">the </w:t>
      </w:r>
      <w:r w:rsidRPr="00222663">
        <w:rPr>
          <w:rFonts w:cstheme="minorHAnsi"/>
          <w:sz w:val="24"/>
          <w:szCs w:val="24"/>
          <w:lang w:eastAsia="en-AU"/>
        </w:rPr>
        <w:t>street</w:t>
      </w:r>
      <w:r w:rsidR="00405942" w:rsidRPr="00222663">
        <w:rPr>
          <w:rFonts w:cstheme="minorHAnsi"/>
          <w:sz w:val="24"/>
          <w:szCs w:val="24"/>
          <w:lang w:eastAsia="en-AU"/>
        </w:rPr>
        <w:t>,</w:t>
      </w:r>
      <w:r w:rsidRPr="00222663">
        <w:rPr>
          <w:rFonts w:cstheme="minorHAnsi"/>
          <w:sz w:val="24"/>
          <w:szCs w:val="24"/>
          <w:lang w:eastAsia="en-AU"/>
        </w:rPr>
        <w:t xml:space="preserve"> in the community, in schools</w:t>
      </w:r>
      <w:r w:rsidR="003278C4" w:rsidRPr="00222663">
        <w:rPr>
          <w:rFonts w:cstheme="minorHAnsi"/>
          <w:sz w:val="24"/>
          <w:szCs w:val="24"/>
          <w:lang w:eastAsia="en-AU"/>
        </w:rPr>
        <w:t xml:space="preserve"> </w:t>
      </w:r>
      <w:r w:rsidRPr="00222663">
        <w:rPr>
          <w:rFonts w:cstheme="minorHAnsi"/>
          <w:sz w:val="24"/>
          <w:szCs w:val="24"/>
          <w:lang w:eastAsia="en-AU"/>
        </w:rPr>
        <w:t xml:space="preserve">and online. The definitions of violence and discrimination provided by participants were broad and included </w:t>
      </w:r>
      <w:r w:rsidRPr="00222663">
        <w:rPr>
          <w:rFonts w:cstheme="minorHAnsi"/>
          <w:sz w:val="24"/>
          <w:szCs w:val="24"/>
        </w:rPr>
        <w:t>physical, sexual and emotional abuse, neglect, exposure to violence in the home</w:t>
      </w:r>
      <w:r w:rsidR="00AC60F6" w:rsidRPr="00222663">
        <w:rPr>
          <w:rFonts w:cstheme="minorHAnsi"/>
          <w:sz w:val="24"/>
          <w:szCs w:val="24"/>
        </w:rPr>
        <w:t>, preferential treatment of boys in the home in relation to access to food and education, sexualised street harassment and</w:t>
      </w:r>
      <w:r w:rsidRPr="00222663">
        <w:rPr>
          <w:rFonts w:cstheme="minorHAnsi"/>
          <w:sz w:val="24"/>
          <w:szCs w:val="24"/>
        </w:rPr>
        <w:t xml:space="preserve"> harmful practices such as </w:t>
      </w:r>
      <w:r w:rsidR="00AC60F6" w:rsidRPr="00222663">
        <w:rPr>
          <w:rFonts w:cstheme="minorHAnsi"/>
          <w:sz w:val="24"/>
          <w:szCs w:val="24"/>
        </w:rPr>
        <w:t>menstrual discrimination</w:t>
      </w:r>
      <w:r w:rsidRPr="00222663">
        <w:rPr>
          <w:rFonts w:cstheme="minorHAnsi"/>
          <w:sz w:val="24"/>
          <w:szCs w:val="24"/>
        </w:rPr>
        <w:t xml:space="preserve">. </w:t>
      </w:r>
      <w:r w:rsidR="005334FF" w:rsidRPr="00222663">
        <w:rPr>
          <w:rFonts w:cstheme="minorHAnsi"/>
          <w:sz w:val="24"/>
          <w:szCs w:val="24"/>
        </w:rPr>
        <w:t>A</w:t>
      </w:r>
      <w:r w:rsidR="00C97B2D" w:rsidRPr="00222663">
        <w:rPr>
          <w:rFonts w:cstheme="minorHAnsi"/>
          <w:sz w:val="24"/>
          <w:szCs w:val="24"/>
        </w:rPr>
        <w:t xml:space="preserve"> notable example of governmental inaction to address violence against girls emerged</w:t>
      </w:r>
      <w:r w:rsidR="005334FF" w:rsidRPr="00222663">
        <w:rPr>
          <w:rFonts w:cstheme="minorHAnsi"/>
          <w:sz w:val="24"/>
          <w:szCs w:val="24"/>
        </w:rPr>
        <w:t xml:space="preserve"> in this study</w:t>
      </w:r>
      <w:r w:rsidR="00C97B2D" w:rsidRPr="00222663">
        <w:rPr>
          <w:rFonts w:cstheme="minorHAnsi"/>
          <w:sz w:val="24"/>
          <w:szCs w:val="24"/>
        </w:rPr>
        <w:t xml:space="preserve"> in relation to the harassment of adolescent girls on the street by men.</w:t>
      </w:r>
      <w:r w:rsidR="00AC60F6" w:rsidRPr="00222663">
        <w:rPr>
          <w:rFonts w:cstheme="minorHAnsi"/>
          <w:sz w:val="24"/>
          <w:szCs w:val="24"/>
        </w:rPr>
        <w:t xml:space="preserve"> Most children and young people spoke about this</w:t>
      </w:r>
      <w:r w:rsidR="005A2250" w:rsidRPr="00222663">
        <w:rPr>
          <w:rFonts w:cstheme="minorHAnsi"/>
          <w:sz w:val="24"/>
          <w:szCs w:val="24"/>
        </w:rPr>
        <w:t>,</w:t>
      </w:r>
      <w:r w:rsidR="00AC60F6" w:rsidRPr="00222663">
        <w:rPr>
          <w:rFonts w:cstheme="minorHAnsi"/>
          <w:sz w:val="24"/>
          <w:szCs w:val="24"/>
        </w:rPr>
        <w:t xml:space="preserve"> and older participants spoke about this as sexualised harassment on the street. All participants </w:t>
      </w:r>
      <w:r w:rsidR="00B10877">
        <w:rPr>
          <w:rFonts w:cstheme="minorHAnsi"/>
          <w:sz w:val="24"/>
          <w:szCs w:val="24"/>
        </w:rPr>
        <w:t>said</w:t>
      </w:r>
      <w:r w:rsidR="00B10877" w:rsidRPr="00222663">
        <w:rPr>
          <w:rFonts w:cstheme="minorHAnsi"/>
          <w:sz w:val="24"/>
          <w:szCs w:val="24"/>
        </w:rPr>
        <w:t xml:space="preserve"> </w:t>
      </w:r>
      <w:r w:rsidR="00AC60F6" w:rsidRPr="00222663">
        <w:rPr>
          <w:rFonts w:cstheme="minorHAnsi"/>
          <w:sz w:val="24"/>
          <w:szCs w:val="24"/>
        </w:rPr>
        <w:t xml:space="preserve">that girls in Nepal experience systemic discrimination on a regular basis, </w:t>
      </w:r>
      <w:r w:rsidR="00BC0DF5" w:rsidRPr="00222663">
        <w:rPr>
          <w:rFonts w:cstheme="minorHAnsi"/>
          <w:sz w:val="24"/>
          <w:szCs w:val="24"/>
        </w:rPr>
        <w:t xml:space="preserve">especially </w:t>
      </w:r>
      <w:r w:rsidR="00AC60F6" w:rsidRPr="00222663">
        <w:rPr>
          <w:rFonts w:cstheme="minorHAnsi"/>
          <w:sz w:val="24"/>
          <w:szCs w:val="24"/>
        </w:rPr>
        <w:t>in relation to inequitable access to food and education</w:t>
      </w:r>
      <w:r w:rsidR="00BC0DF5" w:rsidRPr="00222663">
        <w:rPr>
          <w:rFonts w:cstheme="minorHAnsi"/>
          <w:sz w:val="24"/>
          <w:szCs w:val="24"/>
        </w:rPr>
        <w:t>,</w:t>
      </w:r>
      <w:r w:rsidR="00AC60F6" w:rsidRPr="00222663">
        <w:rPr>
          <w:rFonts w:cstheme="minorHAnsi"/>
          <w:sz w:val="24"/>
          <w:szCs w:val="24"/>
        </w:rPr>
        <w:t xml:space="preserve"> and</w:t>
      </w:r>
      <w:r w:rsidR="00BC0DF5" w:rsidRPr="00222663">
        <w:rPr>
          <w:rFonts w:cstheme="minorHAnsi"/>
          <w:sz w:val="24"/>
          <w:szCs w:val="24"/>
        </w:rPr>
        <w:t xml:space="preserve"> that girls</w:t>
      </w:r>
      <w:r w:rsidR="00AC60F6" w:rsidRPr="00222663">
        <w:rPr>
          <w:rFonts w:cstheme="minorHAnsi"/>
          <w:sz w:val="24"/>
          <w:szCs w:val="24"/>
        </w:rPr>
        <w:t xml:space="preserve"> are afforded few protections from violence. Participants identified </w:t>
      </w:r>
      <w:r w:rsidR="00FF43C3" w:rsidRPr="00222663">
        <w:rPr>
          <w:rFonts w:cstheme="minorHAnsi"/>
          <w:sz w:val="24"/>
          <w:szCs w:val="24"/>
        </w:rPr>
        <w:t xml:space="preserve">several interconnected </w:t>
      </w:r>
      <w:r w:rsidR="00AC60F6" w:rsidRPr="00222663">
        <w:rPr>
          <w:rFonts w:cstheme="minorHAnsi"/>
          <w:sz w:val="24"/>
          <w:szCs w:val="24"/>
        </w:rPr>
        <w:t>barriers to ending violence and discrimination against girls</w:t>
      </w:r>
      <w:r w:rsidR="00F87EA0" w:rsidRPr="00222663">
        <w:rPr>
          <w:rFonts w:cstheme="minorHAnsi"/>
          <w:sz w:val="24"/>
          <w:szCs w:val="24"/>
        </w:rPr>
        <w:t>,</w:t>
      </w:r>
      <w:r w:rsidR="00AC60F6" w:rsidRPr="00222663">
        <w:rPr>
          <w:rFonts w:cstheme="minorHAnsi"/>
          <w:sz w:val="24"/>
          <w:szCs w:val="24"/>
        </w:rPr>
        <w:t xml:space="preserve"> including that perpetrators of abuse do so with impunity, </w:t>
      </w:r>
      <w:r w:rsidR="00FF43C3" w:rsidRPr="00222663">
        <w:rPr>
          <w:rFonts w:cstheme="minorHAnsi"/>
          <w:sz w:val="24"/>
          <w:szCs w:val="24"/>
        </w:rPr>
        <w:t xml:space="preserve">that </w:t>
      </w:r>
      <w:r w:rsidR="00AC60F6" w:rsidRPr="00222663">
        <w:rPr>
          <w:rFonts w:cstheme="minorHAnsi"/>
          <w:sz w:val="24"/>
          <w:szCs w:val="24"/>
        </w:rPr>
        <w:t xml:space="preserve">such behaviour </w:t>
      </w:r>
      <w:r w:rsidR="00FF43C3" w:rsidRPr="00222663">
        <w:rPr>
          <w:rFonts w:cstheme="minorHAnsi"/>
          <w:sz w:val="24"/>
          <w:szCs w:val="24"/>
        </w:rPr>
        <w:t xml:space="preserve">against girls </w:t>
      </w:r>
      <w:r w:rsidR="00AC60F6" w:rsidRPr="00222663">
        <w:rPr>
          <w:rFonts w:cstheme="minorHAnsi"/>
          <w:sz w:val="24"/>
          <w:szCs w:val="24"/>
        </w:rPr>
        <w:t xml:space="preserve">is ignored </w:t>
      </w:r>
      <w:r w:rsidR="00FF43C3" w:rsidRPr="00222663">
        <w:rPr>
          <w:rFonts w:cstheme="minorHAnsi"/>
          <w:sz w:val="24"/>
          <w:szCs w:val="24"/>
        </w:rPr>
        <w:t xml:space="preserve">or in some contexts socially accepted </w:t>
      </w:r>
      <w:r w:rsidR="005E3603" w:rsidRPr="00222663">
        <w:rPr>
          <w:rFonts w:cstheme="minorHAnsi"/>
          <w:sz w:val="24"/>
          <w:szCs w:val="24"/>
        </w:rPr>
        <w:t xml:space="preserve">and there is a lack of political will to combat </w:t>
      </w:r>
      <w:r w:rsidR="00FF43C3" w:rsidRPr="00222663">
        <w:rPr>
          <w:rFonts w:cstheme="minorHAnsi"/>
          <w:sz w:val="24"/>
          <w:szCs w:val="24"/>
        </w:rPr>
        <w:t xml:space="preserve">this. </w:t>
      </w:r>
    </w:p>
    <w:p w14:paraId="4F304001" w14:textId="13C1DD96" w:rsidR="009B328C" w:rsidRPr="00222663" w:rsidRDefault="005E3603" w:rsidP="006B7D91">
      <w:pPr>
        <w:spacing w:line="360" w:lineRule="auto"/>
        <w:rPr>
          <w:rFonts w:cstheme="minorHAnsi"/>
          <w:sz w:val="24"/>
          <w:szCs w:val="24"/>
        </w:rPr>
      </w:pPr>
      <w:r w:rsidRPr="00222663">
        <w:rPr>
          <w:rFonts w:cstheme="minorHAnsi"/>
          <w:sz w:val="24"/>
          <w:szCs w:val="24"/>
        </w:rPr>
        <w:t xml:space="preserve">This paper adds to the body of literature about grave </w:t>
      </w:r>
      <w:r w:rsidR="00BD325A" w:rsidRPr="00222663">
        <w:rPr>
          <w:rFonts w:cstheme="minorHAnsi"/>
          <w:sz w:val="24"/>
          <w:szCs w:val="24"/>
        </w:rPr>
        <w:t>children’s</w:t>
      </w:r>
      <w:r w:rsidRPr="00222663">
        <w:rPr>
          <w:rFonts w:cstheme="minorHAnsi"/>
          <w:sz w:val="24"/>
          <w:szCs w:val="24"/>
        </w:rPr>
        <w:t xml:space="preserve"> rights breaches in </w:t>
      </w:r>
      <w:r w:rsidR="00FF43C3" w:rsidRPr="00222663">
        <w:rPr>
          <w:rFonts w:cstheme="minorHAnsi"/>
          <w:sz w:val="24"/>
          <w:szCs w:val="24"/>
        </w:rPr>
        <w:t>Nepal</w:t>
      </w:r>
      <w:r w:rsidRPr="00222663">
        <w:rPr>
          <w:rFonts w:cstheme="minorHAnsi"/>
          <w:sz w:val="24"/>
          <w:szCs w:val="24"/>
        </w:rPr>
        <w:t xml:space="preserve"> and it is hoped that </w:t>
      </w:r>
      <w:r w:rsidR="00C85BA8" w:rsidRPr="00222663">
        <w:rPr>
          <w:rFonts w:cstheme="minorHAnsi"/>
          <w:sz w:val="24"/>
          <w:szCs w:val="24"/>
        </w:rPr>
        <w:t>it</w:t>
      </w:r>
      <w:r w:rsidR="00BD325A" w:rsidRPr="00222663">
        <w:rPr>
          <w:rFonts w:cstheme="minorHAnsi"/>
          <w:sz w:val="24"/>
          <w:szCs w:val="24"/>
        </w:rPr>
        <w:t xml:space="preserve"> </w:t>
      </w:r>
      <w:r w:rsidRPr="00222663">
        <w:rPr>
          <w:rFonts w:cstheme="minorHAnsi"/>
          <w:sz w:val="24"/>
          <w:szCs w:val="24"/>
        </w:rPr>
        <w:t xml:space="preserve">will stimulate discussion </w:t>
      </w:r>
      <w:r w:rsidR="00FF43C3" w:rsidRPr="00222663">
        <w:rPr>
          <w:rFonts w:cstheme="minorHAnsi"/>
          <w:sz w:val="24"/>
          <w:szCs w:val="24"/>
        </w:rPr>
        <w:t xml:space="preserve">and promote reform </w:t>
      </w:r>
      <w:r w:rsidRPr="00222663">
        <w:rPr>
          <w:rFonts w:cstheme="minorHAnsi"/>
          <w:sz w:val="24"/>
          <w:szCs w:val="24"/>
        </w:rPr>
        <w:t xml:space="preserve">about how to address </w:t>
      </w:r>
      <w:r w:rsidR="00FF43C3" w:rsidRPr="00222663">
        <w:rPr>
          <w:rFonts w:cstheme="minorHAnsi"/>
          <w:sz w:val="24"/>
          <w:szCs w:val="24"/>
        </w:rPr>
        <w:t xml:space="preserve">these </w:t>
      </w:r>
      <w:r w:rsidRPr="00222663">
        <w:rPr>
          <w:rFonts w:cstheme="minorHAnsi"/>
          <w:sz w:val="24"/>
          <w:szCs w:val="24"/>
        </w:rPr>
        <w:t>serious</w:t>
      </w:r>
      <w:r w:rsidR="007D24DF" w:rsidRPr="00222663">
        <w:rPr>
          <w:rFonts w:cstheme="minorHAnsi"/>
          <w:sz w:val="24"/>
          <w:szCs w:val="24"/>
        </w:rPr>
        <w:t xml:space="preserve"> breaches</w:t>
      </w:r>
      <w:r w:rsidR="00473CC5" w:rsidRPr="00222663">
        <w:rPr>
          <w:rFonts w:cstheme="minorHAnsi"/>
          <w:sz w:val="24"/>
          <w:szCs w:val="24"/>
        </w:rPr>
        <w:t xml:space="preserve"> of</w:t>
      </w:r>
      <w:r w:rsidR="003278C4" w:rsidRPr="00222663">
        <w:rPr>
          <w:rFonts w:cstheme="minorHAnsi"/>
          <w:sz w:val="24"/>
          <w:szCs w:val="24"/>
        </w:rPr>
        <w:t xml:space="preserve"> </w:t>
      </w:r>
      <w:r w:rsidRPr="00222663">
        <w:rPr>
          <w:rFonts w:cstheme="minorHAnsi"/>
          <w:sz w:val="24"/>
          <w:szCs w:val="24"/>
        </w:rPr>
        <w:t xml:space="preserve">girls’ rights. Through field research with </w:t>
      </w:r>
      <w:r w:rsidR="00BF2B62">
        <w:rPr>
          <w:rFonts w:cstheme="minorHAnsi"/>
          <w:sz w:val="24"/>
          <w:szCs w:val="24"/>
        </w:rPr>
        <w:t>Nepali</w:t>
      </w:r>
      <w:r w:rsidRPr="00222663">
        <w:rPr>
          <w:rFonts w:cstheme="minorHAnsi"/>
          <w:sz w:val="24"/>
          <w:szCs w:val="24"/>
        </w:rPr>
        <w:t xml:space="preserve"> children and young people</w:t>
      </w:r>
      <w:r w:rsidR="00F87EA0" w:rsidRPr="00222663">
        <w:rPr>
          <w:rFonts w:cstheme="minorHAnsi"/>
          <w:sz w:val="24"/>
          <w:szCs w:val="24"/>
        </w:rPr>
        <w:t>,</w:t>
      </w:r>
      <w:r w:rsidRPr="00222663">
        <w:rPr>
          <w:rFonts w:cstheme="minorHAnsi"/>
          <w:sz w:val="24"/>
          <w:szCs w:val="24"/>
        </w:rPr>
        <w:t xml:space="preserve"> this study sought to </w:t>
      </w:r>
      <w:r w:rsidR="008662AD">
        <w:rPr>
          <w:rFonts w:cstheme="minorHAnsi"/>
          <w:sz w:val="24"/>
          <w:szCs w:val="24"/>
        </w:rPr>
        <w:t>elicit</w:t>
      </w:r>
      <w:r w:rsidRPr="00222663">
        <w:rPr>
          <w:rFonts w:cstheme="minorHAnsi"/>
          <w:sz w:val="24"/>
          <w:szCs w:val="24"/>
        </w:rPr>
        <w:t>, document and privilege the voices of children about serious matters affecting them and</w:t>
      </w:r>
      <w:r w:rsidR="00A5470C" w:rsidRPr="00222663">
        <w:rPr>
          <w:rFonts w:cstheme="minorHAnsi"/>
          <w:sz w:val="24"/>
          <w:szCs w:val="24"/>
        </w:rPr>
        <w:t>,</w:t>
      </w:r>
      <w:r w:rsidRPr="00222663">
        <w:rPr>
          <w:rFonts w:cstheme="minorHAnsi"/>
          <w:sz w:val="24"/>
          <w:szCs w:val="24"/>
        </w:rPr>
        <w:t xml:space="preserve"> in doing so</w:t>
      </w:r>
      <w:r w:rsidR="00A5470C" w:rsidRPr="00222663">
        <w:rPr>
          <w:rFonts w:cstheme="minorHAnsi"/>
          <w:sz w:val="24"/>
          <w:szCs w:val="24"/>
        </w:rPr>
        <w:t>,</w:t>
      </w:r>
      <w:r w:rsidRPr="00222663">
        <w:rPr>
          <w:rFonts w:cstheme="minorHAnsi"/>
          <w:sz w:val="24"/>
          <w:szCs w:val="24"/>
        </w:rPr>
        <w:t xml:space="preserve"> highlight the importance of seeking young people’s views </w:t>
      </w:r>
      <w:r w:rsidR="00BD325A" w:rsidRPr="00222663">
        <w:rPr>
          <w:rFonts w:cstheme="minorHAnsi"/>
          <w:sz w:val="24"/>
          <w:szCs w:val="24"/>
        </w:rPr>
        <w:t xml:space="preserve">and involvement </w:t>
      </w:r>
      <w:r w:rsidRPr="00222663">
        <w:rPr>
          <w:rFonts w:cstheme="minorHAnsi"/>
          <w:sz w:val="24"/>
          <w:szCs w:val="24"/>
        </w:rPr>
        <w:t xml:space="preserve">as vital contributors to </w:t>
      </w:r>
      <w:r w:rsidR="00BD325A" w:rsidRPr="00222663">
        <w:rPr>
          <w:rFonts w:cstheme="minorHAnsi"/>
          <w:sz w:val="24"/>
          <w:szCs w:val="24"/>
        </w:rPr>
        <w:t xml:space="preserve">assist </w:t>
      </w:r>
      <w:r w:rsidR="00FF43C3" w:rsidRPr="00222663">
        <w:rPr>
          <w:rFonts w:cstheme="minorHAnsi"/>
          <w:sz w:val="24"/>
          <w:szCs w:val="24"/>
        </w:rPr>
        <w:t>s</w:t>
      </w:r>
      <w:r w:rsidR="00BD325A" w:rsidRPr="00222663">
        <w:rPr>
          <w:rFonts w:cstheme="minorHAnsi"/>
          <w:sz w:val="24"/>
          <w:szCs w:val="24"/>
        </w:rPr>
        <w:t xml:space="preserve">tates in meeting their duties to children under the CRC. </w:t>
      </w:r>
    </w:p>
    <w:sectPr w:rsidR="009B328C" w:rsidRPr="00222663" w:rsidSect="0024713F">
      <w:headerReference w:type="even" r:id="rId8"/>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91ACB" w14:textId="77777777" w:rsidR="00E260CA" w:rsidRDefault="00E260CA" w:rsidP="00996B0E">
      <w:pPr>
        <w:spacing w:after="0" w:line="240" w:lineRule="auto"/>
      </w:pPr>
      <w:r>
        <w:separator/>
      </w:r>
    </w:p>
  </w:endnote>
  <w:endnote w:type="continuationSeparator" w:id="0">
    <w:p w14:paraId="1DB84ED0" w14:textId="77777777" w:rsidR="00E260CA" w:rsidRDefault="00E260CA" w:rsidP="00996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F694" w14:textId="14BE8C41" w:rsidR="00F83F44" w:rsidRDefault="00F83F44">
    <w:pPr>
      <w:pStyle w:val="Footer"/>
      <w:jc w:val="center"/>
    </w:pPr>
    <w:r>
      <w:t>__________________________________________________________________________________</w:t>
    </w:r>
  </w:p>
  <w:p w14:paraId="004E073B" w14:textId="77777777" w:rsidR="00F83F44" w:rsidRDefault="00F83F44">
    <w:pPr>
      <w:pStyle w:val="Footer"/>
      <w:jc w:val="center"/>
    </w:pPr>
  </w:p>
  <w:sdt>
    <w:sdtPr>
      <w:id w:val="1805188973"/>
      <w:docPartObj>
        <w:docPartGallery w:val="Page Numbers (Bottom of Page)"/>
        <w:docPartUnique/>
      </w:docPartObj>
    </w:sdtPr>
    <w:sdtEndPr>
      <w:rPr>
        <w:noProof/>
      </w:rPr>
    </w:sdtEndPr>
    <w:sdtContent>
      <w:p w14:paraId="4DE82637" w14:textId="2B7E5259" w:rsidR="00F83F44" w:rsidRDefault="00F83F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34B861" w14:textId="77777777" w:rsidR="0024713F" w:rsidRDefault="00247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8ED9" w14:textId="1FCF622F" w:rsidR="00103920" w:rsidRDefault="00103920">
    <w:pPr>
      <w:pStyle w:val="Footer"/>
      <w:jc w:val="center"/>
    </w:pPr>
    <w:r>
      <w:t>__________________________________________________________________________________</w:t>
    </w:r>
  </w:p>
  <w:p w14:paraId="6FAD9AA1" w14:textId="77777777" w:rsidR="00103920" w:rsidRDefault="00103920">
    <w:pPr>
      <w:pStyle w:val="Footer"/>
      <w:jc w:val="center"/>
    </w:pPr>
  </w:p>
  <w:sdt>
    <w:sdtPr>
      <w:id w:val="1176759881"/>
      <w:docPartObj>
        <w:docPartGallery w:val="Page Numbers (Bottom of Page)"/>
        <w:docPartUnique/>
      </w:docPartObj>
    </w:sdtPr>
    <w:sdtEndPr>
      <w:rPr>
        <w:noProof/>
      </w:rPr>
    </w:sdtEndPr>
    <w:sdtContent>
      <w:p w14:paraId="19617349" w14:textId="45147A6D" w:rsidR="00103920" w:rsidRDefault="001039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603B6B" w14:textId="77777777" w:rsidR="001B3AB4" w:rsidRDefault="001B3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151FC" w14:textId="77777777" w:rsidR="00E260CA" w:rsidRDefault="00E260CA" w:rsidP="00996B0E">
      <w:pPr>
        <w:spacing w:after="0" w:line="240" w:lineRule="auto"/>
      </w:pPr>
      <w:r>
        <w:separator/>
      </w:r>
    </w:p>
  </w:footnote>
  <w:footnote w:type="continuationSeparator" w:id="0">
    <w:p w14:paraId="117CAF55" w14:textId="77777777" w:rsidR="00E260CA" w:rsidRDefault="00E260CA" w:rsidP="00996B0E">
      <w:pPr>
        <w:spacing w:after="0" w:line="240" w:lineRule="auto"/>
      </w:pPr>
      <w:r>
        <w:continuationSeparator/>
      </w:r>
    </w:p>
  </w:footnote>
  <w:footnote w:id="1">
    <w:p w14:paraId="54A117FE" w14:textId="621F21D3" w:rsidR="00F053CF" w:rsidRPr="00F053CF" w:rsidRDefault="00F053CF" w:rsidP="00B63C23">
      <w:pPr>
        <w:pStyle w:val="FootnoteText"/>
        <w:jc w:val="left"/>
        <w:rPr>
          <w:lang w:val="en-GB"/>
        </w:rPr>
      </w:pPr>
      <w:r w:rsidRPr="00F053CF">
        <w:rPr>
          <w:rStyle w:val="FootnoteReference"/>
        </w:rPr>
        <w:sym w:font="Symbol" w:char="F02A"/>
      </w:r>
      <w:r>
        <w:t xml:space="preserve"> </w:t>
      </w:r>
      <w:r w:rsidR="006853F2">
        <w:t xml:space="preserve">Associate Professor, </w:t>
      </w:r>
      <w:r w:rsidR="00D1519D" w:rsidRPr="00D1519D">
        <w:t xml:space="preserve">Macquarie University Law School, </w:t>
      </w:r>
      <w:r w:rsidR="006853F2">
        <w:t>Australia</w:t>
      </w:r>
      <w:r w:rsidR="00D1519D" w:rsidRPr="00D1519D">
        <w:t xml:space="preserve">. </w:t>
      </w:r>
      <w:r w:rsidR="00C1679F">
        <w:t xml:space="preserve">Email: </w:t>
      </w:r>
      <w:hyperlink r:id="rId1" w:history="1">
        <w:r w:rsidR="00B747DC" w:rsidRPr="002B2A7E">
          <w:rPr>
            <w:rStyle w:val="Hyperlink"/>
          </w:rPr>
          <w:t>holly.doel-mackaway@mq.edu.au</w:t>
        </w:r>
      </w:hyperlink>
      <w:r w:rsidR="006853F2">
        <w:t xml:space="preserve">. </w:t>
      </w:r>
      <w:r w:rsidR="00D1519D" w:rsidRPr="00D1519D">
        <w:t xml:space="preserve">This research was funded by Macquarie University and this paper is based on a presentation delivered at the </w:t>
      </w:r>
      <w:r w:rsidR="00D1519D" w:rsidRPr="00D1519D">
        <w:rPr>
          <w:i/>
          <w:iCs/>
        </w:rPr>
        <w:t>Feminism, Law and Citizenship Congress</w:t>
      </w:r>
      <w:r w:rsidR="00D1519D" w:rsidRPr="00D1519D">
        <w:t>, Paris, June 2022. We thank Dr Carolyn Adams and Associate Professor Amy Barrow for their supervision, advice and support throughout this study. We also extend our thanks to Spriha Shrestha for her assistance with the field research and to Save the Children Nepal for supporting the research.</w:t>
      </w:r>
    </w:p>
  </w:footnote>
  <w:footnote w:id="2">
    <w:p w14:paraId="189571AC" w14:textId="36465CCD" w:rsidR="00D1519D" w:rsidRPr="00D1519D" w:rsidRDefault="00D1519D" w:rsidP="00B63C23">
      <w:pPr>
        <w:pStyle w:val="FootnoteText"/>
        <w:jc w:val="left"/>
        <w:rPr>
          <w:lang w:val="en-GB"/>
        </w:rPr>
      </w:pPr>
      <w:r w:rsidRPr="00D1519D">
        <w:rPr>
          <w:rStyle w:val="FootnoteReference"/>
        </w:rPr>
        <w:sym w:font="Symbol" w:char="F02A"/>
      </w:r>
      <w:r w:rsidRPr="00D1519D">
        <w:rPr>
          <w:rStyle w:val="FootnoteReference"/>
        </w:rPr>
        <w:sym w:font="Symbol" w:char="F02A"/>
      </w:r>
      <w:r>
        <w:t xml:space="preserve"> </w:t>
      </w:r>
      <w:r w:rsidRPr="00D1519D">
        <w:t>Program Directo</w:t>
      </w:r>
      <w:r w:rsidR="00B747DC">
        <w:t>r,</w:t>
      </w:r>
      <w:r w:rsidRPr="00D1519D">
        <w:t xml:space="preserve"> Habitat for Humanity International, Nepal</w:t>
      </w:r>
      <w:r w:rsidR="00B747DC">
        <w:t xml:space="preserve">; </w:t>
      </w:r>
      <w:r w:rsidRPr="00D1519D">
        <w:t>former Policy and Advocacy Manager, Save the Children Nepal.</w:t>
      </w:r>
    </w:p>
  </w:footnote>
  <w:footnote w:id="3">
    <w:p w14:paraId="1AACC5BC" w14:textId="591EDD79" w:rsidR="00BE276A" w:rsidRPr="00676B56" w:rsidRDefault="00BE276A"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8B0248" w:rsidRPr="00676B56">
        <w:rPr>
          <w:rFonts w:cstheme="minorHAnsi"/>
        </w:rPr>
        <w:instrText xml:space="preserve"> ADDIN ZOTERO_ITEM CSL_CITATION {"citationID":"HPkFuJBd","properties":{"formattedCitation":"Holly Doel-Mackaway, {\\i{}Indigenous Children\\uc0\\u8217{}s Right to Participate in Law and Policy Development} (Routledge Taylor &amp; Francis Group, 2022) 6; Laura Lundy and Lesley McEvoy, \\uc0\\u8216{}Children\\uc0\\u8217{}s Rights and Research Processes: Assisting Children to (in)Formed Views\\uc0\\u8217{} (2012) 19(1) {\\i{}Childhood} 129.","plainCitation":"Holly Doel-Mackaway, Indigenous Children’s Right to Participate in Law and Policy Development (Routledge Taylor &amp; Francis Group, 2022) 6; Laura Lundy and Lesley McEvoy, ‘Children’s Rights and Research Processes: Assisting Children to (in)Formed Views’ (2012) 19(1) Childhood 129.","noteIndex":3},"citationItems":[{"id":1341,"uris":["http://zotero.org/users/9699311/items/RQ8MC47F"],"itemData":{"id":1341,"type":"book","abstract":"\"This book presents a model for reforming and developing Indigenous related legislation and policy, not only in Australia, but also in other jurisdictions. The model provides guidance about how to seek, listen to and respond to the voices of Indigenous children and young people. The participation of Indigenous children and young people, when carried out in a culturally and age-appropriate way and based on free, prior and informed consent, is an invaluable resource capable of empowering children and young people and informing Indigenous related legislation and policy. This project contributes to the emerging field of robust, ethically sound, participatory research with Indigenous children and young people and proposes ways in which Australian and international legislators and policy makers can implement the principle of children's participation by involving Aboriginal children and young people in the development of law and policy pertaining to their lives. This book provides accounts from Aboriginal children and young people detailing their views on how they can be involved in law and policy development in the future. It shows the latest state of knowledge on the topic and will be of interest to researchers, academics, policymakers, legislators, and students in the fields of human rights law, children's rights, participation rights, Indigenous peoples law, and family, child and social welfare law\"--","call-number":"K3248.C55","collection-title":"Routledge research in human rights law","event-place":"New York","ISBN":"978-1-315-12391-2","language":"en","number-of-pages":"1","publisher":"Routledge Taylor &amp; Francis Group","publisher-place":"New York","source":"Library of Congress ISBN","title":"Indigenous children's right to participate in law and policy development","author":[{"family":"Doel-Mackaway","given":"Holly"}],"issued":{"date-parts":[["2022"]]}},"locator":"6","label":"chapter"},{"id":2376,"uris":["http://zotero.org/users/9699311/items/8UJJM5C3"],"itemData":{"id":2376,"type":"article-journal","abstract":"Acknowledging children as rights-holders has significant implications for research processes. What is distinctive about a children's rights informed approach to research is a focus not only on safe, inclusive and engaging opportunities for children to express their views but also on deliberate strategies to assist children in the formation of their views. The article reflects on a body of work with children as co-researchers and as participants and demonstrates that building capacity on the substantive research issues enables children to contribute more confidently. It concludes with a conceptualization of this approach integrating relevant international children's rights standards. © SAGE Publications 2011.","container-title":"Childhood","DOI":"10.1177/0907568211409078","ISSN":"09075682","issue":"1","note":"PMID: 3325\narXiv: 1011.1669v3\nISBN: 0907568211","page":"129-144","title":"Children's rights and research processes: Assisting children to (in)formed views","volume":"19","author":[{"family":"Lundy","given":"Laura"},{"family":"McEvoy","given":"Lesley"}],"issued":{"date-parts":[["2012"]]}}}],"schema":"https://github.com/citation-style-language/schema/raw/master/csl-citation.json"} </w:instrText>
      </w:r>
      <w:r w:rsidRPr="00676B56">
        <w:rPr>
          <w:rFonts w:cstheme="minorHAnsi"/>
        </w:rPr>
        <w:fldChar w:fldCharType="separate"/>
      </w:r>
      <w:r w:rsidRPr="00676B56">
        <w:rPr>
          <w:rFonts w:cstheme="minorHAnsi"/>
        </w:rPr>
        <w:t>Holly Doel-</w:t>
      </w:r>
      <w:proofErr w:type="spellStart"/>
      <w:r w:rsidRPr="00676B56">
        <w:rPr>
          <w:rFonts w:cstheme="minorHAnsi"/>
        </w:rPr>
        <w:t>Mackaway</w:t>
      </w:r>
      <w:proofErr w:type="spellEnd"/>
      <w:r w:rsidRPr="00676B56">
        <w:rPr>
          <w:rFonts w:cstheme="minorHAnsi"/>
        </w:rPr>
        <w:t xml:space="preserve">, </w:t>
      </w:r>
      <w:r w:rsidRPr="00676B56">
        <w:rPr>
          <w:rFonts w:cstheme="minorHAnsi"/>
          <w:i/>
          <w:iCs/>
        </w:rPr>
        <w:t>Indigenous Children’s Right to Participate in Law and Policy Development</w:t>
      </w:r>
      <w:r w:rsidRPr="00676B56">
        <w:rPr>
          <w:rFonts w:cstheme="minorHAnsi"/>
        </w:rPr>
        <w:t xml:space="preserve"> (Routledge, 2022) 6; Laura Lundy and Lesley McEvoy, ‘Children’s Rights and Research Processes: Assisting Children to (</w:t>
      </w:r>
      <w:r w:rsidR="00484A58">
        <w:rPr>
          <w:rFonts w:cstheme="minorHAnsi"/>
        </w:rPr>
        <w:t>I</w:t>
      </w:r>
      <w:r w:rsidRPr="00676B56">
        <w:rPr>
          <w:rFonts w:cstheme="minorHAnsi"/>
        </w:rPr>
        <w:t xml:space="preserve">n)Formed Views’ (2012) 19(1) </w:t>
      </w:r>
      <w:r w:rsidRPr="00676B56">
        <w:rPr>
          <w:rFonts w:cstheme="minorHAnsi"/>
          <w:i/>
          <w:iCs/>
        </w:rPr>
        <w:t>Childhood</w:t>
      </w:r>
      <w:r w:rsidRPr="00676B56">
        <w:rPr>
          <w:rFonts w:cstheme="minorHAnsi"/>
        </w:rPr>
        <w:t xml:space="preserve"> 129.</w:t>
      </w:r>
      <w:r w:rsidRPr="00676B56">
        <w:rPr>
          <w:rFonts w:cstheme="minorHAnsi"/>
        </w:rPr>
        <w:fldChar w:fldCharType="end"/>
      </w:r>
    </w:p>
  </w:footnote>
  <w:footnote w:id="4">
    <w:p w14:paraId="046036DE" w14:textId="527DE1C5" w:rsidR="005C2DA3" w:rsidRPr="00676B56" w:rsidRDefault="005C2DA3"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8B0248" w:rsidRPr="00676B56">
        <w:rPr>
          <w:rFonts w:cstheme="minorHAnsi"/>
        </w:rPr>
        <w:instrText xml:space="preserve"> ADDIN ZOTERO_ITEM CSL_CITATION {"citationID":"YMFtJi2G","properties":{"formattedCitation":"Mary Ellsberg et al, \\uc0\\u8216{}Prevention of Violence against Women and Girls: What Does the Evidence Say?\\uc0\\u8217{} (2015) 385(9977) {\\i{}The Lancet} 1555; United Nations, \\uc0\\u8216{}Convention on the Rights of the Child, Opened for Signature 20 November 1989, 44 UNTS 25 (Entered into Force 2 September 1990)\\uc0\\u8217{} (\\uc0\\u8216{}CRC\\uc0\\u8217{}); {\\i{}Convention on the Elimination of All Forms of Discrimination Against Women (CEDAW) Opened for Signature 18 December 1979, A/RES/34/180 (Entered into Force 3 September 1981)} {\\i{}180AD}.","plainCitation":"Mary Ellsberg et al, ‘Prevention of Violence against Women and Girls: What Does the Evidence Say?’ (2015) 385(9977) The Lancet 1555; United Nations, ‘Convention on the Rights of the Child, Opened for Signature 20 November 1989, 44 UNTS 25 (Entered into Force 2 September 1990)’ (‘CRC’); Convention on the Elimination of All Forms of Discrimination Against Women (CEDAW) Opened for Signature 18 December 1979, A/RES/34/180 (Entered into Force 3 September 1981) 180AD.","dontUpdate":true,"noteIndex":4},"citationItems":[{"id":4953,"uris":["http://zotero.org/users/9699311/items/5WI76BKR"],"itemData":{"id":4953,"type":"article-journal","container-title":"The Lancet","DOI":"10.1016/S0140-6736(14)61703-7","ISSN":"01406736","issue":"9977","journalAbbreviation":"The Lancet","language":"en","page":"1555-1566","source":"DOI.org (Crossref)","title":"Prevention of violence against women and girls: what does the evidence say?","volume":"385","author":[{"family":"Ellsberg","given":"Mary"},{"family":"Arango","given":"Diana J"},{"family":"Morton","given":"Matthew"},{"family":"Gennari","given":"Floriza"},{"family":"Kiplesund","given":"Sveinung"},{"family":"Contreras","given":"Manuel"},{"family":"Watts","given":"Charlotte"}],"issued":{"date-parts":[["2015",4]]}}},{"id":1405,"uris":["http://zotero.org/users/9699311/items/LKWP9AU7"],"itemData":{"id":1405,"type":"document","title":"Convention on the Rights of the Child, opened for signature 20 November 1989, 44 UNTS 25 (entered into force 2 September 1990)","title-short":"CRC","author":[{"family":"United Nations","given":""}],"issued":{"date-parts":[["1989"]]}}},{"id":4968,"uris":["http://zotero.org/users/9699311/items/EKGYHAL9"],"itemData":{"id":4968,"type":"document","title":"Convention on the Elimination of All Forms of Discrimination Against Women (CEDAW) opened for signature 18 December 1979, A/RES/34/180 (entered into force 3 September 1981)","author":[{"family":"United Nations","given":""}],"accessed":{"date-parts":[["2023",4,5]]},"issued":{"date-parts":[["1979"]]}}}],"schema":"https://github.com/citation-style-language/schema/raw/master/csl-citation.json"} </w:instrText>
      </w:r>
      <w:r w:rsidRPr="00676B56">
        <w:rPr>
          <w:rFonts w:cstheme="minorHAnsi"/>
        </w:rPr>
        <w:fldChar w:fldCharType="separate"/>
      </w:r>
      <w:r w:rsidR="00560693" w:rsidRPr="00676B56">
        <w:rPr>
          <w:rFonts w:cstheme="minorHAnsi"/>
        </w:rPr>
        <w:t>Mary Ellsberg</w:t>
      </w:r>
      <w:r w:rsidR="007A7D9C">
        <w:rPr>
          <w:rFonts w:cstheme="minorHAnsi"/>
        </w:rPr>
        <w:t>, Diana</w:t>
      </w:r>
      <w:r w:rsidR="00560693" w:rsidRPr="00676B56">
        <w:rPr>
          <w:rFonts w:cstheme="minorHAnsi"/>
        </w:rPr>
        <w:t xml:space="preserve"> </w:t>
      </w:r>
      <w:r w:rsidR="007A7D9C" w:rsidRPr="007A7D9C">
        <w:rPr>
          <w:rFonts w:cstheme="minorHAnsi"/>
        </w:rPr>
        <w:t xml:space="preserve">Arango, </w:t>
      </w:r>
      <w:r w:rsidR="007A7D9C">
        <w:rPr>
          <w:rFonts w:cstheme="minorHAnsi"/>
        </w:rPr>
        <w:t xml:space="preserve">Matthew </w:t>
      </w:r>
      <w:r w:rsidR="007A7D9C" w:rsidRPr="007A7D9C">
        <w:rPr>
          <w:rFonts w:cstheme="minorHAnsi"/>
        </w:rPr>
        <w:t xml:space="preserve">Morton, </w:t>
      </w:r>
      <w:r w:rsidR="007A7D9C">
        <w:rPr>
          <w:rFonts w:cstheme="minorHAnsi"/>
        </w:rPr>
        <w:t xml:space="preserve">Floriza </w:t>
      </w:r>
      <w:r w:rsidR="007A7D9C" w:rsidRPr="007A7D9C">
        <w:rPr>
          <w:rFonts w:cstheme="minorHAnsi"/>
        </w:rPr>
        <w:t xml:space="preserve">Gennari, </w:t>
      </w:r>
      <w:r w:rsidR="007A7D9C">
        <w:rPr>
          <w:rFonts w:cstheme="minorHAnsi"/>
        </w:rPr>
        <w:t xml:space="preserve">Sveinung </w:t>
      </w:r>
      <w:proofErr w:type="spellStart"/>
      <w:r w:rsidR="007A7D9C" w:rsidRPr="007A7D9C">
        <w:rPr>
          <w:rFonts w:cstheme="minorHAnsi"/>
        </w:rPr>
        <w:t>Kiplesund</w:t>
      </w:r>
      <w:proofErr w:type="spellEnd"/>
      <w:r w:rsidR="007A7D9C" w:rsidRPr="007A7D9C">
        <w:rPr>
          <w:rFonts w:cstheme="minorHAnsi"/>
        </w:rPr>
        <w:t xml:space="preserve">, </w:t>
      </w:r>
      <w:r w:rsidR="007A7D9C">
        <w:rPr>
          <w:rFonts w:cstheme="minorHAnsi"/>
        </w:rPr>
        <w:t xml:space="preserve">M Manuel </w:t>
      </w:r>
      <w:r w:rsidR="007A7D9C" w:rsidRPr="007A7D9C">
        <w:rPr>
          <w:rFonts w:cstheme="minorHAnsi"/>
        </w:rPr>
        <w:t>Contreras</w:t>
      </w:r>
      <w:r w:rsidR="0092082B">
        <w:rPr>
          <w:rFonts w:cstheme="minorHAnsi"/>
        </w:rPr>
        <w:t xml:space="preserve"> and </w:t>
      </w:r>
      <w:r w:rsidR="007A7D9C">
        <w:rPr>
          <w:rFonts w:cstheme="minorHAnsi"/>
        </w:rPr>
        <w:t xml:space="preserve">Charlotte </w:t>
      </w:r>
      <w:r w:rsidR="007A7D9C" w:rsidRPr="007A7D9C">
        <w:rPr>
          <w:rFonts w:cstheme="minorHAnsi"/>
        </w:rPr>
        <w:t>Watts</w:t>
      </w:r>
      <w:r w:rsidR="00560693" w:rsidRPr="00676B56">
        <w:rPr>
          <w:rFonts w:cstheme="minorHAnsi"/>
        </w:rPr>
        <w:t xml:space="preserve">, ‘Prevention of Violence against Women and Girls: What Does the Evidence Say?’ (2015) 385(9977) </w:t>
      </w:r>
      <w:r w:rsidR="00560693" w:rsidRPr="00676B56">
        <w:rPr>
          <w:rFonts w:cstheme="minorHAnsi"/>
          <w:i/>
          <w:iCs/>
        </w:rPr>
        <w:t>The Lancet</w:t>
      </w:r>
      <w:r w:rsidR="00560693" w:rsidRPr="00676B56">
        <w:rPr>
          <w:rFonts w:cstheme="minorHAnsi"/>
        </w:rPr>
        <w:t xml:space="preserve"> 1555; </w:t>
      </w:r>
      <w:r w:rsidR="00560693" w:rsidRPr="00510E02">
        <w:rPr>
          <w:rFonts w:cstheme="minorHAnsi"/>
          <w:i/>
          <w:iCs/>
        </w:rPr>
        <w:t>Convention on the Rights of the Child</w:t>
      </w:r>
      <w:r w:rsidR="00560693" w:rsidRPr="00676B56">
        <w:rPr>
          <w:rFonts w:cstheme="minorHAnsi"/>
        </w:rPr>
        <w:t>, 44 UNTS 25 (</w:t>
      </w:r>
      <w:r w:rsidR="00EF5479" w:rsidRPr="00676B56">
        <w:rPr>
          <w:rFonts w:cstheme="minorHAnsi"/>
        </w:rPr>
        <w:t>e</w:t>
      </w:r>
      <w:r w:rsidR="00560693" w:rsidRPr="00676B56">
        <w:rPr>
          <w:rFonts w:cstheme="minorHAnsi"/>
        </w:rPr>
        <w:t xml:space="preserve">ntered into </w:t>
      </w:r>
      <w:r w:rsidR="00EF5479" w:rsidRPr="00676B56">
        <w:rPr>
          <w:rFonts w:cstheme="minorHAnsi"/>
        </w:rPr>
        <w:t>f</w:t>
      </w:r>
      <w:r w:rsidR="00560693" w:rsidRPr="00676B56">
        <w:rPr>
          <w:rFonts w:cstheme="minorHAnsi"/>
        </w:rPr>
        <w:t xml:space="preserve">orce 2 September 1990) (‘CRC’); </w:t>
      </w:r>
      <w:r w:rsidR="00560693" w:rsidRPr="00676B56">
        <w:rPr>
          <w:rFonts w:cstheme="minorHAnsi"/>
          <w:i/>
          <w:iCs/>
        </w:rPr>
        <w:t>Convention on the Elimination of All Forms of Discrimination Against Women (</w:t>
      </w:r>
      <w:r w:rsidR="00EF5479" w:rsidRPr="00676B56">
        <w:rPr>
          <w:rFonts w:cstheme="minorHAnsi"/>
          <w:i/>
          <w:iCs/>
        </w:rPr>
        <w:t>'</w:t>
      </w:r>
      <w:r w:rsidR="00560693" w:rsidRPr="00676B56">
        <w:rPr>
          <w:rFonts w:cstheme="minorHAnsi"/>
          <w:i/>
          <w:iCs/>
        </w:rPr>
        <w:t>CEDAW</w:t>
      </w:r>
      <w:r w:rsidR="00EF5479" w:rsidRPr="00676B56">
        <w:rPr>
          <w:rFonts w:cstheme="minorHAnsi"/>
          <w:i/>
          <w:iCs/>
        </w:rPr>
        <w:t>'</w:t>
      </w:r>
      <w:r w:rsidR="00560693" w:rsidRPr="00676B56">
        <w:rPr>
          <w:rFonts w:cstheme="minorHAnsi"/>
          <w:i/>
          <w:iCs/>
        </w:rPr>
        <w:t>)</w:t>
      </w:r>
      <w:r w:rsidR="00560693" w:rsidRPr="00676B56">
        <w:rPr>
          <w:rFonts w:cstheme="minorHAnsi"/>
        </w:rPr>
        <w:t>, A/RES/34/180 (</w:t>
      </w:r>
      <w:r w:rsidR="00EF5479" w:rsidRPr="00676B56">
        <w:rPr>
          <w:rFonts w:cstheme="minorHAnsi"/>
        </w:rPr>
        <w:t>e</w:t>
      </w:r>
      <w:r w:rsidR="00560693" w:rsidRPr="00676B56">
        <w:rPr>
          <w:rFonts w:cstheme="minorHAnsi"/>
        </w:rPr>
        <w:t xml:space="preserve">ntered into </w:t>
      </w:r>
      <w:r w:rsidR="00EF5479" w:rsidRPr="00676B56">
        <w:rPr>
          <w:rFonts w:cstheme="minorHAnsi"/>
        </w:rPr>
        <w:t>f</w:t>
      </w:r>
      <w:r w:rsidR="00560693" w:rsidRPr="00676B56">
        <w:rPr>
          <w:rFonts w:cstheme="minorHAnsi"/>
        </w:rPr>
        <w:t>orce 3 September 1981).</w:t>
      </w:r>
      <w:r w:rsidRPr="00676B56">
        <w:rPr>
          <w:rFonts w:cstheme="minorHAnsi"/>
        </w:rPr>
        <w:fldChar w:fldCharType="end"/>
      </w:r>
      <w:r w:rsidR="00780966" w:rsidRPr="00676B56">
        <w:rPr>
          <w:rFonts w:cstheme="minorHAnsi"/>
        </w:rPr>
        <w:t xml:space="preserve"> Nepal ratified the CRC in 1990 and CEDAW without reservation in 1991. </w:t>
      </w:r>
    </w:p>
  </w:footnote>
  <w:footnote w:id="5">
    <w:p w14:paraId="316355B5" w14:textId="5BD269B3" w:rsidR="00E265C6" w:rsidRPr="00676B56" w:rsidRDefault="00E265C6"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8B0248" w:rsidRPr="00676B56">
        <w:rPr>
          <w:rFonts w:cstheme="minorHAnsi"/>
        </w:rPr>
        <w:instrText xml:space="preserve"> ADDIN ZOTERO_ITEM CSL_CITATION {"citationID":"2Os7sAel","properties":{"formattedCitation":"World Bank, \\uc0\\u8216{}Gender-Based Violence (Violence Against Women and Girls)\\uc0\\u8217{}, {\\i{}World Bank} (2019) &lt;https://www.worldbank.org/en/topic/socialsustainability/brief/violence-against-women-and-girls&gt;.","plainCitation":"World Bank, ‘Gender-Based Violence (Violence Against Women and Girls)’, World Bank (2019) &lt;https://www.worldbank.org/en/topic/socialsustainability/brief/violence-against-women-and-girls&gt;.","noteIndex":5},"citationItems":[{"id":4947,"uris":["http://zotero.org/users/9699311/items/QDH32AFQ"],"itemData":{"id":4947,"type":"webpage","abstract":"Gender-Based Violence (Violence Against Women and Girls) is a global pandemic that affects 1 in 3 women, with severe consequences on countries' social and economic development.","container-title":"World Bank","language":"en","title":"Gender-Based Violence (Violence Against Women and Girls)","URL":"https://www.worldbank.org/en/topic/socialsustainability/brief/violence-against-women-and-girls","author":[{"family":"World Bank","given":""}],"accessed":{"date-parts":[["2023",4,5]]},"issued":{"date-parts":[["2019"]]}}}],"schema":"https://github.com/citation-style-language/schema/raw/master/csl-citation.json"} </w:instrText>
      </w:r>
      <w:r w:rsidRPr="00676B56">
        <w:rPr>
          <w:rFonts w:cstheme="minorHAnsi"/>
        </w:rPr>
        <w:fldChar w:fldCharType="separate"/>
      </w:r>
      <w:r w:rsidR="0081327A" w:rsidRPr="00676B56">
        <w:rPr>
          <w:rFonts w:cstheme="minorHAnsi"/>
        </w:rPr>
        <w:t xml:space="preserve">World Bank, ‘Gender-Based Violence (Violence Against Women and Girls)’, </w:t>
      </w:r>
      <w:r w:rsidR="0081327A" w:rsidRPr="00676B56">
        <w:rPr>
          <w:rFonts w:cstheme="minorHAnsi"/>
          <w:i/>
          <w:iCs/>
        </w:rPr>
        <w:t>World Bank</w:t>
      </w:r>
      <w:r w:rsidR="0081327A" w:rsidRPr="00676B56">
        <w:rPr>
          <w:rFonts w:cstheme="minorHAnsi"/>
        </w:rPr>
        <w:t xml:space="preserve"> (2019) https://www.worldbank.org/en/topic/socialsustainability/brief/violence-against-women-and-girls.</w:t>
      </w:r>
      <w:r w:rsidRPr="00676B56">
        <w:rPr>
          <w:rFonts w:cstheme="minorHAnsi"/>
        </w:rPr>
        <w:fldChar w:fldCharType="end"/>
      </w:r>
    </w:p>
  </w:footnote>
  <w:footnote w:id="6">
    <w:p w14:paraId="70829169" w14:textId="4C95D071" w:rsidR="006947E3" w:rsidRPr="00676B56" w:rsidRDefault="006947E3"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114038" w:rsidRPr="00676B56">
        <w:rPr>
          <w:rFonts w:cstheme="minorHAnsi"/>
        </w:rPr>
        <w:instrText xml:space="preserve"> ADDIN ZOTERO_ITEM CSL_CITATION {"citationID":"Owv1Xk8f","properties":{"formattedCitation":"Natasha Behl, {\\i{}Gendered Citizenship: Understanding Gendered Violence in Democratic India} (Oxford University Press, 2019) (\\uc0\\u8216{}{\\i{}Gendered Citizenship}\\uc0\\u8217{}).","plainCitation":"Natasha Behl, Gendered Citizenship: Understanding Gendered Violence in Democratic India (Oxford University Press, 2019) (‘Gendered Citizenship’).","dontUpdate":true,"noteIndex":6},"citationItems":[{"id":5447,"uris":["http://zotero.org/users/9699311/items/RWGLP7PD"],"itemData":{"id":5447,"type":"book","abstract":"It has been shown time and again that even though all citizens may be accorded equal standing in the constitution of a liberal democracy, such a legal provision hardly guarantees state protections against discrimination and political exclusion. More specifically, why do we find pervasive gender-based discrimination, exclusion, and violence in India when the Indian Constitution supports an inclusive democracy committed to gender and caste equality?","collection-title":"Oxford studies in gender and international relations","event-place":"United Kingdom","ISBN":"978-0-19-094943-3","language":"eng","note":"DOI: 10.1093/oso/9780190949426.001.0001","publisher":"Oxford University Press","publisher-place":"United Kingdom","source":"multisearch.mq.edu.au","title":"Gendered Citizenship: Understanding Gendered Violence in Democratic India","title-short":"Gendered Citizenship","author":[{"family":"Behl","given":"Natasha"}],"issued":{"date-parts":[["2019"]]}}}],"schema":"https://github.com/citation-style-language/schema/raw/master/csl-citation.json"} </w:instrText>
      </w:r>
      <w:r w:rsidRPr="00676B56">
        <w:rPr>
          <w:rFonts w:cstheme="minorHAnsi"/>
        </w:rPr>
        <w:fldChar w:fldCharType="separate"/>
      </w:r>
      <w:r w:rsidRPr="00676B56">
        <w:rPr>
          <w:rFonts w:cstheme="minorHAnsi"/>
        </w:rPr>
        <w:t xml:space="preserve">Natasha Behl, </w:t>
      </w:r>
      <w:r w:rsidRPr="00676B56">
        <w:rPr>
          <w:rFonts w:cstheme="minorHAnsi"/>
          <w:i/>
          <w:iCs/>
        </w:rPr>
        <w:t>Gendered Citizenship: Understanding Gendered Violence in Democratic India</w:t>
      </w:r>
      <w:r w:rsidRPr="00676B56">
        <w:rPr>
          <w:rFonts w:cstheme="minorHAnsi"/>
        </w:rPr>
        <w:t xml:space="preserve"> (Oxford University Press, 2019)</w:t>
      </w:r>
      <w:r w:rsidR="00481E4B" w:rsidRPr="00676B56">
        <w:rPr>
          <w:rFonts w:cstheme="minorHAnsi"/>
        </w:rPr>
        <w:t>.</w:t>
      </w:r>
      <w:r w:rsidRPr="00676B56">
        <w:rPr>
          <w:rFonts w:cstheme="minorHAnsi"/>
        </w:rPr>
        <w:fldChar w:fldCharType="end"/>
      </w:r>
    </w:p>
  </w:footnote>
  <w:footnote w:id="7">
    <w:p w14:paraId="266F47E7" w14:textId="4C288295" w:rsidR="009817DF" w:rsidRPr="00676B56" w:rsidRDefault="009817DF"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BE5CF4" w:rsidRPr="00676B56">
        <w:rPr>
          <w:rFonts w:cstheme="minorHAnsi"/>
        </w:rPr>
        <w:instrText xml:space="preserve"> ADDIN ZOTERO_ITEM CSL_CITATION {"citationID":"3lITzSOj","properties":{"formattedCitation":"Nobuhle Judy Dlamini, \\uc0\\u8216{}Gender-Based Violence, Twin Pandemic to COVID-19\\uc0\\u8217{} (2021) 47(4\\uc0\\u8211{}5) {\\i{}Critical Sociology} 583.","plainCitation":"Nobuhle Judy Dlamini, ‘Gender-Based Violence, Twin Pandemic to COVID-19’ (2021) 47(4–5) Critical Sociology 583.","noteIndex":7},"citationItems":[{"id":4946,"uris":["http://zotero.org/users/9699311/items/364WYEV2"],"itemData":{"id":4946,"type":"article-journal","abstract":"The COVID-19 pandemic exposed and exacerbated existing inequalities within countries and across geographies. It reminded us how the world and its people are interconnected. Genderbased violence (GBV), which is an expression of gender inequality and toxic masculinity, is another pandemic that exists in all societies at varying degrees of prevalence and severity.1 It requires the same effort and attention that governments globally have given to COVID-19. With half the world under lockdown as governments’ response to COVID-19, GBV increased significantly (UN Women, 2020a). The increase was a reminder of the need to have contingent mitigating mechanism to protect the marginalized, women and girls, against a co-existing pandemic, GBV. The intersection of marginalization and discrimination made certain groups of women more susceptible to GBV and COVID-19 pandemics. These intersecting social identities of vulnerability need equal attention in order to eradicate inequality (Simonovic, 2020).","container-title":"Critical Sociology","DOI":"10.1177/0896920520975465","ISSN":"0896-9205, 1569-1632","issue":"4-5","journalAbbreviation":"Critical Sociology","language":"en","page":"583-590","source":"DOI.org (Crossref)","title":"Gender-Based Violence, Twin Pandemic to COVID-19","volume":"47","author":[{"family":"Dlamini","given":"Nobuhle Judy"}],"issued":{"date-parts":[["2021",7]]}}}],"schema":"https://github.com/citation-style-language/schema/raw/master/csl-citation.json"} </w:instrText>
      </w:r>
      <w:r w:rsidRPr="00676B56">
        <w:rPr>
          <w:rFonts w:cstheme="minorHAnsi"/>
        </w:rPr>
        <w:fldChar w:fldCharType="separate"/>
      </w:r>
      <w:r w:rsidRPr="00676B56">
        <w:rPr>
          <w:rFonts w:cstheme="minorHAnsi"/>
        </w:rPr>
        <w:t xml:space="preserve">Nobuhle Judy Dlamini, ‘Gender-Based Violence, Twin Pandemic to COVID-19’ (2021) 47(4–5) </w:t>
      </w:r>
      <w:r w:rsidRPr="00676B56">
        <w:rPr>
          <w:rFonts w:cstheme="minorHAnsi"/>
          <w:i/>
          <w:iCs/>
        </w:rPr>
        <w:t>Critical Sociology</w:t>
      </w:r>
      <w:r w:rsidRPr="00676B56">
        <w:rPr>
          <w:rFonts w:cstheme="minorHAnsi"/>
        </w:rPr>
        <w:t xml:space="preserve"> 583.</w:t>
      </w:r>
      <w:r w:rsidRPr="00676B56">
        <w:rPr>
          <w:rFonts w:cstheme="minorHAnsi"/>
        </w:rPr>
        <w:fldChar w:fldCharType="end"/>
      </w:r>
    </w:p>
  </w:footnote>
  <w:footnote w:id="8">
    <w:p w14:paraId="080E8037" w14:textId="36BCA70F" w:rsidR="009C358E" w:rsidRPr="00676B56" w:rsidRDefault="009C358E"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264B99" w:rsidRPr="00676B56">
        <w:rPr>
          <w:rFonts w:cstheme="minorHAnsi"/>
        </w:rPr>
        <w:instrText xml:space="preserve"> ADDIN ZOTERO_ITEM CSL_CITATION {"citationID":"GCqvEXuI","properties":{"formattedCitation":"Goal 5: Achieve gender equality and empower all women and girls United Nations, \\uc0\\u8216{}United Nations: Gender Equality and Women\\uc0\\u8217{}s Empowerment\\uc0\\u8217{}, {\\i{}United Nations Sustainable Development Goals} &lt;https://www.un.org/sustainabledevelopment/gender-equality/&gt;.","plainCitation":"Goal 5: Achieve gender equality and empower all women and girls United Nations, ‘United Nations: Gender Equality and Women’s Empowerment’, United Nations Sustainable Development Goals &lt;https://www.un.org/sustainabledevelopment/gender-equality/&gt;.","dontUpdate":true,"noteIndex":8},"citationItems":[{"id":4956,"uris":["http://zotero.org/users/9699311/items/XGLN7Z87"],"itemData":{"id":4956,"type":"webpage","abstract":"United Nations 2015: Time for Global Action. Focus on gender equality and women's empowerment to achieve sustainable development","container-title":"United Nations Sustainable Development Goals","language":"en-US","title":"United Nations: Gender equality and women's empowerment","URL":"https://www.un.org/sustainabledevelopment/gender-equality/","author":[{"family":"United Nations","given":""}],"accessed":{"date-parts":[["2023",4,5]]}},"label":"page","prefix":"Goal 5: Achieve gender equality and empower all women and girls"}],"schema":"https://github.com/citation-style-language/schema/raw/master/csl-citation.json"} </w:instrText>
      </w:r>
      <w:r w:rsidRPr="00676B56">
        <w:rPr>
          <w:rFonts w:cstheme="minorHAnsi"/>
        </w:rPr>
        <w:fldChar w:fldCharType="separate"/>
      </w:r>
      <w:r w:rsidR="00CE1FAA" w:rsidRPr="00676B56">
        <w:rPr>
          <w:rFonts w:cstheme="minorHAnsi"/>
        </w:rPr>
        <w:t xml:space="preserve">Goal 5: Achieve </w:t>
      </w:r>
      <w:r w:rsidR="00DA1CBC" w:rsidRPr="00676B56">
        <w:rPr>
          <w:rFonts w:cstheme="minorHAnsi"/>
        </w:rPr>
        <w:t>G</w:t>
      </w:r>
      <w:r w:rsidR="00CE1FAA" w:rsidRPr="00676B56">
        <w:rPr>
          <w:rFonts w:cstheme="minorHAnsi"/>
        </w:rPr>
        <w:t xml:space="preserve">ender </w:t>
      </w:r>
      <w:r w:rsidR="00DA1CBC" w:rsidRPr="00676B56">
        <w:rPr>
          <w:rFonts w:cstheme="minorHAnsi"/>
        </w:rPr>
        <w:t>E</w:t>
      </w:r>
      <w:r w:rsidR="00CE1FAA" w:rsidRPr="00676B56">
        <w:rPr>
          <w:rFonts w:cstheme="minorHAnsi"/>
        </w:rPr>
        <w:t xml:space="preserve">quality and </w:t>
      </w:r>
      <w:r w:rsidR="00DA1CBC" w:rsidRPr="00676B56">
        <w:rPr>
          <w:rFonts w:cstheme="minorHAnsi"/>
        </w:rPr>
        <w:t>E</w:t>
      </w:r>
      <w:r w:rsidR="00CE1FAA" w:rsidRPr="00676B56">
        <w:rPr>
          <w:rFonts w:cstheme="minorHAnsi"/>
        </w:rPr>
        <w:t xml:space="preserve">mpower all </w:t>
      </w:r>
      <w:r w:rsidR="00DA1CBC" w:rsidRPr="00676B56">
        <w:rPr>
          <w:rFonts w:cstheme="minorHAnsi"/>
        </w:rPr>
        <w:t>W</w:t>
      </w:r>
      <w:r w:rsidR="00CE1FAA" w:rsidRPr="00676B56">
        <w:rPr>
          <w:rFonts w:cstheme="minorHAnsi"/>
        </w:rPr>
        <w:t xml:space="preserve">omen and </w:t>
      </w:r>
      <w:r w:rsidR="00DA1CBC" w:rsidRPr="00676B56">
        <w:rPr>
          <w:rFonts w:cstheme="minorHAnsi"/>
        </w:rPr>
        <w:t>G</w:t>
      </w:r>
      <w:r w:rsidR="00CE1FAA" w:rsidRPr="00676B56">
        <w:rPr>
          <w:rFonts w:cstheme="minorHAnsi"/>
        </w:rPr>
        <w:t>irls</w:t>
      </w:r>
      <w:r w:rsidR="00DA1CBC" w:rsidRPr="00676B56">
        <w:rPr>
          <w:rFonts w:cstheme="minorHAnsi"/>
        </w:rPr>
        <w:t xml:space="preserve">, </w:t>
      </w:r>
      <w:r w:rsidR="00CE1FAA" w:rsidRPr="00676B56">
        <w:rPr>
          <w:rFonts w:cstheme="minorHAnsi"/>
        </w:rPr>
        <w:t xml:space="preserve">United Nations, ‘United Nations: Gender Equality and Women’s Empowerment’, </w:t>
      </w:r>
      <w:r w:rsidR="00CE1FAA" w:rsidRPr="00676B56">
        <w:rPr>
          <w:rFonts w:cstheme="minorHAnsi"/>
          <w:i/>
          <w:iCs/>
        </w:rPr>
        <w:t>United Nations Sustainable Development Goals</w:t>
      </w:r>
      <w:r w:rsidR="00CE1FAA" w:rsidRPr="00676B56">
        <w:rPr>
          <w:rFonts w:cstheme="minorHAnsi"/>
        </w:rPr>
        <w:t xml:space="preserve"> https://www.un.org/sustainabledevelopment/gender-equality/.</w:t>
      </w:r>
      <w:r w:rsidRPr="00676B56">
        <w:rPr>
          <w:rFonts w:cstheme="minorHAnsi"/>
        </w:rPr>
        <w:fldChar w:fldCharType="end"/>
      </w:r>
    </w:p>
  </w:footnote>
  <w:footnote w:id="9">
    <w:p w14:paraId="0FC5E400" w14:textId="5B8EC8AD" w:rsidR="00E04F4C" w:rsidRPr="00676B56" w:rsidRDefault="00E04F4C"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BE5CF4" w:rsidRPr="00676B56">
        <w:rPr>
          <w:rFonts w:cstheme="minorHAnsi"/>
        </w:rPr>
        <w:instrText xml:space="preserve"> ADDIN ZOTERO_ITEM CSL_CITATION {"citationID":"bmStr6r2","properties":{"formattedCitation":"Jeni Klugman, {\\i{}Gender Based Violence and the Law} (World Bank, Washington, DC, 2017) 1 &lt;https://openknowledge.worldbank.org/handle/10986/26198&gt;.","plainCitation":"Jeni Klugman, Gender Based Violence and the Law (World Bank, Washington, DC, 2017) 1 &lt;https://openknowledge.worldbank.org/handle/10986/26198&gt;.","noteIndex":9},"citationItems":[{"id":4955,"uris":["http://zotero.org/users/9699311/items/T4J6DYTW"],"itemData":{"id":4955,"type":"book","language":"en","note":"DOI: 10.1596/26198","publisher":"World Bank, Washington, DC","source":"DOI.org (Crossref)","title":"Gender Based Violence and the Law","URL":"https://openknowledge.worldbank.org/handle/10986/26198","author":[{"family":"Klugman","given":"Jeni"}],"accessed":{"date-parts":[["2023",4,5]]},"issued":{"date-parts":[["2017",1]]}},"locator":"1","label":"page"}],"schema":"https://github.com/citation-style-language/schema/raw/master/csl-citation.json"} </w:instrText>
      </w:r>
      <w:r w:rsidRPr="00676B56">
        <w:rPr>
          <w:rFonts w:cstheme="minorHAnsi"/>
        </w:rPr>
        <w:fldChar w:fldCharType="separate"/>
      </w:r>
      <w:r w:rsidRPr="00676B56">
        <w:rPr>
          <w:rFonts w:cstheme="minorHAnsi"/>
        </w:rPr>
        <w:t xml:space="preserve">Jeni Klugman, </w:t>
      </w:r>
      <w:r w:rsidRPr="00676B56">
        <w:rPr>
          <w:rFonts w:cstheme="minorHAnsi"/>
          <w:i/>
          <w:iCs/>
        </w:rPr>
        <w:t>Gender Based Violence and the Law</w:t>
      </w:r>
      <w:r w:rsidRPr="00676B56">
        <w:rPr>
          <w:rFonts w:cstheme="minorHAnsi"/>
        </w:rPr>
        <w:t xml:space="preserve"> (World Bank, 2017) 1 https://openknowledge.worldbank.org/handle/10986/26198.</w:t>
      </w:r>
      <w:r w:rsidRPr="00676B56">
        <w:rPr>
          <w:rFonts w:cstheme="minorHAnsi"/>
        </w:rPr>
        <w:fldChar w:fldCharType="end"/>
      </w:r>
    </w:p>
  </w:footnote>
  <w:footnote w:id="10">
    <w:p w14:paraId="56D5E59C" w14:textId="3356C6FC" w:rsidR="004F49FC" w:rsidRPr="00676B56" w:rsidRDefault="004F49FC"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9915F1" w:rsidRPr="00676B56">
        <w:rPr>
          <w:rFonts w:cstheme="minorHAnsi"/>
        </w:rPr>
        <w:instrText xml:space="preserve"> ADDIN ZOTERO_ITEM CSL_CITATION {"citationID":"McYhZwwY","properties":{"formattedCitation":"Amy Barrow and Joy L Chia (eds), {\\i{}Gender, Violence and the State in Asia} (Routledge, 2016) 1.","plainCitation":"Amy Barrow and Joy L Chia (eds), Gender, Violence and the State in Asia (Routledge, 2016) 1.","noteIndex":10},"citationItems":[{"id":5434,"uris":["http://zotero.org/users/9699311/items/W2GT9UX8"],"itemData":{"id":5434,"type":"book","abstract":"While gender-based violence occurs in all societies irrespective of the level of development or cultural setting, whether in conflict or peacetime, the challenges for legal responses to gender-based violence are particularly acute in Asia. This book addresses the lack of academic discourse on gender-based violence in Asia beyond domestic violence, by demonstrating that gendered violence exists within many different contexts and is perpetuated by multiple actors.\nBringing together scholars, legal practitioners and human rights advocates, the book examines the intersections between gender, violence and the state in Asian contexts. It considers the role of state institutions in perpetuating and preventing violence based on gender and identity, and thus contributes to growing scholarship around due diligence standards under international law. Analysing both physical and structural gender-based violence, it scrutinises how such violence exists within a landscape shaped by distinct cultural norms, laws and policies, and grapples with how to practically translate international human rights standards about state responsibility into these complex domestic environments. Contributors from diverse backgrounds draw on case studies and empirical research to ground this academic scholarship in lived experiences of individuals and their communities in Asia.\nBy bridging the divide between policy, laws and practice to offer a unique insight into both theoretical and practical responses to how gender-based violence is understood within communities and state institutions in Asian countries, this book will appeal to students and scholars of Asian Studies, Gender Studies and Law.\nWhile gender-based violence occurs in all societies irrespective of the level of development or cultural setting, whether in conflict or peacetime, the challenges for legal responses to gender-based violence are particularly acute in Asia. This bookaddresses the lack of academic discourse on gender-based violence in Asia beyond domestic violence, by demonstrating that gendered violence exists within many different contexts and is perpetuated by multiple actors.\nBringing together scholars, legal practitioners and human rights advocates, the book examines the intersections between gender, violence and the state in Asian contexts. It considers the role of state institutions in perpetuating and preventing violence based on gender and identity, and thus contributes to growing scholarship around due diligence standards under international law. Analyzing both physical and structural gender-based violence, it scrutinizes how such violence exists within a landscape shaped by distinct cultural norms, laws and policies, and grapples with how to practically translate international human rights standards about state responsibility into these complex domestic environments. Contributors from diverse backgrounds draw on case studies and empirical research to ground this academic scholarship in lived experiences of individuals and their communities in Asia.\nBy bridging the divide between policy, laws and practice to offer a unique insight into both theoretical and practical responses to how gender-based violence is understood within communities and state institutions in Asian countries, this book will appeal to students and scholars of Asian studies, Gender Studies and Law.","collection-title":"Routledge Research on Gender in Asia Series","event-place":"London, New York","ISBN":"978-1-138-10172-2","language":"eng","note":"DOI: 10.4324/9781315656731","publisher":"Routledge","publisher-place":"London, New York","source":"multisearch.mq.edu.au","title":"Gender, Violence and the State in Asia","editor":[{"family":"Barrow","given":"Amy"},{"family":"Chia","given":"Joy L."}],"issued":{"date-parts":[["2016"]]}},"locator":"1","label":"page"}],"schema":"https://github.com/citation-style-language/schema/raw/master/csl-citation.json"} </w:instrText>
      </w:r>
      <w:r w:rsidRPr="00676B56">
        <w:rPr>
          <w:rFonts w:cstheme="minorHAnsi"/>
        </w:rPr>
        <w:fldChar w:fldCharType="separate"/>
      </w:r>
      <w:r w:rsidR="009915F1" w:rsidRPr="00676B56">
        <w:rPr>
          <w:rFonts w:cstheme="minorHAnsi"/>
        </w:rPr>
        <w:t xml:space="preserve">Amy Barrow and Joy L Chia (eds), </w:t>
      </w:r>
      <w:r w:rsidR="009915F1" w:rsidRPr="00676B56">
        <w:rPr>
          <w:rFonts w:cstheme="minorHAnsi"/>
          <w:i/>
          <w:iCs/>
        </w:rPr>
        <w:t>Gender, Violence and the State in Asia</w:t>
      </w:r>
      <w:r w:rsidR="009915F1" w:rsidRPr="00676B56">
        <w:rPr>
          <w:rFonts w:cstheme="minorHAnsi"/>
        </w:rPr>
        <w:t xml:space="preserve"> (Routledge, 2016) 1.</w:t>
      </w:r>
      <w:r w:rsidRPr="00676B56">
        <w:rPr>
          <w:rFonts w:cstheme="minorHAnsi"/>
        </w:rPr>
        <w:fldChar w:fldCharType="end"/>
      </w:r>
    </w:p>
  </w:footnote>
  <w:footnote w:id="11">
    <w:p w14:paraId="462D3DDC" w14:textId="0E101FA8" w:rsidR="00F6021F" w:rsidRPr="00676B56" w:rsidRDefault="00F6021F"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9915F1" w:rsidRPr="00676B56">
        <w:rPr>
          <w:rFonts w:cstheme="minorHAnsi"/>
        </w:rPr>
        <w:instrText xml:space="preserve"> ADDIN ZOTERO_ITEM CSL_CITATION {"citationID":"dji0resM","properties":{"formattedCitation":"Ibid.","plainCitation":"Ibid.","noteIndex":11},"citationItems":[{"id":5434,"uris":["http://zotero.org/users/9699311/items/W2GT9UX8"],"itemData":{"id":5434,"type":"book","abstract":"While gender-based violence occurs in all societies irrespective of the level of development or cultural setting, whether in conflict or peacetime, the challenges for legal responses to gender-based violence are particularly acute in Asia. This book addresses the lack of academic discourse on gender-based violence in Asia beyond domestic violence, by demonstrating that gendered violence exists within many different contexts and is perpetuated by multiple actors.\nBringing together scholars, legal practitioners and human rights advocates, the book examines the intersections between gender, violence and the state in Asian contexts. It considers the role of state institutions in perpetuating and preventing violence based on gender and identity, and thus contributes to growing scholarship around due diligence standards under international law. Analysing both physical and structural gender-based violence, it scrutinises how such violence exists within a landscape shaped by distinct cultural norms, laws and policies, and grapples with how to practically translate international human rights standards about state responsibility into these complex domestic environments. Contributors from diverse backgrounds draw on case studies and empirical research to ground this academic scholarship in lived experiences of individuals and their communities in Asia.\nBy bridging the divide between policy, laws and practice to offer a unique insight into both theoretical and practical responses to how gender-based violence is understood within communities and state institutions in Asian countries, this book will appeal to students and scholars of Asian Studies, Gender Studies and Law.\nWhile gender-based violence occurs in all societies irrespective of the level of development or cultural setting, whether in conflict or peacetime, the challenges for legal responses to gender-based violence are particularly acute in Asia. This bookaddresses the lack of academic discourse on gender-based violence in Asia beyond domestic violence, by demonstrating that gendered violence exists within many different contexts and is perpetuated by multiple actors.\nBringing together scholars, legal practitioners and human rights advocates, the book examines the intersections between gender, violence and the state in Asian contexts. It considers the role of state institutions in perpetuating and preventing violence based on gender and identity, and thus contributes to growing scholarship around due diligence standards under international law. Analyzing both physical and structural gender-based violence, it scrutinizes how such violence exists within a landscape shaped by distinct cultural norms, laws and policies, and grapples with how to practically translate international human rights standards about state responsibility into these complex domestic environments. Contributors from diverse backgrounds draw on case studies and empirical research to ground this academic scholarship in lived experiences of individuals and their communities in Asia.\nBy bridging the divide between policy, laws and practice to offer a unique insight into both theoretical and practical responses to how gender-based violence is understood within communities and state institutions in Asian countries, this book will appeal to students and scholars of Asian studies, Gender Studies and Law.","collection-title":"Routledge Research on Gender in Asia Series","event-place":"London, New York","ISBN":"978-1-138-10172-2","language":"eng","note":"DOI: 10.4324/9781315656731","publisher":"Routledge","publisher-place":"London, New York","source":"multisearch.mq.edu.au","title":"Gender, Violence and the State in Asia","editor":[{"family":"Barrow","given":"Amy"},{"family":"Chia","given":"Joy L."}],"issued":{"date-parts":[["2016"]]}},"locator":"1","label":"page"}],"schema":"https://github.com/citation-style-language/schema/raw/master/csl-citation.json"} </w:instrText>
      </w:r>
      <w:r w:rsidRPr="00676B56">
        <w:rPr>
          <w:rFonts w:cstheme="minorHAnsi"/>
        </w:rPr>
        <w:fldChar w:fldCharType="separate"/>
      </w:r>
      <w:r w:rsidR="009915F1" w:rsidRPr="00676B56">
        <w:rPr>
          <w:rFonts w:cstheme="minorHAnsi"/>
        </w:rPr>
        <w:t>Ibid.</w:t>
      </w:r>
      <w:r w:rsidRPr="00676B56">
        <w:rPr>
          <w:rFonts w:cstheme="minorHAnsi"/>
        </w:rPr>
        <w:fldChar w:fldCharType="end"/>
      </w:r>
    </w:p>
  </w:footnote>
  <w:footnote w:id="12">
    <w:p w14:paraId="11F37948" w14:textId="7899951E" w:rsidR="009915F1" w:rsidRPr="00676B56" w:rsidRDefault="009915F1"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Pr="00676B56">
        <w:rPr>
          <w:rFonts w:cstheme="minorHAnsi"/>
        </w:rPr>
        <w:instrText xml:space="preserve"> ADDIN ZOTERO_ITEM CSL_CITATION {"citationID":"Lc9HMCqD","properties":{"formattedCitation":"Ibid 6.","plainCitation":"Ibid 6.","noteIndex":12},"citationItems":[{"id":5434,"uris":["http://zotero.org/users/9699311/items/W2GT9UX8"],"itemData":{"id":5434,"type":"book","abstract":"While gender-based violence occurs in all societies irrespective of the level of development or cultural setting, whether in conflict or peacetime, the challenges for legal responses to gender-based violence are particularly acute in Asia. This book addresses the lack of academic discourse on gender-based violence in Asia beyond domestic violence, by demonstrating that gendered violence exists within many different contexts and is perpetuated by multiple actors.\nBringing together scholars, legal practitioners and human rights advocates, the book examines the intersections between gender, violence and the state in Asian contexts. It considers the role of state institutions in perpetuating and preventing violence based on gender and identity, and thus contributes to growing scholarship around due diligence standards under international law. Analysing both physical and structural gender-based violence, it scrutinises how such violence exists within a landscape shaped by distinct cultural norms, laws and policies, and grapples with how to practically translate international human rights standards about state responsibility into these complex domestic environments. Contributors from diverse backgrounds draw on case studies and empirical research to ground this academic scholarship in lived experiences of individuals and their communities in Asia.\nBy bridging the divide between policy, laws and practice to offer a unique insight into both theoretical and practical responses to how gender-based violence is understood within communities and state institutions in Asian countries, this book will appeal to students and scholars of Asian Studies, Gender Studies and Law.\nWhile gender-based violence occurs in all societies irrespective of the level of development or cultural setting, whether in conflict or peacetime, the challenges for legal responses to gender-based violence are particularly acute in Asia. This bookaddresses the lack of academic discourse on gender-based violence in Asia beyond domestic violence, by demonstrating that gendered violence exists within many different contexts and is perpetuated by multiple actors.\nBringing together scholars, legal practitioners and human rights advocates, the book examines the intersections between gender, violence and the state in Asian contexts. It considers the role of state institutions in perpetuating and preventing violence based on gender and identity, and thus contributes to growing scholarship around due diligence standards under international law. Analyzing both physical and structural gender-based violence, it scrutinizes how such violence exists within a landscape shaped by distinct cultural norms, laws and policies, and grapples with how to practically translate international human rights standards about state responsibility into these complex domestic environments. Contributors from diverse backgrounds draw on case studies and empirical research to ground this academic scholarship in lived experiences of individuals and their communities in Asia.\nBy bridging the divide between policy, laws and practice to offer a unique insight into both theoretical and practical responses to how gender-based violence is understood within communities and state institutions in Asian countries, this book will appeal to students and scholars of Asian studies, Gender Studies and Law.","collection-title":"Routledge Research on Gender in Asia Series","event-place":"London, New York","ISBN":"978-1-138-10172-2","language":"eng","note":"DOI: 10.4324/9781315656731","publisher":"Routledge","publisher-place":"London, New York","source":"multisearch.mq.edu.au","title":"Gender, Violence and the State in Asia","editor":[{"family":"Barrow","given":"Amy"},{"family":"Chia","given":"Joy L."}],"issued":{"date-parts":[["2016"]]}},"locator":"6","label":"page"}],"schema":"https://github.com/citation-style-language/schema/raw/master/csl-citation.json"} </w:instrText>
      </w:r>
      <w:r w:rsidRPr="00676B56">
        <w:rPr>
          <w:rFonts w:cstheme="minorHAnsi"/>
        </w:rPr>
        <w:fldChar w:fldCharType="separate"/>
      </w:r>
      <w:r w:rsidRPr="00676B56">
        <w:rPr>
          <w:rFonts w:cstheme="minorHAnsi"/>
        </w:rPr>
        <w:t>Ibid 6.</w:t>
      </w:r>
      <w:r w:rsidRPr="00676B56">
        <w:rPr>
          <w:rFonts w:cstheme="minorHAnsi"/>
        </w:rPr>
        <w:fldChar w:fldCharType="end"/>
      </w:r>
    </w:p>
  </w:footnote>
  <w:footnote w:id="13">
    <w:p w14:paraId="1F776498" w14:textId="567160D1" w:rsidR="00CE1FAA" w:rsidRPr="00676B56" w:rsidRDefault="00CE1FAA"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25DA6">
        <w:rPr>
          <w:rFonts w:cstheme="minorHAnsi"/>
        </w:rPr>
        <w:instrText xml:space="preserve"> ADDIN ZOTERO_ITEM CSL_CITATION {"citationID":"s2VwNaXV","properties":{"formattedCitation":"Celeste Montoya, \\uc0\\u8216{}International Initiative and Domestic Reforms: European Union Efforts to Combat Violence against Women\\uc0\\u8217{} (2009) 5(3) {\\i{}Politics &amp; Gender} 325; UN Women, \\uc0\\u8216{}Flagship Programming Initiatives 2015\\uc0\\u8217{} &lt;https://www.unwomen.org/sites/default/files/Headquarters/Attachments/Sections/Executive%20Board/2016/1st%20Regular%20Session%202016/flagships_programmes_booklet_final.pdf&gt;.","plainCitation":"Celeste Montoya, ‘International Initiative and Domestic Reforms: European Union Efforts to Combat Violence against Women’ (2009) 5(3) Politics &amp; Gender 325; UN Women, ‘Flagship Programming Initiatives 2015’ &lt;https://www.unwomen.org/sites/default/files/Headquarters/Attachments/Sections/Executive%20Board/2016/1st%20Regular%20Session%202016/flagships_programmes_booklet_final.pdf&gt;.","dontUpdate":true,"noteIndex":13},"citationItems":[{"id":4958,"uris":["http://zotero.org/users/9699311/items/YCNT78F7"],"itemData":{"id":4958,"type":"article-journal","container-title":"Politics &amp; Gender","issue":"3","note":"publisher: Cambridge University Press","page":"325–348","source":"Google Scholar","title":"International initiative and domestic reforms: European Union efforts to combat violence against women","volume":"5","author":[{"family":"Montoya","given":"Celeste"}],"issued":{"date-parts":[["2009"]]}}},{"id":4960,"uris":["http://zotero.org/users/9699311/items/Q7T3QV6P"],"itemData":{"id":4960,"type":"document","source":"Google Scholar","title":"Flagship Programming Initiatives 2015","URL":"https://www.unwomen.org/sites/default/files/Headquarters/Attachments/Sections/Executive%20Board/2016/1st%20Regular%20Session%202016/flagships_programmes_booklet_final.pdf","author":[{"family":"UN Women","given":""}],"issued":{"date-parts":[["2015"]]}}}],"schema":"https://github.com/citation-style-language/schema/raw/master/csl-citation.json"} </w:instrText>
      </w:r>
      <w:r w:rsidRPr="00676B56">
        <w:rPr>
          <w:rFonts w:cstheme="minorHAnsi"/>
        </w:rPr>
        <w:fldChar w:fldCharType="separate"/>
      </w:r>
      <w:r w:rsidRPr="00676B56">
        <w:rPr>
          <w:rFonts w:cstheme="minorHAnsi"/>
        </w:rPr>
        <w:t xml:space="preserve">Celeste Montoya, ‘International Initiative and Domestic Reforms: European Union Efforts to Combat Violence against Women’ (2009) 5(3) </w:t>
      </w:r>
      <w:r w:rsidRPr="00676B56">
        <w:rPr>
          <w:rFonts w:cstheme="minorHAnsi"/>
          <w:i/>
          <w:iCs/>
        </w:rPr>
        <w:t>Politics &amp; Gender</w:t>
      </w:r>
      <w:r w:rsidRPr="00676B56">
        <w:rPr>
          <w:rFonts w:cstheme="minorHAnsi"/>
        </w:rPr>
        <w:t xml:space="preserve"> 325; UN Women, ‘Flagship Programming Initiatives 2015’</w:t>
      </w:r>
      <w:r w:rsidR="00D86183">
        <w:rPr>
          <w:rFonts w:cstheme="minorHAnsi"/>
        </w:rPr>
        <w:t xml:space="preserve"> </w:t>
      </w:r>
      <w:r w:rsidRPr="00676B56">
        <w:rPr>
          <w:rFonts w:cstheme="minorHAnsi"/>
        </w:rPr>
        <w:t>https://www.unwomen.org/sites/default/files/Headquarters/Attachments/Sections/Executive%20Board/2016/1st%20Regular%20Session%202016/flagships_programmes_booklet_final.pdf.</w:t>
      </w:r>
      <w:r w:rsidRPr="00676B56">
        <w:rPr>
          <w:rFonts w:cstheme="minorHAnsi"/>
        </w:rPr>
        <w:fldChar w:fldCharType="end"/>
      </w:r>
    </w:p>
  </w:footnote>
  <w:footnote w:id="14">
    <w:p w14:paraId="1F541BDA" w14:textId="69EF876F" w:rsidR="00524A23" w:rsidRPr="00676B56" w:rsidRDefault="00524A23"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9915F1" w:rsidRPr="00676B56">
        <w:rPr>
          <w:rFonts w:cstheme="minorHAnsi"/>
        </w:rPr>
        <w:instrText xml:space="preserve"> ADDIN ZOTERO_ITEM CSL_CITATION {"citationID":"6WXwiLC6","properties":{"formattedCitation":"Hanne Warming, \\uc0\\u8216{}Children\\uc0\\u8217{}s Citizenship in Globalised Societies\\uc0\\u8217{} in Claudio Baraldi and Tom Cockburn (eds), {\\i{}Theorising Childhood} (Springer International Publishing, 2018) 29, 30; Zulmir Be\\uc0\\u269{}evi\\uc0\\u263{} and Magnus Dahlstedt, \\uc0\\u8216{}On the Margins of Citizenship: Youth Participation and Youth Exclusion in Times of Neoliberal Urbanism\\uc0\\u8217{} (2022) 25(3) {\\i{}Journal of Youth Studies} 362, 363.","plainCitation":"Hanne Warming, ‘Children’s Citizenship in Globalised Societies’ in Claudio Baraldi and Tom Cockburn (eds), Theorising Childhood (Springer International Publishing, 2018) 29, 30; Zulmir Bečević and Magnus Dahlstedt, ‘On the Margins of Citizenship: Youth Participation and Youth Exclusion in Times of Neoliberal Urbanism’ (2022) 25(3) Journal of Youth Studies 362, 363.","noteIndex":14},"citationItems":[{"id":5399,"uris":["http://zotero.org/users/9699311/items/JK7RBGEG"],"itemData":{"id":5399,"type":"chapter","container-title":"Theorising Childhood","event-place":"Cham","ISBN":"978-3-319-72672-4","language":"en","note":"collection-title: Studies in Childhood and Youth\nDOI: 10.1007/978-3-319-72673-1_2","page":"29-52","publisher":"Springer International Publishing","publisher-place":"Cham","source":"DOI.org (Crossref)","title":"Children’s Citizenship in Globalised Societies","editor":[{"family":"Baraldi","given":"Claudio"},{"family":"Cockburn","given":"Tom"}],"author":[{"family":"Warming","given":"Hanne"}],"accessed":{"date-parts":[["2023",8,21]]},"issued":{"date-parts":[["2018"]]}},"locator":"30","label":"page"},{"id":5393,"uris":["http://zotero.org/users/9699311/items/CZYZ2DXU"],"itemData":{"id":5393,"type":"article-journal","abstract":"Over the last few decades there has been growing interest in youth participation, at policy level and in research. Generally, this is attributed to growing public concern regarding the ‘youth participatory deﬁcit’ and youth dissatisfaction in European societies. In contemporary discourse young people are positioned as a problem associated with a lack of participation in economic, social and political processes, which in turn is seen as a threat to the very foundation of democracy. Taking into consideration the neoliberal transformation of Western European cities towards increasing socioeconomic and ethno-cultural segregation, the authors argue that there is a pressing need to analyse youth participation as it is shaped by structural order and unequal access to resources, which creates spatial, material and symbolic divisions between diﬀerent categories of young people. By placing it within a framework of citizenship theory, the authors analyse the enigmatic concept of ‘youth participation’ through the prism of social exclusion, arguing for an understanding of participation as embedded in the social landscape of unequal power relations and life opportunities which are essential characteristics of the neo-liberal city.","container-title":"Journal of Youth Studies","DOI":"10.1080/13676261.2021.1886261","ISSN":"1367-6261, 1469-9680","issue":"3","journalAbbreviation":"Journal of Youth Studies","language":"en","page":"362-379","source":"DOI.org (Crossref)","title":"On the margins of citizenship: youth participation and youth exclusion in times of neoliberal urbanism","volume":"25","author":[{"family":"Bečević","given":"Zulmir"},{"family":"Dahlstedt","given":"Magnus"}],"issued":{"date-parts":[["2022",3,16]]}},"locator":"363","label":"page"}],"schema":"https://github.com/citation-style-language/schema/raw/master/csl-citation.json"} </w:instrText>
      </w:r>
      <w:r w:rsidRPr="00676B56">
        <w:rPr>
          <w:rFonts w:cstheme="minorHAnsi"/>
        </w:rPr>
        <w:fldChar w:fldCharType="separate"/>
      </w:r>
      <w:r w:rsidR="009D3DC4" w:rsidRPr="00676B56">
        <w:rPr>
          <w:rFonts w:cstheme="minorHAnsi"/>
        </w:rPr>
        <w:t xml:space="preserve">Hanne Warming, ‘Children’s Citizenship in Globalised Societies’ in Claudio Baraldi and Tom Cockburn (eds), </w:t>
      </w:r>
      <w:r w:rsidR="009D3DC4" w:rsidRPr="00676B56">
        <w:rPr>
          <w:rFonts w:cstheme="minorHAnsi"/>
          <w:i/>
          <w:iCs/>
        </w:rPr>
        <w:t>Theorising Childhood</w:t>
      </w:r>
      <w:r w:rsidR="009D3DC4" w:rsidRPr="00676B56">
        <w:rPr>
          <w:rFonts w:cstheme="minorHAnsi"/>
        </w:rPr>
        <w:t xml:space="preserve"> (Springer, 2018) 29, 30; </w:t>
      </w:r>
      <w:proofErr w:type="spellStart"/>
      <w:r w:rsidR="009D3DC4" w:rsidRPr="00676B56">
        <w:rPr>
          <w:rFonts w:cstheme="minorHAnsi"/>
        </w:rPr>
        <w:t>Zulmir</w:t>
      </w:r>
      <w:proofErr w:type="spellEnd"/>
      <w:r w:rsidR="009D3DC4" w:rsidRPr="00676B56">
        <w:rPr>
          <w:rFonts w:cstheme="minorHAnsi"/>
        </w:rPr>
        <w:t xml:space="preserve"> </w:t>
      </w:r>
      <w:proofErr w:type="spellStart"/>
      <w:r w:rsidR="009D3DC4" w:rsidRPr="00676B56">
        <w:rPr>
          <w:rFonts w:cstheme="minorHAnsi"/>
        </w:rPr>
        <w:t>Bečević</w:t>
      </w:r>
      <w:proofErr w:type="spellEnd"/>
      <w:r w:rsidR="009D3DC4" w:rsidRPr="00676B56">
        <w:rPr>
          <w:rFonts w:cstheme="minorHAnsi"/>
        </w:rPr>
        <w:t xml:space="preserve"> and Magnus Dahlstedt, ‘On the Margins of Citizenship: Youth Participation and Youth Exclusion in Times of Neoliberal Urbanism’ (2022) 25(3) </w:t>
      </w:r>
      <w:r w:rsidR="009D3DC4" w:rsidRPr="00676B56">
        <w:rPr>
          <w:rFonts w:cstheme="minorHAnsi"/>
          <w:i/>
          <w:iCs/>
        </w:rPr>
        <w:t>Journal of Youth Studies</w:t>
      </w:r>
      <w:r w:rsidR="009D3DC4" w:rsidRPr="00676B56">
        <w:rPr>
          <w:rFonts w:cstheme="minorHAnsi"/>
        </w:rPr>
        <w:t xml:space="preserve"> 362, 363.</w:t>
      </w:r>
      <w:r w:rsidRPr="00676B56">
        <w:rPr>
          <w:rFonts w:cstheme="minorHAnsi"/>
        </w:rPr>
        <w:fldChar w:fldCharType="end"/>
      </w:r>
    </w:p>
  </w:footnote>
  <w:footnote w:id="15">
    <w:p w14:paraId="6D9BBA8B" w14:textId="0716EEB1" w:rsidR="00C968D6" w:rsidRPr="00676B56" w:rsidRDefault="00C968D6"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E15D7F">
        <w:rPr>
          <w:rFonts w:cstheme="minorHAnsi"/>
        </w:rPr>
        <w:instrText xml:space="preserve"> ADDIN ZOTERO_ITEM CSL_CITATION {"citationID":"Ske6G06k","properties":{"formattedCitation":"Be\\uc0\\u269{}evi\\uc0\\u263{} and Dahlstedt (n 14) 363 citing; Robyn Fitzgerald Anne Graham Anne Smith and Nicola Taylor (with contributions from young people who are part of the Centre for Children and Young People\\uc0\\u8217{}s Youth Advisory Committee \\uc0\\u8216{}Young People Big Voice\\uc0\\u8217{}), \\uc0\\u8216{}Children\\uc0\\u8217{}s Participation as a Struggle Over Recognition: Exploring the Promise of Dialogue\\uc0\\u8217{} in Barry Percy-Smith and Nigel Thomas (eds), {\\i{}A Handbook of Children and Young People\\uc0\\u8217{}s Participation: Perspectives from Theory and Practice} (Routledge, 2009).","plainCitation":"Bečević and Dahlstedt (n 14) 363 citing; Robyn Fitzgerald Anne Graham Anne Smith and Nicola Taylor (with contributions from young people who are part of the Centre for Children and Young People’s Youth Advisory Committee ‘Young People Big Voice’), ‘Children’s Participation as a Struggle Over Recognition: Exploring the Promise of Dialogue’ in Barry Percy-Smith and Nigel Thomas (eds), A Handbook of Children and Young People’s Participation: Perspectives from Theory and Practice (Routledge, 2009).","dontUpdate":true,"noteIndex":15},"citationItems":[{"id":5393,"uris":["http://zotero.org/users/9699311/items/CZYZ2DXU"],"itemData":{"id":5393,"type":"article-journal","abstract":"Over the last few decades there has been growing interest in youth participation, at policy level and in research. Generally, this is attributed to growing public concern regarding the ‘youth participatory deﬁcit’ and youth dissatisfaction in European societies. In contemporary discourse young people are positioned as a problem associated with a lack of participation in economic, social and political processes, which in turn is seen as a threat to the very foundation of democracy. Taking into consideration the neoliberal transformation of Western European cities towards increasing socioeconomic and ethno-cultural segregation, the authors argue that there is a pressing need to analyse youth participation as it is shaped by structural order and unequal access to resources, which creates spatial, material and symbolic divisions between diﬀerent categories of young people. By placing it within a framework of citizenship theory, the authors analyse the enigmatic concept of ‘youth participation’ through the prism of social exclusion, arguing for an understanding of participation as embedded in the social landscape of unequal power relations and life opportunities which are essential characteristics of the neo-liberal city.","container-title":"Journal of Youth Studies","DOI":"10.1080/13676261.2021.1886261","ISSN":"1367-6261, 1469-9680","issue":"3","journalAbbreviation":"Journal of Youth Studies","language":"en","page":"362-379","source":"DOI.org (Crossref)","title":"On the margins of citizenship: youth participation and youth exclusion in times of neoliberal urbanism","volume":"25","author":[{"family":"Bečević","given":"Zulmir"},{"family":"Dahlstedt","given":"Magnus"}],"issued":{"date-parts":[["2022",3,16]]}},"locator":"363","label":"page","suffix":"citing"},{"id":1573,"uris":["http://zotero.org/users/9699311/items/BF2VRCGK"],"itemData":{"id":1573,"type":"chapter","container-title":"A Handbook of Children and Young People's Participation: Perspectives from Theory and Practice","event-place":"London and New York","ISBN":"1-135-26763-4","publisher":"Routledge","publisher-place":"London and New York","title":"Children's Participation as a Struggle Over Recognition: Exploring the Promise of Dialogue","author":[{"family":"Fitzgerald Anne Graham Anne Smith and Nicola Taylor (with contributions from young people who are part of the Centre for Children and Young People’s Youth Advisory Committee ‘Young People Big Voice’)","given":"Robyn"}],"editor":[{"family":"Percy-Smith","given":"Barry"},{"family":"Thomas","given":"Nigel"}],"issued":{"date-parts":[["2009"]]}}}],"schema":"https://github.com/citation-style-language/schema/raw/master/csl-citation.json"} </w:instrText>
      </w:r>
      <w:r w:rsidRPr="00676B56">
        <w:rPr>
          <w:rFonts w:cstheme="minorHAnsi"/>
        </w:rPr>
        <w:fldChar w:fldCharType="separate"/>
      </w:r>
      <w:proofErr w:type="spellStart"/>
      <w:r w:rsidR="00B34F12" w:rsidRPr="00676B56">
        <w:rPr>
          <w:rFonts w:cstheme="minorHAnsi"/>
        </w:rPr>
        <w:t>Bečević</w:t>
      </w:r>
      <w:proofErr w:type="spellEnd"/>
      <w:r w:rsidR="00B34F12" w:rsidRPr="00676B56">
        <w:rPr>
          <w:rFonts w:cstheme="minorHAnsi"/>
        </w:rPr>
        <w:t xml:space="preserve"> and Dahlstedt</w:t>
      </w:r>
      <w:r w:rsidR="008D5E79">
        <w:rPr>
          <w:rFonts w:cstheme="minorHAnsi"/>
        </w:rPr>
        <w:t>, ibid</w:t>
      </w:r>
      <w:r w:rsidR="00B34F12" w:rsidRPr="00676B56">
        <w:rPr>
          <w:rFonts w:cstheme="minorHAnsi"/>
        </w:rPr>
        <w:t xml:space="preserve"> 363 citing Robyn Fitzgerald, Anne Graham, Anne Smith and Nicola Taylor, ‘Children’s Participation as a Struggle Over Recognition: Exploring the Promise of Dialogue’ in Barry Percy-Smith and Nigel Thomas (eds), </w:t>
      </w:r>
      <w:r w:rsidR="00B34F12" w:rsidRPr="00676B56">
        <w:rPr>
          <w:rFonts w:cstheme="minorHAnsi"/>
          <w:i/>
          <w:iCs/>
        </w:rPr>
        <w:t>A Handbook of Children and Young People’s Participation: Perspectives from Theory and Practice</w:t>
      </w:r>
      <w:r w:rsidR="00B34F12" w:rsidRPr="00676B56">
        <w:rPr>
          <w:rFonts w:cstheme="minorHAnsi"/>
        </w:rPr>
        <w:t xml:space="preserve"> (Routledge, 2009).</w:t>
      </w:r>
      <w:r w:rsidRPr="00676B56">
        <w:rPr>
          <w:rFonts w:cstheme="minorHAnsi"/>
        </w:rPr>
        <w:fldChar w:fldCharType="end"/>
      </w:r>
    </w:p>
  </w:footnote>
  <w:footnote w:id="16">
    <w:p w14:paraId="23BE77E9" w14:textId="17028D82" w:rsidR="00075E6D" w:rsidRPr="00676B56" w:rsidRDefault="00075E6D"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79048E">
        <w:rPr>
          <w:rFonts w:cstheme="minorHAnsi"/>
        </w:rPr>
        <w:instrText xml:space="preserve"> ADDIN ZOTERO_ITEM CSL_CITATION {"citationID":"7AdKeoVO","properties":{"formattedCitation":"UN Committee on the Rights of the Child, {\\i{}General Comment No. 12 (2009): The Right of the Child to Be Heard} (No CRC/GC/C/9, United Nations, 2009) 5 &lt;https://www.refworld.org/docid/4ae562c52.html&gt;.","plainCitation":"UN Committee on the Rights of the Child, General Comment No. 12 (2009): The Right of the Child to Be Heard (No CRC/GC/C/9, United Nations, 2009) 5 &lt;https://www.refworld.org/docid/4ae562c52.html&gt;.","dontUpdate":true,"noteIndex":16},"citationItems":[{"id":3419,"uris":["http://zotero.org/groups/4719768/items/6KD3VS8C"],"itemData":{"id":3419,"type":"report","number":"CRC/GC/C/9","publisher":"United Nations","title":"General Comment No. 12 (2009): The right of the child to be heard","URL":"https://www.refworld.org/docid/4ae562c52.html","author":[{"family":"UN Committee on the Rights of the Child","given":""}],"accessed":{"date-parts":[["2022",9,24]]},"issued":{"date-parts":[["2009"]]}},"locator":"5","label":"page"}],"schema":"https://github.com/citation-style-language/schema/raw/master/csl-citation.json"} </w:instrText>
      </w:r>
      <w:r w:rsidRPr="00676B56">
        <w:rPr>
          <w:rFonts w:cstheme="minorHAnsi"/>
        </w:rPr>
        <w:fldChar w:fldCharType="separate"/>
      </w:r>
      <w:r w:rsidRPr="00676B56">
        <w:rPr>
          <w:rFonts w:cstheme="minorHAnsi"/>
        </w:rPr>
        <w:t>U</w:t>
      </w:r>
      <w:r w:rsidR="00657BE3">
        <w:rPr>
          <w:rFonts w:cstheme="minorHAnsi"/>
        </w:rPr>
        <w:t>nited Nations</w:t>
      </w:r>
      <w:r w:rsidRPr="00676B56">
        <w:rPr>
          <w:rFonts w:cstheme="minorHAnsi"/>
        </w:rPr>
        <w:t xml:space="preserve"> Committee on the Rights of the Child, </w:t>
      </w:r>
      <w:r w:rsidRPr="00676B56">
        <w:rPr>
          <w:rFonts w:cstheme="minorHAnsi"/>
          <w:i/>
          <w:iCs/>
        </w:rPr>
        <w:t>General Comment No. 12 (2009): The Right of the Child to Be Heard</w:t>
      </w:r>
      <w:r w:rsidRPr="00676B56">
        <w:rPr>
          <w:rFonts w:cstheme="minorHAnsi"/>
        </w:rPr>
        <w:t xml:space="preserve"> (No CRC/GC/C/9, United Nations, 2009) 5 https://www.refworld.org/docid/4ae562c52.html.</w:t>
      </w:r>
      <w:r w:rsidRPr="00676B56">
        <w:rPr>
          <w:rFonts w:cstheme="minorHAnsi"/>
        </w:rPr>
        <w:fldChar w:fldCharType="end"/>
      </w:r>
    </w:p>
  </w:footnote>
  <w:footnote w:id="17">
    <w:p w14:paraId="078C840A" w14:textId="66DC86FC" w:rsidR="00356313" w:rsidRPr="00676B56" w:rsidRDefault="00356313"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9915F1" w:rsidRPr="00676B56">
        <w:rPr>
          <w:rFonts w:cstheme="minorHAnsi"/>
        </w:rPr>
        <w:instrText xml:space="preserve"> ADDIN ZOTERO_ITEM CSL_CITATION {"citationID":"s6vvQK2W","properties":{"formattedCitation":"Be\\uc0\\u269{}evi\\uc0\\u263{} and Dahlstedt (n 14) 364.","plainCitation":"Bečević and Dahlstedt (n 14) 364.","noteIndex":17},"citationItems":[{"id":5393,"uris":["http://zotero.org/users/9699311/items/CZYZ2DXU"],"itemData":{"id":5393,"type":"article-journal","abstract":"Over the last few decades there has been growing interest in youth participation, at policy level and in research. Generally, this is attributed to growing public concern regarding the ‘youth participatory deﬁcit’ and youth dissatisfaction in European societies. In contemporary discourse young people are positioned as a problem associated with a lack of participation in economic, social and political processes, which in turn is seen as a threat to the very foundation of democracy. Taking into consideration the neoliberal transformation of Western European cities towards increasing socioeconomic and ethno-cultural segregation, the authors argue that there is a pressing need to analyse youth participation as it is shaped by structural order and unequal access to resources, which creates spatial, material and symbolic divisions between diﬀerent categories of young people. By placing it within a framework of citizenship theory, the authors analyse the enigmatic concept of ‘youth participation’ through the prism of social exclusion, arguing for an understanding of participation as embedded in the social landscape of unequal power relations and life opportunities which are essential characteristics of the neo-liberal city.","container-title":"Journal of Youth Studies","DOI":"10.1080/13676261.2021.1886261","ISSN":"1367-6261, 1469-9680","issue":"3","journalAbbreviation":"Journal of Youth Studies","language":"en","page":"362-379","source":"DOI.org (Crossref)","title":"On the margins of citizenship: youth participation and youth exclusion in times of neoliberal urbanism","volume":"25","author":[{"family":"Bečević","given":"Zulmir"},{"family":"Dahlstedt","given":"Magnus"}],"issued":{"date-parts":[["2022",3,16]]}},"locator":"364","label":"page"}],"schema":"https://github.com/citation-style-language/schema/raw/master/csl-citation.json"} </w:instrText>
      </w:r>
      <w:r w:rsidRPr="00676B56">
        <w:rPr>
          <w:rFonts w:cstheme="minorHAnsi"/>
        </w:rPr>
        <w:fldChar w:fldCharType="separate"/>
      </w:r>
      <w:proofErr w:type="spellStart"/>
      <w:r w:rsidR="009915F1" w:rsidRPr="00676B56">
        <w:rPr>
          <w:rFonts w:cstheme="minorHAnsi"/>
        </w:rPr>
        <w:t>Bečević</w:t>
      </w:r>
      <w:proofErr w:type="spellEnd"/>
      <w:r w:rsidR="009915F1" w:rsidRPr="00676B56">
        <w:rPr>
          <w:rFonts w:cstheme="minorHAnsi"/>
        </w:rPr>
        <w:t xml:space="preserve"> and Dahlstedt (n 1</w:t>
      </w:r>
      <w:r w:rsidR="009E2FB9">
        <w:rPr>
          <w:rFonts w:cstheme="minorHAnsi"/>
        </w:rPr>
        <w:t>2</w:t>
      </w:r>
      <w:r w:rsidR="009915F1" w:rsidRPr="00676B56">
        <w:rPr>
          <w:rFonts w:cstheme="minorHAnsi"/>
        </w:rPr>
        <w:t>) 364.</w:t>
      </w:r>
      <w:r w:rsidRPr="00676B56">
        <w:rPr>
          <w:rFonts w:cstheme="minorHAnsi"/>
        </w:rPr>
        <w:fldChar w:fldCharType="end"/>
      </w:r>
    </w:p>
  </w:footnote>
  <w:footnote w:id="18">
    <w:p w14:paraId="34B22CCE" w14:textId="47FF1F4C" w:rsidR="00356313" w:rsidRPr="00676B56" w:rsidRDefault="00356313"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BE5CF4" w:rsidRPr="00676B56">
        <w:rPr>
          <w:rFonts w:cstheme="minorHAnsi"/>
        </w:rPr>
        <w:instrText xml:space="preserve"> ADDIN ZOTERO_ITEM CSL_CITATION {"citationID":"JWTHJI8D","properties":{"formattedCitation":"Kim Rubenstein and Jacqueline Field, \\uc0\\u8216{}Conceptualising Australian Citizenship for Children: A Human Rights Perspective\\uc0\\u8217{} (2013) 20(20) {\\i{}Australian International Law Journal} 73, 73.","plainCitation":"Kim Rubenstein and Jacqueline Field, ‘Conceptualising Australian Citizenship for Children: A Human Rights Perspective’ (2013) 20(20) Australian International Law Journal 73, 73.","noteIndex":18},"citationItems":[{"id":5417,"uris":["http://zotero.org/users/9699311/items/RQCUK4I8"],"itemData":{"id":5417,"type":"article-journal","abstract":"Australia’s first National Children’s Commissioner was appointed in 2013. One of the Commissioner’s key functions is to examine whether Commonwealth legislation recognises and protects the human rights of children in Australia. A fundamental starting point for this examination is Australia’s citizenship law. Australian citizenship is governed by the Australian Citizenship Act 2007 (Cth) (‘Act’). In this article, we highlight two key issues for the Commissioner in examining the Act.","container-title":"Australian International Law Journal","issue":"20","language":"en","page":"73-93","source":"Zotero","title":"Conceptualising Australian citizenship for children: A human rights perspective","volume":"20","author":[{"family":"Rubenstein","given":"Kim"},{"family":"Field","given":"Jacqueline"}],"issued":{"date-parts":[["2013"]]}},"locator":"73","label":"page"}],"schema":"https://github.com/citation-style-language/schema/raw/master/csl-citation.json"} </w:instrText>
      </w:r>
      <w:r w:rsidRPr="00676B56">
        <w:rPr>
          <w:rFonts w:cstheme="minorHAnsi"/>
        </w:rPr>
        <w:fldChar w:fldCharType="separate"/>
      </w:r>
      <w:r w:rsidRPr="00676B56">
        <w:rPr>
          <w:rFonts w:cstheme="minorHAnsi"/>
        </w:rPr>
        <w:t xml:space="preserve">Kim Rubenstein and Jacqueline Field, ‘Conceptualising Australian Citizenship for Children: A Human Rights Perspective’ (2013) 20(20) </w:t>
      </w:r>
      <w:r w:rsidRPr="00676B56">
        <w:rPr>
          <w:rFonts w:cstheme="minorHAnsi"/>
          <w:i/>
          <w:iCs/>
        </w:rPr>
        <w:t>Australian International Law Journal</w:t>
      </w:r>
      <w:r w:rsidRPr="00676B56">
        <w:rPr>
          <w:rFonts w:cstheme="minorHAnsi"/>
        </w:rPr>
        <w:t xml:space="preserve"> 73, 73.</w:t>
      </w:r>
      <w:r w:rsidRPr="00676B56">
        <w:rPr>
          <w:rFonts w:cstheme="minorHAnsi"/>
        </w:rPr>
        <w:fldChar w:fldCharType="end"/>
      </w:r>
    </w:p>
  </w:footnote>
  <w:footnote w:id="19">
    <w:p w14:paraId="0F54010C" w14:textId="18B27892" w:rsidR="000D0B73" w:rsidRPr="00676B56" w:rsidRDefault="000D0B73"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E15D7F">
        <w:rPr>
          <w:rFonts w:cstheme="minorHAnsi"/>
        </w:rPr>
        <w:instrText xml:space="preserve"> ADDIN ZOTERO_ITEM CSL_CITATION {"citationID":"v9xOBO8U","properties":{"formattedCitation":"Tara M Collins, Irene Rizzini and Amanda Mayhew, \\uc0\\u8216{}Fostering Global Dialogue: Conceptualisations of Children\\uc0\\u8217{}s Rights to Participation and Protection\\uc0\\u8217{} (2021) 35(2) {\\i{}Children &amp; Society} 295, 300 (\\uc0\\u8216{}Fostering Global Dialogue\\uc0\\u8217{}).","plainCitation":"Tara M Collins, Irene Rizzini and Amanda Mayhew, ‘Fostering Global Dialogue: Conceptualisations of Children’s Rights to Participation and Protection’ (2021) 35(2) Children &amp; Society 295, 300 (‘Fostering Global Dialogue’).","dontUpdate":true,"noteIndex":19},"citationItems":[{"id":2958,"uris":["http://zotero.org/users/9699311/items/G9PJ2U7I"],"itemData":{"id":2958,"type":"article-journal","abstract":"The children's rights and child protection sectors are at a critical juncture: will they evolve to reflect and respond to changing conceptualisations in the 21st century or will they continue to reproduce 19th- and 20th-century preoccupations with saving child victims? Informed by systematic reviews of the English- and Latin American academic literature in Spanish and Portuguese and key informant interviews with international stakeholders, this paper fosters global dialogue with some Global South and Global North perspectives about the interconnections of children's rights. It explores current conceptualisations of child participation and protection, and concludes that children's rights will only progress after recognition of limitations inherent to current conceptualisations.","container-title":"Children &amp; Society","DOI":"10.1111/chso.12437","ISSN":"1099-0860","issue":"2","language":"en","note":"_eprint: https://onlinelibrary.wiley.com/doi/pdf/10.1111/chso.12437","page":"295-310","source":"Wiley Online Library","title":"Fostering global dialogue: Conceptualisations of children's rights to participation and protection","title-short":"Fostering global dialogue","volume":"35","author":[{"family":"Collins","given":"Tara M."},{"family":"Rizzini","given":"Irene"},{"family":"Mayhew","given":"Amanda"}],"issued":{"date-parts":[["2021"]]}},"locator":"300","label":"page"}],"schema":"https://github.com/citation-style-language/schema/raw/master/csl-citation.json"} </w:instrText>
      </w:r>
      <w:r w:rsidRPr="00676B56">
        <w:rPr>
          <w:rFonts w:cstheme="minorHAnsi"/>
        </w:rPr>
        <w:fldChar w:fldCharType="separate"/>
      </w:r>
      <w:r w:rsidRPr="00676B56">
        <w:rPr>
          <w:rFonts w:cstheme="minorHAnsi"/>
        </w:rPr>
        <w:t xml:space="preserve">Tara M Collins, Irene </w:t>
      </w:r>
      <w:proofErr w:type="spellStart"/>
      <w:r w:rsidRPr="00676B56">
        <w:rPr>
          <w:rFonts w:cstheme="minorHAnsi"/>
        </w:rPr>
        <w:t>Rizzini</w:t>
      </w:r>
      <w:proofErr w:type="spellEnd"/>
      <w:r w:rsidRPr="00676B56">
        <w:rPr>
          <w:rFonts w:cstheme="minorHAnsi"/>
        </w:rPr>
        <w:t xml:space="preserve"> and Amanda Mayhew, ‘Fostering Global Dialogue: Conceptualisations of Children’s Rights to Participation and Protection’ (2021) 35(2) </w:t>
      </w:r>
      <w:r w:rsidRPr="00676B56">
        <w:rPr>
          <w:rFonts w:cstheme="minorHAnsi"/>
          <w:i/>
          <w:iCs/>
        </w:rPr>
        <w:t>Children &amp; Society</w:t>
      </w:r>
      <w:r w:rsidRPr="00676B56">
        <w:rPr>
          <w:rFonts w:cstheme="minorHAnsi"/>
        </w:rPr>
        <w:t xml:space="preserve"> 295, 300</w:t>
      </w:r>
      <w:r w:rsidR="009E5C6B" w:rsidRPr="00676B56">
        <w:rPr>
          <w:rFonts w:cstheme="minorHAnsi"/>
        </w:rPr>
        <w:t>.</w:t>
      </w:r>
      <w:r w:rsidRPr="00676B56">
        <w:rPr>
          <w:rFonts w:cstheme="minorHAnsi"/>
        </w:rPr>
        <w:fldChar w:fldCharType="end"/>
      </w:r>
    </w:p>
  </w:footnote>
  <w:footnote w:id="20">
    <w:p w14:paraId="31458098" w14:textId="36D07DDA" w:rsidR="000D0B73" w:rsidRPr="00676B56" w:rsidRDefault="000D0B73"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E15D7F">
        <w:rPr>
          <w:rFonts w:cstheme="minorHAnsi"/>
        </w:rPr>
        <w:instrText xml:space="preserve"> ADDIN ZOTERO_ITEM CSL_CITATION {"citationID":"qFYGLKI6","properties":{"formattedCitation":"Joachim Theis, \\uc0\\u8216{}Performance, Responsibility and Political Decision-Making: Child and Youth Participation in Southeast Asia, East Asia and the Pacific\\uc0\\u8217{} (2007) 17(1) {\\i{}Children, Youth and Environments} 1, 9 (\\uc0\\u8216{}Performance, Responsibility and Political Decision-Making\\uc0\\u8217{}).","plainCitation":"Joachim Theis, ‘Performance, Responsibility and Political Decision-Making: Child and Youth Participation in Southeast Asia, East Asia and the Pacific’ (2007) 17(1) Children, Youth and Environments 1, 9 (‘Performance, Responsibility and Political Decision-Making’).","dontUpdate":true,"noteIndex":20},"citationItems":[{"id":5419,"uris":["http://zotero.org/users/9699311/items/AI4IH4FE"],"itemData":{"id":5419,"type":"article-journal","container-title":"Children, Youth and Environments","DOI":"10.1353/cye.2007.0112","ISSN":"1546-2250","issue":"1","journalAbbreviation":"Children, Youth and Environments","language":"en","page":"1-13","source":"DOI.org (Crossref)","title":"Performance, Responsibility and Political Decision-Making: Child and Youth Participation in Southeast Asia, East Asia and the Pacific","title-short":"Performance, Responsibility and Political Decision-Making","volume":"17","author":[{"family":"Theis","given":"Joachim"}],"issued":{"date-parts":[["2007"]]}},"locator":"9","label":"page"}],"schema":"https://github.com/citation-style-language/schema/raw/master/csl-citation.json"} </w:instrText>
      </w:r>
      <w:r w:rsidRPr="00676B56">
        <w:rPr>
          <w:rFonts w:cstheme="minorHAnsi"/>
        </w:rPr>
        <w:fldChar w:fldCharType="separate"/>
      </w:r>
      <w:r w:rsidRPr="00676B56">
        <w:rPr>
          <w:rFonts w:cstheme="minorHAnsi"/>
        </w:rPr>
        <w:t xml:space="preserve">Joachim Theis, ‘Performance, Responsibility and Political Decision-Making: Child and Youth Participation in Southeast Asia, East Asia and the Pacific’ (2007) 17(1) </w:t>
      </w:r>
      <w:r w:rsidRPr="00676B56">
        <w:rPr>
          <w:rFonts w:cstheme="minorHAnsi"/>
          <w:i/>
          <w:iCs/>
        </w:rPr>
        <w:t>Children, Youth and Environments</w:t>
      </w:r>
      <w:r w:rsidRPr="00676B56">
        <w:rPr>
          <w:rFonts w:cstheme="minorHAnsi"/>
        </w:rPr>
        <w:t xml:space="preserve"> 1, 9</w:t>
      </w:r>
      <w:r w:rsidR="009E5C6B" w:rsidRPr="00676B56">
        <w:rPr>
          <w:rFonts w:cstheme="minorHAnsi"/>
        </w:rPr>
        <w:t>.</w:t>
      </w:r>
      <w:r w:rsidRPr="00676B56">
        <w:rPr>
          <w:rFonts w:cstheme="minorHAnsi"/>
        </w:rPr>
        <w:fldChar w:fldCharType="end"/>
      </w:r>
    </w:p>
  </w:footnote>
  <w:footnote w:id="21">
    <w:p w14:paraId="2CF3F11D" w14:textId="33FC88BC" w:rsidR="00423043" w:rsidRPr="00676B56" w:rsidRDefault="00423043"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Pr="00676B56">
        <w:rPr>
          <w:rFonts w:cstheme="minorHAnsi"/>
        </w:rPr>
        <w:instrText xml:space="preserve"> ADDIN ZOTERO_ITEM CSL_CITATION {"citationID":"ZJyTJA5o","properties":{"formattedCitation":"Natasha Blanchet-Cohen, Amy Cooper and Holly Doel-Mackaway, \\uc0\\u8216{}(Re)Imagining Children\\uc0\\u8217{}s Participatory Rights with Decolonial Learning\\uc0\\u8217{} (2023) 2(56) {\\i{}O Social em Quest\\uc0\\u227{}o} 61, 62\\uc0\\u8211{}63.","plainCitation":"Natasha Blanchet-Cohen, Amy Cooper and Holly Doel-Mackaway, ‘(Re)Imagining Children’s Participatory Rights with Decolonial Learning’ (2023) 2(56) O Social em Questão 61, 62–63.","noteIndex":21},"citationItems":[{"id":5162,"uris":["http://zotero.org/users/9699311/items/LIIHAN7D"],"itemData":{"id":5162,"type":"article-journal","container-title":"O Social em Questão","ISSN":"2238-9091","issue":"56","journalAbbreviation":"osq.Rev","language":"en","page":"61-88","source":"www.maxwell.vrac.puc-rio.br","title":"(Re)Imagining Children’s Participatory Rights with Decolonial Learning","volume":"2","author":[{"family":"Blanchet-Cohen","given":"Natasha"},{"family":"Cooper","given":"Amy"},{"family":"Doel-Mackaway","given":"Holly"}],"issued":{"date-parts":[["2023",4,19]]}},"locator":"62-63","label":"page"}],"schema":"https://github.com/citation-style-language/schema/raw/master/csl-citation.json"} </w:instrText>
      </w:r>
      <w:r w:rsidRPr="00676B56">
        <w:rPr>
          <w:rFonts w:cstheme="minorHAnsi"/>
        </w:rPr>
        <w:fldChar w:fldCharType="separate"/>
      </w:r>
      <w:r w:rsidRPr="00676B56">
        <w:rPr>
          <w:rFonts w:cstheme="minorHAnsi"/>
        </w:rPr>
        <w:t>Natasha Blanchet-Cohen, Amy Cooper and Holly Doel-</w:t>
      </w:r>
      <w:proofErr w:type="spellStart"/>
      <w:r w:rsidRPr="00676B56">
        <w:rPr>
          <w:rFonts w:cstheme="minorHAnsi"/>
        </w:rPr>
        <w:t>Mackaway</w:t>
      </w:r>
      <w:proofErr w:type="spellEnd"/>
      <w:r w:rsidRPr="00676B56">
        <w:rPr>
          <w:rFonts w:cstheme="minorHAnsi"/>
        </w:rPr>
        <w:t xml:space="preserve">, ‘(Re)Imagining Children’s Participatory Rights with Decolonial Learning’ (2023) 2(56) </w:t>
      </w:r>
      <w:r w:rsidRPr="00676B56">
        <w:rPr>
          <w:rFonts w:cstheme="minorHAnsi"/>
          <w:i/>
          <w:iCs/>
        </w:rPr>
        <w:t xml:space="preserve">O Social </w:t>
      </w:r>
      <w:proofErr w:type="spellStart"/>
      <w:r w:rsidRPr="00676B56">
        <w:rPr>
          <w:rFonts w:cstheme="minorHAnsi"/>
          <w:i/>
          <w:iCs/>
        </w:rPr>
        <w:t>em</w:t>
      </w:r>
      <w:proofErr w:type="spellEnd"/>
      <w:r w:rsidRPr="00676B56">
        <w:rPr>
          <w:rFonts w:cstheme="minorHAnsi"/>
          <w:i/>
          <w:iCs/>
        </w:rPr>
        <w:t xml:space="preserve"> </w:t>
      </w:r>
      <w:proofErr w:type="spellStart"/>
      <w:r w:rsidRPr="00676B56">
        <w:rPr>
          <w:rFonts w:cstheme="minorHAnsi"/>
          <w:i/>
          <w:iCs/>
        </w:rPr>
        <w:t>Questão</w:t>
      </w:r>
      <w:proofErr w:type="spellEnd"/>
      <w:r w:rsidRPr="00676B56">
        <w:rPr>
          <w:rFonts w:cstheme="minorHAnsi"/>
        </w:rPr>
        <w:t xml:space="preserve"> 61, 62–63.</w:t>
      </w:r>
      <w:r w:rsidRPr="00676B56">
        <w:rPr>
          <w:rFonts w:cstheme="minorHAnsi"/>
        </w:rPr>
        <w:fldChar w:fldCharType="end"/>
      </w:r>
    </w:p>
  </w:footnote>
  <w:footnote w:id="22">
    <w:p w14:paraId="68A37B39" w14:textId="506F9BDE" w:rsidR="009525C0" w:rsidRDefault="009525C0" w:rsidP="00B63C23">
      <w:pPr>
        <w:pStyle w:val="FootnoteText"/>
        <w:jc w:val="left"/>
      </w:pPr>
      <w:r>
        <w:rPr>
          <w:rStyle w:val="FootnoteReference"/>
        </w:rPr>
        <w:footnoteRef/>
      </w:r>
      <w:r>
        <w:t xml:space="preserve"> </w:t>
      </w:r>
      <w:r>
        <w:fldChar w:fldCharType="begin"/>
      </w:r>
      <w:r w:rsidR="00553406">
        <w:instrText xml:space="preserve"> ADDIN ZOTERO_ITEM CSL_CITATION {"citationID":"qWSZO4Nx","properties":{"formattedCitation":"Holly Doel-Mackaway, {\\i{}Indigenous Children\\uc0\\u8217{}s Right to Participate in Law and Policy Development} (Routledge, 2022) 80.","plainCitation":"Holly Doel-Mackaway, Indigenous Children’s Right to Participate in Law and Policy Development (Routledge, 2022) 80.","dontUpdate":true,"noteIndex":22},"citationItems":[{"id":2778,"uris":["http://zotero.org/users/9699311/items/YHCFYNNI"],"itemData":{"id":2778,"type":"book","ISBN":"978-0-415-47597-6","publisher":"Routledge","title":"Indigenous Children's Right to Participate in Law and Policy Development","author":[{"family":"Doel-Mackaway","given":"Holly"}],"issued":{"date-parts":[["2022"]]}},"locator":"80","label":"page"}],"schema":"https://github.com/citation-style-language/schema/raw/master/csl-citation.json"} </w:instrText>
      </w:r>
      <w:r>
        <w:fldChar w:fldCharType="separate"/>
      </w:r>
      <w:r w:rsidRPr="009525C0">
        <w:rPr>
          <w:rFonts w:ascii="Calibri" w:hAnsi="Calibri" w:cs="Calibri"/>
        </w:rPr>
        <w:t>Doel-</w:t>
      </w:r>
      <w:proofErr w:type="spellStart"/>
      <w:r w:rsidRPr="009525C0">
        <w:rPr>
          <w:rFonts w:ascii="Calibri" w:hAnsi="Calibri" w:cs="Calibri"/>
        </w:rPr>
        <w:t>Mackaway</w:t>
      </w:r>
      <w:proofErr w:type="spellEnd"/>
      <w:r>
        <w:rPr>
          <w:rFonts w:ascii="Calibri" w:hAnsi="Calibri" w:cs="Calibri"/>
        </w:rPr>
        <w:t xml:space="preserve"> (n </w:t>
      </w:r>
      <w:r w:rsidR="00752B65">
        <w:rPr>
          <w:rFonts w:ascii="Calibri" w:hAnsi="Calibri" w:cs="Calibri"/>
        </w:rPr>
        <w:t>1</w:t>
      </w:r>
      <w:r>
        <w:rPr>
          <w:rFonts w:ascii="Calibri" w:hAnsi="Calibri" w:cs="Calibri"/>
        </w:rPr>
        <w:t xml:space="preserve">) </w:t>
      </w:r>
      <w:r w:rsidRPr="009525C0">
        <w:rPr>
          <w:rFonts w:ascii="Calibri" w:hAnsi="Calibri" w:cs="Calibri"/>
        </w:rPr>
        <w:t>80.</w:t>
      </w:r>
      <w:r>
        <w:fldChar w:fldCharType="end"/>
      </w:r>
    </w:p>
  </w:footnote>
  <w:footnote w:id="23">
    <w:p w14:paraId="0B564BA8" w14:textId="534601C3" w:rsidR="00E15D7F" w:rsidRDefault="00E15D7F" w:rsidP="00B63C23">
      <w:pPr>
        <w:pStyle w:val="FootnoteText"/>
        <w:jc w:val="left"/>
      </w:pPr>
      <w:r>
        <w:rPr>
          <w:rStyle w:val="FootnoteReference"/>
        </w:rPr>
        <w:footnoteRef/>
      </w:r>
      <w:r>
        <w:t xml:space="preserve"> </w:t>
      </w:r>
      <w:r>
        <w:fldChar w:fldCharType="begin"/>
      </w:r>
      <w:r w:rsidR="00553406">
        <w:instrText xml:space="preserve"> ADDIN ZOTERO_ITEM CSL_CITATION {"citationID":"4BvuCyzb","properties":{"formattedCitation":"Nigel Cantwell, \\uc0\\u8216{}Are Children\\uc0\\u8217{}s Rights Still Human?\\uc0\\u8217{} in Dr Antonella Invernizzi and Dr Jane Williams (ed), {\\i{}Human Rights of Children: From Visions to Implementation} (Ashgate, 2011) 37, 43.","plainCitation":"Nigel Cantwell, ‘Are Children’s Rights Still Human?’ in Dr Antonella Invernizzi and Dr Jane Williams (ed), Human Rights of Children: From Visions to Implementation (Ashgate, 2011) 37, 43.","noteIndex":23},"citationItems":[{"id":1495,"uris":["http://zotero.org/users/9699311/items/PAPKNY5Q"],"itemData":{"id":1495,"type":"chapter","container-title":"Human Rights of Children: From Visions to Implementation","event-place":"Farnham","page":"37-60","publisher":"Ashgate","publisher-place":"Farnham","title":"Are Children’s Rights Still Human?","author":[{"family":"Cantwell","given":"Nigel"}],"editor":[{"literal":"Dr Antonella Invernizzi and Dr Jane Williams"}],"issued":{"date-parts":[["2011"]]}},"locator":"43","label":"page"}],"schema":"https://github.com/citation-style-language/schema/raw/master/csl-citation.json"} </w:instrText>
      </w:r>
      <w:r>
        <w:fldChar w:fldCharType="separate"/>
      </w:r>
      <w:r w:rsidRPr="00E15D7F">
        <w:rPr>
          <w:rFonts w:ascii="Calibri" w:hAnsi="Calibri" w:cs="Calibri"/>
        </w:rPr>
        <w:t>Nigel Cantwell, ‘Are Children’s Rights Still Human?’ in Antonella Invernizzi and Jane Williams (ed</w:t>
      </w:r>
      <w:r w:rsidR="0094657B">
        <w:rPr>
          <w:rFonts w:ascii="Calibri" w:hAnsi="Calibri" w:cs="Calibri"/>
        </w:rPr>
        <w:t>s</w:t>
      </w:r>
      <w:r w:rsidRPr="00E15D7F">
        <w:rPr>
          <w:rFonts w:ascii="Calibri" w:hAnsi="Calibri" w:cs="Calibri"/>
        </w:rPr>
        <w:t xml:space="preserve">), </w:t>
      </w:r>
      <w:r w:rsidRPr="00E15D7F">
        <w:rPr>
          <w:rFonts w:ascii="Calibri" w:hAnsi="Calibri" w:cs="Calibri"/>
          <w:i/>
          <w:iCs/>
        </w:rPr>
        <w:t>Human Rights of Children: From Visions to Implementation</w:t>
      </w:r>
      <w:r w:rsidRPr="00E15D7F">
        <w:rPr>
          <w:rFonts w:ascii="Calibri" w:hAnsi="Calibri" w:cs="Calibri"/>
        </w:rPr>
        <w:t xml:space="preserve"> (Ashgate, 2011) 37, 43.</w:t>
      </w:r>
      <w:r>
        <w:fldChar w:fldCharType="end"/>
      </w:r>
    </w:p>
  </w:footnote>
  <w:footnote w:id="24">
    <w:p w14:paraId="3D9664D5" w14:textId="04C04D75" w:rsidR="004B25CB" w:rsidRDefault="004B25CB" w:rsidP="00B63C23">
      <w:pPr>
        <w:pStyle w:val="FootnoteText"/>
        <w:jc w:val="left"/>
      </w:pPr>
      <w:r>
        <w:rPr>
          <w:rStyle w:val="FootnoteReference"/>
        </w:rPr>
        <w:footnoteRef/>
      </w:r>
      <w:r>
        <w:t xml:space="preserve"> </w:t>
      </w:r>
      <w:r>
        <w:fldChar w:fldCharType="begin"/>
      </w:r>
      <w:r w:rsidR="009525C0">
        <w:instrText xml:space="preserve"> ADDIN ZOTERO_ITEM CSL_CITATION {"citationID":"78xnsoTK","properties":{"formattedCitation":"Holly Doel-Mackaway, {\\i{}Indigenous Children\\uc0\\u8217{}s Right to Participate in Law and Policy Development} (Routledge, 2022) 49.","plainCitation":"Holly Doel-Mackaway, Indigenous Children’s Right to Participate in Law and Policy Development (Routledge, 2022) 49.","dontUpdate":true,"noteIndex":24},"citationItems":[{"id":2778,"uris":["http://zotero.org/users/9699311/items/YHCFYNNI"],"itemData":{"id":2778,"type":"book","ISBN":"978-0-415-47597-6","publisher":"Routledge","title":"Indigenous Children's Right to Participate in Law and Policy Development","author":[{"family":"Doel-Mackaway","given":"Holly"}],"issued":{"date-parts":[["2022"]]}},"locator":"49","label":"page"}],"schema":"https://github.com/citation-style-language/schema/raw/master/csl-citation.json"} </w:instrText>
      </w:r>
      <w:r>
        <w:fldChar w:fldCharType="separate"/>
      </w:r>
      <w:r w:rsidRPr="004B25CB">
        <w:rPr>
          <w:rFonts w:ascii="Calibri" w:hAnsi="Calibri" w:cs="Calibri"/>
        </w:rPr>
        <w:t>Doel-</w:t>
      </w:r>
      <w:proofErr w:type="spellStart"/>
      <w:r w:rsidRPr="004B25CB">
        <w:rPr>
          <w:rFonts w:ascii="Calibri" w:hAnsi="Calibri" w:cs="Calibri"/>
        </w:rPr>
        <w:t>Mackaway</w:t>
      </w:r>
      <w:proofErr w:type="spellEnd"/>
      <w:r>
        <w:rPr>
          <w:rFonts w:ascii="Calibri" w:hAnsi="Calibri" w:cs="Calibri"/>
        </w:rPr>
        <w:t xml:space="preserve"> (n </w:t>
      </w:r>
      <w:r w:rsidR="00752B65">
        <w:rPr>
          <w:rFonts w:ascii="Calibri" w:hAnsi="Calibri" w:cs="Calibri"/>
        </w:rPr>
        <w:t>1</w:t>
      </w:r>
      <w:r>
        <w:rPr>
          <w:rFonts w:ascii="Calibri" w:hAnsi="Calibri" w:cs="Calibri"/>
        </w:rPr>
        <w:t xml:space="preserve">) 49. </w:t>
      </w:r>
      <w:r>
        <w:fldChar w:fldCharType="end"/>
      </w:r>
    </w:p>
  </w:footnote>
  <w:footnote w:id="25">
    <w:p w14:paraId="182BA4F0" w14:textId="63C89C1F" w:rsidR="00C321B7" w:rsidRPr="00676B56" w:rsidRDefault="00C321B7"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25DA6">
        <w:rPr>
          <w:rFonts w:cstheme="minorHAnsi"/>
        </w:rPr>
        <w:instrText xml:space="preserve"> ADDIN ZOTERO_ITEM CSL_CITATION {"citationID":"SjziikN2","properties":{"formattedCitation":"Ellsberg et al (n 4); Bianca Fileborn and Tully O\\uc0\\u8217{}Neill, \\uc0\\u8216{}From \\uc0\\u8220{}Ghettoization\\uc0\\u8221{} to a Field of Its Own: A Comprehensive Review of Street Harassment Research\\uc0\\u8217{} (2023) 24(1) {\\i{}Trauma, Violence, &amp; Abuse} 125.","plainCitation":"Ellsberg et al (n 4); Bianca Fileborn and Tully O’Neill, ‘From “Ghettoization” to a Field of Its Own: A Comprehensive Review of Street Harassment Research’ (2023) 24(1) Trauma, Violence, &amp; Abuse 125.","noteIndex":25},"citationItems":[{"id":4953,"uris":["http://zotero.org/users/9699311/items/5WI76BKR"],"itemData":{"id":4953,"type":"article-journal","container-title":"The Lancet","DOI":"10.1016/S0140-6736(14)61703-7","ISSN":"01406736","issue":"9977","journalAbbreviation":"The Lancet","language":"en","page":"1555-1566","source":"DOI.org (Crossref)","title":"Prevention of violence against women and girls: what does the evidence say?","volume":"385","author":[{"family":"Ellsberg","given":"Mary"},{"family":"Arango","given":"Diana J"},{"family":"Morton","given":"Matthew"},{"family":"Gennari","given":"Floriza"},{"family":"Kiplesund","given":"Sveinung"},{"family":"Contreras","given":"Manuel"},{"family":"Watts","given":"Charlotte"}],"issued":{"date-parts":[["2015",4]]}}},{"id":5155,"uris":["http://zotero.org/users/9699311/items/VQ5MUJUB"],"itemData":{"id":5155,"type":"article-journal","abstract":"Street harassment represents one of the most pervasive forms of sexual violence. While it is commonly understood as a gender-based harm, it also intersects with racist, homophobic, transphobic, ableist, and other forms of abuse. Although it is rarely responded to through government policy, research illustrates that street harassment can have profoundly negative impacts of those who experience it. This article provides a comprehensive review of the current “state of the field” of street harassment research. We undertook two extensive searches of the EBSCO Discovery database in 2015 and 2020, followed by the use of reference snowballing and a Google Scholar search in order to triangulate results. Studies included in the sample were published in English, peer-reviewed and centrally focused on street harassment. Dissertations and nongovernmental organization reports were also included due to the small number of studies in this field. One hundred eighty-two sources were included in the final sample. Findings show that publications on this topic have increased substantially across the two reviews. We provide a thematic overview of key research findings to date and argue throughout that current research suffers from conceptual and typological slippage and does not consistently take into account the need for an intersectional analysis. We close with suggestions for future directions in research and practice, given the emergent nature of the field.","container-title":"Trauma, Violence, &amp; Abuse","DOI":"10.1177/15248380211021608","ISSN":"1524-8380, 1552-8324","issue":"1","journalAbbreviation":"Trauma, Violence, &amp; Abuse","language":"en","page":"125-138","source":"DOI.org (Crossref)","title":"From “Ghettoization” to a Field of Its Own: A Comprehensive Review of Street Harassment Research","volume":"24","author":[{"family":"Fileborn","given":"Bianca"},{"family":"O’Neill","given":"Tully"}],"issued":{"date-parts":[["2023",1]]}}}],"schema":"https://github.com/citation-style-language/schema/raw/master/csl-citation.json"} </w:instrText>
      </w:r>
      <w:r w:rsidRPr="00676B56">
        <w:rPr>
          <w:rFonts w:cstheme="minorHAnsi"/>
        </w:rPr>
        <w:fldChar w:fldCharType="separate"/>
      </w:r>
      <w:r w:rsidR="0094474A" w:rsidRPr="00676B56">
        <w:rPr>
          <w:rFonts w:cstheme="minorHAnsi"/>
        </w:rPr>
        <w:t>Ellsberg et al</w:t>
      </w:r>
      <w:r w:rsidR="00781F92">
        <w:rPr>
          <w:rFonts w:cstheme="minorHAnsi"/>
        </w:rPr>
        <w:t>.</w:t>
      </w:r>
      <w:r w:rsidR="0094474A" w:rsidRPr="00676B56">
        <w:rPr>
          <w:rFonts w:cstheme="minorHAnsi"/>
        </w:rPr>
        <w:t xml:space="preserve"> (n </w:t>
      </w:r>
      <w:r w:rsidR="00752B65">
        <w:rPr>
          <w:rFonts w:cstheme="minorHAnsi"/>
        </w:rPr>
        <w:t>2</w:t>
      </w:r>
      <w:r w:rsidR="0094474A" w:rsidRPr="00676B56">
        <w:rPr>
          <w:rFonts w:cstheme="minorHAnsi"/>
        </w:rPr>
        <w:t xml:space="preserve">); Bianca </w:t>
      </w:r>
      <w:proofErr w:type="spellStart"/>
      <w:r w:rsidR="0094474A" w:rsidRPr="00676B56">
        <w:rPr>
          <w:rFonts w:cstheme="minorHAnsi"/>
        </w:rPr>
        <w:t>Fileborn</w:t>
      </w:r>
      <w:proofErr w:type="spellEnd"/>
      <w:r w:rsidR="0094474A" w:rsidRPr="00676B56">
        <w:rPr>
          <w:rFonts w:cstheme="minorHAnsi"/>
        </w:rPr>
        <w:t xml:space="preserve"> and Tully O’Neill, ‘From “Ghettoization” to a Field of Its Own: A Comprehensive Review of Street Harassment Research’ (2023) 24(1) </w:t>
      </w:r>
      <w:r w:rsidR="0094474A" w:rsidRPr="00676B56">
        <w:rPr>
          <w:rFonts w:cstheme="minorHAnsi"/>
          <w:i/>
          <w:iCs/>
        </w:rPr>
        <w:t>Trauma, Violence, &amp; Abuse</w:t>
      </w:r>
      <w:r w:rsidR="0094474A" w:rsidRPr="00676B56">
        <w:rPr>
          <w:rFonts w:cstheme="minorHAnsi"/>
        </w:rPr>
        <w:t xml:space="preserve"> 125.</w:t>
      </w:r>
      <w:r w:rsidRPr="00676B56">
        <w:rPr>
          <w:rFonts w:cstheme="minorHAnsi"/>
        </w:rPr>
        <w:fldChar w:fldCharType="end"/>
      </w:r>
    </w:p>
  </w:footnote>
  <w:footnote w:id="26">
    <w:p w14:paraId="066E004C" w14:textId="53C23430" w:rsidR="00C321B7" w:rsidRPr="00676B56" w:rsidRDefault="00C321B7"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25DA6">
        <w:rPr>
          <w:rFonts w:cstheme="minorHAnsi"/>
        </w:rPr>
        <w:instrText xml:space="preserve"> ADDIN ZOTERO_ITEM CSL_CITATION {"citationID":"1cHGueMV","properties":{"formattedCitation":"Lindsay Stark, Ilana Seff and Chen Reis, \\uc0\\u8216{}Gender-Based Violence against Adolescent Girls in Humanitarian Settings: A Review of the Evidence\\uc0\\u8217{} (2021) 5(3) {\\i{}The Lancet Child &amp; Adolescent Health} 210, 210.","plainCitation":"Lindsay Stark, Ilana Seff and Chen Reis, ‘Gender-Based Violence against Adolescent Girls in Humanitarian Settings: A Review of the Evidence’ (2021) 5(3) The Lancet Child &amp; Adolescent Health 210, 210.","noteIndex":26},"citationItems":[{"id":2858,"uris":["http://zotero.org/users/9699311/items/R2LWZQAY"],"itemData":{"id":2858,"type":"article-journal","abstract":"Adolescent girls face elevated risks of gender-based violence in humanitarian settings because of the intersectionality of age and gender, and the additional and exacerbated risk factors relevant to emergencies. Because there is no clear division of labour between the gender-based violence and child protection sectors, adolescent girls are often neglected by both groups, and violence against this subpopulation goes unaddressed. This Review presents an adapted ecological framework for gender-based violence risks facing adolescent girls in emergencies, synthesises the scant evidence for gender-based violence prevention and response, and identifies barriers to effective and ethical measurement and evaluation of programme effectiveness. Although nascent evidence highlights promising interventions for transforming girls' attitudes about violence and gender inequity and improving psychosocial and mental wellbeing, little evidence supports the ability of existing approaches to reduce gender-based violence incidence. A more explicit focus on adolescent girls is needed when designing and evaluating interventions to ensure global efforts to end gender-based violence are inclusive of this population. Translations: For the Arabic, French and Spanish translations of the abstract see Supplementary Materials section.","container-title":"The Lancet Child &amp; Adolescent Health","DOI":"10.1016/S2352-4642(20)30245-5","ISSN":"2352-4642","issue":"3","note":"PMID: 33220789\npublisher: Elsevier","page":"210-222","title":"Gender-based violence against adolescent girls in humanitarian settings: a review of the evidence","volume":"5","author":[{"family":"Stark","given":"Lindsay"},{"family":"Seff","given":"Ilana"},{"family":"Reis","given":"Chen"}],"issued":{"date-parts":[["2021",3,1]]}},"locator":"210","label":"page"}],"schema":"https://github.com/citation-style-language/schema/raw/master/csl-citation.json"} </w:instrText>
      </w:r>
      <w:r w:rsidRPr="00676B56">
        <w:rPr>
          <w:rFonts w:cstheme="minorHAnsi"/>
        </w:rPr>
        <w:fldChar w:fldCharType="separate"/>
      </w:r>
      <w:r w:rsidRPr="00676B56">
        <w:rPr>
          <w:rFonts w:cstheme="minorHAnsi"/>
        </w:rPr>
        <w:t xml:space="preserve">Lindsay Stark, Ilana Seff and Chen Reis, ‘Gender-Based Violence against Adolescent Girls in Humanitarian Settings: A Review of the Evidence’ (2021) 5(3) </w:t>
      </w:r>
      <w:r w:rsidRPr="00676B56">
        <w:rPr>
          <w:rFonts w:cstheme="minorHAnsi"/>
          <w:i/>
          <w:iCs/>
        </w:rPr>
        <w:t>The Lancet Child &amp; Adolescent Health</w:t>
      </w:r>
      <w:r w:rsidRPr="00676B56">
        <w:rPr>
          <w:rFonts w:cstheme="minorHAnsi"/>
        </w:rPr>
        <w:t xml:space="preserve"> 210, 210.</w:t>
      </w:r>
      <w:r w:rsidRPr="00676B56">
        <w:rPr>
          <w:rFonts w:cstheme="minorHAnsi"/>
        </w:rPr>
        <w:fldChar w:fldCharType="end"/>
      </w:r>
    </w:p>
  </w:footnote>
  <w:footnote w:id="27">
    <w:p w14:paraId="7D285562" w14:textId="576A463E" w:rsidR="0012715B" w:rsidRPr="00676B56" w:rsidRDefault="0012715B"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57BE3">
        <w:rPr>
          <w:rFonts w:cstheme="minorHAnsi"/>
        </w:rPr>
        <w:instrText xml:space="preserve"> ADDIN ZOTERO_ITEM CSL_CITATION {"citationID":"AtdpTbtg","properties":{"formattedCitation":"Minakshi Dahal et al, \\uc0\\u8216{}Mitigating Violence against Women and Young Girls during COVID-19 Induced Lockdown in Nepal: A Wake-up Call\\uc0\\u8217{} (2020) 16(1) {\\i{}Globalization and Health} 1; Sapana Basnet Bista and Shaurabh Sharma, \\uc0\\u8216{}Violence against Women and Girls with Disabilities during and after the 2015 Nepal Earthquake: Thematic Analysis of Qualitative Data\\uc0\\u8217{} (2019) 7 {\\i{}The Lancet Global Health} S45; Kay Standing, Sara Parker and Sapana Bista, \\uc0\\u8216{}Grassroots Responses to Violence against Women and Girls in Post-Earthquake Nepal: Lessons from the Field\\uc0\\u8217{} (2016) 24(2) {\\i{}Gender and Development} 187; Amrita Gurung and Lily Thapa, \\uc0\\u8216{}Violence, Women and Conflict in Nepal\\uc0\\u8217{} in Amy Barrow and Joy L Chia (eds), {\\i{}Gender, Violence and the State in Asia} (Routledge, 1\\super s\\nosupersub{}\\super t\\nosupersub{} ed, 2016) &lt;https://www.taylorfrancis.com/books/9781317325949&gt;.","plainCitation":"Minakshi Dahal et al, ‘Mitigating Violence against Women and Young Girls during COVID-19 Induced Lockdown in Nepal: A Wake-up Call’ (2020) 16(1) Globalization and Health 1; Sapana Basnet Bista and Shaurabh Sharma, ‘Violence against Women and Girls with Disabilities during and after the 2015 Nepal Earthquake: Thematic Analysis of Qualitative Data’ (2019) 7 The Lancet Global Health S45; Kay Standing, Sara Parker and Sapana Bista, ‘Grassroots Responses to Violence against Women and Girls in Post-Earthquake Nepal: Lessons from the Field’ (2016) 24(2) Gender and Development 187; Amrita Gurung and Lily Thapa, ‘Violence, Women and Conflict in Nepal’ in Amy Barrow and Joy L Chia (eds), Gender, Violence and the State in Asia (Routledge, 1st ed, 2016) &lt;https://www.taylorfrancis.com/books/9781317325949&gt;.","dontUpdate":true,"noteIndex":27},"citationItems":[{"id":2520,"uris":["http://zotero.org/users/9699311/items/LYT96DND"],"itemData":{"id":2520,"type":"article-journal","abstract":"Nepal, a South Asian country, was in nationwide lockdown for nearly three months in 2020 with partial restrictions still in place. Much worryingly, COVID-19 induced restrictions have confined women and young girls in their home, increasing the risk of domestic violence. The available support system to respond to violence against women and girls (VAWG) has also been disrupted during this period. The figures of violence against women, and child sexual abuse are increasingly being reported during the lockdown and thereafter. To mitigate this, a response against VAWG should not be a missing agenda. This commentary focuses on the situation of VAWG during COVID-19 induced restrictions in Nepal and offers a way forward for addressing the issue.","container-title":"Globalization and Health","DOI":"10.1186/s12992-020-00616-w","ISSN":"17448603","issue":"1","note":"PMID: 32957999\npublisher: Globalization and Health","page":"1-3","title":"Mitigating violence against women and young girls during COVID-19 induced lockdown in Nepal: A wake-up call","volume":"16","author":[{"family":"Dahal","given":"Minakshi"},{"family":"Khanal","given":"Pratik"},{"family":"Maharjan","given":"Sajana"},{"family":"Panthi","given":"Bindu"},{"family":"Nepal","given":"Sushil"}],"issued":{"date-parts":[["2020"]]}}},{"id":2844,"uris":["http://zotero.org/users/9699311/items/ELHMH3WV"],"itemData":{"id":2844,"type":"article-journal","abstract":"Abstract Background Disasters affect people with disabilities disproportionately. Violence against women and girls, including sexual and psychological violence, has been reported to increase during and after natural disasters. Despite worldwide attention on the devastation caused by the 2015 earthquake in Nepal, the risk of violence against women and girls with disabilities and their experiences during the crisis and recovery phases remain under-researched. In this study, we aim to explore the experiences of violence against disabled women and girls immediately after the earthquake and during the post-earthquake recovery period. Methods We undertook a thematic analysis of qualitative data collected through semi-structured interviews and focus group discussions with women and girls with disabilities from the districts worst affected by the 2015 Nepal earthquake: Kathmandu valley (n=16), Dhading (n=8), Sindhupalchok (n=8), and Gorkha (n=8). These qualitative data were a part of two larger studies; one that explored the experiences of people with disabilities during the 2015 Nepal earthquake and another that studied the effect of post-earthquake mental health and psychosocial support in women with disabilities. All participants for this part of the study were recruited through a snowball sampling technique. Findings We analysed data from interviews with 40 participants conducted between May, 2015, and February, 2018. Five focus group discussions each with eight participants lasted between 1 h and 1·5 h. Semi-structured interviews lasted between 30 mins and 45 mins. By comparison with their pre-earthquake experiences, women and girls with disabilities reported increased psychological, physical, and sexual violence immediately after the earthquake mostly in and around temporary shelters. Physical and psychological violence were reported to be committed by partners, family members, relatives, and sometimes by people who lived in the same community; sexual violence against girls with disabilities were reported to be committed by close relatives, family members, or an opportunist stranger. Interpretation Our findings highlight that being female with a disability, having limited rights and independence, and having limited access to financial resources lead to increased longer-term violence, even during the recovery and reconstruction phase of a natural disaster. We recommend that emergency responders undertake gender and disability sensitisation training to remove barriers and stigma against women and girls with disabilities. Government, national, and international humanitarian agencies should work together with local-level organisations to strengthen gender and disability-inclusive preventative, reporting, and justice mechanisms. Funding None.","container-title":"The Lancet Global Health","DOI":"10.1016/s2214-109x(19)30130-5","ISSN":"2214109X","note":"publisher: The Author(s). Published by Elsevier Ltd. This is an open access article under the CC BY 4.0 license","page":"45","title":"Violence against women and girls with disabilities during and after the 2015 Nepal earthquake: thematic analysis of qualitative data","volume":"7","author":[{"family":"Basnet Bista","given":"Sapana"},{"family":"Sharma","given":"Shaurabh"}],"issued":{"date-parts":[["2019"]]}}},{"id":2526,"uris":["http://zotero.org/users/9699311/items/RZ26LKPT"],"itemData":{"id":2526,"type":"article-journal","abstract":"Violence against women and girls (VAWG), including sexual violence, can increase after natural disasters. This article provides evidence from Nepal, a country where progress has been made on gender equality but VAWG remains an endemic problem. Research since the earthquakes involving women activists and non-government organisations indicates the continuing challenges facing disaster response efforts to prevent VAWG and protect women. Women and girls in camps and temporary shelters feel threatened and insecure due to the risk of violence and lack of privacy. Humanitarian aid, health care, and disaster responses can challenge VAWG, and offer safe spaces for women and girls to be established. This article draws on the views of grassroots women’s activists in Nepal and shares lessons for development and humanitarian workers about steps to be taken to challenge and minimise VAWG in emergency situations.","container-title":"Gender and Development","DOI":"10.1080/13552074.2016.1194562","ISSN":"13649221","issue":"2","note":"publisher: Taylor &amp; Francis","page":"187-204","title":"Grassroots responses to violence against women and girls in post-earthquake Nepal: lessons from the field","volume":"24","author":[{"family":"Standing","given":"Kay"},{"family":"Parker","given":"Sara"},{"family":"Bista","given":"Sapana"}],"issued":{"date-parts":[["2016"]]}}},{"id":5436,"uris":["http://zotero.org/users/9699311/items/DLJ573PT"],"itemData":{"id":5436,"type":"chapter","container-title":"Gender, Violence and the State in Asia","edition":"1","event-place":"New York, NY: Routledge, 2016. | Series: Routledge research on gender in Asia; 13","ISBN":"978-1-315-65673-1","language":"en","note":"DOI: 10.4324/9781315656731","publisher":"Routledge","publisher-place":"New York, NY: Routledge, 2016. | Series: Routledge research on gender in Asia; 13","source":"DOI.org (Crossref)","title":"Violence, Women and Conflict in Nepal","URL":"https://www.taylorfrancis.com/books/9781317325949","editor":[{"family":"Barrow","given":"Amy"},{"family":"Chia","given":"Joy L."}],"author":[{"family":"Gurung","given":"Amrita"},{"family":"Thapa","given":"Lily"}],"accessed":{"date-parts":[["2023",8,25]]},"issued":{"date-parts":[["2016",7,1]]}}}],"schema":"https://github.com/citation-style-language/schema/raw/master/csl-citation.json"} </w:instrText>
      </w:r>
      <w:r w:rsidRPr="00676B56">
        <w:rPr>
          <w:rFonts w:cstheme="minorHAnsi"/>
        </w:rPr>
        <w:fldChar w:fldCharType="separate"/>
      </w:r>
      <w:r w:rsidRPr="00676B56">
        <w:rPr>
          <w:rFonts w:cstheme="minorHAnsi"/>
        </w:rPr>
        <w:t xml:space="preserve">Minakshi Dahal </w:t>
      </w:r>
      <w:r w:rsidR="007A7D9C">
        <w:rPr>
          <w:rFonts w:cstheme="minorHAnsi"/>
        </w:rPr>
        <w:t xml:space="preserve">Pratik, </w:t>
      </w:r>
      <w:r w:rsidR="007A7D9C" w:rsidRPr="007A7D9C">
        <w:rPr>
          <w:rFonts w:cstheme="minorHAnsi"/>
        </w:rPr>
        <w:t xml:space="preserve">Khanal, </w:t>
      </w:r>
      <w:r w:rsidR="007A7D9C">
        <w:rPr>
          <w:rFonts w:cstheme="minorHAnsi"/>
        </w:rPr>
        <w:t xml:space="preserve">Sajana </w:t>
      </w:r>
      <w:r w:rsidR="007A7D9C" w:rsidRPr="007A7D9C">
        <w:rPr>
          <w:rFonts w:cstheme="minorHAnsi"/>
        </w:rPr>
        <w:t xml:space="preserve">Maharjan, </w:t>
      </w:r>
      <w:r w:rsidR="007A7D9C">
        <w:rPr>
          <w:rFonts w:cstheme="minorHAnsi"/>
        </w:rPr>
        <w:t>Bindu Panthi and Sushil Nepal</w:t>
      </w:r>
      <w:r w:rsidRPr="00676B56">
        <w:rPr>
          <w:rFonts w:cstheme="minorHAnsi"/>
        </w:rPr>
        <w:t xml:space="preserve">, ‘Mitigating Violence against Women and Young Girls during COVID-19 Induced Lockdown in Nepal: A Wake-up Call’ (2020) 16(1) </w:t>
      </w:r>
      <w:r w:rsidRPr="00676B56">
        <w:rPr>
          <w:rFonts w:cstheme="minorHAnsi"/>
          <w:i/>
          <w:iCs/>
        </w:rPr>
        <w:t>Globalization and Health</w:t>
      </w:r>
      <w:r w:rsidRPr="00676B56">
        <w:rPr>
          <w:rFonts w:cstheme="minorHAnsi"/>
        </w:rPr>
        <w:t xml:space="preserve"> 1; Sapana Basnet Bista and </w:t>
      </w:r>
      <w:proofErr w:type="spellStart"/>
      <w:r w:rsidRPr="00676B56">
        <w:rPr>
          <w:rFonts w:cstheme="minorHAnsi"/>
        </w:rPr>
        <w:t>Shaurabh</w:t>
      </w:r>
      <w:proofErr w:type="spellEnd"/>
      <w:r w:rsidRPr="00676B56">
        <w:rPr>
          <w:rFonts w:cstheme="minorHAnsi"/>
        </w:rPr>
        <w:t xml:space="preserve"> Sharma, ‘Violence against Women and Girls with Disabilities </w:t>
      </w:r>
      <w:r w:rsidR="00CC4DD6">
        <w:rPr>
          <w:rFonts w:cstheme="minorHAnsi"/>
        </w:rPr>
        <w:t>D</w:t>
      </w:r>
      <w:r w:rsidRPr="00676B56">
        <w:rPr>
          <w:rFonts w:cstheme="minorHAnsi"/>
        </w:rPr>
        <w:t xml:space="preserve">uring and </w:t>
      </w:r>
      <w:r w:rsidR="00CC4DD6">
        <w:rPr>
          <w:rFonts w:cstheme="minorHAnsi"/>
        </w:rPr>
        <w:t>A</w:t>
      </w:r>
      <w:r w:rsidRPr="00676B56">
        <w:rPr>
          <w:rFonts w:cstheme="minorHAnsi"/>
        </w:rPr>
        <w:t xml:space="preserve">fter the 2015 Nepal Earthquake: Thematic Analysis of Qualitative Data’ (2019) 7 </w:t>
      </w:r>
      <w:r w:rsidRPr="00676B56">
        <w:rPr>
          <w:rFonts w:cstheme="minorHAnsi"/>
          <w:i/>
          <w:iCs/>
        </w:rPr>
        <w:t>The Lancet Global Health</w:t>
      </w:r>
      <w:r w:rsidRPr="00676B56">
        <w:rPr>
          <w:rFonts w:cstheme="minorHAnsi"/>
        </w:rPr>
        <w:t xml:space="preserve"> 45; Kay Standing, Sara Parker and Sapana Bista, ‘Grassroots Responses to Violence against Women and Girls in Post-Earthquake Nepal: Lessons from the Field’ (2016) 24(2) </w:t>
      </w:r>
      <w:r w:rsidRPr="00676B56">
        <w:rPr>
          <w:rFonts w:cstheme="minorHAnsi"/>
          <w:i/>
          <w:iCs/>
        </w:rPr>
        <w:t>Gender and Development</w:t>
      </w:r>
      <w:r w:rsidRPr="00676B56">
        <w:rPr>
          <w:rFonts w:cstheme="minorHAnsi"/>
        </w:rPr>
        <w:t xml:space="preserve"> 187; Amrita Gurung and Lily Thapa, ‘Violence, Women and Conflict in Nepal’ in</w:t>
      </w:r>
      <w:r w:rsidR="00EE6BFC">
        <w:rPr>
          <w:rFonts w:cstheme="minorHAnsi"/>
        </w:rPr>
        <w:t xml:space="preserve"> </w:t>
      </w:r>
      <w:r w:rsidRPr="00676B56">
        <w:rPr>
          <w:rFonts w:cstheme="minorHAnsi"/>
        </w:rPr>
        <w:t>Barrow and Chia (eds)</w:t>
      </w:r>
      <w:r w:rsidR="00EE6BFC">
        <w:rPr>
          <w:rFonts w:cstheme="minorHAnsi"/>
        </w:rPr>
        <w:t xml:space="preserve"> (n 8)</w:t>
      </w:r>
      <w:r w:rsidRPr="00676B56">
        <w:rPr>
          <w:rFonts w:cstheme="minorHAnsi"/>
        </w:rPr>
        <w:fldChar w:fldCharType="end"/>
      </w:r>
      <w:r w:rsidR="00EE6BFC">
        <w:rPr>
          <w:rFonts w:cstheme="minorHAnsi"/>
        </w:rPr>
        <w:t>.</w:t>
      </w:r>
    </w:p>
  </w:footnote>
  <w:footnote w:id="28">
    <w:p w14:paraId="215BF7CE" w14:textId="7D640B90" w:rsidR="00975E78" w:rsidRPr="00676B56" w:rsidRDefault="00975E78"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00347145" w:rsidRPr="00676B56">
        <w:rPr>
          <w:rFonts w:cstheme="minorHAnsi"/>
        </w:rPr>
        <w:fldChar w:fldCharType="begin"/>
      </w:r>
      <w:r w:rsidR="00657BE3">
        <w:rPr>
          <w:rFonts w:cstheme="minorHAnsi"/>
        </w:rPr>
        <w:instrText xml:space="preserve"> ADDIN ZOTERO_ITEM CSL_CITATION {"citationID":"fvZwRPfh","properties":{"formattedCitation":"Alok Atreya and Samata Nepal, \\uc0\\u8216{}Untouchables: Women and Girls in Nepal\\uc0\\u8217{} (2020) 136(1) {\\i{}Obstetrics and Gynecology} 3; Prabisha Amatya et al, \\uc0\\u8216{}Practice and Lived Experience of Menstrual Exiles (Chhaupadi) among Adolescent Girls in Far-Western Nepal\\uc0\\u8217{} (2018) 13(12) {\\i{}PLoS ONE} 1; Basnet Bista and Sharma (n 28); Janak Rai, {\\i{}Harmful Practices in Nepal: Report on Community Perceptions} (United Nations Nepal, 2020); Krista Billingsley, \\uc0\\u8216{}Intersectionality as Locality: Children and Transitional Justice in Nepal\\uc0\\u8217{} (2018) 12(1) {\\i{}International Journal of Transitional Justice} 64.","plainCitation":"Alok Atreya and Samata Nepal, ‘Untouchables: Women and Girls in Nepal’ (2020) 136(1) Obstetrics and Gynecology 3; Prabisha Amatya et al, ‘Practice and Lived Experience of Menstrual Exiles (Chhaupadi) among Adolescent Girls in Far-Western Nepal’ (2018) 13(12) PLoS ONE 1; Basnet Bista and Sharma (n 28); Janak Rai, Harmful Practices in Nepal: Report on Community Perceptions (United Nations Nepal, 2020); Krista Billingsley, ‘Intersectionality as Locality: Children and Transitional Justice in Nepal’ (2018) 12(1) International Journal of Transitional Justice 64.","dontUpdate":true,"noteIndex":29},"citationItems":[{"id":2854,"uris":["http://zotero.org/users/9699311/items/VAF8ICYY"],"itemData":{"id":2854,"type":"article-journal","container-title":"Obstetrics and Gynecology","DOI":"10.1097/AOG.0000000000003928","ISSN":"1873233X","issue":"1","note":"PMID: 32541280","page":"3-5","title":"Untouchables: Women and Girls in Nepal","volume":"136","author":[{"family":"Atreya","given":"Alok"},{"family":"Nepal","given":"Samata"}],"issued":{"date-parts":[["2020"]]}}},{"id":2848,"uris":["http://zotero.org/users/9699311/items/YPQXP3NQ"],"itemData":{"id":2848,"type":"article-journal","abstract":"Background Menstrual exile, also known as Chhaupadi, is a tradition of “untouchability” in far-western Nepal. Forbidden from touching other people and objects, women and girls are required to live away from the community, typically in a livestock shed, during menstruation. We assessed the lived experiences of Chhaupadi among Nepalese adolescent girls in the far-western Achham district of Nepal, observed the safety and sanitation of their living spaces during Chhaupadi, and assessed the perceptions of local adult stakeholders towards the practice of Chhaupadi. Methods We collected data from 107 adolescent girls using a self-administered survey in two local schools in Achham. We also conducted a focus group discussion with seven girls, held key informant interviews, and observed the girls’ living spaces during Chhaupadi, using a checklist. Descriptive statistics of the quantitative survey and thematic analyses of qualitative interviews are presented. Results The majority of the girls (n = 77, 72%) practiced exile, or Chhaupadi, during their menstruation, including 3 (4%) exiled to traditional Chhau sheds, 63 (82%) to livestock sheds, and 11 (14%) to courtyards outside their home. The remaining girls (n = 30, 28%) stayed inside the house, yet practiced some form of menstrual taboos. of the 77 observed living spaces where the girls stayed during exile, only 30% (n = 23) had a toilet facility. Most exiled girls (97.4%) were restricted from eating dairy products. Participants reported having various psychological problems, including lonliness and difficulty sleeping while practicing Chhaupadi. Three of the girls were physically abused; nine were bitten by a snake. Notably high proportions of the living spaces lacked ventilation/windows (n = 20, 26%), electricity (n = 29, 38%), toilets (n = 54, 70%) and a warm blanket and mattress for sleeping (n = 29, 38%). Our qualitative findings supported our quantitative results. Conclusions Chhaupadi has been condemned by human rights organizations. While the government has banned the practice, implementation on the ban is proceeding slowly, especially in far-western Nepal. Thus, as a temporary measure, public health professionals must work towards promoting the health and safety of Nepalese women and girls still practicing Chhaupadi.","container-title":"PLoS ONE","DOI":"10.1371/journal.pone.0208260","ISSN":"19326203","issue":"12","note":"PMID: 30532183\nISBN: 1111111111","page":"1-17","title":"Practice and lived experience of menstrual exiles (Chhaupadi) among adolescent girls in far-western Nepal","volume":"13","author":[{"family":"Amatya","given":"Prabisha"},{"family":"Ghimire","given":"Saruna"},{"family":"Callahan","given":"Karen E."},{"family":"Baral","given":"Binaya Kumar"},{"family":"Poudel","given":"Krishna C."}],"issued":{"date-parts":[["2018"]]}}},{"id":2844,"uris":["http://zotero.org/users/9699311/items/ELHMH3WV"],"itemData":{"id":2844,"type":"article-journal","abstract":"Abstract Background Disasters affect people with disabilities disproportionately. Violence against women and girls, including sexual and psychological violence, has been reported to increase during and after natural disasters. Despite worldwide attention on the devastation caused by the 2015 earthquake in Nepal, the risk of violence against women and girls with disabilities and their experiences during the crisis and recovery phases remain under-researched. In this study, we aim to explore the experiences of violence against disabled women and girls immediately after the earthquake and during the post-earthquake recovery period. Methods We undertook a thematic analysis of qualitative data collected through semi-structured interviews and focus group discussions with women and girls with disabilities from the districts worst affected by the 2015 Nepal earthquake: Kathmandu valley (n=16), Dhading (n=8), Sindhupalchok (n=8), and Gorkha (n=8). These qualitative data were a part of two larger studies; one that explored the experiences of people with disabilities during the 2015 Nepal earthquake and another that studied the effect of post-earthquake mental health and psychosocial support in women with disabilities. All participants for this part of the study were recruited through a snowball sampling technique. Findings We analysed data from interviews with 40 participants conducted between May, 2015, and February, 2018. Five focus group discussions each with eight participants lasted between 1 h and 1·5 h. Semi-structured interviews lasted between 30 mins and 45 mins. By comparison with their pre-earthquake experiences, women and girls with disabilities reported increased psychological, physical, and sexual violence immediately after the earthquake mostly in and around temporary shelters. Physical and psychological violence were reported to be committed by partners, family members, relatives, and sometimes by people who lived in the same community; sexual violence against girls with disabilities were reported to be committed by close relatives, family members, or an opportunist stranger. Interpretation Our findings highlight that being female with a disability, having limited rights and independence, and having limited access to financial resources lead to increased longer-term violence, even during the recovery and reconstruction phase of a natural disaster. We recommend that emergency responders undertake gender and disability sensitisation training to remove barriers and stigma against women and girls with disabilities. Government, national, and international humanitarian agencies should work together with local-level organisations to strengthen gender and disability-inclusive preventative, reporting, and justice mechanisms. Funding None.","container-title":"The Lancet Global Health","DOI":"10.1016/s2214-109x(19)30130-5","ISSN":"2214109X","note":"publisher: The Author(s). Published by Elsevier Ltd. This is an open access article under the CC BY 4.0 license","page":"45","title":"Violence against women and girls with disabilities during and after the 2015 Nepal earthquake: thematic analysis of qualitative data","volume":"7","author":[{"family":"Basnet Bista","given":"Sapana"},{"family":"Sharma","given":"Shaurabh"}],"issued":{"date-parts":[["2019"]]}}},{"id":5021,"uris":["http://zotero.org/users/9699311/items/T5Z8FRAB"],"itemData":{"id":5021,"type":"report","language":"en","publisher":"United Nations Nepal","source":"Zotero","title":"Harmful Practices in Nepal: Report on Community Perceptions","author":[{"family":"Rai","given":"Janak"}],"issued":{"date-parts":[["2020"]]}}},{"id":2544,"uris":["http://zotero.org/users/9699311/items/MJ6R6G3H"],"itemData":{"id":2544,"type":"article-journal","abstract":"Transitional justice policy, although predicated on an ideology of transition, often homogenizes victims and fails to respond to victims' diverse and dynamic needs during the 'transitional period.' In this article, based on 14 months of ethnographic research in Nepal, I examine the perceptions and experiences of adults who were children when their fathers were killed or disappeared during the decade-long internal armed conflict between the Communist Party of Nepal-Maoists and the Nepali government. Through their varied experiences and ongoing transitions, I challenge homogeneous and fixed conceptualizations of 'children' and 'the local' and argue for greater attention to the intersectional experiences of victims and the redress of entrenched systems of domination and inequality.","container-title":"International Journal of Transitional Justice","DOI":"10.1093/ijtj/ijx032","ISSN":"17527724","issue":"1","page":"64-87","title":"Intersectionality as locality: Children and transitional justice in Nepal","volume":"12","author":[{"family":"Billingsley","given":"Krista"}],"issued":{"date-parts":[["2018"]]}}}],"schema":"https://github.com/citation-style-language/schema/raw/master/csl-citation.json"} </w:instrText>
      </w:r>
      <w:r w:rsidR="00347145" w:rsidRPr="00676B56">
        <w:rPr>
          <w:rFonts w:cstheme="minorHAnsi"/>
        </w:rPr>
        <w:fldChar w:fldCharType="separate"/>
      </w:r>
      <w:r w:rsidR="009525C0" w:rsidRPr="009525C0">
        <w:rPr>
          <w:rFonts w:ascii="Calibri" w:hAnsi="Calibri" w:cs="Calibri"/>
        </w:rPr>
        <w:t xml:space="preserve">Alok Atreya and Samata Nepal, ‘Untouchables: Women and Girls in Nepal’ (2020) 136(1) </w:t>
      </w:r>
      <w:r w:rsidR="009525C0" w:rsidRPr="009525C0">
        <w:rPr>
          <w:rFonts w:ascii="Calibri" w:hAnsi="Calibri" w:cs="Calibri"/>
          <w:i/>
          <w:iCs/>
        </w:rPr>
        <w:t xml:space="preserve">Obstetrics and </w:t>
      </w:r>
      <w:proofErr w:type="spellStart"/>
      <w:r w:rsidR="009525C0" w:rsidRPr="009525C0">
        <w:rPr>
          <w:rFonts w:ascii="Calibri" w:hAnsi="Calibri" w:cs="Calibri"/>
          <w:i/>
          <w:iCs/>
        </w:rPr>
        <w:t>Gynecology</w:t>
      </w:r>
      <w:proofErr w:type="spellEnd"/>
      <w:r w:rsidR="009525C0" w:rsidRPr="009525C0">
        <w:rPr>
          <w:rFonts w:ascii="Calibri" w:hAnsi="Calibri" w:cs="Calibri"/>
        </w:rPr>
        <w:t xml:space="preserve"> 3; </w:t>
      </w:r>
      <w:proofErr w:type="spellStart"/>
      <w:r w:rsidR="009525C0" w:rsidRPr="009525C0">
        <w:rPr>
          <w:rFonts w:ascii="Calibri" w:hAnsi="Calibri" w:cs="Calibri"/>
        </w:rPr>
        <w:t>Prabisha</w:t>
      </w:r>
      <w:proofErr w:type="spellEnd"/>
      <w:r w:rsidR="009525C0" w:rsidRPr="009525C0">
        <w:rPr>
          <w:rFonts w:ascii="Calibri" w:hAnsi="Calibri" w:cs="Calibri"/>
        </w:rPr>
        <w:t xml:space="preserve"> Amatya</w:t>
      </w:r>
      <w:r w:rsidR="007A7D9C">
        <w:rPr>
          <w:rFonts w:ascii="Calibri" w:hAnsi="Calibri" w:cs="Calibri"/>
        </w:rPr>
        <w:t xml:space="preserve">, </w:t>
      </w:r>
      <w:proofErr w:type="spellStart"/>
      <w:r w:rsidR="007A7D9C" w:rsidRPr="007A7D9C">
        <w:rPr>
          <w:rFonts w:ascii="Calibri" w:hAnsi="Calibri" w:cs="Calibri"/>
        </w:rPr>
        <w:t>Saruna</w:t>
      </w:r>
      <w:proofErr w:type="spellEnd"/>
      <w:r w:rsidR="007A7D9C" w:rsidRPr="007A7D9C">
        <w:rPr>
          <w:rFonts w:ascii="Calibri" w:hAnsi="Calibri" w:cs="Calibri"/>
        </w:rPr>
        <w:t xml:space="preserve"> Ghimire,</w:t>
      </w:r>
      <w:r w:rsidR="007A7D9C">
        <w:rPr>
          <w:rFonts w:ascii="Calibri" w:hAnsi="Calibri" w:cs="Calibri"/>
        </w:rPr>
        <w:t xml:space="preserve"> </w:t>
      </w:r>
      <w:r w:rsidR="007A7D9C" w:rsidRPr="007A7D9C">
        <w:rPr>
          <w:rFonts w:ascii="Calibri" w:hAnsi="Calibri" w:cs="Calibri"/>
        </w:rPr>
        <w:t>Karen E Callahan,</w:t>
      </w:r>
      <w:r w:rsidR="007A7D9C">
        <w:rPr>
          <w:rFonts w:ascii="Calibri" w:hAnsi="Calibri" w:cs="Calibri"/>
        </w:rPr>
        <w:t xml:space="preserve"> </w:t>
      </w:r>
      <w:r w:rsidR="007A7D9C" w:rsidRPr="007A7D9C">
        <w:rPr>
          <w:rFonts w:ascii="Calibri" w:hAnsi="Calibri" w:cs="Calibri"/>
        </w:rPr>
        <w:t>Binaya Kumar Baral</w:t>
      </w:r>
      <w:r w:rsidR="007A7D9C">
        <w:rPr>
          <w:rFonts w:ascii="Calibri" w:hAnsi="Calibri" w:cs="Calibri"/>
        </w:rPr>
        <w:t xml:space="preserve"> and </w:t>
      </w:r>
      <w:r w:rsidR="007A7D9C" w:rsidRPr="007A7D9C">
        <w:rPr>
          <w:rFonts w:ascii="Calibri" w:hAnsi="Calibri" w:cs="Calibri"/>
        </w:rPr>
        <w:t>Krishna C Poudel</w:t>
      </w:r>
      <w:r w:rsidR="009525C0" w:rsidRPr="009525C0">
        <w:rPr>
          <w:rFonts w:ascii="Calibri" w:hAnsi="Calibri" w:cs="Calibri"/>
        </w:rPr>
        <w:t>, ‘Practice and Lived Experience of Menstrual Exi</w:t>
      </w:r>
      <w:r w:rsidR="007A7D9C">
        <w:rPr>
          <w:rFonts w:ascii="Calibri" w:hAnsi="Calibri" w:cs="Calibri"/>
        </w:rPr>
        <w:t>l</w:t>
      </w:r>
      <w:r w:rsidR="009525C0" w:rsidRPr="009525C0">
        <w:rPr>
          <w:rFonts w:ascii="Calibri" w:hAnsi="Calibri" w:cs="Calibri"/>
        </w:rPr>
        <w:t>es (</w:t>
      </w:r>
      <w:proofErr w:type="spellStart"/>
      <w:r w:rsidR="009525C0" w:rsidRPr="009525C0">
        <w:rPr>
          <w:rFonts w:ascii="Calibri" w:hAnsi="Calibri" w:cs="Calibri"/>
        </w:rPr>
        <w:t>Chhaupadi</w:t>
      </w:r>
      <w:proofErr w:type="spellEnd"/>
      <w:r w:rsidR="009525C0" w:rsidRPr="009525C0">
        <w:rPr>
          <w:rFonts w:ascii="Calibri" w:hAnsi="Calibri" w:cs="Calibri"/>
        </w:rPr>
        <w:t xml:space="preserve">) among Adolescent Girls in Far-Western Nepal’ (2018) 13(12) </w:t>
      </w:r>
      <w:proofErr w:type="spellStart"/>
      <w:r w:rsidR="009525C0" w:rsidRPr="009525C0">
        <w:rPr>
          <w:rFonts w:ascii="Calibri" w:hAnsi="Calibri" w:cs="Calibri"/>
          <w:i/>
          <w:iCs/>
        </w:rPr>
        <w:t>PLoS</w:t>
      </w:r>
      <w:proofErr w:type="spellEnd"/>
      <w:r w:rsidR="009525C0" w:rsidRPr="009525C0">
        <w:rPr>
          <w:rFonts w:ascii="Calibri" w:hAnsi="Calibri" w:cs="Calibri"/>
          <w:i/>
          <w:iCs/>
        </w:rPr>
        <w:t xml:space="preserve"> ONE</w:t>
      </w:r>
      <w:r w:rsidR="009525C0" w:rsidRPr="009525C0">
        <w:rPr>
          <w:rFonts w:ascii="Calibri" w:hAnsi="Calibri" w:cs="Calibri"/>
        </w:rPr>
        <w:t xml:space="preserve"> 1; Basnet Bista and Sharma</w:t>
      </w:r>
      <w:r w:rsidR="002C22BD">
        <w:rPr>
          <w:rFonts w:ascii="Calibri" w:hAnsi="Calibri" w:cs="Calibri"/>
        </w:rPr>
        <w:t>, ibid</w:t>
      </w:r>
      <w:r w:rsidR="009525C0" w:rsidRPr="009525C0">
        <w:rPr>
          <w:rFonts w:ascii="Calibri" w:hAnsi="Calibri" w:cs="Calibri"/>
        </w:rPr>
        <w:t xml:space="preserve">; Janak Rai, </w:t>
      </w:r>
      <w:r w:rsidR="009525C0" w:rsidRPr="009525C0">
        <w:rPr>
          <w:rFonts w:ascii="Calibri" w:hAnsi="Calibri" w:cs="Calibri"/>
          <w:i/>
          <w:iCs/>
        </w:rPr>
        <w:t>Harmful Practices in Nepal: Report on Community Perceptions</w:t>
      </w:r>
      <w:r w:rsidR="009525C0" w:rsidRPr="009525C0">
        <w:rPr>
          <w:rFonts w:ascii="Calibri" w:hAnsi="Calibri" w:cs="Calibri"/>
        </w:rPr>
        <w:t xml:space="preserve"> (United Nations Nepal, 2020); Krista Billingsley, ‘Intersectionality as Locality: Children and Transitional Justice in Nepal’ (2018) 12(1) </w:t>
      </w:r>
      <w:r w:rsidR="009525C0" w:rsidRPr="009525C0">
        <w:rPr>
          <w:rFonts w:ascii="Calibri" w:hAnsi="Calibri" w:cs="Calibri"/>
          <w:i/>
          <w:iCs/>
        </w:rPr>
        <w:t>International Journal of Transitional Justice</w:t>
      </w:r>
      <w:r w:rsidR="009525C0" w:rsidRPr="009525C0">
        <w:rPr>
          <w:rFonts w:ascii="Calibri" w:hAnsi="Calibri" w:cs="Calibri"/>
        </w:rPr>
        <w:t xml:space="preserve"> 64.</w:t>
      </w:r>
      <w:r w:rsidR="00347145" w:rsidRPr="00676B56">
        <w:rPr>
          <w:rFonts w:cstheme="minorHAnsi"/>
        </w:rPr>
        <w:fldChar w:fldCharType="end"/>
      </w:r>
    </w:p>
  </w:footnote>
  <w:footnote w:id="29">
    <w:p w14:paraId="095D1E23" w14:textId="5DFD4A44" w:rsidR="00461E64" w:rsidRPr="00676B56" w:rsidRDefault="00461E64"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Female 9</w:t>
      </w:r>
      <w:r w:rsidR="00C94553" w:rsidRPr="00676B56">
        <w:rPr>
          <w:rFonts w:cstheme="minorHAnsi"/>
        </w:rPr>
        <w:t xml:space="preserve"> year</w:t>
      </w:r>
      <w:r w:rsidR="00DB21FF" w:rsidRPr="00676B56">
        <w:rPr>
          <w:rFonts w:cstheme="minorHAnsi"/>
        </w:rPr>
        <w:t>s</w:t>
      </w:r>
      <w:r w:rsidR="00652B09">
        <w:rPr>
          <w:rFonts w:cstheme="minorHAnsi"/>
        </w:rPr>
        <w:t xml:space="preserve"> </w:t>
      </w:r>
      <w:r w:rsidR="00C94553" w:rsidRPr="00676B56">
        <w:rPr>
          <w:rFonts w:cstheme="minorHAnsi"/>
        </w:rPr>
        <w:t>old</w:t>
      </w:r>
      <w:r w:rsidRPr="00676B56">
        <w:rPr>
          <w:rFonts w:cstheme="minorHAnsi"/>
        </w:rPr>
        <w:t xml:space="preserve">, Focus Group Discussion with participants aged 9-11 </w:t>
      </w:r>
      <w:r w:rsidR="00C94553" w:rsidRPr="00676B56">
        <w:rPr>
          <w:rFonts w:cstheme="minorHAnsi"/>
        </w:rPr>
        <w:t>years</w:t>
      </w:r>
      <w:r w:rsidR="00652B09">
        <w:rPr>
          <w:rFonts w:cstheme="minorHAnsi"/>
        </w:rPr>
        <w:t xml:space="preserve"> </w:t>
      </w:r>
      <w:r w:rsidR="00C94553" w:rsidRPr="00676B56">
        <w:rPr>
          <w:rFonts w:cstheme="minorHAnsi"/>
        </w:rPr>
        <w:t>old</w:t>
      </w:r>
      <w:r w:rsidRPr="00676B56">
        <w:rPr>
          <w:rFonts w:cstheme="minorHAnsi"/>
        </w:rPr>
        <w:t xml:space="preserve">, Kathmandu, 2019. </w:t>
      </w:r>
    </w:p>
  </w:footnote>
  <w:footnote w:id="30">
    <w:p w14:paraId="07E0F2C9" w14:textId="3B24A2D5" w:rsidR="00D841CD" w:rsidRPr="00676B56" w:rsidRDefault="00D841CD"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25DA6">
        <w:rPr>
          <w:rFonts w:cstheme="minorHAnsi"/>
        </w:rPr>
        <w:instrText xml:space="preserve"> ADDIN ZOTERO_ITEM CSL_CITATION {"citationID":"6PWn7nKW","properties":{"formattedCitation":"Laura Lundy and Lesley McEvoy, \\uc0\\u8216{}Childhood, the United Nations Convention on the Rights of the Child and Research: What Constitutes a \\uc0\\u8220{}Rights-Based\\uc0\\u8221{} Approach?\\uc0\\u8217{} in M Freeman (ed), {\\i{}Law and Childhood Studies: Current Legal Issues} (Oxford University Press, 2012); Laura Lundy, \\uc0\\u8216{}\\uc0\\u8220{}Voice\\uc0\\u8221{} Is Not Enough: Conceptualising Article 12 of the United Nations Convention on the Rights of the Child\\uc0\\u8217{} (2007) 33(6) {\\i{}British Educational Research Journal} 927.","plainCitation":"Laura Lundy and Lesley McEvoy, ‘Childhood, the United Nations Convention on the Rights of the Child and Research: What Constitutes a “Rights-Based” Approach?’ in M Freeman (ed), Law and Childhood Studies: Current Legal Issues (Oxford University Press, 2012); Laura Lundy, ‘“Voice” Is Not Enough: Conceptualising Article 12 of the United Nations Convention on the Rights of the Child’ (2007) 33(6) British Educational Research Journal 927.","dontUpdate":true,"noteIndex":31},"citationItems":[{"id":2304,"uris":["http://zotero.org/users/9699311/items/AT5JS5SC"],"itemData":{"id":2304,"type":"chapter","abstract":"This chapter adds to the discussion about the relationship between the United Nations Convention on the Rights of the Child and childhood research by exploring what the application of a 'human rights-based approach', as commonly understood in the international human rights community, would mean if implemented systematically in the context of research with children. The implications of this are explored in relation to the three key chronological research stages: framing, conducting, and disseminating children's rights-based research. However, before drawing out the features of such research, it is necessary to define first what it is we understand by the term 'rights-based'.","container-title":"Law and Childhood Studies: Current Legal Issues","event-place":"Oxford","ISBN":"978-0-19-173921-7","note":"DOI: 10.1093/acprof:oso/9780199652501.003.0006","publisher":"Oxford University Press","publisher-place":"Oxford","title":"Childhood, the United Nations Convention on the Rights of the Child and Research: What Constitutes a 'Rights-Based' Approach?","author":[{"family":"Lundy","given":"Laura"},{"family":"McEvoy","given":"Lesley"}],"editor":[{"family":"Freeman","given":"M"}],"issued":{"date-parts":[["2012"]]}}},{"id":2378,"uris":["http://zotero.org/users/9699311/items/QUZN3JKK"],"itemData":{"id":2378,"type":"article-journal","abstract":"This article provides a children's rights critique of the concept of 'pupil voice'. The analysis is founded on Article 12 of the United Nations Convention on the Rights of the Child, which gives children the right to have their views given due weight in all matters affecting them. Drawing on research conducted on behalf of the Northern Ireland Commissioner for Children and Young People, the article assesses some of the barriers to the meaningful and effective implementation of the right within education. It is argued that the phrases which are commonly used as abbreviations for Article 12, such as 'pupil voice', have the potential to diminish its impact as they provide an imperfect summary of the full extent of the obligation. The article proposes a new model, which has four key elements, for conceptualising Article 12 - Space, Voice, Audience and Influence.","container-title":"British Educational Research Journal","DOI":"10.1080/01411920701657033","ISSN":"01411926","issue":"6","note":"ISBN: 0141192070","page":"927-942","title":"'Voice' is not enough: Conceptualising Article 12 of the United Nations Convention on the Rights of the Child","volume":"33","author":[{"family":"Lundy","given":"Laura"}],"issued":{"date-parts":[["2007"]]}}}],"schema":"https://github.com/citation-style-language/schema/raw/master/csl-citation.json"} </w:instrText>
      </w:r>
      <w:r w:rsidRPr="00676B56">
        <w:rPr>
          <w:rFonts w:cstheme="minorHAnsi"/>
        </w:rPr>
        <w:fldChar w:fldCharType="separate"/>
      </w:r>
      <w:r w:rsidR="00BE5CF4" w:rsidRPr="00676B56">
        <w:rPr>
          <w:rFonts w:cstheme="minorHAnsi"/>
        </w:rPr>
        <w:t>Laura Lundy and Lesley McEvoy, ‘Childhood, the United Nations Convention on the Rights of the Child and Research: What Constitutes a “Rights-Based” Approach?’ in M</w:t>
      </w:r>
      <w:r w:rsidR="007A7D9C">
        <w:rPr>
          <w:rFonts w:cstheme="minorHAnsi"/>
        </w:rPr>
        <w:t>ichael</w:t>
      </w:r>
      <w:r w:rsidR="00BE5CF4" w:rsidRPr="00676B56">
        <w:rPr>
          <w:rFonts w:cstheme="minorHAnsi"/>
        </w:rPr>
        <w:t xml:space="preserve"> Freeman (ed), </w:t>
      </w:r>
      <w:r w:rsidR="00BE5CF4" w:rsidRPr="00676B56">
        <w:rPr>
          <w:rFonts w:cstheme="minorHAnsi"/>
          <w:i/>
          <w:iCs/>
        </w:rPr>
        <w:t>Law and Childhood Studies: Current Legal Issues</w:t>
      </w:r>
      <w:r w:rsidR="00BE5CF4" w:rsidRPr="00676B56">
        <w:rPr>
          <w:rFonts w:cstheme="minorHAnsi"/>
        </w:rPr>
        <w:t xml:space="preserve"> (Oxford University Press, 2012); Laura Lundy, ‘“Voice” Is Not Enough: Conceptualising Article 12 of the United Nations Convention on the Rights of the Child’ (2007) 33(6) </w:t>
      </w:r>
      <w:r w:rsidR="00BE5CF4" w:rsidRPr="00676B56">
        <w:rPr>
          <w:rFonts w:cstheme="minorHAnsi"/>
          <w:i/>
          <w:iCs/>
        </w:rPr>
        <w:t>British Educational Research Journal</w:t>
      </w:r>
      <w:r w:rsidR="00BE5CF4" w:rsidRPr="00676B56">
        <w:rPr>
          <w:rFonts w:cstheme="minorHAnsi"/>
        </w:rPr>
        <w:t xml:space="preserve"> 927.</w:t>
      </w:r>
      <w:r w:rsidRPr="00676B56">
        <w:rPr>
          <w:rFonts w:cstheme="minorHAnsi"/>
        </w:rPr>
        <w:fldChar w:fldCharType="end"/>
      </w:r>
    </w:p>
  </w:footnote>
  <w:footnote w:id="31">
    <w:p w14:paraId="5BCECBEE" w14:textId="3639AD78" w:rsidR="00D841CD" w:rsidRPr="00676B56" w:rsidRDefault="00D841CD"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25DA6">
        <w:rPr>
          <w:rFonts w:cstheme="minorHAnsi"/>
        </w:rPr>
        <w:instrText xml:space="preserve"> ADDIN ZOTERO_ITEM CSL_CITATION {"citationID":"eA4syybX","properties":{"formattedCitation":"Lundy and McEvoy (n 31) 77.","plainCitation":"Lundy and McEvoy (n 31) 77.","noteIndex":32},"citationItems":[{"id":2304,"uris":["http://zotero.org/users/9699311/items/AT5JS5SC"],"itemData":{"id":2304,"type":"chapter","abstract":"This chapter adds to the discussion about the relationship between the United Nations Convention on the Rights of the Child and childhood research by exploring what the application of a 'human rights-based approach', as commonly understood in the international human rights community, would mean if implemented systematically in the context of research with children. The implications of this are explored in relation to the three key chronological research stages: framing, conducting, and disseminating children's rights-based research. However, before drawing out the features of such research, it is necessary to define first what it is we understand by the term 'rights-based'.","container-title":"Law and Childhood Studies: Current Legal Issues","event-place":"Oxford","ISBN":"978-0-19-173921-7","note":"DOI: 10.1093/acprof:oso/9780199652501.003.0006","publisher":"Oxford University Press","publisher-place":"Oxford","title":"Childhood, the United Nations Convention on the Rights of the Child and Research: What Constitutes a 'Rights-Based' Approach?","author":[{"family":"Lundy","given":"Laura"},{"family":"McEvoy","given":"Lesley"}],"editor":[{"family":"Freeman","given":"M"}],"issued":{"date-parts":[["2012"]]}},"locator":"77","label":"page"}],"schema":"https://github.com/citation-style-language/schema/raw/master/csl-citation.json"} </w:instrText>
      </w:r>
      <w:r w:rsidRPr="00676B56">
        <w:rPr>
          <w:rFonts w:cstheme="minorHAnsi"/>
        </w:rPr>
        <w:fldChar w:fldCharType="separate"/>
      </w:r>
      <w:r w:rsidR="00625DA6" w:rsidRPr="00625DA6">
        <w:rPr>
          <w:rFonts w:ascii="Calibri" w:hAnsi="Calibri" w:cs="Calibri"/>
        </w:rPr>
        <w:t>Lundy and McEvoy</w:t>
      </w:r>
      <w:r w:rsidR="00860EB2">
        <w:rPr>
          <w:rFonts w:ascii="Calibri" w:hAnsi="Calibri" w:cs="Calibri"/>
        </w:rPr>
        <w:t>, ibid</w:t>
      </w:r>
      <w:r w:rsidR="00625DA6" w:rsidRPr="00625DA6">
        <w:rPr>
          <w:rFonts w:ascii="Calibri" w:hAnsi="Calibri" w:cs="Calibri"/>
        </w:rPr>
        <w:t xml:space="preserve"> 77.</w:t>
      </w:r>
      <w:r w:rsidRPr="00676B56">
        <w:rPr>
          <w:rFonts w:cstheme="minorHAnsi"/>
        </w:rPr>
        <w:fldChar w:fldCharType="end"/>
      </w:r>
    </w:p>
  </w:footnote>
  <w:footnote w:id="32">
    <w:p w14:paraId="27724B2B" w14:textId="0380B753" w:rsidR="00D841CD" w:rsidRPr="00676B56" w:rsidRDefault="00D841CD"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25DA6">
        <w:rPr>
          <w:rFonts w:cstheme="minorHAnsi"/>
        </w:rPr>
        <w:instrText xml:space="preserve"> ADDIN ZOTERO_ITEM CSL_CITATION {"citationID":"atATUKGL","properties":{"formattedCitation":"Jennifer Skattebol et al, {\\i{}Making a Difference: Building on Young People\\uc0\\u8217{}s Experiences of Economic Adversity} (Social Policy Research Centre, UNSW, 2012) 3.","plainCitation":"Jennifer Skattebol et al, Making a Difference: Building on Young People’s Experiences of Economic Adversity (Social Policy Research Centre, UNSW, 2012) 3.","dontUpdate":true,"noteIndex":33},"citationItems":[{"id":2299,"uris":["http://zotero.org/users/9699311/items/YQ7XY8AI"],"itemData":{"id":2299,"type":"book","abstract":"The Making a Difference Project was designed to explore the perceptions of children and young people (aged between 11 and 17 years) who experience economic adversity in order to understand what it means to them, how they experience exclusion in the family, at school, and in the communities where they live, and identify what services they think can make a difference. The project adopted a rights perspective which emphasises the importance not only of listening to children, but of using their perspectives in making decisions on matters affecting them. Over 130 interviews with children and their parents, and with teachers and service providers were analysed to explore implications for the quality, design and delivery of social, educational and other services available to young people facing economic adversity. Key themes identified in recent international research guided the development of the project and influenced how the interviews with the children and young people were conducted and how the data they produced were analysed.","event-place":"Sydney","ISBN":"978-0-7334-3172-2","note":"container-title: Social Policy Research Center Report Series\nissue: August","number-of-pages":"1-197","publisher":"Social Policy Research Centre, UNSW","publisher-place":"Sydney","title":"Making a Difference: Building on Young People’s Experiences of Economic Adversity","author":[{"family":"Skattebol","given":"Jennifer"},{"family":"Saunders","given":"Peter"},{"family":"Redmond","given":"Gerry"},{"family":"Bedford","given":"Megan"},{"family":"Cass","given":"Bettina"},{"family":"Jennifer Skattebol Gerry Redmond Megan Bedford and Bettina Cass","given":"Peter Saunders"}],"issued":{"date-parts":[["2012"]]}},"locator":"3","label":"page"}],"schema":"https://github.com/citation-style-language/schema/raw/master/csl-citation.json"} </w:instrText>
      </w:r>
      <w:r w:rsidRPr="00676B56">
        <w:rPr>
          <w:rFonts w:cstheme="minorHAnsi"/>
        </w:rPr>
        <w:fldChar w:fldCharType="separate"/>
      </w:r>
      <w:r w:rsidRPr="00676B56">
        <w:rPr>
          <w:rFonts w:cstheme="minorHAnsi"/>
        </w:rPr>
        <w:t xml:space="preserve">Jennifer </w:t>
      </w:r>
      <w:proofErr w:type="spellStart"/>
      <w:r w:rsidRPr="00676B56">
        <w:rPr>
          <w:rFonts w:cstheme="minorHAnsi"/>
        </w:rPr>
        <w:t>Skattebol</w:t>
      </w:r>
      <w:proofErr w:type="spellEnd"/>
      <w:r w:rsidR="007A7D9C">
        <w:rPr>
          <w:rFonts w:cstheme="minorHAnsi"/>
        </w:rPr>
        <w:t>,</w:t>
      </w:r>
      <w:r w:rsidRPr="00676B56">
        <w:rPr>
          <w:rFonts w:cstheme="minorHAnsi"/>
        </w:rPr>
        <w:t xml:space="preserve"> </w:t>
      </w:r>
      <w:r w:rsidR="007A7D9C" w:rsidRPr="007A7D9C">
        <w:rPr>
          <w:rFonts w:cstheme="minorHAnsi"/>
        </w:rPr>
        <w:t>Peter Saunders, Gerry Redmond, Megan Bedford and</w:t>
      </w:r>
      <w:r w:rsidR="007A7D9C">
        <w:rPr>
          <w:rFonts w:cstheme="minorHAnsi"/>
        </w:rPr>
        <w:t xml:space="preserve"> </w:t>
      </w:r>
      <w:r w:rsidR="007A7D9C" w:rsidRPr="007A7D9C">
        <w:rPr>
          <w:rFonts w:cstheme="minorHAnsi"/>
        </w:rPr>
        <w:t>Bettina Cass</w:t>
      </w:r>
      <w:r w:rsidRPr="00676B56">
        <w:rPr>
          <w:rFonts w:cstheme="minorHAnsi"/>
        </w:rPr>
        <w:t xml:space="preserve">et, </w:t>
      </w:r>
      <w:r w:rsidRPr="00676B56">
        <w:rPr>
          <w:rFonts w:cstheme="minorHAnsi"/>
          <w:i/>
          <w:iCs/>
        </w:rPr>
        <w:t>Making a Difference: Building on Young People’s Experiences of Economic Adversity</w:t>
      </w:r>
      <w:r w:rsidRPr="00676B56">
        <w:rPr>
          <w:rFonts w:cstheme="minorHAnsi"/>
        </w:rPr>
        <w:t xml:space="preserve"> (Social Policy Research Centre, UNSW, 2012) 3.</w:t>
      </w:r>
      <w:r w:rsidRPr="00676B56">
        <w:rPr>
          <w:rFonts w:cstheme="minorHAnsi"/>
        </w:rPr>
        <w:fldChar w:fldCharType="end"/>
      </w:r>
    </w:p>
  </w:footnote>
  <w:footnote w:id="33">
    <w:p w14:paraId="0BA2E5AC" w14:textId="0A93752C" w:rsidR="00A33845" w:rsidRPr="00676B56" w:rsidRDefault="00A33845"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25DA6">
        <w:rPr>
          <w:rFonts w:cstheme="minorHAnsi"/>
        </w:rPr>
        <w:instrText xml:space="preserve"> ADDIN ZOTERO_ITEM CSL_CITATION {"citationID":"dS5TTTJn","properties":{"formattedCitation":"John Barker and Susie Weller, \\uc0\\u8216{}\\uc0\\u8220{}Is It Fun?\\uc0\\u8221{} Developing Children Centred Research Methods\\uc0\\u8217{} (2003) 23(1/2) {\\i{}International Journal of Sociology and Social Policy} 33, 33.","plainCitation":"John Barker and Susie Weller, ‘“Is It Fun?” Developing Children Centred Research Methods’ (2003) 23(1/2) International Journal of Sociology and Social Policy 33, 33.","noteIndex":34},"citationItems":[{"id":1454,"uris":["http://zotero.org/users/9699311/items/I3JUT6R4"],"itemData":{"id":1454,"type":"article-journal","container-title":"International Journal of Sociology and Social Policy","ISSN":"0144-333X","issue":"1/2","page":"33-58","title":"“Is It Fun?” Developing Children Centred Research Methods","volume":"23","author":[{"family":"Barker","given":"John"},{"family":"Weller","given":"Susie"}],"issued":{"date-parts":[["2003"]]}},"locator":"33","label":"page"}],"schema":"https://github.com/citation-style-language/schema/raw/master/csl-citation.json"} </w:instrText>
      </w:r>
      <w:r w:rsidRPr="00676B56">
        <w:rPr>
          <w:rFonts w:cstheme="minorHAnsi"/>
        </w:rPr>
        <w:fldChar w:fldCharType="separate"/>
      </w:r>
      <w:r w:rsidRPr="00676B56">
        <w:rPr>
          <w:rFonts w:cstheme="minorHAnsi"/>
        </w:rPr>
        <w:t xml:space="preserve">John Barker and Susie Weller, ‘“Is It Fun?” Developing Children Centred Research Methods’ (2003) 23(1/2) </w:t>
      </w:r>
      <w:r w:rsidRPr="00676B56">
        <w:rPr>
          <w:rFonts w:cstheme="minorHAnsi"/>
          <w:i/>
          <w:iCs/>
        </w:rPr>
        <w:t>International Journal of Sociology and Social Policy</w:t>
      </w:r>
      <w:r w:rsidRPr="00676B56">
        <w:rPr>
          <w:rFonts w:cstheme="minorHAnsi"/>
        </w:rPr>
        <w:t xml:space="preserve"> 33, 33.</w:t>
      </w:r>
      <w:r w:rsidRPr="00676B56">
        <w:rPr>
          <w:rFonts w:cstheme="minorHAnsi"/>
        </w:rPr>
        <w:fldChar w:fldCharType="end"/>
      </w:r>
    </w:p>
  </w:footnote>
  <w:footnote w:id="34">
    <w:p w14:paraId="2F8F70F8" w14:textId="58C8B6A0" w:rsidR="00E10039" w:rsidRPr="00676B56" w:rsidRDefault="00E10039"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25DA6">
        <w:rPr>
          <w:rFonts w:cstheme="minorHAnsi"/>
        </w:rPr>
        <w:instrText xml:space="preserve"> ADDIN ZOTERO_ITEM CSL_CITATION {"citationID":"WC1P9kyO","properties":{"formattedCitation":"Doel-Mackaway (n 3) Chapter 6.","plainCitation":"Doel-Mackaway (n 3) Chapter 6.","noteIndex":35},"citationItems":[{"id":1341,"uris":["http://zotero.org/users/9699311/items/RQ8MC47F"],"itemData":{"id":1341,"type":"book","abstract":"\"This book presents a model for reforming and developing Indigenous related legislation and policy, not only in Australia, but also in other jurisdictions. The model provides guidance about how to seek, listen to and respond to the voices of Indigenous children and young people. The participation of Indigenous children and young people, when carried out in a culturally and age-appropriate way and based on free, prior and informed consent, is an invaluable resource capable of empowering children and young people and informing Indigenous related legislation and policy. This project contributes to the emerging field of robust, ethically sound, participatory research with Indigenous children and young people and proposes ways in which Australian and international legislators and policy makers can implement the principle of children's participation by involving Aboriginal children and young people in the development of law and policy pertaining to their lives. This book provides accounts from Aboriginal children and young people detailing their views on how they can be involved in law and policy development in the future. It shows the latest state of knowledge on the topic and will be of interest to researchers, academics, policymakers, legislators, and students in the fields of human rights law, children's rights, participation rights, Indigenous peoples law, and family, child and social welfare law\"--","call-number":"K3248.C55","collection-title":"Routledge research in human rights law","event-place":"New York","ISBN":"978-1-315-12391-2","language":"en","number-of-pages":"1","publisher":"Routledge Taylor &amp; Francis Group","publisher-place":"New York","source":"Library of Congress ISBN","title":"Indigenous children's right to participate in law and policy development","author":[{"family":"Doel-Mackaway","given":"Holly"}],"issued":{"date-parts":[["2022"]]}},"locator":"Chapter 6","label":"chapter"}],"schema":"https://github.com/citation-style-language/schema/raw/master/csl-citation.json"} </w:instrText>
      </w:r>
      <w:r w:rsidRPr="00676B56">
        <w:rPr>
          <w:rFonts w:cstheme="minorHAnsi"/>
        </w:rPr>
        <w:fldChar w:fldCharType="separate"/>
      </w:r>
      <w:r w:rsidR="003102BE" w:rsidRPr="00676B56">
        <w:rPr>
          <w:rFonts w:cstheme="minorHAnsi"/>
        </w:rPr>
        <w:t>Doel-</w:t>
      </w:r>
      <w:proofErr w:type="spellStart"/>
      <w:r w:rsidR="003102BE" w:rsidRPr="00676B56">
        <w:rPr>
          <w:rFonts w:cstheme="minorHAnsi"/>
        </w:rPr>
        <w:t>Mackaway</w:t>
      </w:r>
      <w:proofErr w:type="spellEnd"/>
      <w:r w:rsidR="003102BE" w:rsidRPr="00676B56">
        <w:rPr>
          <w:rFonts w:cstheme="minorHAnsi"/>
        </w:rPr>
        <w:t xml:space="preserve"> (n </w:t>
      </w:r>
      <w:r w:rsidR="008B6A8D">
        <w:rPr>
          <w:rFonts w:cstheme="minorHAnsi"/>
        </w:rPr>
        <w:t>1</w:t>
      </w:r>
      <w:r w:rsidR="003102BE" w:rsidRPr="00676B56">
        <w:rPr>
          <w:rFonts w:cstheme="minorHAnsi"/>
        </w:rPr>
        <w:t>) Chapter 6.</w:t>
      </w:r>
      <w:r w:rsidRPr="00676B56">
        <w:rPr>
          <w:rFonts w:cstheme="minorHAnsi"/>
        </w:rPr>
        <w:fldChar w:fldCharType="end"/>
      </w:r>
    </w:p>
  </w:footnote>
  <w:footnote w:id="35">
    <w:p w14:paraId="59B7E5F3" w14:textId="72C729E6" w:rsidR="00D841CD" w:rsidRPr="00676B56" w:rsidRDefault="00D841CD"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25DA6">
        <w:rPr>
          <w:rFonts w:cstheme="minorHAnsi"/>
        </w:rPr>
        <w:instrText xml:space="preserve"> ADDIN ZOTERO_ITEM CSL_CITATION {"citationID":"C4l4jStf","properties":{"formattedCitation":"Ibid 179.","plainCitation":"Ibid 179.","noteIndex":36},"citationItems":[{"id":1341,"uris":["http://zotero.org/users/9699311/items/RQ8MC47F"],"itemData":{"id":1341,"type":"book","abstract":"\"This book presents a model for reforming and developing Indigenous related legislation and policy, not only in Australia, but also in other jurisdictions. The model provides guidance about how to seek, listen to and respond to the voices of Indigenous children and young people. The participation of Indigenous children and young people, when carried out in a culturally and age-appropriate way and based on free, prior and informed consent, is an invaluable resource capable of empowering children and young people and informing Indigenous related legislation and policy. This project contributes to the emerging field of robust, ethically sound, participatory research with Indigenous children and young people and proposes ways in which Australian and international legislators and policy makers can implement the principle of children's participation by involving Aboriginal children and young people in the development of law and policy pertaining to their lives. This book provides accounts from Aboriginal children and young people detailing their views on how they can be involved in law and policy development in the future. It shows the latest state of knowledge on the topic and will be of interest to researchers, academics, policymakers, legislators, and students in the fields of human rights law, children's rights, participation rights, Indigenous peoples law, and family, child and social welfare law\"--","call-number":"K3248.C55","collection-title":"Routledge research in human rights law","event-place":"New York","ISBN":"978-1-315-12391-2","language":"en","number-of-pages":"1","publisher":"Routledge Taylor &amp; Francis Group","publisher-place":"New York","source":"Library of Congress ISBN","title":"Indigenous children's right to participate in law and policy development","author":[{"family":"Doel-Mackaway","given":"Holly"}],"issued":{"date-parts":[["2022"]]}},"locator":"179","label":"page"}],"schema":"https://github.com/citation-style-language/schema/raw/master/csl-citation.json"} </w:instrText>
      </w:r>
      <w:r w:rsidRPr="00676B56">
        <w:rPr>
          <w:rFonts w:cstheme="minorHAnsi"/>
        </w:rPr>
        <w:fldChar w:fldCharType="separate"/>
      </w:r>
      <w:r w:rsidRPr="00676B56">
        <w:rPr>
          <w:rFonts w:cstheme="minorHAnsi"/>
        </w:rPr>
        <w:t>Ibid 179.</w:t>
      </w:r>
      <w:r w:rsidRPr="00676B56">
        <w:rPr>
          <w:rFonts w:cstheme="minorHAnsi"/>
        </w:rPr>
        <w:fldChar w:fldCharType="end"/>
      </w:r>
    </w:p>
  </w:footnote>
  <w:footnote w:id="36">
    <w:p w14:paraId="75B51C80" w14:textId="6F69D061" w:rsidR="00D46263" w:rsidRPr="00676B56" w:rsidRDefault="00D46263"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25DA6">
        <w:rPr>
          <w:rFonts w:cstheme="minorHAnsi"/>
        </w:rPr>
        <w:instrText xml:space="preserve"> ADDIN ZOTERO_ITEM CSL_CITATION {"citationID":"o0do9OV7","properties":{"formattedCitation":"Lundy (n 31).","plainCitation":"Lundy (n 31).","noteIndex":37},"citationItems":[{"id":2378,"uris":["http://zotero.org/users/9699311/items/QUZN3JKK"],"itemData":{"id":2378,"type":"article-journal","abstract":"This article provides a children's rights critique of the concept of 'pupil voice'. The analysis is founded on Article 12 of the United Nations Convention on the Rights of the Child, which gives children the right to have their views given due weight in all matters affecting them. Drawing on research conducted on behalf of the Northern Ireland Commissioner for Children and Young People, the article assesses some of the barriers to the meaningful and effective implementation of the right within education. It is argued that the phrases which are commonly used as abbreviations for Article 12, such as 'pupil voice', have the potential to diminish its impact as they provide an imperfect summary of the full extent of the obligation. The article proposes a new model, which has four key elements, for conceptualising Article 12 - Space, Voice, Audience and Influence.","container-title":"British Educational Research Journal","DOI":"10.1080/01411920701657033","ISSN":"01411926","issue":"6","note":"ISBN: 0141192070","page":"927-942","title":"'Voice' is not enough: Conceptualising Article 12 of the United Nations Convention on the Rights of the Child","volume":"33","author":[{"family":"Lundy","given":"Laura"}],"issued":{"date-parts":[["2007"]]}}}],"schema":"https://github.com/citation-style-language/schema/raw/master/csl-citation.json"} </w:instrText>
      </w:r>
      <w:r w:rsidRPr="00676B56">
        <w:rPr>
          <w:rFonts w:cstheme="minorHAnsi"/>
        </w:rPr>
        <w:fldChar w:fldCharType="separate"/>
      </w:r>
      <w:r w:rsidR="00625DA6" w:rsidRPr="00625DA6">
        <w:rPr>
          <w:rFonts w:ascii="Calibri" w:hAnsi="Calibri" w:cs="Calibri"/>
        </w:rPr>
        <w:t xml:space="preserve">Lundy (n </w:t>
      </w:r>
      <w:r w:rsidR="008B6A8D">
        <w:rPr>
          <w:rFonts w:ascii="Calibri" w:hAnsi="Calibri" w:cs="Calibri"/>
        </w:rPr>
        <w:t>2</w:t>
      </w:r>
      <w:r w:rsidR="00D41AA7">
        <w:rPr>
          <w:rFonts w:ascii="Calibri" w:hAnsi="Calibri" w:cs="Calibri"/>
        </w:rPr>
        <w:t>8</w:t>
      </w:r>
      <w:r w:rsidR="00625DA6" w:rsidRPr="00625DA6">
        <w:rPr>
          <w:rFonts w:ascii="Calibri" w:hAnsi="Calibri" w:cs="Calibri"/>
        </w:rPr>
        <w:t>).</w:t>
      </w:r>
      <w:r w:rsidRPr="00676B56">
        <w:rPr>
          <w:rFonts w:cstheme="minorHAnsi"/>
        </w:rPr>
        <w:fldChar w:fldCharType="end"/>
      </w:r>
    </w:p>
  </w:footnote>
  <w:footnote w:id="37">
    <w:p w14:paraId="25B7704C" w14:textId="602ECB17" w:rsidR="00D46263" w:rsidRPr="00676B56" w:rsidRDefault="00D46263"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25DA6">
        <w:rPr>
          <w:rFonts w:cstheme="minorHAnsi"/>
        </w:rPr>
        <w:instrText xml:space="preserve"> ADDIN ZOTERO_ITEM CSL_CITATION {"citationID":"cUYUMmvq","properties":{"formattedCitation":"Dawn Bessarab and Bridget Ng\\uc0\\u8217{}andu, \\uc0\\u8216{}Yarning About Yarning as a Legitimate Method in Indigenous Research\\uc0\\u8217{} (2010) 3(1) {\\i{}Journal of Critical Indigenous Studies} 37.","plainCitation":"Dawn Bessarab and Bridget Ng’andu, ‘Yarning About Yarning as a Legitimate Method in Indigenous Research’ (2010) 3(1) Journal of Critical Indigenous Studies 37.","noteIndex":38},"citationItems":[{"id":1464,"uris":["http://zotero.org/users/9699311/items/P22LEG58"],"itemData":{"id":1464,"type":"article-journal","container-title":"Journal of Critical Indigenous Studies","issue":"1","page":"37-50","title":"Yarning About Yarning as a Legitimate Method in Indigenous Research","volume":"3","author":[{"family":"Bessarab","given":"Dawn"},{"family":"Ng'andu","given":"Bridget"}],"issued":{"date-parts":[["2010"]]}}}],"schema":"https://github.com/citation-style-language/schema/raw/master/csl-citation.json"} </w:instrText>
      </w:r>
      <w:r w:rsidRPr="00676B56">
        <w:rPr>
          <w:rFonts w:cstheme="minorHAnsi"/>
        </w:rPr>
        <w:fldChar w:fldCharType="separate"/>
      </w:r>
      <w:r w:rsidRPr="00676B56">
        <w:rPr>
          <w:rFonts w:cstheme="minorHAnsi"/>
        </w:rPr>
        <w:t xml:space="preserve">Dawn </w:t>
      </w:r>
      <w:proofErr w:type="spellStart"/>
      <w:r w:rsidRPr="00676B56">
        <w:rPr>
          <w:rFonts w:cstheme="minorHAnsi"/>
        </w:rPr>
        <w:t>Bessarab</w:t>
      </w:r>
      <w:proofErr w:type="spellEnd"/>
      <w:r w:rsidRPr="00676B56">
        <w:rPr>
          <w:rFonts w:cstheme="minorHAnsi"/>
        </w:rPr>
        <w:t xml:space="preserve"> and Bridget Ng’andu, ‘Yarning About Yarning as a Legitimate Method in Indigenous Research’ (2010) 3(1) </w:t>
      </w:r>
      <w:r w:rsidRPr="00676B56">
        <w:rPr>
          <w:rFonts w:cstheme="minorHAnsi"/>
          <w:i/>
          <w:iCs/>
        </w:rPr>
        <w:t>Journal of Critical Indigenous Studies</w:t>
      </w:r>
      <w:r w:rsidRPr="00676B56">
        <w:rPr>
          <w:rFonts w:cstheme="minorHAnsi"/>
        </w:rPr>
        <w:t xml:space="preserve"> 37.</w:t>
      </w:r>
      <w:r w:rsidRPr="00676B56">
        <w:rPr>
          <w:rFonts w:cstheme="minorHAnsi"/>
        </w:rPr>
        <w:fldChar w:fldCharType="end"/>
      </w:r>
    </w:p>
  </w:footnote>
  <w:footnote w:id="38">
    <w:p w14:paraId="2AA851DB" w14:textId="29B4B7E1" w:rsidR="00D46263" w:rsidRPr="00676B56" w:rsidRDefault="00D46263"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25DA6">
        <w:rPr>
          <w:rFonts w:cstheme="minorHAnsi"/>
        </w:rPr>
        <w:instrText xml:space="preserve"> ADDIN ZOTERO_ITEM CSL_CITATION {"citationID":"HbHYPvHv","properties":{"formattedCitation":"Inge Kral, \\uc0\\u8216{}Plugged In: Remote Australian Indigenous Youth and Digital Culture\\uc0\\u8217{} {\\i{}(Working Paper No 69/2010, Centre for Aboriginal Economic Policy Research, May 2010).}","plainCitation":"Inge Kral, ‘Plugged In: Remote Australian Indigenous Youth and Digital Culture’ (Working Paper No 69/2010, Centre for Aboriginal Economic Policy Research, May 2010).","noteIndex":39},"citationItems":[{"id":2506,"uris":["http://zotero.org/users/9699311/items/CVCQ9RB3"],"itemData":{"id":2506,"type":"article-journal","container-title":"(Working Paper No 69/2010, Centre for Aboriginal Economic Policy Research, May 2010).","title":"Plugged In: Remote Australian Indigenous Youth and Digital Culture","author":[{"family":"Kral","given":"Inge"}]}}],"schema":"https://github.com/citation-style-language/schema/raw/master/csl-citation.json"} </w:instrText>
      </w:r>
      <w:r w:rsidRPr="00676B56">
        <w:rPr>
          <w:rFonts w:cstheme="minorHAnsi"/>
        </w:rPr>
        <w:fldChar w:fldCharType="separate"/>
      </w:r>
      <w:r w:rsidRPr="00676B56">
        <w:rPr>
          <w:rFonts w:cstheme="minorHAnsi"/>
        </w:rPr>
        <w:t xml:space="preserve">Inge Kral, </w:t>
      </w:r>
      <w:r w:rsidRPr="00F42125">
        <w:rPr>
          <w:rFonts w:cstheme="minorHAnsi"/>
          <w:i/>
          <w:iCs/>
        </w:rPr>
        <w:t>Plugged In: Remote Australian Indigenous Youth and Digital Culture</w:t>
      </w:r>
      <w:r w:rsidRPr="00676B56">
        <w:rPr>
          <w:rFonts w:cstheme="minorHAnsi"/>
        </w:rPr>
        <w:t xml:space="preserve"> </w:t>
      </w:r>
      <w:r w:rsidRPr="00F42125">
        <w:rPr>
          <w:rFonts w:cstheme="minorHAnsi"/>
        </w:rPr>
        <w:t>(Working Paper No 69/2010, Centre for Aboriginal Economic Policy Research, May 2010)</w:t>
      </w:r>
      <w:r w:rsidRPr="00676B56">
        <w:rPr>
          <w:rFonts w:cstheme="minorHAnsi"/>
          <w:i/>
          <w:iCs/>
        </w:rPr>
        <w:t>.</w:t>
      </w:r>
      <w:r w:rsidRPr="00676B56">
        <w:rPr>
          <w:rFonts w:cstheme="minorHAnsi"/>
        </w:rPr>
        <w:fldChar w:fldCharType="end"/>
      </w:r>
    </w:p>
  </w:footnote>
  <w:footnote w:id="39">
    <w:p w14:paraId="51690238" w14:textId="5052887A" w:rsidR="00AF52AF" w:rsidRPr="00676B56" w:rsidRDefault="00AF52AF"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25DA6">
        <w:rPr>
          <w:rFonts w:cstheme="minorHAnsi"/>
        </w:rPr>
        <w:instrText xml:space="preserve"> ADDIN ZOTERO_ITEM CSL_CITATION {"citationID":"reK6zkTA","properties":{"formattedCitation":"Doel-Mackaway (n 3) Chapter 6.","plainCitation":"Doel-Mackaway (n 3) Chapter 6.","noteIndex":40},"citationItems":[{"id":1341,"uris":["http://zotero.org/users/9699311/items/RQ8MC47F"],"itemData":{"id":1341,"type":"book","abstract":"\"This book presents a model for reforming and developing Indigenous related legislation and policy, not only in Australia, but also in other jurisdictions. The model provides guidance about how to seek, listen to and respond to the voices of Indigenous children and young people. The participation of Indigenous children and young people, when carried out in a culturally and age-appropriate way and based on free, prior and informed consent, is an invaluable resource capable of empowering children and young people and informing Indigenous related legislation and policy. This project contributes to the emerging field of robust, ethically sound, participatory research with Indigenous children and young people and proposes ways in which Australian and international legislators and policy makers can implement the principle of children's participation by involving Aboriginal children and young people in the development of law and policy pertaining to their lives. This book provides accounts from Aboriginal children and young people detailing their views on how they can be involved in law and policy development in the future. It shows the latest state of knowledge on the topic and will be of interest to researchers, academics, policymakers, legislators, and students in the fields of human rights law, children's rights, participation rights, Indigenous peoples law, and family, child and social welfare law\"--","call-number":"K3248.C55","collection-title":"Routledge research in human rights law","event-place":"New York","ISBN":"978-1-315-12391-2","language":"en","number-of-pages":"1","publisher":"Routledge Taylor &amp; Francis Group","publisher-place":"New York","source":"Library of Congress ISBN","title":"Indigenous children's right to participate in law and policy development","author":[{"family":"Doel-Mackaway","given":"Holly"}],"issued":{"date-parts":[["2022"]]}},"locator":"Chapter 6","label":"chapter"}],"schema":"https://github.com/citation-style-language/schema/raw/master/csl-citation.json"} </w:instrText>
      </w:r>
      <w:r w:rsidRPr="00676B56">
        <w:rPr>
          <w:rFonts w:cstheme="minorHAnsi"/>
        </w:rPr>
        <w:fldChar w:fldCharType="separate"/>
      </w:r>
      <w:r w:rsidR="003102BE" w:rsidRPr="00676B56">
        <w:rPr>
          <w:rFonts w:cstheme="minorHAnsi"/>
        </w:rPr>
        <w:t>Doel-</w:t>
      </w:r>
      <w:proofErr w:type="spellStart"/>
      <w:r w:rsidR="003102BE" w:rsidRPr="00676B56">
        <w:rPr>
          <w:rFonts w:cstheme="minorHAnsi"/>
        </w:rPr>
        <w:t>Mackaway</w:t>
      </w:r>
      <w:proofErr w:type="spellEnd"/>
      <w:r w:rsidR="003102BE" w:rsidRPr="00676B56">
        <w:rPr>
          <w:rFonts w:cstheme="minorHAnsi"/>
        </w:rPr>
        <w:t xml:space="preserve"> (n </w:t>
      </w:r>
      <w:r w:rsidR="008B6A8D">
        <w:rPr>
          <w:rFonts w:cstheme="minorHAnsi"/>
        </w:rPr>
        <w:t>1</w:t>
      </w:r>
      <w:r w:rsidR="003102BE" w:rsidRPr="00676B56">
        <w:rPr>
          <w:rFonts w:cstheme="minorHAnsi"/>
        </w:rPr>
        <w:t>) Chapter 6.</w:t>
      </w:r>
      <w:r w:rsidRPr="00676B56">
        <w:rPr>
          <w:rFonts w:cstheme="minorHAnsi"/>
        </w:rPr>
        <w:fldChar w:fldCharType="end"/>
      </w:r>
    </w:p>
  </w:footnote>
  <w:footnote w:id="40">
    <w:p w14:paraId="29C9103C" w14:textId="51AAC9E1" w:rsidR="00072A64" w:rsidRPr="00676B56" w:rsidRDefault="00072A64"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25DA6">
        <w:rPr>
          <w:rFonts w:cstheme="minorHAnsi"/>
        </w:rPr>
        <w:instrText xml:space="preserve"> ADDIN ZOTERO_ITEM CSL_CITATION {"citationID":"j7EDS0Ob","properties":{"formattedCitation":"Ericka Kimball, \\uc0\\u8216{}Edleson Revisited: Reviewing Children\\uc0\\u8217{}s Witnessing of Domestic Violence 15 Years Later\\uc0\\u8217{} (2016) 31 {\\i{}Journal of Family Violence} 625; Katie Lamb, Cathy Humphreys and Kelsey Hegarty, \\uc0\\u8216{}\\uc0\\u8220{}Your Behaviour Has Consequences\\uc0\\u8221{}: Children and Young People\\uc0\\u8217{}s Perspectives on Reparation with Their Fathers after Domestic Violence\\uc0\\u8217{} (2018) 88 {\\i{}Children and Youth Services Review} 164; Maria Eriksson, \\uc0\\u8216{}Children\\uc0\\u8217{}s Voices, Children\\uc0\\u8217{}s Agency and the Development of Knowledge about Children Exposed to Intimate Partner Violence\\uc0\\u8217{} in {\\i{}Interpersonal Violence} (Routledge, 2016) 160.","plainCitation":"Ericka Kimball, ‘Edleson Revisited: Reviewing Children’s Witnessing of Domestic Violence 15 Years Later’ (2016) 31 Journal of Family Violence 625; Katie Lamb, Cathy Humphreys and Kelsey Hegarty, ‘“Your Behaviour Has Consequences”: Children and Young People’s Perspectives on Reparation with Their Fathers after Domestic Violence’ (2018) 88 Children and Youth Services Review 164; Maria Eriksson, ‘Children’s Voices, Children’s Agency and the Development of Knowledge about Children Exposed to Intimate Partner Violence’ in Interpersonal Violence (Routledge, 2016) 160.","noteIndex":41},"citationItems":[{"id":4970,"uris":["http://zotero.org/users/9699311/items/QAGRBICC"],"itemData":{"id":4970,"type":"article-journal","container-title":"Journal of Family Violence","note":"publisher: Springer","page":"625–637","source":"Google Scholar","title":"Edleson revisited: Reviewing children’s witnessing of domestic violence 15 years later","volume":"31","author":[{"family":"Kimball","given":"Ericka"}],"issued":{"date-parts":[["2016"]]}}},{"id":4972,"uris":["http://zotero.org/users/9699311/items/RR4ZKNRI"],"itemData":{"id":4972,"type":"article-journal","container-title":"Children and Youth Services Review","note":"publisher: Elsevier","page":"164–169","source":"Google Scholar","title":"“Your behaviour has consequences”: Children and young people's perspectives on reparation with their fathers after domestic violence","volume":"88","author":[{"family":"Lamb","given":"Katie"},{"family":"Humphreys","given":"Cathy"},{"family":"Hegarty","given":"Kelsey"}],"issued":{"date-parts":[["2018"]]}}},{"id":4974,"uris":["http://zotero.org/users/9699311/items/EH33XVJB"],"itemData":{"id":4974,"type":"chapter","container-title":"Interpersonal Violence","page":"160–172","publisher":"Routledge","source":"Google Scholar","title":"Children’s voices, children’s agency and the development of knowledge about children exposed to intimate partner violence","author":[{"family":"Eriksson","given":"Maria"}],"issued":{"date-parts":[["2016"]]}}}],"schema":"https://github.com/citation-style-language/schema/raw/master/csl-citation.json"} </w:instrText>
      </w:r>
      <w:r w:rsidRPr="00676B56">
        <w:rPr>
          <w:rFonts w:cstheme="minorHAnsi"/>
        </w:rPr>
        <w:fldChar w:fldCharType="separate"/>
      </w:r>
      <w:r w:rsidR="00312ABF" w:rsidRPr="00676B56">
        <w:rPr>
          <w:rFonts w:cstheme="minorHAnsi"/>
        </w:rPr>
        <w:t>Ericka Kimball, ‘</w:t>
      </w:r>
      <w:proofErr w:type="spellStart"/>
      <w:r w:rsidR="00312ABF" w:rsidRPr="00676B56">
        <w:rPr>
          <w:rFonts w:cstheme="minorHAnsi"/>
        </w:rPr>
        <w:t>Edleson</w:t>
      </w:r>
      <w:proofErr w:type="spellEnd"/>
      <w:r w:rsidR="00312ABF" w:rsidRPr="00676B56">
        <w:rPr>
          <w:rFonts w:cstheme="minorHAnsi"/>
        </w:rPr>
        <w:t xml:space="preserve"> Revisited: Reviewing Children’s Witnessing of Domestic Violence 15 Years Later’ (2016) 31 </w:t>
      </w:r>
      <w:r w:rsidR="00312ABF" w:rsidRPr="00676B56">
        <w:rPr>
          <w:rFonts w:cstheme="minorHAnsi"/>
          <w:i/>
          <w:iCs/>
        </w:rPr>
        <w:t>Journal of Family Violence</w:t>
      </w:r>
      <w:r w:rsidR="00312ABF" w:rsidRPr="00676B56">
        <w:rPr>
          <w:rFonts w:cstheme="minorHAnsi"/>
        </w:rPr>
        <w:t xml:space="preserve"> 625; Katie Lamb, Cathy Humphreys and Kelsey Hegarty, ‘“Your Behaviour Has Consequences”: Children and Young People’s Perspectives on Reparation </w:t>
      </w:r>
      <w:r w:rsidR="00A549BE">
        <w:rPr>
          <w:rFonts w:cstheme="minorHAnsi"/>
        </w:rPr>
        <w:t>W</w:t>
      </w:r>
      <w:r w:rsidR="00312ABF" w:rsidRPr="00676B56">
        <w:rPr>
          <w:rFonts w:cstheme="minorHAnsi"/>
        </w:rPr>
        <w:t xml:space="preserve">ith </w:t>
      </w:r>
      <w:r w:rsidR="00A549BE">
        <w:rPr>
          <w:rFonts w:cstheme="minorHAnsi"/>
        </w:rPr>
        <w:t>T</w:t>
      </w:r>
      <w:r w:rsidR="00312ABF" w:rsidRPr="00676B56">
        <w:rPr>
          <w:rFonts w:cstheme="minorHAnsi"/>
        </w:rPr>
        <w:t>heir Fathers</w:t>
      </w:r>
      <w:r w:rsidR="00A549BE">
        <w:rPr>
          <w:rFonts w:cstheme="minorHAnsi"/>
        </w:rPr>
        <w:t xml:space="preserve"> A</w:t>
      </w:r>
      <w:r w:rsidR="00312ABF" w:rsidRPr="00676B56">
        <w:rPr>
          <w:rFonts w:cstheme="minorHAnsi"/>
        </w:rPr>
        <w:t xml:space="preserve">fter Domestic Violence’ (2018) 88 </w:t>
      </w:r>
      <w:r w:rsidR="00312ABF" w:rsidRPr="00676B56">
        <w:rPr>
          <w:rFonts w:cstheme="minorHAnsi"/>
          <w:i/>
          <w:iCs/>
        </w:rPr>
        <w:t>Children and Youth Services Review</w:t>
      </w:r>
      <w:r w:rsidR="00312ABF" w:rsidRPr="00676B56">
        <w:rPr>
          <w:rFonts w:cstheme="minorHAnsi"/>
        </w:rPr>
        <w:t xml:space="preserve"> 164; Maria Eriksson, ‘Children’s Voices, Children’s Agency and the Development of Knowledge about Children Exposed to Intimate Partner Violence’ in </w:t>
      </w:r>
      <w:r w:rsidR="00135357">
        <w:rPr>
          <w:rFonts w:cstheme="minorHAnsi"/>
        </w:rPr>
        <w:t xml:space="preserve">Marita </w:t>
      </w:r>
      <w:proofErr w:type="spellStart"/>
      <w:r w:rsidR="00135357">
        <w:rPr>
          <w:rFonts w:cstheme="minorHAnsi"/>
        </w:rPr>
        <w:t>Husso</w:t>
      </w:r>
      <w:proofErr w:type="spellEnd"/>
      <w:r w:rsidR="00135357">
        <w:rPr>
          <w:rFonts w:cstheme="minorHAnsi"/>
        </w:rPr>
        <w:t xml:space="preserve">, </w:t>
      </w:r>
      <w:r w:rsidR="00EE5A72">
        <w:rPr>
          <w:rFonts w:cstheme="minorHAnsi"/>
        </w:rPr>
        <w:t xml:space="preserve">Tuija Virkki, Marianne </w:t>
      </w:r>
      <w:proofErr w:type="spellStart"/>
      <w:r w:rsidR="00EE5A72">
        <w:rPr>
          <w:rFonts w:cstheme="minorHAnsi"/>
        </w:rPr>
        <w:t>Notko</w:t>
      </w:r>
      <w:proofErr w:type="spellEnd"/>
      <w:r w:rsidR="00EE5A72">
        <w:rPr>
          <w:rFonts w:cstheme="minorHAnsi"/>
        </w:rPr>
        <w:t xml:space="preserve">, </w:t>
      </w:r>
      <w:r w:rsidR="00D263CB">
        <w:rPr>
          <w:rFonts w:cstheme="minorHAnsi"/>
        </w:rPr>
        <w:t xml:space="preserve">Helena Hirvonen and Jari Eilola (eds), </w:t>
      </w:r>
      <w:r w:rsidR="00312ABF" w:rsidRPr="00676B56">
        <w:rPr>
          <w:rFonts w:cstheme="minorHAnsi"/>
          <w:i/>
          <w:iCs/>
        </w:rPr>
        <w:t>Interpersonal Violence</w:t>
      </w:r>
      <w:r w:rsidR="00D263CB">
        <w:rPr>
          <w:rFonts w:cstheme="minorHAnsi"/>
          <w:i/>
          <w:iCs/>
        </w:rPr>
        <w:t>: Differences and Connections</w:t>
      </w:r>
      <w:r w:rsidR="00312ABF" w:rsidRPr="00676B56">
        <w:rPr>
          <w:rFonts w:cstheme="minorHAnsi"/>
        </w:rPr>
        <w:t xml:space="preserve"> (Routledge, 2016) 160.</w:t>
      </w:r>
      <w:r w:rsidRPr="00676B56">
        <w:rPr>
          <w:rFonts w:cstheme="minorHAnsi"/>
        </w:rPr>
        <w:fldChar w:fldCharType="end"/>
      </w:r>
    </w:p>
  </w:footnote>
  <w:footnote w:id="41">
    <w:p w14:paraId="21809F2C" w14:textId="7AFBFEE3" w:rsidR="00072A64" w:rsidRPr="00676B56" w:rsidRDefault="00072A64"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79048E">
        <w:rPr>
          <w:rFonts w:cstheme="minorHAnsi"/>
        </w:rPr>
        <w:instrText xml:space="preserve"> ADDIN ZOTERO_ITEM CSL_CITATION {"citationID":"sUZjBjhB","properties":{"formattedCitation":"Katrin Hohl and Elizabeth A Stanko, \\uc0\\u8216{}Five Pillars: A Framework for Transforming the Police Response to Rape and Sexual Assault\\uc0\\u8217{} (2022) 2(3) {\\i{}International Criminology} 222 (\\uc0\\u8216{}Five Pillars\\uc0\\u8217{}); Andrew Gibbs et al, \\uc0\\u8216{}New Learnings on Drivers of Men\\uc0\\u8217{}s Physical and/or Sexual Violence against Their Female Partners, and Women\\uc0\\u8217{}s Experiences of This, and the Implications for Prevention Interventions\\uc0\\u8217{} (2020) 13(1) {\\i{}Global health action} 1739845.","plainCitation":"Katrin Hohl and Elizabeth A Stanko, ‘Five Pillars: A Framework for Transforming the Police Response to Rape and Sexual Assault’ (2022) 2(3) International Criminology 222 (‘Five Pillars’); Andrew Gibbs et al, ‘New Learnings on Drivers of Men’s Physical and/or Sexual Violence against Their Female Partners, and Women’s Experiences of This, and the Implications for Prevention Interventions’ (2020) 13(1) Global health action 1739845.","dontUpdate":true,"noteIndex":42},"citationItems":[{"id":4977,"uris":["http://zotero.org/users/9699311/items/N6KTSGTK"],"itemData":{"id":4977,"type":"article-journal","container-title":"International Criminology","issue":"3","note":"publisher: Springer","page":"222–229","source":"Google Scholar","title":"Five pillars: A framework for transforming the police response to rape and sexual assault","title-short":"Five pillars","volume":"2","author":[{"family":"Hohl","given":"Katrin"},{"family":"Stanko","given":"Elizabeth A."}],"issued":{"date-parts":[["2022"]]}}},{"id":4979,"uris":["http://zotero.org/users/9699311/items/6NLLEPQ3"],"itemData":{"id":4979,"type":"article-journal","container-title":"Global health action","issue":"1","note":"publisher: Taylor &amp; Francis","page":"1-12","source":"Google Scholar","title":"New learnings on drivers of men’s physical and/or sexual violence against their female partners, and women’s experiences of this, and the implications for prevention interventions","volume":"13","author":[{"family":"Gibbs","given":"Andrew"},{"family":"Dunkle","given":"Kristin"},{"family":"Ramsoomar","given":"Leane"},{"family":"Willan","given":"Samantha"},{"family":"Jama Shai","given":"Nwabisa"},{"family":"Chatterji","given":"Sangeeta"},{"family":"Naved","given":"Ruchira"},{"family":"Jewkes","given":"Rachel"}],"issued":{"date-parts":[["2020"]]}}}],"schema":"https://github.com/citation-style-language/schema/raw/master/csl-citation.json"} </w:instrText>
      </w:r>
      <w:r w:rsidRPr="00676B56">
        <w:rPr>
          <w:rFonts w:cstheme="minorHAnsi"/>
        </w:rPr>
        <w:fldChar w:fldCharType="separate"/>
      </w:r>
      <w:r w:rsidRPr="00676B56">
        <w:rPr>
          <w:rFonts w:cstheme="minorHAnsi"/>
        </w:rPr>
        <w:t xml:space="preserve">Katrin Hohl and Elizabeth A Stanko, ‘Five Pillars: A Framework for Transforming the Police Response to Rape and Sexual Assault’ (2022) 2(3) </w:t>
      </w:r>
      <w:r w:rsidRPr="00676B56">
        <w:rPr>
          <w:rFonts w:cstheme="minorHAnsi"/>
          <w:i/>
          <w:iCs/>
        </w:rPr>
        <w:t>International Criminology</w:t>
      </w:r>
      <w:r w:rsidRPr="00676B56">
        <w:rPr>
          <w:rFonts w:cstheme="minorHAnsi"/>
        </w:rPr>
        <w:t xml:space="preserve"> 222; Andrew Gibbs</w:t>
      </w:r>
      <w:r w:rsidR="007A7D9C">
        <w:rPr>
          <w:rFonts w:cstheme="minorHAnsi"/>
        </w:rPr>
        <w:t xml:space="preserve">, </w:t>
      </w:r>
      <w:r w:rsidR="007A7D9C" w:rsidRPr="007A7D9C">
        <w:rPr>
          <w:rFonts w:cstheme="minorHAnsi"/>
        </w:rPr>
        <w:t xml:space="preserve">Kristin Dunkle, Leane </w:t>
      </w:r>
      <w:proofErr w:type="spellStart"/>
      <w:r w:rsidR="007A7D9C" w:rsidRPr="007A7D9C">
        <w:rPr>
          <w:rFonts w:cstheme="minorHAnsi"/>
        </w:rPr>
        <w:t>Ramsoomar</w:t>
      </w:r>
      <w:proofErr w:type="spellEnd"/>
      <w:r w:rsidR="007A7D9C" w:rsidRPr="007A7D9C">
        <w:rPr>
          <w:rFonts w:cstheme="minorHAnsi"/>
        </w:rPr>
        <w:t xml:space="preserve">, Samantha Willan, </w:t>
      </w:r>
      <w:proofErr w:type="spellStart"/>
      <w:r w:rsidR="007A7D9C" w:rsidRPr="007A7D9C">
        <w:rPr>
          <w:rFonts w:cstheme="minorHAnsi"/>
        </w:rPr>
        <w:t>Nwabisa</w:t>
      </w:r>
      <w:proofErr w:type="spellEnd"/>
      <w:r w:rsidR="007A7D9C" w:rsidRPr="007A7D9C">
        <w:rPr>
          <w:rFonts w:cstheme="minorHAnsi"/>
        </w:rPr>
        <w:t xml:space="preserve"> Jama Shai, Sangeeta Chatterji, Ruchira Naved</w:t>
      </w:r>
      <w:r w:rsidR="007A7D9C">
        <w:rPr>
          <w:rFonts w:cstheme="minorHAnsi"/>
        </w:rPr>
        <w:t xml:space="preserve"> and</w:t>
      </w:r>
      <w:r w:rsidR="007A7D9C" w:rsidRPr="007A7D9C">
        <w:rPr>
          <w:rFonts w:cstheme="minorHAnsi"/>
        </w:rPr>
        <w:t xml:space="preserve"> Rachel Jewkes</w:t>
      </w:r>
      <w:r w:rsidRPr="00676B56">
        <w:rPr>
          <w:rFonts w:cstheme="minorHAnsi"/>
        </w:rPr>
        <w:t xml:space="preserve">, ‘New Learnings on Drivers of Men’s Physical and/or Sexual Violence against Their Female Partners, and Women’s Experiences of This, and the Implications for Prevention Interventions’ (2020) 13(1) </w:t>
      </w:r>
      <w:r w:rsidRPr="00676B56">
        <w:rPr>
          <w:rFonts w:cstheme="minorHAnsi"/>
          <w:i/>
          <w:iCs/>
        </w:rPr>
        <w:t xml:space="preserve">Global </w:t>
      </w:r>
      <w:r w:rsidR="003714EE" w:rsidRPr="00676B56">
        <w:rPr>
          <w:rFonts w:cstheme="minorHAnsi"/>
          <w:i/>
          <w:iCs/>
        </w:rPr>
        <w:t>H</w:t>
      </w:r>
      <w:r w:rsidRPr="00676B56">
        <w:rPr>
          <w:rFonts w:cstheme="minorHAnsi"/>
          <w:i/>
          <w:iCs/>
        </w:rPr>
        <w:t xml:space="preserve">ealth </w:t>
      </w:r>
      <w:r w:rsidR="003714EE" w:rsidRPr="00676B56">
        <w:rPr>
          <w:rFonts w:cstheme="minorHAnsi"/>
          <w:i/>
          <w:iCs/>
        </w:rPr>
        <w:t>A</w:t>
      </w:r>
      <w:r w:rsidRPr="00676B56">
        <w:rPr>
          <w:rFonts w:cstheme="minorHAnsi"/>
          <w:i/>
          <w:iCs/>
        </w:rPr>
        <w:t>ction</w:t>
      </w:r>
      <w:r w:rsidRPr="00676B56">
        <w:rPr>
          <w:rFonts w:cstheme="minorHAnsi"/>
        </w:rPr>
        <w:t xml:space="preserve"> </w:t>
      </w:r>
      <w:r w:rsidR="0079048E">
        <w:rPr>
          <w:rFonts w:cstheme="minorHAnsi"/>
        </w:rPr>
        <w:t>1</w:t>
      </w:r>
      <w:r w:rsidRPr="00676B56">
        <w:rPr>
          <w:rFonts w:cstheme="minorHAnsi"/>
        </w:rPr>
        <w:t>.</w:t>
      </w:r>
      <w:r w:rsidRPr="00676B56">
        <w:rPr>
          <w:rFonts w:cstheme="minorHAnsi"/>
        </w:rPr>
        <w:fldChar w:fldCharType="end"/>
      </w:r>
    </w:p>
  </w:footnote>
  <w:footnote w:id="42">
    <w:p w14:paraId="5E671880" w14:textId="48889D3E" w:rsidR="00072A64" w:rsidRPr="00676B56" w:rsidRDefault="00072A64"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25DA6">
        <w:rPr>
          <w:rFonts w:cstheme="minorHAnsi"/>
        </w:rPr>
        <w:instrText xml:space="preserve"> ADDIN ZOTERO_ITEM CSL_CITATION {"citationID":"79Wsmy8Y","properties":{"formattedCitation":"M Flood et al, {\\i{}Who Uses Domestic, Family, and Sexual Violence, How, and Why? The State of Knowledge Report on Violence Perpetration} (Queensland University of Technology, 2022); E Fulu et al, {\\i{}Why Do Some Men Use Violence against Women and How Can We Prevent It? Quantitative Findings from the United Nations Multi-Country Study on Men and Violence in Asia and the Pacific} (UNDP, UNFPA, UN Women and UNV, 2013); RaeAnn E Anderson et al, \\uc0\\u8216{}The Frequency of Sexual Perpetration in College Men: A Systematic Review of Reported Prevalence Rates From 2000 to 2017\\uc0\\u8217{} (2021) 22(3) {\\i{}Trauma, Violence, &amp; Abuse} 481.","plainCitation":"M Flood et al, Who Uses Domestic, Family, and Sexual Violence, How, and Why? The State of Knowledge Report on Violence Perpetration (Queensland University of Technology, 2022); E Fulu et al, Why Do Some Men Use Violence against Women and How Can We Prevent It? Quantitative Findings from the United Nations Multi-Country Study on Men and Violence in Asia and the Pacific (UNDP, UNFPA, UN Women and UNV, 2013); RaeAnn E Anderson et al, ‘The Frequency of Sexual Perpetration in College Men: A Systematic Review of Reported Prevalence Rates From 2000 to 2017’ (2021) 22(3) Trauma, Violence, &amp; Abuse 481.","dontUpdate":true,"noteIndex":43},"citationItems":[{"id":4989,"uris":["http://zotero.org/users/9699311/items/7HAXPGET"],"itemData":{"id":4989,"type":"report","language":"en","publisher":"Queensland University of Technology","source":"Zotero","title":"Who uses domestic, family, and sexual violence, how, and why? The State of Knowledge Report on Violence Perpetration","author":[{"family":"Flood","given":"M"},{"family":"Brown","given":"C"},{"family":"Dembele","given":"L"},{"family":"Mills","given":"K"}],"issued":{"date-parts":[["2022"]]}}},{"id":4991,"uris":["http://zotero.org/users/9699311/items/LIDLQQWJ"],"itemData":{"id":4991,"type":"report","call-number":"HV6250.4.W65 F858 2013","event-place":"Bangkok","language":"en","publisher":"UNDP, UNFPA, UN Women and UNV","publisher-place":"Bangkok","source":"Library of Congress ISBN","title":"Why do some men use violence against women and how can we prevent it? quantitative findings from the United Nations multi-country study on men and violence in Asia and the Pacific","author":[{"family":"Fulu","given":"E"},{"family":"Miedema","given":"S"},{"family":"Jewkes","given":"R"},{"family":"Roselli","given":"T"},{"family":"Lang","given":"J"}],"contributor":[{"family":"Warner","given":"X"}],"issued":{"date-parts":[["2013"]]}}},{"id":4992,"uris":["http://zotero.org/users/9699311/items/XKY9EIHA"],"itemData":{"id":4992,"type":"article-journal","abstract":"Background:The prevalence of sexual perpetration in college men is unknown. Prior reviews of sexual violence prevalence rates have produced wide-ranging estimates, likely due to wide variation in measurement strategies.Objectives:This article systematically reviewed research findings (from 2000 to 2017) regarding prevalence rates of sexual perpetration in college men and measurement strategies. Data Sources: PsycINFO and Web of Science databases. Eligibility Criteria: Empirical reports published between 2000 and 2017 that included male participants, available in English, and reported lifetime prevalence findings in Canadian or American college students. Participants: Data from 78 independent samples including 25,524 college men.Results:The average prevalence rate of any sexual perpetration was 29.3% (SD = 16.8), and the average rate of rape was 6.5% (SD = 6.3). Studies that used non-Sexual Experiences Survey (SES)?based questionnaires recorded higher prevalence rates (41.5%) than SES-using studies (26.2%). At least 16 different sexual perpetration questionnaires were identified. Modifying standardized questionnaires was extremely common; this was reported in over half of the studies. Studies using modified standardized questionnaires found higher prevalence rates of sexual perpetration than studies using nonmodified standardized questionnaires.Limitations:This report focused exclusively on college men in the United States and Canada.Conclusions and Implications:On average, 29% of college males report engaging in behaviors defined as sexual perpetration; however, there was a strong influence of measurement strategy on reported rates.","container-title":"Trauma, Violence, &amp; Abuse","DOI":"10.1177/1524838019860619","ISSN":"1524-8380","issue":"3","note":"publisher: SAGE Publications","page":"481-495","source":"SAGE Journals","title":"The Frequency of Sexual Perpetration in College Men: A Systematic Review of Reported Prevalence Rates From 2000 to 2017","volume":"22","author":[{"family":"Anderson","given":"RaeAnn E."},{"family":"Silver","given":"Kristin E."},{"family":"Ciampaglia","given":"Alyssa M."},{"family":"Vitale","given":"Amanda M."},{"family":"Delahanty","given":"Douglas L."}],"issued":{"date-parts":[["2021",7,1]]}}}],"schema":"https://github.com/citation-style-language/schema/raw/master/csl-citation.json"} </w:instrText>
      </w:r>
      <w:r w:rsidRPr="00676B56">
        <w:rPr>
          <w:rFonts w:cstheme="minorHAnsi"/>
        </w:rPr>
        <w:fldChar w:fldCharType="separate"/>
      </w:r>
      <w:r w:rsidRPr="00676B56">
        <w:rPr>
          <w:rFonts w:cstheme="minorHAnsi"/>
        </w:rPr>
        <w:t>M</w:t>
      </w:r>
      <w:r w:rsidR="00584E4B">
        <w:rPr>
          <w:rFonts w:cstheme="minorHAnsi"/>
        </w:rPr>
        <w:t>ichael</w:t>
      </w:r>
      <w:r w:rsidRPr="00676B56">
        <w:rPr>
          <w:rFonts w:cstheme="minorHAnsi"/>
        </w:rPr>
        <w:t xml:space="preserve"> Flood</w:t>
      </w:r>
      <w:r w:rsidR="006105A4">
        <w:rPr>
          <w:rFonts w:cstheme="minorHAnsi"/>
        </w:rPr>
        <w:t xml:space="preserve">, </w:t>
      </w:r>
      <w:r w:rsidR="00584E4B">
        <w:rPr>
          <w:rFonts w:cstheme="minorHAnsi"/>
        </w:rPr>
        <w:t>Chay Brown, Lula Dembele and Kirsti Mills</w:t>
      </w:r>
      <w:r w:rsidRPr="00676B56">
        <w:rPr>
          <w:rFonts w:cstheme="minorHAnsi"/>
        </w:rPr>
        <w:t xml:space="preserve">, </w:t>
      </w:r>
      <w:r w:rsidRPr="00676B56">
        <w:rPr>
          <w:rFonts w:cstheme="minorHAnsi"/>
          <w:i/>
          <w:iCs/>
        </w:rPr>
        <w:t>Who Uses Domestic, Family, and Sexual Violence, How, and Why? The State of Knowledge Report on Violence Perpetration</w:t>
      </w:r>
      <w:r w:rsidRPr="00676B56">
        <w:rPr>
          <w:rFonts w:cstheme="minorHAnsi"/>
        </w:rPr>
        <w:t xml:space="preserve"> (Queensland University of Technology, 2022); E</w:t>
      </w:r>
      <w:r w:rsidR="00584E4B">
        <w:rPr>
          <w:rFonts w:cstheme="minorHAnsi"/>
        </w:rPr>
        <w:t xml:space="preserve">mma </w:t>
      </w:r>
      <w:proofErr w:type="spellStart"/>
      <w:r w:rsidRPr="00676B56">
        <w:rPr>
          <w:rFonts w:cstheme="minorHAnsi"/>
        </w:rPr>
        <w:t>Fulu</w:t>
      </w:r>
      <w:proofErr w:type="spellEnd"/>
      <w:r w:rsidR="00584E4B">
        <w:rPr>
          <w:rFonts w:cstheme="minorHAnsi"/>
        </w:rPr>
        <w:t>, Xian</w:t>
      </w:r>
      <w:r w:rsidR="00584E4B" w:rsidRPr="00584E4B">
        <w:rPr>
          <w:sz w:val="22"/>
          <w:szCs w:val="22"/>
        </w:rPr>
        <w:t xml:space="preserve"> </w:t>
      </w:r>
      <w:r w:rsidR="00584E4B" w:rsidRPr="00584E4B">
        <w:rPr>
          <w:rFonts w:cstheme="minorHAnsi"/>
        </w:rPr>
        <w:t xml:space="preserve">Warner, </w:t>
      </w:r>
      <w:r w:rsidR="00584E4B">
        <w:rPr>
          <w:rFonts w:cstheme="minorHAnsi"/>
        </w:rPr>
        <w:t xml:space="preserve">Stephanie </w:t>
      </w:r>
      <w:r w:rsidR="00584E4B" w:rsidRPr="00584E4B">
        <w:rPr>
          <w:rFonts w:cstheme="minorHAnsi"/>
        </w:rPr>
        <w:t xml:space="preserve">Miedema, </w:t>
      </w:r>
      <w:r w:rsidR="00584E4B">
        <w:rPr>
          <w:rFonts w:cstheme="minorHAnsi"/>
        </w:rPr>
        <w:t>Rachel</w:t>
      </w:r>
      <w:r w:rsidR="00584E4B" w:rsidRPr="00584E4B">
        <w:rPr>
          <w:rFonts w:cstheme="minorHAnsi"/>
        </w:rPr>
        <w:t xml:space="preserve"> Jewkes, </w:t>
      </w:r>
      <w:r w:rsidR="00584E4B">
        <w:rPr>
          <w:rFonts w:cstheme="minorHAnsi"/>
        </w:rPr>
        <w:t>Tim</w:t>
      </w:r>
      <w:r w:rsidR="00584E4B" w:rsidRPr="00584E4B">
        <w:rPr>
          <w:rFonts w:cstheme="minorHAnsi"/>
        </w:rPr>
        <w:t xml:space="preserve"> Roselli and </w:t>
      </w:r>
      <w:r w:rsidR="00584E4B">
        <w:rPr>
          <w:rFonts w:cstheme="minorHAnsi"/>
        </w:rPr>
        <w:t xml:space="preserve">James </w:t>
      </w:r>
      <w:r w:rsidR="00584E4B" w:rsidRPr="00584E4B">
        <w:rPr>
          <w:rFonts w:cstheme="minorHAnsi"/>
        </w:rPr>
        <w:t>Lang</w:t>
      </w:r>
      <w:r w:rsidRPr="00676B56">
        <w:rPr>
          <w:rFonts w:cstheme="minorHAnsi"/>
        </w:rPr>
        <w:t xml:space="preserve">, </w:t>
      </w:r>
      <w:r w:rsidRPr="00676B56">
        <w:rPr>
          <w:rFonts w:cstheme="minorHAnsi"/>
          <w:i/>
          <w:iCs/>
        </w:rPr>
        <w:t xml:space="preserve">Why Do Some Men Use Violence </w:t>
      </w:r>
      <w:r w:rsidR="003714EE" w:rsidRPr="00676B56">
        <w:rPr>
          <w:rFonts w:cstheme="minorHAnsi"/>
          <w:i/>
          <w:iCs/>
        </w:rPr>
        <w:t>A</w:t>
      </w:r>
      <w:r w:rsidRPr="00676B56">
        <w:rPr>
          <w:rFonts w:cstheme="minorHAnsi"/>
          <w:i/>
          <w:iCs/>
        </w:rPr>
        <w:t>gainst Women and How Can We Prevent It? Quantitative Findings from the United Nations Multi-Country Study on Men and Violence in Asia and the Pacific</w:t>
      </w:r>
      <w:r w:rsidRPr="00676B56">
        <w:rPr>
          <w:rFonts w:cstheme="minorHAnsi"/>
        </w:rPr>
        <w:t xml:space="preserve"> (UNDP, UNFPA, UN Women and UNV, 2013); </w:t>
      </w:r>
      <w:proofErr w:type="spellStart"/>
      <w:r w:rsidRPr="00676B56">
        <w:rPr>
          <w:rFonts w:cstheme="minorHAnsi"/>
        </w:rPr>
        <w:t>RaeAnn</w:t>
      </w:r>
      <w:proofErr w:type="spellEnd"/>
      <w:r w:rsidRPr="00676B56">
        <w:rPr>
          <w:rFonts w:cstheme="minorHAnsi"/>
        </w:rPr>
        <w:t xml:space="preserve"> E Anderson</w:t>
      </w:r>
      <w:r w:rsidR="00584E4B">
        <w:rPr>
          <w:rFonts w:cstheme="minorHAnsi"/>
        </w:rPr>
        <w:t>, Kristin Silver</w:t>
      </w:r>
      <w:r w:rsidR="00856BC6">
        <w:rPr>
          <w:rFonts w:cstheme="minorHAnsi"/>
        </w:rPr>
        <w:t xml:space="preserve"> and</w:t>
      </w:r>
      <w:r w:rsidR="00584E4B">
        <w:rPr>
          <w:rFonts w:cstheme="minorHAnsi"/>
        </w:rPr>
        <w:t xml:space="preserve"> Douglas Delahanty</w:t>
      </w:r>
      <w:r w:rsidRPr="00676B56">
        <w:rPr>
          <w:rFonts w:cstheme="minorHAnsi"/>
        </w:rPr>
        <w:t xml:space="preserve"> ‘The Frequency of Sexual Perpetration in College Men: A Systematic Review of Reported Prevalence Rates From 2000 to 2017’ (2021) 22(3) </w:t>
      </w:r>
      <w:r w:rsidRPr="00676B56">
        <w:rPr>
          <w:rFonts w:cstheme="minorHAnsi"/>
          <w:i/>
          <w:iCs/>
        </w:rPr>
        <w:t>Trauma, Violence, &amp; Abuse</w:t>
      </w:r>
      <w:r w:rsidRPr="00676B56">
        <w:rPr>
          <w:rFonts w:cstheme="minorHAnsi"/>
        </w:rPr>
        <w:t xml:space="preserve"> 481.</w:t>
      </w:r>
      <w:r w:rsidRPr="00676B56">
        <w:rPr>
          <w:rFonts w:cstheme="minorHAnsi"/>
        </w:rPr>
        <w:fldChar w:fldCharType="end"/>
      </w:r>
      <w:r w:rsidRPr="00676B56">
        <w:rPr>
          <w:rFonts w:cstheme="minorHAnsi"/>
        </w:rPr>
        <w:t xml:space="preserve"> </w:t>
      </w:r>
    </w:p>
  </w:footnote>
  <w:footnote w:id="43">
    <w:p w14:paraId="7B4002AA" w14:textId="73ED667D" w:rsidR="000F4193" w:rsidRPr="00584E4B" w:rsidRDefault="000F4193" w:rsidP="00B63C23">
      <w:pPr>
        <w:pStyle w:val="FootnoteText"/>
        <w:jc w:val="left"/>
        <w:rPr>
          <w:rFonts w:cstheme="minorHAnsi"/>
          <w:lang w:val="en-GB"/>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25DA6">
        <w:rPr>
          <w:rFonts w:cstheme="minorHAnsi"/>
        </w:rPr>
        <w:instrText xml:space="preserve"> ADDIN ZOTERO_ITEM CSL_CITATION {"citationID":"kaZy89a8","properties":{"formattedCitation":"Conor O\\uc0\\u8217{}Mahony, \\uc0\\u8216{}Constitutional Protection of Children\\uc0\\u8217{}s Rights: Visibility, Agency and Enforceability\\uc0\\u8217{} (2019) 19(3) {\\i{}Human Rights Law Review} 401; Trude Haugli et al (eds), {\\i{}Children\\uc0\\u8217{}s Constitutional Rights in the Nordic Countries} (Brill Nijhoff, 2020).","plainCitation":"Conor O’Mahony, ‘Constitutional Protection of Children’s Rights: Visibility, Agency and Enforceability’ (2019) 19(3) Human Rights Law Review 401; Trude Haugli et al (eds), Children’s Constitutional Rights in the Nordic Countries (Brill Nijhoff, 2020).","dontUpdate":true,"noteIndex":45},"citationItems":[{"id":4931,"uris":["http://zotero.org/users/9699311/items/38ARX7ZT"],"itemData":{"id":4931,"type":"article-journal","abstract":"While almost every state in the world has ratified the United Nations Convention on the Rights of the Child, there is less consensus around the manner in which the rights protected by it should be protected in national constitutions. To say that a constitution makes provision for children’s rights is just a starting point: the extent to which a national constitution takes a genuine child rights approach will depend on the quality of the constitutional provisions in question. This article aims to provide a typology which can be used to assess whether the approach taken by any given constitution to the protection of children’s rights is in line with the child rights approach envisaged by the Convention by analysing individual constitutions along three separate spectrums. The Visibility spectrum measures how visible children are in a constitutional scheme; the Agency spectrum measures the extent to which children are considered to be independent, autonomous rights holders; and the Enforceability spectrum measures the extent to which children’s constitutional rights can be enforced.","container-title":"Human Rights Law Review","DOI":"10.1093/hrlr/ngz017","ISSN":"1461-7781, 1744-1021","issue":"3","language":"en","page":"401-434","source":"DOI.org (Crossref)","title":"Constitutional Protection of Children’s Rights: Visibility, Agency and Enforceability","volume":"19","author":[{"family":"O’Mahony","given":"Conor"}],"issued":{"date-parts":[["2019",11,1]]}}},{"id":2515,"uris":["http://zotero.org/users/9699311/items/C5MFAYST"],"itemData":{"id":2515,"type":"book","ISBN":"978-85-7811-079-6","note":"PMID: 25246403\narXiv: 1011.1669v3\nISSN: 1098-6596","publisher":"Brill Nijhoff","title":"Children’s Constitutional Rights in the Nordic Countries","editor":[{"family":"Haugli","given":"Trude"},{"family":"Nylund","given":"Anna"},{"family":"Sigurdsen","given":"Randi"},{"family":"Bendiksen","given":"Lena R.L."}],"issued":{"date-parts":[["2020"]]}}}],"schema":"https://github.com/citation-style-language/schema/raw/master/csl-citation.json"} </w:instrText>
      </w:r>
      <w:r w:rsidRPr="00676B56">
        <w:rPr>
          <w:rFonts w:cstheme="minorHAnsi"/>
        </w:rPr>
        <w:fldChar w:fldCharType="separate"/>
      </w:r>
      <w:r w:rsidRPr="00676B56">
        <w:rPr>
          <w:rFonts w:cstheme="minorHAnsi"/>
        </w:rPr>
        <w:t>Conor O’Mahony, ‘Constitutional Protection of Children’s Rights: Visibility, Agency and Enforceability’ (2019)</w:t>
      </w:r>
      <w:r w:rsidR="004F3050">
        <w:rPr>
          <w:rFonts w:cstheme="minorHAnsi"/>
        </w:rPr>
        <w:t xml:space="preserve"> </w:t>
      </w:r>
      <w:r w:rsidRPr="00676B56">
        <w:rPr>
          <w:rFonts w:cstheme="minorHAnsi"/>
        </w:rPr>
        <w:t xml:space="preserve">19(3) </w:t>
      </w:r>
      <w:r w:rsidRPr="00676B56">
        <w:rPr>
          <w:rFonts w:cstheme="minorHAnsi"/>
          <w:i/>
          <w:iCs/>
        </w:rPr>
        <w:t>Human Rights Law Review</w:t>
      </w:r>
      <w:r w:rsidRPr="00676B56">
        <w:rPr>
          <w:rFonts w:cstheme="minorHAnsi"/>
        </w:rPr>
        <w:t xml:space="preserve"> 401; Trude Haugli</w:t>
      </w:r>
      <w:r w:rsidR="00584E4B">
        <w:rPr>
          <w:rFonts w:ascii="Helvetica" w:eastAsia="Times New Roman" w:hAnsi="Helvetica" w:cs="Helvetica"/>
          <w:color w:val="343332"/>
          <w:spacing w:val="-5"/>
          <w:sz w:val="24"/>
          <w:szCs w:val="24"/>
          <w:lang w:val="en-GB" w:eastAsia="en-GB"/>
        </w:rPr>
        <w:t xml:space="preserve">, </w:t>
      </w:r>
      <w:r w:rsidR="00584E4B" w:rsidRPr="00584E4B">
        <w:rPr>
          <w:rFonts w:cstheme="minorHAnsi"/>
          <w:lang w:val="en-GB"/>
        </w:rPr>
        <w:t>Anna Nylund</w:t>
      </w:r>
      <w:r w:rsidR="00584E4B">
        <w:rPr>
          <w:rFonts w:cstheme="minorHAnsi"/>
          <w:lang w:val="en-GB"/>
        </w:rPr>
        <w:t xml:space="preserve">, </w:t>
      </w:r>
      <w:r w:rsidR="00584E4B" w:rsidRPr="00584E4B">
        <w:rPr>
          <w:rFonts w:cstheme="minorHAnsi"/>
          <w:lang w:val="en-GB"/>
        </w:rPr>
        <w:t>Randi Sigurdsen</w:t>
      </w:r>
      <w:r w:rsidR="00BB7871">
        <w:rPr>
          <w:rFonts w:cstheme="minorHAnsi"/>
          <w:lang w:val="en-GB"/>
        </w:rPr>
        <w:t xml:space="preserve"> and</w:t>
      </w:r>
      <w:r w:rsidR="00584E4B">
        <w:rPr>
          <w:rFonts w:cstheme="minorHAnsi"/>
          <w:lang w:val="en-GB"/>
        </w:rPr>
        <w:t xml:space="preserve"> </w:t>
      </w:r>
      <w:r w:rsidR="00584E4B" w:rsidRPr="00584E4B">
        <w:rPr>
          <w:rFonts w:cstheme="minorHAnsi"/>
          <w:lang w:val="en-GB"/>
        </w:rPr>
        <w:t>Lena Bendiksen</w:t>
      </w:r>
      <w:r w:rsidRPr="00676B56">
        <w:rPr>
          <w:rFonts w:cstheme="minorHAnsi"/>
        </w:rPr>
        <w:t xml:space="preserve"> (eds), </w:t>
      </w:r>
      <w:r w:rsidRPr="00676B56">
        <w:rPr>
          <w:rFonts w:cstheme="minorHAnsi"/>
          <w:i/>
          <w:iCs/>
        </w:rPr>
        <w:t>Children’s Constitutional Rights in the Nordic Countries</w:t>
      </w:r>
      <w:r w:rsidRPr="00676B56">
        <w:rPr>
          <w:rFonts w:cstheme="minorHAnsi"/>
        </w:rPr>
        <w:t xml:space="preserve"> (Brill </w:t>
      </w:r>
      <w:proofErr w:type="spellStart"/>
      <w:r w:rsidRPr="00676B56">
        <w:rPr>
          <w:rFonts w:cstheme="minorHAnsi"/>
        </w:rPr>
        <w:t>Nijhoff</w:t>
      </w:r>
      <w:proofErr w:type="spellEnd"/>
      <w:r w:rsidRPr="00676B56">
        <w:rPr>
          <w:rFonts w:cstheme="minorHAnsi"/>
        </w:rPr>
        <w:t>, 2020).</w:t>
      </w:r>
      <w:r w:rsidRPr="00676B56">
        <w:rPr>
          <w:rFonts w:cstheme="minorHAnsi"/>
        </w:rPr>
        <w:fldChar w:fldCharType="end"/>
      </w:r>
    </w:p>
  </w:footnote>
  <w:footnote w:id="44">
    <w:p w14:paraId="6451F683" w14:textId="0D181545" w:rsidR="00A324EF" w:rsidRPr="00676B56" w:rsidRDefault="00A324EF"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25DA6">
        <w:rPr>
          <w:rFonts w:cstheme="minorHAnsi"/>
        </w:rPr>
        <w:instrText xml:space="preserve"> ADDIN ZOTERO_ITEM CSL_CITATION {"citationID":"jyIDwTKz","properties":{"formattedCitation":"Atreya and Nepal (n 29) 3.","plainCitation":"Atreya and Nepal (n 29) 3.","noteIndex":46},"citationItems":[{"id":2854,"uris":["http://zotero.org/users/9699311/items/VAF8ICYY"],"itemData":{"id":2854,"type":"article-journal","container-title":"Obstetrics and Gynecology","DOI":"10.1097/AOG.0000000000003928","ISSN":"1873233X","issue":"1","note":"PMID: 32541280","page":"3-5","title":"Untouchables: Women and Girls in Nepal","volume":"136","author":[{"family":"Atreya","given":"Alok"},{"family":"Nepal","given":"Samata"}],"issued":{"date-parts":[["2020"]]}},"locator":"3","label":"page"}],"schema":"https://github.com/citation-style-language/schema/raw/master/csl-citation.json"} </w:instrText>
      </w:r>
      <w:r w:rsidRPr="00676B56">
        <w:rPr>
          <w:rFonts w:cstheme="minorHAnsi"/>
        </w:rPr>
        <w:fldChar w:fldCharType="separate"/>
      </w:r>
      <w:r w:rsidR="00625DA6" w:rsidRPr="00625DA6">
        <w:rPr>
          <w:rFonts w:ascii="Calibri" w:hAnsi="Calibri" w:cs="Calibri"/>
        </w:rPr>
        <w:t>Atreya and Nepal (n 2</w:t>
      </w:r>
      <w:r w:rsidR="00BB7871">
        <w:rPr>
          <w:rFonts w:ascii="Calibri" w:hAnsi="Calibri" w:cs="Calibri"/>
        </w:rPr>
        <w:t>6</w:t>
      </w:r>
      <w:r w:rsidR="00625DA6" w:rsidRPr="00625DA6">
        <w:rPr>
          <w:rFonts w:ascii="Calibri" w:hAnsi="Calibri" w:cs="Calibri"/>
        </w:rPr>
        <w:t>) 3.</w:t>
      </w:r>
      <w:r w:rsidRPr="00676B56">
        <w:rPr>
          <w:rFonts w:cstheme="minorHAnsi"/>
        </w:rPr>
        <w:fldChar w:fldCharType="end"/>
      </w:r>
    </w:p>
  </w:footnote>
  <w:footnote w:id="45">
    <w:p w14:paraId="18350FEB" w14:textId="173AD29F" w:rsidR="008D3B77" w:rsidRPr="00676B56" w:rsidRDefault="008D3B77"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25DA6">
        <w:rPr>
          <w:rFonts w:cstheme="minorHAnsi"/>
        </w:rPr>
        <w:instrText xml:space="preserve"> ADDIN ZOTERO_ITEM CSL_CITATION {"citationID":"lQA5zFcI","properties":{"formattedCitation":"Rai (n 29) 21.","plainCitation":"Rai (n 29) 21.","noteIndex":47},"citationItems":[{"id":5021,"uris":["http://zotero.org/users/9699311/items/T5Z8FRAB"],"itemData":{"id":5021,"type":"report","language":"en","publisher":"United Nations Nepal","source":"Zotero","title":"Harmful Practices in Nepal: Report on Community Perceptions","author":[{"family":"Rai","given":"Janak"}],"issued":{"date-parts":[["2020"]]}},"locator":"21","label":"page"}],"schema":"https://github.com/citation-style-language/schema/raw/master/csl-citation.json"} </w:instrText>
      </w:r>
      <w:r w:rsidRPr="00676B56">
        <w:rPr>
          <w:rFonts w:cstheme="minorHAnsi"/>
        </w:rPr>
        <w:fldChar w:fldCharType="separate"/>
      </w:r>
      <w:r w:rsidR="00625DA6" w:rsidRPr="00625DA6">
        <w:rPr>
          <w:rFonts w:ascii="Calibri" w:hAnsi="Calibri" w:cs="Calibri"/>
        </w:rPr>
        <w:t>Rai (n 2</w:t>
      </w:r>
      <w:r w:rsidR="00BB7871">
        <w:rPr>
          <w:rFonts w:ascii="Calibri" w:hAnsi="Calibri" w:cs="Calibri"/>
        </w:rPr>
        <w:t>6</w:t>
      </w:r>
      <w:r w:rsidR="00625DA6" w:rsidRPr="00625DA6">
        <w:rPr>
          <w:rFonts w:ascii="Calibri" w:hAnsi="Calibri" w:cs="Calibri"/>
        </w:rPr>
        <w:t>) 21.</w:t>
      </w:r>
      <w:r w:rsidRPr="00676B56">
        <w:rPr>
          <w:rFonts w:cstheme="minorHAnsi"/>
        </w:rPr>
        <w:fldChar w:fldCharType="end"/>
      </w:r>
    </w:p>
  </w:footnote>
  <w:footnote w:id="46">
    <w:p w14:paraId="14A4E14A" w14:textId="7C0EE115" w:rsidR="00E06809" w:rsidRPr="00676B56" w:rsidRDefault="00E06809"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D916AA">
        <w:rPr>
          <w:rFonts w:cstheme="minorHAnsi"/>
        </w:rPr>
        <w:instrText xml:space="preserve"> ADDIN ZOTERO_ITEM CSL_CITATION {"citationID":"fLFppmt7","properties":{"formattedCitation":"Amatya et al (n 30); Dipendra S Thakuri et al, \\uc0\\u8216{}A Harmful Religio-Cultural Practice (Chhaupadi) during Menstruation among Adolescent Girls in Nepal: Prevalence and Policies for Eradication\\uc0\\u8217{} (2021) 16(9 September) {\\i{}PLoS ONE} 1; Hannah Robinson, \\uc0\\u8216{}Chaupadi: The Affliction of Menses in Nepal\\uc0\\u8217{} (2015) 1(4) {\\i{}International Journal of Women\\uc0\\u8217{}s Dermatology} 193.","plainCitation":"Amatya et al (n 30); Dipendra S Thakuri et al, ‘A Harmful Religio-Cultural Practice (Chhaupadi) during Menstruation among Adolescent Girls in Nepal: Prevalence and Policies for Eradication’ (2021) 16(9 September) PLoS ONE 1; Hannah Robinson, ‘Chaupadi: The Affliction of Menses in Nepal’ (2015) 1(4) International Journal of Women’s Dermatology 193.","dontUpdate":true,"noteIndex":48},"citationItems":[{"id":2848,"uris":["http://zotero.org/users/9699311/items/YPQXP3NQ"],"itemData":{"id":2848,"type":"article-journal","abstract":"Background Menstrual exile, also known as Chhaupadi, is a tradition of “untouchability” in far-western Nepal. Forbidden from touching other people and objects, women and girls are required to live away from the community, typically in a livestock shed, during menstruation. We assessed the lived experiences of Chhaupadi among Nepalese adolescent girls in the far-western Achham district of Nepal, observed the safety and sanitation of their living spaces during Chhaupadi, and assessed the perceptions of local adult stakeholders towards the practice of Chhaupadi. Methods We collected data from 107 adolescent girls using a self-administered survey in two local schools in Achham. We also conducted a focus group discussion with seven girls, held key informant interviews, and observed the girls’ living spaces during Chhaupadi, using a checklist. Descriptive statistics of the quantitative survey and thematic analyses of qualitative interviews are presented. Results The majority of the girls (n = 77, 72%) practiced exile, or Chhaupadi, during their menstruation, including 3 (4%) exiled to traditional Chhau sheds, 63 (82%) to livestock sheds, and 11 (14%) to courtyards outside their home. The remaining girls (n = 30, 28%) stayed inside the house, yet practiced some form of menstrual taboos. of the 77 observed living spaces where the girls stayed during exile, only 30% (n = 23) had a toilet facility. Most exiled girls (97.4%) were restricted from eating dairy products. Participants reported having various psychological problems, including lonliness and difficulty sleeping while practicing Chhaupadi. Three of the girls were physically abused; nine were bitten by a snake. Notably high proportions of the living spaces lacked ventilation/windows (n = 20, 26%), electricity (n = 29, 38%), toilets (n = 54, 70%) and a warm blanket and mattress for sleeping (n = 29, 38%). Our qualitative findings supported our quantitative results. Conclusions Chhaupadi has been condemned by human rights organizations. While the government has banned the practice, implementation on the ban is proceeding slowly, especially in far-western Nepal. Thus, as a temporary measure, public health professionals must work towards promoting the health and safety of Nepalese women and girls still practicing Chhaupadi.","container-title":"PLoS ONE","DOI":"10.1371/journal.pone.0208260","ISSN":"19326203","issue":"12","note":"PMID: 30532183\nISBN: 1111111111","page":"1-17","title":"Practice and lived experience of menstrual exiles (Chhaupadi) among adolescent girls in far-western Nepal","volume":"13","author":[{"family":"Amatya","given":"Prabisha"},{"family":"Ghimire","given":"Saruna"},{"family":"Callahan","given":"Karen E."},{"family":"Baral","given":"Binaya Kumar"},{"family":"Poudel","given":"Krishna C."}],"issued":{"date-parts":[["2018"]]}}},{"id":2852,"uris":["http://zotero.org/users/9699311/items/GYU6KFF8"],"itemData":{"id":2852,"type":"article-journal","abstract":"Background Chhaupadi is a deeply rooted tradition and a centuries-old harmful religio-cultural practice. Chhaupadi is common in some parts of Karnali and Sudurpaschim Provinces of western Nepal, where women and girls are considered impure, unclean, and untouchable in the menstrual period or immediately following childbirth. In Chhaupadi practice, women and girls are isolated from a range of daily household chores, social events and forbidden from touching other people and objects. Chhaupadi tradition banishes women and girls into menstruation huts’, or Chhau huts or livestock sheds to live and sleep. These practices are guided by existing harmful beliefs and practices in western Nepal, resulting in poor menstrual hygiene and poor physical and mental health outcomes. This study examined the magnitude of Chhaupadi practice and reviewed the existing policies for Chhaupadi eradication in Nepal. Methods We used both quantitative survey and qualitative content analysis of the available policies. First, a quantitative cross-sectional survey assessed the prevalence of Chhaupadi among 221 adolescent girls in Mangalsen Municipality of Achham district. Second, the contents of prevailing policies on Chhaupadi eradication were analysed qualitatively using the policy cube framework. Results The current survey revealed that most adolescent girls (84%) practised Chhaupadi in their most recent menstruation. The Chhaupadi practice was high if the girls were aged 15–17 years, born to an illiterate mother, and belonged to a nuclear family. Out of the girls practising Chhaupadi, most (86%) reported social and household activities restrictions. The policy content analysis of identified higher-level policy documents (constitution, acts, and regulations) have provisioned financial resources, ensured independent monitoring mechanisms, and had judiciary remedial measures. However, middle (policies and plans) and lower-level (directives) documents lacked adequate budgetary commitment and independent monitoring mechanisms. Conclusion Chhaupadi remains prevalent in western Nepal and has several impacts to the health of adolescent girls. Existing policy mechanisms lack multilevel (individual, family, community, subnational and national) interventions, including financial and monitoring systems for Chhaupadi eradication. Eradicating Chhaupadi practice requires a robust multilevel implementation mechanism at the national and sub-national levels, including adequate financing and accountable systems up to the community level.","container-title":"PLoS ONE","DOI":"10.1371/journal.pone.0256968","ISSN":"19326203","issue":"9","note":"PMID: 34469491\nISBN: 1111111111","page":"1-22","title":"A harmful religio-cultural practice (Chhaupadi) during menstruation among adolescent girls in Nepal: Prevalence and policies for eradication","volume":"16","author":[{"family":"Thakuri","given":"Dipendra S."},{"family":"Thapa","given":"Roshan K."},{"family":"Singh","given":"Samikshya"},{"family":"Khanal","given":"Geha N"},{"family":"Khatri","given":"Resham B."}],"issued":{"date-parts":[["2021"]]}}},{"id":2524,"uris":["http://zotero.org/users/9699311/items/YKKW2XJ5"],"itemData":{"id":2524,"type":"article-journal","container-title":"International Journal of Women's Dermatology","DOI":"10.1016/j.ijwd.2015.10.002","ISSN":"23526475","issue":"4","page":"193-194","title":"Chaupadi: The affliction of menses in Nepal","volume":"1","author":[{"family":"Robinson","given":"Hannah"}],"issued":{"date-parts":[["2015"]]}}}],"schema":"https://github.com/citation-style-language/schema/raw/master/csl-citation.json"} </w:instrText>
      </w:r>
      <w:r w:rsidRPr="00676B56">
        <w:rPr>
          <w:rFonts w:cstheme="minorHAnsi"/>
        </w:rPr>
        <w:fldChar w:fldCharType="separate"/>
      </w:r>
      <w:r w:rsidR="009525C0" w:rsidRPr="009525C0">
        <w:rPr>
          <w:rFonts w:ascii="Calibri" w:hAnsi="Calibri" w:cs="Calibri"/>
        </w:rPr>
        <w:t xml:space="preserve">Amatya et al (n </w:t>
      </w:r>
      <w:r w:rsidR="00C57E17">
        <w:rPr>
          <w:rFonts w:ascii="Calibri" w:hAnsi="Calibri" w:cs="Calibri"/>
        </w:rPr>
        <w:t>2</w:t>
      </w:r>
      <w:r w:rsidR="00D311F7">
        <w:rPr>
          <w:rFonts w:ascii="Calibri" w:hAnsi="Calibri" w:cs="Calibri"/>
        </w:rPr>
        <w:t>6</w:t>
      </w:r>
      <w:r w:rsidR="009525C0" w:rsidRPr="009525C0">
        <w:rPr>
          <w:rFonts w:ascii="Calibri" w:hAnsi="Calibri" w:cs="Calibri"/>
        </w:rPr>
        <w:t>); Dipendra S Thakuri</w:t>
      </w:r>
      <w:r w:rsidR="00584E4B">
        <w:rPr>
          <w:rFonts w:ascii="Calibri" w:hAnsi="Calibri" w:cs="Calibri"/>
        </w:rPr>
        <w:t>,</w:t>
      </w:r>
      <w:r w:rsidR="009525C0" w:rsidRPr="009525C0">
        <w:rPr>
          <w:rFonts w:ascii="Calibri" w:hAnsi="Calibri" w:cs="Calibri"/>
        </w:rPr>
        <w:t xml:space="preserve"> </w:t>
      </w:r>
      <w:r w:rsidR="00584E4B" w:rsidRPr="00584E4B">
        <w:rPr>
          <w:rFonts w:ascii="Calibri" w:hAnsi="Calibri" w:cs="Calibri"/>
        </w:rPr>
        <w:t>Roshan K Thapa,</w:t>
      </w:r>
      <w:r w:rsidR="00584E4B">
        <w:rPr>
          <w:rFonts w:ascii="Calibri" w:hAnsi="Calibri" w:cs="Calibri"/>
        </w:rPr>
        <w:t xml:space="preserve"> </w:t>
      </w:r>
      <w:proofErr w:type="spellStart"/>
      <w:r w:rsidR="00584E4B" w:rsidRPr="00584E4B">
        <w:rPr>
          <w:rFonts w:ascii="Calibri" w:hAnsi="Calibri" w:cs="Calibri"/>
        </w:rPr>
        <w:t>Samikshya</w:t>
      </w:r>
      <w:proofErr w:type="spellEnd"/>
      <w:r w:rsidR="00584E4B" w:rsidRPr="00584E4B">
        <w:rPr>
          <w:rFonts w:ascii="Calibri" w:hAnsi="Calibri" w:cs="Calibri"/>
        </w:rPr>
        <w:t xml:space="preserve"> Singh,</w:t>
      </w:r>
      <w:r w:rsidR="00584E4B">
        <w:rPr>
          <w:rFonts w:ascii="Calibri" w:hAnsi="Calibri" w:cs="Calibri"/>
        </w:rPr>
        <w:t xml:space="preserve"> </w:t>
      </w:r>
      <w:r w:rsidR="00584E4B" w:rsidRPr="00584E4B">
        <w:rPr>
          <w:rFonts w:ascii="Calibri" w:hAnsi="Calibri" w:cs="Calibri"/>
        </w:rPr>
        <w:t xml:space="preserve">Geha </w:t>
      </w:r>
      <w:r w:rsidR="007E6EF9">
        <w:rPr>
          <w:rFonts w:ascii="Calibri" w:hAnsi="Calibri" w:cs="Calibri"/>
        </w:rPr>
        <w:t>N</w:t>
      </w:r>
      <w:r w:rsidR="00584E4B" w:rsidRPr="00584E4B">
        <w:rPr>
          <w:rFonts w:ascii="Calibri" w:hAnsi="Calibri" w:cs="Calibri"/>
        </w:rPr>
        <w:t xml:space="preserve"> Khanal</w:t>
      </w:r>
      <w:r w:rsidR="00E615E1">
        <w:rPr>
          <w:rFonts w:ascii="Calibri" w:hAnsi="Calibri" w:cs="Calibri"/>
        </w:rPr>
        <w:t xml:space="preserve"> and</w:t>
      </w:r>
      <w:r w:rsidR="00584E4B">
        <w:rPr>
          <w:rFonts w:ascii="Calibri" w:hAnsi="Calibri" w:cs="Calibri"/>
        </w:rPr>
        <w:t xml:space="preserve"> </w:t>
      </w:r>
      <w:r w:rsidR="00584E4B" w:rsidRPr="00584E4B">
        <w:rPr>
          <w:rFonts w:ascii="Calibri" w:hAnsi="Calibri" w:cs="Calibri"/>
        </w:rPr>
        <w:t>Resham B</w:t>
      </w:r>
      <w:r w:rsidR="00584E4B">
        <w:rPr>
          <w:rFonts w:ascii="Calibri" w:hAnsi="Calibri" w:cs="Calibri"/>
        </w:rPr>
        <w:t xml:space="preserve"> </w:t>
      </w:r>
      <w:r w:rsidR="00584E4B" w:rsidRPr="00584E4B">
        <w:rPr>
          <w:rFonts w:ascii="Calibri" w:hAnsi="Calibri" w:cs="Calibri"/>
        </w:rPr>
        <w:t>Khatri</w:t>
      </w:r>
      <w:r w:rsidR="009525C0" w:rsidRPr="009525C0">
        <w:rPr>
          <w:rFonts w:ascii="Calibri" w:hAnsi="Calibri" w:cs="Calibri"/>
        </w:rPr>
        <w:t xml:space="preserve">, ‘A Harmful </w:t>
      </w:r>
      <w:proofErr w:type="spellStart"/>
      <w:r w:rsidR="009525C0" w:rsidRPr="009525C0">
        <w:rPr>
          <w:rFonts w:ascii="Calibri" w:hAnsi="Calibri" w:cs="Calibri"/>
        </w:rPr>
        <w:t>Religio</w:t>
      </w:r>
      <w:proofErr w:type="spellEnd"/>
      <w:r w:rsidR="009525C0" w:rsidRPr="009525C0">
        <w:rPr>
          <w:rFonts w:ascii="Calibri" w:hAnsi="Calibri" w:cs="Calibri"/>
        </w:rPr>
        <w:t>-Cultural Practice (</w:t>
      </w:r>
      <w:proofErr w:type="spellStart"/>
      <w:r w:rsidR="009525C0" w:rsidRPr="009525C0">
        <w:rPr>
          <w:rFonts w:ascii="Calibri" w:hAnsi="Calibri" w:cs="Calibri"/>
        </w:rPr>
        <w:t>Chhaupadi</w:t>
      </w:r>
      <w:proofErr w:type="spellEnd"/>
      <w:r w:rsidR="009525C0" w:rsidRPr="009525C0">
        <w:rPr>
          <w:rFonts w:ascii="Calibri" w:hAnsi="Calibri" w:cs="Calibri"/>
        </w:rPr>
        <w:t xml:space="preserve">) during Menstruation among Adolescent Girls in Nepal: Prevalence and Policies for Eradication’ (2021) 16(9) </w:t>
      </w:r>
      <w:proofErr w:type="spellStart"/>
      <w:r w:rsidR="009525C0" w:rsidRPr="009525C0">
        <w:rPr>
          <w:rFonts w:ascii="Calibri" w:hAnsi="Calibri" w:cs="Calibri"/>
          <w:i/>
          <w:iCs/>
        </w:rPr>
        <w:t>PLoS</w:t>
      </w:r>
      <w:proofErr w:type="spellEnd"/>
      <w:r w:rsidR="009525C0" w:rsidRPr="009525C0">
        <w:rPr>
          <w:rFonts w:ascii="Calibri" w:hAnsi="Calibri" w:cs="Calibri"/>
          <w:i/>
          <w:iCs/>
        </w:rPr>
        <w:t xml:space="preserve"> ONE</w:t>
      </w:r>
      <w:r w:rsidR="009525C0" w:rsidRPr="009525C0">
        <w:rPr>
          <w:rFonts w:ascii="Calibri" w:hAnsi="Calibri" w:cs="Calibri"/>
        </w:rPr>
        <w:t xml:space="preserve"> 1; Hannah Robinson, ‘</w:t>
      </w:r>
      <w:proofErr w:type="spellStart"/>
      <w:r w:rsidR="009525C0" w:rsidRPr="009525C0">
        <w:rPr>
          <w:rFonts w:ascii="Calibri" w:hAnsi="Calibri" w:cs="Calibri"/>
        </w:rPr>
        <w:t>Chaupadi</w:t>
      </w:r>
      <w:proofErr w:type="spellEnd"/>
      <w:r w:rsidR="009525C0" w:rsidRPr="009525C0">
        <w:rPr>
          <w:rFonts w:ascii="Calibri" w:hAnsi="Calibri" w:cs="Calibri"/>
        </w:rPr>
        <w:t xml:space="preserve">: The Affliction of </w:t>
      </w:r>
      <w:proofErr w:type="spellStart"/>
      <w:r w:rsidR="009525C0" w:rsidRPr="009525C0">
        <w:rPr>
          <w:rFonts w:ascii="Calibri" w:hAnsi="Calibri" w:cs="Calibri"/>
        </w:rPr>
        <w:t>Menses</w:t>
      </w:r>
      <w:proofErr w:type="spellEnd"/>
      <w:r w:rsidR="009525C0" w:rsidRPr="009525C0">
        <w:rPr>
          <w:rFonts w:ascii="Calibri" w:hAnsi="Calibri" w:cs="Calibri"/>
        </w:rPr>
        <w:t xml:space="preserve"> in Nepal’ (2015) 1(4) </w:t>
      </w:r>
      <w:r w:rsidR="009525C0" w:rsidRPr="009525C0">
        <w:rPr>
          <w:rFonts w:ascii="Calibri" w:hAnsi="Calibri" w:cs="Calibri"/>
          <w:i/>
          <w:iCs/>
        </w:rPr>
        <w:t>International Journal of Women’s Dermatology</w:t>
      </w:r>
      <w:r w:rsidR="009525C0" w:rsidRPr="009525C0">
        <w:rPr>
          <w:rFonts w:ascii="Calibri" w:hAnsi="Calibri" w:cs="Calibri"/>
        </w:rPr>
        <w:t xml:space="preserve"> 193.</w:t>
      </w:r>
      <w:r w:rsidRPr="00676B56">
        <w:rPr>
          <w:rFonts w:cstheme="minorHAnsi"/>
        </w:rPr>
        <w:fldChar w:fldCharType="end"/>
      </w:r>
    </w:p>
  </w:footnote>
  <w:footnote w:id="47">
    <w:p w14:paraId="14638543" w14:textId="15CFF419" w:rsidR="00E06809" w:rsidRPr="00676B56" w:rsidRDefault="00E06809"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25DA6">
        <w:rPr>
          <w:rFonts w:cstheme="minorHAnsi"/>
        </w:rPr>
        <w:instrText xml:space="preserve"> ADDIN ZOTERO_ITEM CSL_CITATION {"citationID":"melJyG5V","properties":{"formattedCitation":"Rai (n 29) 14.","plainCitation":"Rai (n 29) 14.","noteIndex":49},"citationItems":[{"id":5021,"uris":["http://zotero.org/users/9699311/items/T5Z8FRAB"],"itemData":{"id":5021,"type":"report","language":"en","publisher":"United Nations Nepal","source":"Zotero","title":"Harmful Practices in Nepal: Report on Community Perceptions","author":[{"family":"Rai","given":"Janak"}],"issued":{"date-parts":[["2020"]]}},"locator":"14","label":"page"}],"schema":"https://github.com/citation-style-language/schema/raw/master/csl-citation.json"} </w:instrText>
      </w:r>
      <w:r w:rsidRPr="00676B56">
        <w:rPr>
          <w:rFonts w:cstheme="minorHAnsi"/>
        </w:rPr>
        <w:fldChar w:fldCharType="separate"/>
      </w:r>
      <w:r w:rsidR="00625DA6" w:rsidRPr="00625DA6">
        <w:rPr>
          <w:rFonts w:ascii="Calibri" w:hAnsi="Calibri" w:cs="Calibri"/>
        </w:rPr>
        <w:t>Rai (n 2</w:t>
      </w:r>
      <w:r w:rsidR="00E615E1">
        <w:rPr>
          <w:rFonts w:ascii="Calibri" w:hAnsi="Calibri" w:cs="Calibri"/>
        </w:rPr>
        <w:t>6</w:t>
      </w:r>
      <w:r w:rsidR="00625DA6" w:rsidRPr="00625DA6">
        <w:rPr>
          <w:rFonts w:ascii="Calibri" w:hAnsi="Calibri" w:cs="Calibri"/>
        </w:rPr>
        <w:t>) 14.</w:t>
      </w:r>
      <w:r w:rsidRPr="00676B56">
        <w:rPr>
          <w:rFonts w:cstheme="minorHAnsi"/>
        </w:rPr>
        <w:fldChar w:fldCharType="end"/>
      </w:r>
    </w:p>
  </w:footnote>
  <w:footnote w:id="48">
    <w:p w14:paraId="66859C0C" w14:textId="744927D4" w:rsidR="00912871" w:rsidRPr="00676B56" w:rsidRDefault="00912871"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25DA6">
        <w:rPr>
          <w:rFonts w:cstheme="minorHAnsi"/>
        </w:rPr>
        <w:instrText xml:space="preserve"> ADDIN ZOTERO_ITEM CSL_CITATION {"citationID":"hlx3qosz","properties":{"formattedCitation":"Ibid 21.","plainCitation":"Ibid 21.","noteIndex":50},"citationItems":[{"id":5021,"uris":["http://zotero.org/users/9699311/items/T5Z8FRAB"],"itemData":{"id":5021,"type":"report","language":"en","publisher":"United Nations Nepal","source":"Zotero","title":"Harmful Practices in Nepal: Report on Community Perceptions","author":[{"family":"Rai","given":"Janak"}],"issued":{"date-parts":[["2020"]]}},"locator":"21","label":"page"}],"schema":"https://github.com/citation-style-language/schema/raw/master/csl-citation.json"} </w:instrText>
      </w:r>
      <w:r w:rsidRPr="00676B56">
        <w:rPr>
          <w:rFonts w:cstheme="minorHAnsi"/>
        </w:rPr>
        <w:fldChar w:fldCharType="separate"/>
      </w:r>
      <w:r w:rsidR="000A735A" w:rsidRPr="00676B56">
        <w:rPr>
          <w:rFonts w:cstheme="minorHAnsi"/>
        </w:rPr>
        <w:t>Ibid 21.</w:t>
      </w:r>
      <w:r w:rsidRPr="00676B56">
        <w:rPr>
          <w:rFonts w:cstheme="minorHAnsi"/>
        </w:rPr>
        <w:fldChar w:fldCharType="end"/>
      </w:r>
    </w:p>
  </w:footnote>
  <w:footnote w:id="49">
    <w:p w14:paraId="0CD92B2C" w14:textId="7E950FBD" w:rsidR="00E06809" w:rsidRPr="00676B56" w:rsidRDefault="00E06809"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25DA6">
        <w:rPr>
          <w:rFonts w:cstheme="minorHAnsi"/>
        </w:rPr>
        <w:instrText xml:space="preserve"> ADDIN ZOTERO_ITEM CSL_CITATION {"citationID":"gK3figxu","properties":{"formattedCitation":"Ibid 14.","plainCitation":"Ibid 14.","noteIndex":51},"citationItems":[{"id":5021,"uris":["http://zotero.org/users/9699311/items/T5Z8FRAB"],"itemData":{"id":5021,"type":"report","language":"en","publisher":"United Nations Nepal","source":"Zotero","title":"Harmful Practices in Nepal: Report on Community Perceptions","author":[{"family":"Rai","given":"Janak"}],"issued":{"date-parts":[["2020"]]}},"locator":"14","label":"page"}],"schema":"https://github.com/citation-style-language/schema/raw/master/csl-citation.json"} </w:instrText>
      </w:r>
      <w:r w:rsidRPr="00676B56">
        <w:rPr>
          <w:rFonts w:cstheme="minorHAnsi"/>
        </w:rPr>
        <w:fldChar w:fldCharType="separate"/>
      </w:r>
      <w:r w:rsidR="00E15D7F" w:rsidRPr="00E15D7F">
        <w:rPr>
          <w:rFonts w:ascii="Calibri" w:hAnsi="Calibri" w:cs="Calibri"/>
        </w:rPr>
        <w:t>Ibid 14.</w:t>
      </w:r>
      <w:r w:rsidRPr="00676B56">
        <w:rPr>
          <w:rFonts w:cstheme="minorHAnsi"/>
        </w:rPr>
        <w:fldChar w:fldCharType="end"/>
      </w:r>
    </w:p>
  </w:footnote>
  <w:footnote w:id="50">
    <w:p w14:paraId="257B07C0" w14:textId="0C24A50D" w:rsidR="0015648A" w:rsidRPr="00676B56" w:rsidRDefault="0015648A"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25DA6">
        <w:rPr>
          <w:rFonts w:cstheme="minorHAnsi"/>
        </w:rPr>
        <w:instrText xml:space="preserve"> ADDIN ZOTERO_ITEM CSL_CITATION {"citationID":"Mk1SBE5w","properties":{"formattedCitation":"Fiona Samuels and Anita Ghimire, \\uc0\\u8216{}Small but Persistent Steps on the Road to Gender Equality: Marriage Patterns in Far West Nepal\\uc0\\u8217{} in {\\i{}Empowering Adolescent Girls in Developing Countries: Gender Justice and Norm Change} (Routledge, 2018) 161.","plainCitation":"Fiona Samuels and Anita Ghimire, ‘Small but Persistent Steps on the Road to Gender Equality: Marriage Patterns in Far West Nepal’ in Empowering Adolescent Girls in Developing Countries: Gender Justice and Norm Change (Routledge, 2018) 161.","noteIndex":52},"citationItems":[{"id":4897,"uris":["http://zotero.org/users/9699311/items/MLQCRFR2"],"itemData":{"id":4897,"type":"chapter","abstract":"The Open Access version of this book, available at http://www.tandfebooks.com/doi/view/10.4324/9781315180250, has been made available under a Creative Commons Attribution-Non Commercial-No Derivatives 4.0 license Adolescence is a pivotal time in a girl's life. The development of educational, physical, psychosocial, familial, political and economic capabilities enable girls to reach their full potential and contribute to the wellbeing of their families and society. However, progress is still significantly constrained by discriminatory gender norms and the related attitudes and practices which restrict girls’ horizons, restrain their ambition and, if unfettered, allow exploitation and abuse.  Empowering Adolescent Girls in Developing Countries explores the detrimental impact of discriminatory gender norms on adolescent girls’ lives across very different contexts. Grounded in four years of in-depth research in Ethiopia, Nepal, Uganda and Viet Nam, the book adopts a holistic approach, recognising the inter-related nature of capabilities and the importance of local context. By exploring the theory of gendered norm change, contextualising and examining socialisation processes, the book identifies the patriarchal vested interests in power, authority and moral privilege, which combine in attempts to restrict and control girls’ lives.   Throughout the book, Empowering Adolescent Girls in Developing Countries demonstrates how efforts to develop more egalitarian gender norms can enable disadvantaged adolescent girls to change the course of their lives and contribute to societal change. Accessible and informative, the book is perfect for policy makers, think tanks, NGOs, activists, academics and students of gender and development studies.","container-title":"Empowering Adolescent Girls in Developing Countries: Gender Justice and Norm Change","ISBN":"978-1-351-71878-3","language":"en","note":"Google-Books-ID: 0OFLDwAAQBAJ","publisher":"Routledge","source":"Google Books","title":"Small but Persistent Steps on the Road to Gender Equality: Marriage Patterns in Far West Nepal","author":[{"family":"Samuels","given":"Fiona"},{"family":"Ghimire","given":"Anita"}],"issued":{"date-parts":[["2018",2,13]]}},"locator":"161","label":"page"}],"schema":"https://github.com/citation-style-language/schema/raw/master/csl-citation.json"} </w:instrText>
      </w:r>
      <w:r w:rsidRPr="00676B56">
        <w:rPr>
          <w:rFonts w:cstheme="minorHAnsi"/>
        </w:rPr>
        <w:fldChar w:fldCharType="separate"/>
      </w:r>
      <w:r w:rsidRPr="00676B56">
        <w:rPr>
          <w:rFonts w:cstheme="minorHAnsi"/>
        </w:rPr>
        <w:t>Fiona Samuels and Anita Ghimire, ‘Small but Persistent Steps on the Road to Gender Equality: Marriage Patterns in Far West Nepal’ in</w:t>
      </w:r>
      <w:r w:rsidR="0057337B">
        <w:rPr>
          <w:rFonts w:cstheme="minorHAnsi"/>
        </w:rPr>
        <w:t xml:space="preserve"> Caroline Harper, Nicola Jones, </w:t>
      </w:r>
      <w:r w:rsidR="00863C72">
        <w:rPr>
          <w:rFonts w:cstheme="minorHAnsi"/>
        </w:rPr>
        <w:t>Anita Ghimire, Rachel Marcus</w:t>
      </w:r>
      <w:r w:rsidR="001240F8">
        <w:rPr>
          <w:rFonts w:cstheme="minorHAnsi"/>
        </w:rPr>
        <w:t xml:space="preserve"> and Grace Kyomuhendo </w:t>
      </w:r>
      <w:proofErr w:type="spellStart"/>
      <w:r w:rsidR="001240F8">
        <w:rPr>
          <w:rFonts w:cstheme="minorHAnsi"/>
        </w:rPr>
        <w:t>Bantebya</w:t>
      </w:r>
      <w:proofErr w:type="spellEnd"/>
      <w:r w:rsidR="00543692">
        <w:rPr>
          <w:rFonts w:cstheme="minorHAnsi"/>
        </w:rPr>
        <w:t xml:space="preserve"> (eds),</w:t>
      </w:r>
      <w:r w:rsidRPr="00676B56">
        <w:rPr>
          <w:rFonts w:cstheme="minorHAnsi"/>
        </w:rPr>
        <w:t xml:space="preserve"> </w:t>
      </w:r>
      <w:r w:rsidRPr="00676B56">
        <w:rPr>
          <w:rFonts w:cstheme="minorHAnsi"/>
          <w:i/>
          <w:iCs/>
        </w:rPr>
        <w:t>Empowering Adolescent Girls in Developing Countries: Gender Justice and Norm Change</w:t>
      </w:r>
      <w:r w:rsidRPr="00676B56">
        <w:rPr>
          <w:rFonts w:cstheme="minorHAnsi"/>
        </w:rPr>
        <w:t xml:space="preserve"> (Routledge, 2018) 161.</w:t>
      </w:r>
      <w:r w:rsidRPr="00676B56">
        <w:rPr>
          <w:rFonts w:cstheme="minorHAnsi"/>
        </w:rPr>
        <w:fldChar w:fldCharType="end"/>
      </w:r>
    </w:p>
  </w:footnote>
  <w:footnote w:id="51">
    <w:p w14:paraId="3047E610" w14:textId="78EF42CC" w:rsidR="0055526C" w:rsidRPr="00676B56" w:rsidRDefault="0055526C"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57BE3">
        <w:rPr>
          <w:rFonts w:cstheme="minorHAnsi"/>
        </w:rPr>
        <w:instrText xml:space="preserve"> ADDIN ZOTERO_ITEM CSL_CITATION {"citationID":"sh9BCuh4","properties":{"formattedCitation":"UN Committee on the Rights of the Child, \\uc0\\u8216{}Concluding Observations on the Combined Third to Fifth Periodic Reports of Nepal\\uc0\\u8217{} 39.","plainCitation":"UN Committee on the Rights of the Child, ‘Concluding Observations on the Combined Third to Fifth Periodic Reports of Nepal’ 39.","dontUpdate":true,"noteIndex":54},"citationItems":[{"id":2708,"uris":["http://zotero.org/users/9699311/items/9G88QIWV"],"itemData":{"id":2708,"type":"document","title":"Concluding observations on the combined third to fifth periodic reports of Nepal, UN Doc CRC/C/NPL/CO/3-5 (8 July 2016).","author":[{"literal":"UN Committee on the Rights of the Child"}],"issued":{"date-parts":[["2016"]]}},"locator":"39","label":"paragraph"}],"schema":"https://github.com/citation-style-language/schema/raw/master/csl-citation.json"} </w:instrText>
      </w:r>
      <w:r w:rsidRPr="00676B56">
        <w:rPr>
          <w:rFonts w:cstheme="minorHAnsi"/>
        </w:rPr>
        <w:fldChar w:fldCharType="separate"/>
      </w:r>
      <w:r w:rsidR="0015648A" w:rsidRPr="00676B56">
        <w:rPr>
          <w:rFonts w:cstheme="minorHAnsi"/>
        </w:rPr>
        <w:t>U</w:t>
      </w:r>
      <w:r w:rsidR="00D47509">
        <w:rPr>
          <w:rFonts w:cstheme="minorHAnsi"/>
        </w:rPr>
        <w:t xml:space="preserve">nited </w:t>
      </w:r>
      <w:r w:rsidR="0015648A" w:rsidRPr="00676B56">
        <w:rPr>
          <w:rFonts w:cstheme="minorHAnsi"/>
        </w:rPr>
        <w:t>N</w:t>
      </w:r>
      <w:r w:rsidR="00D47509">
        <w:rPr>
          <w:rFonts w:cstheme="minorHAnsi"/>
        </w:rPr>
        <w:t>ations</w:t>
      </w:r>
      <w:r w:rsidR="0015648A" w:rsidRPr="00676B56">
        <w:rPr>
          <w:rFonts w:cstheme="minorHAnsi"/>
        </w:rPr>
        <w:t xml:space="preserve"> Committee on the Rights of the Child, </w:t>
      </w:r>
      <w:r w:rsidR="0015648A" w:rsidRPr="007F1339">
        <w:rPr>
          <w:rFonts w:cstheme="minorHAnsi"/>
          <w:i/>
          <w:iCs/>
        </w:rPr>
        <w:t>Concluding Observations on the Combined Third to Fifth Periodic Reports of Nepal</w:t>
      </w:r>
      <w:r w:rsidR="007F1339">
        <w:rPr>
          <w:rFonts w:cstheme="minorHAnsi"/>
        </w:rPr>
        <w:t>,</w:t>
      </w:r>
      <w:r w:rsidR="0015648A" w:rsidRPr="00676B56">
        <w:rPr>
          <w:rFonts w:cstheme="minorHAnsi"/>
        </w:rPr>
        <w:t xml:space="preserve"> </w:t>
      </w:r>
      <w:r w:rsidR="007F1339" w:rsidRPr="007F1339">
        <w:rPr>
          <w:rFonts w:cstheme="minorHAnsi"/>
        </w:rPr>
        <w:t>UN Doc CRC/C/NPL/CO/3-5 (8 July 2016)</w:t>
      </w:r>
      <w:r w:rsidR="007F1339">
        <w:rPr>
          <w:rFonts w:cstheme="minorHAnsi"/>
        </w:rPr>
        <w:t xml:space="preserve"> [</w:t>
      </w:r>
      <w:r w:rsidR="0015648A" w:rsidRPr="00676B56">
        <w:rPr>
          <w:rFonts w:cstheme="minorHAnsi"/>
        </w:rPr>
        <w:t>39</w:t>
      </w:r>
      <w:r w:rsidR="007F1339">
        <w:rPr>
          <w:rFonts w:cstheme="minorHAnsi"/>
        </w:rPr>
        <w:t>]</w:t>
      </w:r>
      <w:r w:rsidR="0015648A" w:rsidRPr="00676B56">
        <w:rPr>
          <w:rFonts w:cstheme="minorHAnsi"/>
        </w:rPr>
        <w:t>.</w:t>
      </w:r>
      <w:r w:rsidRPr="00676B56">
        <w:rPr>
          <w:rFonts w:cstheme="minorHAnsi"/>
        </w:rPr>
        <w:fldChar w:fldCharType="end"/>
      </w:r>
    </w:p>
  </w:footnote>
  <w:footnote w:id="52">
    <w:p w14:paraId="37C0E37D" w14:textId="69F5A935" w:rsidR="00A57CD2" w:rsidRPr="00676B56" w:rsidRDefault="00A57CD2"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57BE3">
        <w:rPr>
          <w:rFonts w:cstheme="minorHAnsi"/>
        </w:rPr>
        <w:instrText xml:space="preserve"> ADDIN ZOTERO_ITEM CSL_CITATION {"citationID":"lR8gzczl","properties":{"formattedCitation":"Ibid [38].","plainCitation":"Ibid [38].","noteIndex":55},"citationItems":[{"id":2708,"uris":["http://zotero.org/users/9699311/items/9G88QIWV"],"itemData":{"id":2708,"type":"document","title":"Concluding observations on the combined third to fifth periodic reports of Nepal, UN Doc CRC/C/NPL/CO/3-5 (8 July 2016).","author":[{"literal":"UN Committee on the Rights of the Child"}],"issued":{"date-parts":[["2016"]]}},"locator":"[38]","label":"paragraph"}],"schema":"https://github.com/citation-style-language/schema/raw/master/csl-citation.json"} </w:instrText>
      </w:r>
      <w:r w:rsidRPr="00676B56">
        <w:rPr>
          <w:rFonts w:cstheme="minorHAnsi"/>
        </w:rPr>
        <w:fldChar w:fldCharType="separate"/>
      </w:r>
      <w:r w:rsidRPr="00676B56">
        <w:rPr>
          <w:rFonts w:cstheme="minorHAnsi"/>
        </w:rPr>
        <w:t>Ibid [38].</w:t>
      </w:r>
      <w:r w:rsidRPr="00676B56">
        <w:rPr>
          <w:rFonts w:cstheme="minorHAnsi"/>
        </w:rPr>
        <w:fldChar w:fldCharType="end"/>
      </w:r>
    </w:p>
  </w:footnote>
  <w:footnote w:id="53">
    <w:p w14:paraId="5151C0B0" w14:textId="49DA5EAF" w:rsidR="0055526C" w:rsidRPr="00676B56" w:rsidRDefault="0055526C"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57BE3">
        <w:rPr>
          <w:rFonts w:cstheme="minorHAnsi"/>
        </w:rPr>
        <w:instrText xml:space="preserve"> ADDIN ZOTERO_ITEM CSL_CITATION {"citationID":"2QVkTnnO","properties":{"formattedCitation":"Ibid 30.","plainCitation":"Ibid 30.","noteIndex":56},"citationItems":[{"id":2708,"uris":["http://zotero.org/users/9699311/items/9G88QIWV"],"itemData":{"id":2708,"type":"document","title":"Concluding observations on the combined third to fifth periodic reports of Nepal, UN Doc CRC/C/NPL/CO/3-5 (8 July 2016).","author":[{"literal":"UN Committee on the Rights of the Child"}],"issued":{"date-parts":[["2016"]]}},"locator":"30","label":"paragraph"}],"schema":"https://github.com/citation-style-language/schema/raw/master/csl-citation.json"} </w:instrText>
      </w:r>
      <w:r w:rsidRPr="00676B56">
        <w:rPr>
          <w:rFonts w:cstheme="minorHAnsi"/>
        </w:rPr>
        <w:fldChar w:fldCharType="separate"/>
      </w:r>
      <w:r w:rsidRPr="00676B56">
        <w:rPr>
          <w:rFonts w:cstheme="minorHAnsi"/>
        </w:rPr>
        <w:t xml:space="preserve">Ibid </w:t>
      </w:r>
      <w:r w:rsidR="00380ECD">
        <w:rPr>
          <w:rFonts w:cstheme="minorHAnsi"/>
        </w:rPr>
        <w:t>[</w:t>
      </w:r>
      <w:r w:rsidRPr="00676B56">
        <w:rPr>
          <w:rFonts w:cstheme="minorHAnsi"/>
        </w:rPr>
        <w:t>30</w:t>
      </w:r>
      <w:r w:rsidR="00380ECD">
        <w:rPr>
          <w:rFonts w:cstheme="minorHAnsi"/>
        </w:rPr>
        <w:t>]</w:t>
      </w:r>
      <w:r w:rsidRPr="00676B56">
        <w:rPr>
          <w:rFonts w:cstheme="minorHAnsi"/>
        </w:rPr>
        <w:t>.</w:t>
      </w:r>
      <w:r w:rsidRPr="00676B56">
        <w:rPr>
          <w:rFonts w:cstheme="minorHAnsi"/>
        </w:rPr>
        <w:fldChar w:fldCharType="end"/>
      </w:r>
    </w:p>
  </w:footnote>
  <w:footnote w:id="54">
    <w:p w14:paraId="40132A31" w14:textId="40736EB2" w:rsidR="009D3372" w:rsidRPr="00676B56" w:rsidRDefault="009D3372"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57BE3">
        <w:rPr>
          <w:rFonts w:cstheme="minorHAnsi"/>
        </w:rPr>
        <w:instrText xml:space="preserve"> ADDIN ZOTERO_ITEM CSL_CITATION {"citationID":"9O4JX7FU","properties":{"formattedCitation":"Ibid [32].","plainCitation":"Ibid [32].","noteIndex":57},"citationItems":[{"id":2708,"uris":["http://zotero.org/users/9699311/items/9G88QIWV"],"itemData":{"id":2708,"type":"document","title":"Concluding observations on the combined third to fifth periodic reports of Nepal, UN Doc CRC/C/NPL/CO/3-5 (8 July 2016).","author":[{"literal":"UN Committee on the Rights of the Child"}],"issued":{"date-parts":[["2016"]]}},"locator":"[32]","label":"paragraph"}],"schema":"https://github.com/citation-style-language/schema/raw/master/csl-citation.json"} </w:instrText>
      </w:r>
      <w:r w:rsidRPr="00676B56">
        <w:rPr>
          <w:rFonts w:cstheme="minorHAnsi"/>
        </w:rPr>
        <w:fldChar w:fldCharType="separate"/>
      </w:r>
      <w:r w:rsidR="00852737" w:rsidRPr="00676B56">
        <w:rPr>
          <w:rFonts w:cstheme="minorHAnsi"/>
        </w:rPr>
        <w:t>Ibid [32].</w:t>
      </w:r>
      <w:r w:rsidRPr="00676B56">
        <w:rPr>
          <w:rFonts w:cstheme="minorHAnsi"/>
        </w:rPr>
        <w:fldChar w:fldCharType="end"/>
      </w:r>
    </w:p>
  </w:footnote>
  <w:footnote w:id="55">
    <w:p w14:paraId="3A467477" w14:textId="49DD2251" w:rsidR="009D3372" w:rsidRPr="00676B56" w:rsidRDefault="009D3372"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57BE3">
        <w:rPr>
          <w:rFonts w:cstheme="minorHAnsi"/>
        </w:rPr>
        <w:instrText xml:space="preserve"> ADDIN ZOTERO_ITEM CSL_CITATION {"citationID":"SS5g4wts","properties":{"formattedCitation":"Ibid [55].","plainCitation":"Ibid [55].","noteIndex":58},"citationItems":[{"id":2708,"uris":["http://zotero.org/users/9699311/items/9G88QIWV"],"itemData":{"id":2708,"type":"document","title":"Concluding observations on the combined third to fifth periodic reports of Nepal, UN Doc CRC/C/NPL/CO/3-5 (8 July 2016).","author":[{"literal":"UN Committee on the Rights of the Child"}],"issued":{"date-parts":[["2016"]]}},"locator":"[55]","label":"page"}],"schema":"https://github.com/citation-style-language/schema/raw/master/csl-citation.json"} </w:instrText>
      </w:r>
      <w:r w:rsidRPr="00676B56">
        <w:rPr>
          <w:rFonts w:cstheme="minorHAnsi"/>
        </w:rPr>
        <w:fldChar w:fldCharType="separate"/>
      </w:r>
      <w:r w:rsidRPr="00676B56">
        <w:rPr>
          <w:rFonts w:cstheme="minorHAnsi"/>
        </w:rPr>
        <w:t>Ibid [55].</w:t>
      </w:r>
      <w:r w:rsidRPr="00676B56">
        <w:rPr>
          <w:rFonts w:cstheme="minorHAnsi"/>
        </w:rPr>
        <w:fldChar w:fldCharType="end"/>
      </w:r>
    </w:p>
  </w:footnote>
  <w:footnote w:id="56">
    <w:p w14:paraId="716F87B9" w14:textId="27EBD34E" w:rsidR="000A735A" w:rsidRPr="00676B56" w:rsidRDefault="000A735A"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57BE3">
        <w:rPr>
          <w:rFonts w:cstheme="minorHAnsi"/>
        </w:rPr>
        <w:instrText xml:space="preserve"> ADDIN ZOTERO_ITEM CSL_CITATION {"citationID":"CF5t0CDy","properties":{"formattedCitation":"See for instance ibid 28, 34 and 39.","plainCitation":"See for instance ibid 28, 34 and 39.","noteIndex":59},"citationItems":[{"id":2708,"uris":["http://zotero.org/users/9699311/items/9G88QIWV"],"itemData":{"id":2708,"type":"document","title":"Concluding observations on the combined third to fifth periodic reports of Nepal, UN Doc CRC/C/NPL/CO/3-5 (8 July 2016).","author":[{"literal":"UN Committee on the Rights of the Child"}],"issued":{"date-parts":[["2016"]]}},"locator":"28, 34 and 39","label":"paragraph","prefix":"See for instance"}],"schema":"https://github.com/citation-style-language/schema/raw/master/csl-citation.json"} </w:instrText>
      </w:r>
      <w:r w:rsidRPr="00676B56">
        <w:rPr>
          <w:rFonts w:cstheme="minorHAnsi"/>
        </w:rPr>
        <w:fldChar w:fldCharType="separate"/>
      </w:r>
      <w:r w:rsidRPr="00676B56">
        <w:rPr>
          <w:rFonts w:cstheme="minorHAnsi"/>
        </w:rPr>
        <w:t>See</w:t>
      </w:r>
      <w:r w:rsidR="00157E2D">
        <w:rPr>
          <w:rFonts w:cstheme="minorHAnsi"/>
        </w:rPr>
        <w:t>,</w:t>
      </w:r>
      <w:r w:rsidRPr="00676B56">
        <w:rPr>
          <w:rFonts w:cstheme="minorHAnsi"/>
        </w:rPr>
        <w:t xml:space="preserve"> for instance</w:t>
      </w:r>
      <w:r w:rsidR="00157E2D">
        <w:rPr>
          <w:rFonts w:cstheme="minorHAnsi"/>
        </w:rPr>
        <w:t>,</w:t>
      </w:r>
      <w:r w:rsidRPr="00676B56">
        <w:rPr>
          <w:rFonts w:cstheme="minorHAnsi"/>
        </w:rPr>
        <w:t xml:space="preserve"> ibid </w:t>
      </w:r>
      <w:r w:rsidR="00380ECD">
        <w:rPr>
          <w:rFonts w:cstheme="minorHAnsi"/>
        </w:rPr>
        <w:t>[</w:t>
      </w:r>
      <w:r w:rsidRPr="00676B56">
        <w:rPr>
          <w:rFonts w:cstheme="minorHAnsi"/>
        </w:rPr>
        <w:t>28</w:t>
      </w:r>
      <w:r w:rsidR="00380ECD">
        <w:rPr>
          <w:rFonts w:cstheme="minorHAnsi"/>
        </w:rPr>
        <w:t>]</w:t>
      </w:r>
      <w:r w:rsidRPr="00676B56">
        <w:rPr>
          <w:rFonts w:cstheme="minorHAnsi"/>
        </w:rPr>
        <w:t xml:space="preserve">, </w:t>
      </w:r>
      <w:r w:rsidR="00380ECD">
        <w:rPr>
          <w:rFonts w:cstheme="minorHAnsi"/>
        </w:rPr>
        <w:t>[</w:t>
      </w:r>
      <w:r w:rsidRPr="00676B56">
        <w:rPr>
          <w:rFonts w:cstheme="minorHAnsi"/>
        </w:rPr>
        <w:t>34</w:t>
      </w:r>
      <w:r w:rsidR="00380ECD">
        <w:rPr>
          <w:rFonts w:cstheme="minorHAnsi"/>
        </w:rPr>
        <w:t>]</w:t>
      </w:r>
      <w:r w:rsidRPr="00676B56">
        <w:rPr>
          <w:rFonts w:cstheme="minorHAnsi"/>
        </w:rPr>
        <w:t xml:space="preserve"> and </w:t>
      </w:r>
      <w:r w:rsidR="00380ECD">
        <w:rPr>
          <w:rFonts w:cstheme="minorHAnsi"/>
        </w:rPr>
        <w:t>[</w:t>
      </w:r>
      <w:r w:rsidRPr="00676B56">
        <w:rPr>
          <w:rFonts w:cstheme="minorHAnsi"/>
        </w:rPr>
        <w:t>39</w:t>
      </w:r>
      <w:r w:rsidR="00380ECD">
        <w:rPr>
          <w:rFonts w:cstheme="minorHAnsi"/>
        </w:rPr>
        <w:t>]</w:t>
      </w:r>
      <w:r w:rsidRPr="00676B56">
        <w:rPr>
          <w:rFonts w:cstheme="minorHAnsi"/>
        </w:rPr>
        <w:t>.</w:t>
      </w:r>
      <w:r w:rsidRPr="00676B56">
        <w:rPr>
          <w:rFonts w:cstheme="minorHAnsi"/>
        </w:rPr>
        <w:fldChar w:fldCharType="end"/>
      </w:r>
    </w:p>
  </w:footnote>
  <w:footnote w:id="57">
    <w:p w14:paraId="2FDB6EEC" w14:textId="0FEC6362" w:rsidR="00BA2118" w:rsidRPr="00676B56" w:rsidRDefault="00BA2118"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C63C2B">
        <w:rPr>
          <w:rFonts w:cstheme="minorHAnsi"/>
        </w:rPr>
        <w:instrText xml:space="preserve"> ADDIN ZOTERO_ITEM CSL_CITATION {"citationID":"xemij4HC","properties":{"formattedCitation":"Usha Rana, \\uc0\\u8216{}Are We Safe? An Investigation on \\uc0\\u8220{}Eve-Teasing\\uc0\\u8221{} (or Public Sexual Harassment) in India\\uc0\\u8217{} [2023] {\\i{}Journal of International Women\\uc0\\u8217{}s Studies} &lt;https://osf.io/3y9u6&gt;; Sharon L Talboys et al, \\uc0\\u8216{}What Is Eve Teasing? A Mixed Methods Study of Sexual Harassment of Young Women in the Rural Indian Context\\uc0\\u8217{} (2017) 7(1) {\\i{}SAGE Open} 215824401769716; see also Fileborn and O\\uc0\\u8217{}Neill (n 26) 131.","plainCitation":"Usha Rana, ‘Are We Safe? An Investigation on “Eve-Teasing” (or Public Sexual Harassment) in India’ [2023] Journal of International Women’s Studies &lt;https://osf.io/3y9u6&gt;; Sharon L Talboys et al, ‘What Is Eve Teasing? A Mixed Methods Study of Sexual Harassment of Young Women in the Rural Indian Context’ (2017) 7(1) SAGE Open 215824401769716; see also Fileborn and O’Neill (n 26) 131.","dontUpdate":true,"noteIndex":60},"citationItems":[{"id":5140,"uris":["http://zotero.org/users/9699311/items/PNC2IYYG"],"itemData":{"id":5140,"type":"article-journal","abstract":"In recent years, many countries have tightened the rules against harassment at the workplace and violence in the home. On the other hand, the incidences of sexual harassment in public places have not been paid sufficient attention, specifically against women. Developing countries like India have recorded the increment of sexual harassment cases in public places due to the increment in participation of women in outside activities such as education and employment. In India, the term ‘Eve-teasing’ is a euphemism that is used for sexual harassment in public places. Eve-teasing is identified as a significant problem in the patriarchal society of India that causes dreadful implications on women. The daily encounter with sexual harassment leads to a decline in their career and also socio-economic and political opportunities for them. In recent years, these misdeeds have been spread at every corner of our society and have become a national problem. Eve-teasing is not considered atrocious and strong laws have not been enacted to counteract it. To this end, this study has been conducted to identify the socio-psychological repercussions of Eve-teasing on girl cadets of the National Cadet Corps (NCC) aged between 19 and 24 years. Moreover, the significance of NCC in empowering the girl cadets in dealing with daily harassment is also the focus of the investigation. Particularly, the structural feminist approach is adopted to offer a critical framework to examine the patriarchal socialization of men and women as the most common cause of Eve-teasing. A total of 262 women participated in this study. The data were collected at the national camp of NCC held in New Delhi through a semi-structured questionnaire and focus group discussions from January 18 to 29, 2020. Out of the total respondents, 83.20% were exposed to Eve-teasing in their lives, while 15.26% of them did not disclose about such incidents. The study concludes by highlighting the negative implications of Eve-teasing on the life of adolescent females and also with disclosing their suffering and struggle. Although, the respondents were the cadets of the National Cadet Corps (NCC), which helped them to shape self-confidence to fight against such sexual harassment acts. Therefore, it is suggested to the governments (state and central) to emphasize the involvement of the agencies having similar goals as NCC in empowering the females in the early years.","container-title":"Journal of International Women's Studies","DOI":"https://osf.io/preprints/socarxiv/3y9u6/","language":"en","note":"DOI: 10.31235/osf.io/3y9u6","source":"DOI.org (Crossref)","title":"Are we Safe? An Investigation on ‘Eve-teasing’ (or public sexual harassment) in India","URL":"https://osf.io/3y9u6","author":[{"family":"Rana","given":"Usha"}],"accessed":{"date-parts":[["2023",5,15]]},"issued":{"date-parts":[["2023",2,19]]}}},{"id":5142,"uris":["http://zotero.org/users/9699311/items/ZYWCR472"],"itemData":{"id":5142,"type":"article-journal","abstract":"Eve teasing was identified as a significant community problem through a community-based participatory process with nine villages in Punjab, India. Eve teasing is a common euphemism in South Asia for sexual harassment of women in public areas by men. The purpose of this study was to characterize the meaning of eve teasing in the rural context, especially among female youth, and to develop a means to measure its occurrence. Mixed methods were utilized including focus group discussions (FGDs), semistructured interviews, and direct observation of questionnaire administration. Thirty-four people participated in six FGDs; two with adolescent boys (n = 10), two with adolescent girls (n = 15), and two with women ages 20 to 26 years (n = 9). Eighty-nine females, ages 14 to 26 years, were recruited through purposive sampling for face-to-face interviews in homes and schools. Twenty-four interviews were observed directly to aid questionnaire development. Eve teasing was described as staring, stalking, passing comments, and inappropriate physical touch. Perceived consequences of eve teasing included tight restrictions on girls’ mobility, inability to attend school or work, girls being blamed, and causing family problems. FGD participants suggested that eve teasing can lead to depression and suicide. Among the 36 (40.4%) interview participants who reported eve teasing, 61.1% reported feelings of anger, 47.2% reported feelings of shame or humiliation, and more than one third reported feelings of fear, worry, or tension. The questionnaire offers a means to assess the occurrence of eve teasing that is culturally relevant and age appropriate for female youth in India.","container-title":"SAGE Open","DOI":"10.1177/2158244017697168","ISSN":"2158-2440, 2158-2440","issue":"1","journalAbbreviation":"SAGE Open","language":"en","page":"1-10","source":"DOI.org (Crossref)","title":"What Is Eve Teasing? A Mixed Methods Study of Sexual Harassment of Young Women in the Rural Indian Context","volume":"7","author":[{"family":"Talboys","given":"Sharon L."},{"family":"Kaur","given":"Manmeet"},{"family":"VanDerslice","given":"James"},{"family":"Gren","given":"Lisa H."},{"family":"Bhattacharya","given":"Haimanti"},{"family":"Alder","given":"Stephen C."}],"issued":{"date-parts":[["2017",1]]}}},{"id":5155,"uris":["http://zotero.org/users/9699311/items/VQ5MUJUB"],"itemData":{"id":5155,"type":"article-journal","abstract":"Street harassment represents one of the most pervasive forms of sexual violence. While it is commonly understood as a gender-based harm, it also intersects with racist, homophobic, transphobic, ableist, and other forms of abuse. Although it is rarely responded to through government policy, research illustrates that street harassment can have profoundly negative impacts of those who experience it. This article provides a comprehensive review of the current “state of the field” of street harassment research. We undertook two extensive searches of the EBSCO Discovery database in 2015 and 2020, followed by the use of reference snowballing and a Google Scholar search in order to triangulate results. Studies included in the sample were published in English, peer-reviewed and centrally focused on street harassment. Dissertations and nongovernmental organization reports were also included due to the small number of studies in this field. One hundred eighty-two sources were included in the final sample. Findings show that publications on this topic have increased substantially across the two reviews. We provide a thematic overview of key research findings to date and argue throughout that current research suffers from conceptual and typological slippage and does not consistently take into account the need for an intersectional analysis. We close with suggestions for future directions in research and practice, given the emergent nature of the field.","container-title":"Trauma, Violence, &amp; Abuse","DOI":"10.1177/15248380211021608","ISSN":"1524-8380, 1552-8324","issue":"1","journalAbbreviation":"Trauma, Violence, &amp; Abuse","language":"en","page":"125-138","source":"DOI.org (Crossref)","title":"From “Ghettoization” to a Field of Its Own: A Comprehensive Review of Street Harassment Research","volume":"24","author":[{"family":"Fileborn","given":"Bianca"},{"family":"O’Neill","given":"Tully"}],"issued":{"date-parts":[["2023",1]]}},"locator":"131","label":"page","prefix":"see also"}],"schema":"https://github.com/citation-style-language/schema/raw/master/csl-citation.json"} </w:instrText>
      </w:r>
      <w:r w:rsidRPr="00676B56">
        <w:rPr>
          <w:rFonts w:cstheme="minorHAnsi"/>
        </w:rPr>
        <w:fldChar w:fldCharType="separate"/>
      </w:r>
      <w:r w:rsidR="009525C0" w:rsidRPr="009525C0">
        <w:rPr>
          <w:rFonts w:ascii="Calibri" w:hAnsi="Calibri" w:cs="Calibri"/>
        </w:rPr>
        <w:t xml:space="preserve">Usha Rana, ‘Are We Safe? An Investigation on “Eve-Teasing” (or Public Sexual Harassment) in India’ </w:t>
      </w:r>
      <w:r w:rsidR="00626AA9">
        <w:rPr>
          <w:rFonts w:ascii="Calibri" w:hAnsi="Calibri" w:cs="Calibri"/>
        </w:rPr>
        <w:t>(</w:t>
      </w:r>
      <w:r w:rsidR="009525C0" w:rsidRPr="009525C0">
        <w:rPr>
          <w:rFonts w:ascii="Calibri" w:hAnsi="Calibri" w:cs="Calibri"/>
        </w:rPr>
        <w:t>2023</w:t>
      </w:r>
      <w:proofErr w:type="gramStart"/>
      <w:r w:rsidR="00626AA9">
        <w:rPr>
          <w:rFonts w:ascii="Calibri" w:hAnsi="Calibri" w:cs="Calibri"/>
        </w:rPr>
        <w:t>)</w:t>
      </w:r>
      <w:r w:rsidR="009525C0" w:rsidRPr="009525C0">
        <w:rPr>
          <w:rFonts w:ascii="Calibri" w:hAnsi="Calibri" w:cs="Calibri"/>
        </w:rPr>
        <w:t xml:space="preserve"> </w:t>
      </w:r>
      <w:r w:rsidR="00E20F0F">
        <w:rPr>
          <w:rFonts w:ascii="Calibri" w:hAnsi="Calibri" w:cs="Calibri"/>
        </w:rPr>
        <w:t xml:space="preserve"> 25</w:t>
      </w:r>
      <w:proofErr w:type="gramEnd"/>
      <w:r w:rsidR="00E20F0F">
        <w:rPr>
          <w:rFonts w:ascii="Calibri" w:hAnsi="Calibri" w:cs="Calibri"/>
        </w:rPr>
        <w:t>(</w:t>
      </w:r>
      <w:proofErr w:type="gramStart"/>
      <w:r w:rsidR="00E20F0F">
        <w:rPr>
          <w:rFonts w:ascii="Calibri" w:hAnsi="Calibri" w:cs="Calibri"/>
        </w:rPr>
        <w:t>7)</w:t>
      </w:r>
      <w:r w:rsidR="009525C0" w:rsidRPr="009525C0">
        <w:rPr>
          <w:rFonts w:ascii="Calibri" w:hAnsi="Calibri" w:cs="Calibri"/>
          <w:i/>
          <w:iCs/>
        </w:rPr>
        <w:t>Journal</w:t>
      </w:r>
      <w:proofErr w:type="gramEnd"/>
      <w:r w:rsidR="009525C0" w:rsidRPr="009525C0">
        <w:rPr>
          <w:rFonts w:ascii="Calibri" w:hAnsi="Calibri" w:cs="Calibri"/>
          <w:i/>
          <w:iCs/>
        </w:rPr>
        <w:t xml:space="preserve"> of International Women’s Studies</w:t>
      </w:r>
      <w:r w:rsidR="006262EE">
        <w:rPr>
          <w:rFonts w:ascii="Calibri" w:hAnsi="Calibri" w:cs="Calibri"/>
        </w:rPr>
        <w:t xml:space="preserve"> 1</w:t>
      </w:r>
      <w:r w:rsidR="009525C0" w:rsidRPr="009525C0">
        <w:rPr>
          <w:rFonts w:ascii="Calibri" w:hAnsi="Calibri" w:cs="Calibri"/>
        </w:rPr>
        <w:t>; Sharon L Talboys</w:t>
      </w:r>
      <w:r w:rsidR="007A7D9C">
        <w:rPr>
          <w:rFonts w:ascii="Calibri" w:hAnsi="Calibri" w:cs="Calibri"/>
        </w:rPr>
        <w:t>, Manmeet</w:t>
      </w:r>
      <w:r w:rsidR="009525C0" w:rsidRPr="009525C0">
        <w:rPr>
          <w:rFonts w:ascii="Calibri" w:hAnsi="Calibri" w:cs="Calibri"/>
        </w:rPr>
        <w:t xml:space="preserve"> </w:t>
      </w:r>
      <w:r w:rsidR="007A7D9C" w:rsidRPr="007A7D9C">
        <w:rPr>
          <w:rFonts w:ascii="Calibri" w:hAnsi="Calibri" w:cs="Calibri"/>
        </w:rPr>
        <w:t>Kaur,</w:t>
      </w:r>
      <w:r w:rsidR="007A7D9C">
        <w:rPr>
          <w:rFonts w:ascii="Calibri" w:hAnsi="Calibri" w:cs="Calibri"/>
        </w:rPr>
        <w:t xml:space="preserve"> James</w:t>
      </w:r>
      <w:r w:rsidR="007A7D9C" w:rsidRPr="007A7D9C">
        <w:rPr>
          <w:rFonts w:ascii="Calibri" w:hAnsi="Calibri" w:cs="Calibri"/>
        </w:rPr>
        <w:t xml:space="preserve"> </w:t>
      </w:r>
      <w:proofErr w:type="spellStart"/>
      <w:r w:rsidR="007A7D9C" w:rsidRPr="007A7D9C">
        <w:rPr>
          <w:rFonts w:ascii="Calibri" w:hAnsi="Calibri" w:cs="Calibri"/>
        </w:rPr>
        <w:t>VanDerslice</w:t>
      </w:r>
      <w:proofErr w:type="spellEnd"/>
      <w:r w:rsidR="007A7D9C" w:rsidRPr="007A7D9C">
        <w:rPr>
          <w:rFonts w:ascii="Calibri" w:hAnsi="Calibri" w:cs="Calibri"/>
        </w:rPr>
        <w:t xml:space="preserve">, </w:t>
      </w:r>
      <w:r w:rsidR="007A7D9C">
        <w:rPr>
          <w:rFonts w:ascii="Calibri" w:hAnsi="Calibri" w:cs="Calibri"/>
        </w:rPr>
        <w:t xml:space="preserve">Lisa </w:t>
      </w:r>
      <w:r w:rsidR="007A7D9C" w:rsidRPr="007A7D9C">
        <w:rPr>
          <w:rFonts w:ascii="Calibri" w:hAnsi="Calibri" w:cs="Calibri"/>
        </w:rPr>
        <w:t xml:space="preserve">Gren, </w:t>
      </w:r>
      <w:proofErr w:type="spellStart"/>
      <w:r w:rsidR="007A7D9C">
        <w:rPr>
          <w:rFonts w:ascii="Calibri" w:hAnsi="Calibri" w:cs="Calibri"/>
        </w:rPr>
        <w:t>Haimanti</w:t>
      </w:r>
      <w:proofErr w:type="spellEnd"/>
      <w:r w:rsidR="007A7D9C">
        <w:rPr>
          <w:rFonts w:ascii="Calibri" w:hAnsi="Calibri" w:cs="Calibri"/>
        </w:rPr>
        <w:t xml:space="preserve"> </w:t>
      </w:r>
      <w:r w:rsidR="007A7D9C" w:rsidRPr="007A7D9C">
        <w:rPr>
          <w:rFonts w:ascii="Calibri" w:hAnsi="Calibri" w:cs="Calibri"/>
        </w:rPr>
        <w:t>Bhattacharya</w:t>
      </w:r>
      <w:r w:rsidR="007A7D9C">
        <w:rPr>
          <w:rFonts w:ascii="Calibri" w:hAnsi="Calibri" w:cs="Calibri"/>
        </w:rPr>
        <w:t xml:space="preserve"> and Stephen </w:t>
      </w:r>
      <w:r w:rsidR="007A7D9C" w:rsidRPr="007A7D9C">
        <w:rPr>
          <w:rFonts w:ascii="Calibri" w:hAnsi="Calibri" w:cs="Calibri"/>
        </w:rPr>
        <w:t>Alder</w:t>
      </w:r>
      <w:r w:rsidR="009525C0" w:rsidRPr="009525C0">
        <w:rPr>
          <w:rFonts w:ascii="Calibri" w:hAnsi="Calibri" w:cs="Calibri"/>
        </w:rPr>
        <w:t xml:space="preserve">, ‘What Is Eve Teasing? A Mixed Methods Study of Sexual Harassment of Young Women in the Rural Indian Context’ (2017) 7(1) </w:t>
      </w:r>
      <w:r w:rsidR="009525C0" w:rsidRPr="009525C0">
        <w:rPr>
          <w:rFonts w:ascii="Calibri" w:hAnsi="Calibri" w:cs="Calibri"/>
          <w:i/>
          <w:iCs/>
        </w:rPr>
        <w:t>SAGE Open</w:t>
      </w:r>
      <w:r w:rsidR="009525C0" w:rsidRPr="009525C0">
        <w:rPr>
          <w:rFonts w:ascii="Calibri" w:hAnsi="Calibri" w:cs="Calibri"/>
        </w:rPr>
        <w:t xml:space="preserve"> </w:t>
      </w:r>
      <w:r w:rsidR="00C63C2B">
        <w:rPr>
          <w:rFonts w:ascii="Calibri" w:hAnsi="Calibri" w:cs="Calibri"/>
        </w:rPr>
        <w:t>1</w:t>
      </w:r>
      <w:r w:rsidR="009525C0" w:rsidRPr="009525C0">
        <w:rPr>
          <w:rFonts w:ascii="Calibri" w:hAnsi="Calibri" w:cs="Calibri"/>
        </w:rPr>
        <w:t xml:space="preserve">; see also </w:t>
      </w:r>
      <w:proofErr w:type="spellStart"/>
      <w:r w:rsidR="009525C0" w:rsidRPr="009525C0">
        <w:rPr>
          <w:rFonts w:ascii="Calibri" w:hAnsi="Calibri" w:cs="Calibri"/>
        </w:rPr>
        <w:t>Fileborn</w:t>
      </w:r>
      <w:proofErr w:type="spellEnd"/>
      <w:r w:rsidR="009525C0" w:rsidRPr="009525C0">
        <w:rPr>
          <w:rFonts w:ascii="Calibri" w:hAnsi="Calibri" w:cs="Calibri"/>
        </w:rPr>
        <w:t xml:space="preserve"> and O’Neill (n 2</w:t>
      </w:r>
      <w:r w:rsidR="004E07FE">
        <w:rPr>
          <w:rFonts w:ascii="Calibri" w:hAnsi="Calibri" w:cs="Calibri"/>
        </w:rPr>
        <w:t>3</w:t>
      </w:r>
      <w:r w:rsidR="009525C0" w:rsidRPr="009525C0">
        <w:rPr>
          <w:rFonts w:ascii="Calibri" w:hAnsi="Calibri" w:cs="Calibri"/>
        </w:rPr>
        <w:t>) 131.</w:t>
      </w:r>
      <w:r w:rsidRPr="00676B56">
        <w:rPr>
          <w:rFonts w:cstheme="minorHAnsi"/>
        </w:rPr>
        <w:fldChar w:fldCharType="end"/>
      </w:r>
    </w:p>
  </w:footnote>
  <w:footnote w:id="58">
    <w:p w14:paraId="103B2C9A" w14:textId="1B7CCF32" w:rsidR="00BA2118" w:rsidRPr="00676B56" w:rsidRDefault="00BA2118"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C63C2B">
        <w:rPr>
          <w:rFonts w:cstheme="minorHAnsi"/>
        </w:rPr>
        <w:instrText xml:space="preserve"> ADDIN ZOTERO_ITEM CSL_CITATION {"citationID":"jfGWod6A","properties":{"formattedCitation":"Talboys et al (n 60) 2; Rana (n 60) 8.","plainCitation":"Talboys et al (n 60) 2; Rana (n 60) 8.","noteIndex":61},"citationItems":[{"id":5142,"uris":["http://zotero.org/users/9699311/items/ZYWCR472"],"itemData":{"id":5142,"type":"article-journal","abstract":"Eve teasing was identified as a significant community problem through a community-based participatory process with nine villages in Punjab, India. Eve teasing is a common euphemism in South Asia for sexual harassment of women in public areas by men. The purpose of this study was to characterize the meaning of eve teasing in the rural context, especially among female youth, and to develop a means to measure its occurrence. Mixed methods were utilized including focus group discussions (FGDs), semistructured interviews, and direct observation of questionnaire administration. Thirty-four people participated in six FGDs; two with adolescent boys (n = 10), two with adolescent girls (n = 15), and two with women ages 20 to 26 years (n = 9). Eighty-nine females, ages 14 to 26 years, were recruited through purposive sampling for face-to-face interviews in homes and schools. Twenty-four interviews were observed directly to aid questionnaire development. Eve teasing was described as staring, stalking, passing comments, and inappropriate physical touch. Perceived consequences of eve teasing included tight restrictions on girls’ mobility, inability to attend school or work, girls being blamed, and causing family problems. FGD participants suggested that eve teasing can lead to depression and suicide. Among the 36 (40.4%) interview participants who reported eve teasing, 61.1% reported feelings of anger, 47.2% reported feelings of shame or humiliation, and more than one third reported feelings of fear, worry, or tension. The questionnaire offers a means to assess the occurrence of eve teasing that is culturally relevant and age appropriate for female youth in India.","container-title":"SAGE Open","DOI":"10.1177/2158244017697168","ISSN":"2158-2440, 2158-2440","issue":"1","journalAbbreviation":"SAGE Open","language":"en","page":"1-10","source":"DOI.org (Crossref)","title":"What Is Eve Teasing? A Mixed Methods Study of Sexual Harassment of Young Women in the Rural Indian Context","volume":"7","author":[{"family":"Talboys","given":"Sharon L."},{"family":"Kaur","given":"Manmeet"},{"family":"VanDerslice","given":"James"},{"family":"Gren","given":"Lisa H."},{"family":"Bhattacharya","given":"Haimanti"},{"family":"Alder","given":"Stephen C."}],"issued":{"date-parts":[["2017",1]]}},"locator":"2","label":"page"},{"id":5140,"uris":["http://zotero.org/users/9699311/items/PNC2IYYG"],"itemData":{"id":5140,"type":"article-journal","abstract":"In recent years, many countries have tightened the rules against harassment at the workplace and violence in the home. On the other hand, the incidences of sexual harassment in public places have not been paid sufficient attention, specifically against women. Developing countries like India have recorded the increment of sexual harassment cases in public places due to the increment in participation of women in outside activities such as education and employment. In India, the term ‘Eve-teasing’ is a euphemism that is used for sexual harassment in public places. Eve-teasing is identified as a significant problem in the patriarchal society of India that causes dreadful implications on women. The daily encounter with sexual harassment leads to a decline in their career and also socio-economic and political opportunities for them. In recent years, these misdeeds have been spread at every corner of our society and have become a national problem. Eve-teasing is not considered atrocious and strong laws have not been enacted to counteract it. To this end, this study has been conducted to identify the socio-psychological repercussions of Eve-teasing on girl cadets of the National Cadet Corps (NCC) aged between 19 and 24 years. Moreover, the significance of NCC in empowering the girl cadets in dealing with daily harassment is also the focus of the investigation. Particularly, the structural feminist approach is adopted to offer a critical framework to examine the patriarchal socialization of men and women as the most common cause of Eve-teasing. A total of 262 women participated in this study. The data were collected at the national camp of NCC held in New Delhi through a semi-structured questionnaire and focus group discussions from January 18 to 29, 2020. Out of the total respondents, 83.20% were exposed to Eve-teasing in their lives, while 15.26% of them did not disclose about such incidents. The study concludes by highlighting the negative implications of Eve-teasing on the life of adolescent females and also with disclosing their suffering and struggle. Although, the respondents were the cadets of the National Cadet Corps (NCC), which helped them to shape self-confidence to fight against such sexual harassment acts. Therefore, it is suggested to the governments (state and central) to emphasize the involvement of the agencies having similar goals as NCC in empowering the females in the early years.","container-title":"Journal of International Women's Studies","DOI":"https://osf.io/preprints/socarxiv/3y9u6/","language":"en","note":"DOI: 10.31235/osf.io/3y9u6","source":"DOI.org (Crossref)","title":"Are we Safe? An Investigation on ‘Eve-teasing’ (or public sexual harassment) in India","URL":"https://osf.io/3y9u6","author":[{"family":"Rana","given":"Usha"}],"accessed":{"date-parts":[["2023",5,15]]},"issued":{"date-parts":[["2023",2,19]]}},"locator":"8","label":"page"}],"schema":"https://github.com/citation-style-language/schema/raw/master/csl-citation.json"} </w:instrText>
      </w:r>
      <w:r w:rsidRPr="00676B56">
        <w:rPr>
          <w:rFonts w:cstheme="minorHAnsi"/>
        </w:rPr>
        <w:fldChar w:fldCharType="separate"/>
      </w:r>
      <w:r w:rsidR="00625DA6" w:rsidRPr="00625DA6">
        <w:rPr>
          <w:rFonts w:ascii="Calibri" w:hAnsi="Calibri" w:cs="Calibri"/>
        </w:rPr>
        <w:t>Talboys et al</w:t>
      </w:r>
      <w:r w:rsidR="00894280">
        <w:rPr>
          <w:rFonts w:ascii="Calibri" w:hAnsi="Calibri" w:cs="Calibri"/>
        </w:rPr>
        <w:t>., ibid</w:t>
      </w:r>
      <w:r w:rsidR="00625DA6" w:rsidRPr="00625DA6">
        <w:rPr>
          <w:rFonts w:ascii="Calibri" w:hAnsi="Calibri" w:cs="Calibri"/>
        </w:rPr>
        <w:t xml:space="preserve"> 2; Rana</w:t>
      </w:r>
      <w:r w:rsidR="00894280">
        <w:rPr>
          <w:rFonts w:ascii="Calibri" w:hAnsi="Calibri" w:cs="Calibri"/>
        </w:rPr>
        <w:t>, ibid</w:t>
      </w:r>
      <w:r w:rsidR="00625DA6" w:rsidRPr="00625DA6">
        <w:rPr>
          <w:rFonts w:ascii="Calibri" w:hAnsi="Calibri" w:cs="Calibri"/>
        </w:rPr>
        <w:t xml:space="preserve"> 8.</w:t>
      </w:r>
      <w:r w:rsidRPr="00676B56">
        <w:rPr>
          <w:rFonts w:cstheme="minorHAnsi"/>
        </w:rPr>
        <w:fldChar w:fldCharType="end"/>
      </w:r>
    </w:p>
  </w:footnote>
  <w:footnote w:id="59">
    <w:p w14:paraId="492AD3C1" w14:textId="75DAF272" w:rsidR="00BA2118" w:rsidRPr="00676B56" w:rsidRDefault="00BA2118"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C63C2B">
        <w:rPr>
          <w:rFonts w:cstheme="minorHAnsi"/>
        </w:rPr>
        <w:instrText xml:space="preserve"> ADDIN ZOTERO_ITEM CSL_CITATION {"citationID":"G0DlP5Pz","properties":{"formattedCitation":"Talboys et al (n 60) 1; See also Rana (n 60) 1.","plainCitation":"Talboys et al (n 60) 1; See also Rana (n 60) 1.","noteIndex":62},"citationItems":[{"id":5142,"uris":["http://zotero.org/users/9699311/items/ZYWCR472"],"itemData":{"id":5142,"type":"article-journal","abstract":"Eve teasing was identified as a significant community problem through a community-based participatory process with nine villages in Punjab, India. Eve teasing is a common euphemism in South Asia for sexual harassment of women in public areas by men. The purpose of this study was to characterize the meaning of eve teasing in the rural context, especially among female youth, and to develop a means to measure its occurrence. Mixed methods were utilized including focus group discussions (FGDs), semistructured interviews, and direct observation of questionnaire administration. Thirty-four people participated in six FGDs; two with adolescent boys (n = 10), two with adolescent girls (n = 15), and two with women ages 20 to 26 years (n = 9). Eighty-nine females, ages 14 to 26 years, were recruited through purposive sampling for face-to-face interviews in homes and schools. Twenty-four interviews were observed directly to aid questionnaire development. Eve teasing was described as staring, stalking, passing comments, and inappropriate physical touch. Perceived consequences of eve teasing included tight restrictions on girls’ mobility, inability to attend school or work, girls being blamed, and causing family problems. FGD participants suggested that eve teasing can lead to depression and suicide. Among the 36 (40.4%) interview participants who reported eve teasing, 61.1% reported feelings of anger, 47.2% reported feelings of shame or humiliation, and more than one third reported feelings of fear, worry, or tension. The questionnaire offers a means to assess the occurrence of eve teasing that is culturally relevant and age appropriate for female youth in India.","container-title":"SAGE Open","DOI":"10.1177/2158244017697168","ISSN":"2158-2440, 2158-2440","issue":"1","journalAbbreviation":"SAGE Open","language":"en","page":"1-10","source":"DOI.org (Crossref)","title":"What Is Eve Teasing? A Mixed Methods Study of Sexual Harassment of Young Women in the Rural Indian Context","volume":"7","author":[{"family":"Talboys","given":"Sharon L."},{"family":"Kaur","given":"Manmeet"},{"family":"VanDerslice","given":"James"},{"family":"Gren","given":"Lisa H."},{"family":"Bhattacharya","given":"Haimanti"},{"family":"Alder","given":"Stephen C."}],"issued":{"date-parts":[["2017",1]]}},"locator":"1","label":"page"},{"id":5140,"uris":["http://zotero.org/users/9699311/items/PNC2IYYG"],"itemData":{"id":5140,"type":"article-journal","abstract":"In recent years, many countries have tightened the rules against harassment at the workplace and violence in the home. On the other hand, the incidences of sexual harassment in public places have not been paid sufficient attention, specifically against women. Developing countries like India have recorded the increment of sexual harassment cases in public places due to the increment in participation of women in outside activities such as education and employment. In India, the term ‘Eve-teasing’ is a euphemism that is used for sexual harassment in public places. Eve-teasing is identified as a significant problem in the patriarchal society of India that causes dreadful implications on women. The daily encounter with sexual harassment leads to a decline in their career and also socio-economic and political opportunities for them. In recent years, these misdeeds have been spread at every corner of our society and have become a national problem. Eve-teasing is not considered atrocious and strong laws have not been enacted to counteract it. To this end, this study has been conducted to identify the socio-psychological repercussions of Eve-teasing on girl cadets of the National Cadet Corps (NCC) aged between 19 and 24 years. Moreover, the significance of NCC in empowering the girl cadets in dealing with daily harassment is also the focus of the investigation. Particularly, the structural feminist approach is adopted to offer a critical framework to examine the patriarchal socialization of men and women as the most common cause of Eve-teasing. A total of 262 women participated in this study. The data were collected at the national camp of NCC held in New Delhi through a semi-structured questionnaire and focus group discussions from January 18 to 29, 2020. Out of the total respondents, 83.20% were exposed to Eve-teasing in their lives, while 15.26% of them did not disclose about such incidents. The study concludes by highlighting the negative implications of Eve-teasing on the life of adolescent females and also with disclosing their suffering and struggle. Although, the respondents were the cadets of the National Cadet Corps (NCC), which helped them to shape self-confidence to fight against such sexual harassment acts. Therefore, it is suggested to the governments (state and central) to emphasize the involvement of the agencies having similar goals as NCC in empowering the females in the early years.","container-title":"Journal of International Women's Studies","DOI":"https://osf.io/preprints/socarxiv/3y9u6/","language":"en","note":"DOI: 10.31235/osf.io/3y9u6","source":"DOI.org (Crossref)","title":"Are we Safe? An Investigation on ‘Eve-teasing’ (or public sexual harassment) in India","URL":"https://osf.io/3y9u6","author":[{"family":"Rana","given":"Usha"}],"accessed":{"date-parts":[["2023",5,15]]},"issued":{"date-parts":[["2023",2,19]]}},"locator":"1","label":"page","prefix":"See also"}],"schema":"https://github.com/citation-style-language/schema/raw/master/csl-citation.json"} </w:instrText>
      </w:r>
      <w:r w:rsidRPr="00676B56">
        <w:rPr>
          <w:rFonts w:cstheme="minorHAnsi"/>
        </w:rPr>
        <w:fldChar w:fldCharType="separate"/>
      </w:r>
      <w:r w:rsidR="00625DA6" w:rsidRPr="00625DA6">
        <w:rPr>
          <w:rFonts w:ascii="Calibri" w:hAnsi="Calibri" w:cs="Calibri"/>
        </w:rPr>
        <w:t>Talboys et al</w:t>
      </w:r>
      <w:r w:rsidR="00894280">
        <w:rPr>
          <w:rFonts w:ascii="Calibri" w:hAnsi="Calibri" w:cs="Calibri"/>
        </w:rPr>
        <w:t>., ibid</w:t>
      </w:r>
      <w:r w:rsidR="00625DA6" w:rsidRPr="00625DA6">
        <w:rPr>
          <w:rFonts w:ascii="Calibri" w:hAnsi="Calibri" w:cs="Calibri"/>
        </w:rPr>
        <w:t xml:space="preserve"> 1; </w:t>
      </w:r>
      <w:r w:rsidR="00894280">
        <w:rPr>
          <w:rFonts w:ascii="Calibri" w:hAnsi="Calibri" w:cs="Calibri"/>
        </w:rPr>
        <w:t>s</w:t>
      </w:r>
      <w:r w:rsidR="00625DA6" w:rsidRPr="00625DA6">
        <w:rPr>
          <w:rFonts w:ascii="Calibri" w:hAnsi="Calibri" w:cs="Calibri"/>
        </w:rPr>
        <w:t>ee also Rana</w:t>
      </w:r>
      <w:r w:rsidR="00894280">
        <w:rPr>
          <w:rFonts w:ascii="Calibri" w:hAnsi="Calibri" w:cs="Calibri"/>
        </w:rPr>
        <w:t>, ibid</w:t>
      </w:r>
      <w:r w:rsidR="00625DA6" w:rsidRPr="00625DA6">
        <w:rPr>
          <w:rFonts w:ascii="Calibri" w:hAnsi="Calibri" w:cs="Calibri"/>
        </w:rPr>
        <w:t xml:space="preserve"> 1.</w:t>
      </w:r>
      <w:r w:rsidRPr="00676B56">
        <w:rPr>
          <w:rFonts w:cstheme="minorHAnsi"/>
        </w:rPr>
        <w:fldChar w:fldCharType="end"/>
      </w:r>
    </w:p>
  </w:footnote>
  <w:footnote w:id="60">
    <w:p w14:paraId="0B0A7BB7" w14:textId="2CCB82C0" w:rsidR="00BA2118" w:rsidRPr="00676B56" w:rsidRDefault="00BA2118"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25DA6">
        <w:rPr>
          <w:rFonts w:cstheme="minorHAnsi"/>
        </w:rPr>
        <w:instrText xml:space="preserve"> ADDIN ZOTERO_ITEM CSL_CITATION {"citationID":"2HBGPmFB","properties":{"formattedCitation":"Fileborn and O\\uc0\\u8217{}Neill (n 25) 125.","plainCitation":"Fileborn and O’Neill (n 25) 125.","noteIndex":63},"citationItems":[{"id":5155,"uris":["http://zotero.org/users/9699311/items/VQ5MUJUB"],"itemData":{"id":5155,"type":"article-journal","abstract":"Street harassment represents one of the most pervasive forms of sexual violence. While it is commonly understood as a gender-based harm, it also intersects with racist, homophobic, transphobic, ableist, and other forms of abuse. Although it is rarely responded to through government policy, research illustrates that street harassment can have profoundly negative impacts of those who experience it. This article provides a comprehensive review of the current “state of the field” of street harassment research. We undertook two extensive searches of the EBSCO Discovery database in 2015 and 2020, followed by the use of reference snowballing and a Google Scholar search in order to triangulate results. Studies included in the sample were published in English, peer-reviewed and centrally focused on street harassment. Dissertations and nongovernmental organization reports were also included due to the small number of studies in this field. One hundred eighty-two sources were included in the final sample. Findings show that publications on this topic have increased substantially across the two reviews. We provide a thematic overview of key research findings to date and argue throughout that current research suffers from conceptual and typological slippage and does not consistently take into account the need for an intersectional analysis. We close with suggestions for future directions in research and practice, given the emergent nature of the field.","container-title":"Trauma, Violence, &amp; Abuse","DOI":"10.1177/15248380211021608","ISSN":"1524-8380, 1552-8324","issue":"1","journalAbbreviation":"Trauma, Violence, &amp; Abuse","language":"en","page":"125-138","source":"DOI.org (Crossref)","title":"From “Ghettoization” to a Field of Its Own: A Comprehensive Review of Street Harassment Research","volume":"24","author":[{"family":"Fileborn","given":"Bianca"},{"family":"O’Neill","given":"Tully"}],"issued":{"date-parts":[["2023",1]]}},"locator":"125","label":"page"}],"schema":"https://github.com/citation-style-language/schema/raw/master/csl-citation.json"} </w:instrText>
      </w:r>
      <w:r w:rsidRPr="00676B56">
        <w:rPr>
          <w:rFonts w:cstheme="minorHAnsi"/>
        </w:rPr>
        <w:fldChar w:fldCharType="separate"/>
      </w:r>
      <w:proofErr w:type="spellStart"/>
      <w:r w:rsidR="00625DA6" w:rsidRPr="00625DA6">
        <w:rPr>
          <w:rFonts w:ascii="Calibri" w:hAnsi="Calibri" w:cs="Calibri"/>
        </w:rPr>
        <w:t>Fileborn</w:t>
      </w:r>
      <w:proofErr w:type="spellEnd"/>
      <w:r w:rsidR="00625DA6" w:rsidRPr="00625DA6">
        <w:rPr>
          <w:rFonts w:ascii="Calibri" w:hAnsi="Calibri" w:cs="Calibri"/>
        </w:rPr>
        <w:t xml:space="preserve"> and O’Neill (n 2</w:t>
      </w:r>
      <w:r w:rsidR="006119DD">
        <w:rPr>
          <w:rFonts w:ascii="Calibri" w:hAnsi="Calibri" w:cs="Calibri"/>
        </w:rPr>
        <w:t>3</w:t>
      </w:r>
      <w:r w:rsidR="00625DA6" w:rsidRPr="00625DA6">
        <w:rPr>
          <w:rFonts w:ascii="Calibri" w:hAnsi="Calibri" w:cs="Calibri"/>
        </w:rPr>
        <w:t>) 125.</w:t>
      </w:r>
      <w:r w:rsidRPr="00676B56">
        <w:rPr>
          <w:rFonts w:cstheme="minorHAnsi"/>
        </w:rPr>
        <w:fldChar w:fldCharType="end"/>
      </w:r>
    </w:p>
  </w:footnote>
  <w:footnote w:id="61">
    <w:p w14:paraId="2C38E4D6" w14:textId="24584976" w:rsidR="00BA2118" w:rsidRPr="00676B56" w:rsidRDefault="00BA2118" w:rsidP="00B63C23">
      <w:pPr>
        <w:pStyle w:val="FootnoteText"/>
        <w:jc w:val="left"/>
        <w:rPr>
          <w:rFonts w:cstheme="minorHAnsi"/>
          <w:lang w:val="fr-FR"/>
        </w:rPr>
      </w:pPr>
      <w:r w:rsidRPr="00676B56">
        <w:rPr>
          <w:rStyle w:val="FootnoteReference"/>
          <w:rFonts w:cstheme="minorHAnsi"/>
        </w:rPr>
        <w:footnoteRef/>
      </w:r>
      <w:r w:rsidRPr="00676B56">
        <w:rPr>
          <w:rFonts w:cstheme="minorHAnsi"/>
          <w:lang w:val="fr-FR"/>
        </w:rPr>
        <w:t xml:space="preserve"> </w:t>
      </w:r>
      <w:r w:rsidRPr="00676B56">
        <w:rPr>
          <w:rFonts w:cstheme="minorHAnsi"/>
        </w:rPr>
        <w:fldChar w:fldCharType="begin"/>
      </w:r>
      <w:r w:rsidR="00C63C2B">
        <w:rPr>
          <w:rFonts w:cstheme="minorHAnsi"/>
          <w:lang w:val="fr-FR"/>
        </w:rPr>
        <w:instrText xml:space="preserve"> ADDIN ZOTERO_ITEM CSL_CITATION {"citationID":"dYZWoFFJ","properties":{"formattedCitation":"Talboys et al (n 60) 1.","plainCitation":"Talboys et al (n 60) 1.","noteIndex":64},"citationItems":[{"id":5142,"uris":["http://zotero.org/users/9699311/items/ZYWCR472"],"itemData":{"id":5142,"type":"article-journal","abstract":"Eve teasing was identified as a significant community problem through a community-based participatory process with nine villages in Punjab, India. Eve teasing is a common euphemism in South Asia for sexual harassment of women in public areas by men. The purpose of this study was to characterize the meaning of eve teasing in the rural context, especially among female youth, and to develop a means to measure its occurrence. Mixed methods were utilized including focus group discussions (FGDs), semistructured interviews, and direct observation of questionnaire administration. Thirty-four people participated in six FGDs; two with adolescent boys (n = 10), two with adolescent girls (n = 15), and two with women ages 20 to 26 years (n = 9). Eighty-nine females, ages 14 to 26 years, were recruited through purposive sampling for face-to-face interviews in homes and schools. Twenty-four interviews were observed directly to aid questionnaire development. Eve teasing was described as staring, stalking, passing comments, and inappropriate physical touch. Perceived consequences of eve teasing included tight restrictions on girls’ mobility, inability to attend school or work, girls being blamed, and causing family problems. FGD participants suggested that eve teasing can lead to depression and suicide. Among the 36 (40.4%) interview participants who reported eve teasing, 61.1% reported feelings of anger, 47.2% reported feelings of shame or humiliation, and more than one third reported feelings of fear, worry, or tension. The questionnaire offers a means to assess the occurrence of eve teasing that is culturally relevant and age appropriate for female youth in India.","container-title":"SAGE Open","DOI":"10.1177/2158244017697168","ISSN":"2158-2440, 2158-2440","issue":"1","journalAbbreviation":"SAGE Open","language":"en","page":"1-10","source":"DOI.org (Crossref)","title":"What Is Eve Teasing? A Mixed Methods Study of Sexual Harassment of Young Women in the Rural Indian Context","volume":"7","author":[{"family":"Talboys","given":"Sharon L."},{"family":"Kaur","given":"Manmeet"},{"family":"VanDerslice","given":"James"},{"family":"Gren","given":"Lisa H."},{"family":"Bhattacharya","given":"Haimanti"},{"family":"Alder","given":"Stephen C."}],"issued":{"date-parts":[["2017",1]]}},"locator":"1","label":"page"}],"schema":"https://github.com/citation-style-language/schema/raw/master/csl-citation.json"} </w:instrText>
      </w:r>
      <w:r w:rsidRPr="00676B56">
        <w:rPr>
          <w:rFonts w:cstheme="minorHAnsi"/>
        </w:rPr>
        <w:fldChar w:fldCharType="separate"/>
      </w:r>
      <w:r w:rsidR="00625DA6" w:rsidRPr="00625DA6">
        <w:rPr>
          <w:rFonts w:ascii="Calibri" w:hAnsi="Calibri" w:cs="Calibri"/>
        </w:rPr>
        <w:t xml:space="preserve">Talboys et al (n </w:t>
      </w:r>
      <w:r w:rsidR="004E07FE">
        <w:rPr>
          <w:rFonts w:ascii="Calibri" w:hAnsi="Calibri" w:cs="Calibri"/>
        </w:rPr>
        <w:t>5</w:t>
      </w:r>
      <w:r w:rsidR="00894280">
        <w:rPr>
          <w:rFonts w:ascii="Calibri" w:hAnsi="Calibri" w:cs="Calibri"/>
        </w:rPr>
        <w:t>5</w:t>
      </w:r>
      <w:r w:rsidR="00625DA6" w:rsidRPr="00625DA6">
        <w:rPr>
          <w:rFonts w:ascii="Calibri" w:hAnsi="Calibri" w:cs="Calibri"/>
        </w:rPr>
        <w:t>) 1.</w:t>
      </w:r>
      <w:r w:rsidRPr="00676B56">
        <w:rPr>
          <w:rFonts w:cstheme="minorHAnsi"/>
        </w:rPr>
        <w:fldChar w:fldCharType="end"/>
      </w:r>
    </w:p>
  </w:footnote>
  <w:footnote w:id="62">
    <w:p w14:paraId="1DAFB8EA" w14:textId="1754535A" w:rsidR="00BA2118" w:rsidRPr="00676B56" w:rsidRDefault="00BA2118" w:rsidP="00B63C23">
      <w:pPr>
        <w:pStyle w:val="FootnoteText"/>
        <w:jc w:val="left"/>
        <w:rPr>
          <w:rFonts w:cstheme="minorHAnsi"/>
          <w:lang w:val="fr-FR"/>
        </w:rPr>
      </w:pPr>
      <w:r w:rsidRPr="00676B56">
        <w:rPr>
          <w:rStyle w:val="FootnoteReference"/>
          <w:rFonts w:cstheme="minorHAnsi"/>
        </w:rPr>
        <w:footnoteRef/>
      </w:r>
      <w:r w:rsidRPr="00676B56">
        <w:rPr>
          <w:rFonts w:cstheme="minorHAnsi"/>
          <w:lang w:val="fr-FR"/>
        </w:rPr>
        <w:t xml:space="preserve"> </w:t>
      </w:r>
      <w:r w:rsidRPr="00676B56">
        <w:rPr>
          <w:rFonts w:cstheme="minorHAnsi"/>
        </w:rPr>
        <w:fldChar w:fldCharType="begin"/>
      </w:r>
      <w:r w:rsidR="00C63C2B">
        <w:rPr>
          <w:rFonts w:cstheme="minorHAnsi"/>
          <w:lang w:val="fr-FR"/>
        </w:rPr>
        <w:instrText xml:space="preserve"> ADDIN ZOTERO_ITEM CSL_CITATION {"citationID":"RyYWVUuu","properties":{"formattedCitation":"Ibid 2.","plainCitation":"Ibid 2.","noteIndex":65},"citationItems":[{"id":5142,"uris":["http://zotero.org/users/9699311/items/ZYWCR472"],"itemData":{"id":5142,"type":"article-journal","abstract":"Eve teasing was identified as a significant community problem through a community-based participatory process with nine villages in Punjab, India. Eve teasing is a common euphemism in South Asia for sexual harassment of women in public areas by men. The purpose of this study was to characterize the meaning of eve teasing in the rural context, especially among female youth, and to develop a means to measure its occurrence. Mixed methods were utilized including focus group discussions (FGDs), semistructured interviews, and direct observation of questionnaire administration. Thirty-four people participated in six FGDs; two with adolescent boys (n = 10), two with adolescent girls (n = 15), and two with women ages 20 to 26 years (n = 9). Eighty-nine females, ages 14 to 26 years, were recruited through purposive sampling for face-to-face interviews in homes and schools. Twenty-four interviews were observed directly to aid questionnaire development. Eve teasing was described as staring, stalking, passing comments, and inappropriate physical touch. Perceived consequences of eve teasing included tight restrictions on girls’ mobility, inability to attend school or work, girls being blamed, and causing family problems. FGD participants suggested that eve teasing can lead to depression and suicide. Among the 36 (40.4%) interview participants who reported eve teasing, 61.1% reported feelings of anger, 47.2% reported feelings of shame or humiliation, and more than one third reported feelings of fear, worry, or tension. The questionnaire offers a means to assess the occurrence of eve teasing that is culturally relevant and age appropriate for female youth in India.","container-title":"SAGE Open","DOI":"10.1177/2158244017697168","ISSN":"2158-2440, 2158-2440","issue":"1","journalAbbreviation":"SAGE Open","language":"en","page":"1-10","source":"DOI.org (Crossref)","title":"What Is Eve Teasing? A Mixed Methods Study of Sexual Harassment of Young Women in the Rural Indian Context","volume":"7","author":[{"family":"Talboys","given":"Sharon L."},{"family":"Kaur","given":"Manmeet"},{"family":"VanDerslice","given":"James"},{"family":"Gren","given":"Lisa H."},{"family":"Bhattacharya","given":"Haimanti"},{"family":"Alder","given":"Stephen C."}],"issued":{"date-parts":[["2017",1]]}},"locator":"2","label":"page"}],"schema":"https://github.com/citation-style-language/schema/raw/master/csl-citation.json"} </w:instrText>
      </w:r>
      <w:r w:rsidRPr="00676B56">
        <w:rPr>
          <w:rFonts w:cstheme="minorHAnsi"/>
        </w:rPr>
        <w:fldChar w:fldCharType="separate"/>
      </w:r>
      <w:proofErr w:type="spellStart"/>
      <w:r w:rsidRPr="00676B56">
        <w:rPr>
          <w:rFonts w:cstheme="minorHAnsi"/>
          <w:lang w:val="fr-FR"/>
        </w:rPr>
        <w:t>Ibid</w:t>
      </w:r>
      <w:proofErr w:type="spellEnd"/>
      <w:r w:rsidRPr="00676B56">
        <w:rPr>
          <w:rFonts w:cstheme="minorHAnsi"/>
          <w:lang w:val="fr-FR"/>
        </w:rPr>
        <w:t xml:space="preserve"> 2.</w:t>
      </w:r>
      <w:r w:rsidRPr="00676B56">
        <w:rPr>
          <w:rFonts w:cstheme="minorHAnsi"/>
        </w:rPr>
        <w:fldChar w:fldCharType="end"/>
      </w:r>
    </w:p>
  </w:footnote>
  <w:footnote w:id="63">
    <w:p w14:paraId="3910EB63" w14:textId="086F56E7" w:rsidR="00A17D52" w:rsidRDefault="00A17D52" w:rsidP="00B63C23">
      <w:pPr>
        <w:pStyle w:val="FootnoteText"/>
        <w:jc w:val="left"/>
      </w:pPr>
      <w:r>
        <w:rPr>
          <w:rStyle w:val="FootnoteReference"/>
        </w:rPr>
        <w:footnoteRef/>
      </w:r>
      <w:r>
        <w:t xml:space="preserve"> </w:t>
      </w:r>
      <w:r w:rsidRPr="00553406">
        <w:rPr>
          <w:color w:val="FF0000"/>
        </w:rPr>
        <w:fldChar w:fldCharType="begin"/>
      </w:r>
      <w:r w:rsidR="00625DA6">
        <w:rPr>
          <w:color w:val="FF0000"/>
        </w:rPr>
        <w:instrText xml:space="preserve"> ADDIN ZOTERO_ITEM CSL_CITATION {"citationID":"Qel8YeJj","properties":{"formattedCitation":"Richard C Mitchell and Nabin Maharjan, \\uc0\\u8216{}UN Convention on the Rights of the Child and Global Childhoods: Transdisciplinary Reflections from Nepal\\uc0\\u8217{} (2020) 76(1) {\\i{}World Futures} 62, 71\\uc0\\u8211{}72; \\uc0\\u8216{}Child Rights Governance\\uc0\\u8217{}, {\\i{}Save the Children, Nepal} &lt;https://nepal.savethechildren.net/what-we-do/child-rights-governance&gt; Child Clubs are prolific throughout Nepal and are typically run by children themselves, with support from local communities, schools, non-governmental organizations and local government bodies. It is estimated that tens of thousands of children are involved in these clubs. The clubs are platforms that empower children and young people to participate in their communities by discussing and examining issues such as education, child rights and child protection.","plainCitation":"Richard C Mitchell and Nabin Maharjan, ‘UN Convention on the Rights of the Child and Global Childhoods: Transdisciplinary Reflections from Nepal’ (2020) 76(1) World Futures 62, 71–72; ‘Child Rights Governance’, Save the Children, Nepal &lt;https://nepal.savethechildren.net/what-we-do/child-rights-governance&gt; Child Clubs are prolific throughout Nepal and are typically run by children themselves, with support from local communities, schools, non-governmental organizations and local government bodies. It is estimated that tens of thousands of children are involved in these clubs. The clubs are platforms that empower children and young people to participate in their communities by discussing and examining issues such as education, child rights and child protection.","dontUpdate":true,"noteIndex":66},"citationItems":[{"id":5985,"uris":["http://zotero.org/users/9699311/items/3YX778KW"],"itemData":{"id":5985,"type":"article-journal","container-title":"World Futures","DOI":"10.1080/02604027.2019.1698235","ISSN":"0260-4027, 1556-1844","issue":"1","journalAbbreviation":"World Futures","language":"en","page":"62-80","source":"DOI.org (Crossref)","title":"UN Convention on the Rights of the Child and Global Childhoods: Transdisciplinary Reflections from Nepal","volume":"76","author":[{"family":"Mitchell","given":"Richard C."},{"family":"Maharjan","given":"Nabin"}],"issued":{"date-parts":[["2020",1,2]]}},"locator":"71-72","label":"page"},{"id":5987,"uris":["http://zotero.org/users/9699311/items/PWB3DR7P"],"itemData":{"id":5987,"type":"webpage","container-title":"Save the Children, Nepal","language":"en","title":"Child Rights Governance","URL":"https://nepal.savethechildren.net/what-we-do/child-rights-governance","accessed":{"date-parts":[["2024",10,16]]}},"suffix":"Child Clubs are prolific throughout Nepal and are typically run by children themselves, with support from local communities, schools, non-governmental organizations and local government bodies. It is estimated that tens of thousands of children are involved in these clubs. The clubs are platforms that empower children and young people to participate in their communities by discussing and examining issues such as education, child rights and child protection."}],"schema":"https://github.com/citation-style-language/schema/raw/master/csl-citation.json"} </w:instrText>
      </w:r>
      <w:r w:rsidRPr="00553406">
        <w:rPr>
          <w:color w:val="FF0000"/>
        </w:rPr>
        <w:fldChar w:fldCharType="separate"/>
      </w:r>
      <w:r w:rsidR="00553406" w:rsidRPr="006105A4">
        <w:rPr>
          <w:rFonts w:ascii="Calibri" w:hAnsi="Calibri" w:cs="Calibri"/>
        </w:rPr>
        <w:t xml:space="preserve">Richard C Mitchell and Nabin Maharjan, ‘UN Convention on the Rights of the Child and Global Childhoods: Transdisciplinary Reflections from Nepal’ (2020) 76(1) </w:t>
      </w:r>
      <w:r w:rsidR="00553406" w:rsidRPr="006105A4">
        <w:rPr>
          <w:rFonts w:ascii="Calibri" w:hAnsi="Calibri" w:cs="Calibri"/>
          <w:i/>
          <w:iCs/>
        </w:rPr>
        <w:t>World Futures</w:t>
      </w:r>
      <w:r w:rsidR="00553406" w:rsidRPr="006105A4">
        <w:rPr>
          <w:rFonts w:ascii="Calibri" w:hAnsi="Calibri" w:cs="Calibri"/>
        </w:rPr>
        <w:t xml:space="preserve"> 62, 71–72; ‘Child Rights Governance’, </w:t>
      </w:r>
      <w:r w:rsidR="00553406" w:rsidRPr="006105A4">
        <w:rPr>
          <w:rFonts w:ascii="Calibri" w:hAnsi="Calibri" w:cs="Calibri"/>
          <w:i/>
          <w:iCs/>
        </w:rPr>
        <w:t>Save the Children Nepal</w:t>
      </w:r>
      <w:r w:rsidR="00A013F4">
        <w:rPr>
          <w:rFonts w:ascii="Calibri" w:hAnsi="Calibri" w:cs="Calibri"/>
        </w:rPr>
        <w:t xml:space="preserve"> </w:t>
      </w:r>
      <w:r w:rsidR="00553406" w:rsidRPr="006105A4">
        <w:rPr>
          <w:rFonts w:ascii="Calibri" w:hAnsi="Calibri" w:cs="Calibri"/>
        </w:rPr>
        <w:t>https://nepal.savethechildren.net/what-we-do/child-rights-governance. Child Clubs are prolific throughout Nepal and are typically run by children themselves, with support from local communities, schools, non-governmental organi</w:t>
      </w:r>
      <w:r w:rsidR="00C63C2B">
        <w:rPr>
          <w:rFonts w:ascii="Calibri" w:hAnsi="Calibri" w:cs="Calibri"/>
        </w:rPr>
        <w:t>s</w:t>
      </w:r>
      <w:r w:rsidR="00553406" w:rsidRPr="006105A4">
        <w:rPr>
          <w:rFonts w:ascii="Calibri" w:hAnsi="Calibri" w:cs="Calibri"/>
        </w:rPr>
        <w:t>ations and local government bodies. It is estimated that tens of thousands of children are involved in these clubs. The clubs are platforms that empower children and young people to participate in their communities by discussing and examining issues such as education, child</w:t>
      </w:r>
      <w:r w:rsidR="00C63C2B">
        <w:rPr>
          <w:rFonts w:ascii="Calibri" w:hAnsi="Calibri" w:cs="Calibri"/>
        </w:rPr>
        <w:t>ren's</w:t>
      </w:r>
      <w:r w:rsidR="00553406" w:rsidRPr="006105A4">
        <w:rPr>
          <w:rFonts w:ascii="Calibri" w:hAnsi="Calibri" w:cs="Calibri"/>
        </w:rPr>
        <w:t xml:space="preserve"> rights and child protection.</w:t>
      </w:r>
      <w:r w:rsidRPr="00553406">
        <w:rPr>
          <w:color w:val="FF0000"/>
        </w:rPr>
        <w:fldChar w:fldCharType="end"/>
      </w:r>
    </w:p>
  </w:footnote>
  <w:footnote w:id="64">
    <w:p w14:paraId="78620A21" w14:textId="609AD5A7" w:rsidR="001275CA" w:rsidRPr="00676B56" w:rsidRDefault="001275CA" w:rsidP="00B63C23">
      <w:pPr>
        <w:pStyle w:val="FootnoteText"/>
        <w:jc w:val="left"/>
        <w:rPr>
          <w:rFonts w:cstheme="minorHAnsi"/>
        </w:rPr>
      </w:pPr>
      <w:r w:rsidRPr="00676B56">
        <w:rPr>
          <w:rStyle w:val="FootnoteReference"/>
          <w:rFonts w:cstheme="minorHAnsi"/>
        </w:rPr>
        <w:footnoteRef/>
      </w:r>
      <w:r w:rsidRPr="00676B56">
        <w:rPr>
          <w:rFonts w:cstheme="minorHAnsi"/>
        </w:rPr>
        <w:t xml:space="preserve"> </w:t>
      </w:r>
      <w:r w:rsidRPr="00676B56">
        <w:rPr>
          <w:rFonts w:cstheme="minorHAnsi"/>
        </w:rPr>
        <w:fldChar w:fldCharType="begin"/>
      </w:r>
      <w:r w:rsidR="00625DA6">
        <w:rPr>
          <w:rFonts w:cstheme="minorHAnsi"/>
        </w:rPr>
        <w:instrText xml:space="preserve"> ADDIN ZOTERO_ITEM CSL_CITATION {"citationID":"D69YAEt3","properties":{"formattedCitation":"Behl (n 6).","plainCitation":"Behl (n 6).","noteIndex":68},"citationItems":[{"id":5447,"uris":["http://zotero.org/users/9699311/items/RWGLP7PD"],"itemData":{"id":5447,"type":"book","abstract":"It has been shown time and again that even though all citizens may be accorded equal standing in the constitution of a liberal democracy, such a legal provision hardly guarantees state protections against discrimination and political exclusion. More specifically, why do we find pervasive gender-based discrimination, exclusion, and violence in India when the Indian Constitution supports an inclusive democracy committed to gender and caste equality?","collection-title":"Oxford studies in gender and international relations","event-place":"United Kingdom","ISBN":"978-0-19-094943-3","language":"eng","note":"DOI: 10.1093/oso/9780190949426.001.0001","publisher":"Oxford University Press","publisher-place":"United Kingdom","source":"multisearch.mq.edu.au","title":"Gendered Citizenship: Understanding Gendered Violence in Democratic India","title-short":"Gendered Citizenship","author":[{"family":"Behl","given":"Natasha"}],"issued":{"date-parts":[["2019"]]}}}],"schema":"https://github.com/citation-style-language/schema/raw/master/csl-citation.json"} </w:instrText>
      </w:r>
      <w:r w:rsidRPr="00676B56">
        <w:rPr>
          <w:rFonts w:cstheme="minorHAnsi"/>
        </w:rPr>
        <w:fldChar w:fldCharType="separate"/>
      </w:r>
      <w:r w:rsidR="009915F1" w:rsidRPr="00676B56">
        <w:rPr>
          <w:rFonts w:cstheme="minorHAnsi"/>
        </w:rPr>
        <w:t xml:space="preserve">Behl (n </w:t>
      </w:r>
      <w:r w:rsidR="00DE1ACB">
        <w:rPr>
          <w:rFonts w:cstheme="minorHAnsi"/>
        </w:rPr>
        <w:t>4</w:t>
      </w:r>
      <w:r w:rsidR="009915F1" w:rsidRPr="00676B56">
        <w:rPr>
          <w:rFonts w:cstheme="minorHAnsi"/>
        </w:rPr>
        <w:t>).</w:t>
      </w:r>
      <w:r w:rsidRPr="00676B56">
        <w:rPr>
          <w:rFonts w:cstheme="minorHAnsi"/>
        </w:rPr>
        <w:fldChar w:fldCharType="end"/>
      </w:r>
      <w:r w:rsidRPr="00676B56">
        <w:rPr>
          <w:rFonts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8BCE" w14:textId="43F105B3" w:rsidR="0024713F" w:rsidRDefault="002013A0" w:rsidP="00F83F44">
    <w:pPr>
      <w:pStyle w:val="Header"/>
      <w:tabs>
        <w:tab w:val="clear" w:pos="4513"/>
      </w:tabs>
    </w:pPr>
    <w:r>
      <w:t>Doel-</w:t>
    </w:r>
    <w:proofErr w:type="spellStart"/>
    <w:r>
      <w:t>Mackaway</w:t>
    </w:r>
    <w:proofErr w:type="spellEnd"/>
    <w:r>
      <w:t xml:space="preserve"> and Maharjan</w:t>
    </w:r>
    <w:r>
      <w:tab/>
      <w:t xml:space="preserve">Children’s Perspectives on </w:t>
    </w:r>
    <w:r w:rsidR="00B009F2">
      <w:t>Violence</w:t>
    </w:r>
    <w:r w:rsidR="00F83F44">
      <w:t xml:space="preserve"> </w:t>
    </w:r>
    <w:r w:rsidR="00B009F2">
      <w:t>Against Girls in</w:t>
    </w:r>
    <w:r w:rsidR="00F83F44">
      <w:t xml:space="preserve"> Nepal</w:t>
    </w:r>
  </w:p>
  <w:p w14:paraId="5EFF4B7A" w14:textId="4424AC05" w:rsidR="00F83F44" w:rsidRDefault="00F83F44" w:rsidP="00F83F44">
    <w:pPr>
      <w:pStyle w:val="Header"/>
      <w:tabs>
        <w:tab w:val="clear" w:pos="4513"/>
      </w:tabs>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D057" w14:textId="13A9E180" w:rsidR="0024713F" w:rsidRDefault="0024713F">
    <w:pPr>
      <w:pStyle w:val="Header"/>
    </w:pPr>
    <w:proofErr w:type="spellStart"/>
    <w:r>
      <w:rPr>
        <w:i/>
        <w:iCs/>
      </w:rPr>
      <w:t>feminists@law</w:t>
    </w:r>
    <w:proofErr w:type="spellEnd"/>
    <w:r w:rsidR="00E34709">
      <w:tab/>
    </w:r>
    <w:r w:rsidR="00E34709">
      <w:tab/>
      <w:t xml:space="preserve">Vol </w:t>
    </w:r>
    <w:r w:rsidR="007D0011">
      <w:t>14</w:t>
    </w:r>
    <w:r w:rsidR="00E34709">
      <w:t xml:space="preserve">, No </w:t>
    </w:r>
    <w:r w:rsidR="007D0011">
      <w:t>1</w:t>
    </w:r>
    <w:r w:rsidR="00E34709">
      <w:t xml:space="preserve"> (2025)</w:t>
    </w:r>
  </w:p>
  <w:p w14:paraId="06E0524B" w14:textId="439ECB0E" w:rsidR="00E34709" w:rsidRPr="0024713F" w:rsidRDefault="00E34709">
    <w:pPr>
      <w:pStyle w:val="Header"/>
    </w:pPr>
    <w: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125"/>
    <w:multiLevelType w:val="hybridMultilevel"/>
    <w:tmpl w:val="B82E4C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2550D6"/>
    <w:multiLevelType w:val="hybridMultilevel"/>
    <w:tmpl w:val="97A4E28C"/>
    <w:lvl w:ilvl="0" w:tplc="CEAC3B8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2530F1"/>
    <w:multiLevelType w:val="hybridMultilevel"/>
    <w:tmpl w:val="522CE0BE"/>
    <w:lvl w:ilvl="0" w:tplc="719A9B68">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D022F9B"/>
    <w:multiLevelType w:val="hybridMultilevel"/>
    <w:tmpl w:val="1F5C782A"/>
    <w:lvl w:ilvl="0" w:tplc="42447E3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0891623"/>
    <w:multiLevelType w:val="hybridMultilevel"/>
    <w:tmpl w:val="BF7C83E8"/>
    <w:lvl w:ilvl="0" w:tplc="BE08D72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58504A"/>
    <w:multiLevelType w:val="hybridMultilevel"/>
    <w:tmpl w:val="F7F8A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111034"/>
    <w:multiLevelType w:val="hybridMultilevel"/>
    <w:tmpl w:val="7AA69F90"/>
    <w:lvl w:ilvl="0" w:tplc="D9BED74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4B6425C"/>
    <w:multiLevelType w:val="hybridMultilevel"/>
    <w:tmpl w:val="EE92F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71B0F5F"/>
    <w:multiLevelType w:val="hybridMultilevel"/>
    <w:tmpl w:val="58CCEF58"/>
    <w:lvl w:ilvl="0" w:tplc="DFBAA2F0">
      <w:start w:val="12"/>
      <w:numFmt w:val="bullet"/>
      <w:lvlText w:val="-"/>
      <w:lvlJc w:val="left"/>
      <w:pPr>
        <w:ind w:left="720" w:hanging="360"/>
      </w:pPr>
      <w:rPr>
        <w:rFonts w:ascii="Times New Roman" w:eastAsia="Arial Unicode MS"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291E1A"/>
    <w:multiLevelType w:val="hybridMultilevel"/>
    <w:tmpl w:val="20C8F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636D6A"/>
    <w:multiLevelType w:val="hybridMultilevel"/>
    <w:tmpl w:val="8B4EA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5F47E3"/>
    <w:multiLevelType w:val="hybridMultilevel"/>
    <w:tmpl w:val="41B2A52E"/>
    <w:lvl w:ilvl="0" w:tplc="6436D800">
      <w:start w:val="1"/>
      <w:numFmt w:val="bullet"/>
      <w:lvlText w:val=""/>
      <w:lvlJc w:val="left"/>
      <w:pPr>
        <w:ind w:left="720" w:hanging="360"/>
      </w:pPr>
      <w:rPr>
        <w:rFonts w:ascii="Symbol" w:hAnsi="Symbol"/>
      </w:rPr>
    </w:lvl>
    <w:lvl w:ilvl="1" w:tplc="34B6AC7E">
      <w:start w:val="1"/>
      <w:numFmt w:val="bullet"/>
      <w:lvlText w:val=""/>
      <w:lvlJc w:val="left"/>
      <w:pPr>
        <w:ind w:left="720" w:hanging="360"/>
      </w:pPr>
      <w:rPr>
        <w:rFonts w:ascii="Symbol" w:hAnsi="Symbol"/>
      </w:rPr>
    </w:lvl>
    <w:lvl w:ilvl="2" w:tplc="CD40C738">
      <w:start w:val="1"/>
      <w:numFmt w:val="bullet"/>
      <w:lvlText w:val=""/>
      <w:lvlJc w:val="left"/>
      <w:pPr>
        <w:ind w:left="720" w:hanging="360"/>
      </w:pPr>
      <w:rPr>
        <w:rFonts w:ascii="Symbol" w:hAnsi="Symbol"/>
      </w:rPr>
    </w:lvl>
    <w:lvl w:ilvl="3" w:tplc="28E6733C">
      <w:start w:val="1"/>
      <w:numFmt w:val="bullet"/>
      <w:lvlText w:val=""/>
      <w:lvlJc w:val="left"/>
      <w:pPr>
        <w:ind w:left="720" w:hanging="360"/>
      </w:pPr>
      <w:rPr>
        <w:rFonts w:ascii="Symbol" w:hAnsi="Symbol"/>
      </w:rPr>
    </w:lvl>
    <w:lvl w:ilvl="4" w:tplc="299E1680">
      <w:start w:val="1"/>
      <w:numFmt w:val="bullet"/>
      <w:lvlText w:val=""/>
      <w:lvlJc w:val="left"/>
      <w:pPr>
        <w:ind w:left="720" w:hanging="360"/>
      </w:pPr>
      <w:rPr>
        <w:rFonts w:ascii="Symbol" w:hAnsi="Symbol"/>
      </w:rPr>
    </w:lvl>
    <w:lvl w:ilvl="5" w:tplc="9E861E4C">
      <w:start w:val="1"/>
      <w:numFmt w:val="bullet"/>
      <w:lvlText w:val=""/>
      <w:lvlJc w:val="left"/>
      <w:pPr>
        <w:ind w:left="720" w:hanging="360"/>
      </w:pPr>
      <w:rPr>
        <w:rFonts w:ascii="Symbol" w:hAnsi="Symbol"/>
      </w:rPr>
    </w:lvl>
    <w:lvl w:ilvl="6" w:tplc="C3FE82FA">
      <w:start w:val="1"/>
      <w:numFmt w:val="bullet"/>
      <w:lvlText w:val=""/>
      <w:lvlJc w:val="left"/>
      <w:pPr>
        <w:ind w:left="720" w:hanging="360"/>
      </w:pPr>
      <w:rPr>
        <w:rFonts w:ascii="Symbol" w:hAnsi="Symbol"/>
      </w:rPr>
    </w:lvl>
    <w:lvl w:ilvl="7" w:tplc="33E2B32C">
      <w:start w:val="1"/>
      <w:numFmt w:val="bullet"/>
      <w:lvlText w:val=""/>
      <w:lvlJc w:val="left"/>
      <w:pPr>
        <w:ind w:left="720" w:hanging="360"/>
      </w:pPr>
      <w:rPr>
        <w:rFonts w:ascii="Symbol" w:hAnsi="Symbol"/>
      </w:rPr>
    </w:lvl>
    <w:lvl w:ilvl="8" w:tplc="1B9206A4">
      <w:start w:val="1"/>
      <w:numFmt w:val="bullet"/>
      <w:lvlText w:val=""/>
      <w:lvlJc w:val="left"/>
      <w:pPr>
        <w:ind w:left="720" w:hanging="360"/>
      </w:pPr>
      <w:rPr>
        <w:rFonts w:ascii="Symbol" w:hAnsi="Symbol"/>
      </w:rPr>
    </w:lvl>
  </w:abstractNum>
  <w:abstractNum w:abstractNumId="12" w15:restartNumberingAfterBreak="0">
    <w:nsid w:val="23A4114C"/>
    <w:multiLevelType w:val="hybridMultilevel"/>
    <w:tmpl w:val="628854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465657"/>
    <w:multiLevelType w:val="hybridMultilevel"/>
    <w:tmpl w:val="90A8E54C"/>
    <w:lvl w:ilvl="0" w:tplc="48D45AE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49B0DEB"/>
    <w:multiLevelType w:val="hybridMultilevel"/>
    <w:tmpl w:val="3544F1B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511D40"/>
    <w:multiLevelType w:val="hybridMultilevel"/>
    <w:tmpl w:val="2CDA2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113D1C"/>
    <w:multiLevelType w:val="hybridMultilevel"/>
    <w:tmpl w:val="58FC3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DD3C6B"/>
    <w:multiLevelType w:val="hybridMultilevel"/>
    <w:tmpl w:val="1B26D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FB28DE"/>
    <w:multiLevelType w:val="hybridMultilevel"/>
    <w:tmpl w:val="272C0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8D05B2"/>
    <w:multiLevelType w:val="hybridMultilevel"/>
    <w:tmpl w:val="7E38B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DD5E42"/>
    <w:multiLevelType w:val="hybridMultilevel"/>
    <w:tmpl w:val="B1209FD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44AB0C5B"/>
    <w:multiLevelType w:val="hybridMultilevel"/>
    <w:tmpl w:val="61F8D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4E2338"/>
    <w:multiLevelType w:val="hybridMultilevel"/>
    <w:tmpl w:val="1284B3A2"/>
    <w:lvl w:ilvl="0" w:tplc="CAA25F24">
      <w:start w:val="1"/>
      <w:numFmt w:val="upperLetter"/>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1F73A2D"/>
    <w:multiLevelType w:val="hybridMultilevel"/>
    <w:tmpl w:val="3872B8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642733F"/>
    <w:multiLevelType w:val="hybridMultilevel"/>
    <w:tmpl w:val="03005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BE4A73"/>
    <w:multiLevelType w:val="hybridMultilevel"/>
    <w:tmpl w:val="B112A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3A5458"/>
    <w:multiLevelType w:val="hybridMultilevel"/>
    <w:tmpl w:val="BEEE51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E553BA3"/>
    <w:multiLevelType w:val="hybridMultilevel"/>
    <w:tmpl w:val="526A17C4"/>
    <w:lvl w:ilvl="0" w:tplc="1BCCC442">
      <w:start w:val="1"/>
      <w:numFmt w:val="bullet"/>
      <w:lvlText w:val=""/>
      <w:lvlJc w:val="left"/>
      <w:pPr>
        <w:ind w:left="720" w:hanging="360"/>
      </w:pPr>
      <w:rPr>
        <w:rFonts w:ascii="Symbol" w:hAnsi="Symbol"/>
      </w:rPr>
    </w:lvl>
    <w:lvl w:ilvl="1" w:tplc="D3108884">
      <w:start w:val="1"/>
      <w:numFmt w:val="bullet"/>
      <w:lvlText w:val=""/>
      <w:lvlJc w:val="left"/>
      <w:pPr>
        <w:ind w:left="720" w:hanging="360"/>
      </w:pPr>
      <w:rPr>
        <w:rFonts w:ascii="Symbol" w:hAnsi="Symbol"/>
      </w:rPr>
    </w:lvl>
    <w:lvl w:ilvl="2" w:tplc="984ABBDE">
      <w:start w:val="1"/>
      <w:numFmt w:val="bullet"/>
      <w:lvlText w:val=""/>
      <w:lvlJc w:val="left"/>
      <w:pPr>
        <w:ind w:left="720" w:hanging="360"/>
      </w:pPr>
      <w:rPr>
        <w:rFonts w:ascii="Symbol" w:hAnsi="Symbol"/>
      </w:rPr>
    </w:lvl>
    <w:lvl w:ilvl="3" w:tplc="DB260282">
      <w:start w:val="1"/>
      <w:numFmt w:val="bullet"/>
      <w:lvlText w:val=""/>
      <w:lvlJc w:val="left"/>
      <w:pPr>
        <w:ind w:left="720" w:hanging="360"/>
      </w:pPr>
      <w:rPr>
        <w:rFonts w:ascii="Symbol" w:hAnsi="Symbol"/>
      </w:rPr>
    </w:lvl>
    <w:lvl w:ilvl="4" w:tplc="9D38079E">
      <w:start w:val="1"/>
      <w:numFmt w:val="bullet"/>
      <w:lvlText w:val=""/>
      <w:lvlJc w:val="left"/>
      <w:pPr>
        <w:ind w:left="720" w:hanging="360"/>
      </w:pPr>
      <w:rPr>
        <w:rFonts w:ascii="Symbol" w:hAnsi="Symbol"/>
      </w:rPr>
    </w:lvl>
    <w:lvl w:ilvl="5" w:tplc="A09E4BDC">
      <w:start w:val="1"/>
      <w:numFmt w:val="bullet"/>
      <w:lvlText w:val=""/>
      <w:lvlJc w:val="left"/>
      <w:pPr>
        <w:ind w:left="720" w:hanging="360"/>
      </w:pPr>
      <w:rPr>
        <w:rFonts w:ascii="Symbol" w:hAnsi="Symbol"/>
      </w:rPr>
    </w:lvl>
    <w:lvl w:ilvl="6" w:tplc="AE3CC80A">
      <w:start w:val="1"/>
      <w:numFmt w:val="bullet"/>
      <w:lvlText w:val=""/>
      <w:lvlJc w:val="left"/>
      <w:pPr>
        <w:ind w:left="720" w:hanging="360"/>
      </w:pPr>
      <w:rPr>
        <w:rFonts w:ascii="Symbol" w:hAnsi="Symbol"/>
      </w:rPr>
    </w:lvl>
    <w:lvl w:ilvl="7" w:tplc="CFD01EFC">
      <w:start w:val="1"/>
      <w:numFmt w:val="bullet"/>
      <w:lvlText w:val=""/>
      <w:lvlJc w:val="left"/>
      <w:pPr>
        <w:ind w:left="720" w:hanging="360"/>
      </w:pPr>
      <w:rPr>
        <w:rFonts w:ascii="Symbol" w:hAnsi="Symbol"/>
      </w:rPr>
    </w:lvl>
    <w:lvl w:ilvl="8" w:tplc="EA961BAC">
      <w:start w:val="1"/>
      <w:numFmt w:val="bullet"/>
      <w:lvlText w:val=""/>
      <w:lvlJc w:val="left"/>
      <w:pPr>
        <w:ind w:left="720" w:hanging="360"/>
      </w:pPr>
      <w:rPr>
        <w:rFonts w:ascii="Symbol" w:hAnsi="Symbol"/>
      </w:rPr>
    </w:lvl>
  </w:abstractNum>
  <w:abstractNum w:abstractNumId="28" w15:restartNumberingAfterBreak="0">
    <w:nsid w:val="612753B9"/>
    <w:multiLevelType w:val="hybridMultilevel"/>
    <w:tmpl w:val="B1C69ACC"/>
    <w:lvl w:ilvl="0" w:tplc="0870F7F2">
      <w:start w:val="1"/>
      <w:numFmt w:val="lowerRoman"/>
      <w:lvlText w:val="%1."/>
      <w:lvlJc w:val="righ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6783AE6"/>
    <w:multiLevelType w:val="hybridMultilevel"/>
    <w:tmpl w:val="90E62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A57A43"/>
    <w:multiLevelType w:val="hybridMultilevel"/>
    <w:tmpl w:val="45C87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8203BF"/>
    <w:multiLevelType w:val="hybridMultilevel"/>
    <w:tmpl w:val="38C8CD36"/>
    <w:lvl w:ilvl="0" w:tplc="50BA6774">
      <w:start w:val="1"/>
      <w:numFmt w:val="upperRoman"/>
      <w:lvlText w:val="%1"/>
      <w:lvlJc w:val="righ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E514134"/>
    <w:multiLevelType w:val="hybridMultilevel"/>
    <w:tmpl w:val="9D541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5D18FC"/>
    <w:multiLevelType w:val="hybridMultilevel"/>
    <w:tmpl w:val="415CEB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7370460">
    <w:abstractNumId w:val="31"/>
  </w:num>
  <w:num w:numId="2" w16cid:durableId="1120609121">
    <w:abstractNumId w:val="28"/>
  </w:num>
  <w:num w:numId="3" w16cid:durableId="994064088">
    <w:abstractNumId w:val="18"/>
  </w:num>
  <w:num w:numId="4" w16cid:durableId="218322954">
    <w:abstractNumId w:val="26"/>
  </w:num>
  <w:num w:numId="5" w16cid:durableId="19164508">
    <w:abstractNumId w:val="16"/>
  </w:num>
  <w:num w:numId="6" w16cid:durableId="1417097629">
    <w:abstractNumId w:val="22"/>
  </w:num>
  <w:num w:numId="7" w16cid:durableId="1359818834">
    <w:abstractNumId w:val="22"/>
    <w:lvlOverride w:ilvl="0">
      <w:startOverride w:val="1"/>
    </w:lvlOverride>
  </w:num>
  <w:num w:numId="8" w16cid:durableId="1490057550">
    <w:abstractNumId w:val="17"/>
  </w:num>
  <w:num w:numId="9" w16cid:durableId="510994106">
    <w:abstractNumId w:val="30"/>
  </w:num>
  <w:num w:numId="10" w16cid:durableId="2042969824">
    <w:abstractNumId w:val="2"/>
  </w:num>
  <w:num w:numId="11" w16cid:durableId="1638878334">
    <w:abstractNumId w:val="2"/>
  </w:num>
  <w:num w:numId="12" w16cid:durableId="1184711620">
    <w:abstractNumId w:val="2"/>
    <w:lvlOverride w:ilvl="0">
      <w:startOverride w:val="1"/>
    </w:lvlOverride>
  </w:num>
  <w:num w:numId="13" w16cid:durableId="484585793">
    <w:abstractNumId w:val="3"/>
  </w:num>
  <w:num w:numId="14" w16cid:durableId="454641492">
    <w:abstractNumId w:val="3"/>
    <w:lvlOverride w:ilvl="0">
      <w:startOverride w:val="1"/>
    </w:lvlOverride>
  </w:num>
  <w:num w:numId="15" w16cid:durableId="1200823150">
    <w:abstractNumId w:val="15"/>
  </w:num>
  <w:num w:numId="16" w16cid:durableId="470093698">
    <w:abstractNumId w:val="19"/>
  </w:num>
  <w:num w:numId="17" w16cid:durableId="99762276">
    <w:abstractNumId w:val="7"/>
  </w:num>
  <w:num w:numId="18" w16cid:durableId="392777576">
    <w:abstractNumId w:val="2"/>
    <w:lvlOverride w:ilvl="0">
      <w:startOverride w:val="1"/>
    </w:lvlOverride>
  </w:num>
  <w:num w:numId="19" w16cid:durableId="15738664">
    <w:abstractNumId w:val="25"/>
  </w:num>
  <w:num w:numId="20" w16cid:durableId="1558974720">
    <w:abstractNumId w:val="21"/>
  </w:num>
  <w:num w:numId="21" w16cid:durableId="946080156">
    <w:abstractNumId w:val="32"/>
  </w:num>
  <w:num w:numId="22" w16cid:durableId="960380221">
    <w:abstractNumId w:val="8"/>
  </w:num>
  <w:num w:numId="23" w16cid:durableId="2082287896">
    <w:abstractNumId w:val="23"/>
  </w:num>
  <w:num w:numId="24" w16cid:durableId="1718773834">
    <w:abstractNumId w:val="0"/>
  </w:num>
  <w:num w:numId="25" w16cid:durableId="564073072">
    <w:abstractNumId w:val="9"/>
  </w:num>
  <w:num w:numId="26" w16cid:durableId="751120978">
    <w:abstractNumId w:val="29"/>
  </w:num>
  <w:num w:numId="27" w16cid:durableId="1118063040">
    <w:abstractNumId w:val="33"/>
  </w:num>
  <w:num w:numId="28" w16cid:durableId="1880429589">
    <w:abstractNumId w:val="13"/>
  </w:num>
  <w:num w:numId="29" w16cid:durableId="174811564">
    <w:abstractNumId w:val="1"/>
  </w:num>
  <w:num w:numId="30" w16cid:durableId="1621374224">
    <w:abstractNumId w:val="24"/>
  </w:num>
  <w:num w:numId="31" w16cid:durableId="1329989186">
    <w:abstractNumId w:val="5"/>
  </w:num>
  <w:num w:numId="32" w16cid:durableId="1004550902">
    <w:abstractNumId w:val="12"/>
  </w:num>
  <w:num w:numId="33" w16cid:durableId="1122263255">
    <w:abstractNumId w:val="10"/>
  </w:num>
  <w:num w:numId="34" w16cid:durableId="939071543">
    <w:abstractNumId w:val="20"/>
  </w:num>
  <w:num w:numId="35" w16cid:durableId="899092989">
    <w:abstractNumId w:val="6"/>
  </w:num>
  <w:num w:numId="36" w16cid:durableId="1371148082">
    <w:abstractNumId w:val="4"/>
  </w:num>
  <w:num w:numId="37" w16cid:durableId="128476707">
    <w:abstractNumId w:val="6"/>
  </w:num>
  <w:num w:numId="38" w16cid:durableId="140657229">
    <w:abstractNumId w:val="11"/>
  </w:num>
  <w:num w:numId="39" w16cid:durableId="1856186271">
    <w:abstractNumId w:val="27"/>
  </w:num>
  <w:num w:numId="40" w16cid:durableId="11752626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FC"/>
    <w:rsid w:val="000021BD"/>
    <w:rsid w:val="00002BBF"/>
    <w:rsid w:val="00004E67"/>
    <w:rsid w:val="00006938"/>
    <w:rsid w:val="000103C0"/>
    <w:rsid w:val="0001149F"/>
    <w:rsid w:val="000123D0"/>
    <w:rsid w:val="000138AC"/>
    <w:rsid w:val="00013A8E"/>
    <w:rsid w:val="00013EF7"/>
    <w:rsid w:val="00013F7C"/>
    <w:rsid w:val="0001556B"/>
    <w:rsid w:val="00015ABC"/>
    <w:rsid w:val="000161CB"/>
    <w:rsid w:val="00017D3B"/>
    <w:rsid w:val="00020AE8"/>
    <w:rsid w:val="00020E48"/>
    <w:rsid w:val="00021350"/>
    <w:rsid w:val="00021AFE"/>
    <w:rsid w:val="000228FF"/>
    <w:rsid w:val="00023789"/>
    <w:rsid w:val="00024596"/>
    <w:rsid w:val="000247E7"/>
    <w:rsid w:val="00026500"/>
    <w:rsid w:val="00027588"/>
    <w:rsid w:val="00027AD5"/>
    <w:rsid w:val="00027BB3"/>
    <w:rsid w:val="000301E2"/>
    <w:rsid w:val="00030CD0"/>
    <w:rsid w:val="00033042"/>
    <w:rsid w:val="000335E5"/>
    <w:rsid w:val="00033FD6"/>
    <w:rsid w:val="00035204"/>
    <w:rsid w:val="00037AED"/>
    <w:rsid w:val="00037E4A"/>
    <w:rsid w:val="00040E2B"/>
    <w:rsid w:val="000411F7"/>
    <w:rsid w:val="000447B3"/>
    <w:rsid w:val="00045E7F"/>
    <w:rsid w:val="0004679B"/>
    <w:rsid w:val="000469CB"/>
    <w:rsid w:val="00046C8C"/>
    <w:rsid w:val="000470A7"/>
    <w:rsid w:val="0004760A"/>
    <w:rsid w:val="0004784B"/>
    <w:rsid w:val="00050229"/>
    <w:rsid w:val="000517CA"/>
    <w:rsid w:val="00053970"/>
    <w:rsid w:val="0005568B"/>
    <w:rsid w:val="00056BC9"/>
    <w:rsid w:val="00056CA9"/>
    <w:rsid w:val="00056D08"/>
    <w:rsid w:val="00056EEC"/>
    <w:rsid w:val="000618DF"/>
    <w:rsid w:val="00061C92"/>
    <w:rsid w:val="00061CAB"/>
    <w:rsid w:val="00062035"/>
    <w:rsid w:val="00065785"/>
    <w:rsid w:val="0006661F"/>
    <w:rsid w:val="00067197"/>
    <w:rsid w:val="0006738C"/>
    <w:rsid w:val="00072A64"/>
    <w:rsid w:val="00072AEE"/>
    <w:rsid w:val="00074DC5"/>
    <w:rsid w:val="00075E6D"/>
    <w:rsid w:val="00077EEF"/>
    <w:rsid w:val="000813BE"/>
    <w:rsid w:val="000815F8"/>
    <w:rsid w:val="00081BF6"/>
    <w:rsid w:val="000829BB"/>
    <w:rsid w:val="000849C9"/>
    <w:rsid w:val="00085159"/>
    <w:rsid w:val="00086A04"/>
    <w:rsid w:val="00090CA7"/>
    <w:rsid w:val="00092B1D"/>
    <w:rsid w:val="00094740"/>
    <w:rsid w:val="00097057"/>
    <w:rsid w:val="00097B19"/>
    <w:rsid w:val="00097C3A"/>
    <w:rsid w:val="000A0820"/>
    <w:rsid w:val="000A1E33"/>
    <w:rsid w:val="000A561A"/>
    <w:rsid w:val="000A59F9"/>
    <w:rsid w:val="000A735A"/>
    <w:rsid w:val="000A750E"/>
    <w:rsid w:val="000B0610"/>
    <w:rsid w:val="000B1152"/>
    <w:rsid w:val="000B2EE3"/>
    <w:rsid w:val="000B3393"/>
    <w:rsid w:val="000B54D8"/>
    <w:rsid w:val="000C1039"/>
    <w:rsid w:val="000C3FB7"/>
    <w:rsid w:val="000C485C"/>
    <w:rsid w:val="000C4D82"/>
    <w:rsid w:val="000C54AA"/>
    <w:rsid w:val="000C66C7"/>
    <w:rsid w:val="000C6BD5"/>
    <w:rsid w:val="000C7309"/>
    <w:rsid w:val="000D0B73"/>
    <w:rsid w:val="000D166F"/>
    <w:rsid w:val="000D18D9"/>
    <w:rsid w:val="000D2986"/>
    <w:rsid w:val="000D339B"/>
    <w:rsid w:val="000D5012"/>
    <w:rsid w:val="000D6BC0"/>
    <w:rsid w:val="000D6E12"/>
    <w:rsid w:val="000D7875"/>
    <w:rsid w:val="000E004A"/>
    <w:rsid w:val="000E2F1B"/>
    <w:rsid w:val="000E54EF"/>
    <w:rsid w:val="000F041F"/>
    <w:rsid w:val="000F14B1"/>
    <w:rsid w:val="000F3C41"/>
    <w:rsid w:val="000F4193"/>
    <w:rsid w:val="000F42C9"/>
    <w:rsid w:val="0010062F"/>
    <w:rsid w:val="00103920"/>
    <w:rsid w:val="001048E5"/>
    <w:rsid w:val="0010528D"/>
    <w:rsid w:val="00107130"/>
    <w:rsid w:val="001075BB"/>
    <w:rsid w:val="00110567"/>
    <w:rsid w:val="0011086F"/>
    <w:rsid w:val="00114038"/>
    <w:rsid w:val="00114856"/>
    <w:rsid w:val="00114EDB"/>
    <w:rsid w:val="00116E0C"/>
    <w:rsid w:val="00117012"/>
    <w:rsid w:val="0011754F"/>
    <w:rsid w:val="00121C16"/>
    <w:rsid w:val="00123DAB"/>
    <w:rsid w:val="001240F8"/>
    <w:rsid w:val="0012715B"/>
    <w:rsid w:val="001275CA"/>
    <w:rsid w:val="00127722"/>
    <w:rsid w:val="00133D54"/>
    <w:rsid w:val="00135357"/>
    <w:rsid w:val="00135495"/>
    <w:rsid w:val="001368BC"/>
    <w:rsid w:val="00137B6E"/>
    <w:rsid w:val="001403F3"/>
    <w:rsid w:val="00141BC3"/>
    <w:rsid w:val="00143746"/>
    <w:rsid w:val="001441F7"/>
    <w:rsid w:val="00144D77"/>
    <w:rsid w:val="00145B04"/>
    <w:rsid w:val="0014739D"/>
    <w:rsid w:val="00150681"/>
    <w:rsid w:val="00150EAF"/>
    <w:rsid w:val="001520E0"/>
    <w:rsid w:val="0015546E"/>
    <w:rsid w:val="0015648A"/>
    <w:rsid w:val="00157E2D"/>
    <w:rsid w:val="00162209"/>
    <w:rsid w:val="001651B3"/>
    <w:rsid w:val="001710E2"/>
    <w:rsid w:val="001723C9"/>
    <w:rsid w:val="00172CB4"/>
    <w:rsid w:val="00173483"/>
    <w:rsid w:val="00174345"/>
    <w:rsid w:val="0017450A"/>
    <w:rsid w:val="0017777A"/>
    <w:rsid w:val="00180747"/>
    <w:rsid w:val="0018131C"/>
    <w:rsid w:val="0018167E"/>
    <w:rsid w:val="001826A3"/>
    <w:rsid w:val="001854F5"/>
    <w:rsid w:val="00185643"/>
    <w:rsid w:val="0018735A"/>
    <w:rsid w:val="001916A9"/>
    <w:rsid w:val="001924E9"/>
    <w:rsid w:val="001932DA"/>
    <w:rsid w:val="00193AE4"/>
    <w:rsid w:val="00194F44"/>
    <w:rsid w:val="00196F94"/>
    <w:rsid w:val="00197C7C"/>
    <w:rsid w:val="00197F1A"/>
    <w:rsid w:val="001A3798"/>
    <w:rsid w:val="001A6D4D"/>
    <w:rsid w:val="001A6DF8"/>
    <w:rsid w:val="001B00B8"/>
    <w:rsid w:val="001B393F"/>
    <w:rsid w:val="001B3AB4"/>
    <w:rsid w:val="001B3DC7"/>
    <w:rsid w:val="001B5243"/>
    <w:rsid w:val="001B6073"/>
    <w:rsid w:val="001C0051"/>
    <w:rsid w:val="001C0E77"/>
    <w:rsid w:val="001C2812"/>
    <w:rsid w:val="001C457C"/>
    <w:rsid w:val="001C5728"/>
    <w:rsid w:val="001C6E64"/>
    <w:rsid w:val="001C6ED7"/>
    <w:rsid w:val="001D2799"/>
    <w:rsid w:val="001D4302"/>
    <w:rsid w:val="001D435F"/>
    <w:rsid w:val="001D5A02"/>
    <w:rsid w:val="001D5B67"/>
    <w:rsid w:val="001D7E7B"/>
    <w:rsid w:val="001E04C1"/>
    <w:rsid w:val="001E1618"/>
    <w:rsid w:val="001E2185"/>
    <w:rsid w:val="001E24FE"/>
    <w:rsid w:val="001E2AD7"/>
    <w:rsid w:val="001E3B38"/>
    <w:rsid w:val="001E4BD8"/>
    <w:rsid w:val="001E4DC8"/>
    <w:rsid w:val="001E73FE"/>
    <w:rsid w:val="001E7927"/>
    <w:rsid w:val="001E7D8B"/>
    <w:rsid w:val="001F0283"/>
    <w:rsid w:val="001F02C3"/>
    <w:rsid w:val="001F0873"/>
    <w:rsid w:val="001F35CE"/>
    <w:rsid w:val="001F4505"/>
    <w:rsid w:val="001F4B26"/>
    <w:rsid w:val="001F4D2F"/>
    <w:rsid w:val="001F5746"/>
    <w:rsid w:val="001F5ADB"/>
    <w:rsid w:val="001F5FF2"/>
    <w:rsid w:val="001F6ADF"/>
    <w:rsid w:val="001F6CB4"/>
    <w:rsid w:val="001F77AC"/>
    <w:rsid w:val="002013A0"/>
    <w:rsid w:val="00201400"/>
    <w:rsid w:val="0020387A"/>
    <w:rsid w:val="00204DE1"/>
    <w:rsid w:val="002066E9"/>
    <w:rsid w:val="0020770A"/>
    <w:rsid w:val="00207A83"/>
    <w:rsid w:val="00207CB0"/>
    <w:rsid w:val="00211248"/>
    <w:rsid w:val="002121F4"/>
    <w:rsid w:val="00212917"/>
    <w:rsid w:val="00214E51"/>
    <w:rsid w:val="0021532F"/>
    <w:rsid w:val="00217FF1"/>
    <w:rsid w:val="00222663"/>
    <w:rsid w:val="0022562F"/>
    <w:rsid w:val="00225CF6"/>
    <w:rsid w:val="00226177"/>
    <w:rsid w:val="00226BC1"/>
    <w:rsid w:val="00230D43"/>
    <w:rsid w:val="0023360C"/>
    <w:rsid w:val="00234610"/>
    <w:rsid w:val="002369E5"/>
    <w:rsid w:val="0023715B"/>
    <w:rsid w:val="00243158"/>
    <w:rsid w:val="00245F73"/>
    <w:rsid w:val="0024713F"/>
    <w:rsid w:val="00250118"/>
    <w:rsid w:val="002501C8"/>
    <w:rsid w:val="002503A7"/>
    <w:rsid w:val="00251375"/>
    <w:rsid w:val="00251FFA"/>
    <w:rsid w:val="00252245"/>
    <w:rsid w:val="00252321"/>
    <w:rsid w:val="00253945"/>
    <w:rsid w:val="0025426C"/>
    <w:rsid w:val="00254678"/>
    <w:rsid w:val="002554FC"/>
    <w:rsid w:val="00255D0D"/>
    <w:rsid w:val="00256A6E"/>
    <w:rsid w:val="0026223C"/>
    <w:rsid w:val="00263585"/>
    <w:rsid w:val="00264571"/>
    <w:rsid w:val="00264B99"/>
    <w:rsid w:val="00267356"/>
    <w:rsid w:val="00271847"/>
    <w:rsid w:val="00271FE9"/>
    <w:rsid w:val="00272B4F"/>
    <w:rsid w:val="00272D5F"/>
    <w:rsid w:val="00275781"/>
    <w:rsid w:val="00275ED6"/>
    <w:rsid w:val="00282778"/>
    <w:rsid w:val="002829DE"/>
    <w:rsid w:val="00282BE8"/>
    <w:rsid w:val="002830A5"/>
    <w:rsid w:val="00284E28"/>
    <w:rsid w:val="00286382"/>
    <w:rsid w:val="002869E2"/>
    <w:rsid w:val="00286CDE"/>
    <w:rsid w:val="002911D8"/>
    <w:rsid w:val="00292B0A"/>
    <w:rsid w:val="00294859"/>
    <w:rsid w:val="00295765"/>
    <w:rsid w:val="0029586C"/>
    <w:rsid w:val="00295FC3"/>
    <w:rsid w:val="002975C0"/>
    <w:rsid w:val="002978E3"/>
    <w:rsid w:val="002A0EE4"/>
    <w:rsid w:val="002A37C9"/>
    <w:rsid w:val="002A6EAC"/>
    <w:rsid w:val="002A7573"/>
    <w:rsid w:val="002A79C8"/>
    <w:rsid w:val="002B265E"/>
    <w:rsid w:val="002B3635"/>
    <w:rsid w:val="002C1A32"/>
    <w:rsid w:val="002C22BD"/>
    <w:rsid w:val="002C2AC6"/>
    <w:rsid w:val="002C2F7A"/>
    <w:rsid w:val="002C6178"/>
    <w:rsid w:val="002C7BC5"/>
    <w:rsid w:val="002D04CA"/>
    <w:rsid w:val="002D37B1"/>
    <w:rsid w:val="002E0D8B"/>
    <w:rsid w:val="002E157C"/>
    <w:rsid w:val="002E192F"/>
    <w:rsid w:val="002E2E3D"/>
    <w:rsid w:val="002E5CEE"/>
    <w:rsid w:val="002E60F2"/>
    <w:rsid w:val="002E622A"/>
    <w:rsid w:val="002E62A8"/>
    <w:rsid w:val="002E6F03"/>
    <w:rsid w:val="002F0535"/>
    <w:rsid w:val="002F0F81"/>
    <w:rsid w:val="002F1385"/>
    <w:rsid w:val="002F151E"/>
    <w:rsid w:val="002F24EC"/>
    <w:rsid w:val="002F63CA"/>
    <w:rsid w:val="002F77AB"/>
    <w:rsid w:val="00301119"/>
    <w:rsid w:val="00302C90"/>
    <w:rsid w:val="00302DCC"/>
    <w:rsid w:val="00305C2D"/>
    <w:rsid w:val="00305F95"/>
    <w:rsid w:val="0030655A"/>
    <w:rsid w:val="003102BE"/>
    <w:rsid w:val="00310D0C"/>
    <w:rsid w:val="003113B5"/>
    <w:rsid w:val="003129E5"/>
    <w:rsid w:val="00312ABF"/>
    <w:rsid w:val="0031430A"/>
    <w:rsid w:val="0031450E"/>
    <w:rsid w:val="00314E1C"/>
    <w:rsid w:val="003155B1"/>
    <w:rsid w:val="00316601"/>
    <w:rsid w:val="00321754"/>
    <w:rsid w:val="00321F3A"/>
    <w:rsid w:val="00322625"/>
    <w:rsid w:val="00324133"/>
    <w:rsid w:val="00325C8C"/>
    <w:rsid w:val="003278C4"/>
    <w:rsid w:val="00327EFD"/>
    <w:rsid w:val="003308F5"/>
    <w:rsid w:val="00331FE1"/>
    <w:rsid w:val="003320D3"/>
    <w:rsid w:val="00333F4D"/>
    <w:rsid w:val="003353D1"/>
    <w:rsid w:val="00340832"/>
    <w:rsid w:val="00345384"/>
    <w:rsid w:val="003461DA"/>
    <w:rsid w:val="00346217"/>
    <w:rsid w:val="00347145"/>
    <w:rsid w:val="00352034"/>
    <w:rsid w:val="0035531B"/>
    <w:rsid w:val="00356313"/>
    <w:rsid w:val="003608A9"/>
    <w:rsid w:val="003612A4"/>
    <w:rsid w:val="003620CA"/>
    <w:rsid w:val="003620EA"/>
    <w:rsid w:val="0036268F"/>
    <w:rsid w:val="00363DBF"/>
    <w:rsid w:val="00363E39"/>
    <w:rsid w:val="00365D66"/>
    <w:rsid w:val="00367AA0"/>
    <w:rsid w:val="00371225"/>
    <w:rsid w:val="003714EE"/>
    <w:rsid w:val="003725C9"/>
    <w:rsid w:val="003730EB"/>
    <w:rsid w:val="00373EA3"/>
    <w:rsid w:val="00375B65"/>
    <w:rsid w:val="00376774"/>
    <w:rsid w:val="00380ECD"/>
    <w:rsid w:val="00381765"/>
    <w:rsid w:val="00383C6C"/>
    <w:rsid w:val="0038450D"/>
    <w:rsid w:val="00385E7A"/>
    <w:rsid w:val="00387D0D"/>
    <w:rsid w:val="00390843"/>
    <w:rsid w:val="00391151"/>
    <w:rsid w:val="003928E0"/>
    <w:rsid w:val="003947C7"/>
    <w:rsid w:val="00394C8C"/>
    <w:rsid w:val="0039562B"/>
    <w:rsid w:val="00396045"/>
    <w:rsid w:val="00396C20"/>
    <w:rsid w:val="00396E49"/>
    <w:rsid w:val="003A0AA5"/>
    <w:rsid w:val="003A108A"/>
    <w:rsid w:val="003A3719"/>
    <w:rsid w:val="003A3A01"/>
    <w:rsid w:val="003A3AD7"/>
    <w:rsid w:val="003A3B47"/>
    <w:rsid w:val="003A3EC9"/>
    <w:rsid w:val="003A4586"/>
    <w:rsid w:val="003A459F"/>
    <w:rsid w:val="003A4E81"/>
    <w:rsid w:val="003A713B"/>
    <w:rsid w:val="003B028C"/>
    <w:rsid w:val="003B1CE0"/>
    <w:rsid w:val="003B3351"/>
    <w:rsid w:val="003B461D"/>
    <w:rsid w:val="003B5EFA"/>
    <w:rsid w:val="003B626D"/>
    <w:rsid w:val="003B64F9"/>
    <w:rsid w:val="003C1B82"/>
    <w:rsid w:val="003C2208"/>
    <w:rsid w:val="003C326A"/>
    <w:rsid w:val="003C3302"/>
    <w:rsid w:val="003C488D"/>
    <w:rsid w:val="003C4C90"/>
    <w:rsid w:val="003C4F87"/>
    <w:rsid w:val="003C6ADA"/>
    <w:rsid w:val="003C71E9"/>
    <w:rsid w:val="003C78E0"/>
    <w:rsid w:val="003D15EB"/>
    <w:rsid w:val="003D302A"/>
    <w:rsid w:val="003D4993"/>
    <w:rsid w:val="003D5622"/>
    <w:rsid w:val="003D676E"/>
    <w:rsid w:val="003D77CB"/>
    <w:rsid w:val="003E21FC"/>
    <w:rsid w:val="003E24E6"/>
    <w:rsid w:val="003E3F48"/>
    <w:rsid w:val="003E3FC4"/>
    <w:rsid w:val="003E488D"/>
    <w:rsid w:val="003E4D2F"/>
    <w:rsid w:val="003E5A4E"/>
    <w:rsid w:val="003E63B1"/>
    <w:rsid w:val="003E7991"/>
    <w:rsid w:val="003F0174"/>
    <w:rsid w:val="003F4157"/>
    <w:rsid w:val="003F66A3"/>
    <w:rsid w:val="003F6F67"/>
    <w:rsid w:val="003F6F7E"/>
    <w:rsid w:val="003F7599"/>
    <w:rsid w:val="00401FE0"/>
    <w:rsid w:val="00403963"/>
    <w:rsid w:val="00405942"/>
    <w:rsid w:val="00407547"/>
    <w:rsid w:val="00407D0F"/>
    <w:rsid w:val="0041076D"/>
    <w:rsid w:val="00410DC2"/>
    <w:rsid w:val="00411C67"/>
    <w:rsid w:val="00414E92"/>
    <w:rsid w:val="00423043"/>
    <w:rsid w:val="004246D3"/>
    <w:rsid w:val="0042509B"/>
    <w:rsid w:val="00430E10"/>
    <w:rsid w:val="00431592"/>
    <w:rsid w:val="004328FD"/>
    <w:rsid w:val="00432EB3"/>
    <w:rsid w:val="00436983"/>
    <w:rsid w:val="0044397A"/>
    <w:rsid w:val="00444FD5"/>
    <w:rsid w:val="00445E64"/>
    <w:rsid w:val="004461C3"/>
    <w:rsid w:val="00446448"/>
    <w:rsid w:val="004474DF"/>
    <w:rsid w:val="00447667"/>
    <w:rsid w:val="00447B95"/>
    <w:rsid w:val="00451379"/>
    <w:rsid w:val="00452A72"/>
    <w:rsid w:val="00452E3A"/>
    <w:rsid w:val="004546B0"/>
    <w:rsid w:val="00460ACA"/>
    <w:rsid w:val="00461E64"/>
    <w:rsid w:val="00462683"/>
    <w:rsid w:val="004634AD"/>
    <w:rsid w:val="00463EAF"/>
    <w:rsid w:val="00464A15"/>
    <w:rsid w:val="00464C60"/>
    <w:rsid w:val="00467464"/>
    <w:rsid w:val="004709BF"/>
    <w:rsid w:val="00470B8D"/>
    <w:rsid w:val="00470FE5"/>
    <w:rsid w:val="00471161"/>
    <w:rsid w:val="00471475"/>
    <w:rsid w:val="004719E4"/>
    <w:rsid w:val="00471B34"/>
    <w:rsid w:val="004724CA"/>
    <w:rsid w:val="0047362E"/>
    <w:rsid w:val="00473CC5"/>
    <w:rsid w:val="00476007"/>
    <w:rsid w:val="004779F2"/>
    <w:rsid w:val="004801FC"/>
    <w:rsid w:val="004805CD"/>
    <w:rsid w:val="00481640"/>
    <w:rsid w:val="00481E4B"/>
    <w:rsid w:val="00482702"/>
    <w:rsid w:val="00484A58"/>
    <w:rsid w:val="00487771"/>
    <w:rsid w:val="00487B94"/>
    <w:rsid w:val="00490AEC"/>
    <w:rsid w:val="00491A48"/>
    <w:rsid w:val="004921CE"/>
    <w:rsid w:val="00492B7D"/>
    <w:rsid w:val="004939EF"/>
    <w:rsid w:val="00494F1E"/>
    <w:rsid w:val="00495F1D"/>
    <w:rsid w:val="00497BC5"/>
    <w:rsid w:val="00497C2D"/>
    <w:rsid w:val="004A01E0"/>
    <w:rsid w:val="004A2F82"/>
    <w:rsid w:val="004A4B16"/>
    <w:rsid w:val="004A628C"/>
    <w:rsid w:val="004A6441"/>
    <w:rsid w:val="004A72B6"/>
    <w:rsid w:val="004A7BC3"/>
    <w:rsid w:val="004B25CB"/>
    <w:rsid w:val="004B4DB7"/>
    <w:rsid w:val="004B5D9A"/>
    <w:rsid w:val="004B77F1"/>
    <w:rsid w:val="004B7E42"/>
    <w:rsid w:val="004C048F"/>
    <w:rsid w:val="004C1120"/>
    <w:rsid w:val="004C1768"/>
    <w:rsid w:val="004C30A9"/>
    <w:rsid w:val="004C491C"/>
    <w:rsid w:val="004C5509"/>
    <w:rsid w:val="004C6733"/>
    <w:rsid w:val="004C768C"/>
    <w:rsid w:val="004C77CD"/>
    <w:rsid w:val="004D29B7"/>
    <w:rsid w:val="004D2CF0"/>
    <w:rsid w:val="004D36D6"/>
    <w:rsid w:val="004D3D77"/>
    <w:rsid w:val="004D5713"/>
    <w:rsid w:val="004D5A0E"/>
    <w:rsid w:val="004D674E"/>
    <w:rsid w:val="004E0128"/>
    <w:rsid w:val="004E07FE"/>
    <w:rsid w:val="004E0B86"/>
    <w:rsid w:val="004E0E6F"/>
    <w:rsid w:val="004E1263"/>
    <w:rsid w:val="004E155C"/>
    <w:rsid w:val="004E2A39"/>
    <w:rsid w:val="004E30B8"/>
    <w:rsid w:val="004E3477"/>
    <w:rsid w:val="004E4427"/>
    <w:rsid w:val="004E5A9F"/>
    <w:rsid w:val="004E6394"/>
    <w:rsid w:val="004E7145"/>
    <w:rsid w:val="004F0A52"/>
    <w:rsid w:val="004F3050"/>
    <w:rsid w:val="004F319C"/>
    <w:rsid w:val="004F42F9"/>
    <w:rsid w:val="004F46B4"/>
    <w:rsid w:val="004F49FC"/>
    <w:rsid w:val="00500FCE"/>
    <w:rsid w:val="00501419"/>
    <w:rsid w:val="005016A8"/>
    <w:rsid w:val="00502F6A"/>
    <w:rsid w:val="005041A1"/>
    <w:rsid w:val="00504CF2"/>
    <w:rsid w:val="00504ED2"/>
    <w:rsid w:val="005103B8"/>
    <w:rsid w:val="00510BCF"/>
    <w:rsid w:val="00510E02"/>
    <w:rsid w:val="00510FED"/>
    <w:rsid w:val="00511917"/>
    <w:rsid w:val="00512B52"/>
    <w:rsid w:val="00512BAF"/>
    <w:rsid w:val="00513AED"/>
    <w:rsid w:val="005152F0"/>
    <w:rsid w:val="00516752"/>
    <w:rsid w:val="00520F80"/>
    <w:rsid w:val="00520FC7"/>
    <w:rsid w:val="005213B1"/>
    <w:rsid w:val="00521ECB"/>
    <w:rsid w:val="0052339D"/>
    <w:rsid w:val="005236DE"/>
    <w:rsid w:val="005249B3"/>
    <w:rsid w:val="00524A23"/>
    <w:rsid w:val="005302FB"/>
    <w:rsid w:val="00531068"/>
    <w:rsid w:val="005334FF"/>
    <w:rsid w:val="00533798"/>
    <w:rsid w:val="005342E9"/>
    <w:rsid w:val="00535C8A"/>
    <w:rsid w:val="00535D26"/>
    <w:rsid w:val="00536107"/>
    <w:rsid w:val="005363FA"/>
    <w:rsid w:val="00537BC5"/>
    <w:rsid w:val="005400EE"/>
    <w:rsid w:val="00542933"/>
    <w:rsid w:val="00542E27"/>
    <w:rsid w:val="00543692"/>
    <w:rsid w:val="0054387B"/>
    <w:rsid w:val="005460B3"/>
    <w:rsid w:val="005479C8"/>
    <w:rsid w:val="00551229"/>
    <w:rsid w:val="00553406"/>
    <w:rsid w:val="00553A9B"/>
    <w:rsid w:val="00554605"/>
    <w:rsid w:val="0055526C"/>
    <w:rsid w:val="00555F55"/>
    <w:rsid w:val="00560693"/>
    <w:rsid w:val="00561637"/>
    <w:rsid w:val="00562801"/>
    <w:rsid w:val="00565642"/>
    <w:rsid w:val="00567953"/>
    <w:rsid w:val="00572E8A"/>
    <w:rsid w:val="0057337B"/>
    <w:rsid w:val="0057350E"/>
    <w:rsid w:val="005739BC"/>
    <w:rsid w:val="005744B4"/>
    <w:rsid w:val="005753E6"/>
    <w:rsid w:val="00576549"/>
    <w:rsid w:val="00577737"/>
    <w:rsid w:val="00577FE9"/>
    <w:rsid w:val="00582D2A"/>
    <w:rsid w:val="005839B9"/>
    <w:rsid w:val="00584E4B"/>
    <w:rsid w:val="0058721C"/>
    <w:rsid w:val="005872DD"/>
    <w:rsid w:val="00590883"/>
    <w:rsid w:val="00591AC3"/>
    <w:rsid w:val="00592479"/>
    <w:rsid w:val="00593448"/>
    <w:rsid w:val="00593E7F"/>
    <w:rsid w:val="00597E7B"/>
    <w:rsid w:val="00597FC2"/>
    <w:rsid w:val="005A0A16"/>
    <w:rsid w:val="005A1865"/>
    <w:rsid w:val="005A2250"/>
    <w:rsid w:val="005A2541"/>
    <w:rsid w:val="005A51C3"/>
    <w:rsid w:val="005A55C7"/>
    <w:rsid w:val="005A56A0"/>
    <w:rsid w:val="005A7465"/>
    <w:rsid w:val="005B0231"/>
    <w:rsid w:val="005B194E"/>
    <w:rsid w:val="005B3157"/>
    <w:rsid w:val="005B3173"/>
    <w:rsid w:val="005C0AF6"/>
    <w:rsid w:val="005C2DA3"/>
    <w:rsid w:val="005C3880"/>
    <w:rsid w:val="005C3B7E"/>
    <w:rsid w:val="005C6156"/>
    <w:rsid w:val="005C6B71"/>
    <w:rsid w:val="005D03ED"/>
    <w:rsid w:val="005D3A78"/>
    <w:rsid w:val="005D6A98"/>
    <w:rsid w:val="005D7D15"/>
    <w:rsid w:val="005E3603"/>
    <w:rsid w:val="005E41D7"/>
    <w:rsid w:val="005F0113"/>
    <w:rsid w:val="005F111C"/>
    <w:rsid w:val="005F4BEA"/>
    <w:rsid w:val="005F7EF3"/>
    <w:rsid w:val="006006CD"/>
    <w:rsid w:val="0060117A"/>
    <w:rsid w:val="0060300E"/>
    <w:rsid w:val="006034A4"/>
    <w:rsid w:val="0060436A"/>
    <w:rsid w:val="00605397"/>
    <w:rsid w:val="00606B00"/>
    <w:rsid w:val="006073B1"/>
    <w:rsid w:val="006079CE"/>
    <w:rsid w:val="006079D6"/>
    <w:rsid w:val="00607C3B"/>
    <w:rsid w:val="006105A4"/>
    <w:rsid w:val="006114F4"/>
    <w:rsid w:val="006119DD"/>
    <w:rsid w:val="006130A8"/>
    <w:rsid w:val="006136A6"/>
    <w:rsid w:val="006137AB"/>
    <w:rsid w:val="00613AE4"/>
    <w:rsid w:val="006143E9"/>
    <w:rsid w:val="00615DEF"/>
    <w:rsid w:val="00623450"/>
    <w:rsid w:val="00624020"/>
    <w:rsid w:val="006241FF"/>
    <w:rsid w:val="00625B10"/>
    <w:rsid w:val="00625DA6"/>
    <w:rsid w:val="006262EE"/>
    <w:rsid w:val="00626712"/>
    <w:rsid w:val="00626AA9"/>
    <w:rsid w:val="00631078"/>
    <w:rsid w:val="00631334"/>
    <w:rsid w:val="00631943"/>
    <w:rsid w:val="006319BA"/>
    <w:rsid w:val="00631BAA"/>
    <w:rsid w:val="006352C1"/>
    <w:rsid w:val="00636392"/>
    <w:rsid w:val="00640093"/>
    <w:rsid w:val="0064036D"/>
    <w:rsid w:val="006410DA"/>
    <w:rsid w:val="00641D64"/>
    <w:rsid w:val="00644402"/>
    <w:rsid w:val="006444DD"/>
    <w:rsid w:val="006446C6"/>
    <w:rsid w:val="00644AA2"/>
    <w:rsid w:val="0064623E"/>
    <w:rsid w:val="0065091D"/>
    <w:rsid w:val="006510EB"/>
    <w:rsid w:val="0065179A"/>
    <w:rsid w:val="00652389"/>
    <w:rsid w:val="006528B7"/>
    <w:rsid w:val="00652B09"/>
    <w:rsid w:val="00656ADB"/>
    <w:rsid w:val="00657BE3"/>
    <w:rsid w:val="0066072B"/>
    <w:rsid w:val="006618C0"/>
    <w:rsid w:val="00662080"/>
    <w:rsid w:val="0066287A"/>
    <w:rsid w:val="0066375D"/>
    <w:rsid w:val="006644BE"/>
    <w:rsid w:val="00664B57"/>
    <w:rsid w:val="00665CFD"/>
    <w:rsid w:val="00670487"/>
    <w:rsid w:val="00671008"/>
    <w:rsid w:val="006725C1"/>
    <w:rsid w:val="0067691F"/>
    <w:rsid w:val="00676B56"/>
    <w:rsid w:val="006818C3"/>
    <w:rsid w:val="006823C4"/>
    <w:rsid w:val="00682592"/>
    <w:rsid w:val="0068426D"/>
    <w:rsid w:val="006847A2"/>
    <w:rsid w:val="006853F2"/>
    <w:rsid w:val="0068633F"/>
    <w:rsid w:val="00686AED"/>
    <w:rsid w:val="006905B9"/>
    <w:rsid w:val="00691D28"/>
    <w:rsid w:val="006923A0"/>
    <w:rsid w:val="006947E3"/>
    <w:rsid w:val="00694E02"/>
    <w:rsid w:val="00696D04"/>
    <w:rsid w:val="00697356"/>
    <w:rsid w:val="00697AB3"/>
    <w:rsid w:val="006A5E38"/>
    <w:rsid w:val="006A65E5"/>
    <w:rsid w:val="006A7151"/>
    <w:rsid w:val="006B066A"/>
    <w:rsid w:val="006B0EE4"/>
    <w:rsid w:val="006B0F06"/>
    <w:rsid w:val="006B3092"/>
    <w:rsid w:val="006B33FE"/>
    <w:rsid w:val="006B3527"/>
    <w:rsid w:val="006B3733"/>
    <w:rsid w:val="006B7D91"/>
    <w:rsid w:val="006C059D"/>
    <w:rsid w:val="006C08A0"/>
    <w:rsid w:val="006C62D8"/>
    <w:rsid w:val="006C7512"/>
    <w:rsid w:val="006D2D1A"/>
    <w:rsid w:val="006D34F8"/>
    <w:rsid w:val="006D4132"/>
    <w:rsid w:val="006D42D2"/>
    <w:rsid w:val="006D4F5A"/>
    <w:rsid w:val="006D4F78"/>
    <w:rsid w:val="006D5221"/>
    <w:rsid w:val="006D5FF3"/>
    <w:rsid w:val="006E101B"/>
    <w:rsid w:val="006E2C3E"/>
    <w:rsid w:val="006E338A"/>
    <w:rsid w:val="006E375B"/>
    <w:rsid w:val="006E4AF6"/>
    <w:rsid w:val="006E4D1C"/>
    <w:rsid w:val="006E6370"/>
    <w:rsid w:val="006E701B"/>
    <w:rsid w:val="006E7806"/>
    <w:rsid w:val="006F2A9B"/>
    <w:rsid w:val="006F2E4D"/>
    <w:rsid w:val="006F4384"/>
    <w:rsid w:val="006F4C83"/>
    <w:rsid w:val="006F4FC9"/>
    <w:rsid w:val="006F6192"/>
    <w:rsid w:val="006F6C68"/>
    <w:rsid w:val="007000DD"/>
    <w:rsid w:val="0070411B"/>
    <w:rsid w:val="007044A1"/>
    <w:rsid w:val="007055D2"/>
    <w:rsid w:val="007058E4"/>
    <w:rsid w:val="007060FC"/>
    <w:rsid w:val="007066C4"/>
    <w:rsid w:val="00710855"/>
    <w:rsid w:val="0071204F"/>
    <w:rsid w:val="00713E77"/>
    <w:rsid w:val="00715783"/>
    <w:rsid w:val="0072073E"/>
    <w:rsid w:val="00720E55"/>
    <w:rsid w:val="007217CB"/>
    <w:rsid w:val="00722000"/>
    <w:rsid w:val="00722EC2"/>
    <w:rsid w:val="00723E8B"/>
    <w:rsid w:val="00724204"/>
    <w:rsid w:val="00725243"/>
    <w:rsid w:val="007307C7"/>
    <w:rsid w:val="00732E5F"/>
    <w:rsid w:val="00733BEF"/>
    <w:rsid w:val="00737C1E"/>
    <w:rsid w:val="00740623"/>
    <w:rsid w:val="007409B1"/>
    <w:rsid w:val="00742AF0"/>
    <w:rsid w:val="00743D48"/>
    <w:rsid w:val="00744D87"/>
    <w:rsid w:val="00745482"/>
    <w:rsid w:val="00745699"/>
    <w:rsid w:val="00746A43"/>
    <w:rsid w:val="00752B65"/>
    <w:rsid w:val="00752C77"/>
    <w:rsid w:val="00755EBC"/>
    <w:rsid w:val="00760A5E"/>
    <w:rsid w:val="007623CD"/>
    <w:rsid w:val="00763C87"/>
    <w:rsid w:val="00763EC3"/>
    <w:rsid w:val="00767044"/>
    <w:rsid w:val="00767A92"/>
    <w:rsid w:val="00770920"/>
    <w:rsid w:val="00770EE2"/>
    <w:rsid w:val="007733D8"/>
    <w:rsid w:val="00773F7E"/>
    <w:rsid w:val="007745CF"/>
    <w:rsid w:val="00776DBE"/>
    <w:rsid w:val="0078041F"/>
    <w:rsid w:val="00780966"/>
    <w:rsid w:val="007815D0"/>
    <w:rsid w:val="00781ED6"/>
    <w:rsid w:val="00781F8C"/>
    <w:rsid w:val="00781F92"/>
    <w:rsid w:val="00782FD6"/>
    <w:rsid w:val="00783CD7"/>
    <w:rsid w:val="0079048E"/>
    <w:rsid w:val="007906C8"/>
    <w:rsid w:val="00791380"/>
    <w:rsid w:val="00791734"/>
    <w:rsid w:val="0079360A"/>
    <w:rsid w:val="00793889"/>
    <w:rsid w:val="00793EA4"/>
    <w:rsid w:val="007968ED"/>
    <w:rsid w:val="007A12BE"/>
    <w:rsid w:val="007A31AF"/>
    <w:rsid w:val="007A3D51"/>
    <w:rsid w:val="007A732E"/>
    <w:rsid w:val="007A7D9C"/>
    <w:rsid w:val="007B225F"/>
    <w:rsid w:val="007B245D"/>
    <w:rsid w:val="007B2608"/>
    <w:rsid w:val="007B3375"/>
    <w:rsid w:val="007C1970"/>
    <w:rsid w:val="007C2C23"/>
    <w:rsid w:val="007C470A"/>
    <w:rsid w:val="007C49D1"/>
    <w:rsid w:val="007C4A3E"/>
    <w:rsid w:val="007C551E"/>
    <w:rsid w:val="007C6B7F"/>
    <w:rsid w:val="007C7F26"/>
    <w:rsid w:val="007D0011"/>
    <w:rsid w:val="007D0B9C"/>
    <w:rsid w:val="007D1680"/>
    <w:rsid w:val="007D247D"/>
    <w:rsid w:val="007D24DF"/>
    <w:rsid w:val="007D44D0"/>
    <w:rsid w:val="007D5A95"/>
    <w:rsid w:val="007E1B40"/>
    <w:rsid w:val="007E5399"/>
    <w:rsid w:val="007E6EF9"/>
    <w:rsid w:val="007E7A4D"/>
    <w:rsid w:val="007F0B02"/>
    <w:rsid w:val="007F0E72"/>
    <w:rsid w:val="007F1308"/>
    <w:rsid w:val="007F1339"/>
    <w:rsid w:val="007F30D8"/>
    <w:rsid w:val="007F31CD"/>
    <w:rsid w:val="007F355D"/>
    <w:rsid w:val="007F4B8F"/>
    <w:rsid w:val="007F511A"/>
    <w:rsid w:val="007F69C3"/>
    <w:rsid w:val="007F6B43"/>
    <w:rsid w:val="007F7630"/>
    <w:rsid w:val="007F798B"/>
    <w:rsid w:val="00800216"/>
    <w:rsid w:val="0080070C"/>
    <w:rsid w:val="00800F88"/>
    <w:rsid w:val="00802D44"/>
    <w:rsid w:val="008108CD"/>
    <w:rsid w:val="00810F9B"/>
    <w:rsid w:val="00811979"/>
    <w:rsid w:val="00812371"/>
    <w:rsid w:val="008125AE"/>
    <w:rsid w:val="0081327A"/>
    <w:rsid w:val="00814E0E"/>
    <w:rsid w:val="008154AB"/>
    <w:rsid w:val="008155BE"/>
    <w:rsid w:val="00817F2B"/>
    <w:rsid w:val="008201F0"/>
    <w:rsid w:val="0082021B"/>
    <w:rsid w:val="00820A68"/>
    <w:rsid w:val="00820ABD"/>
    <w:rsid w:val="00821471"/>
    <w:rsid w:val="00822B12"/>
    <w:rsid w:val="00825F73"/>
    <w:rsid w:val="00826945"/>
    <w:rsid w:val="00830B22"/>
    <w:rsid w:val="00831629"/>
    <w:rsid w:val="00835748"/>
    <w:rsid w:val="00841A6E"/>
    <w:rsid w:val="00842F1C"/>
    <w:rsid w:val="00843766"/>
    <w:rsid w:val="00844167"/>
    <w:rsid w:val="008444BA"/>
    <w:rsid w:val="008444CB"/>
    <w:rsid w:val="00844718"/>
    <w:rsid w:val="0084765B"/>
    <w:rsid w:val="00850FE7"/>
    <w:rsid w:val="00851D64"/>
    <w:rsid w:val="00852737"/>
    <w:rsid w:val="0085370D"/>
    <w:rsid w:val="00856BC6"/>
    <w:rsid w:val="008571E6"/>
    <w:rsid w:val="008574F6"/>
    <w:rsid w:val="008578E8"/>
    <w:rsid w:val="00860EB2"/>
    <w:rsid w:val="008635CC"/>
    <w:rsid w:val="00863C72"/>
    <w:rsid w:val="008662AD"/>
    <w:rsid w:val="0086786F"/>
    <w:rsid w:val="008679CC"/>
    <w:rsid w:val="00867B40"/>
    <w:rsid w:val="00871085"/>
    <w:rsid w:val="00871BFC"/>
    <w:rsid w:val="00873742"/>
    <w:rsid w:val="008749FB"/>
    <w:rsid w:val="00875B84"/>
    <w:rsid w:val="0087651F"/>
    <w:rsid w:val="00877DD4"/>
    <w:rsid w:val="00884702"/>
    <w:rsid w:val="00885C53"/>
    <w:rsid w:val="008860D9"/>
    <w:rsid w:val="00886144"/>
    <w:rsid w:val="008878C2"/>
    <w:rsid w:val="00892BF3"/>
    <w:rsid w:val="00894280"/>
    <w:rsid w:val="00896194"/>
    <w:rsid w:val="008969B8"/>
    <w:rsid w:val="008A05C1"/>
    <w:rsid w:val="008A0744"/>
    <w:rsid w:val="008A07AA"/>
    <w:rsid w:val="008A1CCB"/>
    <w:rsid w:val="008A214A"/>
    <w:rsid w:val="008A243B"/>
    <w:rsid w:val="008A2906"/>
    <w:rsid w:val="008A315A"/>
    <w:rsid w:val="008A4E4B"/>
    <w:rsid w:val="008A4EDB"/>
    <w:rsid w:val="008A6AA1"/>
    <w:rsid w:val="008A6EE2"/>
    <w:rsid w:val="008A7CAD"/>
    <w:rsid w:val="008B0248"/>
    <w:rsid w:val="008B16E2"/>
    <w:rsid w:val="008B1E4C"/>
    <w:rsid w:val="008B2804"/>
    <w:rsid w:val="008B29F3"/>
    <w:rsid w:val="008B48F0"/>
    <w:rsid w:val="008B530C"/>
    <w:rsid w:val="008B6A8D"/>
    <w:rsid w:val="008B7612"/>
    <w:rsid w:val="008C5A14"/>
    <w:rsid w:val="008C62FE"/>
    <w:rsid w:val="008C78A0"/>
    <w:rsid w:val="008D0C13"/>
    <w:rsid w:val="008D3410"/>
    <w:rsid w:val="008D3B77"/>
    <w:rsid w:val="008D4119"/>
    <w:rsid w:val="008D5CA0"/>
    <w:rsid w:val="008D5E79"/>
    <w:rsid w:val="008D75E2"/>
    <w:rsid w:val="008E09BD"/>
    <w:rsid w:val="008E2002"/>
    <w:rsid w:val="008E76BA"/>
    <w:rsid w:val="008F04D8"/>
    <w:rsid w:val="008F1C28"/>
    <w:rsid w:val="008F5C64"/>
    <w:rsid w:val="008F5F02"/>
    <w:rsid w:val="008F63B1"/>
    <w:rsid w:val="008F6AC1"/>
    <w:rsid w:val="00900297"/>
    <w:rsid w:val="00902732"/>
    <w:rsid w:val="00902BD1"/>
    <w:rsid w:val="00903810"/>
    <w:rsid w:val="00903DD7"/>
    <w:rsid w:val="00905306"/>
    <w:rsid w:val="00905C5A"/>
    <w:rsid w:val="00907536"/>
    <w:rsid w:val="0091049C"/>
    <w:rsid w:val="00912403"/>
    <w:rsid w:val="009124E5"/>
    <w:rsid w:val="00912871"/>
    <w:rsid w:val="00914E56"/>
    <w:rsid w:val="0091502B"/>
    <w:rsid w:val="0091562F"/>
    <w:rsid w:val="00915B9A"/>
    <w:rsid w:val="00916C1D"/>
    <w:rsid w:val="0091727C"/>
    <w:rsid w:val="00917F62"/>
    <w:rsid w:val="0092082B"/>
    <w:rsid w:val="0092149C"/>
    <w:rsid w:val="00922165"/>
    <w:rsid w:val="009225DA"/>
    <w:rsid w:val="00922FCF"/>
    <w:rsid w:val="00923EC8"/>
    <w:rsid w:val="009242D8"/>
    <w:rsid w:val="00925401"/>
    <w:rsid w:val="00926D4A"/>
    <w:rsid w:val="00926E73"/>
    <w:rsid w:val="009303F3"/>
    <w:rsid w:val="009324A3"/>
    <w:rsid w:val="00933365"/>
    <w:rsid w:val="00934717"/>
    <w:rsid w:val="0093675B"/>
    <w:rsid w:val="009415E5"/>
    <w:rsid w:val="00942626"/>
    <w:rsid w:val="00942868"/>
    <w:rsid w:val="009435E0"/>
    <w:rsid w:val="0094474A"/>
    <w:rsid w:val="00945B48"/>
    <w:rsid w:val="00945BBB"/>
    <w:rsid w:val="00945C2C"/>
    <w:rsid w:val="0094657B"/>
    <w:rsid w:val="00946F3B"/>
    <w:rsid w:val="00947B03"/>
    <w:rsid w:val="0095009E"/>
    <w:rsid w:val="009502AC"/>
    <w:rsid w:val="00950D55"/>
    <w:rsid w:val="00950E9F"/>
    <w:rsid w:val="0095116B"/>
    <w:rsid w:val="00951D99"/>
    <w:rsid w:val="009525C0"/>
    <w:rsid w:val="00953422"/>
    <w:rsid w:val="00961CC9"/>
    <w:rsid w:val="00961D16"/>
    <w:rsid w:val="00962529"/>
    <w:rsid w:val="0096581A"/>
    <w:rsid w:val="00966C55"/>
    <w:rsid w:val="00971FB5"/>
    <w:rsid w:val="00972FB9"/>
    <w:rsid w:val="00975E78"/>
    <w:rsid w:val="00977156"/>
    <w:rsid w:val="00977D6D"/>
    <w:rsid w:val="009816A2"/>
    <w:rsid w:val="009817DF"/>
    <w:rsid w:val="0098392D"/>
    <w:rsid w:val="00984987"/>
    <w:rsid w:val="00985EBE"/>
    <w:rsid w:val="00987F26"/>
    <w:rsid w:val="009903F1"/>
    <w:rsid w:val="00990DC9"/>
    <w:rsid w:val="009915F1"/>
    <w:rsid w:val="00991B92"/>
    <w:rsid w:val="00991E2A"/>
    <w:rsid w:val="00991ECC"/>
    <w:rsid w:val="009920D7"/>
    <w:rsid w:val="00992A74"/>
    <w:rsid w:val="00996B0E"/>
    <w:rsid w:val="009971DD"/>
    <w:rsid w:val="009A22D5"/>
    <w:rsid w:val="009A4058"/>
    <w:rsid w:val="009A573E"/>
    <w:rsid w:val="009A619A"/>
    <w:rsid w:val="009B07DA"/>
    <w:rsid w:val="009B328C"/>
    <w:rsid w:val="009B412E"/>
    <w:rsid w:val="009B7EDE"/>
    <w:rsid w:val="009C08A7"/>
    <w:rsid w:val="009C09A7"/>
    <w:rsid w:val="009C14B3"/>
    <w:rsid w:val="009C27E8"/>
    <w:rsid w:val="009C298F"/>
    <w:rsid w:val="009C358E"/>
    <w:rsid w:val="009C5CEB"/>
    <w:rsid w:val="009C61C6"/>
    <w:rsid w:val="009C659B"/>
    <w:rsid w:val="009C66ED"/>
    <w:rsid w:val="009C6C4F"/>
    <w:rsid w:val="009C7C8C"/>
    <w:rsid w:val="009D03C4"/>
    <w:rsid w:val="009D1811"/>
    <w:rsid w:val="009D1D83"/>
    <w:rsid w:val="009D3372"/>
    <w:rsid w:val="009D3DC4"/>
    <w:rsid w:val="009D4165"/>
    <w:rsid w:val="009D5074"/>
    <w:rsid w:val="009D5411"/>
    <w:rsid w:val="009D55D5"/>
    <w:rsid w:val="009D67FF"/>
    <w:rsid w:val="009D72EE"/>
    <w:rsid w:val="009E144C"/>
    <w:rsid w:val="009E2347"/>
    <w:rsid w:val="009E2387"/>
    <w:rsid w:val="009E2FB9"/>
    <w:rsid w:val="009E4501"/>
    <w:rsid w:val="009E4BD4"/>
    <w:rsid w:val="009E5C6B"/>
    <w:rsid w:val="009E7B28"/>
    <w:rsid w:val="009F0FA1"/>
    <w:rsid w:val="009F19F1"/>
    <w:rsid w:val="009F27ED"/>
    <w:rsid w:val="009F3128"/>
    <w:rsid w:val="009F4153"/>
    <w:rsid w:val="009F4807"/>
    <w:rsid w:val="009F48E2"/>
    <w:rsid w:val="009F6BF2"/>
    <w:rsid w:val="009F743B"/>
    <w:rsid w:val="009F7CC5"/>
    <w:rsid w:val="00A013F4"/>
    <w:rsid w:val="00A01BAF"/>
    <w:rsid w:val="00A047F6"/>
    <w:rsid w:val="00A053D9"/>
    <w:rsid w:val="00A06C1C"/>
    <w:rsid w:val="00A07581"/>
    <w:rsid w:val="00A10643"/>
    <w:rsid w:val="00A10BF8"/>
    <w:rsid w:val="00A120CA"/>
    <w:rsid w:val="00A1522F"/>
    <w:rsid w:val="00A156FB"/>
    <w:rsid w:val="00A16EF0"/>
    <w:rsid w:val="00A17D52"/>
    <w:rsid w:val="00A20CD0"/>
    <w:rsid w:val="00A2143B"/>
    <w:rsid w:val="00A22591"/>
    <w:rsid w:val="00A23708"/>
    <w:rsid w:val="00A25074"/>
    <w:rsid w:val="00A25261"/>
    <w:rsid w:val="00A26CA4"/>
    <w:rsid w:val="00A27378"/>
    <w:rsid w:val="00A27C29"/>
    <w:rsid w:val="00A30DF5"/>
    <w:rsid w:val="00A31C6E"/>
    <w:rsid w:val="00A3220B"/>
    <w:rsid w:val="00A322B7"/>
    <w:rsid w:val="00A324EF"/>
    <w:rsid w:val="00A33845"/>
    <w:rsid w:val="00A347E6"/>
    <w:rsid w:val="00A34ED6"/>
    <w:rsid w:val="00A35033"/>
    <w:rsid w:val="00A35AF2"/>
    <w:rsid w:val="00A36AB9"/>
    <w:rsid w:val="00A36E4D"/>
    <w:rsid w:val="00A37826"/>
    <w:rsid w:val="00A42D69"/>
    <w:rsid w:val="00A45F4E"/>
    <w:rsid w:val="00A46ADC"/>
    <w:rsid w:val="00A474A9"/>
    <w:rsid w:val="00A504BE"/>
    <w:rsid w:val="00A51DC2"/>
    <w:rsid w:val="00A53DC9"/>
    <w:rsid w:val="00A54194"/>
    <w:rsid w:val="00A5470C"/>
    <w:rsid w:val="00A549BE"/>
    <w:rsid w:val="00A54F3D"/>
    <w:rsid w:val="00A55556"/>
    <w:rsid w:val="00A56A0A"/>
    <w:rsid w:val="00A56B78"/>
    <w:rsid w:val="00A57797"/>
    <w:rsid w:val="00A57CD2"/>
    <w:rsid w:val="00A57CFF"/>
    <w:rsid w:val="00A62033"/>
    <w:rsid w:val="00A6398C"/>
    <w:rsid w:val="00A64ACA"/>
    <w:rsid w:val="00A6644C"/>
    <w:rsid w:val="00A66A13"/>
    <w:rsid w:val="00A67AC3"/>
    <w:rsid w:val="00A706B0"/>
    <w:rsid w:val="00A70A48"/>
    <w:rsid w:val="00A749ED"/>
    <w:rsid w:val="00A753B8"/>
    <w:rsid w:val="00A75FA3"/>
    <w:rsid w:val="00A770E4"/>
    <w:rsid w:val="00A7776D"/>
    <w:rsid w:val="00A82999"/>
    <w:rsid w:val="00A841E7"/>
    <w:rsid w:val="00A843A4"/>
    <w:rsid w:val="00A8664D"/>
    <w:rsid w:val="00A866BB"/>
    <w:rsid w:val="00A86B0A"/>
    <w:rsid w:val="00A86E52"/>
    <w:rsid w:val="00A875E3"/>
    <w:rsid w:val="00A87BFD"/>
    <w:rsid w:val="00A9097D"/>
    <w:rsid w:val="00A91128"/>
    <w:rsid w:val="00A9426F"/>
    <w:rsid w:val="00A95DEF"/>
    <w:rsid w:val="00A97479"/>
    <w:rsid w:val="00A97786"/>
    <w:rsid w:val="00AA061F"/>
    <w:rsid w:val="00AA1107"/>
    <w:rsid w:val="00AA3972"/>
    <w:rsid w:val="00AA4A6C"/>
    <w:rsid w:val="00AA68CD"/>
    <w:rsid w:val="00AB0FD6"/>
    <w:rsid w:val="00AB109C"/>
    <w:rsid w:val="00AB1F27"/>
    <w:rsid w:val="00AB2278"/>
    <w:rsid w:val="00AB7E11"/>
    <w:rsid w:val="00AC021D"/>
    <w:rsid w:val="00AC05C3"/>
    <w:rsid w:val="00AC1BF7"/>
    <w:rsid w:val="00AC2A07"/>
    <w:rsid w:val="00AC2FC4"/>
    <w:rsid w:val="00AC3483"/>
    <w:rsid w:val="00AC60F6"/>
    <w:rsid w:val="00AC6733"/>
    <w:rsid w:val="00AC7CBA"/>
    <w:rsid w:val="00AD0AA0"/>
    <w:rsid w:val="00AD0DED"/>
    <w:rsid w:val="00AD1518"/>
    <w:rsid w:val="00AD1DD5"/>
    <w:rsid w:val="00AD3E2B"/>
    <w:rsid w:val="00AD46F3"/>
    <w:rsid w:val="00AD472B"/>
    <w:rsid w:val="00AD7488"/>
    <w:rsid w:val="00AE1247"/>
    <w:rsid w:val="00AE2CF7"/>
    <w:rsid w:val="00AE434B"/>
    <w:rsid w:val="00AE44A0"/>
    <w:rsid w:val="00AE4722"/>
    <w:rsid w:val="00AE4E75"/>
    <w:rsid w:val="00AE6361"/>
    <w:rsid w:val="00AE7C9D"/>
    <w:rsid w:val="00AE7FF8"/>
    <w:rsid w:val="00AF092B"/>
    <w:rsid w:val="00AF1233"/>
    <w:rsid w:val="00AF51B2"/>
    <w:rsid w:val="00AF52AF"/>
    <w:rsid w:val="00AF56A5"/>
    <w:rsid w:val="00AF6B31"/>
    <w:rsid w:val="00AF7656"/>
    <w:rsid w:val="00B009F2"/>
    <w:rsid w:val="00B01DC3"/>
    <w:rsid w:val="00B051CB"/>
    <w:rsid w:val="00B06848"/>
    <w:rsid w:val="00B10877"/>
    <w:rsid w:val="00B10B28"/>
    <w:rsid w:val="00B11436"/>
    <w:rsid w:val="00B15F5C"/>
    <w:rsid w:val="00B17114"/>
    <w:rsid w:val="00B20F9D"/>
    <w:rsid w:val="00B212FB"/>
    <w:rsid w:val="00B21D91"/>
    <w:rsid w:val="00B232FA"/>
    <w:rsid w:val="00B24714"/>
    <w:rsid w:val="00B263CF"/>
    <w:rsid w:val="00B271C4"/>
    <w:rsid w:val="00B30878"/>
    <w:rsid w:val="00B30F8D"/>
    <w:rsid w:val="00B31963"/>
    <w:rsid w:val="00B31F21"/>
    <w:rsid w:val="00B32590"/>
    <w:rsid w:val="00B34F12"/>
    <w:rsid w:val="00B35324"/>
    <w:rsid w:val="00B3644D"/>
    <w:rsid w:val="00B37B3C"/>
    <w:rsid w:val="00B43146"/>
    <w:rsid w:val="00B444F2"/>
    <w:rsid w:val="00B4520F"/>
    <w:rsid w:val="00B45B5B"/>
    <w:rsid w:val="00B51E11"/>
    <w:rsid w:val="00B51F19"/>
    <w:rsid w:val="00B56B8E"/>
    <w:rsid w:val="00B60919"/>
    <w:rsid w:val="00B610DE"/>
    <w:rsid w:val="00B63C23"/>
    <w:rsid w:val="00B64098"/>
    <w:rsid w:val="00B6454A"/>
    <w:rsid w:val="00B6548F"/>
    <w:rsid w:val="00B66D26"/>
    <w:rsid w:val="00B711E7"/>
    <w:rsid w:val="00B713B5"/>
    <w:rsid w:val="00B71D47"/>
    <w:rsid w:val="00B7229C"/>
    <w:rsid w:val="00B72D15"/>
    <w:rsid w:val="00B73220"/>
    <w:rsid w:val="00B74398"/>
    <w:rsid w:val="00B746CA"/>
    <w:rsid w:val="00B747DC"/>
    <w:rsid w:val="00B7550B"/>
    <w:rsid w:val="00B81776"/>
    <w:rsid w:val="00B82430"/>
    <w:rsid w:val="00B85A9E"/>
    <w:rsid w:val="00B869FD"/>
    <w:rsid w:val="00B87021"/>
    <w:rsid w:val="00B9012C"/>
    <w:rsid w:val="00B97853"/>
    <w:rsid w:val="00B97AD9"/>
    <w:rsid w:val="00BA00BA"/>
    <w:rsid w:val="00BA2118"/>
    <w:rsid w:val="00BA25EC"/>
    <w:rsid w:val="00BA35D6"/>
    <w:rsid w:val="00BA3A49"/>
    <w:rsid w:val="00BA4073"/>
    <w:rsid w:val="00BA4162"/>
    <w:rsid w:val="00BA461A"/>
    <w:rsid w:val="00BA531E"/>
    <w:rsid w:val="00BB069B"/>
    <w:rsid w:val="00BB133E"/>
    <w:rsid w:val="00BB2F4C"/>
    <w:rsid w:val="00BB3715"/>
    <w:rsid w:val="00BB52E5"/>
    <w:rsid w:val="00BB5C82"/>
    <w:rsid w:val="00BB6BAF"/>
    <w:rsid w:val="00BB6E5B"/>
    <w:rsid w:val="00BB74C3"/>
    <w:rsid w:val="00BB7871"/>
    <w:rsid w:val="00BB794F"/>
    <w:rsid w:val="00BC0DF5"/>
    <w:rsid w:val="00BC16C3"/>
    <w:rsid w:val="00BC4043"/>
    <w:rsid w:val="00BC5C93"/>
    <w:rsid w:val="00BC6C20"/>
    <w:rsid w:val="00BC6C3E"/>
    <w:rsid w:val="00BD1969"/>
    <w:rsid w:val="00BD2330"/>
    <w:rsid w:val="00BD325A"/>
    <w:rsid w:val="00BD46AF"/>
    <w:rsid w:val="00BE155A"/>
    <w:rsid w:val="00BE2482"/>
    <w:rsid w:val="00BE276A"/>
    <w:rsid w:val="00BE48D7"/>
    <w:rsid w:val="00BE4EA2"/>
    <w:rsid w:val="00BE51E8"/>
    <w:rsid w:val="00BE58AE"/>
    <w:rsid w:val="00BE5CF4"/>
    <w:rsid w:val="00BF0A5E"/>
    <w:rsid w:val="00BF22BA"/>
    <w:rsid w:val="00BF2340"/>
    <w:rsid w:val="00BF260B"/>
    <w:rsid w:val="00BF2B62"/>
    <w:rsid w:val="00BF486C"/>
    <w:rsid w:val="00BF6819"/>
    <w:rsid w:val="00BF7320"/>
    <w:rsid w:val="00BF7A88"/>
    <w:rsid w:val="00C01B1A"/>
    <w:rsid w:val="00C02563"/>
    <w:rsid w:val="00C03423"/>
    <w:rsid w:val="00C03A57"/>
    <w:rsid w:val="00C04012"/>
    <w:rsid w:val="00C0531A"/>
    <w:rsid w:val="00C152D4"/>
    <w:rsid w:val="00C1640F"/>
    <w:rsid w:val="00C1679F"/>
    <w:rsid w:val="00C16B59"/>
    <w:rsid w:val="00C17BF7"/>
    <w:rsid w:val="00C17F1C"/>
    <w:rsid w:val="00C20D83"/>
    <w:rsid w:val="00C21895"/>
    <w:rsid w:val="00C2198F"/>
    <w:rsid w:val="00C22C20"/>
    <w:rsid w:val="00C2747E"/>
    <w:rsid w:val="00C27AD4"/>
    <w:rsid w:val="00C308D4"/>
    <w:rsid w:val="00C321B7"/>
    <w:rsid w:val="00C336B5"/>
    <w:rsid w:val="00C34768"/>
    <w:rsid w:val="00C3547A"/>
    <w:rsid w:val="00C35F24"/>
    <w:rsid w:val="00C35FAE"/>
    <w:rsid w:val="00C3647D"/>
    <w:rsid w:val="00C370D8"/>
    <w:rsid w:val="00C4176D"/>
    <w:rsid w:val="00C4299C"/>
    <w:rsid w:val="00C446F2"/>
    <w:rsid w:val="00C467C4"/>
    <w:rsid w:val="00C47156"/>
    <w:rsid w:val="00C47542"/>
    <w:rsid w:val="00C51EB0"/>
    <w:rsid w:val="00C530BB"/>
    <w:rsid w:val="00C5730C"/>
    <w:rsid w:val="00C57E17"/>
    <w:rsid w:val="00C6281B"/>
    <w:rsid w:val="00C63C2B"/>
    <w:rsid w:val="00C64372"/>
    <w:rsid w:val="00C66C5A"/>
    <w:rsid w:val="00C679D7"/>
    <w:rsid w:val="00C702F6"/>
    <w:rsid w:val="00C705A6"/>
    <w:rsid w:val="00C70ECC"/>
    <w:rsid w:val="00C712BB"/>
    <w:rsid w:val="00C72A79"/>
    <w:rsid w:val="00C73B21"/>
    <w:rsid w:val="00C74140"/>
    <w:rsid w:val="00C7416A"/>
    <w:rsid w:val="00C7424E"/>
    <w:rsid w:val="00C7638C"/>
    <w:rsid w:val="00C7776B"/>
    <w:rsid w:val="00C77F07"/>
    <w:rsid w:val="00C807C7"/>
    <w:rsid w:val="00C8126F"/>
    <w:rsid w:val="00C823D0"/>
    <w:rsid w:val="00C82F5D"/>
    <w:rsid w:val="00C833CC"/>
    <w:rsid w:val="00C84176"/>
    <w:rsid w:val="00C841AB"/>
    <w:rsid w:val="00C846A4"/>
    <w:rsid w:val="00C8594E"/>
    <w:rsid w:val="00C85BA8"/>
    <w:rsid w:val="00C86C58"/>
    <w:rsid w:val="00C870BA"/>
    <w:rsid w:val="00C87726"/>
    <w:rsid w:val="00C902B7"/>
    <w:rsid w:val="00C9174E"/>
    <w:rsid w:val="00C91CF7"/>
    <w:rsid w:val="00C94553"/>
    <w:rsid w:val="00C948B0"/>
    <w:rsid w:val="00C968D6"/>
    <w:rsid w:val="00C97B2D"/>
    <w:rsid w:val="00CA0480"/>
    <w:rsid w:val="00CA08C3"/>
    <w:rsid w:val="00CA0EC8"/>
    <w:rsid w:val="00CA10E1"/>
    <w:rsid w:val="00CA1A4E"/>
    <w:rsid w:val="00CA1ECC"/>
    <w:rsid w:val="00CA2191"/>
    <w:rsid w:val="00CA2FA6"/>
    <w:rsid w:val="00CA415D"/>
    <w:rsid w:val="00CA76A4"/>
    <w:rsid w:val="00CB044C"/>
    <w:rsid w:val="00CB1606"/>
    <w:rsid w:val="00CB177E"/>
    <w:rsid w:val="00CB4B05"/>
    <w:rsid w:val="00CB4BFE"/>
    <w:rsid w:val="00CB52DB"/>
    <w:rsid w:val="00CB75F8"/>
    <w:rsid w:val="00CB7D49"/>
    <w:rsid w:val="00CC0AB5"/>
    <w:rsid w:val="00CC0DDB"/>
    <w:rsid w:val="00CC2921"/>
    <w:rsid w:val="00CC3BEC"/>
    <w:rsid w:val="00CC4DD6"/>
    <w:rsid w:val="00CC4F7E"/>
    <w:rsid w:val="00CC525C"/>
    <w:rsid w:val="00CC57A6"/>
    <w:rsid w:val="00CC5E26"/>
    <w:rsid w:val="00CC5EC1"/>
    <w:rsid w:val="00CC5F04"/>
    <w:rsid w:val="00CC6295"/>
    <w:rsid w:val="00CC7A30"/>
    <w:rsid w:val="00CC7F40"/>
    <w:rsid w:val="00CD0263"/>
    <w:rsid w:val="00CD080C"/>
    <w:rsid w:val="00CD2A0C"/>
    <w:rsid w:val="00CD2BC0"/>
    <w:rsid w:val="00CD41E8"/>
    <w:rsid w:val="00CD76A2"/>
    <w:rsid w:val="00CE1268"/>
    <w:rsid w:val="00CE1F6F"/>
    <w:rsid w:val="00CE1FAA"/>
    <w:rsid w:val="00CE298B"/>
    <w:rsid w:val="00CE423E"/>
    <w:rsid w:val="00CE5498"/>
    <w:rsid w:val="00CE675F"/>
    <w:rsid w:val="00CE6E47"/>
    <w:rsid w:val="00CE7C79"/>
    <w:rsid w:val="00CF4620"/>
    <w:rsid w:val="00CF4F72"/>
    <w:rsid w:val="00D06C81"/>
    <w:rsid w:val="00D1019E"/>
    <w:rsid w:val="00D10B18"/>
    <w:rsid w:val="00D110D1"/>
    <w:rsid w:val="00D12AA1"/>
    <w:rsid w:val="00D13C74"/>
    <w:rsid w:val="00D14C43"/>
    <w:rsid w:val="00D1519D"/>
    <w:rsid w:val="00D23DEE"/>
    <w:rsid w:val="00D25341"/>
    <w:rsid w:val="00D263CB"/>
    <w:rsid w:val="00D268FF"/>
    <w:rsid w:val="00D27372"/>
    <w:rsid w:val="00D27507"/>
    <w:rsid w:val="00D27E0C"/>
    <w:rsid w:val="00D30554"/>
    <w:rsid w:val="00D311F7"/>
    <w:rsid w:val="00D336E5"/>
    <w:rsid w:val="00D34DE1"/>
    <w:rsid w:val="00D35C21"/>
    <w:rsid w:val="00D366B8"/>
    <w:rsid w:val="00D4138D"/>
    <w:rsid w:val="00D41AA7"/>
    <w:rsid w:val="00D4373E"/>
    <w:rsid w:val="00D45020"/>
    <w:rsid w:val="00D46059"/>
    <w:rsid w:val="00D46263"/>
    <w:rsid w:val="00D46960"/>
    <w:rsid w:val="00D47509"/>
    <w:rsid w:val="00D50447"/>
    <w:rsid w:val="00D542AF"/>
    <w:rsid w:val="00D55589"/>
    <w:rsid w:val="00D56F0C"/>
    <w:rsid w:val="00D62069"/>
    <w:rsid w:val="00D66075"/>
    <w:rsid w:val="00D677DD"/>
    <w:rsid w:val="00D67AFA"/>
    <w:rsid w:val="00D703CE"/>
    <w:rsid w:val="00D7306B"/>
    <w:rsid w:val="00D73D05"/>
    <w:rsid w:val="00D74270"/>
    <w:rsid w:val="00D74484"/>
    <w:rsid w:val="00D74DEF"/>
    <w:rsid w:val="00D75949"/>
    <w:rsid w:val="00D76634"/>
    <w:rsid w:val="00D7679C"/>
    <w:rsid w:val="00D76D2C"/>
    <w:rsid w:val="00D830A1"/>
    <w:rsid w:val="00D83709"/>
    <w:rsid w:val="00D841CD"/>
    <w:rsid w:val="00D85027"/>
    <w:rsid w:val="00D85B19"/>
    <w:rsid w:val="00D86183"/>
    <w:rsid w:val="00D86D4D"/>
    <w:rsid w:val="00D87649"/>
    <w:rsid w:val="00D90505"/>
    <w:rsid w:val="00D90795"/>
    <w:rsid w:val="00D916AA"/>
    <w:rsid w:val="00D93256"/>
    <w:rsid w:val="00D93611"/>
    <w:rsid w:val="00D93EED"/>
    <w:rsid w:val="00D954A3"/>
    <w:rsid w:val="00D96587"/>
    <w:rsid w:val="00D9775E"/>
    <w:rsid w:val="00DA039C"/>
    <w:rsid w:val="00DA0FE7"/>
    <w:rsid w:val="00DA1CBC"/>
    <w:rsid w:val="00DA223C"/>
    <w:rsid w:val="00DA24F6"/>
    <w:rsid w:val="00DA2871"/>
    <w:rsid w:val="00DA4E2D"/>
    <w:rsid w:val="00DA5B91"/>
    <w:rsid w:val="00DB0A6F"/>
    <w:rsid w:val="00DB21FF"/>
    <w:rsid w:val="00DB3448"/>
    <w:rsid w:val="00DB3699"/>
    <w:rsid w:val="00DB39D3"/>
    <w:rsid w:val="00DB4266"/>
    <w:rsid w:val="00DB444B"/>
    <w:rsid w:val="00DC18B3"/>
    <w:rsid w:val="00DC303E"/>
    <w:rsid w:val="00DC3227"/>
    <w:rsid w:val="00DC4253"/>
    <w:rsid w:val="00DC479C"/>
    <w:rsid w:val="00DC4BAA"/>
    <w:rsid w:val="00DC5C3C"/>
    <w:rsid w:val="00DC6467"/>
    <w:rsid w:val="00DC72E2"/>
    <w:rsid w:val="00DD1055"/>
    <w:rsid w:val="00DD1171"/>
    <w:rsid w:val="00DD1E11"/>
    <w:rsid w:val="00DD2738"/>
    <w:rsid w:val="00DD358B"/>
    <w:rsid w:val="00DD4910"/>
    <w:rsid w:val="00DD54FB"/>
    <w:rsid w:val="00DD7B1F"/>
    <w:rsid w:val="00DE199E"/>
    <w:rsid w:val="00DE1ACB"/>
    <w:rsid w:val="00DE23E0"/>
    <w:rsid w:val="00DE3DB2"/>
    <w:rsid w:val="00DE4F59"/>
    <w:rsid w:val="00DE5BA0"/>
    <w:rsid w:val="00DF0F75"/>
    <w:rsid w:val="00DF13B5"/>
    <w:rsid w:val="00DF21B1"/>
    <w:rsid w:val="00DF2769"/>
    <w:rsid w:val="00DF3AA3"/>
    <w:rsid w:val="00DF40D2"/>
    <w:rsid w:val="00DF4FBB"/>
    <w:rsid w:val="00DF56DF"/>
    <w:rsid w:val="00DF611D"/>
    <w:rsid w:val="00DF622A"/>
    <w:rsid w:val="00DF6EFA"/>
    <w:rsid w:val="00E012ED"/>
    <w:rsid w:val="00E01E24"/>
    <w:rsid w:val="00E0385F"/>
    <w:rsid w:val="00E03D69"/>
    <w:rsid w:val="00E04F4C"/>
    <w:rsid w:val="00E06809"/>
    <w:rsid w:val="00E075DA"/>
    <w:rsid w:val="00E10039"/>
    <w:rsid w:val="00E1092A"/>
    <w:rsid w:val="00E110A5"/>
    <w:rsid w:val="00E12AD5"/>
    <w:rsid w:val="00E12D54"/>
    <w:rsid w:val="00E15D7F"/>
    <w:rsid w:val="00E171F3"/>
    <w:rsid w:val="00E1752D"/>
    <w:rsid w:val="00E17A59"/>
    <w:rsid w:val="00E20C01"/>
    <w:rsid w:val="00E20F0F"/>
    <w:rsid w:val="00E2127E"/>
    <w:rsid w:val="00E2169B"/>
    <w:rsid w:val="00E22F65"/>
    <w:rsid w:val="00E23672"/>
    <w:rsid w:val="00E24F55"/>
    <w:rsid w:val="00E25E61"/>
    <w:rsid w:val="00E260CA"/>
    <w:rsid w:val="00E265C6"/>
    <w:rsid w:val="00E275BE"/>
    <w:rsid w:val="00E30018"/>
    <w:rsid w:val="00E34266"/>
    <w:rsid w:val="00E34709"/>
    <w:rsid w:val="00E347D6"/>
    <w:rsid w:val="00E357F2"/>
    <w:rsid w:val="00E36990"/>
    <w:rsid w:val="00E36A7C"/>
    <w:rsid w:val="00E40462"/>
    <w:rsid w:val="00E40A05"/>
    <w:rsid w:val="00E41203"/>
    <w:rsid w:val="00E4151F"/>
    <w:rsid w:val="00E433F0"/>
    <w:rsid w:val="00E4451F"/>
    <w:rsid w:val="00E47F70"/>
    <w:rsid w:val="00E51CFC"/>
    <w:rsid w:val="00E5544D"/>
    <w:rsid w:val="00E6089B"/>
    <w:rsid w:val="00E60FD2"/>
    <w:rsid w:val="00E615E1"/>
    <w:rsid w:val="00E619DC"/>
    <w:rsid w:val="00E62404"/>
    <w:rsid w:val="00E637AB"/>
    <w:rsid w:val="00E63A3F"/>
    <w:rsid w:val="00E64E07"/>
    <w:rsid w:val="00E656BD"/>
    <w:rsid w:val="00E67334"/>
    <w:rsid w:val="00E7445B"/>
    <w:rsid w:val="00E74E03"/>
    <w:rsid w:val="00E74E42"/>
    <w:rsid w:val="00E750BE"/>
    <w:rsid w:val="00E76469"/>
    <w:rsid w:val="00E801E3"/>
    <w:rsid w:val="00E8235E"/>
    <w:rsid w:val="00E83470"/>
    <w:rsid w:val="00E8506A"/>
    <w:rsid w:val="00E854E0"/>
    <w:rsid w:val="00E87DC2"/>
    <w:rsid w:val="00E90DC6"/>
    <w:rsid w:val="00E90FD1"/>
    <w:rsid w:val="00E91373"/>
    <w:rsid w:val="00E914AB"/>
    <w:rsid w:val="00E91AB8"/>
    <w:rsid w:val="00E94A50"/>
    <w:rsid w:val="00E94FD4"/>
    <w:rsid w:val="00E96A62"/>
    <w:rsid w:val="00EA3591"/>
    <w:rsid w:val="00EA368E"/>
    <w:rsid w:val="00EA45F4"/>
    <w:rsid w:val="00EA4AEA"/>
    <w:rsid w:val="00EA5351"/>
    <w:rsid w:val="00EA5652"/>
    <w:rsid w:val="00EB08E6"/>
    <w:rsid w:val="00EB1A17"/>
    <w:rsid w:val="00EB1E5A"/>
    <w:rsid w:val="00EB2577"/>
    <w:rsid w:val="00EB2830"/>
    <w:rsid w:val="00EB2F33"/>
    <w:rsid w:val="00EB3B65"/>
    <w:rsid w:val="00EB44A7"/>
    <w:rsid w:val="00EB49DE"/>
    <w:rsid w:val="00EB50FF"/>
    <w:rsid w:val="00EB5305"/>
    <w:rsid w:val="00EB545A"/>
    <w:rsid w:val="00EB72AD"/>
    <w:rsid w:val="00EC0439"/>
    <w:rsid w:val="00EC3B63"/>
    <w:rsid w:val="00EC6F6B"/>
    <w:rsid w:val="00EC751F"/>
    <w:rsid w:val="00EC75B4"/>
    <w:rsid w:val="00ED06B5"/>
    <w:rsid w:val="00ED0ACA"/>
    <w:rsid w:val="00ED30B8"/>
    <w:rsid w:val="00ED3BFE"/>
    <w:rsid w:val="00EE5A72"/>
    <w:rsid w:val="00EE6BFC"/>
    <w:rsid w:val="00EE6C36"/>
    <w:rsid w:val="00EE7C69"/>
    <w:rsid w:val="00EF0DC4"/>
    <w:rsid w:val="00EF10EF"/>
    <w:rsid w:val="00EF1BB8"/>
    <w:rsid w:val="00EF1ED4"/>
    <w:rsid w:val="00EF2556"/>
    <w:rsid w:val="00EF33C5"/>
    <w:rsid w:val="00EF4C11"/>
    <w:rsid w:val="00EF5479"/>
    <w:rsid w:val="00F007D3"/>
    <w:rsid w:val="00F0236D"/>
    <w:rsid w:val="00F0307D"/>
    <w:rsid w:val="00F0444B"/>
    <w:rsid w:val="00F053CF"/>
    <w:rsid w:val="00F0596F"/>
    <w:rsid w:val="00F06CFA"/>
    <w:rsid w:val="00F12D11"/>
    <w:rsid w:val="00F152C8"/>
    <w:rsid w:val="00F15DF1"/>
    <w:rsid w:val="00F1679F"/>
    <w:rsid w:val="00F17FC4"/>
    <w:rsid w:val="00F2046F"/>
    <w:rsid w:val="00F21C4F"/>
    <w:rsid w:val="00F246CE"/>
    <w:rsid w:val="00F25451"/>
    <w:rsid w:val="00F26281"/>
    <w:rsid w:val="00F277B9"/>
    <w:rsid w:val="00F3282E"/>
    <w:rsid w:val="00F3648A"/>
    <w:rsid w:val="00F373A6"/>
    <w:rsid w:val="00F3764C"/>
    <w:rsid w:val="00F41398"/>
    <w:rsid w:val="00F42125"/>
    <w:rsid w:val="00F44F11"/>
    <w:rsid w:val="00F46F77"/>
    <w:rsid w:val="00F475FA"/>
    <w:rsid w:val="00F50161"/>
    <w:rsid w:val="00F52738"/>
    <w:rsid w:val="00F55470"/>
    <w:rsid w:val="00F555FB"/>
    <w:rsid w:val="00F556D7"/>
    <w:rsid w:val="00F560C5"/>
    <w:rsid w:val="00F5622B"/>
    <w:rsid w:val="00F57545"/>
    <w:rsid w:val="00F6021F"/>
    <w:rsid w:val="00F60F0A"/>
    <w:rsid w:val="00F6148B"/>
    <w:rsid w:val="00F61EB7"/>
    <w:rsid w:val="00F64E11"/>
    <w:rsid w:val="00F654E3"/>
    <w:rsid w:val="00F66902"/>
    <w:rsid w:val="00F6721B"/>
    <w:rsid w:val="00F701BF"/>
    <w:rsid w:val="00F706E4"/>
    <w:rsid w:val="00F728A2"/>
    <w:rsid w:val="00F72D90"/>
    <w:rsid w:val="00F7381E"/>
    <w:rsid w:val="00F75C9D"/>
    <w:rsid w:val="00F80B2E"/>
    <w:rsid w:val="00F80F3C"/>
    <w:rsid w:val="00F82708"/>
    <w:rsid w:val="00F82E62"/>
    <w:rsid w:val="00F8364A"/>
    <w:rsid w:val="00F83F44"/>
    <w:rsid w:val="00F841FD"/>
    <w:rsid w:val="00F846AE"/>
    <w:rsid w:val="00F84A5C"/>
    <w:rsid w:val="00F85AC2"/>
    <w:rsid w:val="00F87BCF"/>
    <w:rsid w:val="00F87D0C"/>
    <w:rsid w:val="00F87EA0"/>
    <w:rsid w:val="00F95069"/>
    <w:rsid w:val="00F97884"/>
    <w:rsid w:val="00FA2E2D"/>
    <w:rsid w:val="00FA3812"/>
    <w:rsid w:val="00FA3881"/>
    <w:rsid w:val="00FA3B9E"/>
    <w:rsid w:val="00FA54A6"/>
    <w:rsid w:val="00FA5D13"/>
    <w:rsid w:val="00FA653D"/>
    <w:rsid w:val="00FB0500"/>
    <w:rsid w:val="00FB21AC"/>
    <w:rsid w:val="00FB23AE"/>
    <w:rsid w:val="00FB2B06"/>
    <w:rsid w:val="00FB47C9"/>
    <w:rsid w:val="00FB604B"/>
    <w:rsid w:val="00FB63BA"/>
    <w:rsid w:val="00FB6CC8"/>
    <w:rsid w:val="00FB79C6"/>
    <w:rsid w:val="00FB7B63"/>
    <w:rsid w:val="00FC0901"/>
    <w:rsid w:val="00FC19A2"/>
    <w:rsid w:val="00FC1C90"/>
    <w:rsid w:val="00FC30F4"/>
    <w:rsid w:val="00FC3B5C"/>
    <w:rsid w:val="00FC447A"/>
    <w:rsid w:val="00FC592E"/>
    <w:rsid w:val="00FC5D0B"/>
    <w:rsid w:val="00FC5EC0"/>
    <w:rsid w:val="00FC659A"/>
    <w:rsid w:val="00FC7971"/>
    <w:rsid w:val="00FD100E"/>
    <w:rsid w:val="00FD2990"/>
    <w:rsid w:val="00FD3858"/>
    <w:rsid w:val="00FD42EB"/>
    <w:rsid w:val="00FD6488"/>
    <w:rsid w:val="00FD7D41"/>
    <w:rsid w:val="00FE03C3"/>
    <w:rsid w:val="00FE264A"/>
    <w:rsid w:val="00FE49EE"/>
    <w:rsid w:val="00FE6386"/>
    <w:rsid w:val="00FE6B37"/>
    <w:rsid w:val="00FE702E"/>
    <w:rsid w:val="00FF088E"/>
    <w:rsid w:val="00FF1305"/>
    <w:rsid w:val="00FF1997"/>
    <w:rsid w:val="00FF41E3"/>
    <w:rsid w:val="00FF43C3"/>
    <w:rsid w:val="00FF4DB0"/>
    <w:rsid w:val="00FF5AF6"/>
    <w:rsid w:val="00FF7A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9886D"/>
  <w15:chartTrackingRefBased/>
  <w15:docId w15:val="{5D6E1DB9-6704-4C15-BEEF-22706BF0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480" w:lineRule="auto"/>
      <w:jc w:val="both"/>
    </w:pPr>
  </w:style>
  <w:style w:type="paragraph" w:styleId="Heading1">
    <w:name w:val="heading 1"/>
    <w:basedOn w:val="Normal"/>
    <w:next w:val="Normal"/>
    <w:link w:val="Heading1Char"/>
    <w:autoRedefine/>
    <w:uiPriority w:val="9"/>
    <w:qFormat/>
    <w:rsid w:val="00946F3B"/>
    <w:pPr>
      <w:spacing w:after="0" w:line="360" w:lineRule="auto"/>
      <w:jc w:val="left"/>
      <w:outlineLvl w:val="0"/>
    </w:pPr>
    <w:rPr>
      <w:rFonts w:cstheme="minorHAnsi"/>
      <w:b/>
      <w:bCs/>
      <w:sz w:val="28"/>
      <w:szCs w:val="28"/>
    </w:rPr>
  </w:style>
  <w:style w:type="paragraph" w:styleId="Heading2">
    <w:name w:val="heading 2"/>
    <w:basedOn w:val="Normal"/>
    <w:next w:val="Normal"/>
    <w:link w:val="Heading2Char"/>
    <w:uiPriority w:val="9"/>
    <w:unhideWhenUsed/>
    <w:qFormat/>
    <w:rsid w:val="001710E2"/>
    <w:pPr>
      <w:spacing w:after="0" w:line="360" w:lineRule="auto"/>
      <w:outlineLvl w:val="1"/>
    </w:pPr>
    <w:rPr>
      <w:rFonts w:cstheme="minorHAnsi"/>
      <w:b/>
      <w:bCs/>
      <w:sz w:val="24"/>
      <w:szCs w:val="24"/>
      <w:lang w:eastAsia="en-AU"/>
    </w:rPr>
  </w:style>
  <w:style w:type="paragraph" w:styleId="Heading3">
    <w:name w:val="heading 3"/>
    <w:basedOn w:val="Normal"/>
    <w:next w:val="Normal"/>
    <w:link w:val="Heading3Char"/>
    <w:uiPriority w:val="9"/>
    <w:unhideWhenUsed/>
    <w:qFormat/>
    <w:rsid w:val="00E40A05"/>
    <w:pPr>
      <w:spacing w:line="360" w:lineRule="auto"/>
      <w:outlineLvl w:val="2"/>
    </w:pPr>
    <w:rPr>
      <w:rFonts w:ascii="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F3B"/>
    <w:rPr>
      <w:rFonts w:cstheme="minorHAnsi"/>
      <w:b/>
      <w:bCs/>
      <w:sz w:val="28"/>
      <w:szCs w:val="28"/>
    </w:rPr>
  </w:style>
  <w:style w:type="paragraph" w:styleId="ListParagraph">
    <w:name w:val="List Paragraph"/>
    <w:basedOn w:val="Normal"/>
    <w:uiPriority w:val="34"/>
    <w:qFormat/>
    <w:rsid w:val="0035531B"/>
    <w:pPr>
      <w:ind w:left="720"/>
      <w:contextualSpacing/>
    </w:pPr>
  </w:style>
  <w:style w:type="character" w:customStyle="1" w:styleId="Heading2Char">
    <w:name w:val="Heading 2 Char"/>
    <w:basedOn w:val="DefaultParagraphFont"/>
    <w:link w:val="Heading2"/>
    <w:uiPriority w:val="9"/>
    <w:rsid w:val="001710E2"/>
    <w:rPr>
      <w:rFonts w:cstheme="minorHAnsi"/>
      <w:b/>
      <w:bCs/>
      <w:sz w:val="24"/>
      <w:szCs w:val="24"/>
      <w:lang w:eastAsia="en-AU"/>
    </w:rPr>
  </w:style>
  <w:style w:type="paragraph" w:styleId="FootnoteText">
    <w:name w:val="footnote text"/>
    <w:basedOn w:val="Normal"/>
    <w:link w:val="FootnoteTextChar"/>
    <w:uiPriority w:val="99"/>
    <w:semiHidden/>
    <w:unhideWhenUsed/>
    <w:rsid w:val="00996B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6B0E"/>
    <w:rPr>
      <w:sz w:val="20"/>
      <w:szCs w:val="20"/>
    </w:rPr>
  </w:style>
  <w:style w:type="character" w:styleId="FootnoteReference">
    <w:name w:val="footnote reference"/>
    <w:basedOn w:val="DefaultParagraphFont"/>
    <w:uiPriority w:val="99"/>
    <w:semiHidden/>
    <w:unhideWhenUsed/>
    <w:rsid w:val="00996B0E"/>
    <w:rPr>
      <w:vertAlign w:val="superscript"/>
    </w:rPr>
  </w:style>
  <w:style w:type="paragraph" w:styleId="Footer">
    <w:name w:val="footer"/>
    <w:basedOn w:val="Normal"/>
    <w:link w:val="FooterChar"/>
    <w:uiPriority w:val="99"/>
    <w:unhideWhenUsed/>
    <w:rsid w:val="00CE1268"/>
    <w:pPr>
      <w:tabs>
        <w:tab w:val="center" w:pos="4513"/>
        <w:tab w:val="right" w:pos="9026"/>
      </w:tabs>
      <w:spacing w:after="0" w:line="240" w:lineRule="auto"/>
      <w:jc w:val="left"/>
    </w:pPr>
    <w:rPr>
      <w:rFonts w:ascii="Times New Roman" w:eastAsia="Times New Roman" w:hAnsi="Times New Roman" w:cs="Times New Roman"/>
      <w:szCs w:val="20"/>
      <w:lang w:val="en-GB"/>
    </w:rPr>
  </w:style>
  <w:style w:type="character" w:customStyle="1" w:styleId="FooterChar">
    <w:name w:val="Footer Char"/>
    <w:basedOn w:val="DefaultParagraphFont"/>
    <w:link w:val="Footer"/>
    <w:uiPriority w:val="99"/>
    <w:rsid w:val="00CE1268"/>
    <w:rPr>
      <w:rFonts w:ascii="Times New Roman" w:eastAsia="Times New Roman" w:hAnsi="Times New Roman" w:cs="Times New Roman"/>
      <w:szCs w:val="20"/>
      <w:lang w:val="en-GB"/>
    </w:rPr>
  </w:style>
  <w:style w:type="character" w:styleId="CommentReference">
    <w:name w:val="annotation reference"/>
    <w:basedOn w:val="DefaultParagraphFont"/>
    <w:uiPriority w:val="99"/>
    <w:semiHidden/>
    <w:unhideWhenUsed/>
    <w:rsid w:val="004779F2"/>
    <w:rPr>
      <w:sz w:val="16"/>
      <w:szCs w:val="16"/>
    </w:rPr>
  </w:style>
  <w:style w:type="paragraph" w:styleId="CommentText">
    <w:name w:val="annotation text"/>
    <w:basedOn w:val="Normal"/>
    <w:link w:val="CommentTextChar"/>
    <w:uiPriority w:val="99"/>
    <w:unhideWhenUsed/>
    <w:rsid w:val="004779F2"/>
    <w:pPr>
      <w:spacing w:line="240" w:lineRule="auto"/>
    </w:pPr>
    <w:rPr>
      <w:sz w:val="20"/>
      <w:szCs w:val="20"/>
    </w:rPr>
  </w:style>
  <w:style w:type="character" w:customStyle="1" w:styleId="CommentTextChar">
    <w:name w:val="Comment Text Char"/>
    <w:basedOn w:val="DefaultParagraphFont"/>
    <w:link w:val="CommentText"/>
    <w:uiPriority w:val="99"/>
    <w:rsid w:val="004779F2"/>
    <w:rPr>
      <w:sz w:val="20"/>
      <w:szCs w:val="20"/>
    </w:rPr>
  </w:style>
  <w:style w:type="paragraph" w:styleId="CommentSubject">
    <w:name w:val="annotation subject"/>
    <w:basedOn w:val="CommentText"/>
    <w:next w:val="CommentText"/>
    <w:link w:val="CommentSubjectChar"/>
    <w:uiPriority w:val="99"/>
    <w:semiHidden/>
    <w:unhideWhenUsed/>
    <w:rsid w:val="004779F2"/>
    <w:rPr>
      <w:b/>
      <w:bCs/>
    </w:rPr>
  </w:style>
  <w:style w:type="character" w:customStyle="1" w:styleId="CommentSubjectChar">
    <w:name w:val="Comment Subject Char"/>
    <w:basedOn w:val="CommentTextChar"/>
    <w:link w:val="CommentSubject"/>
    <w:uiPriority w:val="99"/>
    <w:semiHidden/>
    <w:rsid w:val="004779F2"/>
    <w:rPr>
      <w:b/>
      <w:bCs/>
      <w:sz w:val="20"/>
      <w:szCs w:val="20"/>
    </w:rPr>
  </w:style>
  <w:style w:type="paragraph" w:styleId="Header">
    <w:name w:val="header"/>
    <w:basedOn w:val="Normal"/>
    <w:link w:val="HeaderChar"/>
    <w:uiPriority w:val="99"/>
    <w:unhideWhenUsed/>
    <w:rsid w:val="00773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F7E"/>
  </w:style>
  <w:style w:type="character" w:styleId="Hyperlink">
    <w:name w:val="Hyperlink"/>
    <w:basedOn w:val="DefaultParagraphFont"/>
    <w:uiPriority w:val="99"/>
    <w:unhideWhenUsed/>
    <w:rsid w:val="00BB6E5B"/>
    <w:rPr>
      <w:color w:val="0000FF"/>
      <w:u w:val="single"/>
    </w:rPr>
  </w:style>
  <w:style w:type="paragraph" w:styleId="Bibliography">
    <w:name w:val="Bibliography"/>
    <w:basedOn w:val="Normal"/>
    <w:next w:val="Normal"/>
    <w:uiPriority w:val="37"/>
    <w:unhideWhenUsed/>
    <w:rsid w:val="009B328C"/>
  </w:style>
  <w:style w:type="character" w:styleId="EndnoteReference">
    <w:name w:val="endnote reference"/>
    <w:basedOn w:val="DefaultParagraphFont"/>
    <w:uiPriority w:val="99"/>
    <w:semiHidden/>
    <w:unhideWhenUsed/>
    <w:rsid w:val="004921CE"/>
    <w:rPr>
      <w:vertAlign w:val="superscript"/>
    </w:rPr>
  </w:style>
  <w:style w:type="paragraph" w:styleId="Revision">
    <w:name w:val="Revision"/>
    <w:hidden/>
    <w:uiPriority w:val="99"/>
    <w:semiHidden/>
    <w:rsid w:val="00BA25EC"/>
    <w:pPr>
      <w:spacing w:after="0" w:line="240" w:lineRule="auto"/>
    </w:pPr>
  </w:style>
  <w:style w:type="character" w:customStyle="1" w:styleId="Heading3Char">
    <w:name w:val="Heading 3 Char"/>
    <w:basedOn w:val="DefaultParagraphFont"/>
    <w:link w:val="Heading3"/>
    <w:uiPriority w:val="9"/>
    <w:rsid w:val="00E40A05"/>
    <w:rPr>
      <w:rFonts w:ascii="Times New Roman" w:hAnsi="Times New Roman" w:cs="Times New Roman"/>
      <w:b/>
      <w:bCs/>
      <w:i/>
      <w:iCs/>
    </w:rPr>
  </w:style>
  <w:style w:type="character" w:styleId="UnresolvedMention">
    <w:name w:val="Unresolved Mention"/>
    <w:basedOn w:val="DefaultParagraphFont"/>
    <w:uiPriority w:val="99"/>
    <w:semiHidden/>
    <w:unhideWhenUsed/>
    <w:rsid w:val="00C74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5670">
      <w:bodyDiv w:val="1"/>
      <w:marLeft w:val="0"/>
      <w:marRight w:val="0"/>
      <w:marTop w:val="0"/>
      <w:marBottom w:val="0"/>
      <w:divBdr>
        <w:top w:val="none" w:sz="0" w:space="0" w:color="auto"/>
        <w:left w:val="none" w:sz="0" w:space="0" w:color="auto"/>
        <w:bottom w:val="none" w:sz="0" w:space="0" w:color="auto"/>
        <w:right w:val="none" w:sz="0" w:space="0" w:color="auto"/>
      </w:divBdr>
      <w:divsChild>
        <w:div w:id="1804151800">
          <w:marLeft w:val="0"/>
          <w:marRight w:val="0"/>
          <w:marTop w:val="0"/>
          <w:marBottom w:val="0"/>
          <w:divBdr>
            <w:top w:val="none" w:sz="0" w:space="0" w:color="auto"/>
            <w:left w:val="none" w:sz="0" w:space="0" w:color="auto"/>
            <w:bottom w:val="none" w:sz="0" w:space="0" w:color="auto"/>
            <w:right w:val="none" w:sz="0" w:space="0" w:color="auto"/>
          </w:divBdr>
        </w:div>
        <w:div w:id="1605843065">
          <w:marLeft w:val="0"/>
          <w:marRight w:val="0"/>
          <w:marTop w:val="0"/>
          <w:marBottom w:val="0"/>
          <w:divBdr>
            <w:top w:val="none" w:sz="0" w:space="0" w:color="auto"/>
            <w:left w:val="none" w:sz="0" w:space="0" w:color="auto"/>
            <w:bottom w:val="none" w:sz="0" w:space="0" w:color="auto"/>
            <w:right w:val="none" w:sz="0" w:space="0" w:color="auto"/>
          </w:divBdr>
        </w:div>
        <w:div w:id="239566697">
          <w:marLeft w:val="0"/>
          <w:marRight w:val="0"/>
          <w:marTop w:val="0"/>
          <w:marBottom w:val="0"/>
          <w:divBdr>
            <w:top w:val="none" w:sz="0" w:space="0" w:color="auto"/>
            <w:left w:val="none" w:sz="0" w:space="0" w:color="auto"/>
            <w:bottom w:val="none" w:sz="0" w:space="0" w:color="auto"/>
            <w:right w:val="none" w:sz="0" w:space="0" w:color="auto"/>
          </w:divBdr>
        </w:div>
      </w:divsChild>
    </w:div>
    <w:div w:id="158545212">
      <w:bodyDiv w:val="1"/>
      <w:marLeft w:val="0"/>
      <w:marRight w:val="0"/>
      <w:marTop w:val="0"/>
      <w:marBottom w:val="0"/>
      <w:divBdr>
        <w:top w:val="none" w:sz="0" w:space="0" w:color="auto"/>
        <w:left w:val="none" w:sz="0" w:space="0" w:color="auto"/>
        <w:bottom w:val="none" w:sz="0" w:space="0" w:color="auto"/>
        <w:right w:val="none" w:sz="0" w:space="0" w:color="auto"/>
      </w:divBdr>
    </w:div>
    <w:div w:id="314644404">
      <w:bodyDiv w:val="1"/>
      <w:marLeft w:val="0"/>
      <w:marRight w:val="0"/>
      <w:marTop w:val="0"/>
      <w:marBottom w:val="0"/>
      <w:divBdr>
        <w:top w:val="none" w:sz="0" w:space="0" w:color="auto"/>
        <w:left w:val="none" w:sz="0" w:space="0" w:color="auto"/>
        <w:bottom w:val="none" w:sz="0" w:space="0" w:color="auto"/>
        <w:right w:val="none" w:sz="0" w:space="0" w:color="auto"/>
      </w:divBdr>
    </w:div>
    <w:div w:id="536891647">
      <w:bodyDiv w:val="1"/>
      <w:marLeft w:val="0"/>
      <w:marRight w:val="0"/>
      <w:marTop w:val="0"/>
      <w:marBottom w:val="0"/>
      <w:divBdr>
        <w:top w:val="none" w:sz="0" w:space="0" w:color="auto"/>
        <w:left w:val="none" w:sz="0" w:space="0" w:color="auto"/>
        <w:bottom w:val="none" w:sz="0" w:space="0" w:color="auto"/>
        <w:right w:val="none" w:sz="0" w:space="0" w:color="auto"/>
      </w:divBdr>
    </w:div>
    <w:div w:id="543324107">
      <w:bodyDiv w:val="1"/>
      <w:marLeft w:val="0"/>
      <w:marRight w:val="0"/>
      <w:marTop w:val="0"/>
      <w:marBottom w:val="0"/>
      <w:divBdr>
        <w:top w:val="none" w:sz="0" w:space="0" w:color="auto"/>
        <w:left w:val="none" w:sz="0" w:space="0" w:color="auto"/>
        <w:bottom w:val="none" w:sz="0" w:space="0" w:color="auto"/>
        <w:right w:val="none" w:sz="0" w:space="0" w:color="auto"/>
      </w:divBdr>
    </w:div>
    <w:div w:id="563948114">
      <w:bodyDiv w:val="1"/>
      <w:marLeft w:val="0"/>
      <w:marRight w:val="0"/>
      <w:marTop w:val="0"/>
      <w:marBottom w:val="0"/>
      <w:divBdr>
        <w:top w:val="none" w:sz="0" w:space="0" w:color="auto"/>
        <w:left w:val="none" w:sz="0" w:space="0" w:color="auto"/>
        <w:bottom w:val="none" w:sz="0" w:space="0" w:color="auto"/>
        <w:right w:val="none" w:sz="0" w:space="0" w:color="auto"/>
      </w:divBdr>
    </w:div>
    <w:div w:id="629363160">
      <w:bodyDiv w:val="1"/>
      <w:marLeft w:val="0"/>
      <w:marRight w:val="0"/>
      <w:marTop w:val="0"/>
      <w:marBottom w:val="0"/>
      <w:divBdr>
        <w:top w:val="none" w:sz="0" w:space="0" w:color="auto"/>
        <w:left w:val="none" w:sz="0" w:space="0" w:color="auto"/>
        <w:bottom w:val="none" w:sz="0" w:space="0" w:color="auto"/>
        <w:right w:val="none" w:sz="0" w:space="0" w:color="auto"/>
      </w:divBdr>
    </w:div>
    <w:div w:id="646478730">
      <w:bodyDiv w:val="1"/>
      <w:marLeft w:val="0"/>
      <w:marRight w:val="0"/>
      <w:marTop w:val="0"/>
      <w:marBottom w:val="0"/>
      <w:divBdr>
        <w:top w:val="none" w:sz="0" w:space="0" w:color="auto"/>
        <w:left w:val="none" w:sz="0" w:space="0" w:color="auto"/>
        <w:bottom w:val="none" w:sz="0" w:space="0" w:color="auto"/>
        <w:right w:val="none" w:sz="0" w:space="0" w:color="auto"/>
      </w:divBdr>
    </w:div>
    <w:div w:id="704864361">
      <w:bodyDiv w:val="1"/>
      <w:marLeft w:val="0"/>
      <w:marRight w:val="0"/>
      <w:marTop w:val="0"/>
      <w:marBottom w:val="0"/>
      <w:divBdr>
        <w:top w:val="none" w:sz="0" w:space="0" w:color="auto"/>
        <w:left w:val="none" w:sz="0" w:space="0" w:color="auto"/>
        <w:bottom w:val="none" w:sz="0" w:space="0" w:color="auto"/>
        <w:right w:val="none" w:sz="0" w:space="0" w:color="auto"/>
      </w:divBdr>
    </w:div>
    <w:div w:id="738135800">
      <w:bodyDiv w:val="1"/>
      <w:marLeft w:val="0"/>
      <w:marRight w:val="0"/>
      <w:marTop w:val="0"/>
      <w:marBottom w:val="0"/>
      <w:divBdr>
        <w:top w:val="none" w:sz="0" w:space="0" w:color="auto"/>
        <w:left w:val="none" w:sz="0" w:space="0" w:color="auto"/>
        <w:bottom w:val="none" w:sz="0" w:space="0" w:color="auto"/>
        <w:right w:val="none" w:sz="0" w:space="0" w:color="auto"/>
      </w:divBdr>
    </w:div>
    <w:div w:id="140490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holly.doel-mackaway@mq.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F4DC15-1BFE-4413-8340-6B3A333F2D07}">
  <we:reference id="f78a3046-9e99-4300-aa2b-5814002b01a2" version="1.28.0.0" store="EXCatalog" storeType="EXCatalog"/>
  <we:alternateReferences>
    <we:reference id="WA104382081" version="1.28.0.0" store="en-AU" storeType="OMEX"/>
  </we:alternateReferences>
  <we:properties>
    <we:property name="MENDELEY_CITATIONS" value="[]"/>
    <we:property name="MENDELEY_CITATIONS_STYLE" value="&quot;https://www.zotero.org/styles/australian-guide-to-legal-citation&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8C65648-9645-4008-8F17-555FBCBBA9F2}">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137</TotalTime>
  <Pages>21</Pages>
  <Words>6337</Words>
  <Characters>35755</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McCandless</dc:creator>
  <cp:keywords/>
  <dc:description/>
  <cp:lastModifiedBy>Rosemary Hunter</cp:lastModifiedBy>
  <cp:revision>101</cp:revision>
  <cp:lastPrinted>2025-01-08T00:19:00Z</cp:lastPrinted>
  <dcterms:created xsi:type="dcterms:W3CDTF">2025-02-25T21:49:00Z</dcterms:created>
  <dcterms:modified xsi:type="dcterms:W3CDTF">2025-05-10T22:06:00Z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id="DLPNLjxT"/&gt;&lt;style id="http://www.zotero.org/styles/australian-guide-to-legal-citation" hasBibliography="1" bibliographyStyleHasBeenSet="0"/&gt;&lt;prefs&gt;&lt;pref name="fieldType" value="Field"/&gt;&lt;pref name</vt:lpwstr>
  </property>
  <property fmtid="{D5CDD505-2E9C-101B-9397-08002B2CF9AE}" pid="3" name="ZOTERO_PREF_2">
    <vt:lpwstr>="noteType" value="1"/&gt;&lt;/prefs&gt;&lt;/data&gt;</vt:lpwstr>
  </property>
</Properties>
</file>