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9F25" w14:textId="6DA49DBF" w:rsidR="00330DE0" w:rsidRPr="00ED274C" w:rsidRDefault="00330DE0" w:rsidP="00ED274C">
      <w:pPr>
        <w:pStyle w:val="Heading1"/>
      </w:pPr>
      <w:r w:rsidRPr="00ED274C">
        <w:t>Exploring the Highlights, Limitations and Possibilities of EU Citizenship as a Progressive Status for Gays and Lesbians</w:t>
      </w:r>
    </w:p>
    <w:p w14:paraId="64F001DF" w14:textId="77777777" w:rsidR="006F5456" w:rsidRDefault="006F5456" w:rsidP="00472C9F">
      <w:pPr>
        <w:spacing w:after="0" w:line="240" w:lineRule="auto"/>
        <w:jc w:val="both"/>
        <w:rPr>
          <w:rFonts w:ascii="Calibri" w:hAnsi="Calibri" w:cs="Calibri"/>
          <w:b/>
          <w:bCs/>
          <w:sz w:val="24"/>
          <w:szCs w:val="24"/>
        </w:rPr>
      </w:pPr>
    </w:p>
    <w:p w14:paraId="7B03A491" w14:textId="77777777" w:rsidR="0059780E" w:rsidRDefault="0059780E" w:rsidP="00472C9F">
      <w:pPr>
        <w:spacing w:after="0" w:line="240" w:lineRule="auto"/>
        <w:jc w:val="both"/>
        <w:rPr>
          <w:rFonts w:ascii="Calibri" w:hAnsi="Calibri" w:cs="Calibri"/>
          <w:b/>
          <w:bCs/>
          <w:sz w:val="24"/>
          <w:szCs w:val="24"/>
        </w:rPr>
      </w:pPr>
    </w:p>
    <w:p w14:paraId="05BE4A4B" w14:textId="29855466" w:rsidR="006F5456" w:rsidRDefault="006A51D8" w:rsidP="00472C9F">
      <w:pPr>
        <w:spacing w:after="0" w:line="240" w:lineRule="auto"/>
        <w:jc w:val="both"/>
        <w:rPr>
          <w:rFonts w:ascii="Calibri" w:hAnsi="Calibri" w:cs="Calibri"/>
          <w:b/>
          <w:bCs/>
          <w:sz w:val="24"/>
          <w:szCs w:val="24"/>
        </w:rPr>
      </w:pPr>
      <w:r>
        <w:rPr>
          <w:rFonts w:ascii="Calibri" w:hAnsi="Calibri" w:cs="Calibri"/>
          <w:b/>
          <w:bCs/>
          <w:sz w:val="24"/>
          <w:szCs w:val="24"/>
        </w:rPr>
        <w:t>Frances Hamilton</w:t>
      </w:r>
      <w:r w:rsidRPr="006A51D8">
        <w:rPr>
          <w:rStyle w:val="FootnoteReference"/>
          <w:rFonts w:ascii="Calibri" w:hAnsi="Calibri" w:cs="Calibri"/>
          <w:b/>
          <w:bCs/>
          <w:sz w:val="24"/>
          <w:szCs w:val="24"/>
        </w:rPr>
        <w:footnoteReference w:customMarkFollows="1" w:id="1"/>
        <w:sym w:font="Symbol" w:char="F02A"/>
      </w:r>
    </w:p>
    <w:p w14:paraId="504E8E72" w14:textId="77777777" w:rsidR="006F5456" w:rsidRDefault="006F5456" w:rsidP="00472C9F">
      <w:pPr>
        <w:spacing w:after="0" w:line="240" w:lineRule="auto"/>
        <w:jc w:val="both"/>
        <w:rPr>
          <w:rFonts w:ascii="Calibri" w:hAnsi="Calibri" w:cs="Calibri"/>
          <w:b/>
          <w:bCs/>
          <w:sz w:val="24"/>
          <w:szCs w:val="24"/>
        </w:rPr>
      </w:pPr>
    </w:p>
    <w:p w14:paraId="269126AC" w14:textId="77777777" w:rsidR="0059780E" w:rsidRDefault="0059780E" w:rsidP="0059780E">
      <w:pPr>
        <w:spacing w:after="0" w:line="360" w:lineRule="auto"/>
        <w:jc w:val="both"/>
        <w:rPr>
          <w:rFonts w:ascii="Calibri" w:hAnsi="Calibri" w:cs="Calibri"/>
          <w:b/>
          <w:bCs/>
          <w:sz w:val="24"/>
          <w:szCs w:val="24"/>
        </w:rPr>
      </w:pPr>
    </w:p>
    <w:p w14:paraId="59A4F55B" w14:textId="44525B9B" w:rsidR="00BE22C4" w:rsidRPr="00ED274C" w:rsidRDefault="00BE22C4" w:rsidP="00ED274C">
      <w:pPr>
        <w:pStyle w:val="Heading2"/>
      </w:pPr>
      <w:r w:rsidRPr="00ED274C">
        <w:t>Abstract</w:t>
      </w:r>
    </w:p>
    <w:p w14:paraId="35EBBFA2" w14:textId="48CEB55C" w:rsidR="003E7701" w:rsidRPr="00B96EA4" w:rsidRDefault="008C4A65" w:rsidP="0059780E">
      <w:pPr>
        <w:spacing w:after="0" w:line="360" w:lineRule="auto"/>
        <w:jc w:val="both"/>
        <w:rPr>
          <w:rFonts w:ascii="Calibri" w:hAnsi="Calibri" w:cs="Calibri"/>
          <w:sz w:val="24"/>
          <w:szCs w:val="24"/>
        </w:rPr>
      </w:pPr>
      <w:r w:rsidRPr="00B96EA4">
        <w:rPr>
          <w:rFonts w:ascii="Calibri" w:hAnsi="Calibri" w:cs="Calibri"/>
          <w:sz w:val="24"/>
          <w:szCs w:val="24"/>
        </w:rPr>
        <w:t xml:space="preserve">Although </w:t>
      </w:r>
      <w:r w:rsidR="00BC54BC" w:rsidRPr="00B96EA4">
        <w:rPr>
          <w:rFonts w:ascii="Calibri" w:hAnsi="Calibri" w:cs="Calibri"/>
          <w:sz w:val="24"/>
          <w:szCs w:val="24"/>
        </w:rPr>
        <w:t xml:space="preserve">the </w:t>
      </w:r>
      <w:r w:rsidRPr="00B96EA4">
        <w:rPr>
          <w:rFonts w:ascii="Calibri" w:hAnsi="Calibri" w:cs="Calibri"/>
          <w:sz w:val="24"/>
          <w:szCs w:val="24"/>
        </w:rPr>
        <w:t>original</w:t>
      </w:r>
      <w:r w:rsidR="00BC54BC" w:rsidRPr="00B96EA4">
        <w:rPr>
          <w:rFonts w:ascii="Calibri" w:hAnsi="Calibri" w:cs="Calibri"/>
          <w:sz w:val="24"/>
          <w:szCs w:val="24"/>
        </w:rPr>
        <w:t xml:space="preserve"> treaties of</w:t>
      </w:r>
      <w:r w:rsidRPr="00B96EA4">
        <w:rPr>
          <w:rFonts w:ascii="Calibri" w:hAnsi="Calibri" w:cs="Calibri"/>
          <w:sz w:val="24"/>
          <w:szCs w:val="24"/>
        </w:rPr>
        <w:t xml:space="preserve"> the European Union (‘EU’)</w:t>
      </w:r>
      <w:r w:rsidR="00BC54BC" w:rsidRPr="00B96EA4">
        <w:rPr>
          <w:rFonts w:ascii="Calibri" w:hAnsi="Calibri" w:cs="Calibri"/>
          <w:sz w:val="24"/>
          <w:szCs w:val="24"/>
        </w:rPr>
        <w:t xml:space="preserve"> conceptualised the EU as a trade body,</w:t>
      </w:r>
      <w:r w:rsidRPr="00B96EA4">
        <w:rPr>
          <w:rFonts w:ascii="Calibri" w:hAnsi="Calibri" w:cs="Calibri"/>
          <w:sz w:val="24"/>
          <w:szCs w:val="24"/>
        </w:rPr>
        <w:t xml:space="preserve"> </w:t>
      </w:r>
      <w:r w:rsidR="00BC54BC" w:rsidRPr="00B96EA4">
        <w:rPr>
          <w:rFonts w:ascii="Calibri" w:hAnsi="Calibri" w:cs="Calibri"/>
          <w:sz w:val="24"/>
          <w:szCs w:val="24"/>
        </w:rPr>
        <w:t>i</w:t>
      </w:r>
      <w:r w:rsidR="008E644C" w:rsidRPr="00B96EA4">
        <w:rPr>
          <w:rFonts w:ascii="Calibri" w:hAnsi="Calibri" w:cs="Calibri"/>
          <w:sz w:val="24"/>
          <w:szCs w:val="24"/>
        </w:rPr>
        <w:t>n recent years the</w:t>
      </w:r>
      <w:r w:rsidR="00DD683C" w:rsidRPr="00B96EA4">
        <w:rPr>
          <w:rFonts w:ascii="Calibri" w:hAnsi="Calibri" w:cs="Calibri"/>
          <w:sz w:val="24"/>
          <w:szCs w:val="24"/>
        </w:rPr>
        <w:t xml:space="preserve"> competencies </w:t>
      </w:r>
      <w:r w:rsidR="008E644C" w:rsidRPr="00B96EA4">
        <w:rPr>
          <w:rFonts w:ascii="Calibri" w:hAnsi="Calibri" w:cs="Calibri"/>
          <w:sz w:val="24"/>
          <w:szCs w:val="24"/>
        </w:rPr>
        <w:t>granted by Member States to the</w:t>
      </w:r>
      <w:r w:rsidR="00DD683C" w:rsidRPr="00B96EA4">
        <w:rPr>
          <w:rFonts w:ascii="Calibri" w:hAnsi="Calibri" w:cs="Calibri"/>
          <w:sz w:val="24"/>
          <w:szCs w:val="24"/>
        </w:rPr>
        <w:t xml:space="preserve"> </w:t>
      </w:r>
      <w:r w:rsidR="00830C6E" w:rsidRPr="00B96EA4">
        <w:rPr>
          <w:rFonts w:ascii="Calibri" w:hAnsi="Calibri" w:cs="Calibri"/>
          <w:sz w:val="24"/>
          <w:szCs w:val="24"/>
        </w:rPr>
        <w:t>EU</w:t>
      </w:r>
      <w:r w:rsidR="008E644C" w:rsidRPr="00B96EA4">
        <w:rPr>
          <w:rFonts w:ascii="Calibri" w:hAnsi="Calibri" w:cs="Calibri"/>
          <w:sz w:val="24"/>
          <w:szCs w:val="24"/>
        </w:rPr>
        <w:t xml:space="preserve"> have expanded greatly</w:t>
      </w:r>
      <w:r w:rsidR="00DD683C" w:rsidRPr="00B96EA4">
        <w:rPr>
          <w:rFonts w:ascii="Calibri" w:hAnsi="Calibri" w:cs="Calibri"/>
          <w:sz w:val="24"/>
          <w:szCs w:val="24"/>
        </w:rPr>
        <w:t xml:space="preserve">, </w:t>
      </w:r>
      <w:r w:rsidR="00DF020E" w:rsidRPr="00B96EA4">
        <w:rPr>
          <w:rFonts w:ascii="Calibri" w:hAnsi="Calibri" w:cs="Calibri"/>
          <w:sz w:val="24"/>
          <w:szCs w:val="24"/>
        </w:rPr>
        <w:t xml:space="preserve">not least </w:t>
      </w:r>
      <w:proofErr w:type="gramStart"/>
      <w:r w:rsidR="00DF020E" w:rsidRPr="00B96EA4">
        <w:rPr>
          <w:rFonts w:ascii="Calibri" w:hAnsi="Calibri" w:cs="Calibri"/>
          <w:sz w:val="24"/>
          <w:szCs w:val="24"/>
        </w:rPr>
        <w:t>in the area of</w:t>
      </w:r>
      <w:proofErr w:type="gramEnd"/>
      <w:r w:rsidR="00DF020E" w:rsidRPr="00B96EA4">
        <w:rPr>
          <w:rFonts w:ascii="Calibri" w:hAnsi="Calibri" w:cs="Calibri"/>
          <w:sz w:val="24"/>
          <w:szCs w:val="24"/>
        </w:rPr>
        <w:t xml:space="preserve"> equality and non-discrimination. </w:t>
      </w:r>
      <w:r w:rsidR="00F37ACF" w:rsidRPr="00B96EA4">
        <w:rPr>
          <w:rFonts w:ascii="Calibri" w:hAnsi="Calibri" w:cs="Calibri"/>
          <w:sz w:val="24"/>
          <w:szCs w:val="24"/>
        </w:rPr>
        <w:t>In response</w:t>
      </w:r>
      <w:r w:rsidR="00DF020E" w:rsidRPr="00B96EA4">
        <w:rPr>
          <w:rFonts w:ascii="Calibri" w:hAnsi="Calibri" w:cs="Calibri"/>
          <w:sz w:val="24"/>
          <w:szCs w:val="24"/>
        </w:rPr>
        <w:t xml:space="preserve"> to</w:t>
      </w:r>
      <w:r w:rsidR="00DD683C" w:rsidRPr="00B96EA4">
        <w:rPr>
          <w:rFonts w:ascii="Calibri" w:hAnsi="Calibri" w:cs="Calibri"/>
          <w:sz w:val="24"/>
          <w:szCs w:val="24"/>
        </w:rPr>
        <w:t xml:space="preserve"> </w:t>
      </w:r>
      <w:r w:rsidR="00CA740B" w:rsidRPr="00B96EA4">
        <w:rPr>
          <w:rFonts w:ascii="Calibri" w:hAnsi="Calibri" w:cs="Calibri"/>
          <w:sz w:val="24"/>
          <w:szCs w:val="24"/>
        </w:rPr>
        <w:t>criticisms</w:t>
      </w:r>
      <w:r w:rsidR="00DD683C" w:rsidRPr="00B96EA4">
        <w:rPr>
          <w:rFonts w:ascii="Calibri" w:hAnsi="Calibri" w:cs="Calibri"/>
          <w:sz w:val="24"/>
          <w:szCs w:val="24"/>
        </w:rPr>
        <w:t xml:space="preserve"> about </w:t>
      </w:r>
      <w:r w:rsidR="00F37ACF" w:rsidRPr="00B96EA4">
        <w:rPr>
          <w:rFonts w:ascii="Calibri" w:hAnsi="Calibri" w:cs="Calibri"/>
          <w:sz w:val="24"/>
          <w:szCs w:val="24"/>
        </w:rPr>
        <w:t>a</w:t>
      </w:r>
      <w:r w:rsidR="00DD683C" w:rsidRPr="00B96EA4">
        <w:rPr>
          <w:rFonts w:ascii="Calibri" w:hAnsi="Calibri" w:cs="Calibri"/>
          <w:sz w:val="24"/>
          <w:szCs w:val="24"/>
        </w:rPr>
        <w:t xml:space="preserve"> democratic deficit</w:t>
      </w:r>
      <w:r w:rsidR="00DF020E" w:rsidRPr="00B96EA4">
        <w:rPr>
          <w:rFonts w:ascii="Calibri" w:hAnsi="Calibri" w:cs="Calibri"/>
          <w:sz w:val="24"/>
          <w:szCs w:val="24"/>
        </w:rPr>
        <w:t xml:space="preserve">, </w:t>
      </w:r>
      <w:r w:rsidR="00F37ACF" w:rsidRPr="00B96EA4">
        <w:rPr>
          <w:rFonts w:ascii="Calibri" w:hAnsi="Calibri" w:cs="Calibri"/>
          <w:sz w:val="24"/>
          <w:szCs w:val="24"/>
        </w:rPr>
        <w:t>the concept of EU citizenship was introduced</w:t>
      </w:r>
      <w:r w:rsidR="006B1FAD" w:rsidRPr="00B96EA4">
        <w:rPr>
          <w:rFonts w:ascii="Calibri" w:hAnsi="Calibri" w:cs="Calibri"/>
          <w:sz w:val="24"/>
          <w:szCs w:val="24"/>
        </w:rPr>
        <w:t xml:space="preserve">. </w:t>
      </w:r>
      <w:r w:rsidR="00F37ACF" w:rsidRPr="00B96EA4">
        <w:rPr>
          <w:rFonts w:ascii="Calibri" w:hAnsi="Calibri" w:cs="Calibri"/>
          <w:sz w:val="24"/>
          <w:szCs w:val="24"/>
        </w:rPr>
        <w:t>This entails</w:t>
      </w:r>
      <w:r w:rsidR="00CA740B" w:rsidRPr="00B96EA4">
        <w:rPr>
          <w:rFonts w:ascii="Calibri" w:hAnsi="Calibri" w:cs="Calibri"/>
          <w:sz w:val="24"/>
          <w:szCs w:val="24"/>
        </w:rPr>
        <w:t xml:space="preserve"> </w:t>
      </w:r>
      <w:r w:rsidR="00495DDC" w:rsidRPr="00B96EA4">
        <w:rPr>
          <w:rFonts w:ascii="Calibri" w:hAnsi="Calibri" w:cs="Calibri"/>
          <w:sz w:val="24"/>
          <w:szCs w:val="24"/>
        </w:rPr>
        <w:t xml:space="preserve">voting, </w:t>
      </w:r>
      <w:r w:rsidR="006B1FAD" w:rsidRPr="00B96EA4">
        <w:rPr>
          <w:rFonts w:ascii="Calibri" w:hAnsi="Calibri" w:cs="Calibri"/>
          <w:sz w:val="24"/>
          <w:szCs w:val="24"/>
        </w:rPr>
        <w:t xml:space="preserve">free </w:t>
      </w:r>
      <w:r w:rsidR="00CA740B" w:rsidRPr="00B96EA4">
        <w:rPr>
          <w:rFonts w:ascii="Calibri" w:hAnsi="Calibri" w:cs="Calibri"/>
          <w:sz w:val="24"/>
          <w:szCs w:val="24"/>
        </w:rPr>
        <w:t>movement</w:t>
      </w:r>
      <w:r w:rsidR="0072229B" w:rsidRPr="00B96EA4">
        <w:rPr>
          <w:rFonts w:ascii="Calibri" w:hAnsi="Calibri" w:cs="Calibri"/>
          <w:sz w:val="24"/>
          <w:szCs w:val="24"/>
        </w:rPr>
        <w:t>, residence and non-discrimination</w:t>
      </w:r>
      <w:r w:rsidR="00CA740B" w:rsidRPr="00B96EA4">
        <w:rPr>
          <w:rFonts w:ascii="Calibri" w:hAnsi="Calibri" w:cs="Calibri"/>
          <w:sz w:val="24"/>
          <w:szCs w:val="24"/>
        </w:rPr>
        <w:t xml:space="preserve"> rights across</w:t>
      </w:r>
      <w:r w:rsidR="006B1FAD" w:rsidRPr="00B96EA4">
        <w:rPr>
          <w:rFonts w:ascii="Calibri" w:hAnsi="Calibri" w:cs="Calibri"/>
          <w:sz w:val="24"/>
          <w:szCs w:val="24"/>
        </w:rPr>
        <w:t xml:space="preserve"> </w:t>
      </w:r>
      <w:r w:rsidR="00F37ACF" w:rsidRPr="00B96EA4">
        <w:rPr>
          <w:rFonts w:ascii="Calibri" w:hAnsi="Calibri" w:cs="Calibri"/>
          <w:sz w:val="24"/>
          <w:szCs w:val="24"/>
        </w:rPr>
        <w:t>Member States</w:t>
      </w:r>
      <w:r w:rsidR="006B1FAD" w:rsidRPr="00B96EA4">
        <w:rPr>
          <w:rFonts w:ascii="Calibri" w:hAnsi="Calibri" w:cs="Calibri"/>
          <w:sz w:val="24"/>
          <w:szCs w:val="24"/>
        </w:rPr>
        <w:t xml:space="preserve"> for EU citizens and </w:t>
      </w:r>
      <w:r w:rsidR="0072229B" w:rsidRPr="00B96EA4">
        <w:rPr>
          <w:rFonts w:ascii="Calibri" w:hAnsi="Calibri" w:cs="Calibri"/>
          <w:sz w:val="24"/>
          <w:szCs w:val="24"/>
        </w:rPr>
        <w:t xml:space="preserve">their </w:t>
      </w:r>
      <w:r w:rsidR="006B1FAD" w:rsidRPr="00B96EA4">
        <w:rPr>
          <w:rFonts w:ascii="Calibri" w:hAnsi="Calibri" w:cs="Calibri"/>
          <w:sz w:val="24"/>
          <w:szCs w:val="24"/>
        </w:rPr>
        <w:t>family members (who do not have to be EU citizens themselves).</w:t>
      </w:r>
      <w:r w:rsidR="0072229B" w:rsidRPr="00B96EA4">
        <w:rPr>
          <w:rFonts w:ascii="Calibri" w:hAnsi="Calibri" w:cs="Calibri"/>
          <w:sz w:val="24"/>
          <w:szCs w:val="24"/>
        </w:rPr>
        <w:t xml:space="preserve"> For non-mobile </w:t>
      </w:r>
      <w:r w:rsidR="006762BC" w:rsidRPr="00B96EA4">
        <w:rPr>
          <w:rFonts w:ascii="Calibri" w:hAnsi="Calibri" w:cs="Calibri"/>
          <w:sz w:val="24"/>
          <w:szCs w:val="24"/>
        </w:rPr>
        <w:t xml:space="preserve">EU </w:t>
      </w:r>
      <w:proofErr w:type="gramStart"/>
      <w:r w:rsidR="006762BC" w:rsidRPr="00B96EA4">
        <w:rPr>
          <w:rFonts w:ascii="Calibri" w:hAnsi="Calibri" w:cs="Calibri"/>
          <w:sz w:val="24"/>
          <w:szCs w:val="24"/>
        </w:rPr>
        <w:t>citizens</w:t>
      </w:r>
      <w:proofErr w:type="gramEnd"/>
      <w:r w:rsidR="006762BC" w:rsidRPr="00B96EA4">
        <w:rPr>
          <w:rFonts w:ascii="Calibri" w:hAnsi="Calibri" w:cs="Calibri"/>
          <w:sz w:val="24"/>
          <w:szCs w:val="24"/>
        </w:rPr>
        <w:t xml:space="preserve"> the EU has had a huge influence in expanding non-discriminatory employment rights.</w:t>
      </w:r>
      <w:r w:rsidR="006B1FAD" w:rsidRPr="00B96EA4">
        <w:rPr>
          <w:rFonts w:ascii="Calibri" w:hAnsi="Calibri" w:cs="Calibri"/>
          <w:sz w:val="24"/>
          <w:szCs w:val="24"/>
        </w:rPr>
        <w:t xml:space="preserve"> Yet </w:t>
      </w:r>
      <w:proofErr w:type="gramStart"/>
      <w:r w:rsidR="006B1FAD" w:rsidRPr="00B96EA4">
        <w:rPr>
          <w:rFonts w:ascii="Calibri" w:hAnsi="Calibri" w:cs="Calibri"/>
          <w:sz w:val="24"/>
          <w:szCs w:val="24"/>
        </w:rPr>
        <w:t>in order to</w:t>
      </w:r>
      <w:proofErr w:type="gramEnd"/>
      <w:r w:rsidR="006B1FAD" w:rsidRPr="00B96EA4">
        <w:rPr>
          <w:rFonts w:ascii="Calibri" w:hAnsi="Calibri" w:cs="Calibri"/>
          <w:sz w:val="24"/>
          <w:szCs w:val="24"/>
        </w:rPr>
        <w:t xml:space="preserve"> be truly democratic the concept of citizenship needs to engage with all citizens in an equal manner. In contrast to </w:t>
      </w:r>
      <w:r w:rsidR="00D11431" w:rsidRPr="00B96EA4">
        <w:rPr>
          <w:rFonts w:ascii="Calibri" w:hAnsi="Calibri" w:cs="Calibri"/>
          <w:sz w:val="24"/>
          <w:szCs w:val="24"/>
        </w:rPr>
        <w:t>the</w:t>
      </w:r>
      <w:r w:rsidR="006D469B" w:rsidRPr="00B96EA4">
        <w:rPr>
          <w:rFonts w:ascii="Calibri" w:hAnsi="Calibri" w:cs="Calibri"/>
          <w:sz w:val="24"/>
          <w:szCs w:val="24"/>
        </w:rPr>
        <w:t xml:space="preserve"> </w:t>
      </w:r>
      <w:r w:rsidR="006B1FAD" w:rsidRPr="00B96EA4">
        <w:rPr>
          <w:rFonts w:ascii="Calibri" w:hAnsi="Calibri" w:cs="Calibri"/>
          <w:sz w:val="24"/>
          <w:szCs w:val="24"/>
        </w:rPr>
        <w:t>Brexit</w:t>
      </w:r>
      <w:r w:rsidR="006D469B" w:rsidRPr="00B96EA4">
        <w:rPr>
          <w:rFonts w:ascii="Calibri" w:hAnsi="Calibri" w:cs="Calibri"/>
          <w:sz w:val="24"/>
          <w:szCs w:val="24"/>
        </w:rPr>
        <w:t xml:space="preserve"> agenda which</w:t>
      </w:r>
      <w:r w:rsidR="006B1FAD" w:rsidRPr="00B96EA4">
        <w:rPr>
          <w:rFonts w:ascii="Calibri" w:hAnsi="Calibri" w:cs="Calibri"/>
          <w:sz w:val="24"/>
          <w:szCs w:val="24"/>
        </w:rPr>
        <w:t xml:space="preserve"> </w:t>
      </w:r>
      <w:r w:rsidR="007853F2" w:rsidRPr="00B96EA4">
        <w:rPr>
          <w:rFonts w:ascii="Calibri" w:hAnsi="Calibri" w:cs="Calibri"/>
          <w:sz w:val="24"/>
          <w:szCs w:val="24"/>
        </w:rPr>
        <w:t>researchers</w:t>
      </w:r>
      <w:r w:rsidR="006B1FAD" w:rsidRPr="00B96EA4">
        <w:rPr>
          <w:rFonts w:ascii="Calibri" w:hAnsi="Calibri" w:cs="Calibri"/>
          <w:sz w:val="24"/>
          <w:szCs w:val="24"/>
        </w:rPr>
        <w:t xml:space="preserve"> consider to be readily aligned with</w:t>
      </w:r>
      <w:r w:rsidR="00B14874" w:rsidRPr="00B96EA4">
        <w:rPr>
          <w:rFonts w:ascii="Calibri" w:hAnsi="Calibri" w:cs="Calibri"/>
          <w:sz w:val="24"/>
          <w:szCs w:val="24"/>
        </w:rPr>
        <w:t xml:space="preserve"> hegemonic</w:t>
      </w:r>
      <w:r w:rsidR="006B1FAD" w:rsidRPr="00B96EA4">
        <w:rPr>
          <w:rFonts w:ascii="Calibri" w:hAnsi="Calibri" w:cs="Calibri"/>
          <w:sz w:val="24"/>
          <w:szCs w:val="24"/>
        </w:rPr>
        <w:t xml:space="preserve"> </w:t>
      </w:r>
      <w:r w:rsidR="00B14874" w:rsidRPr="00B96EA4">
        <w:rPr>
          <w:rFonts w:ascii="Calibri" w:hAnsi="Calibri" w:cs="Calibri"/>
          <w:sz w:val="24"/>
          <w:szCs w:val="24"/>
        </w:rPr>
        <w:t>masculinity</w:t>
      </w:r>
      <w:r w:rsidR="00BD06D3" w:rsidRPr="00B96EA4">
        <w:rPr>
          <w:rFonts w:ascii="Calibri" w:hAnsi="Calibri" w:cs="Calibri"/>
          <w:sz w:val="24"/>
          <w:szCs w:val="24"/>
        </w:rPr>
        <w:t xml:space="preserve">, </w:t>
      </w:r>
      <w:r w:rsidR="006D469B" w:rsidRPr="00B96EA4">
        <w:rPr>
          <w:rFonts w:ascii="Calibri" w:hAnsi="Calibri" w:cs="Calibri"/>
          <w:sz w:val="24"/>
          <w:szCs w:val="24"/>
        </w:rPr>
        <w:t xml:space="preserve">the </w:t>
      </w:r>
      <w:r w:rsidR="006B1FAD" w:rsidRPr="00B96EA4">
        <w:rPr>
          <w:rFonts w:ascii="Calibri" w:hAnsi="Calibri" w:cs="Calibri"/>
          <w:sz w:val="24"/>
          <w:szCs w:val="24"/>
        </w:rPr>
        <w:t xml:space="preserve">EU </w:t>
      </w:r>
      <w:r w:rsidR="001E6821" w:rsidRPr="00B96EA4">
        <w:rPr>
          <w:rFonts w:ascii="Calibri" w:hAnsi="Calibri" w:cs="Calibri"/>
          <w:sz w:val="24"/>
          <w:szCs w:val="24"/>
        </w:rPr>
        <w:t>is</w:t>
      </w:r>
      <w:r w:rsidR="006B1FAD" w:rsidRPr="00B96EA4">
        <w:rPr>
          <w:rFonts w:ascii="Calibri" w:hAnsi="Calibri" w:cs="Calibri"/>
          <w:sz w:val="24"/>
          <w:szCs w:val="24"/>
        </w:rPr>
        <w:t xml:space="preserve"> portrayed as pro-feminist</w:t>
      </w:r>
      <w:r w:rsidR="00CC5852" w:rsidRPr="00B96EA4">
        <w:rPr>
          <w:rFonts w:ascii="Calibri" w:hAnsi="Calibri" w:cs="Calibri"/>
          <w:sz w:val="24"/>
          <w:szCs w:val="24"/>
        </w:rPr>
        <w:t xml:space="preserve"> and </w:t>
      </w:r>
      <w:r w:rsidR="00BE3DB7" w:rsidRPr="00B96EA4">
        <w:rPr>
          <w:rFonts w:ascii="Calibri" w:hAnsi="Calibri" w:cs="Calibri"/>
          <w:sz w:val="24"/>
          <w:szCs w:val="24"/>
        </w:rPr>
        <w:t>lesbian and gay</w:t>
      </w:r>
      <w:r w:rsidR="006B1FAD" w:rsidRPr="00B96EA4">
        <w:rPr>
          <w:rFonts w:ascii="Calibri" w:hAnsi="Calibri" w:cs="Calibri"/>
          <w:sz w:val="24"/>
          <w:szCs w:val="24"/>
        </w:rPr>
        <w:t xml:space="preserve"> inclusive. This piece tests how much in reality EU citizenship </w:t>
      </w:r>
      <w:r w:rsidR="00004A3A" w:rsidRPr="00B96EA4">
        <w:rPr>
          <w:rFonts w:ascii="Calibri" w:hAnsi="Calibri" w:cs="Calibri"/>
          <w:sz w:val="24"/>
          <w:szCs w:val="24"/>
        </w:rPr>
        <w:t>includes</w:t>
      </w:r>
      <w:r w:rsidR="006B1FAD" w:rsidRPr="00B96EA4">
        <w:rPr>
          <w:rFonts w:ascii="Calibri" w:hAnsi="Calibri" w:cs="Calibri"/>
          <w:sz w:val="24"/>
          <w:szCs w:val="24"/>
        </w:rPr>
        <w:t xml:space="preserve"> those who do not conform with a heteronormative, liberal equality model. </w:t>
      </w:r>
      <w:r w:rsidR="001866F0" w:rsidRPr="00B96EA4">
        <w:rPr>
          <w:rFonts w:ascii="Calibri" w:hAnsi="Calibri" w:cs="Calibri"/>
          <w:sz w:val="24"/>
          <w:szCs w:val="24"/>
        </w:rPr>
        <w:t xml:space="preserve">Whilst real progress has been made, </w:t>
      </w:r>
      <w:r w:rsidR="006B1FAD" w:rsidRPr="00B96EA4">
        <w:rPr>
          <w:rFonts w:ascii="Calibri" w:hAnsi="Calibri" w:cs="Calibri"/>
          <w:sz w:val="24"/>
          <w:szCs w:val="24"/>
        </w:rPr>
        <w:t>many difficulties remain</w:t>
      </w:r>
      <w:r w:rsidR="002E4DDD" w:rsidRPr="00B96EA4">
        <w:rPr>
          <w:rFonts w:ascii="Calibri" w:hAnsi="Calibri" w:cs="Calibri"/>
          <w:sz w:val="24"/>
          <w:szCs w:val="24"/>
        </w:rPr>
        <w:t>.</w:t>
      </w:r>
      <w:r w:rsidR="004155CE" w:rsidRPr="00B96EA4">
        <w:rPr>
          <w:rFonts w:ascii="Calibri" w:hAnsi="Calibri" w:cs="Calibri"/>
          <w:sz w:val="24"/>
          <w:szCs w:val="24"/>
        </w:rPr>
        <w:t xml:space="preserve"> EU soft law in this area offers hope for future development.</w:t>
      </w:r>
    </w:p>
    <w:p w14:paraId="3DD429FF" w14:textId="77777777" w:rsidR="00B96EA4" w:rsidRDefault="00B96EA4" w:rsidP="0059780E">
      <w:pPr>
        <w:spacing w:after="0" w:line="360" w:lineRule="auto"/>
        <w:jc w:val="both"/>
        <w:rPr>
          <w:rFonts w:ascii="Calibri" w:hAnsi="Calibri" w:cs="Calibri"/>
          <w:i/>
          <w:iCs/>
          <w:sz w:val="24"/>
          <w:szCs w:val="24"/>
        </w:rPr>
      </w:pPr>
    </w:p>
    <w:p w14:paraId="2FA1774C" w14:textId="77777777" w:rsidR="0067367F" w:rsidRPr="00472C9F" w:rsidRDefault="0067367F" w:rsidP="0059780E">
      <w:pPr>
        <w:spacing w:after="0" w:line="360" w:lineRule="auto"/>
        <w:jc w:val="both"/>
        <w:rPr>
          <w:rFonts w:ascii="Calibri" w:hAnsi="Calibri" w:cs="Calibri"/>
          <w:i/>
          <w:iCs/>
          <w:sz w:val="24"/>
          <w:szCs w:val="24"/>
        </w:rPr>
      </w:pPr>
    </w:p>
    <w:p w14:paraId="54E858EF" w14:textId="6F00C654" w:rsidR="008548CB" w:rsidRPr="00472C9F" w:rsidRDefault="002C62A9" w:rsidP="00ED274C">
      <w:pPr>
        <w:pStyle w:val="Heading2"/>
      </w:pPr>
      <w:r>
        <w:t xml:space="preserve">1. </w:t>
      </w:r>
      <w:r w:rsidR="008548CB" w:rsidRPr="00472C9F">
        <w:t>Introduction</w:t>
      </w:r>
    </w:p>
    <w:p w14:paraId="43CC43CC" w14:textId="614C731B" w:rsidR="00F36307" w:rsidRPr="00472C9F" w:rsidRDefault="008548CB" w:rsidP="0059780E">
      <w:pPr>
        <w:spacing w:after="0" w:line="360" w:lineRule="auto"/>
        <w:jc w:val="both"/>
        <w:textAlignment w:val="baseline"/>
        <w:rPr>
          <w:rFonts w:ascii="Calibri" w:hAnsi="Calibri" w:cs="Calibri"/>
          <w:sz w:val="24"/>
          <w:szCs w:val="24"/>
        </w:rPr>
      </w:pPr>
      <w:r w:rsidRPr="00472C9F">
        <w:rPr>
          <w:rFonts w:ascii="Calibri" w:eastAsiaTheme="minorEastAsia" w:hAnsi="Calibri" w:cs="Calibri"/>
          <w:kern w:val="24"/>
          <w:sz w:val="24"/>
          <w:szCs w:val="24"/>
        </w:rPr>
        <w:t xml:space="preserve">In this article I consider </w:t>
      </w:r>
      <w:r w:rsidRPr="00472C9F">
        <w:rPr>
          <w:rFonts w:ascii="Calibri" w:hAnsi="Calibri" w:cs="Calibri"/>
          <w:sz w:val="24"/>
          <w:szCs w:val="24"/>
        </w:rPr>
        <w:t xml:space="preserve">how accessible </w:t>
      </w:r>
      <w:r w:rsidR="002106EF" w:rsidRPr="00472C9F">
        <w:rPr>
          <w:rFonts w:ascii="Calibri" w:hAnsi="Calibri" w:cs="Calibri"/>
          <w:sz w:val="24"/>
          <w:szCs w:val="24"/>
        </w:rPr>
        <w:t>EU citizenship</w:t>
      </w:r>
      <w:r w:rsidR="00F16F96">
        <w:rPr>
          <w:rFonts w:ascii="Calibri" w:hAnsi="Calibri" w:cs="Calibri"/>
          <w:sz w:val="24"/>
          <w:szCs w:val="24"/>
        </w:rPr>
        <w:t>-</w:t>
      </w:r>
      <w:r w:rsidRPr="00472C9F">
        <w:rPr>
          <w:rFonts w:ascii="Calibri" w:hAnsi="Calibri" w:cs="Calibri"/>
          <w:sz w:val="24"/>
          <w:szCs w:val="24"/>
        </w:rPr>
        <w:t>associated rights are for lesbians and gays.</w:t>
      </w:r>
      <w:r w:rsidR="00B76901" w:rsidRPr="00472C9F">
        <w:rPr>
          <w:rStyle w:val="FootnoteReference"/>
          <w:rFonts w:ascii="Calibri" w:hAnsi="Calibri" w:cs="Calibri"/>
          <w:sz w:val="24"/>
          <w:szCs w:val="24"/>
        </w:rPr>
        <w:footnoteReference w:id="2"/>
      </w:r>
      <w:r w:rsidR="007054F6" w:rsidRPr="00472C9F">
        <w:rPr>
          <w:rFonts w:ascii="Calibri" w:hAnsi="Calibri" w:cs="Calibri"/>
          <w:sz w:val="24"/>
          <w:szCs w:val="24"/>
        </w:rPr>
        <w:t xml:space="preserve"> </w:t>
      </w:r>
      <w:r w:rsidR="00FA02B8" w:rsidRPr="00472C9F">
        <w:rPr>
          <w:rFonts w:ascii="Calibri" w:hAnsi="Calibri" w:cs="Calibri"/>
          <w:sz w:val="24"/>
          <w:szCs w:val="24"/>
        </w:rPr>
        <w:t>Although originally conceptualised as a trade body in the three original treaties,</w:t>
      </w:r>
      <w:r w:rsidR="00FA02B8" w:rsidRPr="00472C9F">
        <w:rPr>
          <w:rStyle w:val="FootnoteReference"/>
          <w:rFonts w:ascii="Calibri" w:hAnsi="Calibri" w:cs="Calibri"/>
          <w:sz w:val="24"/>
          <w:szCs w:val="24"/>
        </w:rPr>
        <w:footnoteReference w:id="3"/>
      </w:r>
      <w:r w:rsidR="00FA02B8" w:rsidRPr="00472C9F">
        <w:rPr>
          <w:rFonts w:ascii="Calibri" w:hAnsi="Calibri" w:cs="Calibri"/>
          <w:sz w:val="24"/>
          <w:szCs w:val="24"/>
        </w:rPr>
        <w:t xml:space="preserve"> in recent</w:t>
      </w:r>
      <w:r w:rsidR="00C04463" w:rsidRPr="00472C9F">
        <w:rPr>
          <w:rFonts w:ascii="Calibri" w:hAnsi="Calibri" w:cs="Calibri"/>
          <w:sz w:val="24"/>
          <w:szCs w:val="24"/>
        </w:rPr>
        <w:t xml:space="preserve"> decades </w:t>
      </w:r>
      <w:r w:rsidR="00FA02B8" w:rsidRPr="00472C9F">
        <w:rPr>
          <w:rFonts w:ascii="Calibri" w:hAnsi="Calibri" w:cs="Calibri"/>
          <w:sz w:val="24"/>
          <w:szCs w:val="24"/>
        </w:rPr>
        <w:t xml:space="preserve">Member States have granted </w:t>
      </w:r>
      <w:r w:rsidR="00C04463" w:rsidRPr="00472C9F">
        <w:rPr>
          <w:rFonts w:ascii="Calibri" w:hAnsi="Calibri" w:cs="Calibri"/>
          <w:sz w:val="24"/>
          <w:szCs w:val="24"/>
        </w:rPr>
        <w:t>the EU</w:t>
      </w:r>
      <w:r w:rsidR="00FA02B8" w:rsidRPr="00472C9F">
        <w:rPr>
          <w:rFonts w:ascii="Calibri" w:hAnsi="Calibri" w:cs="Calibri"/>
          <w:sz w:val="24"/>
          <w:szCs w:val="24"/>
        </w:rPr>
        <w:t xml:space="preserve"> many new competencies</w:t>
      </w:r>
      <w:r w:rsidR="00C259B1" w:rsidRPr="00472C9F">
        <w:rPr>
          <w:rFonts w:ascii="Calibri" w:hAnsi="Calibri" w:cs="Calibri"/>
          <w:sz w:val="24"/>
          <w:szCs w:val="24"/>
        </w:rPr>
        <w:t>. To combat increasing criticisms of an alleged democratic deficit,</w:t>
      </w:r>
      <w:r w:rsidR="00C259B1" w:rsidRPr="00472C9F">
        <w:rPr>
          <w:rStyle w:val="FootnoteReference"/>
          <w:rFonts w:ascii="Calibri" w:hAnsi="Calibri" w:cs="Calibri"/>
          <w:sz w:val="24"/>
          <w:szCs w:val="24"/>
        </w:rPr>
        <w:footnoteReference w:id="4"/>
      </w:r>
      <w:r w:rsidR="00C259B1" w:rsidRPr="00472C9F">
        <w:rPr>
          <w:rFonts w:ascii="Calibri" w:hAnsi="Calibri" w:cs="Calibri"/>
          <w:sz w:val="24"/>
          <w:szCs w:val="24"/>
        </w:rPr>
        <w:t xml:space="preserve"> the EU </w:t>
      </w:r>
      <w:r w:rsidR="00EE6E21" w:rsidRPr="00472C9F">
        <w:rPr>
          <w:rFonts w:ascii="Calibri" w:hAnsi="Calibri" w:cs="Calibri"/>
          <w:sz w:val="24"/>
          <w:szCs w:val="24"/>
        </w:rPr>
        <w:t xml:space="preserve">introduced and expanded the </w:t>
      </w:r>
      <w:r w:rsidR="00C04463" w:rsidRPr="00472C9F">
        <w:rPr>
          <w:rFonts w:ascii="Calibri" w:hAnsi="Calibri" w:cs="Calibri"/>
          <w:sz w:val="24"/>
          <w:szCs w:val="24"/>
        </w:rPr>
        <w:lastRenderedPageBreak/>
        <w:t xml:space="preserve">concept of citizenship </w:t>
      </w:r>
      <w:r w:rsidR="002C634A" w:rsidRPr="00472C9F">
        <w:rPr>
          <w:rFonts w:ascii="Calibri" w:hAnsi="Calibri" w:cs="Calibri"/>
          <w:sz w:val="24"/>
          <w:szCs w:val="24"/>
        </w:rPr>
        <w:t xml:space="preserve">to include </w:t>
      </w:r>
      <w:r w:rsidR="00224E86" w:rsidRPr="00472C9F">
        <w:rPr>
          <w:rFonts w:ascii="Calibri" w:hAnsi="Calibri" w:cs="Calibri"/>
          <w:sz w:val="24"/>
          <w:szCs w:val="24"/>
        </w:rPr>
        <w:t>many new rights in</w:t>
      </w:r>
      <w:r w:rsidR="00E72329" w:rsidRPr="00472C9F">
        <w:rPr>
          <w:rFonts w:ascii="Calibri" w:hAnsi="Calibri" w:cs="Calibri"/>
          <w:sz w:val="24"/>
          <w:szCs w:val="24"/>
        </w:rPr>
        <w:t xml:space="preserve"> addition to national citizenship</w:t>
      </w:r>
      <w:r w:rsidR="00425418" w:rsidRPr="00472C9F">
        <w:rPr>
          <w:rFonts w:ascii="Calibri" w:hAnsi="Calibri" w:cs="Calibri"/>
          <w:sz w:val="24"/>
          <w:szCs w:val="24"/>
        </w:rPr>
        <w:t>. These in</w:t>
      </w:r>
      <w:r w:rsidR="008328E0" w:rsidRPr="00472C9F">
        <w:rPr>
          <w:rFonts w:ascii="Calibri" w:eastAsia="Times New Roman" w:hAnsi="Calibri" w:cs="Calibri"/>
          <w:sz w:val="24"/>
          <w:szCs w:val="24"/>
        </w:rPr>
        <w:t>clud</w:t>
      </w:r>
      <w:r w:rsidR="00425418" w:rsidRPr="00472C9F">
        <w:rPr>
          <w:rFonts w:ascii="Calibri" w:eastAsia="Times New Roman" w:hAnsi="Calibri" w:cs="Calibri"/>
          <w:sz w:val="24"/>
          <w:szCs w:val="24"/>
        </w:rPr>
        <w:t>e</w:t>
      </w:r>
      <w:r w:rsidR="008328E0" w:rsidRPr="00472C9F">
        <w:rPr>
          <w:rFonts w:ascii="Calibri" w:eastAsia="Times New Roman" w:hAnsi="Calibri" w:cs="Calibri"/>
          <w:sz w:val="24"/>
          <w:szCs w:val="24"/>
        </w:rPr>
        <w:t xml:space="preserve"> </w:t>
      </w:r>
      <w:r w:rsidR="008328E0" w:rsidRPr="00472C9F">
        <w:rPr>
          <w:rFonts w:ascii="Calibri" w:hAnsi="Calibri" w:cs="Calibri"/>
          <w:sz w:val="24"/>
          <w:szCs w:val="24"/>
        </w:rPr>
        <w:t>free movement and</w:t>
      </w:r>
      <w:r w:rsidR="002C634A" w:rsidRPr="00472C9F">
        <w:rPr>
          <w:rFonts w:ascii="Calibri" w:hAnsi="Calibri" w:cs="Calibri"/>
          <w:sz w:val="24"/>
          <w:szCs w:val="24"/>
        </w:rPr>
        <w:t xml:space="preserve"> right</w:t>
      </w:r>
      <w:r w:rsidR="00E72329" w:rsidRPr="00472C9F">
        <w:rPr>
          <w:rFonts w:ascii="Calibri" w:hAnsi="Calibri" w:cs="Calibri"/>
          <w:sz w:val="24"/>
          <w:szCs w:val="24"/>
        </w:rPr>
        <w:t>s</w:t>
      </w:r>
      <w:r w:rsidR="002C634A" w:rsidRPr="00472C9F">
        <w:rPr>
          <w:rFonts w:ascii="Calibri" w:hAnsi="Calibri" w:cs="Calibri"/>
          <w:sz w:val="24"/>
          <w:szCs w:val="24"/>
        </w:rPr>
        <w:t xml:space="preserve"> of residence</w:t>
      </w:r>
      <w:r w:rsidR="00E72329" w:rsidRPr="00472C9F">
        <w:rPr>
          <w:rFonts w:ascii="Calibri" w:hAnsi="Calibri" w:cs="Calibri"/>
          <w:sz w:val="24"/>
          <w:szCs w:val="24"/>
        </w:rPr>
        <w:t xml:space="preserve"> in other EU states</w:t>
      </w:r>
      <w:r w:rsidR="00DC0728" w:rsidRPr="00472C9F">
        <w:rPr>
          <w:rFonts w:ascii="Calibri" w:hAnsi="Calibri" w:cs="Calibri"/>
          <w:sz w:val="24"/>
          <w:szCs w:val="24"/>
        </w:rPr>
        <w:t>,</w:t>
      </w:r>
      <w:r w:rsidR="00DC0728" w:rsidRPr="00472C9F">
        <w:rPr>
          <w:rStyle w:val="FootnoteReference"/>
          <w:rFonts w:ascii="Calibri" w:hAnsi="Calibri" w:cs="Calibri"/>
          <w:sz w:val="24"/>
          <w:szCs w:val="24"/>
        </w:rPr>
        <w:footnoteReference w:id="5"/>
      </w:r>
      <w:r w:rsidR="002C634A" w:rsidRPr="00472C9F">
        <w:rPr>
          <w:rFonts w:ascii="Calibri" w:hAnsi="Calibri" w:cs="Calibri"/>
          <w:sz w:val="24"/>
          <w:szCs w:val="24"/>
        </w:rPr>
        <w:t xml:space="preserve"> </w:t>
      </w:r>
      <w:r w:rsidR="008328E0" w:rsidRPr="00472C9F">
        <w:rPr>
          <w:rFonts w:ascii="Calibri" w:hAnsi="Calibri" w:cs="Calibri"/>
          <w:sz w:val="24"/>
          <w:szCs w:val="24"/>
        </w:rPr>
        <w:t>non-discrimination</w:t>
      </w:r>
      <w:r w:rsidR="00E72329" w:rsidRPr="00472C9F">
        <w:rPr>
          <w:rFonts w:ascii="Calibri" w:hAnsi="Calibri" w:cs="Calibri"/>
          <w:sz w:val="24"/>
          <w:szCs w:val="24"/>
        </w:rPr>
        <w:t xml:space="preserve"> provisions equating to</w:t>
      </w:r>
      <w:r w:rsidR="002C634A" w:rsidRPr="00472C9F">
        <w:rPr>
          <w:rFonts w:ascii="Calibri" w:hAnsi="Calibri" w:cs="Calibri"/>
          <w:sz w:val="24"/>
          <w:szCs w:val="24"/>
        </w:rPr>
        <w:t xml:space="preserve"> equal treatment with host-country nationals,</w:t>
      </w:r>
      <w:r w:rsidR="00B3493A" w:rsidRPr="00472C9F">
        <w:rPr>
          <w:rStyle w:val="FootnoteReference"/>
          <w:rFonts w:ascii="Calibri" w:hAnsi="Calibri" w:cs="Calibri"/>
          <w:sz w:val="24"/>
          <w:szCs w:val="24"/>
        </w:rPr>
        <w:footnoteReference w:id="6"/>
      </w:r>
      <w:r w:rsidR="002C634A" w:rsidRPr="00472C9F">
        <w:rPr>
          <w:rFonts w:ascii="Calibri" w:hAnsi="Calibri" w:cs="Calibri"/>
          <w:sz w:val="24"/>
          <w:szCs w:val="24"/>
        </w:rPr>
        <w:t xml:space="preserve"> allowing family members to take up employment or self-employment</w:t>
      </w:r>
      <w:r w:rsidR="00A43D84">
        <w:rPr>
          <w:rFonts w:ascii="Calibri" w:hAnsi="Calibri" w:cs="Calibri"/>
          <w:sz w:val="24"/>
          <w:szCs w:val="24"/>
        </w:rPr>
        <w:t>,</w:t>
      </w:r>
      <w:r w:rsidR="003079C1" w:rsidRPr="00472C9F">
        <w:rPr>
          <w:rStyle w:val="FootnoteReference"/>
          <w:rFonts w:ascii="Calibri" w:hAnsi="Calibri" w:cs="Calibri"/>
          <w:sz w:val="24"/>
          <w:szCs w:val="24"/>
        </w:rPr>
        <w:footnoteReference w:id="7"/>
      </w:r>
      <w:r w:rsidR="003079C1" w:rsidRPr="00472C9F">
        <w:rPr>
          <w:rFonts w:ascii="Calibri" w:hAnsi="Calibri" w:cs="Calibri"/>
          <w:sz w:val="24"/>
          <w:szCs w:val="24"/>
        </w:rPr>
        <w:t xml:space="preserve"> </w:t>
      </w:r>
      <w:r w:rsidR="0079407B" w:rsidRPr="00472C9F">
        <w:rPr>
          <w:rFonts w:ascii="Calibri" w:hAnsi="Calibri" w:cs="Calibri"/>
          <w:sz w:val="24"/>
          <w:szCs w:val="24"/>
        </w:rPr>
        <w:t xml:space="preserve">and </w:t>
      </w:r>
      <w:r w:rsidR="00C10951" w:rsidRPr="00472C9F">
        <w:rPr>
          <w:rFonts w:ascii="Calibri" w:hAnsi="Calibri" w:cs="Calibri"/>
          <w:sz w:val="24"/>
          <w:szCs w:val="24"/>
        </w:rPr>
        <w:t>extensive schooling provisions for children of EU citizens.</w:t>
      </w:r>
      <w:r w:rsidR="00C10951" w:rsidRPr="00472C9F">
        <w:rPr>
          <w:rStyle w:val="FootnoteReference"/>
          <w:rFonts w:ascii="Calibri" w:hAnsi="Calibri" w:cs="Calibri"/>
          <w:sz w:val="24"/>
          <w:szCs w:val="24"/>
        </w:rPr>
        <w:footnoteReference w:id="8"/>
      </w:r>
      <w:r w:rsidR="00C10951" w:rsidRPr="00472C9F">
        <w:rPr>
          <w:rFonts w:ascii="Calibri" w:hAnsi="Calibri" w:cs="Calibri"/>
          <w:sz w:val="24"/>
          <w:szCs w:val="24"/>
        </w:rPr>
        <w:t xml:space="preserve"> </w:t>
      </w:r>
      <w:r w:rsidR="00425418" w:rsidRPr="00472C9F">
        <w:rPr>
          <w:rFonts w:ascii="Calibri" w:hAnsi="Calibri" w:cs="Calibri"/>
          <w:sz w:val="24"/>
          <w:szCs w:val="24"/>
        </w:rPr>
        <w:t>Since 2000, the EU has adopted far-reaching protections from discrimination on the basis of sexual orientation.</w:t>
      </w:r>
      <w:r w:rsidR="003079C1" w:rsidRPr="00472C9F">
        <w:rPr>
          <w:rStyle w:val="FootnoteReference"/>
          <w:rFonts w:ascii="Calibri" w:hAnsi="Calibri" w:cs="Calibri"/>
          <w:sz w:val="24"/>
          <w:szCs w:val="24"/>
        </w:rPr>
        <w:footnoteReference w:id="9"/>
      </w:r>
      <w:r w:rsidR="00425418" w:rsidRPr="00472C9F">
        <w:rPr>
          <w:rFonts w:ascii="Calibri" w:hAnsi="Calibri" w:cs="Calibri"/>
          <w:sz w:val="24"/>
          <w:szCs w:val="24"/>
        </w:rPr>
        <w:t xml:space="preserve"> </w:t>
      </w:r>
      <w:r w:rsidR="003079C1" w:rsidRPr="00472C9F">
        <w:rPr>
          <w:rFonts w:ascii="Calibri" w:hAnsi="Calibri" w:cs="Calibri"/>
          <w:sz w:val="24"/>
          <w:szCs w:val="24"/>
        </w:rPr>
        <w:t>By means of powers n</w:t>
      </w:r>
      <w:r w:rsidR="00425418" w:rsidRPr="00472C9F">
        <w:rPr>
          <w:rFonts w:ascii="Calibri" w:hAnsi="Calibri" w:cs="Calibri"/>
          <w:sz w:val="24"/>
          <w:szCs w:val="24"/>
        </w:rPr>
        <w:t>ow contained in Article 19</w:t>
      </w:r>
      <w:r w:rsidR="00A255B8">
        <w:rPr>
          <w:rFonts w:ascii="Calibri" w:hAnsi="Calibri" w:cs="Calibri"/>
          <w:sz w:val="24"/>
          <w:szCs w:val="24"/>
        </w:rPr>
        <w:t xml:space="preserve"> of the</w:t>
      </w:r>
      <w:r w:rsidR="00425418" w:rsidRPr="00472C9F">
        <w:rPr>
          <w:rFonts w:ascii="Calibri" w:hAnsi="Calibri" w:cs="Calibri"/>
          <w:sz w:val="24"/>
          <w:szCs w:val="24"/>
        </w:rPr>
        <w:t xml:space="preserve"> Treaty on the Functioning of the European Union, the EU can implement legislation</w:t>
      </w:r>
      <w:r w:rsidR="00DC55BC" w:rsidRPr="00472C9F">
        <w:rPr>
          <w:rFonts w:ascii="Calibri" w:hAnsi="Calibri" w:cs="Calibri"/>
          <w:sz w:val="24"/>
          <w:szCs w:val="24"/>
        </w:rPr>
        <w:t xml:space="preserve"> within its competencies</w:t>
      </w:r>
      <w:r w:rsidR="00425418" w:rsidRPr="00472C9F">
        <w:rPr>
          <w:rFonts w:ascii="Calibri" w:hAnsi="Calibri" w:cs="Calibri"/>
          <w:sz w:val="24"/>
          <w:szCs w:val="24"/>
        </w:rPr>
        <w:t xml:space="preserve"> to ‘combat discrimination based on sex, racial or ethnic origin, religion or belief, disability, age or sexual orientation</w:t>
      </w:r>
      <w:r w:rsidR="00C33A14" w:rsidRPr="00472C9F">
        <w:rPr>
          <w:rFonts w:ascii="Calibri" w:hAnsi="Calibri" w:cs="Calibri"/>
          <w:sz w:val="24"/>
          <w:szCs w:val="24"/>
        </w:rPr>
        <w:t>’</w:t>
      </w:r>
      <w:r w:rsidR="00425418" w:rsidRPr="00472C9F">
        <w:rPr>
          <w:rFonts w:ascii="Calibri" w:hAnsi="Calibri" w:cs="Calibri"/>
          <w:sz w:val="24"/>
          <w:szCs w:val="24"/>
        </w:rPr>
        <w:t>.</w:t>
      </w:r>
      <w:r w:rsidR="003079C1" w:rsidRPr="00472C9F">
        <w:rPr>
          <w:rStyle w:val="FootnoteReference"/>
          <w:rFonts w:ascii="Calibri" w:hAnsi="Calibri" w:cs="Calibri"/>
          <w:sz w:val="24"/>
          <w:szCs w:val="24"/>
        </w:rPr>
        <w:footnoteReference w:id="10"/>
      </w:r>
      <w:r w:rsidR="00425418" w:rsidRPr="00472C9F">
        <w:rPr>
          <w:rFonts w:ascii="Calibri" w:hAnsi="Calibri" w:cs="Calibri"/>
          <w:sz w:val="24"/>
          <w:szCs w:val="24"/>
        </w:rPr>
        <w:t xml:space="preserve"> The EU has also adopted the </w:t>
      </w:r>
      <w:bookmarkStart w:id="0" w:name="_Hlk139976247"/>
      <w:r w:rsidR="00425418" w:rsidRPr="00472C9F">
        <w:rPr>
          <w:rFonts w:ascii="Calibri" w:hAnsi="Calibri" w:cs="Calibri"/>
          <w:sz w:val="24"/>
          <w:szCs w:val="24"/>
        </w:rPr>
        <w:t>Charter of Fundamental Rights</w:t>
      </w:r>
      <w:r w:rsidR="00A12E8C">
        <w:rPr>
          <w:rFonts w:ascii="Calibri" w:hAnsi="Calibri" w:cs="Calibri"/>
          <w:sz w:val="24"/>
          <w:szCs w:val="24"/>
        </w:rPr>
        <w:t>,</w:t>
      </w:r>
      <w:r w:rsidR="00425418" w:rsidRPr="00472C9F">
        <w:rPr>
          <w:rFonts w:ascii="Calibri" w:hAnsi="Calibri" w:cs="Calibri"/>
          <w:sz w:val="24"/>
          <w:szCs w:val="24"/>
        </w:rPr>
        <w:t xml:space="preserve"> </w:t>
      </w:r>
      <w:r w:rsidR="00A12E8C">
        <w:rPr>
          <w:rFonts w:ascii="Calibri" w:hAnsi="Calibri" w:cs="Calibri"/>
          <w:sz w:val="24"/>
          <w:szCs w:val="24"/>
        </w:rPr>
        <w:t>A</w:t>
      </w:r>
      <w:r w:rsidR="00425418" w:rsidRPr="00472C9F">
        <w:rPr>
          <w:rFonts w:ascii="Calibri" w:hAnsi="Calibri" w:cs="Calibri"/>
          <w:sz w:val="24"/>
          <w:szCs w:val="24"/>
        </w:rPr>
        <w:t>rt 21</w:t>
      </w:r>
      <w:bookmarkEnd w:id="0"/>
      <w:r w:rsidR="00425418" w:rsidRPr="00472C9F">
        <w:rPr>
          <w:rFonts w:ascii="Calibri" w:hAnsi="Calibri" w:cs="Calibri"/>
          <w:sz w:val="24"/>
          <w:szCs w:val="24"/>
        </w:rPr>
        <w:t xml:space="preserve">(1) </w:t>
      </w:r>
      <w:r w:rsidR="00A12E8C">
        <w:rPr>
          <w:rFonts w:ascii="Calibri" w:hAnsi="Calibri" w:cs="Calibri"/>
          <w:sz w:val="24"/>
          <w:szCs w:val="24"/>
        </w:rPr>
        <w:t xml:space="preserve">of </w:t>
      </w:r>
      <w:r w:rsidR="00425418" w:rsidRPr="00472C9F">
        <w:rPr>
          <w:rFonts w:ascii="Calibri" w:hAnsi="Calibri" w:cs="Calibri"/>
          <w:sz w:val="24"/>
          <w:szCs w:val="24"/>
        </w:rPr>
        <w:t>which includes ‘sex</w:t>
      </w:r>
      <w:r w:rsidR="00A12E8C">
        <w:rPr>
          <w:rFonts w:ascii="Calibri" w:hAnsi="Calibri" w:cs="Calibri"/>
          <w:sz w:val="24"/>
          <w:szCs w:val="24"/>
        </w:rPr>
        <w:t>ual</w:t>
      </w:r>
      <w:r w:rsidR="00425418" w:rsidRPr="00472C9F">
        <w:rPr>
          <w:rFonts w:ascii="Calibri" w:hAnsi="Calibri" w:cs="Calibri"/>
          <w:sz w:val="24"/>
          <w:szCs w:val="24"/>
        </w:rPr>
        <w:t xml:space="preserve"> orientation’ as a protected characteristic against discrimination.</w:t>
      </w:r>
      <w:r w:rsidR="00425418" w:rsidRPr="00472C9F">
        <w:rPr>
          <w:rStyle w:val="FootnoteReference"/>
          <w:rFonts w:ascii="Calibri" w:hAnsi="Calibri" w:cs="Calibri"/>
          <w:sz w:val="24"/>
          <w:szCs w:val="24"/>
        </w:rPr>
        <w:footnoteReference w:id="11"/>
      </w:r>
      <w:r w:rsidR="00425418" w:rsidRPr="00472C9F">
        <w:rPr>
          <w:rFonts w:ascii="Calibri" w:hAnsi="Calibri" w:cs="Calibri"/>
          <w:sz w:val="24"/>
          <w:szCs w:val="24"/>
        </w:rPr>
        <w:t xml:space="preserve"> It is </w:t>
      </w:r>
      <w:r w:rsidR="00A45A9E" w:rsidRPr="00472C9F">
        <w:rPr>
          <w:rFonts w:ascii="Calibri" w:hAnsi="Calibri" w:cs="Calibri"/>
          <w:sz w:val="24"/>
          <w:szCs w:val="24"/>
        </w:rPr>
        <w:t>important</w:t>
      </w:r>
      <w:r w:rsidR="00425418" w:rsidRPr="00472C9F">
        <w:rPr>
          <w:rFonts w:ascii="Calibri" w:hAnsi="Calibri" w:cs="Calibri"/>
          <w:sz w:val="24"/>
          <w:szCs w:val="24"/>
        </w:rPr>
        <w:t xml:space="preserve"> that</w:t>
      </w:r>
      <w:r w:rsidR="002C634A" w:rsidRPr="00472C9F">
        <w:rPr>
          <w:rFonts w:ascii="Calibri" w:hAnsi="Calibri" w:cs="Calibri"/>
          <w:sz w:val="24"/>
          <w:szCs w:val="24"/>
        </w:rPr>
        <w:t xml:space="preserve"> </w:t>
      </w:r>
      <w:r w:rsidR="00FF1CBC" w:rsidRPr="00472C9F">
        <w:rPr>
          <w:rFonts w:ascii="Calibri" w:eastAsiaTheme="minorEastAsia" w:hAnsi="Calibri" w:cs="Calibri"/>
          <w:kern w:val="24"/>
          <w:sz w:val="24"/>
          <w:szCs w:val="24"/>
        </w:rPr>
        <w:t>all</w:t>
      </w:r>
      <w:r w:rsidRPr="00472C9F">
        <w:rPr>
          <w:rFonts w:ascii="Calibri" w:eastAsiaTheme="minorEastAsia" w:hAnsi="Calibri" w:cs="Calibri"/>
          <w:kern w:val="24"/>
          <w:sz w:val="24"/>
          <w:szCs w:val="24"/>
        </w:rPr>
        <w:t xml:space="preserve"> citizens</w:t>
      </w:r>
      <w:r w:rsidR="00FF1CBC" w:rsidRPr="00472C9F">
        <w:rPr>
          <w:rFonts w:ascii="Calibri" w:eastAsiaTheme="minorEastAsia" w:hAnsi="Calibri" w:cs="Calibri"/>
          <w:kern w:val="24"/>
          <w:sz w:val="24"/>
          <w:szCs w:val="24"/>
        </w:rPr>
        <w:t xml:space="preserve"> are truly included</w:t>
      </w:r>
      <w:r w:rsidRPr="00472C9F">
        <w:rPr>
          <w:rFonts w:ascii="Calibri" w:eastAsiaTheme="minorEastAsia" w:hAnsi="Calibri" w:cs="Calibri"/>
          <w:kern w:val="24"/>
          <w:sz w:val="24"/>
          <w:szCs w:val="24"/>
        </w:rPr>
        <w:t xml:space="preserve">, </w:t>
      </w:r>
      <w:r w:rsidR="00425418" w:rsidRPr="00472C9F">
        <w:rPr>
          <w:rFonts w:ascii="Calibri" w:eastAsiaTheme="minorEastAsia" w:hAnsi="Calibri" w:cs="Calibri"/>
          <w:kern w:val="24"/>
          <w:sz w:val="24"/>
          <w:szCs w:val="24"/>
        </w:rPr>
        <w:t xml:space="preserve">as otherwise </w:t>
      </w:r>
      <w:r w:rsidRPr="00472C9F">
        <w:rPr>
          <w:rFonts w:ascii="Calibri" w:eastAsiaTheme="minorEastAsia" w:hAnsi="Calibri" w:cs="Calibri"/>
          <w:kern w:val="24"/>
          <w:sz w:val="24"/>
          <w:szCs w:val="24"/>
        </w:rPr>
        <w:t xml:space="preserve">the EU will continue to suffer from a lack of </w:t>
      </w:r>
      <w:r w:rsidRPr="00472C9F">
        <w:rPr>
          <w:rFonts w:ascii="Calibri" w:eastAsiaTheme="minorEastAsia" w:hAnsi="Calibri" w:cs="Calibri"/>
          <w:i/>
          <w:iCs/>
          <w:kern w:val="24"/>
          <w:sz w:val="24"/>
          <w:szCs w:val="24"/>
        </w:rPr>
        <w:t>demos</w:t>
      </w:r>
      <w:r w:rsidR="00151FE6" w:rsidRPr="00472C9F">
        <w:rPr>
          <w:rFonts w:ascii="Calibri" w:eastAsiaTheme="minorEastAsia" w:hAnsi="Calibri" w:cs="Calibri"/>
          <w:i/>
          <w:iCs/>
          <w:kern w:val="24"/>
          <w:sz w:val="24"/>
          <w:szCs w:val="24"/>
        </w:rPr>
        <w:t>,</w:t>
      </w:r>
      <w:r w:rsidR="001E4D60" w:rsidRPr="00472C9F">
        <w:rPr>
          <w:rStyle w:val="FootnoteReference"/>
          <w:rFonts w:ascii="Calibri" w:eastAsiaTheme="minorEastAsia" w:hAnsi="Calibri" w:cs="Calibri"/>
          <w:kern w:val="24"/>
          <w:sz w:val="24"/>
          <w:szCs w:val="24"/>
        </w:rPr>
        <w:footnoteReference w:id="12"/>
      </w:r>
      <w:r w:rsidR="005852EF" w:rsidRPr="00472C9F">
        <w:rPr>
          <w:rFonts w:ascii="Calibri" w:eastAsiaTheme="minorEastAsia" w:hAnsi="Calibri" w:cs="Calibri"/>
          <w:kern w:val="24"/>
          <w:sz w:val="24"/>
          <w:szCs w:val="24"/>
        </w:rPr>
        <w:t xml:space="preserve"> </w:t>
      </w:r>
      <w:r w:rsidR="00F94750" w:rsidRPr="00472C9F">
        <w:rPr>
          <w:rFonts w:ascii="Calibri" w:eastAsiaTheme="minorEastAsia" w:hAnsi="Calibri" w:cs="Calibri"/>
          <w:kern w:val="24"/>
          <w:sz w:val="24"/>
          <w:szCs w:val="24"/>
        </w:rPr>
        <w:t>or a lack of</w:t>
      </w:r>
      <w:r w:rsidR="00017C78" w:rsidRPr="00472C9F">
        <w:rPr>
          <w:rFonts w:ascii="Calibri" w:eastAsiaTheme="minorEastAsia" w:hAnsi="Calibri" w:cs="Calibri"/>
          <w:kern w:val="24"/>
          <w:sz w:val="24"/>
          <w:szCs w:val="24"/>
        </w:rPr>
        <w:t xml:space="preserve"> </w:t>
      </w:r>
      <w:r w:rsidR="00D56EC5" w:rsidRPr="00472C9F">
        <w:rPr>
          <w:rFonts w:ascii="Calibri" w:eastAsiaTheme="minorEastAsia" w:hAnsi="Calibri" w:cs="Calibri"/>
          <w:kern w:val="24"/>
          <w:sz w:val="24"/>
          <w:szCs w:val="24"/>
        </w:rPr>
        <w:t>voluntary connection</w:t>
      </w:r>
      <w:r w:rsidR="00936CCA" w:rsidRPr="00472C9F">
        <w:rPr>
          <w:rFonts w:ascii="Calibri" w:eastAsiaTheme="minorEastAsia" w:hAnsi="Calibri" w:cs="Calibri"/>
          <w:kern w:val="24"/>
          <w:sz w:val="24"/>
          <w:szCs w:val="24"/>
        </w:rPr>
        <w:t xml:space="preserve"> by individuals</w:t>
      </w:r>
      <w:r w:rsidR="00FF1CBC" w:rsidRPr="00472C9F">
        <w:rPr>
          <w:rFonts w:ascii="Calibri" w:eastAsiaTheme="minorEastAsia" w:hAnsi="Calibri" w:cs="Calibri"/>
          <w:kern w:val="24"/>
          <w:sz w:val="24"/>
          <w:szCs w:val="24"/>
        </w:rPr>
        <w:t>.</w:t>
      </w:r>
      <w:r w:rsidR="00D56EC5" w:rsidRPr="00472C9F">
        <w:rPr>
          <w:rStyle w:val="FootnoteReference"/>
          <w:rFonts w:ascii="Calibri" w:hAnsi="Calibri" w:cs="Calibri"/>
          <w:sz w:val="24"/>
          <w:szCs w:val="24"/>
        </w:rPr>
        <w:footnoteReference w:id="13"/>
      </w:r>
      <w:r w:rsidR="00D56EC5" w:rsidRPr="00472C9F">
        <w:rPr>
          <w:rFonts w:ascii="Calibri" w:hAnsi="Calibri" w:cs="Calibri"/>
          <w:sz w:val="24"/>
          <w:szCs w:val="24"/>
        </w:rPr>
        <w:t xml:space="preserve"> </w:t>
      </w:r>
      <w:r w:rsidR="00FF1CBC" w:rsidRPr="00472C9F">
        <w:rPr>
          <w:rFonts w:ascii="Calibri" w:eastAsiaTheme="minorEastAsia" w:hAnsi="Calibri" w:cs="Calibri"/>
          <w:kern w:val="24"/>
          <w:sz w:val="24"/>
          <w:szCs w:val="24"/>
        </w:rPr>
        <w:t xml:space="preserve">A </w:t>
      </w:r>
      <w:r w:rsidR="00FF1CBC" w:rsidRPr="00472C9F">
        <w:rPr>
          <w:rFonts w:ascii="Calibri" w:eastAsiaTheme="minorEastAsia" w:hAnsi="Calibri" w:cs="Calibri"/>
          <w:i/>
          <w:iCs/>
          <w:kern w:val="24"/>
          <w:sz w:val="24"/>
          <w:szCs w:val="24"/>
        </w:rPr>
        <w:t>demos</w:t>
      </w:r>
      <w:r w:rsidR="00FF1CBC" w:rsidRPr="00472C9F">
        <w:rPr>
          <w:rFonts w:ascii="Calibri" w:eastAsiaTheme="minorEastAsia" w:hAnsi="Calibri" w:cs="Calibri"/>
          <w:kern w:val="24"/>
          <w:sz w:val="24"/>
          <w:szCs w:val="24"/>
        </w:rPr>
        <w:t xml:space="preserve"> is </w:t>
      </w:r>
      <w:r w:rsidR="00886A1E" w:rsidRPr="00472C9F">
        <w:rPr>
          <w:rFonts w:ascii="Calibri" w:eastAsiaTheme="minorEastAsia" w:hAnsi="Calibri" w:cs="Calibri"/>
          <w:kern w:val="24"/>
          <w:sz w:val="24"/>
          <w:szCs w:val="24"/>
        </w:rPr>
        <w:t>needed to ensure</w:t>
      </w:r>
      <w:r w:rsidR="00513828" w:rsidRPr="00472C9F">
        <w:rPr>
          <w:rFonts w:ascii="Calibri" w:eastAsiaTheme="minorEastAsia" w:hAnsi="Calibri" w:cs="Calibri"/>
          <w:kern w:val="24"/>
          <w:sz w:val="24"/>
          <w:szCs w:val="24"/>
        </w:rPr>
        <w:t xml:space="preserve"> the </w:t>
      </w:r>
      <w:r w:rsidR="00A54767" w:rsidRPr="00472C9F">
        <w:rPr>
          <w:rFonts w:ascii="Calibri" w:eastAsiaTheme="minorEastAsia" w:hAnsi="Calibri" w:cs="Calibri"/>
          <w:kern w:val="24"/>
          <w:sz w:val="24"/>
          <w:szCs w:val="24"/>
        </w:rPr>
        <w:t>necessary ‘coherence, shared objectives, and a propensity for solidarity’ to build a common project</w:t>
      </w:r>
      <w:r w:rsidR="00E72329" w:rsidRPr="00472C9F">
        <w:rPr>
          <w:rFonts w:ascii="Calibri" w:eastAsiaTheme="minorEastAsia" w:hAnsi="Calibri" w:cs="Calibri"/>
          <w:kern w:val="24"/>
          <w:sz w:val="24"/>
          <w:szCs w:val="24"/>
        </w:rPr>
        <w:t xml:space="preserve"> such as the EU</w:t>
      </w:r>
      <w:r w:rsidR="00A54767" w:rsidRPr="00472C9F">
        <w:rPr>
          <w:rFonts w:ascii="Calibri" w:eastAsiaTheme="minorEastAsia" w:hAnsi="Calibri" w:cs="Calibri"/>
          <w:kern w:val="24"/>
          <w:sz w:val="24"/>
          <w:szCs w:val="24"/>
        </w:rPr>
        <w:t>.</w:t>
      </w:r>
      <w:r w:rsidR="00A54767" w:rsidRPr="00472C9F">
        <w:rPr>
          <w:rStyle w:val="FootnoteReference"/>
          <w:rFonts w:ascii="Calibri" w:hAnsi="Calibri" w:cs="Calibri"/>
          <w:sz w:val="24"/>
          <w:szCs w:val="24"/>
        </w:rPr>
        <w:t xml:space="preserve"> </w:t>
      </w:r>
      <w:r w:rsidR="00A54767" w:rsidRPr="00472C9F">
        <w:rPr>
          <w:rStyle w:val="FootnoteReference"/>
          <w:rFonts w:ascii="Calibri" w:hAnsi="Calibri" w:cs="Calibri"/>
          <w:sz w:val="24"/>
          <w:szCs w:val="24"/>
        </w:rPr>
        <w:footnoteReference w:id="14"/>
      </w:r>
      <w:r w:rsidR="00A54767" w:rsidRPr="00472C9F">
        <w:rPr>
          <w:rFonts w:ascii="Calibri" w:hAnsi="Calibri" w:cs="Calibri"/>
          <w:sz w:val="24"/>
          <w:szCs w:val="24"/>
        </w:rPr>
        <w:t xml:space="preserve"> </w:t>
      </w:r>
      <w:r w:rsidR="007018EA" w:rsidRPr="00472C9F">
        <w:rPr>
          <w:rFonts w:ascii="Calibri" w:eastAsiaTheme="minorEastAsia" w:hAnsi="Calibri" w:cs="Calibri"/>
          <w:kern w:val="24"/>
          <w:sz w:val="24"/>
          <w:szCs w:val="24"/>
        </w:rPr>
        <w:t>As Weiler explains</w:t>
      </w:r>
      <w:r w:rsidR="00392F5D" w:rsidRPr="00472C9F">
        <w:rPr>
          <w:rFonts w:ascii="Calibri" w:hAnsi="Calibri" w:cs="Calibri"/>
          <w:sz w:val="24"/>
          <w:szCs w:val="24"/>
        </w:rPr>
        <w:t xml:space="preserve"> </w:t>
      </w:r>
      <w:r w:rsidR="002E4DDD" w:rsidRPr="00472C9F">
        <w:rPr>
          <w:rFonts w:ascii="Calibri" w:hAnsi="Calibri" w:cs="Calibri"/>
          <w:sz w:val="24"/>
          <w:szCs w:val="24"/>
        </w:rPr>
        <w:t>‘[</w:t>
      </w:r>
      <w:proofErr w:type="spellStart"/>
      <w:r w:rsidR="002E4DDD" w:rsidRPr="00472C9F">
        <w:rPr>
          <w:rFonts w:ascii="Calibri" w:hAnsi="Calibri" w:cs="Calibri"/>
          <w:sz w:val="24"/>
          <w:szCs w:val="24"/>
        </w:rPr>
        <w:t>i</w:t>
      </w:r>
      <w:proofErr w:type="spellEnd"/>
      <w:r w:rsidR="002E4DDD" w:rsidRPr="00472C9F">
        <w:rPr>
          <w:rFonts w:ascii="Calibri" w:hAnsi="Calibri" w:cs="Calibri"/>
          <w:sz w:val="24"/>
          <w:szCs w:val="24"/>
        </w:rPr>
        <w:t>]</w:t>
      </w:r>
      <w:r w:rsidR="00392F5D" w:rsidRPr="00472C9F">
        <w:rPr>
          <w:rFonts w:ascii="Calibri" w:hAnsi="Calibri" w:cs="Calibri"/>
          <w:sz w:val="24"/>
          <w:szCs w:val="24"/>
        </w:rPr>
        <w:t>f there is no demos, there can be no democracy</w:t>
      </w:r>
      <w:r w:rsidR="003E3F0D" w:rsidRPr="00472C9F">
        <w:rPr>
          <w:rFonts w:ascii="Calibri" w:hAnsi="Calibri" w:cs="Calibri"/>
          <w:sz w:val="24"/>
          <w:szCs w:val="24"/>
        </w:rPr>
        <w:t>’.</w:t>
      </w:r>
      <w:r w:rsidR="00425418" w:rsidRPr="00472C9F">
        <w:rPr>
          <w:rStyle w:val="FootnoteReference"/>
          <w:rFonts w:ascii="Calibri" w:hAnsi="Calibri" w:cs="Calibri"/>
          <w:sz w:val="24"/>
          <w:szCs w:val="24"/>
        </w:rPr>
        <w:footnoteReference w:id="15"/>
      </w:r>
      <w:r w:rsidR="00392F5D" w:rsidRPr="00472C9F">
        <w:rPr>
          <w:rFonts w:ascii="Calibri" w:hAnsi="Calibri" w:cs="Calibri"/>
          <w:sz w:val="24"/>
          <w:szCs w:val="24"/>
        </w:rPr>
        <w:t xml:space="preserve"> </w:t>
      </w:r>
    </w:p>
    <w:p w14:paraId="7071A44D" w14:textId="77777777" w:rsidR="00F36307" w:rsidRPr="00472C9F" w:rsidRDefault="00F36307" w:rsidP="0059780E">
      <w:pPr>
        <w:spacing w:after="0" w:line="360" w:lineRule="auto"/>
        <w:jc w:val="both"/>
        <w:textAlignment w:val="baseline"/>
        <w:rPr>
          <w:rFonts w:ascii="Calibri" w:hAnsi="Calibri" w:cs="Calibri"/>
          <w:sz w:val="24"/>
          <w:szCs w:val="24"/>
        </w:rPr>
      </w:pPr>
    </w:p>
    <w:p w14:paraId="641879D6" w14:textId="1080C5B2" w:rsidR="00F36307" w:rsidRPr="00472C9F" w:rsidRDefault="00A61314" w:rsidP="0059780E">
      <w:pPr>
        <w:spacing w:after="0" w:line="360" w:lineRule="auto"/>
        <w:jc w:val="both"/>
        <w:textAlignment w:val="baseline"/>
        <w:rPr>
          <w:rFonts w:ascii="Calibri" w:eastAsia="Times New Roman" w:hAnsi="Calibri" w:cs="Calibri"/>
          <w:color w:val="000000"/>
          <w:sz w:val="24"/>
          <w:szCs w:val="24"/>
          <w:lang w:eastAsia="en-GB"/>
        </w:rPr>
      </w:pPr>
      <w:r w:rsidRPr="00472C9F">
        <w:rPr>
          <w:rFonts w:ascii="Calibri" w:hAnsi="Calibri" w:cs="Calibri"/>
          <w:sz w:val="24"/>
          <w:szCs w:val="24"/>
        </w:rPr>
        <w:t xml:space="preserve">Some authors have argued that the EU is pro-feminist and lesbian and gay inclusive, portraying </w:t>
      </w:r>
      <w:r w:rsidR="00782F47" w:rsidRPr="00472C9F">
        <w:rPr>
          <w:rFonts w:ascii="Calibri" w:hAnsi="Calibri" w:cs="Calibri"/>
          <w:sz w:val="24"/>
          <w:szCs w:val="24"/>
        </w:rPr>
        <w:t>it</w:t>
      </w:r>
      <w:r w:rsidRPr="00472C9F">
        <w:rPr>
          <w:rFonts w:ascii="Calibri" w:hAnsi="Calibri" w:cs="Calibri"/>
          <w:sz w:val="24"/>
          <w:szCs w:val="24"/>
        </w:rPr>
        <w:t xml:space="preserve"> as the ‘most progressive gender regime in the world’</w:t>
      </w:r>
      <w:r w:rsidRPr="00472C9F">
        <w:rPr>
          <w:rStyle w:val="FootnoteReference"/>
          <w:rFonts w:ascii="Calibri" w:hAnsi="Calibri" w:cs="Calibri"/>
          <w:sz w:val="24"/>
          <w:szCs w:val="24"/>
        </w:rPr>
        <w:footnoteReference w:id="16"/>
      </w:r>
      <w:r w:rsidRPr="00472C9F">
        <w:rPr>
          <w:rFonts w:ascii="Calibri" w:hAnsi="Calibri" w:cs="Calibri"/>
          <w:sz w:val="24"/>
          <w:szCs w:val="24"/>
        </w:rPr>
        <w:t xml:space="preserve"> and </w:t>
      </w:r>
      <w:r w:rsidRPr="00472C9F">
        <w:rPr>
          <w:rFonts w:ascii="Calibri" w:eastAsia="Times New Roman" w:hAnsi="Calibri" w:cs="Calibri"/>
          <w:color w:val="000000"/>
          <w:sz w:val="24"/>
          <w:szCs w:val="24"/>
          <w:lang w:eastAsia="en-GB"/>
        </w:rPr>
        <w:t xml:space="preserve">connecting EU </w:t>
      </w:r>
      <w:r w:rsidRPr="00472C9F">
        <w:rPr>
          <w:rFonts w:ascii="Calibri" w:eastAsia="Times New Roman" w:hAnsi="Calibri" w:cs="Calibri"/>
          <w:color w:val="000000"/>
          <w:sz w:val="24"/>
          <w:szCs w:val="24"/>
          <w:lang w:eastAsia="en-GB"/>
        </w:rPr>
        <w:lastRenderedPageBreak/>
        <w:t>citizenship with support for gender equality</w:t>
      </w:r>
      <w:r w:rsidRPr="00472C9F">
        <w:rPr>
          <w:rFonts w:ascii="Calibri" w:hAnsi="Calibri" w:cs="Calibri"/>
          <w:sz w:val="24"/>
          <w:szCs w:val="24"/>
        </w:rPr>
        <w:t>.</w:t>
      </w:r>
      <w:r w:rsidRPr="00472C9F">
        <w:rPr>
          <w:rStyle w:val="FootnoteReference"/>
          <w:rFonts w:ascii="Calibri" w:hAnsi="Calibri" w:cs="Calibri"/>
          <w:sz w:val="24"/>
          <w:szCs w:val="24"/>
        </w:rPr>
        <w:footnoteReference w:id="17"/>
      </w:r>
      <w:r w:rsidRPr="00472C9F">
        <w:rPr>
          <w:rFonts w:ascii="Calibri" w:eastAsia="Times New Roman" w:hAnsi="Calibri" w:cs="Calibri"/>
          <w:color w:val="000000"/>
          <w:sz w:val="24"/>
          <w:szCs w:val="24"/>
          <w:lang w:eastAsia="en-GB"/>
        </w:rPr>
        <w:t xml:space="preserve"> These arguments came to the fore </w:t>
      </w:r>
      <w:r w:rsidR="00236201" w:rsidRPr="00472C9F">
        <w:rPr>
          <w:rFonts w:ascii="Calibri" w:eastAsia="Times New Roman" w:hAnsi="Calibri" w:cs="Calibri"/>
          <w:color w:val="000000"/>
          <w:sz w:val="24"/>
          <w:szCs w:val="24"/>
          <w:lang w:eastAsia="en-GB"/>
        </w:rPr>
        <w:t>i</w:t>
      </w:r>
      <w:r w:rsidR="003079C1" w:rsidRPr="00472C9F">
        <w:rPr>
          <w:rFonts w:ascii="Calibri" w:eastAsia="Times New Roman" w:hAnsi="Calibri" w:cs="Calibri"/>
          <w:color w:val="000000"/>
          <w:sz w:val="24"/>
          <w:szCs w:val="24"/>
          <w:lang w:eastAsia="en-GB"/>
        </w:rPr>
        <w:t xml:space="preserve">n the aftermath of </w:t>
      </w:r>
      <w:r w:rsidR="003079C1" w:rsidRPr="00472C9F">
        <w:rPr>
          <w:rFonts w:ascii="Calibri" w:hAnsi="Calibri" w:cs="Calibri"/>
          <w:sz w:val="24"/>
          <w:szCs w:val="24"/>
        </w:rPr>
        <w:t>Brexit</w:t>
      </w:r>
      <w:r w:rsidR="004B5B57" w:rsidRPr="00472C9F">
        <w:rPr>
          <w:rFonts w:ascii="Calibri" w:hAnsi="Calibri" w:cs="Calibri"/>
          <w:sz w:val="24"/>
          <w:szCs w:val="24"/>
        </w:rPr>
        <w:t xml:space="preserve"> (</w:t>
      </w:r>
      <w:r w:rsidR="003079C1" w:rsidRPr="00472C9F">
        <w:rPr>
          <w:rFonts w:ascii="Calibri" w:hAnsi="Calibri" w:cs="Calibri"/>
          <w:sz w:val="24"/>
          <w:szCs w:val="24"/>
        </w:rPr>
        <w:t>the process whereby</w:t>
      </w:r>
      <w:r w:rsidR="00BE22C4" w:rsidRPr="00472C9F">
        <w:rPr>
          <w:rFonts w:ascii="Calibri" w:hAnsi="Calibri" w:cs="Calibri"/>
          <w:sz w:val="24"/>
          <w:szCs w:val="24"/>
        </w:rPr>
        <w:t>,</w:t>
      </w:r>
      <w:r w:rsidR="003079C1" w:rsidRPr="00472C9F">
        <w:rPr>
          <w:rFonts w:ascii="Calibri" w:hAnsi="Calibri" w:cs="Calibri"/>
          <w:sz w:val="24"/>
          <w:szCs w:val="24"/>
        </w:rPr>
        <w:t xml:space="preserve"> following a referendum in 2016, the UK withdrew from the </w:t>
      </w:r>
      <w:r w:rsidR="002106EF" w:rsidRPr="00472C9F">
        <w:rPr>
          <w:rFonts w:ascii="Calibri" w:hAnsi="Calibri" w:cs="Calibri"/>
          <w:sz w:val="24"/>
          <w:szCs w:val="24"/>
        </w:rPr>
        <w:t>EU</w:t>
      </w:r>
      <w:r w:rsidR="003079C1" w:rsidRPr="00472C9F">
        <w:rPr>
          <w:rFonts w:ascii="Calibri" w:hAnsi="Calibri" w:cs="Calibri"/>
          <w:sz w:val="24"/>
          <w:szCs w:val="24"/>
        </w:rPr>
        <w:t xml:space="preserve"> on 31 December 2020</w:t>
      </w:r>
      <w:r w:rsidR="004B5B57" w:rsidRPr="00472C9F">
        <w:rPr>
          <w:rFonts w:ascii="Calibri" w:hAnsi="Calibri" w:cs="Calibri"/>
          <w:sz w:val="24"/>
          <w:szCs w:val="24"/>
        </w:rPr>
        <w:t>)</w:t>
      </w:r>
      <w:r w:rsidR="00236201" w:rsidRPr="00472C9F">
        <w:rPr>
          <w:rFonts w:ascii="Calibri" w:hAnsi="Calibri" w:cs="Calibri"/>
          <w:sz w:val="24"/>
          <w:szCs w:val="24"/>
        </w:rPr>
        <w:t>.</w:t>
      </w:r>
      <w:r w:rsidR="004B5B57" w:rsidRPr="00472C9F">
        <w:rPr>
          <w:rFonts w:ascii="Calibri" w:hAnsi="Calibri" w:cs="Calibri"/>
          <w:sz w:val="24"/>
          <w:szCs w:val="24"/>
        </w:rPr>
        <w:t xml:space="preserve"> </w:t>
      </w:r>
      <w:r w:rsidR="00BC1623" w:rsidRPr="00472C9F">
        <w:rPr>
          <w:rFonts w:ascii="Calibri" w:hAnsi="Calibri" w:cs="Calibri"/>
          <w:sz w:val="24"/>
          <w:szCs w:val="24"/>
        </w:rPr>
        <w:t>R</w:t>
      </w:r>
      <w:r w:rsidR="004B5B57" w:rsidRPr="00472C9F">
        <w:rPr>
          <w:rFonts w:ascii="Calibri" w:hAnsi="Calibri" w:cs="Calibri"/>
          <w:sz w:val="24"/>
          <w:szCs w:val="24"/>
        </w:rPr>
        <w:t>e</w:t>
      </w:r>
      <w:r w:rsidR="004F1D94" w:rsidRPr="00472C9F">
        <w:rPr>
          <w:rFonts w:ascii="Calibri" w:hAnsi="Calibri" w:cs="Calibri"/>
          <w:sz w:val="24"/>
          <w:szCs w:val="24"/>
        </w:rPr>
        <w:t>searchers</w:t>
      </w:r>
      <w:r w:rsidR="004A79A6" w:rsidRPr="00472C9F">
        <w:rPr>
          <w:rFonts w:ascii="Calibri" w:hAnsi="Calibri" w:cs="Calibri"/>
          <w:sz w:val="24"/>
          <w:szCs w:val="24"/>
        </w:rPr>
        <w:t xml:space="preserve"> analysed Leave campaigns </w:t>
      </w:r>
      <w:r w:rsidR="00417CCB" w:rsidRPr="00472C9F">
        <w:rPr>
          <w:rFonts w:ascii="Calibri" w:hAnsi="Calibri" w:cs="Calibri"/>
          <w:sz w:val="24"/>
          <w:szCs w:val="24"/>
        </w:rPr>
        <w:t>and ‘established the presence of hegemonic masculinity</w:t>
      </w:r>
      <w:r w:rsidR="00EA0986" w:rsidRPr="00472C9F">
        <w:rPr>
          <w:rFonts w:ascii="Calibri" w:hAnsi="Calibri" w:cs="Calibri"/>
          <w:sz w:val="24"/>
          <w:szCs w:val="24"/>
        </w:rPr>
        <w:t>’</w:t>
      </w:r>
      <w:r w:rsidR="00F64CD0" w:rsidRPr="00472C9F">
        <w:rPr>
          <w:rFonts w:ascii="Calibri" w:hAnsi="Calibri" w:cs="Calibri"/>
          <w:sz w:val="24"/>
          <w:szCs w:val="24"/>
        </w:rPr>
        <w:t>,</w:t>
      </w:r>
      <w:r w:rsidR="00EA0986" w:rsidRPr="00472C9F">
        <w:rPr>
          <w:rStyle w:val="FootnoteReference"/>
          <w:rFonts w:ascii="Calibri" w:hAnsi="Calibri" w:cs="Calibri"/>
          <w:sz w:val="24"/>
          <w:szCs w:val="24"/>
        </w:rPr>
        <w:footnoteReference w:id="18"/>
      </w:r>
      <w:r w:rsidR="00236FD8" w:rsidRPr="00472C9F">
        <w:rPr>
          <w:rFonts w:ascii="Calibri" w:hAnsi="Calibri" w:cs="Calibri"/>
          <w:sz w:val="24"/>
          <w:szCs w:val="24"/>
        </w:rPr>
        <w:t xml:space="preserve"> </w:t>
      </w:r>
      <w:r w:rsidR="00F64CD0" w:rsidRPr="00472C9F">
        <w:rPr>
          <w:rFonts w:ascii="Calibri" w:hAnsi="Calibri" w:cs="Calibri"/>
          <w:sz w:val="24"/>
          <w:szCs w:val="24"/>
        </w:rPr>
        <w:t xml:space="preserve">here understood by the definition provided by </w:t>
      </w:r>
      <w:r w:rsidR="00236FD8" w:rsidRPr="00472C9F">
        <w:rPr>
          <w:rFonts w:ascii="Calibri" w:hAnsi="Calibri" w:cs="Calibri"/>
          <w:sz w:val="24"/>
          <w:szCs w:val="24"/>
        </w:rPr>
        <w:t>Raewyn</w:t>
      </w:r>
      <w:r w:rsidR="00836CCD" w:rsidRPr="00472C9F">
        <w:rPr>
          <w:rFonts w:ascii="Calibri" w:hAnsi="Calibri" w:cs="Calibri"/>
          <w:sz w:val="24"/>
          <w:szCs w:val="24"/>
        </w:rPr>
        <w:t xml:space="preserve"> Connell </w:t>
      </w:r>
      <w:r w:rsidR="0014326A" w:rsidRPr="00472C9F">
        <w:rPr>
          <w:rFonts w:ascii="Calibri" w:hAnsi="Calibri" w:cs="Calibri"/>
          <w:sz w:val="24"/>
          <w:szCs w:val="24"/>
        </w:rPr>
        <w:t>as ‘</w:t>
      </w:r>
      <w:proofErr w:type="spellStart"/>
      <w:r w:rsidR="0014326A" w:rsidRPr="00472C9F">
        <w:rPr>
          <w:rFonts w:ascii="Calibri" w:hAnsi="Calibri" w:cs="Calibri"/>
          <w:sz w:val="24"/>
          <w:szCs w:val="24"/>
        </w:rPr>
        <w:t>embod</w:t>
      </w:r>
      <w:proofErr w:type="spellEnd"/>
      <w:r w:rsidR="0014326A" w:rsidRPr="00472C9F">
        <w:rPr>
          <w:rFonts w:ascii="Calibri" w:hAnsi="Calibri" w:cs="Calibri"/>
          <w:sz w:val="24"/>
          <w:szCs w:val="24"/>
        </w:rPr>
        <w:t>[ying] the currently most respected/honoured way of what it means to</w:t>
      </w:r>
      <w:r w:rsidR="00C35874" w:rsidRPr="00472C9F">
        <w:rPr>
          <w:rFonts w:ascii="Calibri" w:hAnsi="Calibri" w:cs="Calibri"/>
          <w:sz w:val="24"/>
          <w:szCs w:val="24"/>
        </w:rPr>
        <w:t xml:space="preserve"> </w:t>
      </w:r>
      <w:r w:rsidR="0014326A" w:rsidRPr="00472C9F">
        <w:rPr>
          <w:rFonts w:ascii="Calibri" w:hAnsi="Calibri" w:cs="Calibri"/>
          <w:sz w:val="24"/>
          <w:szCs w:val="24"/>
        </w:rPr>
        <w:t>be a man’ and central to upholding the patriarchal order</w:t>
      </w:r>
      <w:r w:rsidR="00002382" w:rsidRPr="00472C9F">
        <w:rPr>
          <w:rFonts w:ascii="Calibri" w:hAnsi="Calibri" w:cs="Calibri"/>
          <w:sz w:val="24"/>
          <w:szCs w:val="24"/>
        </w:rPr>
        <w:t>.</w:t>
      </w:r>
      <w:r w:rsidR="00C35874" w:rsidRPr="00472C9F">
        <w:rPr>
          <w:rStyle w:val="FootnoteReference"/>
          <w:rFonts w:ascii="Calibri" w:hAnsi="Calibri" w:cs="Calibri"/>
          <w:sz w:val="24"/>
          <w:szCs w:val="24"/>
        </w:rPr>
        <w:footnoteReference w:id="19"/>
      </w:r>
      <w:r w:rsidR="0014326A" w:rsidRPr="00472C9F">
        <w:rPr>
          <w:rFonts w:ascii="Calibri" w:hAnsi="Calibri" w:cs="Calibri"/>
          <w:sz w:val="24"/>
          <w:szCs w:val="24"/>
        </w:rPr>
        <w:t xml:space="preserve"> </w:t>
      </w:r>
      <w:r w:rsidR="003919A2" w:rsidRPr="00472C9F">
        <w:rPr>
          <w:rFonts w:ascii="Calibri" w:hAnsi="Calibri" w:cs="Calibri"/>
          <w:sz w:val="24"/>
          <w:szCs w:val="24"/>
        </w:rPr>
        <w:t>More s</w:t>
      </w:r>
      <w:r w:rsidR="00F74785" w:rsidRPr="00472C9F">
        <w:rPr>
          <w:rFonts w:ascii="Calibri" w:hAnsi="Calibri" w:cs="Calibri"/>
          <w:sz w:val="24"/>
          <w:szCs w:val="24"/>
        </w:rPr>
        <w:t>pecifically Galpin explains that Brexit Leave campaigns</w:t>
      </w:r>
      <w:r w:rsidR="00835690" w:rsidRPr="00472C9F">
        <w:rPr>
          <w:rFonts w:ascii="Calibri" w:hAnsi="Calibri" w:cs="Calibri"/>
          <w:sz w:val="24"/>
          <w:szCs w:val="24"/>
        </w:rPr>
        <w:t>, as exemplified by arch Brexiteer Jacob Rees-Mogg,</w:t>
      </w:r>
      <w:r w:rsidR="00F74785" w:rsidRPr="00472C9F">
        <w:rPr>
          <w:rFonts w:ascii="Calibri" w:hAnsi="Calibri" w:cs="Calibri"/>
          <w:sz w:val="24"/>
          <w:szCs w:val="24"/>
        </w:rPr>
        <w:t xml:space="preserve"> </w:t>
      </w:r>
      <w:r w:rsidR="00B64089" w:rsidRPr="00472C9F">
        <w:rPr>
          <w:rFonts w:ascii="Calibri" w:hAnsi="Calibri" w:cs="Calibri"/>
          <w:sz w:val="24"/>
          <w:szCs w:val="24"/>
        </w:rPr>
        <w:t xml:space="preserve">chose to concentrate upon </w:t>
      </w:r>
      <w:r w:rsidR="00E3058E" w:rsidRPr="00472C9F">
        <w:rPr>
          <w:rFonts w:ascii="Calibri" w:hAnsi="Calibri" w:cs="Calibri"/>
          <w:sz w:val="24"/>
          <w:szCs w:val="24"/>
        </w:rPr>
        <w:t xml:space="preserve"> </w:t>
      </w:r>
      <w:r w:rsidR="0008457C" w:rsidRPr="00472C9F">
        <w:rPr>
          <w:rFonts w:ascii="Calibri" w:hAnsi="Calibri" w:cs="Calibri"/>
          <w:sz w:val="24"/>
          <w:szCs w:val="24"/>
        </w:rPr>
        <w:t>‘</w:t>
      </w:r>
      <w:r w:rsidR="00E3058E" w:rsidRPr="00472C9F">
        <w:rPr>
          <w:rFonts w:ascii="Calibri" w:hAnsi="Calibri" w:cs="Calibri"/>
          <w:sz w:val="24"/>
          <w:szCs w:val="24"/>
        </w:rPr>
        <w:t>acceptable notions of the white</w:t>
      </w:r>
      <w:r w:rsidR="002D5EF4" w:rsidRPr="00472C9F">
        <w:rPr>
          <w:rFonts w:ascii="Calibri" w:hAnsi="Calibri" w:cs="Calibri"/>
          <w:sz w:val="24"/>
          <w:szCs w:val="24"/>
        </w:rPr>
        <w:t xml:space="preserve"> </w:t>
      </w:r>
      <w:r w:rsidR="001A06F0">
        <w:rPr>
          <w:rFonts w:ascii="Calibri" w:hAnsi="Calibri" w:cs="Calibri"/>
          <w:sz w:val="24"/>
          <w:szCs w:val="24"/>
        </w:rPr>
        <w:t>“</w:t>
      </w:r>
      <w:r w:rsidR="00E3058E" w:rsidRPr="00472C9F">
        <w:rPr>
          <w:rFonts w:ascii="Calibri" w:hAnsi="Calibri" w:cs="Calibri"/>
          <w:sz w:val="24"/>
          <w:szCs w:val="24"/>
        </w:rPr>
        <w:t>masculine</w:t>
      </w:r>
      <w:r w:rsidR="001A06F0">
        <w:rPr>
          <w:rFonts w:ascii="Calibri" w:hAnsi="Calibri" w:cs="Calibri"/>
          <w:sz w:val="24"/>
          <w:szCs w:val="24"/>
        </w:rPr>
        <w:t>”</w:t>
      </w:r>
      <w:r w:rsidR="00E3058E" w:rsidRPr="00472C9F">
        <w:rPr>
          <w:rFonts w:ascii="Calibri" w:hAnsi="Calibri" w:cs="Calibri"/>
          <w:sz w:val="24"/>
          <w:szCs w:val="24"/>
        </w:rPr>
        <w:t xml:space="preserve"> citizen – rational, individualist, aggressive</w:t>
      </w:r>
      <w:r w:rsidR="00B64089" w:rsidRPr="00472C9F">
        <w:rPr>
          <w:rFonts w:ascii="Calibri" w:hAnsi="Calibri" w:cs="Calibri"/>
          <w:sz w:val="24"/>
          <w:szCs w:val="24"/>
        </w:rPr>
        <w:t xml:space="preserve">’ and </w:t>
      </w:r>
      <w:r w:rsidR="00E3058E" w:rsidRPr="00472C9F">
        <w:rPr>
          <w:rFonts w:ascii="Calibri" w:hAnsi="Calibri" w:cs="Calibri"/>
          <w:sz w:val="24"/>
          <w:szCs w:val="24"/>
        </w:rPr>
        <w:t xml:space="preserve"> </w:t>
      </w:r>
      <w:r w:rsidR="00B64089" w:rsidRPr="00472C9F">
        <w:rPr>
          <w:rFonts w:ascii="Calibri" w:hAnsi="Calibri" w:cs="Calibri"/>
          <w:sz w:val="24"/>
          <w:szCs w:val="24"/>
        </w:rPr>
        <w:t>‘</w:t>
      </w:r>
      <w:r w:rsidR="00E3058E" w:rsidRPr="00472C9F">
        <w:rPr>
          <w:rFonts w:ascii="Calibri" w:hAnsi="Calibri" w:cs="Calibri"/>
          <w:sz w:val="24"/>
          <w:szCs w:val="24"/>
        </w:rPr>
        <w:t>focused primarily</w:t>
      </w:r>
      <w:r w:rsidR="00B64089" w:rsidRPr="00472C9F">
        <w:rPr>
          <w:rFonts w:ascii="Calibri" w:hAnsi="Calibri" w:cs="Calibri"/>
          <w:sz w:val="24"/>
          <w:szCs w:val="24"/>
        </w:rPr>
        <w:t xml:space="preserve"> </w:t>
      </w:r>
      <w:r w:rsidR="00E3058E" w:rsidRPr="00472C9F">
        <w:rPr>
          <w:rFonts w:ascii="Calibri" w:hAnsi="Calibri" w:cs="Calibri"/>
          <w:sz w:val="24"/>
          <w:szCs w:val="24"/>
        </w:rPr>
        <w:t xml:space="preserve">on issues of </w:t>
      </w:r>
      <w:r w:rsidR="008266B6">
        <w:rPr>
          <w:rFonts w:ascii="Calibri" w:hAnsi="Calibri" w:cs="Calibri"/>
          <w:sz w:val="24"/>
          <w:szCs w:val="24"/>
        </w:rPr>
        <w:t>“</w:t>
      </w:r>
      <w:r w:rsidR="00E3058E" w:rsidRPr="00472C9F">
        <w:rPr>
          <w:rFonts w:ascii="Calibri" w:hAnsi="Calibri" w:cs="Calibri"/>
          <w:sz w:val="24"/>
          <w:szCs w:val="24"/>
        </w:rPr>
        <w:t>high politics</w:t>
      </w:r>
      <w:r w:rsidR="008266B6">
        <w:rPr>
          <w:rFonts w:ascii="Calibri" w:hAnsi="Calibri" w:cs="Calibri"/>
          <w:sz w:val="24"/>
          <w:szCs w:val="24"/>
        </w:rPr>
        <w:t>”</w:t>
      </w:r>
      <w:r w:rsidR="00E3058E" w:rsidRPr="00472C9F">
        <w:rPr>
          <w:rFonts w:ascii="Calibri" w:hAnsi="Calibri" w:cs="Calibri"/>
          <w:sz w:val="24"/>
          <w:szCs w:val="24"/>
        </w:rPr>
        <w:t xml:space="preserve"> – security, economy and immigration</w:t>
      </w:r>
      <w:r w:rsidR="008266B6">
        <w:rPr>
          <w:rFonts w:ascii="Calibri" w:hAnsi="Calibri" w:cs="Calibri"/>
          <w:sz w:val="24"/>
          <w:szCs w:val="24"/>
        </w:rPr>
        <w:t>’</w:t>
      </w:r>
      <w:r w:rsidR="00591514" w:rsidRPr="00472C9F">
        <w:rPr>
          <w:rFonts w:ascii="Calibri" w:hAnsi="Calibri" w:cs="Calibri"/>
          <w:sz w:val="24"/>
          <w:szCs w:val="24"/>
        </w:rPr>
        <w:t>.</w:t>
      </w:r>
      <w:r w:rsidR="0008457C" w:rsidRPr="00472C9F">
        <w:rPr>
          <w:rStyle w:val="FootnoteReference"/>
          <w:rFonts w:ascii="Calibri" w:hAnsi="Calibri" w:cs="Calibri"/>
          <w:sz w:val="24"/>
          <w:szCs w:val="24"/>
        </w:rPr>
        <w:footnoteReference w:id="20"/>
      </w:r>
      <w:r w:rsidR="008023A5" w:rsidRPr="00472C9F">
        <w:rPr>
          <w:rFonts w:ascii="Calibri" w:hAnsi="Calibri" w:cs="Calibri"/>
          <w:sz w:val="24"/>
          <w:szCs w:val="24"/>
        </w:rPr>
        <w:t xml:space="preserve"> Pro EU activists </w:t>
      </w:r>
      <w:r w:rsidR="00760FB9" w:rsidRPr="00472C9F">
        <w:rPr>
          <w:rFonts w:ascii="Calibri" w:hAnsi="Calibri" w:cs="Calibri"/>
          <w:sz w:val="24"/>
          <w:szCs w:val="24"/>
        </w:rPr>
        <w:t>considered that ‘voting leave … was associated with opposition to feminism, social liberalism, and LGBT rights’.</w:t>
      </w:r>
      <w:r w:rsidR="00760FB9" w:rsidRPr="00472C9F">
        <w:rPr>
          <w:rStyle w:val="FootnoteReference"/>
          <w:rFonts w:ascii="Calibri" w:hAnsi="Calibri" w:cs="Calibri"/>
          <w:sz w:val="24"/>
          <w:szCs w:val="24"/>
        </w:rPr>
        <w:footnoteReference w:id="21"/>
      </w:r>
      <w:r w:rsidR="00760FB9" w:rsidRPr="00472C9F">
        <w:rPr>
          <w:rFonts w:ascii="Calibri" w:hAnsi="Calibri" w:cs="Calibri"/>
          <w:sz w:val="24"/>
          <w:szCs w:val="24"/>
        </w:rPr>
        <w:t xml:space="preserve"> </w:t>
      </w:r>
      <w:r w:rsidR="00570D63" w:rsidRPr="00472C9F">
        <w:rPr>
          <w:rFonts w:ascii="Calibri" w:hAnsi="Calibri" w:cs="Calibri"/>
          <w:sz w:val="24"/>
          <w:szCs w:val="24"/>
        </w:rPr>
        <w:t>T</w:t>
      </w:r>
      <w:r w:rsidR="00760FB9" w:rsidRPr="00472C9F">
        <w:rPr>
          <w:rFonts w:ascii="Calibri" w:hAnsi="Calibri" w:cs="Calibri"/>
          <w:sz w:val="24"/>
          <w:szCs w:val="24"/>
        </w:rPr>
        <w:t>he debate and discourse around Brexit, commentators concluded, therefore ‘bolster[ed] gendered hierarchies’ and resulted in excluding ‘other’ groups, such as women and lesbians and gays, from participating effectively in the debate.</w:t>
      </w:r>
      <w:r w:rsidR="00760FB9" w:rsidRPr="00472C9F">
        <w:rPr>
          <w:rStyle w:val="FootnoteReference"/>
          <w:rFonts w:ascii="Calibri" w:hAnsi="Calibri" w:cs="Calibri"/>
          <w:sz w:val="24"/>
          <w:szCs w:val="24"/>
        </w:rPr>
        <w:t xml:space="preserve"> </w:t>
      </w:r>
      <w:r w:rsidR="00760FB9" w:rsidRPr="00472C9F">
        <w:rPr>
          <w:rStyle w:val="FootnoteReference"/>
          <w:rFonts w:ascii="Calibri" w:hAnsi="Calibri" w:cs="Calibri"/>
          <w:sz w:val="24"/>
          <w:szCs w:val="24"/>
        </w:rPr>
        <w:footnoteReference w:id="22"/>
      </w:r>
      <w:r w:rsidR="00760FB9" w:rsidRPr="00472C9F">
        <w:rPr>
          <w:rFonts w:ascii="Calibri" w:hAnsi="Calibri" w:cs="Calibri"/>
          <w:sz w:val="24"/>
          <w:szCs w:val="24"/>
        </w:rPr>
        <w:t xml:space="preserve"> </w:t>
      </w:r>
      <w:r w:rsidR="003C48C4" w:rsidRPr="00472C9F">
        <w:rPr>
          <w:rFonts w:ascii="Calibri" w:hAnsi="Calibri" w:cs="Calibri"/>
          <w:sz w:val="24"/>
          <w:szCs w:val="24"/>
        </w:rPr>
        <w:t>Pro-EU campaigners</w:t>
      </w:r>
      <w:r w:rsidR="00570D63" w:rsidRPr="00472C9F">
        <w:rPr>
          <w:rFonts w:ascii="Calibri" w:hAnsi="Calibri" w:cs="Calibri"/>
          <w:sz w:val="24"/>
          <w:szCs w:val="24"/>
        </w:rPr>
        <w:t xml:space="preserve"> concluded that leaving the EU was ‘ultimately worse for women’.</w:t>
      </w:r>
      <w:r w:rsidR="00570D63" w:rsidRPr="00472C9F">
        <w:rPr>
          <w:rStyle w:val="FootnoteReference"/>
          <w:rFonts w:ascii="Calibri" w:hAnsi="Calibri" w:cs="Calibri"/>
          <w:sz w:val="24"/>
          <w:szCs w:val="24"/>
        </w:rPr>
        <w:footnoteReference w:id="23"/>
      </w:r>
      <w:r w:rsidR="003157E9" w:rsidRPr="00472C9F">
        <w:rPr>
          <w:rFonts w:ascii="Calibri" w:hAnsi="Calibri" w:cs="Calibri"/>
          <w:sz w:val="24"/>
          <w:szCs w:val="24"/>
        </w:rPr>
        <w:t xml:space="preserve"> </w:t>
      </w:r>
    </w:p>
    <w:p w14:paraId="604F4FB8" w14:textId="77777777" w:rsidR="004B5B57" w:rsidRPr="00472C9F" w:rsidRDefault="004B5B57" w:rsidP="0059780E">
      <w:pPr>
        <w:spacing w:after="0" w:line="360" w:lineRule="auto"/>
        <w:jc w:val="both"/>
        <w:textAlignment w:val="baseline"/>
        <w:rPr>
          <w:rFonts w:ascii="Calibri" w:eastAsia="Times New Roman" w:hAnsi="Calibri" w:cs="Calibri"/>
          <w:color w:val="000000"/>
          <w:sz w:val="24"/>
          <w:szCs w:val="24"/>
          <w:lang w:eastAsia="en-GB"/>
        </w:rPr>
      </w:pPr>
    </w:p>
    <w:p w14:paraId="2880BEF7" w14:textId="42015A17" w:rsidR="00B528D1" w:rsidRPr="00472C9F" w:rsidRDefault="00A11DE8" w:rsidP="0059780E">
      <w:pPr>
        <w:spacing w:after="0" w:line="360" w:lineRule="auto"/>
        <w:jc w:val="both"/>
        <w:textAlignment w:val="baseline"/>
        <w:rPr>
          <w:rFonts w:ascii="Calibri" w:hAnsi="Calibri" w:cs="Calibri"/>
          <w:sz w:val="24"/>
          <w:szCs w:val="24"/>
        </w:rPr>
      </w:pPr>
      <w:r w:rsidRPr="00472C9F">
        <w:rPr>
          <w:rFonts w:ascii="Calibri" w:hAnsi="Calibri" w:cs="Calibri"/>
          <w:sz w:val="24"/>
          <w:szCs w:val="24"/>
        </w:rPr>
        <w:t xml:space="preserve">In contrast to analysing Leave campaigners, </w:t>
      </w:r>
      <w:r w:rsidR="008023A5" w:rsidRPr="00472C9F">
        <w:rPr>
          <w:rFonts w:ascii="Calibri" w:hAnsi="Calibri" w:cs="Calibri"/>
          <w:sz w:val="24"/>
          <w:szCs w:val="24"/>
        </w:rPr>
        <w:t>Galpin’s work involved interviewing 11 pro-EU campaigners in 2019 and considering ‘masculinity in pro-European campaigns</w:t>
      </w:r>
      <w:r w:rsidR="0098360B">
        <w:rPr>
          <w:rFonts w:ascii="Calibri" w:hAnsi="Calibri" w:cs="Calibri"/>
          <w:sz w:val="24"/>
          <w:szCs w:val="24"/>
        </w:rPr>
        <w:t>’</w:t>
      </w:r>
      <w:r w:rsidR="008023A5" w:rsidRPr="00472C9F">
        <w:rPr>
          <w:rFonts w:ascii="Calibri" w:hAnsi="Calibri" w:cs="Calibri"/>
          <w:sz w:val="24"/>
          <w:szCs w:val="24"/>
        </w:rPr>
        <w:t>.</w:t>
      </w:r>
      <w:r w:rsidR="008023A5" w:rsidRPr="00472C9F">
        <w:rPr>
          <w:rStyle w:val="FootnoteReference"/>
          <w:rFonts w:ascii="Calibri" w:hAnsi="Calibri" w:cs="Calibri"/>
          <w:sz w:val="24"/>
          <w:szCs w:val="24"/>
        </w:rPr>
        <w:footnoteReference w:id="24"/>
      </w:r>
      <w:r w:rsidR="0024779D" w:rsidRPr="00472C9F">
        <w:rPr>
          <w:rFonts w:ascii="Calibri" w:hAnsi="Calibri" w:cs="Calibri"/>
          <w:sz w:val="24"/>
          <w:szCs w:val="24"/>
        </w:rPr>
        <w:t xml:space="preserve"> </w:t>
      </w:r>
      <w:r w:rsidR="006E4842" w:rsidRPr="00472C9F">
        <w:rPr>
          <w:rFonts w:ascii="Calibri" w:hAnsi="Calibri" w:cs="Calibri"/>
          <w:sz w:val="24"/>
          <w:szCs w:val="24"/>
        </w:rPr>
        <w:t xml:space="preserve">Her interviews with pro-EU campaigners revealed that </w:t>
      </w:r>
      <w:r w:rsidR="005016A3" w:rsidRPr="00472C9F">
        <w:rPr>
          <w:rFonts w:ascii="Calibri" w:hAnsi="Calibri" w:cs="Calibri"/>
          <w:sz w:val="24"/>
          <w:szCs w:val="24"/>
        </w:rPr>
        <w:t xml:space="preserve">they </w:t>
      </w:r>
      <w:r w:rsidR="005E2AEA" w:rsidRPr="00472C9F">
        <w:rPr>
          <w:rFonts w:ascii="Calibri" w:hAnsi="Calibri" w:cs="Calibri"/>
          <w:sz w:val="24"/>
          <w:szCs w:val="24"/>
        </w:rPr>
        <w:t>opposed the Brexit campaigners</w:t>
      </w:r>
      <w:r w:rsidR="00A157A4" w:rsidRPr="00472C9F">
        <w:rPr>
          <w:rFonts w:ascii="Calibri" w:hAnsi="Calibri" w:cs="Calibri"/>
          <w:sz w:val="24"/>
          <w:szCs w:val="24"/>
        </w:rPr>
        <w:t>’</w:t>
      </w:r>
      <w:r w:rsidR="005E2AEA" w:rsidRPr="00472C9F">
        <w:rPr>
          <w:rFonts w:ascii="Calibri" w:hAnsi="Calibri" w:cs="Calibri"/>
          <w:sz w:val="24"/>
          <w:szCs w:val="24"/>
        </w:rPr>
        <w:t xml:space="preserve"> </w:t>
      </w:r>
      <w:r w:rsidR="004106E1" w:rsidRPr="00472C9F">
        <w:rPr>
          <w:rFonts w:ascii="Calibri" w:hAnsi="Calibri" w:cs="Calibri"/>
          <w:sz w:val="24"/>
          <w:szCs w:val="24"/>
        </w:rPr>
        <w:t>location of EU citizenship within the masculine space of the market</w:t>
      </w:r>
      <w:r w:rsidR="00131817" w:rsidRPr="00472C9F">
        <w:rPr>
          <w:rFonts w:ascii="Calibri" w:hAnsi="Calibri" w:cs="Calibri"/>
          <w:sz w:val="24"/>
          <w:szCs w:val="24"/>
        </w:rPr>
        <w:t xml:space="preserve">, depicted as </w:t>
      </w:r>
      <w:r w:rsidR="004106E1" w:rsidRPr="00472C9F">
        <w:rPr>
          <w:rFonts w:ascii="Calibri" w:hAnsi="Calibri" w:cs="Calibri"/>
          <w:sz w:val="24"/>
          <w:szCs w:val="24"/>
        </w:rPr>
        <w:t xml:space="preserve"> </w:t>
      </w:r>
      <w:r w:rsidR="00131817" w:rsidRPr="00472C9F">
        <w:rPr>
          <w:rFonts w:ascii="Calibri" w:hAnsi="Calibri" w:cs="Calibri"/>
          <w:sz w:val="24"/>
          <w:szCs w:val="24"/>
        </w:rPr>
        <w:t xml:space="preserve">‘neo-liberal </w:t>
      </w:r>
      <w:r w:rsidR="00131817" w:rsidRPr="00472C9F">
        <w:rPr>
          <w:rFonts w:ascii="Calibri" w:hAnsi="Calibri" w:cs="Calibri"/>
          <w:sz w:val="24"/>
          <w:szCs w:val="24"/>
        </w:rPr>
        <w:lastRenderedPageBreak/>
        <w:t>inequality’,</w:t>
      </w:r>
      <w:r w:rsidR="00131817" w:rsidRPr="00472C9F">
        <w:rPr>
          <w:rStyle w:val="FootnoteReference"/>
          <w:rFonts w:ascii="Calibri" w:hAnsi="Calibri" w:cs="Calibri"/>
          <w:sz w:val="24"/>
          <w:szCs w:val="24"/>
        </w:rPr>
        <w:footnoteReference w:id="25"/>
      </w:r>
      <w:r w:rsidR="00131817" w:rsidRPr="00472C9F">
        <w:rPr>
          <w:rFonts w:ascii="Calibri" w:hAnsi="Calibri" w:cs="Calibri"/>
          <w:sz w:val="24"/>
          <w:szCs w:val="24"/>
        </w:rPr>
        <w:t xml:space="preserve"> </w:t>
      </w:r>
      <w:r w:rsidR="004106E1" w:rsidRPr="00472C9F">
        <w:rPr>
          <w:rFonts w:ascii="Calibri" w:hAnsi="Calibri" w:cs="Calibri"/>
          <w:sz w:val="24"/>
          <w:szCs w:val="24"/>
        </w:rPr>
        <w:t>and instead constructed the EU as a symbol of ‘caring capitalism</w:t>
      </w:r>
      <w:r w:rsidR="007555BF" w:rsidRPr="00472C9F">
        <w:rPr>
          <w:rFonts w:ascii="Calibri" w:hAnsi="Calibri" w:cs="Calibri"/>
          <w:sz w:val="24"/>
          <w:szCs w:val="24"/>
        </w:rPr>
        <w:t>’.</w:t>
      </w:r>
      <w:r w:rsidR="004106E1" w:rsidRPr="00472C9F">
        <w:rPr>
          <w:rStyle w:val="FootnoteReference"/>
          <w:rFonts w:ascii="Calibri" w:hAnsi="Calibri" w:cs="Calibri"/>
          <w:sz w:val="24"/>
          <w:szCs w:val="24"/>
        </w:rPr>
        <w:footnoteReference w:id="26"/>
      </w:r>
      <w:r w:rsidR="004106E1" w:rsidRPr="00472C9F">
        <w:rPr>
          <w:rFonts w:ascii="Calibri" w:hAnsi="Calibri" w:cs="Calibri"/>
          <w:sz w:val="24"/>
          <w:szCs w:val="24"/>
        </w:rPr>
        <w:t xml:space="preserve"> </w:t>
      </w:r>
      <w:r w:rsidR="005016A3" w:rsidRPr="00472C9F">
        <w:rPr>
          <w:rFonts w:ascii="Calibri" w:hAnsi="Calibri" w:cs="Calibri"/>
          <w:sz w:val="24"/>
          <w:szCs w:val="24"/>
        </w:rPr>
        <w:t>Pro-</w:t>
      </w:r>
      <w:r w:rsidR="001037E7" w:rsidRPr="00472C9F">
        <w:rPr>
          <w:rFonts w:ascii="Calibri" w:hAnsi="Calibri" w:cs="Calibri"/>
          <w:sz w:val="24"/>
          <w:szCs w:val="24"/>
        </w:rPr>
        <w:t xml:space="preserve">EU </w:t>
      </w:r>
      <w:r w:rsidR="005016A3" w:rsidRPr="00472C9F">
        <w:rPr>
          <w:rFonts w:ascii="Calibri" w:hAnsi="Calibri" w:cs="Calibri"/>
          <w:sz w:val="24"/>
          <w:szCs w:val="24"/>
        </w:rPr>
        <w:t xml:space="preserve">campaigners </w:t>
      </w:r>
      <w:r w:rsidR="001037E7" w:rsidRPr="00472C9F">
        <w:rPr>
          <w:rFonts w:ascii="Calibri" w:hAnsi="Calibri" w:cs="Calibri"/>
          <w:sz w:val="24"/>
          <w:szCs w:val="24"/>
        </w:rPr>
        <w:t>w</w:t>
      </w:r>
      <w:r w:rsidR="005016A3" w:rsidRPr="00472C9F">
        <w:rPr>
          <w:rFonts w:ascii="Calibri" w:hAnsi="Calibri" w:cs="Calibri"/>
          <w:sz w:val="24"/>
          <w:szCs w:val="24"/>
        </w:rPr>
        <w:t>ere</w:t>
      </w:r>
      <w:r w:rsidR="001037E7" w:rsidRPr="00472C9F">
        <w:rPr>
          <w:rFonts w:ascii="Calibri" w:hAnsi="Calibri" w:cs="Calibri"/>
          <w:sz w:val="24"/>
          <w:szCs w:val="24"/>
        </w:rPr>
        <w:t xml:space="preserve"> connected with pro</w:t>
      </w:r>
      <w:r w:rsidR="00F74869" w:rsidRPr="00472C9F">
        <w:rPr>
          <w:rFonts w:ascii="Calibri" w:hAnsi="Calibri" w:cs="Calibri"/>
          <w:sz w:val="24"/>
          <w:szCs w:val="24"/>
        </w:rPr>
        <w:t>-</w:t>
      </w:r>
      <w:r w:rsidR="001037E7" w:rsidRPr="00472C9F">
        <w:rPr>
          <w:rFonts w:ascii="Calibri" w:hAnsi="Calibri" w:cs="Calibri"/>
          <w:sz w:val="24"/>
          <w:szCs w:val="24"/>
        </w:rPr>
        <w:t>lesbian and gay activism</w:t>
      </w:r>
      <w:r w:rsidR="00D51318">
        <w:rPr>
          <w:rFonts w:ascii="Calibri" w:hAnsi="Calibri" w:cs="Calibri"/>
          <w:sz w:val="24"/>
          <w:szCs w:val="24"/>
        </w:rPr>
        <w:t>,</w:t>
      </w:r>
      <w:r w:rsidR="001037E7" w:rsidRPr="00472C9F">
        <w:rPr>
          <w:rStyle w:val="FootnoteReference"/>
          <w:rFonts w:ascii="Calibri" w:hAnsi="Calibri" w:cs="Calibri"/>
          <w:sz w:val="24"/>
          <w:szCs w:val="24"/>
        </w:rPr>
        <w:footnoteReference w:id="27"/>
      </w:r>
      <w:r w:rsidR="001037E7" w:rsidRPr="00472C9F">
        <w:rPr>
          <w:rFonts w:ascii="Calibri" w:hAnsi="Calibri" w:cs="Calibri"/>
          <w:sz w:val="24"/>
          <w:szCs w:val="24"/>
        </w:rPr>
        <w:t xml:space="preserve"> matching </w:t>
      </w:r>
      <w:proofErr w:type="spellStart"/>
      <w:r w:rsidR="001037E7" w:rsidRPr="00472C9F">
        <w:rPr>
          <w:rFonts w:ascii="Calibri" w:hAnsi="Calibri" w:cs="Calibri"/>
          <w:sz w:val="24"/>
          <w:szCs w:val="24"/>
        </w:rPr>
        <w:t>Slootmaeckers</w:t>
      </w:r>
      <w:proofErr w:type="spellEnd"/>
      <w:r w:rsidR="001037E7" w:rsidRPr="00472C9F">
        <w:rPr>
          <w:rFonts w:ascii="Calibri" w:hAnsi="Calibri" w:cs="Calibri"/>
          <w:sz w:val="24"/>
          <w:szCs w:val="24"/>
        </w:rPr>
        <w:t>’ argument that such rights have become an ‘identity marker’ for the EU.</w:t>
      </w:r>
      <w:r w:rsidR="001037E7" w:rsidRPr="00472C9F">
        <w:rPr>
          <w:rStyle w:val="FootnoteReference"/>
          <w:rFonts w:ascii="Calibri" w:hAnsi="Calibri" w:cs="Calibri"/>
          <w:sz w:val="24"/>
          <w:szCs w:val="24"/>
        </w:rPr>
        <w:footnoteReference w:id="28"/>
      </w:r>
      <w:r w:rsidR="00EE4294" w:rsidRPr="00472C9F">
        <w:rPr>
          <w:rFonts w:ascii="Calibri" w:hAnsi="Calibri" w:cs="Calibri"/>
          <w:sz w:val="24"/>
          <w:szCs w:val="24"/>
        </w:rPr>
        <w:t xml:space="preserve"> </w:t>
      </w:r>
      <w:r w:rsidR="00F91B9C" w:rsidRPr="00472C9F">
        <w:rPr>
          <w:rFonts w:ascii="Calibri" w:hAnsi="Calibri" w:cs="Calibri"/>
          <w:sz w:val="24"/>
          <w:szCs w:val="24"/>
        </w:rPr>
        <w:t xml:space="preserve">Perhaps </w:t>
      </w:r>
      <w:r w:rsidR="00F40B08" w:rsidRPr="00472C9F">
        <w:rPr>
          <w:rFonts w:ascii="Calibri" w:hAnsi="Calibri" w:cs="Calibri"/>
          <w:sz w:val="24"/>
          <w:szCs w:val="24"/>
        </w:rPr>
        <w:t>when con</w:t>
      </w:r>
      <w:r w:rsidR="004418C7" w:rsidRPr="00472C9F">
        <w:rPr>
          <w:rFonts w:ascii="Calibri" w:hAnsi="Calibri" w:cs="Calibri"/>
          <w:sz w:val="24"/>
          <w:szCs w:val="24"/>
        </w:rPr>
        <w:t>trasted</w:t>
      </w:r>
      <w:r w:rsidR="00F40B08" w:rsidRPr="00472C9F">
        <w:rPr>
          <w:rFonts w:ascii="Calibri" w:hAnsi="Calibri" w:cs="Calibri"/>
          <w:sz w:val="24"/>
          <w:szCs w:val="24"/>
        </w:rPr>
        <w:t xml:space="preserve"> specifically </w:t>
      </w:r>
      <w:r w:rsidR="004418C7" w:rsidRPr="00472C9F">
        <w:rPr>
          <w:rFonts w:ascii="Calibri" w:hAnsi="Calibri" w:cs="Calibri"/>
          <w:sz w:val="24"/>
          <w:szCs w:val="24"/>
        </w:rPr>
        <w:t>with</w:t>
      </w:r>
      <w:r w:rsidR="00387AC6" w:rsidRPr="00472C9F">
        <w:rPr>
          <w:rFonts w:ascii="Calibri" w:hAnsi="Calibri" w:cs="Calibri"/>
          <w:sz w:val="24"/>
          <w:szCs w:val="24"/>
        </w:rPr>
        <w:t xml:space="preserve"> the</w:t>
      </w:r>
      <w:r w:rsidR="00F91B9C" w:rsidRPr="00472C9F">
        <w:rPr>
          <w:rFonts w:ascii="Calibri" w:hAnsi="Calibri" w:cs="Calibri"/>
          <w:sz w:val="24"/>
          <w:szCs w:val="24"/>
        </w:rPr>
        <w:t xml:space="preserve"> Brexit Leave agenda</w:t>
      </w:r>
      <w:r w:rsidR="00001E6A" w:rsidRPr="00472C9F">
        <w:rPr>
          <w:rFonts w:ascii="Calibri" w:hAnsi="Calibri" w:cs="Calibri"/>
          <w:sz w:val="24"/>
          <w:szCs w:val="24"/>
        </w:rPr>
        <w:t xml:space="preserve">, </w:t>
      </w:r>
      <w:r w:rsidR="0068036C" w:rsidRPr="00472C9F">
        <w:rPr>
          <w:rFonts w:ascii="Calibri" w:hAnsi="Calibri" w:cs="Calibri"/>
          <w:sz w:val="24"/>
          <w:szCs w:val="24"/>
        </w:rPr>
        <w:t xml:space="preserve">the EU </w:t>
      </w:r>
      <w:r w:rsidR="00387AC6" w:rsidRPr="00472C9F">
        <w:rPr>
          <w:rFonts w:ascii="Calibri" w:hAnsi="Calibri" w:cs="Calibri"/>
          <w:sz w:val="24"/>
          <w:szCs w:val="24"/>
        </w:rPr>
        <w:t xml:space="preserve">could be considered </w:t>
      </w:r>
      <w:r w:rsidR="004418C7" w:rsidRPr="00472C9F">
        <w:rPr>
          <w:rFonts w:ascii="Calibri" w:hAnsi="Calibri" w:cs="Calibri"/>
          <w:sz w:val="24"/>
          <w:szCs w:val="24"/>
        </w:rPr>
        <w:t xml:space="preserve">to be </w:t>
      </w:r>
      <w:r w:rsidR="00387AC6" w:rsidRPr="00472C9F">
        <w:rPr>
          <w:rFonts w:ascii="Calibri" w:hAnsi="Calibri" w:cs="Calibri"/>
          <w:sz w:val="24"/>
          <w:szCs w:val="24"/>
        </w:rPr>
        <w:t>more</w:t>
      </w:r>
      <w:r w:rsidR="00AF642C" w:rsidRPr="00472C9F">
        <w:rPr>
          <w:rFonts w:ascii="Calibri" w:hAnsi="Calibri" w:cs="Calibri"/>
          <w:sz w:val="24"/>
          <w:szCs w:val="24"/>
        </w:rPr>
        <w:t xml:space="preserve"> pro</w:t>
      </w:r>
      <w:r w:rsidR="00BE22C4" w:rsidRPr="00472C9F">
        <w:rPr>
          <w:rFonts w:ascii="Calibri" w:hAnsi="Calibri" w:cs="Calibri"/>
          <w:sz w:val="24"/>
          <w:szCs w:val="24"/>
        </w:rPr>
        <w:t>-</w:t>
      </w:r>
      <w:r w:rsidR="00AF642C" w:rsidRPr="00472C9F">
        <w:rPr>
          <w:rFonts w:ascii="Calibri" w:hAnsi="Calibri" w:cs="Calibri"/>
          <w:sz w:val="24"/>
          <w:szCs w:val="24"/>
        </w:rPr>
        <w:t xml:space="preserve">feminist and </w:t>
      </w:r>
      <w:r w:rsidR="00774442" w:rsidRPr="00472C9F">
        <w:rPr>
          <w:rFonts w:ascii="Calibri" w:hAnsi="Calibri" w:cs="Calibri"/>
          <w:sz w:val="24"/>
          <w:szCs w:val="24"/>
        </w:rPr>
        <w:t>lesbian and gay</w:t>
      </w:r>
      <w:r w:rsidR="00AF642C" w:rsidRPr="00472C9F">
        <w:rPr>
          <w:rFonts w:ascii="Calibri" w:hAnsi="Calibri" w:cs="Calibri"/>
          <w:sz w:val="24"/>
          <w:szCs w:val="24"/>
        </w:rPr>
        <w:t xml:space="preserve"> inclusive</w:t>
      </w:r>
      <w:r w:rsidR="00EE4294" w:rsidRPr="00472C9F">
        <w:rPr>
          <w:rFonts w:ascii="Calibri" w:hAnsi="Calibri" w:cs="Calibri"/>
          <w:sz w:val="24"/>
          <w:szCs w:val="24"/>
        </w:rPr>
        <w:t>.</w:t>
      </w:r>
      <w:r w:rsidR="00E72329" w:rsidRPr="00472C9F">
        <w:rPr>
          <w:rFonts w:ascii="Calibri" w:hAnsi="Calibri" w:cs="Calibri"/>
          <w:sz w:val="24"/>
          <w:szCs w:val="24"/>
        </w:rPr>
        <w:t xml:space="preserve"> </w:t>
      </w:r>
      <w:r w:rsidR="002308D5" w:rsidRPr="00472C9F">
        <w:rPr>
          <w:rFonts w:ascii="Calibri" w:hAnsi="Calibri" w:cs="Calibri"/>
          <w:sz w:val="24"/>
          <w:szCs w:val="24"/>
        </w:rPr>
        <w:t xml:space="preserve"> </w:t>
      </w:r>
      <w:proofErr w:type="gramStart"/>
      <w:r w:rsidR="00C02738" w:rsidRPr="00472C9F">
        <w:rPr>
          <w:rFonts w:ascii="Calibri" w:hAnsi="Calibri" w:cs="Calibri"/>
          <w:sz w:val="24"/>
          <w:szCs w:val="24"/>
        </w:rPr>
        <w:t>However</w:t>
      </w:r>
      <w:proofErr w:type="gramEnd"/>
      <w:r w:rsidR="00C02738" w:rsidRPr="00472C9F">
        <w:rPr>
          <w:rFonts w:ascii="Calibri" w:hAnsi="Calibri" w:cs="Calibri"/>
          <w:sz w:val="24"/>
          <w:szCs w:val="24"/>
        </w:rPr>
        <w:t xml:space="preserve"> t</w:t>
      </w:r>
      <w:r w:rsidR="00071FCF" w:rsidRPr="00472C9F">
        <w:rPr>
          <w:rFonts w:ascii="Calibri" w:hAnsi="Calibri" w:cs="Calibri"/>
          <w:sz w:val="24"/>
          <w:szCs w:val="24"/>
        </w:rPr>
        <w:t>his article argues that</w:t>
      </w:r>
      <w:r w:rsidR="00F6277C" w:rsidRPr="00472C9F">
        <w:rPr>
          <w:rFonts w:ascii="Calibri" w:hAnsi="Calibri" w:cs="Calibri"/>
          <w:sz w:val="24"/>
          <w:szCs w:val="24"/>
        </w:rPr>
        <w:t xml:space="preserve"> </w:t>
      </w:r>
      <w:r w:rsidR="00071FCF" w:rsidRPr="00472C9F">
        <w:rPr>
          <w:rFonts w:ascii="Calibri" w:hAnsi="Calibri" w:cs="Calibri"/>
          <w:sz w:val="24"/>
          <w:szCs w:val="24"/>
        </w:rPr>
        <w:t xml:space="preserve">outside of the specific </w:t>
      </w:r>
      <w:r w:rsidR="00C02738" w:rsidRPr="00472C9F">
        <w:rPr>
          <w:rFonts w:ascii="Calibri" w:hAnsi="Calibri" w:cs="Calibri"/>
          <w:sz w:val="24"/>
          <w:szCs w:val="24"/>
        </w:rPr>
        <w:t>juxtaposition</w:t>
      </w:r>
      <w:r w:rsidR="00071FCF" w:rsidRPr="00472C9F">
        <w:rPr>
          <w:rFonts w:ascii="Calibri" w:hAnsi="Calibri" w:cs="Calibri"/>
          <w:sz w:val="24"/>
          <w:szCs w:val="24"/>
        </w:rPr>
        <w:t xml:space="preserve"> </w:t>
      </w:r>
      <w:r w:rsidR="00C02738" w:rsidRPr="00472C9F">
        <w:rPr>
          <w:rFonts w:ascii="Calibri" w:hAnsi="Calibri" w:cs="Calibri"/>
          <w:sz w:val="24"/>
          <w:szCs w:val="24"/>
        </w:rPr>
        <w:t xml:space="preserve">to </w:t>
      </w:r>
      <w:r w:rsidR="00071FCF" w:rsidRPr="00472C9F">
        <w:rPr>
          <w:rFonts w:ascii="Calibri" w:hAnsi="Calibri" w:cs="Calibri"/>
          <w:sz w:val="24"/>
          <w:szCs w:val="24"/>
        </w:rPr>
        <w:t>the Brexit agenda, it is inaccurate to portray the EU concept of citizenship as pro-feminist and lesbian and gay inclusive</w:t>
      </w:r>
      <w:r w:rsidR="00793D75" w:rsidRPr="00472C9F">
        <w:rPr>
          <w:rFonts w:ascii="Calibri" w:hAnsi="Calibri" w:cs="Calibri"/>
          <w:sz w:val="24"/>
          <w:szCs w:val="24"/>
        </w:rPr>
        <w:t>,</w:t>
      </w:r>
      <w:r w:rsidR="00F95F5B" w:rsidRPr="00472C9F">
        <w:rPr>
          <w:rFonts w:ascii="Calibri" w:hAnsi="Calibri" w:cs="Calibri"/>
          <w:sz w:val="24"/>
          <w:szCs w:val="24"/>
        </w:rPr>
        <w:t xml:space="preserve"> as the </w:t>
      </w:r>
      <w:proofErr w:type="spellStart"/>
      <w:r w:rsidR="006F4702" w:rsidRPr="00472C9F">
        <w:rPr>
          <w:rFonts w:ascii="Calibri" w:hAnsi="Calibri" w:cs="Calibri"/>
          <w:sz w:val="24"/>
          <w:szCs w:val="24"/>
        </w:rPr>
        <w:t>productivist</w:t>
      </w:r>
      <w:proofErr w:type="spellEnd"/>
      <w:r w:rsidR="006F4702" w:rsidRPr="00472C9F">
        <w:rPr>
          <w:rFonts w:ascii="Calibri" w:hAnsi="Calibri" w:cs="Calibri"/>
          <w:sz w:val="24"/>
          <w:szCs w:val="24"/>
        </w:rPr>
        <w:t xml:space="preserve"> origins of the </w:t>
      </w:r>
      <w:r w:rsidR="00F95F5B" w:rsidRPr="00472C9F">
        <w:rPr>
          <w:rFonts w:ascii="Calibri" w:hAnsi="Calibri" w:cs="Calibri"/>
          <w:sz w:val="24"/>
          <w:szCs w:val="24"/>
        </w:rPr>
        <w:t>EU continues to</w:t>
      </w:r>
      <w:r w:rsidR="006F4702" w:rsidRPr="00472C9F">
        <w:rPr>
          <w:rFonts w:ascii="Calibri" w:hAnsi="Calibri" w:cs="Calibri"/>
          <w:sz w:val="24"/>
          <w:szCs w:val="24"/>
        </w:rPr>
        <w:t xml:space="preserve"> underpin the EU project</w:t>
      </w:r>
      <w:r w:rsidR="00071FCF" w:rsidRPr="00472C9F">
        <w:rPr>
          <w:rFonts w:ascii="Calibri" w:hAnsi="Calibri" w:cs="Calibri"/>
          <w:sz w:val="24"/>
          <w:szCs w:val="24"/>
        </w:rPr>
        <w:t xml:space="preserve">. This article </w:t>
      </w:r>
      <w:r w:rsidR="00185DDC" w:rsidRPr="00472C9F">
        <w:rPr>
          <w:rFonts w:ascii="Calibri" w:hAnsi="Calibri" w:cs="Calibri"/>
          <w:sz w:val="24"/>
          <w:szCs w:val="24"/>
        </w:rPr>
        <w:t>considers</w:t>
      </w:r>
      <w:r w:rsidR="00071FCF" w:rsidRPr="00472C9F">
        <w:rPr>
          <w:rFonts w:ascii="Calibri" w:hAnsi="Calibri" w:cs="Calibri"/>
          <w:sz w:val="24"/>
          <w:szCs w:val="24"/>
        </w:rPr>
        <w:t>, however, that soft law development offers a way forward for the EU.</w:t>
      </w:r>
    </w:p>
    <w:p w14:paraId="14D52B97" w14:textId="77777777" w:rsidR="00DD3055" w:rsidRPr="00472C9F" w:rsidRDefault="00DD3055" w:rsidP="0059780E">
      <w:pPr>
        <w:spacing w:after="0" w:line="360" w:lineRule="auto"/>
        <w:jc w:val="both"/>
        <w:textAlignment w:val="baseline"/>
        <w:rPr>
          <w:rFonts w:ascii="Calibri" w:hAnsi="Calibri" w:cs="Calibri"/>
          <w:sz w:val="24"/>
          <w:szCs w:val="24"/>
        </w:rPr>
      </w:pPr>
    </w:p>
    <w:p w14:paraId="45601205" w14:textId="43B525DC" w:rsidR="00864D0A" w:rsidRDefault="000244C7" w:rsidP="0059780E">
      <w:pPr>
        <w:spacing w:after="0" w:line="360" w:lineRule="auto"/>
        <w:jc w:val="both"/>
        <w:textAlignment w:val="baseline"/>
        <w:rPr>
          <w:rFonts w:ascii="Calibri" w:hAnsi="Calibri" w:cs="Calibri"/>
          <w:sz w:val="24"/>
          <w:szCs w:val="24"/>
        </w:rPr>
      </w:pPr>
      <w:proofErr w:type="gramStart"/>
      <w:r w:rsidRPr="00472C9F">
        <w:rPr>
          <w:rFonts w:ascii="Calibri" w:hAnsi="Calibri" w:cs="Calibri"/>
          <w:sz w:val="24"/>
          <w:szCs w:val="24"/>
        </w:rPr>
        <w:t>First</w:t>
      </w:r>
      <w:proofErr w:type="gramEnd"/>
      <w:r w:rsidRPr="00472C9F">
        <w:rPr>
          <w:rFonts w:ascii="Calibri" w:hAnsi="Calibri" w:cs="Calibri"/>
          <w:sz w:val="24"/>
          <w:szCs w:val="24"/>
        </w:rPr>
        <w:t xml:space="preserve"> we must understand what is meant by citizenship. </w:t>
      </w:r>
      <w:r w:rsidR="00C35F61" w:rsidRPr="00472C9F">
        <w:rPr>
          <w:rFonts w:ascii="Calibri" w:hAnsi="Calibri" w:cs="Calibri"/>
          <w:sz w:val="24"/>
          <w:szCs w:val="24"/>
        </w:rPr>
        <w:t xml:space="preserve">Definitions of citizenship have been extensively analysed over centuries. </w:t>
      </w:r>
      <w:r w:rsidR="00001BED" w:rsidRPr="00472C9F">
        <w:rPr>
          <w:rFonts w:ascii="Calibri" w:hAnsi="Calibri" w:cs="Calibri"/>
          <w:sz w:val="24"/>
          <w:szCs w:val="24"/>
        </w:rPr>
        <w:t xml:space="preserve">In ancient times </w:t>
      </w:r>
      <w:r w:rsidR="0083122B" w:rsidRPr="00472C9F">
        <w:rPr>
          <w:rFonts w:ascii="Calibri" w:hAnsi="Calibri" w:cs="Calibri"/>
          <w:sz w:val="24"/>
          <w:szCs w:val="24"/>
        </w:rPr>
        <w:t>Roman authors</w:t>
      </w:r>
      <w:r w:rsidR="00001BED" w:rsidRPr="00472C9F">
        <w:rPr>
          <w:rFonts w:ascii="Calibri" w:hAnsi="Calibri" w:cs="Calibri"/>
          <w:sz w:val="24"/>
          <w:szCs w:val="24"/>
        </w:rPr>
        <w:t xml:space="preserve"> </w:t>
      </w:r>
      <w:r w:rsidR="00297B72" w:rsidRPr="00472C9F">
        <w:rPr>
          <w:rFonts w:ascii="Calibri" w:hAnsi="Calibri" w:cs="Calibri"/>
          <w:sz w:val="24"/>
          <w:szCs w:val="24"/>
        </w:rPr>
        <w:t>deemed political participation to be central to</w:t>
      </w:r>
      <w:r w:rsidR="00001BED" w:rsidRPr="00472C9F">
        <w:rPr>
          <w:rFonts w:ascii="Calibri" w:hAnsi="Calibri" w:cs="Calibri"/>
          <w:sz w:val="24"/>
          <w:szCs w:val="24"/>
        </w:rPr>
        <w:t xml:space="preserve"> citizenship.</w:t>
      </w:r>
      <w:r w:rsidR="00001BED" w:rsidRPr="00472C9F">
        <w:rPr>
          <w:rStyle w:val="FootnoteReference"/>
          <w:rFonts w:ascii="Calibri" w:hAnsi="Calibri" w:cs="Calibri"/>
          <w:sz w:val="24"/>
          <w:szCs w:val="24"/>
        </w:rPr>
        <w:footnoteReference w:id="29"/>
      </w:r>
      <w:r w:rsidR="004A5D2D" w:rsidRPr="00472C9F">
        <w:rPr>
          <w:rFonts w:ascii="Calibri" w:hAnsi="Calibri" w:cs="Calibri"/>
          <w:sz w:val="24"/>
          <w:szCs w:val="24"/>
        </w:rPr>
        <w:t xml:space="preserve"> </w:t>
      </w:r>
      <w:r w:rsidR="00BE3DB7" w:rsidRPr="00472C9F">
        <w:rPr>
          <w:rFonts w:ascii="Calibri" w:hAnsi="Calibri" w:cs="Calibri"/>
          <w:sz w:val="24"/>
          <w:szCs w:val="24"/>
        </w:rPr>
        <w:t>I</w:t>
      </w:r>
      <w:r w:rsidR="004A5D2D" w:rsidRPr="00472C9F">
        <w:rPr>
          <w:rFonts w:ascii="Calibri" w:hAnsi="Calibri" w:cs="Calibri"/>
          <w:sz w:val="24"/>
          <w:szCs w:val="24"/>
        </w:rPr>
        <w:t xml:space="preserve">n </w:t>
      </w:r>
      <w:r w:rsidR="004A5D2D" w:rsidRPr="00472C9F">
        <w:rPr>
          <w:rFonts w:ascii="Calibri" w:hAnsi="Calibri" w:cs="Calibri"/>
          <w:i/>
          <w:iCs/>
          <w:sz w:val="24"/>
          <w:szCs w:val="24"/>
        </w:rPr>
        <w:t xml:space="preserve">Citizenship and Social </w:t>
      </w:r>
      <w:r w:rsidR="00EF3AFE" w:rsidRPr="00472C9F">
        <w:rPr>
          <w:rFonts w:ascii="Calibri" w:hAnsi="Calibri" w:cs="Calibri"/>
          <w:i/>
          <w:iCs/>
          <w:sz w:val="24"/>
          <w:szCs w:val="24"/>
        </w:rPr>
        <w:t>C</w:t>
      </w:r>
      <w:r w:rsidR="004A5D2D" w:rsidRPr="00472C9F">
        <w:rPr>
          <w:rFonts w:ascii="Calibri" w:hAnsi="Calibri" w:cs="Calibri"/>
          <w:i/>
          <w:iCs/>
          <w:sz w:val="24"/>
          <w:szCs w:val="24"/>
        </w:rPr>
        <w:t>lass</w:t>
      </w:r>
      <w:r w:rsidR="00BE22C4" w:rsidRPr="00472C9F">
        <w:rPr>
          <w:rFonts w:ascii="Calibri" w:hAnsi="Calibri" w:cs="Calibri"/>
          <w:sz w:val="24"/>
          <w:szCs w:val="24"/>
        </w:rPr>
        <w:t>,</w:t>
      </w:r>
      <w:r w:rsidR="004A5D2D" w:rsidRPr="00472C9F">
        <w:rPr>
          <w:rFonts w:ascii="Calibri" w:hAnsi="Calibri" w:cs="Calibri"/>
          <w:sz w:val="24"/>
          <w:szCs w:val="24"/>
        </w:rPr>
        <w:t xml:space="preserve"> </w:t>
      </w:r>
      <w:r w:rsidR="00F20345" w:rsidRPr="00472C9F">
        <w:rPr>
          <w:rFonts w:ascii="Calibri" w:hAnsi="Calibri" w:cs="Calibri"/>
          <w:sz w:val="24"/>
          <w:szCs w:val="24"/>
        </w:rPr>
        <w:t>first published in the 1950s</w:t>
      </w:r>
      <w:r w:rsidR="00BE22C4" w:rsidRPr="00472C9F">
        <w:rPr>
          <w:rFonts w:ascii="Calibri" w:hAnsi="Calibri" w:cs="Calibri"/>
          <w:sz w:val="24"/>
          <w:szCs w:val="24"/>
        </w:rPr>
        <w:t>,</w:t>
      </w:r>
      <w:r w:rsidR="00F20345" w:rsidRPr="00472C9F">
        <w:rPr>
          <w:rFonts w:ascii="Calibri" w:hAnsi="Calibri" w:cs="Calibri"/>
          <w:sz w:val="24"/>
          <w:szCs w:val="24"/>
        </w:rPr>
        <w:t xml:space="preserve"> </w:t>
      </w:r>
      <w:r w:rsidR="00BE3DB7" w:rsidRPr="00472C9F">
        <w:rPr>
          <w:rFonts w:ascii="Calibri" w:hAnsi="Calibri" w:cs="Calibri"/>
          <w:sz w:val="24"/>
          <w:szCs w:val="24"/>
        </w:rPr>
        <w:t xml:space="preserve">Marshall </w:t>
      </w:r>
      <w:r w:rsidR="00001BED" w:rsidRPr="00472C9F">
        <w:rPr>
          <w:rFonts w:ascii="Calibri" w:hAnsi="Calibri" w:cs="Calibri"/>
          <w:sz w:val="24"/>
          <w:szCs w:val="24"/>
        </w:rPr>
        <w:t>exp</w:t>
      </w:r>
      <w:r w:rsidR="005F116D" w:rsidRPr="00472C9F">
        <w:rPr>
          <w:rFonts w:ascii="Calibri" w:hAnsi="Calibri" w:cs="Calibri"/>
          <w:sz w:val="24"/>
          <w:szCs w:val="24"/>
        </w:rPr>
        <w:t>anded on earlier definitions to include civil, political and social rights.</w:t>
      </w:r>
      <w:r w:rsidR="005F116D" w:rsidRPr="00472C9F">
        <w:rPr>
          <w:rStyle w:val="FootnoteReference"/>
          <w:rFonts w:ascii="Calibri" w:hAnsi="Calibri" w:cs="Calibri"/>
          <w:sz w:val="24"/>
          <w:szCs w:val="24"/>
        </w:rPr>
        <w:footnoteReference w:id="30"/>
      </w:r>
      <w:r w:rsidR="005F116D" w:rsidRPr="00472C9F">
        <w:rPr>
          <w:rFonts w:ascii="Calibri" w:hAnsi="Calibri" w:cs="Calibri"/>
          <w:sz w:val="24"/>
          <w:szCs w:val="24"/>
        </w:rPr>
        <w:t xml:space="preserve"> E</w:t>
      </w:r>
      <w:r w:rsidR="00001BED" w:rsidRPr="00472C9F">
        <w:rPr>
          <w:rFonts w:ascii="Calibri" w:hAnsi="Calibri" w:cs="Calibri"/>
          <w:sz w:val="24"/>
          <w:szCs w:val="24"/>
        </w:rPr>
        <w:t xml:space="preserve">veryone who </w:t>
      </w:r>
      <w:r w:rsidR="005F116D" w:rsidRPr="00472C9F">
        <w:rPr>
          <w:rFonts w:ascii="Calibri" w:hAnsi="Calibri" w:cs="Calibri"/>
          <w:sz w:val="24"/>
          <w:szCs w:val="24"/>
        </w:rPr>
        <w:t xml:space="preserve">fulfilled </w:t>
      </w:r>
      <w:r w:rsidR="00774442" w:rsidRPr="00472C9F">
        <w:rPr>
          <w:rFonts w:ascii="Calibri" w:hAnsi="Calibri" w:cs="Calibri"/>
          <w:sz w:val="24"/>
          <w:szCs w:val="24"/>
        </w:rPr>
        <w:t>the</w:t>
      </w:r>
      <w:r w:rsidR="005F116D" w:rsidRPr="00472C9F">
        <w:rPr>
          <w:rFonts w:ascii="Calibri" w:hAnsi="Calibri" w:cs="Calibri"/>
          <w:sz w:val="24"/>
          <w:szCs w:val="24"/>
        </w:rPr>
        <w:t xml:space="preserve"> definition </w:t>
      </w:r>
      <w:r w:rsidR="00774442" w:rsidRPr="00472C9F">
        <w:rPr>
          <w:rFonts w:ascii="Calibri" w:hAnsi="Calibri" w:cs="Calibri"/>
          <w:sz w:val="24"/>
          <w:szCs w:val="24"/>
        </w:rPr>
        <w:t xml:space="preserve">of citizenship </w:t>
      </w:r>
      <w:r w:rsidR="005F116D" w:rsidRPr="00472C9F">
        <w:rPr>
          <w:rFonts w:ascii="Calibri" w:hAnsi="Calibri" w:cs="Calibri"/>
          <w:sz w:val="24"/>
          <w:szCs w:val="24"/>
        </w:rPr>
        <w:t>was</w:t>
      </w:r>
      <w:r w:rsidR="00BE22C4" w:rsidRPr="00472C9F">
        <w:rPr>
          <w:rFonts w:ascii="Calibri" w:hAnsi="Calibri" w:cs="Calibri"/>
          <w:sz w:val="24"/>
          <w:szCs w:val="24"/>
        </w:rPr>
        <w:t>,</w:t>
      </w:r>
      <w:r w:rsidR="005F116D" w:rsidRPr="00472C9F">
        <w:rPr>
          <w:rFonts w:ascii="Calibri" w:hAnsi="Calibri" w:cs="Calibri"/>
          <w:sz w:val="24"/>
          <w:szCs w:val="24"/>
        </w:rPr>
        <w:t xml:space="preserve"> in Marshall’s view</w:t>
      </w:r>
      <w:r w:rsidR="00BE22C4" w:rsidRPr="00472C9F">
        <w:rPr>
          <w:rFonts w:ascii="Calibri" w:hAnsi="Calibri" w:cs="Calibri"/>
          <w:sz w:val="24"/>
          <w:szCs w:val="24"/>
        </w:rPr>
        <w:t>,</w:t>
      </w:r>
      <w:r w:rsidR="005F116D" w:rsidRPr="00472C9F">
        <w:rPr>
          <w:rFonts w:ascii="Calibri" w:hAnsi="Calibri" w:cs="Calibri"/>
          <w:sz w:val="24"/>
          <w:szCs w:val="24"/>
        </w:rPr>
        <w:t xml:space="preserve"> given equal status as a </w:t>
      </w:r>
      <w:r w:rsidR="00001BED" w:rsidRPr="00472C9F">
        <w:rPr>
          <w:rFonts w:ascii="Calibri" w:hAnsi="Calibri" w:cs="Calibri"/>
          <w:sz w:val="24"/>
          <w:szCs w:val="24"/>
        </w:rPr>
        <w:t>‘full member of the community</w:t>
      </w:r>
      <w:r w:rsidR="001E7782" w:rsidRPr="00472C9F">
        <w:rPr>
          <w:rFonts w:ascii="Calibri" w:hAnsi="Calibri" w:cs="Calibri"/>
          <w:sz w:val="24"/>
          <w:szCs w:val="24"/>
        </w:rPr>
        <w:t>’.</w:t>
      </w:r>
      <w:r w:rsidR="00001BED" w:rsidRPr="00472C9F">
        <w:rPr>
          <w:rStyle w:val="FootnoteReference"/>
          <w:rFonts w:ascii="Calibri" w:hAnsi="Calibri" w:cs="Calibri"/>
          <w:sz w:val="24"/>
          <w:szCs w:val="24"/>
        </w:rPr>
        <w:footnoteReference w:id="31"/>
      </w:r>
      <w:r w:rsidR="00001BED" w:rsidRPr="00472C9F">
        <w:rPr>
          <w:rFonts w:ascii="Calibri" w:hAnsi="Calibri" w:cs="Calibri"/>
          <w:sz w:val="24"/>
          <w:szCs w:val="24"/>
        </w:rPr>
        <w:t xml:space="preserve"> Yet f</w:t>
      </w:r>
      <w:r w:rsidR="00EA2563" w:rsidRPr="00472C9F">
        <w:rPr>
          <w:rFonts w:ascii="Calibri" w:hAnsi="Calibri" w:cs="Calibri"/>
          <w:sz w:val="24"/>
          <w:szCs w:val="24"/>
        </w:rPr>
        <w:t xml:space="preserve">eminist writers </w:t>
      </w:r>
      <w:r w:rsidR="00001BED" w:rsidRPr="00472C9F">
        <w:rPr>
          <w:rFonts w:ascii="Calibri" w:hAnsi="Calibri" w:cs="Calibri"/>
          <w:sz w:val="24"/>
          <w:szCs w:val="24"/>
        </w:rPr>
        <w:t>exposed weaknesses in</w:t>
      </w:r>
      <w:r w:rsidR="003C0227" w:rsidRPr="00472C9F">
        <w:rPr>
          <w:rFonts w:ascii="Calibri" w:hAnsi="Calibri" w:cs="Calibri"/>
          <w:sz w:val="24"/>
          <w:szCs w:val="24"/>
        </w:rPr>
        <w:t xml:space="preserve"> Marshall’s</w:t>
      </w:r>
      <w:r w:rsidR="00EA2563" w:rsidRPr="00472C9F">
        <w:rPr>
          <w:rFonts w:ascii="Calibri" w:hAnsi="Calibri" w:cs="Calibri"/>
          <w:sz w:val="24"/>
          <w:szCs w:val="24"/>
        </w:rPr>
        <w:t xml:space="preserve"> definition of social citizenship</w:t>
      </w:r>
      <w:r w:rsidR="00BE22C4" w:rsidRPr="00472C9F">
        <w:rPr>
          <w:rFonts w:ascii="Calibri" w:hAnsi="Calibri" w:cs="Calibri"/>
          <w:sz w:val="24"/>
          <w:szCs w:val="24"/>
        </w:rPr>
        <w:t>,</w:t>
      </w:r>
      <w:r w:rsidR="00EA2563" w:rsidRPr="00472C9F">
        <w:rPr>
          <w:rFonts w:ascii="Calibri" w:hAnsi="Calibri" w:cs="Calibri"/>
          <w:sz w:val="24"/>
          <w:szCs w:val="24"/>
        </w:rPr>
        <w:t xml:space="preserve"> </w:t>
      </w:r>
      <w:r w:rsidR="005F116D" w:rsidRPr="00472C9F">
        <w:rPr>
          <w:rFonts w:ascii="Calibri" w:hAnsi="Calibri" w:cs="Calibri"/>
          <w:sz w:val="24"/>
          <w:szCs w:val="24"/>
        </w:rPr>
        <w:t>arguing that it was too closely related to</w:t>
      </w:r>
      <w:r w:rsidR="00EA2563" w:rsidRPr="00472C9F">
        <w:rPr>
          <w:rFonts w:ascii="Calibri" w:hAnsi="Calibri" w:cs="Calibri"/>
          <w:sz w:val="24"/>
          <w:szCs w:val="24"/>
        </w:rPr>
        <w:t xml:space="preserve"> economic productivity, </w:t>
      </w:r>
      <w:r w:rsidR="005F116D" w:rsidRPr="00472C9F">
        <w:rPr>
          <w:rFonts w:ascii="Calibri" w:hAnsi="Calibri" w:cs="Calibri"/>
          <w:sz w:val="24"/>
          <w:szCs w:val="24"/>
        </w:rPr>
        <w:t xml:space="preserve">rendering the private space </w:t>
      </w:r>
      <w:r w:rsidR="00EA2563" w:rsidRPr="00472C9F">
        <w:rPr>
          <w:rFonts w:ascii="Calibri" w:hAnsi="Calibri" w:cs="Calibri"/>
          <w:sz w:val="24"/>
          <w:szCs w:val="24"/>
        </w:rPr>
        <w:t>‘invisible’ and consequently ‘</w:t>
      </w:r>
      <w:proofErr w:type="spellStart"/>
      <w:r w:rsidR="00EA2563" w:rsidRPr="00472C9F">
        <w:rPr>
          <w:rFonts w:ascii="Calibri" w:hAnsi="Calibri" w:cs="Calibri"/>
          <w:sz w:val="24"/>
          <w:szCs w:val="24"/>
        </w:rPr>
        <w:t>undervalu</w:t>
      </w:r>
      <w:proofErr w:type="spellEnd"/>
      <w:r w:rsidR="005F116D" w:rsidRPr="00472C9F">
        <w:rPr>
          <w:rFonts w:ascii="Calibri" w:hAnsi="Calibri" w:cs="Calibri"/>
          <w:sz w:val="24"/>
          <w:szCs w:val="24"/>
        </w:rPr>
        <w:t>[</w:t>
      </w:r>
      <w:proofErr w:type="spellStart"/>
      <w:r w:rsidR="005F116D" w:rsidRPr="00472C9F">
        <w:rPr>
          <w:rFonts w:ascii="Calibri" w:hAnsi="Calibri" w:cs="Calibri"/>
          <w:sz w:val="24"/>
          <w:szCs w:val="24"/>
        </w:rPr>
        <w:t>ing</w:t>
      </w:r>
      <w:proofErr w:type="spellEnd"/>
      <w:r w:rsidR="005F116D" w:rsidRPr="00472C9F">
        <w:rPr>
          <w:rFonts w:ascii="Calibri" w:hAnsi="Calibri" w:cs="Calibri"/>
          <w:sz w:val="24"/>
          <w:szCs w:val="24"/>
        </w:rPr>
        <w:t>]</w:t>
      </w:r>
      <w:r w:rsidR="00EA2563" w:rsidRPr="00472C9F">
        <w:rPr>
          <w:rFonts w:ascii="Calibri" w:hAnsi="Calibri" w:cs="Calibri"/>
          <w:sz w:val="24"/>
          <w:szCs w:val="24"/>
        </w:rPr>
        <w:t>’ women’s conventional responsibilities for the care of children, household and the elderly</w:t>
      </w:r>
      <w:r w:rsidR="002607BB" w:rsidRPr="00472C9F">
        <w:rPr>
          <w:rFonts w:ascii="Calibri" w:hAnsi="Calibri" w:cs="Calibri"/>
          <w:sz w:val="24"/>
          <w:szCs w:val="24"/>
        </w:rPr>
        <w:t>’</w:t>
      </w:r>
      <w:r w:rsidR="00756F1A" w:rsidRPr="00472C9F">
        <w:rPr>
          <w:rFonts w:ascii="Calibri" w:hAnsi="Calibri" w:cs="Calibri"/>
          <w:sz w:val="24"/>
          <w:szCs w:val="24"/>
        </w:rPr>
        <w:t>.</w:t>
      </w:r>
      <w:r w:rsidR="00EA2563" w:rsidRPr="00472C9F">
        <w:rPr>
          <w:rStyle w:val="FootnoteReference"/>
          <w:rFonts w:ascii="Calibri" w:hAnsi="Calibri" w:cs="Calibri"/>
          <w:sz w:val="24"/>
          <w:szCs w:val="24"/>
        </w:rPr>
        <w:footnoteReference w:id="32"/>
      </w:r>
      <w:r w:rsidR="00EA2563" w:rsidRPr="00472C9F">
        <w:rPr>
          <w:rFonts w:ascii="Calibri" w:hAnsi="Calibri" w:cs="Calibri"/>
          <w:sz w:val="24"/>
          <w:szCs w:val="24"/>
        </w:rPr>
        <w:t xml:space="preserve"> </w:t>
      </w:r>
      <w:r w:rsidR="005F116D" w:rsidRPr="00472C9F">
        <w:rPr>
          <w:rFonts w:ascii="Calibri" w:hAnsi="Calibri" w:cs="Calibri"/>
          <w:sz w:val="24"/>
          <w:szCs w:val="24"/>
        </w:rPr>
        <w:t xml:space="preserve">Behind the notion of citizenship lies the ‘abstract notion’ of the ‘image of a man – and usually that of an able-bodied, heterosexual and middle-class man who engages </w:t>
      </w:r>
      <w:r w:rsidR="005F116D" w:rsidRPr="00472C9F">
        <w:rPr>
          <w:rFonts w:ascii="Calibri" w:hAnsi="Calibri" w:cs="Calibri"/>
          <w:sz w:val="24"/>
          <w:szCs w:val="24"/>
        </w:rPr>
        <w:lastRenderedPageBreak/>
        <w:t>with his peers in the public space</w:t>
      </w:r>
      <w:r w:rsidR="009338FC" w:rsidRPr="00472C9F">
        <w:rPr>
          <w:rFonts w:ascii="Calibri" w:hAnsi="Calibri" w:cs="Calibri"/>
          <w:sz w:val="24"/>
          <w:szCs w:val="24"/>
        </w:rPr>
        <w:t>’.</w:t>
      </w:r>
      <w:r w:rsidR="005F116D" w:rsidRPr="00472C9F">
        <w:rPr>
          <w:rStyle w:val="FootnoteReference"/>
          <w:rFonts w:ascii="Calibri" w:hAnsi="Calibri" w:cs="Calibri"/>
          <w:sz w:val="24"/>
          <w:szCs w:val="24"/>
        </w:rPr>
        <w:footnoteReference w:id="33"/>
      </w:r>
      <w:r w:rsidR="005F116D" w:rsidRPr="00472C9F">
        <w:rPr>
          <w:rFonts w:ascii="Calibri" w:hAnsi="Calibri" w:cs="Calibri"/>
          <w:sz w:val="24"/>
          <w:szCs w:val="24"/>
        </w:rPr>
        <w:t xml:space="preserve"> </w:t>
      </w:r>
      <w:r w:rsidR="00EA2563" w:rsidRPr="00472C9F">
        <w:rPr>
          <w:rFonts w:ascii="Calibri" w:hAnsi="Calibri" w:cs="Calibri"/>
          <w:sz w:val="24"/>
          <w:szCs w:val="24"/>
        </w:rPr>
        <w:t xml:space="preserve">As </w:t>
      </w:r>
      <w:r w:rsidR="00297B72" w:rsidRPr="00472C9F">
        <w:rPr>
          <w:rFonts w:ascii="Calibri" w:hAnsi="Calibri" w:cs="Calibri"/>
          <w:sz w:val="24"/>
          <w:szCs w:val="24"/>
        </w:rPr>
        <w:t xml:space="preserve">the </w:t>
      </w:r>
      <w:r w:rsidR="00D71A77" w:rsidRPr="00472C9F">
        <w:rPr>
          <w:rFonts w:ascii="Calibri" w:hAnsi="Calibri" w:cs="Calibri"/>
          <w:sz w:val="24"/>
          <w:szCs w:val="24"/>
        </w:rPr>
        <w:t xml:space="preserve">EU </w:t>
      </w:r>
      <w:r w:rsidR="005F116D" w:rsidRPr="00472C9F">
        <w:rPr>
          <w:rFonts w:ascii="Calibri" w:hAnsi="Calibri" w:cs="Calibri"/>
          <w:sz w:val="24"/>
          <w:szCs w:val="24"/>
        </w:rPr>
        <w:t>concept</w:t>
      </w:r>
      <w:r w:rsidR="00EA2563" w:rsidRPr="00472C9F">
        <w:rPr>
          <w:rFonts w:ascii="Calibri" w:hAnsi="Calibri" w:cs="Calibri"/>
          <w:sz w:val="24"/>
          <w:szCs w:val="24"/>
        </w:rPr>
        <w:t xml:space="preserve"> </w:t>
      </w:r>
      <w:r w:rsidR="005F116D" w:rsidRPr="00472C9F">
        <w:rPr>
          <w:rFonts w:ascii="Calibri" w:hAnsi="Calibri" w:cs="Calibri"/>
          <w:sz w:val="24"/>
          <w:szCs w:val="24"/>
        </w:rPr>
        <w:t xml:space="preserve">of </w:t>
      </w:r>
      <w:r w:rsidR="00EA2563" w:rsidRPr="00472C9F">
        <w:rPr>
          <w:rFonts w:ascii="Calibri" w:hAnsi="Calibri" w:cs="Calibri"/>
          <w:sz w:val="24"/>
          <w:szCs w:val="24"/>
        </w:rPr>
        <w:t xml:space="preserve">citizenship </w:t>
      </w:r>
      <w:r w:rsidR="001D213D" w:rsidRPr="00472C9F">
        <w:rPr>
          <w:rFonts w:ascii="Calibri" w:hAnsi="Calibri" w:cs="Calibri"/>
          <w:sz w:val="24"/>
          <w:szCs w:val="24"/>
        </w:rPr>
        <w:t>remain</w:t>
      </w:r>
      <w:r w:rsidR="005F116D" w:rsidRPr="00472C9F">
        <w:rPr>
          <w:rFonts w:ascii="Calibri" w:hAnsi="Calibri" w:cs="Calibri"/>
          <w:sz w:val="24"/>
          <w:szCs w:val="24"/>
        </w:rPr>
        <w:t>s</w:t>
      </w:r>
      <w:r w:rsidR="001D213D" w:rsidRPr="00472C9F">
        <w:rPr>
          <w:rFonts w:ascii="Calibri" w:hAnsi="Calibri" w:cs="Calibri"/>
          <w:sz w:val="24"/>
          <w:szCs w:val="24"/>
        </w:rPr>
        <w:t xml:space="preserve"> primarily centred </w:t>
      </w:r>
      <w:r w:rsidR="00BE22C4" w:rsidRPr="00472C9F">
        <w:rPr>
          <w:rFonts w:ascii="Calibri" w:hAnsi="Calibri" w:cs="Calibri"/>
          <w:sz w:val="24"/>
          <w:szCs w:val="24"/>
        </w:rPr>
        <w:t xml:space="preserve">on </w:t>
      </w:r>
      <w:r w:rsidR="001A2C96" w:rsidRPr="00472C9F">
        <w:rPr>
          <w:rFonts w:ascii="Calibri" w:hAnsi="Calibri" w:cs="Calibri"/>
          <w:sz w:val="24"/>
          <w:szCs w:val="24"/>
        </w:rPr>
        <w:t>the idea of a</w:t>
      </w:r>
      <w:r w:rsidR="00FD05D2" w:rsidRPr="00472C9F">
        <w:rPr>
          <w:rFonts w:ascii="Calibri" w:hAnsi="Calibri" w:cs="Calibri"/>
          <w:sz w:val="24"/>
          <w:szCs w:val="24"/>
        </w:rPr>
        <w:t xml:space="preserve"> mobile citizen able to move internationally to take up new work opportunities</w:t>
      </w:r>
      <w:r w:rsidR="00EA2563" w:rsidRPr="00472C9F">
        <w:rPr>
          <w:rFonts w:ascii="Calibri" w:hAnsi="Calibri" w:cs="Calibri"/>
          <w:sz w:val="24"/>
          <w:szCs w:val="24"/>
        </w:rPr>
        <w:t xml:space="preserve">, </w:t>
      </w:r>
      <w:r w:rsidR="00297B72" w:rsidRPr="00472C9F">
        <w:rPr>
          <w:rFonts w:ascii="Calibri" w:hAnsi="Calibri" w:cs="Calibri"/>
          <w:sz w:val="24"/>
          <w:szCs w:val="24"/>
        </w:rPr>
        <w:t xml:space="preserve">EU law has been criticised as being </w:t>
      </w:r>
      <w:r w:rsidR="00F96AF8" w:rsidRPr="00472C9F">
        <w:rPr>
          <w:rFonts w:ascii="Calibri" w:hAnsi="Calibri" w:cs="Calibri"/>
          <w:sz w:val="24"/>
          <w:szCs w:val="24"/>
        </w:rPr>
        <w:t>‘</w:t>
      </w:r>
      <w:r w:rsidR="00297B72" w:rsidRPr="00472C9F">
        <w:rPr>
          <w:rFonts w:ascii="Calibri" w:hAnsi="Calibri" w:cs="Calibri"/>
          <w:sz w:val="24"/>
          <w:szCs w:val="24"/>
        </w:rPr>
        <w:t>gender blind</w:t>
      </w:r>
      <w:r w:rsidR="00F96AF8" w:rsidRPr="00472C9F">
        <w:rPr>
          <w:rFonts w:ascii="Calibri" w:hAnsi="Calibri" w:cs="Calibri"/>
          <w:sz w:val="24"/>
          <w:szCs w:val="24"/>
        </w:rPr>
        <w:t>’</w:t>
      </w:r>
      <w:r w:rsidR="00297B72" w:rsidRPr="00472C9F">
        <w:rPr>
          <w:rFonts w:ascii="Calibri" w:hAnsi="Calibri" w:cs="Calibri"/>
          <w:sz w:val="24"/>
          <w:szCs w:val="24"/>
        </w:rPr>
        <w:t>.</w:t>
      </w:r>
      <w:r w:rsidR="00297B72" w:rsidRPr="00472C9F">
        <w:rPr>
          <w:rStyle w:val="FootnoteReference"/>
          <w:rFonts w:ascii="Calibri" w:hAnsi="Calibri" w:cs="Calibri"/>
          <w:sz w:val="24"/>
          <w:szCs w:val="24"/>
        </w:rPr>
        <w:footnoteReference w:id="34"/>
      </w:r>
      <w:r w:rsidR="00297B72" w:rsidRPr="00472C9F">
        <w:rPr>
          <w:rFonts w:ascii="Calibri" w:hAnsi="Calibri" w:cs="Calibri"/>
          <w:sz w:val="24"/>
          <w:szCs w:val="24"/>
        </w:rPr>
        <w:t xml:space="preserve"> </w:t>
      </w:r>
      <w:bookmarkStart w:id="1" w:name="_Hlk140048993"/>
      <w:r w:rsidR="00F96AF8" w:rsidRPr="00472C9F">
        <w:rPr>
          <w:rFonts w:ascii="Calibri" w:hAnsi="Calibri" w:cs="Calibri"/>
          <w:sz w:val="24"/>
          <w:szCs w:val="24"/>
        </w:rPr>
        <w:t xml:space="preserve">Perhaps gender blindness is not the specific difficulty, as EU law has made advances in setting out formal </w:t>
      </w:r>
      <w:r w:rsidR="00297B72" w:rsidRPr="00472C9F">
        <w:rPr>
          <w:rFonts w:ascii="Calibri" w:hAnsi="Calibri" w:cs="Calibri"/>
          <w:sz w:val="24"/>
          <w:szCs w:val="24"/>
        </w:rPr>
        <w:t>equality in law</w:t>
      </w:r>
      <w:r w:rsidR="00F96AF8" w:rsidRPr="00472C9F">
        <w:rPr>
          <w:rFonts w:ascii="Calibri" w:hAnsi="Calibri" w:cs="Calibri"/>
          <w:sz w:val="24"/>
          <w:szCs w:val="24"/>
        </w:rPr>
        <w:t xml:space="preserve"> through prohibiting for instance sexual discrimination in an employment context.</w:t>
      </w:r>
      <w:r w:rsidR="00F96AF8" w:rsidRPr="00472C9F">
        <w:rPr>
          <w:rStyle w:val="FootnoteReference"/>
          <w:rFonts w:ascii="Calibri" w:hAnsi="Calibri" w:cs="Calibri"/>
          <w:sz w:val="24"/>
          <w:szCs w:val="24"/>
        </w:rPr>
        <w:footnoteReference w:id="35"/>
      </w:r>
      <w:r w:rsidR="00F96AF8" w:rsidRPr="00472C9F">
        <w:rPr>
          <w:rFonts w:ascii="Calibri" w:hAnsi="Calibri" w:cs="Calibri"/>
          <w:sz w:val="24"/>
          <w:szCs w:val="24"/>
        </w:rPr>
        <w:t xml:space="preserve"> It</w:t>
      </w:r>
      <w:r w:rsidR="00297B72" w:rsidRPr="00472C9F">
        <w:rPr>
          <w:rFonts w:ascii="Calibri" w:hAnsi="Calibri" w:cs="Calibri"/>
          <w:sz w:val="24"/>
          <w:szCs w:val="24"/>
        </w:rPr>
        <w:t xml:space="preserve"> does </w:t>
      </w:r>
      <w:r w:rsidR="00F96AF8" w:rsidRPr="00472C9F">
        <w:rPr>
          <w:rFonts w:ascii="Calibri" w:hAnsi="Calibri" w:cs="Calibri"/>
          <w:sz w:val="24"/>
          <w:szCs w:val="24"/>
        </w:rPr>
        <w:t>need to be recognised</w:t>
      </w:r>
      <w:r w:rsidR="00BE22C4" w:rsidRPr="00472C9F">
        <w:rPr>
          <w:rFonts w:ascii="Calibri" w:hAnsi="Calibri" w:cs="Calibri"/>
          <w:sz w:val="24"/>
          <w:szCs w:val="24"/>
        </w:rPr>
        <w:t>,</w:t>
      </w:r>
      <w:r w:rsidR="00F96AF8" w:rsidRPr="00472C9F">
        <w:rPr>
          <w:rFonts w:ascii="Calibri" w:hAnsi="Calibri" w:cs="Calibri"/>
          <w:sz w:val="24"/>
          <w:szCs w:val="24"/>
        </w:rPr>
        <w:t xml:space="preserve"> however, that formal equality does not</w:t>
      </w:r>
      <w:r w:rsidR="00297B72" w:rsidRPr="00472C9F">
        <w:rPr>
          <w:rFonts w:ascii="Calibri" w:hAnsi="Calibri" w:cs="Calibri"/>
          <w:sz w:val="24"/>
          <w:szCs w:val="24"/>
        </w:rPr>
        <w:t xml:space="preserve"> always equate to substantive equality because of the different social roles and economic power between different groups in society. </w:t>
      </w:r>
      <w:bookmarkEnd w:id="1"/>
      <w:r w:rsidR="00297B72" w:rsidRPr="00472C9F">
        <w:rPr>
          <w:rFonts w:ascii="Calibri" w:hAnsi="Calibri" w:cs="Calibri"/>
          <w:sz w:val="24"/>
          <w:szCs w:val="24"/>
        </w:rPr>
        <w:t>For instance</w:t>
      </w:r>
      <w:r w:rsidR="0037675B" w:rsidRPr="00472C9F">
        <w:rPr>
          <w:rFonts w:ascii="Calibri" w:hAnsi="Calibri" w:cs="Calibri"/>
          <w:sz w:val="24"/>
          <w:szCs w:val="24"/>
        </w:rPr>
        <w:t>,</w:t>
      </w:r>
      <w:r w:rsidR="00297B72" w:rsidRPr="00472C9F">
        <w:rPr>
          <w:rFonts w:ascii="Calibri" w:hAnsi="Calibri" w:cs="Calibri"/>
          <w:sz w:val="24"/>
          <w:szCs w:val="24"/>
        </w:rPr>
        <w:t xml:space="preserve"> Lovenduski explains that it ‘shouldn’t be assumed that all genders engage with the EU in the same way</w:t>
      </w:r>
      <w:r w:rsidR="009338FC" w:rsidRPr="00472C9F">
        <w:rPr>
          <w:rFonts w:ascii="Calibri" w:hAnsi="Calibri" w:cs="Calibri"/>
          <w:sz w:val="24"/>
          <w:szCs w:val="24"/>
        </w:rPr>
        <w:t>’.</w:t>
      </w:r>
      <w:r w:rsidR="00297B72" w:rsidRPr="00472C9F">
        <w:rPr>
          <w:rStyle w:val="FootnoteReference"/>
          <w:rFonts w:ascii="Calibri" w:hAnsi="Calibri" w:cs="Calibri"/>
          <w:sz w:val="24"/>
          <w:szCs w:val="24"/>
        </w:rPr>
        <w:footnoteReference w:id="36"/>
      </w:r>
      <w:r w:rsidR="00297B72" w:rsidRPr="00472C9F">
        <w:rPr>
          <w:rFonts w:ascii="Calibri" w:hAnsi="Calibri" w:cs="Calibri"/>
          <w:sz w:val="24"/>
          <w:szCs w:val="24"/>
        </w:rPr>
        <w:t xml:space="preserve"> Authors such as Ackers consider that EU law excludes female citizens.</w:t>
      </w:r>
      <w:r w:rsidR="00297B72" w:rsidRPr="00472C9F">
        <w:rPr>
          <w:rStyle w:val="FootnoteReference"/>
          <w:rFonts w:ascii="Calibri" w:hAnsi="Calibri" w:cs="Calibri"/>
          <w:sz w:val="24"/>
          <w:szCs w:val="24"/>
        </w:rPr>
        <w:footnoteReference w:id="37"/>
      </w:r>
      <w:r w:rsidR="00297B72" w:rsidRPr="00472C9F">
        <w:rPr>
          <w:rFonts w:ascii="Calibri" w:hAnsi="Calibri" w:cs="Calibri"/>
          <w:sz w:val="24"/>
          <w:szCs w:val="24"/>
        </w:rPr>
        <w:t xml:space="preserve"> Solanke conduct</w:t>
      </w:r>
      <w:r w:rsidR="00BE22C4" w:rsidRPr="00472C9F">
        <w:rPr>
          <w:rFonts w:ascii="Calibri" w:hAnsi="Calibri" w:cs="Calibri"/>
          <w:sz w:val="24"/>
          <w:szCs w:val="24"/>
        </w:rPr>
        <w:t>ed</w:t>
      </w:r>
      <w:r w:rsidR="00297B72" w:rsidRPr="00472C9F">
        <w:rPr>
          <w:rFonts w:ascii="Calibri" w:hAnsi="Calibri" w:cs="Calibri"/>
          <w:sz w:val="24"/>
          <w:szCs w:val="24"/>
        </w:rPr>
        <w:t xml:space="preserve"> an intersectional analysis of EU citizenship law and Brexit’s impact on Black women and children</w:t>
      </w:r>
      <w:r w:rsidR="00BE22C4" w:rsidRPr="00472C9F">
        <w:rPr>
          <w:rFonts w:ascii="Calibri" w:hAnsi="Calibri" w:cs="Calibri"/>
          <w:sz w:val="24"/>
          <w:szCs w:val="24"/>
        </w:rPr>
        <w:t>,</w:t>
      </w:r>
      <w:r w:rsidR="00DC55BC" w:rsidRPr="00472C9F">
        <w:rPr>
          <w:rFonts w:ascii="Calibri" w:hAnsi="Calibri" w:cs="Calibri"/>
          <w:sz w:val="24"/>
          <w:szCs w:val="24"/>
        </w:rPr>
        <w:t xml:space="preserve"> demonstrating their struggles for inclusion</w:t>
      </w:r>
      <w:r w:rsidR="00297B72" w:rsidRPr="00472C9F">
        <w:rPr>
          <w:rFonts w:ascii="Calibri" w:hAnsi="Calibri" w:cs="Calibri"/>
          <w:sz w:val="24"/>
          <w:szCs w:val="24"/>
        </w:rPr>
        <w:t>.</w:t>
      </w:r>
      <w:r w:rsidR="00297B72" w:rsidRPr="00472C9F">
        <w:rPr>
          <w:rStyle w:val="FootnoteReference"/>
          <w:rFonts w:ascii="Calibri" w:hAnsi="Calibri" w:cs="Calibri"/>
          <w:sz w:val="24"/>
          <w:szCs w:val="24"/>
        </w:rPr>
        <w:footnoteReference w:id="38"/>
      </w:r>
      <w:r w:rsidR="00297B72" w:rsidRPr="00472C9F">
        <w:rPr>
          <w:rFonts w:ascii="Calibri" w:hAnsi="Calibri" w:cs="Calibri"/>
          <w:sz w:val="24"/>
          <w:szCs w:val="24"/>
        </w:rPr>
        <w:t xml:space="preserve"> </w:t>
      </w:r>
      <w:proofErr w:type="spellStart"/>
      <w:r w:rsidR="00A95E7D" w:rsidRPr="00472C9F">
        <w:rPr>
          <w:rFonts w:ascii="Calibri" w:hAnsi="Calibri" w:cs="Calibri"/>
          <w:sz w:val="24"/>
          <w:szCs w:val="24"/>
        </w:rPr>
        <w:t>Tryfonidou</w:t>
      </w:r>
      <w:proofErr w:type="spellEnd"/>
      <w:r w:rsidR="00A95E7D" w:rsidRPr="00472C9F">
        <w:rPr>
          <w:rFonts w:ascii="Calibri" w:hAnsi="Calibri" w:cs="Calibri"/>
          <w:sz w:val="24"/>
          <w:szCs w:val="24"/>
        </w:rPr>
        <w:t xml:space="preserve"> has written extensively on EU engagement with lesbian and gay freedom of movement and expanding non-discrimination law.</w:t>
      </w:r>
      <w:r w:rsidR="00A95E7D" w:rsidRPr="00472C9F">
        <w:rPr>
          <w:rStyle w:val="FootnoteReference"/>
          <w:rFonts w:ascii="Calibri" w:hAnsi="Calibri" w:cs="Calibri"/>
          <w:sz w:val="24"/>
          <w:szCs w:val="24"/>
        </w:rPr>
        <w:footnoteReference w:id="39"/>
      </w:r>
      <w:r w:rsidR="00A95E7D" w:rsidRPr="00472C9F">
        <w:rPr>
          <w:rFonts w:ascii="Calibri" w:hAnsi="Calibri" w:cs="Calibri"/>
          <w:sz w:val="24"/>
          <w:szCs w:val="24"/>
        </w:rPr>
        <w:t xml:space="preserve"> Yet following Brexit, and the renewed conception of EU</w:t>
      </w:r>
      <w:r w:rsidR="002B4F3A" w:rsidRPr="00472C9F">
        <w:rPr>
          <w:rFonts w:ascii="Calibri" w:hAnsi="Calibri" w:cs="Calibri"/>
          <w:sz w:val="24"/>
          <w:szCs w:val="24"/>
        </w:rPr>
        <w:t xml:space="preserve"> citizenship</w:t>
      </w:r>
      <w:r w:rsidR="00A95E7D" w:rsidRPr="00472C9F">
        <w:rPr>
          <w:rFonts w:ascii="Calibri" w:hAnsi="Calibri" w:cs="Calibri"/>
          <w:sz w:val="24"/>
          <w:szCs w:val="24"/>
        </w:rPr>
        <w:t xml:space="preserve"> as </w:t>
      </w:r>
      <w:r w:rsidR="002B4F3A" w:rsidRPr="00472C9F">
        <w:rPr>
          <w:rFonts w:ascii="Calibri" w:hAnsi="Calibri" w:cs="Calibri"/>
          <w:sz w:val="24"/>
          <w:szCs w:val="24"/>
        </w:rPr>
        <w:t>pro</w:t>
      </w:r>
      <w:r w:rsidR="009475C0" w:rsidRPr="00472C9F">
        <w:rPr>
          <w:rFonts w:ascii="Calibri" w:hAnsi="Calibri" w:cs="Calibri"/>
          <w:sz w:val="24"/>
          <w:szCs w:val="24"/>
        </w:rPr>
        <w:t>-</w:t>
      </w:r>
      <w:r w:rsidR="002B4F3A" w:rsidRPr="00472C9F">
        <w:rPr>
          <w:rFonts w:ascii="Calibri" w:hAnsi="Calibri" w:cs="Calibri"/>
          <w:sz w:val="24"/>
          <w:szCs w:val="24"/>
        </w:rPr>
        <w:t>lesbian and gay,</w:t>
      </w:r>
      <w:r w:rsidR="00A95E7D" w:rsidRPr="00472C9F">
        <w:rPr>
          <w:rFonts w:ascii="Calibri" w:hAnsi="Calibri" w:cs="Calibri"/>
          <w:sz w:val="24"/>
          <w:szCs w:val="24"/>
        </w:rPr>
        <w:t xml:space="preserve"> there has been little analysis of how correct this view is</w:t>
      </w:r>
      <w:r w:rsidR="00F96AF8" w:rsidRPr="00472C9F">
        <w:rPr>
          <w:rFonts w:ascii="Calibri" w:hAnsi="Calibri" w:cs="Calibri"/>
          <w:sz w:val="24"/>
          <w:szCs w:val="24"/>
        </w:rPr>
        <w:t>, and the possibilities for future action.</w:t>
      </w:r>
      <w:r w:rsidR="00A95E7D" w:rsidRPr="00472C9F">
        <w:rPr>
          <w:rFonts w:ascii="Calibri" w:hAnsi="Calibri" w:cs="Calibri"/>
          <w:sz w:val="24"/>
          <w:szCs w:val="24"/>
        </w:rPr>
        <w:t xml:space="preserve"> This is the gap that I intend to fill here. </w:t>
      </w:r>
    </w:p>
    <w:p w14:paraId="732B4252" w14:textId="77777777" w:rsidR="00F7528A" w:rsidRPr="00472C9F" w:rsidRDefault="00F7528A" w:rsidP="0059780E">
      <w:pPr>
        <w:spacing w:after="0" w:line="360" w:lineRule="auto"/>
        <w:jc w:val="both"/>
        <w:textAlignment w:val="baseline"/>
        <w:rPr>
          <w:rFonts w:ascii="Calibri" w:hAnsi="Calibri" w:cs="Calibri"/>
          <w:sz w:val="24"/>
          <w:szCs w:val="24"/>
        </w:rPr>
      </w:pPr>
    </w:p>
    <w:p w14:paraId="419A53E5" w14:textId="65467FC2" w:rsidR="00B5604A" w:rsidRPr="00472C9F" w:rsidRDefault="007B3609" w:rsidP="0059780E">
      <w:pPr>
        <w:spacing w:after="0" w:line="360" w:lineRule="auto"/>
        <w:jc w:val="both"/>
        <w:textAlignment w:val="baseline"/>
        <w:rPr>
          <w:rFonts w:ascii="Calibri" w:hAnsi="Calibri" w:cs="Calibri"/>
          <w:color w:val="000000"/>
          <w:sz w:val="24"/>
          <w:szCs w:val="24"/>
          <w:shd w:val="clear" w:color="auto" w:fill="FFFFFF"/>
        </w:rPr>
      </w:pPr>
      <w:r w:rsidRPr="00472C9F">
        <w:rPr>
          <w:rFonts w:ascii="Calibri" w:hAnsi="Calibri" w:cs="Calibri"/>
          <w:sz w:val="24"/>
          <w:szCs w:val="24"/>
        </w:rPr>
        <w:t>It is crucial to examine this now</w:t>
      </w:r>
      <w:r w:rsidR="002D38D3" w:rsidRPr="00472C9F">
        <w:rPr>
          <w:rFonts w:ascii="Calibri" w:hAnsi="Calibri" w:cs="Calibri"/>
          <w:sz w:val="24"/>
          <w:szCs w:val="24"/>
        </w:rPr>
        <w:t>.</w:t>
      </w:r>
      <w:r w:rsidRPr="00472C9F">
        <w:rPr>
          <w:rFonts w:ascii="Calibri" w:hAnsi="Calibri" w:cs="Calibri"/>
          <w:sz w:val="24"/>
          <w:szCs w:val="24"/>
        </w:rPr>
        <w:t xml:space="preserve"> </w:t>
      </w:r>
      <w:r w:rsidR="00585E26" w:rsidRPr="00472C9F">
        <w:rPr>
          <w:rFonts w:ascii="Calibri" w:hAnsi="Calibri" w:cs="Calibri"/>
          <w:sz w:val="24"/>
          <w:szCs w:val="24"/>
        </w:rPr>
        <w:t xml:space="preserve">Whilst there are many reasons for Brexit, authors argue that </w:t>
      </w:r>
      <w:r w:rsidR="00496165" w:rsidRPr="00472C9F">
        <w:rPr>
          <w:rFonts w:ascii="Calibri" w:hAnsi="Calibri" w:cs="Calibri"/>
          <w:sz w:val="24"/>
          <w:szCs w:val="24"/>
        </w:rPr>
        <w:t>the perception of a ‘democratic deficit</w:t>
      </w:r>
      <w:r w:rsidR="00ED10DB" w:rsidRPr="00472C9F">
        <w:rPr>
          <w:rFonts w:ascii="Calibri" w:hAnsi="Calibri" w:cs="Calibri"/>
          <w:sz w:val="24"/>
          <w:szCs w:val="24"/>
        </w:rPr>
        <w:t>’</w:t>
      </w:r>
      <w:r w:rsidR="00F60C34" w:rsidRPr="00472C9F">
        <w:rPr>
          <w:rFonts w:ascii="Calibri" w:hAnsi="Calibri" w:cs="Calibri"/>
          <w:sz w:val="24"/>
          <w:szCs w:val="24"/>
        </w:rPr>
        <w:t>, encompassing the idea of a lack of demos</w:t>
      </w:r>
      <w:r w:rsidR="00ED10DB" w:rsidRPr="00472C9F">
        <w:rPr>
          <w:rFonts w:ascii="Calibri" w:hAnsi="Calibri" w:cs="Calibri"/>
          <w:sz w:val="24"/>
          <w:szCs w:val="24"/>
        </w:rPr>
        <w:t xml:space="preserve"> was an important element to the successful Brexit campaign.</w:t>
      </w:r>
      <w:r w:rsidR="00F60C34" w:rsidRPr="00472C9F">
        <w:rPr>
          <w:rStyle w:val="FootnoteReference"/>
          <w:rFonts w:ascii="Calibri" w:hAnsi="Calibri" w:cs="Calibri"/>
          <w:sz w:val="24"/>
          <w:szCs w:val="24"/>
        </w:rPr>
        <w:footnoteReference w:id="40"/>
      </w:r>
      <w:r w:rsidR="00F60C34" w:rsidRPr="00472C9F">
        <w:rPr>
          <w:rFonts w:ascii="Calibri" w:hAnsi="Calibri" w:cs="Calibri"/>
          <w:sz w:val="24"/>
          <w:szCs w:val="24"/>
        </w:rPr>
        <w:t xml:space="preserve"> </w:t>
      </w:r>
      <w:r w:rsidR="00ED10DB" w:rsidRPr="00472C9F">
        <w:rPr>
          <w:rFonts w:ascii="Calibri" w:hAnsi="Calibri" w:cs="Calibri"/>
          <w:sz w:val="24"/>
          <w:szCs w:val="24"/>
        </w:rPr>
        <w:t xml:space="preserve"> </w:t>
      </w:r>
      <w:r w:rsidR="00DC0FF5" w:rsidRPr="00472C9F">
        <w:rPr>
          <w:rFonts w:ascii="Calibri" w:hAnsi="Calibri" w:cs="Calibri"/>
          <w:sz w:val="24"/>
          <w:szCs w:val="24"/>
        </w:rPr>
        <w:t xml:space="preserve">Hobolt further explains that the </w:t>
      </w:r>
      <w:r w:rsidR="00DC0FF5" w:rsidRPr="00472C9F">
        <w:rPr>
          <w:rFonts w:ascii="Calibri" w:hAnsi="Calibri" w:cs="Calibri"/>
          <w:sz w:val="24"/>
          <w:szCs w:val="24"/>
        </w:rPr>
        <w:lastRenderedPageBreak/>
        <w:t xml:space="preserve">argument raised in the Brexit campaign about </w:t>
      </w:r>
      <w:r w:rsidR="006A10CF" w:rsidRPr="00472C9F">
        <w:rPr>
          <w:rFonts w:ascii="Calibri" w:hAnsi="Calibri" w:cs="Calibri"/>
          <w:sz w:val="24"/>
          <w:szCs w:val="24"/>
          <w:shd w:val="clear" w:color="auto" w:fill="FFFFFF"/>
        </w:rPr>
        <w:t>‘</w:t>
      </w:r>
      <w:r w:rsidR="006A747E" w:rsidRPr="00472C9F">
        <w:rPr>
          <w:rFonts w:ascii="Calibri" w:hAnsi="Calibri" w:cs="Calibri"/>
          <w:sz w:val="24"/>
          <w:szCs w:val="24"/>
          <w:shd w:val="clear" w:color="auto" w:fill="FFFFFF"/>
        </w:rPr>
        <w:t>regaining control</w:t>
      </w:r>
      <w:r w:rsidR="006A10CF" w:rsidRPr="00472C9F">
        <w:rPr>
          <w:rFonts w:ascii="Calibri" w:hAnsi="Calibri" w:cs="Calibri"/>
          <w:sz w:val="24"/>
          <w:szCs w:val="24"/>
          <w:shd w:val="clear" w:color="auto" w:fill="FFFFFF"/>
        </w:rPr>
        <w:t>’</w:t>
      </w:r>
      <w:r w:rsidR="006A747E" w:rsidRPr="00472C9F">
        <w:rPr>
          <w:rFonts w:ascii="Calibri" w:hAnsi="Calibri" w:cs="Calibri"/>
          <w:sz w:val="24"/>
          <w:szCs w:val="24"/>
          <w:shd w:val="clear" w:color="auto" w:fill="FFFFFF"/>
        </w:rPr>
        <w:t xml:space="preserve"> was an influential reason to vote leave</w:t>
      </w:r>
      <w:r w:rsidR="006D60D9" w:rsidRPr="00472C9F">
        <w:rPr>
          <w:rFonts w:ascii="Calibri" w:hAnsi="Calibri" w:cs="Calibri"/>
          <w:sz w:val="24"/>
          <w:szCs w:val="24"/>
          <w:shd w:val="clear" w:color="auto" w:fill="FFFFFF"/>
        </w:rPr>
        <w:t>.</w:t>
      </w:r>
      <w:r w:rsidR="008144DC" w:rsidRPr="00472C9F">
        <w:rPr>
          <w:rStyle w:val="FootnoteReference"/>
          <w:rFonts w:ascii="Calibri" w:hAnsi="Calibri" w:cs="Calibri"/>
          <w:sz w:val="24"/>
          <w:szCs w:val="24"/>
          <w:shd w:val="clear" w:color="auto" w:fill="FFFFFF"/>
        </w:rPr>
        <w:footnoteReference w:id="41"/>
      </w:r>
      <w:r w:rsidR="00E9304C" w:rsidRPr="00472C9F">
        <w:rPr>
          <w:rFonts w:ascii="Calibri" w:hAnsi="Calibri" w:cs="Calibri"/>
          <w:sz w:val="24"/>
          <w:szCs w:val="24"/>
          <w:shd w:val="clear" w:color="auto" w:fill="FFFFFF"/>
        </w:rPr>
        <w:t xml:space="preserve"> </w:t>
      </w:r>
      <w:r w:rsidR="001E411A" w:rsidRPr="00472C9F">
        <w:rPr>
          <w:rFonts w:ascii="Calibri" w:hAnsi="Calibri" w:cs="Calibri"/>
          <w:sz w:val="24"/>
          <w:szCs w:val="24"/>
          <w:shd w:val="clear" w:color="auto" w:fill="FFFFFF"/>
        </w:rPr>
        <w:t>A ‘precondition’ to making this argument</w:t>
      </w:r>
      <w:r w:rsidR="00E67D7D" w:rsidRPr="00472C9F">
        <w:rPr>
          <w:rFonts w:ascii="Calibri" w:hAnsi="Calibri" w:cs="Calibri"/>
          <w:sz w:val="24"/>
          <w:szCs w:val="24"/>
          <w:shd w:val="clear" w:color="auto" w:fill="FFFFFF"/>
        </w:rPr>
        <w:t xml:space="preserve"> ‘persuasive’ </w:t>
      </w:r>
      <w:r w:rsidR="000F4697" w:rsidRPr="00472C9F">
        <w:rPr>
          <w:rFonts w:ascii="Calibri" w:hAnsi="Calibri" w:cs="Calibri"/>
          <w:sz w:val="24"/>
          <w:szCs w:val="24"/>
          <w:shd w:val="clear" w:color="auto" w:fill="FFFFFF"/>
        </w:rPr>
        <w:t>was</w:t>
      </w:r>
      <w:r w:rsidR="00E67D7D" w:rsidRPr="00472C9F">
        <w:rPr>
          <w:rFonts w:ascii="Calibri" w:hAnsi="Calibri" w:cs="Calibri"/>
          <w:sz w:val="24"/>
          <w:szCs w:val="24"/>
          <w:shd w:val="clear" w:color="auto" w:fill="FFFFFF"/>
        </w:rPr>
        <w:t xml:space="preserve"> a ‘</w:t>
      </w:r>
      <w:r w:rsidR="006A747E" w:rsidRPr="00472C9F">
        <w:rPr>
          <w:rFonts w:ascii="Calibri" w:hAnsi="Calibri" w:cs="Calibri"/>
          <w:sz w:val="24"/>
          <w:szCs w:val="24"/>
          <w:shd w:val="clear" w:color="auto" w:fill="FFFFFF"/>
        </w:rPr>
        <w:t>widespread perception of the EU’s so-called democratic deficit</w:t>
      </w:r>
      <w:r w:rsidR="00E9304C" w:rsidRPr="00472C9F">
        <w:rPr>
          <w:rFonts w:ascii="Calibri" w:hAnsi="Calibri" w:cs="Calibri"/>
          <w:sz w:val="24"/>
          <w:szCs w:val="24"/>
          <w:shd w:val="clear" w:color="auto" w:fill="FFFFFF"/>
        </w:rPr>
        <w:t>’</w:t>
      </w:r>
      <w:r w:rsidR="008F7D98" w:rsidRPr="00472C9F">
        <w:rPr>
          <w:rFonts w:ascii="Calibri" w:hAnsi="Calibri" w:cs="Calibri"/>
          <w:sz w:val="24"/>
          <w:szCs w:val="24"/>
          <w:shd w:val="clear" w:color="auto" w:fill="FFFFFF"/>
        </w:rPr>
        <w:t>.</w:t>
      </w:r>
      <w:r w:rsidR="00E9304C" w:rsidRPr="00472C9F">
        <w:rPr>
          <w:rStyle w:val="FootnoteReference"/>
          <w:rFonts w:ascii="Calibri" w:hAnsi="Calibri" w:cs="Calibri"/>
          <w:sz w:val="24"/>
          <w:szCs w:val="24"/>
          <w:shd w:val="clear" w:color="auto" w:fill="FFFFFF"/>
        </w:rPr>
        <w:footnoteReference w:id="42"/>
      </w:r>
      <w:r w:rsidR="003207EC" w:rsidRPr="00472C9F">
        <w:rPr>
          <w:rFonts w:ascii="Calibri" w:hAnsi="Calibri" w:cs="Calibri"/>
          <w:sz w:val="24"/>
          <w:szCs w:val="24"/>
          <w:shd w:val="clear" w:color="auto" w:fill="FFFFFF"/>
        </w:rPr>
        <w:t xml:space="preserve"> </w:t>
      </w:r>
      <w:r w:rsidR="00D94AC1" w:rsidRPr="00472C9F">
        <w:rPr>
          <w:rFonts w:ascii="Calibri" w:hAnsi="Calibri" w:cs="Calibri"/>
          <w:sz w:val="24"/>
          <w:szCs w:val="24"/>
          <w:shd w:val="clear" w:color="auto" w:fill="FFFFFF"/>
        </w:rPr>
        <w:t>This article is time</w:t>
      </w:r>
      <w:r w:rsidR="00301A46" w:rsidRPr="00472C9F">
        <w:rPr>
          <w:rFonts w:ascii="Calibri" w:hAnsi="Calibri" w:cs="Calibri"/>
          <w:sz w:val="24"/>
          <w:szCs w:val="24"/>
          <w:shd w:val="clear" w:color="auto" w:fill="FFFFFF"/>
        </w:rPr>
        <w:t>l</w:t>
      </w:r>
      <w:r w:rsidR="00D94AC1" w:rsidRPr="00472C9F">
        <w:rPr>
          <w:rFonts w:ascii="Calibri" w:hAnsi="Calibri" w:cs="Calibri"/>
          <w:sz w:val="24"/>
          <w:szCs w:val="24"/>
          <w:shd w:val="clear" w:color="auto" w:fill="FFFFFF"/>
        </w:rPr>
        <w:t xml:space="preserve">y as </w:t>
      </w:r>
      <w:r w:rsidR="003F26EC" w:rsidRPr="00472C9F">
        <w:rPr>
          <w:rFonts w:ascii="Calibri" w:hAnsi="Calibri" w:cs="Calibri"/>
          <w:sz w:val="24"/>
          <w:szCs w:val="24"/>
          <w:shd w:val="clear" w:color="auto" w:fill="FFFFFF"/>
        </w:rPr>
        <w:t>2024 s</w:t>
      </w:r>
      <w:r w:rsidR="00C6376A" w:rsidRPr="00472C9F">
        <w:rPr>
          <w:rFonts w:ascii="Calibri" w:hAnsi="Calibri" w:cs="Calibri"/>
          <w:sz w:val="24"/>
          <w:szCs w:val="24"/>
          <w:shd w:val="clear" w:color="auto" w:fill="FFFFFF"/>
        </w:rPr>
        <w:t xml:space="preserve">aw </w:t>
      </w:r>
      <w:r w:rsidR="00AE725C" w:rsidRPr="00472C9F">
        <w:rPr>
          <w:rFonts w:ascii="Calibri" w:hAnsi="Calibri" w:cs="Calibri"/>
          <w:sz w:val="24"/>
          <w:szCs w:val="24"/>
          <w:shd w:val="clear" w:color="auto" w:fill="FFFFFF"/>
        </w:rPr>
        <w:t xml:space="preserve">populist </w:t>
      </w:r>
      <w:r w:rsidR="00D71790" w:rsidRPr="00472C9F">
        <w:rPr>
          <w:rFonts w:ascii="Calibri" w:hAnsi="Calibri" w:cs="Calibri"/>
          <w:sz w:val="24"/>
          <w:szCs w:val="24"/>
        </w:rPr>
        <w:t>right</w:t>
      </w:r>
      <w:r w:rsidR="00B55617" w:rsidRPr="00472C9F">
        <w:rPr>
          <w:rFonts w:ascii="Calibri" w:hAnsi="Calibri" w:cs="Calibri"/>
          <w:sz w:val="24"/>
          <w:szCs w:val="24"/>
        </w:rPr>
        <w:t>-wing</w:t>
      </w:r>
      <w:r w:rsidR="00D71790" w:rsidRPr="00472C9F">
        <w:rPr>
          <w:rFonts w:ascii="Calibri" w:hAnsi="Calibri" w:cs="Calibri"/>
          <w:sz w:val="24"/>
          <w:szCs w:val="24"/>
        </w:rPr>
        <w:t xml:space="preserve"> politicians </w:t>
      </w:r>
      <w:r w:rsidR="009351BC" w:rsidRPr="00472C9F">
        <w:rPr>
          <w:rFonts w:ascii="Calibri" w:hAnsi="Calibri" w:cs="Calibri"/>
          <w:sz w:val="24"/>
          <w:szCs w:val="24"/>
        </w:rPr>
        <w:t>making gains in the</w:t>
      </w:r>
      <w:r w:rsidR="00D71790" w:rsidRPr="00472C9F">
        <w:rPr>
          <w:rFonts w:ascii="Calibri" w:hAnsi="Calibri" w:cs="Calibri"/>
          <w:sz w:val="24"/>
          <w:szCs w:val="24"/>
        </w:rPr>
        <w:t xml:space="preserve"> European Parliament</w:t>
      </w:r>
      <w:r w:rsidR="001F6A92" w:rsidRPr="00472C9F">
        <w:rPr>
          <w:rFonts w:ascii="Calibri" w:hAnsi="Calibri" w:cs="Calibri"/>
          <w:sz w:val="24"/>
          <w:szCs w:val="24"/>
        </w:rPr>
        <w:t xml:space="preserve"> </w:t>
      </w:r>
      <w:r w:rsidR="00AE725C" w:rsidRPr="00472C9F">
        <w:rPr>
          <w:rFonts w:ascii="Calibri" w:hAnsi="Calibri" w:cs="Calibri"/>
          <w:sz w:val="24"/>
          <w:szCs w:val="24"/>
        </w:rPr>
        <w:t>elections</w:t>
      </w:r>
      <w:r w:rsidR="008F7D98" w:rsidRPr="00472C9F">
        <w:rPr>
          <w:rFonts w:ascii="Calibri" w:hAnsi="Calibri" w:cs="Calibri"/>
          <w:sz w:val="24"/>
          <w:szCs w:val="24"/>
        </w:rPr>
        <w:t xml:space="preserve"> following </w:t>
      </w:r>
      <w:r w:rsidR="00D6334B" w:rsidRPr="00472C9F">
        <w:rPr>
          <w:rFonts w:ascii="Calibri" w:hAnsi="Calibri" w:cs="Calibri"/>
          <w:sz w:val="24"/>
          <w:szCs w:val="24"/>
        </w:rPr>
        <w:t>similar results in elections across Europe</w:t>
      </w:r>
      <w:r w:rsidR="00817A19" w:rsidRPr="00472C9F">
        <w:rPr>
          <w:rFonts w:ascii="Calibri" w:hAnsi="Calibri" w:cs="Calibri"/>
          <w:sz w:val="24"/>
          <w:szCs w:val="24"/>
        </w:rPr>
        <w:t xml:space="preserve">. </w:t>
      </w:r>
      <w:r w:rsidR="00D6334B" w:rsidRPr="00472C9F">
        <w:rPr>
          <w:rFonts w:ascii="Calibri" w:hAnsi="Calibri" w:cs="Calibri"/>
          <w:sz w:val="24"/>
          <w:szCs w:val="24"/>
        </w:rPr>
        <w:t>For example, i</w:t>
      </w:r>
      <w:r w:rsidR="00817A19" w:rsidRPr="00472C9F">
        <w:rPr>
          <w:rFonts w:ascii="Calibri" w:hAnsi="Calibri" w:cs="Calibri"/>
          <w:sz w:val="24"/>
          <w:szCs w:val="24"/>
        </w:rPr>
        <w:t>n 2022</w:t>
      </w:r>
      <w:r w:rsidR="00AE725C" w:rsidRPr="00472C9F">
        <w:rPr>
          <w:rFonts w:ascii="Calibri" w:hAnsi="Calibri" w:cs="Calibri"/>
          <w:sz w:val="24"/>
          <w:szCs w:val="24"/>
        </w:rPr>
        <w:t xml:space="preserve"> </w:t>
      </w:r>
      <w:r w:rsidR="00625ACA" w:rsidRPr="00472C9F">
        <w:rPr>
          <w:rFonts w:ascii="Calibri" w:hAnsi="Calibri" w:cs="Calibri"/>
          <w:sz w:val="24"/>
          <w:szCs w:val="24"/>
        </w:rPr>
        <w:t xml:space="preserve">a </w:t>
      </w:r>
      <w:r w:rsidR="00B55617" w:rsidRPr="00472C9F">
        <w:rPr>
          <w:rFonts w:ascii="Calibri" w:hAnsi="Calibri" w:cs="Calibri"/>
          <w:sz w:val="24"/>
          <w:szCs w:val="24"/>
        </w:rPr>
        <w:t xml:space="preserve">populist </w:t>
      </w:r>
      <w:r w:rsidRPr="00472C9F">
        <w:rPr>
          <w:rFonts w:ascii="Calibri" w:hAnsi="Calibri" w:cs="Calibri"/>
          <w:sz w:val="24"/>
          <w:szCs w:val="24"/>
        </w:rPr>
        <w:t>right</w:t>
      </w:r>
      <w:r w:rsidR="00B55617" w:rsidRPr="00472C9F">
        <w:rPr>
          <w:rFonts w:ascii="Calibri" w:hAnsi="Calibri" w:cs="Calibri"/>
          <w:sz w:val="24"/>
          <w:szCs w:val="24"/>
        </w:rPr>
        <w:t>-wing</w:t>
      </w:r>
      <w:r w:rsidRPr="00472C9F">
        <w:rPr>
          <w:rFonts w:ascii="Calibri" w:hAnsi="Calibri" w:cs="Calibri"/>
          <w:sz w:val="24"/>
          <w:szCs w:val="24"/>
        </w:rPr>
        <w:t xml:space="preserve"> </w:t>
      </w:r>
      <w:r w:rsidR="00625ACA" w:rsidRPr="00472C9F">
        <w:rPr>
          <w:rFonts w:ascii="Calibri" w:hAnsi="Calibri" w:cs="Calibri"/>
          <w:sz w:val="24"/>
          <w:szCs w:val="24"/>
        </w:rPr>
        <w:t>Prime Minister (G</w:t>
      </w:r>
      <w:r w:rsidR="00717F64" w:rsidRPr="00472C9F">
        <w:rPr>
          <w:rFonts w:ascii="Calibri" w:hAnsi="Calibri" w:cs="Calibri"/>
          <w:sz w:val="24"/>
          <w:szCs w:val="24"/>
        </w:rPr>
        <w:t>iorgia</w:t>
      </w:r>
      <w:r w:rsidR="00625ACA" w:rsidRPr="00472C9F">
        <w:rPr>
          <w:rFonts w:ascii="Calibri" w:hAnsi="Calibri" w:cs="Calibri"/>
          <w:sz w:val="24"/>
          <w:szCs w:val="24"/>
        </w:rPr>
        <w:t xml:space="preserve"> Maloni)</w:t>
      </w:r>
      <w:r w:rsidRPr="00472C9F">
        <w:rPr>
          <w:rFonts w:ascii="Calibri" w:hAnsi="Calibri" w:cs="Calibri"/>
          <w:sz w:val="24"/>
          <w:szCs w:val="24"/>
        </w:rPr>
        <w:t xml:space="preserve"> </w:t>
      </w:r>
      <w:r w:rsidR="00817A19" w:rsidRPr="00472C9F">
        <w:rPr>
          <w:rFonts w:ascii="Calibri" w:hAnsi="Calibri" w:cs="Calibri"/>
          <w:sz w:val="24"/>
          <w:szCs w:val="24"/>
        </w:rPr>
        <w:t>w</w:t>
      </w:r>
      <w:r w:rsidR="00625ACA" w:rsidRPr="00472C9F">
        <w:rPr>
          <w:rFonts w:ascii="Calibri" w:hAnsi="Calibri" w:cs="Calibri"/>
          <w:sz w:val="24"/>
          <w:szCs w:val="24"/>
        </w:rPr>
        <w:t>as</w:t>
      </w:r>
      <w:r w:rsidR="00817A19" w:rsidRPr="00472C9F">
        <w:rPr>
          <w:rFonts w:ascii="Calibri" w:hAnsi="Calibri" w:cs="Calibri"/>
          <w:sz w:val="24"/>
          <w:szCs w:val="24"/>
        </w:rPr>
        <w:t xml:space="preserve"> </w:t>
      </w:r>
      <w:r w:rsidR="00D94AC1" w:rsidRPr="00472C9F">
        <w:rPr>
          <w:rFonts w:ascii="Calibri" w:hAnsi="Calibri" w:cs="Calibri"/>
          <w:sz w:val="24"/>
          <w:szCs w:val="24"/>
        </w:rPr>
        <w:t>elect</w:t>
      </w:r>
      <w:r w:rsidR="00817A19" w:rsidRPr="00472C9F">
        <w:rPr>
          <w:rFonts w:ascii="Calibri" w:hAnsi="Calibri" w:cs="Calibri"/>
          <w:sz w:val="24"/>
          <w:szCs w:val="24"/>
        </w:rPr>
        <w:t>ed</w:t>
      </w:r>
      <w:r w:rsidR="00D94AC1" w:rsidRPr="00472C9F">
        <w:rPr>
          <w:rFonts w:ascii="Calibri" w:hAnsi="Calibri" w:cs="Calibri"/>
          <w:sz w:val="24"/>
          <w:szCs w:val="24"/>
        </w:rPr>
        <w:t xml:space="preserve"> in </w:t>
      </w:r>
      <w:r w:rsidR="0089095E" w:rsidRPr="00472C9F">
        <w:rPr>
          <w:rFonts w:ascii="Calibri" w:hAnsi="Calibri" w:cs="Calibri"/>
          <w:sz w:val="24"/>
          <w:szCs w:val="24"/>
        </w:rPr>
        <w:t>Italy</w:t>
      </w:r>
      <w:r w:rsidR="00105353" w:rsidRPr="00472C9F">
        <w:rPr>
          <w:rFonts w:ascii="Calibri" w:hAnsi="Calibri" w:cs="Calibri"/>
          <w:sz w:val="24"/>
          <w:szCs w:val="24"/>
        </w:rPr>
        <w:t xml:space="preserve"> and Hungary’s populist right wing Prime Minister </w:t>
      </w:r>
      <w:r w:rsidR="00E85F27" w:rsidRPr="00472C9F">
        <w:rPr>
          <w:rFonts w:ascii="Calibri" w:eastAsia="Times New Roman" w:hAnsi="Calibri" w:cs="Calibri"/>
          <w:sz w:val="24"/>
          <w:szCs w:val="24"/>
          <w:lang w:eastAsia="en-GB"/>
        </w:rPr>
        <w:fldChar w:fldCharType="begin"/>
      </w:r>
      <w:r w:rsidR="00E85F27" w:rsidRPr="00472C9F">
        <w:rPr>
          <w:rFonts w:ascii="Calibri" w:eastAsia="Times New Roman" w:hAnsi="Calibri" w:cs="Calibri"/>
          <w:sz w:val="24"/>
          <w:szCs w:val="24"/>
          <w:lang w:eastAsia="en-GB"/>
        </w:rPr>
        <w:instrText>HYPERLINK "https://www.google.com/url?sa=t&amp;rct=j&amp;q=&amp;esrc=s&amp;source=web&amp;cd=&amp;cad=rja&amp;uact=8&amp;ved=2ahUKEwil75eXmeCIAxVgVkEAHTP8HyoQFnoECEAQAQ&amp;url=https%3A%2F%2Fen.wikipedia.org%2Fwiki%2FViktor_Orb%25C3%25A1n&amp;usg=AOvVaw39xZDq4rgypD2I_ZquWne0&amp;opi=89978449"</w:instrText>
      </w:r>
      <w:r w:rsidR="00E85F27" w:rsidRPr="00472C9F">
        <w:rPr>
          <w:rFonts w:ascii="Calibri" w:eastAsia="Times New Roman" w:hAnsi="Calibri" w:cs="Calibri"/>
          <w:sz w:val="24"/>
          <w:szCs w:val="24"/>
          <w:lang w:eastAsia="en-GB"/>
        </w:rPr>
      </w:r>
      <w:r w:rsidR="00E85F27" w:rsidRPr="00472C9F">
        <w:rPr>
          <w:rFonts w:ascii="Calibri" w:eastAsia="Times New Roman" w:hAnsi="Calibri" w:cs="Calibri"/>
          <w:sz w:val="24"/>
          <w:szCs w:val="24"/>
          <w:lang w:eastAsia="en-GB"/>
        </w:rPr>
        <w:fldChar w:fldCharType="separate"/>
      </w:r>
      <w:r w:rsidR="00864D0A" w:rsidRPr="00472C9F">
        <w:rPr>
          <w:rFonts w:ascii="Calibri" w:eastAsia="Times New Roman" w:hAnsi="Calibri" w:cs="Calibri"/>
          <w:sz w:val="24"/>
          <w:szCs w:val="24"/>
          <w:shd w:val="clear" w:color="auto" w:fill="FFFFFF"/>
          <w:lang w:eastAsia="en-GB"/>
        </w:rPr>
        <w:t>(</w:t>
      </w:r>
      <w:r w:rsidR="00E85F27" w:rsidRPr="00472C9F">
        <w:rPr>
          <w:rFonts w:ascii="Calibri" w:eastAsia="Times New Roman" w:hAnsi="Calibri" w:cs="Calibri"/>
          <w:sz w:val="24"/>
          <w:szCs w:val="24"/>
          <w:shd w:val="clear" w:color="auto" w:fill="FFFFFF"/>
          <w:lang w:eastAsia="en-GB"/>
        </w:rPr>
        <w:t>Viktor Orbán</w:t>
      </w:r>
      <w:r w:rsidR="00864D0A" w:rsidRPr="00472C9F">
        <w:rPr>
          <w:rFonts w:ascii="Calibri" w:eastAsia="Times New Roman" w:hAnsi="Calibri" w:cs="Calibri"/>
          <w:sz w:val="24"/>
          <w:szCs w:val="24"/>
          <w:shd w:val="clear" w:color="auto" w:fill="FFFFFF"/>
          <w:lang w:eastAsia="en-GB"/>
        </w:rPr>
        <w:t>)</w:t>
      </w:r>
      <w:r w:rsidR="00864D0A" w:rsidRPr="00472C9F">
        <w:rPr>
          <w:rFonts w:ascii="Calibri" w:hAnsi="Calibri" w:cs="Calibri"/>
          <w:sz w:val="24"/>
          <w:szCs w:val="24"/>
        </w:rPr>
        <w:t xml:space="preserve"> was re-elected. In 2023 a populist right-wing party became the largest political party in the Netherlands House of Representatives.</w:t>
      </w:r>
      <w:r w:rsidR="00CE033B" w:rsidRPr="00472C9F">
        <w:rPr>
          <w:rFonts w:ascii="Calibri" w:hAnsi="Calibri" w:cs="Calibri"/>
          <w:sz w:val="24"/>
          <w:szCs w:val="24"/>
        </w:rPr>
        <w:t xml:space="preserve"> Whilst there are many reasons for the ri</w:t>
      </w:r>
      <w:r w:rsidR="003618C1" w:rsidRPr="00472C9F">
        <w:rPr>
          <w:rFonts w:ascii="Calibri" w:hAnsi="Calibri" w:cs="Calibri"/>
          <w:sz w:val="24"/>
          <w:szCs w:val="24"/>
        </w:rPr>
        <w:t>se</w:t>
      </w:r>
      <w:r w:rsidR="00CE033B" w:rsidRPr="00472C9F">
        <w:rPr>
          <w:rFonts w:ascii="Calibri" w:hAnsi="Calibri" w:cs="Calibri"/>
          <w:sz w:val="24"/>
          <w:szCs w:val="24"/>
        </w:rPr>
        <w:t xml:space="preserve"> of the far right, including difficult economic circumstance and high immigration, </w:t>
      </w:r>
      <w:proofErr w:type="spellStart"/>
      <w:r w:rsidR="00CE033B" w:rsidRPr="00472C9F">
        <w:rPr>
          <w:rFonts w:ascii="Calibri" w:hAnsi="Calibri" w:cs="Calibri"/>
          <w:sz w:val="24"/>
          <w:szCs w:val="24"/>
        </w:rPr>
        <w:t>Euroskepticism</w:t>
      </w:r>
      <w:proofErr w:type="spellEnd"/>
      <w:r w:rsidR="00CE033B" w:rsidRPr="00472C9F">
        <w:rPr>
          <w:rFonts w:ascii="Calibri" w:hAnsi="Calibri" w:cs="Calibri"/>
          <w:sz w:val="24"/>
          <w:szCs w:val="24"/>
        </w:rPr>
        <w:t xml:space="preserve"> also plays a part. This has led to the EU experiencing increasing challenges to its authority, known as the ‘EU’s Rule of Law crisis’.</w:t>
      </w:r>
      <w:r w:rsidR="00CE033B" w:rsidRPr="00472C9F">
        <w:rPr>
          <w:rStyle w:val="FootnoteReference"/>
          <w:rFonts w:ascii="Calibri" w:hAnsi="Calibri" w:cs="Calibri"/>
          <w:sz w:val="24"/>
          <w:szCs w:val="24"/>
        </w:rPr>
        <w:footnoteReference w:id="43"/>
      </w:r>
      <w:r w:rsidR="009E17B5" w:rsidRPr="00472C9F">
        <w:rPr>
          <w:rFonts w:ascii="Calibri" w:hAnsi="Calibri" w:cs="Calibri"/>
          <w:sz w:val="24"/>
          <w:szCs w:val="24"/>
        </w:rPr>
        <w:t xml:space="preserve"> The EU’s </w:t>
      </w:r>
      <w:r w:rsidR="002B1DBD">
        <w:rPr>
          <w:rFonts w:ascii="Calibri" w:hAnsi="Calibri" w:cs="Calibri"/>
          <w:sz w:val="24"/>
          <w:szCs w:val="24"/>
        </w:rPr>
        <w:t>R</w:t>
      </w:r>
      <w:r w:rsidR="009E17B5" w:rsidRPr="00472C9F">
        <w:rPr>
          <w:rFonts w:ascii="Calibri" w:hAnsi="Calibri" w:cs="Calibri"/>
          <w:sz w:val="24"/>
          <w:szCs w:val="24"/>
        </w:rPr>
        <w:t xml:space="preserve">ule of Law enshrined under Article 2 of the Treaty of the European Union </w:t>
      </w:r>
      <w:r w:rsidR="00167912" w:rsidRPr="00472C9F">
        <w:rPr>
          <w:rFonts w:ascii="Calibri" w:hAnsi="Calibri" w:cs="Calibri"/>
          <w:sz w:val="24"/>
          <w:szCs w:val="24"/>
        </w:rPr>
        <w:t xml:space="preserve">is </w:t>
      </w:r>
      <w:r w:rsidR="009E17B5" w:rsidRPr="00472C9F">
        <w:rPr>
          <w:rFonts w:ascii="Calibri" w:hAnsi="Calibri" w:cs="Calibri"/>
          <w:sz w:val="24"/>
          <w:szCs w:val="24"/>
        </w:rPr>
        <w:t>described by the European Commission as being a ‘cornerstone of the European Union’</w:t>
      </w:r>
      <w:r w:rsidR="00167912" w:rsidRPr="00472C9F">
        <w:rPr>
          <w:rFonts w:ascii="Calibri" w:hAnsi="Calibri" w:cs="Calibri"/>
          <w:sz w:val="24"/>
          <w:szCs w:val="24"/>
        </w:rPr>
        <w:t>.</w:t>
      </w:r>
      <w:r w:rsidR="009E17B5" w:rsidRPr="00472C9F">
        <w:rPr>
          <w:rStyle w:val="FootnoteReference"/>
          <w:rFonts w:ascii="Calibri" w:hAnsi="Calibri" w:cs="Calibri"/>
          <w:sz w:val="24"/>
          <w:szCs w:val="24"/>
        </w:rPr>
        <w:footnoteReference w:id="44"/>
      </w:r>
      <w:r w:rsidR="009E17B5" w:rsidRPr="00472C9F">
        <w:rPr>
          <w:rFonts w:ascii="Calibri" w:hAnsi="Calibri" w:cs="Calibri"/>
          <w:sz w:val="24"/>
          <w:szCs w:val="24"/>
        </w:rPr>
        <w:t xml:space="preserve"> </w:t>
      </w:r>
      <w:r w:rsidR="00167912" w:rsidRPr="00472C9F">
        <w:rPr>
          <w:rFonts w:ascii="Calibri" w:hAnsi="Calibri" w:cs="Calibri"/>
          <w:sz w:val="24"/>
          <w:szCs w:val="24"/>
        </w:rPr>
        <w:t xml:space="preserve">The </w:t>
      </w:r>
      <w:r w:rsidR="002B1DBD">
        <w:rPr>
          <w:rFonts w:ascii="Calibri" w:hAnsi="Calibri" w:cs="Calibri"/>
          <w:sz w:val="24"/>
          <w:szCs w:val="24"/>
        </w:rPr>
        <w:t>R</w:t>
      </w:r>
      <w:r w:rsidR="00167912" w:rsidRPr="00472C9F">
        <w:rPr>
          <w:rFonts w:ascii="Calibri" w:hAnsi="Calibri" w:cs="Calibri"/>
          <w:sz w:val="24"/>
          <w:szCs w:val="24"/>
        </w:rPr>
        <w:t xml:space="preserve">ule of </w:t>
      </w:r>
      <w:r w:rsidR="002B1DBD">
        <w:rPr>
          <w:rFonts w:ascii="Calibri" w:hAnsi="Calibri" w:cs="Calibri"/>
          <w:sz w:val="24"/>
          <w:szCs w:val="24"/>
        </w:rPr>
        <w:t>L</w:t>
      </w:r>
      <w:r w:rsidR="00167912" w:rsidRPr="00472C9F">
        <w:rPr>
          <w:rFonts w:ascii="Calibri" w:hAnsi="Calibri" w:cs="Calibri"/>
          <w:sz w:val="24"/>
          <w:szCs w:val="24"/>
        </w:rPr>
        <w:t xml:space="preserve">aw </w:t>
      </w:r>
      <w:r w:rsidR="009E17B5" w:rsidRPr="00472C9F">
        <w:rPr>
          <w:rFonts w:ascii="Calibri" w:hAnsi="Calibri" w:cs="Calibri"/>
          <w:sz w:val="24"/>
          <w:szCs w:val="24"/>
        </w:rPr>
        <w:t>requires uniform application of EU law across Europe and is linked to important concepts such as legality, legal certainty and effective judicial protection</w:t>
      </w:r>
      <w:r w:rsidR="007B7B44" w:rsidRPr="00472C9F">
        <w:rPr>
          <w:rFonts w:ascii="Calibri" w:hAnsi="Calibri" w:cs="Calibri"/>
          <w:sz w:val="24"/>
          <w:szCs w:val="24"/>
        </w:rPr>
        <w:t>, separation of powers and equality before the law</w:t>
      </w:r>
      <w:r w:rsidR="009E17B5" w:rsidRPr="00472C9F">
        <w:rPr>
          <w:rFonts w:ascii="Calibri" w:hAnsi="Calibri" w:cs="Calibri"/>
          <w:sz w:val="24"/>
          <w:szCs w:val="24"/>
        </w:rPr>
        <w:t>.</w:t>
      </w:r>
      <w:r w:rsidR="009E17B5" w:rsidRPr="00472C9F">
        <w:rPr>
          <w:rStyle w:val="FootnoteReference"/>
          <w:rFonts w:ascii="Calibri" w:eastAsia="Times New Roman" w:hAnsi="Calibri" w:cs="Calibri"/>
          <w:color w:val="000000"/>
          <w:sz w:val="24"/>
          <w:szCs w:val="24"/>
          <w:lang w:eastAsia="en-GB"/>
        </w:rPr>
        <w:footnoteReference w:id="45"/>
      </w:r>
      <w:r w:rsidR="009E17B5" w:rsidRPr="00472C9F">
        <w:rPr>
          <w:rFonts w:ascii="Calibri" w:eastAsia="Times New Roman" w:hAnsi="Calibri" w:cs="Calibri"/>
          <w:color w:val="000000"/>
          <w:sz w:val="24"/>
          <w:szCs w:val="24"/>
          <w:lang w:eastAsia="en-GB"/>
        </w:rPr>
        <w:t xml:space="preserve">  </w:t>
      </w:r>
      <w:r w:rsidR="006521DF" w:rsidRPr="00472C9F">
        <w:rPr>
          <w:rFonts w:ascii="Calibri" w:hAnsi="Calibri" w:cs="Calibri"/>
          <w:sz w:val="24"/>
          <w:szCs w:val="24"/>
        </w:rPr>
        <w:t>One of the key areas of challenge to the EU’s Rule of Law is resistance from certain EU Member States to EU legislation prohibiting discrimination against lesbians and gays. Th</w:t>
      </w:r>
      <w:r w:rsidR="00206A38" w:rsidRPr="00472C9F">
        <w:rPr>
          <w:rFonts w:ascii="Calibri" w:hAnsi="Calibri" w:cs="Calibri"/>
          <w:sz w:val="24"/>
          <w:szCs w:val="24"/>
        </w:rPr>
        <w:t>is can be demonstrated by the</w:t>
      </w:r>
      <w:r w:rsidR="006521DF" w:rsidRPr="00472C9F">
        <w:rPr>
          <w:rFonts w:ascii="Calibri" w:hAnsi="Calibri" w:cs="Calibri"/>
          <w:sz w:val="24"/>
          <w:szCs w:val="24"/>
        </w:rPr>
        <w:t xml:space="preserve"> Commission commenc</w:t>
      </w:r>
      <w:r w:rsidR="00206A38" w:rsidRPr="00472C9F">
        <w:rPr>
          <w:rFonts w:ascii="Calibri" w:hAnsi="Calibri" w:cs="Calibri"/>
          <w:sz w:val="24"/>
          <w:szCs w:val="24"/>
        </w:rPr>
        <w:t>ing</w:t>
      </w:r>
      <w:r w:rsidR="006521DF" w:rsidRPr="00472C9F">
        <w:rPr>
          <w:rFonts w:ascii="Calibri" w:hAnsi="Calibri" w:cs="Calibri"/>
          <w:sz w:val="24"/>
          <w:szCs w:val="24"/>
        </w:rPr>
        <w:t xml:space="preserve"> legal action against Hungary and Poland in 2021 for violations of fundamental rights of LGBTIQ people contrary to EU law.</w:t>
      </w:r>
      <w:r w:rsidR="006521DF" w:rsidRPr="00472C9F">
        <w:rPr>
          <w:rStyle w:val="FootnoteReference"/>
          <w:rFonts w:ascii="Calibri" w:hAnsi="Calibri" w:cs="Calibri"/>
          <w:sz w:val="24"/>
          <w:szCs w:val="24"/>
        </w:rPr>
        <w:footnoteReference w:id="46"/>
      </w:r>
      <w:r w:rsidR="006521DF" w:rsidRPr="00472C9F">
        <w:rPr>
          <w:rFonts w:ascii="Calibri" w:hAnsi="Calibri" w:cs="Calibri"/>
          <w:sz w:val="24"/>
          <w:szCs w:val="24"/>
        </w:rPr>
        <w:t xml:space="preserve"> Whilst the case against Poland has been dropped, the EU Commission case against Hungary (with interventions from 15 EU Member States) is now proceeding before the C</w:t>
      </w:r>
      <w:r w:rsidR="00C87772">
        <w:rPr>
          <w:rFonts w:ascii="Calibri" w:hAnsi="Calibri" w:cs="Calibri"/>
          <w:sz w:val="24"/>
          <w:szCs w:val="24"/>
        </w:rPr>
        <w:t xml:space="preserve">ourt of Justice of </w:t>
      </w:r>
      <w:r w:rsidR="00C87772">
        <w:rPr>
          <w:rFonts w:ascii="Calibri" w:hAnsi="Calibri" w:cs="Calibri"/>
          <w:sz w:val="24"/>
          <w:szCs w:val="24"/>
        </w:rPr>
        <w:lastRenderedPageBreak/>
        <w:t>the European Union (C</w:t>
      </w:r>
      <w:r w:rsidR="006521DF" w:rsidRPr="00472C9F">
        <w:rPr>
          <w:rFonts w:ascii="Calibri" w:hAnsi="Calibri" w:cs="Calibri"/>
          <w:sz w:val="24"/>
          <w:szCs w:val="24"/>
        </w:rPr>
        <w:t>JEU</w:t>
      </w:r>
      <w:r w:rsidR="00C87772">
        <w:rPr>
          <w:rFonts w:ascii="Calibri" w:hAnsi="Calibri" w:cs="Calibri"/>
          <w:sz w:val="24"/>
          <w:szCs w:val="24"/>
        </w:rPr>
        <w:t>)</w:t>
      </w:r>
      <w:r w:rsidR="006521DF" w:rsidRPr="00472C9F">
        <w:rPr>
          <w:rFonts w:ascii="Calibri" w:hAnsi="Calibri" w:cs="Calibri"/>
          <w:sz w:val="24"/>
          <w:szCs w:val="24"/>
        </w:rPr>
        <w:t>.</w:t>
      </w:r>
      <w:r w:rsidR="006521DF" w:rsidRPr="00472C9F">
        <w:rPr>
          <w:rStyle w:val="FootnoteReference"/>
          <w:rFonts w:ascii="Calibri" w:hAnsi="Calibri" w:cs="Calibri"/>
          <w:sz w:val="24"/>
          <w:szCs w:val="24"/>
        </w:rPr>
        <w:footnoteReference w:id="47"/>
      </w:r>
      <w:r w:rsidR="00B5604A" w:rsidRPr="00472C9F">
        <w:rPr>
          <w:rFonts w:ascii="Calibri" w:hAnsi="Calibri" w:cs="Calibri"/>
          <w:sz w:val="24"/>
          <w:szCs w:val="24"/>
        </w:rPr>
        <w:t xml:space="preserve"> In addition</w:t>
      </w:r>
      <w:r w:rsidR="00C87772">
        <w:rPr>
          <w:rFonts w:ascii="Calibri" w:hAnsi="Calibri" w:cs="Calibri"/>
          <w:sz w:val="24"/>
          <w:szCs w:val="24"/>
        </w:rPr>
        <w:t>,</w:t>
      </w:r>
      <w:r w:rsidR="00B5604A" w:rsidRPr="00472C9F">
        <w:rPr>
          <w:rFonts w:ascii="Calibri" w:hAnsi="Calibri" w:cs="Calibri"/>
          <w:sz w:val="24"/>
          <w:szCs w:val="24"/>
        </w:rPr>
        <w:t xml:space="preserve"> despite EU soft law (</w:t>
      </w:r>
      <w:proofErr w:type="spellStart"/>
      <w:r w:rsidR="00B5604A" w:rsidRPr="00472C9F">
        <w:rPr>
          <w:rFonts w:ascii="Calibri" w:hAnsi="Calibri" w:cs="Calibri"/>
          <w:sz w:val="24"/>
          <w:szCs w:val="24"/>
        </w:rPr>
        <w:t>non binding</w:t>
      </w:r>
      <w:proofErr w:type="spellEnd"/>
      <w:r w:rsidR="00B5604A" w:rsidRPr="00472C9F">
        <w:rPr>
          <w:rFonts w:ascii="Calibri" w:hAnsi="Calibri" w:cs="Calibri"/>
          <w:sz w:val="24"/>
          <w:szCs w:val="24"/>
        </w:rPr>
        <w:t>) support for lesbians and gays,</w:t>
      </w:r>
      <w:r w:rsidR="00B5604A" w:rsidRPr="00472C9F">
        <w:rPr>
          <w:rStyle w:val="FootnoteReference"/>
          <w:rFonts w:ascii="Calibri" w:hAnsi="Calibri" w:cs="Calibri"/>
          <w:sz w:val="24"/>
          <w:szCs w:val="24"/>
        </w:rPr>
        <w:footnoteReference w:id="48"/>
      </w:r>
      <w:r w:rsidR="00B5604A" w:rsidRPr="00472C9F">
        <w:rPr>
          <w:rFonts w:ascii="Calibri" w:hAnsi="Calibri" w:cs="Calibri"/>
          <w:color w:val="000000"/>
          <w:sz w:val="24"/>
          <w:szCs w:val="24"/>
          <w:shd w:val="clear" w:color="auto" w:fill="FFFFFF"/>
        </w:rPr>
        <w:t xml:space="preserve"> r</w:t>
      </w:r>
      <w:r w:rsidR="00B5604A" w:rsidRPr="00472C9F">
        <w:rPr>
          <w:rFonts w:ascii="Calibri" w:hAnsi="Calibri" w:cs="Calibri"/>
          <w:sz w:val="24"/>
          <w:szCs w:val="24"/>
        </w:rPr>
        <w:t xml:space="preserve">ight wing governments in Europe have recently enacted legislation which impacts negatively on lesbians and gays. </w:t>
      </w:r>
      <w:r w:rsidR="00004287" w:rsidRPr="00472C9F">
        <w:rPr>
          <w:rFonts w:ascii="Calibri" w:hAnsi="Calibri" w:cs="Calibri"/>
          <w:sz w:val="24"/>
          <w:szCs w:val="24"/>
        </w:rPr>
        <w:t xml:space="preserve">In 2021, </w:t>
      </w:r>
      <w:r w:rsidR="00B5604A" w:rsidRPr="00472C9F">
        <w:rPr>
          <w:rFonts w:ascii="Calibri" w:hAnsi="Calibri" w:cs="Calibri"/>
          <w:sz w:val="24"/>
          <w:szCs w:val="24"/>
        </w:rPr>
        <w:t>Prime Minister Viktor Orban of Hungary supported legislation to partially ban adoption by same-sex couples.</w:t>
      </w:r>
      <w:r w:rsidR="00B5604A" w:rsidRPr="00472C9F">
        <w:rPr>
          <w:rStyle w:val="FootnoteReference"/>
          <w:rFonts w:ascii="Calibri" w:hAnsi="Calibri" w:cs="Calibri"/>
          <w:sz w:val="24"/>
          <w:szCs w:val="24"/>
        </w:rPr>
        <w:footnoteReference w:id="49"/>
      </w:r>
      <w:r w:rsidR="00B5604A" w:rsidRPr="00472C9F">
        <w:rPr>
          <w:rFonts w:ascii="Calibri" w:hAnsi="Calibri" w:cs="Calibri"/>
          <w:sz w:val="24"/>
          <w:szCs w:val="24"/>
        </w:rPr>
        <w:t xml:space="preserve"> In Autumn 2023, Italy under </w:t>
      </w:r>
      <w:proofErr w:type="spellStart"/>
      <w:r w:rsidR="00AA2BD6" w:rsidRPr="00472C9F">
        <w:rPr>
          <w:rFonts w:ascii="Calibri" w:hAnsi="Calibri" w:cs="Calibri"/>
          <w:sz w:val="24"/>
          <w:szCs w:val="24"/>
        </w:rPr>
        <w:t>rightwing</w:t>
      </w:r>
      <w:proofErr w:type="spellEnd"/>
      <w:r w:rsidR="00AA2BD6" w:rsidRPr="00472C9F">
        <w:rPr>
          <w:rFonts w:ascii="Calibri" w:hAnsi="Calibri" w:cs="Calibri"/>
          <w:sz w:val="24"/>
          <w:szCs w:val="24"/>
        </w:rPr>
        <w:t xml:space="preserve"> </w:t>
      </w:r>
      <w:r w:rsidR="00B5604A" w:rsidRPr="00472C9F">
        <w:rPr>
          <w:rFonts w:ascii="Calibri" w:hAnsi="Calibri" w:cs="Calibri"/>
          <w:sz w:val="24"/>
          <w:szCs w:val="24"/>
        </w:rPr>
        <w:t xml:space="preserve">Prime Minister </w:t>
      </w:r>
      <w:r w:rsidR="00B5604A" w:rsidRPr="00472C9F">
        <w:rPr>
          <w:rFonts w:ascii="Calibri" w:hAnsi="Calibri" w:cs="Calibri"/>
          <w:color w:val="000000"/>
          <w:sz w:val="24"/>
          <w:szCs w:val="24"/>
          <w:shd w:val="clear" w:color="auto" w:fill="FFFFFF"/>
        </w:rPr>
        <w:t>Giorgia Meloni limited recognition of parental rights to the biological parent only in the case of same-sex couples.</w:t>
      </w:r>
      <w:r w:rsidR="00B5604A" w:rsidRPr="00472C9F">
        <w:rPr>
          <w:rStyle w:val="FootnoteReference"/>
          <w:rFonts w:ascii="Calibri" w:hAnsi="Calibri" w:cs="Calibri"/>
          <w:color w:val="000000"/>
          <w:sz w:val="24"/>
          <w:szCs w:val="24"/>
          <w:shd w:val="clear" w:color="auto" w:fill="FFFFFF"/>
        </w:rPr>
        <w:footnoteReference w:id="50"/>
      </w:r>
      <w:r w:rsidR="00B5604A" w:rsidRPr="00472C9F">
        <w:rPr>
          <w:rFonts w:ascii="Calibri" w:hAnsi="Calibri" w:cs="Calibri"/>
          <w:color w:val="000000"/>
          <w:sz w:val="24"/>
          <w:szCs w:val="24"/>
          <w:shd w:val="clear" w:color="auto" w:fill="FFFFFF"/>
        </w:rPr>
        <w:t xml:space="preserve"> </w:t>
      </w:r>
    </w:p>
    <w:p w14:paraId="41BDF44C" w14:textId="58914EF5" w:rsidR="00E85F27" w:rsidRPr="00472C9F" w:rsidRDefault="00E85F27" w:rsidP="0059780E">
      <w:pPr>
        <w:spacing w:after="0" w:line="360" w:lineRule="auto"/>
        <w:jc w:val="both"/>
        <w:textAlignment w:val="baseline"/>
        <w:rPr>
          <w:rFonts w:ascii="Calibri" w:hAnsi="Calibri" w:cs="Calibri"/>
          <w:sz w:val="24"/>
          <w:szCs w:val="24"/>
        </w:rPr>
      </w:pPr>
    </w:p>
    <w:p w14:paraId="6ABB291F" w14:textId="4379C302" w:rsidR="00425418" w:rsidRPr="00472C9F" w:rsidRDefault="00E85F27" w:rsidP="0059780E">
      <w:pPr>
        <w:spacing w:after="0" w:line="360" w:lineRule="auto"/>
        <w:jc w:val="both"/>
        <w:textAlignment w:val="baseline"/>
        <w:rPr>
          <w:rFonts w:ascii="Calibri" w:hAnsi="Calibri" w:cs="Calibri"/>
          <w:color w:val="000000"/>
          <w:sz w:val="24"/>
          <w:szCs w:val="24"/>
          <w:shd w:val="clear" w:color="auto" w:fill="FFFFFF"/>
        </w:rPr>
      </w:pPr>
      <w:r w:rsidRPr="00472C9F">
        <w:rPr>
          <w:rFonts w:ascii="Calibri" w:eastAsia="Times New Roman" w:hAnsi="Calibri" w:cs="Calibri"/>
          <w:sz w:val="24"/>
          <w:szCs w:val="24"/>
          <w:lang w:eastAsia="en-GB"/>
        </w:rPr>
        <w:fldChar w:fldCharType="end"/>
      </w:r>
      <w:bookmarkStart w:id="2" w:name="_Hlk178162629"/>
      <w:r w:rsidR="00F227B5" w:rsidRPr="00472C9F">
        <w:rPr>
          <w:rFonts w:ascii="Calibri" w:eastAsiaTheme="minorEastAsia" w:hAnsi="Calibri" w:cs="Calibri"/>
          <w:kern w:val="24"/>
          <w:sz w:val="24"/>
          <w:szCs w:val="24"/>
        </w:rPr>
        <w:t>I</w:t>
      </w:r>
      <w:r w:rsidR="005222F5" w:rsidRPr="00472C9F">
        <w:rPr>
          <w:rFonts w:ascii="Calibri" w:eastAsiaTheme="minorEastAsia" w:hAnsi="Calibri" w:cs="Calibri"/>
          <w:kern w:val="24"/>
          <w:sz w:val="24"/>
          <w:szCs w:val="24"/>
        </w:rPr>
        <w:t>n the next section,</w:t>
      </w:r>
      <w:r w:rsidR="004A6875" w:rsidRPr="00472C9F">
        <w:rPr>
          <w:rFonts w:ascii="Calibri" w:eastAsiaTheme="minorEastAsia" w:hAnsi="Calibri" w:cs="Calibri"/>
          <w:kern w:val="24"/>
          <w:sz w:val="24"/>
          <w:szCs w:val="24"/>
        </w:rPr>
        <w:t xml:space="preserve"> I</w:t>
      </w:r>
      <w:r w:rsidR="00A95E7D" w:rsidRPr="00472C9F">
        <w:rPr>
          <w:rFonts w:ascii="Calibri" w:eastAsiaTheme="minorEastAsia" w:hAnsi="Calibri" w:cs="Calibri"/>
          <w:kern w:val="24"/>
          <w:sz w:val="24"/>
          <w:szCs w:val="24"/>
        </w:rPr>
        <w:t xml:space="preserve"> examine the </w:t>
      </w:r>
      <w:r w:rsidR="00DC55BC" w:rsidRPr="00472C9F">
        <w:rPr>
          <w:rFonts w:ascii="Calibri" w:eastAsiaTheme="minorEastAsia" w:hAnsi="Calibri" w:cs="Calibri"/>
          <w:kern w:val="24"/>
          <w:sz w:val="24"/>
          <w:szCs w:val="24"/>
        </w:rPr>
        <w:t>challenges in portraying</w:t>
      </w:r>
      <w:r w:rsidR="00A95E7D" w:rsidRPr="00472C9F">
        <w:rPr>
          <w:rFonts w:ascii="Calibri" w:eastAsiaTheme="minorEastAsia" w:hAnsi="Calibri" w:cs="Calibri"/>
          <w:kern w:val="24"/>
          <w:sz w:val="24"/>
          <w:szCs w:val="24"/>
        </w:rPr>
        <w:t xml:space="preserve"> </w:t>
      </w:r>
      <w:r w:rsidR="003C0227" w:rsidRPr="00472C9F">
        <w:rPr>
          <w:rFonts w:ascii="Calibri" w:eastAsiaTheme="minorEastAsia" w:hAnsi="Calibri" w:cs="Calibri"/>
          <w:kern w:val="24"/>
          <w:sz w:val="24"/>
          <w:szCs w:val="24"/>
        </w:rPr>
        <w:t>EU citizenship</w:t>
      </w:r>
      <w:r w:rsidR="00DC55BC" w:rsidRPr="00472C9F">
        <w:rPr>
          <w:rFonts w:ascii="Calibri" w:eastAsiaTheme="minorEastAsia" w:hAnsi="Calibri" w:cs="Calibri"/>
          <w:kern w:val="24"/>
          <w:sz w:val="24"/>
          <w:szCs w:val="24"/>
        </w:rPr>
        <w:t xml:space="preserve"> as inclusive</w:t>
      </w:r>
      <w:r w:rsidR="005222F5" w:rsidRPr="00472C9F">
        <w:rPr>
          <w:rFonts w:ascii="Calibri" w:eastAsiaTheme="minorEastAsia" w:hAnsi="Calibri" w:cs="Calibri"/>
          <w:kern w:val="24"/>
          <w:sz w:val="24"/>
          <w:szCs w:val="24"/>
        </w:rPr>
        <w:t xml:space="preserve"> </w:t>
      </w:r>
      <w:r w:rsidR="00DC55BC" w:rsidRPr="00472C9F">
        <w:rPr>
          <w:rFonts w:ascii="Calibri" w:eastAsiaTheme="minorEastAsia" w:hAnsi="Calibri" w:cs="Calibri"/>
          <w:kern w:val="24"/>
          <w:sz w:val="24"/>
          <w:szCs w:val="24"/>
        </w:rPr>
        <w:t>of lesbian and gays</w:t>
      </w:r>
      <w:r w:rsidR="00F227B5" w:rsidRPr="00472C9F">
        <w:rPr>
          <w:rFonts w:ascii="Calibri" w:eastAsiaTheme="minorEastAsia" w:hAnsi="Calibri" w:cs="Calibri"/>
          <w:kern w:val="24"/>
          <w:sz w:val="24"/>
          <w:szCs w:val="24"/>
        </w:rPr>
        <w:t>,</w:t>
      </w:r>
      <w:r w:rsidR="00DC55BC" w:rsidRPr="00472C9F">
        <w:rPr>
          <w:rFonts w:ascii="Calibri" w:eastAsiaTheme="minorEastAsia" w:hAnsi="Calibri" w:cs="Calibri"/>
          <w:kern w:val="24"/>
          <w:sz w:val="24"/>
          <w:szCs w:val="24"/>
        </w:rPr>
        <w:t xml:space="preserve"> </w:t>
      </w:r>
      <w:r w:rsidR="005222F5" w:rsidRPr="00472C9F">
        <w:rPr>
          <w:rFonts w:ascii="Calibri" w:eastAsiaTheme="minorEastAsia" w:hAnsi="Calibri" w:cs="Calibri"/>
          <w:kern w:val="24"/>
          <w:sz w:val="24"/>
          <w:szCs w:val="24"/>
        </w:rPr>
        <w:t>given the economic origins of the predecessors of the EU</w:t>
      </w:r>
      <w:r w:rsidR="00DC55BC" w:rsidRPr="00472C9F">
        <w:rPr>
          <w:rFonts w:ascii="Calibri" w:eastAsiaTheme="minorEastAsia" w:hAnsi="Calibri" w:cs="Calibri"/>
          <w:kern w:val="24"/>
          <w:sz w:val="24"/>
          <w:szCs w:val="24"/>
        </w:rPr>
        <w:t xml:space="preserve"> and the continuing views of many that the EU is primarily still a trade agreement</w:t>
      </w:r>
      <w:r w:rsidR="005222F5" w:rsidRPr="00472C9F">
        <w:rPr>
          <w:rFonts w:ascii="Calibri" w:eastAsiaTheme="minorEastAsia" w:hAnsi="Calibri" w:cs="Calibri"/>
          <w:kern w:val="24"/>
          <w:sz w:val="24"/>
          <w:szCs w:val="24"/>
        </w:rPr>
        <w:t>.</w:t>
      </w:r>
      <w:r w:rsidR="00F70AC3" w:rsidRPr="00472C9F">
        <w:rPr>
          <w:rFonts w:ascii="Calibri" w:eastAsiaTheme="minorEastAsia" w:hAnsi="Calibri" w:cs="Calibri"/>
          <w:kern w:val="24"/>
          <w:sz w:val="24"/>
          <w:szCs w:val="24"/>
        </w:rPr>
        <w:t xml:space="preserve"> </w:t>
      </w:r>
      <w:r w:rsidR="00FB3D96" w:rsidRPr="00472C9F">
        <w:rPr>
          <w:rFonts w:ascii="Calibri" w:eastAsiaTheme="minorEastAsia" w:hAnsi="Calibri" w:cs="Calibri"/>
          <w:kern w:val="24"/>
          <w:sz w:val="24"/>
          <w:szCs w:val="24"/>
        </w:rPr>
        <w:t>I argue that f</w:t>
      </w:r>
      <w:r w:rsidR="00F70AC3" w:rsidRPr="00472C9F">
        <w:rPr>
          <w:rFonts w:ascii="Calibri" w:eastAsiaTheme="minorEastAsia" w:hAnsi="Calibri" w:cs="Calibri"/>
          <w:kern w:val="24"/>
          <w:sz w:val="24"/>
          <w:szCs w:val="24"/>
        </w:rPr>
        <w:t>reedom of movement of the factors of production (including labour) at the basis of the original trade agreements</w:t>
      </w:r>
      <w:r w:rsidR="00604F01" w:rsidRPr="00472C9F">
        <w:rPr>
          <w:rFonts w:ascii="Calibri" w:eastAsiaTheme="minorEastAsia" w:hAnsi="Calibri" w:cs="Calibri"/>
          <w:kern w:val="24"/>
          <w:sz w:val="24"/>
          <w:szCs w:val="24"/>
        </w:rPr>
        <w:t xml:space="preserve"> </w:t>
      </w:r>
      <w:r w:rsidR="00E96885" w:rsidRPr="00472C9F">
        <w:rPr>
          <w:rFonts w:ascii="Calibri" w:eastAsiaTheme="minorEastAsia" w:hAnsi="Calibri" w:cs="Calibri"/>
          <w:kern w:val="24"/>
          <w:sz w:val="24"/>
          <w:szCs w:val="24"/>
        </w:rPr>
        <w:t>ha</w:t>
      </w:r>
      <w:r w:rsidR="00F66B6A">
        <w:rPr>
          <w:rFonts w:ascii="Calibri" w:eastAsiaTheme="minorEastAsia" w:hAnsi="Calibri" w:cs="Calibri"/>
          <w:kern w:val="24"/>
          <w:sz w:val="24"/>
          <w:szCs w:val="24"/>
        </w:rPr>
        <w:t>s</w:t>
      </w:r>
      <w:r w:rsidR="00E96885" w:rsidRPr="00472C9F">
        <w:rPr>
          <w:rFonts w:ascii="Calibri" w:eastAsiaTheme="minorEastAsia" w:hAnsi="Calibri" w:cs="Calibri"/>
          <w:kern w:val="24"/>
          <w:sz w:val="24"/>
          <w:szCs w:val="24"/>
        </w:rPr>
        <w:t xml:space="preserve"> continued to inform understandings of EU citizenship</w:t>
      </w:r>
      <w:r w:rsidR="00FB3D96" w:rsidRPr="00472C9F">
        <w:rPr>
          <w:rFonts w:ascii="Calibri" w:eastAsiaTheme="minorEastAsia" w:hAnsi="Calibri" w:cs="Calibri"/>
          <w:kern w:val="24"/>
          <w:sz w:val="24"/>
          <w:szCs w:val="24"/>
        </w:rPr>
        <w:t>.</w:t>
      </w:r>
      <w:r w:rsidR="00E96885" w:rsidRPr="00472C9F">
        <w:rPr>
          <w:rFonts w:ascii="Calibri" w:eastAsiaTheme="minorEastAsia" w:hAnsi="Calibri" w:cs="Calibri"/>
          <w:kern w:val="24"/>
          <w:sz w:val="24"/>
          <w:szCs w:val="24"/>
        </w:rPr>
        <w:t xml:space="preserve"> </w:t>
      </w:r>
      <w:r w:rsidR="00297AFD" w:rsidRPr="00472C9F">
        <w:rPr>
          <w:rFonts w:ascii="Calibri" w:eastAsiaTheme="minorEastAsia" w:hAnsi="Calibri" w:cs="Calibri"/>
          <w:kern w:val="24"/>
          <w:sz w:val="24"/>
          <w:szCs w:val="24"/>
        </w:rPr>
        <w:t xml:space="preserve">This means that </w:t>
      </w:r>
      <w:r w:rsidR="00E96885" w:rsidRPr="00472C9F">
        <w:rPr>
          <w:rFonts w:ascii="Calibri" w:eastAsiaTheme="minorEastAsia" w:hAnsi="Calibri" w:cs="Calibri"/>
          <w:kern w:val="24"/>
          <w:sz w:val="24"/>
          <w:szCs w:val="24"/>
        </w:rPr>
        <w:t>important social advances which have followed have been tied to such a conceptualisation.</w:t>
      </w:r>
      <w:r w:rsidR="005222F5" w:rsidRPr="00472C9F">
        <w:rPr>
          <w:rFonts w:ascii="Calibri" w:eastAsiaTheme="minorEastAsia" w:hAnsi="Calibri" w:cs="Calibri"/>
          <w:kern w:val="24"/>
          <w:sz w:val="24"/>
          <w:szCs w:val="24"/>
        </w:rPr>
        <w:t xml:space="preserve"> </w:t>
      </w:r>
      <w:bookmarkEnd w:id="2"/>
      <w:r w:rsidR="005222F5" w:rsidRPr="00472C9F">
        <w:rPr>
          <w:rFonts w:ascii="Calibri" w:eastAsiaTheme="minorEastAsia" w:hAnsi="Calibri" w:cs="Calibri"/>
          <w:kern w:val="24"/>
          <w:sz w:val="24"/>
          <w:szCs w:val="24"/>
        </w:rPr>
        <w:t xml:space="preserve">In section </w:t>
      </w:r>
      <w:r w:rsidR="003E7701" w:rsidRPr="00472C9F">
        <w:rPr>
          <w:rFonts w:ascii="Calibri" w:eastAsiaTheme="minorEastAsia" w:hAnsi="Calibri" w:cs="Calibri"/>
          <w:kern w:val="24"/>
          <w:sz w:val="24"/>
          <w:szCs w:val="24"/>
        </w:rPr>
        <w:t>3</w:t>
      </w:r>
      <w:r w:rsidR="0037675B" w:rsidRPr="00472C9F">
        <w:rPr>
          <w:rFonts w:ascii="Calibri" w:eastAsiaTheme="minorEastAsia" w:hAnsi="Calibri" w:cs="Calibri"/>
          <w:kern w:val="24"/>
          <w:sz w:val="24"/>
          <w:szCs w:val="24"/>
        </w:rPr>
        <w:t>,</w:t>
      </w:r>
      <w:r w:rsidR="005222F5" w:rsidRPr="00472C9F">
        <w:rPr>
          <w:rFonts w:ascii="Calibri" w:eastAsiaTheme="minorEastAsia" w:hAnsi="Calibri" w:cs="Calibri"/>
          <w:kern w:val="24"/>
          <w:sz w:val="24"/>
          <w:szCs w:val="24"/>
        </w:rPr>
        <w:t xml:space="preserve"> I consider the </w:t>
      </w:r>
      <w:r w:rsidR="00DC55BC" w:rsidRPr="00472C9F">
        <w:rPr>
          <w:rFonts w:ascii="Calibri" w:eastAsiaTheme="minorEastAsia" w:hAnsi="Calibri" w:cs="Calibri"/>
          <w:kern w:val="24"/>
          <w:sz w:val="24"/>
          <w:szCs w:val="24"/>
        </w:rPr>
        <w:t>accessibility</w:t>
      </w:r>
      <w:r w:rsidR="005222F5" w:rsidRPr="00472C9F">
        <w:rPr>
          <w:rFonts w:ascii="Calibri" w:eastAsiaTheme="minorEastAsia" w:hAnsi="Calibri" w:cs="Calibri"/>
          <w:kern w:val="24"/>
          <w:sz w:val="24"/>
          <w:szCs w:val="24"/>
        </w:rPr>
        <w:t xml:space="preserve"> of </w:t>
      </w:r>
      <w:r w:rsidR="00A95E7D" w:rsidRPr="00472C9F">
        <w:rPr>
          <w:rFonts w:ascii="Calibri" w:eastAsiaTheme="minorEastAsia" w:hAnsi="Calibri" w:cs="Calibri"/>
          <w:kern w:val="24"/>
          <w:sz w:val="24"/>
          <w:szCs w:val="24"/>
        </w:rPr>
        <w:t>EU free movement rights</w:t>
      </w:r>
      <w:r w:rsidR="00DC55BC" w:rsidRPr="00472C9F">
        <w:rPr>
          <w:rFonts w:ascii="Calibri" w:eastAsiaTheme="minorEastAsia" w:hAnsi="Calibri" w:cs="Calibri"/>
          <w:kern w:val="24"/>
          <w:sz w:val="24"/>
          <w:szCs w:val="24"/>
        </w:rPr>
        <w:t xml:space="preserve"> for lesbians and gays</w:t>
      </w:r>
      <w:r w:rsidR="004A6875" w:rsidRPr="00472C9F">
        <w:rPr>
          <w:rFonts w:ascii="Calibri" w:eastAsiaTheme="minorEastAsia" w:hAnsi="Calibri" w:cs="Calibri"/>
          <w:kern w:val="24"/>
          <w:sz w:val="24"/>
          <w:szCs w:val="24"/>
        </w:rPr>
        <w:t xml:space="preserve">, </w:t>
      </w:r>
      <w:r w:rsidR="005222F5" w:rsidRPr="00472C9F">
        <w:rPr>
          <w:rFonts w:ascii="Calibri" w:eastAsiaTheme="minorEastAsia" w:hAnsi="Calibri" w:cs="Calibri"/>
          <w:kern w:val="24"/>
          <w:sz w:val="24"/>
          <w:szCs w:val="24"/>
        </w:rPr>
        <w:t xml:space="preserve">and in section </w:t>
      </w:r>
      <w:r w:rsidR="003E7701" w:rsidRPr="00472C9F">
        <w:rPr>
          <w:rFonts w:ascii="Calibri" w:eastAsiaTheme="minorEastAsia" w:hAnsi="Calibri" w:cs="Calibri"/>
          <w:kern w:val="24"/>
          <w:sz w:val="24"/>
          <w:szCs w:val="24"/>
        </w:rPr>
        <w:t>4</w:t>
      </w:r>
      <w:r w:rsidR="000371DA">
        <w:rPr>
          <w:rFonts w:ascii="Calibri" w:eastAsiaTheme="minorEastAsia" w:hAnsi="Calibri" w:cs="Calibri"/>
          <w:kern w:val="24"/>
          <w:sz w:val="24"/>
          <w:szCs w:val="24"/>
        </w:rPr>
        <w:t>,</w:t>
      </w:r>
      <w:r w:rsidR="003E7701" w:rsidRPr="00472C9F">
        <w:rPr>
          <w:rFonts w:ascii="Calibri" w:eastAsiaTheme="minorEastAsia" w:hAnsi="Calibri" w:cs="Calibri"/>
          <w:kern w:val="24"/>
          <w:sz w:val="24"/>
          <w:szCs w:val="24"/>
        </w:rPr>
        <w:t xml:space="preserve"> </w:t>
      </w:r>
      <w:r w:rsidR="005222F5" w:rsidRPr="00472C9F">
        <w:rPr>
          <w:rFonts w:ascii="Calibri" w:eastAsiaTheme="minorEastAsia" w:hAnsi="Calibri" w:cs="Calibri"/>
          <w:kern w:val="24"/>
          <w:sz w:val="24"/>
          <w:szCs w:val="24"/>
        </w:rPr>
        <w:t xml:space="preserve">I analyse </w:t>
      </w:r>
      <w:r w:rsidR="00DC55BC" w:rsidRPr="00472C9F">
        <w:rPr>
          <w:rFonts w:ascii="Calibri" w:eastAsiaTheme="minorEastAsia" w:hAnsi="Calibri" w:cs="Calibri"/>
          <w:kern w:val="24"/>
          <w:sz w:val="24"/>
          <w:szCs w:val="24"/>
        </w:rPr>
        <w:t>how inclusive of lesbian</w:t>
      </w:r>
      <w:r w:rsidR="00AA5912" w:rsidRPr="00472C9F">
        <w:rPr>
          <w:rFonts w:ascii="Calibri" w:eastAsiaTheme="minorEastAsia" w:hAnsi="Calibri" w:cs="Calibri"/>
          <w:kern w:val="24"/>
          <w:sz w:val="24"/>
          <w:szCs w:val="24"/>
        </w:rPr>
        <w:t xml:space="preserve"> and</w:t>
      </w:r>
      <w:r w:rsidR="00DC55BC" w:rsidRPr="00472C9F">
        <w:rPr>
          <w:rFonts w:ascii="Calibri" w:eastAsiaTheme="minorEastAsia" w:hAnsi="Calibri" w:cs="Calibri"/>
          <w:kern w:val="24"/>
          <w:sz w:val="24"/>
          <w:szCs w:val="24"/>
        </w:rPr>
        <w:t xml:space="preserve"> gay family relationships EU law currently is</w:t>
      </w:r>
      <w:r w:rsidR="00A95E7D" w:rsidRPr="00472C9F">
        <w:rPr>
          <w:rFonts w:ascii="Calibri" w:hAnsi="Calibri" w:cs="Calibri"/>
          <w:sz w:val="24"/>
          <w:szCs w:val="24"/>
        </w:rPr>
        <w:t xml:space="preserve">. </w:t>
      </w:r>
      <w:r w:rsidR="002B4F3A" w:rsidRPr="00472C9F">
        <w:rPr>
          <w:rFonts w:ascii="Calibri" w:hAnsi="Calibri" w:cs="Calibri"/>
          <w:sz w:val="24"/>
          <w:szCs w:val="24"/>
        </w:rPr>
        <w:t>I</w:t>
      </w:r>
      <w:r w:rsidR="005222F5" w:rsidRPr="00472C9F">
        <w:rPr>
          <w:rFonts w:ascii="Calibri" w:hAnsi="Calibri" w:cs="Calibri"/>
          <w:sz w:val="24"/>
          <w:szCs w:val="24"/>
        </w:rPr>
        <w:t xml:space="preserve">n section </w:t>
      </w:r>
      <w:r w:rsidR="003E7701" w:rsidRPr="00472C9F">
        <w:rPr>
          <w:rFonts w:ascii="Calibri" w:hAnsi="Calibri" w:cs="Calibri"/>
          <w:sz w:val="24"/>
          <w:szCs w:val="24"/>
        </w:rPr>
        <w:t>5</w:t>
      </w:r>
      <w:r w:rsidR="0037675B" w:rsidRPr="00472C9F">
        <w:rPr>
          <w:rFonts w:ascii="Calibri" w:hAnsi="Calibri" w:cs="Calibri"/>
          <w:sz w:val="24"/>
          <w:szCs w:val="24"/>
        </w:rPr>
        <w:t>,</w:t>
      </w:r>
      <w:r w:rsidR="005222F5" w:rsidRPr="00472C9F">
        <w:rPr>
          <w:rFonts w:ascii="Calibri" w:hAnsi="Calibri" w:cs="Calibri"/>
          <w:sz w:val="24"/>
          <w:szCs w:val="24"/>
        </w:rPr>
        <w:t xml:space="preserve"> I</w:t>
      </w:r>
      <w:r w:rsidR="00A95E7D" w:rsidRPr="00472C9F">
        <w:rPr>
          <w:rFonts w:ascii="Calibri" w:hAnsi="Calibri" w:cs="Calibri"/>
          <w:sz w:val="24"/>
          <w:szCs w:val="24"/>
        </w:rPr>
        <w:t xml:space="preserve"> </w:t>
      </w:r>
      <w:r w:rsidR="00DC55BC" w:rsidRPr="00472C9F">
        <w:rPr>
          <w:rFonts w:ascii="Calibri" w:hAnsi="Calibri" w:cs="Calibri"/>
          <w:sz w:val="24"/>
          <w:szCs w:val="24"/>
        </w:rPr>
        <w:t xml:space="preserve">consider </w:t>
      </w:r>
      <w:r w:rsidR="002106EF" w:rsidRPr="00472C9F">
        <w:rPr>
          <w:rFonts w:ascii="Calibri" w:hAnsi="Calibri" w:cs="Calibri"/>
          <w:sz w:val="24"/>
          <w:szCs w:val="24"/>
        </w:rPr>
        <w:t xml:space="preserve">the </w:t>
      </w:r>
      <w:r w:rsidR="00A95E7D" w:rsidRPr="00472C9F">
        <w:rPr>
          <w:rFonts w:ascii="Calibri" w:hAnsi="Calibri" w:cs="Calibri"/>
          <w:sz w:val="24"/>
          <w:szCs w:val="24"/>
        </w:rPr>
        <w:t xml:space="preserve">EU citizenship rights of EU ‘stayers’, who comprise </w:t>
      </w:r>
      <w:proofErr w:type="gramStart"/>
      <w:r w:rsidR="00A95E7D" w:rsidRPr="00472C9F">
        <w:rPr>
          <w:rFonts w:ascii="Calibri" w:hAnsi="Calibri" w:cs="Calibri"/>
          <w:sz w:val="24"/>
          <w:szCs w:val="24"/>
        </w:rPr>
        <w:t>the vast majority of</w:t>
      </w:r>
      <w:proofErr w:type="gramEnd"/>
      <w:r w:rsidR="00A95E7D" w:rsidRPr="00472C9F">
        <w:rPr>
          <w:rFonts w:ascii="Calibri" w:hAnsi="Calibri" w:cs="Calibri"/>
          <w:sz w:val="24"/>
          <w:szCs w:val="24"/>
        </w:rPr>
        <w:t xml:space="preserve"> the </w:t>
      </w:r>
      <w:r w:rsidR="00DC55BC" w:rsidRPr="00472C9F">
        <w:rPr>
          <w:rFonts w:ascii="Calibri" w:hAnsi="Calibri" w:cs="Calibri"/>
          <w:sz w:val="24"/>
          <w:szCs w:val="24"/>
        </w:rPr>
        <w:t xml:space="preserve">EU </w:t>
      </w:r>
      <w:r w:rsidR="00A95E7D" w:rsidRPr="00472C9F">
        <w:rPr>
          <w:rFonts w:ascii="Calibri" w:hAnsi="Calibri" w:cs="Calibri"/>
          <w:sz w:val="24"/>
          <w:szCs w:val="24"/>
        </w:rPr>
        <w:t>population</w:t>
      </w:r>
      <w:r w:rsidR="00F227B5" w:rsidRPr="00472C9F">
        <w:rPr>
          <w:rFonts w:ascii="Calibri" w:hAnsi="Calibri" w:cs="Calibri"/>
          <w:sz w:val="24"/>
          <w:szCs w:val="24"/>
        </w:rPr>
        <w:t>,</w:t>
      </w:r>
      <w:r w:rsidR="00A95E7D" w:rsidRPr="00472C9F">
        <w:rPr>
          <w:rFonts w:ascii="Calibri" w:hAnsi="Calibri" w:cs="Calibri"/>
          <w:sz w:val="24"/>
          <w:szCs w:val="24"/>
        </w:rPr>
        <w:t xml:space="preserve"> </w:t>
      </w:r>
      <w:r w:rsidR="003C0227" w:rsidRPr="00472C9F">
        <w:rPr>
          <w:rFonts w:ascii="Calibri" w:hAnsi="Calibri" w:cs="Calibri"/>
          <w:sz w:val="24"/>
          <w:szCs w:val="24"/>
        </w:rPr>
        <w:t xml:space="preserve">and </w:t>
      </w:r>
      <w:r w:rsidR="00DC55BC" w:rsidRPr="00472C9F">
        <w:rPr>
          <w:rFonts w:ascii="Calibri" w:hAnsi="Calibri" w:cs="Calibri"/>
          <w:sz w:val="24"/>
          <w:szCs w:val="24"/>
        </w:rPr>
        <w:t xml:space="preserve">analyse </w:t>
      </w:r>
      <w:r w:rsidR="003C0227" w:rsidRPr="00472C9F">
        <w:rPr>
          <w:rFonts w:ascii="Calibri" w:hAnsi="Calibri" w:cs="Calibri"/>
          <w:sz w:val="24"/>
          <w:szCs w:val="24"/>
        </w:rPr>
        <w:t xml:space="preserve">whether these </w:t>
      </w:r>
      <w:r w:rsidR="00DC55BC" w:rsidRPr="00472C9F">
        <w:rPr>
          <w:rFonts w:ascii="Calibri" w:hAnsi="Calibri" w:cs="Calibri"/>
          <w:sz w:val="24"/>
          <w:szCs w:val="24"/>
        </w:rPr>
        <w:t xml:space="preserve">rights </w:t>
      </w:r>
      <w:r w:rsidR="003C0227" w:rsidRPr="00472C9F">
        <w:rPr>
          <w:rFonts w:ascii="Calibri" w:hAnsi="Calibri" w:cs="Calibri"/>
          <w:sz w:val="24"/>
          <w:szCs w:val="24"/>
        </w:rPr>
        <w:t>are equally as accessible for lesbians and gays</w:t>
      </w:r>
      <w:r w:rsidR="00A95E7D" w:rsidRPr="00472C9F">
        <w:rPr>
          <w:rFonts w:ascii="Calibri" w:hAnsi="Calibri" w:cs="Calibri"/>
          <w:sz w:val="24"/>
          <w:szCs w:val="24"/>
        </w:rPr>
        <w:t xml:space="preserve">. </w:t>
      </w:r>
      <w:r w:rsidR="00B0164E" w:rsidRPr="00472C9F">
        <w:rPr>
          <w:rFonts w:ascii="Calibri" w:hAnsi="Calibri" w:cs="Calibri"/>
          <w:sz w:val="24"/>
          <w:szCs w:val="24"/>
        </w:rPr>
        <w:t>In section 6</w:t>
      </w:r>
      <w:r w:rsidR="00FF66AA">
        <w:rPr>
          <w:rFonts w:ascii="Calibri" w:hAnsi="Calibri" w:cs="Calibri"/>
          <w:sz w:val="24"/>
          <w:szCs w:val="24"/>
        </w:rPr>
        <w:t>,</w:t>
      </w:r>
      <w:r w:rsidR="00B0164E" w:rsidRPr="00472C9F">
        <w:rPr>
          <w:rFonts w:ascii="Calibri" w:hAnsi="Calibri" w:cs="Calibri"/>
          <w:sz w:val="24"/>
          <w:szCs w:val="24"/>
        </w:rPr>
        <w:t xml:space="preserve"> I consider how soft law </w:t>
      </w:r>
      <w:r w:rsidR="00631270" w:rsidRPr="00472C9F">
        <w:rPr>
          <w:rFonts w:ascii="Calibri" w:hAnsi="Calibri" w:cs="Calibri"/>
          <w:sz w:val="24"/>
          <w:szCs w:val="24"/>
        </w:rPr>
        <w:t>offers a promise to move us beyond the impasse of the</w:t>
      </w:r>
      <w:r w:rsidR="001B5270" w:rsidRPr="00472C9F">
        <w:rPr>
          <w:rFonts w:ascii="Calibri" w:hAnsi="Calibri" w:cs="Calibri"/>
          <w:sz w:val="24"/>
          <w:szCs w:val="24"/>
        </w:rPr>
        <w:t xml:space="preserve"> ‘economically active subject’</w:t>
      </w:r>
      <w:r w:rsidR="00641968" w:rsidRPr="00472C9F">
        <w:rPr>
          <w:rFonts w:ascii="Calibri" w:hAnsi="Calibri" w:cs="Calibri"/>
          <w:sz w:val="24"/>
          <w:szCs w:val="24"/>
        </w:rPr>
        <w:t>. In my conclusion I consider</w:t>
      </w:r>
      <w:r w:rsidR="00C02EB8" w:rsidRPr="00472C9F">
        <w:rPr>
          <w:rFonts w:ascii="Calibri" w:hAnsi="Calibri" w:cs="Calibri"/>
          <w:sz w:val="24"/>
          <w:szCs w:val="24"/>
        </w:rPr>
        <w:t xml:space="preserve"> how EU citizenship could evolve to </w:t>
      </w:r>
      <w:r w:rsidR="003618C1" w:rsidRPr="00472C9F">
        <w:rPr>
          <w:rFonts w:ascii="Calibri" w:hAnsi="Calibri" w:cs="Calibri"/>
          <w:sz w:val="24"/>
          <w:szCs w:val="24"/>
        </w:rPr>
        <w:t xml:space="preserve">be </w:t>
      </w:r>
      <w:r w:rsidR="00C02EB8" w:rsidRPr="00472C9F">
        <w:rPr>
          <w:rFonts w:ascii="Calibri" w:hAnsi="Calibri" w:cs="Calibri"/>
          <w:sz w:val="24"/>
          <w:szCs w:val="24"/>
        </w:rPr>
        <w:t>more inclusive.</w:t>
      </w:r>
      <w:r w:rsidR="00A15A55" w:rsidRPr="00472C9F">
        <w:rPr>
          <w:rFonts w:ascii="Calibri" w:hAnsi="Calibri" w:cs="Calibri"/>
          <w:sz w:val="24"/>
          <w:szCs w:val="24"/>
        </w:rPr>
        <w:t xml:space="preserve"> </w:t>
      </w:r>
      <w:r w:rsidR="003C0227" w:rsidRPr="00472C9F">
        <w:rPr>
          <w:rFonts w:ascii="Calibri" w:hAnsi="Calibri" w:cs="Calibri"/>
          <w:sz w:val="24"/>
          <w:szCs w:val="24"/>
        </w:rPr>
        <w:t xml:space="preserve">Perhaps a new idea of citizenship is needed, moving away from a rights definition and instead more closely allied to accessibility for </w:t>
      </w:r>
      <w:r w:rsidR="002106EF" w:rsidRPr="00472C9F">
        <w:rPr>
          <w:rFonts w:ascii="Calibri" w:hAnsi="Calibri" w:cs="Calibri"/>
          <w:sz w:val="24"/>
          <w:szCs w:val="24"/>
        </w:rPr>
        <w:t>individuals</w:t>
      </w:r>
      <w:r w:rsidR="003C0227" w:rsidRPr="00472C9F">
        <w:rPr>
          <w:rFonts w:ascii="Calibri" w:hAnsi="Calibri" w:cs="Calibri"/>
          <w:sz w:val="24"/>
          <w:szCs w:val="24"/>
        </w:rPr>
        <w:t>.</w:t>
      </w:r>
      <w:r w:rsidR="002106EF" w:rsidRPr="00472C9F">
        <w:rPr>
          <w:rStyle w:val="FootnoteReference"/>
          <w:rFonts w:ascii="Calibri" w:hAnsi="Calibri" w:cs="Calibri"/>
          <w:sz w:val="24"/>
          <w:szCs w:val="24"/>
        </w:rPr>
        <w:footnoteReference w:id="51"/>
      </w:r>
      <w:r w:rsidR="003C0227" w:rsidRPr="00472C9F">
        <w:rPr>
          <w:rFonts w:ascii="Calibri" w:hAnsi="Calibri" w:cs="Calibri"/>
          <w:sz w:val="24"/>
          <w:szCs w:val="24"/>
        </w:rPr>
        <w:t xml:space="preserve"> </w:t>
      </w:r>
      <w:r w:rsidR="002106EF" w:rsidRPr="00472C9F">
        <w:rPr>
          <w:rFonts w:ascii="Calibri" w:hAnsi="Calibri" w:cs="Calibri"/>
          <w:sz w:val="24"/>
          <w:szCs w:val="24"/>
        </w:rPr>
        <w:t xml:space="preserve">This would include </w:t>
      </w:r>
      <w:r w:rsidR="00DC55BC" w:rsidRPr="00472C9F">
        <w:rPr>
          <w:rFonts w:ascii="Calibri" w:eastAsiaTheme="minorEastAsia" w:hAnsi="Calibri" w:cs="Calibri"/>
          <w:sz w:val="24"/>
          <w:szCs w:val="24"/>
          <w:lang w:eastAsia="zh-CN"/>
        </w:rPr>
        <w:t>evaluating</w:t>
      </w:r>
      <w:r w:rsidR="003C0227" w:rsidRPr="00472C9F">
        <w:rPr>
          <w:rFonts w:ascii="Calibri" w:eastAsiaTheme="minorEastAsia" w:hAnsi="Calibri" w:cs="Calibri"/>
          <w:sz w:val="24"/>
          <w:szCs w:val="24"/>
          <w:lang w:eastAsia="zh-CN"/>
        </w:rPr>
        <w:t xml:space="preserve"> the practices of inclusion, to include both social and legal methods such as soft law expansion.</w:t>
      </w:r>
    </w:p>
    <w:p w14:paraId="703629C3" w14:textId="77777777" w:rsidR="00EB7EFE" w:rsidRDefault="00EB7EFE" w:rsidP="0059780E">
      <w:pPr>
        <w:spacing w:after="0" w:line="360" w:lineRule="auto"/>
        <w:jc w:val="both"/>
        <w:textAlignment w:val="baseline"/>
        <w:rPr>
          <w:rFonts w:ascii="Calibri" w:hAnsi="Calibri" w:cs="Calibri"/>
          <w:sz w:val="24"/>
          <w:szCs w:val="24"/>
        </w:rPr>
      </w:pPr>
    </w:p>
    <w:p w14:paraId="46A696AB" w14:textId="1B4B66A6" w:rsidR="004C397B" w:rsidRPr="00ED274C" w:rsidRDefault="000A1FF3" w:rsidP="00ED274C">
      <w:pPr>
        <w:pStyle w:val="Heading2"/>
      </w:pPr>
      <w:r>
        <w:lastRenderedPageBreak/>
        <w:t xml:space="preserve">2. </w:t>
      </w:r>
      <w:r w:rsidR="002B4F3A" w:rsidRPr="00ED274C">
        <w:t>The Original Economic Origins of the Predecessors of the EU</w:t>
      </w:r>
    </w:p>
    <w:p w14:paraId="1F723684" w14:textId="7A270D30" w:rsidR="004B6F8C" w:rsidRPr="00472C9F" w:rsidRDefault="00E33704" w:rsidP="0059780E">
      <w:pPr>
        <w:spacing w:after="0" w:line="360" w:lineRule="auto"/>
        <w:jc w:val="both"/>
        <w:textAlignment w:val="baseline"/>
        <w:rPr>
          <w:rFonts w:ascii="Calibri" w:eastAsia="Times New Roman" w:hAnsi="Calibri" w:cs="Calibri"/>
          <w:color w:val="000000"/>
          <w:sz w:val="24"/>
          <w:szCs w:val="24"/>
          <w:lang w:eastAsia="en-GB"/>
        </w:rPr>
      </w:pPr>
      <w:r w:rsidRPr="00472C9F">
        <w:rPr>
          <w:rFonts w:ascii="Calibri" w:eastAsia="Times New Roman" w:hAnsi="Calibri" w:cs="Calibri"/>
          <w:color w:val="000000"/>
          <w:sz w:val="24"/>
          <w:szCs w:val="24"/>
          <w:lang w:eastAsia="en-GB"/>
        </w:rPr>
        <w:t>The difficult</w:t>
      </w:r>
      <w:r w:rsidR="002106EF" w:rsidRPr="00472C9F">
        <w:rPr>
          <w:rFonts w:ascii="Calibri" w:eastAsia="Times New Roman" w:hAnsi="Calibri" w:cs="Calibri"/>
          <w:color w:val="000000"/>
          <w:sz w:val="24"/>
          <w:szCs w:val="24"/>
          <w:lang w:eastAsia="en-GB"/>
        </w:rPr>
        <w:t>y</w:t>
      </w:r>
      <w:r w:rsidRPr="00472C9F">
        <w:rPr>
          <w:rFonts w:ascii="Calibri" w:eastAsia="Times New Roman" w:hAnsi="Calibri" w:cs="Calibri"/>
          <w:color w:val="000000"/>
          <w:sz w:val="24"/>
          <w:szCs w:val="24"/>
          <w:lang w:eastAsia="en-GB"/>
        </w:rPr>
        <w:t xml:space="preserve"> with </w:t>
      </w:r>
      <w:r w:rsidR="002C5AC4" w:rsidRPr="00472C9F">
        <w:rPr>
          <w:rFonts w:ascii="Calibri" w:eastAsia="Times New Roman" w:hAnsi="Calibri" w:cs="Calibri"/>
          <w:color w:val="000000"/>
          <w:sz w:val="24"/>
          <w:szCs w:val="24"/>
          <w:lang w:eastAsia="en-GB"/>
        </w:rPr>
        <w:t>depicting</w:t>
      </w:r>
      <w:r w:rsidR="00971656" w:rsidRPr="00472C9F">
        <w:rPr>
          <w:rFonts w:ascii="Calibri" w:eastAsia="Times New Roman" w:hAnsi="Calibri" w:cs="Calibri"/>
          <w:color w:val="000000"/>
          <w:sz w:val="24"/>
          <w:szCs w:val="24"/>
          <w:lang w:eastAsia="en-GB"/>
        </w:rPr>
        <w:t xml:space="preserve"> the EU as inclusive</w:t>
      </w:r>
      <w:r w:rsidR="002106EF" w:rsidRPr="00472C9F">
        <w:rPr>
          <w:rFonts w:ascii="Calibri" w:eastAsia="Times New Roman" w:hAnsi="Calibri" w:cs="Calibri"/>
          <w:color w:val="000000"/>
          <w:sz w:val="24"/>
          <w:szCs w:val="24"/>
          <w:lang w:eastAsia="en-GB"/>
        </w:rPr>
        <w:t xml:space="preserve"> of lesbians and gays</w:t>
      </w:r>
      <w:r w:rsidRPr="00472C9F">
        <w:rPr>
          <w:rFonts w:ascii="Calibri" w:eastAsia="Times New Roman" w:hAnsi="Calibri" w:cs="Calibri"/>
          <w:color w:val="000000"/>
          <w:sz w:val="24"/>
          <w:szCs w:val="24"/>
          <w:lang w:eastAsia="en-GB"/>
        </w:rPr>
        <w:t xml:space="preserve"> can be illustrated</w:t>
      </w:r>
      <w:r w:rsidR="00971656" w:rsidRPr="00472C9F">
        <w:rPr>
          <w:rFonts w:ascii="Calibri" w:eastAsia="Times New Roman" w:hAnsi="Calibri" w:cs="Calibri"/>
          <w:color w:val="000000"/>
          <w:sz w:val="24"/>
          <w:szCs w:val="24"/>
          <w:lang w:eastAsia="en-GB"/>
        </w:rPr>
        <w:t xml:space="preserve"> </w:t>
      </w:r>
      <w:r w:rsidRPr="00472C9F">
        <w:rPr>
          <w:rFonts w:ascii="Calibri" w:eastAsia="Times New Roman" w:hAnsi="Calibri" w:cs="Calibri"/>
          <w:color w:val="000000"/>
          <w:sz w:val="24"/>
          <w:szCs w:val="24"/>
          <w:lang w:eastAsia="en-GB"/>
        </w:rPr>
        <w:t>by</w:t>
      </w:r>
      <w:r w:rsidR="00971656" w:rsidRPr="00472C9F">
        <w:rPr>
          <w:rFonts w:ascii="Calibri" w:eastAsia="Times New Roman" w:hAnsi="Calibri" w:cs="Calibri"/>
          <w:color w:val="000000"/>
          <w:sz w:val="24"/>
          <w:szCs w:val="24"/>
          <w:lang w:eastAsia="en-GB"/>
        </w:rPr>
        <w:t xml:space="preserve"> </w:t>
      </w:r>
      <w:r w:rsidR="002106EF" w:rsidRPr="00472C9F">
        <w:rPr>
          <w:rFonts w:ascii="Calibri" w:eastAsia="Times New Roman" w:hAnsi="Calibri" w:cs="Calibri"/>
          <w:color w:val="000000"/>
          <w:sz w:val="24"/>
          <w:szCs w:val="24"/>
          <w:lang w:eastAsia="en-GB"/>
        </w:rPr>
        <w:t>understanding that</w:t>
      </w:r>
      <w:r w:rsidR="00B505F0" w:rsidRPr="00472C9F">
        <w:rPr>
          <w:rFonts w:ascii="Calibri" w:eastAsia="Times New Roman" w:hAnsi="Calibri" w:cs="Calibri"/>
          <w:color w:val="000000"/>
          <w:sz w:val="24"/>
          <w:szCs w:val="24"/>
          <w:lang w:eastAsia="en-GB"/>
        </w:rPr>
        <w:t xml:space="preserve"> the </w:t>
      </w:r>
      <w:r w:rsidR="002B4F3A" w:rsidRPr="00472C9F">
        <w:rPr>
          <w:rFonts w:ascii="Calibri" w:eastAsia="Times New Roman" w:hAnsi="Calibri" w:cs="Calibri"/>
          <w:color w:val="000000"/>
          <w:sz w:val="24"/>
          <w:szCs w:val="24"/>
          <w:lang w:eastAsia="en-GB"/>
        </w:rPr>
        <w:t>main</w:t>
      </w:r>
      <w:r w:rsidR="001E6F7F" w:rsidRPr="00472C9F">
        <w:rPr>
          <w:rFonts w:ascii="Calibri" w:eastAsia="Times New Roman" w:hAnsi="Calibri" w:cs="Calibri"/>
          <w:color w:val="000000"/>
          <w:sz w:val="24"/>
          <w:szCs w:val="24"/>
          <w:lang w:eastAsia="en-GB"/>
        </w:rPr>
        <w:t xml:space="preserve"> </w:t>
      </w:r>
      <w:r w:rsidR="00B505F0" w:rsidRPr="00472C9F">
        <w:rPr>
          <w:rFonts w:ascii="Calibri" w:eastAsia="Times New Roman" w:hAnsi="Calibri" w:cs="Calibri"/>
          <w:color w:val="000000"/>
          <w:sz w:val="24"/>
          <w:szCs w:val="24"/>
          <w:lang w:eastAsia="en-GB"/>
        </w:rPr>
        <w:t xml:space="preserve">purpose </w:t>
      </w:r>
      <w:r w:rsidR="002B4F3A" w:rsidRPr="00472C9F">
        <w:rPr>
          <w:rFonts w:ascii="Calibri" w:eastAsia="Times New Roman" w:hAnsi="Calibri" w:cs="Calibri"/>
          <w:color w:val="000000"/>
          <w:sz w:val="24"/>
          <w:szCs w:val="24"/>
          <w:lang w:eastAsia="en-GB"/>
        </w:rPr>
        <w:t>of</w:t>
      </w:r>
      <w:r w:rsidR="00B505F0" w:rsidRPr="00472C9F">
        <w:rPr>
          <w:rFonts w:ascii="Calibri" w:eastAsia="Times New Roman" w:hAnsi="Calibri" w:cs="Calibri"/>
          <w:color w:val="000000"/>
          <w:sz w:val="24"/>
          <w:szCs w:val="24"/>
          <w:lang w:eastAsia="en-GB"/>
        </w:rPr>
        <w:t xml:space="preserve"> </w:t>
      </w:r>
      <w:r w:rsidR="002106EF" w:rsidRPr="00472C9F">
        <w:rPr>
          <w:rFonts w:ascii="Calibri" w:eastAsia="Times New Roman" w:hAnsi="Calibri" w:cs="Calibri"/>
          <w:color w:val="000000"/>
          <w:sz w:val="24"/>
          <w:szCs w:val="24"/>
          <w:lang w:eastAsia="en-GB"/>
        </w:rPr>
        <w:t xml:space="preserve">the </w:t>
      </w:r>
      <w:r w:rsidR="004D7B61" w:rsidRPr="00472C9F">
        <w:rPr>
          <w:rFonts w:ascii="Calibri" w:eastAsia="Times New Roman" w:hAnsi="Calibri" w:cs="Calibri"/>
          <w:color w:val="000000"/>
          <w:sz w:val="24"/>
          <w:szCs w:val="24"/>
          <w:lang w:eastAsia="en-GB"/>
        </w:rPr>
        <w:t xml:space="preserve">three original European communities </w:t>
      </w:r>
      <w:r w:rsidR="002106EF" w:rsidRPr="00472C9F">
        <w:rPr>
          <w:rFonts w:ascii="Calibri" w:eastAsia="Times New Roman" w:hAnsi="Calibri" w:cs="Calibri"/>
          <w:color w:val="000000"/>
          <w:sz w:val="24"/>
          <w:szCs w:val="24"/>
          <w:lang w:eastAsia="en-GB"/>
        </w:rPr>
        <w:t>was</w:t>
      </w:r>
      <w:r w:rsidR="002B4F3A" w:rsidRPr="00472C9F">
        <w:rPr>
          <w:rFonts w:ascii="Calibri" w:eastAsia="Times New Roman" w:hAnsi="Calibri" w:cs="Calibri"/>
          <w:color w:val="000000"/>
          <w:sz w:val="24"/>
          <w:szCs w:val="24"/>
          <w:lang w:eastAsia="en-GB"/>
        </w:rPr>
        <w:t xml:space="preserve"> trade</w:t>
      </w:r>
      <w:r w:rsidR="005101DD" w:rsidRPr="00472C9F">
        <w:rPr>
          <w:rFonts w:ascii="Calibri" w:eastAsia="Times New Roman" w:hAnsi="Calibri" w:cs="Calibri"/>
          <w:color w:val="000000"/>
          <w:sz w:val="24"/>
          <w:szCs w:val="24"/>
          <w:lang w:eastAsia="en-GB"/>
        </w:rPr>
        <w:t>.</w:t>
      </w:r>
      <w:r w:rsidR="00BE4C31" w:rsidRPr="00472C9F">
        <w:rPr>
          <w:rStyle w:val="FootnoteReference"/>
          <w:rFonts w:ascii="Calibri" w:eastAsia="Times New Roman" w:hAnsi="Calibri" w:cs="Calibri"/>
          <w:color w:val="000000"/>
          <w:sz w:val="24"/>
          <w:szCs w:val="24"/>
          <w:lang w:eastAsia="en-GB"/>
        </w:rPr>
        <w:footnoteReference w:id="52"/>
      </w:r>
      <w:r w:rsidR="004D7B61" w:rsidRPr="00472C9F">
        <w:rPr>
          <w:rFonts w:ascii="Calibri" w:eastAsia="Times New Roman" w:hAnsi="Calibri" w:cs="Calibri"/>
          <w:color w:val="000000"/>
          <w:sz w:val="24"/>
          <w:szCs w:val="24"/>
          <w:lang w:eastAsia="en-GB"/>
        </w:rPr>
        <w:t xml:space="preserve"> </w:t>
      </w:r>
      <w:r w:rsidR="002106EF" w:rsidRPr="00472C9F">
        <w:rPr>
          <w:rFonts w:ascii="Calibri" w:eastAsia="Times New Roman" w:hAnsi="Calibri" w:cs="Calibri"/>
          <w:color w:val="000000"/>
          <w:sz w:val="24"/>
          <w:szCs w:val="24"/>
          <w:lang w:eastAsia="en-GB"/>
        </w:rPr>
        <w:t>The</w:t>
      </w:r>
      <w:r w:rsidR="005222F5" w:rsidRPr="00472C9F">
        <w:rPr>
          <w:rFonts w:ascii="Calibri" w:eastAsia="Times New Roman" w:hAnsi="Calibri" w:cs="Calibri"/>
          <w:color w:val="000000"/>
          <w:sz w:val="24"/>
          <w:szCs w:val="24"/>
          <w:lang w:eastAsia="en-GB"/>
        </w:rPr>
        <w:t xml:space="preserve"> three original</w:t>
      </w:r>
      <w:r w:rsidR="00827C62" w:rsidRPr="00472C9F">
        <w:rPr>
          <w:rFonts w:ascii="Calibri" w:eastAsia="Times New Roman" w:hAnsi="Calibri" w:cs="Calibri"/>
          <w:color w:val="000000"/>
          <w:sz w:val="24"/>
          <w:szCs w:val="24"/>
          <w:lang w:eastAsia="en-GB"/>
        </w:rPr>
        <w:t xml:space="preserve"> communities,</w:t>
      </w:r>
      <w:r w:rsidR="001E6F7F" w:rsidRPr="00472C9F">
        <w:rPr>
          <w:rFonts w:ascii="Calibri" w:eastAsia="Times New Roman" w:hAnsi="Calibri" w:cs="Calibri"/>
          <w:color w:val="000000"/>
          <w:sz w:val="24"/>
          <w:szCs w:val="24"/>
          <w:lang w:eastAsia="en-GB"/>
        </w:rPr>
        <w:t xml:space="preserve"> </w:t>
      </w:r>
      <w:r w:rsidR="004D7B61" w:rsidRPr="00472C9F">
        <w:rPr>
          <w:rFonts w:ascii="Calibri" w:eastAsia="Times New Roman" w:hAnsi="Calibri" w:cs="Calibri"/>
          <w:color w:val="000000"/>
          <w:sz w:val="24"/>
          <w:szCs w:val="24"/>
          <w:lang w:eastAsia="en-GB"/>
        </w:rPr>
        <w:t xml:space="preserve">together with the European Convention of Human Rights, </w:t>
      </w:r>
      <w:r w:rsidR="001E6F7F" w:rsidRPr="00472C9F">
        <w:rPr>
          <w:rFonts w:ascii="Calibri" w:eastAsia="Times New Roman" w:hAnsi="Calibri" w:cs="Calibri"/>
          <w:color w:val="000000"/>
          <w:sz w:val="24"/>
          <w:szCs w:val="24"/>
          <w:lang w:eastAsia="en-GB"/>
        </w:rPr>
        <w:t xml:space="preserve">were </w:t>
      </w:r>
      <w:r w:rsidR="00C35DB1" w:rsidRPr="00472C9F">
        <w:rPr>
          <w:rFonts w:ascii="Calibri" w:eastAsia="Times New Roman" w:hAnsi="Calibri" w:cs="Calibri"/>
          <w:color w:val="000000"/>
          <w:sz w:val="24"/>
          <w:szCs w:val="24"/>
          <w:lang w:eastAsia="en-GB"/>
        </w:rPr>
        <w:t xml:space="preserve">all </w:t>
      </w:r>
      <w:r w:rsidR="001E6F7F" w:rsidRPr="00472C9F">
        <w:rPr>
          <w:rFonts w:ascii="Calibri" w:eastAsia="Times New Roman" w:hAnsi="Calibri" w:cs="Calibri"/>
          <w:color w:val="000000"/>
          <w:sz w:val="24"/>
          <w:szCs w:val="24"/>
          <w:lang w:eastAsia="en-GB"/>
        </w:rPr>
        <w:t xml:space="preserve">founded </w:t>
      </w:r>
      <w:r w:rsidR="002106EF" w:rsidRPr="00472C9F">
        <w:rPr>
          <w:rFonts w:ascii="Calibri" w:eastAsia="Times New Roman" w:hAnsi="Calibri" w:cs="Calibri"/>
          <w:color w:val="000000"/>
          <w:sz w:val="24"/>
          <w:szCs w:val="24"/>
          <w:lang w:eastAsia="en-GB"/>
        </w:rPr>
        <w:t xml:space="preserve">in the 1950s </w:t>
      </w:r>
      <w:r w:rsidR="001E6F7F" w:rsidRPr="00472C9F">
        <w:rPr>
          <w:rFonts w:ascii="Calibri" w:eastAsia="Times New Roman" w:hAnsi="Calibri" w:cs="Calibri"/>
          <w:color w:val="000000"/>
          <w:sz w:val="24"/>
          <w:szCs w:val="24"/>
          <w:lang w:eastAsia="en-GB"/>
        </w:rPr>
        <w:t>with</w:t>
      </w:r>
      <w:r w:rsidR="004D7B61" w:rsidRPr="00472C9F">
        <w:rPr>
          <w:rFonts w:ascii="Calibri" w:eastAsia="Times New Roman" w:hAnsi="Calibri" w:cs="Calibri"/>
          <w:color w:val="000000"/>
          <w:sz w:val="24"/>
          <w:szCs w:val="24"/>
          <w:lang w:eastAsia="en-GB"/>
        </w:rPr>
        <w:t xml:space="preserve"> </w:t>
      </w:r>
      <w:r w:rsidR="001E6F7F" w:rsidRPr="00472C9F">
        <w:rPr>
          <w:rFonts w:ascii="Calibri" w:eastAsia="Times New Roman" w:hAnsi="Calibri" w:cs="Calibri"/>
          <w:color w:val="000000"/>
          <w:sz w:val="24"/>
          <w:szCs w:val="24"/>
          <w:lang w:eastAsia="en-GB"/>
        </w:rPr>
        <w:t xml:space="preserve">the </w:t>
      </w:r>
      <w:r w:rsidR="001E4D28" w:rsidRPr="00472C9F">
        <w:rPr>
          <w:rFonts w:ascii="Calibri" w:eastAsia="Times New Roman" w:hAnsi="Calibri" w:cs="Calibri"/>
          <w:color w:val="000000"/>
          <w:sz w:val="24"/>
          <w:szCs w:val="24"/>
          <w:lang w:eastAsia="en-GB"/>
        </w:rPr>
        <w:t>desire</w:t>
      </w:r>
      <w:r w:rsidR="001E6F7F" w:rsidRPr="00472C9F">
        <w:rPr>
          <w:rFonts w:ascii="Calibri" w:eastAsia="Times New Roman" w:hAnsi="Calibri" w:cs="Calibri"/>
          <w:color w:val="000000"/>
          <w:sz w:val="24"/>
          <w:szCs w:val="24"/>
          <w:lang w:eastAsia="en-GB"/>
        </w:rPr>
        <w:t xml:space="preserve"> to avert another </w:t>
      </w:r>
      <w:r w:rsidR="001E4D28" w:rsidRPr="00472C9F">
        <w:rPr>
          <w:rFonts w:ascii="Calibri" w:eastAsia="Times New Roman" w:hAnsi="Calibri" w:cs="Calibri"/>
          <w:color w:val="000000"/>
          <w:sz w:val="24"/>
          <w:szCs w:val="24"/>
          <w:lang w:eastAsia="en-GB"/>
        </w:rPr>
        <w:t>w</w:t>
      </w:r>
      <w:r w:rsidR="001E6F7F" w:rsidRPr="00472C9F">
        <w:rPr>
          <w:rFonts w:ascii="Calibri" w:eastAsia="Times New Roman" w:hAnsi="Calibri" w:cs="Calibri"/>
          <w:color w:val="000000"/>
          <w:sz w:val="24"/>
          <w:szCs w:val="24"/>
          <w:lang w:eastAsia="en-GB"/>
        </w:rPr>
        <w:t>ar</w:t>
      </w:r>
      <w:r w:rsidR="00FD075C" w:rsidRPr="00472C9F">
        <w:rPr>
          <w:rFonts w:ascii="Calibri" w:eastAsia="Times New Roman" w:hAnsi="Calibri" w:cs="Calibri"/>
          <w:color w:val="000000"/>
          <w:sz w:val="24"/>
          <w:szCs w:val="24"/>
          <w:lang w:eastAsia="en-GB"/>
        </w:rPr>
        <w:t>.</w:t>
      </w:r>
      <w:r w:rsidR="00FD075C" w:rsidRPr="00472C9F">
        <w:rPr>
          <w:rStyle w:val="FootnoteReference"/>
          <w:rFonts w:ascii="Calibri" w:eastAsia="Times New Roman" w:hAnsi="Calibri" w:cs="Calibri"/>
          <w:color w:val="000000"/>
          <w:sz w:val="24"/>
          <w:szCs w:val="24"/>
          <w:lang w:eastAsia="en-GB"/>
        </w:rPr>
        <w:footnoteReference w:id="53"/>
      </w:r>
      <w:r w:rsidR="004D7B61" w:rsidRPr="00472C9F">
        <w:rPr>
          <w:rFonts w:ascii="Calibri" w:eastAsia="Times New Roman" w:hAnsi="Calibri" w:cs="Calibri"/>
          <w:color w:val="000000"/>
          <w:sz w:val="24"/>
          <w:szCs w:val="24"/>
          <w:lang w:eastAsia="en-GB"/>
        </w:rPr>
        <w:t xml:space="preserve"> However</w:t>
      </w:r>
      <w:r w:rsidR="00740E00" w:rsidRPr="00472C9F">
        <w:rPr>
          <w:rFonts w:ascii="Calibri" w:eastAsia="Times New Roman" w:hAnsi="Calibri" w:cs="Calibri"/>
          <w:color w:val="000000"/>
          <w:sz w:val="24"/>
          <w:szCs w:val="24"/>
          <w:lang w:eastAsia="en-GB"/>
        </w:rPr>
        <w:t>,</w:t>
      </w:r>
      <w:r w:rsidR="004D7B61" w:rsidRPr="00472C9F">
        <w:rPr>
          <w:rFonts w:ascii="Calibri" w:eastAsia="Times New Roman" w:hAnsi="Calibri" w:cs="Calibri"/>
          <w:color w:val="000000"/>
          <w:sz w:val="24"/>
          <w:szCs w:val="24"/>
          <w:lang w:eastAsia="en-GB"/>
        </w:rPr>
        <w:t xml:space="preserve"> whilst the </w:t>
      </w:r>
      <w:r w:rsidR="00FA4AB1" w:rsidRPr="00472C9F">
        <w:rPr>
          <w:rFonts w:ascii="Calibri" w:eastAsia="Times New Roman" w:hAnsi="Calibri" w:cs="Calibri"/>
          <w:color w:val="000000"/>
          <w:sz w:val="24"/>
          <w:szCs w:val="24"/>
          <w:lang w:eastAsia="en-GB"/>
        </w:rPr>
        <w:t>latter</w:t>
      </w:r>
      <w:r w:rsidR="004D7B61" w:rsidRPr="00472C9F">
        <w:rPr>
          <w:rFonts w:ascii="Calibri" w:eastAsia="Times New Roman" w:hAnsi="Calibri" w:cs="Calibri"/>
          <w:color w:val="000000"/>
          <w:sz w:val="24"/>
          <w:szCs w:val="24"/>
          <w:lang w:eastAsia="en-GB"/>
        </w:rPr>
        <w:t xml:space="preserve"> was concerned with human rights, the </w:t>
      </w:r>
      <w:r w:rsidR="002106EF" w:rsidRPr="00472C9F">
        <w:rPr>
          <w:rFonts w:ascii="Calibri" w:eastAsia="Times New Roman" w:hAnsi="Calibri" w:cs="Calibri"/>
          <w:color w:val="000000"/>
          <w:sz w:val="24"/>
          <w:szCs w:val="24"/>
          <w:lang w:eastAsia="en-GB"/>
        </w:rPr>
        <w:t xml:space="preserve">core content of the </w:t>
      </w:r>
      <w:r w:rsidR="004D7B61" w:rsidRPr="00472C9F">
        <w:rPr>
          <w:rFonts w:ascii="Calibri" w:eastAsia="Times New Roman" w:hAnsi="Calibri" w:cs="Calibri"/>
          <w:color w:val="000000"/>
          <w:sz w:val="24"/>
          <w:szCs w:val="24"/>
          <w:lang w:eastAsia="en-GB"/>
        </w:rPr>
        <w:t xml:space="preserve">three original European communities </w:t>
      </w:r>
      <w:r w:rsidR="002106EF" w:rsidRPr="00472C9F">
        <w:rPr>
          <w:rFonts w:ascii="Calibri" w:eastAsia="Times New Roman" w:hAnsi="Calibri" w:cs="Calibri"/>
          <w:color w:val="000000"/>
          <w:sz w:val="24"/>
          <w:szCs w:val="24"/>
          <w:lang w:eastAsia="en-GB"/>
        </w:rPr>
        <w:t>was to</w:t>
      </w:r>
      <w:r w:rsidR="004D7B61" w:rsidRPr="00472C9F">
        <w:rPr>
          <w:rFonts w:ascii="Calibri" w:eastAsia="Times New Roman" w:hAnsi="Calibri" w:cs="Calibri"/>
          <w:color w:val="000000"/>
          <w:sz w:val="24"/>
          <w:szCs w:val="24"/>
          <w:lang w:eastAsia="en-GB"/>
        </w:rPr>
        <w:t xml:space="preserve"> </w:t>
      </w:r>
      <w:r w:rsidR="004D7B61" w:rsidRPr="00472C9F">
        <w:rPr>
          <w:rFonts w:ascii="Calibri" w:hAnsi="Calibri" w:cs="Calibri"/>
          <w:sz w:val="24"/>
          <w:szCs w:val="24"/>
        </w:rPr>
        <w:t>establish an internal market with free movement of goods and persons. There was no notion of citizenship</w:t>
      </w:r>
      <w:r w:rsidR="00D32C33" w:rsidRPr="00472C9F">
        <w:rPr>
          <w:rFonts w:ascii="Calibri" w:hAnsi="Calibri" w:cs="Calibri"/>
          <w:sz w:val="24"/>
          <w:szCs w:val="24"/>
        </w:rPr>
        <w:t xml:space="preserve">. </w:t>
      </w:r>
      <w:r w:rsidR="002B4F3A" w:rsidRPr="00472C9F">
        <w:rPr>
          <w:rFonts w:ascii="Calibri" w:hAnsi="Calibri" w:cs="Calibri"/>
          <w:sz w:val="24"/>
          <w:szCs w:val="24"/>
        </w:rPr>
        <w:t>F</w:t>
      </w:r>
      <w:r w:rsidR="007A796C" w:rsidRPr="00472C9F">
        <w:rPr>
          <w:rFonts w:ascii="Calibri" w:hAnsi="Calibri" w:cs="Calibri"/>
          <w:sz w:val="24"/>
          <w:szCs w:val="24"/>
        </w:rPr>
        <w:t xml:space="preserve">rom the beginning, and continuing to the present day, </w:t>
      </w:r>
      <w:r w:rsidR="002B4F3A" w:rsidRPr="00472C9F">
        <w:rPr>
          <w:rFonts w:ascii="Calibri" w:hAnsi="Calibri" w:cs="Calibri"/>
          <w:sz w:val="24"/>
          <w:szCs w:val="24"/>
        </w:rPr>
        <w:t xml:space="preserve">the future development of the EU incites </w:t>
      </w:r>
      <w:r w:rsidR="007A796C" w:rsidRPr="00472C9F">
        <w:rPr>
          <w:rFonts w:ascii="Calibri" w:hAnsi="Calibri" w:cs="Calibri"/>
          <w:sz w:val="24"/>
          <w:szCs w:val="24"/>
        </w:rPr>
        <w:t>tension</w:t>
      </w:r>
      <w:r w:rsidR="002B4F3A" w:rsidRPr="00472C9F">
        <w:rPr>
          <w:rFonts w:ascii="Calibri" w:hAnsi="Calibri" w:cs="Calibri"/>
          <w:sz w:val="24"/>
          <w:szCs w:val="24"/>
        </w:rPr>
        <w:t>s</w:t>
      </w:r>
      <w:r w:rsidR="007A796C" w:rsidRPr="00472C9F">
        <w:rPr>
          <w:rFonts w:ascii="Calibri" w:hAnsi="Calibri" w:cs="Calibri"/>
          <w:sz w:val="24"/>
          <w:szCs w:val="24"/>
        </w:rPr>
        <w:t xml:space="preserve"> between </w:t>
      </w:r>
      <w:proofErr w:type="spellStart"/>
      <w:r w:rsidR="007A796C" w:rsidRPr="00472C9F">
        <w:rPr>
          <w:rFonts w:ascii="Calibri" w:hAnsi="Calibri" w:cs="Calibri"/>
          <w:sz w:val="24"/>
          <w:szCs w:val="24"/>
        </w:rPr>
        <w:t>intergovernmentalists</w:t>
      </w:r>
      <w:proofErr w:type="spellEnd"/>
      <w:r w:rsidR="007A796C" w:rsidRPr="00472C9F">
        <w:rPr>
          <w:rFonts w:ascii="Calibri" w:hAnsi="Calibri" w:cs="Calibri"/>
          <w:sz w:val="24"/>
          <w:szCs w:val="24"/>
        </w:rPr>
        <w:t xml:space="preserve"> </w:t>
      </w:r>
      <w:r w:rsidR="002B4F3A" w:rsidRPr="00472C9F">
        <w:rPr>
          <w:rFonts w:ascii="Calibri" w:hAnsi="Calibri" w:cs="Calibri"/>
          <w:sz w:val="24"/>
          <w:szCs w:val="24"/>
        </w:rPr>
        <w:t xml:space="preserve">and </w:t>
      </w:r>
      <w:proofErr w:type="spellStart"/>
      <w:r w:rsidR="002B4F3A" w:rsidRPr="00472C9F">
        <w:rPr>
          <w:rFonts w:ascii="Calibri" w:hAnsi="Calibri" w:cs="Calibri"/>
          <w:sz w:val="24"/>
          <w:szCs w:val="24"/>
        </w:rPr>
        <w:t>supranationalists</w:t>
      </w:r>
      <w:proofErr w:type="spellEnd"/>
      <w:r w:rsidR="002B4F3A" w:rsidRPr="00472C9F">
        <w:rPr>
          <w:rFonts w:ascii="Calibri" w:hAnsi="Calibri" w:cs="Calibri"/>
          <w:sz w:val="24"/>
          <w:szCs w:val="24"/>
        </w:rPr>
        <w:t xml:space="preserve">. </w:t>
      </w:r>
      <w:proofErr w:type="spellStart"/>
      <w:r w:rsidR="002B4F3A" w:rsidRPr="00472C9F">
        <w:rPr>
          <w:rFonts w:ascii="Calibri" w:hAnsi="Calibri" w:cs="Calibri"/>
          <w:sz w:val="24"/>
          <w:szCs w:val="24"/>
        </w:rPr>
        <w:t>Intergovernmentalists</w:t>
      </w:r>
      <w:proofErr w:type="spellEnd"/>
      <w:r w:rsidR="002B4F3A" w:rsidRPr="00472C9F">
        <w:rPr>
          <w:rFonts w:ascii="Calibri" w:hAnsi="Calibri" w:cs="Calibri"/>
          <w:sz w:val="24"/>
          <w:szCs w:val="24"/>
        </w:rPr>
        <w:t xml:space="preserve"> </w:t>
      </w:r>
      <w:r w:rsidR="007A796C" w:rsidRPr="00472C9F">
        <w:rPr>
          <w:rFonts w:ascii="Calibri" w:hAnsi="Calibri" w:cs="Calibri"/>
          <w:sz w:val="24"/>
          <w:szCs w:val="24"/>
        </w:rPr>
        <w:t xml:space="preserve">prefer power to be retained by the nation state </w:t>
      </w:r>
      <w:r w:rsidR="004B6F8C" w:rsidRPr="00472C9F">
        <w:rPr>
          <w:rFonts w:ascii="Calibri" w:hAnsi="Calibri" w:cs="Calibri"/>
          <w:sz w:val="24"/>
          <w:szCs w:val="24"/>
        </w:rPr>
        <w:t xml:space="preserve">and </w:t>
      </w:r>
      <w:r w:rsidR="007A796C" w:rsidRPr="00472C9F">
        <w:rPr>
          <w:rFonts w:ascii="Calibri" w:hAnsi="Calibri" w:cs="Calibri"/>
          <w:sz w:val="24"/>
          <w:szCs w:val="24"/>
        </w:rPr>
        <w:t xml:space="preserve">view the EU as primarily </w:t>
      </w:r>
      <w:r w:rsidR="002B4F3A" w:rsidRPr="00472C9F">
        <w:rPr>
          <w:rFonts w:ascii="Calibri" w:hAnsi="Calibri" w:cs="Calibri"/>
          <w:sz w:val="24"/>
          <w:szCs w:val="24"/>
        </w:rPr>
        <w:t>an economic body. In contrast</w:t>
      </w:r>
      <w:r w:rsidR="0037675B" w:rsidRPr="00472C9F">
        <w:rPr>
          <w:rFonts w:ascii="Calibri" w:hAnsi="Calibri" w:cs="Calibri"/>
          <w:sz w:val="24"/>
          <w:szCs w:val="24"/>
        </w:rPr>
        <w:t>,</w:t>
      </w:r>
      <w:r w:rsidR="007A796C" w:rsidRPr="00472C9F">
        <w:rPr>
          <w:rFonts w:ascii="Calibri" w:hAnsi="Calibri" w:cs="Calibri"/>
          <w:sz w:val="24"/>
          <w:szCs w:val="24"/>
        </w:rPr>
        <w:t xml:space="preserve"> </w:t>
      </w:r>
      <w:proofErr w:type="spellStart"/>
      <w:r w:rsidR="007A796C" w:rsidRPr="00472C9F">
        <w:rPr>
          <w:rFonts w:ascii="Calibri" w:hAnsi="Calibri" w:cs="Calibri"/>
          <w:sz w:val="24"/>
          <w:szCs w:val="24"/>
        </w:rPr>
        <w:t>supranationalists</w:t>
      </w:r>
      <w:proofErr w:type="spellEnd"/>
      <w:r w:rsidR="007A796C" w:rsidRPr="00472C9F">
        <w:rPr>
          <w:rFonts w:ascii="Calibri" w:hAnsi="Calibri" w:cs="Calibri"/>
          <w:sz w:val="24"/>
          <w:szCs w:val="24"/>
        </w:rPr>
        <w:t xml:space="preserve"> </w:t>
      </w:r>
      <w:r w:rsidR="00197098" w:rsidRPr="00472C9F">
        <w:rPr>
          <w:rFonts w:ascii="Calibri" w:eastAsia="Times New Roman" w:hAnsi="Calibri" w:cs="Calibri"/>
          <w:color w:val="000000"/>
          <w:sz w:val="24"/>
          <w:szCs w:val="24"/>
          <w:lang w:eastAsia="en-GB"/>
        </w:rPr>
        <w:t xml:space="preserve">consider that the union takes precedence, </w:t>
      </w:r>
      <w:r w:rsidR="00B43E49" w:rsidRPr="00472C9F">
        <w:rPr>
          <w:rFonts w:ascii="Calibri" w:eastAsia="Times New Roman" w:hAnsi="Calibri" w:cs="Calibri"/>
          <w:color w:val="000000"/>
          <w:sz w:val="24"/>
          <w:szCs w:val="24"/>
          <w:lang w:eastAsia="en-GB"/>
        </w:rPr>
        <w:t xml:space="preserve">and stress citizenship as a </w:t>
      </w:r>
      <w:r w:rsidR="00B43E49" w:rsidRPr="00472C9F">
        <w:rPr>
          <w:rFonts w:ascii="Calibri" w:hAnsi="Calibri" w:cs="Calibri"/>
          <w:sz w:val="24"/>
          <w:szCs w:val="24"/>
        </w:rPr>
        <w:t>central concept with</w:t>
      </w:r>
      <w:r w:rsidR="00B43E49" w:rsidRPr="00472C9F">
        <w:rPr>
          <w:rFonts w:ascii="Calibri" w:eastAsiaTheme="minorEastAsia" w:hAnsi="Calibri" w:cs="Calibri"/>
          <w:kern w:val="24"/>
          <w:sz w:val="24"/>
          <w:szCs w:val="24"/>
        </w:rPr>
        <w:t xml:space="preserve"> common status and identity</w:t>
      </w:r>
      <w:r w:rsidR="003E6463" w:rsidRPr="00472C9F">
        <w:rPr>
          <w:rFonts w:ascii="Calibri" w:eastAsiaTheme="minorEastAsia" w:hAnsi="Calibri" w:cs="Calibri"/>
          <w:kern w:val="24"/>
          <w:sz w:val="24"/>
          <w:szCs w:val="24"/>
        </w:rPr>
        <w:t>.</w:t>
      </w:r>
      <w:r w:rsidR="00B43E49" w:rsidRPr="00472C9F">
        <w:rPr>
          <w:rStyle w:val="FootnoteReference"/>
          <w:rFonts w:ascii="Calibri" w:eastAsiaTheme="minorEastAsia" w:hAnsi="Calibri" w:cs="Calibri"/>
          <w:kern w:val="24"/>
          <w:sz w:val="24"/>
          <w:szCs w:val="24"/>
        </w:rPr>
        <w:footnoteReference w:id="54"/>
      </w:r>
      <w:r w:rsidR="00B43E49" w:rsidRPr="00472C9F">
        <w:rPr>
          <w:rFonts w:ascii="Calibri" w:eastAsiaTheme="minorEastAsia" w:hAnsi="Calibri" w:cs="Calibri"/>
          <w:kern w:val="24"/>
          <w:sz w:val="24"/>
          <w:szCs w:val="24"/>
        </w:rPr>
        <w:t xml:space="preserve"> </w:t>
      </w:r>
      <w:r w:rsidR="000E444B" w:rsidRPr="00472C9F">
        <w:rPr>
          <w:rFonts w:ascii="Calibri" w:eastAsia="Times New Roman" w:hAnsi="Calibri" w:cs="Calibri"/>
          <w:color w:val="000000"/>
          <w:sz w:val="24"/>
          <w:szCs w:val="24"/>
          <w:lang w:eastAsia="en-GB"/>
        </w:rPr>
        <w:t xml:space="preserve">It is the latter group who offer most hope </w:t>
      </w:r>
      <w:r w:rsidR="00740E00" w:rsidRPr="00472C9F">
        <w:rPr>
          <w:rFonts w:ascii="Calibri" w:eastAsia="Times New Roman" w:hAnsi="Calibri" w:cs="Calibri"/>
          <w:color w:val="000000"/>
          <w:sz w:val="24"/>
          <w:szCs w:val="24"/>
          <w:lang w:eastAsia="en-GB"/>
        </w:rPr>
        <w:t>for the future conception of EU citizenship as gay and lesbian</w:t>
      </w:r>
      <w:r w:rsidR="00834375">
        <w:rPr>
          <w:rFonts w:ascii="Calibri" w:eastAsia="Times New Roman" w:hAnsi="Calibri" w:cs="Calibri"/>
          <w:color w:val="000000"/>
          <w:sz w:val="24"/>
          <w:szCs w:val="24"/>
          <w:lang w:eastAsia="en-GB"/>
        </w:rPr>
        <w:t xml:space="preserve"> </w:t>
      </w:r>
      <w:r w:rsidR="00740E00" w:rsidRPr="00472C9F">
        <w:rPr>
          <w:rFonts w:ascii="Calibri" w:eastAsia="Times New Roman" w:hAnsi="Calibri" w:cs="Calibri"/>
          <w:color w:val="000000"/>
          <w:sz w:val="24"/>
          <w:szCs w:val="24"/>
          <w:lang w:eastAsia="en-GB"/>
        </w:rPr>
        <w:t xml:space="preserve">inclusive. </w:t>
      </w:r>
    </w:p>
    <w:p w14:paraId="51750554" w14:textId="77777777" w:rsidR="00740E00" w:rsidRPr="00472C9F" w:rsidRDefault="00740E00" w:rsidP="0059780E">
      <w:pPr>
        <w:spacing w:after="0" w:line="360" w:lineRule="auto"/>
        <w:jc w:val="both"/>
        <w:textAlignment w:val="baseline"/>
        <w:rPr>
          <w:rFonts w:ascii="Calibri" w:hAnsi="Calibri" w:cs="Calibri"/>
          <w:b/>
          <w:bCs/>
          <w:sz w:val="24"/>
          <w:szCs w:val="24"/>
        </w:rPr>
      </w:pPr>
    </w:p>
    <w:p w14:paraId="17DED78D" w14:textId="16F3E1DD" w:rsidR="00E14658" w:rsidRDefault="00895160" w:rsidP="0059780E">
      <w:pPr>
        <w:spacing w:after="0" w:line="360" w:lineRule="auto"/>
        <w:jc w:val="both"/>
        <w:textAlignment w:val="baseline"/>
        <w:rPr>
          <w:rFonts w:ascii="Calibri" w:eastAsiaTheme="minorEastAsia" w:hAnsi="Calibri" w:cs="Calibri"/>
          <w:b/>
          <w:bCs/>
          <w:kern w:val="24"/>
          <w:sz w:val="24"/>
          <w:szCs w:val="24"/>
        </w:rPr>
      </w:pPr>
      <w:r w:rsidRPr="00472C9F">
        <w:rPr>
          <w:rFonts w:ascii="Calibri" w:eastAsia="Times New Roman" w:hAnsi="Calibri" w:cs="Calibri"/>
          <w:color w:val="000000"/>
          <w:sz w:val="24"/>
          <w:szCs w:val="24"/>
          <w:lang w:eastAsia="en-GB"/>
        </w:rPr>
        <w:t xml:space="preserve">Over the last seven decades the </w:t>
      </w:r>
      <w:r w:rsidR="002C5AC4" w:rsidRPr="00472C9F">
        <w:rPr>
          <w:rFonts w:ascii="Calibri" w:eastAsia="Times New Roman" w:hAnsi="Calibri" w:cs="Calibri"/>
          <w:color w:val="000000"/>
          <w:sz w:val="24"/>
          <w:szCs w:val="24"/>
          <w:lang w:eastAsia="en-GB"/>
        </w:rPr>
        <w:t>EU</w:t>
      </w:r>
      <w:r w:rsidRPr="00472C9F">
        <w:rPr>
          <w:rFonts w:ascii="Calibri" w:eastAsia="Times New Roman" w:hAnsi="Calibri" w:cs="Calibri"/>
          <w:color w:val="000000"/>
          <w:sz w:val="24"/>
          <w:szCs w:val="24"/>
          <w:lang w:eastAsia="en-GB"/>
        </w:rPr>
        <w:t xml:space="preserve"> has enjoyed an increasing array of competencies</w:t>
      </w:r>
      <w:r w:rsidR="00CA4AC0" w:rsidRPr="00472C9F">
        <w:rPr>
          <w:rFonts w:ascii="Calibri" w:eastAsia="Times New Roman" w:hAnsi="Calibri" w:cs="Calibri"/>
          <w:color w:val="000000"/>
          <w:sz w:val="24"/>
          <w:szCs w:val="24"/>
          <w:lang w:eastAsia="en-GB"/>
        </w:rPr>
        <w:t xml:space="preserve"> beyond the scope of the economic sphere, </w:t>
      </w:r>
      <w:r w:rsidRPr="00472C9F">
        <w:rPr>
          <w:rFonts w:ascii="Calibri" w:eastAsia="Times New Roman" w:hAnsi="Calibri" w:cs="Calibri"/>
          <w:color w:val="000000"/>
          <w:sz w:val="24"/>
          <w:szCs w:val="24"/>
          <w:lang w:eastAsia="en-GB"/>
        </w:rPr>
        <w:t xml:space="preserve">not least </w:t>
      </w:r>
      <w:proofErr w:type="gramStart"/>
      <w:r w:rsidRPr="00472C9F">
        <w:rPr>
          <w:rFonts w:ascii="Calibri" w:eastAsia="Times New Roman" w:hAnsi="Calibri" w:cs="Calibri"/>
          <w:color w:val="000000"/>
          <w:sz w:val="24"/>
          <w:szCs w:val="24"/>
          <w:lang w:eastAsia="en-GB"/>
        </w:rPr>
        <w:t>in the area of</w:t>
      </w:r>
      <w:proofErr w:type="gramEnd"/>
      <w:r w:rsidRPr="00472C9F">
        <w:rPr>
          <w:rFonts w:ascii="Calibri" w:eastAsia="Times New Roman" w:hAnsi="Calibri" w:cs="Calibri"/>
          <w:color w:val="000000"/>
          <w:sz w:val="24"/>
          <w:szCs w:val="24"/>
          <w:lang w:eastAsia="en-GB"/>
        </w:rPr>
        <w:t xml:space="preserve"> equality and non-discrimination.  </w:t>
      </w:r>
      <w:r w:rsidR="004D7B61" w:rsidRPr="00472C9F">
        <w:rPr>
          <w:rFonts w:ascii="Calibri" w:hAnsi="Calibri" w:cs="Calibri"/>
          <w:sz w:val="24"/>
          <w:szCs w:val="24"/>
        </w:rPr>
        <w:t>Yet</w:t>
      </w:r>
      <w:r w:rsidR="0037675B" w:rsidRPr="00472C9F">
        <w:rPr>
          <w:rFonts w:ascii="Calibri" w:hAnsi="Calibri" w:cs="Calibri"/>
          <w:sz w:val="24"/>
          <w:szCs w:val="24"/>
        </w:rPr>
        <w:t>,</w:t>
      </w:r>
      <w:r w:rsidR="004D7B61" w:rsidRPr="00472C9F">
        <w:rPr>
          <w:rFonts w:ascii="Calibri" w:hAnsi="Calibri" w:cs="Calibri"/>
          <w:sz w:val="24"/>
          <w:szCs w:val="24"/>
        </w:rPr>
        <w:t xml:space="preserve"> </w:t>
      </w:r>
      <w:r w:rsidR="004D7B61" w:rsidRPr="00472C9F">
        <w:rPr>
          <w:rFonts w:ascii="Calibri" w:eastAsia="Times New Roman" w:hAnsi="Calibri" w:cs="Calibri"/>
          <w:color w:val="000000"/>
          <w:sz w:val="24"/>
          <w:szCs w:val="24"/>
          <w:lang w:eastAsia="en-GB"/>
        </w:rPr>
        <w:t>with Member States g</w:t>
      </w:r>
      <w:r w:rsidR="00EF3AFE" w:rsidRPr="00472C9F">
        <w:rPr>
          <w:rFonts w:ascii="Calibri" w:eastAsia="Times New Roman" w:hAnsi="Calibri" w:cs="Calibri"/>
          <w:color w:val="000000"/>
          <w:sz w:val="24"/>
          <w:szCs w:val="24"/>
          <w:lang w:eastAsia="en-GB"/>
        </w:rPr>
        <w:t>ranting</w:t>
      </w:r>
      <w:r w:rsidR="004D7B61" w:rsidRPr="00472C9F">
        <w:rPr>
          <w:rFonts w:ascii="Calibri" w:eastAsia="Times New Roman" w:hAnsi="Calibri" w:cs="Calibri"/>
          <w:color w:val="000000"/>
          <w:sz w:val="24"/>
          <w:szCs w:val="24"/>
          <w:lang w:eastAsia="en-GB"/>
        </w:rPr>
        <w:t xml:space="preserve"> increasing </w:t>
      </w:r>
      <w:r w:rsidR="00EF3AFE" w:rsidRPr="00472C9F">
        <w:rPr>
          <w:rFonts w:ascii="Calibri" w:eastAsia="Times New Roman" w:hAnsi="Calibri" w:cs="Calibri"/>
          <w:color w:val="000000"/>
          <w:sz w:val="24"/>
          <w:szCs w:val="24"/>
          <w:lang w:eastAsia="en-GB"/>
        </w:rPr>
        <w:t>powers</w:t>
      </w:r>
      <w:r w:rsidR="004D7B61" w:rsidRPr="00472C9F">
        <w:rPr>
          <w:rFonts w:ascii="Calibri" w:eastAsia="Times New Roman" w:hAnsi="Calibri" w:cs="Calibri"/>
          <w:color w:val="000000"/>
          <w:sz w:val="24"/>
          <w:szCs w:val="24"/>
          <w:lang w:eastAsia="en-GB"/>
        </w:rPr>
        <w:t xml:space="preserve"> to the EU, criticism became louder that the EU was suffering from a democratic deficit with no voice being given to citizens.</w:t>
      </w:r>
      <w:r w:rsidR="004D7B61" w:rsidRPr="00472C9F">
        <w:rPr>
          <w:rStyle w:val="FootnoteReference"/>
          <w:rFonts w:ascii="Calibri" w:eastAsia="Times New Roman" w:hAnsi="Calibri" w:cs="Calibri"/>
          <w:color w:val="000000"/>
          <w:sz w:val="24"/>
          <w:szCs w:val="24"/>
          <w:lang w:eastAsia="en-GB"/>
        </w:rPr>
        <w:footnoteReference w:id="55"/>
      </w:r>
      <w:r w:rsidR="004D7B61" w:rsidRPr="00472C9F">
        <w:rPr>
          <w:rFonts w:ascii="Calibri" w:eastAsia="Times New Roman" w:hAnsi="Calibri" w:cs="Calibri"/>
          <w:color w:val="000000"/>
          <w:sz w:val="24"/>
          <w:szCs w:val="24"/>
          <w:lang w:eastAsia="en-GB"/>
        </w:rPr>
        <w:t xml:space="preserve"> Whether a democratic deficit actually exists has been much debated.</w:t>
      </w:r>
      <w:r w:rsidR="004D7B61" w:rsidRPr="00472C9F">
        <w:rPr>
          <w:rStyle w:val="FootnoteReference"/>
          <w:rFonts w:ascii="Calibri" w:eastAsia="Times New Roman" w:hAnsi="Calibri" w:cs="Calibri"/>
          <w:color w:val="000000"/>
          <w:sz w:val="24"/>
          <w:szCs w:val="24"/>
          <w:lang w:eastAsia="en-GB"/>
        </w:rPr>
        <w:footnoteReference w:id="56"/>
      </w:r>
      <w:r w:rsidR="004D7B61" w:rsidRPr="00472C9F">
        <w:rPr>
          <w:rFonts w:ascii="Calibri" w:eastAsia="Times New Roman" w:hAnsi="Calibri" w:cs="Calibri"/>
          <w:color w:val="000000"/>
          <w:sz w:val="24"/>
          <w:szCs w:val="24"/>
          <w:lang w:eastAsia="en-GB"/>
        </w:rPr>
        <w:t xml:space="preserve"> In any event, the introduction of European citizenship became a ‘major priority’ of the EU in order to address these concerns and for the EU to ‘legitimize itself’.</w:t>
      </w:r>
      <w:r w:rsidR="004D7B61" w:rsidRPr="00472C9F">
        <w:rPr>
          <w:rStyle w:val="FootnoteReference"/>
          <w:rFonts w:ascii="Calibri" w:hAnsi="Calibri" w:cs="Calibri"/>
          <w:sz w:val="24"/>
          <w:szCs w:val="24"/>
        </w:rPr>
        <w:footnoteReference w:id="57"/>
      </w:r>
      <w:r w:rsidR="004D7B61" w:rsidRPr="00472C9F">
        <w:rPr>
          <w:rFonts w:ascii="Calibri" w:hAnsi="Calibri" w:cs="Calibri"/>
          <w:sz w:val="24"/>
          <w:szCs w:val="24"/>
        </w:rPr>
        <w:t xml:space="preserve"> In 1992, the </w:t>
      </w:r>
      <w:r w:rsidR="004D7B61" w:rsidRPr="00472C9F">
        <w:rPr>
          <w:rFonts w:ascii="Calibri" w:eastAsia="Times New Roman" w:hAnsi="Calibri" w:cs="Calibri"/>
          <w:color w:val="000000"/>
          <w:sz w:val="24"/>
          <w:szCs w:val="24"/>
          <w:lang w:eastAsia="en-GB"/>
        </w:rPr>
        <w:t xml:space="preserve">Maastricht Treaty introduced the concept of citizenship alongside other attempts to produce a </w:t>
      </w:r>
      <w:r w:rsidR="004D7B61" w:rsidRPr="00472C9F">
        <w:rPr>
          <w:rFonts w:ascii="Calibri" w:eastAsia="Times New Roman" w:hAnsi="Calibri" w:cs="Calibri"/>
          <w:i/>
          <w:iCs/>
          <w:color w:val="000000"/>
          <w:sz w:val="24"/>
          <w:szCs w:val="24"/>
          <w:lang w:eastAsia="en-GB"/>
        </w:rPr>
        <w:t>demos</w:t>
      </w:r>
      <w:r w:rsidR="004D7B61" w:rsidRPr="00472C9F">
        <w:rPr>
          <w:rFonts w:ascii="Calibri" w:eastAsia="Times New Roman" w:hAnsi="Calibri" w:cs="Calibri"/>
          <w:color w:val="000000"/>
          <w:sz w:val="24"/>
          <w:szCs w:val="24"/>
          <w:lang w:eastAsia="en-GB"/>
        </w:rPr>
        <w:t xml:space="preserve"> including a flag, anthem and European Health card.</w:t>
      </w:r>
      <w:r w:rsidR="004D7B61" w:rsidRPr="00472C9F">
        <w:rPr>
          <w:rStyle w:val="FootnoteReference"/>
          <w:rFonts w:ascii="Calibri" w:eastAsia="Times New Roman" w:hAnsi="Calibri" w:cs="Calibri"/>
          <w:color w:val="000000"/>
          <w:sz w:val="24"/>
          <w:szCs w:val="24"/>
          <w:lang w:eastAsia="en-GB"/>
        </w:rPr>
        <w:footnoteReference w:id="58"/>
      </w:r>
      <w:r w:rsidR="004D7B61" w:rsidRPr="00472C9F">
        <w:rPr>
          <w:rFonts w:ascii="Calibri" w:eastAsia="Times New Roman" w:hAnsi="Calibri" w:cs="Calibri"/>
          <w:color w:val="000000"/>
          <w:sz w:val="24"/>
          <w:szCs w:val="24"/>
          <w:lang w:eastAsia="en-GB"/>
        </w:rPr>
        <w:t xml:space="preserve"> </w:t>
      </w:r>
      <w:r w:rsidR="00F76190">
        <w:rPr>
          <w:rFonts w:ascii="Calibri" w:hAnsi="Calibri" w:cs="Calibri"/>
          <w:sz w:val="24"/>
          <w:szCs w:val="24"/>
        </w:rPr>
        <w:t xml:space="preserve">The </w:t>
      </w:r>
      <w:r w:rsidR="004D7B61" w:rsidRPr="00472C9F">
        <w:rPr>
          <w:rFonts w:ascii="Calibri" w:hAnsi="Calibri" w:cs="Calibri"/>
          <w:sz w:val="24"/>
          <w:szCs w:val="24"/>
        </w:rPr>
        <w:t xml:space="preserve">Treaty on the Functioning of the EU (‘TFEU’) now </w:t>
      </w:r>
      <w:r w:rsidR="004D7B61" w:rsidRPr="00472C9F">
        <w:rPr>
          <w:rFonts w:ascii="Calibri" w:hAnsi="Calibri" w:cs="Calibri"/>
          <w:sz w:val="24"/>
          <w:szCs w:val="24"/>
        </w:rPr>
        <w:lastRenderedPageBreak/>
        <w:t xml:space="preserve">determines that anyone is an EU citizen who holds the nationality of a </w:t>
      </w:r>
      <w:r w:rsidR="00D15A98">
        <w:rPr>
          <w:rFonts w:ascii="Calibri" w:hAnsi="Calibri" w:cs="Calibri"/>
          <w:sz w:val="24"/>
          <w:szCs w:val="24"/>
        </w:rPr>
        <w:t>M</w:t>
      </w:r>
      <w:r w:rsidR="004D7B61" w:rsidRPr="00472C9F">
        <w:rPr>
          <w:rFonts w:ascii="Calibri" w:hAnsi="Calibri" w:cs="Calibri"/>
          <w:sz w:val="24"/>
          <w:szCs w:val="24"/>
        </w:rPr>
        <w:t xml:space="preserve">ember </w:t>
      </w:r>
      <w:r w:rsidR="00D15A98">
        <w:rPr>
          <w:rFonts w:ascii="Calibri" w:hAnsi="Calibri" w:cs="Calibri"/>
          <w:sz w:val="24"/>
          <w:szCs w:val="24"/>
        </w:rPr>
        <w:t>S</w:t>
      </w:r>
      <w:r w:rsidR="004D7B61" w:rsidRPr="00472C9F">
        <w:rPr>
          <w:rFonts w:ascii="Calibri" w:hAnsi="Calibri" w:cs="Calibri"/>
          <w:sz w:val="24"/>
          <w:szCs w:val="24"/>
        </w:rPr>
        <w:t>tate (however defined).</w:t>
      </w:r>
      <w:r w:rsidR="004D7B61" w:rsidRPr="00472C9F">
        <w:rPr>
          <w:rStyle w:val="FootnoteReference"/>
          <w:rFonts w:ascii="Calibri" w:hAnsi="Calibri" w:cs="Calibri"/>
          <w:sz w:val="24"/>
          <w:szCs w:val="24"/>
        </w:rPr>
        <w:footnoteReference w:id="59"/>
      </w:r>
      <w:r w:rsidR="004D7B61" w:rsidRPr="00472C9F">
        <w:rPr>
          <w:rFonts w:ascii="Calibri" w:hAnsi="Calibri" w:cs="Calibri"/>
          <w:sz w:val="24"/>
          <w:szCs w:val="24"/>
        </w:rPr>
        <w:t xml:space="preserve"> No barriers to participation, </w:t>
      </w:r>
      <w:r w:rsidR="00774442" w:rsidRPr="00472C9F">
        <w:rPr>
          <w:rFonts w:ascii="Calibri" w:hAnsi="Calibri" w:cs="Calibri"/>
          <w:sz w:val="24"/>
          <w:szCs w:val="24"/>
        </w:rPr>
        <w:t xml:space="preserve">and no mention of economic productivity, </w:t>
      </w:r>
      <w:r w:rsidR="004D7B61" w:rsidRPr="00472C9F">
        <w:rPr>
          <w:rFonts w:ascii="Calibri" w:hAnsi="Calibri" w:cs="Calibri"/>
          <w:sz w:val="24"/>
          <w:szCs w:val="24"/>
        </w:rPr>
        <w:t>are therefore contained in this definition.</w:t>
      </w:r>
      <w:r w:rsidR="00A27595" w:rsidRPr="00472C9F">
        <w:rPr>
          <w:rFonts w:ascii="Calibri" w:hAnsi="Calibri" w:cs="Calibri"/>
          <w:sz w:val="24"/>
          <w:szCs w:val="24"/>
        </w:rPr>
        <w:t xml:space="preserve"> </w:t>
      </w:r>
      <w:r w:rsidR="00C35DB1" w:rsidRPr="00472C9F">
        <w:rPr>
          <w:rFonts w:ascii="Calibri" w:hAnsi="Calibri" w:cs="Calibri"/>
          <w:sz w:val="24"/>
          <w:szCs w:val="24"/>
        </w:rPr>
        <w:t>However</w:t>
      </w:r>
      <w:r w:rsidR="0037675B" w:rsidRPr="00472C9F">
        <w:rPr>
          <w:rFonts w:ascii="Calibri" w:hAnsi="Calibri" w:cs="Calibri"/>
          <w:sz w:val="24"/>
          <w:szCs w:val="24"/>
        </w:rPr>
        <w:t>,</w:t>
      </w:r>
      <w:r w:rsidR="00C35DB1" w:rsidRPr="00472C9F">
        <w:rPr>
          <w:rFonts w:ascii="Calibri" w:hAnsi="Calibri" w:cs="Calibri"/>
          <w:sz w:val="24"/>
          <w:szCs w:val="24"/>
        </w:rPr>
        <w:t xml:space="preserve"> </w:t>
      </w:r>
      <w:r w:rsidR="00774442" w:rsidRPr="00472C9F">
        <w:rPr>
          <w:rFonts w:ascii="Calibri" w:hAnsi="Calibri" w:cs="Calibri"/>
          <w:sz w:val="24"/>
          <w:szCs w:val="24"/>
        </w:rPr>
        <w:t xml:space="preserve">formal equality in law does not equate to substantive equality and </w:t>
      </w:r>
      <w:r w:rsidR="00C35DB1" w:rsidRPr="00472C9F">
        <w:rPr>
          <w:rFonts w:ascii="Calibri" w:hAnsi="Calibri" w:cs="Calibri"/>
          <w:sz w:val="24"/>
          <w:szCs w:val="24"/>
        </w:rPr>
        <w:t xml:space="preserve">certain groups continue to engage with </w:t>
      </w:r>
      <w:r w:rsidR="00204E93" w:rsidRPr="00472C9F">
        <w:rPr>
          <w:rFonts w:ascii="Calibri" w:hAnsi="Calibri" w:cs="Calibri"/>
          <w:sz w:val="24"/>
          <w:szCs w:val="24"/>
        </w:rPr>
        <w:t>EU citizenship</w:t>
      </w:r>
      <w:r w:rsidR="00C35DB1" w:rsidRPr="00472C9F">
        <w:rPr>
          <w:rFonts w:ascii="Calibri" w:hAnsi="Calibri" w:cs="Calibri"/>
          <w:sz w:val="24"/>
          <w:szCs w:val="24"/>
        </w:rPr>
        <w:t xml:space="preserve"> rights less</w:t>
      </w:r>
      <w:r w:rsidR="00774442" w:rsidRPr="00472C9F">
        <w:rPr>
          <w:rFonts w:ascii="Calibri" w:hAnsi="Calibri" w:cs="Calibri"/>
          <w:sz w:val="24"/>
          <w:szCs w:val="24"/>
        </w:rPr>
        <w:t>, due to their differing social roles and economic power</w:t>
      </w:r>
      <w:r w:rsidR="00C35DB1" w:rsidRPr="00472C9F">
        <w:rPr>
          <w:rFonts w:ascii="Calibri" w:hAnsi="Calibri" w:cs="Calibri"/>
          <w:sz w:val="24"/>
          <w:szCs w:val="24"/>
        </w:rPr>
        <w:t>.</w:t>
      </w:r>
      <w:r w:rsidR="00774442" w:rsidRPr="00472C9F">
        <w:rPr>
          <w:rFonts w:ascii="Calibri" w:hAnsi="Calibri" w:cs="Calibri"/>
          <w:sz w:val="24"/>
          <w:szCs w:val="24"/>
        </w:rPr>
        <w:t xml:space="preserve"> </w:t>
      </w:r>
      <w:r w:rsidR="00C35DB1" w:rsidRPr="00472C9F">
        <w:rPr>
          <w:rFonts w:ascii="Calibri" w:hAnsi="Calibri" w:cs="Calibri"/>
          <w:sz w:val="24"/>
          <w:szCs w:val="24"/>
        </w:rPr>
        <w:t>For example, whilst</w:t>
      </w:r>
      <w:r w:rsidR="00426EFA" w:rsidRPr="00472C9F">
        <w:rPr>
          <w:rFonts w:ascii="Calibri" w:hAnsi="Calibri" w:cs="Calibri"/>
          <w:sz w:val="24"/>
          <w:szCs w:val="24"/>
        </w:rPr>
        <w:t xml:space="preserve"> all EU citizens</w:t>
      </w:r>
      <w:r w:rsidR="00C163A1" w:rsidRPr="00472C9F">
        <w:rPr>
          <w:rFonts w:ascii="Calibri" w:hAnsi="Calibri" w:cs="Calibri"/>
          <w:sz w:val="24"/>
          <w:szCs w:val="24"/>
        </w:rPr>
        <w:t xml:space="preserve"> have </w:t>
      </w:r>
      <w:r w:rsidR="00C163A1" w:rsidRPr="00472C9F">
        <w:rPr>
          <w:rFonts w:ascii="Calibri" w:eastAsiaTheme="minorEastAsia" w:hAnsi="Calibri" w:cs="Calibri"/>
          <w:kern w:val="24"/>
          <w:sz w:val="24"/>
          <w:szCs w:val="24"/>
        </w:rPr>
        <w:t>the ability to vote in European Union Parliamentary elections</w:t>
      </w:r>
      <w:r w:rsidR="0037675B" w:rsidRPr="00472C9F">
        <w:rPr>
          <w:rFonts w:ascii="Calibri" w:eastAsiaTheme="minorEastAsia" w:hAnsi="Calibri" w:cs="Calibri"/>
          <w:kern w:val="24"/>
          <w:sz w:val="24"/>
          <w:szCs w:val="24"/>
        </w:rPr>
        <w:t>,</w:t>
      </w:r>
      <w:r w:rsidR="00C163A1" w:rsidRPr="00472C9F">
        <w:rPr>
          <w:rStyle w:val="FootnoteReference"/>
          <w:rFonts w:ascii="Calibri" w:eastAsiaTheme="minorEastAsia" w:hAnsi="Calibri" w:cs="Calibri"/>
          <w:kern w:val="24"/>
          <w:sz w:val="24"/>
          <w:szCs w:val="24"/>
        </w:rPr>
        <w:footnoteReference w:id="60"/>
      </w:r>
      <w:r w:rsidR="00C163A1" w:rsidRPr="00472C9F">
        <w:rPr>
          <w:rFonts w:ascii="Calibri" w:eastAsiaTheme="minorEastAsia" w:hAnsi="Calibri" w:cs="Calibri"/>
          <w:kern w:val="24"/>
          <w:sz w:val="24"/>
          <w:szCs w:val="24"/>
        </w:rPr>
        <w:t xml:space="preserve"> in reality voter engagement is low</w:t>
      </w:r>
      <w:r w:rsidR="00A87AE0" w:rsidRPr="00472C9F">
        <w:rPr>
          <w:rFonts w:ascii="Calibri" w:eastAsiaTheme="minorEastAsia" w:hAnsi="Calibri" w:cs="Calibri"/>
          <w:kern w:val="24"/>
          <w:sz w:val="24"/>
          <w:szCs w:val="24"/>
        </w:rPr>
        <w:t>, and</w:t>
      </w:r>
      <w:r w:rsidR="005B368D" w:rsidRPr="00472C9F">
        <w:rPr>
          <w:rFonts w:ascii="Calibri" w:eastAsiaTheme="minorEastAsia" w:hAnsi="Calibri" w:cs="Calibri"/>
          <w:kern w:val="24"/>
          <w:sz w:val="24"/>
          <w:szCs w:val="24"/>
        </w:rPr>
        <w:t xml:space="preserve"> ‘younger, more socially deprived, and less educated people vote less’</w:t>
      </w:r>
      <w:r w:rsidR="00604249" w:rsidRPr="00472C9F">
        <w:rPr>
          <w:rFonts w:ascii="Calibri" w:eastAsiaTheme="minorEastAsia" w:hAnsi="Calibri" w:cs="Calibri"/>
          <w:kern w:val="24"/>
          <w:sz w:val="24"/>
          <w:szCs w:val="24"/>
        </w:rPr>
        <w:t xml:space="preserve"> as they already feel ‘out of the game’ and lacking power at national level and even more at EU le</w:t>
      </w:r>
      <w:r w:rsidR="004E76F0" w:rsidRPr="00472C9F">
        <w:rPr>
          <w:rFonts w:ascii="Calibri" w:eastAsiaTheme="minorEastAsia" w:hAnsi="Calibri" w:cs="Calibri"/>
          <w:kern w:val="24"/>
          <w:sz w:val="24"/>
          <w:szCs w:val="24"/>
        </w:rPr>
        <w:t>vel</w:t>
      </w:r>
      <w:r w:rsidR="00604249" w:rsidRPr="00472C9F">
        <w:rPr>
          <w:rFonts w:ascii="Calibri" w:eastAsiaTheme="minorEastAsia" w:hAnsi="Calibri" w:cs="Calibri"/>
          <w:kern w:val="24"/>
          <w:sz w:val="24"/>
          <w:szCs w:val="24"/>
        </w:rPr>
        <w:t>.</w:t>
      </w:r>
      <w:r w:rsidR="00460CA2" w:rsidRPr="00472C9F">
        <w:rPr>
          <w:rStyle w:val="FootnoteReference"/>
          <w:rFonts w:ascii="Calibri" w:eastAsiaTheme="minorEastAsia" w:hAnsi="Calibri" w:cs="Calibri"/>
          <w:kern w:val="24"/>
          <w:sz w:val="24"/>
          <w:szCs w:val="24"/>
        </w:rPr>
        <w:footnoteReference w:id="61"/>
      </w:r>
      <w:r w:rsidR="005B368D" w:rsidRPr="00472C9F">
        <w:rPr>
          <w:rFonts w:ascii="Calibri" w:eastAsiaTheme="minorEastAsia" w:hAnsi="Calibri" w:cs="Calibri"/>
          <w:kern w:val="24"/>
          <w:sz w:val="24"/>
          <w:szCs w:val="24"/>
        </w:rPr>
        <w:t xml:space="preserve"> </w:t>
      </w:r>
      <w:r w:rsidR="00C35DB1" w:rsidRPr="00472C9F">
        <w:rPr>
          <w:rFonts w:ascii="Calibri" w:eastAsiaTheme="minorEastAsia" w:hAnsi="Calibri" w:cs="Calibri"/>
          <w:kern w:val="24"/>
          <w:sz w:val="24"/>
          <w:szCs w:val="24"/>
        </w:rPr>
        <w:t xml:space="preserve">In </w:t>
      </w:r>
      <w:r w:rsidR="00C547E2" w:rsidRPr="00472C9F">
        <w:rPr>
          <w:rFonts w:ascii="Calibri" w:eastAsiaTheme="minorEastAsia" w:hAnsi="Calibri" w:cs="Calibri"/>
          <w:kern w:val="24"/>
          <w:sz w:val="24"/>
          <w:szCs w:val="24"/>
        </w:rPr>
        <w:t>2024</w:t>
      </w:r>
      <w:r w:rsidR="00C35DB1" w:rsidRPr="00472C9F">
        <w:rPr>
          <w:rFonts w:ascii="Calibri" w:eastAsiaTheme="minorEastAsia" w:hAnsi="Calibri" w:cs="Calibri"/>
          <w:kern w:val="24"/>
          <w:sz w:val="24"/>
          <w:szCs w:val="24"/>
        </w:rPr>
        <w:t xml:space="preserve"> voter turnout was </w:t>
      </w:r>
      <w:r w:rsidR="00C547E2" w:rsidRPr="00472C9F">
        <w:rPr>
          <w:rFonts w:ascii="Calibri" w:eastAsiaTheme="minorEastAsia" w:hAnsi="Calibri" w:cs="Calibri"/>
          <w:kern w:val="24"/>
          <w:sz w:val="24"/>
          <w:szCs w:val="24"/>
        </w:rPr>
        <w:t>over 51%</w:t>
      </w:r>
      <w:r w:rsidR="00C35DB1" w:rsidRPr="00472C9F">
        <w:rPr>
          <w:rFonts w:ascii="Calibri" w:eastAsiaTheme="minorEastAsia" w:hAnsi="Calibri" w:cs="Calibri"/>
          <w:kern w:val="24"/>
          <w:sz w:val="24"/>
          <w:szCs w:val="24"/>
        </w:rPr>
        <w:t xml:space="preserve"> and this was the</w:t>
      </w:r>
      <w:r w:rsidR="00C163A1" w:rsidRPr="00472C9F">
        <w:rPr>
          <w:rFonts w:ascii="Calibri" w:eastAsiaTheme="minorEastAsia" w:hAnsi="Calibri" w:cs="Calibri"/>
          <w:kern w:val="24"/>
          <w:sz w:val="24"/>
          <w:szCs w:val="24"/>
        </w:rPr>
        <w:t xml:space="preserve"> highest </w:t>
      </w:r>
      <w:r w:rsidR="00C35DB1" w:rsidRPr="00472C9F">
        <w:rPr>
          <w:rFonts w:ascii="Calibri" w:eastAsiaTheme="minorEastAsia" w:hAnsi="Calibri" w:cs="Calibri"/>
          <w:kern w:val="24"/>
          <w:sz w:val="24"/>
          <w:szCs w:val="24"/>
        </w:rPr>
        <w:t xml:space="preserve">level </w:t>
      </w:r>
      <w:r w:rsidR="00C163A1" w:rsidRPr="00472C9F">
        <w:rPr>
          <w:rFonts w:ascii="Calibri" w:eastAsiaTheme="minorEastAsia" w:hAnsi="Calibri" w:cs="Calibri"/>
          <w:kern w:val="24"/>
          <w:sz w:val="24"/>
          <w:szCs w:val="24"/>
        </w:rPr>
        <w:t>since 1994</w:t>
      </w:r>
      <w:r w:rsidR="0037675B" w:rsidRPr="00472C9F">
        <w:rPr>
          <w:rFonts w:ascii="Calibri" w:eastAsiaTheme="minorEastAsia" w:hAnsi="Calibri" w:cs="Calibri"/>
          <w:kern w:val="24"/>
          <w:sz w:val="24"/>
          <w:szCs w:val="24"/>
        </w:rPr>
        <w:t>,</w:t>
      </w:r>
      <w:r w:rsidR="00C163A1" w:rsidRPr="00472C9F">
        <w:rPr>
          <w:rFonts w:ascii="Calibri" w:eastAsiaTheme="minorEastAsia" w:hAnsi="Calibri" w:cs="Calibri"/>
          <w:kern w:val="24"/>
          <w:sz w:val="24"/>
          <w:szCs w:val="24"/>
        </w:rPr>
        <w:t xml:space="preserve"> with </w:t>
      </w:r>
      <w:r w:rsidR="00C35DB1" w:rsidRPr="00472C9F">
        <w:rPr>
          <w:rFonts w:ascii="Calibri" w:eastAsiaTheme="minorEastAsia" w:hAnsi="Calibri" w:cs="Calibri"/>
          <w:kern w:val="24"/>
          <w:sz w:val="24"/>
          <w:szCs w:val="24"/>
        </w:rPr>
        <w:t xml:space="preserve">participation dropping below </w:t>
      </w:r>
      <w:r w:rsidR="00C163A1" w:rsidRPr="00472C9F">
        <w:rPr>
          <w:rFonts w:ascii="Calibri" w:eastAsiaTheme="minorEastAsia" w:hAnsi="Calibri" w:cs="Calibri"/>
          <w:kern w:val="24"/>
          <w:sz w:val="24"/>
          <w:szCs w:val="24"/>
        </w:rPr>
        <w:t xml:space="preserve">50% in the </w:t>
      </w:r>
      <w:r w:rsidR="00432A14" w:rsidRPr="00472C9F">
        <w:rPr>
          <w:rFonts w:ascii="Calibri" w:eastAsiaTheme="minorEastAsia" w:hAnsi="Calibri" w:cs="Calibri"/>
          <w:kern w:val="24"/>
          <w:sz w:val="24"/>
          <w:szCs w:val="24"/>
        </w:rPr>
        <w:t>years between 1994 and 2019</w:t>
      </w:r>
      <w:r w:rsidR="00C163A1" w:rsidRPr="00472C9F">
        <w:rPr>
          <w:rFonts w:ascii="Calibri" w:eastAsiaTheme="minorEastAsia" w:hAnsi="Calibri" w:cs="Calibri"/>
          <w:kern w:val="24"/>
          <w:sz w:val="24"/>
          <w:szCs w:val="24"/>
        </w:rPr>
        <w:t>.</w:t>
      </w:r>
      <w:r w:rsidR="00C163A1" w:rsidRPr="00472C9F">
        <w:rPr>
          <w:rStyle w:val="FootnoteReference"/>
          <w:rFonts w:ascii="Calibri" w:eastAsiaTheme="minorEastAsia" w:hAnsi="Calibri" w:cs="Calibri"/>
          <w:kern w:val="24"/>
          <w:sz w:val="24"/>
          <w:szCs w:val="24"/>
        </w:rPr>
        <w:footnoteReference w:id="62"/>
      </w:r>
      <w:r w:rsidR="00E14658">
        <w:rPr>
          <w:rFonts w:ascii="Calibri" w:eastAsiaTheme="minorEastAsia" w:hAnsi="Calibri" w:cs="Calibri"/>
          <w:b/>
          <w:bCs/>
          <w:kern w:val="24"/>
          <w:sz w:val="24"/>
          <w:szCs w:val="24"/>
        </w:rPr>
        <w:t xml:space="preserve">  </w:t>
      </w:r>
    </w:p>
    <w:p w14:paraId="0DF0514B" w14:textId="0A9BB945" w:rsidR="00E14658" w:rsidRDefault="00E14658" w:rsidP="0059780E">
      <w:pPr>
        <w:spacing w:after="0" w:line="360" w:lineRule="auto"/>
        <w:jc w:val="both"/>
        <w:textAlignment w:val="baseline"/>
        <w:rPr>
          <w:rFonts w:ascii="Calibri" w:eastAsiaTheme="minorEastAsia" w:hAnsi="Calibri" w:cs="Calibri"/>
          <w:kern w:val="24"/>
          <w:sz w:val="24"/>
          <w:szCs w:val="24"/>
        </w:rPr>
      </w:pPr>
    </w:p>
    <w:p w14:paraId="24B00B9F" w14:textId="18CA227C" w:rsidR="0067367F" w:rsidRPr="0067367F" w:rsidRDefault="000A1FF3" w:rsidP="00B8637A">
      <w:pPr>
        <w:pStyle w:val="Heading2"/>
      </w:pPr>
      <w:r>
        <w:t xml:space="preserve">3. </w:t>
      </w:r>
      <w:r w:rsidR="005222F5" w:rsidRPr="0067367F">
        <w:t>EU Free Movement Rights</w:t>
      </w:r>
    </w:p>
    <w:p w14:paraId="1573ADC8" w14:textId="742C968C" w:rsidR="00694179" w:rsidRPr="00472C9F" w:rsidRDefault="00BA3603" w:rsidP="0059780E">
      <w:pPr>
        <w:spacing w:after="0" w:line="360" w:lineRule="auto"/>
        <w:jc w:val="both"/>
        <w:rPr>
          <w:rFonts w:ascii="Calibri" w:hAnsi="Calibri" w:cs="Calibri"/>
          <w:sz w:val="24"/>
          <w:szCs w:val="24"/>
          <w:shd w:val="clear" w:color="auto" w:fill="FFFFFF"/>
        </w:rPr>
      </w:pPr>
      <w:r w:rsidRPr="00472C9F">
        <w:rPr>
          <w:rFonts w:ascii="Calibri" w:hAnsi="Calibri" w:cs="Calibri"/>
          <w:sz w:val="24"/>
          <w:szCs w:val="24"/>
        </w:rPr>
        <w:t>T</w:t>
      </w:r>
      <w:r w:rsidR="002A38E4" w:rsidRPr="00472C9F">
        <w:rPr>
          <w:rFonts w:ascii="Calibri" w:hAnsi="Calibri" w:cs="Calibri"/>
          <w:sz w:val="24"/>
          <w:szCs w:val="24"/>
        </w:rPr>
        <w:t xml:space="preserve">he most significant </w:t>
      </w:r>
      <w:r w:rsidR="00432A14" w:rsidRPr="00472C9F">
        <w:rPr>
          <w:rFonts w:ascii="Calibri" w:hAnsi="Calibri" w:cs="Calibri"/>
          <w:sz w:val="24"/>
          <w:szCs w:val="24"/>
        </w:rPr>
        <w:t>extra</w:t>
      </w:r>
      <w:r w:rsidR="00B25202" w:rsidRPr="00472C9F">
        <w:rPr>
          <w:rFonts w:ascii="Calibri" w:hAnsi="Calibri" w:cs="Calibri"/>
          <w:sz w:val="24"/>
          <w:szCs w:val="24"/>
        </w:rPr>
        <w:t xml:space="preserve"> </w:t>
      </w:r>
      <w:r w:rsidR="002A38E4" w:rsidRPr="00472C9F">
        <w:rPr>
          <w:rFonts w:ascii="Calibri" w:hAnsi="Calibri" w:cs="Calibri"/>
          <w:sz w:val="24"/>
          <w:szCs w:val="24"/>
        </w:rPr>
        <w:t>dimension of EU citizenship</w:t>
      </w:r>
      <w:r w:rsidR="00B25202" w:rsidRPr="00472C9F">
        <w:rPr>
          <w:rFonts w:ascii="Calibri" w:hAnsi="Calibri" w:cs="Calibri"/>
          <w:sz w:val="24"/>
          <w:szCs w:val="24"/>
        </w:rPr>
        <w:t>, in addition to national citizenship,</w:t>
      </w:r>
      <w:r w:rsidRPr="00472C9F">
        <w:rPr>
          <w:rFonts w:ascii="Calibri" w:hAnsi="Calibri" w:cs="Calibri"/>
          <w:sz w:val="24"/>
          <w:szCs w:val="24"/>
        </w:rPr>
        <w:t xml:space="preserve"> is that associated with </w:t>
      </w:r>
      <w:r w:rsidR="002A38E4" w:rsidRPr="00472C9F">
        <w:rPr>
          <w:rFonts w:ascii="Calibri" w:hAnsi="Calibri" w:cs="Calibri"/>
          <w:sz w:val="24"/>
          <w:szCs w:val="24"/>
        </w:rPr>
        <w:t>freedom of movement.</w:t>
      </w:r>
      <w:r w:rsidR="002A38E4" w:rsidRPr="00472C9F">
        <w:rPr>
          <w:rStyle w:val="FootnoteReference"/>
          <w:rFonts w:ascii="Calibri" w:eastAsia="Times New Roman" w:hAnsi="Calibri" w:cs="Calibri"/>
          <w:sz w:val="24"/>
          <w:szCs w:val="24"/>
          <w:lang w:eastAsia="en-GB"/>
        </w:rPr>
        <w:footnoteReference w:id="63"/>
      </w:r>
      <w:r w:rsidR="00C35DB1" w:rsidRPr="00472C9F">
        <w:rPr>
          <w:rFonts w:ascii="Calibri" w:hAnsi="Calibri" w:cs="Calibri"/>
          <w:sz w:val="24"/>
          <w:szCs w:val="24"/>
        </w:rPr>
        <w:t xml:space="preserve"> However</w:t>
      </w:r>
      <w:r w:rsidR="0037675B" w:rsidRPr="00472C9F">
        <w:rPr>
          <w:rFonts w:ascii="Calibri" w:hAnsi="Calibri" w:cs="Calibri"/>
          <w:sz w:val="24"/>
          <w:szCs w:val="24"/>
        </w:rPr>
        <w:t>,</w:t>
      </w:r>
      <w:r w:rsidR="00C35DB1" w:rsidRPr="00472C9F">
        <w:rPr>
          <w:rFonts w:ascii="Calibri" w:hAnsi="Calibri" w:cs="Calibri"/>
          <w:sz w:val="24"/>
          <w:szCs w:val="24"/>
        </w:rPr>
        <w:t xml:space="preserve"> in practice certain groups face difficulties in </w:t>
      </w:r>
      <w:proofErr w:type="gramStart"/>
      <w:r w:rsidR="00C35DB1" w:rsidRPr="00472C9F">
        <w:rPr>
          <w:rFonts w:ascii="Calibri" w:hAnsi="Calibri" w:cs="Calibri"/>
          <w:sz w:val="24"/>
          <w:szCs w:val="24"/>
        </w:rPr>
        <w:t>actually exercising</w:t>
      </w:r>
      <w:proofErr w:type="gramEnd"/>
      <w:r w:rsidR="00C35DB1" w:rsidRPr="00472C9F">
        <w:rPr>
          <w:rFonts w:ascii="Calibri" w:hAnsi="Calibri" w:cs="Calibri"/>
          <w:sz w:val="24"/>
          <w:szCs w:val="24"/>
        </w:rPr>
        <w:t xml:space="preserve"> free movement rights.</w:t>
      </w:r>
      <w:r w:rsidR="00EF2161">
        <w:rPr>
          <w:rFonts w:ascii="Calibri" w:hAnsi="Calibri" w:cs="Calibri"/>
          <w:sz w:val="24"/>
          <w:szCs w:val="24"/>
        </w:rPr>
        <w:t xml:space="preserve"> </w:t>
      </w:r>
      <w:r w:rsidRPr="00472C9F">
        <w:rPr>
          <w:rFonts w:ascii="Calibri" w:hAnsi="Calibri" w:cs="Calibri"/>
          <w:sz w:val="24"/>
          <w:szCs w:val="24"/>
        </w:rPr>
        <w:t>Under EU Citizenship Directive 2004/38</w:t>
      </w:r>
      <w:r w:rsidR="0037675B" w:rsidRPr="00472C9F">
        <w:rPr>
          <w:rFonts w:ascii="Calibri" w:hAnsi="Calibri" w:cs="Calibri"/>
          <w:sz w:val="24"/>
          <w:szCs w:val="24"/>
        </w:rPr>
        <w:t>,</w:t>
      </w:r>
      <w:r w:rsidRPr="00472C9F">
        <w:rPr>
          <w:rFonts w:ascii="Calibri" w:hAnsi="Calibri" w:cs="Calibri"/>
          <w:sz w:val="24"/>
          <w:szCs w:val="24"/>
        </w:rPr>
        <w:t xml:space="preserve"> all</w:t>
      </w:r>
      <w:r w:rsidR="00D347C0" w:rsidRPr="00472C9F">
        <w:rPr>
          <w:rFonts w:ascii="Calibri" w:eastAsiaTheme="minorEastAsia" w:hAnsi="Calibri" w:cs="Calibri"/>
          <w:kern w:val="24"/>
          <w:sz w:val="24"/>
          <w:szCs w:val="24"/>
        </w:rPr>
        <w:t xml:space="preserve"> EU citizens have a</w:t>
      </w:r>
      <w:r w:rsidR="00BB3506" w:rsidRPr="00472C9F">
        <w:rPr>
          <w:rFonts w:ascii="Calibri" w:eastAsiaTheme="minorEastAsia" w:hAnsi="Calibri" w:cs="Calibri"/>
          <w:kern w:val="24"/>
          <w:sz w:val="24"/>
          <w:szCs w:val="24"/>
        </w:rPr>
        <w:t xml:space="preserve"> general right of residence </w:t>
      </w:r>
      <w:r w:rsidR="00B93885">
        <w:rPr>
          <w:rFonts w:ascii="Calibri" w:eastAsiaTheme="minorEastAsia" w:hAnsi="Calibri" w:cs="Calibri"/>
          <w:kern w:val="24"/>
          <w:sz w:val="24"/>
          <w:szCs w:val="24"/>
        </w:rPr>
        <w:t xml:space="preserve">in any </w:t>
      </w:r>
      <w:r w:rsidR="00FC7DE0">
        <w:rPr>
          <w:rFonts w:ascii="Calibri" w:eastAsiaTheme="minorEastAsia" w:hAnsi="Calibri" w:cs="Calibri"/>
          <w:kern w:val="24"/>
          <w:sz w:val="24"/>
          <w:szCs w:val="24"/>
        </w:rPr>
        <w:t xml:space="preserve">other </w:t>
      </w:r>
      <w:r w:rsidR="00B93885">
        <w:rPr>
          <w:rFonts w:ascii="Calibri" w:eastAsiaTheme="minorEastAsia" w:hAnsi="Calibri" w:cs="Calibri"/>
          <w:kern w:val="24"/>
          <w:sz w:val="24"/>
          <w:szCs w:val="24"/>
        </w:rPr>
        <w:t xml:space="preserve">EU country </w:t>
      </w:r>
      <w:r w:rsidR="00BB3506" w:rsidRPr="00472C9F">
        <w:rPr>
          <w:rFonts w:ascii="Calibri" w:eastAsiaTheme="minorEastAsia" w:hAnsi="Calibri" w:cs="Calibri"/>
          <w:kern w:val="24"/>
          <w:sz w:val="24"/>
          <w:szCs w:val="24"/>
        </w:rPr>
        <w:t xml:space="preserve">for up to </w:t>
      </w:r>
      <w:r w:rsidR="00EE144D">
        <w:rPr>
          <w:rFonts w:ascii="Calibri" w:eastAsiaTheme="minorEastAsia" w:hAnsi="Calibri" w:cs="Calibri"/>
          <w:kern w:val="24"/>
          <w:sz w:val="24"/>
          <w:szCs w:val="24"/>
        </w:rPr>
        <w:t>three</w:t>
      </w:r>
      <w:r w:rsidR="00BB3506" w:rsidRPr="00472C9F">
        <w:rPr>
          <w:rFonts w:ascii="Calibri" w:eastAsiaTheme="minorEastAsia" w:hAnsi="Calibri" w:cs="Calibri"/>
          <w:kern w:val="24"/>
          <w:sz w:val="24"/>
          <w:szCs w:val="24"/>
        </w:rPr>
        <w:t xml:space="preserve"> months (article 6) </w:t>
      </w:r>
      <w:r w:rsidR="00D347C0" w:rsidRPr="00472C9F">
        <w:rPr>
          <w:rFonts w:ascii="Calibri" w:eastAsiaTheme="minorEastAsia" w:hAnsi="Calibri" w:cs="Calibri"/>
          <w:kern w:val="24"/>
          <w:sz w:val="24"/>
          <w:szCs w:val="24"/>
        </w:rPr>
        <w:t xml:space="preserve">with </w:t>
      </w:r>
      <w:r w:rsidR="00BB3506" w:rsidRPr="00472C9F">
        <w:rPr>
          <w:rFonts w:ascii="Calibri" w:eastAsiaTheme="minorEastAsia" w:hAnsi="Calibri" w:cs="Calibri"/>
          <w:kern w:val="24"/>
          <w:sz w:val="24"/>
          <w:szCs w:val="24"/>
        </w:rPr>
        <w:t xml:space="preserve">further rights of residence after </w:t>
      </w:r>
      <w:r w:rsidR="00EE144D">
        <w:rPr>
          <w:rFonts w:ascii="Calibri" w:eastAsiaTheme="minorEastAsia" w:hAnsi="Calibri" w:cs="Calibri"/>
          <w:kern w:val="24"/>
          <w:sz w:val="24"/>
          <w:szCs w:val="24"/>
        </w:rPr>
        <w:t>three</w:t>
      </w:r>
      <w:r w:rsidR="00BB3506" w:rsidRPr="00472C9F">
        <w:rPr>
          <w:rFonts w:ascii="Calibri" w:eastAsiaTheme="minorEastAsia" w:hAnsi="Calibri" w:cs="Calibri"/>
          <w:kern w:val="24"/>
          <w:sz w:val="24"/>
          <w:szCs w:val="24"/>
        </w:rPr>
        <w:t xml:space="preserve"> months for those who are employed, self-employed, </w:t>
      </w:r>
      <w:r w:rsidR="00F227B5" w:rsidRPr="00472C9F">
        <w:rPr>
          <w:rFonts w:ascii="Calibri" w:eastAsiaTheme="minorEastAsia" w:hAnsi="Calibri" w:cs="Calibri"/>
          <w:kern w:val="24"/>
          <w:sz w:val="24"/>
          <w:szCs w:val="24"/>
        </w:rPr>
        <w:t xml:space="preserve">of </w:t>
      </w:r>
      <w:r w:rsidR="00BB3506" w:rsidRPr="00472C9F">
        <w:rPr>
          <w:rFonts w:ascii="Calibri" w:eastAsiaTheme="minorEastAsia" w:hAnsi="Calibri" w:cs="Calibri"/>
          <w:kern w:val="24"/>
          <w:sz w:val="24"/>
          <w:szCs w:val="24"/>
        </w:rPr>
        <w:t xml:space="preserve">independent means or students (article 7) </w:t>
      </w:r>
      <w:r w:rsidR="00D347C0" w:rsidRPr="00472C9F">
        <w:rPr>
          <w:rFonts w:ascii="Calibri" w:eastAsiaTheme="minorEastAsia" w:hAnsi="Calibri" w:cs="Calibri"/>
          <w:kern w:val="24"/>
          <w:sz w:val="24"/>
          <w:szCs w:val="24"/>
        </w:rPr>
        <w:t xml:space="preserve">and </w:t>
      </w:r>
      <w:r w:rsidR="00BB3506" w:rsidRPr="00472C9F">
        <w:rPr>
          <w:rFonts w:ascii="Calibri" w:eastAsiaTheme="minorEastAsia" w:hAnsi="Calibri" w:cs="Calibri"/>
          <w:kern w:val="24"/>
          <w:sz w:val="24"/>
          <w:szCs w:val="24"/>
        </w:rPr>
        <w:t xml:space="preserve">with permanent residence in another </w:t>
      </w:r>
      <w:r w:rsidR="00D15A98">
        <w:rPr>
          <w:rFonts w:ascii="Calibri" w:eastAsiaTheme="minorEastAsia" w:hAnsi="Calibri" w:cs="Calibri"/>
          <w:kern w:val="24"/>
          <w:sz w:val="24"/>
          <w:szCs w:val="24"/>
        </w:rPr>
        <w:t>M</w:t>
      </w:r>
      <w:r w:rsidR="00BB3506" w:rsidRPr="00472C9F">
        <w:rPr>
          <w:rFonts w:ascii="Calibri" w:eastAsiaTheme="minorEastAsia" w:hAnsi="Calibri" w:cs="Calibri"/>
          <w:kern w:val="24"/>
          <w:sz w:val="24"/>
          <w:szCs w:val="24"/>
        </w:rPr>
        <w:t xml:space="preserve">ember </w:t>
      </w:r>
      <w:r w:rsidR="00D15A98">
        <w:rPr>
          <w:rFonts w:ascii="Calibri" w:eastAsiaTheme="minorEastAsia" w:hAnsi="Calibri" w:cs="Calibri"/>
          <w:kern w:val="24"/>
          <w:sz w:val="24"/>
          <w:szCs w:val="24"/>
        </w:rPr>
        <w:t>S</w:t>
      </w:r>
      <w:r w:rsidR="00BB3506" w:rsidRPr="00472C9F">
        <w:rPr>
          <w:rFonts w:ascii="Calibri" w:eastAsiaTheme="minorEastAsia" w:hAnsi="Calibri" w:cs="Calibri"/>
          <w:kern w:val="24"/>
          <w:sz w:val="24"/>
          <w:szCs w:val="24"/>
        </w:rPr>
        <w:t xml:space="preserve">tate being obtained after </w:t>
      </w:r>
      <w:r w:rsidR="00B93885">
        <w:rPr>
          <w:rFonts w:ascii="Calibri" w:eastAsiaTheme="minorEastAsia" w:hAnsi="Calibri" w:cs="Calibri"/>
          <w:kern w:val="24"/>
          <w:sz w:val="24"/>
          <w:szCs w:val="24"/>
        </w:rPr>
        <w:t>five</w:t>
      </w:r>
      <w:r w:rsidR="00BB3506" w:rsidRPr="00472C9F">
        <w:rPr>
          <w:rFonts w:ascii="Calibri" w:eastAsiaTheme="minorEastAsia" w:hAnsi="Calibri" w:cs="Calibri"/>
          <w:kern w:val="24"/>
          <w:sz w:val="24"/>
          <w:szCs w:val="24"/>
        </w:rPr>
        <w:t xml:space="preserve"> years (article 16).</w:t>
      </w:r>
      <w:r w:rsidR="006E3543" w:rsidRPr="00472C9F">
        <w:rPr>
          <w:rStyle w:val="FootnoteReference"/>
          <w:rFonts w:ascii="Calibri" w:eastAsiaTheme="minorEastAsia" w:hAnsi="Calibri" w:cs="Calibri"/>
          <w:kern w:val="24"/>
          <w:sz w:val="24"/>
          <w:szCs w:val="24"/>
        </w:rPr>
        <w:footnoteReference w:id="64"/>
      </w:r>
      <w:r w:rsidR="00BB3506" w:rsidRPr="00472C9F">
        <w:rPr>
          <w:rFonts w:ascii="Calibri" w:eastAsiaTheme="minorEastAsia" w:hAnsi="Calibri" w:cs="Calibri"/>
          <w:kern w:val="24"/>
          <w:sz w:val="24"/>
          <w:szCs w:val="24"/>
        </w:rPr>
        <w:t xml:space="preserve"> </w:t>
      </w:r>
      <w:r w:rsidR="00E43399" w:rsidRPr="00472C9F">
        <w:rPr>
          <w:rFonts w:ascii="Calibri" w:eastAsiaTheme="minorEastAsia" w:hAnsi="Calibri" w:cs="Calibri"/>
          <w:kern w:val="24"/>
          <w:sz w:val="24"/>
          <w:szCs w:val="24"/>
        </w:rPr>
        <w:t>F</w:t>
      </w:r>
      <w:r w:rsidR="00BB3506" w:rsidRPr="00472C9F">
        <w:rPr>
          <w:rFonts w:ascii="Calibri" w:eastAsiaTheme="minorEastAsia" w:hAnsi="Calibri" w:cs="Calibri"/>
          <w:kern w:val="24"/>
          <w:sz w:val="24"/>
          <w:szCs w:val="24"/>
        </w:rPr>
        <w:t xml:space="preserve">amily members of EU citizens (even if not EU citizens themselves) obtain the right to move with the EU citizen to the new </w:t>
      </w:r>
      <w:r w:rsidR="00D15A98">
        <w:rPr>
          <w:rFonts w:ascii="Calibri" w:eastAsiaTheme="minorEastAsia" w:hAnsi="Calibri" w:cs="Calibri"/>
          <w:kern w:val="24"/>
          <w:sz w:val="24"/>
          <w:szCs w:val="24"/>
        </w:rPr>
        <w:t>M</w:t>
      </w:r>
      <w:r w:rsidR="00BB3506" w:rsidRPr="00472C9F">
        <w:rPr>
          <w:rFonts w:ascii="Calibri" w:eastAsiaTheme="minorEastAsia" w:hAnsi="Calibri" w:cs="Calibri"/>
          <w:kern w:val="24"/>
          <w:sz w:val="24"/>
          <w:szCs w:val="24"/>
        </w:rPr>
        <w:t xml:space="preserve">ember </w:t>
      </w:r>
      <w:r w:rsidR="00D15A98">
        <w:rPr>
          <w:rFonts w:ascii="Calibri" w:eastAsiaTheme="minorEastAsia" w:hAnsi="Calibri" w:cs="Calibri"/>
          <w:kern w:val="24"/>
          <w:sz w:val="24"/>
          <w:szCs w:val="24"/>
        </w:rPr>
        <w:t>S</w:t>
      </w:r>
      <w:r w:rsidR="00BB3506" w:rsidRPr="00472C9F">
        <w:rPr>
          <w:rFonts w:ascii="Calibri" w:eastAsiaTheme="minorEastAsia" w:hAnsi="Calibri" w:cs="Calibri"/>
          <w:kern w:val="24"/>
          <w:sz w:val="24"/>
          <w:szCs w:val="24"/>
        </w:rPr>
        <w:t>tate, not to be discriminated against and to enjoy equal treatment in employment</w:t>
      </w:r>
      <w:r w:rsidR="00AB2ADC" w:rsidRPr="00472C9F">
        <w:rPr>
          <w:rFonts w:ascii="Calibri" w:eastAsiaTheme="minorEastAsia" w:hAnsi="Calibri" w:cs="Calibri"/>
          <w:kern w:val="24"/>
          <w:sz w:val="24"/>
          <w:szCs w:val="24"/>
        </w:rPr>
        <w:t>.</w:t>
      </w:r>
      <w:r w:rsidR="00AB2ADC" w:rsidRPr="00472C9F">
        <w:rPr>
          <w:rStyle w:val="FootnoteReference"/>
          <w:rFonts w:ascii="Calibri" w:eastAsiaTheme="minorEastAsia" w:hAnsi="Calibri" w:cs="Calibri"/>
          <w:kern w:val="24"/>
          <w:sz w:val="24"/>
          <w:szCs w:val="24"/>
        </w:rPr>
        <w:footnoteReference w:id="65"/>
      </w:r>
      <w:r w:rsidR="00BB3506" w:rsidRPr="00472C9F">
        <w:rPr>
          <w:rFonts w:ascii="Calibri" w:eastAsiaTheme="minorEastAsia" w:hAnsi="Calibri" w:cs="Calibri"/>
          <w:kern w:val="24"/>
          <w:sz w:val="24"/>
          <w:szCs w:val="24"/>
        </w:rPr>
        <w:t xml:space="preserve"> </w:t>
      </w:r>
      <w:r w:rsidR="00390860" w:rsidRPr="00472C9F">
        <w:rPr>
          <w:rFonts w:ascii="Calibri" w:hAnsi="Calibri" w:cs="Calibri"/>
          <w:sz w:val="24"/>
          <w:szCs w:val="24"/>
        </w:rPr>
        <w:t xml:space="preserve">Yet </w:t>
      </w:r>
      <w:r w:rsidR="00BB3506" w:rsidRPr="00472C9F">
        <w:rPr>
          <w:rFonts w:ascii="Calibri" w:eastAsiaTheme="minorEastAsia" w:hAnsi="Calibri" w:cs="Calibri"/>
          <w:kern w:val="24"/>
          <w:sz w:val="24"/>
          <w:szCs w:val="24"/>
        </w:rPr>
        <w:t>not all</w:t>
      </w:r>
      <w:r w:rsidR="00390860" w:rsidRPr="00472C9F">
        <w:rPr>
          <w:rFonts w:ascii="Calibri" w:eastAsiaTheme="minorEastAsia" w:hAnsi="Calibri" w:cs="Calibri"/>
          <w:kern w:val="24"/>
          <w:sz w:val="24"/>
          <w:szCs w:val="24"/>
        </w:rPr>
        <w:t xml:space="preserve"> EU citizens </w:t>
      </w:r>
      <w:r w:rsidR="00BB3506" w:rsidRPr="00472C9F">
        <w:rPr>
          <w:rFonts w:ascii="Calibri" w:eastAsiaTheme="minorEastAsia" w:hAnsi="Calibri" w:cs="Calibri"/>
          <w:kern w:val="24"/>
          <w:sz w:val="24"/>
          <w:szCs w:val="24"/>
        </w:rPr>
        <w:t>find it equally easy to exercise free movement rights</w:t>
      </w:r>
      <w:r w:rsidR="009221DE" w:rsidRPr="00472C9F">
        <w:rPr>
          <w:rFonts w:ascii="Calibri" w:eastAsiaTheme="minorEastAsia" w:hAnsi="Calibri" w:cs="Calibri"/>
          <w:kern w:val="24"/>
          <w:sz w:val="24"/>
          <w:szCs w:val="24"/>
        </w:rPr>
        <w:t>.</w:t>
      </w:r>
      <w:r w:rsidR="00CC0120" w:rsidRPr="00472C9F">
        <w:rPr>
          <w:rFonts w:ascii="Calibri" w:eastAsiaTheme="minorEastAsia" w:hAnsi="Calibri" w:cs="Calibri"/>
          <w:kern w:val="24"/>
          <w:sz w:val="24"/>
          <w:szCs w:val="24"/>
        </w:rPr>
        <w:t xml:space="preserve"> Th</w:t>
      </w:r>
      <w:r w:rsidR="00774442" w:rsidRPr="00472C9F">
        <w:rPr>
          <w:rFonts w:ascii="Calibri" w:eastAsiaTheme="minorEastAsia" w:hAnsi="Calibri" w:cs="Calibri"/>
          <w:kern w:val="24"/>
          <w:sz w:val="24"/>
          <w:szCs w:val="24"/>
        </w:rPr>
        <w:t>is is exacerbated by the fact that although the EU definition of citizenship</w:t>
      </w:r>
      <w:r w:rsidR="00740E00" w:rsidRPr="00472C9F">
        <w:rPr>
          <w:rFonts w:ascii="Calibri" w:eastAsiaTheme="minorEastAsia" w:hAnsi="Calibri" w:cs="Calibri"/>
          <w:kern w:val="24"/>
          <w:sz w:val="24"/>
          <w:szCs w:val="24"/>
        </w:rPr>
        <w:t xml:space="preserve"> under Article 20 TFEU provides that any citizen of a </w:t>
      </w:r>
      <w:r w:rsidR="00D15A98">
        <w:rPr>
          <w:rFonts w:ascii="Calibri" w:eastAsiaTheme="minorEastAsia" w:hAnsi="Calibri" w:cs="Calibri"/>
          <w:kern w:val="24"/>
          <w:sz w:val="24"/>
          <w:szCs w:val="24"/>
        </w:rPr>
        <w:t>M</w:t>
      </w:r>
      <w:r w:rsidR="00740E00" w:rsidRPr="00472C9F">
        <w:rPr>
          <w:rFonts w:ascii="Calibri" w:eastAsiaTheme="minorEastAsia" w:hAnsi="Calibri" w:cs="Calibri"/>
          <w:kern w:val="24"/>
          <w:sz w:val="24"/>
          <w:szCs w:val="24"/>
        </w:rPr>
        <w:t xml:space="preserve">ember </w:t>
      </w:r>
      <w:r w:rsidR="00D15A98">
        <w:rPr>
          <w:rFonts w:ascii="Calibri" w:eastAsiaTheme="minorEastAsia" w:hAnsi="Calibri" w:cs="Calibri"/>
          <w:kern w:val="24"/>
          <w:sz w:val="24"/>
          <w:szCs w:val="24"/>
        </w:rPr>
        <w:t>S</w:t>
      </w:r>
      <w:r w:rsidR="00740E00" w:rsidRPr="00472C9F">
        <w:rPr>
          <w:rFonts w:ascii="Calibri" w:eastAsiaTheme="minorEastAsia" w:hAnsi="Calibri" w:cs="Calibri"/>
          <w:kern w:val="24"/>
          <w:sz w:val="24"/>
          <w:szCs w:val="24"/>
        </w:rPr>
        <w:t xml:space="preserve">tate is also a citizen of the EU, </w:t>
      </w:r>
      <w:r w:rsidR="00740E00" w:rsidRPr="00472C9F">
        <w:rPr>
          <w:rFonts w:ascii="Calibri" w:eastAsiaTheme="minorEastAsia" w:hAnsi="Calibri" w:cs="Calibri"/>
          <w:kern w:val="24"/>
          <w:sz w:val="24"/>
          <w:szCs w:val="24"/>
        </w:rPr>
        <w:lastRenderedPageBreak/>
        <w:t xml:space="preserve">in practice EU citizenship continues to be available only to those who are economically active in their host </w:t>
      </w:r>
      <w:r w:rsidR="00D15A98">
        <w:rPr>
          <w:rFonts w:ascii="Calibri" w:eastAsiaTheme="minorEastAsia" w:hAnsi="Calibri" w:cs="Calibri"/>
          <w:kern w:val="24"/>
          <w:sz w:val="24"/>
          <w:szCs w:val="24"/>
        </w:rPr>
        <w:t>M</w:t>
      </w:r>
      <w:r w:rsidR="00740E00" w:rsidRPr="00472C9F">
        <w:rPr>
          <w:rFonts w:ascii="Calibri" w:eastAsiaTheme="minorEastAsia" w:hAnsi="Calibri" w:cs="Calibri"/>
          <w:kern w:val="24"/>
          <w:sz w:val="24"/>
          <w:szCs w:val="24"/>
        </w:rPr>
        <w:t xml:space="preserve">ember </w:t>
      </w:r>
      <w:r w:rsidR="00D15A98">
        <w:rPr>
          <w:rFonts w:ascii="Calibri" w:eastAsiaTheme="minorEastAsia" w:hAnsi="Calibri" w:cs="Calibri"/>
          <w:kern w:val="24"/>
          <w:sz w:val="24"/>
          <w:szCs w:val="24"/>
        </w:rPr>
        <w:t>S</w:t>
      </w:r>
      <w:r w:rsidR="00740E00" w:rsidRPr="00472C9F">
        <w:rPr>
          <w:rFonts w:ascii="Calibri" w:eastAsiaTheme="minorEastAsia" w:hAnsi="Calibri" w:cs="Calibri"/>
          <w:kern w:val="24"/>
          <w:sz w:val="24"/>
          <w:szCs w:val="24"/>
        </w:rPr>
        <w:t>tate and consequently not a ‘burden’ on economic resources.</w:t>
      </w:r>
      <w:r w:rsidR="00740E00" w:rsidRPr="00472C9F">
        <w:rPr>
          <w:rStyle w:val="FootnoteReference"/>
          <w:rFonts w:ascii="Calibri" w:eastAsiaTheme="minorEastAsia" w:hAnsi="Calibri" w:cs="Calibri"/>
          <w:kern w:val="24"/>
          <w:sz w:val="24"/>
          <w:szCs w:val="24"/>
        </w:rPr>
        <w:footnoteReference w:id="66"/>
      </w:r>
      <w:r w:rsidR="00740E00" w:rsidRPr="00472C9F">
        <w:rPr>
          <w:rFonts w:ascii="Calibri" w:eastAsiaTheme="minorEastAsia" w:hAnsi="Calibri" w:cs="Calibri"/>
          <w:kern w:val="24"/>
          <w:sz w:val="24"/>
          <w:szCs w:val="24"/>
        </w:rPr>
        <w:t xml:space="preserve"> </w:t>
      </w:r>
      <w:r w:rsidR="00774442" w:rsidRPr="00472C9F">
        <w:rPr>
          <w:rFonts w:ascii="Calibri" w:eastAsiaTheme="minorEastAsia" w:hAnsi="Calibri" w:cs="Calibri"/>
          <w:kern w:val="24"/>
          <w:sz w:val="24"/>
          <w:szCs w:val="24"/>
        </w:rPr>
        <w:t xml:space="preserve">Statistics demonstrate that only </w:t>
      </w:r>
      <w:r w:rsidR="00CA15EB" w:rsidRPr="00472C9F">
        <w:rPr>
          <w:rFonts w:ascii="Calibri" w:eastAsiaTheme="minorEastAsia" w:hAnsi="Calibri" w:cs="Calibri"/>
          <w:kern w:val="24"/>
          <w:sz w:val="24"/>
          <w:szCs w:val="24"/>
        </w:rPr>
        <w:t>a minority</w:t>
      </w:r>
      <w:r w:rsidR="00AC6F8B" w:rsidRPr="00472C9F">
        <w:rPr>
          <w:rFonts w:ascii="Calibri" w:eastAsiaTheme="minorEastAsia" w:hAnsi="Calibri" w:cs="Calibri"/>
          <w:kern w:val="24"/>
          <w:sz w:val="24"/>
          <w:szCs w:val="24"/>
        </w:rPr>
        <w:t xml:space="preserve"> exercise free movement rights</w:t>
      </w:r>
      <w:r w:rsidR="00ED4EC3" w:rsidRPr="00472C9F">
        <w:rPr>
          <w:rFonts w:ascii="Calibri" w:eastAsiaTheme="minorEastAsia" w:hAnsi="Calibri" w:cs="Calibri"/>
          <w:kern w:val="24"/>
          <w:sz w:val="24"/>
          <w:szCs w:val="24"/>
        </w:rPr>
        <w:t xml:space="preserve">. </w:t>
      </w:r>
      <w:r w:rsidR="00390860" w:rsidRPr="00472C9F">
        <w:rPr>
          <w:rFonts w:ascii="Calibri" w:eastAsiaTheme="minorEastAsia" w:hAnsi="Calibri" w:cs="Calibri"/>
          <w:kern w:val="24"/>
          <w:sz w:val="24"/>
          <w:szCs w:val="24"/>
        </w:rPr>
        <w:t xml:space="preserve">From the </w:t>
      </w:r>
      <w:r w:rsidR="00694179" w:rsidRPr="00472C9F">
        <w:rPr>
          <w:rFonts w:ascii="Calibri" w:eastAsiaTheme="minorEastAsia" w:hAnsi="Calibri" w:cs="Calibri"/>
          <w:kern w:val="24"/>
          <w:sz w:val="24"/>
          <w:szCs w:val="24"/>
        </w:rPr>
        <w:t xml:space="preserve">EU population of </w:t>
      </w:r>
      <w:r w:rsidR="005B39CF" w:rsidRPr="00472C9F">
        <w:rPr>
          <w:rFonts w:ascii="Calibri" w:hAnsi="Calibri" w:cs="Calibri"/>
          <w:color w:val="333333"/>
          <w:sz w:val="24"/>
          <w:szCs w:val="24"/>
          <w:shd w:val="clear" w:color="auto" w:fill="FFFFFF"/>
        </w:rPr>
        <w:t>446.8 million inhabitants</w:t>
      </w:r>
      <w:r w:rsidR="00390860" w:rsidRPr="00472C9F">
        <w:rPr>
          <w:rFonts w:ascii="Calibri" w:hAnsi="Calibri" w:cs="Calibri"/>
          <w:color w:val="333333"/>
          <w:sz w:val="24"/>
          <w:szCs w:val="24"/>
          <w:shd w:val="clear" w:color="auto" w:fill="FFFFFF"/>
        </w:rPr>
        <w:t xml:space="preserve">, </w:t>
      </w:r>
      <w:r w:rsidR="00D414AE" w:rsidRPr="00472C9F">
        <w:rPr>
          <w:rFonts w:ascii="Calibri" w:hAnsi="Calibri" w:cs="Calibri"/>
          <w:sz w:val="24"/>
          <w:szCs w:val="24"/>
          <w:shd w:val="clear" w:color="auto" w:fill="FFFFFF"/>
        </w:rPr>
        <w:t>in 2020</w:t>
      </w:r>
      <w:r w:rsidR="0037675B" w:rsidRPr="00472C9F">
        <w:rPr>
          <w:rFonts w:ascii="Calibri" w:hAnsi="Calibri" w:cs="Calibri"/>
          <w:sz w:val="24"/>
          <w:szCs w:val="24"/>
          <w:shd w:val="clear" w:color="auto" w:fill="FFFFFF"/>
        </w:rPr>
        <w:t>,</w:t>
      </w:r>
      <w:r w:rsidR="00D414AE" w:rsidRPr="00472C9F">
        <w:rPr>
          <w:rFonts w:ascii="Calibri" w:hAnsi="Calibri" w:cs="Calibri"/>
          <w:sz w:val="24"/>
          <w:szCs w:val="24"/>
          <w:shd w:val="clear" w:color="auto" w:fill="FFFFFF"/>
        </w:rPr>
        <w:t xml:space="preserve"> only 3.8% of </w:t>
      </w:r>
      <w:r w:rsidR="00694179" w:rsidRPr="00472C9F">
        <w:rPr>
          <w:rFonts w:ascii="Calibri" w:hAnsi="Calibri" w:cs="Calibri"/>
          <w:sz w:val="24"/>
          <w:szCs w:val="24"/>
          <w:shd w:val="clear" w:color="auto" w:fill="FFFFFF"/>
        </w:rPr>
        <w:t>EU citizens of working age (20-64) resided in another EU country, although this was up from 2.4% in 2009.</w:t>
      </w:r>
      <w:r w:rsidR="008767EE" w:rsidRPr="00472C9F">
        <w:rPr>
          <w:rStyle w:val="FootnoteReference"/>
          <w:rFonts w:ascii="Calibri" w:hAnsi="Calibri" w:cs="Calibri"/>
          <w:sz w:val="24"/>
          <w:szCs w:val="24"/>
          <w:shd w:val="clear" w:color="auto" w:fill="FFFFFF"/>
        </w:rPr>
        <w:footnoteReference w:id="67"/>
      </w:r>
      <w:r w:rsidR="00694179" w:rsidRPr="00472C9F">
        <w:rPr>
          <w:rFonts w:ascii="Calibri" w:hAnsi="Calibri" w:cs="Calibri"/>
          <w:sz w:val="24"/>
          <w:szCs w:val="24"/>
          <w:shd w:val="clear" w:color="auto" w:fill="FFFFFF"/>
        </w:rPr>
        <w:t xml:space="preserve"> </w:t>
      </w:r>
    </w:p>
    <w:p w14:paraId="13050CD4" w14:textId="77777777" w:rsidR="0067367F" w:rsidRDefault="0067367F" w:rsidP="0059780E">
      <w:pPr>
        <w:spacing w:after="0" w:line="360" w:lineRule="auto"/>
        <w:jc w:val="both"/>
        <w:rPr>
          <w:rFonts w:ascii="Calibri" w:eastAsiaTheme="minorEastAsia" w:hAnsi="Calibri" w:cs="Calibri"/>
          <w:kern w:val="24"/>
          <w:sz w:val="24"/>
          <w:szCs w:val="24"/>
        </w:rPr>
      </w:pPr>
    </w:p>
    <w:p w14:paraId="527F7579" w14:textId="19687AEE" w:rsidR="004035CC" w:rsidRPr="00472C9F" w:rsidRDefault="0090091F" w:rsidP="0059780E">
      <w:pPr>
        <w:spacing w:after="0" w:line="360" w:lineRule="auto"/>
        <w:jc w:val="both"/>
        <w:rPr>
          <w:rFonts w:ascii="Calibri" w:eastAsia="Times New Roman" w:hAnsi="Calibri" w:cs="Calibri"/>
          <w:sz w:val="24"/>
          <w:szCs w:val="24"/>
          <w:lang w:eastAsia="en-GB"/>
        </w:rPr>
      </w:pPr>
      <w:r w:rsidRPr="00472C9F">
        <w:rPr>
          <w:rFonts w:ascii="Calibri" w:eastAsiaTheme="minorEastAsia" w:hAnsi="Calibri" w:cs="Calibri"/>
          <w:kern w:val="24"/>
          <w:sz w:val="24"/>
          <w:szCs w:val="24"/>
        </w:rPr>
        <w:t>P</w:t>
      </w:r>
      <w:r w:rsidR="009221DE" w:rsidRPr="00472C9F">
        <w:rPr>
          <w:rFonts w:ascii="Calibri" w:hAnsi="Calibri" w:cs="Calibri"/>
          <w:sz w:val="24"/>
          <w:szCs w:val="24"/>
        </w:rPr>
        <w:t>olls demonstrat</w:t>
      </w:r>
      <w:r w:rsidRPr="00472C9F">
        <w:rPr>
          <w:rFonts w:ascii="Calibri" w:hAnsi="Calibri" w:cs="Calibri"/>
          <w:sz w:val="24"/>
          <w:szCs w:val="24"/>
        </w:rPr>
        <w:t>e</w:t>
      </w:r>
      <w:r w:rsidR="009221DE" w:rsidRPr="00472C9F">
        <w:rPr>
          <w:rFonts w:ascii="Calibri" w:hAnsi="Calibri" w:cs="Calibri"/>
          <w:sz w:val="24"/>
          <w:szCs w:val="24"/>
        </w:rPr>
        <w:t xml:space="preserve"> that ‘women are less likely to exercise freedom of movement rights’.</w:t>
      </w:r>
      <w:r w:rsidR="009221DE" w:rsidRPr="00472C9F">
        <w:rPr>
          <w:rStyle w:val="FootnoteReference"/>
          <w:rFonts w:ascii="Calibri" w:hAnsi="Calibri" w:cs="Calibri"/>
          <w:sz w:val="24"/>
          <w:szCs w:val="24"/>
        </w:rPr>
        <w:footnoteReference w:id="68"/>
      </w:r>
      <w:r w:rsidR="00436F25" w:rsidRPr="00472C9F">
        <w:rPr>
          <w:rFonts w:ascii="Calibri" w:hAnsi="Calibri" w:cs="Calibri"/>
          <w:sz w:val="24"/>
          <w:szCs w:val="24"/>
        </w:rPr>
        <w:t xml:space="preserve"> </w:t>
      </w:r>
      <w:r w:rsidR="00BA3603" w:rsidRPr="00472C9F">
        <w:rPr>
          <w:rFonts w:ascii="Calibri" w:eastAsiaTheme="minorEastAsia" w:hAnsi="Calibri" w:cs="Calibri"/>
          <w:kern w:val="24"/>
          <w:sz w:val="24"/>
          <w:szCs w:val="24"/>
        </w:rPr>
        <w:t>This results in a ‘feminist’ problem for EU citizenship which continues to be rooted in</w:t>
      </w:r>
      <w:r w:rsidR="00436F25" w:rsidRPr="00472C9F">
        <w:rPr>
          <w:rFonts w:ascii="Calibri" w:eastAsiaTheme="minorEastAsia" w:hAnsi="Calibri" w:cs="Calibri"/>
          <w:kern w:val="24"/>
          <w:sz w:val="24"/>
          <w:szCs w:val="24"/>
        </w:rPr>
        <w:t xml:space="preserve"> </w:t>
      </w:r>
      <w:r w:rsidR="00436F25" w:rsidRPr="00472C9F">
        <w:rPr>
          <w:rFonts w:ascii="Calibri" w:eastAsia="Times New Roman" w:hAnsi="Calibri" w:cs="Calibri"/>
          <w:sz w:val="24"/>
          <w:szCs w:val="24"/>
          <w:lang w:eastAsia="en-GB"/>
        </w:rPr>
        <w:t>‘market citizenship’</w:t>
      </w:r>
      <w:r w:rsidR="00436F25" w:rsidRPr="00472C9F">
        <w:rPr>
          <w:rStyle w:val="FootnoteReference"/>
          <w:rFonts w:ascii="Calibri" w:eastAsia="Times New Roman" w:hAnsi="Calibri" w:cs="Calibri"/>
          <w:sz w:val="24"/>
          <w:szCs w:val="24"/>
          <w:lang w:eastAsia="en-GB"/>
        </w:rPr>
        <w:footnoteReference w:id="69"/>
      </w:r>
      <w:r w:rsidR="00D6132A" w:rsidRPr="00472C9F">
        <w:rPr>
          <w:rFonts w:ascii="Calibri" w:eastAsia="Times New Roman" w:hAnsi="Calibri" w:cs="Calibri"/>
          <w:sz w:val="24"/>
          <w:szCs w:val="24"/>
          <w:lang w:eastAsia="en-GB"/>
        </w:rPr>
        <w:t xml:space="preserve"> disadvantaging women</w:t>
      </w:r>
      <w:r w:rsidR="00436F25" w:rsidRPr="00472C9F">
        <w:rPr>
          <w:rFonts w:ascii="Calibri" w:eastAsia="Times New Roman" w:hAnsi="Calibri" w:cs="Calibri"/>
          <w:sz w:val="24"/>
          <w:szCs w:val="24"/>
          <w:lang w:eastAsia="en-GB"/>
        </w:rPr>
        <w:t xml:space="preserve"> ‘on account of their caring and domestic roles</w:t>
      </w:r>
      <w:r w:rsidR="00480AFB" w:rsidRPr="00472C9F">
        <w:rPr>
          <w:rFonts w:ascii="Calibri" w:eastAsia="Times New Roman" w:hAnsi="Calibri" w:cs="Calibri"/>
          <w:sz w:val="24"/>
          <w:szCs w:val="24"/>
          <w:lang w:eastAsia="en-GB"/>
        </w:rPr>
        <w:t>’.</w:t>
      </w:r>
      <w:r w:rsidR="00436F25" w:rsidRPr="00472C9F">
        <w:rPr>
          <w:rStyle w:val="FootnoteReference"/>
          <w:rFonts w:ascii="Calibri" w:eastAsia="Times New Roman" w:hAnsi="Calibri" w:cs="Calibri"/>
          <w:sz w:val="24"/>
          <w:szCs w:val="24"/>
          <w:lang w:eastAsia="en-GB"/>
        </w:rPr>
        <w:footnoteReference w:id="70"/>
      </w:r>
      <w:r w:rsidR="0000281D" w:rsidRPr="00472C9F">
        <w:rPr>
          <w:rFonts w:ascii="Calibri" w:eastAsia="Times New Roman" w:hAnsi="Calibri" w:cs="Calibri"/>
          <w:sz w:val="24"/>
          <w:szCs w:val="24"/>
          <w:lang w:eastAsia="en-GB"/>
        </w:rPr>
        <w:t xml:space="preserve"> </w:t>
      </w:r>
      <w:r w:rsidR="00261603" w:rsidRPr="00472C9F">
        <w:rPr>
          <w:rFonts w:ascii="Calibri" w:eastAsia="Times New Roman" w:hAnsi="Calibri" w:cs="Calibri"/>
          <w:sz w:val="24"/>
          <w:szCs w:val="24"/>
          <w:lang w:eastAsia="en-GB"/>
        </w:rPr>
        <w:t>Although it has been illegal across the EU to discriminate against lesbians and gays at work</w:t>
      </w:r>
      <w:r w:rsidR="0098572F" w:rsidRPr="00472C9F">
        <w:rPr>
          <w:rFonts w:ascii="Calibri" w:eastAsia="Times New Roman" w:hAnsi="Calibri" w:cs="Calibri"/>
          <w:sz w:val="24"/>
          <w:szCs w:val="24"/>
          <w:lang w:eastAsia="en-GB"/>
        </w:rPr>
        <w:t xml:space="preserve"> since legislation introduced from 2000</w:t>
      </w:r>
      <w:r w:rsidR="00261603" w:rsidRPr="00472C9F">
        <w:rPr>
          <w:rFonts w:ascii="Calibri" w:eastAsia="Times New Roman" w:hAnsi="Calibri" w:cs="Calibri"/>
          <w:sz w:val="24"/>
          <w:szCs w:val="24"/>
          <w:lang w:eastAsia="en-GB"/>
        </w:rPr>
        <w:t>,</w:t>
      </w:r>
      <w:r w:rsidR="00261603" w:rsidRPr="00472C9F">
        <w:rPr>
          <w:rStyle w:val="FootnoteReference"/>
          <w:rFonts w:ascii="Calibri" w:eastAsia="Times New Roman" w:hAnsi="Calibri" w:cs="Calibri"/>
          <w:sz w:val="24"/>
          <w:szCs w:val="24"/>
          <w:lang w:eastAsia="en-GB"/>
        </w:rPr>
        <w:footnoteReference w:id="71"/>
      </w:r>
      <w:r w:rsidR="00261603" w:rsidRPr="00472C9F">
        <w:rPr>
          <w:rFonts w:ascii="Calibri" w:eastAsia="Times New Roman" w:hAnsi="Calibri" w:cs="Calibri"/>
          <w:sz w:val="24"/>
          <w:szCs w:val="24"/>
          <w:lang w:eastAsia="en-GB"/>
        </w:rPr>
        <w:t xml:space="preserve"> l</w:t>
      </w:r>
      <w:r w:rsidR="00C40CE4" w:rsidRPr="00472C9F">
        <w:rPr>
          <w:rFonts w:ascii="Calibri" w:eastAsia="Times New Roman" w:hAnsi="Calibri" w:cs="Calibri"/>
          <w:sz w:val="24"/>
          <w:szCs w:val="24"/>
          <w:lang w:eastAsia="en-GB"/>
        </w:rPr>
        <w:t xml:space="preserve">esbians and gays continue to experience </w:t>
      </w:r>
      <w:r w:rsidR="00261603" w:rsidRPr="00472C9F">
        <w:rPr>
          <w:rFonts w:ascii="Calibri" w:eastAsia="Times New Roman" w:hAnsi="Calibri" w:cs="Calibri"/>
          <w:sz w:val="24"/>
          <w:szCs w:val="24"/>
          <w:lang w:eastAsia="en-GB"/>
        </w:rPr>
        <w:t xml:space="preserve">wide ranging </w:t>
      </w:r>
      <w:r w:rsidR="00C40CE4" w:rsidRPr="00472C9F">
        <w:rPr>
          <w:rFonts w:ascii="Calibri" w:eastAsia="Times New Roman" w:hAnsi="Calibri" w:cs="Calibri"/>
          <w:sz w:val="24"/>
          <w:szCs w:val="24"/>
          <w:lang w:eastAsia="en-GB"/>
        </w:rPr>
        <w:t>discrimination</w:t>
      </w:r>
      <w:r w:rsidR="00787FDA" w:rsidRPr="00472C9F">
        <w:rPr>
          <w:rFonts w:ascii="Calibri" w:eastAsia="Times New Roman" w:hAnsi="Calibri" w:cs="Calibri"/>
          <w:sz w:val="24"/>
          <w:szCs w:val="24"/>
          <w:lang w:eastAsia="en-GB"/>
        </w:rPr>
        <w:t>,</w:t>
      </w:r>
      <w:r w:rsidR="00C40CE4" w:rsidRPr="00472C9F">
        <w:rPr>
          <w:rFonts w:ascii="Calibri" w:eastAsia="Times New Roman" w:hAnsi="Calibri" w:cs="Calibri"/>
          <w:sz w:val="24"/>
          <w:szCs w:val="24"/>
          <w:lang w:eastAsia="en-GB"/>
        </w:rPr>
        <w:t xml:space="preserve"> </w:t>
      </w:r>
      <w:r w:rsidR="00735439" w:rsidRPr="00472C9F">
        <w:rPr>
          <w:rFonts w:ascii="Calibri" w:eastAsia="Times New Roman" w:hAnsi="Calibri" w:cs="Calibri"/>
          <w:sz w:val="24"/>
          <w:szCs w:val="24"/>
          <w:lang w:eastAsia="en-GB"/>
        </w:rPr>
        <w:t>as evidence</w:t>
      </w:r>
      <w:r w:rsidR="008D05BA" w:rsidRPr="00472C9F">
        <w:rPr>
          <w:rFonts w:ascii="Calibri" w:eastAsia="Times New Roman" w:hAnsi="Calibri" w:cs="Calibri"/>
          <w:sz w:val="24"/>
          <w:szCs w:val="24"/>
          <w:lang w:eastAsia="en-GB"/>
        </w:rPr>
        <w:t>d</w:t>
      </w:r>
      <w:r w:rsidR="00735439" w:rsidRPr="00472C9F">
        <w:rPr>
          <w:rFonts w:ascii="Calibri" w:eastAsia="Times New Roman" w:hAnsi="Calibri" w:cs="Calibri"/>
          <w:sz w:val="24"/>
          <w:szCs w:val="24"/>
          <w:lang w:eastAsia="en-GB"/>
        </w:rPr>
        <w:t xml:space="preserve"> by the </w:t>
      </w:r>
      <w:r w:rsidR="00D51CE0">
        <w:rPr>
          <w:rFonts w:ascii="Calibri" w:eastAsia="Times New Roman" w:hAnsi="Calibri" w:cs="Calibri"/>
          <w:sz w:val="24"/>
          <w:szCs w:val="24"/>
          <w:lang w:eastAsia="en-GB"/>
        </w:rPr>
        <w:t>e</w:t>
      </w:r>
      <w:r w:rsidR="00735439" w:rsidRPr="00472C9F">
        <w:rPr>
          <w:rFonts w:ascii="Calibri" w:eastAsia="Times New Roman" w:hAnsi="Calibri" w:cs="Calibri"/>
          <w:sz w:val="24"/>
          <w:szCs w:val="24"/>
          <w:lang w:eastAsia="en-GB"/>
        </w:rPr>
        <w:t xml:space="preserve">quality </w:t>
      </w:r>
      <w:r w:rsidR="00D51CE0">
        <w:rPr>
          <w:rFonts w:ascii="Calibri" w:eastAsia="Times New Roman" w:hAnsi="Calibri" w:cs="Calibri"/>
          <w:sz w:val="24"/>
          <w:szCs w:val="24"/>
          <w:lang w:eastAsia="en-GB"/>
        </w:rPr>
        <w:t>d</w:t>
      </w:r>
      <w:r w:rsidR="00735439" w:rsidRPr="00472C9F">
        <w:rPr>
          <w:rFonts w:ascii="Calibri" w:eastAsia="Times New Roman" w:hAnsi="Calibri" w:cs="Calibri"/>
          <w:sz w:val="24"/>
          <w:szCs w:val="24"/>
          <w:lang w:eastAsia="en-GB"/>
        </w:rPr>
        <w:t>ata gathered by the</w:t>
      </w:r>
      <w:r w:rsidR="008D05BA" w:rsidRPr="00472C9F">
        <w:rPr>
          <w:rFonts w:ascii="Calibri" w:eastAsia="Times New Roman" w:hAnsi="Calibri" w:cs="Calibri"/>
          <w:sz w:val="24"/>
          <w:szCs w:val="24"/>
          <w:lang w:eastAsia="en-GB"/>
        </w:rPr>
        <w:t xml:space="preserve"> European Fundamental Rights</w:t>
      </w:r>
      <w:r w:rsidR="00925C27">
        <w:rPr>
          <w:rFonts w:ascii="Calibri" w:eastAsia="Times New Roman" w:hAnsi="Calibri" w:cs="Calibri"/>
          <w:sz w:val="24"/>
          <w:szCs w:val="24"/>
          <w:lang w:eastAsia="en-GB"/>
        </w:rPr>
        <w:t xml:space="preserve"> Agency’s</w:t>
      </w:r>
      <w:r w:rsidR="00735439" w:rsidRPr="00472C9F">
        <w:rPr>
          <w:rFonts w:ascii="Calibri" w:eastAsia="Times New Roman" w:hAnsi="Calibri" w:cs="Calibri"/>
          <w:sz w:val="24"/>
          <w:szCs w:val="24"/>
          <w:lang w:eastAsia="en-GB"/>
        </w:rPr>
        <w:t xml:space="preserve"> EU LGBTIQ survey in 2023.</w:t>
      </w:r>
      <w:r w:rsidR="002A4EF1" w:rsidRPr="00472C9F">
        <w:rPr>
          <w:rStyle w:val="FootnoteReference"/>
          <w:rFonts w:ascii="Calibri" w:eastAsia="Times New Roman" w:hAnsi="Calibri" w:cs="Calibri"/>
          <w:sz w:val="24"/>
          <w:szCs w:val="24"/>
          <w:lang w:eastAsia="en-GB"/>
        </w:rPr>
        <w:footnoteReference w:id="72"/>
      </w:r>
      <w:r w:rsidR="00735439" w:rsidRPr="00472C9F">
        <w:rPr>
          <w:rFonts w:ascii="Calibri" w:eastAsia="Times New Roman" w:hAnsi="Calibri" w:cs="Calibri"/>
          <w:sz w:val="24"/>
          <w:szCs w:val="24"/>
          <w:lang w:eastAsia="en-GB"/>
        </w:rPr>
        <w:t xml:space="preserve"> </w:t>
      </w:r>
      <w:r w:rsidR="002A4EF1" w:rsidRPr="00472C9F">
        <w:rPr>
          <w:rFonts w:ascii="Calibri" w:eastAsia="Times New Roman" w:hAnsi="Calibri" w:cs="Calibri"/>
          <w:sz w:val="24"/>
          <w:szCs w:val="24"/>
          <w:lang w:eastAsia="en-GB"/>
        </w:rPr>
        <w:t>As part of s</w:t>
      </w:r>
      <w:r w:rsidR="0000281D" w:rsidRPr="00472C9F">
        <w:rPr>
          <w:rFonts w:ascii="Calibri" w:eastAsia="Times New Roman" w:hAnsi="Calibri" w:cs="Calibri"/>
          <w:sz w:val="24"/>
          <w:szCs w:val="24"/>
          <w:lang w:eastAsia="en-GB"/>
        </w:rPr>
        <w:t xml:space="preserve">oft </w:t>
      </w:r>
      <w:r w:rsidR="002A4EF1" w:rsidRPr="00472C9F">
        <w:rPr>
          <w:rFonts w:ascii="Calibri" w:eastAsia="Times New Roman" w:hAnsi="Calibri" w:cs="Calibri"/>
          <w:sz w:val="24"/>
          <w:szCs w:val="24"/>
          <w:lang w:eastAsia="en-GB"/>
        </w:rPr>
        <w:t>l</w:t>
      </w:r>
      <w:r w:rsidR="0000281D" w:rsidRPr="00472C9F">
        <w:rPr>
          <w:rFonts w:ascii="Calibri" w:eastAsia="Times New Roman" w:hAnsi="Calibri" w:cs="Calibri"/>
          <w:sz w:val="24"/>
          <w:szCs w:val="24"/>
          <w:lang w:eastAsia="en-GB"/>
        </w:rPr>
        <w:t xml:space="preserve">aw provisions </w:t>
      </w:r>
      <w:r w:rsidR="002A4EF1" w:rsidRPr="00472C9F">
        <w:rPr>
          <w:rFonts w:ascii="Calibri" w:eastAsia="Times New Roman" w:hAnsi="Calibri" w:cs="Calibri"/>
          <w:sz w:val="24"/>
          <w:szCs w:val="24"/>
          <w:lang w:eastAsia="en-GB"/>
        </w:rPr>
        <w:t>through the</w:t>
      </w:r>
      <w:r w:rsidR="0000281D" w:rsidRPr="00472C9F">
        <w:rPr>
          <w:rFonts w:ascii="Calibri" w:eastAsia="Times New Roman" w:hAnsi="Calibri" w:cs="Calibri"/>
          <w:sz w:val="24"/>
          <w:szCs w:val="24"/>
          <w:lang w:eastAsia="en-GB"/>
        </w:rPr>
        <w:t xml:space="preserve"> Europ</w:t>
      </w:r>
      <w:r w:rsidR="00B36494" w:rsidRPr="00472C9F">
        <w:rPr>
          <w:rFonts w:ascii="Calibri" w:eastAsia="Times New Roman" w:hAnsi="Calibri" w:cs="Calibri"/>
          <w:sz w:val="24"/>
          <w:szCs w:val="24"/>
          <w:lang w:eastAsia="en-GB"/>
        </w:rPr>
        <w:t>e</w:t>
      </w:r>
      <w:r w:rsidR="00444847" w:rsidRPr="00472C9F">
        <w:rPr>
          <w:rFonts w:ascii="Calibri" w:eastAsia="Times New Roman" w:hAnsi="Calibri" w:cs="Calibri"/>
          <w:sz w:val="24"/>
          <w:szCs w:val="24"/>
          <w:lang w:eastAsia="en-GB"/>
        </w:rPr>
        <w:t xml:space="preserve">an Commission LGBTIQ Equality Strategy 2020-2025 </w:t>
      </w:r>
      <w:r w:rsidR="002A4EF1" w:rsidRPr="00472C9F">
        <w:rPr>
          <w:rFonts w:ascii="Calibri" w:eastAsia="Times New Roman" w:hAnsi="Calibri" w:cs="Calibri"/>
          <w:sz w:val="24"/>
          <w:szCs w:val="24"/>
          <w:lang w:eastAsia="en-GB"/>
        </w:rPr>
        <w:t xml:space="preserve">the </w:t>
      </w:r>
      <w:r w:rsidR="008D05BA" w:rsidRPr="00472C9F">
        <w:rPr>
          <w:rFonts w:ascii="Calibri" w:eastAsia="Times New Roman" w:hAnsi="Calibri" w:cs="Calibri"/>
          <w:sz w:val="24"/>
          <w:szCs w:val="24"/>
          <w:lang w:eastAsia="en-GB"/>
        </w:rPr>
        <w:t xml:space="preserve">European </w:t>
      </w:r>
      <w:r w:rsidR="002A4EF1" w:rsidRPr="00472C9F">
        <w:rPr>
          <w:rFonts w:ascii="Calibri" w:eastAsia="Times New Roman" w:hAnsi="Calibri" w:cs="Calibri"/>
          <w:sz w:val="24"/>
          <w:szCs w:val="24"/>
          <w:lang w:eastAsia="en-GB"/>
        </w:rPr>
        <w:t xml:space="preserve">Fundamental Rights Agency is tasked </w:t>
      </w:r>
      <w:r w:rsidR="008D05BA" w:rsidRPr="00472C9F">
        <w:rPr>
          <w:rFonts w:ascii="Calibri" w:eastAsia="Times New Roman" w:hAnsi="Calibri" w:cs="Calibri"/>
          <w:sz w:val="24"/>
          <w:szCs w:val="24"/>
          <w:lang w:eastAsia="en-GB"/>
        </w:rPr>
        <w:t>with</w:t>
      </w:r>
      <w:r w:rsidR="00C35F02" w:rsidRPr="00472C9F">
        <w:rPr>
          <w:rFonts w:ascii="Calibri" w:eastAsia="Times New Roman" w:hAnsi="Calibri" w:cs="Calibri"/>
          <w:sz w:val="24"/>
          <w:szCs w:val="24"/>
          <w:lang w:eastAsia="en-GB"/>
        </w:rPr>
        <w:t xml:space="preserve"> monitoring </w:t>
      </w:r>
      <w:r w:rsidR="008D05BA" w:rsidRPr="00472C9F">
        <w:rPr>
          <w:rFonts w:ascii="Calibri" w:eastAsia="Times New Roman" w:hAnsi="Calibri" w:cs="Calibri"/>
          <w:sz w:val="24"/>
          <w:szCs w:val="24"/>
          <w:lang w:eastAsia="en-GB"/>
        </w:rPr>
        <w:t>the success of EU</w:t>
      </w:r>
      <w:r w:rsidR="009B46C9" w:rsidRPr="00472C9F">
        <w:rPr>
          <w:rFonts w:ascii="Calibri" w:eastAsia="Times New Roman" w:hAnsi="Calibri" w:cs="Calibri"/>
          <w:sz w:val="24"/>
          <w:szCs w:val="24"/>
          <w:lang w:eastAsia="en-GB"/>
        </w:rPr>
        <w:t xml:space="preserve"> non-</w:t>
      </w:r>
      <w:proofErr w:type="spellStart"/>
      <w:r w:rsidR="009B46C9" w:rsidRPr="00472C9F">
        <w:rPr>
          <w:rFonts w:ascii="Calibri" w:eastAsia="Times New Roman" w:hAnsi="Calibri" w:cs="Calibri"/>
          <w:sz w:val="24"/>
          <w:szCs w:val="24"/>
          <w:lang w:eastAsia="en-GB"/>
        </w:rPr>
        <w:t>discriminition</w:t>
      </w:r>
      <w:proofErr w:type="spellEnd"/>
      <w:r w:rsidR="009B46C9" w:rsidRPr="00472C9F">
        <w:rPr>
          <w:rFonts w:ascii="Calibri" w:eastAsia="Times New Roman" w:hAnsi="Calibri" w:cs="Calibri"/>
          <w:sz w:val="24"/>
          <w:szCs w:val="24"/>
          <w:lang w:eastAsia="en-GB"/>
        </w:rPr>
        <w:t>, equality and diversity</w:t>
      </w:r>
      <w:r w:rsidR="008D05BA" w:rsidRPr="00472C9F">
        <w:rPr>
          <w:rFonts w:ascii="Calibri" w:eastAsia="Times New Roman" w:hAnsi="Calibri" w:cs="Calibri"/>
          <w:sz w:val="24"/>
          <w:szCs w:val="24"/>
          <w:lang w:eastAsia="en-GB"/>
        </w:rPr>
        <w:t xml:space="preserve"> strategies.</w:t>
      </w:r>
      <w:r w:rsidR="009B46C9" w:rsidRPr="00472C9F">
        <w:rPr>
          <w:rFonts w:ascii="Calibri" w:eastAsia="Times New Roman" w:hAnsi="Calibri" w:cs="Calibri"/>
          <w:sz w:val="24"/>
          <w:szCs w:val="24"/>
          <w:lang w:eastAsia="en-GB"/>
        </w:rPr>
        <w:t xml:space="preserve"> </w:t>
      </w:r>
      <w:r w:rsidR="008D05BA" w:rsidRPr="00472C9F">
        <w:rPr>
          <w:rFonts w:ascii="Calibri" w:eastAsia="Times New Roman" w:hAnsi="Calibri" w:cs="Calibri"/>
          <w:sz w:val="24"/>
          <w:szCs w:val="24"/>
          <w:lang w:eastAsia="en-GB"/>
        </w:rPr>
        <w:t>The</w:t>
      </w:r>
      <w:r w:rsidR="00C615FB" w:rsidRPr="00472C9F">
        <w:rPr>
          <w:rFonts w:ascii="Calibri" w:eastAsia="Times New Roman" w:hAnsi="Calibri" w:cs="Calibri"/>
          <w:sz w:val="24"/>
          <w:szCs w:val="24"/>
          <w:lang w:eastAsia="en-GB"/>
        </w:rPr>
        <w:t xml:space="preserve"> third wave of the EU LGBTIQ survey was launched in 2023 and led to the participation of 100,577 </w:t>
      </w:r>
      <w:r w:rsidR="005810E3" w:rsidRPr="00472C9F">
        <w:rPr>
          <w:rFonts w:ascii="Calibri" w:eastAsia="Times New Roman" w:hAnsi="Calibri" w:cs="Calibri"/>
          <w:sz w:val="24"/>
          <w:szCs w:val="24"/>
          <w:lang w:eastAsia="en-GB"/>
        </w:rPr>
        <w:t xml:space="preserve">LGBTQIA </w:t>
      </w:r>
      <w:r w:rsidR="00C615FB" w:rsidRPr="00472C9F">
        <w:rPr>
          <w:rFonts w:ascii="Calibri" w:eastAsia="Times New Roman" w:hAnsi="Calibri" w:cs="Calibri"/>
          <w:sz w:val="24"/>
          <w:szCs w:val="24"/>
          <w:lang w:eastAsia="en-GB"/>
        </w:rPr>
        <w:t>respondents across 30 countries.</w:t>
      </w:r>
      <w:r w:rsidR="00787FDA" w:rsidRPr="00472C9F">
        <w:rPr>
          <w:rStyle w:val="FootnoteReference"/>
          <w:rFonts w:ascii="Calibri" w:eastAsia="Times New Roman" w:hAnsi="Calibri" w:cs="Calibri"/>
          <w:sz w:val="24"/>
          <w:szCs w:val="24"/>
          <w:lang w:eastAsia="en-GB"/>
        </w:rPr>
        <w:footnoteReference w:id="73"/>
      </w:r>
      <w:r w:rsidR="00C615FB" w:rsidRPr="00472C9F">
        <w:rPr>
          <w:rFonts w:ascii="Calibri" w:eastAsia="Times New Roman" w:hAnsi="Calibri" w:cs="Calibri"/>
          <w:sz w:val="24"/>
          <w:szCs w:val="24"/>
          <w:lang w:eastAsia="en-GB"/>
        </w:rPr>
        <w:t xml:space="preserve"> </w:t>
      </w:r>
      <w:r w:rsidR="00787FDA" w:rsidRPr="00472C9F">
        <w:rPr>
          <w:rFonts w:ascii="Calibri" w:eastAsia="Times New Roman" w:hAnsi="Calibri" w:cs="Calibri"/>
          <w:sz w:val="24"/>
          <w:szCs w:val="24"/>
          <w:lang w:eastAsia="en-GB"/>
        </w:rPr>
        <w:t xml:space="preserve">The survey found that </w:t>
      </w:r>
      <w:r w:rsidR="005810E3" w:rsidRPr="00472C9F">
        <w:rPr>
          <w:rFonts w:ascii="Calibri" w:eastAsia="Times New Roman" w:hAnsi="Calibri" w:cs="Calibri"/>
          <w:sz w:val="24"/>
          <w:szCs w:val="24"/>
          <w:lang w:eastAsia="en-GB"/>
        </w:rPr>
        <w:t>36% of participants (down from 42</w:t>
      </w:r>
      <w:r w:rsidR="00A62030" w:rsidRPr="00472C9F">
        <w:rPr>
          <w:rFonts w:ascii="Calibri" w:eastAsia="Times New Roman" w:hAnsi="Calibri" w:cs="Calibri"/>
          <w:sz w:val="24"/>
          <w:szCs w:val="24"/>
          <w:lang w:eastAsia="en-GB"/>
        </w:rPr>
        <w:t>%</w:t>
      </w:r>
      <w:r w:rsidR="0017552E" w:rsidRPr="00472C9F">
        <w:rPr>
          <w:rFonts w:ascii="Calibri" w:eastAsia="Times New Roman" w:hAnsi="Calibri" w:cs="Calibri"/>
          <w:sz w:val="24"/>
          <w:szCs w:val="24"/>
          <w:lang w:eastAsia="en-GB"/>
        </w:rPr>
        <w:t xml:space="preserve"> in 2019</w:t>
      </w:r>
      <w:r w:rsidR="00A62030" w:rsidRPr="00472C9F">
        <w:rPr>
          <w:rFonts w:ascii="Calibri" w:eastAsia="Times New Roman" w:hAnsi="Calibri" w:cs="Calibri"/>
          <w:sz w:val="24"/>
          <w:szCs w:val="24"/>
          <w:lang w:eastAsia="en-GB"/>
        </w:rPr>
        <w:t>) experienced discrimination in one area of their life in the previous 12 months.</w:t>
      </w:r>
      <w:r w:rsidR="00A62030" w:rsidRPr="00472C9F">
        <w:rPr>
          <w:rStyle w:val="FootnoteReference"/>
          <w:rFonts w:ascii="Calibri" w:eastAsia="Times New Roman" w:hAnsi="Calibri" w:cs="Calibri"/>
          <w:sz w:val="24"/>
          <w:szCs w:val="24"/>
          <w:lang w:eastAsia="en-GB"/>
        </w:rPr>
        <w:footnoteReference w:id="74"/>
      </w:r>
      <w:r w:rsidR="00A62030" w:rsidRPr="00472C9F">
        <w:rPr>
          <w:rFonts w:ascii="Calibri" w:eastAsia="Times New Roman" w:hAnsi="Calibri" w:cs="Calibri"/>
          <w:sz w:val="24"/>
          <w:szCs w:val="24"/>
          <w:lang w:eastAsia="en-GB"/>
        </w:rPr>
        <w:t xml:space="preserve"> </w:t>
      </w:r>
      <w:r w:rsidR="0017552E" w:rsidRPr="00472C9F">
        <w:rPr>
          <w:rFonts w:ascii="Calibri" w:eastAsia="Times New Roman" w:hAnsi="Calibri" w:cs="Calibri"/>
          <w:sz w:val="24"/>
          <w:szCs w:val="24"/>
          <w:lang w:eastAsia="en-GB"/>
        </w:rPr>
        <w:t xml:space="preserve">Specifically in relation to </w:t>
      </w:r>
      <w:r w:rsidR="005E3E05" w:rsidRPr="00472C9F">
        <w:rPr>
          <w:rFonts w:ascii="Calibri" w:eastAsia="Times New Roman" w:hAnsi="Calibri" w:cs="Calibri"/>
          <w:sz w:val="24"/>
          <w:szCs w:val="24"/>
          <w:lang w:eastAsia="en-GB"/>
        </w:rPr>
        <w:t xml:space="preserve">economic factors, </w:t>
      </w:r>
      <w:r w:rsidR="0017552E" w:rsidRPr="00472C9F">
        <w:rPr>
          <w:rFonts w:ascii="Calibri" w:eastAsia="Times New Roman" w:hAnsi="Calibri" w:cs="Calibri"/>
          <w:sz w:val="24"/>
          <w:szCs w:val="24"/>
          <w:lang w:eastAsia="en-GB"/>
        </w:rPr>
        <w:t xml:space="preserve">the </w:t>
      </w:r>
      <w:r w:rsidR="000B529C" w:rsidRPr="00472C9F">
        <w:rPr>
          <w:rFonts w:ascii="Calibri" w:eastAsia="Times New Roman" w:hAnsi="Calibri" w:cs="Calibri"/>
          <w:sz w:val="24"/>
          <w:szCs w:val="24"/>
          <w:lang w:eastAsia="en-GB"/>
        </w:rPr>
        <w:t>‘rate of perceived discrimination (when looking for work)</w:t>
      </w:r>
      <w:r w:rsidR="00A916A1" w:rsidRPr="00472C9F">
        <w:rPr>
          <w:rFonts w:ascii="Calibri" w:eastAsia="Times New Roman" w:hAnsi="Calibri" w:cs="Calibri"/>
          <w:sz w:val="24"/>
          <w:szCs w:val="24"/>
          <w:lang w:eastAsia="en-GB"/>
        </w:rPr>
        <w:t xml:space="preserve"> </w:t>
      </w:r>
      <w:r w:rsidR="000B529C" w:rsidRPr="00472C9F">
        <w:rPr>
          <w:rFonts w:ascii="Calibri" w:eastAsia="Times New Roman" w:hAnsi="Calibri" w:cs="Calibri"/>
          <w:sz w:val="24"/>
          <w:szCs w:val="24"/>
          <w:lang w:eastAsia="en-GB"/>
        </w:rPr>
        <w:t xml:space="preserve"> </w:t>
      </w:r>
      <w:r w:rsidR="00A916A1" w:rsidRPr="00472C9F">
        <w:rPr>
          <w:rFonts w:ascii="Calibri" w:eastAsia="Times New Roman" w:hAnsi="Calibri" w:cs="Calibri"/>
          <w:sz w:val="24"/>
          <w:szCs w:val="24"/>
          <w:lang w:eastAsia="en-GB"/>
        </w:rPr>
        <w:t>was</w:t>
      </w:r>
      <w:r w:rsidR="000B529C" w:rsidRPr="00472C9F">
        <w:rPr>
          <w:rFonts w:ascii="Calibri" w:eastAsia="Times New Roman" w:hAnsi="Calibri" w:cs="Calibri"/>
          <w:sz w:val="24"/>
          <w:szCs w:val="24"/>
          <w:lang w:eastAsia="en-GB"/>
        </w:rPr>
        <w:t xml:space="preserve"> similar across the three survey waves (2012, 13%; 2019, 10%; 2023, 9%)</w:t>
      </w:r>
      <w:r w:rsidR="00C27A76" w:rsidRPr="00472C9F">
        <w:rPr>
          <w:rFonts w:ascii="Calibri" w:eastAsia="Times New Roman" w:hAnsi="Calibri" w:cs="Calibri"/>
          <w:sz w:val="24"/>
          <w:szCs w:val="24"/>
          <w:lang w:eastAsia="en-GB"/>
        </w:rPr>
        <w:t>’.</w:t>
      </w:r>
      <w:r w:rsidR="00A916A1" w:rsidRPr="00472C9F">
        <w:rPr>
          <w:rFonts w:ascii="Calibri" w:eastAsia="Times New Roman" w:hAnsi="Calibri" w:cs="Calibri"/>
          <w:sz w:val="24"/>
          <w:szCs w:val="24"/>
          <w:lang w:eastAsia="en-GB"/>
        </w:rPr>
        <w:t xml:space="preserve"> </w:t>
      </w:r>
      <w:r w:rsidR="00F05071" w:rsidRPr="00472C9F">
        <w:rPr>
          <w:rFonts w:ascii="Calibri" w:eastAsia="Times New Roman" w:hAnsi="Calibri" w:cs="Calibri"/>
          <w:sz w:val="24"/>
          <w:szCs w:val="24"/>
          <w:lang w:eastAsia="en-GB"/>
        </w:rPr>
        <w:t xml:space="preserve">When in work, </w:t>
      </w:r>
      <w:r w:rsidR="00A916A1" w:rsidRPr="00472C9F">
        <w:rPr>
          <w:rFonts w:ascii="Calibri" w:eastAsia="Times New Roman" w:hAnsi="Calibri" w:cs="Calibri"/>
          <w:sz w:val="24"/>
          <w:szCs w:val="24"/>
          <w:lang w:eastAsia="en-GB"/>
        </w:rPr>
        <w:t xml:space="preserve">18% of survey </w:t>
      </w:r>
      <w:proofErr w:type="spellStart"/>
      <w:r w:rsidR="00A916A1" w:rsidRPr="00472C9F">
        <w:rPr>
          <w:rFonts w:ascii="Calibri" w:eastAsia="Times New Roman" w:hAnsi="Calibri" w:cs="Calibri"/>
          <w:sz w:val="24"/>
          <w:szCs w:val="24"/>
          <w:lang w:eastAsia="en-GB"/>
        </w:rPr>
        <w:t>responsdents</w:t>
      </w:r>
      <w:proofErr w:type="spellEnd"/>
      <w:r w:rsidR="00A916A1" w:rsidRPr="00472C9F">
        <w:rPr>
          <w:rFonts w:ascii="Calibri" w:eastAsia="Times New Roman" w:hAnsi="Calibri" w:cs="Calibri"/>
          <w:sz w:val="24"/>
          <w:szCs w:val="24"/>
          <w:lang w:eastAsia="en-GB"/>
        </w:rPr>
        <w:t xml:space="preserve"> continued to feel discriminated against in 2023 as compared to 21% in 2019.</w:t>
      </w:r>
      <w:r w:rsidR="007A7288" w:rsidRPr="00472C9F">
        <w:rPr>
          <w:rStyle w:val="FootnoteReference"/>
          <w:rFonts w:ascii="Calibri" w:hAnsi="Calibri" w:cs="Calibri"/>
          <w:sz w:val="24"/>
          <w:szCs w:val="24"/>
        </w:rPr>
        <w:footnoteReference w:id="75"/>
      </w:r>
      <w:r w:rsidR="00541F72" w:rsidRPr="00472C9F">
        <w:rPr>
          <w:rFonts w:ascii="Calibri" w:eastAsia="Times New Roman" w:hAnsi="Calibri" w:cs="Calibri"/>
          <w:sz w:val="24"/>
          <w:szCs w:val="24"/>
          <w:lang w:eastAsia="en-GB"/>
        </w:rPr>
        <w:t xml:space="preserve"> </w:t>
      </w:r>
      <w:r w:rsidR="00EF3AFE" w:rsidRPr="00472C9F">
        <w:rPr>
          <w:rFonts w:ascii="Calibri" w:eastAsia="Times New Roman" w:hAnsi="Calibri" w:cs="Calibri"/>
          <w:sz w:val="24"/>
          <w:szCs w:val="24"/>
          <w:lang w:eastAsia="en-GB"/>
        </w:rPr>
        <w:lastRenderedPageBreak/>
        <w:t>T</w:t>
      </w:r>
      <w:r w:rsidR="00740E00" w:rsidRPr="00472C9F">
        <w:rPr>
          <w:rFonts w:ascii="Calibri" w:eastAsia="Times New Roman" w:hAnsi="Calibri" w:cs="Calibri"/>
          <w:sz w:val="24"/>
          <w:szCs w:val="24"/>
          <w:lang w:eastAsia="en-GB"/>
        </w:rPr>
        <w:t xml:space="preserve">his high </w:t>
      </w:r>
      <w:r w:rsidR="00F276D3" w:rsidRPr="00472C9F">
        <w:rPr>
          <w:rFonts w:ascii="Calibri" w:eastAsia="Times New Roman" w:hAnsi="Calibri" w:cs="Calibri"/>
          <w:sz w:val="24"/>
          <w:szCs w:val="24"/>
          <w:lang w:eastAsia="en-GB"/>
        </w:rPr>
        <w:t>level of reported discrimination</w:t>
      </w:r>
      <w:r w:rsidR="00D4629F" w:rsidRPr="00472C9F">
        <w:rPr>
          <w:rFonts w:ascii="Calibri" w:eastAsia="Times New Roman" w:hAnsi="Calibri" w:cs="Calibri"/>
          <w:sz w:val="24"/>
          <w:szCs w:val="24"/>
          <w:lang w:eastAsia="en-GB"/>
        </w:rPr>
        <w:t xml:space="preserve"> in employment</w:t>
      </w:r>
      <w:r w:rsidR="00034BA6" w:rsidRPr="00472C9F">
        <w:rPr>
          <w:rStyle w:val="FootnoteReference"/>
          <w:rFonts w:ascii="Calibri" w:eastAsia="Times New Roman" w:hAnsi="Calibri" w:cs="Calibri"/>
          <w:sz w:val="24"/>
          <w:szCs w:val="24"/>
          <w:lang w:eastAsia="en-GB"/>
        </w:rPr>
        <w:footnoteReference w:id="76"/>
      </w:r>
      <w:r w:rsidR="00F276D3" w:rsidRPr="00472C9F">
        <w:rPr>
          <w:rFonts w:ascii="Calibri" w:eastAsia="Times New Roman" w:hAnsi="Calibri" w:cs="Calibri"/>
          <w:sz w:val="24"/>
          <w:szCs w:val="24"/>
          <w:lang w:eastAsia="en-GB"/>
        </w:rPr>
        <w:t xml:space="preserve"> impact</w:t>
      </w:r>
      <w:r w:rsidR="002C5AC4" w:rsidRPr="00472C9F">
        <w:rPr>
          <w:rFonts w:ascii="Calibri" w:eastAsia="Times New Roman" w:hAnsi="Calibri" w:cs="Calibri"/>
          <w:sz w:val="24"/>
          <w:szCs w:val="24"/>
          <w:lang w:eastAsia="en-GB"/>
        </w:rPr>
        <w:t>s</w:t>
      </w:r>
      <w:r w:rsidR="00F276D3" w:rsidRPr="00472C9F">
        <w:rPr>
          <w:rFonts w:ascii="Calibri" w:eastAsia="Times New Roman" w:hAnsi="Calibri" w:cs="Calibri"/>
          <w:sz w:val="24"/>
          <w:szCs w:val="24"/>
          <w:lang w:eastAsia="en-GB"/>
        </w:rPr>
        <w:t xml:space="preserve"> on lesbians</w:t>
      </w:r>
      <w:r w:rsidR="006F7056">
        <w:rPr>
          <w:rFonts w:ascii="Calibri" w:eastAsia="Times New Roman" w:hAnsi="Calibri" w:cs="Calibri"/>
          <w:sz w:val="24"/>
          <w:szCs w:val="24"/>
          <w:lang w:eastAsia="en-GB"/>
        </w:rPr>
        <w:t>’</w:t>
      </w:r>
      <w:r w:rsidR="00F276D3" w:rsidRPr="00472C9F">
        <w:rPr>
          <w:rFonts w:ascii="Calibri" w:eastAsia="Times New Roman" w:hAnsi="Calibri" w:cs="Calibri"/>
          <w:sz w:val="24"/>
          <w:szCs w:val="24"/>
          <w:lang w:eastAsia="en-GB"/>
        </w:rPr>
        <w:t xml:space="preserve"> and gays</w:t>
      </w:r>
      <w:r w:rsidR="00D4629F" w:rsidRPr="00472C9F">
        <w:rPr>
          <w:rFonts w:ascii="Calibri" w:eastAsia="Times New Roman" w:hAnsi="Calibri" w:cs="Calibri"/>
          <w:sz w:val="24"/>
          <w:szCs w:val="24"/>
          <w:lang w:eastAsia="en-GB"/>
        </w:rPr>
        <w:t>’ working</w:t>
      </w:r>
      <w:r w:rsidR="005B2728" w:rsidRPr="00472C9F">
        <w:rPr>
          <w:rFonts w:ascii="Calibri" w:eastAsia="Times New Roman" w:hAnsi="Calibri" w:cs="Calibri"/>
          <w:sz w:val="24"/>
          <w:szCs w:val="24"/>
          <w:lang w:eastAsia="en-GB"/>
        </w:rPr>
        <w:t xml:space="preserve"> conditions </w:t>
      </w:r>
      <w:r w:rsidR="00845646" w:rsidRPr="00472C9F">
        <w:rPr>
          <w:rFonts w:ascii="Calibri" w:eastAsia="Times New Roman" w:hAnsi="Calibri" w:cs="Calibri"/>
          <w:sz w:val="24"/>
          <w:szCs w:val="24"/>
          <w:lang w:eastAsia="en-GB"/>
        </w:rPr>
        <w:t xml:space="preserve">and consequently their </w:t>
      </w:r>
      <w:r w:rsidR="00756A46" w:rsidRPr="00472C9F">
        <w:rPr>
          <w:rFonts w:ascii="Calibri" w:eastAsia="Times New Roman" w:hAnsi="Calibri" w:cs="Calibri"/>
          <w:sz w:val="24"/>
          <w:szCs w:val="24"/>
          <w:lang w:eastAsia="en-GB"/>
        </w:rPr>
        <w:t xml:space="preserve">ability to </w:t>
      </w:r>
      <w:r w:rsidR="00FA7B7E" w:rsidRPr="00472C9F">
        <w:rPr>
          <w:rFonts w:ascii="Calibri" w:eastAsia="Times New Roman" w:hAnsi="Calibri" w:cs="Calibri"/>
          <w:sz w:val="24"/>
          <w:szCs w:val="24"/>
          <w:lang w:eastAsia="en-GB"/>
        </w:rPr>
        <w:t>exercise freedom of movement</w:t>
      </w:r>
      <w:r w:rsidR="00756A46" w:rsidRPr="00472C9F">
        <w:rPr>
          <w:rFonts w:ascii="Calibri" w:eastAsia="Times New Roman" w:hAnsi="Calibri" w:cs="Calibri"/>
          <w:sz w:val="24"/>
          <w:szCs w:val="24"/>
          <w:lang w:eastAsia="en-GB"/>
        </w:rPr>
        <w:t xml:space="preserve"> where this is connected to </w:t>
      </w:r>
      <w:r w:rsidR="005B5656" w:rsidRPr="00472C9F">
        <w:rPr>
          <w:rFonts w:ascii="Calibri" w:eastAsia="Times New Roman" w:hAnsi="Calibri" w:cs="Calibri"/>
          <w:sz w:val="24"/>
          <w:szCs w:val="24"/>
          <w:lang w:eastAsia="en-GB"/>
        </w:rPr>
        <w:t xml:space="preserve">being economically active. </w:t>
      </w:r>
    </w:p>
    <w:p w14:paraId="3844C248" w14:textId="77777777" w:rsidR="0067367F" w:rsidRDefault="0067367F" w:rsidP="0059780E">
      <w:pPr>
        <w:spacing w:after="0" w:line="360" w:lineRule="auto"/>
        <w:jc w:val="both"/>
        <w:rPr>
          <w:rFonts w:ascii="Calibri" w:eastAsia="Times New Roman" w:hAnsi="Calibri" w:cs="Calibri"/>
          <w:sz w:val="24"/>
          <w:szCs w:val="24"/>
          <w:lang w:eastAsia="en-GB"/>
        </w:rPr>
      </w:pPr>
    </w:p>
    <w:p w14:paraId="6E1D234E" w14:textId="203126AA" w:rsidR="002A5C6D" w:rsidRPr="00472C9F" w:rsidRDefault="00CD1FED" w:rsidP="0059780E">
      <w:pPr>
        <w:spacing w:after="0" w:line="360" w:lineRule="auto"/>
        <w:jc w:val="both"/>
        <w:rPr>
          <w:rFonts w:ascii="Calibri" w:eastAsia="Times New Roman" w:hAnsi="Calibri" w:cs="Calibri"/>
          <w:sz w:val="24"/>
          <w:szCs w:val="24"/>
          <w:lang w:eastAsia="en-GB"/>
        </w:rPr>
      </w:pPr>
      <w:r w:rsidRPr="00472C9F">
        <w:rPr>
          <w:rFonts w:ascii="Calibri" w:eastAsia="Times New Roman" w:hAnsi="Calibri" w:cs="Calibri"/>
          <w:sz w:val="24"/>
          <w:szCs w:val="24"/>
          <w:lang w:eastAsia="en-GB"/>
        </w:rPr>
        <w:t xml:space="preserve">It is crucial to examine </w:t>
      </w:r>
      <w:r w:rsidR="00BA3603" w:rsidRPr="00472C9F">
        <w:rPr>
          <w:rFonts w:ascii="Calibri" w:eastAsia="Times New Roman" w:hAnsi="Calibri" w:cs="Calibri"/>
          <w:sz w:val="24"/>
          <w:szCs w:val="24"/>
          <w:lang w:eastAsia="en-GB"/>
        </w:rPr>
        <w:t>how</w:t>
      </w:r>
      <w:r w:rsidRPr="00472C9F">
        <w:rPr>
          <w:rFonts w:ascii="Calibri" w:eastAsia="Times New Roman" w:hAnsi="Calibri" w:cs="Calibri"/>
          <w:sz w:val="24"/>
          <w:szCs w:val="24"/>
          <w:lang w:eastAsia="en-GB"/>
        </w:rPr>
        <w:t xml:space="preserve"> </w:t>
      </w:r>
      <w:r w:rsidR="0015066C" w:rsidRPr="00472C9F">
        <w:rPr>
          <w:rFonts w:ascii="Calibri" w:eastAsia="Times New Roman" w:hAnsi="Calibri" w:cs="Calibri"/>
          <w:sz w:val="24"/>
          <w:szCs w:val="24"/>
          <w:lang w:eastAsia="en-GB"/>
        </w:rPr>
        <w:t xml:space="preserve">the </w:t>
      </w:r>
      <w:r w:rsidR="00037EEF" w:rsidRPr="00472C9F">
        <w:rPr>
          <w:rFonts w:ascii="Calibri" w:eastAsia="Times New Roman" w:hAnsi="Calibri" w:cs="Calibri"/>
          <w:sz w:val="24"/>
          <w:szCs w:val="24"/>
          <w:lang w:eastAsia="en-GB"/>
        </w:rPr>
        <w:t>CJEU</w:t>
      </w:r>
      <w:r w:rsidRPr="00472C9F">
        <w:rPr>
          <w:rFonts w:ascii="Calibri" w:eastAsia="Times New Roman" w:hAnsi="Calibri" w:cs="Calibri"/>
          <w:sz w:val="24"/>
          <w:szCs w:val="24"/>
          <w:lang w:eastAsia="en-GB"/>
        </w:rPr>
        <w:t xml:space="preserve"> has interpreted the meaning of citizenship. </w:t>
      </w:r>
      <w:r w:rsidR="002A5C6D" w:rsidRPr="00472C9F">
        <w:rPr>
          <w:rFonts w:ascii="Calibri" w:eastAsiaTheme="minorEastAsia" w:hAnsi="Calibri" w:cs="Calibri"/>
          <w:kern w:val="24"/>
          <w:sz w:val="24"/>
          <w:szCs w:val="24"/>
        </w:rPr>
        <w:t xml:space="preserve">Prior to the introduction of the umbrella category of citizens in </w:t>
      </w:r>
      <w:r w:rsidR="00830AEE">
        <w:rPr>
          <w:rFonts w:ascii="Calibri" w:eastAsiaTheme="minorEastAsia" w:hAnsi="Calibri" w:cs="Calibri"/>
          <w:kern w:val="24"/>
          <w:sz w:val="24"/>
          <w:szCs w:val="24"/>
        </w:rPr>
        <w:t xml:space="preserve">the </w:t>
      </w:r>
      <w:r w:rsidR="002A5C6D" w:rsidRPr="00472C9F">
        <w:rPr>
          <w:rFonts w:ascii="Calibri" w:eastAsiaTheme="minorEastAsia" w:hAnsi="Calibri" w:cs="Calibri"/>
          <w:kern w:val="24"/>
          <w:sz w:val="24"/>
          <w:szCs w:val="24"/>
        </w:rPr>
        <w:t>Maastricht</w:t>
      </w:r>
      <w:r w:rsidR="00F2164E" w:rsidRPr="00472C9F">
        <w:rPr>
          <w:rFonts w:ascii="Calibri" w:eastAsiaTheme="minorEastAsia" w:hAnsi="Calibri" w:cs="Calibri"/>
          <w:kern w:val="24"/>
          <w:sz w:val="24"/>
          <w:szCs w:val="24"/>
        </w:rPr>
        <w:t xml:space="preserve"> </w:t>
      </w:r>
      <w:r w:rsidR="00830AEE">
        <w:rPr>
          <w:rFonts w:ascii="Calibri" w:eastAsiaTheme="minorEastAsia" w:hAnsi="Calibri" w:cs="Calibri"/>
          <w:kern w:val="24"/>
          <w:sz w:val="24"/>
          <w:szCs w:val="24"/>
        </w:rPr>
        <w:t xml:space="preserve">Treaty </w:t>
      </w:r>
      <w:r w:rsidR="00F2164E" w:rsidRPr="00472C9F">
        <w:rPr>
          <w:rFonts w:ascii="Calibri" w:eastAsiaTheme="minorEastAsia" w:hAnsi="Calibri" w:cs="Calibri"/>
          <w:kern w:val="24"/>
          <w:sz w:val="24"/>
          <w:szCs w:val="24"/>
        </w:rPr>
        <w:t>in 1992</w:t>
      </w:r>
      <w:r w:rsidR="002A5C6D" w:rsidRPr="00472C9F">
        <w:rPr>
          <w:rFonts w:ascii="Calibri" w:eastAsiaTheme="minorEastAsia" w:hAnsi="Calibri" w:cs="Calibri"/>
          <w:kern w:val="24"/>
          <w:sz w:val="24"/>
          <w:szCs w:val="24"/>
        </w:rPr>
        <w:t xml:space="preserve">, EU law </w:t>
      </w:r>
      <w:r w:rsidR="00F2164E" w:rsidRPr="00472C9F">
        <w:rPr>
          <w:rFonts w:ascii="Calibri" w:eastAsiaTheme="minorEastAsia" w:hAnsi="Calibri" w:cs="Calibri"/>
          <w:kern w:val="24"/>
          <w:sz w:val="24"/>
          <w:szCs w:val="24"/>
        </w:rPr>
        <w:t xml:space="preserve">firmly linked freedom of movement to being economically active. The </w:t>
      </w:r>
      <w:r w:rsidR="002A5C6D" w:rsidRPr="00472C9F">
        <w:rPr>
          <w:rFonts w:ascii="Calibri" w:eastAsiaTheme="minorEastAsia" w:hAnsi="Calibri" w:cs="Calibri"/>
          <w:kern w:val="24"/>
          <w:sz w:val="24"/>
          <w:szCs w:val="24"/>
        </w:rPr>
        <w:t xml:space="preserve">EU </w:t>
      </w:r>
      <w:r w:rsidR="009F03A9" w:rsidRPr="00472C9F">
        <w:rPr>
          <w:rFonts w:ascii="Calibri" w:eastAsiaTheme="minorEastAsia" w:hAnsi="Calibri" w:cs="Calibri"/>
          <w:kern w:val="24"/>
          <w:sz w:val="24"/>
          <w:szCs w:val="24"/>
        </w:rPr>
        <w:t xml:space="preserve">gave </w:t>
      </w:r>
      <w:r w:rsidR="00F2164E" w:rsidRPr="00472C9F">
        <w:rPr>
          <w:rFonts w:ascii="Calibri" w:eastAsiaTheme="minorEastAsia" w:hAnsi="Calibri" w:cs="Calibri"/>
          <w:kern w:val="24"/>
          <w:sz w:val="24"/>
          <w:szCs w:val="24"/>
        </w:rPr>
        <w:t xml:space="preserve">free movement </w:t>
      </w:r>
      <w:r w:rsidR="002A5C6D" w:rsidRPr="00472C9F">
        <w:rPr>
          <w:rFonts w:ascii="Calibri" w:eastAsiaTheme="minorEastAsia" w:hAnsi="Calibri" w:cs="Calibri"/>
          <w:kern w:val="24"/>
          <w:sz w:val="24"/>
          <w:szCs w:val="24"/>
        </w:rPr>
        <w:t>rights</w:t>
      </w:r>
      <w:r w:rsidR="00F2164E" w:rsidRPr="00472C9F">
        <w:rPr>
          <w:rFonts w:ascii="Calibri" w:eastAsiaTheme="minorEastAsia" w:hAnsi="Calibri" w:cs="Calibri"/>
          <w:kern w:val="24"/>
          <w:sz w:val="24"/>
          <w:szCs w:val="24"/>
        </w:rPr>
        <w:t xml:space="preserve"> </w:t>
      </w:r>
      <w:r w:rsidR="002A5C6D" w:rsidRPr="00472C9F">
        <w:rPr>
          <w:rFonts w:ascii="Calibri" w:eastAsiaTheme="minorEastAsia" w:hAnsi="Calibri" w:cs="Calibri"/>
          <w:kern w:val="24"/>
          <w:sz w:val="24"/>
          <w:szCs w:val="24"/>
        </w:rPr>
        <w:t>to workers</w:t>
      </w:r>
      <w:r w:rsidR="006B6B2E" w:rsidRPr="00472C9F">
        <w:rPr>
          <w:rStyle w:val="FootnoteReference"/>
          <w:rFonts w:ascii="Calibri" w:eastAsiaTheme="minorEastAsia" w:hAnsi="Calibri" w:cs="Calibri"/>
          <w:kern w:val="24"/>
          <w:sz w:val="24"/>
          <w:szCs w:val="24"/>
        </w:rPr>
        <w:footnoteReference w:id="77"/>
      </w:r>
      <w:r w:rsidR="002A5C6D" w:rsidRPr="00472C9F">
        <w:rPr>
          <w:rFonts w:ascii="Calibri" w:eastAsiaTheme="minorEastAsia" w:hAnsi="Calibri" w:cs="Calibri"/>
          <w:kern w:val="24"/>
          <w:sz w:val="24"/>
          <w:szCs w:val="24"/>
        </w:rPr>
        <w:t xml:space="preserve"> </w:t>
      </w:r>
      <w:r w:rsidR="006B6B2E" w:rsidRPr="00472C9F">
        <w:rPr>
          <w:rFonts w:ascii="Calibri" w:eastAsiaTheme="minorEastAsia" w:hAnsi="Calibri" w:cs="Calibri"/>
          <w:kern w:val="24"/>
          <w:sz w:val="24"/>
          <w:szCs w:val="24"/>
        </w:rPr>
        <w:t xml:space="preserve">and </w:t>
      </w:r>
      <w:r w:rsidR="002A5C6D" w:rsidRPr="00472C9F">
        <w:rPr>
          <w:rFonts w:ascii="Calibri" w:eastAsiaTheme="minorEastAsia" w:hAnsi="Calibri" w:cs="Calibri"/>
          <w:kern w:val="24"/>
          <w:sz w:val="24"/>
          <w:szCs w:val="24"/>
        </w:rPr>
        <w:t>self-employed persons (establishment and services)</w:t>
      </w:r>
      <w:r w:rsidR="0090091F" w:rsidRPr="00472C9F">
        <w:rPr>
          <w:rFonts w:ascii="Calibri" w:eastAsiaTheme="minorEastAsia" w:hAnsi="Calibri" w:cs="Calibri"/>
          <w:kern w:val="24"/>
          <w:sz w:val="24"/>
          <w:szCs w:val="24"/>
        </w:rPr>
        <w:t>.</w:t>
      </w:r>
      <w:r w:rsidR="006B6B2E" w:rsidRPr="00472C9F">
        <w:rPr>
          <w:rStyle w:val="FootnoteReference"/>
          <w:rFonts w:ascii="Calibri" w:eastAsiaTheme="minorEastAsia" w:hAnsi="Calibri" w:cs="Calibri"/>
          <w:kern w:val="24"/>
          <w:sz w:val="24"/>
          <w:szCs w:val="24"/>
        </w:rPr>
        <w:footnoteReference w:id="78"/>
      </w:r>
      <w:r w:rsidR="00F2164E" w:rsidRPr="00472C9F">
        <w:rPr>
          <w:rFonts w:ascii="Calibri" w:eastAsiaTheme="minorEastAsia" w:hAnsi="Calibri" w:cs="Calibri"/>
          <w:kern w:val="24"/>
          <w:sz w:val="24"/>
          <w:szCs w:val="24"/>
        </w:rPr>
        <w:t xml:space="preserve"> </w:t>
      </w:r>
      <w:r w:rsidR="0090091F" w:rsidRPr="00472C9F">
        <w:rPr>
          <w:rFonts w:ascii="Calibri" w:eastAsiaTheme="minorEastAsia" w:hAnsi="Calibri" w:cs="Calibri"/>
          <w:kern w:val="24"/>
          <w:sz w:val="24"/>
          <w:szCs w:val="24"/>
        </w:rPr>
        <w:t xml:space="preserve">These </w:t>
      </w:r>
      <w:r w:rsidR="009F03A9" w:rsidRPr="00472C9F">
        <w:rPr>
          <w:rFonts w:ascii="Calibri" w:eastAsiaTheme="minorEastAsia" w:hAnsi="Calibri" w:cs="Calibri"/>
          <w:kern w:val="24"/>
          <w:sz w:val="24"/>
          <w:szCs w:val="24"/>
        </w:rPr>
        <w:t xml:space="preserve">categories </w:t>
      </w:r>
      <w:r w:rsidR="00F2164E" w:rsidRPr="00472C9F">
        <w:rPr>
          <w:rFonts w:ascii="Calibri" w:eastAsiaTheme="minorEastAsia" w:hAnsi="Calibri" w:cs="Calibri"/>
          <w:kern w:val="24"/>
          <w:sz w:val="24"/>
          <w:szCs w:val="24"/>
        </w:rPr>
        <w:t xml:space="preserve">continue </w:t>
      </w:r>
      <w:r w:rsidR="002A5C6D" w:rsidRPr="00472C9F">
        <w:rPr>
          <w:rFonts w:ascii="Calibri" w:eastAsiaTheme="minorEastAsia" w:hAnsi="Calibri" w:cs="Calibri"/>
          <w:kern w:val="24"/>
          <w:sz w:val="24"/>
          <w:szCs w:val="24"/>
        </w:rPr>
        <w:t xml:space="preserve">to exist in the </w:t>
      </w:r>
      <w:r w:rsidR="00BA3603" w:rsidRPr="00472C9F">
        <w:rPr>
          <w:rFonts w:ascii="Calibri" w:eastAsiaTheme="minorEastAsia" w:hAnsi="Calibri" w:cs="Calibri"/>
          <w:kern w:val="24"/>
          <w:sz w:val="24"/>
          <w:szCs w:val="24"/>
        </w:rPr>
        <w:t>present-day</w:t>
      </w:r>
      <w:r w:rsidR="002A5C6D" w:rsidRPr="00472C9F">
        <w:rPr>
          <w:rFonts w:ascii="Calibri" w:eastAsiaTheme="minorEastAsia" w:hAnsi="Calibri" w:cs="Calibri"/>
          <w:kern w:val="24"/>
          <w:sz w:val="24"/>
          <w:szCs w:val="24"/>
        </w:rPr>
        <w:t xml:space="preserve"> EU treaties, alongside the </w:t>
      </w:r>
      <w:r w:rsidR="00BA3603" w:rsidRPr="00472C9F">
        <w:rPr>
          <w:rFonts w:ascii="Calibri" w:eastAsiaTheme="minorEastAsia" w:hAnsi="Calibri" w:cs="Calibri"/>
          <w:kern w:val="24"/>
          <w:sz w:val="24"/>
          <w:szCs w:val="24"/>
        </w:rPr>
        <w:t>new</w:t>
      </w:r>
      <w:r w:rsidR="002A5C6D" w:rsidRPr="00472C9F">
        <w:rPr>
          <w:rFonts w:ascii="Calibri" w:eastAsiaTheme="minorEastAsia" w:hAnsi="Calibri" w:cs="Calibri"/>
          <w:kern w:val="24"/>
          <w:sz w:val="24"/>
          <w:szCs w:val="24"/>
        </w:rPr>
        <w:t xml:space="preserve"> category of citizens</w:t>
      </w:r>
      <w:r w:rsidR="00F2164E" w:rsidRPr="00472C9F">
        <w:rPr>
          <w:rFonts w:ascii="Calibri" w:eastAsiaTheme="minorEastAsia" w:hAnsi="Calibri" w:cs="Calibri"/>
          <w:kern w:val="24"/>
          <w:sz w:val="24"/>
          <w:szCs w:val="24"/>
        </w:rPr>
        <w:t xml:space="preserve">. </w:t>
      </w:r>
      <w:r w:rsidR="009F03A9" w:rsidRPr="00472C9F">
        <w:rPr>
          <w:rFonts w:ascii="Calibri" w:eastAsiaTheme="minorEastAsia" w:hAnsi="Calibri" w:cs="Calibri"/>
          <w:kern w:val="24"/>
          <w:sz w:val="24"/>
          <w:szCs w:val="24"/>
        </w:rPr>
        <w:t xml:space="preserve">EU law categorises workers as those who provide services to </w:t>
      </w:r>
      <w:r w:rsidR="006A77A4">
        <w:rPr>
          <w:rFonts w:ascii="Calibri" w:eastAsiaTheme="minorEastAsia" w:hAnsi="Calibri" w:cs="Calibri"/>
          <w:kern w:val="24"/>
          <w:sz w:val="24"/>
          <w:szCs w:val="24"/>
        </w:rPr>
        <w:t>an</w:t>
      </w:r>
      <w:r w:rsidR="009F03A9" w:rsidRPr="00472C9F">
        <w:rPr>
          <w:rFonts w:ascii="Calibri" w:eastAsiaTheme="minorEastAsia" w:hAnsi="Calibri" w:cs="Calibri"/>
          <w:kern w:val="24"/>
          <w:sz w:val="24"/>
          <w:szCs w:val="24"/>
        </w:rPr>
        <w:t>other in return for a monetary reward.</w:t>
      </w:r>
      <w:r w:rsidR="009F03A9" w:rsidRPr="00472C9F">
        <w:rPr>
          <w:rStyle w:val="FootnoteReference"/>
          <w:rFonts w:ascii="Calibri" w:eastAsiaTheme="minorEastAsia" w:hAnsi="Calibri" w:cs="Calibri"/>
          <w:kern w:val="24"/>
          <w:sz w:val="24"/>
          <w:szCs w:val="24"/>
        </w:rPr>
        <w:footnoteReference w:id="79"/>
      </w:r>
      <w:r w:rsidR="00A7516A" w:rsidRPr="00472C9F">
        <w:rPr>
          <w:rFonts w:ascii="Calibri" w:eastAsiaTheme="minorEastAsia" w:hAnsi="Calibri" w:cs="Calibri"/>
          <w:kern w:val="24"/>
          <w:sz w:val="24"/>
          <w:szCs w:val="24"/>
        </w:rPr>
        <w:t xml:space="preserve"> Economic criteria </w:t>
      </w:r>
      <w:r w:rsidR="00F227B5" w:rsidRPr="00472C9F">
        <w:rPr>
          <w:rFonts w:ascii="Calibri" w:eastAsiaTheme="minorEastAsia" w:hAnsi="Calibri" w:cs="Calibri"/>
          <w:kern w:val="24"/>
          <w:sz w:val="24"/>
          <w:szCs w:val="24"/>
        </w:rPr>
        <w:t>are</w:t>
      </w:r>
      <w:r w:rsidR="007E3A26" w:rsidRPr="00472C9F">
        <w:rPr>
          <w:rFonts w:ascii="Calibri" w:eastAsiaTheme="minorEastAsia" w:hAnsi="Calibri" w:cs="Calibri"/>
          <w:kern w:val="24"/>
          <w:sz w:val="24"/>
          <w:szCs w:val="24"/>
        </w:rPr>
        <w:t xml:space="preserve"> </w:t>
      </w:r>
      <w:r w:rsidR="00A7516A" w:rsidRPr="00472C9F">
        <w:rPr>
          <w:rFonts w:ascii="Calibri" w:eastAsiaTheme="minorEastAsia" w:hAnsi="Calibri" w:cs="Calibri"/>
          <w:kern w:val="24"/>
          <w:sz w:val="24"/>
          <w:szCs w:val="24"/>
        </w:rPr>
        <w:t>therefore paramount</w:t>
      </w:r>
      <w:r w:rsidR="00BA3603" w:rsidRPr="00472C9F">
        <w:rPr>
          <w:rFonts w:ascii="Calibri" w:eastAsiaTheme="minorEastAsia" w:hAnsi="Calibri" w:cs="Calibri"/>
          <w:kern w:val="24"/>
          <w:sz w:val="24"/>
          <w:szCs w:val="24"/>
        </w:rPr>
        <w:t xml:space="preserve">, although monetary reward has been interpreted extensively to include </w:t>
      </w:r>
      <w:r w:rsidR="00F227B5" w:rsidRPr="00472C9F">
        <w:rPr>
          <w:rFonts w:ascii="Calibri" w:eastAsiaTheme="minorEastAsia" w:hAnsi="Calibri" w:cs="Calibri"/>
          <w:kern w:val="24"/>
          <w:sz w:val="24"/>
          <w:szCs w:val="24"/>
        </w:rPr>
        <w:t>(</w:t>
      </w:r>
      <w:r w:rsidR="00BA3603" w:rsidRPr="00472C9F">
        <w:rPr>
          <w:rFonts w:ascii="Calibri" w:eastAsiaTheme="minorEastAsia" w:hAnsi="Calibri" w:cs="Calibri"/>
          <w:kern w:val="24"/>
          <w:sz w:val="24"/>
          <w:szCs w:val="24"/>
        </w:rPr>
        <w:t>for example</w:t>
      </w:r>
      <w:r w:rsidR="00F227B5" w:rsidRPr="00472C9F">
        <w:rPr>
          <w:rFonts w:ascii="Calibri" w:eastAsiaTheme="minorEastAsia" w:hAnsi="Calibri" w:cs="Calibri"/>
          <w:kern w:val="24"/>
          <w:sz w:val="24"/>
          <w:szCs w:val="24"/>
        </w:rPr>
        <w:t>)</w:t>
      </w:r>
      <w:r w:rsidR="009F03A9" w:rsidRPr="00472C9F">
        <w:rPr>
          <w:rFonts w:ascii="Calibri" w:eastAsiaTheme="minorEastAsia" w:hAnsi="Calibri" w:cs="Calibri"/>
          <w:kern w:val="24"/>
          <w:sz w:val="24"/>
          <w:szCs w:val="24"/>
        </w:rPr>
        <w:t xml:space="preserve"> </w:t>
      </w:r>
      <w:r w:rsidR="002A5C6D" w:rsidRPr="00472C9F">
        <w:rPr>
          <w:rFonts w:ascii="Calibri" w:eastAsiaTheme="minorEastAsia" w:hAnsi="Calibri" w:cs="Calibri"/>
          <w:kern w:val="24"/>
          <w:sz w:val="24"/>
          <w:szCs w:val="24"/>
        </w:rPr>
        <w:t>part</w:t>
      </w:r>
      <w:r w:rsidR="00D9427C" w:rsidRPr="00472C9F">
        <w:rPr>
          <w:rFonts w:ascii="Calibri" w:eastAsiaTheme="minorEastAsia" w:hAnsi="Calibri" w:cs="Calibri"/>
          <w:kern w:val="24"/>
          <w:sz w:val="24"/>
          <w:szCs w:val="24"/>
        </w:rPr>
        <w:t>-</w:t>
      </w:r>
      <w:r w:rsidR="002A5C6D" w:rsidRPr="00472C9F">
        <w:rPr>
          <w:rFonts w:ascii="Calibri" w:eastAsiaTheme="minorEastAsia" w:hAnsi="Calibri" w:cs="Calibri"/>
          <w:kern w:val="24"/>
          <w:sz w:val="24"/>
          <w:szCs w:val="24"/>
        </w:rPr>
        <w:t>time work,</w:t>
      </w:r>
      <w:r w:rsidR="009F03A9" w:rsidRPr="00472C9F">
        <w:rPr>
          <w:rStyle w:val="FootnoteReference"/>
          <w:rFonts w:ascii="Calibri" w:eastAsiaTheme="minorEastAsia" w:hAnsi="Calibri" w:cs="Calibri"/>
          <w:kern w:val="24"/>
          <w:sz w:val="24"/>
          <w:szCs w:val="24"/>
        </w:rPr>
        <w:footnoteReference w:id="80"/>
      </w:r>
      <w:r w:rsidR="002A5C6D" w:rsidRPr="00472C9F">
        <w:rPr>
          <w:rFonts w:ascii="Calibri" w:eastAsiaTheme="minorEastAsia" w:hAnsi="Calibri" w:cs="Calibri"/>
          <w:kern w:val="24"/>
          <w:sz w:val="24"/>
          <w:szCs w:val="24"/>
        </w:rPr>
        <w:t xml:space="preserve"> and for payment in kind.</w:t>
      </w:r>
      <w:r w:rsidR="009F03A9" w:rsidRPr="00472C9F">
        <w:rPr>
          <w:rStyle w:val="FootnoteReference"/>
          <w:rFonts w:ascii="Calibri" w:eastAsiaTheme="minorEastAsia" w:hAnsi="Calibri" w:cs="Calibri"/>
          <w:kern w:val="24"/>
          <w:sz w:val="24"/>
          <w:szCs w:val="24"/>
        </w:rPr>
        <w:footnoteReference w:id="81"/>
      </w:r>
      <w:r w:rsidR="002A5C6D" w:rsidRPr="00472C9F">
        <w:rPr>
          <w:rFonts w:ascii="Calibri" w:eastAsiaTheme="minorEastAsia" w:hAnsi="Calibri" w:cs="Calibri"/>
          <w:kern w:val="24"/>
          <w:sz w:val="24"/>
          <w:szCs w:val="24"/>
        </w:rPr>
        <w:t xml:space="preserve"> </w:t>
      </w:r>
      <w:r w:rsidR="00BA3603" w:rsidRPr="00472C9F">
        <w:rPr>
          <w:rFonts w:ascii="Calibri" w:eastAsiaTheme="minorEastAsia" w:hAnsi="Calibri" w:cs="Calibri"/>
          <w:kern w:val="24"/>
          <w:sz w:val="24"/>
          <w:szCs w:val="24"/>
        </w:rPr>
        <w:t>Despite</w:t>
      </w:r>
      <w:r w:rsidR="002A5C6D" w:rsidRPr="00472C9F">
        <w:rPr>
          <w:rFonts w:ascii="Calibri" w:eastAsiaTheme="minorEastAsia" w:hAnsi="Calibri" w:cs="Calibri"/>
          <w:kern w:val="24"/>
          <w:sz w:val="24"/>
          <w:szCs w:val="24"/>
        </w:rPr>
        <w:t xml:space="preserve"> this wide definition, a connection to an economic </w:t>
      </w:r>
      <w:r w:rsidR="00215E2C">
        <w:rPr>
          <w:rFonts w:ascii="Calibri" w:eastAsiaTheme="minorEastAsia" w:hAnsi="Calibri" w:cs="Calibri"/>
          <w:kern w:val="24"/>
          <w:sz w:val="24"/>
          <w:szCs w:val="24"/>
        </w:rPr>
        <w:t>activity</w:t>
      </w:r>
      <w:r w:rsidR="002A5C6D" w:rsidRPr="00472C9F">
        <w:rPr>
          <w:rFonts w:ascii="Calibri" w:eastAsiaTheme="minorEastAsia" w:hAnsi="Calibri" w:cs="Calibri"/>
          <w:kern w:val="24"/>
          <w:sz w:val="24"/>
          <w:szCs w:val="24"/>
        </w:rPr>
        <w:t xml:space="preserve"> continue</w:t>
      </w:r>
      <w:r w:rsidR="00A15F52" w:rsidRPr="00472C9F">
        <w:rPr>
          <w:rFonts w:ascii="Calibri" w:eastAsiaTheme="minorEastAsia" w:hAnsi="Calibri" w:cs="Calibri"/>
          <w:kern w:val="24"/>
          <w:sz w:val="24"/>
          <w:szCs w:val="24"/>
        </w:rPr>
        <w:t>s</w:t>
      </w:r>
      <w:r w:rsidR="002A5C6D" w:rsidRPr="00472C9F">
        <w:rPr>
          <w:rFonts w:ascii="Calibri" w:eastAsiaTheme="minorEastAsia" w:hAnsi="Calibri" w:cs="Calibri"/>
          <w:kern w:val="24"/>
          <w:sz w:val="24"/>
          <w:szCs w:val="24"/>
        </w:rPr>
        <w:t xml:space="preserve"> to exist</w:t>
      </w:r>
      <w:r w:rsidR="008248B4" w:rsidRPr="00472C9F">
        <w:rPr>
          <w:rFonts w:ascii="Calibri" w:eastAsiaTheme="minorEastAsia" w:hAnsi="Calibri" w:cs="Calibri"/>
          <w:kern w:val="24"/>
          <w:sz w:val="24"/>
          <w:szCs w:val="24"/>
        </w:rPr>
        <w:t>.</w:t>
      </w:r>
      <w:r w:rsidR="002A5C6D" w:rsidRPr="00472C9F">
        <w:rPr>
          <w:rFonts w:ascii="Calibri" w:eastAsiaTheme="minorEastAsia" w:hAnsi="Calibri" w:cs="Calibri"/>
          <w:kern w:val="24"/>
          <w:sz w:val="24"/>
          <w:szCs w:val="24"/>
        </w:rPr>
        <w:t xml:space="preserve"> </w:t>
      </w:r>
      <w:r w:rsidR="00A7516A" w:rsidRPr="00472C9F">
        <w:rPr>
          <w:rFonts w:ascii="Calibri" w:eastAsia="Times New Roman" w:hAnsi="Calibri" w:cs="Calibri"/>
          <w:sz w:val="24"/>
          <w:szCs w:val="24"/>
          <w:lang w:eastAsia="en-GB"/>
        </w:rPr>
        <w:t>C</w:t>
      </w:r>
      <w:r w:rsidR="00F02C74" w:rsidRPr="00472C9F">
        <w:rPr>
          <w:rFonts w:ascii="Calibri" w:eastAsia="Times New Roman" w:hAnsi="Calibri" w:cs="Calibri"/>
          <w:sz w:val="24"/>
          <w:szCs w:val="24"/>
          <w:lang w:eastAsia="en-GB"/>
        </w:rPr>
        <w:t xml:space="preserve">ase law </w:t>
      </w:r>
      <w:r w:rsidR="00F02C74" w:rsidRPr="00472C9F">
        <w:rPr>
          <w:rFonts w:ascii="Calibri" w:eastAsiaTheme="minorEastAsia" w:hAnsi="Calibri" w:cs="Calibri"/>
          <w:kern w:val="24"/>
          <w:sz w:val="24"/>
          <w:szCs w:val="24"/>
        </w:rPr>
        <w:t xml:space="preserve">began to interrogate what rights would attach to citizenship </w:t>
      </w:r>
      <w:r w:rsidR="00A7516A" w:rsidRPr="00472C9F">
        <w:rPr>
          <w:rFonts w:ascii="Calibri" w:eastAsiaTheme="minorEastAsia" w:hAnsi="Calibri" w:cs="Calibri"/>
          <w:kern w:val="24"/>
          <w:sz w:val="24"/>
          <w:szCs w:val="24"/>
        </w:rPr>
        <w:t>itself, outside of economic criteria.</w:t>
      </w:r>
    </w:p>
    <w:p w14:paraId="5A2D6F24" w14:textId="77777777" w:rsidR="00E353C6" w:rsidRDefault="00E353C6" w:rsidP="0059780E">
      <w:pPr>
        <w:spacing w:after="0" w:line="360" w:lineRule="auto"/>
        <w:jc w:val="both"/>
        <w:textAlignment w:val="baseline"/>
        <w:rPr>
          <w:rFonts w:ascii="Calibri" w:eastAsiaTheme="minorEastAsia" w:hAnsi="Calibri" w:cs="Calibri"/>
          <w:kern w:val="24"/>
          <w:sz w:val="24"/>
          <w:szCs w:val="24"/>
        </w:rPr>
      </w:pPr>
    </w:p>
    <w:p w14:paraId="2831D4C0" w14:textId="595F92FF" w:rsidR="00C904CF" w:rsidRPr="00240779" w:rsidRDefault="00D20D13" w:rsidP="0059780E">
      <w:pPr>
        <w:spacing w:after="0" w:line="360" w:lineRule="auto"/>
        <w:jc w:val="both"/>
        <w:textAlignment w:val="baseline"/>
        <w:rPr>
          <w:rFonts w:ascii="Calibri" w:hAnsi="Calibri" w:cs="Calibri"/>
          <w:sz w:val="24"/>
          <w:szCs w:val="24"/>
          <w:vertAlign w:val="superscript"/>
        </w:rPr>
      </w:pPr>
      <w:r w:rsidRPr="00472C9F">
        <w:rPr>
          <w:rFonts w:ascii="Calibri" w:eastAsiaTheme="minorEastAsia" w:hAnsi="Calibri" w:cs="Calibri"/>
          <w:kern w:val="24"/>
          <w:sz w:val="24"/>
          <w:szCs w:val="24"/>
        </w:rPr>
        <w:t xml:space="preserve">A series of cases in the </w:t>
      </w:r>
      <w:r w:rsidR="00F227B5" w:rsidRPr="00472C9F">
        <w:rPr>
          <w:rFonts w:ascii="Calibri" w:eastAsiaTheme="minorEastAsia" w:hAnsi="Calibri" w:cs="Calibri"/>
          <w:kern w:val="24"/>
          <w:sz w:val="24"/>
          <w:szCs w:val="24"/>
        </w:rPr>
        <w:t xml:space="preserve">2000s </w:t>
      </w:r>
      <w:r w:rsidR="00BA3603" w:rsidRPr="00472C9F">
        <w:rPr>
          <w:rFonts w:ascii="Calibri" w:eastAsiaTheme="minorEastAsia" w:hAnsi="Calibri" w:cs="Calibri"/>
          <w:kern w:val="24"/>
          <w:sz w:val="24"/>
          <w:szCs w:val="24"/>
        </w:rPr>
        <w:t>at first gave an expansive interpretation of citizenship rights</w:t>
      </w:r>
      <w:r w:rsidR="00D9427C" w:rsidRPr="00472C9F">
        <w:rPr>
          <w:rFonts w:ascii="Calibri" w:eastAsiaTheme="minorEastAsia" w:hAnsi="Calibri" w:cs="Calibri"/>
          <w:kern w:val="24"/>
          <w:sz w:val="24"/>
          <w:szCs w:val="24"/>
        </w:rPr>
        <w:t>,</w:t>
      </w:r>
      <w:r w:rsidR="00BA3603" w:rsidRPr="00472C9F">
        <w:rPr>
          <w:rFonts w:ascii="Calibri" w:eastAsiaTheme="minorEastAsia" w:hAnsi="Calibri" w:cs="Calibri"/>
          <w:kern w:val="24"/>
          <w:sz w:val="24"/>
          <w:szCs w:val="24"/>
        </w:rPr>
        <w:t xml:space="preserve"> even for those who did not fall within the category of worker</w:t>
      </w:r>
      <w:r w:rsidR="00BA3603" w:rsidRPr="00472C9F">
        <w:rPr>
          <w:rFonts w:ascii="Calibri" w:hAnsi="Calibri" w:cs="Calibri"/>
          <w:i/>
          <w:iCs/>
          <w:sz w:val="24"/>
          <w:szCs w:val="24"/>
        </w:rPr>
        <w:t>.</w:t>
      </w:r>
      <w:r w:rsidR="00D50138" w:rsidRPr="00472C9F">
        <w:rPr>
          <w:rStyle w:val="FootnoteReference"/>
          <w:rFonts w:ascii="Calibri" w:hAnsi="Calibri" w:cs="Calibri"/>
          <w:sz w:val="24"/>
          <w:szCs w:val="24"/>
        </w:rPr>
        <w:footnoteReference w:id="82"/>
      </w:r>
      <w:r w:rsidR="00D50138" w:rsidRPr="00472C9F">
        <w:rPr>
          <w:rFonts w:ascii="Calibri" w:hAnsi="Calibri" w:cs="Calibri"/>
          <w:sz w:val="24"/>
          <w:szCs w:val="24"/>
        </w:rPr>
        <w:t xml:space="preserve"> </w:t>
      </w:r>
      <w:r w:rsidR="00C904CF" w:rsidRPr="00472C9F">
        <w:rPr>
          <w:rFonts w:ascii="Calibri" w:hAnsi="Calibri" w:cs="Calibri"/>
          <w:sz w:val="24"/>
          <w:szCs w:val="24"/>
        </w:rPr>
        <w:t xml:space="preserve">It was held that as long as EU citizens were lawfully resident within a host </w:t>
      </w:r>
      <w:r w:rsidR="00D15A98">
        <w:rPr>
          <w:rFonts w:ascii="Calibri" w:hAnsi="Calibri" w:cs="Calibri"/>
          <w:sz w:val="24"/>
          <w:szCs w:val="24"/>
        </w:rPr>
        <w:t>M</w:t>
      </w:r>
      <w:r w:rsidR="00C904CF" w:rsidRPr="00472C9F">
        <w:rPr>
          <w:rFonts w:ascii="Calibri" w:hAnsi="Calibri" w:cs="Calibri"/>
          <w:sz w:val="24"/>
          <w:szCs w:val="24"/>
        </w:rPr>
        <w:t xml:space="preserve">ember </w:t>
      </w:r>
      <w:r w:rsidR="00D15A98">
        <w:rPr>
          <w:rFonts w:ascii="Calibri" w:hAnsi="Calibri" w:cs="Calibri"/>
          <w:sz w:val="24"/>
          <w:szCs w:val="24"/>
        </w:rPr>
        <w:t>S</w:t>
      </w:r>
      <w:r w:rsidR="00C904CF" w:rsidRPr="00472C9F">
        <w:rPr>
          <w:rFonts w:ascii="Calibri" w:hAnsi="Calibri" w:cs="Calibri"/>
          <w:sz w:val="24"/>
          <w:szCs w:val="24"/>
        </w:rPr>
        <w:t>tate according to national law, then they could invoke the EU principle of non-discrimination to claim benefits.</w:t>
      </w:r>
      <w:r w:rsidR="00C904CF" w:rsidRPr="00472C9F">
        <w:rPr>
          <w:rStyle w:val="FootnoteReference"/>
          <w:rFonts w:ascii="Calibri" w:hAnsi="Calibri" w:cs="Calibri"/>
          <w:sz w:val="24"/>
          <w:szCs w:val="24"/>
        </w:rPr>
        <w:footnoteReference w:id="83"/>
      </w:r>
      <w:r w:rsidR="00C904CF" w:rsidRPr="00472C9F">
        <w:rPr>
          <w:rFonts w:ascii="Calibri" w:hAnsi="Calibri" w:cs="Calibri"/>
          <w:sz w:val="24"/>
          <w:szCs w:val="24"/>
        </w:rPr>
        <w:t xml:space="preserve"> </w:t>
      </w:r>
      <w:r w:rsidR="005A7E6F" w:rsidRPr="00472C9F">
        <w:rPr>
          <w:rFonts w:ascii="Calibri" w:hAnsi="Calibri" w:cs="Calibri"/>
          <w:sz w:val="24"/>
          <w:szCs w:val="24"/>
        </w:rPr>
        <w:t xml:space="preserve">This can be exemplified by </w:t>
      </w:r>
      <w:r w:rsidR="005A7E6F" w:rsidRPr="00472C9F">
        <w:rPr>
          <w:rFonts w:ascii="Calibri" w:hAnsi="Calibri" w:cs="Calibri"/>
          <w:i/>
          <w:iCs/>
          <w:sz w:val="24"/>
          <w:szCs w:val="24"/>
          <w:lang w:val="en-US"/>
        </w:rPr>
        <w:t>Martinez</w:t>
      </w:r>
      <w:r w:rsidR="00EA2D6E">
        <w:rPr>
          <w:rFonts w:ascii="Calibri" w:hAnsi="Calibri" w:cs="Calibri"/>
          <w:i/>
          <w:iCs/>
          <w:sz w:val="24"/>
          <w:szCs w:val="24"/>
          <w:lang w:val="en-US"/>
        </w:rPr>
        <w:t>-</w:t>
      </w:r>
      <w:r w:rsidR="005A7E6F" w:rsidRPr="00472C9F">
        <w:rPr>
          <w:rFonts w:ascii="Calibri" w:hAnsi="Calibri" w:cs="Calibri"/>
          <w:i/>
          <w:iCs/>
          <w:sz w:val="24"/>
          <w:szCs w:val="24"/>
          <w:lang w:val="en-US"/>
        </w:rPr>
        <w:t>Sala</w:t>
      </w:r>
      <w:r w:rsidR="005A7E6F" w:rsidRPr="00472C9F">
        <w:rPr>
          <w:rFonts w:ascii="Calibri" w:hAnsi="Calibri" w:cs="Calibri"/>
          <w:sz w:val="24"/>
          <w:szCs w:val="24"/>
        </w:rPr>
        <w:t>, which concerned an unpaid carer who successfully relied upon EU citizenship non-discrimination provisions to claim benefits.</w:t>
      </w:r>
      <w:r w:rsidR="005A7E6F" w:rsidRPr="00472C9F">
        <w:rPr>
          <w:rStyle w:val="FootnoteReference"/>
          <w:rFonts w:ascii="Calibri" w:hAnsi="Calibri" w:cs="Calibri"/>
          <w:sz w:val="24"/>
          <w:szCs w:val="24"/>
        </w:rPr>
        <w:footnoteReference w:id="84"/>
      </w:r>
      <w:r w:rsidR="005A7E6F" w:rsidRPr="00472C9F">
        <w:rPr>
          <w:rFonts w:ascii="Calibri" w:hAnsi="Calibri" w:cs="Calibri"/>
          <w:sz w:val="24"/>
          <w:szCs w:val="24"/>
        </w:rPr>
        <w:t xml:space="preserve"> Any limitations had to be applied in a proportionate manner.</w:t>
      </w:r>
      <w:r w:rsidR="005A7E6F" w:rsidRPr="00472C9F">
        <w:rPr>
          <w:rStyle w:val="FootnoteReference"/>
          <w:rFonts w:ascii="Calibri" w:hAnsi="Calibri" w:cs="Calibri"/>
          <w:sz w:val="24"/>
          <w:szCs w:val="24"/>
        </w:rPr>
        <w:footnoteReference w:id="85"/>
      </w:r>
      <w:r w:rsidR="005A7E6F" w:rsidRPr="00472C9F">
        <w:rPr>
          <w:rFonts w:ascii="Calibri" w:hAnsi="Calibri" w:cs="Calibri"/>
          <w:sz w:val="24"/>
          <w:szCs w:val="24"/>
        </w:rPr>
        <w:t xml:space="preserve"> </w:t>
      </w:r>
      <w:r w:rsidR="00517F1F" w:rsidRPr="00472C9F">
        <w:rPr>
          <w:rFonts w:ascii="Calibri" w:hAnsi="Calibri" w:cs="Calibri"/>
          <w:sz w:val="24"/>
          <w:szCs w:val="24"/>
        </w:rPr>
        <w:t xml:space="preserve">Other examples </w:t>
      </w:r>
      <w:r w:rsidR="000251D5" w:rsidRPr="00472C9F">
        <w:rPr>
          <w:rFonts w:ascii="Calibri" w:hAnsi="Calibri" w:cs="Calibri"/>
          <w:sz w:val="24"/>
          <w:szCs w:val="24"/>
        </w:rPr>
        <w:t xml:space="preserve">include </w:t>
      </w:r>
      <w:r w:rsidR="006A6D3D" w:rsidRPr="00472C9F">
        <w:rPr>
          <w:rFonts w:ascii="Calibri" w:hAnsi="Calibri" w:cs="Calibri"/>
          <w:sz w:val="24"/>
          <w:szCs w:val="24"/>
        </w:rPr>
        <w:t xml:space="preserve">work-seekers </w:t>
      </w:r>
      <w:r w:rsidR="000251D5" w:rsidRPr="00472C9F">
        <w:rPr>
          <w:rFonts w:ascii="Calibri" w:hAnsi="Calibri" w:cs="Calibri"/>
          <w:sz w:val="24"/>
          <w:szCs w:val="24"/>
        </w:rPr>
        <w:t xml:space="preserve">being able to be </w:t>
      </w:r>
      <w:r w:rsidR="000251D5" w:rsidRPr="00472C9F">
        <w:rPr>
          <w:rFonts w:ascii="Calibri" w:hAnsi="Calibri" w:cs="Calibri"/>
          <w:sz w:val="24"/>
          <w:szCs w:val="24"/>
        </w:rPr>
        <w:lastRenderedPageBreak/>
        <w:t>resident in order to claim</w:t>
      </w:r>
      <w:r w:rsidR="00AA48AB" w:rsidRPr="00472C9F">
        <w:rPr>
          <w:rFonts w:ascii="Calibri" w:hAnsi="Calibri" w:cs="Calibri"/>
          <w:sz w:val="24"/>
          <w:szCs w:val="24"/>
        </w:rPr>
        <w:t xml:space="preserve"> </w:t>
      </w:r>
      <w:r w:rsidR="00CD592E" w:rsidRPr="00472C9F">
        <w:rPr>
          <w:rFonts w:ascii="Calibri" w:hAnsi="Calibri" w:cs="Calibri"/>
          <w:sz w:val="24"/>
          <w:szCs w:val="24"/>
        </w:rPr>
        <w:t>work-seeker’s benefits</w:t>
      </w:r>
      <w:r w:rsidR="000251D5" w:rsidRPr="00472C9F">
        <w:rPr>
          <w:rFonts w:ascii="Calibri" w:hAnsi="Calibri" w:cs="Calibri"/>
          <w:sz w:val="24"/>
          <w:szCs w:val="24"/>
        </w:rPr>
        <w:t xml:space="preserve"> providing they </w:t>
      </w:r>
      <w:r w:rsidR="007B2229" w:rsidRPr="00472C9F">
        <w:rPr>
          <w:rFonts w:ascii="Calibri" w:hAnsi="Calibri" w:cs="Calibri"/>
          <w:sz w:val="24"/>
          <w:szCs w:val="24"/>
        </w:rPr>
        <w:t>were ‘for a reasonable period, genuinely seeking work</w:t>
      </w:r>
      <w:r w:rsidR="00690DC3" w:rsidRPr="00472C9F">
        <w:rPr>
          <w:rFonts w:ascii="Calibri" w:hAnsi="Calibri" w:cs="Calibri"/>
          <w:sz w:val="24"/>
          <w:szCs w:val="24"/>
        </w:rPr>
        <w:t>’</w:t>
      </w:r>
      <w:r w:rsidR="00CD592E" w:rsidRPr="00472C9F">
        <w:rPr>
          <w:rFonts w:ascii="Calibri" w:hAnsi="Calibri" w:cs="Calibri"/>
          <w:sz w:val="24"/>
          <w:szCs w:val="24"/>
        </w:rPr>
        <w:t>.</w:t>
      </w:r>
      <w:r w:rsidR="00CD592E" w:rsidRPr="00472C9F">
        <w:rPr>
          <w:rStyle w:val="FootnoteReference"/>
          <w:rFonts w:ascii="Calibri" w:hAnsi="Calibri" w:cs="Calibri"/>
          <w:sz w:val="24"/>
          <w:szCs w:val="24"/>
        </w:rPr>
        <w:footnoteReference w:id="86"/>
      </w:r>
      <w:r w:rsidR="00240779">
        <w:rPr>
          <w:rFonts w:ascii="Calibri" w:hAnsi="Calibri" w:cs="Calibri"/>
          <w:sz w:val="24"/>
          <w:szCs w:val="24"/>
        </w:rPr>
        <w:t xml:space="preserve"> </w:t>
      </w:r>
      <w:r w:rsidR="00C412BC" w:rsidRPr="00472C9F">
        <w:rPr>
          <w:rFonts w:ascii="Calibri" w:hAnsi="Calibri" w:cs="Calibri"/>
          <w:sz w:val="24"/>
          <w:szCs w:val="24"/>
        </w:rPr>
        <w:t>T</w:t>
      </w:r>
      <w:r w:rsidR="00E6673C" w:rsidRPr="00472C9F">
        <w:rPr>
          <w:rFonts w:ascii="Calibri" w:hAnsi="Calibri" w:cs="Calibri"/>
          <w:sz w:val="24"/>
          <w:szCs w:val="24"/>
        </w:rPr>
        <w:t>hese much celebrated extension</w:t>
      </w:r>
      <w:r w:rsidR="00D95BA4" w:rsidRPr="00472C9F">
        <w:rPr>
          <w:rFonts w:ascii="Calibri" w:hAnsi="Calibri" w:cs="Calibri"/>
          <w:sz w:val="24"/>
          <w:szCs w:val="24"/>
        </w:rPr>
        <w:t>s</w:t>
      </w:r>
      <w:r w:rsidR="00E6673C" w:rsidRPr="00472C9F">
        <w:rPr>
          <w:rFonts w:ascii="Calibri" w:hAnsi="Calibri" w:cs="Calibri"/>
          <w:sz w:val="24"/>
          <w:szCs w:val="24"/>
        </w:rPr>
        <w:t xml:space="preserve"> </w:t>
      </w:r>
      <w:r w:rsidR="00D95BA4" w:rsidRPr="00472C9F">
        <w:rPr>
          <w:rFonts w:ascii="Calibri" w:hAnsi="Calibri" w:cs="Calibri"/>
          <w:sz w:val="24"/>
          <w:szCs w:val="24"/>
        </w:rPr>
        <w:t>allow</w:t>
      </w:r>
      <w:r w:rsidR="00FB5FF3" w:rsidRPr="00472C9F">
        <w:rPr>
          <w:rFonts w:ascii="Calibri" w:hAnsi="Calibri" w:cs="Calibri"/>
          <w:sz w:val="24"/>
          <w:szCs w:val="24"/>
        </w:rPr>
        <w:t>ed</w:t>
      </w:r>
      <w:r w:rsidR="00D95BA4" w:rsidRPr="00472C9F">
        <w:rPr>
          <w:rFonts w:ascii="Calibri" w:hAnsi="Calibri" w:cs="Calibri"/>
          <w:sz w:val="24"/>
          <w:szCs w:val="24"/>
        </w:rPr>
        <w:t xml:space="preserve"> </w:t>
      </w:r>
      <w:r w:rsidR="00FB5FF3" w:rsidRPr="00472C9F">
        <w:rPr>
          <w:rFonts w:ascii="Calibri" w:hAnsi="Calibri" w:cs="Calibri"/>
          <w:sz w:val="24"/>
          <w:szCs w:val="24"/>
        </w:rPr>
        <w:t xml:space="preserve">non-economically active </w:t>
      </w:r>
      <w:r w:rsidR="00D95BA4" w:rsidRPr="00472C9F">
        <w:rPr>
          <w:rFonts w:ascii="Calibri" w:hAnsi="Calibri" w:cs="Calibri"/>
          <w:sz w:val="24"/>
          <w:szCs w:val="24"/>
        </w:rPr>
        <w:t>EU citizens to rely on non-discrimination provisions to claim access to state welfare</w:t>
      </w:r>
      <w:r w:rsidR="00C412BC" w:rsidRPr="00472C9F">
        <w:rPr>
          <w:rFonts w:ascii="Calibri" w:hAnsi="Calibri" w:cs="Calibri"/>
          <w:sz w:val="24"/>
          <w:szCs w:val="24"/>
        </w:rPr>
        <w:t>. However</w:t>
      </w:r>
      <w:r w:rsidR="00D9427C" w:rsidRPr="00472C9F">
        <w:rPr>
          <w:rFonts w:ascii="Calibri" w:hAnsi="Calibri" w:cs="Calibri"/>
          <w:sz w:val="24"/>
          <w:szCs w:val="24"/>
        </w:rPr>
        <w:t>,</w:t>
      </w:r>
      <w:r w:rsidR="00C412BC" w:rsidRPr="00472C9F">
        <w:rPr>
          <w:rFonts w:ascii="Calibri" w:hAnsi="Calibri" w:cs="Calibri"/>
          <w:sz w:val="24"/>
          <w:szCs w:val="24"/>
        </w:rPr>
        <w:t xml:space="preserve"> even at this high point of the case law, citizenship rights belonging to all EU citizens remained much more limited than those based on being economically active.</w:t>
      </w:r>
      <w:r w:rsidR="00C412BC" w:rsidRPr="00472C9F">
        <w:rPr>
          <w:rStyle w:val="FootnoteReference"/>
          <w:rFonts w:ascii="Calibri" w:hAnsi="Calibri" w:cs="Calibri"/>
          <w:sz w:val="24"/>
          <w:szCs w:val="24"/>
        </w:rPr>
        <w:footnoteReference w:id="87"/>
      </w:r>
      <w:r w:rsidR="00C904CF" w:rsidRPr="00472C9F">
        <w:rPr>
          <w:rFonts w:ascii="Calibri" w:hAnsi="Calibri" w:cs="Calibri"/>
          <w:sz w:val="24"/>
          <w:szCs w:val="24"/>
        </w:rPr>
        <w:t xml:space="preserve"> </w:t>
      </w:r>
      <w:r w:rsidR="00D95BA4" w:rsidRPr="00472C9F">
        <w:rPr>
          <w:rFonts w:ascii="Calibri" w:hAnsi="Calibri" w:cs="Calibri"/>
          <w:sz w:val="24"/>
          <w:szCs w:val="24"/>
        </w:rPr>
        <w:t xml:space="preserve">Richer states </w:t>
      </w:r>
      <w:r w:rsidR="006C6316" w:rsidRPr="00472C9F">
        <w:rPr>
          <w:rFonts w:ascii="Calibri" w:hAnsi="Calibri" w:cs="Calibri"/>
          <w:sz w:val="24"/>
          <w:szCs w:val="24"/>
        </w:rPr>
        <w:t xml:space="preserve">also </w:t>
      </w:r>
      <w:r w:rsidR="00D95BA4" w:rsidRPr="00472C9F">
        <w:rPr>
          <w:rFonts w:ascii="Calibri" w:hAnsi="Calibri" w:cs="Calibri"/>
          <w:sz w:val="24"/>
          <w:szCs w:val="24"/>
        </w:rPr>
        <w:t>began to express concerns that this line of case law would lead to benefits tourism</w:t>
      </w:r>
      <w:r w:rsidR="00C904CF" w:rsidRPr="00472C9F">
        <w:rPr>
          <w:rFonts w:ascii="Calibri" w:hAnsi="Calibri" w:cs="Calibri"/>
          <w:sz w:val="24"/>
          <w:szCs w:val="24"/>
        </w:rPr>
        <w:t>,</w:t>
      </w:r>
      <w:r w:rsidR="006C6316" w:rsidRPr="00472C9F">
        <w:rPr>
          <w:rStyle w:val="FootnoteReference"/>
          <w:rFonts w:ascii="Calibri" w:hAnsi="Calibri" w:cs="Calibri"/>
          <w:sz w:val="24"/>
          <w:szCs w:val="24"/>
        </w:rPr>
        <w:footnoteReference w:id="88"/>
      </w:r>
      <w:r w:rsidR="00D95BA4" w:rsidRPr="00472C9F">
        <w:rPr>
          <w:rFonts w:ascii="Calibri" w:hAnsi="Calibri" w:cs="Calibri"/>
          <w:sz w:val="24"/>
          <w:szCs w:val="24"/>
        </w:rPr>
        <w:t xml:space="preserve"> </w:t>
      </w:r>
      <w:r w:rsidR="00C904CF" w:rsidRPr="00472C9F">
        <w:rPr>
          <w:rFonts w:ascii="Calibri" w:hAnsi="Calibri" w:cs="Calibri"/>
          <w:sz w:val="24"/>
          <w:szCs w:val="24"/>
        </w:rPr>
        <w:t xml:space="preserve">despite little evidence for this. </w:t>
      </w:r>
      <w:r w:rsidR="00550BB7" w:rsidRPr="00472C9F">
        <w:rPr>
          <w:rFonts w:ascii="Calibri" w:hAnsi="Calibri" w:cs="Calibri"/>
          <w:sz w:val="24"/>
          <w:szCs w:val="24"/>
        </w:rPr>
        <w:t xml:space="preserve">2016 </w:t>
      </w:r>
      <w:r w:rsidR="00C904CF" w:rsidRPr="00472C9F">
        <w:rPr>
          <w:rFonts w:ascii="Calibri" w:hAnsi="Calibri" w:cs="Calibri"/>
          <w:sz w:val="24"/>
          <w:szCs w:val="24"/>
        </w:rPr>
        <w:t xml:space="preserve">figures </w:t>
      </w:r>
      <w:r w:rsidR="00550BB7" w:rsidRPr="00472C9F">
        <w:rPr>
          <w:rFonts w:ascii="Calibri" w:hAnsi="Calibri" w:cs="Calibri"/>
          <w:sz w:val="24"/>
          <w:szCs w:val="24"/>
        </w:rPr>
        <w:t xml:space="preserve">demonstrate that </w:t>
      </w:r>
      <w:r w:rsidR="00906380" w:rsidRPr="00472C9F">
        <w:rPr>
          <w:rFonts w:ascii="Calibri" w:hAnsi="Calibri" w:cs="Calibri"/>
          <w:sz w:val="24"/>
          <w:szCs w:val="24"/>
        </w:rPr>
        <w:t xml:space="preserve">out </w:t>
      </w:r>
      <w:r w:rsidR="00C64C66" w:rsidRPr="00472C9F">
        <w:rPr>
          <w:rFonts w:ascii="Calibri" w:hAnsi="Calibri" w:cs="Calibri"/>
          <w:sz w:val="24"/>
          <w:szCs w:val="24"/>
        </w:rPr>
        <w:t xml:space="preserve">of </w:t>
      </w:r>
      <w:r w:rsidR="00906380" w:rsidRPr="00472C9F">
        <w:rPr>
          <w:rFonts w:ascii="Calibri" w:hAnsi="Calibri" w:cs="Calibri"/>
          <w:sz w:val="24"/>
          <w:szCs w:val="24"/>
        </w:rPr>
        <w:t xml:space="preserve">all </w:t>
      </w:r>
      <w:r w:rsidR="00C64C66" w:rsidRPr="00472C9F">
        <w:rPr>
          <w:rFonts w:ascii="Calibri" w:hAnsi="Calibri" w:cs="Calibri"/>
          <w:sz w:val="24"/>
          <w:szCs w:val="24"/>
        </w:rPr>
        <w:t>EU immigrants in the UK</w:t>
      </w:r>
      <w:r w:rsidR="00D9427C" w:rsidRPr="00472C9F">
        <w:rPr>
          <w:rFonts w:ascii="Calibri" w:hAnsi="Calibri" w:cs="Calibri"/>
          <w:sz w:val="24"/>
          <w:szCs w:val="24"/>
        </w:rPr>
        <w:t>,</w:t>
      </w:r>
      <w:r w:rsidR="00C64C66" w:rsidRPr="00472C9F">
        <w:rPr>
          <w:rFonts w:ascii="Calibri" w:hAnsi="Calibri" w:cs="Calibri"/>
          <w:sz w:val="24"/>
          <w:szCs w:val="24"/>
        </w:rPr>
        <w:t xml:space="preserve"> </w:t>
      </w:r>
      <w:r w:rsidR="00550BB7" w:rsidRPr="00472C9F">
        <w:rPr>
          <w:rFonts w:ascii="Calibri" w:hAnsi="Calibri" w:cs="Calibri"/>
          <w:sz w:val="24"/>
          <w:szCs w:val="24"/>
        </w:rPr>
        <w:t>only</w:t>
      </w:r>
      <w:r w:rsidR="00C64C66" w:rsidRPr="00472C9F">
        <w:rPr>
          <w:rFonts w:ascii="Calibri" w:hAnsi="Calibri" w:cs="Calibri"/>
          <w:color w:val="000000"/>
          <w:sz w:val="24"/>
          <w:szCs w:val="24"/>
          <w:shd w:val="clear" w:color="auto" w:fill="FFFFFF"/>
        </w:rPr>
        <w:t xml:space="preserve"> 5% were claiming jobseeker’s allowance, while less than 10% </w:t>
      </w:r>
      <w:r w:rsidR="00F227B5" w:rsidRPr="00472C9F">
        <w:rPr>
          <w:rFonts w:ascii="Calibri" w:hAnsi="Calibri" w:cs="Calibri"/>
          <w:color w:val="000000"/>
          <w:sz w:val="24"/>
          <w:szCs w:val="24"/>
          <w:shd w:val="clear" w:color="auto" w:fill="FFFFFF"/>
        </w:rPr>
        <w:t>we</w:t>
      </w:r>
      <w:r w:rsidR="00C64C66" w:rsidRPr="00472C9F">
        <w:rPr>
          <w:rFonts w:ascii="Calibri" w:hAnsi="Calibri" w:cs="Calibri"/>
          <w:color w:val="000000"/>
          <w:sz w:val="24"/>
          <w:szCs w:val="24"/>
          <w:shd w:val="clear" w:color="auto" w:fill="FFFFFF"/>
        </w:rPr>
        <w:t>re claiming other working age benefits</w:t>
      </w:r>
      <w:r w:rsidR="00F227B5" w:rsidRPr="00472C9F">
        <w:rPr>
          <w:rFonts w:ascii="Calibri" w:hAnsi="Calibri" w:cs="Calibri"/>
          <w:color w:val="000000"/>
          <w:sz w:val="24"/>
          <w:szCs w:val="24"/>
          <w:shd w:val="clear" w:color="auto" w:fill="FFFFFF"/>
        </w:rPr>
        <w:t>,</w:t>
      </w:r>
      <w:r w:rsidR="00C50874" w:rsidRPr="00472C9F">
        <w:rPr>
          <w:rStyle w:val="FootnoteReference"/>
          <w:rFonts w:ascii="Calibri" w:eastAsiaTheme="minorEastAsia" w:hAnsi="Calibri" w:cs="Calibri"/>
          <w:kern w:val="24"/>
          <w:sz w:val="24"/>
          <w:szCs w:val="24"/>
        </w:rPr>
        <w:footnoteReference w:id="89"/>
      </w:r>
      <w:r w:rsidR="0097480B" w:rsidRPr="00472C9F">
        <w:rPr>
          <w:rFonts w:ascii="Calibri" w:hAnsi="Calibri" w:cs="Calibri"/>
          <w:color w:val="000000"/>
          <w:sz w:val="24"/>
          <w:szCs w:val="24"/>
          <w:shd w:val="clear" w:color="auto" w:fill="FFFFFF"/>
        </w:rPr>
        <w:t xml:space="preserve"> </w:t>
      </w:r>
      <w:r w:rsidR="00C904CF" w:rsidRPr="00472C9F">
        <w:rPr>
          <w:rFonts w:ascii="Calibri" w:hAnsi="Calibri" w:cs="Calibri"/>
          <w:color w:val="000000"/>
          <w:sz w:val="24"/>
          <w:szCs w:val="24"/>
          <w:shd w:val="clear" w:color="auto" w:fill="FFFFFF"/>
        </w:rPr>
        <w:t xml:space="preserve">with </w:t>
      </w:r>
      <w:r w:rsidR="0097480B" w:rsidRPr="00472C9F">
        <w:rPr>
          <w:rFonts w:ascii="Calibri" w:hAnsi="Calibri" w:cs="Calibri"/>
          <w:color w:val="000000"/>
          <w:sz w:val="24"/>
          <w:szCs w:val="24"/>
          <w:shd w:val="clear" w:color="auto" w:fill="FFFFFF"/>
        </w:rPr>
        <w:t>a total employment rate of 77.5%</w:t>
      </w:r>
      <w:r w:rsidR="00C50874" w:rsidRPr="00472C9F">
        <w:rPr>
          <w:rFonts w:ascii="Calibri" w:hAnsi="Calibri" w:cs="Calibri"/>
          <w:color w:val="000000"/>
          <w:sz w:val="24"/>
          <w:szCs w:val="24"/>
          <w:shd w:val="clear" w:color="auto" w:fill="FFFFFF"/>
        </w:rPr>
        <w:t>.</w:t>
      </w:r>
      <w:r w:rsidR="00C50874" w:rsidRPr="00472C9F">
        <w:rPr>
          <w:rStyle w:val="FootnoteReference"/>
          <w:rFonts w:ascii="Calibri" w:hAnsi="Calibri" w:cs="Calibri"/>
          <w:color w:val="000000"/>
          <w:sz w:val="24"/>
          <w:szCs w:val="24"/>
          <w:shd w:val="clear" w:color="auto" w:fill="FFFFFF"/>
        </w:rPr>
        <w:footnoteReference w:id="90"/>
      </w:r>
      <w:r w:rsidR="00550BB7" w:rsidRPr="00472C9F">
        <w:rPr>
          <w:rFonts w:ascii="Calibri" w:hAnsi="Calibri" w:cs="Calibri"/>
          <w:sz w:val="24"/>
          <w:szCs w:val="24"/>
        </w:rPr>
        <w:t xml:space="preserve"> </w:t>
      </w:r>
      <w:r w:rsidR="006C6316" w:rsidRPr="00472C9F">
        <w:rPr>
          <w:rFonts w:ascii="Calibri" w:hAnsi="Calibri" w:cs="Calibri"/>
          <w:sz w:val="24"/>
          <w:szCs w:val="24"/>
        </w:rPr>
        <w:t>However</w:t>
      </w:r>
      <w:r w:rsidR="00D9427C" w:rsidRPr="00472C9F">
        <w:rPr>
          <w:rFonts w:ascii="Calibri" w:hAnsi="Calibri" w:cs="Calibri"/>
          <w:sz w:val="24"/>
          <w:szCs w:val="24"/>
        </w:rPr>
        <w:t>,</w:t>
      </w:r>
      <w:r w:rsidR="006C6316" w:rsidRPr="00472C9F">
        <w:rPr>
          <w:rFonts w:ascii="Calibri" w:hAnsi="Calibri" w:cs="Calibri"/>
          <w:sz w:val="24"/>
          <w:szCs w:val="24"/>
        </w:rPr>
        <w:t xml:space="preserve"> such fears </w:t>
      </w:r>
      <w:r w:rsidR="00214F4D" w:rsidRPr="00472C9F">
        <w:rPr>
          <w:rFonts w:ascii="Calibri" w:hAnsi="Calibri" w:cs="Calibri"/>
          <w:sz w:val="24"/>
          <w:szCs w:val="24"/>
        </w:rPr>
        <w:t xml:space="preserve">did </w:t>
      </w:r>
      <w:r w:rsidR="006C6316" w:rsidRPr="00472C9F">
        <w:rPr>
          <w:rFonts w:ascii="Calibri" w:hAnsi="Calibri" w:cs="Calibri"/>
          <w:sz w:val="24"/>
          <w:szCs w:val="24"/>
        </w:rPr>
        <w:t>demonstrate</w:t>
      </w:r>
      <w:r w:rsidR="00214F4D" w:rsidRPr="00472C9F">
        <w:rPr>
          <w:rFonts w:ascii="Calibri" w:hAnsi="Calibri" w:cs="Calibri"/>
          <w:sz w:val="24"/>
          <w:szCs w:val="24"/>
        </w:rPr>
        <w:t xml:space="preserve"> the ‘</w:t>
      </w:r>
      <w:proofErr w:type="spellStart"/>
      <w:r w:rsidR="00214F4D" w:rsidRPr="00472C9F">
        <w:rPr>
          <w:rFonts w:ascii="Calibri" w:hAnsi="Calibri" w:cs="Calibri"/>
          <w:sz w:val="24"/>
          <w:szCs w:val="24"/>
        </w:rPr>
        <w:t>fragil</w:t>
      </w:r>
      <w:proofErr w:type="spellEnd"/>
      <w:r w:rsidR="00214F4D" w:rsidRPr="00472C9F">
        <w:rPr>
          <w:rFonts w:ascii="Calibri" w:hAnsi="Calibri" w:cs="Calibri"/>
          <w:sz w:val="24"/>
          <w:szCs w:val="24"/>
        </w:rPr>
        <w:t>[</w:t>
      </w:r>
      <w:proofErr w:type="spellStart"/>
      <w:r w:rsidR="00214F4D" w:rsidRPr="00472C9F">
        <w:rPr>
          <w:rFonts w:ascii="Calibri" w:hAnsi="Calibri" w:cs="Calibri"/>
          <w:sz w:val="24"/>
          <w:szCs w:val="24"/>
        </w:rPr>
        <w:t>ity</w:t>
      </w:r>
      <w:proofErr w:type="spellEnd"/>
      <w:r w:rsidR="00214F4D" w:rsidRPr="00472C9F">
        <w:rPr>
          <w:rFonts w:ascii="Calibri" w:hAnsi="Calibri" w:cs="Calibri"/>
          <w:sz w:val="24"/>
          <w:szCs w:val="24"/>
        </w:rPr>
        <w:t>]’</w:t>
      </w:r>
      <w:r w:rsidR="006C6316" w:rsidRPr="00472C9F">
        <w:rPr>
          <w:rFonts w:ascii="Calibri" w:hAnsi="Calibri" w:cs="Calibri"/>
          <w:sz w:val="24"/>
          <w:szCs w:val="24"/>
        </w:rPr>
        <w:t xml:space="preserve"> </w:t>
      </w:r>
      <w:r w:rsidR="00214F4D" w:rsidRPr="00472C9F">
        <w:rPr>
          <w:rFonts w:ascii="Calibri" w:hAnsi="Calibri" w:cs="Calibri"/>
          <w:sz w:val="24"/>
          <w:szCs w:val="24"/>
        </w:rPr>
        <w:t xml:space="preserve">of </w:t>
      </w:r>
      <w:r w:rsidR="00FF1667" w:rsidRPr="00472C9F">
        <w:rPr>
          <w:rFonts w:ascii="Calibri" w:hAnsi="Calibri" w:cs="Calibri"/>
          <w:sz w:val="24"/>
          <w:szCs w:val="24"/>
        </w:rPr>
        <w:t xml:space="preserve">a </w:t>
      </w:r>
      <w:r w:rsidR="006C6316" w:rsidRPr="00472C9F">
        <w:rPr>
          <w:rFonts w:ascii="Calibri" w:hAnsi="Calibri" w:cs="Calibri"/>
          <w:sz w:val="24"/>
          <w:szCs w:val="24"/>
        </w:rPr>
        <w:t>commitment to EU citizenship</w:t>
      </w:r>
      <w:r w:rsidR="00214F4D" w:rsidRPr="00472C9F">
        <w:rPr>
          <w:rFonts w:ascii="Calibri" w:hAnsi="Calibri" w:cs="Calibri"/>
          <w:sz w:val="24"/>
          <w:szCs w:val="24"/>
        </w:rPr>
        <w:t>.</w:t>
      </w:r>
      <w:r w:rsidR="006C6316" w:rsidRPr="00472C9F">
        <w:rPr>
          <w:rStyle w:val="FootnoteReference"/>
          <w:rFonts w:ascii="Calibri" w:hAnsi="Calibri" w:cs="Calibri"/>
          <w:sz w:val="24"/>
          <w:szCs w:val="24"/>
        </w:rPr>
        <w:footnoteReference w:id="91"/>
      </w:r>
      <w:r w:rsidR="006C6316" w:rsidRPr="00472C9F">
        <w:rPr>
          <w:rFonts w:ascii="Calibri" w:hAnsi="Calibri" w:cs="Calibri"/>
          <w:b/>
          <w:bCs/>
          <w:sz w:val="24"/>
          <w:szCs w:val="24"/>
        </w:rPr>
        <w:t xml:space="preserve"> </w:t>
      </w:r>
      <w:r w:rsidR="006C6316" w:rsidRPr="00472C9F">
        <w:rPr>
          <w:rFonts w:ascii="Calibri" w:hAnsi="Calibri" w:cs="Calibri"/>
          <w:sz w:val="24"/>
          <w:szCs w:val="24"/>
        </w:rPr>
        <w:t xml:space="preserve">Instead of a supranational conception of citizenship, many EU </w:t>
      </w:r>
      <w:r w:rsidR="00F17967" w:rsidRPr="00472C9F">
        <w:rPr>
          <w:rFonts w:ascii="Calibri" w:hAnsi="Calibri" w:cs="Calibri"/>
          <w:sz w:val="24"/>
          <w:szCs w:val="24"/>
        </w:rPr>
        <w:t>Member State</w:t>
      </w:r>
      <w:r w:rsidR="006C6316" w:rsidRPr="00472C9F">
        <w:rPr>
          <w:rFonts w:ascii="Calibri" w:hAnsi="Calibri" w:cs="Calibri"/>
          <w:sz w:val="24"/>
          <w:szCs w:val="24"/>
        </w:rPr>
        <w:t xml:space="preserve">s </w:t>
      </w:r>
      <w:r w:rsidR="00F17967" w:rsidRPr="00472C9F">
        <w:rPr>
          <w:rFonts w:ascii="Calibri" w:hAnsi="Calibri" w:cs="Calibri"/>
          <w:sz w:val="24"/>
          <w:szCs w:val="24"/>
        </w:rPr>
        <w:t>preferred an intergovernmental system</w:t>
      </w:r>
      <w:r w:rsidR="006C6316" w:rsidRPr="00472C9F">
        <w:rPr>
          <w:rFonts w:ascii="Calibri" w:hAnsi="Calibri" w:cs="Calibri"/>
          <w:sz w:val="24"/>
          <w:szCs w:val="24"/>
        </w:rPr>
        <w:t xml:space="preserve">, with a limited conception of </w:t>
      </w:r>
      <w:r w:rsidR="00263B2B" w:rsidRPr="00472C9F">
        <w:rPr>
          <w:rFonts w:ascii="Calibri" w:hAnsi="Calibri" w:cs="Calibri"/>
          <w:sz w:val="24"/>
          <w:szCs w:val="24"/>
        </w:rPr>
        <w:t xml:space="preserve">EU </w:t>
      </w:r>
      <w:r w:rsidR="006C6316" w:rsidRPr="00472C9F">
        <w:rPr>
          <w:rFonts w:ascii="Calibri" w:hAnsi="Calibri" w:cs="Calibri"/>
          <w:sz w:val="24"/>
          <w:szCs w:val="24"/>
        </w:rPr>
        <w:t xml:space="preserve">citizenship, closely tied to economic status. </w:t>
      </w:r>
    </w:p>
    <w:p w14:paraId="6C282576" w14:textId="77777777" w:rsidR="003E7701" w:rsidRPr="00472C9F" w:rsidRDefault="003E7701" w:rsidP="0059780E">
      <w:pPr>
        <w:spacing w:after="0" w:line="360" w:lineRule="auto"/>
        <w:jc w:val="both"/>
        <w:textAlignment w:val="baseline"/>
        <w:rPr>
          <w:rFonts w:ascii="Calibri" w:hAnsi="Calibri" w:cs="Calibri"/>
          <w:sz w:val="24"/>
          <w:szCs w:val="24"/>
        </w:rPr>
      </w:pPr>
    </w:p>
    <w:p w14:paraId="188D3551" w14:textId="151D9EBD" w:rsidR="003E7701" w:rsidRPr="00472C9F" w:rsidRDefault="00263B2B" w:rsidP="0059780E">
      <w:pPr>
        <w:spacing w:after="0" w:line="360" w:lineRule="auto"/>
        <w:jc w:val="both"/>
        <w:textAlignment w:val="baseline"/>
        <w:rPr>
          <w:rFonts w:ascii="Calibri" w:hAnsi="Calibri" w:cs="Calibri"/>
          <w:sz w:val="24"/>
          <w:szCs w:val="24"/>
        </w:rPr>
      </w:pPr>
      <w:r w:rsidRPr="00472C9F">
        <w:rPr>
          <w:rFonts w:ascii="Calibri" w:hAnsi="Calibri" w:cs="Calibri"/>
          <w:sz w:val="24"/>
          <w:szCs w:val="24"/>
        </w:rPr>
        <w:t>In response</w:t>
      </w:r>
      <w:r w:rsidR="00D9427C" w:rsidRPr="00472C9F">
        <w:rPr>
          <w:rFonts w:ascii="Calibri" w:hAnsi="Calibri" w:cs="Calibri"/>
          <w:sz w:val="24"/>
          <w:szCs w:val="24"/>
        </w:rPr>
        <w:t>,</w:t>
      </w:r>
      <w:r w:rsidRPr="00472C9F">
        <w:rPr>
          <w:rFonts w:ascii="Calibri" w:hAnsi="Calibri" w:cs="Calibri"/>
          <w:sz w:val="24"/>
          <w:szCs w:val="24"/>
        </w:rPr>
        <w:t xml:space="preserve"> t</w:t>
      </w:r>
      <w:r w:rsidR="00F17967" w:rsidRPr="00472C9F">
        <w:rPr>
          <w:rFonts w:ascii="Calibri" w:hAnsi="Calibri" w:cs="Calibri"/>
          <w:sz w:val="24"/>
          <w:szCs w:val="24"/>
        </w:rPr>
        <w:t xml:space="preserve">he </w:t>
      </w:r>
      <w:r w:rsidRPr="00472C9F">
        <w:rPr>
          <w:rFonts w:ascii="Calibri" w:eastAsiaTheme="minorEastAsia" w:hAnsi="Calibri" w:cs="Calibri"/>
          <w:kern w:val="24"/>
          <w:sz w:val="24"/>
          <w:szCs w:val="24"/>
        </w:rPr>
        <w:t xml:space="preserve">CJEU </w:t>
      </w:r>
      <w:r w:rsidR="007E24AA" w:rsidRPr="00472C9F">
        <w:rPr>
          <w:rFonts w:ascii="Calibri" w:eastAsiaTheme="minorEastAsia" w:hAnsi="Calibri" w:cs="Calibri"/>
          <w:kern w:val="24"/>
          <w:sz w:val="24"/>
          <w:szCs w:val="24"/>
        </w:rPr>
        <w:t>began to take a stricter approach to those seeking to rely upon citizenship</w:t>
      </w:r>
      <w:r w:rsidR="00C904CF" w:rsidRPr="00472C9F">
        <w:rPr>
          <w:rFonts w:ascii="Calibri" w:eastAsiaTheme="minorEastAsia" w:hAnsi="Calibri" w:cs="Calibri"/>
          <w:kern w:val="24"/>
          <w:sz w:val="24"/>
          <w:szCs w:val="24"/>
        </w:rPr>
        <w:t xml:space="preserve"> rights whe</w:t>
      </w:r>
      <w:r w:rsidR="00ED7E0E">
        <w:rPr>
          <w:rFonts w:ascii="Calibri" w:eastAsiaTheme="minorEastAsia" w:hAnsi="Calibri" w:cs="Calibri"/>
          <w:kern w:val="24"/>
          <w:sz w:val="24"/>
          <w:szCs w:val="24"/>
        </w:rPr>
        <w:t>n</w:t>
      </w:r>
      <w:r w:rsidR="000D35A1" w:rsidRPr="00472C9F">
        <w:rPr>
          <w:rFonts w:ascii="Calibri" w:eastAsiaTheme="minorEastAsia" w:hAnsi="Calibri" w:cs="Calibri"/>
          <w:kern w:val="24"/>
          <w:sz w:val="24"/>
          <w:szCs w:val="24"/>
        </w:rPr>
        <w:t xml:space="preserve"> </w:t>
      </w:r>
      <w:r w:rsidR="00C904CF" w:rsidRPr="00472C9F">
        <w:rPr>
          <w:rFonts w:ascii="Calibri" w:eastAsiaTheme="minorEastAsia" w:hAnsi="Calibri" w:cs="Calibri"/>
          <w:kern w:val="24"/>
          <w:sz w:val="24"/>
          <w:szCs w:val="24"/>
        </w:rPr>
        <w:t>not economically active</w:t>
      </w:r>
      <w:r w:rsidR="007E24AA" w:rsidRPr="00472C9F">
        <w:rPr>
          <w:rFonts w:ascii="Calibri" w:eastAsiaTheme="minorEastAsia" w:hAnsi="Calibri" w:cs="Calibri"/>
          <w:kern w:val="24"/>
          <w:sz w:val="24"/>
          <w:szCs w:val="24"/>
        </w:rPr>
        <w:t xml:space="preserve">. In </w:t>
      </w:r>
      <w:r w:rsidR="00D20D13" w:rsidRPr="00472C9F">
        <w:rPr>
          <w:rFonts w:ascii="Calibri" w:hAnsi="Calibri" w:cs="Calibri"/>
          <w:i/>
          <w:iCs/>
          <w:sz w:val="24"/>
          <w:szCs w:val="24"/>
        </w:rPr>
        <w:t>Dano</w:t>
      </w:r>
      <w:r w:rsidR="00F227B5" w:rsidRPr="00472C9F">
        <w:rPr>
          <w:rFonts w:ascii="Calibri" w:hAnsi="Calibri" w:cs="Calibri"/>
          <w:i/>
          <w:iCs/>
          <w:sz w:val="24"/>
          <w:szCs w:val="24"/>
        </w:rPr>
        <w:t>,</w:t>
      </w:r>
      <w:r w:rsidR="00D20D13" w:rsidRPr="00472C9F">
        <w:rPr>
          <w:rFonts w:ascii="Calibri" w:hAnsi="Calibri" w:cs="Calibri"/>
          <w:sz w:val="24"/>
          <w:szCs w:val="24"/>
        </w:rPr>
        <w:t> </w:t>
      </w:r>
      <w:r w:rsidR="00160360" w:rsidRPr="00472C9F">
        <w:rPr>
          <w:rFonts w:ascii="Calibri" w:hAnsi="Calibri" w:cs="Calibri"/>
          <w:sz w:val="24"/>
          <w:szCs w:val="24"/>
        </w:rPr>
        <w:t>for instance</w:t>
      </w:r>
      <w:r w:rsidR="00F227B5" w:rsidRPr="00472C9F">
        <w:rPr>
          <w:rFonts w:ascii="Calibri" w:hAnsi="Calibri" w:cs="Calibri"/>
          <w:sz w:val="24"/>
          <w:szCs w:val="24"/>
        </w:rPr>
        <w:t>,</w:t>
      </w:r>
      <w:r w:rsidR="00D20D13" w:rsidRPr="00472C9F">
        <w:rPr>
          <w:rFonts w:ascii="Calibri" w:hAnsi="Calibri" w:cs="Calibri"/>
          <w:sz w:val="24"/>
          <w:szCs w:val="24"/>
        </w:rPr>
        <w:t xml:space="preserve"> </w:t>
      </w:r>
      <w:r w:rsidRPr="00472C9F">
        <w:rPr>
          <w:rFonts w:ascii="Calibri" w:hAnsi="Calibri" w:cs="Calibri"/>
          <w:sz w:val="24"/>
          <w:szCs w:val="24"/>
        </w:rPr>
        <w:t>it was</w:t>
      </w:r>
      <w:r w:rsidR="007E24AA" w:rsidRPr="00472C9F">
        <w:rPr>
          <w:rFonts w:ascii="Calibri" w:hAnsi="Calibri" w:cs="Calibri"/>
          <w:sz w:val="24"/>
          <w:szCs w:val="24"/>
        </w:rPr>
        <w:t xml:space="preserve"> held that in order to claim</w:t>
      </w:r>
      <w:r w:rsidR="00D20D13" w:rsidRPr="00472C9F">
        <w:rPr>
          <w:rFonts w:ascii="Calibri" w:hAnsi="Calibri" w:cs="Calibri"/>
          <w:sz w:val="24"/>
          <w:szCs w:val="24"/>
        </w:rPr>
        <w:t xml:space="preserve"> EU non-discrimination </w:t>
      </w:r>
      <w:r w:rsidR="007E24AA" w:rsidRPr="00472C9F">
        <w:rPr>
          <w:rFonts w:ascii="Calibri" w:hAnsi="Calibri" w:cs="Calibri"/>
          <w:sz w:val="24"/>
          <w:szCs w:val="24"/>
        </w:rPr>
        <w:t>right</w:t>
      </w:r>
      <w:r w:rsidR="001D1164" w:rsidRPr="00472C9F">
        <w:rPr>
          <w:rFonts w:ascii="Calibri" w:hAnsi="Calibri" w:cs="Calibri"/>
          <w:sz w:val="24"/>
          <w:szCs w:val="24"/>
        </w:rPr>
        <w:t>s</w:t>
      </w:r>
      <w:r w:rsidR="006C6316" w:rsidRPr="00472C9F">
        <w:rPr>
          <w:rFonts w:ascii="Calibri" w:hAnsi="Calibri" w:cs="Calibri"/>
          <w:sz w:val="24"/>
          <w:szCs w:val="24"/>
        </w:rPr>
        <w:t>,</w:t>
      </w:r>
      <w:r w:rsidR="00D20D13" w:rsidRPr="00472C9F">
        <w:rPr>
          <w:rFonts w:ascii="Calibri" w:hAnsi="Calibri" w:cs="Calibri"/>
          <w:sz w:val="24"/>
          <w:szCs w:val="24"/>
        </w:rPr>
        <w:t xml:space="preserve"> claimants not only</w:t>
      </w:r>
      <w:r w:rsidR="007E24AA" w:rsidRPr="00472C9F">
        <w:rPr>
          <w:rFonts w:ascii="Calibri" w:hAnsi="Calibri" w:cs="Calibri"/>
          <w:sz w:val="24"/>
          <w:szCs w:val="24"/>
        </w:rPr>
        <w:t xml:space="preserve"> had</w:t>
      </w:r>
      <w:r w:rsidR="00D20D13" w:rsidRPr="00472C9F">
        <w:rPr>
          <w:rFonts w:ascii="Calibri" w:hAnsi="Calibri" w:cs="Calibri"/>
          <w:sz w:val="24"/>
          <w:szCs w:val="24"/>
        </w:rPr>
        <w:t xml:space="preserve"> to be lawfully resident but comply with </w:t>
      </w:r>
      <w:r w:rsidR="005E297B" w:rsidRPr="00472C9F">
        <w:rPr>
          <w:rFonts w:ascii="Calibri" w:hAnsi="Calibri" w:cs="Calibri"/>
          <w:sz w:val="24"/>
          <w:szCs w:val="24"/>
        </w:rPr>
        <w:t>economic self-sufficiency criteria so as</w:t>
      </w:r>
      <w:r w:rsidR="00D20D13" w:rsidRPr="00472C9F">
        <w:rPr>
          <w:rFonts w:ascii="Calibri" w:hAnsi="Calibri" w:cs="Calibri"/>
          <w:sz w:val="24"/>
          <w:szCs w:val="24"/>
        </w:rPr>
        <w:t xml:space="preserve"> not to be a burden on Member States.</w:t>
      </w:r>
      <w:r w:rsidR="006C6316" w:rsidRPr="00472C9F">
        <w:rPr>
          <w:rStyle w:val="FootnoteReference"/>
          <w:rFonts w:ascii="Calibri" w:hAnsi="Calibri" w:cs="Calibri"/>
          <w:sz w:val="24"/>
          <w:szCs w:val="24"/>
        </w:rPr>
        <w:footnoteReference w:id="92"/>
      </w:r>
      <w:r w:rsidR="006C6316" w:rsidRPr="00472C9F">
        <w:rPr>
          <w:rFonts w:ascii="Calibri" w:hAnsi="Calibri" w:cs="Calibri"/>
          <w:sz w:val="24"/>
          <w:szCs w:val="24"/>
        </w:rPr>
        <w:t xml:space="preserve"> The </w:t>
      </w:r>
      <w:r w:rsidR="00EA6E8F" w:rsidRPr="00472C9F">
        <w:rPr>
          <w:rFonts w:ascii="Calibri" w:hAnsi="Calibri" w:cs="Calibri"/>
          <w:sz w:val="24"/>
          <w:szCs w:val="24"/>
        </w:rPr>
        <w:t>CJEU</w:t>
      </w:r>
      <w:r w:rsidR="006C6316" w:rsidRPr="00472C9F">
        <w:rPr>
          <w:rFonts w:ascii="Calibri" w:hAnsi="Calibri" w:cs="Calibri"/>
          <w:sz w:val="24"/>
          <w:szCs w:val="24"/>
        </w:rPr>
        <w:t xml:space="preserve"> made</w:t>
      </w:r>
      <w:r w:rsidR="00D20D13" w:rsidRPr="00472C9F">
        <w:rPr>
          <w:rFonts w:ascii="Calibri" w:hAnsi="Calibri" w:cs="Calibri"/>
          <w:sz w:val="24"/>
          <w:szCs w:val="24"/>
        </w:rPr>
        <w:t xml:space="preserve"> a clear distinction </w:t>
      </w:r>
      <w:r w:rsidR="008D3E19">
        <w:rPr>
          <w:rFonts w:ascii="Calibri" w:hAnsi="Calibri" w:cs="Calibri"/>
          <w:sz w:val="24"/>
          <w:szCs w:val="24"/>
        </w:rPr>
        <w:t>from</w:t>
      </w:r>
      <w:r w:rsidR="00EA6E8F" w:rsidRPr="00472C9F">
        <w:rPr>
          <w:rFonts w:ascii="Calibri" w:hAnsi="Calibri" w:cs="Calibri"/>
          <w:sz w:val="24"/>
          <w:szCs w:val="24"/>
        </w:rPr>
        <w:t xml:space="preserve"> workers who could automatically stay longer than </w:t>
      </w:r>
      <w:r w:rsidR="008D3E19">
        <w:rPr>
          <w:rFonts w:ascii="Calibri" w:hAnsi="Calibri" w:cs="Calibri"/>
          <w:sz w:val="24"/>
          <w:szCs w:val="24"/>
        </w:rPr>
        <w:t>three</w:t>
      </w:r>
      <w:r w:rsidR="00EA6E8F" w:rsidRPr="00472C9F">
        <w:rPr>
          <w:rFonts w:ascii="Calibri" w:hAnsi="Calibri" w:cs="Calibri"/>
          <w:sz w:val="24"/>
          <w:szCs w:val="24"/>
        </w:rPr>
        <w:t xml:space="preserve"> months</w:t>
      </w:r>
      <w:r w:rsidR="00D20D13" w:rsidRPr="00472C9F">
        <w:rPr>
          <w:rFonts w:ascii="Calibri" w:hAnsi="Calibri" w:cs="Calibri"/>
          <w:sz w:val="24"/>
          <w:szCs w:val="24"/>
        </w:rPr>
        <w:t>.</w:t>
      </w:r>
      <w:r w:rsidR="006C6316" w:rsidRPr="00472C9F">
        <w:rPr>
          <w:rStyle w:val="FootnoteReference"/>
          <w:rFonts w:ascii="Calibri" w:hAnsi="Calibri" w:cs="Calibri"/>
          <w:sz w:val="24"/>
          <w:szCs w:val="24"/>
        </w:rPr>
        <w:footnoteReference w:id="93"/>
      </w:r>
      <w:r w:rsidR="00D20D13" w:rsidRPr="00472C9F">
        <w:rPr>
          <w:rFonts w:ascii="Calibri" w:hAnsi="Calibri" w:cs="Calibri"/>
          <w:sz w:val="24"/>
          <w:szCs w:val="24"/>
        </w:rPr>
        <w:t xml:space="preserve"> The</w:t>
      </w:r>
      <w:r w:rsidR="006C6316" w:rsidRPr="00472C9F">
        <w:rPr>
          <w:rFonts w:ascii="Calibri" w:hAnsi="Calibri" w:cs="Calibri"/>
          <w:sz w:val="24"/>
          <w:szCs w:val="24"/>
        </w:rPr>
        <w:t xml:space="preserve"> </w:t>
      </w:r>
      <w:r w:rsidR="001D5671">
        <w:rPr>
          <w:rFonts w:ascii="Calibri" w:hAnsi="Calibri" w:cs="Calibri"/>
          <w:sz w:val="24"/>
          <w:szCs w:val="24"/>
        </w:rPr>
        <w:t>court</w:t>
      </w:r>
      <w:r w:rsidR="006C6316" w:rsidRPr="00472C9F">
        <w:rPr>
          <w:rFonts w:ascii="Calibri" w:hAnsi="Calibri" w:cs="Calibri"/>
          <w:sz w:val="24"/>
          <w:szCs w:val="24"/>
        </w:rPr>
        <w:t xml:space="preserve"> distanced itself from previous case law which had stressed </w:t>
      </w:r>
      <w:r w:rsidR="005574B3" w:rsidRPr="00472C9F">
        <w:rPr>
          <w:rFonts w:ascii="Calibri" w:hAnsi="Calibri" w:cs="Calibri"/>
          <w:sz w:val="24"/>
          <w:szCs w:val="24"/>
        </w:rPr>
        <w:t xml:space="preserve">that </w:t>
      </w:r>
      <w:r w:rsidR="000A22C8" w:rsidRPr="00472C9F">
        <w:rPr>
          <w:rFonts w:ascii="Calibri" w:hAnsi="Calibri" w:cs="Calibri"/>
          <w:sz w:val="24"/>
          <w:szCs w:val="24"/>
        </w:rPr>
        <w:t>Member S</w:t>
      </w:r>
      <w:r w:rsidR="005574B3" w:rsidRPr="00472C9F">
        <w:rPr>
          <w:rFonts w:ascii="Calibri" w:hAnsi="Calibri" w:cs="Calibri"/>
          <w:sz w:val="24"/>
          <w:szCs w:val="24"/>
        </w:rPr>
        <w:t>tates had to carry out a proportionality balancing test before expelling claimants on the basis of being a burden on resources.</w:t>
      </w:r>
      <w:r w:rsidR="006C6316" w:rsidRPr="00472C9F">
        <w:rPr>
          <w:rFonts w:ascii="Calibri" w:hAnsi="Calibri" w:cs="Calibri"/>
          <w:sz w:val="24"/>
          <w:szCs w:val="24"/>
        </w:rPr>
        <w:t xml:space="preserve"> </w:t>
      </w:r>
      <w:r w:rsidR="002A45B0" w:rsidRPr="00472C9F">
        <w:rPr>
          <w:rFonts w:ascii="Calibri" w:hAnsi="Calibri" w:cs="Calibri"/>
          <w:sz w:val="24"/>
          <w:szCs w:val="24"/>
        </w:rPr>
        <w:t xml:space="preserve">Commentators have therefore concluded that </w:t>
      </w:r>
      <w:r w:rsidR="007E24AA" w:rsidRPr="00472C9F">
        <w:rPr>
          <w:rFonts w:ascii="Calibri" w:hAnsi="Calibri" w:cs="Calibri"/>
          <w:sz w:val="24"/>
          <w:szCs w:val="24"/>
        </w:rPr>
        <w:lastRenderedPageBreak/>
        <w:t>EU citizenship represents a ‘highly differentiated opportunity’</w:t>
      </w:r>
      <w:r w:rsidR="001D5671">
        <w:rPr>
          <w:rFonts w:ascii="Calibri" w:hAnsi="Calibri" w:cs="Calibri"/>
          <w:sz w:val="24"/>
          <w:szCs w:val="24"/>
        </w:rPr>
        <w:t>,</w:t>
      </w:r>
      <w:r w:rsidR="007E24AA" w:rsidRPr="00472C9F">
        <w:rPr>
          <w:rStyle w:val="FootnoteReference"/>
          <w:rFonts w:ascii="Calibri" w:hAnsi="Calibri" w:cs="Calibri"/>
          <w:sz w:val="24"/>
          <w:szCs w:val="24"/>
        </w:rPr>
        <w:footnoteReference w:id="94"/>
      </w:r>
      <w:r w:rsidR="007E24AA" w:rsidRPr="00472C9F">
        <w:rPr>
          <w:rFonts w:ascii="Calibri" w:hAnsi="Calibri" w:cs="Calibri"/>
          <w:sz w:val="24"/>
          <w:szCs w:val="24"/>
        </w:rPr>
        <w:t xml:space="preserve"> excluding ‘implicitly many who are not economically active</w:t>
      </w:r>
      <w:r w:rsidR="00C16D14" w:rsidRPr="00472C9F">
        <w:rPr>
          <w:rFonts w:ascii="Calibri" w:hAnsi="Calibri" w:cs="Calibri"/>
          <w:sz w:val="24"/>
          <w:szCs w:val="24"/>
        </w:rPr>
        <w:t>’.</w:t>
      </w:r>
      <w:r w:rsidR="005574B3" w:rsidRPr="00472C9F">
        <w:rPr>
          <w:rStyle w:val="FootnoteReference"/>
          <w:rFonts w:ascii="Calibri" w:hAnsi="Calibri" w:cs="Calibri"/>
          <w:sz w:val="24"/>
          <w:szCs w:val="24"/>
        </w:rPr>
        <w:footnoteReference w:id="95"/>
      </w:r>
      <w:r w:rsidR="005574B3" w:rsidRPr="00472C9F">
        <w:rPr>
          <w:rFonts w:ascii="Calibri" w:hAnsi="Calibri" w:cs="Calibri"/>
          <w:sz w:val="24"/>
          <w:szCs w:val="24"/>
        </w:rPr>
        <w:t xml:space="preserve"> This line of case law</w:t>
      </w:r>
      <w:r w:rsidR="0072421F" w:rsidRPr="00472C9F">
        <w:rPr>
          <w:rFonts w:ascii="Calibri" w:hAnsi="Calibri" w:cs="Calibri"/>
          <w:sz w:val="24"/>
          <w:szCs w:val="24"/>
        </w:rPr>
        <w:t>, proceeding</w:t>
      </w:r>
      <w:r w:rsidR="005574B3" w:rsidRPr="00472C9F">
        <w:rPr>
          <w:rFonts w:ascii="Calibri" w:hAnsi="Calibri" w:cs="Calibri"/>
          <w:sz w:val="24"/>
          <w:szCs w:val="24"/>
        </w:rPr>
        <w:t xml:space="preserve"> on the basis of ‘formal equality’ before the law – and the idea that individuals should all be treated ‘alike’ </w:t>
      </w:r>
      <w:r w:rsidR="00F227B5" w:rsidRPr="00472C9F">
        <w:rPr>
          <w:rFonts w:ascii="Calibri" w:hAnsi="Calibri" w:cs="Calibri"/>
          <w:sz w:val="24"/>
          <w:szCs w:val="24"/>
        </w:rPr>
        <w:t xml:space="preserve">– is </w:t>
      </w:r>
      <w:r w:rsidR="005574B3" w:rsidRPr="00472C9F">
        <w:rPr>
          <w:rFonts w:ascii="Calibri" w:hAnsi="Calibri" w:cs="Calibri"/>
          <w:sz w:val="24"/>
          <w:szCs w:val="24"/>
        </w:rPr>
        <w:t>a clear demonstration of liberal equality.</w:t>
      </w:r>
      <w:r w:rsidR="005574B3" w:rsidRPr="00472C9F">
        <w:rPr>
          <w:rStyle w:val="FootnoteReference"/>
          <w:rFonts w:ascii="Calibri" w:hAnsi="Calibri" w:cs="Calibri"/>
          <w:sz w:val="24"/>
          <w:szCs w:val="24"/>
        </w:rPr>
        <w:footnoteReference w:id="96"/>
      </w:r>
      <w:r w:rsidR="005574B3" w:rsidRPr="00472C9F">
        <w:rPr>
          <w:rFonts w:ascii="Calibri" w:hAnsi="Calibri" w:cs="Calibri"/>
          <w:sz w:val="24"/>
          <w:szCs w:val="24"/>
        </w:rPr>
        <w:t xml:space="preserve"> As such, the</w:t>
      </w:r>
      <w:r w:rsidR="007B67B9" w:rsidRPr="00472C9F">
        <w:rPr>
          <w:rFonts w:ascii="Calibri" w:hAnsi="Calibri" w:cs="Calibri"/>
          <w:sz w:val="24"/>
          <w:szCs w:val="24"/>
        </w:rPr>
        <w:t xml:space="preserve"> CJEU drew back from stressing non-discrimination criteria, as seen </w:t>
      </w:r>
      <w:r w:rsidR="00302422" w:rsidRPr="00472C9F">
        <w:rPr>
          <w:rFonts w:ascii="Calibri" w:hAnsi="Calibri" w:cs="Calibri"/>
          <w:sz w:val="24"/>
          <w:szCs w:val="24"/>
        </w:rPr>
        <w:t xml:space="preserve">in </w:t>
      </w:r>
      <w:r w:rsidR="00302422" w:rsidRPr="00472C9F">
        <w:rPr>
          <w:rFonts w:ascii="Calibri" w:hAnsi="Calibri" w:cs="Calibri"/>
          <w:i/>
          <w:iCs/>
          <w:sz w:val="24"/>
          <w:szCs w:val="24"/>
        </w:rPr>
        <w:t>Martinez-Sala</w:t>
      </w:r>
      <w:r w:rsidR="00302422" w:rsidRPr="00472C9F">
        <w:rPr>
          <w:rFonts w:ascii="Calibri" w:hAnsi="Calibri" w:cs="Calibri"/>
          <w:sz w:val="24"/>
          <w:szCs w:val="24"/>
        </w:rPr>
        <w:t>,</w:t>
      </w:r>
      <w:r w:rsidR="00302422" w:rsidRPr="00472C9F">
        <w:rPr>
          <w:rStyle w:val="FootnoteReference"/>
          <w:rFonts w:ascii="Calibri" w:hAnsi="Calibri" w:cs="Calibri"/>
          <w:sz w:val="24"/>
          <w:szCs w:val="24"/>
        </w:rPr>
        <w:footnoteReference w:id="97"/>
      </w:r>
      <w:r w:rsidR="00302422" w:rsidRPr="00472C9F">
        <w:rPr>
          <w:rFonts w:ascii="Calibri" w:hAnsi="Calibri" w:cs="Calibri"/>
          <w:sz w:val="24"/>
          <w:szCs w:val="24"/>
        </w:rPr>
        <w:t xml:space="preserve"> instead stressing </w:t>
      </w:r>
      <w:r w:rsidR="005B7778" w:rsidRPr="00472C9F">
        <w:rPr>
          <w:rFonts w:ascii="Calibri" w:hAnsi="Calibri" w:cs="Calibri"/>
          <w:sz w:val="24"/>
          <w:szCs w:val="24"/>
        </w:rPr>
        <w:t xml:space="preserve">economic criteria. </w:t>
      </w:r>
      <w:r w:rsidR="004A6875" w:rsidRPr="00472C9F">
        <w:rPr>
          <w:rFonts w:ascii="Calibri" w:hAnsi="Calibri" w:cs="Calibri"/>
          <w:sz w:val="24"/>
          <w:szCs w:val="24"/>
        </w:rPr>
        <w:t>It can be argued that t</w:t>
      </w:r>
      <w:r w:rsidR="002E0B7B" w:rsidRPr="00472C9F">
        <w:rPr>
          <w:rFonts w:ascii="Calibri" w:hAnsi="Calibri" w:cs="Calibri"/>
          <w:sz w:val="24"/>
          <w:szCs w:val="24"/>
        </w:rPr>
        <w:t xml:space="preserve">his disadvantages women who are more likely to be care-givers and therefore </w:t>
      </w:r>
      <w:r w:rsidR="00087B77" w:rsidRPr="00472C9F">
        <w:rPr>
          <w:rFonts w:ascii="Calibri" w:hAnsi="Calibri" w:cs="Calibri"/>
          <w:sz w:val="24"/>
          <w:szCs w:val="24"/>
        </w:rPr>
        <w:t xml:space="preserve">more </w:t>
      </w:r>
      <w:r w:rsidR="002E0B7B" w:rsidRPr="00472C9F">
        <w:rPr>
          <w:rFonts w:ascii="Calibri" w:hAnsi="Calibri" w:cs="Calibri"/>
          <w:sz w:val="24"/>
          <w:szCs w:val="24"/>
        </w:rPr>
        <w:t xml:space="preserve">likely to be </w:t>
      </w:r>
      <w:r w:rsidR="00087B77" w:rsidRPr="00472C9F">
        <w:rPr>
          <w:rFonts w:ascii="Calibri" w:hAnsi="Calibri" w:cs="Calibri"/>
          <w:sz w:val="24"/>
          <w:szCs w:val="24"/>
        </w:rPr>
        <w:t xml:space="preserve">less </w:t>
      </w:r>
      <w:r w:rsidR="002E0B7B" w:rsidRPr="00472C9F">
        <w:rPr>
          <w:rFonts w:ascii="Calibri" w:hAnsi="Calibri" w:cs="Calibri"/>
          <w:sz w:val="24"/>
          <w:szCs w:val="24"/>
        </w:rPr>
        <w:t>economically active</w:t>
      </w:r>
      <w:r w:rsidR="00087B77" w:rsidRPr="00472C9F">
        <w:rPr>
          <w:rFonts w:ascii="Calibri" w:hAnsi="Calibri" w:cs="Calibri"/>
          <w:sz w:val="24"/>
          <w:szCs w:val="24"/>
        </w:rPr>
        <w:t xml:space="preserve"> and to work part</w:t>
      </w:r>
      <w:r w:rsidR="00D9427C" w:rsidRPr="00472C9F">
        <w:rPr>
          <w:rFonts w:ascii="Calibri" w:hAnsi="Calibri" w:cs="Calibri"/>
          <w:sz w:val="24"/>
          <w:szCs w:val="24"/>
        </w:rPr>
        <w:t>-</w:t>
      </w:r>
      <w:r w:rsidR="00087B77" w:rsidRPr="00472C9F">
        <w:rPr>
          <w:rFonts w:ascii="Calibri" w:hAnsi="Calibri" w:cs="Calibri"/>
          <w:sz w:val="24"/>
          <w:szCs w:val="24"/>
        </w:rPr>
        <w:t>time.</w:t>
      </w:r>
      <w:r w:rsidR="004A6875" w:rsidRPr="00472C9F">
        <w:rPr>
          <w:rStyle w:val="FootnoteReference"/>
          <w:rFonts w:ascii="Calibri" w:hAnsi="Calibri" w:cs="Calibri"/>
          <w:sz w:val="24"/>
          <w:szCs w:val="24"/>
        </w:rPr>
        <w:footnoteReference w:id="98"/>
      </w:r>
      <w:r w:rsidR="004A6875" w:rsidRPr="00472C9F">
        <w:rPr>
          <w:rFonts w:ascii="Calibri" w:hAnsi="Calibri" w:cs="Calibri"/>
          <w:sz w:val="24"/>
          <w:szCs w:val="24"/>
        </w:rPr>
        <w:t xml:space="preserve"> </w:t>
      </w:r>
      <w:r w:rsidR="00087B77" w:rsidRPr="00472C9F">
        <w:rPr>
          <w:rFonts w:ascii="Calibri" w:hAnsi="Calibri" w:cs="Calibri"/>
          <w:sz w:val="24"/>
          <w:szCs w:val="24"/>
        </w:rPr>
        <w:t xml:space="preserve">This </w:t>
      </w:r>
      <w:r w:rsidR="00F227B5" w:rsidRPr="00472C9F">
        <w:rPr>
          <w:rFonts w:ascii="Calibri" w:hAnsi="Calibri" w:cs="Calibri"/>
          <w:sz w:val="24"/>
          <w:szCs w:val="24"/>
        </w:rPr>
        <w:t xml:space="preserve">exemplifies </w:t>
      </w:r>
      <w:r w:rsidR="004A6875" w:rsidRPr="00472C9F">
        <w:rPr>
          <w:rFonts w:ascii="Calibri" w:hAnsi="Calibri" w:cs="Calibri"/>
          <w:sz w:val="24"/>
          <w:szCs w:val="24"/>
        </w:rPr>
        <w:t xml:space="preserve">feminist criticisms of law </w:t>
      </w:r>
      <w:r w:rsidR="00906380" w:rsidRPr="00472C9F">
        <w:rPr>
          <w:rFonts w:ascii="Calibri" w:hAnsi="Calibri" w:cs="Calibri"/>
          <w:sz w:val="24"/>
          <w:szCs w:val="24"/>
        </w:rPr>
        <w:t xml:space="preserve">according to which </w:t>
      </w:r>
      <w:r w:rsidR="004A6875" w:rsidRPr="00472C9F">
        <w:rPr>
          <w:rFonts w:ascii="Calibri" w:hAnsi="Calibri" w:cs="Calibri"/>
          <w:sz w:val="24"/>
          <w:szCs w:val="24"/>
        </w:rPr>
        <w:t>‘[n]o one represented women’s interest as women in creating [the law], and few have considered women’s interests in applying it</w:t>
      </w:r>
      <w:r w:rsidR="0019148F" w:rsidRPr="00472C9F">
        <w:rPr>
          <w:rFonts w:ascii="Calibri" w:hAnsi="Calibri" w:cs="Calibri"/>
          <w:sz w:val="24"/>
          <w:szCs w:val="24"/>
        </w:rPr>
        <w:t>’.</w:t>
      </w:r>
      <w:r w:rsidR="004A6875" w:rsidRPr="00472C9F">
        <w:rPr>
          <w:rStyle w:val="FootnoteReference"/>
          <w:rFonts w:ascii="Calibri" w:hAnsi="Calibri" w:cs="Calibri"/>
          <w:sz w:val="24"/>
          <w:szCs w:val="24"/>
        </w:rPr>
        <w:footnoteReference w:id="99"/>
      </w:r>
      <w:r w:rsidR="004A6875" w:rsidRPr="00472C9F">
        <w:rPr>
          <w:rFonts w:ascii="Calibri" w:hAnsi="Calibri" w:cs="Calibri"/>
          <w:sz w:val="24"/>
          <w:szCs w:val="24"/>
        </w:rPr>
        <w:t xml:space="preserve"> In addition</w:t>
      </w:r>
      <w:r w:rsidR="00D9427C" w:rsidRPr="00472C9F">
        <w:rPr>
          <w:rFonts w:ascii="Calibri" w:hAnsi="Calibri" w:cs="Calibri"/>
          <w:sz w:val="24"/>
          <w:szCs w:val="24"/>
        </w:rPr>
        <w:t>,</w:t>
      </w:r>
      <w:r w:rsidR="004A6875" w:rsidRPr="00472C9F">
        <w:rPr>
          <w:rFonts w:ascii="Calibri" w:hAnsi="Calibri" w:cs="Calibri"/>
          <w:sz w:val="24"/>
          <w:szCs w:val="24"/>
        </w:rPr>
        <w:t xml:space="preserve"> given the level of discrimination </w:t>
      </w:r>
      <w:r w:rsidR="004E6643" w:rsidRPr="00472C9F">
        <w:rPr>
          <w:rFonts w:ascii="Calibri" w:hAnsi="Calibri" w:cs="Calibri"/>
          <w:sz w:val="24"/>
          <w:szCs w:val="24"/>
        </w:rPr>
        <w:t xml:space="preserve">which lesbians and gays report in their general life, when looking for work and at work, as </w:t>
      </w:r>
      <w:r w:rsidR="00583484" w:rsidRPr="00472C9F">
        <w:rPr>
          <w:rFonts w:ascii="Calibri" w:hAnsi="Calibri" w:cs="Calibri"/>
          <w:sz w:val="24"/>
          <w:szCs w:val="24"/>
        </w:rPr>
        <w:t xml:space="preserve">recorded by the </w:t>
      </w:r>
      <w:r w:rsidR="00182CBE" w:rsidRPr="00472C9F">
        <w:rPr>
          <w:rFonts w:ascii="Calibri" w:eastAsia="Times New Roman" w:hAnsi="Calibri" w:cs="Calibri"/>
          <w:sz w:val="24"/>
          <w:szCs w:val="24"/>
          <w:lang w:eastAsia="en-GB"/>
        </w:rPr>
        <w:t xml:space="preserve">European Fundamental Rights Agency </w:t>
      </w:r>
      <w:r w:rsidR="00583484" w:rsidRPr="00472C9F">
        <w:rPr>
          <w:rFonts w:ascii="Calibri" w:eastAsia="Times New Roman" w:hAnsi="Calibri" w:cs="Calibri"/>
          <w:sz w:val="24"/>
          <w:szCs w:val="24"/>
          <w:lang w:eastAsia="en-GB"/>
        </w:rPr>
        <w:t>in 2023</w:t>
      </w:r>
      <w:r w:rsidR="004E6643" w:rsidRPr="00472C9F">
        <w:rPr>
          <w:rFonts w:ascii="Calibri" w:eastAsia="Times New Roman" w:hAnsi="Calibri" w:cs="Calibri"/>
          <w:sz w:val="24"/>
          <w:szCs w:val="24"/>
          <w:lang w:eastAsia="en-GB"/>
        </w:rPr>
        <w:t>,</w:t>
      </w:r>
      <w:r w:rsidR="004E6643" w:rsidRPr="00472C9F">
        <w:rPr>
          <w:rStyle w:val="FootnoteReference"/>
          <w:rFonts w:ascii="Calibri" w:hAnsi="Calibri" w:cs="Calibri"/>
          <w:sz w:val="24"/>
          <w:szCs w:val="24"/>
        </w:rPr>
        <w:footnoteReference w:id="100"/>
      </w:r>
      <w:r w:rsidR="00583484" w:rsidRPr="00472C9F">
        <w:rPr>
          <w:rFonts w:ascii="Calibri" w:eastAsia="Times New Roman" w:hAnsi="Calibri" w:cs="Calibri"/>
          <w:b/>
          <w:bCs/>
          <w:sz w:val="24"/>
          <w:szCs w:val="24"/>
          <w:lang w:eastAsia="en-GB"/>
        </w:rPr>
        <w:t xml:space="preserve"> </w:t>
      </w:r>
      <w:r w:rsidR="004A6875" w:rsidRPr="00472C9F">
        <w:rPr>
          <w:rFonts w:ascii="Calibri" w:hAnsi="Calibri" w:cs="Calibri"/>
          <w:sz w:val="24"/>
          <w:szCs w:val="24"/>
        </w:rPr>
        <w:t xml:space="preserve">it also ignores the difficulties that lesbians and gays may face in finding </w:t>
      </w:r>
      <w:r w:rsidR="005B304D" w:rsidRPr="00472C9F">
        <w:rPr>
          <w:rFonts w:ascii="Calibri" w:hAnsi="Calibri" w:cs="Calibri"/>
          <w:sz w:val="24"/>
          <w:szCs w:val="24"/>
        </w:rPr>
        <w:t xml:space="preserve">and then when performing </w:t>
      </w:r>
      <w:r w:rsidR="004A6875" w:rsidRPr="00472C9F">
        <w:rPr>
          <w:rFonts w:ascii="Calibri" w:hAnsi="Calibri" w:cs="Calibri"/>
          <w:sz w:val="24"/>
          <w:szCs w:val="24"/>
        </w:rPr>
        <w:t>paid employment across differ</w:t>
      </w:r>
      <w:r w:rsidR="00AB0C4D">
        <w:rPr>
          <w:rFonts w:ascii="Calibri" w:hAnsi="Calibri" w:cs="Calibri"/>
          <w:sz w:val="24"/>
          <w:szCs w:val="24"/>
        </w:rPr>
        <w:t>ent</w:t>
      </w:r>
      <w:r w:rsidR="004A6875" w:rsidRPr="00472C9F">
        <w:rPr>
          <w:rFonts w:ascii="Calibri" w:hAnsi="Calibri" w:cs="Calibri"/>
          <w:sz w:val="24"/>
          <w:szCs w:val="24"/>
        </w:rPr>
        <w:t xml:space="preserve"> EU </w:t>
      </w:r>
      <w:r w:rsidR="000A22C8" w:rsidRPr="00472C9F">
        <w:rPr>
          <w:rFonts w:ascii="Calibri" w:hAnsi="Calibri" w:cs="Calibri"/>
          <w:sz w:val="24"/>
          <w:szCs w:val="24"/>
        </w:rPr>
        <w:t>M</w:t>
      </w:r>
      <w:r w:rsidR="004A6875" w:rsidRPr="00472C9F">
        <w:rPr>
          <w:rFonts w:ascii="Calibri" w:hAnsi="Calibri" w:cs="Calibri"/>
          <w:sz w:val="24"/>
          <w:szCs w:val="24"/>
        </w:rPr>
        <w:t xml:space="preserve">ember </w:t>
      </w:r>
      <w:r w:rsidR="000A22C8" w:rsidRPr="00472C9F">
        <w:rPr>
          <w:rFonts w:ascii="Calibri" w:hAnsi="Calibri" w:cs="Calibri"/>
          <w:sz w:val="24"/>
          <w:szCs w:val="24"/>
        </w:rPr>
        <w:t>S</w:t>
      </w:r>
      <w:r w:rsidR="004A6875" w:rsidRPr="00472C9F">
        <w:rPr>
          <w:rFonts w:ascii="Calibri" w:hAnsi="Calibri" w:cs="Calibri"/>
          <w:sz w:val="24"/>
          <w:szCs w:val="24"/>
        </w:rPr>
        <w:t xml:space="preserve">tates. Pinning free movement </w:t>
      </w:r>
      <w:r w:rsidR="00F276D3" w:rsidRPr="00472C9F">
        <w:rPr>
          <w:rFonts w:ascii="Calibri" w:hAnsi="Calibri" w:cs="Calibri"/>
          <w:sz w:val="24"/>
          <w:szCs w:val="24"/>
        </w:rPr>
        <w:t xml:space="preserve">(one of the most crucial aspects of EU citizenship) </w:t>
      </w:r>
      <w:r w:rsidR="004A6875" w:rsidRPr="00472C9F">
        <w:rPr>
          <w:rFonts w:ascii="Calibri" w:hAnsi="Calibri" w:cs="Calibri"/>
          <w:sz w:val="24"/>
          <w:szCs w:val="24"/>
        </w:rPr>
        <w:t xml:space="preserve">to economic activity </w:t>
      </w:r>
      <w:r w:rsidR="00BE2245" w:rsidRPr="00472C9F">
        <w:rPr>
          <w:rFonts w:ascii="Calibri" w:hAnsi="Calibri" w:cs="Calibri"/>
          <w:sz w:val="24"/>
          <w:szCs w:val="24"/>
        </w:rPr>
        <w:t xml:space="preserve">serves to illustrate the continuing </w:t>
      </w:r>
      <w:r w:rsidR="00F276D3" w:rsidRPr="00472C9F">
        <w:rPr>
          <w:rFonts w:ascii="Calibri" w:hAnsi="Calibri" w:cs="Calibri"/>
          <w:sz w:val="24"/>
          <w:szCs w:val="24"/>
        </w:rPr>
        <w:t>difficulties</w:t>
      </w:r>
      <w:r w:rsidR="00BE2245" w:rsidRPr="00472C9F">
        <w:rPr>
          <w:rFonts w:ascii="Calibri" w:hAnsi="Calibri" w:cs="Calibri"/>
          <w:sz w:val="24"/>
          <w:szCs w:val="24"/>
        </w:rPr>
        <w:t xml:space="preserve"> of EU la</w:t>
      </w:r>
      <w:r w:rsidR="004A6875" w:rsidRPr="00472C9F">
        <w:rPr>
          <w:rFonts w:ascii="Calibri" w:hAnsi="Calibri" w:cs="Calibri"/>
          <w:sz w:val="24"/>
          <w:szCs w:val="24"/>
        </w:rPr>
        <w:t xml:space="preserve">w in </w:t>
      </w:r>
      <w:r w:rsidR="00F276D3" w:rsidRPr="00472C9F">
        <w:rPr>
          <w:rFonts w:ascii="Calibri" w:hAnsi="Calibri" w:cs="Calibri"/>
          <w:sz w:val="24"/>
          <w:szCs w:val="24"/>
        </w:rPr>
        <w:t>not considering substantive barriers to certain groups</w:t>
      </w:r>
      <w:r w:rsidR="00BA1695" w:rsidRPr="00472C9F">
        <w:rPr>
          <w:rFonts w:ascii="Calibri" w:hAnsi="Calibri" w:cs="Calibri"/>
          <w:sz w:val="24"/>
          <w:szCs w:val="24"/>
        </w:rPr>
        <w:t xml:space="preserve"> in</w:t>
      </w:r>
      <w:r w:rsidR="00F276D3" w:rsidRPr="00472C9F">
        <w:rPr>
          <w:rFonts w:ascii="Calibri" w:hAnsi="Calibri" w:cs="Calibri"/>
          <w:sz w:val="24"/>
          <w:szCs w:val="24"/>
        </w:rPr>
        <w:t xml:space="preserve"> trying to access EU rights.</w:t>
      </w:r>
      <w:r w:rsidR="003425AE" w:rsidRPr="00472C9F">
        <w:rPr>
          <w:rFonts w:ascii="Calibri" w:hAnsi="Calibri" w:cs="Calibri"/>
          <w:sz w:val="24"/>
          <w:szCs w:val="24"/>
        </w:rPr>
        <w:t xml:space="preserve"> </w:t>
      </w:r>
      <w:r w:rsidR="00882825" w:rsidRPr="00472C9F">
        <w:rPr>
          <w:rFonts w:ascii="Calibri" w:hAnsi="Calibri" w:cs="Calibri"/>
          <w:sz w:val="24"/>
          <w:szCs w:val="24"/>
        </w:rPr>
        <w:t xml:space="preserve">In this context soft law provisions offer </w:t>
      </w:r>
      <w:r w:rsidR="00DE790C" w:rsidRPr="00472C9F">
        <w:rPr>
          <w:rFonts w:ascii="Calibri" w:hAnsi="Calibri" w:cs="Calibri"/>
          <w:sz w:val="24"/>
          <w:szCs w:val="24"/>
        </w:rPr>
        <w:t xml:space="preserve">potential to deal with this issue </w:t>
      </w:r>
      <w:r w:rsidR="001F034F" w:rsidRPr="00472C9F">
        <w:rPr>
          <w:rFonts w:ascii="Calibri" w:hAnsi="Calibri" w:cs="Calibri"/>
          <w:sz w:val="24"/>
          <w:szCs w:val="24"/>
        </w:rPr>
        <w:t xml:space="preserve">with further analysis on this point in section </w:t>
      </w:r>
      <w:r w:rsidR="001406F9">
        <w:rPr>
          <w:rFonts w:ascii="Calibri" w:hAnsi="Calibri" w:cs="Calibri"/>
          <w:sz w:val="24"/>
          <w:szCs w:val="24"/>
        </w:rPr>
        <w:t>6</w:t>
      </w:r>
      <w:r w:rsidR="001F034F" w:rsidRPr="00472C9F">
        <w:rPr>
          <w:rFonts w:ascii="Calibri" w:hAnsi="Calibri" w:cs="Calibri"/>
          <w:sz w:val="24"/>
          <w:szCs w:val="24"/>
        </w:rPr>
        <w:t xml:space="preserve">. </w:t>
      </w:r>
    </w:p>
    <w:p w14:paraId="29942658" w14:textId="77777777" w:rsidR="003E7701" w:rsidRDefault="003E7701" w:rsidP="0059780E">
      <w:pPr>
        <w:spacing w:after="0" w:line="360" w:lineRule="auto"/>
        <w:jc w:val="both"/>
        <w:textAlignment w:val="baseline"/>
        <w:rPr>
          <w:rFonts w:ascii="Calibri" w:hAnsi="Calibri" w:cs="Calibri"/>
          <w:sz w:val="24"/>
          <w:szCs w:val="24"/>
        </w:rPr>
      </w:pPr>
    </w:p>
    <w:p w14:paraId="464B6918" w14:textId="77777777" w:rsidR="007A389A" w:rsidRDefault="007A389A" w:rsidP="00B8637A">
      <w:pPr>
        <w:pStyle w:val="Heading2"/>
      </w:pPr>
    </w:p>
    <w:p w14:paraId="2FA94E23" w14:textId="2788CDC9" w:rsidR="003E7701" w:rsidRPr="00472C9F" w:rsidRDefault="000A1FF3" w:rsidP="00B8637A">
      <w:pPr>
        <w:pStyle w:val="Heading2"/>
      </w:pPr>
      <w:r>
        <w:lastRenderedPageBreak/>
        <w:t>4.</w:t>
      </w:r>
      <w:r w:rsidR="002C62A9">
        <w:t xml:space="preserve"> </w:t>
      </w:r>
      <w:r w:rsidR="003E7701" w:rsidRPr="00472C9F">
        <w:t xml:space="preserve">EU Free Movement Rights and Family Status </w:t>
      </w:r>
    </w:p>
    <w:p w14:paraId="21930817" w14:textId="1F683AF8" w:rsidR="008A75B4" w:rsidRDefault="00893638" w:rsidP="0059780E">
      <w:pPr>
        <w:spacing w:after="0" w:line="360" w:lineRule="auto"/>
        <w:jc w:val="both"/>
        <w:rPr>
          <w:rFonts w:ascii="Calibri" w:hAnsi="Calibri" w:cs="Calibri"/>
          <w:sz w:val="24"/>
          <w:szCs w:val="24"/>
        </w:rPr>
      </w:pPr>
      <w:r w:rsidRPr="00472C9F">
        <w:rPr>
          <w:rFonts w:ascii="Calibri" w:eastAsiaTheme="minorEastAsia" w:hAnsi="Calibri" w:cs="Calibri"/>
          <w:kern w:val="24"/>
          <w:sz w:val="24"/>
          <w:szCs w:val="24"/>
        </w:rPr>
        <w:t>A key part of EU free movement rights</w:t>
      </w:r>
      <w:r w:rsidR="00DF21EB" w:rsidRPr="00472C9F">
        <w:rPr>
          <w:rFonts w:ascii="Calibri" w:eastAsiaTheme="minorEastAsia" w:hAnsi="Calibri" w:cs="Calibri"/>
          <w:kern w:val="24"/>
          <w:sz w:val="24"/>
          <w:szCs w:val="24"/>
        </w:rPr>
        <w:t>,</w:t>
      </w:r>
      <w:r w:rsidR="00BA1695" w:rsidRPr="00472C9F">
        <w:rPr>
          <w:rFonts w:ascii="Calibri" w:eastAsiaTheme="minorEastAsia" w:hAnsi="Calibri" w:cs="Calibri"/>
          <w:kern w:val="24"/>
          <w:sz w:val="24"/>
          <w:szCs w:val="24"/>
        </w:rPr>
        <w:t xml:space="preserve"> essential to EU citizenship</w:t>
      </w:r>
      <w:r w:rsidR="00DF21EB" w:rsidRPr="00472C9F">
        <w:rPr>
          <w:rFonts w:ascii="Calibri" w:eastAsiaTheme="minorEastAsia" w:hAnsi="Calibri" w:cs="Calibri"/>
          <w:kern w:val="24"/>
          <w:sz w:val="24"/>
          <w:szCs w:val="24"/>
        </w:rPr>
        <w:t>,</w:t>
      </w:r>
      <w:r w:rsidRPr="00472C9F">
        <w:rPr>
          <w:rFonts w:ascii="Calibri" w:eastAsiaTheme="minorEastAsia" w:hAnsi="Calibri" w:cs="Calibri"/>
          <w:kern w:val="24"/>
          <w:sz w:val="24"/>
          <w:szCs w:val="24"/>
        </w:rPr>
        <w:t xml:space="preserve"> </w:t>
      </w:r>
      <w:r w:rsidR="00DF21EB" w:rsidRPr="00472C9F">
        <w:rPr>
          <w:rFonts w:ascii="Calibri" w:eastAsiaTheme="minorEastAsia" w:hAnsi="Calibri" w:cs="Calibri"/>
          <w:kern w:val="24"/>
          <w:sz w:val="24"/>
          <w:szCs w:val="24"/>
        </w:rPr>
        <w:t xml:space="preserve">is </w:t>
      </w:r>
      <w:r w:rsidRPr="00472C9F">
        <w:rPr>
          <w:rFonts w:ascii="Calibri" w:eastAsiaTheme="minorEastAsia" w:hAnsi="Calibri" w:cs="Calibri"/>
          <w:kern w:val="24"/>
          <w:sz w:val="24"/>
          <w:szCs w:val="24"/>
        </w:rPr>
        <w:t xml:space="preserve">the right of family members (even if not EU citizens themselves) to move with the EU citizen to a new </w:t>
      </w:r>
      <w:r w:rsidR="00D15A98">
        <w:rPr>
          <w:rFonts w:ascii="Calibri" w:eastAsiaTheme="minorEastAsia" w:hAnsi="Calibri" w:cs="Calibri"/>
          <w:kern w:val="24"/>
          <w:sz w:val="24"/>
          <w:szCs w:val="24"/>
        </w:rPr>
        <w:t>M</w:t>
      </w:r>
      <w:r w:rsidRPr="00472C9F">
        <w:rPr>
          <w:rFonts w:ascii="Calibri" w:eastAsiaTheme="minorEastAsia" w:hAnsi="Calibri" w:cs="Calibri"/>
          <w:kern w:val="24"/>
          <w:sz w:val="24"/>
          <w:szCs w:val="24"/>
        </w:rPr>
        <w:t xml:space="preserve">ember </w:t>
      </w:r>
      <w:r w:rsidR="00D15A98">
        <w:rPr>
          <w:rFonts w:ascii="Calibri" w:eastAsiaTheme="minorEastAsia" w:hAnsi="Calibri" w:cs="Calibri"/>
          <w:kern w:val="24"/>
          <w:sz w:val="24"/>
          <w:szCs w:val="24"/>
        </w:rPr>
        <w:t>S</w:t>
      </w:r>
      <w:r w:rsidRPr="00472C9F">
        <w:rPr>
          <w:rFonts w:ascii="Calibri" w:eastAsiaTheme="minorEastAsia" w:hAnsi="Calibri" w:cs="Calibri"/>
          <w:kern w:val="24"/>
          <w:sz w:val="24"/>
          <w:szCs w:val="24"/>
        </w:rPr>
        <w:t>tate, be able to take up work and school and not to be discriminated against.</w:t>
      </w:r>
      <w:r w:rsidRPr="00472C9F">
        <w:rPr>
          <w:rStyle w:val="FootnoteReference"/>
          <w:rFonts w:ascii="Calibri" w:eastAsiaTheme="minorEastAsia" w:hAnsi="Calibri" w:cs="Calibri"/>
          <w:kern w:val="24"/>
          <w:sz w:val="24"/>
          <w:szCs w:val="24"/>
        </w:rPr>
        <w:footnoteReference w:id="101"/>
      </w:r>
      <w:r w:rsidRPr="00472C9F">
        <w:rPr>
          <w:rFonts w:ascii="Calibri" w:eastAsiaTheme="minorEastAsia" w:hAnsi="Calibri" w:cs="Calibri"/>
          <w:kern w:val="24"/>
          <w:sz w:val="24"/>
          <w:szCs w:val="24"/>
        </w:rPr>
        <w:t xml:space="preserve"> </w:t>
      </w:r>
      <w:r w:rsidR="005222F5" w:rsidRPr="00472C9F">
        <w:rPr>
          <w:rFonts w:ascii="Calibri" w:eastAsiaTheme="minorEastAsia" w:hAnsi="Calibri" w:cs="Calibri"/>
          <w:kern w:val="24"/>
          <w:sz w:val="24"/>
          <w:szCs w:val="24"/>
        </w:rPr>
        <w:t xml:space="preserve">As </w:t>
      </w:r>
      <w:proofErr w:type="spellStart"/>
      <w:r w:rsidR="005222F5" w:rsidRPr="00472C9F">
        <w:rPr>
          <w:rFonts w:ascii="Calibri" w:eastAsiaTheme="minorEastAsia" w:hAnsi="Calibri" w:cs="Calibri"/>
          <w:kern w:val="24"/>
          <w:sz w:val="24"/>
          <w:szCs w:val="24"/>
        </w:rPr>
        <w:t>Tryfonidou</w:t>
      </w:r>
      <w:proofErr w:type="spellEnd"/>
      <w:r w:rsidR="005222F5" w:rsidRPr="00472C9F">
        <w:rPr>
          <w:rFonts w:ascii="Calibri" w:eastAsiaTheme="minorEastAsia" w:hAnsi="Calibri" w:cs="Calibri"/>
          <w:kern w:val="24"/>
          <w:sz w:val="24"/>
          <w:szCs w:val="24"/>
        </w:rPr>
        <w:t xml:space="preserve"> explains</w:t>
      </w:r>
      <w:r w:rsidR="00D9427C" w:rsidRPr="00472C9F">
        <w:rPr>
          <w:rFonts w:ascii="Calibri" w:eastAsiaTheme="minorEastAsia" w:hAnsi="Calibri" w:cs="Calibri"/>
          <w:kern w:val="24"/>
          <w:sz w:val="24"/>
          <w:szCs w:val="24"/>
        </w:rPr>
        <w:t>,</w:t>
      </w:r>
      <w:r w:rsidR="005222F5" w:rsidRPr="00472C9F">
        <w:rPr>
          <w:rFonts w:ascii="Calibri" w:eastAsiaTheme="minorEastAsia" w:hAnsi="Calibri" w:cs="Calibri"/>
          <w:kern w:val="24"/>
          <w:sz w:val="24"/>
          <w:szCs w:val="24"/>
        </w:rPr>
        <w:t xml:space="preserve"> the ‘rationale’ behind family reunification rights is to ensure that citizens will not be deterred from exercising their EU free movement rights.</w:t>
      </w:r>
      <w:r w:rsidR="005222F5" w:rsidRPr="00472C9F">
        <w:rPr>
          <w:rStyle w:val="FootnoteReference"/>
          <w:rFonts w:ascii="Calibri" w:eastAsiaTheme="minorEastAsia" w:hAnsi="Calibri" w:cs="Calibri"/>
          <w:kern w:val="24"/>
          <w:sz w:val="24"/>
          <w:szCs w:val="24"/>
        </w:rPr>
        <w:footnoteReference w:id="102"/>
      </w:r>
      <w:r w:rsidR="005222F5" w:rsidRPr="00472C9F">
        <w:rPr>
          <w:rFonts w:ascii="Calibri" w:eastAsiaTheme="minorEastAsia" w:hAnsi="Calibri" w:cs="Calibri"/>
          <w:kern w:val="24"/>
          <w:sz w:val="24"/>
          <w:szCs w:val="24"/>
        </w:rPr>
        <w:t xml:space="preserve"> Free movement rights becom</w:t>
      </w:r>
      <w:r w:rsidR="00DF21EB" w:rsidRPr="00472C9F">
        <w:rPr>
          <w:rFonts w:ascii="Calibri" w:eastAsiaTheme="minorEastAsia" w:hAnsi="Calibri" w:cs="Calibri"/>
          <w:kern w:val="24"/>
          <w:sz w:val="24"/>
          <w:szCs w:val="24"/>
        </w:rPr>
        <w:t>e</w:t>
      </w:r>
      <w:r w:rsidR="005222F5" w:rsidRPr="00472C9F">
        <w:rPr>
          <w:rFonts w:ascii="Calibri" w:eastAsiaTheme="minorEastAsia" w:hAnsi="Calibri" w:cs="Calibri"/>
          <w:kern w:val="24"/>
          <w:sz w:val="24"/>
          <w:szCs w:val="24"/>
        </w:rPr>
        <w:t xml:space="preserve"> meaningless </w:t>
      </w:r>
      <w:r w:rsidR="00D9427C" w:rsidRPr="00472C9F">
        <w:rPr>
          <w:rFonts w:ascii="Calibri" w:eastAsiaTheme="minorEastAsia" w:hAnsi="Calibri" w:cs="Calibri"/>
          <w:kern w:val="24"/>
          <w:sz w:val="24"/>
          <w:szCs w:val="24"/>
        </w:rPr>
        <w:t>i</w:t>
      </w:r>
      <w:r w:rsidR="005222F5" w:rsidRPr="00472C9F">
        <w:rPr>
          <w:rFonts w:ascii="Calibri" w:eastAsiaTheme="minorEastAsia" w:hAnsi="Calibri" w:cs="Calibri"/>
          <w:kern w:val="24"/>
          <w:sz w:val="24"/>
          <w:szCs w:val="24"/>
        </w:rPr>
        <w:t xml:space="preserve">f an EU citizen’s family cannot move with them. </w:t>
      </w:r>
      <w:r w:rsidRPr="00472C9F">
        <w:rPr>
          <w:rFonts w:ascii="Calibri" w:eastAsiaTheme="minorEastAsia" w:hAnsi="Calibri" w:cs="Calibri"/>
          <w:kern w:val="24"/>
          <w:sz w:val="24"/>
          <w:szCs w:val="24"/>
        </w:rPr>
        <w:t xml:space="preserve">It is therefore essential to understand who </w:t>
      </w:r>
      <w:proofErr w:type="gramStart"/>
      <w:r w:rsidRPr="00472C9F">
        <w:rPr>
          <w:rFonts w:ascii="Calibri" w:eastAsiaTheme="minorEastAsia" w:hAnsi="Calibri" w:cs="Calibri"/>
          <w:kern w:val="24"/>
          <w:sz w:val="24"/>
          <w:szCs w:val="24"/>
        </w:rPr>
        <w:t>is a family member under EU law</w:t>
      </w:r>
      <w:proofErr w:type="gramEnd"/>
      <w:r w:rsidR="00324199" w:rsidRPr="00472C9F">
        <w:rPr>
          <w:rFonts w:ascii="Calibri" w:eastAsiaTheme="minorEastAsia" w:hAnsi="Calibri" w:cs="Calibri"/>
          <w:kern w:val="24"/>
          <w:sz w:val="24"/>
          <w:szCs w:val="24"/>
        </w:rPr>
        <w:t>.</w:t>
      </w:r>
      <w:r w:rsidRPr="00472C9F">
        <w:rPr>
          <w:rFonts w:ascii="Calibri" w:eastAsiaTheme="minorEastAsia" w:hAnsi="Calibri" w:cs="Calibri"/>
          <w:kern w:val="24"/>
          <w:sz w:val="24"/>
          <w:szCs w:val="24"/>
        </w:rPr>
        <w:t xml:space="preserve"> </w:t>
      </w:r>
      <w:r w:rsidRPr="00472C9F">
        <w:rPr>
          <w:rFonts w:ascii="Calibri" w:hAnsi="Calibri" w:cs="Calibri"/>
          <w:sz w:val="24"/>
          <w:szCs w:val="24"/>
        </w:rPr>
        <w:t>The EU Citizenship Directive defines family members to include under Article 2(2)</w:t>
      </w:r>
      <w:r w:rsidR="00324199" w:rsidRPr="00472C9F">
        <w:rPr>
          <w:rFonts w:ascii="Calibri" w:hAnsi="Calibri" w:cs="Calibri"/>
          <w:sz w:val="24"/>
          <w:szCs w:val="24"/>
        </w:rPr>
        <w:t xml:space="preserve"> </w:t>
      </w:r>
      <w:r w:rsidR="0006051F" w:rsidRPr="00472C9F">
        <w:rPr>
          <w:rFonts w:ascii="Calibri" w:hAnsi="Calibri" w:cs="Calibri"/>
          <w:sz w:val="24"/>
          <w:szCs w:val="24"/>
        </w:rPr>
        <w:t>‘</w:t>
      </w:r>
      <w:r w:rsidR="00020D7A" w:rsidRPr="00472C9F">
        <w:rPr>
          <w:rFonts w:ascii="Calibri" w:hAnsi="Calibri" w:cs="Calibri"/>
          <w:sz w:val="24"/>
          <w:szCs w:val="24"/>
        </w:rPr>
        <w:t xml:space="preserve">(a) </w:t>
      </w:r>
      <w:r w:rsidR="00324199" w:rsidRPr="00472C9F">
        <w:rPr>
          <w:rFonts w:ascii="Calibri" w:hAnsi="Calibri" w:cs="Calibri"/>
          <w:sz w:val="24"/>
          <w:szCs w:val="24"/>
        </w:rPr>
        <w:t>spouse</w:t>
      </w:r>
      <w:r w:rsidR="00020D7A" w:rsidRPr="00472C9F">
        <w:rPr>
          <w:rFonts w:ascii="Calibri" w:hAnsi="Calibri" w:cs="Calibri"/>
          <w:sz w:val="24"/>
          <w:szCs w:val="24"/>
        </w:rPr>
        <w:t xml:space="preserve">, (b) </w:t>
      </w:r>
      <w:r w:rsidR="00252D26" w:rsidRPr="00472C9F">
        <w:rPr>
          <w:rFonts w:ascii="Calibri" w:hAnsi="Calibri" w:cs="Calibri"/>
          <w:sz w:val="24"/>
          <w:szCs w:val="24"/>
        </w:rPr>
        <w:t>…</w:t>
      </w:r>
      <w:r w:rsidR="00020D7A" w:rsidRPr="00472C9F">
        <w:rPr>
          <w:rFonts w:ascii="Calibri" w:hAnsi="Calibri" w:cs="Calibri"/>
          <w:sz w:val="24"/>
          <w:szCs w:val="24"/>
        </w:rPr>
        <w:t xml:space="preserve"> registered partner</w:t>
      </w:r>
      <w:r w:rsidR="00252D26" w:rsidRPr="00472C9F">
        <w:rPr>
          <w:rFonts w:ascii="Calibri" w:hAnsi="Calibri" w:cs="Calibri"/>
          <w:sz w:val="24"/>
          <w:szCs w:val="24"/>
        </w:rPr>
        <w:t>ships</w:t>
      </w:r>
      <w:r w:rsidR="000E02D9">
        <w:rPr>
          <w:rFonts w:ascii="Calibri" w:hAnsi="Calibri" w:cs="Calibri"/>
          <w:sz w:val="24"/>
          <w:szCs w:val="24"/>
        </w:rPr>
        <w:t xml:space="preserve"> </w:t>
      </w:r>
      <w:r w:rsidR="00D9427C" w:rsidRPr="00472C9F">
        <w:rPr>
          <w:rFonts w:ascii="Calibri" w:hAnsi="Calibri" w:cs="Calibri"/>
          <w:sz w:val="24"/>
          <w:szCs w:val="24"/>
        </w:rPr>
        <w:t>…</w:t>
      </w:r>
      <w:r w:rsidR="00020D7A" w:rsidRPr="00472C9F">
        <w:rPr>
          <w:rFonts w:ascii="Calibri" w:hAnsi="Calibri" w:cs="Calibri"/>
          <w:sz w:val="24"/>
          <w:szCs w:val="24"/>
        </w:rPr>
        <w:t xml:space="preserve"> if the legislation in the host Member State treats registered partnerships as equivalent to marriage</w:t>
      </w:r>
      <w:r w:rsidR="004D2A27" w:rsidRPr="00472C9F">
        <w:rPr>
          <w:rFonts w:ascii="Calibri" w:hAnsi="Calibri" w:cs="Calibri"/>
          <w:sz w:val="24"/>
          <w:szCs w:val="24"/>
        </w:rPr>
        <w:t>, (c) direct descendants who are under the age of 21 or are dependants and those of the spouse or partner as defined in point (b)</w:t>
      </w:r>
      <w:r w:rsidR="0006051F" w:rsidRPr="00472C9F">
        <w:rPr>
          <w:rFonts w:ascii="Calibri" w:hAnsi="Calibri" w:cs="Calibri"/>
          <w:sz w:val="24"/>
          <w:szCs w:val="24"/>
        </w:rPr>
        <w:t>’.</w:t>
      </w:r>
      <w:r w:rsidR="004D2A27" w:rsidRPr="00472C9F">
        <w:rPr>
          <w:rStyle w:val="FootnoteReference"/>
          <w:rFonts w:ascii="Calibri" w:hAnsi="Calibri" w:cs="Calibri"/>
          <w:sz w:val="24"/>
          <w:szCs w:val="24"/>
        </w:rPr>
        <w:footnoteReference w:id="103"/>
      </w:r>
      <w:r w:rsidR="00647341" w:rsidRPr="00472C9F">
        <w:rPr>
          <w:rFonts w:ascii="Calibri" w:hAnsi="Calibri" w:cs="Calibri"/>
          <w:b/>
          <w:bCs/>
          <w:sz w:val="24"/>
          <w:szCs w:val="24"/>
        </w:rPr>
        <w:t xml:space="preserve"> </w:t>
      </w:r>
      <w:r w:rsidR="0000522D" w:rsidRPr="00472C9F">
        <w:rPr>
          <w:rFonts w:ascii="Calibri" w:hAnsi="Calibri" w:cs="Calibri"/>
          <w:sz w:val="24"/>
          <w:szCs w:val="24"/>
        </w:rPr>
        <w:t>F</w:t>
      </w:r>
      <w:r w:rsidRPr="00472C9F">
        <w:rPr>
          <w:rFonts w:ascii="Calibri" w:hAnsi="Calibri" w:cs="Calibri"/>
          <w:sz w:val="24"/>
          <w:szCs w:val="24"/>
        </w:rPr>
        <w:t>urther</w:t>
      </w:r>
      <w:r w:rsidR="00D9427C" w:rsidRPr="00472C9F">
        <w:rPr>
          <w:rFonts w:ascii="Calibri" w:hAnsi="Calibri" w:cs="Calibri"/>
          <w:sz w:val="24"/>
          <w:szCs w:val="24"/>
        </w:rPr>
        <w:t>,</w:t>
      </w:r>
      <w:r w:rsidRPr="00472C9F">
        <w:rPr>
          <w:rFonts w:ascii="Calibri" w:hAnsi="Calibri" w:cs="Calibri"/>
          <w:sz w:val="24"/>
          <w:szCs w:val="24"/>
        </w:rPr>
        <w:t xml:space="preserve"> Article 3 includes other family members ‘who are depend</w:t>
      </w:r>
      <w:r w:rsidR="00DF21EB" w:rsidRPr="00472C9F">
        <w:rPr>
          <w:rFonts w:ascii="Calibri" w:hAnsi="Calibri" w:cs="Calibri"/>
          <w:sz w:val="24"/>
          <w:szCs w:val="24"/>
        </w:rPr>
        <w:t>a</w:t>
      </w:r>
      <w:r w:rsidRPr="00472C9F">
        <w:rPr>
          <w:rFonts w:ascii="Calibri" w:hAnsi="Calibri" w:cs="Calibri"/>
          <w:sz w:val="24"/>
          <w:szCs w:val="24"/>
        </w:rPr>
        <w:t>nts or members of the household of the EU citizen</w:t>
      </w:r>
      <w:r w:rsidR="000E02D9">
        <w:rPr>
          <w:rFonts w:ascii="Calibri" w:hAnsi="Calibri" w:cs="Calibri"/>
          <w:sz w:val="24"/>
          <w:szCs w:val="24"/>
        </w:rPr>
        <w:t xml:space="preserve"> </w:t>
      </w:r>
      <w:r w:rsidR="00D9427C" w:rsidRPr="00472C9F">
        <w:rPr>
          <w:rFonts w:ascii="Calibri" w:hAnsi="Calibri" w:cs="Calibri"/>
          <w:sz w:val="24"/>
          <w:szCs w:val="24"/>
        </w:rPr>
        <w:t>.</w:t>
      </w:r>
      <w:r w:rsidR="00ED71D1" w:rsidRPr="00472C9F">
        <w:rPr>
          <w:rFonts w:ascii="Calibri" w:hAnsi="Calibri" w:cs="Calibri"/>
          <w:sz w:val="24"/>
          <w:szCs w:val="24"/>
        </w:rPr>
        <w:t>..</w:t>
      </w:r>
      <w:r w:rsidRPr="00472C9F">
        <w:rPr>
          <w:rFonts w:ascii="Calibri" w:hAnsi="Calibri" w:cs="Calibri"/>
          <w:sz w:val="24"/>
          <w:szCs w:val="24"/>
        </w:rPr>
        <w:t xml:space="preserve"> and the partner with whom the EU citizen has a durable relationship duly attested</w:t>
      </w:r>
      <w:r w:rsidR="0006051F" w:rsidRPr="00472C9F">
        <w:rPr>
          <w:rFonts w:ascii="Calibri" w:hAnsi="Calibri" w:cs="Calibri"/>
          <w:sz w:val="24"/>
          <w:szCs w:val="24"/>
        </w:rPr>
        <w:t>’.</w:t>
      </w:r>
      <w:r w:rsidR="00647341" w:rsidRPr="00472C9F">
        <w:rPr>
          <w:rStyle w:val="FootnoteReference"/>
          <w:rFonts w:ascii="Calibri" w:hAnsi="Calibri" w:cs="Calibri"/>
          <w:sz w:val="24"/>
          <w:szCs w:val="24"/>
        </w:rPr>
        <w:footnoteReference w:id="104"/>
      </w:r>
      <w:r w:rsidRPr="00472C9F">
        <w:rPr>
          <w:rFonts w:ascii="Calibri" w:hAnsi="Calibri" w:cs="Calibri"/>
          <w:sz w:val="24"/>
          <w:szCs w:val="24"/>
        </w:rPr>
        <w:t xml:space="preserve"> </w:t>
      </w:r>
      <w:r w:rsidR="00252D26" w:rsidRPr="00472C9F">
        <w:rPr>
          <w:rFonts w:ascii="Calibri" w:hAnsi="Calibri" w:cs="Calibri"/>
          <w:sz w:val="24"/>
          <w:szCs w:val="24"/>
        </w:rPr>
        <w:t>Extensive</w:t>
      </w:r>
      <w:r w:rsidRPr="00472C9F">
        <w:rPr>
          <w:rFonts w:ascii="Calibri" w:hAnsi="Calibri" w:cs="Calibri"/>
          <w:sz w:val="24"/>
          <w:szCs w:val="24"/>
        </w:rPr>
        <w:t xml:space="preserve"> interpretation of </w:t>
      </w:r>
      <w:r w:rsidR="00252D26" w:rsidRPr="00472C9F">
        <w:rPr>
          <w:rFonts w:ascii="Calibri" w:hAnsi="Calibri" w:cs="Calibri"/>
          <w:sz w:val="24"/>
          <w:szCs w:val="24"/>
        </w:rPr>
        <w:t>family membership</w:t>
      </w:r>
      <w:r w:rsidRPr="00472C9F">
        <w:rPr>
          <w:rFonts w:ascii="Calibri" w:hAnsi="Calibri" w:cs="Calibri"/>
          <w:sz w:val="24"/>
          <w:szCs w:val="24"/>
        </w:rPr>
        <w:t xml:space="preserve"> has been criticis</w:t>
      </w:r>
      <w:r w:rsidR="00252D26" w:rsidRPr="00472C9F">
        <w:rPr>
          <w:rFonts w:ascii="Calibri" w:hAnsi="Calibri" w:cs="Calibri"/>
          <w:sz w:val="24"/>
          <w:szCs w:val="24"/>
        </w:rPr>
        <w:t>ed</w:t>
      </w:r>
      <w:r w:rsidRPr="00472C9F">
        <w:rPr>
          <w:rFonts w:ascii="Calibri" w:hAnsi="Calibri" w:cs="Calibri"/>
          <w:sz w:val="24"/>
          <w:szCs w:val="24"/>
        </w:rPr>
        <w:t xml:space="preserve"> </w:t>
      </w:r>
      <w:r w:rsidR="00252D26" w:rsidRPr="00472C9F">
        <w:rPr>
          <w:rFonts w:ascii="Calibri" w:hAnsi="Calibri" w:cs="Calibri"/>
          <w:sz w:val="24"/>
          <w:szCs w:val="24"/>
        </w:rPr>
        <w:t>by</w:t>
      </w:r>
      <w:r w:rsidRPr="00472C9F">
        <w:rPr>
          <w:rFonts w:ascii="Calibri" w:hAnsi="Calibri" w:cs="Calibri"/>
          <w:sz w:val="24"/>
          <w:szCs w:val="24"/>
        </w:rPr>
        <w:t xml:space="preserve"> EU states who </w:t>
      </w:r>
      <w:r w:rsidR="00DF21EB" w:rsidRPr="00472C9F">
        <w:rPr>
          <w:rFonts w:ascii="Calibri" w:hAnsi="Calibri" w:cs="Calibri"/>
          <w:sz w:val="24"/>
          <w:szCs w:val="24"/>
        </w:rPr>
        <w:t>take an</w:t>
      </w:r>
      <w:r w:rsidR="005E1C07" w:rsidRPr="00472C9F">
        <w:rPr>
          <w:rFonts w:ascii="Calibri" w:hAnsi="Calibri" w:cs="Calibri"/>
          <w:sz w:val="24"/>
          <w:szCs w:val="24"/>
        </w:rPr>
        <w:t xml:space="preserve"> </w:t>
      </w:r>
      <w:proofErr w:type="spellStart"/>
      <w:r w:rsidR="005E1C07" w:rsidRPr="00472C9F">
        <w:rPr>
          <w:rFonts w:ascii="Calibri" w:hAnsi="Calibri" w:cs="Calibri"/>
          <w:sz w:val="24"/>
          <w:szCs w:val="24"/>
        </w:rPr>
        <w:t>intergovernmentalist</w:t>
      </w:r>
      <w:proofErr w:type="spellEnd"/>
      <w:r w:rsidR="005E1C07" w:rsidRPr="00472C9F">
        <w:rPr>
          <w:rFonts w:ascii="Calibri" w:hAnsi="Calibri" w:cs="Calibri"/>
          <w:sz w:val="24"/>
          <w:szCs w:val="24"/>
        </w:rPr>
        <w:t xml:space="preserve"> approach in</w:t>
      </w:r>
      <w:r w:rsidRPr="00472C9F">
        <w:rPr>
          <w:rFonts w:ascii="Calibri" w:hAnsi="Calibri" w:cs="Calibri"/>
          <w:sz w:val="24"/>
          <w:szCs w:val="24"/>
        </w:rPr>
        <w:t xml:space="preserve"> wish</w:t>
      </w:r>
      <w:r w:rsidR="005E1C07" w:rsidRPr="00472C9F">
        <w:rPr>
          <w:rFonts w:ascii="Calibri" w:hAnsi="Calibri" w:cs="Calibri"/>
          <w:sz w:val="24"/>
          <w:szCs w:val="24"/>
        </w:rPr>
        <w:t>ing</w:t>
      </w:r>
      <w:r w:rsidRPr="00472C9F">
        <w:rPr>
          <w:rFonts w:ascii="Calibri" w:hAnsi="Calibri" w:cs="Calibri"/>
          <w:sz w:val="24"/>
          <w:szCs w:val="24"/>
        </w:rPr>
        <w:t xml:space="preserve"> to keep close control on family law.</w:t>
      </w:r>
      <w:r w:rsidR="00224954" w:rsidRPr="00472C9F">
        <w:rPr>
          <w:rStyle w:val="FootnoteReference"/>
          <w:rFonts w:ascii="Calibri" w:hAnsi="Calibri" w:cs="Calibri"/>
          <w:sz w:val="24"/>
          <w:szCs w:val="24"/>
        </w:rPr>
        <w:footnoteReference w:id="105"/>
      </w:r>
      <w:r w:rsidR="005222F5" w:rsidRPr="00472C9F">
        <w:rPr>
          <w:rFonts w:ascii="Calibri" w:hAnsi="Calibri" w:cs="Calibri"/>
          <w:sz w:val="24"/>
          <w:szCs w:val="24"/>
        </w:rPr>
        <w:t xml:space="preserve"> From </w:t>
      </w:r>
      <w:r w:rsidR="0055110F">
        <w:rPr>
          <w:rFonts w:ascii="Calibri" w:hAnsi="Calibri" w:cs="Calibri"/>
          <w:sz w:val="24"/>
          <w:szCs w:val="24"/>
        </w:rPr>
        <w:t>a</w:t>
      </w:r>
      <w:r w:rsidR="005222F5" w:rsidRPr="00472C9F">
        <w:rPr>
          <w:rFonts w:ascii="Calibri" w:hAnsi="Calibri" w:cs="Calibri"/>
          <w:sz w:val="24"/>
          <w:szCs w:val="24"/>
        </w:rPr>
        <w:t xml:space="preserve"> queer point of view</w:t>
      </w:r>
      <w:r w:rsidR="00D9427C" w:rsidRPr="00472C9F">
        <w:rPr>
          <w:rFonts w:ascii="Calibri" w:hAnsi="Calibri" w:cs="Calibri"/>
          <w:sz w:val="24"/>
          <w:szCs w:val="24"/>
        </w:rPr>
        <w:t>,</w:t>
      </w:r>
      <w:r w:rsidR="005222F5" w:rsidRPr="00472C9F">
        <w:rPr>
          <w:rFonts w:ascii="Calibri" w:hAnsi="Calibri" w:cs="Calibri"/>
          <w:sz w:val="24"/>
          <w:szCs w:val="24"/>
        </w:rPr>
        <w:t xml:space="preserve"> criticism has centred on the heteronormative aspect of how family members are define</w:t>
      </w:r>
      <w:r w:rsidR="00BA2033" w:rsidRPr="00472C9F">
        <w:rPr>
          <w:rFonts w:ascii="Calibri" w:hAnsi="Calibri" w:cs="Calibri"/>
          <w:sz w:val="24"/>
          <w:szCs w:val="24"/>
        </w:rPr>
        <w:t>d</w:t>
      </w:r>
      <w:r w:rsidR="004C0B71" w:rsidRPr="00472C9F">
        <w:rPr>
          <w:rFonts w:ascii="Calibri" w:hAnsi="Calibri" w:cs="Calibri"/>
          <w:sz w:val="24"/>
          <w:szCs w:val="24"/>
        </w:rPr>
        <w:t>. For example</w:t>
      </w:r>
      <w:r w:rsidR="0055110F">
        <w:rPr>
          <w:rFonts w:ascii="Calibri" w:hAnsi="Calibri" w:cs="Calibri"/>
          <w:sz w:val="24"/>
          <w:szCs w:val="24"/>
        </w:rPr>
        <w:t>,</w:t>
      </w:r>
      <w:r w:rsidR="004C0B71" w:rsidRPr="00472C9F">
        <w:rPr>
          <w:rFonts w:ascii="Calibri" w:hAnsi="Calibri" w:cs="Calibri"/>
          <w:sz w:val="24"/>
          <w:szCs w:val="24"/>
        </w:rPr>
        <w:t xml:space="preserve"> queer theorist Lisa Duggan has argued that marriage does </w:t>
      </w:r>
      <w:r w:rsidR="006A498F" w:rsidRPr="00472C9F">
        <w:rPr>
          <w:rFonts w:ascii="Calibri" w:hAnsi="Calibri" w:cs="Calibri"/>
          <w:sz w:val="24"/>
          <w:szCs w:val="24"/>
        </w:rPr>
        <w:t>not</w:t>
      </w:r>
      <w:r w:rsidR="004C0B71" w:rsidRPr="00472C9F">
        <w:rPr>
          <w:rFonts w:ascii="Calibri" w:hAnsi="Calibri" w:cs="Calibri"/>
          <w:sz w:val="24"/>
          <w:szCs w:val="24"/>
        </w:rPr>
        <w:t xml:space="preserve"> ‘</w:t>
      </w:r>
      <w:r w:rsidR="00FF7A34" w:rsidRPr="00472C9F">
        <w:rPr>
          <w:rFonts w:ascii="Calibri" w:hAnsi="Calibri" w:cs="Calibri"/>
          <w:color w:val="333333"/>
          <w:sz w:val="24"/>
          <w:szCs w:val="24"/>
        </w:rPr>
        <w:t xml:space="preserve">accommodate </w:t>
      </w:r>
      <w:r w:rsidR="001D224E" w:rsidRPr="00472C9F">
        <w:rPr>
          <w:rFonts w:ascii="Calibri" w:hAnsi="Calibri" w:cs="Calibri"/>
          <w:color w:val="333333"/>
          <w:sz w:val="24"/>
          <w:szCs w:val="24"/>
        </w:rPr>
        <w:t>[the]</w:t>
      </w:r>
      <w:r w:rsidR="00FF7A34" w:rsidRPr="00472C9F">
        <w:rPr>
          <w:rFonts w:ascii="Calibri" w:hAnsi="Calibri" w:cs="Calibri"/>
          <w:color w:val="333333"/>
          <w:sz w:val="24"/>
          <w:szCs w:val="24"/>
        </w:rPr>
        <w:t xml:space="preserve"> elaborate, innovative forms of intimacy, interconnection, and dependency</w:t>
      </w:r>
      <w:r w:rsidR="006A498F" w:rsidRPr="00472C9F">
        <w:rPr>
          <w:rFonts w:ascii="Calibri" w:hAnsi="Calibri" w:cs="Calibri"/>
          <w:color w:val="333333"/>
          <w:sz w:val="24"/>
          <w:szCs w:val="24"/>
        </w:rPr>
        <w:t>’</w:t>
      </w:r>
      <w:r w:rsidR="00E37047" w:rsidRPr="00472C9F">
        <w:rPr>
          <w:rFonts w:ascii="Calibri" w:hAnsi="Calibri" w:cs="Calibri"/>
          <w:sz w:val="24"/>
          <w:szCs w:val="24"/>
        </w:rPr>
        <w:t xml:space="preserve"> </w:t>
      </w:r>
      <w:r w:rsidR="001D224E" w:rsidRPr="00472C9F">
        <w:rPr>
          <w:rFonts w:ascii="Calibri" w:hAnsi="Calibri" w:cs="Calibri"/>
          <w:sz w:val="24"/>
          <w:szCs w:val="24"/>
        </w:rPr>
        <w:t>on</w:t>
      </w:r>
      <w:r w:rsidR="004C0B71" w:rsidRPr="00472C9F">
        <w:rPr>
          <w:rFonts w:ascii="Calibri" w:hAnsi="Calibri" w:cs="Calibri"/>
          <w:sz w:val="24"/>
          <w:szCs w:val="24"/>
        </w:rPr>
        <w:t xml:space="preserve"> which gay</w:t>
      </w:r>
      <w:r w:rsidR="006A498F" w:rsidRPr="00472C9F">
        <w:rPr>
          <w:rFonts w:ascii="Calibri" w:hAnsi="Calibri" w:cs="Calibri"/>
          <w:sz w:val="24"/>
          <w:szCs w:val="24"/>
        </w:rPr>
        <w:t xml:space="preserve"> and lesbian</w:t>
      </w:r>
      <w:r w:rsidR="004C0B71" w:rsidRPr="00472C9F">
        <w:rPr>
          <w:rFonts w:ascii="Calibri" w:hAnsi="Calibri" w:cs="Calibri"/>
          <w:sz w:val="24"/>
          <w:szCs w:val="24"/>
        </w:rPr>
        <w:t xml:space="preserve"> relationships are built.</w:t>
      </w:r>
      <w:r w:rsidR="00D534AD" w:rsidRPr="00472C9F">
        <w:rPr>
          <w:rStyle w:val="FootnoteReference"/>
          <w:rFonts w:ascii="Calibri" w:hAnsi="Calibri" w:cs="Calibri"/>
          <w:sz w:val="24"/>
          <w:szCs w:val="24"/>
        </w:rPr>
        <w:footnoteReference w:id="106"/>
      </w:r>
      <w:r w:rsidR="004C0B71" w:rsidRPr="00472C9F">
        <w:rPr>
          <w:rFonts w:ascii="Calibri" w:hAnsi="Calibri" w:cs="Calibri"/>
          <w:sz w:val="24"/>
          <w:szCs w:val="24"/>
        </w:rPr>
        <w:t xml:space="preserve"> As such </w:t>
      </w:r>
      <w:r w:rsidR="00894A47" w:rsidRPr="00472C9F">
        <w:rPr>
          <w:rFonts w:ascii="Calibri" w:hAnsi="Calibri" w:cs="Calibri"/>
          <w:sz w:val="24"/>
          <w:szCs w:val="24"/>
        </w:rPr>
        <w:t xml:space="preserve">the emphasis placed on ‘spouse’ by EU law would never suit her point of view. </w:t>
      </w:r>
    </w:p>
    <w:p w14:paraId="56E5E3DF" w14:textId="77777777" w:rsidR="00542B67" w:rsidRPr="00472C9F" w:rsidRDefault="00542B67" w:rsidP="0059780E">
      <w:pPr>
        <w:spacing w:after="0" w:line="360" w:lineRule="auto"/>
        <w:jc w:val="both"/>
        <w:rPr>
          <w:rFonts w:ascii="Calibri" w:hAnsi="Calibri" w:cs="Calibri"/>
          <w:sz w:val="24"/>
          <w:szCs w:val="24"/>
        </w:rPr>
      </w:pPr>
    </w:p>
    <w:p w14:paraId="69402B8C" w14:textId="1AAEF090" w:rsidR="00D203C5" w:rsidRPr="00472C9F" w:rsidRDefault="005574B3" w:rsidP="0059780E">
      <w:pPr>
        <w:spacing w:after="0" w:line="360" w:lineRule="auto"/>
        <w:jc w:val="both"/>
        <w:rPr>
          <w:rFonts w:ascii="Calibri" w:eastAsiaTheme="minorEastAsia" w:hAnsi="Calibri" w:cs="Calibri"/>
          <w:kern w:val="24"/>
          <w:sz w:val="24"/>
          <w:szCs w:val="24"/>
        </w:rPr>
      </w:pPr>
      <w:r w:rsidRPr="00472C9F">
        <w:rPr>
          <w:rFonts w:ascii="Calibri" w:eastAsiaTheme="minorEastAsia" w:hAnsi="Calibri" w:cs="Calibri"/>
          <w:kern w:val="24"/>
          <w:sz w:val="24"/>
          <w:szCs w:val="24"/>
        </w:rPr>
        <w:t>EU law has no competency with regard to Member State family law and consequently cannot dictate to Member States whether to legalise same-sex marriage or civil partnership</w:t>
      </w:r>
      <w:r w:rsidR="00D3285B" w:rsidRPr="00472C9F">
        <w:rPr>
          <w:rFonts w:ascii="Calibri" w:eastAsiaTheme="minorEastAsia" w:hAnsi="Calibri" w:cs="Calibri"/>
          <w:kern w:val="24"/>
          <w:sz w:val="24"/>
          <w:szCs w:val="24"/>
        </w:rPr>
        <w:t>.</w:t>
      </w:r>
      <w:r w:rsidR="00F358B1" w:rsidRPr="00472C9F">
        <w:rPr>
          <w:rStyle w:val="FootnoteReference"/>
          <w:rFonts w:ascii="Calibri" w:eastAsiaTheme="minorEastAsia" w:hAnsi="Calibri" w:cs="Calibri"/>
          <w:kern w:val="24"/>
          <w:sz w:val="24"/>
          <w:szCs w:val="24"/>
        </w:rPr>
        <w:footnoteReference w:id="107"/>
      </w:r>
      <w:r w:rsidRPr="00472C9F">
        <w:rPr>
          <w:rFonts w:ascii="Calibri" w:eastAsiaTheme="minorEastAsia" w:hAnsi="Calibri" w:cs="Calibri"/>
          <w:kern w:val="24"/>
          <w:sz w:val="24"/>
          <w:szCs w:val="24"/>
        </w:rPr>
        <w:t xml:space="preserve"> </w:t>
      </w:r>
      <w:r w:rsidR="00E31D1C" w:rsidRPr="00472C9F">
        <w:rPr>
          <w:rFonts w:ascii="Calibri" w:eastAsiaTheme="minorEastAsia" w:hAnsi="Calibri" w:cs="Calibri"/>
          <w:kern w:val="24"/>
          <w:sz w:val="24"/>
          <w:szCs w:val="24"/>
        </w:rPr>
        <w:t xml:space="preserve">Across </w:t>
      </w:r>
      <w:r w:rsidR="00E31D1C" w:rsidRPr="00472C9F">
        <w:rPr>
          <w:rFonts w:ascii="Calibri" w:eastAsiaTheme="minorEastAsia" w:hAnsi="Calibri" w:cs="Calibri"/>
          <w:kern w:val="24"/>
          <w:sz w:val="24"/>
          <w:szCs w:val="24"/>
        </w:rPr>
        <w:lastRenderedPageBreak/>
        <w:t>the EU</w:t>
      </w:r>
      <w:r w:rsidR="00950EDB">
        <w:rPr>
          <w:rFonts w:ascii="Calibri" w:eastAsiaTheme="minorEastAsia" w:hAnsi="Calibri" w:cs="Calibri"/>
          <w:kern w:val="24"/>
          <w:sz w:val="24"/>
          <w:szCs w:val="24"/>
        </w:rPr>
        <w:t>’s</w:t>
      </w:r>
      <w:r w:rsidR="00E31D1C" w:rsidRPr="00472C9F">
        <w:rPr>
          <w:rFonts w:ascii="Calibri" w:eastAsiaTheme="minorEastAsia" w:hAnsi="Calibri" w:cs="Calibri"/>
          <w:kern w:val="24"/>
          <w:sz w:val="24"/>
          <w:szCs w:val="24"/>
        </w:rPr>
        <w:t xml:space="preserve"> 27 </w:t>
      </w:r>
      <w:r w:rsidR="000A22C8" w:rsidRPr="00472C9F">
        <w:rPr>
          <w:rFonts w:ascii="Calibri" w:eastAsiaTheme="minorEastAsia" w:hAnsi="Calibri" w:cs="Calibri"/>
          <w:kern w:val="24"/>
          <w:sz w:val="24"/>
          <w:szCs w:val="24"/>
        </w:rPr>
        <w:t>M</w:t>
      </w:r>
      <w:r w:rsidR="00E31D1C" w:rsidRPr="00472C9F">
        <w:rPr>
          <w:rFonts w:ascii="Calibri" w:eastAsiaTheme="minorEastAsia" w:hAnsi="Calibri" w:cs="Calibri"/>
          <w:kern w:val="24"/>
          <w:sz w:val="24"/>
          <w:szCs w:val="24"/>
        </w:rPr>
        <w:t xml:space="preserve">ember </w:t>
      </w:r>
      <w:r w:rsidR="000A22C8" w:rsidRPr="00472C9F">
        <w:rPr>
          <w:rFonts w:ascii="Calibri" w:eastAsiaTheme="minorEastAsia" w:hAnsi="Calibri" w:cs="Calibri"/>
          <w:kern w:val="24"/>
          <w:sz w:val="24"/>
          <w:szCs w:val="24"/>
        </w:rPr>
        <w:t>S</w:t>
      </w:r>
      <w:r w:rsidR="00E31D1C" w:rsidRPr="00472C9F">
        <w:rPr>
          <w:rFonts w:ascii="Calibri" w:eastAsiaTheme="minorEastAsia" w:hAnsi="Calibri" w:cs="Calibri"/>
          <w:kern w:val="24"/>
          <w:sz w:val="24"/>
          <w:szCs w:val="24"/>
        </w:rPr>
        <w:t>tates</w:t>
      </w:r>
      <w:r w:rsidR="00D9427C" w:rsidRPr="00472C9F">
        <w:rPr>
          <w:rFonts w:ascii="Calibri" w:eastAsiaTheme="minorEastAsia" w:hAnsi="Calibri" w:cs="Calibri"/>
          <w:kern w:val="24"/>
          <w:sz w:val="24"/>
          <w:szCs w:val="24"/>
        </w:rPr>
        <w:t>,</w:t>
      </w:r>
      <w:r w:rsidR="00E31D1C" w:rsidRPr="00472C9F">
        <w:rPr>
          <w:rFonts w:ascii="Calibri" w:eastAsiaTheme="minorEastAsia" w:hAnsi="Calibri" w:cs="Calibri"/>
          <w:kern w:val="24"/>
          <w:sz w:val="24"/>
          <w:szCs w:val="24"/>
        </w:rPr>
        <w:t xml:space="preserve"> </w:t>
      </w:r>
      <w:r w:rsidR="00D9427C" w:rsidRPr="00472C9F">
        <w:rPr>
          <w:rFonts w:ascii="Calibri" w:eastAsiaTheme="minorEastAsia" w:hAnsi="Calibri" w:cs="Calibri"/>
          <w:kern w:val="24"/>
          <w:sz w:val="24"/>
          <w:szCs w:val="24"/>
        </w:rPr>
        <w:t xml:space="preserve">17 </w:t>
      </w:r>
      <w:r w:rsidR="00E31D1C" w:rsidRPr="00472C9F">
        <w:rPr>
          <w:rFonts w:ascii="Calibri" w:eastAsiaTheme="minorEastAsia" w:hAnsi="Calibri" w:cs="Calibri"/>
          <w:kern w:val="24"/>
          <w:sz w:val="24"/>
          <w:szCs w:val="24"/>
        </w:rPr>
        <w:t xml:space="preserve">recognise same-sex marriage, and </w:t>
      </w:r>
      <w:r w:rsidR="00C93924" w:rsidRPr="00472C9F">
        <w:rPr>
          <w:rFonts w:ascii="Calibri" w:eastAsiaTheme="minorEastAsia" w:hAnsi="Calibri" w:cs="Calibri"/>
          <w:kern w:val="24"/>
          <w:sz w:val="24"/>
          <w:szCs w:val="24"/>
        </w:rPr>
        <w:t xml:space="preserve">in addition </w:t>
      </w:r>
      <w:r w:rsidR="00DF21EB" w:rsidRPr="00472C9F">
        <w:rPr>
          <w:rFonts w:ascii="Calibri" w:eastAsiaTheme="minorEastAsia" w:hAnsi="Calibri" w:cs="Calibri"/>
          <w:kern w:val="24"/>
          <w:sz w:val="24"/>
          <w:szCs w:val="24"/>
        </w:rPr>
        <w:t xml:space="preserve">eight </w:t>
      </w:r>
      <w:r w:rsidR="00C93924" w:rsidRPr="00472C9F">
        <w:rPr>
          <w:rFonts w:ascii="Calibri" w:eastAsiaTheme="minorEastAsia" w:hAnsi="Calibri" w:cs="Calibri"/>
          <w:kern w:val="24"/>
          <w:sz w:val="24"/>
          <w:szCs w:val="24"/>
        </w:rPr>
        <w:t xml:space="preserve">recognise some form of </w:t>
      </w:r>
      <w:r w:rsidR="00E31D1C" w:rsidRPr="00472C9F">
        <w:rPr>
          <w:rFonts w:ascii="Calibri" w:eastAsiaTheme="minorEastAsia" w:hAnsi="Calibri" w:cs="Calibri"/>
          <w:kern w:val="24"/>
          <w:sz w:val="24"/>
          <w:szCs w:val="24"/>
        </w:rPr>
        <w:t>civil partnership.</w:t>
      </w:r>
      <w:r w:rsidR="00C93924" w:rsidRPr="00472C9F">
        <w:rPr>
          <w:rStyle w:val="FootnoteReference"/>
          <w:rFonts w:ascii="Calibri" w:eastAsiaTheme="minorEastAsia" w:hAnsi="Calibri" w:cs="Calibri"/>
          <w:kern w:val="24"/>
          <w:sz w:val="24"/>
          <w:szCs w:val="24"/>
        </w:rPr>
        <w:footnoteReference w:id="108"/>
      </w:r>
      <w:r w:rsidR="00E31D1C" w:rsidRPr="00472C9F">
        <w:rPr>
          <w:rFonts w:ascii="Calibri" w:eastAsiaTheme="minorEastAsia" w:hAnsi="Calibri" w:cs="Calibri"/>
          <w:kern w:val="24"/>
          <w:sz w:val="24"/>
          <w:szCs w:val="24"/>
        </w:rPr>
        <w:t xml:space="preserve"> There is less recognition of children </w:t>
      </w:r>
      <w:r w:rsidR="00950EDB">
        <w:rPr>
          <w:rFonts w:ascii="Calibri" w:eastAsiaTheme="minorEastAsia" w:hAnsi="Calibri" w:cs="Calibri"/>
          <w:kern w:val="24"/>
          <w:sz w:val="24"/>
          <w:szCs w:val="24"/>
        </w:rPr>
        <w:t>of</w:t>
      </w:r>
      <w:r w:rsidR="00E31D1C" w:rsidRPr="00472C9F">
        <w:rPr>
          <w:rFonts w:ascii="Calibri" w:eastAsiaTheme="minorEastAsia" w:hAnsi="Calibri" w:cs="Calibri"/>
          <w:kern w:val="24"/>
          <w:sz w:val="24"/>
          <w:szCs w:val="24"/>
        </w:rPr>
        <w:t xml:space="preserve"> same-sex couples</w:t>
      </w:r>
      <w:r w:rsidR="000B21CD" w:rsidRPr="00472C9F">
        <w:rPr>
          <w:rFonts w:ascii="Calibri" w:eastAsiaTheme="minorEastAsia" w:hAnsi="Calibri" w:cs="Calibri"/>
          <w:kern w:val="24"/>
          <w:sz w:val="24"/>
          <w:szCs w:val="24"/>
        </w:rPr>
        <w:t>, as can be demonstrated by</w:t>
      </w:r>
      <w:r w:rsidR="00E31D1C" w:rsidRPr="00472C9F">
        <w:rPr>
          <w:rFonts w:ascii="Calibri" w:hAnsi="Calibri" w:cs="Calibri"/>
          <w:sz w:val="24"/>
          <w:szCs w:val="24"/>
        </w:rPr>
        <w:t xml:space="preserve"> </w:t>
      </w:r>
      <w:r w:rsidR="00E31D1C" w:rsidRPr="00472C9F">
        <w:rPr>
          <w:rFonts w:ascii="Calibri" w:eastAsiaTheme="minorEastAsia" w:hAnsi="Calibri" w:cs="Calibri"/>
          <w:kern w:val="24"/>
          <w:sz w:val="24"/>
          <w:szCs w:val="24"/>
        </w:rPr>
        <w:t>ILGA Europe’s Rainbow map.</w:t>
      </w:r>
      <w:r w:rsidR="00E31D1C" w:rsidRPr="00472C9F">
        <w:rPr>
          <w:rStyle w:val="FootnoteReference"/>
          <w:rFonts w:ascii="Calibri" w:eastAsiaTheme="minorEastAsia" w:hAnsi="Calibri" w:cs="Calibri"/>
          <w:kern w:val="24"/>
          <w:sz w:val="24"/>
          <w:szCs w:val="24"/>
        </w:rPr>
        <w:footnoteReference w:id="109"/>
      </w:r>
      <w:r w:rsidR="00E31D1C" w:rsidRPr="00472C9F">
        <w:rPr>
          <w:rFonts w:ascii="Calibri" w:eastAsiaTheme="minorEastAsia" w:hAnsi="Calibri" w:cs="Calibri"/>
          <w:kern w:val="24"/>
          <w:sz w:val="24"/>
          <w:szCs w:val="24"/>
        </w:rPr>
        <w:t xml:space="preserve"> W</w:t>
      </w:r>
      <w:r w:rsidR="00E31D1C" w:rsidRPr="00472C9F">
        <w:rPr>
          <w:rFonts w:ascii="Calibri" w:hAnsi="Calibri" w:cs="Calibri"/>
          <w:sz w:val="24"/>
          <w:szCs w:val="24"/>
        </w:rPr>
        <w:t>hilst advances in medical science can lead to joint parenting in a number of ways</w:t>
      </w:r>
      <w:r w:rsidR="00AA671C" w:rsidRPr="00472C9F">
        <w:rPr>
          <w:rFonts w:ascii="Calibri" w:hAnsi="Calibri" w:cs="Calibri"/>
          <w:sz w:val="24"/>
          <w:szCs w:val="24"/>
        </w:rPr>
        <w:t xml:space="preserve"> including </w:t>
      </w:r>
      <w:r w:rsidR="00E31D1C" w:rsidRPr="00472C9F">
        <w:rPr>
          <w:rFonts w:ascii="Calibri" w:hAnsi="Calibri" w:cs="Calibri"/>
          <w:sz w:val="24"/>
          <w:szCs w:val="24"/>
        </w:rPr>
        <w:t>donor insemination</w:t>
      </w:r>
      <w:r w:rsidR="00DF21EB" w:rsidRPr="00472C9F">
        <w:rPr>
          <w:rFonts w:ascii="Calibri" w:hAnsi="Calibri" w:cs="Calibri"/>
          <w:sz w:val="24"/>
          <w:szCs w:val="24"/>
        </w:rPr>
        <w:t xml:space="preserve"> and</w:t>
      </w:r>
      <w:r w:rsidR="00E31D1C" w:rsidRPr="00472C9F">
        <w:rPr>
          <w:rFonts w:ascii="Calibri" w:hAnsi="Calibri" w:cs="Calibri"/>
          <w:sz w:val="24"/>
          <w:szCs w:val="24"/>
        </w:rPr>
        <w:t xml:space="preserve"> surrogacy</w:t>
      </w:r>
      <w:r w:rsidR="00A95256">
        <w:rPr>
          <w:rFonts w:ascii="Calibri" w:hAnsi="Calibri" w:cs="Calibri"/>
          <w:sz w:val="24"/>
          <w:szCs w:val="24"/>
        </w:rPr>
        <w:t>,</w:t>
      </w:r>
      <w:r w:rsidR="0024627C" w:rsidRPr="00472C9F">
        <w:rPr>
          <w:rFonts w:ascii="Calibri" w:hAnsi="Calibri" w:cs="Calibri"/>
          <w:sz w:val="24"/>
          <w:szCs w:val="24"/>
        </w:rPr>
        <w:t xml:space="preserve"> </w:t>
      </w:r>
      <w:r w:rsidR="00666711" w:rsidRPr="00472C9F">
        <w:rPr>
          <w:rFonts w:ascii="Calibri" w:hAnsi="Calibri" w:cs="Calibri"/>
          <w:sz w:val="24"/>
          <w:szCs w:val="24"/>
        </w:rPr>
        <w:t xml:space="preserve">and some jurisdictions now allow for same-sex couple </w:t>
      </w:r>
      <w:r w:rsidR="00E31D1C" w:rsidRPr="00472C9F">
        <w:rPr>
          <w:rFonts w:ascii="Calibri" w:hAnsi="Calibri" w:cs="Calibri"/>
          <w:sz w:val="24"/>
          <w:szCs w:val="24"/>
        </w:rPr>
        <w:t>adoption</w:t>
      </w:r>
      <w:r w:rsidR="00666711" w:rsidRPr="00472C9F">
        <w:rPr>
          <w:rFonts w:ascii="Calibri" w:hAnsi="Calibri" w:cs="Calibri"/>
          <w:sz w:val="24"/>
          <w:szCs w:val="24"/>
        </w:rPr>
        <w:t xml:space="preserve"> and</w:t>
      </w:r>
      <w:r w:rsidR="00E31D1C" w:rsidRPr="00472C9F">
        <w:rPr>
          <w:rFonts w:ascii="Calibri" w:hAnsi="Calibri" w:cs="Calibri"/>
          <w:sz w:val="24"/>
          <w:szCs w:val="24"/>
        </w:rPr>
        <w:t xml:space="preserve"> step-child adoption</w:t>
      </w:r>
      <w:r w:rsidR="00666711" w:rsidRPr="00472C9F">
        <w:rPr>
          <w:rFonts w:ascii="Calibri" w:hAnsi="Calibri" w:cs="Calibri"/>
          <w:sz w:val="24"/>
          <w:szCs w:val="24"/>
        </w:rPr>
        <w:t xml:space="preserve">, </w:t>
      </w:r>
      <w:r w:rsidR="00E31D1C" w:rsidRPr="00472C9F">
        <w:rPr>
          <w:rFonts w:ascii="Calibri" w:hAnsi="Calibri" w:cs="Calibri"/>
          <w:sz w:val="24"/>
          <w:szCs w:val="24"/>
        </w:rPr>
        <w:t xml:space="preserve">same-sex couples are </w:t>
      </w:r>
      <w:r w:rsidR="00DF21EB" w:rsidRPr="00472C9F">
        <w:rPr>
          <w:rFonts w:ascii="Calibri" w:hAnsi="Calibri" w:cs="Calibri"/>
          <w:sz w:val="24"/>
          <w:szCs w:val="24"/>
        </w:rPr>
        <w:t xml:space="preserve">generally </w:t>
      </w:r>
      <w:r w:rsidR="00E31D1C" w:rsidRPr="00472C9F">
        <w:rPr>
          <w:rFonts w:ascii="Calibri" w:hAnsi="Calibri" w:cs="Calibri"/>
          <w:sz w:val="24"/>
          <w:szCs w:val="24"/>
        </w:rPr>
        <w:t>‘still incapable of having children who will be genetically related to both members of the couple</w:t>
      </w:r>
      <w:r w:rsidR="003E5E52" w:rsidRPr="00472C9F">
        <w:rPr>
          <w:rFonts w:ascii="Calibri" w:hAnsi="Calibri" w:cs="Calibri"/>
          <w:sz w:val="24"/>
          <w:szCs w:val="24"/>
        </w:rPr>
        <w:t>’.</w:t>
      </w:r>
      <w:r w:rsidR="00E31D1C" w:rsidRPr="00472C9F">
        <w:rPr>
          <w:rStyle w:val="FootnoteReference"/>
          <w:rFonts w:ascii="Calibri" w:hAnsi="Calibri" w:cs="Calibri"/>
          <w:sz w:val="24"/>
          <w:szCs w:val="24"/>
        </w:rPr>
        <w:footnoteReference w:id="110"/>
      </w:r>
      <w:r w:rsidR="00092096" w:rsidRPr="00472C9F">
        <w:rPr>
          <w:rFonts w:ascii="Calibri" w:hAnsi="Calibri" w:cs="Calibri"/>
          <w:b/>
          <w:bCs/>
          <w:sz w:val="24"/>
          <w:szCs w:val="24"/>
        </w:rPr>
        <w:t xml:space="preserve"> </w:t>
      </w:r>
      <w:r w:rsidR="00092096" w:rsidRPr="00472C9F">
        <w:rPr>
          <w:rFonts w:ascii="Calibri" w:hAnsi="Calibri" w:cs="Calibri"/>
          <w:sz w:val="24"/>
          <w:szCs w:val="24"/>
        </w:rPr>
        <w:t>Whilst heterosexual couples may also have children who are not genetically related to both parents, it</w:t>
      </w:r>
      <w:r w:rsidR="00D9427C" w:rsidRPr="00472C9F">
        <w:rPr>
          <w:rFonts w:ascii="Calibri" w:hAnsi="Calibri" w:cs="Calibri"/>
          <w:sz w:val="24"/>
          <w:szCs w:val="24"/>
        </w:rPr>
        <w:t xml:space="preserve"> i</w:t>
      </w:r>
      <w:r w:rsidR="00092096" w:rsidRPr="00472C9F">
        <w:rPr>
          <w:rFonts w:ascii="Calibri" w:hAnsi="Calibri" w:cs="Calibri"/>
          <w:sz w:val="24"/>
          <w:szCs w:val="24"/>
        </w:rPr>
        <w:t xml:space="preserve">s always an assumption that </w:t>
      </w:r>
      <w:r w:rsidR="002C5AC4" w:rsidRPr="00472C9F">
        <w:rPr>
          <w:rFonts w:ascii="Calibri" w:hAnsi="Calibri" w:cs="Calibri"/>
          <w:sz w:val="24"/>
          <w:szCs w:val="24"/>
        </w:rPr>
        <w:t xml:space="preserve">the man is </w:t>
      </w:r>
      <w:r w:rsidR="00A95256">
        <w:rPr>
          <w:rFonts w:ascii="Calibri" w:hAnsi="Calibri" w:cs="Calibri"/>
          <w:sz w:val="24"/>
          <w:szCs w:val="24"/>
        </w:rPr>
        <w:t>the</w:t>
      </w:r>
      <w:r w:rsidR="00092096" w:rsidRPr="00472C9F">
        <w:rPr>
          <w:rFonts w:ascii="Calibri" w:hAnsi="Calibri" w:cs="Calibri"/>
          <w:sz w:val="24"/>
          <w:szCs w:val="24"/>
        </w:rPr>
        <w:t xml:space="preserve"> father </w:t>
      </w:r>
      <w:r w:rsidR="002C5AC4" w:rsidRPr="00472C9F">
        <w:rPr>
          <w:rFonts w:ascii="Calibri" w:hAnsi="Calibri" w:cs="Calibri"/>
          <w:sz w:val="24"/>
          <w:szCs w:val="24"/>
        </w:rPr>
        <w:t>to the</w:t>
      </w:r>
      <w:r w:rsidR="00092096" w:rsidRPr="00472C9F">
        <w:rPr>
          <w:rFonts w:ascii="Calibri" w:hAnsi="Calibri" w:cs="Calibri"/>
          <w:sz w:val="24"/>
          <w:szCs w:val="24"/>
        </w:rPr>
        <w:t xml:space="preserve"> children when he may not be. Same-sex couples do not benefit from this same approach. </w:t>
      </w:r>
      <w:r w:rsidR="00E31D1C" w:rsidRPr="00472C9F">
        <w:rPr>
          <w:rFonts w:ascii="Calibri" w:eastAsiaTheme="minorEastAsia" w:hAnsi="Calibri" w:cs="Calibri"/>
          <w:kern w:val="24"/>
          <w:sz w:val="24"/>
          <w:szCs w:val="24"/>
        </w:rPr>
        <w:t xml:space="preserve">All EU </w:t>
      </w:r>
      <w:r w:rsidR="000A22C8" w:rsidRPr="00472C9F">
        <w:rPr>
          <w:rFonts w:ascii="Calibri" w:eastAsiaTheme="minorEastAsia" w:hAnsi="Calibri" w:cs="Calibri"/>
          <w:kern w:val="24"/>
          <w:sz w:val="24"/>
          <w:szCs w:val="24"/>
        </w:rPr>
        <w:t>M</w:t>
      </w:r>
      <w:r w:rsidR="00E31D1C" w:rsidRPr="00472C9F">
        <w:rPr>
          <w:rFonts w:ascii="Calibri" w:eastAsiaTheme="minorEastAsia" w:hAnsi="Calibri" w:cs="Calibri"/>
          <w:kern w:val="24"/>
          <w:sz w:val="24"/>
          <w:szCs w:val="24"/>
        </w:rPr>
        <w:t xml:space="preserve">ember </w:t>
      </w:r>
      <w:r w:rsidR="000A22C8" w:rsidRPr="00472C9F">
        <w:rPr>
          <w:rFonts w:ascii="Calibri" w:eastAsiaTheme="minorEastAsia" w:hAnsi="Calibri" w:cs="Calibri"/>
          <w:kern w:val="24"/>
          <w:sz w:val="24"/>
          <w:szCs w:val="24"/>
        </w:rPr>
        <w:t>S</w:t>
      </w:r>
      <w:r w:rsidR="00E31D1C" w:rsidRPr="00472C9F">
        <w:rPr>
          <w:rFonts w:ascii="Calibri" w:eastAsiaTheme="minorEastAsia" w:hAnsi="Calibri" w:cs="Calibri"/>
          <w:kern w:val="24"/>
          <w:sz w:val="24"/>
          <w:szCs w:val="24"/>
        </w:rPr>
        <w:t>tates are members of the Council of Europe, and the legal rights protections set out by the European Court of Human Rights</w:t>
      </w:r>
      <w:r w:rsidR="008C588C" w:rsidRPr="00472C9F">
        <w:rPr>
          <w:rFonts w:ascii="Calibri" w:eastAsiaTheme="minorEastAsia" w:hAnsi="Calibri" w:cs="Calibri"/>
          <w:kern w:val="24"/>
          <w:sz w:val="24"/>
          <w:szCs w:val="24"/>
        </w:rPr>
        <w:t xml:space="preserve"> (‘ECtHR’)</w:t>
      </w:r>
      <w:r w:rsidR="00E31D1C" w:rsidRPr="00472C9F">
        <w:rPr>
          <w:rFonts w:ascii="Calibri" w:eastAsiaTheme="minorEastAsia" w:hAnsi="Calibri" w:cs="Calibri"/>
          <w:kern w:val="24"/>
          <w:sz w:val="24"/>
          <w:szCs w:val="24"/>
        </w:rPr>
        <w:t xml:space="preserve"> form a </w:t>
      </w:r>
      <w:r w:rsidR="004128F9" w:rsidRPr="00472C9F">
        <w:rPr>
          <w:rFonts w:ascii="Calibri" w:eastAsiaTheme="minorEastAsia" w:hAnsi="Calibri" w:cs="Calibri"/>
          <w:kern w:val="24"/>
          <w:sz w:val="24"/>
          <w:szCs w:val="24"/>
        </w:rPr>
        <w:t xml:space="preserve">minimum </w:t>
      </w:r>
      <w:r w:rsidR="00E31D1C" w:rsidRPr="00472C9F">
        <w:rPr>
          <w:rFonts w:ascii="Calibri" w:eastAsiaTheme="minorEastAsia" w:hAnsi="Calibri" w:cs="Calibri"/>
          <w:kern w:val="24"/>
          <w:sz w:val="24"/>
          <w:szCs w:val="24"/>
        </w:rPr>
        <w:t>line of protections which the EU must adhere to.</w:t>
      </w:r>
      <w:r w:rsidR="00E31D1C" w:rsidRPr="00472C9F">
        <w:rPr>
          <w:rStyle w:val="FootnoteReference"/>
          <w:rFonts w:ascii="Calibri" w:eastAsiaTheme="minorEastAsia" w:hAnsi="Calibri" w:cs="Calibri"/>
          <w:kern w:val="24"/>
          <w:sz w:val="24"/>
          <w:szCs w:val="24"/>
        </w:rPr>
        <w:footnoteReference w:id="111"/>
      </w:r>
      <w:r w:rsidR="00E31D1C" w:rsidRPr="00472C9F">
        <w:rPr>
          <w:rFonts w:ascii="Calibri" w:eastAsiaTheme="minorEastAsia" w:hAnsi="Calibri" w:cs="Calibri"/>
          <w:kern w:val="24"/>
          <w:sz w:val="24"/>
          <w:szCs w:val="24"/>
        </w:rPr>
        <w:t xml:space="preserve"> </w:t>
      </w:r>
      <w:r w:rsidR="00627FA5" w:rsidRPr="00472C9F">
        <w:rPr>
          <w:rFonts w:ascii="Calibri" w:eastAsiaTheme="minorEastAsia" w:hAnsi="Calibri" w:cs="Calibri"/>
          <w:kern w:val="24"/>
          <w:sz w:val="24"/>
          <w:szCs w:val="24"/>
        </w:rPr>
        <w:t xml:space="preserve">The ECtHR </w:t>
      </w:r>
      <w:r w:rsidR="004A0A20" w:rsidRPr="00472C9F">
        <w:rPr>
          <w:rFonts w:ascii="Calibri" w:eastAsiaTheme="minorEastAsia" w:hAnsi="Calibri" w:cs="Calibri"/>
          <w:kern w:val="24"/>
          <w:sz w:val="24"/>
          <w:szCs w:val="24"/>
        </w:rPr>
        <w:t xml:space="preserve">jurisprudence </w:t>
      </w:r>
      <w:r w:rsidR="00627FA5" w:rsidRPr="00472C9F">
        <w:rPr>
          <w:rFonts w:ascii="Calibri" w:eastAsiaTheme="minorEastAsia" w:hAnsi="Calibri" w:cs="Calibri"/>
          <w:kern w:val="24"/>
          <w:sz w:val="24"/>
          <w:szCs w:val="24"/>
        </w:rPr>
        <w:t xml:space="preserve">is </w:t>
      </w:r>
      <w:r w:rsidR="00E30827" w:rsidRPr="00472C9F">
        <w:rPr>
          <w:rFonts w:ascii="Calibri" w:eastAsiaTheme="minorEastAsia" w:hAnsi="Calibri" w:cs="Calibri"/>
          <w:kern w:val="24"/>
          <w:sz w:val="24"/>
          <w:szCs w:val="24"/>
        </w:rPr>
        <w:t>also a source of law for CJEU jurisprudence</w:t>
      </w:r>
      <w:r w:rsidR="004C7EC8" w:rsidRPr="00472C9F">
        <w:rPr>
          <w:rFonts w:ascii="Calibri" w:eastAsiaTheme="minorEastAsia" w:hAnsi="Calibri" w:cs="Calibri"/>
          <w:kern w:val="24"/>
          <w:sz w:val="24"/>
          <w:szCs w:val="24"/>
        </w:rPr>
        <w:t xml:space="preserve"> and its case law must be analysed when considering the impact on EU citizenship in this regard</w:t>
      </w:r>
      <w:r w:rsidR="00AC268C" w:rsidRPr="00472C9F">
        <w:rPr>
          <w:rFonts w:ascii="Calibri" w:eastAsiaTheme="minorEastAsia" w:hAnsi="Calibri" w:cs="Calibri"/>
          <w:kern w:val="24"/>
          <w:sz w:val="24"/>
          <w:szCs w:val="24"/>
        </w:rPr>
        <w:t xml:space="preserve">, </w:t>
      </w:r>
      <w:r w:rsidR="00D901BD" w:rsidRPr="00472C9F">
        <w:rPr>
          <w:rFonts w:ascii="Calibri" w:eastAsiaTheme="minorEastAsia" w:hAnsi="Calibri" w:cs="Calibri"/>
          <w:kern w:val="24"/>
          <w:sz w:val="24"/>
          <w:szCs w:val="24"/>
        </w:rPr>
        <w:t xml:space="preserve">but </w:t>
      </w:r>
      <w:r w:rsidR="004C7EC8" w:rsidRPr="00472C9F">
        <w:rPr>
          <w:rFonts w:ascii="Calibri" w:eastAsiaTheme="minorEastAsia" w:hAnsi="Calibri" w:cs="Calibri"/>
          <w:kern w:val="24"/>
          <w:sz w:val="24"/>
          <w:szCs w:val="24"/>
        </w:rPr>
        <w:t>this only applies in</w:t>
      </w:r>
      <w:r w:rsidR="00D901BD" w:rsidRPr="00472C9F">
        <w:rPr>
          <w:rFonts w:ascii="Calibri" w:eastAsiaTheme="minorEastAsia" w:hAnsi="Calibri" w:cs="Calibri"/>
          <w:kern w:val="24"/>
          <w:sz w:val="24"/>
          <w:szCs w:val="24"/>
        </w:rPr>
        <w:t xml:space="preserve"> relation to matters within the EU’s competence.</w:t>
      </w:r>
      <w:r w:rsidR="005A4F42" w:rsidRPr="00472C9F">
        <w:rPr>
          <w:rStyle w:val="FootnoteReference"/>
          <w:rFonts w:ascii="Calibri" w:eastAsiaTheme="minorEastAsia" w:hAnsi="Calibri" w:cs="Calibri"/>
          <w:kern w:val="24"/>
          <w:sz w:val="24"/>
          <w:szCs w:val="24"/>
        </w:rPr>
        <w:t xml:space="preserve"> </w:t>
      </w:r>
      <w:r w:rsidR="005A4F42" w:rsidRPr="00472C9F">
        <w:rPr>
          <w:rStyle w:val="FootnoteReference"/>
          <w:rFonts w:ascii="Calibri" w:eastAsiaTheme="minorEastAsia" w:hAnsi="Calibri" w:cs="Calibri"/>
          <w:kern w:val="24"/>
          <w:sz w:val="24"/>
          <w:szCs w:val="24"/>
        </w:rPr>
        <w:footnoteReference w:id="112"/>
      </w:r>
      <w:r w:rsidR="00E30827" w:rsidRPr="00472C9F">
        <w:rPr>
          <w:rFonts w:ascii="Calibri" w:eastAsiaTheme="minorEastAsia" w:hAnsi="Calibri" w:cs="Calibri"/>
          <w:kern w:val="24"/>
          <w:sz w:val="24"/>
          <w:szCs w:val="24"/>
        </w:rPr>
        <w:t xml:space="preserve"> </w:t>
      </w:r>
    </w:p>
    <w:p w14:paraId="56D0AE1D" w14:textId="77777777" w:rsidR="00CD3939" w:rsidRDefault="00CD3939" w:rsidP="0059780E">
      <w:pPr>
        <w:spacing w:after="0" w:line="360" w:lineRule="auto"/>
        <w:jc w:val="both"/>
        <w:rPr>
          <w:rFonts w:ascii="Calibri" w:eastAsiaTheme="minorEastAsia" w:hAnsi="Calibri" w:cs="Calibri"/>
          <w:kern w:val="24"/>
          <w:sz w:val="24"/>
          <w:szCs w:val="24"/>
        </w:rPr>
      </w:pPr>
    </w:p>
    <w:p w14:paraId="17FCE689" w14:textId="088DBAFE" w:rsidR="00B928EC" w:rsidRDefault="00E31D1C" w:rsidP="0059780E">
      <w:pPr>
        <w:spacing w:after="0" w:line="360" w:lineRule="auto"/>
        <w:jc w:val="both"/>
        <w:rPr>
          <w:rFonts w:ascii="Calibri" w:eastAsiaTheme="minorEastAsia" w:hAnsi="Calibri" w:cs="Calibri"/>
          <w:kern w:val="24"/>
          <w:sz w:val="24"/>
          <w:szCs w:val="24"/>
        </w:rPr>
      </w:pPr>
      <w:r w:rsidRPr="00472C9F">
        <w:rPr>
          <w:rFonts w:ascii="Calibri" w:eastAsiaTheme="minorEastAsia" w:hAnsi="Calibri" w:cs="Calibri"/>
          <w:kern w:val="24"/>
          <w:sz w:val="24"/>
          <w:szCs w:val="24"/>
        </w:rPr>
        <w:t xml:space="preserve">Yet whilst the ECtHR has led the way in developing human rights protections </w:t>
      </w:r>
      <w:r w:rsidR="00092096" w:rsidRPr="00472C9F">
        <w:rPr>
          <w:rFonts w:ascii="Calibri" w:eastAsiaTheme="minorEastAsia" w:hAnsi="Calibri" w:cs="Calibri"/>
          <w:kern w:val="24"/>
          <w:sz w:val="24"/>
          <w:szCs w:val="24"/>
        </w:rPr>
        <w:t xml:space="preserve">for </w:t>
      </w:r>
      <w:r w:rsidR="00252D26" w:rsidRPr="00472C9F">
        <w:rPr>
          <w:rFonts w:ascii="Calibri" w:eastAsiaTheme="minorEastAsia" w:hAnsi="Calibri" w:cs="Calibri"/>
          <w:kern w:val="24"/>
          <w:sz w:val="24"/>
          <w:szCs w:val="24"/>
        </w:rPr>
        <w:t>lesbians and gays</w:t>
      </w:r>
      <w:r w:rsidRPr="00472C9F">
        <w:rPr>
          <w:rFonts w:ascii="Calibri" w:eastAsiaTheme="minorEastAsia" w:hAnsi="Calibri" w:cs="Calibri"/>
          <w:kern w:val="24"/>
          <w:sz w:val="24"/>
          <w:szCs w:val="24"/>
        </w:rPr>
        <w:t>, including decriminalising sex between men</w:t>
      </w:r>
      <w:r w:rsidRPr="00472C9F">
        <w:rPr>
          <w:rStyle w:val="FootnoteReference"/>
          <w:rFonts w:ascii="Calibri" w:hAnsi="Calibri" w:cs="Calibri"/>
          <w:sz w:val="24"/>
          <w:szCs w:val="24"/>
          <w:lang w:val="en-US"/>
        </w:rPr>
        <w:footnoteReference w:id="113"/>
      </w:r>
      <w:r w:rsidRPr="00472C9F">
        <w:rPr>
          <w:rFonts w:ascii="Calibri" w:eastAsiaTheme="minorEastAsia" w:hAnsi="Calibri" w:cs="Calibri"/>
          <w:kern w:val="24"/>
          <w:sz w:val="24"/>
          <w:szCs w:val="24"/>
        </w:rPr>
        <w:t xml:space="preserve"> and equalising the age of consent</w:t>
      </w:r>
      <w:r w:rsidR="004B1E8F" w:rsidRPr="00472C9F">
        <w:rPr>
          <w:rFonts w:ascii="Calibri" w:eastAsiaTheme="minorEastAsia" w:hAnsi="Calibri" w:cs="Calibri"/>
          <w:kern w:val="24"/>
          <w:sz w:val="24"/>
          <w:szCs w:val="24"/>
        </w:rPr>
        <w:t xml:space="preserve"> for opposite sex and same-sex couples</w:t>
      </w:r>
      <w:r w:rsidRPr="00472C9F">
        <w:rPr>
          <w:rStyle w:val="FootnoteReference"/>
          <w:rFonts w:ascii="Calibri" w:hAnsi="Calibri" w:cs="Calibri"/>
          <w:sz w:val="24"/>
          <w:szCs w:val="24"/>
          <w:lang w:val="en-US"/>
        </w:rPr>
        <w:footnoteReference w:id="114"/>
      </w:r>
      <w:r w:rsidRPr="00472C9F">
        <w:rPr>
          <w:rFonts w:ascii="Calibri" w:eastAsiaTheme="minorEastAsia" w:hAnsi="Calibri" w:cs="Calibri"/>
          <w:kern w:val="24"/>
          <w:sz w:val="24"/>
          <w:szCs w:val="24"/>
        </w:rPr>
        <w:t xml:space="preserve"> in other areas of family law, the </w:t>
      </w:r>
      <w:r w:rsidR="00252D26" w:rsidRPr="00472C9F">
        <w:rPr>
          <w:rFonts w:ascii="Calibri" w:eastAsiaTheme="minorEastAsia" w:hAnsi="Calibri" w:cs="Calibri"/>
          <w:kern w:val="24"/>
          <w:sz w:val="24"/>
          <w:szCs w:val="24"/>
        </w:rPr>
        <w:t>ECtHR</w:t>
      </w:r>
      <w:r w:rsidRPr="00472C9F">
        <w:rPr>
          <w:rFonts w:ascii="Calibri" w:eastAsiaTheme="minorEastAsia" w:hAnsi="Calibri" w:cs="Calibri"/>
          <w:kern w:val="24"/>
          <w:sz w:val="24"/>
          <w:szCs w:val="24"/>
        </w:rPr>
        <w:t xml:space="preserve"> </w:t>
      </w:r>
      <w:r w:rsidR="00DF21EB" w:rsidRPr="00472C9F">
        <w:rPr>
          <w:rFonts w:ascii="Calibri" w:eastAsiaTheme="minorEastAsia" w:hAnsi="Calibri" w:cs="Calibri"/>
          <w:kern w:val="24"/>
          <w:sz w:val="24"/>
          <w:szCs w:val="24"/>
        </w:rPr>
        <w:t xml:space="preserve">continues to </w:t>
      </w:r>
      <w:r w:rsidRPr="00472C9F">
        <w:rPr>
          <w:rFonts w:ascii="Calibri" w:eastAsiaTheme="minorEastAsia" w:hAnsi="Calibri" w:cs="Calibri"/>
          <w:kern w:val="24"/>
          <w:sz w:val="24"/>
          <w:szCs w:val="24"/>
        </w:rPr>
        <w:lastRenderedPageBreak/>
        <w:t>allow a large margin of appreciation,</w:t>
      </w:r>
      <w:r w:rsidR="00687CE8" w:rsidRPr="00472C9F">
        <w:rPr>
          <w:rFonts w:ascii="Calibri" w:eastAsiaTheme="minorEastAsia" w:hAnsi="Calibri" w:cs="Calibri"/>
          <w:kern w:val="24"/>
          <w:sz w:val="24"/>
          <w:szCs w:val="24"/>
        </w:rPr>
        <w:t xml:space="preserve"> or area of discretion,</w:t>
      </w:r>
      <w:r w:rsidRPr="00472C9F">
        <w:rPr>
          <w:rFonts w:ascii="Calibri" w:eastAsiaTheme="minorEastAsia" w:hAnsi="Calibri" w:cs="Calibri"/>
          <w:kern w:val="24"/>
          <w:sz w:val="24"/>
          <w:szCs w:val="24"/>
        </w:rPr>
        <w:t xml:space="preserve"> which it justifies due to a lack of consensus across Council of Europe States. The Council of Europe is wider than the EU and has even less homogeneity.</w:t>
      </w:r>
      <w:r w:rsidRPr="00472C9F">
        <w:rPr>
          <w:rFonts w:ascii="Calibri" w:hAnsi="Calibri" w:cs="Calibri"/>
          <w:sz w:val="24"/>
          <w:szCs w:val="24"/>
        </w:rPr>
        <w:t xml:space="preserve"> </w:t>
      </w:r>
      <w:r w:rsidR="00252D26" w:rsidRPr="00472C9F">
        <w:rPr>
          <w:rFonts w:ascii="Calibri" w:hAnsi="Calibri" w:cs="Calibri"/>
          <w:sz w:val="24"/>
          <w:szCs w:val="24"/>
          <w:lang w:val="en-US"/>
        </w:rPr>
        <w:t xml:space="preserve">The </w:t>
      </w:r>
      <w:r w:rsidRPr="00472C9F">
        <w:rPr>
          <w:rFonts w:ascii="Calibri" w:hAnsi="Calibri" w:cs="Calibri"/>
          <w:sz w:val="24"/>
          <w:szCs w:val="24"/>
          <w:lang w:val="en-US"/>
        </w:rPr>
        <w:t xml:space="preserve">Council of Europe </w:t>
      </w:r>
      <w:r w:rsidR="00252D26" w:rsidRPr="00472C9F">
        <w:rPr>
          <w:rFonts w:ascii="Calibri" w:hAnsi="Calibri" w:cs="Calibri"/>
          <w:sz w:val="24"/>
          <w:szCs w:val="24"/>
          <w:lang w:val="en-US"/>
        </w:rPr>
        <w:t xml:space="preserve">does not require its </w:t>
      </w:r>
      <w:r w:rsidRPr="00472C9F">
        <w:rPr>
          <w:rFonts w:ascii="Calibri" w:hAnsi="Calibri" w:cs="Calibri"/>
          <w:sz w:val="24"/>
          <w:szCs w:val="24"/>
          <w:lang w:val="en-US"/>
        </w:rPr>
        <w:t xml:space="preserve">members to </w:t>
      </w:r>
      <w:proofErr w:type="spellStart"/>
      <w:r w:rsidRPr="00472C9F">
        <w:rPr>
          <w:rFonts w:ascii="Calibri" w:hAnsi="Calibri" w:cs="Calibri"/>
          <w:sz w:val="24"/>
          <w:szCs w:val="24"/>
          <w:lang w:val="en-US"/>
        </w:rPr>
        <w:t>legalise</w:t>
      </w:r>
      <w:proofErr w:type="spellEnd"/>
      <w:r w:rsidRPr="00472C9F">
        <w:rPr>
          <w:rFonts w:ascii="Calibri" w:hAnsi="Calibri" w:cs="Calibri"/>
          <w:sz w:val="24"/>
          <w:szCs w:val="24"/>
          <w:lang w:val="en-US"/>
        </w:rPr>
        <w:t xml:space="preserve"> same-sex marriage,</w:t>
      </w:r>
      <w:r w:rsidRPr="00472C9F">
        <w:rPr>
          <w:rStyle w:val="FootnoteReference"/>
          <w:rFonts w:ascii="Calibri" w:hAnsi="Calibri" w:cs="Calibri"/>
          <w:sz w:val="24"/>
          <w:szCs w:val="24"/>
          <w:lang w:val="en-US"/>
        </w:rPr>
        <w:footnoteReference w:id="115"/>
      </w:r>
      <w:r w:rsidRPr="00472C9F">
        <w:rPr>
          <w:rFonts w:ascii="Calibri" w:hAnsi="Calibri" w:cs="Calibri"/>
          <w:sz w:val="24"/>
          <w:szCs w:val="24"/>
          <w:lang w:val="en-US"/>
        </w:rPr>
        <w:t xml:space="preserve"> although they must now </w:t>
      </w:r>
      <w:proofErr w:type="spellStart"/>
      <w:r w:rsidRPr="00472C9F">
        <w:rPr>
          <w:rFonts w:ascii="Calibri" w:hAnsi="Calibri" w:cs="Calibri"/>
          <w:sz w:val="24"/>
          <w:szCs w:val="24"/>
          <w:lang w:val="en-US"/>
        </w:rPr>
        <w:t>recognise</w:t>
      </w:r>
      <w:proofErr w:type="spellEnd"/>
      <w:r w:rsidRPr="00472C9F">
        <w:rPr>
          <w:rFonts w:ascii="Calibri" w:hAnsi="Calibri" w:cs="Calibri"/>
          <w:sz w:val="24"/>
          <w:szCs w:val="24"/>
          <w:lang w:val="en-US"/>
        </w:rPr>
        <w:t xml:space="preserve"> some form of civil partnership.</w:t>
      </w:r>
      <w:r w:rsidRPr="00472C9F">
        <w:rPr>
          <w:rStyle w:val="FootnoteReference"/>
          <w:rFonts w:ascii="Calibri" w:hAnsi="Calibri" w:cs="Calibri"/>
          <w:sz w:val="24"/>
          <w:szCs w:val="24"/>
          <w:lang w:val="en-US"/>
        </w:rPr>
        <w:footnoteReference w:id="116"/>
      </w:r>
      <w:r w:rsidRPr="00472C9F">
        <w:rPr>
          <w:rFonts w:ascii="Calibri" w:hAnsi="Calibri" w:cs="Calibri"/>
          <w:sz w:val="24"/>
          <w:szCs w:val="24"/>
          <w:lang w:val="en-US"/>
        </w:rPr>
        <w:t xml:space="preserve"> Similarly</w:t>
      </w:r>
      <w:r w:rsidR="00D9427C" w:rsidRPr="00472C9F">
        <w:rPr>
          <w:rFonts w:ascii="Calibri" w:hAnsi="Calibri" w:cs="Calibri"/>
          <w:sz w:val="24"/>
          <w:szCs w:val="24"/>
          <w:lang w:val="en-US"/>
        </w:rPr>
        <w:t>,</w:t>
      </w:r>
      <w:r w:rsidRPr="00472C9F">
        <w:rPr>
          <w:rFonts w:ascii="Calibri" w:hAnsi="Calibri" w:cs="Calibri"/>
          <w:sz w:val="24"/>
          <w:szCs w:val="24"/>
          <w:lang w:val="en-US"/>
        </w:rPr>
        <w:t xml:space="preserve"> on the issue of rainbow families</w:t>
      </w:r>
      <w:r w:rsidR="00386B96">
        <w:rPr>
          <w:rFonts w:ascii="Calibri" w:hAnsi="Calibri" w:cs="Calibri"/>
          <w:sz w:val="24"/>
          <w:szCs w:val="24"/>
          <w:lang w:val="en-US"/>
        </w:rPr>
        <w:t xml:space="preserve"> (</w:t>
      </w:r>
      <w:r w:rsidR="00F81A2F" w:rsidRPr="00472C9F">
        <w:rPr>
          <w:rFonts w:ascii="Calibri" w:hAnsi="Calibri" w:cs="Calibri"/>
          <w:sz w:val="24"/>
          <w:szCs w:val="24"/>
        </w:rPr>
        <w:t xml:space="preserve">in the context of this article, </w:t>
      </w:r>
      <w:r w:rsidR="00C55767" w:rsidRPr="00472C9F">
        <w:rPr>
          <w:rFonts w:ascii="Calibri" w:hAnsi="Calibri" w:cs="Calibri"/>
          <w:sz w:val="24"/>
          <w:szCs w:val="24"/>
        </w:rPr>
        <w:t>families composed of a same-sex couple and their child[ren]</w:t>
      </w:r>
      <w:r w:rsidR="00386B96">
        <w:rPr>
          <w:rFonts w:ascii="Calibri" w:hAnsi="Calibri" w:cs="Calibri"/>
          <w:sz w:val="24"/>
          <w:szCs w:val="24"/>
        </w:rPr>
        <w:t>)</w:t>
      </w:r>
      <w:r w:rsidR="00C55767" w:rsidRPr="00472C9F">
        <w:rPr>
          <w:rFonts w:ascii="Calibri" w:hAnsi="Calibri" w:cs="Calibri"/>
          <w:sz w:val="24"/>
          <w:szCs w:val="24"/>
        </w:rPr>
        <w:t xml:space="preserve"> </w:t>
      </w:r>
      <w:r w:rsidRPr="00472C9F">
        <w:rPr>
          <w:rFonts w:ascii="Calibri" w:hAnsi="Calibri" w:cs="Calibri"/>
          <w:sz w:val="24"/>
          <w:szCs w:val="24"/>
          <w:lang w:val="en-US"/>
        </w:rPr>
        <w:t>there is a wide margin of appreciation</w:t>
      </w:r>
      <w:r w:rsidR="0069139A" w:rsidRPr="00472C9F">
        <w:rPr>
          <w:rFonts w:ascii="Calibri" w:hAnsi="Calibri" w:cs="Calibri"/>
          <w:sz w:val="24"/>
          <w:szCs w:val="24"/>
          <w:lang w:val="en-US"/>
        </w:rPr>
        <w:t xml:space="preserve">, leaving much discretion to </w:t>
      </w:r>
      <w:r w:rsidR="0079558B" w:rsidRPr="00472C9F">
        <w:rPr>
          <w:rFonts w:ascii="Calibri" w:hAnsi="Calibri" w:cs="Calibri"/>
          <w:sz w:val="24"/>
          <w:szCs w:val="24"/>
          <w:lang w:val="en-US"/>
        </w:rPr>
        <w:t xml:space="preserve">contracting </w:t>
      </w:r>
      <w:r w:rsidR="0014191B" w:rsidRPr="00472C9F">
        <w:rPr>
          <w:rFonts w:ascii="Calibri" w:hAnsi="Calibri" w:cs="Calibri"/>
          <w:sz w:val="24"/>
          <w:szCs w:val="24"/>
          <w:lang w:val="en-US"/>
        </w:rPr>
        <w:t>states</w:t>
      </w:r>
      <w:r w:rsidR="0079558B" w:rsidRPr="00472C9F">
        <w:rPr>
          <w:rFonts w:ascii="Calibri" w:hAnsi="Calibri" w:cs="Calibri"/>
          <w:sz w:val="24"/>
          <w:szCs w:val="24"/>
          <w:lang w:val="en-US"/>
        </w:rPr>
        <w:t xml:space="preserve"> to the</w:t>
      </w:r>
      <w:r w:rsidR="0079558B" w:rsidRPr="00472C9F">
        <w:rPr>
          <w:rFonts w:ascii="Calibri" w:hAnsi="Calibri" w:cs="Calibri"/>
          <w:sz w:val="24"/>
          <w:szCs w:val="24"/>
        </w:rPr>
        <w:t xml:space="preserve"> European Convention of Human Rights (‘European Convention’)</w:t>
      </w:r>
      <w:r w:rsidR="0069139A" w:rsidRPr="00472C9F">
        <w:rPr>
          <w:rFonts w:ascii="Calibri" w:hAnsi="Calibri" w:cs="Calibri"/>
          <w:sz w:val="24"/>
          <w:szCs w:val="24"/>
          <w:lang w:val="en-US"/>
        </w:rPr>
        <w:t>.</w:t>
      </w:r>
      <w:r w:rsidRPr="00472C9F">
        <w:rPr>
          <w:rStyle w:val="FootnoteReference"/>
          <w:rFonts w:ascii="Calibri" w:hAnsi="Calibri" w:cs="Calibri"/>
          <w:sz w:val="24"/>
          <w:szCs w:val="24"/>
          <w:lang w:val="en-US"/>
        </w:rPr>
        <w:footnoteReference w:id="117"/>
      </w:r>
      <w:r w:rsidRPr="00472C9F">
        <w:rPr>
          <w:rFonts w:ascii="Calibri" w:hAnsi="Calibri" w:cs="Calibri"/>
          <w:sz w:val="24"/>
          <w:szCs w:val="24"/>
          <w:lang w:val="en-US"/>
        </w:rPr>
        <w:t xml:space="preserve"> </w:t>
      </w:r>
      <w:r w:rsidR="0069139A" w:rsidRPr="00472C9F">
        <w:rPr>
          <w:rFonts w:ascii="Calibri" w:hAnsi="Calibri" w:cs="Calibri"/>
          <w:sz w:val="24"/>
          <w:szCs w:val="24"/>
          <w:lang w:val="en-US"/>
        </w:rPr>
        <w:t xml:space="preserve">However, more recent </w:t>
      </w:r>
      <w:r w:rsidR="00916DC1" w:rsidRPr="00472C9F">
        <w:rPr>
          <w:rFonts w:ascii="Calibri" w:hAnsi="Calibri" w:cs="Calibri"/>
          <w:sz w:val="24"/>
          <w:szCs w:val="24"/>
          <w:lang w:val="en-US"/>
        </w:rPr>
        <w:t xml:space="preserve">ECtHR </w:t>
      </w:r>
      <w:r w:rsidR="0069139A" w:rsidRPr="00472C9F">
        <w:rPr>
          <w:rFonts w:ascii="Calibri" w:hAnsi="Calibri" w:cs="Calibri"/>
          <w:sz w:val="24"/>
          <w:szCs w:val="24"/>
          <w:lang w:val="en-US"/>
        </w:rPr>
        <w:t xml:space="preserve">case law has been </w:t>
      </w:r>
      <w:proofErr w:type="spellStart"/>
      <w:r w:rsidR="0069139A" w:rsidRPr="00472C9F">
        <w:rPr>
          <w:rFonts w:ascii="Calibri" w:hAnsi="Calibri" w:cs="Calibri"/>
          <w:sz w:val="24"/>
          <w:szCs w:val="24"/>
          <w:lang w:val="en-US"/>
        </w:rPr>
        <w:t>favourable</w:t>
      </w:r>
      <w:proofErr w:type="spellEnd"/>
      <w:r w:rsidR="0069139A" w:rsidRPr="00472C9F">
        <w:rPr>
          <w:rFonts w:ascii="Calibri" w:hAnsi="Calibri" w:cs="Calibri"/>
          <w:sz w:val="24"/>
          <w:szCs w:val="24"/>
          <w:lang w:val="en-US"/>
        </w:rPr>
        <w:t xml:space="preserve"> to rainbow families. For instance, </w:t>
      </w:r>
      <w:r w:rsidRPr="00472C9F">
        <w:rPr>
          <w:rFonts w:ascii="Calibri" w:hAnsi="Calibri" w:cs="Calibri"/>
          <w:sz w:val="24"/>
          <w:szCs w:val="24"/>
          <w:lang w:val="en-US"/>
        </w:rPr>
        <w:t>where signatory states allow a person or a couple to adopt</w:t>
      </w:r>
      <w:r w:rsidR="00D9427C" w:rsidRPr="00472C9F">
        <w:rPr>
          <w:rFonts w:ascii="Calibri" w:hAnsi="Calibri" w:cs="Calibri"/>
          <w:sz w:val="24"/>
          <w:szCs w:val="24"/>
          <w:lang w:val="en-US"/>
        </w:rPr>
        <w:t>,</w:t>
      </w:r>
      <w:r w:rsidRPr="00472C9F">
        <w:rPr>
          <w:rFonts w:ascii="Calibri" w:hAnsi="Calibri" w:cs="Calibri"/>
          <w:sz w:val="24"/>
          <w:szCs w:val="24"/>
          <w:lang w:val="en-US"/>
        </w:rPr>
        <w:t xml:space="preserve"> they must do so </w:t>
      </w:r>
      <w:r w:rsidRPr="00472C9F">
        <w:rPr>
          <w:rFonts w:ascii="Calibri" w:hAnsi="Calibri" w:cs="Calibri"/>
          <w:sz w:val="24"/>
          <w:szCs w:val="24"/>
        </w:rPr>
        <w:t>without discrimination on the grounds of sexual orientation.</w:t>
      </w:r>
      <w:r w:rsidRPr="00472C9F">
        <w:rPr>
          <w:rStyle w:val="FootnoteReference"/>
          <w:rFonts w:ascii="Calibri" w:hAnsi="Calibri" w:cs="Calibri"/>
          <w:sz w:val="24"/>
          <w:szCs w:val="24"/>
        </w:rPr>
        <w:footnoteReference w:id="118"/>
      </w:r>
      <w:r w:rsidRPr="00472C9F">
        <w:rPr>
          <w:rFonts w:ascii="Calibri" w:hAnsi="Calibri" w:cs="Calibri"/>
          <w:sz w:val="24"/>
          <w:szCs w:val="24"/>
        </w:rPr>
        <w:t xml:space="preserve"> </w:t>
      </w:r>
      <w:r w:rsidR="0086370A" w:rsidRPr="00472C9F">
        <w:rPr>
          <w:rFonts w:ascii="Calibri" w:hAnsi="Calibri" w:cs="Calibri"/>
          <w:sz w:val="24"/>
          <w:szCs w:val="24"/>
        </w:rPr>
        <w:t>I</w:t>
      </w:r>
      <w:r w:rsidR="009A1793" w:rsidRPr="00472C9F">
        <w:rPr>
          <w:rFonts w:ascii="Calibri" w:hAnsi="Calibri" w:cs="Calibri"/>
          <w:sz w:val="24"/>
          <w:szCs w:val="24"/>
        </w:rPr>
        <w:t>f</w:t>
      </w:r>
      <w:r w:rsidRPr="00472C9F">
        <w:rPr>
          <w:rFonts w:ascii="Calibri" w:hAnsi="Calibri" w:cs="Calibri"/>
          <w:sz w:val="24"/>
          <w:szCs w:val="24"/>
        </w:rPr>
        <w:t xml:space="preserve"> a state allows unmarried opposite sex couples to adopt, then they must also allow this right to same-sex unmarried couples.</w:t>
      </w:r>
      <w:r w:rsidRPr="00472C9F">
        <w:rPr>
          <w:rStyle w:val="FootnoteReference"/>
          <w:rFonts w:ascii="Calibri" w:hAnsi="Calibri" w:cs="Calibri"/>
          <w:sz w:val="24"/>
          <w:szCs w:val="24"/>
        </w:rPr>
        <w:footnoteReference w:id="119"/>
      </w:r>
      <w:r w:rsidRPr="00472C9F">
        <w:rPr>
          <w:rFonts w:ascii="Calibri" w:hAnsi="Calibri" w:cs="Calibri"/>
          <w:sz w:val="24"/>
          <w:szCs w:val="24"/>
        </w:rPr>
        <w:t xml:space="preserve"> The ECtHR also trie</w:t>
      </w:r>
      <w:r w:rsidR="00BA0D87" w:rsidRPr="00472C9F">
        <w:rPr>
          <w:rFonts w:ascii="Calibri" w:hAnsi="Calibri" w:cs="Calibri"/>
          <w:sz w:val="24"/>
          <w:szCs w:val="24"/>
        </w:rPr>
        <w:t>s</w:t>
      </w:r>
      <w:r w:rsidRPr="00472C9F">
        <w:rPr>
          <w:rFonts w:ascii="Calibri" w:hAnsi="Calibri" w:cs="Calibri"/>
          <w:sz w:val="24"/>
          <w:szCs w:val="24"/>
        </w:rPr>
        <w:t xml:space="preserve"> to avoid ‘limping’ situations where a parent-child relationship is recognised in one jurisdiction, but not </w:t>
      </w:r>
      <w:r w:rsidR="00DF21EB" w:rsidRPr="00472C9F">
        <w:rPr>
          <w:rFonts w:ascii="Calibri" w:hAnsi="Calibri" w:cs="Calibri"/>
          <w:sz w:val="24"/>
          <w:szCs w:val="24"/>
        </w:rPr>
        <w:t xml:space="preserve">in </w:t>
      </w:r>
      <w:r w:rsidRPr="00472C9F">
        <w:rPr>
          <w:rFonts w:ascii="Calibri" w:hAnsi="Calibri" w:cs="Calibri"/>
          <w:sz w:val="24"/>
          <w:szCs w:val="24"/>
        </w:rPr>
        <w:t>another</w:t>
      </w:r>
      <w:r w:rsidR="00DF21EB" w:rsidRPr="00472C9F">
        <w:rPr>
          <w:rFonts w:ascii="Calibri" w:hAnsi="Calibri" w:cs="Calibri"/>
          <w:sz w:val="24"/>
          <w:szCs w:val="24"/>
        </w:rPr>
        <w:t>,</w:t>
      </w:r>
      <w:r w:rsidRPr="00472C9F">
        <w:rPr>
          <w:rStyle w:val="FootnoteReference"/>
          <w:rFonts w:ascii="Calibri" w:hAnsi="Calibri" w:cs="Calibri"/>
          <w:sz w:val="24"/>
          <w:szCs w:val="24"/>
        </w:rPr>
        <w:footnoteReference w:id="120"/>
      </w:r>
      <w:r w:rsidRPr="00472C9F">
        <w:rPr>
          <w:rFonts w:ascii="Calibri" w:hAnsi="Calibri" w:cs="Calibri"/>
          <w:sz w:val="24"/>
          <w:szCs w:val="24"/>
        </w:rPr>
        <w:t xml:space="preserve"> </w:t>
      </w:r>
      <w:r w:rsidR="00252D26" w:rsidRPr="00472C9F">
        <w:rPr>
          <w:rFonts w:ascii="Calibri" w:hAnsi="Calibri" w:cs="Calibri"/>
          <w:sz w:val="24"/>
          <w:szCs w:val="24"/>
        </w:rPr>
        <w:t xml:space="preserve">and the ECtHR has </w:t>
      </w:r>
      <w:r w:rsidRPr="00472C9F">
        <w:rPr>
          <w:rFonts w:ascii="Calibri" w:hAnsi="Calibri" w:cs="Calibri"/>
          <w:sz w:val="24"/>
          <w:szCs w:val="24"/>
        </w:rPr>
        <w:t>recognis</w:t>
      </w:r>
      <w:r w:rsidR="00252D26" w:rsidRPr="00472C9F">
        <w:rPr>
          <w:rFonts w:ascii="Calibri" w:hAnsi="Calibri" w:cs="Calibri"/>
          <w:sz w:val="24"/>
          <w:szCs w:val="24"/>
        </w:rPr>
        <w:t>ed</w:t>
      </w:r>
      <w:r w:rsidRPr="00472C9F">
        <w:rPr>
          <w:rFonts w:ascii="Calibri" w:hAnsi="Calibri" w:cs="Calibri"/>
          <w:sz w:val="24"/>
          <w:szCs w:val="24"/>
        </w:rPr>
        <w:t xml:space="preserve"> the best interests of the child as ‘paramount</w:t>
      </w:r>
      <w:r w:rsidR="009821EA" w:rsidRPr="00472C9F">
        <w:rPr>
          <w:rFonts w:ascii="Calibri" w:hAnsi="Calibri" w:cs="Calibri"/>
          <w:sz w:val="24"/>
          <w:szCs w:val="24"/>
        </w:rPr>
        <w:t>’.</w:t>
      </w:r>
      <w:r w:rsidRPr="00472C9F">
        <w:rPr>
          <w:rStyle w:val="FootnoteReference"/>
          <w:rFonts w:ascii="Calibri" w:hAnsi="Calibri" w:cs="Calibri"/>
          <w:sz w:val="24"/>
          <w:szCs w:val="24"/>
        </w:rPr>
        <w:footnoteReference w:id="121"/>
      </w:r>
      <w:r w:rsidRPr="00472C9F">
        <w:rPr>
          <w:rFonts w:ascii="Calibri" w:hAnsi="Calibri" w:cs="Calibri"/>
          <w:sz w:val="24"/>
          <w:szCs w:val="24"/>
        </w:rPr>
        <w:t xml:space="preserve"> </w:t>
      </w:r>
      <w:r w:rsidR="001559FD" w:rsidRPr="00472C9F">
        <w:rPr>
          <w:rFonts w:ascii="Calibri" w:hAnsi="Calibri" w:cs="Calibri"/>
          <w:sz w:val="24"/>
          <w:szCs w:val="24"/>
        </w:rPr>
        <w:t>In the</w:t>
      </w:r>
      <w:r w:rsidR="0069139A" w:rsidRPr="00472C9F">
        <w:rPr>
          <w:rFonts w:ascii="Calibri" w:hAnsi="Calibri" w:cs="Calibri"/>
          <w:sz w:val="24"/>
          <w:szCs w:val="24"/>
        </w:rPr>
        <w:t xml:space="preserve"> recent case of </w:t>
      </w:r>
      <w:r w:rsidR="0069139A" w:rsidRPr="00472C9F">
        <w:rPr>
          <w:rFonts w:ascii="Calibri" w:hAnsi="Calibri" w:cs="Calibri"/>
          <w:i/>
          <w:iCs/>
          <w:sz w:val="24"/>
          <w:szCs w:val="24"/>
        </w:rPr>
        <w:t>DB v Switzerland</w:t>
      </w:r>
      <w:r w:rsidR="0069139A" w:rsidRPr="00472C9F">
        <w:rPr>
          <w:rFonts w:ascii="Calibri" w:hAnsi="Calibri" w:cs="Calibri"/>
          <w:sz w:val="24"/>
          <w:szCs w:val="24"/>
        </w:rPr>
        <w:t>, the ECtHR considered that Switzerland had violated the</w:t>
      </w:r>
      <w:r w:rsidR="0079558B" w:rsidRPr="00472C9F">
        <w:rPr>
          <w:rFonts w:ascii="Calibri" w:hAnsi="Calibri" w:cs="Calibri"/>
          <w:sz w:val="24"/>
          <w:szCs w:val="24"/>
        </w:rPr>
        <w:t xml:space="preserve"> European Convention</w:t>
      </w:r>
      <w:r w:rsidR="0069139A" w:rsidRPr="00472C9F">
        <w:rPr>
          <w:rFonts w:ascii="Calibri" w:hAnsi="Calibri" w:cs="Calibri"/>
          <w:sz w:val="24"/>
          <w:szCs w:val="24"/>
        </w:rPr>
        <w:t xml:space="preserve"> due to its refusal to recognise parentage established abroad and not </w:t>
      </w:r>
      <w:r w:rsidR="00DF21EB" w:rsidRPr="00472C9F">
        <w:rPr>
          <w:rFonts w:ascii="Calibri" w:hAnsi="Calibri" w:cs="Calibri"/>
          <w:sz w:val="24"/>
          <w:szCs w:val="24"/>
        </w:rPr>
        <w:t xml:space="preserve">to </w:t>
      </w:r>
      <w:r w:rsidR="0069139A" w:rsidRPr="00472C9F">
        <w:rPr>
          <w:rFonts w:ascii="Calibri" w:hAnsi="Calibri" w:cs="Calibri"/>
          <w:sz w:val="24"/>
          <w:szCs w:val="24"/>
        </w:rPr>
        <w:t>allow the step-child adoption of the child of the same-sex partner.</w:t>
      </w:r>
      <w:r w:rsidR="0069139A" w:rsidRPr="00472C9F">
        <w:rPr>
          <w:rStyle w:val="FootnoteReference"/>
          <w:rFonts w:ascii="Calibri" w:hAnsi="Calibri" w:cs="Calibri"/>
          <w:sz w:val="24"/>
          <w:szCs w:val="24"/>
        </w:rPr>
        <w:footnoteReference w:id="122"/>
      </w:r>
      <w:r w:rsidR="0069139A" w:rsidRPr="00472C9F">
        <w:rPr>
          <w:rFonts w:ascii="Calibri" w:hAnsi="Calibri" w:cs="Calibri"/>
          <w:sz w:val="24"/>
          <w:szCs w:val="24"/>
        </w:rPr>
        <w:t xml:space="preserve"> However, the ECtHR </w:t>
      </w:r>
      <w:r w:rsidR="00073862" w:rsidRPr="00472C9F">
        <w:rPr>
          <w:rFonts w:ascii="Calibri" w:hAnsi="Calibri" w:cs="Calibri"/>
          <w:sz w:val="24"/>
          <w:szCs w:val="24"/>
        </w:rPr>
        <w:t xml:space="preserve">has interpreted the </w:t>
      </w:r>
      <w:r w:rsidR="0029536E" w:rsidRPr="00472C9F">
        <w:rPr>
          <w:rFonts w:ascii="Calibri" w:hAnsi="Calibri" w:cs="Calibri"/>
          <w:sz w:val="24"/>
          <w:szCs w:val="24"/>
        </w:rPr>
        <w:t>European Convention</w:t>
      </w:r>
      <w:r w:rsidR="00D10EF8" w:rsidRPr="00472C9F">
        <w:rPr>
          <w:rFonts w:ascii="Calibri" w:hAnsi="Calibri" w:cs="Calibri"/>
          <w:sz w:val="24"/>
          <w:szCs w:val="24"/>
        </w:rPr>
        <w:t xml:space="preserve"> to determine that it </w:t>
      </w:r>
      <w:r w:rsidR="0069139A" w:rsidRPr="00472C9F">
        <w:rPr>
          <w:rFonts w:ascii="Calibri" w:hAnsi="Calibri" w:cs="Calibri"/>
          <w:sz w:val="24"/>
          <w:szCs w:val="24"/>
        </w:rPr>
        <w:t xml:space="preserve">does not impose an obligation on signatory states to allow same-sex couples to adopt when considering families who have not </w:t>
      </w:r>
      <w:r w:rsidR="00AE347E" w:rsidRPr="00472C9F">
        <w:rPr>
          <w:rFonts w:ascii="Calibri" w:hAnsi="Calibri" w:cs="Calibri"/>
          <w:sz w:val="24"/>
          <w:szCs w:val="24"/>
        </w:rPr>
        <w:t>moved cross-border</w:t>
      </w:r>
      <w:r w:rsidR="0069139A" w:rsidRPr="00472C9F">
        <w:rPr>
          <w:rFonts w:ascii="Calibri" w:hAnsi="Calibri" w:cs="Calibri"/>
          <w:sz w:val="24"/>
          <w:szCs w:val="24"/>
        </w:rPr>
        <w:t>. T</w:t>
      </w:r>
      <w:r w:rsidR="0069139A" w:rsidRPr="00472C9F">
        <w:rPr>
          <w:rFonts w:ascii="Calibri" w:hAnsi="Calibri" w:cs="Calibri"/>
          <w:sz w:val="24"/>
          <w:szCs w:val="24"/>
          <w:lang w:val="en-US"/>
        </w:rPr>
        <w:t xml:space="preserve">he ECtHR confirmed in </w:t>
      </w:r>
      <w:r w:rsidR="0069139A" w:rsidRPr="00472C9F">
        <w:rPr>
          <w:rFonts w:ascii="Calibri" w:hAnsi="Calibri" w:cs="Calibri"/>
          <w:i/>
          <w:iCs/>
          <w:sz w:val="24"/>
          <w:szCs w:val="24"/>
          <w:lang w:val="en-US"/>
        </w:rPr>
        <w:t>Alekseyev v Russia</w:t>
      </w:r>
      <w:r w:rsidR="0069139A" w:rsidRPr="00472C9F">
        <w:rPr>
          <w:rFonts w:ascii="Calibri" w:hAnsi="Calibri" w:cs="Calibri"/>
          <w:sz w:val="24"/>
          <w:szCs w:val="24"/>
          <w:lang w:val="en-US"/>
        </w:rPr>
        <w:t xml:space="preserve"> that there is a </w:t>
      </w:r>
      <w:r w:rsidR="0069139A" w:rsidRPr="00472C9F">
        <w:rPr>
          <w:rFonts w:ascii="Calibri" w:hAnsi="Calibri" w:cs="Calibri"/>
          <w:sz w:val="24"/>
          <w:szCs w:val="24"/>
        </w:rPr>
        <w:t>wide margin of appreciation in respect of those issues.</w:t>
      </w:r>
      <w:r w:rsidR="0069139A" w:rsidRPr="00472C9F">
        <w:rPr>
          <w:rStyle w:val="FootnoteReference"/>
          <w:rFonts w:ascii="Calibri" w:hAnsi="Calibri" w:cs="Calibri"/>
          <w:sz w:val="24"/>
          <w:szCs w:val="24"/>
        </w:rPr>
        <w:footnoteReference w:id="123"/>
      </w:r>
      <w:r w:rsidR="0069139A" w:rsidRPr="00472C9F">
        <w:rPr>
          <w:rFonts w:ascii="Calibri" w:hAnsi="Calibri" w:cs="Calibri"/>
          <w:sz w:val="24"/>
          <w:szCs w:val="24"/>
        </w:rPr>
        <w:t xml:space="preserve"> </w:t>
      </w:r>
      <w:r w:rsidR="00AE347E" w:rsidRPr="00472C9F">
        <w:rPr>
          <w:rFonts w:ascii="Calibri" w:hAnsi="Calibri" w:cs="Calibri"/>
          <w:sz w:val="24"/>
          <w:szCs w:val="24"/>
        </w:rPr>
        <w:t>Therefore</w:t>
      </w:r>
      <w:r w:rsidR="00D9427C" w:rsidRPr="00472C9F">
        <w:rPr>
          <w:rFonts w:ascii="Calibri" w:hAnsi="Calibri" w:cs="Calibri"/>
          <w:sz w:val="24"/>
          <w:szCs w:val="24"/>
        </w:rPr>
        <w:t>,</w:t>
      </w:r>
      <w:r w:rsidR="0069139A" w:rsidRPr="00472C9F">
        <w:rPr>
          <w:rFonts w:ascii="Calibri" w:hAnsi="Calibri" w:cs="Calibri"/>
          <w:sz w:val="24"/>
          <w:szCs w:val="24"/>
        </w:rPr>
        <w:t xml:space="preserve"> the EU </w:t>
      </w:r>
      <w:r w:rsidR="004517FD" w:rsidRPr="00472C9F">
        <w:rPr>
          <w:rFonts w:ascii="Calibri" w:hAnsi="Calibri" w:cs="Calibri"/>
          <w:sz w:val="24"/>
          <w:szCs w:val="24"/>
        </w:rPr>
        <w:t xml:space="preserve">is </w:t>
      </w:r>
      <w:r w:rsidR="0069139A" w:rsidRPr="00472C9F">
        <w:rPr>
          <w:rFonts w:ascii="Calibri" w:hAnsi="Calibri" w:cs="Calibri"/>
          <w:sz w:val="24"/>
          <w:szCs w:val="24"/>
        </w:rPr>
        <w:t>under no obligation from the EC</w:t>
      </w:r>
      <w:r w:rsidR="00AE347E" w:rsidRPr="00472C9F">
        <w:rPr>
          <w:rFonts w:ascii="Calibri" w:hAnsi="Calibri" w:cs="Calibri"/>
          <w:sz w:val="24"/>
          <w:szCs w:val="24"/>
        </w:rPr>
        <w:t>t</w:t>
      </w:r>
      <w:r w:rsidR="0069139A" w:rsidRPr="00472C9F">
        <w:rPr>
          <w:rFonts w:ascii="Calibri" w:hAnsi="Calibri" w:cs="Calibri"/>
          <w:sz w:val="24"/>
          <w:szCs w:val="24"/>
        </w:rPr>
        <w:t>HR</w:t>
      </w:r>
      <w:r w:rsidR="008E2235" w:rsidRPr="00472C9F">
        <w:rPr>
          <w:rFonts w:ascii="Calibri" w:hAnsi="Calibri" w:cs="Calibri"/>
          <w:sz w:val="24"/>
          <w:szCs w:val="24"/>
        </w:rPr>
        <w:t xml:space="preserve">’s current </w:t>
      </w:r>
      <w:r w:rsidR="004E536D" w:rsidRPr="00472C9F">
        <w:rPr>
          <w:rFonts w:ascii="Calibri" w:hAnsi="Calibri" w:cs="Calibri"/>
          <w:sz w:val="24"/>
          <w:szCs w:val="24"/>
        </w:rPr>
        <w:t>j</w:t>
      </w:r>
      <w:r w:rsidR="00DF47B9" w:rsidRPr="00472C9F">
        <w:rPr>
          <w:rFonts w:ascii="Calibri" w:hAnsi="Calibri" w:cs="Calibri"/>
          <w:sz w:val="24"/>
          <w:szCs w:val="24"/>
        </w:rPr>
        <w:t>urisprudence</w:t>
      </w:r>
      <w:r w:rsidR="008E2235" w:rsidRPr="00472C9F">
        <w:rPr>
          <w:rFonts w:ascii="Calibri" w:hAnsi="Calibri" w:cs="Calibri"/>
          <w:sz w:val="24"/>
          <w:szCs w:val="24"/>
        </w:rPr>
        <w:t xml:space="preserve"> </w:t>
      </w:r>
      <w:r w:rsidR="00ED2238" w:rsidRPr="00472C9F">
        <w:rPr>
          <w:rFonts w:ascii="Calibri" w:hAnsi="Calibri" w:cs="Calibri"/>
          <w:sz w:val="24"/>
          <w:szCs w:val="24"/>
        </w:rPr>
        <w:t>concerning the European C</w:t>
      </w:r>
      <w:r w:rsidR="006133D6" w:rsidRPr="00472C9F">
        <w:rPr>
          <w:rFonts w:ascii="Calibri" w:hAnsi="Calibri" w:cs="Calibri"/>
          <w:sz w:val="24"/>
          <w:szCs w:val="24"/>
        </w:rPr>
        <w:t>onvention</w:t>
      </w:r>
      <w:r w:rsidR="00054AF6" w:rsidRPr="00472C9F">
        <w:rPr>
          <w:rFonts w:ascii="Calibri" w:hAnsi="Calibri" w:cs="Calibri"/>
          <w:sz w:val="24"/>
          <w:szCs w:val="24"/>
        </w:rPr>
        <w:t xml:space="preserve"> </w:t>
      </w:r>
      <w:r w:rsidR="0069139A" w:rsidRPr="00472C9F">
        <w:rPr>
          <w:rFonts w:ascii="Calibri" w:hAnsi="Calibri" w:cs="Calibri"/>
          <w:sz w:val="24"/>
          <w:szCs w:val="24"/>
        </w:rPr>
        <w:t xml:space="preserve">to recognise either same-sex spouses or rainbow families. </w:t>
      </w:r>
      <w:r w:rsidR="00964C56" w:rsidRPr="00472C9F">
        <w:rPr>
          <w:rFonts w:ascii="Calibri" w:hAnsi="Calibri" w:cs="Calibri"/>
          <w:sz w:val="24"/>
          <w:szCs w:val="24"/>
        </w:rPr>
        <w:t>Yet, o</w:t>
      </w:r>
      <w:r w:rsidR="001559FD" w:rsidRPr="00472C9F">
        <w:rPr>
          <w:rFonts w:ascii="Calibri" w:eastAsiaTheme="minorEastAsia" w:hAnsi="Calibri" w:cs="Calibri"/>
          <w:kern w:val="24"/>
          <w:sz w:val="24"/>
          <w:szCs w:val="24"/>
        </w:rPr>
        <w:t>ver time t</w:t>
      </w:r>
      <w:r w:rsidR="00D3285B" w:rsidRPr="00472C9F">
        <w:rPr>
          <w:rFonts w:ascii="Calibri" w:eastAsiaTheme="minorEastAsia" w:hAnsi="Calibri" w:cs="Calibri"/>
          <w:kern w:val="24"/>
          <w:sz w:val="24"/>
          <w:szCs w:val="24"/>
        </w:rPr>
        <w:t xml:space="preserve">he </w:t>
      </w:r>
      <w:r w:rsidR="000538B6" w:rsidRPr="00472C9F">
        <w:rPr>
          <w:rFonts w:ascii="Calibri" w:eastAsiaTheme="minorEastAsia" w:hAnsi="Calibri" w:cs="Calibri"/>
          <w:kern w:val="24"/>
          <w:sz w:val="24"/>
          <w:szCs w:val="24"/>
        </w:rPr>
        <w:t xml:space="preserve">EU has adopted a dynamic and </w:t>
      </w:r>
      <w:r w:rsidR="00AE347E" w:rsidRPr="00472C9F">
        <w:rPr>
          <w:rFonts w:ascii="Calibri" w:eastAsiaTheme="minorEastAsia" w:hAnsi="Calibri" w:cs="Calibri"/>
          <w:kern w:val="24"/>
          <w:sz w:val="24"/>
          <w:szCs w:val="24"/>
        </w:rPr>
        <w:t>far-reaching</w:t>
      </w:r>
      <w:r w:rsidR="000538B6" w:rsidRPr="00472C9F">
        <w:rPr>
          <w:rFonts w:ascii="Calibri" w:eastAsiaTheme="minorEastAsia" w:hAnsi="Calibri" w:cs="Calibri"/>
          <w:kern w:val="24"/>
          <w:sz w:val="24"/>
          <w:szCs w:val="24"/>
        </w:rPr>
        <w:t xml:space="preserve"> interpretative perspective</w:t>
      </w:r>
      <w:r w:rsidR="005222F5" w:rsidRPr="00472C9F">
        <w:rPr>
          <w:rFonts w:ascii="Calibri" w:eastAsiaTheme="minorEastAsia" w:hAnsi="Calibri" w:cs="Calibri"/>
          <w:kern w:val="24"/>
          <w:sz w:val="24"/>
          <w:szCs w:val="24"/>
        </w:rPr>
        <w:t>, although perhaps ultimately the nuclear family remains the gold standard against which the others are judged</w:t>
      </w:r>
      <w:r w:rsidR="00251146" w:rsidRPr="00472C9F">
        <w:rPr>
          <w:rFonts w:ascii="Calibri" w:eastAsiaTheme="minorEastAsia" w:hAnsi="Calibri" w:cs="Calibri"/>
          <w:kern w:val="24"/>
          <w:sz w:val="24"/>
          <w:szCs w:val="24"/>
        </w:rPr>
        <w:t xml:space="preserve">. </w:t>
      </w:r>
    </w:p>
    <w:p w14:paraId="0B59E4F1" w14:textId="77777777" w:rsidR="00CD3939" w:rsidRPr="00472C9F" w:rsidRDefault="00CD3939" w:rsidP="0059780E">
      <w:pPr>
        <w:spacing w:after="0" w:line="360" w:lineRule="auto"/>
        <w:jc w:val="both"/>
        <w:rPr>
          <w:rFonts w:ascii="Calibri" w:hAnsi="Calibri" w:cs="Calibri"/>
          <w:sz w:val="24"/>
          <w:szCs w:val="24"/>
        </w:rPr>
      </w:pPr>
    </w:p>
    <w:p w14:paraId="6324CDF7" w14:textId="55695FB7" w:rsidR="002B458F" w:rsidRPr="00570ECB" w:rsidRDefault="00DC2B99" w:rsidP="00570ECB">
      <w:pPr>
        <w:pStyle w:val="Heading3"/>
      </w:pPr>
      <w:r>
        <w:t xml:space="preserve">4.1 </w:t>
      </w:r>
      <w:r w:rsidR="00BC1BAC" w:rsidRPr="00570ECB">
        <w:t>Spouse</w:t>
      </w:r>
      <w:r w:rsidR="00A73596" w:rsidRPr="00570ECB">
        <w:t xml:space="preserve">, Civil </w:t>
      </w:r>
      <w:r w:rsidR="0025196E" w:rsidRPr="00570ECB">
        <w:t>Partner</w:t>
      </w:r>
      <w:r w:rsidR="00A73596" w:rsidRPr="00570ECB">
        <w:t xml:space="preserve"> and Long Time Partner</w:t>
      </w:r>
    </w:p>
    <w:p w14:paraId="2858B3AA" w14:textId="5700344E" w:rsidR="00975396" w:rsidRDefault="009D47C8" w:rsidP="0059780E">
      <w:pPr>
        <w:spacing w:after="0" w:line="360" w:lineRule="auto"/>
        <w:jc w:val="both"/>
        <w:rPr>
          <w:rFonts w:ascii="Calibri" w:hAnsi="Calibri" w:cs="Calibri"/>
          <w:sz w:val="24"/>
          <w:szCs w:val="24"/>
        </w:rPr>
      </w:pPr>
      <w:r w:rsidRPr="00472C9F">
        <w:rPr>
          <w:rFonts w:ascii="Calibri" w:eastAsiaTheme="minorEastAsia" w:hAnsi="Calibri" w:cs="Calibri"/>
          <w:kern w:val="24"/>
          <w:sz w:val="24"/>
          <w:szCs w:val="24"/>
        </w:rPr>
        <w:t xml:space="preserve">Citizenship </w:t>
      </w:r>
      <w:r w:rsidR="00BC1BAC" w:rsidRPr="00472C9F">
        <w:rPr>
          <w:rFonts w:ascii="Calibri" w:eastAsiaTheme="minorEastAsia" w:hAnsi="Calibri" w:cs="Calibri"/>
          <w:kern w:val="24"/>
          <w:sz w:val="24"/>
          <w:szCs w:val="24"/>
        </w:rPr>
        <w:t xml:space="preserve">Directive 2004/38 specifically includes </w:t>
      </w:r>
      <w:r w:rsidR="00D1087C" w:rsidRPr="00472C9F">
        <w:rPr>
          <w:rFonts w:ascii="Calibri" w:eastAsiaTheme="minorEastAsia" w:hAnsi="Calibri" w:cs="Calibri"/>
          <w:kern w:val="24"/>
          <w:sz w:val="24"/>
          <w:szCs w:val="24"/>
        </w:rPr>
        <w:t xml:space="preserve">the </w:t>
      </w:r>
      <w:r w:rsidR="00BC1BAC" w:rsidRPr="00472C9F">
        <w:rPr>
          <w:rFonts w:ascii="Calibri" w:eastAsiaTheme="minorEastAsia" w:hAnsi="Calibri" w:cs="Calibri"/>
          <w:kern w:val="24"/>
          <w:sz w:val="24"/>
          <w:szCs w:val="24"/>
        </w:rPr>
        <w:t>spouse as</w:t>
      </w:r>
      <w:r w:rsidR="00B002AB" w:rsidRPr="00472C9F">
        <w:rPr>
          <w:rFonts w:ascii="Calibri" w:eastAsiaTheme="minorEastAsia" w:hAnsi="Calibri" w:cs="Calibri"/>
          <w:kern w:val="24"/>
          <w:sz w:val="24"/>
          <w:szCs w:val="24"/>
        </w:rPr>
        <w:t xml:space="preserve"> a</w:t>
      </w:r>
      <w:r w:rsidR="00BC1BAC" w:rsidRPr="00472C9F">
        <w:rPr>
          <w:rFonts w:ascii="Calibri" w:eastAsiaTheme="minorEastAsia" w:hAnsi="Calibri" w:cs="Calibri"/>
          <w:kern w:val="24"/>
          <w:sz w:val="24"/>
          <w:szCs w:val="24"/>
        </w:rPr>
        <w:t xml:space="preserve"> family member</w:t>
      </w:r>
      <w:r w:rsidR="00D3285B" w:rsidRPr="00472C9F">
        <w:rPr>
          <w:rFonts w:ascii="Calibri" w:eastAsiaTheme="minorEastAsia" w:hAnsi="Calibri" w:cs="Calibri"/>
          <w:kern w:val="24"/>
          <w:sz w:val="24"/>
          <w:szCs w:val="24"/>
        </w:rPr>
        <w:t xml:space="preserve"> under Article 2(2)</w:t>
      </w:r>
      <w:r w:rsidR="00BC1BAC" w:rsidRPr="00472C9F">
        <w:rPr>
          <w:rFonts w:ascii="Calibri" w:eastAsiaTheme="minorEastAsia" w:hAnsi="Calibri" w:cs="Calibri"/>
          <w:kern w:val="24"/>
          <w:sz w:val="24"/>
          <w:szCs w:val="24"/>
        </w:rPr>
        <w:t xml:space="preserve">. </w:t>
      </w:r>
      <w:r w:rsidR="003B48C1" w:rsidRPr="00472C9F">
        <w:rPr>
          <w:rFonts w:ascii="Calibri" w:eastAsiaTheme="minorEastAsia" w:hAnsi="Calibri" w:cs="Calibri"/>
          <w:kern w:val="24"/>
          <w:sz w:val="24"/>
          <w:szCs w:val="24"/>
        </w:rPr>
        <w:t xml:space="preserve">Initial case law took a very traditional view of marriage. This was </w:t>
      </w:r>
      <w:r w:rsidR="003B48C1" w:rsidRPr="00472C9F">
        <w:rPr>
          <w:rFonts w:ascii="Calibri" w:hAnsi="Calibri" w:cs="Calibri"/>
          <w:sz w:val="24"/>
          <w:szCs w:val="24"/>
        </w:rPr>
        <w:t>defined as a</w:t>
      </w:r>
      <w:r w:rsidR="00762DDE">
        <w:rPr>
          <w:rFonts w:ascii="Calibri" w:hAnsi="Calibri" w:cs="Calibri"/>
          <w:sz w:val="24"/>
          <w:szCs w:val="24"/>
        </w:rPr>
        <w:t xml:space="preserve"> formalised</w:t>
      </w:r>
      <w:r w:rsidR="003B48C1" w:rsidRPr="00472C9F">
        <w:rPr>
          <w:rFonts w:ascii="Calibri" w:hAnsi="Calibri" w:cs="Calibri"/>
          <w:sz w:val="24"/>
          <w:szCs w:val="24"/>
        </w:rPr>
        <w:t xml:space="preserve"> marital stat</w:t>
      </w:r>
      <w:r w:rsidR="00D1087C" w:rsidRPr="00472C9F">
        <w:rPr>
          <w:rFonts w:ascii="Calibri" w:hAnsi="Calibri" w:cs="Calibri"/>
          <w:sz w:val="24"/>
          <w:szCs w:val="24"/>
        </w:rPr>
        <w:t>us</w:t>
      </w:r>
      <w:r w:rsidR="003B48C1" w:rsidRPr="00472C9F">
        <w:rPr>
          <w:rFonts w:ascii="Calibri" w:hAnsi="Calibri" w:cs="Calibri"/>
          <w:sz w:val="24"/>
          <w:szCs w:val="24"/>
        </w:rPr>
        <w:t xml:space="preserve"> </w:t>
      </w:r>
      <w:r w:rsidR="006C5492" w:rsidRPr="00472C9F">
        <w:rPr>
          <w:rFonts w:ascii="Calibri" w:hAnsi="Calibri" w:cs="Calibri"/>
          <w:sz w:val="24"/>
          <w:szCs w:val="24"/>
        </w:rPr>
        <w:t xml:space="preserve">in </w:t>
      </w:r>
      <w:r w:rsidR="003B48C1" w:rsidRPr="00472C9F">
        <w:rPr>
          <w:rFonts w:ascii="Calibri" w:hAnsi="Calibri" w:cs="Calibri"/>
          <w:i/>
          <w:iCs/>
          <w:sz w:val="24"/>
          <w:szCs w:val="24"/>
        </w:rPr>
        <w:t>Netherlands v Reed</w:t>
      </w:r>
      <w:r w:rsidR="00440692" w:rsidRPr="00472C9F">
        <w:rPr>
          <w:rFonts w:ascii="Calibri" w:hAnsi="Calibri" w:cs="Calibri"/>
          <w:i/>
          <w:iCs/>
          <w:sz w:val="24"/>
          <w:szCs w:val="24"/>
        </w:rPr>
        <w:t>.</w:t>
      </w:r>
      <w:r w:rsidR="00440692" w:rsidRPr="00472C9F">
        <w:rPr>
          <w:rStyle w:val="FootnoteReference"/>
          <w:rFonts w:ascii="Calibri" w:hAnsi="Calibri" w:cs="Calibri"/>
          <w:sz w:val="24"/>
          <w:szCs w:val="24"/>
        </w:rPr>
        <w:footnoteReference w:id="124"/>
      </w:r>
      <w:r w:rsidR="003B48C1" w:rsidRPr="00472C9F">
        <w:rPr>
          <w:rFonts w:ascii="Calibri" w:hAnsi="Calibri" w:cs="Calibri"/>
          <w:sz w:val="24"/>
          <w:szCs w:val="24"/>
        </w:rPr>
        <w:t xml:space="preserve"> Marriage bonds meant that the non-EU citizen partner could rely upon them to exercise freedom of movement and residence in another Member State, even where</w:t>
      </w:r>
      <w:r w:rsidR="0015066C" w:rsidRPr="00472C9F">
        <w:rPr>
          <w:rFonts w:ascii="Calibri" w:hAnsi="Calibri" w:cs="Calibri"/>
          <w:sz w:val="24"/>
          <w:szCs w:val="24"/>
        </w:rPr>
        <w:t xml:space="preserve"> separated but not yet divorced</w:t>
      </w:r>
      <w:r w:rsidR="00440692" w:rsidRPr="00472C9F">
        <w:rPr>
          <w:rFonts w:ascii="Calibri" w:hAnsi="Calibri" w:cs="Calibri"/>
          <w:i/>
          <w:iCs/>
          <w:sz w:val="24"/>
          <w:szCs w:val="24"/>
        </w:rPr>
        <w:t>.</w:t>
      </w:r>
      <w:r w:rsidR="00440692" w:rsidRPr="00472C9F">
        <w:rPr>
          <w:rStyle w:val="FootnoteReference"/>
          <w:rFonts w:ascii="Calibri" w:hAnsi="Calibri" w:cs="Calibri"/>
          <w:sz w:val="24"/>
          <w:szCs w:val="24"/>
        </w:rPr>
        <w:footnoteReference w:id="125"/>
      </w:r>
      <w:r w:rsidR="003B48C1" w:rsidRPr="00472C9F">
        <w:rPr>
          <w:rFonts w:ascii="Calibri" w:hAnsi="Calibri" w:cs="Calibri"/>
          <w:sz w:val="24"/>
          <w:szCs w:val="24"/>
        </w:rPr>
        <w:t xml:space="preserve"> </w:t>
      </w:r>
      <w:r w:rsidR="00A1590C" w:rsidRPr="00472C9F">
        <w:rPr>
          <w:rFonts w:ascii="Calibri" w:hAnsi="Calibri" w:cs="Calibri"/>
          <w:sz w:val="24"/>
          <w:szCs w:val="24"/>
        </w:rPr>
        <w:t xml:space="preserve">Despite a </w:t>
      </w:r>
      <w:r w:rsidR="00FE0956" w:rsidRPr="00472C9F">
        <w:rPr>
          <w:rFonts w:ascii="Calibri" w:hAnsi="Calibri" w:cs="Calibri"/>
          <w:sz w:val="24"/>
          <w:szCs w:val="24"/>
        </w:rPr>
        <w:t>slow</w:t>
      </w:r>
      <w:r w:rsidR="00A1590C" w:rsidRPr="00472C9F">
        <w:rPr>
          <w:rFonts w:ascii="Calibri" w:hAnsi="Calibri" w:cs="Calibri"/>
          <w:sz w:val="24"/>
          <w:szCs w:val="24"/>
        </w:rPr>
        <w:t xml:space="preserve"> start</w:t>
      </w:r>
      <w:r w:rsidR="00FE0956" w:rsidRPr="00472C9F">
        <w:rPr>
          <w:rFonts w:ascii="Calibri" w:hAnsi="Calibri" w:cs="Calibri"/>
          <w:sz w:val="24"/>
          <w:szCs w:val="24"/>
        </w:rPr>
        <w:t>,</w:t>
      </w:r>
      <w:r w:rsidR="00A1590C" w:rsidRPr="00472C9F">
        <w:rPr>
          <w:rFonts w:ascii="Calibri" w:hAnsi="Calibri" w:cs="Calibri"/>
          <w:sz w:val="24"/>
          <w:szCs w:val="24"/>
        </w:rPr>
        <w:t xml:space="preserve"> same-sex spouses</w:t>
      </w:r>
      <w:r w:rsidR="003B48C1" w:rsidRPr="00472C9F">
        <w:rPr>
          <w:rFonts w:ascii="Calibri" w:hAnsi="Calibri" w:cs="Calibri"/>
          <w:sz w:val="24"/>
          <w:szCs w:val="24"/>
        </w:rPr>
        <w:t xml:space="preserve"> </w:t>
      </w:r>
      <w:r w:rsidR="00A1590C" w:rsidRPr="00472C9F">
        <w:rPr>
          <w:rFonts w:ascii="Calibri" w:hAnsi="Calibri" w:cs="Calibri"/>
          <w:sz w:val="24"/>
          <w:szCs w:val="24"/>
        </w:rPr>
        <w:t>were</w:t>
      </w:r>
      <w:r w:rsidR="003B48C1" w:rsidRPr="00472C9F">
        <w:rPr>
          <w:rFonts w:ascii="Calibri" w:hAnsi="Calibri" w:cs="Calibri"/>
          <w:sz w:val="24"/>
          <w:szCs w:val="24"/>
        </w:rPr>
        <w:t xml:space="preserve"> expressly </w:t>
      </w:r>
      <w:r w:rsidR="00A1590C" w:rsidRPr="00472C9F">
        <w:rPr>
          <w:rFonts w:ascii="Calibri" w:hAnsi="Calibri" w:cs="Calibri"/>
          <w:sz w:val="24"/>
          <w:szCs w:val="24"/>
        </w:rPr>
        <w:t>recognised as spouses</w:t>
      </w:r>
      <w:r w:rsidR="003B48C1" w:rsidRPr="00472C9F">
        <w:rPr>
          <w:rFonts w:ascii="Calibri" w:hAnsi="Calibri" w:cs="Calibri"/>
          <w:sz w:val="24"/>
          <w:szCs w:val="24"/>
        </w:rPr>
        <w:t xml:space="preserve"> in the </w:t>
      </w:r>
      <w:r w:rsidR="003B48C1" w:rsidRPr="00472C9F">
        <w:rPr>
          <w:rFonts w:ascii="Calibri" w:hAnsi="Calibri" w:cs="Calibri"/>
          <w:i/>
          <w:iCs/>
          <w:sz w:val="24"/>
          <w:szCs w:val="24"/>
        </w:rPr>
        <w:t xml:space="preserve">Coman </w:t>
      </w:r>
      <w:r w:rsidR="003B48C1" w:rsidRPr="00472C9F">
        <w:rPr>
          <w:rFonts w:ascii="Calibri" w:hAnsi="Calibri" w:cs="Calibri"/>
          <w:sz w:val="24"/>
          <w:szCs w:val="24"/>
        </w:rPr>
        <w:t>case</w:t>
      </w:r>
      <w:r w:rsidR="00A1590C" w:rsidRPr="00472C9F">
        <w:rPr>
          <w:rFonts w:ascii="Calibri" w:hAnsi="Calibri" w:cs="Calibri"/>
          <w:sz w:val="24"/>
          <w:szCs w:val="24"/>
        </w:rPr>
        <w:t xml:space="preserve"> for the purposes of freedom of movement</w:t>
      </w:r>
      <w:r w:rsidR="00440692" w:rsidRPr="00472C9F">
        <w:rPr>
          <w:rFonts w:ascii="Calibri" w:hAnsi="Calibri" w:cs="Calibri"/>
          <w:sz w:val="24"/>
          <w:szCs w:val="24"/>
        </w:rPr>
        <w:t>.</w:t>
      </w:r>
      <w:r w:rsidR="00440692" w:rsidRPr="00472C9F">
        <w:rPr>
          <w:rStyle w:val="FootnoteReference"/>
          <w:rFonts w:ascii="Calibri" w:hAnsi="Calibri" w:cs="Calibri"/>
          <w:sz w:val="24"/>
          <w:szCs w:val="24"/>
        </w:rPr>
        <w:footnoteReference w:id="126"/>
      </w:r>
      <w:r w:rsidR="003B48C1" w:rsidRPr="00472C9F">
        <w:rPr>
          <w:rFonts w:ascii="Calibri" w:hAnsi="Calibri" w:cs="Calibri"/>
          <w:sz w:val="24"/>
          <w:szCs w:val="24"/>
        </w:rPr>
        <w:t xml:space="preserve"> </w:t>
      </w:r>
      <w:r w:rsidR="00440692" w:rsidRPr="00472C9F">
        <w:rPr>
          <w:rFonts w:ascii="Calibri" w:hAnsi="Calibri" w:cs="Calibri"/>
          <w:sz w:val="24"/>
          <w:szCs w:val="24"/>
        </w:rPr>
        <w:t xml:space="preserve">This </w:t>
      </w:r>
      <w:r w:rsidR="00B1228E" w:rsidRPr="00472C9F">
        <w:rPr>
          <w:rFonts w:ascii="Calibri" w:hAnsi="Calibri" w:cs="Calibri"/>
          <w:sz w:val="24"/>
          <w:szCs w:val="24"/>
        </w:rPr>
        <w:t xml:space="preserve">‘landmark’ </w:t>
      </w:r>
      <w:r w:rsidR="00440692" w:rsidRPr="00472C9F">
        <w:rPr>
          <w:rFonts w:ascii="Calibri" w:hAnsi="Calibri" w:cs="Calibri"/>
          <w:sz w:val="24"/>
          <w:szCs w:val="24"/>
        </w:rPr>
        <w:t xml:space="preserve">case </w:t>
      </w:r>
      <w:r w:rsidR="003B48C1" w:rsidRPr="00472C9F">
        <w:rPr>
          <w:rFonts w:ascii="Calibri" w:hAnsi="Calibri" w:cs="Calibri"/>
          <w:sz w:val="24"/>
          <w:szCs w:val="24"/>
        </w:rPr>
        <w:t>demonstrates the expanding nature of EU citizenship</w:t>
      </w:r>
      <w:r w:rsidR="00440692" w:rsidRPr="00472C9F">
        <w:rPr>
          <w:rFonts w:ascii="Calibri" w:hAnsi="Calibri" w:cs="Calibri"/>
          <w:sz w:val="24"/>
          <w:szCs w:val="24"/>
        </w:rPr>
        <w:t>.</w:t>
      </w:r>
      <w:r w:rsidR="00440692" w:rsidRPr="00472C9F">
        <w:rPr>
          <w:rStyle w:val="FootnoteReference"/>
          <w:rFonts w:ascii="Calibri" w:hAnsi="Calibri" w:cs="Calibri"/>
          <w:sz w:val="24"/>
          <w:szCs w:val="24"/>
        </w:rPr>
        <w:footnoteReference w:id="127"/>
      </w:r>
      <w:r w:rsidR="003B48C1" w:rsidRPr="00472C9F">
        <w:rPr>
          <w:rFonts w:ascii="Calibri" w:hAnsi="Calibri" w:cs="Calibri"/>
          <w:sz w:val="24"/>
          <w:szCs w:val="24"/>
        </w:rPr>
        <w:t xml:space="preserve"> </w:t>
      </w:r>
      <w:r w:rsidR="00440692" w:rsidRPr="00472C9F">
        <w:rPr>
          <w:rFonts w:ascii="Calibri" w:hAnsi="Calibri" w:cs="Calibri"/>
          <w:sz w:val="24"/>
          <w:szCs w:val="24"/>
        </w:rPr>
        <w:t xml:space="preserve">When compared to other international </w:t>
      </w:r>
      <w:r w:rsidR="004E6858" w:rsidRPr="00472C9F">
        <w:rPr>
          <w:rFonts w:ascii="Calibri" w:hAnsi="Calibri" w:cs="Calibri"/>
          <w:sz w:val="24"/>
          <w:szCs w:val="24"/>
        </w:rPr>
        <w:t xml:space="preserve">courts </w:t>
      </w:r>
      <w:r w:rsidR="00440692" w:rsidRPr="00472C9F">
        <w:rPr>
          <w:rFonts w:ascii="Calibri" w:hAnsi="Calibri" w:cs="Calibri"/>
          <w:sz w:val="24"/>
          <w:szCs w:val="24"/>
        </w:rPr>
        <w:t xml:space="preserve">such as the </w:t>
      </w:r>
      <w:r w:rsidR="000D62A5" w:rsidRPr="00472C9F">
        <w:rPr>
          <w:rFonts w:ascii="Calibri" w:hAnsi="Calibri" w:cs="Calibri"/>
          <w:sz w:val="24"/>
          <w:szCs w:val="24"/>
        </w:rPr>
        <w:t>ECtHR</w:t>
      </w:r>
      <w:r w:rsidR="00B1228E" w:rsidRPr="00472C9F">
        <w:rPr>
          <w:rFonts w:ascii="Calibri" w:hAnsi="Calibri" w:cs="Calibri"/>
          <w:sz w:val="24"/>
          <w:szCs w:val="24"/>
        </w:rPr>
        <w:t>,</w:t>
      </w:r>
      <w:r w:rsidR="000D62A5" w:rsidRPr="00472C9F">
        <w:rPr>
          <w:rFonts w:ascii="Calibri" w:hAnsi="Calibri" w:cs="Calibri"/>
          <w:sz w:val="24"/>
          <w:szCs w:val="24"/>
        </w:rPr>
        <w:t xml:space="preserve"> which continues to rely on </w:t>
      </w:r>
      <w:r w:rsidR="00181F5F">
        <w:rPr>
          <w:rFonts w:ascii="Calibri" w:hAnsi="Calibri" w:cs="Calibri"/>
          <w:sz w:val="24"/>
          <w:szCs w:val="24"/>
        </w:rPr>
        <w:t xml:space="preserve">a </w:t>
      </w:r>
      <w:r w:rsidR="000D62A5" w:rsidRPr="00472C9F">
        <w:rPr>
          <w:rFonts w:ascii="Calibri" w:hAnsi="Calibri" w:cs="Calibri"/>
          <w:sz w:val="24"/>
          <w:szCs w:val="24"/>
        </w:rPr>
        <w:t>margin of appreciation,</w:t>
      </w:r>
      <w:r w:rsidR="00440692" w:rsidRPr="00472C9F">
        <w:rPr>
          <w:rFonts w:ascii="Calibri" w:hAnsi="Calibri" w:cs="Calibri"/>
          <w:sz w:val="24"/>
          <w:szCs w:val="24"/>
        </w:rPr>
        <w:t xml:space="preserve"> </w:t>
      </w:r>
      <w:r w:rsidR="002D2C64" w:rsidRPr="00472C9F">
        <w:rPr>
          <w:rFonts w:ascii="Calibri" w:hAnsi="Calibri" w:cs="Calibri"/>
          <w:sz w:val="24"/>
          <w:szCs w:val="24"/>
        </w:rPr>
        <w:t xml:space="preserve">the CJEU </w:t>
      </w:r>
      <w:r w:rsidR="00B1228E" w:rsidRPr="00472C9F">
        <w:rPr>
          <w:rFonts w:ascii="Calibri" w:hAnsi="Calibri" w:cs="Calibri"/>
          <w:sz w:val="24"/>
          <w:szCs w:val="24"/>
        </w:rPr>
        <w:t xml:space="preserve">has </w:t>
      </w:r>
      <w:r w:rsidR="00440692" w:rsidRPr="00472C9F">
        <w:rPr>
          <w:rFonts w:ascii="Calibri" w:hAnsi="Calibri" w:cs="Calibri"/>
          <w:sz w:val="24"/>
          <w:szCs w:val="24"/>
        </w:rPr>
        <w:t>tak</w:t>
      </w:r>
      <w:r w:rsidR="00B1228E" w:rsidRPr="00472C9F">
        <w:rPr>
          <w:rFonts w:ascii="Calibri" w:hAnsi="Calibri" w:cs="Calibri"/>
          <w:sz w:val="24"/>
          <w:szCs w:val="24"/>
        </w:rPr>
        <w:t>en</w:t>
      </w:r>
      <w:r w:rsidR="00440692" w:rsidRPr="00472C9F">
        <w:rPr>
          <w:rFonts w:ascii="Calibri" w:hAnsi="Calibri" w:cs="Calibri"/>
          <w:sz w:val="24"/>
          <w:szCs w:val="24"/>
        </w:rPr>
        <w:t xml:space="preserve"> a leading approach.</w:t>
      </w:r>
      <w:r w:rsidR="007B4895" w:rsidRPr="00472C9F">
        <w:rPr>
          <w:rStyle w:val="FootnoteReference"/>
          <w:rFonts w:ascii="Calibri" w:hAnsi="Calibri" w:cs="Calibri"/>
          <w:sz w:val="24"/>
          <w:szCs w:val="24"/>
        </w:rPr>
        <w:footnoteReference w:id="128"/>
      </w:r>
      <w:r w:rsidR="00440692" w:rsidRPr="00472C9F">
        <w:rPr>
          <w:rFonts w:ascii="Calibri" w:hAnsi="Calibri" w:cs="Calibri"/>
          <w:sz w:val="24"/>
          <w:szCs w:val="24"/>
        </w:rPr>
        <w:t xml:space="preserve"> </w:t>
      </w:r>
      <w:r w:rsidR="00975396" w:rsidRPr="00472C9F">
        <w:rPr>
          <w:rFonts w:ascii="Calibri" w:hAnsi="Calibri" w:cs="Calibri"/>
          <w:sz w:val="24"/>
          <w:szCs w:val="24"/>
        </w:rPr>
        <w:t>However, due to the limited competence of EU law, this resulted in freedom of movement (with associated rights such as work</w:t>
      </w:r>
      <w:r w:rsidR="00603131" w:rsidRPr="00472C9F">
        <w:rPr>
          <w:rFonts w:ascii="Calibri" w:hAnsi="Calibri" w:cs="Calibri"/>
          <w:sz w:val="24"/>
          <w:szCs w:val="24"/>
        </w:rPr>
        <w:t xml:space="preserve"> and</w:t>
      </w:r>
      <w:r w:rsidR="00975396" w:rsidRPr="00472C9F">
        <w:rPr>
          <w:rFonts w:ascii="Calibri" w:hAnsi="Calibri" w:cs="Calibri"/>
          <w:sz w:val="24"/>
          <w:szCs w:val="24"/>
        </w:rPr>
        <w:t xml:space="preserve"> </w:t>
      </w:r>
      <w:r w:rsidR="0015066C" w:rsidRPr="00472C9F">
        <w:rPr>
          <w:rFonts w:ascii="Calibri" w:hAnsi="Calibri" w:cs="Calibri"/>
          <w:sz w:val="24"/>
          <w:szCs w:val="24"/>
        </w:rPr>
        <w:t>non-discrimination</w:t>
      </w:r>
      <w:r w:rsidR="00975396" w:rsidRPr="00472C9F">
        <w:rPr>
          <w:rFonts w:ascii="Calibri" w:hAnsi="Calibri" w:cs="Calibri"/>
          <w:sz w:val="24"/>
          <w:szCs w:val="24"/>
        </w:rPr>
        <w:t xml:space="preserve">) but crucially did not result in any change in the law of the host Member state. </w:t>
      </w:r>
      <w:r w:rsidR="0034762A" w:rsidRPr="00472C9F">
        <w:rPr>
          <w:rFonts w:ascii="Calibri" w:hAnsi="Calibri" w:cs="Calibri"/>
          <w:sz w:val="24"/>
          <w:szCs w:val="24"/>
        </w:rPr>
        <w:t xml:space="preserve">Judgments from international courts also do not </w:t>
      </w:r>
      <w:r w:rsidR="0081158C" w:rsidRPr="00472C9F">
        <w:rPr>
          <w:rFonts w:ascii="Calibri" w:hAnsi="Calibri" w:cs="Calibri"/>
          <w:sz w:val="24"/>
          <w:szCs w:val="24"/>
        </w:rPr>
        <w:t>immediately change the</w:t>
      </w:r>
      <w:r w:rsidR="0034762A" w:rsidRPr="00472C9F">
        <w:rPr>
          <w:rFonts w:ascii="Calibri" w:hAnsi="Calibri" w:cs="Calibri"/>
          <w:sz w:val="24"/>
          <w:szCs w:val="24"/>
        </w:rPr>
        <w:t xml:space="preserve"> culturally conservative </w:t>
      </w:r>
      <w:r w:rsidR="00840F0A" w:rsidRPr="00472C9F">
        <w:rPr>
          <w:rFonts w:ascii="Calibri" w:hAnsi="Calibri" w:cs="Calibri"/>
          <w:sz w:val="24"/>
          <w:szCs w:val="24"/>
        </w:rPr>
        <w:t>nature of the countries in question</w:t>
      </w:r>
      <w:r w:rsidR="00975396" w:rsidRPr="00472C9F">
        <w:rPr>
          <w:rFonts w:ascii="Calibri" w:hAnsi="Calibri" w:cs="Calibri"/>
          <w:sz w:val="24"/>
          <w:szCs w:val="24"/>
        </w:rPr>
        <w:t xml:space="preserve">. In the </w:t>
      </w:r>
      <w:r w:rsidR="00975396" w:rsidRPr="00472C9F">
        <w:rPr>
          <w:rFonts w:ascii="Calibri" w:hAnsi="Calibri" w:cs="Calibri"/>
          <w:i/>
          <w:iCs/>
          <w:sz w:val="24"/>
          <w:szCs w:val="24"/>
        </w:rPr>
        <w:t>Coman</w:t>
      </w:r>
      <w:r w:rsidR="00975396" w:rsidRPr="00472C9F">
        <w:rPr>
          <w:rFonts w:ascii="Calibri" w:hAnsi="Calibri" w:cs="Calibri"/>
          <w:sz w:val="24"/>
          <w:szCs w:val="24"/>
        </w:rPr>
        <w:t xml:space="preserve"> case</w:t>
      </w:r>
      <w:r w:rsidR="00B1228E" w:rsidRPr="00472C9F">
        <w:rPr>
          <w:rFonts w:ascii="Calibri" w:hAnsi="Calibri" w:cs="Calibri"/>
          <w:sz w:val="24"/>
          <w:szCs w:val="24"/>
        </w:rPr>
        <w:t>,</w:t>
      </w:r>
      <w:r w:rsidR="00975396" w:rsidRPr="00472C9F">
        <w:rPr>
          <w:rFonts w:ascii="Calibri" w:hAnsi="Calibri" w:cs="Calibri"/>
          <w:sz w:val="24"/>
          <w:szCs w:val="24"/>
        </w:rPr>
        <w:t xml:space="preserve"> in fact, </w:t>
      </w:r>
      <w:r w:rsidR="00E0029E" w:rsidRPr="00472C9F">
        <w:rPr>
          <w:rFonts w:ascii="Calibri" w:hAnsi="Calibri" w:cs="Calibri"/>
          <w:sz w:val="24"/>
          <w:szCs w:val="24"/>
        </w:rPr>
        <w:t xml:space="preserve">the couple struggled to have the </w:t>
      </w:r>
      <w:r w:rsidR="0015066C" w:rsidRPr="00472C9F">
        <w:rPr>
          <w:rFonts w:ascii="Calibri" w:hAnsi="Calibri" w:cs="Calibri"/>
          <w:sz w:val="24"/>
          <w:szCs w:val="24"/>
        </w:rPr>
        <w:t>CJEU</w:t>
      </w:r>
      <w:r w:rsidR="00E0029E" w:rsidRPr="00472C9F">
        <w:rPr>
          <w:rFonts w:ascii="Calibri" w:hAnsi="Calibri" w:cs="Calibri"/>
          <w:sz w:val="24"/>
          <w:szCs w:val="24"/>
        </w:rPr>
        <w:t xml:space="preserve"> judgment enforced</w:t>
      </w:r>
      <w:r w:rsidR="00E9359B" w:rsidRPr="00472C9F">
        <w:rPr>
          <w:rFonts w:ascii="Calibri" w:hAnsi="Calibri" w:cs="Calibri"/>
          <w:sz w:val="24"/>
          <w:szCs w:val="24"/>
        </w:rPr>
        <w:t xml:space="preserve">, leading to questions about the Rule of Law in </w:t>
      </w:r>
      <w:r w:rsidR="00102A2E" w:rsidRPr="00472C9F">
        <w:rPr>
          <w:rFonts w:ascii="Calibri" w:hAnsi="Calibri" w:cs="Calibri"/>
          <w:sz w:val="24"/>
          <w:szCs w:val="24"/>
        </w:rPr>
        <w:t>Romania</w:t>
      </w:r>
      <w:r w:rsidR="00E9359B" w:rsidRPr="00472C9F">
        <w:rPr>
          <w:rFonts w:ascii="Calibri" w:hAnsi="Calibri" w:cs="Calibri"/>
          <w:sz w:val="24"/>
          <w:szCs w:val="24"/>
        </w:rPr>
        <w:t>.</w:t>
      </w:r>
      <w:r w:rsidR="00840BF7" w:rsidRPr="00472C9F">
        <w:rPr>
          <w:rStyle w:val="FootnoteReference"/>
          <w:rFonts w:ascii="Calibri" w:hAnsi="Calibri" w:cs="Calibri"/>
          <w:sz w:val="24"/>
          <w:szCs w:val="24"/>
        </w:rPr>
        <w:footnoteReference w:id="129"/>
      </w:r>
      <w:r w:rsidR="00E0029E" w:rsidRPr="00472C9F">
        <w:rPr>
          <w:rFonts w:ascii="Calibri" w:hAnsi="Calibri" w:cs="Calibri"/>
          <w:sz w:val="24"/>
          <w:szCs w:val="24"/>
        </w:rPr>
        <w:t xml:space="preserve"> </w:t>
      </w:r>
    </w:p>
    <w:p w14:paraId="6C748399" w14:textId="77777777" w:rsidR="005E4608" w:rsidRPr="00472C9F" w:rsidRDefault="005E4608" w:rsidP="0059780E">
      <w:pPr>
        <w:spacing w:after="0" w:line="360" w:lineRule="auto"/>
        <w:jc w:val="both"/>
        <w:rPr>
          <w:rFonts w:ascii="Calibri" w:hAnsi="Calibri" w:cs="Calibri"/>
          <w:sz w:val="24"/>
          <w:szCs w:val="24"/>
        </w:rPr>
      </w:pPr>
    </w:p>
    <w:p w14:paraId="01564E66" w14:textId="25FAE1D2" w:rsidR="002C5AC4" w:rsidRDefault="00975396" w:rsidP="0059780E">
      <w:pPr>
        <w:spacing w:after="0" w:line="360" w:lineRule="auto"/>
        <w:jc w:val="both"/>
        <w:rPr>
          <w:rFonts w:ascii="Calibri" w:hAnsi="Calibri" w:cs="Calibri"/>
          <w:sz w:val="24"/>
          <w:szCs w:val="24"/>
        </w:rPr>
      </w:pPr>
      <w:r w:rsidRPr="00472C9F">
        <w:rPr>
          <w:rFonts w:ascii="Calibri" w:hAnsi="Calibri" w:cs="Calibri"/>
          <w:sz w:val="24"/>
          <w:szCs w:val="24"/>
        </w:rPr>
        <w:t xml:space="preserve">The </w:t>
      </w:r>
      <w:r w:rsidRPr="00472C9F">
        <w:rPr>
          <w:rFonts w:ascii="Calibri" w:hAnsi="Calibri" w:cs="Calibri"/>
          <w:i/>
          <w:iCs/>
          <w:sz w:val="24"/>
          <w:szCs w:val="24"/>
        </w:rPr>
        <w:t xml:space="preserve">Coman </w:t>
      </w:r>
      <w:r w:rsidRPr="00472C9F">
        <w:rPr>
          <w:rFonts w:ascii="Calibri" w:hAnsi="Calibri" w:cs="Calibri"/>
          <w:sz w:val="24"/>
          <w:szCs w:val="24"/>
        </w:rPr>
        <w:t>case</w:t>
      </w:r>
      <w:r w:rsidR="00EF1017" w:rsidRPr="00472C9F">
        <w:rPr>
          <w:rFonts w:ascii="Calibri" w:hAnsi="Calibri" w:cs="Calibri"/>
          <w:sz w:val="24"/>
          <w:szCs w:val="24"/>
        </w:rPr>
        <w:t xml:space="preserve"> concerned marriage</w:t>
      </w:r>
      <w:r w:rsidR="00B1228E" w:rsidRPr="00472C9F">
        <w:rPr>
          <w:rFonts w:ascii="Calibri" w:hAnsi="Calibri" w:cs="Calibri"/>
          <w:sz w:val="24"/>
          <w:szCs w:val="24"/>
        </w:rPr>
        <w:t xml:space="preserve"> and</w:t>
      </w:r>
      <w:r w:rsidR="00EF1017" w:rsidRPr="00472C9F">
        <w:rPr>
          <w:rFonts w:ascii="Calibri" w:hAnsi="Calibri" w:cs="Calibri"/>
          <w:sz w:val="24"/>
          <w:szCs w:val="24"/>
        </w:rPr>
        <w:t xml:space="preserve"> did not deal with other types of </w:t>
      </w:r>
      <w:r w:rsidR="003B48C1" w:rsidRPr="00472C9F">
        <w:rPr>
          <w:rFonts w:ascii="Calibri" w:hAnsi="Calibri" w:cs="Calibri"/>
          <w:sz w:val="24"/>
          <w:szCs w:val="24"/>
        </w:rPr>
        <w:t xml:space="preserve">recognised </w:t>
      </w:r>
      <w:r w:rsidRPr="00472C9F">
        <w:rPr>
          <w:rFonts w:ascii="Calibri" w:hAnsi="Calibri" w:cs="Calibri"/>
          <w:sz w:val="24"/>
          <w:szCs w:val="24"/>
        </w:rPr>
        <w:t xml:space="preserve">relationship </w:t>
      </w:r>
      <w:r w:rsidR="003B48C1" w:rsidRPr="00472C9F">
        <w:rPr>
          <w:rFonts w:ascii="Calibri" w:hAnsi="Calibri" w:cs="Calibri"/>
          <w:sz w:val="24"/>
          <w:szCs w:val="24"/>
        </w:rPr>
        <w:t>status</w:t>
      </w:r>
      <w:r w:rsidR="0070278E" w:rsidRPr="00472C9F">
        <w:rPr>
          <w:rFonts w:ascii="Calibri" w:eastAsiaTheme="minorEastAsia" w:hAnsi="Calibri" w:cs="Calibri"/>
          <w:kern w:val="24"/>
          <w:sz w:val="24"/>
          <w:szCs w:val="24"/>
        </w:rPr>
        <w:t xml:space="preserve">. </w:t>
      </w:r>
      <w:r w:rsidR="0070278E" w:rsidRPr="00472C9F">
        <w:rPr>
          <w:rFonts w:ascii="Calibri" w:hAnsi="Calibri" w:cs="Calibri"/>
          <w:sz w:val="24"/>
          <w:szCs w:val="24"/>
        </w:rPr>
        <w:t xml:space="preserve">Registered partners </w:t>
      </w:r>
      <w:r w:rsidR="00D34C2B" w:rsidRPr="00472C9F">
        <w:rPr>
          <w:rFonts w:ascii="Calibri" w:hAnsi="Calibri" w:cs="Calibri"/>
          <w:sz w:val="24"/>
          <w:szCs w:val="24"/>
        </w:rPr>
        <w:t>are</w:t>
      </w:r>
      <w:r w:rsidR="0070278E" w:rsidRPr="00472C9F">
        <w:rPr>
          <w:rFonts w:ascii="Calibri" w:hAnsi="Calibri" w:cs="Calibri"/>
          <w:sz w:val="24"/>
          <w:szCs w:val="24"/>
        </w:rPr>
        <w:t xml:space="preserve"> specifically referred to in the Citizenship Directive</w:t>
      </w:r>
      <w:r w:rsidR="00925C82" w:rsidRPr="00472C9F">
        <w:rPr>
          <w:rFonts w:ascii="Calibri" w:hAnsi="Calibri" w:cs="Calibri"/>
          <w:sz w:val="24"/>
          <w:szCs w:val="24"/>
        </w:rPr>
        <w:t xml:space="preserve">, with the limitation </w:t>
      </w:r>
      <w:r w:rsidR="00D34C2B" w:rsidRPr="00472C9F">
        <w:rPr>
          <w:rFonts w:ascii="Calibri" w:hAnsi="Calibri" w:cs="Calibri"/>
          <w:sz w:val="24"/>
          <w:szCs w:val="24"/>
        </w:rPr>
        <w:t>that</w:t>
      </w:r>
      <w:r w:rsidR="00782373" w:rsidRPr="00472C9F">
        <w:rPr>
          <w:rFonts w:ascii="Calibri" w:hAnsi="Calibri" w:cs="Calibri"/>
          <w:sz w:val="24"/>
          <w:szCs w:val="24"/>
        </w:rPr>
        <w:t xml:space="preserve"> </w:t>
      </w:r>
      <w:r w:rsidR="003D07B1" w:rsidRPr="00472C9F">
        <w:rPr>
          <w:rFonts w:ascii="Calibri" w:hAnsi="Calibri" w:cs="Calibri"/>
          <w:sz w:val="24"/>
          <w:szCs w:val="24"/>
        </w:rPr>
        <w:t xml:space="preserve">EU states should </w:t>
      </w:r>
      <w:r w:rsidR="00782373" w:rsidRPr="00472C9F">
        <w:rPr>
          <w:rFonts w:ascii="Calibri" w:hAnsi="Calibri" w:cs="Calibri"/>
          <w:sz w:val="24"/>
          <w:szCs w:val="24"/>
        </w:rPr>
        <w:t xml:space="preserve">allow registered partners </w:t>
      </w:r>
      <w:r w:rsidR="003D07B1" w:rsidRPr="00472C9F">
        <w:rPr>
          <w:rFonts w:ascii="Calibri" w:hAnsi="Calibri" w:cs="Calibri"/>
          <w:sz w:val="24"/>
          <w:szCs w:val="24"/>
        </w:rPr>
        <w:t>to</w:t>
      </w:r>
      <w:r w:rsidR="00D34C2B" w:rsidRPr="00472C9F">
        <w:rPr>
          <w:rFonts w:ascii="Calibri" w:hAnsi="Calibri" w:cs="Calibri"/>
          <w:sz w:val="24"/>
          <w:szCs w:val="24"/>
        </w:rPr>
        <w:t xml:space="preserve"> move with</w:t>
      </w:r>
      <w:r w:rsidR="00782373" w:rsidRPr="00472C9F">
        <w:rPr>
          <w:rFonts w:ascii="Calibri" w:hAnsi="Calibri" w:cs="Calibri"/>
          <w:sz w:val="24"/>
          <w:szCs w:val="24"/>
        </w:rPr>
        <w:t xml:space="preserve"> EU citizens </w:t>
      </w:r>
      <w:r w:rsidR="002C24D6" w:rsidRPr="00472C9F">
        <w:rPr>
          <w:rFonts w:ascii="Calibri" w:hAnsi="Calibri" w:cs="Calibri"/>
          <w:sz w:val="24"/>
          <w:szCs w:val="24"/>
        </w:rPr>
        <w:t xml:space="preserve">only </w:t>
      </w:r>
      <w:r w:rsidR="00782373" w:rsidRPr="00472C9F">
        <w:rPr>
          <w:rFonts w:ascii="Calibri" w:hAnsi="Calibri" w:cs="Calibri"/>
          <w:sz w:val="24"/>
          <w:szCs w:val="24"/>
        </w:rPr>
        <w:t>where ‘the host Member State treats registered partnerships as equivalent to marriage</w:t>
      </w:r>
      <w:r w:rsidR="00CB6034" w:rsidRPr="00472C9F">
        <w:rPr>
          <w:rFonts w:ascii="Calibri" w:hAnsi="Calibri" w:cs="Calibri"/>
          <w:sz w:val="24"/>
          <w:szCs w:val="24"/>
        </w:rPr>
        <w:t>’.</w:t>
      </w:r>
      <w:r w:rsidR="0070278E" w:rsidRPr="00472C9F">
        <w:rPr>
          <w:rStyle w:val="FootnoteReference"/>
          <w:rFonts w:ascii="Calibri" w:hAnsi="Calibri" w:cs="Calibri"/>
          <w:sz w:val="24"/>
          <w:szCs w:val="24"/>
        </w:rPr>
        <w:footnoteReference w:id="130"/>
      </w:r>
      <w:r w:rsidR="0070278E" w:rsidRPr="00472C9F">
        <w:rPr>
          <w:rFonts w:ascii="Calibri" w:hAnsi="Calibri" w:cs="Calibri"/>
          <w:sz w:val="24"/>
          <w:szCs w:val="24"/>
        </w:rPr>
        <w:t xml:space="preserve"> </w:t>
      </w:r>
      <w:r w:rsidR="00A00C0F" w:rsidRPr="00472C9F">
        <w:rPr>
          <w:rFonts w:ascii="Calibri" w:eastAsiaTheme="minorEastAsia" w:hAnsi="Calibri" w:cs="Calibri"/>
          <w:kern w:val="24"/>
          <w:sz w:val="24"/>
          <w:szCs w:val="24"/>
        </w:rPr>
        <w:t xml:space="preserve">EU law </w:t>
      </w:r>
      <w:r w:rsidR="0070278E" w:rsidRPr="00472C9F">
        <w:rPr>
          <w:rFonts w:ascii="Calibri" w:eastAsiaTheme="minorEastAsia" w:hAnsi="Calibri" w:cs="Calibri"/>
          <w:kern w:val="24"/>
          <w:sz w:val="24"/>
          <w:szCs w:val="24"/>
        </w:rPr>
        <w:t xml:space="preserve">only </w:t>
      </w:r>
      <w:r w:rsidR="00A00C0F" w:rsidRPr="00472C9F">
        <w:rPr>
          <w:rFonts w:ascii="Calibri" w:eastAsiaTheme="minorEastAsia" w:hAnsi="Calibri" w:cs="Calibri"/>
          <w:kern w:val="24"/>
          <w:sz w:val="24"/>
          <w:szCs w:val="24"/>
        </w:rPr>
        <w:t>provides</w:t>
      </w:r>
      <w:r w:rsidR="0070278E" w:rsidRPr="00472C9F">
        <w:rPr>
          <w:rFonts w:ascii="Calibri" w:eastAsiaTheme="minorEastAsia" w:hAnsi="Calibri" w:cs="Calibri"/>
          <w:kern w:val="24"/>
          <w:sz w:val="24"/>
          <w:szCs w:val="24"/>
        </w:rPr>
        <w:t xml:space="preserve"> freedom of movement and associated rights</w:t>
      </w:r>
      <w:r w:rsidR="002C24D6" w:rsidRPr="00472C9F">
        <w:rPr>
          <w:rFonts w:ascii="Calibri" w:eastAsiaTheme="minorEastAsia" w:hAnsi="Calibri" w:cs="Calibri"/>
          <w:kern w:val="24"/>
          <w:sz w:val="24"/>
          <w:szCs w:val="24"/>
        </w:rPr>
        <w:t xml:space="preserve">, yet </w:t>
      </w:r>
      <w:r w:rsidR="0070278E" w:rsidRPr="00472C9F">
        <w:rPr>
          <w:rFonts w:ascii="Calibri" w:eastAsiaTheme="minorEastAsia" w:hAnsi="Calibri" w:cs="Calibri"/>
          <w:kern w:val="24"/>
          <w:sz w:val="24"/>
          <w:szCs w:val="24"/>
        </w:rPr>
        <w:t xml:space="preserve">what </w:t>
      </w:r>
      <w:r w:rsidR="0070278E" w:rsidRPr="00472C9F">
        <w:rPr>
          <w:rFonts w:ascii="Calibri" w:eastAsiaTheme="minorEastAsia" w:hAnsi="Calibri" w:cs="Calibri"/>
          <w:kern w:val="24"/>
          <w:sz w:val="24"/>
          <w:szCs w:val="24"/>
        </w:rPr>
        <w:lastRenderedPageBreak/>
        <w:t>rights are included within civil partnership var</w:t>
      </w:r>
      <w:r w:rsidR="00B1228E" w:rsidRPr="00472C9F">
        <w:rPr>
          <w:rFonts w:ascii="Calibri" w:eastAsiaTheme="minorEastAsia" w:hAnsi="Calibri" w:cs="Calibri"/>
          <w:kern w:val="24"/>
          <w:sz w:val="24"/>
          <w:szCs w:val="24"/>
        </w:rPr>
        <w:t>ies</w:t>
      </w:r>
      <w:r w:rsidR="0070278E" w:rsidRPr="00472C9F">
        <w:rPr>
          <w:rFonts w:ascii="Calibri" w:eastAsiaTheme="minorEastAsia" w:hAnsi="Calibri" w:cs="Calibri"/>
          <w:kern w:val="24"/>
          <w:sz w:val="24"/>
          <w:szCs w:val="24"/>
        </w:rPr>
        <w:t xml:space="preserve"> massively </w:t>
      </w:r>
      <w:r w:rsidR="002C24D6" w:rsidRPr="00472C9F">
        <w:rPr>
          <w:rFonts w:ascii="Calibri" w:eastAsiaTheme="minorEastAsia" w:hAnsi="Calibri" w:cs="Calibri"/>
          <w:kern w:val="24"/>
          <w:sz w:val="24"/>
          <w:szCs w:val="24"/>
        </w:rPr>
        <w:t>jurisdictionally and</w:t>
      </w:r>
      <w:r w:rsidR="0070278E" w:rsidRPr="00472C9F">
        <w:rPr>
          <w:rFonts w:ascii="Calibri" w:eastAsiaTheme="minorEastAsia" w:hAnsi="Calibri" w:cs="Calibri"/>
          <w:kern w:val="24"/>
          <w:sz w:val="24"/>
          <w:szCs w:val="24"/>
        </w:rPr>
        <w:t xml:space="preserve"> </w:t>
      </w:r>
      <w:r w:rsidR="002C24D6" w:rsidRPr="00472C9F">
        <w:rPr>
          <w:rFonts w:ascii="Calibri" w:eastAsiaTheme="minorEastAsia" w:hAnsi="Calibri" w:cs="Calibri"/>
          <w:kern w:val="24"/>
          <w:sz w:val="24"/>
          <w:szCs w:val="24"/>
        </w:rPr>
        <w:t>might not</w:t>
      </w:r>
      <w:r w:rsidR="0070278E" w:rsidRPr="00472C9F">
        <w:rPr>
          <w:rFonts w:ascii="Calibri" w:eastAsiaTheme="minorEastAsia" w:hAnsi="Calibri" w:cs="Calibri"/>
          <w:kern w:val="24"/>
          <w:sz w:val="24"/>
          <w:szCs w:val="24"/>
        </w:rPr>
        <w:t xml:space="preserve"> include </w:t>
      </w:r>
      <w:r w:rsidR="00A00C0F" w:rsidRPr="00472C9F">
        <w:rPr>
          <w:rFonts w:ascii="Calibri" w:eastAsiaTheme="minorEastAsia" w:hAnsi="Calibri" w:cs="Calibri"/>
          <w:kern w:val="24"/>
          <w:sz w:val="24"/>
          <w:szCs w:val="24"/>
        </w:rPr>
        <w:t xml:space="preserve">national </w:t>
      </w:r>
      <w:r w:rsidR="0070278E" w:rsidRPr="00472C9F">
        <w:rPr>
          <w:rFonts w:ascii="Calibri" w:eastAsiaTheme="minorEastAsia" w:hAnsi="Calibri" w:cs="Calibri"/>
          <w:kern w:val="24"/>
          <w:sz w:val="24"/>
          <w:szCs w:val="24"/>
        </w:rPr>
        <w:t xml:space="preserve">citizenship </w:t>
      </w:r>
      <w:r w:rsidR="002C24D6" w:rsidRPr="00472C9F">
        <w:rPr>
          <w:rFonts w:ascii="Calibri" w:eastAsiaTheme="minorEastAsia" w:hAnsi="Calibri" w:cs="Calibri"/>
          <w:kern w:val="24"/>
          <w:sz w:val="24"/>
          <w:szCs w:val="24"/>
        </w:rPr>
        <w:t>or</w:t>
      </w:r>
      <w:r w:rsidR="0070278E" w:rsidRPr="00472C9F">
        <w:rPr>
          <w:rFonts w:ascii="Calibri" w:eastAsiaTheme="minorEastAsia" w:hAnsi="Calibri" w:cs="Calibri"/>
          <w:kern w:val="24"/>
          <w:sz w:val="24"/>
          <w:szCs w:val="24"/>
        </w:rPr>
        <w:t xml:space="preserve"> parental rights. </w:t>
      </w:r>
      <w:r w:rsidR="00A00C0F" w:rsidRPr="00472C9F">
        <w:rPr>
          <w:rFonts w:ascii="Calibri" w:eastAsiaTheme="minorEastAsia" w:hAnsi="Calibri" w:cs="Calibri"/>
          <w:kern w:val="24"/>
          <w:sz w:val="24"/>
          <w:szCs w:val="24"/>
        </w:rPr>
        <w:t xml:space="preserve">EU law alignment with family status and marriage </w:t>
      </w:r>
      <w:r w:rsidR="0070278E" w:rsidRPr="00472C9F">
        <w:rPr>
          <w:rFonts w:ascii="Calibri" w:eastAsiaTheme="minorEastAsia" w:hAnsi="Calibri" w:cs="Calibri"/>
          <w:kern w:val="24"/>
          <w:sz w:val="24"/>
          <w:szCs w:val="24"/>
        </w:rPr>
        <w:t xml:space="preserve">and civil </w:t>
      </w:r>
      <w:r w:rsidR="00A00C0F" w:rsidRPr="00472C9F">
        <w:rPr>
          <w:rFonts w:ascii="Calibri" w:eastAsiaTheme="minorEastAsia" w:hAnsi="Calibri" w:cs="Calibri"/>
          <w:kern w:val="24"/>
          <w:sz w:val="24"/>
          <w:szCs w:val="24"/>
        </w:rPr>
        <w:t>partnership</w:t>
      </w:r>
      <w:r w:rsidR="0070278E" w:rsidRPr="00472C9F">
        <w:rPr>
          <w:rFonts w:ascii="Calibri" w:eastAsiaTheme="minorEastAsia" w:hAnsi="Calibri" w:cs="Calibri"/>
          <w:kern w:val="24"/>
          <w:sz w:val="24"/>
          <w:szCs w:val="24"/>
        </w:rPr>
        <w:t xml:space="preserve"> </w:t>
      </w:r>
      <w:r w:rsidR="007A1B47" w:rsidRPr="00472C9F">
        <w:rPr>
          <w:rFonts w:ascii="Calibri" w:eastAsiaTheme="minorEastAsia" w:hAnsi="Calibri" w:cs="Calibri"/>
          <w:kern w:val="24"/>
          <w:sz w:val="24"/>
          <w:szCs w:val="24"/>
        </w:rPr>
        <w:t>does</w:t>
      </w:r>
      <w:r w:rsidR="0070278E" w:rsidRPr="00472C9F">
        <w:rPr>
          <w:rFonts w:ascii="Calibri" w:eastAsiaTheme="minorEastAsia" w:hAnsi="Calibri" w:cs="Calibri"/>
          <w:kern w:val="24"/>
          <w:sz w:val="24"/>
          <w:szCs w:val="24"/>
        </w:rPr>
        <w:t xml:space="preserve"> not </w:t>
      </w:r>
      <w:r w:rsidR="007A1B47" w:rsidRPr="00472C9F">
        <w:rPr>
          <w:rFonts w:ascii="Calibri" w:eastAsiaTheme="minorEastAsia" w:hAnsi="Calibri" w:cs="Calibri"/>
          <w:kern w:val="24"/>
          <w:sz w:val="24"/>
          <w:szCs w:val="24"/>
        </w:rPr>
        <w:t xml:space="preserve">always </w:t>
      </w:r>
      <w:r w:rsidR="0070278E" w:rsidRPr="00472C9F">
        <w:rPr>
          <w:rFonts w:ascii="Calibri" w:eastAsiaTheme="minorEastAsia" w:hAnsi="Calibri" w:cs="Calibri"/>
          <w:kern w:val="24"/>
          <w:sz w:val="24"/>
          <w:szCs w:val="24"/>
        </w:rPr>
        <w:t xml:space="preserve">suit the lifestyles </w:t>
      </w:r>
      <w:r w:rsidR="007A1B47" w:rsidRPr="00472C9F">
        <w:rPr>
          <w:rFonts w:ascii="Calibri" w:eastAsiaTheme="minorEastAsia" w:hAnsi="Calibri" w:cs="Calibri"/>
          <w:kern w:val="24"/>
          <w:sz w:val="24"/>
          <w:szCs w:val="24"/>
        </w:rPr>
        <w:t>chosen</w:t>
      </w:r>
      <w:r w:rsidR="0070278E" w:rsidRPr="00472C9F">
        <w:rPr>
          <w:rFonts w:ascii="Calibri" w:eastAsiaTheme="minorEastAsia" w:hAnsi="Calibri" w:cs="Calibri"/>
          <w:kern w:val="24"/>
          <w:sz w:val="24"/>
          <w:szCs w:val="24"/>
        </w:rPr>
        <w:t xml:space="preserve"> by </w:t>
      </w:r>
      <w:r w:rsidR="00994CF8" w:rsidRPr="00472C9F">
        <w:rPr>
          <w:rFonts w:ascii="Calibri" w:eastAsiaTheme="minorEastAsia" w:hAnsi="Calibri" w:cs="Calibri"/>
          <w:kern w:val="24"/>
          <w:sz w:val="24"/>
          <w:szCs w:val="24"/>
        </w:rPr>
        <w:t>all lesbians and gays</w:t>
      </w:r>
      <w:r w:rsidR="0070278E" w:rsidRPr="00472C9F">
        <w:rPr>
          <w:rFonts w:ascii="Calibri" w:eastAsiaTheme="minorEastAsia" w:hAnsi="Calibri" w:cs="Calibri"/>
          <w:kern w:val="24"/>
          <w:sz w:val="24"/>
          <w:szCs w:val="24"/>
        </w:rPr>
        <w:t xml:space="preserve">. </w:t>
      </w:r>
      <w:r w:rsidR="007A1B47" w:rsidRPr="00472C9F">
        <w:rPr>
          <w:rFonts w:ascii="Calibri" w:eastAsiaTheme="minorEastAsia" w:hAnsi="Calibri" w:cs="Calibri"/>
          <w:kern w:val="24"/>
          <w:sz w:val="24"/>
          <w:szCs w:val="24"/>
        </w:rPr>
        <w:t>S</w:t>
      </w:r>
      <w:r w:rsidR="002B458F" w:rsidRPr="00472C9F">
        <w:rPr>
          <w:rFonts w:ascii="Calibri" w:eastAsiaTheme="minorEastAsia" w:hAnsi="Calibri" w:cs="Calibri"/>
          <w:kern w:val="24"/>
          <w:sz w:val="24"/>
          <w:szCs w:val="24"/>
        </w:rPr>
        <w:t>ome queer theorists reject</w:t>
      </w:r>
      <w:r w:rsidR="007A1B47" w:rsidRPr="00472C9F">
        <w:rPr>
          <w:rFonts w:ascii="Calibri" w:eastAsiaTheme="minorEastAsia" w:hAnsi="Calibri" w:cs="Calibri"/>
          <w:kern w:val="24"/>
          <w:sz w:val="24"/>
          <w:szCs w:val="24"/>
        </w:rPr>
        <w:t xml:space="preserve"> </w:t>
      </w:r>
      <w:r w:rsidR="002B458F" w:rsidRPr="00472C9F">
        <w:rPr>
          <w:rFonts w:ascii="Calibri" w:eastAsiaTheme="minorEastAsia" w:hAnsi="Calibri" w:cs="Calibri"/>
          <w:kern w:val="24"/>
          <w:sz w:val="24"/>
          <w:szCs w:val="24"/>
        </w:rPr>
        <w:t>marriage</w:t>
      </w:r>
      <w:r w:rsidR="002C1BB0" w:rsidRPr="00472C9F">
        <w:rPr>
          <w:rFonts w:ascii="Calibri" w:eastAsiaTheme="minorEastAsia" w:hAnsi="Calibri" w:cs="Calibri"/>
          <w:kern w:val="24"/>
          <w:sz w:val="24"/>
          <w:szCs w:val="24"/>
        </w:rPr>
        <w:t xml:space="preserve">, as their lives </w:t>
      </w:r>
      <w:r w:rsidR="007A1B47" w:rsidRPr="00472C9F">
        <w:rPr>
          <w:rFonts w:ascii="Calibri" w:eastAsiaTheme="minorEastAsia" w:hAnsi="Calibri" w:cs="Calibri"/>
          <w:kern w:val="24"/>
          <w:sz w:val="24"/>
          <w:szCs w:val="24"/>
        </w:rPr>
        <w:t>are</w:t>
      </w:r>
      <w:r w:rsidR="002C1BB0" w:rsidRPr="00472C9F">
        <w:rPr>
          <w:rFonts w:ascii="Calibri" w:eastAsiaTheme="minorEastAsia" w:hAnsi="Calibri" w:cs="Calibri"/>
          <w:kern w:val="24"/>
          <w:sz w:val="24"/>
          <w:szCs w:val="24"/>
        </w:rPr>
        <w:t xml:space="preserve"> </w:t>
      </w:r>
      <w:r w:rsidR="00B1228E" w:rsidRPr="00472C9F">
        <w:rPr>
          <w:rFonts w:ascii="Calibri" w:eastAsiaTheme="minorEastAsia" w:hAnsi="Calibri" w:cs="Calibri"/>
          <w:kern w:val="24"/>
          <w:sz w:val="24"/>
          <w:szCs w:val="24"/>
        </w:rPr>
        <w:t>(</w:t>
      </w:r>
      <w:r w:rsidR="002C1BB0" w:rsidRPr="00472C9F">
        <w:rPr>
          <w:rFonts w:ascii="Calibri" w:eastAsiaTheme="minorEastAsia" w:hAnsi="Calibri" w:cs="Calibri"/>
          <w:kern w:val="24"/>
          <w:sz w:val="24"/>
          <w:szCs w:val="24"/>
        </w:rPr>
        <w:t>in the words of Duggan</w:t>
      </w:r>
      <w:r w:rsidR="00B1228E" w:rsidRPr="00472C9F">
        <w:rPr>
          <w:rFonts w:ascii="Calibri" w:eastAsiaTheme="minorEastAsia" w:hAnsi="Calibri" w:cs="Calibri"/>
          <w:kern w:val="24"/>
          <w:sz w:val="24"/>
          <w:szCs w:val="24"/>
        </w:rPr>
        <w:t>)</w:t>
      </w:r>
      <w:r w:rsidR="002C1BB0" w:rsidRPr="00472C9F">
        <w:rPr>
          <w:rFonts w:ascii="Calibri" w:eastAsiaTheme="minorEastAsia" w:hAnsi="Calibri" w:cs="Calibri"/>
          <w:kern w:val="24"/>
          <w:sz w:val="24"/>
          <w:szCs w:val="24"/>
        </w:rPr>
        <w:t xml:space="preserve"> ‘intertwined in ways that do not fit with one-size-fits-all marriage</w:t>
      </w:r>
      <w:r w:rsidR="00CB6034" w:rsidRPr="00472C9F">
        <w:rPr>
          <w:rFonts w:ascii="Calibri" w:eastAsiaTheme="minorEastAsia" w:hAnsi="Calibri" w:cs="Calibri"/>
          <w:kern w:val="24"/>
          <w:sz w:val="24"/>
          <w:szCs w:val="24"/>
        </w:rPr>
        <w:t>’.</w:t>
      </w:r>
      <w:r w:rsidR="002C1BB0" w:rsidRPr="00472C9F">
        <w:rPr>
          <w:rStyle w:val="FootnoteReference"/>
          <w:rFonts w:ascii="Calibri" w:eastAsiaTheme="minorEastAsia" w:hAnsi="Calibri" w:cs="Calibri"/>
          <w:kern w:val="24"/>
          <w:sz w:val="24"/>
          <w:szCs w:val="24"/>
        </w:rPr>
        <w:footnoteReference w:id="131"/>
      </w:r>
      <w:r w:rsidR="00CA79B8" w:rsidRPr="00472C9F">
        <w:rPr>
          <w:rFonts w:ascii="Calibri" w:eastAsiaTheme="minorEastAsia" w:hAnsi="Calibri" w:cs="Calibri"/>
          <w:kern w:val="24"/>
          <w:sz w:val="24"/>
          <w:szCs w:val="24"/>
        </w:rPr>
        <w:t xml:space="preserve"> Until a few decades ago, as illustrated by the enactment of the</w:t>
      </w:r>
      <w:r w:rsidR="007A1B47" w:rsidRPr="00472C9F">
        <w:rPr>
          <w:rFonts w:ascii="Calibri" w:eastAsiaTheme="minorEastAsia" w:hAnsi="Calibri" w:cs="Calibri"/>
          <w:kern w:val="24"/>
          <w:sz w:val="24"/>
          <w:szCs w:val="24"/>
        </w:rPr>
        <w:t xml:space="preserve"> UK Civil Partnership Act 2004, civil partnership</w:t>
      </w:r>
      <w:r w:rsidR="00B1228E" w:rsidRPr="00472C9F">
        <w:rPr>
          <w:rFonts w:ascii="Calibri" w:eastAsiaTheme="minorEastAsia" w:hAnsi="Calibri" w:cs="Calibri"/>
          <w:kern w:val="24"/>
          <w:sz w:val="24"/>
          <w:szCs w:val="24"/>
        </w:rPr>
        <w:t>,</w:t>
      </w:r>
      <w:r w:rsidR="007A1B47" w:rsidRPr="00472C9F">
        <w:rPr>
          <w:rFonts w:ascii="Calibri" w:eastAsiaTheme="minorEastAsia" w:hAnsi="Calibri" w:cs="Calibri"/>
          <w:kern w:val="24"/>
          <w:sz w:val="24"/>
          <w:szCs w:val="24"/>
        </w:rPr>
        <w:t xml:space="preserve"> </w:t>
      </w:r>
      <w:r w:rsidR="00CA79B8" w:rsidRPr="00472C9F">
        <w:rPr>
          <w:rFonts w:ascii="Calibri" w:eastAsiaTheme="minorEastAsia" w:hAnsi="Calibri" w:cs="Calibri"/>
          <w:kern w:val="24"/>
          <w:sz w:val="24"/>
          <w:szCs w:val="24"/>
        </w:rPr>
        <w:t xml:space="preserve">as opposed to same-sex marriage, </w:t>
      </w:r>
      <w:r w:rsidR="007A1B47" w:rsidRPr="00472C9F">
        <w:rPr>
          <w:rFonts w:ascii="Calibri" w:eastAsiaTheme="minorEastAsia" w:hAnsi="Calibri" w:cs="Calibri"/>
          <w:kern w:val="24"/>
          <w:sz w:val="24"/>
          <w:szCs w:val="24"/>
        </w:rPr>
        <w:t xml:space="preserve">was </w:t>
      </w:r>
      <w:r w:rsidR="00CA79B8" w:rsidRPr="00472C9F">
        <w:rPr>
          <w:rFonts w:ascii="Calibri" w:eastAsiaTheme="minorEastAsia" w:hAnsi="Calibri" w:cs="Calibri"/>
          <w:kern w:val="24"/>
          <w:sz w:val="24"/>
          <w:szCs w:val="24"/>
        </w:rPr>
        <w:t>still</w:t>
      </w:r>
      <w:r w:rsidR="007A1B47" w:rsidRPr="00472C9F">
        <w:rPr>
          <w:rFonts w:ascii="Calibri" w:eastAsiaTheme="minorEastAsia" w:hAnsi="Calibri" w:cs="Calibri"/>
          <w:kern w:val="24"/>
          <w:sz w:val="24"/>
          <w:szCs w:val="24"/>
        </w:rPr>
        <w:t xml:space="preserve"> the ‘preferred’ status </w:t>
      </w:r>
      <w:r w:rsidR="00CA79B8" w:rsidRPr="00472C9F">
        <w:rPr>
          <w:rFonts w:ascii="Calibri" w:eastAsiaTheme="minorEastAsia" w:hAnsi="Calibri" w:cs="Calibri"/>
          <w:kern w:val="24"/>
          <w:sz w:val="24"/>
          <w:szCs w:val="24"/>
        </w:rPr>
        <w:t>for many lesbians and gays</w:t>
      </w:r>
      <w:r w:rsidR="002837F0" w:rsidRPr="00472C9F">
        <w:rPr>
          <w:rFonts w:ascii="Calibri" w:eastAsiaTheme="minorEastAsia" w:hAnsi="Calibri" w:cs="Calibri"/>
          <w:kern w:val="24"/>
          <w:sz w:val="24"/>
          <w:szCs w:val="24"/>
        </w:rPr>
        <w:t xml:space="preserve"> themselves</w:t>
      </w:r>
      <w:r w:rsidR="00B148FC" w:rsidRPr="00472C9F">
        <w:rPr>
          <w:rFonts w:ascii="Calibri" w:eastAsiaTheme="minorEastAsia" w:hAnsi="Calibri" w:cs="Calibri"/>
          <w:kern w:val="24"/>
          <w:sz w:val="24"/>
          <w:szCs w:val="24"/>
        </w:rPr>
        <w:t>,</w:t>
      </w:r>
      <w:r w:rsidR="00CA79B8" w:rsidRPr="00472C9F">
        <w:rPr>
          <w:rFonts w:ascii="Calibri" w:eastAsiaTheme="minorEastAsia" w:hAnsi="Calibri" w:cs="Calibri"/>
          <w:kern w:val="24"/>
          <w:sz w:val="24"/>
          <w:szCs w:val="24"/>
        </w:rPr>
        <w:t xml:space="preserve"> </w:t>
      </w:r>
      <w:r w:rsidR="002837F0" w:rsidRPr="00472C9F">
        <w:rPr>
          <w:rFonts w:ascii="Calibri" w:eastAsiaTheme="minorEastAsia" w:hAnsi="Calibri" w:cs="Calibri"/>
          <w:kern w:val="24"/>
          <w:sz w:val="24"/>
          <w:szCs w:val="24"/>
        </w:rPr>
        <w:t>as well as some of their representative organisations i</w:t>
      </w:r>
      <w:r w:rsidR="00CA79B8" w:rsidRPr="00472C9F">
        <w:rPr>
          <w:rFonts w:ascii="Calibri" w:eastAsiaTheme="minorEastAsia" w:hAnsi="Calibri" w:cs="Calibri"/>
          <w:kern w:val="24"/>
          <w:sz w:val="24"/>
          <w:szCs w:val="24"/>
        </w:rPr>
        <w:t>ncluding Stonewall (</w:t>
      </w:r>
      <w:r w:rsidR="00B1228E" w:rsidRPr="00472C9F">
        <w:rPr>
          <w:rFonts w:ascii="Calibri" w:eastAsiaTheme="minorEastAsia" w:hAnsi="Calibri" w:cs="Calibri"/>
          <w:kern w:val="24"/>
          <w:sz w:val="24"/>
          <w:szCs w:val="24"/>
        </w:rPr>
        <w:t xml:space="preserve">at the time a </w:t>
      </w:r>
      <w:r w:rsidR="00CA79B8" w:rsidRPr="00472C9F">
        <w:rPr>
          <w:rFonts w:ascii="Calibri" w:eastAsiaTheme="minorEastAsia" w:hAnsi="Calibri" w:cs="Calibri"/>
          <w:kern w:val="24"/>
          <w:sz w:val="24"/>
          <w:szCs w:val="24"/>
        </w:rPr>
        <w:t>leading gay rights organisation in the UK).</w:t>
      </w:r>
      <w:r w:rsidR="00CA79B8" w:rsidRPr="00472C9F">
        <w:rPr>
          <w:rFonts w:ascii="Calibri" w:eastAsia="Calibri" w:hAnsi="Calibri" w:cs="Calibri"/>
          <w:sz w:val="24"/>
          <w:szCs w:val="24"/>
          <w:vertAlign w:val="superscript"/>
        </w:rPr>
        <w:footnoteReference w:id="132"/>
      </w:r>
      <w:r w:rsidR="00CA79B8" w:rsidRPr="00472C9F">
        <w:rPr>
          <w:rFonts w:ascii="Calibri" w:eastAsia="Calibri" w:hAnsi="Calibri" w:cs="Calibri"/>
          <w:sz w:val="24"/>
          <w:szCs w:val="24"/>
        </w:rPr>
        <w:t xml:space="preserve"> </w:t>
      </w:r>
      <w:r w:rsidR="00B148FC" w:rsidRPr="00472C9F">
        <w:rPr>
          <w:rFonts w:ascii="Calibri" w:eastAsiaTheme="minorEastAsia" w:hAnsi="Calibri" w:cs="Calibri"/>
          <w:kern w:val="24"/>
          <w:sz w:val="24"/>
          <w:szCs w:val="24"/>
        </w:rPr>
        <w:t xml:space="preserve">Prior to the </w:t>
      </w:r>
      <w:r w:rsidR="00CA79B8" w:rsidRPr="00472C9F">
        <w:rPr>
          <w:rFonts w:ascii="Calibri" w:eastAsia="Calibri" w:hAnsi="Calibri" w:cs="Calibri"/>
          <w:sz w:val="24"/>
          <w:szCs w:val="24"/>
        </w:rPr>
        <w:t xml:space="preserve">Same-Sex Marriage Act 2013, a </w:t>
      </w:r>
      <w:r w:rsidR="007A1B47" w:rsidRPr="00472C9F">
        <w:rPr>
          <w:rFonts w:ascii="Calibri" w:eastAsia="Calibri" w:hAnsi="Calibri" w:cs="Calibri"/>
          <w:sz w:val="24"/>
          <w:szCs w:val="24"/>
        </w:rPr>
        <w:t xml:space="preserve">government consultation demonstrated </w:t>
      </w:r>
      <w:r w:rsidR="00A94D56" w:rsidRPr="00472C9F">
        <w:rPr>
          <w:rFonts w:ascii="Calibri" w:eastAsia="Calibri" w:hAnsi="Calibri" w:cs="Calibri"/>
          <w:sz w:val="24"/>
          <w:szCs w:val="24"/>
        </w:rPr>
        <w:t>that a</w:t>
      </w:r>
      <w:r w:rsidR="00B148FC" w:rsidRPr="00472C9F">
        <w:rPr>
          <w:rFonts w:ascii="Calibri" w:eastAsia="Calibri" w:hAnsi="Calibri" w:cs="Calibri"/>
          <w:sz w:val="24"/>
          <w:szCs w:val="24"/>
        </w:rPr>
        <w:t xml:space="preserve"> majority (</w:t>
      </w:r>
      <w:r w:rsidR="007A1B47" w:rsidRPr="00472C9F">
        <w:rPr>
          <w:rFonts w:ascii="Calibri" w:eastAsia="Calibri" w:hAnsi="Calibri" w:cs="Calibri"/>
          <w:sz w:val="24"/>
          <w:szCs w:val="24"/>
        </w:rPr>
        <w:t>53%</w:t>
      </w:r>
      <w:r w:rsidR="00B148FC" w:rsidRPr="00472C9F">
        <w:rPr>
          <w:rFonts w:ascii="Calibri" w:eastAsia="Calibri" w:hAnsi="Calibri" w:cs="Calibri"/>
          <w:sz w:val="24"/>
          <w:szCs w:val="24"/>
        </w:rPr>
        <w:t>)</w:t>
      </w:r>
      <w:r w:rsidR="007A1B47" w:rsidRPr="00472C9F">
        <w:rPr>
          <w:rFonts w:ascii="Calibri" w:eastAsia="Calibri" w:hAnsi="Calibri" w:cs="Calibri"/>
          <w:sz w:val="24"/>
          <w:szCs w:val="24"/>
        </w:rPr>
        <w:t xml:space="preserve"> of those surveyed in England and Wales </w:t>
      </w:r>
      <w:r w:rsidR="00B148FC" w:rsidRPr="00472C9F">
        <w:rPr>
          <w:rFonts w:ascii="Calibri" w:eastAsia="Calibri" w:hAnsi="Calibri" w:cs="Calibri"/>
          <w:sz w:val="24"/>
          <w:szCs w:val="24"/>
        </w:rPr>
        <w:t xml:space="preserve">had </w:t>
      </w:r>
      <w:r w:rsidR="00E72D7E" w:rsidRPr="00472C9F">
        <w:rPr>
          <w:rFonts w:ascii="Calibri" w:eastAsia="Calibri" w:hAnsi="Calibri" w:cs="Calibri"/>
          <w:sz w:val="24"/>
          <w:szCs w:val="24"/>
        </w:rPr>
        <w:t xml:space="preserve">now </w:t>
      </w:r>
      <w:r w:rsidR="00B148FC" w:rsidRPr="00472C9F">
        <w:rPr>
          <w:rFonts w:ascii="Calibri" w:eastAsia="Calibri" w:hAnsi="Calibri" w:cs="Calibri"/>
          <w:sz w:val="24"/>
          <w:szCs w:val="24"/>
        </w:rPr>
        <w:t xml:space="preserve">moved to </w:t>
      </w:r>
      <w:r w:rsidR="007A1B47" w:rsidRPr="00472C9F">
        <w:rPr>
          <w:rFonts w:ascii="Calibri" w:eastAsia="Calibri" w:hAnsi="Calibri" w:cs="Calibri"/>
          <w:sz w:val="24"/>
          <w:szCs w:val="24"/>
        </w:rPr>
        <w:t>support same-sex marriage.</w:t>
      </w:r>
      <w:r w:rsidR="007A1B47" w:rsidRPr="00472C9F">
        <w:rPr>
          <w:rFonts w:ascii="Calibri" w:eastAsia="Calibri" w:hAnsi="Calibri" w:cs="Calibri"/>
          <w:sz w:val="24"/>
          <w:szCs w:val="24"/>
          <w:vertAlign w:val="superscript"/>
        </w:rPr>
        <w:footnoteReference w:id="133"/>
      </w:r>
      <w:r w:rsidR="007A1B47" w:rsidRPr="00472C9F">
        <w:rPr>
          <w:rFonts w:ascii="Calibri" w:eastAsia="Calibri" w:hAnsi="Calibri" w:cs="Calibri"/>
          <w:sz w:val="24"/>
          <w:szCs w:val="24"/>
        </w:rPr>
        <w:t xml:space="preserve"> </w:t>
      </w:r>
      <w:r w:rsidR="00E72D7E" w:rsidRPr="00472C9F">
        <w:rPr>
          <w:rFonts w:ascii="Calibri" w:eastAsia="Calibri" w:hAnsi="Calibri" w:cs="Calibri"/>
          <w:sz w:val="24"/>
          <w:szCs w:val="24"/>
        </w:rPr>
        <w:t xml:space="preserve">This follows trends in other European countries. </w:t>
      </w:r>
      <w:r w:rsidR="00303F57" w:rsidRPr="00472C9F">
        <w:rPr>
          <w:rFonts w:ascii="Calibri" w:eastAsia="Calibri" w:hAnsi="Calibri" w:cs="Calibri"/>
          <w:sz w:val="24"/>
          <w:szCs w:val="24"/>
        </w:rPr>
        <w:t>However</w:t>
      </w:r>
      <w:r w:rsidR="00D9427C" w:rsidRPr="00472C9F">
        <w:rPr>
          <w:rFonts w:ascii="Calibri" w:eastAsia="Calibri" w:hAnsi="Calibri" w:cs="Calibri"/>
          <w:sz w:val="24"/>
          <w:szCs w:val="24"/>
        </w:rPr>
        <w:t>,</w:t>
      </w:r>
      <w:r w:rsidR="00303F57" w:rsidRPr="00472C9F">
        <w:rPr>
          <w:rFonts w:ascii="Calibri" w:eastAsia="Calibri" w:hAnsi="Calibri" w:cs="Calibri"/>
          <w:sz w:val="24"/>
          <w:szCs w:val="24"/>
        </w:rPr>
        <w:t xml:space="preserve"> </w:t>
      </w:r>
      <w:r w:rsidR="00B148FC" w:rsidRPr="00472C9F">
        <w:rPr>
          <w:rFonts w:ascii="Calibri" w:eastAsia="Calibri" w:hAnsi="Calibri" w:cs="Calibri"/>
          <w:sz w:val="24"/>
          <w:szCs w:val="24"/>
        </w:rPr>
        <w:t>still today</w:t>
      </w:r>
      <w:r w:rsidR="00303F57" w:rsidRPr="00472C9F">
        <w:rPr>
          <w:rFonts w:ascii="Calibri" w:eastAsia="Calibri" w:hAnsi="Calibri" w:cs="Calibri"/>
          <w:sz w:val="24"/>
          <w:szCs w:val="24"/>
        </w:rPr>
        <w:t xml:space="preserve"> </w:t>
      </w:r>
      <w:r w:rsidR="00B148FC" w:rsidRPr="00472C9F">
        <w:rPr>
          <w:rFonts w:ascii="Calibri" w:eastAsia="Calibri" w:hAnsi="Calibri" w:cs="Calibri"/>
          <w:sz w:val="24"/>
          <w:szCs w:val="24"/>
        </w:rPr>
        <w:t xml:space="preserve">many do </w:t>
      </w:r>
      <w:r w:rsidR="00092096" w:rsidRPr="00472C9F">
        <w:rPr>
          <w:rFonts w:ascii="Calibri" w:eastAsia="Calibri" w:hAnsi="Calibri" w:cs="Calibri"/>
          <w:sz w:val="24"/>
          <w:szCs w:val="24"/>
        </w:rPr>
        <w:t xml:space="preserve">not wish to </w:t>
      </w:r>
      <w:proofErr w:type="gramStart"/>
      <w:r w:rsidR="00092096" w:rsidRPr="00472C9F">
        <w:rPr>
          <w:rFonts w:ascii="Calibri" w:eastAsia="Calibri" w:hAnsi="Calibri" w:cs="Calibri"/>
          <w:sz w:val="24"/>
          <w:szCs w:val="24"/>
        </w:rPr>
        <w:t>enter into</w:t>
      </w:r>
      <w:proofErr w:type="gramEnd"/>
      <w:r w:rsidR="00303F57" w:rsidRPr="00472C9F">
        <w:rPr>
          <w:rFonts w:ascii="Calibri" w:eastAsia="Calibri" w:hAnsi="Calibri" w:cs="Calibri"/>
          <w:sz w:val="24"/>
          <w:szCs w:val="24"/>
        </w:rPr>
        <w:t xml:space="preserve"> marriage</w:t>
      </w:r>
      <w:r w:rsidR="00092096" w:rsidRPr="00472C9F">
        <w:rPr>
          <w:rFonts w:ascii="Calibri" w:eastAsia="Calibri" w:hAnsi="Calibri" w:cs="Calibri"/>
          <w:sz w:val="24"/>
          <w:szCs w:val="24"/>
        </w:rPr>
        <w:t>. This is</w:t>
      </w:r>
      <w:r w:rsidR="00303F57" w:rsidRPr="00472C9F">
        <w:rPr>
          <w:rFonts w:ascii="Calibri" w:eastAsia="Calibri" w:hAnsi="Calibri" w:cs="Calibri"/>
          <w:sz w:val="24"/>
          <w:szCs w:val="24"/>
        </w:rPr>
        <w:t xml:space="preserve"> due to </w:t>
      </w:r>
      <w:r w:rsidR="00E72D7E" w:rsidRPr="00472C9F">
        <w:rPr>
          <w:rFonts w:ascii="Calibri" w:eastAsia="Calibri" w:hAnsi="Calibri" w:cs="Calibri"/>
          <w:sz w:val="24"/>
          <w:szCs w:val="24"/>
        </w:rPr>
        <w:t>varying reasons</w:t>
      </w:r>
      <w:r w:rsidR="00092096" w:rsidRPr="00472C9F">
        <w:rPr>
          <w:rFonts w:ascii="Calibri" w:eastAsia="Calibri" w:hAnsi="Calibri" w:cs="Calibri"/>
          <w:sz w:val="24"/>
          <w:szCs w:val="24"/>
        </w:rPr>
        <w:t>. Marriage continues to be associated with</w:t>
      </w:r>
      <w:r w:rsidR="00E72D7E" w:rsidRPr="00472C9F">
        <w:rPr>
          <w:rFonts w:ascii="Calibri" w:eastAsia="Calibri" w:hAnsi="Calibri" w:cs="Calibri"/>
          <w:sz w:val="24"/>
          <w:szCs w:val="24"/>
        </w:rPr>
        <w:t xml:space="preserve"> </w:t>
      </w:r>
      <w:r w:rsidR="00303F57" w:rsidRPr="00472C9F">
        <w:rPr>
          <w:rFonts w:ascii="Calibri" w:eastAsia="Calibri" w:hAnsi="Calibri" w:cs="Calibri"/>
          <w:sz w:val="24"/>
          <w:szCs w:val="24"/>
        </w:rPr>
        <w:t>patriarchal baggage</w:t>
      </w:r>
      <w:r w:rsidR="00303F57" w:rsidRPr="00472C9F">
        <w:rPr>
          <w:rStyle w:val="FootnoteReference"/>
          <w:rFonts w:ascii="Calibri" w:eastAsiaTheme="majorEastAsia" w:hAnsi="Calibri" w:cs="Calibri"/>
          <w:color w:val="000000" w:themeColor="text1"/>
          <w:kern w:val="24"/>
          <w:sz w:val="24"/>
          <w:szCs w:val="24"/>
          <w:lang w:val="en-US"/>
        </w:rPr>
        <w:footnoteReference w:id="134"/>
      </w:r>
      <w:r w:rsidR="00092096" w:rsidRPr="00472C9F">
        <w:rPr>
          <w:rFonts w:ascii="Calibri" w:eastAsia="Calibri" w:hAnsi="Calibri" w:cs="Calibri"/>
          <w:sz w:val="24"/>
          <w:szCs w:val="24"/>
        </w:rPr>
        <w:t xml:space="preserve"> due to</w:t>
      </w:r>
      <w:r w:rsidR="00303F57" w:rsidRPr="00472C9F">
        <w:rPr>
          <w:rFonts w:ascii="Calibri" w:eastAsia="Calibri" w:hAnsi="Calibri" w:cs="Calibri"/>
          <w:sz w:val="24"/>
          <w:szCs w:val="24"/>
        </w:rPr>
        <w:t xml:space="preserve"> </w:t>
      </w:r>
      <w:r w:rsidR="002E5461">
        <w:rPr>
          <w:rFonts w:ascii="Calibri" w:eastAsia="Calibri" w:hAnsi="Calibri" w:cs="Calibri"/>
          <w:sz w:val="24"/>
          <w:szCs w:val="24"/>
        </w:rPr>
        <w:t>its</w:t>
      </w:r>
      <w:r w:rsidR="00303F57" w:rsidRPr="00472C9F">
        <w:rPr>
          <w:rFonts w:ascii="Calibri" w:eastAsia="Calibri" w:hAnsi="Calibri" w:cs="Calibri"/>
          <w:sz w:val="24"/>
          <w:szCs w:val="24"/>
        </w:rPr>
        <w:t xml:space="preserve"> long history of controlling women</w:t>
      </w:r>
      <w:r w:rsidR="00E72D7E" w:rsidRPr="00472C9F">
        <w:rPr>
          <w:rFonts w:ascii="Calibri" w:eastAsia="Calibri" w:hAnsi="Calibri" w:cs="Calibri"/>
          <w:sz w:val="24"/>
          <w:szCs w:val="24"/>
        </w:rPr>
        <w:t>, for example in England and Wales</w:t>
      </w:r>
      <w:r w:rsidR="00303F57" w:rsidRPr="00472C9F">
        <w:rPr>
          <w:rFonts w:ascii="Calibri" w:eastAsia="Calibri" w:hAnsi="Calibri" w:cs="Calibri"/>
          <w:sz w:val="24"/>
          <w:szCs w:val="24"/>
        </w:rPr>
        <w:t xml:space="preserve"> through the system of </w:t>
      </w:r>
      <w:r w:rsidR="00590E20" w:rsidRPr="00472C9F">
        <w:rPr>
          <w:rFonts w:ascii="Calibri" w:hAnsi="Calibri" w:cs="Calibri"/>
          <w:sz w:val="24"/>
          <w:szCs w:val="24"/>
        </w:rPr>
        <w:t>c</w:t>
      </w:r>
      <w:r w:rsidR="00B148FC" w:rsidRPr="00472C9F">
        <w:rPr>
          <w:rFonts w:ascii="Calibri" w:hAnsi="Calibri" w:cs="Calibri"/>
          <w:sz w:val="24"/>
          <w:szCs w:val="24"/>
        </w:rPr>
        <w:t>overture.</w:t>
      </w:r>
      <w:r w:rsidR="00B148FC" w:rsidRPr="00472C9F">
        <w:rPr>
          <w:rStyle w:val="FootnoteReference"/>
          <w:rFonts w:ascii="Calibri" w:hAnsi="Calibri" w:cs="Calibri"/>
          <w:sz w:val="24"/>
          <w:szCs w:val="24"/>
        </w:rPr>
        <w:footnoteReference w:id="135"/>
      </w:r>
      <w:r w:rsidR="00B148FC" w:rsidRPr="00472C9F">
        <w:rPr>
          <w:rFonts w:ascii="Calibri" w:hAnsi="Calibri" w:cs="Calibri"/>
          <w:sz w:val="24"/>
          <w:szCs w:val="24"/>
        </w:rPr>
        <w:t xml:space="preserve"> Others would never support any system of recognised relationship status, including civil partnership in all its forms, believing that rights should attach to individuals rather than be obtained through another person.</w:t>
      </w:r>
      <w:r w:rsidR="00B1228E" w:rsidRPr="00472C9F">
        <w:rPr>
          <w:rStyle w:val="FootnoteReference"/>
          <w:rFonts w:ascii="Calibri" w:hAnsi="Calibri" w:cs="Calibri"/>
          <w:sz w:val="24"/>
          <w:szCs w:val="24"/>
        </w:rPr>
        <w:footnoteReference w:id="136"/>
      </w:r>
      <w:r w:rsidR="00E72D7E" w:rsidRPr="00472C9F">
        <w:rPr>
          <w:rFonts w:ascii="Calibri" w:hAnsi="Calibri" w:cs="Calibri"/>
          <w:sz w:val="24"/>
          <w:szCs w:val="24"/>
        </w:rPr>
        <w:t xml:space="preserve"> </w:t>
      </w:r>
      <w:r w:rsidR="00E72D7E" w:rsidRPr="00472C9F">
        <w:rPr>
          <w:rFonts w:ascii="Calibri" w:eastAsiaTheme="majorEastAsia" w:hAnsi="Calibri" w:cs="Calibri"/>
          <w:color w:val="000000" w:themeColor="text1"/>
          <w:kern w:val="24"/>
          <w:sz w:val="24"/>
          <w:szCs w:val="24"/>
          <w:lang w:val="en-US"/>
        </w:rPr>
        <w:t>Although driven by different motivations,</w:t>
      </w:r>
      <w:r w:rsidR="00A00C0F" w:rsidRPr="00472C9F">
        <w:rPr>
          <w:rFonts w:ascii="Calibri" w:eastAsiaTheme="majorEastAsia" w:hAnsi="Calibri" w:cs="Calibri"/>
          <w:color w:val="000000" w:themeColor="text1"/>
          <w:kern w:val="24"/>
          <w:sz w:val="24"/>
          <w:szCs w:val="24"/>
          <w:lang w:val="en-US"/>
        </w:rPr>
        <w:t xml:space="preserve"> these </w:t>
      </w:r>
      <w:r w:rsidR="00A94D56" w:rsidRPr="00472C9F">
        <w:rPr>
          <w:rFonts w:ascii="Calibri" w:eastAsiaTheme="majorEastAsia" w:hAnsi="Calibri" w:cs="Calibri"/>
          <w:color w:val="000000" w:themeColor="text1"/>
          <w:kern w:val="24"/>
          <w:sz w:val="24"/>
          <w:szCs w:val="24"/>
          <w:lang w:val="en-US"/>
        </w:rPr>
        <w:t>perspectives</w:t>
      </w:r>
      <w:r w:rsidR="00A00C0F" w:rsidRPr="00472C9F">
        <w:rPr>
          <w:rFonts w:ascii="Calibri" w:eastAsiaTheme="majorEastAsia" w:hAnsi="Calibri" w:cs="Calibri"/>
          <w:color w:val="000000" w:themeColor="text1"/>
          <w:kern w:val="24"/>
          <w:sz w:val="24"/>
          <w:szCs w:val="24"/>
          <w:lang w:val="en-US"/>
        </w:rPr>
        <w:t xml:space="preserve"> </w:t>
      </w:r>
      <w:r w:rsidR="003D4F27" w:rsidRPr="00472C9F">
        <w:rPr>
          <w:rFonts w:ascii="Calibri" w:hAnsi="Calibri" w:cs="Calibri"/>
          <w:sz w:val="24"/>
          <w:szCs w:val="24"/>
        </w:rPr>
        <w:t>challenge liberal (legal) assumption of a unitary and coherent ‘LGBTQ+ community’ that can be represented meaningfully through identity politics</w:t>
      </w:r>
      <w:r w:rsidR="00A00C0F" w:rsidRPr="00472C9F">
        <w:rPr>
          <w:rFonts w:ascii="Calibri" w:hAnsi="Calibri" w:cs="Calibri"/>
          <w:sz w:val="24"/>
          <w:szCs w:val="24"/>
        </w:rPr>
        <w:t>. Statuses such as marriage</w:t>
      </w:r>
      <w:r w:rsidR="00E72D7E" w:rsidRPr="00472C9F">
        <w:rPr>
          <w:rFonts w:ascii="Calibri" w:hAnsi="Calibri" w:cs="Calibri"/>
          <w:sz w:val="24"/>
          <w:szCs w:val="24"/>
        </w:rPr>
        <w:t xml:space="preserve"> and /or civil partnership</w:t>
      </w:r>
      <w:r w:rsidR="00A00C0F" w:rsidRPr="00472C9F">
        <w:rPr>
          <w:rFonts w:ascii="Calibri" w:hAnsi="Calibri" w:cs="Calibri"/>
          <w:sz w:val="24"/>
          <w:szCs w:val="24"/>
        </w:rPr>
        <w:t xml:space="preserve"> and the </w:t>
      </w:r>
      <w:r w:rsidR="003D4F27" w:rsidRPr="00472C9F">
        <w:rPr>
          <w:rFonts w:ascii="Calibri" w:hAnsi="Calibri" w:cs="Calibri"/>
          <w:sz w:val="24"/>
          <w:szCs w:val="24"/>
        </w:rPr>
        <w:t>heteronormativity implied by equality</w:t>
      </w:r>
      <w:r w:rsidR="00A00C0F" w:rsidRPr="00472C9F">
        <w:rPr>
          <w:rFonts w:ascii="Calibri" w:hAnsi="Calibri" w:cs="Calibri"/>
          <w:sz w:val="24"/>
          <w:szCs w:val="24"/>
        </w:rPr>
        <w:t xml:space="preserve"> are rejected and instead</w:t>
      </w:r>
      <w:r w:rsidR="003D4F27" w:rsidRPr="00472C9F">
        <w:rPr>
          <w:rFonts w:ascii="Calibri" w:hAnsi="Calibri" w:cs="Calibri"/>
          <w:sz w:val="24"/>
          <w:szCs w:val="24"/>
        </w:rPr>
        <w:t xml:space="preserve"> </w:t>
      </w:r>
      <w:r w:rsidR="00A00C0F" w:rsidRPr="00472C9F">
        <w:rPr>
          <w:rFonts w:ascii="Calibri" w:hAnsi="Calibri" w:cs="Calibri"/>
          <w:sz w:val="24"/>
          <w:szCs w:val="24"/>
        </w:rPr>
        <w:t xml:space="preserve">such individuals </w:t>
      </w:r>
      <w:r w:rsidR="003D4F27" w:rsidRPr="00472C9F">
        <w:rPr>
          <w:rFonts w:ascii="Calibri" w:hAnsi="Calibri" w:cs="Calibri"/>
          <w:sz w:val="24"/>
          <w:szCs w:val="24"/>
        </w:rPr>
        <w:t xml:space="preserve">prefer a more ‘thoroughgoing resistance to regimes of the </w:t>
      </w:r>
      <w:r w:rsidR="003D4F27" w:rsidRPr="00472C9F">
        <w:rPr>
          <w:rFonts w:ascii="Calibri" w:hAnsi="Calibri" w:cs="Calibri"/>
          <w:sz w:val="24"/>
          <w:szCs w:val="24"/>
        </w:rPr>
        <w:lastRenderedPageBreak/>
        <w:t>normal</w:t>
      </w:r>
      <w:r w:rsidR="00FB03A2" w:rsidRPr="00472C9F">
        <w:rPr>
          <w:rFonts w:ascii="Calibri" w:hAnsi="Calibri" w:cs="Calibri"/>
          <w:sz w:val="24"/>
          <w:szCs w:val="24"/>
        </w:rPr>
        <w:t>’.</w:t>
      </w:r>
      <w:r w:rsidR="00A00C0F" w:rsidRPr="00472C9F">
        <w:rPr>
          <w:rStyle w:val="FootnoteReference"/>
          <w:rFonts w:ascii="Calibri" w:hAnsi="Calibri" w:cs="Calibri"/>
          <w:sz w:val="24"/>
          <w:szCs w:val="24"/>
        </w:rPr>
        <w:footnoteReference w:id="137"/>
      </w:r>
      <w:r w:rsidR="003D4F27" w:rsidRPr="00472C9F">
        <w:rPr>
          <w:rFonts w:ascii="Calibri" w:hAnsi="Calibri" w:cs="Calibri"/>
          <w:sz w:val="24"/>
          <w:szCs w:val="24"/>
        </w:rPr>
        <w:t xml:space="preserve"> </w:t>
      </w:r>
      <w:r w:rsidR="00A00C0F" w:rsidRPr="00472C9F">
        <w:rPr>
          <w:rFonts w:ascii="Calibri" w:hAnsi="Calibri" w:cs="Calibri"/>
          <w:sz w:val="24"/>
          <w:szCs w:val="24"/>
        </w:rPr>
        <w:t xml:space="preserve">For </w:t>
      </w:r>
      <w:r w:rsidR="00AE347E" w:rsidRPr="00472C9F">
        <w:rPr>
          <w:rFonts w:ascii="Calibri" w:hAnsi="Calibri" w:cs="Calibri"/>
          <w:sz w:val="24"/>
          <w:szCs w:val="24"/>
        </w:rPr>
        <w:t>lesbians and gays</w:t>
      </w:r>
      <w:r w:rsidR="00A00C0F" w:rsidRPr="00472C9F">
        <w:rPr>
          <w:rFonts w:ascii="Calibri" w:hAnsi="Calibri" w:cs="Calibri"/>
          <w:sz w:val="24"/>
          <w:szCs w:val="24"/>
        </w:rPr>
        <w:t xml:space="preserve"> who are not the ‘marrying kind’,</w:t>
      </w:r>
      <w:r w:rsidR="00E753A4" w:rsidRPr="00472C9F">
        <w:rPr>
          <w:rStyle w:val="FootnoteReference"/>
          <w:rFonts w:ascii="Calibri" w:hAnsi="Calibri" w:cs="Calibri"/>
          <w:sz w:val="24"/>
          <w:szCs w:val="24"/>
        </w:rPr>
        <w:footnoteReference w:id="138"/>
      </w:r>
      <w:r w:rsidR="00A00C0F" w:rsidRPr="00472C9F">
        <w:rPr>
          <w:rFonts w:ascii="Calibri" w:hAnsi="Calibri" w:cs="Calibri"/>
          <w:sz w:val="24"/>
          <w:szCs w:val="24"/>
        </w:rPr>
        <w:t xml:space="preserve"> EU legal protections dependent on statuses such as marriage or civil partnership would never be suitable. </w:t>
      </w:r>
      <w:r w:rsidRPr="00472C9F">
        <w:rPr>
          <w:rFonts w:ascii="Calibri" w:hAnsi="Calibri" w:cs="Calibri"/>
          <w:sz w:val="24"/>
          <w:szCs w:val="24"/>
          <w:lang w:val="en-US"/>
        </w:rPr>
        <w:t xml:space="preserve">Any couple </w:t>
      </w:r>
      <w:r w:rsidR="00E72D7E" w:rsidRPr="00472C9F">
        <w:rPr>
          <w:rFonts w:ascii="Calibri" w:hAnsi="Calibri" w:cs="Calibri"/>
          <w:sz w:val="24"/>
          <w:szCs w:val="24"/>
          <w:lang w:val="en-US"/>
        </w:rPr>
        <w:t xml:space="preserve">without a </w:t>
      </w:r>
      <w:proofErr w:type="spellStart"/>
      <w:r w:rsidR="00E72D7E" w:rsidRPr="00472C9F">
        <w:rPr>
          <w:rFonts w:ascii="Calibri" w:hAnsi="Calibri" w:cs="Calibri"/>
          <w:sz w:val="24"/>
          <w:szCs w:val="24"/>
          <w:lang w:val="en-US"/>
        </w:rPr>
        <w:t>recogni</w:t>
      </w:r>
      <w:r w:rsidR="00C34E66">
        <w:rPr>
          <w:rFonts w:ascii="Calibri" w:hAnsi="Calibri" w:cs="Calibri"/>
          <w:sz w:val="24"/>
          <w:szCs w:val="24"/>
          <w:lang w:val="en-US"/>
        </w:rPr>
        <w:t>s</w:t>
      </w:r>
      <w:r w:rsidR="00E72D7E" w:rsidRPr="00472C9F">
        <w:rPr>
          <w:rFonts w:ascii="Calibri" w:hAnsi="Calibri" w:cs="Calibri"/>
          <w:sz w:val="24"/>
          <w:szCs w:val="24"/>
          <w:lang w:val="en-US"/>
        </w:rPr>
        <w:t>ed</w:t>
      </w:r>
      <w:proofErr w:type="spellEnd"/>
      <w:r w:rsidR="00E72D7E" w:rsidRPr="00472C9F">
        <w:rPr>
          <w:rFonts w:ascii="Calibri" w:hAnsi="Calibri" w:cs="Calibri"/>
          <w:sz w:val="24"/>
          <w:szCs w:val="24"/>
          <w:lang w:val="en-US"/>
        </w:rPr>
        <w:t xml:space="preserve"> relationship status, </w:t>
      </w:r>
      <w:r w:rsidRPr="00472C9F">
        <w:rPr>
          <w:rFonts w:ascii="Calibri" w:hAnsi="Calibri" w:cs="Calibri"/>
          <w:sz w:val="24"/>
          <w:szCs w:val="24"/>
          <w:lang w:val="en-US"/>
        </w:rPr>
        <w:t xml:space="preserve">seeking to rely upon EU law </w:t>
      </w:r>
      <w:r w:rsidR="00D37496" w:rsidRPr="00472C9F">
        <w:rPr>
          <w:rFonts w:ascii="Calibri" w:hAnsi="Calibri" w:cs="Calibri"/>
          <w:sz w:val="24"/>
          <w:szCs w:val="24"/>
          <w:lang w:val="en-US"/>
        </w:rPr>
        <w:t xml:space="preserve">is then left </w:t>
      </w:r>
      <w:r w:rsidR="00354CC5">
        <w:rPr>
          <w:rFonts w:ascii="Calibri" w:hAnsi="Calibri" w:cs="Calibri"/>
          <w:sz w:val="24"/>
          <w:szCs w:val="24"/>
          <w:lang w:val="en-US"/>
        </w:rPr>
        <w:t xml:space="preserve">only </w:t>
      </w:r>
      <w:r w:rsidR="00D37496" w:rsidRPr="00472C9F">
        <w:rPr>
          <w:rFonts w:ascii="Calibri" w:hAnsi="Calibri" w:cs="Calibri"/>
          <w:sz w:val="24"/>
          <w:szCs w:val="24"/>
          <w:lang w:val="en-US"/>
        </w:rPr>
        <w:t xml:space="preserve">with the </w:t>
      </w:r>
      <w:r w:rsidR="00354CC5">
        <w:rPr>
          <w:rFonts w:ascii="Calibri" w:hAnsi="Calibri" w:cs="Calibri"/>
          <w:sz w:val="24"/>
          <w:szCs w:val="24"/>
          <w:lang w:val="en-US"/>
        </w:rPr>
        <w:t>provisions of Article 3(2)</w:t>
      </w:r>
      <w:r w:rsidR="00D37496" w:rsidRPr="00472C9F">
        <w:rPr>
          <w:rFonts w:ascii="Calibri" w:hAnsi="Calibri" w:cs="Calibri"/>
          <w:sz w:val="24"/>
          <w:szCs w:val="24"/>
          <w:lang w:val="en-US"/>
        </w:rPr>
        <w:t xml:space="preserve"> of</w:t>
      </w:r>
      <w:r w:rsidRPr="00472C9F">
        <w:rPr>
          <w:rFonts w:ascii="Calibri" w:hAnsi="Calibri" w:cs="Calibri"/>
          <w:sz w:val="24"/>
          <w:szCs w:val="24"/>
          <w:lang w:val="en-US"/>
        </w:rPr>
        <w:t xml:space="preserve"> </w:t>
      </w:r>
      <w:r w:rsidR="00354CC5">
        <w:rPr>
          <w:rFonts w:ascii="Calibri" w:hAnsi="Calibri" w:cs="Calibri"/>
          <w:sz w:val="24"/>
          <w:szCs w:val="24"/>
          <w:lang w:val="en-US"/>
        </w:rPr>
        <w:t xml:space="preserve">the </w:t>
      </w:r>
      <w:r w:rsidR="006D2371" w:rsidRPr="00472C9F">
        <w:rPr>
          <w:rFonts w:ascii="Calibri" w:hAnsi="Calibri" w:cs="Calibri"/>
          <w:sz w:val="24"/>
          <w:szCs w:val="24"/>
          <w:lang w:val="en-US"/>
        </w:rPr>
        <w:t>Citizenship Directive</w:t>
      </w:r>
      <w:r w:rsidRPr="00472C9F">
        <w:rPr>
          <w:rFonts w:ascii="Calibri" w:hAnsi="Calibri" w:cs="Calibri"/>
          <w:sz w:val="24"/>
          <w:szCs w:val="24"/>
          <w:lang w:val="en-US"/>
        </w:rPr>
        <w:t xml:space="preserve">. This provides that </w:t>
      </w:r>
      <w:r w:rsidR="00120FF3" w:rsidRPr="00472C9F">
        <w:rPr>
          <w:rFonts w:ascii="Calibri" w:hAnsi="Calibri" w:cs="Calibri"/>
          <w:sz w:val="24"/>
          <w:szCs w:val="24"/>
        </w:rPr>
        <w:t>Member States shall in accordance with </w:t>
      </w:r>
      <w:r w:rsidR="00D9427C" w:rsidRPr="00472C9F">
        <w:rPr>
          <w:rFonts w:ascii="Calibri" w:hAnsi="Calibri" w:cs="Calibri"/>
          <w:sz w:val="24"/>
          <w:szCs w:val="24"/>
        </w:rPr>
        <w:t>their </w:t>
      </w:r>
      <w:r w:rsidR="00120FF3" w:rsidRPr="00472C9F">
        <w:rPr>
          <w:rFonts w:ascii="Calibri" w:hAnsi="Calibri" w:cs="Calibri"/>
          <w:sz w:val="24"/>
          <w:szCs w:val="24"/>
        </w:rPr>
        <w:t xml:space="preserve">national legislation, </w:t>
      </w:r>
      <w:r w:rsidR="00AE347E" w:rsidRPr="00472C9F">
        <w:rPr>
          <w:rFonts w:ascii="Calibri" w:hAnsi="Calibri" w:cs="Calibri"/>
          <w:sz w:val="24"/>
          <w:szCs w:val="24"/>
        </w:rPr>
        <w:t>‘</w:t>
      </w:r>
      <w:r w:rsidR="00120FF3" w:rsidRPr="00472C9F">
        <w:rPr>
          <w:rFonts w:ascii="Calibri" w:hAnsi="Calibri" w:cs="Calibri"/>
          <w:sz w:val="24"/>
          <w:szCs w:val="24"/>
        </w:rPr>
        <w:t>facilitate</w:t>
      </w:r>
      <w:r w:rsidR="00AE347E" w:rsidRPr="00472C9F">
        <w:rPr>
          <w:rFonts w:ascii="Calibri" w:hAnsi="Calibri" w:cs="Calibri"/>
          <w:sz w:val="24"/>
          <w:szCs w:val="24"/>
        </w:rPr>
        <w:t>’</w:t>
      </w:r>
      <w:r w:rsidR="00120FF3" w:rsidRPr="00472C9F">
        <w:rPr>
          <w:rFonts w:ascii="Calibri" w:hAnsi="Calibri" w:cs="Calibri"/>
          <w:sz w:val="24"/>
          <w:szCs w:val="24"/>
        </w:rPr>
        <w:t xml:space="preserve"> entry and residence for </w:t>
      </w:r>
      <w:r w:rsidRPr="00472C9F">
        <w:rPr>
          <w:rFonts w:ascii="Calibri" w:hAnsi="Calibri" w:cs="Calibri"/>
          <w:sz w:val="24"/>
          <w:szCs w:val="24"/>
        </w:rPr>
        <w:t>‘the partner with whom the EU citizen has a durable relationship duly attested</w:t>
      </w:r>
      <w:r w:rsidR="00FB03A2" w:rsidRPr="00472C9F">
        <w:rPr>
          <w:rFonts w:ascii="Calibri" w:hAnsi="Calibri" w:cs="Calibri"/>
          <w:sz w:val="24"/>
          <w:szCs w:val="24"/>
        </w:rPr>
        <w:t>’.</w:t>
      </w:r>
      <w:r w:rsidR="00E353F9" w:rsidRPr="00472C9F">
        <w:rPr>
          <w:rStyle w:val="FootnoteReference"/>
          <w:rFonts w:ascii="Calibri" w:hAnsi="Calibri" w:cs="Calibri"/>
          <w:sz w:val="24"/>
          <w:szCs w:val="24"/>
        </w:rPr>
        <w:footnoteReference w:id="139"/>
      </w:r>
      <w:r w:rsidR="00A00C0F" w:rsidRPr="00472C9F">
        <w:rPr>
          <w:rFonts w:ascii="Calibri" w:hAnsi="Calibri" w:cs="Calibri"/>
          <w:sz w:val="24"/>
          <w:szCs w:val="24"/>
        </w:rPr>
        <w:t xml:space="preserve"> Here</w:t>
      </w:r>
      <w:r w:rsidR="00D9427C" w:rsidRPr="00472C9F">
        <w:rPr>
          <w:rFonts w:ascii="Calibri" w:hAnsi="Calibri" w:cs="Calibri"/>
          <w:sz w:val="24"/>
          <w:szCs w:val="24"/>
        </w:rPr>
        <w:t>,</w:t>
      </w:r>
      <w:r w:rsidR="00A00C0F" w:rsidRPr="00472C9F">
        <w:rPr>
          <w:rFonts w:ascii="Calibri" w:hAnsi="Calibri" w:cs="Calibri"/>
          <w:sz w:val="24"/>
          <w:szCs w:val="24"/>
        </w:rPr>
        <w:t xml:space="preserve"> rights are much more limited.</w:t>
      </w:r>
      <w:r w:rsidR="00E376C4" w:rsidRPr="00472C9F">
        <w:rPr>
          <w:rFonts w:ascii="Calibri" w:hAnsi="Calibri" w:cs="Calibri"/>
          <w:sz w:val="24"/>
          <w:szCs w:val="24"/>
        </w:rPr>
        <w:t xml:space="preserve"> Persons who claim to fall within Art</w:t>
      </w:r>
      <w:r w:rsidR="00773EE1">
        <w:rPr>
          <w:rFonts w:ascii="Calibri" w:hAnsi="Calibri" w:cs="Calibri"/>
          <w:sz w:val="24"/>
          <w:szCs w:val="24"/>
        </w:rPr>
        <w:t>icle</w:t>
      </w:r>
      <w:r w:rsidR="00603BC0" w:rsidRPr="00472C9F">
        <w:rPr>
          <w:rFonts w:ascii="Calibri" w:hAnsi="Calibri" w:cs="Calibri"/>
          <w:sz w:val="24"/>
          <w:szCs w:val="24"/>
        </w:rPr>
        <w:t xml:space="preserve"> </w:t>
      </w:r>
      <w:r w:rsidR="00E376C4" w:rsidRPr="00472C9F">
        <w:rPr>
          <w:rFonts w:ascii="Calibri" w:hAnsi="Calibri" w:cs="Calibri"/>
          <w:sz w:val="24"/>
          <w:szCs w:val="24"/>
        </w:rPr>
        <w:t>3</w:t>
      </w:r>
      <w:r w:rsidR="00603BC0" w:rsidRPr="00472C9F">
        <w:rPr>
          <w:rFonts w:ascii="Calibri" w:hAnsi="Calibri" w:cs="Calibri"/>
          <w:sz w:val="24"/>
          <w:szCs w:val="24"/>
        </w:rPr>
        <w:t>(2)</w:t>
      </w:r>
      <w:r w:rsidR="00E376C4" w:rsidRPr="00472C9F">
        <w:rPr>
          <w:rFonts w:ascii="Calibri" w:hAnsi="Calibri" w:cs="Calibri"/>
          <w:sz w:val="24"/>
          <w:szCs w:val="24"/>
        </w:rPr>
        <w:t xml:space="preserve"> cannot require the host state to automatically accept them. Instead</w:t>
      </w:r>
      <w:r w:rsidR="00D9427C" w:rsidRPr="00472C9F">
        <w:rPr>
          <w:rFonts w:ascii="Calibri" w:hAnsi="Calibri" w:cs="Calibri"/>
          <w:sz w:val="24"/>
          <w:szCs w:val="24"/>
        </w:rPr>
        <w:t>,</w:t>
      </w:r>
      <w:r w:rsidR="00E376C4" w:rsidRPr="00472C9F">
        <w:rPr>
          <w:rFonts w:ascii="Calibri" w:hAnsi="Calibri" w:cs="Calibri"/>
          <w:sz w:val="24"/>
          <w:szCs w:val="24"/>
        </w:rPr>
        <w:t xml:space="preserve"> </w:t>
      </w:r>
      <w:r w:rsidR="00563A64">
        <w:rPr>
          <w:rFonts w:ascii="Calibri" w:hAnsi="Calibri" w:cs="Calibri"/>
          <w:sz w:val="24"/>
          <w:szCs w:val="24"/>
        </w:rPr>
        <w:t>the provisions</w:t>
      </w:r>
      <w:r w:rsidR="00E376C4" w:rsidRPr="00472C9F">
        <w:rPr>
          <w:rFonts w:ascii="Calibri" w:hAnsi="Calibri" w:cs="Calibri"/>
          <w:sz w:val="24"/>
          <w:szCs w:val="24"/>
        </w:rPr>
        <w:t xml:space="preserve"> require the host state to </w:t>
      </w:r>
      <w:r w:rsidR="00D709B6" w:rsidRPr="00472C9F">
        <w:rPr>
          <w:rFonts w:ascii="Calibri" w:hAnsi="Calibri" w:cs="Calibri"/>
          <w:sz w:val="24"/>
          <w:szCs w:val="24"/>
        </w:rPr>
        <w:t>‘undertake an extensive examination of their personal circumstances</w:t>
      </w:r>
      <w:r w:rsidR="00773EE1">
        <w:rPr>
          <w:rFonts w:ascii="Calibri" w:hAnsi="Calibri" w:cs="Calibri"/>
          <w:sz w:val="24"/>
          <w:szCs w:val="24"/>
        </w:rPr>
        <w:t>’</w:t>
      </w:r>
      <w:r w:rsidR="00880558" w:rsidRPr="00472C9F">
        <w:rPr>
          <w:rFonts w:ascii="Calibri" w:hAnsi="Calibri" w:cs="Calibri"/>
          <w:sz w:val="24"/>
          <w:szCs w:val="24"/>
        </w:rPr>
        <w:t>.</w:t>
      </w:r>
      <w:r w:rsidR="00F21C27" w:rsidRPr="00472C9F">
        <w:rPr>
          <w:rStyle w:val="FootnoteReference"/>
          <w:rFonts w:ascii="Calibri" w:hAnsi="Calibri" w:cs="Calibri"/>
          <w:sz w:val="24"/>
          <w:szCs w:val="24"/>
        </w:rPr>
        <w:footnoteReference w:id="140"/>
      </w:r>
      <w:r w:rsidR="00015AB7" w:rsidRPr="00472C9F">
        <w:rPr>
          <w:rFonts w:ascii="Calibri" w:hAnsi="Calibri" w:cs="Calibri"/>
          <w:sz w:val="24"/>
          <w:szCs w:val="24"/>
        </w:rPr>
        <w:t xml:space="preserve"> </w:t>
      </w:r>
      <w:r w:rsidR="00880558" w:rsidRPr="00472C9F">
        <w:rPr>
          <w:rFonts w:ascii="Calibri" w:hAnsi="Calibri" w:cs="Calibri"/>
          <w:sz w:val="24"/>
          <w:szCs w:val="24"/>
        </w:rPr>
        <w:t>Commission Guid</w:t>
      </w:r>
      <w:r w:rsidR="00A63F88" w:rsidRPr="00472C9F">
        <w:rPr>
          <w:rFonts w:ascii="Calibri" w:hAnsi="Calibri" w:cs="Calibri"/>
          <w:sz w:val="24"/>
          <w:szCs w:val="24"/>
        </w:rPr>
        <w:t>ance</w:t>
      </w:r>
      <w:r w:rsidR="00880558" w:rsidRPr="00472C9F">
        <w:rPr>
          <w:rFonts w:ascii="Calibri" w:hAnsi="Calibri" w:cs="Calibri"/>
          <w:sz w:val="24"/>
          <w:szCs w:val="24"/>
        </w:rPr>
        <w:t xml:space="preserve"> from 2023 do</w:t>
      </w:r>
      <w:r w:rsidR="00A63F88" w:rsidRPr="00472C9F">
        <w:rPr>
          <w:rFonts w:ascii="Calibri" w:hAnsi="Calibri" w:cs="Calibri"/>
          <w:sz w:val="24"/>
          <w:szCs w:val="24"/>
        </w:rPr>
        <w:t>es</w:t>
      </w:r>
      <w:r w:rsidR="00880558" w:rsidRPr="00472C9F">
        <w:rPr>
          <w:rFonts w:ascii="Calibri" w:hAnsi="Calibri" w:cs="Calibri"/>
          <w:sz w:val="24"/>
          <w:szCs w:val="24"/>
        </w:rPr>
        <w:t xml:space="preserve"> include</w:t>
      </w:r>
      <w:r w:rsidR="00015AB7" w:rsidRPr="00472C9F">
        <w:rPr>
          <w:rFonts w:ascii="Calibri" w:hAnsi="Calibri" w:cs="Calibri"/>
          <w:sz w:val="24"/>
          <w:szCs w:val="24"/>
        </w:rPr>
        <w:t xml:space="preserve"> same-sex couples </w:t>
      </w:r>
      <w:r w:rsidR="00880558" w:rsidRPr="00472C9F">
        <w:rPr>
          <w:rFonts w:ascii="Calibri" w:hAnsi="Calibri" w:cs="Calibri"/>
          <w:sz w:val="24"/>
          <w:szCs w:val="24"/>
        </w:rPr>
        <w:t>within the potential</w:t>
      </w:r>
      <w:r w:rsidR="00345BA3" w:rsidRPr="00472C9F">
        <w:rPr>
          <w:rFonts w:ascii="Calibri" w:hAnsi="Calibri" w:cs="Calibri"/>
          <w:sz w:val="24"/>
          <w:szCs w:val="24"/>
        </w:rPr>
        <w:t xml:space="preserve"> couples who </w:t>
      </w:r>
      <w:r w:rsidR="00FF28CB" w:rsidRPr="00472C9F">
        <w:rPr>
          <w:rFonts w:ascii="Calibri" w:hAnsi="Calibri" w:cs="Calibri"/>
          <w:sz w:val="24"/>
          <w:szCs w:val="24"/>
        </w:rPr>
        <w:t>could fill the criterion of</w:t>
      </w:r>
      <w:r w:rsidR="00345BA3" w:rsidRPr="00472C9F">
        <w:rPr>
          <w:rFonts w:ascii="Calibri" w:hAnsi="Calibri" w:cs="Calibri"/>
          <w:sz w:val="24"/>
          <w:szCs w:val="24"/>
        </w:rPr>
        <w:t xml:space="preserve"> </w:t>
      </w:r>
      <w:r w:rsidR="00FF28CB" w:rsidRPr="00472C9F">
        <w:rPr>
          <w:rFonts w:ascii="Calibri" w:hAnsi="Calibri" w:cs="Calibri"/>
          <w:sz w:val="24"/>
          <w:szCs w:val="24"/>
        </w:rPr>
        <w:t>‘</w:t>
      </w:r>
      <w:r w:rsidR="00345BA3" w:rsidRPr="00472C9F">
        <w:rPr>
          <w:rFonts w:ascii="Calibri" w:hAnsi="Calibri" w:cs="Calibri"/>
          <w:sz w:val="24"/>
          <w:szCs w:val="24"/>
        </w:rPr>
        <w:t>durable relationship</w:t>
      </w:r>
      <w:r w:rsidR="00FF28CB" w:rsidRPr="00472C9F">
        <w:rPr>
          <w:rFonts w:ascii="Calibri" w:hAnsi="Calibri" w:cs="Calibri"/>
          <w:sz w:val="24"/>
          <w:szCs w:val="24"/>
        </w:rPr>
        <w:t>’</w:t>
      </w:r>
      <w:r w:rsidR="00015AB7" w:rsidRPr="00472C9F">
        <w:rPr>
          <w:rFonts w:ascii="Calibri" w:hAnsi="Calibri" w:cs="Calibri"/>
          <w:sz w:val="24"/>
          <w:szCs w:val="24"/>
        </w:rPr>
        <w:t>.</w:t>
      </w:r>
      <w:r w:rsidR="00015AB7" w:rsidRPr="00472C9F">
        <w:rPr>
          <w:rStyle w:val="FootnoteReference"/>
          <w:rFonts w:ascii="Calibri" w:hAnsi="Calibri" w:cs="Calibri"/>
          <w:sz w:val="24"/>
          <w:szCs w:val="24"/>
        </w:rPr>
        <w:footnoteReference w:id="141"/>
      </w:r>
      <w:r w:rsidR="00015AB7" w:rsidRPr="00472C9F">
        <w:rPr>
          <w:rFonts w:ascii="Calibri" w:hAnsi="Calibri" w:cs="Calibri"/>
          <w:sz w:val="24"/>
          <w:szCs w:val="24"/>
        </w:rPr>
        <w:t xml:space="preserve"> </w:t>
      </w:r>
      <w:r w:rsidR="00880558" w:rsidRPr="00472C9F">
        <w:rPr>
          <w:rFonts w:ascii="Calibri" w:hAnsi="Calibri" w:cs="Calibri"/>
          <w:sz w:val="24"/>
          <w:szCs w:val="24"/>
        </w:rPr>
        <w:t xml:space="preserve">However </w:t>
      </w:r>
      <w:r w:rsidR="008746F6" w:rsidRPr="00472C9F">
        <w:rPr>
          <w:rFonts w:ascii="Calibri" w:hAnsi="Calibri" w:cs="Calibri"/>
          <w:sz w:val="24"/>
          <w:szCs w:val="24"/>
        </w:rPr>
        <w:t xml:space="preserve">the lack of an automatic right of entry for such partners is demonstrated </w:t>
      </w:r>
      <w:r w:rsidR="00A63F88" w:rsidRPr="00472C9F">
        <w:rPr>
          <w:rFonts w:ascii="Calibri" w:hAnsi="Calibri" w:cs="Calibri"/>
          <w:sz w:val="24"/>
          <w:szCs w:val="24"/>
        </w:rPr>
        <w:t xml:space="preserve">by the Guidance going on to </w:t>
      </w:r>
      <w:r w:rsidR="00DA436D" w:rsidRPr="00472C9F">
        <w:rPr>
          <w:rFonts w:ascii="Calibri" w:hAnsi="Calibri" w:cs="Calibri"/>
          <w:sz w:val="24"/>
          <w:szCs w:val="24"/>
        </w:rPr>
        <w:t xml:space="preserve">explain that </w:t>
      </w:r>
      <w:r w:rsidR="009F3A25" w:rsidRPr="00472C9F">
        <w:rPr>
          <w:rFonts w:ascii="Calibri" w:hAnsi="Calibri" w:cs="Calibri"/>
          <w:sz w:val="24"/>
          <w:szCs w:val="24"/>
        </w:rPr>
        <w:t>‘national legislation must provide for a careful examination of the relevant personal circumstances</w:t>
      </w:r>
      <w:r w:rsidR="00CD61AE" w:rsidRPr="00472C9F">
        <w:rPr>
          <w:rFonts w:ascii="Calibri" w:hAnsi="Calibri" w:cs="Calibri"/>
          <w:sz w:val="24"/>
          <w:szCs w:val="24"/>
        </w:rPr>
        <w:t>’  and factors taken into consideration are ‘their relationship with the EU citizen or any other circumstances such as their financial or physical dependence’</w:t>
      </w:r>
      <w:r w:rsidR="00274CD9" w:rsidRPr="00472C9F">
        <w:rPr>
          <w:rFonts w:ascii="Calibri" w:hAnsi="Calibri" w:cs="Calibri"/>
          <w:sz w:val="24"/>
          <w:szCs w:val="24"/>
        </w:rPr>
        <w:t>.</w:t>
      </w:r>
      <w:r w:rsidR="00CD61AE" w:rsidRPr="00472C9F">
        <w:rPr>
          <w:rStyle w:val="FootnoteReference"/>
          <w:rFonts w:ascii="Calibri" w:hAnsi="Calibri" w:cs="Calibri"/>
          <w:sz w:val="24"/>
          <w:szCs w:val="24"/>
        </w:rPr>
        <w:t xml:space="preserve"> </w:t>
      </w:r>
      <w:r w:rsidR="00CD61AE" w:rsidRPr="00472C9F">
        <w:rPr>
          <w:rStyle w:val="FootnoteReference"/>
          <w:rFonts w:ascii="Calibri" w:hAnsi="Calibri" w:cs="Calibri"/>
          <w:sz w:val="24"/>
          <w:szCs w:val="24"/>
        </w:rPr>
        <w:footnoteReference w:id="142"/>
      </w:r>
      <w:r w:rsidR="00CD61AE" w:rsidRPr="00472C9F">
        <w:rPr>
          <w:rFonts w:ascii="Calibri" w:hAnsi="Calibri" w:cs="Calibri"/>
          <w:sz w:val="24"/>
          <w:szCs w:val="24"/>
        </w:rPr>
        <w:t xml:space="preserve">  </w:t>
      </w:r>
    </w:p>
    <w:p w14:paraId="45AF3FFF" w14:textId="77777777" w:rsidR="00082BC0" w:rsidRPr="00472C9F" w:rsidRDefault="00082BC0" w:rsidP="0059780E">
      <w:pPr>
        <w:spacing w:after="0" w:line="360" w:lineRule="auto"/>
        <w:jc w:val="both"/>
        <w:rPr>
          <w:rFonts w:ascii="Calibri" w:hAnsi="Calibri" w:cs="Calibri"/>
          <w:sz w:val="24"/>
          <w:szCs w:val="24"/>
        </w:rPr>
      </w:pPr>
    </w:p>
    <w:p w14:paraId="7283D114" w14:textId="39EC2E93" w:rsidR="00603BC0" w:rsidRPr="00472C9F" w:rsidRDefault="003E0DB2" w:rsidP="00570ECB">
      <w:pPr>
        <w:pStyle w:val="Heading3"/>
      </w:pPr>
      <w:r>
        <w:t xml:space="preserve">4.2 </w:t>
      </w:r>
      <w:r w:rsidR="00CA4F68" w:rsidRPr="00472C9F">
        <w:t xml:space="preserve">Rainbow Families </w:t>
      </w:r>
    </w:p>
    <w:p w14:paraId="362B087B" w14:textId="0273F256" w:rsidR="00607AD9" w:rsidRPr="00472C9F" w:rsidRDefault="00607AD9" w:rsidP="0059780E">
      <w:pPr>
        <w:spacing w:after="0" w:line="360" w:lineRule="auto"/>
        <w:jc w:val="both"/>
        <w:rPr>
          <w:rFonts w:ascii="Calibri" w:hAnsi="Calibri" w:cs="Calibri"/>
          <w:sz w:val="24"/>
          <w:szCs w:val="24"/>
        </w:rPr>
      </w:pPr>
      <w:proofErr w:type="spellStart"/>
      <w:r w:rsidRPr="00472C9F">
        <w:rPr>
          <w:rFonts w:ascii="Calibri" w:hAnsi="Calibri" w:cs="Calibri"/>
          <w:sz w:val="24"/>
          <w:szCs w:val="24"/>
        </w:rPr>
        <w:t>Tryfonidou</w:t>
      </w:r>
      <w:proofErr w:type="spellEnd"/>
      <w:r w:rsidRPr="00472C9F">
        <w:rPr>
          <w:rFonts w:ascii="Calibri" w:hAnsi="Calibri" w:cs="Calibri"/>
          <w:sz w:val="24"/>
          <w:szCs w:val="24"/>
        </w:rPr>
        <w:t xml:space="preserve"> </w:t>
      </w:r>
      <w:r w:rsidR="00B1228E" w:rsidRPr="00472C9F">
        <w:rPr>
          <w:rFonts w:ascii="Calibri" w:hAnsi="Calibri" w:cs="Calibri"/>
          <w:sz w:val="24"/>
          <w:szCs w:val="24"/>
        </w:rPr>
        <w:t xml:space="preserve">concludes </w:t>
      </w:r>
      <w:r w:rsidRPr="00472C9F">
        <w:rPr>
          <w:rFonts w:ascii="Calibri" w:hAnsi="Calibri" w:cs="Calibri"/>
          <w:sz w:val="24"/>
          <w:szCs w:val="24"/>
        </w:rPr>
        <w:t>that rainbow families</w:t>
      </w:r>
      <w:r w:rsidR="00D9427C" w:rsidRPr="00472C9F">
        <w:rPr>
          <w:rFonts w:ascii="Calibri" w:hAnsi="Calibri" w:cs="Calibri"/>
          <w:sz w:val="24"/>
          <w:szCs w:val="24"/>
        </w:rPr>
        <w:t>,</w:t>
      </w:r>
      <w:r w:rsidRPr="00472C9F">
        <w:rPr>
          <w:rFonts w:ascii="Calibri" w:hAnsi="Calibri" w:cs="Calibri"/>
          <w:sz w:val="24"/>
          <w:szCs w:val="24"/>
        </w:rPr>
        <w:t xml:space="preserve"> remain </w:t>
      </w:r>
      <w:r w:rsidR="00EF2C67" w:rsidRPr="00472C9F">
        <w:rPr>
          <w:rFonts w:ascii="Calibri" w:hAnsi="Calibri" w:cs="Calibri"/>
          <w:sz w:val="24"/>
          <w:szCs w:val="24"/>
        </w:rPr>
        <w:t>‘</w:t>
      </w:r>
      <w:r w:rsidR="00B54CF0" w:rsidRPr="00472C9F">
        <w:rPr>
          <w:rFonts w:ascii="Calibri" w:hAnsi="Calibri" w:cs="Calibri"/>
          <w:sz w:val="24"/>
          <w:szCs w:val="24"/>
        </w:rPr>
        <w:t>controversial</w:t>
      </w:r>
      <w:r w:rsidR="00EF2C67" w:rsidRPr="00472C9F">
        <w:rPr>
          <w:rFonts w:ascii="Calibri" w:hAnsi="Calibri" w:cs="Calibri"/>
          <w:sz w:val="24"/>
          <w:szCs w:val="24"/>
        </w:rPr>
        <w:t>’</w:t>
      </w:r>
      <w:r w:rsidR="00430284" w:rsidRPr="00472C9F">
        <w:rPr>
          <w:rFonts w:ascii="Calibri" w:hAnsi="Calibri" w:cs="Calibri"/>
          <w:sz w:val="24"/>
          <w:szCs w:val="24"/>
        </w:rPr>
        <w:t xml:space="preserve"> </w:t>
      </w:r>
      <w:r w:rsidRPr="00472C9F">
        <w:rPr>
          <w:rFonts w:ascii="Calibri" w:hAnsi="Calibri" w:cs="Calibri"/>
          <w:sz w:val="24"/>
          <w:szCs w:val="24"/>
        </w:rPr>
        <w:t xml:space="preserve">and </w:t>
      </w:r>
      <w:r w:rsidR="00B54CF0" w:rsidRPr="00472C9F">
        <w:rPr>
          <w:rFonts w:ascii="Calibri" w:hAnsi="Calibri" w:cs="Calibri"/>
          <w:sz w:val="24"/>
          <w:szCs w:val="24"/>
        </w:rPr>
        <w:t xml:space="preserve">challenge some of the main assumptions that underpin the </w:t>
      </w:r>
      <w:r w:rsidR="00EF2C67" w:rsidRPr="00472C9F">
        <w:rPr>
          <w:rFonts w:ascii="Calibri" w:hAnsi="Calibri" w:cs="Calibri"/>
          <w:sz w:val="24"/>
          <w:szCs w:val="24"/>
        </w:rPr>
        <w:t xml:space="preserve">idea of </w:t>
      </w:r>
      <w:r w:rsidR="003E0DB2">
        <w:rPr>
          <w:rFonts w:ascii="Calibri" w:hAnsi="Calibri" w:cs="Calibri"/>
          <w:sz w:val="24"/>
          <w:szCs w:val="24"/>
        </w:rPr>
        <w:t xml:space="preserve">a </w:t>
      </w:r>
      <w:r w:rsidR="00B54CF0" w:rsidRPr="00472C9F">
        <w:rPr>
          <w:rFonts w:ascii="Calibri" w:hAnsi="Calibri" w:cs="Calibri"/>
          <w:sz w:val="24"/>
          <w:szCs w:val="24"/>
        </w:rPr>
        <w:t xml:space="preserve">nuclear family comprised of an opposite-sex couple and </w:t>
      </w:r>
      <w:r w:rsidR="00EF2C67" w:rsidRPr="00472C9F">
        <w:rPr>
          <w:rFonts w:ascii="Calibri" w:hAnsi="Calibri" w:cs="Calibri"/>
          <w:sz w:val="24"/>
          <w:szCs w:val="24"/>
        </w:rPr>
        <w:t xml:space="preserve">their </w:t>
      </w:r>
      <w:r w:rsidR="00B54CF0" w:rsidRPr="00472C9F">
        <w:rPr>
          <w:rFonts w:ascii="Calibri" w:hAnsi="Calibri" w:cs="Calibri"/>
          <w:sz w:val="24"/>
          <w:szCs w:val="24"/>
        </w:rPr>
        <w:t>biological</w:t>
      </w:r>
      <w:r w:rsidR="00EF2C67" w:rsidRPr="00472C9F">
        <w:rPr>
          <w:rFonts w:ascii="Calibri" w:hAnsi="Calibri" w:cs="Calibri"/>
          <w:sz w:val="24"/>
          <w:szCs w:val="24"/>
        </w:rPr>
        <w:t xml:space="preserve"> descendants.</w:t>
      </w:r>
      <w:r w:rsidR="00430284" w:rsidRPr="00472C9F">
        <w:rPr>
          <w:rStyle w:val="FootnoteReference"/>
          <w:rFonts w:ascii="Calibri" w:hAnsi="Calibri" w:cs="Calibri"/>
          <w:sz w:val="24"/>
          <w:szCs w:val="24"/>
        </w:rPr>
        <w:footnoteReference w:id="143"/>
      </w:r>
      <w:r w:rsidRPr="00472C9F">
        <w:rPr>
          <w:rFonts w:ascii="Calibri" w:hAnsi="Calibri" w:cs="Calibri"/>
          <w:sz w:val="24"/>
          <w:szCs w:val="24"/>
        </w:rPr>
        <w:t xml:space="preserve"> </w:t>
      </w:r>
      <w:r w:rsidR="00EC340E">
        <w:rPr>
          <w:rFonts w:ascii="Calibri" w:hAnsi="Calibri" w:cs="Calibri"/>
          <w:sz w:val="24"/>
          <w:szCs w:val="24"/>
        </w:rPr>
        <w:t xml:space="preserve">The </w:t>
      </w:r>
      <w:r w:rsidRPr="00472C9F">
        <w:rPr>
          <w:rFonts w:ascii="Calibri" w:hAnsi="Calibri" w:cs="Calibri"/>
          <w:sz w:val="24"/>
          <w:szCs w:val="24"/>
        </w:rPr>
        <w:t xml:space="preserve">Citizenship Directive </w:t>
      </w:r>
      <w:r w:rsidR="00D10243" w:rsidRPr="00472C9F">
        <w:rPr>
          <w:rFonts w:ascii="Calibri" w:hAnsi="Calibri" w:cs="Calibri"/>
          <w:sz w:val="24"/>
          <w:szCs w:val="24"/>
        </w:rPr>
        <w:t xml:space="preserve">2004/38 </w:t>
      </w:r>
      <w:r w:rsidRPr="00472C9F">
        <w:rPr>
          <w:rFonts w:ascii="Calibri" w:hAnsi="Calibri" w:cs="Calibri"/>
          <w:sz w:val="24"/>
          <w:szCs w:val="24"/>
        </w:rPr>
        <w:t xml:space="preserve">sets out family members </w:t>
      </w:r>
      <w:r w:rsidR="00EC340E">
        <w:rPr>
          <w:rFonts w:ascii="Calibri" w:hAnsi="Calibri" w:cs="Calibri"/>
          <w:sz w:val="24"/>
          <w:szCs w:val="24"/>
        </w:rPr>
        <w:t>who</w:t>
      </w:r>
      <w:r w:rsidRPr="00472C9F">
        <w:rPr>
          <w:rFonts w:ascii="Calibri" w:hAnsi="Calibri" w:cs="Calibri"/>
          <w:sz w:val="24"/>
          <w:szCs w:val="24"/>
        </w:rPr>
        <w:t xml:space="preserve"> are explicitly covered. </w:t>
      </w:r>
      <w:r w:rsidR="00BC1BAC" w:rsidRPr="00472C9F">
        <w:rPr>
          <w:rFonts w:ascii="Calibri" w:hAnsi="Calibri" w:cs="Calibri"/>
          <w:sz w:val="24"/>
          <w:szCs w:val="24"/>
        </w:rPr>
        <w:t>Article 2(2)</w:t>
      </w:r>
      <w:r w:rsidR="00BF03C7" w:rsidRPr="00472C9F">
        <w:rPr>
          <w:rFonts w:ascii="Calibri" w:hAnsi="Calibri" w:cs="Calibri"/>
          <w:sz w:val="24"/>
          <w:szCs w:val="24"/>
        </w:rPr>
        <w:t>(c)</w:t>
      </w:r>
      <w:r w:rsidR="00BC1BAC" w:rsidRPr="00472C9F">
        <w:rPr>
          <w:rFonts w:ascii="Calibri" w:hAnsi="Calibri" w:cs="Calibri"/>
          <w:sz w:val="24"/>
          <w:szCs w:val="24"/>
        </w:rPr>
        <w:t xml:space="preserve"> defines family members as direct descendants (children, grandchildren</w:t>
      </w:r>
      <w:r w:rsidR="00D9427C" w:rsidRPr="00472C9F">
        <w:rPr>
          <w:rFonts w:ascii="Calibri" w:hAnsi="Calibri" w:cs="Calibri"/>
          <w:sz w:val="24"/>
          <w:szCs w:val="24"/>
        </w:rPr>
        <w:t>,</w:t>
      </w:r>
      <w:r w:rsidR="00BC1BAC" w:rsidRPr="00472C9F">
        <w:rPr>
          <w:rFonts w:ascii="Calibri" w:hAnsi="Calibri" w:cs="Calibri"/>
          <w:sz w:val="24"/>
          <w:szCs w:val="24"/>
        </w:rPr>
        <w:t xml:space="preserve"> etc</w:t>
      </w:r>
      <w:r w:rsidR="00D9427C" w:rsidRPr="00472C9F">
        <w:rPr>
          <w:rFonts w:ascii="Calibri" w:hAnsi="Calibri" w:cs="Calibri"/>
          <w:sz w:val="24"/>
          <w:szCs w:val="24"/>
        </w:rPr>
        <w:t>.</w:t>
      </w:r>
      <w:r w:rsidR="00BC1BAC" w:rsidRPr="00472C9F">
        <w:rPr>
          <w:rFonts w:ascii="Calibri" w:hAnsi="Calibri" w:cs="Calibri"/>
          <w:sz w:val="24"/>
          <w:szCs w:val="24"/>
        </w:rPr>
        <w:t>) who are under the age of 21 or who are dependants (</w:t>
      </w:r>
      <w:r w:rsidR="00BC1BAC" w:rsidRPr="00472C9F">
        <w:rPr>
          <w:rFonts w:ascii="Calibri" w:hAnsi="Calibri" w:cs="Calibri"/>
          <w:i/>
          <w:iCs/>
          <w:sz w:val="24"/>
          <w:szCs w:val="24"/>
        </w:rPr>
        <w:t>Lebon</w:t>
      </w:r>
      <w:r w:rsidR="00BC1BAC" w:rsidRPr="00472C9F">
        <w:rPr>
          <w:rFonts w:ascii="Calibri" w:hAnsi="Calibri" w:cs="Calibri"/>
          <w:sz w:val="24"/>
          <w:szCs w:val="24"/>
        </w:rPr>
        <w:t xml:space="preserve">) </w:t>
      </w:r>
      <w:proofErr w:type="gramStart"/>
      <w:r w:rsidR="00BC1BAC" w:rsidRPr="00472C9F">
        <w:rPr>
          <w:rFonts w:ascii="Calibri" w:hAnsi="Calibri" w:cs="Calibri"/>
          <w:sz w:val="24"/>
          <w:szCs w:val="24"/>
        </w:rPr>
        <w:t>and also</w:t>
      </w:r>
      <w:proofErr w:type="gramEnd"/>
      <w:r w:rsidR="00BC1BAC" w:rsidRPr="00472C9F">
        <w:rPr>
          <w:rFonts w:ascii="Calibri" w:hAnsi="Calibri" w:cs="Calibri"/>
          <w:sz w:val="24"/>
          <w:szCs w:val="24"/>
        </w:rPr>
        <w:t xml:space="preserve"> includes </w:t>
      </w:r>
      <w:proofErr w:type="gramStart"/>
      <w:r w:rsidR="00BC1BAC" w:rsidRPr="00472C9F">
        <w:rPr>
          <w:rFonts w:ascii="Calibri" w:hAnsi="Calibri" w:cs="Calibri"/>
          <w:sz w:val="24"/>
          <w:szCs w:val="24"/>
        </w:rPr>
        <w:t>step-children</w:t>
      </w:r>
      <w:proofErr w:type="gramEnd"/>
      <w:r w:rsidR="00BC1BAC" w:rsidRPr="00472C9F">
        <w:rPr>
          <w:rFonts w:ascii="Calibri" w:hAnsi="Calibri" w:cs="Calibri"/>
          <w:sz w:val="24"/>
          <w:szCs w:val="24"/>
        </w:rPr>
        <w:t xml:space="preserve"> (</w:t>
      </w:r>
      <w:proofErr w:type="spellStart"/>
      <w:r w:rsidR="00BC1BAC" w:rsidRPr="00472C9F">
        <w:rPr>
          <w:rFonts w:ascii="Calibri" w:hAnsi="Calibri" w:cs="Calibri"/>
          <w:i/>
          <w:iCs/>
          <w:sz w:val="24"/>
          <w:szCs w:val="24"/>
        </w:rPr>
        <w:t>Baumbast</w:t>
      </w:r>
      <w:proofErr w:type="spellEnd"/>
      <w:r w:rsidR="00BC1BAC" w:rsidRPr="00472C9F">
        <w:rPr>
          <w:rFonts w:ascii="Calibri" w:hAnsi="Calibri" w:cs="Calibri"/>
          <w:sz w:val="24"/>
          <w:szCs w:val="24"/>
        </w:rPr>
        <w:t>).</w:t>
      </w:r>
      <w:r w:rsidR="00F21C27" w:rsidRPr="00472C9F">
        <w:rPr>
          <w:rStyle w:val="FootnoteReference"/>
          <w:rFonts w:ascii="Calibri" w:hAnsi="Calibri" w:cs="Calibri"/>
          <w:sz w:val="24"/>
          <w:szCs w:val="24"/>
        </w:rPr>
        <w:footnoteReference w:id="144"/>
      </w:r>
      <w:r w:rsidR="006A6807" w:rsidRPr="00472C9F">
        <w:rPr>
          <w:rFonts w:ascii="Calibri" w:hAnsi="Calibri" w:cs="Calibri"/>
          <w:sz w:val="24"/>
          <w:szCs w:val="24"/>
        </w:rPr>
        <w:t xml:space="preserve"> Therefore</w:t>
      </w:r>
      <w:r w:rsidR="00E40690" w:rsidRPr="00472C9F">
        <w:rPr>
          <w:rFonts w:ascii="Calibri" w:hAnsi="Calibri" w:cs="Calibri"/>
          <w:sz w:val="24"/>
          <w:szCs w:val="24"/>
        </w:rPr>
        <w:t>,</w:t>
      </w:r>
      <w:r w:rsidR="00092096" w:rsidRPr="00472C9F">
        <w:rPr>
          <w:rFonts w:ascii="Calibri" w:hAnsi="Calibri" w:cs="Calibri"/>
          <w:sz w:val="24"/>
          <w:szCs w:val="24"/>
        </w:rPr>
        <w:t xml:space="preserve"> </w:t>
      </w:r>
      <w:r w:rsidR="006A6807" w:rsidRPr="00472C9F">
        <w:rPr>
          <w:rFonts w:ascii="Calibri" w:hAnsi="Calibri" w:cs="Calibri"/>
          <w:sz w:val="24"/>
          <w:szCs w:val="24"/>
        </w:rPr>
        <w:t xml:space="preserve">the link between ‘children and their (heterosexual) stepparents’ </w:t>
      </w:r>
      <w:r w:rsidR="00B1228E" w:rsidRPr="00472C9F">
        <w:rPr>
          <w:rFonts w:ascii="Calibri" w:hAnsi="Calibri" w:cs="Calibri"/>
          <w:sz w:val="24"/>
          <w:szCs w:val="24"/>
        </w:rPr>
        <w:t>is</w:t>
      </w:r>
      <w:r w:rsidR="006A6807" w:rsidRPr="00472C9F">
        <w:rPr>
          <w:rFonts w:ascii="Calibri" w:hAnsi="Calibri" w:cs="Calibri"/>
          <w:sz w:val="24"/>
          <w:szCs w:val="24"/>
        </w:rPr>
        <w:t xml:space="preserve"> explicitly recognised under Article </w:t>
      </w:r>
      <w:r w:rsidR="006A6807" w:rsidRPr="00472C9F">
        <w:rPr>
          <w:rFonts w:ascii="Calibri" w:hAnsi="Calibri" w:cs="Calibri"/>
          <w:sz w:val="24"/>
          <w:szCs w:val="24"/>
        </w:rPr>
        <w:lastRenderedPageBreak/>
        <w:t>2(2)(c)</w:t>
      </w:r>
      <w:r w:rsidRPr="00472C9F">
        <w:rPr>
          <w:rFonts w:ascii="Calibri" w:hAnsi="Calibri" w:cs="Calibri"/>
          <w:sz w:val="24"/>
          <w:szCs w:val="24"/>
        </w:rPr>
        <w:t>. Upon exercising free movement, children of EU citizens are entitled to access education and not to be discriminated against.</w:t>
      </w:r>
      <w:r w:rsidR="00BB3CFB" w:rsidRPr="00472C9F">
        <w:rPr>
          <w:rStyle w:val="FootnoteReference"/>
          <w:rFonts w:ascii="Calibri" w:hAnsi="Calibri" w:cs="Calibri"/>
          <w:sz w:val="24"/>
          <w:szCs w:val="24"/>
        </w:rPr>
        <w:footnoteReference w:id="145"/>
      </w:r>
      <w:r w:rsidRPr="00472C9F">
        <w:rPr>
          <w:rFonts w:ascii="Calibri" w:hAnsi="Calibri" w:cs="Calibri"/>
          <w:sz w:val="24"/>
          <w:szCs w:val="24"/>
        </w:rPr>
        <w:t xml:space="preserve"> Minor EU citizens, utilising rights directly derived from citizenship under Article 21 TFEU</w:t>
      </w:r>
      <w:r w:rsidR="00D9427C" w:rsidRPr="00472C9F">
        <w:rPr>
          <w:rFonts w:ascii="Calibri" w:hAnsi="Calibri" w:cs="Calibri"/>
          <w:sz w:val="24"/>
          <w:szCs w:val="24"/>
        </w:rPr>
        <w:t>,</w:t>
      </w:r>
      <w:r w:rsidRPr="00472C9F">
        <w:rPr>
          <w:rFonts w:ascii="Calibri" w:hAnsi="Calibri" w:cs="Calibri"/>
          <w:sz w:val="24"/>
          <w:szCs w:val="24"/>
        </w:rPr>
        <w:t xml:space="preserve"> can also not only exercise their right to move and reside in their new host EU territory, but can also ‘claim the right to be joined or accompanied by their primary carer</w:t>
      </w:r>
      <w:r w:rsidR="000E095F" w:rsidRPr="00472C9F">
        <w:rPr>
          <w:rFonts w:ascii="Calibri" w:hAnsi="Calibri" w:cs="Calibri"/>
          <w:sz w:val="24"/>
          <w:szCs w:val="24"/>
        </w:rPr>
        <w:t>’.</w:t>
      </w:r>
      <w:r w:rsidR="00EC730F" w:rsidRPr="00472C9F">
        <w:rPr>
          <w:rStyle w:val="FootnoteReference"/>
          <w:rFonts w:ascii="Calibri" w:hAnsi="Calibri" w:cs="Calibri"/>
          <w:sz w:val="24"/>
          <w:szCs w:val="24"/>
        </w:rPr>
        <w:footnoteReference w:id="146"/>
      </w:r>
      <w:r w:rsidRPr="00472C9F">
        <w:rPr>
          <w:rFonts w:ascii="Calibri" w:hAnsi="Calibri" w:cs="Calibri"/>
          <w:sz w:val="24"/>
          <w:szCs w:val="24"/>
        </w:rPr>
        <w:t xml:space="preserve"> Once adults, EU citizen children can then also ‘sponsor’ their parents or step-parents in the ascending line to join them in their new host </w:t>
      </w:r>
      <w:r w:rsidR="005E5689">
        <w:rPr>
          <w:rFonts w:ascii="Calibri" w:hAnsi="Calibri" w:cs="Calibri"/>
          <w:sz w:val="24"/>
          <w:szCs w:val="24"/>
        </w:rPr>
        <w:t>M</w:t>
      </w:r>
      <w:r w:rsidRPr="00472C9F">
        <w:rPr>
          <w:rFonts w:ascii="Calibri" w:hAnsi="Calibri" w:cs="Calibri"/>
          <w:sz w:val="24"/>
          <w:szCs w:val="24"/>
        </w:rPr>
        <w:t xml:space="preserve">ember </w:t>
      </w:r>
      <w:r w:rsidR="005E5689">
        <w:rPr>
          <w:rFonts w:ascii="Calibri" w:hAnsi="Calibri" w:cs="Calibri"/>
          <w:sz w:val="24"/>
          <w:szCs w:val="24"/>
        </w:rPr>
        <w:t>S</w:t>
      </w:r>
      <w:r w:rsidRPr="00472C9F">
        <w:rPr>
          <w:rFonts w:ascii="Calibri" w:hAnsi="Calibri" w:cs="Calibri"/>
          <w:sz w:val="24"/>
          <w:szCs w:val="24"/>
        </w:rPr>
        <w:t>tate</w:t>
      </w:r>
      <w:r w:rsidR="00651146" w:rsidRPr="00472C9F">
        <w:rPr>
          <w:rFonts w:ascii="Calibri" w:hAnsi="Calibri" w:cs="Calibri"/>
          <w:sz w:val="24"/>
          <w:szCs w:val="24"/>
        </w:rPr>
        <w:t>.</w:t>
      </w:r>
      <w:r w:rsidR="009948C0" w:rsidRPr="00472C9F">
        <w:rPr>
          <w:rStyle w:val="FootnoteReference"/>
          <w:rFonts w:ascii="Calibri" w:hAnsi="Calibri" w:cs="Calibri"/>
          <w:sz w:val="24"/>
          <w:szCs w:val="24"/>
        </w:rPr>
        <w:footnoteReference w:id="147"/>
      </w:r>
      <w:r w:rsidRPr="00472C9F">
        <w:rPr>
          <w:rFonts w:ascii="Calibri" w:hAnsi="Calibri" w:cs="Calibri"/>
          <w:sz w:val="24"/>
          <w:szCs w:val="24"/>
        </w:rPr>
        <w:t xml:space="preserve">  </w:t>
      </w:r>
    </w:p>
    <w:p w14:paraId="03B8243A" w14:textId="77777777" w:rsidR="00D7513E" w:rsidRDefault="00D7513E" w:rsidP="0059780E">
      <w:pPr>
        <w:spacing w:after="0" w:line="360" w:lineRule="auto"/>
        <w:jc w:val="both"/>
        <w:rPr>
          <w:rFonts w:ascii="Calibri" w:hAnsi="Calibri" w:cs="Calibri"/>
          <w:sz w:val="24"/>
          <w:szCs w:val="24"/>
        </w:rPr>
      </w:pPr>
    </w:p>
    <w:p w14:paraId="4E45B847" w14:textId="790D0650" w:rsidR="007D7BAE" w:rsidRPr="00472C9F" w:rsidRDefault="00F21C27" w:rsidP="0059780E">
      <w:pPr>
        <w:spacing w:after="0" w:line="360" w:lineRule="auto"/>
        <w:jc w:val="both"/>
        <w:rPr>
          <w:rFonts w:ascii="Calibri" w:hAnsi="Calibri" w:cs="Calibri"/>
          <w:sz w:val="24"/>
          <w:szCs w:val="24"/>
        </w:rPr>
      </w:pPr>
      <w:r w:rsidRPr="00472C9F">
        <w:rPr>
          <w:rFonts w:ascii="Calibri" w:hAnsi="Calibri" w:cs="Calibri"/>
          <w:sz w:val="24"/>
          <w:szCs w:val="24"/>
        </w:rPr>
        <w:t>Criticism</w:t>
      </w:r>
      <w:r w:rsidR="006A6807" w:rsidRPr="00472C9F">
        <w:rPr>
          <w:rFonts w:ascii="Calibri" w:hAnsi="Calibri" w:cs="Calibri"/>
          <w:sz w:val="24"/>
          <w:szCs w:val="24"/>
        </w:rPr>
        <w:t xml:space="preserve"> </w:t>
      </w:r>
      <w:r w:rsidR="00607AD9" w:rsidRPr="00472C9F">
        <w:rPr>
          <w:rFonts w:ascii="Calibri" w:hAnsi="Calibri" w:cs="Calibri"/>
          <w:sz w:val="24"/>
          <w:szCs w:val="24"/>
        </w:rPr>
        <w:t xml:space="preserve">has been </w:t>
      </w:r>
      <w:r w:rsidR="006A6807" w:rsidRPr="00472C9F">
        <w:rPr>
          <w:rFonts w:ascii="Calibri" w:hAnsi="Calibri" w:cs="Calibri"/>
          <w:sz w:val="24"/>
          <w:szCs w:val="24"/>
        </w:rPr>
        <w:t xml:space="preserve">levelled at </w:t>
      </w:r>
      <w:r w:rsidRPr="00472C9F">
        <w:rPr>
          <w:rFonts w:ascii="Calibri" w:hAnsi="Calibri" w:cs="Calibri"/>
          <w:sz w:val="24"/>
          <w:szCs w:val="24"/>
        </w:rPr>
        <w:t>the heterosexual</w:t>
      </w:r>
      <w:r w:rsidR="00607AD9" w:rsidRPr="00472C9F">
        <w:rPr>
          <w:rFonts w:ascii="Calibri" w:hAnsi="Calibri" w:cs="Calibri"/>
          <w:sz w:val="24"/>
          <w:szCs w:val="24"/>
        </w:rPr>
        <w:t xml:space="preserve"> framing of the</w:t>
      </w:r>
      <w:r w:rsidR="006A6807" w:rsidRPr="00472C9F">
        <w:rPr>
          <w:rFonts w:ascii="Calibri" w:hAnsi="Calibri" w:cs="Calibri"/>
          <w:sz w:val="24"/>
          <w:szCs w:val="24"/>
        </w:rPr>
        <w:t xml:space="preserve"> categories</w:t>
      </w:r>
      <w:r w:rsidR="00607AD9" w:rsidRPr="00472C9F">
        <w:rPr>
          <w:rFonts w:ascii="Calibri" w:hAnsi="Calibri" w:cs="Calibri"/>
          <w:sz w:val="24"/>
          <w:szCs w:val="24"/>
        </w:rPr>
        <w:t xml:space="preserve"> of family members entitled to exercise </w:t>
      </w:r>
      <w:r w:rsidRPr="00472C9F">
        <w:rPr>
          <w:rFonts w:ascii="Calibri" w:hAnsi="Calibri" w:cs="Calibri"/>
          <w:sz w:val="24"/>
          <w:szCs w:val="24"/>
        </w:rPr>
        <w:t>freedom</w:t>
      </w:r>
      <w:r w:rsidR="00607AD9" w:rsidRPr="00472C9F">
        <w:rPr>
          <w:rFonts w:ascii="Calibri" w:hAnsi="Calibri" w:cs="Calibri"/>
          <w:sz w:val="24"/>
          <w:szCs w:val="24"/>
        </w:rPr>
        <w:t xml:space="preserve"> of movement</w:t>
      </w:r>
      <w:r w:rsidR="00B1228E" w:rsidRPr="00472C9F">
        <w:rPr>
          <w:rFonts w:ascii="Calibri" w:hAnsi="Calibri" w:cs="Calibri"/>
          <w:sz w:val="24"/>
          <w:szCs w:val="24"/>
        </w:rPr>
        <w:t>,</w:t>
      </w:r>
      <w:r w:rsidR="001C698B" w:rsidRPr="00472C9F">
        <w:rPr>
          <w:rFonts w:ascii="Calibri" w:hAnsi="Calibri" w:cs="Calibri"/>
          <w:sz w:val="24"/>
          <w:szCs w:val="24"/>
        </w:rPr>
        <w:t xml:space="preserve"> as</w:t>
      </w:r>
      <w:r w:rsidR="00607AD9" w:rsidRPr="00472C9F">
        <w:rPr>
          <w:rFonts w:ascii="Calibri" w:hAnsi="Calibri" w:cs="Calibri"/>
          <w:sz w:val="24"/>
          <w:szCs w:val="24"/>
        </w:rPr>
        <w:t xml:space="preserve"> </w:t>
      </w:r>
      <w:r w:rsidR="006A6807" w:rsidRPr="00472C9F">
        <w:rPr>
          <w:rFonts w:ascii="Calibri" w:hAnsi="Calibri" w:cs="Calibri"/>
          <w:sz w:val="24"/>
          <w:szCs w:val="24"/>
        </w:rPr>
        <w:t>children who come from ‘nuclear families’ can</w:t>
      </w:r>
      <w:r w:rsidR="001C698B" w:rsidRPr="00472C9F">
        <w:rPr>
          <w:rFonts w:ascii="Calibri" w:hAnsi="Calibri" w:cs="Calibri"/>
          <w:sz w:val="24"/>
          <w:szCs w:val="24"/>
        </w:rPr>
        <w:t xml:space="preserve"> most</w:t>
      </w:r>
      <w:r w:rsidR="006A6807" w:rsidRPr="00472C9F">
        <w:rPr>
          <w:rFonts w:ascii="Calibri" w:hAnsi="Calibri" w:cs="Calibri"/>
          <w:sz w:val="24"/>
          <w:szCs w:val="24"/>
        </w:rPr>
        <w:t xml:space="preserve"> ‘clearly qualify</w:t>
      </w:r>
      <w:r w:rsidR="000E095F" w:rsidRPr="00472C9F">
        <w:rPr>
          <w:rFonts w:ascii="Calibri" w:hAnsi="Calibri" w:cs="Calibri"/>
          <w:sz w:val="24"/>
          <w:szCs w:val="24"/>
        </w:rPr>
        <w:t>’.</w:t>
      </w:r>
      <w:r w:rsidR="00512395" w:rsidRPr="00472C9F">
        <w:rPr>
          <w:rStyle w:val="FootnoteReference"/>
          <w:rFonts w:ascii="Calibri" w:hAnsi="Calibri" w:cs="Calibri"/>
          <w:sz w:val="24"/>
          <w:szCs w:val="24"/>
        </w:rPr>
        <w:footnoteReference w:id="148"/>
      </w:r>
      <w:r w:rsidR="006A6807" w:rsidRPr="00472C9F">
        <w:rPr>
          <w:rFonts w:ascii="Calibri" w:hAnsi="Calibri" w:cs="Calibri"/>
          <w:sz w:val="24"/>
          <w:szCs w:val="24"/>
        </w:rPr>
        <w:t xml:space="preserve"> </w:t>
      </w:r>
      <w:r w:rsidR="00607AD9" w:rsidRPr="00472C9F">
        <w:rPr>
          <w:rFonts w:ascii="Calibri" w:hAnsi="Calibri" w:cs="Calibri"/>
          <w:sz w:val="24"/>
          <w:szCs w:val="24"/>
        </w:rPr>
        <w:t>It was far less easy to understand how children from rainbow families would be treated, especially given the lack of recognition of such family statuses across the EU and the lack of explicit assistance from ECtHR case law in this respect</w:t>
      </w:r>
      <w:r w:rsidR="0021177D" w:rsidRPr="00472C9F">
        <w:rPr>
          <w:rFonts w:ascii="Calibri" w:hAnsi="Calibri" w:cs="Calibri"/>
          <w:sz w:val="24"/>
          <w:szCs w:val="24"/>
        </w:rPr>
        <w:t>.</w:t>
      </w:r>
      <w:r w:rsidR="00DD3C5B" w:rsidRPr="00472C9F">
        <w:rPr>
          <w:rStyle w:val="FootnoteReference"/>
          <w:rFonts w:ascii="Calibri" w:hAnsi="Calibri" w:cs="Calibri"/>
          <w:sz w:val="24"/>
          <w:szCs w:val="24"/>
        </w:rPr>
        <w:footnoteReference w:id="149"/>
      </w:r>
      <w:r w:rsidR="00607AD9" w:rsidRPr="00472C9F">
        <w:rPr>
          <w:rFonts w:ascii="Calibri" w:hAnsi="Calibri" w:cs="Calibri"/>
          <w:sz w:val="24"/>
          <w:szCs w:val="24"/>
        </w:rPr>
        <w:t xml:space="preserve"> </w:t>
      </w:r>
      <w:r w:rsidRPr="00472C9F">
        <w:rPr>
          <w:rFonts w:ascii="Calibri" w:hAnsi="Calibri" w:cs="Calibri"/>
          <w:sz w:val="24"/>
          <w:szCs w:val="24"/>
        </w:rPr>
        <w:t xml:space="preserve">Up until recently there had been no case law on this issue and </w:t>
      </w:r>
      <w:r w:rsidR="00E70D55" w:rsidRPr="00472C9F">
        <w:rPr>
          <w:rFonts w:ascii="Calibri" w:hAnsi="Calibri" w:cs="Calibri"/>
          <w:sz w:val="24"/>
          <w:szCs w:val="24"/>
        </w:rPr>
        <w:t>academics</w:t>
      </w:r>
      <w:r w:rsidRPr="00472C9F">
        <w:rPr>
          <w:rFonts w:ascii="Calibri" w:hAnsi="Calibri" w:cs="Calibri"/>
          <w:sz w:val="24"/>
          <w:szCs w:val="24"/>
        </w:rPr>
        <w:t xml:space="preserve"> were split in their view as to how the EU would interpret law in this area</w:t>
      </w:r>
      <w:r w:rsidR="00774D67" w:rsidRPr="00472C9F">
        <w:rPr>
          <w:rFonts w:ascii="Calibri" w:hAnsi="Calibri" w:cs="Calibri"/>
          <w:sz w:val="24"/>
          <w:szCs w:val="24"/>
        </w:rPr>
        <w:t xml:space="preserve">. </w:t>
      </w:r>
      <w:r w:rsidR="00D9427C" w:rsidRPr="00472C9F">
        <w:rPr>
          <w:rFonts w:ascii="Calibri" w:hAnsi="Calibri" w:cs="Calibri"/>
          <w:sz w:val="24"/>
          <w:szCs w:val="24"/>
        </w:rPr>
        <w:t xml:space="preserve">On the one hand, </w:t>
      </w:r>
      <w:r w:rsidR="00CA2583" w:rsidRPr="00472C9F">
        <w:rPr>
          <w:rFonts w:ascii="Calibri" w:hAnsi="Calibri" w:cs="Calibri"/>
          <w:sz w:val="24"/>
          <w:szCs w:val="24"/>
        </w:rPr>
        <w:t xml:space="preserve">McGlynn </w:t>
      </w:r>
      <w:r w:rsidR="00774D67" w:rsidRPr="00472C9F">
        <w:rPr>
          <w:rFonts w:ascii="Calibri" w:hAnsi="Calibri" w:cs="Calibri"/>
          <w:sz w:val="24"/>
          <w:szCs w:val="24"/>
        </w:rPr>
        <w:t>was pessimistic</w:t>
      </w:r>
      <w:r w:rsidR="00B1228E" w:rsidRPr="00472C9F">
        <w:rPr>
          <w:rFonts w:ascii="Calibri" w:hAnsi="Calibri" w:cs="Calibri"/>
          <w:sz w:val="24"/>
          <w:szCs w:val="24"/>
        </w:rPr>
        <w:t>,</w:t>
      </w:r>
      <w:r w:rsidR="00774D67" w:rsidRPr="00472C9F">
        <w:rPr>
          <w:rFonts w:ascii="Calibri" w:hAnsi="Calibri" w:cs="Calibri"/>
          <w:sz w:val="24"/>
          <w:szCs w:val="24"/>
        </w:rPr>
        <w:t xml:space="preserve"> giv</w:t>
      </w:r>
      <w:r w:rsidR="00D10243" w:rsidRPr="00472C9F">
        <w:rPr>
          <w:rFonts w:ascii="Calibri" w:hAnsi="Calibri" w:cs="Calibri"/>
          <w:sz w:val="24"/>
          <w:szCs w:val="24"/>
        </w:rPr>
        <w:t>en that</w:t>
      </w:r>
      <w:r w:rsidR="00774D67" w:rsidRPr="00472C9F">
        <w:rPr>
          <w:rFonts w:ascii="Calibri" w:hAnsi="Calibri" w:cs="Calibri"/>
          <w:sz w:val="24"/>
          <w:szCs w:val="24"/>
        </w:rPr>
        <w:t xml:space="preserve"> the </w:t>
      </w:r>
      <w:r w:rsidR="00CA2583" w:rsidRPr="00472C9F">
        <w:rPr>
          <w:rFonts w:ascii="Calibri" w:hAnsi="Calibri" w:cs="Calibri"/>
          <w:sz w:val="24"/>
          <w:szCs w:val="24"/>
        </w:rPr>
        <w:t>phrasing of the Directive referr</w:t>
      </w:r>
      <w:r w:rsidR="00D10243" w:rsidRPr="00472C9F">
        <w:rPr>
          <w:rFonts w:ascii="Calibri" w:hAnsi="Calibri" w:cs="Calibri"/>
          <w:sz w:val="24"/>
          <w:szCs w:val="24"/>
        </w:rPr>
        <w:t>ed</w:t>
      </w:r>
      <w:r w:rsidR="00CA2583" w:rsidRPr="00472C9F">
        <w:rPr>
          <w:rFonts w:ascii="Calibri" w:hAnsi="Calibri" w:cs="Calibri"/>
          <w:sz w:val="24"/>
          <w:szCs w:val="24"/>
        </w:rPr>
        <w:t xml:space="preserve"> specifically to ‘direct descendant’</w:t>
      </w:r>
      <w:r w:rsidR="00120FF3" w:rsidRPr="00472C9F">
        <w:rPr>
          <w:rFonts w:ascii="Calibri" w:hAnsi="Calibri" w:cs="Calibri"/>
          <w:sz w:val="24"/>
          <w:szCs w:val="24"/>
        </w:rPr>
        <w:t>.</w:t>
      </w:r>
      <w:r w:rsidR="00CA2583" w:rsidRPr="00472C9F">
        <w:rPr>
          <w:rStyle w:val="FootnoteReference"/>
          <w:rFonts w:ascii="Calibri" w:hAnsi="Calibri" w:cs="Calibri"/>
          <w:sz w:val="24"/>
          <w:szCs w:val="24"/>
        </w:rPr>
        <w:footnoteReference w:id="150"/>
      </w:r>
      <w:r w:rsidR="00120FF3" w:rsidRPr="00472C9F">
        <w:rPr>
          <w:rFonts w:ascii="Calibri" w:hAnsi="Calibri" w:cs="Calibri"/>
          <w:sz w:val="24"/>
          <w:szCs w:val="24"/>
        </w:rPr>
        <w:t xml:space="preserve"> </w:t>
      </w:r>
      <w:r w:rsidR="00CA2583" w:rsidRPr="00472C9F">
        <w:rPr>
          <w:rFonts w:ascii="Calibri" w:hAnsi="Calibri" w:cs="Calibri"/>
          <w:sz w:val="24"/>
          <w:szCs w:val="24"/>
        </w:rPr>
        <w:t>On the other hand</w:t>
      </w:r>
      <w:r w:rsidR="00D9427C" w:rsidRPr="00472C9F">
        <w:rPr>
          <w:rFonts w:ascii="Calibri" w:hAnsi="Calibri" w:cs="Calibri"/>
          <w:sz w:val="24"/>
          <w:szCs w:val="24"/>
        </w:rPr>
        <w:t>,</w:t>
      </w:r>
      <w:r w:rsidR="00CA2583" w:rsidRPr="00472C9F">
        <w:rPr>
          <w:rFonts w:ascii="Calibri" w:hAnsi="Calibri" w:cs="Calibri"/>
          <w:sz w:val="24"/>
          <w:szCs w:val="24"/>
        </w:rPr>
        <w:t xml:space="preserve"> Stalford was ‘more optimistic’</w:t>
      </w:r>
      <w:r w:rsidR="00D9427C" w:rsidRPr="00472C9F">
        <w:rPr>
          <w:rFonts w:ascii="Calibri" w:hAnsi="Calibri" w:cs="Calibri"/>
          <w:sz w:val="24"/>
          <w:szCs w:val="24"/>
        </w:rPr>
        <w:t>,</w:t>
      </w:r>
      <w:r w:rsidR="00CA2583" w:rsidRPr="00472C9F">
        <w:rPr>
          <w:rFonts w:ascii="Calibri" w:hAnsi="Calibri" w:cs="Calibri"/>
          <w:sz w:val="24"/>
          <w:szCs w:val="24"/>
        </w:rPr>
        <w:t xml:space="preserve"> arguing </w:t>
      </w:r>
      <w:r w:rsidR="00AC7DCB" w:rsidRPr="00472C9F">
        <w:rPr>
          <w:rFonts w:ascii="Calibri" w:hAnsi="Calibri" w:cs="Calibri"/>
          <w:sz w:val="24"/>
          <w:szCs w:val="24"/>
        </w:rPr>
        <w:t>that ‘direct descendant’ could include those with ‘no direct biological link’ as previous case law refers to ‘</w:t>
      </w:r>
      <w:r w:rsidR="00120FF3" w:rsidRPr="00472C9F">
        <w:rPr>
          <w:rFonts w:ascii="Calibri" w:hAnsi="Calibri" w:cs="Calibri"/>
          <w:sz w:val="24"/>
          <w:szCs w:val="24"/>
        </w:rPr>
        <w:t>stepchildren, adopted or foster children, or even the children of the migrant’s unmarried partner</w:t>
      </w:r>
      <w:r w:rsidR="00612365" w:rsidRPr="00472C9F">
        <w:rPr>
          <w:rFonts w:ascii="Calibri" w:hAnsi="Calibri" w:cs="Calibri"/>
          <w:sz w:val="24"/>
          <w:szCs w:val="24"/>
        </w:rPr>
        <w:t>’.</w:t>
      </w:r>
      <w:r w:rsidR="00AC7DCB" w:rsidRPr="00472C9F">
        <w:rPr>
          <w:rStyle w:val="FootnoteReference"/>
          <w:rFonts w:ascii="Calibri" w:hAnsi="Calibri" w:cs="Calibri"/>
          <w:sz w:val="24"/>
          <w:szCs w:val="24"/>
        </w:rPr>
        <w:footnoteReference w:id="151"/>
      </w:r>
      <w:r w:rsidR="00120FF3" w:rsidRPr="00472C9F">
        <w:rPr>
          <w:rFonts w:ascii="Calibri" w:hAnsi="Calibri" w:cs="Calibri"/>
          <w:sz w:val="24"/>
          <w:szCs w:val="24"/>
        </w:rPr>
        <w:t xml:space="preserve"> </w:t>
      </w:r>
      <w:r w:rsidR="0035618A" w:rsidRPr="00472C9F">
        <w:rPr>
          <w:rFonts w:ascii="Calibri" w:hAnsi="Calibri" w:cs="Calibri"/>
          <w:sz w:val="24"/>
          <w:szCs w:val="24"/>
        </w:rPr>
        <w:t>In this area positive progress has been made by the EU.</w:t>
      </w:r>
    </w:p>
    <w:p w14:paraId="5743B769" w14:textId="77777777" w:rsidR="00D7513E" w:rsidRDefault="00D7513E" w:rsidP="0059780E">
      <w:pPr>
        <w:spacing w:after="0" w:line="360" w:lineRule="auto"/>
        <w:jc w:val="both"/>
        <w:rPr>
          <w:rFonts w:ascii="Calibri" w:hAnsi="Calibri" w:cs="Calibri"/>
          <w:sz w:val="24"/>
          <w:szCs w:val="24"/>
        </w:rPr>
      </w:pPr>
    </w:p>
    <w:p w14:paraId="17BEC88B" w14:textId="5BE02AC2" w:rsidR="008C21EC" w:rsidRPr="00472C9F" w:rsidRDefault="00A44550" w:rsidP="0059780E">
      <w:pPr>
        <w:spacing w:after="0" w:line="360" w:lineRule="auto"/>
        <w:jc w:val="both"/>
        <w:rPr>
          <w:rFonts w:ascii="Calibri" w:hAnsi="Calibri" w:cs="Calibri"/>
          <w:sz w:val="24"/>
          <w:szCs w:val="24"/>
        </w:rPr>
      </w:pPr>
      <w:r w:rsidRPr="00472C9F">
        <w:rPr>
          <w:rFonts w:ascii="Calibri" w:hAnsi="Calibri" w:cs="Calibri"/>
          <w:sz w:val="24"/>
          <w:szCs w:val="24"/>
        </w:rPr>
        <w:t>‘</w:t>
      </w:r>
      <w:r w:rsidR="003A635D" w:rsidRPr="00472C9F">
        <w:rPr>
          <w:rFonts w:ascii="Calibri" w:hAnsi="Calibri" w:cs="Calibri"/>
          <w:sz w:val="24"/>
          <w:szCs w:val="24"/>
        </w:rPr>
        <w:t>T</w:t>
      </w:r>
      <w:r w:rsidR="004B0F99" w:rsidRPr="00472C9F">
        <w:rPr>
          <w:rFonts w:ascii="Calibri" w:hAnsi="Calibri" w:cs="Calibri"/>
          <w:sz w:val="24"/>
          <w:szCs w:val="24"/>
        </w:rPr>
        <w:t>he Baby Sara case</w:t>
      </w:r>
      <w:r w:rsidRPr="00472C9F">
        <w:rPr>
          <w:rFonts w:ascii="Calibri" w:hAnsi="Calibri" w:cs="Calibri"/>
          <w:sz w:val="24"/>
          <w:szCs w:val="24"/>
        </w:rPr>
        <w:t>’</w:t>
      </w:r>
      <w:r w:rsidR="007D7BAE" w:rsidRPr="00472C9F">
        <w:rPr>
          <w:rFonts w:ascii="Calibri" w:hAnsi="Calibri" w:cs="Calibri"/>
          <w:sz w:val="24"/>
          <w:szCs w:val="24"/>
        </w:rPr>
        <w:t xml:space="preserve"> </w:t>
      </w:r>
      <w:r w:rsidR="001C698B" w:rsidRPr="00472C9F">
        <w:rPr>
          <w:rFonts w:ascii="Calibri" w:hAnsi="Calibri" w:cs="Calibri"/>
          <w:sz w:val="24"/>
          <w:szCs w:val="24"/>
        </w:rPr>
        <w:t>saw the CJEU obliging Bulgaria to recognise the free movement rights of a daughter of a same-sex couple born in Spain, whose lesbian parents were of UK and Bulgarian nationality and both named on the Spanish birth certificate</w:t>
      </w:r>
      <w:r w:rsidR="004B0F99" w:rsidRPr="00472C9F">
        <w:rPr>
          <w:rFonts w:ascii="Calibri" w:hAnsi="Calibri" w:cs="Calibri"/>
          <w:sz w:val="24"/>
          <w:szCs w:val="24"/>
        </w:rPr>
        <w:t>.</w:t>
      </w:r>
      <w:r w:rsidR="007D7BAE" w:rsidRPr="00472C9F">
        <w:rPr>
          <w:rStyle w:val="FootnoteReference"/>
          <w:rFonts w:ascii="Calibri" w:hAnsi="Calibri" w:cs="Calibri"/>
          <w:sz w:val="24"/>
          <w:szCs w:val="24"/>
        </w:rPr>
        <w:footnoteReference w:id="152"/>
      </w:r>
      <w:r w:rsidR="00F21C27" w:rsidRPr="00472C9F">
        <w:rPr>
          <w:rFonts w:ascii="Calibri" w:hAnsi="Calibri" w:cs="Calibri"/>
          <w:sz w:val="24"/>
          <w:szCs w:val="24"/>
        </w:rPr>
        <w:t xml:space="preserve"> On 24 June 2022, </w:t>
      </w:r>
      <w:r w:rsidR="00F21C27" w:rsidRPr="00472C9F">
        <w:rPr>
          <w:rFonts w:ascii="Calibri" w:hAnsi="Calibri" w:cs="Calibri"/>
          <w:sz w:val="24"/>
          <w:szCs w:val="24"/>
        </w:rPr>
        <w:lastRenderedPageBreak/>
        <w:t>the CJEU reiterated its arguments in a similar case concerning Poland</w:t>
      </w:r>
      <w:r w:rsidR="002F1DCA" w:rsidRPr="00472C9F">
        <w:rPr>
          <w:rFonts w:ascii="Calibri" w:hAnsi="Calibri" w:cs="Calibri"/>
          <w:sz w:val="24"/>
          <w:szCs w:val="24"/>
        </w:rPr>
        <w:t>.</w:t>
      </w:r>
      <w:r w:rsidR="002F1DCA" w:rsidRPr="00472C9F">
        <w:rPr>
          <w:rStyle w:val="FootnoteReference"/>
          <w:rFonts w:ascii="Calibri" w:hAnsi="Calibri" w:cs="Calibri"/>
          <w:sz w:val="24"/>
          <w:szCs w:val="24"/>
        </w:rPr>
        <w:footnoteReference w:id="153"/>
      </w:r>
      <w:r w:rsidR="00F21C27" w:rsidRPr="00472C9F">
        <w:rPr>
          <w:rFonts w:ascii="Calibri" w:hAnsi="Calibri" w:cs="Calibri"/>
          <w:sz w:val="24"/>
          <w:szCs w:val="24"/>
        </w:rPr>
        <w:t xml:space="preserve"> </w:t>
      </w:r>
      <w:r w:rsidR="001703BC" w:rsidRPr="00472C9F">
        <w:rPr>
          <w:rFonts w:ascii="Calibri" w:hAnsi="Calibri" w:cs="Calibri"/>
          <w:sz w:val="24"/>
          <w:szCs w:val="24"/>
        </w:rPr>
        <w:t xml:space="preserve">This followed </w:t>
      </w:r>
      <w:r w:rsidR="00D32047" w:rsidRPr="00472C9F">
        <w:rPr>
          <w:rFonts w:ascii="Calibri" w:hAnsi="Calibri" w:cs="Calibri"/>
          <w:sz w:val="24"/>
          <w:szCs w:val="24"/>
        </w:rPr>
        <w:t>a resolution by the</w:t>
      </w:r>
      <w:r w:rsidR="001703BC" w:rsidRPr="00472C9F">
        <w:rPr>
          <w:rFonts w:ascii="Calibri" w:hAnsi="Calibri" w:cs="Calibri"/>
          <w:sz w:val="24"/>
          <w:szCs w:val="24"/>
        </w:rPr>
        <w:t xml:space="preserve"> </w:t>
      </w:r>
      <w:r w:rsidR="0055455D" w:rsidRPr="00472C9F">
        <w:rPr>
          <w:rFonts w:ascii="Calibri" w:hAnsi="Calibri" w:cs="Calibri"/>
          <w:sz w:val="24"/>
          <w:szCs w:val="24"/>
        </w:rPr>
        <w:t xml:space="preserve">European </w:t>
      </w:r>
      <w:r w:rsidR="001703BC" w:rsidRPr="00472C9F">
        <w:rPr>
          <w:rFonts w:ascii="Calibri" w:hAnsi="Calibri" w:cs="Calibri"/>
          <w:sz w:val="24"/>
          <w:szCs w:val="24"/>
        </w:rPr>
        <w:t xml:space="preserve">Parliament on 5 April 2022 </w:t>
      </w:r>
      <w:r w:rsidR="00D32047" w:rsidRPr="00472C9F">
        <w:rPr>
          <w:rFonts w:ascii="Calibri" w:hAnsi="Calibri" w:cs="Calibri"/>
          <w:sz w:val="24"/>
          <w:szCs w:val="24"/>
        </w:rPr>
        <w:t>calling upon Member States to enforce judgments in cross-border family disputes concerning children</w:t>
      </w:r>
      <w:r w:rsidR="001C698B" w:rsidRPr="00472C9F">
        <w:rPr>
          <w:rFonts w:ascii="Calibri" w:hAnsi="Calibri" w:cs="Calibri"/>
          <w:sz w:val="24"/>
          <w:szCs w:val="24"/>
        </w:rPr>
        <w:t>, in line with Article 24 of the EU's Charter of Fundamental Rights.</w:t>
      </w:r>
      <w:r w:rsidR="00227E1E" w:rsidRPr="00472C9F">
        <w:rPr>
          <w:rStyle w:val="FootnoteReference"/>
          <w:rFonts w:ascii="Calibri" w:hAnsi="Calibri" w:cs="Calibri"/>
          <w:sz w:val="24"/>
          <w:szCs w:val="24"/>
        </w:rPr>
        <w:footnoteReference w:id="154"/>
      </w:r>
      <w:r w:rsidR="00D32047" w:rsidRPr="00472C9F">
        <w:rPr>
          <w:rFonts w:ascii="Calibri" w:hAnsi="Calibri" w:cs="Calibri"/>
          <w:sz w:val="24"/>
          <w:szCs w:val="24"/>
        </w:rPr>
        <w:t xml:space="preserve"> </w:t>
      </w:r>
      <w:r w:rsidR="003A635D" w:rsidRPr="00472C9F">
        <w:rPr>
          <w:rFonts w:ascii="Calibri" w:hAnsi="Calibri" w:cs="Calibri"/>
          <w:sz w:val="24"/>
          <w:szCs w:val="24"/>
        </w:rPr>
        <w:t xml:space="preserve">As part of </w:t>
      </w:r>
      <w:r w:rsidR="00CB7D21" w:rsidRPr="00472C9F">
        <w:rPr>
          <w:rFonts w:ascii="Calibri" w:hAnsi="Calibri" w:cs="Calibri"/>
          <w:sz w:val="24"/>
          <w:szCs w:val="24"/>
        </w:rPr>
        <w:t xml:space="preserve">soft law and </w:t>
      </w:r>
      <w:r w:rsidR="003A635D" w:rsidRPr="00472C9F">
        <w:rPr>
          <w:rFonts w:ascii="Calibri" w:hAnsi="Calibri" w:cs="Calibri"/>
          <w:sz w:val="24"/>
          <w:szCs w:val="24"/>
        </w:rPr>
        <w:t>the EU Commission’s 2020-2025 LGBTIQ equality strategy, Members of the European Parliament pushed the European Commission to craft a proposal to enshrine the cross-border rights of ‘rainbow families’ into EU law.</w:t>
      </w:r>
      <w:r w:rsidR="0007219C" w:rsidRPr="00472C9F">
        <w:rPr>
          <w:rStyle w:val="FootnoteReference"/>
          <w:rFonts w:ascii="Calibri" w:hAnsi="Calibri" w:cs="Calibri"/>
          <w:sz w:val="24"/>
          <w:szCs w:val="24"/>
        </w:rPr>
        <w:footnoteReference w:id="155"/>
      </w:r>
      <w:r w:rsidR="003A635D" w:rsidRPr="00472C9F">
        <w:rPr>
          <w:rFonts w:ascii="Calibri" w:hAnsi="Calibri" w:cs="Calibri"/>
          <w:sz w:val="24"/>
          <w:szCs w:val="24"/>
        </w:rPr>
        <w:t xml:space="preserve"> </w:t>
      </w:r>
      <w:r w:rsidR="001A0DF7" w:rsidRPr="00472C9F">
        <w:rPr>
          <w:rFonts w:ascii="Calibri" w:hAnsi="Calibri" w:cs="Calibri"/>
          <w:sz w:val="24"/>
          <w:szCs w:val="24"/>
        </w:rPr>
        <w:t>Yet</w:t>
      </w:r>
      <w:r w:rsidR="00D9427C" w:rsidRPr="00472C9F">
        <w:rPr>
          <w:rFonts w:ascii="Calibri" w:hAnsi="Calibri" w:cs="Calibri"/>
          <w:sz w:val="24"/>
          <w:szCs w:val="24"/>
        </w:rPr>
        <w:t>,</w:t>
      </w:r>
      <w:r w:rsidR="001A0DF7" w:rsidRPr="00472C9F">
        <w:rPr>
          <w:rFonts w:ascii="Calibri" w:hAnsi="Calibri" w:cs="Calibri"/>
          <w:sz w:val="24"/>
          <w:szCs w:val="24"/>
        </w:rPr>
        <w:t xml:space="preserve"> in the debate in parliament, </w:t>
      </w:r>
      <w:r w:rsidR="001A0DF7" w:rsidRPr="00472C9F">
        <w:rPr>
          <w:rFonts w:ascii="Calibri" w:eastAsia="Times New Roman" w:hAnsi="Calibri" w:cs="Calibri"/>
          <w:sz w:val="24"/>
          <w:szCs w:val="24"/>
          <w:lang w:eastAsia="en-GB"/>
        </w:rPr>
        <w:t>whilst some MEPs urged the Commission to ‘pursue infringement proceedings and impose sanctions against states that do not comply with the CJEU ruling’</w:t>
      </w:r>
      <w:r w:rsidR="00D9427C" w:rsidRPr="00472C9F">
        <w:rPr>
          <w:rFonts w:ascii="Calibri" w:eastAsia="Times New Roman" w:hAnsi="Calibri" w:cs="Calibri"/>
          <w:sz w:val="24"/>
          <w:szCs w:val="24"/>
          <w:lang w:eastAsia="en-GB"/>
        </w:rPr>
        <w:t>,</w:t>
      </w:r>
      <w:r w:rsidR="001A0DF7" w:rsidRPr="00472C9F">
        <w:rPr>
          <w:rFonts w:ascii="Calibri" w:eastAsia="Times New Roman" w:hAnsi="Calibri" w:cs="Calibri"/>
          <w:sz w:val="24"/>
          <w:szCs w:val="24"/>
          <w:lang w:eastAsia="en-GB"/>
        </w:rPr>
        <w:t xml:space="preserve"> other MEPs stressed that ‘parenthood recognition rules currently fall under the competence of </w:t>
      </w:r>
      <w:r w:rsidR="000A22C8" w:rsidRPr="00472C9F">
        <w:rPr>
          <w:rFonts w:ascii="Calibri" w:eastAsia="Times New Roman" w:hAnsi="Calibri" w:cs="Calibri"/>
          <w:sz w:val="24"/>
          <w:szCs w:val="24"/>
          <w:lang w:eastAsia="en-GB"/>
        </w:rPr>
        <w:t>M</w:t>
      </w:r>
      <w:r w:rsidR="001A0DF7" w:rsidRPr="00472C9F">
        <w:rPr>
          <w:rFonts w:ascii="Calibri" w:eastAsia="Times New Roman" w:hAnsi="Calibri" w:cs="Calibri"/>
          <w:sz w:val="24"/>
          <w:szCs w:val="24"/>
          <w:lang w:eastAsia="en-GB"/>
        </w:rPr>
        <w:t xml:space="preserve">ember </w:t>
      </w:r>
      <w:r w:rsidR="000A22C8" w:rsidRPr="00472C9F">
        <w:rPr>
          <w:rFonts w:ascii="Calibri" w:eastAsia="Times New Roman" w:hAnsi="Calibri" w:cs="Calibri"/>
          <w:sz w:val="24"/>
          <w:szCs w:val="24"/>
          <w:lang w:eastAsia="en-GB"/>
        </w:rPr>
        <w:t>S</w:t>
      </w:r>
      <w:r w:rsidR="001A0DF7" w:rsidRPr="00472C9F">
        <w:rPr>
          <w:rFonts w:ascii="Calibri" w:eastAsia="Times New Roman" w:hAnsi="Calibri" w:cs="Calibri"/>
          <w:sz w:val="24"/>
          <w:szCs w:val="24"/>
          <w:lang w:eastAsia="en-GB"/>
        </w:rPr>
        <w:t>tates</w:t>
      </w:r>
      <w:r w:rsidR="00731727" w:rsidRPr="00472C9F">
        <w:rPr>
          <w:rFonts w:ascii="Calibri" w:eastAsia="Times New Roman" w:hAnsi="Calibri" w:cs="Calibri"/>
          <w:sz w:val="24"/>
          <w:szCs w:val="24"/>
          <w:lang w:eastAsia="en-GB"/>
        </w:rPr>
        <w:t>’ and expressed concerns about the Commission over</w:t>
      </w:r>
      <w:r w:rsidR="00B5046F" w:rsidRPr="00472C9F">
        <w:rPr>
          <w:rFonts w:ascii="Calibri" w:eastAsia="Times New Roman" w:hAnsi="Calibri" w:cs="Calibri"/>
          <w:sz w:val="24"/>
          <w:szCs w:val="24"/>
          <w:lang w:eastAsia="en-GB"/>
        </w:rPr>
        <w:t>-</w:t>
      </w:r>
      <w:r w:rsidR="00731727" w:rsidRPr="00472C9F">
        <w:rPr>
          <w:rFonts w:ascii="Calibri" w:eastAsia="Times New Roman" w:hAnsi="Calibri" w:cs="Calibri"/>
          <w:sz w:val="24"/>
          <w:szCs w:val="24"/>
          <w:lang w:eastAsia="en-GB"/>
        </w:rPr>
        <w:t>stepping its mandate.</w:t>
      </w:r>
      <w:r w:rsidR="00186664" w:rsidRPr="00472C9F">
        <w:rPr>
          <w:rStyle w:val="FootnoteReference"/>
          <w:rFonts w:ascii="Calibri" w:eastAsia="Times New Roman" w:hAnsi="Calibri" w:cs="Calibri"/>
          <w:sz w:val="24"/>
          <w:szCs w:val="24"/>
          <w:lang w:eastAsia="en-GB"/>
        </w:rPr>
        <w:footnoteReference w:id="156"/>
      </w:r>
      <w:r w:rsidR="001A0DF7" w:rsidRPr="00472C9F">
        <w:rPr>
          <w:rFonts w:ascii="Calibri" w:eastAsia="Times New Roman" w:hAnsi="Calibri" w:cs="Calibri"/>
          <w:sz w:val="24"/>
          <w:szCs w:val="24"/>
          <w:lang w:eastAsia="en-GB"/>
        </w:rPr>
        <w:t xml:space="preserve"> </w:t>
      </w:r>
      <w:r w:rsidR="003A635D" w:rsidRPr="00472C9F">
        <w:rPr>
          <w:rFonts w:ascii="Calibri" w:hAnsi="Calibri" w:cs="Calibri"/>
          <w:sz w:val="24"/>
          <w:szCs w:val="24"/>
        </w:rPr>
        <w:t xml:space="preserve">In </w:t>
      </w:r>
      <w:r w:rsidR="005924FD" w:rsidRPr="00472C9F">
        <w:rPr>
          <w:rFonts w:ascii="Calibri" w:hAnsi="Calibri" w:cs="Calibri"/>
          <w:sz w:val="24"/>
          <w:szCs w:val="24"/>
        </w:rPr>
        <w:t xml:space="preserve">December </w:t>
      </w:r>
      <w:r w:rsidR="003A635D" w:rsidRPr="00472C9F">
        <w:rPr>
          <w:rFonts w:ascii="Calibri" w:hAnsi="Calibri" w:cs="Calibri"/>
          <w:sz w:val="24"/>
          <w:szCs w:val="24"/>
        </w:rPr>
        <w:t xml:space="preserve">2022, the Commission proposed a </w:t>
      </w:r>
      <w:r w:rsidR="005924FD" w:rsidRPr="00472C9F">
        <w:rPr>
          <w:rFonts w:ascii="Calibri" w:hAnsi="Calibri" w:cs="Calibri"/>
          <w:sz w:val="24"/>
          <w:szCs w:val="24"/>
        </w:rPr>
        <w:t>Regulation</w:t>
      </w:r>
      <w:r w:rsidR="003A635D" w:rsidRPr="00472C9F">
        <w:rPr>
          <w:rFonts w:ascii="Calibri" w:hAnsi="Calibri" w:cs="Calibri"/>
          <w:sz w:val="24"/>
          <w:szCs w:val="24"/>
        </w:rPr>
        <w:t xml:space="preserve"> to support the mutual recognition of parenthood between Member States</w:t>
      </w:r>
      <w:r w:rsidR="00992616" w:rsidRPr="00472C9F">
        <w:rPr>
          <w:rFonts w:ascii="Calibri" w:hAnsi="Calibri" w:cs="Calibri"/>
          <w:sz w:val="24"/>
          <w:szCs w:val="24"/>
        </w:rPr>
        <w:t>,</w:t>
      </w:r>
      <w:r w:rsidR="000F7255" w:rsidRPr="00472C9F">
        <w:rPr>
          <w:rStyle w:val="FootnoteReference"/>
          <w:rFonts w:ascii="Calibri" w:hAnsi="Calibri" w:cs="Calibri"/>
          <w:sz w:val="24"/>
          <w:szCs w:val="24"/>
        </w:rPr>
        <w:footnoteReference w:id="157"/>
      </w:r>
      <w:r w:rsidR="00992616" w:rsidRPr="00472C9F">
        <w:rPr>
          <w:rFonts w:ascii="Calibri" w:hAnsi="Calibri" w:cs="Calibri"/>
          <w:sz w:val="24"/>
          <w:szCs w:val="24"/>
        </w:rPr>
        <w:t xml:space="preserve"> although acceptance is not likely given that unanimity from Member States is required.</w:t>
      </w:r>
      <w:r w:rsidR="00992616" w:rsidRPr="00472C9F">
        <w:rPr>
          <w:rStyle w:val="FootnoteReference"/>
          <w:rFonts w:ascii="Calibri" w:hAnsi="Calibri" w:cs="Calibri"/>
          <w:sz w:val="24"/>
          <w:szCs w:val="24"/>
        </w:rPr>
        <w:footnoteReference w:id="158"/>
      </w:r>
      <w:r w:rsidR="003A635D" w:rsidRPr="00472C9F">
        <w:rPr>
          <w:rFonts w:ascii="Calibri" w:hAnsi="Calibri" w:cs="Calibri"/>
          <w:sz w:val="24"/>
          <w:szCs w:val="24"/>
        </w:rPr>
        <w:t xml:space="preserve"> </w:t>
      </w:r>
    </w:p>
    <w:p w14:paraId="09E00A4D" w14:textId="77777777" w:rsidR="008E0705" w:rsidRDefault="008E0705" w:rsidP="0059780E">
      <w:pPr>
        <w:spacing w:after="0" w:line="360" w:lineRule="auto"/>
        <w:jc w:val="both"/>
        <w:rPr>
          <w:rFonts w:ascii="Calibri" w:hAnsi="Calibri" w:cs="Calibri"/>
          <w:sz w:val="24"/>
          <w:szCs w:val="24"/>
        </w:rPr>
      </w:pPr>
    </w:p>
    <w:p w14:paraId="118D4AB4" w14:textId="301C23EF" w:rsidR="008709AE" w:rsidRDefault="00165755" w:rsidP="0059780E">
      <w:pPr>
        <w:spacing w:after="0" w:line="360" w:lineRule="auto"/>
        <w:jc w:val="both"/>
        <w:rPr>
          <w:rFonts w:ascii="Calibri" w:hAnsi="Calibri" w:cs="Calibri"/>
          <w:sz w:val="24"/>
          <w:szCs w:val="24"/>
        </w:rPr>
      </w:pPr>
      <w:r w:rsidRPr="00472C9F">
        <w:rPr>
          <w:rFonts w:ascii="Calibri" w:hAnsi="Calibri" w:cs="Calibri"/>
          <w:sz w:val="24"/>
          <w:szCs w:val="24"/>
        </w:rPr>
        <w:t>This action by the EU and c</w:t>
      </w:r>
      <w:r w:rsidR="004B0F99" w:rsidRPr="00472C9F">
        <w:rPr>
          <w:rFonts w:ascii="Calibri" w:hAnsi="Calibri" w:cs="Calibri"/>
          <w:sz w:val="24"/>
          <w:szCs w:val="24"/>
        </w:rPr>
        <w:t>ase</w:t>
      </w:r>
      <w:r w:rsidRPr="00472C9F">
        <w:rPr>
          <w:rFonts w:ascii="Calibri" w:hAnsi="Calibri" w:cs="Calibri"/>
          <w:sz w:val="24"/>
          <w:szCs w:val="24"/>
        </w:rPr>
        <w:t xml:space="preserve"> law</w:t>
      </w:r>
      <w:r w:rsidR="004B0F99" w:rsidRPr="00472C9F">
        <w:rPr>
          <w:rFonts w:ascii="Calibri" w:hAnsi="Calibri" w:cs="Calibri"/>
          <w:sz w:val="24"/>
          <w:szCs w:val="24"/>
        </w:rPr>
        <w:t xml:space="preserve"> </w:t>
      </w:r>
      <w:r w:rsidR="00E51E58" w:rsidRPr="00472C9F">
        <w:rPr>
          <w:rFonts w:ascii="Calibri" w:hAnsi="Calibri" w:cs="Calibri"/>
          <w:sz w:val="24"/>
          <w:szCs w:val="24"/>
        </w:rPr>
        <w:t xml:space="preserve">from the CJEU </w:t>
      </w:r>
      <w:r w:rsidR="004B0F99" w:rsidRPr="00472C9F">
        <w:rPr>
          <w:rFonts w:ascii="Calibri" w:hAnsi="Calibri" w:cs="Calibri"/>
          <w:sz w:val="24"/>
          <w:szCs w:val="24"/>
        </w:rPr>
        <w:t>are successes for rainbow famil</w:t>
      </w:r>
      <w:r w:rsidR="00E51E58" w:rsidRPr="00472C9F">
        <w:rPr>
          <w:rFonts w:ascii="Calibri" w:hAnsi="Calibri" w:cs="Calibri"/>
          <w:sz w:val="24"/>
          <w:szCs w:val="24"/>
        </w:rPr>
        <w:t>ies</w:t>
      </w:r>
      <w:r w:rsidR="001C698B" w:rsidRPr="00472C9F">
        <w:rPr>
          <w:rFonts w:ascii="Calibri" w:hAnsi="Calibri" w:cs="Calibri"/>
          <w:sz w:val="24"/>
          <w:szCs w:val="24"/>
        </w:rPr>
        <w:t xml:space="preserve"> and</w:t>
      </w:r>
      <w:r w:rsidR="004B0F99" w:rsidRPr="00472C9F">
        <w:rPr>
          <w:rFonts w:ascii="Calibri" w:hAnsi="Calibri" w:cs="Calibri"/>
          <w:sz w:val="24"/>
          <w:szCs w:val="24"/>
        </w:rPr>
        <w:t xml:space="preserve"> go some way to ameliorating </w:t>
      </w:r>
      <w:proofErr w:type="spellStart"/>
      <w:r w:rsidR="004B0F99" w:rsidRPr="00472C9F">
        <w:rPr>
          <w:rFonts w:ascii="Calibri" w:hAnsi="Calibri" w:cs="Calibri"/>
          <w:sz w:val="24"/>
          <w:szCs w:val="24"/>
        </w:rPr>
        <w:t>Tryfonidou’s</w:t>
      </w:r>
      <w:proofErr w:type="spellEnd"/>
      <w:r w:rsidR="004B0F99" w:rsidRPr="00472C9F">
        <w:rPr>
          <w:rFonts w:ascii="Calibri" w:hAnsi="Calibri" w:cs="Calibri"/>
          <w:sz w:val="24"/>
          <w:szCs w:val="24"/>
        </w:rPr>
        <w:t xml:space="preserve"> pre-existing concerns that in not recognising rainbow families, ‘the legal ties binding their members are put in </w:t>
      </w:r>
      <w:r w:rsidR="00F427BC" w:rsidRPr="00472C9F">
        <w:rPr>
          <w:rFonts w:ascii="Calibri" w:hAnsi="Calibri" w:cs="Calibri"/>
          <w:sz w:val="24"/>
          <w:szCs w:val="24"/>
        </w:rPr>
        <w:t>jeopardy</w:t>
      </w:r>
      <w:r w:rsidR="00710996" w:rsidRPr="00472C9F">
        <w:rPr>
          <w:rFonts w:ascii="Calibri" w:hAnsi="Calibri" w:cs="Calibri"/>
          <w:sz w:val="24"/>
          <w:szCs w:val="24"/>
        </w:rPr>
        <w:t>’.</w:t>
      </w:r>
      <w:r w:rsidR="004B0F99" w:rsidRPr="00472C9F">
        <w:rPr>
          <w:rStyle w:val="FootnoteReference"/>
          <w:rFonts w:ascii="Calibri" w:hAnsi="Calibri" w:cs="Calibri"/>
          <w:sz w:val="24"/>
          <w:szCs w:val="24"/>
        </w:rPr>
        <w:footnoteReference w:id="159"/>
      </w:r>
      <w:r w:rsidR="004B0F99" w:rsidRPr="00472C9F">
        <w:rPr>
          <w:rFonts w:ascii="Calibri" w:hAnsi="Calibri" w:cs="Calibri"/>
          <w:sz w:val="24"/>
          <w:szCs w:val="24"/>
        </w:rPr>
        <w:t xml:space="preserve"> Yet there are clear limitations with EU</w:t>
      </w:r>
      <w:r w:rsidR="00F427BC" w:rsidRPr="00472C9F">
        <w:rPr>
          <w:rFonts w:ascii="Calibri" w:hAnsi="Calibri" w:cs="Calibri"/>
          <w:sz w:val="24"/>
          <w:szCs w:val="24"/>
        </w:rPr>
        <w:t xml:space="preserve"> law</w:t>
      </w:r>
      <w:r w:rsidR="004B0F99" w:rsidRPr="00472C9F">
        <w:rPr>
          <w:rFonts w:ascii="Calibri" w:hAnsi="Calibri" w:cs="Calibri"/>
          <w:sz w:val="24"/>
          <w:szCs w:val="24"/>
        </w:rPr>
        <w:t xml:space="preserve">. </w:t>
      </w:r>
      <w:r w:rsidR="00E556D9" w:rsidRPr="00472C9F">
        <w:rPr>
          <w:rFonts w:ascii="Calibri" w:hAnsi="Calibri" w:cs="Calibri"/>
          <w:sz w:val="24"/>
          <w:szCs w:val="24"/>
        </w:rPr>
        <w:t xml:space="preserve">The proposed EU Regulation would only </w:t>
      </w:r>
      <w:r w:rsidR="00B5046F" w:rsidRPr="00472C9F">
        <w:rPr>
          <w:rFonts w:ascii="Calibri" w:hAnsi="Calibri" w:cs="Calibri"/>
          <w:sz w:val="24"/>
          <w:szCs w:val="24"/>
        </w:rPr>
        <w:t>a</w:t>
      </w:r>
      <w:r w:rsidR="00E556D9" w:rsidRPr="00472C9F">
        <w:rPr>
          <w:rFonts w:ascii="Calibri" w:hAnsi="Calibri" w:cs="Calibri"/>
          <w:sz w:val="24"/>
          <w:szCs w:val="24"/>
        </w:rPr>
        <w:t xml:space="preserve">ffect </w:t>
      </w:r>
      <w:r w:rsidR="00B5046F" w:rsidRPr="00472C9F">
        <w:rPr>
          <w:rFonts w:ascii="Calibri" w:hAnsi="Calibri" w:cs="Calibri"/>
          <w:sz w:val="24"/>
          <w:szCs w:val="24"/>
        </w:rPr>
        <w:t>r</w:t>
      </w:r>
      <w:r w:rsidR="00E1184E" w:rsidRPr="00472C9F">
        <w:rPr>
          <w:rFonts w:ascii="Calibri" w:hAnsi="Calibri" w:cs="Calibri"/>
          <w:sz w:val="24"/>
          <w:szCs w:val="24"/>
        </w:rPr>
        <w:t xml:space="preserve">ainbow </w:t>
      </w:r>
      <w:r w:rsidR="00B5046F" w:rsidRPr="00472C9F">
        <w:rPr>
          <w:rFonts w:ascii="Calibri" w:hAnsi="Calibri" w:cs="Calibri"/>
          <w:sz w:val="24"/>
          <w:szCs w:val="24"/>
        </w:rPr>
        <w:t>f</w:t>
      </w:r>
      <w:r w:rsidR="00E1184E" w:rsidRPr="00472C9F">
        <w:rPr>
          <w:rFonts w:ascii="Calibri" w:hAnsi="Calibri" w:cs="Calibri"/>
          <w:sz w:val="24"/>
          <w:szCs w:val="24"/>
        </w:rPr>
        <w:t xml:space="preserve">amilies who move </w:t>
      </w:r>
      <w:r w:rsidR="00B5046F" w:rsidRPr="00472C9F">
        <w:rPr>
          <w:rFonts w:ascii="Calibri" w:hAnsi="Calibri" w:cs="Calibri"/>
          <w:sz w:val="24"/>
          <w:szCs w:val="24"/>
        </w:rPr>
        <w:t>a</w:t>
      </w:r>
      <w:r w:rsidR="00E1184E" w:rsidRPr="00472C9F">
        <w:rPr>
          <w:rFonts w:ascii="Calibri" w:hAnsi="Calibri" w:cs="Calibri"/>
          <w:sz w:val="24"/>
          <w:szCs w:val="24"/>
        </w:rPr>
        <w:t>cross border</w:t>
      </w:r>
      <w:r w:rsidR="00DD720A" w:rsidRPr="00472C9F">
        <w:rPr>
          <w:rFonts w:ascii="Calibri" w:hAnsi="Calibri" w:cs="Calibri"/>
          <w:sz w:val="24"/>
          <w:szCs w:val="24"/>
        </w:rPr>
        <w:t>s</w:t>
      </w:r>
      <w:r w:rsidR="00E1184E" w:rsidRPr="00472C9F">
        <w:rPr>
          <w:rFonts w:ascii="Calibri" w:hAnsi="Calibri" w:cs="Calibri"/>
          <w:sz w:val="24"/>
          <w:szCs w:val="24"/>
        </w:rPr>
        <w:t xml:space="preserve"> where EU freedom of movement provisions come into play. EU law does not apply to recognition of family member status in purely ‘internal situations’ </w:t>
      </w:r>
      <w:r w:rsidR="001C698B" w:rsidRPr="00472C9F">
        <w:rPr>
          <w:rFonts w:ascii="Calibri" w:hAnsi="Calibri" w:cs="Calibri"/>
          <w:sz w:val="24"/>
          <w:szCs w:val="24"/>
        </w:rPr>
        <w:t>where</w:t>
      </w:r>
      <w:r w:rsidR="00E1184E" w:rsidRPr="00472C9F">
        <w:rPr>
          <w:rFonts w:ascii="Calibri" w:hAnsi="Calibri" w:cs="Calibri"/>
          <w:sz w:val="24"/>
          <w:szCs w:val="24"/>
        </w:rPr>
        <w:t xml:space="preserve"> the coupl</w:t>
      </w:r>
      <w:r w:rsidR="002A2604" w:rsidRPr="00472C9F">
        <w:rPr>
          <w:rFonts w:ascii="Calibri" w:hAnsi="Calibri" w:cs="Calibri"/>
          <w:sz w:val="24"/>
          <w:szCs w:val="24"/>
        </w:rPr>
        <w:t>e</w:t>
      </w:r>
      <w:r w:rsidR="00E1184E" w:rsidRPr="00472C9F">
        <w:rPr>
          <w:rFonts w:ascii="Calibri" w:hAnsi="Calibri" w:cs="Calibri"/>
          <w:sz w:val="24"/>
          <w:szCs w:val="24"/>
        </w:rPr>
        <w:t xml:space="preserve"> in question ha</w:t>
      </w:r>
      <w:r w:rsidR="001C698B" w:rsidRPr="00472C9F">
        <w:rPr>
          <w:rFonts w:ascii="Calibri" w:hAnsi="Calibri" w:cs="Calibri"/>
          <w:sz w:val="24"/>
          <w:szCs w:val="24"/>
        </w:rPr>
        <w:t>s</w:t>
      </w:r>
      <w:r w:rsidR="00E1184E" w:rsidRPr="00472C9F">
        <w:rPr>
          <w:rFonts w:ascii="Calibri" w:hAnsi="Calibri" w:cs="Calibri"/>
          <w:sz w:val="24"/>
          <w:szCs w:val="24"/>
        </w:rPr>
        <w:t xml:space="preserve"> not moved </w:t>
      </w:r>
      <w:r w:rsidR="001C698B" w:rsidRPr="00472C9F">
        <w:rPr>
          <w:rFonts w:ascii="Calibri" w:hAnsi="Calibri" w:cs="Calibri"/>
          <w:sz w:val="24"/>
          <w:szCs w:val="24"/>
        </w:rPr>
        <w:t xml:space="preserve">cross-border </w:t>
      </w:r>
      <w:r w:rsidR="00E1184E" w:rsidRPr="00472C9F">
        <w:rPr>
          <w:rFonts w:ascii="Calibri" w:hAnsi="Calibri" w:cs="Calibri"/>
          <w:sz w:val="24"/>
          <w:szCs w:val="24"/>
        </w:rPr>
        <w:t>and ha</w:t>
      </w:r>
      <w:r w:rsidR="00B5046F" w:rsidRPr="00472C9F">
        <w:rPr>
          <w:rFonts w:ascii="Calibri" w:hAnsi="Calibri" w:cs="Calibri"/>
          <w:sz w:val="24"/>
          <w:szCs w:val="24"/>
        </w:rPr>
        <w:t>s</w:t>
      </w:r>
      <w:r w:rsidR="00E1184E" w:rsidRPr="00472C9F">
        <w:rPr>
          <w:rFonts w:ascii="Calibri" w:hAnsi="Calibri" w:cs="Calibri"/>
          <w:sz w:val="24"/>
          <w:szCs w:val="24"/>
        </w:rPr>
        <w:t xml:space="preserve"> no connection with EU </w:t>
      </w:r>
      <w:r w:rsidR="001C698B" w:rsidRPr="00472C9F">
        <w:rPr>
          <w:rFonts w:ascii="Calibri" w:hAnsi="Calibri" w:cs="Calibri"/>
          <w:sz w:val="24"/>
          <w:szCs w:val="24"/>
        </w:rPr>
        <w:t>law</w:t>
      </w:r>
      <w:r w:rsidR="00E1184E" w:rsidRPr="00472C9F">
        <w:rPr>
          <w:rFonts w:ascii="Calibri" w:hAnsi="Calibri" w:cs="Calibri"/>
          <w:sz w:val="24"/>
          <w:szCs w:val="24"/>
        </w:rPr>
        <w:t xml:space="preserve">. </w:t>
      </w:r>
      <w:r w:rsidR="004B0F99" w:rsidRPr="00472C9F">
        <w:rPr>
          <w:rFonts w:ascii="Calibri" w:hAnsi="Calibri" w:cs="Calibri"/>
          <w:sz w:val="24"/>
          <w:szCs w:val="24"/>
        </w:rPr>
        <w:t>Hence</w:t>
      </w:r>
      <w:r w:rsidR="00D9427C" w:rsidRPr="00472C9F">
        <w:rPr>
          <w:rFonts w:ascii="Calibri" w:hAnsi="Calibri" w:cs="Calibri"/>
          <w:sz w:val="24"/>
          <w:szCs w:val="24"/>
        </w:rPr>
        <w:t>,</w:t>
      </w:r>
      <w:r w:rsidR="004B0F99" w:rsidRPr="00472C9F">
        <w:rPr>
          <w:rFonts w:ascii="Calibri" w:hAnsi="Calibri" w:cs="Calibri"/>
          <w:sz w:val="24"/>
          <w:szCs w:val="24"/>
        </w:rPr>
        <w:t xml:space="preserve"> </w:t>
      </w:r>
      <w:r w:rsidR="00717374" w:rsidRPr="00472C9F">
        <w:rPr>
          <w:rFonts w:ascii="Calibri" w:hAnsi="Calibri" w:cs="Calibri"/>
          <w:sz w:val="24"/>
          <w:szCs w:val="24"/>
        </w:rPr>
        <w:t xml:space="preserve">whilst </w:t>
      </w:r>
      <w:r w:rsidR="004B0F99" w:rsidRPr="00472C9F">
        <w:rPr>
          <w:rFonts w:ascii="Calibri" w:hAnsi="Calibri" w:cs="Calibri"/>
          <w:sz w:val="24"/>
          <w:szCs w:val="24"/>
        </w:rPr>
        <w:t xml:space="preserve">EU </w:t>
      </w:r>
      <w:r w:rsidR="00717374" w:rsidRPr="00472C9F">
        <w:rPr>
          <w:rFonts w:ascii="Calibri" w:hAnsi="Calibri" w:cs="Calibri"/>
          <w:sz w:val="24"/>
          <w:szCs w:val="24"/>
        </w:rPr>
        <w:t xml:space="preserve">institutions can </w:t>
      </w:r>
      <w:r w:rsidR="00F2724A" w:rsidRPr="00472C9F">
        <w:rPr>
          <w:rFonts w:ascii="Calibri" w:hAnsi="Calibri" w:cs="Calibri"/>
          <w:sz w:val="24"/>
          <w:szCs w:val="24"/>
        </w:rPr>
        <w:t xml:space="preserve">aspire towards </w:t>
      </w:r>
      <w:r w:rsidR="007B3A74" w:rsidRPr="00472C9F">
        <w:rPr>
          <w:rFonts w:ascii="Calibri" w:hAnsi="Calibri" w:cs="Calibri"/>
          <w:sz w:val="24"/>
          <w:szCs w:val="24"/>
        </w:rPr>
        <w:t xml:space="preserve">greater rights for lesbians and gays as part of the </w:t>
      </w:r>
      <w:r w:rsidR="007B3A74" w:rsidRPr="00472C9F">
        <w:rPr>
          <w:rFonts w:ascii="Calibri" w:hAnsi="Calibri" w:cs="Calibri"/>
          <w:sz w:val="24"/>
          <w:szCs w:val="24"/>
        </w:rPr>
        <w:lastRenderedPageBreak/>
        <w:t>soft law strategy</w:t>
      </w:r>
      <w:r w:rsidR="00614C03" w:rsidRPr="00472C9F">
        <w:rPr>
          <w:rFonts w:ascii="Calibri" w:hAnsi="Calibri" w:cs="Calibri"/>
          <w:sz w:val="24"/>
          <w:szCs w:val="24"/>
        </w:rPr>
        <w:t xml:space="preserve"> under the </w:t>
      </w:r>
      <w:r w:rsidR="00614C03" w:rsidRPr="00472C9F">
        <w:rPr>
          <w:rFonts w:ascii="Calibri" w:eastAsia="Times New Roman" w:hAnsi="Calibri" w:cs="Calibri"/>
          <w:sz w:val="24"/>
          <w:szCs w:val="24"/>
          <w:lang w:eastAsia="en-GB"/>
        </w:rPr>
        <w:t>LGBTIQ Equality Strategy 2020-2025</w:t>
      </w:r>
      <w:r w:rsidR="00717374" w:rsidRPr="00472C9F">
        <w:rPr>
          <w:rFonts w:ascii="Calibri" w:hAnsi="Calibri" w:cs="Calibri"/>
          <w:sz w:val="24"/>
          <w:szCs w:val="24"/>
        </w:rPr>
        <w:t>, they ca</w:t>
      </w:r>
      <w:r w:rsidR="009330C8" w:rsidRPr="00472C9F">
        <w:rPr>
          <w:rFonts w:ascii="Calibri" w:hAnsi="Calibri" w:cs="Calibri"/>
          <w:sz w:val="24"/>
          <w:szCs w:val="24"/>
        </w:rPr>
        <w:t>n</w:t>
      </w:r>
      <w:r w:rsidR="004B0F99" w:rsidRPr="00472C9F">
        <w:rPr>
          <w:rFonts w:ascii="Calibri" w:hAnsi="Calibri" w:cs="Calibri"/>
          <w:sz w:val="24"/>
          <w:szCs w:val="24"/>
        </w:rPr>
        <w:t xml:space="preserve">not make </w:t>
      </w:r>
      <w:r w:rsidR="000A22C8" w:rsidRPr="00472C9F">
        <w:rPr>
          <w:rFonts w:ascii="Calibri" w:hAnsi="Calibri" w:cs="Calibri"/>
          <w:sz w:val="24"/>
          <w:szCs w:val="24"/>
        </w:rPr>
        <w:t>M</w:t>
      </w:r>
      <w:r w:rsidR="004B0F99" w:rsidRPr="00472C9F">
        <w:rPr>
          <w:rFonts w:ascii="Calibri" w:hAnsi="Calibri" w:cs="Calibri"/>
          <w:sz w:val="24"/>
          <w:szCs w:val="24"/>
        </w:rPr>
        <w:t xml:space="preserve">ember </w:t>
      </w:r>
      <w:r w:rsidR="000A22C8" w:rsidRPr="00472C9F">
        <w:rPr>
          <w:rFonts w:ascii="Calibri" w:hAnsi="Calibri" w:cs="Calibri"/>
          <w:sz w:val="24"/>
          <w:szCs w:val="24"/>
        </w:rPr>
        <w:t>S</w:t>
      </w:r>
      <w:r w:rsidR="004B0F99" w:rsidRPr="00472C9F">
        <w:rPr>
          <w:rFonts w:ascii="Calibri" w:hAnsi="Calibri" w:cs="Calibri"/>
          <w:sz w:val="24"/>
          <w:szCs w:val="24"/>
        </w:rPr>
        <w:t xml:space="preserve">tates legalise same-sex marriage or allow same-sex couples in their territory to </w:t>
      </w:r>
      <w:r w:rsidR="00D36EA7" w:rsidRPr="00472C9F">
        <w:rPr>
          <w:rFonts w:ascii="Calibri" w:hAnsi="Calibri" w:cs="Calibri"/>
          <w:sz w:val="24"/>
          <w:szCs w:val="24"/>
        </w:rPr>
        <w:t>become</w:t>
      </w:r>
      <w:r w:rsidR="004B0F99" w:rsidRPr="00472C9F">
        <w:rPr>
          <w:rFonts w:ascii="Calibri" w:hAnsi="Calibri" w:cs="Calibri"/>
          <w:sz w:val="24"/>
          <w:szCs w:val="24"/>
        </w:rPr>
        <w:t xml:space="preserve"> the de </w:t>
      </w:r>
      <w:r w:rsidR="00B34DE5">
        <w:rPr>
          <w:rFonts w:ascii="Calibri" w:hAnsi="Calibri" w:cs="Calibri"/>
          <w:sz w:val="24"/>
          <w:szCs w:val="24"/>
        </w:rPr>
        <w:t>jure</w:t>
      </w:r>
      <w:r w:rsidR="004B0F99" w:rsidRPr="00472C9F">
        <w:rPr>
          <w:rFonts w:ascii="Calibri" w:hAnsi="Calibri" w:cs="Calibri"/>
          <w:sz w:val="24"/>
          <w:szCs w:val="24"/>
        </w:rPr>
        <w:t xml:space="preserve"> joint parents of a child.</w:t>
      </w:r>
      <w:r w:rsidR="00E72D7E" w:rsidRPr="00472C9F">
        <w:rPr>
          <w:rFonts w:ascii="Calibri" w:hAnsi="Calibri" w:cs="Calibri"/>
          <w:sz w:val="24"/>
          <w:szCs w:val="24"/>
        </w:rPr>
        <w:t xml:space="preserve"> </w:t>
      </w:r>
      <w:r w:rsidR="00D51732" w:rsidRPr="00472C9F">
        <w:rPr>
          <w:rFonts w:ascii="Calibri" w:hAnsi="Calibri" w:cs="Calibri"/>
          <w:sz w:val="24"/>
          <w:szCs w:val="24"/>
        </w:rPr>
        <w:t xml:space="preserve">It </w:t>
      </w:r>
      <w:r w:rsidR="00A928CB" w:rsidRPr="00472C9F">
        <w:rPr>
          <w:rFonts w:ascii="Calibri" w:hAnsi="Calibri" w:cs="Calibri"/>
          <w:sz w:val="24"/>
          <w:szCs w:val="24"/>
        </w:rPr>
        <w:t>remains</w:t>
      </w:r>
      <w:r w:rsidR="00D51732" w:rsidRPr="00472C9F">
        <w:rPr>
          <w:rFonts w:ascii="Calibri" w:hAnsi="Calibri" w:cs="Calibri"/>
          <w:sz w:val="24"/>
          <w:szCs w:val="24"/>
        </w:rPr>
        <w:t xml:space="preserve"> true </w:t>
      </w:r>
      <w:r w:rsidR="004B0F99" w:rsidRPr="00472C9F">
        <w:rPr>
          <w:rFonts w:ascii="Calibri" w:hAnsi="Calibri" w:cs="Calibri"/>
          <w:sz w:val="24"/>
          <w:szCs w:val="24"/>
        </w:rPr>
        <w:t xml:space="preserve">that the nuclear family, consisting of different-sex married spouses and their </w:t>
      </w:r>
      <w:proofErr w:type="gramStart"/>
      <w:r w:rsidR="004B0F99" w:rsidRPr="00472C9F">
        <w:rPr>
          <w:rFonts w:ascii="Calibri" w:hAnsi="Calibri" w:cs="Calibri"/>
          <w:sz w:val="24"/>
          <w:szCs w:val="24"/>
        </w:rPr>
        <w:t>biologically-linked</w:t>
      </w:r>
      <w:proofErr w:type="gramEnd"/>
      <w:r w:rsidR="004B0F99" w:rsidRPr="00472C9F">
        <w:rPr>
          <w:rFonts w:ascii="Calibri" w:hAnsi="Calibri" w:cs="Calibri"/>
          <w:sz w:val="24"/>
          <w:szCs w:val="24"/>
        </w:rPr>
        <w:t xml:space="preserve"> children</w:t>
      </w:r>
      <w:r w:rsidR="00B5046F" w:rsidRPr="00472C9F">
        <w:rPr>
          <w:rFonts w:ascii="Calibri" w:hAnsi="Calibri" w:cs="Calibri"/>
          <w:sz w:val="24"/>
          <w:szCs w:val="24"/>
        </w:rPr>
        <w:t>,</w:t>
      </w:r>
      <w:r w:rsidR="00A928CB" w:rsidRPr="00472C9F">
        <w:rPr>
          <w:rFonts w:ascii="Calibri" w:hAnsi="Calibri" w:cs="Calibri"/>
          <w:sz w:val="24"/>
          <w:szCs w:val="24"/>
        </w:rPr>
        <w:t xml:space="preserve"> is </w:t>
      </w:r>
      <w:r w:rsidR="00633C53" w:rsidRPr="00472C9F">
        <w:rPr>
          <w:rFonts w:ascii="Calibri" w:hAnsi="Calibri" w:cs="Calibri"/>
          <w:sz w:val="24"/>
          <w:szCs w:val="24"/>
        </w:rPr>
        <w:t>‘</w:t>
      </w:r>
      <w:r w:rsidR="004B0F99" w:rsidRPr="00472C9F">
        <w:rPr>
          <w:rFonts w:ascii="Calibri" w:hAnsi="Calibri" w:cs="Calibri"/>
          <w:sz w:val="24"/>
          <w:szCs w:val="24"/>
        </w:rPr>
        <w:t>the gold standard</w:t>
      </w:r>
      <w:r w:rsidR="00633C53" w:rsidRPr="00472C9F">
        <w:rPr>
          <w:rFonts w:ascii="Calibri" w:hAnsi="Calibri" w:cs="Calibri"/>
          <w:sz w:val="24"/>
          <w:szCs w:val="24"/>
        </w:rPr>
        <w:t>’</w:t>
      </w:r>
      <w:r w:rsidR="004B0F99" w:rsidRPr="00472C9F">
        <w:rPr>
          <w:rFonts w:ascii="Calibri" w:hAnsi="Calibri" w:cs="Calibri"/>
          <w:sz w:val="24"/>
          <w:szCs w:val="24"/>
        </w:rPr>
        <w:t>.</w:t>
      </w:r>
      <w:r w:rsidR="004B0F99" w:rsidRPr="00472C9F">
        <w:rPr>
          <w:rStyle w:val="FootnoteReference"/>
          <w:rFonts w:ascii="Calibri" w:hAnsi="Calibri" w:cs="Calibri"/>
          <w:sz w:val="24"/>
          <w:szCs w:val="24"/>
        </w:rPr>
        <w:footnoteReference w:id="160"/>
      </w:r>
      <w:r w:rsidR="000F426D" w:rsidRPr="00472C9F">
        <w:rPr>
          <w:rFonts w:ascii="Calibri" w:hAnsi="Calibri" w:cs="Calibri"/>
          <w:sz w:val="24"/>
          <w:szCs w:val="24"/>
        </w:rPr>
        <w:t xml:space="preserve"> </w:t>
      </w:r>
    </w:p>
    <w:p w14:paraId="2921CB2B" w14:textId="77777777" w:rsidR="008E0705" w:rsidRDefault="008E0705" w:rsidP="0059780E">
      <w:pPr>
        <w:spacing w:after="0" w:line="360" w:lineRule="auto"/>
        <w:jc w:val="both"/>
        <w:rPr>
          <w:rFonts w:ascii="Calibri" w:hAnsi="Calibri" w:cs="Calibri"/>
          <w:sz w:val="24"/>
          <w:szCs w:val="24"/>
        </w:rPr>
      </w:pPr>
    </w:p>
    <w:p w14:paraId="0D9C043A" w14:textId="3B60E1A1" w:rsidR="00AE1C23" w:rsidRPr="00472C9F" w:rsidRDefault="002C62A9" w:rsidP="00570ECB">
      <w:pPr>
        <w:pStyle w:val="Heading2"/>
      </w:pPr>
      <w:r>
        <w:t xml:space="preserve">5. </w:t>
      </w:r>
      <w:r w:rsidR="00C54793" w:rsidRPr="00472C9F">
        <w:t xml:space="preserve">EU Citizenship Rights for </w:t>
      </w:r>
      <w:r w:rsidR="009C15AD" w:rsidRPr="00472C9F">
        <w:t xml:space="preserve">EU Citizen </w:t>
      </w:r>
      <w:r w:rsidR="00C54793" w:rsidRPr="00472C9F">
        <w:t>Stayers</w:t>
      </w:r>
      <w:r w:rsidR="000B701D" w:rsidRPr="00472C9F">
        <w:t xml:space="preserve"> </w:t>
      </w:r>
    </w:p>
    <w:p w14:paraId="33408E07" w14:textId="3271DA15" w:rsidR="00CC1B27" w:rsidRPr="00472C9F" w:rsidRDefault="00046A9D" w:rsidP="0059780E">
      <w:pPr>
        <w:spacing w:after="0" w:line="360" w:lineRule="auto"/>
        <w:jc w:val="both"/>
        <w:rPr>
          <w:rFonts w:ascii="Calibri" w:hAnsi="Calibri" w:cs="Calibri"/>
          <w:color w:val="000000"/>
          <w:sz w:val="24"/>
          <w:szCs w:val="24"/>
        </w:rPr>
      </w:pPr>
      <w:r w:rsidRPr="00472C9F">
        <w:rPr>
          <w:rFonts w:ascii="Calibri" w:hAnsi="Calibri" w:cs="Calibri"/>
          <w:sz w:val="24"/>
          <w:szCs w:val="24"/>
        </w:rPr>
        <w:t xml:space="preserve">As </w:t>
      </w:r>
      <w:r w:rsidR="00C557F6" w:rsidRPr="00472C9F">
        <w:rPr>
          <w:rFonts w:ascii="Calibri" w:hAnsi="Calibri" w:cs="Calibri"/>
          <w:sz w:val="24"/>
          <w:szCs w:val="24"/>
        </w:rPr>
        <w:t xml:space="preserve">previously </w:t>
      </w:r>
      <w:r w:rsidR="00633C53" w:rsidRPr="00472C9F">
        <w:rPr>
          <w:rFonts w:ascii="Calibri" w:hAnsi="Calibri" w:cs="Calibri"/>
          <w:sz w:val="24"/>
          <w:szCs w:val="24"/>
        </w:rPr>
        <w:t>stated</w:t>
      </w:r>
      <w:r w:rsidR="00AE1C23" w:rsidRPr="00472C9F">
        <w:rPr>
          <w:rFonts w:ascii="Calibri" w:hAnsi="Calibri" w:cs="Calibri"/>
          <w:sz w:val="24"/>
          <w:szCs w:val="24"/>
        </w:rPr>
        <w:t xml:space="preserve">, </w:t>
      </w:r>
      <w:r w:rsidRPr="00472C9F">
        <w:rPr>
          <w:rFonts w:ascii="Calibri" w:hAnsi="Calibri" w:cs="Calibri"/>
          <w:sz w:val="24"/>
          <w:szCs w:val="24"/>
        </w:rPr>
        <w:t xml:space="preserve">in practice it is only </w:t>
      </w:r>
      <w:r w:rsidR="00C27A7C" w:rsidRPr="00472C9F">
        <w:rPr>
          <w:rFonts w:ascii="Calibri" w:hAnsi="Calibri" w:cs="Calibri"/>
          <w:sz w:val="24"/>
          <w:szCs w:val="24"/>
        </w:rPr>
        <w:t>a minority</w:t>
      </w:r>
      <w:r w:rsidRPr="00472C9F">
        <w:rPr>
          <w:rFonts w:ascii="Calibri" w:hAnsi="Calibri" w:cs="Calibri"/>
          <w:sz w:val="24"/>
          <w:szCs w:val="24"/>
        </w:rPr>
        <w:t xml:space="preserve"> o</w:t>
      </w:r>
      <w:r w:rsidR="00C27A7C" w:rsidRPr="00472C9F">
        <w:rPr>
          <w:rFonts w:ascii="Calibri" w:hAnsi="Calibri" w:cs="Calibri"/>
          <w:sz w:val="24"/>
          <w:szCs w:val="24"/>
        </w:rPr>
        <w:t>f</w:t>
      </w:r>
      <w:r w:rsidRPr="00472C9F">
        <w:rPr>
          <w:rFonts w:ascii="Calibri" w:hAnsi="Calibri" w:cs="Calibri"/>
          <w:sz w:val="24"/>
          <w:szCs w:val="24"/>
        </w:rPr>
        <w:t xml:space="preserve"> EU citizens who </w:t>
      </w:r>
      <w:proofErr w:type="gramStart"/>
      <w:r w:rsidRPr="00472C9F">
        <w:rPr>
          <w:rFonts w:ascii="Calibri" w:hAnsi="Calibri" w:cs="Calibri"/>
          <w:sz w:val="24"/>
          <w:szCs w:val="24"/>
        </w:rPr>
        <w:t>actually utilise</w:t>
      </w:r>
      <w:proofErr w:type="gramEnd"/>
      <w:r w:rsidRPr="00472C9F">
        <w:rPr>
          <w:rFonts w:ascii="Calibri" w:hAnsi="Calibri" w:cs="Calibri"/>
          <w:sz w:val="24"/>
          <w:szCs w:val="24"/>
        </w:rPr>
        <w:t xml:space="preserve"> free movement</w:t>
      </w:r>
      <w:r w:rsidR="00AE1C23" w:rsidRPr="00472C9F">
        <w:rPr>
          <w:rFonts w:ascii="Calibri" w:hAnsi="Calibri" w:cs="Calibri"/>
          <w:sz w:val="24"/>
          <w:szCs w:val="24"/>
        </w:rPr>
        <w:t xml:space="preserve">. </w:t>
      </w:r>
      <w:r w:rsidRPr="00472C9F">
        <w:rPr>
          <w:rFonts w:ascii="Calibri" w:hAnsi="Calibri" w:cs="Calibri"/>
          <w:sz w:val="24"/>
          <w:szCs w:val="24"/>
        </w:rPr>
        <w:t>This section therefore analyse</w:t>
      </w:r>
      <w:r w:rsidR="009907D9" w:rsidRPr="00472C9F">
        <w:rPr>
          <w:rFonts w:ascii="Calibri" w:hAnsi="Calibri" w:cs="Calibri"/>
          <w:sz w:val="24"/>
          <w:szCs w:val="24"/>
        </w:rPr>
        <w:t>s</w:t>
      </w:r>
      <w:r w:rsidRPr="00472C9F">
        <w:rPr>
          <w:rFonts w:ascii="Calibri" w:hAnsi="Calibri" w:cs="Calibri"/>
          <w:sz w:val="24"/>
          <w:szCs w:val="24"/>
        </w:rPr>
        <w:t xml:space="preserve"> the impact of EU law for those who stay </w:t>
      </w:r>
      <w:r w:rsidR="00AE1C23" w:rsidRPr="00472C9F">
        <w:rPr>
          <w:rFonts w:ascii="Calibri" w:hAnsi="Calibri" w:cs="Calibri"/>
          <w:sz w:val="24"/>
          <w:szCs w:val="24"/>
        </w:rPr>
        <w:t>at home (‘stayers’)</w:t>
      </w:r>
      <w:r w:rsidR="00794FEB" w:rsidRPr="00472C9F">
        <w:rPr>
          <w:rFonts w:ascii="Calibri" w:hAnsi="Calibri" w:cs="Calibri"/>
          <w:sz w:val="24"/>
          <w:szCs w:val="24"/>
        </w:rPr>
        <w:t>,</w:t>
      </w:r>
      <w:r w:rsidR="00AE1C23" w:rsidRPr="00472C9F">
        <w:rPr>
          <w:rFonts w:ascii="Calibri" w:hAnsi="Calibri" w:cs="Calibri"/>
          <w:sz w:val="24"/>
          <w:szCs w:val="24"/>
        </w:rPr>
        <w:t xml:space="preserve"> </w:t>
      </w:r>
      <w:r w:rsidRPr="00472C9F">
        <w:rPr>
          <w:rFonts w:ascii="Calibri" w:hAnsi="Calibri" w:cs="Calibri"/>
          <w:sz w:val="24"/>
          <w:szCs w:val="24"/>
        </w:rPr>
        <w:t xml:space="preserve">who </w:t>
      </w:r>
      <w:r w:rsidR="00EA4D65" w:rsidRPr="00472C9F">
        <w:rPr>
          <w:rFonts w:ascii="Calibri" w:hAnsi="Calibri" w:cs="Calibri"/>
          <w:sz w:val="24"/>
          <w:szCs w:val="24"/>
        </w:rPr>
        <w:t xml:space="preserve">comprise </w:t>
      </w:r>
      <w:r w:rsidR="004E311B" w:rsidRPr="00472C9F">
        <w:rPr>
          <w:rFonts w:ascii="Calibri" w:hAnsi="Calibri" w:cs="Calibri"/>
          <w:sz w:val="24"/>
          <w:szCs w:val="24"/>
        </w:rPr>
        <w:t>96.2%</w:t>
      </w:r>
      <w:r w:rsidR="00EA4D65" w:rsidRPr="00472C9F">
        <w:rPr>
          <w:rFonts w:ascii="Calibri" w:hAnsi="Calibri" w:cs="Calibri"/>
          <w:sz w:val="24"/>
          <w:szCs w:val="24"/>
        </w:rPr>
        <w:t xml:space="preserve"> of</w:t>
      </w:r>
      <w:r w:rsidR="00AE1C23" w:rsidRPr="00472C9F">
        <w:rPr>
          <w:rFonts w:ascii="Calibri" w:hAnsi="Calibri" w:cs="Calibri"/>
          <w:sz w:val="24"/>
          <w:szCs w:val="24"/>
        </w:rPr>
        <w:t xml:space="preserve"> EU citizens.</w:t>
      </w:r>
      <w:r w:rsidR="00F11FF7" w:rsidRPr="00472C9F">
        <w:rPr>
          <w:rStyle w:val="FootnoteReference"/>
          <w:rFonts w:ascii="Calibri" w:hAnsi="Calibri" w:cs="Calibri"/>
          <w:sz w:val="24"/>
          <w:szCs w:val="24"/>
        </w:rPr>
        <w:footnoteReference w:id="161"/>
      </w:r>
      <w:r w:rsidR="00D564C3" w:rsidRPr="00472C9F">
        <w:rPr>
          <w:rFonts w:ascii="Calibri" w:hAnsi="Calibri" w:cs="Calibri"/>
          <w:sz w:val="24"/>
          <w:szCs w:val="24"/>
        </w:rPr>
        <w:t xml:space="preserve"> </w:t>
      </w:r>
      <w:r w:rsidR="003363C0" w:rsidRPr="00472C9F">
        <w:rPr>
          <w:rFonts w:ascii="Calibri" w:hAnsi="Calibri" w:cs="Calibri"/>
          <w:sz w:val="24"/>
          <w:szCs w:val="24"/>
        </w:rPr>
        <w:t>The conception of EU citizenship rights being portrayed as pro</w:t>
      </w:r>
      <w:r w:rsidR="000A6B3E" w:rsidRPr="00472C9F">
        <w:rPr>
          <w:rFonts w:ascii="Calibri" w:hAnsi="Calibri" w:cs="Calibri"/>
          <w:sz w:val="24"/>
          <w:szCs w:val="24"/>
        </w:rPr>
        <w:t>-</w:t>
      </w:r>
      <w:r w:rsidR="003363C0" w:rsidRPr="00472C9F">
        <w:rPr>
          <w:rFonts w:ascii="Calibri" w:hAnsi="Calibri" w:cs="Calibri"/>
          <w:sz w:val="24"/>
          <w:szCs w:val="24"/>
        </w:rPr>
        <w:t xml:space="preserve">feminist and </w:t>
      </w:r>
      <w:r w:rsidR="00BA1695" w:rsidRPr="00472C9F">
        <w:rPr>
          <w:rFonts w:ascii="Calibri" w:hAnsi="Calibri" w:cs="Calibri"/>
          <w:sz w:val="24"/>
          <w:szCs w:val="24"/>
        </w:rPr>
        <w:t xml:space="preserve">lesbian and gay </w:t>
      </w:r>
      <w:r w:rsidR="003363C0" w:rsidRPr="00472C9F">
        <w:rPr>
          <w:rFonts w:ascii="Calibri" w:hAnsi="Calibri" w:cs="Calibri"/>
          <w:sz w:val="24"/>
          <w:szCs w:val="24"/>
        </w:rPr>
        <w:t>inclusive</w:t>
      </w:r>
      <w:r w:rsidR="003363C0" w:rsidRPr="00472C9F">
        <w:rPr>
          <w:rStyle w:val="FootnoteReference"/>
          <w:rFonts w:ascii="Calibri" w:hAnsi="Calibri" w:cs="Calibri"/>
          <w:sz w:val="24"/>
          <w:szCs w:val="24"/>
        </w:rPr>
        <w:footnoteReference w:id="162"/>
      </w:r>
      <w:r w:rsidR="003363C0" w:rsidRPr="00472C9F">
        <w:rPr>
          <w:rFonts w:ascii="Calibri" w:hAnsi="Calibri" w:cs="Calibri"/>
          <w:sz w:val="24"/>
          <w:szCs w:val="24"/>
        </w:rPr>
        <w:t xml:space="preserve"> </w:t>
      </w:r>
      <w:r w:rsidR="00092096" w:rsidRPr="00472C9F">
        <w:rPr>
          <w:rFonts w:ascii="Calibri" w:hAnsi="Calibri" w:cs="Calibri"/>
          <w:sz w:val="24"/>
          <w:szCs w:val="24"/>
        </w:rPr>
        <w:t>is</w:t>
      </w:r>
      <w:r w:rsidR="003363C0" w:rsidRPr="00472C9F">
        <w:rPr>
          <w:rFonts w:ascii="Calibri" w:hAnsi="Calibri" w:cs="Calibri"/>
          <w:sz w:val="24"/>
          <w:szCs w:val="24"/>
        </w:rPr>
        <w:t xml:space="preserve"> perhaps </w:t>
      </w:r>
      <w:r w:rsidR="00092096" w:rsidRPr="00472C9F">
        <w:rPr>
          <w:rFonts w:ascii="Calibri" w:hAnsi="Calibri" w:cs="Calibri"/>
          <w:sz w:val="24"/>
          <w:szCs w:val="24"/>
        </w:rPr>
        <w:t>most influenced by</w:t>
      </w:r>
      <w:r w:rsidR="003363C0" w:rsidRPr="00472C9F">
        <w:rPr>
          <w:rFonts w:ascii="Calibri" w:hAnsi="Calibri" w:cs="Calibri"/>
          <w:sz w:val="24"/>
          <w:szCs w:val="24"/>
        </w:rPr>
        <w:t xml:space="preserve"> </w:t>
      </w:r>
      <w:r w:rsidR="00092096" w:rsidRPr="00472C9F">
        <w:rPr>
          <w:rFonts w:ascii="Calibri" w:hAnsi="Calibri" w:cs="Calibri"/>
          <w:sz w:val="24"/>
          <w:szCs w:val="24"/>
        </w:rPr>
        <w:t>t</w:t>
      </w:r>
      <w:r w:rsidR="003363C0" w:rsidRPr="00472C9F">
        <w:rPr>
          <w:rFonts w:ascii="Calibri" w:hAnsi="Calibri" w:cs="Calibri"/>
          <w:sz w:val="24"/>
          <w:szCs w:val="24"/>
        </w:rPr>
        <w:t xml:space="preserve">he impact that the EU has had in the area of paid employment, which </w:t>
      </w:r>
      <w:r w:rsidR="00D119DB" w:rsidRPr="00472C9F">
        <w:rPr>
          <w:rFonts w:ascii="Calibri" w:hAnsi="Calibri" w:cs="Calibri"/>
          <w:sz w:val="24"/>
          <w:szCs w:val="24"/>
        </w:rPr>
        <w:t>falls within the area of EU competencies</w:t>
      </w:r>
      <w:r w:rsidR="003363C0" w:rsidRPr="00472C9F">
        <w:rPr>
          <w:rFonts w:ascii="Calibri" w:hAnsi="Calibri" w:cs="Calibri"/>
          <w:sz w:val="24"/>
          <w:szCs w:val="24"/>
        </w:rPr>
        <w:t>. However</w:t>
      </w:r>
      <w:r w:rsidR="00794FEB" w:rsidRPr="00472C9F">
        <w:rPr>
          <w:rFonts w:ascii="Calibri" w:hAnsi="Calibri" w:cs="Calibri"/>
          <w:sz w:val="24"/>
          <w:szCs w:val="24"/>
        </w:rPr>
        <w:t>,</w:t>
      </w:r>
      <w:r w:rsidR="003363C0" w:rsidRPr="00472C9F">
        <w:rPr>
          <w:rFonts w:ascii="Calibri" w:hAnsi="Calibri" w:cs="Calibri"/>
          <w:sz w:val="24"/>
          <w:szCs w:val="24"/>
        </w:rPr>
        <w:t xml:space="preserve"> the EU has limited impact in other areas, as Member States retain competency over family law and welfare and benefits. The tension between the intergovernmental and </w:t>
      </w:r>
      <w:proofErr w:type="spellStart"/>
      <w:r w:rsidR="003363C0" w:rsidRPr="00472C9F">
        <w:rPr>
          <w:rFonts w:ascii="Calibri" w:hAnsi="Calibri" w:cs="Calibri"/>
          <w:sz w:val="24"/>
          <w:szCs w:val="24"/>
        </w:rPr>
        <w:t>supranationalist</w:t>
      </w:r>
      <w:proofErr w:type="spellEnd"/>
      <w:r w:rsidR="003363C0" w:rsidRPr="00472C9F">
        <w:rPr>
          <w:rFonts w:ascii="Calibri" w:hAnsi="Calibri" w:cs="Calibri"/>
          <w:sz w:val="24"/>
          <w:szCs w:val="24"/>
        </w:rPr>
        <w:t xml:space="preserve"> approaches remains.</w:t>
      </w:r>
      <w:r w:rsidR="002C5AC4" w:rsidRPr="00472C9F">
        <w:rPr>
          <w:rFonts w:ascii="Calibri" w:hAnsi="Calibri" w:cs="Calibri"/>
          <w:sz w:val="24"/>
          <w:szCs w:val="24"/>
        </w:rPr>
        <w:t xml:space="preserve"> Leading author G</w:t>
      </w:r>
      <w:r w:rsidR="000A6B3E" w:rsidRPr="00472C9F">
        <w:rPr>
          <w:rFonts w:ascii="Calibri" w:hAnsi="Calibri" w:cs="Calibri"/>
          <w:sz w:val="24"/>
          <w:szCs w:val="24"/>
        </w:rPr>
        <w:t>illian</w:t>
      </w:r>
      <w:r w:rsidR="002C5AC4" w:rsidRPr="00472C9F">
        <w:rPr>
          <w:rFonts w:ascii="Calibri" w:hAnsi="Calibri" w:cs="Calibri"/>
          <w:sz w:val="24"/>
          <w:szCs w:val="24"/>
        </w:rPr>
        <w:t xml:space="preserve"> </w:t>
      </w:r>
      <w:r w:rsidR="003363C0" w:rsidRPr="00472C9F">
        <w:rPr>
          <w:rFonts w:ascii="Calibri" w:hAnsi="Calibri" w:cs="Calibri"/>
          <w:color w:val="000000"/>
          <w:sz w:val="24"/>
          <w:szCs w:val="24"/>
        </w:rPr>
        <w:t>Mor</w:t>
      </w:r>
      <w:r w:rsidR="002C5AC4" w:rsidRPr="00472C9F">
        <w:rPr>
          <w:rFonts w:ascii="Calibri" w:hAnsi="Calibri" w:cs="Calibri"/>
          <w:color w:val="000000"/>
          <w:sz w:val="24"/>
          <w:szCs w:val="24"/>
        </w:rPr>
        <w:t xml:space="preserve">e has </w:t>
      </w:r>
      <w:r w:rsidR="003363C0" w:rsidRPr="00472C9F">
        <w:rPr>
          <w:rFonts w:ascii="Calibri" w:hAnsi="Calibri" w:cs="Calibri"/>
          <w:color w:val="000000"/>
          <w:sz w:val="24"/>
          <w:szCs w:val="24"/>
        </w:rPr>
        <w:t>analyse</w:t>
      </w:r>
      <w:r w:rsidR="002C5AC4" w:rsidRPr="00472C9F">
        <w:rPr>
          <w:rFonts w:ascii="Calibri" w:hAnsi="Calibri" w:cs="Calibri"/>
          <w:color w:val="000000"/>
          <w:sz w:val="24"/>
          <w:szCs w:val="24"/>
        </w:rPr>
        <w:t>d</w:t>
      </w:r>
      <w:r w:rsidR="003363C0" w:rsidRPr="00472C9F">
        <w:rPr>
          <w:rFonts w:ascii="Calibri" w:hAnsi="Calibri" w:cs="Calibri"/>
          <w:color w:val="000000"/>
          <w:sz w:val="24"/>
          <w:szCs w:val="24"/>
        </w:rPr>
        <w:t xml:space="preserve"> the different economic and constitutional justifications for EU expansion in this area.</w:t>
      </w:r>
      <w:r w:rsidR="003363C0" w:rsidRPr="00472C9F">
        <w:rPr>
          <w:rStyle w:val="FootnoteReference"/>
          <w:rFonts w:ascii="Calibri" w:hAnsi="Calibri" w:cs="Calibri"/>
          <w:color w:val="000000"/>
          <w:sz w:val="24"/>
          <w:szCs w:val="24"/>
        </w:rPr>
        <w:footnoteReference w:id="163"/>
      </w:r>
      <w:r w:rsidR="003363C0" w:rsidRPr="00472C9F">
        <w:rPr>
          <w:rFonts w:ascii="Calibri" w:hAnsi="Calibri" w:cs="Calibri"/>
          <w:color w:val="000000"/>
          <w:sz w:val="24"/>
          <w:szCs w:val="24"/>
        </w:rPr>
        <w:t xml:space="preserve"> </w:t>
      </w:r>
      <w:proofErr w:type="spellStart"/>
      <w:r w:rsidR="003363C0" w:rsidRPr="00472C9F">
        <w:rPr>
          <w:rFonts w:ascii="Calibri" w:hAnsi="Calibri" w:cs="Calibri"/>
          <w:color w:val="000000"/>
          <w:sz w:val="24"/>
          <w:szCs w:val="24"/>
        </w:rPr>
        <w:t>Intergovernmentalists</w:t>
      </w:r>
      <w:proofErr w:type="spellEnd"/>
      <w:r w:rsidR="003363C0" w:rsidRPr="00472C9F">
        <w:rPr>
          <w:rFonts w:ascii="Calibri" w:hAnsi="Calibri" w:cs="Calibri"/>
          <w:color w:val="000000"/>
          <w:sz w:val="24"/>
          <w:szCs w:val="24"/>
        </w:rPr>
        <w:t xml:space="preserve"> would be more likely to support More’s ‘market unifying’ or ‘regulatory’ approaches. The necessity of a ‘unified market’ emphasises ‘equality of access for products, services and </w:t>
      </w:r>
      <w:proofErr w:type="gramStart"/>
      <w:r w:rsidR="003363C0" w:rsidRPr="00472C9F">
        <w:rPr>
          <w:rFonts w:ascii="Calibri" w:hAnsi="Calibri" w:cs="Calibri"/>
          <w:color w:val="000000"/>
          <w:sz w:val="24"/>
          <w:szCs w:val="24"/>
        </w:rPr>
        <w:t>persons</w:t>
      </w:r>
      <w:r w:rsidR="0057358A" w:rsidRPr="00472C9F">
        <w:rPr>
          <w:rFonts w:ascii="Calibri" w:hAnsi="Calibri" w:cs="Calibri"/>
          <w:color w:val="000000"/>
          <w:sz w:val="24"/>
          <w:szCs w:val="24"/>
        </w:rPr>
        <w:t>’</w:t>
      </w:r>
      <w:proofErr w:type="gramEnd"/>
      <w:r w:rsidR="0057358A" w:rsidRPr="00472C9F">
        <w:rPr>
          <w:rFonts w:ascii="Calibri" w:hAnsi="Calibri" w:cs="Calibri"/>
          <w:color w:val="000000"/>
          <w:sz w:val="24"/>
          <w:szCs w:val="24"/>
        </w:rPr>
        <w:t>.</w:t>
      </w:r>
      <w:r w:rsidR="003363C0" w:rsidRPr="00472C9F">
        <w:rPr>
          <w:rStyle w:val="FootnoteReference"/>
          <w:rFonts w:ascii="Calibri" w:hAnsi="Calibri" w:cs="Calibri"/>
          <w:color w:val="000000"/>
          <w:sz w:val="24"/>
          <w:szCs w:val="24"/>
        </w:rPr>
        <w:footnoteReference w:id="164"/>
      </w:r>
      <w:r w:rsidR="003363C0" w:rsidRPr="00472C9F">
        <w:rPr>
          <w:rFonts w:ascii="Calibri" w:hAnsi="Calibri" w:cs="Calibri"/>
          <w:color w:val="000000"/>
          <w:sz w:val="24"/>
          <w:szCs w:val="24"/>
        </w:rPr>
        <w:t xml:space="preserve"> EU regulatory approaches ensur</w:t>
      </w:r>
      <w:r w:rsidR="00ED3222" w:rsidRPr="00472C9F">
        <w:rPr>
          <w:rFonts w:ascii="Calibri" w:hAnsi="Calibri" w:cs="Calibri"/>
          <w:color w:val="000000"/>
          <w:sz w:val="24"/>
          <w:szCs w:val="24"/>
        </w:rPr>
        <w:t>e</w:t>
      </w:r>
      <w:r w:rsidR="003363C0" w:rsidRPr="00472C9F">
        <w:rPr>
          <w:rFonts w:ascii="Calibri" w:hAnsi="Calibri" w:cs="Calibri"/>
          <w:color w:val="000000"/>
          <w:sz w:val="24"/>
          <w:szCs w:val="24"/>
        </w:rPr>
        <w:t xml:space="preserve"> that interventions in the market should always be undertaken in accordance with the principle of equal treatment. However, </w:t>
      </w:r>
      <w:proofErr w:type="spellStart"/>
      <w:r w:rsidR="003363C0" w:rsidRPr="00472C9F">
        <w:rPr>
          <w:rFonts w:ascii="Calibri" w:hAnsi="Calibri" w:cs="Calibri"/>
          <w:color w:val="000000"/>
          <w:sz w:val="24"/>
          <w:szCs w:val="24"/>
        </w:rPr>
        <w:t>supranationalists</w:t>
      </w:r>
      <w:proofErr w:type="spellEnd"/>
      <w:r w:rsidR="003363C0" w:rsidRPr="00472C9F">
        <w:rPr>
          <w:rFonts w:ascii="Calibri" w:hAnsi="Calibri" w:cs="Calibri"/>
          <w:color w:val="000000"/>
          <w:sz w:val="24"/>
          <w:szCs w:val="24"/>
        </w:rPr>
        <w:t xml:space="preserve"> would prefer More’s ‘</w:t>
      </w:r>
      <w:r w:rsidR="00F874C6" w:rsidRPr="00472C9F">
        <w:rPr>
          <w:rFonts w:ascii="Calibri" w:hAnsi="Calibri" w:cs="Calibri"/>
          <w:color w:val="000000"/>
          <w:sz w:val="24"/>
          <w:szCs w:val="24"/>
        </w:rPr>
        <w:t>c</w:t>
      </w:r>
      <w:r w:rsidR="003363C0" w:rsidRPr="00472C9F">
        <w:rPr>
          <w:rFonts w:ascii="Calibri" w:hAnsi="Calibri" w:cs="Calibri"/>
          <w:color w:val="000000"/>
          <w:sz w:val="24"/>
          <w:szCs w:val="24"/>
        </w:rPr>
        <w:t>onstitutional’ justification for EU expansion.</w:t>
      </w:r>
      <w:r w:rsidR="003363C0" w:rsidRPr="00472C9F">
        <w:rPr>
          <w:rStyle w:val="FootnoteReference"/>
          <w:rFonts w:ascii="Calibri" w:hAnsi="Calibri" w:cs="Calibri"/>
          <w:color w:val="000000"/>
          <w:sz w:val="24"/>
          <w:szCs w:val="24"/>
        </w:rPr>
        <w:footnoteReference w:id="165"/>
      </w:r>
      <w:r w:rsidR="003363C0" w:rsidRPr="00472C9F">
        <w:rPr>
          <w:rFonts w:ascii="Calibri" w:hAnsi="Calibri" w:cs="Calibri"/>
          <w:color w:val="000000"/>
          <w:sz w:val="24"/>
          <w:szCs w:val="24"/>
        </w:rPr>
        <w:t xml:space="preserve"> On this basis they would refer to the EU development of a general principle of non-discrimination with no link to economic circumstances of free movement at all. It is the latter approach which is given most emphasis in recent case law. Equality is now viewed by the </w:t>
      </w:r>
      <w:r w:rsidR="00092096" w:rsidRPr="00472C9F">
        <w:rPr>
          <w:rFonts w:ascii="Calibri" w:hAnsi="Calibri" w:cs="Calibri"/>
          <w:color w:val="000000"/>
          <w:sz w:val="24"/>
          <w:szCs w:val="24"/>
        </w:rPr>
        <w:t>CJEU</w:t>
      </w:r>
      <w:r w:rsidR="003363C0" w:rsidRPr="00472C9F">
        <w:rPr>
          <w:rFonts w:ascii="Calibri" w:hAnsi="Calibri" w:cs="Calibri"/>
          <w:color w:val="000000"/>
          <w:sz w:val="24"/>
          <w:szCs w:val="24"/>
        </w:rPr>
        <w:t xml:space="preserve"> very much as a fundamental right,</w:t>
      </w:r>
      <w:r w:rsidR="003363C0" w:rsidRPr="00472C9F">
        <w:rPr>
          <w:rStyle w:val="FootnoteReference"/>
          <w:rFonts w:ascii="Calibri" w:hAnsi="Calibri" w:cs="Calibri"/>
          <w:color w:val="000000"/>
          <w:sz w:val="24"/>
          <w:szCs w:val="24"/>
        </w:rPr>
        <w:footnoteReference w:id="166"/>
      </w:r>
      <w:r w:rsidR="003363C0" w:rsidRPr="00472C9F">
        <w:rPr>
          <w:rFonts w:ascii="Calibri" w:hAnsi="Calibri" w:cs="Calibri"/>
          <w:color w:val="000000"/>
          <w:sz w:val="24"/>
          <w:szCs w:val="24"/>
        </w:rPr>
        <w:t xml:space="preserve"> as further emphasised by Article 19 TFEU and </w:t>
      </w:r>
      <w:r w:rsidR="00F942C3">
        <w:rPr>
          <w:rFonts w:ascii="Calibri" w:hAnsi="Calibri" w:cs="Calibri"/>
          <w:color w:val="000000"/>
          <w:sz w:val="24"/>
          <w:szCs w:val="24"/>
        </w:rPr>
        <w:t xml:space="preserve">the </w:t>
      </w:r>
      <w:r w:rsidR="003363C0" w:rsidRPr="00472C9F">
        <w:rPr>
          <w:rFonts w:ascii="Calibri" w:hAnsi="Calibri" w:cs="Calibri"/>
          <w:color w:val="000000"/>
          <w:sz w:val="24"/>
          <w:szCs w:val="24"/>
        </w:rPr>
        <w:t xml:space="preserve">Preamble to </w:t>
      </w:r>
      <w:r w:rsidR="00F942C3">
        <w:rPr>
          <w:rFonts w:ascii="Calibri" w:hAnsi="Calibri" w:cs="Calibri"/>
          <w:color w:val="000000"/>
          <w:sz w:val="24"/>
          <w:szCs w:val="24"/>
        </w:rPr>
        <w:t xml:space="preserve">the </w:t>
      </w:r>
      <w:r w:rsidR="003363C0" w:rsidRPr="00472C9F">
        <w:rPr>
          <w:rFonts w:ascii="Calibri" w:hAnsi="Calibri" w:cs="Calibri"/>
          <w:color w:val="000000"/>
          <w:sz w:val="24"/>
          <w:szCs w:val="24"/>
        </w:rPr>
        <w:t>‘Recast’ Equality Directive 2006/54. Yet</w:t>
      </w:r>
      <w:r w:rsidR="00794FEB" w:rsidRPr="00472C9F">
        <w:rPr>
          <w:rFonts w:ascii="Calibri" w:hAnsi="Calibri" w:cs="Calibri"/>
          <w:color w:val="000000"/>
          <w:sz w:val="24"/>
          <w:szCs w:val="24"/>
        </w:rPr>
        <w:t>,</w:t>
      </w:r>
      <w:r w:rsidR="003363C0" w:rsidRPr="00472C9F">
        <w:rPr>
          <w:rFonts w:ascii="Calibri" w:hAnsi="Calibri" w:cs="Calibri"/>
          <w:color w:val="000000"/>
          <w:sz w:val="24"/>
          <w:szCs w:val="24"/>
        </w:rPr>
        <w:t xml:space="preserve"> closer examination of the </w:t>
      </w:r>
      <w:r w:rsidR="003363C0" w:rsidRPr="00472C9F">
        <w:rPr>
          <w:rFonts w:ascii="Calibri" w:hAnsi="Calibri" w:cs="Calibri"/>
          <w:color w:val="000000"/>
          <w:sz w:val="24"/>
          <w:szCs w:val="24"/>
        </w:rPr>
        <w:lastRenderedPageBreak/>
        <w:t>enacted legislation and case law still reveals</w:t>
      </w:r>
      <w:r w:rsidR="00653248" w:rsidRPr="00472C9F">
        <w:rPr>
          <w:rFonts w:ascii="Calibri" w:hAnsi="Calibri" w:cs="Calibri"/>
          <w:color w:val="000000"/>
          <w:sz w:val="24"/>
          <w:szCs w:val="24"/>
        </w:rPr>
        <w:t xml:space="preserve"> </w:t>
      </w:r>
      <w:r w:rsidR="003363C0" w:rsidRPr="00472C9F">
        <w:rPr>
          <w:rFonts w:ascii="Calibri" w:hAnsi="Calibri" w:cs="Calibri"/>
          <w:color w:val="000000"/>
          <w:sz w:val="24"/>
          <w:szCs w:val="24"/>
        </w:rPr>
        <w:t>necessarily a divide between</w:t>
      </w:r>
      <w:r w:rsidR="004A1DEB">
        <w:rPr>
          <w:rFonts w:ascii="Calibri" w:hAnsi="Calibri" w:cs="Calibri"/>
          <w:color w:val="000000"/>
          <w:sz w:val="24"/>
          <w:szCs w:val="24"/>
        </w:rPr>
        <w:t>,</w:t>
      </w:r>
      <w:r w:rsidR="003363C0" w:rsidRPr="00472C9F">
        <w:rPr>
          <w:rFonts w:ascii="Calibri" w:hAnsi="Calibri" w:cs="Calibri"/>
          <w:color w:val="000000"/>
          <w:sz w:val="24"/>
          <w:szCs w:val="24"/>
        </w:rPr>
        <w:t xml:space="preserve"> </w:t>
      </w:r>
      <w:r w:rsidR="00A4522C" w:rsidRPr="00472C9F">
        <w:rPr>
          <w:rFonts w:ascii="Calibri" w:hAnsi="Calibri" w:cs="Calibri"/>
          <w:color w:val="000000"/>
          <w:sz w:val="24"/>
          <w:szCs w:val="24"/>
        </w:rPr>
        <w:t>on the one hand</w:t>
      </w:r>
      <w:r w:rsidR="004A1DEB">
        <w:rPr>
          <w:rFonts w:ascii="Calibri" w:hAnsi="Calibri" w:cs="Calibri"/>
          <w:color w:val="000000"/>
          <w:sz w:val="24"/>
          <w:szCs w:val="24"/>
        </w:rPr>
        <w:t>,</w:t>
      </w:r>
      <w:r w:rsidR="00A4522C" w:rsidRPr="00472C9F">
        <w:rPr>
          <w:rFonts w:ascii="Calibri" w:hAnsi="Calibri" w:cs="Calibri"/>
          <w:color w:val="000000"/>
          <w:sz w:val="24"/>
          <w:szCs w:val="24"/>
        </w:rPr>
        <w:t xml:space="preserve"> </w:t>
      </w:r>
      <w:r w:rsidR="003363C0" w:rsidRPr="00472C9F">
        <w:rPr>
          <w:rFonts w:ascii="Calibri" w:hAnsi="Calibri" w:cs="Calibri"/>
          <w:color w:val="000000"/>
          <w:sz w:val="24"/>
          <w:szCs w:val="24"/>
        </w:rPr>
        <w:t>legislation related to employment law and associated economic activities falling within the area of EU competency and</w:t>
      </w:r>
      <w:r w:rsidR="004A1DEB">
        <w:rPr>
          <w:rFonts w:ascii="Calibri" w:hAnsi="Calibri" w:cs="Calibri"/>
          <w:color w:val="000000"/>
          <w:sz w:val="24"/>
          <w:szCs w:val="24"/>
        </w:rPr>
        <w:t>,</w:t>
      </w:r>
      <w:r w:rsidR="003363C0" w:rsidRPr="00472C9F">
        <w:rPr>
          <w:rFonts w:ascii="Calibri" w:hAnsi="Calibri" w:cs="Calibri"/>
          <w:color w:val="000000"/>
          <w:sz w:val="24"/>
          <w:szCs w:val="24"/>
        </w:rPr>
        <w:t xml:space="preserve"> on the other hand</w:t>
      </w:r>
      <w:r w:rsidR="004A1DEB">
        <w:rPr>
          <w:rFonts w:ascii="Calibri" w:hAnsi="Calibri" w:cs="Calibri"/>
          <w:color w:val="000000"/>
          <w:sz w:val="24"/>
          <w:szCs w:val="24"/>
        </w:rPr>
        <w:t>,</w:t>
      </w:r>
      <w:r w:rsidR="003363C0" w:rsidRPr="00472C9F">
        <w:rPr>
          <w:rFonts w:ascii="Calibri" w:hAnsi="Calibri" w:cs="Calibri"/>
          <w:color w:val="000000"/>
          <w:sz w:val="24"/>
          <w:szCs w:val="24"/>
        </w:rPr>
        <w:t xml:space="preserve"> wider based welfare provisions or family law provisions, falling outside EU competency. </w:t>
      </w:r>
      <w:r w:rsidR="00EE7349" w:rsidRPr="00472C9F">
        <w:rPr>
          <w:rFonts w:ascii="Calibri" w:hAnsi="Calibri" w:cs="Calibri"/>
          <w:color w:val="000000"/>
          <w:sz w:val="24"/>
          <w:szCs w:val="24"/>
        </w:rPr>
        <w:t xml:space="preserve">This relates to the original economic conception of </w:t>
      </w:r>
      <w:r w:rsidR="009B6486" w:rsidRPr="00472C9F">
        <w:rPr>
          <w:rFonts w:ascii="Calibri" w:hAnsi="Calibri" w:cs="Calibri"/>
          <w:color w:val="000000"/>
          <w:sz w:val="24"/>
          <w:szCs w:val="24"/>
        </w:rPr>
        <w:t xml:space="preserve">the </w:t>
      </w:r>
      <w:r w:rsidR="00EE7349" w:rsidRPr="00472C9F">
        <w:rPr>
          <w:rFonts w:ascii="Calibri" w:hAnsi="Calibri" w:cs="Calibri"/>
          <w:color w:val="000000"/>
          <w:sz w:val="24"/>
          <w:szCs w:val="24"/>
        </w:rPr>
        <w:t xml:space="preserve">EU </w:t>
      </w:r>
      <w:r w:rsidR="009B6486" w:rsidRPr="00472C9F">
        <w:rPr>
          <w:rFonts w:ascii="Calibri" w:hAnsi="Calibri" w:cs="Calibri"/>
          <w:color w:val="000000"/>
          <w:sz w:val="24"/>
          <w:szCs w:val="24"/>
        </w:rPr>
        <w:t xml:space="preserve">in the </w:t>
      </w:r>
      <w:r w:rsidR="00090795" w:rsidRPr="00472C9F">
        <w:rPr>
          <w:rFonts w:ascii="Calibri" w:hAnsi="Calibri" w:cs="Calibri"/>
          <w:color w:val="000000"/>
          <w:sz w:val="24"/>
          <w:szCs w:val="24"/>
        </w:rPr>
        <w:t>first three</w:t>
      </w:r>
      <w:r w:rsidR="009B6486" w:rsidRPr="00472C9F">
        <w:rPr>
          <w:rFonts w:ascii="Calibri" w:hAnsi="Calibri" w:cs="Calibri"/>
          <w:color w:val="000000"/>
          <w:sz w:val="24"/>
          <w:szCs w:val="24"/>
        </w:rPr>
        <w:t xml:space="preserve"> trade </w:t>
      </w:r>
      <w:proofErr w:type="gramStart"/>
      <w:r w:rsidR="009B6486" w:rsidRPr="00472C9F">
        <w:rPr>
          <w:rFonts w:ascii="Calibri" w:hAnsi="Calibri" w:cs="Calibri"/>
          <w:color w:val="000000"/>
          <w:sz w:val="24"/>
          <w:szCs w:val="24"/>
        </w:rPr>
        <w:t>agreements, and</w:t>
      </w:r>
      <w:proofErr w:type="gramEnd"/>
      <w:r w:rsidR="00D455B1" w:rsidRPr="00472C9F">
        <w:rPr>
          <w:rFonts w:ascii="Calibri" w:hAnsi="Calibri" w:cs="Calibri"/>
          <w:color w:val="000000"/>
          <w:sz w:val="24"/>
          <w:szCs w:val="24"/>
        </w:rPr>
        <w:t xml:space="preserve"> continues to inform our understanding of EU citizenship. </w:t>
      </w:r>
      <w:r w:rsidR="00EE7349" w:rsidRPr="00472C9F">
        <w:rPr>
          <w:rFonts w:ascii="Calibri" w:hAnsi="Calibri" w:cs="Calibri"/>
          <w:color w:val="000000"/>
          <w:sz w:val="24"/>
          <w:szCs w:val="24"/>
        </w:rPr>
        <w:t xml:space="preserve"> </w:t>
      </w:r>
      <w:r w:rsidR="00DE1D4E" w:rsidRPr="00472C9F">
        <w:rPr>
          <w:rFonts w:ascii="Calibri" w:eastAsiaTheme="minorEastAsia" w:hAnsi="Calibri" w:cs="Calibri"/>
          <w:kern w:val="24"/>
          <w:sz w:val="24"/>
          <w:szCs w:val="24"/>
        </w:rPr>
        <w:t xml:space="preserve">In the next section, I examine the challenges in portraying EU citizenship as inclusive of lesbian and gays, given the economic origins of the predecessors of the EU and the continuing views of many that the EU is primarily still a trade agreement. </w:t>
      </w:r>
      <w:r w:rsidR="003363C0" w:rsidRPr="00472C9F">
        <w:rPr>
          <w:rFonts w:ascii="Calibri" w:hAnsi="Calibri" w:cs="Calibri"/>
          <w:color w:val="000000"/>
          <w:sz w:val="24"/>
          <w:szCs w:val="24"/>
        </w:rPr>
        <w:t>Ultimately</w:t>
      </w:r>
      <w:r w:rsidR="00794FEB" w:rsidRPr="00472C9F">
        <w:rPr>
          <w:rFonts w:ascii="Calibri" w:hAnsi="Calibri" w:cs="Calibri"/>
          <w:color w:val="000000"/>
          <w:sz w:val="24"/>
          <w:szCs w:val="24"/>
        </w:rPr>
        <w:t>,</w:t>
      </w:r>
      <w:r w:rsidR="003363C0" w:rsidRPr="00472C9F">
        <w:rPr>
          <w:rFonts w:ascii="Calibri" w:hAnsi="Calibri" w:cs="Calibri"/>
          <w:color w:val="000000"/>
          <w:sz w:val="24"/>
          <w:szCs w:val="24"/>
        </w:rPr>
        <w:t xml:space="preserve"> this limits how accessible EU rights are for all EU citizens and reveals a crucial tie to economic activity.</w:t>
      </w:r>
      <w:r w:rsidR="00ED3222" w:rsidRPr="00472C9F">
        <w:rPr>
          <w:rFonts w:ascii="Calibri" w:hAnsi="Calibri" w:cs="Calibri"/>
          <w:color w:val="000000"/>
          <w:sz w:val="24"/>
          <w:szCs w:val="24"/>
        </w:rPr>
        <w:t xml:space="preserve"> Once again</w:t>
      </w:r>
      <w:r w:rsidR="00794FEB" w:rsidRPr="00472C9F">
        <w:rPr>
          <w:rFonts w:ascii="Calibri" w:hAnsi="Calibri" w:cs="Calibri"/>
          <w:color w:val="000000"/>
          <w:sz w:val="24"/>
          <w:szCs w:val="24"/>
        </w:rPr>
        <w:t>,</w:t>
      </w:r>
      <w:r w:rsidR="00ED3222" w:rsidRPr="00472C9F">
        <w:rPr>
          <w:rFonts w:ascii="Calibri" w:hAnsi="Calibri" w:cs="Calibri"/>
          <w:color w:val="000000"/>
          <w:sz w:val="24"/>
          <w:szCs w:val="24"/>
        </w:rPr>
        <w:t xml:space="preserve"> this disadvantages groups such as lesbians and gays who</w:t>
      </w:r>
      <w:r w:rsidR="00F874C6" w:rsidRPr="00472C9F">
        <w:rPr>
          <w:rFonts w:ascii="Calibri" w:hAnsi="Calibri" w:cs="Calibri"/>
          <w:color w:val="000000"/>
          <w:sz w:val="24"/>
          <w:szCs w:val="24"/>
        </w:rPr>
        <w:t>,</w:t>
      </w:r>
      <w:r w:rsidR="00ED3222" w:rsidRPr="00472C9F">
        <w:rPr>
          <w:rFonts w:ascii="Calibri" w:hAnsi="Calibri" w:cs="Calibri"/>
          <w:color w:val="000000"/>
          <w:sz w:val="24"/>
          <w:szCs w:val="24"/>
        </w:rPr>
        <w:t xml:space="preserve"> </w:t>
      </w:r>
      <w:r w:rsidR="00147B39" w:rsidRPr="00472C9F">
        <w:rPr>
          <w:rFonts w:ascii="Calibri" w:hAnsi="Calibri" w:cs="Calibri"/>
          <w:color w:val="000000"/>
          <w:sz w:val="24"/>
          <w:szCs w:val="24"/>
        </w:rPr>
        <w:t>according to the EU Fundamental Rights Agency survey are more</w:t>
      </w:r>
      <w:r w:rsidR="00ED3222" w:rsidRPr="00472C9F">
        <w:rPr>
          <w:rFonts w:ascii="Calibri" w:hAnsi="Calibri" w:cs="Calibri"/>
          <w:color w:val="000000"/>
          <w:sz w:val="24"/>
          <w:szCs w:val="24"/>
        </w:rPr>
        <w:t xml:space="preserve"> likely to suffer discrimination in access</w:t>
      </w:r>
      <w:r w:rsidR="00300666" w:rsidRPr="00472C9F">
        <w:rPr>
          <w:rFonts w:ascii="Calibri" w:hAnsi="Calibri" w:cs="Calibri"/>
          <w:color w:val="000000"/>
          <w:sz w:val="24"/>
          <w:szCs w:val="24"/>
        </w:rPr>
        <w:t>ing</w:t>
      </w:r>
      <w:r w:rsidR="00147B39" w:rsidRPr="00472C9F">
        <w:rPr>
          <w:rFonts w:ascii="Calibri" w:hAnsi="Calibri" w:cs="Calibri"/>
          <w:color w:val="000000"/>
          <w:sz w:val="24"/>
          <w:szCs w:val="24"/>
        </w:rPr>
        <w:t xml:space="preserve"> and during</w:t>
      </w:r>
      <w:r w:rsidR="00ED3222" w:rsidRPr="00472C9F">
        <w:rPr>
          <w:rFonts w:ascii="Calibri" w:hAnsi="Calibri" w:cs="Calibri"/>
          <w:color w:val="000000"/>
          <w:sz w:val="24"/>
          <w:szCs w:val="24"/>
        </w:rPr>
        <w:t xml:space="preserve"> employment.</w:t>
      </w:r>
      <w:r w:rsidR="00ED3222" w:rsidRPr="00472C9F">
        <w:rPr>
          <w:rStyle w:val="FootnoteReference"/>
          <w:rFonts w:ascii="Calibri" w:hAnsi="Calibri" w:cs="Calibri"/>
          <w:color w:val="000000"/>
          <w:sz w:val="24"/>
          <w:szCs w:val="24"/>
        </w:rPr>
        <w:footnoteReference w:id="167"/>
      </w:r>
      <w:r w:rsidR="00ED3222" w:rsidRPr="00472C9F">
        <w:rPr>
          <w:rFonts w:ascii="Calibri" w:hAnsi="Calibri" w:cs="Calibri"/>
          <w:color w:val="000000"/>
          <w:sz w:val="24"/>
          <w:szCs w:val="24"/>
        </w:rPr>
        <w:t xml:space="preserve"> </w:t>
      </w:r>
    </w:p>
    <w:p w14:paraId="7153A9D1" w14:textId="77777777" w:rsidR="00E55F57" w:rsidRDefault="00E55F57" w:rsidP="0059780E">
      <w:pPr>
        <w:spacing w:after="0" w:line="360" w:lineRule="auto"/>
        <w:jc w:val="both"/>
        <w:rPr>
          <w:rFonts w:ascii="Calibri" w:hAnsi="Calibri" w:cs="Calibri"/>
          <w:color w:val="000000"/>
          <w:sz w:val="24"/>
          <w:szCs w:val="24"/>
        </w:rPr>
      </w:pPr>
    </w:p>
    <w:p w14:paraId="1AF7DD46" w14:textId="60131372" w:rsidR="00ED3222" w:rsidRPr="00472C9F" w:rsidRDefault="00ED3222" w:rsidP="0059780E">
      <w:pPr>
        <w:spacing w:after="0" w:line="360" w:lineRule="auto"/>
        <w:jc w:val="both"/>
        <w:rPr>
          <w:rFonts w:ascii="Calibri" w:hAnsi="Calibri" w:cs="Calibri"/>
          <w:sz w:val="24"/>
          <w:szCs w:val="24"/>
        </w:rPr>
      </w:pPr>
      <w:r w:rsidRPr="00472C9F">
        <w:rPr>
          <w:rFonts w:ascii="Calibri" w:hAnsi="Calibri" w:cs="Calibri"/>
          <w:color w:val="000000"/>
          <w:sz w:val="24"/>
          <w:szCs w:val="24"/>
        </w:rPr>
        <w:t xml:space="preserve">Where there is an economic link demonstrated, and therefore crucially falling within the EU competencies, the EU has taken an expansive approach towards increasing the protections offered by non-discrimination provisions. This was first done in relation to equal pay provisions between men and women. </w:t>
      </w:r>
      <w:r w:rsidRPr="00472C9F">
        <w:rPr>
          <w:rFonts w:ascii="Calibri" w:eastAsia="Times New Roman" w:hAnsi="Calibri" w:cs="Calibri"/>
          <w:color w:val="000000"/>
          <w:sz w:val="24"/>
          <w:szCs w:val="24"/>
          <w:lang w:eastAsia="en-GB"/>
        </w:rPr>
        <w:t xml:space="preserve">In the original EEC </w:t>
      </w:r>
      <w:proofErr w:type="gramStart"/>
      <w:r w:rsidRPr="00472C9F">
        <w:rPr>
          <w:rFonts w:ascii="Calibri" w:eastAsia="Times New Roman" w:hAnsi="Calibri" w:cs="Calibri"/>
          <w:color w:val="000000"/>
          <w:sz w:val="24"/>
          <w:szCs w:val="24"/>
          <w:lang w:eastAsia="en-GB"/>
        </w:rPr>
        <w:t>treaty</w:t>
      </w:r>
      <w:proofErr w:type="gramEnd"/>
      <w:r w:rsidRPr="00472C9F">
        <w:rPr>
          <w:rFonts w:ascii="Calibri" w:eastAsia="Times New Roman" w:hAnsi="Calibri" w:cs="Calibri"/>
          <w:color w:val="000000"/>
          <w:sz w:val="24"/>
          <w:szCs w:val="24"/>
          <w:lang w:eastAsia="en-GB"/>
        </w:rPr>
        <w:t xml:space="preserve"> the sole protection for women was Article 119</w:t>
      </w:r>
      <w:r w:rsidR="00794FEB" w:rsidRPr="00472C9F">
        <w:rPr>
          <w:rFonts w:ascii="Calibri" w:eastAsia="Times New Roman" w:hAnsi="Calibri" w:cs="Calibri"/>
          <w:color w:val="000000"/>
          <w:sz w:val="24"/>
          <w:szCs w:val="24"/>
          <w:lang w:eastAsia="en-GB"/>
        </w:rPr>
        <w:t> </w:t>
      </w:r>
      <w:r w:rsidRPr="00472C9F">
        <w:rPr>
          <w:rFonts w:ascii="Calibri" w:eastAsia="Times New Roman" w:hAnsi="Calibri" w:cs="Calibri"/>
          <w:color w:val="000000"/>
          <w:sz w:val="24"/>
          <w:szCs w:val="24"/>
          <w:lang w:eastAsia="en-GB"/>
        </w:rPr>
        <w:t xml:space="preserve">EEC on equal pay (now </w:t>
      </w:r>
      <w:r w:rsidR="00527F3F">
        <w:rPr>
          <w:rFonts w:ascii="Calibri" w:eastAsia="Times New Roman" w:hAnsi="Calibri" w:cs="Calibri"/>
          <w:color w:val="000000"/>
          <w:sz w:val="24"/>
          <w:szCs w:val="24"/>
          <w:lang w:eastAsia="en-GB"/>
        </w:rPr>
        <w:t>A</w:t>
      </w:r>
      <w:r w:rsidRPr="00472C9F">
        <w:rPr>
          <w:rFonts w:ascii="Calibri" w:eastAsia="Times New Roman" w:hAnsi="Calibri" w:cs="Calibri"/>
          <w:color w:val="000000"/>
          <w:sz w:val="24"/>
          <w:szCs w:val="24"/>
          <w:lang w:eastAsia="en-GB"/>
        </w:rPr>
        <w:t>rticle 157 TFEU). Even that had only originally been included because of economic concerns about ‘regulating the internal market’</w:t>
      </w:r>
      <w:r w:rsidRPr="00472C9F">
        <w:rPr>
          <w:rStyle w:val="FootnoteReference"/>
          <w:rFonts w:ascii="Calibri" w:eastAsia="Times New Roman" w:hAnsi="Calibri" w:cs="Calibri"/>
          <w:color w:val="000000"/>
          <w:sz w:val="24"/>
          <w:szCs w:val="24"/>
          <w:lang w:eastAsia="en-GB"/>
        </w:rPr>
        <w:footnoteReference w:id="168"/>
      </w:r>
      <w:r w:rsidRPr="00472C9F">
        <w:rPr>
          <w:rFonts w:ascii="Calibri" w:eastAsia="Times New Roman" w:hAnsi="Calibri" w:cs="Calibri"/>
          <w:color w:val="000000"/>
          <w:sz w:val="24"/>
          <w:szCs w:val="24"/>
          <w:lang w:eastAsia="en-GB"/>
        </w:rPr>
        <w:t xml:space="preserve"> and in order </w:t>
      </w:r>
      <w:r w:rsidR="00A117AE" w:rsidRPr="00472C9F">
        <w:rPr>
          <w:rFonts w:ascii="Calibri" w:hAnsi="Calibri" w:cs="Calibri"/>
          <w:sz w:val="24"/>
          <w:szCs w:val="24"/>
        </w:rPr>
        <w:t>‘</w:t>
      </w:r>
      <w:r w:rsidRPr="00472C9F">
        <w:rPr>
          <w:rFonts w:ascii="Calibri" w:hAnsi="Calibri" w:cs="Calibri"/>
          <w:sz w:val="24"/>
          <w:szCs w:val="24"/>
        </w:rPr>
        <w:t xml:space="preserve">to assuage the concern that some countries might use cheaper </w:t>
      </w:r>
      <w:r w:rsidR="009B5F98">
        <w:rPr>
          <w:rFonts w:ascii="Calibri" w:hAnsi="Calibri" w:cs="Calibri"/>
          <w:sz w:val="24"/>
          <w:szCs w:val="24"/>
        </w:rPr>
        <w:t>“</w:t>
      </w:r>
      <w:r w:rsidRPr="00472C9F">
        <w:rPr>
          <w:rFonts w:ascii="Calibri" w:hAnsi="Calibri" w:cs="Calibri"/>
          <w:sz w:val="24"/>
          <w:szCs w:val="24"/>
        </w:rPr>
        <w:t>female</w:t>
      </w:r>
      <w:r w:rsidR="009B5F98">
        <w:rPr>
          <w:rFonts w:ascii="Calibri" w:hAnsi="Calibri" w:cs="Calibri"/>
          <w:sz w:val="24"/>
          <w:szCs w:val="24"/>
        </w:rPr>
        <w:t>”</w:t>
      </w:r>
      <w:r w:rsidRPr="00472C9F">
        <w:rPr>
          <w:rFonts w:ascii="Calibri" w:hAnsi="Calibri" w:cs="Calibri"/>
          <w:sz w:val="24"/>
          <w:szCs w:val="24"/>
        </w:rPr>
        <w:t xml:space="preserve"> labour to </w:t>
      </w:r>
      <w:r w:rsidR="008B1EBF" w:rsidRPr="00472C9F">
        <w:rPr>
          <w:rFonts w:ascii="Calibri" w:hAnsi="Calibri" w:cs="Calibri"/>
          <w:sz w:val="24"/>
          <w:szCs w:val="24"/>
        </w:rPr>
        <w:t xml:space="preserve">[pursue] </w:t>
      </w:r>
      <w:r w:rsidRPr="00472C9F">
        <w:rPr>
          <w:rFonts w:ascii="Calibri" w:hAnsi="Calibri" w:cs="Calibri"/>
          <w:sz w:val="24"/>
          <w:szCs w:val="24"/>
        </w:rPr>
        <w:t>competitive advantage</w:t>
      </w:r>
      <w:r w:rsidR="00917977" w:rsidRPr="00472C9F">
        <w:rPr>
          <w:rFonts w:ascii="Calibri" w:hAnsi="Calibri" w:cs="Calibri"/>
          <w:sz w:val="24"/>
          <w:szCs w:val="24"/>
        </w:rPr>
        <w:t>’.</w:t>
      </w:r>
      <w:r w:rsidRPr="00472C9F">
        <w:rPr>
          <w:rStyle w:val="FootnoteReference"/>
          <w:rFonts w:ascii="Calibri" w:hAnsi="Calibri" w:cs="Calibri"/>
          <w:sz w:val="24"/>
          <w:szCs w:val="24"/>
        </w:rPr>
        <w:footnoteReference w:id="169"/>
      </w:r>
      <w:r w:rsidRPr="00472C9F">
        <w:rPr>
          <w:rFonts w:ascii="Calibri" w:hAnsi="Calibri" w:cs="Calibri"/>
          <w:sz w:val="24"/>
          <w:szCs w:val="24"/>
        </w:rPr>
        <w:t xml:space="preserve"> However</w:t>
      </w:r>
      <w:r w:rsidR="00794FEB" w:rsidRPr="00472C9F">
        <w:rPr>
          <w:rFonts w:ascii="Calibri" w:hAnsi="Calibri" w:cs="Calibri"/>
          <w:sz w:val="24"/>
          <w:szCs w:val="24"/>
        </w:rPr>
        <w:t>,</w:t>
      </w:r>
      <w:r w:rsidRPr="00472C9F">
        <w:rPr>
          <w:rFonts w:ascii="Calibri" w:hAnsi="Calibri" w:cs="Calibri"/>
          <w:sz w:val="24"/>
          <w:szCs w:val="24"/>
        </w:rPr>
        <w:t xml:space="preserve"> despite the original economic aim, the inclusion of gender equality has been analysed by some as the ’arrival of </w:t>
      </w:r>
      <w:r w:rsidR="009B5F98">
        <w:rPr>
          <w:rFonts w:ascii="Calibri" w:hAnsi="Calibri" w:cs="Calibri"/>
          <w:sz w:val="24"/>
          <w:szCs w:val="24"/>
        </w:rPr>
        <w:t>“</w:t>
      </w:r>
      <w:r w:rsidRPr="00472C9F">
        <w:rPr>
          <w:rFonts w:ascii="Calibri" w:hAnsi="Calibri" w:cs="Calibri"/>
          <w:sz w:val="24"/>
          <w:szCs w:val="24"/>
        </w:rPr>
        <w:t>women’s inequality</w:t>
      </w:r>
      <w:r w:rsidR="009B5F98">
        <w:rPr>
          <w:rFonts w:ascii="Calibri" w:hAnsi="Calibri" w:cs="Calibri"/>
          <w:sz w:val="24"/>
          <w:szCs w:val="24"/>
        </w:rPr>
        <w:t>”</w:t>
      </w:r>
      <w:r w:rsidRPr="00472C9F">
        <w:rPr>
          <w:rFonts w:ascii="Calibri" w:hAnsi="Calibri" w:cs="Calibri"/>
          <w:sz w:val="24"/>
          <w:szCs w:val="24"/>
        </w:rPr>
        <w:t xml:space="preserve"> as a social problem</w:t>
      </w:r>
      <w:r w:rsidR="00917977" w:rsidRPr="00472C9F">
        <w:rPr>
          <w:rFonts w:ascii="Calibri" w:hAnsi="Calibri" w:cs="Calibri"/>
          <w:sz w:val="24"/>
          <w:szCs w:val="24"/>
        </w:rPr>
        <w:t>’.</w:t>
      </w:r>
      <w:r w:rsidRPr="00472C9F">
        <w:rPr>
          <w:rStyle w:val="FootnoteReference"/>
          <w:rFonts w:ascii="Calibri" w:hAnsi="Calibri" w:cs="Calibri"/>
          <w:sz w:val="24"/>
          <w:szCs w:val="24"/>
        </w:rPr>
        <w:footnoteReference w:id="170"/>
      </w:r>
      <w:r w:rsidRPr="00472C9F">
        <w:rPr>
          <w:rFonts w:ascii="Calibri" w:hAnsi="Calibri" w:cs="Calibri"/>
          <w:sz w:val="24"/>
          <w:szCs w:val="24"/>
        </w:rPr>
        <w:t xml:space="preserve"> This was strengthened by the famous </w:t>
      </w:r>
      <w:proofErr w:type="spellStart"/>
      <w:r w:rsidRPr="00472C9F">
        <w:rPr>
          <w:rFonts w:ascii="Calibri" w:hAnsi="Calibri" w:cs="Calibri"/>
          <w:i/>
          <w:iCs/>
          <w:sz w:val="24"/>
          <w:szCs w:val="24"/>
        </w:rPr>
        <w:t>Defrenne</w:t>
      </w:r>
      <w:proofErr w:type="spellEnd"/>
      <w:r w:rsidRPr="00472C9F">
        <w:rPr>
          <w:rFonts w:ascii="Calibri" w:hAnsi="Calibri" w:cs="Calibri"/>
          <w:i/>
          <w:iCs/>
          <w:sz w:val="24"/>
          <w:szCs w:val="24"/>
        </w:rPr>
        <w:t xml:space="preserve"> v Sabena</w:t>
      </w:r>
      <w:r w:rsidRPr="00472C9F">
        <w:rPr>
          <w:rFonts w:ascii="Calibri" w:hAnsi="Calibri" w:cs="Calibri"/>
          <w:sz w:val="24"/>
          <w:szCs w:val="24"/>
        </w:rPr>
        <w:t xml:space="preserve"> case</w:t>
      </w:r>
      <w:r w:rsidR="00AE3424" w:rsidRPr="00472C9F">
        <w:rPr>
          <w:rFonts w:ascii="Calibri" w:hAnsi="Calibri" w:cs="Calibri"/>
          <w:sz w:val="24"/>
          <w:szCs w:val="24"/>
        </w:rPr>
        <w:t xml:space="preserve"> (</w:t>
      </w:r>
      <w:r w:rsidR="0035127B" w:rsidRPr="00472C9F">
        <w:rPr>
          <w:rFonts w:ascii="Calibri" w:hAnsi="Calibri" w:cs="Calibri"/>
          <w:sz w:val="24"/>
          <w:szCs w:val="24"/>
        </w:rPr>
        <w:t xml:space="preserve">litigation begun before the Conseil </w:t>
      </w:r>
      <w:proofErr w:type="spellStart"/>
      <w:r w:rsidR="0035127B" w:rsidRPr="00472C9F">
        <w:rPr>
          <w:rFonts w:ascii="Calibri" w:hAnsi="Calibri" w:cs="Calibri"/>
          <w:sz w:val="24"/>
          <w:szCs w:val="24"/>
        </w:rPr>
        <w:t>d’Etat</w:t>
      </w:r>
      <w:proofErr w:type="spellEnd"/>
      <w:r w:rsidR="0035127B" w:rsidRPr="00472C9F">
        <w:rPr>
          <w:rFonts w:ascii="Calibri" w:hAnsi="Calibri" w:cs="Calibri"/>
          <w:sz w:val="24"/>
          <w:szCs w:val="24"/>
        </w:rPr>
        <w:t xml:space="preserve"> in Belgium in 1970, with judgment from the CJEU in 1975)</w:t>
      </w:r>
      <w:r w:rsidRPr="00472C9F">
        <w:rPr>
          <w:rFonts w:ascii="Calibri" w:hAnsi="Calibri" w:cs="Calibri"/>
          <w:sz w:val="24"/>
          <w:szCs w:val="24"/>
        </w:rPr>
        <w:t>,</w:t>
      </w:r>
      <w:r w:rsidRPr="00472C9F">
        <w:rPr>
          <w:rStyle w:val="FootnoteReference"/>
          <w:rFonts w:ascii="Calibri" w:hAnsi="Calibri" w:cs="Calibri"/>
          <w:sz w:val="24"/>
          <w:szCs w:val="24"/>
        </w:rPr>
        <w:footnoteReference w:id="171"/>
      </w:r>
      <w:r w:rsidRPr="00472C9F">
        <w:rPr>
          <w:rFonts w:ascii="Calibri" w:hAnsi="Calibri" w:cs="Calibri"/>
          <w:sz w:val="24"/>
          <w:szCs w:val="24"/>
        </w:rPr>
        <w:t xml:space="preserve"> where equal pay provisions were given direct effect</w:t>
      </w:r>
      <w:r w:rsidR="00F874C6" w:rsidRPr="00472C9F">
        <w:rPr>
          <w:rFonts w:ascii="Calibri" w:hAnsi="Calibri" w:cs="Calibri"/>
          <w:sz w:val="24"/>
          <w:szCs w:val="24"/>
        </w:rPr>
        <w:t>,</w:t>
      </w:r>
      <w:r w:rsidRPr="00472C9F">
        <w:rPr>
          <w:rFonts w:ascii="Calibri" w:hAnsi="Calibri" w:cs="Calibri"/>
          <w:sz w:val="24"/>
          <w:szCs w:val="24"/>
        </w:rPr>
        <w:t xml:space="preserve"> meaning that EU law was now judicially enforceable in each Member State against private employers. The importance of this case law has been described in glowing terms by various authors as </w:t>
      </w:r>
      <w:r w:rsidR="00770FA8" w:rsidRPr="00472C9F">
        <w:rPr>
          <w:rFonts w:ascii="Calibri" w:hAnsi="Calibri" w:cs="Calibri"/>
          <w:sz w:val="24"/>
          <w:szCs w:val="24"/>
        </w:rPr>
        <w:t>‘</w:t>
      </w:r>
      <w:r w:rsidRPr="00472C9F">
        <w:rPr>
          <w:rFonts w:ascii="Calibri" w:hAnsi="Calibri" w:cs="Calibri"/>
          <w:sz w:val="24"/>
          <w:szCs w:val="24"/>
        </w:rPr>
        <w:t xml:space="preserve">becoming the site for an expansive </w:t>
      </w:r>
      <w:r w:rsidRPr="00472C9F">
        <w:rPr>
          <w:rFonts w:ascii="Calibri" w:hAnsi="Calibri" w:cs="Calibri"/>
          <w:sz w:val="24"/>
          <w:szCs w:val="24"/>
        </w:rPr>
        <w:lastRenderedPageBreak/>
        <w:t>rights discourse</w:t>
      </w:r>
      <w:r w:rsidR="00770FA8" w:rsidRPr="00472C9F">
        <w:rPr>
          <w:rFonts w:ascii="Calibri" w:hAnsi="Calibri" w:cs="Calibri"/>
          <w:sz w:val="24"/>
          <w:szCs w:val="24"/>
        </w:rPr>
        <w:t xml:space="preserve">’ </w:t>
      </w:r>
      <w:r w:rsidRPr="00472C9F">
        <w:rPr>
          <w:rFonts w:ascii="Calibri" w:hAnsi="Calibri" w:cs="Calibri"/>
          <w:sz w:val="24"/>
          <w:szCs w:val="24"/>
        </w:rPr>
        <w:t>and the</w:t>
      </w:r>
      <w:r w:rsidR="0018585F" w:rsidRPr="00472C9F">
        <w:rPr>
          <w:rFonts w:ascii="Calibri" w:hAnsi="Calibri" w:cs="Calibri"/>
          <w:sz w:val="24"/>
          <w:szCs w:val="24"/>
        </w:rPr>
        <w:t xml:space="preserve"> ‘</w:t>
      </w:r>
      <w:r w:rsidRPr="00472C9F">
        <w:rPr>
          <w:rFonts w:ascii="Calibri" w:hAnsi="Calibri" w:cs="Calibri"/>
          <w:sz w:val="24"/>
          <w:szCs w:val="24"/>
        </w:rPr>
        <w:t>driving force behind EC sex equality legislation in the 1970s and 1980s</w:t>
      </w:r>
      <w:r w:rsidR="0018585F" w:rsidRPr="00472C9F">
        <w:rPr>
          <w:rFonts w:ascii="Calibri" w:hAnsi="Calibri" w:cs="Calibri"/>
          <w:sz w:val="24"/>
          <w:szCs w:val="24"/>
        </w:rPr>
        <w:t>’.</w:t>
      </w:r>
      <w:r w:rsidRPr="00472C9F">
        <w:rPr>
          <w:rStyle w:val="FootnoteReference"/>
          <w:rFonts w:ascii="Calibri" w:hAnsi="Calibri" w:cs="Calibri"/>
          <w:sz w:val="24"/>
          <w:szCs w:val="24"/>
        </w:rPr>
        <w:footnoteReference w:id="172"/>
      </w:r>
      <w:r w:rsidRPr="00472C9F">
        <w:rPr>
          <w:rFonts w:ascii="Calibri" w:hAnsi="Calibri" w:cs="Calibri"/>
          <w:sz w:val="24"/>
          <w:szCs w:val="24"/>
        </w:rPr>
        <w:t xml:space="preserve"> In </w:t>
      </w:r>
      <w:proofErr w:type="spellStart"/>
      <w:r w:rsidRPr="00472C9F">
        <w:rPr>
          <w:rFonts w:ascii="Calibri" w:hAnsi="Calibri" w:cs="Calibri"/>
          <w:i/>
          <w:iCs/>
          <w:sz w:val="24"/>
          <w:szCs w:val="24"/>
        </w:rPr>
        <w:t>Defrenne</w:t>
      </w:r>
      <w:proofErr w:type="spellEnd"/>
      <w:r w:rsidRPr="00472C9F">
        <w:rPr>
          <w:rFonts w:ascii="Calibri" w:hAnsi="Calibri" w:cs="Calibri"/>
          <w:i/>
          <w:iCs/>
          <w:sz w:val="24"/>
          <w:szCs w:val="24"/>
        </w:rPr>
        <w:t xml:space="preserve"> </w:t>
      </w:r>
      <w:r w:rsidRPr="00472C9F">
        <w:rPr>
          <w:rFonts w:ascii="Calibri" w:hAnsi="Calibri" w:cs="Calibri"/>
          <w:sz w:val="24"/>
          <w:szCs w:val="24"/>
        </w:rPr>
        <w:t>itself the CJEU set out the ambitious nature in terms of gender equality explaining that the EU was no longer concerned with being a purely economic union but that gender equality now formed one of the ‘social objectives of the Community… [in order] to ensure social progress</w:t>
      </w:r>
      <w:r w:rsidR="0018585F" w:rsidRPr="00472C9F">
        <w:rPr>
          <w:rFonts w:ascii="Calibri" w:hAnsi="Calibri" w:cs="Calibri"/>
          <w:sz w:val="24"/>
          <w:szCs w:val="24"/>
        </w:rPr>
        <w:t>’.</w:t>
      </w:r>
      <w:r w:rsidRPr="00472C9F">
        <w:rPr>
          <w:rStyle w:val="FootnoteReference"/>
          <w:rFonts w:ascii="Calibri" w:hAnsi="Calibri" w:cs="Calibri"/>
          <w:sz w:val="24"/>
          <w:szCs w:val="24"/>
        </w:rPr>
        <w:footnoteReference w:id="173"/>
      </w:r>
      <w:r w:rsidRPr="00472C9F">
        <w:rPr>
          <w:rFonts w:ascii="Calibri" w:hAnsi="Calibri" w:cs="Calibri"/>
          <w:sz w:val="24"/>
          <w:szCs w:val="24"/>
        </w:rPr>
        <w:t xml:space="preserve"> </w:t>
      </w:r>
    </w:p>
    <w:p w14:paraId="4128B315" w14:textId="77777777" w:rsidR="004A1DEB" w:rsidRDefault="004A1DEB" w:rsidP="0059780E">
      <w:pPr>
        <w:spacing w:after="0" w:line="360" w:lineRule="auto"/>
        <w:jc w:val="both"/>
        <w:textAlignment w:val="baseline"/>
        <w:rPr>
          <w:rFonts w:ascii="Calibri" w:hAnsi="Calibri" w:cs="Calibri"/>
          <w:sz w:val="24"/>
          <w:szCs w:val="24"/>
        </w:rPr>
      </w:pPr>
    </w:p>
    <w:p w14:paraId="12E3E910" w14:textId="445DB5A8" w:rsidR="004A1DEB" w:rsidRDefault="00ED3222" w:rsidP="0059780E">
      <w:pPr>
        <w:spacing w:after="0" w:line="360" w:lineRule="auto"/>
        <w:jc w:val="both"/>
        <w:textAlignment w:val="baseline"/>
        <w:rPr>
          <w:rFonts w:ascii="Calibri" w:hAnsi="Calibri" w:cs="Calibri"/>
          <w:sz w:val="24"/>
          <w:szCs w:val="24"/>
        </w:rPr>
      </w:pPr>
      <w:r w:rsidRPr="00472C9F">
        <w:rPr>
          <w:rFonts w:ascii="Calibri" w:hAnsi="Calibri" w:cs="Calibri"/>
          <w:sz w:val="24"/>
          <w:szCs w:val="24"/>
        </w:rPr>
        <w:t xml:space="preserve">The </w:t>
      </w:r>
      <w:proofErr w:type="spellStart"/>
      <w:r w:rsidRPr="00472C9F">
        <w:rPr>
          <w:rFonts w:ascii="Calibri" w:hAnsi="Calibri" w:cs="Calibri"/>
          <w:i/>
          <w:iCs/>
          <w:sz w:val="24"/>
          <w:szCs w:val="24"/>
        </w:rPr>
        <w:t>Defrenne</w:t>
      </w:r>
      <w:proofErr w:type="spellEnd"/>
      <w:r w:rsidRPr="00472C9F">
        <w:rPr>
          <w:rFonts w:ascii="Calibri" w:hAnsi="Calibri" w:cs="Calibri"/>
          <w:sz w:val="24"/>
          <w:szCs w:val="24"/>
        </w:rPr>
        <w:t xml:space="preserve"> case paved the way for further legislation in the 1970s</w:t>
      </w:r>
      <w:r w:rsidR="00300666" w:rsidRPr="00472C9F">
        <w:rPr>
          <w:rFonts w:ascii="Calibri" w:hAnsi="Calibri" w:cs="Calibri"/>
          <w:sz w:val="24"/>
          <w:szCs w:val="24"/>
        </w:rPr>
        <w:t xml:space="preserve"> focussing on equal opportunities between the </w:t>
      </w:r>
      <w:r w:rsidR="00F874C6" w:rsidRPr="00472C9F">
        <w:rPr>
          <w:rFonts w:ascii="Calibri" w:hAnsi="Calibri" w:cs="Calibri"/>
          <w:sz w:val="24"/>
          <w:szCs w:val="24"/>
        </w:rPr>
        <w:t xml:space="preserve">sexes </w:t>
      </w:r>
      <w:r w:rsidR="00300666" w:rsidRPr="00472C9F">
        <w:rPr>
          <w:rFonts w:ascii="Calibri" w:hAnsi="Calibri" w:cs="Calibri"/>
          <w:sz w:val="24"/>
          <w:szCs w:val="24"/>
        </w:rPr>
        <w:t>in employment,</w:t>
      </w:r>
      <w:r w:rsidRPr="00472C9F">
        <w:rPr>
          <w:rFonts w:ascii="Calibri" w:hAnsi="Calibri" w:cs="Calibri"/>
          <w:sz w:val="24"/>
          <w:szCs w:val="24"/>
        </w:rPr>
        <w:t xml:space="preserve"> including the Equal Pay Directive 1975</w:t>
      </w:r>
      <w:r w:rsidRPr="00472C9F">
        <w:rPr>
          <w:rStyle w:val="FootnoteReference"/>
          <w:rFonts w:ascii="Calibri" w:hAnsi="Calibri" w:cs="Calibri"/>
          <w:sz w:val="24"/>
          <w:szCs w:val="24"/>
        </w:rPr>
        <w:footnoteReference w:id="174"/>
      </w:r>
      <w:r w:rsidRPr="00472C9F">
        <w:rPr>
          <w:rFonts w:ascii="Calibri" w:hAnsi="Calibri" w:cs="Calibri"/>
          <w:sz w:val="24"/>
          <w:szCs w:val="24"/>
        </w:rPr>
        <w:t xml:space="preserve"> and the Equal Treatment Directive 1976.</w:t>
      </w:r>
      <w:r w:rsidRPr="00472C9F">
        <w:rPr>
          <w:rStyle w:val="FootnoteReference"/>
          <w:rFonts w:ascii="Calibri" w:hAnsi="Calibri" w:cs="Calibri"/>
          <w:sz w:val="24"/>
          <w:szCs w:val="24"/>
        </w:rPr>
        <w:footnoteReference w:id="175"/>
      </w:r>
      <w:r w:rsidRPr="00472C9F">
        <w:rPr>
          <w:rFonts w:ascii="Calibri" w:hAnsi="Calibri" w:cs="Calibri"/>
          <w:sz w:val="24"/>
          <w:szCs w:val="24"/>
        </w:rPr>
        <w:t xml:space="preserve"> The latter expanded equal treatment to many wider issues related to employment including access, training, promotion and conditions of work.</w:t>
      </w:r>
      <w:r w:rsidRPr="00472C9F">
        <w:rPr>
          <w:rStyle w:val="FootnoteReference"/>
          <w:rFonts w:ascii="Calibri" w:hAnsi="Calibri" w:cs="Calibri"/>
          <w:sz w:val="24"/>
          <w:szCs w:val="24"/>
        </w:rPr>
        <w:footnoteReference w:id="176"/>
      </w:r>
      <w:r w:rsidRPr="00472C9F">
        <w:rPr>
          <w:rFonts w:ascii="Calibri" w:hAnsi="Calibri" w:cs="Calibri"/>
          <w:sz w:val="24"/>
          <w:szCs w:val="24"/>
        </w:rPr>
        <w:t xml:space="preserve"> Subsequently</w:t>
      </w:r>
      <w:r w:rsidR="00794FEB" w:rsidRPr="00472C9F">
        <w:rPr>
          <w:rFonts w:ascii="Calibri" w:hAnsi="Calibri" w:cs="Calibri"/>
          <w:sz w:val="24"/>
          <w:szCs w:val="24"/>
        </w:rPr>
        <w:t>,</w:t>
      </w:r>
      <w:r w:rsidRPr="00472C9F">
        <w:rPr>
          <w:rFonts w:ascii="Calibri" w:hAnsi="Calibri" w:cs="Calibri"/>
          <w:sz w:val="24"/>
          <w:szCs w:val="24"/>
        </w:rPr>
        <w:t xml:space="preserve"> the EU began adopting numerous related directives to tackle specific areas of gender discrimination.</w:t>
      </w:r>
      <w:r w:rsidRPr="00472C9F">
        <w:rPr>
          <w:rStyle w:val="FootnoteReference"/>
          <w:rFonts w:ascii="Calibri" w:hAnsi="Calibri" w:cs="Calibri"/>
          <w:sz w:val="24"/>
          <w:szCs w:val="24"/>
        </w:rPr>
        <w:footnoteReference w:id="177"/>
      </w:r>
      <w:r w:rsidRPr="00472C9F">
        <w:rPr>
          <w:rFonts w:ascii="Calibri" w:hAnsi="Calibri" w:cs="Calibri"/>
          <w:sz w:val="24"/>
          <w:szCs w:val="24"/>
        </w:rPr>
        <w:t xml:space="preserve"> Following the Amsterdam Treaty in 1999</w:t>
      </w:r>
      <w:r w:rsidR="00794FEB" w:rsidRPr="00472C9F">
        <w:rPr>
          <w:rFonts w:ascii="Calibri" w:hAnsi="Calibri" w:cs="Calibri"/>
          <w:sz w:val="24"/>
          <w:szCs w:val="24"/>
        </w:rPr>
        <w:t>,</w:t>
      </w:r>
      <w:r w:rsidRPr="00472C9F">
        <w:rPr>
          <w:rFonts w:ascii="Calibri" w:hAnsi="Calibri" w:cs="Calibri"/>
          <w:sz w:val="24"/>
          <w:szCs w:val="24"/>
        </w:rPr>
        <w:t xml:space="preserve"> equality between men and women became a ‘major mission’ at the same level in some commentator</w:t>
      </w:r>
      <w:r w:rsidR="000D121C">
        <w:rPr>
          <w:rFonts w:ascii="Calibri" w:hAnsi="Calibri" w:cs="Calibri"/>
          <w:sz w:val="24"/>
          <w:szCs w:val="24"/>
        </w:rPr>
        <w:t>s</w:t>
      </w:r>
      <w:r w:rsidRPr="00472C9F">
        <w:rPr>
          <w:rFonts w:ascii="Calibri" w:hAnsi="Calibri" w:cs="Calibri"/>
          <w:sz w:val="24"/>
          <w:szCs w:val="24"/>
        </w:rPr>
        <w:t>’ views as ‘economic development and cohesion</w:t>
      </w:r>
      <w:r w:rsidR="00794BBC" w:rsidRPr="00472C9F">
        <w:rPr>
          <w:rFonts w:ascii="Calibri" w:hAnsi="Calibri" w:cs="Calibri"/>
          <w:sz w:val="24"/>
          <w:szCs w:val="24"/>
        </w:rPr>
        <w:t>’.</w:t>
      </w:r>
      <w:r w:rsidRPr="00472C9F">
        <w:rPr>
          <w:rStyle w:val="FootnoteReference"/>
          <w:rFonts w:ascii="Calibri" w:hAnsi="Calibri" w:cs="Calibri"/>
          <w:sz w:val="24"/>
          <w:szCs w:val="24"/>
        </w:rPr>
        <w:footnoteReference w:id="178"/>
      </w:r>
      <w:r w:rsidRPr="00472C9F">
        <w:rPr>
          <w:rFonts w:ascii="Calibri" w:hAnsi="Calibri" w:cs="Calibri"/>
          <w:sz w:val="24"/>
          <w:szCs w:val="24"/>
        </w:rPr>
        <w:t xml:space="preserve"> The ‘Recast’ Equal Treatment Directive 2006/</w:t>
      </w:r>
      <w:r w:rsidR="00702551">
        <w:rPr>
          <w:rFonts w:ascii="Calibri" w:hAnsi="Calibri" w:cs="Calibri"/>
          <w:sz w:val="24"/>
          <w:szCs w:val="24"/>
        </w:rPr>
        <w:t>54</w:t>
      </w:r>
      <w:r w:rsidRPr="00472C9F">
        <w:rPr>
          <w:rFonts w:ascii="Calibri" w:hAnsi="Calibri" w:cs="Calibri"/>
          <w:sz w:val="24"/>
          <w:szCs w:val="24"/>
        </w:rPr>
        <w:t xml:space="preserve"> systemi</w:t>
      </w:r>
      <w:r w:rsidR="00C34E66">
        <w:rPr>
          <w:rFonts w:ascii="Calibri" w:hAnsi="Calibri" w:cs="Calibri"/>
          <w:sz w:val="24"/>
          <w:szCs w:val="24"/>
        </w:rPr>
        <w:t>s</w:t>
      </w:r>
      <w:r w:rsidRPr="00472C9F">
        <w:rPr>
          <w:rFonts w:ascii="Calibri" w:hAnsi="Calibri" w:cs="Calibri"/>
          <w:sz w:val="24"/>
          <w:szCs w:val="24"/>
        </w:rPr>
        <w:t>ed and simplified the existing legislation into one place,</w:t>
      </w:r>
      <w:r w:rsidRPr="00472C9F">
        <w:rPr>
          <w:rStyle w:val="FootnoteReference"/>
          <w:rFonts w:ascii="Calibri" w:hAnsi="Calibri" w:cs="Calibri"/>
          <w:sz w:val="24"/>
          <w:szCs w:val="24"/>
        </w:rPr>
        <w:footnoteReference w:id="179"/>
      </w:r>
      <w:r w:rsidRPr="00472C9F">
        <w:rPr>
          <w:rFonts w:ascii="Calibri" w:hAnsi="Calibri" w:cs="Calibri"/>
          <w:sz w:val="24"/>
          <w:szCs w:val="24"/>
        </w:rPr>
        <w:t xml:space="preserve"> clarifying the EU’s prohibition of direct and indirect discrimination.</w:t>
      </w:r>
      <w:r w:rsidRPr="00472C9F">
        <w:rPr>
          <w:rStyle w:val="FootnoteReference"/>
          <w:rFonts w:ascii="Calibri" w:hAnsi="Calibri" w:cs="Calibri"/>
          <w:sz w:val="24"/>
          <w:szCs w:val="24"/>
        </w:rPr>
        <w:footnoteReference w:id="180"/>
      </w:r>
      <w:r w:rsidRPr="00472C9F">
        <w:rPr>
          <w:rFonts w:ascii="Calibri" w:hAnsi="Calibri" w:cs="Calibri"/>
          <w:sz w:val="24"/>
          <w:szCs w:val="24"/>
        </w:rPr>
        <w:t xml:space="preserve"> The Lisbon Treaty in 2009 and EU Charter on Fundamental Rights both emphasised gender equality. </w:t>
      </w:r>
      <w:r w:rsidRPr="00472C9F">
        <w:rPr>
          <w:rFonts w:ascii="Calibri" w:hAnsi="Calibri" w:cs="Calibri"/>
          <w:color w:val="000000"/>
          <w:sz w:val="24"/>
          <w:szCs w:val="24"/>
        </w:rPr>
        <w:t>Article 153 TFEU makes equal treatment of men and women in the labour market a sphere of supportive and ‘complementary’ EU action, allowing for the adoption of ‘minimum requirement’ directives.</w:t>
      </w:r>
      <w:r w:rsidRPr="00472C9F">
        <w:rPr>
          <w:rFonts w:ascii="Calibri" w:hAnsi="Calibri" w:cs="Calibri"/>
          <w:sz w:val="24"/>
          <w:szCs w:val="24"/>
        </w:rPr>
        <w:t xml:space="preserve"> Article 23 of the Charter, which has equal status to that of the Treaties</w:t>
      </w:r>
      <w:r w:rsidR="00075EBC">
        <w:rPr>
          <w:rFonts w:ascii="Calibri" w:hAnsi="Calibri" w:cs="Calibri"/>
          <w:sz w:val="24"/>
          <w:szCs w:val="24"/>
        </w:rPr>
        <w:t>,</w:t>
      </w:r>
      <w:r w:rsidRPr="00472C9F">
        <w:rPr>
          <w:rFonts w:ascii="Calibri" w:hAnsi="Calibri" w:cs="Calibri"/>
          <w:sz w:val="24"/>
          <w:szCs w:val="24"/>
        </w:rPr>
        <w:t xml:space="preserve"> now provides that </w:t>
      </w:r>
      <w:r w:rsidRPr="00472C9F">
        <w:rPr>
          <w:rFonts w:ascii="Calibri" w:hAnsi="Calibri" w:cs="Calibri"/>
          <w:sz w:val="24"/>
          <w:szCs w:val="24"/>
        </w:rPr>
        <w:lastRenderedPageBreak/>
        <w:t>‘equality between men and women should be ensured in all areas including employment, work and pay’.</w:t>
      </w:r>
      <w:r w:rsidRPr="00472C9F">
        <w:rPr>
          <w:rStyle w:val="FootnoteReference"/>
          <w:rFonts w:ascii="Calibri" w:hAnsi="Calibri" w:cs="Calibri"/>
          <w:sz w:val="24"/>
          <w:szCs w:val="24"/>
        </w:rPr>
        <w:footnoteReference w:id="181"/>
      </w:r>
    </w:p>
    <w:p w14:paraId="1BF07DAE" w14:textId="77777777" w:rsidR="004A1DEB" w:rsidRDefault="004A1DEB" w:rsidP="0059780E">
      <w:pPr>
        <w:spacing w:after="0" w:line="360" w:lineRule="auto"/>
        <w:jc w:val="both"/>
        <w:textAlignment w:val="baseline"/>
        <w:rPr>
          <w:rFonts w:ascii="Calibri" w:hAnsi="Calibri" w:cs="Calibri"/>
          <w:sz w:val="24"/>
          <w:szCs w:val="24"/>
        </w:rPr>
      </w:pPr>
    </w:p>
    <w:p w14:paraId="588CCFE5" w14:textId="4C70BC31" w:rsidR="00300666" w:rsidRPr="00472C9F" w:rsidRDefault="00300666" w:rsidP="0059780E">
      <w:pPr>
        <w:spacing w:after="0" w:line="360" w:lineRule="auto"/>
        <w:jc w:val="both"/>
        <w:textAlignment w:val="baseline"/>
        <w:rPr>
          <w:rFonts w:ascii="Calibri" w:hAnsi="Calibri" w:cs="Calibri"/>
          <w:sz w:val="24"/>
          <w:szCs w:val="24"/>
        </w:rPr>
      </w:pPr>
      <w:r w:rsidRPr="00472C9F">
        <w:rPr>
          <w:rFonts w:ascii="Calibri" w:hAnsi="Calibri" w:cs="Calibri"/>
          <w:color w:val="000000"/>
          <w:sz w:val="24"/>
          <w:szCs w:val="24"/>
        </w:rPr>
        <w:t>However</w:t>
      </w:r>
      <w:r w:rsidR="00794FEB" w:rsidRPr="00472C9F">
        <w:rPr>
          <w:rFonts w:ascii="Calibri" w:hAnsi="Calibri" w:cs="Calibri"/>
          <w:color w:val="000000"/>
          <w:sz w:val="24"/>
          <w:szCs w:val="24"/>
        </w:rPr>
        <w:t>,</w:t>
      </w:r>
      <w:r w:rsidRPr="00472C9F">
        <w:rPr>
          <w:rFonts w:ascii="Calibri" w:hAnsi="Calibri" w:cs="Calibri"/>
          <w:color w:val="000000"/>
          <w:sz w:val="24"/>
          <w:szCs w:val="24"/>
        </w:rPr>
        <w:t xml:space="preserve"> this legislation did not provide any opportunities for lesbians and gays seeking equality at work. It is true that for several decades (until the Amsterdam Treaty 1999) EU law involvement concentrated almost exclusively on sex equality in the employment context. </w:t>
      </w:r>
      <w:r w:rsidRPr="00472C9F">
        <w:rPr>
          <w:rFonts w:ascii="Calibri" w:eastAsiaTheme="minorEastAsia" w:hAnsi="Calibri" w:cs="Calibri"/>
          <w:kern w:val="24"/>
          <w:sz w:val="24"/>
          <w:szCs w:val="24"/>
        </w:rPr>
        <w:t>Initially</w:t>
      </w:r>
      <w:r w:rsidR="00794FEB" w:rsidRPr="00472C9F">
        <w:rPr>
          <w:rFonts w:ascii="Calibri" w:eastAsiaTheme="minorEastAsia" w:hAnsi="Calibri" w:cs="Calibri"/>
          <w:kern w:val="24"/>
          <w:sz w:val="24"/>
          <w:szCs w:val="24"/>
        </w:rPr>
        <w:t>,</w:t>
      </w:r>
      <w:r w:rsidRPr="00472C9F">
        <w:rPr>
          <w:rFonts w:ascii="Calibri" w:eastAsiaTheme="minorEastAsia" w:hAnsi="Calibri" w:cs="Calibri"/>
          <w:kern w:val="24"/>
          <w:sz w:val="24"/>
          <w:szCs w:val="24"/>
        </w:rPr>
        <w:t xml:space="preserve"> the CJEU followed a very conservative or ‘reticent’ approach towards lesbians and gays.</w:t>
      </w:r>
      <w:r w:rsidRPr="00472C9F">
        <w:rPr>
          <w:rStyle w:val="FootnoteReference"/>
          <w:rFonts w:ascii="Calibri" w:eastAsiaTheme="minorEastAsia" w:hAnsi="Calibri" w:cs="Calibri"/>
          <w:kern w:val="24"/>
          <w:sz w:val="24"/>
          <w:szCs w:val="24"/>
        </w:rPr>
        <w:footnoteReference w:id="182"/>
      </w:r>
      <w:r w:rsidRPr="00472C9F">
        <w:rPr>
          <w:rFonts w:ascii="Calibri" w:eastAsiaTheme="minorEastAsia" w:hAnsi="Calibri" w:cs="Calibri"/>
          <w:kern w:val="24"/>
          <w:sz w:val="24"/>
          <w:szCs w:val="24"/>
        </w:rPr>
        <w:t xml:space="preserve"> The first case brought to the CJEU claiming sexual orientation discrimination in employment failed because </w:t>
      </w:r>
      <w:r w:rsidR="00794FEB" w:rsidRPr="00472C9F">
        <w:rPr>
          <w:rFonts w:ascii="Calibri" w:eastAsiaTheme="minorEastAsia" w:hAnsi="Calibri" w:cs="Calibri"/>
          <w:kern w:val="24"/>
          <w:sz w:val="24"/>
          <w:szCs w:val="24"/>
        </w:rPr>
        <w:t xml:space="preserve">the </w:t>
      </w:r>
      <w:r w:rsidRPr="00472C9F">
        <w:rPr>
          <w:rFonts w:ascii="Calibri" w:eastAsiaTheme="minorEastAsia" w:hAnsi="Calibri" w:cs="Calibri"/>
          <w:kern w:val="24"/>
          <w:sz w:val="24"/>
          <w:szCs w:val="24"/>
        </w:rPr>
        <w:t>EU at the time did not prohibit discrimination on the basis of sexual orientation and did not consider same-sex relationships as ‘equivalent to opposite-sex marriages</w:t>
      </w:r>
      <w:r w:rsidR="00794BBC" w:rsidRPr="00472C9F">
        <w:rPr>
          <w:rFonts w:ascii="Calibri" w:eastAsiaTheme="minorEastAsia" w:hAnsi="Calibri" w:cs="Calibri"/>
          <w:kern w:val="24"/>
          <w:sz w:val="24"/>
          <w:szCs w:val="24"/>
        </w:rPr>
        <w:t>’.</w:t>
      </w:r>
      <w:r w:rsidRPr="00472C9F">
        <w:rPr>
          <w:rStyle w:val="FootnoteReference"/>
          <w:rFonts w:ascii="Calibri" w:hAnsi="Calibri" w:cs="Calibri"/>
          <w:sz w:val="24"/>
          <w:szCs w:val="24"/>
        </w:rPr>
        <w:footnoteReference w:id="183"/>
      </w:r>
      <w:r w:rsidRPr="00472C9F">
        <w:rPr>
          <w:rFonts w:ascii="Calibri" w:eastAsiaTheme="minorEastAsia" w:hAnsi="Calibri" w:cs="Calibri"/>
          <w:kern w:val="24"/>
          <w:sz w:val="24"/>
          <w:szCs w:val="24"/>
        </w:rPr>
        <w:t xml:space="preserve"> </w:t>
      </w:r>
      <w:r w:rsidRPr="00472C9F">
        <w:rPr>
          <w:rFonts w:ascii="Calibri" w:hAnsi="Calibri" w:cs="Calibri"/>
          <w:sz w:val="24"/>
          <w:szCs w:val="24"/>
        </w:rPr>
        <w:t xml:space="preserve">Following </w:t>
      </w:r>
      <w:r w:rsidR="00092096" w:rsidRPr="00472C9F">
        <w:rPr>
          <w:rFonts w:ascii="Calibri" w:hAnsi="Calibri" w:cs="Calibri"/>
          <w:sz w:val="24"/>
          <w:szCs w:val="24"/>
        </w:rPr>
        <w:t>the Amsterdam Treaty 1999</w:t>
      </w:r>
      <w:r w:rsidRPr="00472C9F">
        <w:rPr>
          <w:rFonts w:ascii="Calibri" w:hAnsi="Calibri" w:cs="Calibri"/>
          <w:sz w:val="24"/>
          <w:szCs w:val="24"/>
        </w:rPr>
        <w:t>, Article 19</w:t>
      </w:r>
      <w:r w:rsidR="00092096" w:rsidRPr="00472C9F">
        <w:rPr>
          <w:rFonts w:ascii="Calibri" w:hAnsi="Calibri" w:cs="Calibri"/>
          <w:sz w:val="24"/>
          <w:szCs w:val="24"/>
        </w:rPr>
        <w:t xml:space="preserve"> </w:t>
      </w:r>
      <w:r w:rsidRPr="00472C9F">
        <w:rPr>
          <w:rFonts w:ascii="Calibri" w:hAnsi="Calibri" w:cs="Calibri"/>
          <w:sz w:val="24"/>
          <w:szCs w:val="24"/>
        </w:rPr>
        <w:t>TFEU gave the EU competence to create legislation prohibiting discrimination on a number of protected characteristics. T</w:t>
      </w:r>
      <w:r w:rsidRPr="00472C9F">
        <w:rPr>
          <w:rFonts w:ascii="Calibri" w:hAnsi="Calibri" w:cs="Calibri"/>
          <w:color w:val="000000"/>
          <w:sz w:val="24"/>
          <w:szCs w:val="24"/>
        </w:rPr>
        <w:t xml:space="preserve">he Framework Employment Directive 2000/78 was subsequently enacted prohibiting employment-based discrimination on a range of protected characteristics including </w:t>
      </w:r>
      <w:r w:rsidRPr="00472C9F">
        <w:rPr>
          <w:rFonts w:ascii="Calibri" w:eastAsia="Times New Roman" w:hAnsi="Calibri" w:cs="Calibri"/>
          <w:kern w:val="3"/>
          <w:sz w:val="24"/>
          <w:szCs w:val="24"/>
          <w:lang w:eastAsia="en-GB"/>
        </w:rPr>
        <w:t>sexual orientation.</w:t>
      </w:r>
      <w:r w:rsidRPr="00472C9F">
        <w:rPr>
          <w:rStyle w:val="FootnoteReference"/>
          <w:rFonts w:ascii="Calibri" w:eastAsia="Times New Roman" w:hAnsi="Calibri" w:cs="Calibri"/>
          <w:kern w:val="3"/>
          <w:sz w:val="24"/>
          <w:szCs w:val="24"/>
          <w:lang w:eastAsia="en-GB"/>
        </w:rPr>
        <w:footnoteReference w:id="184"/>
      </w:r>
      <w:r w:rsidRPr="00472C9F">
        <w:rPr>
          <w:rFonts w:ascii="Calibri" w:eastAsia="Times New Roman" w:hAnsi="Calibri" w:cs="Calibri"/>
          <w:kern w:val="3"/>
          <w:sz w:val="24"/>
          <w:szCs w:val="24"/>
          <w:lang w:eastAsia="en-GB"/>
        </w:rPr>
        <w:t xml:space="preserve"> </w:t>
      </w:r>
      <w:r w:rsidRPr="00472C9F">
        <w:rPr>
          <w:rFonts w:ascii="Calibri" w:hAnsi="Calibri" w:cs="Calibri"/>
          <w:color w:val="000000"/>
          <w:sz w:val="24"/>
          <w:szCs w:val="24"/>
        </w:rPr>
        <w:t xml:space="preserve">Article 21 of the EU Charter on Fundamental Rights 2009 now prohibits discrimination on a wide range of grounds including sexual orientation. </w:t>
      </w:r>
      <w:r w:rsidRPr="00472C9F">
        <w:rPr>
          <w:rFonts w:ascii="Calibri" w:hAnsi="Calibri" w:cs="Calibri"/>
          <w:sz w:val="24"/>
          <w:szCs w:val="24"/>
        </w:rPr>
        <w:t>Several authors have therefore concluded that following Amsterdam</w:t>
      </w:r>
      <w:r w:rsidR="00794FEB" w:rsidRPr="00472C9F">
        <w:rPr>
          <w:rFonts w:ascii="Calibri" w:hAnsi="Calibri" w:cs="Calibri"/>
          <w:sz w:val="24"/>
          <w:szCs w:val="24"/>
        </w:rPr>
        <w:t>,</w:t>
      </w:r>
      <w:r w:rsidRPr="00472C9F">
        <w:rPr>
          <w:rFonts w:ascii="Calibri" w:hAnsi="Calibri" w:cs="Calibri"/>
          <w:sz w:val="24"/>
          <w:szCs w:val="24"/>
        </w:rPr>
        <w:t xml:space="preserve"> ‘gender equality and non-discrimination’ are the</w:t>
      </w:r>
      <w:r w:rsidR="00253573" w:rsidRPr="00472C9F">
        <w:rPr>
          <w:rFonts w:ascii="Calibri" w:hAnsi="Calibri" w:cs="Calibri"/>
          <w:sz w:val="24"/>
          <w:szCs w:val="24"/>
        </w:rPr>
        <w:t xml:space="preserve"> ‘</w:t>
      </w:r>
      <w:r w:rsidRPr="00472C9F">
        <w:rPr>
          <w:rFonts w:ascii="Calibri" w:hAnsi="Calibri" w:cs="Calibri"/>
          <w:sz w:val="24"/>
          <w:szCs w:val="24"/>
        </w:rPr>
        <w:t>guiding legal principles of the union’.</w:t>
      </w:r>
      <w:r w:rsidRPr="00472C9F">
        <w:rPr>
          <w:rStyle w:val="FootnoteReference"/>
          <w:rFonts w:ascii="Calibri" w:hAnsi="Calibri" w:cs="Calibri"/>
          <w:sz w:val="24"/>
          <w:szCs w:val="24"/>
        </w:rPr>
        <w:footnoteReference w:id="185"/>
      </w:r>
      <w:r w:rsidRPr="00472C9F">
        <w:rPr>
          <w:rFonts w:ascii="Calibri" w:hAnsi="Calibri" w:cs="Calibri"/>
          <w:sz w:val="24"/>
          <w:szCs w:val="24"/>
        </w:rPr>
        <w:t xml:space="preserve"> It could also be argued that the specific reference to sexual orientation as a protected characteristic is further reaching that the European Convention on Human Rights which has no reference to </w:t>
      </w:r>
      <w:r w:rsidR="00F26DA3" w:rsidRPr="00472C9F">
        <w:rPr>
          <w:rFonts w:ascii="Calibri" w:hAnsi="Calibri" w:cs="Calibri"/>
          <w:sz w:val="24"/>
          <w:szCs w:val="24"/>
        </w:rPr>
        <w:t>this specific criterion</w:t>
      </w:r>
      <w:r w:rsidRPr="00472C9F">
        <w:rPr>
          <w:rFonts w:ascii="Calibri" w:hAnsi="Calibri" w:cs="Calibri"/>
          <w:sz w:val="24"/>
          <w:szCs w:val="24"/>
        </w:rPr>
        <w:t xml:space="preserve"> and depends on case law interpretation. </w:t>
      </w:r>
    </w:p>
    <w:p w14:paraId="2D107629" w14:textId="77777777" w:rsidR="00300666" w:rsidRPr="00472C9F" w:rsidRDefault="00300666" w:rsidP="0059780E">
      <w:pPr>
        <w:tabs>
          <w:tab w:val="left" w:pos="720"/>
        </w:tabs>
        <w:autoSpaceDN w:val="0"/>
        <w:spacing w:after="0" w:line="360" w:lineRule="auto"/>
        <w:contextualSpacing/>
        <w:jc w:val="both"/>
        <w:rPr>
          <w:rFonts w:ascii="Calibri" w:hAnsi="Calibri" w:cs="Calibri"/>
          <w:b/>
          <w:bCs/>
          <w:sz w:val="24"/>
          <w:szCs w:val="24"/>
        </w:rPr>
      </w:pPr>
    </w:p>
    <w:p w14:paraId="2D90A866" w14:textId="6B295529" w:rsidR="00F26DA3" w:rsidRPr="00472C9F" w:rsidRDefault="00300666" w:rsidP="0059780E">
      <w:pPr>
        <w:tabs>
          <w:tab w:val="left" w:pos="720"/>
        </w:tabs>
        <w:autoSpaceDN w:val="0"/>
        <w:spacing w:after="0" w:line="360" w:lineRule="auto"/>
        <w:contextualSpacing/>
        <w:jc w:val="both"/>
        <w:rPr>
          <w:rFonts w:ascii="Calibri" w:eastAsia="Times New Roman" w:hAnsi="Calibri" w:cs="Calibri"/>
          <w:kern w:val="3"/>
          <w:sz w:val="24"/>
          <w:szCs w:val="24"/>
          <w:lang w:eastAsia="en-GB"/>
        </w:rPr>
      </w:pPr>
      <w:r w:rsidRPr="00472C9F">
        <w:rPr>
          <w:rFonts w:ascii="Calibri" w:hAnsi="Calibri" w:cs="Calibri"/>
          <w:sz w:val="24"/>
          <w:szCs w:val="24"/>
        </w:rPr>
        <w:t>The EU Framework Employment Directive</w:t>
      </w:r>
      <w:r w:rsidR="00B22CFB" w:rsidRPr="00472C9F">
        <w:rPr>
          <w:rFonts w:ascii="Calibri" w:hAnsi="Calibri" w:cs="Calibri"/>
          <w:sz w:val="24"/>
          <w:szCs w:val="24"/>
        </w:rPr>
        <w:t xml:space="preserve"> (2000)</w:t>
      </w:r>
      <w:r w:rsidRPr="00472C9F">
        <w:rPr>
          <w:rFonts w:ascii="Calibri" w:hAnsi="Calibri" w:cs="Calibri"/>
          <w:sz w:val="24"/>
          <w:szCs w:val="24"/>
        </w:rPr>
        <w:t xml:space="preserve"> prohibits discrimination </w:t>
      </w:r>
      <w:proofErr w:type="gramStart"/>
      <w:r w:rsidRPr="00472C9F">
        <w:rPr>
          <w:rFonts w:ascii="Calibri" w:hAnsi="Calibri" w:cs="Calibri"/>
          <w:sz w:val="24"/>
          <w:szCs w:val="24"/>
        </w:rPr>
        <w:t>in the area of</w:t>
      </w:r>
      <w:proofErr w:type="gramEnd"/>
      <w:r w:rsidRPr="00472C9F">
        <w:rPr>
          <w:rFonts w:ascii="Calibri" w:hAnsi="Calibri" w:cs="Calibri"/>
          <w:sz w:val="24"/>
          <w:szCs w:val="24"/>
        </w:rPr>
        <w:t xml:space="preserve"> employment, including for lesbians and gays. It is correct to state that what is deemed to fall within the scope of employment has been interpreted widely. This includes (</w:t>
      </w:r>
      <w:proofErr w:type="spellStart"/>
      <w:r w:rsidRPr="00472C9F">
        <w:rPr>
          <w:rFonts w:ascii="Calibri" w:hAnsi="Calibri" w:cs="Calibri"/>
          <w:sz w:val="24"/>
          <w:szCs w:val="24"/>
        </w:rPr>
        <w:t>i</w:t>
      </w:r>
      <w:proofErr w:type="spellEnd"/>
      <w:r w:rsidRPr="00472C9F">
        <w:rPr>
          <w:rFonts w:ascii="Calibri" w:hAnsi="Calibri" w:cs="Calibri"/>
          <w:sz w:val="24"/>
          <w:szCs w:val="24"/>
        </w:rPr>
        <w:t xml:space="preserve">) </w:t>
      </w:r>
      <w:r w:rsidRPr="00472C9F">
        <w:rPr>
          <w:rFonts w:ascii="Calibri" w:eastAsia="Times New Roman" w:hAnsi="Calibri" w:cs="Calibri"/>
          <w:sz w:val="24"/>
          <w:szCs w:val="24"/>
          <w:lang w:eastAsia="en-GB"/>
        </w:rPr>
        <w:t xml:space="preserve">access to employment including selection criteria, recruitment and promotion, </w:t>
      </w:r>
      <w:r w:rsidRPr="00472C9F">
        <w:rPr>
          <w:rFonts w:ascii="Calibri" w:hAnsi="Calibri" w:cs="Calibri"/>
          <w:sz w:val="24"/>
          <w:szCs w:val="24"/>
        </w:rPr>
        <w:t xml:space="preserve">(ii) </w:t>
      </w:r>
      <w:r w:rsidRPr="00472C9F">
        <w:rPr>
          <w:rFonts w:ascii="Calibri" w:eastAsia="Times New Roman" w:hAnsi="Calibri" w:cs="Calibri"/>
          <w:sz w:val="24"/>
          <w:szCs w:val="24"/>
          <w:lang w:eastAsia="en-GB"/>
        </w:rPr>
        <w:t>access to vocational guidance training and retraining,</w:t>
      </w:r>
      <w:r w:rsidRPr="00472C9F">
        <w:rPr>
          <w:rFonts w:ascii="Calibri" w:hAnsi="Calibri" w:cs="Calibri"/>
          <w:sz w:val="24"/>
          <w:szCs w:val="24"/>
        </w:rPr>
        <w:t xml:space="preserve"> (iii) </w:t>
      </w:r>
      <w:r w:rsidRPr="00472C9F">
        <w:rPr>
          <w:rFonts w:ascii="Calibri" w:eastAsia="Times New Roman" w:hAnsi="Calibri" w:cs="Calibri"/>
          <w:sz w:val="24"/>
          <w:szCs w:val="24"/>
          <w:lang w:eastAsia="en-GB"/>
        </w:rPr>
        <w:t xml:space="preserve">employment and working conditions, including dismissal </w:t>
      </w:r>
      <w:r w:rsidRPr="00472C9F">
        <w:rPr>
          <w:rFonts w:ascii="Calibri" w:eastAsia="Times New Roman" w:hAnsi="Calibri" w:cs="Calibri"/>
          <w:sz w:val="24"/>
          <w:szCs w:val="24"/>
          <w:lang w:eastAsia="en-GB"/>
        </w:rPr>
        <w:lastRenderedPageBreak/>
        <w:t>and pay</w:t>
      </w:r>
      <w:r w:rsidRPr="00472C9F">
        <w:rPr>
          <w:rFonts w:ascii="Calibri" w:hAnsi="Calibri" w:cs="Calibri"/>
          <w:sz w:val="24"/>
          <w:szCs w:val="24"/>
        </w:rPr>
        <w:t xml:space="preserve"> and </w:t>
      </w:r>
      <w:r w:rsidRPr="00472C9F">
        <w:rPr>
          <w:rFonts w:ascii="Calibri" w:eastAsia="Times New Roman" w:hAnsi="Calibri" w:cs="Calibri"/>
          <w:sz w:val="24"/>
          <w:szCs w:val="24"/>
          <w:lang w:eastAsia="en-GB"/>
        </w:rPr>
        <w:t>membership of and involvement in workers’ or employers’ organisations.</w:t>
      </w:r>
      <w:r w:rsidRPr="00472C9F">
        <w:rPr>
          <w:rStyle w:val="FootnoteReference"/>
          <w:rFonts w:ascii="Calibri" w:eastAsia="Times New Roman" w:hAnsi="Calibri" w:cs="Calibri"/>
          <w:sz w:val="24"/>
          <w:szCs w:val="24"/>
          <w:lang w:eastAsia="en-GB"/>
        </w:rPr>
        <w:footnoteReference w:id="186"/>
      </w:r>
      <w:r w:rsidRPr="00472C9F">
        <w:rPr>
          <w:rFonts w:ascii="Calibri" w:eastAsia="Times New Roman" w:hAnsi="Calibri" w:cs="Calibri"/>
          <w:sz w:val="24"/>
          <w:szCs w:val="24"/>
          <w:lang w:eastAsia="en-GB"/>
        </w:rPr>
        <w:t xml:space="preserve"> Case law has also given extensive interpretation to the Framework Employment Directive to include statements made outside of a recruitment context. For example in </w:t>
      </w:r>
      <w:proofErr w:type="spellStart"/>
      <w:r w:rsidRPr="00472C9F">
        <w:rPr>
          <w:rFonts w:ascii="Calibri" w:eastAsia="Times New Roman" w:hAnsi="Calibri" w:cs="Calibri"/>
          <w:i/>
          <w:iCs/>
          <w:sz w:val="24"/>
          <w:szCs w:val="24"/>
          <w:lang w:eastAsia="en-GB"/>
        </w:rPr>
        <w:t>Associatia</w:t>
      </w:r>
      <w:proofErr w:type="spellEnd"/>
      <w:r w:rsidRPr="00472C9F">
        <w:rPr>
          <w:rFonts w:ascii="Calibri" w:eastAsia="Times New Roman" w:hAnsi="Calibri" w:cs="Calibri"/>
          <w:i/>
          <w:iCs/>
          <w:sz w:val="24"/>
          <w:szCs w:val="24"/>
          <w:lang w:eastAsia="en-GB"/>
        </w:rPr>
        <w:t xml:space="preserve"> Accept</w:t>
      </w:r>
      <w:r w:rsidR="00794FEB" w:rsidRPr="00472C9F">
        <w:rPr>
          <w:rFonts w:ascii="Calibri" w:eastAsia="Times New Roman" w:hAnsi="Calibri" w:cs="Calibri"/>
          <w:sz w:val="24"/>
          <w:szCs w:val="24"/>
          <w:lang w:eastAsia="en-GB"/>
        </w:rPr>
        <w:t>, the</w:t>
      </w:r>
      <w:r w:rsidRPr="00472C9F">
        <w:rPr>
          <w:rFonts w:ascii="Calibri" w:eastAsia="Times New Roman" w:hAnsi="Calibri" w:cs="Calibri"/>
          <w:sz w:val="24"/>
          <w:szCs w:val="24"/>
          <w:lang w:eastAsia="en-GB"/>
        </w:rPr>
        <w:t xml:space="preserve"> homophobic remarks made by a shareholder of a football club to the effect that he would never hire a gay person, were found by the CJEU to fall within the Framework Employment Directive, and to be attributed to the club, despite no recruitment procedure being underway.</w:t>
      </w:r>
      <w:r w:rsidRPr="00472C9F">
        <w:rPr>
          <w:rStyle w:val="FootnoteReference"/>
          <w:rFonts w:ascii="Calibri" w:eastAsia="Times New Roman" w:hAnsi="Calibri" w:cs="Calibri"/>
          <w:sz w:val="24"/>
          <w:szCs w:val="24"/>
          <w:lang w:eastAsia="en-GB"/>
        </w:rPr>
        <w:footnoteReference w:id="187"/>
      </w:r>
      <w:r w:rsidRPr="00472C9F">
        <w:rPr>
          <w:rFonts w:ascii="Calibri" w:eastAsia="Times New Roman" w:hAnsi="Calibri" w:cs="Calibri"/>
          <w:sz w:val="24"/>
          <w:szCs w:val="24"/>
          <w:lang w:eastAsia="en-GB"/>
        </w:rPr>
        <w:t xml:space="preserve"> A similar approach was taken </w:t>
      </w:r>
      <w:r w:rsidR="008B1EBF" w:rsidRPr="00472C9F">
        <w:rPr>
          <w:rFonts w:ascii="Calibri" w:eastAsia="Times New Roman" w:hAnsi="Calibri" w:cs="Calibri"/>
          <w:sz w:val="24"/>
          <w:szCs w:val="24"/>
          <w:lang w:eastAsia="en-GB"/>
        </w:rPr>
        <w:t xml:space="preserve">in relation </w:t>
      </w:r>
      <w:r w:rsidRPr="00472C9F">
        <w:rPr>
          <w:rFonts w:ascii="Calibri" w:eastAsia="Times New Roman" w:hAnsi="Calibri" w:cs="Calibri"/>
          <w:sz w:val="24"/>
          <w:szCs w:val="24"/>
          <w:lang w:eastAsia="en-GB"/>
        </w:rPr>
        <w:t>to homophobic comments made by a senior lawyer in a law firm in the course of a radio interview, even where no recruitment procedure was underway.</w:t>
      </w:r>
      <w:r w:rsidRPr="00472C9F">
        <w:rPr>
          <w:rStyle w:val="FootnoteReference"/>
          <w:rFonts w:ascii="Calibri" w:eastAsia="Times New Roman" w:hAnsi="Calibri" w:cs="Calibri"/>
          <w:sz w:val="24"/>
          <w:szCs w:val="24"/>
          <w:lang w:eastAsia="en-GB"/>
        </w:rPr>
        <w:footnoteReference w:id="188"/>
      </w:r>
      <w:r w:rsidRPr="00472C9F">
        <w:rPr>
          <w:rFonts w:ascii="Calibri" w:eastAsia="Times New Roman" w:hAnsi="Calibri" w:cs="Calibri"/>
          <w:kern w:val="3"/>
          <w:sz w:val="24"/>
          <w:szCs w:val="24"/>
          <w:lang w:eastAsia="en-GB"/>
        </w:rPr>
        <w:t xml:space="preserve"> Yet</w:t>
      </w:r>
      <w:r w:rsidR="00794FEB" w:rsidRPr="00472C9F">
        <w:rPr>
          <w:rFonts w:ascii="Calibri" w:eastAsia="Times New Roman" w:hAnsi="Calibri" w:cs="Calibri"/>
          <w:kern w:val="3"/>
          <w:sz w:val="24"/>
          <w:szCs w:val="24"/>
          <w:lang w:eastAsia="en-GB"/>
        </w:rPr>
        <w:t>,</w:t>
      </w:r>
      <w:r w:rsidRPr="00472C9F">
        <w:rPr>
          <w:rFonts w:ascii="Calibri" w:eastAsia="Times New Roman" w:hAnsi="Calibri" w:cs="Calibri"/>
          <w:kern w:val="3"/>
          <w:sz w:val="24"/>
          <w:szCs w:val="24"/>
          <w:lang w:eastAsia="en-GB"/>
        </w:rPr>
        <w:t xml:space="preserve"> actions under the Framework Employment Directive are limited to prohibiting discrimination in the area of employment. This is unlike the Race Directive</w:t>
      </w:r>
      <w:r w:rsidR="00FC4E19" w:rsidRPr="00472C9F">
        <w:rPr>
          <w:rFonts w:ascii="Calibri" w:eastAsia="Times New Roman" w:hAnsi="Calibri" w:cs="Calibri"/>
          <w:kern w:val="3"/>
          <w:sz w:val="24"/>
          <w:szCs w:val="24"/>
          <w:lang w:eastAsia="en-GB"/>
        </w:rPr>
        <w:t xml:space="preserve"> (2000)</w:t>
      </w:r>
      <w:r w:rsidRPr="00472C9F">
        <w:rPr>
          <w:rFonts w:ascii="Calibri" w:eastAsia="Times New Roman" w:hAnsi="Calibri" w:cs="Calibri"/>
          <w:kern w:val="3"/>
          <w:sz w:val="24"/>
          <w:szCs w:val="24"/>
          <w:lang w:eastAsia="en-GB"/>
        </w:rPr>
        <w:t>, adopted shortly before the Framework Employment Directive, but with a wider remit to prohibit discrimination not only in the area of employment but also</w:t>
      </w:r>
      <w:r w:rsidRPr="00472C9F">
        <w:rPr>
          <w:rFonts w:ascii="Calibri" w:eastAsia="Times New Roman" w:hAnsi="Calibri" w:cs="Calibri"/>
          <w:b/>
          <w:bCs/>
          <w:kern w:val="3"/>
          <w:sz w:val="24"/>
          <w:szCs w:val="24"/>
          <w:lang w:eastAsia="en-GB"/>
        </w:rPr>
        <w:t xml:space="preserve"> </w:t>
      </w:r>
      <w:r w:rsidRPr="00472C9F">
        <w:rPr>
          <w:rFonts w:ascii="Calibri" w:eastAsia="Times New Roman" w:hAnsi="Calibri" w:cs="Calibri"/>
          <w:kern w:val="3"/>
          <w:sz w:val="24"/>
          <w:szCs w:val="24"/>
          <w:lang w:eastAsia="en-GB"/>
        </w:rPr>
        <w:t>concerning social protection, health care, housing, and education.</w:t>
      </w:r>
      <w:r w:rsidRPr="00472C9F">
        <w:rPr>
          <w:rStyle w:val="FootnoteReference"/>
          <w:rFonts w:ascii="Calibri" w:eastAsia="Times New Roman" w:hAnsi="Calibri" w:cs="Calibri"/>
          <w:kern w:val="3"/>
          <w:sz w:val="24"/>
          <w:szCs w:val="24"/>
          <w:lang w:eastAsia="en-GB"/>
        </w:rPr>
        <w:footnoteReference w:id="189"/>
      </w:r>
      <w:r w:rsidRPr="00472C9F">
        <w:rPr>
          <w:rFonts w:ascii="Calibri" w:eastAsia="Times New Roman" w:hAnsi="Calibri" w:cs="Calibri"/>
          <w:kern w:val="3"/>
          <w:sz w:val="24"/>
          <w:szCs w:val="24"/>
          <w:lang w:eastAsia="en-GB"/>
        </w:rPr>
        <w:t xml:space="preserve"> Further</w:t>
      </w:r>
      <w:r w:rsidR="00794FEB" w:rsidRPr="00472C9F">
        <w:rPr>
          <w:rFonts w:ascii="Calibri" w:eastAsia="Times New Roman" w:hAnsi="Calibri" w:cs="Calibri"/>
          <w:kern w:val="3"/>
          <w:sz w:val="24"/>
          <w:szCs w:val="24"/>
          <w:lang w:eastAsia="en-GB"/>
        </w:rPr>
        <w:t>,</w:t>
      </w:r>
      <w:r w:rsidRPr="00472C9F">
        <w:rPr>
          <w:rFonts w:ascii="Calibri" w:eastAsia="Times New Roman" w:hAnsi="Calibri" w:cs="Calibri"/>
          <w:kern w:val="3"/>
          <w:sz w:val="24"/>
          <w:szCs w:val="24"/>
          <w:lang w:eastAsia="en-GB"/>
        </w:rPr>
        <w:t xml:space="preserve"> whilst the Race Directive only allows discrimination to be justified on the basis of genuine occupational requirements and positive action,</w:t>
      </w:r>
      <w:r w:rsidRPr="00472C9F">
        <w:rPr>
          <w:rStyle w:val="FootnoteReference"/>
          <w:rFonts w:ascii="Calibri" w:eastAsia="Times New Roman" w:hAnsi="Calibri" w:cs="Calibri"/>
          <w:kern w:val="3"/>
          <w:sz w:val="24"/>
          <w:szCs w:val="24"/>
          <w:lang w:eastAsia="en-GB"/>
        </w:rPr>
        <w:footnoteReference w:id="190"/>
      </w:r>
      <w:r w:rsidRPr="00472C9F">
        <w:rPr>
          <w:rFonts w:ascii="Calibri" w:eastAsia="Times New Roman" w:hAnsi="Calibri" w:cs="Calibri"/>
          <w:kern w:val="3"/>
          <w:sz w:val="24"/>
          <w:szCs w:val="24"/>
          <w:lang w:eastAsia="en-GB"/>
        </w:rPr>
        <w:t xml:space="preserve"> the Framework Employment directive allows more general justifications.</w:t>
      </w:r>
      <w:r w:rsidRPr="00472C9F">
        <w:rPr>
          <w:rStyle w:val="FootnoteReference"/>
          <w:rFonts w:ascii="Calibri" w:eastAsia="Times New Roman" w:hAnsi="Calibri" w:cs="Calibri"/>
          <w:kern w:val="3"/>
          <w:sz w:val="24"/>
          <w:szCs w:val="24"/>
          <w:lang w:eastAsia="en-GB"/>
        </w:rPr>
        <w:footnoteReference w:id="191"/>
      </w:r>
      <w:r w:rsidRPr="00472C9F">
        <w:rPr>
          <w:rFonts w:ascii="Calibri" w:eastAsia="Times New Roman" w:hAnsi="Calibri" w:cs="Calibri"/>
          <w:kern w:val="3"/>
          <w:sz w:val="24"/>
          <w:szCs w:val="24"/>
          <w:lang w:eastAsia="en-GB"/>
        </w:rPr>
        <w:t xml:space="preserve"> Yet</w:t>
      </w:r>
      <w:r w:rsidR="00794FEB" w:rsidRPr="00472C9F">
        <w:rPr>
          <w:rFonts w:ascii="Calibri" w:eastAsia="Times New Roman" w:hAnsi="Calibri" w:cs="Calibri"/>
          <w:kern w:val="3"/>
          <w:sz w:val="24"/>
          <w:szCs w:val="24"/>
          <w:lang w:eastAsia="en-GB"/>
        </w:rPr>
        <w:t>,</w:t>
      </w:r>
      <w:r w:rsidRPr="00472C9F">
        <w:rPr>
          <w:rFonts w:ascii="Calibri" w:eastAsia="Times New Roman" w:hAnsi="Calibri" w:cs="Calibri"/>
          <w:kern w:val="3"/>
          <w:sz w:val="24"/>
          <w:szCs w:val="24"/>
          <w:lang w:eastAsia="en-GB"/>
        </w:rPr>
        <w:t xml:space="preserve"> when </w:t>
      </w:r>
      <w:r w:rsidR="00D7362C" w:rsidRPr="00472C9F">
        <w:rPr>
          <w:rFonts w:ascii="Calibri" w:eastAsia="Times New Roman" w:hAnsi="Calibri" w:cs="Calibri"/>
          <w:kern w:val="3"/>
          <w:sz w:val="24"/>
          <w:szCs w:val="24"/>
          <w:lang w:eastAsia="en-GB"/>
        </w:rPr>
        <w:t>the European Commission</w:t>
      </w:r>
      <w:r w:rsidR="00E12B85" w:rsidRPr="00472C9F">
        <w:rPr>
          <w:rFonts w:ascii="Calibri" w:eastAsia="Times New Roman" w:hAnsi="Calibri" w:cs="Calibri"/>
          <w:kern w:val="3"/>
          <w:sz w:val="24"/>
          <w:szCs w:val="24"/>
          <w:lang w:eastAsia="en-GB"/>
        </w:rPr>
        <w:t>’s</w:t>
      </w:r>
      <w:r w:rsidR="00D7362C" w:rsidRPr="00472C9F">
        <w:rPr>
          <w:rFonts w:ascii="Calibri" w:eastAsia="Times New Roman" w:hAnsi="Calibri" w:cs="Calibri"/>
          <w:kern w:val="3"/>
          <w:sz w:val="24"/>
          <w:szCs w:val="24"/>
          <w:lang w:eastAsia="en-GB"/>
        </w:rPr>
        <w:t xml:space="preserve"> propos</w:t>
      </w:r>
      <w:r w:rsidR="00E12B85" w:rsidRPr="00472C9F">
        <w:rPr>
          <w:rFonts w:ascii="Calibri" w:eastAsia="Times New Roman" w:hAnsi="Calibri" w:cs="Calibri"/>
          <w:kern w:val="3"/>
          <w:sz w:val="24"/>
          <w:szCs w:val="24"/>
          <w:lang w:eastAsia="en-GB"/>
        </w:rPr>
        <w:t>al for</w:t>
      </w:r>
      <w:r w:rsidR="00D7362C" w:rsidRPr="00472C9F">
        <w:rPr>
          <w:rFonts w:ascii="Calibri" w:eastAsia="Times New Roman" w:hAnsi="Calibri" w:cs="Calibri"/>
          <w:kern w:val="3"/>
          <w:sz w:val="24"/>
          <w:szCs w:val="24"/>
          <w:lang w:eastAsia="en-GB"/>
        </w:rPr>
        <w:t xml:space="preserve"> </w:t>
      </w:r>
      <w:r w:rsidR="00E12B85" w:rsidRPr="00472C9F">
        <w:rPr>
          <w:rFonts w:ascii="Calibri" w:eastAsia="Times New Roman" w:hAnsi="Calibri" w:cs="Calibri"/>
          <w:kern w:val="3"/>
          <w:sz w:val="24"/>
          <w:szCs w:val="24"/>
          <w:lang w:eastAsia="en-GB"/>
        </w:rPr>
        <w:t>a wider reaching directive</w:t>
      </w:r>
      <w:r w:rsidR="00E12B85" w:rsidRPr="00472C9F">
        <w:rPr>
          <w:rStyle w:val="FootnoteReference"/>
          <w:rFonts w:ascii="Calibri" w:hAnsi="Calibri" w:cs="Calibri"/>
          <w:sz w:val="24"/>
          <w:szCs w:val="24"/>
        </w:rPr>
        <w:footnoteReference w:id="192"/>
      </w:r>
      <w:r w:rsidRPr="00472C9F">
        <w:rPr>
          <w:rFonts w:ascii="Calibri" w:eastAsia="Times New Roman" w:hAnsi="Calibri" w:cs="Calibri"/>
          <w:kern w:val="3"/>
          <w:sz w:val="24"/>
          <w:szCs w:val="24"/>
          <w:lang w:eastAsia="en-GB"/>
        </w:rPr>
        <w:t xml:space="preserve"> w</w:t>
      </w:r>
      <w:r w:rsidR="00D3400B">
        <w:rPr>
          <w:rFonts w:ascii="Calibri" w:eastAsia="Times New Roman" w:hAnsi="Calibri" w:cs="Calibri"/>
          <w:kern w:val="3"/>
          <w:sz w:val="24"/>
          <w:szCs w:val="24"/>
          <w:lang w:eastAsia="en-GB"/>
        </w:rPr>
        <w:t>as</w:t>
      </w:r>
      <w:r w:rsidRPr="00472C9F">
        <w:rPr>
          <w:rFonts w:ascii="Calibri" w:eastAsia="Times New Roman" w:hAnsi="Calibri" w:cs="Calibri"/>
          <w:kern w:val="3"/>
          <w:sz w:val="24"/>
          <w:szCs w:val="24"/>
          <w:lang w:eastAsia="en-GB"/>
        </w:rPr>
        <w:t xml:space="preserve"> discussed in the European Parliament</w:t>
      </w:r>
      <w:r w:rsidR="00C625E0" w:rsidRPr="00472C9F">
        <w:rPr>
          <w:rFonts w:ascii="Calibri" w:eastAsia="Times New Roman" w:hAnsi="Calibri" w:cs="Calibri"/>
          <w:kern w:val="3"/>
          <w:sz w:val="24"/>
          <w:szCs w:val="24"/>
          <w:lang w:eastAsia="en-GB"/>
        </w:rPr>
        <w:t>, meaning that</w:t>
      </w:r>
      <w:r w:rsidRPr="00472C9F">
        <w:rPr>
          <w:rFonts w:ascii="Calibri" w:eastAsia="Times New Roman" w:hAnsi="Calibri" w:cs="Calibri"/>
          <w:kern w:val="3"/>
          <w:sz w:val="24"/>
          <w:szCs w:val="24"/>
          <w:lang w:eastAsia="en-GB"/>
        </w:rPr>
        <w:t xml:space="preserve"> </w:t>
      </w:r>
      <w:r w:rsidR="00D3400B">
        <w:rPr>
          <w:rFonts w:ascii="Calibri" w:eastAsia="Times New Roman" w:hAnsi="Calibri" w:cs="Calibri"/>
          <w:kern w:val="3"/>
          <w:sz w:val="24"/>
          <w:szCs w:val="24"/>
          <w:lang w:eastAsia="en-GB"/>
        </w:rPr>
        <w:t xml:space="preserve">the </w:t>
      </w:r>
      <w:r w:rsidRPr="00472C9F">
        <w:rPr>
          <w:rFonts w:ascii="Calibri" w:eastAsia="Times New Roman" w:hAnsi="Calibri" w:cs="Calibri"/>
          <w:kern w:val="3"/>
          <w:sz w:val="24"/>
          <w:szCs w:val="24"/>
          <w:lang w:eastAsia="en-GB"/>
        </w:rPr>
        <w:t>Framework Employment Direct</w:t>
      </w:r>
      <w:r w:rsidR="00D3400B">
        <w:rPr>
          <w:rFonts w:ascii="Calibri" w:eastAsia="Times New Roman" w:hAnsi="Calibri" w:cs="Calibri"/>
          <w:kern w:val="3"/>
          <w:sz w:val="24"/>
          <w:szCs w:val="24"/>
          <w:lang w:eastAsia="en-GB"/>
        </w:rPr>
        <w:t>ive</w:t>
      </w:r>
      <w:r w:rsidRPr="00472C9F">
        <w:rPr>
          <w:rFonts w:ascii="Calibri" w:eastAsia="Times New Roman" w:hAnsi="Calibri" w:cs="Calibri"/>
          <w:kern w:val="3"/>
          <w:sz w:val="24"/>
          <w:szCs w:val="24"/>
          <w:lang w:eastAsia="en-GB"/>
        </w:rPr>
        <w:t xml:space="preserve"> </w:t>
      </w:r>
      <w:r w:rsidR="00630432" w:rsidRPr="00472C9F">
        <w:rPr>
          <w:rFonts w:ascii="Calibri" w:eastAsia="Times New Roman" w:hAnsi="Calibri" w:cs="Calibri"/>
          <w:kern w:val="3"/>
          <w:sz w:val="24"/>
          <w:szCs w:val="24"/>
          <w:lang w:eastAsia="en-GB"/>
        </w:rPr>
        <w:t>w</w:t>
      </w:r>
      <w:r w:rsidRPr="00472C9F">
        <w:rPr>
          <w:rFonts w:ascii="Calibri" w:eastAsia="Times New Roman" w:hAnsi="Calibri" w:cs="Calibri"/>
          <w:kern w:val="3"/>
          <w:sz w:val="24"/>
          <w:szCs w:val="24"/>
          <w:lang w:eastAsia="en-GB"/>
        </w:rPr>
        <w:t>ould be expanded to replicate the wider scope of the Race Directive outside of the remit of employment, Germany stood against this</w:t>
      </w:r>
      <w:r w:rsidR="00794FEB" w:rsidRPr="00472C9F">
        <w:rPr>
          <w:rFonts w:ascii="Calibri" w:eastAsia="Times New Roman" w:hAnsi="Calibri" w:cs="Calibri"/>
          <w:kern w:val="3"/>
          <w:sz w:val="24"/>
          <w:szCs w:val="24"/>
          <w:lang w:eastAsia="en-GB"/>
        </w:rPr>
        <w:t>,</w:t>
      </w:r>
      <w:r w:rsidRPr="00472C9F">
        <w:rPr>
          <w:rFonts w:ascii="Calibri" w:eastAsia="Times New Roman" w:hAnsi="Calibri" w:cs="Calibri"/>
          <w:kern w:val="3"/>
          <w:sz w:val="24"/>
          <w:szCs w:val="24"/>
          <w:lang w:eastAsia="en-GB"/>
        </w:rPr>
        <w:t xml:space="preserve"> due to concerns about costs. </w:t>
      </w:r>
    </w:p>
    <w:p w14:paraId="04A89FA8" w14:textId="77777777" w:rsidR="00C625E0" w:rsidRPr="00472C9F" w:rsidRDefault="00C625E0" w:rsidP="0059780E">
      <w:pPr>
        <w:tabs>
          <w:tab w:val="left" w:pos="720"/>
        </w:tabs>
        <w:autoSpaceDN w:val="0"/>
        <w:spacing w:after="0" w:line="360" w:lineRule="auto"/>
        <w:contextualSpacing/>
        <w:jc w:val="both"/>
        <w:rPr>
          <w:rFonts w:ascii="Calibri" w:eastAsia="Times New Roman" w:hAnsi="Calibri" w:cs="Calibri"/>
          <w:kern w:val="3"/>
          <w:sz w:val="24"/>
          <w:szCs w:val="24"/>
          <w:lang w:eastAsia="en-GB"/>
        </w:rPr>
      </w:pPr>
    </w:p>
    <w:p w14:paraId="3FCCAEBF" w14:textId="28F88BDE" w:rsidR="00ED3222" w:rsidRDefault="00406007" w:rsidP="0059780E">
      <w:pPr>
        <w:spacing w:after="0" w:line="360" w:lineRule="auto"/>
        <w:jc w:val="both"/>
        <w:rPr>
          <w:rFonts w:ascii="Calibri" w:hAnsi="Calibri" w:cs="Calibri"/>
          <w:color w:val="000000"/>
          <w:sz w:val="24"/>
          <w:szCs w:val="24"/>
        </w:rPr>
      </w:pPr>
      <w:r>
        <w:rPr>
          <w:rFonts w:ascii="Calibri" w:hAnsi="Calibri" w:cs="Calibri"/>
          <w:color w:val="000000"/>
          <w:sz w:val="24"/>
          <w:szCs w:val="24"/>
        </w:rPr>
        <w:t xml:space="preserve">The </w:t>
      </w:r>
      <w:r w:rsidR="00300666" w:rsidRPr="00472C9F">
        <w:rPr>
          <w:rFonts w:ascii="Calibri" w:hAnsi="Calibri" w:cs="Calibri"/>
          <w:color w:val="000000"/>
          <w:sz w:val="24"/>
          <w:szCs w:val="24"/>
        </w:rPr>
        <w:t>EU</w:t>
      </w:r>
      <w:r>
        <w:rPr>
          <w:rFonts w:ascii="Calibri" w:hAnsi="Calibri" w:cs="Calibri"/>
          <w:color w:val="000000"/>
          <w:sz w:val="24"/>
          <w:szCs w:val="24"/>
        </w:rPr>
        <w:t>’s</w:t>
      </w:r>
      <w:r w:rsidR="00300666" w:rsidRPr="00472C9F">
        <w:rPr>
          <w:rFonts w:ascii="Calibri" w:hAnsi="Calibri" w:cs="Calibri"/>
          <w:color w:val="000000"/>
          <w:sz w:val="24"/>
          <w:szCs w:val="24"/>
        </w:rPr>
        <w:t xml:space="preserve"> expanding protections in the employment context </w:t>
      </w:r>
      <w:proofErr w:type="gramStart"/>
      <w:r w:rsidR="00300666" w:rsidRPr="00472C9F">
        <w:rPr>
          <w:rFonts w:ascii="Calibri" w:hAnsi="Calibri" w:cs="Calibri"/>
          <w:color w:val="000000"/>
          <w:sz w:val="24"/>
          <w:szCs w:val="24"/>
        </w:rPr>
        <w:t>still continue</w:t>
      </w:r>
      <w:proofErr w:type="gramEnd"/>
      <w:r w:rsidR="00300666" w:rsidRPr="00472C9F">
        <w:rPr>
          <w:rFonts w:ascii="Calibri" w:hAnsi="Calibri" w:cs="Calibri"/>
          <w:color w:val="000000"/>
          <w:sz w:val="24"/>
          <w:szCs w:val="24"/>
        </w:rPr>
        <w:t xml:space="preserve"> to be related to citizens being economically active</w:t>
      </w:r>
      <w:r w:rsidR="00806174" w:rsidRPr="00472C9F">
        <w:rPr>
          <w:rFonts w:ascii="Calibri" w:hAnsi="Calibri" w:cs="Calibri"/>
          <w:color w:val="000000"/>
          <w:sz w:val="24"/>
          <w:szCs w:val="24"/>
        </w:rPr>
        <w:t xml:space="preserve">, maintaining the original understanding of EU Treaties </w:t>
      </w:r>
      <w:r w:rsidR="00920CC6" w:rsidRPr="00472C9F">
        <w:rPr>
          <w:rFonts w:ascii="Calibri" w:hAnsi="Calibri" w:cs="Calibri"/>
          <w:color w:val="000000"/>
          <w:sz w:val="24"/>
          <w:szCs w:val="24"/>
        </w:rPr>
        <w:t>as being of an economic nature, and placing a constraint on our understanding of EU citizenship.</w:t>
      </w:r>
      <w:r w:rsidR="00300666" w:rsidRPr="00472C9F">
        <w:rPr>
          <w:rFonts w:ascii="Calibri" w:hAnsi="Calibri" w:cs="Calibri"/>
          <w:color w:val="000000"/>
          <w:sz w:val="24"/>
          <w:szCs w:val="24"/>
        </w:rPr>
        <w:t xml:space="preserve"> The EU has sought to extend its competencies where possible, including for example giving </w:t>
      </w:r>
      <w:r w:rsidR="00300666" w:rsidRPr="00472C9F">
        <w:rPr>
          <w:rFonts w:ascii="Calibri" w:hAnsi="Calibri" w:cs="Calibri"/>
          <w:color w:val="000000"/>
          <w:sz w:val="24"/>
          <w:szCs w:val="24"/>
        </w:rPr>
        <w:lastRenderedPageBreak/>
        <w:t xml:space="preserve">the </w:t>
      </w:r>
      <w:r w:rsidR="003363C0" w:rsidRPr="00472C9F">
        <w:rPr>
          <w:rFonts w:ascii="Calibri" w:hAnsi="Calibri" w:cs="Calibri"/>
          <w:color w:val="000000"/>
          <w:sz w:val="24"/>
          <w:szCs w:val="24"/>
        </w:rPr>
        <w:t>EU equal pay provisions (directly effective under Article 157 TFEU), a wide scope to include</w:t>
      </w:r>
      <w:r w:rsidR="002603FD">
        <w:rPr>
          <w:rFonts w:ascii="Calibri" w:hAnsi="Calibri" w:cs="Calibri"/>
          <w:color w:val="000000"/>
          <w:sz w:val="24"/>
          <w:szCs w:val="24"/>
        </w:rPr>
        <w:t>,</w:t>
      </w:r>
      <w:r w:rsidR="003363C0" w:rsidRPr="00472C9F">
        <w:rPr>
          <w:rFonts w:ascii="Calibri" w:hAnsi="Calibri" w:cs="Calibri"/>
          <w:color w:val="000000"/>
          <w:sz w:val="24"/>
          <w:szCs w:val="24"/>
        </w:rPr>
        <w:t xml:space="preserve"> for example</w:t>
      </w:r>
      <w:r w:rsidR="002603FD">
        <w:rPr>
          <w:rFonts w:ascii="Calibri" w:hAnsi="Calibri" w:cs="Calibri"/>
          <w:color w:val="000000"/>
          <w:sz w:val="24"/>
          <w:szCs w:val="24"/>
        </w:rPr>
        <w:t>,</w:t>
      </w:r>
      <w:r w:rsidR="003363C0" w:rsidRPr="00472C9F">
        <w:rPr>
          <w:rFonts w:ascii="Calibri" w:hAnsi="Calibri" w:cs="Calibri"/>
          <w:color w:val="000000"/>
          <w:sz w:val="24"/>
          <w:szCs w:val="24"/>
        </w:rPr>
        <w:t xml:space="preserve"> travel facilities,</w:t>
      </w:r>
      <w:r w:rsidR="003363C0" w:rsidRPr="00472C9F">
        <w:rPr>
          <w:rStyle w:val="FootnoteReference"/>
          <w:rFonts w:ascii="Calibri" w:hAnsi="Calibri" w:cs="Calibri"/>
          <w:color w:val="000000"/>
          <w:sz w:val="24"/>
          <w:szCs w:val="24"/>
        </w:rPr>
        <w:footnoteReference w:id="193"/>
      </w:r>
      <w:r w:rsidR="003363C0" w:rsidRPr="00472C9F">
        <w:rPr>
          <w:rFonts w:ascii="Calibri" w:hAnsi="Calibri" w:cs="Calibri"/>
          <w:color w:val="000000"/>
          <w:sz w:val="24"/>
          <w:szCs w:val="24"/>
        </w:rPr>
        <w:t xml:space="preserve"> severance grants</w:t>
      </w:r>
      <w:r w:rsidR="003363C0" w:rsidRPr="00472C9F">
        <w:rPr>
          <w:rStyle w:val="FootnoteReference"/>
          <w:rFonts w:ascii="Calibri" w:hAnsi="Calibri" w:cs="Calibri"/>
          <w:color w:val="000000"/>
          <w:sz w:val="24"/>
          <w:szCs w:val="24"/>
        </w:rPr>
        <w:footnoteReference w:id="194"/>
      </w:r>
      <w:r w:rsidR="003363C0" w:rsidRPr="00472C9F">
        <w:rPr>
          <w:rFonts w:ascii="Calibri" w:hAnsi="Calibri" w:cs="Calibri"/>
          <w:color w:val="000000"/>
          <w:sz w:val="24"/>
          <w:szCs w:val="24"/>
        </w:rPr>
        <w:t xml:space="preserve"> together with occupational pension schemes (paid through the employer).</w:t>
      </w:r>
      <w:r w:rsidR="003363C0" w:rsidRPr="00472C9F">
        <w:rPr>
          <w:rStyle w:val="FootnoteReference"/>
          <w:rFonts w:ascii="Calibri" w:hAnsi="Calibri" w:cs="Calibri"/>
          <w:color w:val="000000"/>
          <w:sz w:val="24"/>
          <w:szCs w:val="24"/>
        </w:rPr>
        <w:footnoteReference w:id="195"/>
      </w:r>
      <w:r w:rsidR="003363C0" w:rsidRPr="00472C9F">
        <w:rPr>
          <w:rFonts w:ascii="Calibri" w:hAnsi="Calibri" w:cs="Calibri"/>
          <w:color w:val="000000"/>
          <w:sz w:val="24"/>
          <w:szCs w:val="24"/>
        </w:rPr>
        <w:t xml:space="preserve"> </w:t>
      </w:r>
      <w:r w:rsidR="00300666" w:rsidRPr="00472C9F">
        <w:rPr>
          <w:rFonts w:ascii="Calibri" w:hAnsi="Calibri" w:cs="Calibri"/>
          <w:sz w:val="24"/>
          <w:szCs w:val="24"/>
        </w:rPr>
        <w:t xml:space="preserve">With reference </w:t>
      </w:r>
      <w:r w:rsidR="00590E20" w:rsidRPr="00472C9F">
        <w:rPr>
          <w:rFonts w:ascii="Calibri" w:hAnsi="Calibri" w:cs="Calibri"/>
          <w:sz w:val="24"/>
          <w:szCs w:val="24"/>
        </w:rPr>
        <w:t xml:space="preserve">to </w:t>
      </w:r>
      <w:r w:rsidR="00300666" w:rsidRPr="00472C9F">
        <w:rPr>
          <w:rFonts w:ascii="Calibri" w:hAnsi="Calibri" w:cs="Calibri"/>
          <w:sz w:val="24"/>
          <w:szCs w:val="24"/>
        </w:rPr>
        <w:t xml:space="preserve">lesbian and gay rights, the CJEU has taken a leading approach in determining in </w:t>
      </w:r>
      <w:r w:rsidR="00300666" w:rsidRPr="00472C9F">
        <w:rPr>
          <w:rFonts w:ascii="Calibri" w:hAnsi="Calibri" w:cs="Calibri"/>
          <w:i/>
          <w:iCs/>
          <w:sz w:val="24"/>
          <w:szCs w:val="24"/>
        </w:rPr>
        <w:t>Maruko</w:t>
      </w:r>
      <w:r w:rsidR="00300666" w:rsidRPr="00472C9F">
        <w:rPr>
          <w:rFonts w:ascii="Calibri" w:hAnsi="Calibri" w:cs="Calibri"/>
          <w:sz w:val="24"/>
          <w:szCs w:val="24"/>
        </w:rPr>
        <w:t xml:space="preserve"> that the surviving partner of a same-sex couple was entitled to occupational pension rights on a non-discriminatory basis.</w:t>
      </w:r>
      <w:r w:rsidR="00300666" w:rsidRPr="00472C9F">
        <w:rPr>
          <w:rStyle w:val="FootnoteReference"/>
          <w:rFonts w:ascii="Calibri" w:hAnsi="Calibri" w:cs="Calibri"/>
          <w:sz w:val="24"/>
          <w:szCs w:val="24"/>
        </w:rPr>
        <w:footnoteReference w:id="196"/>
      </w:r>
      <w:r w:rsidR="00300666" w:rsidRPr="00472C9F">
        <w:rPr>
          <w:rFonts w:ascii="Calibri" w:hAnsi="Calibri" w:cs="Calibri"/>
          <w:sz w:val="24"/>
          <w:szCs w:val="24"/>
        </w:rPr>
        <w:t xml:space="preserve"> However, as family law remains outside EU competency</w:t>
      </w:r>
      <w:r w:rsidR="00F874C6" w:rsidRPr="00472C9F">
        <w:rPr>
          <w:rFonts w:ascii="Calibri" w:hAnsi="Calibri" w:cs="Calibri"/>
          <w:sz w:val="24"/>
          <w:szCs w:val="24"/>
        </w:rPr>
        <w:t>,</w:t>
      </w:r>
      <w:r w:rsidR="009C3692" w:rsidRPr="00472C9F">
        <w:rPr>
          <w:rStyle w:val="FootnoteReference"/>
          <w:rFonts w:ascii="Calibri" w:hAnsi="Calibri" w:cs="Calibri"/>
          <w:sz w:val="24"/>
          <w:szCs w:val="24"/>
        </w:rPr>
        <w:footnoteReference w:id="197"/>
      </w:r>
      <w:r w:rsidR="00300666" w:rsidRPr="00472C9F">
        <w:rPr>
          <w:rFonts w:ascii="Calibri" w:hAnsi="Calibri" w:cs="Calibri"/>
          <w:sz w:val="24"/>
          <w:szCs w:val="24"/>
        </w:rPr>
        <w:t xml:space="preserve"> a crucial caveat was imposed in </w:t>
      </w:r>
      <w:r w:rsidR="00300666" w:rsidRPr="00472C9F">
        <w:rPr>
          <w:rFonts w:ascii="Calibri" w:hAnsi="Calibri" w:cs="Calibri"/>
          <w:i/>
          <w:iCs/>
          <w:sz w:val="24"/>
          <w:szCs w:val="24"/>
        </w:rPr>
        <w:t>Maruko</w:t>
      </w:r>
      <w:r w:rsidR="00300666" w:rsidRPr="00472C9F">
        <w:rPr>
          <w:rFonts w:ascii="Calibri" w:hAnsi="Calibri" w:cs="Calibri"/>
          <w:sz w:val="24"/>
          <w:szCs w:val="24"/>
        </w:rPr>
        <w:t>, stating that this only applied, providing that the host country treated same-sex marriage and civil partnership as equivalent to heterosexual marriage.</w:t>
      </w:r>
      <w:r w:rsidR="00300666" w:rsidRPr="00472C9F">
        <w:rPr>
          <w:rStyle w:val="FootnoteReference"/>
          <w:rFonts w:ascii="Calibri" w:hAnsi="Calibri" w:cs="Calibri"/>
          <w:sz w:val="24"/>
          <w:szCs w:val="24"/>
        </w:rPr>
        <w:footnoteReference w:id="198"/>
      </w:r>
      <w:r w:rsidR="00300666" w:rsidRPr="00472C9F">
        <w:rPr>
          <w:rFonts w:ascii="Calibri" w:hAnsi="Calibri" w:cs="Calibri"/>
          <w:b/>
          <w:bCs/>
          <w:sz w:val="24"/>
          <w:szCs w:val="24"/>
        </w:rPr>
        <w:t xml:space="preserve"> </w:t>
      </w:r>
      <w:r w:rsidR="00300666" w:rsidRPr="00472C9F">
        <w:rPr>
          <w:rFonts w:ascii="Calibri" w:hAnsi="Calibri" w:cs="Calibri"/>
          <w:sz w:val="24"/>
          <w:szCs w:val="24"/>
        </w:rPr>
        <w:t>The</w:t>
      </w:r>
      <w:r w:rsidR="00300666" w:rsidRPr="00472C9F">
        <w:rPr>
          <w:rFonts w:ascii="Calibri" w:hAnsi="Calibri" w:cs="Calibri"/>
          <w:color w:val="000000"/>
          <w:sz w:val="24"/>
          <w:szCs w:val="24"/>
        </w:rPr>
        <w:t xml:space="preserve"> dividing line between EU competencies relating to paid work and state competencies relating to benefits remain</w:t>
      </w:r>
      <w:r w:rsidR="00794FEB" w:rsidRPr="00472C9F">
        <w:rPr>
          <w:rFonts w:ascii="Calibri" w:hAnsi="Calibri" w:cs="Calibri"/>
          <w:color w:val="000000"/>
          <w:sz w:val="24"/>
          <w:szCs w:val="24"/>
        </w:rPr>
        <w:t>s</w:t>
      </w:r>
      <w:r w:rsidR="00300666" w:rsidRPr="00472C9F">
        <w:rPr>
          <w:rFonts w:ascii="Calibri" w:hAnsi="Calibri" w:cs="Calibri"/>
          <w:color w:val="000000"/>
          <w:sz w:val="24"/>
          <w:szCs w:val="24"/>
        </w:rPr>
        <w:t xml:space="preserve">. </w:t>
      </w:r>
      <w:r w:rsidR="003363C0" w:rsidRPr="00472C9F">
        <w:rPr>
          <w:rFonts w:ascii="Calibri" w:hAnsi="Calibri" w:cs="Calibri"/>
          <w:color w:val="000000"/>
          <w:sz w:val="24"/>
          <w:szCs w:val="24"/>
        </w:rPr>
        <w:t>State pension schemes and other welfare benefits are crucially not included.</w:t>
      </w:r>
      <w:r w:rsidR="004219ED" w:rsidRPr="00472C9F">
        <w:rPr>
          <w:rStyle w:val="FootnoteReference"/>
          <w:rFonts w:ascii="Calibri" w:hAnsi="Calibri" w:cs="Calibri"/>
          <w:color w:val="000000"/>
          <w:sz w:val="24"/>
          <w:szCs w:val="24"/>
        </w:rPr>
        <w:footnoteReference w:id="199"/>
      </w:r>
      <w:r w:rsidR="003363C0" w:rsidRPr="00472C9F">
        <w:rPr>
          <w:rFonts w:ascii="Calibri" w:hAnsi="Calibri" w:cs="Calibri"/>
          <w:color w:val="000000"/>
          <w:sz w:val="24"/>
          <w:szCs w:val="24"/>
        </w:rPr>
        <w:t xml:space="preserve"> </w:t>
      </w:r>
    </w:p>
    <w:p w14:paraId="38A76F68" w14:textId="77777777" w:rsidR="00555E4F" w:rsidRPr="00472C9F" w:rsidRDefault="00555E4F" w:rsidP="0059780E">
      <w:pPr>
        <w:spacing w:after="0" w:line="360" w:lineRule="auto"/>
        <w:jc w:val="both"/>
        <w:rPr>
          <w:rFonts w:ascii="Calibri" w:hAnsi="Calibri" w:cs="Calibri"/>
          <w:color w:val="000000"/>
          <w:sz w:val="24"/>
          <w:szCs w:val="24"/>
        </w:rPr>
      </w:pPr>
    </w:p>
    <w:p w14:paraId="77E90323" w14:textId="01CA8EA8" w:rsidR="006D55C4" w:rsidRPr="00472C9F" w:rsidRDefault="002C62A9" w:rsidP="00570ECB">
      <w:pPr>
        <w:pStyle w:val="Heading2"/>
      </w:pPr>
      <w:r>
        <w:t xml:space="preserve">6. </w:t>
      </w:r>
      <w:r w:rsidR="006D55C4" w:rsidRPr="00472C9F">
        <w:t>EU Soft Law Provisions</w:t>
      </w:r>
    </w:p>
    <w:p w14:paraId="7BE2491D" w14:textId="7B1ED0EB" w:rsidR="006D55C4" w:rsidRDefault="006F0567" w:rsidP="0059780E">
      <w:pPr>
        <w:spacing w:after="0" w:line="360" w:lineRule="auto"/>
        <w:jc w:val="both"/>
        <w:rPr>
          <w:rFonts w:ascii="Calibri" w:hAnsi="Calibri" w:cs="Calibri"/>
          <w:sz w:val="24"/>
          <w:szCs w:val="24"/>
        </w:rPr>
      </w:pPr>
      <w:r w:rsidRPr="00472C9F">
        <w:rPr>
          <w:rFonts w:ascii="Calibri" w:hAnsi="Calibri" w:cs="Calibri"/>
          <w:sz w:val="24"/>
          <w:szCs w:val="24"/>
        </w:rPr>
        <w:t>P</w:t>
      </w:r>
      <w:r w:rsidR="006D55C4" w:rsidRPr="00472C9F">
        <w:rPr>
          <w:rFonts w:ascii="Calibri" w:hAnsi="Calibri" w:cs="Calibri"/>
          <w:sz w:val="24"/>
          <w:szCs w:val="24"/>
        </w:rPr>
        <w:t xml:space="preserve">erhaps there is a way </w:t>
      </w:r>
      <w:r w:rsidR="004D2E63" w:rsidRPr="00472C9F">
        <w:rPr>
          <w:rFonts w:ascii="Calibri" w:hAnsi="Calibri" w:cs="Calibri"/>
          <w:sz w:val="24"/>
          <w:szCs w:val="24"/>
        </w:rPr>
        <w:t xml:space="preserve">forward moving beyond the impasse of the economically active subject. </w:t>
      </w:r>
      <w:r w:rsidR="006D55C4" w:rsidRPr="00472C9F">
        <w:rPr>
          <w:rFonts w:ascii="Calibri" w:hAnsi="Calibri" w:cs="Calibri"/>
          <w:sz w:val="24"/>
          <w:szCs w:val="24"/>
        </w:rPr>
        <w:t>T</w:t>
      </w:r>
      <w:r w:rsidR="006D55C4" w:rsidRPr="00472C9F">
        <w:rPr>
          <w:rFonts w:ascii="Calibri" w:eastAsia="Times New Roman" w:hAnsi="Calibri" w:cs="Calibri"/>
          <w:kern w:val="3"/>
          <w:sz w:val="24"/>
          <w:szCs w:val="24"/>
          <w:lang w:eastAsia="en-GB"/>
        </w:rPr>
        <w:t xml:space="preserve">he EU has sought to ameliorate the political difficulties surrounding its lack of competencies by introducing wider reaching social provisions utilising soft-law or non-binding provisions. In the decade prior to the introduction of citizenship by Maastricht in 1992, with the EU moving </w:t>
      </w:r>
      <w:r w:rsidR="006D55C4" w:rsidRPr="00472C9F">
        <w:rPr>
          <w:rFonts w:ascii="Calibri" w:hAnsi="Calibri" w:cs="Calibri"/>
          <w:sz w:val="24"/>
          <w:szCs w:val="24"/>
        </w:rPr>
        <w:t>from a ‘predominantly economic project into a more political project’</w:t>
      </w:r>
      <w:r w:rsidR="00804482" w:rsidRPr="00472C9F">
        <w:rPr>
          <w:rFonts w:ascii="Calibri" w:hAnsi="Calibri" w:cs="Calibri"/>
          <w:sz w:val="24"/>
          <w:szCs w:val="24"/>
        </w:rPr>
        <w:t>,</w:t>
      </w:r>
      <w:r w:rsidR="006D55C4" w:rsidRPr="00472C9F">
        <w:rPr>
          <w:rStyle w:val="FootnoteReference"/>
          <w:rFonts w:ascii="Calibri" w:hAnsi="Calibri" w:cs="Calibri"/>
          <w:sz w:val="24"/>
          <w:szCs w:val="24"/>
        </w:rPr>
        <w:footnoteReference w:id="200"/>
      </w:r>
      <w:r w:rsidR="006D55C4" w:rsidRPr="00472C9F">
        <w:rPr>
          <w:rFonts w:ascii="Calibri" w:hAnsi="Calibri" w:cs="Calibri"/>
          <w:sz w:val="24"/>
          <w:szCs w:val="24"/>
        </w:rPr>
        <w:t xml:space="preserve"> </w:t>
      </w:r>
      <w:r w:rsidR="006D55C4" w:rsidRPr="00472C9F">
        <w:rPr>
          <w:rFonts w:ascii="Calibri" w:eastAsia="Times New Roman" w:hAnsi="Calibri" w:cs="Calibri"/>
          <w:kern w:val="3"/>
          <w:sz w:val="24"/>
          <w:szCs w:val="24"/>
          <w:lang w:eastAsia="en-GB"/>
        </w:rPr>
        <w:t xml:space="preserve">gender-equality concerns were prioritised. This was done by the </w:t>
      </w:r>
      <w:r w:rsidR="006D55C4" w:rsidRPr="00472C9F">
        <w:rPr>
          <w:rFonts w:ascii="Calibri" w:hAnsi="Calibri" w:cs="Calibri"/>
          <w:sz w:val="24"/>
          <w:szCs w:val="24"/>
        </w:rPr>
        <w:t xml:space="preserve">establishment of the Equal Opportunities Unit of the </w:t>
      </w:r>
      <w:r w:rsidR="007B567D">
        <w:rPr>
          <w:rFonts w:ascii="Calibri" w:hAnsi="Calibri" w:cs="Calibri"/>
          <w:sz w:val="24"/>
          <w:szCs w:val="24"/>
        </w:rPr>
        <w:t>European Commission</w:t>
      </w:r>
      <w:r w:rsidR="006D55C4" w:rsidRPr="00472C9F">
        <w:rPr>
          <w:rFonts w:ascii="Calibri" w:hAnsi="Calibri" w:cs="Calibri"/>
          <w:sz w:val="24"/>
          <w:szCs w:val="24"/>
        </w:rPr>
        <w:t xml:space="preserve"> and the European Parliament Committee on Women’s Rights and Equal Opportunities. Nowadays the EU social pillar, endorsed in November 2017, sets out 20 key principles structured around equal opportunities and access to the labour market, fair working conditions and social protection and inclusion</w:t>
      </w:r>
      <w:r w:rsidR="005B12FD" w:rsidRPr="00472C9F">
        <w:rPr>
          <w:rFonts w:ascii="Calibri" w:hAnsi="Calibri" w:cs="Calibri"/>
          <w:sz w:val="24"/>
          <w:szCs w:val="24"/>
        </w:rPr>
        <w:t>. E</w:t>
      </w:r>
      <w:r w:rsidR="006D55C4" w:rsidRPr="00472C9F">
        <w:rPr>
          <w:rFonts w:ascii="Calibri" w:hAnsi="Calibri" w:cs="Calibri"/>
          <w:sz w:val="24"/>
          <w:szCs w:val="24"/>
        </w:rPr>
        <w:t xml:space="preserve">xpectations regarding </w:t>
      </w:r>
      <w:r w:rsidR="002A326F" w:rsidRPr="00472C9F">
        <w:rPr>
          <w:rFonts w:ascii="Calibri" w:hAnsi="Calibri" w:cs="Calibri"/>
          <w:sz w:val="24"/>
          <w:szCs w:val="24"/>
        </w:rPr>
        <w:t>lesbian and gay</w:t>
      </w:r>
      <w:r w:rsidR="006D55C4" w:rsidRPr="00472C9F">
        <w:rPr>
          <w:rFonts w:ascii="Calibri" w:hAnsi="Calibri" w:cs="Calibri"/>
          <w:sz w:val="24"/>
          <w:szCs w:val="24"/>
        </w:rPr>
        <w:t xml:space="preserve"> rights have </w:t>
      </w:r>
      <w:r w:rsidR="001730AF" w:rsidRPr="00472C9F">
        <w:rPr>
          <w:rFonts w:ascii="Calibri" w:hAnsi="Calibri" w:cs="Calibri"/>
          <w:sz w:val="24"/>
          <w:szCs w:val="24"/>
        </w:rPr>
        <w:t>led to the LGBTIQ Equality Strategy 2020-2025</w:t>
      </w:r>
      <w:r w:rsidR="006D55C4" w:rsidRPr="00472C9F">
        <w:rPr>
          <w:rStyle w:val="FootnoteReference"/>
          <w:rFonts w:ascii="Calibri" w:hAnsi="Calibri" w:cs="Calibri"/>
          <w:sz w:val="24"/>
          <w:szCs w:val="24"/>
        </w:rPr>
        <w:footnoteReference w:id="201"/>
      </w:r>
      <w:r w:rsidR="00C516A4" w:rsidRPr="00472C9F">
        <w:rPr>
          <w:rFonts w:ascii="Calibri" w:hAnsi="Calibri" w:cs="Calibri"/>
          <w:sz w:val="24"/>
          <w:szCs w:val="24"/>
        </w:rPr>
        <w:t xml:space="preserve"> on </w:t>
      </w:r>
      <w:r w:rsidR="00C516A4" w:rsidRPr="00472C9F">
        <w:rPr>
          <w:rFonts w:ascii="Calibri" w:hAnsi="Calibri" w:cs="Calibri"/>
          <w:sz w:val="24"/>
          <w:szCs w:val="24"/>
        </w:rPr>
        <w:lastRenderedPageBreak/>
        <w:t>which there are yearly updates.</w:t>
      </w:r>
      <w:r w:rsidR="00C516A4" w:rsidRPr="00472C9F">
        <w:rPr>
          <w:rStyle w:val="FootnoteReference"/>
          <w:rFonts w:ascii="Calibri" w:hAnsi="Calibri" w:cs="Calibri"/>
          <w:sz w:val="24"/>
          <w:szCs w:val="24"/>
        </w:rPr>
        <w:footnoteReference w:id="202"/>
      </w:r>
      <w:r w:rsidR="00C516A4" w:rsidRPr="00472C9F">
        <w:rPr>
          <w:rFonts w:ascii="Calibri" w:hAnsi="Calibri" w:cs="Calibri"/>
          <w:sz w:val="24"/>
          <w:szCs w:val="24"/>
        </w:rPr>
        <w:t xml:space="preserve"> </w:t>
      </w:r>
      <w:r w:rsidR="006D55C4" w:rsidRPr="00472C9F">
        <w:rPr>
          <w:rFonts w:ascii="Calibri" w:hAnsi="Calibri" w:cs="Calibri"/>
          <w:sz w:val="24"/>
          <w:szCs w:val="24"/>
        </w:rPr>
        <w:t xml:space="preserve"> </w:t>
      </w:r>
      <w:r w:rsidR="00CA10C6" w:rsidRPr="00472C9F">
        <w:rPr>
          <w:rFonts w:ascii="Calibri" w:hAnsi="Calibri" w:cs="Calibri"/>
          <w:sz w:val="24"/>
          <w:szCs w:val="24"/>
        </w:rPr>
        <w:t xml:space="preserve">Core priorities include </w:t>
      </w:r>
      <w:r w:rsidR="007273EC" w:rsidRPr="00472C9F">
        <w:rPr>
          <w:rFonts w:ascii="Calibri" w:hAnsi="Calibri" w:cs="Calibri"/>
          <w:sz w:val="24"/>
          <w:szCs w:val="24"/>
        </w:rPr>
        <w:t>(1) tackling discrimination against LGBTIQ people</w:t>
      </w:r>
      <w:r w:rsidR="00496179" w:rsidRPr="00472C9F">
        <w:rPr>
          <w:rFonts w:ascii="Calibri" w:hAnsi="Calibri" w:cs="Calibri"/>
          <w:sz w:val="24"/>
          <w:szCs w:val="24"/>
        </w:rPr>
        <w:t>, (2) ensuring LGBTIQ people’s safet</w:t>
      </w:r>
      <w:r w:rsidR="00E82FC5" w:rsidRPr="00472C9F">
        <w:rPr>
          <w:rFonts w:ascii="Calibri" w:hAnsi="Calibri" w:cs="Calibri"/>
          <w:sz w:val="24"/>
          <w:szCs w:val="24"/>
        </w:rPr>
        <w:t xml:space="preserve">y, (3) </w:t>
      </w:r>
      <w:r w:rsidR="00D231CA" w:rsidRPr="00472C9F">
        <w:rPr>
          <w:rFonts w:ascii="Calibri" w:hAnsi="Calibri" w:cs="Calibri"/>
          <w:sz w:val="24"/>
          <w:szCs w:val="24"/>
        </w:rPr>
        <w:t>b</w:t>
      </w:r>
      <w:r w:rsidR="00E82FC5" w:rsidRPr="00472C9F">
        <w:rPr>
          <w:rFonts w:ascii="Calibri" w:hAnsi="Calibri" w:cs="Calibri"/>
          <w:sz w:val="24"/>
          <w:szCs w:val="24"/>
        </w:rPr>
        <w:t xml:space="preserve">uilding LGBTIQ </w:t>
      </w:r>
      <w:r w:rsidR="00DB292A" w:rsidRPr="00472C9F">
        <w:rPr>
          <w:rFonts w:ascii="Calibri" w:hAnsi="Calibri" w:cs="Calibri"/>
          <w:sz w:val="24"/>
          <w:szCs w:val="24"/>
        </w:rPr>
        <w:t xml:space="preserve">inclusive societies (around ensuring the rights for LGBTIQ people in cross-border situations) and (4) </w:t>
      </w:r>
      <w:r w:rsidR="00950BD7" w:rsidRPr="00472C9F">
        <w:rPr>
          <w:rFonts w:ascii="Calibri" w:hAnsi="Calibri" w:cs="Calibri"/>
          <w:sz w:val="24"/>
          <w:szCs w:val="24"/>
        </w:rPr>
        <w:t>l</w:t>
      </w:r>
      <w:r w:rsidR="00DB292A" w:rsidRPr="00472C9F">
        <w:rPr>
          <w:rFonts w:ascii="Calibri" w:hAnsi="Calibri" w:cs="Calibri"/>
          <w:sz w:val="24"/>
          <w:szCs w:val="24"/>
        </w:rPr>
        <w:t>eading the call for LGBITQ equality around the world.</w:t>
      </w:r>
      <w:r w:rsidR="00F377F5" w:rsidRPr="00472C9F">
        <w:rPr>
          <w:rStyle w:val="FootnoteReference"/>
          <w:rFonts w:ascii="Calibri" w:hAnsi="Calibri" w:cs="Calibri"/>
          <w:sz w:val="24"/>
          <w:szCs w:val="24"/>
        </w:rPr>
        <w:footnoteReference w:id="203"/>
      </w:r>
      <w:r w:rsidR="00DB292A" w:rsidRPr="00472C9F">
        <w:rPr>
          <w:rFonts w:ascii="Calibri" w:hAnsi="Calibri" w:cs="Calibri"/>
          <w:sz w:val="24"/>
          <w:szCs w:val="24"/>
        </w:rPr>
        <w:t xml:space="preserve"> </w:t>
      </w:r>
      <w:r w:rsidR="006D55C4" w:rsidRPr="00472C9F">
        <w:rPr>
          <w:rFonts w:ascii="Calibri" w:hAnsi="Calibri" w:cs="Calibri"/>
          <w:sz w:val="24"/>
          <w:szCs w:val="24"/>
        </w:rPr>
        <w:t xml:space="preserve">Although implementation of these soft law policies remains with Member States, </w:t>
      </w:r>
      <w:r w:rsidR="00B67904" w:rsidRPr="00472C9F">
        <w:rPr>
          <w:rFonts w:ascii="Calibri" w:hAnsi="Calibri" w:cs="Calibri"/>
          <w:sz w:val="24"/>
          <w:szCs w:val="24"/>
        </w:rPr>
        <w:t xml:space="preserve">a growing number of European bodies support </w:t>
      </w:r>
      <w:r w:rsidR="00CB5892" w:rsidRPr="00472C9F">
        <w:rPr>
          <w:rFonts w:ascii="Calibri" w:hAnsi="Calibri" w:cs="Calibri"/>
          <w:sz w:val="24"/>
          <w:szCs w:val="24"/>
        </w:rPr>
        <w:t xml:space="preserve">the </w:t>
      </w:r>
      <w:r w:rsidR="0071527F" w:rsidRPr="00472C9F">
        <w:rPr>
          <w:rFonts w:ascii="Calibri" w:hAnsi="Calibri" w:cs="Calibri"/>
          <w:sz w:val="24"/>
          <w:szCs w:val="24"/>
        </w:rPr>
        <w:t xml:space="preserve">LGBTIQ </w:t>
      </w:r>
      <w:r w:rsidR="00CB5892" w:rsidRPr="00472C9F">
        <w:rPr>
          <w:rFonts w:ascii="Calibri" w:hAnsi="Calibri" w:cs="Calibri"/>
          <w:sz w:val="24"/>
          <w:szCs w:val="24"/>
        </w:rPr>
        <w:t>Equality Strategy</w:t>
      </w:r>
      <w:r w:rsidR="003E49CE" w:rsidRPr="00472C9F">
        <w:rPr>
          <w:rFonts w:ascii="Calibri" w:hAnsi="Calibri" w:cs="Calibri"/>
          <w:sz w:val="24"/>
          <w:szCs w:val="24"/>
        </w:rPr>
        <w:t>,</w:t>
      </w:r>
      <w:r w:rsidR="005F589C" w:rsidRPr="00472C9F">
        <w:rPr>
          <w:rFonts w:ascii="Calibri" w:hAnsi="Calibri" w:cs="Calibri"/>
          <w:sz w:val="24"/>
          <w:szCs w:val="24"/>
        </w:rPr>
        <w:t xml:space="preserve"> allowing more possibility of accessing </w:t>
      </w:r>
      <w:r w:rsidR="00C02BA0" w:rsidRPr="00472C9F">
        <w:rPr>
          <w:rFonts w:ascii="Calibri" w:hAnsi="Calibri" w:cs="Calibri"/>
          <w:sz w:val="24"/>
          <w:szCs w:val="24"/>
        </w:rPr>
        <w:t>and supporting develo</w:t>
      </w:r>
      <w:r w:rsidR="00E72FFD" w:rsidRPr="00472C9F">
        <w:rPr>
          <w:rFonts w:ascii="Calibri" w:hAnsi="Calibri" w:cs="Calibri"/>
          <w:sz w:val="24"/>
          <w:szCs w:val="24"/>
        </w:rPr>
        <w:t xml:space="preserve">pment of </w:t>
      </w:r>
      <w:r w:rsidR="00FF1A36" w:rsidRPr="00472C9F">
        <w:rPr>
          <w:rFonts w:ascii="Calibri" w:hAnsi="Calibri" w:cs="Calibri"/>
          <w:sz w:val="24"/>
          <w:szCs w:val="24"/>
        </w:rPr>
        <w:t xml:space="preserve">how </w:t>
      </w:r>
      <w:r w:rsidR="00C02BA0" w:rsidRPr="00472C9F">
        <w:rPr>
          <w:rFonts w:ascii="Calibri" w:hAnsi="Calibri" w:cs="Calibri"/>
          <w:sz w:val="24"/>
          <w:szCs w:val="24"/>
        </w:rPr>
        <w:t xml:space="preserve">EU </w:t>
      </w:r>
      <w:r w:rsidR="00FF1A36" w:rsidRPr="00472C9F">
        <w:rPr>
          <w:rFonts w:ascii="Calibri" w:hAnsi="Calibri" w:cs="Calibri"/>
          <w:sz w:val="24"/>
          <w:szCs w:val="24"/>
        </w:rPr>
        <w:t xml:space="preserve">lesbian and gay </w:t>
      </w:r>
      <w:r w:rsidR="00C02BA0" w:rsidRPr="00472C9F">
        <w:rPr>
          <w:rFonts w:ascii="Calibri" w:hAnsi="Calibri" w:cs="Calibri"/>
          <w:sz w:val="24"/>
          <w:szCs w:val="24"/>
        </w:rPr>
        <w:t xml:space="preserve">citizenship </w:t>
      </w:r>
      <w:r w:rsidR="00FF1A36" w:rsidRPr="00472C9F">
        <w:rPr>
          <w:rFonts w:ascii="Calibri" w:hAnsi="Calibri" w:cs="Calibri"/>
          <w:sz w:val="24"/>
          <w:szCs w:val="24"/>
        </w:rPr>
        <w:t>should be understood</w:t>
      </w:r>
      <w:r w:rsidR="008333F2" w:rsidRPr="00472C9F">
        <w:rPr>
          <w:rFonts w:ascii="Calibri" w:hAnsi="Calibri" w:cs="Calibri"/>
          <w:sz w:val="24"/>
          <w:szCs w:val="24"/>
        </w:rPr>
        <w:t xml:space="preserve"> in practice</w:t>
      </w:r>
      <w:r w:rsidR="00C02BA0" w:rsidRPr="00472C9F">
        <w:rPr>
          <w:rFonts w:ascii="Calibri" w:hAnsi="Calibri" w:cs="Calibri"/>
          <w:sz w:val="24"/>
          <w:szCs w:val="24"/>
        </w:rPr>
        <w:t xml:space="preserve">. </w:t>
      </w:r>
      <w:r w:rsidR="001377DF" w:rsidRPr="00472C9F">
        <w:rPr>
          <w:rFonts w:ascii="Calibri" w:hAnsi="Calibri" w:cs="Calibri"/>
          <w:sz w:val="24"/>
          <w:szCs w:val="24"/>
        </w:rPr>
        <w:t xml:space="preserve">This paper has </w:t>
      </w:r>
      <w:r w:rsidR="005D4F7A" w:rsidRPr="00472C9F">
        <w:rPr>
          <w:rFonts w:ascii="Calibri" w:hAnsi="Calibri" w:cs="Calibri"/>
          <w:sz w:val="24"/>
          <w:szCs w:val="24"/>
        </w:rPr>
        <w:t>analysed</w:t>
      </w:r>
      <w:r w:rsidR="001377DF" w:rsidRPr="00472C9F">
        <w:rPr>
          <w:rFonts w:ascii="Calibri" w:hAnsi="Calibri" w:cs="Calibri"/>
          <w:sz w:val="24"/>
          <w:szCs w:val="24"/>
        </w:rPr>
        <w:t xml:space="preserve"> the role played by the CJEU and the ECtHR</w:t>
      </w:r>
      <w:r w:rsidR="005D4F7A" w:rsidRPr="00472C9F">
        <w:rPr>
          <w:rFonts w:ascii="Calibri" w:hAnsi="Calibri" w:cs="Calibri"/>
          <w:sz w:val="24"/>
          <w:szCs w:val="24"/>
        </w:rPr>
        <w:t xml:space="preserve">, </w:t>
      </w:r>
      <w:r w:rsidR="008E5AE3" w:rsidRPr="00472C9F">
        <w:rPr>
          <w:rFonts w:ascii="Calibri" w:hAnsi="Calibri" w:cs="Calibri"/>
          <w:sz w:val="24"/>
          <w:szCs w:val="24"/>
        </w:rPr>
        <w:t>and other core stakeholders includ</w:t>
      </w:r>
      <w:r w:rsidR="00431F1D" w:rsidRPr="00472C9F">
        <w:rPr>
          <w:rFonts w:ascii="Calibri" w:hAnsi="Calibri" w:cs="Calibri"/>
          <w:sz w:val="24"/>
          <w:szCs w:val="24"/>
        </w:rPr>
        <w:t>e</w:t>
      </w:r>
      <w:r w:rsidR="008E5AE3" w:rsidRPr="00472C9F">
        <w:rPr>
          <w:rFonts w:ascii="Calibri" w:hAnsi="Calibri" w:cs="Calibri"/>
          <w:sz w:val="24"/>
          <w:szCs w:val="24"/>
        </w:rPr>
        <w:t xml:space="preserve"> the European </w:t>
      </w:r>
      <w:proofErr w:type="spellStart"/>
      <w:r w:rsidR="008E5AE3" w:rsidRPr="00472C9F">
        <w:rPr>
          <w:rFonts w:ascii="Calibri" w:hAnsi="Calibri" w:cs="Calibri"/>
          <w:sz w:val="24"/>
          <w:szCs w:val="24"/>
        </w:rPr>
        <w:t>Parliamant</w:t>
      </w:r>
      <w:proofErr w:type="spellEnd"/>
      <w:r w:rsidR="008E5AE3" w:rsidRPr="00472C9F">
        <w:rPr>
          <w:rFonts w:ascii="Calibri" w:hAnsi="Calibri" w:cs="Calibri"/>
          <w:sz w:val="24"/>
          <w:szCs w:val="24"/>
        </w:rPr>
        <w:t xml:space="preserve">, the Council of the EU, the European Economic and Social Committee and the European </w:t>
      </w:r>
      <w:r w:rsidR="007627C0" w:rsidRPr="00472C9F">
        <w:rPr>
          <w:rFonts w:ascii="Calibri" w:hAnsi="Calibri" w:cs="Calibri"/>
          <w:sz w:val="24"/>
          <w:szCs w:val="24"/>
        </w:rPr>
        <w:t>Committee of the Regions and civil society organisations who have ‘all welcomed the Commission’s LGBTIQ equality strategy</w:t>
      </w:r>
      <w:r w:rsidR="00A34DE3" w:rsidRPr="00472C9F">
        <w:rPr>
          <w:rFonts w:ascii="Calibri" w:hAnsi="Calibri" w:cs="Calibri"/>
          <w:sz w:val="24"/>
          <w:szCs w:val="24"/>
        </w:rPr>
        <w:t>’</w:t>
      </w:r>
      <w:r w:rsidR="007627C0" w:rsidRPr="00472C9F">
        <w:rPr>
          <w:rFonts w:ascii="Calibri" w:hAnsi="Calibri" w:cs="Calibri"/>
          <w:sz w:val="24"/>
          <w:szCs w:val="24"/>
        </w:rPr>
        <w:t>.</w:t>
      </w:r>
      <w:r w:rsidR="00A34DE3" w:rsidRPr="00472C9F">
        <w:rPr>
          <w:rStyle w:val="FootnoteReference"/>
          <w:rFonts w:ascii="Calibri" w:hAnsi="Calibri" w:cs="Calibri"/>
          <w:sz w:val="24"/>
          <w:szCs w:val="24"/>
        </w:rPr>
        <w:footnoteReference w:id="204"/>
      </w:r>
      <w:r w:rsidR="000F75B9" w:rsidRPr="00472C9F">
        <w:rPr>
          <w:rFonts w:ascii="Calibri" w:hAnsi="Calibri" w:cs="Calibri"/>
          <w:sz w:val="24"/>
          <w:szCs w:val="24"/>
        </w:rPr>
        <w:t xml:space="preserve"> The European Commission </w:t>
      </w:r>
      <w:r w:rsidR="0006042E" w:rsidRPr="00472C9F">
        <w:rPr>
          <w:rFonts w:ascii="Calibri" w:hAnsi="Calibri" w:cs="Calibri"/>
          <w:sz w:val="24"/>
          <w:szCs w:val="24"/>
        </w:rPr>
        <w:t>has taken many actions including appointing an Equality Commissioner</w:t>
      </w:r>
      <w:r w:rsidR="00C02BA0" w:rsidRPr="00472C9F">
        <w:rPr>
          <w:rFonts w:ascii="Calibri" w:hAnsi="Calibri" w:cs="Calibri"/>
          <w:sz w:val="24"/>
          <w:szCs w:val="24"/>
        </w:rPr>
        <w:t>,</w:t>
      </w:r>
      <w:r w:rsidR="0006042E" w:rsidRPr="00472C9F">
        <w:rPr>
          <w:rFonts w:ascii="Calibri" w:hAnsi="Calibri" w:cs="Calibri"/>
          <w:sz w:val="24"/>
          <w:szCs w:val="24"/>
        </w:rPr>
        <w:t xml:space="preserve"> creating a task force on equality and the LGBTIQ Equality subgroup</w:t>
      </w:r>
      <w:r w:rsidR="00C02BA0" w:rsidRPr="00472C9F">
        <w:rPr>
          <w:rFonts w:ascii="Calibri" w:hAnsi="Calibri" w:cs="Calibri"/>
          <w:sz w:val="24"/>
          <w:szCs w:val="24"/>
        </w:rPr>
        <w:t xml:space="preserve"> and bringing infringement proceedings against Hungary for violating</w:t>
      </w:r>
      <w:r w:rsidR="00451D34" w:rsidRPr="00472C9F">
        <w:rPr>
          <w:rFonts w:ascii="Calibri" w:hAnsi="Calibri" w:cs="Calibri"/>
          <w:sz w:val="24"/>
          <w:szCs w:val="24"/>
        </w:rPr>
        <w:t xml:space="preserve"> </w:t>
      </w:r>
      <w:r w:rsidR="00A81845">
        <w:rPr>
          <w:rFonts w:ascii="Calibri" w:hAnsi="Calibri" w:cs="Calibri"/>
          <w:sz w:val="24"/>
          <w:szCs w:val="24"/>
        </w:rPr>
        <w:t xml:space="preserve">the </w:t>
      </w:r>
      <w:r w:rsidR="00451D34" w:rsidRPr="00472C9F">
        <w:rPr>
          <w:rFonts w:ascii="Calibri" w:hAnsi="Calibri" w:cs="Calibri"/>
          <w:sz w:val="24"/>
          <w:szCs w:val="24"/>
        </w:rPr>
        <w:t xml:space="preserve">EU </w:t>
      </w:r>
      <w:r w:rsidR="00A81845">
        <w:rPr>
          <w:rFonts w:ascii="Calibri" w:hAnsi="Calibri" w:cs="Calibri"/>
          <w:sz w:val="24"/>
          <w:szCs w:val="24"/>
        </w:rPr>
        <w:t>R</w:t>
      </w:r>
      <w:r w:rsidR="00451D34" w:rsidRPr="00472C9F">
        <w:rPr>
          <w:rFonts w:ascii="Calibri" w:hAnsi="Calibri" w:cs="Calibri"/>
          <w:sz w:val="24"/>
          <w:szCs w:val="24"/>
        </w:rPr>
        <w:t xml:space="preserve">ule of </w:t>
      </w:r>
      <w:r w:rsidR="00A81845">
        <w:rPr>
          <w:rFonts w:ascii="Calibri" w:hAnsi="Calibri" w:cs="Calibri"/>
          <w:sz w:val="24"/>
          <w:szCs w:val="24"/>
        </w:rPr>
        <w:t>L</w:t>
      </w:r>
      <w:r w:rsidR="00451D34" w:rsidRPr="00472C9F">
        <w:rPr>
          <w:rFonts w:ascii="Calibri" w:hAnsi="Calibri" w:cs="Calibri"/>
          <w:sz w:val="24"/>
          <w:szCs w:val="24"/>
        </w:rPr>
        <w:t>aw in relation to</w:t>
      </w:r>
      <w:r w:rsidR="00C02BA0" w:rsidRPr="00472C9F">
        <w:rPr>
          <w:rFonts w:ascii="Calibri" w:hAnsi="Calibri" w:cs="Calibri"/>
          <w:sz w:val="24"/>
          <w:szCs w:val="24"/>
        </w:rPr>
        <w:t xml:space="preserve"> LGBT</w:t>
      </w:r>
      <w:r w:rsidR="00B12604">
        <w:rPr>
          <w:rFonts w:ascii="Calibri" w:hAnsi="Calibri" w:cs="Calibri"/>
          <w:sz w:val="24"/>
          <w:szCs w:val="24"/>
        </w:rPr>
        <w:t>I</w:t>
      </w:r>
      <w:r w:rsidR="00C02BA0" w:rsidRPr="00472C9F">
        <w:rPr>
          <w:rFonts w:ascii="Calibri" w:hAnsi="Calibri" w:cs="Calibri"/>
          <w:sz w:val="24"/>
          <w:szCs w:val="24"/>
        </w:rPr>
        <w:t>Q+</w:t>
      </w:r>
      <w:r w:rsidR="00451D34" w:rsidRPr="00472C9F">
        <w:rPr>
          <w:rFonts w:ascii="Calibri" w:hAnsi="Calibri" w:cs="Calibri"/>
          <w:sz w:val="24"/>
          <w:szCs w:val="24"/>
        </w:rPr>
        <w:t xml:space="preserve"> rights.</w:t>
      </w:r>
      <w:r w:rsidR="00451D34" w:rsidRPr="00472C9F">
        <w:rPr>
          <w:rStyle w:val="FootnoteReference"/>
          <w:rFonts w:ascii="Calibri" w:hAnsi="Calibri" w:cs="Calibri"/>
          <w:sz w:val="24"/>
          <w:szCs w:val="24"/>
        </w:rPr>
        <w:footnoteReference w:id="205"/>
      </w:r>
      <w:r w:rsidR="00C02BA0" w:rsidRPr="00472C9F">
        <w:rPr>
          <w:rFonts w:ascii="Calibri" w:hAnsi="Calibri" w:cs="Calibri"/>
          <w:sz w:val="24"/>
          <w:szCs w:val="24"/>
        </w:rPr>
        <w:t xml:space="preserve"> </w:t>
      </w:r>
      <w:r w:rsidR="0006042E" w:rsidRPr="00472C9F">
        <w:rPr>
          <w:rFonts w:ascii="Calibri" w:hAnsi="Calibri" w:cs="Calibri"/>
          <w:sz w:val="24"/>
          <w:szCs w:val="24"/>
        </w:rPr>
        <w:t xml:space="preserve"> The Commission </w:t>
      </w:r>
      <w:r w:rsidR="000F75B9" w:rsidRPr="00472C9F">
        <w:rPr>
          <w:rFonts w:ascii="Calibri" w:hAnsi="Calibri" w:cs="Calibri"/>
          <w:sz w:val="24"/>
          <w:szCs w:val="24"/>
        </w:rPr>
        <w:t xml:space="preserve">also </w:t>
      </w:r>
      <w:r w:rsidR="00125339" w:rsidRPr="00472C9F">
        <w:rPr>
          <w:rFonts w:ascii="Calibri" w:hAnsi="Calibri" w:cs="Calibri"/>
          <w:sz w:val="24"/>
          <w:szCs w:val="24"/>
        </w:rPr>
        <w:t>prepares progress reports</w:t>
      </w:r>
      <w:r w:rsidR="00125339" w:rsidRPr="00472C9F">
        <w:rPr>
          <w:rStyle w:val="FootnoteReference"/>
          <w:rFonts w:ascii="Calibri" w:hAnsi="Calibri" w:cs="Calibri"/>
          <w:sz w:val="24"/>
          <w:szCs w:val="24"/>
        </w:rPr>
        <w:footnoteReference w:id="206"/>
      </w:r>
      <w:r w:rsidR="00125339" w:rsidRPr="00472C9F">
        <w:rPr>
          <w:rFonts w:ascii="Calibri" w:hAnsi="Calibri" w:cs="Calibri"/>
          <w:sz w:val="24"/>
          <w:szCs w:val="24"/>
        </w:rPr>
        <w:t xml:space="preserve"> and </w:t>
      </w:r>
      <w:r w:rsidR="0047400F" w:rsidRPr="00472C9F">
        <w:rPr>
          <w:rFonts w:ascii="Calibri" w:hAnsi="Calibri" w:cs="Calibri"/>
          <w:sz w:val="24"/>
          <w:szCs w:val="24"/>
        </w:rPr>
        <w:t>requires yearly update</w:t>
      </w:r>
      <w:r w:rsidR="00125339" w:rsidRPr="00472C9F">
        <w:rPr>
          <w:rFonts w:ascii="Calibri" w:hAnsi="Calibri" w:cs="Calibri"/>
          <w:sz w:val="24"/>
          <w:szCs w:val="24"/>
        </w:rPr>
        <w:t xml:space="preserve"> reports </w:t>
      </w:r>
      <w:r w:rsidR="0047400F" w:rsidRPr="00472C9F">
        <w:rPr>
          <w:rFonts w:ascii="Calibri" w:hAnsi="Calibri" w:cs="Calibri"/>
          <w:sz w:val="24"/>
          <w:szCs w:val="24"/>
        </w:rPr>
        <w:t xml:space="preserve">on progress </w:t>
      </w:r>
      <w:r w:rsidR="00125339" w:rsidRPr="00472C9F">
        <w:rPr>
          <w:rFonts w:ascii="Calibri" w:hAnsi="Calibri" w:cs="Calibri"/>
          <w:sz w:val="24"/>
          <w:szCs w:val="24"/>
        </w:rPr>
        <w:t xml:space="preserve">from the </w:t>
      </w:r>
      <w:r w:rsidR="004B3599" w:rsidRPr="00472C9F">
        <w:rPr>
          <w:rFonts w:ascii="Calibri" w:hAnsi="Calibri" w:cs="Calibri"/>
          <w:sz w:val="24"/>
          <w:szCs w:val="24"/>
        </w:rPr>
        <w:t>European Parliamentary Research Service</w:t>
      </w:r>
      <w:r w:rsidR="00DA4B3D" w:rsidRPr="00472C9F">
        <w:rPr>
          <w:rFonts w:ascii="Calibri" w:hAnsi="Calibri" w:cs="Calibri"/>
          <w:sz w:val="24"/>
          <w:szCs w:val="24"/>
        </w:rPr>
        <w:t>.</w:t>
      </w:r>
      <w:r w:rsidR="00316258" w:rsidRPr="00472C9F">
        <w:rPr>
          <w:rStyle w:val="FootnoteReference"/>
          <w:rFonts w:ascii="Calibri" w:hAnsi="Calibri" w:cs="Calibri"/>
          <w:sz w:val="24"/>
          <w:szCs w:val="24"/>
        </w:rPr>
        <w:footnoteReference w:id="207"/>
      </w:r>
      <w:r w:rsidR="00125339" w:rsidRPr="00472C9F">
        <w:rPr>
          <w:rFonts w:ascii="Calibri" w:hAnsi="Calibri" w:cs="Calibri"/>
          <w:sz w:val="24"/>
          <w:szCs w:val="24"/>
        </w:rPr>
        <w:t xml:space="preserve"> </w:t>
      </w:r>
      <w:r w:rsidR="0047400F" w:rsidRPr="00472C9F">
        <w:rPr>
          <w:rFonts w:ascii="Calibri" w:hAnsi="Calibri" w:cs="Calibri"/>
          <w:sz w:val="24"/>
          <w:szCs w:val="24"/>
        </w:rPr>
        <w:t xml:space="preserve">The Commission </w:t>
      </w:r>
      <w:r w:rsidR="00D65916" w:rsidRPr="00472C9F">
        <w:rPr>
          <w:rFonts w:ascii="Calibri" w:hAnsi="Calibri" w:cs="Calibri"/>
          <w:sz w:val="24"/>
          <w:szCs w:val="24"/>
        </w:rPr>
        <w:t>directs</w:t>
      </w:r>
      <w:r w:rsidR="0047400F" w:rsidRPr="00472C9F">
        <w:rPr>
          <w:rFonts w:ascii="Calibri" w:hAnsi="Calibri" w:cs="Calibri"/>
          <w:sz w:val="24"/>
          <w:szCs w:val="24"/>
        </w:rPr>
        <w:t xml:space="preserve"> the</w:t>
      </w:r>
      <w:r w:rsidR="004B3599" w:rsidRPr="00472C9F">
        <w:rPr>
          <w:rFonts w:ascii="Calibri" w:hAnsi="Calibri" w:cs="Calibri"/>
          <w:sz w:val="24"/>
          <w:szCs w:val="24"/>
        </w:rPr>
        <w:t xml:space="preserve"> </w:t>
      </w:r>
      <w:r w:rsidR="00FD00C6" w:rsidRPr="00472C9F">
        <w:rPr>
          <w:rFonts w:ascii="Calibri" w:hAnsi="Calibri" w:cs="Calibri"/>
          <w:sz w:val="24"/>
          <w:szCs w:val="24"/>
        </w:rPr>
        <w:t xml:space="preserve">European Fundamental Rights Agency </w:t>
      </w:r>
      <w:r w:rsidR="00973D29" w:rsidRPr="00472C9F">
        <w:rPr>
          <w:rFonts w:ascii="Calibri" w:hAnsi="Calibri" w:cs="Calibri"/>
          <w:sz w:val="24"/>
          <w:szCs w:val="24"/>
        </w:rPr>
        <w:t xml:space="preserve">to monitor levels of discrimination across the EU and </w:t>
      </w:r>
      <w:r w:rsidR="008333F2" w:rsidRPr="00472C9F">
        <w:rPr>
          <w:rFonts w:ascii="Calibri" w:hAnsi="Calibri" w:cs="Calibri"/>
          <w:sz w:val="24"/>
          <w:szCs w:val="24"/>
        </w:rPr>
        <w:t xml:space="preserve">this </w:t>
      </w:r>
      <w:r w:rsidR="00D65916" w:rsidRPr="00472C9F">
        <w:rPr>
          <w:rFonts w:ascii="Calibri" w:hAnsi="Calibri" w:cs="Calibri"/>
          <w:sz w:val="24"/>
          <w:szCs w:val="24"/>
        </w:rPr>
        <w:t xml:space="preserve">has </w:t>
      </w:r>
      <w:r w:rsidR="008333F2" w:rsidRPr="00472C9F">
        <w:rPr>
          <w:rFonts w:ascii="Calibri" w:hAnsi="Calibri" w:cs="Calibri"/>
          <w:sz w:val="24"/>
          <w:szCs w:val="24"/>
        </w:rPr>
        <w:t>include</w:t>
      </w:r>
      <w:r w:rsidR="00DA7316" w:rsidRPr="00472C9F">
        <w:rPr>
          <w:rFonts w:ascii="Calibri" w:hAnsi="Calibri" w:cs="Calibri"/>
          <w:sz w:val="24"/>
          <w:szCs w:val="24"/>
        </w:rPr>
        <w:t>d</w:t>
      </w:r>
      <w:r w:rsidR="008333F2" w:rsidRPr="00472C9F">
        <w:rPr>
          <w:rFonts w:ascii="Calibri" w:hAnsi="Calibri" w:cs="Calibri"/>
          <w:sz w:val="24"/>
          <w:szCs w:val="24"/>
        </w:rPr>
        <w:t xml:space="preserve"> </w:t>
      </w:r>
      <w:r w:rsidR="00D65916" w:rsidRPr="00472C9F">
        <w:rPr>
          <w:rFonts w:ascii="Calibri" w:hAnsi="Calibri" w:cs="Calibri"/>
          <w:sz w:val="24"/>
          <w:szCs w:val="24"/>
        </w:rPr>
        <w:t xml:space="preserve">several reports, the latest of which </w:t>
      </w:r>
      <w:r w:rsidR="008333F2" w:rsidRPr="00472C9F">
        <w:rPr>
          <w:rFonts w:ascii="Calibri" w:hAnsi="Calibri" w:cs="Calibri"/>
          <w:sz w:val="24"/>
          <w:szCs w:val="24"/>
        </w:rPr>
        <w:t>detail</w:t>
      </w:r>
      <w:r w:rsidR="007E2074" w:rsidRPr="00472C9F">
        <w:rPr>
          <w:rFonts w:ascii="Calibri" w:hAnsi="Calibri" w:cs="Calibri"/>
          <w:sz w:val="24"/>
          <w:szCs w:val="24"/>
        </w:rPr>
        <w:t>s</w:t>
      </w:r>
      <w:r w:rsidR="008333F2" w:rsidRPr="00472C9F">
        <w:rPr>
          <w:rFonts w:ascii="Calibri" w:hAnsi="Calibri" w:cs="Calibri"/>
          <w:sz w:val="24"/>
          <w:szCs w:val="24"/>
        </w:rPr>
        <w:t xml:space="preserve"> the lived experiences of 100,</w:t>
      </w:r>
      <w:r w:rsidR="00DA7316" w:rsidRPr="00472C9F">
        <w:rPr>
          <w:rFonts w:ascii="Calibri" w:hAnsi="Calibri" w:cs="Calibri"/>
          <w:sz w:val="24"/>
          <w:szCs w:val="24"/>
        </w:rPr>
        <w:t>577</w:t>
      </w:r>
      <w:r w:rsidR="008333F2" w:rsidRPr="00472C9F">
        <w:rPr>
          <w:rFonts w:ascii="Calibri" w:hAnsi="Calibri" w:cs="Calibri"/>
          <w:sz w:val="24"/>
          <w:szCs w:val="24"/>
        </w:rPr>
        <w:t xml:space="preserve">+ LGBTQIA persons </w:t>
      </w:r>
      <w:r w:rsidR="00DA7316" w:rsidRPr="00472C9F">
        <w:rPr>
          <w:rFonts w:ascii="Calibri" w:hAnsi="Calibri" w:cs="Calibri"/>
          <w:sz w:val="24"/>
          <w:szCs w:val="24"/>
        </w:rPr>
        <w:t xml:space="preserve">across 30 EU countries </w:t>
      </w:r>
      <w:r w:rsidR="008333F2" w:rsidRPr="00472C9F">
        <w:rPr>
          <w:rFonts w:ascii="Calibri" w:hAnsi="Calibri" w:cs="Calibri"/>
          <w:sz w:val="24"/>
          <w:szCs w:val="24"/>
        </w:rPr>
        <w:t>in 2023</w:t>
      </w:r>
      <w:r w:rsidR="00D65916" w:rsidRPr="00472C9F">
        <w:rPr>
          <w:rFonts w:ascii="Calibri" w:hAnsi="Calibri" w:cs="Calibri"/>
          <w:sz w:val="24"/>
          <w:szCs w:val="24"/>
        </w:rPr>
        <w:t>.</w:t>
      </w:r>
      <w:r w:rsidR="00D65916" w:rsidRPr="00472C9F">
        <w:rPr>
          <w:rStyle w:val="FootnoteReference"/>
          <w:rFonts w:ascii="Calibri" w:eastAsia="Times New Roman" w:hAnsi="Calibri" w:cs="Calibri"/>
          <w:sz w:val="24"/>
          <w:szCs w:val="24"/>
          <w:lang w:eastAsia="en-GB"/>
        </w:rPr>
        <w:footnoteReference w:id="208"/>
      </w:r>
      <w:r w:rsidR="00DA7316" w:rsidRPr="00472C9F">
        <w:rPr>
          <w:rFonts w:ascii="Calibri" w:hAnsi="Calibri" w:cs="Calibri"/>
          <w:sz w:val="24"/>
          <w:szCs w:val="24"/>
        </w:rPr>
        <w:t xml:space="preserve"> </w:t>
      </w:r>
      <w:r w:rsidR="00D65916" w:rsidRPr="00472C9F">
        <w:rPr>
          <w:rFonts w:ascii="Calibri" w:hAnsi="Calibri" w:cs="Calibri"/>
          <w:sz w:val="24"/>
          <w:szCs w:val="24"/>
        </w:rPr>
        <w:t xml:space="preserve">All of these soft law interventions </w:t>
      </w:r>
      <w:r w:rsidR="00DA7316" w:rsidRPr="00472C9F">
        <w:rPr>
          <w:rFonts w:ascii="Calibri" w:hAnsi="Calibri" w:cs="Calibri"/>
          <w:sz w:val="24"/>
          <w:szCs w:val="24"/>
        </w:rPr>
        <w:t>contribut</w:t>
      </w:r>
      <w:r w:rsidR="00D65916" w:rsidRPr="00472C9F">
        <w:rPr>
          <w:rFonts w:ascii="Calibri" w:hAnsi="Calibri" w:cs="Calibri"/>
          <w:sz w:val="24"/>
          <w:szCs w:val="24"/>
        </w:rPr>
        <w:t>e</w:t>
      </w:r>
      <w:r w:rsidR="00DA7316" w:rsidRPr="00472C9F">
        <w:rPr>
          <w:rFonts w:ascii="Calibri" w:hAnsi="Calibri" w:cs="Calibri"/>
          <w:sz w:val="24"/>
          <w:szCs w:val="24"/>
        </w:rPr>
        <w:t xml:space="preserve"> towards increasing the accessibility of what it means to be an EU citizen. </w:t>
      </w:r>
    </w:p>
    <w:p w14:paraId="032E3F8B" w14:textId="77777777" w:rsidR="00B12604" w:rsidRDefault="00B12604" w:rsidP="0059780E">
      <w:pPr>
        <w:spacing w:after="0" w:line="360" w:lineRule="auto"/>
        <w:jc w:val="both"/>
        <w:rPr>
          <w:rFonts w:ascii="Calibri" w:hAnsi="Calibri" w:cs="Calibri"/>
          <w:sz w:val="24"/>
          <w:szCs w:val="24"/>
        </w:rPr>
      </w:pPr>
    </w:p>
    <w:p w14:paraId="3B30DA4A" w14:textId="64CC68D1" w:rsidR="00193FF2" w:rsidRPr="00472C9F" w:rsidRDefault="002C62A9" w:rsidP="00570ECB">
      <w:pPr>
        <w:pStyle w:val="Heading2"/>
      </w:pPr>
      <w:r>
        <w:t xml:space="preserve">7. </w:t>
      </w:r>
      <w:r w:rsidR="00193FF2" w:rsidRPr="00472C9F">
        <w:t>Conclusions</w:t>
      </w:r>
    </w:p>
    <w:p w14:paraId="6F5A4407" w14:textId="271FE4C1" w:rsidR="002F7D2A" w:rsidRPr="00472C9F" w:rsidRDefault="007E37B1" w:rsidP="0059780E">
      <w:pPr>
        <w:spacing w:after="0" w:line="360" w:lineRule="auto"/>
        <w:jc w:val="both"/>
        <w:rPr>
          <w:rFonts w:ascii="Calibri" w:hAnsi="Calibri" w:cs="Calibri"/>
          <w:sz w:val="24"/>
          <w:szCs w:val="24"/>
        </w:rPr>
      </w:pPr>
      <w:r w:rsidRPr="00472C9F">
        <w:rPr>
          <w:rFonts w:ascii="Calibri" w:hAnsi="Calibri" w:cs="Calibri"/>
          <w:sz w:val="24"/>
          <w:szCs w:val="24"/>
        </w:rPr>
        <w:t xml:space="preserve">Citizenship inclusivity is essential for the EU </w:t>
      </w:r>
      <w:proofErr w:type="gramStart"/>
      <w:r w:rsidRPr="00472C9F">
        <w:rPr>
          <w:rFonts w:ascii="Calibri" w:hAnsi="Calibri" w:cs="Calibri"/>
          <w:sz w:val="24"/>
          <w:szCs w:val="24"/>
        </w:rPr>
        <w:t>in order to</w:t>
      </w:r>
      <w:proofErr w:type="gramEnd"/>
      <w:r w:rsidRPr="00472C9F">
        <w:rPr>
          <w:rFonts w:ascii="Calibri" w:hAnsi="Calibri" w:cs="Calibri"/>
          <w:sz w:val="24"/>
          <w:szCs w:val="24"/>
        </w:rPr>
        <w:t xml:space="preserve"> increase</w:t>
      </w:r>
      <w:r w:rsidR="007050A2">
        <w:rPr>
          <w:rFonts w:ascii="Calibri" w:hAnsi="Calibri" w:cs="Calibri"/>
          <w:sz w:val="24"/>
          <w:szCs w:val="24"/>
        </w:rPr>
        <w:t xml:space="preserve"> the</w:t>
      </w:r>
      <w:r w:rsidRPr="00472C9F">
        <w:rPr>
          <w:rFonts w:ascii="Calibri" w:hAnsi="Calibri" w:cs="Calibri"/>
          <w:sz w:val="24"/>
          <w:szCs w:val="24"/>
        </w:rPr>
        <w:t xml:space="preserve"> </w:t>
      </w:r>
      <w:r w:rsidRPr="00472C9F">
        <w:rPr>
          <w:rFonts w:ascii="Calibri" w:hAnsi="Calibri" w:cs="Calibri"/>
          <w:i/>
          <w:iCs/>
          <w:sz w:val="24"/>
          <w:szCs w:val="24"/>
        </w:rPr>
        <w:t>demos</w:t>
      </w:r>
      <w:r w:rsidRPr="00472C9F">
        <w:rPr>
          <w:rFonts w:ascii="Calibri" w:hAnsi="Calibri" w:cs="Calibri"/>
          <w:sz w:val="24"/>
          <w:szCs w:val="24"/>
        </w:rPr>
        <w:t xml:space="preserve"> behind the EU project and to secure its own future.</w:t>
      </w:r>
      <w:r w:rsidR="009313E0" w:rsidRPr="00472C9F">
        <w:rPr>
          <w:rFonts w:ascii="Calibri" w:hAnsi="Calibri" w:cs="Calibri"/>
          <w:sz w:val="24"/>
          <w:szCs w:val="24"/>
        </w:rPr>
        <w:t xml:space="preserve"> EU citizenship could be a way of ‘potential[</w:t>
      </w:r>
      <w:proofErr w:type="spellStart"/>
      <w:r w:rsidR="009313E0" w:rsidRPr="00472C9F">
        <w:rPr>
          <w:rFonts w:ascii="Calibri" w:hAnsi="Calibri" w:cs="Calibri"/>
          <w:sz w:val="24"/>
          <w:szCs w:val="24"/>
        </w:rPr>
        <w:t>ly</w:t>
      </w:r>
      <w:proofErr w:type="spellEnd"/>
      <w:r w:rsidR="009313E0" w:rsidRPr="00472C9F">
        <w:rPr>
          <w:rFonts w:ascii="Calibri" w:hAnsi="Calibri" w:cs="Calibri"/>
          <w:sz w:val="24"/>
          <w:szCs w:val="24"/>
        </w:rPr>
        <w:t xml:space="preserve">] </w:t>
      </w:r>
      <w:r w:rsidR="009313E0" w:rsidRPr="00472C9F">
        <w:rPr>
          <w:rFonts w:ascii="Calibri" w:hAnsi="Calibri" w:cs="Calibri"/>
          <w:sz w:val="24"/>
          <w:szCs w:val="24"/>
        </w:rPr>
        <w:lastRenderedPageBreak/>
        <w:t xml:space="preserve">overcoming at least some of the shortcomings of traditional, state-centred citizenship, seen to be too exclusive of </w:t>
      </w:r>
      <w:proofErr w:type="gramStart"/>
      <w:r w:rsidR="009313E0" w:rsidRPr="00472C9F">
        <w:rPr>
          <w:rFonts w:ascii="Calibri" w:hAnsi="Calibri" w:cs="Calibri"/>
          <w:sz w:val="24"/>
          <w:szCs w:val="24"/>
        </w:rPr>
        <w:t>outsiders’</w:t>
      </w:r>
      <w:proofErr w:type="gramEnd"/>
      <w:r w:rsidR="009313E0" w:rsidRPr="00472C9F">
        <w:rPr>
          <w:rFonts w:ascii="Calibri" w:hAnsi="Calibri" w:cs="Calibri"/>
          <w:sz w:val="24"/>
          <w:szCs w:val="24"/>
        </w:rPr>
        <w:t>.</w:t>
      </w:r>
      <w:r w:rsidR="009313E0" w:rsidRPr="00472C9F">
        <w:rPr>
          <w:rStyle w:val="FootnoteReference"/>
          <w:rFonts w:ascii="Calibri" w:hAnsi="Calibri" w:cs="Calibri"/>
          <w:sz w:val="24"/>
          <w:szCs w:val="24"/>
        </w:rPr>
        <w:footnoteReference w:id="209"/>
      </w:r>
      <w:r w:rsidR="009313E0" w:rsidRPr="00472C9F">
        <w:rPr>
          <w:rFonts w:ascii="Calibri" w:hAnsi="Calibri" w:cs="Calibri"/>
          <w:sz w:val="24"/>
          <w:szCs w:val="24"/>
        </w:rPr>
        <w:t xml:space="preserve"> </w:t>
      </w:r>
      <w:r w:rsidR="00071876" w:rsidRPr="00472C9F">
        <w:rPr>
          <w:rFonts w:ascii="Calibri" w:hAnsi="Calibri" w:cs="Calibri"/>
          <w:sz w:val="24"/>
          <w:szCs w:val="24"/>
        </w:rPr>
        <w:t>Rights</w:t>
      </w:r>
      <w:r w:rsidR="00757648">
        <w:rPr>
          <w:rFonts w:ascii="Calibri" w:hAnsi="Calibri" w:cs="Calibri"/>
          <w:sz w:val="24"/>
          <w:szCs w:val="24"/>
        </w:rPr>
        <w:t>-</w:t>
      </w:r>
      <w:r w:rsidR="00071876" w:rsidRPr="00472C9F">
        <w:rPr>
          <w:rFonts w:ascii="Calibri" w:hAnsi="Calibri" w:cs="Calibri"/>
          <w:sz w:val="24"/>
          <w:szCs w:val="24"/>
        </w:rPr>
        <w:t>based approaches</w:t>
      </w:r>
      <w:r w:rsidR="008B14B8" w:rsidRPr="00472C9F">
        <w:rPr>
          <w:rFonts w:ascii="Calibri" w:hAnsi="Calibri" w:cs="Calibri"/>
          <w:sz w:val="24"/>
          <w:szCs w:val="24"/>
        </w:rPr>
        <w:t xml:space="preserve"> towards citizenship demonstrate progress by the EU, but also limitations</w:t>
      </w:r>
      <w:r w:rsidR="00883B7B" w:rsidRPr="00472C9F">
        <w:rPr>
          <w:rFonts w:ascii="Calibri" w:hAnsi="Calibri" w:cs="Calibri"/>
          <w:sz w:val="24"/>
          <w:szCs w:val="24"/>
        </w:rPr>
        <w:t xml:space="preserve"> as the </w:t>
      </w:r>
      <w:r w:rsidR="009F1974" w:rsidRPr="00472C9F">
        <w:rPr>
          <w:rFonts w:ascii="Calibri" w:hAnsi="Calibri" w:cs="Calibri"/>
          <w:sz w:val="24"/>
          <w:szCs w:val="24"/>
        </w:rPr>
        <w:t xml:space="preserve">EU legal conception of citizenship continues </w:t>
      </w:r>
      <w:r w:rsidR="0071527F" w:rsidRPr="00472C9F">
        <w:rPr>
          <w:rFonts w:ascii="Calibri" w:hAnsi="Calibri" w:cs="Calibri"/>
          <w:sz w:val="24"/>
          <w:szCs w:val="24"/>
        </w:rPr>
        <w:t xml:space="preserve">to </w:t>
      </w:r>
      <w:r w:rsidR="009F1974" w:rsidRPr="00472C9F">
        <w:rPr>
          <w:rFonts w:ascii="Calibri" w:hAnsi="Calibri" w:cs="Calibri"/>
          <w:sz w:val="24"/>
          <w:szCs w:val="24"/>
        </w:rPr>
        <w:t xml:space="preserve">be related to a </w:t>
      </w:r>
      <w:proofErr w:type="spellStart"/>
      <w:r w:rsidR="009F1974" w:rsidRPr="00472C9F">
        <w:rPr>
          <w:rFonts w:ascii="Calibri" w:hAnsi="Calibri" w:cs="Calibri"/>
          <w:sz w:val="24"/>
          <w:szCs w:val="24"/>
        </w:rPr>
        <w:t>productivist</w:t>
      </w:r>
      <w:proofErr w:type="spellEnd"/>
      <w:r w:rsidR="009F1974" w:rsidRPr="00472C9F">
        <w:rPr>
          <w:rFonts w:ascii="Calibri" w:hAnsi="Calibri" w:cs="Calibri"/>
          <w:sz w:val="24"/>
          <w:szCs w:val="24"/>
        </w:rPr>
        <w:t xml:space="preserve"> model.</w:t>
      </w:r>
      <w:r w:rsidR="008B14B8" w:rsidRPr="00472C9F">
        <w:rPr>
          <w:rFonts w:ascii="Calibri" w:hAnsi="Calibri" w:cs="Calibri"/>
          <w:sz w:val="24"/>
          <w:szCs w:val="24"/>
        </w:rPr>
        <w:t xml:space="preserve"> </w:t>
      </w:r>
      <w:r w:rsidR="00F6382B" w:rsidRPr="00472C9F">
        <w:rPr>
          <w:rFonts w:ascii="Calibri" w:hAnsi="Calibri" w:cs="Calibri"/>
          <w:sz w:val="24"/>
          <w:szCs w:val="24"/>
        </w:rPr>
        <w:t xml:space="preserve">Positive successes include </w:t>
      </w:r>
      <w:r w:rsidR="00A64735" w:rsidRPr="00472C9F">
        <w:rPr>
          <w:rFonts w:ascii="Calibri" w:hAnsi="Calibri" w:cs="Calibri"/>
          <w:sz w:val="24"/>
          <w:szCs w:val="24"/>
        </w:rPr>
        <w:t xml:space="preserve">extensive legislation </w:t>
      </w:r>
      <w:proofErr w:type="spellStart"/>
      <w:r w:rsidR="00A64735" w:rsidRPr="00472C9F">
        <w:rPr>
          <w:rFonts w:ascii="Calibri" w:hAnsi="Calibri" w:cs="Calibri"/>
          <w:sz w:val="24"/>
          <w:szCs w:val="24"/>
        </w:rPr>
        <w:t>prohiting</w:t>
      </w:r>
      <w:proofErr w:type="spellEnd"/>
      <w:r w:rsidR="00A64735" w:rsidRPr="00472C9F">
        <w:rPr>
          <w:rFonts w:ascii="Calibri" w:hAnsi="Calibri" w:cs="Calibri"/>
          <w:sz w:val="24"/>
          <w:szCs w:val="24"/>
        </w:rPr>
        <w:t xml:space="preserve"> discrimination against LGBT</w:t>
      </w:r>
      <w:r w:rsidR="004E5B14">
        <w:rPr>
          <w:rFonts w:ascii="Calibri" w:hAnsi="Calibri" w:cs="Calibri"/>
          <w:sz w:val="24"/>
          <w:szCs w:val="24"/>
        </w:rPr>
        <w:t>I</w:t>
      </w:r>
      <w:r w:rsidR="00A64735" w:rsidRPr="00472C9F">
        <w:rPr>
          <w:rFonts w:ascii="Calibri" w:hAnsi="Calibri" w:cs="Calibri"/>
          <w:sz w:val="24"/>
          <w:szCs w:val="24"/>
        </w:rPr>
        <w:t>Q+ persons</w:t>
      </w:r>
      <w:r w:rsidR="00345B87" w:rsidRPr="00472C9F">
        <w:rPr>
          <w:rFonts w:ascii="Calibri" w:hAnsi="Calibri" w:cs="Calibri"/>
          <w:sz w:val="24"/>
          <w:szCs w:val="24"/>
        </w:rPr>
        <w:t xml:space="preserve">, </w:t>
      </w:r>
      <w:r w:rsidR="00A64735" w:rsidRPr="00472C9F">
        <w:rPr>
          <w:rFonts w:ascii="Calibri" w:hAnsi="Calibri" w:cs="Calibri"/>
          <w:sz w:val="24"/>
          <w:szCs w:val="24"/>
        </w:rPr>
        <w:t>important judgments</w:t>
      </w:r>
      <w:r w:rsidR="00345B87" w:rsidRPr="00472C9F">
        <w:rPr>
          <w:rFonts w:ascii="Calibri" w:hAnsi="Calibri" w:cs="Calibri"/>
          <w:sz w:val="24"/>
          <w:szCs w:val="24"/>
        </w:rPr>
        <w:t xml:space="preserve"> from the CJEU</w:t>
      </w:r>
      <w:r w:rsidR="00A64735" w:rsidRPr="00472C9F">
        <w:rPr>
          <w:rFonts w:ascii="Calibri" w:hAnsi="Calibri" w:cs="Calibri"/>
          <w:sz w:val="24"/>
          <w:szCs w:val="24"/>
        </w:rPr>
        <w:t xml:space="preserve"> </w:t>
      </w:r>
      <w:r w:rsidR="00AB1C33" w:rsidRPr="00472C9F">
        <w:rPr>
          <w:rFonts w:ascii="Calibri" w:hAnsi="Calibri" w:cs="Calibri"/>
          <w:sz w:val="24"/>
          <w:szCs w:val="24"/>
        </w:rPr>
        <w:t xml:space="preserve">including </w:t>
      </w:r>
      <w:r w:rsidR="008A3153" w:rsidRPr="00472C9F">
        <w:rPr>
          <w:rFonts w:ascii="Calibri" w:hAnsi="Calibri" w:cs="Calibri"/>
          <w:sz w:val="24"/>
          <w:szCs w:val="24"/>
        </w:rPr>
        <w:t>far</w:t>
      </w:r>
      <w:r w:rsidR="00AB1C33" w:rsidRPr="00472C9F">
        <w:rPr>
          <w:rFonts w:ascii="Calibri" w:hAnsi="Calibri" w:cs="Calibri"/>
          <w:sz w:val="24"/>
          <w:szCs w:val="24"/>
        </w:rPr>
        <w:t>-reaching</w:t>
      </w:r>
      <w:r w:rsidR="008A3153" w:rsidRPr="00472C9F">
        <w:rPr>
          <w:rFonts w:ascii="Calibri" w:hAnsi="Calibri" w:cs="Calibri"/>
          <w:sz w:val="24"/>
          <w:szCs w:val="24"/>
        </w:rPr>
        <w:t xml:space="preserve"> conceptions of spouse to include same-sex spouses</w:t>
      </w:r>
      <w:r w:rsidR="00E73E0A" w:rsidRPr="00472C9F">
        <w:rPr>
          <w:rFonts w:ascii="Calibri" w:hAnsi="Calibri" w:cs="Calibri"/>
          <w:sz w:val="24"/>
          <w:szCs w:val="24"/>
        </w:rPr>
        <w:t>,</w:t>
      </w:r>
      <w:r w:rsidR="008A3153" w:rsidRPr="00472C9F">
        <w:rPr>
          <w:rStyle w:val="FootnoteReference"/>
          <w:rFonts w:ascii="Calibri" w:hAnsi="Calibri" w:cs="Calibri"/>
          <w:sz w:val="24"/>
          <w:szCs w:val="24"/>
        </w:rPr>
        <w:footnoteReference w:id="210"/>
      </w:r>
      <w:r w:rsidR="008A3153" w:rsidRPr="00472C9F">
        <w:rPr>
          <w:rFonts w:ascii="Calibri" w:hAnsi="Calibri" w:cs="Calibri"/>
          <w:sz w:val="24"/>
          <w:szCs w:val="24"/>
        </w:rPr>
        <w:t xml:space="preserve"> </w:t>
      </w:r>
      <w:r w:rsidR="008F7CB1" w:rsidRPr="00472C9F">
        <w:rPr>
          <w:rFonts w:ascii="Calibri" w:hAnsi="Calibri" w:cs="Calibri"/>
          <w:sz w:val="24"/>
          <w:szCs w:val="24"/>
        </w:rPr>
        <w:t>more</w:t>
      </w:r>
      <w:r w:rsidR="008A3153" w:rsidRPr="00472C9F">
        <w:rPr>
          <w:rFonts w:ascii="Calibri" w:hAnsi="Calibri" w:cs="Calibri"/>
          <w:sz w:val="24"/>
          <w:szCs w:val="24"/>
        </w:rPr>
        <w:t xml:space="preserve"> </w:t>
      </w:r>
      <w:r w:rsidR="008056F5" w:rsidRPr="00472C9F">
        <w:rPr>
          <w:rFonts w:ascii="Calibri" w:hAnsi="Calibri" w:cs="Calibri"/>
          <w:sz w:val="24"/>
          <w:szCs w:val="24"/>
        </w:rPr>
        <w:t xml:space="preserve">extensive </w:t>
      </w:r>
      <w:r w:rsidR="00962810" w:rsidRPr="00472C9F">
        <w:rPr>
          <w:rFonts w:ascii="Calibri" w:hAnsi="Calibri" w:cs="Calibri"/>
          <w:sz w:val="24"/>
          <w:szCs w:val="24"/>
        </w:rPr>
        <w:t>rights for</w:t>
      </w:r>
      <w:r w:rsidR="008056F5" w:rsidRPr="00472C9F">
        <w:rPr>
          <w:rFonts w:ascii="Calibri" w:hAnsi="Calibri" w:cs="Calibri"/>
          <w:sz w:val="24"/>
          <w:szCs w:val="24"/>
        </w:rPr>
        <w:t xml:space="preserve"> </w:t>
      </w:r>
      <w:r w:rsidR="008A3153" w:rsidRPr="00472C9F">
        <w:rPr>
          <w:rFonts w:ascii="Calibri" w:hAnsi="Calibri" w:cs="Calibri"/>
          <w:sz w:val="24"/>
          <w:szCs w:val="24"/>
        </w:rPr>
        <w:t>rainbow families</w:t>
      </w:r>
      <w:r w:rsidR="00052184" w:rsidRPr="00472C9F">
        <w:rPr>
          <w:rFonts w:ascii="Calibri" w:hAnsi="Calibri" w:cs="Calibri"/>
          <w:sz w:val="24"/>
          <w:szCs w:val="24"/>
        </w:rPr>
        <w:t>,</w:t>
      </w:r>
      <w:r w:rsidR="008A3153" w:rsidRPr="00472C9F">
        <w:rPr>
          <w:rStyle w:val="FootnoteReference"/>
          <w:rFonts w:ascii="Calibri" w:hAnsi="Calibri" w:cs="Calibri"/>
          <w:sz w:val="24"/>
          <w:szCs w:val="24"/>
        </w:rPr>
        <w:footnoteReference w:id="211"/>
      </w:r>
      <w:r w:rsidR="00052184" w:rsidRPr="00472C9F">
        <w:rPr>
          <w:rFonts w:ascii="Calibri" w:hAnsi="Calibri" w:cs="Calibri"/>
          <w:sz w:val="24"/>
          <w:szCs w:val="24"/>
        </w:rPr>
        <w:t xml:space="preserve"> and proposals for </w:t>
      </w:r>
      <w:r w:rsidR="008F7CB1" w:rsidRPr="00472C9F">
        <w:rPr>
          <w:rFonts w:ascii="Calibri" w:hAnsi="Calibri" w:cs="Calibri"/>
          <w:sz w:val="24"/>
          <w:szCs w:val="24"/>
        </w:rPr>
        <w:t>relevant legislative reforms.</w:t>
      </w:r>
      <w:r w:rsidR="00215B16" w:rsidRPr="00472C9F">
        <w:rPr>
          <w:rStyle w:val="FootnoteReference"/>
          <w:rFonts w:ascii="Calibri" w:hAnsi="Calibri" w:cs="Calibri"/>
          <w:sz w:val="24"/>
          <w:szCs w:val="24"/>
        </w:rPr>
        <w:footnoteReference w:id="212"/>
      </w:r>
      <w:r w:rsidR="00052184" w:rsidRPr="00472C9F">
        <w:rPr>
          <w:rFonts w:ascii="Calibri" w:hAnsi="Calibri" w:cs="Calibri"/>
          <w:sz w:val="24"/>
          <w:szCs w:val="24"/>
        </w:rPr>
        <w:t xml:space="preserve"> However all of these rights</w:t>
      </w:r>
      <w:r w:rsidR="00757648">
        <w:rPr>
          <w:rFonts w:ascii="Calibri" w:hAnsi="Calibri" w:cs="Calibri"/>
          <w:sz w:val="24"/>
          <w:szCs w:val="24"/>
        </w:rPr>
        <w:t>-</w:t>
      </w:r>
      <w:r w:rsidR="00052184" w:rsidRPr="00472C9F">
        <w:rPr>
          <w:rFonts w:ascii="Calibri" w:hAnsi="Calibri" w:cs="Calibri"/>
          <w:sz w:val="24"/>
          <w:szCs w:val="24"/>
        </w:rPr>
        <w:t>based approaches come with limitations as</w:t>
      </w:r>
      <w:r w:rsidR="00A82EA9" w:rsidRPr="00472C9F">
        <w:rPr>
          <w:rFonts w:ascii="Calibri" w:hAnsi="Calibri" w:cs="Calibri"/>
          <w:sz w:val="24"/>
          <w:szCs w:val="24"/>
        </w:rPr>
        <w:t xml:space="preserve"> the EU can only operate within the bounds of its competencies as agreed through successive Treaties</w:t>
      </w:r>
      <w:r w:rsidR="006B0B2C" w:rsidRPr="00472C9F">
        <w:rPr>
          <w:rFonts w:ascii="Calibri" w:hAnsi="Calibri" w:cs="Calibri"/>
          <w:sz w:val="24"/>
          <w:szCs w:val="24"/>
        </w:rPr>
        <w:t>.</w:t>
      </w:r>
      <w:r w:rsidR="0033431F" w:rsidRPr="00472C9F">
        <w:rPr>
          <w:rStyle w:val="FootnoteReference"/>
          <w:rFonts w:ascii="Calibri" w:hAnsi="Calibri" w:cs="Calibri"/>
          <w:sz w:val="24"/>
          <w:szCs w:val="24"/>
        </w:rPr>
        <w:footnoteReference w:id="213"/>
      </w:r>
      <w:r w:rsidR="00090CEC" w:rsidRPr="00472C9F">
        <w:rPr>
          <w:rFonts w:ascii="Calibri" w:hAnsi="Calibri" w:cs="Calibri"/>
          <w:sz w:val="24"/>
          <w:szCs w:val="24"/>
        </w:rPr>
        <w:t xml:space="preserve"> </w:t>
      </w:r>
      <w:r w:rsidR="006B0B2C" w:rsidRPr="00472C9F">
        <w:rPr>
          <w:rFonts w:ascii="Calibri" w:hAnsi="Calibri" w:cs="Calibri"/>
          <w:sz w:val="24"/>
          <w:szCs w:val="24"/>
        </w:rPr>
        <w:t xml:space="preserve">In recent years, the </w:t>
      </w:r>
      <w:proofErr w:type="spellStart"/>
      <w:r w:rsidR="006B0B2C" w:rsidRPr="00472C9F">
        <w:rPr>
          <w:rFonts w:ascii="Calibri" w:hAnsi="Calibri" w:cs="Calibri"/>
          <w:sz w:val="24"/>
          <w:szCs w:val="24"/>
        </w:rPr>
        <w:t>intergovernmentalist</w:t>
      </w:r>
      <w:proofErr w:type="spellEnd"/>
      <w:r w:rsidR="006B0B2C" w:rsidRPr="00472C9F">
        <w:rPr>
          <w:rFonts w:ascii="Calibri" w:hAnsi="Calibri" w:cs="Calibri"/>
          <w:sz w:val="24"/>
          <w:szCs w:val="24"/>
        </w:rPr>
        <w:t xml:space="preserve"> model has been emphasised by the </w:t>
      </w:r>
      <w:r w:rsidR="007D3F6F" w:rsidRPr="00472C9F">
        <w:rPr>
          <w:rFonts w:ascii="Calibri" w:hAnsi="Calibri" w:cs="Calibri"/>
          <w:sz w:val="24"/>
          <w:szCs w:val="24"/>
        </w:rPr>
        <w:t>S</w:t>
      </w:r>
      <w:r w:rsidR="006B0B2C" w:rsidRPr="00472C9F">
        <w:rPr>
          <w:rFonts w:ascii="Calibri" w:hAnsi="Calibri" w:cs="Calibri"/>
          <w:sz w:val="24"/>
          <w:szCs w:val="24"/>
        </w:rPr>
        <w:t xml:space="preserve">ubsidiarity </w:t>
      </w:r>
      <w:r w:rsidR="007D3F6F" w:rsidRPr="00472C9F">
        <w:rPr>
          <w:rFonts w:ascii="Calibri" w:hAnsi="Calibri" w:cs="Calibri"/>
          <w:sz w:val="24"/>
          <w:szCs w:val="24"/>
        </w:rPr>
        <w:t>P</w:t>
      </w:r>
      <w:r w:rsidR="006B0B2C" w:rsidRPr="00472C9F">
        <w:rPr>
          <w:rFonts w:ascii="Calibri" w:hAnsi="Calibri" w:cs="Calibri"/>
          <w:sz w:val="24"/>
          <w:szCs w:val="24"/>
        </w:rPr>
        <w:t>rotocol, which increases Member States</w:t>
      </w:r>
      <w:r w:rsidR="0087692C" w:rsidRPr="00472C9F">
        <w:rPr>
          <w:rFonts w:ascii="Calibri" w:hAnsi="Calibri" w:cs="Calibri"/>
          <w:sz w:val="24"/>
          <w:szCs w:val="24"/>
        </w:rPr>
        <w:t>’</w:t>
      </w:r>
      <w:r w:rsidR="006B0B2C" w:rsidRPr="00472C9F">
        <w:rPr>
          <w:rFonts w:ascii="Calibri" w:hAnsi="Calibri" w:cs="Calibri"/>
          <w:sz w:val="24"/>
          <w:szCs w:val="24"/>
        </w:rPr>
        <w:t xml:space="preserve"> role in EU legislation.</w:t>
      </w:r>
      <w:r w:rsidR="006B0B2C" w:rsidRPr="00472C9F">
        <w:rPr>
          <w:rStyle w:val="FootnoteReference"/>
          <w:rFonts w:ascii="Calibri" w:hAnsi="Calibri" w:cs="Calibri"/>
          <w:sz w:val="24"/>
          <w:szCs w:val="24"/>
        </w:rPr>
        <w:footnoteReference w:id="214"/>
      </w:r>
      <w:r w:rsidR="006B0B2C" w:rsidRPr="00472C9F">
        <w:rPr>
          <w:rFonts w:ascii="Calibri" w:hAnsi="Calibri" w:cs="Calibri"/>
          <w:sz w:val="24"/>
          <w:szCs w:val="24"/>
        </w:rPr>
        <w:t xml:space="preserve"> </w:t>
      </w:r>
      <w:r w:rsidR="00981E6B" w:rsidRPr="00472C9F">
        <w:rPr>
          <w:rFonts w:ascii="Calibri" w:hAnsi="Calibri" w:cs="Calibri"/>
          <w:sz w:val="24"/>
          <w:szCs w:val="24"/>
        </w:rPr>
        <w:t>Member States have resisted EU expansion into broader areas of welfare, tax and family issues which remain under Member States’ control.</w:t>
      </w:r>
      <w:r w:rsidR="00EF2322" w:rsidRPr="00472C9F">
        <w:rPr>
          <w:rStyle w:val="FootnoteReference"/>
          <w:rFonts w:ascii="Calibri" w:hAnsi="Calibri" w:cs="Calibri"/>
          <w:sz w:val="24"/>
          <w:szCs w:val="24"/>
        </w:rPr>
        <w:footnoteReference w:id="215"/>
      </w:r>
      <w:r w:rsidR="00981E6B" w:rsidRPr="00472C9F">
        <w:rPr>
          <w:rFonts w:ascii="Calibri" w:hAnsi="Calibri" w:cs="Calibri"/>
          <w:sz w:val="24"/>
          <w:szCs w:val="24"/>
        </w:rPr>
        <w:t xml:space="preserve"> </w:t>
      </w:r>
      <w:r w:rsidR="00A56D74" w:rsidRPr="00472C9F">
        <w:rPr>
          <w:rFonts w:ascii="Calibri" w:hAnsi="Calibri" w:cs="Calibri"/>
          <w:sz w:val="24"/>
          <w:szCs w:val="24"/>
        </w:rPr>
        <w:t>Where EU prohibitions on sexual orientation discrimination are concerned, these have been resisted by more culturally conservative EU Member States.</w:t>
      </w:r>
      <w:r w:rsidR="00A56D74" w:rsidRPr="00472C9F">
        <w:rPr>
          <w:rStyle w:val="FootnoteReference"/>
          <w:rFonts w:ascii="Calibri" w:hAnsi="Calibri" w:cs="Calibri"/>
          <w:sz w:val="24"/>
          <w:szCs w:val="24"/>
        </w:rPr>
        <w:footnoteReference w:id="216"/>
      </w:r>
      <w:r w:rsidR="00A56D74" w:rsidRPr="00472C9F">
        <w:rPr>
          <w:rFonts w:ascii="Calibri" w:hAnsi="Calibri" w:cs="Calibri"/>
          <w:sz w:val="24"/>
          <w:szCs w:val="24"/>
        </w:rPr>
        <w:t xml:space="preserve"> As </w:t>
      </w:r>
      <w:r w:rsidR="00A56D74" w:rsidRPr="00472C9F">
        <w:rPr>
          <w:rFonts w:ascii="Calibri" w:hAnsi="Calibri" w:cs="Calibri"/>
          <w:i/>
          <w:iCs/>
          <w:sz w:val="24"/>
          <w:szCs w:val="24"/>
        </w:rPr>
        <w:t xml:space="preserve">Coman </w:t>
      </w:r>
      <w:r w:rsidR="00A56D74" w:rsidRPr="00472C9F">
        <w:rPr>
          <w:rFonts w:ascii="Calibri" w:hAnsi="Calibri" w:cs="Calibri"/>
          <w:sz w:val="24"/>
          <w:szCs w:val="24"/>
        </w:rPr>
        <w:t>demonstrates, far reaching CJEU judgments can be difficult to enforce in practice, resulting in knock-on consequences for the EU Rule of Law.</w:t>
      </w:r>
      <w:r w:rsidR="00A56D74" w:rsidRPr="00472C9F">
        <w:rPr>
          <w:rStyle w:val="FootnoteReference"/>
          <w:rFonts w:ascii="Calibri" w:hAnsi="Calibri" w:cs="Calibri"/>
          <w:sz w:val="24"/>
          <w:szCs w:val="24"/>
        </w:rPr>
        <w:footnoteReference w:id="217"/>
      </w:r>
      <w:r w:rsidR="00A56D74" w:rsidRPr="00472C9F">
        <w:rPr>
          <w:rFonts w:ascii="Calibri" w:hAnsi="Calibri" w:cs="Calibri"/>
          <w:sz w:val="24"/>
          <w:szCs w:val="24"/>
        </w:rPr>
        <w:t xml:space="preserve"> </w:t>
      </w:r>
      <w:r w:rsidR="002F7D2A" w:rsidRPr="00472C9F">
        <w:rPr>
          <w:rFonts w:ascii="Calibri" w:hAnsi="Calibri" w:cs="Calibri"/>
          <w:sz w:val="24"/>
          <w:szCs w:val="24"/>
        </w:rPr>
        <w:t>When exercising freedom of movement, it remains an essential requirement not to be a burden on the host Member State.</w:t>
      </w:r>
      <w:r w:rsidR="002F7D2A" w:rsidRPr="00472C9F">
        <w:rPr>
          <w:rStyle w:val="FootnoteReference"/>
          <w:rFonts w:ascii="Calibri" w:hAnsi="Calibri" w:cs="Calibri"/>
          <w:sz w:val="24"/>
          <w:szCs w:val="24"/>
        </w:rPr>
        <w:footnoteReference w:id="218"/>
      </w:r>
      <w:r w:rsidR="00403D0A" w:rsidRPr="00472C9F">
        <w:rPr>
          <w:rFonts w:ascii="Calibri" w:hAnsi="Calibri" w:cs="Calibri"/>
          <w:sz w:val="24"/>
          <w:szCs w:val="24"/>
        </w:rPr>
        <w:t xml:space="preserve"> </w:t>
      </w:r>
      <w:r w:rsidR="00764D92" w:rsidRPr="00472C9F">
        <w:rPr>
          <w:rFonts w:ascii="Calibri" w:hAnsi="Calibri" w:cs="Calibri"/>
          <w:sz w:val="24"/>
          <w:szCs w:val="24"/>
        </w:rPr>
        <w:t>T</w:t>
      </w:r>
      <w:r w:rsidR="00403D0A" w:rsidRPr="00472C9F">
        <w:rPr>
          <w:rFonts w:ascii="Calibri" w:hAnsi="Calibri" w:cs="Calibri"/>
          <w:sz w:val="24"/>
          <w:szCs w:val="24"/>
        </w:rPr>
        <w:t xml:space="preserve">his results in a detriment to those who are less able to be </w:t>
      </w:r>
      <w:r w:rsidR="0087692C" w:rsidRPr="00472C9F">
        <w:rPr>
          <w:rFonts w:ascii="Calibri" w:hAnsi="Calibri" w:cs="Calibri"/>
          <w:sz w:val="24"/>
          <w:szCs w:val="24"/>
        </w:rPr>
        <w:t xml:space="preserve">economically </w:t>
      </w:r>
      <w:r w:rsidR="00403D0A" w:rsidRPr="00472C9F">
        <w:rPr>
          <w:rFonts w:ascii="Calibri" w:hAnsi="Calibri" w:cs="Calibri"/>
          <w:sz w:val="24"/>
          <w:szCs w:val="24"/>
        </w:rPr>
        <w:t xml:space="preserve">mobile, including </w:t>
      </w:r>
      <w:r w:rsidR="00764D92" w:rsidRPr="00472C9F">
        <w:rPr>
          <w:rFonts w:ascii="Calibri" w:hAnsi="Calibri" w:cs="Calibri"/>
          <w:sz w:val="24"/>
          <w:szCs w:val="24"/>
        </w:rPr>
        <w:lastRenderedPageBreak/>
        <w:t>women</w:t>
      </w:r>
      <w:r w:rsidR="00764D92" w:rsidRPr="00472C9F">
        <w:rPr>
          <w:rStyle w:val="FootnoteReference"/>
          <w:rFonts w:ascii="Calibri" w:hAnsi="Calibri" w:cs="Calibri"/>
          <w:sz w:val="24"/>
          <w:szCs w:val="24"/>
        </w:rPr>
        <w:footnoteReference w:id="219"/>
      </w:r>
      <w:r w:rsidR="00416A0D" w:rsidRPr="00472C9F">
        <w:rPr>
          <w:rFonts w:ascii="Calibri" w:hAnsi="Calibri" w:cs="Calibri"/>
          <w:sz w:val="24"/>
          <w:szCs w:val="24"/>
        </w:rPr>
        <w:t xml:space="preserve"> </w:t>
      </w:r>
      <w:r w:rsidR="00764D92" w:rsidRPr="00472C9F">
        <w:rPr>
          <w:rFonts w:ascii="Calibri" w:hAnsi="Calibri" w:cs="Calibri"/>
          <w:sz w:val="24"/>
          <w:szCs w:val="24"/>
        </w:rPr>
        <w:t>and</w:t>
      </w:r>
      <w:r w:rsidR="00244720">
        <w:rPr>
          <w:rFonts w:ascii="Calibri" w:hAnsi="Calibri" w:cs="Calibri"/>
          <w:sz w:val="24"/>
          <w:szCs w:val="24"/>
        </w:rPr>
        <w:t>,</w:t>
      </w:r>
      <w:r w:rsidR="00764D92" w:rsidRPr="00472C9F">
        <w:rPr>
          <w:rFonts w:ascii="Calibri" w:hAnsi="Calibri" w:cs="Calibri"/>
          <w:sz w:val="24"/>
          <w:szCs w:val="24"/>
        </w:rPr>
        <w:t xml:space="preserve"> as section </w:t>
      </w:r>
      <w:r w:rsidR="00AB1114" w:rsidRPr="00472C9F">
        <w:rPr>
          <w:rFonts w:ascii="Calibri" w:hAnsi="Calibri" w:cs="Calibri"/>
          <w:sz w:val="24"/>
          <w:szCs w:val="24"/>
        </w:rPr>
        <w:t>2</w:t>
      </w:r>
      <w:r w:rsidR="00764D92" w:rsidRPr="00472C9F">
        <w:rPr>
          <w:rFonts w:ascii="Calibri" w:hAnsi="Calibri" w:cs="Calibri"/>
          <w:sz w:val="24"/>
          <w:szCs w:val="24"/>
        </w:rPr>
        <w:t xml:space="preserve"> has demonstrated</w:t>
      </w:r>
      <w:r w:rsidR="00244720">
        <w:rPr>
          <w:rFonts w:ascii="Calibri" w:hAnsi="Calibri" w:cs="Calibri"/>
          <w:sz w:val="24"/>
          <w:szCs w:val="24"/>
        </w:rPr>
        <w:t>,</w:t>
      </w:r>
      <w:r w:rsidR="00764D92" w:rsidRPr="00472C9F">
        <w:rPr>
          <w:rFonts w:ascii="Calibri" w:hAnsi="Calibri" w:cs="Calibri"/>
          <w:sz w:val="24"/>
          <w:szCs w:val="24"/>
        </w:rPr>
        <w:t xml:space="preserve"> </w:t>
      </w:r>
      <w:r w:rsidR="00403D0A" w:rsidRPr="00472C9F">
        <w:rPr>
          <w:rFonts w:ascii="Calibri" w:hAnsi="Calibri" w:cs="Calibri"/>
          <w:sz w:val="24"/>
          <w:szCs w:val="24"/>
        </w:rPr>
        <w:t xml:space="preserve">lesbians and gays </w:t>
      </w:r>
      <w:r w:rsidR="0087692C" w:rsidRPr="00472C9F">
        <w:rPr>
          <w:rFonts w:ascii="Calibri" w:hAnsi="Calibri" w:cs="Calibri"/>
          <w:sz w:val="24"/>
          <w:szCs w:val="24"/>
        </w:rPr>
        <w:t xml:space="preserve">who continue to experience </w:t>
      </w:r>
      <w:r w:rsidR="0041492C" w:rsidRPr="00472C9F">
        <w:rPr>
          <w:rFonts w:ascii="Calibri" w:hAnsi="Calibri" w:cs="Calibri"/>
          <w:sz w:val="24"/>
          <w:szCs w:val="24"/>
        </w:rPr>
        <w:t xml:space="preserve">discrimination when </w:t>
      </w:r>
      <w:r w:rsidR="00F743D4" w:rsidRPr="00472C9F">
        <w:rPr>
          <w:rFonts w:ascii="Calibri" w:hAnsi="Calibri" w:cs="Calibri"/>
          <w:sz w:val="24"/>
          <w:szCs w:val="24"/>
        </w:rPr>
        <w:t>applying for</w:t>
      </w:r>
      <w:r w:rsidR="0041492C" w:rsidRPr="00472C9F">
        <w:rPr>
          <w:rFonts w:ascii="Calibri" w:hAnsi="Calibri" w:cs="Calibri"/>
          <w:sz w:val="24"/>
          <w:szCs w:val="24"/>
        </w:rPr>
        <w:t xml:space="preserve"> and when at work</w:t>
      </w:r>
      <w:r w:rsidR="00F743D4" w:rsidRPr="00472C9F">
        <w:rPr>
          <w:rFonts w:ascii="Calibri" w:hAnsi="Calibri" w:cs="Calibri"/>
          <w:sz w:val="24"/>
          <w:szCs w:val="24"/>
        </w:rPr>
        <w:t>.</w:t>
      </w:r>
      <w:r w:rsidR="0041492C" w:rsidRPr="00472C9F">
        <w:rPr>
          <w:rStyle w:val="FootnoteReference"/>
          <w:rFonts w:ascii="Calibri" w:hAnsi="Calibri" w:cs="Calibri"/>
          <w:sz w:val="24"/>
          <w:szCs w:val="24"/>
        </w:rPr>
        <w:footnoteReference w:id="220"/>
      </w:r>
      <w:r w:rsidR="0041492C" w:rsidRPr="00472C9F">
        <w:rPr>
          <w:rFonts w:ascii="Calibri" w:hAnsi="Calibri" w:cs="Calibri"/>
          <w:sz w:val="24"/>
          <w:szCs w:val="24"/>
        </w:rPr>
        <w:t xml:space="preserve"> </w:t>
      </w:r>
    </w:p>
    <w:p w14:paraId="3655892D" w14:textId="77777777" w:rsidR="005D21EB" w:rsidRDefault="005D21EB" w:rsidP="0059780E">
      <w:pPr>
        <w:spacing w:after="0" w:line="360" w:lineRule="auto"/>
        <w:jc w:val="both"/>
        <w:rPr>
          <w:rFonts w:ascii="Calibri" w:hAnsi="Calibri" w:cs="Calibri"/>
          <w:sz w:val="24"/>
          <w:szCs w:val="24"/>
        </w:rPr>
      </w:pPr>
    </w:p>
    <w:p w14:paraId="0C8F106B" w14:textId="5D6AEC45" w:rsidR="00297FA5" w:rsidRPr="00472C9F" w:rsidRDefault="006C0802" w:rsidP="00AF3844">
      <w:pPr>
        <w:spacing w:after="0" w:line="360" w:lineRule="auto"/>
        <w:jc w:val="both"/>
        <w:rPr>
          <w:rFonts w:ascii="Calibri" w:hAnsi="Calibri" w:cs="Calibri"/>
          <w:sz w:val="24"/>
          <w:szCs w:val="24"/>
        </w:rPr>
      </w:pPr>
      <w:proofErr w:type="gramStart"/>
      <w:r w:rsidRPr="00472C9F">
        <w:rPr>
          <w:rFonts w:ascii="Calibri" w:hAnsi="Calibri" w:cs="Calibri"/>
          <w:sz w:val="24"/>
          <w:szCs w:val="24"/>
        </w:rPr>
        <w:t>However</w:t>
      </w:r>
      <w:proofErr w:type="gramEnd"/>
      <w:r w:rsidR="000F3055" w:rsidRPr="00472C9F">
        <w:rPr>
          <w:rFonts w:ascii="Calibri" w:hAnsi="Calibri" w:cs="Calibri"/>
          <w:sz w:val="24"/>
          <w:szCs w:val="24"/>
        </w:rPr>
        <w:t xml:space="preserve"> if </w:t>
      </w:r>
      <w:r w:rsidR="0010574B" w:rsidRPr="00472C9F">
        <w:rPr>
          <w:rFonts w:ascii="Calibri" w:hAnsi="Calibri" w:cs="Calibri"/>
          <w:sz w:val="24"/>
          <w:szCs w:val="24"/>
        </w:rPr>
        <w:t xml:space="preserve">a new idea of </w:t>
      </w:r>
      <w:r w:rsidR="000F3055" w:rsidRPr="00472C9F">
        <w:rPr>
          <w:rFonts w:ascii="Calibri" w:hAnsi="Calibri" w:cs="Calibri"/>
          <w:sz w:val="24"/>
          <w:szCs w:val="24"/>
        </w:rPr>
        <w:t>citizenship is considered not just to be concerned with</w:t>
      </w:r>
      <w:r w:rsidRPr="00472C9F">
        <w:rPr>
          <w:rFonts w:ascii="Calibri" w:hAnsi="Calibri" w:cs="Calibri"/>
          <w:sz w:val="24"/>
          <w:szCs w:val="24"/>
        </w:rPr>
        <w:t xml:space="preserve"> </w:t>
      </w:r>
      <w:r w:rsidR="007B096F" w:rsidRPr="00472C9F">
        <w:rPr>
          <w:rFonts w:ascii="Calibri" w:hAnsi="Calibri" w:cs="Calibri"/>
          <w:sz w:val="24"/>
          <w:szCs w:val="24"/>
        </w:rPr>
        <w:t>rights</w:t>
      </w:r>
      <w:r w:rsidR="000F3055" w:rsidRPr="00472C9F">
        <w:rPr>
          <w:rFonts w:ascii="Calibri" w:hAnsi="Calibri" w:cs="Calibri"/>
          <w:sz w:val="24"/>
          <w:szCs w:val="24"/>
        </w:rPr>
        <w:t>, but also</w:t>
      </w:r>
      <w:r w:rsidR="007B096F" w:rsidRPr="00472C9F">
        <w:rPr>
          <w:rFonts w:ascii="Calibri" w:hAnsi="Calibri" w:cs="Calibri"/>
          <w:sz w:val="24"/>
          <w:szCs w:val="24"/>
        </w:rPr>
        <w:t xml:space="preserve"> based </w:t>
      </w:r>
      <w:r w:rsidR="000F3055" w:rsidRPr="00472C9F">
        <w:rPr>
          <w:rFonts w:ascii="Calibri" w:hAnsi="Calibri" w:cs="Calibri"/>
          <w:sz w:val="24"/>
          <w:szCs w:val="24"/>
        </w:rPr>
        <w:t>on accessibility,</w:t>
      </w:r>
      <w:r w:rsidR="00CC7ECF" w:rsidRPr="00472C9F">
        <w:rPr>
          <w:rStyle w:val="FootnoteReference"/>
          <w:rFonts w:ascii="Calibri" w:hAnsi="Calibri" w:cs="Calibri"/>
          <w:sz w:val="24"/>
          <w:szCs w:val="24"/>
        </w:rPr>
        <w:footnoteReference w:id="221"/>
      </w:r>
      <w:r w:rsidR="000F3055" w:rsidRPr="00472C9F">
        <w:rPr>
          <w:rFonts w:ascii="Calibri" w:hAnsi="Calibri" w:cs="Calibri"/>
          <w:sz w:val="24"/>
          <w:szCs w:val="24"/>
        </w:rPr>
        <w:t xml:space="preserve"> </w:t>
      </w:r>
      <w:r w:rsidR="007B096F" w:rsidRPr="00472C9F">
        <w:rPr>
          <w:rFonts w:ascii="Calibri" w:hAnsi="Calibri" w:cs="Calibri"/>
          <w:sz w:val="24"/>
          <w:szCs w:val="24"/>
        </w:rPr>
        <w:t xml:space="preserve">soft law provisions </w:t>
      </w:r>
      <w:r w:rsidR="000F3055" w:rsidRPr="00472C9F">
        <w:rPr>
          <w:rFonts w:ascii="Calibri" w:hAnsi="Calibri" w:cs="Calibri"/>
          <w:sz w:val="24"/>
          <w:szCs w:val="24"/>
        </w:rPr>
        <w:t>assist</w:t>
      </w:r>
      <w:r w:rsidR="007B096F" w:rsidRPr="00472C9F">
        <w:rPr>
          <w:rFonts w:ascii="Calibri" w:hAnsi="Calibri" w:cs="Calibri"/>
          <w:sz w:val="24"/>
          <w:szCs w:val="24"/>
        </w:rPr>
        <w:t xml:space="preserve"> </w:t>
      </w:r>
      <w:r w:rsidR="000F3055" w:rsidRPr="00472C9F">
        <w:rPr>
          <w:rFonts w:ascii="Calibri" w:hAnsi="Calibri" w:cs="Calibri"/>
          <w:sz w:val="24"/>
          <w:szCs w:val="24"/>
        </w:rPr>
        <w:t>in</w:t>
      </w:r>
      <w:r w:rsidR="007B096F" w:rsidRPr="00472C9F">
        <w:rPr>
          <w:rFonts w:ascii="Calibri" w:hAnsi="Calibri" w:cs="Calibri"/>
          <w:sz w:val="24"/>
          <w:szCs w:val="24"/>
        </w:rPr>
        <w:t xml:space="preserve"> </w:t>
      </w:r>
      <w:r w:rsidR="000F3055" w:rsidRPr="00472C9F">
        <w:rPr>
          <w:rFonts w:ascii="Calibri" w:hAnsi="Calibri" w:cs="Calibri"/>
          <w:sz w:val="24"/>
          <w:szCs w:val="24"/>
        </w:rPr>
        <w:t>reaching</w:t>
      </w:r>
      <w:r w:rsidR="007B096F" w:rsidRPr="00472C9F">
        <w:rPr>
          <w:rFonts w:ascii="Calibri" w:hAnsi="Calibri" w:cs="Calibri"/>
          <w:sz w:val="24"/>
          <w:szCs w:val="24"/>
        </w:rPr>
        <w:t xml:space="preserve"> a wider range of </w:t>
      </w:r>
      <w:proofErr w:type="spellStart"/>
      <w:r w:rsidR="007B096F" w:rsidRPr="00472C9F">
        <w:rPr>
          <w:rFonts w:ascii="Calibri" w:hAnsi="Calibri" w:cs="Calibri"/>
          <w:sz w:val="24"/>
          <w:szCs w:val="24"/>
        </w:rPr>
        <w:t>indivdiuals</w:t>
      </w:r>
      <w:proofErr w:type="spellEnd"/>
      <w:r w:rsidR="007B096F" w:rsidRPr="00472C9F">
        <w:rPr>
          <w:rFonts w:ascii="Calibri" w:hAnsi="Calibri" w:cs="Calibri"/>
          <w:sz w:val="24"/>
          <w:szCs w:val="24"/>
        </w:rPr>
        <w:t xml:space="preserve">. </w:t>
      </w:r>
      <w:r w:rsidR="0088069B" w:rsidRPr="00472C9F">
        <w:rPr>
          <w:rFonts w:ascii="Calibri" w:hAnsi="Calibri" w:cs="Calibri"/>
          <w:sz w:val="24"/>
          <w:szCs w:val="24"/>
        </w:rPr>
        <w:t>Soft law enables the EU to set aspirational targets via its LGBTIQ Equality Strategy 2020-2025</w:t>
      </w:r>
      <w:r w:rsidR="001F5D92" w:rsidRPr="00472C9F">
        <w:rPr>
          <w:rFonts w:ascii="Calibri" w:hAnsi="Calibri" w:cs="Calibri"/>
          <w:sz w:val="24"/>
          <w:szCs w:val="24"/>
        </w:rPr>
        <w:t>.</w:t>
      </w:r>
      <w:r w:rsidR="0088069B" w:rsidRPr="00472C9F">
        <w:rPr>
          <w:rStyle w:val="FootnoteReference"/>
          <w:rFonts w:ascii="Calibri" w:hAnsi="Calibri" w:cs="Calibri"/>
          <w:sz w:val="24"/>
          <w:szCs w:val="24"/>
        </w:rPr>
        <w:footnoteReference w:id="222"/>
      </w:r>
      <w:r w:rsidR="0088069B" w:rsidRPr="00472C9F">
        <w:rPr>
          <w:rFonts w:ascii="Calibri" w:hAnsi="Calibri" w:cs="Calibri"/>
          <w:sz w:val="24"/>
          <w:szCs w:val="24"/>
        </w:rPr>
        <w:t xml:space="preserve"> A whole range of EU bodies</w:t>
      </w:r>
      <w:r w:rsidR="001F5D92" w:rsidRPr="00472C9F">
        <w:rPr>
          <w:rFonts w:ascii="Calibri" w:hAnsi="Calibri" w:cs="Calibri"/>
          <w:sz w:val="24"/>
          <w:szCs w:val="24"/>
        </w:rPr>
        <w:t xml:space="preserve"> </w:t>
      </w:r>
      <w:r w:rsidR="0088069B" w:rsidRPr="00472C9F">
        <w:rPr>
          <w:rFonts w:ascii="Calibri" w:hAnsi="Calibri" w:cs="Calibri"/>
          <w:sz w:val="24"/>
          <w:szCs w:val="24"/>
        </w:rPr>
        <w:t xml:space="preserve">working with community groups and individuals on the ground </w:t>
      </w:r>
      <w:r w:rsidR="003320A1" w:rsidRPr="00472C9F">
        <w:rPr>
          <w:rFonts w:ascii="Calibri" w:hAnsi="Calibri" w:cs="Calibri"/>
          <w:sz w:val="24"/>
          <w:szCs w:val="24"/>
        </w:rPr>
        <w:t>seek to understand (through data gathering)</w:t>
      </w:r>
      <w:r w:rsidR="00FE4F98">
        <w:rPr>
          <w:rFonts w:ascii="Calibri" w:hAnsi="Calibri" w:cs="Calibri"/>
          <w:sz w:val="24"/>
          <w:szCs w:val="24"/>
        </w:rPr>
        <w:t>,</w:t>
      </w:r>
      <w:r w:rsidR="003320A1" w:rsidRPr="00472C9F">
        <w:rPr>
          <w:rFonts w:ascii="Calibri" w:hAnsi="Calibri" w:cs="Calibri"/>
          <w:sz w:val="24"/>
          <w:szCs w:val="24"/>
        </w:rPr>
        <w:t xml:space="preserve"> monitor and </w:t>
      </w:r>
      <w:r w:rsidR="00416A0D" w:rsidRPr="00472C9F">
        <w:rPr>
          <w:rFonts w:ascii="Calibri" w:hAnsi="Calibri" w:cs="Calibri"/>
          <w:sz w:val="24"/>
          <w:szCs w:val="24"/>
        </w:rPr>
        <w:t xml:space="preserve">aim to </w:t>
      </w:r>
      <w:r w:rsidR="003320A1" w:rsidRPr="00472C9F">
        <w:rPr>
          <w:rFonts w:ascii="Calibri" w:hAnsi="Calibri" w:cs="Calibri"/>
          <w:sz w:val="24"/>
          <w:szCs w:val="24"/>
        </w:rPr>
        <w:t xml:space="preserve">improve conditions for lesbians and gays </w:t>
      </w:r>
      <w:r w:rsidR="006843E4" w:rsidRPr="00472C9F">
        <w:rPr>
          <w:rFonts w:ascii="Calibri" w:hAnsi="Calibri" w:cs="Calibri"/>
          <w:sz w:val="24"/>
          <w:szCs w:val="24"/>
        </w:rPr>
        <w:t>who are EU citizens.</w:t>
      </w:r>
      <w:r w:rsidR="001D5BB2" w:rsidRPr="00472C9F">
        <w:rPr>
          <w:rStyle w:val="FootnoteReference"/>
          <w:rFonts w:ascii="Calibri" w:hAnsi="Calibri" w:cs="Calibri"/>
          <w:sz w:val="24"/>
          <w:szCs w:val="24"/>
        </w:rPr>
        <w:footnoteReference w:id="223"/>
      </w:r>
      <w:r w:rsidR="006843E4" w:rsidRPr="00472C9F">
        <w:rPr>
          <w:rFonts w:ascii="Calibri" w:hAnsi="Calibri" w:cs="Calibri"/>
          <w:sz w:val="24"/>
          <w:szCs w:val="24"/>
        </w:rPr>
        <w:t xml:space="preserve"> Whilst the rise of the</w:t>
      </w:r>
      <w:r w:rsidR="00860B09" w:rsidRPr="00472C9F">
        <w:rPr>
          <w:rFonts w:ascii="Calibri" w:hAnsi="Calibri" w:cs="Calibri"/>
          <w:sz w:val="24"/>
          <w:szCs w:val="24"/>
        </w:rPr>
        <w:t xml:space="preserve"> populist</w:t>
      </w:r>
      <w:r w:rsidR="006843E4" w:rsidRPr="00472C9F">
        <w:rPr>
          <w:rFonts w:ascii="Calibri" w:hAnsi="Calibri" w:cs="Calibri"/>
          <w:sz w:val="24"/>
          <w:szCs w:val="24"/>
        </w:rPr>
        <w:t xml:space="preserve"> right in recent years certainly does give </w:t>
      </w:r>
      <w:r w:rsidR="00CC71BC" w:rsidRPr="00472C9F">
        <w:rPr>
          <w:rFonts w:ascii="Calibri" w:hAnsi="Calibri" w:cs="Calibri"/>
          <w:sz w:val="24"/>
          <w:szCs w:val="24"/>
        </w:rPr>
        <w:t xml:space="preserve">pause for thought, the overall sweep of lesbian and gay history within Europe over the last </w:t>
      </w:r>
      <w:r w:rsidR="001D5BB2" w:rsidRPr="00472C9F">
        <w:rPr>
          <w:rFonts w:ascii="Calibri" w:hAnsi="Calibri" w:cs="Calibri"/>
          <w:sz w:val="24"/>
          <w:szCs w:val="24"/>
        </w:rPr>
        <w:t>seven decades since its inception</w:t>
      </w:r>
      <w:r w:rsidR="00CC71BC" w:rsidRPr="00472C9F">
        <w:rPr>
          <w:rFonts w:ascii="Calibri" w:hAnsi="Calibri" w:cs="Calibri"/>
          <w:sz w:val="24"/>
          <w:szCs w:val="24"/>
        </w:rPr>
        <w:t xml:space="preserve"> documents </w:t>
      </w:r>
      <w:r w:rsidR="00F162B3" w:rsidRPr="00472C9F">
        <w:rPr>
          <w:rFonts w:ascii="Calibri" w:hAnsi="Calibri" w:cs="Calibri"/>
          <w:sz w:val="24"/>
          <w:szCs w:val="24"/>
        </w:rPr>
        <w:t>positive</w:t>
      </w:r>
      <w:r w:rsidR="00CC71BC" w:rsidRPr="00472C9F">
        <w:rPr>
          <w:rFonts w:ascii="Calibri" w:hAnsi="Calibri" w:cs="Calibri"/>
          <w:sz w:val="24"/>
          <w:szCs w:val="24"/>
        </w:rPr>
        <w:t xml:space="preserve"> progress</w:t>
      </w:r>
      <w:r w:rsidR="00714BA2" w:rsidRPr="00472C9F">
        <w:rPr>
          <w:rFonts w:ascii="Calibri" w:hAnsi="Calibri" w:cs="Calibri"/>
          <w:sz w:val="24"/>
          <w:szCs w:val="24"/>
        </w:rPr>
        <w:t>.</w:t>
      </w:r>
      <w:r w:rsidR="004F2998" w:rsidRPr="00472C9F">
        <w:rPr>
          <w:rStyle w:val="FootnoteReference"/>
          <w:rFonts w:ascii="Calibri" w:hAnsi="Calibri" w:cs="Calibri"/>
          <w:sz w:val="24"/>
          <w:szCs w:val="24"/>
        </w:rPr>
        <w:footnoteReference w:id="224"/>
      </w:r>
      <w:r w:rsidR="00714BA2" w:rsidRPr="00472C9F">
        <w:rPr>
          <w:rFonts w:ascii="Calibri" w:hAnsi="Calibri" w:cs="Calibri"/>
          <w:sz w:val="24"/>
          <w:szCs w:val="24"/>
        </w:rPr>
        <w:t xml:space="preserve"> This is not just</w:t>
      </w:r>
      <w:r w:rsidR="00AD1B6F" w:rsidRPr="00472C9F">
        <w:rPr>
          <w:rFonts w:ascii="Calibri" w:hAnsi="Calibri" w:cs="Calibri"/>
          <w:sz w:val="24"/>
          <w:szCs w:val="24"/>
        </w:rPr>
        <w:t xml:space="preserve"> for individual European nations </w:t>
      </w:r>
      <w:r w:rsidR="00714BA2" w:rsidRPr="00472C9F">
        <w:rPr>
          <w:rFonts w:ascii="Calibri" w:hAnsi="Calibri" w:cs="Calibri"/>
          <w:sz w:val="24"/>
          <w:szCs w:val="24"/>
        </w:rPr>
        <w:t>but the EU itself compared to the first EU bodies established in the 1950s</w:t>
      </w:r>
      <w:r w:rsidR="00CC71BC" w:rsidRPr="00472C9F">
        <w:rPr>
          <w:rFonts w:ascii="Calibri" w:hAnsi="Calibri" w:cs="Calibri"/>
          <w:sz w:val="24"/>
          <w:szCs w:val="24"/>
        </w:rPr>
        <w:t>.</w:t>
      </w:r>
      <w:r w:rsidR="00CA529D" w:rsidRPr="00472C9F">
        <w:rPr>
          <w:rStyle w:val="FootnoteReference"/>
          <w:rFonts w:ascii="Calibri" w:hAnsi="Calibri" w:cs="Calibri"/>
          <w:sz w:val="24"/>
          <w:szCs w:val="24"/>
        </w:rPr>
        <w:footnoteReference w:id="225"/>
      </w:r>
      <w:r w:rsidR="00CC71BC" w:rsidRPr="00472C9F">
        <w:rPr>
          <w:rFonts w:ascii="Calibri" w:hAnsi="Calibri" w:cs="Calibri"/>
          <w:sz w:val="24"/>
          <w:szCs w:val="24"/>
        </w:rPr>
        <w:t xml:space="preserve"> </w:t>
      </w:r>
      <w:r w:rsidR="00F162B3" w:rsidRPr="00472C9F">
        <w:rPr>
          <w:rFonts w:ascii="Calibri" w:hAnsi="Calibri" w:cs="Calibri"/>
          <w:sz w:val="24"/>
          <w:szCs w:val="24"/>
        </w:rPr>
        <w:t xml:space="preserve">Some have argued that </w:t>
      </w:r>
      <w:r w:rsidR="003755F5" w:rsidRPr="00472C9F">
        <w:rPr>
          <w:rFonts w:ascii="Calibri" w:hAnsi="Calibri" w:cs="Calibri"/>
          <w:sz w:val="24"/>
          <w:szCs w:val="24"/>
        </w:rPr>
        <w:t>gender blindness of EU law</w:t>
      </w:r>
      <w:r w:rsidR="00A17E58" w:rsidRPr="00472C9F">
        <w:rPr>
          <w:rFonts w:ascii="Calibri" w:hAnsi="Calibri" w:cs="Calibri"/>
          <w:sz w:val="24"/>
          <w:szCs w:val="24"/>
        </w:rPr>
        <w:t xml:space="preserve"> is</w:t>
      </w:r>
      <w:r w:rsidR="003755F5" w:rsidRPr="00472C9F">
        <w:rPr>
          <w:rFonts w:ascii="Calibri" w:hAnsi="Calibri" w:cs="Calibri"/>
          <w:sz w:val="24"/>
          <w:szCs w:val="24"/>
        </w:rPr>
        <w:t xml:space="preserve"> ‘part and parcel of how Union citizenship is currently conceived making it difficult to change’.</w:t>
      </w:r>
      <w:r w:rsidR="003755F5" w:rsidRPr="00472C9F">
        <w:rPr>
          <w:rStyle w:val="FootnoteReference"/>
          <w:rFonts w:ascii="Calibri" w:hAnsi="Calibri" w:cs="Calibri"/>
          <w:sz w:val="24"/>
          <w:szCs w:val="24"/>
        </w:rPr>
        <w:footnoteReference w:id="226"/>
      </w:r>
      <w:r w:rsidR="003755F5" w:rsidRPr="00472C9F">
        <w:rPr>
          <w:rFonts w:ascii="Calibri" w:hAnsi="Calibri" w:cs="Calibri"/>
          <w:sz w:val="24"/>
          <w:szCs w:val="24"/>
        </w:rPr>
        <w:t xml:space="preserve"> </w:t>
      </w:r>
      <w:r w:rsidR="00A17E58" w:rsidRPr="00472C9F">
        <w:rPr>
          <w:rFonts w:ascii="Calibri" w:hAnsi="Calibri" w:cs="Calibri"/>
          <w:sz w:val="24"/>
          <w:szCs w:val="24"/>
        </w:rPr>
        <w:t>It is important to be realistic and clear that w</w:t>
      </w:r>
      <w:r w:rsidR="003755F5" w:rsidRPr="00472C9F">
        <w:rPr>
          <w:rFonts w:ascii="Calibri" w:hAnsi="Calibri" w:cs="Calibri"/>
          <w:sz w:val="24"/>
          <w:szCs w:val="24"/>
        </w:rPr>
        <w:t xml:space="preserve">e are some way from achieving </w:t>
      </w:r>
      <w:r w:rsidR="00297FA5" w:rsidRPr="00472C9F">
        <w:rPr>
          <w:rFonts w:ascii="Calibri" w:hAnsi="Calibri" w:cs="Calibri"/>
          <w:sz w:val="24"/>
          <w:szCs w:val="24"/>
        </w:rPr>
        <w:t xml:space="preserve">European Commission President </w:t>
      </w:r>
      <w:r w:rsidR="003755F5" w:rsidRPr="00472C9F">
        <w:rPr>
          <w:rFonts w:ascii="Calibri" w:hAnsi="Calibri" w:cs="Calibri"/>
          <w:sz w:val="24"/>
          <w:szCs w:val="24"/>
        </w:rPr>
        <w:t xml:space="preserve">Ursula Van der Leyen’s vision of </w:t>
      </w:r>
      <w:r w:rsidR="00297FA5" w:rsidRPr="00472C9F">
        <w:rPr>
          <w:rFonts w:ascii="Calibri" w:hAnsi="Calibri" w:cs="Calibri"/>
          <w:sz w:val="24"/>
          <w:szCs w:val="24"/>
        </w:rPr>
        <w:t>equality</w:t>
      </w:r>
      <w:r w:rsidR="00AF3844">
        <w:rPr>
          <w:rFonts w:ascii="Calibri" w:hAnsi="Calibri" w:cs="Calibri"/>
          <w:sz w:val="24"/>
          <w:szCs w:val="24"/>
        </w:rPr>
        <w:t>,</w:t>
      </w:r>
      <w:r w:rsidR="00297FA5" w:rsidRPr="00472C9F">
        <w:rPr>
          <w:rFonts w:ascii="Calibri" w:hAnsi="Calibri" w:cs="Calibri"/>
          <w:sz w:val="24"/>
          <w:szCs w:val="24"/>
        </w:rPr>
        <w:t xml:space="preserve"> described as </w:t>
      </w:r>
      <w:r w:rsidR="00AF3844">
        <w:rPr>
          <w:rFonts w:ascii="Calibri" w:hAnsi="Calibri" w:cs="Calibri"/>
          <w:sz w:val="24"/>
          <w:szCs w:val="24"/>
        </w:rPr>
        <w:t>‘</w:t>
      </w:r>
      <w:r w:rsidR="00297FA5" w:rsidRPr="00472C9F">
        <w:rPr>
          <w:rFonts w:ascii="Calibri" w:hAnsi="Calibri" w:cs="Calibri"/>
          <w:sz w:val="24"/>
          <w:szCs w:val="24"/>
        </w:rPr>
        <w:t>a Union where you can be who you are and love who you want – without the fear of recrimination or discrimination'.</w:t>
      </w:r>
      <w:r w:rsidR="0010574B" w:rsidRPr="00472C9F">
        <w:rPr>
          <w:rStyle w:val="FootnoteReference"/>
          <w:rFonts w:ascii="Calibri" w:hAnsi="Calibri" w:cs="Calibri"/>
          <w:sz w:val="24"/>
          <w:szCs w:val="24"/>
        </w:rPr>
        <w:footnoteReference w:id="227"/>
      </w:r>
      <w:r w:rsidR="00297FA5" w:rsidRPr="00472C9F">
        <w:rPr>
          <w:rFonts w:ascii="Calibri" w:hAnsi="Calibri" w:cs="Calibri"/>
          <w:sz w:val="24"/>
          <w:szCs w:val="24"/>
        </w:rPr>
        <w:t xml:space="preserve"> </w:t>
      </w:r>
      <w:r w:rsidR="00A17E58" w:rsidRPr="00472C9F">
        <w:rPr>
          <w:rFonts w:ascii="Calibri" w:hAnsi="Calibri" w:cs="Calibri"/>
          <w:sz w:val="24"/>
          <w:szCs w:val="24"/>
        </w:rPr>
        <w:t xml:space="preserve"> </w:t>
      </w:r>
    </w:p>
    <w:p w14:paraId="1F908A81" w14:textId="77777777" w:rsidR="005D21EB" w:rsidRDefault="005D21EB" w:rsidP="0059780E">
      <w:pPr>
        <w:spacing w:after="0" w:line="360" w:lineRule="auto"/>
        <w:jc w:val="both"/>
        <w:rPr>
          <w:rFonts w:ascii="Calibri" w:hAnsi="Calibri" w:cs="Calibri"/>
          <w:sz w:val="24"/>
          <w:szCs w:val="24"/>
        </w:rPr>
      </w:pPr>
    </w:p>
    <w:p w14:paraId="77B8FD1F" w14:textId="714A9282" w:rsidR="00BB34A9" w:rsidRPr="00472C9F" w:rsidRDefault="00A17E58" w:rsidP="0059780E">
      <w:pPr>
        <w:spacing w:after="0" w:line="360" w:lineRule="auto"/>
        <w:jc w:val="both"/>
        <w:rPr>
          <w:rFonts w:ascii="Calibri" w:hAnsi="Calibri" w:cs="Calibri"/>
          <w:sz w:val="24"/>
          <w:szCs w:val="24"/>
        </w:rPr>
      </w:pPr>
      <w:r w:rsidRPr="00472C9F">
        <w:rPr>
          <w:rFonts w:ascii="Calibri" w:hAnsi="Calibri" w:cs="Calibri"/>
          <w:sz w:val="24"/>
          <w:szCs w:val="24"/>
        </w:rPr>
        <w:t>However</w:t>
      </w:r>
      <w:r w:rsidR="00AF3844">
        <w:rPr>
          <w:rFonts w:ascii="Calibri" w:hAnsi="Calibri" w:cs="Calibri"/>
          <w:sz w:val="24"/>
          <w:szCs w:val="24"/>
        </w:rPr>
        <w:t>,</w:t>
      </w:r>
      <w:r w:rsidRPr="00472C9F">
        <w:rPr>
          <w:rFonts w:ascii="Calibri" w:hAnsi="Calibri" w:cs="Calibri"/>
          <w:sz w:val="24"/>
          <w:szCs w:val="24"/>
        </w:rPr>
        <w:t xml:space="preserve"> </w:t>
      </w:r>
      <w:r w:rsidR="000E77D8" w:rsidRPr="00472C9F">
        <w:rPr>
          <w:rFonts w:ascii="Calibri" w:hAnsi="Calibri" w:cs="Calibri"/>
          <w:sz w:val="24"/>
          <w:szCs w:val="24"/>
        </w:rPr>
        <w:t xml:space="preserve">a new concept of citizenship consisting of not </w:t>
      </w:r>
      <w:r w:rsidRPr="00472C9F">
        <w:rPr>
          <w:rFonts w:ascii="Calibri" w:hAnsi="Calibri" w:cs="Calibri"/>
          <w:sz w:val="24"/>
          <w:szCs w:val="24"/>
        </w:rPr>
        <w:t xml:space="preserve">just legal </w:t>
      </w:r>
      <w:r w:rsidR="000E77D8" w:rsidRPr="00472C9F">
        <w:rPr>
          <w:rFonts w:ascii="Calibri" w:hAnsi="Calibri" w:cs="Calibri"/>
          <w:sz w:val="24"/>
          <w:szCs w:val="24"/>
        </w:rPr>
        <w:t>rights</w:t>
      </w:r>
      <w:r w:rsidRPr="00472C9F">
        <w:rPr>
          <w:rFonts w:ascii="Calibri" w:hAnsi="Calibri" w:cs="Calibri"/>
          <w:sz w:val="24"/>
          <w:szCs w:val="24"/>
        </w:rPr>
        <w:t xml:space="preserve"> but also </w:t>
      </w:r>
      <w:r w:rsidR="006B351E" w:rsidRPr="00472C9F">
        <w:rPr>
          <w:rFonts w:ascii="Calibri" w:hAnsi="Calibri" w:cs="Calibri"/>
          <w:sz w:val="24"/>
          <w:szCs w:val="24"/>
        </w:rPr>
        <w:t>accessibility for individuals</w:t>
      </w:r>
      <w:r w:rsidR="00A21399" w:rsidRPr="00472C9F">
        <w:rPr>
          <w:rFonts w:ascii="Calibri" w:hAnsi="Calibri" w:cs="Calibri"/>
          <w:sz w:val="24"/>
          <w:szCs w:val="24"/>
        </w:rPr>
        <w:t>,</w:t>
      </w:r>
      <w:r w:rsidR="006B351E" w:rsidRPr="00472C9F">
        <w:rPr>
          <w:rFonts w:ascii="Calibri" w:hAnsi="Calibri" w:cs="Calibri"/>
          <w:sz w:val="24"/>
          <w:szCs w:val="24"/>
        </w:rPr>
        <w:t xml:space="preserve"> </w:t>
      </w:r>
      <w:r w:rsidR="000F0BE3" w:rsidRPr="00472C9F">
        <w:rPr>
          <w:rFonts w:ascii="Calibri" w:hAnsi="Calibri" w:cs="Calibri"/>
          <w:sz w:val="24"/>
          <w:szCs w:val="24"/>
        </w:rPr>
        <w:t>motivated</w:t>
      </w:r>
      <w:r w:rsidR="00CE7E3C" w:rsidRPr="00472C9F">
        <w:rPr>
          <w:rFonts w:ascii="Calibri" w:hAnsi="Calibri" w:cs="Calibri"/>
          <w:sz w:val="24"/>
          <w:szCs w:val="24"/>
        </w:rPr>
        <w:t xml:space="preserve"> by increasing soft law </w:t>
      </w:r>
      <w:r w:rsidR="00B21EC3" w:rsidRPr="00472C9F">
        <w:rPr>
          <w:rFonts w:ascii="Calibri" w:hAnsi="Calibri" w:cs="Calibri"/>
          <w:sz w:val="24"/>
          <w:szCs w:val="24"/>
        </w:rPr>
        <w:t>aspirations and</w:t>
      </w:r>
      <w:r w:rsidR="00CE7E3C" w:rsidRPr="00472C9F">
        <w:rPr>
          <w:rFonts w:ascii="Calibri" w:hAnsi="Calibri" w:cs="Calibri"/>
          <w:sz w:val="24"/>
          <w:szCs w:val="24"/>
        </w:rPr>
        <w:t xml:space="preserve"> allowing </w:t>
      </w:r>
      <w:r w:rsidR="00B21EC3" w:rsidRPr="00472C9F">
        <w:rPr>
          <w:rFonts w:ascii="Calibri" w:hAnsi="Calibri" w:cs="Calibri"/>
          <w:sz w:val="24"/>
          <w:szCs w:val="24"/>
        </w:rPr>
        <w:t>monitoring for progress</w:t>
      </w:r>
      <w:r w:rsidR="00AF3844">
        <w:rPr>
          <w:rFonts w:ascii="Calibri" w:hAnsi="Calibri" w:cs="Calibri"/>
          <w:sz w:val="24"/>
          <w:szCs w:val="24"/>
        </w:rPr>
        <w:t>,</w:t>
      </w:r>
      <w:r w:rsidR="00B21EC3" w:rsidRPr="00472C9F">
        <w:rPr>
          <w:rFonts w:ascii="Calibri" w:hAnsi="Calibri" w:cs="Calibri"/>
          <w:sz w:val="24"/>
          <w:szCs w:val="24"/>
        </w:rPr>
        <w:t xml:space="preserve"> allows </w:t>
      </w:r>
      <w:r w:rsidR="00CE7E3C" w:rsidRPr="00472C9F">
        <w:rPr>
          <w:rFonts w:ascii="Calibri" w:hAnsi="Calibri" w:cs="Calibri"/>
          <w:sz w:val="24"/>
          <w:szCs w:val="24"/>
        </w:rPr>
        <w:t>greater engagement with lesbians and gays across Europe</w:t>
      </w:r>
      <w:r w:rsidR="00A21399" w:rsidRPr="00472C9F">
        <w:rPr>
          <w:rFonts w:ascii="Calibri" w:hAnsi="Calibri" w:cs="Calibri"/>
          <w:sz w:val="24"/>
          <w:szCs w:val="24"/>
        </w:rPr>
        <w:t xml:space="preserve"> </w:t>
      </w:r>
      <w:r w:rsidR="00B21EC3" w:rsidRPr="00472C9F">
        <w:rPr>
          <w:rFonts w:ascii="Calibri" w:hAnsi="Calibri" w:cs="Calibri"/>
          <w:sz w:val="24"/>
          <w:szCs w:val="24"/>
        </w:rPr>
        <w:t xml:space="preserve">and </w:t>
      </w:r>
      <w:r w:rsidR="003466CD" w:rsidRPr="00472C9F">
        <w:rPr>
          <w:rFonts w:ascii="Calibri" w:hAnsi="Calibri" w:cs="Calibri"/>
          <w:sz w:val="24"/>
          <w:szCs w:val="24"/>
        </w:rPr>
        <w:t>offers future hope</w:t>
      </w:r>
      <w:r w:rsidR="00776EED" w:rsidRPr="00472C9F">
        <w:rPr>
          <w:rFonts w:ascii="Calibri" w:hAnsi="Calibri" w:cs="Calibri"/>
          <w:sz w:val="24"/>
          <w:szCs w:val="24"/>
        </w:rPr>
        <w:t>. W</w:t>
      </w:r>
      <w:r w:rsidR="0081406E" w:rsidRPr="00472C9F">
        <w:rPr>
          <w:rFonts w:ascii="Calibri" w:hAnsi="Calibri" w:cs="Calibri"/>
          <w:sz w:val="24"/>
          <w:szCs w:val="24"/>
        </w:rPr>
        <w:t xml:space="preserve">e can take encouragement from the EU </w:t>
      </w:r>
      <w:r w:rsidR="0071527F" w:rsidRPr="00472C9F">
        <w:rPr>
          <w:rFonts w:ascii="Calibri" w:hAnsi="Calibri" w:cs="Calibri"/>
          <w:sz w:val="24"/>
          <w:szCs w:val="24"/>
        </w:rPr>
        <w:t>LGBTIQ</w:t>
      </w:r>
      <w:r w:rsidR="0081406E" w:rsidRPr="00472C9F">
        <w:rPr>
          <w:rFonts w:ascii="Calibri" w:hAnsi="Calibri" w:cs="Calibri"/>
          <w:sz w:val="24"/>
          <w:szCs w:val="24"/>
        </w:rPr>
        <w:t xml:space="preserve"> Equality </w:t>
      </w:r>
      <w:r w:rsidR="00AF3844">
        <w:rPr>
          <w:rFonts w:ascii="Calibri" w:hAnsi="Calibri" w:cs="Calibri"/>
          <w:sz w:val="24"/>
          <w:szCs w:val="24"/>
        </w:rPr>
        <w:t>S</w:t>
      </w:r>
      <w:r w:rsidR="0081406E" w:rsidRPr="00472C9F">
        <w:rPr>
          <w:rFonts w:ascii="Calibri" w:hAnsi="Calibri" w:cs="Calibri"/>
          <w:sz w:val="24"/>
          <w:szCs w:val="24"/>
        </w:rPr>
        <w:t>trategy</w:t>
      </w:r>
      <w:r w:rsidR="00A21399" w:rsidRPr="00472C9F">
        <w:rPr>
          <w:rFonts w:ascii="Calibri" w:hAnsi="Calibri" w:cs="Calibri"/>
          <w:sz w:val="24"/>
          <w:szCs w:val="24"/>
        </w:rPr>
        <w:t xml:space="preserve"> 2020-2025</w:t>
      </w:r>
      <w:r w:rsidR="0081406E" w:rsidRPr="00472C9F">
        <w:rPr>
          <w:rFonts w:ascii="Calibri" w:hAnsi="Calibri" w:cs="Calibri"/>
          <w:sz w:val="24"/>
          <w:szCs w:val="24"/>
        </w:rPr>
        <w:t xml:space="preserve"> that </w:t>
      </w:r>
      <w:r w:rsidR="00CE7E3C" w:rsidRPr="00472C9F">
        <w:rPr>
          <w:rFonts w:ascii="Calibri" w:hAnsi="Calibri" w:cs="Calibri"/>
          <w:sz w:val="24"/>
          <w:szCs w:val="24"/>
        </w:rPr>
        <w:t xml:space="preserve">a </w:t>
      </w:r>
      <w:r w:rsidR="00CE7E3C" w:rsidRPr="00472C9F">
        <w:rPr>
          <w:rFonts w:ascii="Calibri" w:hAnsi="Calibri" w:cs="Calibri"/>
          <w:sz w:val="24"/>
          <w:szCs w:val="24"/>
        </w:rPr>
        <w:lastRenderedPageBreak/>
        <w:t>pro-</w:t>
      </w:r>
      <w:r w:rsidR="00237CD7" w:rsidRPr="00472C9F">
        <w:rPr>
          <w:rFonts w:ascii="Calibri" w:hAnsi="Calibri" w:cs="Calibri"/>
          <w:sz w:val="24"/>
          <w:szCs w:val="24"/>
        </w:rPr>
        <w:t>lesbian and gay</w:t>
      </w:r>
      <w:r w:rsidR="00CE7E3C" w:rsidRPr="00472C9F">
        <w:rPr>
          <w:rFonts w:ascii="Calibri" w:hAnsi="Calibri" w:cs="Calibri"/>
          <w:sz w:val="24"/>
          <w:szCs w:val="24"/>
        </w:rPr>
        <w:t xml:space="preserve"> </w:t>
      </w:r>
      <w:r w:rsidR="0081406E" w:rsidRPr="00472C9F">
        <w:rPr>
          <w:rFonts w:ascii="Calibri" w:hAnsi="Calibri" w:cs="Calibri"/>
          <w:sz w:val="24"/>
          <w:szCs w:val="24"/>
        </w:rPr>
        <w:t>‘direction of travel’ has been set.</w:t>
      </w:r>
      <w:r w:rsidR="00BB34A9" w:rsidRPr="00472C9F">
        <w:rPr>
          <w:rStyle w:val="FootnoteReference"/>
          <w:rFonts w:ascii="Calibri" w:hAnsi="Calibri" w:cs="Calibri"/>
          <w:sz w:val="24"/>
          <w:szCs w:val="24"/>
        </w:rPr>
        <w:footnoteReference w:id="228"/>
      </w:r>
      <w:r w:rsidR="0081406E" w:rsidRPr="00472C9F">
        <w:rPr>
          <w:rFonts w:ascii="Calibri" w:hAnsi="Calibri" w:cs="Calibri"/>
          <w:sz w:val="24"/>
          <w:szCs w:val="24"/>
        </w:rPr>
        <w:t xml:space="preserve"> </w:t>
      </w:r>
      <w:r w:rsidR="00BB34A9" w:rsidRPr="00472C9F">
        <w:rPr>
          <w:rFonts w:ascii="Calibri" w:hAnsi="Calibri" w:cs="Calibri"/>
          <w:sz w:val="24"/>
          <w:szCs w:val="24"/>
        </w:rPr>
        <w:t xml:space="preserve">EU soft law provisions set expectations and the EU itself can serve to mobilise social </w:t>
      </w:r>
      <w:r w:rsidR="00E85516" w:rsidRPr="00472C9F">
        <w:rPr>
          <w:rFonts w:ascii="Calibri" w:hAnsi="Calibri" w:cs="Calibri"/>
          <w:sz w:val="24"/>
          <w:szCs w:val="24"/>
        </w:rPr>
        <w:t xml:space="preserve">and legal </w:t>
      </w:r>
      <w:r w:rsidR="00BB34A9" w:rsidRPr="00472C9F">
        <w:rPr>
          <w:rFonts w:ascii="Calibri" w:hAnsi="Calibri" w:cs="Calibri"/>
          <w:sz w:val="24"/>
          <w:szCs w:val="24"/>
        </w:rPr>
        <w:t xml:space="preserve">change across EU Member States. </w:t>
      </w:r>
    </w:p>
    <w:p w14:paraId="06E4E81F" w14:textId="77777777" w:rsidR="00673BE8" w:rsidRPr="00472C9F" w:rsidRDefault="00673BE8" w:rsidP="0059780E">
      <w:pPr>
        <w:spacing w:after="0" w:line="360" w:lineRule="auto"/>
        <w:jc w:val="both"/>
        <w:rPr>
          <w:rFonts w:ascii="Calibri" w:hAnsi="Calibri" w:cs="Calibri"/>
          <w:b/>
          <w:bCs/>
          <w:sz w:val="24"/>
          <w:szCs w:val="24"/>
        </w:rPr>
      </w:pPr>
    </w:p>
    <w:p w14:paraId="0F4D25DC" w14:textId="77777777" w:rsidR="00673BE8" w:rsidRPr="00472C9F" w:rsidRDefault="00673BE8" w:rsidP="0059780E">
      <w:pPr>
        <w:spacing w:after="0" w:line="360" w:lineRule="auto"/>
        <w:jc w:val="both"/>
        <w:rPr>
          <w:rFonts w:ascii="Calibri" w:hAnsi="Calibri" w:cs="Calibri"/>
          <w:b/>
          <w:bCs/>
          <w:sz w:val="24"/>
          <w:szCs w:val="24"/>
        </w:rPr>
      </w:pPr>
    </w:p>
    <w:p w14:paraId="6126E3AD" w14:textId="77777777" w:rsidR="00C44B67" w:rsidRPr="00472C9F" w:rsidRDefault="00C44B67" w:rsidP="0059780E">
      <w:pPr>
        <w:spacing w:after="0" w:line="360" w:lineRule="auto"/>
        <w:jc w:val="both"/>
        <w:rPr>
          <w:rFonts w:ascii="Calibri" w:hAnsi="Calibri" w:cs="Calibri"/>
          <w:sz w:val="24"/>
          <w:szCs w:val="24"/>
        </w:rPr>
      </w:pPr>
    </w:p>
    <w:sectPr w:rsidR="00C44B67" w:rsidRPr="00472C9F" w:rsidSect="00F32F86">
      <w:headerReference w:type="even" r:id="rId11"/>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385E" w14:textId="77777777" w:rsidR="00397552" w:rsidRDefault="00397552" w:rsidP="006B1FAD">
      <w:pPr>
        <w:spacing w:after="0" w:line="240" w:lineRule="auto"/>
      </w:pPr>
      <w:r>
        <w:separator/>
      </w:r>
    </w:p>
  </w:endnote>
  <w:endnote w:type="continuationSeparator" w:id="0">
    <w:p w14:paraId="1BADF45E" w14:textId="77777777" w:rsidR="00397552" w:rsidRDefault="00397552" w:rsidP="006B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00F3" w14:textId="6C511768" w:rsidR="00FE450A" w:rsidRDefault="00ED274C" w:rsidP="00FE450A">
    <w:pPr>
      <w:pStyle w:val="Footer"/>
      <w:tabs>
        <w:tab w:val="clear" w:pos="9360"/>
        <w:tab w:val="right" w:pos="9026"/>
      </w:tabs>
      <w:jc w:val="center"/>
    </w:pPr>
    <w:r>
      <w:t>__________________________________________________________________________________</w:t>
    </w:r>
  </w:p>
  <w:p w14:paraId="66FB2248" w14:textId="77777777" w:rsidR="00ED274C" w:rsidRDefault="00ED274C" w:rsidP="00FE450A">
    <w:pPr>
      <w:pStyle w:val="Footer"/>
      <w:tabs>
        <w:tab w:val="clear" w:pos="9360"/>
        <w:tab w:val="right" w:pos="9026"/>
      </w:tabs>
      <w:jc w:val="center"/>
    </w:pPr>
  </w:p>
  <w:sdt>
    <w:sdtPr>
      <w:id w:val="2123501524"/>
      <w:docPartObj>
        <w:docPartGallery w:val="Page Numbers (Bottom of Page)"/>
        <w:docPartUnique/>
      </w:docPartObj>
    </w:sdtPr>
    <w:sdtEndPr>
      <w:rPr>
        <w:noProof/>
      </w:rPr>
    </w:sdtEndPr>
    <w:sdtContent>
      <w:p w14:paraId="5ECE7991" w14:textId="3D631212" w:rsidR="00FE450A" w:rsidRDefault="00FE45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DBBCF1" w14:textId="77777777" w:rsidR="00614B4B" w:rsidRDefault="00614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ABBF" w14:textId="30981699" w:rsidR="003F1C9D" w:rsidRDefault="003F1C9D" w:rsidP="003F1C9D">
    <w:pPr>
      <w:pStyle w:val="Footer"/>
      <w:tabs>
        <w:tab w:val="clear" w:pos="9360"/>
        <w:tab w:val="right" w:pos="9026"/>
      </w:tabs>
      <w:jc w:val="center"/>
    </w:pPr>
    <w:r>
      <w:t>__________________________________________________________________________________</w:t>
    </w:r>
  </w:p>
  <w:p w14:paraId="053EE262" w14:textId="77777777" w:rsidR="003F1C9D" w:rsidRDefault="003F1C9D" w:rsidP="003F1C9D">
    <w:pPr>
      <w:pStyle w:val="Footer"/>
      <w:tabs>
        <w:tab w:val="clear" w:pos="9360"/>
        <w:tab w:val="right" w:pos="9026"/>
      </w:tabs>
      <w:jc w:val="center"/>
    </w:pPr>
  </w:p>
  <w:sdt>
    <w:sdtPr>
      <w:id w:val="1731648147"/>
      <w:docPartObj>
        <w:docPartGallery w:val="Page Numbers (Bottom of Page)"/>
        <w:docPartUnique/>
      </w:docPartObj>
    </w:sdtPr>
    <w:sdtEndPr>
      <w:rPr>
        <w:noProof/>
      </w:rPr>
    </w:sdtEndPr>
    <w:sdtContent>
      <w:p w14:paraId="6FA3A4F9" w14:textId="645E1ED5" w:rsidR="003F1C9D" w:rsidRDefault="003F1C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79EF6" w14:textId="77777777" w:rsidR="0054442B" w:rsidRDefault="00544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3C6F" w14:textId="77777777" w:rsidR="00397552" w:rsidRDefault="00397552" w:rsidP="006B1FAD">
      <w:pPr>
        <w:spacing w:after="0" w:line="240" w:lineRule="auto"/>
      </w:pPr>
      <w:r>
        <w:separator/>
      </w:r>
    </w:p>
  </w:footnote>
  <w:footnote w:type="continuationSeparator" w:id="0">
    <w:p w14:paraId="61733FA4" w14:textId="77777777" w:rsidR="00397552" w:rsidRDefault="00397552" w:rsidP="006B1FAD">
      <w:pPr>
        <w:spacing w:after="0" w:line="240" w:lineRule="auto"/>
      </w:pPr>
      <w:r>
        <w:continuationSeparator/>
      </w:r>
    </w:p>
  </w:footnote>
  <w:footnote w:id="1">
    <w:p w14:paraId="618BE926" w14:textId="5019F6FD" w:rsidR="006A51D8" w:rsidRDefault="006A51D8" w:rsidP="00CB68B8">
      <w:pPr>
        <w:pStyle w:val="FootnoteText"/>
      </w:pPr>
      <w:r w:rsidRPr="006A51D8">
        <w:rPr>
          <w:rStyle w:val="FootnoteReference"/>
        </w:rPr>
        <w:sym w:font="Symbol" w:char="F02A"/>
      </w:r>
      <w:r>
        <w:t xml:space="preserve"> </w:t>
      </w:r>
      <w:r w:rsidR="005124F7">
        <w:t xml:space="preserve">Associate Professor, School of Law, </w:t>
      </w:r>
      <w:r w:rsidR="000C0D35">
        <w:t>University of Reading</w:t>
      </w:r>
      <w:r w:rsidR="008A448A">
        <w:t>, UK</w:t>
      </w:r>
      <w:r w:rsidR="000C0D35">
        <w:t>.</w:t>
      </w:r>
      <w:r w:rsidR="008A448A">
        <w:t xml:space="preserve"> Email </w:t>
      </w:r>
      <w:hyperlink r:id="rId1" w:history="1">
        <w:r w:rsidR="00E5693F" w:rsidRPr="00012FB4">
          <w:rPr>
            <w:rStyle w:val="Hyperlink"/>
          </w:rPr>
          <w:t>f.r.hamilton@reading.ac.uk</w:t>
        </w:r>
      </w:hyperlink>
      <w:r w:rsidR="00E5693F">
        <w:t xml:space="preserve"> </w:t>
      </w:r>
      <w:r w:rsidR="000C0D35">
        <w:t xml:space="preserve"> </w:t>
      </w:r>
    </w:p>
  </w:footnote>
  <w:footnote w:id="2">
    <w:p w14:paraId="15EA89DF" w14:textId="324ED9AF" w:rsidR="00B76901" w:rsidRPr="002130C0" w:rsidRDefault="00B76901"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I concentrate on these two groups specifically as other members commonly included within the LGBT</w:t>
      </w:r>
      <w:r w:rsidR="00F8663D" w:rsidRPr="002130C0">
        <w:rPr>
          <w:rFonts w:cstheme="minorHAnsi"/>
        </w:rPr>
        <w:t xml:space="preserve"> </w:t>
      </w:r>
      <w:r w:rsidR="002F2C14" w:rsidRPr="002130C0">
        <w:rPr>
          <w:rFonts w:cstheme="minorHAnsi"/>
        </w:rPr>
        <w:t xml:space="preserve">or similar </w:t>
      </w:r>
      <w:r w:rsidRPr="002130C0">
        <w:rPr>
          <w:rFonts w:cstheme="minorHAnsi"/>
        </w:rPr>
        <w:t>acronym</w:t>
      </w:r>
      <w:r w:rsidR="002F2C14" w:rsidRPr="002130C0">
        <w:rPr>
          <w:rFonts w:cstheme="minorHAnsi"/>
        </w:rPr>
        <w:t>s</w:t>
      </w:r>
      <w:r w:rsidRPr="002130C0">
        <w:rPr>
          <w:rFonts w:cstheme="minorHAnsi"/>
        </w:rPr>
        <w:t xml:space="preserve"> have different </w:t>
      </w:r>
      <w:r w:rsidR="00A46F77" w:rsidRPr="002130C0">
        <w:rPr>
          <w:rFonts w:cstheme="minorHAnsi"/>
        </w:rPr>
        <w:t xml:space="preserve">lived experiences and </w:t>
      </w:r>
      <w:r w:rsidR="0014208F" w:rsidRPr="002130C0">
        <w:rPr>
          <w:rFonts w:cstheme="minorHAnsi"/>
        </w:rPr>
        <w:t xml:space="preserve">consequently </w:t>
      </w:r>
      <w:r w:rsidR="00A46F77" w:rsidRPr="002130C0">
        <w:rPr>
          <w:rFonts w:cstheme="minorHAnsi"/>
        </w:rPr>
        <w:t xml:space="preserve">different </w:t>
      </w:r>
      <w:r w:rsidRPr="002130C0">
        <w:rPr>
          <w:rFonts w:cstheme="minorHAnsi"/>
        </w:rPr>
        <w:t>legal treatment in EU Law and so deserve dedicated space</w:t>
      </w:r>
      <w:r w:rsidR="0014208F" w:rsidRPr="002130C0">
        <w:rPr>
          <w:rFonts w:cstheme="minorHAnsi"/>
        </w:rPr>
        <w:t>. This could be</w:t>
      </w:r>
      <w:r w:rsidR="005C7A07" w:rsidRPr="002130C0">
        <w:rPr>
          <w:rFonts w:cstheme="minorHAnsi"/>
        </w:rPr>
        <w:t xml:space="preserve"> </w:t>
      </w:r>
      <w:r w:rsidR="00411C80" w:rsidRPr="002130C0">
        <w:rPr>
          <w:rFonts w:cstheme="minorHAnsi"/>
        </w:rPr>
        <w:t>an avenue for future research</w:t>
      </w:r>
      <w:r w:rsidRPr="002130C0">
        <w:rPr>
          <w:rFonts w:cstheme="minorHAnsi"/>
        </w:rPr>
        <w:t>.</w:t>
      </w:r>
    </w:p>
  </w:footnote>
  <w:footnote w:id="3">
    <w:p w14:paraId="29C7B306" w14:textId="56436D89" w:rsidR="00FA02B8" w:rsidRPr="002130C0" w:rsidRDefault="00FA02B8" w:rsidP="00CB68B8">
      <w:pPr>
        <w:pStyle w:val="FootnoteText"/>
        <w:rPr>
          <w:rFonts w:eastAsia="Times New Roman" w:cstheme="minorHAnsi"/>
          <w:color w:val="000000"/>
          <w:lang w:eastAsia="en-GB"/>
        </w:rPr>
      </w:pPr>
      <w:r w:rsidRPr="002130C0">
        <w:rPr>
          <w:rStyle w:val="FootnoteReference"/>
          <w:rFonts w:cstheme="minorHAnsi"/>
        </w:rPr>
        <w:footnoteRef/>
      </w:r>
      <w:r w:rsidRPr="002130C0">
        <w:rPr>
          <w:rFonts w:cstheme="minorHAnsi"/>
        </w:rPr>
        <w:t xml:space="preserve"> </w:t>
      </w:r>
      <w:r w:rsidR="00497813">
        <w:rPr>
          <w:rFonts w:cstheme="minorHAnsi"/>
        </w:rPr>
        <w:t xml:space="preserve">The </w:t>
      </w:r>
      <w:r w:rsidR="008747D6" w:rsidRPr="002130C0">
        <w:rPr>
          <w:rFonts w:eastAsia="Times New Roman" w:cstheme="minorHAnsi"/>
          <w:color w:val="000000"/>
          <w:lang w:eastAsia="en-GB"/>
        </w:rPr>
        <w:t>European Coal and Steel Community (ECSC), the European Economic Community (EEC) and the European Atomic Energy Community (Euratom).</w:t>
      </w:r>
    </w:p>
  </w:footnote>
  <w:footnote w:id="4">
    <w:p w14:paraId="41706373" w14:textId="3A40A971" w:rsidR="00C259B1" w:rsidRPr="002130C0" w:rsidRDefault="00C259B1"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811F3B" w:rsidRPr="002130C0">
        <w:rPr>
          <w:rFonts w:cstheme="minorHAnsi"/>
        </w:rPr>
        <w:t xml:space="preserve">See Paul Craig and Gráinne De Burca, </w:t>
      </w:r>
      <w:r w:rsidR="00811F3B" w:rsidRPr="002130C0">
        <w:rPr>
          <w:rFonts w:cstheme="minorHAnsi"/>
          <w:i/>
          <w:iCs/>
        </w:rPr>
        <w:t>EU Law, Text Cases and Materials</w:t>
      </w:r>
      <w:r w:rsidR="00811F3B" w:rsidRPr="002130C0">
        <w:rPr>
          <w:rFonts w:cstheme="minorHAnsi"/>
        </w:rPr>
        <w:t xml:space="preserve"> (O</w:t>
      </w:r>
      <w:r w:rsidR="00175D21">
        <w:rPr>
          <w:rFonts w:cstheme="minorHAnsi"/>
        </w:rPr>
        <w:t xml:space="preserve">xford </w:t>
      </w:r>
      <w:r w:rsidR="00811F3B" w:rsidRPr="002130C0">
        <w:rPr>
          <w:rFonts w:cstheme="minorHAnsi"/>
        </w:rPr>
        <w:t>U</w:t>
      </w:r>
      <w:r w:rsidR="00175D21">
        <w:rPr>
          <w:rFonts w:cstheme="minorHAnsi"/>
        </w:rPr>
        <w:t xml:space="preserve">niversity </w:t>
      </w:r>
      <w:r w:rsidR="00811F3B" w:rsidRPr="002130C0">
        <w:rPr>
          <w:rFonts w:cstheme="minorHAnsi"/>
        </w:rPr>
        <w:t>P</w:t>
      </w:r>
      <w:r w:rsidR="00175D21">
        <w:rPr>
          <w:rFonts w:cstheme="minorHAnsi"/>
        </w:rPr>
        <w:t>ress</w:t>
      </w:r>
      <w:r w:rsidR="00811F3B" w:rsidRPr="002130C0">
        <w:rPr>
          <w:rFonts w:cstheme="minorHAnsi"/>
        </w:rPr>
        <w:t>, 2020), 14.</w:t>
      </w:r>
    </w:p>
  </w:footnote>
  <w:footnote w:id="5">
    <w:p w14:paraId="596239D8" w14:textId="3E3FED94" w:rsidR="00DC0728" w:rsidRPr="002130C0" w:rsidRDefault="00DC0728" w:rsidP="00CB68B8">
      <w:pPr>
        <w:pStyle w:val="FootnoteText"/>
        <w:rPr>
          <w:rFonts w:cstheme="minorHAnsi"/>
        </w:rPr>
      </w:pPr>
      <w:r w:rsidRPr="002130C0">
        <w:rPr>
          <w:rStyle w:val="FootnoteReference"/>
          <w:rFonts w:cstheme="minorHAnsi"/>
        </w:rPr>
        <w:footnoteRef/>
      </w:r>
      <w:r w:rsidRPr="002130C0">
        <w:rPr>
          <w:rFonts w:cstheme="minorHAnsi"/>
        </w:rPr>
        <w:t xml:space="preserve"> Citizenship </w:t>
      </w:r>
      <w:r w:rsidR="0075141D" w:rsidRPr="002130C0">
        <w:rPr>
          <w:rFonts w:cstheme="minorHAnsi"/>
        </w:rPr>
        <w:t>D</w:t>
      </w:r>
      <w:r w:rsidRPr="002130C0">
        <w:rPr>
          <w:rFonts w:cstheme="minorHAnsi"/>
        </w:rPr>
        <w:t xml:space="preserve">irective </w:t>
      </w:r>
      <w:r w:rsidR="00CC3B23" w:rsidRPr="002130C0">
        <w:rPr>
          <w:rFonts w:cstheme="minorHAnsi"/>
        </w:rPr>
        <w:t xml:space="preserve">(EC) </w:t>
      </w:r>
      <w:r w:rsidRPr="002130C0">
        <w:rPr>
          <w:rFonts w:cstheme="minorHAnsi"/>
        </w:rPr>
        <w:t>2004/38</w:t>
      </w:r>
      <w:r w:rsidR="00CC3B23" w:rsidRPr="002130C0">
        <w:rPr>
          <w:rFonts w:cstheme="minorHAnsi"/>
        </w:rPr>
        <w:t xml:space="preserve"> o</w:t>
      </w:r>
      <w:r w:rsidR="00CC3B23" w:rsidRPr="002130C0">
        <w:rPr>
          <w:rFonts w:cstheme="minorHAnsi"/>
          <w:color w:val="333333"/>
          <w:shd w:val="clear" w:color="auto" w:fill="FFFFFF"/>
        </w:rPr>
        <w:t>n the right of citizens of the Union and their family members to move and reside freely within the territory of the Member States,</w:t>
      </w:r>
      <w:r w:rsidR="00CC3B23" w:rsidRPr="002130C0">
        <w:rPr>
          <w:rFonts w:cstheme="minorHAnsi"/>
          <w:b/>
          <w:bCs/>
          <w:color w:val="333333"/>
          <w:shd w:val="clear" w:color="auto" w:fill="FFFFFF"/>
        </w:rPr>
        <w:t xml:space="preserve"> </w:t>
      </w:r>
      <w:r w:rsidR="003730C5" w:rsidRPr="002130C0">
        <w:rPr>
          <w:rFonts w:cstheme="minorHAnsi"/>
          <w:color w:val="333333"/>
        </w:rPr>
        <w:t xml:space="preserve">L 158/77, </w:t>
      </w:r>
      <w:r w:rsidR="003730C5" w:rsidRPr="002130C0">
        <w:rPr>
          <w:rFonts w:cstheme="minorHAnsi"/>
        </w:rPr>
        <w:t xml:space="preserve">art </w:t>
      </w:r>
      <w:r w:rsidRPr="002130C0">
        <w:rPr>
          <w:rFonts w:cstheme="minorHAnsi"/>
        </w:rPr>
        <w:t>14</w:t>
      </w:r>
      <w:r w:rsidR="00B54CBF">
        <w:rPr>
          <w:rFonts w:cstheme="minorHAnsi"/>
        </w:rPr>
        <w:t>-</w:t>
      </w:r>
      <w:r w:rsidRPr="002130C0">
        <w:rPr>
          <w:rFonts w:cstheme="minorHAnsi"/>
        </w:rPr>
        <w:t>16.</w:t>
      </w:r>
    </w:p>
  </w:footnote>
  <w:footnote w:id="6">
    <w:p w14:paraId="0039B324" w14:textId="03998CA4" w:rsidR="003730C5" w:rsidRPr="00C04B15" w:rsidRDefault="00B3493A" w:rsidP="00C04B15">
      <w:pPr>
        <w:pStyle w:val="hd-oj"/>
        <w:spacing w:before="0" w:beforeAutospacing="0" w:after="0" w:afterAutospacing="0"/>
        <w:rPr>
          <w:rFonts w:asciiTheme="minorHAnsi" w:hAnsiTheme="minorHAnsi" w:cstheme="minorHAnsi"/>
          <w:sz w:val="20"/>
          <w:szCs w:val="20"/>
        </w:rPr>
      </w:pPr>
      <w:r w:rsidRPr="00C04B15">
        <w:rPr>
          <w:rStyle w:val="FootnoteReference"/>
          <w:rFonts w:asciiTheme="minorHAnsi" w:hAnsiTheme="minorHAnsi" w:cstheme="minorHAnsi"/>
          <w:sz w:val="20"/>
          <w:szCs w:val="20"/>
        </w:rPr>
        <w:footnoteRef/>
      </w:r>
      <w:r w:rsidRPr="00C04B15">
        <w:rPr>
          <w:rFonts w:asciiTheme="minorHAnsi" w:hAnsiTheme="minorHAnsi" w:cstheme="minorHAnsi"/>
          <w:sz w:val="20"/>
          <w:szCs w:val="20"/>
        </w:rPr>
        <w:t xml:space="preserve"> </w:t>
      </w:r>
      <w:r w:rsidR="00224E86" w:rsidRPr="00C04B15">
        <w:rPr>
          <w:rFonts w:asciiTheme="minorHAnsi" w:hAnsiTheme="minorHAnsi" w:cstheme="minorHAnsi"/>
          <w:sz w:val="20"/>
          <w:szCs w:val="20"/>
        </w:rPr>
        <w:t>Treaty on the Functioning of the EU</w:t>
      </w:r>
      <w:r w:rsidR="0083122B" w:rsidRPr="00C04B15">
        <w:rPr>
          <w:rFonts w:asciiTheme="minorHAnsi" w:hAnsiTheme="minorHAnsi" w:cstheme="minorHAnsi"/>
          <w:sz w:val="20"/>
          <w:szCs w:val="20"/>
        </w:rPr>
        <w:t xml:space="preserve"> </w:t>
      </w:r>
      <w:r w:rsidR="00224E86" w:rsidRPr="00C04B15">
        <w:rPr>
          <w:rFonts w:asciiTheme="minorHAnsi" w:hAnsiTheme="minorHAnsi" w:cstheme="minorHAnsi"/>
          <w:sz w:val="20"/>
          <w:szCs w:val="20"/>
        </w:rPr>
        <w:t>(</w:t>
      </w:r>
      <w:r w:rsidR="003730C5" w:rsidRPr="00C04B15">
        <w:rPr>
          <w:rFonts w:asciiTheme="minorHAnsi" w:hAnsiTheme="minorHAnsi" w:cstheme="minorHAnsi"/>
          <w:sz w:val="20"/>
          <w:szCs w:val="20"/>
        </w:rPr>
        <w:t>‘</w:t>
      </w:r>
      <w:r w:rsidR="0083122B" w:rsidRPr="00C04B15">
        <w:rPr>
          <w:rFonts w:asciiTheme="minorHAnsi" w:hAnsiTheme="minorHAnsi" w:cstheme="minorHAnsi"/>
          <w:sz w:val="20"/>
          <w:szCs w:val="20"/>
        </w:rPr>
        <w:t>TFEU</w:t>
      </w:r>
      <w:r w:rsidR="003730C5" w:rsidRPr="00C04B15">
        <w:rPr>
          <w:rFonts w:asciiTheme="minorHAnsi" w:hAnsiTheme="minorHAnsi" w:cstheme="minorHAnsi"/>
          <w:sz w:val="20"/>
          <w:szCs w:val="20"/>
        </w:rPr>
        <w:t>’</w:t>
      </w:r>
      <w:r w:rsidR="00224E86" w:rsidRPr="00C04B15">
        <w:rPr>
          <w:rFonts w:asciiTheme="minorHAnsi" w:hAnsiTheme="minorHAnsi" w:cstheme="minorHAnsi"/>
          <w:sz w:val="20"/>
          <w:szCs w:val="20"/>
        </w:rPr>
        <w:t>)</w:t>
      </w:r>
      <w:r w:rsidR="003730C5" w:rsidRPr="00C04B15">
        <w:rPr>
          <w:rFonts w:asciiTheme="minorHAnsi" w:hAnsiTheme="minorHAnsi" w:cstheme="minorHAnsi"/>
          <w:sz w:val="20"/>
          <w:szCs w:val="20"/>
        </w:rPr>
        <w:t>, C 326/47, art 18</w:t>
      </w:r>
      <w:r w:rsidR="00C04B15">
        <w:rPr>
          <w:rFonts w:asciiTheme="minorHAnsi" w:hAnsiTheme="minorHAnsi" w:cstheme="minorHAnsi"/>
          <w:sz w:val="20"/>
          <w:szCs w:val="20"/>
        </w:rPr>
        <w:t>;</w:t>
      </w:r>
      <w:r w:rsidR="0083122B" w:rsidRPr="00C04B15">
        <w:rPr>
          <w:rFonts w:asciiTheme="minorHAnsi" w:hAnsiTheme="minorHAnsi" w:cstheme="minorHAnsi"/>
          <w:sz w:val="20"/>
          <w:szCs w:val="20"/>
        </w:rPr>
        <w:t xml:space="preserve"> </w:t>
      </w:r>
      <w:r w:rsidRPr="00C04B15">
        <w:rPr>
          <w:rFonts w:asciiTheme="minorHAnsi" w:hAnsiTheme="minorHAnsi" w:cstheme="minorHAnsi"/>
          <w:sz w:val="20"/>
          <w:szCs w:val="20"/>
        </w:rPr>
        <w:t xml:space="preserve">Citizenship Directive </w:t>
      </w:r>
      <w:r w:rsidR="000022F9">
        <w:rPr>
          <w:rFonts w:asciiTheme="minorHAnsi" w:hAnsiTheme="minorHAnsi" w:cstheme="minorHAnsi"/>
          <w:sz w:val="20"/>
          <w:szCs w:val="20"/>
        </w:rPr>
        <w:t>(n4)</w:t>
      </w:r>
      <w:r w:rsidR="003730C5" w:rsidRPr="00C04B15">
        <w:rPr>
          <w:rFonts w:asciiTheme="minorHAnsi" w:hAnsiTheme="minorHAnsi" w:cstheme="minorHAnsi"/>
          <w:sz w:val="20"/>
          <w:szCs w:val="20"/>
        </w:rPr>
        <w:t xml:space="preserve">, </w:t>
      </w:r>
      <w:r w:rsidR="00CC3B23" w:rsidRPr="00C04B15">
        <w:rPr>
          <w:rFonts w:asciiTheme="minorHAnsi" w:hAnsiTheme="minorHAnsi" w:cstheme="minorHAnsi"/>
          <w:sz w:val="20"/>
          <w:szCs w:val="20"/>
        </w:rPr>
        <w:t xml:space="preserve">art </w:t>
      </w:r>
      <w:r w:rsidRPr="00C04B15">
        <w:rPr>
          <w:rFonts w:asciiTheme="minorHAnsi" w:hAnsiTheme="minorHAnsi" w:cstheme="minorHAnsi"/>
          <w:sz w:val="20"/>
          <w:szCs w:val="20"/>
        </w:rPr>
        <w:t>24</w:t>
      </w:r>
      <w:r w:rsidR="003730C5" w:rsidRPr="00C04B15">
        <w:rPr>
          <w:rFonts w:asciiTheme="minorHAnsi" w:hAnsiTheme="minorHAnsi" w:cstheme="minorHAnsi"/>
          <w:sz w:val="20"/>
          <w:szCs w:val="20"/>
        </w:rPr>
        <w:t>.</w:t>
      </w:r>
    </w:p>
  </w:footnote>
  <w:footnote w:id="7">
    <w:p w14:paraId="74756583" w14:textId="6FBACBF6" w:rsidR="003079C1" w:rsidRPr="002130C0" w:rsidRDefault="003079C1"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0022F9">
        <w:rPr>
          <w:rFonts w:cstheme="minorHAnsi"/>
        </w:rPr>
        <w:t>Ibid,</w:t>
      </w:r>
      <w:r w:rsidR="00CC3B23" w:rsidRPr="002130C0">
        <w:rPr>
          <w:rFonts w:cstheme="minorHAnsi"/>
        </w:rPr>
        <w:t xml:space="preserve"> art </w:t>
      </w:r>
      <w:r w:rsidRPr="002130C0">
        <w:rPr>
          <w:rFonts w:cstheme="minorHAnsi"/>
        </w:rPr>
        <w:t>23</w:t>
      </w:r>
      <w:r w:rsidR="00224E86" w:rsidRPr="002130C0">
        <w:rPr>
          <w:rFonts w:cstheme="minorHAnsi"/>
        </w:rPr>
        <w:t>.</w:t>
      </w:r>
      <w:r w:rsidRPr="002130C0">
        <w:rPr>
          <w:rFonts w:cstheme="minorHAnsi"/>
        </w:rPr>
        <w:t xml:space="preserve">  </w:t>
      </w:r>
    </w:p>
  </w:footnote>
  <w:footnote w:id="8">
    <w:p w14:paraId="4CF713EB" w14:textId="02888BCF" w:rsidR="00C10951" w:rsidRPr="002130C0" w:rsidRDefault="00C10951"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83122B" w:rsidRPr="002130C0">
        <w:rPr>
          <w:rFonts w:cstheme="minorHAnsi"/>
        </w:rPr>
        <w:t xml:space="preserve">Regulation (EU) 492/2011 </w:t>
      </w:r>
      <w:r w:rsidR="003730C5" w:rsidRPr="002130C0">
        <w:rPr>
          <w:rFonts w:cstheme="minorHAnsi"/>
        </w:rPr>
        <w:t>on freedom of movement for workers within the Union</w:t>
      </w:r>
      <w:r w:rsidR="000022F9">
        <w:rPr>
          <w:rFonts w:cstheme="minorHAnsi"/>
        </w:rPr>
        <w:t>,</w:t>
      </w:r>
      <w:r w:rsidR="003730C5" w:rsidRPr="002130C0">
        <w:rPr>
          <w:rFonts w:cstheme="minorHAnsi"/>
        </w:rPr>
        <w:t xml:space="preserve"> L 141/1, art </w:t>
      </w:r>
      <w:r w:rsidR="0083122B" w:rsidRPr="002130C0">
        <w:rPr>
          <w:rFonts w:cstheme="minorHAnsi"/>
        </w:rPr>
        <w:t>7</w:t>
      </w:r>
      <w:r w:rsidR="00224E86" w:rsidRPr="002130C0">
        <w:rPr>
          <w:rFonts w:cstheme="minorHAnsi"/>
        </w:rPr>
        <w:t xml:space="preserve"> </w:t>
      </w:r>
      <w:r w:rsidRPr="002130C0">
        <w:rPr>
          <w:rFonts w:cstheme="minorHAnsi"/>
        </w:rPr>
        <w:t xml:space="preserve">referring to </w:t>
      </w:r>
      <w:r w:rsidRPr="002130C0">
        <w:rPr>
          <w:rFonts w:cstheme="minorHAnsi"/>
          <w:i/>
        </w:rPr>
        <w:t>Casagrande</w:t>
      </w:r>
      <w:r w:rsidRPr="002130C0">
        <w:rPr>
          <w:rFonts w:cstheme="minorHAnsi"/>
        </w:rPr>
        <w:t xml:space="preserve"> (Case C-9/74) and </w:t>
      </w:r>
      <w:proofErr w:type="spellStart"/>
      <w:r w:rsidRPr="002130C0">
        <w:rPr>
          <w:rFonts w:cstheme="minorHAnsi"/>
          <w:i/>
        </w:rPr>
        <w:t>Baumbast</w:t>
      </w:r>
      <w:proofErr w:type="spellEnd"/>
      <w:r w:rsidRPr="002130C0">
        <w:rPr>
          <w:rFonts w:cstheme="minorHAnsi"/>
          <w:i/>
        </w:rPr>
        <w:t xml:space="preserve"> and R v Secretary of State for the Home Department</w:t>
      </w:r>
      <w:r w:rsidRPr="002130C0">
        <w:rPr>
          <w:rFonts w:cstheme="minorHAnsi"/>
        </w:rPr>
        <w:t xml:space="preserve"> (Case C-413/99).</w:t>
      </w:r>
    </w:p>
  </w:footnote>
  <w:footnote w:id="9">
    <w:p w14:paraId="78B69D8E" w14:textId="656654BE" w:rsidR="003079C1" w:rsidRPr="002130C0" w:rsidRDefault="003079C1" w:rsidP="00CB68B8">
      <w:pPr>
        <w:pStyle w:val="FootnoteText"/>
        <w:rPr>
          <w:rFonts w:cstheme="minorHAnsi"/>
          <w:bCs/>
        </w:rPr>
      </w:pPr>
      <w:r w:rsidRPr="002130C0">
        <w:rPr>
          <w:rStyle w:val="FootnoteReference"/>
          <w:rFonts w:cstheme="minorHAnsi"/>
        </w:rPr>
        <w:footnoteRef/>
      </w:r>
      <w:r w:rsidRPr="002130C0">
        <w:rPr>
          <w:rFonts w:cstheme="minorHAnsi"/>
        </w:rPr>
        <w:t xml:space="preserve"> </w:t>
      </w:r>
      <w:r w:rsidRPr="002130C0">
        <w:rPr>
          <w:rFonts w:cstheme="minorHAnsi"/>
          <w:shd w:val="clear" w:color="auto" w:fill="FFFFFF"/>
        </w:rPr>
        <w:t>Framework Directive</w:t>
      </w:r>
      <w:r w:rsidR="003730C5" w:rsidRPr="002130C0">
        <w:rPr>
          <w:rFonts w:cstheme="minorHAnsi"/>
          <w:shd w:val="clear" w:color="auto" w:fill="FFFFFF"/>
        </w:rPr>
        <w:t>(EC)</w:t>
      </w:r>
      <w:r w:rsidRPr="002130C0">
        <w:rPr>
          <w:rFonts w:cstheme="minorHAnsi"/>
          <w:shd w:val="clear" w:color="auto" w:fill="FFFFFF"/>
        </w:rPr>
        <w:t> </w:t>
      </w:r>
      <w:hyperlink r:id="rId2" w:history="1">
        <w:r w:rsidRPr="002130C0">
          <w:rPr>
            <w:rFonts w:cstheme="minorHAnsi"/>
          </w:rPr>
          <w:t>2000/78</w:t>
        </w:r>
      </w:hyperlink>
      <w:r w:rsidR="003730C5" w:rsidRPr="002130C0">
        <w:rPr>
          <w:rFonts w:cstheme="minorHAnsi"/>
          <w:shd w:val="clear" w:color="auto" w:fill="FFFFFF"/>
        </w:rPr>
        <w:t xml:space="preserve"> </w:t>
      </w:r>
      <w:r w:rsidR="003730C5" w:rsidRPr="002130C0">
        <w:rPr>
          <w:rStyle w:val="Strong"/>
          <w:rFonts w:cstheme="minorHAnsi"/>
          <w:b w:val="0"/>
          <w:bCs w:val="0"/>
          <w:color w:val="333333"/>
          <w:shd w:val="clear" w:color="auto" w:fill="FFFFFF"/>
        </w:rPr>
        <w:t>establishing a general framework for equal treatment in employment and occupation</w:t>
      </w:r>
      <w:r w:rsidR="001908A4">
        <w:rPr>
          <w:rStyle w:val="Strong"/>
          <w:rFonts w:cstheme="minorHAnsi"/>
          <w:b w:val="0"/>
          <w:bCs w:val="0"/>
          <w:color w:val="333333"/>
          <w:shd w:val="clear" w:color="auto" w:fill="FFFFFF"/>
        </w:rPr>
        <w:t>,</w:t>
      </w:r>
      <w:r w:rsidR="003730C5" w:rsidRPr="002130C0">
        <w:rPr>
          <w:rFonts w:cstheme="minorHAnsi"/>
          <w:bCs/>
          <w:shd w:val="clear" w:color="auto" w:fill="FFFFFF"/>
        </w:rPr>
        <w:t xml:space="preserve"> </w:t>
      </w:r>
      <w:r w:rsidR="003730C5" w:rsidRPr="002130C0">
        <w:rPr>
          <w:rStyle w:val="Emphasis"/>
          <w:rFonts w:cstheme="minorHAnsi"/>
          <w:bCs/>
          <w:i w:val="0"/>
          <w:iCs w:val="0"/>
          <w:color w:val="333333"/>
          <w:shd w:val="clear" w:color="auto" w:fill="FFFFFF"/>
        </w:rPr>
        <w:t>L 303</w:t>
      </w:r>
      <w:r w:rsidR="003730C5" w:rsidRPr="002130C0">
        <w:rPr>
          <w:rStyle w:val="Emphasis"/>
          <w:rFonts w:cstheme="minorHAnsi"/>
          <w:bCs/>
          <w:color w:val="333333"/>
          <w:shd w:val="clear" w:color="auto" w:fill="FFFFFF"/>
        </w:rPr>
        <w:t>.</w:t>
      </w:r>
    </w:p>
  </w:footnote>
  <w:footnote w:id="10">
    <w:p w14:paraId="39E9E75C" w14:textId="21CDF091" w:rsidR="003079C1" w:rsidRPr="002130C0" w:rsidRDefault="003079C1" w:rsidP="00CB68B8">
      <w:pPr>
        <w:pStyle w:val="FootnoteText"/>
        <w:rPr>
          <w:rFonts w:cstheme="minorHAnsi"/>
        </w:rPr>
      </w:pPr>
      <w:r w:rsidRPr="002130C0">
        <w:rPr>
          <w:rStyle w:val="FootnoteReference"/>
          <w:rFonts w:cstheme="minorHAnsi"/>
        </w:rPr>
        <w:footnoteRef/>
      </w:r>
      <w:r w:rsidRPr="002130C0">
        <w:rPr>
          <w:rFonts w:cstheme="minorHAnsi"/>
        </w:rPr>
        <w:t xml:space="preserve"> TFE</w:t>
      </w:r>
      <w:r w:rsidR="003730C5" w:rsidRPr="002130C0">
        <w:rPr>
          <w:rFonts w:cstheme="minorHAnsi"/>
        </w:rPr>
        <w:t>U (n</w:t>
      </w:r>
      <w:r w:rsidR="0060714A">
        <w:rPr>
          <w:rFonts w:cstheme="minorHAnsi"/>
        </w:rPr>
        <w:t>5</w:t>
      </w:r>
      <w:r w:rsidR="003730C5" w:rsidRPr="002130C0">
        <w:rPr>
          <w:rFonts w:cstheme="minorHAnsi"/>
        </w:rPr>
        <w:t xml:space="preserve">), art 19. </w:t>
      </w:r>
    </w:p>
  </w:footnote>
  <w:footnote w:id="11">
    <w:p w14:paraId="4D4869E1" w14:textId="5B420F1D" w:rsidR="00425418" w:rsidRPr="002130C0" w:rsidRDefault="00425418" w:rsidP="00CB68B8">
      <w:pPr>
        <w:pStyle w:val="FootnoteText"/>
        <w:rPr>
          <w:rFonts w:cstheme="minorHAnsi"/>
        </w:rPr>
      </w:pPr>
      <w:r w:rsidRPr="002130C0">
        <w:rPr>
          <w:rStyle w:val="FootnoteReference"/>
          <w:rFonts w:cstheme="minorHAnsi"/>
        </w:rPr>
        <w:footnoteRef/>
      </w:r>
      <w:r w:rsidRPr="002130C0">
        <w:rPr>
          <w:rFonts w:cstheme="minorHAnsi"/>
        </w:rPr>
        <w:t xml:space="preserve"> Charter of Fundamental Rights</w:t>
      </w:r>
      <w:r w:rsidR="00D43379" w:rsidRPr="002130C0">
        <w:rPr>
          <w:rFonts w:cstheme="minorHAnsi"/>
        </w:rPr>
        <w:t>,</w:t>
      </w:r>
      <w:r w:rsidRPr="002130C0">
        <w:rPr>
          <w:rFonts w:cstheme="minorHAnsi"/>
        </w:rPr>
        <w:t xml:space="preserve"> </w:t>
      </w:r>
      <w:r w:rsidR="00D43379" w:rsidRPr="002130C0">
        <w:rPr>
          <w:rFonts w:cstheme="minorHAnsi"/>
        </w:rPr>
        <w:t>2000</w:t>
      </w:r>
      <w:r w:rsidR="004E688C">
        <w:rPr>
          <w:rFonts w:cstheme="minorHAnsi"/>
        </w:rPr>
        <w:t>/</w:t>
      </w:r>
      <w:r w:rsidR="003730C5" w:rsidRPr="002130C0">
        <w:rPr>
          <w:rFonts w:cstheme="minorHAnsi"/>
        </w:rPr>
        <w:t>C 364/1, a</w:t>
      </w:r>
      <w:r w:rsidRPr="002130C0">
        <w:rPr>
          <w:rFonts w:cstheme="minorHAnsi"/>
        </w:rPr>
        <w:t>rt 2</w:t>
      </w:r>
      <w:r w:rsidR="004E688C">
        <w:rPr>
          <w:rFonts w:cstheme="minorHAnsi"/>
        </w:rPr>
        <w:t>1(1)</w:t>
      </w:r>
      <w:r w:rsidR="00297292">
        <w:rPr>
          <w:rFonts w:cstheme="minorHAnsi"/>
        </w:rPr>
        <w:t>.</w:t>
      </w:r>
    </w:p>
  </w:footnote>
  <w:footnote w:id="12">
    <w:p w14:paraId="2FE93243" w14:textId="21D64BEB" w:rsidR="001E4D60" w:rsidRPr="002130C0" w:rsidRDefault="001E4D60" w:rsidP="00CB68B8">
      <w:pPr>
        <w:spacing w:after="0" w:line="240" w:lineRule="auto"/>
        <w:textAlignment w:val="baseline"/>
        <w:rPr>
          <w:rFonts w:cstheme="minorHAnsi"/>
          <w:color w:val="000000"/>
          <w:sz w:val="20"/>
          <w:szCs w:val="20"/>
          <w:shd w:val="clear" w:color="auto" w:fill="FFFFFF"/>
        </w:rPr>
      </w:pPr>
      <w:r w:rsidRPr="002130C0">
        <w:rPr>
          <w:rStyle w:val="FootnoteReference"/>
          <w:rFonts w:cstheme="minorHAnsi"/>
          <w:sz w:val="20"/>
          <w:szCs w:val="20"/>
        </w:rPr>
        <w:footnoteRef/>
      </w:r>
      <w:r w:rsidRPr="002130C0">
        <w:rPr>
          <w:rFonts w:cstheme="minorHAnsi"/>
          <w:sz w:val="20"/>
          <w:szCs w:val="20"/>
        </w:rPr>
        <w:t xml:space="preserve"> </w:t>
      </w:r>
      <w:r w:rsidRPr="002130C0">
        <w:rPr>
          <w:rFonts w:cstheme="minorHAnsi"/>
          <w:color w:val="000000"/>
          <w:sz w:val="20"/>
          <w:szCs w:val="20"/>
          <w:shd w:val="clear" w:color="auto" w:fill="FFFFFF"/>
        </w:rPr>
        <w:t xml:space="preserve">Here I understand demos </w:t>
      </w:r>
      <w:r w:rsidR="00713093">
        <w:rPr>
          <w:rFonts w:cstheme="minorHAnsi"/>
          <w:color w:val="000000"/>
          <w:sz w:val="20"/>
          <w:szCs w:val="20"/>
          <w:shd w:val="clear" w:color="auto" w:fill="FFFFFF"/>
        </w:rPr>
        <w:t xml:space="preserve">to </w:t>
      </w:r>
      <w:r w:rsidRPr="002130C0">
        <w:rPr>
          <w:rFonts w:cstheme="minorHAnsi"/>
          <w:color w:val="000000"/>
          <w:sz w:val="20"/>
          <w:szCs w:val="20"/>
          <w:shd w:val="clear" w:color="auto" w:fill="FFFFFF"/>
        </w:rPr>
        <w:t>be defined as ‘a people viewed as a political unit’</w:t>
      </w:r>
      <w:r w:rsidR="004E1C1A">
        <w:rPr>
          <w:rFonts w:cstheme="minorHAnsi"/>
          <w:color w:val="000000"/>
          <w:sz w:val="20"/>
          <w:szCs w:val="20"/>
          <w:shd w:val="clear" w:color="auto" w:fill="FFFFFF"/>
        </w:rPr>
        <w:t>;</w:t>
      </w:r>
      <w:r w:rsidR="006758AC">
        <w:rPr>
          <w:rFonts w:cstheme="minorHAnsi"/>
          <w:color w:val="000000"/>
          <w:sz w:val="20"/>
          <w:szCs w:val="20"/>
          <w:shd w:val="clear" w:color="auto" w:fill="FFFFFF"/>
        </w:rPr>
        <w:t xml:space="preserve"> s</w:t>
      </w:r>
      <w:r w:rsidRPr="002130C0">
        <w:rPr>
          <w:rFonts w:cstheme="minorHAnsi"/>
          <w:color w:val="000000"/>
          <w:sz w:val="20"/>
          <w:szCs w:val="20"/>
          <w:shd w:val="clear" w:color="auto" w:fill="FFFFFF"/>
        </w:rPr>
        <w:t xml:space="preserve">ee </w:t>
      </w:r>
      <w:r w:rsidRPr="002130C0">
        <w:rPr>
          <w:rFonts w:cstheme="minorHAnsi"/>
          <w:color w:val="252528"/>
          <w:spacing w:val="6"/>
          <w:sz w:val="20"/>
          <w:szCs w:val="20"/>
          <w:shd w:val="clear" w:color="auto" w:fill="FFFFFF"/>
        </w:rPr>
        <w:t xml:space="preserve">Dictionary.com </w:t>
      </w:r>
      <w:hyperlink r:id="rId3" w:history="1">
        <w:r w:rsidRPr="002130C0">
          <w:rPr>
            <w:rStyle w:val="Hyperlink"/>
            <w:rFonts w:cstheme="minorHAnsi"/>
            <w:spacing w:val="6"/>
            <w:sz w:val="20"/>
            <w:szCs w:val="20"/>
            <w:shd w:val="clear" w:color="auto" w:fill="FFFFFF"/>
          </w:rPr>
          <w:t>https://www.dictionary.com/browse/demos</w:t>
        </w:r>
      </w:hyperlink>
      <w:r w:rsidR="006758AC">
        <w:rPr>
          <w:rStyle w:val="Hyperlink"/>
          <w:rFonts w:cstheme="minorHAnsi"/>
          <w:spacing w:val="6"/>
          <w:sz w:val="20"/>
          <w:szCs w:val="20"/>
          <w:shd w:val="clear" w:color="auto" w:fill="FFFFFF"/>
        </w:rPr>
        <w:t>.</w:t>
      </w:r>
      <w:r w:rsidRPr="002130C0">
        <w:rPr>
          <w:rFonts w:cstheme="minorHAnsi"/>
          <w:color w:val="252528"/>
          <w:spacing w:val="6"/>
          <w:sz w:val="20"/>
          <w:szCs w:val="20"/>
          <w:shd w:val="clear" w:color="auto" w:fill="FFFFFF"/>
        </w:rPr>
        <w:t xml:space="preserve"> The Collins Dictionary also has a relevant definition of demos as </w:t>
      </w:r>
      <w:r w:rsidRPr="002130C0">
        <w:rPr>
          <w:rFonts w:cstheme="minorHAnsi"/>
          <w:color w:val="000000"/>
          <w:sz w:val="20"/>
          <w:szCs w:val="20"/>
          <w:shd w:val="clear" w:color="auto" w:fill="FFFFFF"/>
        </w:rPr>
        <w:t>‘the people of a </w:t>
      </w:r>
      <w:hyperlink r:id="rId4" w:tooltip="Definition of nation" w:history="1">
        <w:r w:rsidRPr="002130C0">
          <w:rPr>
            <w:rFonts w:cstheme="minorHAnsi"/>
            <w:sz w:val="20"/>
            <w:szCs w:val="20"/>
            <w:bdr w:val="none" w:sz="0" w:space="0" w:color="auto" w:frame="1"/>
            <w:shd w:val="clear" w:color="auto" w:fill="FFFFFF"/>
          </w:rPr>
          <w:t>nation</w:t>
        </w:r>
      </w:hyperlink>
      <w:r w:rsidRPr="002130C0">
        <w:rPr>
          <w:rFonts w:cstheme="minorHAnsi"/>
          <w:color w:val="000000"/>
          <w:sz w:val="20"/>
          <w:szCs w:val="20"/>
          <w:shd w:val="clear" w:color="auto" w:fill="FFFFFF"/>
        </w:rPr>
        <w:t> regarded as a political unit</w:t>
      </w:r>
      <w:r w:rsidR="004E1C1A">
        <w:rPr>
          <w:rFonts w:cstheme="minorHAnsi"/>
          <w:color w:val="000000"/>
          <w:sz w:val="20"/>
          <w:szCs w:val="20"/>
          <w:shd w:val="clear" w:color="auto" w:fill="FFFFFF"/>
        </w:rPr>
        <w:t>’;</w:t>
      </w:r>
      <w:r w:rsidR="00E2426A">
        <w:rPr>
          <w:rFonts w:cstheme="minorHAnsi"/>
          <w:color w:val="000000"/>
          <w:sz w:val="20"/>
          <w:szCs w:val="20"/>
          <w:shd w:val="clear" w:color="auto" w:fill="FFFFFF"/>
        </w:rPr>
        <w:t xml:space="preserve"> see </w:t>
      </w:r>
      <w:hyperlink r:id="rId5" w:history="1">
        <w:r w:rsidR="00E2426A" w:rsidRPr="00B01C04">
          <w:rPr>
            <w:rStyle w:val="Hyperlink"/>
            <w:rFonts w:cstheme="minorHAnsi"/>
            <w:sz w:val="20"/>
            <w:szCs w:val="20"/>
            <w:shd w:val="clear" w:color="auto" w:fill="FFFFFF"/>
          </w:rPr>
          <w:t>https://www.collinsdictionary.com/dictionary/english/demos</w:t>
        </w:r>
      </w:hyperlink>
      <w:r w:rsidRPr="002130C0">
        <w:rPr>
          <w:rFonts w:cstheme="minorHAnsi"/>
          <w:color w:val="000000"/>
          <w:sz w:val="20"/>
          <w:szCs w:val="20"/>
          <w:shd w:val="clear" w:color="auto" w:fill="FFFFFF"/>
        </w:rPr>
        <w:t xml:space="preserve">, although here I am considering demos on an EU rather than national level. </w:t>
      </w:r>
    </w:p>
  </w:footnote>
  <w:footnote w:id="13">
    <w:p w14:paraId="3996784F" w14:textId="6180D67A" w:rsidR="002B0BF6" w:rsidRPr="002130C0" w:rsidRDefault="00D56EC5" w:rsidP="00CB68B8">
      <w:pPr>
        <w:spacing w:after="0" w:line="240" w:lineRule="auto"/>
        <w:textAlignment w:val="baseline"/>
        <w:rPr>
          <w:rFonts w:cstheme="minorHAnsi"/>
          <w:color w:val="000000" w:themeColor="text1"/>
          <w:sz w:val="20"/>
          <w:szCs w:val="20"/>
        </w:rPr>
      </w:pPr>
      <w:r w:rsidRPr="002130C0">
        <w:rPr>
          <w:rStyle w:val="FootnoteReference"/>
          <w:rFonts w:cstheme="minorHAnsi"/>
          <w:sz w:val="20"/>
          <w:szCs w:val="20"/>
        </w:rPr>
        <w:footnoteRef/>
      </w:r>
      <w:r w:rsidRPr="002130C0">
        <w:rPr>
          <w:rFonts w:cstheme="minorHAnsi"/>
          <w:sz w:val="20"/>
          <w:szCs w:val="20"/>
        </w:rPr>
        <w:t xml:space="preserve"> </w:t>
      </w:r>
      <w:r w:rsidR="00DC485A" w:rsidRPr="002130C0">
        <w:rPr>
          <w:rFonts w:cstheme="minorHAnsi"/>
          <w:sz w:val="20"/>
          <w:szCs w:val="20"/>
        </w:rPr>
        <w:t xml:space="preserve">Lars-Erik </w:t>
      </w:r>
      <w:proofErr w:type="spellStart"/>
      <w:r w:rsidRPr="002130C0">
        <w:rPr>
          <w:rFonts w:cstheme="minorHAnsi"/>
          <w:sz w:val="20"/>
          <w:szCs w:val="20"/>
        </w:rPr>
        <w:t>Cederman</w:t>
      </w:r>
      <w:proofErr w:type="spellEnd"/>
      <w:r w:rsidRPr="002130C0">
        <w:rPr>
          <w:rFonts w:cstheme="minorHAnsi"/>
          <w:sz w:val="20"/>
          <w:szCs w:val="20"/>
        </w:rPr>
        <w:t xml:space="preserve">, </w:t>
      </w:r>
      <w:r w:rsidR="00D43379" w:rsidRPr="002130C0">
        <w:rPr>
          <w:rFonts w:cstheme="minorHAnsi"/>
          <w:sz w:val="20"/>
          <w:szCs w:val="20"/>
        </w:rPr>
        <w:t>‘</w:t>
      </w:r>
      <w:r w:rsidRPr="002130C0">
        <w:rPr>
          <w:rFonts w:cstheme="minorHAnsi"/>
          <w:sz w:val="20"/>
          <w:szCs w:val="20"/>
        </w:rPr>
        <w:t>Nationalism and Bounded Integration: What It Would Take to Construct a</w:t>
      </w:r>
      <w:r w:rsidR="00B054AB" w:rsidRPr="002130C0">
        <w:rPr>
          <w:rFonts w:cstheme="minorHAnsi"/>
          <w:sz w:val="20"/>
          <w:szCs w:val="20"/>
        </w:rPr>
        <w:t xml:space="preserve"> </w:t>
      </w:r>
      <w:r w:rsidRPr="002130C0">
        <w:rPr>
          <w:rFonts w:cstheme="minorHAnsi"/>
          <w:sz w:val="20"/>
          <w:szCs w:val="20"/>
        </w:rPr>
        <w:t xml:space="preserve">European </w:t>
      </w:r>
      <w:r w:rsidRPr="002130C0">
        <w:rPr>
          <w:rFonts w:cstheme="minorHAnsi"/>
          <w:color w:val="000000" w:themeColor="text1"/>
          <w:sz w:val="20"/>
          <w:szCs w:val="20"/>
        </w:rPr>
        <w:t>Demos</w:t>
      </w:r>
      <w:r w:rsidR="00D43379" w:rsidRPr="002130C0">
        <w:rPr>
          <w:rFonts w:cstheme="minorHAnsi"/>
          <w:color w:val="000000" w:themeColor="text1"/>
          <w:sz w:val="20"/>
          <w:szCs w:val="20"/>
        </w:rPr>
        <w:t xml:space="preserve">’ </w:t>
      </w:r>
      <w:r w:rsidR="004E1C1A">
        <w:rPr>
          <w:rFonts w:cstheme="minorHAnsi"/>
          <w:color w:val="000000" w:themeColor="text1"/>
          <w:sz w:val="20"/>
          <w:szCs w:val="20"/>
        </w:rPr>
        <w:t>(</w:t>
      </w:r>
      <w:r w:rsidR="00D43379" w:rsidRPr="002130C0">
        <w:rPr>
          <w:rFonts w:cstheme="minorHAnsi"/>
          <w:color w:val="000000" w:themeColor="text1"/>
          <w:sz w:val="20"/>
          <w:szCs w:val="20"/>
        </w:rPr>
        <w:t>2001</w:t>
      </w:r>
      <w:r w:rsidR="004E1C1A">
        <w:rPr>
          <w:rFonts w:cstheme="minorHAnsi"/>
          <w:color w:val="000000" w:themeColor="text1"/>
          <w:sz w:val="20"/>
          <w:szCs w:val="20"/>
        </w:rPr>
        <w:t>)</w:t>
      </w:r>
      <w:r w:rsidRPr="002130C0">
        <w:rPr>
          <w:rFonts w:cstheme="minorHAnsi"/>
          <w:color w:val="000000" w:themeColor="text1"/>
          <w:sz w:val="20"/>
          <w:szCs w:val="20"/>
        </w:rPr>
        <w:t xml:space="preserve"> </w:t>
      </w:r>
      <w:r w:rsidRPr="002130C0">
        <w:rPr>
          <w:rFonts w:cstheme="minorHAnsi"/>
          <w:i/>
          <w:iCs/>
          <w:color w:val="000000" w:themeColor="text1"/>
          <w:sz w:val="20"/>
          <w:szCs w:val="20"/>
        </w:rPr>
        <w:t>European Journal of International Relations</w:t>
      </w:r>
      <w:r w:rsidRPr="002130C0">
        <w:rPr>
          <w:rFonts w:cstheme="minorHAnsi"/>
          <w:color w:val="000000" w:themeColor="text1"/>
          <w:sz w:val="20"/>
          <w:szCs w:val="20"/>
        </w:rPr>
        <w:t xml:space="preserve"> 7(2</w:t>
      </w:r>
      <w:r w:rsidR="00224E86" w:rsidRPr="002130C0">
        <w:rPr>
          <w:rFonts w:cstheme="minorHAnsi"/>
          <w:color w:val="000000" w:themeColor="text1"/>
          <w:sz w:val="20"/>
          <w:szCs w:val="20"/>
        </w:rPr>
        <w:t>)</w:t>
      </w:r>
      <w:r w:rsidR="00D43379" w:rsidRPr="002130C0">
        <w:rPr>
          <w:rFonts w:cstheme="minorHAnsi"/>
          <w:color w:val="000000" w:themeColor="text1"/>
          <w:sz w:val="20"/>
          <w:szCs w:val="20"/>
        </w:rPr>
        <w:t>,</w:t>
      </w:r>
      <w:r w:rsidRPr="002130C0">
        <w:rPr>
          <w:rFonts w:cstheme="minorHAnsi"/>
          <w:color w:val="000000" w:themeColor="text1"/>
          <w:sz w:val="20"/>
          <w:szCs w:val="20"/>
        </w:rPr>
        <w:t xml:space="preserve"> 139-174</w:t>
      </w:r>
      <w:r w:rsidR="00224E86" w:rsidRPr="002130C0">
        <w:rPr>
          <w:rFonts w:cstheme="minorHAnsi"/>
          <w:color w:val="000000" w:themeColor="text1"/>
          <w:sz w:val="20"/>
          <w:szCs w:val="20"/>
        </w:rPr>
        <w:t>.</w:t>
      </w:r>
    </w:p>
  </w:footnote>
  <w:footnote w:id="14">
    <w:p w14:paraId="3A081EC6" w14:textId="6C6C2C87" w:rsidR="00224E86" w:rsidRPr="002130C0" w:rsidRDefault="00A54767"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rPr>
        <w:t xml:space="preserve"> </w:t>
      </w:r>
      <w:r w:rsidR="00355757" w:rsidRPr="002130C0">
        <w:rPr>
          <w:rFonts w:cstheme="minorHAnsi"/>
          <w:color w:val="000000" w:themeColor="text1"/>
        </w:rPr>
        <w:t xml:space="preserve">Daniel </w:t>
      </w:r>
      <w:r w:rsidRPr="002130C0">
        <w:rPr>
          <w:rFonts w:cstheme="minorHAnsi"/>
          <w:color w:val="000000" w:themeColor="text1"/>
        </w:rPr>
        <w:t>Innerarity</w:t>
      </w:r>
      <w:r w:rsidR="00224E86" w:rsidRPr="002130C0">
        <w:rPr>
          <w:rFonts w:cstheme="minorHAnsi"/>
          <w:color w:val="000000" w:themeColor="text1"/>
        </w:rPr>
        <w:t xml:space="preserve">, </w:t>
      </w:r>
      <w:r w:rsidR="00D43379" w:rsidRPr="002130C0">
        <w:rPr>
          <w:rFonts w:cstheme="minorHAnsi"/>
          <w:color w:val="000000" w:themeColor="text1"/>
        </w:rPr>
        <w:t>‘</w:t>
      </w:r>
      <w:r w:rsidRPr="002130C0">
        <w:rPr>
          <w:rFonts w:cstheme="minorHAnsi"/>
          <w:color w:val="000000" w:themeColor="text1"/>
        </w:rPr>
        <w:t>Does Europe Need a Demos to Be Truly Democratic?</w:t>
      </w:r>
      <w:r w:rsidR="00D43379" w:rsidRPr="002130C0">
        <w:rPr>
          <w:rFonts w:cstheme="minorHAnsi"/>
          <w:color w:val="000000" w:themeColor="text1"/>
        </w:rPr>
        <w:t>’</w:t>
      </w:r>
      <w:r w:rsidR="00E2426A">
        <w:rPr>
          <w:rFonts w:cstheme="minorHAnsi"/>
          <w:color w:val="000000" w:themeColor="text1"/>
        </w:rPr>
        <w:t xml:space="preserve"> </w:t>
      </w:r>
      <w:r w:rsidR="00D43379" w:rsidRPr="002130C0">
        <w:rPr>
          <w:rFonts w:cstheme="minorHAnsi"/>
          <w:color w:val="000000" w:themeColor="text1"/>
        </w:rPr>
        <w:t xml:space="preserve">[2014] </w:t>
      </w:r>
      <w:r w:rsidR="00224E86" w:rsidRPr="002130C0">
        <w:rPr>
          <w:rFonts w:cstheme="minorHAnsi"/>
          <w:color w:val="000000" w:themeColor="text1"/>
        </w:rPr>
        <w:t>LEQS Paper No</w:t>
      </w:r>
      <w:r w:rsidR="004E1C1A">
        <w:rPr>
          <w:rFonts w:cstheme="minorHAnsi"/>
          <w:color w:val="000000" w:themeColor="text1"/>
        </w:rPr>
        <w:t xml:space="preserve"> </w:t>
      </w:r>
      <w:r w:rsidR="00224E86" w:rsidRPr="002130C0">
        <w:rPr>
          <w:rFonts w:cstheme="minorHAnsi"/>
          <w:color w:val="000000" w:themeColor="text1"/>
        </w:rPr>
        <w:t>77/2014</w:t>
      </w:r>
      <w:r w:rsidR="004E1C1A">
        <w:rPr>
          <w:rFonts w:cstheme="minorHAnsi"/>
          <w:color w:val="000000" w:themeColor="text1"/>
        </w:rPr>
        <w:t xml:space="preserve">, </w:t>
      </w:r>
      <w:r w:rsidRPr="002130C0">
        <w:rPr>
          <w:rFonts w:cstheme="minorHAnsi"/>
          <w:color w:val="000000" w:themeColor="text1"/>
        </w:rPr>
        <w:t>2</w:t>
      </w:r>
      <w:r w:rsidR="00C85E40">
        <w:rPr>
          <w:rFonts w:cstheme="minorHAnsi"/>
          <w:color w:val="000000" w:themeColor="text1"/>
        </w:rPr>
        <w:t xml:space="preserve">. </w:t>
      </w:r>
    </w:p>
  </w:footnote>
  <w:footnote w:id="15">
    <w:p w14:paraId="48B9E5A8" w14:textId="25172D91" w:rsidR="00425418" w:rsidRPr="002130C0" w:rsidRDefault="00425418" w:rsidP="00CB68B8">
      <w:pPr>
        <w:spacing w:after="0" w:line="240" w:lineRule="auto"/>
        <w:textAlignment w:val="baseline"/>
        <w:rPr>
          <w:rFonts w:cstheme="minorHAnsi"/>
          <w:color w:val="000000" w:themeColor="text1"/>
          <w:sz w:val="20"/>
          <w:szCs w:val="20"/>
        </w:rPr>
      </w:pPr>
      <w:r w:rsidRPr="002130C0">
        <w:rPr>
          <w:rStyle w:val="FootnoteReference"/>
          <w:rFonts w:cstheme="minorHAnsi"/>
          <w:color w:val="000000" w:themeColor="text1"/>
          <w:sz w:val="20"/>
          <w:szCs w:val="20"/>
        </w:rPr>
        <w:footnoteRef/>
      </w:r>
      <w:r w:rsidRPr="002130C0">
        <w:rPr>
          <w:rFonts w:cstheme="minorHAnsi"/>
          <w:color w:val="000000" w:themeColor="text1"/>
          <w:sz w:val="20"/>
          <w:szCs w:val="20"/>
        </w:rPr>
        <w:t xml:space="preserve"> </w:t>
      </w:r>
      <w:r w:rsidR="00AC6F92" w:rsidRPr="002130C0">
        <w:rPr>
          <w:rFonts w:cstheme="minorHAnsi"/>
          <w:color w:val="000000" w:themeColor="text1"/>
          <w:sz w:val="20"/>
          <w:szCs w:val="20"/>
        </w:rPr>
        <w:t xml:space="preserve">Joseph </w:t>
      </w:r>
      <w:r w:rsidR="00B054AB" w:rsidRPr="002130C0">
        <w:rPr>
          <w:rFonts w:cstheme="minorHAnsi"/>
          <w:color w:val="000000" w:themeColor="text1"/>
          <w:sz w:val="20"/>
          <w:szCs w:val="20"/>
        </w:rPr>
        <w:t xml:space="preserve">Weiler, </w:t>
      </w:r>
      <w:r w:rsidR="00B054AB" w:rsidRPr="00C85E40">
        <w:rPr>
          <w:rFonts w:cstheme="minorHAnsi"/>
          <w:i/>
          <w:iCs/>
          <w:color w:val="000000" w:themeColor="text1"/>
          <w:sz w:val="20"/>
          <w:szCs w:val="20"/>
        </w:rPr>
        <w:t>The Constitution of Europe</w:t>
      </w:r>
      <w:r w:rsidR="00B054AB" w:rsidRPr="002130C0">
        <w:rPr>
          <w:rFonts w:cstheme="minorHAnsi"/>
          <w:color w:val="000000" w:themeColor="text1"/>
          <w:sz w:val="20"/>
          <w:szCs w:val="20"/>
        </w:rPr>
        <w:t xml:space="preserve"> </w:t>
      </w:r>
      <w:r w:rsidR="001352E0">
        <w:rPr>
          <w:rFonts w:cstheme="minorHAnsi"/>
          <w:color w:val="000000" w:themeColor="text1"/>
          <w:sz w:val="20"/>
          <w:szCs w:val="20"/>
        </w:rPr>
        <w:t>(</w:t>
      </w:r>
      <w:r w:rsidR="00B054AB" w:rsidRPr="002130C0">
        <w:rPr>
          <w:rFonts w:cstheme="minorHAnsi"/>
          <w:color w:val="000000" w:themeColor="text1"/>
          <w:sz w:val="20"/>
          <w:szCs w:val="20"/>
        </w:rPr>
        <w:t>Cambridge University Press</w:t>
      </w:r>
      <w:r w:rsidR="001352E0">
        <w:rPr>
          <w:rFonts w:cstheme="minorHAnsi"/>
          <w:color w:val="000000" w:themeColor="text1"/>
          <w:sz w:val="20"/>
          <w:szCs w:val="20"/>
        </w:rPr>
        <w:t>,</w:t>
      </w:r>
      <w:r w:rsidR="00C85E40">
        <w:rPr>
          <w:rFonts w:cstheme="minorHAnsi"/>
          <w:color w:val="000000" w:themeColor="text1"/>
          <w:sz w:val="20"/>
          <w:szCs w:val="20"/>
        </w:rPr>
        <w:t xml:space="preserve"> </w:t>
      </w:r>
      <w:r w:rsidR="00D43379" w:rsidRPr="002130C0">
        <w:rPr>
          <w:rFonts w:cstheme="minorHAnsi"/>
          <w:color w:val="000000" w:themeColor="text1"/>
          <w:sz w:val="20"/>
          <w:szCs w:val="20"/>
        </w:rPr>
        <w:t>1999</w:t>
      </w:r>
      <w:r w:rsidR="00BD6A49">
        <w:rPr>
          <w:rFonts w:cstheme="minorHAnsi"/>
          <w:color w:val="000000" w:themeColor="text1"/>
          <w:sz w:val="20"/>
          <w:szCs w:val="20"/>
        </w:rPr>
        <w:t>)</w:t>
      </w:r>
      <w:r w:rsidR="00B054AB" w:rsidRPr="002130C0">
        <w:rPr>
          <w:rFonts w:cstheme="minorHAnsi"/>
          <w:color w:val="000000" w:themeColor="text1"/>
          <w:sz w:val="20"/>
          <w:szCs w:val="20"/>
        </w:rPr>
        <w:t>, 337.</w:t>
      </w:r>
      <w:r w:rsidRPr="002130C0">
        <w:rPr>
          <w:rFonts w:cstheme="minorHAnsi"/>
          <w:color w:val="000000" w:themeColor="text1"/>
          <w:sz w:val="20"/>
          <w:szCs w:val="20"/>
        </w:rPr>
        <w:t xml:space="preserve"> </w:t>
      </w:r>
    </w:p>
  </w:footnote>
  <w:footnote w:id="16">
    <w:p w14:paraId="6289491C" w14:textId="0CF52EDB" w:rsidR="00A61314" w:rsidRPr="002130C0" w:rsidRDefault="00A61314"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lang w:val="de-DE"/>
        </w:rPr>
        <w:t xml:space="preserve"> Gabriele Abels and Joyce Mushaben (eds)</w:t>
      </w:r>
      <w:r w:rsidR="00C85E40">
        <w:rPr>
          <w:rFonts w:cstheme="minorHAnsi"/>
          <w:color w:val="000000" w:themeColor="text1"/>
          <w:lang w:val="de-DE"/>
        </w:rPr>
        <w:t>,</w:t>
      </w:r>
      <w:r w:rsidRPr="002130C0">
        <w:rPr>
          <w:rFonts w:cstheme="minorHAnsi"/>
          <w:color w:val="000000" w:themeColor="text1"/>
          <w:lang w:val="de-DE"/>
        </w:rPr>
        <w:t xml:space="preserve"> </w:t>
      </w:r>
      <w:r w:rsidRPr="002130C0">
        <w:rPr>
          <w:rFonts w:cstheme="minorHAnsi"/>
          <w:i/>
          <w:iCs/>
          <w:color w:val="000000" w:themeColor="text1"/>
        </w:rPr>
        <w:t>Gendering the European Union. New Approaches to Old Democratic Deficits</w:t>
      </w:r>
      <w:r w:rsidRPr="002130C0">
        <w:rPr>
          <w:rFonts w:cstheme="minorHAnsi"/>
          <w:color w:val="000000" w:themeColor="text1"/>
        </w:rPr>
        <w:t xml:space="preserve"> (Palgrave Macmillan, 2012)</w:t>
      </w:r>
      <w:r w:rsidR="004E1C1A">
        <w:rPr>
          <w:rFonts w:cstheme="minorHAnsi"/>
          <w:color w:val="000000" w:themeColor="text1"/>
        </w:rPr>
        <w:t>,</w:t>
      </w:r>
      <w:r w:rsidRPr="002130C0">
        <w:rPr>
          <w:rFonts w:cstheme="minorHAnsi"/>
          <w:color w:val="000000" w:themeColor="text1"/>
        </w:rPr>
        <w:t xml:space="preserve"> 1.</w:t>
      </w:r>
    </w:p>
  </w:footnote>
  <w:footnote w:id="17">
    <w:p w14:paraId="47C69E6C" w14:textId="1A71959D" w:rsidR="00A61314" w:rsidRPr="002130C0" w:rsidRDefault="00A61314" w:rsidP="00CB68B8">
      <w:pPr>
        <w:pStyle w:val="FootnoteText"/>
        <w:rPr>
          <w:rFonts w:eastAsiaTheme="minorEastAsia" w:cstheme="minorHAnsi"/>
          <w:kern w:val="24"/>
        </w:rPr>
      </w:pPr>
      <w:r w:rsidRPr="002130C0">
        <w:rPr>
          <w:rStyle w:val="FootnoteReference"/>
          <w:rFonts w:cstheme="minorHAnsi"/>
          <w:color w:val="000000" w:themeColor="text1"/>
        </w:rPr>
        <w:footnoteRef/>
      </w:r>
      <w:r w:rsidRPr="002130C0">
        <w:rPr>
          <w:rFonts w:cstheme="minorHAnsi"/>
          <w:color w:val="000000" w:themeColor="text1"/>
        </w:rPr>
        <w:t xml:space="preserve"> Athena </w:t>
      </w:r>
      <w:proofErr w:type="spellStart"/>
      <w:r w:rsidRPr="002130C0">
        <w:rPr>
          <w:rFonts w:cstheme="minorHAnsi"/>
          <w:color w:val="000000" w:themeColor="text1"/>
          <w:lang w:val="en-US"/>
        </w:rPr>
        <w:t>Enderstein</w:t>
      </w:r>
      <w:proofErr w:type="spellEnd"/>
      <w:r w:rsidRPr="002130C0">
        <w:rPr>
          <w:rFonts w:cstheme="minorHAnsi"/>
          <w:color w:val="000000" w:themeColor="text1"/>
          <w:lang w:val="en-US"/>
        </w:rPr>
        <w:t xml:space="preserve">, ‘European Identity and Gender Equality Policies: Shaping the Practice of Gender Expertise’ </w:t>
      </w:r>
      <w:r w:rsidR="00FE3D01">
        <w:rPr>
          <w:rFonts w:cstheme="minorHAnsi"/>
          <w:color w:val="000000" w:themeColor="text1"/>
          <w:lang w:val="en-US"/>
        </w:rPr>
        <w:t>(</w:t>
      </w:r>
      <w:r w:rsidR="00C85E40">
        <w:rPr>
          <w:rFonts w:cstheme="minorHAnsi"/>
          <w:color w:val="000000" w:themeColor="text1"/>
          <w:lang w:val="en-US"/>
        </w:rPr>
        <w:t>2017</w:t>
      </w:r>
      <w:r w:rsidR="00FE3D01">
        <w:rPr>
          <w:rFonts w:cstheme="minorHAnsi"/>
          <w:color w:val="000000" w:themeColor="text1"/>
          <w:lang w:val="en-US"/>
        </w:rPr>
        <w:t>)</w:t>
      </w:r>
      <w:r w:rsidR="00C85E40">
        <w:rPr>
          <w:rFonts w:cstheme="minorHAnsi"/>
          <w:color w:val="000000" w:themeColor="text1"/>
          <w:lang w:val="en-US"/>
        </w:rPr>
        <w:t xml:space="preserve"> </w:t>
      </w:r>
      <w:r w:rsidRPr="002130C0">
        <w:rPr>
          <w:rFonts w:cstheme="minorHAnsi"/>
          <w:i/>
          <w:iCs/>
          <w:color w:val="000000" w:themeColor="text1"/>
          <w:lang w:val="en-US"/>
        </w:rPr>
        <w:t>Journal of Research in Gender Studies</w:t>
      </w:r>
      <w:r w:rsidRPr="002130C0">
        <w:rPr>
          <w:rFonts w:cstheme="minorHAnsi"/>
          <w:color w:val="000000" w:themeColor="text1"/>
          <w:lang w:val="en-US"/>
        </w:rPr>
        <w:t xml:space="preserve"> </w:t>
      </w:r>
      <w:r w:rsidR="00C85E40">
        <w:rPr>
          <w:rFonts w:cstheme="minorHAnsi"/>
          <w:color w:val="000000" w:themeColor="text1"/>
          <w:lang w:val="en-US"/>
        </w:rPr>
        <w:t>7(2)</w:t>
      </w:r>
      <w:r w:rsidR="00083365">
        <w:rPr>
          <w:rFonts w:cstheme="minorHAnsi"/>
          <w:color w:val="000000" w:themeColor="text1"/>
          <w:lang w:val="en-US"/>
        </w:rPr>
        <w:t xml:space="preserve">, </w:t>
      </w:r>
      <w:r w:rsidRPr="002130C0">
        <w:rPr>
          <w:rFonts w:cstheme="minorHAnsi"/>
          <w:color w:val="000000" w:themeColor="text1"/>
          <w:lang w:val="en-US"/>
        </w:rPr>
        <w:t xml:space="preserve">109-135, </w:t>
      </w:r>
      <w:r w:rsidRPr="002130C0">
        <w:rPr>
          <w:rFonts w:cstheme="minorHAnsi"/>
          <w:color w:val="000000" w:themeColor="text1"/>
        </w:rPr>
        <w:t xml:space="preserve">110, referring to Cris Shore, </w:t>
      </w:r>
      <w:r w:rsidRPr="00083365">
        <w:rPr>
          <w:rFonts w:cstheme="minorHAnsi"/>
          <w:i/>
          <w:iCs/>
        </w:rPr>
        <w:t>Building Europe. The Cultural Politics of European Integratio</w:t>
      </w:r>
      <w:r w:rsidR="00083365">
        <w:rPr>
          <w:rFonts w:cstheme="minorHAnsi"/>
          <w:i/>
          <w:iCs/>
        </w:rPr>
        <w:t>n</w:t>
      </w:r>
      <w:r w:rsidRPr="002130C0">
        <w:rPr>
          <w:rFonts w:cstheme="minorHAnsi"/>
        </w:rPr>
        <w:t xml:space="preserve"> </w:t>
      </w:r>
      <w:r w:rsidR="00083365">
        <w:rPr>
          <w:rFonts w:cstheme="minorHAnsi"/>
        </w:rPr>
        <w:t>(</w:t>
      </w:r>
      <w:r w:rsidRPr="002130C0">
        <w:rPr>
          <w:rFonts w:cstheme="minorHAnsi"/>
        </w:rPr>
        <w:t>Routledge</w:t>
      </w:r>
      <w:r w:rsidR="00F23C39">
        <w:rPr>
          <w:rFonts w:cstheme="minorHAnsi"/>
        </w:rPr>
        <w:t>, 2000</w:t>
      </w:r>
      <w:r w:rsidRPr="002130C0">
        <w:rPr>
          <w:rFonts w:cstheme="minorHAnsi"/>
        </w:rPr>
        <w:t>)</w:t>
      </w:r>
      <w:r w:rsidR="00F23C39">
        <w:rPr>
          <w:rFonts w:cstheme="minorHAnsi"/>
        </w:rPr>
        <w:t>,</w:t>
      </w:r>
      <w:r w:rsidRPr="002130C0">
        <w:rPr>
          <w:rFonts w:cstheme="minorHAnsi"/>
        </w:rPr>
        <w:t xml:space="preserve"> 19.</w:t>
      </w:r>
    </w:p>
  </w:footnote>
  <w:footnote w:id="18">
    <w:p w14:paraId="78168365" w14:textId="175CA9D0" w:rsidR="00EA0986" w:rsidRPr="002130C0" w:rsidRDefault="00EA0986" w:rsidP="00CB68B8">
      <w:pPr>
        <w:pStyle w:val="FootnoteText"/>
        <w:rPr>
          <w:rFonts w:cstheme="minorHAnsi"/>
          <w:b/>
          <w:bCs/>
        </w:rPr>
      </w:pPr>
      <w:r w:rsidRPr="002130C0">
        <w:rPr>
          <w:rStyle w:val="FootnoteReference"/>
          <w:rFonts w:cstheme="minorHAnsi"/>
          <w:b/>
          <w:bCs/>
        </w:rPr>
        <w:footnoteRef/>
      </w:r>
      <w:r w:rsidRPr="002130C0">
        <w:rPr>
          <w:rFonts w:cstheme="minorHAnsi"/>
          <w:b/>
          <w:bCs/>
        </w:rPr>
        <w:t xml:space="preserve"> </w:t>
      </w:r>
      <w:r w:rsidR="00BD075A" w:rsidRPr="002130C0">
        <w:rPr>
          <w:rFonts w:cstheme="minorHAnsi"/>
        </w:rPr>
        <w:t xml:space="preserve">Charlotte Galpin, ‘Contesting Brexit Masculinities: Pro European Activists and Feminist EU Citizenship’ </w:t>
      </w:r>
      <w:r w:rsidR="002D5D5F">
        <w:rPr>
          <w:rFonts w:cstheme="minorHAnsi"/>
        </w:rPr>
        <w:t>(</w:t>
      </w:r>
      <w:r w:rsidR="00BD075A" w:rsidRPr="002130C0">
        <w:rPr>
          <w:rFonts w:cstheme="minorHAnsi"/>
        </w:rPr>
        <w:t>2022</w:t>
      </w:r>
      <w:r w:rsidR="002D5D5F">
        <w:rPr>
          <w:rFonts w:cstheme="minorHAnsi"/>
        </w:rPr>
        <w:t xml:space="preserve">) </w:t>
      </w:r>
      <w:r w:rsidR="00BD075A" w:rsidRPr="002130C0">
        <w:rPr>
          <w:rFonts w:cstheme="minorHAnsi"/>
          <w:i/>
          <w:iCs/>
        </w:rPr>
        <w:t xml:space="preserve">Journal of Common Market Studies </w:t>
      </w:r>
      <w:r w:rsidR="00BD075A" w:rsidRPr="002130C0">
        <w:rPr>
          <w:rFonts w:cstheme="minorHAnsi"/>
        </w:rPr>
        <w:t>60(2)</w:t>
      </w:r>
      <w:r w:rsidR="002D5D5F">
        <w:rPr>
          <w:rFonts w:cstheme="minorHAnsi"/>
        </w:rPr>
        <w:t>,</w:t>
      </w:r>
      <w:r w:rsidR="00BD075A" w:rsidRPr="002130C0">
        <w:rPr>
          <w:rFonts w:cstheme="minorHAnsi"/>
        </w:rPr>
        <w:t xml:space="preserve"> 301-318, </w:t>
      </w:r>
      <w:r w:rsidR="00BD075A" w:rsidRPr="002130C0">
        <w:rPr>
          <w:rFonts w:cstheme="minorHAnsi"/>
          <w:lang w:val="en-US"/>
        </w:rPr>
        <w:t xml:space="preserve">310, </w:t>
      </w:r>
      <w:r w:rsidRPr="002130C0">
        <w:rPr>
          <w:rFonts w:cstheme="minorHAnsi"/>
        </w:rPr>
        <w:t>referring to</w:t>
      </w:r>
      <w:r w:rsidRPr="002130C0">
        <w:rPr>
          <w:rFonts w:cstheme="minorHAnsi"/>
          <w:b/>
          <w:bCs/>
        </w:rPr>
        <w:t xml:space="preserve"> </w:t>
      </w:r>
      <w:r w:rsidR="005F5891" w:rsidRPr="002130C0">
        <w:rPr>
          <w:rFonts w:cstheme="minorHAnsi"/>
        </w:rPr>
        <w:t xml:space="preserve">Columba </w:t>
      </w:r>
      <w:proofErr w:type="spellStart"/>
      <w:r w:rsidR="005F5891" w:rsidRPr="002130C0">
        <w:rPr>
          <w:rFonts w:cstheme="minorHAnsi"/>
        </w:rPr>
        <w:t>Achilleos</w:t>
      </w:r>
      <w:proofErr w:type="spellEnd"/>
      <w:r w:rsidR="005F5891" w:rsidRPr="002130C0">
        <w:rPr>
          <w:rFonts w:cstheme="minorHAnsi"/>
        </w:rPr>
        <w:t xml:space="preserve">-Sarll </w:t>
      </w:r>
      <w:r w:rsidR="0060714A">
        <w:rPr>
          <w:rFonts w:cstheme="minorHAnsi"/>
        </w:rPr>
        <w:t xml:space="preserve">and </w:t>
      </w:r>
      <w:r w:rsidR="005F5891" w:rsidRPr="002130C0">
        <w:rPr>
          <w:rFonts w:cstheme="minorHAnsi"/>
        </w:rPr>
        <w:t xml:space="preserve">Benjamin </w:t>
      </w:r>
      <w:proofErr w:type="spellStart"/>
      <w:r w:rsidR="005F5891" w:rsidRPr="002130C0">
        <w:rPr>
          <w:rFonts w:cstheme="minorHAnsi"/>
        </w:rPr>
        <w:t>Martill</w:t>
      </w:r>
      <w:proofErr w:type="spellEnd"/>
      <w:r w:rsidR="005F5891" w:rsidRPr="002130C0">
        <w:rPr>
          <w:rFonts w:cstheme="minorHAnsi"/>
        </w:rPr>
        <w:t>, ‘Toxic Masculinity: Militarism, Deal-Making and the Performance of Brexit’</w:t>
      </w:r>
      <w:r w:rsidR="002D5D5F">
        <w:rPr>
          <w:rFonts w:cstheme="minorHAnsi"/>
        </w:rPr>
        <w:t>,</w:t>
      </w:r>
      <w:r w:rsidR="005F5891" w:rsidRPr="002130C0">
        <w:rPr>
          <w:rFonts w:cstheme="minorHAnsi"/>
        </w:rPr>
        <w:t xml:space="preserve"> in Moira Dustin, Nuno Ferreira and Susan </w:t>
      </w:r>
      <w:proofErr w:type="spellStart"/>
      <w:r w:rsidR="005F5891" w:rsidRPr="002130C0">
        <w:rPr>
          <w:rFonts w:cstheme="minorHAnsi"/>
        </w:rPr>
        <w:t>Millns</w:t>
      </w:r>
      <w:proofErr w:type="spellEnd"/>
      <w:r w:rsidR="005F5891" w:rsidRPr="002130C0">
        <w:rPr>
          <w:rFonts w:cstheme="minorHAnsi"/>
        </w:rPr>
        <w:t xml:space="preserve"> (eds)</w:t>
      </w:r>
      <w:r w:rsidR="00083365">
        <w:rPr>
          <w:rFonts w:cstheme="minorHAnsi"/>
        </w:rPr>
        <w:t>,</w:t>
      </w:r>
      <w:r w:rsidR="005F5891" w:rsidRPr="002130C0">
        <w:rPr>
          <w:rFonts w:cstheme="minorHAnsi"/>
        </w:rPr>
        <w:t xml:space="preserve"> </w:t>
      </w:r>
      <w:r w:rsidR="005F5891" w:rsidRPr="002130C0">
        <w:rPr>
          <w:rFonts w:cstheme="minorHAnsi"/>
          <w:i/>
          <w:iCs/>
        </w:rPr>
        <w:t>Gender and Queer Perspectives on Brexit</w:t>
      </w:r>
      <w:r w:rsidR="005F5891" w:rsidRPr="002130C0">
        <w:rPr>
          <w:rFonts w:cstheme="minorHAnsi"/>
        </w:rPr>
        <w:t xml:space="preserve"> (Palgrave Macmillan</w:t>
      </w:r>
      <w:r w:rsidR="00083365">
        <w:rPr>
          <w:rFonts w:cstheme="minorHAnsi"/>
        </w:rPr>
        <w:t>,</w:t>
      </w:r>
      <w:r w:rsidR="005F5891" w:rsidRPr="002130C0">
        <w:rPr>
          <w:rFonts w:cstheme="minorHAnsi"/>
        </w:rPr>
        <w:t xml:space="preserve"> 2019), 15–44</w:t>
      </w:r>
      <w:r w:rsidR="00D855AD" w:rsidRPr="002130C0">
        <w:rPr>
          <w:rFonts w:cstheme="minorHAnsi"/>
        </w:rPr>
        <w:t xml:space="preserve"> and</w:t>
      </w:r>
      <w:r w:rsidR="00BE24E9" w:rsidRPr="002130C0">
        <w:rPr>
          <w:rFonts w:cstheme="minorHAnsi"/>
          <w:color w:val="1C1D1E"/>
          <w:shd w:val="clear" w:color="auto" w:fill="FFFFFF"/>
        </w:rPr>
        <w:t xml:space="preserve"> </w:t>
      </w:r>
      <w:r w:rsidR="00E91647" w:rsidRPr="002130C0">
        <w:rPr>
          <w:rFonts w:cstheme="minorHAnsi"/>
          <w:color w:val="1C1D1E"/>
          <w:shd w:val="clear" w:color="auto" w:fill="FFFFFF"/>
        </w:rPr>
        <w:t xml:space="preserve">Michael </w:t>
      </w:r>
      <w:r w:rsidR="00BE24E9" w:rsidRPr="002130C0">
        <w:rPr>
          <w:rStyle w:val="author"/>
          <w:rFonts w:cstheme="minorHAnsi"/>
          <w:color w:val="1C1D1E"/>
          <w:shd w:val="clear" w:color="auto" w:fill="FFFFFF"/>
        </w:rPr>
        <w:t xml:space="preserve">Higgins, </w:t>
      </w:r>
      <w:r w:rsidR="00BE24E9" w:rsidRPr="002130C0">
        <w:rPr>
          <w:rFonts w:cstheme="minorHAnsi"/>
          <w:color w:val="1C1D1E"/>
          <w:shd w:val="clear" w:color="auto" w:fill="FFFFFF"/>
        </w:rPr>
        <w:t>‘</w:t>
      </w:r>
      <w:r w:rsidR="00BE24E9" w:rsidRPr="002130C0">
        <w:rPr>
          <w:rStyle w:val="articletitle"/>
          <w:rFonts w:cstheme="minorHAnsi"/>
          <w:color w:val="1C1D1E"/>
          <w:shd w:val="clear" w:color="auto" w:fill="FFFFFF"/>
        </w:rPr>
        <w:t>Political Masculinities and Brexit: Men of War</w:t>
      </w:r>
      <w:r w:rsidR="00BE24E9" w:rsidRPr="002130C0">
        <w:rPr>
          <w:rFonts w:cstheme="minorHAnsi"/>
          <w:color w:val="1C1D1E"/>
          <w:shd w:val="clear" w:color="auto" w:fill="FFFFFF"/>
        </w:rPr>
        <w:t>’</w:t>
      </w:r>
      <w:r w:rsidR="00140131" w:rsidRPr="002130C0">
        <w:rPr>
          <w:rFonts w:cstheme="minorHAnsi"/>
          <w:color w:val="1C1D1E"/>
          <w:shd w:val="clear" w:color="auto" w:fill="FFFFFF"/>
        </w:rPr>
        <w:t xml:space="preserve"> </w:t>
      </w:r>
      <w:r w:rsidR="002D5D5F">
        <w:rPr>
          <w:rFonts w:cstheme="minorHAnsi"/>
          <w:color w:val="1C1D1E"/>
          <w:shd w:val="clear" w:color="auto" w:fill="FFFFFF"/>
        </w:rPr>
        <w:t>(</w:t>
      </w:r>
      <w:r w:rsidR="00140131" w:rsidRPr="002130C0">
        <w:rPr>
          <w:rFonts w:cstheme="minorHAnsi"/>
          <w:color w:val="1C1D1E"/>
          <w:shd w:val="clear" w:color="auto" w:fill="FFFFFF"/>
        </w:rPr>
        <w:t>2020</w:t>
      </w:r>
      <w:r w:rsidR="002D5D5F">
        <w:rPr>
          <w:rFonts w:cstheme="minorHAnsi"/>
          <w:color w:val="1C1D1E"/>
          <w:shd w:val="clear" w:color="auto" w:fill="FFFFFF"/>
        </w:rPr>
        <w:t>)</w:t>
      </w:r>
      <w:r w:rsidR="00BE24E9" w:rsidRPr="002130C0">
        <w:rPr>
          <w:rFonts w:cstheme="minorHAnsi"/>
          <w:color w:val="1C1D1E"/>
          <w:shd w:val="clear" w:color="auto" w:fill="FFFFFF"/>
        </w:rPr>
        <w:t> </w:t>
      </w:r>
      <w:r w:rsidR="00BE24E9" w:rsidRPr="002130C0">
        <w:rPr>
          <w:rFonts w:cstheme="minorHAnsi"/>
          <w:i/>
          <w:iCs/>
          <w:color w:val="1C1D1E"/>
          <w:shd w:val="clear" w:color="auto" w:fill="FFFFFF"/>
        </w:rPr>
        <w:t>Journal of Language and Politics</w:t>
      </w:r>
      <w:r w:rsidR="00140131" w:rsidRPr="002130C0">
        <w:rPr>
          <w:rFonts w:cstheme="minorHAnsi"/>
          <w:color w:val="1C1D1E"/>
          <w:shd w:val="clear" w:color="auto" w:fill="FFFFFF"/>
        </w:rPr>
        <w:t xml:space="preserve"> </w:t>
      </w:r>
      <w:r w:rsidR="00BE24E9" w:rsidRPr="002130C0">
        <w:rPr>
          <w:rStyle w:val="vol"/>
          <w:rFonts w:cstheme="minorHAnsi"/>
          <w:color w:val="1C1D1E"/>
          <w:shd w:val="clear" w:color="auto" w:fill="FFFFFF"/>
        </w:rPr>
        <w:t>19</w:t>
      </w:r>
      <w:r w:rsidR="00140131" w:rsidRPr="002130C0">
        <w:rPr>
          <w:rFonts w:cstheme="minorHAnsi"/>
          <w:color w:val="1C1D1E"/>
          <w:shd w:val="clear" w:color="auto" w:fill="FFFFFF"/>
        </w:rPr>
        <w:t>(</w:t>
      </w:r>
      <w:r w:rsidR="00BE24E9" w:rsidRPr="002130C0">
        <w:rPr>
          <w:rStyle w:val="citedissue"/>
          <w:rFonts w:cstheme="minorHAnsi"/>
          <w:color w:val="1C1D1E"/>
          <w:shd w:val="clear" w:color="auto" w:fill="FFFFFF"/>
        </w:rPr>
        <w:t>1</w:t>
      </w:r>
      <w:r w:rsidR="00140131" w:rsidRPr="002130C0">
        <w:rPr>
          <w:rStyle w:val="citedissue"/>
          <w:rFonts w:cstheme="minorHAnsi"/>
          <w:color w:val="1C1D1E"/>
          <w:shd w:val="clear" w:color="auto" w:fill="FFFFFF"/>
        </w:rPr>
        <w:t>)</w:t>
      </w:r>
      <w:r w:rsidR="009432F3">
        <w:rPr>
          <w:rStyle w:val="citedissue"/>
          <w:rFonts w:cstheme="minorHAnsi"/>
          <w:color w:val="1C1D1E"/>
          <w:shd w:val="clear" w:color="auto" w:fill="FFFFFF"/>
        </w:rPr>
        <w:t>,</w:t>
      </w:r>
      <w:r w:rsidR="00140131" w:rsidRPr="002130C0">
        <w:rPr>
          <w:rFonts w:cstheme="minorHAnsi"/>
          <w:color w:val="1C1D1E"/>
          <w:shd w:val="clear" w:color="auto" w:fill="FFFFFF"/>
        </w:rPr>
        <w:t xml:space="preserve"> </w:t>
      </w:r>
      <w:r w:rsidR="00BE24E9" w:rsidRPr="002130C0">
        <w:rPr>
          <w:rStyle w:val="pagefirst"/>
          <w:rFonts w:cstheme="minorHAnsi"/>
          <w:color w:val="1C1D1E"/>
          <w:shd w:val="clear" w:color="auto" w:fill="FFFFFF"/>
        </w:rPr>
        <w:t>89</w:t>
      </w:r>
      <w:r w:rsidR="009432F3">
        <w:rPr>
          <w:rFonts w:cstheme="minorHAnsi"/>
          <w:color w:val="1C1D1E"/>
          <w:shd w:val="clear" w:color="auto" w:fill="FFFFFF"/>
        </w:rPr>
        <w:t>-</w:t>
      </w:r>
      <w:r w:rsidR="00BE24E9" w:rsidRPr="002130C0">
        <w:rPr>
          <w:rStyle w:val="pagelast"/>
          <w:rFonts w:cstheme="minorHAnsi"/>
          <w:color w:val="1C1D1E"/>
          <w:shd w:val="clear" w:color="auto" w:fill="FFFFFF"/>
        </w:rPr>
        <w:t>106</w:t>
      </w:r>
      <w:r w:rsidR="00BE24E9" w:rsidRPr="002130C0">
        <w:rPr>
          <w:rFonts w:cstheme="minorHAnsi"/>
          <w:color w:val="1C1D1E"/>
          <w:shd w:val="clear" w:color="auto" w:fill="FFFFFF"/>
        </w:rPr>
        <w:t>.</w:t>
      </w:r>
      <w:r w:rsidR="00D855AD" w:rsidRPr="002130C0">
        <w:rPr>
          <w:rFonts w:cstheme="minorHAnsi"/>
        </w:rPr>
        <w:t xml:space="preserve">  </w:t>
      </w:r>
    </w:p>
  </w:footnote>
  <w:footnote w:id="19">
    <w:p w14:paraId="543D159F" w14:textId="681E2C25" w:rsidR="00C35874" w:rsidRPr="002130C0" w:rsidRDefault="00C35874"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7A2EF3" w:rsidRPr="002130C0">
        <w:rPr>
          <w:rFonts w:cstheme="minorHAnsi"/>
        </w:rPr>
        <w:t xml:space="preserve">Raewyn </w:t>
      </w:r>
      <w:r w:rsidR="005718DE" w:rsidRPr="002130C0">
        <w:rPr>
          <w:rStyle w:val="author"/>
          <w:rFonts w:cstheme="minorHAnsi"/>
          <w:color w:val="1C1D1E"/>
          <w:shd w:val="clear" w:color="auto" w:fill="FFFFFF"/>
        </w:rPr>
        <w:t>Connell,</w:t>
      </w:r>
      <w:r w:rsidR="005718DE" w:rsidRPr="002130C0">
        <w:rPr>
          <w:rFonts w:cstheme="minorHAnsi"/>
          <w:color w:val="1C1D1E"/>
          <w:shd w:val="clear" w:color="auto" w:fill="FFFFFF"/>
        </w:rPr>
        <w:t xml:space="preserve"> ‘</w:t>
      </w:r>
      <w:r w:rsidR="005718DE" w:rsidRPr="002130C0">
        <w:rPr>
          <w:rStyle w:val="articletitle"/>
          <w:rFonts w:cstheme="minorHAnsi"/>
          <w:color w:val="1C1D1E"/>
          <w:shd w:val="clear" w:color="auto" w:fill="FFFFFF"/>
        </w:rPr>
        <w:t>Masculinities and Globalization</w:t>
      </w:r>
      <w:r w:rsidR="005718DE" w:rsidRPr="002130C0">
        <w:rPr>
          <w:rFonts w:cstheme="minorHAnsi"/>
          <w:color w:val="1C1D1E"/>
          <w:shd w:val="clear" w:color="auto" w:fill="FFFFFF"/>
        </w:rPr>
        <w:t>’</w:t>
      </w:r>
      <w:r w:rsidR="004A63D1" w:rsidRPr="002130C0">
        <w:rPr>
          <w:rFonts w:cstheme="minorHAnsi"/>
          <w:color w:val="1C1D1E"/>
          <w:shd w:val="clear" w:color="auto" w:fill="FFFFFF"/>
        </w:rPr>
        <w:t xml:space="preserve"> </w:t>
      </w:r>
      <w:r w:rsidR="009432F3">
        <w:rPr>
          <w:rFonts w:cstheme="minorHAnsi"/>
          <w:color w:val="1C1D1E"/>
          <w:shd w:val="clear" w:color="auto" w:fill="FFFFFF"/>
        </w:rPr>
        <w:t>(</w:t>
      </w:r>
      <w:r w:rsidR="004A63D1" w:rsidRPr="002130C0">
        <w:rPr>
          <w:rFonts w:cstheme="minorHAnsi"/>
          <w:color w:val="1C1D1E"/>
          <w:shd w:val="clear" w:color="auto" w:fill="FFFFFF"/>
        </w:rPr>
        <w:t>1998</w:t>
      </w:r>
      <w:r w:rsidR="009432F3">
        <w:rPr>
          <w:rFonts w:cstheme="minorHAnsi"/>
          <w:color w:val="1C1D1E"/>
          <w:shd w:val="clear" w:color="auto" w:fill="FFFFFF"/>
        </w:rPr>
        <w:t>)</w:t>
      </w:r>
      <w:r w:rsidR="005718DE" w:rsidRPr="002130C0">
        <w:rPr>
          <w:rFonts w:cstheme="minorHAnsi"/>
          <w:color w:val="1C1D1E"/>
          <w:shd w:val="clear" w:color="auto" w:fill="FFFFFF"/>
        </w:rPr>
        <w:t> </w:t>
      </w:r>
      <w:r w:rsidR="005718DE" w:rsidRPr="002130C0">
        <w:rPr>
          <w:rFonts w:cstheme="minorHAnsi"/>
          <w:i/>
          <w:iCs/>
          <w:color w:val="1C1D1E"/>
          <w:shd w:val="clear" w:color="auto" w:fill="FFFFFF"/>
        </w:rPr>
        <w:t>Men and Masculinities</w:t>
      </w:r>
      <w:r w:rsidR="005718DE" w:rsidRPr="002130C0">
        <w:rPr>
          <w:rFonts w:cstheme="minorHAnsi"/>
          <w:color w:val="1C1D1E"/>
          <w:shd w:val="clear" w:color="auto" w:fill="FFFFFF"/>
        </w:rPr>
        <w:t xml:space="preserve"> </w:t>
      </w:r>
      <w:r w:rsidR="004A63D1" w:rsidRPr="002130C0">
        <w:rPr>
          <w:rFonts w:cstheme="minorHAnsi"/>
          <w:color w:val="1C1D1E"/>
          <w:shd w:val="clear" w:color="auto" w:fill="FFFFFF"/>
        </w:rPr>
        <w:t>1(1)</w:t>
      </w:r>
      <w:r w:rsidR="009432F3">
        <w:rPr>
          <w:rFonts w:cstheme="minorHAnsi"/>
          <w:color w:val="1C1D1E"/>
          <w:shd w:val="clear" w:color="auto" w:fill="FFFFFF"/>
        </w:rPr>
        <w:t>,</w:t>
      </w:r>
      <w:r w:rsidR="004A63D1" w:rsidRPr="002130C0">
        <w:rPr>
          <w:rFonts w:cstheme="minorHAnsi"/>
          <w:color w:val="1C1D1E"/>
          <w:shd w:val="clear" w:color="auto" w:fill="FFFFFF"/>
        </w:rPr>
        <w:t xml:space="preserve"> 3-23, 5.</w:t>
      </w:r>
      <w:r w:rsidR="005718DE" w:rsidRPr="002130C0">
        <w:rPr>
          <w:rFonts w:cstheme="minorHAnsi"/>
          <w:color w:val="1C1D1E"/>
          <w:shd w:val="clear" w:color="auto" w:fill="FFFFFF"/>
        </w:rPr>
        <w:t xml:space="preserve"> </w:t>
      </w:r>
    </w:p>
  </w:footnote>
  <w:footnote w:id="20">
    <w:p w14:paraId="77483FB9" w14:textId="4D986266" w:rsidR="0008457C" w:rsidRPr="002130C0" w:rsidRDefault="0008457C" w:rsidP="00CB68B8">
      <w:pPr>
        <w:pStyle w:val="FootnoteText"/>
        <w:rPr>
          <w:rFonts w:cstheme="minorHAnsi"/>
        </w:rPr>
      </w:pPr>
      <w:r w:rsidRPr="002130C0">
        <w:rPr>
          <w:rStyle w:val="FootnoteReference"/>
          <w:rFonts w:cstheme="minorHAnsi"/>
        </w:rPr>
        <w:footnoteRef/>
      </w:r>
      <w:r w:rsidRPr="002130C0">
        <w:rPr>
          <w:rFonts w:cstheme="minorHAnsi"/>
        </w:rPr>
        <w:t xml:space="preserve"> Galpin </w:t>
      </w:r>
      <w:r w:rsidR="00813766">
        <w:rPr>
          <w:rFonts w:cstheme="minorHAnsi"/>
        </w:rPr>
        <w:t>(</w:t>
      </w:r>
      <w:r w:rsidR="003D55C7" w:rsidRPr="002130C0">
        <w:rPr>
          <w:rFonts w:cstheme="minorHAnsi"/>
        </w:rPr>
        <w:t>n</w:t>
      </w:r>
      <w:r w:rsidR="003D4726">
        <w:rPr>
          <w:rFonts w:cstheme="minorHAnsi"/>
        </w:rPr>
        <w:t>17</w:t>
      </w:r>
      <w:r w:rsidR="00813766">
        <w:rPr>
          <w:rFonts w:cstheme="minorHAnsi"/>
        </w:rPr>
        <w:t>)</w:t>
      </w:r>
      <w:r w:rsidR="00321D8F">
        <w:rPr>
          <w:rFonts w:cstheme="minorHAnsi"/>
        </w:rPr>
        <w:t>,</w:t>
      </w:r>
      <w:r w:rsidR="003D55C7" w:rsidRPr="002130C0">
        <w:rPr>
          <w:rFonts w:cstheme="minorHAnsi"/>
        </w:rPr>
        <w:t xml:space="preserve"> 301 </w:t>
      </w:r>
      <w:r w:rsidRPr="002130C0">
        <w:rPr>
          <w:rFonts w:cstheme="minorHAnsi"/>
        </w:rPr>
        <w:t xml:space="preserve">referencing </w:t>
      </w:r>
      <w:r w:rsidR="00C1317A" w:rsidRPr="002130C0">
        <w:rPr>
          <w:rFonts w:cstheme="minorHAnsi"/>
        </w:rPr>
        <w:t xml:space="preserve">Roberta </w:t>
      </w:r>
      <w:proofErr w:type="spellStart"/>
      <w:r w:rsidR="00C1317A" w:rsidRPr="002130C0">
        <w:rPr>
          <w:rFonts w:cstheme="minorHAnsi"/>
        </w:rPr>
        <w:t>Guerrina</w:t>
      </w:r>
      <w:proofErr w:type="spellEnd"/>
      <w:r w:rsidR="00C1317A" w:rsidRPr="002130C0">
        <w:rPr>
          <w:rFonts w:cstheme="minorHAnsi"/>
        </w:rPr>
        <w:t xml:space="preserve">, </w:t>
      </w:r>
      <w:proofErr w:type="spellStart"/>
      <w:r w:rsidR="00C1317A" w:rsidRPr="002130C0">
        <w:rPr>
          <w:rFonts w:cstheme="minorHAnsi"/>
        </w:rPr>
        <w:t>Theophonos</w:t>
      </w:r>
      <w:proofErr w:type="spellEnd"/>
      <w:r w:rsidR="00C1317A" w:rsidRPr="002130C0">
        <w:rPr>
          <w:rFonts w:cstheme="minorHAnsi"/>
        </w:rPr>
        <w:t xml:space="preserve"> </w:t>
      </w:r>
      <w:proofErr w:type="spellStart"/>
      <w:r w:rsidR="00C1317A" w:rsidRPr="002130C0">
        <w:rPr>
          <w:rFonts w:cstheme="minorHAnsi"/>
        </w:rPr>
        <w:t>Exadaktylos</w:t>
      </w:r>
      <w:proofErr w:type="spellEnd"/>
      <w:r w:rsidR="00C1317A" w:rsidRPr="002130C0">
        <w:rPr>
          <w:rFonts w:cstheme="minorHAnsi"/>
        </w:rPr>
        <w:t xml:space="preserve">, and Simona Guerra, ‘Gender, Ownership and Engagement </w:t>
      </w:r>
      <w:r w:rsidR="00321D8F">
        <w:rPr>
          <w:rFonts w:cstheme="minorHAnsi"/>
        </w:rPr>
        <w:t>D</w:t>
      </w:r>
      <w:r w:rsidR="00C1317A" w:rsidRPr="002130C0">
        <w:rPr>
          <w:rFonts w:cstheme="minorHAnsi"/>
        </w:rPr>
        <w:t xml:space="preserve">uring the European Union Referendum: Gendered Frames and the Reproduction of Binaries’ </w:t>
      </w:r>
      <w:r w:rsidR="00321D8F">
        <w:rPr>
          <w:rFonts w:cstheme="minorHAnsi"/>
        </w:rPr>
        <w:t>(</w:t>
      </w:r>
      <w:r w:rsidR="00C1317A" w:rsidRPr="002130C0">
        <w:rPr>
          <w:rFonts w:cstheme="minorHAnsi"/>
        </w:rPr>
        <w:t>2018</w:t>
      </w:r>
      <w:r w:rsidR="00321D8F">
        <w:rPr>
          <w:rFonts w:cstheme="minorHAnsi"/>
        </w:rPr>
        <w:t>)</w:t>
      </w:r>
      <w:r w:rsidR="00C1317A" w:rsidRPr="002130C0">
        <w:rPr>
          <w:rFonts w:cstheme="minorHAnsi"/>
        </w:rPr>
        <w:t xml:space="preserve"> </w:t>
      </w:r>
      <w:r w:rsidR="00C1317A" w:rsidRPr="002130C0">
        <w:rPr>
          <w:rFonts w:cstheme="minorHAnsi"/>
          <w:i/>
          <w:iCs/>
        </w:rPr>
        <w:t>European Journal of Politics and Gender</w:t>
      </w:r>
      <w:r w:rsidR="00C1317A" w:rsidRPr="002130C0">
        <w:rPr>
          <w:rFonts w:cstheme="minorHAnsi"/>
        </w:rPr>
        <w:t xml:space="preserve"> 1(3)</w:t>
      </w:r>
      <w:r w:rsidR="00321D8F">
        <w:rPr>
          <w:rFonts w:cstheme="minorHAnsi"/>
        </w:rPr>
        <w:t>,</w:t>
      </w:r>
      <w:r w:rsidR="00C1317A" w:rsidRPr="002130C0">
        <w:rPr>
          <w:rFonts w:cstheme="minorHAnsi"/>
        </w:rPr>
        <w:t xml:space="preserve"> 387</w:t>
      </w:r>
      <w:r w:rsidR="00321D8F">
        <w:rPr>
          <w:rFonts w:cstheme="minorHAnsi"/>
        </w:rPr>
        <w:t>-</w:t>
      </w:r>
      <w:r w:rsidR="00C1317A" w:rsidRPr="002130C0">
        <w:rPr>
          <w:rFonts w:cstheme="minorHAnsi"/>
        </w:rPr>
        <w:t>404.</w:t>
      </w:r>
    </w:p>
  </w:footnote>
  <w:footnote w:id="21">
    <w:p w14:paraId="4E6917DA" w14:textId="4D88A425" w:rsidR="00760FB9" w:rsidRPr="002130C0" w:rsidRDefault="00760FB9"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DD729E" w:rsidRPr="002130C0">
        <w:rPr>
          <w:rFonts w:cstheme="minorHAnsi"/>
        </w:rPr>
        <w:t xml:space="preserve">Galpin </w:t>
      </w:r>
      <w:r w:rsidR="00813766">
        <w:rPr>
          <w:rFonts w:cstheme="minorHAnsi"/>
        </w:rPr>
        <w:t>(</w:t>
      </w:r>
      <w:r w:rsidR="00DD729E" w:rsidRPr="002130C0">
        <w:rPr>
          <w:rFonts w:cstheme="minorHAnsi"/>
        </w:rPr>
        <w:t>n</w:t>
      </w:r>
      <w:r w:rsidR="003D4726">
        <w:rPr>
          <w:rFonts w:cstheme="minorHAnsi"/>
        </w:rPr>
        <w:t>17</w:t>
      </w:r>
      <w:r w:rsidR="00813766">
        <w:rPr>
          <w:rFonts w:cstheme="minorHAnsi"/>
        </w:rPr>
        <w:t>)</w:t>
      </w:r>
      <w:r w:rsidR="00EE68AE">
        <w:rPr>
          <w:rFonts w:cstheme="minorHAnsi"/>
        </w:rPr>
        <w:t>,</w:t>
      </w:r>
      <w:r w:rsidR="00DD729E" w:rsidRPr="002130C0">
        <w:rPr>
          <w:rFonts w:cstheme="minorHAnsi"/>
        </w:rPr>
        <w:t xml:space="preserve"> 311. </w:t>
      </w:r>
      <w:r w:rsidRPr="002130C0">
        <w:rPr>
          <w:rFonts w:cstheme="minorHAnsi"/>
        </w:rPr>
        <w:t xml:space="preserve"> </w:t>
      </w:r>
    </w:p>
  </w:footnote>
  <w:footnote w:id="22">
    <w:p w14:paraId="76CD0E74" w14:textId="63D9D038" w:rsidR="00760FB9" w:rsidRPr="002130C0" w:rsidRDefault="00760FB9" w:rsidP="00CB68B8">
      <w:pPr>
        <w:spacing w:after="0" w:line="240" w:lineRule="auto"/>
        <w:textAlignment w:val="baseline"/>
        <w:rPr>
          <w:rFonts w:cstheme="minorHAnsi"/>
          <w:sz w:val="20"/>
          <w:szCs w:val="20"/>
        </w:rPr>
      </w:pPr>
      <w:r w:rsidRPr="002130C0">
        <w:rPr>
          <w:rStyle w:val="FootnoteReference"/>
          <w:rFonts w:cstheme="minorHAnsi"/>
          <w:sz w:val="20"/>
          <w:szCs w:val="20"/>
        </w:rPr>
        <w:footnoteRef/>
      </w:r>
      <w:r w:rsidRPr="002130C0">
        <w:rPr>
          <w:rFonts w:cstheme="minorHAnsi"/>
          <w:sz w:val="20"/>
          <w:szCs w:val="20"/>
        </w:rPr>
        <w:t xml:space="preserve"> </w:t>
      </w:r>
      <w:r w:rsidR="00F40990">
        <w:rPr>
          <w:rFonts w:cstheme="minorHAnsi"/>
          <w:sz w:val="20"/>
          <w:szCs w:val="20"/>
        </w:rPr>
        <w:t>Ibid</w:t>
      </w:r>
      <w:r w:rsidR="00EE68AE">
        <w:rPr>
          <w:rFonts w:cstheme="minorHAnsi"/>
          <w:sz w:val="20"/>
          <w:szCs w:val="20"/>
        </w:rPr>
        <w:t>,</w:t>
      </w:r>
      <w:r w:rsidRPr="002130C0">
        <w:rPr>
          <w:rFonts w:cstheme="minorHAnsi"/>
          <w:sz w:val="20"/>
          <w:szCs w:val="20"/>
        </w:rPr>
        <w:t xml:space="preserve"> 301</w:t>
      </w:r>
      <w:r w:rsidR="00321D8F">
        <w:rPr>
          <w:rFonts w:cstheme="minorHAnsi"/>
          <w:sz w:val="20"/>
          <w:szCs w:val="20"/>
        </w:rPr>
        <w:t>-</w:t>
      </w:r>
      <w:r w:rsidRPr="002130C0">
        <w:rPr>
          <w:rFonts w:cstheme="minorHAnsi"/>
          <w:sz w:val="20"/>
          <w:szCs w:val="20"/>
        </w:rPr>
        <w:t xml:space="preserve">302 referring to </w:t>
      </w:r>
      <w:proofErr w:type="spellStart"/>
      <w:r w:rsidRPr="002130C0">
        <w:rPr>
          <w:rFonts w:cstheme="minorHAnsi"/>
          <w:sz w:val="20"/>
          <w:szCs w:val="20"/>
        </w:rPr>
        <w:t>Achilleos</w:t>
      </w:r>
      <w:proofErr w:type="spellEnd"/>
      <w:r w:rsidRPr="002130C0">
        <w:rPr>
          <w:rFonts w:cstheme="minorHAnsi"/>
          <w:sz w:val="20"/>
          <w:szCs w:val="20"/>
        </w:rPr>
        <w:t xml:space="preserve">-Sarll and </w:t>
      </w:r>
      <w:proofErr w:type="spellStart"/>
      <w:r w:rsidRPr="002130C0">
        <w:rPr>
          <w:rFonts w:cstheme="minorHAnsi"/>
          <w:sz w:val="20"/>
          <w:szCs w:val="20"/>
        </w:rPr>
        <w:t>Martill</w:t>
      </w:r>
      <w:proofErr w:type="spellEnd"/>
      <w:r w:rsidRPr="002130C0">
        <w:rPr>
          <w:rFonts w:cstheme="minorHAnsi"/>
          <w:sz w:val="20"/>
          <w:szCs w:val="20"/>
        </w:rPr>
        <w:t xml:space="preserve"> (n1</w:t>
      </w:r>
      <w:r w:rsidR="00662550">
        <w:rPr>
          <w:rFonts w:cstheme="minorHAnsi"/>
          <w:sz w:val="20"/>
          <w:szCs w:val="20"/>
        </w:rPr>
        <w:t>7</w:t>
      </w:r>
      <w:r w:rsidRPr="002130C0">
        <w:rPr>
          <w:rFonts w:cstheme="minorHAnsi"/>
          <w:sz w:val="20"/>
          <w:szCs w:val="20"/>
        </w:rPr>
        <w:t xml:space="preserve">), 32. </w:t>
      </w:r>
    </w:p>
  </w:footnote>
  <w:footnote w:id="23">
    <w:p w14:paraId="19B99A97" w14:textId="4A26DCA4" w:rsidR="00570D63" w:rsidRPr="002130C0" w:rsidRDefault="00570D63"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Pr="002130C0">
        <w:rPr>
          <w:rFonts w:cstheme="minorHAnsi"/>
          <w:lang w:val="en-US"/>
        </w:rPr>
        <w:t>Ibi</w:t>
      </w:r>
      <w:r w:rsidR="0047354F">
        <w:rPr>
          <w:rFonts w:cstheme="minorHAnsi"/>
          <w:lang w:val="en-US"/>
        </w:rPr>
        <w:t>d,</w:t>
      </w:r>
      <w:r w:rsidRPr="002130C0">
        <w:rPr>
          <w:rFonts w:cstheme="minorHAnsi"/>
          <w:lang w:val="en-US"/>
        </w:rPr>
        <w:t xml:space="preserve"> </w:t>
      </w:r>
      <w:r w:rsidR="007861E7" w:rsidRPr="002130C0">
        <w:rPr>
          <w:rFonts w:cstheme="minorHAnsi"/>
          <w:lang w:val="en-US"/>
        </w:rPr>
        <w:t>310.</w:t>
      </w:r>
    </w:p>
  </w:footnote>
  <w:footnote w:id="24">
    <w:p w14:paraId="20326E96" w14:textId="3E759677" w:rsidR="008023A5" w:rsidRPr="002130C0" w:rsidRDefault="008023A5"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F40990">
        <w:rPr>
          <w:rFonts w:cstheme="minorHAnsi"/>
        </w:rPr>
        <w:t>Ibid</w:t>
      </w:r>
      <w:r w:rsidR="007861E7" w:rsidRPr="002130C0">
        <w:rPr>
          <w:rFonts w:cstheme="minorHAnsi"/>
        </w:rPr>
        <w:t>.</w:t>
      </w:r>
    </w:p>
  </w:footnote>
  <w:footnote w:id="25">
    <w:p w14:paraId="699AF842" w14:textId="0C35FDCD" w:rsidR="00131817" w:rsidRPr="002130C0" w:rsidRDefault="00131817"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84456B">
        <w:rPr>
          <w:rFonts w:cstheme="minorHAnsi"/>
        </w:rPr>
        <w:t>Ibid</w:t>
      </w:r>
      <w:r w:rsidR="00F40990">
        <w:rPr>
          <w:rFonts w:cstheme="minorHAnsi"/>
        </w:rPr>
        <w:t>,</w:t>
      </w:r>
      <w:r w:rsidR="0084456B">
        <w:rPr>
          <w:rFonts w:cstheme="minorHAnsi"/>
        </w:rPr>
        <w:t xml:space="preserve"> </w:t>
      </w:r>
      <w:r w:rsidRPr="002130C0">
        <w:rPr>
          <w:rFonts w:cstheme="minorHAnsi"/>
          <w:lang w:val="en-US"/>
        </w:rPr>
        <w:t xml:space="preserve">311 to describe arch-Brexiteer Jacob Rees-Mogg. </w:t>
      </w:r>
    </w:p>
  </w:footnote>
  <w:footnote w:id="26">
    <w:p w14:paraId="51B2BEAA" w14:textId="0E564D29" w:rsidR="004106E1" w:rsidRPr="002130C0" w:rsidRDefault="004106E1"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84456B">
        <w:rPr>
          <w:rFonts w:cstheme="minorHAnsi"/>
        </w:rPr>
        <w:t>Ibid</w:t>
      </w:r>
      <w:r w:rsidR="00F40990">
        <w:rPr>
          <w:rFonts w:cstheme="minorHAnsi"/>
        </w:rPr>
        <w:t>,</w:t>
      </w:r>
      <w:r w:rsidR="00B054AB" w:rsidRPr="002130C0">
        <w:rPr>
          <w:rFonts w:cstheme="minorHAnsi"/>
        </w:rPr>
        <w:t xml:space="preserve"> </w:t>
      </w:r>
      <w:r w:rsidRPr="002130C0">
        <w:rPr>
          <w:rFonts w:cstheme="minorHAnsi"/>
          <w:lang w:val="en-US"/>
        </w:rPr>
        <w:t>310.</w:t>
      </w:r>
    </w:p>
  </w:footnote>
  <w:footnote w:id="27">
    <w:p w14:paraId="6D500D19" w14:textId="77777777" w:rsidR="001037E7" w:rsidRPr="002130C0" w:rsidRDefault="001037E7"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Pr="002130C0">
        <w:rPr>
          <w:rFonts w:cstheme="minorHAnsi"/>
          <w:lang w:val="en-US"/>
        </w:rPr>
        <w:t xml:space="preserve">Ibid.  </w:t>
      </w:r>
    </w:p>
  </w:footnote>
  <w:footnote w:id="28">
    <w:p w14:paraId="3313700B" w14:textId="3A9056FF" w:rsidR="001037E7" w:rsidRPr="002130C0" w:rsidRDefault="001037E7"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ED41BC" w:rsidRPr="002130C0">
        <w:rPr>
          <w:rFonts w:cstheme="minorHAnsi"/>
        </w:rPr>
        <w:t xml:space="preserve">Koen </w:t>
      </w:r>
      <w:proofErr w:type="spellStart"/>
      <w:r w:rsidRPr="002130C0">
        <w:rPr>
          <w:rFonts w:cstheme="minorHAnsi"/>
        </w:rPr>
        <w:t>Slootmaeckers</w:t>
      </w:r>
      <w:proofErr w:type="spellEnd"/>
      <w:r w:rsidRPr="002130C0">
        <w:rPr>
          <w:rFonts w:cstheme="minorHAnsi"/>
        </w:rPr>
        <w:t xml:space="preserve">, ‘Constructing European Union Identity through LGBT Equality Promotion: Crises and Shifting Othering Processes in the European Union Enlargement’ </w:t>
      </w:r>
      <w:r w:rsidR="0047354F">
        <w:rPr>
          <w:rFonts w:cstheme="minorHAnsi"/>
        </w:rPr>
        <w:t>(</w:t>
      </w:r>
      <w:r w:rsidR="00D43379" w:rsidRPr="002130C0">
        <w:rPr>
          <w:rFonts w:cstheme="minorHAnsi"/>
        </w:rPr>
        <w:t>2020</w:t>
      </w:r>
      <w:r w:rsidR="0047354F">
        <w:rPr>
          <w:rFonts w:cstheme="minorHAnsi"/>
        </w:rPr>
        <w:t>)</w:t>
      </w:r>
      <w:r w:rsidR="00D43379" w:rsidRPr="002130C0">
        <w:rPr>
          <w:rFonts w:cstheme="minorHAnsi"/>
        </w:rPr>
        <w:t xml:space="preserve"> </w:t>
      </w:r>
      <w:r w:rsidRPr="002130C0">
        <w:rPr>
          <w:rFonts w:cstheme="minorHAnsi"/>
          <w:i/>
          <w:iCs/>
        </w:rPr>
        <w:t>Political Studies Review</w:t>
      </w:r>
      <w:r w:rsidRPr="002130C0">
        <w:rPr>
          <w:rFonts w:cstheme="minorHAnsi"/>
        </w:rPr>
        <w:t xml:space="preserve"> </w:t>
      </w:r>
      <w:r w:rsidR="00D43379" w:rsidRPr="002130C0">
        <w:rPr>
          <w:rFonts w:cstheme="minorHAnsi"/>
        </w:rPr>
        <w:t xml:space="preserve">18(3), </w:t>
      </w:r>
      <w:r w:rsidRPr="002130C0">
        <w:rPr>
          <w:rFonts w:cstheme="minorHAnsi"/>
        </w:rPr>
        <w:t>346</w:t>
      </w:r>
      <w:r w:rsidR="006B57C5">
        <w:rPr>
          <w:rFonts w:cstheme="minorHAnsi"/>
        </w:rPr>
        <w:t>-3</w:t>
      </w:r>
      <w:r w:rsidRPr="002130C0">
        <w:rPr>
          <w:rFonts w:cstheme="minorHAnsi"/>
        </w:rPr>
        <w:t>61, 354.</w:t>
      </w:r>
    </w:p>
  </w:footnote>
  <w:footnote w:id="29">
    <w:p w14:paraId="19BE0B7B" w14:textId="7F02C4DA" w:rsidR="00F20345" w:rsidRPr="002130C0" w:rsidRDefault="00001BED" w:rsidP="00CB68B8">
      <w:pPr>
        <w:pStyle w:val="FootnoteText"/>
        <w:rPr>
          <w:rFonts w:eastAsia="Times New Roman" w:cstheme="minorHAnsi"/>
          <w:lang w:eastAsia="en-GB"/>
        </w:rPr>
      </w:pPr>
      <w:r w:rsidRPr="002130C0">
        <w:rPr>
          <w:rStyle w:val="FootnoteReference"/>
          <w:rFonts w:cstheme="minorHAnsi"/>
        </w:rPr>
        <w:footnoteRef/>
      </w:r>
      <w:r w:rsidRPr="002130C0">
        <w:rPr>
          <w:rFonts w:cstheme="minorHAnsi"/>
        </w:rPr>
        <w:t xml:space="preserve"> </w:t>
      </w:r>
      <w:r w:rsidR="00B054AB" w:rsidRPr="002130C0">
        <w:rPr>
          <w:rFonts w:eastAsia="Times New Roman" w:cstheme="minorHAnsi"/>
          <w:lang w:eastAsia="en-GB"/>
        </w:rPr>
        <w:t>Aristotle</w:t>
      </w:r>
      <w:r w:rsidR="0047354F">
        <w:rPr>
          <w:rFonts w:eastAsia="Times New Roman" w:cstheme="minorHAnsi"/>
          <w:lang w:eastAsia="en-GB"/>
        </w:rPr>
        <w:t>,</w:t>
      </w:r>
      <w:r w:rsidR="00B054AB" w:rsidRPr="002130C0">
        <w:rPr>
          <w:rFonts w:eastAsia="Times New Roman" w:cstheme="minorHAnsi"/>
          <w:lang w:eastAsia="en-GB"/>
        </w:rPr>
        <w:t xml:space="preserve"> </w:t>
      </w:r>
      <w:r w:rsidR="00B054AB" w:rsidRPr="002130C0">
        <w:rPr>
          <w:rFonts w:eastAsia="Times New Roman" w:cstheme="minorHAnsi"/>
          <w:i/>
          <w:iCs/>
          <w:lang w:eastAsia="en-GB"/>
        </w:rPr>
        <w:t>Politics</w:t>
      </w:r>
      <w:r w:rsidR="00B054AB" w:rsidRPr="002130C0">
        <w:rPr>
          <w:rFonts w:eastAsia="Times New Roman" w:cstheme="minorHAnsi"/>
          <w:lang w:eastAsia="en-GB"/>
        </w:rPr>
        <w:t>,</w:t>
      </w:r>
      <w:r w:rsidR="00F20345" w:rsidRPr="002130C0">
        <w:rPr>
          <w:rFonts w:eastAsia="Times New Roman" w:cstheme="minorHAnsi"/>
          <w:lang w:eastAsia="en-GB"/>
        </w:rPr>
        <w:t xml:space="preserve"> </w:t>
      </w:r>
      <w:r w:rsidR="0047354F">
        <w:rPr>
          <w:rFonts w:eastAsia="Times New Roman" w:cstheme="minorHAnsi"/>
          <w:lang w:eastAsia="en-GB"/>
        </w:rPr>
        <w:t xml:space="preserve">Book 1, </w:t>
      </w:r>
      <w:r w:rsidR="00F20345" w:rsidRPr="002130C0">
        <w:rPr>
          <w:rFonts w:eastAsia="Times New Roman" w:cstheme="minorHAnsi"/>
          <w:lang w:eastAsia="en-GB"/>
        </w:rPr>
        <w:t>section 1253a</w:t>
      </w:r>
      <w:r w:rsidR="00B054AB" w:rsidRPr="002130C0">
        <w:rPr>
          <w:rFonts w:eastAsia="Times New Roman" w:cstheme="minorHAnsi"/>
          <w:lang w:eastAsia="en-GB"/>
        </w:rPr>
        <w:t xml:space="preserve"> </w:t>
      </w:r>
      <w:r w:rsidR="00D43379" w:rsidRPr="002130C0">
        <w:rPr>
          <w:rFonts w:eastAsia="Times New Roman" w:cstheme="minorHAnsi"/>
          <w:lang w:eastAsia="en-GB"/>
        </w:rPr>
        <w:t xml:space="preserve">states </w:t>
      </w:r>
      <w:r w:rsidR="00B054AB" w:rsidRPr="002130C0">
        <w:rPr>
          <w:rFonts w:eastAsia="Times New Roman" w:cstheme="minorHAnsi"/>
          <w:lang w:eastAsia="en-GB"/>
        </w:rPr>
        <w:t>that man is a social animal and for the development of his personality he needs to participate in affairs of the polis.</w:t>
      </w:r>
    </w:p>
  </w:footnote>
  <w:footnote w:id="30">
    <w:p w14:paraId="1924211A" w14:textId="7BB5C3CA" w:rsidR="005F116D" w:rsidRPr="002130C0" w:rsidRDefault="005F116D"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E9141D" w:rsidRPr="002130C0">
        <w:rPr>
          <w:rFonts w:cstheme="minorHAnsi"/>
        </w:rPr>
        <w:t xml:space="preserve">Thomas Humphrey </w:t>
      </w:r>
      <w:r w:rsidR="00F20345" w:rsidRPr="002130C0">
        <w:rPr>
          <w:rFonts w:cstheme="minorHAnsi"/>
        </w:rPr>
        <w:t>M</w:t>
      </w:r>
      <w:r w:rsidR="00F20345" w:rsidRPr="002130C0">
        <w:rPr>
          <w:rFonts w:cstheme="minorHAnsi"/>
          <w:shd w:val="clear" w:color="auto" w:fill="FFFFFF"/>
        </w:rPr>
        <w:t xml:space="preserve">arshall, </w:t>
      </w:r>
      <w:r w:rsidR="00F20345" w:rsidRPr="002130C0">
        <w:rPr>
          <w:rFonts w:cstheme="minorHAnsi"/>
          <w:i/>
          <w:iCs/>
          <w:shd w:val="clear" w:color="auto" w:fill="FFFFFF"/>
        </w:rPr>
        <w:t>Citizenship and Social Class: And Other Essays</w:t>
      </w:r>
      <w:r w:rsidR="00F20345" w:rsidRPr="002130C0">
        <w:rPr>
          <w:rFonts w:cstheme="minorHAnsi"/>
          <w:shd w:val="clear" w:color="auto" w:fill="FFFFFF"/>
        </w:rPr>
        <w:t xml:space="preserve"> </w:t>
      </w:r>
      <w:r w:rsidR="00D43379" w:rsidRPr="002130C0">
        <w:rPr>
          <w:rFonts w:cstheme="minorHAnsi"/>
          <w:shd w:val="clear" w:color="auto" w:fill="FFFFFF"/>
        </w:rPr>
        <w:t>(</w:t>
      </w:r>
      <w:r w:rsidR="00F20345" w:rsidRPr="002130C0">
        <w:rPr>
          <w:rFonts w:cstheme="minorHAnsi"/>
          <w:shd w:val="clear" w:color="auto" w:fill="FFFFFF"/>
        </w:rPr>
        <w:t>Cambridge University Press</w:t>
      </w:r>
      <w:r w:rsidR="00D43379" w:rsidRPr="002130C0">
        <w:rPr>
          <w:rFonts w:cstheme="minorHAnsi"/>
          <w:shd w:val="clear" w:color="auto" w:fill="FFFFFF"/>
        </w:rPr>
        <w:t>, 1950)</w:t>
      </w:r>
      <w:r w:rsidR="00F20345" w:rsidRPr="002130C0">
        <w:rPr>
          <w:rFonts w:cstheme="minorHAnsi"/>
          <w:shd w:val="clear" w:color="auto" w:fill="FFFFFF"/>
        </w:rPr>
        <w:t>.</w:t>
      </w:r>
    </w:p>
  </w:footnote>
  <w:footnote w:id="31">
    <w:p w14:paraId="2F43552D" w14:textId="3E0E7587" w:rsidR="00001BED" w:rsidRPr="002130C0" w:rsidRDefault="00001BED"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B835FA" w:rsidRPr="002130C0">
        <w:rPr>
          <w:rFonts w:cstheme="minorHAnsi"/>
          <w:shd w:val="clear" w:color="auto" w:fill="FFFFFF"/>
        </w:rPr>
        <w:t>Ibid,</w:t>
      </w:r>
      <w:r w:rsidRPr="002130C0">
        <w:rPr>
          <w:rFonts w:cstheme="minorHAnsi"/>
          <w:shd w:val="clear" w:color="auto" w:fill="FFFFFF"/>
        </w:rPr>
        <w:t xml:space="preserve"> 72</w:t>
      </w:r>
      <w:r w:rsidR="00D43379" w:rsidRPr="002130C0">
        <w:rPr>
          <w:rFonts w:cstheme="minorHAnsi"/>
          <w:shd w:val="clear" w:color="auto" w:fill="FFFFFF"/>
        </w:rPr>
        <w:t>.</w:t>
      </w:r>
    </w:p>
  </w:footnote>
  <w:footnote w:id="32">
    <w:p w14:paraId="33F656A5" w14:textId="4E663D64" w:rsidR="00EA2563" w:rsidRPr="002130C0" w:rsidRDefault="00EA2563" w:rsidP="00CB68B8">
      <w:pPr>
        <w:pStyle w:val="FootnoteText"/>
        <w:rPr>
          <w:rFonts w:eastAsia="Times New Roman" w:cstheme="minorHAnsi"/>
          <w:lang w:eastAsia="en-GB"/>
        </w:rPr>
      </w:pPr>
      <w:r w:rsidRPr="002130C0">
        <w:rPr>
          <w:rStyle w:val="FootnoteReference"/>
          <w:rFonts w:cstheme="minorHAnsi"/>
        </w:rPr>
        <w:footnoteRef/>
      </w:r>
      <w:r w:rsidRPr="002130C0">
        <w:rPr>
          <w:rFonts w:cstheme="minorHAnsi"/>
        </w:rPr>
        <w:t xml:space="preserve"> </w:t>
      </w:r>
      <w:r w:rsidR="00CB0CFA" w:rsidRPr="002130C0">
        <w:rPr>
          <w:rFonts w:cstheme="minorHAnsi"/>
        </w:rPr>
        <w:t xml:space="preserve">Heli </w:t>
      </w:r>
      <w:proofErr w:type="spellStart"/>
      <w:r w:rsidR="00B835FA" w:rsidRPr="002130C0">
        <w:rPr>
          <w:rFonts w:cstheme="minorHAnsi"/>
        </w:rPr>
        <w:t>Askola</w:t>
      </w:r>
      <w:proofErr w:type="spellEnd"/>
      <w:r w:rsidR="00B835FA" w:rsidRPr="002130C0">
        <w:rPr>
          <w:rFonts w:cstheme="minorHAnsi"/>
        </w:rPr>
        <w:t xml:space="preserve">, ‘Tale of Two </w:t>
      </w:r>
      <w:proofErr w:type="spellStart"/>
      <w:r w:rsidR="00B835FA" w:rsidRPr="002130C0">
        <w:rPr>
          <w:rFonts w:cstheme="minorHAnsi"/>
        </w:rPr>
        <w:t>Citzenships</w:t>
      </w:r>
      <w:proofErr w:type="spellEnd"/>
      <w:r w:rsidR="00B835FA" w:rsidRPr="002130C0">
        <w:rPr>
          <w:rFonts w:cstheme="minorHAnsi"/>
        </w:rPr>
        <w:t xml:space="preserve">? Citizenship Migration and Care in the European Union </w:t>
      </w:r>
      <w:r w:rsidR="0047354F">
        <w:rPr>
          <w:rFonts w:cstheme="minorHAnsi"/>
        </w:rPr>
        <w:t>(</w:t>
      </w:r>
      <w:r w:rsidR="00B835FA" w:rsidRPr="002130C0">
        <w:rPr>
          <w:rFonts w:cstheme="minorHAnsi"/>
        </w:rPr>
        <w:t>2012</w:t>
      </w:r>
      <w:r w:rsidR="0047354F">
        <w:rPr>
          <w:rFonts w:cstheme="minorHAnsi"/>
        </w:rPr>
        <w:t>)</w:t>
      </w:r>
      <w:r w:rsidR="00B835FA" w:rsidRPr="002130C0">
        <w:rPr>
          <w:rFonts w:cstheme="minorHAnsi"/>
        </w:rPr>
        <w:t xml:space="preserve"> </w:t>
      </w:r>
      <w:r w:rsidR="00B835FA" w:rsidRPr="002130C0">
        <w:rPr>
          <w:rFonts w:cstheme="minorHAnsi"/>
          <w:i/>
          <w:iCs/>
        </w:rPr>
        <w:t>Social and Legal Studies</w:t>
      </w:r>
      <w:r w:rsidR="00B835FA" w:rsidRPr="002130C0">
        <w:rPr>
          <w:rFonts w:cstheme="minorHAnsi"/>
        </w:rPr>
        <w:t xml:space="preserve"> </w:t>
      </w:r>
      <w:r w:rsidR="00D43379" w:rsidRPr="002130C0">
        <w:rPr>
          <w:rFonts w:cstheme="minorHAnsi"/>
        </w:rPr>
        <w:t xml:space="preserve">21(3), </w:t>
      </w:r>
      <w:r w:rsidR="00B835FA" w:rsidRPr="002130C0">
        <w:rPr>
          <w:rFonts w:cstheme="minorHAnsi"/>
        </w:rPr>
        <w:t>341-356</w:t>
      </w:r>
      <w:r w:rsidRPr="002130C0">
        <w:rPr>
          <w:rFonts w:cstheme="minorHAnsi"/>
        </w:rPr>
        <w:t xml:space="preserve">, </w:t>
      </w:r>
      <w:proofErr w:type="gramStart"/>
      <w:r w:rsidRPr="002130C0">
        <w:rPr>
          <w:rFonts w:cstheme="minorHAnsi"/>
        </w:rPr>
        <w:t>343</w:t>
      </w:r>
      <w:r w:rsidR="002A3BBC">
        <w:rPr>
          <w:rFonts w:cstheme="minorHAnsi"/>
        </w:rPr>
        <w:t>;</w:t>
      </w:r>
      <w:r w:rsidRPr="002130C0">
        <w:rPr>
          <w:rFonts w:cstheme="minorHAnsi"/>
        </w:rPr>
        <w:t xml:space="preserve">  </w:t>
      </w:r>
      <w:r w:rsidR="00CB0CFA" w:rsidRPr="002130C0">
        <w:rPr>
          <w:rFonts w:cstheme="minorHAnsi"/>
        </w:rPr>
        <w:t>Ruth</w:t>
      </w:r>
      <w:proofErr w:type="gramEnd"/>
      <w:r w:rsidR="00CB0CFA" w:rsidRPr="002130C0">
        <w:rPr>
          <w:rFonts w:cstheme="minorHAnsi"/>
        </w:rPr>
        <w:t xml:space="preserve"> </w:t>
      </w:r>
      <w:r w:rsidRPr="002130C0">
        <w:rPr>
          <w:rStyle w:val="r-search-result"/>
          <w:rFonts w:cstheme="minorHAnsi"/>
          <w:color w:val="000000"/>
        </w:rPr>
        <w:t>Lister,</w:t>
      </w:r>
      <w:r w:rsidRPr="002130C0">
        <w:rPr>
          <w:rFonts w:cstheme="minorHAnsi"/>
          <w:color w:val="000000"/>
        </w:rPr>
        <w:t> </w:t>
      </w:r>
      <w:r w:rsidR="001D2D3E" w:rsidRPr="002130C0">
        <w:rPr>
          <w:rFonts w:cstheme="minorHAnsi"/>
          <w:color w:val="000000"/>
        </w:rPr>
        <w:t>‘</w:t>
      </w:r>
      <w:r w:rsidRPr="002130C0">
        <w:rPr>
          <w:rFonts w:cstheme="minorHAnsi"/>
          <w:color w:val="000000"/>
        </w:rPr>
        <w:t xml:space="preserve">Citizenship: Towards a </w:t>
      </w:r>
      <w:r w:rsidR="00D43379" w:rsidRPr="002130C0">
        <w:rPr>
          <w:rFonts w:cstheme="minorHAnsi"/>
          <w:color w:val="000000"/>
        </w:rPr>
        <w:t>F</w:t>
      </w:r>
      <w:r w:rsidRPr="002130C0">
        <w:rPr>
          <w:rFonts w:cstheme="minorHAnsi"/>
          <w:color w:val="000000"/>
        </w:rPr>
        <w:t xml:space="preserve">eminist </w:t>
      </w:r>
      <w:r w:rsidR="00D43379" w:rsidRPr="002130C0">
        <w:rPr>
          <w:rFonts w:cstheme="minorHAnsi"/>
          <w:color w:val="000000"/>
        </w:rPr>
        <w:t>S</w:t>
      </w:r>
      <w:r w:rsidRPr="002130C0">
        <w:rPr>
          <w:rFonts w:cstheme="minorHAnsi"/>
          <w:color w:val="000000"/>
        </w:rPr>
        <w:t>ynthesis</w:t>
      </w:r>
      <w:proofErr w:type="gramStart"/>
      <w:r w:rsidR="001D2D3E" w:rsidRPr="002130C0">
        <w:rPr>
          <w:rFonts w:cstheme="minorHAnsi"/>
          <w:color w:val="000000"/>
        </w:rPr>
        <w:t>’</w:t>
      </w:r>
      <w:r w:rsidRPr="002130C0">
        <w:rPr>
          <w:rFonts w:cstheme="minorHAnsi"/>
          <w:color w:val="000000"/>
        </w:rPr>
        <w:t xml:space="preserve"> </w:t>
      </w:r>
      <w:r w:rsidR="00D43379" w:rsidRPr="002130C0">
        <w:rPr>
          <w:rFonts w:cstheme="minorHAnsi"/>
          <w:color w:val="000000"/>
        </w:rPr>
        <w:t xml:space="preserve"> </w:t>
      </w:r>
      <w:r w:rsidR="0047354F">
        <w:rPr>
          <w:rFonts w:cstheme="minorHAnsi"/>
          <w:color w:val="000000"/>
        </w:rPr>
        <w:t>(</w:t>
      </w:r>
      <w:proofErr w:type="gramEnd"/>
      <w:r w:rsidRPr="002130C0">
        <w:rPr>
          <w:rFonts w:cstheme="minorHAnsi"/>
          <w:color w:val="000000"/>
        </w:rPr>
        <w:t>1997</w:t>
      </w:r>
      <w:proofErr w:type="gramStart"/>
      <w:r w:rsidR="0047354F">
        <w:rPr>
          <w:rFonts w:cstheme="minorHAnsi"/>
          <w:color w:val="000000"/>
        </w:rPr>
        <w:t>)</w:t>
      </w:r>
      <w:r w:rsidR="00D43379" w:rsidRPr="002130C0">
        <w:rPr>
          <w:rFonts w:cstheme="minorHAnsi"/>
          <w:color w:val="000000"/>
        </w:rPr>
        <w:t xml:space="preserve"> </w:t>
      </w:r>
      <w:r w:rsidRPr="002130C0">
        <w:rPr>
          <w:rFonts w:cstheme="minorHAnsi"/>
          <w:color w:val="000000"/>
        </w:rPr>
        <w:t xml:space="preserve"> </w:t>
      </w:r>
      <w:r w:rsidRPr="002130C0">
        <w:rPr>
          <w:rStyle w:val="Emphasis"/>
          <w:rFonts w:cstheme="minorHAnsi"/>
          <w:color w:val="000000"/>
        </w:rPr>
        <w:t>Feminist</w:t>
      </w:r>
      <w:proofErr w:type="gramEnd"/>
      <w:r w:rsidRPr="002130C0">
        <w:rPr>
          <w:rStyle w:val="Emphasis"/>
          <w:rFonts w:cstheme="minorHAnsi"/>
          <w:color w:val="000000"/>
        </w:rPr>
        <w:t xml:space="preserve"> Review</w:t>
      </w:r>
      <w:r w:rsidR="00D43379" w:rsidRPr="002130C0">
        <w:rPr>
          <w:rStyle w:val="Emphasis"/>
          <w:rFonts w:cstheme="minorHAnsi"/>
          <w:color w:val="000000"/>
        </w:rPr>
        <w:t xml:space="preserve"> </w:t>
      </w:r>
      <w:r w:rsidR="00D43379" w:rsidRPr="002130C0">
        <w:rPr>
          <w:rStyle w:val="Emphasis"/>
          <w:rFonts w:cstheme="minorHAnsi"/>
          <w:i w:val="0"/>
          <w:iCs w:val="0"/>
          <w:color w:val="000000"/>
        </w:rPr>
        <w:t>57(1),</w:t>
      </w:r>
      <w:r w:rsidRPr="002130C0">
        <w:rPr>
          <w:rFonts w:cstheme="minorHAnsi"/>
          <w:color w:val="000000"/>
        </w:rPr>
        <w:t> 28</w:t>
      </w:r>
      <w:r w:rsidR="0047354F">
        <w:rPr>
          <w:rFonts w:cstheme="minorHAnsi"/>
          <w:color w:val="000000"/>
        </w:rPr>
        <w:t>-</w:t>
      </w:r>
      <w:r w:rsidRPr="002130C0">
        <w:rPr>
          <w:rFonts w:cstheme="minorHAnsi"/>
          <w:color w:val="000000"/>
        </w:rPr>
        <w:t>48</w:t>
      </w:r>
      <w:r w:rsidR="002A3BBC">
        <w:rPr>
          <w:rFonts w:cstheme="minorHAnsi"/>
          <w:color w:val="000000"/>
        </w:rPr>
        <w:t>;</w:t>
      </w:r>
      <w:r w:rsidRPr="002130C0">
        <w:rPr>
          <w:rFonts w:cstheme="minorHAnsi"/>
          <w:color w:val="000000"/>
        </w:rPr>
        <w:t xml:space="preserve"> </w:t>
      </w:r>
      <w:r w:rsidR="001D2D3E" w:rsidRPr="002130C0">
        <w:rPr>
          <w:rFonts w:cstheme="minorHAnsi"/>
          <w:color w:val="000000"/>
        </w:rPr>
        <w:t xml:space="preserve">Ruth </w:t>
      </w:r>
      <w:r w:rsidR="005F116D" w:rsidRPr="002130C0">
        <w:rPr>
          <w:rFonts w:cstheme="minorHAnsi"/>
        </w:rPr>
        <w:t xml:space="preserve">Lister, </w:t>
      </w:r>
      <w:r w:rsidR="005F116D" w:rsidRPr="002A3BBC">
        <w:rPr>
          <w:rFonts w:cstheme="minorHAnsi"/>
          <w:i/>
          <w:iCs/>
        </w:rPr>
        <w:t>Citizenship: Feminist Perspectives</w:t>
      </w:r>
      <w:r w:rsidR="005F116D" w:rsidRPr="002130C0">
        <w:rPr>
          <w:rFonts w:cstheme="minorHAnsi"/>
        </w:rPr>
        <w:t xml:space="preserve"> (Macmillan</w:t>
      </w:r>
      <w:r w:rsidR="008A1EA9" w:rsidRPr="002130C0">
        <w:rPr>
          <w:rFonts w:cstheme="minorHAnsi"/>
        </w:rPr>
        <w:t>, 2003</w:t>
      </w:r>
      <w:r w:rsidR="005F116D" w:rsidRPr="002130C0">
        <w:rPr>
          <w:rFonts w:cstheme="minorHAnsi"/>
        </w:rPr>
        <w:t xml:space="preserve">); </w:t>
      </w:r>
      <w:r w:rsidR="00D73EE1" w:rsidRPr="002130C0">
        <w:rPr>
          <w:rFonts w:cstheme="minorHAnsi"/>
        </w:rPr>
        <w:t xml:space="preserve">Nira </w:t>
      </w:r>
      <w:r w:rsidR="005F116D" w:rsidRPr="002130C0">
        <w:rPr>
          <w:rFonts w:cstheme="minorHAnsi"/>
        </w:rPr>
        <w:t xml:space="preserve">Yuval-Davis, ‘Intersectionality, Citizenship and Contemporary Politics of Belonging’ </w:t>
      </w:r>
      <w:r w:rsidR="0047354F">
        <w:rPr>
          <w:rFonts w:cstheme="minorHAnsi"/>
        </w:rPr>
        <w:t>(</w:t>
      </w:r>
      <w:r w:rsidR="005F116D" w:rsidRPr="002130C0">
        <w:rPr>
          <w:rFonts w:cstheme="minorHAnsi"/>
        </w:rPr>
        <w:t>2007</w:t>
      </w:r>
      <w:r w:rsidR="0047354F">
        <w:rPr>
          <w:rFonts w:cstheme="minorHAnsi"/>
        </w:rPr>
        <w:t>)</w:t>
      </w:r>
      <w:r w:rsidR="005F116D" w:rsidRPr="002130C0">
        <w:rPr>
          <w:rFonts w:cstheme="minorHAnsi"/>
        </w:rPr>
        <w:t xml:space="preserve"> </w:t>
      </w:r>
      <w:r w:rsidR="005F116D" w:rsidRPr="002130C0">
        <w:rPr>
          <w:rFonts w:cstheme="minorHAnsi"/>
          <w:i/>
          <w:iCs/>
        </w:rPr>
        <w:t>Critical Review of International Social and Political Philosophy</w:t>
      </w:r>
      <w:r w:rsidR="008A1EA9" w:rsidRPr="002130C0">
        <w:rPr>
          <w:rFonts w:cstheme="minorHAnsi"/>
        </w:rPr>
        <w:t xml:space="preserve"> 10(4),</w:t>
      </w:r>
      <w:r w:rsidR="005F116D" w:rsidRPr="002130C0">
        <w:rPr>
          <w:rFonts w:cstheme="minorHAnsi"/>
        </w:rPr>
        <w:t xml:space="preserve"> 561</w:t>
      </w:r>
      <w:r w:rsidR="0047354F">
        <w:rPr>
          <w:rFonts w:cstheme="minorHAnsi"/>
        </w:rPr>
        <w:t>-</w:t>
      </w:r>
      <w:r w:rsidR="006B57C5">
        <w:rPr>
          <w:rFonts w:cstheme="minorHAnsi"/>
        </w:rPr>
        <w:t>5</w:t>
      </w:r>
      <w:r w:rsidR="005F116D" w:rsidRPr="002130C0">
        <w:rPr>
          <w:rFonts w:cstheme="minorHAnsi"/>
        </w:rPr>
        <w:t>74.</w:t>
      </w:r>
    </w:p>
  </w:footnote>
  <w:footnote w:id="33">
    <w:p w14:paraId="62C122EE" w14:textId="078236B6" w:rsidR="005F116D" w:rsidRPr="002130C0" w:rsidRDefault="005F116D"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Askola</w:t>
      </w:r>
      <w:proofErr w:type="spellEnd"/>
      <w:r w:rsidR="002A3BBC">
        <w:rPr>
          <w:rFonts w:cstheme="minorHAnsi"/>
        </w:rPr>
        <w:t>, ibid</w:t>
      </w:r>
      <w:r w:rsidR="00B835FA" w:rsidRPr="002130C0">
        <w:rPr>
          <w:rFonts w:cstheme="minorHAnsi"/>
        </w:rPr>
        <w:t>.</w:t>
      </w:r>
    </w:p>
  </w:footnote>
  <w:footnote w:id="34">
    <w:p w14:paraId="78F3979B" w14:textId="11C7DC3C" w:rsidR="00297B72" w:rsidRPr="002130C0" w:rsidRDefault="00297B72"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72309D" w:rsidRPr="002130C0">
        <w:rPr>
          <w:rFonts w:cstheme="minorHAnsi"/>
          <w:shd w:val="clear" w:color="auto" w:fill="FFFFFF"/>
        </w:rPr>
        <w:t xml:space="preserve">Roberta </w:t>
      </w:r>
      <w:proofErr w:type="spellStart"/>
      <w:r w:rsidR="0072309D" w:rsidRPr="002130C0">
        <w:rPr>
          <w:rFonts w:cstheme="minorHAnsi"/>
          <w:shd w:val="clear" w:color="auto" w:fill="FFFFFF"/>
        </w:rPr>
        <w:t>Guerrina</w:t>
      </w:r>
      <w:proofErr w:type="spellEnd"/>
      <w:r w:rsidR="0072309D" w:rsidRPr="002130C0">
        <w:rPr>
          <w:rFonts w:cstheme="minorHAnsi"/>
          <w:shd w:val="clear" w:color="auto" w:fill="FFFFFF"/>
        </w:rPr>
        <w:t xml:space="preserve">, Toni Haastrup, Katharine AM Wright, Annick </w:t>
      </w:r>
      <w:proofErr w:type="spellStart"/>
      <w:r w:rsidR="0072309D" w:rsidRPr="002130C0">
        <w:rPr>
          <w:rFonts w:cstheme="minorHAnsi"/>
          <w:shd w:val="clear" w:color="auto" w:fill="FFFFFF"/>
        </w:rPr>
        <w:t>Masselot</w:t>
      </w:r>
      <w:proofErr w:type="spellEnd"/>
      <w:r w:rsidR="0072309D" w:rsidRPr="002130C0">
        <w:rPr>
          <w:rFonts w:cstheme="minorHAnsi"/>
          <w:shd w:val="clear" w:color="auto" w:fill="FFFFFF"/>
        </w:rPr>
        <w:t xml:space="preserve">, Heather </w:t>
      </w:r>
      <w:proofErr w:type="spellStart"/>
      <w:r w:rsidR="0072309D" w:rsidRPr="002130C0">
        <w:rPr>
          <w:rFonts w:cstheme="minorHAnsi"/>
          <w:shd w:val="clear" w:color="auto" w:fill="FFFFFF"/>
        </w:rPr>
        <w:t>MacRae</w:t>
      </w:r>
      <w:proofErr w:type="spellEnd"/>
      <w:r w:rsidR="008F6D7F">
        <w:rPr>
          <w:rFonts w:cstheme="minorHAnsi"/>
          <w:shd w:val="clear" w:color="auto" w:fill="FFFFFF"/>
        </w:rPr>
        <w:t xml:space="preserve"> and</w:t>
      </w:r>
      <w:r w:rsidR="0072309D" w:rsidRPr="002130C0">
        <w:rPr>
          <w:rFonts w:cstheme="minorHAnsi"/>
          <w:shd w:val="clear" w:color="auto" w:fill="FFFFFF"/>
        </w:rPr>
        <w:t xml:space="preserve"> Rosalind </w:t>
      </w:r>
      <w:proofErr w:type="spellStart"/>
      <w:r w:rsidR="0072309D" w:rsidRPr="002130C0">
        <w:rPr>
          <w:rFonts w:cstheme="minorHAnsi"/>
          <w:shd w:val="clear" w:color="auto" w:fill="FFFFFF"/>
        </w:rPr>
        <w:t>Cavaghan</w:t>
      </w:r>
      <w:proofErr w:type="spellEnd"/>
      <w:r w:rsidR="008F6D7F">
        <w:rPr>
          <w:rFonts w:cstheme="minorHAnsi"/>
          <w:shd w:val="clear" w:color="auto" w:fill="FFFFFF"/>
        </w:rPr>
        <w:t>,</w:t>
      </w:r>
      <w:r w:rsidR="0072309D" w:rsidRPr="002130C0" w:rsidDel="0072309D">
        <w:rPr>
          <w:rFonts w:cstheme="minorHAnsi"/>
        </w:rPr>
        <w:t xml:space="preserve"> </w:t>
      </w:r>
      <w:r w:rsidRPr="002130C0">
        <w:rPr>
          <w:rFonts w:cstheme="minorHAnsi"/>
        </w:rPr>
        <w:t xml:space="preserve">‘Does European Union Studies Have a Gender Problem? Experiences from Researching Brexit’ </w:t>
      </w:r>
      <w:r w:rsidR="008F6D7F">
        <w:rPr>
          <w:rFonts w:cstheme="minorHAnsi"/>
        </w:rPr>
        <w:t>(</w:t>
      </w:r>
      <w:r w:rsidRPr="002130C0">
        <w:rPr>
          <w:rFonts w:cstheme="minorHAnsi"/>
        </w:rPr>
        <w:t>2018</w:t>
      </w:r>
      <w:r w:rsidR="008F6D7F">
        <w:rPr>
          <w:rFonts w:cstheme="minorHAnsi"/>
        </w:rPr>
        <w:t>)</w:t>
      </w:r>
      <w:r w:rsidRPr="002130C0">
        <w:rPr>
          <w:rFonts w:cstheme="minorHAnsi"/>
        </w:rPr>
        <w:t xml:space="preserve"> </w:t>
      </w:r>
      <w:r w:rsidRPr="002130C0">
        <w:rPr>
          <w:rFonts w:cstheme="minorHAnsi"/>
          <w:i/>
          <w:iCs/>
        </w:rPr>
        <w:t>International Feminist Journal of Politics</w:t>
      </w:r>
      <w:r w:rsidR="008A1EA9" w:rsidRPr="002130C0">
        <w:rPr>
          <w:rFonts w:cstheme="minorHAnsi"/>
          <w:i/>
          <w:iCs/>
        </w:rPr>
        <w:t xml:space="preserve"> </w:t>
      </w:r>
      <w:r w:rsidR="008A1EA9" w:rsidRPr="002130C0">
        <w:rPr>
          <w:rFonts w:cstheme="minorHAnsi"/>
        </w:rPr>
        <w:t>20(2)</w:t>
      </w:r>
      <w:r w:rsidRPr="002130C0">
        <w:rPr>
          <w:rFonts w:cstheme="minorHAnsi"/>
          <w:i/>
          <w:iCs/>
        </w:rPr>
        <w:t>,</w:t>
      </w:r>
      <w:r w:rsidRPr="002130C0">
        <w:rPr>
          <w:rFonts w:cstheme="minorHAnsi"/>
        </w:rPr>
        <w:t xml:space="preserve"> 252–</w:t>
      </w:r>
      <w:r w:rsidR="008F6D7F">
        <w:rPr>
          <w:rFonts w:cstheme="minorHAnsi"/>
        </w:rPr>
        <w:t>25</w:t>
      </w:r>
      <w:r w:rsidRPr="002130C0">
        <w:rPr>
          <w:rFonts w:cstheme="minorHAnsi"/>
        </w:rPr>
        <w:t>7, 253.</w:t>
      </w:r>
    </w:p>
  </w:footnote>
  <w:footnote w:id="35">
    <w:p w14:paraId="4DF7AB32" w14:textId="3686003D" w:rsidR="00F96AF8" w:rsidRPr="002130C0" w:rsidRDefault="00F96AF8"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B835FA" w:rsidRPr="002130C0">
        <w:rPr>
          <w:rFonts w:cstheme="minorHAnsi"/>
          <w:shd w:val="clear" w:color="auto" w:fill="FFFFFF"/>
        </w:rPr>
        <w:t>Equality Framework Directive </w:t>
      </w:r>
      <w:r w:rsidR="003730C5" w:rsidRPr="002130C0">
        <w:rPr>
          <w:rFonts w:cstheme="minorHAnsi"/>
          <w:shd w:val="clear" w:color="auto" w:fill="FFFFFF"/>
        </w:rPr>
        <w:t>(n</w:t>
      </w:r>
      <w:r w:rsidR="006240B8">
        <w:rPr>
          <w:rFonts w:cstheme="minorHAnsi"/>
          <w:shd w:val="clear" w:color="auto" w:fill="FFFFFF"/>
        </w:rPr>
        <w:t>8</w:t>
      </w:r>
      <w:r w:rsidR="003730C5" w:rsidRPr="002130C0">
        <w:rPr>
          <w:rFonts w:cstheme="minorHAnsi"/>
          <w:shd w:val="clear" w:color="auto" w:fill="FFFFFF"/>
        </w:rPr>
        <w:t xml:space="preserve">). </w:t>
      </w:r>
    </w:p>
  </w:footnote>
  <w:footnote w:id="36">
    <w:p w14:paraId="2997DE97" w14:textId="1BECA12C" w:rsidR="00297B72" w:rsidRPr="002130C0" w:rsidRDefault="00297B72" w:rsidP="00CB68B8">
      <w:pPr>
        <w:pStyle w:val="FootnoteText"/>
        <w:rPr>
          <w:rFonts w:cstheme="minorHAnsi"/>
          <w:b/>
          <w:bCs/>
        </w:rPr>
      </w:pPr>
      <w:r w:rsidRPr="002130C0">
        <w:rPr>
          <w:rStyle w:val="FootnoteReference"/>
          <w:rFonts w:cstheme="minorHAnsi"/>
        </w:rPr>
        <w:footnoteRef/>
      </w:r>
      <w:r w:rsidRPr="002130C0">
        <w:rPr>
          <w:rFonts w:cstheme="minorHAnsi"/>
        </w:rPr>
        <w:t xml:space="preserve"> </w:t>
      </w:r>
      <w:r w:rsidR="00C73791" w:rsidRPr="002130C0">
        <w:rPr>
          <w:rFonts w:cstheme="minorHAnsi"/>
        </w:rPr>
        <w:t xml:space="preserve">Joni </w:t>
      </w:r>
      <w:r w:rsidRPr="002130C0">
        <w:rPr>
          <w:rFonts w:cstheme="minorHAnsi"/>
        </w:rPr>
        <w:t xml:space="preserve">Lovenduski, </w:t>
      </w:r>
      <w:r w:rsidRPr="002130C0">
        <w:rPr>
          <w:rFonts w:cstheme="minorHAnsi"/>
          <w:i/>
          <w:iCs/>
        </w:rPr>
        <w:t>Feminizing Politics</w:t>
      </w:r>
      <w:r w:rsidRPr="002130C0">
        <w:rPr>
          <w:rFonts w:cstheme="minorHAnsi"/>
        </w:rPr>
        <w:t xml:space="preserve"> (Polity</w:t>
      </w:r>
      <w:r w:rsidR="008A1EA9" w:rsidRPr="002130C0">
        <w:rPr>
          <w:rFonts w:cstheme="minorHAnsi"/>
        </w:rPr>
        <w:t>, 2005</w:t>
      </w:r>
      <w:r w:rsidRPr="002130C0">
        <w:rPr>
          <w:rFonts w:cstheme="minorHAnsi"/>
        </w:rPr>
        <w:t>)</w:t>
      </w:r>
      <w:r w:rsidR="008A1EA9" w:rsidRPr="002130C0">
        <w:rPr>
          <w:rFonts w:cstheme="minorHAnsi"/>
        </w:rPr>
        <w:t>,</w:t>
      </w:r>
      <w:r w:rsidRPr="002130C0">
        <w:rPr>
          <w:rFonts w:cstheme="minorHAnsi"/>
        </w:rPr>
        <w:t xml:space="preserve"> 53.</w:t>
      </w:r>
    </w:p>
  </w:footnote>
  <w:footnote w:id="37">
    <w:p w14:paraId="75C2B935" w14:textId="744D7B13" w:rsidR="00297B72" w:rsidRPr="002130C0" w:rsidRDefault="00297B72" w:rsidP="00CB68B8">
      <w:pPr>
        <w:spacing w:after="0" w:line="240" w:lineRule="auto"/>
        <w:rPr>
          <w:rFonts w:eastAsia="Times New Roman" w:cstheme="minorHAnsi"/>
          <w:sz w:val="20"/>
          <w:szCs w:val="20"/>
          <w:lang w:eastAsia="en-GB"/>
        </w:rPr>
      </w:pPr>
      <w:r w:rsidRPr="002130C0">
        <w:rPr>
          <w:rStyle w:val="FootnoteReference"/>
          <w:rFonts w:cstheme="minorHAnsi"/>
          <w:sz w:val="20"/>
          <w:szCs w:val="20"/>
        </w:rPr>
        <w:footnoteRef/>
      </w:r>
      <w:r w:rsidRPr="002130C0">
        <w:rPr>
          <w:rFonts w:cstheme="minorHAnsi"/>
          <w:sz w:val="20"/>
          <w:szCs w:val="20"/>
        </w:rPr>
        <w:t xml:space="preserve"> </w:t>
      </w:r>
      <w:r w:rsidR="00C73791" w:rsidRPr="002130C0">
        <w:rPr>
          <w:rFonts w:cstheme="minorHAnsi"/>
          <w:sz w:val="20"/>
          <w:szCs w:val="20"/>
        </w:rPr>
        <w:t xml:space="preserve">Louise </w:t>
      </w:r>
      <w:r w:rsidRPr="002130C0">
        <w:rPr>
          <w:rFonts w:eastAsia="Times New Roman" w:cstheme="minorHAnsi"/>
          <w:sz w:val="20"/>
          <w:szCs w:val="20"/>
          <w:lang w:eastAsia="en-GB"/>
        </w:rPr>
        <w:t xml:space="preserve">Ackers, </w:t>
      </w:r>
      <w:r w:rsidR="001D4D95">
        <w:rPr>
          <w:rFonts w:eastAsia="Times New Roman" w:cstheme="minorHAnsi"/>
          <w:sz w:val="20"/>
          <w:szCs w:val="20"/>
          <w:lang w:eastAsia="en-GB"/>
        </w:rPr>
        <w:t>‘</w:t>
      </w:r>
      <w:r w:rsidRPr="002130C0">
        <w:rPr>
          <w:rFonts w:eastAsia="Times New Roman" w:cstheme="minorHAnsi"/>
          <w:sz w:val="20"/>
          <w:szCs w:val="20"/>
          <w:lang w:eastAsia="en-GB"/>
        </w:rPr>
        <w:t xml:space="preserve">Women, </w:t>
      </w:r>
      <w:r w:rsidR="008A1EA9" w:rsidRPr="002130C0">
        <w:rPr>
          <w:rFonts w:eastAsia="Times New Roman" w:cstheme="minorHAnsi"/>
          <w:sz w:val="20"/>
          <w:szCs w:val="20"/>
          <w:lang w:eastAsia="en-GB"/>
        </w:rPr>
        <w:t>C</w:t>
      </w:r>
      <w:r w:rsidRPr="002130C0">
        <w:rPr>
          <w:rFonts w:eastAsia="Times New Roman" w:cstheme="minorHAnsi"/>
          <w:sz w:val="20"/>
          <w:szCs w:val="20"/>
          <w:lang w:eastAsia="en-GB"/>
        </w:rPr>
        <w:t xml:space="preserve">itizenship and European Community </w:t>
      </w:r>
      <w:r w:rsidR="001D4D95">
        <w:rPr>
          <w:rFonts w:eastAsia="Times New Roman" w:cstheme="minorHAnsi"/>
          <w:sz w:val="20"/>
          <w:szCs w:val="20"/>
          <w:lang w:eastAsia="en-GB"/>
        </w:rPr>
        <w:t>L</w:t>
      </w:r>
      <w:r w:rsidRPr="002130C0">
        <w:rPr>
          <w:rFonts w:eastAsia="Times New Roman" w:cstheme="minorHAnsi"/>
          <w:sz w:val="20"/>
          <w:szCs w:val="20"/>
          <w:lang w:eastAsia="en-GB"/>
        </w:rPr>
        <w:t xml:space="preserve">aw: The </w:t>
      </w:r>
      <w:r w:rsidR="008A1EA9" w:rsidRPr="002130C0">
        <w:rPr>
          <w:rFonts w:eastAsia="Times New Roman" w:cstheme="minorHAnsi"/>
          <w:sz w:val="20"/>
          <w:szCs w:val="20"/>
          <w:lang w:eastAsia="en-GB"/>
        </w:rPr>
        <w:t>G</w:t>
      </w:r>
      <w:r w:rsidRPr="002130C0">
        <w:rPr>
          <w:rFonts w:eastAsia="Times New Roman" w:cstheme="minorHAnsi"/>
          <w:sz w:val="20"/>
          <w:szCs w:val="20"/>
          <w:lang w:eastAsia="en-GB"/>
        </w:rPr>
        <w:t xml:space="preserve">ender </w:t>
      </w:r>
      <w:r w:rsidR="008A1EA9" w:rsidRPr="002130C0">
        <w:rPr>
          <w:rFonts w:eastAsia="Times New Roman" w:cstheme="minorHAnsi"/>
          <w:sz w:val="20"/>
          <w:szCs w:val="20"/>
          <w:lang w:eastAsia="en-GB"/>
        </w:rPr>
        <w:t>I</w:t>
      </w:r>
      <w:r w:rsidRPr="002130C0">
        <w:rPr>
          <w:rFonts w:eastAsia="Times New Roman" w:cstheme="minorHAnsi"/>
          <w:sz w:val="20"/>
          <w:szCs w:val="20"/>
          <w:lang w:eastAsia="en-GB"/>
        </w:rPr>
        <w:t xml:space="preserve">mplications of the </w:t>
      </w:r>
      <w:r w:rsidR="008A1EA9" w:rsidRPr="002130C0">
        <w:rPr>
          <w:rFonts w:eastAsia="Times New Roman" w:cstheme="minorHAnsi"/>
          <w:sz w:val="20"/>
          <w:szCs w:val="20"/>
          <w:lang w:eastAsia="en-GB"/>
        </w:rPr>
        <w:t>F</w:t>
      </w:r>
      <w:r w:rsidRPr="002130C0">
        <w:rPr>
          <w:rFonts w:eastAsia="Times New Roman" w:cstheme="minorHAnsi"/>
          <w:sz w:val="20"/>
          <w:szCs w:val="20"/>
          <w:lang w:eastAsia="en-GB"/>
        </w:rPr>
        <w:t xml:space="preserve">ree </w:t>
      </w:r>
      <w:r w:rsidR="008A1EA9" w:rsidRPr="002130C0">
        <w:rPr>
          <w:rFonts w:eastAsia="Times New Roman" w:cstheme="minorHAnsi"/>
          <w:sz w:val="20"/>
          <w:szCs w:val="20"/>
          <w:lang w:eastAsia="en-GB"/>
        </w:rPr>
        <w:t>M</w:t>
      </w:r>
      <w:r w:rsidRPr="002130C0">
        <w:rPr>
          <w:rFonts w:eastAsia="Times New Roman" w:cstheme="minorHAnsi"/>
          <w:sz w:val="20"/>
          <w:szCs w:val="20"/>
          <w:lang w:eastAsia="en-GB"/>
        </w:rPr>
        <w:t xml:space="preserve">ovement </w:t>
      </w:r>
      <w:r w:rsidR="008A1EA9" w:rsidRPr="002130C0">
        <w:rPr>
          <w:rFonts w:eastAsia="Times New Roman" w:cstheme="minorHAnsi"/>
          <w:sz w:val="20"/>
          <w:szCs w:val="20"/>
          <w:lang w:eastAsia="en-GB"/>
        </w:rPr>
        <w:t>P</w:t>
      </w:r>
      <w:r w:rsidRPr="002130C0">
        <w:rPr>
          <w:rFonts w:eastAsia="Times New Roman" w:cstheme="minorHAnsi"/>
          <w:sz w:val="20"/>
          <w:szCs w:val="20"/>
          <w:lang w:eastAsia="en-GB"/>
        </w:rPr>
        <w:t>rovisions</w:t>
      </w:r>
      <w:r w:rsidR="001D4D95">
        <w:rPr>
          <w:rFonts w:eastAsia="Times New Roman" w:cstheme="minorHAnsi"/>
          <w:sz w:val="20"/>
          <w:szCs w:val="20"/>
          <w:lang w:eastAsia="en-GB"/>
        </w:rPr>
        <w:t>’</w:t>
      </w:r>
      <w:r w:rsidR="008A1EA9" w:rsidRPr="002130C0">
        <w:rPr>
          <w:rFonts w:eastAsia="Times New Roman" w:cstheme="minorHAnsi"/>
          <w:sz w:val="20"/>
          <w:szCs w:val="20"/>
          <w:lang w:eastAsia="en-GB"/>
        </w:rPr>
        <w:t xml:space="preserve"> </w:t>
      </w:r>
      <w:r w:rsidR="001D4D95">
        <w:rPr>
          <w:rFonts w:eastAsia="Times New Roman" w:cstheme="minorHAnsi"/>
          <w:sz w:val="20"/>
          <w:szCs w:val="20"/>
          <w:lang w:eastAsia="en-GB"/>
        </w:rPr>
        <w:t>(</w:t>
      </w:r>
      <w:r w:rsidRPr="002130C0">
        <w:rPr>
          <w:rFonts w:eastAsia="Times New Roman" w:cstheme="minorHAnsi"/>
          <w:sz w:val="20"/>
          <w:szCs w:val="20"/>
          <w:lang w:eastAsia="en-GB"/>
        </w:rPr>
        <w:t>1994</w:t>
      </w:r>
      <w:r w:rsidR="001D4D95">
        <w:rPr>
          <w:rFonts w:eastAsia="Times New Roman" w:cstheme="minorHAnsi"/>
          <w:sz w:val="20"/>
          <w:szCs w:val="20"/>
          <w:lang w:eastAsia="en-GB"/>
        </w:rPr>
        <w:t>)</w:t>
      </w:r>
      <w:r w:rsidRPr="002130C0">
        <w:rPr>
          <w:rFonts w:eastAsia="Times New Roman" w:cstheme="minorHAnsi"/>
          <w:sz w:val="20"/>
          <w:szCs w:val="20"/>
          <w:lang w:eastAsia="en-GB"/>
        </w:rPr>
        <w:t xml:space="preserve"> </w:t>
      </w:r>
      <w:r w:rsidRPr="002130C0">
        <w:rPr>
          <w:rFonts w:eastAsia="Times New Roman" w:cstheme="minorHAnsi"/>
          <w:i/>
          <w:iCs/>
          <w:sz w:val="20"/>
          <w:szCs w:val="20"/>
          <w:lang w:eastAsia="en-GB"/>
        </w:rPr>
        <w:t>Journal of Social Welfare and Family Law</w:t>
      </w:r>
      <w:r w:rsidR="008A1EA9" w:rsidRPr="002130C0">
        <w:rPr>
          <w:rFonts w:eastAsia="Times New Roman" w:cstheme="minorHAnsi"/>
          <w:i/>
          <w:iCs/>
          <w:sz w:val="20"/>
          <w:szCs w:val="20"/>
          <w:lang w:eastAsia="en-GB"/>
        </w:rPr>
        <w:t xml:space="preserve"> </w:t>
      </w:r>
      <w:r w:rsidR="008A1EA9" w:rsidRPr="002130C0">
        <w:rPr>
          <w:rFonts w:eastAsia="Times New Roman" w:cstheme="minorHAnsi"/>
          <w:sz w:val="20"/>
          <w:szCs w:val="20"/>
          <w:lang w:eastAsia="en-GB"/>
        </w:rPr>
        <w:t>16(4),</w:t>
      </w:r>
      <w:r w:rsidRPr="002130C0">
        <w:rPr>
          <w:rFonts w:eastAsia="Times New Roman" w:cstheme="minorHAnsi"/>
          <w:sz w:val="20"/>
          <w:szCs w:val="20"/>
          <w:lang w:eastAsia="en-GB"/>
        </w:rPr>
        <w:t> 391–406</w:t>
      </w:r>
      <w:r w:rsidR="001D4D95">
        <w:rPr>
          <w:rFonts w:eastAsia="Times New Roman" w:cstheme="minorHAnsi"/>
          <w:sz w:val="20"/>
          <w:szCs w:val="20"/>
          <w:lang w:eastAsia="en-GB"/>
        </w:rPr>
        <w:t xml:space="preserve">; </w:t>
      </w:r>
      <w:r w:rsidR="00C73791" w:rsidRPr="002130C0">
        <w:rPr>
          <w:rFonts w:eastAsia="Times New Roman" w:cstheme="minorHAnsi"/>
          <w:sz w:val="20"/>
          <w:szCs w:val="20"/>
          <w:lang w:eastAsia="en-GB"/>
        </w:rPr>
        <w:t xml:space="preserve">Louise </w:t>
      </w:r>
      <w:proofErr w:type="gramStart"/>
      <w:r w:rsidRPr="002130C0">
        <w:rPr>
          <w:rFonts w:eastAsia="Times New Roman" w:cstheme="minorHAnsi"/>
          <w:sz w:val="20"/>
          <w:szCs w:val="20"/>
          <w:lang w:eastAsia="en-GB"/>
        </w:rPr>
        <w:t xml:space="preserve">Ackers, </w:t>
      </w:r>
      <w:r w:rsidR="008A1EA9" w:rsidRPr="002130C0">
        <w:rPr>
          <w:rFonts w:eastAsia="Times New Roman" w:cstheme="minorHAnsi"/>
          <w:sz w:val="20"/>
          <w:szCs w:val="20"/>
          <w:lang w:eastAsia="en-GB"/>
        </w:rPr>
        <w:t xml:space="preserve"> ‘</w:t>
      </w:r>
      <w:proofErr w:type="gramEnd"/>
      <w:r w:rsidRPr="002130C0">
        <w:rPr>
          <w:rFonts w:eastAsia="Times New Roman" w:cstheme="minorHAnsi"/>
          <w:sz w:val="20"/>
          <w:szCs w:val="20"/>
          <w:lang w:eastAsia="en-GB"/>
        </w:rPr>
        <w:t xml:space="preserve">Citizenship, Gender, and </w:t>
      </w:r>
      <w:r w:rsidR="001D4D95">
        <w:rPr>
          <w:rFonts w:eastAsia="Times New Roman" w:cstheme="minorHAnsi"/>
          <w:sz w:val="20"/>
          <w:szCs w:val="20"/>
          <w:lang w:eastAsia="en-GB"/>
        </w:rPr>
        <w:t>D</w:t>
      </w:r>
      <w:r w:rsidRPr="002130C0">
        <w:rPr>
          <w:rFonts w:eastAsia="Times New Roman" w:cstheme="minorHAnsi"/>
          <w:sz w:val="20"/>
          <w:szCs w:val="20"/>
          <w:lang w:eastAsia="en-GB"/>
        </w:rPr>
        <w:t xml:space="preserve">ependence in the European Union: Women and </w:t>
      </w:r>
      <w:r w:rsidR="008A1EA9" w:rsidRPr="002130C0">
        <w:rPr>
          <w:rFonts w:eastAsia="Times New Roman" w:cstheme="minorHAnsi"/>
          <w:sz w:val="20"/>
          <w:szCs w:val="20"/>
          <w:lang w:eastAsia="en-GB"/>
        </w:rPr>
        <w:t>I</w:t>
      </w:r>
      <w:r w:rsidRPr="002130C0">
        <w:rPr>
          <w:rFonts w:eastAsia="Times New Roman" w:cstheme="minorHAnsi"/>
          <w:sz w:val="20"/>
          <w:szCs w:val="20"/>
          <w:lang w:eastAsia="en-GB"/>
        </w:rPr>
        <w:t xml:space="preserve">nternal </w:t>
      </w:r>
      <w:r w:rsidR="008A1EA9" w:rsidRPr="002130C0">
        <w:rPr>
          <w:rFonts w:eastAsia="Times New Roman" w:cstheme="minorHAnsi"/>
          <w:sz w:val="20"/>
          <w:szCs w:val="20"/>
          <w:lang w:eastAsia="en-GB"/>
        </w:rPr>
        <w:t>M</w:t>
      </w:r>
      <w:r w:rsidRPr="002130C0">
        <w:rPr>
          <w:rFonts w:eastAsia="Times New Roman" w:cstheme="minorHAnsi"/>
          <w:sz w:val="20"/>
          <w:szCs w:val="20"/>
          <w:lang w:eastAsia="en-GB"/>
        </w:rPr>
        <w:t>igration</w:t>
      </w:r>
      <w:r w:rsidR="008A1EA9" w:rsidRPr="002130C0">
        <w:rPr>
          <w:rFonts w:eastAsia="Times New Roman" w:cstheme="minorHAnsi"/>
          <w:sz w:val="20"/>
          <w:szCs w:val="20"/>
          <w:lang w:eastAsia="en-GB"/>
        </w:rPr>
        <w:t xml:space="preserve">’ </w:t>
      </w:r>
      <w:r w:rsidR="001D4D95">
        <w:rPr>
          <w:rFonts w:eastAsia="Times New Roman" w:cstheme="minorHAnsi"/>
          <w:sz w:val="20"/>
          <w:szCs w:val="20"/>
          <w:lang w:eastAsia="en-GB"/>
        </w:rPr>
        <w:t>(</w:t>
      </w:r>
      <w:r w:rsidR="008A1EA9" w:rsidRPr="002130C0">
        <w:rPr>
          <w:rFonts w:eastAsia="Times New Roman" w:cstheme="minorHAnsi"/>
          <w:sz w:val="20"/>
          <w:szCs w:val="20"/>
          <w:lang w:eastAsia="en-GB"/>
        </w:rPr>
        <w:t>1996</w:t>
      </w:r>
      <w:r w:rsidR="001D4D95">
        <w:rPr>
          <w:rFonts w:eastAsia="Times New Roman" w:cstheme="minorHAnsi"/>
          <w:sz w:val="20"/>
          <w:szCs w:val="20"/>
          <w:lang w:eastAsia="en-GB"/>
        </w:rPr>
        <w:t>)</w:t>
      </w:r>
      <w:r w:rsidRPr="002130C0">
        <w:rPr>
          <w:rFonts w:eastAsia="Times New Roman" w:cstheme="minorHAnsi"/>
          <w:sz w:val="20"/>
          <w:szCs w:val="20"/>
          <w:lang w:eastAsia="en-GB"/>
        </w:rPr>
        <w:t xml:space="preserve"> </w:t>
      </w:r>
      <w:r w:rsidRPr="002130C0">
        <w:rPr>
          <w:rFonts w:eastAsia="Times New Roman" w:cstheme="minorHAnsi"/>
          <w:i/>
          <w:iCs/>
          <w:sz w:val="20"/>
          <w:szCs w:val="20"/>
          <w:lang w:eastAsia="en-GB"/>
        </w:rPr>
        <w:t>Social Politics</w:t>
      </w:r>
      <w:r w:rsidRPr="002130C0">
        <w:rPr>
          <w:rFonts w:eastAsia="Times New Roman" w:cstheme="minorHAnsi"/>
          <w:sz w:val="20"/>
          <w:szCs w:val="20"/>
          <w:lang w:eastAsia="en-GB"/>
        </w:rPr>
        <w:t> </w:t>
      </w:r>
      <w:r w:rsidR="008A1EA9" w:rsidRPr="002130C0">
        <w:rPr>
          <w:rFonts w:eastAsia="Times New Roman" w:cstheme="minorHAnsi"/>
          <w:sz w:val="20"/>
          <w:szCs w:val="20"/>
          <w:lang w:eastAsia="en-GB"/>
        </w:rPr>
        <w:t xml:space="preserve">3(2), </w:t>
      </w:r>
      <w:r w:rsidRPr="002130C0">
        <w:rPr>
          <w:rFonts w:eastAsia="Times New Roman" w:cstheme="minorHAnsi"/>
          <w:sz w:val="20"/>
          <w:szCs w:val="20"/>
          <w:lang w:eastAsia="en-GB"/>
        </w:rPr>
        <w:t>316</w:t>
      </w:r>
      <w:r w:rsidR="001D4D95">
        <w:rPr>
          <w:rFonts w:eastAsia="Times New Roman" w:cstheme="minorHAnsi"/>
          <w:sz w:val="20"/>
          <w:szCs w:val="20"/>
          <w:lang w:eastAsia="en-GB"/>
        </w:rPr>
        <w:t>-</w:t>
      </w:r>
      <w:r w:rsidRPr="002130C0">
        <w:rPr>
          <w:rFonts w:eastAsia="Times New Roman" w:cstheme="minorHAnsi"/>
          <w:sz w:val="20"/>
          <w:szCs w:val="20"/>
          <w:lang w:eastAsia="en-GB"/>
        </w:rPr>
        <w:t xml:space="preserve">330. See also </w:t>
      </w:r>
      <w:proofErr w:type="spellStart"/>
      <w:r w:rsidRPr="002130C0">
        <w:rPr>
          <w:rFonts w:eastAsia="Times New Roman" w:cstheme="minorHAnsi"/>
          <w:sz w:val="20"/>
          <w:szCs w:val="20"/>
          <w:lang w:eastAsia="en-GB"/>
        </w:rPr>
        <w:t>Askola</w:t>
      </w:r>
      <w:proofErr w:type="spellEnd"/>
      <w:r w:rsidR="00B835FA" w:rsidRPr="002130C0">
        <w:rPr>
          <w:rFonts w:eastAsia="Times New Roman" w:cstheme="minorHAnsi"/>
          <w:sz w:val="20"/>
          <w:szCs w:val="20"/>
          <w:lang w:eastAsia="en-GB"/>
        </w:rPr>
        <w:t xml:space="preserve"> (</w:t>
      </w:r>
      <w:r w:rsidR="00403F65" w:rsidRPr="002130C0">
        <w:rPr>
          <w:rFonts w:eastAsia="Times New Roman" w:cstheme="minorHAnsi"/>
          <w:sz w:val="20"/>
          <w:szCs w:val="20"/>
          <w:lang w:eastAsia="en-GB"/>
        </w:rPr>
        <w:t>n</w:t>
      </w:r>
      <w:r w:rsidR="00205B83">
        <w:rPr>
          <w:rFonts w:eastAsia="Times New Roman" w:cstheme="minorHAnsi"/>
          <w:sz w:val="20"/>
          <w:szCs w:val="20"/>
          <w:lang w:eastAsia="en-GB"/>
        </w:rPr>
        <w:t>31</w:t>
      </w:r>
      <w:r w:rsidR="00B835FA" w:rsidRPr="002130C0">
        <w:rPr>
          <w:rFonts w:eastAsia="Times New Roman" w:cstheme="minorHAnsi"/>
          <w:sz w:val="20"/>
          <w:szCs w:val="20"/>
          <w:lang w:eastAsia="en-GB"/>
        </w:rPr>
        <w:t>).</w:t>
      </w:r>
    </w:p>
  </w:footnote>
  <w:footnote w:id="38">
    <w:p w14:paraId="4A480C15" w14:textId="4D7EBF60" w:rsidR="00297B72" w:rsidRPr="002130C0" w:rsidRDefault="00297B72" w:rsidP="00CB68B8">
      <w:pPr>
        <w:pStyle w:val="FootnoteText"/>
        <w:rPr>
          <w:rFonts w:cstheme="minorHAnsi"/>
        </w:rPr>
      </w:pPr>
      <w:r w:rsidRPr="002130C0">
        <w:rPr>
          <w:rStyle w:val="FootnoteReference"/>
          <w:rFonts w:cstheme="minorHAnsi"/>
        </w:rPr>
        <w:footnoteRef/>
      </w:r>
      <w:r w:rsidR="00A3136D" w:rsidRPr="002130C0">
        <w:rPr>
          <w:rFonts w:cstheme="minorHAnsi"/>
        </w:rPr>
        <w:t xml:space="preserve"> </w:t>
      </w:r>
      <w:proofErr w:type="spellStart"/>
      <w:r w:rsidR="00A3136D" w:rsidRPr="002130C0">
        <w:rPr>
          <w:rFonts w:cstheme="minorHAnsi"/>
        </w:rPr>
        <w:t>Iyiola</w:t>
      </w:r>
      <w:proofErr w:type="spellEnd"/>
      <w:r w:rsidRPr="002130C0">
        <w:rPr>
          <w:rFonts w:cstheme="minorHAnsi"/>
        </w:rPr>
        <w:t xml:space="preserve"> Solanke, ‘The Impact of Brexit on Black Women, Children and Citizenship</w:t>
      </w:r>
      <w:proofErr w:type="gramStart"/>
      <w:r w:rsidRPr="002130C0">
        <w:rPr>
          <w:rFonts w:cstheme="minorHAnsi"/>
        </w:rPr>
        <w:t xml:space="preserve">’  </w:t>
      </w:r>
      <w:r w:rsidR="001D4D95">
        <w:rPr>
          <w:rFonts w:cstheme="minorHAnsi"/>
        </w:rPr>
        <w:t>(</w:t>
      </w:r>
      <w:proofErr w:type="gramEnd"/>
      <w:r w:rsidRPr="002130C0">
        <w:rPr>
          <w:rFonts w:cstheme="minorHAnsi"/>
        </w:rPr>
        <w:t>2020</w:t>
      </w:r>
      <w:r w:rsidR="001D4D95">
        <w:rPr>
          <w:rFonts w:cstheme="minorHAnsi"/>
        </w:rPr>
        <w:t>)</w:t>
      </w:r>
      <w:r w:rsidRPr="002130C0">
        <w:rPr>
          <w:rFonts w:cstheme="minorHAnsi"/>
        </w:rPr>
        <w:t xml:space="preserve"> </w:t>
      </w:r>
      <w:r w:rsidRPr="002130C0">
        <w:rPr>
          <w:rFonts w:cstheme="minorHAnsi"/>
          <w:i/>
          <w:iCs/>
        </w:rPr>
        <w:t>Journal of Common Market Studies</w:t>
      </w:r>
      <w:r w:rsidR="008A1EA9" w:rsidRPr="002130C0">
        <w:rPr>
          <w:rFonts w:cstheme="minorHAnsi"/>
          <w:i/>
          <w:iCs/>
        </w:rPr>
        <w:t xml:space="preserve"> </w:t>
      </w:r>
      <w:r w:rsidR="008A1EA9" w:rsidRPr="002130C0">
        <w:rPr>
          <w:rFonts w:cstheme="minorHAnsi"/>
        </w:rPr>
        <w:t>58</w:t>
      </w:r>
      <w:r w:rsidRPr="002130C0">
        <w:rPr>
          <w:rFonts w:cstheme="minorHAnsi"/>
        </w:rPr>
        <w:t>, 147</w:t>
      </w:r>
      <w:r w:rsidR="001D4D95">
        <w:rPr>
          <w:rFonts w:cstheme="minorHAnsi"/>
        </w:rPr>
        <w:t>-1</w:t>
      </w:r>
      <w:r w:rsidRPr="002130C0">
        <w:rPr>
          <w:rFonts w:cstheme="minorHAnsi"/>
        </w:rPr>
        <w:t>59.</w:t>
      </w:r>
    </w:p>
  </w:footnote>
  <w:footnote w:id="39">
    <w:p w14:paraId="20AD82F3" w14:textId="374A5993" w:rsidR="00A95E7D" w:rsidRPr="002130C0" w:rsidRDefault="00A95E7D"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Eg</w:t>
      </w:r>
      <w:proofErr w:type="spellEnd"/>
      <w:r w:rsidRPr="002130C0">
        <w:rPr>
          <w:rFonts w:cstheme="minorHAnsi"/>
        </w:rPr>
        <w:t xml:space="preserve">, </w:t>
      </w:r>
      <w:r w:rsidR="00890B49" w:rsidRPr="002130C0">
        <w:rPr>
          <w:rFonts w:cstheme="minorHAnsi"/>
        </w:rPr>
        <w:t xml:space="preserve">Alina </w:t>
      </w:r>
      <w:proofErr w:type="spellStart"/>
      <w:r w:rsidR="00B835FA" w:rsidRPr="002130C0">
        <w:rPr>
          <w:rFonts w:cstheme="minorHAnsi"/>
        </w:rPr>
        <w:t>Tryfonidou</w:t>
      </w:r>
      <w:proofErr w:type="spellEnd"/>
      <w:r w:rsidR="00B835FA" w:rsidRPr="002130C0">
        <w:rPr>
          <w:rFonts w:cstheme="minorHAnsi"/>
        </w:rPr>
        <w:t xml:space="preserve">, ‘The Parenting Rights of Same-Sex Couples Under European Law’ </w:t>
      </w:r>
      <w:r w:rsidR="001D4D95">
        <w:rPr>
          <w:rFonts w:cstheme="minorHAnsi"/>
        </w:rPr>
        <w:t>(</w:t>
      </w:r>
      <w:r w:rsidR="00B835FA" w:rsidRPr="002130C0">
        <w:rPr>
          <w:rFonts w:cstheme="minorHAnsi"/>
        </w:rPr>
        <w:t>2020</w:t>
      </w:r>
      <w:r w:rsidR="001D4D95">
        <w:rPr>
          <w:rFonts w:cstheme="minorHAnsi"/>
        </w:rPr>
        <w:t>)</w:t>
      </w:r>
      <w:r w:rsidR="00B835FA" w:rsidRPr="002130C0">
        <w:rPr>
          <w:rFonts w:cstheme="minorHAnsi"/>
        </w:rPr>
        <w:t xml:space="preserve"> </w:t>
      </w:r>
      <w:r w:rsidR="00B835FA" w:rsidRPr="002130C0">
        <w:rPr>
          <w:rFonts w:cstheme="minorHAnsi"/>
          <w:i/>
          <w:iCs/>
        </w:rPr>
        <w:t>Marriage, Families and Spirituality</w:t>
      </w:r>
      <w:r w:rsidR="00B835FA" w:rsidRPr="002130C0">
        <w:rPr>
          <w:rFonts w:cstheme="minorHAnsi"/>
        </w:rPr>
        <w:t xml:space="preserve"> </w:t>
      </w:r>
      <w:r w:rsidR="008A1EA9" w:rsidRPr="002130C0">
        <w:rPr>
          <w:rFonts w:cstheme="minorHAnsi"/>
        </w:rPr>
        <w:t xml:space="preserve">25(2), </w:t>
      </w:r>
      <w:r w:rsidR="00B835FA" w:rsidRPr="002130C0">
        <w:rPr>
          <w:rFonts w:cstheme="minorHAnsi"/>
        </w:rPr>
        <w:t>179-194</w:t>
      </w:r>
      <w:r w:rsidR="00C66EA9">
        <w:rPr>
          <w:rFonts w:cstheme="minorHAnsi"/>
        </w:rPr>
        <w:t>;</w:t>
      </w:r>
      <w:r w:rsidR="00B835FA" w:rsidRPr="002130C0">
        <w:rPr>
          <w:rFonts w:cstheme="minorHAnsi"/>
        </w:rPr>
        <w:t xml:space="preserve"> </w:t>
      </w:r>
      <w:r w:rsidR="00890B49" w:rsidRPr="002130C0">
        <w:rPr>
          <w:rFonts w:cstheme="minorHAnsi"/>
          <w:lang w:val="en-US"/>
        </w:rPr>
        <w:t xml:space="preserve">Alina </w:t>
      </w:r>
      <w:proofErr w:type="spellStart"/>
      <w:r w:rsidRPr="002130C0">
        <w:rPr>
          <w:rFonts w:cstheme="minorHAnsi"/>
          <w:lang w:val="en-US"/>
        </w:rPr>
        <w:t>Tryfonidou</w:t>
      </w:r>
      <w:proofErr w:type="spellEnd"/>
      <w:r w:rsidRPr="002130C0">
        <w:rPr>
          <w:rFonts w:cstheme="minorHAnsi"/>
          <w:lang w:val="en-US"/>
        </w:rPr>
        <w:t xml:space="preserve">, ‘EU Free Movement Law and the Children of Rainbow Families: Children of a Lesser God?’ </w:t>
      </w:r>
      <w:r w:rsidR="00C66EA9">
        <w:rPr>
          <w:rFonts w:cstheme="minorHAnsi"/>
          <w:lang w:val="en-US"/>
        </w:rPr>
        <w:t>(</w:t>
      </w:r>
      <w:r w:rsidR="008A1EA9" w:rsidRPr="002130C0">
        <w:rPr>
          <w:rFonts w:cstheme="minorHAnsi"/>
          <w:lang w:val="en-US"/>
        </w:rPr>
        <w:t>2019</w:t>
      </w:r>
      <w:r w:rsidR="00C66EA9">
        <w:rPr>
          <w:rFonts w:cstheme="minorHAnsi"/>
          <w:lang w:val="en-US"/>
        </w:rPr>
        <w:t>)</w:t>
      </w:r>
      <w:r w:rsidR="008A1EA9" w:rsidRPr="002130C0">
        <w:rPr>
          <w:rFonts w:cstheme="minorHAnsi"/>
          <w:lang w:val="en-US"/>
        </w:rPr>
        <w:t xml:space="preserve"> </w:t>
      </w:r>
      <w:r w:rsidRPr="002130C0">
        <w:rPr>
          <w:rFonts w:cstheme="minorHAnsi"/>
          <w:i/>
          <w:iCs/>
          <w:lang w:val="en-US"/>
        </w:rPr>
        <w:t>Yearbook of European Law</w:t>
      </w:r>
      <w:r w:rsidR="008A1EA9" w:rsidRPr="002130C0">
        <w:rPr>
          <w:rFonts w:cstheme="minorHAnsi"/>
          <w:i/>
          <w:iCs/>
          <w:lang w:val="en-US"/>
        </w:rPr>
        <w:t xml:space="preserve"> </w:t>
      </w:r>
      <w:proofErr w:type="gramStart"/>
      <w:r w:rsidR="008A1EA9" w:rsidRPr="002130C0">
        <w:rPr>
          <w:rFonts w:cstheme="minorHAnsi"/>
          <w:lang w:val="en-US"/>
        </w:rPr>
        <w:t xml:space="preserve">38, </w:t>
      </w:r>
      <w:r w:rsidRPr="002130C0">
        <w:rPr>
          <w:rFonts w:cstheme="minorHAnsi"/>
          <w:lang w:val="en-US"/>
        </w:rPr>
        <w:t xml:space="preserve"> 220</w:t>
      </w:r>
      <w:proofErr w:type="gramEnd"/>
      <w:r w:rsidRPr="002130C0">
        <w:rPr>
          <w:rFonts w:cstheme="minorHAnsi"/>
          <w:lang w:val="en-US"/>
        </w:rPr>
        <w:t>-2</w:t>
      </w:r>
      <w:r w:rsidR="00F72360">
        <w:rPr>
          <w:rFonts w:cstheme="minorHAnsi"/>
          <w:lang w:val="en-US"/>
        </w:rPr>
        <w:t>2</w:t>
      </w:r>
      <w:r w:rsidRPr="002130C0">
        <w:rPr>
          <w:rFonts w:cstheme="minorHAnsi"/>
          <w:lang w:val="en-US"/>
        </w:rPr>
        <w:t>6, 2</w:t>
      </w:r>
      <w:r w:rsidR="00F72360">
        <w:rPr>
          <w:rFonts w:cstheme="minorHAnsi"/>
          <w:lang w:val="en-US"/>
        </w:rPr>
        <w:t>2</w:t>
      </w:r>
      <w:r w:rsidRPr="002130C0">
        <w:rPr>
          <w:rFonts w:cstheme="minorHAnsi"/>
          <w:lang w:val="en-US"/>
        </w:rPr>
        <w:t>2</w:t>
      </w:r>
      <w:r w:rsidR="00F874C6" w:rsidRPr="002130C0">
        <w:rPr>
          <w:rFonts w:cstheme="minorHAnsi"/>
          <w:lang w:val="en-US"/>
        </w:rPr>
        <w:t>.</w:t>
      </w:r>
    </w:p>
  </w:footnote>
  <w:footnote w:id="40">
    <w:p w14:paraId="5E706B61" w14:textId="05A66033" w:rsidR="00D6714B" w:rsidRPr="002130C0" w:rsidRDefault="00F60C34" w:rsidP="00CB68B8">
      <w:pPr>
        <w:spacing w:after="0" w:line="240" w:lineRule="auto"/>
        <w:textAlignment w:val="baseline"/>
        <w:rPr>
          <w:rFonts w:cstheme="minorHAnsi"/>
          <w:sz w:val="20"/>
          <w:szCs w:val="20"/>
        </w:rPr>
      </w:pPr>
      <w:r w:rsidRPr="002130C0">
        <w:rPr>
          <w:rStyle w:val="FootnoteReference"/>
          <w:rFonts w:cstheme="minorHAnsi"/>
          <w:sz w:val="20"/>
          <w:szCs w:val="20"/>
        </w:rPr>
        <w:footnoteRef/>
      </w:r>
      <w:r w:rsidRPr="002130C0">
        <w:rPr>
          <w:rFonts w:cstheme="minorHAnsi"/>
          <w:sz w:val="20"/>
          <w:szCs w:val="20"/>
        </w:rPr>
        <w:t xml:space="preserve"> </w:t>
      </w:r>
      <w:r w:rsidR="00887099" w:rsidRPr="002130C0">
        <w:rPr>
          <w:rFonts w:cstheme="minorHAnsi"/>
          <w:sz w:val="20"/>
          <w:szCs w:val="20"/>
        </w:rPr>
        <w:t>Jan Pieter</w:t>
      </w:r>
      <w:r w:rsidR="00466699">
        <w:rPr>
          <w:rFonts w:cstheme="minorHAnsi"/>
          <w:sz w:val="20"/>
          <w:szCs w:val="20"/>
        </w:rPr>
        <w:t xml:space="preserve"> Beetz</w:t>
      </w:r>
      <w:r w:rsidR="00887099" w:rsidRPr="002130C0">
        <w:rPr>
          <w:rFonts w:cstheme="minorHAnsi"/>
          <w:sz w:val="20"/>
          <w:szCs w:val="20"/>
        </w:rPr>
        <w:t>, ‘</w:t>
      </w:r>
      <w:r w:rsidR="00B45DB3" w:rsidRPr="002130C0">
        <w:rPr>
          <w:rFonts w:cstheme="minorHAnsi"/>
          <w:sz w:val="20"/>
          <w:szCs w:val="20"/>
          <w:shd w:val="clear" w:color="auto" w:fill="FFFFFF"/>
        </w:rPr>
        <w:t xml:space="preserve">From </w:t>
      </w:r>
      <w:r w:rsidR="00F72360">
        <w:rPr>
          <w:rFonts w:cstheme="minorHAnsi"/>
          <w:sz w:val="20"/>
          <w:szCs w:val="20"/>
          <w:shd w:val="clear" w:color="auto" w:fill="FFFFFF"/>
        </w:rPr>
        <w:t>P</w:t>
      </w:r>
      <w:r w:rsidR="00B45DB3" w:rsidRPr="002130C0">
        <w:rPr>
          <w:rFonts w:cstheme="minorHAnsi"/>
          <w:sz w:val="20"/>
          <w:szCs w:val="20"/>
          <w:shd w:val="clear" w:color="auto" w:fill="FFFFFF"/>
        </w:rPr>
        <w:t xml:space="preserve">ractice to </w:t>
      </w:r>
      <w:r w:rsidR="00F72360">
        <w:rPr>
          <w:rFonts w:cstheme="minorHAnsi"/>
          <w:sz w:val="20"/>
          <w:szCs w:val="20"/>
          <w:shd w:val="clear" w:color="auto" w:fill="FFFFFF"/>
        </w:rPr>
        <w:t>P</w:t>
      </w:r>
      <w:r w:rsidR="00B45DB3" w:rsidRPr="002130C0">
        <w:rPr>
          <w:rFonts w:cstheme="minorHAnsi"/>
          <w:sz w:val="20"/>
          <w:szCs w:val="20"/>
          <w:shd w:val="clear" w:color="auto" w:fill="FFFFFF"/>
        </w:rPr>
        <w:t xml:space="preserve">rinciple and </w:t>
      </w:r>
      <w:r w:rsidR="00F72360">
        <w:rPr>
          <w:rFonts w:cstheme="minorHAnsi"/>
          <w:sz w:val="20"/>
          <w:szCs w:val="20"/>
          <w:shd w:val="clear" w:color="auto" w:fill="FFFFFF"/>
        </w:rPr>
        <w:t>B</w:t>
      </w:r>
      <w:r w:rsidR="00B45DB3" w:rsidRPr="002130C0">
        <w:rPr>
          <w:rFonts w:cstheme="minorHAnsi"/>
          <w:sz w:val="20"/>
          <w:szCs w:val="20"/>
          <w:shd w:val="clear" w:color="auto" w:fill="FFFFFF"/>
        </w:rPr>
        <w:t xml:space="preserve">ack: Applying a </w:t>
      </w:r>
      <w:r w:rsidR="00F72360">
        <w:rPr>
          <w:rFonts w:cstheme="minorHAnsi"/>
          <w:sz w:val="20"/>
          <w:szCs w:val="20"/>
          <w:shd w:val="clear" w:color="auto" w:fill="FFFFFF"/>
        </w:rPr>
        <w:t>N</w:t>
      </w:r>
      <w:r w:rsidR="00B45DB3" w:rsidRPr="002130C0">
        <w:rPr>
          <w:rFonts w:cstheme="minorHAnsi"/>
          <w:sz w:val="20"/>
          <w:szCs w:val="20"/>
          <w:shd w:val="clear" w:color="auto" w:fill="FFFFFF"/>
        </w:rPr>
        <w:t xml:space="preserve">ew </w:t>
      </w:r>
      <w:r w:rsidR="00F72360">
        <w:rPr>
          <w:rFonts w:cstheme="minorHAnsi"/>
          <w:sz w:val="20"/>
          <w:szCs w:val="20"/>
          <w:shd w:val="clear" w:color="auto" w:fill="FFFFFF"/>
        </w:rPr>
        <w:t>R</w:t>
      </w:r>
      <w:r w:rsidR="00B45DB3" w:rsidRPr="002130C0">
        <w:rPr>
          <w:rFonts w:cstheme="minorHAnsi"/>
          <w:sz w:val="20"/>
          <w:szCs w:val="20"/>
          <w:shd w:val="clear" w:color="auto" w:fill="FFFFFF"/>
        </w:rPr>
        <w:t xml:space="preserve">ealist </w:t>
      </w:r>
      <w:r w:rsidR="00F72360">
        <w:rPr>
          <w:rFonts w:cstheme="minorHAnsi"/>
          <w:sz w:val="20"/>
          <w:szCs w:val="20"/>
          <w:shd w:val="clear" w:color="auto" w:fill="FFFFFF"/>
        </w:rPr>
        <w:t>M</w:t>
      </w:r>
      <w:r w:rsidR="00B45DB3" w:rsidRPr="002130C0">
        <w:rPr>
          <w:rFonts w:cstheme="minorHAnsi"/>
          <w:sz w:val="20"/>
          <w:szCs w:val="20"/>
          <w:shd w:val="clear" w:color="auto" w:fill="FFFFFF"/>
        </w:rPr>
        <w:t xml:space="preserve">ethod to the European Union’s </w:t>
      </w:r>
      <w:r w:rsidR="00F72360">
        <w:rPr>
          <w:rFonts w:cstheme="minorHAnsi"/>
          <w:sz w:val="20"/>
          <w:szCs w:val="20"/>
          <w:shd w:val="clear" w:color="auto" w:fill="FFFFFF"/>
        </w:rPr>
        <w:t>D</w:t>
      </w:r>
      <w:r w:rsidR="00B45DB3" w:rsidRPr="002130C0">
        <w:rPr>
          <w:rFonts w:cstheme="minorHAnsi"/>
          <w:sz w:val="20"/>
          <w:szCs w:val="20"/>
          <w:shd w:val="clear" w:color="auto" w:fill="FFFFFF"/>
        </w:rPr>
        <w:t xml:space="preserve">emocratic </w:t>
      </w:r>
      <w:r w:rsidR="00F72360">
        <w:rPr>
          <w:rFonts w:cstheme="minorHAnsi"/>
          <w:sz w:val="20"/>
          <w:szCs w:val="20"/>
          <w:shd w:val="clear" w:color="auto" w:fill="FFFFFF"/>
        </w:rPr>
        <w:t>D</w:t>
      </w:r>
      <w:r w:rsidR="00B45DB3" w:rsidRPr="002130C0">
        <w:rPr>
          <w:rFonts w:cstheme="minorHAnsi"/>
          <w:sz w:val="20"/>
          <w:szCs w:val="20"/>
          <w:shd w:val="clear" w:color="auto" w:fill="FFFFFF"/>
        </w:rPr>
        <w:t>eficit</w:t>
      </w:r>
      <w:r w:rsidR="00887099" w:rsidRPr="002130C0">
        <w:rPr>
          <w:rFonts w:cstheme="minorHAnsi"/>
          <w:sz w:val="20"/>
          <w:szCs w:val="20"/>
          <w:shd w:val="clear" w:color="auto" w:fill="FFFFFF"/>
        </w:rPr>
        <w:t xml:space="preserve">’ </w:t>
      </w:r>
      <w:r w:rsidR="00F72360">
        <w:rPr>
          <w:rFonts w:cstheme="minorHAnsi"/>
          <w:sz w:val="20"/>
          <w:szCs w:val="20"/>
          <w:shd w:val="clear" w:color="auto" w:fill="FFFFFF"/>
        </w:rPr>
        <w:t>(</w:t>
      </w:r>
      <w:r w:rsidR="00887099" w:rsidRPr="002130C0">
        <w:rPr>
          <w:rFonts w:cstheme="minorHAnsi"/>
          <w:sz w:val="20"/>
          <w:szCs w:val="20"/>
          <w:shd w:val="clear" w:color="auto" w:fill="FFFFFF"/>
        </w:rPr>
        <w:t>2018</w:t>
      </w:r>
      <w:r w:rsidR="00F72360">
        <w:rPr>
          <w:rFonts w:cstheme="minorHAnsi"/>
          <w:sz w:val="20"/>
          <w:szCs w:val="20"/>
          <w:shd w:val="clear" w:color="auto" w:fill="FFFFFF"/>
        </w:rPr>
        <w:t>)</w:t>
      </w:r>
      <w:r w:rsidR="00B45DB3" w:rsidRPr="002130C0">
        <w:rPr>
          <w:rFonts w:cstheme="minorHAnsi"/>
          <w:sz w:val="20"/>
          <w:szCs w:val="20"/>
          <w:shd w:val="clear" w:color="auto" w:fill="FFFFFF"/>
        </w:rPr>
        <w:t> </w:t>
      </w:r>
      <w:r w:rsidR="00B45DB3" w:rsidRPr="002130C0">
        <w:rPr>
          <w:rStyle w:val="Emphasis"/>
          <w:rFonts w:cstheme="minorHAnsi"/>
          <w:sz w:val="20"/>
          <w:szCs w:val="20"/>
          <w:shd w:val="clear" w:color="auto" w:fill="FFFFFF"/>
        </w:rPr>
        <w:t>Political Studies</w:t>
      </w:r>
      <w:r w:rsidR="00B45DB3" w:rsidRPr="002130C0">
        <w:rPr>
          <w:rFonts w:cstheme="minorHAnsi"/>
          <w:sz w:val="20"/>
          <w:szCs w:val="20"/>
          <w:shd w:val="clear" w:color="auto" w:fill="FFFFFF"/>
        </w:rPr>
        <w:t xml:space="preserve"> 66(2), 339</w:t>
      </w:r>
      <w:r w:rsidR="00F72360">
        <w:rPr>
          <w:rFonts w:cstheme="minorHAnsi"/>
          <w:sz w:val="20"/>
          <w:szCs w:val="20"/>
          <w:shd w:val="clear" w:color="auto" w:fill="FFFFFF"/>
        </w:rPr>
        <w:t>-3</w:t>
      </w:r>
      <w:r w:rsidR="00B45DB3" w:rsidRPr="002130C0">
        <w:rPr>
          <w:rFonts w:cstheme="minorHAnsi"/>
          <w:sz w:val="20"/>
          <w:szCs w:val="20"/>
          <w:shd w:val="clear" w:color="auto" w:fill="FFFFFF"/>
        </w:rPr>
        <w:t>55</w:t>
      </w:r>
      <w:r w:rsidR="00BD7302">
        <w:rPr>
          <w:rFonts w:cstheme="minorHAnsi"/>
          <w:sz w:val="20"/>
          <w:szCs w:val="20"/>
        </w:rPr>
        <w:t>;</w:t>
      </w:r>
      <w:r w:rsidRPr="002130C0">
        <w:rPr>
          <w:rFonts w:cstheme="minorHAnsi"/>
          <w:sz w:val="20"/>
          <w:szCs w:val="20"/>
        </w:rPr>
        <w:t xml:space="preserve"> </w:t>
      </w:r>
      <w:r w:rsidR="001E172C" w:rsidRPr="002130C0">
        <w:rPr>
          <w:rFonts w:cstheme="minorHAnsi"/>
          <w:sz w:val="20"/>
          <w:szCs w:val="20"/>
        </w:rPr>
        <w:t xml:space="preserve">Sara </w:t>
      </w:r>
      <w:r w:rsidR="00B13EFA" w:rsidRPr="002130C0">
        <w:rPr>
          <w:rFonts w:cstheme="minorHAnsi"/>
          <w:sz w:val="20"/>
          <w:szCs w:val="20"/>
          <w:shd w:val="clear" w:color="auto" w:fill="FFFFFF"/>
        </w:rPr>
        <w:t>Hobolt</w:t>
      </w:r>
      <w:r w:rsidR="001E172C" w:rsidRPr="002130C0">
        <w:rPr>
          <w:rFonts w:cstheme="minorHAnsi"/>
          <w:sz w:val="20"/>
          <w:szCs w:val="20"/>
          <w:shd w:val="clear" w:color="auto" w:fill="FFFFFF"/>
        </w:rPr>
        <w:t>,</w:t>
      </w:r>
      <w:r w:rsidR="00B13EFA" w:rsidRPr="002130C0">
        <w:rPr>
          <w:rFonts w:cstheme="minorHAnsi"/>
          <w:sz w:val="20"/>
          <w:szCs w:val="20"/>
          <w:shd w:val="clear" w:color="auto" w:fill="FFFFFF"/>
        </w:rPr>
        <w:t xml:space="preserve"> </w:t>
      </w:r>
      <w:r w:rsidR="001E172C" w:rsidRPr="002130C0">
        <w:rPr>
          <w:rFonts w:cstheme="minorHAnsi"/>
          <w:sz w:val="20"/>
          <w:szCs w:val="20"/>
          <w:shd w:val="clear" w:color="auto" w:fill="FFFFFF"/>
        </w:rPr>
        <w:t>‘</w:t>
      </w:r>
      <w:r w:rsidR="00B13EFA" w:rsidRPr="002130C0">
        <w:rPr>
          <w:rFonts w:cstheme="minorHAnsi"/>
          <w:sz w:val="20"/>
          <w:szCs w:val="20"/>
          <w:shd w:val="clear" w:color="auto" w:fill="FFFFFF"/>
        </w:rPr>
        <w:t>The Brexit Vote: A Divided Nation, a Divided Continent</w:t>
      </w:r>
      <w:r w:rsidR="001E172C" w:rsidRPr="002130C0">
        <w:rPr>
          <w:rFonts w:cstheme="minorHAnsi"/>
          <w:sz w:val="20"/>
          <w:szCs w:val="20"/>
          <w:shd w:val="clear" w:color="auto" w:fill="FFFFFF"/>
        </w:rPr>
        <w:t xml:space="preserve">’ </w:t>
      </w:r>
      <w:r w:rsidR="00F72360">
        <w:rPr>
          <w:rFonts w:cstheme="minorHAnsi"/>
          <w:sz w:val="20"/>
          <w:szCs w:val="20"/>
          <w:shd w:val="clear" w:color="auto" w:fill="FFFFFF"/>
        </w:rPr>
        <w:t>(</w:t>
      </w:r>
      <w:r w:rsidR="001E172C" w:rsidRPr="002130C0">
        <w:rPr>
          <w:rFonts w:cstheme="minorHAnsi"/>
          <w:sz w:val="20"/>
          <w:szCs w:val="20"/>
          <w:shd w:val="clear" w:color="auto" w:fill="FFFFFF"/>
        </w:rPr>
        <w:t>2016</w:t>
      </w:r>
      <w:r w:rsidR="00F72360">
        <w:rPr>
          <w:rFonts w:cstheme="minorHAnsi"/>
          <w:sz w:val="20"/>
          <w:szCs w:val="20"/>
          <w:shd w:val="clear" w:color="auto" w:fill="FFFFFF"/>
        </w:rPr>
        <w:t>)</w:t>
      </w:r>
      <w:r w:rsidR="00B13EFA" w:rsidRPr="002130C0">
        <w:rPr>
          <w:rFonts w:cstheme="minorHAnsi"/>
          <w:sz w:val="20"/>
          <w:szCs w:val="20"/>
          <w:shd w:val="clear" w:color="auto" w:fill="FFFFFF"/>
        </w:rPr>
        <w:t> </w:t>
      </w:r>
      <w:r w:rsidR="00B13EFA" w:rsidRPr="002130C0">
        <w:rPr>
          <w:rStyle w:val="Emphasis"/>
          <w:rFonts w:cstheme="minorHAnsi"/>
          <w:sz w:val="20"/>
          <w:szCs w:val="20"/>
          <w:shd w:val="clear" w:color="auto" w:fill="FFFFFF"/>
        </w:rPr>
        <w:t>Journal of European Public Policy</w:t>
      </w:r>
      <w:r w:rsidR="00B13EFA" w:rsidRPr="002130C0">
        <w:rPr>
          <w:rFonts w:cstheme="minorHAnsi"/>
          <w:sz w:val="20"/>
          <w:szCs w:val="20"/>
          <w:shd w:val="clear" w:color="auto" w:fill="FFFFFF"/>
        </w:rPr>
        <w:t> 23(9)</w:t>
      </w:r>
      <w:r w:rsidR="00F72360">
        <w:rPr>
          <w:rFonts w:cstheme="minorHAnsi"/>
          <w:sz w:val="20"/>
          <w:szCs w:val="20"/>
          <w:shd w:val="clear" w:color="auto" w:fill="FFFFFF"/>
        </w:rPr>
        <w:t>,</w:t>
      </w:r>
      <w:r w:rsidR="00B13EFA" w:rsidRPr="002130C0">
        <w:rPr>
          <w:rFonts w:cstheme="minorHAnsi"/>
          <w:sz w:val="20"/>
          <w:szCs w:val="20"/>
          <w:shd w:val="clear" w:color="auto" w:fill="FFFFFF"/>
        </w:rPr>
        <w:t xml:space="preserve"> 1259</w:t>
      </w:r>
      <w:r w:rsidR="00F72360">
        <w:rPr>
          <w:rFonts w:cstheme="minorHAnsi"/>
          <w:sz w:val="20"/>
          <w:szCs w:val="20"/>
          <w:shd w:val="clear" w:color="auto" w:fill="FFFFFF"/>
        </w:rPr>
        <w:t>-</w:t>
      </w:r>
      <w:r w:rsidR="00B13EFA" w:rsidRPr="002130C0">
        <w:rPr>
          <w:rFonts w:cstheme="minorHAnsi"/>
          <w:sz w:val="20"/>
          <w:szCs w:val="20"/>
          <w:shd w:val="clear" w:color="auto" w:fill="FFFFFF"/>
        </w:rPr>
        <w:t>1277.</w:t>
      </w:r>
    </w:p>
  </w:footnote>
  <w:footnote w:id="41">
    <w:p w14:paraId="6CAC288A" w14:textId="2E08695A" w:rsidR="008144DC" w:rsidRPr="002130C0" w:rsidRDefault="008144DC" w:rsidP="00CB68B8">
      <w:pPr>
        <w:pStyle w:val="FootnoteText"/>
        <w:rPr>
          <w:rFonts w:cstheme="minorHAnsi"/>
          <w:color w:val="333333"/>
          <w:shd w:val="clear" w:color="auto" w:fill="FFFFFF"/>
        </w:rPr>
      </w:pPr>
      <w:r w:rsidRPr="002130C0">
        <w:rPr>
          <w:rStyle w:val="FootnoteReference"/>
          <w:rFonts w:cstheme="minorHAnsi"/>
        </w:rPr>
        <w:footnoteRef/>
      </w:r>
      <w:r w:rsidRPr="002130C0">
        <w:rPr>
          <w:rFonts w:cstheme="minorHAnsi"/>
        </w:rPr>
        <w:t xml:space="preserve"> </w:t>
      </w:r>
      <w:r w:rsidR="006A10CF" w:rsidRPr="002130C0">
        <w:rPr>
          <w:rFonts w:cstheme="minorHAnsi"/>
          <w:color w:val="333333"/>
          <w:shd w:val="clear" w:color="auto" w:fill="FFFFFF"/>
        </w:rPr>
        <w:t>Hobolt</w:t>
      </w:r>
      <w:r w:rsidR="00FE42A2">
        <w:rPr>
          <w:rFonts w:cstheme="minorHAnsi"/>
          <w:color w:val="333333"/>
          <w:shd w:val="clear" w:color="auto" w:fill="FFFFFF"/>
        </w:rPr>
        <w:t>, ibid</w:t>
      </w:r>
      <w:r w:rsidR="006A10CF" w:rsidRPr="002130C0">
        <w:rPr>
          <w:rFonts w:cstheme="minorHAnsi"/>
          <w:color w:val="333333"/>
          <w:shd w:val="clear" w:color="auto" w:fill="FFFFFF"/>
        </w:rPr>
        <w:t xml:space="preserve">. </w:t>
      </w:r>
    </w:p>
  </w:footnote>
  <w:footnote w:id="42">
    <w:p w14:paraId="5C683AAF" w14:textId="4DFD0EE2" w:rsidR="00E9304C" w:rsidRPr="002130C0" w:rsidRDefault="00E9304C"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44161D" w:rsidRPr="002130C0">
        <w:rPr>
          <w:rFonts w:cstheme="minorHAnsi"/>
          <w:lang w:val="en-US"/>
        </w:rPr>
        <w:t xml:space="preserve">Beetz </w:t>
      </w:r>
      <w:r w:rsidR="006E36F4">
        <w:rPr>
          <w:rFonts w:cstheme="minorHAnsi"/>
          <w:lang w:val="en-US"/>
        </w:rPr>
        <w:t>(</w:t>
      </w:r>
      <w:r w:rsidR="0044161D" w:rsidRPr="002130C0">
        <w:rPr>
          <w:rFonts w:cstheme="minorHAnsi"/>
          <w:lang w:val="en-US"/>
        </w:rPr>
        <w:t>n</w:t>
      </w:r>
      <w:r w:rsidR="00466699">
        <w:rPr>
          <w:rFonts w:cstheme="minorHAnsi"/>
          <w:lang w:val="en-US"/>
        </w:rPr>
        <w:t>39</w:t>
      </w:r>
      <w:r w:rsidR="006E36F4">
        <w:rPr>
          <w:rFonts w:cstheme="minorHAnsi"/>
          <w:lang w:val="en-US"/>
        </w:rPr>
        <w:t>)</w:t>
      </w:r>
      <w:r w:rsidR="0044161D" w:rsidRPr="002130C0">
        <w:rPr>
          <w:rFonts w:cstheme="minorHAnsi"/>
          <w:lang w:val="en-US"/>
        </w:rPr>
        <w:t xml:space="preserve">. </w:t>
      </w:r>
    </w:p>
  </w:footnote>
  <w:footnote w:id="43">
    <w:p w14:paraId="458074B1" w14:textId="4663054C" w:rsidR="00CE033B" w:rsidRPr="002130C0" w:rsidRDefault="00CE033B"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See for further discussion Renáta Uitz, ‘The Rule of Law in the EU: Crisis, Differentiation, Conditionality</w:t>
      </w:r>
      <w:r w:rsidR="00F067D9">
        <w:rPr>
          <w:rFonts w:cstheme="minorHAnsi"/>
        </w:rPr>
        <w:t>’ (2022)</w:t>
      </w:r>
      <w:r w:rsidRPr="002130C0">
        <w:rPr>
          <w:rFonts w:cstheme="minorHAnsi"/>
        </w:rPr>
        <w:t xml:space="preserve"> </w:t>
      </w:r>
      <w:r w:rsidRPr="00F067D9">
        <w:rPr>
          <w:rFonts w:cstheme="minorHAnsi"/>
          <w:i/>
          <w:iCs/>
        </w:rPr>
        <w:t>European Papers</w:t>
      </w:r>
      <w:r w:rsidRPr="002130C0">
        <w:rPr>
          <w:rFonts w:cstheme="minorHAnsi"/>
        </w:rPr>
        <w:t xml:space="preserve"> </w:t>
      </w:r>
      <w:r w:rsidR="00B93EA3" w:rsidRPr="002130C0">
        <w:rPr>
          <w:rFonts w:cstheme="minorHAnsi"/>
        </w:rPr>
        <w:t>7(2)</w:t>
      </w:r>
      <w:r w:rsidR="00F067D9">
        <w:rPr>
          <w:rFonts w:cstheme="minorHAnsi"/>
        </w:rPr>
        <w:t>,</w:t>
      </w:r>
      <w:r w:rsidR="00B93EA3" w:rsidRPr="002130C0">
        <w:rPr>
          <w:rFonts w:cstheme="minorHAnsi"/>
        </w:rPr>
        <w:t xml:space="preserve"> </w:t>
      </w:r>
      <w:r w:rsidRPr="002130C0">
        <w:rPr>
          <w:rFonts w:cstheme="minorHAnsi"/>
        </w:rPr>
        <w:t>929-948</w:t>
      </w:r>
      <w:r w:rsidR="00B93EA3" w:rsidRPr="002130C0">
        <w:rPr>
          <w:rFonts w:cstheme="minorHAnsi"/>
        </w:rPr>
        <w:t>.</w:t>
      </w:r>
    </w:p>
  </w:footnote>
  <w:footnote w:id="44">
    <w:p w14:paraId="68556DA1" w14:textId="4DD83D83" w:rsidR="009E17B5" w:rsidRPr="002130C0" w:rsidRDefault="009E17B5"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European Commission</w:t>
      </w:r>
      <w:r w:rsidR="009A3225" w:rsidRPr="002130C0">
        <w:rPr>
          <w:rFonts w:cstheme="minorHAnsi"/>
        </w:rPr>
        <w:t>, ‘What is the Rule of Law</w:t>
      </w:r>
      <w:r w:rsidR="00D31537">
        <w:rPr>
          <w:rFonts w:cstheme="minorHAnsi"/>
        </w:rPr>
        <w:t>?</w:t>
      </w:r>
      <w:r w:rsidR="009A3225" w:rsidRPr="002130C0">
        <w:rPr>
          <w:rFonts w:cstheme="minorHAnsi"/>
        </w:rPr>
        <w:t>’</w:t>
      </w:r>
      <w:r w:rsidR="004F48C5" w:rsidRPr="002130C0">
        <w:rPr>
          <w:rFonts w:cstheme="minorHAnsi"/>
        </w:rPr>
        <w:t xml:space="preserve"> </w:t>
      </w:r>
      <w:r w:rsidR="00D31537">
        <w:rPr>
          <w:rFonts w:cstheme="minorHAnsi"/>
        </w:rPr>
        <w:t>(</w:t>
      </w:r>
      <w:r w:rsidR="004F48C5" w:rsidRPr="002130C0">
        <w:rPr>
          <w:rFonts w:cstheme="minorHAnsi"/>
        </w:rPr>
        <w:t>2024</w:t>
      </w:r>
      <w:r w:rsidR="00D31537">
        <w:rPr>
          <w:rFonts w:cstheme="minorHAnsi"/>
        </w:rPr>
        <w:t>),</w:t>
      </w:r>
      <w:r w:rsidR="00CB5080">
        <w:rPr>
          <w:rFonts w:cstheme="minorHAnsi"/>
        </w:rPr>
        <w:t xml:space="preserve"> available at</w:t>
      </w:r>
      <w:r w:rsidR="004F48C5" w:rsidRPr="002130C0">
        <w:rPr>
          <w:rFonts w:cstheme="minorHAnsi"/>
        </w:rPr>
        <w:t xml:space="preserve"> </w:t>
      </w:r>
      <w:hyperlink r:id="rId6" w:history="1">
        <w:r w:rsidRPr="002130C0">
          <w:rPr>
            <w:rFonts w:cstheme="minorHAnsi"/>
            <w:color w:val="0000FF"/>
            <w:u w:val="single"/>
          </w:rPr>
          <w:t>What is the rule of law? - European Commission (europa.eu)</w:t>
        </w:r>
      </w:hyperlink>
      <w:r w:rsidR="00944B40">
        <w:rPr>
          <w:rFonts w:cstheme="minorHAnsi"/>
          <w:color w:val="0000FF"/>
          <w:u w:val="single"/>
        </w:rPr>
        <w:t>.</w:t>
      </w:r>
    </w:p>
  </w:footnote>
  <w:footnote w:id="45">
    <w:p w14:paraId="305BB306" w14:textId="722E6E5E" w:rsidR="009E17B5" w:rsidRPr="002130C0" w:rsidRDefault="009E17B5" w:rsidP="00CB68B8">
      <w:pPr>
        <w:pStyle w:val="FootnoteText"/>
        <w:rPr>
          <w:rFonts w:cstheme="minorHAnsi"/>
          <w:b/>
          <w:bCs/>
          <w:lang w:val="en-US"/>
        </w:rPr>
      </w:pPr>
      <w:r w:rsidRPr="002130C0">
        <w:rPr>
          <w:rStyle w:val="FootnoteReference"/>
          <w:rFonts w:cstheme="minorHAnsi"/>
        </w:rPr>
        <w:footnoteRef/>
      </w:r>
      <w:r w:rsidR="003D6857" w:rsidRPr="002130C0">
        <w:rPr>
          <w:rFonts w:cstheme="minorHAnsi"/>
          <w:lang w:val="en-US"/>
        </w:rPr>
        <w:t xml:space="preserve"> Ibid contains further detail </w:t>
      </w:r>
      <w:r w:rsidR="001B7EA8" w:rsidRPr="002130C0">
        <w:rPr>
          <w:rFonts w:cstheme="minorHAnsi"/>
          <w:lang w:val="en-US"/>
        </w:rPr>
        <w:t>explain</w:t>
      </w:r>
      <w:r w:rsidR="00480BF2">
        <w:rPr>
          <w:rFonts w:cstheme="minorHAnsi"/>
          <w:lang w:val="en-US"/>
        </w:rPr>
        <w:t>in</w:t>
      </w:r>
      <w:r w:rsidR="001B7EA8" w:rsidRPr="002130C0">
        <w:rPr>
          <w:rFonts w:cstheme="minorHAnsi"/>
          <w:lang w:val="en-US"/>
        </w:rPr>
        <w:t>g</w:t>
      </w:r>
      <w:r w:rsidR="003D6857" w:rsidRPr="002130C0">
        <w:rPr>
          <w:rFonts w:cstheme="minorHAnsi"/>
          <w:lang w:val="en-US"/>
        </w:rPr>
        <w:t xml:space="preserve"> these concepts including </w:t>
      </w:r>
      <w:r w:rsidR="001B7EA8" w:rsidRPr="002130C0">
        <w:rPr>
          <w:rFonts w:cstheme="minorHAnsi"/>
          <w:lang w:val="en-US"/>
        </w:rPr>
        <w:t>‘</w:t>
      </w:r>
      <w:r w:rsidR="00C2666B">
        <w:rPr>
          <w:rFonts w:cstheme="minorHAnsi"/>
          <w:lang w:val="en-US"/>
        </w:rPr>
        <w:t>l</w:t>
      </w:r>
      <w:r w:rsidR="003D6857" w:rsidRPr="002130C0">
        <w:rPr>
          <w:rStyle w:val="Strong"/>
          <w:rFonts w:cstheme="minorHAnsi"/>
          <w:b w:val="0"/>
          <w:bCs w:val="0"/>
          <w:color w:val="26324B"/>
        </w:rPr>
        <w:t>egality</w:t>
      </w:r>
      <w:r w:rsidR="003D6857" w:rsidRPr="002130C0">
        <w:rPr>
          <w:rFonts w:cstheme="minorHAnsi"/>
          <w:b/>
          <w:bCs/>
          <w:color w:val="26324B"/>
        </w:rPr>
        <w:t>,</w:t>
      </w:r>
      <w:r w:rsidR="003D6857" w:rsidRPr="002130C0">
        <w:rPr>
          <w:rFonts w:cstheme="minorHAnsi"/>
          <w:color w:val="26324B"/>
        </w:rPr>
        <w:t xml:space="preserve"> implying a transparent, accountable, democratic and pluralistic process for enacting laws;</w:t>
      </w:r>
      <w:r w:rsidR="003D6857" w:rsidRPr="002130C0">
        <w:rPr>
          <w:rStyle w:val="Strong"/>
          <w:rFonts w:cstheme="minorHAnsi"/>
          <w:color w:val="26324B"/>
        </w:rPr>
        <w:t> </w:t>
      </w:r>
      <w:r w:rsidR="003D6857" w:rsidRPr="002130C0">
        <w:rPr>
          <w:rStyle w:val="Strong"/>
          <w:rFonts w:cstheme="minorHAnsi"/>
          <w:b w:val="0"/>
          <w:bCs w:val="0"/>
          <w:color w:val="26324B"/>
        </w:rPr>
        <w:t>legal certainty; prohibition of the arbitrary exercise of executive power; effective judicial protection</w:t>
      </w:r>
      <w:r w:rsidR="003D6857" w:rsidRPr="002130C0">
        <w:rPr>
          <w:rStyle w:val="Strong"/>
          <w:rFonts w:cstheme="minorHAnsi"/>
          <w:color w:val="26324B"/>
        </w:rPr>
        <w:t> </w:t>
      </w:r>
      <w:r w:rsidR="003D6857" w:rsidRPr="002130C0">
        <w:rPr>
          <w:rFonts w:cstheme="minorHAnsi"/>
          <w:color w:val="26324B"/>
        </w:rPr>
        <w:t>by independent and impartial courts with effective judicial review including respect for fundamental rights; </w:t>
      </w:r>
      <w:r w:rsidR="003D6857" w:rsidRPr="002130C0">
        <w:rPr>
          <w:rStyle w:val="Strong"/>
          <w:rFonts w:cstheme="minorHAnsi"/>
          <w:b w:val="0"/>
          <w:bCs w:val="0"/>
          <w:color w:val="26324B"/>
        </w:rPr>
        <w:t>separation of powers</w:t>
      </w:r>
      <w:r w:rsidR="003D6857" w:rsidRPr="002130C0">
        <w:rPr>
          <w:rFonts w:cstheme="minorHAnsi"/>
          <w:b/>
          <w:bCs/>
          <w:color w:val="26324B"/>
        </w:rPr>
        <w:t xml:space="preserve">; </w:t>
      </w:r>
      <w:r w:rsidR="003D6857" w:rsidRPr="002130C0">
        <w:rPr>
          <w:rFonts w:cstheme="minorHAnsi"/>
          <w:color w:val="26324B"/>
        </w:rPr>
        <w:t>and</w:t>
      </w:r>
      <w:r w:rsidR="003D6857" w:rsidRPr="002130C0">
        <w:rPr>
          <w:rFonts w:cstheme="minorHAnsi"/>
          <w:b/>
          <w:bCs/>
          <w:color w:val="26324B"/>
        </w:rPr>
        <w:t> </w:t>
      </w:r>
      <w:r w:rsidR="003D6857" w:rsidRPr="002130C0">
        <w:rPr>
          <w:rStyle w:val="Strong"/>
          <w:rFonts w:cstheme="minorHAnsi"/>
          <w:b w:val="0"/>
          <w:bCs w:val="0"/>
          <w:color w:val="26324B"/>
        </w:rPr>
        <w:t>equality before the law</w:t>
      </w:r>
      <w:r w:rsidR="001B7EA8" w:rsidRPr="002130C0">
        <w:rPr>
          <w:rStyle w:val="Strong"/>
          <w:rFonts w:cstheme="minorHAnsi"/>
          <w:b w:val="0"/>
          <w:bCs w:val="0"/>
          <w:color w:val="26324B"/>
        </w:rPr>
        <w:t>’</w:t>
      </w:r>
      <w:r w:rsidR="003D6857" w:rsidRPr="002130C0">
        <w:rPr>
          <w:rFonts w:cstheme="minorHAnsi"/>
          <w:b/>
          <w:bCs/>
          <w:color w:val="26324B"/>
        </w:rPr>
        <w:t>.</w:t>
      </w:r>
      <w:r w:rsidRPr="002130C0">
        <w:rPr>
          <w:rFonts w:cstheme="minorHAnsi"/>
          <w:b/>
          <w:bCs/>
          <w:lang w:val="en-US"/>
        </w:rPr>
        <w:t xml:space="preserve"> </w:t>
      </w:r>
    </w:p>
  </w:footnote>
  <w:footnote w:id="46">
    <w:p w14:paraId="75CB390D" w14:textId="29A9FBAE" w:rsidR="006521DF" w:rsidRPr="002130C0" w:rsidRDefault="006521DF" w:rsidP="00CB68B8">
      <w:pPr>
        <w:pStyle w:val="FootnoteText"/>
        <w:rPr>
          <w:rFonts w:cstheme="minorHAnsi"/>
        </w:rPr>
      </w:pPr>
      <w:r w:rsidRPr="002130C0">
        <w:rPr>
          <w:rStyle w:val="FootnoteReference"/>
          <w:rFonts w:cstheme="minorHAnsi"/>
        </w:rPr>
        <w:footnoteRef/>
      </w:r>
      <w:r w:rsidRPr="002130C0">
        <w:rPr>
          <w:rFonts w:cstheme="minorHAnsi"/>
        </w:rPr>
        <w:t xml:space="preserve"> European Commission Press Release</w:t>
      </w:r>
      <w:r w:rsidR="00D32187" w:rsidRPr="002130C0">
        <w:rPr>
          <w:rFonts w:cstheme="minorHAnsi"/>
        </w:rPr>
        <w:t>,</w:t>
      </w:r>
      <w:r w:rsidR="00E43514" w:rsidRPr="002130C0">
        <w:rPr>
          <w:rFonts w:cstheme="minorHAnsi"/>
        </w:rPr>
        <w:t xml:space="preserve"> </w:t>
      </w:r>
      <w:r w:rsidR="00D32187" w:rsidRPr="002130C0">
        <w:rPr>
          <w:rFonts w:cstheme="minorHAnsi"/>
        </w:rPr>
        <w:t xml:space="preserve">‘EU founding values: Commission starts legal action against Hungary and Poland for violations of fundamental rights of LGBTIQ people’ </w:t>
      </w:r>
      <w:r w:rsidR="00B51C40">
        <w:rPr>
          <w:rFonts w:cstheme="minorHAnsi"/>
        </w:rPr>
        <w:t>(</w:t>
      </w:r>
      <w:r w:rsidR="00E43514" w:rsidRPr="002130C0">
        <w:rPr>
          <w:rFonts w:cstheme="minorHAnsi"/>
        </w:rPr>
        <w:t>2024</w:t>
      </w:r>
      <w:r w:rsidR="00B51C40">
        <w:rPr>
          <w:rFonts w:cstheme="minorHAnsi"/>
        </w:rPr>
        <w:t>)</w:t>
      </w:r>
      <w:r w:rsidR="009A3225" w:rsidRPr="002130C0">
        <w:rPr>
          <w:rFonts w:cstheme="minorHAnsi"/>
        </w:rPr>
        <w:t xml:space="preserve"> available at</w:t>
      </w:r>
      <w:r w:rsidRPr="002130C0">
        <w:rPr>
          <w:rFonts w:cstheme="minorHAnsi"/>
        </w:rPr>
        <w:t xml:space="preserve"> </w:t>
      </w:r>
      <w:hyperlink r:id="rId7" w:history="1">
        <w:r w:rsidRPr="002130C0">
          <w:rPr>
            <w:rFonts w:cstheme="minorHAnsi"/>
            <w:color w:val="0000FF"/>
            <w:u w:val="single"/>
          </w:rPr>
          <w:t>IP_21_3668_EN.pdf (europa.eu)</w:t>
        </w:r>
      </w:hyperlink>
      <w:r w:rsidR="00CE63E4">
        <w:rPr>
          <w:rFonts w:cstheme="minorHAnsi"/>
          <w:color w:val="0000FF"/>
          <w:u w:val="single"/>
        </w:rPr>
        <w:t xml:space="preserve">. </w:t>
      </w:r>
      <w:r w:rsidRPr="002130C0">
        <w:rPr>
          <w:rFonts w:cstheme="minorHAnsi"/>
        </w:rPr>
        <w:t xml:space="preserve">The case against Hungary </w:t>
      </w:r>
      <w:proofErr w:type="gramStart"/>
      <w:r w:rsidRPr="002130C0">
        <w:rPr>
          <w:rFonts w:cstheme="minorHAnsi"/>
        </w:rPr>
        <w:t>concerned  a</w:t>
      </w:r>
      <w:proofErr w:type="gramEnd"/>
      <w:r w:rsidRPr="002130C0">
        <w:rPr>
          <w:rFonts w:cstheme="minorHAnsi"/>
        </w:rPr>
        <w:t xml:space="preserve"> law which prohibits</w:t>
      </w:r>
      <w:r w:rsidR="00A54235" w:rsidRPr="002130C0">
        <w:rPr>
          <w:rFonts w:cstheme="minorHAnsi"/>
        </w:rPr>
        <w:t xml:space="preserve"> access to materials</w:t>
      </w:r>
      <w:r w:rsidR="009425BC">
        <w:rPr>
          <w:rFonts w:cstheme="minorHAnsi"/>
        </w:rPr>
        <w:t xml:space="preserve"> for under 18s</w:t>
      </w:r>
      <w:r w:rsidR="00A54235" w:rsidRPr="002130C0">
        <w:rPr>
          <w:rFonts w:cstheme="minorHAnsi"/>
        </w:rPr>
        <w:t xml:space="preserve"> promoting so-called</w:t>
      </w:r>
      <w:r w:rsidRPr="002130C0">
        <w:rPr>
          <w:rFonts w:cstheme="minorHAnsi"/>
        </w:rPr>
        <w:t xml:space="preserve"> ‘divergence from self-identity corresponding to sex at birth, sex change or homosexuality'. In relation to Poland, the Commission consider</w:t>
      </w:r>
      <w:r w:rsidR="00872E99" w:rsidRPr="002130C0">
        <w:rPr>
          <w:rFonts w:cstheme="minorHAnsi"/>
        </w:rPr>
        <w:t>ed</w:t>
      </w:r>
      <w:r w:rsidRPr="002130C0">
        <w:rPr>
          <w:rFonts w:cstheme="minorHAnsi"/>
        </w:rPr>
        <w:t xml:space="preserve"> that Polish authorities failed to </w:t>
      </w:r>
      <w:r w:rsidR="00872E99" w:rsidRPr="002130C0">
        <w:rPr>
          <w:rFonts w:cstheme="minorHAnsi"/>
        </w:rPr>
        <w:t>adequately address</w:t>
      </w:r>
      <w:r w:rsidRPr="002130C0">
        <w:rPr>
          <w:rFonts w:cstheme="minorHAnsi"/>
        </w:rPr>
        <w:t xml:space="preserve"> its inquiry regarding so-called ‘LGBT-ideology free zones' adopted by several Polish regions and municipalities.</w:t>
      </w:r>
    </w:p>
  </w:footnote>
  <w:footnote w:id="47">
    <w:p w14:paraId="10589A71" w14:textId="2E259545" w:rsidR="006521DF" w:rsidRPr="002130C0" w:rsidRDefault="006521DF"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52393C" w:rsidRPr="002130C0">
        <w:rPr>
          <w:rFonts w:cstheme="minorHAnsi"/>
        </w:rPr>
        <w:t xml:space="preserve">See for further explanation </w:t>
      </w:r>
      <w:proofErr w:type="spellStart"/>
      <w:r w:rsidR="00377B32" w:rsidRPr="002130C0">
        <w:rPr>
          <w:rFonts w:cstheme="minorHAnsi"/>
        </w:rPr>
        <w:t>Institut</w:t>
      </w:r>
      <w:proofErr w:type="spellEnd"/>
      <w:r w:rsidR="00377B32" w:rsidRPr="002130C0">
        <w:rPr>
          <w:rFonts w:cstheme="minorHAnsi"/>
        </w:rPr>
        <w:t xml:space="preserve"> Jacques Delors</w:t>
      </w:r>
      <w:r w:rsidR="00E33739" w:rsidRPr="002130C0">
        <w:rPr>
          <w:rFonts w:cstheme="minorHAnsi"/>
        </w:rPr>
        <w:t xml:space="preserve">, ‘The Legal Case Against Hungary’s Anti-LGBQTIA Law’ </w:t>
      </w:r>
      <w:r w:rsidR="00194D4E">
        <w:rPr>
          <w:rFonts w:cstheme="minorHAnsi"/>
        </w:rPr>
        <w:t>(</w:t>
      </w:r>
      <w:r w:rsidR="00E33739" w:rsidRPr="002130C0">
        <w:rPr>
          <w:rFonts w:cstheme="minorHAnsi"/>
        </w:rPr>
        <w:t>2023</w:t>
      </w:r>
      <w:r w:rsidR="00194D4E">
        <w:rPr>
          <w:rFonts w:cstheme="minorHAnsi"/>
        </w:rPr>
        <w:t>)</w:t>
      </w:r>
      <w:r w:rsidR="00E33739" w:rsidRPr="002130C0">
        <w:rPr>
          <w:rFonts w:cstheme="minorHAnsi"/>
        </w:rPr>
        <w:t xml:space="preserve"> available at  </w:t>
      </w:r>
      <w:hyperlink r:id="rId8" w:history="1">
        <w:r w:rsidR="005F3B1C" w:rsidRPr="002130C0">
          <w:rPr>
            <w:rFonts w:cstheme="minorHAnsi"/>
            <w:color w:val="0000FF"/>
            <w:u w:val="single"/>
          </w:rPr>
          <w:t>PB_230705_Recours-visant-la-loi-hongroise-anti-LGBT_Chopin_Leclerc_EN.pdf (institutdelors.eu)</w:t>
        </w:r>
      </w:hyperlink>
      <w:r w:rsidR="00A9302F">
        <w:rPr>
          <w:rFonts w:cstheme="minorHAnsi"/>
          <w:color w:val="0000FF"/>
          <w:u w:val="single"/>
        </w:rPr>
        <w:t>.</w:t>
      </w:r>
      <w:r w:rsidR="00377B32" w:rsidRPr="002130C0">
        <w:rPr>
          <w:rFonts w:cstheme="minorHAnsi"/>
        </w:rPr>
        <w:t xml:space="preserve"> </w:t>
      </w:r>
      <w:r w:rsidR="00040A6B" w:rsidRPr="002130C0">
        <w:rPr>
          <w:rFonts w:cstheme="minorHAnsi"/>
        </w:rPr>
        <w:t xml:space="preserve"> </w:t>
      </w:r>
    </w:p>
  </w:footnote>
  <w:footnote w:id="48">
    <w:p w14:paraId="11E00D65" w14:textId="5650B238" w:rsidR="00B5604A" w:rsidRPr="002130C0" w:rsidRDefault="00B5604A"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8B7DD6" w:rsidRPr="002130C0">
        <w:rPr>
          <w:rFonts w:cstheme="minorHAnsi"/>
        </w:rPr>
        <w:t>European Commission</w:t>
      </w:r>
      <w:r w:rsidR="0052393C" w:rsidRPr="002130C0">
        <w:rPr>
          <w:rFonts w:cstheme="minorHAnsi"/>
        </w:rPr>
        <w:t xml:space="preserve">, </w:t>
      </w:r>
      <w:r w:rsidRPr="00194D4E">
        <w:rPr>
          <w:rFonts w:cstheme="minorHAnsi"/>
          <w:i/>
          <w:iCs/>
        </w:rPr>
        <w:t>LGBTIQ Equality Strategy 2020-2025</w:t>
      </w:r>
      <w:r w:rsidR="0052393C" w:rsidRPr="002130C0">
        <w:rPr>
          <w:rFonts w:cstheme="minorHAnsi"/>
        </w:rPr>
        <w:t xml:space="preserve"> </w:t>
      </w:r>
      <w:r w:rsidR="00194D4E">
        <w:rPr>
          <w:rFonts w:cstheme="minorHAnsi"/>
        </w:rPr>
        <w:t>(</w:t>
      </w:r>
      <w:r w:rsidR="0052393C" w:rsidRPr="002130C0">
        <w:rPr>
          <w:rFonts w:cstheme="minorHAnsi"/>
        </w:rPr>
        <w:t>2020</w:t>
      </w:r>
      <w:r w:rsidR="00194D4E">
        <w:rPr>
          <w:rFonts w:cstheme="minorHAnsi"/>
        </w:rPr>
        <w:t>)</w:t>
      </w:r>
      <w:r w:rsidR="008B7DD6" w:rsidRPr="002130C0">
        <w:rPr>
          <w:rFonts w:cstheme="minorHAnsi"/>
        </w:rPr>
        <w:t xml:space="preserve"> available at </w:t>
      </w:r>
      <w:hyperlink r:id="rId9" w:anchor="lgbtiq-equality-strategy-2020-2025" w:history="1">
        <w:r w:rsidR="0052393C" w:rsidRPr="002130C0">
          <w:rPr>
            <w:rFonts w:cstheme="minorHAnsi"/>
            <w:color w:val="0000FF"/>
            <w:u w:val="single"/>
          </w:rPr>
          <w:t>LGBTIQ Equality Strategy 2020-2025 - European Commission (europa.eu)</w:t>
        </w:r>
      </w:hyperlink>
      <w:r w:rsidR="00A9302F">
        <w:rPr>
          <w:rFonts w:cstheme="minorHAnsi"/>
          <w:color w:val="0000FF"/>
          <w:u w:val="single"/>
        </w:rPr>
        <w:t>.</w:t>
      </w:r>
    </w:p>
  </w:footnote>
  <w:footnote w:id="49">
    <w:p w14:paraId="45320F3F" w14:textId="3795E779" w:rsidR="00B5604A" w:rsidRPr="002130C0" w:rsidRDefault="00B5604A" w:rsidP="00CB68B8">
      <w:pPr>
        <w:shd w:val="clear" w:color="auto" w:fill="FFFFFF"/>
        <w:spacing w:after="0" w:line="240" w:lineRule="auto"/>
        <w:rPr>
          <w:rFonts w:cstheme="minorHAnsi"/>
          <w:sz w:val="20"/>
          <w:szCs w:val="20"/>
        </w:rPr>
      </w:pPr>
      <w:r w:rsidRPr="002130C0">
        <w:rPr>
          <w:rStyle w:val="FootnoteReference"/>
          <w:rFonts w:cstheme="minorHAnsi"/>
          <w:sz w:val="20"/>
          <w:szCs w:val="20"/>
        </w:rPr>
        <w:footnoteRef/>
      </w:r>
      <w:r w:rsidRPr="002130C0">
        <w:rPr>
          <w:rFonts w:cstheme="minorHAnsi"/>
          <w:sz w:val="20"/>
          <w:szCs w:val="20"/>
        </w:rPr>
        <w:t xml:space="preserve"> </w:t>
      </w:r>
      <w:r w:rsidR="00CF59DD" w:rsidRPr="002130C0">
        <w:rPr>
          <w:rFonts w:cstheme="minorHAnsi"/>
          <w:sz w:val="20"/>
          <w:szCs w:val="20"/>
        </w:rPr>
        <w:t xml:space="preserve">Human Rights Watch, ‘Hungary’s Path Puts Everyone’s Rights in Danger’ </w:t>
      </w:r>
      <w:r w:rsidR="007F697A">
        <w:rPr>
          <w:rFonts w:cstheme="minorHAnsi"/>
          <w:sz w:val="20"/>
          <w:szCs w:val="20"/>
        </w:rPr>
        <w:t>(</w:t>
      </w:r>
      <w:r w:rsidR="00CF59DD" w:rsidRPr="002130C0">
        <w:rPr>
          <w:rFonts w:cstheme="minorHAnsi"/>
          <w:sz w:val="20"/>
          <w:szCs w:val="20"/>
        </w:rPr>
        <w:t>2021</w:t>
      </w:r>
      <w:r w:rsidR="007F697A">
        <w:rPr>
          <w:rFonts w:cstheme="minorHAnsi"/>
          <w:sz w:val="20"/>
          <w:szCs w:val="20"/>
        </w:rPr>
        <w:t>)</w:t>
      </w:r>
      <w:r w:rsidR="00CF59DD" w:rsidRPr="002130C0">
        <w:rPr>
          <w:rFonts w:cstheme="minorHAnsi"/>
          <w:sz w:val="20"/>
          <w:szCs w:val="20"/>
        </w:rPr>
        <w:t xml:space="preserve"> available at </w:t>
      </w:r>
      <w:hyperlink r:id="rId10" w:history="1">
        <w:r w:rsidR="00CF59DD" w:rsidRPr="002130C0">
          <w:rPr>
            <w:rFonts w:cstheme="minorHAnsi"/>
            <w:color w:val="0000FF"/>
            <w:sz w:val="20"/>
            <w:szCs w:val="20"/>
            <w:u w:val="single"/>
          </w:rPr>
          <w:t>Hungary’s Path Puts Everyone’s Rights in Danger | Human Rights Watch (hrw.org)</w:t>
        </w:r>
      </w:hyperlink>
      <w:r w:rsidR="00A9302F">
        <w:rPr>
          <w:rFonts w:cstheme="minorHAnsi"/>
          <w:color w:val="0000FF"/>
          <w:sz w:val="20"/>
          <w:szCs w:val="20"/>
          <w:u w:val="single"/>
        </w:rPr>
        <w:t>.</w:t>
      </w:r>
    </w:p>
  </w:footnote>
  <w:footnote w:id="50">
    <w:p w14:paraId="3CA9AE37" w14:textId="1B5AC3A7" w:rsidR="00B5604A" w:rsidRPr="002130C0" w:rsidRDefault="00B5604A" w:rsidP="00CB68B8">
      <w:pPr>
        <w:spacing w:after="0" w:line="240" w:lineRule="auto"/>
        <w:textAlignment w:val="baseline"/>
        <w:rPr>
          <w:rFonts w:cstheme="minorHAnsi"/>
          <w:sz w:val="20"/>
          <w:szCs w:val="20"/>
        </w:rPr>
      </w:pPr>
      <w:r w:rsidRPr="002130C0">
        <w:rPr>
          <w:rStyle w:val="FootnoteReference"/>
          <w:rFonts w:cstheme="minorHAnsi"/>
          <w:sz w:val="20"/>
          <w:szCs w:val="20"/>
        </w:rPr>
        <w:footnoteRef/>
      </w:r>
      <w:r w:rsidRPr="002130C0">
        <w:rPr>
          <w:rFonts w:cstheme="minorHAnsi"/>
          <w:sz w:val="20"/>
          <w:szCs w:val="20"/>
        </w:rPr>
        <w:t xml:space="preserve"> </w:t>
      </w:r>
      <w:r w:rsidR="00C04856" w:rsidRPr="002130C0">
        <w:rPr>
          <w:rFonts w:cstheme="minorHAnsi"/>
          <w:sz w:val="20"/>
          <w:szCs w:val="20"/>
        </w:rPr>
        <w:t xml:space="preserve">Los Angelos Times, ‘Italian Government Limits Parental Rights of Gay Couples’ </w:t>
      </w:r>
      <w:r w:rsidR="007F697A">
        <w:rPr>
          <w:rFonts w:cstheme="minorHAnsi"/>
          <w:sz w:val="20"/>
          <w:szCs w:val="20"/>
        </w:rPr>
        <w:t>(</w:t>
      </w:r>
      <w:r w:rsidR="00C04856" w:rsidRPr="002130C0">
        <w:rPr>
          <w:rFonts w:cstheme="minorHAnsi"/>
          <w:sz w:val="20"/>
          <w:szCs w:val="20"/>
        </w:rPr>
        <w:t>2023</w:t>
      </w:r>
      <w:r w:rsidR="007F697A">
        <w:rPr>
          <w:rFonts w:cstheme="minorHAnsi"/>
          <w:sz w:val="20"/>
          <w:szCs w:val="20"/>
        </w:rPr>
        <w:t>)</w:t>
      </w:r>
      <w:r w:rsidR="00C04856" w:rsidRPr="002130C0">
        <w:rPr>
          <w:rFonts w:cstheme="minorHAnsi"/>
          <w:sz w:val="20"/>
          <w:szCs w:val="20"/>
        </w:rPr>
        <w:t xml:space="preserve"> available at</w:t>
      </w:r>
      <w:r w:rsidR="00CF59DD" w:rsidRPr="002130C0">
        <w:rPr>
          <w:rFonts w:cstheme="minorHAnsi"/>
          <w:sz w:val="20"/>
          <w:szCs w:val="20"/>
        </w:rPr>
        <w:t xml:space="preserve"> </w:t>
      </w:r>
      <w:hyperlink r:id="rId11" w:history="1">
        <w:r w:rsidRPr="002130C0">
          <w:rPr>
            <w:rFonts w:cstheme="minorHAnsi"/>
            <w:color w:val="0000FF"/>
            <w:sz w:val="20"/>
            <w:szCs w:val="20"/>
            <w:u w:val="single"/>
          </w:rPr>
          <w:t>Italian government limits parental rights of gay couples - Los Angeles Times (latimes.com)</w:t>
        </w:r>
      </w:hyperlink>
      <w:r w:rsidR="00A9302F">
        <w:rPr>
          <w:rFonts w:cstheme="minorHAnsi"/>
          <w:color w:val="0000FF"/>
          <w:sz w:val="20"/>
          <w:szCs w:val="20"/>
          <w:u w:val="single"/>
        </w:rPr>
        <w:t>.</w:t>
      </w:r>
    </w:p>
  </w:footnote>
  <w:footnote w:id="51">
    <w:p w14:paraId="29A1D622" w14:textId="4540B01E" w:rsidR="002106EF" w:rsidRPr="002130C0" w:rsidRDefault="002106EF"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A3136D" w:rsidRPr="002130C0">
        <w:rPr>
          <w:rFonts w:cstheme="minorHAnsi"/>
        </w:rPr>
        <w:t xml:space="preserve">Brenda </w:t>
      </w:r>
      <w:r w:rsidRPr="002130C0">
        <w:rPr>
          <w:rFonts w:cstheme="minorHAnsi"/>
        </w:rPr>
        <w:t xml:space="preserve">Cossman also discusses the </w:t>
      </w:r>
      <w:r w:rsidRPr="002130C0">
        <w:rPr>
          <w:rFonts w:eastAsiaTheme="minorEastAsia" w:cstheme="minorHAnsi"/>
          <w:lang w:eastAsia="zh-CN"/>
        </w:rPr>
        <w:t>process of becoming recognised subjects</w:t>
      </w:r>
      <w:r w:rsidR="00F76190">
        <w:rPr>
          <w:rFonts w:eastAsiaTheme="minorEastAsia" w:cstheme="minorHAnsi"/>
          <w:lang w:eastAsia="zh-CN"/>
        </w:rPr>
        <w:t xml:space="preserve">, in </w:t>
      </w:r>
      <w:r w:rsidRPr="002130C0">
        <w:rPr>
          <w:rFonts w:cstheme="minorHAnsi"/>
          <w:i/>
        </w:rPr>
        <w:t>Sexual Citizens: The Legal and Cultural Regulation of Sex and Belonging</w:t>
      </w:r>
      <w:r w:rsidR="005F1ECE" w:rsidRPr="002130C0">
        <w:rPr>
          <w:rFonts w:cstheme="minorHAnsi"/>
        </w:rPr>
        <w:t xml:space="preserve"> (Stanford University Press</w:t>
      </w:r>
      <w:r w:rsidR="008A1EA9" w:rsidRPr="002130C0">
        <w:rPr>
          <w:rFonts w:cstheme="minorHAnsi"/>
        </w:rPr>
        <w:t>, 2007</w:t>
      </w:r>
      <w:r w:rsidR="005F1ECE" w:rsidRPr="002130C0">
        <w:rPr>
          <w:rFonts w:cstheme="minorHAnsi"/>
        </w:rPr>
        <w:t xml:space="preserve">). </w:t>
      </w:r>
    </w:p>
  </w:footnote>
  <w:footnote w:id="52">
    <w:p w14:paraId="6B0D1FAA" w14:textId="02ADF736" w:rsidR="00BE4C31" w:rsidRPr="002130C0" w:rsidRDefault="00BE4C31" w:rsidP="00CB68B8">
      <w:pPr>
        <w:pStyle w:val="FootnoteText"/>
        <w:rPr>
          <w:rFonts w:eastAsia="Times New Roman" w:cstheme="minorHAnsi"/>
          <w:color w:val="000000"/>
          <w:lang w:eastAsia="en-GB"/>
        </w:rPr>
      </w:pPr>
      <w:r w:rsidRPr="002130C0">
        <w:rPr>
          <w:rStyle w:val="FootnoteReference"/>
          <w:rFonts w:cstheme="minorHAnsi"/>
        </w:rPr>
        <w:footnoteRef/>
      </w:r>
      <w:r w:rsidRPr="002130C0">
        <w:rPr>
          <w:rFonts w:cstheme="minorHAnsi"/>
        </w:rPr>
        <w:t xml:space="preserve"> </w:t>
      </w:r>
      <w:r w:rsidR="00604F01" w:rsidRPr="002130C0">
        <w:rPr>
          <w:rFonts w:eastAsia="Times New Roman" w:cstheme="minorHAnsi"/>
          <w:color w:val="000000"/>
          <w:lang w:eastAsia="en-GB"/>
        </w:rPr>
        <w:t>See n</w:t>
      </w:r>
      <w:r w:rsidR="003F1E63">
        <w:rPr>
          <w:rFonts w:eastAsia="Times New Roman" w:cstheme="minorHAnsi"/>
          <w:color w:val="000000"/>
          <w:lang w:eastAsia="en-GB"/>
        </w:rPr>
        <w:t>2.</w:t>
      </w:r>
    </w:p>
  </w:footnote>
  <w:footnote w:id="53">
    <w:p w14:paraId="6776EBC3" w14:textId="79F2D1BB" w:rsidR="00FD075C" w:rsidRPr="00B8637A" w:rsidRDefault="00FD075C" w:rsidP="00B8637A">
      <w:pPr>
        <w:spacing w:after="0" w:line="240" w:lineRule="auto"/>
        <w:rPr>
          <w:sz w:val="20"/>
          <w:szCs w:val="20"/>
          <w:lang w:eastAsia="en-GB"/>
        </w:rPr>
      </w:pPr>
      <w:r w:rsidRPr="00B8637A">
        <w:rPr>
          <w:rStyle w:val="FootnoteReference"/>
          <w:rFonts w:cstheme="minorHAnsi"/>
          <w:color w:val="000000" w:themeColor="text1"/>
          <w:sz w:val="20"/>
          <w:szCs w:val="20"/>
        </w:rPr>
        <w:footnoteRef/>
      </w:r>
      <w:r w:rsidRPr="00B8637A">
        <w:rPr>
          <w:sz w:val="20"/>
          <w:szCs w:val="20"/>
        </w:rPr>
        <w:t xml:space="preserve"> For example</w:t>
      </w:r>
      <w:r w:rsidR="006C2ACF">
        <w:rPr>
          <w:sz w:val="20"/>
          <w:szCs w:val="20"/>
        </w:rPr>
        <w:t>,</w:t>
      </w:r>
      <w:r w:rsidRPr="00B8637A">
        <w:rPr>
          <w:sz w:val="20"/>
          <w:szCs w:val="20"/>
        </w:rPr>
        <w:t xml:space="preserve"> see the </w:t>
      </w:r>
      <w:r w:rsidR="006C2ACF">
        <w:rPr>
          <w:sz w:val="20"/>
          <w:szCs w:val="20"/>
        </w:rPr>
        <w:t xml:space="preserve">Preamble to the </w:t>
      </w:r>
      <w:r w:rsidR="00485FD4" w:rsidRPr="00B8637A">
        <w:rPr>
          <w:sz w:val="20"/>
          <w:szCs w:val="20"/>
        </w:rPr>
        <w:t xml:space="preserve">Treaty Establishing the European Economic Community </w:t>
      </w:r>
      <w:r w:rsidR="006C2ACF">
        <w:rPr>
          <w:sz w:val="20"/>
          <w:szCs w:val="20"/>
        </w:rPr>
        <w:t>(</w:t>
      </w:r>
      <w:r w:rsidR="00485FD4" w:rsidRPr="00B8637A">
        <w:rPr>
          <w:sz w:val="20"/>
          <w:szCs w:val="20"/>
        </w:rPr>
        <w:t>1957</w:t>
      </w:r>
      <w:r w:rsidR="006C2ACF">
        <w:rPr>
          <w:sz w:val="20"/>
          <w:szCs w:val="20"/>
        </w:rPr>
        <w:t>)</w:t>
      </w:r>
      <w:r w:rsidR="00485FD4" w:rsidRPr="00B8637A">
        <w:rPr>
          <w:sz w:val="20"/>
          <w:szCs w:val="20"/>
        </w:rPr>
        <w:t xml:space="preserve">, </w:t>
      </w:r>
      <w:r w:rsidRPr="00B8637A">
        <w:rPr>
          <w:rFonts w:cstheme="minorHAnsi"/>
          <w:sz w:val="20"/>
          <w:szCs w:val="20"/>
          <w:lang w:val="en-US"/>
        </w:rPr>
        <w:t xml:space="preserve">which states that one of the purposes was </w:t>
      </w:r>
      <w:r w:rsidR="00202C94" w:rsidRPr="00B8637A">
        <w:rPr>
          <w:rFonts w:cstheme="minorHAnsi"/>
          <w:sz w:val="20"/>
          <w:szCs w:val="20"/>
          <w:lang w:val="en-US"/>
        </w:rPr>
        <w:t>that by</w:t>
      </w:r>
      <w:r w:rsidRPr="00B8637A">
        <w:rPr>
          <w:rFonts w:cstheme="minorHAnsi"/>
          <w:sz w:val="20"/>
          <w:szCs w:val="20"/>
          <w:lang w:val="en-US"/>
        </w:rPr>
        <w:t xml:space="preserve"> </w:t>
      </w:r>
      <w:r w:rsidR="00202C94" w:rsidRPr="00B8637A">
        <w:rPr>
          <w:rFonts w:cstheme="minorHAnsi"/>
          <w:color w:val="000000"/>
          <w:sz w:val="20"/>
          <w:szCs w:val="20"/>
          <w:shd w:val="clear" w:color="auto" w:fill="FFFFFF"/>
        </w:rPr>
        <w:t>‘</w:t>
      </w:r>
      <w:r w:rsidRPr="00B8637A">
        <w:rPr>
          <w:rFonts w:cstheme="minorHAnsi"/>
          <w:color w:val="000000"/>
          <w:sz w:val="20"/>
          <w:szCs w:val="20"/>
          <w:shd w:val="clear" w:color="auto" w:fill="FFFFFF"/>
        </w:rPr>
        <w:t>pooling their resources</w:t>
      </w:r>
      <w:r w:rsidR="00202C94" w:rsidRPr="00B8637A">
        <w:rPr>
          <w:rFonts w:cstheme="minorHAnsi"/>
          <w:color w:val="000000"/>
          <w:sz w:val="20"/>
          <w:szCs w:val="20"/>
          <w:shd w:val="clear" w:color="auto" w:fill="FFFFFF"/>
        </w:rPr>
        <w:t>’ they would</w:t>
      </w:r>
      <w:r w:rsidRPr="00B8637A">
        <w:rPr>
          <w:rFonts w:cstheme="minorHAnsi"/>
          <w:color w:val="000000"/>
          <w:sz w:val="20"/>
          <w:szCs w:val="20"/>
          <w:shd w:val="clear" w:color="auto" w:fill="FFFFFF"/>
        </w:rPr>
        <w:t xml:space="preserve"> </w:t>
      </w:r>
      <w:r w:rsidR="00202C94" w:rsidRPr="00B8637A">
        <w:rPr>
          <w:rFonts w:cstheme="minorHAnsi"/>
          <w:color w:val="000000"/>
          <w:sz w:val="20"/>
          <w:szCs w:val="20"/>
          <w:shd w:val="clear" w:color="auto" w:fill="FFFFFF"/>
        </w:rPr>
        <w:t>‘</w:t>
      </w:r>
      <w:r w:rsidRPr="00B8637A">
        <w:rPr>
          <w:rFonts w:cstheme="minorHAnsi"/>
          <w:color w:val="000000"/>
          <w:sz w:val="20"/>
          <w:szCs w:val="20"/>
          <w:shd w:val="clear" w:color="auto" w:fill="FFFFFF"/>
        </w:rPr>
        <w:t>preserve and strengthen peace and liberty</w:t>
      </w:r>
      <w:r w:rsidR="00202C94" w:rsidRPr="00B8637A">
        <w:rPr>
          <w:rFonts w:cstheme="minorHAnsi"/>
          <w:color w:val="000000"/>
          <w:sz w:val="20"/>
          <w:szCs w:val="20"/>
          <w:shd w:val="clear" w:color="auto" w:fill="FFFFFF"/>
        </w:rPr>
        <w:t>.’</w:t>
      </w:r>
    </w:p>
  </w:footnote>
  <w:footnote w:id="54">
    <w:p w14:paraId="1C8A268D" w14:textId="1B1F59D2" w:rsidR="00B43E49" w:rsidRPr="002130C0" w:rsidRDefault="00B43E49"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D92E14" w:rsidRPr="002130C0">
        <w:rPr>
          <w:rFonts w:cstheme="minorHAnsi"/>
        </w:rPr>
        <w:t xml:space="preserve">Willem </w:t>
      </w:r>
      <w:r w:rsidRPr="002130C0">
        <w:rPr>
          <w:rFonts w:cstheme="minorHAnsi"/>
        </w:rPr>
        <w:t xml:space="preserve">Maas, </w:t>
      </w:r>
      <w:r w:rsidRPr="002130C0">
        <w:rPr>
          <w:rFonts w:eastAsiaTheme="minorEastAsia" w:cstheme="minorHAnsi"/>
          <w:kern w:val="24"/>
        </w:rPr>
        <w:t xml:space="preserve">‘The Origins, Evolution and Political Objectives of EU Citizenship’ </w:t>
      </w:r>
      <w:r w:rsidR="006C2ACF">
        <w:rPr>
          <w:rFonts w:eastAsiaTheme="minorEastAsia" w:cstheme="minorHAnsi"/>
          <w:kern w:val="24"/>
        </w:rPr>
        <w:t>(</w:t>
      </w:r>
      <w:r w:rsidR="00485FD4" w:rsidRPr="002130C0">
        <w:rPr>
          <w:rFonts w:eastAsiaTheme="minorEastAsia" w:cstheme="minorHAnsi"/>
          <w:kern w:val="24"/>
        </w:rPr>
        <w:t>2014</w:t>
      </w:r>
      <w:r w:rsidR="006C2ACF">
        <w:rPr>
          <w:rFonts w:eastAsiaTheme="minorEastAsia" w:cstheme="minorHAnsi"/>
          <w:kern w:val="24"/>
        </w:rPr>
        <w:t>)</w:t>
      </w:r>
      <w:r w:rsidRPr="002130C0">
        <w:rPr>
          <w:rFonts w:eastAsiaTheme="minorEastAsia" w:cstheme="minorHAnsi"/>
          <w:kern w:val="24"/>
        </w:rPr>
        <w:t xml:space="preserve"> </w:t>
      </w:r>
      <w:r w:rsidRPr="002130C0">
        <w:rPr>
          <w:rFonts w:eastAsiaTheme="minorEastAsia" w:cstheme="minorHAnsi"/>
          <w:i/>
          <w:iCs/>
          <w:kern w:val="24"/>
        </w:rPr>
        <w:t>German L</w:t>
      </w:r>
      <w:r w:rsidR="00485FD4" w:rsidRPr="002130C0">
        <w:rPr>
          <w:rFonts w:eastAsiaTheme="minorEastAsia" w:cstheme="minorHAnsi"/>
          <w:i/>
          <w:iCs/>
          <w:kern w:val="24"/>
        </w:rPr>
        <w:t xml:space="preserve">aw </w:t>
      </w:r>
      <w:r w:rsidRPr="002130C0">
        <w:rPr>
          <w:rFonts w:eastAsiaTheme="minorEastAsia" w:cstheme="minorHAnsi"/>
          <w:i/>
          <w:iCs/>
          <w:kern w:val="24"/>
        </w:rPr>
        <w:t>J</w:t>
      </w:r>
      <w:r w:rsidR="00485FD4" w:rsidRPr="002130C0">
        <w:rPr>
          <w:rFonts w:eastAsiaTheme="minorEastAsia" w:cstheme="minorHAnsi"/>
          <w:i/>
          <w:iCs/>
          <w:kern w:val="24"/>
        </w:rPr>
        <w:t xml:space="preserve">ournal </w:t>
      </w:r>
      <w:r w:rsidR="00485FD4" w:rsidRPr="002130C0">
        <w:rPr>
          <w:rFonts w:eastAsiaTheme="minorEastAsia" w:cstheme="minorHAnsi"/>
          <w:kern w:val="24"/>
        </w:rPr>
        <w:t>15</w:t>
      </w:r>
      <w:r w:rsidR="00BD00CF">
        <w:rPr>
          <w:rFonts w:eastAsiaTheme="minorEastAsia" w:cstheme="minorHAnsi"/>
          <w:kern w:val="24"/>
        </w:rPr>
        <w:t>(5)</w:t>
      </w:r>
      <w:r w:rsidR="00485FD4" w:rsidRPr="002130C0">
        <w:rPr>
          <w:rFonts w:eastAsiaTheme="minorEastAsia" w:cstheme="minorHAnsi"/>
          <w:kern w:val="24"/>
        </w:rPr>
        <w:t>,</w:t>
      </w:r>
      <w:r w:rsidRPr="002130C0">
        <w:rPr>
          <w:rFonts w:eastAsiaTheme="minorEastAsia" w:cstheme="minorHAnsi"/>
          <w:kern w:val="24"/>
        </w:rPr>
        <w:t xml:space="preserve"> 797</w:t>
      </w:r>
      <w:r w:rsidR="00F718C5">
        <w:rPr>
          <w:rFonts w:eastAsiaTheme="minorEastAsia" w:cstheme="minorHAnsi"/>
          <w:kern w:val="24"/>
        </w:rPr>
        <w:t>-819</w:t>
      </w:r>
      <w:r w:rsidRPr="002130C0">
        <w:rPr>
          <w:rFonts w:eastAsiaTheme="minorEastAsia" w:cstheme="minorHAnsi"/>
          <w:kern w:val="24"/>
        </w:rPr>
        <w:t>, 798.</w:t>
      </w:r>
    </w:p>
  </w:footnote>
  <w:footnote w:id="55">
    <w:p w14:paraId="1E87B55A" w14:textId="56FAF9E3" w:rsidR="004D7B61" w:rsidRPr="002130C0" w:rsidRDefault="004D7B61" w:rsidP="00CB68B8">
      <w:pPr>
        <w:pStyle w:val="FootnoteText"/>
        <w:rPr>
          <w:rFonts w:cstheme="minorHAnsi"/>
        </w:rPr>
      </w:pPr>
      <w:r w:rsidRPr="002130C0">
        <w:rPr>
          <w:rStyle w:val="FootnoteReference"/>
          <w:rFonts w:cstheme="minorHAnsi"/>
        </w:rPr>
        <w:footnoteRef/>
      </w:r>
      <w:r w:rsidRPr="002130C0">
        <w:rPr>
          <w:rFonts w:cstheme="minorHAnsi"/>
        </w:rPr>
        <w:t xml:space="preserve"> See</w:t>
      </w:r>
      <w:r w:rsidR="00D92E14" w:rsidRPr="002130C0">
        <w:rPr>
          <w:rFonts w:cstheme="minorHAnsi"/>
        </w:rPr>
        <w:t xml:space="preserve"> </w:t>
      </w:r>
      <w:r w:rsidRPr="002130C0">
        <w:rPr>
          <w:rFonts w:cstheme="minorHAnsi"/>
        </w:rPr>
        <w:t>Craig and De Burca</w:t>
      </w:r>
      <w:r w:rsidR="006C2ACF">
        <w:rPr>
          <w:rFonts w:cstheme="minorHAnsi"/>
        </w:rPr>
        <w:t xml:space="preserve"> (n3)</w:t>
      </w:r>
      <w:r w:rsidRPr="002130C0">
        <w:rPr>
          <w:rFonts w:cstheme="minorHAnsi"/>
        </w:rPr>
        <w:t>, 14.</w:t>
      </w:r>
    </w:p>
  </w:footnote>
  <w:footnote w:id="56">
    <w:p w14:paraId="5744F9F0" w14:textId="0BE8C7B3" w:rsidR="004D7B61" w:rsidRPr="002130C0" w:rsidRDefault="004D7B61"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7848A5" w:rsidRPr="002130C0">
        <w:rPr>
          <w:rFonts w:cstheme="minorHAnsi"/>
        </w:rPr>
        <w:t xml:space="preserve">David </w:t>
      </w:r>
      <w:r w:rsidRPr="002130C0">
        <w:rPr>
          <w:rFonts w:cstheme="minorHAnsi"/>
        </w:rPr>
        <w:t xml:space="preserve">Marquand, </w:t>
      </w:r>
      <w:r w:rsidRPr="002130C0">
        <w:rPr>
          <w:rFonts w:cstheme="minorHAnsi"/>
          <w:i/>
          <w:iCs/>
        </w:rPr>
        <w:t>Parliament for Europe</w:t>
      </w:r>
      <w:r w:rsidRPr="002130C0">
        <w:rPr>
          <w:rFonts w:cstheme="minorHAnsi"/>
        </w:rPr>
        <w:t xml:space="preserve"> (Jonathan Cape</w:t>
      </w:r>
      <w:r w:rsidR="00485FD4" w:rsidRPr="002130C0">
        <w:rPr>
          <w:rFonts w:cstheme="minorHAnsi"/>
        </w:rPr>
        <w:t>, 1979</w:t>
      </w:r>
      <w:r w:rsidRPr="002130C0">
        <w:rPr>
          <w:rFonts w:cstheme="minorHAnsi"/>
        </w:rPr>
        <w:t>).</w:t>
      </w:r>
    </w:p>
  </w:footnote>
  <w:footnote w:id="57">
    <w:p w14:paraId="0C355E88" w14:textId="03019C17" w:rsidR="004D7B61" w:rsidRPr="002130C0" w:rsidRDefault="004D7B61" w:rsidP="00CB68B8">
      <w:pPr>
        <w:spacing w:after="0" w:line="240" w:lineRule="auto"/>
        <w:textAlignment w:val="baseline"/>
        <w:rPr>
          <w:rFonts w:cstheme="minorHAnsi"/>
          <w:sz w:val="20"/>
          <w:szCs w:val="20"/>
          <w:lang w:val="en-US"/>
        </w:rPr>
      </w:pPr>
      <w:r w:rsidRPr="002130C0">
        <w:rPr>
          <w:rStyle w:val="FootnoteReference"/>
          <w:rFonts w:cstheme="minorHAnsi"/>
          <w:sz w:val="20"/>
          <w:szCs w:val="20"/>
        </w:rPr>
        <w:footnoteRef/>
      </w:r>
      <w:r w:rsidRPr="002130C0">
        <w:rPr>
          <w:rFonts w:cstheme="minorHAnsi"/>
          <w:sz w:val="20"/>
          <w:szCs w:val="20"/>
        </w:rPr>
        <w:t xml:space="preserve"> </w:t>
      </w:r>
      <w:r w:rsidR="007848A5" w:rsidRPr="002130C0">
        <w:rPr>
          <w:rFonts w:cstheme="minorHAnsi"/>
          <w:sz w:val="20"/>
          <w:szCs w:val="20"/>
        </w:rPr>
        <w:t xml:space="preserve">Liza </w:t>
      </w:r>
      <w:proofErr w:type="spellStart"/>
      <w:r w:rsidRPr="002130C0">
        <w:rPr>
          <w:rFonts w:cstheme="minorHAnsi"/>
          <w:sz w:val="20"/>
          <w:szCs w:val="20"/>
        </w:rPr>
        <w:t>Tsaliki</w:t>
      </w:r>
      <w:proofErr w:type="spellEnd"/>
      <w:r w:rsidRPr="002130C0">
        <w:rPr>
          <w:rFonts w:cstheme="minorHAnsi"/>
          <w:sz w:val="20"/>
          <w:szCs w:val="20"/>
        </w:rPr>
        <w:t xml:space="preserve">, ‘The Construction of European Identity and Citizenship through Cultural Policy’ </w:t>
      </w:r>
      <w:r w:rsidR="006C2ACF">
        <w:rPr>
          <w:rFonts w:cstheme="minorHAnsi"/>
          <w:sz w:val="20"/>
          <w:szCs w:val="20"/>
        </w:rPr>
        <w:t>(</w:t>
      </w:r>
      <w:r w:rsidR="00485FD4" w:rsidRPr="002130C0">
        <w:rPr>
          <w:rFonts w:cstheme="minorHAnsi"/>
          <w:sz w:val="20"/>
          <w:szCs w:val="20"/>
        </w:rPr>
        <w:t>2007</w:t>
      </w:r>
      <w:r w:rsidR="006C2ACF">
        <w:rPr>
          <w:rFonts w:cstheme="minorHAnsi"/>
          <w:sz w:val="20"/>
          <w:szCs w:val="20"/>
        </w:rPr>
        <w:t>)</w:t>
      </w:r>
      <w:r w:rsidR="00485FD4" w:rsidRPr="002130C0">
        <w:rPr>
          <w:rFonts w:cstheme="minorHAnsi"/>
          <w:sz w:val="20"/>
          <w:szCs w:val="20"/>
        </w:rPr>
        <w:t xml:space="preserve"> </w:t>
      </w:r>
      <w:r w:rsidRPr="002130C0">
        <w:rPr>
          <w:rFonts w:cstheme="minorHAnsi"/>
          <w:i/>
          <w:iCs/>
          <w:sz w:val="20"/>
          <w:szCs w:val="20"/>
        </w:rPr>
        <w:t>European Studies: A Journal of European Culture, History and Politics</w:t>
      </w:r>
      <w:r w:rsidR="00485FD4" w:rsidRPr="002130C0">
        <w:rPr>
          <w:rFonts w:cstheme="minorHAnsi"/>
          <w:sz w:val="20"/>
          <w:szCs w:val="20"/>
        </w:rPr>
        <w:t xml:space="preserve"> 24(1)</w:t>
      </w:r>
      <w:r w:rsidR="002E4379">
        <w:rPr>
          <w:rFonts w:cstheme="minorHAnsi"/>
          <w:sz w:val="20"/>
          <w:szCs w:val="20"/>
        </w:rPr>
        <w:t>,</w:t>
      </w:r>
      <w:r w:rsidRPr="002130C0">
        <w:rPr>
          <w:rFonts w:cstheme="minorHAnsi"/>
          <w:sz w:val="20"/>
          <w:szCs w:val="20"/>
        </w:rPr>
        <w:t xml:space="preserve"> 157-182.</w:t>
      </w:r>
    </w:p>
  </w:footnote>
  <w:footnote w:id="58">
    <w:p w14:paraId="767841EC" w14:textId="335CF04A" w:rsidR="004D7B61" w:rsidRPr="002130C0" w:rsidRDefault="004D7B61" w:rsidP="00CB68B8">
      <w:pPr>
        <w:pStyle w:val="FootnoteText"/>
        <w:rPr>
          <w:rFonts w:cstheme="minorHAnsi"/>
          <w:lang w:val="de-DE"/>
        </w:rPr>
      </w:pPr>
      <w:r w:rsidRPr="002130C0">
        <w:rPr>
          <w:rStyle w:val="FootnoteReference"/>
          <w:rFonts w:cstheme="minorHAnsi"/>
        </w:rPr>
        <w:footnoteRef/>
      </w:r>
      <w:r w:rsidRPr="002130C0">
        <w:rPr>
          <w:rFonts w:cstheme="minorHAnsi"/>
          <w:lang w:val="de-DE"/>
        </w:rPr>
        <w:t xml:space="preserve"> Enderstein </w:t>
      </w:r>
      <w:r w:rsidR="00B054AB" w:rsidRPr="002130C0">
        <w:rPr>
          <w:rFonts w:cstheme="minorHAnsi"/>
          <w:lang w:val="de-DE"/>
        </w:rPr>
        <w:t>(n1</w:t>
      </w:r>
      <w:r w:rsidR="00702EBC">
        <w:rPr>
          <w:rFonts w:cstheme="minorHAnsi"/>
          <w:lang w:val="de-DE"/>
        </w:rPr>
        <w:t>6</w:t>
      </w:r>
      <w:r w:rsidR="00B054AB" w:rsidRPr="002130C0">
        <w:rPr>
          <w:rFonts w:cstheme="minorHAnsi"/>
          <w:lang w:val="de-DE"/>
        </w:rPr>
        <w:t xml:space="preserve">), </w:t>
      </w:r>
      <w:r w:rsidRPr="002130C0">
        <w:rPr>
          <w:rFonts w:cstheme="minorHAnsi"/>
          <w:lang w:val="de-DE"/>
        </w:rPr>
        <w:t>110.</w:t>
      </w:r>
    </w:p>
  </w:footnote>
  <w:footnote w:id="59">
    <w:p w14:paraId="7E85F59D" w14:textId="0F7B176F" w:rsidR="004D7B61" w:rsidRPr="002130C0" w:rsidRDefault="004D7B61" w:rsidP="00CB68B8">
      <w:pPr>
        <w:pStyle w:val="FootnoteText"/>
        <w:rPr>
          <w:rFonts w:cstheme="minorHAnsi"/>
          <w:lang w:val="de-DE"/>
        </w:rPr>
      </w:pPr>
      <w:r w:rsidRPr="002130C0">
        <w:rPr>
          <w:rStyle w:val="FootnoteReference"/>
          <w:rFonts w:cstheme="minorHAnsi"/>
        </w:rPr>
        <w:footnoteRef/>
      </w:r>
      <w:r w:rsidRPr="002130C0">
        <w:rPr>
          <w:rFonts w:cstheme="minorHAnsi"/>
          <w:lang w:val="de-DE"/>
        </w:rPr>
        <w:t xml:space="preserve"> TFEU </w:t>
      </w:r>
      <w:r w:rsidR="003730C5" w:rsidRPr="002130C0">
        <w:rPr>
          <w:rFonts w:cstheme="minorHAnsi"/>
          <w:lang w:val="de-DE"/>
        </w:rPr>
        <w:t>(n</w:t>
      </w:r>
      <w:r w:rsidR="000939D8">
        <w:rPr>
          <w:rFonts w:cstheme="minorHAnsi"/>
          <w:lang w:val="de-DE"/>
        </w:rPr>
        <w:t>5</w:t>
      </w:r>
      <w:r w:rsidR="003730C5" w:rsidRPr="002130C0">
        <w:rPr>
          <w:rFonts w:cstheme="minorHAnsi"/>
          <w:lang w:val="de-DE"/>
        </w:rPr>
        <w:t>)</w:t>
      </w:r>
      <w:r w:rsidR="00A25CA3">
        <w:rPr>
          <w:rFonts w:cstheme="minorHAnsi"/>
          <w:lang w:val="de-DE"/>
        </w:rPr>
        <w:t>,</w:t>
      </w:r>
      <w:r w:rsidR="003730C5" w:rsidRPr="002130C0">
        <w:rPr>
          <w:rFonts w:cstheme="minorHAnsi"/>
          <w:lang w:val="de-DE"/>
        </w:rPr>
        <w:t xml:space="preserve"> a</w:t>
      </w:r>
      <w:r w:rsidRPr="002130C0">
        <w:rPr>
          <w:rFonts w:cstheme="minorHAnsi"/>
          <w:lang w:val="de-DE"/>
        </w:rPr>
        <w:t>rt 20.</w:t>
      </w:r>
    </w:p>
  </w:footnote>
  <w:footnote w:id="60">
    <w:p w14:paraId="7401BEF0" w14:textId="360D333B" w:rsidR="00C163A1" w:rsidRPr="002130C0" w:rsidRDefault="00C163A1" w:rsidP="00CB68B8">
      <w:pPr>
        <w:pStyle w:val="FootnoteText"/>
        <w:rPr>
          <w:rFonts w:cstheme="minorHAnsi"/>
          <w:lang w:val="fr-FR"/>
        </w:rPr>
      </w:pPr>
      <w:r w:rsidRPr="002130C0">
        <w:rPr>
          <w:rStyle w:val="FootnoteReference"/>
          <w:rFonts w:cstheme="minorHAnsi"/>
        </w:rPr>
        <w:footnoteRef/>
      </w:r>
      <w:r w:rsidRPr="002130C0">
        <w:rPr>
          <w:rFonts w:cstheme="minorHAnsi"/>
          <w:lang w:val="fr-FR"/>
        </w:rPr>
        <w:t xml:space="preserve"> </w:t>
      </w:r>
      <w:proofErr w:type="spellStart"/>
      <w:r w:rsidR="00A25CA3">
        <w:rPr>
          <w:rFonts w:cstheme="minorHAnsi"/>
          <w:lang w:val="fr-FR"/>
        </w:rPr>
        <w:t>Ibid</w:t>
      </w:r>
      <w:proofErr w:type="spellEnd"/>
      <w:r w:rsidR="003730C5" w:rsidRPr="002130C0">
        <w:rPr>
          <w:rFonts w:cstheme="minorHAnsi"/>
          <w:lang w:val="fr-FR"/>
        </w:rPr>
        <w:t>, art</w:t>
      </w:r>
      <w:r w:rsidRPr="002130C0">
        <w:rPr>
          <w:rFonts w:cstheme="minorHAnsi"/>
          <w:lang w:val="fr-FR"/>
        </w:rPr>
        <w:t xml:space="preserve"> 20(2)(b).</w:t>
      </w:r>
    </w:p>
  </w:footnote>
  <w:footnote w:id="61">
    <w:p w14:paraId="66ECBA2A" w14:textId="6D34C0AF" w:rsidR="00460CA2" w:rsidRPr="002130C0" w:rsidRDefault="00460CA2"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0F056F" w:rsidRPr="002130C0">
        <w:rPr>
          <w:rFonts w:cstheme="minorHAnsi"/>
        </w:rPr>
        <w:t xml:space="preserve">Politico, </w:t>
      </w:r>
      <w:r w:rsidR="003B3BC4" w:rsidRPr="002130C0">
        <w:rPr>
          <w:rFonts w:cstheme="minorHAnsi"/>
        </w:rPr>
        <w:t xml:space="preserve">‘Vote for me! Why Turnout is the EU Parliament’s Biggest Challenge’ </w:t>
      </w:r>
      <w:r w:rsidR="00282AB8">
        <w:rPr>
          <w:rFonts w:cstheme="minorHAnsi"/>
        </w:rPr>
        <w:t>(</w:t>
      </w:r>
      <w:r w:rsidR="003B3BC4" w:rsidRPr="002130C0">
        <w:rPr>
          <w:rFonts w:cstheme="minorHAnsi"/>
        </w:rPr>
        <w:t>2024</w:t>
      </w:r>
      <w:r w:rsidR="00282AB8">
        <w:rPr>
          <w:rFonts w:cstheme="minorHAnsi"/>
        </w:rPr>
        <w:t>)</w:t>
      </w:r>
      <w:r w:rsidR="003B3BC4" w:rsidRPr="002130C0">
        <w:rPr>
          <w:rFonts w:cstheme="minorHAnsi"/>
        </w:rPr>
        <w:t xml:space="preserve"> </w:t>
      </w:r>
      <w:r w:rsidR="00B04EB5">
        <w:rPr>
          <w:rFonts w:cstheme="minorHAnsi"/>
        </w:rPr>
        <w:t xml:space="preserve">available </w:t>
      </w:r>
      <w:r w:rsidR="003B3BC4" w:rsidRPr="002130C0">
        <w:rPr>
          <w:rFonts w:cstheme="minorHAnsi"/>
        </w:rPr>
        <w:t xml:space="preserve">at </w:t>
      </w:r>
      <w:hyperlink r:id="rId12" w:history="1">
        <w:r w:rsidRPr="002130C0">
          <w:rPr>
            <w:rFonts w:cstheme="minorHAnsi"/>
            <w:color w:val="0000FF"/>
            <w:u w:val="single"/>
          </w:rPr>
          <w:t>Vote for me! Why turnout is the EU Parliament’s biggest election challenge – POLITICO</w:t>
        </w:r>
      </w:hyperlink>
      <w:r w:rsidR="000F056F" w:rsidRPr="002130C0">
        <w:rPr>
          <w:rFonts w:cstheme="minorHAnsi"/>
        </w:rPr>
        <w:t xml:space="preserve"> </w:t>
      </w:r>
      <w:r w:rsidR="00B11AB5" w:rsidRPr="002130C0">
        <w:rPr>
          <w:rFonts w:cstheme="minorHAnsi"/>
        </w:rPr>
        <w:t>with quotes from</w:t>
      </w:r>
      <w:r w:rsidR="000F056F" w:rsidRPr="002130C0">
        <w:rPr>
          <w:rFonts w:cstheme="minorHAnsi"/>
        </w:rPr>
        <w:t xml:space="preserve"> </w:t>
      </w:r>
      <w:r w:rsidR="000F056F" w:rsidRPr="002130C0">
        <w:rPr>
          <w:rFonts w:cstheme="minorHAnsi"/>
          <w:color w:val="0D0F16"/>
          <w:shd w:val="clear" w:color="auto" w:fill="FFFFFF"/>
        </w:rPr>
        <w:t xml:space="preserve">Camille Kelbel, an </w:t>
      </w:r>
      <w:r w:rsidR="00282AB8">
        <w:rPr>
          <w:rFonts w:cstheme="minorHAnsi"/>
          <w:color w:val="0D0F16"/>
          <w:shd w:val="clear" w:color="auto" w:fill="FFFFFF"/>
        </w:rPr>
        <w:t>A</w:t>
      </w:r>
      <w:r w:rsidR="000F056F" w:rsidRPr="002130C0">
        <w:rPr>
          <w:rFonts w:cstheme="minorHAnsi"/>
          <w:color w:val="0D0F16"/>
          <w:shd w:val="clear" w:color="auto" w:fill="FFFFFF"/>
        </w:rPr>
        <w:t xml:space="preserve">ssociate </w:t>
      </w:r>
      <w:r w:rsidR="00282AB8">
        <w:rPr>
          <w:rFonts w:cstheme="minorHAnsi"/>
          <w:color w:val="0D0F16"/>
          <w:shd w:val="clear" w:color="auto" w:fill="FFFFFF"/>
        </w:rPr>
        <w:t>P</w:t>
      </w:r>
      <w:r w:rsidR="000F056F" w:rsidRPr="002130C0">
        <w:rPr>
          <w:rFonts w:cstheme="minorHAnsi"/>
          <w:color w:val="0D0F16"/>
          <w:shd w:val="clear" w:color="auto" w:fill="FFFFFF"/>
        </w:rPr>
        <w:t xml:space="preserve">rofessor of </w:t>
      </w:r>
      <w:r w:rsidR="00282AB8">
        <w:rPr>
          <w:rFonts w:cstheme="minorHAnsi"/>
          <w:color w:val="0D0F16"/>
          <w:shd w:val="clear" w:color="auto" w:fill="FFFFFF"/>
        </w:rPr>
        <w:t>P</w:t>
      </w:r>
      <w:r w:rsidR="000F056F" w:rsidRPr="002130C0">
        <w:rPr>
          <w:rFonts w:cstheme="minorHAnsi"/>
          <w:color w:val="0D0F16"/>
          <w:shd w:val="clear" w:color="auto" w:fill="FFFFFF"/>
        </w:rPr>
        <w:t xml:space="preserve">olitical </w:t>
      </w:r>
      <w:r w:rsidR="00282AB8">
        <w:rPr>
          <w:rFonts w:cstheme="minorHAnsi"/>
          <w:color w:val="0D0F16"/>
          <w:shd w:val="clear" w:color="auto" w:fill="FFFFFF"/>
        </w:rPr>
        <w:t>S</w:t>
      </w:r>
      <w:r w:rsidR="000F056F" w:rsidRPr="002130C0">
        <w:rPr>
          <w:rFonts w:cstheme="minorHAnsi"/>
          <w:color w:val="0D0F16"/>
          <w:shd w:val="clear" w:color="auto" w:fill="FFFFFF"/>
        </w:rPr>
        <w:t>cience at the Catholic University of Lille</w:t>
      </w:r>
      <w:r w:rsidR="00CC41F0" w:rsidRPr="002130C0">
        <w:rPr>
          <w:rFonts w:cstheme="minorHAnsi"/>
          <w:color w:val="0D0F16"/>
          <w:shd w:val="clear" w:color="auto" w:fill="FFFFFF"/>
        </w:rPr>
        <w:t xml:space="preserve">. </w:t>
      </w:r>
    </w:p>
  </w:footnote>
  <w:footnote w:id="62">
    <w:p w14:paraId="0206E5B7" w14:textId="1368700C" w:rsidR="00C163A1" w:rsidRPr="002130C0" w:rsidRDefault="00C163A1"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C03F89" w:rsidRPr="002130C0">
        <w:rPr>
          <w:rFonts w:cstheme="minorHAnsi"/>
        </w:rPr>
        <w:t xml:space="preserve">Statista, </w:t>
      </w:r>
      <w:r w:rsidR="003B3BC4" w:rsidRPr="002130C0">
        <w:rPr>
          <w:rFonts w:cstheme="minorHAnsi"/>
        </w:rPr>
        <w:t>‘</w:t>
      </w:r>
      <w:r w:rsidR="00C03F89" w:rsidRPr="002130C0">
        <w:rPr>
          <w:rFonts w:cstheme="minorHAnsi"/>
          <w:color w:val="0F2741"/>
          <w:shd w:val="clear" w:color="auto" w:fill="FFFFFF"/>
        </w:rPr>
        <w:t>Voter turnout in the European Parliament Elections in the European Union (EU) from 1979 to 2024</w:t>
      </w:r>
      <w:r w:rsidR="003B3BC4" w:rsidRPr="002130C0">
        <w:rPr>
          <w:rFonts w:cstheme="minorHAnsi"/>
          <w:color w:val="0F2741"/>
          <w:shd w:val="clear" w:color="auto" w:fill="FFFFFF"/>
        </w:rPr>
        <w:t xml:space="preserve">’ </w:t>
      </w:r>
      <w:r w:rsidR="00282AB8">
        <w:rPr>
          <w:rFonts w:cstheme="minorHAnsi"/>
          <w:color w:val="0F2741"/>
          <w:shd w:val="clear" w:color="auto" w:fill="FFFFFF"/>
        </w:rPr>
        <w:t>(</w:t>
      </w:r>
      <w:r w:rsidR="003B3BC4" w:rsidRPr="002130C0">
        <w:rPr>
          <w:rFonts w:cstheme="minorHAnsi"/>
          <w:color w:val="0F2741"/>
          <w:shd w:val="clear" w:color="auto" w:fill="FFFFFF"/>
        </w:rPr>
        <w:t>2024</w:t>
      </w:r>
      <w:r w:rsidR="00282AB8">
        <w:rPr>
          <w:rFonts w:cstheme="minorHAnsi"/>
          <w:color w:val="0F2741"/>
          <w:shd w:val="clear" w:color="auto" w:fill="FFFFFF"/>
        </w:rPr>
        <w:t>)</w:t>
      </w:r>
      <w:r w:rsidR="004E76F0" w:rsidRPr="002130C0">
        <w:rPr>
          <w:rFonts w:cstheme="minorHAnsi"/>
          <w:b/>
          <w:bCs/>
          <w:color w:val="0F2741"/>
          <w:shd w:val="clear" w:color="auto" w:fill="FFFFFF"/>
        </w:rPr>
        <w:t xml:space="preserve"> </w:t>
      </w:r>
      <w:r w:rsidR="004E76F0" w:rsidRPr="002130C0">
        <w:rPr>
          <w:rFonts w:cstheme="minorHAnsi"/>
          <w:color w:val="0F2741"/>
          <w:shd w:val="clear" w:color="auto" w:fill="FFFFFF"/>
        </w:rPr>
        <w:t xml:space="preserve">available at </w:t>
      </w:r>
      <w:hyperlink r:id="rId13" w:history="1">
        <w:r w:rsidR="00C547E2" w:rsidRPr="002130C0">
          <w:rPr>
            <w:rFonts w:cstheme="minorHAnsi"/>
            <w:color w:val="0000FF"/>
            <w:u w:val="single"/>
          </w:rPr>
          <w:t>Turnout in European elections 1979-2024 | Statista</w:t>
        </w:r>
      </w:hyperlink>
      <w:r w:rsidR="0024126B">
        <w:rPr>
          <w:rFonts w:cstheme="minorHAnsi"/>
          <w:color w:val="0000FF"/>
          <w:u w:val="single"/>
        </w:rPr>
        <w:t>.</w:t>
      </w:r>
    </w:p>
  </w:footnote>
  <w:footnote w:id="63">
    <w:p w14:paraId="21765C17" w14:textId="55677DA2" w:rsidR="00CB2E24" w:rsidRPr="002130C0" w:rsidRDefault="002A38E4"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Askola</w:t>
      </w:r>
      <w:proofErr w:type="spellEnd"/>
      <w:r w:rsidR="000D725C" w:rsidRPr="002130C0">
        <w:rPr>
          <w:rFonts w:cstheme="minorHAnsi"/>
        </w:rPr>
        <w:t xml:space="preserve"> </w:t>
      </w:r>
      <w:r w:rsidR="00485FD4" w:rsidRPr="002130C0">
        <w:rPr>
          <w:rFonts w:cstheme="minorHAnsi"/>
        </w:rPr>
        <w:t>(</w:t>
      </w:r>
      <w:r w:rsidR="00403F65" w:rsidRPr="002130C0">
        <w:rPr>
          <w:rFonts w:cstheme="minorHAnsi"/>
        </w:rPr>
        <w:t>n</w:t>
      </w:r>
      <w:r w:rsidR="00205B83">
        <w:rPr>
          <w:rFonts w:cstheme="minorHAnsi"/>
        </w:rPr>
        <w:t>31</w:t>
      </w:r>
      <w:r w:rsidR="00485FD4" w:rsidRPr="002130C0">
        <w:rPr>
          <w:rFonts w:cstheme="minorHAnsi"/>
        </w:rPr>
        <w:t>)</w:t>
      </w:r>
      <w:r w:rsidR="00CB2E24" w:rsidRPr="002130C0">
        <w:rPr>
          <w:rFonts w:cstheme="minorHAnsi"/>
        </w:rPr>
        <w:t>, 342.</w:t>
      </w:r>
    </w:p>
  </w:footnote>
  <w:footnote w:id="64">
    <w:p w14:paraId="13767A94" w14:textId="289F3F32" w:rsidR="006E3543" w:rsidRPr="002130C0" w:rsidRDefault="006E3543"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Pr="002130C0">
        <w:rPr>
          <w:rFonts w:cstheme="minorHAnsi"/>
          <w:lang w:val="en-US"/>
        </w:rPr>
        <w:t xml:space="preserve">Citizenship Directive </w:t>
      </w:r>
      <w:r w:rsidR="00CC3B23" w:rsidRPr="002130C0">
        <w:rPr>
          <w:rFonts w:cstheme="minorHAnsi"/>
          <w:lang w:val="en-US"/>
        </w:rPr>
        <w:t>(n</w:t>
      </w:r>
      <w:r w:rsidR="00E001CD">
        <w:rPr>
          <w:rFonts w:cstheme="minorHAnsi"/>
          <w:lang w:val="en-US"/>
        </w:rPr>
        <w:t>4</w:t>
      </w:r>
      <w:r w:rsidR="00CC3B23" w:rsidRPr="002130C0">
        <w:rPr>
          <w:rFonts w:cstheme="minorHAnsi"/>
          <w:lang w:val="en-US"/>
        </w:rPr>
        <w:t>)</w:t>
      </w:r>
      <w:r w:rsidR="00282AB8">
        <w:rPr>
          <w:rFonts w:cstheme="minorHAnsi"/>
          <w:lang w:val="en-US"/>
        </w:rPr>
        <w:t>,</w:t>
      </w:r>
      <w:r w:rsidR="00CC3B23" w:rsidRPr="002130C0">
        <w:rPr>
          <w:rFonts w:cstheme="minorHAnsi"/>
          <w:lang w:val="en-US"/>
        </w:rPr>
        <w:t xml:space="preserve"> art</w:t>
      </w:r>
      <w:r w:rsidR="00AF264E" w:rsidRPr="002130C0">
        <w:rPr>
          <w:rFonts w:cstheme="minorHAnsi"/>
          <w:lang w:val="en-US"/>
        </w:rPr>
        <w:t>s</w:t>
      </w:r>
      <w:r w:rsidR="00CC3B23" w:rsidRPr="002130C0">
        <w:rPr>
          <w:rFonts w:cstheme="minorHAnsi"/>
          <w:lang w:val="en-US"/>
        </w:rPr>
        <w:t xml:space="preserve"> </w:t>
      </w:r>
      <w:r w:rsidRPr="002130C0">
        <w:rPr>
          <w:rFonts w:cstheme="minorHAnsi"/>
          <w:lang w:val="en-US"/>
        </w:rPr>
        <w:t>6, 7 and 16.</w:t>
      </w:r>
    </w:p>
  </w:footnote>
  <w:footnote w:id="65">
    <w:p w14:paraId="21D51CB0" w14:textId="00483BE8" w:rsidR="00AB2ADC" w:rsidRPr="002130C0" w:rsidRDefault="00AB2ADC" w:rsidP="00CB68B8">
      <w:pPr>
        <w:pStyle w:val="FootnoteText"/>
        <w:rPr>
          <w:rFonts w:eastAsiaTheme="minorEastAsia" w:cstheme="minorHAnsi"/>
          <w:kern w:val="24"/>
        </w:rPr>
      </w:pPr>
      <w:r w:rsidRPr="002130C0">
        <w:rPr>
          <w:rStyle w:val="FootnoteReference"/>
          <w:rFonts w:cstheme="minorHAnsi"/>
        </w:rPr>
        <w:footnoteRef/>
      </w:r>
      <w:r w:rsidRPr="002130C0">
        <w:rPr>
          <w:rFonts w:cstheme="minorHAnsi"/>
        </w:rPr>
        <w:t xml:space="preserve"> </w:t>
      </w:r>
      <w:r w:rsidR="00BA3603" w:rsidRPr="002130C0">
        <w:rPr>
          <w:rFonts w:cstheme="minorHAnsi"/>
          <w:lang w:val="en-US"/>
        </w:rPr>
        <w:t>Ibid</w:t>
      </w:r>
      <w:r w:rsidR="002273F1" w:rsidRPr="002130C0">
        <w:rPr>
          <w:rFonts w:cstheme="minorHAnsi"/>
          <w:lang w:val="en-US"/>
        </w:rPr>
        <w:t>,</w:t>
      </w:r>
      <w:r w:rsidR="00BA3603" w:rsidRPr="002130C0">
        <w:rPr>
          <w:rFonts w:cstheme="minorHAnsi"/>
          <w:i/>
          <w:iCs/>
          <w:lang w:val="en-US"/>
        </w:rPr>
        <w:t xml:space="preserve"> </w:t>
      </w:r>
      <w:r w:rsidR="00AF264E" w:rsidRPr="002130C0">
        <w:rPr>
          <w:rFonts w:cstheme="minorHAnsi"/>
          <w:lang w:val="en-US"/>
        </w:rPr>
        <w:t>a</w:t>
      </w:r>
      <w:r w:rsidR="00BA3603" w:rsidRPr="002130C0">
        <w:rPr>
          <w:rFonts w:cstheme="minorHAnsi"/>
          <w:lang w:val="en-US"/>
        </w:rPr>
        <w:t>rt</w:t>
      </w:r>
      <w:r w:rsidR="00282AB8">
        <w:rPr>
          <w:rFonts w:cstheme="minorHAnsi"/>
          <w:lang w:val="en-US"/>
        </w:rPr>
        <w:t>s</w:t>
      </w:r>
      <w:r w:rsidRPr="002130C0">
        <w:rPr>
          <w:rFonts w:eastAsiaTheme="minorEastAsia" w:cstheme="minorHAnsi"/>
          <w:kern w:val="24"/>
        </w:rPr>
        <w:t xml:space="preserve"> 23 and 24.</w:t>
      </w:r>
    </w:p>
  </w:footnote>
  <w:footnote w:id="66">
    <w:p w14:paraId="08BD6F39" w14:textId="4DC28408" w:rsidR="00740E00" w:rsidRPr="002130C0" w:rsidRDefault="00740E00" w:rsidP="00CB68B8">
      <w:pPr>
        <w:pStyle w:val="FootnoteText"/>
        <w:rPr>
          <w:rFonts w:cstheme="minorHAnsi"/>
          <w:color w:val="000000" w:themeColor="text1"/>
        </w:rPr>
      </w:pPr>
      <w:r w:rsidRPr="002130C0">
        <w:rPr>
          <w:rStyle w:val="FootnoteReference"/>
          <w:rFonts w:cstheme="minorHAnsi"/>
        </w:rPr>
        <w:footnoteRef/>
      </w:r>
      <w:r w:rsidRPr="002130C0">
        <w:rPr>
          <w:rFonts w:cstheme="minorHAnsi"/>
        </w:rPr>
        <w:t xml:space="preserve"> </w:t>
      </w:r>
      <w:r w:rsidR="00570E60">
        <w:rPr>
          <w:rFonts w:cstheme="minorHAnsi"/>
        </w:rPr>
        <w:t>Ibid,</w:t>
      </w:r>
      <w:r w:rsidR="00CC3B23" w:rsidRPr="002130C0">
        <w:rPr>
          <w:rFonts w:cstheme="minorHAnsi"/>
        </w:rPr>
        <w:t xml:space="preserve"> </w:t>
      </w:r>
      <w:r w:rsidRPr="002130C0">
        <w:rPr>
          <w:rFonts w:cstheme="minorHAnsi"/>
        </w:rPr>
        <w:t>art 7.</w:t>
      </w:r>
    </w:p>
  </w:footnote>
  <w:footnote w:id="67">
    <w:p w14:paraId="054BB9F4" w14:textId="3D5D8C7B" w:rsidR="001427FD" w:rsidRPr="002130C0" w:rsidRDefault="008767EE"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rPr>
        <w:t xml:space="preserve"> </w:t>
      </w:r>
      <w:r w:rsidR="001427FD" w:rsidRPr="002130C0">
        <w:rPr>
          <w:rFonts w:cstheme="minorHAnsi"/>
          <w:color w:val="000000" w:themeColor="text1"/>
        </w:rPr>
        <w:t xml:space="preserve">European Parliament, </w:t>
      </w:r>
      <w:r w:rsidR="00485FD4" w:rsidRPr="002130C0">
        <w:rPr>
          <w:rFonts w:cstheme="minorHAnsi"/>
          <w:color w:val="000000" w:themeColor="text1"/>
        </w:rPr>
        <w:t xml:space="preserve">‘Free Movement of Workers’ </w:t>
      </w:r>
      <w:r w:rsidR="009C6689">
        <w:rPr>
          <w:rFonts w:cstheme="minorHAnsi"/>
          <w:color w:val="000000" w:themeColor="text1"/>
        </w:rPr>
        <w:t>(</w:t>
      </w:r>
      <w:r w:rsidR="00485FD4" w:rsidRPr="002130C0">
        <w:rPr>
          <w:rFonts w:cstheme="minorHAnsi"/>
          <w:color w:val="000000" w:themeColor="text1"/>
        </w:rPr>
        <w:t>Fact Sheet</w:t>
      </w:r>
      <w:r w:rsidR="009C6689">
        <w:rPr>
          <w:rFonts w:cstheme="minorHAnsi"/>
          <w:color w:val="000000" w:themeColor="text1"/>
        </w:rPr>
        <w:t>,</w:t>
      </w:r>
      <w:r w:rsidR="00485FD4" w:rsidRPr="002130C0">
        <w:rPr>
          <w:rFonts w:cstheme="minorHAnsi"/>
          <w:color w:val="000000" w:themeColor="text1"/>
        </w:rPr>
        <w:t xml:space="preserve"> </w:t>
      </w:r>
      <w:r w:rsidR="001427FD" w:rsidRPr="002130C0">
        <w:rPr>
          <w:rFonts w:cstheme="minorHAnsi"/>
          <w:color w:val="000000" w:themeColor="text1"/>
        </w:rPr>
        <w:t>2020</w:t>
      </w:r>
      <w:r w:rsidR="009C6689">
        <w:rPr>
          <w:rFonts w:cstheme="minorHAnsi"/>
          <w:color w:val="000000" w:themeColor="text1"/>
        </w:rPr>
        <w:t>)</w:t>
      </w:r>
      <w:r w:rsidR="00485FD4" w:rsidRPr="002130C0">
        <w:rPr>
          <w:rFonts w:cstheme="minorHAnsi"/>
          <w:color w:val="000000" w:themeColor="text1"/>
        </w:rPr>
        <w:t xml:space="preserve"> available at</w:t>
      </w:r>
      <w:r w:rsidR="001427FD" w:rsidRPr="002130C0">
        <w:rPr>
          <w:rFonts w:cstheme="minorHAnsi"/>
          <w:color w:val="000000" w:themeColor="text1"/>
        </w:rPr>
        <w:t xml:space="preserve"> </w:t>
      </w:r>
      <w:hyperlink r:id="rId14" w:history="1">
        <w:r w:rsidRPr="002130C0">
          <w:rPr>
            <w:rFonts w:cstheme="minorHAnsi"/>
            <w:color w:val="000000" w:themeColor="text1"/>
            <w:u w:val="single"/>
          </w:rPr>
          <w:t>Free movement of workers | Fact Sheets on the European Union | European Parliament (europa.eu)</w:t>
        </w:r>
      </w:hyperlink>
    </w:p>
  </w:footnote>
  <w:footnote w:id="68">
    <w:p w14:paraId="1C282CCA" w14:textId="2628AB1F" w:rsidR="009221DE" w:rsidRPr="002130C0" w:rsidRDefault="009221DE" w:rsidP="00CB68B8">
      <w:pPr>
        <w:pStyle w:val="FootnoteText"/>
        <w:rPr>
          <w:rFonts w:cstheme="minorHAnsi"/>
          <w:color w:val="000000" w:themeColor="text1"/>
          <w:lang w:val="en-US"/>
        </w:rPr>
      </w:pPr>
      <w:r w:rsidRPr="002130C0">
        <w:rPr>
          <w:rStyle w:val="FootnoteReference"/>
          <w:rFonts w:cstheme="minorHAnsi"/>
          <w:color w:val="000000" w:themeColor="text1"/>
        </w:rPr>
        <w:footnoteRef/>
      </w:r>
      <w:r w:rsidRPr="002130C0">
        <w:rPr>
          <w:rFonts w:cstheme="minorHAnsi"/>
          <w:color w:val="000000" w:themeColor="text1"/>
        </w:rPr>
        <w:t xml:space="preserve"> Eurobarometer</w:t>
      </w:r>
      <w:r w:rsidR="00C30C9E" w:rsidRPr="002130C0">
        <w:rPr>
          <w:rFonts w:cstheme="minorHAnsi"/>
          <w:color w:val="000000" w:themeColor="text1"/>
        </w:rPr>
        <w:t xml:space="preserve">, ‘Eurobarometer 79.2’ </w:t>
      </w:r>
      <w:r w:rsidR="00D1681A">
        <w:rPr>
          <w:rFonts w:cstheme="minorHAnsi"/>
          <w:color w:val="000000" w:themeColor="text1"/>
        </w:rPr>
        <w:t>(</w:t>
      </w:r>
      <w:r w:rsidR="00C30C9E" w:rsidRPr="002130C0">
        <w:rPr>
          <w:rFonts w:cstheme="minorHAnsi"/>
          <w:color w:val="000000" w:themeColor="text1"/>
        </w:rPr>
        <w:t>2013</w:t>
      </w:r>
      <w:r w:rsidR="00D1681A">
        <w:rPr>
          <w:rFonts w:cstheme="minorHAnsi"/>
          <w:color w:val="000000" w:themeColor="text1"/>
        </w:rPr>
        <w:t>)</w:t>
      </w:r>
      <w:r w:rsidR="00C30C9E" w:rsidRPr="002130C0">
        <w:rPr>
          <w:rFonts w:cstheme="minorHAnsi"/>
          <w:color w:val="000000" w:themeColor="text1"/>
        </w:rPr>
        <w:t xml:space="preserve"> available at </w:t>
      </w:r>
      <w:hyperlink r:id="rId15" w:history="1">
        <w:r w:rsidR="00C30C9E" w:rsidRPr="002130C0">
          <w:rPr>
            <w:rFonts w:cstheme="minorHAnsi"/>
            <w:color w:val="000000" w:themeColor="text1"/>
            <w:u w:val="single"/>
          </w:rPr>
          <w:t>GESIS-</w:t>
        </w:r>
        <w:proofErr w:type="spellStart"/>
        <w:r w:rsidR="00C30C9E" w:rsidRPr="002130C0">
          <w:rPr>
            <w:rFonts w:cstheme="minorHAnsi"/>
            <w:color w:val="000000" w:themeColor="text1"/>
            <w:u w:val="single"/>
          </w:rPr>
          <w:t>Suche</w:t>
        </w:r>
        <w:proofErr w:type="spellEnd"/>
        <w:r w:rsidR="00C30C9E" w:rsidRPr="002130C0">
          <w:rPr>
            <w:rFonts w:cstheme="minorHAnsi"/>
            <w:color w:val="000000" w:themeColor="text1"/>
            <w:u w:val="single"/>
          </w:rPr>
          <w:t>: Eurobarometer 79.2 (2013)</w:t>
        </w:r>
      </w:hyperlink>
      <w:r w:rsidR="00C30C9E" w:rsidRPr="002130C0">
        <w:rPr>
          <w:rFonts w:cstheme="minorHAnsi"/>
          <w:color w:val="000000" w:themeColor="text1"/>
        </w:rPr>
        <w:t xml:space="preserve">. </w:t>
      </w:r>
    </w:p>
  </w:footnote>
  <w:footnote w:id="69">
    <w:p w14:paraId="6B48F17F" w14:textId="457633ED" w:rsidR="00436F25" w:rsidRPr="002130C0" w:rsidRDefault="00436F25"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Askola</w:t>
      </w:r>
      <w:proofErr w:type="spellEnd"/>
      <w:r w:rsidR="00485FD4" w:rsidRPr="002130C0">
        <w:rPr>
          <w:rFonts w:cstheme="minorHAnsi"/>
        </w:rPr>
        <w:t xml:space="preserve"> (</w:t>
      </w:r>
      <w:r w:rsidR="00403F65" w:rsidRPr="002130C0">
        <w:rPr>
          <w:rFonts w:cstheme="minorHAnsi"/>
        </w:rPr>
        <w:t>n</w:t>
      </w:r>
      <w:r w:rsidR="00205B83">
        <w:rPr>
          <w:rFonts w:cstheme="minorHAnsi"/>
        </w:rPr>
        <w:t>31</w:t>
      </w:r>
      <w:r w:rsidR="00485FD4" w:rsidRPr="002130C0">
        <w:rPr>
          <w:rFonts w:cstheme="minorHAnsi"/>
        </w:rPr>
        <w:t>)</w:t>
      </w:r>
      <w:r w:rsidR="006F19E5" w:rsidRPr="002130C0">
        <w:rPr>
          <w:rFonts w:cstheme="minorHAnsi"/>
        </w:rPr>
        <w:t>, 344</w:t>
      </w:r>
      <w:r w:rsidR="00D1681A">
        <w:rPr>
          <w:rFonts w:cstheme="minorHAnsi"/>
        </w:rPr>
        <w:t>,</w:t>
      </w:r>
      <w:r w:rsidR="006F19E5" w:rsidRPr="002130C0">
        <w:rPr>
          <w:rFonts w:cstheme="minorHAnsi"/>
        </w:rPr>
        <w:t xml:space="preserve"> </w:t>
      </w:r>
      <w:r w:rsidRPr="002130C0">
        <w:rPr>
          <w:rFonts w:cstheme="minorHAnsi"/>
        </w:rPr>
        <w:t xml:space="preserve">referring to </w:t>
      </w:r>
      <w:r w:rsidR="00AD05E8" w:rsidRPr="002130C0">
        <w:rPr>
          <w:rFonts w:cstheme="minorHAnsi"/>
        </w:rPr>
        <w:t xml:space="preserve">Michelle </w:t>
      </w:r>
      <w:r w:rsidR="00BB6240" w:rsidRPr="002130C0">
        <w:rPr>
          <w:rFonts w:cstheme="minorHAnsi"/>
          <w:color w:val="000000"/>
        </w:rPr>
        <w:t>Everson</w:t>
      </w:r>
      <w:r w:rsidR="00C30C9E" w:rsidRPr="002130C0">
        <w:rPr>
          <w:rFonts w:cstheme="minorHAnsi"/>
          <w:color w:val="000000"/>
        </w:rPr>
        <w:t>,</w:t>
      </w:r>
      <w:r w:rsidR="00BB6240" w:rsidRPr="002130C0">
        <w:rPr>
          <w:rFonts w:cstheme="minorHAnsi"/>
          <w:color w:val="000000"/>
        </w:rPr>
        <w:t xml:space="preserve"> </w:t>
      </w:r>
      <w:r w:rsidR="00C30C9E" w:rsidRPr="002130C0">
        <w:rPr>
          <w:rFonts w:cstheme="minorHAnsi"/>
          <w:color w:val="000000"/>
        </w:rPr>
        <w:t>‘</w:t>
      </w:r>
      <w:r w:rsidR="00BB6240" w:rsidRPr="002130C0">
        <w:rPr>
          <w:rFonts w:cstheme="minorHAnsi"/>
          <w:color w:val="000000"/>
        </w:rPr>
        <w:t xml:space="preserve">The </w:t>
      </w:r>
      <w:r w:rsidR="00C30C9E" w:rsidRPr="002130C0">
        <w:rPr>
          <w:rFonts w:cstheme="minorHAnsi"/>
          <w:color w:val="000000"/>
        </w:rPr>
        <w:t>L</w:t>
      </w:r>
      <w:r w:rsidR="00BB6240" w:rsidRPr="002130C0">
        <w:rPr>
          <w:rFonts w:cstheme="minorHAnsi"/>
          <w:color w:val="000000"/>
        </w:rPr>
        <w:t xml:space="preserve">egacy of the </w:t>
      </w:r>
      <w:r w:rsidR="00C30C9E" w:rsidRPr="002130C0">
        <w:rPr>
          <w:rFonts w:cstheme="minorHAnsi"/>
          <w:color w:val="000000"/>
        </w:rPr>
        <w:t>M</w:t>
      </w:r>
      <w:r w:rsidR="00BB6240" w:rsidRPr="002130C0">
        <w:rPr>
          <w:rFonts w:cstheme="minorHAnsi"/>
          <w:color w:val="000000"/>
        </w:rPr>
        <w:t xml:space="preserve">arket </w:t>
      </w:r>
      <w:r w:rsidR="00C30C9E" w:rsidRPr="002130C0">
        <w:rPr>
          <w:rFonts w:cstheme="minorHAnsi"/>
          <w:color w:val="000000"/>
        </w:rPr>
        <w:t>C</w:t>
      </w:r>
      <w:r w:rsidR="00BB6240" w:rsidRPr="002130C0">
        <w:rPr>
          <w:rFonts w:cstheme="minorHAnsi"/>
          <w:color w:val="000000"/>
        </w:rPr>
        <w:t>itizen</w:t>
      </w:r>
      <w:r w:rsidR="0075665F">
        <w:rPr>
          <w:rFonts w:cstheme="minorHAnsi"/>
          <w:color w:val="000000"/>
        </w:rPr>
        <w:t>’</w:t>
      </w:r>
      <w:r w:rsidR="00D1681A">
        <w:rPr>
          <w:rFonts w:cstheme="minorHAnsi"/>
          <w:color w:val="000000"/>
        </w:rPr>
        <w:t>,</w:t>
      </w:r>
      <w:r w:rsidR="00041EC6" w:rsidRPr="002130C0">
        <w:rPr>
          <w:rFonts w:cstheme="minorHAnsi"/>
          <w:color w:val="000000"/>
        </w:rPr>
        <w:t xml:space="preserve"> in</w:t>
      </w:r>
      <w:r w:rsidR="00BB6240" w:rsidRPr="002130C0">
        <w:rPr>
          <w:rFonts w:cstheme="minorHAnsi"/>
          <w:color w:val="000000"/>
        </w:rPr>
        <w:t xml:space="preserve"> </w:t>
      </w:r>
      <w:r w:rsidR="008D11E5" w:rsidRPr="002130C0">
        <w:rPr>
          <w:rFonts w:cstheme="minorHAnsi"/>
          <w:color w:val="000000"/>
        </w:rPr>
        <w:t xml:space="preserve">Jo </w:t>
      </w:r>
      <w:r w:rsidR="00BB6240" w:rsidRPr="002130C0">
        <w:rPr>
          <w:rFonts w:cstheme="minorHAnsi"/>
          <w:color w:val="000000"/>
        </w:rPr>
        <w:t xml:space="preserve">Shaw </w:t>
      </w:r>
      <w:r w:rsidR="008D11E5" w:rsidRPr="002130C0">
        <w:rPr>
          <w:rFonts w:cstheme="minorHAnsi"/>
          <w:color w:val="000000"/>
        </w:rPr>
        <w:t>and Gillian</w:t>
      </w:r>
      <w:r w:rsidR="00F74869" w:rsidRPr="002130C0">
        <w:rPr>
          <w:rFonts w:cstheme="minorHAnsi"/>
          <w:color w:val="000000"/>
        </w:rPr>
        <w:t xml:space="preserve"> </w:t>
      </w:r>
      <w:r w:rsidR="00BB6240" w:rsidRPr="002130C0">
        <w:rPr>
          <w:rFonts w:cstheme="minorHAnsi"/>
          <w:color w:val="000000"/>
        </w:rPr>
        <w:t>More (eds)</w:t>
      </w:r>
      <w:r w:rsidR="00D1681A">
        <w:rPr>
          <w:rFonts w:cstheme="minorHAnsi"/>
          <w:color w:val="000000"/>
        </w:rPr>
        <w:t>,</w:t>
      </w:r>
      <w:r w:rsidR="00BB6240" w:rsidRPr="002130C0">
        <w:rPr>
          <w:rFonts w:cstheme="minorHAnsi"/>
          <w:color w:val="000000"/>
        </w:rPr>
        <w:t> </w:t>
      </w:r>
      <w:r w:rsidR="00BB6240" w:rsidRPr="002130C0">
        <w:rPr>
          <w:rStyle w:val="Emphasis"/>
          <w:rFonts w:cstheme="minorHAnsi"/>
          <w:color w:val="000000"/>
        </w:rPr>
        <w:t>New Legal Dynamics of European Union</w:t>
      </w:r>
      <w:r w:rsidR="00BB6240" w:rsidRPr="002130C0">
        <w:rPr>
          <w:rFonts w:cstheme="minorHAnsi"/>
          <w:color w:val="000000"/>
        </w:rPr>
        <w:t xml:space="preserve"> </w:t>
      </w:r>
      <w:r w:rsidR="009606F6" w:rsidRPr="002130C0">
        <w:rPr>
          <w:rFonts w:cstheme="minorHAnsi"/>
          <w:color w:val="000000"/>
        </w:rPr>
        <w:t>(</w:t>
      </w:r>
      <w:r w:rsidR="00BB6240" w:rsidRPr="002130C0">
        <w:rPr>
          <w:rFonts w:cstheme="minorHAnsi"/>
          <w:color w:val="000000"/>
        </w:rPr>
        <w:t>Oxford University Press</w:t>
      </w:r>
      <w:r w:rsidR="00C30C9E" w:rsidRPr="002130C0">
        <w:rPr>
          <w:rFonts w:cstheme="minorHAnsi"/>
          <w:color w:val="000000"/>
        </w:rPr>
        <w:t>, 1995</w:t>
      </w:r>
      <w:r w:rsidR="009606F6" w:rsidRPr="002130C0">
        <w:rPr>
          <w:rFonts w:cstheme="minorHAnsi"/>
          <w:color w:val="000000"/>
        </w:rPr>
        <w:t>)</w:t>
      </w:r>
      <w:r w:rsidR="00F53443">
        <w:rPr>
          <w:rFonts w:cstheme="minorHAnsi"/>
          <w:color w:val="000000"/>
        </w:rPr>
        <w:t>,</w:t>
      </w:r>
      <w:r w:rsidR="00041EC6" w:rsidRPr="002130C0">
        <w:rPr>
          <w:rFonts w:cstheme="minorHAnsi"/>
          <w:color w:val="000000"/>
        </w:rPr>
        <w:t xml:space="preserve"> </w:t>
      </w:r>
      <w:r w:rsidR="00BB6240" w:rsidRPr="002130C0">
        <w:rPr>
          <w:rFonts w:cstheme="minorHAnsi"/>
          <w:color w:val="000000"/>
        </w:rPr>
        <w:t>73–90.</w:t>
      </w:r>
    </w:p>
  </w:footnote>
  <w:footnote w:id="70">
    <w:p w14:paraId="686596E9" w14:textId="73D471D0" w:rsidR="00436F25" w:rsidRPr="002130C0" w:rsidRDefault="00436F25"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Askola</w:t>
      </w:r>
      <w:proofErr w:type="spellEnd"/>
      <w:r w:rsidR="00B41AC7" w:rsidRPr="002130C0">
        <w:rPr>
          <w:rFonts w:cstheme="minorHAnsi"/>
        </w:rPr>
        <w:t xml:space="preserve"> </w:t>
      </w:r>
      <w:r w:rsidR="00C30C9E" w:rsidRPr="002130C0">
        <w:rPr>
          <w:rFonts w:cstheme="minorHAnsi"/>
        </w:rPr>
        <w:t>(</w:t>
      </w:r>
      <w:r w:rsidR="00B41AC7" w:rsidRPr="002130C0">
        <w:rPr>
          <w:rFonts w:cstheme="minorHAnsi"/>
        </w:rPr>
        <w:t>n</w:t>
      </w:r>
      <w:r w:rsidR="00205B83">
        <w:rPr>
          <w:rFonts w:cstheme="minorHAnsi"/>
        </w:rPr>
        <w:t>31</w:t>
      </w:r>
      <w:r w:rsidR="00C30C9E" w:rsidRPr="002130C0">
        <w:rPr>
          <w:rFonts w:cstheme="minorHAnsi"/>
        </w:rPr>
        <w:t xml:space="preserve">), </w:t>
      </w:r>
      <w:r w:rsidR="00B41AC7" w:rsidRPr="002130C0">
        <w:rPr>
          <w:rFonts w:cstheme="minorHAnsi"/>
        </w:rPr>
        <w:t>344</w:t>
      </w:r>
      <w:r w:rsidR="00A36AB9">
        <w:rPr>
          <w:rFonts w:cstheme="minorHAnsi"/>
        </w:rPr>
        <w:t>,</w:t>
      </w:r>
      <w:r w:rsidR="00B41AC7" w:rsidRPr="002130C0">
        <w:rPr>
          <w:rFonts w:cstheme="minorHAnsi"/>
        </w:rPr>
        <w:t xml:space="preserve"> </w:t>
      </w:r>
      <w:r w:rsidRPr="002130C0">
        <w:rPr>
          <w:rFonts w:cstheme="minorHAnsi"/>
        </w:rPr>
        <w:t>referring t</w:t>
      </w:r>
      <w:r w:rsidR="0092055B" w:rsidRPr="002130C0">
        <w:rPr>
          <w:rFonts w:cstheme="minorHAnsi"/>
        </w:rPr>
        <w:t>o Ackers</w:t>
      </w:r>
      <w:r w:rsidR="00A36AB9">
        <w:rPr>
          <w:rFonts w:cstheme="minorHAnsi"/>
        </w:rPr>
        <w:t xml:space="preserve"> (1994)</w:t>
      </w:r>
      <w:r w:rsidR="00C30C9E" w:rsidRPr="002130C0">
        <w:rPr>
          <w:rFonts w:cstheme="minorHAnsi"/>
        </w:rPr>
        <w:t xml:space="preserve"> (</w:t>
      </w:r>
      <w:r w:rsidR="00AF1852" w:rsidRPr="002130C0">
        <w:rPr>
          <w:rFonts w:cstheme="minorHAnsi"/>
        </w:rPr>
        <w:t>n</w:t>
      </w:r>
      <w:r w:rsidR="00AC19BD">
        <w:rPr>
          <w:rFonts w:cstheme="minorHAnsi"/>
        </w:rPr>
        <w:t>36</w:t>
      </w:r>
      <w:r w:rsidR="00C30C9E" w:rsidRPr="002130C0">
        <w:rPr>
          <w:rFonts w:cstheme="minorHAnsi"/>
        </w:rPr>
        <w:t>)</w:t>
      </w:r>
      <w:r w:rsidR="00A36AB9">
        <w:rPr>
          <w:rFonts w:cstheme="minorHAnsi"/>
        </w:rPr>
        <w:t>;</w:t>
      </w:r>
      <w:r w:rsidR="0099534A" w:rsidRPr="002130C0">
        <w:rPr>
          <w:rFonts w:eastAsia="Times New Roman" w:cstheme="minorHAnsi"/>
          <w:lang w:eastAsia="en-GB"/>
        </w:rPr>
        <w:t xml:space="preserve"> </w:t>
      </w:r>
      <w:r w:rsidR="00EC1010" w:rsidRPr="002130C0">
        <w:rPr>
          <w:rFonts w:eastAsia="Times New Roman" w:cstheme="minorHAnsi"/>
          <w:lang w:eastAsia="en-GB"/>
        </w:rPr>
        <w:t xml:space="preserve">Isabel </w:t>
      </w:r>
      <w:r w:rsidR="008E146D" w:rsidRPr="002130C0">
        <w:rPr>
          <w:rStyle w:val="authors"/>
          <w:rFonts w:cstheme="minorHAnsi"/>
          <w:color w:val="333333"/>
          <w:shd w:val="clear" w:color="auto" w:fill="FFFFFF"/>
        </w:rPr>
        <w:t>Shutes</w:t>
      </w:r>
      <w:r w:rsidR="00533412" w:rsidRPr="002130C0">
        <w:rPr>
          <w:rStyle w:val="authors"/>
          <w:rFonts w:cstheme="minorHAnsi"/>
          <w:color w:val="333333"/>
          <w:shd w:val="clear" w:color="auto" w:fill="FFFFFF"/>
        </w:rPr>
        <w:t xml:space="preserve"> and</w:t>
      </w:r>
      <w:r w:rsidR="008E146D" w:rsidRPr="002130C0">
        <w:rPr>
          <w:rStyle w:val="authors"/>
          <w:rFonts w:cstheme="minorHAnsi"/>
          <w:color w:val="333333"/>
          <w:shd w:val="clear" w:color="auto" w:fill="FFFFFF"/>
        </w:rPr>
        <w:t xml:space="preserve"> </w:t>
      </w:r>
      <w:r w:rsidR="00EC1010" w:rsidRPr="002130C0">
        <w:rPr>
          <w:rStyle w:val="authors"/>
          <w:rFonts w:cstheme="minorHAnsi"/>
          <w:color w:val="333333"/>
          <w:shd w:val="clear" w:color="auto" w:fill="FFFFFF"/>
        </w:rPr>
        <w:t xml:space="preserve">Sarah </w:t>
      </w:r>
      <w:r w:rsidR="008E146D" w:rsidRPr="002130C0">
        <w:rPr>
          <w:rStyle w:val="authors"/>
          <w:rFonts w:cstheme="minorHAnsi"/>
          <w:color w:val="333333"/>
          <w:shd w:val="clear" w:color="auto" w:fill="FFFFFF"/>
        </w:rPr>
        <w:t>Walker</w:t>
      </w:r>
      <w:r w:rsidR="00533412" w:rsidRPr="002130C0">
        <w:rPr>
          <w:rStyle w:val="authors"/>
          <w:rFonts w:cstheme="minorHAnsi"/>
          <w:color w:val="333333"/>
          <w:shd w:val="clear" w:color="auto" w:fill="FFFFFF"/>
        </w:rPr>
        <w:t>,</w:t>
      </w:r>
      <w:r w:rsidR="00EC1010" w:rsidRPr="002130C0" w:rsidDel="00EC1010">
        <w:rPr>
          <w:rStyle w:val="authors"/>
          <w:rFonts w:cstheme="minorHAnsi"/>
          <w:color w:val="333333"/>
          <w:shd w:val="clear" w:color="auto" w:fill="FFFFFF"/>
        </w:rPr>
        <w:t xml:space="preserve"> </w:t>
      </w:r>
      <w:r w:rsidR="00C30C9E" w:rsidRPr="002130C0">
        <w:rPr>
          <w:rFonts w:cstheme="minorHAnsi"/>
          <w:color w:val="333333"/>
          <w:shd w:val="clear" w:color="auto" w:fill="FFFFFF"/>
        </w:rPr>
        <w:t>‘</w:t>
      </w:r>
      <w:r w:rsidR="008E146D" w:rsidRPr="002130C0">
        <w:rPr>
          <w:rStyle w:val="arttitle"/>
          <w:rFonts w:cstheme="minorHAnsi"/>
          <w:color w:val="333333"/>
          <w:shd w:val="clear" w:color="auto" w:fill="FFFFFF"/>
        </w:rPr>
        <w:t xml:space="preserve">Gender and </w:t>
      </w:r>
      <w:r w:rsidR="00A36AB9">
        <w:rPr>
          <w:rStyle w:val="arttitle"/>
          <w:rFonts w:cstheme="minorHAnsi"/>
          <w:color w:val="333333"/>
          <w:shd w:val="clear" w:color="auto" w:fill="FFFFFF"/>
        </w:rPr>
        <w:t>F</w:t>
      </w:r>
      <w:r w:rsidR="008E146D" w:rsidRPr="002130C0">
        <w:rPr>
          <w:rStyle w:val="arttitle"/>
          <w:rFonts w:cstheme="minorHAnsi"/>
          <w:color w:val="333333"/>
          <w:shd w:val="clear" w:color="auto" w:fill="FFFFFF"/>
        </w:rPr>
        <w:t xml:space="preserve">ree </w:t>
      </w:r>
      <w:r w:rsidR="00A36AB9">
        <w:rPr>
          <w:rStyle w:val="arttitle"/>
          <w:rFonts w:cstheme="minorHAnsi"/>
          <w:color w:val="333333"/>
          <w:shd w:val="clear" w:color="auto" w:fill="FFFFFF"/>
        </w:rPr>
        <w:t>M</w:t>
      </w:r>
      <w:r w:rsidR="008E146D" w:rsidRPr="002130C0">
        <w:rPr>
          <w:rStyle w:val="arttitle"/>
          <w:rFonts w:cstheme="minorHAnsi"/>
          <w:color w:val="333333"/>
          <w:shd w:val="clear" w:color="auto" w:fill="FFFFFF"/>
        </w:rPr>
        <w:t xml:space="preserve">ovement: EU </w:t>
      </w:r>
      <w:r w:rsidR="00C30C9E" w:rsidRPr="002130C0">
        <w:rPr>
          <w:rStyle w:val="arttitle"/>
          <w:rFonts w:cstheme="minorHAnsi"/>
          <w:color w:val="333333"/>
          <w:shd w:val="clear" w:color="auto" w:fill="FFFFFF"/>
        </w:rPr>
        <w:t>M</w:t>
      </w:r>
      <w:r w:rsidR="008E146D" w:rsidRPr="002130C0">
        <w:rPr>
          <w:rStyle w:val="arttitle"/>
          <w:rFonts w:cstheme="minorHAnsi"/>
          <w:color w:val="333333"/>
          <w:shd w:val="clear" w:color="auto" w:fill="FFFFFF"/>
        </w:rPr>
        <w:t xml:space="preserve">igrant </w:t>
      </w:r>
      <w:r w:rsidR="00C30C9E" w:rsidRPr="002130C0">
        <w:rPr>
          <w:rStyle w:val="arttitle"/>
          <w:rFonts w:cstheme="minorHAnsi"/>
          <w:color w:val="333333"/>
          <w:shd w:val="clear" w:color="auto" w:fill="FFFFFF"/>
        </w:rPr>
        <w:t>W</w:t>
      </w:r>
      <w:r w:rsidR="008E146D" w:rsidRPr="002130C0">
        <w:rPr>
          <w:rStyle w:val="arttitle"/>
          <w:rFonts w:cstheme="minorHAnsi"/>
          <w:color w:val="333333"/>
          <w:shd w:val="clear" w:color="auto" w:fill="FFFFFF"/>
        </w:rPr>
        <w:t xml:space="preserve">omen’s </w:t>
      </w:r>
      <w:r w:rsidR="00C30C9E" w:rsidRPr="002130C0">
        <w:rPr>
          <w:rStyle w:val="arttitle"/>
          <w:rFonts w:cstheme="minorHAnsi"/>
          <w:color w:val="333333"/>
          <w:shd w:val="clear" w:color="auto" w:fill="FFFFFF"/>
        </w:rPr>
        <w:t>A</w:t>
      </w:r>
      <w:r w:rsidR="008E146D" w:rsidRPr="002130C0">
        <w:rPr>
          <w:rStyle w:val="arttitle"/>
          <w:rFonts w:cstheme="minorHAnsi"/>
          <w:color w:val="333333"/>
          <w:shd w:val="clear" w:color="auto" w:fill="FFFFFF"/>
        </w:rPr>
        <w:t xml:space="preserve">ccess to </w:t>
      </w:r>
      <w:r w:rsidR="00C30C9E" w:rsidRPr="002130C0">
        <w:rPr>
          <w:rStyle w:val="arttitle"/>
          <w:rFonts w:cstheme="minorHAnsi"/>
          <w:color w:val="333333"/>
          <w:shd w:val="clear" w:color="auto" w:fill="FFFFFF"/>
        </w:rPr>
        <w:t>R</w:t>
      </w:r>
      <w:r w:rsidR="008E146D" w:rsidRPr="002130C0">
        <w:rPr>
          <w:rStyle w:val="arttitle"/>
          <w:rFonts w:cstheme="minorHAnsi"/>
          <w:color w:val="333333"/>
          <w:shd w:val="clear" w:color="auto" w:fill="FFFFFF"/>
        </w:rPr>
        <w:t xml:space="preserve">esidence and </w:t>
      </w:r>
      <w:r w:rsidR="00C30C9E" w:rsidRPr="002130C0">
        <w:rPr>
          <w:rStyle w:val="arttitle"/>
          <w:rFonts w:cstheme="minorHAnsi"/>
          <w:color w:val="333333"/>
          <w:shd w:val="clear" w:color="auto" w:fill="FFFFFF"/>
        </w:rPr>
        <w:t>S</w:t>
      </w:r>
      <w:r w:rsidR="008E146D" w:rsidRPr="002130C0">
        <w:rPr>
          <w:rStyle w:val="arttitle"/>
          <w:rFonts w:cstheme="minorHAnsi"/>
          <w:color w:val="333333"/>
          <w:shd w:val="clear" w:color="auto" w:fill="FFFFFF"/>
        </w:rPr>
        <w:t xml:space="preserve">ocial </w:t>
      </w:r>
      <w:r w:rsidR="00C30C9E" w:rsidRPr="002130C0">
        <w:rPr>
          <w:rStyle w:val="arttitle"/>
          <w:rFonts w:cstheme="minorHAnsi"/>
          <w:color w:val="333333"/>
          <w:shd w:val="clear" w:color="auto" w:fill="FFFFFF"/>
        </w:rPr>
        <w:t>R</w:t>
      </w:r>
      <w:r w:rsidR="008E146D" w:rsidRPr="002130C0">
        <w:rPr>
          <w:rStyle w:val="arttitle"/>
          <w:rFonts w:cstheme="minorHAnsi"/>
          <w:color w:val="333333"/>
          <w:shd w:val="clear" w:color="auto" w:fill="FFFFFF"/>
        </w:rPr>
        <w:t>ights</w:t>
      </w:r>
      <w:r w:rsidR="00C30C9E" w:rsidRPr="002130C0">
        <w:rPr>
          <w:rStyle w:val="arttitle"/>
          <w:rFonts w:cstheme="minorHAnsi"/>
          <w:color w:val="333333"/>
          <w:shd w:val="clear" w:color="auto" w:fill="FFFFFF"/>
        </w:rPr>
        <w:t>’</w:t>
      </w:r>
      <w:r w:rsidR="008E146D" w:rsidRPr="002130C0">
        <w:rPr>
          <w:rStyle w:val="arttitle"/>
          <w:rFonts w:cstheme="minorHAnsi"/>
          <w:color w:val="333333"/>
          <w:shd w:val="clear" w:color="auto" w:fill="FFFFFF"/>
        </w:rPr>
        <w:t xml:space="preserve"> </w:t>
      </w:r>
      <w:r w:rsidR="00A36AB9">
        <w:rPr>
          <w:rStyle w:val="Date1"/>
          <w:rFonts w:cstheme="minorHAnsi"/>
          <w:color w:val="333333"/>
          <w:shd w:val="clear" w:color="auto" w:fill="FFFFFF"/>
        </w:rPr>
        <w:t>(</w:t>
      </w:r>
      <w:r w:rsidR="00533412" w:rsidRPr="002130C0">
        <w:rPr>
          <w:rStyle w:val="Date1"/>
          <w:rFonts w:cstheme="minorHAnsi"/>
          <w:color w:val="333333"/>
          <w:shd w:val="clear" w:color="auto" w:fill="FFFFFF"/>
        </w:rPr>
        <w:t>2018</w:t>
      </w:r>
      <w:r w:rsidR="00A36AB9">
        <w:rPr>
          <w:rStyle w:val="Date1"/>
          <w:rFonts w:cstheme="minorHAnsi"/>
          <w:color w:val="333333"/>
          <w:shd w:val="clear" w:color="auto" w:fill="FFFFFF"/>
        </w:rPr>
        <w:t>)</w:t>
      </w:r>
      <w:r w:rsidR="00533412" w:rsidRPr="002130C0">
        <w:rPr>
          <w:rStyle w:val="serialtitle"/>
          <w:rFonts w:cstheme="minorHAnsi"/>
          <w:color w:val="333333"/>
          <w:shd w:val="clear" w:color="auto" w:fill="FFFFFF"/>
        </w:rPr>
        <w:t xml:space="preserve"> </w:t>
      </w:r>
      <w:r w:rsidR="008E146D" w:rsidRPr="002130C0">
        <w:rPr>
          <w:rStyle w:val="serialtitle"/>
          <w:rFonts w:cstheme="minorHAnsi"/>
          <w:i/>
          <w:iCs/>
          <w:color w:val="333333"/>
          <w:shd w:val="clear" w:color="auto" w:fill="FFFFFF"/>
        </w:rPr>
        <w:t>Journal of Ethnic and Migration Studies</w:t>
      </w:r>
      <w:r w:rsidR="00C30C9E" w:rsidRPr="002130C0">
        <w:rPr>
          <w:rStyle w:val="serialtitle"/>
          <w:rFonts w:cstheme="minorHAnsi"/>
          <w:i/>
          <w:iCs/>
          <w:color w:val="333333"/>
          <w:shd w:val="clear" w:color="auto" w:fill="FFFFFF"/>
        </w:rPr>
        <w:t xml:space="preserve"> </w:t>
      </w:r>
      <w:r w:rsidR="00C30C9E" w:rsidRPr="002130C0">
        <w:rPr>
          <w:rStyle w:val="serialtitle"/>
          <w:rFonts w:cstheme="minorHAnsi"/>
          <w:color w:val="333333"/>
          <w:shd w:val="clear" w:color="auto" w:fill="FFFFFF"/>
        </w:rPr>
        <w:t>44(1)</w:t>
      </w:r>
      <w:r w:rsidR="008E146D" w:rsidRPr="002130C0">
        <w:rPr>
          <w:rStyle w:val="serialtitle"/>
          <w:rFonts w:cstheme="minorHAnsi"/>
          <w:color w:val="333333"/>
          <w:shd w:val="clear" w:color="auto" w:fill="FFFFFF"/>
        </w:rPr>
        <w:t>,</w:t>
      </w:r>
      <w:r w:rsidR="008E146D" w:rsidRPr="002130C0">
        <w:rPr>
          <w:rFonts w:cstheme="minorHAnsi"/>
          <w:color w:val="333333"/>
          <w:shd w:val="clear" w:color="auto" w:fill="FFFFFF"/>
        </w:rPr>
        <w:t> </w:t>
      </w:r>
      <w:r w:rsidR="008E146D" w:rsidRPr="002130C0">
        <w:rPr>
          <w:rStyle w:val="pagerange"/>
          <w:rFonts w:cstheme="minorHAnsi"/>
          <w:color w:val="333333"/>
          <w:shd w:val="clear" w:color="auto" w:fill="FFFFFF"/>
        </w:rPr>
        <w:t>137-153</w:t>
      </w:r>
      <w:r w:rsidR="0024126B">
        <w:rPr>
          <w:rStyle w:val="pagerange"/>
          <w:rFonts w:cstheme="minorHAnsi"/>
          <w:color w:val="333333"/>
          <w:shd w:val="clear" w:color="auto" w:fill="FFFFFF"/>
        </w:rPr>
        <w:t>.</w:t>
      </w:r>
    </w:p>
  </w:footnote>
  <w:footnote w:id="71">
    <w:p w14:paraId="79D727E2" w14:textId="4D82BF80" w:rsidR="00261603" w:rsidRPr="002130C0" w:rsidRDefault="00261603"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6C6D2D" w:rsidRPr="002130C0">
        <w:rPr>
          <w:rFonts w:cstheme="minorHAnsi"/>
        </w:rPr>
        <w:t>See ns 8-10.</w:t>
      </w:r>
    </w:p>
  </w:footnote>
  <w:footnote w:id="72">
    <w:p w14:paraId="3F9B8373" w14:textId="4EAB4577" w:rsidR="002A4EF1" w:rsidRPr="002130C0" w:rsidRDefault="002A4EF1" w:rsidP="00CB68B8">
      <w:pPr>
        <w:pStyle w:val="FootnoteText"/>
        <w:rPr>
          <w:rFonts w:cstheme="minorHAnsi"/>
        </w:rPr>
      </w:pPr>
      <w:r w:rsidRPr="002130C0">
        <w:rPr>
          <w:rStyle w:val="FootnoteReference"/>
          <w:rFonts w:cstheme="minorHAnsi"/>
        </w:rPr>
        <w:footnoteRef/>
      </w:r>
      <w:r w:rsidRPr="002130C0">
        <w:rPr>
          <w:rFonts w:cstheme="minorHAnsi"/>
        </w:rPr>
        <w:t xml:space="preserve"> E</w:t>
      </w:r>
      <w:r w:rsidRPr="002130C0">
        <w:rPr>
          <w:rFonts w:cstheme="minorHAnsi"/>
          <w:color w:val="000000" w:themeColor="text1"/>
        </w:rPr>
        <w:t>U Fundamental Rights Agency</w:t>
      </w:r>
      <w:r w:rsidR="00A36AB9">
        <w:rPr>
          <w:rFonts w:cstheme="minorHAnsi"/>
          <w:color w:val="000000" w:themeColor="text1"/>
        </w:rPr>
        <w:t>,</w:t>
      </w:r>
      <w:r w:rsidRPr="002130C0">
        <w:rPr>
          <w:rFonts w:cstheme="minorHAnsi"/>
          <w:color w:val="000000" w:themeColor="text1"/>
        </w:rPr>
        <w:t xml:space="preserve"> ‘LGBTIQ </w:t>
      </w:r>
      <w:r w:rsidR="00A36AB9">
        <w:rPr>
          <w:rFonts w:cstheme="minorHAnsi"/>
          <w:color w:val="000000" w:themeColor="text1"/>
        </w:rPr>
        <w:t>E</w:t>
      </w:r>
      <w:r w:rsidRPr="002130C0">
        <w:rPr>
          <w:rFonts w:cstheme="minorHAnsi"/>
          <w:color w:val="000000" w:themeColor="text1"/>
        </w:rPr>
        <w:t xml:space="preserve">quality at a </w:t>
      </w:r>
      <w:r w:rsidR="00A36AB9">
        <w:rPr>
          <w:rFonts w:cstheme="minorHAnsi"/>
          <w:color w:val="000000" w:themeColor="text1"/>
        </w:rPr>
        <w:t>C</w:t>
      </w:r>
      <w:r w:rsidRPr="002130C0">
        <w:rPr>
          <w:rFonts w:cstheme="minorHAnsi"/>
          <w:color w:val="000000" w:themeColor="text1"/>
        </w:rPr>
        <w:t>rossroads – Progress and Challenges’</w:t>
      </w:r>
      <w:r w:rsidR="00A36AB9">
        <w:rPr>
          <w:rFonts w:cstheme="minorHAnsi"/>
          <w:color w:val="000000" w:themeColor="text1"/>
        </w:rPr>
        <w:t xml:space="preserve"> (</w:t>
      </w:r>
      <w:r w:rsidRPr="002130C0">
        <w:rPr>
          <w:rFonts w:cstheme="minorHAnsi"/>
          <w:color w:val="000000" w:themeColor="text1"/>
        </w:rPr>
        <w:t>2024</w:t>
      </w:r>
      <w:r w:rsidR="00A36AB9">
        <w:rPr>
          <w:rFonts w:cstheme="minorHAnsi"/>
          <w:color w:val="000000" w:themeColor="text1"/>
        </w:rPr>
        <w:t>)</w:t>
      </w:r>
      <w:r w:rsidRPr="002130C0">
        <w:rPr>
          <w:rFonts w:cstheme="minorHAnsi"/>
          <w:color w:val="000000" w:themeColor="text1"/>
        </w:rPr>
        <w:t xml:space="preserve"> available at </w:t>
      </w:r>
      <w:hyperlink r:id="rId16" w:history="1">
        <w:r w:rsidRPr="002130C0">
          <w:rPr>
            <w:rFonts w:cstheme="minorHAnsi"/>
            <w:color w:val="000000" w:themeColor="text1"/>
            <w:u w:val="single"/>
          </w:rPr>
          <w:t>A long way to go for LGBTI equality (europa.eu)</w:t>
        </w:r>
      </w:hyperlink>
      <w:r w:rsidRPr="002130C0">
        <w:rPr>
          <w:rFonts w:cstheme="minorHAnsi"/>
          <w:color w:val="000000" w:themeColor="text1"/>
          <w:u w:val="single"/>
        </w:rPr>
        <w:t xml:space="preserve"> </w:t>
      </w:r>
      <w:r w:rsidR="0024126B">
        <w:rPr>
          <w:rFonts w:cstheme="minorHAnsi"/>
          <w:color w:val="000000" w:themeColor="text1"/>
        </w:rPr>
        <w:t>.</w:t>
      </w:r>
    </w:p>
  </w:footnote>
  <w:footnote w:id="73">
    <w:p w14:paraId="7E1A5078" w14:textId="1A2735C3" w:rsidR="00787FDA" w:rsidRPr="002130C0" w:rsidRDefault="00787FDA" w:rsidP="00CB68B8">
      <w:pPr>
        <w:pStyle w:val="FootnoteText"/>
        <w:rPr>
          <w:rFonts w:cstheme="minorHAnsi"/>
        </w:rPr>
      </w:pPr>
      <w:r w:rsidRPr="002130C0">
        <w:rPr>
          <w:rStyle w:val="FootnoteReference"/>
          <w:rFonts w:cstheme="minorHAnsi"/>
        </w:rPr>
        <w:footnoteRef/>
      </w:r>
      <w:r w:rsidRPr="002130C0">
        <w:rPr>
          <w:rFonts w:cstheme="minorHAnsi"/>
        </w:rPr>
        <w:t xml:space="preserve"> Ibid</w:t>
      </w:r>
      <w:r w:rsidR="0024126B">
        <w:rPr>
          <w:rFonts w:cstheme="minorHAnsi"/>
        </w:rPr>
        <w:t>.</w:t>
      </w:r>
    </w:p>
  </w:footnote>
  <w:footnote w:id="74">
    <w:p w14:paraId="6D76267C" w14:textId="536F0576" w:rsidR="00A62030" w:rsidRPr="002130C0" w:rsidRDefault="00A62030" w:rsidP="00CB68B8">
      <w:pPr>
        <w:pStyle w:val="FootnoteText"/>
        <w:rPr>
          <w:rFonts w:cstheme="minorHAnsi"/>
        </w:rPr>
      </w:pPr>
      <w:r w:rsidRPr="002130C0">
        <w:rPr>
          <w:rStyle w:val="FootnoteReference"/>
          <w:rFonts w:cstheme="minorHAnsi"/>
        </w:rPr>
        <w:footnoteRef/>
      </w:r>
      <w:r w:rsidRPr="002130C0">
        <w:rPr>
          <w:rFonts w:cstheme="minorHAnsi"/>
        </w:rPr>
        <w:t xml:space="preserve"> Ibid</w:t>
      </w:r>
      <w:r w:rsidR="00A36AB9">
        <w:rPr>
          <w:rFonts w:cstheme="minorHAnsi"/>
        </w:rPr>
        <w:t>,</w:t>
      </w:r>
      <w:r w:rsidRPr="002130C0">
        <w:rPr>
          <w:rFonts w:cstheme="minorHAnsi"/>
        </w:rPr>
        <w:t xml:space="preserve"> 16. </w:t>
      </w:r>
    </w:p>
  </w:footnote>
  <w:footnote w:id="75">
    <w:p w14:paraId="70B007EE" w14:textId="56AFE06F" w:rsidR="007A7288" w:rsidRPr="002130C0" w:rsidRDefault="007A7288" w:rsidP="00CB68B8">
      <w:pPr>
        <w:pStyle w:val="FootnoteText"/>
        <w:rPr>
          <w:rFonts w:cstheme="minorHAnsi"/>
        </w:rPr>
      </w:pPr>
      <w:r w:rsidRPr="002130C0">
        <w:rPr>
          <w:rStyle w:val="FootnoteReference"/>
          <w:rFonts w:cstheme="minorHAnsi"/>
        </w:rPr>
        <w:footnoteRef/>
      </w:r>
      <w:r w:rsidRPr="002130C0">
        <w:rPr>
          <w:rFonts w:cstheme="minorHAnsi"/>
        </w:rPr>
        <w:t xml:space="preserve"> Ibid</w:t>
      </w:r>
      <w:r w:rsidR="0024126B">
        <w:rPr>
          <w:rFonts w:cstheme="minorHAnsi"/>
        </w:rPr>
        <w:t>.</w:t>
      </w:r>
    </w:p>
  </w:footnote>
  <w:footnote w:id="76">
    <w:p w14:paraId="391FBE5F" w14:textId="085D624A" w:rsidR="00034BA6" w:rsidRPr="002130C0" w:rsidRDefault="00034BA6" w:rsidP="00CB68B8">
      <w:pPr>
        <w:pStyle w:val="FootnoteText"/>
        <w:rPr>
          <w:rFonts w:cstheme="minorHAnsi"/>
        </w:rPr>
      </w:pPr>
      <w:r w:rsidRPr="002130C0">
        <w:rPr>
          <w:rStyle w:val="FootnoteReference"/>
          <w:rFonts w:cstheme="minorHAnsi"/>
        </w:rPr>
        <w:footnoteRef/>
      </w:r>
      <w:r w:rsidRPr="002130C0">
        <w:rPr>
          <w:rFonts w:cstheme="minorHAnsi"/>
        </w:rPr>
        <w:t xml:space="preserve"> Ibid</w:t>
      </w:r>
      <w:r w:rsidR="0024126B">
        <w:rPr>
          <w:rFonts w:cstheme="minorHAnsi"/>
        </w:rPr>
        <w:t>.</w:t>
      </w:r>
    </w:p>
  </w:footnote>
  <w:footnote w:id="77">
    <w:p w14:paraId="55B6D5C1" w14:textId="765E2B5A" w:rsidR="006B6B2E" w:rsidRPr="00865467" w:rsidRDefault="006B6B2E" w:rsidP="00CB68B8">
      <w:pPr>
        <w:pStyle w:val="FootnoteText"/>
        <w:rPr>
          <w:rFonts w:cstheme="minorHAnsi"/>
          <w:color w:val="000000" w:themeColor="text1"/>
        </w:rPr>
      </w:pPr>
      <w:r w:rsidRPr="002130C0">
        <w:rPr>
          <w:rStyle w:val="FootnoteReference"/>
          <w:rFonts w:cstheme="minorHAnsi"/>
          <w:color w:val="000000" w:themeColor="text1"/>
        </w:rPr>
        <w:footnoteRef/>
      </w:r>
      <w:r w:rsidR="00543FA4" w:rsidRPr="00865467">
        <w:rPr>
          <w:rFonts w:eastAsiaTheme="minorEastAsia" w:cstheme="minorHAnsi"/>
          <w:color w:val="000000" w:themeColor="text1"/>
          <w:kern w:val="24"/>
        </w:rPr>
        <w:t xml:space="preserve"> </w:t>
      </w:r>
      <w:r w:rsidRPr="00865467">
        <w:rPr>
          <w:rFonts w:eastAsiaTheme="minorEastAsia" w:cstheme="minorHAnsi"/>
          <w:color w:val="000000" w:themeColor="text1"/>
          <w:kern w:val="24"/>
        </w:rPr>
        <w:t>TFEU</w:t>
      </w:r>
      <w:r w:rsidR="003730C5" w:rsidRPr="00865467">
        <w:rPr>
          <w:rFonts w:eastAsiaTheme="minorEastAsia" w:cstheme="minorHAnsi"/>
          <w:color w:val="000000" w:themeColor="text1"/>
          <w:kern w:val="24"/>
        </w:rPr>
        <w:t xml:space="preserve"> (n</w:t>
      </w:r>
      <w:r w:rsidR="000939D8" w:rsidRPr="00865467">
        <w:rPr>
          <w:rFonts w:eastAsiaTheme="minorEastAsia" w:cstheme="minorHAnsi"/>
          <w:color w:val="000000" w:themeColor="text1"/>
          <w:kern w:val="24"/>
        </w:rPr>
        <w:t>5</w:t>
      </w:r>
      <w:r w:rsidR="003730C5" w:rsidRPr="00865467">
        <w:rPr>
          <w:rFonts w:eastAsiaTheme="minorEastAsia" w:cstheme="minorHAnsi"/>
          <w:color w:val="000000" w:themeColor="text1"/>
          <w:kern w:val="24"/>
        </w:rPr>
        <w:t>), art 45.</w:t>
      </w:r>
      <w:r w:rsidRPr="00865467">
        <w:rPr>
          <w:rFonts w:cstheme="minorHAnsi"/>
          <w:color w:val="000000" w:themeColor="text1"/>
        </w:rPr>
        <w:t xml:space="preserve"> </w:t>
      </w:r>
    </w:p>
  </w:footnote>
  <w:footnote w:id="78">
    <w:p w14:paraId="44457AE8" w14:textId="314C0637" w:rsidR="006B6B2E" w:rsidRPr="002130C0" w:rsidRDefault="006B6B2E" w:rsidP="00CB68B8">
      <w:pPr>
        <w:pStyle w:val="FootnoteText"/>
        <w:rPr>
          <w:rFonts w:cstheme="minorHAnsi"/>
          <w:color w:val="000000" w:themeColor="text1"/>
          <w:lang w:val="de-DE"/>
        </w:rPr>
      </w:pPr>
      <w:r w:rsidRPr="002130C0">
        <w:rPr>
          <w:rStyle w:val="FootnoteReference"/>
          <w:rFonts w:cstheme="minorHAnsi"/>
          <w:color w:val="000000" w:themeColor="text1"/>
        </w:rPr>
        <w:footnoteRef/>
      </w:r>
      <w:r w:rsidRPr="002130C0">
        <w:rPr>
          <w:rFonts w:cstheme="minorHAnsi"/>
          <w:color w:val="000000" w:themeColor="text1"/>
          <w:lang w:val="de-DE"/>
        </w:rPr>
        <w:t xml:space="preserve"> </w:t>
      </w:r>
      <w:r w:rsidR="00A36AB9">
        <w:rPr>
          <w:rFonts w:eastAsiaTheme="minorEastAsia" w:cstheme="minorHAnsi"/>
          <w:color w:val="000000" w:themeColor="text1"/>
          <w:kern w:val="24"/>
          <w:lang w:val="de-DE"/>
        </w:rPr>
        <w:t>Ibid</w:t>
      </w:r>
      <w:r w:rsidR="003730C5" w:rsidRPr="002130C0">
        <w:rPr>
          <w:rFonts w:eastAsiaTheme="minorEastAsia" w:cstheme="minorHAnsi"/>
          <w:color w:val="000000" w:themeColor="text1"/>
          <w:kern w:val="24"/>
          <w:lang w:val="de-DE"/>
        </w:rPr>
        <w:t xml:space="preserve">, art 56. </w:t>
      </w:r>
    </w:p>
  </w:footnote>
  <w:footnote w:id="79">
    <w:p w14:paraId="406245D8" w14:textId="24A11F01" w:rsidR="009F03A9" w:rsidRPr="002130C0" w:rsidRDefault="009F03A9" w:rsidP="00CB68B8">
      <w:pPr>
        <w:pStyle w:val="FootnoteText"/>
        <w:rPr>
          <w:rFonts w:cstheme="minorHAnsi"/>
          <w:color w:val="000000" w:themeColor="text1"/>
          <w:lang w:val="de-DE"/>
        </w:rPr>
      </w:pPr>
      <w:r w:rsidRPr="002130C0">
        <w:rPr>
          <w:rStyle w:val="FootnoteReference"/>
          <w:rFonts w:cstheme="minorHAnsi"/>
          <w:color w:val="000000" w:themeColor="text1"/>
        </w:rPr>
        <w:footnoteRef/>
      </w:r>
      <w:r w:rsidRPr="002130C0">
        <w:rPr>
          <w:rFonts w:cstheme="minorHAnsi"/>
          <w:color w:val="000000" w:themeColor="text1"/>
          <w:lang w:val="de-DE"/>
        </w:rPr>
        <w:t xml:space="preserve"> </w:t>
      </w:r>
      <w:r w:rsidRPr="002130C0">
        <w:rPr>
          <w:rFonts w:eastAsiaTheme="minorEastAsia" w:cstheme="minorHAnsi"/>
          <w:i/>
          <w:iCs/>
          <w:color w:val="000000" w:themeColor="text1"/>
          <w:kern w:val="24"/>
          <w:lang w:val="de-DE"/>
        </w:rPr>
        <w:t xml:space="preserve">Laurie-Blum </w:t>
      </w:r>
      <w:r w:rsidR="00501A1E" w:rsidRPr="002130C0">
        <w:rPr>
          <w:rFonts w:eastAsiaTheme="minorEastAsia" w:cstheme="minorHAnsi"/>
          <w:i/>
          <w:iCs/>
          <w:color w:val="000000" w:themeColor="text1"/>
          <w:kern w:val="24"/>
          <w:lang w:val="de-DE"/>
        </w:rPr>
        <w:t>v Land Baden-Wurttemberg</w:t>
      </w:r>
      <w:r w:rsidR="00501A1E" w:rsidRPr="002130C0">
        <w:rPr>
          <w:rFonts w:eastAsiaTheme="minorEastAsia" w:cstheme="minorHAnsi"/>
          <w:color w:val="000000" w:themeColor="text1"/>
          <w:kern w:val="24"/>
          <w:lang w:val="de-DE"/>
        </w:rPr>
        <w:t xml:space="preserve"> (Case 66/85</w:t>
      </w:r>
      <w:r w:rsidR="00B03833" w:rsidRPr="002130C0">
        <w:rPr>
          <w:rFonts w:eastAsiaTheme="minorEastAsia" w:cstheme="minorHAnsi"/>
          <w:color w:val="000000" w:themeColor="text1"/>
          <w:kern w:val="24"/>
          <w:lang w:val="de-DE"/>
        </w:rPr>
        <w:t>)</w:t>
      </w:r>
      <w:r w:rsidR="00F874C6" w:rsidRPr="002130C0">
        <w:rPr>
          <w:rFonts w:eastAsiaTheme="minorEastAsia" w:cstheme="minorHAnsi"/>
          <w:color w:val="000000" w:themeColor="text1"/>
          <w:kern w:val="24"/>
          <w:lang w:val="de-DE"/>
        </w:rPr>
        <w:t>.</w:t>
      </w:r>
      <w:r w:rsidR="00B03833" w:rsidRPr="002130C0">
        <w:rPr>
          <w:rFonts w:eastAsiaTheme="minorEastAsia" w:cstheme="minorHAnsi"/>
          <w:color w:val="000000" w:themeColor="text1"/>
          <w:kern w:val="24"/>
          <w:lang w:val="de-DE"/>
        </w:rPr>
        <w:t xml:space="preserve"> </w:t>
      </w:r>
    </w:p>
  </w:footnote>
  <w:footnote w:id="80">
    <w:p w14:paraId="12292AAE" w14:textId="0651CF6F" w:rsidR="009F03A9" w:rsidRPr="002130C0" w:rsidRDefault="009F03A9" w:rsidP="00CB68B8">
      <w:pPr>
        <w:pStyle w:val="FootnoteText"/>
        <w:rPr>
          <w:rFonts w:cstheme="minorHAnsi"/>
          <w:lang w:val="nl-NL"/>
        </w:rPr>
      </w:pPr>
      <w:r w:rsidRPr="002130C0">
        <w:rPr>
          <w:rStyle w:val="FootnoteReference"/>
          <w:rFonts w:cstheme="minorHAnsi"/>
          <w:color w:val="000000" w:themeColor="text1"/>
        </w:rPr>
        <w:footnoteRef/>
      </w:r>
      <w:r w:rsidRPr="002130C0">
        <w:rPr>
          <w:rFonts w:cstheme="minorHAnsi"/>
          <w:color w:val="000000" w:themeColor="text1"/>
          <w:lang w:val="nl-NL"/>
        </w:rPr>
        <w:t xml:space="preserve"> </w:t>
      </w:r>
      <w:r w:rsidRPr="002130C0">
        <w:rPr>
          <w:rFonts w:cstheme="minorHAnsi"/>
          <w:i/>
          <w:iCs/>
          <w:color w:val="000000" w:themeColor="text1"/>
          <w:lang w:val="nl-NL"/>
        </w:rPr>
        <w:t>Kempf</w:t>
      </w:r>
      <w:r w:rsidR="00D00E65" w:rsidRPr="002130C0">
        <w:rPr>
          <w:rFonts w:cstheme="minorHAnsi"/>
          <w:i/>
          <w:iCs/>
          <w:color w:val="000000" w:themeColor="text1"/>
          <w:lang w:val="nl-NL"/>
        </w:rPr>
        <w:t xml:space="preserve"> </w:t>
      </w:r>
      <w:r w:rsidR="0092055B" w:rsidRPr="002130C0">
        <w:rPr>
          <w:rFonts w:cstheme="minorHAnsi"/>
          <w:i/>
          <w:iCs/>
          <w:color w:val="000000" w:themeColor="text1"/>
          <w:lang w:val="nl-NL"/>
        </w:rPr>
        <w:t xml:space="preserve">v </w:t>
      </w:r>
      <w:r w:rsidR="00D00E65" w:rsidRPr="002130C0">
        <w:rPr>
          <w:rFonts w:cstheme="minorHAnsi"/>
          <w:i/>
          <w:iCs/>
          <w:color w:val="000000" w:themeColor="text1"/>
          <w:lang w:val="nl-NL"/>
        </w:rPr>
        <w:t>Staatsecretaris van Justitie</w:t>
      </w:r>
      <w:r w:rsidR="00D00E65" w:rsidRPr="002130C0">
        <w:rPr>
          <w:rFonts w:cstheme="minorHAnsi"/>
          <w:color w:val="000000" w:themeColor="text1"/>
          <w:lang w:val="nl-NL"/>
        </w:rPr>
        <w:t xml:space="preserve"> (Case 139/85</w:t>
      </w:r>
      <w:r w:rsidR="00D00E65" w:rsidRPr="002130C0">
        <w:rPr>
          <w:rFonts w:cstheme="minorHAnsi"/>
          <w:lang w:val="nl-NL"/>
        </w:rPr>
        <w:t>)</w:t>
      </w:r>
      <w:r w:rsidR="0069060C" w:rsidRPr="002130C0">
        <w:rPr>
          <w:rFonts w:cstheme="minorHAnsi"/>
          <w:lang w:val="nl-NL"/>
        </w:rPr>
        <w:t>.</w:t>
      </w:r>
    </w:p>
  </w:footnote>
  <w:footnote w:id="81">
    <w:p w14:paraId="4D7BFC35" w14:textId="7DEE2EE6" w:rsidR="009F03A9" w:rsidRPr="002130C0" w:rsidRDefault="009F03A9" w:rsidP="00CB68B8">
      <w:pPr>
        <w:pStyle w:val="FootnoteText"/>
        <w:rPr>
          <w:rFonts w:cstheme="minorHAnsi"/>
          <w:lang w:val="nl-NL"/>
        </w:rPr>
      </w:pPr>
      <w:r w:rsidRPr="002130C0">
        <w:rPr>
          <w:rStyle w:val="FootnoteReference"/>
          <w:rFonts w:cstheme="minorHAnsi"/>
        </w:rPr>
        <w:footnoteRef/>
      </w:r>
      <w:r w:rsidRPr="002130C0">
        <w:rPr>
          <w:rFonts w:cstheme="minorHAnsi"/>
          <w:lang w:val="nl-NL"/>
        </w:rPr>
        <w:t xml:space="preserve"> </w:t>
      </w:r>
      <w:r w:rsidRPr="002130C0">
        <w:rPr>
          <w:rFonts w:cstheme="minorHAnsi"/>
          <w:i/>
          <w:iCs/>
          <w:lang w:val="nl-NL"/>
        </w:rPr>
        <w:t xml:space="preserve">Steymann </w:t>
      </w:r>
      <w:r w:rsidR="0069060C" w:rsidRPr="002130C0">
        <w:rPr>
          <w:rFonts w:cstheme="minorHAnsi"/>
          <w:i/>
          <w:iCs/>
          <w:lang w:val="nl-NL"/>
        </w:rPr>
        <w:t xml:space="preserve">v Staatsecretaris van Justitie </w:t>
      </w:r>
      <w:r w:rsidR="0069060C" w:rsidRPr="002130C0">
        <w:rPr>
          <w:rFonts w:cstheme="minorHAnsi"/>
          <w:lang w:val="nl-NL"/>
        </w:rPr>
        <w:t>(Case 196/87)</w:t>
      </w:r>
      <w:r w:rsidR="00F874C6" w:rsidRPr="002130C0">
        <w:rPr>
          <w:rFonts w:cstheme="minorHAnsi"/>
          <w:lang w:val="nl-NL"/>
        </w:rPr>
        <w:t>.</w:t>
      </w:r>
    </w:p>
  </w:footnote>
  <w:footnote w:id="82">
    <w:p w14:paraId="427A6DC0" w14:textId="703CD724" w:rsidR="00D50138" w:rsidRPr="002130C0" w:rsidRDefault="00D50138"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i/>
          <w:iCs/>
          <w:lang w:val="en-US"/>
        </w:rPr>
        <w:t>Baumbast</w:t>
      </w:r>
      <w:proofErr w:type="spellEnd"/>
      <w:r w:rsidR="00053515" w:rsidRPr="002130C0">
        <w:rPr>
          <w:rFonts w:cstheme="minorHAnsi"/>
          <w:i/>
          <w:iCs/>
          <w:lang w:val="en-US"/>
        </w:rPr>
        <w:t xml:space="preserve"> and R v Secretary of State for the Home Department</w:t>
      </w:r>
      <w:r w:rsidRPr="002130C0">
        <w:rPr>
          <w:rFonts w:cstheme="minorHAnsi"/>
          <w:lang w:val="en-US"/>
        </w:rPr>
        <w:t xml:space="preserve"> </w:t>
      </w:r>
      <w:r w:rsidR="00272F85">
        <w:rPr>
          <w:rFonts w:cstheme="minorHAnsi"/>
          <w:lang w:val="en-US"/>
        </w:rPr>
        <w:t>(</w:t>
      </w:r>
      <w:r w:rsidR="001D0379" w:rsidRPr="002130C0">
        <w:rPr>
          <w:rFonts w:cstheme="minorHAnsi"/>
          <w:lang w:val="en-US"/>
        </w:rPr>
        <w:t xml:space="preserve">Case </w:t>
      </w:r>
      <w:r w:rsidRPr="002130C0">
        <w:rPr>
          <w:rFonts w:cstheme="minorHAnsi"/>
          <w:lang w:val="en-US"/>
        </w:rPr>
        <w:t>C-413/99</w:t>
      </w:r>
      <w:r w:rsidR="00272F85">
        <w:rPr>
          <w:rFonts w:cstheme="minorHAnsi"/>
          <w:lang w:val="en-US"/>
        </w:rPr>
        <w:t>)</w:t>
      </w:r>
      <w:r w:rsidR="0081589A">
        <w:rPr>
          <w:rFonts w:cstheme="minorHAnsi"/>
          <w:lang w:val="en-US"/>
        </w:rPr>
        <w:t>;</w:t>
      </w:r>
      <w:r w:rsidRPr="002130C0">
        <w:rPr>
          <w:rFonts w:cstheme="minorHAnsi"/>
        </w:rPr>
        <w:t xml:space="preserve"> </w:t>
      </w:r>
      <w:r w:rsidRPr="002130C0">
        <w:rPr>
          <w:rFonts w:cstheme="minorHAnsi"/>
          <w:i/>
          <w:iCs/>
        </w:rPr>
        <w:t xml:space="preserve">Zhu and Chen </w:t>
      </w:r>
      <w:r w:rsidR="001D0379" w:rsidRPr="002130C0">
        <w:rPr>
          <w:rFonts w:cstheme="minorHAnsi"/>
          <w:i/>
          <w:iCs/>
        </w:rPr>
        <w:t>v Secretary of State for the Home Department</w:t>
      </w:r>
      <w:r w:rsidR="001D0379" w:rsidRPr="002130C0">
        <w:rPr>
          <w:rFonts w:cstheme="minorHAnsi"/>
          <w:b/>
          <w:bCs/>
          <w:i/>
          <w:iCs/>
        </w:rPr>
        <w:t xml:space="preserve"> </w:t>
      </w:r>
      <w:r w:rsidR="00272F85">
        <w:rPr>
          <w:rFonts w:cstheme="minorHAnsi"/>
          <w:b/>
          <w:bCs/>
        </w:rPr>
        <w:t>(</w:t>
      </w:r>
      <w:r w:rsidRPr="002130C0">
        <w:rPr>
          <w:rFonts w:cstheme="minorHAnsi"/>
        </w:rPr>
        <w:t>Case C-200</w:t>
      </w:r>
      <w:r w:rsidR="00C706A0" w:rsidRPr="002130C0">
        <w:rPr>
          <w:rFonts w:cstheme="minorHAnsi"/>
        </w:rPr>
        <w:t>/</w:t>
      </w:r>
      <w:r w:rsidRPr="002130C0">
        <w:rPr>
          <w:rFonts w:cstheme="minorHAnsi"/>
        </w:rPr>
        <w:t>02</w:t>
      </w:r>
      <w:r w:rsidR="00272F85">
        <w:rPr>
          <w:rFonts w:cstheme="minorHAnsi"/>
        </w:rPr>
        <w:t>)</w:t>
      </w:r>
      <w:r w:rsidR="00C706A0" w:rsidRPr="002130C0">
        <w:rPr>
          <w:rFonts w:cstheme="minorHAnsi"/>
        </w:rPr>
        <w:t>.</w:t>
      </w:r>
    </w:p>
  </w:footnote>
  <w:footnote w:id="83">
    <w:p w14:paraId="0A9E0E8D" w14:textId="2FDC0054" w:rsidR="00C904CF" w:rsidRPr="002130C0" w:rsidRDefault="00C904CF"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eastAsia="Times New Roman" w:cstheme="minorHAnsi"/>
          <w:i/>
          <w:iCs/>
          <w:lang w:eastAsia="en-GB"/>
        </w:rPr>
        <w:t>Grzelczyk</w:t>
      </w:r>
      <w:proofErr w:type="spellEnd"/>
      <w:r w:rsidRPr="002130C0">
        <w:rPr>
          <w:rFonts w:eastAsia="Times New Roman" w:cstheme="minorHAnsi"/>
          <w:i/>
          <w:iCs/>
          <w:lang w:eastAsia="en-GB"/>
        </w:rPr>
        <w:t xml:space="preserve"> v Centre public </w:t>
      </w:r>
      <w:proofErr w:type="spellStart"/>
      <w:r w:rsidRPr="002130C0">
        <w:rPr>
          <w:rFonts w:eastAsia="Times New Roman" w:cstheme="minorHAnsi"/>
          <w:i/>
          <w:iCs/>
          <w:lang w:eastAsia="en-GB"/>
        </w:rPr>
        <w:t>d’aide</w:t>
      </w:r>
      <w:proofErr w:type="spellEnd"/>
      <w:r w:rsidRPr="002130C0">
        <w:rPr>
          <w:rFonts w:eastAsia="Times New Roman" w:cstheme="minorHAnsi"/>
          <w:i/>
          <w:iCs/>
          <w:lang w:eastAsia="en-GB"/>
        </w:rPr>
        <w:t xml:space="preserve"> </w:t>
      </w:r>
      <w:proofErr w:type="spellStart"/>
      <w:r w:rsidRPr="002130C0">
        <w:rPr>
          <w:rFonts w:eastAsia="Times New Roman" w:cstheme="minorHAnsi"/>
          <w:i/>
          <w:iCs/>
          <w:lang w:eastAsia="en-GB"/>
        </w:rPr>
        <w:t>sociale</w:t>
      </w:r>
      <w:proofErr w:type="spellEnd"/>
      <w:r w:rsidRPr="002130C0">
        <w:rPr>
          <w:rFonts w:eastAsia="Times New Roman" w:cstheme="minorHAnsi"/>
          <w:i/>
          <w:iCs/>
          <w:lang w:eastAsia="en-GB"/>
        </w:rPr>
        <w:t xml:space="preserve"> </w:t>
      </w:r>
      <w:proofErr w:type="spellStart"/>
      <w:r w:rsidRPr="002130C0">
        <w:rPr>
          <w:rFonts w:eastAsia="Times New Roman" w:cstheme="minorHAnsi"/>
          <w:i/>
          <w:iCs/>
          <w:lang w:eastAsia="en-GB"/>
        </w:rPr>
        <w:t>d’Ottignies</w:t>
      </w:r>
      <w:proofErr w:type="spellEnd"/>
      <w:r w:rsidRPr="002130C0">
        <w:rPr>
          <w:rFonts w:eastAsia="Times New Roman" w:cstheme="minorHAnsi"/>
          <w:i/>
          <w:iCs/>
          <w:lang w:eastAsia="en-GB"/>
        </w:rPr>
        <w:t>-Louvain-a Neuve</w:t>
      </w:r>
      <w:r w:rsidRPr="002130C0">
        <w:rPr>
          <w:rFonts w:eastAsia="Times New Roman" w:cstheme="minorHAnsi"/>
          <w:lang w:eastAsia="en-GB"/>
        </w:rPr>
        <w:t xml:space="preserve"> </w:t>
      </w:r>
      <w:r w:rsidR="00272F85">
        <w:rPr>
          <w:rFonts w:eastAsia="Times New Roman" w:cstheme="minorHAnsi"/>
          <w:lang w:eastAsia="en-GB"/>
        </w:rPr>
        <w:t xml:space="preserve">(Case </w:t>
      </w:r>
      <w:r w:rsidRPr="002130C0">
        <w:rPr>
          <w:rFonts w:eastAsia="Times New Roman" w:cstheme="minorHAnsi"/>
          <w:lang w:eastAsia="en-GB"/>
        </w:rPr>
        <w:t>C-184/99</w:t>
      </w:r>
      <w:r w:rsidR="00272F85">
        <w:rPr>
          <w:rFonts w:eastAsia="Times New Roman" w:cstheme="minorHAnsi"/>
          <w:lang w:eastAsia="en-GB"/>
        </w:rPr>
        <w:t xml:space="preserve">); </w:t>
      </w:r>
      <w:proofErr w:type="spellStart"/>
      <w:r w:rsidRPr="002130C0">
        <w:rPr>
          <w:rFonts w:cstheme="minorHAnsi"/>
          <w:i/>
          <w:iCs/>
        </w:rPr>
        <w:t>Trojani</w:t>
      </w:r>
      <w:proofErr w:type="spellEnd"/>
      <w:r w:rsidRPr="002130C0">
        <w:rPr>
          <w:rFonts w:cstheme="minorHAnsi"/>
          <w:i/>
          <w:iCs/>
        </w:rPr>
        <w:t xml:space="preserve"> v CPAS</w:t>
      </w:r>
      <w:r w:rsidRPr="002130C0">
        <w:rPr>
          <w:rFonts w:cstheme="minorHAnsi"/>
          <w:b/>
          <w:bCs/>
        </w:rPr>
        <w:t xml:space="preserve"> </w:t>
      </w:r>
      <w:r w:rsidR="008B78AA">
        <w:rPr>
          <w:rFonts w:cstheme="minorHAnsi"/>
          <w:b/>
          <w:bCs/>
        </w:rPr>
        <w:t>(</w:t>
      </w:r>
      <w:r w:rsidRPr="002130C0">
        <w:rPr>
          <w:rFonts w:eastAsia="Times New Roman" w:cstheme="minorHAnsi"/>
          <w:lang w:eastAsia="en-GB"/>
        </w:rPr>
        <w:t>Case</w:t>
      </w:r>
      <w:r w:rsidRPr="002130C0">
        <w:rPr>
          <w:rFonts w:cstheme="minorHAnsi"/>
          <w:b/>
          <w:bCs/>
        </w:rPr>
        <w:t xml:space="preserve"> </w:t>
      </w:r>
      <w:r w:rsidRPr="002130C0">
        <w:rPr>
          <w:rFonts w:cstheme="minorHAnsi"/>
        </w:rPr>
        <w:t>C -456/02</w:t>
      </w:r>
      <w:r w:rsidR="008B78AA">
        <w:rPr>
          <w:rFonts w:cstheme="minorHAnsi"/>
        </w:rPr>
        <w:t>);</w:t>
      </w:r>
      <w:r w:rsidRPr="002130C0">
        <w:rPr>
          <w:rFonts w:cstheme="minorHAnsi"/>
          <w:b/>
          <w:bCs/>
        </w:rPr>
        <w:t xml:space="preserve"> </w:t>
      </w:r>
      <w:r w:rsidRPr="002130C0">
        <w:rPr>
          <w:rFonts w:cstheme="minorHAnsi"/>
          <w:i/>
          <w:iCs/>
        </w:rPr>
        <w:t xml:space="preserve">Brey </w:t>
      </w:r>
      <w:r w:rsidR="008B78AA">
        <w:rPr>
          <w:rFonts w:cstheme="minorHAnsi"/>
        </w:rPr>
        <w:t>(</w:t>
      </w:r>
      <w:r w:rsidRPr="002130C0">
        <w:rPr>
          <w:rFonts w:cstheme="minorHAnsi"/>
        </w:rPr>
        <w:t>Case C-140</w:t>
      </w:r>
      <w:r w:rsidR="008B78AA">
        <w:rPr>
          <w:rFonts w:cstheme="minorHAnsi"/>
        </w:rPr>
        <w:t>/</w:t>
      </w:r>
      <w:r w:rsidRPr="002130C0">
        <w:rPr>
          <w:rFonts w:cstheme="minorHAnsi"/>
        </w:rPr>
        <w:t>12</w:t>
      </w:r>
      <w:r w:rsidR="008B78AA">
        <w:rPr>
          <w:rFonts w:cstheme="minorHAnsi"/>
        </w:rPr>
        <w:t>)</w:t>
      </w:r>
      <w:r w:rsidRPr="002130C0">
        <w:rPr>
          <w:rFonts w:cstheme="minorHAnsi"/>
        </w:rPr>
        <w:t>.</w:t>
      </w:r>
    </w:p>
  </w:footnote>
  <w:footnote w:id="84">
    <w:p w14:paraId="2E0F57F2" w14:textId="371C229B" w:rsidR="005A7E6F" w:rsidRPr="002130C0" w:rsidRDefault="005A7E6F"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 xml:space="preserve">Martinez- Sala v </w:t>
      </w:r>
      <w:proofErr w:type="spellStart"/>
      <w:r w:rsidRPr="002130C0">
        <w:rPr>
          <w:rFonts w:cstheme="minorHAnsi"/>
          <w:i/>
          <w:iCs/>
        </w:rPr>
        <w:t>Freistaat</w:t>
      </w:r>
      <w:proofErr w:type="spellEnd"/>
      <w:r w:rsidRPr="002130C0">
        <w:rPr>
          <w:rFonts w:cstheme="minorHAnsi"/>
          <w:i/>
          <w:iCs/>
        </w:rPr>
        <w:t xml:space="preserve"> Bayern</w:t>
      </w:r>
      <w:r w:rsidRPr="002130C0">
        <w:rPr>
          <w:rFonts w:cstheme="minorHAnsi"/>
        </w:rPr>
        <w:t xml:space="preserve"> </w:t>
      </w:r>
      <w:r w:rsidR="008B78AA">
        <w:rPr>
          <w:rFonts w:cstheme="minorHAnsi"/>
        </w:rPr>
        <w:t>(</w:t>
      </w:r>
      <w:r w:rsidRPr="002130C0">
        <w:rPr>
          <w:rFonts w:cstheme="minorHAnsi"/>
          <w:lang w:val="en-US"/>
        </w:rPr>
        <w:t>Case C-85/96</w:t>
      </w:r>
      <w:r w:rsidR="008B78AA">
        <w:rPr>
          <w:rFonts w:cstheme="minorHAnsi"/>
          <w:lang w:val="en-US"/>
        </w:rPr>
        <w:t>)</w:t>
      </w:r>
      <w:r w:rsidRPr="002130C0">
        <w:rPr>
          <w:rFonts w:cstheme="minorHAnsi"/>
          <w:lang w:val="en-US"/>
        </w:rPr>
        <w:t>.</w:t>
      </w:r>
    </w:p>
  </w:footnote>
  <w:footnote w:id="85">
    <w:p w14:paraId="1DAD9D1B" w14:textId="77777777" w:rsidR="005A7E6F" w:rsidRPr="002130C0" w:rsidRDefault="005A7E6F"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Ibid</w:t>
      </w:r>
      <w:r w:rsidRPr="002130C0">
        <w:rPr>
          <w:rFonts w:cstheme="minorHAnsi"/>
          <w:i/>
          <w:iCs/>
        </w:rPr>
        <w:t>.</w:t>
      </w:r>
    </w:p>
  </w:footnote>
  <w:footnote w:id="86">
    <w:p w14:paraId="5110C5B6" w14:textId="1FFCA4C7" w:rsidR="00CD592E" w:rsidRPr="002130C0" w:rsidRDefault="00CD592E"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Collins</w:t>
      </w:r>
      <w:r w:rsidRPr="002130C0">
        <w:rPr>
          <w:rFonts w:cstheme="minorHAnsi"/>
        </w:rPr>
        <w:t xml:space="preserve"> </w:t>
      </w:r>
      <w:r w:rsidR="00C37F1C">
        <w:rPr>
          <w:rFonts w:cstheme="minorHAnsi"/>
        </w:rPr>
        <w:t>(</w:t>
      </w:r>
      <w:r w:rsidRPr="002130C0">
        <w:rPr>
          <w:rFonts w:cstheme="minorHAnsi"/>
        </w:rPr>
        <w:t>Case C-138/02</w:t>
      </w:r>
      <w:proofErr w:type="gramStart"/>
      <w:r w:rsidRPr="002130C0">
        <w:rPr>
          <w:rFonts w:cstheme="minorHAnsi"/>
        </w:rPr>
        <w:t>)</w:t>
      </w:r>
      <w:r w:rsidR="00C37F1C">
        <w:rPr>
          <w:rFonts w:cstheme="minorHAnsi"/>
        </w:rPr>
        <w:t>;</w:t>
      </w:r>
      <w:r w:rsidR="000D38D0" w:rsidRPr="002130C0">
        <w:rPr>
          <w:rFonts w:cstheme="minorHAnsi"/>
        </w:rPr>
        <w:t xml:space="preserve"> </w:t>
      </w:r>
      <w:r w:rsidRPr="002130C0">
        <w:rPr>
          <w:rFonts w:cstheme="minorHAnsi"/>
        </w:rPr>
        <w:t xml:space="preserve"> </w:t>
      </w:r>
      <w:proofErr w:type="spellStart"/>
      <w:r w:rsidR="000D38D0" w:rsidRPr="002130C0">
        <w:rPr>
          <w:rFonts w:cstheme="minorHAnsi"/>
          <w:i/>
          <w:iCs/>
        </w:rPr>
        <w:t>Ioannidas</w:t>
      </w:r>
      <w:proofErr w:type="spellEnd"/>
      <w:proofErr w:type="gramEnd"/>
      <w:r w:rsidR="000D38D0" w:rsidRPr="002130C0">
        <w:rPr>
          <w:rFonts w:cstheme="minorHAnsi"/>
        </w:rPr>
        <w:t xml:space="preserve"> (Case C-258/04). </w:t>
      </w:r>
    </w:p>
  </w:footnote>
  <w:footnote w:id="87">
    <w:p w14:paraId="35A69F2A" w14:textId="13B496DD" w:rsidR="00C412BC" w:rsidRPr="002130C0" w:rsidRDefault="00C412BC"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proofErr w:type="spellStart"/>
      <w:r w:rsidRPr="002130C0">
        <w:rPr>
          <w:rFonts w:cstheme="minorHAnsi"/>
          <w:lang w:val="en-US"/>
        </w:rPr>
        <w:t>Askola</w:t>
      </w:r>
      <w:proofErr w:type="spellEnd"/>
      <w:r w:rsidR="00BF11E3" w:rsidRPr="002130C0">
        <w:rPr>
          <w:rFonts w:cstheme="minorHAnsi"/>
          <w:lang w:val="en-US"/>
        </w:rPr>
        <w:t xml:space="preserve"> </w:t>
      </w:r>
      <w:r w:rsidR="00C30C9E" w:rsidRPr="002130C0">
        <w:rPr>
          <w:rFonts w:cstheme="minorHAnsi"/>
          <w:lang w:val="en-US"/>
        </w:rPr>
        <w:t>(</w:t>
      </w:r>
      <w:r w:rsidR="00BF11E3" w:rsidRPr="002130C0">
        <w:rPr>
          <w:rFonts w:cstheme="minorHAnsi"/>
          <w:lang w:val="en-US"/>
        </w:rPr>
        <w:t>n</w:t>
      </w:r>
      <w:r w:rsidR="00205B83">
        <w:rPr>
          <w:rFonts w:cstheme="minorHAnsi"/>
          <w:lang w:val="en-US"/>
        </w:rPr>
        <w:t>31</w:t>
      </w:r>
      <w:r w:rsidR="00C30C9E" w:rsidRPr="002130C0">
        <w:rPr>
          <w:rFonts w:cstheme="minorHAnsi"/>
          <w:lang w:val="en-US"/>
        </w:rPr>
        <w:t xml:space="preserve">). </w:t>
      </w:r>
    </w:p>
  </w:footnote>
  <w:footnote w:id="88">
    <w:p w14:paraId="4482662F" w14:textId="6700D33C" w:rsidR="006C6316" w:rsidRPr="002130C0" w:rsidRDefault="006C6316" w:rsidP="00CB68B8">
      <w:pPr>
        <w:pStyle w:val="FootnoteText"/>
        <w:rPr>
          <w:rFonts w:cstheme="minorHAnsi"/>
          <w:color w:val="000000" w:themeColor="text1"/>
        </w:rPr>
      </w:pPr>
      <w:r w:rsidRPr="002130C0">
        <w:rPr>
          <w:rStyle w:val="FootnoteReference"/>
          <w:rFonts w:cstheme="minorHAnsi"/>
        </w:rPr>
        <w:footnoteRef/>
      </w:r>
      <w:r w:rsidRPr="002130C0">
        <w:rPr>
          <w:rFonts w:cstheme="minorHAnsi"/>
        </w:rPr>
        <w:t xml:space="preserve"> </w:t>
      </w:r>
      <w:r w:rsidR="00C30C9E" w:rsidRPr="002130C0">
        <w:rPr>
          <w:rFonts w:cstheme="minorHAnsi"/>
          <w:color w:val="222222"/>
        </w:rPr>
        <w:t xml:space="preserve">Peter </w:t>
      </w:r>
      <w:proofErr w:type="spellStart"/>
      <w:r w:rsidR="00C30C9E" w:rsidRPr="002130C0">
        <w:rPr>
          <w:rFonts w:cstheme="minorHAnsi"/>
          <w:color w:val="222222"/>
        </w:rPr>
        <w:t>Dominiczak</w:t>
      </w:r>
      <w:proofErr w:type="spellEnd"/>
      <w:r w:rsidR="00C30C9E" w:rsidRPr="002130C0">
        <w:rPr>
          <w:rFonts w:cstheme="minorHAnsi"/>
        </w:rPr>
        <w:t xml:space="preserve"> </w:t>
      </w:r>
      <w:r w:rsidR="00EF4CE0" w:rsidRPr="002130C0">
        <w:rPr>
          <w:rFonts w:cstheme="minorHAnsi"/>
        </w:rPr>
        <w:t>‘</w:t>
      </w:r>
      <w:r w:rsidR="00EF4CE0" w:rsidRPr="002130C0">
        <w:rPr>
          <w:rFonts w:cstheme="minorHAnsi"/>
          <w:color w:val="000000" w:themeColor="text1"/>
        </w:rPr>
        <w:t xml:space="preserve">Britain and Germany </w:t>
      </w:r>
      <w:r w:rsidR="00C30C9E" w:rsidRPr="002130C0">
        <w:rPr>
          <w:rFonts w:cstheme="minorHAnsi"/>
          <w:color w:val="000000" w:themeColor="text1"/>
        </w:rPr>
        <w:t>D</w:t>
      </w:r>
      <w:r w:rsidR="00EF4CE0" w:rsidRPr="002130C0">
        <w:rPr>
          <w:rFonts w:cstheme="minorHAnsi"/>
          <w:color w:val="000000" w:themeColor="text1"/>
        </w:rPr>
        <w:t xml:space="preserve">emand EU </w:t>
      </w:r>
      <w:r w:rsidR="00C30C9E" w:rsidRPr="002130C0">
        <w:rPr>
          <w:rFonts w:cstheme="minorHAnsi"/>
          <w:color w:val="000000" w:themeColor="text1"/>
        </w:rPr>
        <w:t>C</w:t>
      </w:r>
      <w:r w:rsidR="00EF4CE0" w:rsidRPr="002130C0">
        <w:rPr>
          <w:rFonts w:cstheme="minorHAnsi"/>
          <w:color w:val="000000" w:themeColor="text1"/>
        </w:rPr>
        <w:t xml:space="preserve">racks </w:t>
      </w:r>
      <w:r w:rsidR="00C30C9E" w:rsidRPr="002130C0">
        <w:rPr>
          <w:rFonts w:cstheme="minorHAnsi"/>
          <w:color w:val="000000" w:themeColor="text1"/>
        </w:rPr>
        <w:t>D</w:t>
      </w:r>
      <w:r w:rsidR="00EF4CE0" w:rsidRPr="002130C0">
        <w:rPr>
          <w:rFonts w:cstheme="minorHAnsi"/>
          <w:color w:val="000000" w:themeColor="text1"/>
        </w:rPr>
        <w:t xml:space="preserve">own on </w:t>
      </w:r>
      <w:r w:rsidR="00223B01" w:rsidRPr="002130C0">
        <w:rPr>
          <w:rFonts w:cstheme="minorHAnsi"/>
          <w:color w:val="000000" w:themeColor="text1"/>
        </w:rPr>
        <w:t>‘</w:t>
      </w:r>
      <w:r w:rsidR="00C30C9E" w:rsidRPr="002130C0">
        <w:rPr>
          <w:rFonts w:cstheme="minorHAnsi"/>
          <w:color w:val="000000" w:themeColor="text1"/>
        </w:rPr>
        <w:t>B</w:t>
      </w:r>
      <w:r w:rsidR="00223B01" w:rsidRPr="002130C0">
        <w:rPr>
          <w:rFonts w:cstheme="minorHAnsi"/>
          <w:color w:val="000000" w:themeColor="text1"/>
        </w:rPr>
        <w:t xml:space="preserve">enefits </w:t>
      </w:r>
      <w:r w:rsidR="00C30C9E" w:rsidRPr="002130C0">
        <w:rPr>
          <w:rFonts w:cstheme="minorHAnsi"/>
          <w:color w:val="000000" w:themeColor="text1"/>
        </w:rPr>
        <w:t>T</w:t>
      </w:r>
      <w:r w:rsidR="00223B01" w:rsidRPr="002130C0">
        <w:rPr>
          <w:rFonts w:cstheme="minorHAnsi"/>
          <w:color w:val="000000" w:themeColor="text1"/>
        </w:rPr>
        <w:t>ourism’</w:t>
      </w:r>
      <w:r w:rsidR="006A0EEA">
        <w:rPr>
          <w:rFonts w:cstheme="minorHAnsi"/>
          <w:color w:val="000000" w:themeColor="text1"/>
        </w:rPr>
        <w:t xml:space="preserve">, </w:t>
      </w:r>
      <w:r w:rsidR="00223B01" w:rsidRPr="006A0EEA">
        <w:rPr>
          <w:rFonts w:cstheme="minorHAnsi"/>
          <w:i/>
          <w:iCs/>
          <w:color w:val="000000" w:themeColor="text1"/>
        </w:rPr>
        <w:t>Daily Telegraph</w:t>
      </w:r>
      <w:r w:rsidR="006A0EEA">
        <w:rPr>
          <w:rFonts w:cstheme="minorHAnsi"/>
          <w:color w:val="000000" w:themeColor="text1"/>
        </w:rPr>
        <w:t xml:space="preserve"> (</w:t>
      </w:r>
      <w:r w:rsidR="00223B01" w:rsidRPr="002130C0">
        <w:rPr>
          <w:rFonts w:cstheme="minorHAnsi"/>
          <w:color w:val="000000" w:themeColor="text1"/>
        </w:rPr>
        <w:t>24 April 201</w:t>
      </w:r>
      <w:r w:rsidR="00C30C9E" w:rsidRPr="002130C0">
        <w:rPr>
          <w:rFonts w:cstheme="minorHAnsi"/>
          <w:color w:val="000000" w:themeColor="text1"/>
        </w:rPr>
        <w:t xml:space="preserve">3) available at </w:t>
      </w:r>
      <w:hyperlink r:id="rId17" w:history="1">
        <w:r w:rsidR="00C30C9E" w:rsidRPr="002130C0">
          <w:rPr>
            <w:rFonts w:cstheme="minorHAnsi"/>
            <w:color w:val="000000" w:themeColor="text1"/>
            <w:u w:val="single"/>
          </w:rPr>
          <w:t>Britain and Germany demand EU cracks down on ‘benefits tourism’ (telegraph.co.uk)</w:t>
        </w:r>
      </w:hyperlink>
      <w:r w:rsidR="00C30C9E" w:rsidRPr="002130C0">
        <w:rPr>
          <w:rFonts w:cstheme="minorHAnsi"/>
          <w:color w:val="000000" w:themeColor="text1"/>
        </w:rPr>
        <w:t xml:space="preserve"> </w:t>
      </w:r>
      <w:r w:rsidR="00223B01" w:rsidRPr="002130C0">
        <w:rPr>
          <w:rFonts w:cstheme="minorHAnsi"/>
          <w:color w:val="000000" w:themeColor="text1"/>
        </w:rPr>
        <w:t>reporting on a l</w:t>
      </w:r>
      <w:r w:rsidR="00A8517A" w:rsidRPr="002130C0">
        <w:rPr>
          <w:rFonts w:cstheme="minorHAnsi"/>
          <w:color w:val="000000" w:themeColor="text1"/>
        </w:rPr>
        <w:t>e</w:t>
      </w:r>
      <w:r w:rsidR="00223B01" w:rsidRPr="002130C0">
        <w:rPr>
          <w:rFonts w:cstheme="minorHAnsi"/>
          <w:color w:val="000000" w:themeColor="text1"/>
        </w:rPr>
        <w:t xml:space="preserve">tter signed by the </w:t>
      </w:r>
      <w:r w:rsidR="006A0EEA">
        <w:rPr>
          <w:rFonts w:cstheme="minorHAnsi"/>
          <w:color w:val="000000" w:themeColor="text1"/>
        </w:rPr>
        <w:t>H</w:t>
      </w:r>
      <w:r w:rsidR="00223B01" w:rsidRPr="002130C0">
        <w:rPr>
          <w:rFonts w:cstheme="minorHAnsi"/>
          <w:color w:val="000000" w:themeColor="text1"/>
        </w:rPr>
        <w:t xml:space="preserve">ome </w:t>
      </w:r>
      <w:r w:rsidR="006A0EEA">
        <w:rPr>
          <w:rFonts w:cstheme="minorHAnsi"/>
          <w:color w:val="000000" w:themeColor="text1"/>
        </w:rPr>
        <w:t>S</w:t>
      </w:r>
      <w:r w:rsidR="00223B01" w:rsidRPr="002130C0">
        <w:rPr>
          <w:rFonts w:cstheme="minorHAnsi"/>
          <w:color w:val="000000" w:themeColor="text1"/>
        </w:rPr>
        <w:t xml:space="preserve">ecretaries / </w:t>
      </w:r>
      <w:r w:rsidR="006A0EEA">
        <w:rPr>
          <w:rFonts w:cstheme="minorHAnsi"/>
          <w:color w:val="000000" w:themeColor="text1"/>
        </w:rPr>
        <w:t>M</w:t>
      </w:r>
      <w:r w:rsidR="00223B01" w:rsidRPr="002130C0">
        <w:rPr>
          <w:rFonts w:cstheme="minorHAnsi"/>
          <w:color w:val="000000" w:themeColor="text1"/>
        </w:rPr>
        <w:t xml:space="preserve">inisters for the </w:t>
      </w:r>
      <w:r w:rsidR="006A0EEA">
        <w:rPr>
          <w:rFonts w:cstheme="minorHAnsi"/>
          <w:color w:val="000000" w:themeColor="text1"/>
        </w:rPr>
        <w:t>I</w:t>
      </w:r>
      <w:r w:rsidR="00223B01" w:rsidRPr="002130C0">
        <w:rPr>
          <w:rFonts w:cstheme="minorHAnsi"/>
          <w:color w:val="000000" w:themeColor="text1"/>
        </w:rPr>
        <w:t>nterior of Austria, Germany, the Netherlands, and the UK and sent to the Commission and the President of the Council of Europe.</w:t>
      </w:r>
    </w:p>
  </w:footnote>
  <w:footnote w:id="89">
    <w:p w14:paraId="4F4DEA18" w14:textId="4FF70CC3" w:rsidR="00C50874" w:rsidRPr="002130C0" w:rsidRDefault="00C50874" w:rsidP="00CB68B8">
      <w:pPr>
        <w:shd w:val="clear" w:color="auto" w:fill="FFFFFF"/>
        <w:spacing w:after="0" w:line="240" w:lineRule="auto"/>
        <w:textAlignment w:val="baseline"/>
        <w:rPr>
          <w:rFonts w:eastAsia="Times New Roman" w:cstheme="minorHAnsi"/>
          <w:color w:val="000000"/>
          <w:sz w:val="20"/>
          <w:szCs w:val="20"/>
          <w:lang w:eastAsia="en-GB"/>
        </w:rPr>
      </w:pPr>
      <w:r w:rsidRPr="002130C0">
        <w:rPr>
          <w:rStyle w:val="FootnoteReference"/>
          <w:rFonts w:cstheme="minorHAnsi"/>
          <w:sz w:val="20"/>
          <w:szCs w:val="20"/>
        </w:rPr>
        <w:footnoteRef/>
      </w:r>
      <w:r w:rsidRPr="002130C0">
        <w:rPr>
          <w:rFonts w:cstheme="minorHAnsi"/>
          <w:sz w:val="20"/>
          <w:szCs w:val="20"/>
        </w:rPr>
        <w:t xml:space="preserve"> C</w:t>
      </w:r>
      <w:r w:rsidR="00AD1050" w:rsidRPr="002130C0">
        <w:rPr>
          <w:rFonts w:cstheme="minorHAnsi"/>
          <w:sz w:val="20"/>
          <w:szCs w:val="20"/>
        </w:rPr>
        <w:t>arlos</w:t>
      </w:r>
      <w:r w:rsidRPr="002130C0">
        <w:rPr>
          <w:rFonts w:cstheme="minorHAnsi"/>
          <w:sz w:val="20"/>
          <w:szCs w:val="20"/>
        </w:rPr>
        <w:t xml:space="preserve"> Vargas-Silva and R</w:t>
      </w:r>
      <w:r w:rsidR="00AD1050" w:rsidRPr="002130C0">
        <w:rPr>
          <w:rFonts w:cstheme="minorHAnsi"/>
          <w:sz w:val="20"/>
          <w:szCs w:val="20"/>
        </w:rPr>
        <w:t>ob</w:t>
      </w:r>
      <w:r w:rsidRPr="002130C0">
        <w:rPr>
          <w:rFonts w:cstheme="minorHAnsi"/>
          <w:sz w:val="20"/>
          <w:szCs w:val="20"/>
        </w:rPr>
        <w:t xml:space="preserve"> McNeil, </w:t>
      </w:r>
      <w:r w:rsidR="00C30C9E" w:rsidRPr="002130C0">
        <w:rPr>
          <w:rFonts w:cstheme="minorHAnsi"/>
          <w:sz w:val="20"/>
          <w:szCs w:val="20"/>
        </w:rPr>
        <w:t>‘</w:t>
      </w:r>
      <w:r w:rsidRPr="002130C0">
        <w:rPr>
          <w:rFonts w:eastAsia="Times New Roman" w:cstheme="minorHAnsi"/>
          <w:kern w:val="36"/>
          <w:sz w:val="20"/>
          <w:szCs w:val="20"/>
          <w:bdr w:val="none" w:sz="0" w:space="0" w:color="auto" w:frame="1"/>
          <w:lang w:eastAsia="en-GB"/>
        </w:rPr>
        <w:t xml:space="preserve">Hard Evidence: </w:t>
      </w:r>
      <w:r w:rsidR="006A6479">
        <w:rPr>
          <w:rFonts w:eastAsia="Times New Roman" w:cstheme="minorHAnsi"/>
          <w:kern w:val="36"/>
          <w:sz w:val="20"/>
          <w:szCs w:val="20"/>
          <w:bdr w:val="none" w:sz="0" w:space="0" w:color="auto" w:frame="1"/>
          <w:lang w:eastAsia="en-GB"/>
        </w:rPr>
        <w:t>D</w:t>
      </w:r>
      <w:r w:rsidRPr="002130C0">
        <w:rPr>
          <w:rFonts w:eastAsia="Times New Roman" w:cstheme="minorHAnsi"/>
          <w:kern w:val="36"/>
          <w:sz w:val="20"/>
          <w:szCs w:val="20"/>
          <w:bdr w:val="none" w:sz="0" w:space="0" w:color="auto" w:frame="1"/>
          <w:lang w:eastAsia="en-GB"/>
        </w:rPr>
        <w:t>oes ‘</w:t>
      </w:r>
      <w:r w:rsidR="006A6479">
        <w:rPr>
          <w:rFonts w:eastAsia="Times New Roman" w:cstheme="minorHAnsi"/>
          <w:kern w:val="36"/>
          <w:sz w:val="20"/>
          <w:szCs w:val="20"/>
          <w:bdr w:val="none" w:sz="0" w:space="0" w:color="auto" w:frame="1"/>
          <w:lang w:eastAsia="en-GB"/>
        </w:rPr>
        <w:t>B</w:t>
      </w:r>
      <w:r w:rsidRPr="002130C0">
        <w:rPr>
          <w:rFonts w:eastAsia="Times New Roman" w:cstheme="minorHAnsi"/>
          <w:kern w:val="36"/>
          <w:sz w:val="20"/>
          <w:szCs w:val="20"/>
          <w:bdr w:val="none" w:sz="0" w:space="0" w:color="auto" w:frame="1"/>
          <w:lang w:eastAsia="en-GB"/>
        </w:rPr>
        <w:t xml:space="preserve">enefits </w:t>
      </w:r>
      <w:r w:rsidR="006A6479">
        <w:rPr>
          <w:rFonts w:eastAsia="Times New Roman" w:cstheme="minorHAnsi"/>
          <w:kern w:val="36"/>
          <w:sz w:val="20"/>
          <w:szCs w:val="20"/>
          <w:bdr w:val="none" w:sz="0" w:space="0" w:color="auto" w:frame="1"/>
          <w:lang w:eastAsia="en-GB"/>
        </w:rPr>
        <w:t>T</w:t>
      </w:r>
      <w:r w:rsidRPr="002130C0">
        <w:rPr>
          <w:rFonts w:eastAsia="Times New Roman" w:cstheme="minorHAnsi"/>
          <w:kern w:val="36"/>
          <w:sz w:val="20"/>
          <w:szCs w:val="20"/>
          <w:bdr w:val="none" w:sz="0" w:space="0" w:color="auto" w:frame="1"/>
          <w:lang w:eastAsia="en-GB"/>
        </w:rPr>
        <w:t>ourism’ </w:t>
      </w:r>
      <w:r w:rsidR="006A6479">
        <w:rPr>
          <w:rFonts w:eastAsia="Times New Roman" w:cstheme="minorHAnsi"/>
          <w:kern w:val="36"/>
          <w:sz w:val="20"/>
          <w:szCs w:val="20"/>
          <w:bdr w:val="none" w:sz="0" w:space="0" w:color="auto" w:frame="1"/>
          <w:lang w:eastAsia="en-GB"/>
        </w:rPr>
        <w:t>E</w:t>
      </w:r>
      <w:r w:rsidRPr="002130C0">
        <w:rPr>
          <w:rFonts w:eastAsia="Times New Roman" w:cstheme="minorHAnsi"/>
          <w:kern w:val="36"/>
          <w:sz w:val="20"/>
          <w:szCs w:val="20"/>
          <w:bdr w:val="none" w:sz="0" w:space="0" w:color="auto" w:frame="1"/>
          <w:lang w:eastAsia="en-GB"/>
        </w:rPr>
        <w:t>xist?</w:t>
      </w:r>
      <w:r w:rsidR="00C30C9E" w:rsidRPr="002130C0">
        <w:rPr>
          <w:rFonts w:eastAsia="Times New Roman" w:cstheme="minorHAnsi"/>
          <w:kern w:val="36"/>
          <w:sz w:val="20"/>
          <w:szCs w:val="20"/>
          <w:bdr w:val="none" w:sz="0" w:space="0" w:color="auto" w:frame="1"/>
          <w:lang w:eastAsia="en-GB"/>
        </w:rPr>
        <w:t>’</w:t>
      </w:r>
      <w:r w:rsidR="006A6479">
        <w:rPr>
          <w:rFonts w:eastAsia="Times New Roman" w:cstheme="minorHAnsi"/>
          <w:kern w:val="36"/>
          <w:sz w:val="20"/>
          <w:szCs w:val="20"/>
          <w:bdr w:val="none" w:sz="0" w:space="0" w:color="auto" w:frame="1"/>
          <w:lang w:eastAsia="en-GB"/>
        </w:rPr>
        <w:t>,</w:t>
      </w:r>
      <w:r w:rsidRPr="002130C0">
        <w:rPr>
          <w:rFonts w:eastAsia="Times New Roman" w:cstheme="minorHAnsi"/>
          <w:kern w:val="36"/>
          <w:sz w:val="20"/>
          <w:szCs w:val="20"/>
          <w:bdr w:val="none" w:sz="0" w:space="0" w:color="auto" w:frame="1"/>
          <w:lang w:eastAsia="en-GB"/>
        </w:rPr>
        <w:t xml:space="preserve"> </w:t>
      </w:r>
      <w:r w:rsidR="00C30C9E" w:rsidRPr="006A6479">
        <w:rPr>
          <w:rFonts w:eastAsia="Times New Roman" w:cstheme="minorHAnsi"/>
          <w:i/>
          <w:iCs/>
          <w:kern w:val="36"/>
          <w:sz w:val="20"/>
          <w:szCs w:val="20"/>
          <w:bdr w:val="none" w:sz="0" w:space="0" w:color="auto" w:frame="1"/>
          <w:lang w:eastAsia="en-GB"/>
        </w:rPr>
        <w:t>The Conversation</w:t>
      </w:r>
      <w:r w:rsidR="006A6479">
        <w:rPr>
          <w:rFonts w:eastAsia="Times New Roman" w:cstheme="minorHAnsi"/>
          <w:kern w:val="36"/>
          <w:sz w:val="20"/>
          <w:szCs w:val="20"/>
          <w:bdr w:val="none" w:sz="0" w:space="0" w:color="auto" w:frame="1"/>
          <w:lang w:eastAsia="en-GB"/>
        </w:rPr>
        <w:t xml:space="preserve"> (</w:t>
      </w:r>
      <w:r w:rsidRPr="002130C0">
        <w:rPr>
          <w:rFonts w:eastAsia="Times New Roman" w:cstheme="minorHAnsi"/>
          <w:kern w:val="36"/>
          <w:sz w:val="20"/>
          <w:szCs w:val="20"/>
          <w:bdr w:val="none" w:sz="0" w:space="0" w:color="auto" w:frame="1"/>
          <w:lang w:eastAsia="en-GB"/>
        </w:rPr>
        <w:t xml:space="preserve">2016) </w:t>
      </w:r>
      <w:r w:rsidR="00C30C9E" w:rsidRPr="002130C0">
        <w:rPr>
          <w:rFonts w:eastAsia="Times New Roman" w:cstheme="minorHAnsi"/>
          <w:kern w:val="36"/>
          <w:sz w:val="20"/>
          <w:szCs w:val="20"/>
          <w:bdr w:val="none" w:sz="0" w:space="0" w:color="auto" w:frame="1"/>
          <w:lang w:eastAsia="en-GB"/>
        </w:rPr>
        <w:t xml:space="preserve">available at </w:t>
      </w:r>
      <w:hyperlink r:id="rId18" w:history="1">
        <w:r w:rsidRPr="002130C0">
          <w:rPr>
            <w:rFonts w:cstheme="minorHAnsi"/>
            <w:sz w:val="20"/>
            <w:szCs w:val="20"/>
            <w:u w:val="single"/>
          </w:rPr>
          <w:t>Hard Evidence: does 'benefits tourism' exist? (theconversation.com)</w:t>
        </w:r>
      </w:hyperlink>
      <w:r w:rsidRPr="002130C0">
        <w:rPr>
          <w:rFonts w:cstheme="minorHAnsi"/>
          <w:sz w:val="20"/>
          <w:szCs w:val="20"/>
        </w:rPr>
        <w:t xml:space="preserve"> </w:t>
      </w:r>
      <w:r w:rsidR="00C30C9E" w:rsidRPr="002130C0">
        <w:rPr>
          <w:rFonts w:cstheme="minorHAnsi"/>
          <w:sz w:val="20"/>
          <w:szCs w:val="20"/>
        </w:rPr>
        <w:t xml:space="preserve">2023, </w:t>
      </w:r>
      <w:r w:rsidRPr="002130C0">
        <w:rPr>
          <w:rFonts w:cstheme="minorHAnsi"/>
          <w:sz w:val="20"/>
          <w:szCs w:val="20"/>
        </w:rPr>
        <w:t xml:space="preserve">citing </w:t>
      </w:r>
      <w:r w:rsidR="00A31D33">
        <w:rPr>
          <w:rFonts w:cstheme="minorHAnsi"/>
          <w:sz w:val="20"/>
          <w:szCs w:val="20"/>
        </w:rPr>
        <w:t xml:space="preserve">ONS, </w:t>
      </w:r>
      <w:r w:rsidRPr="00A31D33">
        <w:rPr>
          <w:rFonts w:cstheme="minorHAnsi"/>
          <w:i/>
          <w:iCs/>
          <w:sz w:val="20"/>
          <w:szCs w:val="20"/>
          <w:shd w:val="clear" w:color="auto" w:fill="FFFFFF"/>
        </w:rPr>
        <w:t>Annual Population Survey, 2012</w:t>
      </w:r>
      <w:r w:rsidRPr="002130C0">
        <w:rPr>
          <w:rFonts w:cstheme="minorHAnsi"/>
          <w:sz w:val="20"/>
          <w:szCs w:val="20"/>
          <w:shd w:val="clear" w:color="auto" w:fill="FFFFFF"/>
        </w:rPr>
        <w:t xml:space="preserve">; </w:t>
      </w:r>
      <w:r w:rsidR="00A31D33">
        <w:rPr>
          <w:rFonts w:cstheme="minorHAnsi"/>
          <w:sz w:val="20"/>
          <w:szCs w:val="20"/>
          <w:shd w:val="clear" w:color="auto" w:fill="FFFFFF"/>
        </w:rPr>
        <w:t xml:space="preserve">ONS, </w:t>
      </w:r>
      <w:r w:rsidRPr="00A31D33">
        <w:rPr>
          <w:rFonts w:cstheme="minorHAnsi"/>
          <w:i/>
          <w:iCs/>
          <w:sz w:val="20"/>
          <w:szCs w:val="20"/>
          <w:shd w:val="clear" w:color="auto" w:fill="FFFFFF"/>
        </w:rPr>
        <w:t>Labour Force Survey, 2013 Q2</w:t>
      </w:r>
      <w:r w:rsidRPr="002130C0">
        <w:rPr>
          <w:rFonts w:cstheme="minorHAnsi"/>
          <w:sz w:val="20"/>
          <w:szCs w:val="20"/>
          <w:shd w:val="clear" w:color="auto" w:fill="FFFFFF"/>
        </w:rPr>
        <w:t xml:space="preserve">; DWP, February 2013; </w:t>
      </w:r>
      <w:r w:rsidR="004F1E1D">
        <w:rPr>
          <w:rFonts w:cstheme="minorHAnsi"/>
          <w:sz w:val="20"/>
          <w:szCs w:val="20"/>
          <w:shd w:val="clear" w:color="auto" w:fill="FFFFFF"/>
        </w:rPr>
        <w:t xml:space="preserve">Eurostat, </w:t>
      </w:r>
      <w:r w:rsidRPr="004F1E1D">
        <w:rPr>
          <w:rFonts w:cstheme="minorHAnsi"/>
          <w:i/>
          <w:iCs/>
          <w:sz w:val="20"/>
          <w:szCs w:val="20"/>
          <w:shd w:val="clear" w:color="auto" w:fill="FFFFFF"/>
        </w:rPr>
        <w:t xml:space="preserve">European Labour </w:t>
      </w:r>
      <w:r w:rsidR="004F1E1D" w:rsidRPr="004F1E1D">
        <w:rPr>
          <w:rFonts w:cstheme="minorHAnsi"/>
          <w:i/>
          <w:iCs/>
          <w:sz w:val="20"/>
          <w:szCs w:val="20"/>
          <w:shd w:val="clear" w:color="auto" w:fill="FFFFFF"/>
        </w:rPr>
        <w:t>F</w:t>
      </w:r>
      <w:r w:rsidRPr="004F1E1D">
        <w:rPr>
          <w:rFonts w:cstheme="minorHAnsi"/>
          <w:i/>
          <w:iCs/>
          <w:sz w:val="20"/>
          <w:szCs w:val="20"/>
          <w:shd w:val="clear" w:color="auto" w:fill="FFFFFF"/>
        </w:rPr>
        <w:t>orce Survey, 2013 Q2</w:t>
      </w:r>
      <w:r w:rsidRPr="002130C0">
        <w:rPr>
          <w:rFonts w:cstheme="minorHAnsi"/>
          <w:sz w:val="20"/>
          <w:szCs w:val="20"/>
          <w:shd w:val="clear" w:color="auto" w:fill="FFFFFF"/>
        </w:rPr>
        <w:t>. </w:t>
      </w:r>
    </w:p>
  </w:footnote>
  <w:footnote w:id="90">
    <w:p w14:paraId="2490F0FF" w14:textId="0CFBC478" w:rsidR="00C50874" w:rsidRPr="002130C0" w:rsidRDefault="00C50874"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Pr="002130C0">
        <w:rPr>
          <w:rFonts w:cstheme="minorHAnsi"/>
          <w:lang w:val="en-US"/>
        </w:rPr>
        <w:t>Ibid</w:t>
      </w:r>
      <w:r w:rsidR="00F874C6" w:rsidRPr="002130C0">
        <w:rPr>
          <w:rFonts w:cstheme="minorHAnsi"/>
          <w:lang w:val="en-US"/>
        </w:rPr>
        <w:t>.</w:t>
      </w:r>
    </w:p>
  </w:footnote>
  <w:footnote w:id="91">
    <w:p w14:paraId="0A6B5391" w14:textId="05908114" w:rsidR="006C6316" w:rsidRPr="002130C0" w:rsidRDefault="006C6316"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Askola</w:t>
      </w:r>
      <w:proofErr w:type="spellEnd"/>
      <w:r w:rsidR="0078190E" w:rsidRPr="002130C0">
        <w:rPr>
          <w:rFonts w:cstheme="minorHAnsi"/>
        </w:rPr>
        <w:t xml:space="preserve"> </w:t>
      </w:r>
      <w:r w:rsidR="00AF264E" w:rsidRPr="002130C0">
        <w:rPr>
          <w:rFonts w:cstheme="minorHAnsi"/>
        </w:rPr>
        <w:t>(</w:t>
      </w:r>
      <w:r w:rsidR="0078190E" w:rsidRPr="002130C0">
        <w:rPr>
          <w:rFonts w:cstheme="minorHAnsi"/>
        </w:rPr>
        <w:t>n</w:t>
      </w:r>
      <w:r w:rsidR="00205B83">
        <w:rPr>
          <w:rFonts w:cstheme="minorHAnsi"/>
        </w:rPr>
        <w:t>31</w:t>
      </w:r>
      <w:r w:rsidR="00AF264E" w:rsidRPr="002130C0">
        <w:rPr>
          <w:rFonts w:cstheme="minorHAnsi"/>
        </w:rPr>
        <w:t>)</w:t>
      </w:r>
      <w:r w:rsidR="00B835FA" w:rsidRPr="002130C0">
        <w:rPr>
          <w:rFonts w:cstheme="minorHAnsi"/>
        </w:rPr>
        <w:t xml:space="preserve">, </w:t>
      </w:r>
      <w:r w:rsidR="0078190E" w:rsidRPr="002130C0">
        <w:rPr>
          <w:rFonts w:cstheme="minorHAnsi"/>
        </w:rPr>
        <w:t>350.</w:t>
      </w:r>
    </w:p>
  </w:footnote>
  <w:footnote w:id="92">
    <w:p w14:paraId="7775AC3C" w14:textId="5C386BAE" w:rsidR="006C6316" w:rsidRPr="002130C0" w:rsidRDefault="006C6316"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Dano</w:t>
      </w:r>
      <w:r w:rsidR="00482303" w:rsidRPr="002130C0">
        <w:rPr>
          <w:rFonts w:cstheme="minorHAnsi"/>
          <w:i/>
          <w:iCs/>
        </w:rPr>
        <w:t xml:space="preserve"> v Jobseeker</w:t>
      </w:r>
      <w:r w:rsidR="00482303" w:rsidRPr="002130C0">
        <w:rPr>
          <w:rFonts w:cstheme="minorHAnsi"/>
        </w:rPr>
        <w:t xml:space="preserve"> </w:t>
      </w:r>
      <w:r w:rsidR="00482303" w:rsidRPr="002130C0">
        <w:rPr>
          <w:rFonts w:cstheme="minorHAnsi"/>
          <w:i/>
          <w:iCs/>
        </w:rPr>
        <w:t>Leipzig</w:t>
      </w:r>
      <w:r w:rsidR="00482303" w:rsidRPr="002130C0">
        <w:rPr>
          <w:rFonts w:cstheme="minorHAnsi"/>
        </w:rPr>
        <w:t xml:space="preserve"> </w:t>
      </w:r>
      <w:r w:rsidR="004F1E1D">
        <w:rPr>
          <w:rFonts w:cstheme="minorHAnsi"/>
        </w:rPr>
        <w:t>(</w:t>
      </w:r>
      <w:r w:rsidR="00482303" w:rsidRPr="002130C0">
        <w:rPr>
          <w:rFonts w:cstheme="minorHAnsi"/>
        </w:rPr>
        <w:t>Case</w:t>
      </w:r>
      <w:r w:rsidRPr="002130C0">
        <w:rPr>
          <w:rFonts w:cstheme="minorHAnsi"/>
        </w:rPr>
        <w:t xml:space="preserve"> C</w:t>
      </w:r>
      <w:r w:rsidRPr="002130C0">
        <w:rPr>
          <w:rFonts w:cstheme="minorHAnsi"/>
        </w:rPr>
        <w:noBreakHyphen/>
        <w:t>333/13</w:t>
      </w:r>
      <w:r w:rsidR="004F1E1D">
        <w:rPr>
          <w:rFonts w:cstheme="minorHAnsi"/>
        </w:rPr>
        <w:t>)</w:t>
      </w:r>
      <w:r w:rsidR="00AF264E" w:rsidRPr="002130C0">
        <w:rPr>
          <w:rFonts w:cstheme="minorHAnsi"/>
        </w:rPr>
        <w:t>.</w:t>
      </w:r>
      <w:r w:rsidRPr="002130C0">
        <w:rPr>
          <w:rFonts w:cstheme="minorHAnsi"/>
        </w:rPr>
        <w:t xml:space="preserve">  </w:t>
      </w:r>
    </w:p>
  </w:footnote>
  <w:footnote w:id="93">
    <w:p w14:paraId="5802E3E3" w14:textId="6262AE4E" w:rsidR="006C6316" w:rsidRPr="002130C0" w:rsidRDefault="006C6316"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AC39F3" w:rsidRPr="002130C0">
        <w:rPr>
          <w:rFonts w:cstheme="minorHAnsi"/>
        </w:rPr>
        <w:t>Ibid</w:t>
      </w:r>
      <w:r w:rsidR="00AC39F3" w:rsidRPr="002130C0">
        <w:rPr>
          <w:rFonts w:cstheme="minorHAnsi"/>
          <w:i/>
          <w:iCs/>
        </w:rPr>
        <w:t>.</w:t>
      </w:r>
      <w:r w:rsidRPr="002130C0">
        <w:rPr>
          <w:rFonts w:cstheme="minorHAnsi"/>
        </w:rPr>
        <w:t xml:space="preserve">  </w:t>
      </w:r>
    </w:p>
  </w:footnote>
  <w:footnote w:id="94">
    <w:p w14:paraId="488B3E5F" w14:textId="5417A85E" w:rsidR="00462BA7" w:rsidRPr="002130C0" w:rsidRDefault="007E24AA" w:rsidP="00CB68B8">
      <w:pPr>
        <w:pStyle w:val="FootnoteText"/>
        <w:rPr>
          <w:rFonts w:eastAsia="Times New Roman" w:cstheme="minorHAnsi"/>
          <w:lang w:eastAsia="en-GB"/>
        </w:rPr>
      </w:pPr>
      <w:r w:rsidRPr="002130C0">
        <w:rPr>
          <w:rStyle w:val="FootnoteReference"/>
          <w:rFonts w:cstheme="minorHAnsi"/>
        </w:rPr>
        <w:footnoteRef/>
      </w:r>
      <w:r w:rsidRPr="002130C0">
        <w:rPr>
          <w:rFonts w:cstheme="minorHAnsi"/>
        </w:rPr>
        <w:t xml:space="preserve"> </w:t>
      </w:r>
      <w:r w:rsidR="00AD1050" w:rsidRPr="002130C0">
        <w:rPr>
          <w:rFonts w:cstheme="minorHAnsi"/>
        </w:rPr>
        <w:t xml:space="preserve">Louise </w:t>
      </w:r>
      <w:r w:rsidR="00D74077" w:rsidRPr="002130C0">
        <w:rPr>
          <w:rStyle w:val="citation"/>
          <w:rFonts w:cstheme="minorHAnsi"/>
          <w:color w:val="000000"/>
        </w:rPr>
        <w:t>Ackers</w:t>
      </w:r>
      <w:r w:rsidR="00AD1050" w:rsidRPr="002130C0">
        <w:rPr>
          <w:rStyle w:val="citation"/>
          <w:rFonts w:cstheme="minorHAnsi"/>
          <w:color w:val="000000"/>
        </w:rPr>
        <w:t>,</w:t>
      </w:r>
      <w:r w:rsidR="00D74077" w:rsidRPr="002130C0">
        <w:rPr>
          <w:rStyle w:val="citation"/>
          <w:rFonts w:cstheme="minorHAnsi"/>
          <w:color w:val="000000"/>
        </w:rPr>
        <w:t xml:space="preserve"> </w:t>
      </w:r>
      <w:r w:rsidR="00BA4802">
        <w:rPr>
          <w:rStyle w:val="citation"/>
          <w:rFonts w:cstheme="minorHAnsi"/>
          <w:color w:val="000000"/>
        </w:rPr>
        <w:t>‘</w:t>
      </w:r>
      <w:r w:rsidR="00D74077" w:rsidRPr="002130C0">
        <w:rPr>
          <w:rStyle w:val="citation"/>
          <w:rFonts w:cstheme="minorHAnsi"/>
          <w:color w:val="000000"/>
        </w:rPr>
        <w:t xml:space="preserve">Citizenship, </w:t>
      </w:r>
      <w:r w:rsidR="00C30C9E" w:rsidRPr="002130C0">
        <w:rPr>
          <w:rStyle w:val="citation"/>
          <w:rFonts w:cstheme="minorHAnsi"/>
          <w:color w:val="000000"/>
        </w:rPr>
        <w:t>M</w:t>
      </w:r>
      <w:r w:rsidR="00D74077" w:rsidRPr="002130C0">
        <w:rPr>
          <w:rStyle w:val="citation"/>
          <w:rFonts w:cstheme="minorHAnsi"/>
          <w:color w:val="000000"/>
        </w:rPr>
        <w:t xml:space="preserve">igration and the </w:t>
      </w:r>
      <w:r w:rsidR="00C30C9E" w:rsidRPr="002130C0">
        <w:rPr>
          <w:rStyle w:val="citation"/>
          <w:rFonts w:cstheme="minorHAnsi"/>
          <w:color w:val="000000"/>
        </w:rPr>
        <w:t>V</w:t>
      </w:r>
      <w:r w:rsidR="00D74077" w:rsidRPr="002130C0">
        <w:rPr>
          <w:rStyle w:val="citation"/>
          <w:rFonts w:cstheme="minorHAnsi"/>
          <w:color w:val="000000"/>
        </w:rPr>
        <w:t xml:space="preserve">aluation of </w:t>
      </w:r>
      <w:r w:rsidR="00C30C9E" w:rsidRPr="002130C0">
        <w:rPr>
          <w:rStyle w:val="citation"/>
          <w:rFonts w:cstheme="minorHAnsi"/>
          <w:color w:val="000000"/>
        </w:rPr>
        <w:t>C</w:t>
      </w:r>
      <w:r w:rsidR="00D74077" w:rsidRPr="002130C0">
        <w:rPr>
          <w:rStyle w:val="citation"/>
          <w:rFonts w:cstheme="minorHAnsi"/>
          <w:color w:val="000000"/>
        </w:rPr>
        <w:t>are in the European Union</w:t>
      </w:r>
      <w:r w:rsidR="00BA4802">
        <w:rPr>
          <w:rStyle w:val="citation"/>
          <w:rFonts w:cstheme="minorHAnsi"/>
          <w:color w:val="000000"/>
        </w:rPr>
        <w:t>’</w:t>
      </w:r>
      <w:r w:rsidR="00BE5771" w:rsidRPr="002130C0">
        <w:rPr>
          <w:rStyle w:val="citation"/>
          <w:rFonts w:cstheme="minorHAnsi"/>
          <w:color w:val="000000"/>
        </w:rPr>
        <w:t xml:space="preserve"> </w:t>
      </w:r>
      <w:r w:rsidR="0081022A">
        <w:rPr>
          <w:rStyle w:val="citation"/>
          <w:rFonts w:cstheme="minorHAnsi"/>
          <w:color w:val="000000"/>
        </w:rPr>
        <w:t>(</w:t>
      </w:r>
      <w:r w:rsidR="00BE5771" w:rsidRPr="002130C0">
        <w:rPr>
          <w:rStyle w:val="citation"/>
          <w:rFonts w:cstheme="minorHAnsi"/>
          <w:color w:val="000000"/>
        </w:rPr>
        <w:t>2004</w:t>
      </w:r>
      <w:r w:rsidR="0081022A">
        <w:rPr>
          <w:rStyle w:val="citation"/>
          <w:rFonts w:cstheme="minorHAnsi"/>
          <w:color w:val="000000"/>
        </w:rPr>
        <w:t>)</w:t>
      </w:r>
      <w:r w:rsidR="00D74077" w:rsidRPr="002130C0">
        <w:rPr>
          <w:rStyle w:val="citation"/>
          <w:rFonts w:cstheme="minorHAnsi"/>
          <w:color w:val="000000"/>
        </w:rPr>
        <w:t> </w:t>
      </w:r>
      <w:r w:rsidR="00D74077" w:rsidRPr="002130C0">
        <w:rPr>
          <w:rStyle w:val="Emphasis"/>
          <w:rFonts w:cstheme="minorHAnsi"/>
          <w:color w:val="000000"/>
        </w:rPr>
        <w:t>Journal of Ethnic and Migration Studies</w:t>
      </w:r>
      <w:r w:rsidR="00D74077" w:rsidRPr="002130C0">
        <w:rPr>
          <w:rStyle w:val="citation"/>
          <w:rFonts w:cstheme="minorHAnsi"/>
          <w:color w:val="000000"/>
        </w:rPr>
        <w:t> </w:t>
      </w:r>
      <w:r w:rsidR="00C30C9E" w:rsidRPr="002130C0">
        <w:rPr>
          <w:rStyle w:val="citation"/>
          <w:rFonts w:cstheme="minorHAnsi"/>
          <w:color w:val="000000"/>
        </w:rPr>
        <w:t>30(2)</w:t>
      </w:r>
      <w:r w:rsidR="00BA4802">
        <w:rPr>
          <w:rStyle w:val="citation"/>
          <w:rFonts w:cstheme="minorHAnsi"/>
          <w:color w:val="000000"/>
        </w:rPr>
        <w:t>,</w:t>
      </w:r>
      <w:r w:rsidR="00C30C9E" w:rsidRPr="002130C0">
        <w:rPr>
          <w:rStyle w:val="citation"/>
          <w:rFonts w:cstheme="minorHAnsi"/>
          <w:color w:val="000000"/>
        </w:rPr>
        <w:t xml:space="preserve"> </w:t>
      </w:r>
      <w:r w:rsidR="00D74077" w:rsidRPr="002130C0">
        <w:rPr>
          <w:rStyle w:val="citation"/>
          <w:rFonts w:cstheme="minorHAnsi"/>
          <w:color w:val="000000"/>
        </w:rPr>
        <w:t>373</w:t>
      </w:r>
      <w:r w:rsidR="0081022A">
        <w:rPr>
          <w:rStyle w:val="citation"/>
          <w:rFonts w:cstheme="minorHAnsi"/>
          <w:color w:val="000000"/>
        </w:rPr>
        <w:t>-</w:t>
      </w:r>
      <w:r w:rsidR="00D74077" w:rsidRPr="002130C0">
        <w:rPr>
          <w:rStyle w:val="citation"/>
          <w:rFonts w:cstheme="minorHAnsi"/>
          <w:color w:val="000000"/>
        </w:rPr>
        <w:t>396</w:t>
      </w:r>
      <w:r w:rsidR="00BE5771" w:rsidRPr="002130C0">
        <w:rPr>
          <w:rStyle w:val="citation"/>
          <w:rFonts w:cstheme="minorHAnsi"/>
          <w:color w:val="000000"/>
        </w:rPr>
        <w:t>,</w:t>
      </w:r>
      <w:r w:rsidR="00D74077" w:rsidRPr="002130C0">
        <w:rPr>
          <w:rStyle w:val="citation"/>
          <w:rFonts w:cstheme="minorHAnsi"/>
          <w:color w:val="000000"/>
        </w:rPr>
        <w:t xml:space="preserve"> 391</w:t>
      </w:r>
      <w:r w:rsidR="00BA4802">
        <w:rPr>
          <w:rStyle w:val="citation"/>
          <w:rFonts w:cstheme="minorHAnsi"/>
          <w:color w:val="000000"/>
        </w:rPr>
        <w:t>;</w:t>
      </w:r>
      <w:r w:rsidR="00D74077" w:rsidRPr="002130C0">
        <w:rPr>
          <w:rStyle w:val="citation"/>
          <w:rFonts w:cstheme="minorHAnsi"/>
          <w:color w:val="000000"/>
        </w:rPr>
        <w:t xml:space="preserve"> </w:t>
      </w:r>
      <w:r w:rsidR="00AD1050" w:rsidRPr="002130C0">
        <w:rPr>
          <w:rStyle w:val="citation"/>
          <w:rFonts w:cstheme="minorHAnsi"/>
          <w:color w:val="000000"/>
        </w:rPr>
        <w:t>Dimitr</w:t>
      </w:r>
      <w:r w:rsidR="004274E2" w:rsidRPr="002130C0">
        <w:rPr>
          <w:rStyle w:val="citation"/>
          <w:rFonts w:cstheme="minorHAnsi"/>
          <w:color w:val="000000"/>
        </w:rPr>
        <w:t>y</w:t>
      </w:r>
      <w:r w:rsidR="00AD1050" w:rsidRPr="002130C0">
        <w:rPr>
          <w:rStyle w:val="citation"/>
          <w:rFonts w:cstheme="minorHAnsi"/>
          <w:color w:val="000000"/>
        </w:rPr>
        <w:t xml:space="preserve"> </w:t>
      </w:r>
      <w:proofErr w:type="spellStart"/>
      <w:r w:rsidR="00462BA7" w:rsidRPr="002130C0">
        <w:rPr>
          <w:rFonts w:cstheme="minorHAnsi"/>
          <w:color w:val="000000"/>
        </w:rPr>
        <w:t>Kochenov</w:t>
      </w:r>
      <w:proofErr w:type="spellEnd"/>
      <w:r w:rsidR="00D06320" w:rsidRPr="002130C0">
        <w:rPr>
          <w:rFonts w:cstheme="minorHAnsi"/>
          <w:color w:val="000000"/>
        </w:rPr>
        <w:t>,</w:t>
      </w:r>
      <w:r w:rsidR="00462BA7" w:rsidRPr="002130C0">
        <w:rPr>
          <w:rFonts w:cstheme="minorHAnsi"/>
          <w:color w:val="000000"/>
        </w:rPr>
        <w:t xml:space="preserve"> </w:t>
      </w:r>
      <w:r w:rsidR="00D06320" w:rsidRPr="002130C0">
        <w:rPr>
          <w:rFonts w:cstheme="minorHAnsi"/>
          <w:color w:val="000000"/>
        </w:rPr>
        <w:t>‘</w:t>
      </w:r>
      <w:r w:rsidR="00462BA7" w:rsidRPr="002130C0">
        <w:rPr>
          <w:rFonts w:cstheme="minorHAnsi"/>
          <w:i/>
          <w:iCs/>
          <w:color w:val="000000"/>
        </w:rPr>
        <w:t xml:space="preserve">Ius </w:t>
      </w:r>
      <w:proofErr w:type="spellStart"/>
      <w:r w:rsidR="00462BA7" w:rsidRPr="002130C0">
        <w:rPr>
          <w:rFonts w:cstheme="minorHAnsi"/>
          <w:i/>
          <w:iCs/>
          <w:color w:val="000000"/>
        </w:rPr>
        <w:t>tractum</w:t>
      </w:r>
      <w:proofErr w:type="spellEnd"/>
      <w:r w:rsidR="00462BA7" w:rsidRPr="002130C0">
        <w:rPr>
          <w:rFonts w:cstheme="minorHAnsi"/>
          <w:color w:val="000000"/>
        </w:rPr>
        <w:t xml:space="preserve"> of </w:t>
      </w:r>
      <w:r w:rsidR="00C30C9E" w:rsidRPr="002130C0">
        <w:rPr>
          <w:rFonts w:cstheme="minorHAnsi"/>
          <w:color w:val="000000"/>
        </w:rPr>
        <w:t>M</w:t>
      </w:r>
      <w:r w:rsidR="00462BA7" w:rsidRPr="002130C0">
        <w:rPr>
          <w:rFonts w:cstheme="minorHAnsi"/>
          <w:color w:val="000000"/>
        </w:rPr>
        <w:t xml:space="preserve">any </w:t>
      </w:r>
      <w:r w:rsidR="00C30C9E" w:rsidRPr="002130C0">
        <w:rPr>
          <w:rFonts w:cstheme="minorHAnsi"/>
          <w:color w:val="000000"/>
        </w:rPr>
        <w:t>F</w:t>
      </w:r>
      <w:r w:rsidR="00462BA7" w:rsidRPr="002130C0">
        <w:rPr>
          <w:rFonts w:cstheme="minorHAnsi"/>
          <w:color w:val="000000"/>
        </w:rPr>
        <w:t xml:space="preserve">aces: European </w:t>
      </w:r>
      <w:r w:rsidR="00C30C9E" w:rsidRPr="002130C0">
        <w:rPr>
          <w:rFonts w:cstheme="minorHAnsi"/>
          <w:color w:val="000000"/>
        </w:rPr>
        <w:t>C</w:t>
      </w:r>
      <w:r w:rsidR="00462BA7" w:rsidRPr="002130C0">
        <w:rPr>
          <w:rFonts w:cstheme="minorHAnsi"/>
          <w:color w:val="000000"/>
        </w:rPr>
        <w:t xml:space="preserve">itizenship and the </w:t>
      </w:r>
      <w:r w:rsidR="00C30C9E" w:rsidRPr="002130C0">
        <w:rPr>
          <w:rFonts w:cstheme="minorHAnsi"/>
          <w:color w:val="000000"/>
        </w:rPr>
        <w:t>D</w:t>
      </w:r>
      <w:r w:rsidR="00462BA7" w:rsidRPr="002130C0">
        <w:rPr>
          <w:rFonts w:cstheme="minorHAnsi"/>
          <w:color w:val="000000"/>
        </w:rPr>
        <w:t xml:space="preserve">ifficult </w:t>
      </w:r>
      <w:r w:rsidR="00C30C9E" w:rsidRPr="002130C0">
        <w:rPr>
          <w:rFonts w:cstheme="minorHAnsi"/>
          <w:color w:val="000000"/>
        </w:rPr>
        <w:t>R</w:t>
      </w:r>
      <w:r w:rsidR="00462BA7" w:rsidRPr="002130C0">
        <w:rPr>
          <w:rFonts w:cstheme="minorHAnsi"/>
          <w:color w:val="000000"/>
        </w:rPr>
        <w:t xml:space="preserve">elationship </w:t>
      </w:r>
      <w:r w:rsidR="00C30C9E" w:rsidRPr="002130C0">
        <w:rPr>
          <w:rFonts w:cstheme="minorHAnsi"/>
          <w:color w:val="000000"/>
        </w:rPr>
        <w:t>B</w:t>
      </w:r>
      <w:r w:rsidR="00462BA7" w:rsidRPr="002130C0">
        <w:rPr>
          <w:rFonts w:cstheme="minorHAnsi"/>
          <w:color w:val="000000"/>
        </w:rPr>
        <w:t xml:space="preserve">etween </w:t>
      </w:r>
      <w:r w:rsidR="00C30C9E" w:rsidRPr="002130C0">
        <w:rPr>
          <w:rFonts w:cstheme="minorHAnsi"/>
          <w:color w:val="000000"/>
        </w:rPr>
        <w:t>S</w:t>
      </w:r>
      <w:r w:rsidR="00462BA7" w:rsidRPr="002130C0">
        <w:rPr>
          <w:rFonts w:cstheme="minorHAnsi"/>
          <w:color w:val="000000"/>
        </w:rPr>
        <w:t xml:space="preserve">tatus and </w:t>
      </w:r>
      <w:r w:rsidR="00C30C9E" w:rsidRPr="002130C0">
        <w:rPr>
          <w:rFonts w:cstheme="minorHAnsi"/>
          <w:color w:val="000000"/>
        </w:rPr>
        <w:t>R</w:t>
      </w:r>
      <w:r w:rsidR="00462BA7" w:rsidRPr="002130C0">
        <w:rPr>
          <w:rFonts w:cstheme="minorHAnsi"/>
          <w:color w:val="000000"/>
        </w:rPr>
        <w:t>ights</w:t>
      </w:r>
      <w:r w:rsidR="00D06320" w:rsidRPr="002130C0">
        <w:rPr>
          <w:rFonts w:cstheme="minorHAnsi"/>
          <w:color w:val="000000"/>
        </w:rPr>
        <w:t>’</w:t>
      </w:r>
      <w:r w:rsidR="00AC1BEA">
        <w:rPr>
          <w:rFonts w:cstheme="minorHAnsi"/>
          <w:color w:val="000000"/>
        </w:rPr>
        <w:t xml:space="preserve"> (2009)</w:t>
      </w:r>
      <w:r w:rsidR="00BE5771" w:rsidRPr="002130C0">
        <w:rPr>
          <w:rFonts w:cstheme="minorHAnsi"/>
          <w:color w:val="000000"/>
        </w:rPr>
        <w:t xml:space="preserve"> </w:t>
      </w:r>
      <w:r w:rsidR="00462BA7" w:rsidRPr="002130C0">
        <w:rPr>
          <w:rStyle w:val="Emphasis"/>
          <w:rFonts w:cstheme="minorHAnsi"/>
          <w:color w:val="000000"/>
        </w:rPr>
        <w:t>Columbia Journal of European Law</w:t>
      </w:r>
      <w:r w:rsidR="00C30C9E" w:rsidRPr="002130C0">
        <w:rPr>
          <w:rStyle w:val="Emphasis"/>
          <w:rFonts w:cstheme="minorHAnsi"/>
          <w:i w:val="0"/>
          <w:iCs w:val="0"/>
          <w:color w:val="000000"/>
        </w:rPr>
        <w:t xml:space="preserve"> 15(2),</w:t>
      </w:r>
      <w:r w:rsidR="00462BA7" w:rsidRPr="002130C0">
        <w:rPr>
          <w:rFonts w:cstheme="minorHAnsi"/>
          <w:color w:val="000000"/>
        </w:rPr>
        <w:t> 169</w:t>
      </w:r>
      <w:r w:rsidR="00AC1BEA">
        <w:rPr>
          <w:rFonts w:cstheme="minorHAnsi"/>
          <w:color w:val="000000"/>
        </w:rPr>
        <w:t>-</w:t>
      </w:r>
      <w:r w:rsidR="00462BA7" w:rsidRPr="002130C0">
        <w:rPr>
          <w:rFonts w:cstheme="minorHAnsi"/>
          <w:color w:val="000000"/>
        </w:rPr>
        <w:t>237.</w:t>
      </w:r>
    </w:p>
  </w:footnote>
  <w:footnote w:id="95">
    <w:p w14:paraId="42D81434" w14:textId="63EC3D92" w:rsidR="00462BA7" w:rsidRPr="002130C0" w:rsidRDefault="005574B3"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Askola</w:t>
      </w:r>
      <w:proofErr w:type="spellEnd"/>
      <w:r w:rsidR="00D06320" w:rsidRPr="002130C0">
        <w:rPr>
          <w:rFonts w:cstheme="minorHAnsi"/>
        </w:rPr>
        <w:t xml:space="preserve"> </w:t>
      </w:r>
      <w:r w:rsidR="00C30C9E" w:rsidRPr="002130C0">
        <w:rPr>
          <w:rFonts w:cstheme="minorHAnsi"/>
        </w:rPr>
        <w:t>(</w:t>
      </w:r>
      <w:r w:rsidR="00403F65" w:rsidRPr="002130C0">
        <w:rPr>
          <w:rFonts w:cstheme="minorHAnsi"/>
        </w:rPr>
        <w:t>n</w:t>
      </w:r>
      <w:r w:rsidR="00205B83">
        <w:rPr>
          <w:rFonts w:cstheme="minorHAnsi"/>
        </w:rPr>
        <w:t>31</w:t>
      </w:r>
      <w:r w:rsidR="00C30C9E" w:rsidRPr="002130C0">
        <w:rPr>
          <w:rFonts w:cstheme="minorHAnsi"/>
        </w:rPr>
        <w:t>)</w:t>
      </w:r>
      <w:r w:rsidR="00B03077" w:rsidRPr="002130C0">
        <w:rPr>
          <w:rFonts w:cstheme="minorHAnsi"/>
        </w:rPr>
        <w:t>, 344.</w:t>
      </w:r>
    </w:p>
  </w:footnote>
  <w:footnote w:id="96">
    <w:p w14:paraId="540A959D" w14:textId="75BA7171" w:rsidR="0005133C" w:rsidRPr="002130C0" w:rsidRDefault="005574B3"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1F3400" w:rsidRPr="002130C0">
        <w:rPr>
          <w:rFonts w:cstheme="minorHAnsi"/>
        </w:rPr>
        <w:t xml:space="preserve">Katharine </w:t>
      </w:r>
      <w:r w:rsidR="00286A90" w:rsidRPr="002130C0">
        <w:rPr>
          <w:rFonts w:cstheme="minorHAnsi"/>
        </w:rPr>
        <w:t xml:space="preserve">Bartlett and </w:t>
      </w:r>
      <w:r w:rsidR="001F3400" w:rsidRPr="002130C0">
        <w:rPr>
          <w:rFonts w:cstheme="minorHAnsi"/>
        </w:rPr>
        <w:t>Debo</w:t>
      </w:r>
      <w:r w:rsidR="00FA0992" w:rsidRPr="002130C0">
        <w:rPr>
          <w:rFonts w:cstheme="minorHAnsi"/>
        </w:rPr>
        <w:t>r</w:t>
      </w:r>
      <w:r w:rsidR="001F3400" w:rsidRPr="002130C0">
        <w:rPr>
          <w:rFonts w:cstheme="minorHAnsi"/>
        </w:rPr>
        <w:t xml:space="preserve">ah </w:t>
      </w:r>
      <w:r w:rsidR="00286A90" w:rsidRPr="002130C0">
        <w:rPr>
          <w:rFonts w:cstheme="minorHAnsi"/>
        </w:rPr>
        <w:t>Rhode,</w:t>
      </w:r>
      <w:r w:rsidR="009B4CCB" w:rsidRPr="002130C0">
        <w:rPr>
          <w:rFonts w:cstheme="minorHAnsi"/>
        </w:rPr>
        <w:t xml:space="preserve"> </w:t>
      </w:r>
      <w:r w:rsidR="00286A90" w:rsidRPr="002130C0">
        <w:rPr>
          <w:rFonts w:cstheme="minorHAnsi"/>
          <w:i/>
          <w:iCs/>
        </w:rPr>
        <w:t>Gender and the Law: Theory, Doctrine, Commentary</w:t>
      </w:r>
      <w:r w:rsidR="00286A90" w:rsidRPr="002130C0">
        <w:rPr>
          <w:rFonts w:cstheme="minorHAnsi"/>
        </w:rPr>
        <w:t xml:space="preserve"> </w:t>
      </w:r>
      <w:r w:rsidR="00DB13AE">
        <w:rPr>
          <w:rFonts w:cstheme="minorHAnsi"/>
        </w:rPr>
        <w:t>(</w:t>
      </w:r>
      <w:r w:rsidR="00286A90" w:rsidRPr="002130C0">
        <w:rPr>
          <w:rFonts w:cstheme="minorHAnsi"/>
        </w:rPr>
        <w:t>Aspen, 2006) explain ‘formal equality is a principle of equal treatment: individuals who are alike shall be treated alike, according to their actual characterisations rather than assumptions based on sex, race, ethnicity, sexual orientation or other impermissible characteristics</w:t>
      </w:r>
      <w:r w:rsidR="00FB3AC1">
        <w:rPr>
          <w:rFonts w:cstheme="minorHAnsi"/>
        </w:rPr>
        <w:t>’</w:t>
      </w:r>
      <w:r w:rsidR="00286A90" w:rsidRPr="002130C0">
        <w:rPr>
          <w:rFonts w:cstheme="minorHAnsi"/>
        </w:rPr>
        <w:t xml:space="preserve">. </w:t>
      </w:r>
    </w:p>
  </w:footnote>
  <w:footnote w:id="97">
    <w:p w14:paraId="6D042B41" w14:textId="4809D4E9" w:rsidR="00087B77" w:rsidRPr="002130C0" w:rsidRDefault="00302422"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 xml:space="preserve">Martinez- Sala v </w:t>
      </w:r>
      <w:proofErr w:type="spellStart"/>
      <w:r w:rsidRPr="002130C0">
        <w:rPr>
          <w:rFonts w:cstheme="minorHAnsi"/>
          <w:i/>
          <w:iCs/>
        </w:rPr>
        <w:t>Freistaat</w:t>
      </w:r>
      <w:proofErr w:type="spellEnd"/>
      <w:r w:rsidRPr="002130C0">
        <w:rPr>
          <w:rFonts w:cstheme="minorHAnsi"/>
          <w:i/>
          <w:iCs/>
        </w:rPr>
        <w:t xml:space="preserve"> Bayern</w:t>
      </w:r>
      <w:r w:rsidRPr="002130C0">
        <w:rPr>
          <w:rFonts w:cstheme="minorHAnsi"/>
        </w:rPr>
        <w:t xml:space="preserve"> </w:t>
      </w:r>
      <w:r w:rsidR="00FB3AC1">
        <w:rPr>
          <w:rFonts w:cstheme="minorHAnsi"/>
        </w:rPr>
        <w:t>(</w:t>
      </w:r>
      <w:r w:rsidRPr="002130C0">
        <w:rPr>
          <w:rFonts w:cstheme="minorHAnsi"/>
          <w:lang w:val="en-US"/>
        </w:rPr>
        <w:t>Case C-85/96</w:t>
      </w:r>
      <w:r w:rsidR="00FB3AC1">
        <w:rPr>
          <w:rFonts w:cstheme="minorHAnsi"/>
          <w:lang w:val="en-US"/>
        </w:rPr>
        <w:t>)</w:t>
      </w:r>
      <w:r w:rsidR="00F874C6" w:rsidRPr="002130C0">
        <w:rPr>
          <w:rFonts w:cstheme="minorHAnsi"/>
        </w:rPr>
        <w:t>.</w:t>
      </w:r>
    </w:p>
  </w:footnote>
  <w:footnote w:id="98">
    <w:p w14:paraId="32EC43DC" w14:textId="6F17FE90" w:rsidR="004A6875" w:rsidRPr="002130C0" w:rsidRDefault="004A6875" w:rsidP="00CB68B8">
      <w:pPr>
        <w:pStyle w:val="FootnoteText"/>
        <w:rPr>
          <w:rFonts w:cstheme="minorHAnsi"/>
          <w:color w:val="000000" w:themeColor="text1"/>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Askola</w:t>
      </w:r>
      <w:proofErr w:type="spellEnd"/>
      <w:r w:rsidR="0067286B" w:rsidRPr="002130C0">
        <w:rPr>
          <w:rFonts w:cstheme="minorHAnsi"/>
        </w:rPr>
        <w:t xml:space="preserve"> (</w:t>
      </w:r>
      <w:r w:rsidR="00403F65" w:rsidRPr="002130C0">
        <w:rPr>
          <w:rFonts w:cstheme="minorHAnsi"/>
        </w:rPr>
        <w:t>n</w:t>
      </w:r>
      <w:r w:rsidR="00205B83">
        <w:rPr>
          <w:rFonts w:cstheme="minorHAnsi"/>
        </w:rPr>
        <w:t>31</w:t>
      </w:r>
      <w:r w:rsidR="0067286B" w:rsidRPr="002130C0">
        <w:rPr>
          <w:rFonts w:cstheme="minorHAnsi"/>
        </w:rPr>
        <w:t>),</w:t>
      </w:r>
      <w:r w:rsidRPr="002130C0">
        <w:rPr>
          <w:rFonts w:cstheme="minorHAnsi"/>
        </w:rPr>
        <w:t xml:space="preserve"> 344 referring to Ackers</w:t>
      </w:r>
      <w:r w:rsidR="00D56150">
        <w:rPr>
          <w:rFonts w:cstheme="minorHAnsi"/>
        </w:rPr>
        <w:t xml:space="preserve"> (1994)</w:t>
      </w:r>
      <w:r w:rsidR="0067286B" w:rsidRPr="002130C0">
        <w:rPr>
          <w:rFonts w:cstheme="minorHAnsi"/>
        </w:rPr>
        <w:t xml:space="preserve"> (</w:t>
      </w:r>
      <w:r w:rsidR="00FA0992" w:rsidRPr="002130C0">
        <w:rPr>
          <w:rFonts w:cstheme="minorHAnsi"/>
        </w:rPr>
        <w:t>n3</w:t>
      </w:r>
      <w:r w:rsidR="005D00EA">
        <w:rPr>
          <w:rFonts w:cstheme="minorHAnsi"/>
        </w:rPr>
        <w:t>6</w:t>
      </w:r>
      <w:r w:rsidR="0067286B" w:rsidRPr="002130C0">
        <w:rPr>
          <w:rFonts w:eastAsia="Times New Roman" w:cstheme="minorHAnsi"/>
          <w:lang w:eastAsia="en-GB"/>
        </w:rPr>
        <w:t>)</w:t>
      </w:r>
      <w:r w:rsidR="008B3757">
        <w:rPr>
          <w:rFonts w:eastAsia="Times New Roman" w:cstheme="minorHAnsi"/>
          <w:lang w:eastAsia="en-GB"/>
        </w:rPr>
        <w:t xml:space="preserve"> </w:t>
      </w:r>
      <w:r w:rsidR="0067286B" w:rsidRPr="002130C0">
        <w:rPr>
          <w:rFonts w:eastAsia="Times New Roman" w:cstheme="minorHAnsi"/>
          <w:lang w:eastAsia="en-GB"/>
        </w:rPr>
        <w:t>and</w:t>
      </w:r>
      <w:r w:rsidRPr="002130C0">
        <w:rPr>
          <w:rFonts w:eastAsia="Times New Roman" w:cstheme="minorHAnsi"/>
          <w:lang w:eastAsia="en-GB"/>
        </w:rPr>
        <w:t xml:space="preserve"> </w:t>
      </w:r>
      <w:r w:rsidRPr="002130C0">
        <w:rPr>
          <w:rStyle w:val="authors"/>
          <w:rFonts w:cstheme="minorHAnsi"/>
          <w:color w:val="333333"/>
          <w:shd w:val="clear" w:color="auto" w:fill="FFFFFF"/>
        </w:rPr>
        <w:t>Shutes</w:t>
      </w:r>
      <w:r w:rsidR="002E71B5">
        <w:rPr>
          <w:rStyle w:val="authors"/>
          <w:rFonts w:cstheme="minorHAnsi"/>
          <w:color w:val="333333"/>
          <w:shd w:val="clear" w:color="auto" w:fill="FFFFFF"/>
        </w:rPr>
        <w:t xml:space="preserve"> </w:t>
      </w:r>
      <w:r w:rsidRPr="002130C0">
        <w:rPr>
          <w:rStyle w:val="authors"/>
          <w:rFonts w:cstheme="minorHAnsi"/>
          <w:color w:val="333333"/>
          <w:shd w:val="clear" w:color="auto" w:fill="FFFFFF"/>
        </w:rPr>
        <w:t>and Walker</w:t>
      </w:r>
      <w:r w:rsidR="00BE0F11" w:rsidRPr="002130C0">
        <w:rPr>
          <w:rStyle w:val="authors"/>
          <w:rFonts w:cstheme="minorHAnsi"/>
          <w:color w:val="333333"/>
          <w:shd w:val="clear" w:color="auto" w:fill="FFFFFF"/>
        </w:rPr>
        <w:t xml:space="preserve"> (n</w:t>
      </w:r>
      <w:r w:rsidR="002E71B5">
        <w:rPr>
          <w:rStyle w:val="authors"/>
          <w:rFonts w:cstheme="minorHAnsi"/>
          <w:color w:val="333333"/>
          <w:shd w:val="clear" w:color="auto" w:fill="FFFFFF"/>
        </w:rPr>
        <w:t>6</w:t>
      </w:r>
      <w:r w:rsidR="008B3757">
        <w:rPr>
          <w:rStyle w:val="authors"/>
          <w:rFonts w:cstheme="minorHAnsi"/>
          <w:color w:val="333333"/>
          <w:shd w:val="clear" w:color="auto" w:fill="FFFFFF"/>
        </w:rPr>
        <w:t>9</w:t>
      </w:r>
      <w:r w:rsidR="00BE0F11" w:rsidRPr="002130C0">
        <w:rPr>
          <w:rStyle w:val="authors"/>
          <w:rFonts w:cstheme="minorHAnsi"/>
          <w:color w:val="333333"/>
          <w:shd w:val="clear" w:color="auto" w:fill="FFFFFF"/>
        </w:rPr>
        <w:t>)</w:t>
      </w:r>
      <w:r w:rsidR="00087B77" w:rsidRPr="002130C0">
        <w:rPr>
          <w:rStyle w:val="pagerange"/>
          <w:rFonts w:cstheme="minorHAnsi"/>
          <w:color w:val="333333"/>
          <w:shd w:val="clear" w:color="auto" w:fill="FFFFFF"/>
        </w:rPr>
        <w:t xml:space="preserve">. In the UK, the </w:t>
      </w:r>
      <w:r w:rsidR="00087B77" w:rsidRPr="002130C0">
        <w:rPr>
          <w:rFonts w:cstheme="minorHAnsi"/>
        </w:rPr>
        <w:t>House of Commons Library</w:t>
      </w:r>
      <w:r w:rsidR="0067286B" w:rsidRPr="002130C0">
        <w:rPr>
          <w:rFonts w:cstheme="minorHAnsi"/>
        </w:rPr>
        <w:t xml:space="preserve">, </w:t>
      </w:r>
      <w:r w:rsidR="0067286B" w:rsidRPr="00D56150">
        <w:rPr>
          <w:rFonts w:cstheme="minorHAnsi"/>
          <w:i/>
          <w:iCs/>
        </w:rPr>
        <w:t>Women and the UK Economy Report</w:t>
      </w:r>
      <w:r w:rsidR="00087B77" w:rsidRPr="002130C0">
        <w:rPr>
          <w:rFonts w:cstheme="minorHAnsi"/>
        </w:rPr>
        <w:t xml:space="preserve"> (2023), </w:t>
      </w:r>
      <w:r w:rsidR="0067286B" w:rsidRPr="002130C0">
        <w:rPr>
          <w:rFonts w:cstheme="minorHAnsi"/>
        </w:rPr>
        <w:t xml:space="preserve"> available </w:t>
      </w:r>
      <w:r w:rsidR="0067286B" w:rsidRPr="002130C0">
        <w:rPr>
          <w:rFonts w:cstheme="minorHAnsi"/>
          <w:color w:val="000000" w:themeColor="text1"/>
        </w:rPr>
        <w:t xml:space="preserve">at </w:t>
      </w:r>
      <w:r w:rsidR="00087B77" w:rsidRPr="002130C0">
        <w:rPr>
          <w:rFonts w:cstheme="minorHAnsi"/>
          <w:color w:val="000000" w:themeColor="text1"/>
        </w:rPr>
        <w:t xml:space="preserve"> </w:t>
      </w:r>
      <w:hyperlink r:id="rId19" w:history="1">
        <w:r w:rsidR="00087B77" w:rsidRPr="002130C0">
          <w:rPr>
            <w:rFonts w:cstheme="minorHAnsi"/>
            <w:color w:val="000000" w:themeColor="text1"/>
            <w:u w:val="single"/>
          </w:rPr>
          <w:t>SN06838.pdf (parliament.uk)</w:t>
        </w:r>
      </w:hyperlink>
      <w:r w:rsidR="00D56150">
        <w:rPr>
          <w:rFonts w:cstheme="minorHAnsi"/>
          <w:color w:val="000000" w:themeColor="text1"/>
        </w:rPr>
        <w:t xml:space="preserve">, </w:t>
      </w:r>
      <w:r w:rsidR="00087B77" w:rsidRPr="002130C0">
        <w:rPr>
          <w:rFonts w:cstheme="minorHAnsi"/>
          <w:color w:val="000000" w:themeColor="text1"/>
        </w:rPr>
        <w:t xml:space="preserve">4 states that </w:t>
      </w:r>
      <w:r w:rsidR="0067286B" w:rsidRPr="002130C0">
        <w:rPr>
          <w:rFonts w:cstheme="minorHAnsi"/>
          <w:color w:val="000000" w:themeColor="text1"/>
        </w:rPr>
        <w:t>‘</w:t>
      </w:r>
      <w:r w:rsidR="00087B77" w:rsidRPr="002130C0">
        <w:rPr>
          <w:rFonts w:cstheme="minorHAnsi"/>
          <w:color w:val="000000" w:themeColor="text1"/>
        </w:rPr>
        <w:t>overall the female employment rate for ages 16-64 was 72.3% compared to 79% of men</w:t>
      </w:r>
      <w:r w:rsidR="0067286B" w:rsidRPr="002130C0">
        <w:rPr>
          <w:rFonts w:cstheme="minorHAnsi"/>
          <w:color w:val="000000" w:themeColor="text1"/>
        </w:rPr>
        <w:t>’</w:t>
      </w:r>
      <w:r w:rsidR="00087B77" w:rsidRPr="002130C0">
        <w:rPr>
          <w:rFonts w:cstheme="minorHAnsi"/>
          <w:color w:val="000000" w:themeColor="text1"/>
        </w:rPr>
        <w:t>. However women were much more likely to work part time due to caring responsibilities according to the Fawcett Society</w:t>
      </w:r>
      <w:r w:rsidR="00FB5876">
        <w:rPr>
          <w:rFonts w:cstheme="minorHAnsi"/>
          <w:color w:val="000000" w:themeColor="text1"/>
        </w:rPr>
        <w:t xml:space="preserve">, </w:t>
      </w:r>
      <w:r w:rsidR="00087B77" w:rsidRPr="00D56150">
        <w:rPr>
          <w:rFonts w:cstheme="minorHAnsi"/>
          <w:i/>
          <w:iCs/>
          <w:color w:val="000000" w:themeColor="text1"/>
        </w:rPr>
        <w:t xml:space="preserve">Gender Pay Gap </w:t>
      </w:r>
      <w:r w:rsidR="0067286B" w:rsidRPr="00D56150">
        <w:rPr>
          <w:rFonts w:cstheme="minorHAnsi"/>
          <w:i/>
          <w:iCs/>
          <w:color w:val="000000" w:themeColor="text1"/>
        </w:rPr>
        <w:t>R</w:t>
      </w:r>
      <w:r w:rsidR="00087B77" w:rsidRPr="00D56150">
        <w:rPr>
          <w:rFonts w:cstheme="minorHAnsi"/>
          <w:i/>
          <w:iCs/>
          <w:color w:val="000000" w:themeColor="text1"/>
        </w:rPr>
        <w:t>eport</w:t>
      </w:r>
      <w:r w:rsidR="00087B77" w:rsidRPr="002130C0">
        <w:rPr>
          <w:rFonts w:cstheme="minorHAnsi"/>
          <w:color w:val="000000" w:themeColor="text1"/>
        </w:rPr>
        <w:t xml:space="preserve"> </w:t>
      </w:r>
      <w:r w:rsidR="0067286B" w:rsidRPr="002130C0">
        <w:rPr>
          <w:rFonts w:cstheme="minorHAnsi"/>
          <w:color w:val="000000" w:themeColor="text1"/>
        </w:rPr>
        <w:t xml:space="preserve">(2020) </w:t>
      </w:r>
      <w:r w:rsidR="00087B77" w:rsidRPr="002130C0">
        <w:rPr>
          <w:rFonts w:cstheme="minorHAnsi"/>
          <w:color w:val="000000" w:themeColor="text1"/>
        </w:rPr>
        <w:t xml:space="preserve">available at </w:t>
      </w:r>
      <w:hyperlink r:id="rId20" w:history="1">
        <w:r w:rsidR="00087B77" w:rsidRPr="002130C0">
          <w:rPr>
            <w:rStyle w:val="Hyperlink"/>
            <w:rFonts w:eastAsia="Times New Roman" w:cstheme="minorHAnsi"/>
            <w:color w:val="000000" w:themeColor="text1"/>
            <w:lang w:eastAsia="en-GB"/>
          </w:rPr>
          <w:t>https://www.fawcettsociety.org.uk/pages/news/category/gender-pay-gap</w:t>
        </w:r>
      </w:hyperlink>
      <w:r w:rsidR="00087B77" w:rsidRPr="002130C0">
        <w:rPr>
          <w:rFonts w:eastAsia="Times New Roman" w:cstheme="minorHAnsi"/>
          <w:color w:val="000000" w:themeColor="text1"/>
          <w:lang w:eastAsia="en-GB"/>
        </w:rPr>
        <w:t xml:space="preserve"> </w:t>
      </w:r>
      <w:r w:rsidR="0067286B" w:rsidRPr="002130C0">
        <w:rPr>
          <w:rFonts w:eastAsia="Times New Roman" w:cstheme="minorHAnsi"/>
          <w:color w:val="000000" w:themeColor="text1"/>
          <w:lang w:eastAsia="en-GB"/>
        </w:rPr>
        <w:t xml:space="preserve">which states that women </w:t>
      </w:r>
      <w:r w:rsidR="00087B77" w:rsidRPr="002130C0">
        <w:rPr>
          <w:rFonts w:eastAsia="Times New Roman" w:cstheme="minorHAnsi"/>
          <w:color w:val="000000" w:themeColor="text1"/>
          <w:lang w:eastAsia="en-GB"/>
        </w:rPr>
        <w:t xml:space="preserve">comprise 73% of part time employees. </w:t>
      </w:r>
    </w:p>
  </w:footnote>
  <w:footnote w:id="99">
    <w:p w14:paraId="54468409" w14:textId="063F22BE" w:rsidR="001D14AE" w:rsidRPr="002130C0" w:rsidRDefault="004A6875" w:rsidP="00CB68B8">
      <w:pPr>
        <w:spacing w:after="0" w:line="240" w:lineRule="auto"/>
        <w:rPr>
          <w:rFonts w:cstheme="minorHAnsi"/>
          <w:color w:val="000000" w:themeColor="text1"/>
          <w:sz w:val="20"/>
          <w:szCs w:val="20"/>
        </w:rPr>
      </w:pPr>
      <w:r w:rsidRPr="002130C0">
        <w:rPr>
          <w:rStyle w:val="FootnoteReference"/>
          <w:rFonts w:cstheme="minorHAnsi"/>
          <w:color w:val="000000" w:themeColor="text1"/>
          <w:sz w:val="20"/>
          <w:szCs w:val="20"/>
        </w:rPr>
        <w:footnoteRef/>
      </w:r>
      <w:r w:rsidRPr="002130C0">
        <w:rPr>
          <w:rFonts w:cstheme="minorHAnsi"/>
          <w:color w:val="000000" w:themeColor="text1"/>
          <w:sz w:val="20"/>
          <w:szCs w:val="20"/>
        </w:rPr>
        <w:t xml:space="preserve"> </w:t>
      </w:r>
      <w:r w:rsidR="00DA4963" w:rsidRPr="002130C0">
        <w:rPr>
          <w:rFonts w:cstheme="minorHAnsi"/>
          <w:color w:val="000000" w:themeColor="text1"/>
          <w:sz w:val="20"/>
          <w:szCs w:val="20"/>
        </w:rPr>
        <w:t>Cath</w:t>
      </w:r>
      <w:r w:rsidR="00D56150">
        <w:rPr>
          <w:rFonts w:cstheme="minorHAnsi"/>
          <w:color w:val="000000" w:themeColor="text1"/>
          <w:sz w:val="20"/>
          <w:szCs w:val="20"/>
        </w:rPr>
        <w:t>a</w:t>
      </w:r>
      <w:r w:rsidR="00DA4963" w:rsidRPr="002130C0">
        <w:rPr>
          <w:rFonts w:cstheme="minorHAnsi"/>
          <w:color w:val="000000" w:themeColor="text1"/>
          <w:sz w:val="20"/>
          <w:szCs w:val="20"/>
        </w:rPr>
        <w:t xml:space="preserve">rine </w:t>
      </w:r>
      <w:r w:rsidRPr="002130C0">
        <w:rPr>
          <w:rFonts w:cstheme="minorHAnsi"/>
          <w:color w:val="000000" w:themeColor="text1"/>
          <w:sz w:val="20"/>
          <w:szCs w:val="20"/>
        </w:rPr>
        <w:t xml:space="preserve">MacKinnon, </w:t>
      </w:r>
      <w:r w:rsidRPr="002130C0">
        <w:rPr>
          <w:rFonts w:cstheme="minorHAnsi"/>
          <w:i/>
          <w:iCs/>
          <w:color w:val="000000" w:themeColor="text1"/>
          <w:sz w:val="20"/>
          <w:szCs w:val="20"/>
        </w:rPr>
        <w:t xml:space="preserve">Women’s Lives, Men’s Laws </w:t>
      </w:r>
      <w:r w:rsidRPr="002130C0">
        <w:rPr>
          <w:rFonts w:cstheme="minorHAnsi"/>
          <w:color w:val="000000" w:themeColor="text1"/>
          <w:sz w:val="20"/>
          <w:szCs w:val="20"/>
        </w:rPr>
        <w:t>(Harvard University Press, 2007)</w:t>
      </w:r>
      <w:r w:rsidR="001A7E97">
        <w:rPr>
          <w:rFonts w:cstheme="minorHAnsi"/>
          <w:color w:val="000000" w:themeColor="text1"/>
          <w:sz w:val="20"/>
          <w:szCs w:val="20"/>
        </w:rPr>
        <w:t>,</w:t>
      </w:r>
      <w:r w:rsidRPr="002130C0">
        <w:rPr>
          <w:rFonts w:cstheme="minorHAnsi"/>
          <w:color w:val="000000" w:themeColor="text1"/>
          <w:sz w:val="20"/>
          <w:szCs w:val="20"/>
        </w:rPr>
        <w:t xml:space="preserve"> 33.</w:t>
      </w:r>
    </w:p>
  </w:footnote>
  <w:footnote w:id="100">
    <w:p w14:paraId="59379849" w14:textId="42B5FB2D" w:rsidR="004E6643" w:rsidRPr="002130C0" w:rsidRDefault="004E6643"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rPr>
        <w:t xml:space="preserve"> </w:t>
      </w:r>
      <w:r w:rsidR="00196946">
        <w:rPr>
          <w:rFonts w:cstheme="minorHAnsi"/>
          <w:color w:val="000000" w:themeColor="text1"/>
        </w:rPr>
        <w:t>EU Fundamental Rights Agency (</w:t>
      </w:r>
      <w:r w:rsidR="005324D0">
        <w:rPr>
          <w:rFonts w:cstheme="minorHAnsi"/>
          <w:color w:val="000000" w:themeColor="text1"/>
        </w:rPr>
        <w:t>n71</w:t>
      </w:r>
      <w:r w:rsidR="00196946">
        <w:rPr>
          <w:rFonts w:cstheme="minorHAnsi"/>
          <w:color w:val="000000" w:themeColor="text1"/>
        </w:rPr>
        <w:t>)</w:t>
      </w:r>
      <w:r w:rsidRPr="002130C0">
        <w:rPr>
          <w:rFonts w:cstheme="minorHAnsi"/>
          <w:color w:val="000000" w:themeColor="text1"/>
        </w:rPr>
        <w:t>.</w:t>
      </w:r>
    </w:p>
  </w:footnote>
  <w:footnote w:id="101">
    <w:p w14:paraId="0E262C60" w14:textId="60F252AB" w:rsidR="00893638" w:rsidRPr="002130C0" w:rsidRDefault="00893638" w:rsidP="00CB68B8">
      <w:pPr>
        <w:pStyle w:val="FootnoteText"/>
        <w:rPr>
          <w:rFonts w:cstheme="minorHAnsi"/>
          <w:color w:val="000000" w:themeColor="text1"/>
        </w:rPr>
      </w:pPr>
      <w:r w:rsidRPr="002130C0">
        <w:rPr>
          <w:rStyle w:val="FootnoteReference"/>
          <w:rFonts w:cstheme="minorHAnsi"/>
        </w:rPr>
        <w:footnoteRef/>
      </w:r>
      <w:r w:rsidRPr="002130C0">
        <w:rPr>
          <w:rFonts w:cstheme="minorHAnsi"/>
        </w:rPr>
        <w:t xml:space="preserve"> </w:t>
      </w:r>
      <w:r w:rsidR="00CC5AD9" w:rsidRPr="002130C0">
        <w:rPr>
          <w:rFonts w:eastAsiaTheme="minorEastAsia" w:cstheme="minorHAnsi"/>
          <w:kern w:val="24"/>
        </w:rPr>
        <w:t xml:space="preserve">Citizenship Directive </w:t>
      </w:r>
      <w:r w:rsidR="00CC3B23" w:rsidRPr="002130C0">
        <w:rPr>
          <w:rFonts w:eastAsiaTheme="minorEastAsia" w:cstheme="minorHAnsi"/>
          <w:kern w:val="24"/>
        </w:rPr>
        <w:t>(n</w:t>
      </w:r>
      <w:r w:rsidR="00E001CD">
        <w:rPr>
          <w:rFonts w:eastAsiaTheme="minorEastAsia" w:cstheme="minorHAnsi"/>
          <w:kern w:val="24"/>
        </w:rPr>
        <w:t>4</w:t>
      </w:r>
      <w:r w:rsidR="00CC3B23" w:rsidRPr="002130C0">
        <w:rPr>
          <w:rFonts w:eastAsiaTheme="minorEastAsia" w:cstheme="minorHAnsi"/>
          <w:kern w:val="24"/>
        </w:rPr>
        <w:t>),</w:t>
      </w:r>
      <w:r w:rsidR="00CC5AD9" w:rsidRPr="002130C0">
        <w:rPr>
          <w:rFonts w:eastAsiaTheme="minorEastAsia" w:cstheme="minorHAnsi"/>
          <w:kern w:val="24"/>
        </w:rPr>
        <w:t xml:space="preserve"> </w:t>
      </w:r>
      <w:r w:rsidR="00CC3B23" w:rsidRPr="002130C0">
        <w:rPr>
          <w:rFonts w:eastAsiaTheme="minorEastAsia" w:cstheme="minorHAnsi"/>
          <w:kern w:val="24"/>
        </w:rPr>
        <w:t>a</w:t>
      </w:r>
      <w:r w:rsidRPr="002130C0">
        <w:rPr>
          <w:rFonts w:eastAsiaTheme="minorEastAsia" w:cstheme="minorHAnsi"/>
          <w:kern w:val="24"/>
        </w:rPr>
        <w:t>rt</w:t>
      </w:r>
      <w:r w:rsidR="00780D82">
        <w:rPr>
          <w:rFonts w:eastAsiaTheme="minorEastAsia" w:cstheme="minorHAnsi"/>
          <w:kern w:val="24"/>
        </w:rPr>
        <w:t>s</w:t>
      </w:r>
      <w:r w:rsidRPr="002130C0">
        <w:rPr>
          <w:rFonts w:eastAsiaTheme="minorEastAsia" w:cstheme="minorHAnsi"/>
          <w:kern w:val="24"/>
        </w:rPr>
        <w:t xml:space="preserve"> 23 and 24</w:t>
      </w:r>
      <w:r w:rsidR="00CC5AD9" w:rsidRPr="002130C0">
        <w:rPr>
          <w:rFonts w:eastAsiaTheme="minorEastAsia" w:cstheme="minorHAnsi"/>
          <w:kern w:val="24"/>
        </w:rPr>
        <w:t>.</w:t>
      </w:r>
    </w:p>
  </w:footnote>
  <w:footnote w:id="102">
    <w:p w14:paraId="6F8AE979" w14:textId="2BE129BC" w:rsidR="005222F5" w:rsidRPr="002130C0" w:rsidRDefault="005222F5" w:rsidP="00CB68B8">
      <w:pPr>
        <w:pStyle w:val="FootnoteText"/>
        <w:rPr>
          <w:rFonts w:cstheme="minorHAnsi"/>
          <w:color w:val="000000" w:themeColor="text1"/>
          <w:lang w:val="en-US"/>
        </w:rPr>
      </w:pPr>
      <w:r w:rsidRPr="002130C0">
        <w:rPr>
          <w:rStyle w:val="FootnoteReference"/>
          <w:rFonts w:cstheme="minorHAnsi"/>
          <w:color w:val="000000" w:themeColor="text1"/>
        </w:rPr>
        <w:footnoteRef/>
      </w:r>
      <w:r w:rsidRPr="002130C0">
        <w:rPr>
          <w:rFonts w:cstheme="minorHAnsi"/>
          <w:color w:val="000000" w:themeColor="text1"/>
        </w:rPr>
        <w:t xml:space="preserve"> </w:t>
      </w:r>
      <w:proofErr w:type="spellStart"/>
      <w:r w:rsidRPr="002130C0">
        <w:rPr>
          <w:rFonts w:cstheme="minorHAnsi"/>
          <w:color w:val="000000" w:themeColor="text1"/>
          <w:lang w:val="en-US"/>
        </w:rPr>
        <w:t>Tryfonidou</w:t>
      </w:r>
      <w:proofErr w:type="spellEnd"/>
      <w:r w:rsidR="00780D82">
        <w:rPr>
          <w:rFonts w:cstheme="minorHAnsi"/>
          <w:color w:val="000000" w:themeColor="text1"/>
          <w:lang w:val="en-US"/>
        </w:rPr>
        <w:t xml:space="preserve"> (2019)</w:t>
      </w:r>
      <w:r w:rsidRPr="002130C0">
        <w:rPr>
          <w:rFonts w:cstheme="minorHAnsi"/>
          <w:color w:val="000000" w:themeColor="text1"/>
          <w:lang w:val="en-US"/>
        </w:rPr>
        <w:t xml:space="preserve"> </w:t>
      </w:r>
      <w:r w:rsidR="0067286B" w:rsidRPr="002130C0">
        <w:rPr>
          <w:rFonts w:cstheme="minorHAnsi"/>
          <w:color w:val="000000" w:themeColor="text1"/>
          <w:lang w:val="en-US"/>
        </w:rPr>
        <w:t>(</w:t>
      </w:r>
      <w:r w:rsidRPr="002130C0">
        <w:rPr>
          <w:rFonts w:cstheme="minorHAnsi"/>
          <w:color w:val="000000" w:themeColor="text1"/>
          <w:lang w:val="en-US"/>
        </w:rPr>
        <w:t>n3</w:t>
      </w:r>
      <w:r w:rsidR="00815739">
        <w:rPr>
          <w:rFonts w:cstheme="minorHAnsi"/>
          <w:color w:val="000000" w:themeColor="text1"/>
          <w:lang w:val="en-US"/>
        </w:rPr>
        <w:t>8</w:t>
      </w:r>
      <w:r w:rsidR="0067286B" w:rsidRPr="002130C0">
        <w:rPr>
          <w:rFonts w:cstheme="minorHAnsi"/>
          <w:color w:val="000000" w:themeColor="text1"/>
          <w:lang w:val="en-US"/>
        </w:rPr>
        <w:t>)</w:t>
      </w:r>
      <w:r w:rsidRPr="002130C0">
        <w:rPr>
          <w:rFonts w:cstheme="minorHAnsi"/>
          <w:color w:val="000000" w:themeColor="text1"/>
          <w:lang w:val="en-US"/>
        </w:rPr>
        <w:t>, 242</w:t>
      </w:r>
      <w:r w:rsidR="005F1ECE" w:rsidRPr="002130C0">
        <w:rPr>
          <w:rFonts w:cstheme="minorHAnsi"/>
          <w:color w:val="000000" w:themeColor="text1"/>
          <w:lang w:val="en-US"/>
        </w:rPr>
        <w:t>.</w:t>
      </w:r>
    </w:p>
  </w:footnote>
  <w:footnote w:id="103">
    <w:p w14:paraId="1CC54B42" w14:textId="0F4D9780" w:rsidR="004D2A27" w:rsidRPr="002130C0" w:rsidRDefault="004D2A27" w:rsidP="00CB68B8">
      <w:pPr>
        <w:pStyle w:val="FootnoteText"/>
        <w:rPr>
          <w:rFonts w:cstheme="minorHAnsi"/>
          <w:color w:val="000000" w:themeColor="text1"/>
          <w:lang w:val="en-US"/>
        </w:rPr>
      </w:pPr>
      <w:r w:rsidRPr="002130C0">
        <w:rPr>
          <w:rStyle w:val="FootnoteReference"/>
          <w:rFonts w:cstheme="minorHAnsi"/>
          <w:color w:val="000000" w:themeColor="text1"/>
        </w:rPr>
        <w:footnoteRef/>
      </w:r>
      <w:r w:rsidRPr="002130C0">
        <w:rPr>
          <w:rFonts w:cstheme="minorHAnsi"/>
          <w:color w:val="000000" w:themeColor="text1"/>
        </w:rPr>
        <w:t xml:space="preserve"> </w:t>
      </w:r>
      <w:r w:rsidR="0035331D" w:rsidRPr="002130C0">
        <w:rPr>
          <w:rFonts w:cstheme="minorHAnsi"/>
          <w:color w:val="000000" w:themeColor="text1"/>
          <w:lang w:val="en-US"/>
        </w:rPr>
        <w:t>Citizenship Directive</w:t>
      </w:r>
      <w:r w:rsidR="00CC3B23" w:rsidRPr="002130C0">
        <w:rPr>
          <w:rFonts w:cstheme="minorHAnsi"/>
          <w:color w:val="000000" w:themeColor="text1"/>
          <w:lang w:val="en-US"/>
        </w:rPr>
        <w:t xml:space="preserve"> (n</w:t>
      </w:r>
      <w:r w:rsidR="00E001CD">
        <w:rPr>
          <w:rFonts w:cstheme="minorHAnsi"/>
          <w:color w:val="000000" w:themeColor="text1"/>
          <w:lang w:val="en-US"/>
        </w:rPr>
        <w:t>4</w:t>
      </w:r>
      <w:r w:rsidR="00CC3B23" w:rsidRPr="002130C0">
        <w:rPr>
          <w:rFonts w:cstheme="minorHAnsi"/>
          <w:color w:val="000000" w:themeColor="text1"/>
          <w:lang w:val="en-US"/>
        </w:rPr>
        <w:t>)</w:t>
      </w:r>
      <w:r w:rsidR="00780D82">
        <w:rPr>
          <w:rFonts w:cstheme="minorHAnsi"/>
          <w:color w:val="000000" w:themeColor="text1"/>
          <w:lang w:val="en-US"/>
        </w:rPr>
        <w:t xml:space="preserve">, </w:t>
      </w:r>
      <w:r w:rsidR="00CC3B23" w:rsidRPr="002130C0">
        <w:rPr>
          <w:rFonts w:cstheme="minorHAnsi"/>
          <w:color w:val="000000" w:themeColor="text1"/>
          <w:lang w:val="en-US"/>
        </w:rPr>
        <w:t xml:space="preserve">art </w:t>
      </w:r>
      <w:r w:rsidRPr="002130C0">
        <w:rPr>
          <w:rFonts w:cstheme="minorHAnsi"/>
          <w:color w:val="000000" w:themeColor="text1"/>
          <w:lang w:val="en-US"/>
        </w:rPr>
        <w:t>2(2).</w:t>
      </w:r>
    </w:p>
  </w:footnote>
  <w:footnote w:id="104">
    <w:p w14:paraId="7924C4C5" w14:textId="2C414EB0" w:rsidR="00647341" w:rsidRPr="002130C0" w:rsidRDefault="00647341" w:rsidP="00CB68B8">
      <w:pPr>
        <w:pStyle w:val="FootnoteText"/>
        <w:rPr>
          <w:rFonts w:cstheme="minorHAnsi"/>
          <w:color w:val="000000" w:themeColor="text1"/>
          <w:lang w:val="en-US"/>
        </w:rPr>
      </w:pPr>
      <w:r w:rsidRPr="002130C0">
        <w:rPr>
          <w:rStyle w:val="FootnoteReference"/>
          <w:rFonts w:cstheme="minorHAnsi"/>
          <w:color w:val="000000" w:themeColor="text1"/>
        </w:rPr>
        <w:footnoteRef/>
      </w:r>
      <w:r w:rsidRPr="002130C0">
        <w:rPr>
          <w:rFonts w:cstheme="minorHAnsi"/>
          <w:color w:val="000000" w:themeColor="text1"/>
        </w:rPr>
        <w:t xml:space="preserve"> </w:t>
      </w:r>
      <w:r w:rsidR="00362D4D" w:rsidRPr="002130C0">
        <w:rPr>
          <w:rFonts w:cstheme="minorHAnsi"/>
          <w:color w:val="000000" w:themeColor="text1"/>
          <w:lang w:val="en-US"/>
        </w:rPr>
        <w:t>Ibid</w:t>
      </w:r>
      <w:r w:rsidR="002273F1" w:rsidRPr="002130C0">
        <w:rPr>
          <w:rFonts w:cstheme="minorHAnsi"/>
          <w:color w:val="000000" w:themeColor="text1"/>
          <w:lang w:val="en-US"/>
        </w:rPr>
        <w:t>,</w:t>
      </w:r>
      <w:r w:rsidRPr="002130C0">
        <w:rPr>
          <w:rFonts w:cstheme="minorHAnsi"/>
          <w:color w:val="000000" w:themeColor="text1"/>
          <w:lang w:val="en-US"/>
        </w:rPr>
        <w:t xml:space="preserve"> </w:t>
      </w:r>
      <w:r w:rsidR="003E5A45" w:rsidRPr="002130C0">
        <w:rPr>
          <w:rFonts w:cstheme="minorHAnsi"/>
          <w:color w:val="000000" w:themeColor="text1"/>
          <w:lang w:val="en-US"/>
        </w:rPr>
        <w:t>a</w:t>
      </w:r>
      <w:r w:rsidRPr="002130C0">
        <w:rPr>
          <w:rFonts w:cstheme="minorHAnsi"/>
          <w:color w:val="000000" w:themeColor="text1"/>
          <w:lang w:val="en-US"/>
        </w:rPr>
        <w:t>rt 3.</w:t>
      </w:r>
    </w:p>
  </w:footnote>
  <w:footnote w:id="105">
    <w:p w14:paraId="49A8EA90" w14:textId="7F750D30" w:rsidR="00224954" w:rsidRPr="002130C0" w:rsidRDefault="00224954" w:rsidP="00CB68B8">
      <w:pPr>
        <w:spacing w:after="0" w:line="240" w:lineRule="auto"/>
        <w:outlineLvl w:val="0"/>
        <w:rPr>
          <w:rFonts w:cstheme="minorHAnsi"/>
          <w:color w:val="000000" w:themeColor="text1"/>
          <w:sz w:val="20"/>
          <w:szCs w:val="20"/>
          <w:lang w:val="en-US"/>
        </w:rPr>
      </w:pPr>
      <w:r w:rsidRPr="002130C0">
        <w:rPr>
          <w:rStyle w:val="FootnoteReference"/>
          <w:rFonts w:cstheme="minorHAnsi"/>
          <w:color w:val="000000" w:themeColor="text1"/>
          <w:sz w:val="20"/>
          <w:szCs w:val="20"/>
        </w:rPr>
        <w:footnoteRef/>
      </w:r>
      <w:r w:rsidRPr="002130C0">
        <w:rPr>
          <w:rFonts w:cstheme="minorHAnsi"/>
          <w:color w:val="000000" w:themeColor="text1"/>
          <w:sz w:val="20"/>
          <w:szCs w:val="20"/>
        </w:rPr>
        <w:t xml:space="preserve"> </w:t>
      </w:r>
      <w:r w:rsidR="00D06320" w:rsidRPr="002130C0">
        <w:rPr>
          <w:rFonts w:cstheme="minorHAnsi"/>
          <w:color w:val="000000" w:themeColor="text1"/>
          <w:sz w:val="20"/>
          <w:szCs w:val="20"/>
          <w:lang w:val="en-US"/>
        </w:rPr>
        <w:t>See for e</w:t>
      </w:r>
      <w:r w:rsidR="00780D82">
        <w:rPr>
          <w:rFonts w:cstheme="minorHAnsi"/>
          <w:color w:val="000000" w:themeColor="text1"/>
          <w:sz w:val="20"/>
          <w:szCs w:val="20"/>
          <w:lang w:val="en-US"/>
        </w:rPr>
        <w:t>xample</w:t>
      </w:r>
      <w:r w:rsidR="00D06320" w:rsidRPr="002130C0">
        <w:rPr>
          <w:rFonts w:cstheme="minorHAnsi"/>
          <w:color w:val="000000" w:themeColor="text1"/>
          <w:sz w:val="20"/>
          <w:szCs w:val="20"/>
          <w:lang w:val="en-US"/>
        </w:rPr>
        <w:t xml:space="preserve"> the debate in the European Parliament on rainbow families</w:t>
      </w:r>
      <w:r w:rsidR="00780D82">
        <w:rPr>
          <w:rFonts w:cstheme="minorHAnsi"/>
          <w:color w:val="000000" w:themeColor="text1"/>
          <w:sz w:val="20"/>
          <w:szCs w:val="20"/>
          <w:lang w:val="en-US"/>
        </w:rPr>
        <w:t>:</w:t>
      </w:r>
      <w:r w:rsidR="00D06320" w:rsidRPr="002130C0">
        <w:rPr>
          <w:rFonts w:cstheme="minorHAnsi"/>
          <w:color w:val="000000" w:themeColor="text1"/>
          <w:sz w:val="20"/>
          <w:szCs w:val="20"/>
          <w:lang w:val="en-US"/>
        </w:rPr>
        <w:t xml:space="preserve"> </w:t>
      </w:r>
      <w:r w:rsidR="00D06320" w:rsidRPr="002130C0">
        <w:rPr>
          <w:rFonts w:cstheme="minorHAnsi"/>
          <w:color w:val="000000" w:themeColor="text1"/>
          <w:sz w:val="20"/>
          <w:szCs w:val="20"/>
        </w:rPr>
        <w:t xml:space="preserve">European Parliament, </w:t>
      </w:r>
      <w:r w:rsidR="0067286B" w:rsidRPr="002130C0">
        <w:rPr>
          <w:rFonts w:cstheme="minorHAnsi"/>
          <w:color w:val="000000" w:themeColor="text1"/>
          <w:sz w:val="20"/>
          <w:szCs w:val="20"/>
        </w:rPr>
        <w:t>‘</w:t>
      </w:r>
      <w:r w:rsidR="00D06320" w:rsidRPr="002130C0">
        <w:rPr>
          <w:rFonts w:cstheme="minorHAnsi"/>
          <w:color w:val="000000" w:themeColor="text1"/>
          <w:sz w:val="20"/>
          <w:szCs w:val="20"/>
        </w:rPr>
        <w:t xml:space="preserve">Legal protection for rainbow families exercising free movement: The </w:t>
      </w:r>
      <w:r w:rsidR="00780D82">
        <w:rPr>
          <w:rFonts w:cstheme="minorHAnsi"/>
          <w:color w:val="000000" w:themeColor="text1"/>
          <w:sz w:val="20"/>
          <w:szCs w:val="20"/>
        </w:rPr>
        <w:t>“</w:t>
      </w:r>
      <w:r w:rsidR="00D06320" w:rsidRPr="002130C0">
        <w:rPr>
          <w:rFonts w:cstheme="minorHAnsi"/>
          <w:color w:val="000000" w:themeColor="text1"/>
          <w:sz w:val="20"/>
          <w:szCs w:val="20"/>
        </w:rPr>
        <w:t>Baby Sara</w:t>
      </w:r>
      <w:r w:rsidR="00780D82">
        <w:rPr>
          <w:rFonts w:cstheme="minorHAnsi"/>
          <w:color w:val="000000" w:themeColor="text1"/>
          <w:sz w:val="20"/>
          <w:szCs w:val="20"/>
        </w:rPr>
        <w:t>”</w:t>
      </w:r>
      <w:r w:rsidR="00D06320" w:rsidRPr="002130C0">
        <w:rPr>
          <w:rFonts w:cstheme="minorHAnsi"/>
          <w:color w:val="000000" w:themeColor="text1"/>
          <w:sz w:val="20"/>
          <w:szCs w:val="20"/>
        </w:rPr>
        <w:t xml:space="preserve"> case</w:t>
      </w:r>
      <w:r w:rsidR="0067286B" w:rsidRPr="002130C0">
        <w:rPr>
          <w:rFonts w:cstheme="minorHAnsi"/>
          <w:color w:val="000000" w:themeColor="text1"/>
          <w:sz w:val="20"/>
          <w:szCs w:val="20"/>
        </w:rPr>
        <w:t>’ (</w:t>
      </w:r>
      <w:r w:rsidR="00D06320" w:rsidRPr="002130C0">
        <w:rPr>
          <w:rFonts w:cstheme="minorHAnsi"/>
          <w:color w:val="000000" w:themeColor="text1"/>
          <w:sz w:val="20"/>
          <w:szCs w:val="20"/>
        </w:rPr>
        <w:t>202</w:t>
      </w:r>
      <w:r w:rsidR="0067286B" w:rsidRPr="002130C0">
        <w:rPr>
          <w:rFonts w:cstheme="minorHAnsi"/>
          <w:color w:val="000000" w:themeColor="text1"/>
          <w:sz w:val="20"/>
          <w:szCs w:val="20"/>
        </w:rPr>
        <w:t xml:space="preserve">2) available at </w:t>
      </w:r>
      <w:hyperlink r:id="rId21" w:history="1">
        <w:r w:rsidR="0067286B" w:rsidRPr="002130C0">
          <w:rPr>
            <w:rFonts w:cstheme="minorHAnsi"/>
            <w:color w:val="000000" w:themeColor="text1"/>
            <w:sz w:val="20"/>
            <w:szCs w:val="20"/>
            <w:u w:val="single"/>
          </w:rPr>
          <w:t>Legal protection for rainbow families exercising free movement: The ‘Baby Sara’ case (europa.eu)</w:t>
        </w:r>
      </w:hyperlink>
      <w:r w:rsidR="00D06320" w:rsidRPr="002130C0">
        <w:rPr>
          <w:rFonts w:cstheme="minorHAnsi"/>
          <w:color w:val="000000" w:themeColor="text1"/>
          <w:sz w:val="20"/>
          <w:szCs w:val="20"/>
        </w:rPr>
        <w:t>.</w:t>
      </w:r>
    </w:p>
  </w:footnote>
  <w:footnote w:id="106">
    <w:p w14:paraId="4ED1C351" w14:textId="5B309EB5" w:rsidR="00D534AD" w:rsidRPr="002130C0" w:rsidRDefault="00D534AD" w:rsidP="00CB68B8">
      <w:pPr>
        <w:pStyle w:val="FootnoteText"/>
        <w:rPr>
          <w:rFonts w:cstheme="minorHAnsi"/>
          <w:lang w:val="en-US"/>
        </w:rPr>
      </w:pPr>
      <w:r w:rsidRPr="002130C0">
        <w:rPr>
          <w:rStyle w:val="FootnoteReference"/>
          <w:rFonts w:cstheme="minorHAnsi"/>
          <w:color w:val="000000" w:themeColor="text1"/>
        </w:rPr>
        <w:footnoteRef/>
      </w:r>
      <w:r w:rsidRPr="002130C0">
        <w:rPr>
          <w:rFonts w:cstheme="minorHAnsi"/>
          <w:color w:val="000000" w:themeColor="text1"/>
        </w:rPr>
        <w:t xml:space="preserve"> </w:t>
      </w:r>
      <w:r w:rsidR="00CB3035" w:rsidRPr="002130C0">
        <w:rPr>
          <w:rFonts w:eastAsia="Times New Roman" w:cstheme="minorHAnsi"/>
          <w:color w:val="000000" w:themeColor="text1"/>
          <w:lang w:eastAsia="en-GB"/>
        </w:rPr>
        <w:t>Lisa D</w:t>
      </w:r>
      <w:r w:rsidRPr="002130C0">
        <w:rPr>
          <w:rFonts w:eastAsia="Times New Roman" w:cstheme="minorHAnsi"/>
          <w:color w:val="000000" w:themeColor="text1"/>
          <w:lang w:eastAsia="en-GB"/>
        </w:rPr>
        <w:t xml:space="preserve">uggan, </w:t>
      </w:r>
      <w:r w:rsidR="0067286B" w:rsidRPr="002130C0">
        <w:rPr>
          <w:rFonts w:eastAsia="Times New Roman" w:cstheme="minorHAnsi"/>
          <w:color w:val="000000" w:themeColor="text1"/>
          <w:lang w:eastAsia="en-GB"/>
        </w:rPr>
        <w:t>‘</w:t>
      </w:r>
      <w:r w:rsidRPr="002130C0">
        <w:rPr>
          <w:rFonts w:eastAsia="Times New Roman" w:cstheme="minorHAnsi"/>
          <w:color w:val="000000" w:themeColor="text1"/>
          <w:lang w:eastAsia="en-GB"/>
        </w:rPr>
        <w:t>Beyond Same Sex Marriage</w:t>
      </w:r>
      <w:r w:rsidR="0067286B" w:rsidRPr="002130C0">
        <w:rPr>
          <w:rFonts w:eastAsia="Times New Roman" w:cstheme="minorHAnsi"/>
          <w:color w:val="000000" w:themeColor="text1"/>
          <w:lang w:eastAsia="en-GB"/>
        </w:rPr>
        <w:t>’</w:t>
      </w:r>
      <w:r w:rsidRPr="002130C0">
        <w:rPr>
          <w:rFonts w:eastAsia="Times New Roman" w:cstheme="minorHAnsi"/>
          <w:color w:val="000000" w:themeColor="text1"/>
          <w:lang w:eastAsia="en-GB"/>
        </w:rPr>
        <w:t xml:space="preserve"> </w:t>
      </w:r>
      <w:r w:rsidR="00780D82">
        <w:rPr>
          <w:rFonts w:eastAsia="Times New Roman" w:cstheme="minorHAnsi"/>
          <w:color w:val="000000" w:themeColor="text1"/>
          <w:lang w:eastAsia="en-GB"/>
        </w:rPr>
        <w:t>(</w:t>
      </w:r>
      <w:r w:rsidR="0067286B" w:rsidRPr="002130C0">
        <w:rPr>
          <w:rFonts w:eastAsia="Times New Roman" w:cstheme="minorHAnsi"/>
          <w:color w:val="000000" w:themeColor="text1"/>
          <w:lang w:eastAsia="en-GB"/>
        </w:rPr>
        <w:t>2008</w:t>
      </w:r>
      <w:r w:rsidR="00780D82">
        <w:rPr>
          <w:rFonts w:eastAsia="Times New Roman" w:cstheme="minorHAnsi"/>
          <w:lang w:eastAsia="en-GB"/>
        </w:rPr>
        <w:t>)</w:t>
      </w:r>
      <w:r w:rsidRPr="002130C0">
        <w:rPr>
          <w:rFonts w:eastAsia="Times New Roman" w:cstheme="minorHAnsi"/>
          <w:lang w:eastAsia="en-GB"/>
        </w:rPr>
        <w:t xml:space="preserve"> </w:t>
      </w:r>
      <w:r w:rsidRPr="002130C0">
        <w:rPr>
          <w:rFonts w:eastAsia="Times New Roman" w:cstheme="minorHAnsi"/>
          <w:i/>
          <w:iCs/>
          <w:lang w:eastAsia="en-GB"/>
        </w:rPr>
        <w:t>Studies in Gender and Sexuality</w:t>
      </w:r>
      <w:r w:rsidRPr="002130C0">
        <w:rPr>
          <w:rFonts w:eastAsia="Times New Roman" w:cstheme="minorHAnsi"/>
          <w:lang w:eastAsia="en-GB"/>
        </w:rPr>
        <w:t xml:space="preserve"> </w:t>
      </w:r>
      <w:r w:rsidR="0067286B" w:rsidRPr="002130C0">
        <w:rPr>
          <w:rFonts w:eastAsia="Times New Roman" w:cstheme="minorHAnsi"/>
          <w:lang w:eastAsia="en-GB"/>
        </w:rPr>
        <w:t xml:space="preserve">9(2), </w:t>
      </w:r>
      <w:r w:rsidRPr="002130C0">
        <w:rPr>
          <w:rFonts w:eastAsia="Times New Roman" w:cstheme="minorHAnsi"/>
          <w:lang w:eastAsia="en-GB"/>
        </w:rPr>
        <w:t>155-157</w:t>
      </w:r>
      <w:r w:rsidR="00780D82">
        <w:rPr>
          <w:rFonts w:eastAsia="Times New Roman" w:cstheme="minorHAnsi"/>
          <w:lang w:eastAsia="en-GB"/>
        </w:rPr>
        <w:t>,</w:t>
      </w:r>
      <w:r w:rsidRPr="002130C0">
        <w:rPr>
          <w:rFonts w:eastAsia="Times New Roman" w:cstheme="minorHAnsi"/>
          <w:lang w:eastAsia="en-GB"/>
        </w:rPr>
        <w:t xml:space="preserve"> </w:t>
      </w:r>
      <w:r w:rsidRPr="002130C0">
        <w:rPr>
          <w:rFonts w:cstheme="minorHAnsi"/>
        </w:rPr>
        <w:t>156.</w:t>
      </w:r>
    </w:p>
  </w:footnote>
  <w:footnote w:id="107">
    <w:p w14:paraId="72B451CE" w14:textId="0B41B6AA" w:rsidR="00F358B1" w:rsidRPr="002130C0" w:rsidRDefault="00F358B1" w:rsidP="00CB68B8">
      <w:pPr>
        <w:pStyle w:val="FootnoteText"/>
        <w:rPr>
          <w:rFonts w:cstheme="minorHAnsi"/>
        </w:rPr>
      </w:pPr>
      <w:r w:rsidRPr="002130C0">
        <w:rPr>
          <w:rStyle w:val="FootnoteReference"/>
          <w:rFonts w:cstheme="minorHAnsi"/>
        </w:rPr>
        <w:footnoteRef/>
      </w:r>
      <w:r w:rsidRPr="002130C0">
        <w:rPr>
          <w:rFonts w:cstheme="minorHAnsi"/>
        </w:rPr>
        <w:t xml:space="preserve"> Member States have</w:t>
      </w:r>
      <w:r w:rsidR="00CE4EB3">
        <w:rPr>
          <w:rFonts w:cstheme="minorHAnsi"/>
        </w:rPr>
        <w:t>,</w:t>
      </w:r>
      <w:r w:rsidRPr="002130C0">
        <w:rPr>
          <w:rFonts w:cstheme="minorHAnsi"/>
        </w:rPr>
        <w:t xml:space="preserve"> through successive treaties </w:t>
      </w:r>
      <w:r w:rsidR="000538B8" w:rsidRPr="002130C0">
        <w:rPr>
          <w:rFonts w:cstheme="minorHAnsi"/>
        </w:rPr>
        <w:t xml:space="preserve">(starting </w:t>
      </w:r>
      <w:r w:rsidR="00F15B9B">
        <w:rPr>
          <w:rFonts w:cstheme="minorHAnsi"/>
        </w:rPr>
        <w:t>with the three original treaties from the 1950s</w:t>
      </w:r>
      <w:r w:rsidR="000538B8" w:rsidRPr="002130C0">
        <w:rPr>
          <w:rFonts w:eastAsia="Times New Roman" w:cstheme="minorHAnsi"/>
          <w:color w:val="000000"/>
          <w:lang w:eastAsia="en-GB"/>
        </w:rPr>
        <w:t xml:space="preserve"> and expanding over decades</w:t>
      </w:r>
      <w:r w:rsidR="00814FA9" w:rsidRPr="002130C0">
        <w:rPr>
          <w:rFonts w:eastAsia="Times New Roman" w:cstheme="minorHAnsi"/>
          <w:color w:val="000000"/>
          <w:lang w:eastAsia="en-GB"/>
        </w:rPr>
        <w:t xml:space="preserve"> to the more recent treaties such as the </w:t>
      </w:r>
      <w:r w:rsidR="00CE4EB3">
        <w:rPr>
          <w:rFonts w:eastAsia="Times New Roman" w:cstheme="minorHAnsi"/>
          <w:color w:val="000000"/>
          <w:lang w:eastAsia="en-GB"/>
        </w:rPr>
        <w:t xml:space="preserve">Lisbon </w:t>
      </w:r>
      <w:r w:rsidR="00814FA9" w:rsidRPr="002130C0">
        <w:rPr>
          <w:rFonts w:eastAsia="Times New Roman" w:cstheme="minorHAnsi"/>
          <w:color w:val="000000"/>
          <w:lang w:eastAsia="en-GB"/>
        </w:rPr>
        <w:t>Treaty of</w:t>
      </w:r>
      <w:r w:rsidR="00A70519" w:rsidRPr="002130C0">
        <w:rPr>
          <w:rFonts w:eastAsia="Times New Roman" w:cstheme="minorHAnsi"/>
          <w:color w:val="000000"/>
          <w:lang w:eastAsia="en-GB"/>
        </w:rPr>
        <w:t xml:space="preserve"> 2009</w:t>
      </w:r>
      <w:r w:rsidR="00CE4EB3">
        <w:rPr>
          <w:rFonts w:eastAsia="Times New Roman" w:cstheme="minorHAnsi"/>
          <w:color w:val="000000"/>
          <w:lang w:eastAsia="en-GB"/>
        </w:rPr>
        <w:t>)</w:t>
      </w:r>
      <w:r w:rsidR="00814FA9" w:rsidRPr="002130C0">
        <w:rPr>
          <w:rFonts w:eastAsia="Times New Roman" w:cstheme="minorHAnsi"/>
          <w:color w:val="000000"/>
          <w:lang w:eastAsia="en-GB"/>
        </w:rPr>
        <w:t xml:space="preserve">, </w:t>
      </w:r>
      <w:r w:rsidR="00A70519" w:rsidRPr="002130C0">
        <w:rPr>
          <w:rFonts w:eastAsia="Times New Roman" w:cstheme="minorHAnsi"/>
          <w:color w:val="000000"/>
          <w:lang w:eastAsia="en-GB"/>
        </w:rPr>
        <w:t xml:space="preserve">granted the EU more extensive competencies to act over </w:t>
      </w:r>
      <w:r w:rsidR="00791D38" w:rsidRPr="002130C0">
        <w:rPr>
          <w:rFonts w:eastAsia="Times New Roman" w:cstheme="minorHAnsi"/>
          <w:color w:val="000000"/>
          <w:lang w:eastAsia="en-GB"/>
        </w:rPr>
        <w:t>many</w:t>
      </w:r>
      <w:r w:rsidR="0045655D" w:rsidRPr="002130C0">
        <w:rPr>
          <w:rFonts w:eastAsia="Times New Roman" w:cstheme="minorHAnsi"/>
          <w:color w:val="000000"/>
          <w:lang w:eastAsia="en-GB"/>
        </w:rPr>
        <w:t xml:space="preserve"> areas. However Member States have never granted the EU competency over domestic family law (as separate from where families cross EU borders) and this is re-stated on the EU Commission website</w:t>
      </w:r>
      <w:r w:rsidR="00864516">
        <w:rPr>
          <w:rFonts w:eastAsia="Times New Roman" w:cstheme="minorHAnsi"/>
          <w:color w:val="000000"/>
          <w:lang w:eastAsia="en-GB"/>
        </w:rPr>
        <w:t>:</w:t>
      </w:r>
      <w:r w:rsidR="0045655D" w:rsidRPr="002130C0">
        <w:rPr>
          <w:rFonts w:eastAsia="Times New Roman" w:cstheme="minorHAnsi"/>
          <w:color w:val="000000"/>
          <w:lang w:eastAsia="en-GB"/>
        </w:rPr>
        <w:t xml:space="preserve"> ‘</w:t>
      </w:r>
      <w:r w:rsidR="0045655D" w:rsidRPr="002130C0">
        <w:rPr>
          <w:rFonts w:cstheme="minorHAnsi"/>
          <w:color w:val="26324B"/>
        </w:rPr>
        <w:t>Family law is the competence of EU countries, and EU rules apply only in cross-border cases’</w:t>
      </w:r>
      <w:r w:rsidR="008515A4" w:rsidRPr="002130C0">
        <w:rPr>
          <w:rFonts w:cstheme="minorHAnsi"/>
          <w:color w:val="26324B"/>
        </w:rPr>
        <w:t xml:space="preserve"> </w:t>
      </w:r>
      <w:r w:rsidR="00864516">
        <w:rPr>
          <w:rFonts w:cstheme="minorHAnsi"/>
          <w:color w:val="26324B"/>
        </w:rPr>
        <w:t>(</w:t>
      </w:r>
      <w:r w:rsidR="008515A4" w:rsidRPr="002130C0">
        <w:rPr>
          <w:rFonts w:cstheme="minorHAnsi"/>
          <w:color w:val="26324B"/>
        </w:rPr>
        <w:t>2024</w:t>
      </w:r>
      <w:r w:rsidR="00864516">
        <w:rPr>
          <w:rFonts w:cstheme="minorHAnsi"/>
          <w:color w:val="26324B"/>
        </w:rPr>
        <w:t>)</w:t>
      </w:r>
      <w:r w:rsidR="00FE60B7" w:rsidRPr="002130C0">
        <w:rPr>
          <w:rFonts w:cstheme="minorHAnsi"/>
        </w:rPr>
        <w:t xml:space="preserve"> </w:t>
      </w:r>
      <w:r w:rsidR="00C24AC4">
        <w:rPr>
          <w:rFonts w:cstheme="minorHAnsi"/>
        </w:rPr>
        <w:t xml:space="preserve">available at </w:t>
      </w:r>
      <w:hyperlink r:id="rId22" w:anchor=":~:text=event%20of%20death-,EU%2Dlevel%20family%20law%20legislation,there%20are%20cross%2Dborder%20implications." w:history="1">
        <w:r w:rsidR="00FE60B7" w:rsidRPr="002130C0">
          <w:rPr>
            <w:rFonts w:cstheme="minorHAnsi"/>
            <w:color w:val="0000FF"/>
            <w:u w:val="single"/>
          </w:rPr>
          <w:t>Overview of family matters - European Commission (europa.eu)</w:t>
        </w:r>
      </w:hyperlink>
      <w:r w:rsidR="00C24AC4">
        <w:rPr>
          <w:rFonts w:cstheme="minorHAnsi"/>
          <w:color w:val="0000FF"/>
          <w:u w:val="single"/>
        </w:rPr>
        <w:t>.</w:t>
      </w:r>
      <w:r w:rsidR="00FE60B7" w:rsidRPr="002130C0">
        <w:rPr>
          <w:rFonts w:cstheme="minorHAnsi"/>
        </w:rPr>
        <w:t xml:space="preserve"> </w:t>
      </w:r>
    </w:p>
  </w:footnote>
  <w:footnote w:id="108">
    <w:p w14:paraId="1D2CC92D" w14:textId="28C07C35" w:rsidR="00C93924" w:rsidRPr="002130C0" w:rsidRDefault="00C93924" w:rsidP="00CB68B8">
      <w:pPr>
        <w:pStyle w:val="FootnoteText"/>
        <w:rPr>
          <w:rFonts w:cstheme="minorHAnsi"/>
          <w:color w:val="202122"/>
          <w:shd w:val="clear" w:color="auto" w:fill="FFFFFF"/>
        </w:rPr>
      </w:pPr>
      <w:r w:rsidRPr="002130C0">
        <w:rPr>
          <w:rStyle w:val="FootnoteReference"/>
          <w:rFonts w:cstheme="minorHAnsi"/>
        </w:rPr>
        <w:footnoteRef/>
      </w:r>
      <w:r w:rsidRPr="002130C0">
        <w:rPr>
          <w:rFonts w:cstheme="minorHAnsi"/>
        </w:rPr>
        <w:t xml:space="preserve"> </w:t>
      </w:r>
      <w:r w:rsidR="00F1655D" w:rsidRPr="002130C0">
        <w:rPr>
          <w:rFonts w:cstheme="minorHAnsi"/>
        </w:rPr>
        <w:t xml:space="preserve">In </w:t>
      </w:r>
      <w:r w:rsidR="0003269A">
        <w:rPr>
          <w:rFonts w:cstheme="minorHAnsi"/>
        </w:rPr>
        <w:t>September 2024</w:t>
      </w:r>
      <w:r w:rsidR="00F1655D" w:rsidRPr="002130C0">
        <w:rPr>
          <w:rFonts w:cstheme="minorHAnsi"/>
        </w:rPr>
        <w:t xml:space="preserve"> the following </w:t>
      </w:r>
      <w:r w:rsidR="007F6178" w:rsidRPr="002130C0">
        <w:rPr>
          <w:rFonts w:cstheme="minorHAnsi"/>
        </w:rPr>
        <w:t xml:space="preserve">EU states recognise same-sex marriage: Austria, Belgium, Denmark, Finland, </w:t>
      </w:r>
      <w:proofErr w:type="gramStart"/>
      <w:r w:rsidR="007F6178" w:rsidRPr="002130C0">
        <w:rPr>
          <w:rFonts w:cstheme="minorHAnsi"/>
        </w:rPr>
        <w:t>France ,Germany</w:t>
      </w:r>
      <w:proofErr w:type="gramEnd"/>
      <w:r w:rsidR="007F6178" w:rsidRPr="002130C0">
        <w:rPr>
          <w:rFonts w:cstheme="minorHAnsi"/>
        </w:rPr>
        <w:t>, Iceland, Ireland, Luxembourg, Malta, Netherlands, Norway, Portugal, Slovenia, Spain</w:t>
      </w:r>
      <w:r w:rsidR="001C315F">
        <w:rPr>
          <w:rFonts w:cstheme="minorHAnsi"/>
        </w:rPr>
        <w:t xml:space="preserve"> and </w:t>
      </w:r>
      <w:r w:rsidR="007F6178" w:rsidRPr="002130C0">
        <w:rPr>
          <w:rFonts w:cstheme="minorHAnsi"/>
        </w:rPr>
        <w:t>Sweden</w:t>
      </w:r>
      <w:r w:rsidR="0043373C" w:rsidRPr="002130C0">
        <w:rPr>
          <w:rFonts w:cstheme="minorHAnsi"/>
        </w:rPr>
        <w:t>.</w:t>
      </w:r>
      <w:r w:rsidR="00CC7F2A" w:rsidRPr="002130C0">
        <w:rPr>
          <w:rFonts w:cstheme="minorHAnsi"/>
        </w:rPr>
        <w:t xml:space="preserve"> The following EU states have some level of civil partnership</w:t>
      </w:r>
      <w:r w:rsidR="00E457D4">
        <w:rPr>
          <w:rFonts w:cstheme="minorHAnsi"/>
        </w:rPr>
        <w:t>:</w:t>
      </w:r>
      <w:r w:rsidR="00CC7F2A" w:rsidRPr="002130C0">
        <w:rPr>
          <w:rFonts w:cstheme="minorHAnsi"/>
        </w:rPr>
        <w:t xml:space="preserve"> Croatia, Cyprus, Czech Republic, Estonia, Greece, Hungary, Italy, Latvia</w:t>
      </w:r>
      <w:r w:rsidR="003B5B0B" w:rsidRPr="002130C0">
        <w:rPr>
          <w:rFonts w:cstheme="minorHAnsi"/>
        </w:rPr>
        <w:t xml:space="preserve">. </w:t>
      </w:r>
      <w:r w:rsidR="0043373C" w:rsidRPr="002130C0">
        <w:rPr>
          <w:rFonts w:cstheme="minorHAnsi"/>
        </w:rPr>
        <w:t xml:space="preserve"> </w:t>
      </w:r>
    </w:p>
  </w:footnote>
  <w:footnote w:id="109">
    <w:p w14:paraId="35B9E8D8" w14:textId="1D282A48" w:rsidR="00D75D27" w:rsidRPr="002130C0" w:rsidRDefault="00E31D1C"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rPr>
        <w:t xml:space="preserve"> </w:t>
      </w:r>
      <w:r w:rsidR="000C7ADB" w:rsidRPr="002130C0">
        <w:rPr>
          <w:rFonts w:cstheme="minorHAnsi"/>
          <w:color w:val="000000" w:themeColor="text1"/>
        </w:rPr>
        <w:t>International Lesbian, Gay, Bisexual, Trans, and Intersex Association</w:t>
      </w:r>
      <w:r w:rsidR="00CB2919" w:rsidRPr="002130C0">
        <w:rPr>
          <w:rFonts w:cstheme="minorHAnsi"/>
          <w:color w:val="000000" w:themeColor="text1"/>
        </w:rPr>
        <w:t xml:space="preserve"> (</w:t>
      </w:r>
      <w:r w:rsidR="00FE3430" w:rsidRPr="002130C0">
        <w:rPr>
          <w:rFonts w:cstheme="minorHAnsi"/>
          <w:color w:val="000000" w:themeColor="text1"/>
        </w:rPr>
        <w:t>‘</w:t>
      </w:r>
      <w:r w:rsidR="00CB2919" w:rsidRPr="002130C0">
        <w:rPr>
          <w:rFonts w:cstheme="minorHAnsi"/>
          <w:color w:val="000000" w:themeColor="text1"/>
        </w:rPr>
        <w:t>ILGA</w:t>
      </w:r>
      <w:r w:rsidR="00FE3430" w:rsidRPr="002130C0">
        <w:rPr>
          <w:rFonts w:cstheme="minorHAnsi"/>
          <w:color w:val="000000" w:themeColor="text1"/>
        </w:rPr>
        <w:t>’</w:t>
      </w:r>
      <w:r w:rsidR="00CB2919" w:rsidRPr="002130C0">
        <w:rPr>
          <w:rFonts w:cstheme="minorHAnsi"/>
          <w:color w:val="000000" w:themeColor="text1"/>
        </w:rPr>
        <w:t>)</w:t>
      </w:r>
      <w:r w:rsidR="0067286B" w:rsidRPr="002130C0">
        <w:rPr>
          <w:rFonts w:cstheme="minorHAnsi"/>
          <w:color w:val="000000" w:themeColor="text1"/>
        </w:rPr>
        <w:t>,</w:t>
      </w:r>
      <w:r w:rsidR="00CB2919" w:rsidRPr="002130C0">
        <w:rPr>
          <w:rFonts w:cstheme="minorHAnsi"/>
          <w:color w:val="000000" w:themeColor="text1"/>
        </w:rPr>
        <w:t xml:space="preserve"> </w:t>
      </w:r>
      <w:r w:rsidR="0067286B" w:rsidRPr="002130C0">
        <w:rPr>
          <w:rFonts w:cstheme="minorHAnsi"/>
          <w:color w:val="000000" w:themeColor="text1"/>
        </w:rPr>
        <w:t>‘</w:t>
      </w:r>
      <w:r w:rsidR="000C7ADB" w:rsidRPr="002130C0">
        <w:rPr>
          <w:rFonts w:cstheme="minorHAnsi"/>
          <w:color w:val="000000" w:themeColor="text1"/>
        </w:rPr>
        <w:t>Europe Map</w:t>
      </w:r>
      <w:r w:rsidR="0067286B" w:rsidRPr="002130C0">
        <w:rPr>
          <w:rFonts w:cstheme="minorHAnsi"/>
          <w:color w:val="000000" w:themeColor="text1"/>
        </w:rPr>
        <w:t>’</w:t>
      </w:r>
      <w:r w:rsidR="000C7ADB" w:rsidRPr="002130C0">
        <w:rPr>
          <w:rFonts w:cstheme="minorHAnsi"/>
          <w:color w:val="000000" w:themeColor="text1"/>
        </w:rPr>
        <w:t xml:space="preserve"> </w:t>
      </w:r>
      <w:r w:rsidR="0067286B" w:rsidRPr="002130C0">
        <w:rPr>
          <w:rFonts w:cstheme="minorHAnsi"/>
          <w:color w:val="000000" w:themeColor="text1"/>
        </w:rPr>
        <w:t>available at</w:t>
      </w:r>
      <w:r w:rsidR="002B2807" w:rsidRPr="002130C0">
        <w:rPr>
          <w:rFonts w:cstheme="minorHAnsi"/>
          <w:color w:val="000000" w:themeColor="text1"/>
        </w:rPr>
        <w:t xml:space="preserve"> </w:t>
      </w:r>
      <w:hyperlink r:id="rId23" w:anchor="0/8682/0" w:history="1">
        <w:r w:rsidR="002B2807" w:rsidRPr="002130C0">
          <w:rPr>
            <w:rFonts w:cstheme="minorHAnsi"/>
            <w:color w:val="000000" w:themeColor="text1"/>
            <w:u w:val="single"/>
          </w:rPr>
          <w:t>Rainbow Europe (rainbow-europe.org)</w:t>
        </w:r>
      </w:hyperlink>
    </w:p>
  </w:footnote>
  <w:footnote w:id="110">
    <w:p w14:paraId="73AA3690" w14:textId="34C83908" w:rsidR="002D01CD" w:rsidRPr="002130C0" w:rsidRDefault="00E31D1C"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rPr>
        <w:t xml:space="preserve"> </w:t>
      </w:r>
      <w:r w:rsidR="001F7B40" w:rsidRPr="002130C0">
        <w:rPr>
          <w:rFonts w:cstheme="minorHAnsi"/>
          <w:color w:val="000000" w:themeColor="text1"/>
        </w:rPr>
        <w:t xml:space="preserve">Tim </w:t>
      </w:r>
      <w:r w:rsidR="0024627C" w:rsidRPr="002130C0">
        <w:rPr>
          <w:rFonts w:cstheme="minorHAnsi"/>
          <w:color w:val="000000" w:themeColor="text1"/>
        </w:rPr>
        <w:t>Amos</w:t>
      </w:r>
      <w:r w:rsidR="001F7B40" w:rsidRPr="002130C0">
        <w:rPr>
          <w:rFonts w:cstheme="minorHAnsi"/>
          <w:color w:val="000000" w:themeColor="text1"/>
        </w:rPr>
        <w:t xml:space="preserve"> </w:t>
      </w:r>
      <w:r w:rsidR="00AA6F77" w:rsidRPr="002130C0">
        <w:rPr>
          <w:rFonts w:cstheme="minorHAnsi"/>
          <w:color w:val="000000" w:themeColor="text1"/>
        </w:rPr>
        <w:t xml:space="preserve">and </w:t>
      </w:r>
      <w:r w:rsidR="001F7B40" w:rsidRPr="002130C0">
        <w:rPr>
          <w:rFonts w:cstheme="minorHAnsi"/>
          <w:color w:val="000000" w:themeColor="text1"/>
        </w:rPr>
        <w:t xml:space="preserve">Jo </w:t>
      </w:r>
      <w:r w:rsidR="0024627C" w:rsidRPr="002130C0">
        <w:rPr>
          <w:rFonts w:cstheme="minorHAnsi"/>
          <w:color w:val="000000" w:themeColor="text1"/>
        </w:rPr>
        <w:t>Rainer</w:t>
      </w:r>
      <w:r w:rsidR="00D06320" w:rsidRPr="002130C0">
        <w:rPr>
          <w:rFonts w:cstheme="minorHAnsi"/>
          <w:color w:val="000000" w:themeColor="text1"/>
        </w:rPr>
        <w:t>,</w:t>
      </w:r>
      <w:r w:rsidR="00AA6F77" w:rsidRPr="002130C0">
        <w:rPr>
          <w:rFonts w:cstheme="minorHAnsi"/>
          <w:color w:val="000000" w:themeColor="text1"/>
        </w:rPr>
        <w:t xml:space="preserve"> </w:t>
      </w:r>
      <w:r w:rsidR="00D06320" w:rsidRPr="002130C0">
        <w:rPr>
          <w:rFonts w:cstheme="minorHAnsi"/>
          <w:color w:val="000000" w:themeColor="text1"/>
        </w:rPr>
        <w:t>‘</w:t>
      </w:r>
      <w:r w:rsidR="0024627C" w:rsidRPr="002130C0">
        <w:rPr>
          <w:rFonts w:cstheme="minorHAnsi"/>
          <w:color w:val="000000" w:themeColor="text1"/>
        </w:rPr>
        <w:t>Parenthood for Same-Sex Couples in the European Union: Key Challenges</w:t>
      </w:r>
      <w:r w:rsidR="00D06320" w:rsidRPr="002130C0">
        <w:rPr>
          <w:rFonts w:cstheme="minorHAnsi"/>
          <w:color w:val="000000" w:themeColor="text1"/>
        </w:rPr>
        <w:t>’</w:t>
      </w:r>
      <w:r w:rsidR="00373D1D">
        <w:rPr>
          <w:rFonts w:cstheme="minorHAnsi"/>
          <w:color w:val="000000" w:themeColor="text1"/>
        </w:rPr>
        <w:t>,</w:t>
      </w:r>
      <w:r w:rsidR="0024627C" w:rsidRPr="002130C0">
        <w:rPr>
          <w:rFonts w:cstheme="minorHAnsi"/>
          <w:color w:val="000000" w:themeColor="text1"/>
        </w:rPr>
        <w:t xml:space="preserve"> in </w:t>
      </w:r>
      <w:r w:rsidR="001F7B40" w:rsidRPr="002130C0">
        <w:rPr>
          <w:rFonts w:cstheme="minorHAnsi"/>
          <w:color w:val="000000" w:themeColor="text1"/>
        </w:rPr>
        <w:t xml:space="preserve">Katharina </w:t>
      </w:r>
      <w:r w:rsidR="0024627C" w:rsidRPr="002130C0">
        <w:rPr>
          <w:rFonts w:cstheme="minorHAnsi"/>
          <w:color w:val="000000" w:themeColor="text1"/>
        </w:rPr>
        <w:t>Boele-</w:t>
      </w:r>
      <w:proofErr w:type="spellStart"/>
      <w:r w:rsidR="0024627C" w:rsidRPr="002130C0">
        <w:rPr>
          <w:rFonts w:cstheme="minorHAnsi"/>
          <w:color w:val="000000" w:themeColor="text1"/>
        </w:rPr>
        <w:t>Woelki</w:t>
      </w:r>
      <w:proofErr w:type="spellEnd"/>
      <w:r w:rsidR="00AA6F77" w:rsidRPr="002130C0">
        <w:rPr>
          <w:rFonts w:cstheme="minorHAnsi"/>
          <w:color w:val="000000" w:themeColor="text1"/>
        </w:rPr>
        <w:t xml:space="preserve"> and </w:t>
      </w:r>
      <w:r w:rsidR="00E92389" w:rsidRPr="002130C0">
        <w:rPr>
          <w:rFonts w:cstheme="minorHAnsi"/>
          <w:color w:val="000000" w:themeColor="text1"/>
        </w:rPr>
        <w:t xml:space="preserve">Angelika </w:t>
      </w:r>
      <w:r w:rsidR="00AA6F77" w:rsidRPr="002130C0">
        <w:rPr>
          <w:rFonts w:cstheme="minorHAnsi"/>
          <w:color w:val="000000" w:themeColor="text1"/>
        </w:rPr>
        <w:t xml:space="preserve">Fuchs </w:t>
      </w:r>
      <w:r w:rsidR="0024627C" w:rsidRPr="002130C0">
        <w:rPr>
          <w:rFonts w:cstheme="minorHAnsi"/>
          <w:color w:val="000000" w:themeColor="text1"/>
        </w:rPr>
        <w:t>(eds)</w:t>
      </w:r>
      <w:r w:rsidR="00C24AC4">
        <w:rPr>
          <w:rFonts w:cstheme="minorHAnsi"/>
          <w:color w:val="000000" w:themeColor="text1"/>
        </w:rPr>
        <w:t>,</w:t>
      </w:r>
      <w:r w:rsidR="0024627C" w:rsidRPr="002130C0">
        <w:rPr>
          <w:rFonts w:cstheme="minorHAnsi"/>
          <w:color w:val="000000" w:themeColor="text1"/>
        </w:rPr>
        <w:t xml:space="preserve"> </w:t>
      </w:r>
      <w:r w:rsidR="0024627C" w:rsidRPr="002130C0">
        <w:rPr>
          <w:rFonts w:cstheme="minorHAnsi"/>
          <w:i/>
          <w:iCs/>
          <w:color w:val="000000" w:themeColor="text1"/>
        </w:rPr>
        <w:t>Legal Recognition of Same-Sex Relationships in Europe</w:t>
      </w:r>
      <w:r w:rsidR="0024627C" w:rsidRPr="002130C0">
        <w:rPr>
          <w:rFonts w:cstheme="minorHAnsi"/>
          <w:color w:val="000000" w:themeColor="text1"/>
        </w:rPr>
        <w:t xml:space="preserve"> </w:t>
      </w:r>
      <w:r w:rsidR="00D06320" w:rsidRPr="002130C0">
        <w:rPr>
          <w:rFonts w:cstheme="minorHAnsi"/>
          <w:color w:val="000000" w:themeColor="text1"/>
        </w:rPr>
        <w:t>(</w:t>
      </w:r>
      <w:proofErr w:type="spellStart"/>
      <w:r w:rsidR="00D06320" w:rsidRPr="002130C0">
        <w:rPr>
          <w:rFonts w:cstheme="minorHAnsi"/>
          <w:color w:val="000000" w:themeColor="text1"/>
        </w:rPr>
        <w:t>Intersentia</w:t>
      </w:r>
      <w:proofErr w:type="spellEnd"/>
      <w:r w:rsidR="0067286B" w:rsidRPr="002130C0">
        <w:rPr>
          <w:rFonts w:cstheme="minorHAnsi"/>
          <w:color w:val="000000" w:themeColor="text1"/>
        </w:rPr>
        <w:t>, 2012</w:t>
      </w:r>
      <w:r w:rsidR="00D06320" w:rsidRPr="002130C0">
        <w:rPr>
          <w:rFonts w:cstheme="minorHAnsi"/>
          <w:color w:val="000000" w:themeColor="text1"/>
        </w:rPr>
        <w:t>)</w:t>
      </w:r>
      <w:r w:rsidR="00FC0076">
        <w:rPr>
          <w:rFonts w:cstheme="minorHAnsi"/>
          <w:color w:val="000000" w:themeColor="text1"/>
        </w:rPr>
        <w:t>,</w:t>
      </w:r>
      <w:r w:rsidR="00D06320" w:rsidRPr="002130C0">
        <w:rPr>
          <w:rFonts w:cstheme="minorHAnsi"/>
          <w:color w:val="000000" w:themeColor="text1"/>
        </w:rPr>
        <w:t xml:space="preserve"> </w:t>
      </w:r>
      <w:r w:rsidR="0024627C" w:rsidRPr="002130C0">
        <w:rPr>
          <w:rFonts w:cstheme="minorHAnsi"/>
          <w:color w:val="000000" w:themeColor="text1"/>
        </w:rPr>
        <w:t>79-122.</w:t>
      </w:r>
    </w:p>
  </w:footnote>
  <w:footnote w:id="111">
    <w:p w14:paraId="612825AC" w14:textId="508C0017" w:rsidR="001848A4" w:rsidRPr="002130C0" w:rsidRDefault="00E31D1C" w:rsidP="00CB68B8">
      <w:pPr>
        <w:pStyle w:val="FootnoteText"/>
        <w:rPr>
          <w:rFonts w:cstheme="minorHAnsi"/>
        </w:rPr>
      </w:pPr>
      <w:r w:rsidRPr="002130C0">
        <w:rPr>
          <w:rStyle w:val="FootnoteReference"/>
          <w:rFonts w:cstheme="minorHAnsi"/>
          <w:color w:val="000000" w:themeColor="text1"/>
        </w:rPr>
        <w:footnoteRef/>
      </w:r>
      <w:r w:rsidRPr="002130C0">
        <w:rPr>
          <w:rFonts w:cstheme="minorHAnsi"/>
          <w:color w:val="000000" w:themeColor="text1"/>
        </w:rPr>
        <w:t xml:space="preserve"> </w:t>
      </w:r>
      <w:r w:rsidR="00895A19" w:rsidRPr="002130C0">
        <w:rPr>
          <w:rFonts w:eastAsiaTheme="minorEastAsia" w:cstheme="minorHAnsi"/>
          <w:color w:val="000000" w:themeColor="text1"/>
          <w:kern w:val="24"/>
        </w:rPr>
        <w:t xml:space="preserve">EU Charter of </w:t>
      </w:r>
      <w:r w:rsidR="0067286B" w:rsidRPr="002130C0">
        <w:rPr>
          <w:rFonts w:eastAsiaTheme="minorEastAsia" w:cstheme="minorHAnsi"/>
          <w:color w:val="000000" w:themeColor="text1"/>
          <w:kern w:val="24"/>
        </w:rPr>
        <w:t xml:space="preserve">Fundamental </w:t>
      </w:r>
      <w:r w:rsidR="00895A19" w:rsidRPr="002130C0">
        <w:rPr>
          <w:rFonts w:eastAsiaTheme="minorEastAsia" w:cstheme="minorHAnsi"/>
          <w:color w:val="000000" w:themeColor="text1"/>
          <w:kern w:val="24"/>
        </w:rPr>
        <w:t>Rights</w:t>
      </w:r>
      <w:r w:rsidR="00E969B6" w:rsidRPr="002130C0">
        <w:rPr>
          <w:rFonts w:eastAsiaTheme="minorEastAsia" w:cstheme="minorHAnsi"/>
          <w:color w:val="000000" w:themeColor="text1"/>
          <w:kern w:val="24"/>
        </w:rPr>
        <w:t xml:space="preserve"> </w:t>
      </w:r>
      <w:r w:rsidR="0067286B" w:rsidRPr="002130C0">
        <w:rPr>
          <w:rFonts w:eastAsiaTheme="minorEastAsia" w:cstheme="minorHAnsi"/>
          <w:color w:val="000000" w:themeColor="text1"/>
          <w:kern w:val="24"/>
        </w:rPr>
        <w:t>(n7)</w:t>
      </w:r>
      <w:r w:rsidR="00373D1D">
        <w:rPr>
          <w:rFonts w:eastAsiaTheme="minorEastAsia" w:cstheme="minorHAnsi"/>
          <w:color w:val="000000" w:themeColor="text1"/>
          <w:kern w:val="24"/>
        </w:rPr>
        <w:t>,</w:t>
      </w:r>
      <w:r w:rsidR="0067286B" w:rsidRPr="002130C0">
        <w:rPr>
          <w:rFonts w:eastAsiaTheme="minorEastAsia" w:cstheme="minorHAnsi"/>
          <w:color w:val="000000" w:themeColor="text1"/>
          <w:kern w:val="24"/>
        </w:rPr>
        <w:t xml:space="preserve"> a</w:t>
      </w:r>
      <w:r w:rsidR="00E969B6" w:rsidRPr="002130C0">
        <w:rPr>
          <w:rFonts w:eastAsiaTheme="minorEastAsia" w:cstheme="minorHAnsi"/>
          <w:color w:val="000000" w:themeColor="text1"/>
          <w:kern w:val="24"/>
        </w:rPr>
        <w:t>rt 52(3) provides</w:t>
      </w:r>
      <w:r w:rsidR="00E969B6" w:rsidRPr="002130C0">
        <w:rPr>
          <w:rFonts w:eastAsiaTheme="minorEastAsia" w:cstheme="minorHAnsi"/>
          <w:b/>
          <w:bCs/>
          <w:color w:val="000000" w:themeColor="text1"/>
          <w:kern w:val="24"/>
        </w:rPr>
        <w:t xml:space="preserve"> </w:t>
      </w:r>
      <w:r w:rsidR="001848A4" w:rsidRPr="002130C0">
        <w:rPr>
          <w:rFonts w:cstheme="minorHAnsi"/>
          <w:color w:val="000000" w:themeColor="text1"/>
        </w:rPr>
        <w:t>‘[</w:t>
      </w:r>
      <w:proofErr w:type="spellStart"/>
      <w:r w:rsidR="001848A4" w:rsidRPr="002130C0">
        <w:rPr>
          <w:rFonts w:cstheme="minorHAnsi"/>
          <w:color w:val="000000" w:themeColor="text1"/>
        </w:rPr>
        <w:t>i</w:t>
      </w:r>
      <w:proofErr w:type="spellEnd"/>
      <w:r w:rsidR="001848A4" w:rsidRPr="002130C0">
        <w:rPr>
          <w:rFonts w:cstheme="minorHAnsi"/>
          <w:color w:val="000000" w:themeColor="text1"/>
        </w:rPr>
        <w:t>]n</w:t>
      </w:r>
      <w:r w:rsidR="00E969B6" w:rsidRPr="002130C0">
        <w:rPr>
          <w:rFonts w:cstheme="minorHAnsi"/>
          <w:color w:val="000000" w:themeColor="text1"/>
        </w:rPr>
        <w:t xml:space="preserve"> so far as this Charter contains rights which correspond to rights guaranteed by the Convention </w:t>
      </w:r>
      <w:r w:rsidR="001F1E82" w:rsidRPr="002130C0">
        <w:rPr>
          <w:rFonts w:cstheme="minorHAnsi"/>
          <w:color w:val="000000" w:themeColor="text1"/>
        </w:rPr>
        <w:t>…</w:t>
      </w:r>
      <w:r w:rsidR="00E969B6" w:rsidRPr="002130C0">
        <w:rPr>
          <w:rFonts w:cstheme="minorHAnsi"/>
          <w:color w:val="000000" w:themeColor="text1"/>
        </w:rPr>
        <w:t xml:space="preserve">, the meaning and scope of those rights shall be the same as those laid down by the said </w:t>
      </w:r>
      <w:r w:rsidR="00E969B6" w:rsidRPr="002130C0">
        <w:rPr>
          <w:rFonts w:cstheme="minorHAnsi"/>
        </w:rPr>
        <w:t>Convention. This provision shall not prevent Union law providing more extensive protection</w:t>
      </w:r>
      <w:r w:rsidR="00E92389" w:rsidRPr="002130C0">
        <w:rPr>
          <w:rFonts w:cstheme="minorHAnsi"/>
        </w:rPr>
        <w:t>.</w:t>
      </w:r>
      <w:r w:rsidR="00265E6C" w:rsidRPr="002130C0">
        <w:rPr>
          <w:rFonts w:cstheme="minorHAnsi"/>
        </w:rPr>
        <w:t>’</w:t>
      </w:r>
    </w:p>
  </w:footnote>
  <w:footnote w:id="112">
    <w:p w14:paraId="1F5C7905" w14:textId="755A6829" w:rsidR="005A4F42" w:rsidRPr="002130C0" w:rsidRDefault="005A4F42" w:rsidP="00CB68B8">
      <w:pPr>
        <w:pStyle w:val="FootnoteText"/>
        <w:rPr>
          <w:rFonts w:cstheme="minorHAnsi"/>
        </w:rPr>
      </w:pPr>
      <w:r w:rsidRPr="002130C0">
        <w:rPr>
          <w:rStyle w:val="FootnoteReference"/>
          <w:rFonts w:cstheme="minorHAnsi"/>
        </w:rPr>
        <w:footnoteRef/>
      </w:r>
      <w:r w:rsidRPr="002130C0">
        <w:rPr>
          <w:rFonts w:cstheme="minorHAnsi"/>
        </w:rPr>
        <w:t xml:space="preserve"> The Treaty of the European Union formally acknowledges this. Further explained by </w:t>
      </w:r>
      <w:r>
        <w:rPr>
          <w:rFonts w:cstheme="minorHAnsi"/>
        </w:rPr>
        <w:t>John Fairhurst</w:t>
      </w:r>
      <w:r w:rsidRPr="005E4608">
        <w:rPr>
          <w:rFonts w:cstheme="minorHAnsi"/>
          <w:i/>
          <w:iCs/>
        </w:rPr>
        <w:t>, Law of the European Union</w:t>
      </w:r>
      <w:r w:rsidR="005E4608">
        <w:rPr>
          <w:rFonts w:cstheme="minorHAnsi"/>
        </w:rPr>
        <w:t xml:space="preserve"> </w:t>
      </w:r>
      <w:r w:rsidR="006D6E4C">
        <w:rPr>
          <w:rFonts w:cstheme="minorHAnsi"/>
        </w:rPr>
        <w:t>(</w:t>
      </w:r>
      <w:r w:rsidRPr="006D6E4C">
        <w:rPr>
          <w:rFonts w:cstheme="minorHAnsi"/>
        </w:rPr>
        <w:t>Pearson</w:t>
      </w:r>
      <w:r w:rsidR="006D6E4C">
        <w:rPr>
          <w:rFonts w:cstheme="minorHAnsi"/>
        </w:rPr>
        <w:t xml:space="preserve">, </w:t>
      </w:r>
      <w:r w:rsidR="00BD56EF">
        <w:rPr>
          <w:rFonts w:cstheme="minorHAnsi"/>
        </w:rPr>
        <w:t>9</w:t>
      </w:r>
      <w:r w:rsidR="00BD56EF" w:rsidRPr="00BD56EF">
        <w:rPr>
          <w:rFonts w:cstheme="minorHAnsi"/>
          <w:vertAlign w:val="superscript"/>
        </w:rPr>
        <w:t>th</w:t>
      </w:r>
      <w:r w:rsidR="00BD56EF">
        <w:rPr>
          <w:rFonts w:cstheme="minorHAnsi"/>
        </w:rPr>
        <w:t xml:space="preserve"> edition, </w:t>
      </w:r>
      <w:r w:rsidR="006D6E4C">
        <w:rPr>
          <w:rFonts w:cstheme="minorHAnsi"/>
        </w:rPr>
        <w:t>2012)</w:t>
      </w:r>
      <w:r w:rsidR="004A6B0F">
        <w:rPr>
          <w:rFonts w:cstheme="minorHAnsi"/>
        </w:rPr>
        <w:t>,</w:t>
      </w:r>
      <w:r>
        <w:rPr>
          <w:rFonts w:cstheme="minorHAnsi"/>
        </w:rPr>
        <w:t xml:space="preserve"> </w:t>
      </w:r>
      <w:r w:rsidRPr="002130C0">
        <w:rPr>
          <w:rFonts w:cstheme="minorHAnsi"/>
        </w:rPr>
        <w:t xml:space="preserve">71. </w:t>
      </w:r>
    </w:p>
  </w:footnote>
  <w:footnote w:id="113">
    <w:p w14:paraId="4F0CA738" w14:textId="429191E7" w:rsidR="00975796" w:rsidRPr="002130C0" w:rsidRDefault="00E31D1C"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B04654" w:rsidRPr="002130C0">
        <w:rPr>
          <w:rFonts w:cstheme="minorHAnsi"/>
          <w:i/>
          <w:iCs/>
        </w:rPr>
        <w:t>Dudgeon v UK</w:t>
      </w:r>
      <w:r w:rsidR="00B04654" w:rsidRPr="002130C0">
        <w:rPr>
          <w:rFonts w:cstheme="minorHAnsi"/>
        </w:rPr>
        <w:t xml:space="preserve"> </w:t>
      </w:r>
      <w:r w:rsidR="00BD56EF">
        <w:rPr>
          <w:rFonts w:cstheme="minorHAnsi"/>
        </w:rPr>
        <w:t>(</w:t>
      </w:r>
      <w:r w:rsidR="00B04654" w:rsidRPr="002130C0">
        <w:rPr>
          <w:rFonts w:cstheme="minorHAnsi"/>
        </w:rPr>
        <w:t>App No 7525/76</w:t>
      </w:r>
      <w:r w:rsidR="00BD56EF">
        <w:rPr>
          <w:rFonts w:cstheme="minorHAnsi"/>
        </w:rPr>
        <w:t>)</w:t>
      </w:r>
      <w:r w:rsidR="004F0CCC" w:rsidRPr="002130C0">
        <w:rPr>
          <w:rFonts w:cstheme="minorHAnsi"/>
        </w:rPr>
        <w:t>.</w:t>
      </w:r>
      <w:r w:rsidRPr="002130C0">
        <w:rPr>
          <w:rFonts w:cstheme="minorHAnsi"/>
        </w:rPr>
        <w:t xml:space="preserve"> </w:t>
      </w:r>
    </w:p>
  </w:footnote>
  <w:footnote w:id="114">
    <w:p w14:paraId="312C9849" w14:textId="0DFFEEDD" w:rsidR="00B04654" w:rsidRPr="002130C0" w:rsidRDefault="00E31D1C"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Sutherland v UK</w:t>
      </w:r>
      <w:r w:rsidRPr="002130C0">
        <w:rPr>
          <w:rFonts w:cstheme="minorHAnsi"/>
        </w:rPr>
        <w:t xml:space="preserve"> </w:t>
      </w:r>
      <w:r w:rsidR="00BD56EF">
        <w:rPr>
          <w:rFonts w:cstheme="minorHAnsi"/>
        </w:rPr>
        <w:t>(</w:t>
      </w:r>
      <w:r w:rsidR="009D7BF6" w:rsidRPr="002130C0">
        <w:rPr>
          <w:rFonts w:cstheme="minorHAnsi"/>
          <w:shd w:val="clear" w:color="auto" w:fill="FFFFFF"/>
        </w:rPr>
        <w:t>App. No 25186/94</w:t>
      </w:r>
      <w:r w:rsidR="00BD56EF">
        <w:rPr>
          <w:rFonts w:cstheme="minorHAnsi"/>
          <w:shd w:val="clear" w:color="auto" w:fill="FFFFFF"/>
        </w:rPr>
        <w:t>)</w:t>
      </w:r>
      <w:r w:rsidR="00D06320" w:rsidRPr="002130C0">
        <w:rPr>
          <w:rFonts w:cstheme="minorHAnsi"/>
          <w:shd w:val="clear" w:color="auto" w:fill="FFFFFF"/>
        </w:rPr>
        <w:t>.</w:t>
      </w:r>
    </w:p>
  </w:footnote>
  <w:footnote w:id="115">
    <w:p w14:paraId="5FD43C5F" w14:textId="4D34C94D" w:rsidR="00B04654" w:rsidRPr="00B8637A" w:rsidRDefault="00E31D1C" w:rsidP="00B8637A">
      <w:pPr>
        <w:spacing w:after="0" w:line="240" w:lineRule="auto"/>
        <w:rPr>
          <w:rFonts w:eastAsia="Times New Roman"/>
          <w:b/>
          <w:bCs/>
          <w:kern w:val="36"/>
          <w:sz w:val="20"/>
          <w:szCs w:val="20"/>
          <w:lang w:eastAsia="en-GB"/>
        </w:rPr>
      </w:pPr>
      <w:r w:rsidRPr="00B8637A">
        <w:rPr>
          <w:rStyle w:val="FootnoteReference"/>
          <w:rFonts w:cstheme="minorHAnsi"/>
          <w:sz w:val="20"/>
          <w:szCs w:val="20"/>
        </w:rPr>
        <w:footnoteRef/>
      </w:r>
      <w:r w:rsidRPr="00B8637A">
        <w:rPr>
          <w:sz w:val="20"/>
          <w:szCs w:val="20"/>
        </w:rPr>
        <w:t xml:space="preserve"> </w:t>
      </w:r>
      <w:r w:rsidRPr="00B8637A">
        <w:rPr>
          <w:i/>
          <w:iCs/>
          <w:sz w:val="20"/>
          <w:szCs w:val="20"/>
        </w:rPr>
        <w:t>Schalk and Kopf v Austria</w:t>
      </w:r>
      <w:r w:rsidRPr="00B8637A">
        <w:rPr>
          <w:sz w:val="20"/>
          <w:szCs w:val="20"/>
        </w:rPr>
        <w:t xml:space="preserve"> </w:t>
      </w:r>
      <w:r w:rsidR="00BD56EF">
        <w:rPr>
          <w:sz w:val="20"/>
          <w:szCs w:val="20"/>
        </w:rPr>
        <w:t>(</w:t>
      </w:r>
      <w:r w:rsidR="00A555E0" w:rsidRPr="00B8637A">
        <w:rPr>
          <w:rFonts w:eastAsia="Times New Roman"/>
          <w:kern w:val="36"/>
          <w:sz w:val="20"/>
          <w:szCs w:val="20"/>
          <w:lang w:eastAsia="en-GB"/>
        </w:rPr>
        <w:t>App</w:t>
      </w:r>
      <w:r w:rsidR="004463B0" w:rsidRPr="00B8637A">
        <w:rPr>
          <w:rFonts w:eastAsia="Times New Roman"/>
          <w:kern w:val="36"/>
          <w:sz w:val="20"/>
          <w:szCs w:val="20"/>
          <w:lang w:eastAsia="en-GB"/>
        </w:rPr>
        <w:t>.</w:t>
      </w:r>
      <w:r w:rsidR="00626965" w:rsidRPr="00B8637A">
        <w:rPr>
          <w:rFonts w:eastAsia="Times New Roman"/>
          <w:kern w:val="36"/>
          <w:sz w:val="20"/>
          <w:szCs w:val="20"/>
          <w:lang w:eastAsia="en-GB"/>
        </w:rPr>
        <w:t xml:space="preserve"> No</w:t>
      </w:r>
      <w:r w:rsidR="00A555E0" w:rsidRPr="00B8637A">
        <w:rPr>
          <w:rFonts w:eastAsia="Times New Roman"/>
          <w:kern w:val="36"/>
          <w:sz w:val="20"/>
          <w:szCs w:val="20"/>
          <w:lang w:eastAsia="en-GB"/>
        </w:rPr>
        <w:t xml:space="preserve"> 301414</w:t>
      </w:r>
      <w:r w:rsidR="004463B0" w:rsidRPr="00B8637A">
        <w:rPr>
          <w:rFonts w:eastAsia="Times New Roman"/>
          <w:kern w:val="36"/>
          <w:sz w:val="20"/>
          <w:szCs w:val="20"/>
          <w:lang w:eastAsia="en-GB"/>
        </w:rPr>
        <w:t>/</w:t>
      </w:r>
      <w:r w:rsidR="00A555E0" w:rsidRPr="00B8637A">
        <w:rPr>
          <w:rFonts w:eastAsia="Times New Roman"/>
          <w:kern w:val="36"/>
          <w:sz w:val="20"/>
          <w:szCs w:val="20"/>
          <w:lang w:eastAsia="en-GB"/>
        </w:rPr>
        <w:t>04</w:t>
      </w:r>
      <w:r w:rsidR="00BD56EF">
        <w:rPr>
          <w:rFonts w:eastAsia="Times New Roman"/>
          <w:kern w:val="36"/>
          <w:sz w:val="20"/>
          <w:szCs w:val="20"/>
          <w:lang w:eastAsia="en-GB"/>
        </w:rPr>
        <w:t>)</w:t>
      </w:r>
      <w:r w:rsidR="004463B0" w:rsidRPr="00B8637A">
        <w:rPr>
          <w:rFonts w:eastAsia="Times New Roman"/>
          <w:kern w:val="36"/>
          <w:sz w:val="20"/>
          <w:szCs w:val="20"/>
          <w:lang w:eastAsia="en-GB"/>
        </w:rPr>
        <w:t>.</w:t>
      </w:r>
    </w:p>
  </w:footnote>
  <w:footnote w:id="116">
    <w:p w14:paraId="473AABF5" w14:textId="4AE97888" w:rsidR="001F1E82" w:rsidRPr="002130C0" w:rsidRDefault="00E31D1C"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i/>
          <w:iCs/>
        </w:rPr>
        <w:t>Oliari</w:t>
      </w:r>
      <w:proofErr w:type="spellEnd"/>
      <w:r w:rsidRPr="002130C0">
        <w:rPr>
          <w:rFonts w:cstheme="minorHAnsi"/>
          <w:i/>
          <w:iCs/>
        </w:rPr>
        <w:t xml:space="preserve"> v Italy</w:t>
      </w:r>
      <w:r w:rsidR="00626965" w:rsidRPr="002130C0">
        <w:rPr>
          <w:rFonts w:cstheme="minorHAnsi"/>
          <w:color w:val="202124"/>
          <w:shd w:val="clear" w:color="auto" w:fill="FFFFFF"/>
        </w:rPr>
        <w:t xml:space="preserve"> </w:t>
      </w:r>
      <w:r w:rsidR="00BD56EF">
        <w:rPr>
          <w:rFonts w:cstheme="minorHAnsi"/>
          <w:color w:val="202124"/>
          <w:shd w:val="clear" w:color="auto" w:fill="FFFFFF"/>
        </w:rPr>
        <w:t>(</w:t>
      </w:r>
      <w:r w:rsidR="00626965" w:rsidRPr="002130C0">
        <w:rPr>
          <w:rFonts w:cstheme="minorHAnsi"/>
          <w:color w:val="040C28"/>
        </w:rPr>
        <w:t>App</w:t>
      </w:r>
      <w:r w:rsidR="0068733A" w:rsidRPr="002130C0">
        <w:rPr>
          <w:rFonts w:cstheme="minorHAnsi"/>
          <w:color w:val="040C28"/>
        </w:rPr>
        <w:t>.</w:t>
      </w:r>
      <w:r w:rsidR="00626965" w:rsidRPr="002130C0">
        <w:rPr>
          <w:rFonts w:cstheme="minorHAnsi"/>
          <w:color w:val="040C28"/>
        </w:rPr>
        <w:t xml:space="preserve"> </w:t>
      </w:r>
      <w:r w:rsidR="0068733A" w:rsidRPr="002130C0">
        <w:rPr>
          <w:rFonts w:cstheme="minorHAnsi"/>
          <w:color w:val="040C28"/>
        </w:rPr>
        <w:t>N</w:t>
      </w:r>
      <w:r w:rsidR="00626965" w:rsidRPr="002130C0">
        <w:rPr>
          <w:rFonts w:cstheme="minorHAnsi"/>
          <w:color w:val="040C28"/>
        </w:rPr>
        <w:t>os</w:t>
      </w:r>
      <w:r w:rsidR="00BD56EF">
        <w:rPr>
          <w:rFonts w:cstheme="minorHAnsi"/>
          <w:color w:val="040C28"/>
        </w:rPr>
        <w:t xml:space="preserve"> </w:t>
      </w:r>
      <w:r w:rsidR="00626965" w:rsidRPr="002130C0">
        <w:rPr>
          <w:rFonts w:cstheme="minorHAnsi"/>
          <w:color w:val="040C28"/>
        </w:rPr>
        <w:t>18766/11 and 36030/11</w:t>
      </w:r>
      <w:r w:rsidR="00BD56EF">
        <w:rPr>
          <w:rFonts w:cstheme="minorHAnsi"/>
          <w:color w:val="040C28"/>
        </w:rPr>
        <w:t>)</w:t>
      </w:r>
      <w:r w:rsidR="004463B0" w:rsidRPr="002130C0">
        <w:rPr>
          <w:rFonts w:cstheme="minorHAnsi"/>
          <w:color w:val="202124"/>
          <w:shd w:val="clear" w:color="auto" w:fill="FFFFFF"/>
        </w:rPr>
        <w:t>.</w:t>
      </w:r>
      <w:r w:rsidR="00626965" w:rsidRPr="002130C0">
        <w:rPr>
          <w:rFonts w:cstheme="minorHAnsi"/>
        </w:rPr>
        <w:t xml:space="preserve"> </w:t>
      </w:r>
    </w:p>
  </w:footnote>
  <w:footnote w:id="117">
    <w:p w14:paraId="2E99D989" w14:textId="74EAE0ED" w:rsidR="007A5B96" w:rsidRPr="002130C0" w:rsidRDefault="00E31D1C" w:rsidP="00CB68B8">
      <w:pPr>
        <w:pStyle w:val="FootnoteText"/>
        <w:rPr>
          <w:rFonts w:cstheme="minorHAnsi"/>
          <w:lang w:val="es-ES"/>
        </w:rPr>
      </w:pPr>
      <w:r w:rsidRPr="002130C0">
        <w:rPr>
          <w:rStyle w:val="FootnoteReference"/>
          <w:rFonts w:cstheme="minorHAnsi"/>
        </w:rPr>
        <w:footnoteRef/>
      </w:r>
      <w:r w:rsidRPr="002130C0">
        <w:rPr>
          <w:rFonts w:cstheme="minorHAnsi"/>
        </w:rPr>
        <w:t xml:space="preserve"> </w:t>
      </w:r>
      <w:proofErr w:type="spellStart"/>
      <w:r w:rsidR="0068733A" w:rsidRPr="00BD56EF">
        <w:rPr>
          <w:rFonts w:cstheme="minorHAnsi"/>
        </w:rPr>
        <w:t>E</w:t>
      </w:r>
      <w:r w:rsidR="00C040D1">
        <w:rPr>
          <w:rFonts w:cstheme="minorHAnsi"/>
        </w:rPr>
        <w:t>g</w:t>
      </w:r>
      <w:proofErr w:type="spellEnd"/>
      <w:r w:rsidR="00C040D1">
        <w:rPr>
          <w:rFonts w:cstheme="minorHAnsi"/>
        </w:rPr>
        <w:t>,</w:t>
      </w:r>
      <w:r w:rsidR="00564AAA" w:rsidRPr="00C040D1">
        <w:rPr>
          <w:rFonts w:cstheme="minorHAnsi"/>
          <w:b/>
          <w:bCs/>
          <w:i/>
          <w:iCs/>
        </w:rPr>
        <w:t xml:space="preserve"> </w:t>
      </w:r>
      <w:r w:rsidR="00F9355A" w:rsidRPr="00BD56EF">
        <w:rPr>
          <w:rFonts w:cstheme="minorHAnsi"/>
          <w:i/>
          <w:iCs/>
        </w:rPr>
        <w:t>Alekseyev v Russia</w:t>
      </w:r>
      <w:r w:rsidR="00F9355A" w:rsidRPr="002130C0">
        <w:rPr>
          <w:rFonts w:cstheme="minorHAnsi"/>
        </w:rPr>
        <w:t xml:space="preserve"> </w:t>
      </w:r>
      <w:r w:rsidR="00BD56EF">
        <w:rPr>
          <w:rFonts w:cstheme="minorHAnsi"/>
        </w:rPr>
        <w:t>(</w:t>
      </w:r>
      <w:r w:rsidR="00F9355A" w:rsidRPr="002130C0">
        <w:rPr>
          <w:rFonts w:cstheme="minorHAnsi"/>
        </w:rPr>
        <w:t>App</w:t>
      </w:r>
      <w:r w:rsidR="0068733A" w:rsidRPr="002130C0">
        <w:rPr>
          <w:rFonts w:cstheme="minorHAnsi"/>
        </w:rPr>
        <w:t>.</w:t>
      </w:r>
      <w:r w:rsidR="00F9355A" w:rsidRPr="002130C0">
        <w:rPr>
          <w:rFonts w:cstheme="minorHAnsi"/>
        </w:rPr>
        <w:t xml:space="preserve"> </w:t>
      </w:r>
      <w:r w:rsidR="0068733A" w:rsidRPr="002130C0">
        <w:rPr>
          <w:rFonts w:cstheme="minorHAnsi"/>
          <w:lang w:val="es-ES"/>
        </w:rPr>
        <w:t>N</w:t>
      </w:r>
      <w:r w:rsidR="00F9355A" w:rsidRPr="002130C0">
        <w:rPr>
          <w:rFonts w:cstheme="minorHAnsi"/>
          <w:lang w:val="es-ES"/>
        </w:rPr>
        <w:t xml:space="preserve">os 4916/07, 25924/08 </w:t>
      </w:r>
      <w:r w:rsidR="0068733A" w:rsidRPr="002130C0">
        <w:rPr>
          <w:rFonts w:cstheme="minorHAnsi"/>
          <w:lang w:val="es-ES"/>
        </w:rPr>
        <w:t>,</w:t>
      </w:r>
      <w:r w:rsidR="00F9355A" w:rsidRPr="002130C0">
        <w:rPr>
          <w:rFonts w:cstheme="minorHAnsi"/>
          <w:lang w:val="es-ES"/>
        </w:rPr>
        <w:t>14599/09</w:t>
      </w:r>
      <w:r w:rsidR="00BD56EF">
        <w:rPr>
          <w:rFonts w:cstheme="minorHAnsi"/>
          <w:lang w:val="es-ES"/>
        </w:rPr>
        <w:t>),</w:t>
      </w:r>
      <w:r w:rsidR="00F9355A" w:rsidRPr="002130C0">
        <w:rPr>
          <w:rFonts w:cstheme="minorHAnsi"/>
          <w:lang w:val="es-ES"/>
        </w:rPr>
        <w:t xml:space="preserve"> para. 83.</w:t>
      </w:r>
    </w:p>
  </w:footnote>
  <w:footnote w:id="118">
    <w:p w14:paraId="23009518" w14:textId="3AF63093" w:rsidR="004463B0" w:rsidRPr="002130C0" w:rsidRDefault="00E31D1C" w:rsidP="00CB68B8">
      <w:pPr>
        <w:pStyle w:val="FootnoteText"/>
        <w:rPr>
          <w:rFonts w:cstheme="minorHAnsi"/>
          <w:lang w:val="es-ES"/>
        </w:rPr>
      </w:pPr>
      <w:r w:rsidRPr="002130C0">
        <w:rPr>
          <w:rStyle w:val="FootnoteReference"/>
          <w:rFonts w:cstheme="minorHAnsi"/>
        </w:rPr>
        <w:footnoteRef/>
      </w:r>
      <w:r w:rsidRPr="002130C0">
        <w:rPr>
          <w:rFonts w:cstheme="minorHAnsi"/>
          <w:lang w:val="es-ES"/>
        </w:rPr>
        <w:t xml:space="preserve"> </w:t>
      </w:r>
      <w:r w:rsidRPr="002130C0">
        <w:rPr>
          <w:rFonts w:cstheme="minorHAnsi"/>
          <w:i/>
          <w:iCs/>
          <w:lang w:val="es-ES"/>
        </w:rPr>
        <w:t>EB v France</w:t>
      </w:r>
      <w:r w:rsidR="006512E4" w:rsidRPr="002130C0">
        <w:rPr>
          <w:rFonts w:cstheme="minorHAnsi"/>
          <w:lang w:val="es-ES"/>
        </w:rPr>
        <w:t xml:space="preserve"> </w:t>
      </w:r>
      <w:r w:rsidR="00BD56EF">
        <w:rPr>
          <w:rFonts w:cstheme="minorHAnsi"/>
          <w:lang w:val="es-ES"/>
        </w:rPr>
        <w:t>(</w:t>
      </w:r>
      <w:r w:rsidR="00C14C6C" w:rsidRPr="002130C0">
        <w:rPr>
          <w:rFonts w:cstheme="minorHAnsi"/>
          <w:lang w:val="es-ES"/>
        </w:rPr>
        <w:t>App No</w:t>
      </w:r>
      <w:r w:rsidR="006512E4" w:rsidRPr="002130C0">
        <w:rPr>
          <w:rFonts w:cstheme="minorHAnsi"/>
          <w:lang w:val="es-ES"/>
        </w:rPr>
        <w:t xml:space="preserve"> 43546/02</w:t>
      </w:r>
      <w:r w:rsidR="00BD56EF">
        <w:rPr>
          <w:rFonts w:cstheme="minorHAnsi"/>
          <w:lang w:val="es-ES"/>
        </w:rPr>
        <w:t>)</w:t>
      </w:r>
      <w:r w:rsidR="000A6BB2" w:rsidRPr="002130C0">
        <w:rPr>
          <w:rFonts w:cstheme="minorHAnsi"/>
          <w:lang w:val="es-ES"/>
        </w:rPr>
        <w:t>.</w:t>
      </w:r>
    </w:p>
  </w:footnote>
  <w:footnote w:id="119">
    <w:p w14:paraId="70FFDA59" w14:textId="52390979" w:rsidR="004463B0" w:rsidRPr="002130C0" w:rsidRDefault="00E31D1C"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X and Others v Austria</w:t>
      </w:r>
      <w:r w:rsidRPr="002130C0">
        <w:rPr>
          <w:rFonts w:cstheme="minorHAnsi"/>
        </w:rPr>
        <w:t xml:space="preserve"> </w:t>
      </w:r>
      <w:r w:rsidR="00BD56EF">
        <w:rPr>
          <w:rFonts w:cstheme="minorHAnsi"/>
        </w:rPr>
        <w:t>(</w:t>
      </w:r>
      <w:r w:rsidR="00C14C6C" w:rsidRPr="002130C0">
        <w:rPr>
          <w:rStyle w:val="Emphasis"/>
          <w:rFonts w:cstheme="minorHAnsi"/>
          <w:i w:val="0"/>
          <w:iCs w:val="0"/>
          <w:shd w:val="clear" w:color="auto" w:fill="FFFFFF"/>
        </w:rPr>
        <w:t>App No</w:t>
      </w:r>
      <w:r w:rsidR="00BD56EF">
        <w:rPr>
          <w:rStyle w:val="Emphasis"/>
          <w:rFonts w:cstheme="minorHAnsi"/>
          <w:i w:val="0"/>
          <w:iCs w:val="0"/>
          <w:shd w:val="clear" w:color="auto" w:fill="FFFFFF"/>
        </w:rPr>
        <w:t xml:space="preserve"> </w:t>
      </w:r>
      <w:r w:rsidR="00C14C6C" w:rsidRPr="002130C0">
        <w:rPr>
          <w:rStyle w:val="Emphasis"/>
          <w:rFonts w:cstheme="minorHAnsi"/>
          <w:i w:val="0"/>
          <w:iCs w:val="0"/>
          <w:shd w:val="clear" w:color="auto" w:fill="FFFFFF"/>
        </w:rPr>
        <w:t>19010/07</w:t>
      </w:r>
      <w:r w:rsidR="00BD56EF">
        <w:rPr>
          <w:rStyle w:val="Emphasis"/>
          <w:rFonts w:cstheme="minorHAnsi"/>
          <w:i w:val="0"/>
          <w:iCs w:val="0"/>
          <w:shd w:val="clear" w:color="auto" w:fill="FFFFFF"/>
        </w:rPr>
        <w:t>)</w:t>
      </w:r>
    </w:p>
  </w:footnote>
  <w:footnote w:id="120">
    <w:p w14:paraId="1F0B845D" w14:textId="5B655E67" w:rsidR="004463B0" w:rsidRPr="002130C0" w:rsidRDefault="00E31D1C" w:rsidP="00CB68B8">
      <w:pPr>
        <w:pStyle w:val="FootnoteText"/>
        <w:rPr>
          <w:rFonts w:cstheme="minorHAnsi"/>
          <w:i/>
          <w:iCs/>
        </w:rPr>
      </w:pPr>
      <w:r w:rsidRPr="002130C0">
        <w:rPr>
          <w:rStyle w:val="FootnoteReference"/>
          <w:rFonts w:cstheme="minorHAnsi"/>
        </w:rPr>
        <w:footnoteRef/>
      </w:r>
      <w:r w:rsidRPr="002130C0">
        <w:rPr>
          <w:rFonts w:cstheme="minorHAnsi"/>
        </w:rPr>
        <w:t xml:space="preserve"> </w:t>
      </w:r>
      <w:r w:rsidRPr="002130C0">
        <w:rPr>
          <w:rFonts w:cstheme="minorHAnsi"/>
          <w:i/>
          <w:iCs/>
        </w:rPr>
        <w:t>Wagner v Luxembourg</w:t>
      </w:r>
      <w:r w:rsidR="005C2384" w:rsidRPr="002130C0">
        <w:rPr>
          <w:rFonts w:cstheme="minorHAnsi"/>
          <w:i/>
          <w:iCs/>
          <w:color w:val="4D5156"/>
          <w:shd w:val="clear" w:color="auto" w:fill="FFFFFF"/>
        </w:rPr>
        <w:t xml:space="preserve"> </w:t>
      </w:r>
      <w:r w:rsidR="00BD56EF">
        <w:rPr>
          <w:rFonts w:cstheme="minorHAnsi"/>
          <w:color w:val="4D5156"/>
          <w:shd w:val="clear" w:color="auto" w:fill="FFFFFF"/>
        </w:rPr>
        <w:t>(</w:t>
      </w:r>
      <w:r w:rsidR="005C2384" w:rsidRPr="00BD56EF">
        <w:rPr>
          <w:rFonts w:cstheme="minorHAnsi"/>
          <w:color w:val="4D5156"/>
          <w:shd w:val="clear" w:color="auto" w:fill="FFFFFF"/>
        </w:rPr>
        <w:t>App. No. 76240/01</w:t>
      </w:r>
      <w:r w:rsidR="00BD56EF">
        <w:rPr>
          <w:rFonts w:cstheme="minorHAnsi"/>
          <w:color w:val="4D5156"/>
          <w:shd w:val="clear" w:color="auto" w:fill="FFFFFF"/>
        </w:rPr>
        <w:t>)</w:t>
      </w:r>
      <w:r w:rsidRPr="002130C0">
        <w:rPr>
          <w:rFonts w:cstheme="minorHAnsi"/>
          <w:i/>
          <w:iCs/>
        </w:rPr>
        <w:t xml:space="preserve">; </w:t>
      </w:r>
      <w:proofErr w:type="spellStart"/>
      <w:r w:rsidRPr="002130C0">
        <w:rPr>
          <w:rFonts w:cstheme="minorHAnsi"/>
          <w:i/>
          <w:iCs/>
        </w:rPr>
        <w:t>Mennesson</w:t>
      </w:r>
      <w:proofErr w:type="spellEnd"/>
      <w:r w:rsidRPr="002130C0">
        <w:rPr>
          <w:rFonts w:cstheme="minorHAnsi"/>
          <w:i/>
          <w:iCs/>
        </w:rPr>
        <w:t xml:space="preserve"> v France</w:t>
      </w:r>
      <w:r w:rsidR="00383464" w:rsidRPr="002130C0">
        <w:rPr>
          <w:rFonts w:cstheme="minorHAnsi"/>
          <w:i/>
          <w:iCs/>
        </w:rPr>
        <w:t xml:space="preserve"> </w:t>
      </w:r>
      <w:r w:rsidR="00BD56EF">
        <w:rPr>
          <w:rFonts w:cstheme="minorHAnsi"/>
        </w:rPr>
        <w:t>(</w:t>
      </w:r>
      <w:r w:rsidR="00383464" w:rsidRPr="00BD56EF">
        <w:rPr>
          <w:rFonts w:cstheme="minorHAnsi"/>
          <w:color w:val="000000"/>
          <w:shd w:val="clear" w:color="auto" w:fill="FFFFFF"/>
        </w:rPr>
        <w:t>App No </w:t>
      </w:r>
      <w:hyperlink r:id="rId24" w:anchor="{%22appno%22:[%2265192/11%22]}" w:tgtFrame="_blank" w:history="1">
        <w:r w:rsidR="00383464" w:rsidRPr="00BD56EF">
          <w:rPr>
            <w:rFonts w:cstheme="minorHAnsi"/>
          </w:rPr>
          <w:t>65192/11</w:t>
        </w:r>
      </w:hyperlink>
      <w:r w:rsidR="00BD56EF">
        <w:rPr>
          <w:rFonts w:cstheme="minorHAnsi"/>
        </w:rPr>
        <w:t>)</w:t>
      </w:r>
      <w:r w:rsidR="004A6B0F">
        <w:rPr>
          <w:rFonts w:cstheme="minorHAnsi"/>
          <w:i/>
          <w:iCs/>
        </w:rPr>
        <w:t>.</w:t>
      </w:r>
    </w:p>
  </w:footnote>
  <w:footnote w:id="121">
    <w:p w14:paraId="478573B5" w14:textId="49B0ABBC" w:rsidR="004463B0" w:rsidRPr="002130C0" w:rsidRDefault="00E31D1C"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Tryfonidou</w:t>
      </w:r>
      <w:proofErr w:type="spellEnd"/>
      <w:r w:rsidR="00BD56EF">
        <w:rPr>
          <w:rFonts w:cstheme="minorHAnsi"/>
        </w:rPr>
        <w:t xml:space="preserve"> (2019)</w:t>
      </w:r>
      <w:r w:rsidR="00D06320" w:rsidRPr="002130C0">
        <w:rPr>
          <w:rFonts w:cstheme="minorHAnsi"/>
        </w:rPr>
        <w:t xml:space="preserve"> </w:t>
      </w:r>
      <w:r w:rsidR="0067286B" w:rsidRPr="002130C0">
        <w:rPr>
          <w:rFonts w:cstheme="minorHAnsi"/>
        </w:rPr>
        <w:t>(</w:t>
      </w:r>
      <w:r w:rsidR="0068733A" w:rsidRPr="002130C0">
        <w:rPr>
          <w:rFonts w:cstheme="minorHAnsi"/>
        </w:rPr>
        <w:t>n</w:t>
      </w:r>
      <w:r w:rsidR="00D06320" w:rsidRPr="002130C0">
        <w:rPr>
          <w:rFonts w:cstheme="minorHAnsi"/>
        </w:rPr>
        <w:t>3</w:t>
      </w:r>
      <w:r w:rsidR="00815739">
        <w:rPr>
          <w:rFonts w:cstheme="minorHAnsi"/>
        </w:rPr>
        <w:t>8</w:t>
      </w:r>
      <w:r w:rsidR="0067286B" w:rsidRPr="002130C0">
        <w:rPr>
          <w:rFonts w:cstheme="minorHAnsi"/>
        </w:rPr>
        <w:t>)</w:t>
      </w:r>
      <w:r w:rsidR="00D06320" w:rsidRPr="002130C0">
        <w:rPr>
          <w:rFonts w:cstheme="minorHAnsi"/>
        </w:rPr>
        <w:t>,</w:t>
      </w:r>
      <w:r w:rsidR="00DC2D2C" w:rsidRPr="002130C0">
        <w:rPr>
          <w:rFonts w:cstheme="minorHAnsi"/>
          <w:lang w:val="en-US"/>
        </w:rPr>
        <w:t xml:space="preserve"> </w:t>
      </w:r>
      <w:r w:rsidR="00DC2D2C" w:rsidRPr="002130C0">
        <w:rPr>
          <w:rFonts w:cstheme="minorHAnsi"/>
        </w:rPr>
        <w:t xml:space="preserve">255. </w:t>
      </w:r>
      <w:r w:rsidRPr="002130C0">
        <w:rPr>
          <w:rFonts w:cstheme="minorHAnsi"/>
        </w:rPr>
        <w:t xml:space="preserve"> </w:t>
      </w:r>
    </w:p>
  </w:footnote>
  <w:footnote w:id="122">
    <w:p w14:paraId="605C0F43" w14:textId="0BCF753C" w:rsidR="004463B0" w:rsidRPr="002130C0" w:rsidRDefault="0069139A"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DB v Switzerland</w:t>
      </w:r>
      <w:r w:rsidR="000536CD" w:rsidRPr="002130C0">
        <w:rPr>
          <w:rFonts w:cstheme="minorHAnsi"/>
        </w:rPr>
        <w:t xml:space="preserve"> </w:t>
      </w:r>
      <w:r w:rsidR="00BD56EF">
        <w:rPr>
          <w:rFonts w:cstheme="minorHAnsi"/>
        </w:rPr>
        <w:t>(</w:t>
      </w:r>
      <w:r w:rsidR="000F3738" w:rsidRPr="002130C0">
        <w:rPr>
          <w:rFonts w:cstheme="minorHAnsi"/>
        </w:rPr>
        <w:t>App Nos 58252/15 and 58817/15</w:t>
      </w:r>
      <w:r w:rsidR="00BD56EF">
        <w:rPr>
          <w:rFonts w:cstheme="minorHAnsi"/>
        </w:rPr>
        <w:t>)</w:t>
      </w:r>
      <w:r w:rsidR="000F3738" w:rsidRPr="002130C0">
        <w:rPr>
          <w:rFonts w:cstheme="minorHAnsi"/>
        </w:rPr>
        <w:t>.</w:t>
      </w:r>
    </w:p>
  </w:footnote>
  <w:footnote w:id="123">
    <w:p w14:paraId="70461F52" w14:textId="0B462631" w:rsidR="00E52675" w:rsidRPr="002130C0" w:rsidRDefault="0069139A"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Tryfonidou</w:t>
      </w:r>
      <w:proofErr w:type="spellEnd"/>
      <w:r w:rsidR="00BD56EF">
        <w:rPr>
          <w:rFonts w:cstheme="minorHAnsi"/>
        </w:rPr>
        <w:t xml:space="preserve"> (2020)</w:t>
      </w:r>
      <w:r w:rsidR="00D06320" w:rsidRPr="002130C0">
        <w:rPr>
          <w:rFonts w:cstheme="minorHAnsi"/>
        </w:rPr>
        <w:t xml:space="preserve"> </w:t>
      </w:r>
      <w:r w:rsidR="0067286B" w:rsidRPr="002130C0">
        <w:rPr>
          <w:rFonts w:cstheme="minorHAnsi"/>
        </w:rPr>
        <w:t>(</w:t>
      </w:r>
      <w:r w:rsidR="00D06320" w:rsidRPr="002130C0">
        <w:rPr>
          <w:rFonts w:cstheme="minorHAnsi"/>
        </w:rPr>
        <w:t>n</w:t>
      </w:r>
      <w:r w:rsidR="005F1ECE" w:rsidRPr="002130C0">
        <w:rPr>
          <w:rFonts w:cstheme="minorHAnsi"/>
        </w:rPr>
        <w:t>3</w:t>
      </w:r>
      <w:r w:rsidR="00815739">
        <w:rPr>
          <w:rFonts w:cstheme="minorHAnsi"/>
        </w:rPr>
        <w:t>8</w:t>
      </w:r>
      <w:r w:rsidR="0067286B" w:rsidRPr="002130C0">
        <w:rPr>
          <w:rFonts w:cstheme="minorHAnsi"/>
        </w:rPr>
        <w:t>)</w:t>
      </w:r>
      <w:r w:rsidR="00D06320" w:rsidRPr="002130C0">
        <w:rPr>
          <w:rFonts w:cstheme="minorHAnsi"/>
        </w:rPr>
        <w:t xml:space="preserve">, </w:t>
      </w:r>
      <w:r w:rsidR="00D63632" w:rsidRPr="002130C0">
        <w:rPr>
          <w:rFonts w:cstheme="minorHAnsi"/>
        </w:rPr>
        <w:t>179</w:t>
      </w:r>
      <w:r w:rsidR="00BD56EF">
        <w:rPr>
          <w:rFonts w:cstheme="minorHAnsi"/>
        </w:rPr>
        <w:t>,</w:t>
      </w:r>
      <w:r w:rsidR="00D63632" w:rsidRPr="002130C0">
        <w:rPr>
          <w:rFonts w:cstheme="minorHAnsi"/>
        </w:rPr>
        <w:t xml:space="preserve"> referring to </w:t>
      </w:r>
      <w:r w:rsidR="00D63632" w:rsidRPr="002130C0">
        <w:rPr>
          <w:rFonts w:cstheme="minorHAnsi"/>
          <w:i/>
          <w:iCs/>
        </w:rPr>
        <w:t>Alekseyev v Russia</w:t>
      </w:r>
      <w:r w:rsidR="00D63632" w:rsidRPr="002130C0">
        <w:rPr>
          <w:rFonts w:cstheme="minorHAnsi"/>
        </w:rPr>
        <w:t xml:space="preserve"> </w:t>
      </w:r>
      <w:r w:rsidR="00C040D1">
        <w:rPr>
          <w:rFonts w:cstheme="minorHAnsi"/>
        </w:rPr>
        <w:t>(</w:t>
      </w:r>
      <w:r w:rsidR="00FA4ABE" w:rsidRPr="002130C0">
        <w:rPr>
          <w:rFonts w:cstheme="minorHAnsi"/>
        </w:rPr>
        <w:t>n</w:t>
      </w:r>
      <w:r w:rsidR="009328F3">
        <w:rPr>
          <w:rFonts w:cstheme="minorHAnsi"/>
        </w:rPr>
        <w:t>116</w:t>
      </w:r>
      <w:r w:rsidR="00C040D1">
        <w:rPr>
          <w:rFonts w:cstheme="minorHAnsi"/>
        </w:rPr>
        <w:t>),</w:t>
      </w:r>
      <w:r w:rsidR="00FA4ABE" w:rsidRPr="002130C0">
        <w:rPr>
          <w:rFonts w:cstheme="minorHAnsi"/>
        </w:rPr>
        <w:t xml:space="preserve"> </w:t>
      </w:r>
      <w:r w:rsidR="00D63632" w:rsidRPr="002130C0">
        <w:rPr>
          <w:rFonts w:cstheme="minorHAnsi"/>
        </w:rPr>
        <w:t xml:space="preserve">para 83. </w:t>
      </w:r>
    </w:p>
  </w:footnote>
  <w:footnote w:id="124">
    <w:p w14:paraId="5A104FA0" w14:textId="7AA8D431" w:rsidR="0068733A" w:rsidRPr="002130C0" w:rsidRDefault="00440692" w:rsidP="00CB68B8">
      <w:pPr>
        <w:pStyle w:val="FootnoteText"/>
        <w:rPr>
          <w:rFonts w:cstheme="minorHAnsi"/>
        </w:rPr>
      </w:pPr>
      <w:r w:rsidRPr="00020FD7">
        <w:rPr>
          <w:rStyle w:val="FootnoteReference"/>
          <w:rFonts w:cstheme="minorHAnsi"/>
        </w:rPr>
        <w:footnoteRef/>
      </w:r>
      <w:r w:rsidRPr="00020FD7">
        <w:rPr>
          <w:rFonts w:cstheme="minorHAnsi"/>
        </w:rPr>
        <w:t xml:space="preserve"> </w:t>
      </w:r>
      <w:r w:rsidRPr="00020FD7">
        <w:rPr>
          <w:rFonts w:cstheme="minorHAnsi"/>
          <w:i/>
          <w:iCs/>
        </w:rPr>
        <w:t>Netherlands v Reed</w:t>
      </w:r>
      <w:r w:rsidRPr="00020FD7">
        <w:rPr>
          <w:rFonts w:cstheme="minorHAnsi"/>
        </w:rPr>
        <w:t xml:space="preserve"> (Case 59/85).</w:t>
      </w:r>
    </w:p>
  </w:footnote>
  <w:footnote w:id="125">
    <w:p w14:paraId="1C81228A" w14:textId="2467CFA9" w:rsidR="00440692" w:rsidRPr="002130C0" w:rsidRDefault="00440692"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Diatta v Land Berlin</w:t>
      </w:r>
      <w:r w:rsidRPr="002130C0">
        <w:rPr>
          <w:rFonts w:cstheme="minorHAnsi"/>
        </w:rPr>
        <w:t xml:space="preserve"> (Case 267/83).</w:t>
      </w:r>
    </w:p>
  </w:footnote>
  <w:footnote w:id="126">
    <w:p w14:paraId="3C358E9F" w14:textId="54CD8B1A" w:rsidR="00440692" w:rsidRPr="002130C0" w:rsidRDefault="00440692" w:rsidP="00CB68B8">
      <w:pPr>
        <w:spacing w:after="0" w:line="240" w:lineRule="auto"/>
        <w:rPr>
          <w:rFonts w:cstheme="minorHAnsi"/>
          <w:sz w:val="20"/>
          <w:szCs w:val="20"/>
        </w:rPr>
      </w:pPr>
      <w:r w:rsidRPr="002130C0">
        <w:rPr>
          <w:rStyle w:val="FootnoteReference"/>
          <w:rFonts w:cstheme="minorHAnsi"/>
          <w:sz w:val="20"/>
          <w:szCs w:val="20"/>
        </w:rPr>
        <w:footnoteRef/>
      </w:r>
      <w:r w:rsidRPr="002130C0">
        <w:rPr>
          <w:rFonts w:cstheme="minorHAnsi"/>
          <w:sz w:val="20"/>
          <w:szCs w:val="20"/>
        </w:rPr>
        <w:t xml:space="preserve"> </w:t>
      </w:r>
      <w:r w:rsidRPr="002130C0">
        <w:rPr>
          <w:rFonts w:cstheme="minorHAnsi"/>
          <w:i/>
          <w:iCs/>
          <w:sz w:val="20"/>
          <w:szCs w:val="20"/>
        </w:rPr>
        <w:t>Coman</w:t>
      </w:r>
      <w:r w:rsidRPr="002130C0">
        <w:rPr>
          <w:rFonts w:cstheme="minorHAnsi"/>
          <w:sz w:val="20"/>
          <w:szCs w:val="20"/>
        </w:rPr>
        <w:t xml:space="preserve"> (Case C</w:t>
      </w:r>
      <w:r w:rsidRPr="002130C0">
        <w:rPr>
          <w:rFonts w:cstheme="minorHAnsi"/>
          <w:sz w:val="20"/>
          <w:szCs w:val="20"/>
        </w:rPr>
        <w:noBreakHyphen/>
        <w:t>673/16).</w:t>
      </w:r>
    </w:p>
  </w:footnote>
  <w:footnote w:id="127">
    <w:p w14:paraId="1810E4FC" w14:textId="76CE8284" w:rsidR="00440692" w:rsidRPr="002130C0" w:rsidRDefault="00440692"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156928" w:rsidRPr="002130C0">
        <w:rPr>
          <w:rFonts w:cstheme="minorHAnsi"/>
        </w:rPr>
        <w:t xml:space="preserve">Alina </w:t>
      </w:r>
      <w:proofErr w:type="spellStart"/>
      <w:r w:rsidR="00363010" w:rsidRPr="002130C0">
        <w:rPr>
          <w:rFonts w:cstheme="minorHAnsi"/>
        </w:rPr>
        <w:t>Tryfonidou</w:t>
      </w:r>
      <w:proofErr w:type="spellEnd"/>
      <w:r w:rsidR="00363010" w:rsidRPr="002130C0">
        <w:rPr>
          <w:rFonts w:cstheme="minorHAnsi"/>
        </w:rPr>
        <w:t xml:space="preserve">, </w:t>
      </w:r>
      <w:r w:rsidR="0067286B" w:rsidRPr="002130C0">
        <w:rPr>
          <w:rFonts w:cstheme="minorHAnsi"/>
        </w:rPr>
        <w:t>‘</w:t>
      </w:r>
      <w:r w:rsidR="00363010" w:rsidRPr="002130C0">
        <w:rPr>
          <w:rFonts w:cstheme="minorHAnsi"/>
        </w:rPr>
        <w:t xml:space="preserve">The ECJ </w:t>
      </w:r>
      <w:r w:rsidR="0067286B" w:rsidRPr="002130C0">
        <w:rPr>
          <w:rFonts w:cstheme="minorHAnsi"/>
        </w:rPr>
        <w:t>R</w:t>
      </w:r>
      <w:r w:rsidR="00363010" w:rsidRPr="002130C0">
        <w:rPr>
          <w:rFonts w:cstheme="minorHAnsi"/>
        </w:rPr>
        <w:t xml:space="preserve">ecognises the </w:t>
      </w:r>
      <w:r w:rsidR="0067286B" w:rsidRPr="002130C0">
        <w:rPr>
          <w:rFonts w:cstheme="minorHAnsi"/>
        </w:rPr>
        <w:t>R</w:t>
      </w:r>
      <w:r w:rsidR="00363010" w:rsidRPr="002130C0">
        <w:rPr>
          <w:rFonts w:cstheme="minorHAnsi"/>
        </w:rPr>
        <w:t xml:space="preserve">ight of </w:t>
      </w:r>
      <w:r w:rsidR="0067286B" w:rsidRPr="002130C0">
        <w:rPr>
          <w:rFonts w:cstheme="minorHAnsi"/>
        </w:rPr>
        <w:t>S</w:t>
      </w:r>
      <w:r w:rsidR="00363010" w:rsidRPr="002130C0">
        <w:rPr>
          <w:rFonts w:cstheme="minorHAnsi"/>
        </w:rPr>
        <w:t xml:space="preserve">ame </w:t>
      </w:r>
      <w:r w:rsidR="0067286B" w:rsidRPr="002130C0">
        <w:rPr>
          <w:rFonts w:cstheme="minorHAnsi"/>
        </w:rPr>
        <w:t>S</w:t>
      </w:r>
      <w:r w:rsidR="00363010" w:rsidRPr="002130C0">
        <w:rPr>
          <w:rFonts w:cstheme="minorHAnsi"/>
        </w:rPr>
        <w:t xml:space="preserve">ex </w:t>
      </w:r>
      <w:r w:rsidR="0067286B" w:rsidRPr="002130C0">
        <w:rPr>
          <w:rFonts w:cstheme="minorHAnsi"/>
        </w:rPr>
        <w:t>S</w:t>
      </w:r>
      <w:r w:rsidR="00363010" w:rsidRPr="002130C0">
        <w:rPr>
          <w:rFonts w:cstheme="minorHAnsi"/>
        </w:rPr>
        <w:t xml:space="preserve">pouses to </w:t>
      </w:r>
      <w:r w:rsidR="0067286B" w:rsidRPr="002130C0">
        <w:rPr>
          <w:rFonts w:cstheme="minorHAnsi"/>
        </w:rPr>
        <w:t>M</w:t>
      </w:r>
      <w:r w:rsidR="00363010" w:rsidRPr="002130C0">
        <w:rPr>
          <w:rFonts w:cstheme="minorHAnsi"/>
        </w:rPr>
        <w:t xml:space="preserve">ove </w:t>
      </w:r>
      <w:r w:rsidR="0067286B" w:rsidRPr="002130C0">
        <w:rPr>
          <w:rFonts w:cstheme="minorHAnsi"/>
        </w:rPr>
        <w:t>F</w:t>
      </w:r>
      <w:r w:rsidR="00363010" w:rsidRPr="002130C0">
        <w:rPr>
          <w:rFonts w:cstheme="minorHAnsi"/>
        </w:rPr>
        <w:t xml:space="preserve">reely </w:t>
      </w:r>
      <w:r w:rsidR="0067286B" w:rsidRPr="002130C0">
        <w:rPr>
          <w:rFonts w:cstheme="minorHAnsi"/>
        </w:rPr>
        <w:t>B</w:t>
      </w:r>
      <w:r w:rsidR="00363010" w:rsidRPr="002130C0">
        <w:rPr>
          <w:rFonts w:cstheme="minorHAnsi"/>
        </w:rPr>
        <w:t xml:space="preserve">etween EU Member States: </w:t>
      </w:r>
      <w:proofErr w:type="gramStart"/>
      <w:r w:rsidR="00363010" w:rsidRPr="002130C0">
        <w:rPr>
          <w:rFonts w:cstheme="minorHAnsi"/>
        </w:rPr>
        <w:t>the</w:t>
      </w:r>
      <w:proofErr w:type="gramEnd"/>
      <w:r w:rsidR="00363010" w:rsidRPr="002130C0">
        <w:rPr>
          <w:rFonts w:cstheme="minorHAnsi"/>
        </w:rPr>
        <w:t xml:space="preserve"> Coman </w:t>
      </w:r>
      <w:r w:rsidR="0067286B" w:rsidRPr="002130C0">
        <w:rPr>
          <w:rFonts w:cstheme="minorHAnsi"/>
        </w:rPr>
        <w:t>R</w:t>
      </w:r>
      <w:r w:rsidR="00363010" w:rsidRPr="002130C0">
        <w:rPr>
          <w:rFonts w:cstheme="minorHAnsi"/>
        </w:rPr>
        <w:t>uling</w:t>
      </w:r>
      <w:r w:rsidR="0067286B" w:rsidRPr="002130C0">
        <w:rPr>
          <w:rFonts w:cstheme="minorHAnsi"/>
        </w:rPr>
        <w:t>’</w:t>
      </w:r>
      <w:r w:rsidR="000F3738" w:rsidRPr="002130C0">
        <w:rPr>
          <w:rFonts w:cstheme="minorHAnsi"/>
        </w:rPr>
        <w:t xml:space="preserve"> </w:t>
      </w:r>
      <w:r w:rsidR="00020FD7">
        <w:rPr>
          <w:rFonts w:cstheme="minorHAnsi"/>
        </w:rPr>
        <w:t>(</w:t>
      </w:r>
      <w:r w:rsidR="0067286B" w:rsidRPr="002130C0">
        <w:rPr>
          <w:rFonts w:cstheme="minorHAnsi"/>
        </w:rPr>
        <w:t>2019</w:t>
      </w:r>
      <w:r w:rsidR="00020FD7">
        <w:rPr>
          <w:rFonts w:cstheme="minorHAnsi"/>
        </w:rPr>
        <w:t>)</w:t>
      </w:r>
      <w:r w:rsidR="0067286B" w:rsidRPr="002130C0">
        <w:rPr>
          <w:rFonts w:cstheme="minorHAnsi"/>
        </w:rPr>
        <w:t xml:space="preserve"> </w:t>
      </w:r>
      <w:r w:rsidR="00363010" w:rsidRPr="002130C0">
        <w:rPr>
          <w:rFonts w:cstheme="minorHAnsi"/>
          <w:i/>
          <w:iCs/>
        </w:rPr>
        <w:t>European Law Review</w:t>
      </w:r>
      <w:r w:rsidR="000F3738" w:rsidRPr="002130C0">
        <w:rPr>
          <w:rFonts w:cstheme="minorHAnsi"/>
        </w:rPr>
        <w:t xml:space="preserve"> </w:t>
      </w:r>
      <w:r w:rsidR="0067286B" w:rsidRPr="002130C0">
        <w:rPr>
          <w:rFonts w:cstheme="minorHAnsi"/>
        </w:rPr>
        <w:t xml:space="preserve">44(5), </w:t>
      </w:r>
      <w:r w:rsidR="00363010" w:rsidRPr="002130C0">
        <w:rPr>
          <w:rFonts w:cstheme="minorHAnsi"/>
        </w:rPr>
        <w:t>663-679.</w:t>
      </w:r>
    </w:p>
  </w:footnote>
  <w:footnote w:id="128">
    <w:p w14:paraId="58B293E5" w14:textId="16617879" w:rsidR="007B4895" w:rsidRPr="002F2427" w:rsidRDefault="007B4895" w:rsidP="002F2427">
      <w:pPr>
        <w:spacing w:after="0" w:line="240" w:lineRule="auto"/>
        <w:rPr>
          <w:rFonts w:eastAsia="Times New Roman"/>
          <w:kern w:val="36"/>
          <w:sz w:val="20"/>
          <w:szCs w:val="20"/>
          <w:lang w:eastAsia="en-GB"/>
        </w:rPr>
      </w:pPr>
      <w:r w:rsidRPr="002F2427">
        <w:rPr>
          <w:rStyle w:val="FootnoteReference"/>
          <w:rFonts w:cstheme="minorHAnsi"/>
          <w:color w:val="000000" w:themeColor="text1"/>
          <w:sz w:val="20"/>
          <w:szCs w:val="20"/>
        </w:rPr>
        <w:footnoteRef/>
      </w:r>
      <w:r w:rsidRPr="002F2427">
        <w:rPr>
          <w:sz w:val="20"/>
          <w:szCs w:val="20"/>
        </w:rPr>
        <w:t xml:space="preserve"> </w:t>
      </w:r>
      <w:r w:rsidR="00156928" w:rsidRPr="002F2427">
        <w:rPr>
          <w:sz w:val="20"/>
          <w:szCs w:val="20"/>
        </w:rPr>
        <w:t xml:space="preserve">Frances </w:t>
      </w:r>
      <w:r w:rsidR="00E64898" w:rsidRPr="002F2427">
        <w:rPr>
          <w:sz w:val="20"/>
          <w:szCs w:val="20"/>
        </w:rPr>
        <w:t>Hamilton, ‘The Potential of European Union Law to Further Advance LGBTQ+ Persons and Same-Sex Couples’ Rights and the Resulting Consequence of Brexit’</w:t>
      </w:r>
      <w:r w:rsidR="00896BF3">
        <w:rPr>
          <w:sz w:val="20"/>
          <w:szCs w:val="20"/>
        </w:rPr>
        <w:t>,</w:t>
      </w:r>
      <w:r w:rsidR="008269BE" w:rsidRPr="002F2427">
        <w:rPr>
          <w:sz w:val="20"/>
          <w:szCs w:val="20"/>
        </w:rPr>
        <w:t xml:space="preserve"> in </w:t>
      </w:r>
      <w:r w:rsidR="00156928" w:rsidRPr="002F2427">
        <w:rPr>
          <w:sz w:val="20"/>
          <w:szCs w:val="20"/>
        </w:rPr>
        <w:t xml:space="preserve">Frances </w:t>
      </w:r>
      <w:r w:rsidR="008269BE" w:rsidRPr="002F2427">
        <w:rPr>
          <w:sz w:val="20"/>
          <w:szCs w:val="20"/>
        </w:rPr>
        <w:t xml:space="preserve">Hamilton and </w:t>
      </w:r>
      <w:r w:rsidR="00156928" w:rsidRPr="002F2427">
        <w:rPr>
          <w:sz w:val="20"/>
          <w:szCs w:val="20"/>
        </w:rPr>
        <w:t xml:space="preserve">Guido </w:t>
      </w:r>
      <w:r w:rsidR="008269BE" w:rsidRPr="002F2427">
        <w:rPr>
          <w:sz w:val="20"/>
          <w:szCs w:val="20"/>
        </w:rPr>
        <w:t>Noto La Diega</w:t>
      </w:r>
      <w:r w:rsidR="00AC71F1" w:rsidRPr="002F2427">
        <w:rPr>
          <w:sz w:val="20"/>
          <w:szCs w:val="20"/>
        </w:rPr>
        <w:t xml:space="preserve"> </w:t>
      </w:r>
      <w:r w:rsidR="00D06320" w:rsidRPr="002F2427">
        <w:rPr>
          <w:sz w:val="20"/>
          <w:szCs w:val="20"/>
        </w:rPr>
        <w:t>(eds)</w:t>
      </w:r>
      <w:r w:rsidR="00AC71F1" w:rsidRPr="002F2427">
        <w:rPr>
          <w:sz w:val="20"/>
          <w:szCs w:val="20"/>
        </w:rPr>
        <w:t>,</w:t>
      </w:r>
      <w:r w:rsidR="008269BE" w:rsidRPr="002F2427">
        <w:rPr>
          <w:sz w:val="20"/>
          <w:szCs w:val="20"/>
        </w:rPr>
        <w:t xml:space="preserve"> </w:t>
      </w:r>
      <w:r w:rsidR="00E77586" w:rsidRPr="002F2427">
        <w:rPr>
          <w:rFonts w:eastAsia="Times New Roman"/>
          <w:i/>
          <w:iCs/>
          <w:kern w:val="36"/>
          <w:sz w:val="20"/>
          <w:szCs w:val="20"/>
          <w:lang w:eastAsia="en-GB"/>
        </w:rPr>
        <w:t>Same-Sex Relationships, Law and Social Change</w:t>
      </w:r>
      <w:r w:rsidR="000F3738" w:rsidRPr="002F2427">
        <w:rPr>
          <w:rFonts w:eastAsia="Times New Roman"/>
          <w:kern w:val="36"/>
          <w:sz w:val="20"/>
          <w:szCs w:val="20"/>
          <w:lang w:eastAsia="en-GB"/>
        </w:rPr>
        <w:t xml:space="preserve"> (Routledge, 2020)</w:t>
      </w:r>
      <w:r w:rsidR="003329CF" w:rsidRPr="002F2427">
        <w:rPr>
          <w:rFonts w:eastAsia="Times New Roman"/>
          <w:kern w:val="36"/>
          <w:sz w:val="20"/>
          <w:szCs w:val="20"/>
          <w:lang w:eastAsia="en-GB"/>
        </w:rPr>
        <w:t>,</w:t>
      </w:r>
      <w:r w:rsidR="004A3BC5" w:rsidRPr="002F2427">
        <w:rPr>
          <w:rFonts w:eastAsia="Times New Roman"/>
          <w:kern w:val="36"/>
          <w:sz w:val="20"/>
          <w:szCs w:val="20"/>
          <w:lang w:eastAsia="en-GB"/>
        </w:rPr>
        <w:t xml:space="preserve"> 11</w:t>
      </w:r>
      <w:r w:rsidR="005E1EB9" w:rsidRPr="002F2427">
        <w:rPr>
          <w:rFonts w:eastAsia="Times New Roman"/>
          <w:kern w:val="36"/>
          <w:sz w:val="20"/>
          <w:szCs w:val="20"/>
          <w:lang w:eastAsia="en-GB"/>
        </w:rPr>
        <w:t>-32</w:t>
      </w:r>
      <w:r w:rsidR="004A3BC5" w:rsidRPr="002F2427">
        <w:rPr>
          <w:rFonts w:eastAsia="Times New Roman"/>
          <w:kern w:val="36"/>
          <w:sz w:val="20"/>
          <w:szCs w:val="20"/>
          <w:lang w:eastAsia="en-GB"/>
        </w:rPr>
        <w:t>.</w:t>
      </w:r>
    </w:p>
  </w:footnote>
  <w:footnote w:id="129">
    <w:p w14:paraId="5805FEDF" w14:textId="44E3B789" w:rsidR="00840BF7" w:rsidRPr="002F2427" w:rsidRDefault="00840BF7" w:rsidP="002F2427">
      <w:pPr>
        <w:spacing w:after="0" w:line="240" w:lineRule="auto"/>
        <w:rPr>
          <w:rFonts w:eastAsia="Times New Roman"/>
          <w:sz w:val="20"/>
          <w:szCs w:val="20"/>
          <w:lang w:eastAsia="en-GB"/>
        </w:rPr>
      </w:pPr>
      <w:r w:rsidRPr="002F2427">
        <w:rPr>
          <w:rStyle w:val="FootnoteReference"/>
          <w:rFonts w:cstheme="minorHAnsi"/>
          <w:color w:val="000000" w:themeColor="text1"/>
          <w:sz w:val="20"/>
          <w:szCs w:val="20"/>
        </w:rPr>
        <w:footnoteRef/>
      </w:r>
      <w:r w:rsidRPr="002F2427">
        <w:rPr>
          <w:sz w:val="20"/>
          <w:szCs w:val="20"/>
        </w:rPr>
        <w:t xml:space="preserve"> </w:t>
      </w:r>
      <w:r w:rsidR="000B7624" w:rsidRPr="002F2427">
        <w:rPr>
          <w:sz w:val="20"/>
          <w:szCs w:val="20"/>
        </w:rPr>
        <w:t xml:space="preserve">Dimitry </w:t>
      </w:r>
      <w:proofErr w:type="spellStart"/>
      <w:r w:rsidR="00A7222C" w:rsidRPr="002F2427">
        <w:rPr>
          <w:sz w:val="20"/>
          <w:szCs w:val="20"/>
        </w:rPr>
        <w:t>Kocheno</w:t>
      </w:r>
      <w:r w:rsidR="000B7624" w:rsidRPr="002F2427">
        <w:rPr>
          <w:sz w:val="20"/>
          <w:szCs w:val="20"/>
        </w:rPr>
        <w:t>v</w:t>
      </w:r>
      <w:proofErr w:type="spellEnd"/>
      <w:r w:rsidR="000B7624" w:rsidRPr="002F2427">
        <w:rPr>
          <w:sz w:val="20"/>
          <w:szCs w:val="20"/>
        </w:rPr>
        <w:t xml:space="preserve"> </w:t>
      </w:r>
      <w:r w:rsidR="00A7222C" w:rsidRPr="002F2427">
        <w:rPr>
          <w:sz w:val="20"/>
          <w:szCs w:val="20"/>
        </w:rPr>
        <w:t xml:space="preserve">and </w:t>
      </w:r>
      <w:r w:rsidR="000B7624" w:rsidRPr="002F2427">
        <w:rPr>
          <w:sz w:val="20"/>
          <w:szCs w:val="20"/>
          <w:shd w:val="clear" w:color="auto" w:fill="FFFFFF"/>
        </w:rPr>
        <w:t>Uladzislau</w:t>
      </w:r>
      <w:r w:rsidR="000B7624" w:rsidRPr="002F2427">
        <w:rPr>
          <w:sz w:val="20"/>
          <w:szCs w:val="20"/>
        </w:rPr>
        <w:t xml:space="preserve"> </w:t>
      </w:r>
      <w:proofErr w:type="spellStart"/>
      <w:r w:rsidR="00A7222C" w:rsidRPr="002F2427">
        <w:rPr>
          <w:sz w:val="20"/>
          <w:szCs w:val="20"/>
        </w:rPr>
        <w:t>Belavusau</w:t>
      </w:r>
      <w:proofErr w:type="spellEnd"/>
      <w:r w:rsidR="00A7222C" w:rsidRPr="002F2427">
        <w:rPr>
          <w:sz w:val="20"/>
          <w:szCs w:val="20"/>
        </w:rPr>
        <w:t xml:space="preserve">, ‘After the Celebration: </w:t>
      </w:r>
      <w:r w:rsidR="000F3738" w:rsidRPr="002F2427">
        <w:rPr>
          <w:sz w:val="20"/>
          <w:szCs w:val="20"/>
        </w:rPr>
        <w:t>Marriage</w:t>
      </w:r>
      <w:r w:rsidR="00A7222C" w:rsidRPr="002F2427">
        <w:rPr>
          <w:sz w:val="20"/>
          <w:szCs w:val="20"/>
        </w:rPr>
        <w:t xml:space="preserve"> Equality in EU Law Post-Coman in Eight Questions and Some </w:t>
      </w:r>
      <w:r w:rsidR="0067286B" w:rsidRPr="002F2427">
        <w:rPr>
          <w:sz w:val="20"/>
          <w:szCs w:val="20"/>
        </w:rPr>
        <w:t>F</w:t>
      </w:r>
      <w:r w:rsidR="00A7222C" w:rsidRPr="002F2427">
        <w:rPr>
          <w:sz w:val="20"/>
          <w:szCs w:val="20"/>
        </w:rPr>
        <w:t xml:space="preserve">urther </w:t>
      </w:r>
      <w:r w:rsidR="0067286B" w:rsidRPr="002F2427">
        <w:rPr>
          <w:sz w:val="20"/>
          <w:szCs w:val="20"/>
        </w:rPr>
        <w:t>T</w:t>
      </w:r>
      <w:r w:rsidR="00A7222C" w:rsidRPr="002F2427">
        <w:rPr>
          <w:sz w:val="20"/>
          <w:szCs w:val="20"/>
        </w:rPr>
        <w:t>houghts</w:t>
      </w:r>
      <w:proofErr w:type="gramStart"/>
      <w:r w:rsidR="0067286B" w:rsidRPr="002F2427">
        <w:rPr>
          <w:sz w:val="20"/>
          <w:szCs w:val="20"/>
        </w:rPr>
        <w:t>’</w:t>
      </w:r>
      <w:r w:rsidR="00E506EB" w:rsidRPr="002F2427">
        <w:rPr>
          <w:sz w:val="20"/>
          <w:szCs w:val="20"/>
        </w:rPr>
        <w:t xml:space="preserve"> </w:t>
      </w:r>
      <w:r w:rsidR="0067286B" w:rsidRPr="002F2427">
        <w:rPr>
          <w:sz w:val="20"/>
          <w:szCs w:val="20"/>
        </w:rPr>
        <w:t xml:space="preserve"> </w:t>
      </w:r>
      <w:r w:rsidR="007672BE">
        <w:rPr>
          <w:sz w:val="20"/>
          <w:szCs w:val="20"/>
        </w:rPr>
        <w:t>(</w:t>
      </w:r>
      <w:proofErr w:type="gramEnd"/>
      <w:r w:rsidR="0067286B" w:rsidRPr="002F2427">
        <w:rPr>
          <w:sz w:val="20"/>
          <w:szCs w:val="20"/>
        </w:rPr>
        <w:t>2020</w:t>
      </w:r>
      <w:r w:rsidR="007672BE">
        <w:rPr>
          <w:sz w:val="20"/>
          <w:szCs w:val="20"/>
        </w:rPr>
        <w:t>)</w:t>
      </w:r>
      <w:r w:rsidR="003329CF" w:rsidRPr="002F2427">
        <w:rPr>
          <w:sz w:val="20"/>
          <w:szCs w:val="20"/>
        </w:rPr>
        <w:t xml:space="preserve"> </w:t>
      </w:r>
      <w:r w:rsidR="00D051F8" w:rsidRPr="002F2427">
        <w:rPr>
          <w:i/>
          <w:iCs/>
          <w:sz w:val="20"/>
          <w:szCs w:val="20"/>
          <w:shd w:val="clear" w:color="auto" w:fill="FFFFFF"/>
        </w:rPr>
        <w:t>Maastricht Journal of European and Comparative Law</w:t>
      </w:r>
      <w:r w:rsidR="0067286B" w:rsidRPr="002F2427">
        <w:rPr>
          <w:i/>
          <w:iCs/>
          <w:sz w:val="20"/>
          <w:szCs w:val="20"/>
          <w:shd w:val="clear" w:color="auto" w:fill="FFFFFF"/>
        </w:rPr>
        <w:t xml:space="preserve"> </w:t>
      </w:r>
      <w:r w:rsidR="0067286B" w:rsidRPr="002F2427">
        <w:rPr>
          <w:sz w:val="20"/>
          <w:szCs w:val="20"/>
          <w:shd w:val="clear" w:color="auto" w:fill="FFFFFF"/>
        </w:rPr>
        <w:t>27(5),</w:t>
      </w:r>
      <w:r w:rsidR="00D051F8" w:rsidRPr="002F2427">
        <w:rPr>
          <w:sz w:val="20"/>
          <w:szCs w:val="20"/>
          <w:shd w:val="clear" w:color="auto" w:fill="FFFFFF"/>
        </w:rPr>
        <w:t xml:space="preserve"> 549</w:t>
      </w:r>
      <w:r w:rsidR="00E065D2">
        <w:rPr>
          <w:sz w:val="20"/>
          <w:szCs w:val="20"/>
          <w:shd w:val="clear" w:color="auto" w:fill="FFFFFF"/>
        </w:rPr>
        <w:t>-</w:t>
      </w:r>
      <w:r w:rsidR="00D051F8" w:rsidRPr="002F2427">
        <w:rPr>
          <w:sz w:val="20"/>
          <w:szCs w:val="20"/>
          <w:shd w:val="clear" w:color="auto" w:fill="FFFFFF"/>
        </w:rPr>
        <w:t>572</w:t>
      </w:r>
      <w:r w:rsidR="00D06320" w:rsidRPr="002F2427">
        <w:rPr>
          <w:sz w:val="20"/>
          <w:szCs w:val="20"/>
          <w:shd w:val="clear" w:color="auto" w:fill="FFFFFF"/>
        </w:rPr>
        <w:t>.</w:t>
      </w:r>
      <w:r w:rsidR="00E506EB" w:rsidRPr="002F2427">
        <w:rPr>
          <w:sz w:val="20"/>
          <w:szCs w:val="20"/>
        </w:rPr>
        <w:t xml:space="preserve"> </w:t>
      </w:r>
    </w:p>
  </w:footnote>
  <w:footnote w:id="130">
    <w:p w14:paraId="2418EEB1" w14:textId="686BA679" w:rsidR="0070278E" w:rsidRPr="002130C0" w:rsidRDefault="0070278E"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rPr>
        <w:t xml:space="preserve"> </w:t>
      </w:r>
      <w:r w:rsidR="00B474E8" w:rsidRPr="002130C0">
        <w:rPr>
          <w:rFonts w:cstheme="minorHAnsi"/>
          <w:color w:val="000000" w:themeColor="text1"/>
        </w:rPr>
        <w:t>Citizenship Directive</w:t>
      </w:r>
      <w:r w:rsidR="00CC3B23" w:rsidRPr="002130C0">
        <w:rPr>
          <w:rFonts w:cstheme="minorHAnsi"/>
          <w:color w:val="000000" w:themeColor="text1"/>
        </w:rPr>
        <w:t xml:space="preserve"> (n</w:t>
      </w:r>
      <w:r w:rsidR="00E001CD">
        <w:rPr>
          <w:rFonts w:cstheme="minorHAnsi"/>
          <w:color w:val="000000" w:themeColor="text1"/>
        </w:rPr>
        <w:t>4</w:t>
      </w:r>
      <w:r w:rsidR="00CC3B23" w:rsidRPr="002130C0">
        <w:rPr>
          <w:rFonts w:cstheme="minorHAnsi"/>
          <w:color w:val="000000" w:themeColor="text1"/>
        </w:rPr>
        <w:t>), a</w:t>
      </w:r>
      <w:r w:rsidR="00901317" w:rsidRPr="002130C0">
        <w:rPr>
          <w:rFonts w:cstheme="minorHAnsi"/>
          <w:color w:val="000000" w:themeColor="text1"/>
        </w:rPr>
        <w:t>rt 2(2)(b).</w:t>
      </w:r>
    </w:p>
  </w:footnote>
  <w:footnote w:id="131">
    <w:p w14:paraId="65CDFF04" w14:textId="304A84B6" w:rsidR="002C1BB0" w:rsidRPr="002130C0" w:rsidRDefault="002C1BB0"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rPr>
        <w:t xml:space="preserve"> </w:t>
      </w:r>
      <w:r w:rsidRPr="002130C0">
        <w:rPr>
          <w:rFonts w:eastAsia="Times New Roman" w:cstheme="minorHAnsi"/>
          <w:color w:val="000000" w:themeColor="text1"/>
          <w:lang w:eastAsia="en-GB"/>
        </w:rPr>
        <w:t>Duggan</w:t>
      </w:r>
      <w:r w:rsidR="00CB3035" w:rsidRPr="002130C0">
        <w:rPr>
          <w:rFonts w:eastAsia="Times New Roman" w:cstheme="minorHAnsi"/>
          <w:color w:val="000000" w:themeColor="text1"/>
          <w:lang w:eastAsia="en-GB"/>
        </w:rPr>
        <w:t xml:space="preserve"> </w:t>
      </w:r>
      <w:r w:rsidR="0023307B">
        <w:rPr>
          <w:rFonts w:eastAsia="Times New Roman" w:cstheme="minorHAnsi"/>
          <w:color w:val="000000" w:themeColor="text1"/>
          <w:lang w:eastAsia="en-GB"/>
        </w:rPr>
        <w:t>(</w:t>
      </w:r>
      <w:r w:rsidR="00CB3035" w:rsidRPr="002130C0">
        <w:rPr>
          <w:rFonts w:eastAsia="Times New Roman" w:cstheme="minorHAnsi"/>
          <w:color w:val="000000" w:themeColor="text1"/>
          <w:lang w:eastAsia="en-GB"/>
        </w:rPr>
        <w:t>n</w:t>
      </w:r>
      <w:r w:rsidR="00E54455">
        <w:rPr>
          <w:rFonts w:eastAsia="Times New Roman" w:cstheme="minorHAnsi"/>
          <w:color w:val="000000" w:themeColor="text1"/>
          <w:lang w:eastAsia="en-GB"/>
        </w:rPr>
        <w:t>105</w:t>
      </w:r>
      <w:r w:rsidR="0023307B">
        <w:rPr>
          <w:rFonts w:eastAsia="Times New Roman" w:cstheme="minorHAnsi"/>
          <w:color w:val="000000" w:themeColor="text1"/>
          <w:lang w:eastAsia="en-GB"/>
        </w:rPr>
        <w:t>)</w:t>
      </w:r>
      <w:r w:rsidR="00E065D2">
        <w:rPr>
          <w:rFonts w:eastAsia="Times New Roman" w:cstheme="minorHAnsi"/>
          <w:color w:val="000000" w:themeColor="text1"/>
          <w:lang w:eastAsia="en-GB"/>
        </w:rPr>
        <w:t xml:space="preserve">, </w:t>
      </w:r>
      <w:r w:rsidRPr="002130C0">
        <w:rPr>
          <w:rFonts w:cstheme="minorHAnsi"/>
          <w:color w:val="000000" w:themeColor="text1"/>
        </w:rPr>
        <w:t>156.</w:t>
      </w:r>
    </w:p>
  </w:footnote>
  <w:footnote w:id="132">
    <w:p w14:paraId="47AFE5C7" w14:textId="689DE599" w:rsidR="00CA79B8" w:rsidRPr="002130C0" w:rsidRDefault="00CA79B8"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rPr>
        <w:t xml:space="preserve"> </w:t>
      </w:r>
      <w:r w:rsidR="00A94D56" w:rsidRPr="002130C0">
        <w:rPr>
          <w:rFonts w:cstheme="minorHAnsi"/>
          <w:color w:val="000000" w:themeColor="text1"/>
        </w:rPr>
        <w:t xml:space="preserve">See </w:t>
      </w:r>
      <w:r w:rsidR="001877B0" w:rsidRPr="002130C0">
        <w:rPr>
          <w:rFonts w:cstheme="minorHAnsi"/>
          <w:color w:val="000000" w:themeColor="text1"/>
        </w:rPr>
        <w:t xml:space="preserve">Erez </w:t>
      </w:r>
      <w:r w:rsidRPr="002130C0">
        <w:rPr>
          <w:rFonts w:cstheme="minorHAnsi"/>
          <w:color w:val="000000" w:themeColor="text1"/>
        </w:rPr>
        <w:t xml:space="preserve">Aloni, </w:t>
      </w:r>
      <w:r w:rsidR="000918B8" w:rsidRPr="002130C0">
        <w:rPr>
          <w:rFonts w:cstheme="minorHAnsi"/>
          <w:color w:val="000000" w:themeColor="text1"/>
        </w:rPr>
        <w:t>‘</w:t>
      </w:r>
      <w:r w:rsidRPr="002130C0">
        <w:rPr>
          <w:rFonts w:cstheme="minorHAnsi"/>
          <w:color w:val="000000" w:themeColor="text1"/>
        </w:rPr>
        <w:t>Incrementalism, Civil Unions and the Possibility of Predicting Legal Recognition of Same-Sex Marriage</w:t>
      </w:r>
      <w:r w:rsidR="000918B8" w:rsidRPr="002130C0">
        <w:rPr>
          <w:rFonts w:cstheme="minorHAnsi"/>
          <w:color w:val="000000" w:themeColor="text1"/>
        </w:rPr>
        <w:t>’</w:t>
      </w:r>
      <w:r w:rsidRPr="002130C0">
        <w:rPr>
          <w:rFonts w:cstheme="minorHAnsi"/>
          <w:color w:val="000000" w:themeColor="text1"/>
        </w:rPr>
        <w:t xml:space="preserve"> </w:t>
      </w:r>
      <w:r w:rsidR="00E065D2">
        <w:rPr>
          <w:rFonts w:cstheme="minorHAnsi"/>
          <w:color w:val="000000" w:themeColor="text1"/>
        </w:rPr>
        <w:t>(</w:t>
      </w:r>
      <w:r w:rsidR="00A94D56" w:rsidRPr="002130C0">
        <w:rPr>
          <w:rFonts w:cstheme="minorHAnsi"/>
          <w:color w:val="000000" w:themeColor="text1"/>
        </w:rPr>
        <w:t>2010</w:t>
      </w:r>
      <w:r w:rsidR="00E065D2">
        <w:rPr>
          <w:rFonts w:cstheme="minorHAnsi"/>
          <w:color w:val="000000" w:themeColor="text1"/>
        </w:rPr>
        <w:t>-</w:t>
      </w:r>
      <w:r w:rsidR="00A94D56" w:rsidRPr="002130C0">
        <w:rPr>
          <w:rFonts w:cstheme="minorHAnsi"/>
          <w:color w:val="000000" w:themeColor="text1"/>
        </w:rPr>
        <w:t>2011</w:t>
      </w:r>
      <w:r w:rsidR="00E065D2">
        <w:rPr>
          <w:rFonts w:cstheme="minorHAnsi"/>
          <w:color w:val="000000" w:themeColor="text1"/>
        </w:rPr>
        <w:t>)</w:t>
      </w:r>
      <w:r w:rsidR="00A94D56" w:rsidRPr="002130C0">
        <w:rPr>
          <w:rFonts w:cstheme="minorHAnsi"/>
          <w:color w:val="000000" w:themeColor="text1"/>
        </w:rPr>
        <w:t xml:space="preserve"> </w:t>
      </w:r>
      <w:r w:rsidR="00A94D56" w:rsidRPr="002130C0">
        <w:rPr>
          <w:rFonts w:cstheme="minorHAnsi"/>
          <w:i/>
          <w:iCs/>
          <w:color w:val="000000" w:themeColor="text1"/>
        </w:rPr>
        <w:t>Duke Journal of Gender Law and Policy</w:t>
      </w:r>
      <w:r w:rsidR="00A94D56" w:rsidRPr="002130C0">
        <w:rPr>
          <w:rFonts w:cstheme="minorHAnsi"/>
          <w:color w:val="000000" w:themeColor="text1"/>
        </w:rPr>
        <w:t xml:space="preserve"> </w:t>
      </w:r>
      <w:r w:rsidR="008D45D9">
        <w:rPr>
          <w:rFonts w:cstheme="minorHAnsi"/>
          <w:color w:val="000000" w:themeColor="text1"/>
        </w:rPr>
        <w:t xml:space="preserve">18, </w:t>
      </w:r>
      <w:r w:rsidR="009D07D2">
        <w:rPr>
          <w:rFonts w:cstheme="minorHAnsi"/>
          <w:color w:val="000000" w:themeColor="text1"/>
        </w:rPr>
        <w:t>105-143</w:t>
      </w:r>
      <w:r w:rsidR="00E065D2">
        <w:rPr>
          <w:rFonts w:cstheme="minorHAnsi"/>
          <w:color w:val="000000" w:themeColor="text1"/>
        </w:rPr>
        <w:t xml:space="preserve">; </w:t>
      </w:r>
      <w:r w:rsidRPr="002130C0">
        <w:rPr>
          <w:rFonts w:cstheme="minorHAnsi"/>
          <w:i/>
          <w:color w:val="000000" w:themeColor="text1"/>
        </w:rPr>
        <w:t>Wilkinson v Kritzinger</w:t>
      </w:r>
      <w:r w:rsidRPr="002130C0">
        <w:rPr>
          <w:rFonts w:cstheme="minorHAnsi"/>
          <w:color w:val="000000" w:themeColor="text1"/>
        </w:rPr>
        <w:t xml:space="preserve"> </w:t>
      </w:r>
      <w:r w:rsidR="00E065D2">
        <w:rPr>
          <w:rFonts w:cstheme="minorHAnsi"/>
          <w:color w:val="000000" w:themeColor="text1"/>
        </w:rPr>
        <w:t>[</w:t>
      </w:r>
      <w:r w:rsidR="007062B3">
        <w:rPr>
          <w:rFonts w:cstheme="minorHAnsi"/>
          <w:color w:val="000000" w:themeColor="text1"/>
        </w:rPr>
        <w:t xml:space="preserve">2006] </w:t>
      </w:r>
      <w:r w:rsidRPr="002130C0">
        <w:rPr>
          <w:rFonts w:cstheme="minorHAnsi"/>
          <w:color w:val="000000" w:themeColor="text1"/>
        </w:rPr>
        <w:t>EWHC 835</w:t>
      </w:r>
      <w:r w:rsidR="007062B3">
        <w:rPr>
          <w:rFonts w:cstheme="minorHAnsi"/>
          <w:color w:val="000000" w:themeColor="text1"/>
        </w:rPr>
        <w:t xml:space="preserve">, </w:t>
      </w:r>
      <w:r w:rsidRPr="002130C0">
        <w:rPr>
          <w:rFonts w:cstheme="minorHAnsi"/>
          <w:color w:val="000000" w:themeColor="text1"/>
        </w:rPr>
        <w:t>para 51</w:t>
      </w:r>
      <w:r w:rsidR="007062B3">
        <w:rPr>
          <w:rFonts w:cstheme="minorHAnsi"/>
          <w:color w:val="000000" w:themeColor="text1"/>
        </w:rPr>
        <w:t>,</w:t>
      </w:r>
      <w:r w:rsidRPr="002130C0">
        <w:rPr>
          <w:rFonts w:cstheme="minorHAnsi"/>
          <w:color w:val="000000" w:themeColor="text1"/>
        </w:rPr>
        <w:t xml:space="preserve"> referring to</w:t>
      </w:r>
      <w:r w:rsidRPr="002130C0">
        <w:rPr>
          <w:rFonts w:cstheme="minorHAnsi"/>
          <w:b/>
          <w:color w:val="000000" w:themeColor="text1"/>
        </w:rPr>
        <w:t xml:space="preserve"> </w:t>
      </w:r>
      <w:r w:rsidRPr="002130C0">
        <w:rPr>
          <w:rFonts w:cstheme="minorHAnsi"/>
          <w:color w:val="000000" w:themeColor="text1"/>
        </w:rPr>
        <w:t>Baroness Scotland (Hansard, HL 22 April 2004, Col 388).</w:t>
      </w:r>
    </w:p>
  </w:footnote>
  <w:footnote w:id="133">
    <w:p w14:paraId="3E845838" w14:textId="5C1F85D2" w:rsidR="000918B8" w:rsidRPr="002130C0" w:rsidRDefault="007A1B47" w:rsidP="00CB68B8">
      <w:pPr>
        <w:spacing w:after="0" w:line="240" w:lineRule="auto"/>
        <w:contextualSpacing/>
        <w:rPr>
          <w:rFonts w:cstheme="minorHAnsi"/>
          <w:sz w:val="20"/>
          <w:szCs w:val="20"/>
        </w:rPr>
      </w:pPr>
      <w:r w:rsidRPr="002130C0">
        <w:rPr>
          <w:rStyle w:val="FootnoteReference"/>
          <w:rFonts w:cstheme="minorHAnsi"/>
          <w:color w:val="000000" w:themeColor="text1"/>
          <w:sz w:val="20"/>
          <w:szCs w:val="20"/>
        </w:rPr>
        <w:footnoteRef/>
      </w:r>
      <w:r w:rsidRPr="002130C0">
        <w:rPr>
          <w:rFonts w:cstheme="minorHAnsi"/>
          <w:color w:val="000000" w:themeColor="text1"/>
          <w:sz w:val="20"/>
          <w:szCs w:val="20"/>
        </w:rPr>
        <w:t xml:space="preserve"> </w:t>
      </w:r>
      <w:r w:rsidR="000918B8" w:rsidRPr="002130C0">
        <w:rPr>
          <w:rFonts w:cstheme="minorHAnsi"/>
          <w:color w:val="000000" w:themeColor="text1"/>
          <w:sz w:val="20"/>
          <w:szCs w:val="20"/>
        </w:rPr>
        <w:t>HM Government, ‘Equal Marriage: The Government’s Response’ (2012)</w:t>
      </w:r>
      <w:r w:rsidR="007062B3">
        <w:rPr>
          <w:rFonts w:cstheme="minorHAnsi"/>
          <w:color w:val="000000" w:themeColor="text1"/>
          <w:sz w:val="20"/>
          <w:szCs w:val="20"/>
        </w:rPr>
        <w:t>,</w:t>
      </w:r>
      <w:r w:rsidR="000918B8" w:rsidRPr="002130C0">
        <w:rPr>
          <w:rFonts w:cstheme="minorHAnsi"/>
          <w:color w:val="000000" w:themeColor="text1"/>
          <w:sz w:val="20"/>
          <w:szCs w:val="20"/>
        </w:rPr>
        <w:t xml:space="preserve"> </w:t>
      </w:r>
      <w:r w:rsidRPr="002130C0">
        <w:rPr>
          <w:rFonts w:cstheme="minorHAnsi"/>
          <w:color w:val="000000" w:themeColor="text1"/>
          <w:sz w:val="20"/>
          <w:szCs w:val="20"/>
        </w:rPr>
        <w:t xml:space="preserve">available at </w:t>
      </w:r>
      <w:hyperlink r:id="rId25" w:history="1">
        <w:r w:rsidR="000918B8" w:rsidRPr="002130C0">
          <w:rPr>
            <w:rStyle w:val="Hyperlink"/>
            <w:rFonts w:cstheme="minorHAnsi"/>
            <w:color w:val="000000" w:themeColor="text1"/>
            <w:sz w:val="20"/>
            <w:szCs w:val="20"/>
          </w:rPr>
          <w:t>https://www.gov.uk/government/uploads/system/uploads/attachment_data/file/133262/consultation-response_1_.pdf 11</w:t>
        </w:r>
      </w:hyperlink>
      <w:r w:rsidR="000918B8" w:rsidRPr="002130C0">
        <w:rPr>
          <w:rFonts w:cstheme="minorHAnsi"/>
          <w:color w:val="000000" w:themeColor="text1"/>
          <w:sz w:val="20"/>
          <w:szCs w:val="20"/>
        </w:rPr>
        <w:t xml:space="preserve">. </w:t>
      </w:r>
    </w:p>
  </w:footnote>
  <w:footnote w:id="134">
    <w:p w14:paraId="41433A73" w14:textId="7B8D8028" w:rsidR="00303F57" w:rsidRPr="002130C0" w:rsidRDefault="00303F57"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 xml:space="preserve">R (on the Application of Steinfeld and Keidan) (Appellants) v Secretary of State for International Development </w:t>
      </w:r>
      <w:r w:rsidRPr="002130C0">
        <w:rPr>
          <w:rFonts w:cstheme="minorHAnsi"/>
        </w:rPr>
        <w:t>[2018] UKSC 32</w:t>
      </w:r>
      <w:r w:rsidR="00795A4E">
        <w:rPr>
          <w:rFonts w:cstheme="minorHAnsi"/>
          <w:i/>
          <w:iCs/>
        </w:rPr>
        <w:t>;</w:t>
      </w:r>
      <w:r w:rsidRPr="002130C0">
        <w:rPr>
          <w:rFonts w:cstheme="minorHAnsi"/>
        </w:rPr>
        <w:t xml:space="preserve"> </w:t>
      </w:r>
      <w:r w:rsidR="004C7F8B" w:rsidRPr="002130C0">
        <w:rPr>
          <w:rFonts w:cstheme="minorHAnsi"/>
        </w:rPr>
        <w:t xml:space="preserve">Rosemary </w:t>
      </w:r>
      <w:r w:rsidRPr="002130C0">
        <w:rPr>
          <w:rFonts w:cstheme="minorHAnsi"/>
        </w:rPr>
        <w:t xml:space="preserve">Auchmuty, ‘What’s So Special About Marriage? The Impact of Wilkinson v Kitzinger’ </w:t>
      </w:r>
      <w:r w:rsidR="009755DB">
        <w:rPr>
          <w:rFonts w:cstheme="minorHAnsi"/>
        </w:rPr>
        <w:t>(</w:t>
      </w:r>
      <w:r w:rsidR="00795A4E">
        <w:rPr>
          <w:rFonts w:cstheme="minorHAnsi"/>
        </w:rPr>
        <w:t>2008</w:t>
      </w:r>
      <w:r w:rsidR="009755DB">
        <w:rPr>
          <w:rFonts w:cstheme="minorHAnsi"/>
        </w:rPr>
        <w:t xml:space="preserve">) </w:t>
      </w:r>
      <w:r w:rsidRPr="002130C0">
        <w:rPr>
          <w:rFonts w:cstheme="minorHAnsi"/>
          <w:i/>
          <w:iCs/>
        </w:rPr>
        <w:t>Child and Family Law Quarterly</w:t>
      </w:r>
      <w:r w:rsidRPr="002130C0">
        <w:rPr>
          <w:rFonts w:cstheme="minorHAnsi"/>
        </w:rPr>
        <w:t xml:space="preserve"> </w:t>
      </w:r>
      <w:r w:rsidR="008C778A">
        <w:rPr>
          <w:rFonts w:cstheme="minorHAnsi"/>
        </w:rPr>
        <w:t xml:space="preserve">20(4), </w:t>
      </w:r>
      <w:r w:rsidRPr="002130C0">
        <w:rPr>
          <w:rFonts w:eastAsia="Times New Roman" w:cstheme="minorHAnsi"/>
          <w:lang w:eastAsia="en-GB"/>
        </w:rPr>
        <w:t>475-498</w:t>
      </w:r>
      <w:r w:rsidR="00976DBD">
        <w:rPr>
          <w:rFonts w:eastAsia="Times New Roman" w:cstheme="minorHAnsi"/>
          <w:lang w:eastAsia="en-GB"/>
        </w:rPr>
        <w:t>.</w:t>
      </w:r>
    </w:p>
  </w:footnote>
  <w:footnote w:id="135">
    <w:p w14:paraId="7B4CF036" w14:textId="395655F9" w:rsidR="000918B8" w:rsidRPr="002130C0" w:rsidRDefault="00B148FC" w:rsidP="00CB68B8">
      <w:pPr>
        <w:spacing w:after="0" w:line="240" w:lineRule="auto"/>
        <w:rPr>
          <w:rFonts w:cstheme="minorHAnsi"/>
          <w:sz w:val="20"/>
          <w:szCs w:val="20"/>
        </w:rPr>
      </w:pPr>
      <w:r w:rsidRPr="002130C0">
        <w:rPr>
          <w:rStyle w:val="FootnoteReference"/>
          <w:rFonts w:cstheme="minorHAnsi"/>
          <w:sz w:val="20"/>
          <w:szCs w:val="20"/>
        </w:rPr>
        <w:footnoteRef/>
      </w:r>
      <w:r w:rsidRPr="002130C0">
        <w:rPr>
          <w:rFonts w:cstheme="minorHAnsi"/>
          <w:sz w:val="20"/>
          <w:szCs w:val="20"/>
        </w:rPr>
        <w:t xml:space="preserve"> Coverture </w:t>
      </w:r>
      <w:r w:rsidR="003E1F2C">
        <w:rPr>
          <w:rFonts w:cstheme="minorHAnsi"/>
          <w:sz w:val="20"/>
          <w:szCs w:val="20"/>
        </w:rPr>
        <w:t>was</w:t>
      </w:r>
      <w:r w:rsidRPr="002130C0">
        <w:rPr>
          <w:rFonts w:cstheme="minorHAnsi"/>
          <w:sz w:val="20"/>
          <w:szCs w:val="20"/>
        </w:rPr>
        <w:t xml:space="preserve"> defined by the eighteenth-century jurist Sir William Blackstone, </w:t>
      </w:r>
      <w:r w:rsidRPr="002130C0">
        <w:rPr>
          <w:rFonts w:cstheme="minorHAnsi"/>
          <w:i/>
          <w:iCs/>
          <w:sz w:val="20"/>
          <w:szCs w:val="20"/>
        </w:rPr>
        <w:t>Commentaries on the Laws of England, in Four Volumes</w:t>
      </w:r>
      <w:r w:rsidRPr="002130C0">
        <w:rPr>
          <w:rFonts w:cstheme="minorHAnsi"/>
          <w:sz w:val="20"/>
          <w:szCs w:val="20"/>
        </w:rPr>
        <w:t xml:space="preserve">, </w:t>
      </w:r>
      <w:r w:rsidR="000918B8" w:rsidRPr="002130C0">
        <w:rPr>
          <w:rFonts w:cstheme="minorHAnsi"/>
          <w:sz w:val="20"/>
          <w:szCs w:val="20"/>
        </w:rPr>
        <w:t>(</w:t>
      </w:r>
      <w:r w:rsidRPr="002130C0">
        <w:rPr>
          <w:rFonts w:cstheme="minorHAnsi"/>
          <w:sz w:val="20"/>
          <w:szCs w:val="20"/>
        </w:rPr>
        <w:t xml:space="preserve">Oxford, 1765, </w:t>
      </w:r>
      <w:proofErr w:type="spellStart"/>
      <w:r w:rsidRPr="002130C0">
        <w:rPr>
          <w:rFonts w:cstheme="minorHAnsi"/>
          <w:sz w:val="20"/>
          <w:szCs w:val="20"/>
        </w:rPr>
        <w:t>repr</w:t>
      </w:r>
      <w:proofErr w:type="spellEnd"/>
      <w:r w:rsidR="003E1F2C">
        <w:rPr>
          <w:rFonts w:cstheme="minorHAnsi"/>
          <w:sz w:val="20"/>
          <w:szCs w:val="20"/>
        </w:rPr>
        <w:t xml:space="preserve"> </w:t>
      </w:r>
      <w:r w:rsidRPr="002130C0">
        <w:rPr>
          <w:rFonts w:cstheme="minorHAnsi"/>
          <w:sz w:val="20"/>
          <w:szCs w:val="20"/>
        </w:rPr>
        <w:t>New York, 1978</w:t>
      </w:r>
      <w:r w:rsidR="000918B8" w:rsidRPr="002130C0">
        <w:rPr>
          <w:rFonts w:cstheme="minorHAnsi"/>
          <w:sz w:val="20"/>
          <w:szCs w:val="20"/>
        </w:rPr>
        <w:t>)</w:t>
      </w:r>
      <w:r w:rsidRPr="002130C0">
        <w:rPr>
          <w:rFonts w:cstheme="minorHAnsi"/>
          <w:sz w:val="20"/>
          <w:szCs w:val="20"/>
        </w:rPr>
        <w:t xml:space="preserve"> vol 1</w:t>
      </w:r>
      <w:r w:rsidR="003E1F2C">
        <w:rPr>
          <w:rFonts w:cstheme="minorHAnsi"/>
          <w:sz w:val="20"/>
          <w:szCs w:val="20"/>
        </w:rPr>
        <w:t>,</w:t>
      </w:r>
      <w:r w:rsidRPr="002130C0">
        <w:rPr>
          <w:rFonts w:cstheme="minorHAnsi"/>
          <w:sz w:val="20"/>
          <w:szCs w:val="20"/>
        </w:rPr>
        <w:t xml:space="preserve"> 442 in his statement that ‘the husband and wife are one person in law’. These laws started to be removed by the Married Women’s Property Act 1870 (33 &amp; 34 Vict, c 93) and the Married Women’s Property Act 1882 (45 &amp; 46 Vict, c 75)</w:t>
      </w:r>
      <w:r w:rsidR="00F874C6" w:rsidRPr="002130C0">
        <w:rPr>
          <w:rFonts w:cstheme="minorHAnsi"/>
          <w:sz w:val="20"/>
          <w:szCs w:val="20"/>
        </w:rPr>
        <w:t>.</w:t>
      </w:r>
    </w:p>
  </w:footnote>
  <w:footnote w:id="136">
    <w:p w14:paraId="2F5FC04F" w14:textId="6A8E0507" w:rsidR="00B1228E" w:rsidRPr="002130C0" w:rsidRDefault="00B1228E" w:rsidP="00CB68B8">
      <w:pPr>
        <w:pStyle w:val="FootnoteText"/>
        <w:rPr>
          <w:rFonts w:cstheme="minorHAnsi"/>
        </w:rPr>
      </w:pPr>
      <w:r w:rsidRPr="002130C0">
        <w:rPr>
          <w:rStyle w:val="FootnoteReference"/>
          <w:rFonts w:cstheme="minorHAnsi"/>
        </w:rPr>
        <w:footnoteRef/>
      </w:r>
      <w:r w:rsidRPr="002130C0">
        <w:rPr>
          <w:rFonts w:cstheme="minorHAnsi"/>
        </w:rPr>
        <w:t xml:space="preserve"> Rosemary Auchmuty, ‘The Feminist Case Against Marriage’</w:t>
      </w:r>
      <w:r w:rsidR="008F6E89">
        <w:rPr>
          <w:rFonts w:cstheme="minorHAnsi"/>
        </w:rPr>
        <w:t>,</w:t>
      </w:r>
      <w:r w:rsidRPr="002130C0">
        <w:rPr>
          <w:rFonts w:cstheme="minorHAnsi"/>
        </w:rPr>
        <w:t xml:space="preserve"> in Rebecca Probert and Sharon Thompson (eds)</w:t>
      </w:r>
      <w:r w:rsidR="008F6E89">
        <w:rPr>
          <w:rFonts w:cstheme="minorHAnsi"/>
        </w:rPr>
        <w:t>,</w:t>
      </w:r>
      <w:r w:rsidRPr="002130C0">
        <w:rPr>
          <w:rFonts w:cstheme="minorHAnsi"/>
        </w:rPr>
        <w:t xml:space="preserve"> </w:t>
      </w:r>
      <w:r w:rsidRPr="002130C0">
        <w:rPr>
          <w:rFonts w:cstheme="minorHAnsi"/>
          <w:i/>
          <w:iCs/>
        </w:rPr>
        <w:t>Research Handbook on Marriage and Cohabitation</w:t>
      </w:r>
      <w:r w:rsidRPr="002130C0">
        <w:rPr>
          <w:rFonts w:cstheme="minorHAnsi"/>
        </w:rPr>
        <w:t xml:space="preserve"> (Edward Elgar, 2024)</w:t>
      </w:r>
      <w:r w:rsidR="00444381">
        <w:rPr>
          <w:rFonts w:cstheme="minorHAnsi"/>
        </w:rPr>
        <w:t>,</w:t>
      </w:r>
      <w:r w:rsidR="00D12841">
        <w:rPr>
          <w:rFonts w:cstheme="minorHAnsi"/>
        </w:rPr>
        <w:t xml:space="preserve"> 37-56</w:t>
      </w:r>
      <w:r w:rsidRPr="002130C0">
        <w:rPr>
          <w:rFonts w:cstheme="minorHAnsi"/>
        </w:rPr>
        <w:t>.</w:t>
      </w:r>
    </w:p>
  </w:footnote>
  <w:footnote w:id="137">
    <w:p w14:paraId="46673542" w14:textId="4289A235" w:rsidR="00A00C0F" w:rsidRPr="00570ECB" w:rsidRDefault="00A00C0F" w:rsidP="00ED274C">
      <w:pPr>
        <w:pStyle w:val="Heading1"/>
        <w:rPr>
          <w:rFonts w:asciiTheme="minorHAnsi" w:eastAsia="Times New Roman" w:hAnsiTheme="minorHAnsi" w:cstheme="minorHAnsi"/>
          <w:b w:val="0"/>
          <w:bCs w:val="0"/>
          <w:sz w:val="20"/>
          <w:szCs w:val="20"/>
          <w:lang w:eastAsia="en-GB"/>
        </w:rPr>
      </w:pPr>
      <w:r w:rsidRPr="00570ECB">
        <w:rPr>
          <w:rStyle w:val="FootnoteReference"/>
          <w:rFonts w:asciiTheme="minorHAnsi" w:hAnsiTheme="minorHAnsi" w:cstheme="minorHAnsi"/>
          <w:b w:val="0"/>
          <w:bCs w:val="0"/>
          <w:sz w:val="20"/>
          <w:szCs w:val="20"/>
        </w:rPr>
        <w:footnoteRef/>
      </w:r>
      <w:r w:rsidR="00207F1F" w:rsidRPr="00570ECB">
        <w:rPr>
          <w:rFonts w:asciiTheme="minorHAnsi" w:hAnsiTheme="minorHAnsi" w:cstheme="minorHAnsi"/>
          <w:b w:val="0"/>
          <w:bCs w:val="0"/>
          <w:sz w:val="20"/>
          <w:szCs w:val="20"/>
        </w:rPr>
        <w:t xml:space="preserve"> </w:t>
      </w:r>
      <w:r w:rsidR="0009341C" w:rsidRPr="00570ECB">
        <w:rPr>
          <w:rFonts w:asciiTheme="minorHAnsi" w:hAnsiTheme="minorHAnsi" w:cstheme="minorHAnsi"/>
          <w:b w:val="0"/>
          <w:bCs w:val="0"/>
          <w:sz w:val="20"/>
          <w:szCs w:val="20"/>
        </w:rPr>
        <w:t xml:space="preserve">Michael </w:t>
      </w:r>
      <w:r w:rsidR="00207F1F" w:rsidRPr="00570ECB">
        <w:rPr>
          <w:rFonts w:asciiTheme="minorHAnsi" w:hAnsiTheme="minorHAnsi" w:cstheme="minorHAnsi"/>
          <w:b w:val="0"/>
          <w:bCs w:val="0"/>
          <w:sz w:val="20"/>
          <w:szCs w:val="20"/>
        </w:rPr>
        <w:t xml:space="preserve">Warner, </w:t>
      </w:r>
      <w:hyperlink r:id="rId26" w:history="1">
        <w:r w:rsidR="00207F1F" w:rsidRPr="00444381">
          <w:rPr>
            <w:rFonts w:asciiTheme="minorHAnsi" w:eastAsia="Times New Roman" w:hAnsiTheme="minorHAnsi" w:cstheme="minorHAnsi"/>
            <w:b w:val="0"/>
            <w:bCs w:val="0"/>
            <w:i/>
            <w:iCs/>
            <w:kern w:val="36"/>
            <w:sz w:val="20"/>
            <w:szCs w:val="20"/>
            <w:lang w:eastAsia="en-GB"/>
          </w:rPr>
          <w:t>Fear of a Queer Planet: Queer Politics and Social Theory</w:t>
        </w:r>
      </w:hyperlink>
      <w:r w:rsidR="00C36D4D" w:rsidRPr="00570ECB">
        <w:rPr>
          <w:rFonts w:asciiTheme="minorHAnsi" w:eastAsia="Times New Roman" w:hAnsiTheme="minorHAnsi" w:cstheme="minorHAnsi"/>
          <w:b w:val="0"/>
          <w:bCs w:val="0"/>
          <w:kern w:val="36"/>
          <w:sz w:val="20"/>
          <w:szCs w:val="20"/>
          <w:lang w:eastAsia="en-GB"/>
        </w:rPr>
        <w:t xml:space="preserve"> </w:t>
      </w:r>
      <w:r w:rsidR="00FF6CBC" w:rsidRPr="00570ECB">
        <w:rPr>
          <w:rFonts w:asciiTheme="minorHAnsi" w:eastAsia="Times New Roman" w:hAnsiTheme="minorHAnsi" w:cstheme="minorHAnsi"/>
          <w:b w:val="0"/>
          <w:bCs w:val="0"/>
          <w:kern w:val="36"/>
          <w:sz w:val="20"/>
          <w:szCs w:val="20"/>
          <w:lang w:eastAsia="en-GB"/>
        </w:rPr>
        <w:t>(</w:t>
      </w:r>
      <w:r w:rsidR="00207F1F" w:rsidRPr="00570ECB">
        <w:rPr>
          <w:rFonts w:asciiTheme="minorHAnsi" w:eastAsia="Times New Roman" w:hAnsiTheme="minorHAnsi" w:cstheme="minorHAnsi"/>
          <w:b w:val="0"/>
          <w:bCs w:val="0"/>
          <w:sz w:val="20"/>
          <w:szCs w:val="20"/>
          <w:lang w:eastAsia="en-GB"/>
        </w:rPr>
        <w:t>U</w:t>
      </w:r>
      <w:r w:rsidR="00FF6CBC" w:rsidRPr="00570ECB">
        <w:rPr>
          <w:rFonts w:asciiTheme="minorHAnsi" w:eastAsia="Times New Roman" w:hAnsiTheme="minorHAnsi" w:cstheme="minorHAnsi"/>
          <w:b w:val="0"/>
          <w:bCs w:val="0"/>
          <w:sz w:val="20"/>
          <w:szCs w:val="20"/>
          <w:lang w:eastAsia="en-GB"/>
        </w:rPr>
        <w:t xml:space="preserve">niversity </w:t>
      </w:r>
      <w:r w:rsidR="00207F1F" w:rsidRPr="00570ECB">
        <w:rPr>
          <w:rFonts w:asciiTheme="minorHAnsi" w:eastAsia="Times New Roman" w:hAnsiTheme="minorHAnsi" w:cstheme="minorHAnsi"/>
          <w:b w:val="0"/>
          <w:bCs w:val="0"/>
          <w:sz w:val="20"/>
          <w:szCs w:val="20"/>
          <w:lang w:eastAsia="en-GB"/>
        </w:rPr>
        <w:t xml:space="preserve"> of Minnesota Press</w:t>
      </w:r>
      <w:r w:rsidR="000918B8" w:rsidRPr="00570ECB">
        <w:rPr>
          <w:rFonts w:asciiTheme="minorHAnsi" w:eastAsia="Times New Roman" w:hAnsiTheme="minorHAnsi" w:cstheme="minorHAnsi"/>
          <w:b w:val="0"/>
          <w:bCs w:val="0"/>
          <w:sz w:val="20"/>
          <w:szCs w:val="20"/>
          <w:lang w:eastAsia="en-GB"/>
        </w:rPr>
        <w:t xml:space="preserve">, 1993). </w:t>
      </w:r>
    </w:p>
  </w:footnote>
  <w:footnote w:id="138">
    <w:p w14:paraId="42C36E40" w14:textId="1EB5EB2D" w:rsidR="00E753A4" w:rsidRPr="002130C0" w:rsidRDefault="00E753A4"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EF797D" w:rsidRPr="002130C0">
        <w:rPr>
          <w:rFonts w:cstheme="minorHAnsi"/>
        </w:rPr>
        <w:t>Duggan</w:t>
      </w:r>
      <w:r w:rsidR="000918B8" w:rsidRPr="002130C0">
        <w:rPr>
          <w:rFonts w:cstheme="minorHAnsi"/>
        </w:rPr>
        <w:t xml:space="preserve"> (</w:t>
      </w:r>
      <w:r w:rsidR="00322BD0" w:rsidRPr="002130C0">
        <w:rPr>
          <w:rFonts w:cstheme="minorHAnsi"/>
        </w:rPr>
        <w:t>n</w:t>
      </w:r>
      <w:r w:rsidR="00E54455">
        <w:rPr>
          <w:rFonts w:cstheme="minorHAnsi"/>
        </w:rPr>
        <w:t>105</w:t>
      </w:r>
      <w:r w:rsidR="000918B8" w:rsidRPr="002130C0">
        <w:rPr>
          <w:rFonts w:cstheme="minorHAnsi"/>
        </w:rPr>
        <w:t>)</w:t>
      </w:r>
      <w:r w:rsidR="00D06320" w:rsidRPr="002130C0">
        <w:rPr>
          <w:rFonts w:cstheme="minorHAnsi"/>
        </w:rPr>
        <w:t>.</w:t>
      </w:r>
    </w:p>
  </w:footnote>
  <w:footnote w:id="139">
    <w:p w14:paraId="714DF526" w14:textId="3F030B8F" w:rsidR="00E353F9" w:rsidRPr="002130C0" w:rsidRDefault="00E353F9"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Pr="002130C0">
        <w:rPr>
          <w:rFonts w:cstheme="minorHAnsi"/>
          <w:lang w:val="en-US"/>
        </w:rPr>
        <w:t xml:space="preserve">Citizenship Directive </w:t>
      </w:r>
      <w:r w:rsidR="00CC3B23" w:rsidRPr="002130C0">
        <w:rPr>
          <w:rFonts w:cstheme="minorHAnsi"/>
          <w:lang w:val="en-US"/>
        </w:rPr>
        <w:t>(n</w:t>
      </w:r>
      <w:r w:rsidR="00E001CD">
        <w:rPr>
          <w:rFonts w:cstheme="minorHAnsi"/>
          <w:lang w:val="en-US"/>
        </w:rPr>
        <w:t>4</w:t>
      </w:r>
      <w:r w:rsidR="00CC3B23" w:rsidRPr="002130C0">
        <w:rPr>
          <w:rFonts w:cstheme="minorHAnsi"/>
          <w:lang w:val="en-US"/>
        </w:rPr>
        <w:t>)</w:t>
      </w:r>
      <w:r w:rsidR="00444381">
        <w:rPr>
          <w:rFonts w:cstheme="minorHAnsi"/>
          <w:lang w:val="en-US"/>
        </w:rPr>
        <w:t>,</w:t>
      </w:r>
      <w:r w:rsidR="00CC3B23" w:rsidRPr="002130C0">
        <w:rPr>
          <w:rFonts w:cstheme="minorHAnsi"/>
          <w:lang w:val="en-US"/>
        </w:rPr>
        <w:t xml:space="preserve"> a</w:t>
      </w:r>
      <w:r w:rsidRPr="002130C0">
        <w:rPr>
          <w:rFonts w:cstheme="minorHAnsi"/>
          <w:lang w:val="en-US"/>
        </w:rPr>
        <w:t xml:space="preserve">rt 3(2). </w:t>
      </w:r>
    </w:p>
  </w:footnote>
  <w:footnote w:id="140">
    <w:p w14:paraId="601D81DE" w14:textId="77500BB8" w:rsidR="00F21C27" w:rsidRPr="002130C0" w:rsidRDefault="00F21C27" w:rsidP="00CB68B8">
      <w:pPr>
        <w:spacing w:after="0" w:line="240" w:lineRule="auto"/>
        <w:rPr>
          <w:rFonts w:cstheme="minorHAnsi"/>
          <w:sz w:val="20"/>
          <w:szCs w:val="20"/>
        </w:rPr>
      </w:pPr>
      <w:r w:rsidRPr="002130C0">
        <w:rPr>
          <w:rStyle w:val="FootnoteReference"/>
          <w:rFonts w:cstheme="minorHAnsi"/>
          <w:sz w:val="20"/>
          <w:szCs w:val="20"/>
        </w:rPr>
        <w:footnoteRef/>
      </w:r>
      <w:r w:rsidRPr="002130C0">
        <w:rPr>
          <w:rFonts w:cstheme="minorHAnsi"/>
          <w:sz w:val="20"/>
          <w:szCs w:val="20"/>
        </w:rPr>
        <w:t xml:space="preserve"> </w:t>
      </w:r>
      <w:r w:rsidRPr="002130C0">
        <w:rPr>
          <w:rFonts w:cstheme="minorHAnsi"/>
          <w:i/>
          <w:iCs/>
          <w:sz w:val="20"/>
          <w:szCs w:val="20"/>
        </w:rPr>
        <w:t>Rahman</w:t>
      </w:r>
      <w:r w:rsidRPr="002130C0">
        <w:rPr>
          <w:rFonts w:cstheme="minorHAnsi"/>
          <w:sz w:val="20"/>
          <w:szCs w:val="20"/>
        </w:rPr>
        <w:t xml:space="preserve"> </w:t>
      </w:r>
      <w:r w:rsidR="00444381">
        <w:rPr>
          <w:rFonts w:cstheme="minorHAnsi"/>
          <w:sz w:val="20"/>
          <w:szCs w:val="20"/>
        </w:rPr>
        <w:t>(</w:t>
      </w:r>
      <w:r w:rsidR="00EA048D" w:rsidRPr="002130C0">
        <w:rPr>
          <w:rFonts w:cstheme="minorHAnsi"/>
          <w:sz w:val="20"/>
          <w:szCs w:val="20"/>
        </w:rPr>
        <w:t>Case C-83/11</w:t>
      </w:r>
      <w:r w:rsidR="00444381">
        <w:rPr>
          <w:rFonts w:cstheme="minorHAnsi"/>
          <w:sz w:val="20"/>
          <w:szCs w:val="20"/>
        </w:rPr>
        <w:t>)</w:t>
      </w:r>
      <w:r w:rsidR="00D06320" w:rsidRPr="002130C0">
        <w:rPr>
          <w:rFonts w:cstheme="minorHAnsi"/>
          <w:sz w:val="20"/>
          <w:szCs w:val="20"/>
        </w:rPr>
        <w:t>.</w:t>
      </w:r>
    </w:p>
  </w:footnote>
  <w:footnote w:id="141">
    <w:p w14:paraId="6673C0B6" w14:textId="3C2DB96C" w:rsidR="00015AB7" w:rsidRPr="002130C0" w:rsidRDefault="00015AB7"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E61022" w:rsidRPr="002130C0">
        <w:rPr>
          <w:rFonts w:cstheme="minorHAnsi"/>
        </w:rPr>
        <w:t>European Commission, ‘C</w:t>
      </w:r>
      <w:r w:rsidR="00B6325B">
        <w:rPr>
          <w:rFonts w:cstheme="minorHAnsi"/>
        </w:rPr>
        <w:t xml:space="preserve">ommission </w:t>
      </w:r>
      <w:r w:rsidR="00E61022" w:rsidRPr="002130C0">
        <w:rPr>
          <w:rFonts w:cstheme="minorHAnsi"/>
        </w:rPr>
        <w:t>N</w:t>
      </w:r>
      <w:r w:rsidR="00B6325B">
        <w:rPr>
          <w:rFonts w:cstheme="minorHAnsi"/>
        </w:rPr>
        <w:t>otice:</w:t>
      </w:r>
      <w:r w:rsidR="00E61022" w:rsidRPr="002130C0">
        <w:rPr>
          <w:rFonts w:cstheme="minorHAnsi"/>
        </w:rPr>
        <w:t xml:space="preserve"> Guidance on the right of free movement of EU citizens and their </w:t>
      </w:r>
      <w:proofErr w:type="gramStart"/>
      <w:r w:rsidR="00E61022" w:rsidRPr="002130C0">
        <w:rPr>
          <w:rFonts w:cstheme="minorHAnsi"/>
        </w:rPr>
        <w:t xml:space="preserve">families‘ </w:t>
      </w:r>
      <w:r w:rsidR="00B6325B">
        <w:rPr>
          <w:rFonts w:cstheme="minorHAnsi"/>
        </w:rPr>
        <w:t>(</w:t>
      </w:r>
      <w:proofErr w:type="gramEnd"/>
      <w:r w:rsidR="00E61022" w:rsidRPr="002130C0">
        <w:rPr>
          <w:rFonts w:cstheme="minorHAnsi"/>
        </w:rPr>
        <w:t>2023</w:t>
      </w:r>
      <w:r w:rsidR="00B6325B">
        <w:rPr>
          <w:rFonts w:cstheme="minorHAnsi"/>
        </w:rPr>
        <w:t>)</w:t>
      </w:r>
      <w:r w:rsidR="00E61022" w:rsidRPr="002130C0">
        <w:rPr>
          <w:rFonts w:cstheme="minorHAnsi"/>
        </w:rPr>
        <w:t xml:space="preserve"> (C/2023/1392)</w:t>
      </w:r>
      <w:r w:rsidR="00B6325B">
        <w:rPr>
          <w:rFonts w:cstheme="minorHAnsi"/>
        </w:rPr>
        <w:t>,</w:t>
      </w:r>
      <w:r w:rsidR="00E61022" w:rsidRPr="002130C0">
        <w:rPr>
          <w:rFonts w:cstheme="minorHAnsi"/>
        </w:rPr>
        <w:t xml:space="preserve"> </w:t>
      </w:r>
      <w:r w:rsidR="00FC23A0" w:rsidRPr="002130C0">
        <w:rPr>
          <w:rFonts w:cstheme="minorHAnsi"/>
        </w:rPr>
        <w:t>17</w:t>
      </w:r>
      <w:r w:rsidR="00CB3087" w:rsidRPr="002130C0">
        <w:rPr>
          <w:rFonts w:cstheme="minorHAnsi"/>
        </w:rPr>
        <w:t>.</w:t>
      </w:r>
      <w:r w:rsidRPr="002130C0">
        <w:rPr>
          <w:rFonts w:cstheme="minorHAnsi"/>
          <w:lang w:val="en-US"/>
        </w:rPr>
        <w:t xml:space="preserve"> </w:t>
      </w:r>
    </w:p>
  </w:footnote>
  <w:footnote w:id="142">
    <w:p w14:paraId="66E2D0E5" w14:textId="3F22DD66" w:rsidR="00CD61AE" w:rsidRPr="002130C0" w:rsidRDefault="00CD61AE"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104854" w:rsidRPr="002130C0">
        <w:rPr>
          <w:rFonts w:cstheme="minorHAnsi"/>
        </w:rPr>
        <w:t>Ibid.</w:t>
      </w:r>
    </w:p>
  </w:footnote>
  <w:footnote w:id="143">
    <w:p w14:paraId="00A19B45" w14:textId="49194229" w:rsidR="00430284" w:rsidRPr="002130C0" w:rsidRDefault="00430284"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009A7783" w:rsidRPr="002130C0">
        <w:rPr>
          <w:rFonts w:cstheme="minorHAnsi"/>
        </w:rPr>
        <w:t>Tryfonidou</w:t>
      </w:r>
      <w:proofErr w:type="spellEnd"/>
      <w:r w:rsidR="00B6325B">
        <w:rPr>
          <w:rFonts w:cstheme="minorHAnsi"/>
        </w:rPr>
        <w:t xml:space="preserve"> (2020)</w:t>
      </w:r>
      <w:r w:rsidR="00D06320" w:rsidRPr="002130C0">
        <w:rPr>
          <w:rFonts w:cstheme="minorHAnsi"/>
        </w:rPr>
        <w:t xml:space="preserve"> </w:t>
      </w:r>
      <w:r w:rsidR="000918B8" w:rsidRPr="002130C0">
        <w:rPr>
          <w:rFonts w:cstheme="minorHAnsi"/>
        </w:rPr>
        <w:t>(</w:t>
      </w:r>
      <w:r w:rsidR="00D06320" w:rsidRPr="002130C0">
        <w:rPr>
          <w:rFonts w:cstheme="minorHAnsi"/>
        </w:rPr>
        <w:t>n</w:t>
      </w:r>
      <w:r w:rsidR="005F1ECE" w:rsidRPr="002130C0">
        <w:rPr>
          <w:rFonts w:cstheme="minorHAnsi"/>
        </w:rPr>
        <w:t>3</w:t>
      </w:r>
      <w:r w:rsidR="00815739">
        <w:rPr>
          <w:rFonts w:cstheme="minorHAnsi"/>
        </w:rPr>
        <w:t>8</w:t>
      </w:r>
      <w:r w:rsidR="000918B8" w:rsidRPr="002130C0">
        <w:rPr>
          <w:rFonts w:cstheme="minorHAnsi"/>
        </w:rPr>
        <w:t>)</w:t>
      </w:r>
      <w:r w:rsidR="00D06320" w:rsidRPr="002130C0">
        <w:rPr>
          <w:rFonts w:cstheme="minorHAnsi"/>
        </w:rPr>
        <w:t>,</w:t>
      </w:r>
      <w:r w:rsidR="00506C37" w:rsidRPr="002130C0">
        <w:rPr>
          <w:rFonts w:cstheme="minorHAnsi"/>
        </w:rPr>
        <w:t xml:space="preserve"> 176. </w:t>
      </w:r>
    </w:p>
  </w:footnote>
  <w:footnote w:id="144">
    <w:p w14:paraId="0D01673C" w14:textId="44D88EF8" w:rsidR="00F21C27" w:rsidRPr="002130C0" w:rsidRDefault="00F21C27"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Lebon</w:t>
      </w:r>
      <w:r w:rsidR="00C724E9" w:rsidRPr="002130C0">
        <w:rPr>
          <w:rFonts w:cstheme="minorHAnsi"/>
        </w:rPr>
        <w:t xml:space="preserve"> </w:t>
      </w:r>
      <w:r w:rsidR="00B6325B">
        <w:rPr>
          <w:rFonts w:cstheme="minorHAnsi"/>
        </w:rPr>
        <w:t>(</w:t>
      </w:r>
      <w:r w:rsidR="00C724E9" w:rsidRPr="002130C0">
        <w:rPr>
          <w:rFonts w:cstheme="minorHAnsi"/>
        </w:rPr>
        <w:t xml:space="preserve">Case </w:t>
      </w:r>
      <w:r w:rsidR="00B502C5" w:rsidRPr="002130C0">
        <w:rPr>
          <w:rFonts w:cstheme="minorHAnsi"/>
        </w:rPr>
        <w:t>316/85</w:t>
      </w:r>
      <w:r w:rsidR="00B6325B">
        <w:rPr>
          <w:rFonts w:cstheme="minorHAnsi"/>
        </w:rPr>
        <w:t xml:space="preserve">); </w:t>
      </w:r>
      <w:proofErr w:type="spellStart"/>
      <w:r w:rsidRPr="002130C0">
        <w:rPr>
          <w:rFonts w:cstheme="minorHAnsi"/>
          <w:i/>
          <w:iCs/>
        </w:rPr>
        <w:t>Baumbast</w:t>
      </w:r>
      <w:proofErr w:type="spellEnd"/>
      <w:r w:rsidRPr="002130C0">
        <w:rPr>
          <w:rFonts w:cstheme="minorHAnsi"/>
          <w:i/>
          <w:iCs/>
        </w:rPr>
        <w:t xml:space="preserve"> </w:t>
      </w:r>
      <w:r w:rsidR="00B502C5" w:rsidRPr="002130C0">
        <w:rPr>
          <w:rFonts w:cstheme="minorHAnsi"/>
          <w:i/>
          <w:iCs/>
        </w:rPr>
        <w:t xml:space="preserve">and R v Secretary </w:t>
      </w:r>
      <w:r w:rsidR="00BB3CFB" w:rsidRPr="002130C0">
        <w:rPr>
          <w:rFonts w:cstheme="minorHAnsi"/>
          <w:i/>
          <w:iCs/>
        </w:rPr>
        <w:t>o</w:t>
      </w:r>
      <w:r w:rsidR="00B502C5" w:rsidRPr="002130C0">
        <w:rPr>
          <w:rFonts w:cstheme="minorHAnsi"/>
          <w:i/>
          <w:iCs/>
        </w:rPr>
        <w:t>f State for the Home Department</w:t>
      </w:r>
      <w:r w:rsidR="00B502C5" w:rsidRPr="002130C0">
        <w:rPr>
          <w:rFonts w:cstheme="minorHAnsi"/>
        </w:rPr>
        <w:t xml:space="preserve"> (Case C-413</w:t>
      </w:r>
      <w:r w:rsidR="00BB3CFB" w:rsidRPr="002130C0">
        <w:rPr>
          <w:rFonts w:cstheme="minorHAnsi"/>
        </w:rPr>
        <w:t>/99).</w:t>
      </w:r>
    </w:p>
  </w:footnote>
  <w:footnote w:id="145">
    <w:p w14:paraId="5616B7D9" w14:textId="49D6558E" w:rsidR="00965D0C" w:rsidRPr="002130C0" w:rsidRDefault="00BB3CFB" w:rsidP="00CB68B8">
      <w:pPr>
        <w:pStyle w:val="FootnoteText"/>
        <w:rPr>
          <w:rFonts w:eastAsiaTheme="minorEastAsia" w:cstheme="minorHAnsi"/>
          <w:kern w:val="24"/>
        </w:rPr>
      </w:pPr>
      <w:r w:rsidRPr="002130C0">
        <w:rPr>
          <w:rStyle w:val="FootnoteReference"/>
          <w:rFonts w:cstheme="minorHAnsi"/>
        </w:rPr>
        <w:footnoteRef/>
      </w:r>
      <w:r w:rsidRPr="002130C0">
        <w:rPr>
          <w:rFonts w:cstheme="minorHAnsi"/>
        </w:rPr>
        <w:t xml:space="preserve"> </w:t>
      </w:r>
      <w:r w:rsidRPr="002130C0">
        <w:rPr>
          <w:rFonts w:cstheme="minorHAnsi"/>
          <w:lang w:val="en-US"/>
        </w:rPr>
        <w:t xml:space="preserve">Citizenship Directive </w:t>
      </w:r>
      <w:r w:rsidR="00CC3B23" w:rsidRPr="002130C0">
        <w:rPr>
          <w:rFonts w:eastAsiaTheme="minorEastAsia" w:cstheme="minorHAnsi"/>
          <w:kern w:val="24"/>
        </w:rPr>
        <w:t>(n</w:t>
      </w:r>
      <w:r w:rsidR="00E001CD">
        <w:rPr>
          <w:rFonts w:eastAsiaTheme="minorEastAsia" w:cstheme="minorHAnsi"/>
          <w:kern w:val="24"/>
        </w:rPr>
        <w:t>4</w:t>
      </w:r>
      <w:r w:rsidR="00CC3B23" w:rsidRPr="002130C0">
        <w:rPr>
          <w:rFonts w:eastAsiaTheme="minorEastAsia" w:cstheme="minorHAnsi"/>
          <w:kern w:val="24"/>
        </w:rPr>
        <w:t>)</w:t>
      </w:r>
      <w:r w:rsidR="00B6325B">
        <w:rPr>
          <w:rFonts w:eastAsiaTheme="minorEastAsia" w:cstheme="minorHAnsi"/>
          <w:kern w:val="24"/>
        </w:rPr>
        <w:t>,</w:t>
      </w:r>
      <w:r w:rsidR="00CD43B9" w:rsidRPr="002130C0">
        <w:rPr>
          <w:rFonts w:eastAsiaTheme="minorEastAsia" w:cstheme="minorHAnsi"/>
          <w:kern w:val="24"/>
        </w:rPr>
        <w:t xml:space="preserve"> </w:t>
      </w:r>
      <w:r w:rsidR="00CC3B23" w:rsidRPr="002130C0">
        <w:rPr>
          <w:rFonts w:eastAsiaTheme="minorEastAsia" w:cstheme="minorHAnsi"/>
          <w:kern w:val="24"/>
        </w:rPr>
        <w:t>a</w:t>
      </w:r>
      <w:r w:rsidR="00CD43B9" w:rsidRPr="002130C0">
        <w:rPr>
          <w:rFonts w:eastAsiaTheme="minorEastAsia" w:cstheme="minorHAnsi"/>
          <w:kern w:val="24"/>
        </w:rPr>
        <w:t>rt</w:t>
      </w:r>
      <w:r w:rsidR="00B6325B">
        <w:rPr>
          <w:rFonts w:eastAsiaTheme="minorEastAsia" w:cstheme="minorHAnsi"/>
          <w:kern w:val="24"/>
        </w:rPr>
        <w:t>s</w:t>
      </w:r>
      <w:r w:rsidR="00CD43B9" w:rsidRPr="002130C0">
        <w:rPr>
          <w:rFonts w:eastAsiaTheme="minorEastAsia" w:cstheme="minorHAnsi"/>
          <w:kern w:val="24"/>
        </w:rPr>
        <w:t xml:space="preserve"> 23 and 24</w:t>
      </w:r>
      <w:r w:rsidR="00965D0C" w:rsidRPr="002130C0">
        <w:rPr>
          <w:rFonts w:eastAsiaTheme="minorEastAsia" w:cstheme="minorHAnsi"/>
          <w:kern w:val="24"/>
        </w:rPr>
        <w:t>.</w:t>
      </w:r>
    </w:p>
  </w:footnote>
  <w:footnote w:id="146">
    <w:p w14:paraId="47F33D96" w14:textId="49EE28B3" w:rsidR="00EC730F" w:rsidRPr="002130C0" w:rsidRDefault="00EC730F"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proofErr w:type="spellStart"/>
      <w:r w:rsidRPr="002130C0">
        <w:rPr>
          <w:rFonts w:cstheme="minorHAnsi"/>
          <w:lang w:val="en-US"/>
        </w:rPr>
        <w:t>Tryfonidou</w:t>
      </w:r>
      <w:proofErr w:type="spellEnd"/>
      <w:r w:rsidR="00D06320" w:rsidRPr="002130C0">
        <w:rPr>
          <w:rFonts w:cstheme="minorHAnsi"/>
          <w:lang w:val="en-US"/>
        </w:rPr>
        <w:t xml:space="preserve"> </w:t>
      </w:r>
      <w:r w:rsidR="00B6325B">
        <w:rPr>
          <w:rFonts w:cstheme="minorHAnsi"/>
          <w:lang w:val="en-US"/>
        </w:rPr>
        <w:t xml:space="preserve">(2019) </w:t>
      </w:r>
      <w:r w:rsidR="000918B8" w:rsidRPr="002130C0">
        <w:rPr>
          <w:rFonts w:cstheme="minorHAnsi"/>
          <w:lang w:val="en-US"/>
        </w:rPr>
        <w:t>(</w:t>
      </w:r>
      <w:r w:rsidR="00D06320" w:rsidRPr="002130C0">
        <w:rPr>
          <w:rFonts w:cstheme="minorHAnsi"/>
          <w:lang w:val="en-US"/>
        </w:rPr>
        <w:t>n</w:t>
      </w:r>
      <w:r w:rsidR="00A24472" w:rsidRPr="002130C0">
        <w:rPr>
          <w:rFonts w:cstheme="minorHAnsi"/>
          <w:lang w:val="en-US"/>
        </w:rPr>
        <w:t>3</w:t>
      </w:r>
      <w:r w:rsidR="00815739">
        <w:rPr>
          <w:rFonts w:cstheme="minorHAnsi"/>
          <w:lang w:val="en-US"/>
        </w:rPr>
        <w:t>8</w:t>
      </w:r>
      <w:r w:rsidR="000918B8" w:rsidRPr="002130C0">
        <w:rPr>
          <w:rFonts w:cstheme="minorHAnsi"/>
          <w:lang w:val="en-US"/>
        </w:rPr>
        <w:t>)</w:t>
      </w:r>
      <w:r w:rsidR="00D06320" w:rsidRPr="002130C0">
        <w:rPr>
          <w:rFonts w:cstheme="minorHAnsi"/>
          <w:lang w:val="en-US"/>
        </w:rPr>
        <w:t xml:space="preserve">, </w:t>
      </w:r>
      <w:r w:rsidR="00F96645" w:rsidRPr="002130C0">
        <w:rPr>
          <w:rFonts w:cstheme="minorHAnsi"/>
          <w:lang w:val="en-US"/>
        </w:rPr>
        <w:t>231</w:t>
      </w:r>
      <w:r w:rsidR="00B6325B">
        <w:rPr>
          <w:rFonts w:cstheme="minorHAnsi"/>
          <w:lang w:val="en-US"/>
        </w:rPr>
        <w:t>,</w:t>
      </w:r>
      <w:r w:rsidR="00F96645" w:rsidRPr="002130C0">
        <w:rPr>
          <w:rFonts w:cstheme="minorHAnsi"/>
          <w:lang w:val="en-US"/>
        </w:rPr>
        <w:t xml:space="preserve"> </w:t>
      </w:r>
      <w:r w:rsidRPr="002130C0">
        <w:rPr>
          <w:rFonts w:cstheme="minorHAnsi"/>
          <w:lang w:val="en-US"/>
        </w:rPr>
        <w:t xml:space="preserve">referring to </w:t>
      </w:r>
      <w:r w:rsidRPr="002130C0">
        <w:rPr>
          <w:rFonts w:cstheme="minorHAnsi"/>
          <w:i/>
          <w:iCs/>
          <w:lang w:val="en-US"/>
        </w:rPr>
        <w:t>Zhu and Chen</w:t>
      </w:r>
      <w:r w:rsidRPr="002130C0">
        <w:rPr>
          <w:rFonts w:cstheme="minorHAnsi"/>
          <w:lang w:val="en-US"/>
        </w:rPr>
        <w:t xml:space="preserve"> </w:t>
      </w:r>
      <w:r w:rsidR="00B6325B">
        <w:rPr>
          <w:rFonts w:cstheme="minorHAnsi"/>
          <w:lang w:val="en-US"/>
        </w:rPr>
        <w:t>(</w:t>
      </w:r>
      <w:r w:rsidRPr="002130C0">
        <w:rPr>
          <w:rFonts w:cstheme="minorHAnsi"/>
          <w:lang w:val="en-US"/>
        </w:rPr>
        <w:t>n</w:t>
      </w:r>
      <w:r w:rsidR="00A24472" w:rsidRPr="002130C0">
        <w:rPr>
          <w:rFonts w:cstheme="minorHAnsi"/>
          <w:lang w:val="en-US"/>
        </w:rPr>
        <w:t>60</w:t>
      </w:r>
      <w:r w:rsidR="00B6325B">
        <w:rPr>
          <w:rFonts w:cstheme="minorHAnsi"/>
          <w:lang w:val="en-US"/>
        </w:rPr>
        <w:t>)</w:t>
      </w:r>
      <w:r w:rsidRPr="002130C0">
        <w:rPr>
          <w:rFonts w:cstheme="minorHAnsi"/>
          <w:lang w:val="en-US"/>
        </w:rPr>
        <w:t xml:space="preserve">. </w:t>
      </w:r>
    </w:p>
  </w:footnote>
  <w:footnote w:id="147">
    <w:p w14:paraId="1C6E88E9" w14:textId="1FB8F19D" w:rsidR="00FC3134" w:rsidRPr="002130C0" w:rsidRDefault="009948C0"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2273F1" w:rsidRPr="002130C0">
        <w:rPr>
          <w:rFonts w:cstheme="minorHAnsi"/>
          <w:lang w:val="en-US"/>
        </w:rPr>
        <w:t xml:space="preserve">Ibid, </w:t>
      </w:r>
      <w:r w:rsidRPr="002130C0">
        <w:rPr>
          <w:rFonts w:cstheme="minorHAnsi"/>
          <w:lang w:val="en-US"/>
        </w:rPr>
        <w:t>232</w:t>
      </w:r>
      <w:r w:rsidR="00B6325B">
        <w:rPr>
          <w:rFonts w:cstheme="minorHAnsi"/>
          <w:lang w:val="en-US"/>
        </w:rPr>
        <w:t>,</w:t>
      </w:r>
      <w:r w:rsidRPr="002130C0">
        <w:rPr>
          <w:rFonts w:cstheme="minorHAnsi"/>
          <w:lang w:val="en-US"/>
        </w:rPr>
        <w:t xml:space="preserve"> </w:t>
      </w:r>
      <w:r w:rsidR="000918B8" w:rsidRPr="002130C0">
        <w:rPr>
          <w:rFonts w:cstheme="minorHAnsi"/>
          <w:lang w:val="en-US"/>
        </w:rPr>
        <w:t>referring to</w:t>
      </w:r>
      <w:r w:rsidR="00AF264E" w:rsidRPr="002130C0">
        <w:rPr>
          <w:rFonts w:cstheme="minorHAnsi"/>
          <w:lang w:val="en-US"/>
        </w:rPr>
        <w:t xml:space="preserve"> </w:t>
      </w:r>
      <w:r w:rsidR="00B6325B">
        <w:rPr>
          <w:rFonts w:cstheme="minorHAnsi"/>
          <w:lang w:val="en-US"/>
        </w:rPr>
        <w:t xml:space="preserve">the </w:t>
      </w:r>
      <w:r w:rsidRPr="002130C0">
        <w:rPr>
          <w:rFonts w:cstheme="minorHAnsi"/>
          <w:lang w:val="en-US"/>
        </w:rPr>
        <w:t xml:space="preserve">Citizenship Directive </w:t>
      </w:r>
      <w:r w:rsidR="00CC3B23" w:rsidRPr="002130C0">
        <w:rPr>
          <w:rFonts w:cstheme="minorHAnsi"/>
          <w:lang w:val="en-US"/>
        </w:rPr>
        <w:t>(n</w:t>
      </w:r>
      <w:r w:rsidR="00E001CD">
        <w:rPr>
          <w:rFonts w:cstheme="minorHAnsi"/>
          <w:lang w:val="en-US"/>
        </w:rPr>
        <w:t>4</w:t>
      </w:r>
      <w:r w:rsidR="00CC3B23" w:rsidRPr="002130C0">
        <w:rPr>
          <w:rFonts w:cstheme="minorHAnsi"/>
          <w:lang w:val="en-US"/>
        </w:rPr>
        <w:t>)</w:t>
      </w:r>
      <w:r w:rsidR="00B6325B">
        <w:rPr>
          <w:rFonts w:cstheme="minorHAnsi"/>
          <w:lang w:val="en-US"/>
        </w:rPr>
        <w:t>,</w:t>
      </w:r>
      <w:r w:rsidR="00CC3B23" w:rsidRPr="002130C0">
        <w:rPr>
          <w:rFonts w:cstheme="minorHAnsi"/>
          <w:lang w:val="en-US"/>
        </w:rPr>
        <w:t xml:space="preserve"> art</w:t>
      </w:r>
      <w:r w:rsidRPr="002130C0">
        <w:rPr>
          <w:rFonts w:cstheme="minorHAnsi"/>
          <w:lang w:val="en-US"/>
        </w:rPr>
        <w:t xml:space="preserve"> 2(2)(d).</w:t>
      </w:r>
    </w:p>
  </w:footnote>
  <w:footnote w:id="148">
    <w:p w14:paraId="762FF4D2" w14:textId="7CA5A66C" w:rsidR="00FC3134" w:rsidRPr="002130C0" w:rsidRDefault="00512395" w:rsidP="00CB68B8">
      <w:pPr>
        <w:pStyle w:val="FootnoteText"/>
        <w:rPr>
          <w:rFonts w:cstheme="minorHAnsi"/>
          <w:lang w:val="es-ES"/>
        </w:rPr>
      </w:pPr>
      <w:r w:rsidRPr="002130C0">
        <w:rPr>
          <w:rStyle w:val="FootnoteReference"/>
          <w:rFonts w:cstheme="minorHAnsi"/>
        </w:rPr>
        <w:footnoteRef/>
      </w:r>
      <w:r w:rsidRPr="002130C0">
        <w:rPr>
          <w:rFonts w:cstheme="minorHAnsi"/>
          <w:lang w:val="es-ES"/>
        </w:rPr>
        <w:t xml:space="preserve"> </w:t>
      </w:r>
      <w:proofErr w:type="spellStart"/>
      <w:r w:rsidR="002273F1" w:rsidRPr="002130C0">
        <w:rPr>
          <w:rFonts w:cstheme="minorHAnsi"/>
          <w:lang w:val="es-ES"/>
        </w:rPr>
        <w:t>Ibid</w:t>
      </w:r>
      <w:proofErr w:type="spellEnd"/>
      <w:r w:rsidR="002273F1" w:rsidRPr="002130C0">
        <w:rPr>
          <w:rFonts w:cstheme="minorHAnsi"/>
          <w:lang w:val="es-ES"/>
        </w:rPr>
        <w:t xml:space="preserve">, </w:t>
      </w:r>
      <w:r w:rsidRPr="002130C0">
        <w:rPr>
          <w:rFonts w:cstheme="minorHAnsi"/>
          <w:lang w:val="es-ES"/>
        </w:rPr>
        <w:t>232.</w:t>
      </w:r>
    </w:p>
  </w:footnote>
  <w:footnote w:id="149">
    <w:p w14:paraId="46229C25" w14:textId="1519C7F7" w:rsidR="00FC3134" w:rsidRPr="002130C0" w:rsidRDefault="00DD3C5B" w:rsidP="00CB68B8">
      <w:pPr>
        <w:pStyle w:val="FootnoteText"/>
        <w:rPr>
          <w:rFonts w:cstheme="minorHAnsi"/>
          <w:lang w:val="es-ES"/>
        </w:rPr>
      </w:pPr>
      <w:r w:rsidRPr="002130C0">
        <w:rPr>
          <w:rStyle w:val="FootnoteReference"/>
          <w:rFonts w:cstheme="minorHAnsi"/>
        </w:rPr>
        <w:footnoteRef/>
      </w:r>
      <w:r w:rsidRPr="002130C0">
        <w:rPr>
          <w:rFonts w:cstheme="minorHAnsi"/>
          <w:lang w:val="es-ES"/>
        </w:rPr>
        <w:t xml:space="preserve"> </w:t>
      </w:r>
      <w:proofErr w:type="spellStart"/>
      <w:r w:rsidR="00512395" w:rsidRPr="002130C0">
        <w:rPr>
          <w:rFonts w:cstheme="minorHAnsi"/>
          <w:i/>
          <w:iCs/>
          <w:lang w:val="es-ES"/>
        </w:rPr>
        <w:t>Alekseyev</w:t>
      </w:r>
      <w:proofErr w:type="spellEnd"/>
      <w:r w:rsidR="00512395" w:rsidRPr="002130C0">
        <w:rPr>
          <w:rFonts w:cstheme="minorHAnsi"/>
          <w:i/>
          <w:iCs/>
          <w:lang w:val="es-ES"/>
        </w:rPr>
        <w:t xml:space="preserve"> v </w:t>
      </w:r>
      <w:proofErr w:type="spellStart"/>
      <w:r w:rsidR="00512395" w:rsidRPr="002130C0">
        <w:rPr>
          <w:rFonts w:cstheme="minorHAnsi"/>
          <w:i/>
          <w:iCs/>
          <w:lang w:val="es-ES"/>
        </w:rPr>
        <w:t>Russia</w:t>
      </w:r>
      <w:proofErr w:type="spellEnd"/>
      <w:r w:rsidR="00512395" w:rsidRPr="002130C0">
        <w:rPr>
          <w:rFonts w:cstheme="minorHAnsi"/>
          <w:lang w:val="es-ES"/>
        </w:rPr>
        <w:t xml:space="preserve"> </w:t>
      </w:r>
      <w:r w:rsidR="00596C1E">
        <w:rPr>
          <w:rFonts w:cstheme="minorHAnsi"/>
          <w:lang w:val="es-ES"/>
        </w:rPr>
        <w:t>(</w:t>
      </w:r>
      <w:r w:rsidR="00FA4ABE" w:rsidRPr="002130C0">
        <w:rPr>
          <w:rFonts w:cstheme="minorHAnsi"/>
          <w:lang w:val="es-ES"/>
        </w:rPr>
        <w:t>n</w:t>
      </w:r>
      <w:r w:rsidR="00A92D25">
        <w:rPr>
          <w:rFonts w:cstheme="minorHAnsi"/>
          <w:lang w:val="es-ES"/>
        </w:rPr>
        <w:t>116</w:t>
      </w:r>
      <w:r w:rsidR="00596C1E">
        <w:rPr>
          <w:rFonts w:cstheme="minorHAnsi"/>
          <w:lang w:val="es-ES"/>
        </w:rPr>
        <w:t>)</w:t>
      </w:r>
      <w:r w:rsidR="00B6325B">
        <w:rPr>
          <w:rFonts w:cstheme="minorHAnsi"/>
          <w:lang w:val="es-ES"/>
        </w:rPr>
        <w:t>,</w:t>
      </w:r>
      <w:r w:rsidR="00FA4ABE" w:rsidRPr="002130C0">
        <w:rPr>
          <w:rFonts w:cstheme="minorHAnsi"/>
          <w:lang w:val="es-ES"/>
        </w:rPr>
        <w:t xml:space="preserve"> </w:t>
      </w:r>
      <w:r w:rsidR="00512395" w:rsidRPr="002130C0">
        <w:rPr>
          <w:rFonts w:cstheme="minorHAnsi"/>
          <w:lang w:val="es-ES"/>
        </w:rPr>
        <w:t>para 83.</w:t>
      </w:r>
    </w:p>
  </w:footnote>
  <w:footnote w:id="150">
    <w:p w14:paraId="2923E606" w14:textId="1918FD7D" w:rsidR="00CA2583" w:rsidRPr="002130C0" w:rsidRDefault="00CA2583"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3E682B" w:rsidRPr="002130C0">
        <w:rPr>
          <w:rFonts w:cstheme="minorHAnsi"/>
        </w:rPr>
        <w:t xml:space="preserve">Clare </w:t>
      </w:r>
      <w:r w:rsidR="00CD4A5A" w:rsidRPr="002130C0">
        <w:rPr>
          <w:rFonts w:cstheme="minorHAnsi"/>
        </w:rPr>
        <w:t>McGlynn,</w:t>
      </w:r>
      <w:r w:rsidR="000918B8" w:rsidRPr="002130C0">
        <w:rPr>
          <w:rFonts w:cstheme="minorHAnsi"/>
        </w:rPr>
        <w:t xml:space="preserve"> </w:t>
      </w:r>
      <w:r w:rsidR="00CD4A5A" w:rsidRPr="002130C0">
        <w:rPr>
          <w:rFonts w:cstheme="minorHAnsi"/>
          <w:i/>
          <w:iCs/>
        </w:rPr>
        <w:t>Families and the European Union: Law, Politics and Pluralism</w:t>
      </w:r>
      <w:r w:rsidR="00CD4A5A" w:rsidRPr="002130C0">
        <w:rPr>
          <w:rFonts w:cstheme="minorHAnsi"/>
        </w:rPr>
        <w:t xml:space="preserve"> (Cambridge University Press, 2006)</w:t>
      </w:r>
      <w:r w:rsidR="0096694C">
        <w:rPr>
          <w:rFonts w:cstheme="minorHAnsi"/>
        </w:rPr>
        <w:t>,</w:t>
      </w:r>
      <w:r w:rsidR="00CD4A5A" w:rsidRPr="002130C0">
        <w:rPr>
          <w:rFonts w:cstheme="minorHAnsi"/>
        </w:rPr>
        <w:t xml:space="preserve"> 48.</w:t>
      </w:r>
    </w:p>
  </w:footnote>
  <w:footnote w:id="151">
    <w:p w14:paraId="73216E10" w14:textId="2DE77C49" w:rsidR="00C82A36" w:rsidRPr="002130C0" w:rsidRDefault="00AC7DCB"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3E682B" w:rsidRPr="002130C0">
        <w:rPr>
          <w:rFonts w:cstheme="minorHAnsi"/>
        </w:rPr>
        <w:t xml:space="preserve">Helen </w:t>
      </w:r>
      <w:r w:rsidR="00CF757A" w:rsidRPr="002130C0">
        <w:rPr>
          <w:rFonts w:cstheme="minorHAnsi"/>
        </w:rPr>
        <w:t xml:space="preserve">Stalford, </w:t>
      </w:r>
      <w:r w:rsidR="00CF757A" w:rsidRPr="002130C0">
        <w:rPr>
          <w:rFonts w:cstheme="minorHAnsi"/>
          <w:i/>
          <w:iCs/>
        </w:rPr>
        <w:t>Children and the European Union: Rights, Welfare and Accountability</w:t>
      </w:r>
      <w:r w:rsidR="00CF757A" w:rsidRPr="002130C0">
        <w:rPr>
          <w:rFonts w:cstheme="minorHAnsi"/>
        </w:rPr>
        <w:t xml:space="preserve"> (Hart</w:t>
      </w:r>
      <w:r w:rsidR="000918B8" w:rsidRPr="002130C0">
        <w:rPr>
          <w:rFonts w:cstheme="minorHAnsi"/>
        </w:rPr>
        <w:t xml:space="preserve">, </w:t>
      </w:r>
      <w:r w:rsidR="00CF757A" w:rsidRPr="002130C0">
        <w:rPr>
          <w:rFonts w:cstheme="minorHAnsi"/>
        </w:rPr>
        <w:t>2012)</w:t>
      </w:r>
      <w:r w:rsidR="0096694C">
        <w:rPr>
          <w:rFonts w:cstheme="minorHAnsi"/>
        </w:rPr>
        <w:t>,</w:t>
      </w:r>
      <w:r w:rsidR="00CF757A" w:rsidRPr="002130C0">
        <w:rPr>
          <w:rFonts w:cstheme="minorHAnsi"/>
        </w:rPr>
        <w:t xml:space="preserve"> </w:t>
      </w:r>
      <w:r w:rsidR="003E0BC7" w:rsidRPr="002130C0">
        <w:rPr>
          <w:rFonts w:cstheme="minorHAnsi"/>
        </w:rPr>
        <w:t>24.</w:t>
      </w:r>
    </w:p>
  </w:footnote>
  <w:footnote w:id="152">
    <w:p w14:paraId="68ED7E5C" w14:textId="3FFDB0F2" w:rsidR="00C82A36" w:rsidRPr="002130C0" w:rsidRDefault="007D7BAE"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2130C0">
        <w:rPr>
          <w:rFonts w:cstheme="minorHAnsi"/>
          <w:i/>
          <w:iCs/>
        </w:rPr>
        <w:t xml:space="preserve">VМА v </w:t>
      </w:r>
      <w:proofErr w:type="spellStart"/>
      <w:r w:rsidRPr="002130C0">
        <w:rPr>
          <w:rFonts w:cstheme="minorHAnsi"/>
          <w:i/>
          <w:iCs/>
        </w:rPr>
        <w:t>Stolichna</w:t>
      </w:r>
      <w:proofErr w:type="spellEnd"/>
      <w:r w:rsidRPr="002130C0">
        <w:rPr>
          <w:rFonts w:cstheme="minorHAnsi"/>
          <w:i/>
          <w:iCs/>
        </w:rPr>
        <w:t xml:space="preserve"> </w:t>
      </w:r>
      <w:proofErr w:type="spellStart"/>
      <w:r w:rsidRPr="002130C0">
        <w:rPr>
          <w:rFonts w:cstheme="minorHAnsi"/>
          <w:i/>
          <w:iCs/>
        </w:rPr>
        <w:t>obshtina</w:t>
      </w:r>
      <w:proofErr w:type="spellEnd"/>
      <w:r w:rsidRPr="002130C0">
        <w:rPr>
          <w:rFonts w:cstheme="minorHAnsi"/>
          <w:i/>
          <w:iCs/>
        </w:rPr>
        <w:t>, rayon '</w:t>
      </w:r>
      <w:proofErr w:type="spellStart"/>
      <w:r w:rsidRPr="002130C0">
        <w:rPr>
          <w:rFonts w:cstheme="minorHAnsi"/>
          <w:i/>
          <w:iCs/>
        </w:rPr>
        <w:t>Pancharevo</w:t>
      </w:r>
      <w:proofErr w:type="spellEnd"/>
      <w:r w:rsidRPr="002130C0">
        <w:rPr>
          <w:rFonts w:cstheme="minorHAnsi"/>
          <w:i/>
          <w:iCs/>
        </w:rPr>
        <w:t>'</w:t>
      </w:r>
      <w:r w:rsidR="00450BB4">
        <w:rPr>
          <w:rFonts w:cstheme="minorHAnsi"/>
        </w:rPr>
        <w:t xml:space="preserve"> (</w:t>
      </w:r>
      <w:r w:rsidR="00EA22AC" w:rsidRPr="002130C0">
        <w:rPr>
          <w:rFonts w:cstheme="minorHAnsi"/>
        </w:rPr>
        <w:t xml:space="preserve">Case </w:t>
      </w:r>
      <w:r w:rsidR="00C82A36" w:rsidRPr="002130C0">
        <w:rPr>
          <w:rFonts w:cstheme="minorHAnsi"/>
        </w:rPr>
        <w:t>C-490/20</w:t>
      </w:r>
      <w:r w:rsidR="00450BB4">
        <w:rPr>
          <w:rFonts w:cstheme="minorHAnsi"/>
        </w:rPr>
        <w:t>)</w:t>
      </w:r>
      <w:r w:rsidR="0045580F" w:rsidRPr="002130C0">
        <w:rPr>
          <w:rFonts w:cstheme="minorHAnsi"/>
        </w:rPr>
        <w:t>.</w:t>
      </w:r>
    </w:p>
  </w:footnote>
  <w:footnote w:id="153">
    <w:p w14:paraId="3AD8E077" w14:textId="2B18F5CD" w:rsidR="002F1DCA" w:rsidRPr="002130C0" w:rsidRDefault="002F1DCA" w:rsidP="00CB68B8">
      <w:pPr>
        <w:spacing w:after="0" w:line="240" w:lineRule="auto"/>
        <w:rPr>
          <w:rFonts w:cstheme="minorHAnsi"/>
          <w:color w:val="000000" w:themeColor="text1"/>
          <w:sz w:val="20"/>
          <w:szCs w:val="20"/>
          <w:lang w:val="pl-PL"/>
        </w:rPr>
      </w:pPr>
      <w:r w:rsidRPr="002130C0">
        <w:rPr>
          <w:rStyle w:val="FootnoteReference"/>
          <w:rFonts w:cstheme="minorHAnsi"/>
          <w:color w:val="000000" w:themeColor="text1"/>
          <w:sz w:val="20"/>
          <w:szCs w:val="20"/>
        </w:rPr>
        <w:footnoteRef/>
      </w:r>
      <w:r w:rsidRPr="002130C0">
        <w:rPr>
          <w:rFonts w:cstheme="minorHAnsi"/>
          <w:color w:val="000000" w:themeColor="text1"/>
          <w:sz w:val="20"/>
          <w:szCs w:val="20"/>
          <w:lang w:val="pl-PL"/>
        </w:rPr>
        <w:t xml:space="preserve"> </w:t>
      </w:r>
      <w:r w:rsidRPr="002130C0">
        <w:rPr>
          <w:rFonts w:cstheme="minorHAnsi"/>
          <w:i/>
          <w:iCs/>
          <w:color w:val="000000" w:themeColor="text1"/>
          <w:sz w:val="20"/>
          <w:szCs w:val="20"/>
          <w:lang w:val="pl-PL"/>
        </w:rPr>
        <w:t>Rzecznik Praw Obywatelskich v KS and Others</w:t>
      </w:r>
      <w:r w:rsidR="00EA22AC" w:rsidRPr="002130C0">
        <w:rPr>
          <w:rFonts w:cstheme="minorHAnsi"/>
          <w:color w:val="000000" w:themeColor="text1"/>
          <w:sz w:val="20"/>
          <w:szCs w:val="20"/>
          <w:lang w:val="pl-PL"/>
        </w:rPr>
        <w:t xml:space="preserve"> </w:t>
      </w:r>
      <w:r w:rsidR="004646A4">
        <w:rPr>
          <w:rFonts w:cstheme="minorHAnsi"/>
          <w:color w:val="000000" w:themeColor="text1"/>
          <w:sz w:val="20"/>
          <w:szCs w:val="20"/>
          <w:lang w:val="pl-PL"/>
        </w:rPr>
        <w:t>(</w:t>
      </w:r>
      <w:r w:rsidR="00EA22AC" w:rsidRPr="002130C0">
        <w:rPr>
          <w:rFonts w:cstheme="minorHAnsi"/>
          <w:color w:val="000000" w:themeColor="text1"/>
          <w:sz w:val="20"/>
          <w:szCs w:val="20"/>
          <w:lang w:val="pl-PL"/>
        </w:rPr>
        <w:t>Case C-2/21</w:t>
      </w:r>
      <w:r w:rsidR="004646A4">
        <w:rPr>
          <w:rFonts w:cstheme="minorHAnsi"/>
          <w:color w:val="000000" w:themeColor="text1"/>
          <w:sz w:val="20"/>
          <w:szCs w:val="20"/>
          <w:lang w:val="pl-PL"/>
        </w:rPr>
        <w:t>)</w:t>
      </w:r>
      <w:r w:rsidR="005C2E9C">
        <w:rPr>
          <w:rFonts w:cstheme="minorHAnsi"/>
          <w:color w:val="000000" w:themeColor="text1"/>
          <w:sz w:val="20"/>
          <w:szCs w:val="20"/>
          <w:lang w:val="pl-PL"/>
        </w:rPr>
        <w:t>.</w:t>
      </w:r>
    </w:p>
  </w:footnote>
  <w:footnote w:id="154">
    <w:p w14:paraId="4C55F7E1" w14:textId="4E18E856" w:rsidR="006B3684" w:rsidRPr="002130C0" w:rsidRDefault="00227E1E"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rPr>
        <w:t xml:space="preserve"> European Parliament Resolution</w:t>
      </w:r>
      <w:r w:rsidR="000918B8" w:rsidRPr="002130C0">
        <w:rPr>
          <w:rFonts w:cstheme="minorHAnsi"/>
          <w:color w:val="000000" w:themeColor="text1"/>
        </w:rPr>
        <w:t xml:space="preserve"> on the protection of the rights of the child in civil, administrative and family law proceedings</w:t>
      </w:r>
      <w:r w:rsidR="00E37F84">
        <w:rPr>
          <w:rFonts w:cstheme="minorHAnsi"/>
          <w:color w:val="000000" w:themeColor="text1"/>
        </w:rPr>
        <w:t xml:space="preserve"> </w:t>
      </w:r>
      <w:r w:rsidR="004875B2">
        <w:rPr>
          <w:rFonts w:cstheme="minorHAnsi"/>
          <w:color w:val="000000" w:themeColor="text1"/>
        </w:rPr>
        <w:t>(</w:t>
      </w:r>
      <w:r w:rsidR="000918B8" w:rsidRPr="002130C0">
        <w:rPr>
          <w:rFonts w:cstheme="minorHAnsi"/>
          <w:color w:val="000000" w:themeColor="text1"/>
        </w:rPr>
        <w:t>2022 C 434/11</w:t>
      </w:r>
      <w:r w:rsidR="004875B2">
        <w:rPr>
          <w:rFonts w:cstheme="minorHAnsi"/>
          <w:color w:val="000000" w:themeColor="text1"/>
        </w:rPr>
        <w:t>)</w:t>
      </w:r>
      <w:r w:rsidR="000918B8" w:rsidRPr="002130C0">
        <w:rPr>
          <w:rFonts w:cstheme="minorHAnsi"/>
          <w:color w:val="000000" w:themeColor="text1"/>
        </w:rPr>
        <w:t xml:space="preserve">. </w:t>
      </w:r>
    </w:p>
  </w:footnote>
  <w:footnote w:id="155">
    <w:p w14:paraId="773B6766" w14:textId="336E30A2" w:rsidR="00F74869" w:rsidRPr="002130C0" w:rsidRDefault="0007219C" w:rsidP="00CB68B8">
      <w:pPr>
        <w:spacing w:after="0" w:line="240" w:lineRule="auto"/>
        <w:outlineLvl w:val="0"/>
        <w:rPr>
          <w:rFonts w:eastAsia="Times New Roman" w:cstheme="minorHAnsi"/>
          <w:b/>
          <w:bCs/>
          <w:color w:val="000000" w:themeColor="text1"/>
          <w:kern w:val="36"/>
          <w:sz w:val="20"/>
          <w:szCs w:val="20"/>
          <w:lang w:eastAsia="en-GB"/>
        </w:rPr>
      </w:pPr>
      <w:r w:rsidRPr="002130C0">
        <w:rPr>
          <w:rStyle w:val="FootnoteReference"/>
          <w:rFonts w:cstheme="minorHAnsi"/>
          <w:color w:val="000000" w:themeColor="text1"/>
          <w:sz w:val="20"/>
          <w:szCs w:val="20"/>
        </w:rPr>
        <w:footnoteRef/>
      </w:r>
      <w:r w:rsidRPr="002130C0">
        <w:rPr>
          <w:rFonts w:cstheme="minorHAnsi"/>
          <w:color w:val="000000" w:themeColor="text1"/>
          <w:sz w:val="20"/>
          <w:szCs w:val="20"/>
        </w:rPr>
        <w:t xml:space="preserve"> </w:t>
      </w:r>
      <w:r w:rsidR="00E77A04" w:rsidRPr="002130C0">
        <w:rPr>
          <w:rFonts w:cstheme="minorHAnsi"/>
          <w:color w:val="000000" w:themeColor="text1"/>
          <w:sz w:val="20"/>
          <w:szCs w:val="20"/>
        </w:rPr>
        <w:t xml:space="preserve">See </w:t>
      </w:r>
      <w:r w:rsidR="00DF331E" w:rsidRPr="002130C0">
        <w:rPr>
          <w:rFonts w:cstheme="minorHAnsi"/>
          <w:color w:val="000000" w:themeColor="text1"/>
          <w:sz w:val="20"/>
          <w:szCs w:val="20"/>
        </w:rPr>
        <w:t xml:space="preserve">Celidh </w:t>
      </w:r>
      <w:r w:rsidR="00E77A04" w:rsidRPr="002130C0">
        <w:rPr>
          <w:rFonts w:cstheme="minorHAnsi"/>
          <w:color w:val="000000" w:themeColor="text1"/>
          <w:sz w:val="20"/>
          <w:szCs w:val="20"/>
        </w:rPr>
        <w:t>Kern</w:t>
      </w:r>
      <w:r w:rsidR="00DF331E" w:rsidRPr="002130C0">
        <w:rPr>
          <w:rFonts w:cstheme="minorHAnsi"/>
          <w:color w:val="000000" w:themeColor="text1"/>
          <w:sz w:val="20"/>
          <w:szCs w:val="20"/>
        </w:rPr>
        <w:t>,</w:t>
      </w:r>
      <w:r w:rsidR="00E77A04" w:rsidRPr="002130C0">
        <w:rPr>
          <w:rFonts w:cstheme="minorHAnsi"/>
          <w:color w:val="000000" w:themeColor="text1"/>
          <w:sz w:val="20"/>
          <w:szCs w:val="20"/>
        </w:rPr>
        <w:t xml:space="preserve"> ‘</w:t>
      </w:r>
      <w:r w:rsidR="00E77A04" w:rsidRPr="002130C0">
        <w:rPr>
          <w:rFonts w:eastAsia="Times New Roman" w:cstheme="minorHAnsi"/>
          <w:color w:val="000000" w:themeColor="text1"/>
          <w:kern w:val="36"/>
          <w:sz w:val="20"/>
          <w:szCs w:val="20"/>
          <w:lang w:eastAsia="en-GB"/>
        </w:rPr>
        <w:t xml:space="preserve">MEPs </w:t>
      </w:r>
      <w:r w:rsidR="000918B8" w:rsidRPr="002130C0">
        <w:rPr>
          <w:rFonts w:eastAsia="Times New Roman" w:cstheme="minorHAnsi"/>
          <w:color w:val="000000" w:themeColor="text1"/>
          <w:kern w:val="36"/>
          <w:sz w:val="20"/>
          <w:szCs w:val="20"/>
          <w:lang w:eastAsia="en-GB"/>
        </w:rPr>
        <w:t>P</w:t>
      </w:r>
      <w:r w:rsidR="00E77A04" w:rsidRPr="002130C0">
        <w:rPr>
          <w:rFonts w:eastAsia="Times New Roman" w:cstheme="minorHAnsi"/>
          <w:color w:val="000000" w:themeColor="text1"/>
          <w:kern w:val="36"/>
          <w:sz w:val="20"/>
          <w:szCs w:val="20"/>
          <w:lang w:eastAsia="en-GB"/>
        </w:rPr>
        <w:t xml:space="preserve">ush for </w:t>
      </w:r>
      <w:r w:rsidR="000918B8" w:rsidRPr="002130C0">
        <w:rPr>
          <w:rFonts w:eastAsia="Times New Roman" w:cstheme="minorHAnsi"/>
          <w:color w:val="000000" w:themeColor="text1"/>
          <w:kern w:val="36"/>
          <w:sz w:val="20"/>
          <w:szCs w:val="20"/>
          <w:lang w:eastAsia="en-GB"/>
        </w:rPr>
        <w:t>L</w:t>
      </w:r>
      <w:r w:rsidR="00E77A04" w:rsidRPr="002130C0">
        <w:rPr>
          <w:rFonts w:eastAsia="Times New Roman" w:cstheme="minorHAnsi"/>
          <w:color w:val="000000" w:themeColor="text1"/>
          <w:kern w:val="36"/>
          <w:sz w:val="20"/>
          <w:szCs w:val="20"/>
          <w:lang w:eastAsia="en-GB"/>
        </w:rPr>
        <w:t xml:space="preserve">egislation on </w:t>
      </w:r>
      <w:r w:rsidR="000918B8" w:rsidRPr="002130C0">
        <w:rPr>
          <w:rFonts w:eastAsia="Times New Roman" w:cstheme="minorHAnsi"/>
          <w:color w:val="000000" w:themeColor="text1"/>
          <w:kern w:val="36"/>
          <w:sz w:val="20"/>
          <w:szCs w:val="20"/>
          <w:lang w:eastAsia="en-GB"/>
        </w:rPr>
        <w:t>R</w:t>
      </w:r>
      <w:r w:rsidR="00E77A04" w:rsidRPr="002130C0">
        <w:rPr>
          <w:rFonts w:eastAsia="Times New Roman" w:cstheme="minorHAnsi"/>
          <w:color w:val="000000" w:themeColor="text1"/>
          <w:kern w:val="36"/>
          <w:sz w:val="20"/>
          <w:szCs w:val="20"/>
          <w:lang w:eastAsia="en-GB"/>
        </w:rPr>
        <w:t xml:space="preserve">ainbow </w:t>
      </w:r>
      <w:r w:rsidR="000918B8" w:rsidRPr="002130C0">
        <w:rPr>
          <w:rFonts w:eastAsia="Times New Roman" w:cstheme="minorHAnsi"/>
          <w:color w:val="000000" w:themeColor="text1"/>
          <w:kern w:val="36"/>
          <w:sz w:val="20"/>
          <w:szCs w:val="20"/>
          <w:lang w:eastAsia="en-GB"/>
        </w:rPr>
        <w:t>F</w:t>
      </w:r>
      <w:r w:rsidR="00E77A04" w:rsidRPr="002130C0">
        <w:rPr>
          <w:rFonts w:eastAsia="Times New Roman" w:cstheme="minorHAnsi"/>
          <w:color w:val="000000" w:themeColor="text1"/>
          <w:kern w:val="36"/>
          <w:sz w:val="20"/>
          <w:szCs w:val="20"/>
          <w:lang w:eastAsia="en-GB"/>
        </w:rPr>
        <w:t xml:space="preserve">amilies’ </w:t>
      </w:r>
      <w:r w:rsidR="000918B8" w:rsidRPr="002130C0">
        <w:rPr>
          <w:rFonts w:eastAsia="Times New Roman" w:cstheme="minorHAnsi"/>
          <w:color w:val="000000" w:themeColor="text1"/>
          <w:kern w:val="36"/>
          <w:sz w:val="20"/>
          <w:szCs w:val="20"/>
          <w:lang w:eastAsia="en-GB"/>
        </w:rPr>
        <w:t>C</w:t>
      </w:r>
      <w:r w:rsidR="00E77A04" w:rsidRPr="002130C0">
        <w:rPr>
          <w:rFonts w:eastAsia="Times New Roman" w:cstheme="minorHAnsi"/>
          <w:color w:val="000000" w:themeColor="text1"/>
          <w:kern w:val="36"/>
          <w:sz w:val="20"/>
          <w:szCs w:val="20"/>
          <w:lang w:eastAsia="en-GB"/>
        </w:rPr>
        <w:t>ross-</w:t>
      </w:r>
      <w:r w:rsidR="000918B8" w:rsidRPr="002130C0">
        <w:rPr>
          <w:rFonts w:eastAsia="Times New Roman" w:cstheme="minorHAnsi"/>
          <w:color w:val="000000" w:themeColor="text1"/>
          <w:kern w:val="36"/>
          <w:sz w:val="20"/>
          <w:szCs w:val="20"/>
          <w:lang w:eastAsia="en-GB"/>
        </w:rPr>
        <w:t>B</w:t>
      </w:r>
      <w:r w:rsidR="00E77A04" w:rsidRPr="002130C0">
        <w:rPr>
          <w:rFonts w:eastAsia="Times New Roman" w:cstheme="minorHAnsi"/>
          <w:color w:val="000000" w:themeColor="text1"/>
          <w:kern w:val="36"/>
          <w:sz w:val="20"/>
          <w:szCs w:val="20"/>
          <w:lang w:eastAsia="en-GB"/>
        </w:rPr>
        <w:t>order</w:t>
      </w:r>
      <w:r w:rsidR="000918B8" w:rsidRPr="002130C0">
        <w:rPr>
          <w:rFonts w:eastAsia="Times New Roman" w:cstheme="minorHAnsi"/>
          <w:color w:val="000000" w:themeColor="text1"/>
          <w:kern w:val="36"/>
          <w:sz w:val="20"/>
          <w:szCs w:val="20"/>
          <w:lang w:eastAsia="en-GB"/>
        </w:rPr>
        <w:t xml:space="preserve"> R</w:t>
      </w:r>
      <w:r w:rsidR="00E77A04" w:rsidRPr="002130C0">
        <w:rPr>
          <w:rFonts w:eastAsia="Times New Roman" w:cstheme="minorHAnsi"/>
          <w:color w:val="000000" w:themeColor="text1"/>
          <w:kern w:val="36"/>
          <w:sz w:val="20"/>
          <w:szCs w:val="20"/>
          <w:lang w:eastAsia="en-GB"/>
        </w:rPr>
        <w:t xml:space="preserve">ights’, </w:t>
      </w:r>
      <w:r w:rsidRPr="004875B2">
        <w:rPr>
          <w:rFonts w:cstheme="minorHAnsi"/>
          <w:i/>
          <w:iCs/>
          <w:color w:val="000000" w:themeColor="text1"/>
          <w:sz w:val="20"/>
          <w:szCs w:val="20"/>
        </w:rPr>
        <w:t>Euro – Active</w:t>
      </w:r>
      <w:r w:rsidR="00E77A04" w:rsidRPr="002130C0">
        <w:rPr>
          <w:rFonts w:cstheme="minorHAnsi"/>
          <w:color w:val="000000" w:themeColor="text1"/>
          <w:sz w:val="20"/>
          <w:szCs w:val="20"/>
        </w:rPr>
        <w:t xml:space="preserve"> </w:t>
      </w:r>
      <w:r w:rsidR="004875B2">
        <w:rPr>
          <w:rFonts w:cstheme="minorHAnsi"/>
          <w:color w:val="000000" w:themeColor="text1"/>
          <w:sz w:val="20"/>
          <w:szCs w:val="20"/>
        </w:rPr>
        <w:t>(</w:t>
      </w:r>
      <w:r w:rsidR="00E77A04" w:rsidRPr="002130C0">
        <w:rPr>
          <w:rFonts w:cstheme="minorHAnsi"/>
          <w:color w:val="000000" w:themeColor="text1"/>
          <w:sz w:val="20"/>
          <w:szCs w:val="20"/>
        </w:rPr>
        <w:t>2022</w:t>
      </w:r>
      <w:r w:rsidR="004875B2">
        <w:rPr>
          <w:rFonts w:cstheme="minorHAnsi"/>
          <w:color w:val="000000" w:themeColor="text1"/>
          <w:sz w:val="20"/>
          <w:szCs w:val="20"/>
        </w:rPr>
        <w:t>),</w:t>
      </w:r>
      <w:r w:rsidR="00E77A04" w:rsidRPr="002130C0">
        <w:rPr>
          <w:rFonts w:cstheme="minorHAnsi"/>
          <w:color w:val="000000" w:themeColor="text1"/>
          <w:sz w:val="20"/>
          <w:szCs w:val="20"/>
        </w:rPr>
        <w:t xml:space="preserve"> available at</w:t>
      </w:r>
      <w:r w:rsidRPr="002130C0">
        <w:rPr>
          <w:rFonts w:cstheme="minorHAnsi"/>
          <w:color w:val="000000" w:themeColor="text1"/>
          <w:sz w:val="20"/>
          <w:szCs w:val="20"/>
        </w:rPr>
        <w:t xml:space="preserve"> </w:t>
      </w:r>
      <w:hyperlink r:id="rId27" w:history="1">
        <w:r w:rsidR="00DF331E" w:rsidRPr="002130C0">
          <w:rPr>
            <w:rStyle w:val="Hyperlink"/>
            <w:rFonts w:cstheme="minorHAnsi"/>
            <w:color w:val="000000" w:themeColor="text1"/>
            <w:sz w:val="20"/>
            <w:szCs w:val="20"/>
          </w:rPr>
          <w:t>https://www.euractiv.com/section/non-discrimination/news/meps-push-for-legislation-on-rainbow-families-cross-border-rights/</w:t>
        </w:r>
      </w:hyperlink>
      <w:r w:rsidR="000918B8" w:rsidRPr="002130C0">
        <w:rPr>
          <w:rFonts w:cstheme="minorHAnsi"/>
          <w:color w:val="000000" w:themeColor="text1"/>
          <w:sz w:val="20"/>
          <w:szCs w:val="20"/>
        </w:rPr>
        <w:t xml:space="preserve"> </w:t>
      </w:r>
    </w:p>
  </w:footnote>
  <w:footnote w:id="156">
    <w:p w14:paraId="73090A85" w14:textId="205D1F43" w:rsidR="00092096" w:rsidRPr="002130C0" w:rsidRDefault="00186664" w:rsidP="00CB68B8">
      <w:pPr>
        <w:pStyle w:val="FootnoteText"/>
        <w:rPr>
          <w:rFonts w:cstheme="minorHAnsi"/>
          <w:color w:val="000000" w:themeColor="text1"/>
        </w:rPr>
      </w:pPr>
      <w:r w:rsidRPr="002130C0">
        <w:rPr>
          <w:rStyle w:val="FootnoteReference"/>
          <w:rFonts w:cstheme="minorHAnsi"/>
          <w:color w:val="000000" w:themeColor="text1"/>
        </w:rPr>
        <w:footnoteRef/>
      </w:r>
      <w:r w:rsidRPr="002130C0">
        <w:rPr>
          <w:rFonts w:cstheme="minorHAnsi"/>
          <w:color w:val="000000" w:themeColor="text1"/>
        </w:rPr>
        <w:t xml:space="preserve"> </w:t>
      </w:r>
      <w:r w:rsidR="00CC3B23" w:rsidRPr="002130C0">
        <w:rPr>
          <w:rFonts w:cstheme="minorHAnsi"/>
          <w:color w:val="000000" w:themeColor="text1"/>
        </w:rPr>
        <w:t xml:space="preserve"> Ibid</w:t>
      </w:r>
      <w:r w:rsidR="00D06320" w:rsidRPr="002130C0">
        <w:rPr>
          <w:rFonts w:cstheme="minorHAnsi"/>
          <w:color w:val="000000" w:themeColor="text1"/>
        </w:rPr>
        <w:t>.</w:t>
      </w:r>
      <w:r w:rsidR="00CD6BBE" w:rsidRPr="002130C0">
        <w:rPr>
          <w:rFonts w:cstheme="minorHAnsi"/>
          <w:color w:val="000000" w:themeColor="text1"/>
        </w:rPr>
        <w:t xml:space="preserve"> </w:t>
      </w:r>
    </w:p>
  </w:footnote>
  <w:footnote w:id="157">
    <w:p w14:paraId="4640AC70" w14:textId="694AFEB8" w:rsidR="000F7255" w:rsidRPr="002130C0" w:rsidRDefault="000F7255"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FD26D8" w:rsidRPr="002130C0">
        <w:rPr>
          <w:rFonts w:cstheme="minorHAnsi"/>
          <w:color w:val="333333"/>
        </w:rPr>
        <w:t>See European Commission</w:t>
      </w:r>
      <w:r w:rsidR="00AB6F74" w:rsidRPr="002130C0">
        <w:rPr>
          <w:rFonts w:cstheme="minorHAnsi"/>
          <w:color w:val="333333"/>
        </w:rPr>
        <w:t xml:space="preserve"> ‘Recognition of Parenthood between Member States’ </w:t>
      </w:r>
      <w:r w:rsidR="00730EEA">
        <w:rPr>
          <w:rFonts w:cstheme="minorHAnsi"/>
          <w:color w:val="333333"/>
        </w:rPr>
        <w:t>(</w:t>
      </w:r>
      <w:r w:rsidR="00AB6F74" w:rsidRPr="002130C0">
        <w:rPr>
          <w:rFonts w:cstheme="minorHAnsi"/>
          <w:color w:val="333333"/>
        </w:rPr>
        <w:t>202</w:t>
      </w:r>
      <w:r w:rsidR="00CF5B66" w:rsidRPr="002130C0">
        <w:rPr>
          <w:rFonts w:cstheme="minorHAnsi"/>
          <w:color w:val="333333"/>
        </w:rPr>
        <w:t>2</w:t>
      </w:r>
      <w:r w:rsidR="00730EEA">
        <w:rPr>
          <w:rFonts w:cstheme="minorHAnsi"/>
          <w:color w:val="333333"/>
        </w:rPr>
        <w:t>)</w:t>
      </w:r>
      <w:r w:rsidR="00FD26D8" w:rsidRPr="002130C0">
        <w:rPr>
          <w:rFonts w:cstheme="minorHAnsi"/>
          <w:color w:val="333333"/>
        </w:rPr>
        <w:t xml:space="preserve"> </w:t>
      </w:r>
      <w:r w:rsidR="00AB6F74" w:rsidRPr="002130C0">
        <w:rPr>
          <w:rFonts w:cstheme="minorHAnsi"/>
          <w:color w:val="333333"/>
        </w:rPr>
        <w:t>available at</w:t>
      </w:r>
      <w:r w:rsidR="00FD26D8" w:rsidRPr="002130C0">
        <w:rPr>
          <w:rFonts w:cstheme="minorHAnsi"/>
          <w:color w:val="333333"/>
        </w:rPr>
        <w:t xml:space="preserve"> </w:t>
      </w:r>
      <w:hyperlink r:id="rId28" w:history="1">
        <w:r w:rsidR="00FD26D8" w:rsidRPr="002130C0">
          <w:rPr>
            <w:rFonts w:cstheme="minorHAnsi"/>
            <w:color w:val="0000FF"/>
            <w:u w:val="single"/>
          </w:rPr>
          <w:t>Recognition of parenthood between Member States - European Commission (europa.eu)</w:t>
        </w:r>
      </w:hyperlink>
      <w:r w:rsidR="00D01D38">
        <w:rPr>
          <w:rFonts w:cstheme="minorHAnsi"/>
          <w:color w:val="0000FF"/>
          <w:u w:val="single"/>
        </w:rPr>
        <w:t>.</w:t>
      </w:r>
      <w:r w:rsidR="00FD26D8" w:rsidRPr="002130C0">
        <w:rPr>
          <w:rFonts w:cstheme="minorHAnsi"/>
        </w:rPr>
        <w:t xml:space="preserve"> Also see </w:t>
      </w:r>
      <w:r w:rsidR="001E2FC1" w:rsidRPr="002130C0">
        <w:rPr>
          <w:rFonts w:cstheme="minorHAnsi"/>
        </w:rPr>
        <w:t xml:space="preserve">for discussion Alina </w:t>
      </w:r>
      <w:proofErr w:type="spellStart"/>
      <w:r w:rsidR="001E2FC1" w:rsidRPr="002130C0">
        <w:rPr>
          <w:rFonts w:cstheme="minorHAnsi"/>
        </w:rPr>
        <w:t>Tryfonidou</w:t>
      </w:r>
      <w:proofErr w:type="spellEnd"/>
      <w:r w:rsidR="00142AF6" w:rsidRPr="002130C0">
        <w:rPr>
          <w:rFonts w:cstheme="minorHAnsi"/>
        </w:rPr>
        <w:t xml:space="preserve">, </w:t>
      </w:r>
      <w:r w:rsidR="00265954" w:rsidRPr="002130C0">
        <w:rPr>
          <w:rFonts w:cstheme="minorHAnsi"/>
        </w:rPr>
        <w:t xml:space="preserve">‘Who is Family Law for? Exploring Legal Approaches to Family Diversity’ </w:t>
      </w:r>
      <w:r w:rsidR="00730EEA">
        <w:rPr>
          <w:rFonts w:cstheme="minorHAnsi"/>
        </w:rPr>
        <w:t>(</w:t>
      </w:r>
      <w:r w:rsidR="00265954" w:rsidRPr="002130C0">
        <w:rPr>
          <w:rFonts w:cstheme="minorHAnsi"/>
        </w:rPr>
        <w:t>2024</w:t>
      </w:r>
      <w:r w:rsidR="00730EEA">
        <w:rPr>
          <w:rFonts w:cstheme="minorHAnsi"/>
        </w:rPr>
        <w:t>)</w:t>
      </w:r>
      <w:r w:rsidR="00B9193C" w:rsidRPr="002130C0">
        <w:rPr>
          <w:rFonts w:cstheme="minorHAnsi"/>
        </w:rPr>
        <w:t xml:space="preserve"> </w:t>
      </w:r>
      <w:r w:rsidR="00084FEF" w:rsidRPr="002130C0">
        <w:rPr>
          <w:rFonts w:cstheme="minorHAnsi"/>
          <w:i/>
          <w:iCs/>
        </w:rPr>
        <w:t>Journal of Social Welfare and Family Law</w:t>
      </w:r>
      <w:r w:rsidR="00265954" w:rsidRPr="002130C0">
        <w:rPr>
          <w:rFonts w:cstheme="minorHAnsi"/>
        </w:rPr>
        <w:t xml:space="preserve"> 46</w:t>
      </w:r>
      <w:r w:rsidR="00B9193C" w:rsidRPr="002130C0">
        <w:rPr>
          <w:rFonts w:cstheme="minorHAnsi"/>
        </w:rPr>
        <w:t>(2)</w:t>
      </w:r>
      <w:r w:rsidR="00155FAA">
        <w:rPr>
          <w:rFonts w:cstheme="minorHAnsi"/>
        </w:rPr>
        <w:t>,</w:t>
      </w:r>
      <w:r w:rsidR="00B9193C" w:rsidRPr="002130C0">
        <w:rPr>
          <w:rFonts w:cstheme="minorHAnsi"/>
        </w:rPr>
        <w:t xml:space="preserve"> </w:t>
      </w:r>
      <w:r w:rsidR="002215F8" w:rsidRPr="002130C0">
        <w:rPr>
          <w:rFonts w:cstheme="minorHAnsi"/>
        </w:rPr>
        <w:t xml:space="preserve">267-285. </w:t>
      </w:r>
    </w:p>
  </w:footnote>
  <w:footnote w:id="158">
    <w:p w14:paraId="5A92311A" w14:textId="6BB30DA2" w:rsidR="00992616" w:rsidRPr="002130C0" w:rsidRDefault="00992616"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BA09D4" w:rsidRPr="002130C0">
        <w:rPr>
          <w:rFonts w:cstheme="minorHAnsi"/>
        </w:rPr>
        <w:t xml:space="preserve">Jens </w:t>
      </w:r>
      <w:proofErr w:type="spellStart"/>
      <w:proofErr w:type="gramStart"/>
      <w:r w:rsidR="00BA09D4" w:rsidRPr="002130C0">
        <w:rPr>
          <w:rFonts w:cstheme="minorHAnsi"/>
        </w:rPr>
        <w:t>Scherpe</w:t>
      </w:r>
      <w:proofErr w:type="spellEnd"/>
      <w:r w:rsidR="00BA09D4" w:rsidRPr="002130C0">
        <w:rPr>
          <w:rFonts w:cstheme="minorHAnsi"/>
        </w:rPr>
        <w:t xml:space="preserve">,  </w:t>
      </w:r>
      <w:r w:rsidR="00BA09D4">
        <w:rPr>
          <w:rFonts w:eastAsia="Times New Roman" w:cstheme="minorHAnsi"/>
          <w:lang w:eastAsia="en-GB"/>
        </w:rPr>
        <w:t>‘</w:t>
      </w:r>
      <w:proofErr w:type="gramEnd"/>
      <w:r w:rsidR="00BA09D4" w:rsidRPr="002130C0">
        <w:rPr>
          <w:rFonts w:eastAsia="Times New Roman" w:cstheme="minorHAnsi"/>
          <w:lang w:eastAsia="en-GB"/>
        </w:rPr>
        <w:t>Is There a "European Family Law</w:t>
      </w:r>
      <w:r w:rsidR="00730EEA">
        <w:rPr>
          <w:rFonts w:eastAsia="Times New Roman" w:cstheme="minorHAnsi"/>
          <w:lang w:eastAsia="en-GB"/>
        </w:rPr>
        <w:t>”</w:t>
      </w:r>
      <w:r w:rsidR="00BA09D4" w:rsidRPr="002130C0">
        <w:rPr>
          <w:rFonts w:eastAsia="Times New Roman" w:cstheme="minorHAnsi"/>
          <w:lang w:eastAsia="en-GB"/>
        </w:rPr>
        <w:t>?</w:t>
      </w:r>
      <w:r w:rsidR="00BA09D4">
        <w:rPr>
          <w:rFonts w:eastAsia="Times New Roman" w:cstheme="minorHAnsi"/>
          <w:lang w:eastAsia="en-GB"/>
        </w:rPr>
        <w:t>’</w:t>
      </w:r>
      <w:r w:rsidR="00BA09D4" w:rsidRPr="002130C0">
        <w:rPr>
          <w:rFonts w:eastAsia="Times New Roman" w:cstheme="minorHAnsi"/>
          <w:lang w:eastAsia="en-GB"/>
        </w:rPr>
        <w:t xml:space="preserve"> </w:t>
      </w:r>
      <w:r w:rsidR="00730EEA">
        <w:rPr>
          <w:rFonts w:eastAsia="Times New Roman" w:cstheme="minorHAnsi"/>
          <w:lang w:eastAsia="en-GB"/>
        </w:rPr>
        <w:t>(</w:t>
      </w:r>
      <w:r w:rsidR="00BA09D4" w:rsidRPr="002130C0">
        <w:rPr>
          <w:rFonts w:eastAsia="Times New Roman" w:cstheme="minorHAnsi"/>
          <w:lang w:eastAsia="en-GB"/>
        </w:rPr>
        <w:t>2023</w:t>
      </w:r>
      <w:r w:rsidR="00730EEA">
        <w:rPr>
          <w:rFonts w:eastAsia="Times New Roman" w:cstheme="minorHAnsi"/>
          <w:lang w:eastAsia="en-GB"/>
        </w:rPr>
        <w:t>)</w:t>
      </w:r>
      <w:r w:rsidR="00BA09D4" w:rsidRPr="002130C0">
        <w:rPr>
          <w:rFonts w:eastAsia="Times New Roman" w:cstheme="minorHAnsi"/>
          <w:lang w:eastAsia="en-GB"/>
        </w:rPr>
        <w:t xml:space="preserve"> </w:t>
      </w:r>
      <w:r w:rsidR="00BA09D4" w:rsidRPr="002130C0">
        <w:rPr>
          <w:rFonts w:eastAsia="Times New Roman" w:cstheme="minorHAnsi"/>
          <w:i/>
          <w:iCs/>
          <w:lang w:eastAsia="en-GB"/>
        </w:rPr>
        <w:t>Victoria University of Wellington Law Review</w:t>
      </w:r>
      <w:r w:rsidR="00BA09D4" w:rsidRPr="002130C0">
        <w:rPr>
          <w:rFonts w:eastAsia="Times New Roman" w:cstheme="minorHAnsi"/>
          <w:lang w:eastAsia="en-GB"/>
        </w:rPr>
        <w:t xml:space="preserve"> 54(1)</w:t>
      </w:r>
      <w:r w:rsidR="00155FAA">
        <w:rPr>
          <w:rFonts w:eastAsia="Times New Roman" w:cstheme="minorHAnsi"/>
          <w:lang w:eastAsia="en-GB"/>
        </w:rPr>
        <w:t>,</w:t>
      </w:r>
      <w:r w:rsidR="00BA09D4" w:rsidRPr="002130C0">
        <w:rPr>
          <w:rFonts w:eastAsia="Times New Roman" w:cstheme="minorHAnsi"/>
          <w:lang w:eastAsia="en-GB"/>
        </w:rPr>
        <w:t xml:space="preserve"> 317-332, 325.</w:t>
      </w:r>
    </w:p>
  </w:footnote>
  <w:footnote w:id="159">
    <w:p w14:paraId="3F795C49" w14:textId="051D583F" w:rsidR="00796046" w:rsidRPr="002130C0" w:rsidRDefault="004B0F99" w:rsidP="00CB68B8">
      <w:pPr>
        <w:spacing w:after="0" w:line="240" w:lineRule="auto"/>
        <w:rPr>
          <w:rFonts w:cstheme="minorHAnsi"/>
          <w:color w:val="000000" w:themeColor="text1"/>
          <w:sz w:val="20"/>
          <w:szCs w:val="20"/>
        </w:rPr>
      </w:pPr>
      <w:r w:rsidRPr="002130C0">
        <w:rPr>
          <w:rStyle w:val="FootnoteReference"/>
          <w:rFonts w:cstheme="minorHAnsi"/>
          <w:color w:val="000000" w:themeColor="text1"/>
          <w:sz w:val="20"/>
          <w:szCs w:val="20"/>
        </w:rPr>
        <w:footnoteRef/>
      </w:r>
      <w:r w:rsidRPr="002130C0">
        <w:rPr>
          <w:rFonts w:cstheme="minorHAnsi"/>
          <w:color w:val="000000" w:themeColor="text1"/>
          <w:sz w:val="20"/>
          <w:szCs w:val="20"/>
        </w:rPr>
        <w:t xml:space="preserve"> </w:t>
      </w:r>
      <w:proofErr w:type="spellStart"/>
      <w:r w:rsidRPr="002130C0">
        <w:rPr>
          <w:rFonts w:cstheme="minorHAnsi"/>
          <w:color w:val="000000" w:themeColor="text1"/>
          <w:sz w:val="20"/>
          <w:szCs w:val="20"/>
        </w:rPr>
        <w:t>Tryfonidou</w:t>
      </w:r>
      <w:proofErr w:type="spellEnd"/>
      <w:r w:rsidR="00D06320" w:rsidRPr="002130C0">
        <w:rPr>
          <w:rFonts w:cstheme="minorHAnsi"/>
          <w:color w:val="000000" w:themeColor="text1"/>
          <w:sz w:val="20"/>
          <w:szCs w:val="20"/>
        </w:rPr>
        <w:t xml:space="preserve"> </w:t>
      </w:r>
      <w:r w:rsidR="00622C49">
        <w:rPr>
          <w:rFonts w:cstheme="minorHAnsi"/>
          <w:color w:val="000000" w:themeColor="text1"/>
          <w:sz w:val="20"/>
          <w:szCs w:val="20"/>
        </w:rPr>
        <w:t xml:space="preserve">(2019) </w:t>
      </w:r>
      <w:r w:rsidR="000918B8" w:rsidRPr="002130C0">
        <w:rPr>
          <w:rFonts w:cstheme="minorHAnsi"/>
          <w:color w:val="000000" w:themeColor="text1"/>
          <w:sz w:val="20"/>
          <w:szCs w:val="20"/>
        </w:rPr>
        <w:t>(</w:t>
      </w:r>
      <w:r w:rsidR="00D06320" w:rsidRPr="002130C0">
        <w:rPr>
          <w:rFonts w:cstheme="minorHAnsi"/>
          <w:color w:val="000000" w:themeColor="text1"/>
          <w:sz w:val="20"/>
          <w:szCs w:val="20"/>
        </w:rPr>
        <w:t>n3</w:t>
      </w:r>
      <w:r w:rsidR="009D722E">
        <w:rPr>
          <w:rFonts w:cstheme="minorHAnsi"/>
          <w:color w:val="000000" w:themeColor="text1"/>
          <w:sz w:val="20"/>
          <w:szCs w:val="20"/>
        </w:rPr>
        <w:t>8</w:t>
      </w:r>
      <w:r w:rsidR="000918B8" w:rsidRPr="002130C0">
        <w:rPr>
          <w:rFonts w:cstheme="minorHAnsi"/>
          <w:color w:val="000000" w:themeColor="text1"/>
          <w:sz w:val="20"/>
          <w:szCs w:val="20"/>
        </w:rPr>
        <w:t>)</w:t>
      </w:r>
      <w:r w:rsidR="00622C49">
        <w:rPr>
          <w:rFonts w:cstheme="minorHAnsi"/>
          <w:color w:val="000000" w:themeColor="text1"/>
          <w:sz w:val="20"/>
          <w:szCs w:val="20"/>
        </w:rPr>
        <w:t>,</w:t>
      </w:r>
      <w:r w:rsidRPr="002130C0">
        <w:rPr>
          <w:rFonts w:cstheme="minorHAnsi"/>
          <w:color w:val="000000" w:themeColor="text1"/>
          <w:sz w:val="20"/>
          <w:szCs w:val="20"/>
        </w:rPr>
        <w:t xml:space="preserve"> </w:t>
      </w:r>
      <w:r w:rsidR="00AE34A9" w:rsidRPr="002130C0">
        <w:rPr>
          <w:rFonts w:cstheme="minorHAnsi"/>
          <w:color w:val="000000" w:themeColor="text1"/>
          <w:sz w:val="20"/>
          <w:szCs w:val="20"/>
        </w:rPr>
        <w:t>234</w:t>
      </w:r>
      <w:r w:rsidR="00F874C6" w:rsidRPr="002130C0">
        <w:rPr>
          <w:rFonts w:cstheme="minorHAnsi"/>
          <w:color w:val="000000" w:themeColor="text1"/>
          <w:sz w:val="20"/>
          <w:szCs w:val="20"/>
        </w:rPr>
        <w:t>.</w:t>
      </w:r>
      <w:r w:rsidR="00AE34A9" w:rsidRPr="002130C0">
        <w:rPr>
          <w:rFonts w:cstheme="minorHAnsi"/>
          <w:color w:val="000000" w:themeColor="text1"/>
          <w:sz w:val="20"/>
          <w:szCs w:val="20"/>
        </w:rPr>
        <w:t xml:space="preserve"> </w:t>
      </w:r>
    </w:p>
  </w:footnote>
  <w:footnote w:id="160">
    <w:p w14:paraId="6E9A4767" w14:textId="592BE5B5" w:rsidR="00E457C6" w:rsidRPr="002130C0" w:rsidRDefault="004B0F99" w:rsidP="00CB68B8">
      <w:pPr>
        <w:spacing w:after="0" w:line="240" w:lineRule="auto"/>
        <w:rPr>
          <w:rFonts w:cstheme="minorHAnsi"/>
          <w:sz w:val="20"/>
          <w:szCs w:val="20"/>
        </w:rPr>
      </w:pPr>
      <w:r w:rsidRPr="002130C0">
        <w:rPr>
          <w:rStyle w:val="FootnoteReference"/>
          <w:rFonts w:cstheme="minorHAnsi"/>
          <w:sz w:val="20"/>
          <w:szCs w:val="20"/>
        </w:rPr>
        <w:footnoteRef/>
      </w:r>
      <w:r w:rsidRPr="002130C0">
        <w:rPr>
          <w:rFonts w:cstheme="minorHAnsi"/>
          <w:sz w:val="20"/>
          <w:szCs w:val="20"/>
        </w:rPr>
        <w:t xml:space="preserve"> </w:t>
      </w:r>
      <w:r w:rsidR="00EE2CFA" w:rsidRPr="002130C0">
        <w:rPr>
          <w:rFonts w:cstheme="minorHAnsi"/>
          <w:sz w:val="20"/>
          <w:szCs w:val="20"/>
        </w:rPr>
        <w:t xml:space="preserve">Ibid, </w:t>
      </w:r>
      <w:r w:rsidR="008E5F1A" w:rsidRPr="002130C0">
        <w:rPr>
          <w:rFonts w:cstheme="minorHAnsi"/>
          <w:sz w:val="20"/>
          <w:szCs w:val="20"/>
        </w:rPr>
        <w:t>223</w:t>
      </w:r>
      <w:r w:rsidR="00543A5E">
        <w:rPr>
          <w:rFonts w:cstheme="minorHAnsi"/>
          <w:sz w:val="20"/>
          <w:szCs w:val="20"/>
        </w:rPr>
        <w:t>,</w:t>
      </w:r>
      <w:r w:rsidRPr="002130C0">
        <w:rPr>
          <w:rFonts w:cstheme="minorHAnsi"/>
          <w:sz w:val="20"/>
          <w:szCs w:val="20"/>
        </w:rPr>
        <w:t xml:space="preserve"> referring to </w:t>
      </w:r>
      <w:r w:rsidR="00E457C6" w:rsidRPr="002130C0">
        <w:rPr>
          <w:rFonts w:cstheme="minorHAnsi"/>
          <w:sz w:val="20"/>
          <w:szCs w:val="20"/>
        </w:rPr>
        <w:t xml:space="preserve">Susan </w:t>
      </w:r>
      <w:proofErr w:type="spellStart"/>
      <w:r w:rsidRPr="002130C0">
        <w:rPr>
          <w:rFonts w:cstheme="minorHAnsi"/>
          <w:sz w:val="20"/>
          <w:szCs w:val="20"/>
        </w:rPr>
        <w:t>Golombok</w:t>
      </w:r>
      <w:proofErr w:type="spellEnd"/>
      <w:r w:rsidR="00EE2CFA" w:rsidRPr="002130C0">
        <w:rPr>
          <w:rFonts w:cstheme="minorHAnsi"/>
          <w:sz w:val="20"/>
          <w:szCs w:val="20"/>
        </w:rPr>
        <w:t>,</w:t>
      </w:r>
      <w:r w:rsidR="006D0EB5" w:rsidRPr="002130C0">
        <w:rPr>
          <w:rFonts w:cstheme="minorHAnsi"/>
          <w:sz w:val="20"/>
          <w:szCs w:val="20"/>
        </w:rPr>
        <w:t xml:space="preserve"> </w:t>
      </w:r>
      <w:r w:rsidRPr="002130C0">
        <w:rPr>
          <w:rFonts w:cstheme="minorHAnsi"/>
          <w:i/>
          <w:iCs/>
          <w:sz w:val="20"/>
          <w:szCs w:val="20"/>
        </w:rPr>
        <w:t>Modern Families: Parents and Children in New Family Forms</w:t>
      </w:r>
      <w:r w:rsidR="00543A5E">
        <w:rPr>
          <w:rFonts w:cstheme="minorHAnsi"/>
          <w:sz w:val="20"/>
          <w:szCs w:val="20"/>
        </w:rPr>
        <w:t xml:space="preserve"> </w:t>
      </w:r>
      <w:r w:rsidR="006D0EB5" w:rsidRPr="002130C0">
        <w:rPr>
          <w:rFonts w:cstheme="minorHAnsi"/>
          <w:sz w:val="20"/>
          <w:szCs w:val="20"/>
        </w:rPr>
        <w:t>(</w:t>
      </w:r>
      <w:r w:rsidRPr="002130C0">
        <w:rPr>
          <w:rFonts w:cstheme="minorHAnsi"/>
          <w:sz w:val="20"/>
          <w:szCs w:val="20"/>
        </w:rPr>
        <w:t>Cambridge University Press</w:t>
      </w:r>
      <w:r w:rsidR="00155FAA">
        <w:rPr>
          <w:rFonts w:cstheme="minorHAnsi"/>
          <w:sz w:val="20"/>
          <w:szCs w:val="20"/>
        </w:rPr>
        <w:t>,</w:t>
      </w:r>
      <w:r w:rsidR="000918B8" w:rsidRPr="002130C0">
        <w:rPr>
          <w:rFonts w:cstheme="minorHAnsi"/>
          <w:sz w:val="20"/>
          <w:szCs w:val="20"/>
        </w:rPr>
        <w:t xml:space="preserve"> 2015)</w:t>
      </w:r>
      <w:r w:rsidR="00543A5E">
        <w:rPr>
          <w:rFonts w:cstheme="minorHAnsi"/>
          <w:sz w:val="20"/>
          <w:szCs w:val="20"/>
        </w:rPr>
        <w:t>,</w:t>
      </w:r>
      <w:r w:rsidRPr="002130C0">
        <w:rPr>
          <w:rFonts w:cstheme="minorHAnsi"/>
          <w:sz w:val="20"/>
          <w:szCs w:val="20"/>
        </w:rPr>
        <w:t xml:space="preserve"> 4. </w:t>
      </w:r>
    </w:p>
  </w:footnote>
  <w:footnote w:id="161">
    <w:p w14:paraId="6DB29FDA" w14:textId="1C83E59D" w:rsidR="00F11FF7" w:rsidRPr="002130C0" w:rsidRDefault="00F11FF7" w:rsidP="00865467">
      <w:pPr>
        <w:spacing w:after="0" w:line="240" w:lineRule="auto"/>
        <w:rPr>
          <w:rFonts w:eastAsiaTheme="minorEastAsia" w:cstheme="minorHAnsi"/>
          <w:b/>
          <w:bCs/>
          <w:kern w:val="24"/>
          <w:sz w:val="20"/>
          <w:szCs w:val="20"/>
        </w:rPr>
      </w:pPr>
      <w:r w:rsidRPr="002130C0">
        <w:rPr>
          <w:rStyle w:val="FootnoteReference"/>
          <w:rFonts w:cstheme="minorHAnsi"/>
          <w:sz w:val="20"/>
          <w:szCs w:val="20"/>
        </w:rPr>
        <w:footnoteRef/>
      </w:r>
      <w:r w:rsidRPr="002130C0">
        <w:rPr>
          <w:rFonts w:cstheme="minorHAnsi"/>
          <w:sz w:val="20"/>
          <w:szCs w:val="20"/>
        </w:rPr>
        <w:t xml:space="preserve"> </w:t>
      </w:r>
      <w:r w:rsidR="00764A3C" w:rsidRPr="002130C0">
        <w:rPr>
          <w:rFonts w:cstheme="minorHAnsi"/>
          <w:sz w:val="20"/>
          <w:szCs w:val="20"/>
        </w:rPr>
        <w:t xml:space="preserve">See </w:t>
      </w:r>
      <w:r w:rsidRPr="002130C0">
        <w:rPr>
          <w:rFonts w:cstheme="minorHAnsi"/>
          <w:color w:val="000000" w:themeColor="text1"/>
          <w:sz w:val="20"/>
          <w:szCs w:val="20"/>
        </w:rPr>
        <w:t>European Parliament, ‘Free Movement of Workers’</w:t>
      </w:r>
      <w:r w:rsidR="00543A5E">
        <w:rPr>
          <w:rFonts w:cstheme="minorHAnsi"/>
          <w:color w:val="000000" w:themeColor="text1"/>
          <w:sz w:val="20"/>
          <w:szCs w:val="20"/>
        </w:rPr>
        <w:t xml:space="preserve"> (</w:t>
      </w:r>
      <w:r w:rsidR="00764A3C" w:rsidRPr="002130C0">
        <w:rPr>
          <w:rFonts w:cstheme="minorHAnsi"/>
          <w:color w:val="000000" w:themeColor="text1"/>
          <w:sz w:val="20"/>
          <w:szCs w:val="20"/>
        </w:rPr>
        <w:t>n</w:t>
      </w:r>
      <w:r w:rsidR="002D075D">
        <w:rPr>
          <w:rFonts w:cstheme="minorHAnsi"/>
          <w:color w:val="000000" w:themeColor="text1"/>
          <w:sz w:val="20"/>
          <w:szCs w:val="20"/>
        </w:rPr>
        <w:t>66</w:t>
      </w:r>
      <w:r w:rsidR="00543A5E">
        <w:rPr>
          <w:rFonts w:cstheme="minorHAnsi"/>
          <w:color w:val="000000" w:themeColor="text1"/>
          <w:sz w:val="20"/>
          <w:szCs w:val="20"/>
        </w:rPr>
        <w:t>)</w:t>
      </w:r>
      <w:r w:rsidR="00764A3C" w:rsidRPr="002130C0">
        <w:rPr>
          <w:rFonts w:cstheme="minorHAnsi"/>
          <w:color w:val="000000" w:themeColor="text1"/>
          <w:sz w:val="20"/>
          <w:szCs w:val="20"/>
        </w:rPr>
        <w:t xml:space="preserve">. </w:t>
      </w:r>
    </w:p>
  </w:footnote>
  <w:footnote w:id="162">
    <w:p w14:paraId="22317D83" w14:textId="0CEE2FE9" w:rsidR="003363C0" w:rsidRPr="002130C0" w:rsidRDefault="003363C0" w:rsidP="00CB68B8">
      <w:pPr>
        <w:pStyle w:val="FootnoteText"/>
        <w:rPr>
          <w:rFonts w:cstheme="minorHAnsi"/>
          <w:lang w:val="de-DE"/>
        </w:rPr>
      </w:pPr>
      <w:r w:rsidRPr="002130C0">
        <w:rPr>
          <w:rStyle w:val="FootnoteReference"/>
          <w:rFonts w:cstheme="minorHAnsi"/>
        </w:rPr>
        <w:footnoteRef/>
      </w:r>
      <w:r w:rsidRPr="002130C0">
        <w:rPr>
          <w:rFonts w:cstheme="minorHAnsi"/>
          <w:lang w:val="de-DE"/>
        </w:rPr>
        <w:t xml:space="preserve"> Abels and Mushabe</w:t>
      </w:r>
      <w:r w:rsidR="002D075D">
        <w:rPr>
          <w:rFonts w:cstheme="minorHAnsi"/>
          <w:lang w:val="de-DE"/>
        </w:rPr>
        <w:t>n</w:t>
      </w:r>
      <w:r w:rsidR="00442F5B" w:rsidRPr="002130C0">
        <w:rPr>
          <w:rFonts w:cstheme="minorHAnsi"/>
          <w:lang w:val="de-DE"/>
        </w:rPr>
        <w:t xml:space="preserve"> </w:t>
      </w:r>
      <w:r w:rsidR="00155FAA">
        <w:rPr>
          <w:rFonts w:cstheme="minorHAnsi"/>
          <w:lang w:val="de-DE"/>
        </w:rPr>
        <w:t>(</w:t>
      </w:r>
      <w:r w:rsidR="00147B39" w:rsidRPr="002130C0">
        <w:rPr>
          <w:rFonts w:cstheme="minorHAnsi"/>
          <w:lang w:val="de-DE"/>
        </w:rPr>
        <w:t>n1</w:t>
      </w:r>
      <w:r w:rsidR="002D075D">
        <w:rPr>
          <w:rFonts w:cstheme="minorHAnsi"/>
          <w:lang w:val="de-DE"/>
        </w:rPr>
        <w:t>5</w:t>
      </w:r>
      <w:r w:rsidR="00155FAA">
        <w:rPr>
          <w:rFonts w:cstheme="minorHAnsi"/>
          <w:lang w:val="de-DE"/>
        </w:rPr>
        <w:t>)</w:t>
      </w:r>
      <w:r w:rsidR="00543A5E">
        <w:rPr>
          <w:rFonts w:cstheme="minorHAnsi"/>
          <w:lang w:val="de-DE"/>
        </w:rPr>
        <w:t xml:space="preserve">; </w:t>
      </w:r>
      <w:r w:rsidRPr="002130C0">
        <w:rPr>
          <w:rFonts w:cstheme="minorHAnsi"/>
          <w:lang w:val="de-DE"/>
        </w:rPr>
        <w:t xml:space="preserve">Enderstein </w:t>
      </w:r>
      <w:r w:rsidR="000918B8" w:rsidRPr="002130C0">
        <w:rPr>
          <w:rFonts w:cstheme="minorHAnsi"/>
          <w:lang w:val="de-DE"/>
        </w:rPr>
        <w:t>(</w:t>
      </w:r>
      <w:r w:rsidRPr="002130C0">
        <w:rPr>
          <w:rFonts w:cstheme="minorHAnsi"/>
          <w:lang w:val="de-DE"/>
        </w:rPr>
        <w:t>n1</w:t>
      </w:r>
      <w:r w:rsidR="00702EBC">
        <w:rPr>
          <w:rFonts w:cstheme="minorHAnsi"/>
          <w:lang w:val="de-DE"/>
        </w:rPr>
        <w:t>6</w:t>
      </w:r>
      <w:r w:rsidR="000918B8" w:rsidRPr="002130C0">
        <w:rPr>
          <w:rFonts w:cstheme="minorHAnsi"/>
          <w:lang w:val="de-DE"/>
        </w:rPr>
        <w:t>)</w:t>
      </w:r>
      <w:r w:rsidR="00147B39" w:rsidRPr="002130C0">
        <w:rPr>
          <w:rFonts w:cstheme="minorHAnsi"/>
          <w:lang w:val="de-DE"/>
        </w:rPr>
        <w:t>.</w:t>
      </w:r>
    </w:p>
  </w:footnote>
  <w:footnote w:id="163">
    <w:p w14:paraId="4B4718D6" w14:textId="4512A24C" w:rsidR="003363C0" w:rsidRPr="002130C0" w:rsidRDefault="003363C0" w:rsidP="00CB68B8">
      <w:pPr>
        <w:pStyle w:val="NormalWeb"/>
        <w:spacing w:before="0" w:beforeAutospacing="0" w:after="0" w:afterAutospacing="0"/>
        <w:rPr>
          <w:rFonts w:asciiTheme="minorHAnsi" w:hAnsiTheme="minorHAnsi" w:cstheme="minorHAnsi"/>
          <w:color w:val="000000"/>
          <w:sz w:val="20"/>
          <w:szCs w:val="20"/>
        </w:rPr>
      </w:pPr>
      <w:r w:rsidRPr="002130C0">
        <w:rPr>
          <w:rStyle w:val="FootnoteReference"/>
          <w:rFonts w:asciiTheme="minorHAnsi" w:hAnsiTheme="minorHAnsi" w:cstheme="minorHAnsi"/>
          <w:sz w:val="20"/>
          <w:szCs w:val="20"/>
        </w:rPr>
        <w:footnoteRef/>
      </w:r>
      <w:r w:rsidRPr="002130C0">
        <w:rPr>
          <w:rFonts w:asciiTheme="minorHAnsi" w:hAnsiTheme="minorHAnsi" w:cstheme="minorHAnsi"/>
          <w:color w:val="000000"/>
          <w:sz w:val="20"/>
          <w:szCs w:val="20"/>
        </w:rPr>
        <w:t xml:space="preserve"> </w:t>
      </w:r>
      <w:r w:rsidR="008F4139" w:rsidRPr="002130C0">
        <w:rPr>
          <w:rFonts w:asciiTheme="minorHAnsi" w:hAnsiTheme="minorHAnsi" w:cstheme="minorHAnsi"/>
          <w:color w:val="000000"/>
          <w:sz w:val="20"/>
          <w:szCs w:val="20"/>
        </w:rPr>
        <w:t xml:space="preserve">Gillian </w:t>
      </w:r>
      <w:r w:rsidRPr="002130C0">
        <w:rPr>
          <w:rFonts w:asciiTheme="minorHAnsi" w:hAnsiTheme="minorHAnsi" w:cstheme="minorHAnsi"/>
          <w:color w:val="000000"/>
          <w:sz w:val="20"/>
          <w:szCs w:val="20"/>
        </w:rPr>
        <w:t>More, ‘The Princip</w:t>
      </w:r>
      <w:r w:rsidR="000A6B3E" w:rsidRPr="002130C0">
        <w:rPr>
          <w:rFonts w:asciiTheme="minorHAnsi" w:hAnsiTheme="minorHAnsi" w:cstheme="minorHAnsi"/>
          <w:color w:val="000000"/>
          <w:sz w:val="20"/>
          <w:szCs w:val="20"/>
        </w:rPr>
        <w:t>le</w:t>
      </w:r>
      <w:r w:rsidRPr="002130C0">
        <w:rPr>
          <w:rFonts w:asciiTheme="minorHAnsi" w:hAnsiTheme="minorHAnsi" w:cstheme="minorHAnsi"/>
          <w:color w:val="000000"/>
          <w:sz w:val="20"/>
          <w:szCs w:val="20"/>
        </w:rPr>
        <w:t xml:space="preserve"> of Equal Treatment from Market Unifier to Fundamental </w:t>
      </w:r>
      <w:r w:rsidR="00543A5E">
        <w:rPr>
          <w:rFonts w:asciiTheme="minorHAnsi" w:hAnsiTheme="minorHAnsi" w:cstheme="minorHAnsi"/>
          <w:color w:val="000000"/>
          <w:sz w:val="20"/>
          <w:szCs w:val="20"/>
        </w:rPr>
        <w:t>R</w:t>
      </w:r>
      <w:r w:rsidRPr="002130C0">
        <w:rPr>
          <w:rFonts w:asciiTheme="minorHAnsi" w:hAnsiTheme="minorHAnsi" w:cstheme="minorHAnsi"/>
          <w:color w:val="000000"/>
          <w:sz w:val="20"/>
          <w:szCs w:val="20"/>
        </w:rPr>
        <w:t>ights?’</w:t>
      </w:r>
      <w:r w:rsidR="00543A5E">
        <w:rPr>
          <w:rFonts w:asciiTheme="minorHAnsi" w:hAnsiTheme="minorHAnsi" w:cstheme="minorHAnsi"/>
          <w:color w:val="000000"/>
          <w:sz w:val="20"/>
          <w:szCs w:val="20"/>
        </w:rPr>
        <w:t>,</w:t>
      </w:r>
      <w:r w:rsidRPr="002130C0">
        <w:rPr>
          <w:rFonts w:asciiTheme="minorHAnsi" w:hAnsiTheme="minorHAnsi" w:cstheme="minorHAnsi"/>
          <w:color w:val="000000"/>
          <w:sz w:val="20"/>
          <w:szCs w:val="20"/>
        </w:rPr>
        <w:t xml:space="preserve"> in Craig </w:t>
      </w:r>
      <w:r w:rsidR="00543A5E">
        <w:rPr>
          <w:rFonts w:asciiTheme="minorHAnsi" w:hAnsiTheme="minorHAnsi" w:cstheme="minorHAnsi"/>
          <w:color w:val="000000"/>
          <w:sz w:val="20"/>
          <w:szCs w:val="20"/>
        </w:rPr>
        <w:t xml:space="preserve">and </w:t>
      </w:r>
      <w:r w:rsidR="0063215A">
        <w:rPr>
          <w:rFonts w:asciiTheme="minorHAnsi" w:hAnsiTheme="minorHAnsi" w:cstheme="minorHAnsi"/>
          <w:color w:val="000000"/>
          <w:sz w:val="20"/>
          <w:szCs w:val="20"/>
        </w:rPr>
        <w:t>D</w:t>
      </w:r>
      <w:r w:rsidRPr="002130C0">
        <w:rPr>
          <w:rFonts w:asciiTheme="minorHAnsi" w:hAnsiTheme="minorHAnsi" w:cstheme="minorHAnsi"/>
          <w:color w:val="000000"/>
          <w:sz w:val="20"/>
          <w:szCs w:val="20"/>
        </w:rPr>
        <w:t xml:space="preserve">e Burca </w:t>
      </w:r>
      <w:r w:rsidR="000918B8" w:rsidRPr="002130C0">
        <w:rPr>
          <w:rFonts w:asciiTheme="minorHAnsi" w:hAnsiTheme="minorHAnsi" w:cstheme="minorHAnsi"/>
          <w:color w:val="000000"/>
          <w:sz w:val="20"/>
          <w:szCs w:val="20"/>
        </w:rPr>
        <w:t>(</w:t>
      </w:r>
      <w:r w:rsidR="00081933" w:rsidRPr="002130C0">
        <w:rPr>
          <w:rFonts w:asciiTheme="minorHAnsi" w:hAnsiTheme="minorHAnsi" w:cstheme="minorHAnsi"/>
          <w:color w:val="000000"/>
          <w:sz w:val="20"/>
          <w:szCs w:val="20"/>
        </w:rPr>
        <w:t>n3</w:t>
      </w:r>
      <w:r w:rsidR="000918B8" w:rsidRPr="002130C0">
        <w:rPr>
          <w:rFonts w:asciiTheme="minorHAnsi" w:hAnsiTheme="minorHAnsi" w:cstheme="minorHAnsi"/>
          <w:color w:val="000000"/>
          <w:sz w:val="20"/>
          <w:szCs w:val="20"/>
        </w:rPr>
        <w:t>)</w:t>
      </w:r>
      <w:r w:rsidR="0063215A">
        <w:rPr>
          <w:rFonts w:asciiTheme="minorHAnsi" w:hAnsiTheme="minorHAnsi" w:cstheme="minorHAnsi"/>
          <w:color w:val="000000"/>
          <w:sz w:val="20"/>
          <w:szCs w:val="20"/>
        </w:rPr>
        <w:t>,</w:t>
      </w:r>
      <w:r w:rsidR="00081933" w:rsidRPr="002130C0">
        <w:rPr>
          <w:rFonts w:asciiTheme="minorHAnsi" w:hAnsiTheme="minorHAnsi" w:cstheme="minorHAnsi"/>
          <w:color w:val="000000"/>
          <w:sz w:val="20"/>
          <w:szCs w:val="20"/>
        </w:rPr>
        <w:t xml:space="preserve"> </w:t>
      </w:r>
      <w:r w:rsidRPr="002130C0">
        <w:rPr>
          <w:rFonts w:asciiTheme="minorHAnsi" w:hAnsiTheme="minorHAnsi" w:cstheme="minorHAnsi"/>
          <w:color w:val="000000"/>
          <w:sz w:val="20"/>
          <w:szCs w:val="20"/>
        </w:rPr>
        <w:t>517.</w:t>
      </w:r>
    </w:p>
  </w:footnote>
  <w:footnote w:id="164">
    <w:p w14:paraId="0190A71B" w14:textId="0DF42F9E" w:rsidR="003363C0" w:rsidRPr="002130C0" w:rsidRDefault="003363C0" w:rsidP="00CB68B8">
      <w:pPr>
        <w:pStyle w:val="FootnoteText"/>
        <w:rPr>
          <w:rFonts w:cstheme="minorHAnsi"/>
          <w:lang w:val="de-DE"/>
        </w:rPr>
      </w:pPr>
      <w:r w:rsidRPr="002130C0">
        <w:rPr>
          <w:rStyle w:val="FootnoteReference"/>
          <w:rFonts w:cstheme="minorHAnsi"/>
        </w:rPr>
        <w:footnoteRef/>
      </w:r>
      <w:r w:rsidRPr="002130C0">
        <w:rPr>
          <w:rFonts w:cstheme="minorHAnsi"/>
          <w:lang w:val="de-DE"/>
        </w:rPr>
        <w:t xml:space="preserve"> Ibid</w:t>
      </w:r>
      <w:r w:rsidR="00F874C6" w:rsidRPr="002130C0">
        <w:rPr>
          <w:rFonts w:cstheme="minorHAnsi"/>
          <w:lang w:val="de-DE"/>
        </w:rPr>
        <w:t>.</w:t>
      </w:r>
      <w:r w:rsidR="00770FA8" w:rsidRPr="002130C0">
        <w:rPr>
          <w:rFonts w:cstheme="minorHAnsi"/>
          <w:lang w:val="de-DE"/>
        </w:rPr>
        <w:t xml:space="preserve">  </w:t>
      </w:r>
    </w:p>
  </w:footnote>
  <w:footnote w:id="165">
    <w:p w14:paraId="256776B9" w14:textId="58C41AED" w:rsidR="003363C0" w:rsidRPr="002130C0" w:rsidRDefault="003363C0" w:rsidP="00CB68B8">
      <w:pPr>
        <w:pStyle w:val="FootnoteText"/>
        <w:rPr>
          <w:rFonts w:cstheme="minorHAnsi"/>
          <w:lang w:val="de-DE"/>
        </w:rPr>
      </w:pPr>
      <w:r w:rsidRPr="002130C0">
        <w:rPr>
          <w:rStyle w:val="FootnoteReference"/>
          <w:rFonts w:cstheme="minorHAnsi"/>
        </w:rPr>
        <w:footnoteRef/>
      </w:r>
      <w:r w:rsidRPr="002130C0">
        <w:rPr>
          <w:rFonts w:cstheme="minorHAnsi"/>
          <w:lang w:val="de-DE"/>
        </w:rPr>
        <w:t xml:space="preserve"> Ibid</w:t>
      </w:r>
      <w:r w:rsidR="00587766" w:rsidRPr="002130C0">
        <w:rPr>
          <w:rFonts w:cstheme="minorHAnsi"/>
          <w:lang w:val="de-DE"/>
        </w:rPr>
        <w:t>.</w:t>
      </w:r>
    </w:p>
  </w:footnote>
  <w:footnote w:id="166">
    <w:p w14:paraId="0D426EBA" w14:textId="68FE73E2" w:rsidR="003363C0" w:rsidRPr="002130C0" w:rsidRDefault="003363C0" w:rsidP="00CB68B8">
      <w:pPr>
        <w:pStyle w:val="FootnoteText"/>
        <w:rPr>
          <w:rFonts w:cstheme="minorHAnsi"/>
          <w:lang w:val="de-DE"/>
        </w:rPr>
      </w:pPr>
      <w:r w:rsidRPr="002130C0">
        <w:rPr>
          <w:rStyle w:val="FootnoteReference"/>
          <w:rFonts w:cstheme="minorHAnsi"/>
        </w:rPr>
        <w:footnoteRef/>
      </w:r>
      <w:r w:rsidRPr="002130C0">
        <w:rPr>
          <w:rFonts w:cstheme="minorHAnsi"/>
          <w:lang w:val="de-DE"/>
        </w:rPr>
        <w:t xml:space="preserve"> </w:t>
      </w:r>
      <w:r w:rsidRPr="002130C0">
        <w:rPr>
          <w:rFonts w:cstheme="minorHAnsi"/>
          <w:i/>
          <w:iCs/>
          <w:color w:val="000000"/>
          <w:lang w:val="de-DE"/>
        </w:rPr>
        <w:t>Deutsche Telekom v Shroder</w:t>
      </w:r>
      <w:r w:rsidRPr="002130C0">
        <w:rPr>
          <w:rFonts w:cstheme="minorHAnsi"/>
          <w:color w:val="000000"/>
          <w:lang w:val="de-DE"/>
        </w:rPr>
        <w:t xml:space="preserve"> </w:t>
      </w:r>
      <w:r w:rsidR="0063215A">
        <w:rPr>
          <w:rFonts w:cstheme="minorHAnsi"/>
          <w:color w:val="000000"/>
          <w:lang w:val="de-DE"/>
        </w:rPr>
        <w:t>(</w:t>
      </w:r>
      <w:r w:rsidRPr="002130C0">
        <w:rPr>
          <w:rFonts w:cstheme="minorHAnsi"/>
          <w:color w:val="000000"/>
          <w:lang w:val="de-DE"/>
        </w:rPr>
        <w:t>Case C-50/96</w:t>
      </w:r>
      <w:r w:rsidR="0063215A">
        <w:rPr>
          <w:rFonts w:cstheme="minorHAnsi"/>
          <w:color w:val="000000"/>
          <w:lang w:val="de-DE"/>
        </w:rPr>
        <w:t>)</w:t>
      </w:r>
      <w:r w:rsidRPr="002130C0">
        <w:rPr>
          <w:rFonts w:cstheme="minorHAnsi"/>
          <w:color w:val="000000"/>
          <w:lang w:val="de-DE"/>
        </w:rPr>
        <w:t>.</w:t>
      </w:r>
    </w:p>
  </w:footnote>
  <w:footnote w:id="167">
    <w:p w14:paraId="1AA61E9A" w14:textId="4E909ABF" w:rsidR="00ED3222" w:rsidRPr="002130C0" w:rsidRDefault="00ED3222" w:rsidP="00CB68B8">
      <w:pPr>
        <w:pStyle w:val="FootnoteText"/>
        <w:rPr>
          <w:rFonts w:cstheme="minorHAnsi"/>
          <w:lang w:val="de-DE"/>
        </w:rPr>
      </w:pPr>
      <w:r w:rsidRPr="002130C0">
        <w:rPr>
          <w:rStyle w:val="FootnoteReference"/>
          <w:rFonts w:cstheme="minorHAnsi"/>
        </w:rPr>
        <w:footnoteRef/>
      </w:r>
      <w:r w:rsidRPr="002130C0">
        <w:rPr>
          <w:rFonts w:cstheme="minorHAnsi"/>
          <w:lang w:val="de-DE"/>
        </w:rPr>
        <w:t xml:space="preserve"> </w:t>
      </w:r>
      <w:r w:rsidR="00794636">
        <w:rPr>
          <w:rFonts w:cstheme="minorHAnsi"/>
          <w:lang w:val="de-DE"/>
        </w:rPr>
        <w:t xml:space="preserve">See </w:t>
      </w:r>
      <w:r w:rsidR="00BF0B90">
        <w:rPr>
          <w:rFonts w:cstheme="minorHAnsi"/>
          <w:lang w:val="de-DE"/>
        </w:rPr>
        <w:t>n</w:t>
      </w:r>
      <w:r w:rsidR="00794636">
        <w:rPr>
          <w:rFonts w:cstheme="minorHAnsi"/>
          <w:lang w:val="de-DE"/>
        </w:rPr>
        <w:t>n</w:t>
      </w:r>
      <w:r w:rsidR="00147B39" w:rsidRPr="002130C0">
        <w:rPr>
          <w:rFonts w:cstheme="minorHAnsi"/>
          <w:lang w:val="de-DE"/>
        </w:rPr>
        <w:t>53 and</w:t>
      </w:r>
      <w:r w:rsidR="00794636">
        <w:rPr>
          <w:rFonts w:cstheme="minorHAnsi"/>
          <w:lang w:val="de-DE"/>
        </w:rPr>
        <w:t xml:space="preserve"> </w:t>
      </w:r>
      <w:r w:rsidR="00147B39" w:rsidRPr="002130C0">
        <w:rPr>
          <w:rFonts w:cstheme="minorHAnsi"/>
          <w:lang w:val="de-DE"/>
        </w:rPr>
        <w:t>54.</w:t>
      </w:r>
    </w:p>
  </w:footnote>
  <w:footnote w:id="168">
    <w:p w14:paraId="724AC1E6" w14:textId="4E7E44EA" w:rsidR="00ED3222" w:rsidRPr="002130C0" w:rsidRDefault="00ED3222" w:rsidP="00CB68B8">
      <w:pPr>
        <w:pStyle w:val="FootnoteText"/>
        <w:rPr>
          <w:rFonts w:cstheme="minorHAnsi"/>
          <w:lang w:val="de-DE"/>
        </w:rPr>
      </w:pPr>
      <w:r w:rsidRPr="002130C0">
        <w:rPr>
          <w:rStyle w:val="FootnoteReference"/>
          <w:rFonts w:cstheme="minorHAnsi"/>
        </w:rPr>
        <w:footnoteRef/>
      </w:r>
      <w:r w:rsidRPr="002130C0">
        <w:rPr>
          <w:rFonts w:cstheme="minorHAnsi"/>
          <w:lang w:val="de-DE"/>
        </w:rPr>
        <w:t xml:space="preserve"> Enderstein </w:t>
      </w:r>
      <w:r w:rsidR="00596C1E">
        <w:rPr>
          <w:rFonts w:cstheme="minorHAnsi"/>
          <w:lang w:val="de-DE"/>
        </w:rPr>
        <w:t>(</w:t>
      </w:r>
      <w:r w:rsidRPr="002130C0">
        <w:rPr>
          <w:rFonts w:cstheme="minorHAnsi"/>
          <w:lang w:val="de-DE"/>
        </w:rPr>
        <w:t>n1</w:t>
      </w:r>
      <w:r w:rsidR="00702EBC">
        <w:rPr>
          <w:rFonts w:cstheme="minorHAnsi"/>
          <w:lang w:val="de-DE"/>
        </w:rPr>
        <w:t>6</w:t>
      </w:r>
      <w:r w:rsidR="00596C1E">
        <w:rPr>
          <w:rFonts w:cstheme="minorHAnsi"/>
          <w:lang w:val="de-DE"/>
        </w:rPr>
        <w:t>)</w:t>
      </w:r>
      <w:r w:rsidRPr="002130C0">
        <w:rPr>
          <w:rFonts w:cstheme="minorHAnsi"/>
          <w:lang w:val="de-DE"/>
        </w:rPr>
        <w:t xml:space="preserve">, 112. </w:t>
      </w:r>
    </w:p>
  </w:footnote>
  <w:footnote w:id="169">
    <w:p w14:paraId="38FD8061" w14:textId="1C8D63E3" w:rsidR="00ED3222" w:rsidRPr="002130C0" w:rsidRDefault="00ED3222"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Pr="00794636">
        <w:rPr>
          <w:rFonts w:cstheme="minorHAnsi"/>
        </w:rPr>
        <w:t>Ibid</w:t>
      </w:r>
      <w:r w:rsidR="00794636">
        <w:rPr>
          <w:rFonts w:cstheme="minorHAnsi"/>
        </w:rPr>
        <w:t>,</w:t>
      </w:r>
      <w:r w:rsidRPr="002130C0">
        <w:rPr>
          <w:rFonts w:cstheme="minorHAnsi"/>
          <w:i/>
          <w:iCs/>
        </w:rPr>
        <w:t xml:space="preserve"> </w:t>
      </w:r>
      <w:r w:rsidRPr="002130C0">
        <w:rPr>
          <w:rFonts w:cstheme="minorHAnsi"/>
        </w:rPr>
        <w:t xml:space="preserve">referring to </w:t>
      </w:r>
      <w:r w:rsidR="003B55C4" w:rsidRPr="002130C0">
        <w:rPr>
          <w:rFonts w:cstheme="minorHAnsi"/>
        </w:rPr>
        <w:t xml:space="preserve">Rachel </w:t>
      </w:r>
      <w:r w:rsidRPr="002130C0">
        <w:rPr>
          <w:rFonts w:cstheme="minorHAnsi"/>
        </w:rPr>
        <w:t xml:space="preserve">Cichowski, </w:t>
      </w:r>
      <w:r w:rsidRPr="002130C0">
        <w:rPr>
          <w:rFonts w:cstheme="minorHAnsi"/>
          <w:i/>
          <w:iCs/>
        </w:rPr>
        <w:t>The European Court and Civil Society: Litigation, Mobilization and Governance</w:t>
      </w:r>
      <w:r w:rsidRPr="002130C0">
        <w:rPr>
          <w:rFonts w:cstheme="minorHAnsi"/>
        </w:rPr>
        <w:t xml:space="preserve"> (Cambridge University Press</w:t>
      </w:r>
      <w:r w:rsidR="000918B8" w:rsidRPr="002130C0">
        <w:rPr>
          <w:rFonts w:cstheme="minorHAnsi"/>
        </w:rPr>
        <w:t>, 2007</w:t>
      </w:r>
      <w:r w:rsidRPr="002130C0">
        <w:rPr>
          <w:rFonts w:cstheme="minorHAnsi"/>
        </w:rPr>
        <w:t>).</w:t>
      </w:r>
    </w:p>
  </w:footnote>
  <w:footnote w:id="170">
    <w:p w14:paraId="7032CB66" w14:textId="2F3E61FA" w:rsidR="00ED3222" w:rsidRPr="002130C0" w:rsidRDefault="00ED3222"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B85A54" w:rsidRPr="002130C0">
        <w:rPr>
          <w:rFonts w:cstheme="minorHAnsi"/>
        </w:rPr>
        <w:t xml:space="preserve">Carol </w:t>
      </w:r>
      <w:proofErr w:type="gramStart"/>
      <w:r w:rsidRPr="002130C0">
        <w:rPr>
          <w:rFonts w:cstheme="minorHAnsi"/>
        </w:rPr>
        <w:t xml:space="preserve">Bacchi, </w:t>
      </w:r>
      <w:r w:rsidR="00B85A54" w:rsidRPr="002130C0">
        <w:rPr>
          <w:rFonts w:cstheme="minorHAnsi"/>
        </w:rPr>
        <w:t xml:space="preserve"> </w:t>
      </w:r>
      <w:r w:rsidRPr="002130C0">
        <w:rPr>
          <w:rFonts w:cstheme="minorHAnsi"/>
          <w:i/>
          <w:iCs/>
        </w:rPr>
        <w:t>Women</w:t>
      </w:r>
      <w:proofErr w:type="gramEnd"/>
      <w:r w:rsidRPr="002130C0">
        <w:rPr>
          <w:rFonts w:cstheme="minorHAnsi"/>
          <w:i/>
          <w:iCs/>
        </w:rPr>
        <w:t>, Policy and Politics. The Construction of Policy Problems</w:t>
      </w:r>
      <w:r w:rsidRPr="002130C0">
        <w:rPr>
          <w:rFonts w:cstheme="minorHAnsi"/>
        </w:rPr>
        <w:t xml:space="preserve"> (S</w:t>
      </w:r>
      <w:r w:rsidR="00794636">
        <w:rPr>
          <w:rFonts w:cstheme="minorHAnsi"/>
        </w:rPr>
        <w:t>age</w:t>
      </w:r>
      <w:r w:rsidR="000918B8" w:rsidRPr="002130C0">
        <w:rPr>
          <w:rFonts w:cstheme="minorHAnsi"/>
        </w:rPr>
        <w:t>, 1999</w:t>
      </w:r>
      <w:r w:rsidRPr="002130C0">
        <w:rPr>
          <w:rFonts w:cstheme="minorHAnsi"/>
        </w:rPr>
        <w:t>)</w:t>
      </w:r>
      <w:r w:rsidR="00075758">
        <w:rPr>
          <w:rFonts w:cstheme="minorHAnsi"/>
        </w:rPr>
        <w:t>,</w:t>
      </w:r>
      <w:r w:rsidRPr="002130C0">
        <w:rPr>
          <w:rFonts w:cstheme="minorHAnsi"/>
        </w:rPr>
        <w:t xml:space="preserve"> 75.</w:t>
      </w:r>
    </w:p>
  </w:footnote>
  <w:footnote w:id="171">
    <w:p w14:paraId="67B1F0CD" w14:textId="77746E9E" w:rsidR="00ED3222" w:rsidRPr="002130C0" w:rsidRDefault="00ED3222"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i/>
          <w:iCs/>
        </w:rPr>
        <w:t>Defrenne</w:t>
      </w:r>
      <w:proofErr w:type="spellEnd"/>
      <w:r w:rsidRPr="002130C0">
        <w:rPr>
          <w:rFonts w:cstheme="minorHAnsi"/>
          <w:i/>
          <w:iCs/>
        </w:rPr>
        <w:t xml:space="preserve"> v Sabena</w:t>
      </w:r>
      <w:r w:rsidRPr="002130C0">
        <w:rPr>
          <w:rFonts w:cstheme="minorHAnsi"/>
        </w:rPr>
        <w:t xml:space="preserve"> </w:t>
      </w:r>
      <w:r w:rsidR="00794636">
        <w:rPr>
          <w:rFonts w:cstheme="minorHAnsi"/>
        </w:rPr>
        <w:t>(</w:t>
      </w:r>
      <w:r w:rsidRPr="002130C0">
        <w:rPr>
          <w:rFonts w:cstheme="minorHAnsi"/>
        </w:rPr>
        <w:t>Case 43/75</w:t>
      </w:r>
      <w:r w:rsidR="00794636">
        <w:rPr>
          <w:rFonts w:cstheme="minorHAnsi"/>
        </w:rPr>
        <w:t>)</w:t>
      </w:r>
      <w:r w:rsidRPr="002130C0">
        <w:rPr>
          <w:rFonts w:cstheme="minorHAnsi"/>
        </w:rPr>
        <w:t>.</w:t>
      </w:r>
    </w:p>
  </w:footnote>
  <w:footnote w:id="172">
    <w:p w14:paraId="306FE647" w14:textId="173E031C" w:rsidR="00ED3222" w:rsidRPr="002130C0" w:rsidRDefault="00ED3222"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Enderstein</w:t>
      </w:r>
      <w:proofErr w:type="spellEnd"/>
      <w:r w:rsidRPr="002130C0">
        <w:rPr>
          <w:rFonts w:cstheme="minorHAnsi"/>
        </w:rPr>
        <w:t xml:space="preserve"> </w:t>
      </w:r>
      <w:r w:rsidR="00596C1E">
        <w:rPr>
          <w:rFonts w:cstheme="minorHAnsi"/>
        </w:rPr>
        <w:t>(</w:t>
      </w:r>
      <w:r w:rsidRPr="002130C0">
        <w:rPr>
          <w:rFonts w:cstheme="minorHAnsi"/>
        </w:rPr>
        <w:t>n1</w:t>
      </w:r>
      <w:r w:rsidR="00702EBC">
        <w:rPr>
          <w:rFonts w:cstheme="minorHAnsi"/>
        </w:rPr>
        <w:t>6</w:t>
      </w:r>
      <w:r w:rsidR="00596C1E">
        <w:rPr>
          <w:rFonts w:cstheme="minorHAnsi"/>
        </w:rPr>
        <w:t>)</w:t>
      </w:r>
      <w:r w:rsidRPr="002130C0">
        <w:rPr>
          <w:rFonts w:cstheme="minorHAnsi"/>
        </w:rPr>
        <w:t>, 122</w:t>
      </w:r>
      <w:r w:rsidR="00794636">
        <w:rPr>
          <w:rFonts w:cstheme="minorHAnsi"/>
        </w:rPr>
        <w:t>,</w:t>
      </w:r>
      <w:r w:rsidRPr="002130C0">
        <w:rPr>
          <w:rFonts w:cstheme="minorHAnsi"/>
        </w:rPr>
        <w:t xml:space="preserve"> referring to Cichowski</w:t>
      </w:r>
      <w:r w:rsidR="00794636">
        <w:rPr>
          <w:rFonts w:cstheme="minorHAnsi"/>
        </w:rPr>
        <w:t xml:space="preserve"> (</w:t>
      </w:r>
      <w:r w:rsidR="00666312" w:rsidRPr="002130C0">
        <w:rPr>
          <w:rFonts w:cstheme="minorHAnsi"/>
        </w:rPr>
        <w:t>n1</w:t>
      </w:r>
      <w:r w:rsidR="00A82A46">
        <w:rPr>
          <w:rFonts w:cstheme="minorHAnsi"/>
        </w:rPr>
        <w:t>68</w:t>
      </w:r>
      <w:r w:rsidR="00794636">
        <w:rPr>
          <w:rFonts w:cstheme="minorHAnsi"/>
        </w:rPr>
        <w:t>)</w:t>
      </w:r>
      <w:r w:rsidRPr="002130C0">
        <w:rPr>
          <w:rFonts w:cstheme="minorHAnsi"/>
        </w:rPr>
        <w:t>.</w:t>
      </w:r>
    </w:p>
  </w:footnote>
  <w:footnote w:id="173">
    <w:p w14:paraId="4FE20AA8" w14:textId="635B7869" w:rsidR="00ED3222" w:rsidRPr="002130C0" w:rsidRDefault="00ED3222"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proofErr w:type="spellStart"/>
      <w:r w:rsidRPr="002130C0">
        <w:rPr>
          <w:rFonts w:cstheme="minorHAnsi"/>
          <w:i/>
          <w:iCs/>
        </w:rPr>
        <w:t>Defrenne</w:t>
      </w:r>
      <w:proofErr w:type="spellEnd"/>
      <w:r w:rsidRPr="002130C0">
        <w:rPr>
          <w:rFonts w:cstheme="minorHAnsi"/>
          <w:i/>
          <w:iCs/>
        </w:rPr>
        <w:t xml:space="preserve"> v Sabena</w:t>
      </w:r>
      <w:r w:rsidR="00666312" w:rsidRPr="002130C0">
        <w:rPr>
          <w:rFonts w:cstheme="minorHAnsi"/>
        </w:rPr>
        <w:t xml:space="preserve"> </w:t>
      </w:r>
      <w:r w:rsidR="00596C1E">
        <w:rPr>
          <w:rFonts w:cstheme="minorHAnsi"/>
        </w:rPr>
        <w:t>(</w:t>
      </w:r>
      <w:r w:rsidR="00666312" w:rsidRPr="002130C0">
        <w:rPr>
          <w:rFonts w:cstheme="minorHAnsi"/>
        </w:rPr>
        <w:t>n</w:t>
      </w:r>
      <w:r w:rsidR="00A82A46">
        <w:rPr>
          <w:rFonts w:cstheme="minorHAnsi"/>
        </w:rPr>
        <w:t>170</w:t>
      </w:r>
      <w:r w:rsidR="00596C1E">
        <w:rPr>
          <w:rFonts w:cstheme="minorHAnsi"/>
        </w:rPr>
        <w:t>)</w:t>
      </w:r>
      <w:r w:rsidRPr="002130C0">
        <w:rPr>
          <w:rFonts w:cstheme="minorHAnsi"/>
        </w:rPr>
        <w:t>, 461.</w:t>
      </w:r>
    </w:p>
  </w:footnote>
  <w:footnote w:id="174">
    <w:p w14:paraId="2DBFB935" w14:textId="42894D19" w:rsidR="00ED3222" w:rsidRPr="002130C0" w:rsidRDefault="00ED3222" w:rsidP="00CB68B8">
      <w:pPr>
        <w:pStyle w:val="NormalWeb"/>
        <w:suppressAutoHyphens/>
        <w:autoSpaceDN w:val="0"/>
        <w:spacing w:before="0" w:beforeAutospacing="0" w:after="0" w:afterAutospacing="0"/>
        <w:rPr>
          <w:rFonts w:asciiTheme="minorHAnsi" w:hAnsiTheme="minorHAnsi" w:cstheme="minorHAnsi"/>
          <w:color w:val="000000"/>
          <w:sz w:val="20"/>
          <w:szCs w:val="20"/>
        </w:rPr>
      </w:pPr>
      <w:r w:rsidRPr="002130C0">
        <w:rPr>
          <w:rStyle w:val="FootnoteReference"/>
          <w:rFonts w:asciiTheme="minorHAnsi" w:hAnsiTheme="minorHAnsi" w:cstheme="minorHAnsi"/>
          <w:sz w:val="20"/>
          <w:szCs w:val="20"/>
        </w:rPr>
        <w:footnoteRef/>
      </w:r>
      <w:r w:rsidRPr="002130C0">
        <w:rPr>
          <w:rFonts w:asciiTheme="minorHAnsi" w:hAnsiTheme="minorHAnsi" w:cstheme="minorHAnsi"/>
          <w:sz w:val="20"/>
          <w:szCs w:val="20"/>
        </w:rPr>
        <w:t xml:space="preserve"> </w:t>
      </w:r>
      <w:r w:rsidR="009E3B72" w:rsidRPr="002130C0">
        <w:rPr>
          <w:rFonts w:asciiTheme="minorHAnsi" w:hAnsiTheme="minorHAnsi" w:cstheme="minorHAnsi"/>
          <w:color w:val="333333"/>
          <w:sz w:val="20"/>
          <w:szCs w:val="20"/>
          <w:shd w:val="clear" w:color="auto" w:fill="FFFFFF"/>
        </w:rPr>
        <w:t xml:space="preserve">Council Directive (EC) 75/117 on the approximation of the laws of the Member States relating to the application of the principle of equal pay for men and women. </w:t>
      </w:r>
    </w:p>
  </w:footnote>
  <w:footnote w:id="175">
    <w:p w14:paraId="2F30E87E" w14:textId="5D7CAC6D" w:rsidR="00ED3222" w:rsidRPr="002130C0" w:rsidRDefault="00ED3222" w:rsidP="00CB68B8">
      <w:pPr>
        <w:pStyle w:val="NormalWeb"/>
        <w:suppressAutoHyphens/>
        <w:autoSpaceDN w:val="0"/>
        <w:spacing w:before="0" w:beforeAutospacing="0" w:after="0" w:afterAutospacing="0"/>
        <w:rPr>
          <w:rFonts w:asciiTheme="minorHAnsi" w:hAnsiTheme="minorHAnsi" w:cstheme="minorHAnsi"/>
          <w:color w:val="000000"/>
          <w:sz w:val="20"/>
          <w:szCs w:val="20"/>
        </w:rPr>
      </w:pPr>
      <w:r w:rsidRPr="002130C0">
        <w:rPr>
          <w:rStyle w:val="FootnoteReference"/>
          <w:rFonts w:asciiTheme="minorHAnsi" w:hAnsiTheme="minorHAnsi" w:cstheme="minorHAnsi"/>
          <w:sz w:val="20"/>
          <w:szCs w:val="20"/>
        </w:rPr>
        <w:footnoteRef/>
      </w:r>
      <w:r w:rsidRPr="002130C0">
        <w:rPr>
          <w:rFonts w:asciiTheme="minorHAnsi" w:hAnsiTheme="minorHAnsi" w:cstheme="minorHAnsi"/>
          <w:sz w:val="20"/>
          <w:szCs w:val="20"/>
        </w:rPr>
        <w:t xml:space="preserve"> </w:t>
      </w:r>
      <w:r w:rsidR="009E3B72" w:rsidRPr="002130C0">
        <w:rPr>
          <w:rFonts w:asciiTheme="minorHAnsi" w:hAnsiTheme="minorHAnsi" w:cstheme="minorHAnsi"/>
          <w:color w:val="333333"/>
          <w:sz w:val="20"/>
          <w:szCs w:val="20"/>
          <w:shd w:val="clear" w:color="auto" w:fill="FFFFFF"/>
        </w:rPr>
        <w:t>Council Directive (EC) 76/207 on the implementation of the principle of equal treatment for men and women as regards access to employment, vocational training and promotion, and working conditions</w:t>
      </w:r>
      <w:r w:rsidRPr="002130C0">
        <w:rPr>
          <w:rFonts w:asciiTheme="minorHAnsi" w:hAnsiTheme="minorHAnsi" w:cstheme="minorHAnsi"/>
          <w:color w:val="000000"/>
          <w:sz w:val="20"/>
          <w:szCs w:val="20"/>
        </w:rPr>
        <w:t>.</w:t>
      </w:r>
    </w:p>
  </w:footnote>
  <w:footnote w:id="176">
    <w:p w14:paraId="0253F322" w14:textId="241304D7" w:rsidR="00ED3222" w:rsidRPr="002130C0" w:rsidRDefault="00ED3222"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Enderstein</w:t>
      </w:r>
      <w:proofErr w:type="spellEnd"/>
      <w:r w:rsidRPr="002130C0">
        <w:rPr>
          <w:rFonts w:cstheme="minorHAnsi"/>
        </w:rPr>
        <w:t xml:space="preserve"> </w:t>
      </w:r>
      <w:r w:rsidR="009E3B72" w:rsidRPr="002130C0">
        <w:rPr>
          <w:rFonts w:cstheme="minorHAnsi"/>
        </w:rPr>
        <w:t>(</w:t>
      </w:r>
      <w:r w:rsidR="00147B39" w:rsidRPr="002130C0">
        <w:rPr>
          <w:rFonts w:cstheme="minorHAnsi"/>
        </w:rPr>
        <w:t>n1</w:t>
      </w:r>
      <w:r w:rsidR="00702EBC">
        <w:rPr>
          <w:rFonts w:cstheme="minorHAnsi"/>
        </w:rPr>
        <w:t>6</w:t>
      </w:r>
      <w:r w:rsidR="009E3B72" w:rsidRPr="002130C0">
        <w:rPr>
          <w:rFonts w:cstheme="minorHAnsi"/>
        </w:rPr>
        <w:t>)</w:t>
      </w:r>
      <w:r w:rsidRPr="002130C0">
        <w:rPr>
          <w:rFonts w:cstheme="minorHAnsi"/>
        </w:rPr>
        <w:t>.</w:t>
      </w:r>
    </w:p>
  </w:footnote>
  <w:footnote w:id="177">
    <w:p w14:paraId="69A30C28" w14:textId="637DDFB7" w:rsidR="00ED3222" w:rsidRPr="002130C0" w:rsidRDefault="00ED3222" w:rsidP="00CB68B8">
      <w:pPr>
        <w:pStyle w:val="NormalWeb"/>
        <w:suppressAutoHyphens/>
        <w:autoSpaceDN w:val="0"/>
        <w:spacing w:before="0" w:beforeAutospacing="0" w:after="0" w:afterAutospacing="0"/>
        <w:rPr>
          <w:rFonts w:asciiTheme="minorHAnsi" w:hAnsiTheme="minorHAnsi" w:cstheme="minorHAnsi"/>
          <w:color w:val="000000"/>
          <w:sz w:val="20"/>
          <w:szCs w:val="20"/>
        </w:rPr>
      </w:pPr>
      <w:r w:rsidRPr="002130C0">
        <w:rPr>
          <w:rStyle w:val="FootnoteReference"/>
          <w:rFonts w:asciiTheme="minorHAnsi" w:hAnsiTheme="minorHAnsi" w:cstheme="minorHAnsi"/>
          <w:sz w:val="20"/>
          <w:szCs w:val="20"/>
        </w:rPr>
        <w:footnoteRef/>
      </w:r>
      <w:r w:rsidRPr="002130C0">
        <w:rPr>
          <w:rFonts w:asciiTheme="minorHAnsi" w:hAnsiTheme="minorHAnsi" w:cstheme="minorHAnsi"/>
          <w:sz w:val="20"/>
          <w:szCs w:val="20"/>
        </w:rPr>
        <w:t xml:space="preserve"> Including</w:t>
      </w:r>
      <w:r w:rsidR="005016EA">
        <w:rPr>
          <w:rFonts w:asciiTheme="minorHAnsi" w:hAnsiTheme="minorHAnsi" w:cstheme="minorHAnsi"/>
          <w:sz w:val="20"/>
          <w:szCs w:val="20"/>
        </w:rPr>
        <w:t>,</w:t>
      </w:r>
      <w:r w:rsidRPr="002130C0">
        <w:rPr>
          <w:rFonts w:asciiTheme="minorHAnsi" w:hAnsiTheme="minorHAnsi" w:cstheme="minorHAnsi"/>
          <w:sz w:val="20"/>
          <w:szCs w:val="20"/>
        </w:rPr>
        <w:t xml:space="preserve"> </w:t>
      </w:r>
      <w:r w:rsidRPr="002130C0">
        <w:rPr>
          <w:rFonts w:asciiTheme="minorHAnsi" w:hAnsiTheme="minorHAnsi" w:cstheme="minorHAnsi"/>
          <w:color w:val="000000"/>
          <w:sz w:val="20"/>
          <w:szCs w:val="20"/>
        </w:rPr>
        <w:t>for example</w:t>
      </w:r>
      <w:r w:rsidR="005016EA">
        <w:rPr>
          <w:rFonts w:asciiTheme="minorHAnsi" w:hAnsiTheme="minorHAnsi" w:cstheme="minorHAnsi"/>
          <w:color w:val="000000"/>
          <w:sz w:val="20"/>
          <w:szCs w:val="20"/>
        </w:rPr>
        <w:t>,</w:t>
      </w:r>
      <w:r w:rsidRPr="002130C0">
        <w:rPr>
          <w:rFonts w:asciiTheme="minorHAnsi" w:hAnsiTheme="minorHAnsi" w:cstheme="minorHAnsi"/>
          <w:color w:val="000000"/>
          <w:sz w:val="20"/>
          <w:szCs w:val="20"/>
        </w:rPr>
        <w:t xml:space="preserve"> </w:t>
      </w:r>
      <w:r w:rsidR="009E3B72" w:rsidRPr="002130C0">
        <w:rPr>
          <w:rFonts w:asciiTheme="minorHAnsi" w:hAnsiTheme="minorHAnsi" w:cstheme="minorHAnsi"/>
          <w:color w:val="000000"/>
          <w:sz w:val="20"/>
          <w:szCs w:val="20"/>
        </w:rPr>
        <w:t xml:space="preserve">Council </w:t>
      </w:r>
      <w:r w:rsidRPr="002130C0">
        <w:rPr>
          <w:rFonts w:asciiTheme="minorHAnsi" w:hAnsiTheme="minorHAnsi" w:cstheme="minorHAnsi"/>
          <w:color w:val="000000"/>
          <w:sz w:val="20"/>
          <w:szCs w:val="20"/>
        </w:rPr>
        <w:t xml:space="preserve">Directive </w:t>
      </w:r>
      <w:r w:rsidR="009E3B72" w:rsidRPr="002130C0">
        <w:rPr>
          <w:rFonts w:asciiTheme="minorHAnsi" w:hAnsiTheme="minorHAnsi" w:cstheme="minorHAnsi"/>
          <w:color w:val="000000"/>
          <w:sz w:val="20"/>
          <w:szCs w:val="20"/>
        </w:rPr>
        <w:t xml:space="preserve">(EC) </w:t>
      </w:r>
      <w:r w:rsidRPr="002130C0">
        <w:rPr>
          <w:rFonts w:asciiTheme="minorHAnsi" w:hAnsiTheme="minorHAnsi" w:cstheme="minorHAnsi"/>
          <w:color w:val="000000"/>
          <w:sz w:val="20"/>
          <w:szCs w:val="20"/>
        </w:rPr>
        <w:t xml:space="preserve">86/373 </w:t>
      </w:r>
      <w:r w:rsidR="009E3B72" w:rsidRPr="002130C0">
        <w:rPr>
          <w:rFonts w:asciiTheme="minorHAnsi" w:hAnsiTheme="minorHAnsi" w:cstheme="minorHAnsi"/>
          <w:color w:val="000000"/>
          <w:sz w:val="20"/>
          <w:szCs w:val="20"/>
        </w:rPr>
        <w:t xml:space="preserve">on </w:t>
      </w:r>
      <w:r w:rsidRPr="002130C0">
        <w:rPr>
          <w:rFonts w:asciiTheme="minorHAnsi" w:hAnsiTheme="minorHAnsi" w:cstheme="minorHAnsi"/>
          <w:color w:val="000000"/>
          <w:sz w:val="20"/>
          <w:szCs w:val="20"/>
        </w:rPr>
        <w:t>equal treatment in occupational pension schemes</w:t>
      </w:r>
      <w:r w:rsidR="00AD5953">
        <w:rPr>
          <w:rFonts w:asciiTheme="minorHAnsi" w:hAnsiTheme="minorHAnsi" w:cstheme="minorHAnsi"/>
          <w:color w:val="000000"/>
          <w:sz w:val="20"/>
          <w:szCs w:val="20"/>
        </w:rPr>
        <w:t xml:space="preserve"> </w:t>
      </w:r>
      <w:r w:rsidRPr="002130C0">
        <w:rPr>
          <w:rFonts w:asciiTheme="minorHAnsi" w:hAnsiTheme="minorHAnsi" w:cstheme="minorHAnsi"/>
          <w:color w:val="000000"/>
          <w:sz w:val="20"/>
          <w:szCs w:val="20"/>
        </w:rPr>
        <w:t xml:space="preserve">and </w:t>
      </w:r>
      <w:r w:rsidR="009E3B72" w:rsidRPr="002130C0">
        <w:rPr>
          <w:rFonts w:asciiTheme="minorHAnsi" w:hAnsiTheme="minorHAnsi" w:cstheme="minorHAnsi"/>
          <w:color w:val="000000"/>
          <w:sz w:val="20"/>
          <w:szCs w:val="20"/>
        </w:rPr>
        <w:t xml:space="preserve">Council Directive (EC) </w:t>
      </w:r>
      <w:r w:rsidRPr="002130C0">
        <w:rPr>
          <w:rFonts w:asciiTheme="minorHAnsi" w:hAnsiTheme="minorHAnsi" w:cstheme="minorHAnsi"/>
          <w:color w:val="000000"/>
          <w:sz w:val="20"/>
          <w:szCs w:val="20"/>
        </w:rPr>
        <w:t xml:space="preserve">92/85 </w:t>
      </w:r>
      <w:r w:rsidR="009E3B72" w:rsidRPr="002130C0">
        <w:rPr>
          <w:rFonts w:asciiTheme="minorHAnsi" w:hAnsiTheme="minorHAnsi" w:cstheme="minorHAnsi"/>
          <w:color w:val="333333"/>
          <w:sz w:val="20"/>
          <w:szCs w:val="20"/>
          <w:shd w:val="clear" w:color="auto" w:fill="FFFFFF"/>
        </w:rPr>
        <w:t>on the introduction of measures to encourage improvements in the safety and health at work of pregnant workers and workers who have recently given birth or are breastfeeding</w:t>
      </w:r>
      <w:r w:rsidR="00587766" w:rsidRPr="002130C0">
        <w:rPr>
          <w:rFonts w:asciiTheme="minorHAnsi" w:hAnsiTheme="minorHAnsi" w:cstheme="minorHAnsi"/>
          <w:color w:val="000000"/>
          <w:sz w:val="20"/>
          <w:szCs w:val="20"/>
        </w:rPr>
        <w:t>.</w:t>
      </w:r>
    </w:p>
  </w:footnote>
  <w:footnote w:id="178">
    <w:p w14:paraId="2F164C33" w14:textId="7E49E805" w:rsidR="00ED3222" w:rsidRPr="002130C0" w:rsidRDefault="00ED3222"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Enderstein</w:t>
      </w:r>
      <w:proofErr w:type="spellEnd"/>
      <w:r w:rsidRPr="002130C0">
        <w:rPr>
          <w:rFonts w:cstheme="minorHAnsi"/>
        </w:rPr>
        <w:t xml:space="preserve"> </w:t>
      </w:r>
      <w:r w:rsidR="009E3B72" w:rsidRPr="002130C0">
        <w:rPr>
          <w:rFonts w:cstheme="minorHAnsi"/>
        </w:rPr>
        <w:t>(</w:t>
      </w:r>
      <w:r w:rsidRPr="002130C0">
        <w:rPr>
          <w:rFonts w:cstheme="minorHAnsi"/>
        </w:rPr>
        <w:t>n1</w:t>
      </w:r>
      <w:r w:rsidR="00702EBC">
        <w:rPr>
          <w:rFonts w:cstheme="minorHAnsi"/>
        </w:rPr>
        <w:t>6</w:t>
      </w:r>
      <w:r w:rsidR="009E3B72" w:rsidRPr="002130C0">
        <w:rPr>
          <w:rFonts w:cstheme="minorHAnsi"/>
        </w:rPr>
        <w:t>)</w:t>
      </w:r>
      <w:r w:rsidRPr="002130C0">
        <w:rPr>
          <w:rFonts w:cstheme="minorHAnsi"/>
        </w:rPr>
        <w:t>, 116.</w:t>
      </w:r>
    </w:p>
  </w:footnote>
  <w:footnote w:id="179">
    <w:p w14:paraId="05762011" w14:textId="7D91460B" w:rsidR="00ED3222" w:rsidRPr="002130C0" w:rsidRDefault="00ED3222" w:rsidP="00CB68B8">
      <w:pPr>
        <w:pStyle w:val="NormalWeb"/>
        <w:spacing w:before="0" w:beforeAutospacing="0" w:after="0" w:afterAutospacing="0"/>
        <w:rPr>
          <w:rFonts w:asciiTheme="minorHAnsi" w:hAnsiTheme="minorHAnsi" w:cstheme="minorHAnsi"/>
          <w:color w:val="000000"/>
          <w:sz w:val="20"/>
          <w:szCs w:val="20"/>
        </w:rPr>
      </w:pPr>
      <w:r w:rsidRPr="002130C0">
        <w:rPr>
          <w:rStyle w:val="FootnoteReference"/>
          <w:rFonts w:asciiTheme="minorHAnsi" w:hAnsiTheme="minorHAnsi" w:cstheme="minorHAnsi"/>
          <w:sz w:val="20"/>
          <w:szCs w:val="20"/>
        </w:rPr>
        <w:footnoteRef/>
      </w:r>
      <w:r w:rsidRPr="002130C0">
        <w:rPr>
          <w:rFonts w:asciiTheme="minorHAnsi" w:hAnsiTheme="minorHAnsi" w:cstheme="minorHAnsi"/>
          <w:sz w:val="20"/>
          <w:szCs w:val="20"/>
        </w:rPr>
        <w:t xml:space="preserve"> </w:t>
      </w:r>
      <w:r w:rsidR="009E3B72" w:rsidRPr="002130C0">
        <w:rPr>
          <w:rFonts w:asciiTheme="minorHAnsi" w:hAnsiTheme="minorHAnsi" w:cstheme="minorHAnsi"/>
          <w:sz w:val="20"/>
          <w:szCs w:val="20"/>
        </w:rPr>
        <w:t xml:space="preserve">Council </w:t>
      </w:r>
      <w:r w:rsidRPr="002130C0">
        <w:rPr>
          <w:rFonts w:asciiTheme="minorHAnsi" w:hAnsiTheme="minorHAnsi" w:cstheme="minorHAnsi"/>
          <w:sz w:val="20"/>
          <w:szCs w:val="20"/>
        </w:rPr>
        <w:t xml:space="preserve">Directive </w:t>
      </w:r>
      <w:r w:rsidR="009E3B72" w:rsidRPr="002130C0">
        <w:rPr>
          <w:rFonts w:asciiTheme="minorHAnsi" w:hAnsiTheme="minorHAnsi" w:cstheme="minorHAnsi"/>
          <w:sz w:val="20"/>
          <w:szCs w:val="20"/>
        </w:rPr>
        <w:t xml:space="preserve">(EC) </w:t>
      </w:r>
      <w:r w:rsidRPr="002130C0">
        <w:rPr>
          <w:rFonts w:asciiTheme="minorHAnsi" w:hAnsiTheme="minorHAnsi" w:cstheme="minorHAnsi"/>
          <w:sz w:val="20"/>
          <w:szCs w:val="20"/>
        </w:rPr>
        <w:t>2006/</w:t>
      </w:r>
      <w:r w:rsidR="00D77A02">
        <w:rPr>
          <w:rFonts w:asciiTheme="minorHAnsi" w:hAnsiTheme="minorHAnsi" w:cstheme="minorHAnsi"/>
          <w:sz w:val="20"/>
          <w:szCs w:val="20"/>
        </w:rPr>
        <w:t>54</w:t>
      </w:r>
      <w:r w:rsidRPr="002130C0">
        <w:rPr>
          <w:rFonts w:asciiTheme="minorHAnsi" w:hAnsiTheme="minorHAnsi" w:cstheme="minorHAnsi"/>
          <w:sz w:val="20"/>
          <w:szCs w:val="20"/>
        </w:rPr>
        <w:t xml:space="preserve"> </w:t>
      </w:r>
      <w:r w:rsidR="009E3B72" w:rsidRPr="002130C0">
        <w:rPr>
          <w:rFonts w:asciiTheme="minorHAnsi" w:hAnsiTheme="minorHAnsi" w:cstheme="minorHAnsi"/>
          <w:color w:val="333333"/>
          <w:sz w:val="20"/>
          <w:szCs w:val="20"/>
          <w:shd w:val="clear" w:color="auto" w:fill="FFFFFF"/>
        </w:rPr>
        <w:t>on the implementation of the principle of equal opportunities and equal treatment of men and women in matters of employment and occupation (recast)</w:t>
      </w:r>
      <w:r w:rsidR="009E3B72" w:rsidRPr="002130C0">
        <w:rPr>
          <w:rStyle w:val="Emphasis"/>
          <w:rFonts w:asciiTheme="minorHAnsi" w:hAnsiTheme="minorHAnsi" w:cstheme="minorHAnsi"/>
          <w:i w:val="0"/>
          <w:iCs w:val="0"/>
          <w:color w:val="333333"/>
          <w:sz w:val="20"/>
          <w:szCs w:val="20"/>
          <w:shd w:val="clear" w:color="auto" w:fill="FFFFFF"/>
        </w:rPr>
        <w:t>.</w:t>
      </w:r>
      <w:r w:rsidR="009E3B72" w:rsidRPr="002130C0">
        <w:rPr>
          <w:rFonts w:asciiTheme="minorHAnsi" w:hAnsiTheme="minorHAnsi" w:cstheme="minorHAnsi"/>
          <w:sz w:val="20"/>
          <w:szCs w:val="20"/>
        </w:rPr>
        <w:t xml:space="preserve"> </w:t>
      </w:r>
    </w:p>
  </w:footnote>
  <w:footnote w:id="180">
    <w:p w14:paraId="1FB8CFFE" w14:textId="77777777" w:rsidR="00ED3222" w:rsidRPr="002130C0" w:rsidRDefault="00ED3222" w:rsidP="00CB68B8">
      <w:pPr>
        <w:pStyle w:val="NormalWeb"/>
        <w:spacing w:before="0" w:beforeAutospacing="0" w:after="0" w:afterAutospacing="0"/>
        <w:rPr>
          <w:rFonts w:asciiTheme="minorHAnsi" w:hAnsiTheme="minorHAnsi" w:cstheme="minorHAnsi"/>
          <w:color w:val="000000"/>
          <w:sz w:val="20"/>
          <w:szCs w:val="20"/>
        </w:rPr>
      </w:pPr>
      <w:r w:rsidRPr="002130C0">
        <w:rPr>
          <w:rStyle w:val="FootnoteReference"/>
          <w:rFonts w:asciiTheme="minorHAnsi" w:hAnsiTheme="minorHAnsi" w:cstheme="minorHAnsi"/>
          <w:sz w:val="20"/>
          <w:szCs w:val="20"/>
        </w:rPr>
        <w:footnoteRef/>
      </w:r>
      <w:r w:rsidRPr="002130C0">
        <w:rPr>
          <w:rFonts w:asciiTheme="minorHAnsi" w:hAnsiTheme="minorHAnsi" w:cstheme="minorHAnsi"/>
          <w:sz w:val="20"/>
          <w:szCs w:val="20"/>
        </w:rPr>
        <w:t xml:space="preserve"> </w:t>
      </w:r>
      <w:r w:rsidRPr="002130C0">
        <w:rPr>
          <w:rFonts w:asciiTheme="minorHAnsi" w:hAnsiTheme="minorHAnsi" w:cstheme="minorHAnsi"/>
          <w:color w:val="000000"/>
          <w:sz w:val="20"/>
          <w:szCs w:val="20"/>
        </w:rPr>
        <w:t>Direct discrimination is where an employer treats someone less favourably because of gender. Indirect discrimination is where an employer’s policy applies to everyone but results in people of a certain gender being put at a disadvantage.</w:t>
      </w:r>
    </w:p>
  </w:footnote>
  <w:footnote w:id="181">
    <w:p w14:paraId="1010165F" w14:textId="49390E0E" w:rsidR="00ED3222" w:rsidRPr="002130C0" w:rsidRDefault="00ED3222" w:rsidP="00CB68B8">
      <w:pPr>
        <w:pStyle w:val="FootnoteText"/>
        <w:rPr>
          <w:rFonts w:cstheme="minorHAnsi"/>
        </w:rPr>
      </w:pPr>
      <w:r w:rsidRPr="002130C0">
        <w:rPr>
          <w:rStyle w:val="FootnoteReference"/>
          <w:rFonts w:cstheme="minorHAnsi"/>
        </w:rPr>
        <w:footnoteRef/>
      </w:r>
      <w:r w:rsidRPr="002130C0">
        <w:rPr>
          <w:rFonts w:cstheme="minorHAnsi"/>
        </w:rPr>
        <w:t xml:space="preserve"> EU Charter </w:t>
      </w:r>
      <w:r w:rsidR="009E3B72" w:rsidRPr="002130C0">
        <w:rPr>
          <w:rFonts w:cstheme="minorHAnsi"/>
        </w:rPr>
        <w:t xml:space="preserve">of </w:t>
      </w:r>
      <w:r w:rsidRPr="002130C0">
        <w:rPr>
          <w:rFonts w:cstheme="minorHAnsi"/>
        </w:rPr>
        <w:t>Fundamental Rights</w:t>
      </w:r>
      <w:r w:rsidR="009E3B72" w:rsidRPr="002130C0">
        <w:rPr>
          <w:rFonts w:cstheme="minorHAnsi"/>
        </w:rPr>
        <w:t xml:space="preserve"> (n7)</w:t>
      </w:r>
      <w:r w:rsidR="00D77A02">
        <w:rPr>
          <w:rFonts w:cstheme="minorHAnsi"/>
        </w:rPr>
        <w:t>,</w:t>
      </w:r>
      <w:r w:rsidR="009E3B72" w:rsidRPr="002130C0">
        <w:rPr>
          <w:rFonts w:cstheme="minorHAnsi"/>
        </w:rPr>
        <w:t xml:space="preserve"> art 23</w:t>
      </w:r>
      <w:r w:rsidRPr="002130C0">
        <w:rPr>
          <w:rFonts w:cstheme="minorHAnsi"/>
        </w:rPr>
        <w:t xml:space="preserve">. </w:t>
      </w:r>
    </w:p>
  </w:footnote>
  <w:footnote w:id="182">
    <w:p w14:paraId="51A379F3" w14:textId="420FC15A" w:rsidR="00300666" w:rsidRPr="002130C0" w:rsidRDefault="00300666"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Tryfonidou</w:t>
      </w:r>
      <w:proofErr w:type="spellEnd"/>
      <w:r w:rsidRPr="002130C0">
        <w:rPr>
          <w:rFonts w:cstheme="minorHAnsi"/>
        </w:rPr>
        <w:t xml:space="preserve"> </w:t>
      </w:r>
      <w:r w:rsidR="00D77A02">
        <w:rPr>
          <w:rFonts w:cstheme="minorHAnsi"/>
        </w:rPr>
        <w:t xml:space="preserve">(2020) </w:t>
      </w:r>
      <w:r w:rsidR="009E3B72" w:rsidRPr="002130C0">
        <w:rPr>
          <w:rFonts w:cstheme="minorHAnsi"/>
        </w:rPr>
        <w:t>(</w:t>
      </w:r>
      <w:r w:rsidRPr="002130C0">
        <w:rPr>
          <w:rFonts w:cstheme="minorHAnsi"/>
        </w:rPr>
        <w:t>n</w:t>
      </w:r>
      <w:r w:rsidR="005F1ECE" w:rsidRPr="002130C0">
        <w:rPr>
          <w:rFonts w:cstheme="minorHAnsi"/>
        </w:rPr>
        <w:t>3</w:t>
      </w:r>
      <w:r w:rsidR="009D722E">
        <w:rPr>
          <w:rFonts w:cstheme="minorHAnsi"/>
        </w:rPr>
        <w:t>8</w:t>
      </w:r>
      <w:r w:rsidR="009E3B72" w:rsidRPr="002130C0">
        <w:rPr>
          <w:rFonts w:cstheme="minorHAnsi"/>
        </w:rPr>
        <w:t>)</w:t>
      </w:r>
      <w:r w:rsidRPr="002130C0">
        <w:rPr>
          <w:rFonts w:cstheme="minorHAnsi"/>
        </w:rPr>
        <w:t>, 188.</w:t>
      </w:r>
    </w:p>
  </w:footnote>
  <w:footnote w:id="183">
    <w:p w14:paraId="078A3320" w14:textId="05A5830A" w:rsidR="00300666" w:rsidRPr="002130C0" w:rsidRDefault="00300666" w:rsidP="00CB68B8">
      <w:pPr>
        <w:pStyle w:val="FootnoteText"/>
        <w:rPr>
          <w:rFonts w:cstheme="minorHAnsi"/>
        </w:rPr>
      </w:pPr>
      <w:r w:rsidRPr="002130C0">
        <w:rPr>
          <w:rStyle w:val="FootnoteReference"/>
          <w:rFonts w:cstheme="minorHAnsi"/>
        </w:rPr>
        <w:footnoteRef/>
      </w:r>
      <w:r w:rsidRPr="002130C0">
        <w:rPr>
          <w:rFonts w:cstheme="minorHAnsi"/>
        </w:rPr>
        <w:t xml:space="preserve"> Ibid referring to </w:t>
      </w:r>
      <w:r w:rsidRPr="002130C0">
        <w:rPr>
          <w:rFonts w:cstheme="minorHAnsi"/>
          <w:i/>
          <w:iCs/>
        </w:rPr>
        <w:t xml:space="preserve">Grant </w:t>
      </w:r>
      <w:r w:rsidR="005A43A1">
        <w:rPr>
          <w:rFonts w:cstheme="minorHAnsi"/>
        </w:rPr>
        <w:t>(</w:t>
      </w:r>
      <w:r w:rsidRPr="002130C0">
        <w:rPr>
          <w:rFonts w:cstheme="minorHAnsi"/>
        </w:rPr>
        <w:t>Case C-249/96</w:t>
      </w:r>
      <w:r w:rsidR="005A43A1">
        <w:rPr>
          <w:rFonts w:cstheme="minorHAnsi"/>
        </w:rPr>
        <w:t>)</w:t>
      </w:r>
      <w:r w:rsidRPr="002130C0">
        <w:rPr>
          <w:rFonts w:cstheme="minorHAnsi"/>
        </w:rPr>
        <w:t xml:space="preserve"> and </w:t>
      </w:r>
      <w:r w:rsidRPr="002130C0">
        <w:rPr>
          <w:rFonts w:cstheme="minorHAnsi"/>
          <w:i/>
          <w:iCs/>
        </w:rPr>
        <w:t>PD and Sweden v Council</w:t>
      </w:r>
      <w:r w:rsidRPr="002130C0">
        <w:rPr>
          <w:rFonts w:cstheme="minorHAnsi"/>
        </w:rPr>
        <w:t xml:space="preserve"> </w:t>
      </w:r>
      <w:r w:rsidR="005A43A1">
        <w:rPr>
          <w:rFonts w:cstheme="minorHAnsi"/>
        </w:rPr>
        <w:t>(</w:t>
      </w:r>
      <w:r w:rsidRPr="002130C0">
        <w:rPr>
          <w:rFonts w:cstheme="minorHAnsi"/>
        </w:rPr>
        <w:t>Cases C-122 and 125/99</w:t>
      </w:r>
      <w:r w:rsidR="005A43A1">
        <w:rPr>
          <w:rFonts w:cstheme="minorHAnsi"/>
        </w:rPr>
        <w:t>)</w:t>
      </w:r>
      <w:r w:rsidR="00587766" w:rsidRPr="002130C0">
        <w:rPr>
          <w:rFonts w:cstheme="minorHAnsi"/>
        </w:rPr>
        <w:t>.</w:t>
      </w:r>
      <w:r w:rsidRPr="002130C0">
        <w:rPr>
          <w:rFonts w:cstheme="minorHAnsi"/>
        </w:rPr>
        <w:t xml:space="preserve"> </w:t>
      </w:r>
    </w:p>
  </w:footnote>
  <w:footnote w:id="184">
    <w:p w14:paraId="5BD80FEA" w14:textId="718FA7B5" w:rsidR="00300666" w:rsidRPr="002130C0" w:rsidRDefault="00300666"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3E5A45" w:rsidRPr="002130C0">
        <w:rPr>
          <w:rFonts w:cstheme="minorHAnsi"/>
        </w:rPr>
        <w:t xml:space="preserve">Equality </w:t>
      </w:r>
      <w:r w:rsidRPr="002130C0">
        <w:rPr>
          <w:rFonts w:cstheme="minorHAnsi"/>
        </w:rPr>
        <w:t xml:space="preserve">Framework Directive </w:t>
      </w:r>
      <w:r w:rsidR="003E5A45" w:rsidRPr="002130C0">
        <w:rPr>
          <w:rFonts w:cstheme="minorHAnsi"/>
        </w:rPr>
        <w:t>(n</w:t>
      </w:r>
      <w:r w:rsidR="006240B8">
        <w:rPr>
          <w:rFonts w:cstheme="minorHAnsi"/>
        </w:rPr>
        <w:t>8</w:t>
      </w:r>
      <w:r w:rsidR="003E5A45" w:rsidRPr="002130C0">
        <w:rPr>
          <w:rFonts w:cstheme="minorHAnsi"/>
        </w:rPr>
        <w:t xml:space="preserve">). </w:t>
      </w:r>
      <w:r w:rsidRPr="002130C0">
        <w:rPr>
          <w:rFonts w:cstheme="minorHAnsi"/>
        </w:rPr>
        <w:t xml:space="preserve"> </w:t>
      </w:r>
    </w:p>
  </w:footnote>
  <w:footnote w:id="185">
    <w:p w14:paraId="0AE7742E" w14:textId="4BD562CD" w:rsidR="00300666" w:rsidRPr="002130C0" w:rsidRDefault="00300666"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Enderstein</w:t>
      </w:r>
      <w:proofErr w:type="spellEnd"/>
      <w:r w:rsidRPr="002130C0">
        <w:rPr>
          <w:rFonts w:cstheme="minorHAnsi"/>
        </w:rPr>
        <w:t xml:space="preserve"> </w:t>
      </w:r>
      <w:r w:rsidR="003E5A45" w:rsidRPr="002130C0">
        <w:rPr>
          <w:rFonts w:cstheme="minorHAnsi"/>
        </w:rPr>
        <w:t>(</w:t>
      </w:r>
      <w:r w:rsidRPr="002130C0">
        <w:rPr>
          <w:rFonts w:cstheme="minorHAnsi"/>
        </w:rPr>
        <w:t>n1</w:t>
      </w:r>
      <w:r w:rsidR="00702EBC">
        <w:rPr>
          <w:rFonts w:cstheme="minorHAnsi"/>
        </w:rPr>
        <w:t>6</w:t>
      </w:r>
      <w:r w:rsidR="003E5A45" w:rsidRPr="002130C0">
        <w:rPr>
          <w:rFonts w:cstheme="minorHAnsi"/>
        </w:rPr>
        <w:t>)</w:t>
      </w:r>
      <w:r w:rsidRPr="002130C0">
        <w:rPr>
          <w:rFonts w:cstheme="minorHAnsi"/>
        </w:rPr>
        <w:t>, 116.</w:t>
      </w:r>
    </w:p>
  </w:footnote>
  <w:footnote w:id="186">
    <w:p w14:paraId="6C60B8F6" w14:textId="39A0CD2E" w:rsidR="00300666" w:rsidRPr="002130C0" w:rsidRDefault="00300666"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3E5A45" w:rsidRPr="002130C0">
        <w:rPr>
          <w:rFonts w:cstheme="minorHAnsi"/>
        </w:rPr>
        <w:t>Equality Framework</w:t>
      </w:r>
      <w:r w:rsidRPr="002130C0">
        <w:rPr>
          <w:rFonts w:cstheme="minorHAnsi"/>
        </w:rPr>
        <w:t xml:space="preserve"> Directive </w:t>
      </w:r>
      <w:r w:rsidR="003E5A45" w:rsidRPr="002130C0">
        <w:rPr>
          <w:rFonts w:cstheme="minorHAnsi"/>
        </w:rPr>
        <w:t>(n</w:t>
      </w:r>
      <w:r w:rsidR="006240B8">
        <w:rPr>
          <w:rFonts w:cstheme="minorHAnsi"/>
        </w:rPr>
        <w:t>8</w:t>
      </w:r>
      <w:r w:rsidR="003E5A45" w:rsidRPr="002130C0">
        <w:rPr>
          <w:rFonts w:cstheme="minorHAnsi"/>
        </w:rPr>
        <w:t>)</w:t>
      </w:r>
      <w:r w:rsidR="005A43A1">
        <w:rPr>
          <w:rFonts w:cstheme="minorHAnsi"/>
        </w:rPr>
        <w:t>,</w:t>
      </w:r>
      <w:r w:rsidR="003E5A45" w:rsidRPr="002130C0">
        <w:rPr>
          <w:rFonts w:cstheme="minorHAnsi"/>
        </w:rPr>
        <w:t xml:space="preserve"> a</w:t>
      </w:r>
      <w:r w:rsidRPr="002130C0">
        <w:rPr>
          <w:rFonts w:cstheme="minorHAnsi"/>
        </w:rPr>
        <w:t>rt 3.</w:t>
      </w:r>
    </w:p>
  </w:footnote>
  <w:footnote w:id="187">
    <w:p w14:paraId="55A4B4AB" w14:textId="4A74DE60" w:rsidR="00300666" w:rsidRPr="002130C0" w:rsidRDefault="00300666" w:rsidP="00CB68B8">
      <w:pPr>
        <w:tabs>
          <w:tab w:val="left" w:pos="720"/>
        </w:tabs>
        <w:autoSpaceDN w:val="0"/>
        <w:spacing w:after="0" w:line="240" w:lineRule="auto"/>
        <w:contextualSpacing/>
        <w:rPr>
          <w:rFonts w:cstheme="minorHAnsi"/>
          <w:sz w:val="20"/>
          <w:szCs w:val="20"/>
          <w:lang w:val="it-IT"/>
        </w:rPr>
      </w:pPr>
      <w:r w:rsidRPr="002130C0">
        <w:rPr>
          <w:rStyle w:val="FootnoteReference"/>
          <w:rFonts w:cstheme="minorHAnsi"/>
          <w:sz w:val="20"/>
          <w:szCs w:val="20"/>
        </w:rPr>
        <w:footnoteRef/>
      </w:r>
      <w:r w:rsidRPr="002130C0">
        <w:rPr>
          <w:rFonts w:cstheme="minorHAnsi"/>
          <w:sz w:val="20"/>
          <w:szCs w:val="20"/>
          <w:lang w:val="it-IT"/>
        </w:rPr>
        <w:t xml:space="preserve"> </w:t>
      </w:r>
      <w:r w:rsidRPr="002130C0">
        <w:rPr>
          <w:rFonts w:cstheme="minorHAnsi"/>
          <w:i/>
          <w:iCs/>
          <w:sz w:val="20"/>
          <w:szCs w:val="20"/>
          <w:lang w:val="it-IT"/>
        </w:rPr>
        <w:t>Associtia Accept</w:t>
      </w:r>
      <w:r w:rsidRPr="002130C0">
        <w:rPr>
          <w:rFonts w:cstheme="minorHAnsi"/>
          <w:sz w:val="20"/>
          <w:szCs w:val="20"/>
          <w:lang w:val="it-IT"/>
        </w:rPr>
        <w:t xml:space="preserve"> </w:t>
      </w:r>
      <w:r w:rsidR="005A43A1">
        <w:rPr>
          <w:rFonts w:cstheme="minorHAnsi"/>
          <w:sz w:val="20"/>
          <w:szCs w:val="20"/>
          <w:lang w:val="it-IT"/>
        </w:rPr>
        <w:t>(</w:t>
      </w:r>
      <w:r w:rsidRPr="002130C0">
        <w:rPr>
          <w:rFonts w:cstheme="minorHAnsi"/>
          <w:sz w:val="20"/>
          <w:szCs w:val="20"/>
          <w:lang w:val="it-IT"/>
        </w:rPr>
        <w:t>Case 81/12</w:t>
      </w:r>
      <w:r w:rsidR="005A43A1">
        <w:rPr>
          <w:rFonts w:cstheme="minorHAnsi"/>
          <w:sz w:val="20"/>
          <w:szCs w:val="20"/>
          <w:lang w:val="it-IT"/>
        </w:rPr>
        <w:t>)</w:t>
      </w:r>
      <w:r w:rsidR="00587766" w:rsidRPr="002130C0">
        <w:rPr>
          <w:rFonts w:cstheme="minorHAnsi"/>
          <w:sz w:val="20"/>
          <w:szCs w:val="20"/>
          <w:lang w:val="it-IT"/>
        </w:rPr>
        <w:t>.</w:t>
      </w:r>
    </w:p>
  </w:footnote>
  <w:footnote w:id="188">
    <w:p w14:paraId="2AB3F557" w14:textId="3BA7DAAA" w:rsidR="00300666" w:rsidRPr="002130C0" w:rsidRDefault="00300666" w:rsidP="00CB68B8">
      <w:pPr>
        <w:pStyle w:val="FootnoteText"/>
        <w:rPr>
          <w:rFonts w:cstheme="minorHAnsi"/>
          <w:lang w:val="it-IT"/>
        </w:rPr>
      </w:pPr>
      <w:r w:rsidRPr="002130C0">
        <w:rPr>
          <w:rStyle w:val="FootnoteReference"/>
          <w:rFonts w:cstheme="minorHAnsi"/>
        </w:rPr>
        <w:footnoteRef/>
      </w:r>
      <w:r w:rsidRPr="002130C0">
        <w:rPr>
          <w:rFonts w:cstheme="minorHAnsi"/>
          <w:lang w:val="it-IT"/>
        </w:rPr>
        <w:t xml:space="preserve"> </w:t>
      </w:r>
      <w:r w:rsidRPr="002130C0">
        <w:rPr>
          <w:rFonts w:cstheme="minorHAnsi"/>
          <w:i/>
          <w:iCs/>
          <w:lang w:val="it-IT"/>
        </w:rPr>
        <w:t>NH v Associazione Avvocatuura per i dritti LGBT</w:t>
      </w:r>
      <w:r w:rsidRPr="002130C0">
        <w:rPr>
          <w:rFonts w:cstheme="minorHAnsi"/>
          <w:lang w:val="it-IT"/>
        </w:rPr>
        <w:t xml:space="preserve"> – Rete Lenford </w:t>
      </w:r>
      <w:r w:rsidR="0019660A">
        <w:rPr>
          <w:rFonts w:cstheme="minorHAnsi"/>
          <w:lang w:val="it-IT"/>
        </w:rPr>
        <w:t>(</w:t>
      </w:r>
      <w:r w:rsidRPr="002130C0">
        <w:rPr>
          <w:rFonts w:cstheme="minorHAnsi"/>
          <w:lang w:val="it-IT"/>
        </w:rPr>
        <w:t>Case 507/18</w:t>
      </w:r>
      <w:r w:rsidR="0019660A">
        <w:rPr>
          <w:rFonts w:cstheme="minorHAnsi"/>
          <w:lang w:val="it-IT"/>
        </w:rPr>
        <w:t>)</w:t>
      </w:r>
      <w:r w:rsidR="00587766" w:rsidRPr="002130C0">
        <w:rPr>
          <w:rFonts w:cstheme="minorHAnsi"/>
          <w:lang w:val="it-IT"/>
        </w:rPr>
        <w:t>.</w:t>
      </w:r>
      <w:r w:rsidRPr="002130C0">
        <w:rPr>
          <w:rFonts w:cstheme="minorHAnsi"/>
          <w:lang w:val="it-IT"/>
        </w:rPr>
        <w:t xml:space="preserve"> </w:t>
      </w:r>
    </w:p>
  </w:footnote>
  <w:footnote w:id="189">
    <w:p w14:paraId="54D7CFB0" w14:textId="0A191DF2" w:rsidR="00300666" w:rsidRPr="002130C0" w:rsidRDefault="00300666" w:rsidP="00CB68B8">
      <w:pPr>
        <w:pStyle w:val="FootnoteText"/>
        <w:rPr>
          <w:rFonts w:cstheme="minorHAnsi"/>
          <w:lang w:val="en-US"/>
        </w:rPr>
      </w:pPr>
      <w:r w:rsidRPr="002130C0">
        <w:rPr>
          <w:rStyle w:val="FootnoteReference"/>
          <w:rFonts w:cstheme="minorHAnsi"/>
        </w:rPr>
        <w:footnoteRef/>
      </w:r>
      <w:r w:rsidR="002273F1" w:rsidRPr="002130C0">
        <w:rPr>
          <w:rFonts w:cstheme="minorHAnsi"/>
          <w:b/>
          <w:bCs/>
          <w:color w:val="333333"/>
          <w:shd w:val="clear" w:color="auto" w:fill="FFFFFF"/>
        </w:rPr>
        <w:t xml:space="preserve"> </w:t>
      </w:r>
      <w:r w:rsidR="003E5A45" w:rsidRPr="002130C0">
        <w:rPr>
          <w:rFonts w:cstheme="minorHAnsi"/>
          <w:color w:val="333333"/>
          <w:shd w:val="clear" w:color="auto" w:fill="FFFFFF"/>
        </w:rPr>
        <w:t>Council Directive (EC) 2000/43 implementing the principle of equal treatment between persons irrespective of racial or ethnic origin</w:t>
      </w:r>
      <w:r w:rsidR="003E5A45" w:rsidRPr="002130C0">
        <w:rPr>
          <w:rStyle w:val="Emphasis"/>
          <w:rFonts w:cstheme="minorHAnsi"/>
          <w:i w:val="0"/>
          <w:iCs w:val="0"/>
          <w:color w:val="333333"/>
          <w:shd w:val="clear" w:color="auto" w:fill="FFFFFF"/>
        </w:rPr>
        <w:t>.</w:t>
      </w:r>
    </w:p>
  </w:footnote>
  <w:footnote w:id="190">
    <w:p w14:paraId="76477EE8" w14:textId="78BA0623" w:rsidR="00300666" w:rsidRPr="002130C0" w:rsidRDefault="00300666" w:rsidP="00CB68B8">
      <w:pPr>
        <w:pStyle w:val="FootnoteText"/>
        <w:rPr>
          <w:rFonts w:cstheme="minorHAnsi"/>
        </w:rPr>
      </w:pPr>
      <w:r w:rsidRPr="002130C0">
        <w:rPr>
          <w:rStyle w:val="FootnoteReference"/>
          <w:rFonts w:cstheme="minorHAnsi"/>
        </w:rPr>
        <w:footnoteRef/>
      </w:r>
      <w:r w:rsidRPr="002130C0">
        <w:rPr>
          <w:rFonts w:cstheme="minorHAnsi"/>
        </w:rPr>
        <w:t xml:space="preserve"> Ibid, </w:t>
      </w:r>
      <w:r w:rsidR="002273F1" w:rsidRPr="002130C0">
        <w:rPr>
          <w:rFonts w:cstheme="minorHAnsi"/>
        </w:rPr>
        <w:t>a</w:t>
      </w:r>
      <w:r w:rsidRPr="002130C0">
        <w:rPr>
          <w:rFonts w:cstheme="minorHAnsi"/>
        </w:rPr>
        <w:t>rts 4</w:t>
      </w:r>
      <w:r w:rsidR="0019660A">
        <w:rPr>
          <w:rFonts w:cstheme="minorHAnsi"/>
        </w:rPr>
        <w:t>-</w:t>
      </w:r>
      <w:r w:rsidRPr="002130C0">
        <w:rPr>
          <w:rFonts w:cstheme="minorHAnsi"/>
        </w:rPr>
        <w:t>5.</w:t>
      </w:r>
    </w:p>
  </w:footnote>
  <w:footnote w:id="191">
    <w:p w14:paraId="2FDC80AB" w14:textId="7FBAD462" w:rsidR="00300666" w:rsidRPr="002130C0" w:rsidRDefault="00300666"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3E5A45" w:rsidRPr="002130C0">
        <w:rPr>
          <w:rFonts w:cstheme="minorHAnsi"/>
        </w:rPr>
        <w:t>Equality Framework Directive (n</w:t>
      </w:r>
      <w:r w:rsidR="006240B8">
        <w:rPr>
          <w:rFonts w:cstheme="minorHAnsi"/>
        </w:rPr>
        <w:t>8</w:t>
      </w:r>
      <w:r w:rsidR="003E5A45" w:rsidRPr="002130C0">
        <w:rPr>
          <w:rFonts w:cstheme="minorHAnsi"/>
        </w:rPr>
        <w:t>)</w:t>
      </w:r>
      <w:r w:rsidR="0019660A">
        <w:rPr>
          <w:rFonts w:cstheme="minorHAnsi"/>
        </w:rPr>
        <w:t>,</w:t>
      </w:r>
      <w:r w:rsidR="003E5A45" w:rsidRPr="002130C0">
        <w:rPr>
          <w:rFonts w:cstheme="minorHAnsi"/>
        </w:rPr>
        <w:t xml:space="preserve"> </w:t>
      </w:r>
      <w:r w:rsidR="002273F1" w:rsidRPr="002130C0">
        <w:rPr>
          <w:rFonts w:cstheme="minorHAnsi"/>
        </w:rPr>
        <w:t>a</w:t>
      </w:r>
      <w:r w:rsidR="003E5A45" w:rsidRPr="002130C0">
        <w:rPr>
          <w:rFonts w:cstheme="minorHAnsi"/>
        </w:rPr>
        <w:t>rt</w:t>
      </w:r>
      <w:r w:rsidR="00AF264E" w:rsidRPr="002130C0">
        <w:rPr>
          <w:rFonts w:cstheme="minorHAnsi"/>
        </w:rPr>
        <w:t xml:space="preserve">s </w:t>
      </w:r>
      <w:r w:rsidRPr="002130C0">
        <w:rPr>
          <w:rFonts w:cstheme="minorHAnsi"/>
        </w:rPr>
        <w:t>4</w:t>
      </w:r>
      <w:r w:rsidR="0019660A">
        <w:rPr>
          <w:rFonts w:cstheme="minorHAnsi"/>
        </w:rPr>
        <w:t>-</w:t>
      </w:r>
      <w:r w:rsidRPr="002130C0">
        <w:rPr>
          <w:rFonts w:cstheme="minorHAnsi"/>
        </w:rPr>
        <w:t xml:space="preserve">7. </w:t>
      </w:r>
    </w:p>
  </w:footnote>
  <w:footnote w:id="192">
    <w:p w14:paraId="3891D5BB" w14:textId="31250D8F" w:rsidR="00E12B85" w:rsidRPr="002130C0" w:rsidRDefault="00E12B85"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European Commission, </w:t>
      </w:r>
      <w:r w:rsidR="00705C69" w:rsidRPr="002130C0">
        <w:rPr>
          <w:rFonts w:cstheme="minorHAnsi"/>
        </w:rPr>
        <w:t>‘</w:t>
      </w:r>
      <w:r w:rsidRPr="002130C0">
        <w:rPr>
          <w:rFonts w:cstheme="minorHAnsi"/>
        </w:rPr>
        <w:t>Proposal for a Council Directive on implementing the principle of equal treatment between persons irrespective of religion or belief, disability, age or sexual orientation</w:t>
      </w:r>
      <w:r w:rsidR="00705C69" w:rsidRPr="002130C0">
        <w:rPr>
          <w:rFonts w:cstheme="minorHAnsi"/>
        </w:rPr>
        <w:t>’</w:t>
      </w:r>
      <w:r w:rsidR="00D86B34">
        <w:rPr>
          <w:rFonts w:cstheme="minorHAnsi"/>
        </w:rPr>
        <w:t>,</w:t>
      </w:r>
      <w:r w:rsidR="00705C69" w:rsidRPr="002130C0">
        <w:rPr>
          <w:rFonts w:cstheme="minorHAnsi"/>
        </w:rPr>
        <w:t xml:space="preserve"> </w:t>
      </w:r>
      <w:proofErr w:type="gramStart"/>
      <w:r w:rsidRPr="002130C0">
        <w:rPr>
          <w:rFonts w:cstheme="minorHAnsi"/>
        </w:rPr>
        <w:t>COM(</w:t>
      </w:r>
      <w:proofErr w:type="gramEnd"/>
      <w:r w:rsidRPr="002130C0">
        <w:rPr>
          <w:rFonts w:cstheme="minorHAnsi"/>
        </w:rPr>
        <w:t>2008) 426</w:t>
      </w:r>
      <w:r w:rsidR="00D86B34">
        <w:rPr>
          <w:rFonts w:cstheme="minorHAnsi"/>
        </w:rPr>
        <w:t xml:space="preserve"> (</w:t>
      </w:r>
      <w:r w:rsidRPr="002130C0">
        <w:rPr>
          <w:rFonts w:cstheme="minorHAnsi"/>
        </w:rPr>
        <w:t>2 July 2008</w:t>
      </w:r>
      <w:r w:rsidR="00D86B34">
        <w:rPr>
          <w:rFonts w:cstheme="minorHAnsi"/>
        </w:rPr>
        <w:t>)</w:t>
      </w:r>
      <w:r w:rsidRPr="002130C0">
        <w:rPr>
          <w:rFonts w:cstheme="minorHAnsi"/>
        </w:rPr>
        <w:t>.</w:t>
      </w:r>
    </w:p>
  </w:footnote>
  <w:footnote w:id="193">
    <w:p w14:paraId="489E9A8B" w14:textId="2E8EB170" w:rsidR="003363C0" w:rsidRPr="002130C0" w:rsidRDefault="003363C0" w:rsidP="00CB68B8">
      <w:pPr>
        <w:pStyle w:val="FootnoteText"/>
        <w:rPr>
          <w:rFonts w:cstheme="minorHAnsi"/>
          <w:color w:val="000000"/>
        </w:rPr>
      </w:pPr>
      <w:r w:rsidRPr="002130C0">
        <w:rPr>
          <w:rStyle w:val="FootnoteReference"/>
          <w:rFonts w:cstheme="minorHAnsi"/>
        </w:rPr>
        <w:footnoteRef/>
      </w:r>
      <w:r w:rsidRPr="002130C0">
        <w:rPr>
          <w:rFonts w:cstheme="minorHAnsi"/>
        </w:rPr>
        <w:t xml:space="preserve"> </w:t>
      </w:r>
      <w:r w:rsidRPr="002130C0">
        <w:rPr>
          <w:rFonts w:cstheme="minorHAnsi"/>
          <w:i/>
          <w:iCs/>
          <w:color w:val="000000"/>
        </w:rPr>
        <w:t xml:space="preserve">Garland v British Rail Engineering Ltd </w:t>
      </w:r>
      <w:r w:rsidR="00D86B34">
        <w:rPr>
          <w:rFonts w:cstheme="minorHAnsi"/>
          <w:color w:val="000000"/>
        </w:rPr>
        <w:t>(</w:t>
      </w:r>
      <w:r w:rsidRPr="002130C0">
        <w:rPr>
          <w:rFonts w:cstheme="minorHAnsi"/>
          <w:color w:val="000000"/>
        </w:rPr>
        <w:t>Case 12/81</w:t>
      </w:r>
      <w:r w:rsidR="00D86B34">
        <w:rPr>
          <w:rFonts w:cstheme="minorHAnsi"/>
          <w:color w:val="000000"/>
        </w:rPr>
        <w:t>)</w:t>
      </w:r>
      <w:r w:rsidRPr="002130C0">
        <w:rPr>
          <w:rFonts w:cstheme="minorHAnsi"/>
          <w:color w:val="000000"/>
        </w:rPr>
        <w:t>.</w:t>
      </w:r>
    </w:p>
  </w:footnote>
  <w:footnote w:id="194">
    <w:p w14:paraId="079B94D6" w14:textId="501CE5EC" w:rsidR="003363C0" w:rsidRPr="002130C0" w:rsidRDefault="003363C0" w:rsidP="00CB68B8">
      <w:pPr>
        <w:pStyle w:val="FootnoteText"/>
        <w:rPr>
          <w:rFonts w:cstheme="minorHAnsi"/>
          <w:color w:val="000000"/>
          <w:lang w:val="de-DE"/>
        </w:rPr>
      </w:pPr>
      <w:r w:rsidRPr="002130C0">
        <w:rPr>
          <w:rStyle w:val="FootnoteReference"/>
          <w:rFonts w:cstheme="minorHAnsi"/>
        </w:rPr>
        <w:footnoteRef/>
      </w:r>
      <w:r w:rsidRPr="002130C0">
        <w:rPr>
          <w:rFonts w:cstheme="minorHAnsi"/>
          <w:lang w:val="de-DE"/>
        </w:rPr>
        <w:t xml:space="preserve"> </w:t>
      </w:r>
      <w:r w:rsidRPr="002130C0">
        <w:rPr>
          <w:rFonts w:cstheme="minorHAnsi"/>
          <w:i/>
          <w:iCs/>
          <w:color w:val="000000"/>
          <w:lang w:val="de-DE"/>
        </w:rPr>
        <w:t>Kowalska v Freie und Hansestadt Hamburg</w:t>
      </w:r>
      <w:r w:rsidRPr="002130C0">
        <w:rPr>
          <w:rFonts w:cstheme="minorHAnsi"/>
          <w:color w:val="000000"/>
          <w:lang w:val="de-DE"/>
        </w:rPr>
        <w:t xml:space="preserve"> </w:t>
      </w:r>
      <w:r w:rsidR="00D86B34">
        <w:rPr>
          <w:rFonts w:cstheme="minorHAnsi"/>
          <w:color w:val="000000"/>
          <w:lang w:val="de-DE"/>
        </w:rPr>
        <w:t>(</w:t>
      </w:r>
      <w:r w:rsidRPr="002130C0">
        <w:rPr>
          <w:rFonts w:cstheme="minorHAnsi"/>
          <w:color w:val="000000"/>
          <w:lang w:val="de-DE"/>
        </w:rPr>
        <w:t>Case 33/89</w:t>
      </w:r>
      <w:r w:rsidR="00D86B34">
        <w:rPr>
          <w:rFonts w:cstheme="minorHAnsi"/>
          <w:color w:val="000000"/>
          <w:lang w:val="de-DE"/>
        </w:rPr>
        <w:t>)</w:t>
      </w:r>
      <w:r w:rsidRPr="002130C0">
        <w:rPr>
          <w:rFonts w:cstheme="minorHAnsi"/>
          <w:color w:val="000000"/>
          <w:lang w:val="de-DE"/>
        </w:rPr>
        <w:t>.</w:t>
      </w:r>
    </w:p>
  </w:footnote>
  <w:footnote w:id="195">
    <w:p w14:paraId="76A998BA" w14:textId="3B665781" w:rsidR="003363C0" w:rsidRPr="002130C0" w:rsidRDefault="003363C0" w:rsidP="00CB68B8">
      <w:pPr>
        <w:pStyle w:val="NormalWeb"/>
        <w:spacing w:before="0" w:beforeAutospacing="0" w:after="0" w:afterAutospacing="0"/>
        <w:rPr>
          <w:rFonts w:asciiTheme="minorHAnsi" w:hAnsiTheme="minorHAnsi" w:cstheme="minorHAnsi"/>
          <w:color w:val="000000"/>
          <w:sz w:val="20"/>
          <w:szCs w:val="20"/>
          <w:lang w:val="de-DE"/>
        </w:rPr>
      </w:pPr>
      <w:r w:rsidRPr="002130C0">
        <w:rPr>
          <w:rStyle w:val="FootnoteReference"/>
          <w:rFonts w:asciiTheme="minorHAnsi" w:hAnsiTheme="minorHAnsi" w:cstheme="minorHAnsi"/>
          <w:sz w:val="20"/>
          <w:szCs w:val="20"/>
        </w:rPr>
        <w:footnoteRef/>
      </w:r>
      <w:r w:rsidRPr="002130C0">
        <w:rPr>
          <w:rFonts w:asciiTheme="minorHAnsi" w:hAnsiTheme="minorHAnsi" w:cstheme="minorHAnsi"/>
          <w:sz w:val="20"/>
          <w:szCs w:val="20"/>
          <w:lang w:val="de-DE"/>
        </w:rPr>
        <w:t xml:space="preserve"> </w:t>
      </w:r>
      <w:r w:rsidRPr="002130C0">
        <w:rPr>
          <w:rFonts w:asciiTheme="minorHAnsi" w:hAnsiTheme="minorHAnsi" w:cstheme="minorHAnsi"/>
          <w:i/>
          <w:iCs/>
          <w:color w:val="000000"/>
          <w:sz w:val="20"/>
          <w:szCs w:val="20"/>
          <w:lang w:val="de-DE"/>
        </w:rPr>
        <w:t>Bilka-Kaufhaus GmbH v Karin Weber von Hartz</w:t>
      </w:r>
      <w:r w:rsidRPr="002130C0">
        <w:rPr>
          <w:rFonts w:asciiTheme="minorHAnsi" w:hAnsiTheme="minorHAnsi" w:cstheme="minorHAnsi"/>
          <w:color w:val="000000"/>
          <w:sz w:val="20"/>
          <w:szCs w:val="20"/>
          <w:lang w:val="de-DE"/>
        </w:rPr>
        <w:t xml:space="preserve"> </w:t>
      </w:r>
      <w:r w:rsidR="00D86B34">
        <w:rPr>
          <w:rFonts w:asciiTheme="minorHAnsi" w:hAnsiTheme="minorHAnsi" w:cstheme="minorHAnsi"/>
          <w:color w:val="000000"/>
          <w:sz w:val="20"/>
          <w:szCs w:val="20"/>
          <w:lang w:val="de-DE"/>
        </w:rPr>
        <w:t>(</w:t>
      </w:r>
      <w:r w:rsidRPr="002130C0">
        <w:rPr>
          <w:rFonts w:asciiTheme="minorHAnsi" w:hAnsiTheme="minorHAnsi" w:cstheme="minorHAnsi"/>
          <w:color w:val="000000"/>
          <w:sz w:val="20"/>
          <w:szCs w:val="20"/>
          <w:lang w:val="de-DE"/>
        </w:rPr>
        <w:t>Case 170/84</w:t>
      </w:r>
      <w:r w:rsidR="00D86B34">
        <w:rPr>
          <w:rFonts w:asciiTheme="minorHAnsi" w:hAnsiTheme="minorHAnsi" w:cstheme="minorHAnsi"/>
          <w:color w:val="000000"/>
          <w:sz w:val="20"/>
          <w:szCs w:val="20"/>
          <w:lang w:val="de-DE"/>
        </w:rPr>
        <w:t>)</w:t>
      </w:r>
      <w:r w:rsidRPr="002130C0">
        <w:rPr>
          <w:rFonts w:asciiTheme="minorHAnsi" w:hAnsiTheme="minorHAnsi" w:cstheme="minorHAnsi"/>
          <w:color w:val="000000"/>
          <w:sz w:val="20"/>
          <w:szCs w:val="20"/>
          <w:lang w:val="de-DE"/>
        </w:rPr>
        <w:t>.</w:t>
      </w:r>
    </w:p>
  </w:footnote>
  <w:footnote w:id="196">
    <w:p w14:paraId="0394F5E0" w14:textId="577B4D7A" w:rsidR="00300666" w:rsidRPr="002130C0" w:rsidRDefault="00300666" w:rsidP="00CB68B8">
      <w:pPr>
        <w:tabs>
          <w:tab w:val="left" w:pos="720"/>
        </w:tabs>
        <w:autoSpaceDN w:val="0"/>
        <w:spacing w:after="0" w:line="240" w:lineRule="auto"/>
        <w:contextualSpacing/>
        <w:rPr>
          <w:rFonts w:eastAsia="Calibri" w:cstheme="minorHAnsi"/>
          <w:sz w:val="20"/>
          <w:szCs w:val="20"/>
        </w:rPr>
      </w:pPr>
      <w:r w:rsidRPr="002130C0">
        <w:rPr>
          <w:rStyle w:val="FootnoteReference"/>
          <w:rFonts w:cstheme="minorHAnsi"/>
          <w:sz w:val="20"/>
          <w:szCs w:val="20"/>
        </w:rPr>
        <w:footnoteRef/>
      </w:r>
      <w:r w:rsidRPr="002130C0">
        <w:rPr>
          <w:rFonts w:cstheme="minorHAnsi"/>
          <w:sz w:val="20"/>
          <w:szCs w:val="20"/>
        </w:rPr>
        <w:t xml:space="preserve"> </w:t>
      </w:r>
      <w:r w:rsidRPr="002130C0">
        <w:rPr>
          <w:rFonts w:cstheme="minorHAnsi"/>
          <w:i/>
          <w:iCs/>
          <w:sz w:val="20"/>
          <w:szCs w:val="20"/>
        </w:rPr>
        <w:t>Maruko</w:t>
      </w:r>
      <w:r w:rsidRPr="002130C0">
        <w:rPr>
          <w:rFonts w:cstheme="minorHAnsi"/>
          <w:sz w:val="20"/>
          <w:szCs w:val="20"/>
        </w:rPr>
        <w:t xml:space="preserve"> </w:t>
      </w:r>
      <w:r w:rsidR="00D86B34">
        <w:rPr>
          <w:rFonts w:cstheme="minorHAnsi"/>
          <w:sz w:val="20"/>
          <w:szCs w:val="20"/>
        </w:rPr>
        <w:t>(</w:t>
      </w:r>
      <w:r w:rsidRPr="002130C0">
        <w:rPr>
          <w:rFonts w:cstheme="minorHAnsi"/>
          <w:sz w:val="20"/>
          <w:szCs w:val="20"/>
        </w:rPr>
        <w:t>Case 267/06</w:t>
      </w:r>
      <w:r w:rsidR="00D86B34">
        <w:rPr>
          <w:rFonts w:cstheme="minorHAnsi"/>
          <w:sz w:val="20"/>
          <w:szCs w:val="20"/>
        </w:rPr>
        <w:t>)</w:t>
      </w:r>
      <w:r w:rsidRPr="002130C0">
        <w:rPr>
          <w:rFonts w:cstheme="minorHAnsi"/>
          <w:sz w:val="20"/>
          <w:szCs w:val="20"/>
        </w:rPr>
        <w:t xml:space="preserve">.  </w:t>
      </w:r>
    </w:p>
  </w:footnote>
  <w:footnote w:id="197">
    <w:p w14:paraId="7DCE02A8" w14:textId="30581504" w:rsidR="009C3692" w:rsidRPr="002130C0" w:rsidRDefault="009C3692" w:rsidP="00CB68B8">
      <w:pPr>
        <w:pStyle w:val="FootnoteText"/>
        <w:rPr>
          <w:rFonts w:cstheme="minorHAnsi"/>
          <w:lang w:val="en-US"/>
        </w:rPr>
      </w:pPr>
      <w:r w:rsidRPr="00806033">
        <w:rPr>
          <w:rStyle w:val="FootnoteReference"/>
          <w:rFonts w:cstheme="minorHAnsi"/>
        </w:rPr>
        <w:footnoteRef/>
      </w:r>
      <w:r w:rsidRPr="00806033">
        <w:rPr>
          <w:rFonts w:cstheme="minorHAnsi"/>
        </w:rPr>
        <w:t xml:space="preserve"> </w:t>
      </w:r>
      <w:r w:rsidRPr="00806033">
        <w:rPr>
          <w:rFonts w:cstheme="minorHAnsi"/>
          <w:lang w:val="en-US"/>
        </w:rPr>
        <w:t xml:space="preserve">See further </w:t>
      </w:r>
      <w:r w:rsidR="00806033" w:rsidRPr="00806033">
        <w:rPr>
          <w:rFonts w:cstheme="minorHAnsi"/>
          <w:lang w:val="en-US"/>
        </w:rPr>
        <w:t>n106.</w:t>
      </w:r>
    </w:p>
  </w:footnote>
  <w:footnote w:id="198">
    <w:p w14:paraId="301B034E" w14:textId="77777777" w:rsidR="00300666" w:rsidRPr="002130C0" w:rsidRDefault="00300666" w:rsidP="00CB68B8">
      <w:pPr>
        <w:pStyle w:val="FootnoteText"/>
        <w:rPr>
          <w:rFonts w:cstheme="minorHAnsi"/>
          <w:i/>
          <w:iCs/>
        </w:rPr>
      </w:pPr>
      <w:r w:rsidRPr="002130C0">
        <w:rPr>
          <w:rStyle w:val="FootnoteReference"/>
          <w:rFonts w:cstheme="minorHAnsi"/>
        </w:rPr>
        <w:footnoteRef/>
      </w:r>
      <w:r w:rsidRPr="002130C0">
        <w:rPr>
          <w:rFonts w:cstheme="minorHAnsi"/>
        </w:rPr>
        <w:t xml:space="preserve"> Ibid</w:t>
      </w:r>
      <w:r w:rsidRPr="002130C0">
        <w:rPr>
          <w:rFonts w:cstheme="minorHAnsi"/>
          <w:i/>
          <w:iCs/>
        </w:rPr>
        <w:t>.</w:t>
      </w:r>
    </w:p>
  </w:footnote>
  <w:footnote w:id="199">
    <w:p w14:paraId="080E5F18" w14:textId="1E266D0D" w:rsidR="004219ED" w:rsidRPr="002130C0" w:rsidRDefault="004219ED" w:rsidP="00865467">
      <w:pPr>
        <w:pStyle w:val="NormalWeb"/>
        <w:spacing w:before="0" w:beforeAutospacing="0" w:after="0" w:afterAutospacing="0"/>
        <w:rPr>
          <w:rFonts w:asciiTheme="minorHAnsi" w:hAnsiTheme="minorHAnsi" w:cstheme="minorHAnsi"/>
          <w:color w:val="000000"/>
          <w:sz w:val="20"/>
          <w:szCs w:val="20"/>
        </w:rPr>
      </w:pPr>
      <w:r w:rsidRPr="002130C0">
        <w:rPr>
          <w:rStyle w:val="FootnoteReference"/>
          <w:rFonts w:asciiTheme="minorHAnsi" w:hAnsiTheme="minorHAnsi" w:cstheme="minorHAnsi"/>
          <w:sz w:val="20"/>
          <w:szCs w:val="20"/>
        </w:rPr>
        <w:footnoteRef/>
      </w:r>
      <w:r w:rsidR="00461686" w:rsidRPr="002130C0">
        <w:rPr>
          <w:rFonts w:asciiTheme="minorHAnsi" w:hAnsiTheme="minorHAnsi" w:cstheme="minorHAnsi"/>
          <w:color w:val="000000"/>
          <w:sz w:val="20"/>
          <w:szCs w:val="20"/>
        </w:rPr>
        <w:t xml:space="preserve"> When considering what is ‘pay’ within the concept of Article 157, </w:t>
      </w:r>
      <w:r w:rsidR="006E3B85" w:rsidRPr="002130C0">
        <w:rPr>
          <w:rFonts w:asciiTheme="minorHAnsi" w:hAnsiTheme="minorHAnsi" w:cstheme="minorHAnsi"/>
          <w:color w:val="000000"/>
          <w:sz w:val="20"/>
          <w:szCs w:val="20"/>
        </w:rPr>
        <w:t xml:space="preserve">whilst </w:t>
      </w:r>
      <w:r w:rsidR="0001398A" w:rsidRPr="002130C0">
        <w:rPr>
          <w:rFonts w:asciiTheme="minorHAnsi" w:hAnsiTheme="minorHAnsi" w:cstheme="minorHAnsi"/>
          <w:color w:val="000000"/>
          <w:sz w:val="20"/>
          <w:szCs w:val="20"/>
        </w:rPr>
        <w:t>employe</w:t>
      </w:r>
      <w:r w:rsidR="00105F25">
        <w:rPr>
          <w:rFonts w:asciiTheme="minorHAnsi" w:hAnsiTheme="minorHAnsi" w:cstheme="minorHAnsi"/>
          <w:color w:val="000000"/>
          <w:sz w:val="20"/>
          <w:szCs w:val="20"/>
        </w:rPr>
        <w:t>e</w:t>
      </w:r>
      <w:r w:rsidR="0001398A" w:rsidRPr="002130C0">
        <w:rPr>
          <w:rFonts w:asciiTheme="minorHAnsi" w:hAnsiTheme="minorHAnsi" w:cstheme="minorHAnsi"/>
          <w:color w:val="000000"/>
          <w:sz w:val="20"/>
          <w:szCs w:val="20"/>
        </w:rPr>
        <w:t xml:space="preserve"> benefits such as </w:t>
      </w:r>
      <w:r w:rsidR="006E3B85" w:rsidRPr="002130C0">
        <w:rPr>
          <w:rFonts w:asciiTheme="minorHAnsi" w:hAnsiTheme="minorHAnsi" w:cstheme="minorHAnsi"/>
          <w:color w:val="000000"/>
          <w:sz w:val="20"/>
          <w:szCs w:val="20"/>
        </w:rPr>
        <w:t xml:space="preserve">occupational pension schemes </w:t>
      </w:r>
      <w:r w:rsidR="00135440" w:rsidRPr="002130C0">
        <w:rPr>
          <w:rFonts w:asciiTheme="minorHAnsi" w:hAnsiTheme="minorHAnsi" w:cstheme="minorHAnsi"/>
          <w:color w:val="000000"/>
          <w:sz w:val="20"/>
          <w:szCs w:val="20"/>
        </w:rPr>
        <w:t xml:space="preserve">(through the employer) </w:t>
      </w:r>
      <w:r w:rsidR="006E3B85" w:rsidRPr="002130C0">
        <w:rPr>
          <w:rFonts w:asciiTheme="minorHAnsi" w:hAnsiTheme="minorHAnsi" w:cstheme="minorHAnsi"/>
          <w:color w:val="000000"/>
          <w:sz w:val="20"/>
          <w:szCs w:val="20"/>
        </w:rPr>
        <w:t>are included</w:t>
      </w:r>
      <w:r w:rsidR="00135440" w:rsidRPr="002130C0">
        <w:rPr>
          <w:rFonts w:asciiTheme="minorHAnsi" w:hAnsiTheme="minorHAnsi" w:cstheme="minorHAnsi"/>
          <w:color w:val="000000"/>
          <w:sz w:val="20"/>
          <w:szCs w:val="20"/>
        </w:rPr>
        <w:t>, state pension schemes are not</w:t>
      </w:r>
      <w:r w:rsidR="00105F25">
        <w:rPr>
          <w:rFonts w:asciiTheme="minorHAnsi" w:hAnsiTheme="minorHAnsi" w:cstheme="minorHAnsi"/>
          <w:color w:val="000000"/>
          <w:sz w:val="20"/>
          <w:szCs w:val="20"/>
        </w:rPr>
        <w:t>:</w:t>
      </w:r>
      <w:r w:rsidR="001D4D2A">
        <w:rPr>
          <w:rFonts w:asciiTheme="minorHAnsi" w:hAnsiTheme="minorHAnsi" w:cstheme="minorHAnsi"/>
          <w:color w:val="000000"/>
          <w:sz w:val="20"/>
          <w:szCs w:val="20"/>
        </w:rPr>
        <w:t xml:space="preserve"> see </w:t>
      </w:r>
      <w:r w:rsidR="006C419C" w:rsidRPr="002130C0">
        <w:rPr>
          <w:rFonts w:asciiTheme="minorHAnsi" w:hAnsiTheme="minorHAnsi" w:cstheme="minorHAnsi"/>
          <w:i/>
          <w:iCs/>
          <w:color w:val="000000"/>
          <w:sz w:val="20"/>
          <w:szCs w:val="20"/>
        </w:rPr>
        <w:t>Bilka-</w:t>
      </w:r>
      <w:proofErr w:type="spellStart"/>
      <w:r w:rsidR="006C419C" w:rsidRPr="002130C0">
        <w:rPr>
          <w:rFonts w:asciiTheme="minorHAnsi" w:hAnsiTheme="minorHAnsi" w:cstheme="minorHAnsi"/>
          <w:i/>
          <w:iCs/>
          <w:color w:val="000000"/>
          <w:sz w:val="20"/>
          <w:szCs w:val="20"/>
        </w:rPr>
        <w:t>Kaufhaus</w:t>
      </w:r>
      <w:proofErr w:type="spellEnd"/>
      <w:r w:rsidR="006C419C" w:rsidRPr="002130C0">
        <w:rPr>
          <w:rFonts w:asciiTheme="minorHAnsi" w:hAnsiTheme="minorHAnsi" w:cstheme="minorHAnsi"/>
          <w:i/>
          <w:iCs/>
          <w:color w:val="000000"/>
          <w:sz w:val="20"/>
          <w:szCs w:val="20"/>
        </w:rPr>
        <w:t xml:space="preserve"> GmbH</w:t>
      </w:r>
      <w:r w:rsidR="006C419C" w:rsidRPr="002130C0">
        <w:rPr>
          <w:rFonts w:asciiTheme="minorHAnsi" w:hAnsiTheme="minorHAnsi" w:cstheme="minorHAnsi"/>
          <w:color w:val="000000"/>
          <w:sz w:val="20"/>
          <w:szCs w:val="20"/>
        </w:rPr>
        <w:t xml:space="preserve"> </w:t>
      </w:r>
      <w:r w:rsidR="00D07BFE">
        <w:rPr>
          <w:rFonts w:asciiTheme="minorHAnsi" w:hAnsiTheme="minorHAnsi" w:cstheme="minorHAnsi"/>
          <w:color w:val="000000"/>
          <w:sz w:val="20"/>
          <w:szCs w:val="20"/>
        </w:rPr>
        <w:t>(</w:t>
      </w:r>
      <w:r w:rsidR="001D4D2A">
        <w:rPr>
          <w:rFonts w:asciiTheme="minorHAnsi" w:hAnsiTheme="minorHAnsi" w:cstheme="minorHAnsi"/>
          <w:color w:val="000000"/>
          <w:sz w:val="20"/>
          <w:szCs w:val="20"/>
        </w:rPr>
        <w:t>n194</w:t>
      </w:r>
      <w:r w:rsidR="00D07BFE">
        <w:rPr>
          <w:rFonts w:asciiTheme="minorHAnsi" w:hAnsiTheme="minorHAnsi" w:cstheme="minorHAnsi"/>
          <w:color w:val="000000"/>
          <w:sz w:val="20"/>
          <w:szCs w:val="20"/>
        </w:rPr>
        <w:t>)</w:t>
      </w:r>
      <w:r w:rsidR="001D4D2A">
        <w:rPr>
          <w:rFonts w:asciiTheme="minorHAnsi" w:hAnsiTheme="minorHAnsi" w:cstheme="minorHAnsi"/>
          <w:color w:val="000000"/>
          <w:sz w:val="20"/>
          <w:szCs w:val="20"/>
        </w:rPr>
        <w:t xml:space="preserve"> </w:t>
      </w:r>
      <w:r w:rsidR="006C419C" w:rsidRPr="002130C0">
        <w:rPr>
          <w:rFonts w:asciiTheme="minorHAnsi" w:hAnsiTheme="minorHAnsi" w:cstheme="minorHAnsi"/>
          <w:color w:val="000000"/>
          <w:sz w:val="20"/>
          <w:szCs w:val="20"/>
        </w:rPr>
        <w:t xml:space="preserve">and </w:t>
      </w:r>
      <w:r w:rsidR="006C419C" w:rsidRPr="002130C0">
        <w:rPr>
          <w:rFonts w:asciiTheme="minorHAnsi" w:hAnsiTheme="minorHAnsi" w:cstheme="minorHAnsi"/>
          <w:i/>
          <w:iCs/>
          <w:color w:val="000000"/>
          <w:sz w:val="20"/>
          <w:szCs w:val="20"/>
        </w:rPr>
        <w:t xml:space="preserve">Barber v Guardian </w:t>
      </w:r>
      <w:r w:rsidR="00105F25">
        <w:rPr>
          <w:rFonts w:asciiTheme="minorHAnsi" w:hAnsiTheme="minorHAnsi" w:cstheme="minorHAnsi"/>
          <w:i/>
          <w:iCs/>
          <w:color w:val="000000"/>
          <w:sz w:val="20"/>
          <w:szCs w:val="20"/>
        </w:rPr>
        <w:t>R</w:t>
      </w:r>
      <w:r w:rsidR="006C419C" w:rsidRPr="002130C0">
        <w:rPr>
          <w:rFonts w:asciiTheme="minorHAnsi" w:hAnsiTheme="minorHAnsi" w:cstheme="minorHAnsi"/>
          <w:i/>
          <w:iCs/>
          <w:color w:val="000000"/>
          <w:sz w:val="20"/>
          <w:szCs w:val="20"/>
        </w:rPr>
        <w:t>oyal Exchange Assurance Group</w:t>
      </w:r>
      <w:r w:rsidR="006C419C" w:rsidRPr="002130C0">
        <w:rPr>
          <w:rFonts w:asciiTheme="minorHAnsi" w:hAnsiTheme="minorHAnsi" w:cstheme="minorHAnsi"/>
          <w:color w:val="000000"/>
          <w:sz w:val="20"/>
          <w:szCs w:val="20"/>
        </w:rPr>
        <w:t xml:space="preserve"> [1990</w:t>
      </w:r>
      <w:r w:rsidR="00864EA6" w:rsidRPr="002130C0">
        <w:rPr>
          <w:rFonts w:asciiTheme="minorHAnsi" w:hAnsiTheme="minorHAnsi" w:cstheme="minorHAnsi"/>
          <w:color w:val="000000"/>
          <w:sz w:val="20"/>
          <w:szCs w:val="20"/>
        </w:rPr>
        <w:t>]</w:t>
      </w:r>
      <w:r w:rsidR="006C419C" w:rsidRPr="002130C0">
        <w:rPr>
          <w:rFonts w:asciiTheme="minorHAnsi" w:hAnsiTheme="minorHAnsi" w:cstheme="minorHAnsi"/>
          <w:color w:val="000000"/>
          <w:sz w:val="20"/>
          <w:szCs w:val="20"/>
        </w:rPr>
        <w:t xml:space="preserve"> ECR 1889</w:t>
      </w:r>
      <w:r w:rsidR="00864EA6" w:rsidRPr="002130C0">
        <w:rPr>
          <w:rFonts w:asciiTheme="minorHAnsi" w:hAnsiTheme="minorHAnsi" w:cstheme="minorHAnsi"/>
          <w:color w:val="000000"/>
          <w:sz w:val="20"/>
          <w:szCs w:val="20"/>
        </w:rPr>
        <w:t xml:space="preserve">. </w:t>
      </w:r>
    </w:p>
  </w:footnote>
  <w:footnote w:id="200">
    <w:p w14:paraId="0F0AC90B" w14:textId="77777777" w:rsidR="006D55C4" w:rsidRPr="002130C0" w:rsidRDefault="006D55C4" w:rsidP="00CB68B8">
      <w:pPr>
        <w:pStyle w:val="FootnoteText"/>
        <w:rPr>
          <w:rFonts w:cstheme="minorHAnsi"/>
        </w:rPr>
      </w:pPr>
      <w:r w:rsidRPr="002130C0">
        <w:rPr>
          <w:rStyle w:val="FootnoteReference"/>
          <w:rFonts w:cstheme="minorHAnsi"/>
        </w:rPr>
        <w:footnoteRef/>
      </w:r>
      <w:r w:rsidRPr="002130C0">
        <w:rPr>
          <w:rFonts w:cstheme="minorHAnsi"/>
        </w:rPr>
        <w:t xml:space="preserve"> Ibid.</w:t>
      </w:r>
    </w:p>
  </w:footnote>
  <w:footnote w:id="201">
    <w:p w14:paraId="4817E406" w14:textId="1369CACF" w:rsidR="009E6BAE" w:rsidRPr="002130C0" w:rsidRDefault="006D55C4"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804482" w:rsidRPr="002130C0">
        <w:rPr>
          <w:rFonts w:cstheme="minorHAnsi"/>
        </w:rPr>
        <w:t xml:space="preserve">See </w:t>
      </w:r>
      <w:r w:rsidRPr="002130C0">
        <w:rPr>
          <w:rFonts w:cstheme="minorHAnsi"/>
        </w:rPr>
        <w:t xml:space="preserve">EU </w:t>
      </w:r>
      <w:proofErr w:type="gramStart"/>
      <w:r w:rsidRPr="002130C0">
        <w:rPr>
          <w:rFonts w:cstheme="minorHAnsi"/>
        </w:rPr>
        <w:t>Commission,  ‘</w:t>
      </w:r>
      <w:proofErr w:type="gramEnd"/>
      <w:r w:rsidRPr="002130C0">
        <w:rPr>
          <w:rFonts w:cstheme="minorHAnsi"/>
        </w:rPr>
        <w:t xml:space="preserve">LGBTIQ </w:t>
      </w:r>
      <w:r w:rsidR="00105F25">
        <w:rPr>
          <w:rFonts w:cstheme="minorHAnsi"/>
        </w:rPr>
        <w:t>E</w:t>
      </w:r>
      <w:r w:rsidRPr="002130C0">
        <w:rPr>
          <w:rFonts w:cstheme="minorHAnsi"/>
        </w:rPr>
        <w:t xml:space="preserve">quality </w:t>
      </w:r>
      <w:r w:rsidR="00105F25">
        <w:rPr>
          <w:rFonts w:cstheme="minorHAnsi"/>
        </w:rPr>
        <w:t>S</w:t>
      </w:r>
      <w:r w:rsidRPr="002130C0">
        <w:rPr>
          <w:rFonts w:cstheme="minorHAnsi"/>
        </w:rPr>
        <w:t xml:space="preserve">trategy 2020-2025’ </w:t>
      </w:r>
      <w:r w:rsidRPr="00554507">
        <w:rPr>
          <w:rFonts w:cstheme="minorHAnsi"/>
        </w:rPr>
        <w:t>(</w:t>
      </w:r>
      <w:r w:rsidR="00980D65" w:rsidRPr="00554507">
        <w:rPr>
          <w:rFonts w:cstheme="minorHAnsi"/>
        </w:rPr>
        <w:t>n</w:t>
      </w:r>
      <w:r w:rsidR="00554507" w:rsidRPr="00554507">
        <w:rPr>
          <w:rFonts w:cstheme="minorHAnsi"/>
        </w:rPr>
        <w:t>47</w:t>
      </w:r>
      <w:r w:rsidR="00980D65" w:rsidRPr="00554507">
        <w:rPr>
          <w:rFonts w:cstheme="minorHAnsi"/>
        </w:rPr>
        <w:t>).</w:t>
      </w:r>
      <w:r w:rsidR="00980D65" w:rsidRPr="002130C0">
        <w:rPr>
          <w:rFonts w:cstheme="minorHAnsi"/>
        </w:rPr>
        <w:t xml:space="preserve"> </w:t>
      </w:r>
    </w:p>
  </w:footnote>
  <w:footnote w:id="202">
    <w:p w14:paraId="35B6CA86" w14:textId="41E47261" w:rsidR="00C516A4" w:rsidRPr="002130C0" w:rsidRDefault="00C516A4" w:rsidP="00CB68B8">
      <w:pPr>
        <w:pStyle w:val="FootnoteText"/>
        <w:rPr>
          <w:rFonts w:cstheme="minorHAnsi"/>
          <w:color w:val="0000FF"/>
          <w:u w:val="single"/>
        </w:rPr>
      </w:pPr>
      <w:r w:rsidRPr="002130C0">
        <w:rPr>
          <w:rStyle w:val="FootnoteReference"/>
          <w:rFonts w:cstheme="minorHAnsi"/>
        </w:rPr>
        <w:footnoteRef/>
      </w:r>
      <w:r w:rsidRPr="002130C0">
        <w:rPr>
          <w:rFonts w:cstheme="minorHAnsi"/>
        </w:rPr>
        <w:t xml:space="preserve"> See</w:t>
      </w:r>
      <w:r w:rsidR="00105F25">
        <w:rPr>
          <w:rFonts w:cstheme="minorHAnsi"/>
        </w:rPr>
        <w:t>,</w:t>
      </w:r>
      <w:r w:rsidRPr="002130C0">
        <w:rPr>
          <w:rFonts w:cstheme="minorHAnsi"/>
        </w:rPr>
        <w:t xml:space="preserve"> for instance</w:t>
      </w:r>
      <w:r w:rsidR="00105F25">
        <w:rPr>
          <w:rFonts w:cstheme="minorHAnsi"/>
        </w:rPr>
        <w:t>,</w:t>
      </w:r>
      <w:r w:rsidRPr="002130C0">
        <w:rPr>
          <w:rFonts w:cstheme="minorHAnsi"/>
        </w:rPr>
        <w:t xml:space="preserve"> European Commission (2023)</w:t>
      </w:r>
      <w:r w:rsidRPr="002130C0">
        <w:rPr>
          <w:rFonts w:cstheme="minorHAnsi"/>
          <w:color w:val="0000FF"/>
          <w:u w:val="single"/>
        </w:rPr>
        <w:t xml:space="preserve"> Progress Report on the implementation of the LGBTIQ Equality Strategy 2020-2025 (europa.eu). </w:t>
      </w:r>
    </w:p>
  </w:footnote>
  <w:footnote w:id="203">
    <w:p w14:paraId="7DBD9288" w14:textId="7404C7AE" w:rsidR="00F377F5" w:rsidRPr="002130C0" w:rsidRDefault="00F377F5"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9A5666" w:rsidRPr="002130C0">
        <w:rPr>
          <w:rFonts w:cstheme="minorHAnsi"/>
        </w:rPr>
        <w:t>European Commission Factsheet</w:t>
      </w:r>
      <w:r w:rsidR="00D5405A">
        <w:rPr>
          <w:rFonts w:cstheme="minorHAnsi"/>
        </w:rPr>
        <w:t xml:space="preserve"> (2020-2025)</w:t>
      </w:r>
      <w:r w:rsidR="00105F25">
        <w:rPr>
          <w:rFonts w:cstheme="minorHAnsi"/>
        </w:rPr>
        <w:t>,</w:t>
      </w:r>
      <w:r w:rsidR="00D5405A">
        <w:rPr>
          <w:rFonts w:cstheme="minorHAnsi"/>
        </w:rPr>
        <w:t xml:space="preserve"> available at</w:t>
      </w:r>
      <w:r w:rsidR="009A5666" w:rsidRPr="002130C0">
        <w:rPr>
          <w:rFonts w:cstheme="minorHAnsi"/>
        </w:rPr>
        <w:t xml:space="preserve"> </w:t>
      </w:r>
      <w:hyperlink r:id="rId29" w:history="1">
        <w:r w:rsidRPr="002130C0">
          <w:rPr>
            <w:rStyle w:val="Hyperlink"/>
            <w:rFonts w:cstheme="minorHAnsi"/>
          </w:rPr>
          <w:t>lgbtiq_factsheet_2020-2025_en.pdf (europa.eu)</w:t>
        </w:r>
      </w:hyperlink>
    </w:p>
  </w:footnote>
  <w:footnote w:id="204">
    <w:p w14:paraId="38569D67" w14:textId="0E7BBFC7" w:rsidR="00A34DE3" w:rsidRPr="00105F25" w:rsidRDefault="00A34DE3"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105F25">
        <w:rPr>
          <w:rFonts w:cstheme="minorHAnsi"/>
          <w:lang w:val="en-US"/>
        </w:rPr>
        <w:t>Ibid.</w:t>
      </w:r>
    </w:p>
  </w:footnote>
  <w:footnote w:id="205">
    <w:p w14:paraId="0FBEEC66" w14:textId="067DD41F" w:rsidR="00451D34" w:rsidRPr="002130C0" w:rsidRDefault="00451D34"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Pr="002130C0">
        <w:rPr>
          <w:rFonts w:cstheme="minorHAnsi"/>
          <w:lang w:val="en-US"/>
        </w:rPr>
        <w:t>As further explained in the Introduction. See n</w:t>
      </w:r>
      <w:r w:rsidR="00105F25">
        <w:rPr>
          <w:rFonts w:cstheme="minorHAnsi"/>
          <w:lang w:val="en-US"/>
        </w:rPr>
        <w:t>n</w:t>
      </w:r>
      <w:r w:rsidR="00A86B34">
        <w:rPr>
          <w:rFonts w:cstheme="minorHAnsi"/>
          <w:lang w:val="en-US"/>
        </w:rPr>
        <w:t>45-46</w:t>
      </w:r>
      <w:r w:rsidRPr="002130C0">
        <w:rPr>
          <w:rFonts w:cstheme="minorHAnsi"/>
          <w:lang w:val="en-US"/>
        </w:rPr>
        <w:t xml:space="preserve">. </w:t>
      </w:r>
    </w:p>
  </w:footnote>
  <w:footnote w:id="206">
    <w:p w14:paraId="1D96158E" w14:textId="51D9F443" w:rsidR="00125339" w:rsidRPr="002130C0" w:rsidRDefault="00125339"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640ED1">
        <w:rPr>
          <w:rFonts w:cstheme="minorHAnsi"/>
        </w:rPr>
        <w:t xml:space="preserve">For example, </w:t>
      </w:r>
      <w:r w:rsidRPr="002130C0">
        <w:rPr>
          <w:rFonts w:cstheme="minorHAnsi"/>
        </w:rPr>
        <w:t xml:space="preserve">European Commission, </w:t>
      </w:r>
      <w:r w:rsidR="00A86B34">
        <w:rPr>
          <w:rFonts w:cstheme="minorHAnsi"/>
        </w:rPr>
        <w:t>‘</w:t>
      </w:r>
      <w:r w:rsidRPr="002130C0">
        <w:rPr>
          <w:rFonts w:cstheme="minorHAnsi"/>
        </w:rPr>
        <w:t>On the implementation of the LGBTIQ Equality Strategy 2020-2025</w:t>
      </w:r>
      <w:r w:rsidR="00A86B34">
        <w:rPr>
          <w:rFonts w:cstheme="minorHAnsi"/>
        </w:rPr>
        <w:t>’</w:t>
      </w:r>
      <w:r w:rsidRPr="002130C0">
        <w:rPr>
          <w:rFonts w:cstheme="minorHAnsi"/>
        </w:rPr>
        <w:t xml:space="preserve"> – Progress report </w:t>
      </w:r>
      <w:r w:rsidR="00105F25">
        <w:rPr>
          <w:rFonts w:cstheme="minorHAnsi"/>
        </w:rPr>
        <w:t>(</w:t>
      </w:r>
      <w:r w:rsidRPr="002130C0">
        <w:rPr>
          <w:rFonts w:cstheme="minorHAnsi"/>
        </w:rPr>
        <w:t>12 April 2023</w:t>
      </w:r>
      <w:r w:rsidR="00105F25">
        <w:rPr>
          <w:rFonts w:cstheme="minorHAnsi"/>
        </w:rPr>
        <w:t>)</w:t>
      </w:r>
      <w:r w:rsidR="00640ED1">
        <w:rPr>
          <w:rFonts w:cstheme="minorHAnsi"/>
        </w:rPr>
        <w:t>.</w:t>
      </w:r>
    </w:p>
  </w:footnote>
  <w:footnote w:id="207">
    <w:p w14:paraId="54F18743" w14:textId="3DE35FB7" w:rsidR="00316258" w:rsidRPr="002130C0" w:rsidRDefault="00316258"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640ED1">
        <w:rPr>
          <w:rFonts w:cstheme="minorHAnsi"/>
        </w:rPr>
        <w:t xml:space="preserve">For example, </w:t>
      </w:r>
      <w:r w:rsidRPr="002130C0">
        <w:rPr>
          <w:rFonts w:cstheme="minorHAnsi"/>
        </w:rPr>
        <w:t>European Parliamentary Research Service</w:t>
      </w:r>
      <w:r w:rsidR="00FB7A9C">
        <w:rPr>
          <w:rFonts w:cstheme="minorHAnsi"/>
        </w:rPr>
        <w:t>,</w:t>
      </w:r>
      <w:r w:rsidRPr="002130C0">
        <w:rPr>
          <w:rFonts w:cstheme="minorHAnsi"/>
        </w:rPr>
        <w:t xml:space="preserve"> </w:t>
      </w:r>
      <w:r w:rsidR="00640ED1">
        <w:rPr>
          <w:rFonts w:cstheme="minorHAnsi"/>
        </w:rPr>
        <w:t>‘</w:t>
      </w:r>
      <w:r w:rsidR="007157A7" w:rsidRPr="002130C0">
        <w:rPr>
          <w:rFonts w:cstheme="minorHAnsi"/>
        </w:rPr>
        <w:t xml:space="preserve">The 2020-2025 </w:t>
      </w:r>
      <w:r w:rsidR="006D16A1" w:rsidRPr="002130C0">
        <w:rPr>
          <w:rFonts w:cstheme="minorHAnsi"/>
        </w:rPr>
        <w:t>LGBTIQ Equality Strategy</w:t>
      </w:r>
      <w:r w:rsidR="00FB7A9C">
        <w:rPr>
          <w:rFonts w:cstheme="minorHAnsi"/>
        </w:rPr>
        <w:t>:</w:t>
      </w:r>
      <w:r w:rsidR="006D16A1" w:rsidRPr="002130C0">
        <w:rPr>
          <w:rFonts w:cstheme="minorHAnsi"/>
        </w:rPr>
        <w:t xml:space="preserve"> Implementation Overview</w:t>
      </w:r>
      <w:r w:rsidR="00640ED1">
        <w:rPr>
          <w:rFonts w:cstheme="minorHAnsi"/>
        </w:rPr>
        <w:t>’</w:t>
      </w:r>
      <w:r w:rsidR="005D21EB">
        <w:rPr>
          <w:rFonts w:cstheme="minorHAnsi"/>
        </w:rPr>
        <w:t xml:space="preserve"> </w:t>
      </w:r>
      <w:r w:rsidR="0061672A">
        <w:rPr>
          <w:rFonts w:cstheme="minorHAnsi"/>
        </w:rPr>
        <w:t>(</w:t>
      </w:r>
      <w:r w:rsidRPr="002130C0">
        <w:rPr>
          <w:rFonts w:cstheme="minorHAnsi"/>
        </w:rPr>
        <w:t>2023</w:t>
      </w:r>
      <w:r w:rsidR="0061672A">
        <w:rPr>
          <w:rFonts w:cstheme="minorHAnsi"/>
        </w:rPr>
        <w:t>)</w:t>
      </w:r>
      <w:r w:rsidR="00D41175">
        <w:rPr>
          <w:rFonts w:cstheme="minorHAnsi"/>
        </w:rPr>
        <w:t xml:space="preserve">, available at </w:t>
      </w:r>
      <w:hyperlink r:id="rId30" w:history="1">
        <w:r w:rsidR="00FB7A9C" w:rsidRPr="00FB7A9C">
          <w:rPr>
            <w:rStyle w:val="Hyperlink"/>
            <w:rFonts w:cstheme="minorHAnsi"/>
          </w:rPr>
          <w:t>The 2020-2025 LGBTIQ equality strategy</w:t>
        </w:r>
      </w:hyperlink>
      <w:r w:rsidR="00FB7A9C">
        <w:rPr>
          <w:rFonts w:cstheme="minorHAnsi"/>
        </w:rPr>
        <w:t>.</w:t>
      </w:r>
    </w:p>
  </w:footnote>
  <w:footnote w:id="208">
    <w:p w14:paraId="35E8FBC6" w14:textId="46EFEE2C" w:rsidR="00D65916" w:rsidRPr="002130C0" w:rsidRDefault="00D65916"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61672A">
        <w:rPr>
          <w:rFonts w:cstheme="minorHAnsi"/>
        </w:rPr>
        <w:t xml:space="preserve">See </w:t>
      </w:r>
      <w:r w:rsidR="00C14E4E">
        <w:rPr>
          <w:rFonts w:cstheme="minorHAnsi"/>
        </w:rPr>
        <w:t>n71</w:t>
      </w:r>
      <w:r w:rsidR="00AE720E">
        <w:rPr>
          <w:rFonts w:cstheme="minorHAnsi"/>
        </w:rPr>
        <w:t>.</w:t>
      </w:r>
    </w:p>
  </w:footnote>
  <w:footnote w:id="209">
    <w:p w14:paraId="327987BC" w14:textId="69E0D8AA" w:rsidR="009313E0" w:rsidRPr="002130C0" w:rsidRDefault="009313E0"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proofErr w:type="spellStart"/>
      <w:r w:rsidRPr="002130C0">
        <w:rPr>
          <w:rFonts w:cstheme="minorHAnsi"/>
          <w:lang w:val="en-US"/>
        </w:rPr>
        <w:t>Askola</w:t>
      </w:r>
      <w:proofErr w:type="spellEnd"/>
      <w:r w:rsidRPr="002130C0">
        <w:rPr>
          <w:rFonts w:cstheme="minorHAnsi"/>
          <w:lang w:val="en-US"/>
        </w:rPr>
        <w:t xml:space="preserve"> (n</w:t>
      </w:r>
      <w:r w:rsidR="00205B83">
        <w:rPr>
          <w:rFonts w:cstheme="minorHAnsi"/>
          <w:lang w:val="en-US"/>
        </w:rPr>
        <w:t>31</w:t>
      </w:r>
      <w:r w:rsidRPr="002130C0">
        <w:rPr>
          <w:rFonts w:cstheme="minorHAnsi"/>
          <w:lang w:val="en-US"/>
        </w:rPr>
        <w:t>), 342.</w:t>
      </w:r>
    </w:p>
  </w:footnote>
  <w:footnote w:id="210">
    <w:p w14:paraId="2B61C925" w14:textId="365ACB2A" w:rsidR="008A3153" w:rsidRPr="00865467" w:rsidRDefault="008A3153" w:rsidP="00CB68B8">
      <w:pPr>
        <w:pStyle w:val="FootnoteText"/>
        <w:rPr>
          <w:rFonts w:cstheme="minorHAnsi"/>
        </w:rPr>
      </w:pPr>
      <w:r w:rsidRPr="002130C0">
        <w:rPr>
          <w:rStyle w:val="FootnoteReference"/>
          <w:rFonts w:cstheme="minorHAnsi"/>
        </w:rPr>
        <w:footnoteRef/>
      </w:r>
      <w:r w:rsidRPr="00865467">
        <w:rPr>
          <w:rFonts w:cstheme="minorHAnsi"/>
        </w:rPr>
        <w:t xml:space="preserve"> </w:t>
      </w:r>
      <w:r w:rsidRPr="00865467">
        <w:rPr>
          <w:rFonts w:cstheme="minorHAnsi"/>
          <w:i/>
          <w:iCs/>
        </w:rPr>
        <w:t>Coman</w:t>
      </w:r>
      <w:r w:rsidRPr="00865467">
        <w:rPr>
          <w:rFonts w:cstheme="minorHAnsi"/>
        </w:rPr>
        <w:t xml:space="preserve"> (n1</w:t>
      </w:r>
      <w:r w:rsidR="00EB5A22">
        <w:rPr>
          <w:rFonts w:cstheme="minorHAnsi"/>
        </w:rPr>
        <w:t>25</w:t>
      </w:r>
      <w:r w:rsidRPr="00865467">
        <w:rPr>
          <w:rFonts w:cstheme="minorHAnsi"/>
        </w:rPr>
        <w:t>).</w:t>
      </w:r>
    </w:p>
  </w:footnote>
  <w:footnote w:id="211">
    <w:p w14:paraId="616E5C6B" w14:textId="523DAEFB" w:rsidR="008A3153" w:rsidRPr="00865467" w:rsidRDefault="008A3153" w:rsidP="00CB68B8">
      <w:pPr>
        <w:pStyle w:val="FootnoteText"/>
        <w:rPr>
          <w:rFonts w:cstheme="minorHAnsi"/>
        </w:rPr>
      </w:pPr>
      <w:r w:rsidRPr="002130C0">
        <w:rPr>
          <w:rStyle w:val="FootnoteReference"/>
          <w:rFonts w:cstheme="minorHAnsi"/>
        </w:rPr>
        <w:footnoteRef/>
      </w:r>
      <w:r w:rsidRPr="00865467">
        <w:rPr>
          <w:rFonts w:cstheme="minorHAnsi"/>
        </w:rPr>
        <w:t xml:space="preserve"> Baby Sara </w:t>
      </w:r>
      <w:r w:rsidR="00AE720E">
        <w:rPr>
          <w:rFonts w:cstheme="minorHAnsi"/>
        </w:rPr>
        <w:t>case</w:t>
      </w:r>
      <w:r w:rsidRPr="00865467">
        <w:rPr>
          <w:rFonts w:cstheme="minorHAnsi"/>
        </w:rPr>
        <w:t xml:space="preserve"> (n1</w:t>
      </w:r>
      <w:r w:rsidR="00E254F2">
        <w:rPr>
          <w:rFonts w:cstheme="minorHAnsi"/>
        </w:rPr>
        <w:t>51</w:t>
      </w:r>
      <w:r w:rsidRPr="00865467">
        <w:rPr>
          <w:rFonts w:cstheme="minorHAnsi"/>
        </w:rPr>
        <w:t>).</w:t>
      </w:r>
    </w:p>
  </w:footnote>
  <w:footnote w:id="212">
    <w:p w14:paraId="69EFBA97" w14:textId="7AB155F9" w:rsidR="00215B16" w:rsidRPr="002130C0" w:rsidRDefault="00215B16"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Pr="002130C0">
        <w:rPr>
          <w:rFonts w:cstheme="minorHAnsi"/>
          <w:color w:val="333333"/>
        </w:rPr>
        <w:t>See</w:t>
      </w:r>
      <w:r w:rsidR="00AE720E">
        <w:rPr>
          <w:rFonts w:cstheme="minorHAnsi"/>
          <w:color w:val="333333"/>
        </w:rPr>
        <w:t>,</w:t>
      </w:r>
      <w:r w:rsidRPr="002130C0">
        <w:rPr>
          <w:rFonts w:cstheme="minorHAnsi"/>
          <w:color w:val="333333"/>
        </w:rPr>
        <w:t xml:space="preserve"> for example</w:t>
      </w:r>
      <w:r w:rsidR="00AE720E">
        <w:rPr>
          <w:rFonts w:cstheme="minorHAnsi"/>
          <w:color w:val="333333"/>
        </w:rPr>
        <w:t>,</w:t>
      </w:r>
      <w:r w:rsidRPr="002130C0">
        <w:rPr>
          <w:rFonts w:cstheme="minorHAnsi"/>
          <w:color w:val="333333"/>
        </w:rPr>
        <w:t xml:space="preserve"> European Commission</w:t>
      </w:r>
      <w:r w:rsidR="00CE21C7">
        <w:rPr>
          <w:rFonts w:cstheme="minorHAnsi"/>
          <w:color w:val="333333"/>
        </w:rPr>
        <w:t>,</w:t>
      </w:r>
      <w:r w:rsidRPr="002130C0">
        <w:rPr>
          <w:rFonts w:cstheme="minorHAnsi"/>
          <w:color w:val="333333"/>
        </w:rPr>
        <w:t xml:space="preserve"> ‘Recognition of Parenthood between Member States’ </w:t>
      </w:r>
      <w:r w:rsidR="00CE21C7">
        <w:rPr>
          <w:rFonts w:cstheme="minorHAnsi"/>
          <w:color w:val="333333"/>
        </w:rPr>
        <w:t>(</w:t>
      </w:r>
      <w:r w:rsidRPr="002130C0">
        <w:rPr>
          <w:rFonts w:cstheme="minorHAnsi"/>
          <w:color w:val="333333"/>
        </w:rPr>
        <w:t>2022</w:t>
      </w:r>
      <w:r w:rsidR="00CE21C7">
        <w:rPr>
          <w:rFonts w:cstheme="minorHAnsi"/>
          <w:color w:val="333333"/>
        </w:rPr>
        <w:t>),</w:t>
      </w:r>
      <w:r w:rsidRPr="002130C0">
        <w:rPr>
          <w:rFonts w:cstheme="minorHAnsi"/>
          <w:color w:val="333333"/>
        </w:rPr>
        <w:t xml:space="preserve"> available at </w:t>
      </w:r>
      <w:hyperlink r:id="rId31" w:history="1">
        <w:r w:rsidRPr="002130C0">
          <w:rPr>
            <w:rFonts w:cstheme="minorHAnsi"/>
            <w:color w:val="0000FF"/>
            <w:u w:val="single"/>
          </w:rPr>
          <w:t>Recognition of parenthood between Member States - European Commission (europa.eu)</w:t>
        </w:r>
      </w:hyperlink>
    </w:p>
  </w:footnote>
  <w:footnote w:id="213">
    <w:p w14:paraId="48D04527" w14:textId="6BCF08A2" w:rsidR="0033431F" w:rsidRPr="002130C0" w:rsidRDefault="0033431F"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7D3F6F" w:rsidRPr="002130C0">
        <w:rPr>
          <w:rFonts w:cstheme="minorHAnsi"/>
        </w:rPr>
        <w:t>See n</w:t>
      </w:r>
      <w:r w:rsidR="005E535F">
        <w:rPr>
          <w:rFonts w:cstheme="minorHAnsi"/>
        </w:rPr>
        <w:t>106</w:t>
      </w:r>
      <w:r w:rsidR="007D3F6F" w:rsidRPr="002130C0">
        <w:rPr>
          <w:rFonts w:cstheme="minorHAnsi"/>
        </w:rPr>
        <w:t>.</w:t>
      </w:r>
    </w:p>
  </w:footnote>
  <w:footnote w:id="214">
    <w:p w14:paraId="02AC60C6" w14:textId="719E580C" w:rsidR="006B0B2C" w:rsidRPr="002130C0" w:rsidRDefault="006B0B2C" w:rsidP="00865467">
      <w:pPr>
        <w:pStyle w:val="active"/>
        <w:shd w:val="clear" w:color="auto" w:fill="FFFFFF"/>
        <w:spacing w:before="0" w:beforeAutospacing="0" w:after="0" w:afterAutospacing="0"/>
        <w:rPr>
          <w:rFonts w:asciiTheme="minorHAnsi" w:hAnsiTheme="minorHAnsi" w:cstheme="minorHAnsi"/>
          <w:color w:val="515560"/>
          <w:sz w:val="20"/>
          <w:szCs w:val="20"/>
        </w:rPr>
      </w:pPr>
      <w:r w:rsidRPr="002130C0">
        <w:rPr>
          <w:rStyle w:val="FootnoteReference"/>
          <w:rFonts w:asciiTheme="minorHAnsi" w:hAnsiTheme="minorHAnsi" w:cstheme="minorHAnsi"/>
          <w:sz w:val="20"/>
          <w:szCs w:val="20"/>
        </w:rPr>
        <w:footnoteRef/>
      </w:r>
      <w:r w:rsidR="004033F3" w:rsidRPr="002130C0">
        <w:rPr>
          <w:rFonts w:asciiTheme="minorHAnsi" w:hAnsiTheme="minorHAnsi" w:cstheme="minorHAnsi"/>
          <w:sz w:val="20"/>
          <w:szCs w:val="20"/>
        </w:rPr>
        <w:t xml:space="preserve"> Subsidiarity is the principle laid down in the Treaty on European Union</w:t>
      </w:r>
      <w:r w:rsidR="00910E58">
        <w:rPr>
          <w:rFonts w:asciiTheme="minorHAnsi" w:hAnsiTheme="minorHAnsi" w:cstheme="minorHAnsi"/>
          <w:sz w:val="20"/>
          <w:szCs w:val="20"/>
        </w:rPr>
        <w:t>. A</w:t>
      </w:r>
      <w:r w:rsidR="004033F3" w:rsidRPr="002130C0">
        <w:rPr>
          <w:rFonts w:asciiTheme="minorHAnsi" w:hAnsiTheme="minorHAnsi" w:cstheme="minorHAnsi"/>
          <w:sz w:val="20"/>
          <w:szCs w:val="20"/>
        </w:rPr>
        <w:t xml:space="preserve"> briefing from the European Parliament, ‘European Parliamentary Briefing Sheet’ </w:t>
      </w:r>
      <w:r w:rsidR="00910E58">
        <w:rPr>
          <w:rFonts w:asciiTheme="minorHAnsi" w:hAnsiTheme="minorHAnsi" w:cstheme="minorHAnsi"/>
          <w:sz w:val="20"/>
          <w:szCs w:val="20"/>
        </w:rPr>
        <w:t>(</w:t>
      </w:r>
      <w:r w:rsidR="004033F3" w:rsidRPr="002130C0">
        <w:rPr>
          <w:rFonts w:asciiTheme="minorHAnsi" w:hAnsiTheme="minorHAnsi" w:cstheme="minorHAnsi"/>
          <w:sz w:val="20"/>
          <w:szCs w:val="20"/>
        </w:rPr>
        <w:t>2024</w:t>
      </w:r>
      <w:r w:rsidR="00910E58">
        <w:rPr>
          <w:rFonts w:asciiTheme="minorHAnsi" w:hAnsiTheme="minorHAnsi" w:cstheme="minorHAnsi"/>
          <w:sz w:val="20"/>
          <w:szCs w:val="20"/>
        </w:rPr>
        <w:t>),</w:t>
      </w:r>
      <w:r w:rsidR="004E5B14">
        <w:rPr>
          <w:rFonts w:asciiTheme="minorHAnsi" w:hAnsiTheme="minorHAnsi" w:cstheme="minorHAnsi"/>
          <w:sz w:val="20"/>
          <w:szCs w:val="20"/>
        </w:rPr>
        <w:t xml:space="preserve"> available at</w:t>
      </w:r>
      <w:r w:rsidR="004033F3" w:rsidRPr="002130C0">
        <w:rPr>
          <w:rFonts w:asciiTheme="minorHAnsi" w:hAnsiTheme="minorHAnsi" w:cstheme="minorHAnsi"/>
          <w:sz w:val="20"/>
          <w:szCs w:val="20"/>
        </w:rPr>
        <w:t xml:space="preserve"> </w:t>
      </w:r>
      <w:hyperlink r:id="rId32" w:anchor=":~:text=In%20areas%20in%20which%20the%20EU%20does%20not,the%20scale%20and%20effects%20of%20the%20proposed%20action%E2%80%99." w:history="1">
        <w:r w:rsidR="004033F3" w:rsidRPr="002130C0">
          <w:rPr>
            <w:rFonts w:asciiTheme="minorHAnsi" w:hAnsiTheme="minorHAnsi" w:cstheme="minorHAnsi"/>
            <w:sz w:val="20"/>
            <w:szCs w:val="20"/>
            <w:u w:val="single"/>
          </w:rPr>
          <w:t>The principle of subsidiarity (europa.eu)</w:t>
        </w:r>
      </w:hyperlink>
      <w:r w:rsidR="00910E58">
        <w:rPr>
          <w:rFonts w:asciiTheme="minorHAnsi" w:hAnsiTheme="minorHAnsi" w:cstheme="minorHAnsi"/>
          <w:sz w:val="20"/>
          <w:szCs w:val="20"/>
        </w:rPr>
        <w:t xml:space="preserve">, </w:t>
      </w:r>
      <w:r w:rsidR="004033F3" w:rsidRPr="002130C0">
        <w:rPr>
          <w:rFonts w:asciiTheme="minorHAnsi" w:hAnsiTheme="minorHAnsi" w:cstheme="minorHAnsi"/>
          <w:sz w:val="20"/>
          <w:szCs w:val="20"/>
        </w:rPr>
        <w:t>explains that the principle</w:t>
      </w:r>
      <w:r w:rsidRPr="002130C0">
        <w:rPr>
          <w:rFonts w:asciiTheme="minorHAnsi" w:hAnsiTheme="minorHAnsi" w:cstheme="minorHAnsi"/>
          <w:sz w:val="20"/>
          <w:szCs w:val="20"/>
        </w:rPr>
        <w:t xml:space="preserve"> ‘seeks to safeguard the ability of the Member States’ to take action in circumstances where the EU does not have exclusive competence</w:t>
      </w:r>
      <w:r w:rsidR="00910E58">
        <w:rPr>
          <w:rFonts w:asciiTheme="minorHAnsi" w:hAnsiTheme="minorHAnsi" w:cstheme="minorHAnsi"/>
          <w:sz w:val="20"/>
          <w:szCs w:val="20"/>
        </w:rPr>
        <w:t>’</w:t>
      </w:r>
      <w:r w:rsidRPr="002130C0">
        <w:rPr>
          <w:rFonts w:asciiTheme="minorHAnsi" w:hAnsiTheme="minorHAnsi" w:cstheme="minorHAnsi"/>
          <w:sz w:val="20"/>
          <w:szCs w:val="20"/>
        </w:rPr>
        <w:t xml:space="preserve">. The Subsidiarity Protocol (No 2) 12008E/PRO/02 sets out Member States’ role in safeguarding subsidiarity including reviewing proposed legislation coming from the EU. </w:t>
      </w:r>
    </w:p>
  </w:footnote>
  <w:footnote w:id="215">
    <w:p w14:paraId="68AE9D49" w14:textId="5B2868BE" w:rsidR="00EF2322" w:rsidRPr="002130C0" w:rsidRDefault="00EF2322" w:rsidP="00CB68B8">
      <w:pPr>
        <w:pStyle w:val="FootnoteText"/>
        <w:rPr>
          <w:rFonts w:cstheme="minorHAnsi"/>
        </w:rPr>
      </w:pPr>
      <w:r w:rsidRPr="002130C0">
        <w:rPr>
          <w:rStyle w:val="FootnoteReference"/>
          <w:rFonts w:cstheme="minorHAnsi"/>
        </w:rPr>
        <w:footnoteRef/>
      </w:r>
      <w:r w:rsidRPr="002130C0">
        <w:rPr>
          <w:rFonts w:cstheme="minorHAnsi"/>
        </w:rPr>
        <w:t xml:space="preserve"> This is illustrated by Brexit, and by the earlier Constitutional Treaty, which failed following referenda in Denmark and France</w:t>
      </w:r>
      <w:r w:rsidR="00A64D5B">
        <w:rPr>
          <w:rFonts w:cstheme="minorHAnsi"/>
        </w:rPr>
        <w:t>,</w:t>
      </w:r>
      <w:r w:rsidRPr="002130C0">
        <w:rPr>
          <w:rFonts w:cstheme="minorHAnsi"/>
        </w:rPr>
        <w:t xml:space="preserve"> indicat</w:t>
      </w:r>
      <w:r w:rsidR="00A64D5B">
        <w:rPr>
          <w:rFonts w:cstheme="minorHAnsi"/>
        </w:rPr>
        <w:t>ing</w:t>
      </w:r>
      <w:r w:rsidRPr="002130C0">
        <w:rPr>
          <w:rFonts w:cstheme="minorHAnsi"/>
        </w:rPr>
        <w:t xml:space="preserve"> resistance from citizens to the single market</w:t>
      </w:r>
      <w:r w:rsidR="00042D67" w:rsidRPr="002130C0">
        <w:rPr>
          <w:rFonts w:cstheme="minorHAnsi"/>
        </w:rPr>
        <w:t>.</w:t>
      </w:r>
    </w:p>
  </w:footnote>
  <w:footnote w:id="216">
    <w:p w14:paraId="3AB98600" w14:textId="5BFD3124" w:rsidR="00A56D74" w:rsidRPr="002130C0" w:rsidRDefault="00A56D74"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D47E71" w:rsidRPr="002130C0">
        <w:rPr>
          <w:rFonts w:cstheme="minorHAnsi"/>
        </w:rPr>
        <w:t xml:space="preserve">See </w:t>
      </w:r>
      <w:r w:rsidR="00197313">
        <w:rPr>
          <w:rFonts w:cstheme="minorHAnsi"/>
        </w:rPr>
        <w:t>discussion in Introduction.</w:t>
      </w:r>
    </w:p>
  </w:footnote>
  <w:footnote w:id="217">
    <w:p w14:paraId="7A5671F5" w14:textId="3F9DF441" w:rsidR="00A56D74" w:rsidRPr="002130C0" w:rsidRDefault="00A56D74"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Pr="002130C0">
        <w:rPr>
          <w:rFonts w:cstheme="minorHAnsi"/>
        </w:rPr>
        <w:t>Kochenov</w:t>
      </w:r>
      <w:proofErr w:type="spellEnd"/>
      <w:r w:rsidR="0073262C">
        <w:rPr>
          <w:rFonts w:cstheme="minorHAnsi"/>
        </w:rPr>
        <w:t xml:space="preserve"> and </w:t>
      </w:r>
      <w:proofErr w:type="spellStart"/>
      <w:r w:rsidR="0073262C">
        <w:rPr>
          <w:rFonts w:cstheme="minorHAnsi"/>
        </w:rPr>
        <w:t>Belavusau</w:t>
      </w:r>
      <w:proofErr w:type="spellEnd"/>
      <w:r w:rsidRPr="002130C0">
        <w:rPr>
          <w:rFonts w:cstheme="minorHAnsi"/>
        </w:rPr>
        <w:t xml:space="preserve"> (n</w:t>
      </w:r>
      <w:r w:rsidR="00197313">
        <w:rPr>
          <w:rFonts w:cstheme="minorHAnsi"/>
        </w:rPr>
        <w:t>128</w:t>
      </w:r>
      <w:proofErr w:type="gramStart"/>
      <w:r w:rsidRPr="002130C0">
        <w:rPr>
          <w:rFonts w:cstheme="minorHAnsi"/>
        </w:rPr>
        <w:t>) .</w:t>
      </w:r>
      <w:proofErr w:type="gramEnd"/>
    </w:p>
  </w:footnote>
  <w:footnote w:id="218">
    <w:p w14:paraId="28620E3D" w14:textId="5FCE99A5" w:rsidR="002F7D2A" w:rsidRPr="00865467" w:rsidRDefault="002F7D2A" w:rsidP="00CB68B8">
      <w:pPr>
        <w:pStyle w:val="FootnoteText"/>
        <w:rPr>
          <w:rFonts w:cstheme="minorHAnsi"/>
        </w:rPr>
      </w:pPr>
      <w:r w:rsidRPr="002130C0">
        <w:rPr>
          <w:rStyle w:val="FootnoteReference"/>
          <w:rFonts w:cstheme="minorHAnsi"/>
        </w:rPr>
        <w:footnoteRef/>
      </w:r>
      <w:r w:rsidRPr="00865467">
        <w:rPr>
          <w:rFonts w:cstheme="minorHAnsi"/>
        </w:rPr>
        <w:t xml:space="preserve"> </w:t>
      </w:r>
      <w:r w:rsidRPr="00865467">
        <w:rPr>
          <w:rFonts w:cstheme="minorHAnsi"/>
          <w:i/>
          <w:iCs/>
        </w:rPr>
        <w:t>Dano</w:t>
      </w:r>
      <w:r w:rsidRPr="00865467">
        <w:rPr>
          <w:rFonts w:cstheme="minorHAnsi"/>
        </w:rPr>
        <w:t xml:space="preserve"> (n</w:t>
      </w:r>
      <w:r w:rsidR="00197313" w:rsidRPr="00865467">
        <w:rPr>
          <w:rFonts w:cstheme="minorHAnsi"/>
        </w:rPr>
        <w:t>91</w:t>
      </w:r>
      <w:r w:rsidRPr="00865467">
        <w:rPr>
          <w:rFonts w:cstheme="minorHAnsi"/>
        </w:rPr>
        <w:t>).</w:t>
      </w:r>
    </w:p>
  </w:footnote>
  <w:footnote w:id="219">
    <w:p w14:paraId="6E9B5ABB" w14:textId="24C4E162" w:rsidR="00764D92" w:rsidRPr="002130C0" w:rsidRDefault="00764D92" w:rsidP="00CB68B8">
      <w:pPr>
        <w:pStyle w:val="FootnoteText"/>
        <w:rPr>
          <w:rFonts w:cstheme="minorHAnsi"/>
        </w:rPr>
      </w:pPr>
      <w:r w:rsidRPr="002130C0">
        <w:rPr>
          <w:rStyle w:val="FootnoteReference"/>
          <w:rFonts w:cstheme="minorHAnsi"/>
        </w:rPr>
        <w:footnoteRef/>
      </w:r>
      <w:r w:rsidRPr="002130C0">
        <w:rPr>
          <w:rFonts w:cstheme="minorHAnsi"/>
        </w:rPr>
        <w:t xml:space="preserve"> </w:t>
      </w:r>
      <w:proofErr w:type="spellStart"/>
      <w:r w:rsidR="009E5852" w:rsidRPr="002130C0">
        <w:rPr>
          <w:rFonts w:cstheme="minorHAnsi"/>
        </w:rPr>
        <w:t>Askola</w:t>
      </w:r>
      <w:proofErr w:type="spellEnd"/>
      <w:r w:rsidR="009E5852" w:rsidRPr="002130C0">
        <w:rPr>
          <w:rFonts w:cstheme="minorHAnsi"/>
        </w:rPr>
        <w:t xml:space="preserve"> (n</w:t>
      </w:r>
      <w:r w:rsidR="00205B83">
        <w:rPr>
          <w:rFonts w:cstheme="minorHAnsi"/>
        </w:rPr>
        <w:t>31</w:t>
      </w:r>
      <w:r w:rsidR="009E5852" w:rsidRPr="002130C0">
        <w:rPr>
          <w:rFonts w:cstheme="minorHAnsi"/>
        </w:rPr>
        <w:t>)</w:t>
      </w:r>
      <w:r w:rsidR="00D67081">
        <w:rPr>
          <w:rFonts w:cstheme="minorHAnsi"/>
        </w:rPr>
        <w:t>;</w:t>
      </w:r>
      <w:r w:rsidR="009E5852" w:rsidRPr="002130C0">
        <w:rPr>
          <w:rFonts w:cstheme="minorHAnsi"/>
        </w:rPr>
        <w:t xml:space="preserve"> </w:t>
      </w:r>
      <w:r w:rsidR="009E5852" w:rsidRPr="002130C0">
        <w:rPr>
          <w:rFonts w:cstheme="minorHAnsi"/>
          <w:color w:val="000000"/>
        </w:rPr>
        <w:t>Everson</w:t>
      </w:r>
      <w:r w:rsidR="00F318BC" w:rsidRPr="002130C0">
        <w:rPr>
          <w:rFonts w:cstheme="minorHAnsi"/>
          <w:color w:val="000000"/>
        </w:rPr>
        <w:t xml:space="preserve"> (n</w:t>
      </w:r>
      <w:r w:rsidR="002E71B5">
        <w:rPr>
          <w:rFonts w:cstheme="minorHAnsi"/>
          <w:color w:val="000000"/>
        </w:rPr>
        <w:t>68</w:t>
      </w:r>
      <w:r w:rsidR="00F318BC" w:rsidRPr="002130C0">
        <w:rPr>
          <w:rFonts w:cstheme="minorHAnsi"/>
          <w:color w:val="000000"/>
        </w:rPr>
        <w:t>)</w:t>
      </w:r>
      <w:r w:rsidR="00D67081">
        <w:rPr>
          <w:rFonts w:cstheme="minorHAnsi"/>
          <w:color w:val="000000"/>
        </w:rPr>
        <w:t>;</w:t>
      </w:r>
      <w:r w:rsidR="00F318BC" w:rsidRPr="002130C0">
        <w:rPr>
          <w:rFonts w:cstheme="minorHAnsi"/>
          <w:color w:val="000000"/>
        </w:rPr>
        <w:t xml:space="preserve"> Shutes and Walker (n</w:t>
      </w:r>
      <w:r w:rsidR="002E71B5">
        <w:rPr>
          <w:rFonts w:cstheme="minorHAnsi"/>
          <w:color w:val="000000"/>
        </w:rPr>
        <w:t>6</w:t>
      </w:r>
      <w:r w:rsidR="008B3757">
        <w:rPr>
          <w:rFonts w:cstheme="minorHAnsi"/>
          <w:color w:val="000000"/>
        </w:rPr>
        <w:t>9</w:t>
      </w:r>
      <w:r w:rsidR="00F318BC" w:rsidRPr="002130C0">
        <w:rPr>
          <w:rFonts w:cstheme="minorHAnsi"/>
          <w:color w:val="000000"/>
        </w:rPr>
        <w:t xml:space="preserve">). </w:t>
      </w:r>
    </w:p>
  </w:footnote>
  <w:footnote w:id="220">
    <w:p w14:paraId="511C5C1D" w14:textId="491144F2" w:rsidR="0041492C" w:rsidRPr="002130C0" w:rsidRDefault="0041492C"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23412F" w:rsidRPr="002130C0">
        <w:rPr>
          <w:rFonts w:cstheme="minorHAnsi"/>
        </w:rPr>
        <w:t>E</w:t>
      </w:r>
      <w:r w:rsidR="0023412F" w:rsidRPr="002130C0">
        <w:rPr>
          <w:rFonts w:cstheme="minorHAnsi"/>
          <w:color w:val="000000" w:themeColor="text1"/>
        </w:rPr>
        <w:t>U Fundamental Rights Agency (n</w:t>
      </w:r>
      <w:r w:rsidR="00DA6752">
        <w:rPr>
          <w:rFonts w:cstheme="minorHAnsi"/>
          <w:color w:val="000000" w:themeColor="text1"/>
        </w:rPr>
        <w:t>71</w:t>
      </w:r>
      <w:r w:rsidR="0023412F" w:rsidRPr="002130C0">
        <w:rPr>
          <w:rFonts w:cstheme="minorHAnsi"/>
          <w:color w:val="000000" w:themeColor="text1"/>
        </w:rPr>
        <w:t xml:space="preserve">). </w:t>
      </w:r>
    </w:p>
  </w:footnote>
  <w:footnote w:id="221">
    <w:p w14:paraId="43C528A5" w14:textId="07168D32" w:rsidR="00CC7ECF" w:rsidRPr="002130C0" w:rsidRDefault="00CC7ECF" w:rsidP="00CB68B8">
      <w:pPr>
        <w:pStyle w:val="FootnoteText"/>
        <w:rPr>
          <w:rFonts w:cstheme="minorHAnsi"/>
        </w:rPr>
      </w:pPr>
      <w:r w:rsidRPr="002130C0">
        <w:rPr>
          <w:rStyle w:val="FootnoteReference"/>
          <w:rFonts w:cstheme="minorHAnsi"/>
        </w:rPr>
        <w:footnoteRef/>
      </w:r>
      <w:r w:rsidRPr="002130C0">
        <w:rPr>
          <w:rFonts w:cstheme="minorHAnsi"/>
        </w:rPr>
        <w:t xml:space="preserve"> </w:t>
      </w:r>
      <w:r w:rsidR="006B00DF">
        <w:rPr>
          <w:rFonts w:cstheme="minorHAnsi"/>
        </w:rPr>
        <w:t xml:space="preserve">See also Cossman </w:t>
      </w:r>
      <w:r w:rsidR="00EA13FB">
        <w:rPr>
          <w:rFonts w:cstheme="minorHAnsi"/>
        </w:rPr>
        <w:t>(</w:t>
      </w:r>
      <w:r w:rsidR="006B00DF">
        <w:rPr>
          <w:rFonts w:cstheme="minorHAnsi"/>
        </w:rPr>
        <w:t>n50</w:t>
      </w:r>
      <w:r w:rsidR="00EA13FB">
        <w:rPr>
          <w:rFonts w:cstheme="minorHAnsi"/>
        </w:rPr>
        <w:t>)</w:t>
      </w:r>
      <w:r w:rsidR="006B00DF">
        <w:rPr>
          <w:rFonts w:cstheme="minorHAnsi"/>
        </w:rPr>
        <w:t>.</w:t>
      </w:r>
      <w:r w:rsidRPr="002130C0">
        <w:rPr>
          <w:rFonts w:cstheme="minorHAnsi"/>
        </w:rPr>
        <w:t xml:space="preserve"> </w:t>
      </w:r>
    </w:p>
  </w:footnote>
  <w:footnote w:id="222">
    <w:p w14:paraId="6475DFCA" w14:textId="47B078F3" w:rsidR="0088069B" w:rsidRPr="002130C0" w:rsidRDefault="0088069B" w:rsidP="00CB68B8">
      <w:pPr>
        <w:pStyle w:val="FootnoteText"/>
        <w:rPr>
          <w:rFonts w:cstheme="minorHAnsi"/>
          <w:color w:val="0000FF"/>
          <w:u w:val="single"/>
        </w:rPr>
      </w:pPr>
      <w:r w:rsidRPr="002130C0">
        <w:rPr>
          <w:rStyle w:val="FootnoteReference"/>
          <w:rFonts w:cstheme="minorHAnsi"/>
        </w:rPr>
        <w:footnoteRef/>
      </w:r>
      <w:r w:rsidRPr="002130C0">
        <w:rPr>
          <w:rFonts w:cstheme="minorHAnsi"/>
        </w:rPr>
        <w:t xml:space="preserve"> EU </w:t>
      </w:r>
      <w:proofErr w:type="gramStart"/>
      <w:r w:rsidRPr="002130C0">
        <w:rPr>
          <w:rFonts w:cstheme="minorHAnsi"/>
        </w:rPr>
        <w:t>Commission,  ‘</w:t>
      </w:r>
      <w:proofErr w:type="gramEnd"/>
      <w:r w:rsidRPr="002130C0">
        <w:rPr>
          <w:rFonts w:cstheme="minorHAnsi"/>
        </w:rPr>
        <w:t xml:space="preserve">LGBTIQ </w:t>
      </w:r>
      <w:r w:rsidR="00EA13FB">
        <w:rPr>
          <w:rFonts w:cstheme="minorHAnsi"/>
        </w:rPr>
        <w:t>E</w:t>
      </w:r>
      <w:r w:rsidRPr="002130C0">
        <w:rPr>
          <w:rFonts w:cstheme="minorHAnsi"/>
        </w:rPr>
        <w:t xml:space="preserve">quality </w:t>
      </w:r>
      <w:r w:rsidR="00EA13FB">
        <w:rPr>
          <w:rFonts w:cstheme="minorHAnsi"/>
        </w:rPr>
        <w:t>S</w:t>
      </w:r>
      <w:r w:rsidRPr="002130C0">
        <w:rPr>
          <w:rFonts w:cstheme="minorHAnsi"/>
        </w:rPr>
        <w:t xml:space="preserve">trategy 2020-2025’ </w:t>
      </w:r>
      <w:r w:rsidR="001F5D92" w:rsidRPr="002130C0">
        <w:rPr>
          <w:rFonts w:cstheme="minorHAnsi"/>
        </w:rPr>
        <w:t>(n</w:t>
      </w:r>
      <w:r w:rsidR="006C5FD3">
        <w:rPr>
          <w:rFonts w:cstheme="minorHAnsi"/>
        </w:rPr>
        <w:t>47</w:t>
      </w:r>
      <w:r w:rsidR="001F5D92" w:rsidRPr="002130C0">
        <w:rPr>
          <w:rFonts w:cstheme="minorHAnsi"/>
        </w:rPr>
        <w:t xml:space="preserve">). </w:t>
      </w:r>
    </w:p>
  </w:footnote>
  <w:footnote w:id="223">
    <w:p w14:paraId="33A766CA" w14:textId="0D8395E9" w:rsidR="001D5BB2" w:rsidRPr="002130C0" w:rsidRDefault="001D5BB2"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1B0DB8" w:rsidRPr="002130C0">
        <w:rPr>
          <w:rFonts w:cstheme="minorHAnsi"/>
          <w:lang w:val="en-US"/>
        </w:rPr>
        <w:t>See section 6.</w:t>
      </w:r>
    </w:p>
  </w:footnote>
  <w:footnote w:id="224">
    <w:p w14:paraId="601EAAE5" w14:textId="5DCCE581" w:rsidR="004F2998" w:rsidRPr="002130C0" w:rsidRDefault="004F2998"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FA3EFC" w:rsidRPr="002130C0">
        <w:rPr>
          <w:rFonts w:cstheme="minorHAnsi"/>
        </w:rPr>
        <w:t>See n107.</w:t>
      </w:r>
    </w:p>
  </w:footnote>
  <w:footnote w:id="225">
    <w:p w14:paraId="3F24ED60" w14:textId="45EB65AA" w:rsidR="00CA529D" w:rsidRPr="002130C0" w:rsidRDefault="00CA529D"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2B1A40" w:rsidRPr="002130C0">
        <w:rPr>
          <w:rFonts w:cstheme="minorHAnsi"/>
        </w:rPr>
        <w:t xml:space="preserve">See </w:t>
      </w:r>
      <w:r w:rsidR="00B47926">
        <w:rPr>
          <w:rFonts w:cstheme="minorHAnsi"/>
        </w:rPr>
        <w:t>I</w:t>
      </w:r>
      <w:r w:rsidR="002B1A40" w:rsidRPr="002130C0">
        <w:rPr>
          <w:rFonts w:cstheme="minorHAnsi"/>
        </w:rPr>
        <w:t xml:space="preserve">ntroduction and </w:t>
      </w:r>
      <w:proofErr w:type="spellStart"/>
      <w:r w:rsidR="002B1A40" w:rsidRPr="002130C0">
        <w:rPr>
          <w:rFonts w:cstheme="minorHAnsi"/>
        </w:rPr>
        <w:t>n</w:t>
      </w:r>
      <w:r w:rsidR="00B47926">
        <w:rPr>
          <w:rFonts w:cstheme="minorHAnsi"/>
        </w:rPr>
        <w:t>n</w:t>
      </w:r>
      <w:r w:rsidR="002B1A40" w:rsidRPr="002130C0">
        <w:rPr>
          <w:rFonts w:cstheme="minorHAnsi"/>
        </w:rPr>
        <w:t>s</w:t>
      </w:r>
      <w:proofErr w:type="spellEnd"/>
      <w:r w:rsidR="002B1A40" w:rsidRPr="002130C0">
        <w:rPr>
          <w:rFonts w:cstheme="minorHAnsi"/>
        </w:rPr>
        <w:t xml:space="preserve"> </w:t>
      </w:r>
      <w:r w:rsidR="00062E57">
        <w:rPr>
          <w:rFonts w:cstheme="minorHAnsi"/>
        </w:rPr>
        <w:t xml:space="preserve">8-10 </w:t>
      </w:r>
      <w:r w:rsidR="002B1A40" w:rsidRPr="002130C0">
        <w:rPr>
          <w:rFonts w:cstheme="minorHAnsi"/>
        </w:rPr>
        <w:t xml:space="preserve">on the </w:t>
      </w:r>
      <w:proofErr w:type="spellStart"/>
      <w:r w:rsidR="002B1A40" w:rsidRPr="002130C0">
        <w:rPr>
          <w:rFonts w:cstheme="minorHAnsi"/>
        </w:rPr>
        <w:t>non discrimination</w:t>
      </w:r>
      <w:proofErr w:type="spellEnd"/>
      <w:r w:rsidR="002B1A40" w:rsidRPr="002130C0">
        <w:rPr>
          <w:rFonts w:cstheme="minorHAnsi"/>
        </w:rPr>
        <w:t xml:space="preserve"> against lesbian and gay </w:t>
      </w:r>
      <w:r w:rsidR="008E7B70" w:rsidRPr="002130C0">
        <w:rPr>
          <w:rFonts w:cstheme="minorHAnsi"/>
        </w:rPr>
        <w:t xml:space="preserve">legislation passed by the EU. </w:t>
      </w:r>
    </w:p>
  </w:footnote>
  <w:footnote w:id="226">
    <w:p w14:paraId="0FFF894E" w14:textId="2F314AFD" w:rsidR="003755F5" w:rsidRPr="002130C0" w:rsidRDefault="003755F5"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proofErr w:type="spellStart"/>
      <w:proofErr w:type="gramStart"/>
      <w:r w:rsidRPr="002130C0">
        <w:rPr>
          <w:rFonts w:cstheme="minorHAnsi"/>
          <w:lang w:val="en-US"/>
        </w:rPr>
        <w:t>Askola</w:t>
      </w:r>
      <w:proofErr w:type="spellEnd"/>
      <w:r w:rsidRPr="002130C0">
        <w:rPr>
          <w:rFonts w:cstheme="minorHAnsi"/>
          <w:lang w:val="en-US"/>
        </w:rPr>
        <w:t xml:space="preserve">  (</w:t>
      </w:r>
      <w:proofErr w:type="gramEnd"/>
      <w:r w:rsidRPr="002130C0">
        <w:rPr>
          <w:rFonts w:cstheme="minorHAnsi"/>
          <w:lang w:val="en-US"/>
        </w:rPr>
        <w:t>n</w:t>
      </w:r>
      <w:r w:rsidR="00205B83">
        <w:rPr>
          <w:rFonts w:cstheme="minorHAnsi"/>
          <w:lang w:val="en-US"/>
        </w:rPr>
        <w:t>31</w:t>
      </w:r>
      <w:r w:rsidRPr="002130C0">
        <w:rPr>
          <w:rFonts w:cstheme="minorHAnsi"/>
          <w:lang w:val="en-US"/>
        </w:rPr>
        <w:t>), 341.</w:t>
      </w:r>
    </w:p>
  </w:footnote>
  <w:footnote w:id="227">
    <w:p w14:paraId="35347007" w14:textId="640C0456" w:rsidR="0010574B" w:rsidRPr="002130C0" w:rsidRDefault="0010574B" w:rsidP="00CB68B8">
      <w:pPr>
        <w:pStyle w:val="FootnoteText"/>
        <w:rPr>
          <w:rFonts w:cstheme="minorHAnsi"/>
          <w:lang w:val="en-US"/>
        </w:rPr>
      </w:pPr>
      <w:r w:rsidRPr="002130C0">
        <w:rPr>
          <w:rStyle w:val="FootnoteReference"/>
          <w:rFonts w:cstheme="minorHAnsi"/>
        </w:rPr>
        <w:footnoteRef/>
      </w:r>
      <w:r w:rsidRPr="002130C0">
        <w:rPr>
          <w:rFonts w:cstheme="minorHAnsi"/>
        </w:rPr>
        <w:t xml:space="preserve"> </w:t>
      </w:r>
      <w:r w:rsidR="00B45B64" w:rsidRPr="002130C0">
        <w:rPr>
          <w:rFonts w:cstheme="minorHAnsi"/>
          <w:shd w:val="clear" w:color="auto" w:fill="FFFFFF"/>
        </w:rPr>
        <w:t xml:space="preserve">Ursula von der Leyen, President of the European </w:t>
      </w:r>
      <w:r w:rsidR="0098380D">
        <w:rPr>
          <w:rFonts w:cstheme="minorHAnsi"/>
          <w:shd w:val="clear" w:color="auto" w:fill="FFFFFF"/>
        </w:rPr>
        <w:t xml:space="preserve">Commission, </w:t>
      </w:r>
      <w:r w:rsidR="00B45B64" w:rsidRPr="002130C0">
        <w:rPr>
          <w:rFonts w:cstheme="minorHAnsi"/>
          <w:shd w:val="clear" w:color="auto" w:fill="FFFFFF"/>
        </w:rPr>
        <w:t>State of the Union Address</w:t>
      </w:r>
      <w:r w:rsidR="0098380D">
        <w:rPr>
          <w:rFonts w:cstheme="minorHAnsi"/>
          <w:shd w:val="clear" w:color="auto" w:fill="FFFFFF"/>
        </w:rPr>
        <w:t xml:space="preserve"> (2020)</w:t>
      </w:r>
      <w:r w:rsidR="00F927DF">
        <w:rPr>
          <w:rFonts w:cstheme="minorHAnsi"/>
          <w:shd w:val="clear" w:color="auto" w:fill="FFFFFF"/>
        </w:rPr>
        <w:t xml:space="preserve">, available at </w:t>
      </w:r>
      <w:hyperlink r:id="rId33" w:history="1">
        <w:r w:rsidR="00F927DF" w:rsidRPr="00F927DF">
          <w:rPr>
            <w:rStyle w:val="Hyperlink"/>
            <w:rFonts w:cstheme="minorHAnsi"/>
            <w:shd w:val="clear" w:color="auto" w:fill="FFFFFF"/>
          </w:rPr>
          <w:t>State of the Union 2020 - European Commission</w:t>
        </w:r>
      </w:hyperlink>
      <w:r w:rsidR="00E14CCC" w:rsidRPr="002130C0">
        <w:rPr>
          <w:rFonts w:cstheme="minorHAnsi"/>
          <w:shd w:val="clear" w:color="auto" w:fill="FFFFFF"/>
        </w:rPr>
        <w:t>.</w:t>
      </w:r>
    </w:p>
  </w:footnote>
  <w:footnote w:id="228">
    <w:p w14:paraId="13693186" w14:textId="365C72D4" w:rsidR="00024871" w:rsidRPr="00DD431F" w:rsidRDefault="00BB34A9" w:rsidP="00ED274C">
      <w:pPr>
        <w:pStyle w:val="Heading2"/>
        <w:rPr>
          <w:b w:val="0"/>
          <w:bCs w:val="0"/>
          <w:sz w:val="20"/>
          <w:szCs w:val="20"/>
          <w:lang w:eastAsia="en-GB"/>
        </w:rPr>
      </w:pPr>
      <w:r w:rsidRPr="00DD431F">
        <w:rPr>
          <w:rStyle w:val="FootnoteReference"/>
          <w:rFonts w:asciiTheme="minorHAnsi" w:hAnsiTheme="minorHAnsi" w:cstheme="minorHAnsi"/>
          <w:b w:val="0"/>
          <w:bCs w:val="0"/>
          <w:sz w:val="20"/>
          <w:szCs w:val="20"/>
        </w:rPr>
        <w:footnoteRef/>
      </w:r>
      <w:r w:rsidRPr="00DD431F">
        <w:rPr>
          <w:b w:val="0"/>
          <w:bCs w:val="0"/>
          <w:sz w:val="20"/>
          <w:szCs w:val="20"/>
        </w:rPr>
        <w:t xml:space="preserve"> </w:t>
      </w:r>
      <w:proofErr w:type="spellStart"/>
      <w:r w:rsidRPr="00DD431F">
        <w:rPr>
          <w:b w:val="0"/>
          <w:bCs w:val="0"/>
          <w:sz w:val="20"/>
          <w:szCs w:val="20"/>
        </w:rPr>
        <w:t>Scherpe</w:t>
      </w:r>
      <w:proofErr w:type="spellEnd"/>
      <w:r w:rsidRPr="00DD431F">
        <w:rPr>
          <w:b w:val="0"/>
          <w:bCs w:val="0"/>
          <w:sz w:val="20"/>
          <w:szCs w:val="20"/>
        </w:rPr>
        <w:t xml:space="preserve"> </w:t>
      </w:r>
      <w:r w:rsidR="00062E57" w:rsidRPr="00DD431F">
        <w:rPr>
          <w:b w:val="0"/>
          <w:bCs w:val="0"/>
          <w:sz w:val="20"/>
          <w:szCs w:val="20"/>
          <w:lang w:eastAsia="en-GB"/>
        </w:rPr>
        <w:t xml:space="preserve">(n157) at </w:t>
      </w:r>
      <w:r w:rsidR="00CB7581" w:rsidRPr="00DD431F">
        <w:rPr>
          <w:b w:val="0"/>
          <w:bCs w:val="0"/>
          <w:sz w:val="20"/>
          <w:szCs w:val="20"/>
          <w:lang w:eastAsia="en-GB"/>
        </w:rPr>
        <w:t>325.</w:t>
      </w:r>
    </w:p>
    <w:p w14:paraId="56544575" w14:textId="459DA0FE" w:rsidR="00BB34A9" w:rsidRDefault="00BB34A9" w:rsidP="00CB68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34FA" w14:textId="750EC130" w:rsidR="00614B4B" w:rsidRDefault="00F32F86" w:rsidP="00ED274C">
    <w:pPr>
      <w:pStyle w:val="Header"/>
      <w:tabs>
        <w:tab w:val="clear" w:pos="9360"/>
        <w:tab w:val="right" w:pos="9026"/>
      </w:tabs>
    </w:pPr>
    <w:r>
      <w:t>Frances Hamilton</w:t>
    </w:r>
    <w:r>
      <w:tab/>
    </w:r>
    <w:r>
      <w:tab/>
      <w:t>EU Citizenship for Gays and Lesbians</w:t>
    </w:r>
  </w:p>
  <w:p w14:paraId="723050EB" w14:textId="78F638F2" w:rsidR="00FE450A" w:rsidRDefault="00FE450A">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2F89" w14:textId="478F87BC" w:rsidR="00614B4B" w:rsidRDefault="00614B4B" w:rsidP="00614B4B">
    <w:pPr>
      <w:pStyle w:val="Header"/>
      <w:tabs>
        <w:tab w:val="clear" w:pos="9360"/>
        <w:tab w:val="right" w:pos="9026"/>
      </w:tabs>
    </w:pPr>
    <w:proofErr w:type="spellStart"/>
    <w:r>
      <w:rPr>
        <w:i/>
        <w:iCs/>
      </w:rPr>
      <w:t>feminists@law</w:t>
    </w:r>
    <w:proofErr w:type="spellEnd"/>
    <w:r>
      <w:tab/>
    </w:r>
    <w:r>
      <w:tab/>
    </w:r>
    <w:r w:rsidR="00EC49E8">
      <w:t>Vol 1</w:t>
    </w:r>
    <w:r w:rsidR="00EC748C">
      <w:t>4</w:t>
    </w:r>
    <w:r w:rsidR="00EC49E8">
      <w:t xml:space="preserve">, No </w:t>
    </w:r>
    <w:r w:rsidR="00EC748C">
      <w:t>1</w:t>
    </w:r>
    <w:r w:rsidR="00EC49E8">
      <w:t xml:space="preserve"> (2025)</w:t>
    </w:r>
  </w:p>
  <w:p w14:paraId="4EF4D039" w14:textId="198EDEF8" w:rsidR="00EC49E8" w:rsidRPr="00614B4B" w:rsidRDefault="00EC49E8" w:rsidP="00614B4B">
    <w:pPr>
      <w:pStyle w:val="Header"/>
      <w:tabs>
        <w:tab w:val="clear" w:pos="9360"/>
        <w:tab w:val="right" w:pos="9026"/>
      </w:tabs>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182"/>
    <w:multiLevelType w:val="multilevel"/>
    <w:tmpl w:val="BBA8D4E4"/>
    <w:lvl w:ilvl="0">
      <w:numFmt w:val="bullet"/>
      <w:lvlText w:val=""/>
      <w:lvlJc w:val="left"/>
      <w:pPr>
        <w:ind w:left="720" w:hanging="360"/>
      </w:pPr>
      <w:rPr>
        <w:rFonts w:ascii="Wingdings 2" w:hAnsi="Wingdings 2"/>
      </w:rPr>
    </w:lvl>
    <w:lvl w:ilvl="1">
      <w:numFmt w:val="bullet"/>
      <w:lvlText w:val=""/>
      <w:lvlJc w:val="left"/>
      <w:pPr>
        <w:ind w:left="1440" w:hanging="360"/>
      </w:pPr>
      <w:rPr>
        <w:rFonts w:ascii="Wingdings 2" w:hAnsi="Wingdings 2"/>
      </w:rPr>
    </w:lvl>
    <w:lvl w:ilvl="2">
      <w:numFmt w:val="bullet"/>
      <w:lvlText w:val=""/>
      <w:lvlJc w:val="left"/>
      <w:pPr>
        <w:ind w:left="2160" w:hanging="360"/>
      </w:pPr>
      <w:rPr>
        <w:rFonts w:ascii="Wingdings 2" w:hAnsi="Wingdings 2"/>
      </w:rPr>
    </w:lvl>
    <w:lvl w:ilvl="3">
      <w:numFmt w:val="bullet"/>
      <w:lvlText w:val=""/>
      <w:lvlJc w:val="left"/>
      <w:pPr>
        <w:ind w:left="2880" w:hanging="360"/>
      </w:pPr>
      <w:rPr>
        <w:rFonts w:ascii="Wingdings 2" w:hAnsi="Wingdings 2"/>
      </w:rPr>
    </w:lvl>
    <w:lvl w:ilvl="4">
      <w:numFmt w:val="bullet"/>
      <w:lvlText w:val=""/>
      <w:lvlJc w:val="left"/>
      <w:pPr>
        <w:ind w:left="3600" w:hanging="360"/>
      </w:pPr>
      <w:rPr>
        <w:rFonts w:ascii="Wingdings 2" w:hAnsi="Wingdings 2"/>
      </w:rPr>
    </w:lvl>
    <w:lvl w:ilvl="5">
      <w:numFmt w:val="bullet"/>
      <w:lvlText w:val=""/>
      <w:lvlJc w:val="left"/>
      <w:pPr>
        <w:ind w:left="4320" w:hanging="360"/>
      </w:pPr>
      <w:rPr>
        <w:rFonts w:ascii="Wingdings 2" w:hAnsi="Wingdings 2"/>
      </w:rPr>
    </w:lvl>
    <w:lvl w:ilvl="6">
      <w:numFmt w:val="bullet"/>
      <w:lvlText w:val=""/>
      <w:lvlJc w:val="left"/>
      <w:pPr>
        <w:ind w:left="5040" w:hanging="360"/>
      </w:pPr>
      <w:rPr>
        <w:rFonts w:ascii="Wingdings 2" w:hAnsi="Wingdings 2"/>
      </w:rPr>
    </w:lvl>
    <w:lvl w:ilvl="7">
      <w:numFmt w:val="bullet"/>
      <w:lvlText w:val=""/>
      <w:lvlJc w:val="left"/>
      <w:pPr>
        <w:ind w:left="5760" w:hanging="360"/>
      </w:pPr>
      <w:rPr>
        <w:rFonts w:ascii="Wingdings 2" w:hAnsi="Wingdings 2"/>
      </w:rPr>
    </w:lvl>
    <w:lvl w:ilvl="8">
      <w:numFmt w:val="bullet"/>
      <w:lvlText w:val=""/>
      <w:lvlJc w:val="left"/>
      <w:pPr>
        <w:ind w:left="6480" w:hanging="360"/>
      </w:pPr>
      <w:rPr>
        <w:rFonts w:ascii="Wingdings 2" w:hAnsi="Wingdings 2"/>
      </w:rPr>
    </w:lvl>
  </w:abstractNum>
  <w:abstractNum w:abstractNumId="1" w15:restartNumberingAfterBreak="0">
    <w:nsid w:val="13641A41"/>
    <w:multiLevelType w:val="multilevel"/>
    <w:tmpl w:val="BB9A765C"/>
    <w:lvl w:ilvl="0">
      <w:numFmt w:val="bullet"/>
      <w:lvlText w:val=""/>
      <w:lvlJc w:val="left"/>
      <w:pPr>
        <w:ind w:left="720" w:hanging="360"/>
      </w:pPr>
      <w:rPr>
        <w:rFonts w:ascii="Wingdings 2" w:hAnsi="Wingdings 2"/>
      </w:rPr>
    </w:lvl>
    <w:lvl w:ilvl="1">
      <w:numFmt w:val="bullet"/>
      <w:lvlText w:val=""/>
      <w:lvlJc w:val="left"/>
      <w:pPr>
        <w:ind w:left="1440" w:hanging="360"/>
      </w:pPr>
      <w:rPr>
        <w:rFonts w:ascii="Wingdings 2" w:hAnsi="Wingdings 2"/>
      </w:rPr>
    </w:lvl>
    <w:lvl w:ilvl="2">
      <w:numFmt w:val="bullet"/>
      <w:lvlText w:val=""/>
      <w:lvlJc w:val="left"/>
      <w:pPr>
        <w:ind w:left="2160" w:hanging="360"/>
      </w:pPr>
      <w:rPr>
        <w:rFonts w:ascii="Wingdings 2" w:hAnsi="Wingdings 2"/>
      </w:rPr>
    </w:lvl>
    <w:lvl w:ilvl="3">
      <w:numFmt w:val="bullet"/>
      <w:lvlText w:val=""/>
      <w:lvlJc w:val="left"/>
      <w:pPr>
        <w:ind w:left="2880" w:hanging="360"/>
      </w:pPr>
      <w:rPr>
        <w:rFonts w:ascii="Wingdings 2" w:hAnsi="Wingdings 2"/>
      </w:rPr>
    </w:lvl>
    <w:lvl w:ilvl="4">
      <w:numFmt w:val="bullet"/>
      <w:lvlText w:val=""/>
      <w:lvlJc w:val="left"/>
      <w:pPr>
        <w:ind w:left="3600" w:hanging="360"/>
      </w:pPr>
      <w:rPr>
        <w:rFonts w:ascii="Wingdings 2" w:hAnsi="Wingdings 2"/>
      </w:rPr>
    </w:lvl>
    <w:lvl w:ilvl="5">
      <w:numFmt w:val="bullet"/>
      <w:lvlText w:val=""/>
      <w:lvlJc w:val="left"/>
      <w:pPr>
        <w:ind w:left="4320" w:hanging="360"/>
      </w:pPr>
      <w:rPr>
        <w:rFonts w:ascii="Wingdings 2" w:hAnsi="Wingdings 2"/>
      </w:rPr>
    </w:lvl>
    <w:lvl w:ilvl="6">
      <w:numFmt w:val="bullet"/>
      <w:lvlText w:val=""/>
      <w:lvlJc w:val="left"/>
      <w:pPr>
        <w:ind w:left="5040" w:hanging="360"/>
      </w:pPr>
      <w:rPr>
        <w:rFonts w:ascii="Wingdings 2" w:hAnsi="Wingdings 2"/>
      </w:rPr>
    </w:lvl>
    <w:lvl w:ilvl="7">
      <w:numFmt w:val="bullet"/>
      <w:lvlText w:val=""/>
      <w:lvlJc w:val="left"/>
      <w:pPr>
        <w:ind w:left="5760" w:hanging="360"/>
      </w:pPr>
      <w:rPr>
        <w:rFonts w:ascii="Wingdings 2" w:hAnsi="Wingdings 2"/>
      </w:rPr>
    </w:lvl>
    <w:lvl w:ilvl="8">
      <w:numFmt w:val="bullet"/>
      <w:lvlText w:val=""/>
      <w:lvlJc w:val="left"/>
      <w:pPr>
        <w:ind w:left="6480" w:hanging="360"/>
      </w:pPr>
      <w:rPr>
        <w:rFonts w:ascii="Wingdings 2" w:hAnsi="Wingdings 2"/>
      </w:rPr>
    </w:lvl>
  </w:abstractNum>
  <w:abstractNum w:abstractNumId="2" w15:restartNumberingAfterBreak="0">
    <w:nsid w:val="21FC7D65"/>
    <w:multiLevelType w:val="multilevel"/>
    <w:tmpl w:val="BB8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54F74"/>
    <w:multiLevelType w:val="multilevel"/>
    <w:tmpl w:val="CEDC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E356B"/>
    <w:multiLevelType w:val="hybridMultilevel"/>
    <w:tmpl w:val="F84C4436"/>
    <w:lvl w:ilvl="0" w:tplc="755839F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C24C87"/>
    <w:multiLevelType w:val="multilevel"/>
    <w:tmpl w:val="4766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341EF"/>
    <w:multiLevelType w:val="hybridMultilevel"/>
    <w:tmpl w:val="6F80E926"/>
    <w:lvl w:ilvl="0" w:tplc="42BEE090">
      <w:start w:val="4"/>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021ECD"/>
    <w:multiLevelType w:val="multilevel"/>
    <w:tmpl w:val="952AE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D86054B"/>
    <w:multiLevelType w:val="multilevel"/>
    <w:tmpl w:val="930843BE"/>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9" w15:restartNumberingAfterBreak="0">
    <w:nsid w:val="47F55364"/>
    <w:multiLevelType w:val="hybridMultilevel"/>
    <w:tmpl w:val="6D5CBA2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9E3897"/>
    <w:multiLevelType w:val="hybridMultilevel"/>
    <w:tmpl w:val="5D086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69112B"/>
    <w:multiLevelType w:val="multilevel"/>
    <w:tmpl w:val="C2F26C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15:restartNumberingAfterBreak="0">
    <w:nsid w:val="4E734ECD"/>
    <w:multiLevelType w:val="multilevel"/>
    <w:tmpl w:val="99A8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B3611"/>
    <w:multiLevelType w:val="multilevel"/>
    <w:tmpl w:val="F6560BF2"/>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E801497"/>
    <w:multiLevelType w:val="multilevel"/>
    <w:tmpl w:val="1F86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B5861"/>
    <w:multiLevelType w:val="hybridMultilevel"/>
    <w:tmpl w:val="58DEB57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9040DFF"/>
    <w:multiLevelType w:val="hybridMultilevel"/>
    <w:tmpl w:val="D2F20C5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04260D"/>
    <w:multiLevelType w:val="multilevel"/>
    <w:tmpl w:val="E5F0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24B3F"/>
    <w:multiLevelType w:val="multilevel"/>
    <w:tmpl w:val="03FAE1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1B87628"/>
    <w:multiLevelType w:val="hybridMultilevel"/>
    <w:tmpl w:val="03986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E34376"/>
    <w:multiLevelType w:val="hybridMultilevel"/>
    <w:tmpl w:val="B9CEA02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350140E"/>
    <w:multiLevelType w:val="multilevel"/>
    <w:tmpl w:val="22C8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C3942"/>
    <w:multiLevelType w:val="multilevel"/>
    <w:tmpl w:val="9BD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31FA9"/>
    <w:multiLevelType w:val="multilevel"/>
    <w:tmpl w:val="7B92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317350">
    <w:abstractNumId w:val="11"/>
  </w:num>
  <w:num w:numId="2" w16cid:durableId="947933280">
    <w:abstractNumId w:val="18"/>
  </w:num>
  <w:num w:numId="3" w16cid:durableId="914632022">
    <w:abstractNumId w:val="7"/>
  </w:num>
  <w:num w:numId="4" w16cid:durableId="669482050">
    <w:abstractNumId w:val="13"/>
  </w:num>
  <w:num w:numId="5" w16cid:durableId="1055010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8098000">
    <w:abstractNumId w:val="0"/>
  </w:num>
  <w:num w:numId="7" w16cid:durableId="381562885">
    <w:abstractNumId w:val="1"/>
  </w:num>
  <w:num w:numId="8" w16cid:durableId="445855580">
    <w:abstractNumId w:val="22"/>
  </w:num>
  <w:num w:numId="9" w16cid:durableId="1785154203">
    <w:abstractNumId w:val="21"/>
  </w:num>
  <w:num w:numId="10" w16cid:durableId="1121997595">
    <w:abstractNumId w:val="17"/>
  </w:num>
  <w:num w:numId="11" w16cid:durableId="1997146248">
    <w:abstractNumId w:val="2"/>
  </w:num>
  <w:num w:numId="12" w16cid:durableId="186261465">
    <w:abstractNumId w:val="14"/>
  </w:num>
  <w:num w:numId="13" w16cid:durableId="2067989078">
    <w:abstractNumId w:val="5"/>
  </w:num>
  <w:num w:numId="14" w16cid:durableId="1652518210">
    <w:abstractNumId w:val="4"/>
  </w:num>
  <w:num w:numId="15" w16cid:durableId="1980915978">
    <w:abstractNumId w:val="23"/>
  </w:num>
  <w:num w:numId="16" w16cid:durableId="1270619832">
    <w:abstractNumId w:val="9"/>
  </w:num>
  <w:num w:numId="17" w16cid:durableId="2113741165">
    <w:abstractNumId w:val="12"/>
  </w:num>
  <w:num w:numId="18" w16cid:durableId="1289359646">
    <w:abstractNumId w:val="20"/>
  </w:num>
  <w:num w:numId="19" w16cid:durableId="1049568156">
    <w:abstractNumId w:val="15"/>
  </w:num>
  <w:num w:numId="20" w16cid:durableId="1490095265">
    <w:abstractNumId w:val="10"/>
  </w:num>
  <w:num w:numId="21" w16cid:durableId="902907034">
    <w:abstractNumId w:val="19"/>
  </w:num>
  <w:num w:numId="22" w16cid:durableId="1606621366">
    <w:abstractNumId w:val="6"/>
  </w:num>
  <w:num w:numId="23" w16cid:durableId="1443845945">
    <w:abstractNumId w:val="3"/>
  </w:num>
  <w:num w:numId="24" w16cid:durableId="202220308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D"/>
    <w:rsid w:val="00001BED"/>
    <w:rsid w:val="00001E6A"/>
    <w:rsid w:val="000022F9"/>
    <w:rsid w:val="00002382"/>
    <w:rsid w:val="0000281D"/>
    <w:rsid w:val="00002D3E"/>
    <w:rsid w:val="000038B9"/>
    <w:rsid w:val="00004287"/>
    <w:rsid w:val="000048CE"/>
    <w:rsid w:val="00004A3A"/>
    <w:rsid w:val="00004F72"/>
    <w:rsid w:val="0000522D"/>
    <w:rsid w:val="00010A54"/>
    <w:rsid w:val="00010EFC"/>
    <w:rsid w:val="0001398A"/>
    <w:rsid w:val="00015AB7"/>
    <w:rsid w:val="000163DA"/>
    <w:rsid w:val="00017C78"/>
    <w:rsid w:val="000209CE"/>
    <w:rsid w:val="00020D7A"/>
    <w:rsid w:val="00020FD7"/>
    <w:rsid w:val="00022DE0"/>
    <w:rsid w:val="000244C7"/>
    <w:rsid w:val="00024871"/>
    <w:rsid w:val="000248FF"/>
    <w:rsid w:val="000251D5"/>
    <w:rsid w:val="000255FB"/>
    <w:rsid w:val="000268D7"/>
    <w:rsid w:val="0003157E"/>
    <w:rsid w:val="00031713"/>
    <w:rsid w:val="0003269A"/>
    <w:rsid w:val="00034BA6"/>
    <w:rsid w:val="000360D6"/>
    <w:rsid w:val="000371DA"/>
    <w:rsid w:val="00037EEF"/>
    <w:rsid w:val="00040364"/>
    <w:rsid w:val="00040A6B"/>
    <w:rsid w:val="00041898"/>
    <w:rsid w:val="00041EC6"/>
    <w:rsid w:val="00042D67"/>
    <w:rsid w:val="00046A9D"/>
    <w:rsid w:val="0005133C"/>
    <w:rsid w:val="00052184"/>
    <w:rsid w:val="00053111"/>
    <w:rsid w:val="00053515"/>
    <w:rsid w:val="000536CD"/>
    <w:rsid w:val="000538B6"/>
    <w:rsid w:val="000538B8"/>
    <w:rsid w:val="00054AF6"/>
    <w:rsid w:val="00054FC9"/>
    <w:rsid w:val="00055625"/>
    <w:rsid w:val="0006042E"/>
    <w:rsid w:val="0006051F"/>
    <w:rsid w:val="0006193B"/>
    <w:rsid w:val="00062E57"/>
    <w:rsid w:val="00064BF0"/>
    <w:rsid w:val="00070A24"/>
    <w:rsid w:val="00071876"/>
    <w:rsid w:val="00071AB7"/>
    <w:rsid w:val="00071E5B"/>
    <w:rsid w:val="00071F26"/>
    <w:rsid w:val="00071FCF"/>
    <w:rsid w:val="0007219C"/>
    <w:rsid w:val="00072D23"/>
    <w:rsid w:val="000733E5"/>
    <w:rsid w:val="00073862"/>
    <w:rsid w:val="00073FDC"/>
    <w:rsid w:val="00075758"/>
    <w:rsid w:val="00075AE5"/>
    <w:rsid w:val="00075EBC"/>
    <w:rsid w:val="0007700A"/>
    <w:rsid w:val="00081842"/>
    <w:rsid w:val="00081933"/>
    <w:rsid w:val="000828F2"/>
    <w:rsid w:val="00082BC0"/>
    <w:rsid w:val="00083365"/>
    <w:rsid w:val="00083FE4"/>
    <w:rsid w:val="0008457C"/>
    <w:rsid w:val="000845E4"/>
    <w:rsid w:val="00084FEF"/>
    <w:rsid w:val="00085CA6"/>
    <w:rsid w:val="00085DAE"/>
    <w:rsid w:val="000860E2"/>
    <w:rsid w:val="000865DF"/>
    <w:rsid w:val="00087391"/>
    <w:rsid w:val="00087B77"/>
    <w:rsid w:val="00087C4F"/>
    <w:rsid w:val="00090795"/>
    <w:rsid w:val="00090CEC"/>
    <w:rsid w:val="000918B8"/>
    <w:rsid w:val="00091B9A"/>
    <w:rsid w:val="00092096"/>
    <w:rsid w:val="00092676"/>
    <w:rsid w:val="0009341C"/>
    <w:rsid w:val="00093854"/>
    <w:rsid w:val="000939D8"/>
    <w:rsid w:val="00094077"/>
    <w:rsid w:val="00094D03"/>
    <w:rsid w:val="00094F48"/>
    <w:rsid w:val="0009668D"/>
    <w:rsid w:val="000A1FF3"/>
    <w:rsid w:val="000A22C8"/>
    <w:rsid w:val="000A308B"/>
    <w:rsid w:val="000A368A"/>
    <w:rsid w:val="000A4E7F"/>
    <w:rsid w:val="000A5CAC"/>
    <w:rsid w:val="000A62A0"/>
    <w:rsid w:val="000A6B3E"/>
    <w:rsid w:val="000A6BB2"/>
    <w:rsid w:val="000B21CD"/>
    <w:rsid w:val="000B3B31"/>
    <w:rsid w:val="000B3E23"/>
    <w:rsid w:val="000B529C"/>
    <w:rsid w:val="000B6482"/>
    <w:rsid w:val="000B659F"/>
    <w:rsid w:val="000B6EB2"/>
    <w:rsid w:val="000B701D"/>
    <w:rsid w:val="000B7624"/>
    <w:rsid w:val="000C0D35"/>
    <w:rsid w:val="000C1684"/>
    <w:rsid w:val="000C1DE1"/>
    <w:rsid w:val="000C4803"/>
    <w:rsid w:val="000C666A"/>
    <w:rsid w:val="000C7287"/>
    <w:rsid w:val="000C7AA3"/>
    <w:rsid w:val="000C7ADB"/>
    <w:rsid w:val="000D084E"/>
    <w:rsid w:val="000D0959"/>
    <w:rsid w:val="000D121C"/>
    <w:rsid w:val="000D31E5"/>
    <w:rsid w:val="000D34EC"/>
    <w:rsid w:val="000D35A1"/>
    <w:rsid w:val="000D38D0"/>
    <w:rsid w:val="000D3A78"/>
    <w:rsid w:val="000D3C12"/>
    <w:rsid w:val="000D3EC9"/>
    <w:rsid w:val="000D4162"/>
    <w:rsid w:val="000D452B"/>
    <w:rsid w:val="000D454B"/>
    <w:rsid w:val="000D4731"/>
    <w:rsid w:val="000D4DD2"/>
    <w:rsid w:val="000D5348"/>
    <w:rsid w:val="000D61C7"/>
    <w:rsid w:val="000D62A5"/>
    <w:rsid w:val="000D725C"/>
    <w:rsid w:val="000D7619"/>
    <w:rsid w:val="000D7C06"/>
    <w:rsid w:val="000E02D9"/>
    <w:rsid w:val="000E095F"/>
    <w:rsid w:val="000E13D3"/>
    <w:rsid w:val="000E444B"/>
    <w:rsid w:val="000E4AC5"/>
    <w:rsid w:val="000E4DA5"/>
    <w:rsid w:val="000E5A41"/>
    <w:rsid w:val="000E77D8"/>
    <w:rsid w:val="000E7EEB"/>
    <w:rsid w:val="000F056F"/>
    <w:rsid w:val="000F0BE3"/>
    <w:rsid w:val="000F1D09"/>
    <w:rsid w:val="000F1E09"/>
    <w:rsid w:val="000F2756"/>
    <w:rsid w:val="000F3055"/>
    <w:rsid w:val="000F325E"/>
    <w:rsid w:val="000F3718"/>
    <w:rsid w:val="000F3738"/>
    <w:rsid w:val="000F39FD"/>
    <w:rsid w:val="000F3CBC"/>
    <w:rsid w:val="000F41F6"/>
    <w:rsid w:val="000F426D"/>
    <w:rsid w:val="000F4697"/>
    <w:rsid w:val="000F5605"/>
    <w:rsid w:val="000F5C14"/>
    <w:rsid w:val="000F64EA"/>
    <w:rsid w:val="000F71B2"/>
    <w:rsid w:val="000F7255"/>
    <w:rsid w:val="000F75B9"/>
    <w:rsid w:val="00100877"/>
    <w:rsid w:val="00101F8C"/>
    <w:rsid w:val="00102A2E"/>
    <w:rsid w:val="001037E7"/>
    <w:rsid w:val="00104854"/>
    <w:rsid w:val="00104F68"/>
    <w:rsid w:val="00105353"/>
    <w:rsid w:val="0010574B"/>
    <w:rsid w:val="00105F25"/>
    <w:rsid w:val="001062A5"/>
    <w:rsid w:val="0010709F"/>
    <w:rsid w:val="00110DD6"/>
    <w:rsid w:val="0011220E"/>
    <w:rsid w:val="00112997"/>
    <w:rsid w:val="001136A5"/>
    <w:rsid w:val="0011465F"/>
    <w:rsid w:val="00114DEC"/>
    <w:rsid w:val="00115DAE"/>
    <w:rsid w:val="00116566"/>
    <w:rsid w:val="00117006"/>
    <w:rsid w:val="00117A10"/>
    <w:rsid w:val="001207C1"/>
    <w:rsid w:val="00120FF3"/>
    <w:rsid w:val="001246C6"/>
    <w:rsid w:val="001249DD"/>
    <w:rsid w:val="00124F8B"/>
    <w:rsid w:val="0012500A"/>
    <w:rsid w:val="00125339"/>
    <w:rsid w:val="0012591D"/>
    <w:rsid w:val="0012682C"/>
    <w:rsid w:val="00131817"/>
    <w:rsid w:val="00131DB7"/>
    <w:rsid w:val="00132810"/>
    <w:rsid w:val="0013305B"/>
    <w:rsid w:val="00133281"/>
    <w:rsid w:val="001333D0"/>
    <w:rsid w:val="00133C38"/>
    <w:rsid w:val="001352E0"/>
    <w:rsid w:val="00135440"/>
    <w:rsid w:val="00135B57"/>
    <w:rsid w:val="001377DF"/>
    <w:rsid w:val="00140131"/>
    <w:rsid w:val="00140442"/>
    <w:rsid w:val="001404C9"/>
    <w:rsid w:val="001406F9"/>
    <w:rsid w:val="0014191B"/>
    <w:rsid w:val="0014208F"/>
    <w:rsid w:val="001427FD"/>
    <w:rsid w:val="00142AF6"/>
    <w:rsid w:val="0014326A"/>
    <w:rsid w:val="001439C5"/>
    <w:rsid w:val="00143C42"/>
    <w:rsid w:val="00143DA3"/>
    <w:rsid w:val="00145293"/>
    <w:rsid w:val="00147152"/>
    <w:rsid w:val="00147B23"/>
    <w:rsid w:val="00147B39"/>
    <w:rsid w:val="00147E66"/>
    <w:rsid w:val="001500DD"/>
    <w:rsid w:val="0015066C"/>
    <w:rsid w:val="00151FE6"/>
    <w:rsid w:val="00152DD4"/>
    <w:rsid w:val="001543CC"/>
    <w:rsid w:val="001559FD"/>
    <w:rsid w:val="00155FAA"/>
    <w:rsid w:val="00156928"/>
    <w:rsid w:val="001572A4"/>
    <w:rsid w:val="00157308"/>
    <w:rsid w:val="0015739E"/>
    <w:rsid w:val="00160360"/>
    <w:rsid w:val="00162EC3"/>
    <w:rsid w:val="00164113"/>
    <w:rsid w:val="00164B34"/>
    <w:rsid w:val="00164E44"/>
    <w:rsid w:val="00164E6F"/>
    <w:rsid w:val="00164ECB"/>
    <w:rsid w:val="00165572"/>
    <w:rsid w:val="00165755"/>
    <w:rsid w:val="0016602E"/>
    <w:rsid w:val="00167912"/>
    <w:rsid w:val="001703BC"/>
    <w:rsid w:val="00171D05"/>
    <w:rsid w:val="00171FA4"/>
    <w:rsid w:val="00172D8A"/>
    <w:rsid w:val="001730AF"/>
    <w:rsid w:val="00173615"/>
    <w:rsid w:val="0017552E"/>
    <w:rsid w:val="00175AB5"/>
    <w:rsid w:val="00175B80"/>
    <w:rsid w:val="00175D21"/>
    <w:rsid w:val="00176E4F"/>
    <w:rsid w:val="00180751"/>
    <w:rsid w:val="00181917"/>
    <w:rsid w:val="00181F5F"/>
    <w:rsid w:val="00182772"/>
    <w:rsid w:val="00182CBE"/>
    <w:rsid w:val="00183CBE"/>
    <w:rsid w:val="001848A4"/>
    <w:rsid w:val="0018550B"/>
    <w:rsid w:val="0018585F"/>
    <w:rsid w:val="00185DDC"/>
    <w:rsid w:val="0018637D"/>
    <w:rsid w:val="00186664"/>
    <w:rsid w:val="001866F0"/>
    <w:rsid w:val="001877B0"/>
    <w:rsid w:val="00187844"/>
    <w:rsid w:val="001908A4"/>
    <w:rsid w:val="0019148F"/>
    <w:rsid w:val="00193580"/>
    <w:rsid w:val="00193FF2"/>
    <w:rsid w:val="00194179"/>
    <w:rsid w:val="00194D4E"/>
    <w:rsid w:val="00195065"/>
    <w:rsid w:val="001960E5"/>
    <w:rsid w:val="0019660A"/>
    <w:rsid w:val="00196946"/>
    <w:rsid w:val="00197098"/>
    <w:rsid w:val="00197313"/>
    <w:rsid w:val="001A06F0"/>
    <w:rsid w:val="001A0DF7"/>
    <w:rsid w:val="001A2275"/>
    <w:rsid w:val="001A22B4"/>
    <w:rsid w:val="001A2C96"/>
    <w:rsid w:val="001A5A45"/>
    <w:rsid w:val="001A6F01"/>
    <w:rsid w:val="001A7A73"/>
    <w:rsid w:val="001A7E97"/>
    <w:rsid w:val="001B0DB8"/>
    <w:rsid w:val="001B0EE7"/>
    <w:rsid w:val="001B1336"/>
    <w:rsid w:val="001B2A52"/>
    <w:rsid w:val="001B30F5"/>
    <w:rsid w:val="001B5270"/>
    <w:rsid w:val="001B5CB4"/>
    <w:rsid w:val="001B708C"/>
    <w:rsid w:val="001B742A"/>
    <w:rsid w:val="001B7EA8"/>
    <w:rsid w:val="001C141B"/>
    <w:rsid w:val="001C172F"/>
    <w:rsid w:val="001C315F"/>
    <w:rsid w:val="001C32B7"/>
    <w:rsid w:val="001C40A2"/>
    <w:rsid w:val="001C5D1C"/>
    <w:rsid w:val="001C698B"/>
    <w:rsid w:val="001D0379"/>
    <w:rsid w:val="001D03DA"/>
    <w:rsid w:val="001D1164"/>
    <w:rsid w:val="001D1356"/>
    <w:rsid w:val="001D14AE"/>
    <w:rsid w:val="001D213D"/>
    <w:rsid w:val="001D224E"/>
    <w:rsid w:val="001D2556"/>
    <w:rsid w:val="001D2D3E"/>
    <w:rsid w:val="001D32E5"/>
    <w:rsid w:val="001D38C8"/>
    <w:rsid w:val="001D4604"/>
    <w:rsid w:val="001D4D2A"/>
    <w:rsid w:val="001D4D95"/>
    <w:rsid w:val="001D4ED3"/>
    <w:rsid w:val="001D503D"/>
    <w:rsid w:val="001D5671"/>
    <w:rsid w:val="001D5B21"/>
    <w:rsid w:val="001D5BB2"/>
    <w:rsid w:val="001D65F0"/>
    <w:rsid w:val="001D762C"/>
    <w:rsid w:val="001E0611"/>
    <w:rsid w:val="001E0D78"/>
    <w:rsid w:val="001E172C"/>
    <w:rsid w:val="001E191D"/>
    <w:rsid w:val="001E2FC1"/>
    <w:rsid w:val="001E411A"/>
    <w:rsid w:val="001E4D28"/>
    <w:rsid w:val="001E4D60"/>
    <w:rsid w:val="001E53AF"/>
    <w:rsid w:val="001E587D"/>
    <w:rsid w:val="001E6821"/>
    <w:rsid w:val="001E6F7F"/>
    <w:rsid w:val="001E7145"/>
    <w:rsid w:val="001E72F4"/>
    <w:rsid w:val="001E73FE"/>
    <w:rsid w:val="001E7782"/>
    <w:rsid w:val="001F034F"/>
    <w:rsid w:val="001F05AD"/>
    <w:rsid w:val="001F1CA1"/>
    <w:rsid w:val="001F1E82"/>
    <w:rsid w:val="001F2B8A"/>
    <w:rsid w:val="001F2FD2"/>
    <w:rsid w:val="001F3400"/>
    <w:rsid w:val="001F409C"/>
    <w:rsid w:val="001F46F2"/>
    <w:rsid w:val="001F5464"/>
    <w:rsid w:val="001F5D92"/>
    <w:rsid w:val="001F6A92"/>
    <w:rsid w:val="001F6C6E"/>
    <w:rsid w:val="001F7B40"/>
    <w:rsid w:val="001F7B4A"/>
    <w:rsid w:val="002006DB"/>
    <w:rsid w:val="00202C94"/>
    <w:rsid w:val="00202E34"/>
    <w:rsid w:val="0020342E"/>
    <w:rsid w:val="00204E93"/>
    <w:rsid w:val="002059C5"/>
    <w:rsid w:val="00205B83"/>
    <w:rsid w:val="00205CC6"/>
    <w:rsid w:val="00205D13"/>
    <w:rsid w:val="00206A38"/>
    <w:rsid w:val="00207F1F"/>
    <w:rsid w:val="002106EF"/>
    <w:rsid w:val="0021177D"/>
    <w:rsid w:val="002130C0"/>
    <w:rsid w:val="00214F4D"/>
    <w:rsid w:val="00215B16"/>
    <w:rsid w:val="00215E2C"/>
    <w:rsid w:val="0021630B"/>
    <w:rsid w:val="002200D6"/>
    <w:rsid w:val="00220345"/>
    <w:rsid w:val="0022047C"/>
    <w:rsid w:val="002215F8"/>
    <w:rsid w:val="00222768"/>
    <w:rsid w:val="00222D5A"/>
    <w:rsid w:val="00223B01"/>
    <w:rsid w:val="00224954"/>
    <w:rsid w:val="00224E86"/>
    <w:rsid w:val="00224FD0"/>
    <w:rsid w:val="00226C1E"/>
    <w:rsid w:val="002273F1"/>
    <w:rsid w:val="00227C8E"/>
    <w:rsid w:val="00227E1E"/>
    <w:rsid w:val="0023007C"/>
    <w:rsid w:val="002308D5"/>
    <w:rsid w:val="0023108D"/>
    <w:rsid w:val="00231D74"/>
    <w:rsid w:val="00231FCD"/>
    <w:rsid w:val="00232050"/>
    <w:rsid w:val="0023307B"/>
    <w:rsid w:val="0023412F"/>
    <w:rsid w:val="00234903"/>
    <w:rsid w:val="00235BC6"/>
    <w:rsid w:val="00236201"/>
    <w:rsid w:val="002369F9"/>
    <w:rsid w:val="00236FD8"/>
    <w:rsid w:val="00237CD7"/>
    <w:rsid w:val="00240779"/>
    <w:rsid w:val="0024106D"/>
    <w:rsid w:val="0024126B"/>
    <w:rsid w:val="00243588"/>
    <w:rsid w:val="00244720"/>
    <w:rsid w:val="00245BEE"/>
    <w:rsid w:val="0024627C"/>
    <w:rsid w:val="00246CD2"/>
    <w:rsid w:val="00247109"/>
    <w:rsid w:val="0024779D"/>
    <w:rsid w:val="002506DA"/>
    <w:rsid w:val="00251146"/>
    <w:rsid w:val="0025196E"/>
    <w:rsid w:val="00252D26"/>
    <w:rsid w:val="00253573"/>
    <w:rsid w:val="0025364A"/>
    <w:rsid w:val="00254E74"/>
    <w:rsid w:val="00256245"/>
    <w:rsid w:val="00256DD8"/>
    <w:rsid w:val="00257657"/>
    <w:rsid w:val="002603FD"/>
    <w:rsid w:val="002607BB"/>
    <w:rsid w:val="00261603"/>
    <w:rsid w:val="00261CA9"/>
    <w:rsid w:val="0026356C"/>
    <w:rsid w:val="00263B2B"/>
    <w:rsid w:val="00264FFC"/>
    <w:rsid w:val="00265954"/>
    <w:rsid w:val="00265E6C"/>
    <w:rsid w:val="00271C86"/>
    <w:rsid w:val="00272010"/>
    <w:rsid w:val="00272F85"/>
    <w:rsid w:val="00274CD9"/>
    <w:rsid w:val="002761A6"/>
    <w:rsid w:val="00277300"/>
    <w:rsid w:val="00277D9F"/>
    <w:rsid w:val="00281333"/>
    <w:rsid w:val="00282AB8"/>
    <w:rsid w:val="002837F0"/>
    <w:rsid w:val="002848EC"/>
    <w:rsid w:val="00284A96"/>
    <w:rsid w:val="002854E2"/>
    <w:rsid w:val="00285CAA"/>
    <w:rsid w:val="002869C4"/>
    <w:rsid w:val="00286A90"/>
    <w:rsid w:val="00287F93"/>
    <w:rsid w:val="00290A0E"/>
    <w:rsid w:val="00290D03"/>
    <w:rsid w:val="002911C7"/>
    <w:rsid w:val="00291840"/>
    <w:rsid w:val="00291AA6"/>
    <w:rsid w:val="0029432C"/>
    <w:rsid w:val="002943EA"/>
    <w:rsid w:val="00294A05"/>
    <w:rsid w:val="0029536E"/>
    <w:rsid w:val="00296ED6"/>
    <w:rsid w:val="00297292"/>
    <w:rsid w:val="00297844"/>
    <w:rsid w:val="00297AFD"/>
    <w:rsid w:val="00297B72"/>
    <w:rsid w:val="00297FA5"/>
    <w:rsid w:val="002A007E"/>
    <w:rsid w:val="002A125C"/>
    <w:rsid w:val="002A2604"/>
    <w:rsid w:val="002A279F"/>
    <w:rsid w:val="002A326F"/>
    <w:rsid w:val="002A3469"/>
    <w:rsid w:val="002A38E4"/>
    <w:rsid w:val="002A3BBC"/>
    <w:rsid w:val="002A3DC1"/>
    <w:rsid w:val="002A4380"/>
    <w:rsid w:val="002A45B0"/>
    <w:rsid w:val="002A4EF1"/>
    <w:rsid w:val="002A5C6D"/>
    <w:rsid w:val="002A6A90"/>
    <w:rsid w:val="002A7752"/>
    <w:rsid w:val="002A7AF3"/>
    <w:rsid w:val="002B01DB"/>
    <w:rsid w:val="002B0589"/>
    <w:rsid w:val="002B0BF6"/>
    <w:rsid w:val="002B1A40"/>
    <w:rsid w:val="002B1DBD"/>
    <w:rsid w:val="002B2807"/>
    <w:rsid w:val="002B2AA4"/>
    <w:rsid w:val="002B31C5"/>
    <w:rsid w:val="002B3B8A"/>
    <w:rsid w:val="002B458F"/>
    <w:rsid w:val="002B477F"/>
    <w:rsid w:val="002B4F3A"/>
    <w:rsid w:val="002B4FB4"/>
    <w:rsid w:val="002B65DC"/>
    <w:rsid w:val="002B6E5B"/>
    <w:rsid w:val="002B7A7A"/>
    <w:rsid w:val="002C015C"/>
    <w:rsid w:val="002C048C"/>
    <w:rsid w:val="002C1BB0"/>
    <w:rsid w:val="002C24D6"/>
    <w:rsid w:val="002C3120"/>
    <w:rsid w:val="002C3CAE"/>
    <w:rsid w:val="002C5AC4"/>
    <w:rsid w:val="002C62A9"/>
    <w:rsid w:val="002C634A"/>
    <w:rsid w:val="002C63FF"/>
    <w:rsid w:val="002D01CD"/>
    <w:rsid w:val="002D075D"/>
    <w:rsid w:val="002D09D8"/>
    <w:rsid w:val="002D27AF"/>
    <w:rsid w:val="002D28F5"/>
    <w:rsid w:val="002D2C64"/>
    <w:rsid w:val="002D38D3"/>
    <w:rsid w:val="002D4660"/>
    <w:rsid w:val="002D573E"/>
    <w:rsid w:val="002D599B"/>
    <w:rsid w:val="002D5D5F"/>
    <w:rsid w:val="002D5EF4"/>
    <w:rsid w:val="002D6D5B"/>
    <w:rsid w:val="002E038C"/>
    <w:rsid w:val="002E0ACB"/>
    <w:rsid w:val="002E0B7B"/>
    <w:rsid w:val="002E1AFC"/>
    <w:rsid w:val="002E1CB5"/>
    <w:rsid w:val="002E4379"/>
    <w:rsid w:val="002E4DDD"/>
    <w:rsid w:val="002E5461"/>
    <w:rsid w:val="002E6D93"/>
    <w:rsid w:val="002E71A3"/>
    <w:rsid w:val="002E71B5"/>
    <w:rsid w:val="002F12BF"/>
    <w:rsid w:val="002F12C0"/>
    <w:rsid w:val="002F1DCA"/>
    <w:rsid w:val="002F2427"/>
    <w:rsid w:val="002F2C14"/>
    <w:rsid w:val="002F38A5"/>
    <w:rsid w:val="002F4559"/>
    <w:rsid w:val="002F4F0E"/>
    <w:rsid w:val="002F664A"/>
    <w:rsid w:val="002F7454"/>
    <w:rsid w:val="002F77AB"/>
    <w:rsid w:val="002F7D2A"/>
    <w:rsid w:val="00300666"/>
    <w:rsid w:val="00301A46"/>
    <w:rsid w:val="00301B3D"/>
    <w:rsid w:val="00301C68"/>
    <w:rsid w:val="00302422"/>
    <w:rsid w:val="00302A2E"/>
    <w:rsid w:val="00303BAB"/>
    <w:rsid w:val="00303F57"/>
    <w:rsid w:val="0030468A"/>
    <w:rsid w:val="003049EF"/>
    <w:rsid w:val="003056A0"/>
    <w:rsid w:val="0030581C"/>
    <w:rsid w:val="00307358"/>
    <w:rsid w:val="00307431"/>
    <w:rsid w:val="003079C1"/>
    <w:rsid w:val="00307ADD"/>
    <w:rsid w:val="00310E5E"/>
    <w:rsid w:val="003124DD"/>
    <w:rsid w:val="00312926"/>
    <w:rsid w:val="00313890"/>
    <w:rsid w:val="003157E9"/>
    <w:rsid w:val="00316258"/>
    <w:rsid w:val="003166F3"/>
    <w:rsid w:val="00316B89"/>
    <w:rsid w:val="00317A1E"/>
    <w:rsid w:val="003207EC"/>
    <w:rsid w:val="00321D8F"/>
    <w:rsid w:val="00322374"/>
    <w:rsid w:val="0032290F"/>
    <w:rsid w:val="00322BD0"/>
    <w:rsid w:val="00323AA6"/>
    <w:rsid w:val="00324199"/>
    <w:rsid w:val="003245B0"/>
    <w:rsid w:val="0032565B"/>
    <w:rsid w:val="00325E06"/>
    <w:rsid w:val="00325E48"/>
    <w:rsid w:val="003269E1"/>
    <w:rsid w:val="00330DD9"/>
    <w:rsid w:val="00330DE0"/>
    <w:rsid w:val="00331C14"/>
    <w:rsid w:val="003320A1"/>
    <w:rsid w:val="003329CF"/>
    <w:rsid w:val="0033431F"/>
    <w:rsid w:val="003363C0"/>
    <w:rsid w:val="00336DF6"/>
    <w:rsid w:val="00341092"/>
    <w:rsid w:val="003413A7"/>
    <w:rsid w:val="00342145"/>
    <w:rsid w:val="0034239F"/>
    <w:rsid w:val="003425AE"/>
    <w:rsid w:val="00345243"/>
    <w:rsid w:val="003454B0"/>
    <w:rsid w:val="00345A8F"/>
    <w:rsid w:val="00345B87"/>
    <w:rsid w:val="00345BA3"/>
    <w:rsid w:val="00345E2D"/>
    <w:rsid w:val="003461B6"/>
    <w:rsid w:val="003466CD"/>
    <w:rsid w:val="0034762A"/>
    <w:rsid w:val="00347C74"/>
    <w:rsid w:val="00350AC1"/>
    <w:rsid w:val="0035127B"/>
    <w:rsid w:val="00351D8B"/>
    <w:rsid w:val="00351E58"/>
    <w:rsid w:val="0035331D"/>
    <w:rsid w:val="003539D9"/>
    <w:rsid w:val="003540E2"/>
    <w:rsid w:val="00354CC5"/>
    <w:rsid w:val="00355757"/>
    <w:rsid w:val="003560FE"/>
    <w:rsid w:val="0035618A"/>
    <w:rsid w:val="00356929"/>
    <w:rsid w:val="00356DD5"/>
    <w:rsid w:val="00357CB4"/>
    <w:rsid w:val="003618C1"/>
    <w:rsid w:val="00362D4D"/>
    <w:rsid w:val="00363010"/>
    <w:rsid w:val="0036322B"/>
    <w:rsid w:val="00365602"/>
    <w:rsid w:val="00366C4E"/>
    <w:rsid w:val="00366D1E"/>
    <w:rsid w:val="00367E3A"/>
    <w:rsid w:val="0037010F"/>
    <w:rsid w:val="00370966"/>
    <w:rsid w:val="00370EF7"/>
    <w:rsid w:val="003710C1"/>
    <w:rsid w:val="003730C5"/>
    <w:rsid w:val="00373201"/>
    <w:rsid w:val="00373D1D"/>
    <w:rsid w:val="00374D6D"/>
    <w:rsid w:val="003755F5"/>
    <w:rsid w:val="0037675B"/>
    <w:rsid w:val="00377B32"/>
    <w:rsid w:val="00380B9E"/>
    <w:rsid w:val="00381EE7"/>
    <w:rsid w:val="0038264D"/>
    <w:rsid w:val="00383464"/>
    <w:rsid w:val="00384554"/>
    <w:rsid w:val="0038487F"/>
    <w:rsid w:val="00384C36"/>
    <w:rsid w:val="00385AB8"/>
    <w:rsid w:val="00386173"/>
    <w:rsid w:val="00386B96"/>
    <w:rsid w:val="00387AC6"/>
    <w:rsid w:val="00387F7D"/>
    <w:rsid w:val="00390860"/>
    <w:rsid w:val="003919A2"/>
    <w:rsid w:val="00392F5D"/>
    <w:rsid w:val="00393283"/>
    <w:rsid w:val="00395099"/>
    <w:rsid w:val="00395DFF"/>
    <w:rsid w:val="0039628C"/>
    <w:rsid w:val="00397552"/>
    <w:rsid w:val="0039767A"/>
    <w:rsid w:val="003979B3"/>
    <w:rsid w:val="003A2C82"/>
    <w:rsid w:val="003A347F"/>
    <w:rsid w:val="003A37B4"/>
    <w:rsid w:val="003A4142"/>
    <w:rsid w:val="003A635D"/>
    <w:rsid w:val="003B2B7E"/>
    <w:rsid w:val="003B3BC4"/>
    <w:rsid w:val="003B48C1"/>
    <w:rsid w:val="003B55C4"/>
    <w:rsid w:val="003B578F"/>
    <w:rsid w:val="003B5B0B"/>
    <w:rsid w:val="003C0227"/>
    <w:rsid w:val="003C0F16"/>
    <w:rsid w:val="003C2324"/>
    <w:rsid w:val="003C2806"/>
    <w:rsid w:val="003C338B"/>
    <w:rsid w:val="003C48C4"/>
    <w:rsid w:val="003C569A"/>
    <w:rsid w:val="003C6376"/>
    <w:rsid w:val="003D07B1"/>
    <w:rsid w:val="003D17A2"/>
    <w:rsid w:val="003D3C41"/>
    <w:rsid w:val="003D4726"/>
    <w:rsid w:val="003D4F27"/>
    <w:rsid w:val="003D55C7"/>
    <w:rsid w:val="003D6857"/>
    <w:rsid w:val="003D7F65"/>
    <w:rsid w:val="003E0BC7"/>
    <w:rsid w:val="003E0DB2"/>
    <w:rsid w:val="003E1F2C"/>
    <w:rsid w:val="003E2544"/>
    <w:rsid w:val="003E2C53"/>
    <w:rsid w:val="003E3995"/>
    <w:rsid w:val="003E3CCA"/>
    <w:rsid w:val="003E3F0D"/>
    <w:rsid w:val="003E4042"/>
    <w:rsid w:val="003E49CE"/>
    <w:rsid w:val="003E5A45"/>
    <w:rsid w:val="003E5E52"/>
    <w:rsid w:val="003E6463"/>
    <w:rsid w:val="003E682B"/>
    <w:rsid w:val="003E6843"/>
    <w:rsid w:val="003E717C"/>
    <w:rsid w:val="003E7701"/>
    <w:rsid w:val="003F01A0"/>
    <w:rsid w:val="003F0DD2"/>
    <w:rsid w:val="003F1C9D"/>
    <w:rsid w:val="003F1E63"/>
    <w:rsid w:val="003F26EC"/>
    <w:rsid w:val="003F3E63"/>
    <w:rsid w:val="003F5498"/>
    <w:rsid w:val="003F5751"/>
    <w:rsid w:val="003F7C33"/>
    <w:rsid w:val="00401470"/>
    <w:rsid w:val="00401CBF"/>
    <w:rsid w:val="00402A7D"/>
    <w:rsid w:val="00402C08"/>
    <w:rsid w:val="004033F3"/>
    <w:rsid w:val="004035CC"/>
    <w:rsid w:val="00403D0A"/>
    <w:rsid w:val="00403F65"/>
    <w:rsid w:val="00403FA8"/>
    <w:rsid w:val="00406007"/>
    <w:rsid w:val="00406917"/>
    <w:rsid w:val="00406F01"/>
    <w:rsid w:val="0040727E"/>
    <w:rsid w:val="004076F1"/>
    <w:rsid w:val="004101D4"/>
    <w:rsid w:val="0041024F"/>
    <w:rsid w:val="004106E1"/>
    <w:rsid w:val="004113EC"/>
    <w:rsid w:val="00411C80"/>
    <w:rsid w:val="004128F9"/>
    <w:rsid w:val="0041492C"/>
    <w:rsid w:val="004155CE"/>
    <w:rsid w:val="00416A0D"/>
    <w:rsid w:val="00417CCB"/>
    <w:rsid w:val="004211F6"/>
    <w:rsid w:val="00421630"/>
    <w:rsid w:val="0042164F"/>
    <w:rsid w:val="004219CF"/>
    <w:rsid w:val="004219ED"/>
    <w:rsid w:val="00422A88"/>
    <w:rsid w:val="00423DB2"/>
    <w:rsid w:val="00425022"/>
    <w:rsid w:val="004250CC"/>
    <w:rsid w:val="00425418"/>
    <w:rsid w:val="00425ED2"/>
    <w:rsid w:val="00426EFA"/>
    <w:rsid w:val="00427390"/>
    <w:rsid w:val="004274E2"/>
    <w:rsid w:val="004279EA"/>
    <w:rsid w:val="00430106"/>
    <w:rsid w:val="00430284"/>
    <w:rsid w:val="00431F1D"/>
    <w:rsid w:val="00432049"/>
    <w:rsid w:val="00432715"/>
    <w:rsid w:val="00432A14"/>
    <w:rsid w:val="00432C31"/>
    <w:rsid w:val="0043373C"/>
    <w:rsid w:val="004365B0"/>
    <w:rsid w:val="00436F25"/>
    <w:rsid w:val="00437270"/>
    <w:rsid w:val="00440692"/>
    <w:rsid w:val="0044161D"/>
    <w:rsid w:val="004418C7"/>
    <w:rsid w:val="00442F5B"/>
    <w:rsid w:val="00444381"/>
    <w:rsid w:val="004444E5"/>
    <w:rsid w:val="00444847"/>
    <w:rsid w:val="004463B0"/>
    <w:rsid w:val="004475B4"/>
    <w:rsid w:val="0045074E"/>
    <w:rsid w:val="00450BB4"/>
    <w:rsid w:val="00450BD5"/>
    <w:rsid w:val="00450EA8"/>
    <w:rsid w:val="004512C4"/>
    <w:rsid w:val="004517FD"/>
    <w:rsid w:val="00451868"/>
    <w:rsid w:val="00451D34"/>
    <w:rsid w:val="00452D5B"/>
    <w:rsid w:val="00453772"/>
    <w:rsid w:val="00454006"/>
    <w:rsid w:val="004543F0"/>
    <w:rsid w:val="0045459A"/>
    <w:rsid w:val="0045580F"/>
    <w:rsid w:val="0045655D"/>
    <w:rsid w:val="0045661F"/>
    <w:rsid w:val="00460CA2"/>
    <w:rsid w:val="00461686"/>
    <w:rsid w:val="00462BA7"/>
    <w:rsid w:val="00462CFC"/>
    <w:rsid w:val="00463132"/>
    <w:rsid w:val="00464548"/>
    <w:rsid w:val="004646A4"/>
    <w:rsid w:val="00465A63"/>
    <w:rsid w:val="00466699"/>
    <w:rsid w:val="00466EA5"/>
    <w:rsid w:val="00470F98"/>
    <w:rsid w:val="00472C9F"/>
    <w:rsid w:val="0047354F"/>
    <w:rsid w:val="0047400F"/>
    <w:rsid w:val="00474615"/>
    <w:rsid w:val="00474924"/>
    <w:rsid w:val="0047560A"/>
    <w:rsid w:val="004757AF"/>
    <w:rsid w:val="00480087"/>
    <w:rsid w:val="00480276"/>
    <w:rsid w:val="00480AFB"/>
    <w:rsid w:val="00480BF2"/>
    <w:rsid w:val="0048179B"/>
    <w:rsid w:val="00481D56"/>
    <w:rsid w:val="004820A9"/>
    <w:rsid w:val="00482303"/>
    <w:rsid w:val="004823A3"/>
    <w:rsid w:val="00483B12"/>
    <w:rsid w:val="00484B69"/>
    <w:rsid w:val="004851CB"/>
    <w:rsid w:val="00485CC3"/>
    <w:rsid w:val="00485FD4"/>
    <w:rsid w:val="004862CC"/>
    <w:rsid w:val="0048708D"/>
    <w:rsid w:val="00487111"/>
    <w:rsid w:val="00487558"/>
    <w:rsid w:val="004875B2"/>
    <w:rsid w:val="00490D5E"/>
    <w:rsid w:val="00491ABF"/>
    <w:rsid w:val="00492B4A"/>
    <w:rsid w:val="00492F43"/>
    <w:rsid w:val="00493EBF"/>
    <w:rsid w:val="00495DDC"/>
    <w:rsid w:val="00496165"/>
    <w:rsid w:val="00496179"/>
    <w:rsid w:val="00497813"/>
    <w:rsid w:val="00497906"/>
    <w:rsid w:val="00497B74"/>
    <w:rsid w:val="004A0A20"/>
    <w:rsid w:val="004A0ADE"/>
    <w:rsid w:val="004A1DEB"/>
    <w:rsid w:val="004A27AD"/>
    <w:rsid w:val="004A27ED"/>
    <w:rsid w:val="004A3BC5"/>
    <w:rsid w:val="004A5474"/>
    <w:rsid w:val="004A5A0A"/>
    <w:rsid w:val="004A5D2D"/>
    <w:rsid w:val="004A63D1"/>
    <w:rsid w:val="004A6778"/>
    <w:rsid w:val="004A6875"/>
    <w:rsid w:val="004A6B0F"/>
    <w:rsid w:val="004A79A6"/>
    <w:rsid w:val="004B0519"/>
    <w:rsid w:val="004B0F99"/>
    <w:rsid w:val="004B1E8F"/>
    <w:rsid w:val="004B3363"/>
    <w:rsid w:val="004B3599"/>
    <w:rsid w:val="004B49FC"/>
    <w:rsid w:val="004B5269"/>
    <w:rsid w:val="004B5B57"/>
    <w:rsid w:val="004B6F8C"/>
    <w:rsid w:val="004B6F91"/>
    <w:rsid w:val="004C037D"/>
    <w:rsid w:val="004C0B71"/>
    <w:rsid w:val="004C2CAB"/>
    <w:rsid w:val="004C397B"/>
    <w:rsid w:val="004C4092"/>
    <w:rsid w:val="004C631E"/>
    <w:rsid w:val="004C7EC8"/>
    <w:rsid w:val="004C7F8B"/>
    <w:rsid w:val="004D0862"/>
    <w:rsid w:val="004D2A27"/>
    <w:rsid w:val="004D2C74"/>
    <w:rsid w:val="004D2E63"/>
    <w:rsid w:val="004D3678"/>
    <w:rsid w:val="004D4284"/>
    <w:rsid w:val="004D4A11"/>
    <w:rsid w:val="004D5F0C"/>
    <w:rsid w:val="004D6931"/>
    <w:rsid w:val="004D7B61"/>
    <w:rsid w:val="004E1C1A"/>
    <w:rsid w:val="004E311B"/>
    <w:rsid w:val="004E50DF"/>
    <w:rsid w:val="004E5170"/>
    <w:rsid w:val="004E536D"/>
    <w:rsid w:val="004E5B14"/>
    <w:rsid w:val="004E6643"/>
    <w:rsid w:val="004E6858"/>
    <w:rsid w:val="004E688C"/>
    <w:rsid w:val="004E725B"/>
    <w:rsid w:val="004E7262"/>
    <w:rsid w:val="004E76F0"/>
    <w:rsid w:val="004F086D"/>
    <w:rsid w:val="004F0CCC"/>
    <w:rsid w:val="004F1851"/>
    <w:rsid w:val="004F1B0E"/>
    <w:rsid w:val="004F1D94"/>
    <w:rsid w:val="004F1DDA"/>
    <w:rsid w:val="004F1E1D"/>
    <w:rsid w:val="004F2998"/>
    <w:rsid w:val="004F311D"/>
    <w:rsid w:val="004F48C5"/>
    <w:rsid w:val="004F4B1E"/>
    <w:rsid w:val="005009E8"/>
    <w:rsid w:val="005016A3"/>
    <w:rsid w:val="005016EA"/>
    <w:rsid w:val="00501A1E"/>
    <w:rsid w:val="005036EA"/>
    <w:rsid w:val="005052D2"/>
    <w:rsid w:val="00506C37"/>
    <w:rsid w:val="005101DD"/>
    <w:rsid w:val="005118D0"/>
    <w:rsid w:val="005121CB"/>
    <w:rsid w:val="00512395"/>
    <w:rsid w:val="005124F7"/>
    <w:rsid w:val="00513828"/>
    <w:rsid w:val="00513EA3"/>
    <w:rsid w:val="00514CED"/>
    <w:rsid w:val="00517F1F"/>
    <w:rsid w:val="00520B5D"/>
    <w:rsid w:val="005222F5"/>
    <w:rsid w:val="00523399"/>
    <w:rsid w:val="0052393C"/>
    <w:rsid w:val="00526B84"/>
    <w:rsid w:val="00527395"/>
    <w:rsid w:val="00527F3F"/>
    <w:rsid w:val="00530099"/>
    <w:rsid w:val="00531D12"/>
    <w:rsid w:val="005324D0"/>
    <w:rsid w:val="0053287F"/>
    <w:rsid w:val="00533412"/>
    <w:rsid w:val="00533B73"/>
    <w:rsid w:val="00534F7C"/>
    <w:rsid w:val="00540EF1"/>
    <w:rsid w:val="00541F72"/>
    <w:rsid w:val="0054287E"/>
    <w:rsid w:val="00542B67"/>
    <w:rsid w:val="00543110"/>
    <w:rsid w:val="00543A5E"/>
    <w:rsid w:val="00543CB6"/>
    <w:rsid w:val="00543FA4"/>
    <w:rsid w:val="00544428"/>
    <w:rsid w:val="0054442B"/>
    <w:rsid w:val="005446FE"/>
    <w:rsid w:val="005465AC"/>
    <w:rsid w:val="00547B56"/>
    <w:rsid w:val="00550BB7"/>
    <w:rsid w:val="0055110F"/>
    <w:rsid w:val="00551F2D"/>
    <w:rsid w:val="005520A4"/>
    <w:rsid w:val="00554507"/>
    <w:rsid w:val="0055455D"/>
    <w:rsid w:val="00554BC3"/>
    <w:rsid w:val="00555E4F"/>
    <w:rsid w:val="00555F37"/>
    <w:rsid w:val="005574B3"/>
    <w:rsid w:val="00560084"/>
    <w:rsid w:val="00561FC1"/>
    <w:rsid w:val="005622F3"/>
    <w:rsid w:val="005626D4"/>
    <w:rsid w:val="00563A64"/>
    <w:rsid w:val="005644CC"/>
    <w:rsid w:val="00564893"/>
    <w:rsid w:val="00564AAA"/>
    <w:rsid w:val="00566165"/>
    <w:rsid w:val="00566B3F"/>
    <w:rsid w:val="005670B3"/>
    <w:rsid w:val="00570D63"/>
    <w:rsid w:val="00570E60"/>
    <w:rsid w:val="00570ECB"/>
    <w:rsid w:val="00571437"/>
    <w:rsid w:val="005718DE"/>
    <w:rsid w:val="00571CEB"/>
    <w:rsid w:val="00573035"/>
    <w:rsid w:val="0057358A"/>
    <w:rsid w:val="00573C34"/>
    <w:rsid w:val="005744E3"/>
    <w:rsid w:val="0057630F"/>
    <w:rsid w:val="00576595"/>
    <w:rsid w:val="00576914"/>
    <w:rsid w:val="00576AEC"/>
    <w:rsid w:val="00577439"/>
    <w:rsid w:val="005810E3"/>
    <w:rsid w:val="005816CF"/>
    <w:rsid w:val="00583484"/>
    <w:rsid w:val="005836B5"/>
    <w:rsid w:val="005852EF"/>
    <w:rsid w:val="00585BA7"/>
    <w:rsid w:val="00585E26"/>
    <w:rsid w:val="00586554"/>
    <w:rsid w:val="00586587"/>
    <w:rsid w:val="005873C5"/>
    <w:rsid w:val="00587766"/>
    <w:rsid w:val="005901DF"/>
    <w:rsid w:val="00590C05"/>
    <w:rsid w:val="00590C16"/>
    <w:rsid w:val="00590E20"/>
    <w:rsid w:val="00591514"/>
    <w:rsid w:val="005924FD"/>
    <w:rsid w:val="00594DEF"/>
    <w:rsid w:val="00595A2B"/>
    <w:rsid w:val="00596C1E"/>
    <w:rsid w:val="0059780E"/>
    <w:rsid w:val="00597B0E"/>
    <w:rsid w:val="005A02FD"/>
    <w:rsid w:val="005A2506"/>
    <w:rsid w:val="005A43A1"/>
    <w:rsid w:val="005A4F42"/>
    <w:rsid w:val="005A5C9D"/>
    <w:rsid w:val="005A6C0C"/>
    <w:rsid w:val="005A6DBF"/>
    <w:rsid w:val="005A73B1"/>
    <w:rsid w:val="005A74A6"/>
    <w:rsid w:val="005A7CD9"/>
    <w:rsid w:val="005A7E6F"/>
    <w:rsid w:val="005B071D"/>
    <w:rsid w:val="005B0CBD"/>
    <w:rsid w:val="005B12FD"/>
    <w:rsid w:val="005B18B6"/>
    <w:rsid w:val="005B1FB8"/>
    <w:rsid w:val="005B22A6"/>
    <w:rsid w:val="005B2728"/>
    <w:rsid w:val="005B304D"/>
    <w:rsid w:val="005B368D"/>
    <w:rsid w:val="005B39CF"/>
    <w:rsid w:val="005B4BD8"/>
    <w:rsid w:val="005B5656"/>
    <w:rsid w:val="005B6485"/>
    <w:rsid w:val="005B7778"/>
    <w:rsid w:val="005B7D9F"/>
    <w:rsid w:val="005C2384"/>
    <w:rsid w:val="005C2E9C"/>
    <w:rsid w:val="005C4EB8"/>
    <w:rsid w:val="005C633F"/>
    <w:rsid w:val="005C72CC"/>
    <w:rsid w:val="005C7696"/>
    <w:rsid w:val="005C7A07"/>
    <w:rsid w:val="005D00EA"/>
    <w:rsid w:val="005D03CD"/>
    <w:rsid w:val="005D0743"/>
    <w:rsid w:val="005D21EB"/>
    <w:rsid w:val="005D25DA"/>
    <w:rsid w:val="005D2768"/>
    <w:rsid w:val="005D4F7A"/>
    <w:rsid w:val="005E1689"/>
    <w:rsid w:val="005E1C07"/>
    <w:rsid w:val="005E1EB9"/>
    <w:rsid w:val="005E227C"/>
    <w:rsid w:val="005E289C"/>
    <w:rsid w:val="005E297B"/>
    <w:rsid w:val="005E2AEA"/>
    <w:rsid w:val="005E33FA"/>
    <w:rsid w:val="005E3740"/>
    <w:rsid w:val="005E3E05"/>
    <w:rsid w:val="005E41D7"/>
    <w:rsid w:val="005E4608"/>
    <w:rsid w:val="005E4624"/>
    <w:rsid w:val="005E4A1A"/>
    <w:rsid w:val="005E535F"/>
    <w:rsid w:val="005E5689"/>
    <w:rsid w:val="005E5E7F"/>
    <w:rsid w:val="005E60D6"/>
    <w:rsid w:val="005F0874"/>
    <w:rsid w:val="005F116D"/>
    <w:rsid w:val="005F1ECE"/>
    <w:rsid w:val="005F23BD"/>
    <w:rsid w:val="005F29EB"/>
    <w:rsid w:val="005F3845"/>
    <w:rsid w:val="005F3B1C"/>
    <w:rsid w:val="005F4D76"/>
    <w:rsid w:val="005F5258"/>
    <w:rsid w:val="005F553E"/>
    <w:rsid w:val="005F5891"/>
    <w:rsid w:val="005F589C"/>
    <w:rsid w:val="005F7928"/>
    <w:rsid w:val="0060078F"/>
    <w:rsid w:val="006008B7"/>
    <w:rsid w:val="00601A77"/>
    <w:rsid w:val="00603131"/>
    <w:rsid w:val="006033FF"/>
    <w:rsid w:val="00603BC0"/>
    <w:rsid w:val="00603CE1"/>
    <w:rsid w:val="0060408E"/>
    <w:rsid w:val="00604249"/>
    <w:rsid w:val="00604F01"/>
    <w:rsid w:val="006056C9"/>
    <w:rsid w:val="006066EA"/>
    <w:rsid w:val="00606A52"/>
    <w:rsid w:val="00606BFE"/>
    <w:rsid w:val="0060714A"/>
    <w:rsid w:val="00607150"/>
    <w:rsid w:val="00607A01"/>
    <w:rsid w:val="00607AD9"/>
    <w:rsid w:val="006100CA"/>
    <w:rsid w:val="00610EFE"/>
    <w:rsid w:val="00612365"/>
    <w:rsid w:val="006124CE"/>
    <w:rsid w:val="006125DE"/>
    <w:rsid w:val="006126F8"/>
    <w:rsid w:val="00612C77"/>
    <w:rsid w:val="00612D7F"/>
    <w:rsid w:val="006133D6"/>
    <w:rsid w:val="00613FDA"/>
    <w:rsid w:val="0061490B"/>
    <w:rsid w:val="00614B4B"/>
    <w:rsid w:val="00614C03"/>
    <w:rsid w:val="00615551"/>
    <w:rsid w:val="006157ED"/>
    <w:rsid w:val="0061672A"/>
    <w:rsid w:val="006200BD"/>
    <w:rsid w:val="00620DDC"/>
    <w:rsid w:val="00620EB9"/>
    <w:rsid w:val="0062120F"/>
    <w:rsid w:val="00622C49"/>
    <w:rsid w:val="00622EAF"/>
    <w:rsid w:val="00623205"/>
    <w:rsid w:val="006240B8"/>
    <w:rsid w:val="00624DD3"/>
    <w:rsid w:val="0062502E"/>
    <w:rsid w:val="006253E2"/>
    <w:rsid w:val="00625ACA"/>
    <w:rsid w:val="00626965"/>
    <w:rsid w:val="00627C47"/>
    <w:rsid w:val="00627EF1"/>
    <w:rsid w:val="00627FA0"/>
    <w:rsid w:val="00627FA5"/>
    <w:rsid w:val="00630432"/>
    <w:rsid w:val="00631270"/>
    <w:rsid w:val="00631600"/>
    <w:rsid w:val="00631F83"/>
    <w:rsid w:val="0063215A"/>
    <w:rsid w:val="00633C53"/>
    <w:rsid w:val="00640ED1"/>
    <w:rsid w:val="00641968"/>
    <w:rsid w:val="0064212B"/>
    <w:rsid w:val="006423F3"/>
    <w:rsid w:val="0064539A"/>
    <w:rsid w:val="00647341"/>
    <w:rsid w:val="00647478"/>
    <w:rsid w:val="0065089E"/>
    <w:rsid w:val="00651146"/>
    <w:rsid w:val="006512E4"/>
    <w:rsid w:val="0065132B"/>
    <w:rsid w:val="006521DF"/>
    <w:rsid w:val="00652F63"/>
    <w:rsid w:val="00653248"/>
    <w:rsid w:val="00653571"/>
    <w:rsid w:val="00653ACF"/>
    <w:rsid w:val="0065754B"/>
    <w:rsid w:val="00660FDB"/>
    <w:rsid w:val="00662550"/>
    <w:rsid w:val="006628CE"/>
    <w:rsid w:val="00664FFD"/>
    <w:rsid w:val="006657F8"/>
    <w:rsid w:val="00665A60"/>
    <w:rsid w:val="00666312"/>
    <w:rsid w:val="00666711"/>
    <w:rsid w:val="00667A6F"/>
    <w:rsid w:val="00670047"/>
    <w:rsid w:val="00670AFD"/>
    <w:rsid w:val="00672188"/>
    <w:rsid w:val="0067286B"/>
    <w:rsid w:val="0067367F"/>
    <w:rsid w:val="00673BE8"/>
    <w:rsid w:val="006758AC"/>
    <w:rsid w:val="00675A32"/>
    <w:rsid w:val="006762BC"/>
    <w:rsid w:val="006764C4"/>
    <w:rsid w:val="0067686B"/>
    <w:rsid w:val="0068036C"/>
    <w:rsid w:val="006814E5"/>
    <w:rsid w:val="00682065"/>
    <w:rsid w:val="00682FCD"/>
    <w:rsid w:val="00683A48"/>
    <w:rsid w:val="006843E4"/>
    <w:rsid w:val="006843EF"/>
    <w:rsid w:val="00684E19"/>
    <w:rsid w:val="00686EA9"/>
    <w:rsid w:val="0068733A"/>
    <w:rsid w:val="00687453"/>
    <w:rsid w:val="00687CE8"/>
    <w:rsid w:val="0069021A"/>
    <w:rsid w:val="0069060C"/>
    <w:rsid w:val="00690A6B"/>
    <w:rsid w:val="00690DC3"/>
    <w:rsid w:val="00691380"/>
    <w:rsid w:val="0069139A"/>
    <w:rsid w:val="006930F8"/>
    <w:rsid w:val="00694179"/>
    <w:rsid w:val="00695A96"/>
    <w:rsid w:val="00695EF1"/>
    <w:rsid w:val="006960B5"/>
    <w:rsid w:val="006A01FC"/>
    <w:rsid w:val="006A0EEA"/>
    <w:rsid w:val="006A10CF"/>
    <w:rsid w:val="006A498F"/>
    <w:rsid w:val="006A4AA5"/>
    <w:rsid w:val="006A51D8"/>
    <w:rsid w:val="006A6479"/>
    <w:rsid w:val="006A6807"/>
    <w:rsid w:val="006A6D3D"/>
    <w:rsid w:val="006A71E2"/>
    <w:rsid w:val="006A747E"/>
    <w:rsid w:val="006A77A4"/>
    <w:rsid w:val="006B00DF"/>
    <w:rsid w:val="006B0B2C"/>
    <w:rsid w:val="006B1FAD"/>
    <w:rsid w:val="006B21A9"/>
    <w:rsid w:val="006B23C9"/>
    <w:rsid w:val="006B2FBB"/>
    <w:rsid w:val="006B351E"/>
    <w:rsid w:val="006B3684"/>
    <w:rsid w:val="006B3D73"/>
    <w:rsid w:val="006B4348"/>
    <w:rsid w:val="006B54C2"/>
    <w:rsid w:val="006B57C5"/>
    <w:rsid w:val="006B640C"/>
    <w:rsid w:val="006B6465"/>
    <w:rsid w:val="006B6B2E"/>
    <w:rsid w:val="006B77A4"/>
    <w:rsid w:val="006C0802"/>
    <w:rsid w:val="006C1C67"/>
    <w:rsid w:val="006C2A7A"/>
    <w:rsid w:val="006C2ACF"/>
    <w:rsid w:val="006C3C14"/>
    <w:rsid w:val="006C40DA"/>
    <w:rsid w:val="006C419C"/>
    <w:rsid w:val="006C50D7"/>
    <w:rsid w:val="006C5492"/>
    <w:rsid w:val="006C5FD3"/>
    <w:rsid w:val="006C6316"/>
    <w:rsid w:val="006C69E5"/>
    <w:rsid w:val="006C6D2D"/>
    <w:rsid w:val="006C79F5"/>
    <w:rsid w:val="006D050B"/>
    <w:rsid w:val="006D071D"/>
    <w:rsid w:val="006D0EB5"/>
    <w:rsid w:val="006D16A1"/>
    <w:rsid w:val="006D2371"/>
    <w:rsid w:val="006D2654"/>
    <w:rsid w:val="006D2943"/>
    <w:rsid w:val="006D3372"/>
    <w:rsid w:val="006D469B"/>
    <w:rsid w:val="006D55C4"/>
    <w:rsid w:val="006D60D9"/>
    <w:rsid w:val="006D6E4C"/>
    <w:rsid w:val="006D7358"/>
    <w:rsid w:val="006D7DB6"/>
    <w:rsid w:val="006D7E2A"/>
    <w:rsid w:val="006E0E78"/>
    <w:rsid w:val="006E1501"/>
    <w:rsid w:val="006E3543"/>
    <w:rsid w:val="006E36F4"/>
    <w:rsid w:val="006E3B85"/>
    <w:rsid w:val="006E3F38"/>
    <w:rsid w:val="006E45EB"/>
    <w:rsid w:val="006E4842"/>
    <w:rsid w:val="006E66E0"/>
    <w:rsid w:val="006E6AAF"/>
    <w:rsid w:val="006E747A"/>
    <w:rsid w:val="006F0567"/>
    <w:rsid w:val="006F12E3"/>
    <w:rsid w:val="006F19E5"/>
    <w:rsid w:val="006F2712"/>
    <w:rsid w:val="006F3D82"/>
    <w:rsid w:val="006F4702"/>
    <w:rsid w:val="006F5456"/>
    <w:rsid w:val="006F7056"/>
    <w:rsid w:val="006F7937"/>
    <w:rsid w:val="006F7FC1"/>
    <w:rsid w:val="007010D3"/>
    <w:rsid w:val="007018EA"/>
    <w:rsid w:val="00701ADD"/>
    <w:rsid w:val="00702551"/>
    <w:rsid w:val="0070278E"/>
    <w:rsid w:val="00702EBC"/>
    <w:rsid w:val="00703452"/>
    <w:rsid w:val="00703642"/>
    <w:rsid w:val="007050A2"/>
    <w:rsid w:val="007054F6"/>
    <w:rsid w:val="00705595"/>
    <w:rsid w:val="00705C69"/>
    <w:rsid w:val="007062B3"/>
    <w:rsid w:val="007077C9"/>
    <w:rsid w:val="00710996"/>
    <w:rsid w:val="00710A96"/>
    <w:rsid w:val="00711C8A"/>
    <w:rsid w:val="00713093"/>
    <w:rsid w:val="007133B2"/>
    <w:rsid w:val="00713AB1"/>
    <w:rsid w:val="00713FB1"/>
    <w:rsid w:val="00714BA2"/>
    <w:rsid w:val="0071527F"/>
    <w:rsid w:val="007157A7"/>
    <w:rsid w:val="007158CF"/>
    <w:rsid w:val="00716E89"/>
    <w:rsid w:val="00717374"/>
    <w:rsid w:val="00717C51"/>
    <w:rsid w:val="00717F64"/>
    <w:rsid w:val="007210BD"/>
    <w:rsid w:val="007211DC"/>
    <w:rsid w:val="0072141D"/>
    <w:rsid w:val="0072229B"/>
    <w:rsid w:val="0072309D"/>
    <w:rsid w:val="0072421F"/>
    <w:rsid w:val="00725549"/>
    <w:rsid w:val="00725AA1"/>
    <w:rsid w:val="00725BAF"/>
    <w:rsid w:val="00725C7D"/>
    <w:rsid w:val="00726483"/>
    <w:rsid w:val="00726B7D"/>
    <w:rsid w:val="00726F2F"/>
    <w:rsid w:val="007273EC"/>
    <w:rsid w:val="0072771A"/>
    <w:rsid w:val="00730EEA"/>
    <w:rsid w:val="00731727"/>
    <w:rsid w:val="0073262C"/>
    <w:rsid w:val="00735040"/>
    <w:rsid w:val="00735439"/>
    <w:rsid w:val="00737655"/>
    <w:rsid w:val="00737A25"/>
    <w:rsid w:val="00740E00"/>
    <w:rsid w:val="007410D3"/>
    <w:rsid w:val="00741C71"/>
    <w:rsid w:val="0074263D"/>
    <w:rsid w:val="00742C60"/>
    <w:rsid w:val="007461B5"/>
    <w:rsid w:val="00750F9C"/>
    <w:rsid w:val="007510D0"/>
    <w:rsid w:val="007513F3"/>
    <w:rsid w:val="0075141D"/>
    <w:rsid w:val="00751FD2"/>
    <w:rsid w:val="00752238"/>
    <w:rsid w:val="00753B7B"/>
    <w:rsid w:val="007555BF"/>
    <w:rsid w:val="0075665F"/>
    <w:rsid w:val="00756A46"/>
    <w:rsid w:val="00756CD3"/>
    <w:rsid w:val="00756E18"/>
    <w:rsid w:val="00756F1A"/>
    <w:rsid w:val="00757648"/>
    <w:rsid w:val="00760FB9"/>
    <w:rsid w:val="00762372"/>
    <w:rsid w:val="007624AB"/>
    <w:rsid w:val="007627C0"/>
    <w:rsid w:val="00762DDE"/>
    <w:rsid w:val="00762FA8"/>
    <w:rsid w:val="00763078"/>
    <w:rsid w:val="0076355F"/>
    <w:rsid w:val="00764A3C"/>
    <w:rsid w:val="00764D92"/>
    <w:rsid w:val="00764E36"/>
    <w:rsid w:val="007672BE"/>
    <w:rsid w:val="00770FA8"/>
    <w:rsid w:val="0077104F"/>
    <w:rsid w:val="007711E3"/>
    <w:rsid w:val="007738FC"/>
    <w:rsid w:val="00773C0A"/>
    <w:rsid w:val="00773EE1"/>
    <w:rsid w:val="00774442"/>
    <w:rsid w:val="00774A7C"/>
    <w:rsid w:val="00774D67"/>
    <w:rsid w:val="00774F40"/>
    <w:rsid w:val="0077566B"/>
    <w:rsid w:val="00776EED"/>
    <w:rsid w:val="00780D82"/>
    <w:rsid w:val="0078190E"/>
    <w:rsid w:val="00782373"/>
    <w:rsid w:val="00782F47"/>
    <w:rsid w:val="007832BC"/>
    <w:rsid w:val="007848A5"/>
    <w:rsid w:val="007853F2"/>
    <w:rsid w:val="00785A98"/>
    <w:rsid w:val="00785D86"/>
    <w:rsid w:val="007861E7"/>
    <w:rsid w:val="00786DCD"/>
    <w:rsid w:val="00787D51"/>
    <w:rsid w:val="00787FDA"/>
    <w:rsid w:val="00791D38"/>
    <w:rsid w:val="00791F61"/>
    <w:rsid w:val="007930E4"/>
    <w:rsid w:val="00793D75"/>
    <w:rsid w:val="0079407B"/>
    <w:rsid w:val="00794636"/>
    <w:rsid w:val="00794B19"/>
    <w:rsid w:val="00794BBC"/>
    <w:rsid w:val="00794FEB"/>
    <w:rsid w:val="0079558B"/>
    <w:rsid w:val="007957BA"/>
    <w:rsid w:val="00795975"/>
    <w:rsid w:val="00795A4E"/>
    <w:rsid w:val="00795ACF"/>
    <w:rsid w:val="00796046"/>
    <w:rsid w:val="007961C1"/>
    <w:rsid w:val="007972DF"/>
    <w:rsid w:val="007A0A92"/>
    <w:rsid w:val="007A1436"/>
    <w:rsid w:val="007A1520"/>
    <w:rsid w:val="007A176A"/>
    <w:rsid w:val="007A1B47"/>
    <w:rsid w:val="007A2103"/>
    <w:rsid w:val="007A2EF3"/>
    <w:rsid w:val="007A389A"/>
    <w:rsid w:val="007A3F7E"/>
    <w:rsid w:val="007A5B96"/>
    <w:rsid w:val="007A7288"/>
    <w:rsid w:val="007A776F"/>
    <w:rsid w:val="007A796C"/>
    <w:rsid w:val="007A7B0E"/>
    <w:rsid w:val="007B0649"/>
    <w:rsid w:val="007B096F"/>
    <w:rsid w:val="007B2229"/>
    <w:rsid w:val="007B27BE"/>
    <w:rsid w:val="007B3609"/>
    <w:rsid w:val="007B36F6"/>
    <w:rsid w:val="007B3A74"/>
    <w:rsid w:val="007B4895"/>
    <w:rsid w:val="007B567D"/>
    <w:rsid w:val="007B67B9"/>
    <w:rsid w:val="007B7B44"/>
    <w:rsid w:val="007C0BCC"/>
    <w:rsid w:val="007C1A69"/>
    <w:rsid w:val="007C3182"/>
    <w:rsid w:val="007C3FEA"/>
    <w:rsid w:val="007D05E9"/>
    <w:rsid w:val="007D1694"/>
    <w:rsid w:val="007D3F6F"/>
    <w:rsid w:val="007D4822"/>
    <w:rsid w:val="007D4D4D"/>
    <w:rsid w:val="007D522E"/>
    <w:rsid w:val="007D6142"/>
    <w:rsid w:val="007D6249"/>
    <w:rsid w:val="007D6C1F"/>
    <w:rsid w:val="007D7BAE"/>
    <w:rsid w:val="007E017E"/>
    <w:rsid w:val="007E04F8"/>
    <w:rsid w:val="007E2074"/>
    <w:rsid w:val="007E24AA"/>
    <w:rsid w:val="007E37B1"/>
    <w:rsid w:val="007E3A26"/>
    <w:rsid w:val="007E3F2C"/>
    <w:rsid w:val="007E50BA"/>
    <w:rsid w:val="007E5D01"/>
    <w:rsid w:val="007E6840"/>
    <w:rsid w:val="007F00CF"/>
    <w:rsid w:val="007F314C"/>
    <w:rsid w:val="007F3B75"/>
    <w:rsid w:val="007F471C"/>
    <w:rsid w:val="007F6178"/>
    <w:rsid w:val="007F697A"/>
    <w:rsid w:val="008019A5"/>
    <w:rsid w:val="008023A5"/>
    <w:rsid w:val="0080351E"/>
    <w:rsid w:val="008041B4"/>
    <w:rsid w:val="00804482"/>
    <w:rsid w:val="00804A43"/>
    <w:rsid w:val="008056AB"/>
    <w:rsid w:val="008056F5"/>
    <w:rsid w:val="00806033"/>
    <w:rsid w:val="00806174"/>
    <w:rsid w:val="00807143"/>
    <w:rsid w:val="0080720B"/>
    <w:rsid w:val="00807D0D"/>
    <w:rsid w:val="0081022A"/>
    <w:rsid w:val="0081158C"/>
    <w:rsid w:val="00811F3B"/>
    <w:rsid w:val="00812ABA"/>
    <w:rsid w:val="00813766"/>
    <w:rsid w:val="008137C6"/>
    <w:rsid w:val="00813E37"/>
    <w:rsid w:val="0081406E"/>
    <w:rsid w:val="008142E9"/>
    <w:rsid w:val="008144DC"/>
    <w:rsid w:val="00814C19"/>
    <w:rsid w:val="00814FA9"/>
    <w:rsid w:val="00815739"/>
    <w:rsid w:val="0081589A"/>
    <w:rsid w:val="00815D59"/>
    <w:rsid w:val="00817A19"/>
    <w:rsid w:val="00817D55"/>
    <w:rsid w:val="00820B4B"/>
    <w:rsid w:val="00822B5B"/>
    <w:rsid w:val="00823570"/>
    <w:rsid w:val="0082392E"/>
    <w:rsid w:val="008248B4"/>
    <w:rsid w:val="00824CD5"/>
    <w:rsid w:val="008253D8"/>
    <w:rsid w:val="008266B6"/>
    <w:rsid w:val="008269BE"/>
    <w:rsid w:val="00827B86"/>
    <w:rsid w:val="00827C62"/>
    <w:rsid w:val="00830AEE"/>
    <w:rsid w:val="00830B5E"/>
    <w:rsid w:val="00830C6E"/>
    <w:rsid w:val="0083122B"/>
    <w:rsid w:val="008328E0"/>
    <w:rsid w:val="008333F2"/>
    <w:rsid w:val="00834375"/>
    <w:rsid w:val="00835690"/>
    <w:rsid w:val="0083652D"/>
    <w:rsid w:val="00836CCD"/>
    <w:rsid w:val="00837A29"/>
    <w:rsid w:val="00837C52"/>
    <w:rsid w:val="0084036E"/>
    <w:rsid w:val="00840BF7"/>
    <w:rsid w:val="00840F0A"/>
    <w:rsid w:val="00841D69"/>
    <w:rsid w:val="00842D9B"/>
    <w:rsid w:val="0084456B"/>
    <w:rsid w:val="00844779"/>
    <w:rsid w:val="00845150"/>
    <w:rsid w:val="00845646"/>
    <w:rsid w:val="008467B7"/>
    <w:rsid w:val="00846BEC"/>
    <w:rsid w:val="00846D9D"/>
    <w:rsid w:val="00850A18"/>
    <w:rsid w:val="008515A4"/>
    <w:rsid w:val="00851A5B"/>
    <w:rsid w:val="00851F72"/>
    <w:rsid w:val="0085461C"/>
    <w:rsid w:val="008548CB"/>
    <w:rsid w:val="008548DB"/>
    <w:rsid w:val="008557C3"/>
    <w:rsid w:val="00855FCD"/>
    <w:rsid w:val="00856628"/>
    <w:rsid w:val="00856F57"/>
    <w:rsid w:val="00857C9F"/>
    <w:rsid w:val="008606CA"/>
    <w:rsid w:val="00860B09"/>
    <w:rsid w:val="008614D2"/>
    <w:rsid w:val="00861957"/>
    <w:rsid w:val="0086220E"/>
    <w:rsid w:val="0086370A"/>
    <w:rsid w:val="0086377A"/>
    <w:rsid w:val="00864516"/>
    <w:rsid w:val="00864D0A"/>
    <w:rsid w:val="00864E50"/>
    <w:rsid w:val="00864EA6"/>
    <w:rsid w:val="00865467"/>
    <w:rsid w:val="008654CC"/>
    <w:rsid w:val="0086612E"/>
    <w:rsid w:val="00866D21"/>
    <w:rsid w:val="008709AE"/>
    <w:rsid w:val="0087227E"/>
    <w:rsid w:val="008724E9"/>
    <w:rsid w:val="00872E99"/>
    <w:rsid w:val="00873FAD"/>
    <w:rsid w:val="008744CD"/>
    <w:rsid w:val="008746F6"/>
    <w:rsid w:val="008747D6"/>
    <w:rsid w:val="008764AF"/>
    <w:rsid w:val="008767EE"/>
    <w:rsid w:val="0087692C"/>
    <w:rsid w:val="00876C2A"/>
    <w:rsid w:val="00880558"/>
    <w:rsid w:val="0088069B"/>
    <w:rsid w:val="008814AA"/>
    <w:rsid w:val="008825FA"/>
    <w:rsid w:val="00882825"/>
    <w:rsid w:val="00883B7B"/>
    <w:rsid w:val="008853A7"/>
    <w:rsid w:val="00886A1E"/>
    <w:rsid w:val="00887099"/>
    <w:rsid w:val="0088779B"/>
    <w:rsid w:val="00887A97"/>
    <w:rsid w:val="0089095E"/>
    <w:rsid w:val="00890B49"/>
    <w:rsid w:val="00891F7F"/>
    <w:rsid w:val="00893638"/>
    <w:rsid w:val="00894A47"/>
    <w:rsid w:val="00895160"/>
    <w:rsid w:val="00895A19"/>
    <w:rsid w:val="00896BF3"/>
    <w:rsid w:val="0089730D"/>
    <w:rsid w:val="008A013B"/>
    <w:rsid w:val="008A168F"/>
    <w:rsid w:val="008A18B0"/>
    <w:rsid w:val="008A1EA9"/>
    <w:rsid w:val="008A2221"/>
    <w:rsid w:val="008A3153"/>
    <w:rsid w:val="008A448A"/>
    <w:rsid w:val="008A4917"/>
    <w:rsid w:val="008A4F88"/>
    <w:rsid w:val="008A5934"/>
    <w:rsid w:val="008A74BC"/>
    <w:rsid w:val="008A75B4"/>
    <w:rsid w:val="008A782E"/>
    <w:rsid w:val="008B138D"/>
    <w:rsid w:val="008B14B8"/>
    <w:rsid w:val="008B1B9B"/>
    <w:rsid w:val="008B1D0B"/>
    <w:rsid w:val="008B1EBF"/>
    <w:rsid w:val="008B2FD2"/>
    <w:rsid w:val="008B301D"/>
    <w:rsid w:val="008B3757"/>
    <w:rsid w:val="008B4A0E"/>
    <w:rsid w:val="008B5A8A"/>
    <w:rsid w:val="008B6504"/>
    <w:rsid w:val="008B69CC"/>
    <w:rsid w:val="008B6F13"/>
    <w:rsid w:val="008B78AA"/>
    <w:rsid w:val="008B7DD6"/>
    <w:rsid w:val="008C1B61"/>
    <w:rsid w:val="008C1FCE"/>
    <w:rsid w:val="008C21EC"/>
    <w:rsid w:val="008C279E"/>
    <w:rsid w:val="008C424C"/>
    <w:rsid w:val="008C485B"/>
    <w:rsid w:val="008C4A65"/>
    <w:rsid w:val="008C4F28"/>
    <w:rsid w:val="008C588C"/>
    <w:rsid w:val="008C68EE"/>
    <w:rsid w:val="008C6A6E"/>
    <w:rsid w:val="008C778A"/>
    <w:rsid w:val="008D05BA"/>
    <w:rsid w:val="008D0635"/>
    <w:rsid w:val="008D1184"/>
    <w:rsid w:val="008D11E5"/>
    <w:rsid w:val="008D1B43"/>
    <w:rsid w:val="008D1D33"/>
    <w:rsid w:val="008D2F99"/>
    <w:rsid w:val="008D3E19"/>
    <w:rsid w:val="008D45D9"/>
    <w:rsid w:val="008D54AC"/>
    <w:rsid w:val="008D6D92"/>
    <w:rsid w:val="008E0705"/>
    <w:rsid w:val="008E146D"/>
    <w:rsid w:val="008E1E60"/>
    <w:rsid w:val="008E2235"/>
    <w:rsid w:val="008E5760"/>
    <w:rsid w:val="008E5954"/>
    <w:rsid w:val="008E59D3"/>
    <w:rsid w:val="008E5AE3"/>
    <w:rsid w:val="008E5F1A"/>
    <w:rsid w:val="008E644C"/>
    <w:rsid w:val="008E75D8"/>
    <w:rsid w:val="008E7B70"/>
    <w:rsid w:val="008F17D4"/>
    <w:rsid w:val="008F1C7E"/>
    <w:rsid w:val="008F2ECA"/>
    <w:rsid w:val="008F2FD4"/>
    <w:rsid w:val="008F4139"/>
    <w:rsid w:val="008F51BC"/>
    <w:rsid w:val="008F6467"/>
    <w:rsid w:val="008F6975"/>
    <w:rsid w:val="008F6D7F"/>
    <w:rsid w:val="008F6E89"/>
    <w:rsid w:val="008F7CB1"/>
    <w:rsid w:val="008F7D98"/>
    <w:rsid w:val="009008C0"/>
    <w:rsid w:val="0090091F"/>
    <w:rsid w:val="00901317"/>
    <w:rsid w:val="00902F59"/>
    <w:rsid w:val="009049CB"/>
    <w:rsid w:val="00904CB5"/>
    <w:rsid w:val="00906380"/>
    <w:rsid w:val="00910E58"/>
    <w:rsid w:val="009130F9"/>
    <w:rsid w:val="009136CA"/>
    <w:rsid w:val="009138C8"/>
    <w:rsid w:val="00913933"/>
    <w:rsid w:val="0091457C"/>
    <w:rsid w:val="00914A41"/>
    <w:rsid w:val="009150BC"/>
    <w:rsid w:val="00915C01"/>
    <w:rsid w:val="00916DC1"/>
    <w:rsid w:val="00917977"/>
    <w:rsid w:val="00917C7F"/>
    <w:rsid w:val="00917FE2"/>
    <w:rsid w:val="0092055B"/>
    <w:rsid w:val="009207CA"/>
    <w:rsid w:val="00920CC6"/>
    <w:rsid w:val="00920ECF"/>
    <w:rsid w:val="009212DF"/>
    <w:rsid w:val="0092132D"/>
    <w:rsid w:val="009217CD"/>
    <w:rsid w:val="00921A09"/>
    <w:rsid w:val="009221DE"/>
    <w:rsid w:val="00922D0A"/>
    <w:rsid w:val="00924737"/>
    <w:rsid w:val="00925C27"/>
    <w:rsid w:val="00925C82"/>
    <w:rsid w:val="00926C8C"/>
    <w:rsid w:val="00927990"/>
    <w:rsid w:val="00927BFA"/>
    <w:rsid w:val="009313E0"/>
    <w:rsid w:val="009324CC"/>
    <w:rsid w:val="009325F7"/>
    <w:rsid w:val="009328F3"/>
    <w:rsid w:val="009330C8"/>
    <w:rsid w:val="00933309"/>
    <w:rsid w:val="009338FC"/>
    <w:rsid w:val="009341AE"/>
    <w:rsid w:val="009351BC"/>
    <w:rsid w:val="009358E1"/>
    <w:rsid w:val="00935B76"/>
    <w:rsid w:val="00936CCA"/>
    <w:rsid w:val="00936DBA"/>
    <w:rsid w:val="009401E3"/>
    <w:rsid w:val="00941FB9"/>
    <w:rsid w:val="009425BC"/>
    <w:rsid w:val="00942CAE"/>
    <w:rsid w:val="009432F3"/>
    <w:rsid w:val="00943C63"/>
    <w:rsid w:val="00944B40"/>
    <w:rsid w:val="009456E4"/>
    <w:rsid w:val="00946A6B"/>
    <w:rsid w:val="00946CF8"/>
    <w:rsid w:val="009475C0"/>
    <w:rsid w:val="00950BD7"/>
    <w:rsid w:val="00950EDB"/>
    <w:rsid w:val="00951DEB"/>
    <w:rsid w:val="009535F3"/>
    <w:rsid w:val="00954D71"/>
    <w:rsid w:val="00955178"/>
    <w:rsid w:val="00955507"/>
    <w:rsid w:val="009559E8"/>
    <w:rsid w:val="00955BAB"/>
    <w:rsid w:val="00955E36"/>
    <w:rsid w:val="009605AA"/>
    <w:rsid w:val="009606F6"/>
    <w:rsid w:val="009625BA"/>
    <w:rsid w:val="00962810"/>
    <w:rsid w:val="00963D6F"/>
    <w:rsid w:val="00964C56"/>
    <w:rsid w:val="00965D0C"/>
    <w:rsid w:val="0096694C"/>
    <w:rsid w:val="00967E1A"/>
    <w:rsid w:val="00970CD6"/>
    <w:rsid w:val="00971656"/>
    <w:rsid w:val="00973D29"/>
    <w:rsid w:val="009746D4"/>
    <w:rsid w:val="0097480B"/>
    <w:rsid w:val="00975396"/>
    <w:rsid w:val="009755DB"/>
    <w:rsid w:val="00975796"/>
    <w:rsid w:val="00976DBD"/>
    <w:rsid w:val="00980D65"/>
    <w:rsid w:val="009815D7"/>
    <w:rsid w:val="00981E6B"/>
    <w:rsid w:val="009821EA"/>
    <w:rsid w:val="0098360B"/>
    <w:rsid w:val="009836D9"/>
    <w:rsid w:val="0098380D"/>
    <w:rsid w:val="00984C91"/>
    <w:rsid w:val="009852E1"/>
    <w:rsid w:val="00985400"/>
    <w:rsid w:val="0098572F"/>
    <w:rsid w:val="009872E2"/>
    <w:rsid w:val="00987ACA"/>
    <w:rsid w:val="009907D9"/>
    <w:rsid w:val="00990932"/>
    <w:rsid w:val="00990CC6"/>
    <w:rsid w:val="00991130"/>
    <w:rsid w:val="00992616"/>
    <w:rsid w:val="00993E23"/>
    <w:rsid w:val="009948C0"/>
    <w:rsid w:val="00994CF8"/>
    <w:rsid w:val="0099534A"/>
    <w:rsid w:val="009959F5"/>
    <w:rsid w:val="00995A1F"/>
    <w:rsid w:val="009978FB"/>
    <w:rsid w:val="009A163A"/>
    <w:rsid w:val="009A16B1"/>
    <w:rsid w:val="009A1793"/>
    <w:rsid w:val="009A3225"/>
    <w:rsid w:val="009A4833"/>
    <w:rsid w:val="009A5626"/>
    <w:rsid w:val="009A5666"/>
    <w:rsid w:val="009A6F64"/>
    <w:rsid w:val="009A7783"/>
    <w:rsid w:val="009B02DC"/>
    <w:rsid w:val="009B0B1E"/>
    <w:rsid w:val="009B3576"/>
    <w:rsid w:val="009B3E6E"/>
    <w:rsid w:val="009B46C9"/>
    <w:rsid w:val="009B4CCB"/>
    <w:rsid w:val="009B5039"/>
    <w:rsid w:val="009B5F98"/>
    <w:rsid w:val="009B6486"/>
    <w:rsid w:val="009B7638"/>
    <w:rsid w:val="009C15AD"/>
    <w:rsid w:val="009C18F4"/>
    <w:rsid w:val="009C2753"/>
    <w:rsid w:val="009C34EF"/>
    <w:rsid w:val="009C3692"/>
    <w:rsid w:val="009C38E8"/>
    <w:rsid w:val="009C3AFB"/>
    <w:rsid w:val="009C5F60"/>
    <w:rsid w:val="009C6152"/>
    <w:rsid w:val="009C64F8"/>
    <w:rsid w:val="009C6689"/>
    <w:rsid w:val="009C7208"/>
    <w:rsid w:val="009D07D2"/>
    <w:rsid w:val="009D0E13"/>
    <w:rsid w:val="009D47C8"/>
    <w:rsid w:val="009D52C4"/>
    <w:rsid w:val="009D722E"/>
    <w:rsid w:val="009D7B01"/>
    <w:rsid w:val="009D7BF6"/>
    <w:rsid w:val="009E17B5"/>
    <w:rsid w:val="009E3B72"/>
    <w:rsid w:val="009E3CD3"/>
    <w:rsid w:val="009E43AB"/>
    <w:rsid w:val="009E4ACA"/>
    <w:rsid w:val="009E5628"/>
    <w:rsid w:val="009E5852"/>
    <w:rsid w:val="009E6BAE"/>
    <w:rsid w:val="009F00E2"/>
    <w:rsid w:val="009F03A9"/>
    <w:rsid w:val="009F07BA"/>
    <w:rsid w:val="009F15B6"/>
    <w:rsid w:val="009F18DD"/>
    <w:rsid w:val="009F1974"/>
    <w:rsid w:val="009F3A25"/>
    <w:rsid w:val="009F482A"/>
    <w:rsid w:val="009F538C"/>
    <w:rsid w:val="009F75B3"/>
    <w:rsid w:val="00A008DD"/>
    <w:rsid w:val="00A00C0F"/>
    <w:rsid w:val="00A01975"/>
    <w:rsid w:val="00A0329F"/>
    <w:rsid w:val="00A05FFB"/>
    <w:rsid w:val="00A07875"/>
    <w:rsid w:val="00A10CF3"/>
    <w:rsid w:val="00A117AE"/>
    <w:rsid w:val="00A11DE8"/>
    <w:rsid w:val="00A12E8C"/>
    <w:rsid w:val="00A1313C"/>
    <w:rsid w:val="00A134C8"/>
    <w:rsid w:val="00A14AD0"/>
    <w:rsid w:val="00A14ECD"/>
    <w:rsid w:val="00A14F06"/>
    <w:rsid w:val="00A157A4"/>
    <w:rsid w:val="00A1590C"/>
    <w:rsid w:val="00A15A55"/>
    <w:rsid w:val="00A15F52"/>
    <w:rsid w:val="00A1733B"/>
    <w:rsid w:val="00A17E58"/>
    <w:rsid w:val="00A20715"/>
    <w:rsid w:val="00A210C3"/>
    <w:rsid w:val="00A21399"/>
    <w:rsid w:val="00A24472"/>
    <w:rsid w:val="00A244B0"/>
    <w:rsid w:val="00A2517C"/>
    <w:rsid w:val="00A25566"/>
    <w:rsid w:val="00A255B8"/>
    <w:rsid w:val="00A25967"/>
    <w:rsid w:val="00A25CA3"/>
    <w:rsid w:val="00A25FB8"/>
    <w:rsid w:val="00A2616B"/>
    <w:rsid w:val="00A2638D"/>
    <w:rsid w:val="00A27595"/>
    <w:rsid w:val="00A30722"/>
    <w:rsid w:val="00A3136D"/>
    <w:rsid w:val="00A31D33"/>
    <w:rsid w:val="00A3454E"/>
    <w:rsid w:val="00A34DE3"/>
    <w:rsid w:val="00A35109"/>
    <w:rsid w:val="00A3677F"/>
    <w:rsid w:val="00A36AB9"/>
    <w:rsid w:val="00A372D7"/>
    <w:rsid w:val="00A3755D"/>
    <w:rsid w:val="00A40188"/>
    <w:rsid w:val="00A40699"/>
    <w:rsid w:val="00A41D59"/>
    <w:rsid w:val="00A43D84"/>
    <w:rsid w:val="00A44550"/>
    <w:rsid w:val="00A44C3B"/>
    <w:rsid w:val="00A4522C"/>
    <w:rsid w:val="00A45651"/>
    <w:rsid w:val="00A45A9E"/>
    <w:rsid w:val="00A46F77"/>
    <w:rsid w:val="00A47C39"/>
    <w:rsid w:val="00A50A71"/>
    <w:rsid w:val="00A54235"/>
    <w:rsid w:val="00A54767"/>
    <w:rsid w:val="00A54E85"/>
    <w:rsid w:val="00A555E0"/>
    <w:rsid w:val="00A55C03"/>
    <w:rsid w:val="00A56D74"/>
    <w:rsid w:val="00A61314"/>
    <w:rsid w:val="00A62030"/>
    <w:rsid w:val="00A62AAE"/>
    <w:rsid w:val="00A632CA"/>
    <w:rsid w:val="00A632DC"/>
    <w:rsid w:val="00A63F88"/>
    <w:rsid w:val="00A64735"/>
    <w:rsid w:val="00A64D5B"/>
    <w:rsid w:val="00A67EB6"/>
    <w:rsid w:val="00A7047D"/>
    <w:rsid w:val="00A70519"/>
    <w:rsid w:val="00A70657"/>
    <w:rsid w:val="00A7222C"/>
    <w:rsid w:val="00A72DB1"/>
    <w:rsid w:val="00A72EDA"/>
    <w:rsid w:val="00A73596"/>
    <w:rsid w:val="00A73D24"/>
    <w:rsid w:val="00A74626"/>
    <w:rsid w:val="00A7516A"/>
    <w:rsid w:val="00A751AF"/>
    <w:rsid w:val="00A804F2"/>
    <w:rsid w:val="00A81845"/>
    <w:rsid w:val="00A82A46"/>
    <w:rsid w:val="00A82B6F"/>
    <w:rsid w:val="00A82BC2"/>
    <w:rsid w:val="00A82EA9"/>
    <w:rsid w:val="00A83A3E"/>
    <w:rsid w:val="00A8407F"/>
    <w:rsid w:val="00A8517A"/>
    <w:rsid w:val="00A8566B"/>
    <w:rsid w:val="00A85827"/>
    <w:rsid w:val="00A8624E"/>
    <w:rsid w:val="00A8630C"/>
    <w:rsid w:val="00A86B34"/>
    <w:rsid w:val="00A87025"/>
    <w:rsid w:val="00A87AE0"/>
    <w:rsid w:val="00A916A1"/>
    <w:rsid w:val="00A928CB"/>
    <w:rsid w:val="00A92D25"/>
    <w:rsid w:val="00A9302F"/>
    <w:rsid w:val="00A93EBF"/>
    <w:rsid w:val="00A93F92"/>
    <w:rsid w:val="00A94D56"/>
    <w:rsid w:val="00A9516A"/>
    <w:rsid w:val="00A95256"/>
    <w:rsid w:val="00A95838"/>
    <w:rsid w:val="00A95E7D"/>
    <w:rsid w:val="00A96971"/>
    <w:rsid w:val="00AA0F15"/>
    <w:rsid w:val="00AA13AF"/>
    <w:rsid w:val="00AA14F6"/>
    <w:rsid w:val="00AA24B7"/>
    <w:rsid w:val="00AA2BD6"/>
    <w:rsid w:val="00AA48AB"/>
    <w:rsid w:val="00AA5912"/>
    <w:rsid w:val="00AA5AC3"/>
    <w:rsid w:val="00AA671C"/>
    <w:rsid w:val="00AA6F77"/>
    <w:rsid w:val="00AB0C4D"/>
    <w:rsid w:val="00AB1114"/>
    <w:rsid w:val="00AB1386"/>
    <w:rsid w:val="00AB1C33"/>
    <w:rsid w:val="00AB2ADC"/>
    <w:rsid w:val="00AB55F4"/>
    <w:rsid w:val="00AB5E63"/>
    <w:rsid w:val="00AB6583"/>
    <w:rsid w:val="00AB6F74"/>
    <w:rsid w:val="00AB796E"/>
    <w:rsid w:val="00AC127F"/>
    <w:rsid w:val="00AC19BD"/>
    <w:rsid w:val="00AC1BEA"/>
    <w:rsid w:val="00AC268C"/>
    <w:rsid w:val="00AC283D"/>
    <w:rsid w:val="00AC39F3"/>
    <w:rsid w:val="00AC4D98"/>
    <w:rsid w:val="00AC54A3"/>
    <w:rsid w:val="00AC6157"/>
    <w:rsid w:val="00AC6797"/>
    <w:rsid w:val="00AC6F8B"/>
    <w:rsid w:val="00AC6F92"/>
    <w:rsid w:val="00AC71F1"/>
    <w:rsid w:val="00AC7DCB"/>
    <w:rsid w:val="00AD0431"/>
    <w:rsid w:val="00AD05E8"/>
    <w:rsid w:val="00AD1050"/>
    <w:rsid w:val="00AD1B6F"/>
    <w:rsid w:val="00AD1BFA"/>
    <w:rsid w:val="00AD25DE"/>
    <w:rsid w:val="00AD328B"/>
    <w:rsid w:val="00AD3A3E"/>
    <w:rsid w:val="00AD4099"/>
    <w:rsid w:val="00AD58A6"/>
    <w:rsid w:val="00AD5953"/>
    <w:rsid w:val="00AD71FF"/>
    <w:rsid w:val="00AE05A2"/>
    <w:rsid w:val="00AE0C23"/>
    <w:rsid w:val="00AE1C23"/>
    <w:rsid w:val="00AE331A"/>
    <w:rsid w:val="00AE3424"/>
    <w:rsid w:val="00AE347E"/>
    <w:rsid w:val="00AE34A9"/>
    <w:rsid w:val="00AE4EF4"/>
    <w:rsid w:val="00AE720E"/>
    <w:rsid w:val="00AE725C"/>
    <w:rsid w:val="00AF13BD"/>
    <w:rsid w:val="00AF1852"/>
    <w:rsid w:val="00AF1D52"/>
    <w:rsid w:val="00AF1E33"/>
    <w:rsid w:val="00AF264E"/>
    <w:rsid w:val="00AF2976"/>
    <w:rsid w:val="00AF3844"/>
    <w:rsid w:val="00AF3E27"/>
    <w:rsid w:val="00AF600B"/>
    <w:rsid w:val="00AF642C"/>
    <w:rsid w:val="00AF695C"/>
    <w:rsid w:val="00AF7BF8"/>
    <w:rsid w:val="00B002AB"/>
    <w:rsid w:val="00B00C0E"/>
    <w:rsid w:val="00B0109A"/>
    <w:rsid w:val="00B0164E"/>
    <w:rsid w:val="00B021EF"/>
    <w:rsid w:val="00B03077"/>
    <w:rsid w:val="00B03833"/>
    <w:rsid w:val="00B03D83"/>
    <w:rsid w:val="00B04654"/>
    <w:rsid w:val="00B04EB5"/>
    <w:rsid w:val="00B050D3"/>
    <w:rsid w:val="00B054AB"/>
    <w:rsid w:val="00B05AD6"/>
    <w:rsid w:val="00B05FF1"/>
    <w:rsid w:val="00B0643E"/>
    <w:rsid w:val="00B11AB5"/>
    <w:rsid w:val="00B1228E"/>
    <w:rsid w:val="00B12604"/>
    <w:rsid w:val="00B13EFA"/>
    <w:rsid w:val="00B1400E"/>
    <w:rsid w:val="00B14581"/>
    <w:rsid w:val="00B14874"/>
    <w:rsid w:val="00B148FC"/>
    <w:rsid w:val="00B15257"/>
    <w:rsid w:val="00B15816"/>
    <w:rsid w:val="00B172DD"/>
    <w:rsid w:val="00B20EF1"/>
    <w:rsid w:val="00B21EC3"/>
    <w:rsid w:val="00B222E0"/>
    <w:rsid w:val="00B22CFB"/>
    <w:rsid w:val="00B230A9"/>
    <w:rsid w:val="00B2452F"/>
    <w:rsid w:val="00B25007"/>
    <w:rsid w:val="00B25202"/>
    <w:rsid w:val="00B2581B"/>
    <w:rsid w:val="00B265EF"/>
    <w:rsid w:val="00B270DD"/>
    <w:rsid w:val="00B273DD"/>
    <w:rsid w:val="00B279BA"/>
    <w:rsid w:val="00B3253A"/>
    <w:rsid w:val="00B345A5"/>
    <w:rsid w:val="00B3493A"/>
    <w:rsid w:val="00B34DE5"/>
    <w:rsid w:val="00B353D5"/>
    <w:rsid w:val="00B35C8E"/>
    <w:rsid w:val="00B362BD"/>
    <w:rsid w:val="00B36494"/>
    <w:rsid w:val="00B36B92"/>
    <w:rsid w:val="00B41041"/>
    <w:rsid w:val="00B41836"/>
    <w:rsid w:val="00B41AC7"/>
    <w:rsid w:val="00B425EE"/>
    <w:rsid w:val="00B42C1B"/>
    <w:rsid w:val="00B43104"/>
    <w:rsid w:val="00B43E49"/>
    <w:rsid w:val="00B44747"/>
    <w:rsid w:val="00B45B64"/>
    <w:rsid w:val="00B45DB3"/>
    <w:rsid w:val="00B468A3"/>
    <w:rsid w:val="00B47111"/>
    <w:rsid w:val="00B474E8"/>
    <w:rsid w:val="00B47926"/>
    <w:rsid w:val="00B502C5"/>
    <w:rsid w:val="00B5046F"/>
    <w:rsid w:val="00B505F0"/>
    <w:rsid w:val="00B511D0"/>
    <w:rsid w:val="00B51C40"/>
    <w:rsid w:val="00B528D1"/>
    <w:rsid w:val="00B5359A"/>
    <w:rsid w:val="00B537E7"/>
    <w:rsid w:val="00B54334"/>
    <w:rsid w:val="00B545BE"/>
    <w:rsid w:val="00B54CBF"/>
    <w:rsid w:val="00B54CF0"/>
    <w:rsid w:val="00B55617"/>
    <w:rsid w:val="00B5604A"/>
    <w:rsid w:val="00B603B3"/>
    <w:rsid w:val="00B604A4"/>
    <w:rsid w:val="00B60610"/>
    <w:rsid w:val="00B609D8"/>
    <w:rsid w:val="00B6325B"/>
    <w:rsid w:val="00B64054"/>
    <w:rsid w:val="00B64089"/>
    <w:rsid w:val="00B6438B"/>
    <w:rsid w:val="00B64F5A"/>
    <w:rsid w:val="00B65F72"/>
    <w:rsid w:val="00B67388"/>
    <w:rsid w:val="00B676A6"/>
    <w:rsid w:val="00B67904"/>
    <w:rsid w:val="00B67C0C"/>
    <w:rsid w:val="00B70567"/>
    <w:rsid w:val="00B709F7"/>
    <w:rsid w:val="00B71420"/>
    <w:rsid w:val="00B724CC"/>
    <w:rsid w:val="00B7370F"/>
    <w:rsid w:val="00B764B4"/>
    <w:rsid w:val="00B76901"/>
    <w:rsid w:val="00B80FBC"/>
    <w:rsid w:val="00B81E89"/>
    <w:rsid w:val="00B82C3B"/>
    <w:rsid w:val="00B835FA"/>
    <w:rsid w:val="00B85A54"/>
    <w:rsid w:val="00B8637A"/>
    <w:rsid w:val="00B903E7"/>
    <w:rsid w:val="00B914AB"/>
    <w:rsid w:val="00B9193C"/>
    <w:rsid w:val="00B928EC"/>
    <w:rsid w:val="00B93717"/>
    <w:rsid w:val="00B93885"/>
    <w:rsid w:val="00B93A27"/>
    <w:rsid w:val="00B93EA3"/>
    <w:rsid w:val="00B9400C"/>
    <w:rsid w:val="00B94A0F"/>
    <w:rsid w:val="00B96270"/>
    <w:rsid w:val="00B9629A"/>
    <w:rsid w:val="00B96E70"/>
    <w:rsid w:val="00B96EA4"/>
    <w:rsid w:val="00B96F45"/>
    <w:rsid w:val="00BA09D4"/>
    <w:rsid w:val="00BA0B1B"/>
    <w:rsid w:val="00BA0D87"/>
    <w:rsid w:val="00BA1695"/>
    <w:rsid w:val="00BA2033"/>
    <w:rsid w:val="00BA2222"/>
    <w:rsid w:val="00BA3603"/>
    <w:rsid w:val="00BA39E1"/>
    <w:rsid w:val="00BA4802"/>
    <w:rsid w:val="00BA4D5F"/>
    <w:rsid w:val="00BB0B9B"/>
    <w:rsid w:val="00BB34A9"/>
    <w:rsid w:val="00BB3506"/>
    <w:rsid w:val="00BB3584"/>
    <w:rsid w:val="00BB3CFB"/>
    <w:rsid w:val="00BB6240"/>
    <w:rsid w:val="00BB656F"/>
    <w:rsid w:val="00BB69AC"/>
    <w:rsid w:val="00BC1623"/>
    <w:rsid w:val="00BC1913"/>
    <w:rsid w:val="00BC1BAC"/>
    <w:rsid w:val="00BC2130"/>
    <w:rsid w:val="00BC54BC"/>
    <w:rsid w:val="00BC6F57"/>
    <w:rsid w:val="00BC7B84"/>
    <w:rsid w:val="00BD00CF"/>
    <w:rsid w:val="00BD03D8"/>
    <w:rsid w:val="00BD06D3"/>
    <w:rsid w:val="00BD075A"/>
    <w:rsid w:val="00BD104F"/>
    <w:rsid w:val="00BD4025"/>
    <w:rsid w:val="00BD55F2"/>
    <w:rsid w:val="00BD56EF"/>
    <w:rsid w:val="00BD638A"/>
    <w:rsid w:val="00BD6A49"/>
    <w:rsid w:val="00BD7302"/>
    <w:rsid w:val="00BD74FD"/>
    <w:rsid w:val="00BE06C7"/>
    <w:rsid w:val="00BE06FB"/>
    <w:rsid w:val="00BE0F11"/>
    <w:rsid w:val="00BE2245"/>
    <w:rsid w:val="00BE22C4"/>
    <w:rsid w:val="00BE24E9"/>
    <w:rsid w:val="00BE3DB7"/>
    <w:rsid w:val="00BE4C31"/>
    <w:rsid w:val="00BE5771"/>
    <w:rsid w:val="00BE58DB"/>
    <w:rsid w:val="00BE62CC"/>
    <w:rsid w:val="00BE6E16"/>
    <w:rsid w:val="00BE700E"/>
    <w:rsid w:val="00BE7342"/>
    <w:rsid w:val="00BF03C7"/>
    <w:rsid w:val="00BF0B90"/>
    <w:rsid w:val="00BF0C44"/>
    <w:rsid w:val="00BF11E3"/>
    <w:rsid w:val="00BF1773"/>
    <w:rsid w:val="00BF31DA"/>
    <w:rsid w:val="00BF62C5"/>
    <w:rsid w:val="00BF7FAA"/>
    <w:rsid w:val="00C00C4B"/>
    <w:rsid w:val="00C01E66"/>
    <w:rsid w:val="00C02052"/>
    <w:rsid w:val="00C02738"/>
    <w:rsid w:val="00C02BA0"/>
    <w:rsid w:val="00C02EB8"/>
    <w:rsid w:val="00C0340C"/>
    <w:rsid w:val="00C0342A"/>
    <w:rsid w:val="00C035C7"/>
    <w:rsid w:val="00C03DC4"/>
    <w:rsid w:val="00C03F89"/>
    <w:rsid w:val="00C040D1"/>
    <w:rsid w:val="00C04147"/>
    <w:rsid w:val="00C04463"/>
    <w:rsid w:val="00C04856"/>
    <w:rsid w:val="00C04B15"/>
    <w:rsid w:val="00C054AB"/>
    <w:rsid w:val="00C05A59"/>
    <w:rsid w:val="00C0659B"/>
    <w:rsid w:val="00C101DC"/>
    <w:rsid w:val="00C10951"/>
    <w:rsid w:val="00C10C4E"/>
    <w:rsid w:val="00C1317A"/>
    <w:rsid w:val="00C139C2"/>
    <w:rsid w:val="00C14158"/>
    <w:rsid w:val="00C14739"/>
    <w:rsid w:val="00C14C6C"/>
    <w:rsid w:val="00C14E4E"/>
    <w:rsid w:val="00C163A1"/>
    <w:rsid w:val="00C16D14"/>
    <w:rsid w:val="00C219E7"/>
    <w:rsid w:val="00C21F06"/>
    <w:rsid w:val="00C23291"/>
    <w:rsid w:val="00C233DA"/>
    <w:rsid w:val="00C24AC4"/>
    <w:rsid w:val="00C24FA9"/>
    <w:rsid w:val="00C24FC5"/>
    <w:rsid w:val="00C25748"/>
    <w:rsid w:val="00C259B1"/>
    <w:rsid w:val="00C2666B"/>
    <w:rsid w:val="00C26AA3"/>
    <w:rsid w:val="00C27125"/>
    <w:rsid w:val="00C27A76"/>
    <w:rsid w:val="00C27A7C"/>
    <w:rsid w:val="00C309E1"/>
    <w:rsid w:val="00C30C9E"/>
    <w:rsid w:val="00C3113C"/>
    <w:rsid w:val="00C3132D"/>
    <w:rsid w:val="00C31438"/>
    <w:rsid w:val="00C31AD6"/>
    <w:rsid w:val="00C31E07"/>
    <w:rsid w:val="00C3232A"/>
    <w:rsid w:val="00C326B3"/>
    <w:rsid w:val="00C32934"/>
    <w:rsid w:val="00C32CAD"/>
    <w:rsid w:val="00C32FB3"/>
    <w:rsid w:val="00C33A14"/>
    <w:rsid w:val="00C3416F"/>
    <w:rsid w:val="00C34E66"/>
    <w:rsid w:val="00C352C9"/>
    <w:rsid w:val="00C3550C"/>
    <w:rsid w:val="00C35874"/>
    <w:rsid w:val="00C35DB1"/>
    <w:rsid w:val="00C35F02"/>
    <w:rsid w:val="00C35F61"/>
    <w:rsid w:val="00C36D4D"/>
    <w:rsid w:val="00C37F1C"/>
    <w:rsid w:val="00C40CE4"/>
    <w:rsid w:val="00C412BC"/>
    <w:rsid w:val="00C41A56"/>
    <w:rsid w:val="00C43590"/>
    <w:rsid w:val="00C43D24"/>
    <w:rsid w:val="00C43ED1"/>
    <w:rsid w:val="00C44187"/>
    <w:rsid w:val="00C44B67"/>
    <w:rsid w:val="00C46DD3"/>
    <w:rsid w:val="00C47CAC"/>
    <w:rsid w:val="00C50874"/>
    <w:rsid w:val="00C50F66"/>
    <w:rsid w:val="00C516A4"/>
    <w:rsid w:val="00C51B2A"/>
    <w:rsid w:val="00C5401F"/>
    <w:rsid w:val="00C54344"/>
    <w:rsid w:val="00C546A4"/>
    <w:rsid w:val="00C54793"/>
    <w:rsid w:val="00C547E2"/>
    <w:rsid w:val="00C55767"/>
    <w:rsid w:val="00C557F6"/>
    <w:rsid w:val="00C56389"/>
    <w:rsid w:val="00C57CE5"/>
    <w:rsid w:val="00C6014D"/>
    <w:rsid w:val="00C60C14"/>
    <w:rsid w:val="00C615FB"/>
    <w:rsid w:val="00C625E0"/>
    <w:rsid w:val="00C62FDF"/>
    <w:rsid w:val="00C6376A"/>
    <w:rsid w:val="00C64C66"/>
    <w:rsid w:val="00C66C3B"/>
    <w:rsid w:val="00C66E39"/>
    <w:rsid w:val="00C66EA9"/>
    <w:rsid w:val="00C67E3F"/>
    <w:rsid w:val="00C706A0"/>
    <w:rsid w:val="00C71170"/>
    <w:rsid w:val="00C714B4"/>
    <w:rsid w:val="00C724E9"/>
    <w:rsid w:val="00C72D2A"/>
    <w:rsid w:val="00C73791"/>
    <w:rsid w:val="00C75097"/>
    <w:rsid w:val="00C7522B"/>
    <w:rsid w:val="00C76D05"/>
    <w:rsid w:val="00C77524"/>
    <w:rsid w:val="00C80014"/>
    <w:rsid w:val="00C80716"/>
    <w:rsid w:val="00C8231A"/>
    <w:rsid w:val="00C82A36"/>
    <w:rsid w:val="00C82F60"/>
    <w:rsid w:val="00C82FE3"/>
    <w:rsid w:val="00C83417"/>
    <w:rsid w:val="00C85461"/>
    <w:rsid w:val="00C85E40"/>
    <w:rsid w:val="00C8663A"/>
    <w:rsid w:val="00C86E0F"/>
    <w:rsid w:val="00C87772"/>
    <w:rsid w:val="00C90018"/>
    <w:rsid w:val="00C90441"/>
    <w:rsid w:val="00C904CF"/>
    <w:rsid w:val="00C93924"/>
    <w:rsid w:val="00C955CE"/>
    <w:rsid w:val="00C95D08"/>
    <w:rsid w:val="00C96C83"/>
    <w:rsid w:val="00CA0101"/>
    <w:rsid w:val="00CA10C6"/>
    <w:rsid w:val="00CA1392"/>
    <w:rsid w:val="00CA15EB"/>
    <w:rsid w:val="00CA2583"/>
    <w:rsid w:val="00CA2B7C"/>
    <w:rsid w:val="00CA3009"/>
    <w:rsid w:val="00CA4AC0"/>
    <w:rsid w:val="00CA4C16"/>
    <w:rsid w:val="00CA4F68"/>
    <w:rsid w:val="00CA529D"/>
    <w:rsid w:val="00CA740B"/>
    <w:rsid w:val="00CA79B8"/>
    <w:rsid w:val="00CB02C1"/>
    <w:rsid w:val="00CB0BAC"/>
    <w:rsid w:val="00CB0CFA"/>
    <w:rsid w:val="00CB26EF"/>
    <w:rsid w:val="00CB2919"/>
    <w:rsid w:val="00CB2E24"/>
    <w:rsid w:val="00CB3035"/>
    <w:rsid w:val="00CB3087"/>
    <w:rsid w:val="00CB4144"/>
    <w:rsid w:val="00CB5080"/>
    <w:rsid w:val="00CB5892"/>
    <w:rsid w:val="00CB5EA7"/>
    <w:rsid w:val="00CB6034"/>
    <w:rsid w:val="00CB6771"/>
    <w:rsid w:val="00CB68B8"/>
    <w:rsid w:val="00CB6D5D"/>
    <w:rsid w:val="00CB6F87"/>
    <w:rsid w:val="00CB746C"/>
    <w:rsid w:val="00CB7581"/>
    <w:rsid w:val="00CB7AEA"/>
    <w:rsid w:val="00CB7C21"/>
    <w:rsid w:val="00CB7D21"/>
    <w:rsid w:val="00CC0034"/>
    <w:rsid w:val="00CC0120"/>
    <w:rsid w:val="00CC0E8A"/>
    <w:rsid w:val="00CC1B27"/>
    <w:rsid w:val="00CC32D1"/>
    <w:rsid w:val="00CC3B23"/>
    <w:rsid w:val="00CC3F91"/>
    <w:rsid w:val="00CC41F0"/>
    <w:rsid w:val="00CC4389"/>
    <w:rsid w:val="00CC4C7D"/>
    <w:rsid w:val="00CC5852"/>
    <w:rsid w:val="00CC5AD9"/>
    <w:rsid w:val="00CC71BC"/>
    <w:rsid w:val="00CC777F"/>
    <w:rsid w:val="00CC7799"/>
    <w:rsid w:val="00CC7ECF"/>
    <w:rsid w:val="00CC7F2A"/>
    <w:rsid w:val="00CD114A"/>
    <w:rsid w:val="00CD1FED"/>
    <w:rsid w:val="00CD23E2"/>
    <w:rsid w:val="00CD3939"/>
    <w:rsid w:val="00CD43B9"/>
    <w:rsid w:val="00CD4A5A"/>
    <w:rsid w:val="00CD592E"/>
    <w:rsid w:val="00CD5E46"/>
    <w:rsid w:val="00CD61AE"/>
    <w:rsid w:val="00CD67A2"/>
    <w:rsid w:val="00CD6BBE"/>
    <w:rsid w:val="00CD6D95"/>
    <w:rsid w:val="00CD7861"/>
    <w:rsid w:val="00CE00C1"/>
    <w:rsid w:val="00CE033B"/>
    <w:rsid w:val="00CE0951"/>
    <w:rsid w:val="00CE1035"/>
    <w:rsid w:val="00CE21C7"/>
    <w:rsid w:val="00CE4EB3"/>
    <w:rsid w:val="00CE50C2"/>
    <w:rsid w:val="00CE63E4"/>
    <w:rsid w:val="00CE6E03"/>
    <w:rsid w:val="00CE719A"/>
    <w:rsid w:val="00CE79D9"/>
    <w:rsid w:val="00CE7DCF"/>
    <w:rsid w:val="00CE7E3C"/>
    <w:rsid w:val="00CF16FE"/>
    <w:rsid w:val="00CF2739"/>
    <w:rsid w:val="00CF32A6"/>
    <w:rsid w:val="00CF3F63"/>
    <w:rsid w:val="00CF4038"/>
    <w:rsid w:val="00CF4F8E"/>
    <w:rsid w:val="00CF59DD"/>
    <w:rsid w:val="00CF5B66"/>
    <w:rsid w:val="00CF6FBB"/>
    <w:rsid w:val="00CF757A"/>
    <w:rsid w:val="00D00E65"/>
    <w:rsid w:val="00D013BC"/>
    <w:rsid w:val="00D01D38"/>
    <w:rsid w:val="00D01EF1"/>
    <w:rsid w:val="00D03916"/>
    <w:rsid w:val="00D040E1"/>
    <w:rsid w:val="00D051F8"/>
    <w:rsid w:val="00D0533A"/>
    <w:rsid w:val="00D06320"/>
    <w:rsid w:val="00D067AB"/>
    <w:rsid w:val="00D0795A"/>
    <w:rsid w:val="00D07BFE"/>
    <w:rsid w:val="00D10243"/>
    <w:rsid w:val="00D1087C"/>
    <w:rsid w:val="00D10EF8"/>
    <w:rsid w:val="00D11431"/>
    <w:rsid w:val="00D119DB"/>
    <w:rsid w:val="00D12163"/>
    <w:rsid w:val="00D122F0"/>
    <w:rsid w:val="00D12841"/>
    <w:rsid w:val="00D154C9"/>
    <w:rsid w:val="00D15607"/>
    <w:rsid w:val="00D1588A"/>
    <w:rsid w:val="00D15A98"/>
    <w:rsid w:val="00D1681A"/>
    <w:rsid w:val="00D17EE9"/>
    <w:rsid w:val="00D203C5"/>
    <w:rsid w:val="00D20A58"/>
    <w:rsid w:val="00D20D13"/>
    <w:rsid w:val="00D22CA6"/>
    <w:rsid w:val="00D231CA"/>
    <w:rsid w:val="00D23FAA"/>
    <w:rsid w:val="00D265E4"/>
    <w:rsid w:val="00D2730B"/>
    <w:rsid w:val="00D27776"/>
    <w:rsid w:val="00D30201"/>
    <w:rsid w:val="00D31329"/>
    <w:rsid w:val="00D31537"/>
    <w:rsid w:val="00D32047"/>
    <w:rsid w:val="00D32187"/>
    <w:rsid w:val="00D3285B"/>
    <w:rsid w:val="00D32C33"/>
    <w:rsid w:val="00D32E91"/>
    <w:rsid w:val="00D3400B"/>
    <w:rsid w:val="00D347C0"/>
    <w:rsid w:val="00D34C2B"/>
    <w:rsid w:val="00D367BC"/>
    <w:rsid w:val="00D36EA7"/>
    <w:rsid w:val="00D37496"/>
    <w:rsid w:val="00D405D4"/>
    <w:rsid w:val="00D41175"/>
    <w:rsid w:val="00D413A6"/>
    <w:rsid w:val="00D414AE"/>
    <w:rsid w:val="00D41B46"/>
    <w:rsid w:val="00D41EE8"/>
    <w:rsid w:val="00D43379"/>
    <w:rsid w:val="00D45408"/>
    <w:rsid w:val="00D455B1"/>
    <w:rsid w:val="00D4629F"/>
    <w:rsid w:val="00D47E71"/>
    <w:rsid w:val="00D47EE0"/>
    <w:rsid w:val="00D50138"/>
    <w:rsid w:val="00D51318"/>
    <w:rsid w:val="00D51732"/>
    <w:rsid w:val="00D51A04"/>
    <w:rsid w:val="00D51CE0"/>
    <w:rsid w:val="00D5240D"/>
    <w:rsid w:val="00D534AD"/>
    <w:rsid w:val="00D5405A"/>
    <w:rsid w:val="00D5560C"/>
    <w:rsid w:val="00D55DAF"/>
    <w:rsid w:val="00D56150"/>
    <w:rsid w:val="00D564C3"/>
    <w:rsid w:val="00D569B3"/>
    <w:rsid w:val="00D56EC5"/>
    <w:rsid w:val="00D6132A"/>
    <w:rsid w:val="00D61925"/>
    <w:rsid w:val="00D624F5"/>
    <w:rsid w:val="00D6334B"/>
    <w:rsid w:val="00D63632"/>
    <w:rsid w:val="00D63B35"/>
    <w:rsid w:val="00D64645"/>
    <w:rsid w:val="00D64EEE"/>
    <w:rsid w:val="00D65916"/>
    <w:rsid w:val="00D65F9E"/>
    <w:rsid w:val="00D66E9D"/>
    <w:rsid w:val="00D66FC7"/>
    <w:rsid w:val="00D67081"/>
    <w:rsid w:val="00D67129"/>
    <w:rsid w:val="00D6714B"/>
    <w:rsid w:val="00D67EAC"/>
    <w:rsid w:val="00D709B6"/>
    <w:rsid w:val="00D71790"/>
    <w:rsid w:val="00D71A77"/>
    <w:rsid w:val="00D72688"/>
    <w:rsid w:val="00D728EE"/>
    <w:rsid w:val="00D73493"/>
    <w:rsid w:val="00D7362C"/>
    <w:rsid w:val="00D73EE1"/>
    <w:rsid w:val="00D74077"/>
    <w:rsid w:val="00D7452B"/>
    <w:rsid w:val="00D74BEF"/>
    <w:rsid w:val="00D7513E"/>
    <w:rsid w:val="00D75D27"/>
    <w:rsid w:val="00D75E6E"/>
    <w:rsid w:val="00D77A02"/>
    <w:rsid w:val="00D82CA8"/>
    <w:rsid w:val="00D82E6B"/>
    <w:rsid w:val="00D83A6F"/>
    <w:rsid w:val="00D84CC0"/>
    <w:rsid w:val="00D855AD"/>
    <w:rsid w:val="00D866E5"/>
    <w:rsid w:val="00D86B34"/>
    <w:rsid w:val="00D870B8"/>
    <w:rsid w:val="00D87BCE"/>
    <w:rsid w:val="00D901BD"/>
    <w:rsid w:val="00D90848"/>
    <w:rsid w:val="00D92E14"/>
    <w:rsid w:val="00D9427C"/>
    <w:rsid w:val="00D94AC1"/>
    <w:rsid w:val="00D94BBB"/>
    <w:rsid w:val="00D95497"/>
    <w:rsid w:val="00D95BA4"/>
    <w:rsid w:val="00D96BE0"/>
    <w:rsid w:val="00D977BA"/>
    <w:rsid w:val="00DA03F1"/>
    <w:rsid w:val="00DA07D0"/>
    <w:rsid w:val="00DA436D"/>
    <w:rsid w:val="00DA4963"/>
    <w:rsid w:val="00DA4B3D"/>
    <w:rsid w:val="00DA5222"/>
    <w:rsid w:val="00DA5C15"/>
    <w:rsid w:val="00DA5EC9"/>
    <w:rsid w:val="00DA6006"/>
    <w:rsid w:val="00DA6752"/>
    <w:rsid w:val="00DA7316"/>
    <w:rsid w:val="00DB13AE"/>
    <w:rsid w:val="00DB21F6"/>
    <w:rsid w:val="00DB2288"/>
    <w:rsid w:val="00DB292A"/>
    <w:rsid w:val="00DB4264"/>
    <w:rsid w:val="00DB4716"/>
    <w:rsid w:val="00DB5098"/>
    <w:rsid w:val="00DB5F76"/>
    <w:rsid w:val="00DB74D7"/>
    <w:rsid w:val="00DB7D44"/>
    <w:rsid w:val="00DC0728"/>
    <w:rsid w:val="00DC0FF5"/>
    <w:rsid w:val="00DC2B99"/>
    <w:rsid w:val="00DC2D2C"/>
    <w:rsid w:val="00DC412F"/>
    <w:rsid w:val="00DC42E5"/>
    <w:rsid w:val="00DC439A"/>
    <w:rsid w:val="00DC485A"/>
    <w:rsid w:val="00DC5197"/>
    <w:rsid w:val="00DC55BC"/>
    <w:rsid w:val="00DD193C"/>
    <w:rsid w:val="00DD2B9D"/>
    <w:rsid w:val="00DD3055"/>
    <w:rsid w:val="00DD3385"/>
    <w:rsid w:val="00DD3981"/>
    <w:rsid w:val="00DD3C5B"/>
    <w:rsid w:val="00DD431F"/>
    <w:rsid w:val="00DD683C"/>
    <w:rsid w:val="00DD720A"/>
    <w:rsid w:val="00DD728A"/>
    <w:rsid w:val="00DD729E"/>
    <w:rsid w:val="00DE1D4E"/>
    <w:rsid w:val="00DE2539"/>
    <w:rsid w:val="00DE5044"/>
    <w:rsid w:val="00DE6FF5"/>
    <w:rsid w:val="00DE790C"/>
    <w:rsid w:val="00DE7FFA"/>
    <w:rsid w:val="00DF017A"/>
    <w:rsid w:val="00DF020E"/>
    <w:rsid w:val="00DF18C1"/>
    <w:rsid w:val="00DF21EB"/>
    <w:rsid w:val="00DF325C"/>
    <w:rsid w:val="00DF331E"/>
    <w:rsid w:val="00DF347A"/>
    <w:rsid w:val="00DF38EB"/>
    <w:rsid w:val="00DF44E5"/>
    <w:rsid w:val="00DF47B9"/>
    <w:rsid w:val="00DF4FBB"/>
    <w:rsid w:val="00DF514D"/>
    <w:rsid w:val="00DF53C5"/>
    <w:rsid w:val="00DF66E7"/>
    <w:rsid w:val="00DF7869"/>
    <w:rsid w:val="00E001CD"/>
    <w:rsid w:val="00E0029E"/>
    <w:rsid w:val="00E00364"/>
    <w:rsid w:val="00E01D10"/>
    <w:rsid w:val="00E02215"/>
    <w:rsid w:val="00E039AC"/>
    <w:rsid w:val="00E0618F"/>
    <w:rsid w:val="00E065D2"/>
    <w:rsid w:val="00E0758D"/>
    <w:rsid w:val="00E10F5E"/>
    <w:rsid w:val="00E1184E"/>
    <w:rsid w:val="00E12B85"/>
    <w:rsid w:val="00E12E35"/>
    <w:rsid w:val="00E1381A"/>
    <w:rsid w:val="00E13B5A"/>
    <w:rsid w:val="00E1434D"/>
    <w:rsid w:val="00E14658"/>
    <w:rsid w:val="00E14CCC"/>
    <w:rsid w:val="00E16E22"/>
    <w:rsid w:val="00E20CF3"/>
    <w:rsid w:val="00E22940"/>
    <w:rsid w:val="00E237FD"/>
    <w:rsid w:val="00E2426A"/>
    <w:rsid w:val="00E25499"/>
    <w:rsid w:val="00E254F2"/>
    <w:rsid w:val="00E25747"/>
    <w:rsid w:val="00E26E3B"/>
    <w:rsid w:val="00E3058E"/>
    <w:rsid w:val="00E30827"/>
    <w:rsid w:val="00E31D1C"/>
    <w:rsid w:val="00E32567"/>
    <w:rsid w:val="00E33704"/>
    <w:rsid w:val="00E33739"/>
    <w:rsid w:val="00E34004"/>
    <w:rsid w:val="00E353C6"/>
    <w:rsid w:val="00E353F9"/>
    <w:rsid w:val="00E37047"/>
    <w:rsid w:val="00E376C4"/>
    <w:rsid w:val="00E37F84"/>
    <w:rsid w:val="00E40690"/>
    <w:rsid w:val="00E419A5"/>
    <w:rsid w:val="00E42464"/>
    <w:rsid w:val="00E42B61"/>
    <w:rsid w:val="00E43399"/>
    <w:rsid w:val="00E434BC"/>
    <w:rsid w:val="00E43514"/>
    <w:rsid w:val="00E44E9D"/>
    <w:rsid w:val="00E45291"/>
    <w:rsid w:val="00E457C6"/>
    <w:rsid w:val="00E457D4"/>
    <w:rsid w:val="00E46AC4"/>
    <w:rsid w:val="00E46B18"/>
    <w:rsid w:val="00E474CA"/>
    <w:rsid w:val="00E47735"/>
    <w:rsid w:val="00E506EB"/>
    <w:rsid w:val="00E5097A"/>
    <w:rsid w:val="00E51C97"/>
    <w:rsid w:val="00E51E58"/>
    <w:rsid w:val="00E52675"/>
    <w:rsid w:val="00E53587"/>
    <w:rsid w:val="00E536C4"/>
    <w:rsid w:val="00E54455"/>
    <w:rsid w:val="00E556D9"/>
    <w:rsid w:val="00E55F57"/>
    <w:rsid w:val="00E5693F"/>
    <w:rsid w:val="00E60CD3"/>
    <w:rsid w:val="00E60EF4"/>
    <w:rsid w:val="00E61022"/>
    <w:rsid w:val="00E634B5"/>
    <w:rsid w:val="00E636AC"/>
    <w:rsid w:val="00E6488B"/>
    <w:rsid w:val="00E64898"/>
    <w:rsid w:val="00E64923"/>
    <w:rsid w:val="00E649E2"/>
    <w:rsid w:val="00E663FD"/>
    <w:rsid w:val="00E6673C"/>
    <w:rsid w:val="00E66917"/>
    <w:rsid w:val="00E66E78"/>
    <w:rsid w:val="00E67D7D"/>
    <w:rsid w:val="00E70D55"/>
    <w:rsid w:val="00E7172B"/>
    <w:rsid w:val="00E72329"/>
    <w:rsid w:val="00E72D7E"/>
    <w:rsid w:val="00E72FFD"/>
    <w:rsid w:val="00E731FF"/>
    <w:rsid w:val="00E73E0A"/>
    <w:rsid w:val="00E74F08"/>
    <w:rsid w:val="00E753A4"/>
    <w:rsid w:val="00E77586"/>
    <w:rsid w:val="00E77A04"/>
    <w:rsid w:val="00E81CE1"/>
    <w:rsid w:val="00E820EB"/>
    <w:rsid w:val="00E82FC5"/>
    <w:rsid w:val="00E8338D"/>
    <w:rsid w:val="00E84313"/>
    <w:rsid w:val="00E85516"/>
    <w:rsid w:val="00E85F27"/>
    <w:rsid w:val="00E86004"/>
    <w:rsid w:val="00E86876"/>
    <w:rsid w:val="00E86D2D"/>
    <w:rsid w:val="00E874A8"/>
    <w:rsid w:val="00E90DB1"/>
    <w:rsid w:val="00E9141D"/>
    <w:rsid w:val="00E91647"/>
    <w:rsid w:val="00E92389"/>
    <w:rsid w:val="00E9304C"/>
    <w:rsid w:val="00E9359B"/>
    <w:rsid w:val="00E9413C"/>
    <w:rsid w:val="00E96885"/>
    <w:rsid w:val="00E969B6"/>
    <w:rsid w:val="00E978B9"/>
    <w:rsid w:val="00E97969"/>
    <w:rsid w:val="00EA048D"/>
    <w:rsid w:val="00EA0986"/>
    <w:rsid w:val="00EA12C6"/>
    <w:rsid w:val="00EA13FB"/>
    <w:rsid w:val="00EA16F5"/>
    <w:rsid w:val="00EA22AC"/>
    <w:rsid w:val="00EA2563"/>
    <w:rsid w:val="00EA276D"/>
    <w:rsid w:val="00EA2C52"/>
    <w:rsid w:val="00EA2D6E"/>
    <w:rsid w:val="00EA3EC6"/>
    <w:rsid w:val="00EA450A"/>
    <w:rsid w:val="00EA4D65"/>
    <w:rsid w:val="00EA62AB"/>
    <w:rsid w:val="00EA6E8F"/>
    <w:rsid w:val="00EA7CF3"/>
    <w:rsid w:val="00EB08A9"/>
    <w:rsid w:val="00EB1BF1"/>
    <w:rsid w:val="00EB2B75"/>
    <w:rsid w:val="00EB36AE"/>
    <w:rsid w:val="00EB4EB0"/>
    <w:rsid w:val="00EB5261"/>
    <w:rsid w:val="00EB5954"/>
    <w:rsid w:val="00EB5A22"/>
    <w:rsid w:val="00EB660A"/>
    <w:rsid w:val="00EB6DC1"/>
    <w:rsid w:val="00EB7EFE"/>
    <w:rsid w:val="00EC06D3"/>
    <w:rsid w:val="00EC1010"/>
    <w:rsid w:val="00EC1289"/>
    <w:rsid w:val="00EC2CBD"/>
    <w:rsid w:val="00EC340E"/>
    <w:rsid w:val="00EC3CC8"/>
    <w:rsid w:val="00EC42FC"/>
    <w:rsid w:val="00EC4937"/>
    <w:rsid w:val="00EC49E8"/>
    <w:rsid w:val="00EC5254"/>
    <w:rsid w:val="00EC5511"/>
    <w:rsid w:val="00EC730F"/>
    <w:rsid w:val="00EC748C"/>
    <w:rsid w:val="00EC7CD0"/>
    <w:rsid w:val="00ED10DB"/>
    <w:rsid w:val="00ED172C"/>
    <w:rsid w:val="00ED2238"/>
    <w:rsid w:val="00ED23E4"/>
    <w:rsid w:val="00ED274C"/>
    <w:rsid w:val="00ED2CB1"/>
    <w:rsid w:val="00ED3222"/>
    <w:rsid w:val="00ED34E6"/>
    <w:rsid w:val="00ED3F77"/>
    <w:rsid w:val="00ED41BC"/>
    <w:rsid w:val="00ED4C30"/>
    <w:rsid w:val="00ED4EC3"/>
    <w:rsid w:val="00ED625F"/>
    <w:rsid w:val="00ED6946"/>
    <w:rsid w:val="00ED6EC9"/>
    <w:rsid w:val="00ED71D1"/>
    <w:rsid w:val="00ED7A13"/>
    <w:rsid w:val="00ED7E0E"/>
    <w:rsid w:val="00EE144D"/>
    <w:rsid w:val="00EE21FC"/>
    <w:rsid w:val="00EE28D3"/>
    <w:rsid w:val="00EE2CFA"/>
    <w:rsid w:val="00EE4294"/>
    <w:rsid w:val="00EE42AD"/>
    <w:rsid w:val="00EE44A5"/>
    <w:rsid w:val="00EE5483"/>
    <w:rsid w:val="00EE5849"/>
    <w:rsid w:val="00EE68AE"/>
    <w:rsid w:val="00EE6E21"/>
    <w:rsid w:val="00EE7349"/>
    <w:rsid w:val="00EF1017"/>
    <w:rsid w:val="00EF1DC6"/>
    <w:rsid w:val="00EF2161"/>
    <w:rsid w:val="00EF2322"/>
    <w:rsid w:val="00EF2C67"/>
    <w:rsid w:val="00EF3348"/>
    <w:rsid w:val="00EF3AFE"/>
    <w:rsid w:val="00EF4CE0"/>
    <w:rsid w:val="00EF7039"/>
    <w:rsid w:val="00EF797D"/>
    <w:rsid w:val="00EF7A79"/>
    <w:rsid w:val="00F001FC"/>
    <w:rsid w:val="00F00A5B"/>
    <w:rsid w:val="00F01F64"/>
    <w:rsid w:val="00F02C74"/>
    <w:rsid w:val="00F03EA6"/>
    <w:rsid w:val="00F04185"/>
    <w:rsid w:val="00F04AD7"/>
    <w:rsid w:val="00F04B44"/>
    <w:rsid w:val="00F05071"/>
    <w:rsid w:val="00F0599C"/>
    <w:rsid w:val="00F0629F"/>
    <w:rsid w:val="00F067D9"/>
    <w:rsid w:val="00F06BB8"/>
    <w:rsid w:val="00F06C31"/>
    <w:rsid w:val="00F07AB7"/>
    <w:rsid w:val="00F111BB"/>
    <w:rsid w:val="00F11407"/>
    <w:rsid w:val="00F1167D"/>
    <w:rsid w:val="00F11DB1"/>
    <w:rsid w:val="00F11E0F"/>
    <w:rsid w:val="00F11FF7"/>
    <w:rsid w:val="00F12BCF"/>
    <w:rsid w:val="00F13073"/>
    <w:rsid w:val="00F13718"/>
    <w:rsid w:val="00F15B9B"/>
    <w:rsid w:val="00F1607B"/>
    <w:rsid w:val="00F162B3"/>
    <w:rsid w:val="00F1655D"/>
    <w:rsid w:val="00F16F96"/>
    <w:rsid w:val="00F17967"/>
    <w:rsid w:val="00F20345"/>
    <w:rsid w:val="00F21484"/>
    <w:rsid w:val="00F2164E"/>
    <w:rsid w:val="00F219CA"/>
    <w:rsid w:val="00F21C27"/>
    <w:rsid w:val="00F227B5"/>
    <w:rsid w:val="00F2342D"/>
    <w:rsid w:val="00F23999"/>
    <w:rsid w:val="00F23C39"/>
    <w:rsid w:val="00F25811"/>
    <w:rsid w:val="00F26146"/>
    <w:rsid w:val="00F264AD"/>
    <w:rsid w:val="00F26DA3"/>
    <w:rsid w:val="00F26F6E"/>
    <w:rsid w:val="00F2724A"/>
    <w:rsid w:val="00F2765B"/>
    <w:rsid w:val="00F276D3"/>
    <w:rsid w:val="00F30827"/>
    <w:rsid w:val="00F30F9D"/>
    <w:rsid w:val="00F318BC"/>
    <w:rsid w:val="00F32F86"/>
    <w:rsid w:val="00F33508"/>
    <w:rsid w:val="00F339BC"/>
    <w:rsid w:val="00F358B1"/>
    <w:rsid w:val="00F359B1"/>
    <w:rsid w:val="00F35FA6"/>
    <w:rsid w:val="00F36307"/>
    <w:rsid w:val="00F377F5"/>
    <w:rsid w:val="00F37ACF"/>
    <w:rsid w:val="00F401BB"/>
    <w:rsid w:val="00F40990"/>
    <w:rsid w:val="00F40B08"/>
    <w:rsid w:val="00F4245F"/>
    <w:rsid w:val="00F427BC"/>
    <w:rsid w:val="00F43C7E"/>
    <w:rsid w:val="00F451B4"/>
    <w:rsid w:val="00F457CA"/>
    <w:rsid w:val="00F457D7"/>
    <w:rsid w:val="00F45A62"/>
    <w:rsid w:val="00F47276"/>
    <w:rsid w:val="00F47A62"/>
    <w:rsid w:val="00F512BA"/>
    <w:rsid w:val="00F516B4"/>
    <w:rsid w:val="00F5236F"/>
    <w:rsid w:val="00F53443"/>
    <w:rsid w:val="00F54A38"/>
    <w:rsid w:val="00F55501"/>
    <w:rsid w:val="00F56375"/>
    <w:rsid w:val="00F56923"/>
    <w:rsid w:val="00F57EEB"/>
    <w:rsid w:val="00F60C34"/>
    <w:rsid w:val="00F6277C"/>
    <w:rsid w:val="00F6382B"/>
    <w:rsid w:val="00F638D8"/>
    <w:rsid w:val="00F64CD0"/>
    <w:rsid w:val="00F6540A"/>
    <w:rsid w:val="00F65484"/>
    <w:rsid w:val="00F65C5B"/>
    <w:rsid w:val="00F664E2"/>
    <w:rsid w:val="00F66B6A"/>
    <w:rsid w:val="00F70035"/>
    <w:rsid w:val="00F70AC3"/>
    <w:rsid w:val="00F70BED"/>
    <w:rsid w:val="00F70DF5"/>
    <w:rsid w:val="00F718C5"/>
    <w:rsid w:val="00F721E1"/>
    <w:rsid w:val="00F72360"/>
    <w:rsid w:val="00F72DB5"/>
    <w:rsid w:val="00F735C6"/>
    <w:rsid w:val="00F743D4"/>
    <w:rsid w:val="00F74785"/>
    <w:rsid w:val="00F74869"/>
    <w:rsid w:val="00F74B45"/>
    <w:rsid w:val="00F7528A"/>
    <w:rsid w:val="00F76190"/>
    <w:rsid w:val="00F76B4C"/>
    <w:rsid w:val="00F779C9"/>
    <w:rsid w:val="00F77AE6"/>
    <w:rsid w:val="00F818CE"/>
    <w:rsid w:val="00F81A2F"/>
    <w:rsid w:val="00F8272B"/>
    <w:rsid w:val="00F84051"/>
    <w:rsid w:val="00F85836"/>
    <w:rsid w:val="00F8663D"/>
    <w:rsid w:val="00F874C6"/>
    <w:rsid w:val="00F9072D"/>
    <w:rsid w:val="00F91365"/>
    <w:rsid w:val="00F91B9C"/>
    <w:rsid w:val="00F927DF"/>
    <w:rsid w:val="00F929C9"/>
    <w:rsid w:val="00F933A0"/>
    <w:rsid w:val="00F9355A"/>
    <w:rsid w:val="00F942C3"/>
    <w:rsid w:val="00F94750"/>
    <w:rsid w:val="00F95F5B"/>
    <w:rsid w:val="00F96645"/>
    <w:rsid w:val="00F96AF8"/>
    <w:rsid w:val="00F97827"/>
    <w:rsid w:val="00FA02B8"/>
    <w:rsid w:val="00FA069A"/>
    <w:rsid w:val="00FA0992"/>
    <w:rsid w:val="00FA38DD"/>
    <w:rsid w:val="00FA3EFC"/>
    <w:rsid w:val="00FA4AB1"/>
    <w:rsid w:val="00FA4ABE"/>
    <w:rsid w:val="00FA7133"/>
    <w:rsid w:val="00FA7488"/>
    <w:rsid w:val="00FA7B7E"/>
    <w:rsid w:val="00FB03A2"/>
    <w:rsid w:val="00FB1D09"/>
    <w:rsid w:val="00FB28AE"/>
    <w:rsid w:val="00FB2C2B"/>
    <w:rsid w:val="00FB3956"/>
    <w:rsid w:val="00FB3AC1"/>
    <w:rsid w:val="00FB3D96"/>
    <w:rsid w:val="00FB430C"/>
    <w:rsid w:val="00FB464C"/>
    <w:rsid w:val="00FB4C17"/>
    <w:rsid w:val="00FB5876"/>
    <w:rsid w:val="00FB5925"/>
    <w:rsid w:val="00FB5FF3"/>
    <w:rsid w:val="00FB6F8F"/>
    <w:rsid w:val="00FB74F3"/>
    <w:rsid w:val="00FB7A9C"/>
    <w:rsid w:val="00FB7DC1"/>
    <w:rsid w:val="00FB7ECF"/>
    <w:rsid w:val="00FC0076"/>
    <w:rsid w:val="00FC2310"/>
    <w:rsid w:val="00FC23A0"/>
    <w:rsid w:val="00FC3134"/>
    <w:rsid w:val="00FC43C2"/>
    <w:rsid w:val="00FC4E19"/>
    <w:rsid w:val="00FC58A3"/>
    <w:rsid w:val="00FC59FA"/>
    <w:rsid w:val="00FC6035"/>
    <w:rsid w:val="00FC676D"/>
    <w:rsid w:val="00FC7337"/>
    <w:rsid w:val="00FC7DE0"/>
    <w:rsid w:val="00FD00C6"/>
    <w:rsid w:val="00FD05D2"/>
    <w:rsid w:val="00FD075C"/>
    <w:rsid w:val="00FD0967"/>
    <w:rsid w:val="00FD1EC9"/>
    <w:rsid w:val="00FD22DA"/>
    <w:rsid w:val="00FD2359"/>
    <w:rsid w:val="00FD26D8"/>
    <w:rsid w:val="00FD421C"/>
    <w:rsid w:val="00FD46AE"/>
    <w:rsid w:val="00FD4D1C"/>
    <w:rsid w:val="00FD740A"/>
    <w:rsid w:val="00FE0956"/>
    <w:rsid w:val="00FE2752"/>
    <w:rsid w:val="00FE304B"/>
    <w:rsid w:val="00FE3430"/>
    <w:rsid w:val="00FE344D"/>
    <w:rsid w:val="00FE3D01"/>
    <w:rsid w:val="00FE42A2"/>
    <w:rsid w:val="00FE450A"/>
    <w:rsid w:val="00FE47EA"/>
    <w:rsid w:val="00FE47F4"/>
    <w:rsid w:val="00FE4F98"/>
    <w:rsid w:val="00FE60B7"/>
    <w:rsid w:val="00FE61E5"/>
    <w:rsid w:val="00FF1288"/>
    <w:rsid w:val="00FF1667"/>
    <w:rsid w:val="00FF1A36"/>
    <w:rsid w:val="00FF1CBC"/>
    <w:rsid w:val="00FF28CB"/>
    <w:rsid w:val="00FF38AE"/>
    <w:rsid w:val="00FF38BD"/>
    <w:rsid w:val="00FF3A43"/>
    <w:rsid w:val="00FF3CBA"/>
    <w:rsid w:val="00FF5A92"/>
    <w:rsid w:val="00FF5D36"/>
    <w:rsid w:val="00FF6549"/>
    <w:rsid w:val="00FF66AA"/>
    <w:rsid w:val="00FF6C5D"/>
    <w:rsid w:val="00FF6CBC"/>
    <w:rsid w:val="00FF73BF"/>
    <w:rsid w:val="00FF7A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58D6C"/>
  <w15:chartTrackingRefBased/>
  <w15:docId w15:val="{5D6E1DB9-6704-4C15-BEEF-22706BF0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AD"/>
  </w:style>
  <w:style w:type="paragraph" w:styleId="Heading1">
    <w:name w:val="heading 1"/>
    <w:basedOn w:val="Normal"/>
    <w:next w:val="Normal"/>
    <w:link w:val="Heading1Char"/>
    <w:uiPriority w:val="9"/>
    <w:qFormat/>
    <w:rsid w:val="00ED274C"/>
    <w:pPr>
      <w:spacing w:after="0" w:line="240" w:lineRule="auto"/>
      <w:outlineLvl w:val="0"/>
    </w:pPr>
    <w:rPr>
      <w:rFonts w:ascii="Calibri" w:hAnsi="Calibri" w:cs="Calibri"/>
      <w:b/>
      <w:bCs/>
      <w:sz w:val="28"/>
      <w:szCs w:val="28"/>
    </w:rPr>
  </w:style>
  <w:style w:type="paragraph" w:styleId="Heading2">
    <w:name w:val="heading 2"/>
    <w:basedOn w:val="Normal"/>
    <w:next w:val="Normal"/>
    <w:link w:val="Heading2Char"/>
    <w:uiPriority w:val="9"/>
    <w:unhideWhenUsed/>
    <w:qFormat/>
    <w:rsid w:val="00ED274C"/>
    <w:pPr>
      <w:spacing w:after="0" w:line="360" w:lineRule="auto"/>
      <w:jc w:val="both"/>
      <w:outlineLvl w:val="1"/>
    </w:pPr>
    <w:rPr>
      <w:rFonts w:ascii="Calibri" w:hAnsi="Calibri" w:cs="Calibri"/>
      <w:b/>
      <w:bCs/>
      <w:sz w:val="24"/>
      <w:szCs w:val="24"/>
    </w:rPr>
  </w:style>
  <w:style w:type="paragraph" w:styleId="Heading3">
    <w:name w:val="heading 3"/>
    <w:basedOn w:val="Normal"/>
    <w:next w:val="Normal"/>
    <w:link w:val="Heading3Char"/>
    <w:uiPriority w:val="9"/>
    <w:unhideWhenUsed/>
    <w:qFormat/>
    <w:rsid w:val="00570ECB"/>
    <w:pPr>
      <w:spacing w:line="360" w:lineRule="auto"/>
      <w:jc w:val="both"/>
      <w:outlineLvl w:val="2"/>
    </w:pPr>
    <w:rPr>
      <w:rFonts w:ascii="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B1F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B1FAD"/>
    <w:pPr>
      <w:spacing w:after="0" w:line="240" w:lineRule="auto"/>
      <w:ind w:left="720"/>
      <w:contextualSpacing/>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6B1FAD"/>
    <w:pPr>
      <w:spacing w:after="0" w:line="240" w:lineRule="auto"/>
    </w:pPr>
    <w:rPr>
      <w:sz w:val="20"/>
      <w:szCs w:val="20"/>
    </w:rPr>
  </w:style>
  <w:style w:type="character" w:customStyle="1" w:styleId="FootnoteTextChar">
    <w:name w:val="Footnote Text Char"/>
    <w:basedOn w:val="DefaultParagraphFont"/>
    <w:link w:val="FootnoteText"/>
    <w:uiPriority w:val="99"/>
    <w:rsid w:val="006B1FAD"/>
    <w:rPr>
      <w:sz w:val="20"/>
      <w:szCs w:val="20"/>
    </w:rPr>
  </w:style>
  <w:style w:type="character" w:styleId="FootnoteReference">
    <w:name w:val="footnote reference"/>
    <w:basedOn w:val="DefaultParagraphFont"/>
    <w:uiPriority w:val="99"/>
    <w:semiHidden/>
    <w:unhideWhenUsed/>
    <w:rsid w:val="006B1FAD"/>
    <w:rPr>
      <w:vertAlign w:val="superscript"/>
    </w:rPr>
  </w:style>
  <w:style w:type="character" w:styleId="Hyperlink">
    <w:name w:val="Hyperlink"/>
    <w:basedOn w:val="DefaultParagraphFont"/>
    <w:uiPriority w:val="99"/>
    <w:unhideWhenUsed/>
    <w:rsid w:val="006B1FAD"/>
    <w:rPr>
      <w:color w:val="0563C1" w:themeColor="hyperlink"/>
      <w:u w:val="single"/>
    </w:rPr>
  </w:style>
  <w:style w:type="character" w:styleId="UnresolvedMention">
    <w:name w:val="Unresolved Mention"/>
    <w:basedOn w:val="DefaultParagraphFont"/>
    <w:uiPriority w:val="99"/>
    <w:semiHidden/>
    <w:unhideWhenUsed/>
    <w:rsid w:val="006B1FAD"/>
    <w:rPr>
      <w:color w:val="605E5C"/>
      <w:shd w:val="clear" w:color="auto" w:fill="E1DFDD"/>
    </w:rPr>
  </w:style>
  <w:style w:type="character" w:customStyle="1" w:styleId="Heading2Char">
    <w:name w:val="Heading 2 Char"/>
    <w:basedOn w:val="DefaultParagraphFont"/>
    <w:link w:val="Heading2"/>
    <w:uiPriority w:val="9"/>
    <w:rsid w:val="00ED274C"/>
    <w:rPr>
      <w:rFonts w:ascii="Calibri" w:hAnsi="Calibri" w:cs="Calibri"/>
      <w:b/>
      <w:bCs/>
      <w:sz w:val="24"/>
      <w:szCs w:val="24"/>
    </w:rPr>
  </w:style>
  <w:style w:type="character" w:styleId="Emphasis">
    <w:name w:val="Emphasis"/>
    <w:basedOn w:val="DefaultParagraphFont"/>
    <w:uiPriority w:val="20"/>
    <w:qFormat/>
    <w:rsid w:val="0026356C"/>
    <w:rPr>
      <w:i/>
      <w:iCs/>
    </w:rPr>
  </w:style>
  <w:style w:type="character" w:customStyle="1" w:styleId="r-search-result">
    <w:name w:val="r-search-result"/>
    <w:basedOn w:val="DefaultParagraphFont"/>
    <w:rsid w:val="006C1C67"/>
  </w:style>
  <w:style w:type="character" w:customStyle="1" w:styleId="authors">
    <w:name w:val="authors"/>
    <w:basedOn w:val="DefaultParagraphFont"/>
    <w:rsid w:val="008E146D"/>
  </w:style>
  <w:style w:type="character" w:customStyle="1" w:styleId="Date1">
    <w:name w:val="Date1"/>
    <w:basedOn w:val="DefaultParagraphFont"/>
    <w:rsid w:val="008E146D"/>
  </w:style>
  <w:style w:type="character" w:customStyle="1" w:styleId="arttitle">
    <w:name w:val="art_title"/>
    <w:basedOn w:val="DefaultParagraphFont"/>
    <w:rsid w:val="008E146D"/>
  </w:style>
  <w:style w:type="character" w:customStyle="1" w:styleId="serialtitle">
    <w:name w:val="serial_title"/>
    <w:basedOn w:val="DefaultParagraphFont"/>
    <w:rsid w:val="008E146D"/>
  </w:style>
  <w:style w:type="character" w:customStyle="1" w:styleId="volumeissue">
    <w:name w:val="volume_issue"/>
    <w:basedOn w:val="DefaultParagraphFont"/>
    <w:rsid w:val="008E146D"/>
  </w:style>
  <w:style w:type="character" w:customStyle="1" w:styleId="pagerange">
    <w:name w:val="page_range"/>
    <w:basedOn w:val="DefaultParagraphFont"/>
    <w:rsid w:val="008E146D"/>
  </w:style>
  <w:style w:type="paragraph" w:customStyle="1" w:styleId="vcard">
    <w:name w:val="vcard"/>
    <w:basedOn w:val="Normal"/>
    <w:rsid w:val="00B20E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
    <w:name w:val="citation"/>
    <w:basedOn w:val="DefaultParagraphFont"/>
    <w:rsid w:val="00D74077"/>
  </w:style>
  <w:style w:type="character" w:customStyle="1" w:styleId="Heading1Char">
    <w:name w:val="Heading 1 Char"/>
    <w:basedOn w:val="DefaultParagraphFont"/>
    <w:link w:val="Heading1"/>
    <w:uiPriority w:val="9"/>
    <w:rsid w:val="00ED274C"/>
    <w:rPr>
      <w:rFonts w:ascii="Calibri" w:hAnsi="Calibri" w:cs="Calibri"/>
      <w:b/>
      <w:bCs/>
      <w:sz w:val="28"/>
      <w:szCs w:val="28"/>
    </w:rPr>
  </w:style>
  <w:style w:type="character" w:styleId="FollowedHyperlink">
    <w:name w:val="FollowedHyperlink"/>
    <w:basedOn w:val="DefaultParagraphFont"/>
    <w:uiPriority w:val="99"/>
    <w:semiHidden/>
    <w:unhideWhenUsed/>
    <w:rsid w:val="001543CC"/>
    <w:rPr>
      <w:color w:val="954F72" w:themeColor="followedHyperlink"/>
      <w:u w:val="single"/>
    </w:rPr>
  </w:style>
  <w:style w:type="character" w:styleId="Strong">
    <w:name w:val="Strong"/>
    <w:basedOn w:val="DefaultParagraphFont"/>
    <w:uiPriority w:val="22"/>
    <w:qFormat/>
    <w:rsid w:val="00261CA9"/>
    <w:rPr>
      <w:b/>
      <w:bCs/>
    </w:rPr>
  </w:style>
  <w:style w:type="character" w:customStyle="1" w:styleId="slug-pages3">
    <w:name w:val="slug-pages3"/>
    <w:basedOn w:val="DefaultParagraphFont"/>
    <w:rsid w:val="00A93EBF"/>
  </w:style>
  <w:style w:type="character" w:customStyle="1" w:styleId="st1">
    <w:name w:val="st1"/>
    <w:basedOn w:val="DefaultParagraphFont"/>
    <w:rsid w:val="00A93EBF"/>
  </w:style>
  <w:style w:type="character" w:customStyle="1" w:styleId="Heading3Char">
    <w:name w:val="Heading 3 Char"/>
    <w:basedOn w:val="DefaultParagraphFont"/>
    <w:link w:val="Heading3"/>
    <w:uiPriority w:val="9"/>
    <w:rsid w:val="00570ECB"/>
    <w:rPr>
      <w:rFonts w:ascii="Calibri" w:hAnsi="Calibri" w:cs="Calibri"/>
      <w:b/>
      <w:bCs/>
      <w:i/>
      <w:iCs/>
      <w:sz w:val="24"/>
      <w:szCs w:val="24"/>
    </w:rPr>
  </w:style>
  <w:style w:type="paragraph" w:styleId="Revision">
    <w:name w:val="Revision"/>
    <w:hidden/>
    <w:uiPriority w:val="99"/>
    <w:semiHidden/>
    <w:rsid w:val="0037675B"/>
    <w:pPr>
      <w:spacing w:after="0" w:line="240" w:lineRule="auto"/>
    </w:pPr>
  </w:style>
  <w:style w:type="character" w:styleId="CommentReference">
    <w:name w:val="annotation reference"/>
    <w:basedOn w:val="DefaultParagraphFont"/>
    <w:uiPriority w:val="99"/>
    <w:semiHidden/>
    <w:unhideWhenUsed/>
    <w:rsid w:val="0037675B"/>
    <w:rPr>
      <w:sz w:val="16"/>
      <w:szCs w:val="16"/>
    </w:rPr>
  </w:style>
  <w:style w:type="paragraph" w:styleId="CommentText">
    <w:name w:val="annotation text"/>
    <w:basedOn w:val="Normal"/>
    <w:link w:val="CommentTextChar"/>
    <w:uiPriority w:val="99"/>
    <w:unhideWhenUsed/>
    <w:rsid w:val="0037675B"/>
    <w:pPr>
      <w:spacing w:line="240" w:lineRule="auto"/>
    </w:pPr>
    <w:rPr>
      <w:sz w:val="20"/>
      <w:szCs w:val="20"/>
    </w:rPr>
  </w:style>
  <w:style w:type="character" w:customStyle="1" w:styleId="CommentTextChar">
    <w:name w:val="Comment Text Char"/>
    <w:basedOn w:val="DefaultParagraphFont"/>
    <w:link w:val="CommentText"/>
    <w:uiPriority w:val="99"/>
    <w:rsid w:val="0037675B"/>
    <w:rPr>
      <w:sz w:val="20"/>
      <w:szCs w:val="20"/>
    </w:rPr>
  </w:style>
  <w:style w:type="paragraph" w:styleId="CommentSubject">
    <w:name w:val="annotation subject"/>
    <w:basedOn w:val="CommentText"/>
    <w:next w:val="CommentText"/>
    <w:link w:val="CommentSubjectChar"/>
    <w:uiPriority w:val="99"/>
    <w:semiHidden/>
    <w:unhideWhenUsed/>
    <w:rsid w:val="0037675B"/>
    <w:rPr>
      <w:b/>
      <w:bCs/>
    </w:rPr>
  </w:style>
  <w:style w:type="character" w:customStyle="1" w:styleId="CommentSubjectChar">
    <w:name w:val="Comment Subject Char"/>
    <w:basedOn w:val="CommentTextChar"/>
    <w:link w:val="CommentSubject"/>
    <w:uiPriority w:val="99"/>
    <w:semiHidden/>
    <w:rsid w:val="0037675B"/>
    <w:rPr>
      <w:b/>
      <w:bCs/>
      <w:sz w:val="20"/>
      <w:szCs w:val="20"/>
    </w:rPr>
  </w:style>
  <w:style w:type="paragraph" w:customStyle="1" w:styleId="hd-oj">
    <w:name w:val="hd-oj"/>
    <w:basedOn w:val="Normal"/>
    <w:rsid w:val="003730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17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C51"/>
  </w:style>
  <w:style w:type="paragraph" w:styleId="Footer">
    <w:name w:val="footer"/>
    <w:basedOn w:val="Normal"/>
    <w:link w:val="FooterChar"/>
    <w:uiPriority w:val="99"/>
    <w:unhideWhenUsed/>
    <w:rsid w:val="00717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C51"/>
  </w:style>
  <w:style w:type="paragraph" w:customStyle="1" w:styleId="active">
    <w:name w:val="active"/>
    <w:basedOn w:val="Normal"/>
    <w:rsid w:val="00BF17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BE24E9"/>
  </w:style>
  <w:style w:type="character" w:customStyle="1" w:styleId="pubyear">
    <w:name w:val="pubyear"/>
    <w:basedOn w:val="DefaultParagraphFont"/>
    <w:rsid w:val="00BE24E9"/>
  </w:style>
  <w:style w:type="character" w:customStyle="1" w:styleId="articletitle">
    <w:name w:val="articletitle"/>
    <w:basedOn w:val="DefaultParagraphFont"/>
    <w:rsid w:val="00BE24E9"/>
  </w:style>
  <w:style w:type="character" w:customStyle="1" w:styleId="vol">
    <w:name w:val="vol"/>
    <w:basedOn w:val="DefaultParagraphFont"/>
    <w:rsid w:val="00BE24E9"/>
  </w:style>
  <w:style w:type="character" w:customStyle="1" w:styleId="citedissue">
    <w:name w:val="citedissue"/>
    <w:basedOn w:val="DefaultParagraphFont"/>
    <w:rsid w:val="00BE24E9"/>
  </w:style>
  <w:style w:type="character" w:customStyle="1" w:styleId="pagefirst">
    <w:name w:val="pagefirst"/>
    <w:basedOn w:val="DefaultParagraphFont"/>
    <w:rsid w:val="00BE24E9"/>
  </w:style>
  <w:style w:type="character" w:customStyle="1" w:styleId="pagelast">
    <w:name w:val="pagelast"/>
    <w:basedOn w:val="DefaultParagraphFont"/>
    <w:rsid w:val="00BE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002">
      <w:bodyDiv w:val="1"/>
      <w:marLeft w:val="0"/>
      <w:marRight w:val="0"/>
      <w:marTop w:val="0"/>
      <w:marBottom w:val="0"/>
      <w:divBdr>
        <w:top w:val="none" w:sz="0" w:space="0" w:color="auto"/>
        <w:left w:val="none" w:sz="0" w:space="0" w:color="auto"/>
        <w:bottom w:val="none" w:sz="0" w:space="0" w:color="auto"/>
        <w:right w:val="none" w:sz="0" w:space="0" w:color="auto"/>
      </w:divBdr>
    </w:div>
    <w:div w:id="15547028">
      <w:bodyDiv w:val="1"/>
      <w:marLeft w:val="0"/>
      <w:marRight w:val="0"/>
      <w:marTop w:val="0"/>
      <w:marBottom w:val="0"/>
      <w:divBdr>
        <w:top w:val="none" w:sz="0" w:space="0" w:color="auto"/>
        <w:left w:val="none" w:sz="0" w:space="0" w:color="auto"/>
        <w:bottom w:val="none" w:sz="0" w:space="0" w:color="auto"/>
        <w:right w:val="none" w:sz="0" w:space="0" w:color="auto"/>
      </w:divBdr>
      <w:divsChild>
        <w:div w:id="1607692540">
          <w:marLeft w:val="0"/>
          <w:marRight w:val="0"/>
          <w:marTop w:val="0"/>
          <w:marBottom w:val="0"/>
          <w:divBdr>
            <w:top w:val="none" w:sz="0" w:space="0" w:color="auto"/>
            <w:left w:val="none" w:sz="0" w:space="0" w:color="auto"/>
            <w:bottom w:val="none" w:sz="0" w:space="0" w:color="auto"/>
            <w:right w:val="none" w:sz="0" w:space="0" w:color="auto"/>
          </w:divBdr>
          <w:divsChild>
            <w:div w:id="1725644263">
              <w:marLeft w:val="0"/>
              <w:marRight w:val="0"/>
              <w:marTop w:val="0"/>
              <w:marBottom w:val="0"/>
              <w:divBdr>
                <w:top w:val="none" w:sz="0" w:space="0" w:color="auto"/>
                <w:left w:val="none" w:sz="0" w:space="0" w:color="auto"/>
                <w:bottom w:val="none" w:sz="0" w:space="0" w:color="auto"/>
                <w:right w:val="none" w:sz="0" w:space="0" w:color="auto"/>
              </w:divBdr>
            </w:div>
          </w:divsChild>
        </w:div>
        <w:div w:id="1662272273">
          <w:marLeft w:val="0"/>
          <w:marRight w:val="0"/>
          <w:marTop w:val="0"/>
          <w:marBottom w:val="0"/>
          <w:divBdr>
            <w:top w:val="none" w:sz="0" w:space="0" w:color="auto"/>
            <w:left w:val="none" w:sz="0" w:space="0" w:color="auto"/>
            <w:bottom w:val="none" w:sz="0" w:space="0" w:color="auto"/>
            <w:right w:val="none" w:sz="0" w:space="0" w:color="auto"/>
          </w:divBdr>
          <w:divsChild>
            <w:div w:id="4586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6786">
      <w:bodyDiv w:val="1"/>
      <w:marLeft w:val="0"/>
      <w:marRight w:val="0"/>
      <w:marTop w:val="0"/>
      <w:marBottom w:val="0"/>
      <w:divBdr>
        <w:top w:val="none" w:sz="0" w:space="0" w:color="auto"/>
        <w:left w:val="none" w:sz="0" w:space="0" w:color="auto"/>
        <w:bottom w:val="none" w:sz="0" w:space="0" w:color="auto"/>
        <w:right w:val="none" w:sz="0" w:space="0" w:color="auto"/>
      </w:divBdr>
    </w:div>
    <w:div w:id="121389957">
      <w:bodyDiv w:val="1"/>
      <w:marLeft w:val="0"/>
      <w:marRight w:val="0"/>
      <w:marTop w:val="0"/>
      <w:marBottom w:val="0"/>
      <w:divBdr>
        <w:top w:val="none" w:sz="0" w:space="0" w:color="auto"/>
        <w:left w:val="none" w:sz="0" w:space="0" w:color="auto"/>
        <w:bottom w:val="none" w:sz="0" w:space="0" w:color="auto"/>
        <w:right w:val="none" w:sz="0" w:space="0" w:color="auto"/>
      </w:divBdr>
    </w:div>
    <w:div w:id="124734817">
      <w:bodyDiv w:val="1"/>
      <w:marLeft w:val="0"/>
      <w:marRight w:val="0"/>
      <w:marTop w:val="0"/>
      <w:marBottom w:val="0"/>
      <w:divBdr>
        <w:top w:val="none" w:sz="0" w:space="0" w:color="auto"/>
        <w:left w:val="none" w:sz="0" w:space="0" w:color="auto"/>
        <w:bottom w:val="none" w:sz="0" w:space="0" w:color="auto"/>
        <w:right w:val="none" w:sz="0" w:space="0" w:color="auto"/>
      </w:divBdr>
      <w:divsChild>
        <w:div w:id="255602675">
          <w:marLeft w:val="0"/>
          <w:marRight w:val="0"/>
          <w:marTop w:val="75"/>
          <w:marBottom w:val="150"/>
          <w:divBdr>
            <w:top w:val="none" w:sz="0" w:space="0" w:color="auto"/>
            <w:left w:val="none" w:sz="0" w:space="0" w:color="auto"/>
            <w:bottom w:val="none" w:sz="0" w:space="0" w:color="auto"/>
            <w:right w:val="none" w:sz="0" w:space="0" w:color="auto"/>
          </w:divBdr>
        </w:div>
        <w:div w:id="527254219">
          <w:marLeft w:val="0"/>
          <w:marRight w:val="0"/>
          <w:marTop w:val="0"/>
          <w:marBottom w:val="0"/>
          <w:divBdr>
            <w:top w:val="none" w:sz="0" w:space="0" w:color="auto"/>
            <w:left w:val="none" w:sz="0" w:space="0" w:color="auto"/>
            <w:bottom w:val="none" w:sz="0" w:space="0" w:color="auto"/>
            <w:right w:val="none" w:sz="0" w:space="0" w:color="auto"/>
          </w:divBdr>
        </w:div>
      </w:divsChild>
    </w:div>
    <w:div w:id="199317536">
      <w:bodyDiv w:val="1"/>
      <w:marLeft w:val="0"/>
      <w:marRight w:val="0"/>
      <w:marTop w:val="0"/>
      <w:marBottom w:val="0"/>
      <w:divBdr>
        <w:top w:val="none" w:sz="0" w:space="0" w:color="auto"/>
        <w:left w:val="none" w:sz="0" w:space="0" w:color="auto"/>
        <w:bottom w:val="none" w:sz="0" w:space="0" w:color="auto"/>
        <w:right w:val="none" w:sz="0" w:space="0" w:color="auto"/>
      </w:divBdr>
    </w:div>
    <w:div w:id="228198975">
      <w:bodyDiv w:val="1"/>
      <w:marLeft w:val="0"/>
      <w:marRight w:val="0"/>
      <w:marTop w:val="0"/>
      <w:marBottom w:val="0"/>
      <w:divBdr>
        <w:top w:val="none" w:sz="0" w:space="0" w:color="auto"/>
        <w:left w:val="none" w:sz="0" w:space="0" w:color="auto"/>
        <w:bottom w:val="none" w:sz="0" w:space="0" w:color="auto"/>
        <w:right w:val="none" w:sz="0" w:space="0" w:color="auto"/>
      </w:divBdr>
    </w:div>
    <w:div w:id="236671983">
      <w:bodyDiv w:val="1"/>
      <w:marLeft w:val="0"/>
      <w:marRight w:val="0"/>
      <w:marTop w:val="0"/>
      <w:marBottom w:val="0"/>
      <w:divBdr>
        <w:top w:val="none" w:sz="0" w:space="0" w:color="auto"/>
        <w:left w:val="none" w:sz="0" w:space="0" w:color="auto"/>
        <w:bottom w:val="none" w:sz="0" w:space="0" w:color="auto"/>
        <w:right w:val="none" w:sz="0" w:space="0" w:color="auto"/>
      </w:divBdr>
    </w:div>
    <w:div w:id="373165248">
      <w:bodyDiv w:val="1"/>
      <w:marLeft w:val="0"/>
      <w:marRight w:val="0"/>
      <w:marTop w:val="0"/>
      <w:marBottom w:val="0"/>
      <w:divBdr>
        <w:top w:val="none" w:sz="0" w:space="0" w:color="auto"/>
        <w:left w:val="none" w:sz="0" w:space="0" w:color="auto"/>
        <w:bottom w:val="none" w:sz="0" w:space="0" w:color="auto"/>
        <w:right w:val="none" w:sz="0" w:space="0" w:color="auto"/>
      </w:divBdr>
      <w:divsChild>
        <w:div w:id="747464301">
          <w:marLeft w:val="0"/>
          <w:marRight w:val="0"/>
          <w:marTop w:val="0"/>
          <w:marBottom w:val="0"/>
          <w:divBdr>
            <w:top w:val="none" w:sz="0" w:space="0" w:color="auto"/>
            <w:left w:val="none" w:sz="0" w:space="0" w:color="auto"/>
            <w:bottom w:val="none" w:sz="0" w:space="0" w:color="auto"/>
            <w:right w:val="none" w:sz="0" w:space="0" w:color="auto"/>
          </w:divBdr>
        </w:div>
        <w:div w:id="315185669">
          <w:marLeft w:val="0"/>
          <w:marRight w:val="0"/>
          <w:marTop w:val="375"/>
          <w:marBottom w:val="375"/>
          <w:divBdr>
            <w:top w:val="single" w:sz="6" w:space="15" w:color="DDDDDD"/>
            <w:left w:val="none" w:sz="0" w:space="0" w:color="auto"/>
            <w:bottom w:val="none" w:sz="0" w:space="0" w:color="auto"/>
            <w:right w:val="none" w:sz="0" w:space="0" w:color="auto"/>
          </w:divBdr>
        </w:div>
      </w:divsChild>
    </w:div>
    <w:div w:id="432553330">
      <w:bodyDiv w:val="1"/>
      <w:marLeft w:val="0"/>
      <w:marRight w:val="0"/>
      <w:marTop w:val="0"/>
      <w:marBottom w:val="0"/>
      <w:divBdr>
        <w:top w:val="none" w:sz="0" w:space="0" w:color="auto"/>
        <w:left w:val="none" w:sz="0" w:space="0" w:color="auto"/>
        <w:bottom w:val="none" w:sz="0" w:space="0" w:color="auto"/>
        <w:right w:val="none" w:sz="0" w:space="0" w:color="auto"/>
      </w:divBdr>
      <w:divsChild>
        <w:div w:id="627080639">
          <w:marLeft w:val="0"/>
          <w:marRight w:val="0"/>
          <w:marTop w:val="0"/>
          <w:marBottom w:val="0"/>
          <w:divBdr>
            <w:top w:val="none" w:sz="0" w:space="0" w:color="auto"/>
            <w:left w:val="none" w:sz="0" w:space="0" w:color="auto"/>
            <w:bottom w:val="none" w:sz="0" w:space="0" w:color="auto"/>
            <w:right w:val="none" w:sz="0" w:space="0" w:color="auto"/>
          </w:divBdr>
        </w:div>
        <w:div w:id="1016495010">
          <w:marLeft w:val="0"/>
          <w:marRight w:val="0"/>
          <w:marTop w:val="0"/>
          <w:marBottom w:val="0"/>
          <w:divBdr>
            <w:top w:val="none" w:sz="0" w:space="0" w:color="auto"/>
            <w:left w:val="none" w:sz="0" w:space="0" w:color="auto"/>
            <w:bottom w:val="none" w:sz="0" w:space="0" w:color="auto"/>
            <w:right w:val="none" w:sz="0" w:space="0" w:color="auto"/>
          </w:divBdr>
        </w:div>
      </w:divsChild>
    </w:div>
    <w:div w:id="435711153">
      <w:bodyDiv w:val="1"/>
      <w:marLeft w:val="0"/>
      <w:marRight w:val="0"/>
      <w:marTop w:val="0"/>
      <w:marBottom w:val="0"/>
      <w:divBdr>
        <w:top w:val="none" w:sz="0" w:space="0" w:color="auto"/>
        <w:left w:val="none" w:sz="0" w:space="0" w:color="auto"/>
        <w:bottom w:val="none" w:sz="0" w:space="0" w:color="auto"/>
        <w:right w:val="none" w:sz="0" w:space="0" w:color="auto"/>
      </w:divBdr>
    </w:div>
    <w:div w:id="441069006">
      <w:bodyDiv w:val="1"/>
      <w:marLeft w:val="0"/>
      <w:marRight w:val="0"/>
      <w:marTop w:val="0"/>
      <w:marBottom w:val="0"/>
      <w:divBdr>
        <w:top w:val="none" w:sz="0" w:space="0" w:color="auto"/>
        <w:left w:val="none" w:sz="0" w:space="0" w:color="auto"/>
        <w:bottom w:val="none" w:sz="0" w:space="0" w:color="auto"/>
        <w:right w:val="none" w:sz="0" w:space="0" w:color="auto"/>
      </w:divBdr>
    </w:div>
    <w:div w:id="449671181">
      <w:bodyDiv w:val="1"/>
      <w:marLeft w:val="0"/>
      <w:marRight w:val="0"/>
      <w:marTop w:val="0"/>
      <w:marBottom w:val="0"/>
      <w:divBdr>
        <w:top w:val="none" w:sz="0" w:space="0" w:color="auto"/>
        <w:left w:val="none" w:sz="0" w:space="0" w:color="auto"/>
        <w:bottom w:val="none" w:sz="0" w:space="0" w:color="auto"/>
        <w:right w:val="none" w:sz="0" w:space="0" w:color="auto"/>
      </w:divBdr>
    </w:div>
    <w:div w:id="590311612">
      <w:bodyDiv w:val="1"/>
      <w:marLeft w:val="0"/>
      <w:marRight w:val="0"/>
      <w:marTop w:val="0"/>
      <w:marBottom w:val="0"/>
      <w:divBdr>
        <w:top w:val="none" w:sz="0" w:space="0" w:color="auto"/>
        <w:left w:val="none" w:sz="0" w:space="0" w:color="auto"/>
        <w:bottom w:val="none" w:sz="0" w:space="0" w:color="auto"/>
        <w:right w:val="none" w:sz="0" w:space="0" w:color="auto"/>
      </w:divBdr>
      <w:divsChild>
        <w:div w:id="1468081464">
          <w:marLeft w:val="0"/>
          <w:marRight w:val="0"/>
          <w:marTop w:val="0"/>
          <w:marBottom w:val="0"/>
          <w:divBdr>
            <w:top w:val="none" w:sz="0" w:space="0" w:color="auto"/>
            <w:left w:val="none" w:sz="0" w:space="0" w:color="auto"/>
            <w:bottom w:val="none" w:sz="0" w:space="0" w:color="auto"/>
            <w:right w:val="none" w:sz="0" w:space="0" w:color="auto"/>
          </w:divBdr>
          <w:divsChild>
            <w:div w:id="154951869">
              <w:marLeft w:val="0"/>
              <w:marRight w:val="0"/>
              <w:marTop w:val="0"/>
              <w:marBottom w:val="0"/>
              <w:divBdr>
                <w:top w:val="none" w:sz="0" w:space="0" w:color="auto"/>
                <w:left w:val="none" w:sz="0" w:space="0" w:color="auto"/>
                <w:bottom w:val="none" w:sz="0" w:space="0" w:color="auto"/>
                <w:right w:val="none" w:sz="0" w:space="0" w:color="auto"/>
              </w:divBdr>
            </w:div>
          </w:divsChild>
        </w:div>
        <w:div w:id="1714504398">
          <w:marLeft w:val="0"/>
          <w:marRight w:val="0"/>
          <w:marTop w:val="0"/>
          <w:marBottom w:val="0"/>
          <w:divBdr>
            <w:top w:val="none" w:sz="0" w:space="0" w:color="auto"/>
            <w:left w:val="none" w:sz="0" w:space="0" w:color="auto"/>
            <w:bottom w:val="none" w:sz="0" w:space="0" w:color="auto"/>
            <w:right w:val="none" w:sz="0" w:space="0" w:color="auto"/>
          </w:divBdr>
        </w:div>
        <w:div w:id="2044014800">
          <w:marLeft w:val="0"/>
          <w:marRight w:val="0"/>
          <w:marTop w:val="0"/>
          <w:marBottom w:val="0"/>
          <w:divBdr>
            <w:top w:val="none" w:sz="0" w:space="0" w:color="auto"/>
            <w:left w:val="none" w:sz="0" w:space="0" w:color="auto"/>
            <w:bottom w:val="none" w:sz="0" w:space="0" w:color="auto"/>
            <w:right w:val="none" w:sz="0" w:space="0" w:color="auto"/>
          </w:divBdr>
          <w:divsChild>
            <w:div w:id="1989506289">
              <w:marLeft w:val="0"/>
              <w:marRight w:val="0"/>
              <w:marTop w:val="0"/>
              <w:marBottom w:val="0"/>
              <w:divBdr>
                <w:top w:val="none" w:sz="0" w:space="0" w:color="auto"/>
                <w:left w:val="none" w:sz="0" w:space="0" w:color="auto"/>
                <w:bottom w:val="none" w:sz="0" w:space="0" w:color="auto"/>
                <w:right w:val="none" w:sz="0" w:space="0" w:color="auto"/>
              </w:divBdr>
            </w:div>
          </w:divsChild>
        </w:div>
        <w:div w:id="1518079256">
          <w:marLeft w:val="0"/>
          <w:marRight w:val="0"/>
          <w:marTop w:val="0"/>
          <w:marBottom w:val="0"/>
          <w:divBdr>
            <w:top w:val="none" w:sz="0" w:space="0" w:color="auto"/>
            <w:left w:val="none" w:sz="0" w:space="0" w:color="auto"/>
            <w:bottom w:val="none" w:sz="0" w:space="0" w:color="auto"/>
            <w:right w:val="none" w:sz="0" w:space="0" w:color="auto"/>
          </w:divBdr>
          <w:divsChild>
            <w:div w:id="973175322">
              <w:marLeft w:val="0"/>
              <w:marRight w:val="0"/>
              <w:marTop w:val="0"/>
              <w:marBottom w:val="0"/>
              <w:divBdr>
                <w:top w:val="none" w:sz="0" w:space="0" w:color="auto"/>
                <w:left w:val="none" w:sz="0" w:space="0" w:color="auto"/>
                <w:bottom w:val="none" w:sz="0" w:space="0" w:color="auto"/>
                <w:right w:val="none" w:sz="0" w:space="0" w:color="auto"/>
              </w:divBdr>
            </w:div>
          </w:divsChild>
        </w:div>
        <w:div w:id="1781947016">
          <w:marLeft w:val="0"/>
          <w:marRight w:val="0"/>
          <w:marTop w:val="0"/>
          <w:marBottom w:val="0"/>
          <w:divBdr>
            <w:top w:val="none" w:sz="0" w:space="0" w:color="auto"/>
            <w:left w:val="none" w:sz="0" w:space="0" w:color="auto"/>
            <w:bottom w:val="none" w:sz="0" w:space="0" w:color="auto"/>
            <w:right w:val="none" w:sz="0" w:space="0" w:color="auto"/>
          </w:divBdr>
          <w:divsChild>
            <w:div w:id="1353923397">
              <w:marLeft w:val="0"/>
              <w:marRight w:val="0"/>
              <w:marTop w:val="0"/>
              <w:marBottom w:val="0"/>
              <w:divBdr>
                <w:top w:val="none" w:sz="0" w:space="0" w:color="auto"/>
                <w:left w:val="none" w:sz="0" w:space="0" w:color="auto"/>
                <w:bottom w:val="none" w:sz="0" w:space="0" w:color="auto"/>
                <w:right w:val="none" w:sz="0" w:space="0" w:color="auto"/>
              </w:divBdr>
            </w:div>
          </w:divsChild>
        </w:div>
        <w:div w:id="726149120">
          <w:marLeft w:val="0"/>
          <w:marRight w:val="0"/>
          <w:marTop w:val="0"/>
          <w:marBottom w:val="0"/>
          <w:divBdr>
            <w:top w:val="none" w:sz="0" w:space="0" w:color="auto"/>
            <w:left w:val="none" w:sz="0" w:space="0" w:color="auto"/>
            <w:bottom w:val="none" w:sz="0" w:space="0" w:color="auto"/>
            <w:right w:val="none" w:sz="0" w:space="0" w:color="auto"/>
          </w:divBdr>
        </w:div>
        <w:div w:id="876813674">
          <w:marLeft w:val="0"/>
          <w:marRight w:val="0"/>
          <w:marTop w:val="0"/>
          <w:marBottom w:val="0"/>
          <w:divBdr>
            <w:top w:val="none" w:sz="0" w:space="0" w:color="auto"/>
            <w:left w:val="none" w:sz="0" w:space="0" w:color="auto"/>
            <w:bottom w:val="none" w:sz="0" w:space="0" w:color="auto"/>
            <w:right w:val="none" w:sz="0" w:space="0" w:color="auto"/>
          </w:divBdr>
          <w:divsChild>
            <w:div w:id="659893783">
              <w:marLeft w:val="0"/>
              <w:marRight w:val="0"/>
              <w:marTop w:val="0"/>
              <w:marBottom w:val="0"/>
              <w:divBdr>
                <w:top w:val="none" w:sz="0" w:space="0" w:color="auto"/>
                <w:left w:val="none" w:sz="0" w:space="0" w:color="auto"/>
                <w:bottom w:val="none" w:sz="0" w:space="0" w:color="auto"/>
                <w:right w:val="none" w:sz="0" w:space="0" w:color="auto"/>
              </w:divBdr>
            </w:div>
          </w:divsChild>
        </w:div>
        <w:div w:id="1901400462">
          <w:marLeft w:val="0"/>
          <w:marRight w:val="0"/>
          <w:marTop w:val="0"/>
          <w:marBottom w:val="0"/>
          <w:divBdr>
            <w:top w:val="none" w:sz="0" w:space="0" w:color="auto"/>
            <w:left w:val="none" w:sz="0" w:space="0" w:color="auto"/>
            <w:bottom w:val="none" w:sz="0" w:space="0" w:color="auto"/>
            <w:right w:val="none" w:sz="0" w:space="0" w:color="auto"/>
          </w:divBdr>
          <w:divsChild>
            <w:div w:id="2110000072">
              <w:marLeft w:val="0"/>
              <w:marRight w:val="0"/>
              <w:marTop w:val="0"/>
              <w:marBottom w:val="0"/>
              <w:divBdr>
                <w:top w:val="none" w:sz="0" w:space="0" w:color="auto"/>
                <w:left w:val="none" w:sz="0" w:space="0" w:color="auto"/>
                <w:bottom w:val="none" w:sz="0" w:space="0" w:color="auto"/>
                <w:right w:val="none" w:sz="0" w:space="0" w:color="auto"/>
              </w:divBdr>
            </w:div>
          </w:divsChild>
        </w:div>
        <w:div w:id="1946884414">
          <w:marLeft w:val="0"/>
          <w:marRight w:val="0"/>
          <w:marTop w:val="0"/>
          <w:marBottom w:val="0"/>
          <w:divBdr>
            <w:top w:val="none" w:sz="0" w:space="0" w:color="auto"/>
            <w:left w:val="none" w:sz="0" w:space="0" w:color="auto"/>
            <w:bottom w:val="none" w:sz="0" w:space="0" w:color="auto"/>
            <w:right w:val="none" w:sz="0" w:space="0" w:color="auto"/>
          </w:divBdr>
          <w:divsChild>
            <w:div w:id="1933007211">
              <w:marLeft w:val="0"/>
              <w:marRight w:val="0"/>
              <w:marTop w:val="0"/>
              <w:marBottom w:val="0"/>
              <w:divBdr>
                <w:top w:val="none" w:sz="0" w:space="0" w:color="auto"/>
                <w:left w:val="none" w:sz="0" w:space="0" w:color="auto"/>
                <w:bottom w:val="none" w:sz="0" w:space="0" w:color="auto"/>
                <w:right w:val="none" w:sz="0" w:space="0" w:color="auto"/>
              </w:divBdr>
            </w:div>
          </w:divsChild>
        </w:div>
        <w:div w:id="504168869">
          <w:marLeft w:val="0"/>
          <w:marRight w:val="0"/>
          <w:marTop w:val="0"/>
          <w:marBottom w:val="0"/>
          <w:divBdr>
            <w:top w:val="none" w:sz="0" w:space="0" w:color="auto"/>
            <w:left w:val="none" w:sz="0" w:space="0" w:color="auto"/>
            <w:bottom w:val="none" w:sz="0" w:space="0" w:color="auto"/>
            <w:right w:val="none" w:sz="0" w:space="0" w:color="auto"/>
          </w:divBdr>
          <w:divsChild>
            <w:div w:id="918515974">
              <w:marLeft w:val="0"/>
              <w:marRight w:val="0"/>
              <w:marTop w:val="0"/>
              <w:marBottom w:val="0"/>
              <w:divBdr>
                <w:top w:val="none" w:sz="0" w:space="0" w:color="auto"/>
                <w:left w:val="none" w:sz="0" w:space="0" w:color="auto"/>
                <w:bottom w:val="none" w:sz="0" w:space="0" w:color="auto"/>
                <w:right w:val="none" w:sz="0" w:space="0" w:color="auto"/>
              </w:divBdr>
              <w:divsChild>
                <w:div w:id="4326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7596">
          <w:marLeft w:val="0"/>
          <w:marRight w:val="0"/>
          <w:marTop w:val="0"/>
          <w:marBottom w:val="0"/>
          <w:divBdr>
            <w:top w:val="none" w:sz="0" w:space="0" w:color="auto"/>
            <w:left w:val="none" w:sz="0" w:space="0" w:color="auto"/>
            <w:bottom w:val="none" w:sz="0" w:space="0" w:color="auto"/>
            <w:right w:val="none" w:sz="0" w:space="0" w:color="auto"/>
          </w:divBdr>
          <w:divsChild>
            <w:div w:id="650865688">
              <w:marLeft w:val="0"/>
              <w:marRight w:val="0"/>
              <w:marTop w:val="0"/>
              <w:marBottom w:val="0"/>
              <w:divBdr>
                <w:top w:val="none" w:sz="0" w:space="0" w:color="auto"/>
                <w:left w:val="none" w:sz="0" w:space="0" w:color="auto"/>
                <w:bottom w:val="none" w:sz="0" w:space="0" w:color="auto"/>
                <w:right w:val="none" w:sz="0" w:space="0" w:color="auto"/>
              </w:divBdr>
            </w:div>
          </w:divsChild>
        </w:div>
        <w:div w:id="361053372">
          <w:marLeft w:val="0"/>
          <w:marRight w:val="0"/>
          <w:marTop w:val="0"/>
          <w:marBottom w:val="0"/>
          <w:divBdr>
            <w:top w:val="none" w:sz="0" w:space="0" w:color="auto"/>
            <w:left w:val="none" w:sz="0" w:space="0" w:color="auto"/>
            <w:bottom w:val="none" w:sz="0" w:space="0" w:color="auto"/>
            <w:right w:val="none" w:sz="0" w:space="0" w:color="auto"/>
          </w:divBdr>
          <w:divsChild>
            <w:div w:id="459347446">
              <w:marLeft w:val="0"/>
              <w:marRight w:val="0"/>
              <w:marTop w:val="0"/>
              <w:marBottom w:val="0"/>
              <w:divBdr>
                <w:top w:val="none" w:sz="0" w:space="0" w:color="auto"/>
                <w:left w:val="none" w:sz="0" w:space="0" w:color="auto"/>
                <w:bottom w:val="none" w:sz="0" w:space="0" w:color="auto"/>
                <w:right w:val="none" w:sz="0" w:space="0" w:color="auto"/>
              </w:divBdr>
            </w:div>
          </w:divsChild>
        </w:div>
        <w:div w:id="1719083295">
          <w:marLeft w:val="0"/>
          <w:marRight w:val="0"/>
          <w:marTop w:val="0"/>
          <w:marBottom w:val="0"/>
          <w:divBdr>
            <w:top w:val="none" w:sz="0" w:space="0" w:color="auto"/>
            <w:left w:val="none" w:sz="0" w:space="0" w:color="auto"/>
            <w:bottom w:val="none" w:sz="0" w:space="0" w:color="auto"/>
            <w:right w:val="none" w:sz="0" w:space="0" w:color="auto"/>
          </w:divBdr>
          <w:divsChild>
            <w:div w:id="3760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7060">
      <w:bodyDiv w:val="1"/>
      <w:marLeft w:val="0"/>
      <w:marRight w:val="0"/>
      <w:marTop w:val="0"/>
      <w:marBottom w:val="0"/>
      <w:divBdr>
        <w:top w:val="none" w:sz="0" w:space="0" w:color="auto"/>
        <w:left w:val="none" w:sz="0" w:space="0" w:color="auto"/>
        <w:bottom w:val="none" w:sz="0" w:space="0" w:color="auto"/>
        <w:right w:val="none" w:sz="0" w:space="0" w:color="auto"/>
      </w:divBdr>
      <w:divsChild>
        <w:div w:id="1809855480">
          <w:marLeft w:val="0"/>
          <w:marRight w:val="0"/>
          <w:marTop w:val="0"/>
          <w:marBottom w:val="0"/>
          <w:divBdr>
            <w:top w:val="none" w:sz="0" w:space="0" w:color="auto"/>
            <w:left w:val="none" w:sz="0" w:space="0" w:color="auto"/>
            <w:bottom w:val="none" w:sz="0" w:space="0" w:color="auto"/>
            <w:right w:val="none" w:sz="0" w:space="0" w:color="auto"/>
          </w:divBdr>
          <w:divsChild>
            <w:div w:id="994601784">
              <w:marLeft w:val="0"/>
              <w:marRight w:val="0"/>
              <w:marTop w:val="0"/>
              <w:marBottom w:val="0"/>
              <w:divBdr>
                <w:top w:val="none" w:sz="0" w:space="0" w:color="auto"/>
                <w:left w:val="none" w:sz="0" w:space="0" w:color="auto"/>
                <w:bottom w:val="none" w:sz="0" w:space="0" w:color="auto"/>
                <w:right w:val="none" w:sz="0" w:space="0" w:color="auto"/>
              </w:divBdr>
              <w:divsChild>
                <w:div w:id="2102674742">
                  <w:marLeft w:val="0"/>
                  <w:marRight w:val="0"/>
                  <w:marTop w:val="0"/>
                  <w:marBottom w:val="0"/>
                  <w:divBdr>
                    <w:top w:val="none" w:sz="0" w:space="0" w:color="auto"/>
                    <w:left w:val="none" w:sz="0" w:space="0" w:color="auto"/>
                    <w:bottom w:val="none" w:sz="0" w:space="0" w:color="auto"/>
                    <w:right w:val="none" w:sz="0" w:space="0" w:color="auto"/>
                  </w:divBdr>
                </w:div>
                <w:div w:id="765462834">
                  <w:marLeft w:val="0"/>
                  <w:marRight w:val="0"/>
                  <w:marTop w:val="0"/>
                  <w:marBottom w:val="0"/>
                  <w:divBdr>
                    <w:top w:val="none" w:sz="0" w:space="0" w:color="auto"/>
                    <w:left w:val="none" w:sz="0" w:space="0" w:color="auto"/>
                    <w:bottom w:val="none" w:sz="0" w:space="0" w:color="auto"/>
                    <w:right w:val="none" w:sz="0" w:space="0" w:color="auto"/>
                  </w:divBdr>
                  <w:divsChild>
                    <w:div w:id="2142722522">
                      <w:marLeft w:val="0"/>
                      <w:marRight w:val="0"/>
                      <w:marTop w:val="0"/>
                      <w:marBottom w:val="0"/>
                      <w:divBdr>
                        <w:top w:val="none" w:sz="0" w:space="0" w:color="auto"/>
                        <w:left w:val="none" w:sz="0" w:space="0" w:color="auto"/>
                        <w:bottom w:val="none" w:sz="0" w:space="0" w:color="auto"/>
                        <w:right w:val="none" w:sz="0" w:space="0" w:color="auto"/>
                      </w:divBdr>
                      <w:divsChild>
                        <w:div w:id="1114131007">
                          <w:marLeft w:val="0"/>
                          <w:marRight w:val="0"/>
                          <w:marTop w:val="0"/>
                          <w:marBottom w:val="0"/>
                          <w:divBdr>
                            <w:top w:val="none" w:sz="0" w:space="0" w:color="auto"/>
                            <w:left w:val="none" w:sz="0" w:space="0" w:color="auto"/>
                            <w:bottom w:val="none" w:sz="0" w:space="0" w:color="auto"/>
                            <w:right w:val="none" w:sz="0" w:space="0" w:color="auto"/>
                          </w:divBdr>
                          <w:divsChild>
                            <w:div w:id="1764454067">
                              <w:marLeft w:val="0"/>
                              <w:marRight w:val="0"/>
                              <w:marTop w:val="180"/>
                              <w:marBottom w:val="0"/>
                              <w:divBdr>
                                <w:top w:val="none" w:sz="0" w:space="0" w:color="auto"/>
                                <w:left w:val="none" w:sz="0" w:space="0" w:color="auto"/>
                                <w:bottom w:val="none" w:sz="0" w:space="0" w:color="auto"/>
                                <w:right w:val="none" w:sz="0" w:space="0" w:color="auto"/>
                              </w:divBdr>
                              <w:divsChild>
                                <w:div w:id="960695905">
                                  <w:marLeft w:val="0"/>
                                  <w:marRight w:val="0"/>
                                  <w:marTop w:val="0"/>
                                  <w:marBottom w:val="0"/>
                                  <w:divBdr>
                                    <w:top w:val="none" w:sz="0" w:space="0" w:color="auto"/>
                                    <w:left w:val="none" w:sz="0" w:space="0" w:color="auto"/>
                                    <w:bottom w:val="none" w:sz="0" w:space="0" w:color="auto"/>
                                    <w:right w:val="none" w:sz="0" w:space="0" w:color="auto"/>
                                  </w:divBdr>
                                </w:div>
                                <w:div w:id="865558617">
                                  <w:marLeft w:val="0"/>
                                  <w:marRight w:val="0"/>
                                  <w:marTop w:val="0"/>
                                  <w:marBottom w:val="0"/>
                                  <w:divBdr>
                                    <w:top w:val="none" w:sz="0" w:space="0" w:color="auto"/>
                                    <w:left w:val="none" w:sz="0" w:space="0" w:color="auto"/>
                                    <w:bottom w:val="none" w:sz="0" w:space="0" w:color="auto"/>
                                    <w:right w:val="none" w:sz="0" w:space="0" w:color="auto"/>
                                  </w:divBdr>
                                </w:div>
                              </w:divsChild>
                            </w:div>
                            <w:div w:id="138613693">
                              <w:marLeft w:val="0"/>
                              <w:marRight w:val="0"/>
                              <w:marTop w:val="0"/>
                              <w:marBottom w:val="0"/>
                              <w:divBdr>
                                <w:top w:val="none" w:sz="0" w:space="0" w:color="auto"/>
                                <w:left w:val="none" w:sz="0" w:space="0" w:color="auto"/>
                                <w:bottom w:val="none" w:sz="0" w:space="0" w:color="auto"/>
                                <w:right w:val="none" w:sz="0" w:space="0" w:color="auto"/>
                              </w:divBdr>
                              <w:divsChild>
                                <w:div w:id="1860240222">
                                  <w:marLeft w:val="0"/>
                                  <w:marRight w:val="60"/>
                                  <w:marTop w:val="30"/>
                                  <w:marBottom w:val="0"/>
                                  <w:divBdr>
                                    <w:top w:val="none" w:sz="0" w:space="0" w:color="auto"/>
                                    <w:left w:val="none" w:sz="0" w:space="0" w:color="auto"/>
                                    <w:bottom w:val="none" w:sz="0" w:space="0" w:color="auto"/>
                                    <w:right w:val="none" w:sz="0" w:space="0" w:color="auto"/>
                                  </w:divBdr>
                                </w:div>
                                <w:div w:id="7934058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060613">
              <w:marLeft w:val="0"/>
              <w:marRight w:val="0"/>
              <w:marTop w:val="0"/>
              <w:marBottom w:val="0"/>
              <w:divBdr>
                <w:top w:val="none" w:sz="0" w:space="0" w:color="auto"/>
                <w:left w:val="none" w:sz="0" w:space="0" w:color="auto"/>
                <w:bottom w:val="none" w:sz="0" w:space="0" w:color="auto"/>
                <w:right w:val="none" w:sz="0" w:space="0" w:color="auto"/>
              </w:divBdr>
              <w:divsChild>
                <w:div w:id="2022779796">
                  <w:marLeft w:val="0"/>
                  <w:marRight w:val="0"/>
                  <w:marTop w:val="0"/>
                  <w:marBottom w:val="480"/>
                  <w:divBdr>
                    <w:top w:val="none" w:sz="0" w:space="0" w:color="auto"/>
                    <w:left w:val="none" w:sz="0" w:space="0" w:color="auto"/>
                    <w:bottom w:val="none" w:sz="0" w:space="0" w:color="auto"/>
                    <w:right w:val="none" w:sz="0" w:space="0" w:color="auto"/>
                  </w:divBdr>
                  <w:divsChild>
                    <w:div w:id="551886386">
                      <w:marLeft w:val="0"/>
                      <w:marRight w:val="0"/>
                      <w:marTop w:val="0"/>
                      <w:marBottom w:val="0"/>
                      <w:divBdr>
                        <w:top w:val="none" w:sz="0" w:space="0" w:color="auto"/>
                        <w:left w:val="none" w:sz="0" w:space="0" w:color="auto"/>
                        <w:bottom w:val="none" w:sz="0" w:space="0" w:color="auto"/>
                        <w:right w:val="none" w:sz="0" w:space="0" w:color="auto"/>
                      </w:divBdr>
                      <w:divsChild>
                        <w:div w:id="106389595">
                          <w:marLeft w:val="0"/>
                          <w:marRight w:val="0"/>
                          <w:marTop w:val="0"/>
                          <w:marBottom w:val="0"/>
                          <w:divBdr>
                            <w:top w:val="none" w:sz="0" w:space="0" w:color="auto"/>
                            <w:left w:val="none" w:sz="0" w:space="0" w:color="auto"/>
                            <w:bottom w:val="none" w:sz="0" w:space="0" w:color="auto"/>
                            <w:right w:val="none" w:sz="0" w:space="0" w:color="auto"/>
                          </w:divBdr>
                          <w:divsChild>
                            <w:div w:id="350646563">
                              <w:marLeft w:val="0"/>
                              <w:marRight w:val="0"/>
                              <w:marTop w:val="0"/>
                              <w:marBottom w:val="0"/>
                              <w:divBdr>
                                <w:top w:val="none" w:sz="0" w:space="0" w:color="auto"/>
                                <w:left w:val="none" w:sz="0" w:space="0" w:color="auto"/>
                                <w:bottom w:val="none" w:sz="0" w:space="0" w:color="auto"/>
                                <w:right w:val="none" w:sz="0" w:space="0" w:color="auto"/>
                              </w:divBdr>
                              <w:divsChild>
                                <w:div w:id="1571698539">
                                  <w:marLeft w:val="0"/>
                                  <w:marRight w:val="0"/>
                                  <w:marTop w:val="0"/>
                                  <w:marBottom w:val="0"/>
                                  <w:divBdr>
                                    <w:top w:val="none" w:sz="0" w:space="0" w:color="auto"/>
                                    <w:left w:val="none" w:sz="0" w:space="0" w:color="auto"/>
                                    <w:bottom w:val="none" w:sz="0" w:space="0" w:color="auto"/>
                                    <w:right w:val="none" w:sz="0" w:space="0" w:color="auto"/>
                                  </w:divBdr>
                                  <w:divsChild>
                                    <w:div w:id="1467047681">
                                      <w:marLeft w:val="0"/>
                                      <w:marRight w:val="0"/>
                                      <w:marTop w:val="0"/>
                                      <w:marBottom w:val="0"/>
                                      <w:divBdr>
                                        <w:top w:val="none" w:sz="0" w:space="0" w:color="auto"/>
                                        <w:left w:val="none" w:sz="0" w:space="0" w:color="auto"/>
                                        <w:bottom w:val="none" w:sz="0" w:space="0" w:color="auto"/>
                                        <w:right w:val="none" w:sz="0" w:space="0" w:color="auto"/>
                                      </w:divBdr>
                                      <w:divsChild>
                                        <w:div w:id="18434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5371">
                          <w:marLeft w:val="0"/>
                          <w:marRight w:val="0"/>
                          <w:marTop w:val="0"/>
                          <w:marBottom w:val="0"/>
                          <w:divBdr>
                            <w:top w:val="none" w:sz="0" w:space="0" w:color="auto"/>
                            <w:left w:val="none" w:sz="0" w:space="0" w:color="auto"/>
                            <w:bottom w:val="none" w:sz="0" w:space="0" w:color="auto"/>
                            <w:right w:val="none" w:sz="0" w:space="0" w:color="auto"/>
                          </w:divBdr>
                          <w:divsChild>
                            <w:div w:id="1802914691">
                              <w:marLeft w:val="0"/>
                              <w:marRight w:val="0"/>
                              <w:marTop w:val="0"/>
                              <w:marBottom w:val="360"/>
                              <w:divBdr>
                                <w:top w:val="none" w:sz="0" w:space="0" w:color="auto"/>
                                <w:left w:val="none" w:sz="0" w:space="0" w:color="auto"/>
                                <w:bottom w:val="single" w:sz="6" w:space="14" w:color="E6E6E6"/>
                                <w:right w:val="none" w:sz="0" w:space="0" w:color="auto"/>
                              </w:divBdr>
                              <w:divsChild>
                                <w:div w:id="177164927">
                                  <w:marLeft w:val="0"/>
                                  <w:marRight w:val="0"/>
                                  <w:marTop w:val="240"/>
                                  <w:marBottom w:val="0"/>
                                  <w:divBdr>
                                    <w:top w:val="none" w:sz="0" w:space="0" w:color="auto"/>
                                    <w:left w:val="none" w:sz="0" w:space="0" w:color="auto"/>
                                    <w:bottom w:val="none" w:sz="0" w:space="0" w:color="auto"/>
                                    <w:right w:val="none" w:sz="0" w:space="0" w:color="auto"/>
                                  </w:divBdr>
                                  <w:divsChild>
                                    <w:div w:id="1673533008">
                                      <w:marLeft w:val="720"/>
                                      <w:marRight w:val="0"/>
                                      <w:marTop w:val="0"/>
                                      <w:marBottom w:val="0"/>
                                      <w:divBdr>
                                        <w:top w:val="none" w:sz="0" w:space="0" w:color="auto"/>
                                        <w:left w:val="none" w:sz="0" w:space="0" w:color="auto"/>
                                        <w:bottom w:val="none" w:sz="0" w:space="0" w:color="auto"/>
                                        <w:right w:val="none" w:sz="0" w:space="0" w:color="auto"/>
                                      </w:divBdr>
                                      <w:divsChild>
                                        <w:div w:id="863665563">
                                          <w:marLeft w:val="0"/>
                                          <w:marRight w:val="0"/>
                                          <w:marTop w:val="0"/>
                                          <w:marBottom w:val="0"/>
                                          <w:divBdr>
                                            <w:top w:val="none" w:sz="0" w:space="0" w:color="auto"/>
                                            <w:left w:val="none" w:sz="0" w:space="0" w:color="auto"/>
                                            <w:bottom w:val="none" w:sz="0" w:space="0" w:color="auto"/>
                                            <w:right w:val="none" w:sz="0" w:space="0" w:color="auto"/>
                                          </w:divBdr>
                                          <w:divsChild>
                                            <w:div w:id="567573171">
                                              <w:marLeft w:val="0"/>
                                              <w:marRight w:val="240"/>
                                              <w:marTop w:val="0"/>
                                              <w:marBottom w:val="240"/>
                                              <w:divBdr>
                                                <w:top w:val="none" w:sz="0" w:space="0" w:color="auto"/>
                                                <w:left w:val="none" w:sz="0" w:space="0" w:color="auto"/>
                                                <w:bottom w:val="none" w:sz="0" w:space="0" w:color="auto"/>
                                                <w:right w:val="none" w:sz="0" w:space="0" w:color="auto"/>
                                              </w:divBdr>
                                              <w:divsChild>
                                                <w:div w:id="459811725">
                                                  <w:marLeft w:val="0"/>
                                                  <w:marRight w:val="120"/>
                                                  <w:marTop w:val="0"/>
                                                  <w:marBottom w:val="0"/>
                                                  <w:divBdr>
                                                    <w:top w:val="none" w:sz="0" w:space="0" w:color="auto"/>
                                                    <w:left w:val="none" w:sz="0" w:space="0" w:color="auto"/>
                                                    <w:bottom w:val="none" w:sz="0" w:space="0" w:color="auto"/>
                                                    <w:right w:val="none" w:sz="0" w:space="0" w:color="auto"/>
                                                  </w:divBdr>
                                                  <w:divsChild>
                                                    <w:div w:id="668750017">
                                                      <w:marLeft w:val="0"/>
                                                      <w:marRight w:val="0"/>
                                                      <w:marTop w:val="0"/>
                                                      <w:marBottom w:val="0"/>
                                                      <w:divBdr>
                                                        <w:top w:val="none" w:sz="0" w:space="0" w:color="auto"/>
                                                        <w:left w:val="none" w:sz="0" w:space="0" w:color="auto"/>
                                                        <w:bottom w:val="none" w:sz="0" w:space="0" w:color="auto"/>
                                                        <w:right w:val="none" w:sz="0" w:space="0" w:color="auto"/>
                                                      </w:divBdr>
                                                      <w:divsChild>
                                                        <w:div w:id="5223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379">
                                                  <w:marLeft w:val="0"/>
                                                  <w:marRight w:val="0"/>
                                                  <w:marTop w:val="0"/>
                                                  <w:marBottom w:val="0"/>
                                                  <w:divBdr>
                                                    <w:top w:val="none" w:sz="0" w:space="0" w:color="auto"/>
                                                    <w:left w:val="none" w:sz="0" w:space="0" w:color="auto"/>
                                                    <w:bottom w:val="none" w:sz="0" w:space="0" w:color="auto"/>
                                                    <w:right w:val="none" w:sz="0" w:space="0" w:color="auto"/>
                                                  </w:divBdr>
                                                </w:div>
                                              </w:divsChild>
                                            </w:div>
                                            <w:div w:id="1656296596">
                                              <w:marLeft w:val="0"/>
                                              <w:marRight w:val="240"/>
                                              <w:marTop w:val="0"/>
                                              <w:marBottom w:val="240"/>
                                              <w:divBdr>
                                                <w:top w:val="none" w:sz="0" w:space="0" w:color="auto"/>
                                                <w:left w:val="none" w:sz="0" w:space="0" w:color="auto"/>
                                                <w:bottom w:val="none" w:sz="0" w:space="0" w:color="auto"/>
                                                <w:right w:val="none" w:sz="0" w:space="0" w:color="auto"/>
                                              </w:divBdr>
                                              <w:divsChild>
                                                <w:div w:id="2104689975">
                                                  <w:marLeft w:val="0"/>
                                                  <w:marRight w:val="120"/>
                                                  <w:marTop w:val="0"/>
                                                  <w:marBottom w:val="0"/>
                                                  <w:divBdr>
                                                    <w:top w:val="none" w:sz="0" w:space="0" w:color="auto"/>
                                                    <w:left w:val="none" w:sz="0" w:space="0" w:color="auto"/>
                                                    <w:bottom w:val="none" w:sz="0" w:space="0" w:color="auto"/>
                                                    <w:right w:val="none" w:sz="0" w:space="0" w:color="auto"/>
                                                  </w:divBdr>
                                                  <w:divsChild>
                                                    <w:div w:id="1193150634">
                                                      <w:marLeft w:val="0"/>
                                                      <w:marRight w:val="0"/>
                                                      <w:marTop w:val="0"/>
                                                      <w:marBottom w:val="0"/>
                                                      <w:divBdr>
                                                        <w:top w:val="none" w:sz="0" w:space="0" w:color="auto"/>
                                                        <w:left w:val="none" w:sz="0" w:space="0" w:color="auto"/>
                                                        <w:bottom w:val="none" w:sz="0" w:space="0" w:color="auto"/>
                                                        <w:right w:val="none" w:sz="0" w:space="0" w:color="auto"/>
                                                      </w:divBdr>
                                                      <w:divsChild>
                                                        <w:div w:id="1590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31">
                                                  <w:marLeft w:val="0"/>
                                                  <w:marRight w:val="0"/>
                                                  <w:marTop w:val="0"/>
                                                  <w:marBottom w:val="0"/>
                                                  <w:divBdr>
                                                    <w:top w:val="none" w:sz="0" w:space="0" w:color="auto"/>
                                                    <w:left w:val="none" w:sz="0" w:space="0" w:color="auto"/>
                                                    <w:bottom w:val="none" w:sz="0" w:space="0" w:color="auto"/>
                                                    <w:right w:val="none" w:sz="0" w:space="0" w:color="auto"/>
                                                  </w:divBdr>
                                                </w:div>
                                              </w:divsChild>
                                            </w:div>
                                            <w:div w:id="1850364180">
                                              <w:marLeft w:val="0"/>
                                              <w:marRight w:val="240"/>
                                              <w:marTop w:val="0"/>
                                              <w:marBottom w:val="240"/>
                                              <w:divBdr>
                                                <w:top w:val="none" w:sz="0" w:space="0" w:color="auto"/>
                                                <w:left w:val="none" w:sz="0" w:space="0" w:color="auto"/>
                                                <w:bottom w:val="none" w:sz="0" w:space="0" w:color="auto"/>
                                                <w:right w:val="none" w:sz="0" w:space="0" w:color="auto"/>
                                              </w:divBdr>
                                              <w:divsChild>
                                                <w:div w:id="637027737">
                                                  <w:marLeft w:val="0"/>
                                                  <w:marRight w:val="120"/>
                                                  <w:marTop w:val="0"/>
                                                  <w:marBottom w:val="0"/>
                                                  <w:divBdr>
                                                    <w:top w:val="none" w:sz="0" w:space="0" w:color="auto"/>
                                                    <w:left w:val="none" w:sz="0" w:space="0" w:color="auto"/>
                                                    <w:bottom w:val="none" w:sz="0" w:space="0" w:color="auto"/>
                                                    <w:right w:val="none" w:sz="0" w:space="0" w:color="auto"/>
                                                  </w:divBdr>
                                                  <w:divsChild>
                                                    <w:div w:id="1020400879">
                                                      <w:marLeft w:val="0"/>
                                                      <w:marRight w:val="0"/>
                                                      <w:marTop w:val="0"/>
                                                      <w:marBottom w:val="0"/>
                                                      <w:divBdr>
                                                        <w:top w:val="none" w:sz="0" w:space="0" w:color="auto"/>
                                                        <w:left w:val="none" w:sz="0" w:space="0" w:color="auto"/>
                                                        <w:bottom w:val="none" w:sz="0" w:space="0" w:color="auto"/>
                                                        <w:right w:val="none" w:sz="0" w:space="0" w:color="auto"/>
                                                      </w:divBdr>
                                                      <w:divsChild>
                                                        <w:div w:id="2280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55694">
                                                  <w:marLeft w:val="0"/>
                                                  <w:marRight w:val="0"/>
                                                  <w:marTop w:val="0"/>
                                                  <w:marBottom w:val="0"/>
                                                  <w:divBdr>
                                                    <w:top w:val="none" w:sz="0" w:space="0" w:color="auto"/>
                                                    <w:left w:val="none" w:sz="0" w:space="0" w:color="auto"/>
                                                    <w:bottom w:val="none" w:sz="0" w:space="0" w:color="auto"/>
                                                    <w:right w:val="none" w:sz="0" w:space="0" w:color="auto"/>
                                                  </w:divBdr>
                                                </w:div>
                                              </w:divsChild>
                                            </w:div>
                                            <w:div w:id="1759595821">
                                              <w:marLeft w:val="0"/>
                                              <w:marRight w:val="240"/>
                                              <w:marTop w:val="0"/>
                                              <w:marBottom w:val="240"/>
                                              <w:divBdr>
                                                <w:top w:val="none" w:sz="0" w:space="0" w:color="auto"/>
                                                <w:left w:val="none" w:sz="0" w:space="0" w:color="auto"/>
                                                <w:bottom w:val="none" w:sz="0" w:space="0" w:color="auto"/>
                                                <w:right w:val="none" w:sz="0" w:space="0" w:color="auto"/>
                                              </w:divBdr>
                                              <w:divsChild>
                                                <w:div w:id="1739088056">
                                                  <w:marLeft w:val="0"/>
                                                  <w:marRight w:val="120"/>
                                                  <w:marTop w:val="0"/>
                                                  <w:marBottom w:val="0"/>
                                                  <w:divBdr>
                                                    <w:top w:val="none" w:sz="0" w:space="0" w:color="auto"/>
                                                    <w:left w:val="none" w:sz="0" w:space="0" w:color="auto"/>
                                                    <w:bottom w:val="none" w:sz="0" w:space="0" w:color="auto"/>
                                                    <w:right w:val="none" w:sz="0" w:space="0" w:color="auto"/>
                                                  </w:divBdr>
                                                  <w:divsChild>
                                                    <w:div w:id="146284597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15668">
                                                  <w:marLeft w:val="0"/>
                                                  <w:marRight w:val="0"/>
                                                  <w:marTop w:val="0"/>
                                                  <w:marBottom w:val="0"/>
                                                  <w:divBdr>
                                                    <w:top w:val="none" w:sz="0" w:space="0" w:color="auto"/>
                                                    <w:left w:val="none" w:sz="0" w:space="0" w:color="auto"/>
                                                    <w:bottom w:val="none" w:sz="0" w:space="0" w:color="auto"/>
                                                    <w:right w:val="none" w:sz="0" w:space="0" w:color="auto"/>
                                                  </w:divBdr>
                                                </w:div>
                                              </w:divsChild>
                                            </w:div>
                                            <w:div w:id="1790659247">
                                              <w:marLeft w:val="0"/>
                                              <w:marRight w:val="240"/>
                                              <w:marTop w:val="0"/>
                                              <w:marBottom w:val="240"/>
                                              <w:divBdr>
                                                <w:top w:val="none" w:sz="0" w:space="0" w:color="auto"/>
                                                <w:left w:val="none" w:sz="0" w:space="0" w:color="auto"/>
                                                <w:bottom w:val="none" w:sz="0" w:space="0" w:color="auto"/>
                                                <w:right w:val="none" w:sz="0" w:space="0" w:color="auto"/>
                                              </w:divBdr>
                                              <w:divsChild>
                                                <w:div w:id="1415085569">
                                                  <w:marLeft w:val="0"/>
                                                  <w:marRight w:val="120"/>
                                                  <w:marTop w:val="0"/>
                                                  <w:marBottom w:val="0"/>
                                                  <w:divBdr>
                                                    <w:top w:val="none" w:sz="0" w:space="0" w:color="auto"/>
                                                    <w:left w:val="none" w:sz="0" w:space="0" w:color="auto"/>
                                                    <w:bottom w:val="none" w:sz="0" w:space="0" w:color="auto"/>
                                                    <w:right w:val="none" w:sz="0" w:space="0" w:color="auto"/>
                                                  </w:divBdr>
                                                  <w:divsChild>
                                                    <w:div w:id="628827107">
                                                      <w:marLeft w:val="0"/>
                                                      <w:marRight w:val="0"/>
                                                      <w:marTop w:val="0"/>
                                                      <w:marBottom w:val="0"/>
                                                      <w:divBdr>
                                                        <w:top w:val="none" w:sz="0" w:space="0" w:color="auto"/>
                                                        <w:left w:val="none" w:sz="0" w:space="0" w:color="auto"/>
                                                        <w:bottom w:val="none" w:sz="0" w:space="0" w:color="auto"/>
                                                        <w:right w:val="none" w:sz="0" w:space="0" w:color="auto"/>
                                                      </w:divBdr>
                                                      <w:divsChild>
                                                        <w:div w:id="14184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50433">
                                                  <w:marLeft w:val="0"/>
                                                  <w:marRight w:val="0"/>
                                                  <w:marTop w:val="0"/>
                                                  <w:marBottom w:val="0"/>
                                                  <w:divBdr>
                                                    <w:top w:val="none" w:sz="0" w:space="0" w:color="auto"/>
                                                    <w:left w:val="none" w:sz="0" w:space="0" w:color="auto"/>
                                                    <w:bottom w:val="none" w:sz="0" w:space="0" w:color="auto"/>
                                                    <w:right w:val="none" w:sz="0" w:space="0" w:color="auto"/>
                                                  </w:divBdr>
                                                </w:div>
                                              </w:divsChild>
                                            </w:div>
                                            <w:div w:id="346760279">
                                              <w:marLeft w:val="0"/>
                                              <w:marRight w:val="240"/>
                                              <w:marTop w:val="0"/>
                                              <w:marBottom w:val="240"/>
                                              <w:divBdr>
                                                <w:top w:val="none" w:sz="0" w:space="0" w:color="auto"/>
                                                <w:left w:val="none" w:sz="0" w:space="0" w:color="auto"/>
                                                <w:bottom w:val="none" w:sz="0" w:space="0" w:color="auto"/>
                                                <w:right w:val="none" w:sz="0" w:space="0" w:color="auto"/>
                                              </w:divBdr>
                                              <w:divsChild>
                                                <w:div w:id="2078090614">
                                                  <w:marLeft w:val="0"/>
                                                  <w:marRight w:val="120"/>
                                                  <w:marTop w:val="0"/>
                                                  <w:marBottom w:val="0"/>
                                                  <w:divBdr>
                                                    <w:top w:val="none" w:sz="0" w:space="0" w:color="auto"/>
                                                    <w:left w:val="none" w:sz="0" w:space="0" w:color="auto"/>
                                                    <w:bottom w:val="none" w:sz="0" w:space="0" w:color="auto"/>
                                                    <w:right w:val="none" w:sz="0" w:space="0" w:color="auto"/>
                                                  </w:divBdr>
                                                  <w:divsChild>
                                                    <w:div w:id="1322199703">
                                                      <w:marLeft w:val="0"/>
                                                      <w:marRight w:val="0"/>
                                                      <w:marTop w:val="0"/>
                                                      <w:marBottom w:val="0"/>
                                                      <w:divBdr>
                                                        <w:top w:val="none" w:sz="0" w:space="0" w:color="auto"/>
                                                        <w:left w:val="none" w:sz="0" w:space="0" w:color="auto"/>
                                                        <w:bottom w:val="none" w:sz="0" w:space="0" w:color="auto"/>
                                                        <w:right w:val="none" w:sz="0" w:space="0" w:color="auto"/>
                                                      </w:divBdr>
                                                      <w:divsChild>
                                                        <w:div w:id="10364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94865">
                                                  <w:marLeft w:val="0"/>
                                                  <w:marRight w:val="0"/>
                                                  <w:marTop w:val="0"/>
                                                  <w:marBottom w:val="0"/>
                                                  <w:divBdr>
                                                    <w:top w:val="none" w:sz="0" w:space="0" w:color="auto"/>
                                                    <w:left w:val="none" w:sz="0" w:space="0" w:color="auto"/>
                                                    <w:bottom w:val="none" w:sz="0" w:space="0" w:color="auto"/>
                                                    <w:right w:val="none" w:sz="0" w:space="0" w:color="auto"/>
                                                  </w:divBdr>
                                                </w:div>
                                              </w:divsChild>
                                            </w:div>
                                            <w:div w:id="1156652841">
                                              <w:marLeft w:val="0"/>
                                              <w:marRight w:val="240"/>
                                              <w:marTop w:val="0"/>
                                              <w:marBottom w:val="240"/>
                                              <w:divBdr>
                                                <w:top w:val="none" w:sz="0" w:space="0" w:color="auto"/>
                                                <w:left w:val="none" w:sz="0" w:space="0" w:color="auto"/>
                                                <w:bottom w:val="none" w:sz="0" w:space="0" w:color="auto"/>
                                                <w:right w:val="none" w:sz="0" w:space="0" w:color="auto"/>
                                              </w:divBdr>
                                              <w:divsChild>
                                                <w:div w:id="968900199">
                                                  <w:marLeft w:val="0"/>
                                                  <w:marRight w:val="120"/>
                                                  <w:marTop w:val="0"/>
                                                  <w:marBottom w:val="0"/>
                                                  <w:divBdr>
                                                    <w:top w:val="none" w:sz="0" w:space="0" w:color="auto"/>
                                                    <w:left w:val="none" w:sz="0" w:space="0" w:color="auto"/>
                                                    <w:bottom w:val="none" w:sz="0" w:space="0" w:color="auto"/>
                                                    <w:right w:val="none" w:sz="0" w:space="0" w:color="auto"/>
                                                  </w:divBdr>
                                                  <w:divsChild>
                                                    <w:div w:id="1840537385">
                                                      <w:marLeft w:val="0"/>
                                                      <w:marRight w:val="0"/>
                                                      <w:marTop w:val="0"/>
                                                      <w:marBottom w:val="0"/>
                                                      <w:divBdr>
                                                        <w:top w:val="none" w:sz="0" w:space="0" w:color="auto"/>
                                                        <w:left w:val="none" w:sz="0" w:space="0" w:color="auto"/>
                                                        <w:bottom w:val="none" w:sz="0" w:space="0" w:color="auto"/>
                                                        <w:right w:val="none" w:sz="0" w:space="0" w:color="auto"/>
                                                      </w:divBdr>
                                                      <w:divsChild>
                                                        <w:div w:id="10729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2045">
                                                  <w:marLeft w:val="0"/>
                                                  <w:marRight w:val="0"/>
                                                  <w:marTop w:val="0"/>
                                                  <w:marBottom w:val="0"/>
                                                  <w:divBdr>
                                                    <w:top w:val="none" w:sz="0" w:space="0" w:color="auto"/>
                                                    <w:left w:val="none" w:sz="0" w:space="0" w:color="auto"/>
                                                    <w:bottom w:val="none" w:sz="0" w:space="0" w:color="auto"/>
                                                    <w:right w:val="none" w:sz="0" w:space="0" w:color="auto"/>
                                                  </w:divBdr>
                                                </w:div>
                                              </w:divsChild>
                                            </w:div>
                                            <w:div w:id="452986829">
                                              <w:marLeft w:val="0"/>
                                              <w:marRight w:val="240"/>
                                              <w:marTop w:val="0"/>
                                              <w:marBottom w:val="240"/>
                                              <w:divBdr>
                                                <w:top w:val="none" w:sz="0" w:space="0" w:color="auto"/>
                                                <w:left w:val="none" w:sz="0" w:space="0" w:color="auto"/>
                                                <w:bottom w:val="none" w:sz="0" w:space="0" w:color="auto"/>
                                                <w:right w:val="none" w:sz="0" w:space="0" w:color="auto"/>
                                              </w:divBdr>
                                              <w:divsChild>
                                                <w:div w:id="1062093957">
                                                  <w:marLeft w:val="0"/>
                                                  <w:marRight w:val="120"/>
                                                  <w:marTop w:val="0"/>
                                                  <w:marBottom w:val="0"/>
                                                  <w:divBdr>
                                                    <w:top w:val="none" w:sz="0" w:space="0" w:color="auto"/>
                                                    <w:left w:val="none" w:sz="0" w:space="0" w:color="auto"/>
                                                    <w:bottom w:val="none" w:sz="0" w:space="0" w:color="auto"/>
                                                    <w:right w:val="none" w:sz="0" w:space="0" w:color="auto"/>
                                                  </w:divBdr>
                                                  <w:divsChild>
                                                    <w:div w:id="1857036285">
                                                      <w:marLeft w:val="0"/>
                                                      <w:marRight w:val="0"/>
                                                      <w:marTop w:val="0"/>
                                                      <w:marBottom w:val="0"/>
                                                      <w:divBdr>
                                                        <w:top w:val="none" w:sz="0" w:space="0" w:color="auto"/>
                                                        <w:left w:val="none" w:sz="0" w:space="0" w:color="auto"/>
                                                        <w:bottom w:val="none" w:sz="0" w:space="0" w:color="auto"/>
                                                        <w:right w:val="none" w:sz="0" w:space="0" w:color="auto"/>
                                                      </w:divBdr>
                                                      <w:divsChild>
                                                        <w:div w:id="19105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7368">
                                                  <w:marLeft w:val="0"/>
                                                  <w:marRight w:val="0"/>
                                                  <w:marTop w:val="0"/>
                                                  <w:marBottom w:val="0"/>
                                                  <w:divBdr>
                                                    <w:top w:val="none" w:sz="0" w:space="0" w:color="auto"/>
                                                    <w:left w:val="none" w:sz="0" w:space="0" w:color="auto"/>
                                                    <w:bottom w:val="none" w:sz="0" w:space="0" w:color="auto"/>
                                                    <w:right w:val="none" w:sz="0" w:space="0" w:color="auto"/>
                                                  </w:divBdr>
                                                </w:div>
                                              </w:divsChild>
                                            </w:div>
                                            <w:div w:id="1759710182">
                                              <w:marLeft w:val="0"/>
                                              <w:marRight w:val="240"/>
                                              <w:marTop w:val="0"/>
                                              <w:marBottom w:val="240"/>
                                              <w:divBdr>
                                                <w:top w:val="none" w:sz="0" w:space="0" w:color="auto"/>
                                                <w:left w:val="none" w:sz="0" w:space="0" w:color="auto"/>
                                                <w:bottom w:val="none" w:sz="0" w:space="0" w:color="auto"/>
                                                <w:right w:val="none" w:sz="0" w:space="0" w:color="auto"/>
                                              </w:divBdr>
                                              <w:divsChild>
                                                <w:div w:id="494927999">
                                                  <w:marLeft w:val="0"/>
                                                  <w:marRight w:val="120"/>
                                                  <w:marTop w:val="0"/>
                                                  <w:marBottom w:val="0"/>
                                                  <w:divBdr>
                                                    <w:top w:val="none" w:sz="0" w:space="0" w:color="auto"/>
                                                    <w:left w:val="none" w:sz="0" w:space="0" w:color="auto"/>
                                                    <w:bottom w:val="none" w:sz="0" w:space="0" w:color="auto"/>
                                                    <w:right w:val="none" w:sz="0" w:space="0" w:color="auto"/>
                                                  </w:divBdr>
                                                  <w:divsChild>
                                                    <w:div w:id="88963792">
                                                      <w:marLeft w:val="0"/>
                                                      <w:marRight w:val="0"/>
                                                      <w:marTop w:val="0"/>
                                                      <w:marBottom w:val="0"/>
                                                      <w:divBdr>
                                                        <w:top w:val="none" w:sz="0" w:space="0" w:color="auto"/>
                                                        <w:left w:val="none" w:sz="0" w:space="0" w:color="auto"/>
                                                        <w:bottom w:val="none" w:sz="0" w:space="0" w:color="auto"/>
                                                        <w:right w:val="none" w:sz="0" w:space="0" w:color="auto"/>
                                                      </w:divBdr>
                                                      <w:divsChild>
                                                        <w:div w:id="11674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4081">
                                                  <w:marLeft w:val="0"/>
                                                  <w:marRight w:val="0"/>
                                                  <w:marTop w:val="0"/>
                                                  <w:marBottom w:val="0"/>
                                                  <w:divBdr>
                                                    <w:top w:val="none" w:sz="0" w:space="0" w:color="auto"/>
                                                    <w:left w:val="none" w:sz="0" w:space="0" w:color="auto"/>
                                                    <w:bottom w:val="none" w:sz="0" w:space="0" w:color="auto"/>
                                                    <w:right w:val="none" w:sz="0" w:space="0" w:color="auto"/>
                                                  </w:divBdr>
                                                </w:div>
                                              </w:divsChild>
                                            </w:div>
                                            <w:div w:id="833447317">
                                              <w:marLeft w:val="0"/>
                                              <w:marRight w:val="240"/>
                                              <w:marTop w:val="0"/>
                                              <w:marBottom w:val="240"/>
                                              <w:divBdr>
                                                <w:top w:val="none" w:sz="0" w:space="0" w:color="auto"/>
                                                <w:left w:val="none" w:sz="0" w:space="0" w:color="auto"/>
                                                <w:bottom w:val="none" w:sz="0" w:space="0" w:color="auto"/>
                                                <w:right w:val="none" w:sz="0" w:space="0" w:color="auto"/>
                                              </w:divBdr>
                                              <w:divsChild>
                                                <w:div w:id="1383020358">
                                                  <w:marLeft w:val="0"/>
                                                  <w:marRight w:val="120"/>
                                                  <w:marTop w:val="0"/>
                                                  <w:marBottom w:val="0"/>
                                                  <w:divBdr>
                                                    <w:top w:val="none" w:sz="0" w:space="0" w:color="auto"/>
                                                    <w:left w:val="none" w:sz="0" w:space="0" w:color="auto"/>
                                                    <w:bottom w:val="none" w:sz="0" w:space="0" w:color="auto"/>
                                                    <w:right w:val="none" w:sz="0" w:space="0" w:color="auto"/>
                                                  </w:divBdr>
                                                  <w:divsChild>
                                                    <w:div w:id="777677346">
                                                      <w:marLeft w:val="0"/>
                                                      <w:marRight w:val="0"/>
                                                      <w:marTop w:val="0"/>
                                                      <w:marBottom w:val="0"/>
                                                      <w:divBdr>
                                                        <w:top w:val="none" w:sz="0" w:space="0" w:color="auto"/>
                                                        <w:left w:val="none" w:sz="0" w:space="0" w:color="auto"/>
                                                        <w:bottom w:val="none" w:sz="0" w:space="0" w:color="auto"/>
                                                        <w:right w:val="none" w:sz="0" w:space="0" w:color="auto"/>
                                                      </w:divBdr>
                                                      <w:divsChild>
                                                        <w:div w:id="795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7415">
                                                  <w:marLeft w:val="0"/>
                                                  <w:marRight w:val="0"/>
                                                  <w:marTop w:val="0"/>
                                                  <w:marBottom w:val="0"/>
                                                  <w:divBdr>
                                                    <w:top w:val="none" w:sz="0" w:space="0" w:color="auto"/>
                                                    <w:left w:val="none" w:sz="0" w:space="0" w:color="auto"/>
                                                    <w:bottom w:val="none" w:sz="0" w:space="0" w:color="auto"/>
                                                    <w:right w:val="none" w:sz="0" w:space="0" w:color="auto"/>
                                                  </w:divBdr>
                                                </w:div>
                                              </w:divsChild>
                                            </w:div>
                                            <w:div w:id="567224191">
                                              <w:marLeft w:val="0"/>
                                              <w:marRight w:val="240"/>
                                              <w:marTop w:val="0"/>
                                              <w:marBottom w:val="240"/>
                                              <w:divBdr>
                                                <w:top w:val="none" w:sz="0" w:space="0" w:color="auto"/>
                                                <w:left w:val="none" w:sz="0" w:space="0" w:color="auto"/>
                                                <w:bottom w:val="none" w:sz="0" w:space="0" w:color="auto"/>
                                                <w:right w:val="none" w:sz="0" w:space="0" w:color="auto"/>
                                              </w:divBdr>
                                              <w:divsChild>
                                                <w:div w:id="2029091222">
                                                  <w:marLeft w:val="0"/>
                                                  <w:marRight w:val="120"/>
                                                  <w:marTop w:val="0"/>
                                                  <w:marBottom w:val="0"/>
                                                  <w:divBdr>
                                                    <w:top w:val="none" w:sz="0" w:space="0" w:color="auto"/>
                                                    <w:left w:val="none" w:sz="0" w:space="0" w:color="auto"/>
                                                    <w:bottom w:val="none" w:sz="0" w:space="0" w:color="auto"/>
                                                    <w:right w:val="none" w:sz="0" w:space="0" w:color="auto"/>
                                                  </w:divBdr>
                                                  <w:divsChild>
                                                    <w:div w:id="1503424016">
                                                      <w:marLeft w:val="0"/>
                                                      <w:marRight w:val="0"/>
                                                      <w:marTop w:val="0"/>
                                                      <w:marBottom w:val="0"/>
                                                      <w:divBdr>
                                                        <w:top w:val="none" w:sz="0" w:space="0" w:color="auto"/>
                                                        <w:left w:val="none" w:sz="0" w:space="0" w:color="auto"/>
                                                        <w:bottom w:val="none" w:sz="0" w:space="0" w:color="auto"/>
                                                        <w:right w:val="none" w:sz="0" w:space="0" w:color="auto"/>
                                                      </w:divBdr>
                                                      <w:divsChild>
                                                        <w:div w:id="8922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3559">
                                                  <w:marLeft w:val="0"/>
                                                  <w:marRight w:val="0"/>
                                                  <w:marTop w:val="0"/>
                                                  <w:marBottom w:val="0"/>
                                                  <w:divBdr>
                                                    <w:top w:val="none" w:sz="0" w:space="0" w:color="auto"/>
                                                    <w:left w:val="none" w:sz="0" w:space="0" w:color="auto"/>
                                                    <w:bottom w:val="none" w:sz="0" w:space="0" w:color="auto"/>
                                                    <w:right w:val="none" w:sz="0" w:space="0" w:color="auto"/>
                                                  </w:divBdr>
                                                </w:div>
                                              </w:divsChild>
                                            </w:div>
                                            <w:div w:id="1624381732">
                                              <w:marLeft w:val="0"/>
                                              <w:marRight w:val="240"/>
                                              <w:marTop w:val="0"/>
                                              <w:marBottom w:val="240"/>
                                              <w:divBdr>
                                                <w:top w:val="none" w:sz="0" w:space="0" w:color="auto"/>
                                                <w:left w:val="none" w:sz="0" w:space="0" w:color="auto"/>
                                                <w:bottom w:val="none" w:sz="0" w:space="0" w:color="auto"/>
                                                <w:right w:val="none" w:sz="0" w:space="0" w:color="auto"/>
                                              </w:divBdr>
                                              <w:divsChild>
                                                <w:div w:id="1307977272">
                                                  <w:marLeft w:val="0"/>
                                                  <w:marRight w:val="120"/>
                                                  <w:marTop w:val="0"/>
                                                  <w:marBottom w:val="0"/>
                                                  <w:divBdr>
                                                    <w:top w:val="none" w:sz="0" w:space="0" w:color="auto"/>
                                                    <w:left w:val="none" w:sz="0" w:space="0" w:color="auto"/>
                                                    <w:bottom w:val="none" w:sz="0" w:space="0" w:color="auto"/>
                                                    <w:right w:val="none" w:sz="0" w:space="0" w:color="auto"/>
                                                  </w:divBdr>
                                                  <w:divsChild>
                                                    <w:div w:id="1933079295">
                                                      <w:marLeft w:val="0"/>
                                                      <w:marRight w:val="0"/>
                                                      <w:marTop w:val="0"/>
                                                      <w:marBottom w:val="0"/>
                                                      <w:divBdr>
                                                        <w:top w:val="none" w:sz="0" w:space="0" w:color="auto"/>
                                                        <w:left w:val="none" w:sz="0" w:space="0" w:color="auto"/>
                                                        <w:bottom w:val="none" w:sz="0" w:space="0" w:color="auto"/>
                                                        <w:right w:val="none" w:sz="0" w:space="0" w:color="auto"/>
                                                      </w:divBdr>
                                                      <w:divsChild>
                                                        <w:div w:id="13053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9518">
                                                  <w:marLeft w:val="0"/>
                                                  <w:marRight w:val="0"/>
                                                  <w:marTop w:val="0"/>
                                                  <w:marBottom w:val="0"/>
                                                  <w:divBdr>
                                                    <w:top w:val="none" w:sz="0" w:space="0" w:color="auto"/>
                                                    <w:left w:val="none" w:sz="0" w:space="0" w:color="auto"/>
                                                    <w:bottom w:val="none" w:sz="0" w:space="0" w:color="auto"/>
                                                    <w:right w:val="none" w:sz="0" w:space="0" w:color="auto"/>
                                                  </w:divBdr>
                                                </w:div>
                                              </w:divsChild>
                                            </w:div>
                                            <w:div w:id="1469125395">
                                              <w:marLeft w:val="0"/>
                                              <w:marRight w:val="240"/>
                                              <w:marTop w:val="0"/>
                                              <w:marBottom w:val="240"/>
                                              <w:divBdr>
                                                <w:top w:val="none" w:sz="0" w:space="0" w:color="auto"/>
                                                <w:left w:val="none" w:sz="0" w:space="0" w:color="auto"/>
                                                <w:bottom w:val="none" w:sz="0" w:space="0" w:color="auto"/>
                                                <w:right w:val="none" w:sz="0" w:space="0" w:color="auto"/>
                                              </w:divBdr>
                                              <w:divsChild>
                                                <w:div w:id="1326399017">
                                                  <w:marLeft w:val="0"/>
                                                  <w:marRight w:val="120"/>
                                                  <w:marTop w:val="0"/>
                                                  <w:marBottom w:val="0"/>
                                                  <w:divBdr>
                                                    <w:top w:val="none" w:sz="0" w:space="0" w:color="auto"/>
                                                    <w:left w:val="none" w:sz="0" w:space="0" w:color="auto"/>
                                                    <w:bottom w:val="none" w:sz="0" w:space="0" w:color="auto"/>
                                                    <w:right w:val="none" w:sz="0" w:space="0" w:color="auto"/>
                                                  </w:divBdr>
                                                  <w:divsChild>
                                                    <w:div w:id="1951622467">
                                                      <w:marLeft w:val="0"/>
                                                      <w:marRight w:val="0"/>
                                                      <w:marTop w:val="0"/>
                                                      <w:marBottom w:val="0"/>
                                                      <w:divBdr>
                                                        <w:top w:val="none" w:sz="0" w:space="0" w:color="auto"/>
                                                        <w:left w:val="none" w:sz="0" w:space="0" w:color="auto"/>
                                                        <w:bottom w:val="none" w:sz="0" w:space="0" w:color="auto"/>
                                                        <w:right w:val="none" w:sz="0" w:space="0" w:color="auto"/>
                                                      </w:divBdr>
                                                      <w:divsChild>
                                                        <w:div w:id="21411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4058">
                                                  <w:marLeft w:val="0"/>
                                                  <w:marRight w:val="0"/>
                                                  <w:marTop w:val="0"/>
                                                  <w:marBottom w:val="0"/>
                                                  <w:divBdr>
                                                    <w:top w:val="none" w:sz="0" w:space="0" w:color="auto"/>
                                                    <w:left w:val="none" w:sz="0" w:space="0" w:color="auto"/>
                                                    <w:bottom w:val="none" w:sz="0" w:space="0" w:color="auto"/>
                                                    <w:right w:val="none" w:sz="0" w:space="0" w:color="auto"/>
                                                  </w:divBdr>
                                                </w:div>
                                              </w:divsChild>
                                            </w:div>
                                            <w:div w:id="500970120">
                                              <w:marLeft w:val="0"/>
                                              <w:marRight w:val="240"/>
                                              <w:marTop w:val="0"/>
                                              <w:marBottom w:val="240"/>
                                              <w:divBdr>
                                                <w:top w:val="none" w:sz="0" w:space="0" w:color="auto"/>
                                                <w:left w:val="none" w:sz="0" w:space="0" w:color="auto"/>
                                                <w:bottom w:val="none" w:sz="0" w:space="0" w:color="auto"/>
                                                <w:right w:val="none" w:sz="0" w:space="0" w:color="auto"/>
                                              </w:divBdr>
                                              <w:divsChild>
                                                <w:div w:id="1747071342">
                                                  <w:marLeft w:val="0"/>
                                                  <w:marRight w:val="120"/>
                                                  <w:marTop w:val="0"/>
                                                  <w:marBottom w:val="0"/>
                                                  <w:divBdr>
                                                    <w:top w:val="none" w:sz="0" w:space="0" w:color="auto"/>
                                                    <w:left w:val="none" w:sz="0" w:space="0" w:color="auto"/>
                                                    <w:bottom w:val="none" w:sz="0" w:space="0" w:color="auto"/>
                                                    <w:right w:val="none" w:sz="0" w:space="0" w:color="auto"/>
                                                  </w:divBdr>
                                                  <w:divsChild>
                                                    <w:div w:id="1561015833">
                                                      <w:marLeft w:val="0"/>
                                                      <w:marRight w:val="0"/>
                                                      <w:marTop w:val="0"/>
                                                      <w:marBottom w:val="0"/>
                                                      <w:divBdr>
                                                        <w:top w:val="none" w:sz="0" w:space="0" w:color="auto"/>
                                                        <w:left w:val="none" w:sz="0" w:space="0" w:color="auto"/>
                                                        <w:bottom w:val="none" w:sz="0" w:space="0" w:color="auto"/>
                                                        <w:right w:val="none" w:sz="0" w:space="0" w:color="auto"/>
                                                      </w:divBdr>
                                                      <w:divsChild>
                                                        <w:div w:id="11127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1834">
                                                  <w:marLeft w:val="0"/>
                                                  <w:marRight w:val="0"/>
                                                  <w:marTop w:val="0"/>
                                                  <w:marBottom w:val="0"/>
                                                  <w:divBdr>
                                                    <w:top w:val="none" w:sz="0" w:space="0" w:color="auto"/>
                                                    <w:left w:val="none" w:sz="0" w:space="0" w:color="auto"/>
                                                    <w:bottom w:val="none" w:sz="0" w:space="0" w:color="auto"/>
                                                    <w:right w:val="none" w:sz="0" w:space="0" w:color="auto"/>
                                                  </w:divBdr>
                                                </w:div>
                                              </w:divsChild>
                                            </w:div>
                                            <w:div w:id="145559898">
                                              <w:marLeft w:val="0"/>
                                              <w:marRight w:val="240"/>
                                              <w:marTop w:val="0"/>
                                              <w:marBottom w:val="240"/>
                                              <w:divBdr>
                                                <w:top w:val="none" w:sz="0" w:space="0" w:color="auto"/>
                                                <w:left w:val="none" w:sz="0" w:space="0" w:color="auto"/>
                                                <w:bottom w:val="none" w:sz="0" w:space="0" w:color="auto"/>
                                                <w:right w:val="none" w:sz="0" w:space="0" w:color="auto"/>
                                              </w:divBdr>
                                              <w:divsChild>
                                                <w:div w:id="1379161475">
                                                  <w:marLeft w:val="0"/>
                                                  <w:marRight w:val="120"/>
                                                  <w:marTop w:val="0"/>
                                                  <w:marBottom w:val="0"/>
                                                  <w:divBdr>
                                                    <w:top w:val="none" w:sz="0" w:space="0" w:color="auto"/>
                                                    <w:left w:val="none" w:sz="0" w:space="0" w:color="auto"/>
                                                    <w:bottom w:val="none" w:sz="0" w:space="0" w:color="auto"/>
                                                    <w:right w:val="none" w:sz="0" w:space="0" w:color="auto"/>
                                                  </w:divBdr>
                                                  <w:divsChild>
                                                    <w:div w:id="144468034">
                                                      <w:marLeft w:val="0"/>
                                                      <w:marRight w:val="0"/>
                                                      <w:marTop w:val="0"/>
                                                      <w:marBottom w:val="0"/>
                                                      <w:divBdr>
                                                        <w:top w:val="none" w:sz="0" w:space="0" w:color="auto"/>
                                                        <w:left w:val="none" w:sz="0" w:space="0" w:color="auto"/>
                                                        <w:bottom w:val="none" w:sz="0" w:space="0" w:color="auto"/>
                                                        <w:right w:val="none" w:sz="0" w:space="0" w:color="auto"/>
                                                      </w:divBdr>
                                                      <w:divsChild>
                                                        <w:div w:id="7017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8069">
                                                  <w:marLeft w:val="0"/>
                                                  <w:marRight w:val="0"/>
                                                  <w:marTop w:val="0"/>
                                                  <w:marBottom w:val="0"/>
                                                  <w:divBdr>
                                                    <w:top w:val="none" w:sz="0" w:space="0" w:color="auto"/>
                                                    <w:left w:val="none" w:sz="0" w:space="0" w:color="auto"/>
                                                    <w:bottom w:val="none" w:sz="0" w:space="0" w:color="auto"/>
                                                    <w:right w:val="none" w:sz="0" w:space="0" w:color="auto"/>
                                                  </w:divBdr>
                                                </w:div>
                                              </w:divsChild>
                                            </w:div>
                                            <w:div w:id="110174528">
                                              <w:marLeft w:val="0"/>
                                              <w:marRight w:val="240"/>
                                              <w:marTop w:val="0"/>
                                              <w:marBottom w:val="240"/>
                                              <w:divBdr>
                                                <w:top w:val="none" w:sz="0" w:space="0" w:color="auto"/>
                                                <w:left w:val="none" w:sz="0" w:space="0" w:color="auto"/>
                                                <w:bottom w:val="none" w:sz="0" w:space="0" w:color="auto"/>
                                                <w:right w:val="none" w:sz="0" w:space="0" w:color="auto"/>
                                              </w:divBdr>
                                              <w:divsChild>
                                                <w:div w:id="30305084">
                                                  <w:marLeft w:val="0"/>
                                                  <w:marRight w:val="12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9508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5945">
                                                  <w:marLeft w:val="0"/>
                                                  <w:marRight w:val="0"/>
                                                  <w:marTop w:val="0"/>
                                                  <w:marBottom w:val="0"/>
                                                  <w:divBdr>
                                                    <w:top w:val="none" w:sz="0" w:space="0" w:color="auto"/>
                                                    <w:left w:val="none" w:sz="0" w:space="0" w:color="auto"/>
                                                    <w:bottom w:val="none" w:sz="0" w:space="0" w:color="auto"/>
                                                    <w:right w:val="none" w:sz="0" w:space="0" w:color="auto"/>
                                                  </w:divBdr>
                                                </w:div>
                                              </w:divsChild>
                                            </w:div>
                                            <w:div w:id="1558321488">
                                              <w:marLeft w:val="0"/>
                                              <w:marRight w:val="240"/>
                                              <w:marTop w:val="0"/>
                                              <w:marBottom w:val="240"/>
                                              <w:divBdr>
                                                <w:top w:val="none" w:sz="0" w:space="0" w:color="auto"/>
                                                <w:left w:val="none" w:sz="0" w:space="0" w:color="auto"/>
                                                <w:bottom w:val="none" w:sz="0" w:space="0" w:color="auto"/>
                                                <w:right w:val="none" w:sz="0" w:space="0" w:color="auto"/>
                                              </w:divBdr>
                                              <w:divsChild>
                                                <w:div w:id="692734160">
                                                  <w:marLeft w:val="0"/>
                                                  <w:marRight w:val="120"/>
                                                  <w:marTop w:val="0"/>
                                                  <w:marBottom w:val="0"/>
                                                  <w:divBdr>
                                                    <w:top w:val="none" w:sz="0" w:space="0" w:color="auto"/>
                                                    <w:left w:val="none" w:sz="0" w:space="0" w:color="auto"/>
                                                    <w:bottom w:val="none" w:sz="0" w:space="0" w:color="auto"/>
                                                    <w:right w:val="none" w:sz="0" w:space="0" w:color="auto"/>
                                                  </w:divBdr>
                                                  <w:divsChild>
                                                    <w:div w:id="806898557">
                                                      <w:marLeft w:val="0"/>
                                                      <w:marRight w:val="0"/>
                                                      <w:marTop w:val="0"/>
                                                      <w:marBottom w:val="0"/>
                                                      <w:divBdr>
                                                        <w:top w:val="none" w:sz="0" w:space="0" w:color="auto"/>
                                                        <w:left w:val="none" w:sz="0" w:space="0" w:color="auto"/>
                                                        <w:bottom w:val="none" w:sz="0" w:space="0" w:color="auto"/>
                                                        <w:right w:val="none" w:sz="0" w:space="0" w:color="auto"/>
                                                      </w:divBdr>
                                                      <w:divsChild>
                                                        <w:div w:id="4773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39465">
                                                  <w:marLeft w:val="0"/>
                                                  <w:marRight w:val="0"/>
                                                  <w:marTop w:val="0"/>
                                                  <w:marBottom w:val="0"/>
                                                  <w:divBdr>
                                                    <w:top w:val="none" w:sz="0" w:space="0" w:color="auto"/>
                                                    <w:left w:val="none" w:sz="0" w:space="0" w:color="auto"/>
                                                    <w:bottom w:val="none" w:sz="0" w:space="0" w:color="auto"/>
                                                    <w:right w:val="none" w:sz="0" w:space="0" w:color="auto"/>
                                                  </w:divBdr>
                                                </w:div>
                                              </w:divsChild>
                                            </w:div>
                                            <w:div w:id="477500976">
                                              <w:marLeft w:val="0"/>
                                              <w:marRight w:val="240"/>
                                              <w:marTop w:val="0"/>
                                              <w:marBottom w:val="240"/>
                                              <w:divBdr>
                                                <w:top w:val="none" w:sz="0" w:space="0" w:color="auto"/>
                                                <w:left w:val="none" w:sz="0" w:space="0" w:color="auto"/>
                                                <w:bottom w:val="none" w:sz="0" w:space="0" w:color="auto"/>
                                                <w:right w:val="none" w:sz="0" w:space="0" w:color="auto"/>
                                              </w:divBdr>
                                              <w:divsChild>
                                                <w:div w:id="787041378">
                                                  <w:marLeft w:val="0"/>
                                                  <w:marRight w:val="120"/>
                                                  <w:marTop w:val="0"/>
                                                  <w:marBottom w:val="0"/>
                                                  <w:divBdr>
                                                    <w:top w:val="none" w:sz="0" w:space="0" w:color="auto"/>
                                                    <w:left w:val="none" w:sz="0" w:space="0" w:color="auto"/>
                                                    <w:bottom w:val="none" w:sz="0" w:space="0" w:color="auto"/>
                                                    <w:right w:val="none" w:sz="0" w:space="0" w:color="auto"/>
                                                  </w:divBdr>
                                                  <w:divsChild>
                                                    <w:div w:id="1741244362">
                                                      <w:marLeft w:val="0"/>
                                                      <w:marRight w:val="0"/>
                                                      <w:marTop w:val="0"/>
                                                      <w:marBottom w:val="0"/>
                                                      <w:divBdr>
                                                        <w:top w:val="none" w:sz="0" w:space="0" w:color="auto"/>
                                                        <w:left w:val="none" w:sz="0" w:space="0" w:color="auto"/>
                                                        <w:bottom w:val="none" w:sz="0" w:space="0" w:color="auto"/>
                                                        <w:right w:val="none" w:sz="0" w:space="0" w:color="auto"/>
                                                      </w:divBdr>
                                                      <w:divsChild>
                                                        <w:div w:id="4647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2833">
                                                  <w:marLeft w:val="0"/>
                                                  <w:marRight w:val="0"/>
                                                  <w:marTop w:val="0"/>
                                                  <w:marBottom w:val="0"/>
                                                  <w:divBdr>
                                                    <w:top w:val="none" w:sz="0" w:space="0" w:color="auto"/>
                                                    <w:left w:val="none" w:sz="0" w:space="0" w:color="auto"/>
                                                    <w:bottom w:val="none" w:sz="0" w:space="0" w:color="auto"/>
                                                    <w:right w:val="none" w:sz="0" w:space="0" w:color="auto"/>
                                                  </w:divBdr>
                                                </w:div>
                                              </w:divsChild>
                                            </w:div>
                                            <w:div w:id="1096827711">
                                              <w:marLeft w:val="0"/>
                                              <w:marRight w:val="240"/>
                                              <w:marTop w:val="0"/>
                                              <w:marBottom w:val="240"/>
                                              <w:divBdr>
                                                <w:top w:val="none" w:sz="0" w:space="0" w:color="auto"/>
                                                <w:left w:val="none" w:sz="0" w:space="0" w:color="auto"/>
                                                <w:bottom w:val="none" w:sz="0" w:space="0" w:color="auto"/>
                                                <w:right w:val="none" w:sz="0" w:space="0" w:color="auto"/>
                                              </w:divBdr>
                                              <w:divsChild>
                                                <w:div w:id="1744792554">
                                                  <w:marLeft w:val="0"/>
                                                  <w:marRight w:val="120"/>
                                                  <w:marTop w:val="0"/>
                                                  <w:marBottom w:val="0"/>
                                                  <w:divBdr>
                                                    <w:top w:val="none" w:sz="0" w:space="0" w:color="auto"/>
                                                    <w:left w:val="none" w:sz="0" w:space="0" w:color="auto"/>
                                                    <w:bottom w:val="none" w:sz="0" w:space="0" w:color="auto"/>
                                                    <w:right w:val="none" w:sz="0" w:space="0" w:color="auto"/>
                                                  </w:divBdr>
                                                  <w:divsChild>
                                                    <w:div w:id="1833836572">
                                                      <w:marLeft w:val="0"/>
                                                      <w:marRight w:val="0"/>
                                                      <w:marTop w:val="0"/>
                                                      <w:marBottom w:val="0"/>
                                                      <w:divBdr>
                                                        <w:top w:val="none" w:sz="0" w:space="0" w:color="auto"/>
                                                        <w:left w:val="none" w:sz="0" w:space="0" w:color="auto"/>
                                                        <w:bottom w:val="none" w:sz="0" w:space="0" w:color="auto"/>
                                                        <w:right w:val="none" w:sz="0" w:space="0" w:color="auto"/>
                                                      </w:divBdr>
                                                      <w:divsChild>
                                                        <w:div w:id="73540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0985">
                                                  <w:marLeft w:val="0"/>
                                                  <w:marRight w:val="0"/>
                                                  <w:marTop w:val="0"/>
                                                  <w:marBottom w:val="0"/>
                                                  <w:divBdr>
                                                    <w:top w:val="none" w:sz="0" w:space="0" w:color="auto"/>
                                                    <w:left w:val="none" w:sz="0" w:space="0" w:color="auto"/>
                                                    <w:bottom w:val="none" w:sz="0" w:space="0" w:color="auto"/>
                                                    <w:right w:val="none" w:sz="0" w:space="0" w:color="auto"/>
                                                  </w:divBdr>
                                                </w:div>
                                              </w:divsChild>
                                            </w:div>
                                            <w:div w:id="1944411028">
                                              <w:marLeft w:val="0"/>
                                              <w:marRight w:val="240"/>
                                              <w:marTop w:val="0"/>
                                              <w:marBottom w:val="240"/>
                                              <w:divBdr>
                                                <w:top w:val="none" w:sz="0" w:space="0" w:color="auto"/>
                                                <w:left w:val="none" w:sz="0" w:space="0" w:color="auto"/>
                                                <w:bottom w:val="none" w:sz="0" w:space="0" w:color="auto"/>
                                                <w:right w:val="none" w:sz="0" w:space="0" w:color="auto"/>
                                              </w:divBdr>
                                              <w:divsChild>
                                                <w:div w:id="1439987721">
                                                  <w:marLeft w:val="0"/>
                                                  <w:marRight w:val="12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6187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870">
                                                  <w:marLeft w:val="0"/>
                                                  <w:marRight w:val="0"/>
                                                  <w:marTop w:val="0"/>
                                                  <w:marBottom w:val="0"/>
                                                  <w:divBdr>
                                                    <w:top w:val="none" w:sz="0" w:space="0" w:color="auto"/>
                                                    <w:left w:val="none" w:sz="0" w:space="0" w:color="auto"/>
                                                    <w:bottom w:val="none" w:sz="0" w:space="0" w:color="auto"/>
                                                    <w:right w:val="none" w:sz="0" w:space="0" w:color="auto"/>
                                                  </w:divBdr>
                                                </w:div>
                                              </w:divsChild>
                                            </w:div>
                                            <w:div w:id="1825389084">
                                              <w:marLeft w:val="0"/>
                                              <w:marRight w:val="240"/>
                                              <w:marTop w:val="0"/>
                                              <w:marBottom w:val="240"/>
                                              <w:divBdr>
                                                <w:top w:val="none" w:sz="0" w:space="0" w:color="auto"/>
                                                <w:left w:val="none" w:sz="0" w:space="0" w:color="auto"/>
                                                <w:bottom w:val="none" w:sz="0" w:space="0" w:color="auto"/>
                                                <w:right w:val="none" w:sz="0" w:space="0" w:color="auto"/>
                                              </w:divBdr>
                                              <w:divsChild>
                                                <w:div w:id="2117017852">
                                                  <w:marLeft w:val="0"/>
                                                  <w:marRight w:val="120"/>
                                                  <w:marTop w:val="0"/>
                                                  <w:marBottom w:val="0"/>
                                                  <w:divBdr>
                                                    <w:top w:val="none" w:sz="0" w:space="0" w:color="auto"/>
                                                    <w:left w:val="none" w:sz="0" w:space="0" w:color="auto"/>
                                                    <w:bottom w:val="none" w:sz="0" w:space="0" w:color="auto"/>
                                                    <w:right w:val="none" w:sz="0" w:space="0" w:color="auto"/>
                                                  </w:divBdr>
                                                  <w:divsChild>
                                                    <w:div w:id="21826030">
                                                      <w:marLeft w:val="0"/>
                                                      <w:marRight w:val="0"/>
                                                      <w:marTop w:val="0"/>
                                                      <w:marBottom w:val="0"/>
                                                      <w:divBdr>
                                                        <w:top w:val="none" w:sz="0" w:space="0" w:color="auto"/>
                                                        <w:left w:val="none" w:sz="0" w:space="0" w:color="auto"/>
                                                        <w:bottom w:val="none" w:sz="0" w:space="0" w:color="auto"/>
                                                        <w:right w:val="none" w:sz="0" w:space="0" w:color="auto"/>
                                                      </w:divBdr>
                                                      <w:divsChild>
                                                        <w:div w:id="15224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8658">
                                                  <w:marLeft w:val="0"/>
                                                  <w:marRight w:val="0"/>
                                                  <w:marTop w:val="0"/>
                                                  <w:marBottom w:val="0"/>
                                                  <w:divBdr>
                                                    <w:top w:val="none" w:sz="0" w:space="0" w:color="auto"/>
                                                    <w:left w:val="none" w:sz="0" w:space="0" w:color="auto"/>
                                                    <w:bottom w:val="none" w:sz="0" w:space="0" w:color="auto"/>
                                                    <w:right w:val="none" w:sz="0" w:space="0" w:color="auto"/>
                                                  </w:divBdr>
                                                </w:div>
                                              </w:divsChild>
                                            </w:div>
                                            <w:div w:id="1245188174">
                                              <w:marLeft w:val="0"/>
                                              <w:marRight w:val="240"/>
                                              <w:marTop w:val="0"/>
                                              <w:marBottom w:val="240"/>
                                              <w:divBdr>
                                                <w:top w:val="none" w:sz="0" w:space="0" w:color="auto"/>
                                                <w:left w:val="none" w:sz="0" w:space="0" w:color="auto"/>
                                                <w:bottom w:val="none" w:sz="0" w:space="0" w:color="auto"/>
                                                <w:right w:val="none" w:sz="0" w:space="0" w:color="auto"/>
                                              </w:divBdr>
                                              <w:divsChild>
                                                <w:div w:id="1151629536">
                                                  <w:marLeft w:val="0"/>
                                                  <w:marRight w:val="120"/>
                                                  <w:marTop w:val="0"/>
                                                  <w:marBottom w:val="0"/>
                                                  <w:divBdr>
                                                    <w:top w:val="none" w:sz="0" w:space="0" w:color="auto"/>
                                                    <w:left w:val="none" w:sz="0" w:space="0" w:color="auto"/>
                                                    <w:bottom w:val="none" w:sz="0" w:space="0" w:color="auto"/>
                                                    <w:right w:val="none" w:sz="0" w:space="0" w:color="auto"/>
                                                  </w:divBdr>
                                                  <w:divsChild>
                                                    <w:div w:id="1623731405">
                                                      <w:marLeft w:val="0"/>
                                                      <w:marRight w:val="0"/>
                                                      <w:marTop w:val="0"/>
                                                      <w:marBottom w:val="0"/>
                                                      <w:divBdr>
                                                        <w:top w:val="none" w:sz="0" w:space="0" w:color="auto"/>
                                                        <w:left w:val="none" w:sz="0" w:space="0" w:color="auto"/>
                                                        <w:bottom w:val="none" w:sz="0" w:space="0" w:color="auto"/>
                                                        <w:right w:val="none" w:sz="0" w:space="0" w:color="auto"/>
                                                      </w:divBdr>
                                                      <w:divsChild>
                                                        <w:div w:id="18896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1535">
                                                  <w:marLeft w:val="0"/>
                                                  <w:marRight w:val="0"/>
                                                  <w:marTop w:val="0"/>
                                                  <w:marBottom w:val="0"/>
                                                  <w:divBdr>
                                                    <w:top w:val="none" w:sz="0" w:space="0" w:color="auto"/>
                                                    <w:left w:val="none" w:sz="0" w:space="0" w:color="auto"/>
                                                    <w:bottom w:val="none" w:sz="0" w:space="0" w:color="auto"/>
                                                    <w:right w:val="none" w:sz="0" w:space="0" w:color="auto"/>
                                                  </w:divBdr>
                                                </w:div>
                                              </w:divsChild>
                                            </w:div>
                                            <w:div w:id="1761291398">
                                              <w:marLeft w:val="0"/>
                                              <w:marRight w:val="240"/>
                                              <w:marTop w:val="0"/>
                                              <w:marBottom w:val="240"/>
                                              <w:divBdr>
                                                <w:top w:val="none" w:sz="0" w:space="0" w:color="auto"/>
                                                <w:left w:val="none" w:sz="0" w:space="0" w:color="auto"/>
                                                <w:bottom w:val="none" w:sz="0" w:space="0" w:color="auto"/>
                                                <w:right w:val="none" w:sz="0" w:space="0" w:color="auto"/>
                                              </w:divBdr>
                                              <w:divsChild>
                                                <w:div w:id="953098294">
                                                  <w:marLeft w:val="0"/>
                                                  <w:marRight w:val="120"/>
                                                  <w:marTop w:val="0"/>
                                                  <w:marBottom w:val="0"/>
                                                  <w:divBdr>
                                                    <w:top w:val="none" w:sz="0" w:space="0" w:color="auto"/>
                                                    <w:left w:val="none" w:sz="0" w:space="0" w:color="auto"/>
                                                    <w:bottom w:val="none" w:sz="0" w:space="0" w:color="auto"/>
                                                    <w:right w:val="none" w:sz="0" w:space="0" w:color="auto"/>
                                                  </w:divBdr>
                                                  <w:divsChild>
                                                    <w:div w:id="1762948796">
                                                      <w:marLeft w:val="0"/>
                                                      <w:marRight w:val="0"/>
                                                      <w:marTop w:val="0"/>
                                                      <w:marBottom w:val="0"/>
                                                      <w:divBdr>
                                                        <w:top w:val="none" w:sz="0" w:space="0" w:color="auto"/>
                                                        <w:left w:val="none" w:sz="0" w:space="0" w:color="auto"/>
                                                        <w:bottom w:val="none" w:sz="0" w:space="0" w:color="auto"/>
                                                        <w:right w:val="none" w:sz="0" w:space="0" w:color="auto"/>
                                                      </w:divBdr>
                                                      <w:divsChild>
                                                        <w:div w:id="3229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7575">
                                                  <w:marLeft w:val="0"/>
                                                  <w:marRight w:val="0"/>
                                                  <w:marTop w:val="0"/>
                                                  <w:marBottom w:val="0"/>
                                                  <w:divBdr>
                                                    <w:top w:val="none" w:sz="0" w:space="0" w:color="auto"/>
                                                    <w:left w:val="none" w:sz="0" w:space="0" w:color="auto"/>
                                                    <w:bottom w:val="none" w:sz="0" w:space="0" w:color="auto"/>
                                                    <w:right w:val="none" w:sz="0" w:space="0" w:color="auto"/>
                                                  </w:divBdr>
                                                </w:div>
                                              </w:divsChild>
                                            </w:div>
                                            <w:div w:id="701172733">
                                              <w:marLeft w:val="0"/>
                                              <w:marRight w:val="240"/>
                                              <w:marTop w:val="0"/>
                                              <w:marBottom w:val="240"/>
                                              <w:divBdr>
                                                <w:top w:val="none" w:sz="0" w:space="0" w:color="auto"/>
                                                <w:left w:val="none" w:sz="0" w:space="0" w:color="auto"/>
                                                <w:bottom w:val="none" w:sz="0" w:space="0" w:color="auto"/>
                                                <w:right w:val="none" w:sz="0" w:space="0" w:color="auto"/>
                                              </w:divBdr>
                                              <w:divsChild>
                                                <w:div w:id="1108503525">
                                                  <w:marLeft w:val="0"/>
                                                  <w:marRight w:val="120"/>
                                                  <w:marTop w:val="0"/>
                                                  <w:marBottom w:val="0"/>
                                                  <w:divBdr>
                                                    <w:top w:val="none" w:sz="0" w:space="0" w:color="auto"/>
                                                    <w:left w:val="none" w:sz="0" w:space="0" w:color="auto"/>
                                                    <w:bottom w:val="none" w:sz="0" w:space="0" w:color="auto"/>
                                                    <w:right w:val="none" w:sz="0" w:space="0" w:color="auto"/>
                                                  </w:divBdr>
                                                  <w:divsChild>
                                                    <w:div w:id="1564487318">
                                                      <w:marLeft w:val="0"/>
                                                      <w:marRight w:val="0"/>
                                                      <w:marTop w:val="0"/>
                                                      <w:marBottom w:val="0"/>
                                                      <w:divBdr>
                                                        <w:top w:val="none" w:sz="0" w:space="0" w:color="auto"/>
                                                        <w:left w:val="none" w:sz="0" w:space="0" w:color="auto"/>
                                                        <w:bottom w:val="none" w:sz="0" w:space="0" w:color="auto"/>
                                                        <w:right w:val="none" w:sz="0" w:space="0" w:color="auto"/>
                                                      </w:divBdr>
                                                      <w:divsChild>
                                                        <w:div w:id="7961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51353">
                                                  <w:marLeft w:val="0"/>
                                                  <w:marRight w:val="0"/>
                                                  <w:marTop w:val="0"/>
                                                  <w:marBottom w:val="0"/>
                                                  <w:divBdr>
                                                    <w:top w:val="none" w:sz="0" w:space="0" w:color="auto"/>
                                                    <w:left w:val="none" w:sz="0" w:space="0" w:color="auto"/>
                                                    <w:bottom w:val="none" w:sz="0" w:space="0" w:color="auto"/>
                                                    <w:right w:val="none" w:sz="0" w:space="0" w:color="auto"/>
                                                  </w:divBdr>
                                                </w:div>
                                              </w:divsChild>
                                            </w:div>
                                            <w:div w:id="452285697">
                                              <w:marLeft w:val="0"/>
                                              <w:marRight w:val="240"/>
                                              <w:marTop w:val="0"/>
                                              <w:marBottom w:val="240"/>
                                              <w:divBdr>
                                                <w:top w:val="none" w:sz="0" w:space="0" w:color="auto"/>
                                                <w:left w:val="none" w:sz="0" w:space="0" w:color="auto"/>
                                                <w:bottom w:val="none" w:sz="0" w:space="0" w:color="auto"/>
                                                <w:right w:val="none" w:sz="0" w:space="0" w:color="auto"/>
                                              </w:divBdr>
                                              <w:divsChild>
                                                <w:div w:id="1495994209">
                                                  <w:marLeft w:val="0"/>
                                                  <w:marRight w:val="120"/>
                                                  <w:marTop w:val="0"/>
                                                  <w:marBottom w:val="0"/>
                                                  <w:divBdr>
                                                    <w:top w:val="none" w:sz="0" w:space="0" w:color="auto"/>
                                                    <w:left w:val="none" w:sz="0" w:space="0" w:color="auto"/>
                                                    <w:bottom w:val="none" w:sz="0" w:space="0" w:color="auto"/>
                                                    <w:right w:val="none" w:sz="0" w:space="0" w:color="auto"/>
                                                  </w:divBdr>
                                                  <w:divsChild>
                                                    <w:div w:id="1838380406">
                                                      <w:marLeft w:val="0"/>
                                                      <w:marRight w:val="0"/>
                                                      <w:marTop w:val="0"/>
                                                      <w:marBottom w:val="0"/>
                                                      <w:divBdr>
                                                        <w:top w:val="none" w:sz="0" w:space="0" w:color="auto"/>
                                                        <w:left w:val="none" w:sz="0" w:space="0" w:color="auto"/>
                                                        <w:bottom w:val="none" w:sz="0" w:space="0" w:color="auto"/>
                                                        <w:right w:val="none" w:sz="0" w:space="0" w:color="auto"/>
                                                      </w:divBdr>
                                                      <w:divsChild>
                                                        <w:div w:id="18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929508">
              <w:marLeft w:val="0"/>
              <w:marRight w:val="0"/>
              <w:marTop w:val="0"/>
              <w:marBottom w:val="0"/>
              <w:divBdr>
                <w:top w:val="none" w:sz="0" w:space="0" w:color="auto"/>
                <w:left w:val="none" w:sz="0" w:space="0" w:color="auto"/>
                <w:bottom w:val="none" w:sz="0" w:space="0" w:color="auto"/>
                <w:right w:val="none" w:sz="0" w:space="0" w:color="auto"/>
              </w:divBdr>
              <w:divsChild>
                <w:div w:id="441341967">
                  <w:marLeft w:val="0"/>
                  <w:marRight w:val="0"/>
                  <w:marTop w:val="0"/>
                  <w:marBottom w:val="0"/>
                  <w:divBdr>
                    <w:top w:val="none" w:sz="0" w:space="0" w:color="auto"/>
                    <w:left w:val="none" w:sz="0" w:space="0" w:color="auto"/>
                    <w:bottom w:val="none" w:sz="0" w:space="0" w:color="auto"/>
                    <w:right w:val="none" w:sz="0" w:space="0" w:color="auto"/>
                  </w:divBdr>
                  <w:divsChild>
                    <w:div w:id="656303245">
                      <w:marLeft w:val="0"/>
                      <w:marRight w:val="0"/>
                      <w:marTop w:val="0"/>
                      <w:marBottom w:val="0"/>
                      <w:divBdr>
                        <w:top w:val="none" w:sz="0" w:space="0" w:color="auto"/>
                        <w:left w:val="none" w:sz="0" w:space="0" w:color="auto"/>
                        <w:bottom w:val="none" w:sz="0" w:space="0" w:color="auto"/>
                        <w:right w:val="none" w:sz="0" w:space="0" w:color="auto"/>
                      </w:divBdr>
                    </w:div>
                    <w:div w:id="323627253">
                      <w:marLeft w:val="0"/>
                      <w:marRight w:val="0"/>
                      <w:marTop w:val="0"/>
                      <w:marBottom w:val="240"/>
                      <w:divBdr>
                        <w:top w:val="none" w:sz="0" w:space="0" w:color="auto"/>
                        <w:left w:val="none" w:sz="0" w:space="0" w:color="auto"/>
                        <w:bottom w:val="none" w:sz="0" w:space="0" w:color="auto"/>
                        <w:right w:val="none" w:sz="0" w:space="0" w:color="auto"/>
                      </w:divBdr>
                      <w:divsChild>
                        <w:div w:id="436215694">
                          <w:marLeft w:val="0"/>
                          <w:marRight w:val="0"/>
                          <w:marTop w:val="0"/>
                          <w:marBottom w:val="0"/>
                          <w:divBdr>
                            <w:top w:val="none" w:sz="0" w:space="0" w:color="auto"/>
                            <w:left w:val="none" w:sz="0" w:space="0" w:color="auto"/>
                            <w:bottom w:val="none" w:sz="0" w:space="0" w:color="auto"/>
                            <w:right w:val="none" w:sz="0" w:space="0" w:color="auto"/>
                          </w:divBdr>
                          <w:divsChild>
                            <w:div w:id="2062169759">
                              <w:marLeft w:val="0"/>
                              <w:marRight w:val="0"/>
                              <w:marTop w:val="0"/>
                              <w:marBottom w:val="0"/>
                              <w:divBdr>
                                <w:top w:val="none" w:sz="0" w:space="0" w:color="auto"/>
                                <w:left w:val="none" w:sz="0" w:space="0" w:color="auto"/>
                                <w:bottom w:val="none" w:sz="0" w:space="0" w:color="auto"/>
                                <w:right w:val="none" w:sz="0" w:space="0" w:color="auto"/>
                              </w:divBdr>
                              <w:divsChild>
                                <w:div w:id="6013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7007">
                          <w:marLeft w:val="0"/>
                          <w:marRight w:val="0"/>
                          <w:marTop w:val="0"/>
                          <w:marBottom w:val="0"/>
                          <w:divBdr>
                            <w:top w:val="none" w:sz="0" w:space="0" w:color="auto"/>
                            <w:left w:val="none" w:sz="0" w:space="0" w:color="auto"/>
                            <w:bottom w:val="single" w:sz="6" w:space="14" w:color="E6E6E6"/>
                            <w:right w:val="none" w:sz="0" w:space="0" w:color="auto"/>
                          </w:divBdr>
                          <w:divsChild>
                            <w:div w:id="515729206">
                              <w:marLeft w:val="0"/>
                              <w:marRight w:val="0"/>
                              <w:marTop w:val="60"/>
                              <w:marBottom w:val="0"/>
                              <w:divBdr>
                                <w:top w:val="none" w:sz="0" w:space="0" w:color="auto"/>
                                <w:left w:val="none" w:sz="0" w:space="0" w:color="auto"/>
                                <w:bottom w:val="none" w:sz="0" w:space="0" w:color="auto"/>
                                <w:right w:val="none" w:sz="0" w:space="0" w:color="auto"/>
                              </w:divBdr>
                            </w:div>
                            <w:div w:id="8795127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69281721">
                      <w:marLeft w:val="0"/>
                      <w:marRight w:val="360"/>
                      <w:marTop w:val="0"/>
                      <w:marBottom w:val="360"/>
                      <w:divBdr>
                        <w:top w:val="none" w:sz="0" w:space="0" w:color="auto"/>
                        <w:left w:val="none" w:sz="0" w:space="0" w:color="auto"/>
                        <w:bottom w:val="single" w:sz="6" w:space="12" w:color="E6E6E6"/>
                        <w:right w:val="none" w:sz="0" w:space="0" w:color="auto"/>
                      </w:divBdr>
                      <w:divsChild>
                        <w:div w:id="1749842806">
                          <w:marLeft w:val="0"/>
                          <w:marRight w:val="0"/>
                          <w:marTop w:val="0"/>
                          <w:marBottom w:val="0"/>
                          <w:divBdr>
                            <w:top w:val="none" w:sz="0" w:space="0" w:color="auto"/>
                            <w:left w:val="none" w:sz="0" w:space="0" w:color="auto"/>
                            <w:bottom w:val="none" w:sz="0" w:space="0" w:color="auto"/>
                            <w:right w:val="none" w:sz="0" w:space="0" w:color="auto"/>
                          </w:divBdr>
                          <w:divsChild>
                            <w:div w:id="345907048">
                              <w:marLeft w:val="0"/>
                              <w:marRight w:val="0"/>
                              <w:marTop w:val="0"/>
                              <w:marBottom w:val="0"/>
                              <w:divBdr>
                                <w:top w:val="none" w:sz="0" w:space="0" w:color="auto"/>
                                <w:left w:val="none" w:sz="0" w:space="0" w:color="auto"/>
                                <w:bottom w:val="none" w:sz="0" w:space="0" w:color="auto"/>
                                <w:right w:val="none" w:sz="0" w:space="0" w:color="auto"/>
                              </w:divBdr>
                              <w:divsChild>
                                <w:div w:id="20543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43938">
              <w:marLeft w:val="0"/>
              <w:marRight w:val="0"/>
              <w:marTop w:val="0"/>
              <w:marBottom w:val="0"/>
              <w:divBdr>
                <w:top w:val="none" w:sz="0" w:space="0" w:color="auto"/>
                <w:left w:val="none" w:sz="0" w:space="0" w:color="auto"/>
                <w:bottom w:val="none" w:sz="0" w:space="0" w:color="auto"/>
                <w:right w:val="none" w:sz="0" w:space="0" w:color="auto"/>
              </w:divBdr>
              <w:divsChild>
                <w:div w:id="128280964">
                  <w:marLeft w:val="0"/>
                  <w:marRight w:val="0"/>
                  <w:marTop w:val="0"/>
                  <w:marBottom w:val="0"/>
                  <w:divBdr>
                    <w:top w:val="none" w:sz="0" w:space="0" w:color="auto"/>
                    <w:left w:val="none" w:sz="0" w:space="0" w:color="auto"/>
                    <w:bottom w:val="none" w:sz="0" w:space="0" w:color="auto"/>
                    <w:right w:val="none" w:sz="0" w:space="0" w:color="auto"/>
                  </w:divBdr>
                  <w:divsChild>
                    <w:div w:id="2133983406">
                      <w:marLeft w:val="0"/>
                      <w:marRight w:val="0"/>
                      <w:marTop w:val="0"/>
                      <w:marBottom w:val="0"/>
                      <w:divBdr>
                        <w:top w:val="none" w:sz="0" w:space="0" w:color="auto"/>
                        <w:left w:val="none" w:sz="0" w:space="0" w:color="auto"/>
                        <w:bottom w:val="none" w:sz="0" w:space="0" w:color="auto"/>
                        <w:right w:val="none" w:sz="0" w:space="0" w:color="auto"/>
                      </w:divBdr>
                      <w:divsChild>
                        <w:div w:id="852258156">
                          <w:marLeft w:val="0"/>
                          <w:marRight w:val="0"/>
                          <w:marTop w:val="0"/>
                          <w:marBottom w:val="0"/>
                          <w:divBdr>
                            <w:top w:val="none" w:sz="0" w:space="0" w:color="auto"/>
                            <w:left w:val="none" w:sz="0" w:space="0" w:color="auto"/>
                            <w:bottom w:val="none" w:sz="0" w:space="0" w:color="auto"/>
                            <w:right w:val="none" w:sz="0" w:space="0" w:color="auto"/>
                          </w:divBdr>
                          <w:divsChild>
                            <w:div w:id="1810129875">
                              <w:marLeft w:val="0"/>
                              <w:marRight w:val="0"/>
                              <w:marTop w:val="0"/>
                              <w:marBottom w:val="0"/>
                              <w:divBdr>
                                <w:top w:val="none" w:sz="0" w:space="0" w:color="auto"/>
                                <w:left w:val="none" w:sz="0" w:space="0" w:color="auto"/>
                                <w:bottom w:val="none" w:sz="0" w:space="0" w:color="auto"/>
                                <w:right w:val="none" w:sz="0" w:space="0" w:color="auto"/>
                              </w:divBdr>
                              <w:divsChild>
                                <w:div w:id="886644088">
                                  <w:marLeft w:val="0"/>
                                  <w:marRight w:val="0"/>
                                  <w:marTop w:val="0"/>
                                  <w:marBottom w:val="0"/>
                                  <w:divBdr>
                                    <w:top w:val="none" w:sz="0" w:space="0" w:color="auto"/>
                                    <w:left w:val="none" w:sz="0" w:space="0" w:color="auto"/>
                                    <w:bottom w:val="none" w:sz="0" w:space="0" w:color="auto"/>
                                    <w:right w:val="none" w:sz="0" w:space="0" w:color="auto"/>
                                  </w:divBdr>
                                </w:div>
                                <w:div w:id="1582521296">
                                  <w:marLeft w:val="0"/>
                                  <w:marRight w:val="0"/>
                                  <w:marTop w:val="0"/>
                                  <w:marBottom w:val="0"/>
                                  <w:divBdr>
                                    <w:top w:val="none" w:sz="0" w:space="0" w:color="auto"/>
                                    <w:left w:val="none" w:sz="0" w:space="0" w:color="auto"/>
                                    <w:bottom w:val="none" w:sz="0" w:space="0" w:color="auto"/>
                                    <w:right w:val="none" w:sz="0" w:space="0" w:color="auto"/>
                                  </w:divBdr>
                                  <w:divsChild>
                                    <w:div w:id="232857047">
                                      <w:marLeft w:val="0"/>
                                      <w:marRight w:val="0"/>
                                      <w:marTop w:val="0"/>
                                      <w:marBottom w:val="0"/>
                                      <w:divBdr>
                                        <w:top w:val="none" w:sz="0" w:space="0" w:color="auto"/>
                                        <w:left w:val="none" w:sz="0" w:space="0" w:color="auto"/>
                                        <w:bottom w:val="none" w:sz="0" w:space="0" w:color="auto"/>
                                        <w:right w:val="none" w:sz="0" w:space="0" w:color="auto"/>
                                      </w:divBdr>
                                      <w:divsChild>
                                        <w:div w:id="206307638">
                                          <w:marLeft w:val="0"/>
                                          <w:marRight w:val="0"/>
                                          <w:marTop w:val="0"/>
                                          <w:marBottom w:val="0"/>
                                          <w:divBdr>
                                            <w:top w:val="none" w:sz="0" w:space="0" w:color="auto"/>
                                            <w:left w:val="none" w:sz="0" w:space="0" w:color="auto"/>
                                            <w:bottom w:val="none" w:sz="0" w:space="0" w:color="auto"/>
                                            <w:right w:val="none" w:sz="0" w:space="0" w:color="auto"/>
                                          </w:divBdr>
                                          <w:divsChild>
                                            <w:div w:id="1772776212">
                                              <w:marLeft w:val="0"/>
                                              <w:marRight w:val="0"/>
                                              <w:marTop w:val="0"/>
                                              <w:marBottom w:val="180"/>
                                              <w:divBdr>
                                                <w:top w:val="none" w:sz="0" w:space="0" w:color="auto"/>
                                                <w:left w:val="none" w:sz="0" w:space="0" w:color="auto"/>
                                                <w:bottom w:val="single" w:sz="6" w:space="9" w:color="E6E6E6"/>
                                                <w:right w:val="none" w:sz="0" w:space="0" w:color="auto"/>
                                              </w:divBdr>
                                              <w:divsChild>
                                                <w:div w:id="1315718352">
                                                  <w:marLeft w:val="0"/>
                                                  <w:marRight w:val="0"/>
                                                  <w:marTop w:val="0"/>
                                                  <w:marBottom w:val="0"/>
                                                  <w:divBdr>
                                                    <w:top w:val="none" w:sz="0" w:space="0" w:color="auto"/>
                                                    <w:left w:val="none" w:sz="0" w:space="0" w:color="auto"/>
                                                    <w:bottom w:val="none" w:sz="0" w:space="0" w:color="auto"/>
                                                    <w:right w:val="none" w:sz="0" w:space="0" w:color="auto"/>
                                                  </w:divBdr>
                                                  <w:divsChild>
                                                    <w:div w:id="1313873487">
                                                      <w:marLeft w:val="0"/>
                                                      <w:marRight w:val="0"/>
                                                      <w:marTop w:val="0"/>
                                                      <w:marBottom w:val="0"/>
                                                      <w:divBdr>
                                                        <w:top w:val="none" w:sz="0" w:space="0" w:color="auto"/>
                                                        <w:left w:val="none" w:sz="0" w:space="0" w:color="auto"/>
                                                        <w:bottom w:val="none" w:sz="0" w:space="0" w:color="auto"/>
                                                        <w:right w:val="none" w:sz="0" w:space="0" w:color="auto"/>
                                                      </w:divBdr>
                                                      <w:divsChild>
                                                        <w:div w:id="203904138">
                                                          <w:marLeft w:val="0"/>
                                                          <w:marRight w:val="0"/>
                                                          <w:marTop w:val="0"/>
                                                          <w:marBottom w:val="0"/>
                                                          <w:divBdr>
                                                            <w:top w:val="none" w:sz="0" w:space="0" w:color="auto"/>
                                                            <w:left w:val="none" w:sz="0" w:space="0" w:color="auto"/>
                                                            <w:bottom w:val="none" w:sz="0" w:space="0" w:color="auto"/>
                                                            <w:right w:val="none" w:sz="0" w:space="0" w:color="auto"/>
                                                          </w:divBdr>
                                                          <w:divsChild>
                                                            <w:div w:id="3908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1646">
                                                  <w:marLeft w:val="0"/>
                                                  <w:marRight w:val="0"/>
                                                  <w:marTop w:val="0"/>
                                                  <w:marBottom w:val="0"/>
                                                  <w:divBdr>
                                                    <w:top w:val="none" w:sz="0" w:space="0" w:color="auto"/>
                                                    <w:left w:val="none" w:sz="0" w:space="0" w:color="auto"/>
                                                    <w:bottom w:val="none" w:sz="0" w:space="0" w:color="auto"/>
                                                    <w:right w:val="none" w:sz="0" w:space="0" w:color="auto"/>
                                                  </w:divBdr>
                                                  <w:divsChild>
                                                    <w:div w:id="214900270">
                                                      <w:marLeft w:val="0"/>
                                                      <w:marRight w:val="0"/>
                                                      <w:marTop w:val="0"/>
                                                      <w:marBottom w:val="0"/>
                                                      <w:divBdr>
                                                        <w:top w:val="none" w:sz="0" w:space="0" w:color="auto"/>
                                                        <w:left w:val="none" w:sz="0" w:space="0" w:color="auto"/>
                                                        <w:bottom w:val="none" w:sz="0" w:space="0" w:color="auto"/>
                                                        <w:right w:val="none" w:sz="0" w:space="0" w:color="auto"/>
                                                      </w:divBdr>
                                                    </w:div>
                                                    <w:div w:id="8685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1879">
                                              <w:marLeft w:val="0"/>
                                              <w:marRight w:val="0"/>
                                              <w:marTop w:val="0"/>
                                              <w:marBottom w:val="180"/>
                                              <w:divBdr>
                                                <w:top w:val="none" w:sz="0" w:space="0" w:color="auto"/>
                                                <w:left w:val="none" w:sz="0" w:space="0" w:color="auto"/>
                                                <w:bottom w:val="single" w:sz="6" w:space="9" w:color="E6E6E6"/>
                                                <w:right w:val="none" w:sz="0" w:space="0" w:color="auto"/>
                                              </w:divBdr>
                                              <w:divsChild>
                                                <w:div w:id="1486432383">
                                                  <w:marLeft w:val="0"/>
                                                  <w:marRight w:val="0"/>
                                                  <w:marTop w:val="0"/>
                                                  <w:marBottom w:val="0"/>
                                                  <w:divBdr>
                                                    <w:top w:val="none" w:sz="0" w:space="0" w:color="auto"/>
                                                    <w:left w:val="none" w:sz="0" w:space="0" w:color="auto"/>
                                                    <w:bottom w:val="none" w:sz="0" w:space="0" w:color="auto"/>
                                                    <w:right w:val="none" w:sz="0" w:space="0" w:color="auto"/>
                                                  </w:divBdr>
                                                  <w:divsChild>
                                                    <w:div w:id="1792361412">
                                                      <w:marLeft w:val="0"/>
                                                      <w:marRight w:val="0"/>
                                                      <w:marTop w:val="0"/>
                                                      <w:marBottom w:val="0"/>
                                                      <w:divBdr>
                                                        <w:top w:val="none" w:sz="0" w:space="0" w:color="auto"/>
                                                        <w:left w:val="none" w:sz="0" w:space="0" w:color="auto"/>
                                                        <w:bottom w:val="none" w:sz="0" w:space="0" w:color="auto"/>
                                                        <w:right w:val="none" w:sz="0" w:space="0" w:color="auto"/>
                                                      </w:divBdr>
                                                      <w:divsChild>
                                                        <w:div w:id="2026247065">
                                                          <w:marLeft w:val="0"/>
                                                          <w:marRight w:val="0"/>
                                                          <w:marTop w:val="0"/>
                                                          <w:marBottom w:val="0"/>
                                                          <w:divBdr>
                                                            <w:top w:val="none" w:sz="0" w:space="0" w:color="auto"/>
                                                            <w:left w:val="none" w:sz="0" w:space="0" w:color="auto"/>
                                                            <w:bottom w:val="none" w:sz="0" w:space="0" w:color="auto"/>
                                                            <w:right w:val="none" w:sz="0" w:space="0" w:color="auto"/>
                                                          </w:divBdr>
                                                          <w:divsChild>
                                                            <w:div w:id="20494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83392">
                                                  <w:marLeft w:val="0"/>
                                                  <w:marRight w:val="0"/>
                                                  <w:marTop w:val="0"/>
                                                  <w:marBottom w:val="0"/>
                                                  <w:divBdr>
                                                    <w:top w:val="none" w:sz="0" w:space="0" w:color="auto"/>
                                                    <w:left w:val="none" w:sz="0" w:space="0" w:color="auto"/>
                                                    <w:bottom w:val="none" w:sz="0" w:space="0" w:color="auto"/>
                                                    <w:right w:val="none" w:sz="0" w:space="0" w:color="auto"/>
                                                  </w:divBdr>
                                                  <w:divsChild>
                                                    <w:div w:id="143163333">
                                                      <w:marLeft w:val="0"/>
                                                      <w:marRight w:val="0"/>
                                                      <w:marTop w:val="0"/>
                                                      <w:marBottom w:val="0"/>
                                                      <w:divBdr>
                                                        <w:top w:val="none" w:sz="0" w:space="0" w:color="auto"/>
                                                        <w:left w:val="none" w:sz="0" w:space="0" w:color="auto"/>
                                                        <w:bottom w:val="none" w:sz="0" w:space="0" w:color="auto"/>
                                                        <w:right w:val="none" w:sz="0" w:space="0" w:color="auto"/>
                                                      </w:divBdr>
                                                    </w:div>
                                                    <w:div w:id="13582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11189">
                                              <w:marLeft w:val="0"/>
                                              <w:marRight w:val="0"/>
                                              <w:marTop w:val="0"/>
                                              <w:marBottom w:val="180"/>
                                              <w:divBdr>
                                                <w:top w:val="none" w:sz="0" w:space="0" w:color="auto"/>
                                                <w:left w:val="none" w:sz="0" w:space="0" w:color="auto"/>
                                                <w:bottom w:val="single" w:sz="6" w:space="9" w:color="E6E6E6"/>
                                                <w:right w:val="none" w:sz="0" w:space="0" w:color="auto"/>
                                              </w:divBdr>
                                              <w:divsChild>
                                                <w:div w:id="1392771573">
                                                  <w:marLeft w:val="0"/>
                                                  <w:marRight w:val="0"/>
                                                  <w:marTop w:val="0"/>
                                                  <w:marBottom w:val="0"/>
                                                  <w:divBdr>
                                                    <w:top w:val="none" w:sz="0" w:space="0" w:color="auto"/>
                                                    <w:left w:val="none" w:sz="0" w:space="0" w:color="auto"/>
                                                    <w:bottom w:val="none" w:sz="0" w:space="0" w:color="auto"/>
                                                    <w:right w:val="none" w:sz="0" w:space="0" w:color="auto"/>
                                                  </w:divBdr>
                                                  <w:divsChild>
                                                    <w:div w:id="89131414">
                                                      <w:marLeft w:val="0"/>
                                                      <w:marRight w:val="0"/>
                                                      <w:marTop w:val="0"/>
                                                      <w:marBottom w:val="0"/>
                                                      <w:divBdr>
                                                        <w:top w:val="none" w:sz="0" w:space="0" w:color="auto"/>
                                                        <w:left w:val="none" w:sz="0" w:space="0" w:color="auto"/>
                                                        <w:bottom w:val="none" w:sz="0" w:space="0" w:color="auto"/>
                                                        <w:right w:val="none" w:sz="0" w:space="0" w:color="auto"/>
                                                      </w:divBdr>
                                                      <w:divsChild>
                                                        <w:div w:id="940995268">
                                                          <w:marLeft w:val="0"/>
                                                          <w:marRight w:val="0"/>
                                                          <w:marTop w:val="0"/>
                                                          <w:marBottom w:val="0"/>
                                                          <w:divBdr>
                                                            <w:top w:val="none" w:sz="0" w:space="0" w:color="auto"/>
                                                            <w:left w:val="none" w:sz="0" w:space="0" w:color="auto"/>
                                                            <w:bottom w:val="none" w:sz="0" w:space="0" w:color="auto"/>
                                                            <w:right w:val="none" w:sz="0" w:space="0" w:color="auto"/>
                                                          </w:divBdr>
                                                          <w:divsChild>
                                                            <w:div w:id="14606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40258">
                                                  <w:marLeft w:val="0"/>
                                                  <w:marRight w:val="0"/>
                                                  <w:marTop w:val="0"/>
                                                  <w:marBottom w:val="0"/>
                                                  <w:divBdr>
                                                    <w:top w:val="none" w:sz="0" w:space="0" w:color="auto"/>
                                                    <w:left w:val="none" w:sz="0" w:space="0" w:color="auto"/>
                                                    <w:bottom w:val="none" w:sz="0" w:space="0" w:color="auto"/>
                                                    <w:right w:val="none" w:sz="0" w:space="0" w:color="auto"/>
                                                  </w:divBdr>
                                                  <w:divsChild>
                                                    <w:div w:id="1294336010">
                                                      <w:marLeft w:val="0"/>
                                                      <w:marRight w:val="0"/>
                                                      <w:marTop w:val="0"/>
                                                      <w:marBottom w:val="0"/>
                                                      <w:divBdr>
                                                        <w:top w:val="none" w:sz="0" w:space="0" w:color="auto"/>
                                                        <w:left w:val="none" w:sz="0" w:space="0" w:color="auto"/>
                                                        <w:bottom w:val="none" w:sz="0" w:space="0" w:color="auto"/>
                                                        <w:right w:val="none" w:sz="0" w:space="0" w:color="auto"/>
                                                      </w:divBdr>
                                                    </w:div>
                                                    <w:div w:id="9160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7737">
                                              <w:marLeft w:val="0"/>
                                              <w:marRight w:val="0"/>
                                              <w:marTop w:val="0"/>
                                              <w:marBottom w:val="180"/>
                                              <w:divBdr>
                                                <w:top w:val="none" w:sz="0" w:space="0" w:color="auto"/>
                                                <w:left w:val="none" w:sz="0" w:space="0" w:color="auto"/>
                                                <w:bottom w:val="single" w:sz="6" w:space="9" w:color="E6E6E6"/>
                                                <w:right w:val="none" w:sz="0" w:space="0" w:color="auto"/>
                                              </w:divBdr>
                                              <w:divsChild>
                                                <w:div w:id="757017999">
                                                  <w:marLeft w:val="0"/>
                                                  <w:marRight w:val="0"/>
                                                  <w:marTop w:val="0"/>
                                                  <w:marBottom w:val="0"/>
                                                  <w:divBdr>
                                                    <w:top w:val="none" w:sz="0" w:space="0" w:color="auto"/>
                                                    <w:left w:val="none" w:sz="0" w:space="0" w:color="auto"/>
                                                    <w:bottom w:val="none" w:sz="0" w:space="0" w:color="auto"/>
                                                    <w:right w:val="none" w:sz="0" w:space="0" w:color="auto"/>
                                                  </w:divBdr>
                                                  <w:divsChild>
                                                    <w:div w:id="2558387">
                                                      <w:marLeft w:val="0"/>
                                                      <w:marRight w:val="0"/>
                                                      <w:marTop w:val="0"/>
                                                      <w:marBottom w:val="0"/>
                                                      <w:divBdr>
                                                        <w:top w:val="none" w:sz="0" w:space="0" w:color="auto"/>
                                                        <w:left w:val="none" w:sz="0" w:space="0" w:color="auto"/>
                                                        <w:bottom w:val="none" w:sz="0" w:space="0" w:color="auto"/>
                                                        <w:right w:val="none" w:sz="0" w:space="0" w:color="auto"/>
                                                      </w:divBdr>
                                                      <w:divsChild>
                                                        <w:div w:id="1773627833">
                                                          <w:marLeft w:val="0"/>
                                                          <w:marRight w:val="0"/>
                                                          <w:marTop w:val="0"/>
                                                          <w:marBottom w:val="0"/>
                                                          <w:divBdr>
                                                            <w:top w:val="none" w:sz="0" w:space="0" w:color="auto"/>
                                                            <w:left w:val="none" w:sz="0" w:space="0" w:color="auto"/>
                                                            <w:bottom w:val="none" w:sz="0" w:space="0" w:color="auto"/>
                                                            <w:right w:val="none" w:sz="0" w:space="0" w:color="auto"/>
                                                          </w:divBdr>
                                                          <w:divsChild>
                                                            <w:div w:id="8247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3246">
                                                  <w:marLeft w:val="0"/>
                                                  <w:marRight w:val="0"/>
                                                  <w:marTop w:val="0"/>
                                                  <w:marBottom w:val="0"/>
                                                  <w:divBdr>
                                                    <w:top w:val="none" w:sz="0" w:space="0" w:color="auto"/>
                                                    <w:left w:val="none" w:sz="0" w:space="0" w:color="auto"/>
                                                    <w:bottom w:val="none" w:sz="0" w:space="0" w:color="auto"/>
                                                    <w:right w:val="none" w:sz="0" w:space="0" w:color="auto"/>
                                                  </w:divBdr>
                                                  <w:divsChild>
                                                    <w:div w:id="241333622">
                                                      <w:marLeft w:val="0"/>
                                                      <w:marRight w:val="0"/>
                                                      <w:marTop w:val="0"/>
                                                      <w:marBottom w:val="0"/>
                                                      <w:divBdr>
                                                        <w:top w:val="none" w:sz="0" w:space="0" w:color="auto"/>
                                                        <w:left w:val="none" w:sz="0" w:space="0" w:color="auto"/>
                                                        <w:bottom w:val="none" w:sz="0" w:space="0" w:color="auto"/>
                                                        <w:right w:val="none" w:sz="0" w:space="0" w:color="auto"/>
                                                      </w:divBdr>
                                                    </w:div>
                                                    <w:div w:id="4851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4304">
                                              <w:marLeft w:val="0"/>
                                              <w:marRight w:val="0"/>
                                              <w:marTop w:val="240"/>
                                              <w:marBottom w:val="0"/>
                                              <w:divBdr>
                                                <w:top w:val="none" w:sz="0" w:space="0" w:color="auto"/>
                                                <w:left w:val="none" w:sz="0" w:space="0" w:color="auto"/>
                                                <w:bottom w:val="none" w:sz="0" w:space="0" w:color="auto"/>
                                                <w:right w:val="none" w:sz="0" w:space="0" w:color="auto"/>
                                              </w:divBdr>
                                              <w:divsChild>
                                                <w:div w:id="1009065634">
                                                  <w:marLeft w:val="0"/>
                                                  <w:marRight w:val="0"/>
                                                  <w:marTop w:val="0"/>
                                                  <w:marBottom w:val="0"/>
                                                  <w:divBdr>
                                                    <w:top w:val="none" w:sz="0" w:space="0" w:color="auto"/>
                                                    <w:left w:val="none" w:sz="0" w:space="0" w:color="auto"/>
                                                    <w:bottom w:val="none" w:sz="0" w:space="0" w:color="auto"/>
                                                    <w:right w:val="none" w:sz="0" w:space="0" w:color="auto"/>
                                                  </w:divBdr>
                                                  <w:divsChild>
                                                    <w:div w:id="1035888639">
                                                      <w:marLeft w:val="0"/>
                                                      <w:marRight w:val="0"/>
                                                      <w:marTop w:val="0"/>
                                                      <w:marBottom w:val="0"/>
                                                      <w:divBdr>
                                                        <w:top w:val="none" w:sz="0" w:space="0" w:color="auto"/>
                                                        <w:left w:val="none" w:sz="0" w:space="0" w:color="auto"/>
                                                        <w:bottom w:val="none" w:sz="0" w:space="0" w:color="auto"/>
                                                        <w:right w:val="none" w:sz="0" w:space="0" w:color="auto"/>
                                                      </w:divBdr>
                                                      <w:divsChild>
                                                        <w:div w:id="1983150240">
                                                          <w:marLeft w:val="0"/>
                                                          <w:marRight w:val="0"/>
                                                          <w:marTop w:val="0"/>
                                                          <w:marBottom w:val="0"/>
                                                          <w:divBdr>
                                                            <w:top w:val="none" w:sz="0" w:space="0" w:color="auto"/>
                                                            <w:left w:val="none" w:sz="0" w:space="0" w:color="auto"/>
                                                            <w:bottom w:val="none" w:sz="0" w:space="0" w:color="auto"/>
                                                            <w:right w:val="none" w:sz="0" w:space="0" w:color="auto"/>
                                                          </w:divBdr>
                                                          <w:divsChild>
                                                            <w:div w:id="1827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7189">
                                                  <w:marLeft w:val="0"/>
                                                  <w:marRight w:val="0"/>
                                                  <w:marTop w:val="0"/>
                                                  <w:marBottom w:val="0"/>
                                                  <w:divBdr>
                                                    <w:top w:val="none" w:sz="0" w:space="0" w:color="auto"/>
                                                    <w:left w:val="none" w:sz="0" w:space="0" w:color="auto"/>
                                                    <w:bottom w:val="none" w:sz="0" w:space="0" w:color="auto"/>
                                                    <w:right w:val="none" w:sz="0" w:space="0" w:color="auto"/>
                                                  </w:divBdr>
                                                  <w:divsChild>
                                                    <w:div w:id="83190596">
                                                      <w:marLeft w:val="0"/>
                                                      <w:marRight w:val="0"/>
                                                      <w:marTop w:val="0"/>
                                                      <w:marBottom w:val="0"/>
                                                      <w:divBdr>
                                                        <w:top w:val="none" w:sz="0" w:space="0" w:color="auto"/>
                                                        <w:left w:val="none" w:sz="0" w:space="0" w:color="auto"/>
                                                        <w:bottom w:val="none" w:sz="0" w:space="0" w:color="auto"/>
                                                        <w:right w:val="none" w:sz="0" w:space="0" w:color="auto"/>
                                                      </w:divBdr>
                                                    </w:div>
                                                    <w:div w:id="12463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053206">
                      <w:marLeft w:val="0"/>
                      <w:marRight w:val="0"/>
                      <w:marTop w:val="0"/>
                      <w:marBottom w:val="0"/>
                      <w:divBdr>
                        <w:top w:val="none" w:sz="0" w:space="0" w:color="auto"/>
                        <w:left w:val="none" w:sz="0" w:space="0" w:color="auto"/>
                        <w:bottom w:val="none" w:sz="0" w:space="0" w:color="auto"/>
                        <w:right w:val="none" w:sz="0" w:space="0" w:color="auto"/>
                      </w:divBdr>
                      <w:divsChild>
                        <w:div w:id="127362802">
                          <w:marLeft w:val="0"/>
                          <w:marRight w:val="0"/>
                          <w:marTop w:val="0"/>
                          <w:marBottom w:val="0"/>
                          <w:divBdr>
                            <w:top w:val="none" w:sz="0" w:space="0" w:color="auto"/>
                            <w:left w:val="none" w:sz="0" w:space="0" w:color="auto"/>
                            <w:bottom w:val="none" w:sz="0" w:space="0" w:color="auto"/>
                            <w:right w:val="none" w:sz="0" w:space="0" w:color="auto"/>
                          </w:divBdr>
                          <w:divsChild>
                            <w:div w:id="1883399859">
                              <w:marLeft w:val="0"/>
                              <w:marRight w:val="0"/>
                              <w:marTop w:val="0"/>
                              <w:marBottom w:val="0"/>
                              <w:divBdr>
                                <w:top w:val="none" w:sz="0" w:space="0" w:color="auto"/>
                                <w:left w:val="none" w:sz="0" w:space="0" w:color="auto"/>
                                <w:bottom w:val="none" w:sz="0" w:space="0" w:color="auto"/>
                                <w:right w:val="none" w:sz="0" w:space="0" w:color="auto"/>
                              </w:divBdr>
                              <w:divsChild>
                                <w:div w:id="323319832">
                                  <w:marLeft w:val="0"/>
                                  <w:marRight w:val="0"/>
                                  <w:marTop w:val="0"/>
                                  <w:marBottom w:val="0"/>
                                  <w:divBdr>
                                    <w:top w:val="none" w:sz="0" w:space="0" w:color="auto"/>
                                    <w:left w:val="none" w:sz="0" w:space="0" w:color="auto"/>
                                    <w:bottom w:val="none" w:sz="0" w:space="0" w:color="auto"/>
                                    <w:right w:val="none" w:sz="0" w:space="0" w:color="auto"/>
                                  </w:divBdr>
                                </w:div>
                                <w:div w:id="1592399032">
                                  <w:marLeft w:val="0"/>
                                  <w:marRight w:val="0"/>
                                  <w:marTop w:val="0"/>
                                  <w:marBottom w:val="0"/>
                                  <w:divBdr>
                                    <w:top w:val="none" w:sz="0" w:space="0" w:color="auto"/>
                                    <w:left w:val="none" w:sz="0" w:space="0" w:color="auto"/>
                                    <w:bottom w:val="none" w:sz="0" w:space="0" w:color="auto"/>
                                    <w:right w:val="none" w:sz="0" w:space="0" w:color="auto"/>
                                  </w:divBdr>
                                  <w:divsChild>
                                    <w:div w:id="142553070">
                                      <w:marLeft w:val="0"/>
                                      <w:marRight w:val="0"/>
                                      <w:marTop w:val="0"/>
                                      <w:marBottom w:val="0"/>
                                      <w:divBdr>
                                        <w:top w:val="none" w:sz="0" w:space="0" w:color="auto"/>
                                        <w:left w:val="none" w:sz="0" w:space="0" w:color="auto"/>
                                        <w:bottom w:val="none" w:sz="0" w:space="0" w:color="auto"/>
                                        <w:right w:val="none" w:sz="0" w:space="0" w:color="auto"/>
                                      </w:divBdr>
                                      <w:divsChild>
                                        <w:div w:id="2070110855">
                                          <w:marLeft w:val="0"/>
                                          <w:marRight w:val="0"/>
                                          <w:marTop w:val="0"/>
                                          <w:marBottom w:val="0"/>
                                          <w:divBdr>
                                            <w:top w:val="none" w:sz="0" w:space="0" w:color="auto"/>
                                            <w:left w:val="none" w:sz="0" w:space="0" w:color="auto"/>
                                            <w:bottom w:val="none" w:sz="0" w:space="0" w:color="auto"/>
                                            <w:right w:val="none" w:sz="0" w:space="0" w:color="auto"/>
                                          </w:divBdr>
                                          <w:divsChild>
                                            <w:div w:id="715661902">
                                              <w:marLeft w:val="0"/>
                                              <w:marRight w:val="600"/>
                                              <w:marTop w:val="0"/>
                                              <w:marBottom w:val="0"/>
                                              <w:divBdr>
                                                <w:top w:val="none" w:sz="0" w:space="0" w:color="auto"/>
                                                <w:left w:val="none" w:sz="0" w:space="0" w:color="auto"/>
                                                <w:bottom w:val="none" w:sz="0" w:space="0" w:color="auto"/>
                                                <w:right w:val="none" w:sz="0" w:space="0" w:color="auto"/>
                                              </w:divBdr>
                                              <w:divsChild>
                                                <w:div w:id="449982253">
                                                  <w:marLeft w:val="0"/>
                                                  <w:marRight w:val="0"/>
                                                  <w:marTop w:val="0"/>
                                                  <w:marBottom w:val="180"/>
                                                  <w:divBdr>
                                                    <w:top w:val="none" w:sz="0" w:space="0" w:color="auto"/>
                                                    <w:left w:val="none" w:sz="0" w:space="0" w:color="auto"/>
                                                    <w:bottom w:val="single" w:sz="6" w:space="0" w:color="E6E6E6"/>
                                                    <w:right w:val="none" w:sz="0" w:space="0" w:color="auto"/>
                                                  </w:divBdr>
                                                  <w:divsChild>
                                                    <w:div w:id="1132670773">
                                                      <w:marLeft w:val="0"/>
                                                      <w:marRight w:val="0"/>
                                                      <w:marTop w:val="0"/>
                                                      <w:marBottom w:val="0"/>
                                                      <w:divBdr>
                                                        <w:top w:val="none" w:sz="0" w:space="0" w:color="auto"/>
                                                        <w:left w:val="none" w:sz="0" w:space="0" w:color="auto"/>
                                                        <w:bottom w:val="none" w:sz="0" w:space="0" w:color="auto"/>
                                                        <w:right w:val="none" w:sz="0" w:space="0" w:color="auto"/>
                                                      </w:divBdr>
                                                      <w:divsChild>
                                                        <w:div w:id="978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36619">
                                                  <w:marLeft w:val="0"/>
                                                  <w:marRight w:val="0"/>
                                                  <w:marTop w:val="0"/>
                                                  <w:marBottom w:val="180"/>
                                                  <w:divBdr>
                                                    <w:top w:val="none" w:sz="0" w:space="0" w:color="auto"/>
                                                    <w:left w:val="none" w:sz="0" w:space="0" w:color="auto"/>
                                                    <w:bottom w:val="single" w:sz="6" w:space="0" w:color="E6E6E6"/>
                                                    <w:right w:val="none" w:sz="0" w:space="0" w:color="auto"/>
                                                  </w:divBdr>
                                                  <w:divsChild>
                                                    <w:div w:id="1255482462">
                                                      <w:marLeft w:val="0"/>
                                                      <w:marRight w:val="0"/>
                                                      <w:marTop w:val="0"/>
                                                      <w:marBottom w:val="0"/>
                                                      <w:divBdr>
                                                        <w:top w:val="none" w:sz="0" w:space="0" w:color="auto"/>
                                                        <w:left w:val="none" w:sz="0" w:space="0" w:color="auto"/>
                                                        <w:bottom w:val="none" w:sz="0" w:space="0" w:color="auto"/>
                                                        <w:right w:val="none" w:sz="0" w:space="0" w:color="auto"/>
                                                      </w:divBdr>
                                                      <w:divsChild>
                                                        <w:div w:id="16857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91959">
                                                  <w:marLeft w:val="0"/>
                                                  <w:marRight w:val="0"/>
                                                  <w:marTop w:val="0"/>
                                                  <w:marBottom w:val="180"/>
                                                  <w:divBdr>
                                                    <w:top w:val="none" w:sz="0" w:space="0" w:color="auto"/>
                                                    <w:left w:val="none" w:sz="0" w:space="0" w:color="auto"/>
                                                    <w:bottom w:val="single" w:sz="6" w:space="0" w:color="E6E6E6"/>
                                                    <w:right w:val="none" w:sz="0" w:space="0" w:color="auto"/>
                                                  </w:divBdr>
                                                  <w:divsChild>
                                                    <w:div w:id="908462574">
                                                      <w:marLeft w:val="0"/>
                                                      <w:marRight w:val="0"/>
                                                      <w:marTop w:val="0"/>
                                                      <w:marBottom w:val="0"/>
                                                      <w:divBdr>
                                                        <w:top w:val="none" w:sz="0" w:space="0" w:color="auto"/>
                                                        <w:left w:val="none" w:sz="0" w:space="0" w:color="auto"/>
                                                        <w:bottom w:val="none" w:sz="0" w:space="0" w:color="auto"/>
                                                        <w:right w:val="none" w:sz="0" w:space="0" w:color="auto"/>
                                                      </w:divBdr>
                                                      <w:divsChild>
                                                        <w:div w:id="2086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68194">
                                                  <w:marLeft w:val="0"/>
                                                  <w:marRight w:val="0"/>
                                                  <w:marTop w:val="0"/>
                                                  <w:marBottom w:val="180"/>
                                                  <w:divBdr>
                                                    <w:top w:val="none" w:sz="0" w:space="0" w:color="auto"/>
                                                    <w:left w:val="none" w:sz="0" w:space="0" w:color="auto"/>
                                                    <w:bottom w:val="single" w:sz="6" w:space="0" w:color="E6E6E6"/>
                                                    <w:right w:val="none" w:sz="0" w:space="0" w:color="auto"/>
                                                  </w:divBdr>
                                                  <w:divsChild>
                                                    <w:div w:id="1887524929">
                                                      <w:marLeft w:val="0"/>
                                                      <w:marRight w:val="0"/>
                                                      <w:marTop w:val="0"/>
                                                      <w:marBottom w:val="0"/>
                                                      <w:divBdr>
                                                        <w:top w:val="none" w:sz="0" w:space="0" w:color="auto"/>
                                                        <w:left w:val="none" w:sz="0" w:space="0" w:color="auto"/>
                                                        <w:bottom w:val="none" w:sz="0" w:space="0" w:color="auto"/>
                                                        <w:right w:val="none" w:sz="0" w:space="0" w:color="auto"/>
                                                      </w:divBdr>
                                                      <w:divsChild>
                                                        <w:div w:id="6939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8604">
                                                  <w:marLeft w:val="0"/>
                                                  <w:marRight w:val="0"/>
                                                  <w:marTop w:val="0"/>
                                                  <w:marBottom w:val="0"/>
                                                  <w:divBdr>
                                                    <w:top w:val="none" w:sz="0" w:space="0" w:color="auto"/>
                                                    <w:left w:val="none" w:sz="0" w:space="0" w:color="auto"/>
                                                    <w:bottom w:val="none" w:sz="0" w:space="0" w:color="auto"/>
                                                    <w:right w:val="none" w:sz="0" w:space="0" w:color="auto"/>
                                                  </w:divBdr>
                                                  <w:divsChild>
                                                    <w:div w:id="336075582">
                                                      <w:marLeft w:val="0"/>
                                                      <w:marRight w:val="0"/>
                                                      <w:marTop w:val="0"/>
                                                      <w:marBottom w:val="0"/>
                                                      <w:divBdr>
                                                        <w:top w:val="none" w:sz="0" w:space="0" w:color="auto"/>
                                                        <w:left w:val="none" w:sz="0" w:space="0" w:color="auto"/>
                                                        <w:bottom w:val="none" w:sz="0" w:space="0" w:color="auto"/>
                                                        <w:right w:val="none" w:sz="0" w:space="0" w:color="auto"/>
                                                      </w:divBdr>
                                                      <w:divsChild>
                                                        <w:div w:id="15598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7596">
                                              <w:marLeft w:val="0"/>
                                              <w:marRight w:val="0"/>
                                              <w:marTop w:val="0"/>
                                              <w:marBottom w:val="0"/>
                                              <w:divBdr>
                                                <w:top w:val="none" w:sz="0" w:space="0" w:color="auto"/>
                                                <w:left w:val="none" w:sz="0" w:space="0" w:color="auto"/>
                                                <w:bottom w:val="none" w:sz="0" w:space="0" w:color="auto"/>
                                                <w:right w:val="none" w:sz="0" w:space="0" w:color="auto"/>
                                              </w:divBdr>
                                              <w:divsChild>
                                                <w:div w:id="1793596163">
                                                  <w:marLeft w:val="0"/>
                                                  <w:marRight w:val="0"/>
                                                  <w:marTop w:val="0"/>
                                                  <w:marBottom w:val="180"/>
                                                  <w:divBdr>
                                                    <w:top w:val="none" w:sz="0" w:space="0" w:color="auto"/>
                                                    <w:left w:val="none" w:sz="0" w:space="0" w:color="auto"/>
                                                    <w:bottom w:val="single" w:sz="6" w:space="0" w:color="E6E6E6"/>
                                                    <w:right w:val="none" w:sz="0" w:space="0" w:color="auto"/>
                                                  </w:divBdr>
                                                  <w:divsChild>
                                                    <w:div w:id="1671516645">
                                                      <w:marLeft w:val="0"/>
                                                      <w:marRight w:val="0"/>
                                                      <w:marTop w:val="0"/>
                                                      <w:marBottom w:val="0"/>
                                                      <w:divBdr>
                                                        <w:top w:val="none" w:sz="0" w:space="0" w:color="auto"/>
                                                        <w:left w:val="none" w:sz="0" w:space="0" w:color="auto"/>
                                                        <w:bottom w:val="none" w:sz="0" w:space="0" w:color="auto"/>
                                                        <w:right w:val="none" w:sz="0" w:space="0" w:color="auto"/>
                                                      </w:divBdr>
                                                      <w:divsChild>
                                                        <w:div w:id="16565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11751">
                                                  <w:marLeft w:val="0"/>
                                                  <w:marRight w:val="0"/>
                                                  <w:marTop w:val="0"/>
                                                  <w:marBottom w:val="180"/>
                                                  <w:divBdr>
                                                    <w:top w:val="none" w:sz="0" w:space="0" w:color="auto"/>
                                                    <w:left w:val="none" w:sz="0" w:space="0" w:color="auto"/>
                                                    <w:bottom w:val="single" w:sz="6" w:space="0" w:color="E6E6E6"/>
                                                    <w:right w:val="none" w:sz="0" w:space="0" w:color="auto"/>
                                                  </w:divBdr>
                                                  <w:divsChild>
                                                    <w:div w:id="1483042751">
                                                      <w:marLeft w:val="0"/>
                                                      <w:marRight w:val="0"/>
                                                      <w:marTop w:val="0"/>
                                                      <w:marBottom w:val="0"/>
                                                      <w:divBdr>
                                                        <w:top w:val="none" w:sz="0" w:space="0" w:color="auto"/>
                                                        <w:left w:val="none" w:sz="0" w:space="0" w:color="auto"/>
                                                        <w:bottom w:val="none" w:sz="0" w:space="0" w:color="auto"/>
                                                        <w:right w:val="none" w:sz="0" w:space="0" w:color="auto"/>
                                                      </w:divBdr>
                                                      <w:divsChild>
                                                        <w:div w:id="12034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3055">
                                                  <w:marLeft w:val="0"/>
                                                  <w:marRight w:val="0"/>
                                                  <w:marTop w:val="0"/>
                                                  <w:marBottom w:val="180"/>
                                                  <w:divBdr>
                                                    <w:top w:val="none" w:sz="0" w:space="0" w:color="auto"/>
                                                    <w:left w:val="none" w:sz="0" w:space="0" w:color="auto"/>
                                                    <w:bottom w:val="single" w:sz="6" w:space="0" w:color="E6E6E6"/>
                                                    <w:right w:val="none" w:sz="0" w:space="0" w:color="auto"/>
                                                  </w:divBdr>
                                                  <w:divsChild>
                                                    <w:div w:id="1807239892">
                                                      <w:marLeft w:val="0"/>
                                                      <w:marRight w:val="0"/>
                                                      <w:marTop w:val="0"/>
                                                      <w:marBottom w:val="0"/>
                                                      <w:divBdr>
                                                        <w:top w:val="none" w:sz="0" w:space="0" w:color="auto"/>
                                                        <w:left w:val="none" w:sz="0" w:space="0" w:color="auto"/>
                                                        <w:bottom w:val="none" w:sz="0" w:space="0" w:color="auto"/>
                                                        <w:right w:val="none" w:sz="0" w:space="0" w:color="auto"/>
                                                      </w:divBdr>
                                                      <w:divsChild>
                                                        <w:div w:id="2251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5055">
                                                  <w:marLeft w:val="0"/>
                                                  <w:marRight w:val="0"/>
                                                  <w:marTop w:val="0"/>
                                                  <w:marBottom w:val="180"/>
                                                  <w:divBdr>
                                                    <w:top w:val="none" w:sz="0" w:space="0" w:color="auto"/>
                                                    <w:left w:val="none" w:sz="0" w:space="0" w:color="auto"/>
                                                    <w:bottom w:val="single" w:sz="6" w:space="0" w:color="E6E6E6"/>
                                                    <w:right w:val="none" w:sz="0" w:space="0" w:color="auto"/>
                                                  </w:divBdr>
                                                  <w:divsChild>
                                                    <w:div w:id="1593859296">
                                                      <w:marLeft w:val="0"/>
                                                      <w:marRight w:val="0"/>
                                                      <w:marTop w:val="0"/>
                                                      <w:marBottom w:val="0"/>
                                                      <w:divBdr>
                                                        <w:top w:val="none" w:sz="0" w:space="0" w:color="auto"/>
                                                        <w:left w:val="none" w:sz="0" w:space="0" w:color="auto"/>
                                                        <w:bottom w:val="none" w:sz="0" w:space="0" w:color="auto"/>
                                                        <w:right w:val="none" w:sz="0" w:space="0" w:color="auto"/>
                                                      </w:divBdr>
                                                      <w:divsChild>
                                                        <w:div w:id="13909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8414">
                                                  <w:marLeft w:val="0"/>
                                                  <w:marRight w:val="0"/>
                                                  <w:marTop w:val="0"/>
                                                  <w:marBottom w:val="0"/>
                                                  <w:divBdr>
                                                    <w:top w:val="none" w:sz="0" w:space="0" w:color="auto"/>
                                                    <w:left w:val="none" w:sz="0" w:space="0" w:color="auto"/>
                                                    <w:bottom w:val="none" w:sz="0" w:space="0" w:color="auto"/>
                                                    <w:right w:val="none" w:sz="0" w:space="0" w:color="auto"/>
                                                  </w:divBdr>
                                                  <w:divsChild>
                                                    <w:div w:id="1161581052">
                                                      <w:marLeft w:val="0"/>
                                                      <w:marRight w:val="0"/>
                                                      <w:marTop w:val="0"/>
                                                      <w:marBottom w:val="0"/>
                                                      <w:divBdr>
                                                        <w:top w:val="none" w:sz="0" w:space="0" w:color="auto"/>
                                                        <w:left w:val="none" w:sz="0" w:space="0" w:color="auto"/>
                                                        <w:bottom w:val="none" w:sz="0" w:space="0" w:color="auto"/>
                                                        <w:right w:val="none" w:sz="0" w:space="0" w:color="auto"/>
                                                      </w:divBdr>
                                                      <w:divsChild>
                                                        <w:div w:id="4678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580455">
              <w:marLeft w:val="0"/>
              <w:marRight w:val="0"/>
              <w:marTop w:val="0"/>
              <w:marBottom w:val="0"/>
              <w:divBdr>
                <w:top w:val="none" w:sz="0" w:space="0" w:color="auto"/>
                <w:left w:val="none" w:sz="0" w:space="0" w:color="auto"/>
                <w:bottom w:val="none" w:sz="0" w:space="0" w:color="auto"/>
                <w:right w:val="none" w:sz="0" w:space="0" w:color="auto"/>
              </w:divBdr>
              <w:divsChild>
                <w:div w:id="199049008">
                  <w:marLeft w:val="0"/>
                  <w:marRight w:val="0"/>
                  <w:marTop w:val="0"/>
                  <w:marBottom w:val="0"/>
                  <w:divBdr>
                    <w:top w:val="none" w:sz="0" w:space="0" w:color="auto"/>
                    <w:left w:val="none" w:sz="0" w:space="0" w:color="auto"/>
                    <w:bottom w:val="none" w:sz="0" w:space="0" w:color="auto"/>
                    <w:right w:val="none" w:sz="0" w:space="0" w:color="auto"/>
                  </w:divBdr>
                  <w:divsChild>
                    <w:div w:id="1116556907">
                      <w:marLeft w:val="0"/>
                      <w:marRight w:val="0"/>
                      <w:marTop w:val="0"/>
                      <w:marBottom w:val="600"/>
                      <w:divBdr>
                        <w:top w:val="none" w:sz="0" w:space="0" w:color="auto"/>
                        <w:left w:val="none" w:sz="0" w:space="0" w:color="auto"/>
                        <w:bottom w:val="none" w:sz="0" w:space="0" w:color="auto"/>
                        <w:right w:val="none" w:sz="0" w:space="0" w:color="auto"/>
                      </w:divBdr>
                      <w:divsChild>
                        <w:div w:id="392316961">
                          <w:marLeft w:val="0"/>
                          <w:marRight w:val="0"/>
                          <w:marTop w:val="0"/>
                          <w:marBottom w:val="0"/>
                          <w:divBdr>
                            <w:top w:val="none" w:sz="0" w:space="0" w:color="auto"/>
                            <w:left w:val="none" w:sz="0" w:space="0" w:color="auto"/>
                            <w:bottom w:val="none" w:sz="0" w:space="0" w:color="auto"/>
                            <w:right w:val="none" w:sz="0" w:space="0" w:color="auto"/>
                          </w:divBdr>
                        </w:div>
                        <w:div w:id="1729262228">
                          <w:marLeft w:val="0"/>
                          <w:marRight w:val="0"/>
                          <w:marTop w:val="0"/>
                          <w:marBottom w:val="0"/>
                          <w:divBdr>
                            <w:top w:val="none" w:sz="0" w:space="0" w:color="auto"/>
                            <w:left w:val="none" w:sz="0" w:space="0" w:color="auto"/>
                            <w:bottom w:val="none" w:sz="0" w:space="0" w:color="auto"/>
                            <w:right w:val="none" w:sz="0" w:space="0" w:color="auto"/>
                          </w:divBdr>
                          <w:divsChild>
                            <w:div w:id="1676758898">
                              <w:marLeft w:val="0"/>
                              <w:marRight w:val="0"/>
                              <w:marTop w:val="0"/>
                              <w:marBottom w:val="0"/>
                              <w:divBdr>
                                <w:top w:val="none" w:sz="0" w:space="0" w:color="auto"/>
                                <w:left w:val="none" w:sz="0" w:space="0" w:color="auto"/>
                                <w:bottom w:val="none" w:sz="0" w:space="0" w:color="auto"/>
                                <w:right w:val="none" w:sz="0" w:space="0" w:color="auto"/>
                              </w:divBdr>
                              <w:divsChild>
                                <w:div w:id="158470821">
                                  <w:marLeft w:val="0"/>
                                  <w:marRight w:val="0"/>
                                  <w:marTop w:val="0"/>
                                  <w:marBottom w:val="0"/>
                                  <w:divBdr>
                                    <w:top w:val="none" w:sz="0" w:space="0" w:color="auto"/>
                                    <w:left w:val="none" w:sz="0" w:space="0" w:color="auto"/>
                                    <w:bottom w:val="none" w:sz="0" w:space="0" w:color="auto"/>
                                    <w:right w:val="none" w:sz="0" w:space="0" w:color="auto"/>
                                  </w:divBdr>
                                  <w:divsChild>
                                    <w:div w:id="1482232410">
                                      <w:marLeft w:val="0"/>
                                      <w:marRight w:val="0"/>
                                      <w:marTop w:val="0"/>
                                      <w:marBottom w:val="180"/>
                                      <w:divBdr>
                                        <w:top w:val="none" w:sz="0" w:space="0" w:color="auto"/>
                                        <w:left w:val="none" w:sz="0" w:space="0" w:color="auto"/>
                                        <w:bottom w:val="single" w:sz="6" w:space="9" w:color="E6E6E6"/>
                                        <w:right w:val="none" w:sz="0" w:space="0" w:color="auto"/>
                                      </w:divBdr>
                                      <w:divsChild>
                                        <w:div w:id="1876656101">
                                          <w:marLeft w:val="0"/>
                                          <w:marRight w:val="0"/>
                                          <w:marTop w:val="0"/>
                                          <w:marBottom w:val="0"/>
                                          <w:divBdr>
                                            <w:top w:val="none" w:sz="0" w:space="0" w:color="auto"/>
                                            <w:left w:val="none" w:sz="0" w:space="0" w:color="auto"/>
                                            <w:bottom w:val="none" w:sz="0" w:space="0" w:color="auto"/>
                                            <w:right w:val="none" w:sz="0" w:space="0" w:color="auto"/>
                                          </w:divBdr>
                                          <w:divsChild>
                                            <w:div w:id="134032480">
                                              <w:marLeft w:val="0"/>
                                              <w:marRight w:val="0"/>
                                              <w:marTop w:val="0"/>
                                              <w:marBottom w:val="0"/>
                                              <w:divBdr>
                                                <w:top w:val="none" w:sz="0" w:space="0" w:color="auto"/>
                                                <w:left w:val="none" w:sz="0" w:space="0" w:color="auto"/>
                                                <w:bottom w:val="none" w:sz="0" w:space="0" w:color="auto"/>
                                                <w:right w:val="none" w:sz="0" w:space="0" w:color="auto"/>
                                              </w:divBdr>
                                              <w:divsChild>
                                                <w:div w:id="1334140578">
                                                  <w:marLeft w:val="0"/>
                                                  <w:marRight w:val="0"/>
                                                  <w:marTop w:val="0"/>
                                                  <w:marBottom w:val="0"/>
                                                  <w:divBdr>
                                                    <w:top w:val="none" w:sz="0" w:space="0" w:color="auto"/>
                                                    <w:left w:val="none" w:sz="0" w:space="0" w:color="auto"/>
                                                    <w:bottom w:val="none" w:sz="0" w:space="0" w:color="auto"/>
                                                    <w:right w:val="none" w:sz="0" w:space="0" w:color="auto"/>
                                                  </w:divBdr>
                                                  <w:divsChild>
                                                    <w:div w:id="73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5010">
                                          <w:marLeft w:val="180"/>
                                          <w:marRight w:val="0"/>
                                          <w:marTop w:val="0"/>
                                          <w:marBottom w:val="0"/>
                                          <w:divBdr>
                                            <w:top w:val="none" w:sz="0" w:space="0" w:color="auto"/>
                                            <w:left w:val="none" w:sz="0" w:space="0" w:color="auto"/>
                                            <w:bottom w:val="none" w:sz="0" w:space="0" w:color="auto"/>
                                            <w:right w:val="none" w:sz="0" w:space="0" w:color="auto"/>
                                          </w:divBdr>
                                          <w:divsChild>
                                            <w:div w:id="11309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29445">
                                      <w:marLeft w:val="0"/>
                                      <w:marRight w:val="0"/>
                                      <w:marTop w:val="0"/>
                                      <w:marBottom w:val="180"/>
                                      <w:divBdr>
                                        <w:top w:val="none" w:sz="0" w:space="0" w:color="auto"/>
                                        <w:left w:val="none" w:sz="0" w:space="0" w:color="auto"/>
                                        <w:bottom w:val="single" w:sz="6" w:space="9" w:color="E6E6E6"/>
                                        <w:right w:val="none" w:sz="0" w:space="0" w:color="auto"/>
                                      </w:divBdr>
                                      <w:divsChild>
                                        <w:div w:id="1819422676">
                                          <w:marLeft w:val="0"/>
                                          <w:marRight w:val="0"/>
                                          <w:marTop w:val="0"/>
                                          <w:marBottom w:val="0"/>
                                          <w:divBdr>
                                            <w:top w:val="none" w:sz="0" w:space="0" w:color="auto"/>
                                            <w:left w:val="none" w:sz="0" w:space="0" w:color="auto"/>
                                            <w:bottom w:val="none" w:sz="0" w:space="0" w:color="auto"/>
                                            <w:right w:val="none" w:sz="0" w:space="0" w:color="auto"/>
                                          </w:divBdr>
                                          <w:divsChild>
                                            <w:div w:id="397553710">
                                              <w:marLeft w:val="0"/>
                                              <w:marRight w:val="0"/>
                                              <w:marTop w:val="0"/>
                                              <w:marBottom w:val="0"/>
                                              <w:divBdr>
                                                <w:top w:val="none" w:sz="0" w:space="0" w:color="auto"/>
                                                <w:left w:val="none" w:sz="0" w:space="0" w:color="auto"/>
                                                <w:bottom w:val="none" w:sz="0" w:space="0" w:color="auto"/>
                                                <w:right w:val="none" w:sz="0" w:space="0" w:color="auto"/>
                                              </w:divBdr>
                                              <w:divsChild>
                                                <w:div w:id="954678560">
                                                  <w:marLeft w:val="0"/>
                                                  <w:marRight w:val="0"/>
                                                  <w:marTop w:val="0"/>
                                                  <w:marBottom w:val="0"/>
                                                  <w:divBdr>
                                                    <w:top w:val="none" w:sz="0" w:space="0" w:color="auto"/>
                                                    <w:left w:val="none" w:sz="0" w:space="0" w:color="auto"/>
                                                    <w:bottom w:val="none" w:sz="0" w:space="0" w:color="auto"/>
                                                    <w:right w:val="none" w:sz="0" w:space="0" w:color="auto"/>
                                                  </w:divBdr>
                                                  <w:divsChild>
                                                    <w:div w:id="6420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6096">
                                          <w:marLeft w:val="180"/>
                                          <w:marRight w:val="0"/>
                                          <w:marTop w:val="0"/>
                                          <w:marBottom w:val="0"/>
                                          <w:divBdr>
                                            <w:top w:val="none" w:sz="0" w:space="0" w:color="auto"/>
                                            <w:left w:val="none" w:sz="0" w:space="0" w:color="auto"/>
                                            <w:bottom w:val="none" w:sz="0" w:space="0" w:color="auto"/>
                                            <w:right w:val="none" w:sz="0" w:space="0" w:color="auto"/>
                                          </w:divBdr>
                                          <w:divsChild>
                                            <w:div w:id="336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3151">
                                      <w:marLeft w:val="0"/>
                                      <w:marRight w:val="0"/>
                                      <w:marTop w:val="240"/>
                                      <w:marBottom w:val="0"/>
                                      <w:divBdr>
                                        <w:top w:val="none" w:sz="0" w:space="0" w:color="auto"/>
                                        <w:left w:val="none" w:sz="0" w:space="0" w:color="auto"/>
                                        <w:bottom w:val="none" w:sz="0" w:space="0" w:color="auto"/>
                                        <w:right w:val="none" w:sz="0" w:space="0" w:color="auto"/>
                                      </w:divBdr>
                                      <w:divsChild>
                                        <w:div w:id="59639888">
                                          <w:marLeft w:val="0"/>
                                          <w:marRight w:val="0"/>
                                          <w:marTop w:val="0"/>
                                          <w:marBottom w:val="0"/>
                                          <w:divBdr>
                                            <w:top w:val="none" w:sz="0" w:space="0" w:color="auto"/>
                                            <w:left w:val="none" w:sz="0" w:space="0" w:color="auto"/>
                                            <w:bottom w:val="none" w:sz="0" w:space="0" w:color="auto"/>
                                            <w:right w:val="none" w:sz="0" w:space="0" w:color="auto"/>
                                          </w:divBdr>
                                          <w:divsChild>
                                            <w:div w:id="547767491">
                                              <w:marLeft w:val="0"/>
                                              <w:marRight w:val="0"/>
                                              <w:marTop w:val="0"/>
                                              <w:marBottom w:val="0"/>
                                              <w:divBdr>
                                                <w:top w:val="none" w:sz="0" w:space="0" w:color="auto"/>
                                                <w:left w:val="none" w:sz="0" w:space="0" w:color="auto"/>
                                                <w:bottom w:val="none" w:sz="0" w:space="0" w:color="auto"/>
                                                <w:right w:val="none" w:sz="0" w:space="0" w:color="auto"/>
                                              </w:divBdr>
                                              <w:divsChild>
                                                <w:div w:id="239944763">
                                                  <w:marLeft w:val="0"/>
                                                  <w:marRight w:val="0"/>
                                                  <w:marTop w:val="0"/>
                                                  <w:marBottom w:val="0"/>
                                                  <w:divBdr>
                                                    <w:top w:val="none" w:sz="0" w:space="0" w:color="auto"/>
                                                    <w:left w:val="none" w:sz="0" w:space="0" w:color="auto"/>
                                                    <w:bottom w:val="none" w:sz="0" w:space="0" w:color="auto"/>
                                                    <w:right w:val="none" w:sz="0" w:space="0" w:color="auto"/>
                                                  </w:divBdr>
                                                  <w:divsChild>
                                                    <w:div w:id="14277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22776">
                                          <w:marLeft w:val="180"/>
                                          <w:marRight w:val="0"/>
                                          <w:marTop w:val="0"/>
                                          <w:marBottom w:val="0"/>
                                          <w:divBdr>
                                            <w:top w:val="none" w:sz="0" w:space="0" w:color="auto"/>
                                            <w:left w:val="none" w:sz="0" w:space="0" w:color="auto"/>
                                            <w:bottom w:val="none" w:sz="0" w:space="0" w:color="auto"/>
                                            <w:right w:val="none" w:sz="0" w:space="0" w:color="auto"/>
                                          </w:divBdr>
                                          <w:divsChild>
                                            <w:div w:id="2038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928720">
                  <w:marLeft w:val="0"/>
                  <w:marRight w:val="0"/>
                  <w:marTop w:val="0"/>
                  <w:marBottom w:val="0"/>
                  <w:divBdr>
                    <w:top w:val="none" w:sz="0" w:space="0" w:color="auto"/>
                    <w:left w:val="none" w:sz="0" w:space="0" w:color="auto"/>
                    <w:bottom w:val="none" w:sz="0" w:space="0" w:color="auto"/>
                    <w:right w:val="none" w:sz="0" w:space="0" w:color="auto"/>
                  </w:divBdr>
                  <w:divsChild>
                    <w:div w:id="2135366797">
                      <w:marLeft w:val="0"/>
                      <w:marRight w:val="0"/>
                      <w:marTop w:val="0"/>
                      <w:marBottom w:val="600"/>
                      <w:divBdr>
                        <w:top w:val="none" w:sz="0" w:space="0" w:color="auto"/>
                        <w:left w:val="none" w:sz="0" w:space="0" w:color="auto"/>
                        <w:bottom w:val="none" w:sz="0" w:space="0" w:color="auto"/>
                        <w:right w:val="none" w:sz="0" w:space="0" w:color="auto"/>
                      </w:divBdr>
                      <w:divsChild>
                        <w:div w:id="914516486">
                          <w:marLeft w:val="0"/>
                          <w:marRight w:val="0"/>
                          <w:marTop w:val="0"/>
                          <w:marBottom w:val="0"/>
                          <w:divBdr>
                            <w:top w:val="none" w:sz="0" w:space="0" w:color="auto"/>
                            <w:left w:val="none" w:sz="0" w:space="0" w:color="auto"/>
                            <w:bottom w:val="none" w:sz="0" w:space="0" w:color="auto"/>
                            <w:right w:val="none" w:sz="0" w:space="0" w:color="auto"/>
                          </w:divBdr>
                        </w:div>
                        <w:div w:id="1037657889">
                          <w:marLeft w:val="0"/>
                          <w:marRight w:val="0"/>
                          <w:marTop w:val="0"/>
                          <w:marBottom w:val="0"/>
                          <w:divBdr>
                            <w:top w:val="none" w:sz="0" w:space="0" w:color="auto"/>
                            <w:left w:val="none" w:sz="0" w:space="0" w:color="auto"/>
                            <w:bottom w:val="none" w:sz="0" w:space="0" w:color="auto"/>
                            <w:right w:val="none" w:sz="0" w:space="0" w:color="auto"/>
                          </w:divBdr>
                          <w:divsChild>
                            <w:div w:id="2055811767">
                              <w:marLeft w:val="0"/>
                              <w:marRight w:val="0"/>
                              <w:marTop w:val="0"/>
                              <w:marBottom w:val="0"/>
                              <w:divBdr>
                                <w:top w:val="none" w:sz="0" w:space="0" w:color="auto"/>
                                <w:left w:val="none" w:sz="0" w:space="0" w:color="auto"/>
                                <w:bottom w:val="none" w:sz="0" w:space="0" w:color="auto"/>
                                <w:right w:val="none" w:sz="0" w:space="0" w:color="auto"/>
                              </w:divBdr>
                              <w:divsChild>
                                <w:div w:id="1878079488">
                                  <w:marLeft w:val="0"/>
                                  <w:marRight w:val="0"/>
                                  <w:marTop w:val="0"/>
                                  <w:marBottom w:val="0"/>
                                  <w:divBdr>
                                    <w:top w:val="none" w:sz="0" w:space="0" w:color="auto"/>
                                    <w:left w:val="none" w:sz="0" w:space="0" w:color="auto"/>
                                    <w:bottom w:val="none" w:sz="0" w:space="0" w:color="auto"/>
                                    <w:right w:val="none" w:sz="0" w:space="0" w:color="auto"/>
                                  </w:divBdr>
                                  <w:divsChild>
                                    <w:div w:id="1947880831">
                                      <w:marLeft w:val="0"/>
                                      <w:marRight w:val="0"/>
                                      <w:marTop w:val="0"/>
                                      <w:marBottom w:val="180"/>
                                      <w:divBdr>
                                        <w:top w:val="none" w:sz="0" w:space="0" w:color="auto"/>
                                        <w:left w:val="none" w:sz="0" w:space="0" w:color="auto"/>
                                        <w:bottom w:val="single" w:sz="6" w:space="9" w:color="E6E6E6"/>
                                        <w:right w:val="none" w:sz="0" w:space="0" w:color="auto"/>
                                      </w:divBdr>
                                      <w:divsChild>
                                        <w:div w:id="764032468">
                                          <w:marLeft w:val="0"/>
                                          <w:marRight w:val="0"/>
                                          <w:marTop w:val="0"/>
                                          <w:marBottom w:val="0"/>
                                          <w:divBdr>
                                            <w:top w:val="none" w:sz="0" w:space="0" w:color="auto"/>
                                            <w:left w:val="none" w:sz="0" w:space="0" w:color="auto"/>
                                            <w:bottom w:val="none" w:sz="0" w:space="0" w:color="auto"/>
                                            <w:right w:val="none" w:sz="0" w:space="0" w:color="auto"/>
                                          </w:divBdr>
                                          <w:divsChild>
                                            <w:div w:id="1208686181">
                                              <w:marLeft w:val="0"/>
                                              <w:marRight w:val="0"/>
                                              <w:marTop w:val="0"/>
                                              <w:marBottom w:val="0"/>
                                              <w:divBdr>
                                                <w:top w:val="none" w:sz="0" w:space="0" w:color="auto"/>
                                                <w:left w:val="none" w:sz="0" w:space="0" w:color="auto"/>
                                                <w:bottom w:val="none" w:sz="0" w:space="0" w:color="auto"/>
                                                <w:right w:val="none" w:sz="0" w:space="0" w:color="auto"/>
                                              </w:divBdr>
                                              <w:divsChild>
                                                <w:div w:id="1330905654">
                                                  <w:marLeft w:val="0"/>
                                                  <w:marRight w:val="0"/>
                                                  <w:marTop w:val="0"/>
                                                  <w:marBottom w:val="0"/>
                                                  <w:divBdr>
                                                    <w:top w:val="none" w:sz="0" w:space="0" w:color="auto"/>
                                                    <w:left w:val="none" w:sz="0" w:space="0" w:color="auto"/>
                                                    <w:bottom w:val="none" w:sz="0" w:space="0" w:color="auto"/>
                                                    <w:right w:val="none" w:sz="0" w:space="0" w:color="auto"/>
                                                  </w:divBdr>
                                                  <w:divsChild>
                                                    <w:div w:id="13176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33278">
                                          <w:marLeft w:val="180"/>
                                          <w:marRight w:val="0"/>
                                          <w:marTop w:val="0"/>
                                          <w:marBottom w:val="0"/>
                                          <w:divBdr>
                                            <w:top w:val="none" w:sz="0" w:space="0" w:color="auto"/>
                                            <w:left w:val="none" w:sz="0" w:space="0" w:color="auto"/>
                                            <w:bottom w:val="none" w:sz="0" w:space="0" w:color="auto"/>
                                            <w:right w:val="none" w:sz="0" w:space="0" w:color="auto"/>
                                          </w:divBdr>
                                          <w:divsChild>
                                            <w:div w:id="8342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1903">
                                      <w:marLeft w:val="0"/>
                                      <w:marRight w:val="0"/>
                                      <w:marTop w:val="0"/>
                                      <w:marBottom w:val="180"/>
                                      <w:divBdr>
                                        <w:top w:val="none" w:sz="0" w:space="0" w:color="auto"/>
                                        <w:left w:val="none" w:sz="0" w:space="0" w:color="auto"/>
                                        <w:bottom w:val="single" w:sz="6" w:space="9" w:color="E6E6E6"/>
                                        <w:right w:val="none" w:sz="0" w:space="0" w:color="auto"/>
                                      </w:divBdr>
                                      <w:divsChild>
                                        <w:div w:id="1311447221">
                                          <w:marLeft w:val="0"/>
                                          <w:marRight w:val="0"/>
                                          <w:marTop w:val="0"/>
                                          <w:marBottom w:val="0"/>
                                          <w:divBdr>
                                            <w:top w:val="none" w:sz="0" w:space="0" w:color="auto"/>
                                            <w:left w:val="none" w:sz="0" w:space="0" w:color="auto"/>
                                            <w:bottom w:val="none" w:sz="0" w:space="0" w:color="auto"/>
                                            <w:right w:val="none" w:sz="0" w:space="0" w:color="auto"/>
                                          </w:divBdr>
                                          <w:divsChild>
                                            <w:div w:id="1219128123">
                                              <w:marLeft w:val="0"/>
                                              <w:marRight w:val="0"/>
                                              <w:marTop w:val="0"/>
                                              <w:marBottom w:val="0"/>
                                              <w:divBdr>
                                                <w:top w:val="none" w:sz="0" w:space="0" w:color="auto"/>
                                                <w:left w:val="none" w:sz="0" w:space="0" w:color="auto"/>
                                                <w:bottom w:val="none" w:sz="0" w:space="0" w:color="auto"/>
                                                <w:right w:val="none" w:sz="0" w:space="0" w:color="auto"/>
                                              </w:divBdr>
                                              <w:divsChild>
                                                <w:div w:id="254676141">
                                                  <w:marLeft w:val="0"/>
                                                  <w:marRight w:val="0"/>
                                                  <w:marTop w:val="0"/>
                                                  <w:marBottom w:val="0"/>
                                                  <w:divBdr>
                                                    <w:top w:val="none" w:sz="0" w:space="0" w:color="auto"/>
                                                    <w:left w:val="none" w:sz="0" w:space="0" w:color="auto"/>
                                                    <w:bottom w:val="none" w:sz="0" w:space="0" w:color="auto"/>
                                                    <w:right w:val="none" w:sz="0" w:space="0" w:color="auto"/>
                                                  </w:divBdr>
                                                  <w:divsChild>
                                                    <w:div w:id="8097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20711">
                                          <w:marLeft w:val="180"/>
                                          <w:marRight w:val="0"/>
                                          <w:marTop w:val="0"/>
                                          <w:marBottom w:val="0"/>
                                          <w:divBdr>
                                            <w:top w:val="none" w:sz="0" w:space="0" w:color="auto"/>
                                            <w:left w:val="none" w:sz="0" w:space="0" w:color="auto"/>
                                            <w:bottom w:val="none" w:sz="0" w:space="0" w:color="auto"/>
                                            <w:right w:val="none" w:sz="0" w:space="0" w:color="auto"/>
                                          </w:divBdr>
                                          <w:divsChild>
                                            <w:div w:id="3067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84">
                                      <w:marLeft w:val="0"/>
                                      <w:marRight w:val="0"/>
                                      <w:marTop w:val="240"/>
                                      <w:marBottom w:val="0"/>
                                      <w:divBdr>
                                        <w:top w:val="none" w:sz="0" w:space="0" w:color="auto"/>
                                        <w:left w:val="none" w:sz="0" w:space="0" w:color="auto"/>
                                        <w:bottom w:val="none" w:sz="0" w:space="0" w:color="auto"/>
                                        <w:right w:val="none" w:sz="0" w:space="0" w:color="auto"/>
                                      </w:divBdr>
                                      <w:divsChild>
                                        <w:div w:id="2063627434">
                                          <w:marLeft w:val="0"/>
                                          <w:marRight w:val="0"/>
                                          <w:marTop w:val="0"/>
                                          <w:marBottom w:val="0"/>
                                          <w:divBdr>
                                            <w:top w:val="none" w:sz="0" w:space="0" w:color="auto"/>
                                            <w:left w:val="none" w:sz="0" w:space="0" w:color="auto"/>
                                            <w:bottom w:val="none" w:sz="0" w:space="0" w:color="auto"/>
                                            <w:right w:val="none" w:sz="0" w:space="0" w:color="auto"/>
                                          </w:divBdr>
                                          <w:divsChild>
                                            <w:div w:id="186793134">
                                              <w:marLeft w:val="0"/>
                                              <w:marRight w:val="0"/>
                                              <w:marTop w:val="0"/>
                                              <w:marBottom w:val="0"/>
                                              <w:divBdr>
                                                <w:top w:val="none" w:sz="0" w:space="0" w:color="auto"/>
                                                <w:left w:val="none" w:sz="0" w:space="0" w:color="auto"/>
                                                <w:bottom w:val="none" w:sz="0" w:space="0" w:color="auto"/>
                                                <w:right w:val="none" w:sz="0" w:space="0" w:color="auto"/>
                                              </w:divBdr>
                                              <w:divsChild>
                                                <w:div w:id="1952008961">
                                                  <w:marLeft w:val="0"/>
                                                  <w:marRight w:val="0"/>
                                                  <w:marTop w:val="0"/>
                                                  <w:marBottom w:val="0"/>
                                                  <w:divBdr>
                                                    <w:top w:val="none" w:sz="0" w:space="0" w:color="auto"/>
                                                    <w:left w:val="none" w:sz="0" w:space="0" w:color="auto"/>
                                                    <w:bottom w:val="none" w:sz="0" w:space="0" w:color="auto"/>
                                                    <w:right w:val="none" w:sz="0" w:space="0" w:color="auto"/>
                                                  </w:divBdr>
                                                  <w:divsChild>
                                                    <w:div w:id="9253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00127">
                                          <w:marLeft w:val="180"/>
                                          <w:marRight w:val="0"/>
                                          <w:marTop w:val="0"/>
                                          <w:marBottom w:val="0"/>
                                          <w:divBdr>
                                            <w:top w:val="none" w:sz="0" w:space="0" w:color="auto"/>
                                            <w:left w:val="none" w:sz="0" w:space="0" w:color="auto"/>
                                            <w:bottom w:val="none" w:sz="0" w:space="0" w:color="auto"/>
                                            <w:right w:val="none" w:sz="0" w:space="0" w:color="auto"/>
                                          </w:divBdr>
                                          <w:divsChild>
                                            <w:div w:id="15669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717592">
              <w:marLeft w:val="0"/>
              <w:marRight w:val="0"/>
              <w:marTop w:val="0"/>
              <w:marBottom w:val="0"/>
              <w:divBdr>
                <w:top w:val="none" w:sz="0" w:space="0" w:color="auto"/>
                <w:left w:val="none" w:sz="0" w:space="0" w:color="auto"/>
                <w:bottom w:val="none" w:sz="0" w:space="0" w:color="auto"/>
                <w:right w:val="none" w:sz="0" w:space="0" w:color="auto"/>
              </w:divBdr>
              <w:divsChild>
                <w:div w:id="999043518">
                  <w:marLeft w:val="0"/>
                  <w:marRight w:val="0"/>
                  <w:marTop w:val="0"/>
                  <w:marBottom w:val="0"/>
                  <w:divBdr>
                    <w:top w:val="none" w:sz="0" w:space="0" w:color="auto"/>
                    <w:left w:val="none" w:sz="0" w:space="0" w:color="auto"/>
                    <w:bottom w:val="none" w:sz="0" w:space="0" w:color="auto"/>
                    <w:right w:val="none" w:sz="0" w:space="0" w:color="auto"/>
                  </w:divBdr>
                  <w:divsChild>
                    <w:div w:id="1418012770">
                      <w:marLeft w:val="0"/>
                      <w:marRight w:val="0"/>
                      <w:marTop w:val="0"/>
                      <w:marBottom w:val="0"/>
                      <w:divBdr>
                        <w:top w:val="none" w:sz="0" w:space="0" w:color="auto"/>
                        <w:left w:val="none" w:sz="0" w:space="0" w:color="auto"/>
                        <w:bottom w:val="none" w:sz="0" w:space="0" w:color="auto"/>
                        <w:right w:val="none" w:sz="0" w:space="0" w:color="auto"/>
                      </w:divBdr>
                      <w:divsChild>
                        <w:div w:id="626929633">
                          <w:marLeft w:val="0"/>
                          <w:marRight w:val="0"/>
                          <w:marTop w:val="0"/>
                          <w:marBottom w:val="0"/>
                          <w:divBdr>
                            <w:top w:val="none" w:sz="0" w:space="0" w:color="auto"/>
                            <w:left w:val="none" w:sz="0" w:space="0" w:color="auto"/>
                            <w:bottom w:val="none" w:sz="0" w:space="0" w:color="auto"/>
                            <w:right w:val="none" w:sz="0" w:space="0" w:color="auto"/>
                          </w:divBdr>
                          <w:divsChild>
                            <w:div w:id="109669428">
                              <w:marLeft w:val="0"/>
                              <w:marRight w:val="0"/>
                              <w:marTop w:val="0"/>
                              <w:marBottom w:val="0"/>
                              <w:divBdr>
                                <w:top w:val="none" w:sz="0" w:space="0" w:color="auto"/>
                                <w:left w:val="none" w:sz="0" w:space="0" w:color="auto"/>
                                <w:bottom w:val="none" w:sz="0" w:space="0" w:color="auto"/>
                                <w:right w:val="none" w:sz="0" w:space="0" w:color="auto"/>
                              </w:divBdr>
                              <w:divsChild>
                                <w:div w:id="645934755">
                                  <w:marLeft w:val="0"/>
                                  <w:marRight w:val="0"/>
                                  <w:marTop w:val="0"/>
                                  <w:marBottom w:val="0"/>
                                  <w:divBdr>
                                    <w:top w:val="none" w:sz="0" w:space="0" w:color="auto"/>
                                    <w:left w:val="none" w:sz="0" w:space="0" w:color="auto"/>
                                    <w:bottom w:val="none" w:sz="0" w:space="0" w:color="auto"/>
                                    <w:right w:val="none" w:sz="0" w:space="0" w:color="auto"/>
                                  </w:divBdr>
                                </w:div>
                                <w:div w:id="1662083393">
                                  <w:marLeft w:val="0"/>
                                  <w:marRight w:val="0"/>
                                  <w:marTop w:val="0"/>
                                  <w:marBottom w:val="360"/>
                                  <w:divBdr>
                                    <w:top w:val="none" w:sz="0" w:space="0" w:color="auto"/>
                                    <w:left w:val="none" w:sz="0" w:space="0" w:color="auto"/>
                                    <w:bottom w:val="none" w:sz="0" w:space="0" w:color="auto"/>
                                    <w:right w:val="none" w:sz="0" w:space="0" w:color="auto"/>
                                  </w:divBdr>
                                </w:div>
                                <w:div w:id="1840002642">
                                  <w:marLeft w:val="0"/>
                                  <w:marRight w:val="0"/>
                                  <w:marTop w:val="480"/>
                                  <w:marBottom w:val="0"/>
                                  <w:divBdr>
                                    <w:top w:val="none" w:sz="0" w:space="0" w:color="auto"/>
                                    <w:left w:val="none" w:sz="0" w:space="0" w:color="auto"/>
                                    <w:bottom w:val="none" w:sz="0" w:space="0" w:color="auto"/>
                                    <w:right w:val="none" w:sz="0" w:space="0" w:color="auto"/>
                                  </w:divBdr>
                                  <w:divsChild>
                                    <w:div w:id="274288173">
                                      <w:marLeft w:val="0"/>
                                      <w:marRight w:val="0"/>
                                      <w:marTop w:val="0"/>
                                      <w:marBottom w:val="0"/>
                                      <w:divBdr>
                                        <w:top w:val="none" w:sz="0" w:space="0" w:color="auto"/>
                                        <w:left w:val="none" w:sz="0" w:space="0" w:color="auto"/>
                                        <w:bottom w:val="none" w:sz="0" w:space="0" w:color="auto"/>
                                        <w:right w:val="none" w:sz="0" w:space="0" w:color="auto"/>
                                      </w:divBdr>
                                      <w:divsChild>
                                        <w:div w:id="721757921">
                                          <w:marLeft w:val="0"/>
                                          <w:marRight w:val="0"/>
                                          <w:marTop w:val="0"/>
                                          <w:marBottom w:val="0"/>
                                          <w:divBdr>
                                            <w:top w:val="none" w:sz="0" w:space="0" w:color="auto"/>
                                            <w:left w:val="none" w:sz="0" w:space="0" w:color="auto"/>
                                            <w:bottom w:val="none" w:sz="0" w:space="0" w:color="auto"/>
                                            <w:right w:val="none" w:sz="0" w:space="0" w:color="auto"/>
                                          </w:divBdr>
                                        </w:div>
                                      </w:divsChild>
                                    </w:div>
                                    <w:div w:id="2084256875">
                                      <w:marLeft w:val="0"/>
                                      <w:marRight w:val="0"/>
                                      <w:marTop w:val="0"/>
                                      <w:marBottom w:val="0"/>
                                      <w:divBdr>
                                        <w:top w:val="none" w:sz="0" w:space="0" w:color="auto"/>
                                        <w:left w:val="none" w:sz="0" w:space="0" w:color="auto"/>
                                        <w:bottom w:val="none" w:sz="0" w:space="0" w:color="auto"/>
                                        <w:right w:val="none" w:sz="0" w:space="0" w:color="auto"/>
                                      </w:divBdr>
                                      <w:divsChild>
                                        <w:div w:id="1581209950">
                                          <w:marLeft w:val="360"/>
                                          <w:marRight w:val="0"/>
                                          <w:marTop w:val="0"/>
                                          <w:marBottom w:val="0"/>
                                          <w:divBdr>
                                            <w:top w:val="none" w:sz="0" w:space="0" w:color="auto"/>
                                            <w:left w:val="none" w:sz="0" w:space="0" w:color="auto"/>
                                            <w:bottom w:val="none" w:sz="0" w:space="0" w:color="auto"/>
                                            <w:right w:val="none" w:sz="0" w:space="0" w:color="auto"/>
                                          </w:divBdr>
                                          <w:divsChild>
                                            <w:div w:id="329265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778935">
          <w:marLeft w:val="0"/>
          <w:marRight w:val="0"/>
          <w:marTop w:val="0"/>
          <w:marBottom w:val="0"/>
          <w:divBdr>
            <w:top w:val="none" w:sz="0" w:space="0" w:color="auto"/>
            <w:left w:val="none" w:sz="0" w:space="0" w:color="auto"/>
            <w:bottom w:val="none" w:sz="0" w:space="0" w:color="auto"/>
            <w:right w:val="none" w:sz="0" w:space="0" w:color="auto"/>
          </w:divBdr>
          <w:divsChild>
            <w:div w:id="716970415">
              <w:marLeft w:val="0"/>
              <w:marRight w:val="0"/>
              <w:marTop w:val="0"/>
              <w:marBottom w:val="0"/>
              <w:divBdr>
                <w:top w:val="none" w:sz="0" w:space="0" w:color="auto"/>
                <w:left w:val="none" w:sz="0" w:space="0" w:color="auto"/>
                <w:bottom w:val="none" w:sz="0" w:space="0" w:color="auto"/>
                <w:right w:val="none" w:sz="0" w:space="0" w:color="auto"/>
              </w:divBdr>
              <w:divsChild>
                <w:div w:id="154806296">
                  <w:marLeft w:val="240"/>
                  <w:marRight w:val="240"/>
                  <w:marTop w:val="240"/>
                  <w:marBottom w:val="240"/>
                  <w:divBdr>
                    <w:top w:val="none" w:sz="0" w:space="0" w:color="auto"/>
                    <w:left w:val="none" w:sz="0" w:space="0" w:color="auto"/>
                    <w:bottom w:val="none" w:sz="0" w:space="0" w:color="auto"/>
                    <w:right w:val="none" w:sz="0" w:space="0" w:color="auto"/>
                  </w:divBdr>
                  <w:divsChild>
                    <w:div w:id="1081098708">
                      <w:marLeft w:val="0"/>
                      <w:marRight w:val="0"/>
                      <w:marTop w:val="0"/>
                      <w:marBottom w:val="0"/>
                      <w:divBdr>
                        <w:top w:val="none" w:sz="0" w:space="0" w:color="auto"/>
                        <w:left w:val="none" w:sz="0" w:space="0" w:color="auto"/>
                        <w:bottom w:val="none" w:sz="0" w:space="0" w:color="auto"/>
                        <w:right w:val="single" w:sz="6" w:space="0" w:color="D8D8D8"/>
                      </w:divBdr>
                    </w:div>
                  </w:divsChild>
                </w:div>
              </w:divsChild>
            </w:div>
          </w:divsChild>
        </w:div>
      </w:divsChild>
    </w:div>
    <w:div w:id="613945542">
      <w:bodyDiv w:val="1"/>
      <w:marLeft w:val="0"/>
      <w:marRight w:val="0"/>
      <w:marTop w:val="0"/>
      <w:marBottom w:val="0"/>
      <w:divBdr>
        <w:top w:val="none" w:sz="0" w:space="0" w:color="auto"/>
        <w:left w:val="none" w:sz="0" w:space="0" w:color="auto"/>
        <w:bottom w:val="none" w:sz="0" w:space="0" w:color="auto"/>
        <w:right w:val="none" w:sz="0" w:space="0" w:color="auto"/>
      </w:divBdr>
      <w:divsChild>
        <w:div w:id="557933185">
          <w:marLeft w:val="0"/>
          <w:marRight w:val="0"/>
          <w:marTop w:val="0"/>
          <w:marBottom w:val="0"/>
          <w:divBdr>
            <w:top w:val="none" w:sz="0" w:space="0" w:color="auto"/>
            <w:left w:val="none" w:sz="0" w:space="0" w:color="auto"/>
            <w:bottom w:val="none" w:sz="0" w:space="0" w:color="auto"/>
            <w:right w:val="none" w:sz="0" w:space="0" w:color="auto"/>
          </w:divBdr>
        </w:div>
      </w:divsChild>
    </w:div>
    <w:div w:id="733891248">
      <w:bodyDiv w:val="1"/>
      <w:marLeft w:val="0"/>
      <w:marRight w:val="0"/>
      <w:marTop w:val="0"/>
      <w:marBottom w:val="0"/>
      <w:divBdr>
        <w:top w:val="none" w:sz="0" w:space="0" w:color="auto"/>
        <w:left w:val="none" w:sz="0" w:space="0" w:color="auto"/>
        <w:bottom w:val="none" w:sz="0" w:space="0" w:color="auto"/>
        <w:right w:val="none" w:sz="0" w:space="0" w:color="auto"/>
      </w:divBdr>
      <w:divsChild>
        <w:div w:id="1618948954">
          <w:marLeft w:val="0"/>
          <w:marRight w:val="0"/>
          <w:marTop w:val="120"/>
          <w:marBottom w:val="0"/>
          <w:divBdr>
            <w:top w:val="none" w:sz="0" w:space="0" w:color="auto"/>
            <w:left w:val="none" w:sz="0" w:space="0" w:color="auto"/>
            <w:bottom w:val="none" w:sz="0" w:space="0" w:color="auto"/>
            <w:right w:val="none" w:sz="0" w:space="0" w:color="auto"/>
          </w:divBdr>
        </w:div>
        <w:div w:id="498158698">
          <w:marLeft w:val="0"/>
          <w:marRight w:val="0"/>
          <w:marTop w:val="480"/>
          <w:marBottom w:val="0"/>
          <w:divBdr>
            <w:top w:val="none" w:sz="0" w:space="0" w:color="auto"/>
            <w:left w:val="none" w:sz="0" w:space="0" w:color="auto"/>
            <w:bottom w:val="none" w:sz="0" w:space="0" w:color="auto"/>
            <w:right w:val="none" w:sz="0" w:space="0" w:color="auto"/>
          </w:divBdr>
        </w:div>
      </w:divsChild>
    </w:div>
    <w:div w:id="748618589">
      <w:bodyDiv w:val="1"/>
      <w:marLeft w:val="0"/>
      <w:marRight w:val="0"/>
      <w:marTop w:val="0"/>
      <w:marBottom w:val="0"/>
      <w:divBdr>
        <w:top w:val="none" w:sz="0" w:space="0" w:color="auto"/>
        <w:left w:val="none" w:sz="0" w:space="0" w:color="auto"/>
        <w:bottom w:val="none" w:sz="0" w:space="0" w:color="auto"/>
        <w:right w:val="none" w:sz="0" w:space="0" w:color="auto"/>
      </w:divBdr>
    </w:div>
    <w:div w:id="913123463">
      <w:bodyDiv w:val="1"/>
      <w:marLeft w:val="0"/>
      <w:marRight w:val="0"/>
      <w:marTop w:val="0"/>
      <w:marBottom w:val="0"/>
      <w:divBdr>
        <w:top w:val="none" w:sz="0" w:space="0" w:color="auto"/>
        <w:left w:val="none" w:sz="0" w:space="0" w:color="auto"/>
        <w:bottom w:val="none" w:sz="0" w:space="0" w:color="auto"/>
        <w:right w:val="none" w:sz="0" w:space="0" w:color="auto"/>
      </w:divBdr>
      <w:divsChild>
        <w:div w:id="1656836717">
          <w:marLeft w:val="0"/>
          <w:marRight w:val="0"/>
          <w:marTop w:val="0"/>
          <w:marBottom w:val="0"/>
          <w:divBdr>
            <w:top w:val="none" w:sz="0" w:space="0" w:color="auto"/>
            <w:left w:val="none" w:sz="0" w:space="0" w:color="auto"/>
            <w:bottom w:val="none" w:sz="0" w:space="0" w:color="auto"/>
            <w:right w:val="none" w:sz="0" w:space="0" w:color="auto"/>
          </w:divBdr>
        </w:div>
        <w:div w:id="1235895889">
          <w:marLeft w:val="0"/>
          <w:marRight w:val="0"/>
          <w:marTop w:val="0"/>
          <w:marBottom w:val="0"/>
          <w:divBdr>
            <w:top w:val="none" w:sz="0" w:space="0" w:color="auto"/>
            <w:left w:val="none" w:sz="0" w:space="0" w:color="auto"/>
            <w:bottom w:val="none" w:sz="0" w:space="0" w:color="auto"/>
            <w:right w:val="none" w:sz="0" w:space="0" w:color="auto"/>
          </w:divBdr>
        </w:div>
      </w:divsChild>
    </w:div>
    <w:div w:id="956450447">
      <w:bodyDiv w:val="1"/>
      <w:marLeft w:val="0"/>
      <w:marRight w:val="0"/>
      <w:marTop w:val="0"/>
      <w:marBottom w:val="0"/>
      <w:divBdr>
        <w:top w:val="none" w:sz="0" w:space="0" w:color="auto"/>
        <w:left w:val="none" w:sz="0" w:space="0" w:color="auto"/>
        <w:bottom w:val="none" w:sz="0" w:space="0" w:color="auto"/>
        <w:right w:val="none" w:sz="0" w:space="0" w:color="auto"/>
      </w:divBdr>
    </w:div>
    <w:div w:id="962348934">
      <w:bodyDiv w:val="1"/>
      <w:marLeft w:val="0"/>
      <w:marRight w:val="0"/>
      <w:marTop w:val="0"/>
      <w:marBottom w:val="0"/>
      <w:divBdr>
        <w:top w:val="none" w:sz="0" w:space="0" w:color="auto"/>
        <w:left w:val="none" w:sz="0" w:space="0" w:color="auto"/>
        <w:bottom w:val="none" w:sz="0" w:space="0" w:color="auto"/>
        <w:right w:val="none" w:sz="0" w:space="0" w:color="auto"/>
      </w:divBdr>
    </w:div>
    <w:div w:id="1025863161">
      <w:bodyDiv w:val="1"/>
      <w:marLeft w:val="0"/>
      <w:marRight w:val="0"/>
      <w:marTop w:val="0"/>
      <w:marBottom w:val="0"/>
      <w:divBdr>
        <w:top w:val="none" w:sz="0" w:space="0" w:color="auto"/>
        <w:left w:val="none" w:sz="0" w:space="0" w:color="auto"/>
        <w:bottom w:val="none" w:sz="0" w:space="0" w:color="auto"/>
        <w:right w:val="none" w:sz="0" w:space="0" w:color="auto"/>
      </w:divBdr>
    </w:div>
    <w:div w:id="1123772857">
      <w:bodyDiv w:val="1"/>
      <w:marLeft w:val="0"/>
      <w:marRight w:val="0"/>
      <w:marTop w:val="0"/>
      <w:marBottom w:val="0"/>
      <w:divBdr>
        <w:top w:val="none" w:sz="0" w:space="0" w:color="auto"/>
        <w:left w:val="none" w:sz="0" w:space="0" w:color="auto"/>
        <w:bottom w:val="none" w:sz="0" w:space="0" w:color="auto"/>
        <w:right w:val="none" w:sz="0" w:space="0" w:color="auto"/>
      </w:divBdr>
    </w:div>
    <w:div w:id="1177425524">
      <w:bodyDiv w:val="1"/>
      <w:marLeft w:val="0"/>
      <w:marRight w:val="0"/>
      <w:marTop w:val="0"/>
      <w:marBottom w:val="0"/>
      <w:divBdr>
        <w:top w:val="none" w:sz="0" w:space="0" w:color="auto"/>
        <w:left w:val="none" w:sz="0" w:space="0" w:color="auto"/>
        <w:bottom w:val="none" w:sz="0" w:space="0" w:color="auto"/>
        <w:right w:val="none" w:sz="0" w:space="0" w:color="auto"/>
      </w:divBdr>
    </w:div>
    <w:div w:id="1270821118">
      <w:bodyDiv w:val="1"/>
      <w:marLeft w:val="0"/>
      <w:marRight w:val="0"/>
      <w:marTop w:val="0"/>
      <w:marBottom w:val="0"/>
      <w:divBdr>
        <w:top w:val="none" w:sz="0" w:space="0" w:color="auto"/>
        <w:left w:val="none" w:sz="0" w:space="0" w:color="auto"/>
        <w:bottom w:val="none" w:sz="0" w:space="0" w:color="auto"/>
        <w:right w:val="none" w:sz="0" w:space="0" w:color="auto"/>
      </w:divBdr>
      <w:divsChild>
        <w:div w:id="234359441">
          <w:marLeft w:val="0"/>
          <w:marRight w:val="0"/>
          <w:marTop w:val="0"/>
          <w:marBottom w:val="0"/>
          <w:divBdr>
            <w:top w:val="none" w:sz="0" w:space="0" w:color="auto"/>
            <w:left w:val="none" w:sz="0" w:space="0" w:color="auto"/>
            <w:bottom w:val="none" w:sz="0" w:space="0" w:color="auto"/>
            <w:right w:val="none" w:sz="0" w:space="0" w:color="auto"/>
          </w:divBdr>
        </w:div>
        <w:div w:id="1800757834">
          <w:marLeft w:val="0"/>
          <w:marRight w:val="0"/>
          <w:marTop w:val="0"/>
          <w:marBottom w:val="0"/>
          <w:divBdr>
            <w:top w:val="none" w:sz="0" w:space="0" w:color="auto"/>
            <w:left w:val="none" w:sz="0" w:space="0" w:color="auto"/>
            <w:bottom w:val="none" w:sz="0" w:space="0" w:color="auto"/>
            <w:right w:val="none" w:sz="0" w:space="0" w:color="auto"/>
          </w:divBdr>
        </w:div>
      </w:divsChild>
    </w:div>
    <w:div w:id="1304192929">
      <w:bodyDiv w:val="1"/>
      <w:marLeft w:val="0"/>
      <w:marRight w:val="0"/>
      <w:marTop w:val="0"/>
      <w:marBottom w:val="0"/>
      <w:divBdr>
        <w:top w:val="none" w:sz="0" w:space="0" w:color="auto"/>
        <w:left w:val="none" w:sz="0" w:space="0" w:color="auto"/>
        <w:bottom w:val="none" w:sz="0" w:space="0" w:color="auto"/>
        <w:right w:val="none" w:sz="0" w:space="0" w:color="auto"/>
      </w:divBdr>
      <w:divsChild>
        <w:div w:id="712577668">
          <w:marLeft w:val="0"/>
          <w:marRight w:val="0"/>
          <w:marTop w:val="0"/>
          <w:marBottom w:val="0"/>
          <w:divBdr>
            <w:top w:val="none" w:sz="0" w:space="0" w:color="auto"/>
            <w:left w:val="none" w:sz="0" w:space="0" w:color="auto"/>
            <w:bottom w:val="none" w:sz="0" w:space="0" w:color="auto"/>
            <w:right w:val="none" w:sz="0" w:space="0" w:color="auto"/>
          </w:divBdr>
          <w:divsChild>
            <w:div w:id="1962959807">
              <w:marLeft w:val="0"/>
              <w:marRight w:val="0"/>
              <w:marTop w:val="0"/>
              <w:marBottom w:val="0"/>
              <w:divBdr>
                <w:top w:val="none" w:sz="0" w:space="0" w:color="auto"/>
                <w:left w:val="none" w:sz="0" w:space="0" w:color="auto"/>
                <w:bottom w:val="none" w:sz="0" w:space="0" w:color="auto"/>
                <w:right w:val="none" w:sz="0" w:space="0" w:color="auto"/>
              </w:divBdr>
              <w:divsChild>
                <w:div w:id="922294944">
                  <w:marLeft w:val="0"/>
                  <w:marRight w:val="0"/>
                  <w:marTop w:val="0"/>
                  <w:marBottom w:val="0"/>
                  <w:divBdr>
                    <w:top w:val="none" w:sz="0" w:space="0" w:color="auto"/>
                    <w:left w:val="none" w:sz="0" w:space="0" w:color="auto"/>
                    <w:bottom w:val="none" w:sz="0" w:space="0" w:color="auto"/>
                    <w:right w:val="none" w:sz="0" w:space="0" w:color="auto"/>
                  </w:divBdr>
                  <w:divsChild>
                    <w:div w:id="1329556442">
                      <w:marLeft w:val="0"/>
                      <w:marRight w:val="0"/>
                      <w:marTop w:val="0"/>
                      <w:marBottom w:val="150"/>
                      <w:divBdr>
                        <w:top w:val="none" w:sz="0" w:space="0" w:color="auto"/>
                        <w:left w:val="none" w:sz="0" w:space="0" w:color="auto"/>
                        <w:bottom w:val="none" w:sz="0" w:space="0" w:color="auto"/>
                        <w:right w:val="none" w:sz="0" w:space="0" w:color="auto"/>
                      </w:divBdr>
                      <w:divsChild>
                        <w:div w:id="779371983">
                          <w:marLeft w:val="0"/>
                          <w:marRight w:val="0"/>
                          <w:marTop w:val="0"/>
                          <w:marBottom w:val="0"/>
                          <w:divBdr>
                            <w:top w:val="none" w:sz="0" w:space="0" w:color="DEDEDE"/>
                            <w:left w:val="none" w:sz="0" w:space="0" w:color="DEDEDE"/>
                            <w:bottom w:val="single" w:sz="6" w:space="0" w:color="DEDEDE"/>
                            <w:right w:val="none" w:sz="0" w:space="0" w:color="DEDEDE"/>
                          </w:divBdr>
                          <w:divsChild>
                            <w:div w:id="583338710">
                              <w:marLeft w:val="0"/>
                              <w:marRight w:val="0"/>
                              <w:marTop w:val="0"/>
                              <w:marBottom w:val="0"/>
                              <w:divBdr>
                                <w:top w:val="none" w:sz="0" w:space="0" w:color="auto"/>
                                <w:left w:val="none" w:sz="0" w:space="0" w:color="auto"/>
                                <w:bottom w:val="none" w:sz="0" w:space="0" w:color="auto"/>
                                <w:right w:val="none" w:sz="0" w:space="0" w:color="auto"/>
                              </w:divBdr>
                            </w:div>
                          </w:divsChild>
                        </w:div>
                        <w:div w:id="2044861324">
                          <w:marLeft w:val="0"/>
                          <w:marRight w:val="0"/>
                          <w:marTop w:val="0"/>
                          <w:marBottom w:val="0"/>
                          <w:divBdr>
                            <w:top w:val="none" w:sz="0" w:space="0" w:color="auto"/>
                            <w:left w:val="none" w:sz="0" w:space="0" w:color="auto"/>
                            <w:bottom w:val="none" w:sz="0" w:space="0" w:color="auto"/>
                            <w:right w:val="none" w:sz="0" w:space="0" w:color="auto"/>
                          </w:divBdr>
                          <w:divsChild>
                            <w:div w:id="1062219048">
                              <w:marLeft w:val="0"/>
                              <w:marRight w:val="0"/>
                              <w:marTop w:val="0"/>
                              <w:marBottom w:val="0"/>
                              <w:divBdr>
                                <w:top w:val="none" w:sz="0" w:space="0" w:color="auto"/>
                                <w:left w:val="none" w:sz="0" w:space="0" w:color="auto"/>
                                <w:bottom w:val="none" w:sz="0" w:space="0" w:color="auto"/>
                                <w:right w:val="none" w:sz="0" w:space="0" w:color="auto"/>
                              </w:divBdr>
                              <w:divsChild>
                                <w:div w:id="5594554">
                                  <w:marLeft w:val="0"/>
                                  <w:marRight w:val="0"/>
                                  <w:marTop w:val="0"/>
                                  <w:marBottom w:val="0"/>
                                  <w:divBdr>
                                    <w:top w:val="none" w:sz="0" w:space="0" w:color="auto"/>
                                    <w:left w:val="none" w:sz="0" w:space="0" w:color="auto"/>
                                    <w:bottom w:val="none" w:sz="0" w:space="0" w:color="auto"/>
                                    <w:right w:val="none" w:sz="0" w:space="0" w:color="auto"/>
                                  </w:divBdr>
                                  <w:divsChild>
                                    <w:div w:id="1385714260">
                                      <w:marLeft w:val="0"/>
                                      <w:marRight w:val="0"/>
                                      <w:marTop w:val="0"/>
                                      <w:marBottom w:val="0"/>
                                      <w:divBdr>
                                        <w:top w:val="none" w:sz="0" w:space="0" w:color="auto"/>
                                        <w:left w:val="none" w:sz="0" w:space="0" w:color="auto"/>
                                        <w:bottom w:val="none" w:sz="0" w:space="0" w:color="auto"/>
                                        <w:right w:val="none" w:sz="0" w:space="0" w:color="auto"/>
                                      </w:divBdr>
                                      <w:divsChild>
                                        <w:div w:id="2007591869">
                                          <w:marLeft w:val="0"/>
                                          <w:marRight w:val="0"/>
                                          <w:marTop w:val="0"/>
                                          <w:marBottom w:val="0"/>
                                          <w:divBdr>
                                            <w:top w:val="none" w:sz="0" w:space="0" w:color="auto"/>
                                            <w:left w:val="none" w:sz="0" w:space="0" w:color="auto"/>
                                            <w:bottom w:val="none" w:sz="0" w:space="0" w:color="auto"/>
                                            <w:right w:val="none" w:sz="0" w:space="0" w:color="auto"/>
                                          </w:divBdr>
                                          <w:divsChild>
                                            <w:div w:id="611012301">
                                              <w:marLeft w:val="0"/>
                                              <w:marRight w:val="0"/>
                                              <w:marTop w:val="0"/>
                                              <w:marBottom w:val="0"/>
                                              <w:divBdr>
                                                <w:top w:val="none" w:sz="0" w:space="0" w:color="auto"/>
                                                <w:left w:val="none" w:sz="0" w:space="0" w:color="auto"/>
                                                <w:bottom w:val="none" w:sz="0" w:space="0" w:color="auto"/>
                                                <w:right w:val="none" w:sz="0" w:space="0" w:color="auto"/>
                                              </w:divBdr>
                                            </w:div>
                                            <w:div w:id="1084760496">
                                              <w:marLeft w:val="0"/>
                                              <w:marRight w:val="75"/>
                                              <w:marTop w:val="0"/>
                                              <w:marBottom w:val="75"/>
                                              <w:divBdr>
                                                <w:top w:val="none" w:sz="0" w:space="0" w:color="auto"/>
                                                <w:left w:val="none" w:sz="0" w:space="0" w:color="auto"/>
                                                <w:bottom w:val="none" w:sz="0" w:space="0" w:color="auto"/>
                                                <w:right w:val="none" w:sz="0" w:space="0" w:color="auto"/>
                                              </w:divBdr>
                                            </w:div>
                                          </w:divsChild>
                                        </w:div>
                                        <w:div w:id="702436714">
                                          <w:marLeft w:val="0"/>
                                          <w:marRight w:val="0"/>
                                          <w:marTop w:val="0"/>
                                          <w:marBottom w:val="0"/>
                                          <w:divBdr>
                                            <w:top w:val="none" w:sz="0" w:space="0" w:color="auto"/>
                                            <w:left w:val="none" w:sz="0" w:space="0" w:color="auto"/>
                                            <w:bottom w:val="none" w:sz="0" w:space="0" w:color="auto"/>
                                            <w:right w:val="none" w:sz="0" w:space="0" w:color="auto"/>
                                          </w:divBdr>
                                          <w:divsChild>
                                            <w:div w:id="1595818610">
                                              <w:marLeft w:val="0"/>
                                              <w:marRight w:val="0"/>
                                              <w:marTop w:val="0"/>
                                              <w:marBottom w:val="450"/>
                                              <w:divBdr>
                                                <w:top w:val="single" w:sz="18" w:space="0" w:color="FFFFFF"/>
                                                <w:left w:val="none" w:sz="0" w:space="0" w:color="FFFFFF"/>
                                                <w:bottom w:val="none" w:sz="0" w:space="0" w:color="FFFFFF"/>
                                                <w:right w:val="none" w:sz="0" w:space="0" w:color="FFFFFF"/>
                                              </w:divBdr>
                                              <w:divsChild>
                                                <w:div w:id="664090967">
                                                  <w:marLeft w:val="0"/>
                                                  <w:marRight w:val="0"/>
                                                  <w:marTop w:val="0"/>
                                                  <w:marBottom w:val="0"/>
                                                  <w:divBdr>
                                                    <w:top w:val="none" w:sz="0" w:space="0" w:color="auto"/>
                                                    <w:left w:val="none" w:sz="0" w:space="0" w:color="auto"/>
                                                    <w:bottom w:val="none" w:sz="0" w:space="0" w:color="auto"/>
                                                    <w:right w:val="none" w:sz="0" w:space="0" w:color="auto"/>
                                                  </w:divBdr>
                                                  <w:divsChild>
                                                    <w:div w:id="309597517">
                                                      <w:marLeft w:val="0"/>
                                                      <w:marRight w:val="0"/>
                                                      <w:marTop w:val="0"/>
                                                      <w:marBottom w:val="0"/>
                                                      <w:divBdr>
                                                        <w:top w:val="none" w:sz="0" w:space="0" w:color="auto"/>
                                                        <w:left w:val="none" w:sz="0" w:space="0" w:color="auto"/>
                                                        <w:bottom w:val="none" w:sz="0" w:space="0" w:color="auto"/>
                                                        <w:right w:val="none" w:sz="0" w:space="0" w:color="auto"/>
                                                      </w:divBdr>
                                                      <w:divsChild>
                                                        <w:div w:id="1440682154">
                                                          <w:marLeft w:val="0"/>
                                                          <w:marRight w:val="0"/>
                                                          <w:marTop w:val="30"/>
                                                          <w:marBottom w:val="0"/>
                                                          <w:divBdr>
                                                            <w:top w:val="single" w:sz="6" w:space="0" w:color="FEC400"/>
                                                            <w:left w:val="none" w:sz="0" w:space="0" w:color="auto"/>
                                                            <w:bottom w:val="none" w:sz="0" w:space="0" w:color="auto"/>
                                                            <w:right w:val="none" w:sz="0" w:space="0" w:color="auto"/>
                                                          </w:divBdr>
                                                        </w:div>
                                                        <w:div w:id="554782412">
                                                          <w:marLeft w:val="0"/>
                                                          <w:marRight w:val="0"/>
                                                          <w:marTop w:val="225"/>
                                                          <w:marBottom w:val="300"/>
                                                          <w:divBdr>
                                                            <w:top w:val="none" w:sz="0" w:space="0" w:color="auto"/>
                                                            <w:left w:val="none" w:sz="0" w:space="0" w:color="auto"/>
                                                            <w:bottom w:val="none" w:sz="0" w:space="0" w:color="auto"/>
                                                            <w:right w:val="none" w:sz="0" w:space="0" w:color="auto"/>
                                                          </w:divBdr>
                                                          <w:divsChild>
                                                            <w:div w:id="13903469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1927284">
      <w:bodyDiv w:val="1"/>
      <w:marLeft w:val="0"/>
      <w:marRight w:val="0"/>
      <w:marTop w:val="0"/>
      <w:marBottom w:val="0"/>
      <w:divBdr>
        <w:top w:val="none" w:sz="0" w:space="0" w:color="auto"/>
        <w:left w:val="none" w:sz="0" w:space="0" w:color="auto"/>
        <w:bottom w:val="none" w:sz="0" w:space="0" w:color="auto"/>
        <w:right w:val="none" w:sz="0" w:space="0" w:color="auto"/>
      </w:divBdr>
    </w:div>
    <w:div w:id="1410616528">
      <w:bodyDiv w:val="1"/>
      <w:marLeft w:val="0"/>
      <w:marRight w:val="0"/>
      <w:marTop w:val="0"/>
      <w:marBottom w:val="0"/>
      <w:divBdr>
        <w:top w:val="none" w:sz="0" w:space="0" w:color="auto"/>
        <w:left w:val="none" w:sz="0" w:space="0" w:color="auto"/>
        <w:bottom w:val="none" w:sz="0" w:space="0" w:color="auto"/>
        <w:right w:val="none" w:sz="0" w:space="0" w:color="auto"/>
      </w:divBdr>
    </w:div>
    <w:div w:id="1422875950">
      <w:bodyDiv w:val="1"/>
      <w:marLeft w:val="0"/>
      <w:marRight w:val="0"/>
      <w:marTop w:val="0"/>
      <w:marBottom w:val="0"/>
      <w:divBdr>
        <w:top w:val="none" w:sz="0" w:space="0" w:color="auto"/>
        <w:left w:val="none" w:sz="0" w:space="0" w:color="auto"/>
        <w:bottom w:val="none" w:sz="0" w:space="0" w:color="auto"/>
        <w:right w:val="none" w:sz="0" w:space="0" w:color="auto"/>
      </w:divBdr>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53865225">
      <w:bodyDiv w:val="1"/>
      <w:marLeft w:val="0"/>
      <w:marRight w:val="0"/>
      <w:marTop w:val="0"/>
      <w:marBottom w:val="0"/>
      <w:divBdr>
        <w:top w:val="none" w:sz="0" w:space="0" w:color="auto"/>
        <w:left w:val="none" w:sz="0" w:space="0" w:color="auto"/>
        <w:bottom w:val="none" w:sz="0" w:space="0" w:color="auto"/>
        <w:right w:val="none" w:sz="0" w:space="0" w:color="auto"/>
      </w:divBdr>
      <w:divsChild>
        <w:div w:id="1676414921">
          <w:marLeft w:val="0"/>
          <w:marRight w:val="0"/>
          <w:marTop w:val="0"/>
          <w:marBottom w:val="0"/>
          <w:divBdr>
            <w:top w:val="none" w:sz="0" w:space="0" w:color="auto"/>
            <w:left w:val="none" w:sz="0" w:space="0" w:color="auto"/>
            <w:bottom w:val="none" w:sz="0" w:space="0" w:color="auto"/>
            <w:right w:val="none" w:sz="0" w:space="0" w:color="auto"/>
          </w:divBdr>
        </w:div>
        <w:div w:id="1244756886">
          <w:marLeft w:val="0"/>
          <w:marRight w:val="0"/>
          <w:marTop w:val="0"/>
          <w:marBottom w:val="0"/>
          <w:divBdr>
            <w:top w:val="none" w:sz="0" w:space="0" w:color="auto"/>
            <w:left w:val="none" w:sz="0" w:space="0" w:color="auto"/>
            <w:bottom w:val="none" w:sz="0" w:space="0" w:color="auto"/>
            <w:right w:val="none" w:sz="0" w:space="0" w:color="auto"/>
          </w:divBdr>
          <w:divsChild>
            <w:div w:id="1644697216">
              <w:marLeft w:val="0"/>
              <w:marRight w:val="0"/>
              <w:marTop w:val="0"/>
              <w:marBottom w:val="0"/>
              <w:divBdr>
                <w:top w:val="none" w:sz="0" w:space="0" w:color="auto"/>
                <w:left w:val="none" w:sz="0" w:space="0" w:color="auto"/>
                <w:bottom w:val="none" w:sz="0" w:space="0" w:color="auto"/>
                <w:right w:val="none" w:sz="0" w:space="0" w:color="auto"/>
              </w:divBdr>
              <w:divsChild>
                <w:div w:id="105151649">
                  <w:marLeft w:val="0"/>
                  <w:marRight w:val="0"/>
                  <w:marTop w:val="0"/>
                  <w:marBottom w:val="0"/>
                  <w:divBdr>
                    <w:top w:val="none" w:sz="0" w:space="0" w:color="auto"/>
                    <w:left w:val="none" w:sz="0" w:space="0" w:color="auto"/>
                    <w:bottom w:val="none" w:sz="0" w:space="0" w:color="auto"/>
                    <w:right w:val="none" w:sz="0" w:space="0" w:color="auto"/>
                  </w:divBdr>
                  <w:divsChild>
                    <w:div w:id="29938920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sChild>
        </w:div>
      </w:divsChild>
    </w:div>
    <w:div w:id="1503399675">
      <w:bodyDiv w:val="1"/>
      <w:marLeft w:val="0"/>
      <w:marRight w:val="0"/>
      <w:marTop w:val="0"/>
      <w:marBottom w:val="0"/>
      <w:divBdr>
        <w:top w:val="none" w:sz="0" w:space="0" w:color="auto"/>
        <w:left w:val="none" w:sz="0" w:space="0" w:color="auto"/>
        <w:bottom w:val="none" w:sz="0" w:space="0" w:color="auto"/>
        <w:right w:val="none" w:sz="0" w:space="0" w:color="auto"/>
      </w:divBdr>
    </w:div>
    <w:div w:id="1594122930">
      <w:bodyDiv w:val="1"/>
      <w:marLeft w:val="0"/>
      <w:marRight w:val="0"/>
      <w:marTop w:val="0"/>
      <w:marBottom w:val="0"/>
      <w:divBdr>
        <w:top w:val="none" w:sz="0" w:space="0" w:color="auto"/>
        <w:left w:val="none" w:sz="0" w:space="0" w:color="auto"/>
        <w:bottom w:val="none" w:sz="0" w:space="0" w:color="auto"/>
        <w:right w:val="none" w:sz="0" w:space="0" w:color="auto"/>
      </w:divBdr>
      <w:divsChild>
        <w:div w:id="1509515408">
          <w:marLeft w:val="0"/>
          <w:marRight w:val="0"/>
          <w:marTop w:val="0"/>
          <w:marBottom w:val="0"/>
          <w:divBdr>
            <w:top w:val="none" w:sz="0" w:space="0" w:color="auto"/>
            <w:left w:val="none" w:sz="0" w:space="0" w:color="auto"/>
            <w:bottom w:val="none" w:sz="0" w:space="0" w:color="auto"/>
            <w:right w:val="none" w:sz="0" w:space="0" w:color="auto"/>
          </w:divBdr>
          <w:divsChild>
            <w:div w:id="643780969">
              <w:marLeft w:val="0"/>
              <w:marRight w:val="0"/>
              <w:marTop w:val="0"/>
              <w:marBottom w:val="0"/>
              <w:divBdr>
                <w:top w:val="none" w:sz="0" w:space="0" w:color="auto"/>
                <w:left w:val="none" w:sz="0" w:space="0" w:color="auto"/>
                <w:bottom w:val="none" w:sz="0" w:space="0" w:color="auto"/>
                <w:right w:val="none" w:sz="0" w:space="0" w:color="auto"/>
              </w:divBdr>
              <w:divsChild>
                <w:div w:id="236671847">
                  <w:marLeft w:val="0"/>
                  <w:marRight w:val="0"/>
                  <w:marTop w:val="0"/>
                  <w:marBottom w:val="0"/>
                  <w:divBdr>
                    <w:top w:val="none" w:sz="0" w:space="0" w:color="auto"/>
                    <w:left w:val="none" w:sz="0" w:space="0" w:color="auto"/>
                    <w:bottom w:val="none" w:sz="0" w:space="0" w:color="auto"/>
                    <w:right w:val="none" w:sz="0" w:space="0" w:color="auto"/>
                  </w:divBdr>
                  <w:divsChild>
                    <w:div w:id="12466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02046">
          <w:marLeft w:val="0"/>
          <w:marRight w:val="0"/>
          <w:marTop w:val="0"/>
          <w:marBottom w:val="0"/>
          <w:divBdr>
            <w:top w:val="none" w:sz="0" w:space="0" w:color="auto"/>
            <w:left w:val="none" w:sz="0" w:space="0" w:color="auto"/>
            <w:bottom w:val="none" w:sz="0" w:space="0" w:color="auto"/>
            <w:right w:val="none" w:sz="0" w:space="0" w:color="auto"/>
          </w:divBdr>
          <w:divsChild>
            <w:div w:id="1883052592">
              <w:marLeft w:val="0"/>
              <w:marRight w:val="0"/>
              <w:marTop w:val="0"/>
              <w:marBottom w:val="0"/>
              <w:divBdr>
                <w:top w:val="none" w:sz="0" w:space="0" w:color="auto"/>
                <w:left w:val="none" w:sz="0" w:space="0" w:color="auto"/>
                <w:bottom w:val="none" w:sz="0" w:space="0" w:color="auto"/>
                <w:right w:val="none" w:sz="0" w:space="0" w:color="auto"/>
              </w:divBdr>
              <w:divsChild>
                <w:div w:id="1412848859">
                  <w:marLeft w:val="0"/>
                  <w:marRight w:val="0"/>
                  <w:marTop w:val="0"/>
                  <w:marBottom w:val="0"/>
                  <w:divBdr>
                    <w:top w:val="none" w:sz="0" w:space="0" w:color="auto"/>
                    <w:left w:val="none" w:sz="0" w:space="0" w:color="auto"/>
                    <w:bottom w:val="none" w:sz="0" w:space="0" w:color="auto"/>
                    <w:right w:val="none" w:sz="0" w:space="0" w:color="auto"/>
                  </w:divBdr>
                  <w:divsChild>
                    <w:div w:id="175269938">
                      <w:marLeft w:val="0"/>
                      <w:marRight w:val="0"/>
                      <w:marTop w:val="0"/>
                      <w:marBottom w:val="0"/>
                      <w:divBdr>
                        <w:top w:val="none" w:sz="0" w:space="0" w:color="auto"/>
                        <w:left w:val="none" w:sz="0" w:space="0" w:color="auto"/>
                        <w:bottom w:val="none" w:sz="0" w:space="0" w:color="auto"/>
                        <w:right w:val="none" w:sz="0" w:space="0" w:color="auto"/>
                      </w:divBdr>
                    </w:div>
                    <w:div w:id="1666930489">
                      <w:marLeft w:val="0"/>
                      <w:marRight w:val="0"/>
                      <w:marTop w:val="0"/>
                      <w:marBottom w:val="0"/>
                      <w:divBdr>
                        <w:top w:val="none" w:sz="0" w:space="0" w:color="auto"/>
                        <w:left w:val="none" w:sz="0" w:space="0" w:color="auto"/>
                        <w:bottom w:val="none" w:sz="0" w:space="0" w:color="auto"/>
                        <w:right w:val="none" w:sz="0" w:space="0" w:color="auto"/>
                      </w:divBdr>
                    </w:div>
                  </w:divsChild>
                </w:div>
                <w:div w:id="2143451868">
                  <w:marLeft w:val="0"/>
                  <w:marRight w:val="0"/>
                  <w:marTop w:val="0"/>
                  <w:marBottom w:val="0"/>
                  <w:divBdr>
                    <w:top w:val="none" w:sz="0" w:space="0" w:color="auto"/>
                    <w:left w:val="none" w:sz="0" w:space="0" w:color="auto"/>
                    <w:bottom w:val="none" w:sz="0" w:space="0" w:color="auto"/>
                    <w:right w:val="none" w:sz="0" w:space="0" w:color="auto"/>
                  </w:divBdr>
                  <w:divsChild>
                    <w:div w:id="14467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48418">
      <w:bodyDiv w:val="1"/>
      <w:marLeft w:val="0"/>
      <w:marRight w:val="0"/>
      <w:marTop w:val="0"/>
      <w:marBottom w:val="0"/>
      <w:divBdr>
        <w:top w:val="none" w:sz="0" w:space="0" w:color="auto"/>
        <w:left w:val="none" w:sz="0" w:space="0" w:color="auto"/>
        <w:bottom w:val="none" w:sz="0" w:space="0" w:color="auto"/>
        <w:right w:val="none" w:sz="0" w:space="0" w:color="auto"/>
      </w:divBdr>
      <w:divsChild>
        <w:div w:id="1424954779">
          <w:marLeft w:val="0"/>
          <w:marRight w:val="0"/>
          <w:marTop w:val="100"/>
          <w:marBottom w:val="100"/>
          <w:divBdr>
            <w:top w:val="none" w:sz="0" w:space="0" w:color="auto"/>
            <w:left w:val="none" w:sz="0" w:space="0" w:color="auto"/>
            <w:bottom w:val="none" w:sz="0" w:space="0" w:color="auto"/>
            <w:right w:val="none" w:sz="0" w:space="0" w:color="auto"/>
          </w:divBdr>
          <w:divsChild>
            <w:div w:id="293298525">
              <w:marLeft w:val="0"/>
              <w:marRight w:val="0"/>
              <w:marTop w:val="0"/>
              <w:marBottom w:val="0"/>
              <w:divBdr>
                <w:top w:val="none" w:sz="0" w:space="0" w:color="auto"/>
                <w:left w:val="none" w:sz="0" w:space="0" w:color="auto"/>
                <w:bottom w:val="none" w:sz="0" w:space="0" w:color="auto"/>
                <w:right w:val="none" w:sz="0" w:space="0" w:color="auto"/>
              </w:divBdr>
              <w:divsChild>
                <w:div w:id="2061396404">
                  <w:marLeft w:val="0"/>
                  <w:marRight w:val="0"/>
                  <w:marTop w:val="0"/>
                  <w:marBottom w:val="0"/>
                  <w:divBdr>
                    <w:top w:val="none" w:sz="0" w:space="0" w:color="auto"/>
                    <w:left w:val="none" w:sz="0" w:space="0" w:color="auto"/>
                    <w:bottom w:val="none" w:sz="0" w:space="0" w:color="auto"/>
                    <w:right w:val="none" w:sz="0" w:space="0" w:color="auto"/>
                  </w:divBdr>
                  <w:divsChild>
                    <w:div w:id="1594707859">
                      <w:marLeft w:val="0"/>
                      <w:marRight w:val="0"/>
                      <w:marTop w:val="0"/>
                      <w:marBottom w:val="0"/>
                      <w:divBdr>
                        <w:top w:val="none" w:sz="0" w:space="0" w:color="auto"/>
                        <w:left w:val="none" w:sz="0" w:space="0" w:color="auto"/>
                        <w:bottom w:val="none" w:sz="0" w:space="0" w:color="auto"/>
                        <w:right w:val="none" w:sz="0" w:space="0" w:color="auto"/>
                      </w:divBdr>
                    </w:div>
                    <w:div w:id="1324238719">
                      <w:marLeft w:val="-74"/>
                      <w:marRight w:val="0"/>
                      <w:marTop w:val="0"/>
                      <w:marBottom w:val="0"/>
                      <w:divBdr>
                        <w:top w:val="none" w:sz="0" w:space="0" w:color="auto"/>
                        <w:left w:val="none" w:sz="0" w:space="0" w:color="auto"/>
                        <w:bottom w:val="none" w:sz="0" w:space="0" w:color="auto"/>
                        <w:right w:val="none" w:sz="0" w:space="0" w:color="auto"/>
                      </w:divBdr>
                    </w:div>
                  </w:divsChild>
                </w:div>
                <w:div w:id="1206258232">
                  <w:marLeft w:val="0"/>
                  <w:marRight w:val="0"/>
                  <w:marTop w:val="0"/>
                  <w:marBottom w:val="0"/>
                  <w:divBdr>
                    <w:top w:val="none" w:sz="0" w:space="0" w:color="auto"/>
                    <w:left w:val="none" w:sz="0" w:space="0" w:color="auto"/>
                    <w:bottom w:val="none" w:sz="0" w:space="0" w:color="auto"/>
                    <w:right w:val="none" w:sz="0" w:space="0" w:color="auto"/>
                  </w:divBdr>
                  <w:divsChild>
                    <w:div w:id="14542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1625">
              <w:marLeft w:val="0"/>
              <w:marRight w:val="0"/>
              <w:marTop w:val="0"/>
              <w:marBottom w:val="0"/>
              <w:divBdr>
                <w:top w:val="none" w:sz="0" w:space="0" w:color="auto"/>
                <w:left w:val="none" w:sz="0" w:space="0" w:color="auto"/>
                <w:bottom w:val="none" w:sz="0" w:space="0" w:color="auto"/>
                <w:right w:val="none" w:sz="0" w:space="0" w:color="auto"/>
              </w:divBdr>
              <w:divsChild>
                <w:div w:id="1789157831">
                  <w:marLeft w:val="0"/>
                  <w:marRight w:val="0"/>
                  <w:marTop w:val="0"/>
                  <w:marBottom w:val="0"/>
                  <w:divBdr>
                    <w:top w:val="none" w:sz="0" w:space="0" w:color="auto"/>
                    <w:left w:val="none" w:sz="0" w:space="0" w:color="auto"/>
                    <w:bottom w:val="none" w:sz="0" w:space="0" w:color="auto"/>
                    <w:right w:val="none" w:sz="0" w:space="0" w:color="auto"/>
                  </w:divBdr>
                  <w:divsChild>
                    <w:div w:id="1140731247">
                      <w:marLeft w:val="0"/>
                      <w:marRight w:val="0"/>
                      <w:marTop w:val="0"/>
                      <w:marBottom w:val="0"/>
                      <w:divBdr>
                        <w:top w:val="none" w:sz="0" w:space="0" w:color="auto"/>
                        <w:left w:val="none" w:sz="0" w:space="0" w:color="auto"/>
                        <w:bottom w:val="single" w:sz="6" w:space="5" w:color="000000"/>
                        <w:right w:val="none" w:sz="0" w:space="0" w:color="auto"/>
                      </w:divBdr>
                    </w:div>
                    <w:div w:id="907150715">
                      <w:marLeft w:val="0"/>
                      <w:marRight w:val="0"/>
                      <w:marTop w:val="0"/>
                      <w:marBottom w:val="98"/>
                      <w:divBdr>
                        <w:top w:val="none" w:sz="0" w:space="0" w:color="auto"/>
                        <w:left w:val="none" w:sz="0" w:space="0" w:color="auto"/>
                        <w:bottom w:val="none" w:sz="0" w:space="0" w:color="auto"/>
                        <w:right w:val="none" w:sz="0" w:space="0" w:color="auto"/>
                      </w:divBdr>
                      <w:divsChild>
                        <w:div w:id="1035929158">
                          <w:marLeft w:val="0"/>
                          <w:marRight w:val="0"/>
                          <w:marTop w:val="0"/>
                          <w:marBottom w:val="0"/>
                          <w:divBdr>
                            <w:top w:val="none" w:sz="0" w:space="0" w:color="auto"/>
                            <w:left w:val="none" w:sz="0" w:space="0" w:color="auto"/>
                            <w:bottom w:val="none" w:sz="0" w:space="0" w:color="auto"/>
                            <w:right w:val="none" w:sz="0" w:space="0" w:color="auto"/>
                          </w:divBdr>
                        </w:div>
                      </w:divsChild>
                    </w:div>
                    <w:div w:id="1007053407">
                      <w:marLeft w:val="0"/>
                      <w:marRight w:val="0"/>
                      <w:marTop w:val="0"/>
                      <w:marBottom w:val="0"/>
                      <w:divBdr>
                        <w:top w:val="none" w:sz="0" w:space="0" w:color="auto"/>
                        <w:left w:val="none" w:sz="0" w:space="0" w:color="auto"/>
                        <w:bottom w:val="single" w:sz="6" w:space="5" w:color="000000"/>
                        <w:right w:val="none" w:sz="0" w:space="0" w:color="auto"/>
                      </w:divBdr>
                    </w:div>
                    <w:div w:id="835538076">
                      <w:marLeft w:val="0"/>
                      <w:marRight w:val="0"/>
                      <w:marTop w:val="0"/>
                      <w:marBottom w:val="0"/>
                      <w:divBdr>
                        <w:top w:val="none" w:sz="0" w:space="0" w:color="auto"/>
                        <w:left w:val="none" w:sz="0" w:space="0" w:color="auto"/>
                        <w:bottom w:val="none" w:sz="0" w:space="0" w:color="auto"/>
                        <w:right w:val="none" w:sz="0" w:space="0" w:color="auto"/>
                      </w:divBdr>
                    </w:div>
                    <w:div w:id="293800110">
                      <w:marLeft w:val="0"/>
                      <w:marRight w:val="0"/>
                      <w:marTop w:val="0"/>
                      <w:marBottom w:val="0"/>
                      <w:divBdr>
                        <w:top w:val="none" w:sz="0" w:space="0" w:color="auto"/>
                        <w:left w:val="none" w:sz="0" w:space="0" w:color="auto"/>
                        <w:bottom w:val="none" w:sz="0" w:space="0" w:color="auto"/>
                        <w:right w:val="none" w:sz="0" w:space="0" w:color="auto"/>
                      </w:divBdr>
                    </w:div>
                    <w:div w:id="163669438">
                      <w:marLeft w:val="0"/>
                      <w:marRight w:val="0"/>
                      <w:marTop w:val="0"/>
                      <w:marBottom w:val="0"/>
                      <w:divBdr>
                        <w:top w:val="none" w:sz="0" w:space="0" w:color="auto"/>
                        <w:left w:val="none" w:sz="0" w:space="0" w:color="auto"/>
                        <w:bottom w:val="none" w:sz="0" w:space="0" w:color="auto"/>
                        <w:right w:val="none" w:sz="0" w:space="0" w:color="auto"/>
                      </w:divBdr>
                    </w:div>
                    <w:div w:id="1142189709">
                      <w:marLeft w:val="0"/>
                      <w:marRight w:val="0"/>
                      <w:marTop w:val="0"/>
                      <w:marBottom w:val="0"/>
                      <w:divBdr>
                        <w:top w:val="none" w:sz="0" w:space="0" w:color="auto"/>
                        <w:left w:val="none" w:sz="0" w:space="0" w:color="auto"/>
                        <w:bottom w:val="none" w:sz="0" w:space="0" w:color="auto"/>
                        <w:right w:val="none" w:sz="0" w:space="0" w:color="auto"/>
                      </w:divBdr>
                    </w:div>
                    <w:div w:id="789664001">
                      <w:marLeft w:val="0"/>
                      <w:marRight w:val="0"/>
                      <w:marTop w:val="0"/>
                      <w:marBottom w:val="0"/>
                      <w:divBdr>
                        <w:top w:val="none" w:sz="0" w:space="0" w:color="auto"/>
                        <w:left w:val="none" w:sz="0" w:space="0" w:color="auto"/>
                        <w:bottom w:val="none" w:sz="0" w:space="0" w:color="auto"/>
                        <w:right w:val="none" w:sz="0" w:space="0" w:color="auto"/>
                      </w:divBdr>
                    </w:div>
                    <w:div w:id="782071741">
                      <w:marLeft w:val="0"/>
                      <w:marRight w:val="0"/>
                      <w:marTop w:val="0"/>
                      <w:marBottom w:val="0"/>
                      <w:divBdr>
                        <w:top w:val="none" w:sz="0" w:space="0" w:color="auto"/>
                        <w:left w:val="none" w:sz="0" w:space="0" w:color="auto"/>
                        <w:bottom w:val="single" w:sz="6" w:space="5" w:color="000000"/>
                        <w:right w:val="none" w:sz="0" w:space="0" w:color="auto"/>
                      </w:divBdr>
                    </w:div>
                    <w:div w:id="299119242">
                      <w:marLeft w:val="0"/>
                      <w:marRight w:val="0"/>
                      <w:marTop w:val="0"/>
                      <w:marBottom w:val="0"/>
                      <w:divBdr>
                        <w:top w:val="none" w:sz="0" w:space="0" w:color="auto"/>
                        <w:left w:val="none" w:sz="0" w:space="0" w:color="auto"/>
                        <w:bottom w:val="none" w:sz="0" w:space="0" w:color="auto"/>
                        <w:right w:val="none" w:sz="0" w:space="0" w:color="auto"/>
                      </w:divBdr>
                    </w:div>
                    <w:div w:id="20623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56231">
      <w:bodyDiv w:val="1"/>
      <w:marLeft w:val="0"/>
      <w:marRight w:val="0"/>
      <w:marTop w:val="0"/>
      <w:marBottom w:val="0"/>
      <w:divBdr>
        <w:top w:val="none" w:sz="0" w:space="0" w:color="auto"/>
        <w:left w:val="none" w:sz="0" w:space="0" w:color="auto"/>
        <w:bottom w:val="none" w:sz="0" w:space="0" w:color="auto"/>
        <w:right w:val="none" w:sz="0" w:space="0" w:color="auto"/>
      </w:divBdr>
    </w:div>
    <w:div w:id="1681546947">
      <w:bodyDiv w:val="1"/>
      <w:marLeft w:val="0"/>
      <w:marRight w:val="0"/>
      <w:marTop w:val="0"/>
      <w:marBottom w:val="0"/>
      <w:divBdr>
        <w:top w:val="none" w:sz="0" w:space="0" w:color="auto"/>
        <w:left w:val="none" w:sz="0" w:space="0" w:color="auto"/>
        <w:bottom w:val="none" w:sz="0" w:space="0" w:color="auto"/>
        <w:right w:val="none" w:sz="0" w:space="0" w:color="auto"/>
      </w:divBdr>
      <w:divsChild>
        <w:div w:id="2026202655">
          <w:marLeft w:val="0"/>
          <w:marRight w:val="0"/>
          <w:marTop w:val="0"/>
          <w:marBottom w:val="540"/>
          <w:divBdr>
            <w:top w:val="none" w:sz="0" w:space="0" w:color="auto"/>
            <w:left w:val="none" w:sz="0" w:space="0" w:color="auto"/>
            <w:bottom w:val="none" w:sz="0" w:space="0" w:color="auto"/>
            <w:right w:val="none" w:sz="0" w:space="0" w:color="auto"/>
          </w:divBdr>
        </w:div>
      </w:divsChild>
    </w:div>
    <w:div w:id="1723476675">
      <w:bodyDiv w:val="1"/>
      <w:marLeft w:val="0"/>
      <w:marRight w:val="0"/>
      <w:marTop w:val="0"/>
      <w:marBottom w:val="0"/>
      <w:divBdr>
        <w:top w:val="none" w:sz="0" w:space="0" w:color="auto"/>
        <w:left w:val="none" w:sz="0" w:space="0" w:color="auto"/>
        <w:bottom w:val="none" w:sz="0" w:space="0" w:color="auto"/>
        <w:right w:val="none" w:sz="0" w:space="0" w:color="auto"/>
      </w:divBdr>
    </w:div>
    <w:div w:id="1723825695">
      <w:bodyDiv w:val="1"/>
      <w:marLeft w:val="0"/>
      <w:marRight w:val="0"/>
      <w:marTop w:val="0"/>
      <w:marBottom w:val="0"/>
      <w:divBdr>
        <w:top w:val="none" w:sz="0" w:space="0" w:color="auto"/>
        <w:left w:val="none" w:sz="0" w:space="0" w:color="auto"/>
        <w:bottom w:val="none" w:sz="0" w:space="0" w:color="auto"/>
        <w:right w:val="none" w:sz="0" w:space="0" w:color="auto"/>
      </w:divBdr>
    </w:div>
    <w:div w:id="1797135483">
      <w:bodyDiv w:val="1"/>
      <w:marLeft w:val="0"/>
      <w:marRight w:val="0"/>
      <w:marTop w:val="0"/>
      <w:marBottom w:val="0"/>
      <w:divBdr>
        <w:top w:val="none" w:sz="0" w:space="0" w:color="auto"/>
        <w:left w:val="none" w:sz="0" w:space="0" w:color="auto"/>
        <w:bottom w:val="none" w:sz="0" w:space="0" w:color="auto"/>
        <w:right w:val="none" w:sz="0" w:space="0" w:color="auto"/>
      </w:divBdr>
    </w:div>
    <w:div w:id="1873226232">
      <w:bodyDiv w:val="1"/>
      <w:marLeft w:val="0"/>
      <w:marRight w:val="0"/>
      <w:marTop w:val="0"/>
      <w:marBottom w:val="0"/>
      <w:divBdr>
        <w:top w:val="none" w:sz="0" w:space="0" w:color="auto"/>
        <w:left w:val="none" w:sz="0" w:space="0" w:color="auto"/>
        <w:bottom w:val="none" w:sz="0" w:space="0" w:color="auto"/>
        <w:right w:val="none" w:sz="0" w:space="0" w:color="auto"/>
      </w:divBdr>
      <w:divsChild>
        <w:div w:id="2114863592">
          <w:marLeft w:val="0"/>
          <w:marRight w:val="0"/>
          <w:marTop w:val="0"/>
          <w:marBottom w:val="0"/>
          <w:divBdr>
            <w:top w:val="none" w:sz="0" w:space="0" w:color="auto"/>
            <w:left w:val="none" w:sz="0" w:space="0" w:color="auto"/>
            <w:bottom w:val="none" w:sz="0" w:space="0" w:color="auto"/>
            <w:right w:val="none" w:sz="0" w:space="0" w:color="auto"/>
          </w:divBdr>
          <w:divsChild>
            <w:div w:id="622880365">
              <w:marLeft w:val="443"/>
              <w:marRight w:val="0"/>
              <w:marTop w:val="0"/>
              <w:marBottom w:val="0"/>
              <w:divBdr>
                <w:top w:val="none" w:sz="0" w:space="0" w:color="auto"/>
                <w:left w:val="none" w:sz="0" w:space="0" w:color="auto"/>
                <w:bottom w:val="none" w:sz="0" w:space="0" w:color="auto"/>
                <w:right w:val="none" w:sz="0" w:space="0" w:color="auto"/>
              </w:divBdr>
            </w:div>
          </w:divsChild>
        </w:div>
        <w:div w:id="1246499703">
          <w:marLeft w:val="0"/>
          <w:marRight w:val="0"/>
          <w:marTop w:val="0"/>
          <w:marBottom w:val="0"/>
          <w:divBdr>
            <w:top w:val="none" w:sz="0" w:space="0" w:color="auto"/>
            <w:left w:val="none" w:sz="0" w:space="0" w:color="auto"/>
            <w:bottom w:val="none" w:sz="0" w:space="0" w:color="auto"/>
            <w:right w:val="none" w:sz="0" w:space="0" w:color="auto"/>
          </w:divBdr>
          <w:divsChild>
            <w:div w:id="250699629">
              <w:marLeft w:val="0"/>
              <w:marRight w:val="0"/>
              <w:marTop w:val="0"/>
              <w:marBottom w:val="0"/>
              <w:divBdr>
                <w:top w:val="none" w:sz="0" w:space="0" w:color="auto"/>
                <w:left w:val="none" w:sz="0" w:space="0" w:color="auto"/>
                <w:bottom w:val="none" w:sz="0" w:space="0" w:color="auto"/>
                <w:right w:val="none" w:sz="0" w:space="0" w:color="auto"/>
              </w:divBdr>
            </w:div>
            <w:div w:id="252398779">
              <w:marLeft w:val="443"/>
              <w:marRight w:val="0"/>
              <w:marTop w:val="0"/>
              <w:marBottom w:val="0"/>
              <w:divBdr>
                <w:top w:val="none" w:sz="0" w:space="0" w:color="auto"/>
                <w:left w:val="none" w:sz="0" w:space="0" w:color="auto"/>
                <w:bottom w:val="none" w:sz="0" w:space="0" w:color="auto"/>
                <w:right w:val="none" w:sz="0" w:space="0" w:color="auto"/>
              </w:divBdr>
            </w:div>
          </w:divsChild>
        </w:div>
        <w:div w:id="1410230579">
          <w:marLeft w:val="0"/>
          <w:marRight w:val="0"/>
          <w:marTop w:val="0"/>
          <w:marBottom w:val="0"/>
          <w:divBdr>
            <w:top w:val="none" w:sz="0" w:space="0" w:color="auto"/>
            <w:left w:val="none" w:sz="0" w:space="0" w:color="auto"/>
            <w:bottom w:val="none" w:sz="0" w:space="0" w:color="auto"/>
            <w:right w:val="none" w:sz="0" w:space="0" w:color="auto"/>
          </w:divBdr>
          <w:divsChild>
            <w:div w:id="1551192356">
              <w:marLeft w:val="0"/>
              <w:marRight w:val="0"/>
              <w:marTop w:val="0"/>
              <w:marBottom w:val="0"/>
              <w:divBdr>
                <w:top w:val="none" w:sz="0" w:space="0" w:color="auto"/>
                <w:left w:val="none" w:sz="0" w:space="0" w:color="auto"/>
                <w:bottom w:val="none" w:sz="0" w:space="0" w:color="auto"/>
                <w:right w:val="none" w:sz="0" w:space="0" w:color="auto"/>
              </w:divBdr>
            </w:div>
            <w:div w:id="2132167671">
              <w:marLeft w:val="443"/>
              <w:marRight w:val="0"/>
              <w:marTop w:val="0"/>
              <w:marBottom w:val="0"/>
              <w:divBdr>
                <w:top w:val="none" w:sz="0" w:space="0" w:color="auto"/>
                <w:left w:val="none" w:sz="0" w:space="0" w:color="auto"/>
                <w:bottom w:val="none" w:sz="0" w:space="0" w:color="auto"/>
                <w:right w:val="none" w:sz="0" w:space="0" w:color="auto"/>
              </w:divBdr>
            </w:div>
          </w:divsChild>
        </w:div>
        <w:div w:id="773093565">
          <w:marLeft w:val="0"/>
          <w:marRight w:val="0"/>
          <w:marTop w:val="0"/>
          <w:marBottom w:val="0"/>
          <w:divBdr>
            <w:top w:val="none" w:sz="0" w:space="0" w:color="auto"/>
            <w:left w:val="none" w:sz="0" w:space="0" w:color="auto"/>
            <w:bottom w:val="none" w:sz="0" w:space="0" w:color="auto"/>
            <w:right w:val="none" w:sz="0" w:space="0" w:color="auto"/>
          </w:divBdr>
          <w:divsChild>
            <w:div w:id="1773476242">
              <w:marLeft w:val="0"/>
              <w:marRight w:val="0"/>
              <w:marTop w:val="0"/>
              <w:marBottom w:val="0"/>
              <w:divBdr>
                <w:top w:val="none" w:sz="0" w:space="0" w:color="auto"/>
                <w:left w:val="none" w:sz="0" w:space="0" w:color="auto"/>
                <w:bottom w:val="none" w:sz="0" w:space="0" w:color="auto"/>
                <w:right w:val="none" w:sz="0" w:space="0" w:color="auto"/>
              </w:divBdr>
            </w:div>
            <w:div w:id="2133016812">
              <w:marLeft w:val="443"/>
              <w:marRight w:val="0"/>
              <w:marTop w:val="0"/>
              <w:marBottom w:val="0"/>
              <w:divBdr>
                <w:top w:val="none" w:sz="0" w:space="0" w:color="auto"/>
                <w:left w:val="none" w:sz="0" w:space="0" w:color="auto"/>
                <w:bottom w:val="none" w:sz="0" w:space="0" w:color="auto"/>
                <w:right w:val="none" w:sz="0" w:space="0" w:color="auto"/>
              </w:divBdr>
            </w:div>
          </w:divsChild>
        </w:div>
        <w:div w:id="2118866816">
          <w:marLeft w:val="0"/>
          <w:marRight w:val="0"/>
          <w:marTop w:val="0"/>
          <w:marBottom w:val="0"/>
          <w:divBdr>
            <w:top w:val="none" w:sz="0" w:space="0" w:color="auto"/>
            <w:left w:val="none" w:sz="0" w:space="0" w:color="auto"/>
            <w:bottom w:val="none" w:sz="0" w:space="0" w:color="auto"/>
            <w:right w:val="none" w:sz="0" w:space="0" w:color="auto"/>
          </w:divBdr>
          <w:divsChild>
            <w:div w:id="576785321">
              <w:marLeft w:val="0"/>
              <w:marRight w:val="0"/>
              <w:marTop w:val="0"/>
              <w:marBottom w:val="0"/>
              <w:divBdr>
                <w:top w:val="none" w:sz="0" w:space="0" w:color="auto"/>
                <w:left w:val="none" w:sz="0" w:space="0" w:color="auto"/>
                <w:bottom w:val="none" w:sz="0" w:space="0" w:color="auto"/>
                <w:right w:val="none" w:sz="0" w:space="0" w:color="auto"/>
              </w:divBdr>
            </w:div>
            <w:div w:id="1631475094">
              <w:marLeft w:val="443"/>
              <w:marRight w:val="0"/>
              <w:marTop w:val="0"/>
              <w:marBottom w:val="0"/>
              <w:divBdr>
                <w:top w:val="none" w:sz="0" w:space="0" w:color="auto"/>
                <w:left w:val="none" w:sz="0" w:space="0" w:color="auto"/>
                <w:bottom w:val="none" w:sz="0" w:space="0" w:color="auto"/>
                <w:right w:val="none" w:sz="0" w:space="0" w:color="auto"/>
              </w:divBdr>
            </w:div>
          </w:divsChild>
        </w:div>
      </w:divsChild>
    </w:div>
    <w:div w:id="1890460912">
      <w:bodyDiv w:val="1"/>
      <w:marLeft w:val="0"/>
      <w:marRight w:val="0"/>
      <w:marTop w:val="0"/>
      <w:marBottom w:val="0"/>
      <w:divBdr>
        <w:top w:val="none" w:sz="0" w:space="0" w:color="auto"/>
        <w:left w:val="none" w:sz="0" w:space="0" w:color="auto"/>
        <w:bottom w:val="none" w:sz="0" w:space="0" w:color="auto"/>
        <w:right w:val="none" w:sz="0" w:space="0" w:color="auto"/>
      </w:divBdr>
      <w:divsChild>
        <w:div w:id="388118435">
          <w:marLeft w:val="0"/>
          <w:marRight w:val="0"/>
          <w:marTop w:val="0"/>
          <w:marBottom w:val="120"/>
          <w:divBdr>
            <w:top w:val="none" w:sz="0" w:space="0" w:color="auto"/>
            <w:left w:val="none" w:sz="0" w:space="0" w:color="auto"/>
            <w:bottom w:val="none" w:sz="0" w:space="0" w:color="auto"/>
            <w:right w:val="none" w:sz="0" w:space="0" w:color="auto"/>
          </w:divBdr>
        </w:div>
      </w:divsChild>
    </w:div>
    <w:div w:id="1901986866">
      <w:bodyDiv w:val="1"/>
      <w:marLeft w:val="0"/>
      <w:marRight w:val="0"/>
      <w:marTop w:val="0"/>
      <w:marBottom w:val="0"/>
      <w:divBdr>
        <w:top w:val="none" w:sz="0" w:space="0" w:color="auto"/>
        <w:left w:val="none" w:sz="0" w:space="0" w:color="auto"/>
        <w:bottom w:val="none" w:sz="0" w:space="0" w:color="auto"/>
        <w:right w:val="none" w:sz="0" w:space="0" w:color="auto"/>
      </w:divBdr>
    </w:div>
    <w:div w:id="1922988153">
      <w:bodyDiv w:val="1"/>
      <w:marLeft w:val="0"/>
      <w:marRight w:val="0"/>
      <w:marTop w:val="0"/>
      <w:marBottom w:val="0"/>
      <w:divBdr>
        <w:top w:val="none" w:sz="0" w:space="0" w:color="auto"/>
        <w:left w:val="none" w:sz="0" w:space="0" w:color="auto"/>
        <w:bottom w:val="none" w:sz="0" w:space="0" w:color="auto"/>
        <w:right w:val="none" w:sz="0" w:space="0" w:color="auto"/>
      </w:divBdr>
    </w:div>
    <w:div w:id="1972202005">
      <w:bodyDiv w:val="1"/>
      <w:marLeft w:val="0"/>
      <w:marRight w:val="0"/>
      <w:marTop w:val="0"/>
      <w:marBottom w:val="0"/>
      <w:divBdr>
        <w:top w:val="none" w:sz="0" w:space="0" w:color="auto"/>
        <w:left w:val="none" w:sz="0" w:space="0" w:color="auto"/>
        <w:bottom w:val="none" w:sz="0" w:space="0" w:color="auto"/>
        <w:right w:val="none" w:sz="0" w:space="0" w:color="auto"/>
      </w:divBdr>
    </w:div>
    <w:div w:id="2087652450">
      <w:bodyDiv w:val="1"/>
      <w:marLeft w:val="0"/>
      <w:marRight w:val="0"/>
      <w:marTop w:val="0"/>
      <w:marBottom w:val="0"/>
      <w:divBdr>
        <w:top w:val="none" w:sz="0" w:space="0" w:color="auto"/>
        <w:left w:val="none" w:sz="0" w:space="0" w:color="auto"/>
        <w:bottom w:val="none" w:sz="0" w:space="0" w:color="auto"/>
        <w:right w:val="none" w:sz="0" w:space="0" w:color="auto"/>
      </w:divBdr>
      <w:divsChild>
        <w:div w:id="1393969053">
          <w:marLeft w:val="0"/>
          <w:marRight w:val="0"/>
          <w:marTop w:val="15"/>
          <w:marBottom w:val="0"/>
          <w:divBdr>
            <w:top w:val="single" w:sz="48" w:space="0" w:color="auto"/>
            <w:left w:val="single" w:sz="48" w:space="0" w:color="auto"/>
            <w:bottom w:val="single" w:sz="48" w:space="0" w:color="auto"/>
            <w:right w:val="single" w:sz="48" w:space="0" w:color="auto"/>
          </w:divBdr>
          <w:divsChild>
            <w:div w:id="2065830038">
              <w:marLeft w:val="0"/>
              <w:marRight w:val="0"/>
              <w:marTop w:val="0"/>
              <w:marBottom w:val="0"/>
              <w:divBdr>
                <w:top w:val="none" w:sz="0" w:space="0" w:color="auto"/>
                <w:left w:val="none" w:sz="0" w:space="0" w:color="auto"/>
                <w:bottom w:val="none" w:sz="0" w:space="0" w:color="auto"/>
                <w:right w:val="none" w:sz="0" w:space="0" w:color="auto"/>
              </w:divBdr>
            </w:div>
          </w:divsChild>
        </w:div>
        <w:div w:id="498547959">
          <w:marLeft w:val="0"/>
          <w:marRight w:val="0"/>
          <w:marTop w:val="15"/>
          <w:marBottom w:val="0"/>
          <w:divBdr>
            <w:top w:val="single" w:sz="48" w:space="0" w:color="auto"/>
            <w:left w:val="single" w:sz="48" w:space="0" w:color="auto"/>
            <w:bottom w:val="single" w:sz="48" w:space="0" w:color="auto"/>
            <w:right w:val="single" w:sz="48" w:space="0" w:color="auto"/>
          </w:divBdr>
          <w:divsChild>
            <w:div w:id="20556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007">
      <w:bodyDiv w:val="1"/>
      <w:marLeft w:val="0"/>
      <w:marRight w:val="0"/>
      <w:marTop w:val="0"/>
      <w:marBottom w:val="0"/>
      <w:divBdr>
        <w:top w:val="none" w:sz="0" w:space="0" w:color="auto"/>
        <w:left w:val="none" w:sz="0" w:space="0" w:color="auto"/>
        <w:bottom w:val="none" w:sz="0" w:space="0" w:color="auto"/>
        <w:right w:val="none" w:sz="0" w:space="0" w:color="auto"/>
      </w:divBdr>
    </w:div>
    <w:div w:id="21469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institutdelors.eu/wp-content/uploads/2023/10/PB_230705_Recours-visant-la-loi-hongroise-anti-LGBT_Chopin_Leclerc_EN.pdf" TargetMode="External"/><Relationship Id="rId13" Type="http://schemas.openxmlformats.org/officeDocument/2006/relationships/hyperlink" Target="https://www.statista.com/statistics/300427/eu-parlament-turnout-for-the-european-elections/" TargetMode="External"/><Relationship Id="rId18" Type="http://schemas.openxmlformats.org/officeDocument/2006/relationships/hyperlink" Target="https://theconversation.com/hard-evidence-does-benefits-tourism-exist-22279" TargetMode="External"/><Relationship Id="rId26" Type="http://schemas.openxmlformats.org/officeDocument/2006/relationships/hyperlink" Target="https://philpapers.org/go.pl?id=WARFOA&amp;proxyId=&amp;u=https%3A%2F%2Fbooks.google.com%2Fbooks%3Fid%3DS58X00tIM6oC%26printsec%3Dfront_cover" TargetMode="External"/><Relationship Id="rId3" Type="http://schemas.openxmlformats.org/officeDocument/2006/relationships/hyperlink" Target="https://www.dictionary.com/browse/demos" TargetMode="External"/><Relationship Id="rId21" Type="http://schemas.openxmlformats.org/officeDocument/2006/relationships/hyperlink" Target="https://www.europarl.europa.eu/RegData/etudes/ATAG/2022/739207/EPRS_ATA(2022)739207_EN.pdf" TargetMode="External"/><Relationship Id="rId7" Type="http://schemas.openxmlformats.org/officeDocument/2006/relationships/hyperlink" Target="https://ec.europa.eu/commission/presscorner/api/files/document/print/en/ip_21_3668/IP_21_3668_EN.pdf" TargetMode="External"/><Relationship Id="rId12" Type="http://schemas.openxmlformats.org/officeDocument/2006/relationships/hyperlink" Target="https://www.politico.eu/article/vote-for-me-why-turnout-eu-parliament-biggest-election-challenge/" TargetMode="External"/><Relationship Id="rId17" Type="http://schemas.openxmlformats.org/officeDocument/2006/relationships/hyperlink" Target="https://www.telegraph.co.uk/news/politics/10014508/Britain-and-Germany-demand-EU-cracks-down-on-benefits-tourism.html" TargetMode="External"/><Relationship Id="rId25" Type="http://schemas.openxmlformats.org/officeDocument/2006/relationships/hyperlink" Target="https://www.gov.uk/government/uploads/system/uploads/attachment_data/file/133262/consultation-response_1_.pdf%2011" TargetMode="External"/><Relationship Id="rId33" Type="http://schemas.openxmlformats.org/officeDocument/2006/relationships/hyperlink" Target="https://state-of-the-union.ec.europa.eu/state-union-2020_en" TargetMode="External"/><Relationship Id="rId2" Type="http://schemas.openxmlformats.org/officeDocument/2006/relationships/hyperlink" Target="https://eur-lex.europa.eu/legal-content/EN/TXT/?uri=celex%3A32000L0078" TargetMode="External"/><Relationship Id="rId16" Type="http://schemas.openxmlformats.org/officeDocument/2006/relationships/hyperlink" Target="https://fra.europa.eu/sites/default/files/fra_uploads/fra-2020-lgbti-equality-1_en.pdf" TargetMode="External"/><Relationship Id="rId20" Type="http://schemas.openxmlformats.org/officeDocument/2006/relationships/hyperlink" Target="https://www.fawcettsociety.org.uk/pages/news/category/gender-pay-gap" TargetMode="External"/><Relationship Id="rId29" Type="http://schemas.openxmlformats.org/officeDocument/2006/relationships/hyperlink" Target="https://commission.europa.eu/system/files/2020-11/lgbtiq_factsheet_2020-2025_en.pdf" TargetMode="External"/><Relationship Id="rId1" Type="http://schemas.openxmlformats.org/officeDocument/2006/relationships/hyperlink" Target="mailto:f.r.hamilton@reading.ac.uk" TargetMode="External"/><Relationship Id="rId6" Type="http://schemas.openxmlformats.org/officeDocument/2006/relationships/hyperlink" Target="https://commission.europa.eu/strategy-and-policy/policies/justice-and-fundamental-rights/upholding-rule-law/rule-law/what-rule-law_en" TargetMode="External"/><Relationship Id="rId11" Type="http://schemas.openxmlformats.org/officeDocument/2006/relationships/hyperlink" Target="https://www.latimes.com/world-nation/story/2023-03-14/italian-government-limits-parental-rights-of-gay-couples" TargetMode="External"/><Relationship Id="rId24" Type="http://schemas.openxmlformats.org/officeDocument/2006/relationships/hyperlink" Target="https://hudoc.echr.coe.int/eng" TargetMode="External"/><Relationship Id="rId32" Type="http://schemas.openxmlformats.org/officeDocument/2006/relationships/hyperlink" Target="https://www.europarl.europa.eu/erpl-app-public/factsheets/pdf/en/FTU_1.2.2.pdf" TargetMode="External"/><Relationship Id="rId5" Type="http://schemas.openxmlformats.org/officeDocument/2006/relationships/hyperlink" Target="https://www.collinsdictionary.com/dictionary/english/demos" TargetMode="External"/><Relationship Id="rId15" Type="http://schemas.openxmlformats.org/officeDocument/2006/relationships/hyperlink" Target="https://search.gesis.org/research_data/ZA5688" TargetMode="External"/><Relationship Id="rId23" Type="http://schemas.openxmlformats.org/officeDocument/2006/relationships/hyperlink" Target="https://www.rainbow-europe.org/" TargetMode="External"/><Relationship Id="rId28" Type="http://schemas.openxmlformats.org/officeDocument/2006/relationships/hyperlink" Target="https://commission.europa.eu/strategy-and-policy/policies/justice-and-fundamental-rights/civil-justice/family-law/recognition-parenthood-between-member-states_en" TargetMode="External"/><Relationship Id="rId10" Type="http://schemas.openxmlformats.org/officeDocument/2006/relationships/hyperlink" Target="https://www.hrw.org/news/2021/10/06/hungarys-path-puts-everyones-rights-danger" TargetMode="External"/><Relationship Id="rId19" Type="http://schemas.openxmlformats.org/officeDocument/2006/relationships/hyperlink" Target="https://researchbriefings.files.parliament.uk/documents/SN06838/SN06838.pdf" TargetMode="External"/><Relationship Id="rId31" Type="http://schemas.openxmlformats.org/officeDocument/2006/relationships/hyperlink" Target="https://commission.europa.eu/strategy-and-policy/policies/justice-and-fundamental-rights/civil-justice/family-law/recognition-parenthood-between-member-states_en" TargetMode="External"/><Relationship Id="rId4" Type="http://schemas.openxmlformats.org/officeDocument/2006/relationships/hyperlink" Target="https://www.collinsdictionary.com/dictionary/english/nation" TargetMode="External"/><Relationship Id="rId9" Type="http://schemas.openxmlformats.org/officeDocument/2006/relationships/hyperlink" Target="https://commission.europa.eu/strategy-and-policy/policies/justice-and-fundamental-rights/combatting-discrimination/lesbian-gay-bi-trans-and-intersex-equality/lgbtiq-equality-strategy-2020-2025_en" TargetMode="External"/><Relationship Id="rId14" Type="http://schemas.openxmlformats.org/officeDocument/2006/relationships/hyperlink" Target="https://www.europarl.europa.eu/factsheets/en/sheet/41/free-movement-of-workers" TargetMode="External"/><Relationship Id="rId22" Type="http://schemas.openxmlformats.org/officeDocument/2006/relationships/hyperlink" Target="https://commission.europa.eu/strategy-and-policy/policies/justice-and-fundamental-rights/civil-justice/family-law/overview-family-matters_en" TargetMode="External"/><Relationship Id="rId27" Type="http://schemas.openxmlformats.org/officeDocument/2006/relationships/hyperlink" Target="https://www.euractiv.com/section/non-discrimination/news/meps-push-for-legislation-on-rainbow-families-cross-border-rights/" TargetMode="External"/><Relationship Id="rId30" Type="http://schemas.openxmlformats.org/officeDocument/2006/relationships/hyperlink" Target="https://www.europarl.europa.eu/RegData/etudes/STUD/2023/753174/EPRS_STU(2023)75317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1359e7-af37-4957-93f4-86fd2000860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82604B853E4F42A546E900E60639F7" ma:contentTypeVersion="17" ma:contentTypeDescription="Create a new document." ma:contentTypeScope="" ma:versionID="d9efba810fc6a1e4f713d3b20a5b1825">
  <xsd:schema xmlns:xsd="http://www.w3.org/2001/XMLSchema" xmlns:xs="http://www.w3.org/2001/XMLSchema" xmlns:p="http://schemas.microsoft.com/office/2006/metadata/properties" xmlns:ns3="991359e7-af37-4957-93f4-86fd2000860f" xmlns:ns4="9d63362c-4d97-4e58-ba80-98d3ad5f6e7f" targetNamespace="http://schemas.microsoft.com/office/2006/metadata/properties" ma:root="true" ma:fieldsID="44d8befd8cbeeffae346aec2ed41ce69" ns3:_="" ns4:_="">
    <xsd:import namespace="991359e7-af37-4957-93f4-86fd2000860f"/>
    <xsd:import namespace="9d63362c-4d97-4e58-ba80-98d3ad5f6e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359e7-af37-4957-93f4-86fd20008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63362c-4d97-4e58-ba80-98d3ad5f6e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48EAD-E938-41C4-B9C9-E52C65FB6D5F}">
  <ds:schemaRefs>
    <ds:schemaRef ds:uri="http://schemas.microsoft.com/office/2006/metadata/properties"/>
    <ds:schemaRef ds:uri="http://schemas.microsoft.com/office/infopath/2007/PartnerControls"/>
    <ds:schemaRef ds:uri="991359e7-af37-4957-93f4-86fd2000860f"/>
  </ds:schemaRefs>
</ds:datastoreItem>
</file>

<file path=customXml/itemProps2.xml><?xml version="1.0" encoding="utf-8"?>
<ds:datastoreItem xmlns:ds="http://schemas.openxmlformats.org/officeDocument/2006/customXml" ds:itemID="{6E1DCF89-45C5-44F1-B7A1-E1FE8D2FAF51}">
  <ds:schemaRefs>
    <ds:schemaRef ds:uri="http://schemas.openxmlformats.org/officeDocument/2006/bibliography"/>
  </ds:schemaRefs>
</ds:datastoreItem>
</file>

<file path=customXml/itemProps3.xml><?xml version="1.0" encoding="utf-8"?>
<ds:datastoreItem xmlns:ds="http://schemas.openxmlformats.org/officeDocument/2006/customXml" ds:itemID="{8CBA06CE-8250-4634-BC5C-CF99A2400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359e7-af37-4957-93f4-86fd2000860f"/>
    <ds:schemaRef ds:uri="9d63362c-4d97-4e58-ba80-98d3ad5f6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709F0-22A8-492F-872A-46893781123D}">
  <ds:schemaRefs>
    <ds:schemaRef ds:uri="http://schemas.microsoft.com/sharepoint/v3/contenttype/forms"/>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786</TotalTime>
  <Pages>31</Pages>
  <Words>8614</Words>
  <Characters>47595</Characters>
  <Application>Microsoft Office Word</Application>
  <DocSecurity>0</DocSecurity>
  <Lines>396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McCandless</dc:creator>
  <cp:keywords/>
  <dc:description/>
  <cp:lastModifiedBy>Rosemary Hunter</cp:lastModifiedBy>
  <cp:revision>303</cp:revision>
  <dcterms:created xsi:type="dcterms:W3CDTF">2024-12-17T12:55:00Z</dcterms:created>
  <dcterms:modified xsi:type="dcterms:W3CDTF">2025-05-10T22:09:00Z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14e604f2d0804fe859d3e018d4140dd02eadb4b1ad86187d25d86ccd997ad21c</vt:lpwstr>
  </property>
  <property fmtid="{D5CDD505-2E9C-101B-9397-08002B2CF9AE}" pid="3" name="ContentTypeId">
    <vt:lpwstr>0x010100D582604B853E4F42A546E900E60639F7</vt:lpwstr>
  </property>
</Properties>
</file>